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38BCE9">
      <w:pPr>
        <w:pStyle w:val="3"/>
        <w:spacing w:line="278" w:lineRule="auto"/>
        <w:rPr>
          <w:color w:val="auto"/>
          <w:highlight w:val="none"/>
        </w:rPr>
      </w:pPr>
    </w:p>
    <w:p w14:paraId="669BA060">
      <w:pPr>
        <w:pStyle w:val="3"/>
        <w:spacing w:line="279" w:lineRule="auto"/>
        <w:rPr>
          <w:color w:val="auto"/>
          <w:highlight w:val="none"/>
        </w:rPr>
      </w:pPr>
    </w:p>
    <w:p w14:paraId="6638DBA5">
      <w:pPr>
        <w:pStyle w:val="3"/>
        <w:spacing w:line="279" w:lineRule="auto"/>
        <w:rPr>
          <w:color w:val="auto"/>
          <w:highlight w:val="none"/>
        </w:rPr>
      </w:pPr>
    </w:p>
    <w:p w14:paraId="60DA91BF">
      <w:pPr>
        <w:pStyle w:val="3"/>
        <w:spacing w:line="279" w:lineRule="auto"/>
        <w:rPr>
          <w:color w:val="auto"/>
          <w:highlight w:val="none"/>
        </w:rPr>
      </w:pPr>
    </w:p>
    <w:p w14:paraId="69A2C997">
      <w:pPr>
        <w:pStyle w:val="3"/>
        <w:spacing w:line="279" w:lineRule="auto"/>
        <w:rPr>
          <w:color w:val="auto"/>
          <w:highlight w:val="none"/>
        </w:rPr>
      </w:pPr>
    </w:p>
    <w:p w14:paraId="138C78DB">
      <w:pPr>
        <w:pStyle w:val="3"/>
        <w:spacing w:line="279" w:lineRule="auto"/>
        <w:rPr>
          <w:color w:val="auto"/>
          <w:highlight w:val="none"/>
        </w:rPr>
      </w:pPr>
    </w:p>
    <w:p w14:paraId="5116268A">
      <w:pPr>
        <w:tabs>
          <w:tab w:val="left" w:pos="5132"/>
        </w:tabs>
        <w:spacing w:before="104" w:line="221" w:lineRule="auto"/>
        <w:ind w:left="9" w:leftChars="0" w:hanging="9" w:firstLineChars="0"/>
        <w:jc w:val="center"/>
        <w:rPr>
          <w:rFonts w:ascii="宋体" w:hAnsi="宋体" w:eastAsia="宋体" w:cs="宋体"/>
          <w:color w:val="auto"/>
          <w:sz w:val="32"/>
          <w:szCs w:val="32"/>
          <w:highlight w:val="none"/>
        </w:rPr>
      </w:pPr>
      <w:bookmarkStart w:id="0" w:name="EB6cbe765a4abc42f7a96d704a29818f3c"/>
      <w:r>
        <w:rPr>
          <w:rFonts w:hint="eastAsia" w:ascii="宋体" w:hAnsi="宋体" w:eastAsia="宋体" w:cs="宋体"/>
          <w:color w:val="auto"/>
          <w:sz w:val="32"/>
          <w:szCs w:val="32"/>
          <w:highlight w:val="none"/>
          <w:lang w:val="en-US" w:eastAsia="zh-CN"/>
          <w14:textOutline w14:w="5834" w14:cap="flat" w14:cmpd="sng">
            <w14:solidFill>
              <w14:srgbClr w14:val="000000"/>
            </w14:solidFill>
            <w14:prstDash w14:val="solid"/>
            <w14:miter w14:val="0"/>
          </w14:textOutline>
        </w:rPr>
        <w:t xml:space="preserve">     </w:t>
      </w:r>
      <w:bookmarkEnd w:id="0"/>
      <w:r>
        <w:rPr>
          <w:rFonts w:hint="eastAsia" w:ascii="宋体" w:hAnsi="宋体" w:eastAsia="宋体" w:cs="宋体"/>
          <w:color w:val="auto"/>
          <w:sz w:val="32"/>
          <w:szCs w:val="32"/>
          <w:highlight w:val="none"/>
          <w:lang w:eastAsia="zh-CN"/>
          <w14:textOutline w14:w="5834" w14:cap="flat" w14:cmpd="sng">
            <w14:solidFill>
              <w14:srgbClr w14:val="000000"/>
            </w14:solidFill>
            <w14:prstDash w14:val="solid"/>
            <w14:miter w14:val="0"/>
          </w14:textOutline>
        </w:rPr>
        <w:t>营口市保障性租赁住房(2025年第一批)项目装修施工</w:t>
      </w:r>
      <w:r>
        <w:rPr>
          <w:rFonts w:hint="eastAsia" w:ascii="宋体" w:hAnsi="宋体" w:eastAsia="宋体" w:cs="宋体"/>
          <w:color w:val="auto"/>
          <w:sz w:val="32"/>
          <w:szCs w:val="32"/>
          <w:highlight w:val="none"/>
          <w:lang w:val="en-US" w:eastAsia="zh-CN"/>
          <w14:textOutline w14:w="5834" w14:cap="flat" w14:cmpd="sng">
            <w14:solidFill>
              <w14:srgbClr w14:val="000000"/>
            </w14:solidFill>
            <w14:prstDash w14:val="solid"/>
            <w14:miter w14:val="0"/>
          </w14:textOutline>
        </w:rPr>
        <w:t>一标段</w:t>
      </w:r>
      <w:r>
        <w:rPr>
          <w:rFonts w:ascii="宋体" w:hAnsi="宋体" w:eastAsia="宋体" w:cs="宋体"/>
          <w:color w:val="auto"/>
          <w:sz w:val="32"/>
          <w:szCs w:val="32"/>
          <w:highlight w:val="none"/>
        </w:rPr>
        <w:t>（</w:t>
      </w:r>
      <w:r>
        <w:rPr>
          <w:rFonts w:ascii="宋体" w:hAnsi="宋体" w:eastAsia="宋体" w:cs="宋体"/>
          <w:color w:val="auto"/>
          <w:sz w:val="32"/>
          <w:szCs w:val="32"/>
          <w:highlight w:val="none"/>
          <w14:textOutline w14:w="5834" w14:cap="flat" w14:cmpd="sng">
            <w14:solidFill>
              <w14:srgbClr w14:val="000000"/>
            </w14:solidFill>
            <w14:prstDash w14:val="solid"/>
            <w14:miter w14:val="0"/>
          </w14:textOutline>
        </w:rPr>
        <w:t>标段名称</w:t>
      </w:r>
      <w:r>
        <w:rPr>
          <w:rFonts w:ascii="宋体" w:hAnsi="宋体" w:eastAsia="宋体" w:cs="宋体"/>
          <w:color w:val="auto"/>
          <w:sz w:val="32"/>
          <w:szCs w:val="32"/>
          <w:highlight w:val="none"/>
        </w:rPr>
        <w:t>）</w:t>
      </w:r>
    </w:p>
    <w:p w14:paraId="4B085048">
      <w:pPr>
        <w:pStyle w:val="3"/>
        <w:spacing w:line="265" w:lineRule="auto"/>
        <w:rPr>
          <w:color w:val="auto"/>
          <w:highlight w:val="none"/>
        </w:rPr>
      </w:pPr>
    </w:p>
    <w:p w14:paraId="66A98D46">
      <w:pPr>
        <w:pStyle w:val="3"/>
        <w:spacing w:line="266" w:lineRule="auto"/>
        <w:rPr>
          <w:color w:val="auto"/>
          <w:highlight w:val="none"/>
        </w:rPr>
      </w:pPr>
    </w:p>
    <w:p w14:paraId="741D05B4">
      <w:pPr>
        <w:pStyle w:val="3"/>
        <w:spacing w:line="266" w:lineRule="auto"/>
        <w:rPr>
          <w:color w:val="auto"/>
          <w:highlight w:val="none"/>
        </w:rPr>
      </w:pPr>
    </w:p>
    <w:p w14:paraId="3C519443">
      <w:pPr>
        <w:pStyle w:val="3"/>
        <w:spacing w:line="266" w:lineRule="auto"/>
        <w:rPr>
          <w:color w:val="auto"/>
          <w:highlight w:val="none"/>
        </w:rPr>
      </w:pPr>
    </w:p>
    <w:p w14:paraId="55276DFC">
      <w:pPr>
        <w:pStyle w:val="3"/>
        <w:spacing w:line="266" w:lineRule="auto"/>
        <w:rPr>
          <w:color w:val="auto"/>
          <w:highlight w:val="none"/>
        </w:rPr>
      </w:pPr>
    </w:p>
    <w:p w14:paraId="64B4FB24">
      <w:pPr>
        <w:pStyle w:val="3"/>
        <w:spacing w:line="266" w:lineRule="auto"/>
        <w:rPr>
          <w:color w:val="auto"/>
          <w:highlight w:val="none"/>
        </w:rPr>
      </w:pPr>
    </w:p>
    <w:p w14:paraId="007272A1">
      <w:pPr>
        <w:pStyle w:val="3"/>
        <w:spacing w:line="266" w:lineRule="auto"/>
        <w:rPr>
          <w:color w:val="auto"/>
          <w:highlight w:val="none"/>
        </w:rPr>
      </w:pPr>
    </w:p>
    <w:p w14:paraId="1C9D9FC4">
      <w:pPr>
        <w:spacing w:before="234" w:line="219" w:lineRule="auto"/>
        <w:ind w:left="2210"/>
        <w:rPr>
          <w:rFonts w:ascii="黑体" w:hAnsi="黑体" w:eastAsia="黑体" w:cs="黑体"/>
          <w:color w:val="auto"/>
          <w:sz w:val="72"/>
          <w:szCs w:val="72"/>
          <w:highlight w:val="none"/>
        </w:rPr>
      </w:pPr>
      <w:r>
        <w:rPr>
          <w:rFonts w:ascii="黑体" w:hAnsi="黑体" w:eastAsia="黑体" w:cs="黑体"/>
          <w:color w:val="auto"/>
          <w:spacing w:val="-13"/>
          <w:sz w:val="72"/>
          <w:szCs w:val="72"/>
          <w:highlight w:val="none"/>
        </w:rPr>
        <w:t>招 标</w:t>
      </w:r>
      <w:r>
        <w:rPr>
          <w:rFonts w:ascii="黑体" w:hAnsi="黑体" w:eastAsia="黑体" w:cs="黑体"/>
          <w:color w:val="auto"/>
          <w:spacing w:val="39"/>
          <w:sz w:val="72"/>
          <w:szCs w:val="72"/>
          <w:highlight w:val="none"/>
        </w:rPr>
        <w:t xml:space="preserve"> </w:t>
      </w:r>
      <w:r>
        <w:rPr>
          <w:rFonts w:ascii="黑体" w:hAnsi="黑体" w:eastAsia="黑体" w:cs="黑体"/>
          <w:color w:val="auto"/>
          <w:spacing w:val="-13"/>
          <w:sz w:val="72"/>
          <w:szCs w:val="72"/>
          <w:highlight w:val="none"/>
        </w:rPr>
        <w:t>文</w:t>
      </w:r>
      <w:r>
        <w:rPr>
          <w:rFonts w:ascii="黑体" w:hAnsi="黑体" w:eastAsia="黑体" w:cs="黑体"/>
          <w:color w:val="auto"/>
          <w:spacing w:val="23"/>
          <w:sz w:val="72"/>
          <w:szCs w:val="72"/>
          <w:highlight w:val="none"/>
        </w:rPr>
        <w:t xml:space="preserve"> </w:t>
      </w:r>
      <w:r>
        <w:rPr>
          <w:rFonts w:ascii="黑体" w:hAnsi="黑体" w:eastAsia="黑体" w:cs="黑体"/>
          <w:color w:val="auto"/>
          <w:spacing w:val="-13"/>
          <w:sz w:val="72"/>
          <w:szCs w:val="72"/>
          <w:highlight w:val="none"/>
        </w:rPr>
        <w:t>件</w:t>
      </w:r>
    </w:p>
    <w:p w14:paraId="3287A29F">
      <w:pPr>
        <w:pStyle w:val="3"/>
        <w:spacing w:line="307" w:lineRule="auto"/>
        <w:rPr>
          <w:color w:val="auto"/>
          <w:highlight w:val="none"/>
        </w:rPr>
      </w:pPr>
    </w:p>
    <w:p w14:paraId="63C309CE">
      <w:pPr>
        <w:pStyle w:val="3"/>
        <w:spacing w:line="308" w:lineRule="auto"/>
        <w:rPr>
          <w:color w:val="auto"/>
          <w:highlight w:val="none"/>
        </w:rPr>
      </w:pPr>
    </w:p>
    <w:p w14:paraId="72020BC0">
      <w:pPr>
        <w:spacing w:before="88" w:line="371" w:lineRule="auto"/>
        <w:ind w:left="2098"/>
        <w:rPr>
          <w:rFonts w:ascii="黑体" w:hAnsi="黑体" w:eastAsia="黑体" w:cs="黑体"/>
          <w:color w:val="auto"/>
          <w:sz w:val="27"/>
          <w:szCs w:val="27"/>
          <w:highlight w:val="none"/>
        </w:rPr>
      </w:pPr>
      <w:r>
        <w:rPr>
          <w:rFonts w:ascii="黑体" w:hAnsi="黑体" w:eastAsia="黑体" w:cs="黑体"/>
          <w:color w:val="auto"/>
          <w:spacing w:val="5"/>
          <w:sz w:val="27"/>
          <w:szCs w:val="27"/>
          <w:highlight w:val="none"/>
        </w:rPr>
        <w:t>（标段唯一标识码</w:t>
      </w:r>
      <w:r>
        <w:rPr>
          <w:rFonts w:ascii="黑体" w:hAnsi="黑体" w:eastAsia="黑体" w:cs="黑体"/>
          <w:color w:val="auto"/>
          <w:spacing w:val="1"/>
          <w:sz w:val="27"/>
          <w:szCs w:val="27"/>
          <w:highlight w:val="none"/>
          <w:u w:val="single" w:color="auto"/>
        </w:rPr>
        <w:t>：</w:t>
      </w:r>
      <w:r>
        <w:rPr>
          <w:rFonts w:hint="eastAsia" w:ascii="黑体" w:hAnsi="黑体" w:eastAsia="黑体" w:cs="黑体"/>
          <w:color w:val="auto"/>
          <w:spacing w:val="1"/>
          <w:sz w:val="27"/>
          <w:szCs w:val="27"/>
          <w:highlight w:val="none"/>
          <w:u w:val="single" w:color="auto"/>
          <w:lang w:val="en-US" w:eastAsia="zh-CN"/>
        </w:rPr>
        <w:t>xxx</w:t>
      </w:r>
      <w:r>
        <w:rPr>
          <w:rFonts w:ascii="黑体" w:hAnsi="黑体" w:eastAsia="黑体" w:cs="黑体"/>
          <w:color w:val="auto"/>
          <w:spacing w:val="6"/>
          <w:sz w:val="27"/>
          <w:szCs w:val="27"/>
          <w:highlight w:val="none"/>
          <w:u w:val="single" w:color="auto"/>
        </w:rPr>
        <w:t xml:space="preserve">          </w:t>
      </w:r>
      <w:r>
        <w:rPr>
          <w:rFonts w:ascii="黑体" w:hAnsi="黑体" w:eastAsia="黑体" w:cs="黑体"/>
          <w:color w:val="auto"/>
          <w:spacing w:val="1"/>
          <w:sz w:val="27"/>
          <w:szCs w:val="27"/>
          <w:highlight w:val="none"/>
        </w:rPr>
        <w:t>）</w:t>
      </w:r>
    </w:p>
    <w:p w14:paraId="549804E9">
      <w:pPr>
        <w:spacing w:before="1" w:line="223" w:lineRule="auto"/>
        <w:ind w:left="1892"/>
        <w:rPr>
          <w:rFonts w:ascii="黑体" w:hAnsi="黑体" w:eastAsia="黑体" w:cs="黑体"/>
          <w:color w:val="auto"/>
          <w:sz w:val="27"/>
          <w:szCs w:val="27"/>
          <w:highlight w:val="none"/>
        </w:rPr>
      </w:pPr>
      <w:r>
        <w:rPr>
          <w:rFonts w:ascii="黑体" w:hAnsi="黑体" w:eastAsia="黑体" w:cs="黑体"/>
          <w:color w:val="auto"/>
          <w:spacing w:val="-19"/>
          <w:sz w:val="27"/>
          <w:szCs w:val="27"/>
          <w:highlight w:val="none"/>
        </w:rPr>
        <w:t>（标段编号</w:t>
      </w:r>
      <w:r>
        <w:rPr>
          <w:rFonts w:ascii="黑体" w:hAnsi="黑体" w:eastAsia="黑体" w:cs="黑体"/>
          <w:color w:val="auto"/>
          <w:sz w:val="27"/>
          <w:szCs w:val="27"/>
          <w:highlight w:val="none"/>
        </w:rPr>
        <w:t>：</w:t>
      </w:r>
      <w:r>
        <w:rPr>
          <w:rFonts w:ascii="黑体" w:hAnsi="黑体" w:eastAsia="黑体" w:cs="黑体"/>
          <w:color w:val="auto"/>
          <w:spacing w:val="-19"/>
          <w:sz w:val="27"/>
          <w:szCs w:val="27"/>
          <w:highlight w:val="none"/>
        </w:rPr>
        <w:t xml:space="preserve"> </w:t>
      </w:r>
      <w:r>
        <w:rPr>
          <w:rFonts w:ascii="黑体" w:hAnsi="黑体" w:eastAsia="黑体" w:cs="黑体"/>
          <w:color w:val="auto"/>
          <w:spacing w:val="5"/>
          <w:sz w:val="27"/>
          <w:szCs w:val="27"/>
          <w:highlight w:val="none"/>
          <w:u w:val="single" w:color="auto"/>
        </w:rPr>
        <w:t xml:space="preserve">                   </w:t>
      </w:r>
      <w:r>
        <w:rPr>
          <w:rFonts w:ascii="黑体" w:hAnsi="黑体" w:eastAsia="黑体" w:cs="黑体"/>
          <w:color w:val="auto"/>
          <w:sz w:val="27"/>
          <w:szCs w:val="27"/>
          <w:highlight w:val="none"/>
        </w:rPr>
        <w:t>）</w:t>
      </w:r>
    </w:p>
    <w:p w14:paraId="272464C5">
      <w:pPr>
        <w:pStyle w:val="3"/>
        <w:rPr>
          <w:color w:val="auto"/>
          <w:highlight w:val="none"/>
        </w:rPr>
      </w:pPr>
    </w:p>
    <w:p w14:paraId="10180896">
      <w:pPr>
        <w:pStyle w:val="3"/>
        <w:rPr>
          <w:color w:val="auto"/>
          <w:highlight w:val="none"/>
        </w:rPr>
      </w:pPr>
    </w:p>
    <w:p w14:paraId="620A02E2">
      <w:pPr>
        <w:pStyle w:val="3"/>
        <w:rPr>
          <w:color w:val="auto"/>
          <w:highlight w:val="none"/>
        </w:rPr>
      </w:pPr>
    </w:p>
    <w:p w14:paraId="1C429172">
      <w:pPr>
        <w:pStyle w:val="3"/>
        <w:rPr>
          <w:color w:val="auto"/>
          <w:highlight w:val="none"/>
        </w:rPr>
      </w:pPr>
    </w:p>
    <w:p w14:paraId="073CEEE1">
      <w:pPr>
        <w:pStyle w:val="3"/>
        <w:rPr>
          <w:color w:val="auto"/>
          <w:highlight w:val="none"/>
        </w:rPr>
      </w:pPr>
    </w:p>
    <w:p w14:paraId="24B30328">
      <w:pPr>
        <w:pStyle w:val="3"/>
        <w:rPr>
          <w:color w:val="auto"/>
          <w:highlight w:val="none"/>
        </w:rPr>
      </w:pPr>
    </w:p>
    <w:p w14:paraId="60E8B9BC">
      <w:pPr>
        <w:pStyle w:val="3"/>
        <w:rPr>
          <w:color w:val="auto"/>
          <w:highlight w:val="none"/>
        </w:rPr>
      </w:pPr>
    </w:p>
    <w:p w14:paraId="0C7FDAFC">
      <w:pPr>
        <w:pStyle w:val="3"/>
        <w:rPr>
          <w:color w:val="auto"/>
          <w:highlight w:val="none"/>
        </w:rPr>
      </w:pPr>
    </w:p>
    <w:p w14:paraId="640698B8">
      <w:pPr>
        <w:pStyle w:val="3"/>
        <w:rPr>
          <w:color w:val="auto"/>
          <w:highlight w:val="none"/>
        </w:rPr>
      </w:pPr>
    </w:p>
    <w:p w14:paraId="2D69C8EF">
      <w:pPr>
        <w:pStyle w:val="3"/>
        <w:rPr>
          <w:color w:val="auto"/>
          <w:highlight w:val="none"/>
        </w:rPr>
      </w:pPr>
    </w:p>
    <w:p w14:paraId="2B4F3926">
      <w:pPr>
        <w:pStyle w:val="3"/>
        <w:rPr>
          <w:color w:val="auto"/>
          <w:highlight w:val="none"/>
        </w:rPr>
      </w:pPr>
    </w:p>
    <w:p w14:paraId="7CA057EB">
      <w:pPr>
        <w:pStyle w:val="3"/>
        <w:rPr>
          <w:color w:val="auto"/>
          <w:highlight w:val="none"/>
        </w:rPr>
      </w:pPr>
    </w:p>
    <w:p w14:paraId="351E748B">
      <w:pPr>
        <w:pStyle w:val="3"/>
        <w:rPr>
          <w:color w:val="auto"/>
          <w:highlight w:val="none"/>
        </w:rPr>
      </w:pPr>
    </w:p>
    <w:p w14:paraId="3F5412A4">
      <w:pPr>
        <w:pStyle w:val="3"/>
        <w:rPr>
          <w:color w:val="auto"/>
          <w:highlight w:val="none"/>
        </w:rPr>
      </w:pPr>
    </w:p>
    <w:p w14:paraId="034CC582">
      <w:pPr>
        <w:pStyle w:val="3"/>
        <w:rPr>
          <w:color w:val="auto"/>
          <w:highlight w:val="none"/>
        </w:rPr>
      </w:pPr>
    </w:p>
    <w:p w14:paraId="25319A00">
      <w:pPr>
        <w:pStyle w:val="3"/>
        <w:rPr>
          <w:color w:val="auto"/>
          <w:highlight w:val="none"/>
        </w:rPr>
      </w:pPr>
    </w:p>
    <w:p w14:paraId="0C78AEE8">
      <w:pPr>
        <w:pStyle w:val="3"/>
        <w:rPr>
          <w:color w:val="auto"/>
          <w:highlight w:val="none"/>
        </w:rPr>
      </w:pPr>
    </w:p>
    <w:p w14:paraId="2DD554B0">
      <w:pPr>
        <w:pStyle w:val="3"/>
        <w:rPr>
          <w:color w:val="auto"/>
          <w:highlight w:val="none"/>
        </w:rPr>
      </w:pPr>
    </w:p>
    <w:p w14:paraId="0067E87E">
      <w:pPr>
        <w:pStyle w:val="3"/>
        <w:spacing w:line="241" w:lineRule="auto"/>
        <w:rPr>
          <w:color w:val="auto"/>
          <w:highlight w:val="none"/>
        </w:rPr>
      </w:pPr>
    </w:p>
    <w:p w14:paraId="6A1C59CE">
      <w:pPr>
        <w:pStyle w:val="3"/>
        <w:spacing w:line="241" w:lineRule="auto"/>
        <w:rPr>
          <w:color w:val="auto"/>
          <w:highlight w:val="none"/>
        </w:rPr>
      </w:pPr>
    </w:p>
    <w:p w14:paraId="13B901DA">
      <w:pPr>
        <w:spacing w:before="88" w:line="476" w:lineRule="auto"/>
        <w:ind w:firstLine="984" w:firstLineChars="400"/>
        <w:rPr>
          <w:rFonts w:ascii="黑体" w:hAnsi="黑体" w:eastAsia="黑体" w:cs="黑体"/>
          <w:color w:val="auto"/>
          <w:sz w:val="27"/>
          <w:szCs w:val="27"/>
          <w:highlight w:val="none"/>
        </w:rPr>
      </w:pPr>
      <w:r>
        <w:rPr>
          <w:rFonts w:ascii="黑体" w:hAnsi="黑体" w:eastAsia="黑体" w:cs="黑体"/>
          <w:color w:val="auto"/>
          <w:spacing w:val="-12"/>
          <w:sz w:val="27"/>
          <w:szCs w:val="27"/>
          <w:highlight w:val="none"/>
        </w:rPr>
        <w:t>招标人/招标代理机构</w:t>
      </w:r>
      <w:r>
        <w:rPr>
          <w:rFonts w:ascii="黑体" w:hAnsi="黑体" w:eastAsia="黑体" w:cs="黑体"/>
          <w:color w:val="auto"/>
          <w:spacing w:val="1"/>
          <w:sz w:val="27"/>
          <w:szCs w:val="27"/>
          <w:highlight w:val="none"/>
        </w:rPr>
        <w:t>：</w:t>
      </w:r>
      <w:r>
        <w:rPr>
          <w:rFonts w:hint="eastAsia" w:ascii="黑体" w:hAnsi="黑体" w:eastAsia="黑体" w:cs="黑体"/>
          <w:color w:val="auto"/>
          <w:spacing w:val="-12"/>
          <w:sz w:val="27"/>
          <w:szCs w:val="27"/>
          <w:highlight w:val="none"/>
          <w:lang w:eastAsia="zh-CN"/>
        </w:rPr>
        <w:t>沈阳招标中心有限公司</w:t>
      </w:r>
      <w:r>
        <w:rPr>
          <w:rFonts w:ascii="黑体" w:hAnsi="黑体" w:eastAsia="黑体" w:cs="黑体"/>
          <w:color w:val="auto"/>
          <w:spacing w:val="1"/>
          <w:sz w:val="27"/>
          <w:szCs w:val="27"/>
          <w:highlight w:val="none"/>
        </w:rPr>
        <w:t>（</w:t>
      </w:r>
      <w:r>
        <w:rPr>
          <w:rFonts w:ascii="黑体" w:hAnsi="黑体" w:eastAsia="黑体" w:cs="黑体"/>
          <w:color w:val="auto"/>
          <w:spacing w:val="-12"/>
          <w:sz w:val="27"/>
          <w:szCs w:val="27"/>
          <w:highlight w:val="none"/>
        </w:rPr>
        <w:t>盖章）</w:t>
      </w:r>
    </w:p>
    <w:p w14:paraId="06A3A644">
      <w:pPr>
        <w:spacing w:before="1" w:line="225" w:lineRule="auto"/>
        <w:ind w:firstLine="1100" w:firstLineChars="500"/>
        <w:rPr>
          <w:rFonts w:ascii="黑体" w:hAnsi="黑体" w:eastAsia="黑体" w:cs="黑体"/>
          <w:color w:val="auto"/>
          <w:sz w:val="27"/>
          <w:szCs w:val="27"/>
          <w:highlight w:val="none"/>
        </w:rPr>
      </w:pPr>
      <w:r>
        <w:rPr>
          <w:rFonts w:ascii="黑体" w:hAnsi="黑体" w:eastAsia="黑体" w:cs="黑体"/>
          <w:color w:val="auto"/>
          <w:spacing w:val="-25"/>
          <w:sz w:val="27"/>
          <w:szCs w:val="27"/>
          <w:highlight w:val="none"/>
        </w:rPr>
        <w:t>日</w:t>
      </w:r>
      <w:r>
        <w:rPr>
          <w:rFonts w:ascii="黑体" w:hAnsi="黑体" w:eastAsia="黑体" w:cs="黑体"/>
          <w:color w:val="auto"/>
          <w:spacing w:val="7"/>
          <w:sz w:val="27"/>
          <w:szCs w:val="27"/>
          <w:highlight w:val="none"/>
        </w:rPr>
        <w:t xml:space="preserve">    </w:t>
      </w:r>
      <w:r>
        <w:rPr>
          <w:rFonts w:ascii="黑体" w:hAnsi="黑体" w:eastAsia="黑体" w:cs="黑体"/>
          <w:color w:val="auto"/>
          <w:spacing w:val="-25"/>
          <w:sz w:val="27"/>
          <w:szCs w:val="27"/>
          <w:highlight w:val="none"/>
        </w:rPr>
        <w:t>期：</w:t>
      </w:r>
      <w:r>
        <w:rPr>
          <w:rFonts w:ascii="黑体" w:hAnsi="黑体" w:eastAsia="黑体" w:cs="黑体"/>
          <w:color w:val="auto"/>
          <w:spacing w:val="-34"/>
          <w:sz w:val="27"/>
          <w:szCs w:val="27"/>
          <w:highlight w:val="none"/>
        </w:rPr>
        <w:t xml:space="preserve"> </w:t>
      </w:r>
      <w:r>
        <w:rPr>
          <w:rFonts w:hint="eastAsia" w:ascii="黑体" w:hAnsi="黑体" w:eastAsia="黑体" w:cs="黑体"/>
          <w:color w:val="auto"/>
          <w:spacing w:val="5"/>
          <w:sz w:val="27"/>
          <w:szCs w:val="27"/>
          <w:highlight w:val="none"/>
          <w:u w:val="single" w:color="auto"/>
          <w:lang w:val="en-US" w:eastAsia="zh-CN"/>
        </w:rPr>
        <w:t>2026</w:t>
      </w:r>
      <w:r>
        <w:rPr>
          <w:rFonts w:ascii="黑体" w:hAnsi="黑体" w:eastAsia="黑体" w:cs="黑体"/>
          <w:color w:val="auto"/>
          <w:spacing w:val="-25"/>
          <w:sz w:val="27"/>
          <w:szCs w:val="27"/>
          <w:highlight w:val="none"/>
        </w:rPr>
        <w:t>年</w:t>
      </w:r>
      <w:r>
        <w:rPr>
          <w:rFonts w:hint="eastAsia" w:ascii="黑体" w:hAnsi="黑体" w:eastAsia="黑体" w:cs="黑体"/>
          <w:color w:val="auto"/>
          <w:spacing w:val="5"/>
          <w:sz w:val="27"/>
          <w:szCs w:val="27"/>
          <w:highlight w:val="none"/>
          <w:u w:val="single" w:color="auto"/>
          <w:lang w:val="en-US" w:eastAsia="zh-CN"/>
        </w:rPr>
        <w:t>3</w:t>
      </w:r>
      <w:r>
        <w:rPr>
          <w:rFonts w:ascii="黑体" w:hAnsi="黑体" w:eastAsia="黑体" w:cs="黑体"/>
          <w:color w:val="auto"/>
          <w:spacing w:val="-25"/>
          <w:sz w:val="27"/>
          <w:szCs w:val="27"/>
          <w:highlight w:val="none"/>
        </w:rPr>
        <w:t>月</w:t>
      </w:r>
      <w:r>
        <w:rPr>
          <w:rFonts w:ascii="黑体" w:hAnsi="黑体" w:eastAsia="黑体" w:cs="黑体"/>
          <w:color w:val="auto"/>
          <w:spacing w:val="-130"/>
          <w:sz w:val="27"/>
          <w:szCs w:val="27"/>
          <w:highlight w:val="none"/>
        </w:rPr>
        <w:t xml:space="preserve"> </w:t>
      </w:r>
    </w:p>
    <w:p w14:paraId="4B6D072D">
      <w:pPr>
        <w:spacing w:line="225" w:lineRule="auto"/>
        <w:rPr>
          <w:rFonts w:ascii="黑体" w:hAnsi="黑体" w:eastAsia="黑体" w:cs="黑体"/>
          <w:color w:val="auto"/>
          <w:sz w:val="27"/>
          <w:szCs w:val="27"/>
          <w:highlight w:val="none"/>
        </w:rPr>
        <w:sectPr>
          <w:footerReference r:id="rId5" w:type="default"/>
          <w:pgSz w:w="11905" w:h="16839"/>
          <w:pgMar w:top="1431" w:right="1785" w:bottom="0" w:left="1785" w:header="0" w:footer="0" w:gutter="0"/>
          <w:pgNumType w:fmt="decimal"/>
          <w:cols w:space="720" w:num="1"/>
        </w:sectPr>
      </w:pPr>
    </w:p>
    <w:sdt>
      <w:sdtPr>
        <w:rPr>
          <w:rFonts w:ascii="黑体" w:hAnsi="黑体" w:eastAsia="黑体" w:cs="黑体"/>
          <w:color w:val="auto"/>
          <w:sz w:val="44"/>
          <w:szCs w:val="44"/>
          <w:highlight w:val="none"/>
        </w:rPr>
        <w:id w:val="1"/>
        <w:docPartObj>
          <w:docPartGallery w:val="Table of Contents"/>
          <w:docPartUnique/>
        </w:docPartObj>
      </w:sdtPr>
      <w:sdtEndPr>
        <w:rPr>
          <w:rFonts w:ascii="宋体" w:hAnsi="宋体" w:eastAsia="宋体" w:cs="宋体"/>
          <w:color w:val="auto"/>
          <w:sz w:val="21"/>
          <w:szCs w:val="21"/>
          <w:highlight w:val="none"/>
        </w:rPr>
      </w:sdtEndPr>
      <w:sdtContent>
        <w:p w14:paraId="3F8ADE2E">
          <w:pPr>
            <w:spacing w:before="89" w:line="219" w:lineRule="auto"/>
            <w:ind w:left="3578"/>
            <w:rPr>
              <w:rFonts w:ascii="黑体" w:hAnsi="黑体" w:eastAsia="黑体" w:cs="黑体"/>
              <w:color w:val="auto"/>
              <w:sz w:val="44"/>
              <w:szCs w:val="44"/>
              <w:highlight w:val="none"/>
            </w:rPr>
          </w:pPr>
          <w:bookmarkStart w:id="1" w:name="bookmark1"/>
          <w:bookmarkEnd w:id="1"/>
          <w:r>
            <w:rPr>
              <w:rFonts w:ascii="黑体" w:hAnsi="黑体" w:eastAsia="黑体" w:cs="黑体"/>
              <w:color w:val="auto"/>
              <w:spacing w:val="-36"/>
              <w:sz w:val="44"/>
              <w:szCs w:val="44"/>
              <w:highlight w:val="none"/>
              <w14:textOutline w14:w="8011" w14:cap="flat" w14:cmpd="sng">
                <w14:solidFill>
                  <w14:srgbClr w14:val="000000"/>
                </w14:solidFill>
                <w14:prstDash w14:val="solid"/>
                <w14:miter w14:val="0"/>
              </w14:textOutline>
            </w:rPr>
            <w:t>目</w:t>
          </w:r>
          <w:r>
            <w:rPr>
              <w:rFonts w:ascii="黑体" w:hAnsi="黑体" w:eastAsia="黑体" w:cs="黑体"/>
              <w:color w:val="auto"/>
              <w:spacing w:val="11"/>
              <w:sz w:val="44"/>
              <w:szCs w:val="44"/>
              <w:highlight w:val="none"/>
            </w:rPr>
            <w:t xml:space="preserve">  </w:t>
          </w:r>
          <w:r>
            <w:rPr>
              <w:rFonts w:ascii="黑体" w:hAnsi="黑体" w:eastAsia="黑体" w:cs="黑体"/>
              <w:color w:val="auto"/>
              <w:spacing w:val="-36"/>
              <w:sz w:val="44"/>
              <w:szCs w:val="44"/>
              <w:highlight w:val="none"/>
              <w14:textOutline w14:w="8011" w14:cap="flat" w14:cmpd="sng">
                <w14:solidFill>
                  <w14:srgbClr w14:val="000000"/>
                </w14:solidFill>
                <w14:prstDash w14:val="solid"/>
                <w14:miter w14:val="0"/>
              </w14:textOutline>
            </w:rPr>
            <w:t>录</w:t>
          </w:r>
        </w:p>
        <w:p w14:paraId="2C4F79E9">
          <w:pPr>
            <w:pStyle w:val="3"/>
            <w:spacing w:line="276" w:lineRule="auto"/>
            <w:rPr>
              <w:color w:val="auto"/>
              <w:highlight w:val="none"/>
            </w:rPr>
          </w:pPr>
        </w:p>
        <w:p w14:paraId="6EE6884E">
          <w:pPr>
            <w:tabs>
              <w:tab w:val="right" w:leader="dot" w:pos="8307"/>
            </w:tabs>
            <w:spacing w:before="68" w:line="221"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第一卷</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"bookmark2" </w:instrText>
          </w:r>
          <w:r>
            <w:rPr>
              <w:color w:val="auto"/>
              <w:highlight w:val="none"/>
            </w:rPr>
            <w:fldChar w:fldCharType="separate"/>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1</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fldChar w:fldCharType="end"/>
          </w:r>
        </w:p>
        <w:p w14:paraId="4062320D">
          <w:pPr>
            <w:tabs>
              <w:tab w:val="right" w:leader="dot" w:pos="8307"/>
            </w:tabs>
            <w:spacing w:before="23" w:line="219"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第一章</w:t>
          </w:r>
          <w:r>
            <w:rPr>
              <w:rFonts w:ascii="宋体" w:hAnsi="宋体" w:eastAsia="宋体" w:cs="宋体"/>
              <w:color w:val="auto"/>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招标公告</w:t>
          </w:r>
          <w:r>
            <w:rPr>
              <w:rFonts w:ascii="宋体" w:hAnsi="宋体" w:eastAsia="宋体" w:cs="宋体"/>
              <w:color w:val="auto"/>
              <w:spacing w:val="-42"/>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41"/>
              <w:sz w:val="21"/>
              <w:szCs w:val="21"/>
              <w:highlight w:val="none"/>
            </w:rPr>
            <w:t xml:space="preserve"> </w:t>
          </w:r>
          <w:r>
            <w:rPr>
              <w:color w:val="auto"/>
              <w:highlight w:val="none"/>
            </w:rPr>
            <w:fldChar w:fldCharType="begin"/>
          </w:r>
          <w:r>
            <w:rPr>
              <w:color w:val="auto"/>
              <w:highlight w:val="none"/>
            </w:rPr>
            <w:instrText xml:space="preserve"> HYPERLINK \l "bookmark3" </w:instrText>
          </w:r>
          <w:r>
            <w:rPr>
              <w:color w:val="auto"/>
              <w:highlight w:val="none"/>
            </w:rPr>
            <w:fldChar w:fldCharType="separate"/>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2</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fldChar w:fldCharType="end"/>
          </w:r>
        </w:p>
        <w:p w14:paraId="0483D99A">
          <w:pPr>
            <w:tabs>
              <w:tab w:val="right" w:leader="dot" w:pos="8317"/>
            </w:tabs>
            <w:spacing w:before="23" w:line="221" w:lineRule="auto"/>
            <w:ind w:left="45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1.招标条件</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"bookmark4" </w:instrText>
          </w:r>
          <w:r>
            <w:rPr>
              <w:color w:val="auto"/>
              <w:highlight w:val="none"/>
            </w:rPr>
            <w:fldChar w:fldCharType="separate"/>
          </w:r>
          <w:r>
            <w:rPr>
              <w:rFonts w:ascii="宋体" w:hAnsi="宋体" w:eastAsia="宋体" w:cs="宋体"/>
              <w:color w:val="auto"/>
              <w:sz w:val="21"/>
              <w:szCs w:val="21"/>
              <w:highlight w:val="none"/>
            </w:rPr>
            <w:t>2</w:t>
          </w:r>
          <w:r>
            <w:rPr>
              <w:rFonts w:ascii="宋体" w:hAnsi="宋体" w:eastAsia="宋体" w:cs="宋体"/>
              <w:color w:val="auto"/>
              <w:sz w:val="21"/>
              <w:szCs w:val="21"/>
              <w:highlight w:val="none"/>
            </w:rPr>
            <w:fldChar w:fldCharType="end"/>
          </w:r>
        </w:p>
        <w:p w14:paraId="3CE8F9D7">
          <w:pPr>
            <w:tabs>
              <w:tab w:val="right" w:leader="dot" w:pos="8317"/>
            </w:tabs>
            <w:spacing w:before="17" w:line="221" w:lineRule="auto"/>
            <w:ind w:left="4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2.项目概况与招标范围</w:t>
          </w:r>
          <w:r>
            <w:rPr>
              <w:rFonts w:ascii="宋体" w:hAnsi="宋体" w:eastAsia="宋体" w:cs="宋体"/>
              <w:color w:val="auto"/>
              <w:spacing w:val="-7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"bookmark5" </w:instrText>
          </w:r>
          <w:r>
            <w:rPr>
              <w:color w:val="auto"/>
              <w:highlight w:val="none"/>
            </w:rPr>
            <w:fldChar w:fldCharType="separate"/>
          </w:r>
          <w:r>
            <w:rPr>
              <w:rFonts w:ascii="宋体" w:hAnsi="宋体" w:eastAsia="宋体" w:cs="宋体"/>
              <w:color w:val="auto"/>
              <w:sz w:val="21"/>
              <w:szCs w:val="21"/>
              <w:highlight w:val="none"/>
            </w:rPr>
            <w:t>2</w:t>
          </w:r>
          <w:r>
            <w:rPr>
              <w:rFonts w:ascii="宋体" w:hAnsi="宋体" w:eastAsia="宋体" w:cs="宋体"/>
              <w:color w:val="auto"/>
              <w:sz w:val="21"/>
              <w:szCs w:val="21"/>
              <w:highlight w:val="none"/>
            </w:rPr>
            <w:fldChar w:fldCharType="end"/>
          </w:r>
        </w:p>
        <w:p w14:paraId="52BDD1CF">
          <w:pPr>
            <w:tabs>
              <w:tab w:val="right" w:leader="dot" w:pos="8317"/>
            </w:tabs>
            <w:spacing w:before="23" w:line="221" w:lineRule="auto"/>
            <w:ind w:left="44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3.投标人资格要求</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"bookmark6" </w:instrText>
          </w:r>
          <w:r>
            <w:rPr>
              <w:color w:val="auto"/>
              <w:highlight w:val="none"/>
            </w:rPr>
            <w:fldChar w:fldCharType="separate"/>
          </w:r>
          <w:r>
            <w:rPr>
              <w:rFonts w:ascii="宋体" w:hAnsi="宋体" w:eastAsia="宋体" w:cs="宋体"/>
              <w:color w:val="auto"/>
              <w:sz w:val="21"/>
              <w:szCs w:val="21"/>
              <w:highlight w:val="none"/>
            </w:rPr>
            <w:t>2</w:t>
          </w:r>
          <w:r>
            <w:rPr>
              <w:rFonts w:ascii="宋体" w:hAnsi="宋体" w:eastAsia="宋体" w:cs="宋体"/>
              <w:color w:val="auto"/>
              <w:sz w:val="21"/>
              <w:szCs w:val="21"/>
              <w:highlight w:val="none"/>
            </w:rPr>
            <w:fldChar w:fldCharType="end"/>
          </w:r>
        </w:p>
        <w:p w14:paraId="785C8B56">
          <w:pPr>
            <w:tabs>
              <w:tab w:val="right" w:leader="dot" w:pos="8317"/>
            </w:tabs>
            <w:spacing w:before="22" w:line="221" w:lineRule="auto"/>
            <w:ind w:left="44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4.招标文件的获取</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"bookmark7" </w:instrText>
          </w:r>
          <w:r>
            <w:rPr>
              <w:color w:val="auto"/>
              <w:highlight w:val="none"/>
            </w:rPr>
            <w:fldChar w:fldCharType="separate"/>
          </w:r>
          <w:r>
            <w:rPr>
              <w:rFonts w:ascii="宋体" w:hAnsi="宋体" w:eastAsia="宋体" w:cs="宋体"/>
              <w:color w:val="auto"/>
              <w:sz w:val="21"/>
              <w:szCs w:val="21"/>
              <w:highlight w:val="none"/>
            </w:rPr>
            <w:t>3</w:t>
          </w:r>
          <w:r>
            <w:rPr>
              <w:rFonts w:ascii="宋体" w:hAnsi="宋体" w:eastAsia="宋体" w:cs="宋体"/>
              <w:color w:val="auto"/>
              <w:sz w:val="21"/>
              <w:szCs w:val="21"/>
              <w:highlight w:val="none"/>
            </w:rPr>
            <w:fldChar w:fldCharType="end"/>
          </w:r>
        </w:p>
        <w:p w14:paraId="203C31E0">
          <w:pPr>
            <w:tabs>
              <w:tab w:val="right" w:leader="dot" w:pos="8317"/>
            </w:tabs>
            <w:spacing w:before="22" w:line="221" w:lineRule="auto"/>
            <w:ind w:left="44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5.投标文件的递交</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"bookmark8" </w:instrText>
          </w:r>
          <w:r>
            <w:rPr>
              <w:color w:val="auto"/>
              <w:highlight w:val="none"/>
            </w:rPr>
            <w:fldChar w:fldCharType="separate"/>
          </w:r>
          <w:r>
            <w:rPr>
              <w:rFonts w:ascii="宋体" w:hAnsi="宋体" w:eastAsia="宋体" w:cs="宋体"/>
              <w:color w:val="auto"/>
              <w:sz w:val="21"/>
              <w:szCs w:val="21"/>
              <w:highlight w:val="none"/>
            </w:rPr>
            <w:t>3</w:t>
          </w:r>
          <w:r>
            <w:rPr>
              <w:rFonts w:ascii="宋体" w:hAnsi="宋体" w:eastAsia="宋体" w:cs="宋体"/>
              <w:color w:val="auto"/>
              <w:sz w:val="21"/>
              <w:szCs w:val="21"/>
              <w:highlight w:val="none"/>
            </w:rPr>
            <w:fldChar w:fldCharType="end"/>
          </w:r>
        </w:p>
        <w:p w14:paraId="4CCA4BDE">
          <w:pPr>
            <w:tabs>
              <w:tab w:val="right" w:leader="dot" w:pos="8317"/>
            </w:tabs>
            <w:spacing w:before="19" w:line="221"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6.投标相关事宜</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"bookmark9" </w:instrText>
          </w:r>
          <w:r>
            <w:rPr>
              <w:color w:val="auto"/>
              <w:highlight w:val="none"/>
            </w:rPr>
            <w:fldChar w:fldCharType="separate"/>
          </w:r>
          <w:r>
            <w:rPr>
              <w:rFonts w:ascii="宋体" w:hAnsi="宋体" w:eastAsia="宋体" w:cs="宋体"/>
              <w:color w:val="auto"/>
              <w:sz w:val="21"/>
              <w:szCs w:val="21"/>
              <w:highlight w:val="none"/>
            </w:rPr>
            <w:t>3</w:t>
          </w:r>
          <w:r>
            <w:rPr>
              <w:rFonts w:ascii="宋体" w:hAnsi="宋体" w:eastAsia="宋体" w:cs="宋体"/>
              <w:color w:val="auto"/>
              <w:sz w:val="21"/>
              <w:szCs w:val="21"/>
              <w:highlight w:val="none"/>
            </w:rPr>
            <w:fldChar w:fldCharType="end"/>
          </w:r>
        </w:p>
        <w:p w14:paraId="23EFAFB0">
          <w:pPr>
            <w:tabs>
              <w:tab w:val="right" w:leader="dot" w:pos="8317"/>
            </w:tabs>
            <w:spacing w:before="21" w:line="221" w:lineRule="auto"/>
            <w:ind w:left="44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7.评标办法</w:t>
          </w:r>
          <w:r>
            <w:rPr>
              <w:rFonts w:ascii="宋体" w:hAnsi="宋体" w:eastAsia="宋体" w:cs="宋体"/>
              <w:color w:val="auto"/>
              <w:spacing w:val="-8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"bookmark10" </w:instrText>
          </w:r>
          <w:r>
            <w:rPr>
              <w:color w:val="auto"/>
              <w:highlight w:val="none"/>
            </w:rPr>
            <w:fldChar w:fldCharType="separate"/>
          </w:r>
          <w:r>
            <w:rPr>
              <w:rFonts w:ascii="宋体" w:hAnsi="宋体" w:eastAsia="宋体" w:cs="宋体"/>
              <w:color w:val="auto"/>
              <w:sz w:val="21"/>
              <w:szCs w:val="21"/>
              <w:highlight w:val="none"/>
            </w:rPr>
            <w:t>3</w:t>
          </w:r>
          <w:r>
            <w:rPr>
              <w:rFonts w:ascii="宋体" w:hAnsi="宋体" w:eastAsia="宋体" w:cs="宋体"/>
              <w:color w:val="auto"/>
              <w:sz w:val="21"/>
              <w:szCs w:val="21"/>
              <w:highlight w:val="none"/>
            </w:rPr>
            <w:fldChar w:fldCharType="end"/>
          </w:r>
        </w:p>
        <w:p w14:paraId="5AB611C9">
          <w:pPr>
            <w:tabs>
              <w:tab w:val="right" w:leader="dot" w:pos="8317"/>
            </w:tabs>
            <w:spacing w:before="22" w:line="221" w:lineRule="auto"/>
            <w:ind w:left="44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 xml:space="preserve">8.定标方式（评定分离模式适用）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"bookmark11" </w:instrText>
          </w:r>
          <w:r>
            <w:rPr>
              <w:color w:val="auto"/>
              <w:highlight w:val="none"/>
            </w:rPr>
            <w:fldChar w:fldCharType="separate"/>
          </w:r>
          <w:r>
            <w:rPr>
              <w:rFonts w:ascii="宋体" w:hAnsi="宋体" w:eastAsia="宋体" w:cs="宋体"/>
              <w:color w:val="auto"/>
              <w:sz w:val="21"/>
              <w:szCs w:val="21"/>
              <w:highlight w:val="none"/>
            </w:rPr>
            <w:t>3</w:t>
          </w:r>
          <w:r>
            <w:rPr>
              <w:rFonts w:ascii="宋体" w:hAnsi="宋体" w:eastAsia="宋体" w:cs="宋体"/>
              <w:color w:val="auto"/>
              <w:sz w:val="21"/>
              <w:szCs w:val="21"/>
              <w:highlight w:val="none"/>
            </w:rPr>
            <w:fldChar w:fldCharType="end"/>
          </w:r>
        </w:p>
        <w:p w14:paraId="361D141D">
          <w:pPr>
            <w:tabs>
              <w:tab w:val="right" w:leader="dot" w:pos="8317"/>
            </w:tabs>
            <w:spacing w:before="23" w:line="219"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9.发布公告的媒介</w:t>
          </w:r>
          <w:r>
            <w:rPr>
              <w:rFonts w:ascii="宋体" w:hAnsi="宋体" w:eastAsia="宋体" w:cs="宋体"/>
              <w:color w:val="auto"/>
              <w:spacing w:val="-8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"bookmark12" </w:instrText>
          </w:r>
          <w:r>
            <w:rPr>
              <w:color w:val="auto"/>
              <w:highlight w:val="none"/>
            </w:rPr>
            <w:fldChar w:fldCharType="separate"/>
          </w:r>
          <w:r>
            <w:rPr>
              <w:rFonts w:ascii="宋体" w:hAnsi="宋体" w:eastAsia="宋体" w:cs="宋体"/>
              <w:color w:val="auto"/>
              <w:sz w:val="21"/>
              <w:szCs w:val="21"/>
              <w:highlight w:val="none"/>
            </w:rPr>
            <w:t>3</w:t>
          </w:r>
          <w:r>
            <w:rPr>
              <w:rFonts w:ascii="宋体" w:hAnsi="宋体" w:eastAsia="宋体" w:cs="宋体"/>
              <w:color w:val="auto"/>
              <w:sz w:val="21"/>
              <w:szCs w:val="21"/>
              <w:highlight w:val="none"/>
            </w:rPr>
            <w:fldChar w:fldCharType="end"/>
          </w:r>
        </w:p>
        <w:p w14:paraId="0EDBE1F3">
          <w:pPr>
            <w:tabs>
              <w:tab w:val="right" w:leader="dot" w:pos="8317"/>
            </w:tabs>
            <w:spacing w:before="19" w:line="221" w:lineRule="auto"/>
            <w:ind w:left="45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10.监督信息</w:t>
          </w:r>
          <w:r>
            <w:rPr>
              <w:rFonts w:ascii="宋体" w:hAnsi="宋体" w:eastAsia="宋体" w:cs="宋体"/>
              <w:color w:val="auto"/>
              <w:spacing w:val="-8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"bookmark13" </w:instrText>
          </w:r>
          <w:r>
            <w:rPr>
              <w:color w:val="auto"/>
              <w:highlight w:val="none"/>
            </w:rPr>
            <w:fldChar w:fldCharType="separate"/>
          </w:r>
          <w:r>
            <w:rPr>
              <w:rFonts w:ascii="宋体" w:hAnsi="宋体" w:eastAsia="宋体" w:cs="宋体"/>
              <w:color w:val="auto"/>
              <w:sz w:val="21"/>
              <w:szCs w:val="21"/>
              <w:highlight w:val="none"/>
            </w:rPr>
            <w:t>3</w:t>
          </w:r>
          <w:r>
            <w:rPr>
              <w:rFonts w:ascii="宋体" w:hAnsi="宋体" w:eastAsia="宋体" w:cs="宋体"/>
              <w:color w:val="auto"/>
              <w:sz w:val="21"/>
              <w:szCs w:val="21"/>
              <w:highlight w:val="none"/>
            </w:rPr>
            <w:fldChar w:fldCharType="end"/>
          </w:r>
        </w:p>
        <w:p w14:paraId="638381AF">
          <w:pPr>
            <w:tabs>
              <w:tab w:val="right" w:leader="dot" w:pos="8317"/>
            </w:tabs>
            <w:spacing w:before="23" w:line="222" w:lineRule="auto"/>
            <w:ind w:left="45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12.联系方式</w:t>
          </w:r>
          <w:r>
            <w:rPr>
              <w:rFonts w:ascii="宋体" w:hAnsi="宋体" w:eastAsia="宋体" w:cs="宋体"/>
              <w:color w:val="auto"/>
              <w:spacing w:val="-8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"bookmark14" </w:instrText>
          </w:r>
          <w:r>
            <w:rPr>
              <w:color w:val="auto"/>
              <w:highlight w:val="none"/>
            </w:rPr>
            <w:fldChar w:fldCharType="separate"/>
          </w:r>
          <w:r>
            <w:rPr>
              <w:rFonts w:ascii="宋体" w:hAnsi="宋体" w:eastAsia="宋体" w:cs="宋体"/>
              <w:color w:val="auto"/>
              <w:sz w:val="21"/>
              <w:szCs w:val="21"/>
              <w:highlight w:val="none"/>
            </w:rPr>
            <w:t>3</w:t>
          </w:r>
          <w:r>
            <w:rPr>
              <w:rFonts w:ascii="宋体" w:hAnsi="宋体" w:eastAsia="宋体" w:cs="宋体"/>
              <w:color w:val="auto"/>
              <w:sz w:val="21"/>
              <w:szCs w:val="21"/>
              <w:highlight w:val="none"/>
            </w:rPr>
            <w:fldChar w:fldCharType="end"/>
          </w:r>
        </w:p>
        <w:p w14:paraId="7C02B9CB">
          <w:pPr>
            <w:tabs>
              <w:tab w:val="right" w:leader="dot" w:pos="8307"/>
            </w:tabs>
            <w:spacing w:before="21" w:line="220" w:lineRule="auto"/>
            <w:ind w:left="18"/>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14:textOutline w14:w="3831" w14:cap="flat" w14:cmpd="sng">
                <w14:solidFill>
                  <w14:srgbClr w14:val="000000"/>
                </w14:solidFill>
                <w14:prstDash w14:val="solid"/>
                <w14:miter w14:val="0"/>
              </w14:textOutline>
            </w:rPr>
            <w:t>第一章</w:t>
          </w:r>
          <w:r>
            <w:rPr>
              <w:rFonts w:ascii="宋体" w:hAnsi="宋体" w:eastAsia="宋体" w:cs="宋体"/>
              <w:color w:val="auto"/>
              <w:spacing w:val="-6"/>
              <w:sz w:val="21"/>
              <w:szCs w:val="21"/>
              <w:highlight w:val="none"/>
            </w:rPr>
            <w:t xml:space="preserve">  </w:t>
          </w:r>
          <w:r>
            <w:rPr>
              <w:rFonts w:ascii="宋体" w:hAnsi="宋体" w:eastAsia="宋体" w:cs="宋体"/>
              <w:color w:val="auto"/>
              <w:spacing w:val="-6"/>
              <w:sz w:val="21"/>
              <w:szCs w:val="21"/>
              <w:highlight w:val="none"/>
              <w14:textOutline w14:w="3831" w14:cap="flat" w14:cmpd="sng">
                <w14:solidFill>
                  <w14:srgbClr w14:val="000000"/>
                </w14:solidFill>
                <w14:prstDash w14:val="solid"/>
                <w14:miter w14:val="0"/>
              </w14:textOutline>
            </w:rPr>
            <w:t>投标邀请书（适用于邀请招标）</w:t>
          </w:r>
          <w:r>
            <w:rPr>
              <w:rFonts w:ascii="宋体" w:hAnsi="宋体" w:eastAsia="宋体" w:cs="宋体"/>
              <w:color w:val="auto"/>
              <w:spacing w:val="70"/>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39"/>
              <w:sz w:val="21"/>
              <w:szCs w:val="21"/>
              <w:highlight w:val="none"/>
            </w:rPr>
            <w:t xml:space="preserve"> </w:t>
          </w:r>
          <w:r>
            <w:rPr>
              <w:color w:val="auto"/>
              <w:highlight w:val="none"/>
            </w:rPr>
            <w:fldChar w:fldCharType="begin"/>
          </w:r>
          <w:r>
            <w:rPr>
              <w:color w:val="auto"/>
              <w:highlight w:val="none"/>
            </w:rPr>
            <w:instrText xml:space="preserve"> HYPERLINK \l "bookmark1" </w:instrText>
          </w:r>
          <w:r>
            <w:rPr>
              <w:color w:val="auto"/>
              <w:highlight w:val="none"/>
            </w:rPr>
            <w:fldChar w:fldCharType="separate"/>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5</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fldChar w:fldCharType="end"/>
          </w:r>
        </w:p>
        <w:p w14:paraId="1C550749">
          <w:pPr>
            <w:tabs>
              <w:tab w:val="right" w:leader="dot" w:pos="8317"/>
            </w:tabs>
            <w:spacing w:before="23" w:line="221" w:lineRule="auto"/>
            <w:ind w:left="45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1.招标条件</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 </w:instrText>
          </w:r>
          <w:r>
            <w:rPr>
              <w:color w:val="auto"/>
              <w:highlight w:val="none"/>
            </w:rPr>
            <w:fldChar w:fldCharType="separate"/>
          </w:r>
          <w:r>
            <w:rPr>
              <w:rFonts w:ascii="宋体" w:hAnsi="宋体" w:eastAsia="宋体" w:cs="宋体"/>
              <w:color w:val="auto"/>
              <w:sz w:val="21"/>
              <w:szCs w:val="21"/>
              <w:highlight w:val="none"/>
            </w:rPr>
            <w:t>5</w:t>
          </w:r>
          <w:r>
            <w:rPr>
              <w:rFonts w:ascii="宋体" w:hAnsi="宋体" w:eastAsia="宋体" w:cs="宋体"/>
              <w:color w:val="auto"/>
              <w:sz w:val="21"/>
              <w:szCs w:val="21"/>
              <w:highlight w:val="none"/>
            </w:rPr>
            <w:fldChar w:fldCharType="end"/>
          </w:r>
        </w:p>
        <w:p w14:paraId="68868EC3">
          <w:pPr>
            <w:tabs>
              <w:tab w:val="right" w:leader="dot" w:pos="8317"/>
            </w:tabs>
            <w:spacing w:before="18" w:line="221" w:lineRule="auto"/>
            <w:ind w:left="4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2.项目概况与招标范围</w:t>
          </w:r>
          <w:r>
            <w:rPr>
              <w:rFonts w:ascii="宋体" w:hAnsi="宋体" w:eastAsia="宋体" w:cs="宋体"/>
              <w:color w:val="auto"/>
              <w:spacing w:val="-7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 </w:instrText>
          </w:r>
          <w:r>
            <w:rPr>
              <w:color w:val="auto"/>
              <w:highlight w:val="none"/>
            </w:rPr>
            <w:fldChar w:fldCharType="separate"/>
          </w:r>
          <w:r>
            <w:rPr>
              <w:rFonts w:ascii="宋体" w:hAnsi="宋体" w:eastAsia="宋体" w:cs="宋体"/>
              <w:color w:val="auto"/>
              <w:sz w:val="21"/>
              <w:szCs w:val="21"/>
              <w:highlight w:val="none"/>
            </w:rPr>
            <w:t>5</w:t>
          </w:r>
          <w:r>
            <w:rPr>
              <w:rFonts w:ascii="宋体" w:hAnsi="宋体" w:eastAsia="宋体" w:cs="宋体"/>
              <w:color w:val="auto"/>
              <w:sz w:val="21"/>
              <w:szCs w:val="21"/>
              <w:highlight w:val="none"/>
            </w:rPr>
            <w:fldChar w:fldCharType="end"/>
          </w:r>
        </w:p>
        <w:p w14:paraId="1560AAA7">
          <w:pPr>
            <w:tabs>
              <w:tab w:val="right" w:leader="dot" w:pos="8317"/>
            </w:tabs>
            <w:spacing w:before="22" w:line="221" w:lineRule="auto"/>
            <w:ind w:left="44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3.投标人资格要求</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 </w:instrText>
          </w:r>
          <w:r>
            <w:rPr>
              <w:color w:val="auto"/>
              <w:highlight w:val="none"/>
            </w:rPr>
            <w:fldChar w:fldCharType="separate"/>
          </w:r>
          <w:r>
            <w:rPr>
              <w:rFonts w:ascii="宋体" w:hAnsi="宋体" w:eastAsia="宋体" w:cs="宋体"/>
              <w:color w:val="auto"/>
              <w:sz w:val="21"/>
              <w:szCs w:val="21"/>
              <w:highlight w:val="none"/>
            </w:rPr>
            <w:t>5</w:t>
          </w:r>
          <w:r>
            <w:rPr>
              <w:rFonts w:ascii="宋体" w:hAnsi="宋体" w:eastAsia="宋体" w:cs="宋体"/>
              <w:color w:val="auto"/>
              <w:sz w:val="21"/>
              <w:szCs w:val="21"/>
              <w:highlight w:val="none"/>
            </w:rPr>
            <w:fldChar w:fldCharType="end"/>
          </w:r>
        </w:p>
        <w:p w14:paraId="24179842">
          <w:pPr>
            <w:tabs>
              <w:tab w:val="right" w:leader="dot" w:pos="8317"/>
            </w:tabs>
            <w:spacing w:before="22" w:line="221" w:lineRule="auto"/>
            <w:ind w:left="44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4.招标文件的获取</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"bookmark15" </w:instrText>
          </w:r>
          <w:r>
            <w:rPr>
              <w:color w:val="auto"/>
              <w:highlight w:val="none"/>
            </w:rPr>
            <w:fldChar w:fldCharType="separate"/>
          </w:r>
          <w:r>
            <w:rPr>
              <w:rFonts w:ascii="宋体" w:hAnsi="宋体" w:eastAsia="宋体" w:cs="宋体"/>
              <w:color w:val="auto"/>
              <w:sz w:val="21"/>
              <w:szCs w:val="21"/>
              <w:highlight w:val="none"/>
            </w:rPr>
            <w:t>6</w:t>
          </w:r>
          <w:r>
            <w:rPr>
              <w:rFonts w:ascii="宋体" w:hAnsi="宋体" w:eastAsia="宋体" w:cs="宋体"/>
              <w:color w:val="auto"/>
              <w:sz w:val="21"/>
              <w:szCs w:val="21"/>
              <w:highlight w:val="none"/>
            </w:rPr>
            <w:fldChar w:fldCharType="end"/>
          </w:r>
        </w:p>
        <w:p w14:paraId="263DEFC3">
          <w:pPr>
            <w:tabs>
              <w:tab w:val="right" w:leader="dot" w:pos="8317"/>
            </w:tabs>
            <w:spacing w:before="22" w:line="221" w:lineRule="auto"/>
            <w:ind w:left="44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5.投标文件的递交</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"bookmark16" </w:instrText>
          </w:r>
          <w:r>
            <w:rPr>
              <w:color w:val="auto"/>
              <w:highlight w:val="none"/>
            </w:rPr>
            <w:fldChar w:fldCharType="separate"/>
          </w:r>
          <w:r>
            <w:rPr>
              <w:rFonts w:ascii="宋体" w:hAnsi="宋体" w:eastAsia="宋体" w:cs="宋体"/>
              <w:color w:val="auto"/>
              <w:sz w:val="21"/>
              <w:szCs w:val="21"/>
              <w:highlight w:val="none"/>
            </w:rPr>
            <w:t>6</w:t>
          </w:r>
          <w:r>
            <w:rPr>
              <w:rFonts w:ascii="宋体" w:hAnsi="宋体" w:eastAsia="宋体" w:cs="宋体"/>
              <w:color w:val="auto"/>
              <w:sz w:val="21"/>
              <w:szCs w:val="21"/>
              <w:highlight w:val="none"/>
            </w:rPr>
            <w:fldChar w:fldCharType="end"/>
          </w:r>
        </w:p>
        <w:p w14:paraId="0528B487">
          <w:pPr>
            <w:tabs>
              <w:tab w:val="right" w:leader="dot" w:pos="8317"/>
            </w:tabs>
            <w:spacing w:before="19" w:line="221"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6.投标相关事宜</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"bookmark17" </w:instrText>
          </w:r>
          <w:r>
            <w:rPr>
              <w:color w:val="auto"/>
              <w:highlight w:val="none"/>
            </w:rPr>
            <w:fldChar w:fldCharType="separate"/>
          </w:r>
          <w:r>
            <w:rPr>
              <w:rFonts w:ascii="宋体" w:hAnsi="宋体" w:eastAsia="宋体" w:cs="宋体"/>
              <w:color w:val="auto"/>
              <w:sz w:val="21"/>
              <w:szCs w:val="21"/>
              <w:highlight w:val="none"/>
            </w:rPr>
            <w:t>6</w:t>
          </w:r>
          <w:r>
            <w:rPr>
              <w:rFonts w:ascii="宋体" w:hAnsi="宋体" w:eastAsia="宋体" w:cs="宋体"/>
              <w:color w:val="auto"/>
              <w:sz w:val="21"/>
              <w:szCs w:val="21"/>
              <w:highlight w:val="none"/>
            </w:rPr>
            <w:fldChar w:fldCharType="end"/>
          </w:r>
        </w:p>
        <w:p w14:paraId="46CE3A88">
          <w:pPr>
            <w:tabs>
              <w:tab w:val="right" w:leader="dot" w:pos="8317"/>
            </w:tabs>
            <w:spacing w:before="21" w:line="221" w:lineRule="auto"/>
            <w:ind w:left="44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7.评标办法</w:t>
          </w:r>
          <w:r>
            <w:rPr>
              <w:rFonts w:ascii="宋体" w:hAnsi="宋体" w:eastAsia="宋体" w:cs="宋体"/>
              <w:color w:val="auto"/>
              <w:spacing w:val="-8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"bookmark18" </w:instrText>
          </w:r>
          <w:r>
            <w:rPr>
              <w:color w:val="auto"/>
              <w:highlight w:val="none"/>
            </w:rPr>
            <w:fldChar w:fldCharType="separate"/>
          </w:r>
          <w:r>
            <w:rPr>
              <w:rFonts w:ascii="宋体" w:hAnsi="宋体" w:eastAsia="宋体" w:cs="宋体"/>
              <w:color w:val="auto"/>
              <w:sz w:val="21"/>
              <w:szCs w:val="21"/>
              <w:highlight w:val="none"/>
            </w:rPr>
            <w:t>6</w:t>
          </w:r>
          <w:r>
            <w:rPr>
              <w:rFonts w:ascii="宋体" w:hAnsi="宋体" w:eastAsia="宋体" w:cs="宋体"/>
              <w:color w:val="auto"/>
              <w:sz w:val="21"/>
              <w:szCs w:val="21"/>
              <w:highlight w:val="none"/>
            </w:rPr>
            <w:fldChar w:fldCharType="end"/>
          </w:r>
        </w:p>
        <w:p w14:paraId="521BE084">
          <w:pPr>
            <w:tabs>
              <w:tab w:val="right" w:leader="dot" w:pos="8317"/>
            </w:tabs>
            <w:spacing w:before="23" w:line="221" w:lineRule="auto"/>
            <w:ind w:left="44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 xml:space="preserve">8.定标方式（评定分离模式适用）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"bookmark19" </w:instrText>
          </w:r>
          <w:r>
            <w:rPr>
              <w:color w:val="auto"/>
              <w:highlight w:val="none"/>
            </w:rPr>
            <w:fldChar w:fldCharType="separate"/>
          </w:r>
          <w:r>
            <w:rPr>
              <w:rFonts w:ascii="宋体" w:hAnsi="宋体" w:eastAsia="宋体" w:cs="宋体"/>
              <w:color w:val="auto"/>
              <w:sz w:val="21"/>
              <w:szCs w:val="21"/>
              <w:highlight w:val="none"/>
            </w:rPr>
            <w:t>6</w:t>
          </w:r>
          <w:r>
            <w:rPr>
              <w:rFonts w:ascii="宋体" w:hAnsi="宋体" w:eastAsia="宋体" w:cs="宋体"/>
              <w:color w:val="auto"/>
              <w:sz w:val="21"/>
              <w:szCs w:val="21"/>
              <w:highlight w:val="none"/>
            </w:rPr>
            <w:fldChar w:fldCharType="end"/>
          </w:r>
        </w:p>
        <w:p w14:paraId="0DD6D5CC">
          <w:pPr>
            <w:tabs>
              <w:tab w:val="right" w:leader="dot" w:pos="8317"/>
            </w:tabs>
            <w:spacing w:before="17" w:line="221"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9.监督信息</w:t>
          </w:r>
          <w:r>
            <w:rPr>
              <w:rFonts w:ascii="宋体" w:hAnsi="宋体" w:eastAsia="宋体" w:cs="宋体"/>
              <w:color w:val="auto"/>
              <w:spacing w:val="-8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"bookmark20" </w:instrText>
          </w:r>
          <w:r>
            <w:rPr>
              <w:color w:val="auto"/>
              <w:highlight w:val="none"/>
            </w:rPr>
            <w:fldChar w:fldCharType="separate"/>
          </w:r>
          <w:r>
            <w:rPr>
              <w:rFonts w:ascii="宋体" w:hAnsi="宋体" w:eastAsia="宋体" w:cs="宋体"/>
              <w:color w:val="auto"/>
              <w:sz w:val="21"/>
              <w:szCs w:val="21"/>
              <w:highlight w:val="none"/>
            </w:rPr>
            <w:t>6</w:t>
          </w:r>
          <w:r>
            <w:rPr>
              <w:rFonts w:ascii="宋体" w:hAnsi="宋体" w:eastAsia="宋体" w:cs="宋体"/>
              <w:color w:val="auto"/>
              <w:sz w:val="21"/>
              <w:szCs w:val="21"/>
              <w:highlight w:val="none"/>
            </w:rPr>
            <w:fldChar w:fldCharType="end"/>
          </w:r>
        </w:p>
        <w:p w14:paraId="27BBB792">
          <w:pPr>
            <w:tabs>
              <w:tab w:val="right" w:leader="dot" w:pos="8317"/>
            </w:tabs>
            <w:spacing w:before="23" w:line="222" w:lineRule="auto"/>
            <w:ind w:left="45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10.联系方式</w:t>
          </w:r>
          <w:r>
            <w:rPr>
              <w:rFonts w:ascii="宋体" w:hAnsi="宋体" w:eastAsia="宋体" w:cs="宋体"/>
              <w:color w:val="auto"/>
              <w:spacing w:val="-8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"bookmark21" </w:instrText>
          </w:r>
          <w:r>
            <w:rPr>
              <w:color w:val="auto"/>
              <w:highlight w:val="none"/>
            </w:rPr>
            <w:fldChar w:fldCharType="separate"/>
          </w:r>
          <w:r>
            <w:rPr>
              <w:rFonts w:ascii="宋体" w:hAnsi="宋体" w:eastAsia="宋体" w:cs="宋体"/>
              <w:color w:val="auto"/>
              <w:sz w:val="21"/>
              <w:szCs w:val="21"/>
              <w:highlight w:val="none"/>
            </w:rPr>
            <w:t>6</w:t>
          </w:r>
          <w:r>
            <w:rPr>
              <w:rFonts w:ascii="宋体" w:hAnsi="宋体" w:eastAsia="宋体" w:cs="宋体"/>
              <w:color w:val="auto"/>
              <w:sz w:val="21"/>
              <w:szCs w:val="21"/>
              <w:highlight w:val="none"/>
            </w:rPr>
            <w:fldChar w:fldCharType="end"/>
          </w:r>
        </w:p>
        <w:p w14:paraId="65D07079">
          <w:pPr>
            <w:tabs>
              <w:tab w:val="right" w:leader="dot" w:pos="8307"/>
            </w:tabs>
            <w:spacing w:before="21" w:line="220"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第二章</w:t>
          </w:r>
          <w:r>
            <w:rPr>
              <w:rFonts w:ascii="宋体" w:hAnsi="宋体" w:eastAsia="宋体" w:cs="宋体"/>
              <w:color w:val="auto"/>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投标人须知</w:t>
          </w:r>
          <w:r>
            <w:rPr>
              <w:rFonts w:ascii="宋体" w:hAnsi="宋体" w:eastAsia="宋体" w:cs="宋体"/>
              <w:color w:val="auto"/>
              <w:spacing w:val="-31"/>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42"/>
              <w:sz w:val="21"/>
              <w:szCs w:val="21"/>
              <w:highlight w:val="none"/>
            </w:rPr>
            <w:t xml:space="preserve"> </w:t>
          </w:r>
          <w:r>
            <w:rPr>
              <w:color w:val="auto"/>
              <w:highlight w:val="none"/>
            </w:rPr>
            <w:fldChar w:fldCharType="begin"/>
          </w:r>
          <w:r>
            <w:rPr>
              <w:color w:val="auto"/>
              <w:highlight w:val="none"/>
            </w:rPr>
            <w:instrText xml:space="preserve"> HYPERLINK \l "bookmark22" </w:instrText>
          </w:r>
          <w:r>
            <w:rPr>
              <w:color w:val="auto"/>
              <w:highlight w:val="none"/>
            </w:rPr>
            <w:fldChar w:fldCharType="separate"/>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9</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fldChar w:fldCharType="end"/>
          </w:r>
        </w:p>
        <w:p w14:paraId="11B31991">
          <w:pPr>
            <w:tabs>
              <w:tab w:val="right" w:leader="dot" w:pos="8317"/>
            </w:tabs>
            <w:spacing w:before="23" w:line="220" w:lineRule="auto"/>
            <w:ind w:left="4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投标人须知前附表</w:t>
          </w:r>
          <w:r>
            <w:rPr>
              <w:rFonts w:ascii="宋体" w:hAnsi="宋体" w:eastAsia="宋体" w:cs="宋体"/>
              <w:color w:val="auto"/>
              <w:spacing w:val="-85"/>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"bookmark23" </w:instrText>
          </w:r>
          <w:r>
            <w:rPr>
              <w:color w:val="auto"/>
              <w:highlight w:val="none"/>
            </w:rPr>
            <w:fldChar w:fldCharType="separate"/>
          </w:r>
          <w:r>
            <w:rPr>
              <w:rFonts w:ascii="宋体" w:hAnsi="宋体" w:eastAsia="宋体" w:cs="宋体"/>
              <w:color w:val="auto"/>
              <w:sz w:val="21"/>
              <w:szCs w:val="21"/>
              <w:highlight w:val="none"/>
            </w:rPr>
            <w:t>9</w:t>
          </w:r>
          <w:r>
            <w:rPr>
              <w:rFonts w:ascii="宋体" w:hAnsi="宋体" w:eastAsia="宋体" w:cs="宋体"/>
              <w:color w:val="auto"/>
              <w:sz w:val="21"/>
              <w:szCs w:val="21"/>
              <w:highlight w:val="none"/>
            </w:rPr>
            <w:fldChar w:fldCharType="end"/>
          </w:r>
        </w:p>
        <w:p w14:paraId="14452280">
          <w:pPr>
            <w:tabs>
              <w:tab w:val="right" w:leader="dot" w:pos="8317"/>
            </w:tabs>
            <w:spacing w:before="18" w:line="221" w:lineRule="auto"/>
            <w:ind w:left="4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投标人须知正文部分</w:t>
          </w:r>
          <w:r>
            <w:rPr>
              <w:rFonts w:ascii="宋体" w:hAnsi="宋体" w:eastAsia="宋体" w:cs="宋体"/>
              <w:color w:val="auto"/>
              <w:spacing w:val="-8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2"/>
              <w:sz w:val="21"/>
              <w:szCs w:val="21"/>
              <w:highlight w:val="none"/>
            </w:rPr>
            <w:t xml:space="preserve"> </w:t>
          </w:r>
          <w:r>
            <w:rPr>
              <w:color w:val="auto"/>
              <w:highlight w:val="none"/>
            </w:rPr>
            <w:fldChar w:fldCharType="begin"/>
          </w:r>
          <w:r>
            <w:rPr>
              <w:color w:val="auto"/>
              <w:highlight w:val="none"/>
            </w:rPr>
            <w:instrText xml:space="preserve"> HYPERLINK \l "bookmark24" </w:instrText>
          </w:r>
          <w:r>
            <w:rPr>
              <w:color w:val="auto"/>
              <w:highlight w:val="none"/>
            </w:rPr>
            <w:fldChar w:fldCharType="separate"/>
          </w:r>
          <w:r>
            <w:rPr>
              <w:rFonts w:ascii="宋体" w:hAnsi="宋体" w:eastAsia="宋体" w:cs="宋体"/>
              <w:color w:val="auto"/>
              <w:spacing w:val="-6"/>
              <w:sz w:val="21"/>
              <w:szCs w:val="21"/>
              <w:highlight w:val="none"/>
            </w:rPr>
            <w:t>16</w:t>
          </w:r>
          <w:r>
            <w:rPr>
              <w:rFonts w:ascii="宋体" w:hAnsi="宋体" w:eastAsia="宋体" w:cs="宋体"/>
              <w:color w:val="auto"/>
              <w:spacing w:val="-6"/>
              <w:sz w:val="21"/>
              <w:szCs w:val="21"/>
              <w:highlight w:val="none"/>
            </w:rPr>
            <w:fldChar w:fldCharType="end"/>
          </w:r>
        </w:p>
        <w:p w14:paraId="42BA5BD2">
          <w:pPr>
            <w:tabs>
              <w:tab w:val="right" w:leader="dot" w:pos="8317"/>
            </w:tabs>
            <w:spacing w:before="24" w:line="221" w:lineRule="auto"/>
            <w:ind w:left="456"/>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1.</w:t>
          </w:r>
          <w:r>
            <w:rPr>
              <w:rFonts w:ascii="宋体" w:hAnsi="宋体" w:eastAsia="宋体" w:cs="宋体"/>
              <w:color w:val="auto"/>
              <w:spacing w:val="15"/>
              <w:sz w:val="21"/>
              <w:szCs w:val="21"/>
              <w:highlight w:val="none"/>
            </w:rPr>
            <w:t xml:space="preserve"> </w:t>
          </w:r>
          <w:r>
            <w:rPr>
              <w:rFonts w:ascii="宋体" w:hAnsi="宋体" w:eastAsia="宋体" w:cs="宋体"/>
              <w:color w:val="auto"/>
              <w:spacing w:val="-9"/>
              <w:sz w:val="21"/>
              <w:szCs w:val="21"/>
              <w:highlight w:val="none"/>
            </w:rPr>
            <w:t>总则</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3"/>
              <w:sz w:val="21"/>
              <w:szCs w:val="21"/>
              <w:highlight w:val="none"/>
            </w:rPr>
            <w:t xml:space="preserve"> </w:t>
          </w:r>
          <w:r>
            <w:rPr>
              <w:color w:val="auto"/>
              <w:highlight w:val="none"/>
            </w:rPr>
            <w:fldChar w:fldCharType="begin"/>
          </w:r>
          <w:r>
            <w:rPr>
              <w:color w:val="auto"/>
              <w:highlight w:val="none"/>
            </w:rPr>
            <w:instrText xml:space="preserve"> HYPERLINK \l "bookmark25" </w:instrText>
          </w:r>
          <w:r>
            <w:rPr>
              <w:color w:val="auto"/>
              <w:highlight w:val="none"/>
            </w:rPr>
            <w:fldChar w:fldCharType="separate"/>
          </w:r>
          <w:r>
            <w:rPr>
              <w:rFonts w:ascii="宋体" w:hAnsi="宋体" w:eastAsia="宋体" w:cs="宋体"/>
              <w:color w:val="auto"/>
              <w:spacing w:val="-6"/>
              <w:sz w:val="21"/>
              <w:szCs w:val="21"/>
              <w:highlight w:val="none"/>
            </w:rPr>
            <w:t>16</w:t>
          </w:r>
          <w:r>
            <w:rPr>
              <w:rFonts w:ascii="宋体" w:hAnsi="宋体" w:eastAsia="宋体" w:cs="宋体"/>
              <w:color w:val="auto"/>
              <w:spacing w:val="-6"/>
              <w:sz w:val="21"/>
              <w:szCs w:val="21"/>
              <w:highlight w:val="none"/>
            </w:rPr>
            <w:fldChar w:fldCharType="end"/>
          </w:r>
        </w:p>
        <w:p w14:paraId="7AACF3E9">
          <w:pPr>
            <w:tabs>
              <w:tab w:val="right" w:leader="dot" w:pos="8317"/>
            </w:tabs>
            <w:spacing w:before="21" w:line="221" w:lineRule="auto"/>
            <w:ind w:left="874"/>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1.1</w:t>
          </w:r>
          <w:r>
            <w:rPr>
              <w:rFonts w:ascii="宋体" w:hAnsi="宋体" w:eastAsia="宋体" w:cs="宋体"/>
              <w:color w:val="auto"/>
              <w:spacing w:val="12"/>
              <w:sz w:val="21"/>
              <w:szCs w:val="21"/>
              <w:highlight w:val="none"/>
            </w:rPr>
            <w:t xml:space="preserve"> </w:t>
          </w:r>
          <w:r>
            <w:rPr>
              <w:rFonts w:ascii="宋体" w:hAnsi="宋体" w:eastAsia="宋体" w:cs="宋体"/>
              <w:color w:val="auto"/>
              <w:spacing w:val="-5"/>
              <w:sz w:val="21"/>
              <w:szCs w:val="21"/>
              <w:highlight w:val="none"/>
            </w:rPr>
            <w:t>项目概况</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2"/>
              <w:sz w:val="21"/>
              <w:szCs w:val="21"/>
              <w:highlight w:val="none"/>
            </w:rPr>
            <w:t xml:space="preserve"> </w:t>
          </w:r>
          <w:r>
            <w:rPr>
              <w:color w:val="auto"/>
              <w:highlight w:val="none"/>
            </w:rPr>
            <w:fldChar w:fldCharType="begin"/>
          </w:r>
          <w:r>
            <w:rPr>
              <w:color w:val="auto"/>
              <w:highlight w:val="none"/>
            </w:rPr>
            <w:instrText xml:space="preserve"> HYPERLINK \l "bookmark26" </w:instrText>
          </w:r>
          <w:r>
            <w:rPr>
              <w:color w:val="auto"/>
              <w:highlight w:val="none"/>
            </w:rPr>
            <w:fldChar w:fldCharType="separate"/>
          </w:r>
          <w:r>
            <w:rPr>
              <w:rFonts w:ascii="宋体" w:hAnsi="宋体" w:eastAsia="宋体" w:cs="宋体"/>
              <w:color w:val="auto"/>
              <w:spacing w:val="-6"/>
              <w:sz w:val="21"/>
              <w:szCs w:val="21"/>
              <w:highlight w:val="none"/>
            </w:rPr>
            <w:t>16</w:t>
          </w:r>
          <w:r>
            <w:rPr>
              <w:rFonts w:ascii="宋体" w:hAnsi="宋体" w:eastAsia="宋体" w:cs="宋体"/>
              <w:color w:val="auto"/>
              <w:spacing w:val="-6"/>
              <w:sz w:val="21"/>
              <w:szCs w:val="21"/>
              <w:highlight w:val="none"/>
            </w:rPr>
            <w:fldChar w:fldCharType="end"/>
          </w:r>
        </w:p>
        <w:p w14:paraId="4F8CC2BF">
          <w:pPr>
            <w:tabs>
              <w:tab w:val="right" w:leader="dot" w:pos="8317"/>
            </w:tabs>
            <w:spacing w:before="22" w:line="221" w:lineRule="auto"/>
            <w:ind w:left="87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1.2 资金来源和落实情况</w:t>
          </w:r>
          <w:r>
            <w:rPr>
              <w:rFonts w:ascii="宋体" w:hAnsi="宋体" w:eastAsia="宋体" w:cs="宋体"/>
              <w:color w:val="auto"/>
              <w:spacing w:val="-7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3"/>
              <w:sz w:val="21"/>
              <w:szCs w:val="21"/>
              <w:highlight w:val="none"/>
            </w:rPr>
            <w:t xml:space="preserve"> </w:t>
          </w:r>
          <w:r>
            <w:rPr>
              <w:color w:val="auto"/>
              <w:highlight w:val="none"/>
            </w:rPr>
            <w:fldChar w:fldCharType="begin"/>
          </w:r>
          <w:r>
            <w:rPr>
              <w:color w:val="auto"/>
              <w:highlight w:val="none"/>
            </w:rPr>
            <w:instrText xml:space="preserve"> HYPERLINK \l "bookmark27" </w:instrText>
          </w:r>
          <w:r>
            <w:rPr>
              <w:color w:val="auto"/>
              <w:highlight w:val="none"/>
            </w:rPr>
            <w:fldChar w:fldCharType="separate"/>
          </w:r>
          <w:r>
            <w:rPr>
              <w:rFonts w:ascii="宋体" w:hAnsi="宋体" w:eastAsia="宋体" w:cs="宋体"/>
              <w:color w:val="auto"/>
              <w:spacing w:val="-6"/>
              <w:sz w:val="21"/>
              <w:szCs w:val="21"/>
              <w:highlight w:val="none"/>
            </w:rPr>
            <w:t>16</w:t>
          </w:r>
          <w:r>
            <w:rPr>
              <w:rFonts w:ascii="宋体" w:hAnsi="宋体" w:eastAsia="宋体" w:cs="宋体"/>
              <w:color w:val="auto"/>
              <w:spacing w:val="-6"/>
              <w:sz w:val="21"/>
              <w:szCs w:val="21"/>
              <w:highlight w:val="none"/>
            </w:rPr>
            <w:fldChar w:fldCharType="end"/>
          </w:r>
        </w:p>
        <w:p w14:paraId="2CFCBB2B">
          <w:pPr>
            <w:tabs>
              <w:tab w:val="right" w:leader="dot" w:pos="8317"/>
            </w:tabs>
            <w:spacing w:before="18" w:line="221" w:lineRule="auto"/>
            <w:ind w:left="87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1.3 招标范围、计划工期和质量要求</w:t>
          </w:r>
          <w:r>
            <w:rPr>
              <w:rFonts w:ascii="宋体" w:hAnsi="宋体" w:eastAsia="宋体" w:cs="宋体"/>
              <w:color w:val="auto"/>
              <w:spacing w:val="-55"/>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4"/>
              <w:sz w:val="21"/>
              <w:szCs w:val="21"/>
              <w:highlight w:val="none"/>
            </w:rPr>
            <w:t xml:space="preserve"> </w:t>
          </w:r>
          <w:r>
            <w:rPr>
              <w:color w:val="auto"/>
              <w:highlight w:val="none"/>
            </w:rPr>
            <w:fldChar w:fldCharType="begin"/>
          </w:r>
          <w:r>
            <w:rPr>
              <w:color w:val="auto"/>
              <w:highlight w:val="none"/>
            </w:rPr>
            <w:instrText xml:space="preserve"> HYPERLINK \l "bookmark28" </w:instrText>
          </w:r>
          <w:r>
            <w:rPr>
              <w:color w:val="auto"/>
              <w:highlight w:val="none"/>
            </w:rPr>
            <w:fldChar w:fldCharType="separate"/>
          </w:r>
          <w:r>
            <w:rPr>
              <w:rFonts w:ascii="宋体" w:hAnsi="宋体" w:eastAsia="宋体" w:cs="宋体"/>
              <w:color w:val="auto"/>
              <w:spacing w:val="-6"/>
              <w:sz w:val="21"/>
              <w:szCs w:val="21"/>
              <w:highlight w:val="none"/>
            </w:rPr>
            <w:t>16</w:t>
          </w:r>
          <w:r>
            <w:rPr>
              <w:rFonts w:ascii="宋体" w:hAnsi="宋体" w:eastAsia="宋体" w:cs="宋体"/>
              <w:color w:val="auto"/>
              <w:spacing w:val="-6"/>
              <w:sz w:val="21"/>
              <w:szCs w:val="21"/>
              <w:highlight w:val="none"/>
            </w:rPr>
            <w:fldChar w:fldCharType="end"/>
          </w:r>
        </w:p>
        <w:p w14:paraId="691E9D0B">
          <w:pPr>
            <w:tabs>
              <w:tab w:val="right" w:leader="dot" w:pos="8317"/>
            </w:tabs>
            <w:spacing w:before="22" w:line="221" w:lineRule="auto"/>
            <w:ind w:left="87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1.4 投标人资格要求</w:t>
          </w:r>
          <w:r>
            <w:rPr>
              <w:rFonts w:ascii="宋体" w:hAnsi="宋体" w:eastAsia="宋体" w:cs="宋体"/>
              <w:color w:val="auto"/>
              <w:spacing w:val="-7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2"/>
              <w:sz w:val="21"/>
              <w:szCs w:val="21"/>
              <w:highlight w:val="none"/>
            </w:rPr>
            <w:t xml:space="preserve"> </w:t>
          </w:r>
          <w:r>
            <w:rPr>
              <w:color w:val="auto"/>
              <w:highlight w:val="none"/>
            </w:rPr>
            <w:fldChar w:fldCharType="begin"/>
          </w:r>
          <w:r>
            <w:rPr>
              <w:color w:val="auto"/>
              <w:highlight w:val="none"/>
            </w:rPr>
            <w:instrText xml:space="preserve"> HYPERLINK \l "bookmark29" </w:instrText>
          </w:r>
          <w:r>
            <w:rPr>
              <w:color w:val="auto"/>
              <w:highlight w:val="none"/>
            </w:rPr>
            <w:fldChar w:fldCharType="separate"/>
          </w:r>
          <w:r>
            <w:rPr>
              <w:rFonts w:ascii="宋体" w:hAnsi="宋体" w:eastAsia="宋体" w:cs="宋体"/>
              <w:color w:val="auto"/>
              <w:spacing w:val="-6"/>
              <w:sz w:val="21"/>
              <w:szCs w:val="21"/>
              <w:highlight w:val="none"/>
            </w:rPr>
            <w:t>16</w:t>
          </w:r>
          <w:r>
            <w:rPr>
              <w:rFonts w:ascii="宋体" w:hAnsi="宋体" w:eastAsia="宋体" w:cs="宋体"/>
              <w:color w:val="auto"/>
              <w:spacing w:val="-6"/>
              <w:sz w:val="21"/>
              <w:szCs w:val="21"/>
              <w:highlight w:val="none"/>
            </w:rPr>
            <w:fldChar w:fldCharType="end"/>
          </w:r>
        </w:p>
        <w:p w14:paraId="68B61CDE">
          <w:pPr>
            <w:tabs>
              <w:tab w:val="right" w:leader="dot" w:pos="8317"/>
            </w:tabs>
            <w:spacing w:before="22" w:line="221" w:lineRule="auto"/>
            <w:ind w:left="874"/>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1.5</w:t>
          </w:r>
          <w:r>
            <w:rPr>
              <w:rFonts w:ascii="宋体" w:hAnsi="宋体" w:eastAsia="宋体" w:cs="宋体"/>
              <w:color w:val="auto"/>
              <w:spacing w:val="20"/>
              <w:sz w:val="21"/>
              <w:szCs w:val="21"/>
              <w:highlight w:val="none"/>
            </w:rPr>
            <w:t xml:space="preserve"> </w:t>
          </w:r>
          <w:r>
            <w:rPr>
              <w:rFonts w:ascii="宋体" w:hAnsi="宋体" w:eastAsia="宋体" w:cs="宋体"/>
              <w:color w:val="auto"/>
              <w:spacing w:val="-6"/>
              <w:sz w:val="21"/>
              <w:szCs w:val="21"/>
              <w:highlight w:val="none"/>
            </w:rPr>
            <w:t>费用承担</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2"/>
              <w:sz w:val="21"/>
              <w:szCs w:val="21"/>
              <w:highlight w:val="none"/>
            </w:rPr>
            <w:t xml:space="preserve"> </w:t>
          </w:r>
          <w:r>
            <w:rPr>
              <w:color w:val="auto"/>
              <w:highlight w:val="none"/>
            </w:rPr>
            <w:fldChar w:fldCharType="begin"/>
          </w:r>
          <w:r>
            <w:rPr>
              <w:color w:val="auto"/>
              <w:highlight w:val="none"/>
            </w:rPr>
            <w:instrText xml:space="preserve"> HYPERLINK \l "bookmark30" </w:instrText>
          </w:r>
          <w:r>
            <w:rPr>
              <w:color w:val="auto"/>
              <w:highlight w:val="none"/>
            </w:rPr>
            <w:fldChar w:fldCharType="separate"/>
          </w:r>
          <w:r>
            <w:rPr>
              <w:rFonts w:ascii="宋体" w:hAnsi="宋体" w:eastAsia="宋体" w:cs="宋体"/>
              <w:color w:val="auto"/>
              <w:spacing w:val="-6"/>
              <w:sz w:val="21"/>
              <w:szCs w:val="21"/>
              <w:highlight w:val="none"/>
            </w:rPr>
            <w:t>17</w:t>
          </w:r>
          <w:r>
            <w:rPr>
              <w:rFonts w:ascii="宋体" w:hAnsi="宋体" w:eastAsia="宋体" w:cs="宋体"/>
              <w:color w:val="auto"/>
              <w:spacing w:val="-6"/>
              <w:sz w:val="21"/>
              <w:szCs w:val="21"/>
              <w:highlight w:val="none"/>
            </w:rPr>
            <w:fldChar w:fldCharType="end"/>
          </w:r>
        </w:p>
        <w:p w14:paraId="6817B21E">
          <w:pPr>
            <w:tabs>
              <w:tab w:val="right" w:leader="dot" w:pos="8317"/>
            </w:tabs>
            <w:spacing w:before="24" w:line="221" w:lineRule="auto"/>
            <w:ind w:left="874"/>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1.6</w:t>
          </w:r>
          <w:r>
            <w:rPr>
              <w:rFonts w:ascii="宋体" w:hAnsi="宋体" w:eastAsia="宋体" w:cs="宋体"/>
              <w:color w:val="auto"/>
              <w:spacing w:val="10"/>
              <w:sz w:val="21"/>
              <w:szCs w:val="21"/>
              <w:highlight w:val="none"/>
            </w:rPr>
            <w:t xml:space="preserve"> </w:t>
          </w:r>
          <w:r>
            <w:rPr>
              <w:rFonts w:ascii="宋体" w:hAnsi="宋体" w:eastAsia="宋体" w:cs="宋体"/>
              <w:color w:val="auto"/>
              <w:spacing w:val="-6"/>
              <w:sz w:val="21"/>
              <w:szCs w:val="21"/>
              <w:highlight w:val="none"/>
            </w:rPr>
            <w:t>保密</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2"/>
              <w:sz w:val="21"/>
              <w:szCs w:val="21"/>
              <w:highlight w:val="none"/>
            </w:rPr>
            <w:t xml:space="preserve"> </w:t>
          </w:r>
          <w:r>
            <w:rPr>
              <w:color w:val="auto"/>
              <w:highlight w:val="none"/>
            </w:rPr>
            <w:fldChar w:fldCharType="begin"/>
          </w:r>
          <w:r>
            <w:rPr>
              <w:color w:val="auto"/>
              <w:highlight w:val="none"/>
            </w:rPr>
            <w:instrText xml:space="preserve"> HYPERLINK \l "bookmark31" </w:instrText>
          </w:r>
          <w:r>
            <w:rPr>
              <w:color w:val="auto"/>
              <w:highlight w:val="none"/>
            </w:rPr>
            <w:fldChar w:fldCharType="separate"/>
          </w:r>
          <w:r>
            <w:rPr>
              <w:rFonts w:ascii="宋体" w:hAnsi="宋体" w:eastAsia="宋体" w:cs="宋体"/>
              <w:color w:val="auto"/>
              <w:spacing w:val="-6"/>
              <w:sz w:val="21"/>
              <w:szCs w:val="21"/>
              <w:highlight w:val="none"/>
            </w:rPr>
            <w:t>17</w:t>
          </w:r>
          <w:r>
            <w:rPr>
              <w:rFonts w:ascii="宋体" w:hAnsi="宋体" w:eastAsia="宋体" w:cs="宋体"/>
              <w:color w:val="auto"/>
              <w:spacing w:val="-6"/>
              <w:sz w:val="21"/>
              <w:szCs w:val="21"/>
              <w:highlight w:val="none"/>
            </w:rPr>
            <w:fldChar w:fldCharType="end"/>
          </w:r>
        </w:p>
        <w:p w14:paraId="722EB589">
          <w:pPr>
            <w:tabs>
              <w:tab w:val="right" w:leader="dot" w:pos="8317"/>
            </w:tabs>
            <w:spacing w:before="16" w:line="221" w:lineRule="auto"/>
            <w:ind w:left="874"/>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1.7</w:t>
          </w:r>
          <w:r>
            <w:rPr>
              <w:rFonts w:ascii="宋体" w:hAnsi="宋体" w:eastAsia="宋体" w:cs="宋体"/>
              <w:color w:val="auto"/>
              <w:spacing w:val="12"/>
              <w:sz w:val="21"/>
              <w:szCs w:val="21"/>
              <w:highlight w:val="none"/>
            </w:rPr>
            <w:t xml:space="preserve"> </w:t>
          </w:r>
          <w:r>
            <w:rPr>
              <w:rFonts w:ascii="宋体" w:hAnsi="宋体" w:eastAsia="宋体" w:cs="宋体"/>
              <w:color w:val="auto"/>
              <w:spacing w:val="-5"/>
              <w:sz w:val="21"/>
              <w:szCs w:val="21"/>
              <w:highlight w:val="none"/>
            </w:rPr>
            <w:t>语言文字</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2"/>
              <w:sz w:val="21"/>
              <w:szCs w:val="21"/>
              <w:highlight w:val="none"/>
            </w:rPr>
            <w:t xml:space="preserve"> </w:t>
          </w:r>
          <w:r>
            <w:rPr>
              <w:color w:val="auto"/>
              <w:highlight w:val="none"/>
            </w:rPr>
            <w:fldChar w:fldCharType="begin"/>
          </w:r>
          <w:r>
            <w:rPr>
              <w:color w:val="auto"/>
              <w:highlight w:val="none"/>
            </w:rPr>
            <w:instrText xml:space="preserve"> HYPERLINK \l "bookmark32" </w:instrText>
          </w:r>
          <w:r>
            <w:rPr>
              <w:color w:val="auto"/>
              <w:highlight w:val="none"/>
            </w:rPr>
            <w:fldChar w:fldCharType="separate"/>
          </w:r>
          <w:r>
            <w:rPr>
              <w:rFonts w:ascii="宋体" w:hAnsi="宋体" w:eastAsia="宋体" w:cs="宋体"/>
              <w:color w:val="auto"/>
              <w:spacing w:val="-6"/>
              <w:sz w:val="21"/>
              <w:szCs w:val="21"/>
              <w:highlight w:val="none"/>
            </w:rPr>
            <w:t>17</w:t>
          </w:r>
          <w:r>
            <w:rPr>
              <w:rFonts w:ascii="宋体" w:hAnsi="宋体" w:eastAsia="宋体" w:cs="宋体"/>
              <w:color w:val="auto"/>
              <w:spacing w:val="-6"/>
              <w:sz w:val="21"/>
              <w:szCs w:val="21"/>
              <w:highlight w:val="none"/>
            </w:rPr>
            <w:fldChar w:fldCharType="end"/>
          </w:r>
        </w:p>
        <w:p w14:paraId="76A97925">
          <w:pPr>
            <w:tabs>
              <w:tab w:val="right" w:leader="dot" w:pos="8317"/>
            </w:tabs>
            <w:spacing w:before="23" w:line="221" w:lineRule="auto"/>
            <w:ind w:left="874"/>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1.8</w:t>
          </w:r>
          <w:r>
            <w:rPr>
              <w:rFonts w:ascii="宋体" w:hAnsi="宋体" w:eastAsia="宋体" w:cs="宋体"/>
              <w:color w:val="auto"/>
              <w:spacing w:val="12"/>
              <w:sz w:val="21"/>
              <w:szCs w:val="21"/>
              <w:highlight w:val="none"/>
            </w:rPr>
            <w:t xml:space="preserve"> </w:t>
          </w:r>
          <w:r>
            <w:rPr>
              <w:rFonts w:ascii="宋体" w:hAnsi="宋体" w:eastAsia="宋体" w:cs="宋体"/>
              <w:color w:val="auto"/>
              <w:spacing w:val="-5"/>
              <w:sz w:val="21"/>
              <w:szCs w:val="21"/>
              <w:highlight w:val="none"/>
            </w:rPr>
            <w:t>计量单位</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2"/>
              <w:sz w:val="21"/>
              <w:szCs w:val="21"/>
              <w:highlight w:val="none"/>
            </w:rPr>
            <w:t xml:space="preserve"> </w:t>
          </w:r>
          <w:r>
            <w:rPr>
              <w:color w:val="auto"/>
              <w:highlight w:val="none"/>
            </w:rPr>
            <w:fldChar w:fldCharType="begin"/>
          </w:r>
          <w:r>
            <w:rPr>
              <w:color w:val="auto"/>
              <w:highlight w:val="none"/>
            </w:rPr>
            <w:instrText xml:space="preserve"> HYPERLINK \l "bookmark33" </w:instrText>
          </w:r>
          <w:r>
            <w:rPr>
              <w:color w:val="auto"/>
              <w:highlight w:val="none"/>
            </w:rPr>
            <w:fldChar w:fldCharType="separate"/>
          </w:r>
          <w:r>
            <w:rPr>
              <w:rFonts w:ascii="宋体" w:hAnsi="宋体" w:eastAsia="宋体" w:cs="宋体"/>
              <w:color w:val="auto"/>
              <w:spacing w:val="-6"/>
              <w:sz w:val="21"/>
              <w:szCs w:val="21"/>
              <w:highlight w:val="none"/>
            </w:rPr>
            <w:t>17</w:t>
          </w:r>
          <w:r>
            <w:rPr>
              <w:rFonts w:ascii="宋体" w:hAnsi="宋体" w:eastAsia="宋体" w:cs="宋体"/>
              <w:color w:val="auto"/>
              <w:spacing w:val="-6"/>
              <w:sz w:val="21"/>
              <w:szCs w:val="21"/>
              <w:highlight w:val="none"/>
            </w:rPr>
            <w:fldChar w:fldCharType="end"/>
          </w:r>
        </w:p>
        <w:p w14:paraId="0102FAD0">
          <w:pPr>
            <w:tabs>
              <w:tab w:val="right" w:leader="dot" w:pos="8317"/>
            </w:tabs>
            <w:spacing w:before="22" w:line="221" w:lineRule="auto"/>
            <w:ind w:left="874"/>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1.9</w:t>
          </w:r>
          <w:r>
            <w:rPr>
              <w:rFonts w:ascii="宋体" w:hAnsi="宋体" w:eastAsia="宋体" w:cs="宋体"/>
              <w:color w:val="auto"/>
              <w:spacing w:val="12"/>
              <w:sz w:val="21"/>
              <w:szCs w:val="21"/>
              <w:highlight w:val="none"/>
            </w:rPr>
            <w:t xml:space="preserve"> </w:t>
          </w:r>
          <w:r>
            <w:rPr>
              <w:rFonts w:ascii="宋体" w:hAnsi="宋体" w:eastAsia="宋体" w:cs="宋体"/>
              <w:color w:val="auto"/>
              <w:spacing w:val="-5"/>
              <w:sz w:val="21"/>
              <w:szCs w:val="21"/>
              <w:highlight w:val="none"/>
            </w:rPr>
            <w:t>踏勘现场</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2"/>
              <w:sz w:val="21"/>
              <w:szCs w:val="21"/>
              <w:highlight w:val="none"/>
            </w:rPr>
            <w:t xml:space="preserve"> </w:t>
          </w:r>
          <w:r>
            <w:rPr>
              <w:color w:val="auto"/>
              <w:highlight w:val="none"/>
            </w:rPr>
            <w:fldChar w:fldCharType="begin"/>
          </w:r>
          <w:r>
            <w:rPr>
              <w:color w:val="auto"/>
              <w:highlight w:val="none"/>
            </w:rPr>
            <w:instrText xml:space="preserve"> HYPERLINK \l "bookmark34" </w:instrText>
          </w:r>
          <w:r>
            <w:rPr>
              <w:color w:val="auto"/>
              <w:highlight w:val="none"/>
            </w:rPr>
            <w:fldChar w:fldCharType="separate"/>
          </w:r>
          <w:r>
            <w:rPr>
              <w:rFonts w:ascii="宋体" w:hAnsi="宋体" w:eastAsia="宋体" w:cs="宋体"/>
              <w:color w:val="auto"/>
              <w:spacing w:val="-6"/>
              <w:sz w:val="21"/>
              <w:szCs w:val="21"/>
              <w:highlight w:val="none"/>
            </w:rPr>
            <w:t>17</w:t>
          </w:r>
          <w:r>
            <w:rPr>
              <w:rFonts w:ascii="宋体" w:hAnsi="宋体" w:eastAsia="宋体" w:cs="宋体"/>
              <w:color w:val="auto"/>
              <w:spacing w:val="-6"/>
              <w:sz w:val="21"/>
              <w:szCs w:val="21"/>
              <w:highlight w:val="none"/>
            </w:rPr>
            <w:fldChar w:fldCharType="end"/>
          </w:r>
        </w:p>
        <w:p w14:paraId="6ED9B0AE">
          <w:pPr>
            <w:tabs>
              <w:tab w:val="right" w:leader="dot" w:pos="8317"/>
            </w:tabs>
            <w:spacing w:before="22" w:line="220" w:lineRule="auto"/>
            <w:ind w:left="87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1.10 投标预备会</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2"/>
              <w:sz w:val="21"/>
              <w:szCs w:val="21"/>
              <w:highlight w:val="none"/>
            </w:rPr>
            <w:t xml:space="preserve"> </w:t>
          </w:r>
          <w:r>
            <w:rPr>
              <w:color w:val="auto"/>
              <w:highlight w:val="none"/>
            </w:rPr>
            <w:fldChar w:fldCharType="begin"/>
          </w:r>
          <w:r>
            <w:rPr>
              <w:color w:val="auto"/>
              <w:highlight w:val="none"/>
            </w:rPr>
            <w:instrText xml:space="preserve"> HYPERLINK \l "bookmark35" </w:instrText>
          </w:r>
          <w:r>
            <w:rPr>
              <w:color w:val="auto"/>
              <w:highlight w:val="none"/>
            </w:rPr>
            <w:fldChar w:fldCharType="separate"/>
          </w:r>
          <w:r>
            <w:rPr>
              <w:rFonts w:ascii="宋体" w:hAnsi="宋体" w:eastAsia="宋体" w:cs="宋体"/>
              <w:color w:val="auto"/>
              <w:spacing w:val="-6"/>
              <w:sz w:val="21"/>
              <w:szCs w:val="21"/>
              <w:highlight w:val="none"/>
            </w:rPr>
            <w:t>18</w:t>
          </w:r>
          <w:r>
            <w:rPr>
              <w:rFonts w:ascii="宋体" w:hAnsi="宋体" w:eastAsia="宋体" w:cs="宋体"/>
              <w:color w:val="auto"/>
              <w:spacing w:val="-6"/>
              <w:sz w:val="21"/>
              <w:szCs w:val="21"/>
              <w:highlight w:val="none"/>
            </w:rPr>
            <w:fldChar w:fldCharType="end"/>
          </w:r>
        </w:p>
        <w:p w14:paraId="461B195C">
          <w:pPr>
            <w:tabs>
              <w:tab w:val="right" w:leader="dot" w:pos="8317"/>
            </w:tabs>
            <w:spacing w:before="19" w:line="221" w:lineRule="auto"/>
            <w:ind w:left="874"/>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1.11</w:t>
          </w:r>
          <w:r>
            <w:rPr>
              <w:rFonts w:ascii="宋体" w:hAnsi="宋体" w:eastAsia="宋体" w:cs="宋体"/>
              <w:color w:val="auto"/>
              <w:spacing w:val="11"/>
              <w:sz w:val="21"/>
              <w:szCs w:val="21"/>
              <w:highlight w:val="none"/>
            </w:rPr>
            <w:t xml:space="preserve"> </w:t>
          </w:r>
          <w:r>
            <w:rPr>
              <w:rFonts w:ascii="宋体" w:hAnsi="宋体" w:eastAsia="宋体" w:cs="宋体"/>
              <w:color w:val="auto"/>
              <w:spacing w:val="-5"/>
              <w:sz w:val="21"/>
              <w:szCs w:val="21"/>
              <w:highlight w:val="none"/>
            </w:rPr>
            <w:t>分包</w:t>
          </w:r>
          <w:r>
            <w:rPr>
              <w:rFonts w:ascii="宋体" w:hAnsi="宋体" w:eastAsia="宋体" w:cs="宋体"/>
              <w:color w:val="auto"/>
              <w:spacing w:val="-8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2"/>
              <w:sz w:val="21"/>
              <w:szCs w:val="21"/>
              <w:highlight w:val="none"/>
            </w:rPr>
            <w:t xml:space="preserve"> </w:t>
          </w:r>
          <w:r>
            <w:rPr>
              <w:color w:val="auto"/>
              <w:highlight w:val="none"/>
            </w:rPr>
            <w:fldChar w:fldCharType="begin"/>
          </w:r>
          <w:r>
            <w:rPr>
              <w:color w:val="auto"/>
              <w:highlight w:val="none"/>
            </w:rPr>
            <w:instrText xml:space="preserve"> HYPERLINK \l "bookmark36" </w:instrText>
          </w:r>
          <w:r>
            <w:rPr>
              <w:color w:val="auto"/>
              <w:highlight w:val="none"/>
            </w:rPr>
            <w:fldChar w:fldCharType="separate"/>
          </w:r>
          <w:r>
            <w:rPr>
              <w:rFonts w:ascii="宋体" w:hAnsi="宋体" w:eastAsia="宋体" w:cs="宋体"/>
              <w:color w:val="auto"/>
              <w:spacing w:val="-6"/>
              <w:sz w:val="21"/>
              <w:szCs w:val="21"/>
              <w:highlight w:val="none"/>
            </w:rPr>
            <w:t>18</w:t>
          </w:r>
          <w:r>
            <w:rPr>
              <w:rFonts w:ascii="宋体" w:hAnsi="宋体" w:eastAsia="宋体" w:cs="宋体"/>
              <w:color w:val="auto"/>
              <w:spacing w:val="-6"/>
              <w:sz w:val="21"/>
              <w:szCs w:val="21"/>
              <w:highlight w:val="none"/>
            </w:rPr>
            <w:fldChar w:fldCharType="end"/>
          </w:r>
        </w:p>
        <w:p w14:paraId="44E2A3DD">
          <w:pPr>
            <w:tabs>
              <w:tab w:val="right" w:leader="dot" w:pos="8317"/>
            </w:tabs>
            <w:spacing w:before="22" w:line="221" w:lineRule="auto"/>
            <w:ind w:left="874"/>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1.12</w:t>
          </w:r>
          <w:r>
            <w:rPr>
              <w:rFonts w:ascii="宋体" w:hAnsi="宋体" w:eastAsia="宋体" w:cs="宋体"/>
              <w:color w:val="auto"/>
              <w:spacing w:val="10"/>
              <w:sz w:val="21"/>
              <w:szCs w:val="21"/>
              <w:highlight w:val="none"/>
            </w:rPr>
            <w:t xml:space="preserve"> </w:t>
          </w:r>
          <w:r>
            <w:rPr>
              <w:rFonts w:ascii="宋体" w:hAnsi="宋体" w:eastAsia="宋体" w:cs="宋体"/>
              <w:color w:val="auto"/>
              <w:spacing w:val="-5"/>
              <w:sz w:val="21"/>
              <w:szCs w:val="21"/>
              <w:highlight w:val="none"/>
            </w:rPr>
            <w:t>偏离</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2"/>
              <w:sz w:val="21"/>
              <w:szCs w:val="21"/>
              <w:highlight w:val="none"/>
            </w:rPr>
            <w:t xml:space="preserve"> </w:t>
          </w:r>
          <w:r>
            <w:rPr>
              <w:color w:val="auto"/>
              <w:highlight w:val="none"/>
            </w:rPr>
            <w:fldChar w:fldCharType="begin"/>
          </w:r>
          <w:r>
            <w:rPr>
              <w:color w:val="auto"/>
              <w:highlight w:val="none"/>
            </w:rPr>
            <w:instrText xml:space="preserve"> HYPERLINK \l "bookmark37" </w:instrText>
          </w:r>
          <w:r>
            <w:rPr>
              <w:color w:val="auto"/>
              <w:highlight w:val="none"/>
            </w:rPr>
            <w:fldChar w:fldCharType="separate"/>
          </w:r>
          <w:r>
            <w:rPr>
              <w:rFonts w:ascii="宋体" w:hAnsi="宋体" w:eastAsia="宋体" w:cs="宋体"/>
              <w:color w:val="auto"/>
              <w:spacing w:val="-6"/>
              <w:sz w:val="21"/>
              <w:szCs w:val="21"/>
              <w:highlight w:val="none"/>
            </w:rPr>
            <w:t>18</w:t>
          </w:r>
          <w:r>
            <w:rPr>
              <w:rFonts w:ascii="宋体" w:hAnsi="宋体" w:eastAsia="宋体" w:cs="宋体"/>
              <w:color w:val="auto"/>
              <w:spacing w:val="-6"/>
              <w:sz w:val="21"/>
              <w:szCs w:val="21"/>
              <w:highlight w:val="none"/>
            </w:rPr>
            <w:fldChar w:fldCharType="end"/>
          </w:r>
        </w:p>
        <w:p w14:paraId="33BE4007">
          <w:pPr>
            <w:tabs>
              <w:tab w:val="right" w:leader="dot" w:pos="8317"/>
            </w:tabs>
            <w:spacing w:before="22" w:line="221" w:lineRule="auto"/>
            <w:ind w:left="44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2.</w:t>
          </w:r>
          <w:r>
            <w:rPr>
              <w:rFonts w:ascii="宋体" w:hAnsi="宋体" w:eastAsia="宋体" w:cs="宋体"/>
              <w:color w:val="auto"/>
              <w:spacing w:val="12"/>
              <w:sz w:val="21"/>
              <w:szCs w:val="21"/>
              <w:highlight w:val="none"/>
            </w:rPr>
            <w:t xml:space="preserve"> </w:t>
          </w:r>
          <w:r>
            <w:rPr>
              <w:rFonts w:ascii="宋体" w:hAnsi="宋体" w:eastAsia="宋体" w:cs="宋体"/>
              <w:color w:val="auto"/>
              <w:spacing w:val="-3"/>
              <w:sz w:val="21"/>
              <w:szCs w:val="21"/>
              <w:highlight w:val="none"/>
            </w:rPr>
            <w:t>招标文件</w:t>
          </w:r>
          <w:r>
            <w:rPr>
              <w:rFonts w:ascii="宋体" w:hAnsi="宋体" w:eastAsia="宋体" w:cs="宋体"/>
              <w:color w:val="auto"/>
              <w:spacing w:val="-9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2"/>
              <w:sz w:val="21"/>
              <w:szCs w:val="21"/>
              <w:highlight w:val="none"/>
            </w:rPr>
            <w:t xml:space="preserve"> </w:t>
          </w:r>
          <w:r>
            <w:rPr>
              <w:color w:val="auto"/>
              <w:highlight w:val="none"/>
            </w:rPr>
            <w:fldChar w:fldCharType="begin"/>
          </w:r>
          <w:r>
            <w:rPr>
              <w:color w:val="auto"/>
              <w:highlight w:val="none"/>
            </w:rPr>
            <w:instrText xml:space="preserve"> HYPERLINK \l "bookmark38" </w:instrText>
          </w:r>
          <w:r>
            <w:rPr>
              <w:color w:val="auto"/>
              <w:highlight w:val="none"/>
            </w:rPr>
            <w:fldChar w:fldCharType="separate"/>
          </w:r>
          <w:r>
            <w:rPr>
              <w:rFonts w:ascii="宋体" w:hAnsi="宋体" w:eastAsia="宋体" w:cs="宋体"/>
              <w:color w:val="auto"/>
              <w:spacing w:val="-6"/>
              <w:sz w:val="21"/>
              <w:szCs w:val="21"/>
              <w:highlight w:val="none"/>
            </w:rPr>
            <w:t>18</w:t>
          </w:r>
          <w:r>
            <w:rPr>
              <w:rFonts w:ascii="宋体" w:hAnsi="宋体" w:eastAsia="宋体" w:cs="宋体"/>
              <w:color w:val="auto"/>
              <w:spacing w:val="-6"/>
              <w:sz w:val="21"/>
              <w:szCs w:val="21"/>
              <w:highlight w:val="none"/>
            </w:rPr>
            <w:fldChar w:fldCharType="end"/>
          </w:r>
        </w:p>
        <w:p w14:paraId="2B6EB9E7">
          <w:pPr>
            <w:tabs>
              <w:tab w:val="right" w:leader="dot" w:pos="8317"/>
            </w:tabs>
            <w:spacing w:before="23" w:line="221" w:lineRule="auto"/>
            <w:ind w:left="86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2.1 招标文件的组成</w:t>
          </w:r>
          <w:r>
            <w:rPr>
              <w:rFonts w:ascii="宋体" w:hAnsi="宋体" w:eastAsia="宋体" w:cs="宋体"/>
              <w:color w:val="auto"/>
              <w:spacing w:val="-7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2"/>
              <w:sz w:val="21"/>
              <w:szCs w:val="21"/>
              <w:highlight w:val="none"/>
            </w:rPr>
            <w:t xml:space="preserve"> </w:t>
          </w:r>
          <w:r>
            <w:rPr>
              <w:color w:val="auto"/>
              <w:highlight w:val="none"/>
            </w:rPr>
            <w:fldChar w:fldCharType="begin"/>
          </w:r>
          <w:r>
            <w:rPr>
              <w:color w:val="auto"/>
              <w:highlight w:val="none"/>
            </w:rPr>
            <w:instrText xml:space="preserve"> HYPERLINK \l "bookmark39" </w:instrText>
          </w:r>
          <w:r>
            <w:rPr>
              <w:color w:val="auto"/>
              <w:highlight w:val="none"/>
            </w:rPr>
            <w:fldChar w:fldCharType="separate"/>
          </w:r>
          <w:r>
            <w:rPr>
              <w:rFonts w:ascii="宋体" w:hAnsi="宋体" w:eastAsia="宋体" w:cs="宋体"/>
              <w:color w:val="auto"/>
              <w:spacing w:val="-6"/>
              <w:sz w:val="21"/>
              <w:szCs w:val="21"/>
              <w:highlight w:val="none"/>
            </w:rPr>
            <w:t>18</w:t>
          </w:r>
          <w:r>
            <w:rPr>
              <w:rFonts w:ascii="宋体" w:hAnsi="宋体" w:eastAsia="宋体" w:cs="宋体"/>
              <w:color w:val="auto"/>
              <w:spacing w:val="-6"/>
              <w:sz w:val="21"/>
              <w:szCs w:val="21"/>
              <w:highlight w:val="none"/>
            </w:rPr>
            <w:fldChar w:fldCharType="end"/>
          </w:r>
        </w:p>
        <w:p w14:paraId="5E1C40BB">
          <w:pPr>
            <w:tabs>
              <w:tab w:val="right" w:leader="dot" w:pos="8317"/>
            </w:tabs>
            <w:spacing w:before="17" w:line="221" w:lineRule="auto"/>
            <w:ind w:left="86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2.2 招标文件的澄清</w:t>
          </w:r>
          <w:r>
            <w:rPr>
              <w:rFonts w:ascii="宋体" w:hAnsi="宋体" w:eastAsia="宋体" w:cs="宋体"/>
              <w:color w:val="auto"/>
              <w:spacing w:val="-7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2"/>
              <w:sz w:val="21"/>
              <w:szCs w:val="21"/>
              <w:highlight w:val="none"/>
            </w:rPr>
            <w:t xml:space="preserve"> </w:t>
          </w:r>
          <w:r>
            <w:rPr>
              <w:color w:val="auto"/>
              <w:highlight w:val="none"/>
            </w:rPr>
            <w:fldChar w:fldCharType="begin"/>
          </w:r>
          <w:r>
            <w:rPr>
              <w:color w:val="auto"/>
              <w:highlight w:val="none"/>
            </w:rPr>
            <w:instrText xml:space="preserve"> HYPERLINK \l "bookmark40" </w:instrText>
          </w:r>
          <w:r>
            <w:rPr>
              <w:color w:val="auto"/>
              <w:highlight w:val="none"/>
            </w:rPr>
            <w:fldChar w:fldCharType="separate"/>
          </w:r>
          <w:r>
            <w:rPr>
              <w:rFonts w:ascii="宋体" w:hAnsi="宋体" w:eastAsia="宋体" w:cs="宋体"/>
              <w:color w:val="auto"/>
              <w:spacing w:val="-6"/>
              <w:sz w:val="21"/>
              <w:szCs w:val="21"/>
              <w:highlight w:val="none"/>
            </w:rPr>
            <w:t>18</w:t>
          </w:r>
          <w:r>
            <w:rPr>
              <w:rFonts w:ascii="宋体" w:hAnsi="宋体" w:eastAsia="宋体" w:cs="宋体"/>
              <w:color w:val="auto"/>
              <w:spacing w:val="-6"/>
              <w:sz w:val="21"/>
              <w:szCs w:val="21"/>
              <w:highlight w:val="none"/>
            </w:rPr>
            <w:fldChar w:fldCharType="end"/>
          </w:r>
        </w:p>
        <w:p w14:paraId="18D45E69">
          <w:pPr>
            <w:tabs>
              <w:tab w:val="right" w:leader="dot" w:pos="8317"/>
            </w:tabs>
            <w:spacing w:before="22" w:line="221" w:lineRule="auto"/>
            <w:ind w:left="86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2.3 招标文件的修改</w:t>
          </w:r>
          <w:r>
            <w:rPr>
              <w:rFonts w:ascii="宋体" w:hAnsi="宋体" w:eastAsia="宋体" w:cs="宋体"/>
              <w:color w:val="auto"/>
              <w:spacing w:val="-7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2"/>
              <w:sz w:val="21"/>
              <w:szCs w:val="21"/>
              <w:highlight w:val="none"/>
            </w:rPr>
            <w:t xml:space="preserve"> </w:t>
          </w:r>
          <w:r>
            <w:rPr>
              <w:color w:val="auto"/>
              <w:highlight w:val="none"/>
            </w:rPr>
            <w:fldChar w:fldCharType="begin"/>
          </w:r>
          <w:r>
            <w:rPr>
              <w:color w:val="auto"/>
              <w:highlight w:val="none"/>
            </w:rPr>
            <w:instrText xml:space="preserve"> HYPERLINK \l "bookmark41" </w:instrText>
          </w:r>
          <w:r>
            <w:rPr>
              <w:color w:val="auto"/>
              <w:highlight w:val="none"/>
            </w:rPr>
            <w:fldChar w:fldCharType="separate"/>
          </w:r>
          <w:r>
            <w:rPr>
              <w:rFonts w:ascii="宋体" w:hAnsi="宋体" w:eastAsia="宋体" w:cs="宋体"/>
              <w:color w:val="auto"/>
              <w:spacing w:val="-6"/>
              <w:sz w:val="21"/>
              <w:szCs w:val="21"/>
              <w:highlight w:val="none"/>
            </w:rPr>
            <w:t>19</w:t>
          </w:r>
          <w:r>
            <w:rPr>
              <w:rFonts w:ascii="宋体" w:hAnsi="宋体" w:eastAsia="宋体" w:cs="宋体"/>
              <w:color w:val="auto"/>
              <w:spacing w:val="-6"/>
              <w:sz w:val="21"/>
              <w:szCs w:val="21"/>
              <w:highlight w:val="none"/>
            </w:rPr>
            <w:fldChar w:fldCharType="end"/>
          </w:r>
        </w:p>
        <w:p w14:paraId="05494A21">
          <w:pPr>
            <w:tabs>
              <w:tab w:val="right" w:leader="dot" w:pos="8317"/>
            </w:tabs>
            <w:spacing w:before="22" w:line="221" w:lineRule="auto"/>
            <w:ind w:left="86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2.4 招标文件的异议</w:t>
          </w:r>
          <w:r>
            <w:rPr>
              <w:rFonts w:ascii="宋体" w:hAnsi="宋体" w:eastAsia="宋体" w:cs="宋体"/>
              <w:color w:val="auto"/>
              <w:spacing w:val="-7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2"/>
              <w:sz w:val="21"/>
              <w:szCs w:val="21"/>
              <w:highlight w:val="none"/>
            </w:rPr>
            <w:t xml:space="preserve"> </w:t>
          </w:r>
          <w:r>
            <w:rPr>
              <w:color w:val="auto"/>
              <w:highlight w:val="none"/>
            </w:rPr>
            <w:fldChar w:fldCharType="begin"/>
          </w:r>
          <w:r>
            <w:rPr>
              <w:color w:val="auto"/>
              <w:highlight w:val="none"/>
            </w:rPr>
            <w:instrText xml:space="preserve"> HYPERLINK \l "bookmark42" </w:instrText>
          </w:r>
          <w:r>
            <w:rPr>
              <w:color w:val="auto"/>
              <w:highlight w:val="none"/>
            </w:rPr>
            <w:fldChar w:fldCharType="separate"/>
          </w:r>
          <w:r>
            <w:rPr>
              <w:rFonts w:ascii="宋体" w:hAnsi="宋体" w:eastAsia="宋体" w:cs="宋体"/>
              <w:color w:val="auto"/>
              <w:spacing w:val="-6"/>
              <w:sz w:val="21"/>
              <w:szCs w:val="21"/>
              <w:highlight w:val="none"/>
            </w:rPr>
            <w:t>19</w:t>
          </w:r>
          <w:r>
            <w:rPr>
              <w:rFonts w:ascii="宋体" w:hAnsi="宋体" w:eastAsia="宋体" w:cs="宋体"/>
              <w:color w:val="auto"/>
              <w:spacing w:val="-6"/>
              <w:sz w:val="21"/>
              <w:szCs w:val="21"/>
              <w:highlight w:val="none"/>
            </w:rPr>
            <w:fldChar w:fldCharType="end"/>
          </w:r>
        </w:p>
        <w:p w14:paraId="24244026">
          <w:pPr>
            <w:tabs>
              <w:tab w:val="right" w:leader="dot" w:pos="8317"/>
            </w:tabs>
            <w:spacing w:before="18" w:line="221" w:lineRule="auto"/>
            <w:ind w:left="44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3.</w:t>
          </w:r>
          <w:r>
            <w:rPr>
              <w:rFonts w:ascii="宋体" w:hAnsi="宋体" w:eastAsia="宋体" w:cs="宋体"/>
              <w:color w:val="auto"/>
              <w:spacing w:val="11"/>
              <w:sz w:val="21"/>
              <w:szCs w:val="21"/>
              <w:highlight w:val="none"/>
            </w:rPr>
            <w:t xml:space="preserve"> </w:t>
          </w:r>
          <w:r>
            <w:rPr>
              <w:rFonts w:ascii="宋体" w:hAnsi="宋体" w:eastAsia="宋体" w:cs="宋体"/>
              <w:color w:val="auto"/>
              <w:spacing w:val="-3"/>
              <w:sz w:val="21"/>
              <w:szCs w:val="21"/>
              <w:highlight w:val="none"/>
            </w:rPr>
            <w:t>投标文件</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2"/>
              <w:sz w:val="21"/>
              <w:szCs w:val="21"/>
              <w:highlight w:val="none"/>
            </w:rPr>
            <w:t xml:space="preserve"> </w:t>
          </w:r>
          <w:r>
            <w:rPr>
              <w:color w:val="auto"/>
              <w:highlight w:val="none"/>
            </w:rPr>
            <w:fldChar w:fldCharType="begin"/>
          </w:r>
          <w:r>
            <w:rPr>
              <w:color w:val="auto"/>
              <w:highlight w:val="none"/>
            </w:rPr>
            <w:instrText xml:space="preserve"> HYPERLINK \l "bookmark43" </w:instrText>
          </w:r>
          <w:r>
            <w:rPr>
              <w:color w:val="auto"/>
              <w:highlight w:val="none"/>
            </w:rPr>
            <w:fldChar w:fldCharType="separate"/>
          </w:r>
          <w:r>
            <w:rPr>
              <w:rFonts w:ascii="宋体" w:hAnsi="宋体" w:eastAsia="宋体" w:cs="宋体"/>
              <w:color w:val="auto"/>
              <w:spacing w:val="-6"/>
              <w:sz w:val="21"/>
              <w:szCs w:val="21"/>
              <w:highlight w:val="none"/>
            </w:rPr>
            <w:t>19</w:t>
          </w:r>
          <w:r>
            <w:rPr>
              <w:rFonts w:ascii="宋体" w:hAnsi="宋体" w:eastAsia="宋体" w:cs="宋体"/>
              <w:color w:val="auto"/>
              <w:spacing w:val="-6"/>
              <w:sz w:val="21"/>
              <w:szCs w:val="21"/>
              <w:highlight w:val="none"/>
            </w:rPr>
            <w:fldChar w:fldCharType="end"/>
          </w:r>
        </w:p>
        <w:p w14:paraId="77F47609">
          <w:pPr>
            <w:tabs>
              <w:tab w:val="right" w:leader="dot" w:pos="8317"/>
            </w:tabs>
            <w:spacing w:before="22" w:line="221" w:lineRule="auto"/>
            <w:ind w:left="86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3.1 投标文件的组成</w:t>
          </w:r>
          <w:r>
            <w:rPr>
              <w:rFonts w:ascii="宋体" w:hAnsi="宋体" w:eastAsia="宋体" w:cs="宋体"/>
              <w:color w:val="auto"/>
              <w:spacing w:val="-7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2"/>
              <w:sz w:val="21"/>
              <w:szCs w:val="21"/>
              <w:highlight w:val="none"/>
            </w:rPr>
            <w:t xml:space="preserve"> </w:t>
          </w:r>
          <w:r>
            <w:rPr>
              <w:color w:val="auto"/>
              <w:highlight w:val="none"/>
            </w:rPr>
            <w:fldChar w:fldCharType="begin"/>
          </w:r>
          <w:r>
            <w:rPr>
              <w:color w:val="auto"/>
              <w:highlight w:val="none"/>
            </w:rPr>
            <w:instrText xml:space="preserve"> HYPERLINK \l "bookmark44" </w:instrText>
          </w:r>
          <w:r>
            <w:rPr>
              <w:color w:val="auto"/>
              <w:highlight w:val="none"/>
            </w:rPr>
            <w:fldChar w:fldCharType="separate"/>
          </w:r>
          <w:r>
            <w:rPr>
              <w:rFonts w:ascii="宋体" w:hAnsi="宋体" w:eastAsia="宋体" w:cs="宋体"/>
              <w:color w:val="auto"/>
              <w:spacing w:val="-6"/>
              <w:sz w:val="21"/>
              <w:szCs w:val="21"/>
              <w:highlight w:val="none"/>
            </w:rPr>
            <w:t>19</w:t>
          </w:r>
          <w:r>
            <w:rPr>
              <w:rFonts w:ascii="宋体" w:hAnsi="宋体" w:eastAsia="宋体" w:cs="宋体"/>
              <w:color w:val="auto"/>
              <w:spacing w:val="-6"/>
              <w:sz w:val="21"/>
              <w:szCs w:val="21"/>
              <w:highlight w:val="none"/>
            </w:rPr>
            <w:fldChar w:fldCharType="end"/>
          </w:r>
        </w:p>
      </w:sdtContent>
    </w:sdt>
    <w:p w14:paraId="5E99786C">
      <w:pPr>
        <w:spacing w:line="221" w:lineRule="auto"/>
        <w:rPr>
          <w:rFonts w:ascii="宋体" w:hAnsi="宋体" w:eastAsia="宋体" w:cs="宋体"/>
          <w:color w:val="auto"/>
          <w:sz w:val="21"/>
          <w:szCs w:val="21"/>
          <w:highlight w:val="none"/>
        </w:rPr>
        <w:sectPr>
          <w:footerReference r:id="rId6" w:type="default"/>
          <w:pgSz w:w="11905" w:h="16839"/>
          <w:pgMar w:top="1409" w:right="1785" w:bottom="1033" w:left="1785" w:header="0" w:footer="847" w:gutter="0"/>
          <w:pgNumType w:fmt="decimal"/>
          <w:cols w:space="720" w:num="1"/>
        </w:sectPr>
      </w:pPr>
    </w:p>
    <w:sdt>
      <w:sdtPr>
        <w:rPr>
          <w:rFonts w:ascii="宋体" w:hAnsi="宋体" w:eastAsia="宋体" w:cs="宋体"/>
          <w:color w:val="auto"/>
          <w:sz w:val="21"/>
          <w:szCs w:val="21"/>
          <w:highlight w:val="none"/>
        </w:rPr>
        <w:id w:val="2"/>
        <w:docPartObj>
          <w:docPartGallery w:val="Table of Contents"/>
          <w:docPartUnique/>
        </w:docPartObj>
      </w:sdtPr>
      <w:sdtEndPr>
        <w:rPr>
          <w:rFonts w:ascii="宋体" w:hAnsi="宋体" w:eastAsia="宋体" w:cs="宋体"/>
          <w:color w:val="auto"/>
          <w:sz w:val="21"/>
          <w:szCs w:val="21"/>
          <w:highlight w:val="none"/>
        </w:rPr>
      </w:sdtEndPr>
      <w:sdtContent>
        <w:p w14:paraId="748BD084">
          <w:pPr>
            <w:tabs>
              <w:tab w:val="right" w:leader="dot" w:pos="8317"/>
            </w:tabs>
            <w:spacing w:before="42" w:line="219" w:lineRule="auto"/>
            <w:ind w:left="863"/>
            <w:rPr>
              <w:rFonts w:ascii="宋体" w:hAnsi="宋体" w:eastAsia="宋体" w:cs="宋体"/>
              <w:color w:val="auto"/>
              <w:sz w:val="21"/>
              <w:szCs w:val="21"/>
              <w:highlight w:val="none"/>
            </w:rPr>
          </w:pPr>
          <w:bookmarkStart w:id="2" w:name="bookmark16"/>
          <w:bookmarkEnd w:id="2"/>
          <w:bookmarkStart w:id="3" w:name="bookmark21"/>
          <w:bookmarkEnd w:id="3"/>
          <w:bookmarkStart w:id="4" w:name="bookmark20"/>
          <w:bookmarkEnd w:id="4"/>
          <w:bookmarkStart w:id="5" w:name="bookmark15"/>
          <w:bookmarkEnd w:id="5"/>
          <w:bookmarkStart w:id="6" w:name="bookmark18"/>
          <w:bookmarkEnd w:id="6"/>
          <w:bookmarkStart w:id="7" w:name="bookmark19"/>
          <w:bookmarkEnd w:id="7"/>
          <w:bookmarkStart w:id="8" w:name="bookmark17"/>
          <w:bookmarkEnd w:id="8"/>
          <w:r>
            <w:rPr>
              <w:rFonts w:ascii="宋体" w:hAnsi="宋体" w:eastAsia="宋体" w:cs="宋体"/>
              <w:color w:val="auto"/>
              <w:spacing w:val="-4"/>
              <w:sz w:val="21"/>
              <w:szCs w:val="21"/>
              <w:highlight w:val="none"/>
            </w:rPr>
            <w:t>3.2</w:t>
          </w:r>
          <w:r>
            <w:rPr>
              <w:rFonts w:ascii="宋体" w:hAnsi="宋体" w:eastAsia="宋体" w:cs="宋体"/>
              <w:color w:val="auto"/>
              <w:spacing w:val="17"/>
              <w:sz w:val="21"/>
              <w:szCs w:val="21"/>
              <w:highlight w:val="none"/>
            </w:rPr>
            <w:t xml:space="preserve"> </w:t>
          </w:r>
          <w:r>
            <w:rPr>
              <w:rFonts w:ascii="宋体" w:hAnsi="宋体" w:eastAsia="宋体" w:cs="宋体"/>
              <w:color w:val="auto"/>
              <w:spacing w:val="-4"/>
              <w:sz w:val="21"/>
              <w:szCs w:val="21"/>
              <w:highlight w:val="none"/>
            </w:rPr>
            <w:t>投标报价</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"bookmark45" </w:instrText>
          </w:r>
          <w:r>
            <w:rPr>
              <w:color w:val="auto"/>
              <w:highlight w:val="none"/>
            </w:rPr>
            <w:fldChar w:fldCharType="separate"/>
          </w:r>
          <w:r>
            <w:rPr>
              <w:rFonts w:ascii="宋体" w:hAnsi="宋体" w:eastAsia="宋体" w:cs="宋体"/>
              <w:color w:val="auto"/>
              <w:spacing w:val="-3"/>
              <w:sz w:val="21"/>
              <w:szCs w:val="21"/>
              <w:highlight w:val="none"/>
            </w:rPr>
            <w:t>20</w:t>
          </w:r>
          <w:r>
            <w:rPr>
              <w:rFonts w:ascii="宋体" w:hAnsi="宋体" w:eastAsia="宋体" w:cs="宋体"/>
              <w:color w:val="auto"/>
              <w:spacing w:val="-3"/>
              <w:sz w:val="21"/>
              <w:szCs w:val="21"/>
              <w:highlight w:val="none"/>
            </w:rPr>
            <w:fldChar w:fldCharType="end"/>
          </w:r>
        </w:p>
        <w:p w14:paraId="52A9F606">
          <w:pPr>
            <w:tabs>
              <w:tab w:val="right" w:leader="dot" w:pos="8317"/>
            </w:tabs>
            <w:spacing w:before="19" w:line="221" w:lineRule="auto"/>
            <w:ind w:left="86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3.3</w:t>
          </w:r>
          <w:r>
            <w:rPr>
              <w:rFonts w:ascii="宋体" w:hAnsi="宋体" w:eastAsia="宋体" w:cs="宋体"/>
              <w:color w:val="auto"/>
              <w:spacing w:val="14"/>
              <w:sz w:val="21"/>
              <w:szCs w:val="21"/>
              <w:highlight w:val="none"/>
            </w:rPr>
            <w:t xml:space="preserve"> </w:t>
          </w:r>
          <w:r>
            <w:rPr>
              <w:rFonts w:ascii="宋体" w:hAnsi="宋体" w:eastAsia="宋体" w:cs="宋体"/>
              <w:color w:val="auto"/>
              <w:spacing w:val="-3"/>
              <w:sz w:val="21"/>
              <w:szCs w:val="21"/>
              <w:highlight w:val="none"/>
            </w:rPr>
            <w:t>投标有效期</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"bookmark46" </w:instrText>
          </w:r>
          <w:r>
            <w:rPr>
              <w:color w:val="auto"/>
              <w:highlight w:val="none"/>
            </w:rPr>
            <w:fldChar w:fldCharType="separate"/>
          </w:r>
          <w:r>
            <w:rPr>
              <w:rFonts w:ascii="宋体" w:hAnsi="宋体" w:eastAsia="宋体" w:cs="宋体"/>
              <w:color w:val="auto"/>
              <w:spacing w:val="-3"/>
              <w:sz w:val="21"/>
              <w:szCs w:val="21"/>
              <w:highlight w:val="none"/>
            </w:rPr>
            <w:t>20</w:t>
          </w:r>
          <w:r>
            <w:rPr>
              <w:rFonts w:ascii="宋体" w:hAnsi="宋体" w:eastAsia="宋体" w:cs="宋体"/>
              <w:color w:val="auto"/>
              <w:spacing w:val="-3"/>
              <w:sz w:val="21"/>
              <w:szCs w:val="21"/>
              <w:highlight w:val="none"/>
            </w:rPr>
            <w:fldChar w:fldCharType="end"/>
          </w:r>
        </w:p>
        <w:p w14:paraId="62CFD33D">
          <w:pPr>
            <w:tabs>
              <w:tab w:val="right" w:leader="dot" w:pos="8317"/>
            </w:tabs>
            <w:spacing w:before="22" w:line="221" w:lineRule="auto"/>
            <w:ind w:left="86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3.4</w:t>
          </w:r>
          <w:r>
            <w:rPr>
              <w:rFonts w:ascii="宋体" w:hAnsi="宋体" w:eastAsia="宋体" w:cs="宋体"/>
              <w:color w:val="auto"/>
              <w:spacing w:val="14"/>
              <w:sz w:val="21"/>
              <w:szCs w:val="21"/>
              <w:highlight w:val="none"/>
            </w:rPr>
            <w:t xml:space="preserve"> </w:t>
          </w:r>
          <w:r>
            <w:rPr>
              <w:rFonts w:ascii="宋体" w:hAnsi="宋体" w:eastAsia="宋体" w:cs="宋体"/>
              <w:color w:val="auto"/>
              <w:spacing w:val="-3"/>
              <w:sz w:val="21"/>
              <w:szCs w:val="21"/>
              <w:highlight w:val="none"/>
            </w:rPr>
            <w:t>投标保证金</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"bookmark47" </w:instrText>
          </w:r>
          <w:r>
            <w:rPr>
              <w:color w:val="auto"/>
              <w:highlight w:val="none"/>
            </w:rPr>
            <w:fldChar w:fldCharType="separate"/>
          </w:r>
          <w:r>
            <w:rPr>
              <w:rFonts w:ascii="宋体" w:hAnsi="宋体" w:eastAsia="宋体" w:cs="宋体"/>
              <w:color w:val="auto"/>
              <w:spacing w:val="-3"/>
              <w:sz w:val="21"/>
              <w:szCs w:val="21"/>
              <w:highlight w:val="none"/>
            </w:rPr>
            <w:t>20</w:t>
          </w:r>
          <w:r>
            <w:rPr>
              <w:rFonts w:ascii="宋体" w:hAnsi="宋体" w:eastAsia="宋体" w:cs="宋体"/>
              <w:color w:val="auto"/>
              <w:spacing w:val="-3"/>
              <w:sz w:val="21"/>
              <w:szCs w:val="21"/>
              <w:highlight w:val="none"/>
            </w:rPr>
            <w:fldChar w:fldCharType="end"/>
          </w:r>
        </w:p>
        <w:p w14:paraId="67EB882C">
          <w:pPr>
            <w:tabs>
              <w:tab w:val="right" w:leader="dot" w:pos="8317"/>
            </w:tabs>
            <w:spacing w:before="21" w:line="221" w:lineRule="auto"/>
            <w:ind w:left="86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3.5 资格审查资料（适用于已进行资格预审的）</w:t>
          </w:r>
          <w:r>
            <w:rPr>
              <w:rFonts w:ascii="宋体" w:hAnsi="宋体" w:eastAsia="宋体" w:cs="宋体"/>
              <w:color w:val="auto"/>
              <w:spacing w:val="65"/>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"bookmark48" </w:instrText>
          </w:r>
          <w:r>
            <w:rPr>
              <w:color w:val="auto"/>
              <w:highlight w:val="none"/>
            </w:rPr>
            <w:fldChar w:fldCharType="separate"/>
          </w:r>
          <w:r>
            <w:rPr>
              <w:rFonts w:ascii="宋体" w:hAnsi="宋体" w:eastAsia="宋体" w:cs="宋体"/>
              <w:color w:val="auto"/>
              <w:spacing w:val="-3"/>
              <w:sz w:val="21"/>
              <w:szCs w:val="21"/>
              <w:highlight w:val="none"/>
            </w:rPr>
            <w:t>20</w:t>
          </w:r>
          <w:r>
            <w:rPr>
              <w:rFonts w:ascii="宋体" w:hAnsi="宋体" w:eastAsia="宋体" w:cs="宋体"/>
              <w:color w:val="auto"/>
              <w:spacing w:val="-3"/>
              <w:sz w:val="21"/>
              <w:szCs w:val="21"/>
              <w:highlight w:val="none"/>
            </w:rPr>
            <w:fldChar w:fldCharType="end"/>
          </w:r>
        </w:p>
        <w:p w14:paraId="254D1F3B">
          <w:pPr>
            <w:tabs>
              <w:tab w:val="right" w:leader="dot" w:pos="8317"/>
            </w:tabs>
            <w:spacing w:before="22" w:line="221" w:lineRule="auto"/>
            <w:ind w:left="86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3.5 资格审查资料（适用于未进行资格预审的）</w:t>
          </w:r>
          <w:r>
            <w:rPr>
              <w:rFonts w:ascii="宋体" w:hAnsi="宋体" w:eastAsia="宋体" w:cs="宋体"/>
              <w:color w:val="auto"/>
              <w:spacing w:val="65"/>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"bookmark49" </w:instrText>
          </w:r>
          <w:r>
            <w:rPr>
              <w:color w:val="auto"/>
              <w:highlight w:val="none"/>
            </w:rPr>
            <w:fldChar w:fldCharType="separate"/>
          </w:r>
          <w:r>
            <w:rPr>
              <w:rFonts w:ascii="宋体" w:hAnsi="宋体" w:eastAsia="宋体" w:cs="宋体"/>
              <w:color w:val="auto"/>
              <w:spacing w:val="-3"/>
              <w:sz w:val="21"/>
              <w:szCs w:val="21"/>
              <w:highlight w:val="none"/>
            </w:rPr>
            <w:t>20</w:t>
          </w:r>
          <w:r>
            <w:rPr>
              <w:rFonts w:ascii="宋体" w:hAnsi="宋体" w:eastAsia="宋体" w:cs="宋体"/>
              <w:color w:val="auto"/>
              <w:spacing w:val="-3"/>
              <w:sz w:val="21"/>
              <w:szCs w:val="21"/>
              <w:highlight w:val="none"/>
            </w:rPr>
            <w:fldChar w:fldCharType="end"/>
          </w:r>
        </w:p>
        <w:p w14:paraId="2FD5D065">
          <w:pPr>
            <w:tabs>
              <w:tab w:val="right" w:leader="dot" w:pos="8317"/>
            </w:tabs>
            <w:spacing w:before="18" w:line="221" w:lineRule="auto"/>
            <w:ind w:left="86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3.6 备选投标方案</w:t>
          </w:r>
          <w:r>
            <w:rPr>
              <w:rFonts w:ascii="宋体" w:hAnsi="宋体" w:eastAsia="宋体" w:cs="宋体"/>
              <w:color w:val="auto"/>
              <w:spacing w:val="-8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"bookmark50" </w:instrText>
          </w:r>
          <w:r>
            <w:rPr>
              <w:color w:val="auto"/>
              <w:highlight w:val="none"/>
            </w:rPr>
            <w:fldChar w:fldCharType="separate"/>
          </w:r>
          <w:r>
            <w:rPr>
              <w:rFonts w:ascii="宋体" w:hAnsi="宋体" w:eastAsia="宋体" w:cs="宋体"/>
              <w:color w:val="auto"/>
              <w:spacing w:val="-3"/>
              <w:sz w:val="21"/>
              <w:szCs w:val="21"/>
              <w:highlight w:val="none"/>
            </w:rPr>
            <w:t>21</w:t>
          </w:r>
          <w:r>
            <w:rPr>
              <w:rFonts w:ascii="宋体" w:hAnsi="宋体" w:eastAsia="宋体" w:cs="宋体"/>
              <w:color w:val="auto"/>
              <w:spacing w:val="-3"/>
              <w:sz w:val="21"/>
              <w:szCs w:val="21"/>
              <w:highlight w:val="none"/>
            </w:rPr>
            <w:fldChar w:fldCharType="end"/>
          </w:r>
        </w:p>
        <w:p w14:paraId="604D5F91">
          <w:pPr>
            <w:tabs>
              <w:tab w:val="right" w:leader="dot" w:pos="8317"/>
            </w:tabs>
            <w:spacing w:before="22" w:line="221" w:lineRule="auto"/>
            <w:ind w:left="86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3.7 投标文件的编制</w:t>
          </w:r>
          <w:r>
            <w:rPr>
              <w:rFonts w:ascii="宋体" w:hAnsi="宋体" w:eastAsia="宋体" w:cs="宋体"/>
              <w:color w:val="auto"/>
              <w:spacing w:val="-7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"bookmark51" </w:instrText>
          </w:r>
          <w:r>
            <w:rPr>
              <w:color w:val="auto"/>
              <w:highlight w:val="none"/>
            </w:rPr>
            <w:fldChar w:fldCharType="separate"/>
          </w:r>
          <w:r>
            <w:rPr>
              <w:rFonts w:ascii="宋体" w:hAnsi="宋体" w:eastAsia="宋体" w:cs="宋体"/>
              <w:color w:val="auto"/>
              <w:spacing w:val="-3"/>
              <w:sz w:val="21"/>
              <w:szCs w:val="21"/>
              <w:highlight w:val="none"/>
            </w:rPr>
            <w:t>21</w:t>
          </w:r>
          <w:r>
            <w:rPr>
              <w:rFonts w:ascii="宋体" w:hAnsi="宋体" w:eastAsia="宋体" w:cs="宋体"/>
              <w:color w:val="auto"/>
              <w:spacing w:val="-3"/>
              <w:sz w:val="21"/>
              <w:szCs w:val="21"/>
              <w:highlight w:val="none"/>
            </w:rPr>
            <w:fldChar w:fldCharType="end"/>
          </w:r>
        </w:p>
        <w:p w14:paraId="1CD9EA2E">
          <w:pPr>
            <w:tabs>
              <w:tab w:val="right" w:leader="dot" w:pos="8317"/>
            </w:tabs>
            <w:spacing w:before="23" w:line="221" w:lineRule="auto"/>
            <w:ind w:left="44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4.</w:t>
          </w:r>
          <w:r>
            <w:rPr>
              <w:rFonts w:ascii="宋体" w:hAnsi="宋体" w:eastAsia="宋体" w:cs="宋体"/>
              <w:color w:val="auto"/>
              <w:spacing w:val="11"/>
              <w:sz w:val="21"/>
              <w:szCs w:val="21"/>
              <w:highlight w:val="none"/>
            </w:rPr>
            <w:t xml:space="preserve"> </w:t>
          </w:r>
          <w:r>
            <w:rPr>
              <w:rFonts w:ascii="宋体" w:hAnsi="宋体" w:eastAsia="宋体" w:cs="宋体"/>
              <w:color w:val="auto"/>
              <w:spacing w:val="-4"/>
              <w:sz w:val="21"/>
              <w:szCs w:val="21"/>
              <w:highlight w:val="none"/>
            </w:rPr>
            <w:t>投标</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"bookmark52" </w:instrText>
          </w:r>
          <w:r>
            <w:rPr>
              <w:color w:val="auto"/>
              <w:highlight w:val="none"/>
            </w:rPr>
            <w:fldChar w:fldCharType="separate"/>
          </w:r>
          <w:r>
            <w:rPr>
              <w:rFonts w:ascii="宋体" w:hAnsi="宋体" w:eastAsia="宋体" w:cs="宋体"/>
              <w:color w:val="auto"/>
              <w:spacing w:val="-3"/>
              <w:sz w:val="21"/>
              <w:szCs w:val="21"/>
              <w:highlight w:val="none"/>
            </w:rPr>
            <w:t>22</w:t>
          </w:r>
          <w:r>
            <w:rPr>
              <w:rFonts w:ascii="宋体" w:hAnsi="宋体" w:eastAsia="宋体" w:cs="宋体"/>
              <w:color w:val="auto"/>
              <w:spacing w:val="-3"/>
              <w:sz w:val="21"/>
              <w:szCs w:val="21"/>
              <w:highlight w:val="none"/>
            </w:rPr>
            <w:fldChar w:fldCharType="end"/>
          </w:r>
        </w:p>
        <w:p w14:paraId="083FBDD7">
          <w:pPr>
            <w:tabs>
              <w:tab w:val="right" w:leader="dot" w:pos="8317"/>
            </w:tabs>
            <w:spacing w:before="21" w:line="221" w:lineRule="auto"/>
            <w:ind w:left="85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4.1 投标文件的加密</w:t>
          </w:r>
          <w:r>
            <w:rPr>
              <w:rFonts w:ascii="宋体" w:hAnsi="宋体" w:eastAsia="宋体" w:cs="宋体"/>
              <w:color w:val="auto"/>
              <w:spacing w:val="-7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"bookmark53" </w:instrText>
          </w:r>
          <w:r>
            <w:rPr>
              <w:color w:val="auto"/>
              <w:highlight w:val="none"/>
            </w:rPr>
            <w:fldChar w:fldCharType="separate"/>
          </w:r>
          <w:r>
            <w:rPr>
              <w:rFonts w:ascii="宋体" w:hAnsi="宋体" w:eastAsia="宋体" w:cs="宋体"/>
              <w:color w:val="auto"/>
              <w:spacing w:val="-3"/>
              <w:sz w:val="21"/>
              <w:szCs w:val="21"/>
              <w:highlight w:val="none"/>
            </w:rPr>
            <w:t>22</w:t>
          </w:r>
          <w:r>
            <w:rPr>
              <w:rFonts w:ascii="宋体" w:hAnsi="宋体" w:eastAsia="宋体" w:cs="宋体"/>
              <w:color w:val="auto"/>
              <w:spacing w:val="-3"/>
              <w:sz w:val="21"/>
              <w:szCs w:val="21"/>
              <w:highlight w:val="none"/>
            </w:rPr>
            <w:fldChar w:fldCharType="end"/>
          </w:r>
        </w:p>
        <w:p w14:paraId="7D86BA9D">
          <w:pPr>
            <w:tabs>
              <w:tab w:val="right" w:leader="dot" w:pos="8317"/>
            </w:tabs>
            <w:spacing w:before="18" w:line="221" w:lineRule="auto"/>
            <w:ind w:left="85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4.2 投标文件的递交</w:t>
          </w:r>
          <w:r>
            <w:rPr>
              <w:rFonts w:ascii="宋体" w:hAnsi="宋体" w:eastAsia="宋体" w:cs="宋体"/>
              <w:color w:val="auto"/>
              <w:spacing w:val="-7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"bookmark54" </w:instrText>
          </w:r>
          <w:r>
            <w:rPr>
              <w:color w:val="auto"/>
              <w:highlight w:val="none"/>
            </w:rPr>
            <w:fldChar w:fldCharType="separate"/>
          </w:r>
          <w:r>
            <w:rPr>
              <w:rFonts w:ascii="宋体" w:hAnsi="宋体" w:eastAsia="宋体" w:cs="宋体"/>
              <w:color w:val="auto"/>
              <w:spacing w:val="-3"/>
              <w:sz w:val="21"/>
              <w:szCs w:val="21"/>
              <w:highlight w:val="none"/>
            </w:rPr>
            <w:t>22</w:t>
          </w:r>
          <w:r>
            <w:rPr>
              <w:rFonts w:ascii="宋体" w:hAnsi="宋体" w:eastAsia="宋体" w:cs="宋体"/>
              <w:color w:val="auto"/>
              <w:spacing w:val="-3"/>
              <w:sz w:val="21"/>
              <w:szCs w:val="21"/>
              <w:highlight w:val="none"/>
            </w:rPr>
            <w:fldChar w:fldCharType="end"/>
          </w:r>
        </w:p>
        <w:p w14:paraId="0152A107">
          <w:pPr>
            <w:tabs>
              <w:tab w:val="right" w:leader="dot" w:pos="8317"/>
            </w:tabs>
            <w:spacing w:before="22" w:line="221" w:lineRule="auto"/>
            <w:ind w:left="85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4.3 投标文件的修改与撤回</w:t>
          </w:r>
          <w:r>
            <w:rPr>
              <w:rFonts w:ascii="宋体" w:hAnsi="宋体" w:eastAsia="宋体" w:cs="宋体"/>
              <w:color w:val="auto"/>
              <w:spacing w:val="-6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"bookmark55" </w:instrText>
          </w:r>
          <w:r>
            <w:rPr>
              <w:color w:val="auto"/>
              <w:highlight w:val="none"/>
            </w:rPr>
            <w:fldChar w:fldCharType="separate"/>
          </w:r>
          <w:r>
            <w:rPr>
              <w:rFonts w:ascii="宋体" w:hAnsi="宋体" w:eastAsia="宋体" w:cs="宋体"/>
              <w:color w:val="auto"/>
              <w:spacing w:val="-3"/>
              <w:sz w:val="21"/>
              <w:szCs w:val="21"/>
              <w:highlight w:val="none"/>
            </w:rPr>
            <w:t>23</w:t>
          </w:r>
          <w:r>
            <w:rPr>
              <w:rFonts w:ascii="宋体" w:hAnsi="宋体" w:eastAsia="宋体" w:cs="宋体"/>
              <w:color w:val="auto"/>
              <w:spacing w:val="-3"/>
              <w:sz w:val="21"/>
              <w:szCs w:val="21"/>
              <w:highlight w:val="none"/>
            </w:rPr>
            <w:fldChar w:fldCharType="end"/>
          </w:r>
        </w:p>
        <w:p w14:paraId="729BC5D8">
          <w:pPr>
            <w:tabs>
              <w:tab w:val="right" w:leader="dot" w:pos="8317"/>
            </w:tabs>
            <w:spacing w:before="23" w:line="221" w:lineRule="auto"/>
            <w:ind w:left="44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5.</w:t>
          </w:r>
          <w:r>
            <w:rPr>
              <w:rFonts w:ascii="宋体" w:hAnsi="宋体" w:eastAsia="宋体" w:cs="宋体"/>
              <w:color w:val="auto"/>
              <w:spacing w:val="10"/>
              <w:sz w:val="21"/>
              <w:szCs w:val="21"/>
              <w:highlight w:val="none"/>
            </w:rPr>
            <w:t xml:space="preserve"> </w:t>
          </w:r>
          <w:r>
            <w:rPr>
              <w:rFonts w:ascii="宋体" w:hAnsi="宋体" w:eastAsia="宋体" w:cs="宋体"/>
              <w:color w:val="auto"/>
              <w:spacing w:val="-5"/>
              <w:sz w:val="21"/>
              <w:szCs w:val="21"/>
              <w:highlight w:val="none"/>
            </w:rPr>
            <w:t>开标</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"bookmark56" </w:instrText>
          </w:r>
          <w:r>
            <w:rPr>
              <w:color w:val="auto"/>
              <w:highlight w:val="none"/>
            </w:rPr>
            <w:fldChar w:fldCharType="separate"/>
          </w:r>
          <w:r>
            <w:rPr>
              <w:rFonts w:ascii="宋体" w:hAnsi="宋体" w:eastAsia="宋体" w:cs="宋体"/>
              <w:color w:val="auto"/>
              <w:spacing w:val="-3"/>
              <w:sz w:val="21"/>
              <w:szCs w:val="21"/>
              <w:highlight w:val="none"/>
            </w:rPr>
            <w:t>23</w:t>
          </w:r>
          <w:r>
            <w:rPr>
              <w:rFonts w:ascii="宋体" w:hAnsi="宋体" w:eastAsia="宋体" w:cs="宋体"/>
              <w:color w:val="auto"/>
              <w:spacing w:val="-3"/>
              <w:sz w:val="21"/>
              <w:szCs w:val="21"/>
              <w:highlight w:val="none"/>
            </w:rPr>
            <w:fldChar w:fldCharType="end"/>
          </w:r>
        </w:p>
        <w:p w14:paraId="65A82458">
          <w:pPr>
            <w:tabs>
              <w:tab w:val="right" w:leader="dot" w:pos="8317"/>
            </w:tabs>
            <w:spacing w:before="22" w:line="221" w:lineRule="auto"/>
            <w:ind w:left="86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5.1 开标时间和地点</w:t>
          </w:r>
          <w:r>
            <w:rPr>
              <w:rFonts w:ascii="宋体" w:hAnsi="宋体" w:eastAsia="宋体" w:cs="宋体"/>
              <w:color w:val="auto"/>
              <w:spacing w:val="-7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"bookmark57" </w:instrText>
          </w:r>
          <w:r>
            <w:rPr>
              <w:color w:val="auto"/>
              <w:highlight w:val="none"/>
            </w:rPr>
            <w:fldChar w:fldCharType="separate"/>
          </w:r>
          <w:r>
            <w:rPr>
              <w:rFonts w:ascii="宋体" w:hAnsi="宋体" w:eastAsia="宋体" w:cs="宋体"/>
              <w:color w:val="auto"/>
              <w:spacing w:val="-3"/>
              <w:sz w:val="21"/>
              <w:szCs w:val="21"/>
              <w:highlight w:val="none"/>
            </w:rPr>
            <w:t>23</w:t>
          </w:r>
          <w:r>
            <w:rPr>
              <w:rFonts w:ascii="宋体" w:hAnsi="宋体" w:eastAsia="宋体" w:cs="宋体"/>
              <w:color w:val="auto"/>
              <w:spacing w:val="-3"/>
              <w:sz w:val="21"/>
              <w:szCs w:val="21"/>
              <w:highlight w:val="none"/>
            </w:rPr>
            <w:fldChar w:fldCharType="end"/>
          </w:r>
        </w:p>
        <w:p w14:paraId="2F5BFE15">
          <w:pPr>
            <w:tabs>
              <w:tab w:val="right" w:leader="dot" w:pos="8317"/>
            </w:tabs>
            <w:spacing w:before="18" w:line="221" w:lineRule="auto"/>
            <w:ind w:left="86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5.2</w:t>
          </w:r>
          <w:r>
            <w:rPr>
              <w:rFonts w:ascii="宋体" w:hAnsi="宋体" w:eastAsia="宋体" w:cs="宋体"/>
              <w:color w:val="auto"/>
              <w:spacing w:val="10"/>
              <w:sz w:val="21"/>
              <w:szCs w:val="21"/>
              <w:highlight w:val="none"/>
            </w:rPr>
            <w:t xml:space="preserve"> </w:t>
          </w:r>
          <w:r>
            <w:rPr>
              <w:rFonts w:ascii="宋体" w:hAnsi="宋体" w:eastAsia="宋体" w:cs="宋体"/>
              <w:color w:val="auto"/>
              <w:spacing w:val="-3"/>
              <w:sz w:val="21"/>
              <w:szCs w:val="21"/>
              <w:highlight w:val="none"/>
            </w:rPr>
            <w:t>开标程序</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"bookmark58" </w:instrText>
          </w:r>
          <w:r>
            <w:rPr>
              <w:color w:val="auto"/>
              <w:highlight w:val="none"/>
            </w:rPr>
            <w:fldChar w:fldCharType="separate"/>
          </w:r>
          <w:r>
            <w:rPr>
              <w:rFonts w:ascii="宋体" w:hAnsi="宋体" w:eastAsia="宋体" w:cs="宋体"/>
              <w:color w:val="auto"/>
              <w:spacing w:val="-3"/>
              <w:sz w:val="21"/>
              <w:szCs w:val="21"/>
              <w:highlight w:val="none"/>
            </w:rPr>
            <w:t>23</w:t>
          </w:r>
          <w:r>
            <w:rPr>
              <w:rFonts w:ascii="宋体" w:hAnsi="宋体" w:eastAsia="宋体" w:cs="宋体"/>
              <w:color w:val="auto"/>
              <w:spacing w:val="-3"/>
              <w:sz w:val="21"/>
              <w:szCs w:val="21"/>
              <w:highlight w:val="none"/>
            </w:rPr>
            <w:fldChar w:fldCharType="end"/>
          </w:r>
        </w:p>
        <w:p w14:paraId="74A89CDD">
          <w:pPr>
            <w:tabs>
              <w:tab w:val="right" w:leader="dot" w:pos="8317"/>
            </w:tabs>
            <w:spacing w:before="21" w:line="221" w:lineRule="auto"/>
            <w:ind w:left="86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5.3</w:t>
          </w:r>
          <w:r>
            <w:rPr>
              <w:rFonts w:ascii="宋体" w:hAnsi="宋体" w:eastAsia="宋体" w:cs="宋体"/>
              <w:color w:val="auto"/>
              <w:spacing w:val="10"/>
              <w:sz w:val="21"/>
              <w:szCs w:val="21"/>
              <w:highlight w:val="none"/>
            </w:rPr>
            <w:t xml:space="preserve"> </w:t>
          </w:r>
          <w:r>
            <w:rPr>
              <w:rFonts w:ascii="宋体" w:hAnsi="宋体" w:eastAsia="宋体" w:cs="宋体"/>
              <w:color w:val="auto"/>
              <w:spacing w:val="-3"/>
              <w:sz w:val="21"/>
              <w:szCs w:val="21"/>
              <w:highlight w:val="none"/>
            </w:rPr>
            <w:t>开标异议</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"bookmark59" </w:instrText>
          </w:r>
          <w:r>
            <w:rPr>
              <w:color w:val="auto"/>
              <w:highlight w:val="none"/>
            </w:rPr>
            <w:fldChar w:fldCharType="separate"/>
          </w:r>
          <w:r>
            <w:rPr>
              <w:rFonts w:ascii="宋体" w:hAnsi="宋体" w:eastAsia="宋体" w:cs="宋体"/>
              <w:color w:val="auto"/>
              <w:spacing w:val="-3"/>
              <w:sz w:val="21"/>
              <w:szCs w:val="21"/>
              <w:highlight w:val="none"/>
            </w:rPr>
            <w:t>24</w:t>
          </w:r>
          <w:r>
            <w:rPr>
              <w:rFonts w:ascii="宋体" w:hAnsi="宋体" w:eastAsia="宋体" w:cs="宋体"/>
              <w:color w:val="auto"/>
              <w:spacing w:val="-3"/>
              <w:sz w:val="21"/>
              <w:szCs w:val="21"/>
              <w:highlight w:val="none"/>
            </w:rPr>
            <w:fldChar w:fldCharType="end"/>
          </w:r>
        </w:p>
        <w:p w14:paraId="19BE2E1A">
          <w:pPr>
            <w:tabs>
              <w:tab w:val="right" w:leader="dot" w:pos="8317"/>
            </w:tabs>
            <w:spacing w:before="23" w:line="221" w:lineRule="auto"/>
            <w:ind w:left="86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5.4 特殊情况的处置</w:t>
          </w:r>
          <w:r>
            <w:rPr>
              <w:rFonts w:ascii="宋体" w:hAnsi="宋体" w:eastAsia="宋体" w:cs="宋体"/>
              <w:color w:val="auto"/>
              <w:spacing w:val="-7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"bookmark60" </w:instrText>
          </w:r>
          <w:r>
            <w:rPr>
              <w:color w:val="auto"/>
              <w:highlight w:val="none"/>
            </w:rPr>
            <w:fldChar w:fldCharType="separate"/>
          </w:r>
          <w:r>
            <w:rPr>
              <w:rFonts w:ascii="宋体" w:hAnsi="宋体" w:eastAsia="宋体" w:cs="宋体"/>
              <w:color w:val="auto"/>
              <w:spacing w:val="-3"/>
              <w:sz w:val="21"/>
              <w:szCs w:val="21"/>
              <w:highlight w:val="none"/>
            </w:rPr>
            <w:t>24</w:t>
          </w:r>
          <w:r>
            <w:rPr>
              <w:rFonts w:ascii="宋体" w:hAnsi="宋体" w:eastAsia="宋体" w:cs="宋体"/>
              <w:color w:val="auto"/>
              <w:spacing w:val="-3"/>
              <w:sz w:val="21"/>
              <w:szCs w:val="21"/>
              <w:highlight w:val="none"/>
            </w:rPr>
            <w:fldChar w:fldCharType="end"/>
          </w:r>
        </w:p>
        <w:p w14:paraId="2CA69DB1">
          <w:pPr>
            <w:tabs>
              <w:tab w:val="right" w:leader="dot" w:pos="8317"/>
            </w:tabs>
            <w:spacing w:before="23" w:line="221" w:lineRule="auto"/>
            <w:ind w:left="44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6.</w:t>
          </w:r>
          <w:r>
            <w:rPr>
              <w:rFonts w:ascii="宋体" w:hAnsi="宋体" w:eastAsia="宋体" w:cs="宋体"/>
              <w:color w:val="auto"/>
              <w:spacing w:val="9"/>
              <w:sz w:val="21"/>
              <w:szCs w:val="21"/>
              <w:highlight w:val="none"/>
            </w:rPr>
            <w:t xml:space="preserve"> </w:t>
          </w:r>
          <w:r>
            <w:rPr>
              <w:rFonts w:ascii="宋体" w:hAnsi="宋体" w:eastAsia="宋体" w:cs="宋体"/>
              <w:color w:val="auto"/>
              <w:spacing w:val="-4"/>
              <w:sz w:val="21"/>
              <w:szCs w:val="21"/>
              <w:highlight w:val="none"/>
            </w:rPr>
            <w:t>评标</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"bookmark61" </w:instrText>
          </w:r>
          <w:r>
            <w:rPr>
              <w:color w:val="auto"/>
              <w:highlight w:val="none"/>
            </w:rPr>
            <w:fldChar w:fldCharType="separate"/>
          </w:r>
          <w:r>
            <w:rPr>
              <w:rFonts w:ascii="宋体" w:hAnsi="宋体" w:eastAsia="宋体" w:cs="宋体"/>
              <w:color w:val="auto"/>
              <w:spacing w:val="-3"/>
              <w:sz w:val="21"/>
              <w:szCs w:val="21"/>
              <w:highlight w:val="none"/>
            </w:rPr>
            <w:t>25</w:t>
          </w:r>
          <w:r>
            <w:rPr>
              <w:rFonts w:ascii="宋体" w:hAnsi="宋体" w:eastAsia="宋体" w:cs="宋体"/>
              <w:color w:val="auto"/>
              <w:spacing w:val="-3"/>
              <w:sz w:val="21"/>
              <w:szCs w:val="21"/>
              <w:highlight w:val="none"/>
            </w:rPr>
            <w:fldChar w:fldCharType="end"/>
          </w:r>
        </w:p>
        <w:p w14:paraId="5928425B">
          <w:pPr>
            <w:tabs>
              <w:tab w:val="right" w:leader="dot" w:pos="8317"/>
            </w:tabs>
            <w:spacing w:before="17" w:line="220" w:lineRule="auto"/>
            <w:ind w:left="86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6.1 评标委员会</w:t>
          </w:r>
          <w:r>
            <w:rPr>
              <w:rFonts w:ascii="宋体" w:hAnsi="宋体" w:eastAsia="宋体" w:cs="宋体"/>
              <w:color w:val="auto"/>
              <w:spacing w:val="-8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"bookmark62" </w:instrText>
          </w:r>
          <w:r>
            <w:rPr>
              <w:color w:val="auto"/>
              <w:highlight w:val="none"/>
            </w:rPr>
            <w:fldChar w:fldCharType="separate"/>
          </w:r>
          <w:r>
            <w:rPr>
              <w:rFonts w:ascii="宋体" w:hAnsi="宋体" w:eastAsia="宋体" w:cs="宋体"/>
              <w:color w:val="auto"/>
              <w:spacing w:val="-3"/>
              <w:sz w:val="21"/>
              <w:szCs w:val="21"/>
              <w:highlight w:val="none"/>
            </w:rPr>
            <w:t>25</w:t>
          </w:r>
          <w:r>
            <w:rPr>
              <w:rFonts w:ascii="宋体" w:hAnsi="宋体" w:eastAsia="宋体" w:cs="宋体"/>
              <w:color w:val="auto"/>
              <w:spacing w:val="-3"/>
              <w:sz w:val="21"/>
              <w:szCs w:val="21"/>
              <w:highlight w:val="none"/>
            </w:rPr>
            <w:fldChar w:fldCharType="end"/>
          </w:r>
        </w:p>
        <w:p w14:paraId="11F0B83F">
          <w:pPr>
            <w:tabs>
              <w:tab w:val="right" w:leader="dot" w:pos="8317"/>
            </w:tabs>
            <w:spacing w:before="24" w:line="221" w:lineRule="auto"/>
            <w:ind w:left="86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6.2 评标原则</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"bookmark63" </w:instrText>
          </w:r>
          <w:r>
            <w:rPr>
              <w:color w:val="auto"/>
              <w:highlight w:val="none"/>
            </w:rPr>
            <w:fldChar w:fldCharType="separate"/>
          </w:r>
          <w:r>
            <w:rPr>
              <w:rFonts w:ascii="宋体" w:hAnsi="宋体" w:eastAsia="宋体" w:cs="宋体"/>
              <w:color w:val="auto"/>
              <w:spacing w:val="-3"/>
              <w:sz w:val="21"/>
              <w:szCs w:val="21"/>
              <w:highlight w:val="none"/>
            </w:rPr>
            <w:t>25</w:t>
          </w:r>
          <w:r>
            <w:rPr>
              <w:rFonts w:ascii="宋体" w:hAnsi="宋体" w:eastAsia="宋体" w:cs="宋体"/>
              <w:color w:val="auto"/>
              <w:spacing w:val="-3"/>
              <w:sz w:val="21"/>
              <w:szCs w:val="21"/>
              <w:highlight w:val="none"/>
            </w:rPr>
            <w:fldChar w:fldCharType="end"/>
          </w:r>
        </w:p>
        <w:p w14:paraId="04DB35AD">
          <w:pPr>
            <w:tabs>
              <w:tab w:val="right" w:leader="dot" w:pos="8317"/>
            </w:tabs>
            <w:spacing w:before="22" w:line="221" w:lineRule="auto"/>
            <w:ind w:left="86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6.3</w:t>
          </w:r>
          <w:r>
            <w:rPr>
              <w:rFonts w:ascii="宋体" w:hAnsi="宋体" w:eastAsia="宋体" w:cs="宋体"/>
              <w:color w:val="auto"/>
              <w:spacing w:val="9"/>
              <w:sz w:val="21"/>
              <w:szCs w:val="21"/>
              <w:highlight w:val="none"/>
            </w:rPr>
            <w:t xml:space="preserve"> </w:t>
          </w:r>
          <w:r>
            <w:rPr>
              <w:rFonts w:ascii="宋体" w:hAnsi="宋体" w:eastAsia="宋体" w:cs="宋体"/>
              <w:color w:val="auto"/>
              <w:spacing w:val="-3"/>
              <w:sz w:val="21"/>
              <w:szCs w:val="21"/>
              <w:highlight w:val="none"/>
            </w:rPr>
            <w:t>评标</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"bookmark64" </w:instrText>
          </w:r>
          <w:r>
            <w:rPr>
              <w:color w:val="auto"/>
              <w:highlight w:val="none"/>
            </w:rPr>
            <w:fldChar w:fldCharType="separate"/>
          </w:r>
          <w:r>
            <w:rPr>
              <w:rFonts w:ascii="宋体" w:hAnsi="宋体" w:eastAsia="宋体" w:cs="宋体"/>
              <w:color w:val="auto"/>
              <w:spacing w:val="-3"/>
              <w:sz w:val="21"/>
              <w:szCs w:val="21"/>
              <w:highlight w:val="none"/>
            </w:rPr>
            <w:t>25</w:t>
          </w:r>
          <w:r>
            <w:rPr>
              <w:rFonts w:ascii="宋体" w:hAnsi="宋体" w:eastAsia="宋体" w:cs="宋体"/>
              <w:color w:val="auto"/>
              <w:spacing w:val="-3"/>
              <w:sz w:val="21"/>
              <w:szCs w:val="21"/>
              <w:highlight w:val="none"/>
            </w:rPr>
            <w:fldChar w:fldCharType="end"/>
          </w:r>
        </w:p>
        <w:p w14:paraId="0653A7F7">
          <w:pPr>
            <w:tabs>
              <w:tab w:val="right" w:leader="dot" w:pos="8317"/>
            </w:tabs>
            <w:spacing w:before="22" w:line="221" w:lineRule="auto"/>
            <w:ind w:left="86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6.4 评标结果公示</w:t>
          </w:r>
          <w:r>
            <w:rPr>
              <w:rFonts w:ascii="宋体" w:hAnsi="宋体" w:eastAsia="宋体" w:cs="宋体"/>
              <w:color w:val="auto"/>
              <w:spacing w:val="-7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"bookmark65" </w:instrText>
          </w:r>
          <w:r>
            <w:rPr>
              <w:color w:val="auto"/>
              <w:highlight w:val="none"/>
            </w:rPr>
            <w:fldChar w:fldCharType="separate"/>
          </w:r>
          <w:r>
            <w:rPr>
              <w:rFonts w:ascii="宋体" w:hAnsi="宋体" w:eastAsia="宋体" w:cs="宋体"/>
              <w:color w:val="auto"/>
              <w:spacing w:val="-3"/>
              <w:sz w:val="21"/>
              <w:szCs w:val="21"/>
              <w:highlight w:val="none"/>
            </w:rPr>
            <w:t>25</w:t>
          </w:r>
          <w:r>
            <w:rPr>
              <w:rFonts w:ascii="宋体" w:hAnsi="宋体" w:eastAsia="宋体" w:cs="宋体"/>
              <w:color w:val="auto"/>
              <w:spacing w:val="-3"/>
              <w:sz w:val="21"/>
              <w:szCs w:val="21"/>
              <w:highlight w:val="none"/>
            </w:rPr>
            <w:fldChar w:fldCharType="end"/>
          </w:r>
        </w:p>
        <w:p w14:paraId="553CE93E">
          <w:pPr>
            <w:tabs>
              <w:tab w:val="right" w:leader="dot" w:pos="8317"/>
            </w:tabs>
            <w:spacing w:before="17" w:line="221" w:lineRule="auto"/>
            <w:ind w:left="860"/>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6.5 履约能力的核查（如有）</w:t>
          </w:r>
          <w:r>
            <w:rPr>
              <w:rFonts w:ascii="宋体" w:hAnsi="宋体" w:eastAsia="宋体" w:cs="宋体"/>
              <w:color w:val="auto"/>
              <w:spacing w:val="5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"bookmark66" </w:instrText>
          </w:r>
          <w:r>
            <w:rPr>
              <w:color w:val="auto"/>
              <w:highlight w:val="none"/>
            </w:rPr>
            <w:fldChar w:fldCharType="separate"/>
          </w:r>
          <w:r>
            <w:rPr>
              <w:rFonts w:ascii="宋体" w:hAnsi="宋体" w:eastAsia="宋体" w:cs="宋体"/>
              <w:color w:val="auto"/>
              <w:spacing w:val="-3"/>
              <w:sz w:val="21"/>
              <w:szCs w:val="21"/>
              <w:highlight w:val="none"/>
            </w:rPr>
            <w:t>25</w:t>
          </w:r>
          <w:r>
            <w:rPr>
              <w:rFonts w:ascii="宋体" w:hAnsi="宋体" w:eastAsia="宋体" w:cs="宋体"/>
              <w:color w:val="auto"/>
              <w:spacing w:val="-3"/>
              <w:sz w:val="21"/>
              <w:szCs w:val="21"/>
              <w:highlight w:val="none"/>
            </w:rPr>
            <w:fldChar w:fldCharType="end"/>
          </w:r>
        </w:p>
        <w:p w14:paraId="4919CC44">
          <w:pPr>
            <w:tabs>
              <w:tab w:val="right" w:leader="dot" w:pos="8317"/>
            </w:tabs>
            <w:spacing w:before="23" w:line="222" w:lineRule="auto"/>
            <w:ind w:left="44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7.</w:t>
          </w:r>
          <w:r>
            <w:rPr>
              <w:rFonts w:ascii="宋体" w:hAnsi="宋体" w:eastAsia="宋体" w:cs="宋体"/>
              <w:color w:val="auto"/>
              <w:spacing w:val="10"/>
              <w:sz w:val="21"/>
              <w:szCs w:val="21"/>
              <w:highlight w:val="none"/>
            </w:rPr>
            <w:t xml:space="preserve"> </w:t>
          </w:r>
          <w:r>
            <w:rPr>
              <w:rFonts w:ascii="宋体" w:hAnsi="宋体" w:eastAsia="宋体" w:cs="宋体"/>
              <w:color w:val="auto"/>
              <w:spacing w:val="-3"/>
              <w:sz w:val="21"/>
              <w:szCs w:val="21"/>
              <w:highlight w:val="none"/>
            </w:rPr>
            <w:t>合同授予</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"bookmark67" </w:instrText>
          </w:r>
          <w:r>
            <w:rPr>
              <w:color w:val="auto"/>
              <w:highlight w:val="none"/>
            </w:rPr>
            <w:fldChar w:fldCharType="separate"/>
          </w:r>
          <w:r>
            <w:rPr>
              <w:rFonts w:ascii="宋体" w:hAnsi="宋体" w:eastAsia="宋体" w:cs="宋体"/>
              <w:color w:val="auto"/>
              <w:spacing w:val="-3"/>
              <w:sz w:val="21"/>
              <w:szCs w:val="21"/>
              <w:highlight w:val="none"/>
            </w:rPr>
            <w:t>25</w:t>
          </w:r>
          <w:r>
            <w:rPr>
              <w:rFonts w:ascii="宋体" w:hAnsi="宋体" w:eastAsia="宋体" w:cs="宋体"/>
              <w:color w:val="auto"/>
              <w:spacing w:val="-3"/>
              <w:sz w:val="21"/>
              <w:szCs w:val="21"/>
              <w:highlight w:val="none"/>
            </w:rPr>
            <w:fldChar w:fldCharType="end"/>
          </w:r>
        </w:p>
        <w:p w14:paraId="41B735E1">
          <w:pPr>
            <w:tabs>
              <w:tab w:val="right" w:leader="dot" w:pos="8317"/>
            </w:tabs>
            <w:spacing w:before="21" w:line="221" w:lineRule="auto"/>
            <w:ind w:left="86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7.1</w:t>
          </w:r>
          <w:r>
            <w:rPr>
              <w:rFonts w:ascii="宋体" w:hAnsi="宋体" w:eastAsia="宋体" w:cs="宋体"/>
              <w:color w:val="auto"/>
              <w:spacing w:val="16"/>
              <w:sz w:val="21"/>
              <w:szCs w:val="21"/>
              <w:highlight w:val="none"/>
            </w:rPr>
            <w:t xml:space="preserve"> </w:t>
          </w:r>
          <w:r>
            <w:rPr>
              <w:rFonts w:ascii="宋体" w:hAnsi="宋体" w:eastAsia="宋体" w:cs="宋体"/>
              <w:color w:val="auto"/>
              <w:spacing w:val="-4"/>
              <w:sz w:val="21"/>
              <w:szCs w:val="21"/>
              <w:highlight w:val="none"/>
            </w:rPr>
            <w:t>定标方式</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"bookmark68" </w:instrText>
          </w:r>
          <w:r>
            <w:rPr>
              <w:color w:val="auto"/>
              <w:highlight w:val="none"/>
            </w:rPr>
            <w:fldChar w:fldCharType="separate"/>
          </w:r>
          <w:r>
            <w:rPr>
              <w:rFonts w:ascii="宋体" w:hAnsi="宋体" w:eastAsia="宋体" w:cs="宋体"/>
              <w:color w:val="auto"/>
              <w:spacing w:val="-3"/>
              <w:sz w:val="21"/>
              <w:szCs w:val="21"/>
              <w:highlight w:val="none"/>
            </w:rPr>
            <w:t>25</w:t>
          </w:r>
          <w:r>
            <w:rPr>
              <w:rFonts w:ascii="宋体" w:hAnsi="宋体" w:eastAsia="宋体" w:cs="宋体"/>
              <w:color w:val="auto"/>
              <w:spacing w:val="-3"/>
              <w:sz w:val="21"/>
              <w:szCs w:val="21"/>
              <w:highlight w:val="none"/>
            </w:rPr>
            <w:fldChar w:fldCharType="end"/>
          </w:r>
        </w:p>
        <w:p w14:paraId="49A9B4FB">
          <w:pPr>
            <w:tabs>
              <w:tab w:val="right" w:leader="dot" w:pos="8317"/>
            </w:tabs>
            <w:spacing w:before="18" w:line="221" w:lineRule="auto"/>
            <w:ind w:left="86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7.2</w:t>
          </w:r>
          <w:r>
            <w:rPr>
              <w:rFonts w:ascii="宋体" w:hAnsi="宋体" w:eastAsia="宋体" w:cs="宋体"/>
              <w:color w:val="auto"/>
              <w:spacing w:val="30"/>
              <w:sz w:val="21"/>
              <w:szCs w:val="21"/>
              <w:highlight w:val="none"/>
            </w:rPr>
            <w:t xml:space="preserve"> </w:t>
          </w:r>
          <w:r>
            <w:rPr>
              <w:rFonts w:ascii="宋体" w:hAnsi="宋体" w:eastAsia="宋体" w:cs="宋体"/>
              <w:color w:val="auto"/>
              <w:spacing w:val="-6"/>
              <w:sz w:val="21"/>
              <w:szCs w:val="21"/>
              <w:highlight w:val="none"/>
            </w:rPr>
            <w:t>中标通知</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"bookmark69" </w:instrText>
          </w:r>
          <w:r>
            <w:rPr>
              <w:color w:val="auto"/>
              <w:highlight w:val="none"/>
            </w:rPr>
            <w:fldChar w:fldCharType="separate"/>
          </w:r>
          <w:r>
            <w:rPr>
              <w:rFonts w:ascii="宋体" w:hAnsi="宋体" w:eastAsia="宋体" w:cs="宋体"/>
              <w:color w:val="auto"/>
              <w:spacing w:val="-3"/>
              <w:sz w:val="21"/>
              <w:szCs w:val="21"/>
              <w:highlight w:val="none"/>
            </w:rPr>
            <w:t>26</w:t>
          </w:r>
          <w:r>
            <w:rPr>
              <w:rFonts w:ascii="宋体" w:hAnsi="宋体" w:eastAsia="宋体" w:cs="宋体"/>
              <w:color w:val="auto"/>
              <w:spacing w:val="-3"/>
              <w:sz w:val="21"/>
              <w:szCs w:val="21"/>
              <w:highlight w:val="none"/>
            </w:rPr>
            <w:fldChar w:fldCharType="end"/>
          </w:r>
        </w:p>
        <w:p w14:paraId="6278F1E4">
          <w:pPr>
            <w:tabs>
              <w:tab w:val="right" w:leader="dot" w:pos="8317"/>
            </w:tabs>
            <w:spacing w:before="22" w:line="221" w:lineRule="auto"/>
            <w:ind w:left="86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7.3</w:t>
          </w:r>
          <w:r>
            <w:rPr>
              <w:rFonts w:ascii="宋体" w:hAnsi="宋体" w:eastAsia="宋体" w:cs="宋体"/>
              <w:color w:val="auto"/>
              <w:spacing w:val="13"/>
              <w:sz w:val="21"/>
              <w:szCs w:val="21"/>
              <w:highlight w:val="none"/>
            </w:rPr>
            <w:t xml:space="preserve"> </w:t>
          </w:r>
          <w:r>
            <w:rPr>
              <w:rFonts w:ascii="宋体" w:hAnsi="宋体" w:eastAsia="宋体" w:cs="宋体"/>
              <w:color w:val="auto"/>
              <w:spacing w:val="-3"/>
              <w:sz w:val="21"/>
              <w:szCs w:val="21"/>
              <w:highlight w:val="none"/>
            </w:rPr>
            <w:t>履约保证金</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"bookmark70" </w:instrText>
          </w:r>
          <w:r>
            <w:rPr>
              <w:color w:val="auto"/>
              <w:highlight w:val="none"/>
            </w:rPr>
            <w:fldChar w:fldCharType="separate"/>
          </w:r>
          <w:r>
            <w:rPr>
              <w:rFonts w:ascii="宋体" w:hAnsi="宋体" w:eastAsia="宋体" w:cs="宋体"/>
              <w:color w:val="auto"/>
              <w:spacing w:val="-3"/>
              <w:sz w:val="21"/>
              <w:szCs w:val="21"/>
              <w:highlight w:val="none"/>
            </w:rPr>
            <w:t>26</w:t>
          </w:r>
          <w:r>
            <w:rPr>
              <w:rFonts w:ascii="宋体" w:hAnsi="宋体" w:eastAsia="宋体" w:cs="宋体"/>
              <w:color w:val="auto"/>
              <w:spacing w:val="-3"/>
              <w:sz w:val="21"/>
              <w:szCs w:val="21"/>
              <w:highlight w:val="none"/>
            </w:rPr>
            <w:fldChar w:fldCharType="end"/>
          </w:r>
        </w:p>
        <w:p w14:paraId="2C2E3F33">
          <w:pPr>
            <w:tabs>
              <w:tab w:val="right" w:leader="dot" w:pos="8317"/>
            </w:tabs>
            <w:spacing w:before="22" w:line="223" w:lineRule="auto"/>
            <w:ind w:left="86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7.4 签订合同</w:t>
          </w:r>
          <w:r>
            <w:rPr>
              <w:rFonts w:ascii="宋体" w:hAnsi="宋体" w:eastAsia="宋体" w:cs="宋体"/>
              <w:color w:val="auto"/>
              <w:spacing w:val="-7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"bookmark71" </w:instrText>
          </w:r>
          <w:r>
            <w:rPr>
              <w:color w:val="auto"/>
              <w:highlight w:val="none"/>
            </w:rPr>
            <w:fldChar w:fldCharType="separate"/>
          </w:r>
          <w:r>
            <w:rPr>
              <w:rFonts w:ascii="宋体" w:hAnsi="宋体" w:eastAsia="宋体" w:cs="宋体"/>
              <w:color w:val="auto"/>
              <w:spacing w:val="-3"/>
              <w:sz w:val="21"/>
              <w:szCs w:val="21"/>
              <w:highlight w:val="none"/>
            </w:rPr>
            <w:t>26</w:t>
          </w:r>
          <w:r>
            <w:rPr>
              <w:rFonts w:ascii="宋体" w:hAnsi="宋体" w:eastAsia="宋体" w:cs="宋体"/>
              <w:color w:val="auto"/>
              <w:spacing w:val="-3"/>
              <w:sz w:val="21"/>
              <w:szCs w:val="21"/>
              <w:highlight w:val="none"/>
            </w:rPr>
            <w:fldChar w:fldCharType="end"/>
          </w:r>
        </w:p>
        <w:p w14:paraId="7F7E8724">
          <w:pPr>
            <w:tabs>
              <w:tab w:val="right" w:leader="dot" w:pos="8317"/>
            </w:tabs>
            <w:spacing w:before="20" w:line="221"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8. 重新招标、不再招标和终止招标</w:t>
          </w:r>
          <w:r>
            <w:rPr>
              <w:rFonts w:ascii="宋体" w:hAnsi="宋体" w:eastAsia="宋体" w:cs="宋体"/>
              <w:color w:val="auto"/>
              <w:spacing w:val="-65"/>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"bookmark72" </w:instrText>
          </w:r>
          <w:r>
            <w:rPr>
              <w:color w:val="auto"/>
              <w:highlight w:val="none"/>
            </w:rPr>
            <w:fldChar w:fldCharType="separate"/>
          </w:r>
          <w:r>
            <w:rPr>
              <w:rFonts w:ascii="宋体" w:hAnsi="宋体" w:eastAsia="宋体" w:cs="宋体"/>
              <w:color w:val="auto"/>
              <w:spacing w:val="-3"/>
              <w:sz w:val="21"/>
              <w:szCs w:val="21"/>
              <w:highlight w:val="none"/>
            </w:rPr>
            <w:t>26</w:t>
          </w:r>
          <w:r>
            <w:rPr>
              <w:rFonts w:ascii="宋体" w:hAnsi="宋体" w:eastAsia="宋体" w:cs="宋体"/>
              <w:color w:val="auto"/>
              <w:spacing w:val="-3"/>
              <w:sz w:val="21"/>
              <w:szCs w:val="21"/>
              <w:highlight w:val="none"/>
            </w:rPr>
            <w:fldChar w:fldCharType="end"/>
          </w:r>
        </w:p>
        <w:p w14:paraId="4EE8E06F">
          <w:pPr>
            <w:tabs>
              <w:tab w:val="right" w:leader="dot" w:pos="8317"/>
            </w:tabs>
            <w:spacing w:before="18" w:line="221" w:lineRule="auto"/>
            <w:ind w:left="85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8.1</w:t>
          </w:r>
          <w:r>
            <w:rPr>
              <w:rFonts w:ascii="宋体" w:hAnsi="宋体" w:eastAsia="宋体" w:cs="宋体"/>
              <w:color w:val="auto"/>
              <w:spacing w:val="13"/>
              <w:sz w:val="21"/>
              <w:szCs w:val="21"/>
              <w:highlight w:val="none"/>
            </w:rPr>
            <w:t xml:space="preserve"> </w:t>
          </w:r>
          <w:r>
            <w:rPr>
              <w:rFonts w:ascii="宋体" w:hAnsi="宋体" w:eastAsia="宋体" w:cs="宋体"/>
              <w:color w:val="auto"/>
              <w:spacing w:val="-3"/>
              <w:sz w:val="21"/>
              <w:szCs w:val="21"/>
              <w:highlight w:val="none"/>
            </w:rPr>
            <w:t>重新招标</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"bookmark73" </w:instrText>
          </w:r>
          <w:r>
            <w:rPr>
              <w:color w:val="auto"/>
              <w:highlight w:val="none"/>
            </w:rPr>
            <w:fldChar w:fldCharType="separate"/>
          </w:r>
          <w:r>
            <w:rPr>
              <w:rFonts w:ascii="宋体" w:hAnsi="宋体" w:eastAsia="宋体" w:cs="宋体"/>
              <w:color w:val="auto"/>
              <w:spacing w:val="-3"/>
              <w:sz w:val="21"/>
              <w:szCs w:val="21"/>
              <w:highlight w:val="none"/>
            </w:rPr>
            <w:t>26</w:t>
          </w:r>
          <w:r>
            <w:rPr>
              <w:rFonts w:ascii="宋体" w:hAnsi="宋体" w:eastAsia="宋体" w:cs="宋体"/>
              <w:color w:val="auto"/>
              <w:spacing w:val="-3"/>
              <w:sz w:val="21"/>
              <w:szCs w:val="21"/>
              <w:highlight w:val="none"/>
            </w:rPr>
            <w:fldChar w:fldCharType="end"/>
          </w:r>
        </w:p>
        <w:p w14:paraId="44F88834">
          <w:pPr>
            <w:tabs>
              <w:tab w:val="right" w:leader="dot" w:pos="8317"/>
            </w:tabs>
            <w:spacing w:before="22" w:line="221" w:lineRule="auto"/>
            <w:ind w:left="85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8.2</w:t>
          </w:r>
          <w:r>
            <w:rPr>
              <w:rFonts w:ascii="宋体" w:hAnsi="宋体" w:eastAsia="宋体" w:cs="宋体"/>
              <w:color w:val="auto"/>
              <w:spacing w:val="13"/>
              <w:sz w:val="21"/>
              <w:szCs w:val="21"/>
              <w:highlight w:val="none"/>
            </w:rPr>
            <w:t xml:space="preserve"> </w:t>
          </w:r>
          <w:r>
            <w:rPr>
              <w:rFonts w:ascii="宋体" w:hAnsi="宋体" w:eastAsia="宋体" w:cs="宋体"/>
              <w:color w:val="auto"/>
              <w:spacing w:val="-3"/>
              <w:sz w:val="21"/>
              <w:szCs w:val="21"/>
              <w:highlight w:val="none"/>
            </w:rPr>
            <w:t>不再招标</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"bookmark74" </w:instrText>
          </w:r>
          <w:r>
            <w:rPr>
              <w:color w:val="auto"/>
              <w:highlight w:val="none"/>
            </w:rPr>
            <w:fldChar w:fldCharType="separate"/>
          </w:r>
          <w:r>
            <w:rPr>
              <w:rFonts w:ascii="宋体" w:hAnsi="宋体" w:eastAsia="宋体" w:cs="宋体"/>
              <w:color w:val="auto"/>
              <w:spacing w:val="-3"/>
              <w:sz w:val="21"/>
              <w:szCs w:val="21"/>
              <w:highlight w:val="none"/>
            </w:rPr>
            <w:t>27</w:t>
          </w:r>
          <w:r>
            <w:rPr>
              <w:rFonts w:ascii="宋体" w:hAnsi="宋体" w:eastAsia="宋体" w:cs="宋体"/>
              <w:color w:val="auto"/>
              <w:spacing w:val="-3"/>
              <w:sz w:val="21"/>
              <w:szCs w:val="21"/>
              <w:highlight w:val="none"/>
            </w:rPr>
            <w:fldChar w:fldCharType="end"/>
          </w:r>
        </w:p>
        <w:p w14:paraId="4BC56E14">
          <w:pPr>
            <w:tabs>
              <w:tab w:val="right" w:leader="dot" w:pos="8317"/>
            </w:tabs>
            <w:spacing w:before="22" w:line="221" w:lineRule="auto"/>
            <w:ind w:left="85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8.3</w:t>
          </w:r>
          <w:r>
            <w:rPr>
              <w:rFonts w:ascii="宋体" w:hAnsi="宋体" w:eastAsia="宋体" w:cs="宋体"/>
              <w:color w:val="auto"/>
              <w:spacing w:val="13"/>
              <w:sz w:val="21"/>
              <w:szCs w:val="21"/>
              <w:highlight w:val="none"/>
            </w:rPr>
            <w:t xml:space="preserve"> </w:t>
          </w:r>
          <w:r>
            <w:rPr>
              <w:rFonts w:ascii="宋体" w:hAnsi="宋体" w:eastAsia="宋体" w:cs="宋体"/>
              <w:color w:val="auto"/>
              <w:spacing w:val="-3"/>
              <w:sz w:val="21"/>
              <w:szCs w:val="21"/>
              <w:highlight w:val="none"/>
            </w:rPr>
            <w:t>终止招标</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"bookmark75" </w:instrText>
          </w:r>
          <w:r>
            <w:rPr>
              <w:color w:val="auto"/>
              <w:highlight w:val="none"/>
            </w:rPr>
            <w:fldChar w:fldCharType="separate"/>
          </w:r>
          <w:r>
            <w:rPr>
              <w:rFonts w:ascii="宋体" w:hAnsi="宋体" w:eastAsia="宋体" w:cs="宋体"/>
              <w:color w:val="auto"/>
              <w:spacing w:val="-3"/>
              <w:sz w:val="21"/>
              <w:szCs w:val="21"/>
              <w:highlight w:val="none"/>
            </w:rPr>
            <w:t>27</w:t>
          </w:r>
          <w:r>
            <w:rPr>
              <w:rFonts w:ascii="宋体" w:hAnsi="宋体" w:eastAsia="宋体" w:cs="宋体"/>
              <w:color w:val="auto"/>
              <w:spacing w:val="-3"/>
              <w:sz w:val="21"/>
              <w:szCs w:val="21"/>
              <w:highlight w:val="none"/>
            </w:rPr>
            <w:fldChar w:fldCharType="end"/>
          </w:r>
        </w:p>
        <w:p w14:paraId="08A269BE">
          <w:pPr>
            <w:tabs>
              <w:tab w:val="right" w:leader="dot" w:pos="8317"/>
            </w:tabs>
            <w:spacing w:before="22" w:line="221" w:lineRule="auto"/>
            <w:ind w:left="44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9.</w:t>
          </w:r>
          <w:r>
            <w:rPr>
              <w:rFonts w:ascii="宋体" w:hAnsi="宋体" w:eastAsia="宋体" w:cs="宋体"/>
              <w:color w:val="auto"/>
              <w:spacing w:val="14"/>
              <w:sz w:val="21"/>
              <w:szCs w:val="21"/>
              <w:highlight w:val="none"/>
            </w:rPr>
            <w:t xml:space="preserve"> </w:t>
          </w:r>
          <w:r>
            <w:rPr>
              <w:rFonts w:ascii="宋体" w:hAnsi="宋体" w:eastAsia="宋体" w:cs="宋体"/>
              <w:color w:val="auto"/>
              <w:spacing w:val="-3"/>
              <w:sz w:val="21"/>
              <w:szCs w:val="21"/>
              <w:highlight w:val="none"/>
            </w:rPr>
            <w:t>纪律和监督</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"bookmark76" </w:instrText>
          </w:r>
          <w:r>
            <w:rPr>
              <w:color w:val="auto"/>
              <w:highlight w:val="none"/>
            </w:rPr>
            <w:fldChar w:fldCharType="separate"/>
          </w:r>
          <w:r>
            <w:rPr>
              <w:rFonts w:ascii="宋体" w:hAnsi="宋体" w:eastAsia="宋体" w:cs="宋体"/>
              <w:color w:val="auto"/>
              <w:spacing w:val="-3"/>
              <w:sz w:val="21"/>
              <w:szCs w:val="21"/>
              <w:highlight w:val="none"/>
            </w:rPr>
            <w:t>27</w:t>
          </w:r>
          <w:r>
            <w:rPr>
              <w:rFonts w:ascii="宋体" w:hAnsi="宋体" w:eastAsia="宋体" w:cs="宋体"/>
              <w:color w:val="auto"/>
              <w:spacing w:val="-3"/>
              <w:sz w:val="21"/>
              <w:szCs w:val="21"/>
              <w:highlight w:val="none"/>
            </w:rPr>
            <w:fldChar w:fldCharType="end"/>
          </w:r>
        </w:p>
        <w:p w14:paraId="44154290">
          <w:pPr>
            <w:tabs>
              <w:tab w:val="right" w:leader="dot" w:pos="8317"/>
            </w:tabs>
            <w:spacing w:before="17" w:line="221" w:lineRule="auto"/>
            <w:ind w:left="85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9.1 对招标人的纪律要求</w:t>
          </w:r>
          <w:r>
            <w:rPr>
              <w:rFonts w:ascii="宋体" w:hAnsi="宋体" w:eastAsia="宋体" w:cs="宋体"/>
              <w:color w:val="auto"/>
              <w:spacing w:val="-7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"bookmark77" </w:instrText>
          </w:r>
          <w:r>
            <w:rPr>
              <w:color w:val="auto"/>
              <w:highlight w:val="none"/>
            </w:rPr>
            <w:fldChar w:fldCharType="separate"/>
          </w:r>
          <w:r>
            <w:rPr>
              <w:rFonts w:ascii="宋体" w:hAnsi="宋体" w:eastAsia="宋体" w:cs="宋体"/>
              <w:color w:val="auto"/>
              <w:spacing w:val="-3"/>
              <w:sz w:val="21"/>
              <w:szCs w:val="21"/>
              <w:highlight w:val="none"/>
            </w:rPr>
            <w:t>27</w:t>
          </w:r>
          <w:r>
            <w:rPr>
              <w:rFonts w:ascii="宋体" w:hAnsi="宋体" w:eastAsia="宋体" w:cs="宋体"/>
              <w:color w:val="auto"/>
              <w:spacing w:val="-3"/>
              <w:sz w:val="21"/>
              <w:szCs w:val="21"/>
              <w:highlight w:val="none"/>
            </w:rPr>
            <w:fldChar w:fldCharType="end"/>
          </w:r>
        </w:p>
        <w:p w14:paraId="562964E1">
          <w:pPr>
            <w:tabs>
              <w:tab w:val="right" w:leader="dot" w:pos="8317"/>
            </w:tabs>
            <w:spacing w:before="22" w:line="221" w:lineRule="auto"/>
            <w:ind w:left="85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9.2 对投标人的纪律要求</w:t>
          </w:r>
          <w:r>
            <w:rPr>
              <w:rFonts w:ascii="宋体" w:hAnsi="宋体" w:eastAsia="宋体" w:cs="宋体"/>
              <w:color w:val="auto"/>
              <w:spacing w:val="-7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"bookmark78" </w:instrText>
          </w:r>
          <w:r>
            <w:rPr>
              <w:color w:val="auto"/>
              <w:highlight w:val="none"/>
            </w:rPr>
            <w:fldChar w:fldCharType="separate"/>
          </w:r>
          <w:r>
            <w:rPr>
              <w:rFonts w:ascii="宋体" w:hAnsi="宋体" w:eastAsia="宋体" w:cs="宋体"/>
              <w:color w:val="auto"/>
              <w:spacing w:val="-3"/>
              <w:sz w:val="21"/>
              <w:szCs w:val="21"/>
              <w:highlight w:val="none"/>
            </w:rPr>
            <w:t>27</w:t>
          </w:r>
          <w:r>
            <w:rPr>
              <w:rFonts w:ascii="宋体" w:hAnsi="宋体" w:eastAsia="宋体" w:cs="宋体"/>
              <w:color w:val="auto"/>
              <w:spacing w:val="-3"/>
              <w:sz w:val="21"/>
              <w:szCs w:val="21"/>
              <w:highlight w:val="none"/>
            </w:rPr>
            <w:fldChar w:fldCharType="end"/>
          </w:r>
        </w:p>
        <w:p w14:paraId="42EC06CC">
          <w:pPr>
            <w:tabs>
              <w:tab w:val="right" w:leader="dot" w:pos="8317"/>
            </w:tabs>
            <w:spacing w:before="23" w:line="220" w:lineRule="auto"/>
            <w:ind w:left="85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9.3 对评标委员会成员的纪律要求</w:t>
          </w:r>
          <w:r>
            <w:rPr>
              <w:rFonts w:ascii="宋体" w:hAnsi="宋体" w:eastAsia="宋体" w:cs="宋体"/>
              <w:color w:val="auto"/>
              <w:spacing w:val="-6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"bookmark79" </w:instrText>
          </w:r>
          <w:r>
            <w:rPr>
              <w:color w:val="auto"/>
              <w:highlight w:val="none"/>
            </w:rPr>
            <w:fldChar w:fldCharType="separate"/>
          </w:r>
          <w:r>
            <w:rPr>
              <w:rFonts w:ascii="宋体" w:hAnsi="宋体" w:eastAsia="宋体" w:cs="宋体"/>
              <w:color w:val="auto"/>
              <w:spacing w:val="-3"/>
              <w:sz w:val="21"/>
              <w:szCs w:val="21"/>
              <w:highlight w:val="none"/>
            </w:rPr>
            <w:t>27</w:t>
          </w:r>
          <w:r>
            <w:rPr>
              <w:rFonts w:ascii="宋体" w:hAnsi="宋体" w:eastAsia="宋体" w:cs="宋体"/>
              <w:color w:val="auto"/>
              <w:spacing w:val="-3"/>
              <w:sz w:val="21"/>
              <w:szCs w:val="21"/>
              <w:highlight w:val="none"/>
            </w:rPr>
            <w:fldChar w:fldCharType="end"/>
          </w:r>
        </w:p>
        <w:p w14:paraId="085801F8">
          <w:pPr>
            <w:tabs>
              <w:tab w:val="right" w:leader="dot" w:pos="8317"/>
            </w:tabs>
            <w:spacing w:before="23" w:line="221" w:lineRule="auto"/>
            <w:ind w:left="85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9.4 对与评标活动有关的工作人员的纪律要求</w:t>
          </w:r>
          <w:r>
            <w:rPr>
              <w:rFonts w:ascii="宋体" w:hAnsi="宋体" w:eastAsia="宋体" w:cs="宋体"/>
              <w:color w:val="auto"/>
              <w:spacing w:val="-4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"bookmark80" </w:instrText>
          </w:r>
          <w:r>
            <w:rPr>
              <w:color w:val="auto"/>
              <w:highlight w:val="none"/>
            </w:rPr>
            <w:fldChar w:fldCharType="separate"/>
          </w:r>
          <w:r>
            <w:rPr>
              <w:rFonts w:ascii="宋体" w:hAnsi="宋体" w:eastAsia="宋体" w:cs="宋体"/>
              <w:color w:val="auto"/>
              <w:spacing w:val="-3"/>
              <w:sz w:val="21"/>
              <w:szCs w:val="21"/>
              <w:highlight w:val="none"/>
            </w:rPr>
            <w:t>27</w:t>
          </w:r>
          <w:r>
            <w:rPr>
              <w:rFonts w:ascii="宋体" w:hAnsi="宋体" w:eastAsia="宋体" w:cs="宋体"/>
              <w:color w:val="auto"/>
              <w:spacing w:val="-3"/>
              <w:sz w:val="21"/>
              <w:szCs w:val="21"/>
              <w:highlight w:val="none"/>
            </w:rPr>
            <w:fldChar w:fldCharType="end"/>
          </w:r>
        </w:p>
        <w:p w14:paraId="763B555B">
          <w:pPr>
            <w:tabs>
              <w:tab w:val="right" w:leader="dot" w:pos="8317"/>
            </w:tabs>
            <w:spacing w:before="18" w:line="221" w:lineRule="auto"/>
            <w:ind w:left="85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9.5</w:t>
          </w:r>
          <w:r>
            <w:rPr>
              <w:rFonts w:ascii="宋体" w:hAnsi="宋体" w:eastAsia="宋体" w:cs="宋体"/>
              <w:color w:val="auto"/>
              <w:spacing w:val="15"/>
              <w:sz w:val="21"/>
              <w:szCs w:val="21"/>
              <w:highlight w:val="none"/>
            </w:rPr>
            <w:t xml:space="preserve"> </w:t>
          </w:r>
          <w:r>
            <w:rPr>
              <w:rFonts w:ascii="宋体" w:hAnsi="宋体" w:eastAsia="宋体" w:cs="宋体"/>
              <w:color w:val="auto"/>
              <w:spacing w:val="-4"/>
              <w:sz w:val="21"/>
              <w:szCs w:val="21"/>
              <w:highlight w:val="none"/>
            </w:rPr>
            <w:t>投诉</w:t>
          </w:r>
          <w:r>
            <w:rPr>
              <w:rFonts w:ascii="宋体" w:hAnsi="宋体" w:eastAsia="宋体" w:cs="宋体"/>
              <w:color w:val="auto"/>
              <w:spacing w:val="-8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"bookmark81" </w:instrText>
          </w:r>
          <w:r>
            <w:rPr>
              <w:color w:val="auto"/>
              <w:highlight w:val="none"/>
            </w:rPr>
            <w:fldChar w:fldCharType="separate"/>
          </w:r>
          <w:r>
            <w:rPr>
              <w:rFonts w:ascii="宋体" w:hAnsi="宋体" w:eastAsia="宋体" w:cs="宋体"/>
              <w:color w:val="auto"/>
              <w:spacing w:val="-3"/>
              <w:sz w:val="21"/>
              <w:szCs w:val="21"/>
              <w:highlight w:val="none"/>
            </w:rPr>
            <w:t>27</w:t>
          </w:r>
          <w:r>
            <w:rPr>
              <w:rFonts w:ascii="宋体" w:hAnsi="宋体" w:eastAsia="宋体" w:cs="宋体"/>
              <w:color w:val="auto"/>
              <w:spacing w:val="-3"/>
              <w:sz w:val="21"/>
              <w:szCs w:val="21"/>
              <w:highlight w:val="none"/>
            </w:rPr>
            <w:fldChar w:fldCharType="end"/>
          </w:r>
        </w:p>
        <w:p w14:paraId="70E6AB87">
          <w:pPr>
            <w:tabs>
              <w:tab w:val="right" w:leader="dot" w:pos="8317"/>
            </w:tabs>
            <w:spacing w:before="22" w:line="221" w:lineRule="auto"/>
            <w:ind w:left="456"/>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10.</w:t>
          </w:r>
          <w:r>
            <w:rPr>
              <w:rFonts w:ascii="宋体" w:hAnsi="宋体" w:eastAsia="宋体" w:cs="宋体"/>
              <w:color w:val="auto"/>
              <w:spacing w:val="26"/>
              <w:sz w:val="21"/>
              <w:szCs w:val="21"/>
              <w:highlight w:val="none"/>
            </w:rPr>
            <w:t xml:space="preserve"> </w:t>
          </w:r>
          <w:r>
            <w:rPr>
              <w:rFonts w:ascii="宋体" w:hAnsi="宋体" w:eastAsia="宋体" w:cs="宋体"/>
              <w:color w:val="auto"/>
              <w:spacing w:val="-4"/>
              <w:sz w:val="21"/>
              <w:szCs w:val="21"/>
              <w:highlight w:val="none"/>
            </w:rPr>
            <w:t>需要补充的其他内容</w:t>
          </w:r>
          <w:r>
            <w:rPr>
              <w:rFonts w:ascii="宋体" w:hAnsi="宋体" w:eastAsia="宋体" w:cs="宋体"/>
              <w:color w:val="auto"/>
              <w:spacing w:val="-8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"bookmark82" </w:instrText>
          </w:r>
          <w:r>
            <w:rPr>
              <w:color w:val="auto"/>
              <w:highlight w:val="none"/>
            </w:rPr>
            <w:fldChar w:fldCharType="separate"/>
          </w:r>
          <w:r>
            <w:rPr>
              <w:rFonts w:ascii="宋体" w:hAnsi="宋体" w:eastAsia="宋体" w:cs="宋体"/>
              <w:color w:val="auto"/>
              <w:spacing w:val="-3"/>
              <w:sz w:val="21"/>
              <w:szCs w:val="21"/>
              <w:highlight w:val="none"/>
            </w:rPr>
            <w:t>28</w:t>
          </w:r>
          <w:r>
            <w:rPr>
              <w:rFonts w:ascii="宋体" w:hAnsi="宋体" w:eastAsia="宋体" w:cs="宋体"/>
              <w:color w:val="auto"/>
              <w:spacing w:val="-3"/>
              <w:sz w:val="21"/>
              <w:szCs w:val="21"/>
              <w:highlight w:val="none"/>
            </w:rPr>
            <w:fldChar w:fldCharType="end"/>
          </w:r>
        </w:p>
        <w:p w14:paraId="6540EFFF">
          <w:pPr>
            <w:tabs>
              <w:tab w:val="right" w:leader="dot" w:pos="8317"/>
            </w:tabs>
            <w:spacing w:before="23" w:line="221" w:lineRule="auto"/>
            <w:ind w:left="87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10.1</w:t>
          </w:r>
          <w:r>
            <w:rPr>
              <w:rFonts w:ascii="宋体" w:hAnsi="宋体" w:eastAsia="宋体" w:cs="宋体"/>
              <w:color w:val="auto"/>
              <w:spacing w:val="10"/>
              <w:sz w:val="21"/>
              <w:szCs w:val="21"/>
              <w:highlight w:val="none"/>
            </w:rPr>
            <w:t xml:space="preserve"> </w:t>
          </w:r>
          <w:r>
            <w:rPr>
              <w:rFonts w:ascii="宋体" w:hAnsi="宋体" w:eastAsia="宋体" w:cs="宋体"/>
              <w:color w:val="auto"/>
              <w:spacing w:val="-4"/>
              <w:sz w:val="21"/>
              <w:szCs w:val="21"/>
              <w:highlight w:val="none"/>
            </w:rPr>
            <w:t>词语定义</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"bookmark83" </w:instrText>
          </w:r>
          <w:r>
            <w:rPr>
              <w:color w:val="auto"/>
              <w:highlight w:val="none"/>
            </w:rPr>
            <w:fldChar w:fldCharType="separate"/>
          </w:r>
          <w:r>
            <w:rPr>
              <w:rFonts w:ascii="宋体" w:hAnsi="宋体" w:eastAsia="宋体" w:cs="宋体"/>
              <w:color w:val="auto"/>
              <w:spacing w:val="-3"/>
              <w:sz w:val="21"/>
              <w:szCs w:val="21"/>
              <w:highlight w:val="none"/>
            </w:rPr>
            <w:t>28</w:t>
          </w:r>
          <w:r>
            <w:rPr>
              <w:rFonts w:ascii="宋体" w:hAnsi="宋体" w:eastAsia="宋体" w:cs="宋体"/>
              <w:color w:val="auto"/>
              <w:spacing w:val="-3"/>
              <w:sz w:val="21"/>
              <w:szCs w:val="21"/>
              <w:highlight w:val="none"/>
            </w:rPr>
            <w:fldChar w:fldCharType="end"/>
          </w:r>
        </w:p>
        <w:p w14:paraId="59E2C07B">
          <w:pPr>
            <w:tabs>
              <w:tab w:val="right" w:leader="dot" w:pos="8317"/>
            </w:tabs>
            <w:spacing w:before="22" w:line="221" w:lineRule="auto"/>
            <w:ind w:left="874"/>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10.2</w:t>
          </w:r>
          <w:r>
            <w:rPr>
              <w:rFonts w:ascii="宋体" w:hAnsi="宋体" w:eastAsia="宋体" w:cs="宋体"/>
              <w:color w:val="auto"/>
              <w:spacing w:val="38"/>
              <w:sz w:val="21"/>
              <w:szCs w:val="21"/>
              <w:highlight w:val="none"/>
            </w:rPr>
            <w:t xml:space="preserve"> </w:t>
          </w:r>
          <w:r>
            <w:rPr>
              <w:rFonts w:ascii="宋体" w:hAnsi="宋体" w:eastAsia="宋体" w:cs="宋体"/>
              <w:color w:val="auto"/>
              <w:spacing w:val="-5"/>
              <w:sz w:val="21"/>
              <w:szCs w:val="21"/>
              <w:highlight w:val="none"/>
            </w:rPr>
            <w:t>中标人的投标文件</w:t>
          </w:r>
          <w:r>
            <w:rPr>
              <w:rFonts w:ascii="宋体" w:hAnsi="宋体" w:eastAsia="宋体" w:cs="宋体"/>
              <w:color w:val="auto"/>
              <w:spacing w:val="-7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"bookmark84" </w:instrText>
          </w:r>
          <w:r>
            <w:rPr>
              <w:color w:val="auto"/>
              <w:highlight w:val="none"/>
            </w:rPr>
            <w:fldChar w:fldCharType="separate"/>
          </w:r>
          <w:r>
            <w:rPr>
              <w:rFonts w:ascii="宋体" w:hAnsi="宋体" w:eastAsia="宋体" w:cs="宋体"/>
              <w:color w:val="auto"/>
              <w:spacing w:val="-3"/>
              <w:sz w:val="21"/>
              <w:szCs w:val="21"/>
              <w:highlight w:val="none"/>
            </w:rPr>
            <w:t>28</w:t>
          </w:r>
          <w:r>
            <w:rPr>
              <w:rFonts w:ascii="宋体" w:hAnsi="宋体" w:eastAsia="宋体" w:cs="宋体"/>
              <w:color w:val="auto"/>
              <w:spacing w:val="-3"/>
              <w:sz w:val="21"/>
              <w:szCs w:val="21"/>
              <w:highlight w:val="none"/>
            </w:rPr>
            <w:fldChar w:fldCharType="end"/>
          </w:r>
        </w:p>
        <w:p w14:paraId="08285CD7">
          <w:pPr>
            <w:tabs>
              <w:tab w:val="right" w:leader="dot" w:pos="8317"/>
            </w:tabs>
            <w:spacing w:before="17" w:line="221" w:lineRule="auto"/>
            <w:ind w:left="874"/>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10.3</w:t>
          </w:r>
          <w:r>
            <w:rPr>
              <w:rFonts w:ascii="宋体" w:hAnsi="宋体" w:eastAsia="宋体" w:cs="宋体"/>
              <w:color w:val="auto"/>
              <w:spacing w:val="18"/>
              <w:sz w:val="21"/>
              <w:szCs w:val="21"/>
              <w:highlight w:val="none"/>
            </w:rPr>
            <w:t xml:space="preserve"> </w:t>
          </w:r>
          <w:r>
            <w:rPr>
              <w:rFonts w:ascii="宋体" w:hAnsi="宋体" w:eastAsia="宋体" w:cs="宋体"/>
              <w:color w:val="auto"/>
              <w:spacing w:val="-5"/>
              <w:sz w:val="21"/>
              <w:szCs w:val="21"/>
              <w:highlight w:val="none"/>
            </w:rPr>
            <w:t>知识产权</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"bookmark85" </w:instrText>
          </w:r>
          <w:r>
            <w:rPr>
              <w:color w:val="auto"/>
              <w:highlight w:val="none"/>
            </w:rPr>
            <w:fldChar w:fldCharType="separate"/>
          </w:r>
          <w:r>
            <w:rPr>
              <w:rFonts w:ascii="宋体" w:hAnsi="宋体" w:eastAsia="宋体" w:cs="宋体"/>
              <w:color w:val="auto"/>
              <w:spacing w:val="-3"/>
              <w:sz w:val="21"/>
              <w:szCs w:val="21"/>
              <w:highlight w:val="none"/>
            </w:rPr>
            <w:t>28</w:t>
          </w:r>
          <w:r>
            <w:rPr>
              <w:rFonts w:ascii="宋体" w:hAnsi="宋体" w:eastAsia="宋体" w:cs="宋体"/>
              <w:color w:val="auto"/>
              <w:spacing w:val="-3"/>
              <w:sz w:val="21"/>
              <w:szCs w:val="21"/>
              <w:highlight w:val="none"/>
            </w:rPr>
            <w:fldChar w:fldCharType="end"/>
          </w:r>
        </w:p>
        <w:p w14:paraId="14B80653">
          <w:pPr>
            <w:tabs>
              <w:tab w:val="right" w:leader="dot" w:pos="8317"/>
            </w:tabs>
            <w:spacing w:before="23" w:line="221" w:lineRule="auto"/>
            <w:ind w:left="874"/>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10.4</w:t>
          </w:r>
          <w:r>
            <w:rPr>
              <w:rFonts w:ascii="宋体" w:hAnsi="宋体" w:eastAsia="宋体" w:cs="宋体"/>
              <w:color w:val="auto"/>
              <w:spacing w:val="34"/>
              <w:sz w:val="21"/>
              <w:szCs w:val="21"/>
              <w:highlight w:val="none"/>
            </w:rPr>
            <w:t xml:space="preserve"> </w:t>
          </w:r>
          <w:r>
            <w:rPr>
              <w:rFonts w:ascii="宋体" w:hAnsi="宋体" w:eastAsia="宋体" w:cs="宋体"/>
              <w:color w:val="auto"/>
              <w:spacing w:val="-7"/>
              <w:sz w:val="21"/>
              <w:szCs w:val="21"/>
              <w:highlight w:val="none"/>
            </w:rPr>
            <w:t>同义词语</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"bookmark86" </w:instrText>
          </w:r>
          <w:r>
            <w:rPr>
              <w:color w:val="auto"/>
              <w:highlight w:val="none"/>
            </w:rPr>
            <w:fldChar w:fldCharType="separate"/>
          </w:r>
          <w:r>
            <w:rPr>
              <w:rFonts w:ascii="宋体" w:hAnsi="宋体" w:eastAsia="宋体" w:cs="宋体"/>
              <w:color w:val="auto"/>
              <w:spacing w:val="-3"/>
              <w:sz w:val="21"/>
              <w:szCs w:val="21"/>
              <w:highlight w:val="none"/>
            </w:rPr>
            <w:t>28</w:t>
          </w:r>
          <w:r>
            <w:rPr>
              <w:rFonts w:ascii="宋体" w:hAnsi="宋体" w:eastAsia="宋体" w:cs="宋体"/>
              <w:color w:val="auto"/>
              <w:spacing w:val="-3"/>
              <w:sz w:val="21"/>
              <w:szCs w:val="21"/>
              <w:highlight w:val="none"/>
            </w:rPr>
            <w:fldChar w:fldCharType="end"/>
          </w:r>
        </w:p>
        <w:p w14:paraId="1EE08EE0">
          <w:pPr>
            <w:tabs>
              <w:tab w:val="right" w:leader="dot" w:pos="8317"/>
            </w:tabs>
            <w:spacing w:before="22" w:line="221" w:lineRule="auto"/>
            <w:ind w:left="87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10.5</w:t>
          </w:r>
          <w:r>
            <w:rPr>
              <w:rFonts w:ascii="宋体" w:hAnsi="宋体" w:eastAsia="宋体" w:cs="宋体"/>
              <w:color w:val="auto"/>
              <w:spacing w:val="10"/>
              <w:sz w:val="21"/>
              <w:szCs w:val="21"/>
              <w:highlight w:val="none"/>
            </w:rPr>
            <w:t xml:space="preserve"> </w:t>
          </w:r>
          <w:r>
            <w:rPr>
              <w:rFonts w:ascii="宋体" w:hAnsi="宋体" w:eastAsia="宋体" w:cs="宋体"/>
              <w:color w:val="auto"/>
              <w:spacing w:val="-4"/>
              <w:sz w:val="21"/>
              <w:szCs w:val="21"/>
              <w:highlight w:val="none"/>
            </w:rPr>
            <w:t>解释权</w:t>
          </w:r>
          <w:r>
            <w:rPr>
              <w:rFonts w:ascii="宋体" w:hAnsi="宋体" w:eastAsia="宋体" w:cs="宋体"/>
              <w:color w:val="auto"/>
              <w:spacing w:val="-8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"bookmark87" </w:instrText>
          </w:r>
          <w:r>
            <w:rPr>
              <w:color w:val="auto"/>
              <w:highlight w:val="none"/>
            </w:rPr>
            <w:fldChar w:fldCharType="separate"/>
          </w:r>
          <w:r>
            <w:rPr>
              <w:rFonts w:ascii="宋体" w:hAnsi="宋体" w:eastAsia="宋体" w:cs="宋体"/>
              <w:color w:val="auto"/>
              <w:spacing w:val="-3"/>
              <w:sz w:val="21"/>
              <w:szCs w:val="21"/>
              <w:highlight w:val="none"/>
            </w:rPr>
            <w:t>28</w:t>
          </w:r>
          <w:r>
            <w:rPr>
              <w:rFonts w:ascii="宋体" w:hAnsi="宋体" w:eastAsia="宋体" w:cs="宋体"/>
              <w:color w:val="auto"/>
              <w:spacing w:val="-3"/>
              <w:sz w:val="21"/>
              <w:szCs w:val="21"/>
              <w:highlight w:val="none"/>
            </w:rPr>
            <w:fldChar w:fldCharType="end"/>
          </w:r>
        </w:p>
        <w:p w14:paraId="3397E293">
          <w:pPr>
            <w:tabs>
              <w:tab w:val="right" w:leader="dot" w:pos="8317"/>
            </w:tabs>
            <w:spacing w:before="17" w:line="221" w:lineRule="auto"/>
            <w:ind w:left="87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10.6 招标人补充的其他内容</w:t>
          </w:r>
          <w:r>
            <w:rPr>
              <w:rFonts w:ascii="宋体" w:hAnsi="宋体" w:eastAsia="宋体" w:cs="宋体"/>
              <w:color w:val="auto"/>
              <w:spacing w:val="-6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"bookmark88" </w:instrText>
          </w:r>
          <w:r>
            <w:rPr>
              <w:color w:val="auto"/>
              <w:highlight w:val="none"/>
            </w:rPr>
            <w:fldChar w:fldCharType="separate"/>
          </w:r>
          <w:r>
            <w:rPr>
              <w:rFonts w:ascii="宋体" w:hAnsi="宋体" w:eastAsia="宋体" w:cs="宋体"/>
              <w:color w:val="auto"/>
              <w:spacing w:val="-3"/>
              <w:sz w:val="21"/>
              <w:szCs w:val="21"/>
              <w:highlight w:val="none"/>
            </w:rPr>
            <w:t>28</w:t>
          </w:r>
          <w:r>
            <w:rPr>
              <w:rFonts w:ascii="宋体" w:hAnsi="宋体" w:eastAsia="宋体" w:cs="宋体"/>
              <w:color w:val="auto"/>
              <w:spacing w:val="-3"/>
              <w:sz w:val="21"/>
              <w:szCs w:val="21"/>
              <w:highlight w:val="none"/>
            </w:rPr>
            <w:fldChar w:fldCharType="end"/>
          </w:r>
        </w:p>
        <w:p w14:paraId="382333AE">
          <w:pPr>
            <w:tabs>
              <w:tab w:val="right" w:leader="dot" w:pos="8317"/>
            </w:tabs>
            <w:spacing w:before="23" w:line="220" w:lineRule="auto"/>
            <w:ind w:left="87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附表一：招标文件澄清申请函</w:t>
          </w:r>
          <w:r>
            <w:rPr>
              <w:rFonts w:ascii="宋体" w:hAnsi="宋体" w:eastAsia="宋体" w:cs="宋体"/>
              <w:color w:val="auto"/>
              <w:spacing w:val="-7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"bookmark89" </w:instrText>
          </w:r>
          <w:r>
            <w:rPr>
              <w:color w:val="auto"/>
              <w:highlight w:val="none"/>
            </w:rPr>
            <w:fldChar w:fldCharType="separate"/>
          </w:r>
          <w:r>
            <w:rPr>
              <w:rFonts w:ascii="宋体" w:hAnsi="宋体" w:eastAsia="宋体" w:cs="宋体"/>
              <w:color w:val="auto"/>
              <w:spacing w:val="-3"/>
              <w:sz w:val="21"/>
              <w:szCs w:val="21"/>
              <w:highlight w:val="none"/>
            </w:rPr>
            <w:t>29</w:t>
          </w:r>
          <w:r>
            <w:rPr>
              <w:rFonts w:ascii="宋体" w:hAnsi="宋体" w:eastAsia="宋体" w:cs="宋体"/>
              <w:color w:val="auto"/>
              <w:spacing w:val="-3"/>
              <w:sz w:val="21"/>
              <w:szCs w:val="21"/>
              <w:highlight w:val="none"/>
            </w:rPr>
            <w:fldChar w:fldCharType="end"/>
          </w:r>
        </w:p>
        <w:p w14:paraId="5CB9DE0C">
          <w:pPr>
            <w:tabs>
              <w:tab w:val="right" w:leader="dot" w:pos="8317"/>
            </w:tabs>
            <w:spacing w:before="23" w:line="220" w:lineRule="auto"/>
            <w:ind w:left="87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附表二：招标文件澄清通知</w:t>
          </w:r>
          <w:r>
            <w:rPr>
              <w:rFonts w:ascii="宋体" w:hAnsi="宋体" w:eastAsia="宋体" w:cs="宋体"/>
              <w:color w:val="auto"/>
              <w:spacing w:val="-7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"bookmark90" </w:instrText>
          </w:r>
          <w:r>
            <w:rPr>
              <w:color w:val="auto"/>
              <w:highlight w:val="none"/>
            </w:rPr>
            <w:fldChar w:fldCharType="separate"/>
          </w:r>
          <w:r>
            <w:rPr>
              <w:rFonts w:ascii="宋体" w:hAnsi="宋体" w:eastAsia="宋体" w:cs="宋体"/>
              <w:color w:val="auto"/>
              <w:spacing w:val="-3"/>
              <w:sz w:val="21"/>
              <w:szCs w:val="21"/>
              <w:highlight w:val="none"/>
            </w:rPr>
            <w:t>30</w:t>
          </w:r>
          <w:r>
            <w:rPr>
              <w:rFonts w:ascii="宋体" w:hAnsi="宋体" w:eastAsia="宋体" w:cs="宋体"/>
              <w:color w:val="auto"/>
              <w:spacing w:val="-3"/>
              <w:sz w:val="21"/>
              <w:szCs w:val="21"/>
              <w:highlight w:val="none"/>
            </w:rPr>
            <w:fldChar w:fldCharType="end"/>
          </w:r>
        </w:p>
        <w:p w14:paraId="5A9FE112">
          <w:pPr>
            <w:tabs>
              <w:tab w:val="right" w:leader="dot" w:pos="8317"/>
            </w:tabs>
            <w:spacing w:before="24" w:line="220" w:lineRule="auto"/>
            <w:ind w:left="87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附表三：招标文件修改通知</w:t>
          </w:r>
          <w:r>
            <w:rPr>
              <w:rFonts w:ascii="宋体" w:hAnsi="宋体" w:eastAsia="宋体" w:cs="宋体"/>
              <w:color w:val="auto"/>
              <w:spacing w:val="-7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"bookmark91" </w:instrText>
          </w:r>
          <w:r>
            <w:rPr>
              <w:color w:val="auto"/>
              <w:highlight w:val="none"/>
            </w:rPr>
            <w:fldChar w:fldCharType="separate"/>
          </w:r>
          <w:r>
            <w:rPr>
              <w:rFonts w:ascii="宋体" w:hAnsi="宋体" w:eastAsia="宋体" w:cs="宋体"/>
              <w:color w:val="auto"/>
              <w:spacing w:val="-3"/>
              <w:sz w:val="21"/>
              <w:szCs w:val="21"/>
              <w:highlight w:val="none"/>
            </w:rPr>
            <w:t>31</w:t>
          </w:r>
          <w:r>
            <w:rPr>
              <w:rFonts w:ascii="宋体" w:hAnsi="宋体" w:eastAsia="宋体" w:cs="宋体"/>
              <w:color w:val="auto"/>
              <w:spacing w:val="-3"/>
              <w:sz w:val="21"/>
              <w:szCs w:val="21"/>
              <w:highlight w:val="none"/>
            </w:rPr>
            <w:fldChar w:fldCharType="end"/>
          </w:r>
        </w:p>
        <w:p w14:paraId="754D7D62">
          <w:pPr>
            <w:tabs>
              <w:tab w:val="right" w:leader="dot" w:pos="8317"/>
            </w:tabs>
            <w:spacing w:before="18" w:line="220" w:lineRule="auto"/>
            <w:ind w:left="87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附表四：投标文件递交电子签收凭证</w:t>
          </w:r>
          <w:r>
            <w:rPr>
              <w:rFonts w:ascii="宋体" w:hAnsi="宋体" w:eastAsia="宋体" w:cs="宋体"/>
              <w:color w:val="auto"/>
              <w:spacing w:val="-6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"bookmark92" </w:instrText>
          </w:r>
          <w:r>
            <w:rPr>
              <w:color w:val="auto"/>
              <w:highlight w:val="none"/>
            </w:rPr>
            <w:fldChar w:fldCharType="separate"/>
          </w:r>
          <w:r>
            <w:rPr>
              <w:rFonts w:ascii="宋体" w:hAnsi="宋体" w:eastAsia="宋体" w:cs="宋体"/>
              <w:color w:val="auto"/>
              <w:spacing w:val="-3"/>
              <w:sz w:val="21"/>
              <w:szCs w:val="21"/>
              <w:highlight w:val="none"/>
            </w:rPr>
            <w:t>32</w:t>
          </w:r>
          <w:r>
            <w:rPr>
              <w:rFonts w:ascii="宋体" w:hAnsi="宋体" w:eastAsia="宋体" w:cs="宋体"/>
              <w:color w:val="auto"/>
              <w:spacing w:val="-3"/>
              <w:sz w:val="21"/>
              <w:szCs w:val="21"/>
              <w:highlight w:val="none"/>
            </w:rPr>
            <w:fldChar w:fldCharType="end"/>
          </w:r>
        </w:p>
        <w:p w14:paraId="1D21AE2E">
          <w:pPr>
            <w:tabs>
              <w:tab w:val="right" w:leader="dot" w:pos="8317"/>
            </w:tabs>
            <w:spacing w:before="23" w:line="220" w:lineRule="auto"/>
            <w:ind w:left="87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附表五：开标记录表</w:t>
          </w:r>
          <w:r>
            <w:rPr>
              <w:rFonts w:ascii="宋体" w:hAnsi="宋体" w:eastAsia="宋体" w:cs="宋体"/>
              <w:color w:val="auto"/>
              <w:spacing w:val="-7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"bookmark93" </w:instrText>
          </w:r>
          <w:r>
            <w:rPr>
              <w:color w:val="auto"/>
              <w:highlight w:val="none"/>
            </w:rPr>
            <w:fldChar w:fldCharType="separate"/>
          </w:r>
          <w:r>
            <w:rPr>
              <w:rFonts w:ascii="宋体" w:hAnsi="宋体" w:eastAsia="宋体" w:cs="宋体"/>
              <w:color w:val="auto"/>
              <w:spacing w:val="-3"/>
              <w:sz w:val="21"/>
              <w:szCs w:val="21"/>
              <w:highlight w:val="none"/>
            </w:rPr>
            <w:t>33</w:t>
          </w:r>
          <w:r>
            <w:rPr>
              <w:rFonts w:ascii="宋体" w:hAnsi="宋体" w:eastAsia="宋体" w:cs="宋体"/>
              <w:color w:val="auto"/>
              <w:spacing w:val="-3"/>
              <w:sz w:val="21"/>
              <w:szCs w:val="21"/>
              <w:highlight w:val="none"/>
            </w:rPr>
            <w:fldChar w:fldCharType="end"/>
          </w:r>
        </w:p>
        <w:p w14:paraId="7D47F48E">
          <w:pPr>
            <w:tabs>
              <w:tab w:val="right" w:leader="dot" w:pos="8317"/>
            </w:tabs>
            <w:spacing w:before="24" w:line="220" w:lineRule="auto"/>
            <w:ind w:left="87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附表六：投标文件问题澄清通知</w:t>
          </w:r>
          <w:r>
            <w:rPr>
              <w:rFonts w:ascii="宋体" w:hAnsi="宋体" w:eastAsia="宋体" w:cs="宋体"/>
              <w:color w:val="auto"/>
              <w:spacing w:val="-6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"bookmark94" </w:instrText>
          </w:r>
          <w:r>
            <w:rPr>
              <w:color w:val="auto"/>
              <w:highlight w:val="none"/>
            </w:rPr>
            <w:fldChar w:fldCharType="separate"/>
          </w:r>
          <w:r>
            <w:rPr>
              <w:rFonts w:ascii="宋体" w:hAnsi="宋体" w:eastAsia="宋体" w:cs="宋体"/>
              <w:color w:val="auto"/>
              <w:spacing w:val="-3"/>
              <w:sz w:val="21"/>
              <w:szCs w:val="21"/>
              <w:highlight w:val="none"/>
            </w:rPr>
            <w:t>34</w:t>
          </w:r>
          <w:r>
            <w:rPr>
              <w:rFonts w:ascii="宋体" w:hAnsi="宋体" w:eastAsia="宋体" w:cs="宋体"/>
              <w:color w:val="auto"/>
              <w:spacing w:val="-3"/>
              <w:sz w:val="21"/>
              <w:szCs w:val="21"/>
              <w:highlight w:val="none"/>
            </w:rPr>
            <w:fldChar w:fldCharType="end"/>
          </w:r>
        </w:p>
        <w:p w14:paraId="34E6E626">
          <w:pPr>
            <w:tabs>
              <w:tab w:val="right" w:leader="dot" w:pos="8317"/>
            </w:tabs>
            <w:spacing w:before="24" w:line="220" w:lineRule="auto"/>
            <w:ind w:left="87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附表七：投标文件问题的澄清</w:t>
          </w:r>
          <w:r>
            <w:rPr>
              <w:rFonts w:ascii="宋体" w:hAnsi="宋体" w:eastAsia="宋体" w:cs="宋体"/>
              <w:color w:val="auto"/>
              <w:spacing w:val="-7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"bookmark95" </w:instrText>
          </w:r>
          <w:r>
            <w:rPr>
              <w:color w:val="auto"/>
              <w:highlight w:val="none"/>
            </w:rPr>
            <w:fldChar w:fldCharType="separate"/>
          </w:r>
          <w:r>
            <w:rPr>
              <w:rFonts w:ascii="宋体" w:hAnsi="宋体" w:eastAsia="宋体" w:cs="宋体"/>
              <w:color w:val="auto"/>
              <w:spacing w:val="-3"/>
              <w:sz w:val="21"/>
              <w:szCs w:val="21"/>
              <w:highlight w:val="none"/>
            </w:rPr>
            <w:t>35</w:t>
          </w:r>
          <w:r>
            <w:rPr>
              <w:rFonts w:ascii="宋体" w:hAnsi="宋体" w:eastAsia="宋体" w:cs="宋体"/>
              <w:color w:val="auto"/>
              <w:spacing w:val="-3"/>
              <w:sz w:val="21"/>
              <w:szCs w:val="21"/>
              <w:highlight w:val="none"/>
            </w:rPr>
            <w:fldChar w:fldCharType="end"/>
          </w:r>
        </w:p>
      </w:sdtContent>
    </w:sdt>
    <w:p w14:paraId="46D7C742">
      <w:pPr>
        <w:spacing w:line="220" w:lineRule="auto"/>
        <w:rPr>
          <w:rFonts w:ascii="宋体" w:hAnsi="宋体" w:eastAsia="宋体" w:cs="宋体"/>
          <w:color w:val="auto"/>
          <w:sz w:val="21"/>
          <w:szCs w:val="21"/>
          <w:highlight w:val="none"/>
        </w:rPr>
        <w:sectPr>
          <w:footerReference r:id="rId7" w:type="default"/>
          <w:pgSz w:w="11905" w:h="16839"/>
          <w:pgMar w:top="1427" w:right="1785" w:bottom="1033" w:left="1785" w:header="0" w:footer="847" w:gutter="0"/>
          <w:pgNumType w:fmt="decimal"/>
          <w:cols w:space="720" w:num="1"/>
        </w:sectPr>
      </w:pPr>
    </w:p>
    <w:sdt>
      <w:sdtPr>
        <w:rPr>
          <w:rFonts w:ascii="宋体" w:hAnsi="宋体" w:eastAsia="宋体" w:cs="宋体"/>
          <w:color w:val="auto"/>
          <w:sz w:val="21"/>
          <w:szCs w:val="21"/>
          <w:highlight w:val="none"/>
        </w:rPr>
        <w:id w:val="3"/>
        <w:docPartObj>
          <w:docPartGallery w:val="Table of Contents"/>
          <w:docPartUnique/>
        </w:docPartObj>
      </w:sdtPr>
      <w:sdtEndPr>
        <w:rPr>
          <w:rFonts w:ascii="宋体" w:hAnsi="宋体" w:eastAsia="宋体" w:cs="宋体"/>
          <w:color w:val="auto"/>
          <w:sz w:val="21"/>
          <w:szCs w:val="21"/>
          <w:highlight w:val="none"/>
        </w:rPr>
      </w:sdtEndPr>
      <w:sdtContent>
        <w:p w14:paraId="62F03DF8">
          <w:pPr>
            <w:tabs>
              <w:tab w:val="right" w:leader="dot" w:pos="8317"/>
            </w:tabs>
            <w:spacing w:before="42" w:line="220" w:lineRule="auto"/>
            <w:ind w:left="87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附表八：中标通知书</w:t>
          </w:r>
          <w:r>
            <w:rPr>
              <w:rFonts w:ascii="宋体" w:hAnsi="宋体" w:eastAsia="宋体" w:cs="宋体"/>
              <w:color w:val="auto"/>
              <w:spacing w:val="-7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"bookmark96" </w:instrText>
          </w:r>
          <w:r>
            <w:rPr>
              <w:color w:val="auto"/>
              <w:highlight w:val="none"/>
            </w:rPr>
            <w:fldChar w:fldCharType="separate"/>
          </w:r>
          <w:r>
            <w:rPr>
              <w:rFonts w:ascii="宋体" w:hAnsi="宋体" w:eastAsia="宋体" w:cs="宋体"/>
              <w:color w:val="auto"/>
              <w:spacing w:val="-3"/>
              <w:sz w:val="21"/>
              <w:szCs w:val="21"/>
              <w:highlight w:val="none"/>
            </w:rPr>
            <w:t>36</w:t>
          </w:r>
          <w:r>
            <w:rPr>
              <w:rFonts w:ascii="宋体" w:hAnsi="宋体" w:eastAsia="宋体" w:cs="宋体"/>
              <w:color w:val="auto"/>
              <w:spacing w:val="-3"/>
              <w:sz w:val="21"/>
              <w:szCs w:val="21"/>
              <w:highlight w:val="none"/>
            </w:rPr>
            <w:fldChar w:fldCharType="end"/>
          </w:r>
        </w:p>
        <w:p w14:paraId="0CF249E8">
          <w:pPr>
            <w:tabs>
              <w:tab w:val="right" w:leader="dot" w:pos="8317"/>
            </w:tabs>
            <w:spacing w:before="18" w:line="220" w:lineRule="auto"/>
            <w:ind w:left="87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附表九：中标结果通知书</w:t>
          </w:r>
          <w:r>
            <w:rPr>
              <w:rFonts w:ascii="宋体" w:hAnsi="宋体" w:eastAsia="宋体" w:cs="宋体"/>
              <w:color w:val="auto"/>
              <w:spacing w:val="-7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"bookmark97" </w:instrText>
          </w:r>
          <w:r>
            <w:rPr>
              <w:color w:val="auto"/>
              <w:highlight w:val="none"/>
            </w:rPr>
            <w:fldChar w:fldCharType="separate"/>
          </w:r>
          <w:r>
            <w:rPr>
              <w:rFonts w:ascii="宋体" w:hAnsi="宋体" w:eastAsia="宋体" w:cs="宋体"/>
              <w:color w:val="auto"/>
              <w:spacing w:val="-3"/>
              <w:sz w:val="21"/>
              <w:szCs w:val="21"/>
              <w:highlight w:val="none"/>
            </w:rPr>
            <w:t>37</w:t>
          </w:r>
          <w:r>
            <w:rPr>
              <w:rFonts w:ascii="宋体" w:hAnsi="宋体" w:eastAsia="宋体" w:cs="宋体"/>
              <w:color w:val="auto"/>
              <w:spacing w:val="-3"/>
              <w:sz w:val="21"/>
              <w:szCs w:val="21"/>
              <w:highlight w:val="none"/>
            </w:rPr>
            <w:fldChar w:fldCharType="end"/>
          </w:r>
        </w:p>
        <w:p w14:paraId="0CDA7021">
          <w:pPr>
            <w:tabs>
              <w:tab w:val="right" w:leader="dot" w:pos="8317"/>
            </w:tabs>
            <w:spacing w:before="23" w:line="220" w:lineRule="auto"/>
            <w:ind w:left="87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附表十：异议书</w:t>
          </w:r>
          <w:r>
            <w:rPr>
              <w:rFonts w:ascii="宋体" w:hAnsi="宋体" w:eastAsia="宋体" w:cs="宋体"/>
              <w:color w:val="auto"/>
              <w:spacing w:val="-7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"bookmark98" </w:instrText>
          </w:r>
          <w:r>
            <w:rPr>
              <w:color w:val="auto"/>
              <w:highlight w:val="none"/>
            </w:rPr>
            <w:fldChar w:fldCharType="separate"/>
          </w:r>
          <w:r>
            <w:rPr>
              <w:rFonts w:ascii="宋体" w:hAnsi="宋体" w:eastAsia="宋体" w:cs="宋体"/>
              <w:color w:val="auto"/>
              <w:spacing w:val="-3"/>
              <w:sz w:val="21"/>
              <w:szCs w:val="21"/>
              <w:highlight w:val="none"/>
            </w:rPr>
            <w:t>38</w:t>
          </w:r>
          <w:r>
            <w:rPr>
              <w:rFonts w:ascii="宋体" w:hAnsi="宋体" w:eastAsia="宋体" w:cs="宋体"/>
              <w:color w:val="auto"/>
              <w:spacing w:val="-3"/>
              <w:sz w:val="21"/>
              <w:szCs w:val="21"/>
              <w:highlight w:val="none"/>
            </w:rPr>
            <w:fldChar w:fldCharType="end"/>
          </w:r>
        </w:p>
        <w:p w14:paraId="6C5DF36D">
          <w:pPr>
            <w:tabs>
              <w:tab w:val="right" w:leader="dot" w:pos="8317"/>
            </w:tabs>
            <w:spacing w:before="23" w:line="220" w:lineRule="auto"/>
            <w:ind w:left="87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附表十一：异议答复函</w:t>
          </w:r>
          <w:r>
            <w:rPr>
              <w:rFonts w:ascii="宋体" w:hAnsi="宋体" w:eastAsia="宋体" w:cs="宋体"/>
              <w:color w:val="auto"/>
              <w:spacing w:val="-6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"bookmark99" </w:instrText>
          </w:r>
          <w:r>
            <w:rPr>
              <w:color w:val="auto"/>
              <w:highlight w:val="none"/>
            </w:rPr>
            <w:fldChar w:fldCharType="separate"/>
          </w:r>
          <w:r>
            <w:rPr>
              <w:rFonts w:ascii="宋体" w:hAnsi="宋体" w:eastAsia="宋体" w:cs="宋体"/>
              <w:color w:val="auto"/>
              <w:spacing w:val="-3"/>
              <w:sz w:val="21"/>
              <w:szCs w:val="21"/>
              <w:highlight w:val="none"/>
            </w:rPr>
            <w:t>39</w:t>
          </w:r>
          <w:r>
            <w:rPr>
              <w:rFonts w:ascii="宋体" w:hAnsi="宋体" w:eastAsia="宋体" w:cs="宋体"/>
              <w:color w:val="auto"/>
              <w:spacing w:val="-3"/>
              <w:sz w:val="21"/>
              <w:szCs w:val="21"/>
              <w:highlight w:val="none"/>
            </w:rPr>
            <w:fldChar w:fldCharType="end"/>
          </w:r>
        </w:p>
        <w:p w14:paraId="10BB3077">
          <w:pPr>
            <w:tabs>
              <w:tab w:val="right" w:leader="dot" w:pos="8307"/>
            </w:tabs>
            <w:spacing w:before="23" w:line="220"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第三章</w:t>
          </w:r>
          <w:r>
            <w:rPr>
              <w:rFonts w:ascii="宋体" w:hAnsi="宋体" w:eastAsia="宋体" w:cs="宋体"/>
              <w:color w:val="auto"/>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评标办法</w:t>
          </w:r>
          <w:r>
            <w:rPr>
              <w:rFonts w:ascii="宋体" w:hAnsi="宋体" w:eastAsia="宋体" w:cs="宋体"/>
              <w:color w:val="auto"/>
              <w:spacing w:val="-42"/>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39"/>
              <w:sz w:val="21"/>
              <w:szCs w:val="21"/>
              <w:highlight w:val="none"/>
            </w:rPr>
            <w:t xml:space="preserve"> </w:t>
          </w:r>
          <w:r>
            <w:rPr>
              <w:color w:val="auto"/>
              <w:highlight w:val="none"/>
            </w:rPr>
            <w:fldChar w:fldCharType="begin"/>
          </w:r>
          <w:r>
            <w:rPr>
              <w:color w:val="auto"/>
              <w:highlight w:val="none"/>
            </w:rPr>
            <w:instrText xml:space="preserve"> HYPERLINK \l "bookmark100" </w:instrText>
          </w:r>
          <w:r>
            <w:rPr>
              <w:color w:val="auto"/>
              <w:highlight w:val="none"/>
            </w:rPr>
            <w:fldChar w:fldCharType="separate"/>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41</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fldChar w:fldCharType="end"/>
          </w:r>
        </w:p>
        <w:p w14:paraId="454ED170">
          <w:pPr>
            <w:tabs>
              <w:tab w:val="right" w:leader="dot" w:pos="8317"/>
            </w:tabs>
            <w:spacing w:before="19" w:line="219" w:lineRule="auto"/>
            <w:ind w:left="440"/>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14:textOutline w14:w="3831" w14:cap="flat" w14:cmpd="sng">
                <w14:solidFill>
                  <w14:srgbClr w14:val="000000"/>
                </w14:solidFill>
                <w14:prstDash w14:val="solid"/>
                <w14:miter w14:val="0"/>
              </w14:textOutline>
            </w:rPr>
            <w:t>评标办法前附表（综合评估法）</w:t>
          </w:r>
          <w:r>
            <w:rPr>
              <w:rFonts w:ascii="宋体" w:hAnsi="宋体" w:eastAsia="宋体" w:cs="宋体"/>
              <w:color w:val="auto"/>
              <w:spacing w:val="44"/>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30"/>
              <w:sz w:val="21"/>
              <w:szCs w:val="21"/>
              <w:highlight w:val="none"/>
            </w:rPr>
            <w:t xml:space="preserve"> </w:t>
          </w:r>
          <w:r>
            <w:rPr>
              <w:color w:val="auto"/>
              <w:highlight w:val="none"/>
            </w:rPr>
            <w:fldChar w:fldCharType="begin"/>
          </w:r>
          <w:r>
            <w:rPr>
              <w:color w:val="auto"/>
              <w:highlight w:val="none"/>
            </w:rPr>
            <w:instrText xml:space="preserve"> HYPERLINK \l "bookmark101" </w:instrText>
          </w:r>
          <w:r>
            <w:rPr>
              <w:color w:val="auto"/>
              <w:highlight w:val="none"/>
            </w:rPr>
            <w:fldChar w:fldCharType="separate"/>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41</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fldChar w:fldCharType="end"/>
          </w:r>
        </w:p>
        <w:p w14:paraId="0C84F816">
          <w:pPr>
            <w:tabs>
              <w:tab w:val="right" w:leader="dot" w:pos="8317"/>
            </w:tabs>
            <w:spacing w:before="23" w:line="221" w:lineRule="auto"/>
            <w:ind w:left="44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评标办法正文部分</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"bookmark102" </w:instrText>
          </w:r>
          <w:r>
            <w:rPr>
              <w:color w:val="auto"/>
              <w:highlight w:val="none"/>
            </w:rPr>
            <w:fldChar w:fldCharType="separate"/>
          </w:r>
          <w:r>
            <w:rPr>
              <w:rFonts w:ascii="宋体" w:hAnsi="宋体" w:eastAsia="宋体" w:cs="宋体"/>
              <w:color w:val="auto"/>
              <w:spacing w:val="-3"/>
              <w:sz w:val="21"/>
              <w:szCs w:val="21"/>
              <w:highlight w:val="none"/>
            </w:rPr>
            <w:t>50</w:t>
          </w:r>
          <w:r>
            <w:rPr>
              <w:rFonts w:ascii="宋体" w:hAnsi="宋体" w:eastAsia="宋体" w:cs="宋体"/>
              <w:color w:val="auto"/>
              <w:spacing w:val="-3"/>
              <w:sz w:val="21"/>
              <w:szCs w:val="21"/>
              <w:highlight w:val="none"/>
            </w:rPr>
            <w:fldChar w:fldCharType="end"/>
          </w:r>
        </w:p>
        <w:p w14:paraId="57355D6B">
          <w:pPr>
            <w:tabs>
              <w:tab w:val="right" w:leader="dot" w:pos="8317"/>
            </w:tabs>
            <w:spacing w:before="24" w:line="221" w:lineRule="auto"/>
            <w:ind w:left="456"/>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1.</w:t>
          </w:r>
          <w:r>
            <w:rPr>
              <w:rFonts w:ascii="宋体" w:hAnsi="宋体" w:eastAsia="宋体" w:cs="宋体"/>
              <w:color w:val="auto"/>
              <w:spacing w:val="11"/>
              <w:sz w:val="21"/>
              <w:szCs w:val="21"/>
              <w:highlight w:val="none"/>
            </w:rPr>
            <w:t xml:space="preserve"> </w:t>
          </w:r>
          <w:r>
            <w:rPr>
              <w:rFonts w:ascii="宋体" w:hAnsi="宋体" w:eastAsia="宋体" w:cs="宋体"/>
              <w:color w:val="auto"/>
              <w:spacing w:val="-5"/>
              <w:sz w:val="21"/>
              <w:szCs w:val="21"/>
              <w:highlight w:val="none"/>
            </w:rPr>
            <w:t>评标方法</w:t>
          </w:r>
          <w:r>
            <w:rPr>
              <w:rFonts w:ascii="宋体" w:hAnsi="宋体" w:eastAsia="宋体" w:cs="宋体"/>
              <w:color w:val="auto"/>
              <w:spacing w:val="-9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"bookmark103" </w:instrText>
          </w:r>
          <w:r>
            <w:rPr>
              <w:color w:val="auto"/>
              <w:highlight w:val="none"/>
            </w:rPr>
            <w:fldChar w:fldCharType="separate"/>
          </w:r>
          <w:r>
            <w:rPr>
              <w:rFonts w:ascii="宋体" w:hAnsi="宋体" w:eastAsia="宋体" w:cs="宋体"/>
              <w:color w:val="auto"/>
              <w:spacing w:val="-3"/>
              <w:sz w:val="21"/>
              <w:szCs w:val="21"/>
              <w:highlight w:val="none"/>
            </w:rPr>
            <w:t>50</w:t>
          </w:r>
          <w:r>
            <w:rPr>
              <w:rFonts w:ascii="宋体" w:hAnsi="宋体" w:eastAsia="宋体" w:cs="宋体"/>
              <w:color w:val="auto"/>
              <w:spacing w:val="-3"/>
              <w:sz w:val="21"/>
              <w:szCs w:val="21"/>
              <w:highlight w:val="none"/>
            </w:rPr>
            <w:fldChar w:fldCharType="end"/>
          </w:r>
        </w:p>
        <w:p w14:paraId="6D8E8A12">
          <w:pPr>
            <w:tabs>
              <w:tab w:val="right" w:leader="dot" w:pos="8317"/>
            </w:tabs>
            <w:spacing w:before="22" w:line="221" w:lineRule="auto"/>
            <w:ind w:left="4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 评审标准</w:t>
          </w:r>
          <w:r>
            <w:rPr>
              <w:rFonts w:ascii="宋体" w:hAnsi="宋体" w:eastAsia="宋体" w:cs="宋体"/>
              <w:color w:val="auto"/>
              <w:spacing w:val="-8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"bookmark104" </w:instrText>
          </w:r>
          <w:r>
            <w:rPr>
              <w:color w:val="auto"/>
              <w:highlight w:val="none"/>
            </w:rPr>
            <w:fldChar w:fldCharType="separate"/>
          </w:r>
          <w:r>
            <w:rPr>
              <w:rFonts w:ascii="宋体" w:hAnsi="宋体" w:eastAsia="宋体" w:cs="宋体"/>
              <w:color w:val="auto"/>
              <w:spacing w:val="-3"/>
              <w:sz w:val="21"/>
              <w:szCs w:val="21"/>
              <w:highlight w:val="none"/>
            </w:rPr>
            <w:t>50</w:t>
          </w:r>
          <w:r>
            <w:rPr>
              <w:rFonts w:ascii="宋体" w:hAnsi="宋体" w:eastAsia="宋体" w:cs="宋体"/>
              <w:color w:val="auto"/>
              <w:spacing w:val="-3"/>
              <w:sz w:val="21"/>
              <w:szCs w:val="21"/>
              <w:highlight w:val="none"/>
            </w:rPr>
            <w:fldChar w:fldCharType="end"/>
          </w:r>
        </w:p>
        <w:p w14:paraId="5FC73132">
          <w:pPr>
            <w:tabs>
              <w:tab w:val="right" w:leader="dot" w:pos="8317"/>
            </w:tabs>
            <w:spacing w:before="16" w:line="221" w:lineRule="auto"/>
            <w:ind w:left="86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2.1 初步评审标准</w:t>
          </w:r>
          <w:r>
            <w:rPr>
              <w:rFonts w:ascii="宋体" w:hAnsi="宋体" w:eastAsia="宋体" w:cs="宋体"/>
              <w:color w:val="auto"/>
              <w:spacing w:val="-7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"bookmark105" </w:instrText>
          </w:r>
          <w:r>
            <w:rPr>
              <w:color w:val="auto"/>
              <w:highlight w:val="none"/>
            </w:rPr>
            <w:fldChar w:fldCharType="separate"/>
          </w:r>
          <w:r>
            <w:rPr>
              <w:rFonts w:ascii="宋体" w:hAnsi="宋体" w:eastAsia="宋体" w:cs="宋体"/>
              <w:color w:val="auto"/>
              <w:spacing w:val="-3"/>
              <w:sz w:val="21"/>
              <w:szCs w:val="21"/>
              <w:highlight w:val="none"/>
            </w:rPr>
            <w:t>50</w:t>
          </w:r>
          <w:r>
            <w:rPr>
              <w:rFonts w:ascii="宋体" w:hAnsi="宋体" w:eastAsia="宋体" w:cs="宋体"/>
              <w:color w:val="auto"/>
              <w:spacing w:val="-3"/>
              <w:sz w:val="21"/>
              <w:szCs w:val="21"/>
              <w:highlight w:val="none"/>
            </w:rPr>
            <w:fldChar w:fldCharType="end"/>
          </w:r>
        </w:p>
        <w:p w14:paraId="4CC44893">
          <w:pPr>
            <w:tabs>
              <w:tab w:val="right" w:leader="dot" w:pos="8317"/>
            </w:tabs>
            <w:spacing w:before="23" w:line="221" w:lineRule="auto"/>
            <w:ind w:left="86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2.2 分值构成与评分标准</w:t>
          </w:r>
          <w:r>
            <w:rPr>
              <w:rFonts w:ascii="宋体" w:hAnsi="宋体" w:eastAsia="宋体" w:cs="宋体"/>
              <w:color w:val="auto"/>
              <w:spacing w:val="-7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"bookmark106" </w:instrText>
          </w:r>
          <w:r>
            <w:rPr>
              <w:color w:val="auto"/>
              <w:highlight w:val="none"/>
            </w:rPr>
            <w:fldChar w:fldCharType="separate"/>
          </w:r>
          <w:r>
            <w:rPr>
              <w:rFonts w:ascii="宋体" w:hAnsi="宋体" w:eastAsia="宋体" w:cs="宋体"/>
              <w:color w:val="auto"/>
              <w:spacing w:val="-3"/>
              <w:sz w:val="21"/>
              <w:szCs w:val="21"/>
              <w:highlight w:val="none"/>
            </w:rPr>
            <w:t>50</w:t>
          </w:r>
          <w:r>
            <w:rPr>
              <w:rFonts w:ascii="宋体" w:hAnsi="宋体" w:eastAsia="宋体" w:cs="宋体"/>
              <w:color w:val="auto"/>
              <w:spacing w:val="-3"/>
              <w:sz w:val="21"/>
              <w:szCs w:val="21"/>
              <w:highlight w:val="none"/>
            </w:rPr>
            <w:fldChar w:fldCharType="end"/>
          </w:r>
        </w:p>
        <w:p w14:paraId="14DC2076">
          <w:pPr>
            <w:tabs>
              <w:tab w:val="right" w:leader="dot" w:pos="8317"/>
            </w:tabs>
            <w:spacing w:before="23" w:line="221" w:lineRule="auto"/>
            <w:ind w:left="44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 评标程序</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"bookmark107" </w:instrText>
          </w:r>
          <w:r>
            <w:rPr>
              <w:color w:val="auto"/>
              <w:highlight w:val="none"/>
            </w:rPr>
            <w:fldChar w:fldCharType="separate"/>
          </w:r>
          <w:r>
            <w:rPr>
              <w:rFonts w:ascii="宋体" w:hAnsi="宋体" w:eastAsia="宋体" w:cs="宋体"/>
              <w:color w:val="auto"/>
              <w:spacing w:val="-3"/>
              <w:sz w:val="21"/>
              <w:szCs w:val="21"/>
              <w:highlight w:val="none"/>
            </w:rPr>
            <w:t>50</w:t>
          </w:r>
          <w:r>
            <w:rPr>
              <w:rFonts w:ascii="宋体" w:hAnsi="宋体" w:eastAsia="宋体" w:cs="宋体"/>
              <w:color w:val="auto"/>
              <w:spacing w:val="-3"/>
              <w:sz w:val="21"/>
              <w:szCs w:val="21"/>
              <w:highlight w:val="none"/>
            </w:rPr>
            <w:fldChar w:fldCharType="end"/>
          </w:r>
        </w:p>
        <w:p w14:paraId="35D60A9B">
          <w:pPr>
            <w:tabs>
              <w:tab w:val="right" w:leader="dot" w:pos="8317"/>
            </w:tabs>
            <w:spacing w:before="21" w:line="221" w:lineRule="auto"/>
            <w:ind w:left="86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3.1 初步评审</w:t>
          </w:r>
          <w:r>
            <w:rPr>
              <w:rFonts w:ascii="宋体" w:hAnsi="宋体" w:eastAsia="宋体" w:cs="宋体"/>
              <w:color w:val="auto"/>
              <w:spacing w:val="-7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"bookmark108" </w:instrText>
          </w:r>
          <w:r>
            <w:rPr>
              <w:color w:val="auto"/>
              <w:highlight w:val="none"/>
            </w:rPr>
            <w:fldChar w:fldCharType="separate"/>
          </w:r>
          <w:r>
            <w:rPr>
              <w:rFonts w:ascii="宋体" w:hAnsi="宋体" w:eastAsia="宋体" w:cs="宋体"/>
              <w:color w:val="auto"/>
              <w:spacing w:val="-3"/>
              <w:sz w:val="21"/>
              <w:szCs w:val="21"/>
              <w:highlight w:val="none"/>
            </w:rPr>
            <w:t>50</w:t>
          </w:r>
          <w:r>
            <w:rPr>
              <w:rFonts w:ascii="宋体" w:hAnsi="宋体" w:eastAsia="宋体" w:cs="宋体"/>
              <w:color w:val="auto"/>
              <w:spacing w:val="-3"/>
              <w:sz w:val="21"/>
              <w:szCs w:val="21"/>
              <w:highlight w:val="none"/>
            </w:rPr>
            <w:fldChar w:fldCharType="end"/>
          </w:r>
        </w:p>
        <w:p w14:paraId="252DDD00">
          <w:pPr>
            <w:tabs>
              <w:tab w:val="right" w:leader="dot" w:pos="8317"/>
            </w:tabs>
            <w:spacing w:before="19" w:line="221" w:lineRule="auto"/>
            <w:ind w:left="86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3.2</w:t>
          </w:r>
          <w:r>
            <w:rPr>
              <w:rFonts w:ascii="宋体" w:hAnsi="宋体" w:eastAsia="宋体" w:cs="宋体"/>
              <w:color w:val="auto"/>
              <w:spacing w:val="17"/>
              <w:sz w:val="21"/>
              <w:szCs w:val="21"/>
              <w:highlight w:val="none"/>
            </w:rPr>
            <w:t xml:space="preserve"> </w:t>
          </w:r>
          <w:r>
            <w:rPr>
              <w:rFonts w:ascii="宋体" w:hAnsi="宋体" w:eastAsia="宋体" w:cs="宋体"/>
              <w:color w:val="auto"/>
              <w:spacing w:val="-4"/>
              <w:sz w:val="21"/>
              <w:szCs w:val="21"/>
              <w:highlight w:val="none"/>
            </w:rPr>
            <w:t>详细评审</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"bookmark109" </w:instrText>
          </w:r>
          <w:r>
            <w:rPr>
              <w:color w:val="auto"/>
              <w:highlight w:val="none"/>
            </w:rPr>
            <w:fldChar w:fldCharType="separate"/>
          </w:r>
          <w:r>
            <w:rPr>
              <w:rFonts w:ascii="宋体" w:hAnsi="宋体" w:eastAsia="宋体" w:cs="宋体"/>
              <w:color w:val="auto"/>
              <w:spacing w:val="-3"/>
              <w:sz w:val="21"/>
              <w:szCs w:val="21"/>
              <w:highlight w:val="none"/>
            </w:rPr>
            <w:t>51</w:t>
          </w:r>
          <w:r>
            <w:rPr>
              <w:rFonts w:ascii="宋体" w:hAnsi="宋体" w:eastAsia="宋体" w:cs="宋体"/>
              <w:color w:val="auto"/>
              <w:spacing w:val="-3"/>
              <w:sz w:val="21"/>
              <w:szCs w:val="21"/>
              <w:highlight w:val="none"/>
            </w:rPr>
            <w:fldChar w:fldCharType="end"/>
          </w:r>
        </w:p>
        <w:p w14:paraId="79FDA510">
          <w:pPr>
            <w:tabs>
              <w:tab w:val="right" w:leader="dot" w:pos="8317"/>
            </w:tabs>
            <w:spacing w:before="21" w:line="221" w:lineRule="auto"/>
            <w:ind w:left="86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3.3 投标文件的澄清和补正</w:t>
          </w:r>
          <w:r>
            <w:rPr>
              <w:rFonts w:ascii="宋体" w:hAnsi="宋体" w:eastAsia="宋体" w:cs="宋体"/>
              <w:color w:val="auto"/>
              <w:spacing w:val="-7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"bookmark110" </w:instrText>
          </w:r>
          <w:r>
            <w:rPr>
              <w:color w:val="auto"/>
              <w:highlight w:val="none"/>
            </w:rPr>
            <w:fldChar w:fldCharType="separate"/>
          </w:r>
          <w:r>
            <w:rPr>
              <w:rFonts w:ascii="宋体" w:hAnsi="宋体" w:eastAsia="宋体" w:cs="宋体"/>
              <w:color w:val="auto"/>
              <w:spacing w:val="-3"/>
              <w:sz w:val="21"/>
              <w:szCs w:val="21"/>
              <w:highlight w:val="none"/>
            </w:rPr>
            <w:t>52</w:t>
          </w:r>
          <w:r>
            <w:rPr>
              <w:rFonts w:ascii="宋体" w:hAnsi="宋体" w:eastAsia="宋体" w:cs="宋体"/>
              <w:color w:val="auto"/>
              <w:spacing w:val="-3"/>
              <w:sz w:val="21"/>
              <w:szCs w:val="21"/>
              <w:highlight w:val="none"/>
            </w:rPr>
            <w:fldChar w:fldCharType="end"/>
          </w:r>
        </w:p>
        <w:p w14:paraId="31ABFFFE">
          <w:pPr>
            <w:tabs>
              <w:tab w:val="right" w:leader="dot" w:pos="8317"/>
            </w:tabs>
            <w:spacing w:before="23" w:line="221" w:lineRule="auto"/>
            <w:ind w:left="86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3.4 评标结果</w:t>
          </w:r>
          <w:r>
            <w:rPr>
              <w:rFonts w:ascii="宋体" w:hAnsi="宋体" w:eastAsia="宋体" w:cs="宋体"/>
              <w:color w:val="auto"/>
              <w:spacing w:val="-7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"bookmark111" </w:instrText>
          </w:r>
          <w:r>
            <w:rPr>
              <w:color w:val="auto"/>
              <w:highlight w:val="none"/>
            </w:rPr>
            <w:fldChar w:fldCharType="separate"/>
          </w:r>
          <w:r>
            <w:rPr>
              <w:rFonts w:ascii="宋体" w:hAnsi="宋体" w:eastAsia="宋体" w:cs="宋体"/>
              <w:color w:val="auto"/>
              <w:spacing w:val="-3"/>
              <w:sz w:val="21"/>
              <w:szCs w:val="21"/>
              <w:highlight w:val="none"/>
            </w:rPr>
            <w:t>52</w:t>
          </w:r>
          <w:r>
            <w:rPr>
              <w:rFonts w:ascii="宋体" w:hAnsi="宋体" w:eastAsia="宋体" w:cs="宋体"/>
              <w:color w:val="auto"/>
              <w:spacing w:val="-3"/>
              <w:sz w:val="21"/>
              <w:szCs w:val="21"/>
              <w:highlight w:val="none"/>
            </w:rPr>
            <w:fldChar w:fldCharType="end"/>
          </w:r>
        </w:p>
        <w:p w14:paraId="02E4C627">
          <w:pPr>
            <w:tabs>
              <w:tab w:val="right" w:leader="dot" w:pos="8317"/>
            </w:tabs>
            <w:spacing w:before="22" w:line="220" w:lineRule="auto"/>
            <w:ind w:left="45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附件</w:t>
          </w:r>
          <w:r>
            <w:rPr>
              <w:rFonts w:ascii="宋体" w:hAnsi="宋体" w:eastAsia="宋体" w:cs="宋体"/>
              <w:color w:val="auto"/>
              <w:spacing w:val="-49"/>
              <w:sz w:val="21"/>
              <w:szCs w:val="21"/>
              <w:highlight w:val="none"/>
            </w:rPr>
            <w:t xml:space="preserve"> </w:t>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A：评标详细程序</w:t>
          </w:r>
          <w:r>
            <w:rPr>
              <w:rFonts w:ascii="宋体" w:hAnsi="宋体" w:eastAsia="宋体" w:cs="宋体"/>
              <w:color w:val="auto"/>
              <w:spacing w:val="-49"/>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"bookmark112" </w:instrText>
          </w:r>
          <w:r>
            <w:rPr>
              <w:color w:val="auto"/>
              <w:highlight w:val="none"/>
            </w:rPr>
            <w:fldChar w:fldCharType="separate"/>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53</w:t>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fldChar w:fldCharType="end"/>
          </w:r>
        </w:p>
        <w:p w14:paraId="0E12CF2D">
          <w:pPr>
            <w:tabs>
              <w:tab w:val="right" w:leader="dot" w:pos="8317"/>
            </w:tabs>
            <w:spacing w:before="19" w:line="221" w:lineRule="auto"/>
            <w:ind w:left="8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A0.总</w:t>
          </w:r>
          <w:r>
            <w:rPr>
              <w:rFonts w:ascii="宋体" w:hAnsi="宋体" w:eastAsia="宋体" w:cs="宋体"/>
              <w:color w:val="auto"/>
              <w:spacing w:val="7"/>
              <w:sz w:val="21"/>
              <w:szCs w:val="21"/>
              <w:highlight w:val="none"/>
            </w:rPr>
            <w:t xml:space="preserve">  </w:t>
          </w:r>
          <w:r>
            <w:rPr>
              <w:rFonts w:ascii="宋体" w:hAnsi="宋体" w:eastAsia="宋体" w:cs="宋体"/>
              <w:color w:val="auto"/>
              <w:spacing w:val="-2"/>
              <w:sz w:val="21"/>
              <w:szCs w:val="21"/>
              <w:highlight w:val="none"/>
            </w:rPr>
            <w:t>则</w:t>
          </w:r>
          <w:r>
            <w:rPr>
              <w:rFonts w:ascii="宋体" w:hAnsi="宋体" w:eastAsia="宋体" w:cs="宋体"/>
              <w:color w:val="auto"/>
              <w:spacing w:val="-8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"bookmark113" </w:instrText>
          </w:r>
          <w:r>
            <w:rPr>
              <w:color w:val="auto"/>
              <w:highlight w:val="none"/>
            </w:rPr>
            <w:fldChar w:fldCharType="separate"/>
          </w:r>
          <w:r>
            <w:rPr>
              <w:rFonts w:ascii="宋体" w:hAnsi="宋体" w:eastAsia="宋体" w:cs="宋体"/>
              <w:color w:val="auto"/>
              <w:spacing w:val="-3"/>
              <w:sz w:val="21"/>
              <w:szCs w:val="21"/>
              <w:highlight w:val="none"/>
            </w:rPr>
            <w:t>53</w:t>
          </w:r>
          <w:r>
            <w:rPr>
              <w:rFonts w:ascii="宋体" w:hAnsi="宋体" w:eastAsia="宋体" w:cs="宋体"/>
              <w:color w:val="auto"/>
              <w:spacing w:val="-3"/>
              <w:sz w:val="21"/>
              <w:szCs w:val="21"/>
              <w:highlight w:val="none"/>
            </w:rPr>
            <w:fldChar w:fldCharType="end"/>
          </w:r>
        </w:p>
        <w:p w14:paraId="3AF84DE4">
          <w:pPr>
            <w:tabs>
              <w:tab w:val="right" w:leader="dot" w:pos="8317"/>
            </w:tabs>
            <w:spacing w:before="22" w:line="220"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A1.基本程序</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"bookmark114" </w:instrText>
          </w:r>
          <w:r>
            <w:rPr>
              <w:color w:val="auto"/>
              <w:highlight w:val="none"/>
            </w:rPr>
            <w:fldChar w:fldCharType="separate"/>
          </w:r>
          <w:r>
            <w:rPr>
              <w:rFonts w:ascii="宋体" w:hAnsi="宋体" w:eastAsia="宋体" w:cs="宋体"/>
              <w:color w:val="auto"/>
              <w:spacing w:val="-3"/>
              <w:sz w:val="21"/>
              <w:szCs w:val="21"/>
              <w:highlight w:val="none"/>
            </w:rPr>
            <w:t>53</w:t>
          </w:r>
          <w:r>
            <w:rPr>
              <w:rFonts w:ascii="宋体" w:hAnsi="宋体" w:eastAsia="宋体" w:cs="宋体"/>
              <w:color w:val="auto"/>
              <w:spacing w:val="-3"/>
              <w:sz w:val="21"/>
              <w:szCs w:val="21"/>
              <w:highlight w:val="none"/>
            </w:rPr>
            <w:fldChar w:fldCharType="end"/>
          </w:r>
        </w:p>
        <w:p w14:paraId="0403CE25">
          <w:pPr>
            <w:tabs>
              <w:tab w:val="right" w:leader="dot" w:pos="8317"/>
            </w:tabs>
            <w:spacing w:before="24" w:line="221"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A2.评标准备</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"bookmark115" </w:instrText>
          </w:r>
          <w:r>
            <w:rPr>
              <w:color w:val="auto"/>
              <w:highlight w:val="none"/>
            </w:rPr>
            <w:fldChar w:fldCharType="separate"/>
          </w:r>
          <w:r>
            <w:rPr>
              <w:rFonts w:ascii="宋体" w:hAnsi="宋体" w:eastAsia="宋体" w:cs="宋体"/>
              <w:color w:val="auto"/>
              <w:spacing w:val="-3"/>
              <w:sz w:val="21"/>
              <w:szCs w:val="21"/>
              <w:highlight w:val="none"/>
            </w:rPr>
            <w:t>53</w:t>
          </w:r>
          <w:r>
            <w:rPr>
              <w:rFonts w:ascii="宋体" w:hAnsi="宋体" w:eastAsia="宋体" w:cs="宋体"/>
              <w:color w:val="auto"/>
              <w:spacing w:val="-3"/>
              <w:sz w:val="21"/>
              <w:szCs w:val="21"/>
              <w:highlight w:val="none"/>
            </w:rPr>
            <w:fldChar w:fldCharType="end"/>
          </w:r>
        </w:p>
        <w:p w14:paraId="4FF50AE1">
          <w:pPr>
            <w:tabs>
              <w:tab w:val="right" w:leader="dot" w:pos="8317"/>
            </w:tabs>
            <w:spacing w:before="22" w:line="220"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A2.1</w:t>
          </w:r>
          <w:r>
            <w:rPr>
              <w:rFonts w:ascii="宋体" w:hAnsi="宋体" w:eastAsia="宋体" w:cs="宋体"/>
              <w:color w:val="auto"/>
              <w:spacing w:val="-39"/>
              <w:sz w:val="21"/>
              <w:szCs w:val="21"/>
              <w:highlight w:val="none"/>
            </w:rPr>
            <w:t xml:space="preserve"> </w:t>
          </w:r>
          <w:r>
            <w:rPr>
              <w:rFonts w:ascii="宋体" w:hAnsi="宋体" w:eastAsia="宋体" w:cs="宋体"/>
              <w:color w:val="auto"/>
              <w:spacing w:val="-1"/>
              <w:sz w:val="21"/>
              <w:szCs w:val="21"/>
              <w:highlight w:val="none"/>
            </w:rPr>
            <w:t>评标委员会成员签到</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"bookmark116" </w:instrText>
          </w:r>
          <w:r>
            <w:rPr>
              <w:color w:val="auto"/>
              <w:highlight w:val="none"/>
            </w:rPr>
            <w:fldChar w:fldCharType="separate"/>
          </w:r>
          <w:r>
            <w:rPr>
              <w:rFonts w:ascii="宋体" w:hAnsi="宋体" w:eastAsia="宋体" w:cs="宋体"/>
              <w:color w:val="auto"/>
              <w:spacing w:val="-3"/>
              <w:sz w:val="21"/>
              <w:szCs w:val="21"/>
              <w:highlight w:val="none"/>
            </w:rPr>
            <w:t>53</w:t>
          </w:r>
          <w:r>
            <w:rPr>
              <w:rFonts w:ascii="宋体" w:hAnsi="宋体" w:eastAsia="宋体" w:cs="宋体"/>
              <w:color w:val="auto"/>
              <w:spacing w:val="-3"/>
              <w:sz w:val="21"/>
              <w:szCs w:val="21"/>
              <w:highlight w:val="none"/>
            </w:rPr>
            <w:fldChar w:fldCharType="end"/>
          </w:r>
        </w:p>
        <w:p w14:paraId="52E9F836">
          <w:pPr>
            <w:tabs>
              <w:tab w:val="right" w:leader="dot" w:pos="8317"/>
            </w:tabs>
            <w:spacing w:before="18" w:line="220"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A2.2</w:t>
          </w:r>
          <w:r>
            <w:rPr>
              <w:rFonts w:ascii="宋体" w:hAnsi="宋体" w:eastAsia="宋体" w:cs="宋体"/>
              <w:color w:val="auto"/>
              <w:spacing w:val="-41"/>
              <w:sz w:val="21"/>
              <w:szCs w:val="21"/>
              <w:highlight w:val="none"/>
            </w:rPr>
            <w:t xml:space="preserve"> </w:t>
          </w:r>
          <w:r>
            <w:rPr>
              <w:rFonts w:ascii="宋体" w:hAnsi="宋体" w:eastAsia="宋体" w:cs="宋体"/>
              <w:color w:val="auto"/>
              <w:spacing w:val="-1"/>
              <w:sz w:val="21"/>
              <w:szCs w:val="21"/>
              <w:highlight w:val="none"/>
            </w:rPr>
            <w:t>评标委员会的分工</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"bookmark117" </w:instrText>
          </w:r>
          <w:r>
            <w:rPr>
              <w:color w:val="auto"/>
              <w:highlight w:val="none"/>
            </w:rPr>
            <w:fldChar w:fldCharType="separate"/>
          </w:r>
          <w:r>
            <w:rPr>
              <w:rFonts w:ascii="宋体" w:hAnsi="宋体" w:eastAsia="宋体" w:cs="宋体"/>
              <w:color w:val="auto"/>
              <w:spacing w:val="-3"/>
              <w:sz w:val="21"/>
              <w:szCs w:val="21"/>
              <w:highlight w:val="none"/>
            </w:rPr>
            <w:t>53</w:t>
          </w:r>
          <w:r>
            <w:rPr>
              <w:rFonts w:ascii="宋体" w:hAnsi="宋体" w:eastAsia="宋体" w:cs="宋体"/>
              <w:color w:val="auto"/>
              <w:spacing w:val="-3"/>
              <w:sz w:val="21"/>
              <w:szCs w:val="21"/>
              <w:highlight w:val="none"/>
            </w:rPr>
            <w:fldChar w:fldCharType="end"/>
          </w:r>
        </w:p>
        <w:p w14:paraId="2A670FC5">
          <w:pPr>
            <w:tabs>
              <w:tab w:val="right" w:leader="dot" w:pos="8317"/>
            </w:tabs>
            <w:spacing w:before="23" w:line="221"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A2.3</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熟悉文件资料</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"bookmark118" </w:instrText>
          </w:r>
          <w:r>
            <w:rPr>
              <w:color w:val="auto"/>
              <w:highlight w:val="none"/>
            </w:rPr>
            <w:fldChar w:fldCharType="separate"/>
          </w:r>
          <w:r>
            <w:rPr>
              <w:rFonts w:ascii="宋体" w:hAnsi="宋体" w:eastAsia="宋体" w:cs="宋体"/>
              <w:color w:val="auto"/>
              <w:spacing w:val="-3"/>
              <w:sz w:val="21"/>
              <w:szCs w:val="21"/>
              <w:highlight w:val="none"/>
            </w:rPr>
            <w:t>54</w:t>
          </w:r>
          <w:r>
            <w:rPr>
              <w:rFonts w:ascii="宋体" w:hAnsi="宋体" w:eastAsia="宋体" w:cs="宋体"/>
              <w:color w:val="auto"/>
              <w:spacing w:val="-3"/>
              <w:sz w:val="21"/>
              <w:szCs w:val="21"/>
              <w:highlight w:val="none"/>
            </w:rPr>
            <w:fldChar w:fldCharType="end"/>
          </w:r>
        </w:p>
        <w:p w14:paraId="31AAEF84">
          <w:pPr>
            <w:tabs>
              <w:tab w:val="right" w:leader="dot" w:pos="8317"/>
            </w:tabs>
            <w:spacing w:before="22" w:line="221" w:lineRule="auto"/>
            <w:ind w:left="85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A2.4</w:t>
          </w:r>
          <w:r>
            <w:rPr>
              <w:rFonts w:ascii="宋体" w:hAnsi="宋体" w:eastAsia="宋体" w:cs="宋体"/>
              <w:color w:val="auto"/>
              <w:spacing w:val="-29"/>
              <w:sz w:val="21"/>
              <w:szCs w:val="21"/>
              <w:highlight w:val="none"/>
            </w:rPr>
            <w:t xml:space="preserve"> </w:t>
          </w:r>
          <w:r>
            <w:rPr>
              <w:rFonts w:ascii="宋体" w:hAnsi="宋体" w:eastAsia="宋体" w:cs="宋体"/>
              <w:color w:val="auto"/>
              <w:spacing w:val="-3"/>
              <w:sz w:val="21"/>
              <w:szCs w:val="21"/>
              <w:highlight w:val="none"/>
            </w:rPr>
            <w:t>暗标编号</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"bookmark119" </w:instrText>
          </w:r>
          <w:r>
            <w:rPr>
              <w:color w:val="auto"/>
              <w:highlight w:val="none"/>
            </w:rPr>
            <w:fldChar w:fldCharType="separate"/>
          </w:r>
          <w:r>
            <w:rPr>
              <w:rFonts w:ascii="宋体" w:hAnsi="宋体" w:eastAsia="宋体" w:cs="宋体"/>
              <w:color w:val="auto"/>
              <w:spacing w:val="-3"/>
              <w:sz w:val="21"/>
              <w:szCs w:val="21"/>
              <w:highlight w:val="none"/>
            </w:rPr>
            <w:t>54</w:t>
          </w:r>
          <w:r>
            <w:rPr>
              <w:rFonts w:ascii="宋体" w:hAnsi="宋体" w:eastAsia="宋体" w:cs="宋体"/>
              <w:color w:val="auto"/>
              <w:spacing w:val="-3"/>
              <w:sz w:val="21"/>
              <w:szCs w:val="21"/>
              <w:highlight w:val="none"/>
            </w:rPr>
            <w:fldChar w:fldCharType="end"/>
          </w:r>
        </w:p>
        <w:p w14:paraId="771AD9D7">
          <w:pPr>
            <w:tabs>
              <w:tab w:val="right" w:leader="dot" w:pos="8317"/>
            </w:tabs>
            <w:spacing w:before="18" w:line="221"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A2.5</w:t>
          </w:r>
          <w:r>
            <w:rPr>
              <w:rFonts w:ascii="宋体" w:hAnsi="宋体" w:eastAsia="宋体" w:cs="宋体"/>
              <w:color w:val="auto"/>
              <w:spacing w:val="-38"/>
              <w:sz w:val="21"/>
              <w:szCs w:val="21"/>
              <w:highlight w:val="none"/>
            </w:rPr>
            <w:t xml:space="preserve"> </w:t>
          </w:r>
          <w:r>
            <w:rPr>
              <w:rFonts w:ascii="宋体" w:hAnsi="宋体" w:eastAsia="宋体" w:cs="宋体"/>
              <w:color w:val="auto"/>
              <w:spacing w:val="-1"/>
              <w:sz w:val="21"/>
              <w:szCs w:val="21"/>
              <w:highlight w:val="none"/>
            </w:rPr>
            <w:t xml:space="preserve">对投标文件进行基础性数据分析和整理工作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"bookmark120" </w:instrText>
          </w:r>
          <w:r>
            <w:rPr>
              <w:color w:val="auto"/>
              <w:highlight w:val="none"/>
            </w:rPr>
            <w:fldChar w:fldCharType="separate"/>
          </w:r>
          <w:r>
            <w:rPr>
              <w:rFonts w:ascii="宋体" w:hAnsi="宋体" w:eastAsia="宋体" w:cs="宋体"/>
              <w:color w:val="auto"/>
              <w:spacing w:val="-3"/>
              <w:sz w:val="21"/>
              <w:szCs w:val="21"/>
              <w:highlight w:val="none"/>
            </w:rPr>
            <w:t>54</w:t>
          </w:r>
          <w:r>
            <w:rPr>
              <w:rFonts w:ascii="宋体" w:hAnsi="宋体" w:eastAsia="宋体" w:cs="宋体"/>
              <w:color w:val="auto"/>
              <w:spacing w:val="-3"/>
              <w:sz w:val="21"/>
              <w:szCs w:val="21"/>
              <w:highlight w:val="none"/>
            </w:rPr>
            <w:fldChar w:fldCharType="end"/>
          </w:r>
        </w:p>
        <w:p w14:paraId="5E6F4BB5">
          <w:pPr>
            <w:tabs>
              <w:tab w:val="right" w:leader="dot" w:pos="8317"/>
            </w:tabs>
            <w:spacing w:before="22" w:line="221"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A3.初步评审</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"bookmark121" </w:instrText>
          </w:r>
          <w:r>
            <w:rPr>
              <w:color w:val="auto"/>
              <w:highlight w:val="none"/>
            </w:rPr>
            <w:fldChar w:fldCharType="separate"/>
          </w:r>
          <w:r>
            <w:rPr>
              <w:rFonts w:ascii="宋体" w:hAnsi="宋体" w:eastAsia="宋体" w:cs="宋体"/>
              <w:color w:val="auto"/>
              <w:spacing w:val="-3"/>
              <w:sz w:val="21"/>
              <w:szCs w:val="21"/>
              <w:highlight w:val="none"/>
            </w:rPr>
            <w:t>55</w:t>
          </w:r>
          <w:r>
            <w:rPr>
              <w:rFonts w:ascii="宋体" w:hAnsi="宋体" w:eastAsia="宋体" w:cs="宋体"/>
              <w:color w:val="auto"/>
              <w:spacing w:val="-3"/>
              <w:sz w:val="21"/>
              <w:szCs w:val="21"/>
              <w:highlight w:val="none"/>
            </w:rPr>
            <w:fldChar w:fldCharType="end"/>
          </w:r>
        </w:p>
        <w:p w14:paraId="7F0F0B01">
          <w:pPr>
            <w:tabs>
              <w:tab w:val="right" w:leader="dot" w:pos="8317"/>
            </w:tabs>
            <w:spacing w:before="24" w:line="221" w:lineRule="auto"/>
            <w:ind w:left="8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A3.1</w:t>
          </w:r>
          <w:r>
            <w:rPr>
              <w:rFonts w:ascii="宋体" w:hAnsi="宋体" w:eastAsia="宋体" w:cs="宋体"/>
              <w:color w:val="auto"/>
              <w:spacing w:val="-37"/>
              <w:sz w:val="21"/>
              <w:szCs w:val="21"/>
              <w:highlight w:val="none"/>
            </w:rPr>
            <w:t xml:space="preserve"> </w:t>
          </w:r>
          <w:r>
            <w:rPr>
              <w:rFonts w:ascii="宋体" w:hAnsi="宋体" w:eastAsia="宋体" w:cs="宋体"/>
              <w:color w:val="auto"/>
              <w:spacing w:val="-2"/>
              <w:sz w:val="21"/>
              <w:szCs w:val="21"/>
              <w:highlight w:val="none"/>
            </w:rPr>
            <w:t>形式评审</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"bookmark122" </w:instrText>
          </w:r>
          <w:r>
            <w:rPr>
              <w:color w:val="auto"/>
              <w:highlight w:val="none"/>
            </w:rPr>
            <w:fldChar w:fldCharType="separate"/>
          </w:r>
          <w:r>
            <w:rPr>
              <w:rFonts w:ascii="宋体" w:hAnsi="宋体" w:eastAsia="宋体" w:cs="宋体"/>
              <w:color w:val="auto"/>
              <w:spacing w:val="-3"/>
              <w:sz w:val="21"/>
              <w:szCs w:val="21"/>
              <w:highlight w:val="none"/>
            </w:rPr>
            <w:t>55</w:t>
          </w:r>
          <w:r>
            <w:rPr>
              <w:rFonts w:ascii="宋体" w:hAnsi="宋体" w:eastAsia="宋体" w:cs="宋体"/>
              <w:color w:val="auto"/>
              <w:spacing w:val="-3"/>
              <w:sz w:val="21"/>
              <w:szCs w:val="21"/>
              <w:highlight w:val="none"/>
            </w:rPr>
            <w:fldChar w:fldCharType="end"/>
          </w:r>
        </w:p>
        <w:p w14:paraId="67976DB1">
          <w:pPr>
            <w:tabs>
              <w:tab w:val="right" w:leader="dot" w:pos="8317"/>
            </w:tabs>
            <w:spacing w:before="21" w:line="221" w:lineRule="auto"/>
            <w:ind w:left="85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A3.2</w:t>
          </w:r>
          <w:r>
            <w:rPr>
              <w:rFonts w:ascii="宋体" w:hAnsi="宋体" w:eastAsia="宋体" w:cs="宋体"/>
              <w:color w:val="auto"/>
              <w:spacing w:val="-29"/>
              <w:sz w:val="21"/>
              <w:szCs w:val="21"/>
              <w:highlight w:val="none"/>
            </w:rPr>
            <w:t xml:space="preserve"> </w:t>
          </w:r>
          <w:r>
            <w:rPr>
              <w:rFonts w:ascii="宋体" w:hAnsi="宋体" w:eastAsia="宋体" w:cs="宋体"/>
              <w:color w:val="auto"/>
              <w:spacing w:val="-3"/>
              <w:sz w:val="21"/>
              <w:szCs w:val="21"/>
              <w:highlight w:val="none"/>
            </w:rPr>
            <w:t>资格评审</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"bookmark123" </w:instrText>
          </w:r>
          <w:r>
            <w:rPr>
              <w:color w:val="auto"/>
              <w:highlight w:val="none"/>
            </w:rPr>
            <w:fldChar w:fldCharType="separate"/>
          </w:r>
          <w:r>
            <w:rPr>
              <w:rFonts w:ascii="宋体" w:hAnsi="宋体" w:eastAsia="宋体" w:cs="宋体"/>
              <w:color w:val="auto"/>
              <w:spacing w:val="-3"/>
              <w:sz w:val="21"/>
              <w:szCs w:val="21"/>
              <w:highlight w:val="none"/>
            </w:rPr>
            <w:t>55</w:t>
          </w:r>
          <w:r>
            <w:rPr>
              <w:rFonts w:ascii="宋体" w:hAnsi="宋体" w:eastAsia="宋体" w:cs="宋体"/>
              <w:color w:val="auto"/>
              <w:spacing w:val="-3"/>
              <w:sz w:val="21"/>
              <w:szCs w:val="21"/>
              <w:highlight w:val="none"/>
            </w:rPr>
            <w:fldChar w:fldCharType="end"/>
          </w:r>
        </w:p>
        <w:p w14:paraId="50B58608">
          <w:pPr>
            <w:tabs>
              <w:tab w:val="right" w:leader="dot" w:pos="8317"/>
            </w:tabs>
            <w:spacing w:before="18" w:line="221" w:lineRule="auto"/>
            <w:ind w:left="8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A3.3</w:t>
          </w:r>
          <w:r>
            <w:rPr>
              <w:rFonts w:ascii="宋体" w:hAnsi="宋体" w:eastAsia="宋体" w:cs="宋体"/>
              <w:color w:val="auto"/>
              <w:spacing w:val="-33"/>
              <w:sz w:val="21"/>
              <w:szCs w:val="21"/>
              <w:highlight w:val="none"/>
            </w:rPr>
            <w:t xml:space="preserve"> </w:t>
          </w:r>
          <w:r>
            <w:rPr>
              <w:rFonts w:ascii="宋体" w:hAnsi="宋体" w:eastAsia="宋体" w:cs="宋体"/>
              <w:color w:val="auto"/>
              <w:spacing w:val="-2"/>
              <w:sz w:val="21"/>
              <w:szCs w:val="21"/>
              <w:highlight w:val="none"/>
            </w:rPr>
            <w:t>响应性评审</w:t>
          </w:r>
          <w:r>
            <w:rPr>
              <w:rFonts w:ascii="宋体" w:hAnsi="宋体" w:eastAsia="宋体" w:cs="宋体"/>
              <w:color w:val="auto"/>
              <w:spacing w:val="-2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"bookmark124" </w:instrText>
          </w:r>
          <w:r>
            <w:rPr>
              <w:color w:val="auto"/>
              <w:highlight w:val="none"/>
            </w:rPr>
            <w:fldChar w:fldCharType="separate"/>
          </w:r>
          <w:r>
            <w:rPr>
              <w:rFonts w:ascii="宋体" w:hAnsi="宋体" w:eastAsia="宋体" w:cs="宋体"/>
              <w:color w:val="auto"/>
              <w:spacing w:val="-3"/>
              <w:sz w:val="21"/>
              <w:szCs w:val="21"/>
              <w:highlight w:val="none"/>
            </w:rPr>
            <w:t>55</w:t>
          </w:r>
          <w:r>
            <w:rPr>
              <w:rFonts w:ascii="宋体" w:hAnsi="宋体" w:eastAsia="宋体" w:cs="宋体"/>
              <w:color w:val="auto"/>
              <w:spacing w:val="-3"/>
              <w:sz w:val="21"/>
              <w:szCs w:val="21"/>
              <w:highlight w:val="none"/>
            </w:rPr>
            <w:fldChar w:fldCharType="end"/>
          </w:r>
        </w:p>
        <w:p w14:paraId="7150EE73">
          <w:pPr>
            <w:tabs>
              <w:tab w:val="right" w:leader="dot" w:pos="8317"/>
            </w:tabs>
            <w:spacing w:before="22" w:line="221"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A3.4</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算术错误修正</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"bookmark125" </w:instrText>
          </w:r>
          <w:r>
            <w:rPr>
              <w:color w:val="auto"/>
              <w:highlight w:val="none"/>
            </w:rPr>
            <w:fldChar w:fldCharType="separate"/>
          </w:r>
          <w:r>
            <w:rPr>
              <w:rFonts w:ascii="宋体" w:hAnsi="宋体" w:eastAsia="宋体" w:cs="宋体"/>
              <w:color w:val="auto"/>
              <w:spacing w:val="-3"/>
              <w:sz w:val="21"/>
              <w:szCs w:val="21"/>
              <w:highlight w:val="none"/>
            </w:rPr>
            <w:t>55</w:t>
          </w:r>
          <w:r>
            <w:rPr>
              <w:rFonts w:ascii="宋体" w:hAnsi="宋体" w:eastAsia="宋体" w:cs="宋体"/>
              <w:color w:val="auto"/>
              <w:spacing w:val="-3"/>
              <w:sz w:val="21"/>
              <w:szCs w:val="21"/>
              <w:highlight w:val="none"/>
            </w:rPr>
            <w:fldChar w:fldCharType="end"/>
          </w:r>
        </w:p>
        <w:p w14:paraId="5CCD5D9A">
          <w:pPr>
            <w:tabs>
              <w:tab w:val="right" w:leader="dot" w:pos="8317"/>
            </w:tabs>
            <w:spacing w:before="23" w:line="219" w:lineRule="auto"/>
            <w:ind w:left="8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A3.5</w:t>
          </w:r>
          <w:r>
            <w:rPr>
              <w:rFonts w:ascii="宋体" w:hAnsi="宋体" w:eastAsia="宋体" w:cs="宋体"/>
              <w:color w:val="auto"/>
              <w:spacing w:val="-37"/>
              <w:sz w:val="21"/>
              <w:szCs w:val="21"/>
              <w:highlight w:val="none"/>
            </w:rPr>
            <w:t xml:space="preserve"> </w:t>
          </w:r>
          <w:r>
            <w:rPr>
              <w:rFonts w:ascii="宋体" w:hAnsi="宋体" w:eastAsia="宋体" w:cs="宋体"/>
              <w:color w:val="auto"/>
              <w:spacing w:val="-2"/>
              <w:sz w:val="21"/>
              <w:szCs w:val="21"/>
              <w:highlight w:val="none"/>
            </w:rPr>
            <w:t xml:space="preserve">判断投标报价是否低于成本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"bookmark126" </w:instrText>
          </w:r>
          <w:r>
            <w:rPr>
              <w:color w:val="auto"/>
              <w:highlight w:val="none"/>
            </w:rPr>
            <w:fldChar w:fldCharType="separate"/>
          </w:r>
          <w:r>
            <w:rPr>
              <w:rFonts w:ascii="宋体" w:hAnsi="宋体" w:eastAsia="宋体" w:cs="宋体"/>
              <w:color w:val="auto"/>
              <w:spacing w:val="-3"/>
              <w:sz w:val="21"/>
              <w:szCs w:val="21"/>
              <w:highlight w:val="none"/>
            </w:rPr>
            <w:t>55</w:t>
          </w:r>
          <w:r>
            <w:rPr>
              <w:rFonts w:ascii="宋体" w:hAnsi="宋体" w:eastAsia="宋体" w:cs="宋体"/>
              <w:color w:val="auto"/>
              <w:spacing w:val="-3"/>
              <w:sz w:val="21"/>
              <w:szCs w:val="21"/>
              <w:highlight w:val="none"/>
            </w:rPr>
            <w:fldChar w:fldCharType="end"/>
          </w:r>
        </w:p>
        <w:p w14:paraId="74D50341">
          <w:pPr>
            <w:tabs>
              <w:tab w:val="right" w:leader="dot" w:pos="8317"/>
            </w:tabs>
            <w:spacing w:before="24" w:line="221"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A3.6 判断投标是否为应当被否决</w:t>
          </w:r>
          <w:r>
            <w:rPr>
              <w:rFonts w:ascii="宋体" w:hAnsi="宋体" w:eastAsia="宋体" w:cs="宋体"/>
              <w:color w:val="auto"/>
              <w:spacing w:val="-7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"bookmark127" </w:instrText>
          </w:r>
          <w:r>
            <w:rPr>
              <w:color w:val="auto"/>
              <w:highlight w:val="none"/>
            </w:rPr>
            <w:fldChar w:fldCharType="separate"/>
          </w:r>
          <w:r>
            <w:rPr>
              <w:rFonts w:ascii="宋体" w:hAnsi="宋体" w:eastAsia="宋体" w:cs="宋体"/>
              <w:color w:val="auto"/>
              <w:spacing w:val="-3"/>
              <w:sz w:val="21"/>
              <w:szCs w:val="21"/>
              <w:highlight w:val="none"/>
            </w:rPr>
            <w:t>55</w:t>
          </w:r>
          <w:r>
            <w:rPr>
              <w:rFonts w:ascii="宋体" w:hAnsi="宋体" w:eastAsia="宋体" w:cs="宋体"/>
              <w:color w:val="auto"/>
              <w:spacing w:val="-3"/>
              <w:sz w:val="21"/>
              <w:szCs w:val="21"/>
              <w:highlight w:val="none"/>
            </w:rPr>
            <w:fldChar w:fldCharType="end"/>
          </w:r>
        </w:p>
        <w:p w14:paraId="1ACB2160">
          <w:pPr>
            <w:tabs>
              <w:tab w:val="right" w:leader="dot" w:pos="8317"/>
            </w:tabs>
            <w:spacing w:before="17" w:line="221"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A3.7 澄清、说明或补正</w:t>
          </w:r>
          <w:r>
            <w:rPr>
              <w:rFonts w:ascii="宋体" w:hAnsi="宋体" w:eastAsia="宋体" w:cs="宋体"/>
              <w:color w:val="auto"/>
              <w:spacing w:val="-7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"bookmark128" </w:instrText>
          </w:r>
          <w:r>
            <w:rPr>
              <w:color w:val="auto"/>
              <w:highlight w:val="none"/>
            </w:rPr>
            <w:fldChar w:fldCharType="separate"/>
          </w:r>
          <w:r>
            <w:rPr>
              <w:rFonts w:ascii="宋体" w:hAnsi="宋体" w:eastAsia="宋体" w:cs="宋体"/>
              <w:color w:val="auto"/>
              <w:spacing w:val="-3"/>
              <w:sz w:val="21"/>
              <w:szCs w:val="21"/>
              <w:highlight w:val="none"/>
            </w:rPr>
            <w:t>55</w:t>
          </w:r>
          <w:r>
            <w:rPr>
              <w:rFonts w:ascii="宋体" w:hAnsi="宋体" w:eastAsia="宋体" w:cs="宋体"/>
              <w:color w:val="auto"/>
              <w:spacing w:val="-3"/>
              <w:sz w:val="21"/>
              <w:szCs w:val="21"/>
              <w:highlight w:val="none"/>
            </w:rPr>
            <w:fldChar w:fldCharType="end"/>
          </w:r>
        </w:p>
        <w:p w14:paraId="401198AD">
          <w:pPr>
            <w:tabs>
              <w:tab w:val="right" w:leader="dot" w:pos="8317"/>
            </w:tabs>
            <w:spacing w:before="23" w:line="221"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A4.详细评审</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"bookmark129" </w:instrText>
          </w:r>
          <w:r>
            <w:rPr>
              <w:color w:val="auto"/>
              <w:highlight w:val="none"/>
            </w:rPr>
            <w:fldChar w:fldCharType="separate"/>
          </w:r>
          <w:r>
            <w:rPr>
              <w:rFonts w:ascii="宋体" w:hAnsi="宋体" w:eastAsia="宋体" w:cs="宋体"/>
              <w:color w:val="auto"/>
              <w:spacing w:val="-3"/>
              <w:sz w:val="21"/>
              <w:szCs w:val="21"/>
              <w:highlight w:val="none"/>
            </w:rPr>
            <w:t>56</w:t>
          </w:r>
          <w:r>
            <w:rPr>
              <w:rFonts w:ascii="宋体" w:hAnsi="宋体" w:eastAsia="宋体" w:cs="宋体"/>
              <w:color w:val="auto"/>
              <w:spacing w:val="-3"/>
              <w:sz w:val="21"/>
              <w:szCs w:val="21"/>
              <w:highlight w:val="none"/>
            </w:rPr>
            <w:fldChar w:fldCharType="end"/>
          </w:r>
        </w:p>
        <w:p w14:paraId="07BF5638">
          <w:pPr>
            <w:tabs>
              <w:tab w:val="right" w:leader="dot" w:pos="8317"/>
            </w:tabs>
            <w:spacing w:before="22" w:line="221"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A4.1</w:t>
          </w:r>
          <w:r>
            <w:rPr>
              <w:rFonts w:ascii="宋体" w:hAnsi="宋体" w:eastAsia="宋体" w:cs="宋体"/>
              <w:color w:val="auto"/>
              <w:spacing w:val="-38"/>
              <w:sz w:val="21"/>
              <w:szCs w:val="21"/>
              <w:highlight w:val="none"/>
            </w:rPr>
            <w:t xml:space="preserve"> </w:t>
          </w:r>
          <w:r>
            <w:rPr>
              <w:rFonts w:ascii="宋体" w:hAnsi="宋体" w:eastAsia="宋体" w:cs="宋体"/>
              <w:color w:val="auto"/>
              <w:spacing w:val="-1"/>
              <w:sz w:val="21"/>
              <w:szCs w:val="21"/>
              <w:highlight w:val="none"/>
            </w:rPr>
            <w:t>详细评审的程序</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"bookmark130" </w:instrText>
          </w:r>
          <w:r>
            <w:rPr>
              <w:color w:val="auto"/>
              <w:highlight w:val="none"/>
            </w:rPr>
            <w:fldChar w:fldCharType="separate"/>
          </w:r>
          <w:r>
            <w:rPr>
              <w:rFonts w:ascii="宋体" w:hAnsi="宋体" w:eastAsia="宋体" w:cs="宋体"/>
              <w:color w:val="auto"/>
              <w:spacing w:val="-3"/>
              <w:sz w:val="21"/>
              <w:szCs w:val="21"/>
              <w:highlight w:val="none"/>
            </w:rPr>
            <w:t>56</w:t>
          </w:r>
          <w:r>
            <w:rPr>
              <w:rFonts w:ascii="宋体" w:hAnsi="宋体" w:eastAsia="宋体" w:cs="宋体"/>
              <w:color w:val="auto"/>
              <w:spacing w:val="-3"/>
              <w:sz w:val="21"/>
              <w:szCs w:val="21"/>
              <w:highlight w:val="none"/>
            </w:rPr>
            <w:fldChar w:fldCharType="end"/>
          </w:r>
        </w:p>
        <w:p w14:paraId="035C5692">
          <w:pPr>
            <w:tabs>
              <w:tab w:val="right" w:leader="dot" w:pos="8317"/>
            </w:tabs>
            <w:spacing w:before="22" w:line="221"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A4.2</w:t>
          </w:r>
          <w:r>
            <w:rPr>
              <w:rFonts w:ascii="宋体" w:hAnsi="宋体" w:eastAsia="宋体" w:cs="宋体"/>
              <w:color w:val="auto"/>
              <w:spacing w:val="-41"/>
              <w:sz w:val="21"/>
              <w:szCs w:val="21"/>
              <w:highlight w:val="none"/>
            </w:rPr>
            <w:t xml:space="preserve"> </w:t>
          </w:r>
          <w:r>
            <w:rPr>
              <w:rFonts w:ascii="宋体" w:hAnsi="宋体" w:eastAsia="宋体" w:cs="宋体"/>
              <w:color w:val="auto"/>
              <w:spacing w:val="-1"/>
              <w:sz w:val="21"/>
              <w:szCs w:val="21"/>
              <w:highlight w:val="none"/>
            </w:rPr>
            <w:t>经济标评审和评分</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"bookmark131" </w:instrText>
          </w:r>
          <w:r>
            <w:rPr>
              <w:color w:val="auto"/>
              <w:highlight w:val="none"/>
            </w:rPr>
            <w:fldChar w:fldCharType="separate"/>
          </w:r>
          <w:r>
            <w:rPr>
              <w:rFonts w:ascii="宋体" w:hAnsi="宋体" w:eastAsia="宋体" w:cs="宋体"/>
              <w:color w:val="auto"/>
              <w:spacing w:val="-3"/>
              <w:sz w:val="21"/>
              <w:szCs w:val="21"/>
              <w:highlight w:val="none"/>
            </w:rPr>
            <w:t>56</w:t>
          </w:r>
          <w:r>
            <w:rPr>
              <w:rFonts w:ascii="宋体" w:hAnsi="宋体" w:eastAsia="宋体" w:cs="宋体"/>
              <w:color w:val="auto"/>
              <w:spacing w:val="-3"/>
              <w:sz w:val="21"/>
              <w:szCs w:val="21"/>
              <w:highlight w:val="none"/>
            </w:rPr>
            <w:fldChar w:fldCharType="end"/>
          </w:r>
        </w:p>
        <w:p w14:paraId="5A61CB8A">
          <w:pPr>
            <w:tabs>
              <w:tab w:val="right" w:leader="dot" w:pos="8317"/>
            </w:tabs>
            <w:spacing w:before="17" w:line="221"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A4.3 技术标评审和评分</w:t>
          </w:r>
          <w:r>
            <w:rPr>
              <w:rFonts w:ascii="宋体" w:hAnsi="宋体" w:eastAsia="宋体" w:cs="宋体"/>
              <w:color w:val="auto"/>
              <w:spacing w:val="-7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"bookmark132" </w:instrText>
          </w:r>
          <w:r>
            <w:rPr>
              <w:color w:val="auto"/>
              <w:highlight w:val="none"/>
            </w:rPr>
            <w:fldChar w:fldCharType="separate"/>
          </w:r>
          <w:r>
            <w:rPr>
              <w:rFonts w:ascii="宋体" w:hAnsi="宋体" w:eastAsia="宋体" w:cs="宋体"/>
              <w:color w:val="auto"/>
              <w:spacing w:val="-3"/>
              <w:sz w:val="21"/>
              <w:szCs w:val="21"/>
              <w:highlight w:val="none"/>
            </w:rPr>
            <w:t>56</w:t>
          </w:r>
          <w:r>
            <w:rPr>
              <w:rFonts w:ascii="宋体" w:hAnsi="宋体" w:eastAsia="宋体" w:cs="宋体"/>
              <w:color w:val="auto"/>
              <w:spacing w:val="-3"/>
              <w:sz w:val="21"/>
              <w:szCs w:val="21"/>
              <w:highlight w:val="none"/>
            </w:rPr>
            <w:fldChar w:fldCharType="end"/>
          </w:r>
        </w:p>
        <w:p w14:paraId="65D13CF3">
          <w:pPr>
            <w:tabs>
              <w:tab w:val="right" w:leader="dot" w:pos="8317"/>
            </w:tabs>
            <w:spacing w:before="23" w:line="221" w:lineRule="auto"/>
            <w:ind w:left="8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A4.4</w:t>
          </w:r>
          <w:r>
            <w:rPr>
              <w:rFonts w:ascii="宋体" w:hAnsi="宋体" w:eastAsia="宋体" w:cs="宋体"/>
              <w:color w:val="auto"/>
              <w:spacing w:val="-29"/>
              <w:sz w:val="21"/>
              <w:szCs w:val="21"/>
              <w:highlight w:val="none"/>
            </w:rPr>
            <w:t xml:space="preserve"> </w:t>
          </w:r>
          <w:r>
            <w:rPr>
              <w:rFonts w:ascii="宋体" w:hAnsi="宋体" w:eastAsia="宋体" w:cs="宋体"/>
              <w:color w:val="auto"/>
              <w:spacing w:val="-2"/>
              <w:sz w:val="21"/>
              <w:szCs w:val="21"/>
              <w:highlight w:val="none"/>
            </w:rPr>
            <w:t>资信标评审和评分</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"bookmark133" </w:instrText>
          </w:r>
          <w:r>
            <w:rPr>
              <w:color w:val="auto"/>
              <w:highlight w:val="none"/>
            </w:rPr>
            <w:fldChar w:fldCharType="separate"/>
          </w:r>
          <w:r>
            <w:rPr>
              <w:rFonts w:ascii="宋体" w:hAnsi="宋体" w:eastAsia="宋体" w:cs="宋体"/>
              <w:color w:val="auto"/>
              <w:spacing w:val="-3"/>
              <w:sz w:val="21"/>
              <w:szCs w:val="21"/>
              <w:highlight w:val="none"/>
            </w:rPr>
            <w:t>56</w:t>
          </w:r>
          <w:r>
            <w:rPr>
              <w:rFonts w:ascii="宋体" w:hAnsi="宋体" w:eastAsia="宋体" w:cs="宋体"/>
              <w:color w:val="auto"/>
              <w:spacing w:val="-3"/>
              <w:sz w:val="21"/>
              <w:szCs w:val="21"/>
              <w:highlight w:val="none"/>
            </w:rPr>
            <w:fldChar w:fldCharType="end"/>
          </w:r>
        </w:p>
        <w:p w14:paraId="3829B715">
          <w:pPr>
            <w:tabs>
              <w:tab w:val="right" w:leader="dot" w:pos="8317"/>
            </w:tabs>
            <w:spacing w:before="22" w:line="221"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A4.5 其他因素的评审和评分</w:t>
          </w:r>
          <w:r>
            <w:rPr>
              <w:rFonts w:ascii="宋体" w:hAnsi="宋体" w:eastAsia="宋体" w:cs="宋体"/>
              <w:color w:val="auto"/>
              <w:spacing w:val="-7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"bookmark134" </w:instrText>
          </w:r>
          <w:r>
            <w:rPr>
              <w:color w:val="auto"/>
              <w:highlight w:val="none"/>
            </w:rPr>
            <w:fldChar w:fldCharType="separate"/>
          </w:r>
          <w:r>
            <w:rPr>
              <w:rFonts w:ascii="宋体" w:hAnsi="宋体" w:eastAsia="宋体" w:cs="宋体"/>
              <w:color w:val="auto"/>
              <w:spacing w:val="-3"/>
              <w:sz w:val="21"/>
              <w:szCs w:val="21"/>
              <w:highlight w:val="none"/>
            </w:rPr>
            <w:t>56</w:t>
          </w:r>
          <w:r>
            <w:rPr>
              <w:rFonts w:ascii="宋体" w:hAnsi="宋体" w:eastAsia="宋体" w:cs="宋体"/>
              <w:color w:val="auto"/>
              <w:spacing w:val="-3"/>
              <w:sz w:val="21"/>
              <w:szCs w:val="21"/>
              <w:highlight w:val="none"/>
            </w:rPr>
            <w:fldChar w:fldCharType="end"/>
          </w:r>
        </w:p>
        <w:p w14:paraId="1BDF0E02">
          <w:pPr>
            <w:tabs>
              <w:tab w:val="right" w:leader="dot" w:pos="8317"/>
            </w:tabs>
            <w:spacing w:before="22" w:line="221"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A4.6 澄清、说明或补正</w:t>
          </w:r>
          <w:r>
            <w:rPr>
              <w:rFonts w:ascii="宋体" w:hAnsi="宋体" w:eastAsia="宋体" w:cs="宋体"/>
              <w:color w:val="auto"/>
              <w:spacing w:val="-7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"bookmark135" </w:instrText>
          </w:r>
          <w:r>
            <w:rPr>
              <w:color w:val="auto"/>
              <w:highlight w:val="none"/>
            </w:rPr>
            <w:fldChar w:fldCharType="separate"/>
          </w:r>
          <w:r>
            <w:rPr>
              <w:rFonts w:ascii="宋体" w:hAnsi="宋体" w:eastAsia="宋体" w:cs="宋体"/>
              <w:color w:val="auto"/>
              <w:spacing w:val="-3"/>
              <w:sz w:val="21"/>
              <w:szCs w:val="21"/>
              <w:highlight w:val="none"/>
            </w:rPr>
            <w:t>56</w:t>
          </w:r>
          <w:r>
            <w:rPr>
              <w:rFonts w:ascii="宋体" w:hAnsi="宋体" w:eastAsia="宋体" w:cs="宋体"/>
              <w:color w:val="auto"/>
              <w:spacing w:val="-3"/>
              <w:sz w:val="21"/>
              <w:szCs w:val="21"/>
              <w:highlight w:val="none"/>
            </w:rPr>
            <w:fldChar w:fldCharType="end"/>
          </w:r>
        </w:p>
        <w:p w14:paraId="5D9564B5">
          <w:pPr>
            <w:tabs>
              <w:tab w:val="right" w:leader="dot" w:pos="8317"/>
            </w:tabs>
            <w:spacing w:before="19" w:line="221" w:lineRule="auto"/>
            <w:ind w:left="8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A4.7</w:t>
          </w:r>
          <w:r>
            <w:rPr>
              <w:rFonts w:ascii="宋体" w:hAnsi="宋体" w:eastAsia="宋体" w:cs="宋体"/>
              <w:color w:val="auto"/>
              <w:spacing w:val="-43"/>
              <w:sz w:val="21"/>
              <w:szCs w:val="21"/>
              <w:highlight w:val="none"/>
            </w:rPr>
            <w:t xml:space="preserve"> </w:t>
          </w:r>
          <w:r>
            <w:rPr>
              <w:rFonts w:ascii="宋体" w:hAnsi="宋体" w:eastAsia="宋体" w:cs="宋体"/>
              <w:color w:val="auto"/>
              <w:spacing w:val="-2"/>
              <w:sz w:val="21"/>
              <w:szCs w:val="21"/>
              <w:highlight w:val="none"/>
            </w:rPr>
            <w:t xml:space="preserve">汇总评分（评审）结果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"bookmark136" </w:instrText>
          </w:r>
          <w:r>
            <w:rPr>
              <w:color w:val="auto"/>
              <w:highlight w:val="none"/>
            </w:rPr>
            <w:fldChar w:fldCharType="separate"/>
          </w:r>
          <w:r>
            <w:rPr>
              <w:rFonts w:ascii="宋体" w:hAnsi="宋体" w:eastAsia="宋体" w:cs="宋体"/>
              <w:color w:val="auto"/>
              <w:spacing w:val="-3"/>
              <w:sz w:val="21"/>
              <w:szCs w:val="21"/>
              <w:highlight w:val="none"/>
            </w:rPr>
            <w:t>57</w:t>
          </w:r>
          <w:r>
            <w:rPr>
              <w:rFonts w:ascii="宋体" w:hAnsi="宋体" w:eastAsia="宋体" w:cs="宋体"/>
              <w:color w:val="auto"/>
              <w:spacing w:val="-3"/>
              <w:sz w:val="21"/>
              <w:szCs w:val="21"/>
              <w:highlight w:val="none"/>
            </w:rPr>
            <w:fldChar w:fldCharType="end"/>
          </w:r>
        </w:p>
        <w:p w14:paraId="3733C244">
          <w:pPr>
            <w:tabs>
              <w:tab w:val="right" w:leader="dot" w:pos="8317"/>
            </w:tabs>
            <w:spacing w:before="21" w:line="220"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A5.推荐中标候选人或者直接确定中标人</w:t>
          </w:r>
          <w:r>
            <w:rPr>
              <w:rFonts w:ascii="宋体" w:hAnsi="宋体" w:eastAsia="宋体" w:cs="宋体"/>
              <w:color w:val="auto"/>
              <w:spacing w:val="-6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"bookmark137" </w:instrText>
          </w:r>
          <w:r>
            <w:rPr>
              <w:color w:val="auto"/>
              <w:highlight w:val="none"/>
            </w:rPr>
            <w:fldChar w:fldCharType="separate"/>
          </w:r>
          <w:r>
            <w:rPr>
              <w:rFonts w:ascii="宋体" w:hAnsi="宋体" w:eastAsia="宋体" w:cs="宋体"/>
              <w:color w:val="auto"/>
              <w:spacing w:val="-3"/>
              <w:sz w:val="21"/>
              <w:szCs w:val="21"/>
              <w:highlight w:val="none"/>
            </w:rPr>
            <w:t>57</w:t>
          </w:r>
          <w:r>
            <w:rPr>
              <w:rFonts w:ascii="宋体" w:hAnsi="宋体" w:eastAsia="宋体" w:cs="宋体"/>
              <w:color w:val="auto"/>
              <w:spacing w:val="-3"/>
              <w:sz w:val="21"/>
              <w:szCs w:val="21"/>
              <w:highlight w:val="none"/>
            </w:rPr>
            <w:fldChar w:fldCharType="end"/>
          </w:r>
        </w:p>
        <w:p w14:paraId="4F3DD7A7">
          <w:pPr>
            <w:tabs>
              <w:tab w:val="right" w:leader="dot" w:pos="8317"/>
            </w:tabs>
            <w:spacing w:before="24" w:line="220"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A5.1</w:t>
          </w:r>
          <w:r>
            <w:rPr>
              <w:rFonts w:ascii="宋体" w:hAnsi="宋体" w:eastAsia="宋体" w:cs="宋体"/>
              <w:color w:val="auto"/>
              <w:spacing w:val="-38"/>
              <w:sz w:val="21"/>
              <w:szCs w:val="21"/>
              <w:highlight w:val="none"/>
            </w:rPr>
            <w:t xml:space="preserve"> </w:t>
          </w:r>
          <w:r>
            <w:rPr>
              <w:rFonts w:ascii="宋体" w:hAnsi="宋体" w:eastAsia="宋体" w:cs="宋体"/>
              <w:color w:val="auto"/>
              <w:spacing w:val="-1"/>
              <w:sz w:val="21"/>
              <w:szCs w:val="21"/>
              <w:highlight w:val="none"/>
            </w:rPr>
            <w:t>推荐中标候选人</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"bookmark138" </w:instrText>
          </w:r>
          <w:r>
            <w:rPr>
              <w:color w:val="auto"/>
              <w:highlight w:val="none"/>
            </w:rPr>
            <w:fldChar w:fldCharType="separate"/>
          </w:r>
          <w:r>
            <w:rPr>
              <w:rFonts w:ascii="宋体" w:hAnsi="宋体" w:eastAsia="宋体" w:cs="宋体"/>
              <w:color w:val="auto"/>
              <w:spacing w:val="-3"/>
              <w:sz w:val="21"/>
              <w:szCs w:val="21"/>
              <w:highlight w:val="none"/>
            </w:rPr>
            <w:t>57</w:t>
          </w:r>
          <w:r>
            <w:rPr>
              <w:rFonts w:ascii="宋体" w:hAnsi="宋体" w:eastAsia="宋体" w:cs="宋体"/>
              <w:color w:val="auto"/>
              <w:spacing w:val="-3"/>
              <w:sz w:val="21"/>
              <w:szCs w:val="21"/>
              <w:highlight w:val="none"/>
            </w:rPr>
            <w:fldChar w:fldCharType="end"/>
          </w:r>
        </w:p>
        <w:p w14:paraId="0C2CEC06">
          <w:pPr>
            <w:tabs>
              <w:tab w:val="right" w:leader="dot" w:pos="8317"/>
            </w:tabs>
            <w:spacing w:before="19" w:line="221"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A5.2</w:t>
          </w:r>
          <w:r>
            <w:rPr>
              <w:rFonts w:ascii="宋体" w:hAnsi="宋体" w:eastAsia="宋体" w:cs="宋体"/>
              <w:color w:val="auto"/>
              <w:spacing w:val="-38"/>
              <w:sz w:val="21"/>
              <w:szCs w:val="21"/>
              <w:highlight w:val="none"/>
            </w:rPr>
            <w:t xml:space="preserve"> </w:t>
          </w:r>
          <w:r>
            <w:rPr>
              <w:rFonts w:ascii="宋体" w:hAnsi="宋体" w:eastAsia="宋体" w:cs="宋体"/>
              <w:color w:val="auto"/>
              <w:spacing w:val="-1"/>
              <w:sz w:val="21"/>
              <w:szCs w:val="21"/>
              <w:highlight w:val="none"/>
            </w:rPr>
            <w:t>直接确定中标人</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"bookmark139" </w:instrText>
          </w:r>
          <w:r>
            <w:rPr>
              <w:color w:val="auto"/>
              <w:highlight w:val="none"/>
            </w:rPr>
            <w:fldChar w:fldCharType="separate"/>
          </w:r>
          <w:r>
            <w:rPr>
              <w:rFonts w:ascii="宋体" w:hAnsi="宋体" w:eastAsia="宋体" w:cs="宋体"/>
              <w:color w:val="auto"/>
              <w:spacing w:val="-3"/>
              <w:sz w:val="21"/>
              <w:szCs w:val="21"/>
              <w:highlight w:val="none"/>
            </w:rPr>
            <w:t>57</w:t>
          </w:r>
          <w:r>
            <w:rPr>
              <w:rFonts w:ascii="宋体" w:hAnsi="宋体" w:eastAsia="宋体" w:cs="宋体"/>
              <w:color w:val="auto"/>
              <w:spacing w:val="-3"/>
              <w:sz w:val="21"/>
              <w:szCs w:val="21"/>
              <w:highlight w:val="none"/>
            </w:rPr>
            <w:fldChar w:fldCharType="end"/>
          </w:r>
        </w:p>
        <w:p w14:paraId="500E0A5E">
          <w:pPr>
            <w:tabs>
              <w:tab w:val="right" w:leader="dot" w:pos="8317"/>
            </w:tabs>
            <w:spacing w:before="22" w:line="219"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A5.3</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编制评标报告</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"bookmark140" </w:instrText>
          </w:r>
          <w:r>
            <w:rPr>
              <w:color w:val="auto"/>
              <w:highlight w:val="none"/>
            </w:rPr>
            <w:fldChar w:fldCharType="separate"/>
          </w:r>
          <w:r>
            <w:rPr>
              <w:rFonts w:ascii="宋体" w:hAnsi="宋体" w:eastAsia="宋体" w:cs="宋体"/>
              <w:color w:val="auto"/>
              <w:spacing w:val="-3"/>
              <w:sz w:val="21"/>
              <w:szCs w:val="21"/>
              <w:highlight w:val="none"/>
            </w:rPr>
            <w:t>57</w:t>
          </w:r>
          <w:r>
            <w:rPr>
              <w:rFonts w:ascii="宋体" w:hAnsi="宋体" w:eastAsia="宋体" w:cs="宋体"/>
              <w:color w:val="auto"/>
              <w:spacing w:val="-3"/>
              <w:sz w:val="21"/>
              <w:szCs w:val="21"/>
              <w:highlight w:val="none"/>
            </w:rPr>
            <w:fldChar w:fldCharType="end"/>
          </w:r>
        </w:p>
        <w:p w14:paraId="70899EF6">
          <w:pPr>
            <w:tabs>
              <w:tab w:val="right" w:leader="dot" w:pos="8317"/>
            </w:tabs>
            <w:spacing w:before="24" w:line="221"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A6.特殊情况的处置程序</w:t>
          </w:r>
          <w:r>
            <w:rPr>
              <w:rFonts w:ascii="宋体" w:hAnsi="宋体" w:eastAsia="宋体" w:cs="宋体"/>
              <w:color w:val="auto"/>
              <w:spacing w:val="-7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"bookmark141" </w:instrText>
          </w:r>
          <w:r>
            <w:rPr>
              <w:color w:val="auto"/>
              <w:highlight w:val="none"/>
            </w:rPr>
            <w:fldChar w:fldCharType="separate"/>
          </w:r>
          <w:r>
            <w:rPr>
              <w:rFonts w:ascii="宋体" w:hAnsi="宋体" w:eastAsia="宋体" w:cs="宋体"/>
              <w:color w:val="auto"/>
              <w:spacing w:val="-3"/>
              <w:sz w:val="21"/>
              <w:szCs w:val="21"/>
              <w:highlight w:val="none"/>
            </w:rPr>
            <w:t>58</w:t>
          </w:r>
          <w:r>
            <w:rPr>
              <w:rFonts w:ascii="宋体" w:hAnsi="宋体" w:eastAsia="宋体" w:cs="宋体"/>
              <w:color w:val="auto"/>
              <w:spacing w:val="-3"/>
              <w:sz w:val="21"/>
              <w:szCs w:val="21"/>
              <w:highlight w:val="none"/>
            </w:rPr>
            <w:fldChar w:fldCharType="end"/>
          </w:r>
        </w:p>
        <w:p w14:paraId="169668F3">
          <w:pPr>
            <w:tabs>
              <w:tab w:val="right" w:leader="dot" w:pos="8317"/>
            </w:tabs>
            <w:spacing w:before="22" w:line="221"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A6.1</w:t>
          </w:r>
          <w:r>
            <w:rPr>
              <w:rFonts w:ascii="宋体" w:hAnsi="宋体" w:eastAsia="宋体" w:cs="宋体"/>
              <w:color w:val="auto"/>
              <w:spacing w:val="-20"/>
              <w:sz w:val="21"/>
              <w:szCs w:val="21"/>
              <w:highlight w:val="none"/>
            </w:rPr>
            <w:t xml:space="preserve"> </w:t>
          </w:r>
          <w:r>
            <w:rPr>
              <w:rFonts w:ascii="宋体" w:hAnsi="宋体" w:eastAsia="宋体" w:cs="宋体"/>
              <w:color w:val="auto"/>
              <w:spacing w:val="-1"/>
              <w:sz w:val="21"/>
              <w:szCs w:val="21"/>
              <w:highlight w:val="none"/>
            </w:rPr>
            <w:t xml:space="preserve">暗标评审的评审程序规定（适用于对技术标进行暗标评审的）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"bookmark142" </w:instrText>
          </w:r>
          <w:r>
            <w:rPr>
              <w:color w:val="auto"/>
              <w:highlight w:val="none"/>
            </w:rPr>
            <w:fldChar w:fldCharType="separate"/>
          </w:r>
          <w:r>
            <w:rPr>
              <w:rFonts w:ascii="宋体" w:hAnsi="宋体" w:eastAsia="宋体" w:cs="宋体"/>
              <w:color w:val="auto"/>
              <w:spacing w:val="-3"/>
              <w:sz w:val="21"/>
              <w:szCs w:val="21"/>
              <w:highlight w:val="none"/>
            </w:rPr>
            <w:t>58</w:t>
          </w:r>
          <w:r>
            <w:rPr>
              <w:rFonts w:ascii="宋体" w:hAnsi="宋体" w:eastAsia="宋体" w:cs="宋体"/>
              <w:color w:val="auto"/>
              <w:spacing w:val="-3"/>
              <w:sz w:val="21"/>
              <w:szCs w:val="21"/>
              <w:highlight w:val="none"/>
            </w:rPr>
            <w:fldChar w:fldCharType="end"/>
          </w:r>
        </w:p>
        <w:p w14:paraId="0729CB1C">
          <w:pPr>
            <w:tabs>
              <w:tab w:val="right" w:leader="dot" w:pos="8317"/>
            </w:tabs>
            <w:spacing w:before="18" w:line="221"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A6.2</w:t>
          </w:r>
          <w:r>
            <w:rPr>
              <w:rFonts w:ascii="宋体" w:hAnsi="宋体" w:eastAsia="宋体" w:cs="宋体"/>
              <w:color w:val="auto"/>
              <w:spacing w:val="-41"/>
              <w:sz w:val="21"/>
              <w:szCs w:val="21"/>
              <w:highlight w:val="none"/>
            </w:rPr>
            <w:t xml:space="preserve"> </w:t>
          </w:r>
          <w:r>
            <w:rPr>
              <w:rFonts w:ascii="宋体" w:hAnsi="宋体" w:eastAsia="宋体" w:cs="宋体"/>
              <w:color w:val="auto"/>
              <w:spacing w:val="-1"/>
              <w:sz w:val="21"/>
              <w:szCs w:val="21"/>
              <w:highlight w:val="none"/>
            </w:rPr>
            <w:t>关于评标活动暂停</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"bookmark143" </w:instrText>
          </w:r>
          <w:r>
            <w:rPr>
              <w:color w:val="auto"/>
              <w:highlight w:val="none"/>
            </w:rPr>
            <w:fldChar w:fldCharType="separate"/>
          </w:r>
          <w:r>
            <w:rPr>
              <w:rFonts w:ascii="宋体" w:hAnsi="宋体" w:eastAsia="宋体" w:cs="宋体"/>
              <w:color w:val="auto"/>
              <w:spacing w:val="-3"/>
              <w:sz w:val="21"/>
              <w:szCs w:val="21"/>
              <w:highlight w:val="none"/>
            </w:rPr>
            <w:t>58</w:t>
          </w:r>
          <w:r>
            <w:rPr>
              <w:rFonts w:ascii="宋体" w:hAnsi="宋体" w:eastAsia="宋体" w:cs="宋体"/>
              <w:color w:val="auto"/>
              <w:spacing w:val="-3"/>
              <w:sz w:val="21"/>
              <w:szCs w:val="21"/>
              <w:highlight w:val="none"/>
            </w:rPr>
            <w:fldChar w:fldCharType="end"/>
          </w:r>
        </w:p>
        <w:p w14:paraId="27293D83">
          <w:pPr>
            <w:tabs>
              <w:tab w:val="right" w:leader="dot" w:pos="8317"/>
            </w:tabs>
            <w:spacing w:before="22" w:line="220" w:lineRule="auto"/>
            <w:ind w:left="8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A6.3</w:t>
          </w:r>
          <w:r>
            <w:rPr>
              <w:rFonts w:ascii="宋体" w:hAnsi="宋体" w:eastAsia="宋体" w:cs="宋体"/>
              <w:color w:val="auto"/>
              <w:spacing w:val="-27"/>
              <w:sz w:val="21"/>
              <w:szCs w:val="21"/>
              <w:highlight w:val="none"/>
            </w:rPr>
            <w:t xml:space="preserve"> </w:t>
          </w:r>
          <w:r>
            <w:rPr>
              <w:rFonts w:ascii="宋体" w:hAnsi="宋体" w:eastAsia="宋体" w:cs="宋体"/>
              <w:color w:val="auto"/>
              <w:spacing w:val="-2"/>
              <w:sz w:val="21"/>
              <w:szCs w:val="21"/>
              <w:highlight w:val="none"/>
            </w:rPr>
            <w:t xml:space="preserve">关于评标中途更换评标委员会成员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"bookmark144" </w:instrText>
          </w:r>
          <w:r>
            <w:rPr>
              <w:color w:val="auto"/>
              <w:highlight w:val="none"/>
            </w:rPr>
            <w:fldChar w:fldCharType="separate"/>
          </w:r>
          <w:r>
            <w:rPr>
              <w:rFonts w:ascii="宋体" w:hAnsi="宋体" w:eastAsia="宋体" w:cs="宋体"/>
              <w:color w:val="auto"/>
              <w:spacing w:val="-3"/>
              <w:sz w:val="21"/>
              <w:szCs w:val="21"/>
              <w:highlight w:val="none"/>
            </w:rPr>
            <w:t>58</w:t>
          </w:r>
          <w:r>
            <w:rPr>
              <w:rFonts w:ascii="宋体" w:hAnsi="宋体" w:eastAsia="宋体" w:cs="宋体"/>
              <w:color w:val="auto"/>
              <w:spacing w:val="-3"/>
              <w:sz w:val="21"/>
              <w:szCs w:val="21"/>
              <w:highlight w:val="none"/>
            </w:rPr>
            <w:fldChar w:fldCharType="end"/>
          </w:r>
        </w:p>
        <w:p w14:paraId="04664558">
          <w:pPr>
            <w:tabs>
              <w:tab w:val="right" w:leader="dot" w:pos="8317"/>
            </w:tabs>
            <w:spacing w:before="23" w:line="221"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A6.4 评标争议处理</w:t>
          </w:r>
          <w:r>
            <w:rPr>
              <w:rFonts w:ascii="宋体" w:hAnsi="宋体" w:eastAsia="宋体" w:cs="宋体"/>
              <w:color w:val="auto"/>
              <w:spacing w:val="-7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"bookmark145" </w:instrText>
          </w:r>
          <w:r>
            <w:rPr>
              <w:color w:val="auto"/>
              <w:highlight w:val="none"/>
            </w:rPr>
            <w:fldChar w:fldCharType="separate"/>
          </w:r>
          <w:r>
            <w:rPr>
              <w:rFonts w:ascii="宋体" w:hAnsi="宋体" w:eastAsia="宋体" w:cs="宋体"/>
              <w:color w:val="auto"/>
              <w:spacing w:val="-3"/>
              <w:sz w:val="21"/>
              <w:szCs w:val="21"/>
              <w:highlight w:val="none"/>
            </w:rPr>
            <w:t>58</w:t>
          </w:r>
          <w:r>
            <w:rPr>
              <w:rFonts w:ascii="宋体" w:hAnsi="宋体" w:eastAsia="宋体" w:cs="宋体"/>
              <w:color w:val="auto"/>
              <w:spacing w:val="-3"/>
              <w:sz w:val="21"/>
              <w:szCs w:val="21"/>
              <w:highlight w:val="none"/>
            </w:rPr>
            <w:fldChar w:fldCharType="end"/>
          </w:r>
        </w:p>
        <w:p w14:paraId="2D87271C">
          <w:pPr>
            <w:tabs>
              <w:tab w:val="right" w:leader="dot" w:pos="8317"/>
            </w:tabs>
            <w:spacing w:before="23" w:line="221"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A7.补充条款</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4"/>
              <w:sz w:val="21"/>
              <w:szCs w:val="21"/>
              <w:highlight w:val="none"/>
            </w:rPr>
            <w:t xml:space="preserve"> </w:t>
          </w:r>
          <w:r>
            <w:rPr>
              <w:color w:val="auto"/>
              <w:highlight w:val="none"/>
            </w:rPr>
            <w:fldChar w:fldCharType="begin"/>
          </w:r>
          <w:r>
            <w:rPr>
              <w:color w:val="auto"/>
              <w:highlight w:val="none"/>
            </w:rPr>
            <w:instrText xml:space="preserve"> HYPERLINK \l "bookmark146" </w:instrText>
          </w:r>
          <w:r>
            <w:rPr>
              <w:color w:val="auto"/>
              <w:highlight w:val="none"/>
            </w:rPr>
            <w:fldChar w:fldCharType="separate"/>
          </w:r>
          <w:r>
            <w:rPr>
              <w:rFonts w:ascii="宋体" w:hAnsi="宋体" w:eastAsia="宋体" w:cs="宋体"/>
              <w:color w:val="auto"/>
              <w:spacing w:val="-3"/>
              <w:sz w:val="21"/>
              <w:szCs w:val="21"/>
              <w:highlight w:val="none"/>
            </w:rPr>
            <w:t>59</w:t>
          </w:r>
          <w:r>
            <w:rPr>
              <w:rFonts w:ascii="宋体" w:hAnsi="宋体" w:eastAsia="宋体" w:cs="宋体"/>
              <w:color w:val="auto"/>
              <w:spacing w:val="-3"/>
              <w:sz w:val="21"/>
              <w:szCs w:val="21"/>
              <w:highlight w:val="none"/>
            </w:rPr>
            <w:fldChar w:fldCharType="end"/>
          </w:r>
        </w:p>
      </w:sdtContent>
    </w:sdt>
    <w:p w14:paraId="14700FD6">
      <w:pPr>
        <w:spacing w:line="221" w:lineRule="auto"/>
        <w:rPr>
          <w:rFonts w:ascii="宋体" w:hAnsi="宋体" w:eastAsia="宋体" w:cs="宋体"/>
          <w:color w:val="auto"/>
          <w:sz w:val="21"/>
          <w:szCs w:val="21"/>
          <w:highlight w:val="none"/>
        </w:rPr>
        <w:sectPr>
          <w:footerReference r:id="rId8" w:type="default"/>
          <w:pgSz w:w="11905" w:h="16839"/>
          <w:pgMar w:top="1427" w:right="1785" w:bottom="1033" w:left="1785" w:header="0" w:footer="847" w:gutter="0"/>
          <w:pgNumType w:fmt="decimal"/>
          <w:cols w:space="720" w:num="1"/>
        </w:sectPr>
      </w:pPr>
    </w:p>
    <w:sdt>
      <w:sdtPr>
        <w:rPr>
          <w:rFonts w:ascii="宋体" w:hAnsi="宋体" w:eastAsia="宋体" w:cs="宋体"/>
          <w:color w:val="auto"/>
          <w:sz w:val="21"/>
          <w:szCs w:val="21"/>
          <w:highlight w:val="none"/>
        </w:rPr>
        <w:id w:val="4"/>
        <w:docPartObj>
          <w:docPartGallery w:val="Table of Contents"/>
          <w:docPartUnique/>
        </w:docPartObj>
      </w:sdtPr>
      <w:sdtEndPr>
        <w:rPr>
          <w:rFonts w:ascii="宋体" w:hAnsi="宋体" w:eastAsia="宋体" w:cs="宋体"/>
          <w:color w:val="auto"/>
          <w:sz w:val="21"/>
          <w:szCs w:val="21"/>
          <w:highlight w:val="none"/>
        </w:rPr>
      </w:sdtEndPr>
      <w:sdtContent>
        <w:p w14:paraId="3D18E15D">
          <w:pPr>
            <w:tabs>
              <w:tab w:val="right" w:leader="dot" w:pos="8317"/>
            </w:tabs>
            <w:spacing w:before="42" w:line="220" w:lineRule="auto"/>
            <w:ind w:left="45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附件</w:t>
          </w:r>
          <w:r>
            <w:rPr>
              <w:rFonts w:ascii="宋体" w:hAnsi="宋体" w:eastAsia="宋体" w:cs="宋体"/>
              <w:color w:val="auto"/>
              <w:spacing w:val="-42"/>
              <w:sz w:val="21"/>
              <w:szCs w:val="21"/>
              <w:highlight w:val="none"/>
            </w:rPr>
            <w:t xml:space="preserve"> </w:t>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B：否决投标的条件</w:t>
          </w:r>
          <w:r>
            <w:rPr>
              <w:rFonts w:ascii="宋体" w:hAnsi="宋体" w:eastAsia="宋体" w:cs="宋体"/>
              <w:color w:val="auto"/>
              <w:spacing w:val="-42"/>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"bookmark147" </w:instrText>
          </w:r>
          <w:r>
            <w:rPr>
              <w:color w:val="auto"/>
              <w:highlight w:val="none"/>
            </w:rPr>
            <w:fldChar w:fldCharType="separate"/>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60</w:t>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fldChar w:fldCharType="end"/>
          </w:r>
        </w:p>
        <w:p w14:paraId="24158D4A">
          <w:pPr>
            <w:tabs>
              <w:tab w:val="right" w:leader="dot" w:pos="8317"/>
            </w:tabs>
            <w:spacing w:before="19" w:line="221" w:lineRule="auto"/>
            <w:ind w:left="85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B0.总</w:t>
          </w:r>
          <w:r>
            <w:rPr>
              <w:rFonts w:ascii="宋体" w:hAnsi="宋体" w:eastAsia="宋体" w:cs="宋体"/>
              <w:color w:val="auto"/>
              <w:spacing w:val="8"/>
              <w:sz w:val="21"/>
              <w:szCs w:val="21"/>
              <w:highlight w:val="none"/>
            </w:rPr>
            <w:t xml:space="preserve">  </w:t>
          </w:r>
          <w:r>
            <w:rPr>
              <w:rFonts w:ascii="宋体" w:hAnsi="宋体" w:eastAsia="宋体" w:cs="宋体"/>
              <w:color w:val="auto"/>
              <w:spacing w:val="-3"/>
              <w:sz w:val="21"/>
              <w:szCs w:val="21"/>
              <w:highlight w:val="none"/>
            </w:rPr>
            <w:t>则</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"bookmark148" </w:instrText>
          </w:r>
          <w:r>
            <w:rPr>
              <w:color w:val="auto"/>
              <w:highlight w:val="none"/>
            </w:rPr>
            <w:fldChar w:fldCharType="separate"/>
          </w:r>
          <w:r>
            <w:rPr>
              <w:rFonts w:ascii="宋体" w:hAnsi="宋体" w:eastAsia="宋体" w:cs="宋体"/>
              <w:color w:val="auto"/>
              <w:spacing w:val="-3"/>
              <w:sz w:val="21"/>
              <w:szCs w:val="21"/>
              <w:highlight w:val="none"/>
            </w:rPr>
            <w:t>60</w:t>
          </w:r>
          <w:r>
            <w:rPr>
              <w:rFonts w:ascii="宋体" w:hAnsi="宋体" w:eastAsia="宋体" w:cs="宋体"/>
              <w:color w:val="auto"/>
              <w:spacing w:val="-3"/>
              <w:sz w:val="21"/>
              <w:szCs w:val="21"/>
              <w:highlight w:val="none"/>
            </w:rPr>
            <w:fldChar w:fldCharType="end"/>
          </w:r>
        </w:p>
        <w:p w14:paraId="12082DE8">
          <w:pPr>
            <w:tabs>
              <w:tab w:val="right" w:leader="dot" w:pos="8317"/>
            </w:tabs>
            <w:spacing w:before="21" w:line="221" w:lineRule="auto"/>
            <w:ind w:left="853"/>
            <w:rPr>
              <w:rFonts w:ascii="宋体" w:hAnsi="宋体" w:eastAsia="宋体" w:cs="宋体"/>
              <w:color w:val="auto"/>
              <w:sz w:val="21"/>
              <w:szCs w:val="21"/>
              <w:highlight w:val="none"/>
            </w:rPr>
          </w:pPr>
          <w:r>
            <w:rPr>
              <w:rFonts w:ascii="宋体" w:hAnsi="宋体" w:eastAsia="宋体" w:cs="宋体"/>
              <w:color w:val="auto"/>
              <w:sz w:val="21"/>
              <w:szCs w:val="21"/>
              <w:highlight w:val="none"/>
            </w:rPr>
            <w:t>B1.否决投标的条件</w:t>
          </w:r>
          <w:r>
            <w:rPr>
              <w:rFonts w:ascii="宋体" w:hAnsi="宋体" w:eastAsia="宋体" w:cs="宋体"/>
              <w:color w:val="auto"/>
              <w:spacing w:val="-8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"bookmark149" </w:instrText>
          </w:r>
          <w:r>
            <w:rPr>
              <w:color w:val="auto"/>
              <w:highlight w:val="none"/>
            </w:rPr>
            <w:fldChar w:fldCharType="separate"/>
          </w:r>
          <w:r>
            <w:rPr>
              <w:rFonts w:ascii="宋体" w:hAnsi="宋体" w:eastAsia="宋体" w:cs="宋体"/>
              <w:color w:val="auto"/>
              <w:spacing w:val="-3"/>
              <w:sz w:val="21"/>
              <w:szCs w:val="21"/>
              <w:highlight w:val="none"/>
            </w:rPr>
            <w:t>60</w:t>
          </w:r>
          <w:r>
            <w:rPr>
              <w:rFonts w:ascii="宋体" w:hAnsi="宋体" w:eastAsia="宋体" w:cs="宋体"/>
              <w:color w:val="auto"/>
              <w:spacing w:val="-3"/>
              <w:sz w:val="21"/>
              <w:szCs w:val="21"/>
              <w:highlight w:val="none"/>
            </w:rPr>
            <w:fldChar w:fldCharType="end"/>
          </w:r>
        </w:p>
        <w:p w14:paraId="04424048">
          <w:pPr>
            <w:tabs>
              <w:tab w:val="right" w:leader="dot" w:pos="8317"/>
            </w:tabs>
            <w:spacing w:before="22" w:line="220" w:lineRule="auto"/>
            <w:ind w:left="45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14:textOutline w14:w="3831" w14:cap="flat" w14:cmpd="sng">
                <w14:solidFill>
                  <w14:srgbClr w14:val="000000"/>
                </w14:solidFill>
                <w14:prstDash w14:val="solid"/>
                <w14:miter w14:val="0"/>
              </w14:textOutline>
            </w:rPr>
            <w:t>附件</w:t>
          </w:r>
          <w:r>
            <w:rPr>
              <w:rFonts w:ascii="宋体" w:hAnsi="宋体" w:eastAsia="宋体" w:cs="宋体"/>
              <w:color w:val="auto"/>
              <w:spacing w:val="-45"/>
              <w:sz w:val="21"/>
              <w:szCs w:val="21"/>
              <w:highlight w:val="none"/>
            </w:rPr>
            <w:t xml:space="preserve"> </w:t>
          </w:r>
          <w:r>
            <w:rPr>
              <w:rFonts w:ascii="宋体" w:hAnsi="宋体" w:eastAsia="宋体" w:cs="宋体"/>
              <w:color w:val="auto"/>
              <w:spacing w:val="-4"/>
              <w:sz w:val="21"/>
              <w:szCs w:val="21"/>
              <w:highlight w:val="none"/>
              <w14:textOutline w14:w="3831" w14:cap="flat" w14:cmpd="sng">
                <w14:solidFill>
                  <w14:srgbClr w14:val="000000"/>
                </w14:solidFill>
                <w14:prstDash w14:val="solid"/>
                <w14:miter w14:val="0"/>
              </w14:textOutline>
            </w:rPr>
            <w:t>C：定标办法</w:t>
          </w:r>
          <w:r>
            <w:rPr>
              <w:rFonts w:ascii="宋体" w:hAnsi="宋体" w:eastAsia="宋体" w:cs="宋体"/>
              <w:color w:val="auto"/>
              <w:spacing w:val="-73"/>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"bookmark150" </w:instrText>
          </w:r>
          <w:r>
            <w:rPr>
              <w:color w:val="auto"/>
              <w:highlight w:val="none"/>
            </w:rPr>
            <w:fldChar w:fldCharType="separate"/>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63</w:t>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fldChar w:fldCharType="end"/>
          </w:r>
        </w:p>
        <w:p w14:paraId="1EDFF052">
          <w:pPr>
            <w:tabs>
              <w:tab w:val="right" w:leader="dot" w:pos="8317"/>
            </w:tabs>
            <w:spacing w:before="23" w:line="220" w:lineRule="auto"/>
            <w:ind w:left="44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定标办法前附表</w:t>
          </w:r>
          <w:r>
            <w:rPr>
              <w:rFonts w:ascii="宋体" w:hAnsi="宋体" w:eastAsia="宋体" w:cs="宋体"/>
              <w:color w:val="auto"/>
              <w:spacing w:val="-32"/>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"bookmark151" </w:instrText>
          </w:r>
          <w:r>
            <w:rPr>
              <w:color w:val="auto"/>
              <w:highlight w:val="none"/>
            </w:rPr>
            <w:fldChar w:fldCharType="separate"/>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63</w:t>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fldChar w:fldCharType="end"/>
          </w:r>
        </w:p>
        <w:p w14:paraId="02F75DDF">
          <w:pPr>
            <w:tabs>
              <w:tab w:val="right" w:leader="dot" w:pos="8317"/>
            </w:tabs>
            <w:spacing w:before="18" w:line="221" w:lineRule="auto"/>
            <w:ind w:left="44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定标办法正文</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"bookmark152" </w:instrText>
          </w:r>
          <w:r>
            <w:rPr>
              <w:color w:val="auto"/>
              <w:highlight w:val="none"/>
            </w:rPr>
            <w:fldChar w:fldCharType="separate"/>
          </w:r>
          <w:r>
            <w:rPr>
              <w:rFonts w:ascii="宋体" w:hAnsi="宋体" w:eastAsia="宋体" w:cs="宋体"/>
              <w:color w:val="auto"/>
              <w:spacing w:val="-3"/>
              <w:sz w:val="21"/>
              <w:szCs w:val="21"/>
              <w:highlight w:val="none"/>
            </w:rPr>
            <w:t>64</w:t>
          </w:r>
          <w:r>
            <w:rPr>
              <w:rFonts w:ascii="宋体" w:hAnsi="宋体" w:eastAsia="宋体" w:cs="宋体"/>
              <w:color w:val="auto"/>
              <w:spacing w:val="-3"/>
              <w:sz w:val="21"/>
              <w:szCs w:val="21"/>
              <w:highlight w:val="none"/>
            </w:rPr>
            <w:fldChar w:fldCharType="end"/>
          </w:r>
        </w:p>
        <w:p w14:paraId="291BE863">
          <w:pPr>
            <w:tabs>
              <w:tab w:val="right" w:leader="dot" w:pos="8317"/>
            </w:tabs>
            <w:spacing w:before="23" w:line="221" w:lineRule="auto"/>
            <w:ind w:left="45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1.定标方法</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"bookmark153" </w:instrText>
          </w:r>
          <w:r>
            <w:rPr>
              <w:color w:val="auto"/>
              <w:highlight w:val="none"/>
            </w:rPr>
            <w:fldChar w:fldCharType="separate"/>
          </w:r>
          <w:r>
            <w:rPr>
              <w:rFonts w:ascii="宋体" w:hAnsi="宋体" w:eastAsia="宋体" w:cs="宋体"/>
              <w:color w:val="auto"/>
              <w:spacing w:val="-3"/>
              <w:sz w:val="21"/>
              <w:szCs w:val="21"/>
              <w:highlight w:val="none"/>
            </w:rPr>
            <w:t>64</w:t>
          </w:r>
          <w:r>
            <w:rPr>
              <w:rFonts w:ascii="宋体" w:hAnsi="宋体" w:eastAsia="宋体" w:cs="宋体"/>
              <w:color w:val="auto"/>
              <w:spacing w:val="-3"/>
              <w:sz w:val="21"/>
              <w:szCs w:val="21"/>
              <w:highlight w:val="none"/>
            </w:rPr>
            <w:fldChar w:fldCharType="end"/>
          </w:r>
        </w:p>
        <w:p w14:paraId="1462ACB4">
          <w:pPr>
            <w:tabs>
              <w:tab w:val="right" w:leader="dot" w:pos="8317"/>
            </w:tabs>
            <w:spacing w:before="22" w:line="221" w:lineRule="auto"/>
            <w:ind w:left="4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2.定标流程及规则</w:t>
          </w:r>
          <w:r>
            <w:rPr>
              <w:rFonts w:ascii="宋体" w:hAnsi="宋体" w:eastAsia="宋体" w:cs="宋体"/>
              <w:color w:val="auto"/>
              <w:spacing w:val="-8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"bookmark154" </w:instrText>
          </w:r>
          <w:r>
            <w:rPr>
              <w:color w:val="auto"/>
              <w:highlight w:val="none"/>
            </w:rPr>
            <w:fldChar w:fldCharType="separate"/>
          </w:r>
          <w:r>
            <w:rPr>
              <w:rFonts w:ascii="宋体" w:hAnsi="宋体" w:eastAsia="宋体" w:cs="宋体"/>
              <w:color w:val="auto"/>
              <w:spacing w:val="-3"/>
              <w:sz w:val="21"/>
              <w:szCs w:val="21"/>
              <w:highlight w:val="none"/>
            </w:rPr>
            <w:t>64</w:t>
          </w:r>
          <w:r>
            <w:rPr>
              <w:rFonts w:ascii="宋体" w:hAnsi="宋体" w:eastAsia="宋体" w:cs="宋体"/>
              <w:color w:val="auto"/>
              <w:spacing w:val="-3"/>
              <w:sz w:val="21"/>
              <w:szCs w:val="21"/>
              <w:highlight w:val="none"/>
            </w:rPr>
            <w:fldChar w:fldCharType="end"/>
          </w:r>
        </w:p>
        <w:p w14:paraId="72BB5C2E">
          <w:pPr>
            <w:tabs>
              <w:tab w:val="right" w:leader="dot" w:pos="8317"/>
            </w:tabs>
            <w:spacing w:before="22" w:line="220" w:lineRule="auto"/>
            <w:ind w:left="86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2.1</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组建定标委员会</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"bookmark155" </w:instrText>
          </w:r>
          <w:r>
            <w:rPr>
              <w:color w:val="auto"/>
              <w:highlight w:val="none"/>
            </w:rPr>
            <w:fldChar w:fldCharType="separate"/>
          </w:r>
          <w:r>
            <w:rPr>
              <w:rFonts w:ascii="宋体" w:hAnsi="宋体" w:eastAsia="宋体" w:cs="宋体"/>
              <w:color w:val="auto"/>
              <w:spacing w:val="-3"/>
              <w:sz w:val="21"/>
              <w:szCs w:val="21"/>
              <w:highlight w:val="none"/>
            </w:rPr>
            <w:t>64</w:t>
          </w:r>
          <w:r>
            <w:rPr>
              <w:rFonts w:ascii="宋体" w:hAnsi="宋体" w:eastAsia="宋体" w:cs="宋体"/>
              <w:color w:val="auto"/>
              <w:spacing w:val="-3"/>
              <w:sz w:val="21"/>
              <w:szCs w:val="21"/>
              <w:highlight w:val="none"/>
            </w:rPr>
            <w:fldChar w:fldCharType="end"/>
          </w:r>
        </w:p>
        <w:p w14:paraId="423618E9">
          <w:pPr>
            <w:tabs>
              <w:tab w:val="right" w:leader="dot" w:pos="8317"/>
            </w:tabs>
            <w:spacing w:before="18" w:line="221" w:lineRule="auto"/>
            <w:ind w:left="86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2.2</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定标因素及规则</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"bookmark156" </w:instrText>
          </w:r>
          <w:r>
            <w:rPr>
              <w:color w:val="auto"/>
              <w:highlight w:val="none"/>
            </w:rPr>
            <w:fldChar w:fldCharType="separate"/>
          </w:r>
          <w:r>
            <w:rPr>
              <w:rFonts w:ascii="宋体" w:hAnsi="宋体" w:eastAsia="宋体" w:cs="宋体"/>
              <w:color w:val="auto"/>
              <w:spacing w:val="-3"/>
              <w:sz w:val="21"/>
              <w:szCs w:val="21"/>
              <w:highlight w:val="none"/>
            </w:rPr>
            <w:t>64</w:t>
          </w:r>
          <w:r>
            <w:rPr>
              <w:rFonts w:ascii="宋体" w:hAnsi="宋体" w:eastAsia="宋体" w:cs="宋体"/>
              <w:color w:val="auto"/>
              <w:spacing w:val="-3"/>
              <w:sz w:val="21"/>
              <w:szCs w:val="21"/>
              <w:highlight w:val="none"/>
            </w:rPr>
            <w:fldChar w:fldCharType="end"/>
          </w:r>
        </w:p>
        <w:p w14:paraId="66EEBC17">
          <w:pPr>
            <w:tabs>
              <w:tab w:val="right" w:leader="dot" w:pos="8317"/>
            </w:tabs>
            <w:spacing w:before="22" w:line="221" w:lineRule="auto"/>
            <w:ind w:left="86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2.3</w:t>
          </w:r>
          <w:r>
            <w:rPr>
              <w:rFonts w:ascii="宋体" w:hAnsi="宋体" w:eastAsia="宋体" w:cs="宋体"/>
              <w:color w:val="auto"/>
              <w:spacing w:val="-37"/>
              <w:sz w:val="21"/>
              <w:szCs w:val="21"/>
              <w:highlight w:val="none"/>
            </w:rPr>
            <w:t xml:space="preserve"> </w:t>
          </w:r>
          <w:r>
            <w:rPr>
              <w:rFonts w:ascii="宋体" w:hAnsi="宋体" w:eastAsia="宋体" w:cs="宋体"/>
              <w:color w:val="auto"/>
              <w:spacing w:val="-3"/>
              <w:sz w:val="21"/>
              <w:szCs w:val="21"/>
              <w:highlight w:val="none"/>
            </w:rPr>
            <w:t>定标办法</w:t>
          </w:r>
          <w:r>
            <w:rPr>
              <w:rFonts w:ascii="宋体" w:hAnsi="宋体" w:eastAsia="宋体" w:cs="宋体"/>
              <w:color w:val="auto"/>
              <w:spacing w:val="-3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"bookmark157" </w:instrText>
          </w:r>
          <w:r>
            <w:rPr>
              <w:color w:val="auto"/>
              <w:highlight w:val="none"/>
            </w:rPr>
            <w:fldChar w:fldCharType="separate"/>
          </w:r>
          <w:r>
            <w:rPr>
              <w:rFonts w:ascii="宋体" w:hAnsi="宋体" w:eastAsia="宋体" w:cs="宋体"/>
              <w:color w:val="auto"/>
              <w:spacing w:val="-3"/>
              <w:sz w:val="21"/>
              <w:szCs w:val="21"/>
              <w:highlight w:val="none"/>
            </w:rPr>
            <w:t>64</w:t>
          </w:r>
          <w:r>
            <w:rPr>
              <w:rFonts w:ascii="宋体" w:hAnsi="宋体" w:eastAsia="宋体" w:cs="宋体"/>
              <w:color w:val="auto"/>
              <w:spacing w:val="-3"/>
              <w:sz w:val="21"/>
              <w:szCs w:val="21"/>
              <w:highlight w:val="none"/>
            </w:rPr>
            <w:fldChar w:fldCharType="end"/>
          </w:r>
        </w:p>
        <w:p w14:paraId="7BF27CF5">
          <w:pPr>
            <w:tabs>
              <w:tab w:val="right" w:leader="dot" w:pos="8317"/>
            </w:tabs>
            <w:spacing w:before="24" w:line="221" w:lineRule="auto"/>
            <w:ind w:left="44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3.重新定标</w:t>
          </w:r>
          <w:r>
            <w:rPr>
              <w:rFonts w:ascii="宋体" w:hAnsi="宋体" w:eastAsia="宋体" w:cs="宋体"/>
              <w:color w:val="auto"/>
              <w:spacing w:val="-8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"bookmark158" </w:instrText>
          </w:r>
          <w:r>
            <w:rPr>
              <w:color w:val="auto"/>
              <w:highlight w:val="none"/>
            </w:rPr>
            <w:fldChar w:fldCharType="separate"/>
          </w:r>
          <w:r>
            <w:rPr>
              <w:rFonts w:ascii="宋体" w:hAnsi="宋体" w:eastAsia="宋体" w:cs="宋体"/>
              <w:color w:val="auto"/>
              <w:spacing w:val="-3"/>
              <w:sz w:val="21"/>
              <w:szCs w:val="21"/>
              <w:highlight w:val="none"/>
            </w:rPr>
            <w:t>65</w:t>
          </w:r>
          <w:r>
            <w:rPr>
              <w:rFonts w:ascii="宋体" w:hAnsi="宋体" w:eastAsia="宋体" w:cs="宋体"/>
              <w:color w:val="auto"/>
              <w:spacing w:val="-3"/>
              <w:sz w:val="21"/>
              <w:szCs w:val="21"/>
              <w:highlight w:val="none"/>
            </w:rPr>
            <w:fldChar w:fldCharType="end"/>
          </w:r>
        </w:p>
        <w:p w14:paraId="5084B324">
          <w:pPr>
            <w:tabs>
              <w:tab w:val="right" w:leader="dot" w:pos="8317"/>
            </w:tabs>
            <w:spacing w:before="21" w:line="222" w:lineRule="auto"/>
            <w:ind w:left="44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4.监督</w:t>
          </w:r>
          <w:r>
            <w:rPr>
              <w:rFonts w:ascii="宋体" w:hAnsi="宋体" w:eastAsia="宋体" w:cs="宋体"/>
              <w:color w:val="auto"/>
              <w:spacing w:val="-9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"bookmark159" </w:instrText>
          </w:r>
          <w:r>
            <w:rPr>
              <w:color w:val="auto"/>
              <w:highlight w:val="none"/>
            </w:rPr>
            <w:fldChar w:fldCharType="separate"/>
          </w:r>
          <w:r>
            <w:rPr>
              <w:rFonts w:ascii="宋体" w:hAnsi="宋体" w:eastAsia="宋体" w:cs="宋体"/>
              <w:color w:val="auto"/>
              <w:spacing w:val="-3"/>
              <w:sz w:val="21"/>
              <w:szCs w:val="21"/>
              <w:highlight w:val="none"/>
            </w:rPr>
            <w:t>65</w:t>
          </w:r>
          <w:r>
            <w:rPr>
              <w:rFonts w:ascii="宋体" w:hAnsi="宋体" w:eastAsia="宋体" w:cs="宋体"/>
              <w:color w:val="auto"/>
              <w:spacing w:val="-3"/>
              <w:sz w:val="21"/>
              <w:szCs w:val="21"/>
              <w:highlight w:val="none"/>
            </w:rPr>
            <w:fldChar w:fldCharType="end"/>
          </w:r>
        </w:p>
        <w:p w14:paraId="39C2BDA0">
          <w:pPr>
            <w:tabs>
              <w:tab w:val="right" w:leader="dot" w:pos="8317"/>
            </w:tabs>
            <w:spacing w:before="17" w:line="219" w:lineRule="auto"/>
            <w:ind w:left="44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评标办法前附表（经评审的最低投标价法）</w:t>
          </w:r>
          <w:r>
            <w:rPr>
              <w:rFonts w:ascii="宋体" w:hAnsi="宋体" w:eastAsia="宋体" w:cs="宋体"/>
              <w:color w:val="auto"/>
              <w:spacing w:val="44"/>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"bookmark160" </w:instrText>
          </w:r>
          <w:r>
            <w:rPr>
              <w:color w:val="auto"/>
              <w:highlight w:val="none"/>
            </w:rPr>
            <w:fldChar w:fldCharType="separate"/>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66</w:t>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fldChar w:fldCharType="end"/>
          </w:r>
        </w:p>
        <w:p w14:paraId="7A1EDE5F">
          <w:pPr>
            <w:tabs>
              <w:tab w:val="right" w:leader="dot" w:pos="8317"/>
            </w:tabs>
            <w:spacing w:before="24" w:line="221" w:lineRule="auto"/>
            <w:ind w:left="44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评标办法正文部分</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"bookmark161" </w:instrText>
          </w:r>
          <w:r>
            <w:rPr>
              <w:color w:val="auto"/>
              <w:highlight w:val="none"/>
            </w:rPr>
            <w:fldChar w:fldCharType="separate"/>
          </w:r>
          <w:r>
            <w:rPr>
              <w:rFonts w:ascii="宋体" w:hAnsi="宋体" w:eastAsia="宋体" w:cs="宋体"/>
              <w:color w:val="auto"/>
              <w:spacing w:val="-3"/>
              <w:sz w:val="21"/>
              <w:szCs w:val="21"/>
              <w:highlight w:val="none"/>
            </w:rPr>
            <w:t>69</w:t>
          </w:r>
          <w:r>
            <w:rPr>
              <w:rFonts w:ascii="宋体" w:hAnsi="宋体" w:eastAsia="宋体" w:cs="宋体"/>
              <w:color w:val="auto"/>
              <w:spacing w:val="-3"/>
              <w:sz w:val="21"/>
              <w:szCs w:val="21"/>
              <w:highlight w:val="none"/>
            </w:rPr>
            <w:fldChar w:fldCharType="end"/>
          </w:r>
        </w:p>
        <w:p w14:paraId="0F2EE9B2">
          <w:pPr>
            <w:tabs>
              <w:tab w:val="right" w:leader="dot" w:pos="8317"/>
            </w:tabs>
            <w:spacing w:before="23" w:line="221" w:lineRule="auto"/>
            <w:ind w:left="45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1.评标方法</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"bookmark162" </w:instrText>
          </w:r>
          <w:r>
            <w:rPr>
              <w:color w:val="auto"/>
              <w:highlight w:val="none"/>
            </w:rPr>
            <w:fldChar w:fldCharType="separate"/>
          </w:r>
          <w:r>
            <w:rPr>
              <w:rFonts w:ascii="宋体" w:hAnsi="宋体" w:eastAsia="宋体" w:cs="宋体"/>
              <w:color w:val="auto"/>
              <w:spacing w:val="-3"/>
              <w:sz w:val="21"/>
              <w:szCs w:val="21"/>
              <w:highlight w:val="none"/>
            </w:rPr>
            <w:t>69</w:t>
          </w:r>
          <w:r>
            <w:rPr>
              <w:rFonts w:ascii="宋体" w:hAnsi="宋体" w:eastAsia="宋体" w:cs="宋体"/>
              <w:color w:val="auto"/>
              <w:spacing w:val="-3"/>
              <w:sz w:val="21"/>
              <w:szCs w:val="21"/>
              <w:highlight w:val="none"/>
            </w:rPr>
            <w:fldChar w:fldCharType="end"/>
          </w:r>
        </w:p>
        <w:p w14:paraId="0D032503">
          <w:pPr>
            <w:tabs>
              <w:tab w:val="right" w:leader="dot" w:pos="8317"/>
            </w:tabs>
            <w:spacing w:before="22" w:line="221" w:lineRule="auto"/>
            <w:ind w:left="4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2.评审标准</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"bookmark163" </w:instrText>
          </w:r>
          <w:r>
            <w:rPr>
              <w:color w:val="auto"/>
              <w:highlight w:val="none"/>
            </w:rPr>
            <w:fldChar w:fldCharType="separate"/>
          </w:r>
          <w:r>
            <w:rPr>
              <w:rFonts w:ascii="宋体" w:hAnsi="宋体" w:eastAsia="宋体" w:cs="宋体"/>
              <w:color w:val="auto"/>
              <w:spacing w:val="-3"/>
              <w:sz w:val="21"/>
              <w:szCs w:val="21"/>
              <w:highlight w:val="none"/>
            </w:rPr>
            <w:t>69</w:t>
          </w:r>
          <w:r>
            <w:rPr>
              <w:rFonts w:ascii="宋体" w:hAnsi="宋体" w:eastAsia="宋体" w:cs="宋体"/>
              <w:color w:val="auto"/>
              <w:spacing w:val="-3"/>
              <w:sz w:val="21"/>
              <w:szCs w:val="21"/>
              <w:highlight w:val="none"/>
            </w:rPr>
            <w:fldChar w:fldCharType="end"/>
          </w:r>
        </w:p>
        <w:p w14:paraId="38D99082">
          <w:pPr>
            <w:tabs>
              <w:tab w:val="right" w:leader="dot" w:pos="8317"/>
            </w:tabs>
            <w:spacing w:before="17" w:line="221" w:lineRule="auto"/>
            <w:ind w:left="86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2.1</w:t>
          </w:r>
          <w:r>
            <w:rPr>
              <w:rFonts w:ascii="宋体" w:hAnsi="宋体" w:eastAsia="宋体" w:cs="宋体"/>
              <w:color w:val="auto"/>
              <w:spacing w:val="-42"/>
              <w:sz w:val="21"/>
              <w:szCs w:val="21"/>
              <w:highlight w:val="none"/>
            </w:rPr>
            <w:t xml:space="preserve"> </w:t>
          </w:r>
          <w:r>
            <w:rPr>
              <w:rFonts w:ascii="宋体" w:hAnsi="宋体" w:eastAsia="宋体" w:cs="宋体"/>
              <w:color w:val="auto"/>
              <w:spacing w:val="-2"/>
              <w:sz w:val="21"/>
              <w:szCs w:val="21"/>
              <w:highlight w:val="none"/>
            </w:rPr>
            <w:t>初步评审标准</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"bookmark164" </w:instrText>
          </w:r>
          <w:r>
            <w:rPr>
              <w:color w:val="auto"/>
              <w:highlight w:val="none"/>
            </w:rPr>
            <w:fldChar w:fldCharType="separate"/>
          </w:r>
          <w:r>
            <w:rPr>
              <w:rFonts w:ascii="宋体" w:hAnsi="宋体" w:eastAsia="宋体" w:cs="宋体"/>
              <w:color w:val="auto"/>
              <w:spacing w:val="-3"/>
              <w:sz w:val="21"/>
              <w:szCs w:val="21"/>
              <w:highlight w:val="none"/>
            </w:rPr>
            <w:t>69</w:t>
          </w:r>
          <w:r>
            <w:rPr>
              <w:rFonts w:ascii="宋体" w:hAnsi="宋体" w:eastAsia="宋体" w:cs="宋体"/>
              <w:color w:val="auto"/>
              <w:spacing w:val="-3"/>
              <w:sz w:val="21"/>
              <w:szCs w:val="21"/>
              <w:highlight w:val="none"/>
            </w:rPr>
            <w:fldChar w:fldCharType="end"/>
          </w:r>
        </w:p>
        <w:p w14:paraId="04052EAF">
          <w:pPr>
            <w:tabs>
              <w:tab w:val="right" w:leader="dot" w:pos="8317"/>
            </w:tabs>
            <w:spacing w:before="23" w:line="221" w:lineRule="auto"/>
            <w:ind w:left="86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2.2 详细评审标准</w:t>
          </w:r>
          <w:r>
            <w:rPr>
              <w:rFonts w:ascii="宋体" w:hAnsi="宋体" w:eastAsia="宋体" w:cs="宋体"/>
              <w:color w:val="auto"/>
              <w:spacing w:val="-7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"bookmark165" </w:instrText>
          </w:r>
          <w:r>
            <w:rPr>
              <w:color w:val="auto"/>
              <w:highlight w:val="none"/>
            </w:rPr>
            <w:fldChar w:fldCharType="separate"/>
          </w:r>
          <w:r>
            <w:rPr>
              <w:rFonts w:ascii="宋体" w:hAnsi="宋体" w:eastAsia="宋体" w:cs="宋体"/>
              <w:color w:val="auto"/>
              <w:spacing w:val="-3"/>
              <w:sz w:val="21"/>
              <w:szCs w:val="21"/>
              <w:highlight w:val="none"/>
            </w:rPr>
            <w:t>69</w:t>
          </w:r>
          <w:r>
            <w:rPr>
              <w:rFonts w:ascii="宋体" w:hAnsi="宋体" w:eastAsia="宋体" w:cs="宋体"/>
              <w:color w:val="auto"/>
              <w:spacing w:val="-3"/>
              <w:sz w:val="21"/>
              <w:szCs w:val="21"/>
              <w:highlight w:val="none"/>
            </w:rPr>
            <w:fldChar w:fldCharType="end"/>
          </w:r>
        </w:p>
        <w:p w14:paraId="6696EC67">
          <w:pPr>
            <w:tabs>
              <w:tab w:val="right" w:leader="dot" w:pos="8317"/>
            </w:tabs>
            <w:spacing w:before="22" w:line="221" w:lineRule="auto"/>
            <w:ind w:left="44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3.评标程序</w:t>
          </w:r>
          <w:r>
            <w:rPr>
              <w:rFonts w:ascii="宋体" w:hAnsi="宋体" w:eastAsia="宋体" w:cs="宋体"/>
              <w:color w:val="auto"/>
              <w:spacing w:val="-8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"bookmark166" </w:instrText>
          </w:r>
          <w:r>
            <w:rPr>
              <w:color w:val="auto"/>
              <w:highlight w:val="none"/>
            </w:rPr>
            <w:fldChar w:fldCharType="separate"/>
          </w:r>
          <w:r>
            <w:rPr>
              <w:rFonts w:ascii="宋体" w:hAnsi="宋体" w:eastAsia="宋体" w:cs="宋体"/>
              <w:color w:val="auto"/>
              <w:spacing w:val="-3"/>
              <w:sz w:val="21"/>
              <w:szCs w:val="21"/>
              <w:highlight w:val="none"/>
            </w:rPr>
            <w:t>69</w:t>
          </w:r>
          <w:r>
            <w:rPr>
              <w:rFonts w:ascii="宋体" w:hAnsi="宋体" w:eastAsia="宋体" w:cs="宋体"/>
              <w:color w:val="auto"/>
              <w:spacing w:val="-3"/>
              <w:sz w:val="21"/>
              <w:szCs w:val="21"/>
              <w:highlight w:val="none"/>
            </w:rPr>
            <w:fldChar w:fldCharType="end"/>
          </w:r>
        </w:p>
        <w:p w14:paraId="6E890AB7">
          <w:pPr>
            <w:tabs>
              <w:tab w:val="right" w:leader="dot" w:pos="8317"/>
            </w:tabs>
            <w:spacing w:before="22" w:line="221" w:lineRule="auto"/>
            <w:ind w:left="86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3.1</w:t>
          </w:r>
          <w:r>
            <w:rPr>
              <w:rFonts w:ascii="宋体" w:hAnsi="宋体" w:eastAsia="宋体" w:cs="宋体"/>
              <w:color w:val="auto"/>
              <w:spacing w:val="-45"/>
              <w:sz w:val="21"/>
              <w:szCs w:val="21"/>
              <w:highlight w:val="none"/>
            </w:rPr>
            <w:t xml:space="preserve"> </w:t>
          </w:r>
          <w:r>
            <w:rPr>
              <w:rFonts w:ascii="宋体" w:hAnsi="宋体" w:eastAsia="宋体" w:cs="宋体"/>
              <w:color w:val="auto"/>
              <w:spacing w:val="-2"/>
              <w:sz w:val="21"/>
              <w:szCs w:val="21"/>
              <w:highlight w:val="none"/>
            </w:rPr>
            <w:t>初步评审</w:t>
          </w:r>
          <w:r>
            <w:rPr>
              <w:rFonts w:ascii="宋体" w:hAnsi="宋体" w:eastAsia="宋体" w:cs="宋体"/>
              <w:color w:val="auto"/>
              <w:spacing w:val="-3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"bookmark167" </w:instrText>
          </w:r>
          <w:r>
            <w:rPr>
              <w:color w:val="auto"/>
              <w:highlight w:val="none"/>
            </w:rPr>
            <w:fldChar w:fldCharType="separate"/>
          </w:r>
          <w:r>
            <w:rPr>
              <w:rFonts w:ascii="宋体" w:hAnsi="宋体" w:eastAsia="宋体" w:cs="宋体"/>
              <w:color w:val="auto"/>
              <w:spacing w:val="-3"/>
              <w:sz w:val="21"/>
              <w:szCs w:val="21"/>
              <w:highlight w:val="none"/>
            </w:rPr>
            <w:t>69</w:t>
          </w:r>
          <w:r>
            <w:rPr>
              <w:rFonts w:ascii="宋体" w:hAnsi="宋体" w:eastAsia="宋体" w:cs="宋体"/>
              <w:color w:val="auto"/>
              <w:spacing w:val="-3"/>
              <w:sz w:val="21"/>
              <w:szCs w:val="21"/>
              <w:highlight w:val="none"/>
            </w:rPr>
            <w:fldChar w:fldCharType="end"/>
          </w:r>
        </w:p>
        <w:p w14:paraId="2562479C">
          <w:pPr>
            <w:tabs>
              <w:tab w:val="right" w:leader="dot" w:pos="8317"/>
            </w:tabs>
            <w:spacing w:before="18" w:line="221" w:lineRule="auto"/>
            <w:ind w:left="86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3.2</w:t>
          </w:r>
          <w:r>
            <w:rPr>
              <w:rFonts w:ascii="宋体" w:hAnsi="宋体" w:eastAsia="宋体" w:cs="宋体"/>
              <w:color w:val="auto"/>
              <w:spacing w:val="-39"/>
              <w:sz w:val="21"/>
              <w:szCs w:val="21"/>
              <w:highlight w:val="none"/>
            </w:rPr>
            <w:t xml:space="preserve"> </w:t>
          </w:r>
          <w:r>
            <w:rPr>
              <w:rFonts w:ascii="宋体" w:hAnsi="宋体" w:eastAsia="宋体" w:cs="宋体"/>
              <w:color w:val="auto"/>
              <w:spacing w:val="-3"/>
              <w:sz w:val="21"/>
              <w:szCs w:val="21"/>
              <w:highlight w:val="none"/>
            </w:rPr>
            <w:t>详细评审</w:t>
          </w:r>
          <w:r>
            <w:rPr>
              <w:rFonts w:ascii="宋体" w:hAnsi="宋体" w:eastAsia="宋体" w:cs="宋体"/>
              <w:color w:val="auto"/>
              <w:spacing w:val="-3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2"/>
              <w:sz w:val="21"/>
              <w:szCs w:val="21"/>
              <w:highlight w:val="none"/>
            </w:rPr>
            <w:t xml:space="preserve"> </w:t>
          </w:r>
          <w:r>
            <w:rPr>
              <w:color w:val="auto"/>
              <w:highlight w:val="none"/>
            </w:rPr>
            <w:fldChar w:fldCharType="begin"/>
          </w:r>
          <w:r>
            <w:rPr>
              <w:color w:val="auto"/>
              <w:highlight w:val="none"/>
            </w:rPr>
            <w:instrText xml:space="preserve"> HYPERLINK \l "bookmark168" </w:instrText>
          </w:r>
          <w:r>
            <w:rPr>
              <w:color w:val="auto"/>
              <w:highlight w:val="none"/>
            </w:rPr>
            <w:fldChar w:fldCharType="separate"/>
          </w:r>
          <w:r>
            <w:rPr>
              <w:rFonts w:ascii="宋体" w:hAnsi="宋体" w:eastAsia="宋体" w:cs="宋体"/>
              <w:color w:val="auto"/>
              <w:spacing w:val="-4"/>
              <w:sz w:val="21"/>
              <w:szCs w:val="21"/>
              <w:highlight w:val="none"/>
            </w:rPr>
            <w:t>70</w:t>
          </w:r>
          <w:r>
            <w:rPr>
              <w:rFonts w:ascii="宋体" w:hAnsi="宋体" w:eastAsia="宋体" w:cs="宋体"/>
              <w:color w:val="auto"/>
              <w:spacing w:val="-4"/>
              <w:sz w:val="21"/>
              <w:szCs w:val="21"/>
              <w:highlight w:val="none"/>
            </w:rPr>
            <w:fldChar w:fldCharType="end"/>
          </w:r>
        </w:p>
        <w:p w14:paraId="4DA02535">
          <w:pPr>
            <w:tabs>
              <w:tab w:val="right" w:leader="dot" w:pos="8317"/>
            </w:tabs>
            <w:spacing w:before="21" w:line="221" w:lineRule="auto"/>
            <w:ind w:left="86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3.3</w:t>
          </w:r>
          <w:r>
            <w:rPr>
              <w:rFonts w:ascii="宋体" w:hAnsi="宋体" w:eastAsia="宋体" w:cs="宋体"/>
              <w:color w:val="auto"/>
              <w:spacing w:val="-36"/>
              <w:sz w:val="21"/>
              <w:szCs w:val="21"/>
              <w:highlight w:val="none"/>
            </w:rPr>
            <w:t xml:space="preserve"> </w:t>
          </w:r>
          <w:r>
            <w:rPr>
              <w:rFonts w:ascii="宋体" w:hAnsi="宋体" w:eastAsia="宋体" w:cs="宋体"/>
              <w:color w:val="auto"/>
              <w:spacing w:val="-2"/>
              <w:sz w:val="21"/>
              <w:szCs w:val="21"/>
              <w:highlight w:val="none"/>
            </w:rPr>
            <w:t>投标文件的澄清和补正</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"bookmark169" </w:instrText>
          </w:r>
          <w:r>
            <w:rPr>
              <w:color w:val="auto"/>
              <w:highlight w:val="none"/>
            </w:rPr>
            <w:fldChar w:fldCharType="separate"/>
          </w:r>
          <w:r>
            <w:rPr>
              <w:rFonts w:ascii="宋体" w:hAnsi="宋体" w:eastAsia="宋体" w:cs="宋体"/>
              <w:color w:val="auto"/>
              <w:spacing w:val="-4"/>
              <w:sz w:val="21"/>
              <w:szCs w:val="21"/>
              <w:highlight w:val="none"/>
            </w:rPr>
            <w:t>70</w:t>
          </w:r>
          <w:r>
            <w:rPr>
              <w:rFonts w:ascii="宋体" w:hAnsi="宋体" w:eastAsia="宋体" w:cs="宋体"/>
              <w:color w:val="auto"/>
              <w:spacing w:val="-4"/>
              <w:sz w:val="21"/>
              <w:szCs w:val="21"/>
              <w:highlight w:val="none"/>
            </w:rPr>
            <w:fldChar w:fldCharType="end"/>
          </w:r>
        </w:p>
        <w:p w14:paraId="692A9743">
          <w:pPr>
            <w:tabs>
              <w:tab w:val="right" w:leader="dot" w:pos="8317"/>
            </w:tabs>
            <w:spacing w:before="23" w:line="221" w:lineRule="auto"/>
            <w:ind w:left="86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3.4</w:t>
          </w:r>
          <w:r>
            <w:rPr>
              <w:rFonts w:ascii="宋体" w:hAnsi="宋体" w:eastAsia="宋体" w:cs="宋体"/>
              <w:color w:val="auto"/>
              <w:spacing w:val="-45"/>
              <w:sz w:val="21"/>
              <w:szCs w:val="21"/>
              <w:highlight w:val="none"/>
            </w:rPr>
            <w:t xml:space="preserve"> </w:t>
          </w:r>
          <w:r>
            <w:rPr>
              <w:rFonts w:ascii="宋体" w:hAnsi="宋体" w:eastAsia="宋体" w:cs="宋体"/>
              <w:color w:val="auto"/>
              <w:spacing w:val="-2"/>
              <w:sz w:val="21"/>
              <w:szCs w:val="21"/>
              <w:highlight w:val="none"/>
            </w:rPr>
            <w:t>评标结果</w:t>
          </w:r>
          <w:r>
            <w:rPr>
              <w:rFonts w:ascii="宋体" w:hAnsi="宋体" w:eastAsia="宋体" w:cs="宋体"/>
              <w:color w:val="auto"/>
              <w:spacing w:val="-3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2"/>
              <w:sz w:val="21"/>
              <w:szCs w:val="21"/>
              <w:highlight w:val="none"/>
            </w:rPr>
            <w:t xml:space="preserve"> </w:t>
          </w:r>
          <w:r>
            <w:rPr>
              <w:color w:val="auto"/>
              <w:highlight w:val="none"/>
            </w:rPr>
            <w:fldChar w:fldCharType="begin"/>
          </w:r>
          <w:r>
            <w:rPr>
              <w:color w:val="auto"/>
              <w:highlight w:val="none"/>
            </w:rPr>
            <w:instrText xml:space="preserve"> HYPERLINK \l "bookmark170" </w:instrText>
          </w:r>
          <w:r>
            <w:rPr>
              <w:color w:val="auto"/>
              <w:highlight w:val="none"/>
            </w:rPr>
            <w:fldChar w:fldCharType="separate"/>
          </w:r>
          <w:r>
            <w:rPr>
              <w:rFonts w:ascii="宋体" w:hAnsi="宋体" w:eastAsia="宋体" w:cs="宋体"/>
              <w:color w:val="auto"/>
              <w:spacing w:val="-4"/>
              <w:sz w:val="21"/>
              <w:szCs w:val="21"/>
              <w:highlight w:val="none"/>
            </w:rPr>
            <w:t>70</w:t>
          </w:r>
          <w:r>
            <w:rPr>
              <w:rFonts w:ascii="宋体" w:hAnsi="宋体" w:eastAsia="宋体" w:cs="宋体"/>
              <w:color w:val="auto"/>
              <w:spacing w:val="-4"/>
              <w:sz w:val="21"/>
              <w:szCs w:val="21"/>
              <w:highlight w:val="none"/>
            </w:rPr>
            <w:fldChar w:fldCharType="end"/>
          </w:r>
        </w:p>
        <w:p w14:paraId="37CA9921">
          <w:pPr>
            <w:tabs>
              <w:tab w:val="right" w:leader="dot" w:pos="8317"/>
            </w:tabs>
            <w:spacing w:before="18" w:line="220" w:lineRule="auto"/>
            <w:ind w:left="45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附件</w:t>
          </w:r>
          <w:r>
            <w:rPr>
              <w:rFonts w:ascii="宋体" w:hAnsi="宋体" w:eastAsia="宋体" w:cs="宋体"/>
              <w:color w:val="auto"/>
              <w:spacing w:val="-49"/>
              <w:sz w:val="21"/>
              <w:szCs w:val="21"/>
              <w:highlight w:val="none"/>
            </w:rPr>
            <w:t xml:space="preserve"> </w:t>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A：评标详细程序</w:t>
          </w:r>
          <w:r>
            <w:rPr>
              <w:rFonts w:ascii="宋体" w:hAnsi="宋体" w:eastAsia="宋体" w:cs="宋体"/>
              <w:color w:val="auto"/>
              <w:spacing w:val="-49"/>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22"/>
              <w:sz w:val="21"/>
              <w:szCs w:val="21"/>
              <w:highlight w:val="none"/>
            </w:rPr>
            <w:t xml:space="preserve"> </w:t>
          </w:r>
          <w:r>
            <w:rPr>
              <w:color w:val="auto"/>
              <w:highlight w:val="none"/>
            </w:rPr>
            <w:fldChar w:fldCharType="begin"/>
          </w:r>
          <w:r>
            <w:rPr>
              <w:color w:val="auto"/>
              <w:highlight w:val="none"/>
            </w:rPr>
            <w:instrText xml:space="preserve"> HYPERLINK \l "bookmark171" </w:instrText>
          </w:r>
          <w:r>
            <w:rPr>
              <w:color w:val="auto"/>
              <w:highlight w:val="none"/>
            </w:rPr>
            <w:fldChar w:fldCharType="separate"/>
          </w:r>
          <w:r>
            <w:rPr>
              <w:rFonts w:ascii="宋体" w:hAnsi="宋体" w:eastAsia="宋体" w:cs="宋体"/>
              <w:color w:val="auto"/>
              <w:spacing w:val="-4"/>
              <w:sz w:val="21"/>
              <w:szCs w:val="21"/>
              <w:highlight w:val="none"/>
              <w14:textOutline w14:w="3831" w14:cap="flat" w14:cmpd="sng">
                <w14:solidFill>
                  <w14:srgbClr w14:val="000000"/>
                </w14:solidFill>
                <w14:prstDash w14:val="solid"/>
                <w14:miter w14:val="0"/>
              </w14:textOutline>
            </w:rPr>
            <w:t>72</w:t>
          </w:r>
          <w:r>
            <w:rPr>
              <w:rFonts w:ascii="宋体" w:hAnsi="宋体" w:eastAsia="宋体" w:cs="宋体"/>
              <w:color w:val="auto"/>
              <w:spacing w:val="-4"/>
              <w:sz w:val="21"/>
              <w:szCs w:val="21"/>
              <w:highlight w:val="none"/>
              <w14:textOutline w14:w="3831" w14:cap="flat" w14:cmpd="sng">
                <w14:solidFill>
                  <w14:srgbClr w14:val="000000"/>
                </w14:solidFill>
                <w14:prstDash w14:val="solid"/>
                <w14:miter w14:val="0"/>
              </w14:textOutline>
            </w:rPr>
            <w:fldChar w:fldCharType="end"/>
          </w:r>
        </w:p>
        <w:p w14:paraId="0A8088ED">
          <w:pPr>
            <w:tabs>
              <w:tab w:val="right" w:leader="dot" w:pos="8317"/>
            </w:tabs>
            <w:spacing w:before="24" w:line="221" w:lineRule="auto"/>
            <w:ind w:left="8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A0.总</w:t>
          </w:r>
          <w:r>
            <w:rPr>
              <w:rFonts w:ascii="宋体" w:hAnsi="宋体" w:eastAsia="宋体" w:cs="宋体"/>
              <w:color w:val="auto"/>
              <w:spacing w:val="7"/>
              <w:sz w:val="21"/>
              <w:szCs w:val="21"/>
              <w:highlight w:val="none"/>
            </w:rPr>
            <w:t xml:space="preserve">  </w:t>
          </w:r>
          <w:r>
            <w:rPr>
              <w:rFonts w:ascii="宋体" w:hAnsi="宋体" w:eastAsia="宋体" w:cs="宋体"/>
              <w:color w:val="auto"/>
              <w:spacing w:val="-2"/>
              <w:sz w:val="21"/>
              <w:szCs w:val="21"/>
              <w:highlight w:val="none"/>
            </w:rPr>
            <w:t>则</w:t>
          </w:r>
          <w:r>
            <w:rPr>
              <w:rFonts w:ascii="宋体" w:hAnsi="宋体" w:eastAsia="宋体" w:cs="宋体"/>
              <w:color w:val="auto"/>
              <w:spacing w:val="-8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2"/>
              <w:sz w:val="21"/>
              <w:szCs w:val="21"/>
              <w:highlight w:val="none"/>
            </w:rPr>
            <w:t xml:space="preserve"> </w:t>
          </w:r>
          <w:r>
            <w:rPr>
              <w:color w:val="auto"/>
              <w:highlight w:val="none"/>
            </w:rPr>
            <w:fldChar w:fldCharType="begin"/>
          </w:r>
          <w:r>
            <w:rPr>
              <w:color w:val="auto"/>
              <w:highlight w:val="none"/>
            </w:rPr>
            <w:instrText xml:space="preserve"> HYPERLINK \l "bookmark172" </w:instrText>
          </w:r>
          <w:r>
            <w:rPr>
              <w:color w:val="auto"/>
              <w:highlight w:val="none"/>
            </w:rPr>
            <w:fldChar w:fldCharType="separate"/>
          </w:r>
          <w:r>
            <w:rPr>
              <w:rFonts w:ascii="宋体" w:hAnsi="宋体" w:eastAsia="宋体" w:cs="宋体"/>
              <w:color w:val="auto"/>
              <w:spacing w:val="-4"/>
              <w:sz w:val="21"/>
              <w:szCs w:val="21"/>
              <w:highlight w:val="none"/>
            </w:rPr>
            <w:t>72</w:t>
          </w:r>
          <w:r>
            <w:rPr>
              <w:rFonts w:ascii="宋体" w:hAnsi="宋体" w:eastAsia="宋体" w:cs="宋体"/>
              <w:color w:val="auto"/>
              <w:spacing w:val="-4"/>
              <w:sz w:val="21"/>
              <w:szCs w:val="21"/>
              <w:highlight w:val="none"/>
            </w:rPr>
            <w:fldChar w:fldCharType="end"/>
          </w:r>
        </w:p>
        <w:p w14:paraId="51320CCA">
          <w:pPr>
            <w:tabs>
              <w:tab w:val="right" w:leader="dot" w:pos="8317"/>
            </w:tabs>
            <w:spacing w:before="21" w:line="220"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A1.基本程序</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2"/>
              <w:sz w:val="21"/>
              <w:szCs w:val="21"/>
              <w:highlight w:val="none"/>
            </w:rPr>
            <w:t xml:space="preserve"> </w:t>
          </w:r>
          <w:r>
            <w:rPr>
              <w:color w:val="auto"/>
              <w:highlight w:val="none"/>
            </w:rPr>
            <w:fldChar w:fldCharType="begin"/>
          </w:r>
          <w:r>
            <w:rPr>
              <w:color w:val="auto"/>
              <w:highlight w:val="none"/>
            </w:rPr>
            <w:instrText xml:space="preserve"> HYPERLINK \l "bookmark173" </w:instrText>
          </w:r>
          <w:r>
            <w:rPr>
              <w:color w:val="auto"/>
              <w:highlight w:val="none"/>
            </w:rPr>
            <w:fldChar w:fldCharType="separate"/>
          </w:r>
          <w:r>
            <w:rPr>
              <w:rFonts w:ascii="宋体" w:hAnsi="宋体" w:eastAsia="宋体" w:cs="宋体"/>
              <w:color w:val="auto"/>
              <w:spacing w:val="-4"/>
              <w:sz w:val="21"/>
              <w:szCs w:val="21"/>
              <w:highlight w:val="none"/>
            </w:rPr>
            <w:t>72</w:t>
          </w:r>
          <w:r>
            <w:rPr>
              <w:rFonts w:ascii="宋体" w:hAnsi="宋体" w:eastAsia="宋体" w:cs="宋体"/>
              <w:color w:val="auto"/>
              <w:spacing w:val="-4"/>
              <w:sz w:val="21"/>
              <w:szCs w:val="21"/>
              <w:highlight w:val="none"/>
            </w:rPr>
            <w:fldChar w:fldCharType="end"/>
          </w:r>
        </w:p>
        <w:p w14:paraId="2C913894">
          <w:pPr>
            <w:tabs>
              <w:tab w:val="right" w:leader="dot" w:pos="8317"/>
            </w:tabs>
            <w:spacing w:before="24" w:line="221"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A2.评标准备</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2"/>
              <w:sz w:val="21"/>
              <w:szCs w:val="21"/>
              <w:highlight w:val="none"/>
            </w:rPr>
            <w:t xml:space="preserve"> </w:t>
          </w:r>
          <w:r>
            <w:rPr>
              <w:color w:val="auto"/>
              <w:highlight w:val="none"/>
            </w:rPr>
            <w:fldChar w:fldCharType="begin"/>
          </w:r>
          <w:r>
            <w:rPr>
              <w:color w:val="auto"/>
              <w:highlight w:val="none"/>
            </w:rPr>
            <w:instrText xml:space="preserve"> HYPERLINK \l "bookmark174" </w:instrText>
          </w:r>
          <w:r>
            <w:rPr>
              <w:color w:val="auto"/>
              <w:highlight w:val="none"/>
            </w:rPr>
            <w:fldChar w:fldCharType="separate"/>
          </w:r>
          <w:r>
            <w:rPr>
              <w:rFonts w:ascii="宋体" w:hAnsi="宋体" w:eastAsia="宋体" w:cs="宋体"/>
              <w:color w:val="auto"/>
              <w:spacing w:val="-4"/>
              <w:sz w:val="21"/>
              <w:szCs w:val="21"/>
              <w:highlight w:val="none"/>
            </w:rPr>
            <w:t>72</w:t>
          </w:r>
          <w:r>
            <w:rPr>
              <w:rFonts w:ascii="宋体" w:hAnsi="宋体" w:eastAsia="宋体" w:cs="宋体"/>
              <w:color w:val="auto"/>
              <w:spacing w:val="-4"/>
              <w:sz w:val="21"/>
              <w:szCs w:val="21"/>
              <w:highlight w:val="none"/>
            </w:rPr>
            <w:fldChar w:fldCharType="end"/>
          </w:r>
        </w:p>
        <w:p w14:paraId="7A14EBD5">
          <w:pPr>
            <w:tabs>
              <w:tab w:val="right" w:leader="dot" w:pos="8317"/>
            </w:tabs>
            <w:spacing w:before="17" w:line="220"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A2.1</w:t>
          </w:r>
          <w:r>
            <w:rPr>
              <w:rFonts w:ascii="宋体" w:hAnsi="宋体" w:eastAsia="宋体" w:cs="宋体"/>
              <w:color w:val="auto"/>
              <w:spacing w:val="-39"/>
              <w:sz w:val="21"/>
              <w:szCs w:val="21"/>
              <w:highlight w:val="none"/>
            </w:rPr>
            <w:t xml:space="preserve"> </w:t>
          </w:r>
          <w:r>
            <w:rPr>
              <w:rFonts w:ascii="宋体" w:hAnsi="宋体" w:eastAsia="宋体" w:cs="宋体"/>
              <w:color w:val="auto"/>
              <w:spacing w:val="-1"/>
              <w:sz w:val="21"/>
              <w:szCs w:val="21"/>
              <w:highlight w:val="none"/>
            </w:rPr>
            <w:t>评标委员会成员签到</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"bookmark175" </w:instrText>
          </w:r>
          <w:r>
            <w:rPr>
              <w:color w:val="auto"/>
              <w:highlight w:val="none"/>
            </w:rPr>
            <w:fldChar w:fldCharType="separate"/>
          </w:r>
          <w:r>
            <w:rPr>
              <w:rFonts w:ascii="宋体" w:hAnsi="宋体" w:eastAsia="宋体" w:cs="宋体"/>
              <w:color w:val="auto"/>
              <w:spacing w:val="-4"/>
              <w:sz w:val="21"/>
              <w:szCs w:val="21"/>
              <w:highlight w:val="none"/>
            </w:rPr>
            <w:t>72</w:t>
          </w:r>
          <w:r>
            <w:rPr>
              <w:rFonts w:ascii="宋体" w:hAnsi="宋体" w:eastAsia="宋体" w:cs="宋体"/>
              <w:color w:val="auto"/>
              <w:spacing w:val="-4"/>
              <w:sz w:val="21"/>
              <w:szCs w:val="21"/>
              <w:highlight w:val="none"/>
            </w:rPr>
            <w:fldChar w:fldCharType="end"/>
          </w:r>
        </w:p>
        <w:p w14:paraId="4264E40A">
          <w:pPr>
            <w:tabs>
              <w:tab w:val="right" w:leader="dot" w:pos="8317"/>
            </w:tabs>
            <w:spacing w:before="23" w:line="220"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A2.2</w:t>
          </w:r>
          <w:r>
            <w:rPr>
              <w:rFonts w:ascii="宋体" w:hAnsi="宋体" w:eastAsia="宋体" w:cs="宋体"/>
              <w:color w:val="auto"/>
              <w:spacing w:val="-41"/>
              <w:sz w:val="21"/>
              <w:szCs w:val="21"/>
              <w:highlight w:val="none"/>
            </w:rPr>
            <w:t xml:space="preserve"> </w:t>
          </w:r>
          <w:r>
            <w:rPr>
              <w:rFonts w:ascii="宋体" w:hAnsi="宋体" w:eastAsia="宋体" w:cs="宋体"/>
              <w:color w:val="auto"/>
              <w:spacing w:val="-1"/>
              <w:sz w:val="21"/>
              <w:szCs w:val="21"/>
              <w:highlight w:val="none"/>
            </w:rPr>
            <w:t>评标委员会的分工</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"bookmark176" </w:instrText>
          </w:r>
          <w:r>
            <w:rPr>
              <w:color w:val="auto"/>
              <w:highlight w:val="none"/>
            </w:rPr>
            <w:fldChar w:fldCharType="separate"/>
          </w:r>
          <w:r>
            <w:rPr>
              <w:rFonts w:ascii="宋体" w:hAnsi="宋体" w:eastAsia="宋体" w:cs="宋体"/>
              <w:color w:val="auto"/>
              <w:spacing w:val="-4"/>
              <w:sz w:val="21"/>
              <w:szCs w:val="21"/>
              <w:highlight w:val="none"/>
            </w:rPr>
            <w:t>72</w:t>
          </w:r>
          <w:r>
            <w:rPr>
              <w:rFonts w:ascii="宋体" w:hAnsi="宋体" w:eastAsia="宋体" w:cs="宋体"/>
              <w:color w:val="auto"/>
              <w:spacing w:val="-4"/>
              <w:sz w:val="21"/>
              <w:szCs w:val="21"/>
              <w:highlight w:val="none"/>
            </w:rPr>
            <w:fldChar w:fldCharType="end"/>
          </w:r>
        </w:p>
        <w:p w14:paraId="6BBEC448">
          <w:pPr>
            <w:tabs>
              <w:tab w:val="right" w:leader="dot" w:pos="8317"/>
            </w:tabs>
            <w:spacing w:before="24" w:line="221"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A2.3</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熟悉文件资料</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2"/>
              <w:sz w:val="21"/>
              <w:szCs w:val="21"/>
              <w:highlight w:val="none"/>
            </w:rPr>
            <w:t xml:space="preserve"> </w:t>
          </w:r>
          <w:r>
            <w:rPr>
              <w:color w:val="auto"/>
              <w:highlight w:val="none"/>
            </w:rPr>
            <w:fldChar w:fldCharType="begin"/>
          </w:r>
          <w:r>
            <w:rPr>
              <w:color w:val="auto"/>
              <w:highlight w:val="none"/>
            </w:rPr>
            <w:instrText xml:space="preserve"> HYPERLINK \l "bookmark177" </w:instrText>
          </w:r>
          <w:r>
            <w:rPr>
              <w:color w:val="auto"/>
              <w:highlight w:val="none"/>
            </w:rPr>
            <w:fldChar w:fldCharType="separate"/>
          </w:r>
          <w:r>
            <w:rPr>
              <w:rFonts w:ascii="宋体" w:hAnsi="宋体" w:eastAsia="宋体" w:cs="宋体"/>
              <w:color w:val="auto"/>
              <w:spacing w:val="-4"/>
              <w:sz w:val="21"/>
              <w:szCs w:val="21"/>
              <w:highlight w:val="none"/>
            </w:rPr>
            <w:t>73</w:t>
          </w:r>
          <w:r>
            <w:rPr>
              <w:rFonts w:ascii="宋体" w:hAnsi="宋体" w:eastAsia="宋体" w:cs="宋体"/>
              <w:color w:val="auto"/>
              <w:spacing w:val="-4"/>
              <w:sz w:val="21"/>
              <w:szCs w:val="21"/>
              <w:highlight w:val="none"/>
            </w:rPr>
            <w:fldChar w:fldCharType="end"/>
          </w:r>
        </w:p>
        <w:p w14:paraId="46214005">
          <w:pPr>
            <w:tabs>
              <w:tab w:val="right" w:leader="dot" w:pos="8317"/>
            </w:tabs>
            <w:spacing w:before="22" w:line="221" w:lineRule="auto"/>
            <w:ind w:left="85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A2.4</w:t>
          </w:r>
          <w:r>
            <w:rPr>
              <w:rFonts w:ascii="宋体" w:hAnsi="宋体" w:eastAsia="宋体" w:cs="宋体"/>
              <w:color w:val="auto"/>
              <w:spacing w:val="-29"/>
              <w:sz w:val="21"/>
              <w:szCs w:val="21"/>
              <w:highlight w:val="none"/>
            </w:rPr>
            <w:t xml:space="preserve"> </w:t>
          </w:r>
          <w:r>
            <w:rPr>
              <w:rFonts w:ascii="宋体" w:hAnsi="宋体" w:eastAsia="宋体" w:cs="宋体"/>
              <w:color w:val="auto"/>
              <w:spacing w:val="-3"/>
              <w:sz w:val="21"/>
              <w:szCs w:val="21"/>
              <w:highlight w:val="none"/>
            </w:rPr>
            <w:t>暗标编号</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"bookmark178" </w:instrText>
          </w:r>
          <w:r>
            <w:rPr>
              <w:color w:val="auto"/>
              <w:highlight w:val="none"/>
            </w:rPr>
            <w:fldChar w:fldCharType="separate"/>
          </w:r>
          <w:r>
            <w:rPr>
              <w:rFonts w:ascii="宋体" w:hAnsi="宋体" w:eastAsia="宋体" w:cs="宋体"/>
              <w:color w:val="auto"/>
              <w:spacing w:val="-4"/>
              <w:sz w:val="21"/>
              <w:szCs w:val="21"/>
              <w:highlight w:val="none"/>
            </w:rPr>
            <w:t>73</w:t>
          </w:r>
          <w:r>
            <w:rPr>
              <w:rFonts w:ascii="宋体" w:hAnsi="宋体" w:eastAsia="宋体" w:cs="宋体"/>
              <w:color w:val="auto"/>
              <w:spacing w:val="-4"/>
              <w:sz w:val="21"/>
              <w:szCs w:val="21"/>
              <w:highlight w:val="none"/>
            </w:rPr>
            <w:fldChar w:fldCharType="end"/>
          </w:r>
        </w:p>
        <w:p w14:paraId="50A7C789">
          <w:pPr>
            <w:tabs>
              <w:tab w:val="right" w:leader="dot" w:pos="8317"/>
            </w:tabs>
            <w:spacing w:before="17" w:line="221"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A2.5</w:t>
          </w:r>
          <w:r>
            <w:rPr>
              <w:rFonts w:ascii="宋体" w:hAnsi="宋体" w:eastAsia="宋体" w:cs="宋体"/>
              <w:color w:val="auto"/>
              <w:spacing w:val="-38"/>
              <w:sz w:val="21"/>
              <w:szCs w:val="21"/>
              <w:highlight w:val="none"/>
            </w:rPr>
            <w:t xml:space="preserve"> </w:t>
          </w:r>
          <w:r>
            <w:rPr>
              <w:rFonts w:ascii="宋体" w:hAnsi="宋体" w:eastAsia="宋体" w:cs="宋体"/>
              <w:color w:val="auto"/>
              <w:spacing w:val="-1"/>
              <w:sz w:val="21"/>
              <w:szCs w:val="21"/>
              <w:highlight w:val="none"/>
            </w:rPr>
            <w:t xml:space="preserve">对投标文件进行基础性数据分析和整理工作 </w:t>
          </w:r>
          <w:r>
            <w:rPr>
              <w:rFonts w:ascii="宋体" w:hAnsi="宋体" w:eastAsia="宋体" w:cs="宋体"/>
              <w:color w:val="auto"/>
              <w:sz w:val="21"/>
              <w:szCs w:val="21"/>
              <w:highlight w:val="none"/>
            </w:rPr>
            <w:tab/>
          </w:r>
          <w:r>
            <w:rPr>
              <w:rFonts w:ascii="宋体" w:hAnsi="宋体" w:eastAsia="宋体" w:cs="宋体"/>
              <w:color w:val="auto"/>
              <w:spacing w:val="-22"/>
              <w:sz w:val="21"/>
              <w:szCs w:val="21"/>
              <w:highlight w:val="none"/>
            </w:rPr>
            <w:t xml:space="preserve"> </w:t>
          </w:r>
          <w:r>
            <w:rPr>
              <w:color w:val="auto"/>
              <w:highlight w:val="none"/>
            </w:rPr>
            <w:fldChar w:fldCharType="begin"/>
          </w:r>
          <w:r>
            <w:rPr>
              <w:color w:val="auto"/>
              <w:highlight w:val="none"/>
            </w:rPr>
            <w:instrText xml:space="preserve"> HYPERLINK \l "bookmark179" </w:instrText>
          </w:r>
          <w:r>
            <w:rPr>
              <w:color w:val="auto"/>
              <w:highlight w:val="none"/>
            </w:rPr>
            <w:fldChar w:fldCharType="separate"/>
          </w:r>
          <w:r>
            <w:rPr>
              <w:rFonts w:ascii="宋体" w:hAnsi="宋体" w:eastAsia="宋体" w:cs="宋体"/>
              <w:color w:val="auto"/>
              <w:spacing w:val="-4"/>
              <w:sz w:val="21"/>
              <w:szCs w:val="21"/>
              <w:highlight w:val="none"/>
            </w:rPr>
            <w:t>73</w:t>
          </w:r>
          <w:r>
            <w:rPr>
              <w:rFonts w:ascii="宋体" w:hAnsi="宋体" w:eastAsia="宋体" w:cs="宋体"/>
              <w:color w:val="auto"/>
              <w:spacing w:val="-4"/>
              <w:sz w:val="21"/>
              <w:szCs w:val="21"/>
              <w:highlight w:val="none"/>
            </w:rPr>
            <w:fldChar w:fldCharType="end"/>
          </w:r>
        </w:p>
        <w:p w14:paraId="5EF2B053">
          <w:pPr>
            <w:tabs>
              <w:tab w:val="right" w:leader="dot" w:pos="8317"/>
            </w:tabs>
            <w:spacing w:before="23" w:line="221"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A3.初步评审</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2"/>
              <w:sz w:val="21"/>
              <w:szCs w:val="21"/>
              <w:highlight w:val="none"/>
            </w:rPr>
            <w:t xml:space="preserve"> </w:t>
          </w:r>
          <w:r>
            <w:rPr>
              <w:color w:val="auto"/>
              <w:highlight w:val="none"/>
            </w:rPr>
            <w:fldChar w:fldCharType="begin"/>
          </w:r>
          <w:r>
            <w:rPr>
              <w:color w:val="auto"/>
              <w:highlight w:val="none"/>
            </w:rPr>
            <w:instrText xml:space="preserve"> HYPERLINK \l "bookmark180" </w:instrText>
          </w:r>
          <w:r>
            <w:rPr>
              <w:color w:val="auto"/>
              <w:highlight w:val="none"/>
            </w:rPr>
            <w:fldChar w:fldCharType="separate"/>
          </w:r>
          <w:r>
            <w:rPr>
              <w:rFonts w:ascii="宋体" w:hAnsi="宋体" w:eastAsia="宋体" w:cs="宋体"/>
              <w:color w:val="auto"/>
              <w:spacing w:val="-4"/>
              <w:sz w:val="21"/>
              <w:szCs w:val="21"/>
              <w:highlight w:val="none"/>
            </w:rPr>
            <w:t>74</w:t>
          </w:r>
          <w:r>
            <w:rPr>
              <w:rFonts w:ascii="宋体" w:hAnsi="宋体" w:eastAsia="宋体" w:cs="宋体"/>
              <w:color w:val="auto"/>
              <w:spacing w:val="-4"/>
              <w:sz w:val="21"/>
              <w:szCs w:val="21"/>
              <w:highlight w:val="none"/>
            </w:rPr>
            <w:fldChar w:fldCharType="end"/>
          </w:r>
        </w:p>
        <w:p w14:paraId="2BC95C33">
          <w:pPr>
            <w:tabs>
              <w:tab w:val="right" w:leader="dot" w:pos="8317"/>
            </w:tabs>
            <w:spacing w:before="23" w:line="221" w:lineRule="auto"/>
            <w:ind w:left="8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A3.1</w:t>
          </w:r>
          <w:r>
            <w:rPr>
              <w:rFonts w:ascii="宋体" w:hAnsi="宋体" w:eastAsia="宋体" w:cs="宋体"/>
              <w:color w:val="auto"/>
              <w:spacing w:val="-37"/>
              <w:sz w:val="21"/>
              <w:szCs w:val="21"/>
              <w:highlight w:val="none"/>
            </w:rPr>
            <w:t xml:space="preserve"> </w:t>
          </w:r>
          <w:r>
            <w:rPr>
              <w:rFonts w:ascii="宋体" w:hAnsi="宋体" w:eastAsia="宋体" w:cs="宋体"/>
              <w:color w:val="auto"/>
              <w:spacing w:val="-2"/>
              <w:sz w:val="21"/>
              <w:szCs w:val="21"/>
              <w:highlight w:val="none"/>
            </w:rPr>
            <w:t>形式评审</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"bookmark181" </w:instrText>
          </w:r>
          <w:r>
            <w:rPr>
              <w:color w:val="auto"/>
              <w:highlight w:val="none"/>
            </w:rPr>
            <w:fldChar w:fldCharType="separate"/>
          </w:r>
          <w:r>
            <w:rPr>
              <w:rFonts w:ascii="宋体" w:hAnsi="宋体" w:eastAsia="宋体" w:cs="宋体"/>
              <w:color w:val="auto"/>
              <w:spacing w:val="-4"/>
              <w:sz w:val="21"/>
              <w:szCs w:val="21"/>
              <w:highlight w:val="none"/>
            </w:rPr>
            <w:t>74</w:t>
          </w:r>
          <w:r>
            <w:rPr>
              <w:rFonts w:ascii="宋体" w:hAnsi="宋体" w:eastAsia="宋体" w:cs="宋体"/>
              <w:color w:val="auto"/>
              <w:spacing w:val="-4"/>
              <w:sz w:val="21"/>
              <w:szCs w:val="21"/>
              <w:highlight w:val="none"/>
            </w:rPr>
            <w:fldChar w:fldCharType="end"/>
          </w:r>
        </w:p>
        <w:p w14:paraId="5FEF58BE">
          <w:pPr>
            <w:tabs>
              <w:tab w:val="right" w:leader="dot" w:pos="8317"/>
            </w:tabs>
            <w:spacing w:before="21" w:line="221" w:lineRule="auto"/>
            <w:ind w:left="85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A3.2</w:t>
          </w:r>
          <w:r>
            <w:rPr>
              <w:rFonts w:ascii="宋体" w:hAnsi="宋体" w:eastAsia="宋体" w:cs="宋体"/>
              <w:color w:val="auto"/>
              <w:spacing w:val="-29"/>
              <w:sz w:val="21"/>
              <w:szCs w:val="21"/>
              <w:highlight w:val="none"/>
            </w:rPr>
            <w:t xml:space="preserve"> </w:t>
          </w:r>
          <w:r>
            <w:rPr>
              <w:rFonts w:ascii="宋体" w:hAnsi="宋体" w:eastAsia="宋体" w:cs="宋体"/>
              <w:color w:val="auto"/>
              <w:spacing w:val="-3"/>
              <w:sz w:val="21"/>
              <w:szCs w:val="21"/>
              <w:highlight w:val="none"/>
            </w:rPr>
            <w:t>资格评审</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"bookmark182" </w:instrText>
          </w:r>
          <w:r>
            <w:rPr>
              <w:color w:val="auto"/>
              <w:highlight w:val="none"/>
            </w:rPr>
            <w:fldChar w:fldCharType="separate"/>
          </w:r>
          <w:r>
            <w:rPr>
              <w:rFonts w:ascii="宋体" w:hAnsi="宋体" w:eastAsia="宋体" w:cs="宋体"/>
              <w:color w:val="auto"/>
              <w:spacing w:val="-4"/>
              <w:sz w:val="21"/>
              <w:szCs w:val="21"/>
              <w:highlight w:val="none"/>
            </w:rPr>
            <w:t>74</w:t>
          </w:r>
          <w:r>
            <w:rPr>
              <w:rFonts w:ascii="宋体" w:hAnsi="宋体" w:eastAsia="宋体" w:cs="宋体"/>
              <w:color w:val="auto"/>
              <w:spacing w:val="-4"/>
              <w:sz w:val="21"/>
              <w:szCs w:val="21"/>
              <w:highlight w:val="none"/>
            </w:rPr>
            <w:fldChar w:fldCharType="end"/>
          </w:r>
        </w:p>
        <w:p w14:paraId="7D440184">
          <w:pPr>
            <w:tabs>
              <w:tab w:val="right" w:leader="dot" w:pos="8317"/>
            </w:tabs>
            <w:spacing w:before="18" w:line="221" w:lineRule="auto"/>
            <w:ind w:left="8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A3.3</w:t>
          </w:r>
          <w:r>
            <w:rPr>
              <w:rFonts w:ascii="宋体" w:hAnsi="宋体" w:eastAsia="宋体" w:cs="宋体"/>
              <w:color w:val="auto"/>
              <w:spacing w:val="-33"/>
              <w:sz w:val="21"/>
              <w:szCs w:val="21"/>
              <w:highlight w:val="none"/>
            </w:rPr>
            <w:t xml:space="preserve"> </w:t>
          </w:r>
          <w:r>
            <w:rPr>
              <w:rFonts w:ascii="宋体" w:hAnsi="宋体" w:eastAsia="宋体" w:cs="宋体"/>
              <w:color w:val="auto"/>
              <w:spacing w:val="-2"/>
              <w:sz w:val="21"/>
              <w:szCs w:val="21"/>
              <w:highlight w:val="none"/>
            </w:rPr>
            <w:t>响应性评审</w:t>
          </w:r>
          <w:r>
            <w:rPr>
              <w:rFonts w:ascii="宋体" w:hAnsi="宋体" w:eastAsia="宋体" w:cs="宋体"/>
              <w:color w:val="auto"/>
              <w:spacing w:val="-2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2"/>
              <w:sz w:val="21"/>
              <w:szCs w:val="21"/>
              <w:highlight w:val="none"/>
            </w:rPr>
            <w:t xml:space="preserve"> </w:t>
          </w:r>
          <w:r>
            <w:rPr>
              <w:color w:val="auto"/>
              <w:highlight w:val="none"/>
            </w:rPr>
            <w:fldChar w:fldCharType="begin"/>
          </w:r>
          <w:r>
            <w:rPr>
              <w:color w:val="auto"/>
              <w:highlight w:val="none"/>
            </w:rPr>
            <w:instrText xml:space="preserve"> HYPERLINK \l "bookmark183" </w:instrText>
          </w:r>
          <w:r>
            <w:rPr>
              <w:color w:val="auto"/>
              <w:highlight w:val="none"/>
            </w:rPr>
            <w:fldChar w:fldCharType="separate"/>
          </w:r>
          <w:r>
            <w:rPr>
              <w:rFonts w:ascii="宋体" w:hAnsi="宋体" w:eastAsia="宋体" w:cs="宋体"/>
              <w:color w:val="auto"/>
              <w:spacing w:val="-4"/>
              <w:sz w:val="21"/>
              <w:szCs w:val="21"/>
              <w:highlight w:val="none"/>
            </w:rPr>
            <w:t>74</w:t>
          </w:r>
          <w:r>
            <w:rPr>
              <w:rFonts w:ascii="宋体" w:hAnsi="宋体" w:eastAsia="宋体" w:cs="宋体"/>
              <w:color w:val="auto"/>
              <w:spacing w:val="-4"/>
              <w:sz w:val="21"/>
              <w:szCs w:val="21"/>
              <w:highlight w:val="none"/>
            </w:rPr>
            <w:fldChar w:fldCharType="end"/>
          </w:r>
        </w:p>
        <w:p w14:paraId="14F8C099">
          <w:pPr>
            <w:tabs>
              <w:tab w:val="right" w:leader="dot" w:pos="8317"/>
            </w:tabs>
            <w:spacing w:before="22" w:line="221"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A3.4</w:t>
          </w:r>
          <w:r>
            <w:rPr>
              <w:rFonts w:ascii="宋体" w:hAnsi="宋体" w:eastAsia="宋体" w:cs="宋体"/>
              <w:color w:val="auto"/>
              <w:spacing w:val="-42"/>
              <w:sz w:val="21"/>
              <w:szCs w:val="21"/>
              <w:highlight w:val="none"/>
            </w:rPr>
            <w:t xml:space="preserve"> </w:t>
          </w:r>
          <w:r>
            <w:rPr>
              <w:rFonts w:ascii="宋体" w:hAnsi="宋体" w:eastAsia="宋体" w:cs="宋体"/>
              <w:color w:val="auto"/>
              <w:spacing w:val="-1"/>
              <w:sz w:val="21"/>
              <w:szCs w:val="21"/>
              <w:highlight w:val="none"/>
            </w:rPr>
            <w:t>技术标评审</w:t>
          </w:r>
          <w:r>
            <w:rPr>
              <w:rFonts w:ascii="宋体" w:hAnsi="宋体" w:eastAsia="宋体" w:cs="宋体"/>
              <w:color w:val="auto"/>
              <w:spacing w:val="-2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2"/>
              <w:sz w:val="21"/>
              <w:szCs w:val="21"/>
              <w:highlight w:val="none"/>
            </w:rPr>
            <w:t xml:space="preserve"> </w:t>
          </w:r>
          <w:r>
            <w:rPr>
              <w:color w:val="auto"/>
              <w:highlight w:val="none"/>
            </w:rPr>
            <w:fldChar w:fldCharType="begin"/>
          </w:r>
          <w:r>
            <w:rPr>
              <w:color w:val="auto"/>
              <w:highlight w:val="none"/>
            </w:rPr>
            <w:instrText xml:space="preserve"> HYPERLINK \l "bookmark184" </w:instrText>
          </w:r>
          <w:r>
            <w:rPr>
              <w:color w:val="auto"/>
              <w:highlight w:val="none"/>
            </w:rPr>
            <w:fldChar w:fldCharType="separate"/>
          </w:r>
          <w:r>
            <w:rPr>
              <w:rFonts w:ascii="宋体" w:hAnsi="宋体" w:eastAsia="宋体" w:cs="宋体"/>
              <w:color w:val="auto"/>
              <w:spacing w:val="-4"/>
              <w:sz w:val="21"/>
              <w:szCs w:val="21"/>
              <w:highlight w:val="none"/>
            </w:rPr>
            <w:t>74</w:t>
          </w:r>
          <w:r>
            <w:rPr>
              <w:rFonts w:ascii="宋体" w:hAnsi="宋体" w:eastAsia="宋体" w:cs="宋体"/>
              <w:color w:val="auto"/>
              <w:spacing w:val="-4"/>
              <w:sz w:val="21"/>
              <w:szCs w:val="21"/>
              <w:highlight w:val="none"/>
            </w:rPr>
            <w:fldChar w:fldCharType="end"/>
          </w:r>
        </w:p>
        <w:p w14:paraId="18EB3EEF">
          <w:pPr>
            <w:tabs>
              <w:tab w:val="right" w:leader="dot" w:pos="8317"/>
            </w:tabs>
            <w:spacing w:before="23" w:line="221"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A3.5</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算术错误修正</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2"/>
              <w:sz w:val="21"/>
              <w:szCs w:val="21"/>
              <w:highlight w:val="none"/>
            </w:rPr>
            <w:t xml:space="preserve"> </w:t>
          </w:r>
          <w:r>
            <w:rPr>
              <w:color w:val="auto"/>
              <w:highlight w:val="none"/>
            </w:rPr>
            <w:fldChar w:fldCharType="begin"/>
          </w:r>
          <w:r>
            <w:rPr>
              <w:color w:val="auto"/>
              <w:highlight w:val="none"/>
            </w:rPr>
            <w:instrText xml:space="preserve"> HYPERLINK \l "bookmark185" </w:instrText>
          </w:r>
          <w:r>
            <w:rPr>
              <w:color w:val="auto"/>
              <w:highlight w:val="none"/>
            </w:rPr>
            <w:fldChar w:fldCharType="separate"/>
          </w:r>
          <w:r>
            <w:rPr>
              <w:rFonts w:ascii="宋体" w:hAnsi="宋体" w:eastAsia="宋体" w:cs="宋体"/>
              <w:color w:val="auto"/>
              <w:spacing w:val="-4"/>
              <w:sz w:val="21"/>
              <w:szCs w:val="21"/>
              <w:highlight w:val="none"/>
            </w:rPr>
            <w:t>74</w:t>
          </w:r>
          <w:r>
            <w:rPr>
              <w:rFonts w:ascii="宋体" w:hAnsi="宋体" w:eastAsia="宋体" w:cs="宋体"/>
              <w:color w:val="auto"/>
              <w:spacing w:val="-4"/>
              <w:sz w:val="21"/>
              <w:szCs w:val="21"/>
              <w:highlight w:val="none"/>
            </w:rPr>
            <w:fldChar w:fldCharType="end"/>
          </w:r>
        </w:p>
        <w:p w14:paraId="1771A1DD">
          <w:pPr>
            <w:tabs>
              <w:tab w:val="right" w:leader="dot" w:pos="8317"/>
            </w:tabs>
            <w:spacing w:before="22" w:line="219"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A3.6 判断投标报价是否低于成本</w:t>
          </w:r>
          <w:r>
            <w:rPr>
              <w:rFonts w:ascii="宋体" w:hAnsi="宋体" w:eastAsia="宋体" w:cs="宋体"/>
              <w:color w:val="auto"/>
              <w:spacing w:val="-7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"bookmark186" </w:instrText>
          </w:r>
          <w:r>
            <w:rPr>
              <w:color w:val="auto"/>
              <w:highlight w:val="none"/>
            </w:rPr>
            <w:fldChar w:fldCharType="separate"/>
          </w:r>
          <w:r>
            <w:rPr>
              <w:rFonts w:ascii="宋体" w:hAnsi="宋体" w:eastAsia="宋体" w:cs="宋体"/>
              <w:color w:val="auto"/>
              <w:spacing w:val="-4"/>
              <w:sz w:val="21"/>
              <w:szCs w:val="21"/>
              <w:highlight w:val="none"/>
            </w:rPr>
            <w:t>74</w:t>
          </w:r>
          <w:r>
            <w:rPr>
              <w:rFonts w:ascii="宋体" w:hAnsi="宋体" w:eastAsia="宋体" w:cs="宋体"/>
              <w:color w:val="auto"/>
              <w:spacing w:val="-4"/>
              <w:sz w:val="21"/>
              <w:szCs w:val="21"/>
              <w:highlight w:val="none"/>
            </w:rPr>
            <w:fldChar w:fldCharType="end"/>
          </w:r>
        </w:p>
        <w:p w14:paraId="0FB038AE">
          <w:pPr>
            <w:tabs>
              <w:tab w:val="right" w:leader="dot" w:pos="8317"/>
            </w:tabs>
            <w:spacing w:before="19" w:line="221"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A3.7 判断投标是否为应当被否决</w:t>
          </w:r>
          <w:r>
            <w:rPr>
              <w:rFonts w:ascii="宋体" w:hAnsi="宋体" w:eastAsia="宋体" w:cs="宋体"/>
              <w:color w:val="auto"/>
              <w:spacing w:val="-7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"bookmark187" </w:instrText>
          </w:r>
          <w:r>
            <w:rPr>
              <w:color w:val="auto"/>
              <w:highlight w:val="none"/>
            </w:rPr>
            <w:fldChar w:fldCharType="separate"/>
          </w:r>
          <w:r>
            <w:rPr>
              <w:rFonts w:ascii="宋体" w:hAnsi="宋体" w:eastAsia="宋体" w:cs="宋体"/>
              <w:color w:val="auto"/>
              <w:spacing w:val="-4"/>
              <w:sz w:val="21"/>
              <w:szCs w:val="21"/>
              <w:highlight w:val="none"/>
            </w:rPr>
            <w:t>74</w:t>
          </w:r>
          <w:r>
            <w:rPr>
              <w:rFonts w:ascii="宋体" w:hAnsi="宋体" w:eastAsia="宋体" w:cs="宋体"/>
              <w:color w:val="auto"/>
              <w:spacing w:val="-4"/>
              <w:sz w:val="21"/>
              <w:szCs w:val="21"/>
              <w:highlight w:val="none"/>
            </w:rPr>
            <w:fldChar w:fldCharType="end"/>
          </w:r>
        </w:p>
        <w:p w14:paraId="4B0EC3D7">
          <w:pPr>
            <w:tabs>
              <w:tab w:val="right" w:leader="dot" w:pos="8317"/>
            </w:tabs>
            <w:spacing w:before="23" w:line="221"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A3.8 澄清、说明或补正</w:t>
          </w:r>
          <w:r>
            <w:rPr>
              <w:rFonts w:ascii="宋体" w:hAnsi="宋体" w:eastAsia="宋体" w:cs="宋体"/>
              <w:color w:val="auto"/>
              <w:spacing w:val="-7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"bookmark188" </w:instrText>
          </w:r>
          <w:r>
            <w:rPr>
              <w:color w:val="auto"/>
              <w:highlight w:val="none"/>
            </w:rPr>
            <w:fldChar w:fldCharType="separate"/>
          </w:r>
          <w:r>
            <w:rPr>
              <w:rFonts w:ascii="宋体" w:hAnsi="宋体" w:eastAsia="宋体" w:cs="宋体"/>
              <w:color w:val="auto"/>
              <w:spacing w:val="-4"/>
              <w:sz w:val="21"/>
              <w:szCs w:val="21"/>
              <w:highlight w:val="none"/>
            </w:rPr>
            <w:t>75</w:t>
          </w:r>
          <w:r>
            <w:rPr>
              <w:rFonts w:ascii="宋体" w:hAnsi="宋体" w:eastAsia="宋体" w:cs="宋体"/>
              <w:color w:val="auto"/>
              <w:spacing w:val="-4"/>
              <w:sz w:val="21"/>
              <w:szCs w:val="21"/>
              <w:highlight w:val="none"/>
            </w:rPr>
            <w:fldChar w:fldCharType="end"/>
          </w:r>
        </w:p>
        <w:p w14:paraId="5743393F">
          <w:pPr>
            <w:tabs>
              <w:tab w:val="right" w:leader="dot" w:pos="8317"/>
            </w:tabs>
            <w:spacing w:before="23" w:line="221"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A4.详细评审</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2"/>
              <w:sz w:val="21"/>
              <w:szCs w:val="21"/>
              <w:highlight w:val="none"/>
            </w:rPr>
            <w:t xml:space="preserve"> </w:t>
          </w:r>
          <w:r>
            <w:rPr>
              <w:color w:val="auto"/>
              <w:highlight w:val="none"/>
            </w:rPr>
            <w:fldChar w:fldCharType="begin"/>
          </w:r>
          <w:r>
            <w:rPr>
              <w:color w:val="auto"/>
              <w:highlight w:val="none"/>
            </w:rPr>
            <w:instrText xml:space="preserve"> HYPERLINK \l "bookmark189" </w:instrText>
          </w:r>
          <w:r>
            <w:rPr>
              <w:color w:val="auto"/>
              <w:highlight w:val="none"/>
            </w:rPr>
            <w:fldChar w:fldCharType="separate"/>
          </w:r>
          <w:r>
            <w:rPr>
              <w:rFonts w:ascii="宋体" w:hAnsi="宋体" w:eastAsia="宋体" w:cs="宋体"/>
              <w:color w:val="auto"/>
              <w:spacing w:val="-4"/>
              <w:sz w:val="21"/>
              <w:szCs w:val="21"/>
              <w:highlight w:val="none"/>
            </w:rPr>
            <w:t>75</w:t>
          </w:r>
          <w:r>
            <w:rPr>
              <w:rFonts w:ascii="宋体" w:hAnsi="宋体" w:eastAsia="宋体" w:cs="宋体"/>
              <w:color w:val="auto"/>
              <w:spacing w:val="-4"/>
              <w:sz w:val="21"/>
              <w:szCs w:val="21"/>
              <w:highlight w:val="none"/>
            </w:rPr>
            <w:fldChar w:fldCharType="end"/>
          </w:r>
        </w:p>
        <w:p w14:paraId="40880D86">
          <w:pPr>
            <w:tabs>
              <w:tab w:val="right" w:leader="dot" w:pos="8317"/>
            </w:tabs>
            <w:spacing w:before="18" w:line="221"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A4.1</w:t>
          </w:r>
          <w:r>
            <w:rPr>
              <w:rFonts w:ascii="宋体" w:hAnsi="宋体" w:eastAsia="宋体" w:cs="宋体"/>
              <w:color w:val="auto"/>
              <w:spacing w:val="-38"/>
              <w:sz w:val="21"/>
              <w:szCs w:val="21"/>
              <w:highlight w:val="none"/>
            </w:rPr>
            <w:t xml:space="preserve"> </w:t>
          </w:r>
          <w:r>
            <w:rPr>
              <w:rFonts w:ascii="宋体" w:hAnsi="宋体" w:eastAsia="宋体" w:cs="宋体"/>
              <w:color w:val="auto"/>
              <w:spacing w:val="-1"/>
              <w:sz w:val="21"/>
              <w:szCs w:val="21"/>
              <w:highlight w:val="none"/>
            </w:rPr>
            <w:t>详细评审的程序</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"bookmark190" </w:instrText>
          </w:r>
          <w:r>
            <w:rPr>
              <w:color w:val="auto"/>
              <w:highlight w:val="none"/>
            </w:rPr>
            <w:fldChar w:fldCharType="separate"/>
          </w:r>
          <w:r>
            <w:rPr>
              <w:rFonts w:ascii="宋体" w:hAnsi="宋体" w:eastAsia="宋体" w:cs="宋体"/>
              <w:color w:val="auto"/>
              <w:spacing w:val="-4"/>
              <w:sz w:val="21"/>
              <w:szCs w:val="21"/>
              <w:highlight w:val="none"/>
            </w:rPr>
            <w:t>75</w:t>
          </w:r>
          <w:r>
            <w:rPr>
              <w:rFonts w:ascii="宋体" w:hAnsi="宋体" w:eastAsia="宋体" w:cs="宋体"/>
              <w:color w:val="auto"/>
              <w:spacing w:val="-4"/>
              <w:sz w:val="21"/>
              <w:szCs w:val="21"/>
              <w:highlight w:val="none"/>
            </w:rPr>
            <w:fldChar w:fldCharType="end"/>
          </w:r>
        </w:p>
        <w:p w14:paraId="23567A08">
          <w:pPr>
            <w:tabs>
              <w:tab w:val="right" w:leader="dot" w:pos="8317"/>
            </w:tabs>
            <w:spacing w:before="21" w:line="221"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A4.2</w:t>
          </w:r>
          <w:r>
            <w:rPr>
              <w:rFonts w:ascii="宋体" w:hAnsi="宋体" w:eastAsia="宋体" w:cs="宋体"/>
              <w:color w:val="auto"/>
              <w:spacing w:val="-41"/>
              <w:sz w:val="21"/>
              <w:szCs w:val="21"/>
              <w:highlight w:val="none"/>
            </w:rPr>
            <w:t xml:space="preserve"> </w:t>
          </w:r>
          <w:r>
            <w:rPr>
              <w:rFonts w:ascii="宋体" w:hAnsi="宋体" w:eastAsia="宋体" w:cs="宋体"/>
              <w:color w:val="auto"/>
              <w:spacing w:val="-1"/>
              <w:sz w:val="21"/>
              <w:szCs w:val="21"/>
              <w:highlight w:val="none"/>
            </w:rPr>
            <w:t>澄清、说明或补正</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"bookmark191" </w:instrText>
          </w:r>
          <w:r>
            <w:rPr>
              <w:color w:val="auto"/>
              <w:highlight w:val="none"/>
            </w:rPr>
            <w:fldChar w:fldCharType="separate"/>
          </w:r>
          <w:r>
            <w:rPr>
              <w:rFonts w:ascii="宋体" w:hAnsi="宋体" w:eastAsia="宋体" w:cs="宋体"/>
              <w:color w:val="auto"/>
              <w:spacing w:val="-4"/>
              <w:sz w:val="21"/>
              <w:szCs w:val="21"/>
              <w:highlight w:val="none"/>
            </w:rPr>
            <w:t>75</w:t>
          </w:r>
          <w:r>
            <w:rPr>
              <w:rFonts w:ascii="宋体" w:hAnsi="宋体" w:eastAsia="宋体" w:cs="宋体"/>
              <w:color w:val="auto"/>
              <w:spacing w:val="-4"/>
              <w:sz w:val="21"/>
              <w:szCs w:val="21"/>
              <w:highlight w:val="none"/>
            </w:rPr>
            <w:fldChar w:fldCharType="end"/>
          </w:r>
        </w:p>
        <w:p w14:paraId="32173F4B">
          <w:pPr>
            <w:tabs>
              <w:tab w:val="right" w:leader="dot" w:pos="8317"/>
            </w:tabs>
            <w:spacing w:before="23" w:line="221" w:lineRule="auto"/>
            <w:ind w:left="8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A4.3</w:t>
          </w:r>
          <w:r>
            <w:rPr>
              <w:rFonts w:ascii="宋体" w:hAnsi="宋体" w:eastAsia="宋体" w:cs="宋体"/>
              <w:color w:val="auto"/>
              <w:spacing w:val="-43"/>
              <w:sz w:val="21"/>
              <w:szCs w:val="21"/>
              <w:highlight w:val="none"/>
            </w:rPr>
            <w:t xml:space="preserve"> </w:t>
          </w:r>
          <w:r>
            <w:rPr>
              <w:rFonts w:ascii="宋体" w:hAnsi="宋体" w:eastAsia="宋体" w:cs="宋体"/>
              <w:color w:val="auto"/>
              <w:spacing w:val="-2"/>
              <w:sz w:val="21"/>
              <w:szCs w:val="21"/>
              <w:highlight w:val="none"/>
            </w:rPr>
            <w:t xml:space="preserve">汇总评分（评审）结果 </w:t>
          </w:r>
          <w:r>
            <w:rPr>
              <w:rFonts w:ascii="宋体" w:hAnsi="宋体" w:eastAsia="宋体" w:cs="宋体"/>
              <w:color w:val="auto"/>
              <w:sz w:val="21"/>
              <w:szCs w:val="21"/>
              <w:highlight w:val="no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"bookmark192" </w:instrText>
          </w:r>
          <w:r>
            <w:rPr>
              <w:color w:val="auto"/>
              <w:highlight w:val="none"/>
            </w:rPr>
            <w:fldChar w:fldCharType="separate"/>
          </w:r>
          <w:r>
            <w:rPr>
              <w:rFonts w:ascii="宋体" w:hAnsi="宋体" w:eastAsia="宋体" w:cs="宋体"/>
              <w:color w:val="auto"/>
              <w:spacing w:val="-4"/>
              <w:sz w:val="21"/>
              <w:szCs w:val="21"/>
              <w:highlight w:val="none"/>
            </w:rPr>
            <w:t>75</w:t>
          </w:r>
          <w:r>
            <w:rPr>
              <w:rFonts w:ascii="宋体" w:hAnsi="宋体" w:eastAsia="宋体" w:cs="宋体"/>
              <w:color w:val="auto"/>
              <w:spacing w:val="-4"/>
              <w:sz w:val="21"/>
              <w:szCs w:val="21"/>
              <w:highlight w:val="none"/>
            </w:rPr>
            <w:fldChar w:fldCharType="end"/>
          </w:r>
        </w:p>
        <w:p w14:paraId="7669482B">
          <w:pPr>
            <w:tabs>
              <w:tab w:val="right" w:leader="dot" w:pos="8317"/>
            </w:tabs>
            <w:spacing w:before="22" w:line="220"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A5.推荐中标候选人或者直接确定中标人</w:t>
          </w:r>
          <w:r>
            <w:rPr>
              <w:rFonts w:ascii="宋体" w:hAnsi="宋体" w:eastAsia="宋体" w:cs="宋体"/>
              <w:color w:val="auto"/>
              <w:spacing w:val="-6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"bookmark193" </w:instrText>
          </w:r>
          <w:r>
            <w:rPr>
              <w:color w:val="auto"/>
              <w:highlight w:val="none"/>
            </w:rPr>
            <w:fldChar w:fldCharType="separate"/>
          </w:r>
          <w:r>
            <w:rPr>
              <w:rFonts w:ascii="宋体" w:hAnsi="宋体" w:eastAsia="宋体" w:cs="宋体"/>
              <w:color w:val="auto"/>
              <w:spacing w:val="-4"/>
              <w:sz w:val="21"/>
              <w:szCs w:val="21"/>
              <w:highlight w:val="none"/>
            </w:rPr>
            <w:t>75</w:t>
          </w:r>
          <w:r>
            <w:rPr>
              <w:rFonts w:ascii="宋体" w:hAnsi="宋体" w:eastAsia="宋体" w:cs="宋体"/>
              <w:color w:val="auto"/>
              <w:spacing w:val="-4"/>
              <w:sz w:val="21"/>
              <w:szCs w:val="21"/>
              <w:highlight w:val="none"/>
            </w:rPr>
            <w:fldChar w:fldCharType="end"/>
          </w:r>
        </w:p>
        <w:p w14:paraId="3D21593B">
          <w:pPr>
            <w:tabs>
              <w:tab w:val="right" w:leader="dot" w:pos="8317"/>
            </w:tabs>
            <w:spacing w:before="18" w:line="220"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A5.1</w:t>
          </w:r>
          <w:r>
            <w:rPr>
              <w:rFonts w:ascii="宋体" w:hAnsi="宋体" w:eastAsia="宋体" w:cs="宋体"/>
              <w:color w:val="auto"/>
              <w:spacing w:val="-38"/>
              <w:sz w:val="21"/>
              <w:szCs w:val="21"/>
              <w:highlight w:val="none"/>
            </w:rPr>
            <w:t xml:space="preserve"> </w:t>
          </w:r>
          <w:r>
            <w:rPr>
              <w:rFonts w:ascii="宋体" w:hAnsi="宋体" w:eastAsia="宋体" w:cs="宋体"/>
              <w:color w:val="auto"/>
              <w:spacing w:val="-1"/>
              <w:sz w:val="21"/>
              <w:szCs w:val="21"/>
              <w:highlight w:val="none"/>
            </w:rPr>
            <w:t>推荐中标候选人</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"bookmark194" </w:instrText>
          </w:r>
          <w:r>
            <w:rPr>
              <w:color w:val="auto"/>
              <w:highlight w:val="none"/>
            </w:rPr>
            <w:fldChar w:fldCharType="separate"/>
          </w:r>
          <w:r>
            <w:rPr>
              <w:rFonts w:ascii="宋体" w:hAnsi="宋体" w:eastAsia="宋体" w:cs="宋体"/>
              <w:color w:val="auto"/>
              <w:spacing w:val="-4"/>
              <w:sz w:val="21"/>
              <w:szCs w:val="21"/>
              <w:highlight w:val="none"/>
            </w:rPr>
            <w:t>75</w:t>
          </w:r>
          <w:r>
            <w:rPr>
              <w:rFonts w:ascii="宋体" w:hAnsi="宋体" w:eastAsia="宋体" w:cs="宋体"/>
              <w:color w:val="auto"/>
              <w:spacing w:val="-4"/>
              <w:sz w:val="21"/>
              <w:szCs w:val="21"/>
              <w:highlight w:val="none"/>
            </w:rPr>
            <w:fldChar w:fldCharType="end"/>
          </w:r>
        </w:p>
        <w:p w14:paraId="3CCB22ED">
          <w:pPr>
            <w:tabs>
              <w:tab w:val="right" w:leader="dot" w:pos="8317"/>
            </w:tabs>
            <w:spacing w:before="24" w:line="221"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A5.2</w:t>
          </w:r>
          <w:r>
            <w:rPr>
              <w:rFonts w:ascii="宋体" w:hAnsi="宋体" w:eastAsia="宋体" w:cs="宋体"/>
              <w:color w:val="auto"/>
              <w:spacing w:val="-38"/>
              <w:sz w:val="21"/>
              <w:szCs w:val="21"/>
              <w:highlight w:val="none"/>
            </w:rPr>
            <w:t xml:space="preserve"> </w:t>
          </w:r>
          <w:r>
            <w:rPr>
              <w:rFonts w:ascii="宋体" w:hAnsi="宋体" w:eastAsia="宋体" w:cs="宋体"/>
              <w:color w:val="auto"/>
              <w:spacing w:val="-1"/>
              <w:sz w:val="21"/>
              <w:szCs w:val="21"/>
              <w:highlight w:val="none"/>
            </w:rPr>
            <w:t>直接确定中标人</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"bookmark195" </w:instrText>
          </w:r>
          <w:r>
            <w:rPr>
              <w:color w:val="auto"/>
              <w:highlight w:val="none"/>
            </w:rPr>
            <w:fldChar w:fldCharType="separate"/>
          </w:r>
          <w:r>
            <w:rPr>
              <w:rFonts w:ascii="宋体" w:hAnsi="宋体" w:eastAsia="宋体" w:cs="宋体"/>
              <w:color w:val="auto"/>
              <w:spacing w:val="-4"/>
              <w:sz w:val="21"/>
              <w:szCs w:val="21"/>
              <w:highlight w:val="none"/>
            </w:rPr>
            <w:t>76</w:t>
          </w:r>
          <w:r>
            <w:rPr>
              <w:rFonts w:ascii="宋体" w:hAnsi="宋体" w:eastAsia="宋体" w:cs="宋体"/>
              <w:color w:val="auto"/>
              <w:spacing w:val="-4"/>
              <w:sz w:val="21"/>
              <w:szCs w:val="21"/>
              <w:highlight w:val="none"/>
            </w:rPr>
            <w:fldChar w:fldCharType="end"/>
          </w:r>
        </w:p>
        <w:p w14:paraId="0C96E293">
          <w:pPr>
            <w:tabs>
              <w:tab w:val="right" w:leader="dot" w:pos="8317"/>
            </w:tabs>
            <w:spacing w:before="22" w:line="219"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A5.3</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编制评标报告</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2"/>
              <w:sz w:val="21"/>
              <w:szCs w:val="21"/>
              <w:highlight w:val="none"/>
            </w:rPr>
            <w:t xml:space="preserve"> </w:t>
          </w:r>
          <w:r>
            <w:rPr>
              <w:color w:val="auto"/>
              <w:highlight w:val="none"/>
            </w:rPr>
            <w:fldChar w:fldCharType="begin"/>
          </w:r>
          <w:r>
            <w:rPr>
              <w:color w:val="auto"/>
              <w:highlight w:val="none"/>
            </w:rPr>
            <w:instrText xml:space="preserve"> HYPERLINK \l "bookmark196" </w:instrText>
          </w:r>
          <w:r>
            <w:rPr>
              <w:color w:val="auto"/>
              <w:highlight w:val="none"/>
            </w:rPr>
            <w:fldChar w:fldCharType="separate"/>
          </w:r>
          <w:r>
            <w:rPr>
              <w:rFonts w:ascii="宋体" w:hAnsi="宋体" w:eastAsia="宋体" w:cs="宋体"/>
              <w:color w:val="auto"/>
              <w:spacing w:val="-4"/>
              <w:sz w:val="21"/>
              <w:szCs w:val="21"/>
              <w:highlight w:val="none"/>
            </w:rPr>
            <w:t>76</w:t>
          </w:r>
          <w:r>
            <w:rPr>
              <w:rFonts w:ascii="宋体" w:hAnsi="宋体" w:eastAsia="宋体" w:cs="宋体"/>
              <w:color w:val="auto"/>
              <w:spacing w:val="-4"/>
              <w:sz w:val="21"/>
              <w:szCs w:val="21"/>
              <w:highlight w:val="none"/>
            </w:rPr>
            <w:fldChar w:fldCharType="end"/>
          </w:r>
        </w:p>
        <w:p w14:paraId="103633BB">
          <w:pPr>
            <w:tabs>
              <w:tab w:val="right" w:leader="dot" w:pos="8317"/>
            </w:tabs>
            <w:spacing w:before="24" w:line="221"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A6.特殊情况的处置程序</w:t>
          </w:r>
          <w:r>
            <w:rPr>
              <w:rFonts w:ascii="宋体" w:hAnsi="宋体" w:eastAsia="宋体" w:cs="宋体"/>
              <w:color w:val="auto"/>
              <w:spacing w:val="-7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"bookmark197" </w:instrText>
          </w:r>
          <w:r>
            <w:rPr>
              <w:color w:val="auto"/>
              <w:highlight w:val="none"/>
            </w:rPr>
            <w:fldChar w:fldCharType="separate"/>
          </w:r>
          <w:r>
            <w:rPr>
              <w:rFonts w:ascii="宋体" w:hAnsi="宋体" w:eastAsia="宋体" w:cs="宋体"/>
              <w:color w:val="auto"/>
              <w:spacing w:val="-4"/>
              <w:sz w:val="21"/>
              <w:szCs w:val="21"/>
              <w:highlight w:val="none"/>
            </w:rPr>
            <w:t>76</w:t>
          </w:r>
          <w:r>
            <w:rPr>
              <w:rFonts w:ascii="宋体" w:hAnsi="宋体" w:eastAsia="宋体" w:cs="宋体"/>
              <w:color w:val="auto"/>
              <w:spacing w:val="-4"/>
              <w:sz w:val="21"/>
              <w:szCs w:val="21"/>
              <w:highlight w:val="none"/>
            </w:rPr>
            <w:fldChar w:fldCharType="end"/>
          </w:r>
        </w:p>
      </w:sdtContent>
    </w:sdt>
    <w:p w14:paraId="681F1F20">
      <w:pPr>
        <w:spacing w:line="221" w:lineRule="auto"/>
        <w:rPr>
          <w:rFonts w:ascii="宋体" w:hAnsi="宋体" w:eastAsia="宋体" w:cs="宋体"/>
          <w:color w:val="auto"/>
          <w:sz w:val="21"/>
          <w:szCs w:val="21"/>
          <w:highlight w:val="none"/>
        </w:rPr>
        <w:sectPr>
          <w:footerReference r:id="rId9" w:type="default"/>
          <w:pgSz w:w="11905" w:h="16839"/>
          <w:pgMar w:top="1427" w:right="1785" w:bottom="1033" w:left="1785" w:header="0" w:footer="848" w:gutter="0"/>
          <w:pgNumType w:fmt="decimal"/>
          <w:cols w:space="720" w:num="1"/>
        </w:sectPr>
      </w:pPr>
    </w:p>
    <w:sdt>
      <w:sdtPr>
        <w:rPr>
          <w:rFonts w:ascii="宋体" w:hAnsi="宋体" w:eastAsia="宋体" w:cs="宋体"/>
          <w:color w:val="auto"/>
          <w:sz w:val="21"/>
          <w:szCs w:val="21"/>
          <w:highlight w:val="none"/>
        </w:rPr>
        <w:id w:val="5"/>
        <w:docPartObj>
          <w:docPartGallery w:val="Table of Contents"/>
          <w:docPartUnique/>
        </w:docPartObj>
      </w:sdtPr>
      <w:sdtEndPr>
        <w:rPr>
          <w:rFonts w:ascii="宋体" w:hAnsi="宋体" w:eastAsia="宋体" w:cs="宋体"/>
          <w:color w:val="auto"/>
          <w:sz w:val="21"/>
          <w:szCs w:val="21"/>
          <w:highlight w:val="none"/>
        </w:rPr>
      </w:sdtEndPr>
      <w:sdtContent>
        <w:p w14:paraId="4A25DFDF">
          <w:pPr>
            <w:tabs>
              <w:tab w:val="right" w:leader="dot" w:pos="8317"/>
            </w:tabs>
            <w:spacing w:before="41" w:line="221" w:lineRule="auto"/>
            <w:ind w:left="852"/>
            <w:rPr>
              <w:rFonts w:ascii="宋体" w:hAnsi="宋体" w:eastAsia="宋体" w:cs="宋体"/>
              <w:color w:val="auto"/>
              <w:sz w:val="21"/>
              <w:szCs w:val="21"/>
              <w:highlight w:val="none"/>
            </w:rPr>
          </w:pPr>
          <w:bookmarkStart w:id="9" w:name="bookmark23"/>
          <w:bookmarkEnd w:id="9"/>
          <w:bookmarkStart w:id="10" w:name="bookmark22"/>
          <w:bookmarkEnd w:id="10"/>
          <w:r>
            <w:rPr>
              <w:rFonts w:ascii="宋体" w:hAnsi="宋体" w:eastAsia="宋体" w:cs="宋体"/>
              <w:color w:val="auto"/>
              <w:spacing w:val="-1"/>
              <w:sz w:val="21"/>
              <w:szCs w:val="21"/>
              <w:highlight w:val="none"/>
            </w:rPr>
            <w:t>A6.1</w:t>
          </w:r>
          <w:r>
            <w:rPr>
              <w:rFonts w:ascii="宋体" w:hAnsi="宋体" w:eastAsia="宋体" w:cs="宋体"/>
              <w:color w:val="auto"/>
              <w:spacing w:val="-20"/>
              <w:sz w:val="21"/>
              <w:szCs w:val="21"/>
              <w:highlight w:val="none"/>
            </w:rPr>
            <w:t xml:space="preserve"> </w:t>
          </w:r>
          <w:r>
            <w:rPr>
              <w:rFonts w:ascii="宋体" w:hAnsi="宋体" w:eastAsia="宋体" w:cs="宋体"/>
              <w:color w:val="auto"/>
              <w:spacing w:val="-1"/>
              <w:sz w:val="21"/>
              <w:szCs w:val="21"/>
              <w:highlight w:val="none"/>
            </w:rPr>
            <w:t xml:space="preserve">暗标评审的评审程序规定（适用于对技术标进行暗标评审的） </w:t>
          </w:r>
          <w:r>
            <w:rPr>
              <w:rFonts w:ascii="宋体" w:hAnsi="宋体" w:eastAsia="宋体" w:cs="宋体"/>
              <w:color w:val="auto"/>
              <w:sz w:val="21"/>
              <w:szCs w:val="21"/>
              <w:highlight w:val="no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"bookmark198" </w:instrText>
          </w:r>
          <w:r>
            <w:rPr>
              <w:color w:val="auto"/>
              <w:highlight w:val="none"/>
            </w:rPr>
            <w:fldChar w:fldCharType="separate"/>
          </w:r>
          <w:r>
            <w:rPr>
              <w:rFonts w:ascii="宋体" w:hAnsi="宋体" w:eastAsia="宋体" w:cs="宋体"/>
              <w:color w:val="auto"/>
              <w:spacing w:val="-4"/>
              <w:sz w:val="21"/>
              <w:szCs w:val="21"/>
              <w:highlight w:val="none"/>
            </w:rPr>
            <w:t>76</w:t>
          </w:r>
          <w:r>
            <w:rPr>
              <w:rFonts w:ascii="宋体" w:hAnsi="宋体" w:eastAsia="宋体" w:cs="宋体"/>
              <w:color w:val="auto"/>
              <w:spacing w:val="-4"/>
              <w:sz w:val="21"/>
              <w:szCs w:val="21"/>
              <w:highlight w:val="none"/>
            </w:rPr>
            <w:fldChar w:fldCharType="end"/>
          </w:r>
        </w:p>
        <w:p w14:paraId="7EC8F8F0">
          <w:pPr>
            <w:tabs>
              <w:tab w:val="right" w:leader="dot" w:pos="8317"/>
            </w:tabs>
            <w:spacing w:before="18" w:line="221" w:lineRule="auto"/>
            <w:ind w:left="85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A6.2</w:t>
          </w:r>
          <w:r>
            <w:rPr>
              <w:rFonts w:ascii="宋体" w:hAnsi="宋体" w:eastAsia="宋体" w:cs="宋体"/>
              <w:color w:val="auto"/>
              <w:spacing w:val="-41"/>
              <w:sz w:val="21"/>
              <w:szCs w:val="21"/>
              <w:highlight w:val="none"/>
            </w:rPr>
            <w:t xml:space="preserve"> </w:t>
          </w:r>
          <w:r>
            <w:rPr>
              <w:rFonts w:ascii="宋体" w:hAnsi="宋体" w:eastAsia="宋体" w:cs="宋体"/>
              <w:color w:val="auto"/>
              <w:spacing w:val="-1"/>
              <w:sz w:val="21"/>
              <w:szCs w:val="21"/>
              <w:highlight w:val="none"/>
            </w:rPr>
            <w:t>关于评标活动暂停</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"bookmark199" </w:instrText>
          </w:r>
          <w:r>
            <w:rPr>
              <w:color w:val="auto"/>
              <w:highlight w:val="none"/>
            </w:rPr>
            <w:fldChar w:fldCharType="separate"/>
          </w:r>
          <w:r>
            <w:rPr>
              <w:rFonts w:ascii="宋体" w:hAnsi="宋体" w:eastAsia="宋体" w:cs="宋体"/>
              <w:color w:val="auto"/>
              <w:spacing w:val="-4"/>
              <w:sz w:val="21"/>
              <w:szCs w:val="21"/>
              <w:highlight w:val="none"/>
            </w:rPr>
            <w:t>76</w:t>
          </w:r>
          <w:r>
            <w:rPr>
              <w:rFonts w:ascii="宋体" w:hAnsi="宋体" w:eastAsia="宋体" w:cs="宋体"/>
              <w:color w:val="auto"/>
              <w:spacing w:val="-4"/>
              <w:sz w:val="21"/>
              <w:szCs w:val="21"/>
              <w:highlight w:val="none"/>
            </w:rPr>
            <w:fldChar w:fldCharType="end"/>
          </w:r>
        </w:p>
        <w:p w14:paraId="0BEACDDF">
          <w:pPr>
            <w:tabs>
              <w:tab w:val="right" w:leader="dot" w:pos="8317"/>
            </w:tabs>
            <w:spacing w:before="21" w:line="220" w:lineRule="auto"/>
            <w:ind w:left="85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A6.3</w:t>
          </w:r>
          <w:r>
            <w:rPr>
              <w:rFonts w:ascii="宋体" w:hAnsi="宋体" w:eastAsia="宋体" w:cs="宋体"/>
              <w:color w:val="auto"/>
              <w:spacing w:val="-27"/>
              <w:sz w:val="21"/>
              <w:szCs w:val="21"/>
              <w:highlight w:val="none"/>
            </w:rPr>
            <w:t xml:space="preserve"> </w:t>
          </w:r>
          <w:r>
            <w:rPr>
              <w:rFonts w:ascii="宋体" w:hAnsi="宋体" w:eastAsia="宋体" w:cs="宋体"/>
              <w:color w:val="auto"/>
              <w:spacing w:val="-2"/>
              <w:sz w:val="21"/>
              <w:szCs w:val="21"/>
              <w:highlight w:val="none"/>
            </w:rPr>
            <w:t xml:space="preserve">关于评标中途更换评标委员会成员 </w:t>
          </w:r>
          <w:r>
            <w:rPr>
              <w:rFonts w:ascii="宋体" w:hAnsi="宋体" w:eastAsia="宋体" w:cs="宋体"/>
              <w:color w:val="auto"/>
              <w:sz w:val="21"/>
              <w:szCs w:val="21"/>
              <w:highlight w:val="no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"bookmark200" </w:instrText>
          </w:r>
          <w:r>
            <w:rPr>
              <w:color w:val="auto"/>
              <w:highlight w:val="none"/>
            </w:rPr>
            <w:fldChar w:fldCharType="separate"/>
          </w:r>
          <w:r>
            <w:rPr>
              <w:rFonts w:ascii="宋体" w:hAnsi="宋体" w:eastAsia="宋体" w:cs="宋体"/>
              <w:color w:val="auto"/>
              <w:spacing w:val="-4"/>
              <w:sz w:val="21"/>
              <w:szCs w:val="21"/>
              <w:highlight w:val="none"/>
            </w:rPr>
            <w:t>77</w:t>
          </w:r>
          <w:r>
            <w:rPr>
              <w:rFonts w:ascii="宋体" w:hAnsi="宋体" w:eastAsia="宋体" w:cs="宋体"/>
              <w:color w:val="auto"/>
              <w:spacing w:val="-4"/>
              <w:sz w:val="21"/>
              <w:szCs w:val="21"/>
              <w:highlight w:val="none"/>
            </w:rPr>
            <w:fldChar w:fldCharType="end"/>
          </w:r>
        </w:p>
        <w:p w14:paraId="0C99E913">
          <w:pPr>
            <w:tabs>
              <w:tab w:val="right" w:leader="dot" w:pos="8317"/>
            </w:tabs>
            <w:spacing w:before="23" w:line="221"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A6.4 评标争议处理</w:t>
          </w:r>
          <w:r>
            <w:rPr>
              <w:rFonts w:ascii="宋体" w:hAnsi="宋体" w:eastAsia="宋体" w:cs="宋体"/>
              <w:color w:val="auto"/>
              <w:spacing w:val="-7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2"/>
              <w:sz w:val="21"/>
              <w:szCs w:val="21"/>
              <w:highlight w:val="none"/>
            </w:rPr>
            <w:t xml:space="preserve"> </w:t>
          </w:r>
          <w:r>
            <w:rPr>
              <w:color w:val="auto"/>
              <w:highlight w:val="none"/>
            </w:rPr>
            <w:fldChar w:fldCharType="begin"/>
          </w:r>
          <w:r>
            <w:rPr>
              <w:color w:val="auto"/>
              <w:highlight w:val="none"/>
            </w:rPr>
            <w:instrText xml:space="preserve"> HYPERLINK \l "bookmark201" </w:instrText>
          </w:r>
          <w:r>
            <w:rPr>
              <w:color w:val="auto"/>
              <w:highlight w:val="none"/>
            </w:rPr>
            <w:fldChar w:fldCharType="separate"/>
          </w:r>
          <w:r>
            <w:rPr>
              <w:rFonts w:ascii="宋体" w:hAnsi="宋体" w:eastAsia="宋体" w:cs="宋体"/>
              <w:color w:val="auto"/>
              <w:spacing w:val="-4"/>
              <w:sz w:val="21"/>
              <w:szCs w:val="21"/>
              <w:highlight w:val="none"/>
            </w:rPr>
            <w:t>77</w:t>
          </w:r>
          <w:r>
            <w:rPr>
              <w:rFonts w:ascii="宋体" w:hAnsi="宋体" w:eastAsia="宋体" w:cs="宋体"/>
              <w:color w:val="auto"/>
              <w:spacing w:val="-4"/>
              <w:sz w:val="21"/>
              <w:szCs w:val="21"/>
              <w:highlight w:val="none"/>
            </w:rPr>
            <w:fldChar w:fldCharType="end"/>
          </w:r>
        </w:p>
        <w:p w14:paraId="34E5D115">
          <w:pPr>
            <w:tabs>
              <w:tab w:val="right" w:leader="dot" w:pos="8317"/>
            </w:tabs>
            <w:spacing w:before="22" w:line="221" w:lineRule="auto"/>
            <w:ind w:left="852"/>
            <w:rPr>
              <w:rFonts w:ascii="宋体" w:hAnsi="宋体" w:eastAsia="宋体" w:cs="宋体"/>
              <w:color w:val="auto"/>
              <w:sz w:val="21"/>
              <w:szCs w:val="21"/>
              <w:highlight w:val="none"/>
            </w:rPr>
          </w:pPr>
          <w:r>
            <w:rPr>
              <w:rFonts w:ascii="宋体" w:hAnsi="宋体" w:eastAsia="宋体" w:cs="宋体"/>
              <w:color w:val="auto"/>
              <w:sz w:val="21"/>
              <w:szCs w:val="21"/>
              <w:highlight w:val="none"/>
            </w:rPr>
            <w:t>A7.补充条款</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2"/>
              <w:sz w:val="21"/>
              <w:szCs w:val="21"/>
              <w:highlight w:val="none"/>
            </w:rPr>
            <w:t xml:space="preserve"> </w:t>
          </w:r>
          <w:r>
            <w:rPr>
              <w:color w:val="auto"/>
              <w:highlight w:val="none"/>
            </w:rPr>
            <w:fldChar w:fldCharType="begin"/>
          </w:r>
          <w:r>
            <w:rPr>
              <w:color w:val="auto"/>
              <w:highlight w:val="none"/>
            </w:rPr>
            <w:instrText xml:space="preserve"> HYPERLINK \l "bookmark202" </w:instrText>
          </w:r>
          <w:r>
            <w:rPr>
              <w:color w:val="auto"/>
              <w:highlight w:val="none"/>
            </w:rPr>
            <w:fldChar w:fldCharType="separate"/>
          </w:r>
          <w:r>
            <w:rPr>
              <w:rFonts w:ascii="宋体" w:hAnsi="宋体" w:eastAsia="宋体" w:cs="宋体"/>
              <w:color w:val="auto"/>
              <w:spacing w:val="-4"/>
              <w:sz w:val="21"/>
              <w:szCs w:val="21"/>
              <w:highlight w:val="none"/>
            </w:rPr>
            <w:t>77</w:t>
          </w:r>
          <w:r>
            <w:rPr>
              <w:rFonts w:ascii="宋体" w:hAnsi="宋体" w:eastAsia="宋体" w:cs="宋体"/>
              <w:color w:val="auto"/>
              <w:spacing w:val="-4"/>
              <w:sz w:val="21"/>
              <w:szCs w:val="21"/>
              <w:highlight w:val="none"/>
            </w:rPr>
            <w:fldChar w:fldCharType="end"/>
          </w:r>
        </w:p>
        <w:p w14:paraId="68CA31A7">
          <w:pPr>
            <w:tabs>
              <w:tab w:val="right" w:leader="dot" w:pos="8317"/>
            </w:tabs>
            <w:spacing w:before="18" w:line="220" w:lineRule="auto"/>
            <w:ind w:left="45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附件</w:t>
          </w:r>
          <w:r>
            <w:rPr>
              <w:rFonts w:ascii="宋体" w:hAnsi="宋体" w:eastAsia="宋体" w:cs="宋体"/>
              <w:color w:val="auto"/>
              <w:spacing w:val="-42"/>
              <w:sz w:val="21"/>
              <w:szCs w:val="21"/>
              <w:highlight w:val="none"/>
            </w:rPr>
            <w:t xml:space="preserve"> </w:t>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B：否决投标的条件</w:t>
          </w:r>
          <w:r>
            <w:rPr>
              <w:rFonts w:ascii="宋体" w:hAnsi="宋体" w:eastAsia="宋体" w:cs="宋体"/>
              <w:color w:val="auto"/>
              <w:spacing w:val="-42"/>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23"/>
              <w:sz w:val="21"/>
              <w:szCs w:val="21"/>
              <w:highlight w:val="none"/>
            </w:rPr>
            <w:t xml:space="preserve"> </w:t>
          </w:r>
          <w:r>
            <w:rPr>
              <w:color w:val="auto"/>
              <w:highlight w:val="none"/>
            </w:rPr>
            <w:fldChar w:fldCharType="begin"/>
          </w:r>
          <w:r>
            <w:rPr>
              <w:color w:val="auto"/>
              <w:highlight w:val="none"/>
            </w:rPr>
            <w:instrText xml:space="preserve"> HYPERLINK \l "bookmark203" </w:instrText>
          </w:r>
          <w:r>
            <w:rPr>
              <w:color w:val="auto"/>
              <w:highlight w:val="none"/>
            </w:rPr>
            <w:fldChar w:fldCharType="separate"/>
          </w:r>
          <w:r>
            <w:rPr>
              <w:rFonts w:ascii="宋体" w:hAnsi="宋体" w:eastAsia="宋体" w:cs="宋体"/>
              <w:color w:val="auto"/>
              <w:spacing w:val="-4"/>
              <w:sz w:val="21"/>
              <w:szCs w:val="21"/>
              <w:highlight w:val="none"/>
              <w14:textOutline w14:w="3831" w14:cap="flat" w14:cmpd="sng">
                <w14:solidFill>
                  <w14:srgbClr w14:val="000000"/>
                </w14:solidFill>
                <w14:prstDash w14:val="solid"/>
                <w14:miter w14:val="0"/>
              </w14:textOutline>
            </w:rPr>
            <w:t>78</w:t>
          </w:r>
          <w:r>
            <w:rPr>
              <w:rFonts w:ascii="宋体" w:hAnsi="宋体" w:eastAsia="宋体" w:cs="宋体"/>
              <w:color w:val="auto"/>
              <w:spacing w:val="-4"/>
              <w:sz w:val="21"/>
              <w:szCs w:val="21"/>
              <w:highlight w:val="none"/>
              <w14:textOutline w14:w="3831" w14:cap="flat" w14:cmpd="sng">
                <w14:solidFill>
                  <w14:srgbClr w14:val="000000"/>
                </w14:solidFill>
                <w14:prstDash w14:val="solid"/>
                <w14:miter w14:val="0"/>
              </w14:textOutline>
            </w:rPr>
            <w:fldChar w:fldCharType="end"/>
          </w:r>
        </w:p>
        <w:p w14:paraId="55511B00">
          <w:pPr>
            <w:tabs>
              <w:tab w:val="right" w:leader="dot" w:pos="8317"/>
            </w:tabs>
            <w:spacing w:before="24" w:line="221" w:lineRule="auto"/>
            <w:ind w:left="85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B0.总</w:t>
          </w:r>
          <w:r>
            <w:rPr>
              <w:rFonts w:ascii="宋体" w:hAnsi="宋体" w:eastAsia="宋体" w:cs="宋体"/>
              <w:color w:val="auto"/>
              <w:spacing w:val="8"/>
              <w:sz w:val="21"/>
              <w:szCs w:val="21"/>
              <w:highlight w:val="none"/>
            </w:rPr>
            <w:t xml:space="preserve">  </w:t>
          </w:r>
          <w:r>
            <w:rPr>
              <w:rFonts w:ascii="宋体" w:hAnsi="宋体" w:eastAsia="宋体" w:cs="宋体"/>
              <w:color w:val="auto"/>
              <w:spacing w:val="-3"/>
              <w:sz w:val="21"/>
              <w:szCs w:val="21"/>
              <w:highlight w:val="none"/>
            </w:rPr>
            <w:t>则</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2"/>
              <w:sz w:val="21"/>
              <w:szCs w:val="21"/>
              <w:highlight w:val="none"/>
            </w:rPr>
            <w:t xml:space="preserve"> </w:t>
          </w:r>
          <w:r>
            <w:rPr>
              <w:color w:val="auto"/>
              <w:highlight w:val="none"/>
            </w:rPr>
            <w:fldChar w:fldCharType="begin"/>
          </w:r>
          <w:r>
            <w:rPr>
              <w:color w:val="auto"/>
              <w:highlight w:val="none"/>
            </w:rPr>
            <w:instrText xml:space="preserve"> HYPERLINK \l "bookmark204" </w:instrText>
          </w:r>
          <w:r>
            <w:rPr>
              <w:color w:val="auto"/>
              <w:highlight w:val="none"/>
            </w:rPr>
            <w:fldChar w:fldCharType="separate"/>
          </w:r>
          <w:r>
            <w:rPr>
              <w:rFonts w:ascii="宋体" w:hAnsi="宋体" w:eastAsia="宋体" w:cs="宋体"/>
              <w:color w:val="auto"/>
              <w:spacing w:val="-4"/>
              <w:sz w:val="21"/>
              <w:szCs w:val="21"/>
              <w:highlight w:val="none"/>
            </w:rPr>
            <w:t>78</w:t>
          </w:r>
          <w:r>
            <w:rPr>
              <w:rFonts w:ascii="宋体" w:hAnsi="宋体" w:eastAsia="宋体" w:cs="宋体"/>
              <w:color w:val="auto"/>
              <w:spacing w:val="-4"/>
              <w:sz w:val="21"/>
              <w:szCs w:val="21"/>
              <w:highlight w:val="none"/>
            </w:rPr>
            <w:fldChar w:fldCharType="end"/>
          </w:r>
        </w:p>
        <w:p w14:paraId="235717B2">
          <w:pPr>
            <w:tabs>
              <w:tab w:val="right" w:leader="dot" w:pos="8317"/>
            </w:tabs>
            <w:spacing w:before="21" w:line="221" w:lineRule="auto"/>
            <w:ind w:left="853"/>
            <w:rPr>
              <w:rFonts w:ascii="宋体" w:hAnsi="宋体" w:eastAsia="宋体" w:cs="宋体"/>
              <w:color w:val="auto"/>
              <w:sz w:val="21"/>
              <w:szCs w:val="21"/>
              <w:highlight w:val="none"/>
            </w:rPr>
          </w:pPr>
          <w:r>
            <w:rPr>
              <w:rFonts w:ascii="宋体" w:hAnsi="宋体" w:eastAsia="宋体" w:cs="宋体"/>
              <w:color w:val="auto"/>
              <w:sz w:val="21"/>
              <w:szCs w:val="21"/>
              <w:highlight w:val="none"/>
            </w:rPr>
            <w:t>B1.否决投标的条件</w:t>
          </w:r>
          <w:r>
            <w:rPr>
              <w:rFonts w:ascii="宋体" w:hAnsi="宋体" w:eastAsia="宋体" w:cs="宋体"/>
              <w:color w:val="auto"/>
              <w:spacing w:val="-8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2"/>
              <w:sz w:val="21"/>
              <w:szCs w:val="21"/>
              <w:highlight w:val="none"/>
            </w:rPr>
            <w:t xml:space="preserve"> </w:t>
          </w:r>
          <w:r>
            <w:rPr>
              <w:color w:val="auto"/>
              <w:highlight w:val="none"/>
            </w:rPr>
            <w:fldChar w:fldCharType="begin"/>
          </w:r>
          <w:r>
            <w:rPr>
              <w:color w:val="auto"/>
              <w:highlight w:val="none"/>
            </w:rPr>
            <w:instrText xml:space="preserve"> HYPERLINK \l "bookmark205" </w:instrText>
          </w:r>
          <w:r>
            <w:rPr>
              <w:color w:val="auto"/>
              <w:highlight w:val="none"/>
            </w:rPr>
            <w:fldChar w:fldCharType="separate"/>
          </w:r>
          <w:r>
            <w:rPr>
              <w:rFonts w:ascii="宋体" w:hAnsi="宋体" w:eastAsia="宋体" w:cs="宋体"/>
              <w:color w:val="auto"/>
              <w:spacing w:val="-4"/>
              <w:sz w:val="21"/>
              <w:szCs w:val="21"/>
              <w:highlight w:val="none"/>
            </w:rPr>
            <w:t>78</w:t>
          </w:r>
          <w:r>
            <w:rPr>
              <w:rFonts w:ascii="宋体" w:hAnsi="宋体" w:eastAsia="宋体" w:cs="宋体"/>
              <w:color w:val="auto"/>
              <w:spacing w:val="-4"/>
              <w:sz w:val="21"/>
              <w:szCs w:val="21"/>
              <w:highlight w:val="none"/>
            </w:rPr>
            <w:fldChar w:fldCharType="end"/>
          </w:r>
        </w:p>
        <w:p w14:paraId="427AF4F2">
          <w:pPr>
            <w:tabs>
              <w:tab w:val="right" w:leader="dot" w:pos="8317"/>
            </w:tabs>
            <w:spacing w:before="23" w:line="220" w:lineRule="auto"/>
            <w:ind w:left="87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w:t>
          </w:r>
          <w:r>
            <w:rPr>
              <w:rFonts w:ascii="宋体" w:hAnsi="宋体" w:eastAsia="宋体" w:cs="宋体"/>
              <w:color w:val="auto"/>
              <w:spacing w:val="-45"/>
              <w:sz w:val="21"/>
              <w:szCs w:val="21"/>
              <w:highlight w:val="none"/>
            </w:rPr>
            <w:t xml:space="preserve"> </w:t>
          </w:r>
          <w:r>
            <w:rPr>
              <w:rFonts w:ascii="宋体" w:hAnsi="宋体" w:eastAsia="宋体" w:cs="宋体"/>
              <w:color w:val="auto"/>
              <w:spacing w:val="-2"/>
              <w:sz w:val="21"/>
              <w:szCs w:val="21"/>
              <w:highlight w:val="none"/>
            </w:rPr>
            <w:t>A-1：评标委员会签到表</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"bookmark206" </w:instrText>
          </w:r>
          <w:r>
            <w:rPr>
              <w:color w:val="auto"/>
              <w:highlight w:val="none"/>
            </w:rPr>
            <w:fldChar w:fldCharType="separate"/>
          </w:r>
          <w:r>
            <w:rPr>
              <w:rFonts w:ascii="宋体" w:hAnsi="宋体" w:eastAsia="宋体" w:cs="宋体"/>
              <w:color w:val="auto"/>
              <w:spacing w:val="-2"/>
              <w:sz w:val="21"/>
              <w:szCs w:val="21"/>
              <w:highlight w:val="none"/>
            </w:rPr>
            <w:t>81</w:t>
          </w:r>
          <w:r>
            <w:rPr>
              <w:rFonts w:ascii="宋体" w:hAnsi="宋体" w:eastAsia="宋体" w:cs="宋体"/>
              <w:color w:val="auto"/>
              <w:spacing w:val="-2"/>
              <w:sz w:val="21"/>
              <w:szCs w:val="21"/>
              <w:highlight w:val="none"/>
            </w:rPr>
            <w:fldChar w:fldCharType="end"/>
          </w:r>
        </w:p>
        <w:p w14:paraId="10C89FD2">
          <w:pPr>
            <w:tabs>
              <w:tab w:val="right" w:leader="dot" w:pos="8317"/>
            </w:tabs>
            <w:spacing w:before="18" w:line="219" w:lineRule="auto"/>
            <w:ind w:left="87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附表</w:t>
          </w:r>
          <w:r>
            <w:rPr>
              <w:rFonts w:ascii="宋体" w:hAnsi="宋体" w:eastAsia="宋体" w:cs="宋体"/>
              <w:color w:val="auto"/>
              <w:spacing w:val="-46"/>
              <w:sz w:val="21"/>
              <w:szCs w:val="21"/>
              <w:highlight w:val="none"/>
            </w:rPr>
            <w:t xml:space="preserve"> </w:t>
          </w:r>
          <w:r>
            <w:rPr>
              <w:rFonts w:ascii="宋体" w:hAnsi="宋体" w:eastAsia="宋体" w:cs="宋体"/>
              <w:color w:val="auto"/>
              <w:spacing w:val="-3"/>
              <w:sz w:val="21"/>
              <w:szCs w:val="21"/>
              <w:highlight w:val="none"/>
            </w:rPr>
            <w:t xml:space="preserve">A-2：评标专家告知承诺函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"bookmark207" </w:instrText>
          </w:r>
          <w:r>
            <w:rPr>
              <w:color w:val="auto"/>
              <w:highlight w:val="none"/>
            </w:rPr>
            <w:fldChar w:fldCharType="separate"/>
          </w:r>
          <w:r>
            <w:rPr>
              <w:rFonts w:ascii="宋体" w:hAnsi="宋体" w:eastAsia="宋体" w:cs="宋体"/>
              <w:color w:val="auto"/>
              <w:spacing w:val="-2"/>
              <w:sz w:val="21"/>
              <w:szCs w:val="21"/>
              <w:highlight w:val="none"/>
            </w:rPr>
            <w:t>82</w:t>
          </w:r>
          <w:r>
            <w:rPr>
              <w:rFonts w:ascii="宋体" w:hAnsi="宋体" w:eastAsia="宋体" w:cs="宋体"/>
              <w:color w:val="auto"/>
              <w:spacing w:val="-2"/>
              <w:sz w:val="21"/>
              <w:szCs w:val="21"/>
              <w:highlight w:val="none"/>
            </w:rPr>
            <w:fldChar w:fldCharType="end"/>
          </w:r>
        </w:p>
        <w:p w14:paraId="54CAD5D9">
          <w:pPr>
            <w:tabs>
              <w:tab w:val="right" w:leader="dot" w:pos="8317"/>
            </w:tabs>
            <w:spacing w:before="25" w:line="220" w:lineRule="auto"/>
            <w:ind w:left="87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附表</w:t>
          </w:r>
          <w:r>
            <w:rPr>
              <w:rFonts w:ascii="宋体" w:hAnsi="宋体" w:eastAsia="宋体" w:cs="宋体"/>
              <w:color w:val="auto"/>
              <w:spacing w:val="-46"/>
              <w:sz w:val="21"/>
              <w:szCs w:val="21"/>
              <w:highlight w:val="none"/>
            </w:rPr>
            <w:t xml:space="preserve"> </w:t>
          </w:r>
          <w:r>
            <w:rPr>
              <w:rFonts w:ascii="宋体" w:hAnsi="宋体" w:eastAsia="宋体" w:cs="宋体"/>
              <w:color w:val="auto"/>
              <w:spacing w:val="-3"/>
              <w:sz w:val="21"/>
              <w:szCs w:val="21"/>
              <w:highlight w:val="none"/>
            </w:rPr>
            <w:t xml:space="preserve">A-3：技术暗标编号确认表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"bookmark208" </w:instrText>
          </w:r>
          <w:r>
            <w:rPr>
              <w:color w:val="auto"/>
              <w:highlight w:val="none"/>
            </w:rPr>
            <w:fldChar w:fldCharType="separate"/>
          </w:r>
          <w:r>
            <w:rPr>
              <w:rFonts w:ascii="宋体" w:hAnsi="宋体" w:eastAsia="宋体" w:cs="宋体"/>
              <w:color w:val="auto"/>
              <w:spacing w:val="-2"/>
              <w:sz w:val="21"/>
              <w:szCs w:val="21"/>
              <w:highlight w:val="none"/>
            </w:rPr>
            <w:t>84</w:t>
          </w:r>
          <w:r>
            <w:rPr>
              <w:rFonts w:ascii="宋体" w:hAnsi="宋体" w:eastAsia="宋体" w:cs="宋体"/>
              <w:color w:val="auto"/>
              <w:spacing w:val="-2"/>
              <w:sz w:val="21"/>
              <w:szCs w:val="21"/>
              <w:highlight w:val="none"/>
            </w:rPr>
            <w:fldChar w:fldCharType="end"/>
          </w:r>
        </w:p>
        <w:p w14:paraId="6FD40B87">
          <w:pPr>
            <w:tabs>
              <w:tab w:val="right" w:leader="dot" w:pos="8317"/>
            </w:tabs>
            <w:spacing w:before="23" w:line="220" w:lineRule="auto"/>
            <w:ind w:left="87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w:t>
          </w:r>
          <w:r>
            <w:rPr>
              <w:rFonts w:ascii="宋体" w:hAnsi="宋体" w:eastAsia="宋体" w:cs="宋体"/>
              <w:color w:val="auto"/>
              <w:spacing w:val="-48"/>
              <w:sz w:val="21"/>
              <w:szCs w:val="21"/>
              <w:highlight w:val="none"/>
            </w:rPr>
            <w:t xml:space="preserve"> </w:t>
          </w:r>
          <w:r>
            <w:rPr>
              <w:rFonts w:ascii="宋体" w:hAnsi="宋体" w:eastAsia="宋体" w:cs="宋体"/>
              <w:color w:val="auto"/>
              <w:spacing w:val="-2"/>
              <w:sz w:val="21"/>
              <w:szCs w:val="21"/>
              <w:highlight w:val="none"/>
            </w:rPr>
            <w:t>A-4：形式评审记录表</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"bookmark209" </w:instrText>
          </w:r>
          <w:r>
            <w:rPr>
              <w:color w:val="auto"/>
              <w:highlight w:val="none"/>
            </w:rPr>
            <w:fldChar w:fldCharType="separate"/>
          </w:r>
          <w:r>
            <w:rPr>
              <w:rFonts w:ascii="宋体" w:hAnsi="宋体" w:eastAsia="宋体" w:cs="宋体"/>
              <w:color w:val="auto"/>
              <w:spacing w:val="-2"/>
              <w:sz w:val="21"/>
              <w:szCs w:val="21"/>
              <w:highlight w:val="none"/>
            </w:rPr>
            <w:t>85</w:t>
          </w:r>
          <w:r>
            <w:rPr>
              <w:rFonts w:ascii="宋体" w:hAnsi="宋体" w:eastAsia="宋体" w:cs="宋体"/>
              <w:color w:val="auto"/>
              <w:spacing w:val="-2"/>
              <w:sz w:val="21"/>
              <w:szCs w:val="21"/>
              <w:highlight w:val="none"/>
            </w:rPr>
            <w:fldChar w:fldCharType="end"/>
          </w:r>
        </w:p>
        <w:p w14:paraId="43B4DD24">
          <w:pPr>
            <w:tabs>
              <w:tab w:val="right" w:leader="dot" w:pos="8317"/>
            </w:tabs>
            <w:spacing w:before="24" w:line="220" w:lineRule="auto"/>
            <w:ind w:left="87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w:t>
          </w:r>
          <w:r>
            <w:rPr>
              <w:rFonts w:ascii="宋体" w:hAnsi="宋体" w:eastAsia="宋体" w:cs="宋体"/>
              <w:color w:val="auto"/>
              <w:spacing w:val="-48"/>
              <w:sz w:val="21"/>
              <w:szCs w:val="21"/>
              <w:highlight w:val="none"/>
            </w:rPr>
            <w:t xml:space="preserve"> </w:t>
          </w:r>
          <w:r>
            <w:rPr>
              <w:rFonts w:ascii="宋体" w:hAnsi="宋体" w:eastAsia="宋体" w:cs="宋体"/>
              <w:color w:val="auto"/>
              <w:spacing w:val="-2"/>
              <w:sz w:val="21"/>
              <w:szCs w:val="21"/>
              <w:highlight w:val="none"/>
            </w:rPr>
            <w:t>A-5：资格评审记录表</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"bookmark210" </w:instrText>
          </w:r>
          <w:r>
            <w:rPr>
              <w:color w:val="auto"/>
              <w:highlight w:val="none"/>
            </w:rPr>
            <w:fldChar w:fldCharType="separate"/>
          </w:r>
          <w:r>
            <w:rPr>
              <w:rFonts w:ascii="宋体" w:hAnsi="宋体" w:eastAsia="宋体" w:cs="宋体"/>
              <w:color w:val="auto"/>
              <w:spacing w:val="-2"/>
              <w:sz w:val="21"/>
              <w:szCs w:val="21"/>
              <w:highlight w:val="none"/>
            </w:rPr>
            <w:t>86</w:t>
          </w:r>
          <w:r>
            <w:rPr>
              <w:rFonts w:ascii="宋体" w:hAnsi="宋体" w:eastAsia="宋体" w:cs="宋体"/>
              <w:color w:val="auto"/>
              <w:spacing w:val="-2"/>
              <w:sz w:val="21"/>
              <w:szCs w:val="21"/>
              <w:highlight w:val="none"/>
            </w:rPr>
            <w:fldChar w:fldCharType="end"/>
          </w:r>
        </w:p>
        <w:p w14:paraId="447F71AA">
          <w:pPr>
            <w:tabs>
              <w:tab w:val="right" w:leader="dot" w:pos="8317"/>
            </w:tabs>
            <w:spacing w:before="18" w:line="220" w:lineRule="auto"/>
            <w:ind w:left="87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w:t>
          </w:r>
          <w:r>
            <w:rPr>
              <w:rFonts w:ascii="宋体" w:hAnsi="宋体" w:eastAsia="宋体" w:cs="宋体"/>
              <w:color w:val="auto"/>
              <w:spacing w:val="-45"/>
              <w:sz w:val="21"/>
              <w:szCs w:val="21"/>
              <w:highlight w:val="none"/>
            </w:rPr>
            <w:t xml:space="preserve"> </w:t>
          </w:r>
          <w:r>
            <w:rPr>
              <w:rFonts w:ascii="宋体" w:hAnsi="宋体" w:eastAsia="宋体" w:cs="宋体"/>
              <w:color w:val="auto"/>
              <w:spacing w:val="-2"/>
              <w:sz w:val="21"/>
              <w:szCs w:val="21"/>
              <w:highlight w:val="none"/>
            </w:rPr>
            <w:t>A-6：响应性评审记录表</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"bookmark211" </w:instrText>
          </w:r>
          <w:r>
            <w:rPr>
              <w:color w:val="auto"/>
              <w:highlight w:val="none"/>
            </w:rPr>
            <w:fldChar w:fldCharType="separate"/>
          </w:r>
          <w:r>
            <w:rPr>
              <w:rFonts w:ascii="宋体" w:hAnsi="宋体" w:eastAsia="宋体" w:cs="宋体"/>
              <w:color w:val="auto"/>
              <w:spacing w:val="-2"/>
              <w:sz w:val="21"/>
              <w:szCs w:val="21"/>
              <w:highlight w:val="none"/>
            </w:rPr>
            <w:t>87</w:t>
          </w:r>
          <w:r>
            <w:rPr>
              <w:rFonts w:ascii="宋体" w:hAnsi="宋体" w:eastAsia="宋体" w:cs="宋体"/>
              <w:color w:val="auto"/>
              <w:spacing w:val="-2"/>
              <w:sz w:val="21"/>
              <w:szCs w:val="21"/>
              <w:highlight w:val="none"/>
            </w:rPr>
            <w:fldChar w:fldCharType="end"/>
          </w:r>
        </w:p>
        <w:p w14:paraId="691E1F09">
          <w:pPr>
            <w:tabs>
              <w:tab w:val="right" w:leader="dot" w:pos="8317"/>
            </w:tabs>
            <w:spacing w:before="24" w:line="220" w:lineRule="auto"/>
            <w:ind w:left="87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w:t>
          </w:r>
          <w:r>
            <w:rPr>
              <w:rFonts w:ascii="宋体" w:hAnsi="宋体" w:eastAsia="宋体" w:cs="宋体"/>
              <w:color w:val="auto"/>
              <w:spacing w:val="-49"/>
              <w:sz w:val="21"/>
              <w:szCs w:val="21"/>
              <w:highlight w:val="none"/>
            </w:rPr>
            <w:t xml:space="preserve"> </w:t>
          </w:r>
          <w:r>
            <w:rPr>
              <w:rFonts w:ascii="宋体" w:hAnsi="宋体" w:eastAsia="宋体" w:cs="宋体"/>
              <w:color w:val="auto"/>
              <w:spacing w:val="-2"/>
              <w:sz w:val="21"/>
              <w:szCs w:val="21"/>
              <w:highlight w:val="none"/>
            </w:rPr>
            <w:t xml:space="preserve">A-7：技术标评审记录表（合格性）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"bookmark212" </w:instrText>
          </w:r>
          <w:r>
            <w:rPr>
              <w:color w:val="auto"/>
              <w:highlight w:val="none"/>
            </w:rPr>
            <w:fldChar w:fldCharType="separate"/>
          </w:r>
          <w:r>
            <w:rPr>
              <w:rFonts w:ascii="宋体" w:hAnsi="宋体" w:eastAsia="宋体" w:cs="宋体"/>
              <w:color w:val="auto"/>
              <w:spacing w:val="-2"/>
              <w:sz w:val="21"/>
              <w:szCs w:val="21"/>
              <w:highlight w:val="none"/>
            </w:rPr>
            <w:t>88</w:t>
          </w:r>
          <w:r>
            <w:rPr>
              <w:rFonts w:ascii="宋体" w:hAnsi="宋体" w:eastAsia="宋体" w:cs="宋体"/>
              <w:color w:val="auto"/>
              <w:spacing w:val="-2"/>
              <w:sz w:val="21"/>
              <w:szCs w:val="21"/>
              <w:highlight w:val="none"/>
            </w:rPr>
            <w:fldChar w:fldCharType="end"/>
          </w:r>
        </w:p>
        <w:p w14:paraId="655FC836">
          <w:pPr>
            <w:tabs>
              <w:tab w:val="right" w:leader="dot" w:pos="8317"/>
            </w:tabs>
            <w:spacing w:before="23" w:line="220" w:lineRule="auto"/>
            <w:ind w:left="87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附表</w:t>
          </w:r>
          <w:r>
            <w:rPr>
              <w:rFonts w:ascii="宋体" w:hAnsi="宋体" w:eastAsia="宋体" w:cs="宋体"/>
              <w:color w:val="auto"/>
              <w:spacing w:val="-46"/>
              <w:sz w:val="21"/>
              <w:szCs w:val="21"/>
              <w:highlight w:val="none"/>
            </w:rPr>
            <w:t xml:space="preserve"> </w:t>
          </w:r>
          <w:r>
            <w:rPr>
              <w:rFonts w:ascii="宋体" w:hAnsi="宋体" w:eastAsia="宋体" w:cs="宋体"/>
              <w:color w:val="auto"/>
              <w:spacing w:val="-3"/>
              <w:sz w:val="21"/>
              <w:szCs w:val="21"/>
              <w:highlight w:val="none"/>
            </w:rPr>
            <w:t xml:space="preserve">A-8：初步评审汇总记录表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"bookmark213" </w:instrText>
          </w:r>
          <w:r>
            <w:rPr>
              <w:color w:val="auto"/>
              <w:highlight w:val="none"/>
            </w:rPr>
            <w:fldChar w:fldCharType="separate"/>
          </w:r>
          <w:r>
            <w:rPr>
              <w:rFonts w:ascii="宋体" w:hAnsi="宋体" w:eastAsia="宋体" w:cs="宋体"/>
              <w:color w:val="auto"/>
              <w:spacing w:val="-2"/>
              <w:sz w:val="21"/>
              <w:szCs w:val="21"/>
              <w:highlight w:val="none"/>
            </w:rPr>
            <w:t>89</w:t>
          </w:r>
          <w:r>
            <w:rPr>
              <w:rFonts w:ascii="宋体" w:hAnsi="宋体" w:eastAsia="宋体" w:cs="宋体"/>
              <w:color w:val="auto"/>
              <w:spacing w:val="-2"/>
              <w:sz w:val="21"/>
              <w:szCs w:val="21"/>
              <w:highlight w:val="none"/>
            </w:rPr>
            <w:fldChar w:fldCharType="end"/>
          </w:r>
        </w:p>
        <w:p w14:paraId="5B1B0828">
          <w:pPr>
            <w:tabs>
              <w:tab w:val="right" w:leader="dot" w:pos="8317"/>
            </w:tabs>
            <w:spacing w:before="23" w:line="220" w:lineRule="auto"/>
            <w:ind w:left="87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附表</w:t>
          </w:r>
          <w:r>
            <w:rPr>
              <w:rFonts w:ascii="宋体" w:hAnsi="宋体" w:eastAsia="宋体" w:cs="宋体"/>
              <w:color w:val="auto"/>
              <w:spacing w:val="-46"/>
              <w:sz w:val="21"/>
              <w:szCs w:val="21"/>
              <w:highlight w:val="none"/>
            </w:rPr>
            <w:t xml:space="preserve"> </w:t>
          </w:r>
          <w:r>
            <w:rPr>
              <w:rFonts w:ascii="宋体" w:hAnsi="宋体" w:eastAsia="宋体" w:cs="宋体"/>
              <w:color w:val="auto"/>
              <w:spacing w:val="-3"/>
              <w:sz w:val="21"/>
              <w:szCs w:val="21"/>
              <w:highlight w:val="none"/>
            </w:rPr>
            <w:t xml:space="preserve">A-9：否决投标的情况说明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"bookmark214" </w:instrText>
          </w:r>
          <w:r>
            <w:rPr>
              <w:color w:val="auto"/>
              <w:highlight w:val="none"/>
            </w:rPr>
            <w:fldChar w:fldCharType="separate"/>
          </w:r>
          <w:r>
            <w:rPr>
              <w:rFonts w:ascii="宋体" w:hAnsi="宋体" w:eastAsia="宋体" w:cs="宋体"/>
              <w:color w:val="auto"/>
              <w:spacing w:val="-2"/>
              <w:sz w:val="21"/>
              <w:szCs w:val="21"/>
              <w:highlight w:val="none"/>
            </w:rPr>
            <w:t>90</w:t>
          </w:r>
          <w:r>
            <w:rPr>
              <w:rFonts w:ascii="宋体" w:hAnsi="宋体" w:eastAsia="宋体" w:cs="宋体"/>
              <w:color w:val="auto"/>
              <w:spacing w:val="-2"/>
              <w:sz w:val="21"/>
              <w:szCs w:val="21"/>
              <w:highlight w:val="none"/>
            </w:rPr>
            <w:fldChar w:fldCharType="end"/>
          </w:r>
        </w:p>
        <w:p w14:paraId="5E0BC6EC">
          <w:pPr>
            <w:tabs>
              <w:tab w:val="right" w:leader="dot" w:pos="8317"/>
            </w:tabs>
            <w:spacing w:before="19" w:line="220" w:lineRule="auto"/>
            <w:ind w:left="87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w:t>
          </w:r>
          <w:r>
            <w:rPr>
              <w:rFonts w:ascii="宋体" w:hAnsi="宋体" w:eastAsia="宋体" w:cs="宋体"/>
              <w:color w:val="auto"/>
              <w:spacing w:val="-42"/>
              <w:sz w:val="21"/>
              <w:szCs w:val="21"/>
              <w:highlight w:val="none"/>
            </w:rPr>
            <w:t xml:space="preserve"> </w:t>
          </w:r>
          <w:r>
            <w:rPr>
              <w:rFonts w:ascii="宋体" w:hAnsi="宋体" w:eastAsia="宋体" w:cs="宋体"/>
              <w:color w:val="auto"/>
              <w:spacing w:val="-2"/>
              <w:sz w:val="21"/>
              <w:szCs w:val="21"/>
              <w:highlight w:val="none"/>
            </w:rPr>
            <w:t>A-10：经济标评分记录表</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"bookmark215" </w:instrText>
          </w:r>
          <w:r>
            <w:rPr>
              <w:color w:val="auto"/>
              <w:highlight w:val="none"/>
            </w:rPr>
            <w:fldChar w:fldCharType="separate"/>
          </w:r>
          <w:r>
            <w:rPr>
              <w:rFonts w:ascii="宋体" w:hAnsi="宋体" w:eastAsia="宋体" w:cs="宋体"/>
              <w:color w:val="auto"/>
              <w:spacing w:val="-2"/>
              <w:sz w:val="21"/>
              <w:szCs w:val="21"/>
              <w:highlight w:val="none"/>
            </w:rPr>
            <w:t>91</w:t>
          </w:r>
          <w:r>
            <w:rPr>
              <w:rFonts w:ascii="宋体" w:hAnsi="宋体" w:eastAsia="宋体" w:cs="宋体"/>
              <w:color w:val="auto"/>
              <w:spacing w:val="-2"/>
              <w:sz w:val="21"/>
              <w:szCs w:val="21"/>
              <w:highlight w:val="none"/>
            </w:rPr>
            <w:fldChar w:fldCharType="end"/>
          </w:r>
        </w:p>
        <w:p w14:paraId="1D87C2A3">
          <w:pPr>
            <w:tabs>
              <w:tab w:val="right" w:leader="dot" w:pos="8317"/>
            </w:tabs>
            <w:spacing w:before="24" w:line="220" w:lineRule="auto"/>
            <w:ind w:left="875"/>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附表</w:t>
          </w:r>
          <w:r>
            <w:rPr>
              <w:rFonts w:ascii="宋体" w:hAnsi="宋体" w:eastAsia="宋体" w:cs="宋体"/>
              <w:color w:val="auto"/>
              <w:spacing w:val="-48"/>
              <w:sz w:val="21"/>
              <w:szCs w:val="21"/>
              <w:highlight w:val="none"/>
            </w:rPr>
            <w:t xml:space="preserve"> </w:t>
          </w:r>
          <w:r>
            <w:rPr>
              <w:rFonts w:ascii="宋体" w:hAnsi="宋体" w:eastAsia="宋体" w:cs="宋体"/>
              <w:color w:val="auto"/>
              <w:spacing w:val="-7"/>
              <w:sz w:val="21"/>
              <w:szCs w:val="21"/>
              <w:highlight w:val="none"/>
            </w:rPr>
            <w:t xml:space="preserve">A-11：技术标评审记录表（评分）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"bookmark216" </w:instrText>
          </w:r>
          <w:r>
            <w:rPr>
              <w:color w:val="auto"/>
              <w:highlight w:val="none"/>
            </w:rPr>
            <w:fldChar w:fldCharType="separate"/>
          </w:r>
          <w:r>
            <w:rPr>
              <w:rFonts w:ascii="宋体" w:hAnsi="宋体" w:eastAsia="宋体" w:cs="宋体"/>
              <w:color w:val="auto"/>
              <w:spacing w:val="-2"/>
              <w:sz w:val="21"/>
              <w:szCs w:val="21"/>
              <w:highlight w:val="none"/>
            </w:rPr>
            <w:t>92</w:t>
          </w:r>
          <w:r>
            <w:rPr>
              <w:rFonts w:ascii="宋体" w:hAnsi="宋体" w:eastAsia="宋体" w:cs="宋体"/>
              <w:color w:val="auto"/>
              <w:spacing w:val="-2"/>
              <w:sz w:val="21"/>
              <w:szCs w:val="21"/>
              <w:highlight w:val="none"/>
            </w:rPr>
            <w:fldChar w:fldCharType="end"/>
          </w:r>
        </w:p>
        <w:p w14:paraId="659B9358">
          <w:pPr>
            <w:tabs>
              <w:tab w:val="right" w:leader="dot" w:pos="8317"/>
            </w:tabs>
            <w:spacing w:before="23" w:line="220" w:lineRule="auto"/>
            <w:ind w:left="875"/>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附表</w:t>
          </w:r>
          <w:r>
            <w:rPr>
              <w:rFonts w:ascii="宋体" w:hAnsi="宋体" w:eastAsia="宋体" w:cs="宋体"/>
              <w:color w:val="auto"/>
              <w:spacing w:val="-48"/>
              <w:sz w:val="21"/>
              <w:szCs w:val="21"/>
              <w:highlight w:val="none"/>
            </w:rPr>
            <w:t xml:space="preserve"> </w:t>
          </w:r>
          <w:r>
            <w:rPr>
              <w:rFonts w:ascii="宋体" w:hAnsi="宋体" w:eastAsia="宋体" w:cs="宋体"/>
              <w:color w:val="auto"/>
              <w:spacing w:val="-7"/>
              <w:sz w:val="21"/>
              <w:szCs w:val="21"/>
              <w:highlight w:val="none"/>
            </w:rPr>
            <w:t xml:space="preserve">A-12：技术标评审记录表（个人）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"bookmark217" </w:instrText>
          </w:r>
          <w:r>
            <w:rPr>
              <w:color w:val="auto"/>
              <w:highlight w:val="none"/>
            </w:rPr>
            <w:fldChar w:fldCharType="separate"/>
          </w:r>
          <w:r>
            <w:rPr>
              <w:rFonts w:ascii="宋体" w:hAnsi="宋体" w:eastAsia="宋体" w:cs="宋体"/>
              <w:color w:val="auto"/>
              <w:spacing w:val="-2"/>
              <w:sz w:val="21"/>
              <w:szCs w:val="21"/>
              <w:highlight w:val="none"/>
            </w:rPr>
            <w:t>93</w:t>
          </w:r>
          <w:r>
            <w:rPr>
              <w:rFonts w:ascii="宋体" w:hAnsi="宋体" w:eastAsia="宋体" w:cs="宋体"/>
              <w:color w:val="auto"/>
              <w:spacing w:val="-2"/>
              <w:sz w:val="21"/>
              <w:szCs w:val="21"/>
              <w:highlight w:val="none"/>
            </w:rPr>
            <w:fldChar w:fldCharType="end"/>
          </w:r>
        </w:p>
        <w:p w14:paraId="1A0E70A4">
          <w:pPr>
            <w:tabs>
              <w:tab w:val="right" w:leader="dot" w:pos="8317"/>
            </w:tabs>
            <w:spacing w:before="23" w:line="220" w:lineRule="auto"/>
            <w:ind w:left="87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w:t>
          </w:r>
          <w:r>
            <w:rPr>
              <w:rFonts w:ascii="宋体" w:hAnsi="宋体" w:eastAsia="宋体" w:cs="宋体"/>
              <w:color w:val="auto"/>
              <w:spacing w:val="-42"/>
              <w:sz w:val="21"/>
              <w:szCs w:val="21"/>
              <w:highlight w:val="none"/>
            </w:rPr>
            <w:t xml:space="preserve"> </w:t>
          </w:r>
          <w:r>
            <w:rPr>
              <w:rFonts w:ascii="宋体" w:hAnsi="宋体" w:eastAsia="宋体" w:cs="宋体"/>
              <w:color w:val="auto"/>
              <w:spacing w:val="-2"/>
              <w:sz w:val="21"/>
              <w:szCs w:val="21"/>
              <w:highlight w:val="none"/>
            </w:rPr>
            <w:t>A-13：资信标评审记录表</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"bookmark218" </w:instrText>
          </w:r>
          <w:r>
            <w:rPr>
              <w:color w:val="auto"/>
              <w:highlight w:val="none"/>
            </w:rPr>
            <w:fldChar w:fldCharType="separate"/>
          </w:r>
          <w:r>
            <w:rPr>
              <w:rFonts w:ascii="宋体" w:hAnsi="宋体" w:eastAsia="宋体" w:cs="宋体"/>
              <w:color w:val="auto"/>
              <w:spacing w:val="-2"/>
              <w:sz w:val="21"/>
              <w:szCs w:val="21"/>
              <w:highlight w:val="none"/>
            </w:rPr>
            <w:t>94</w:t>
          </w:r>
          <w:r>
            <w:rPr>
              <w:rFonts w:ascii="宋体" w:hAnsi="宋体" w:eastAsia="宋体" w:cs="宋体"/>
              <w:color w:val="auto"/>
              <w:spacing w:val="-2"/>
              <w:sz w:val="21"/>
              <w:szCs w:val="21"/>
              <w:highlight w:val="none"/>
            </w:rPr>
            <w:fldChar w:fldCharType="end"/>
          </w:r>
        </w:p>
        <w:p w14:paraId="55525ADF">
          <w:pPr>
            <w:tabs>
              <w:tab w:val="right" w:leader="dot" w:pos="8317"/>
            </w:tabs>
            <w:spacing w:before="19" w:line="220" w:lineRule="auto"/>
            <w:ind w:left="87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附表</w:t>
          </w:r>
          <w:r>
            <w:rPr>
              <w:rFonts w:ascii="宋体" w:hAnsi="宋体" w:eastAsia="宋体" w:cs="宋体"/>
              <w:color w:val="auto"/>
              <w:spacing w:val="-43"/>
              <w:sz w:val="21"/>
              <w:szCs w:val="21"/>
              <w:highlight w:val="none"/>
            </w:rPr>
            <w:t xml:space="preserve"> </w:t>
          </w:r>
          <w:r>
            <w:rPr>
              <w:rFonts w:ascii="宋体" w:hAnsi="宋体" w:eastAsia="宋体" w:cs="宋体"/>
              <w:color w:val="auto"/>
              <w:spacing w:val="-3"/>
              <w:sz w:val="21"/>
              <w:szCs w:val="21"/>
              <w:highlight w:val="none"/>
            </w:rPr>
            <w:t xml:space="preserve">A-14：其他因素评审记录表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"bookmark219" </w:instrText>
          </w:r>
          <w:r>
            <w:rPr>
              <w:color w:val="auto"/>
              <w:highlight w:val="none"/>
            </w:rPr>
            <w:fldChar w:fldCharType="separate"/>
          </w:r>
          <w:r>
            <w:rPr>
              <w:rFonts w:ascii="宋体" w:hAnsi="宋体" w:eastAsia="宋体" w:cs="宋体"/>
              <w:color w:val="auto"/>
              <w:spacing w:val="-2"/>
              <w:sz w:val="21"/>
              <w:szCs w:val="21"/>
              <w:highlight w:val="none"/>
            </w:rPr>
            <w:t>95</w:t>
          </w:r>
          <w:r>
            <w:rPr>
              <w:rFonts w:ascii="宋体" w:hAnsi="宋体" w:eastAsia="宋体" w:cs="宋体"/>
              <w:color w:val="auto"/>
              <w:spacing w:val="-2"/>
              <w:sz w:val="21"/>
              <w:szCs w:val="21"/>
              <w:highlight w:val="none"/>
            </w:rPr>
            <w:fldChar w:fldCharType="end"/>
          </w:r>
        </w:p>
        <w:p w14:paraId="4CFAF7FA">
          <w:pPr>
            <w:tabs>
              <w:tab w:val="right" w:leader="dot" w:pos="8317"/>
            </w:tabs>
            <w:spacing w:before="23" w:line="220" w:lineRule="auto"/>
            <w:ind w:left="87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附表</w:t>
          </w:r>
          <w:r>
            <w:rPr>
              <w:rFonts w:ascii="宋体" w:hAnsi="宋体" w:eastAsia="宋体" w:cs="宋体"/>
              <w:color w:val="auto"/>
              <w:spacing w:val="-43"/>
              <w:sz w:val="21"/>
              <w:szCs w:val="21"/>
              <w:highlight w:val="none"/>
            </w:rPr>
            <w:t xml:space="preserve"> </w:t>
          </w:r>
          <w:r>
            <w:rPr>
              <w:rFonts w:ascii="宋体" w:hAnsi="宋体" w:eastAsia="宋体" w:cs="宋体"/>
              <w:color w:val="auto"/>
              <w:spacing w:val="-3"/>
              <w:sz w:val="21"/>
              <w:szCs w:val="21"/>
              <w:highlight w:val="none"/>
            </w:rPr>
            <w:t xml:space="preserve">A-15：详细评审评分汇总表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"bookmark220" </w:instrText>
          </w:r>
          <w:r>
            <w:rPr>
              <w:color w:val="auto"/>
              <w:highlight w:val="none"/>
            </w:rPr>
            <w:fldChar w:fldCharType="separate"/>
          </w:r>
          <w:r>
            <w:rPr>
              <w:rFonts w:ascii="宋体" w:hAnsi="宋体" w:eastAsia="宋体" w:cs="宋体"/>
              <w:color w:val="auto"/>
              <w:spacing w:val="-2"/>
              <w:sz w:val="21"/>
              <w:szCs w:val="21"/>
              <w:highlight w:val="none"/>
            </w:rPr>
            <w:t>96</w:t>
          </w:r>
          <w:r>
            <w:rPr>
              <w:rFonts w:ascii="宋体" w:hAnsi="宋体" w:eastAsia="宋体" w:cs="宋体"/>
              <w:color w:val="auto"/>
              <w:spacing w:val="-2"/>
              <w:sz w:val="21"/>
              <w:szCs w:val="21"/>
              <w:highlight w:val="none"/>
            </w:rPr>
            <w:fldChar w:fldCharType="end"/>
          </w:r>
        </w:p>
        <w:p w14:paraId="5EC759BA">
          <w:pPr>
            <w:tabs>
              <w:tab w:val="right" w:leader="dot" w:pos="8317"/>
            </w:tabs>
            <w:spacing w:before="24" w:line="220" w:lineRule="auto"/>
            <w:ind w:left="87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w:t>
          </w:r>
          <w:r>
            <w:rPr>
              <w:rFonts w:ascii="宋体" w:hAnsi="宋体" w:eastAsia="宋体" w:cs="宋体"/>
              <w:color w:val="auto"/>
              <w:spacing w:val="-45"/>
              <w:sz w:val="21"/>
              <w:szCs w:val="21"/>
              <w:highlight w:val="none"/>
            </w:rPr>
            <w:t xml:space="preserve"> </w:t>
          </w:r>
          <w:r>
            <w:rPr>
              <w:rFonts w:ascii="宋体" w:hAnsi="宋体" w:eastAsia="宋体" w:cs="宋体"/>
              <w:color w:val="auto"/>
              <w:spacing w:val="-2"/>
              <w:sz w:val="21"/>
              <w:szCs w:val="21"/>
              <w:highlight w:val="none"/>
            </w:rPr>
            <w:t>A-16：评标结果汇总表</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"bookmark221" </w:instrText>
          </w:r>
          <w:r>
            <w:rPr>
              <w:color w:val="auto"/>
              <w:highlight w:val="none"/>
            </w:rPr>
            <w:fldChar w:fldCharType="separate"/>
          </w:r>
          <w:r>
            <w:rPr>
              <w:rFonts w:ascii="宋体" w:hAnsi="宋体" w:eastAsia="宋体" w:cs="宋体"/>
              <w:color w:val="auto"/>
              <w:spacing w:val="-2"/>
              <w:sz w:val="21"/>
              <w:szCs w:val="21"/>
              <w:highlight w:val="none"/>
            </w:rPr>
            <w:t>97</w:t>
          </w:r>
          <w:r>
            <w:rPr>
              <w:rFonts w:ascii="宋体" w:hAnsi="宋体" w:eastAsia="宋体" w:cs="宋体"/>
              <w:color w:val="auto"/>
              <w:spacing w:val="-2"/>
              <w:sz w:val="21"/>
              <w:szCs w:val="21"/>
              <w:highlight w:val="none"/>
            </w:rPr>
            <w:fldChar w:fldCharType="end"/>
          </w:r>
        </w:p>
        <w:p w14:paraId="2A36878E">
          <w:pPr>
            <w:tabs>
              <w:tab w:val="right" w:leader="dot" w:pos="8317"/>
            </w:tabs>
            <w:spacing w:before="19" w:line="220" w:lineRule="auto"/>
            <w:ind w:left="87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附表</w:t>
          </w:r>
          <w:r>
            <w:rPr>
              <w:rFonts w:ascii="宋体" w:hAnsi="宋体" w:eastAsia="宋体" w:cs="宋体"/>
              <w:color w:val="auto"/>
              <w:spacing w:val="-38"/>
              <w:sz w:val="21"/>
              <w:szCs w:val="21"/>
              <w:highlight w:val="none"/>
            </w:rPr>
            <w:t xml:space="preserve"> </w:t>
          </w:r>
          <w:r>
            <w:rPr>
              <w:rFonts w:ascii="宋体" w:hAnsi="宋体" w:eastAsia="宋体" w:cs="宋体"/>
              <w:color w:val="auto"/>
              <w:spacing w:val="-3"/>
              <w:sz w:val="21"/>
              <w:szCs w:val="21"/>
              <w:highlight w:val="none"/>
            </w:rPr>
            <w:t xml:space="preserve">A-17：推荐中标候选人一览表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"bookmark222" </w:instrText>
          </w:r>
          <w:r>
            <w:rPr>
              <w:color w:val="auto"/>
              <w:highlight w:val="none"/>
            </w:rPr>
            <w:fldChar w:fldCharType="separate"/>
          </w:r>
          <w:r>
            <w:rPr>
              <w:rFonts w:ascii="宋体" w:hAnsi="宋体" w:eastAsia="宋体" w:cs="宋体"/>
              <w:color w:val="auto"/>
              <w:spacing w:val="-2"/>
              <w:sz w:val="21"/>
              <w:szCs w:val="21"/>
              <w:highlight w:val="none"/>
            </w:rPr>
            <w:t>98</w:t>
          </w:r>
          <w:r>
            <w:rPr>
              <w:rFonts w:ascii="宋体" w:hAnsi="宋体" w:eastAsia="宋体" w:cs="宋体"/>
              <w:color w:val="auto"/>
              <w:spacing w:val="-2"/>
              <w:sz w:val="21"/>
              <w:szCs w:val="21"/>
              <w:highlight w:val="none"/>
            </w:rPr>
            <w:fldChar w:fldCharType="end"/>
          </w:r>
        </w:p>
        <w:p w14:paraId="79C2B8A2">
          <w:pPr>
            <w:tabs>
              <w:tab w:val="right" w:leader="dot" w:pos="8317"/>
            </w:tabs>
            <w:spacing w:before="23" w:line="220" w:lineRule="auto"/>
            <w:ind w:left="87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附表</w:t>
          </w:r>
          <w:r>
            <w:rPr>
              <w:rFonts w:ascii="宋体" w:hAnsi="宋体" w:eastAsia="宋体" w:cs="宋体"/>
              <w:color w:val="auto"/>
              <w:spacing w:val="-46"/>
              <w:sz w:val="21"/>
              <w:szCs w:val="21"/>
              <w:highlight w:val="none"/>
            </w:rPr>
            <w:t xml:space="preserve"> </w:t>
          </w:r>
          <w:r>
            <w:rPr>
              <w:rFonts w:ascii="宋体" w:hAnsi="宋体" w:eastAsia="宋体" w:cs="宋体"/>
              <w:color w:val="auto"/>
              <w:spacing w:val="-3"/>
              <w:sz w:val="21"/>
              <w:szCs w:val="21"/>
              <w:highlight w:val="none"/>
            </w:rPr>
            <w:t xml:space="preserve">C-1：成本评审结论记录表 </w:t>
          </w:r>
          <w:r>
            <w:rPr>
              <w:rFonts w:ascii="宋体" w:hAnsi="宋体" w:eastAsia="宋体" w:cs="宋体"/>
              <w:color w:val="auto"/>
              <w:sz w:val="21"/>
              <w:szCs w:val="21"/>
              <w:highlight w:val="none"/>
            </w:rPr>
            <w:tab/>
          </w:r>
          <w:r>
            <w:rPr>
              <w:rFonts w:ascii="宋体" w:hAnsi="宋体" w:eastAsia="宋体" w:cs="宋体"/>
              <w:color w:val="auto"/>
              <w:spacing w:val="-28"/>
              <w:sz w:val="21"/>
              <w:szCs w:val="21"/>
              <w:highlight w:val="none"/>
            </w:rPr>
            <w:t xml:space="preserve"> </w:t>
          </w:r>
          <w:r>
            <w:rPr>
              <w:color w:val="auto"/>
              <w:highlight w:val="none"/>
            </w:rPr>
            <w:fldChar w:fldCharType="begin"/>
          </w:r>
          <w:r>
            <w:rPr>
              <w:color w:val="auto"/>
              <w:highlight w:val="none"/>
            </w:rPr>
            <w:instrText xml:space="preserve"> HYPERLINK \l "bookmark223" </w:instrText>
          </w:r>
          <w:r>
            <w:rPr>
              <w:color w:val="auto"/>
              <w:highlight w:val="none"/>
            </w:rPr>
            <w:fldChar w:fldCharType="separate"/>
          </w:r>
          <w:r>
            <w:rPr>
              <w:rFonts w:ascii="宋体" w:hAnsi="宋体" w:eastAsia="宋体" w:cs="宋体"/>
              <w:color w:val="auto"/>
              <w:spacing w:val="-2"/>
              <w:sz w:val="21"/>
              <w:szCs w:val="21"/>
              <w:highlight w:val="none"/>
            </w:rPr>
            <w:t>99</w:t>
          </w:r>
          <w:r>
            <w:rPr>
              <w:rFonts w:ascii="宋体" w:hAnsi="宋体" w:eastAsia="宋体" w:cs="宋体"/>
              <w:color w:val="auto"/>
              <w:spacing w:val="-2"/>
              <w:sz w:val="21"/>
              <w:szCs w:val="21"/>
              <w:highlight w:val="none"/>
            </w:rPr>
            <w:fldChar w:fldCharType="end"/>
          </w:r>
        </w:p>
        <w:p w14:paraId="79FFA4A2">
          <w:pPr>
            <w:tabs>
              <w:tab w:val="right" w:leader="dot" w:pos="8307"/>
            </w:tabs>
            <w:spacing w:before="23"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第四章</w:t>
          </w:r>
          <w:r>
            <w:rPr>
              <w:rFonts w:ascii="宋体" w:hAnsi="宋体" w:eastAsia="宋体" w:cs="宋体"/>
              <w:color w:val="auto"/>
              <w:spacing w:val="-1"/>
              <w:sz w:val="21"/>
              <w:szCs w:val="21"/>
              <w:highlight w:val="none"/>
            </w:rPr>
            <w:t xml:space="preserve">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合同条款及格式</w:t>
          </w:r>
          <w:r>
            <w:rPr>
              <w:rFonts w:ascii="宋体" w:hAnsi="宋体" w:eastAsia="宋体" w:cs="宋体"/>
              <w:color w:val="auto"/>
              <w:spacing w:val="-1"/>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18"/>
              <w:sz w:val="21"/>
              <w:szCs w:val="21"/>
              <w:highlight w:val="none"/>
            </w:rPr>
            <w:t xml:space="preserve"> </w:t>
          </w:r>
          <w:r>
            <w:rPr>
              <w:color w:val="auto"/>
              <w:highlight w:val="none"/>
            </w:rPr>
            <w:fldChar w:fldCharType="begin"/>
          </w:r>
          <w:r>
            <w:rPr>
              <w:color w:val="auto"/>
              <w:highlight w:val="none"/>
            </w:rPr>
            <w:instrText xml:space="preserve"> HYPERLINK \l "bookmark224" </w:instrText>
          </w:r>
          <w:r>
            <w:rPr>
              <w:color w:val="auto"/>
              <w:highlight w:val="none"/>
            </w:rPr>
            <w:fldChar w:fldCharType="separate"/>
          </w:r>
          <w:r>
            <w:rPr>
              <w:rFonts w:ascii="宋体" w:hAnsi="宋体" w:eastAsia="宋体" w:cs="宋体"/>
              <w:color w:val="auto"/>
              <w:spacing w:val="-5"/>
              <w:sz w:val="21"/>
              <w:szCs w:val="21"/>
              <w:highlight w:val="none"/>
              <w14:textOutline w14:w="3831" w14:cap="flat" w14:cmpd="sng">
                <w14:solidFill>
                  <w14:srgbClr w14:val="000000"/>
                </w14:solidFill>
                <w14:prstDash w14:val="solid"/>
                <w14:miter w14:val="0"/>
              </w14:textOutline>
            </w:rPr>
            <w:t>100</w:t>
          </w:r>
          <w:r>
            <w:rPr>
              <w:rFonts w:ascii="宋体" w:hAnsi="宋体" w:eastAsia="宋体" w:cs="宋体"/>
              <w:color w:val="auto"/>
              <w:spacing w:val="-5"/>
              <w:sz w:val="21"/>
              <w:szCs w:val="21"/>
              <w:highlight w:val="none"/>
              <w14:textOutline w14:w="3831" w14:cap="flat" w14:cmpd="sng">
                <w14:solidFill>
                  <w14:srgbClr w14:val="000000"/>
                </w14:solidFill>
                <w14:prstDash w14:val="solid"/>
                <w14:miter w14:val="0"/>
              </w14:textOutline>
            </w:rPr>
            <w:fldChar w:fldCharType="end"/>
          </w:r>
        </w:p>
        <w:p w14:paraId="5434C8E0">
          <w:pPr>
            <w:tabs>
              <w:tab w:val="right" w:leader="dot" w:pos="8317"/>
            </w:tabs>
            <w:spacing w:before="24" w:line="220"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第一部分 合同协议书</w:t>
          </w:r>
          <w:r>
            <w:rPr>
              <w:rFonts w:ascii="宋体" w:hAnsi="宋体" w:eastAsia="宋体" w:cs="宋体"/>
              <w:color w:val="auto"/>
              <w:spacing w:val="-7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3"/>
              <w:sz w:val="21"/>
              <w:szCs w:val="21"/>
              <w:highlight w:val="none"/>
            </w:rPr>
            <w:t xml:space="preserve"> </w:t>
          </w:r>
          <w:r>
            <w:rPr>
              <w:color w:val="auto"/>
              <w:highlight w:val="none"/>
            </w:rPr>
            <w:fldChar w:fldCharType="begin"/>
          </w:r>
          <w:r>
            <w:rPr>
              <w:color w:val="auto"/>
              <w:highlight w:val="none"/>
            </w:rPr>
            <w:instrText xml:space="preserve"> HYPERLINK \l "bookmark225" </w:instrText>
          </w:r>
          <w:r>
            <w:rPr>
              <w:color w:val="auto"/>
              <w:highlight w:val="none"/>
            </w:rPr>
            <w:fldChar w:fldCharType="separate"/>
          </w:r>
          <w:r>
            <w:rPr>
              <w:rFonts w:ascii="宋体" w:hAnsi="宋体" w:eastAsia="宋体" w:cs="宋体"/>
              <w:color w:val="auto"/>
              <w:spacing w:val="-5"/>
              <w:sz w:val="21"/>
              <w:szCs w:val="21"/>
              <w:highlight w:val="none"/>
            </w:rPr>
            <w:t>101</w:t>
          </w:r>
          <w:r>
            <w:rPr>
              <w:rFonts w:ascii="宋体" w:hAnsi="宋体" w:eastAsia="宋体" w:cs="宋体"/>
              <w:color w:val="auto"/>
              <w:spacing w:val="-5"/>
              <w:sz w:val="21"/>
              <w:szCs w:val="21"/>
              <w:highlight w:val="none"/>
            </w:rPr>
            <w:fldChar w:fldCharType="end"/>
          </w:r>
        </w:p>
        <w:p w14:paraId="105328B1">
          <w:pPr>
            <w:tabs>
              <w:tab w:val="right" w:leader="dot" w:pos="8317"/>
            </w:tabs>
            <w:spacing w:before="18" w:line="221"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第二部分 通用合同条款</w:t>
          </w:r>
          <w:r>
            <w:rPr>
              <w:rFonts w:ascii="宋体" w:hAnsi="宋体" w:eastAsia="宋体" w:cs="宋体"/>
              <w:color w:val="auto"/>
              <w:spacing w:val="-7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3"/>
              <w:sz w:val="21"/>
              <w:szCs w:val="21"/>
              <w:highlight w:val="none"/>
            </w:rPr>
            <w:t xml:space="preserve"> </w:t>
          </w:r>
          <w:r>
            <w:rPr>
              <w:color w:val="auto"/>
              <w:highlight w:val="none"/>
            </w:rPr>
            <w:fldChar w:fldCharType="begin"/>
          </w:r>
          <w:r>
            <w:rPr>
              <w:color w:val="auto"/>
              <w:highlight w:val="none"/>
            </w:rPr>
            <w:instrText xml:space="preserve"> HYPERLINK \l "bookmark226" </w:instrText>
          </w:r>
          <w:r>
            <w:rPr>
              <w:color w:val="auto"/>
              <w:highlight w:val="none"/>
            </w:rPr>
            <w:fldChar w:fldCharType="separate"/>
          </w:r>
          <w:r>
            <w:rPr>
              <w:rFonts w:ascii="宋体" w:hAnsi="宋体" w:eastAsia="宋体" w:cs="宋体"/>
              <w:color w:val="auto"/>
              <w:spacing w:val="-5"/>
              <w:sz w:val="21"/>
              <w:szCs w:val="21"/>
              <w:highlight w:val="none"/>
            </w:rPr>
            <w:t>104</w:t>
          </w:r>
          <w:r>
            <w:rPr>
              <w:rFonts w:ascii="宋体" w:hAnsi="宋体" w:eastAsia="宋体" w:cs="宋体"/>
              <w:color w:val="auto"/>
              <w:spacing w:val="-5"/>
              <w:sz w:val="21"/>
              <w:szCs w:val="21"/>
              <w:highlight w:val="none"/>
            </w:rPr>
            <w:fldChar w:fldCharType="end"/>
          </w:r>
        </w:p>
        <w:p w14:paraId="3F290ED9">
          <w:pPr>
            <w:tabs>
              <w:tab w:val="right" w:leader="dot" w:pos="8317"/>
            </w:tabs>
            <w:spacing w:before="22" w:line="221"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第三部分 专用合同条款</w:t>
          </w:r>
          <w:r>
            <w:rPr>
              <w:rFonts w:ascii="宋体" w:hAnsi="宋体" w:eastAsia="宋体" w:cs="宋体"/>
              <w:color w:val="auto"/>
              <w:spacing w:val="-7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3"/>
              <w:sz w:val="21"/>
              <w:szCs w:val="21"/>
              <w:highlight w:val="none"/>
            </w:rPr>
            <w:t xml:space="preserve"> </w:t>
          </w:r>
          <w:r>
            <w:rPr>
              <w:color w:val="auto"/>
              <w:highlight w:val="none"/>
            </w:rPr>
            <w:fldChar w:fldCharType="begin"/>
          </w:r>
          <w:r>
            <w:rPr>
              <w:color w:val="auto"/>
              <w:highlight w:val="none"/>
            </w:rPr>
            <w:instrText xml:space="preserve"> HYPERLINK \l "bookmark227" </w:instrText>
          </w:r>
          <w:r>
            <w:rPr>
              <w:color w:val="auto"/>
              <w:highlight w:val="none"/>
            </w:rPr>
            <w:fldChar w:fldCharType="separate"/>
          </w:r>
          <w:r>
            <w:rPr>
              <w:rFonts w:ascii="宋体" w:hAnsi="宋体" w:eastAsia="宋体" w:cs="宋体"/>
              <w:color w:val="auto"/>
              <w:spacing w:val="-5"/>
              <w:sz w:val="21"/>
              <w:szCs w:val="21"/>
              <w:highlight w:val="none"/>
            </w:rPr>
            <w:t>154</w:t>
          </w:r>
          <w:r>
            <w:rPr>
              <w:rFonts w:ascii="宋体" w:hAnsi="宋体" w:eastAsia="宋体" w:cs="宋体"/>
              <w:color w:val="auto"/>
              <w:spacing w:val="-5"/>
              <w:sz w:val="21"/>
              <w:szCs w:val="21"/>
              <w:highlight w:val="none"/>
            </w:rPr>
            <w:fldChar w:fldCharType="end"/>
          </w:r>
        </w:p>
        <w:p w14:paraId="1CA80933">
          <w:pPr>
            <w:tabs>
              <w:tab w:val="right" w:leader="dot" w:pos="8307"/>
            </w:tabs>
            <w:spacing w:before="23" w:line="220"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第五章</w:t>
          </w:r>
          <w:r>
            <w:rPr>
              <w:rFonts w:ascii="宋体" w:hAnsi="宋体" w:eastAsia="宋体" w:cs="宋体"/>
              <w:color w:val="auto"/>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工程量清单</w:t>
          </w:r>
          <w:r>
            <w:rPr>
              <w:rFonts w:ascii="宋体" w:hAnsi="宋体" w:eastAsia="宋体" w:cs="宋体"/>
              <w:color w:val="auto"/>
              <w:spacing w:val="-31"/>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18"/>
              <w:sz w:val="21"/>
              <w:szCs w:val="21"/>
              <w:highlight w:val="none"/>
            </w:rPr>
            <w:t xml:space="preserve"> </w:t>
          </w:r>
          <w:r>
            <w:rPr>
              <w:color w:val="auto"/>
              <w:highlight w:val="none"/>
            </w:rPr>
            <w:fldChar w:fldCharType="begin"/>
          </w:r>
          <w:r>
            <w:rPr>
              <w:color w:val="auto"/>
              <w:highlight w:val="none"/>
            </w:rPr>
            <w:instrText xml:space="preserve"> HYPERLINK \l "bookmark228" </w:instrText>
          </w:r>
          <w:r>
            <w:rPr>
              <w:color w:val="auto"/>
              <w:highlight w:val="none"/>
            </w:rPr>
            <w:fldChar w:fldCharType="separate"/>
          </w:r>
          <w:r>
            <w:rPr>
              <w:rFonts w:ascii="宋体" w:hAnsi="宋体" w:eastAsia="宋体" w:cs="宋体"/>
              <w:color w:val="auto"/>
              <w:spacing w:val="-5"/>
              <w:sz w:val="21"/>
              <w:szCs w:val="21"/>
              <w:highlight w:val="none"/>
              <w14:textOutline w14:w="3831" w14:cap="flat" w14:cmpd="sng">
                <w14:solidFill>
                  <w14:srgbClr w14:val="000000"/>
                </w14:solidFill>
                <w14:prstDash w14:val="solid"/>
                <w14:miter w14:val="0"/>
              </w14:textOutline>
            </w:rPr>
            <w:t>190</w:t>
          </w:r>
          <w:r>
            <w:rPr>
              <w:rFonts w:ascii="宋体" w:hAnsi="宋体" w:eastAsia="宋体" w:cs="宋体"/>
              <w:color w:val="auto"/>
              <w:spacing w:val="-5"/>
              <w:sz w:val="21"/>
              <w:szCs w:val="21"/>
              <w:highlight w:val="none"/>
              <w14:textOutline w14:w="3831" w14:cap="flat" w14:cmpd="sng">
                <w14:solidFill>
                  <w14:srgbClr w14:val="000000"/>
                </w14:solidFill>
                <w14:prstDash w14:val="solid"/>
                <w14:miter w14:val="0"/>
              </w14:textOutline>
            </w:rPr>
            <w:fldChar w:fldCharType="end"/>
          </w:r>
        </w:p>
        <w:p w14:paraId="4C49017E">
          <w:pPr>
            <w:tabs>
              <w:tab w:val="right" w:leader="dot" w:pos="8317"/>
            </w:tabs>
            <w:spacing w:before="23" w:line="221" w:lineRule="auto"/>
            <w:ind w:left="45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1、招标工程量清单说明</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3"/>
              <w:sz w:val="21"/>
              <w:szCs w:val="21"/>
              <w:highlight w:val="none"/>
            </w:rPr>
            <w:t xml:space="preserve"> </w:t>
          </w:r>
          <w:r>
            <w:rPr>
              <w:color w:val="auto"/>
              <w:highlight w:val="none"/>
            </w:rPr>
            <w:fldChar w:fldCharType="begin"/>
          </w:r>
          <w:r>
            <w:rPr>
              <w:color w:val="auto"/>
              <w:highlight w:val="none"/>
            </w:rPr>
            <w:instrText xml:space="preserve"> HYPERLINK \l "bookmark229" </w:instrText>
          </w:r>
          <w:r>
            <w:rPr>
              <w:color w:val="auto"/>
              <w:highlight w:val="none"/>
            </w:rPr>
            <w:fldChar w:fldCharType="separate"/>
          </w:r>
          <w:r>
            <w:rPr>
              <w:rFonts w:ascii="宋体" w:hAnsi="宋体" w:eastAsia="宋体" w:cs="宋体"/>
              <w:color w:val="auto"/>
              <w:spacing w:val="-5"/>
              <w:sz w:val="21"/>
              <w:szCs w:val="21"/>
              <w:highlight w:val="none"/>
            </w:rPr>
            <w:t>191</w:t>
          </w:r>
          <w:r>
            <w:rPr>
              <w:rFonts w:ascii="宋体" w:hAnsi="宋体" w:eastAsia="宋体" w:cs="宋体"/>
              <w:color w:val="auto"/>
              <w:spacing w:val="-5"/>
              <w:sz w:val="21"/>
              <w:szCs w:val="21"/>
              <w:highlight w:val="none"/>
            </w:rPr>
            <w:fldChar w:fldCharType="end"/>
          </w:r>
        </w:p>
        <w:p w14:paraId="5C3E419F">
          <w:pPr>
            <w:tabs>
              <w:tab w:val="right" w:leader="dot" w:pos="8317"/>
            </w:tabs>
            <w:spacing w:before="18" w:line="219" w:lineRule="auto"/>
            <w:ind w:left="4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2、投标报价说明</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3"/>
              <w:sz w:val="21"/>
              <w:szCs w:val="21"/>
              <w:highlight w:val="none"/>
            </w:rPr>
            <w:t xml:space="preserve"> </w:t>
          </w:r>
          <w:r>
            <w:rPr>
              <w:color w:val="auto"/>
              <w:highlight w:val="none"/>
            </w:rPr>
            <w:fldChar w:fldCharType="begin"/>
          </w:r>
          <w:r>
            <w:rPr>
              <w:color w:val="auto"/>
              <w:highlight w:val="none"/>
            </w:rPr>
            <w:instrText xml:space="preserve"> HYPERLINK \l "bookmark230" </w:instrText>
          </w:r>
          <w:r>
            <w:rPr>
              <w:color w:val="auto"/>
              <w:highlight w:val="none"/>
            </w:rPr>
            <w:fldChar w:fldCharType="separate"/>
          </w:r>
          <w:r>
            <w:rPr>
              <w:rFonts w:ascii="宋体" w:hAnsi="宋体" w:eastAsia="宋体" w:cs="宋体"/>
              <w:color w:val="auto"/>
              <w:spacing w:val="-5"/>
              <w:sz w:val="21"/>
              <w:szCs w:val="21"/>
              <w:highlight w:val="none"/>
            </w:rPr>
            <w:t>192</w:t>
          </w:r>
          <w:r>
            <w:rPr>
              <w:rFonts w:ascii="宋体" w:hAnsi="宋体" w:eastAsia="宋体" w:cs="宋体"/>
              <w:color w:val="auto"/>
              <w:spacing w:val="-5"/>
              <w:sz w:val="21"/>
              <w:szCs w:val="21"/>
              <w:highlight w:val="none"/>
            </w:rPr>
            <w:fldChar w:fldCharType="end"/>
          </w:r>
        </w:p>
        <w:p w14:paraId="5DD9671B">
          <w:pPr>
            <w:tabs>
              <w:tab w:val="right" w:leader="dot" w:pos="8317"/>
            </w:tabs>
            <w:spacing w:before="24" w:line="221" w:lineRule="auto"/>
            <w:ind w:left="44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3、其他说明</w:t>
          </w:r>
          <w:r>
            <w:rPr>
              <w:rFonts w:ascii="宋体" w:hAnsi="宋体" w:eastAsia="宋体" w:cs="宋体"/>
              <w:color w:val="auto"/>
              <w:spacing w:val="-6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3"/>
              <w:sz w:val="21"/>
              <w:szCs w:val="21"/>
              <w:highlight w:val="none"/>
            </w:rPr>
            <w:t xml:space="preserve"> </w:t>
          </w:r>
          <w:r>
            <w:rPr>
              <w:color w:val="auto"/>
              <w:highlight w:val="none"/>
            </w:rPr>
            <w:fldChar w:fldCharType="begin"/>
          </w:r>
          <w:r>
            <w:rPr>
              <w:color w:val="auto"/>
              <w:highlight w:val="none"/>
            </w:rPr>
            <w:instrText xml:space="preserve"> HYPERLINK \l "bookmark231" </w:instrText>
          </w:r>
          <w:r>
            <w:rPr>
              <w:color w:val="auto"/>
              <w:highlight w:val="none"/>
            </w:rPr>
            <w:fldChar w:fldCharType="separate"/>
          </w:r>
          <w:r>
            <w:rPr>
              <w:rFonts w:ascii="宋体" w:hAnsi="宋体" w:eastAsia="宋体" w:cs="宋体"/>
              <w:color w:val="auto"/>
              <w:spacing w:val="-5"/>
              <w:sz w:val="21"/>
              <w:szCs w:val="21"/>
              <w:highlight w:val="none"/>
            </w:rPr>
            <w:t>194</w:t>
          </w:r>
          <w:r>
            <w:rPr>
              <w:rFonts w:ascii="宋体" w:hAnsi="宋体" w:eastAsia="宋体" w:cs="宋体"/>
              <w:color w:val="auto"/>
              <w:spacing w:val="-5"/>
              <w:sz w:val="21"/>
              <w:szCs w:val="21"/>
              <w:highlight w:val="none"/>
            </w:rPr>
            <w:fldChar w:fldCharType="end"/>
          </w:r>
        </w:p>
        <w:p w14:paraId="538A800A">
          <w:pPr>
            <w:tabs>
              <w:tab w:val="right" w:leader="dot" w:pos="8317"/>
            </w:tabs>
            <w:spacing w:before="23" w:line="219" w:lineRule="auto"/>
            <w:ind w:left="44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4、工程量清单与计价表</w:t>
          </w:r>
          <w:r>
            <w:rPr>
              <w:rFonts w:ascii="宋体" w:hAnsi="宋体" w:eastAsia="宋体" w:cs="宋体"/>
              <w:color w:val="auto"/>
              <w:spacing w:val="-75"/>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3"/>
              <w:sz w:val="21"/>
              <w:szCs w:val="21"/>
              <w:highlight w:val="none"/>
            </w:rPr>
            <w:t xml:space="preserve"> </w:t>
          </w:r>
          <w:r>
            <w:rPr>
              <w:color w:val="auto"/>
              <w:highlight w:val="none"/>
            </w:rPr>
            <w:fldChar w:fldCharType="begin"/>
          </w:r>
          <w:r>
            <w:rPr>
              <w:color w:val="auto"/>
              <w:highlight w:val="none"/>
            </w:rPr>
            <w:instrText xml:space="preserve"> HYPERLINK \l "bookmark232" </w:instrText>
          </w:r>
          <w:r>
            <w:rPr>
              <w:color w:val="auto"/>
              <w:highlight w:val="none"/>
            </w:rPr>
            <w:fldChar w:fldCharType="separate"/>
          </w:r>
          <w:r>
            <w:rPr>
              <w:rFonts w:ascii="宋体" w:hAnsi="宋体" w:eastAsia="宋体" w:cs="宋体"/>
              <w:color w:val="auto"/>
              <w:spacing w:val="-5"/>
              <w:sz w:val="21"/>
              <w:szCs w:val="21"/>
              <w:highlight w:val="none"/>
            </w:rPr>
            <w:t>196</w:t>
          </w:r>
          <w:r>
            <w:rPr>
              <w:rFonts w:ascii="宋体" w:hAnsi="宋体" w:eastAsia="宋体" w:cs="宋体"/>
              <w:color w:val="auto"/>
              <w:spacing w:val="-5"/>
              <w:sz w:val="21"/>
              <w:szCs w:val="21"/>
              <w:highlight w:val="none"/>
            </w:rPr>
            <w:fldChar w:fldCharType="end"/>
          </w:r>
        </w:p>
        <w:p w14:paraId="2860ECF5">
          <w:pPr>
            <w:tabs>
              <w:tab w:val="right" w:leader="dot" w:pos="8317"/>
            </w:tabs>
            <w:spacing w:before="25" w:line="221" w:lineRule="auto"/>
            <w:ind w:left="85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4.1</w:t>
          </w:r>
          <w:r>
            <w:rPr>
              <w:rFonts w:ascii="宋体" w:hAnsi="宋体" w:eastAsia="宋体" w:cs="宋体"/>
              <w:color w:val="auto"/>
              <w:spacing w:val="-34"/>
              <w:sz w:val="21"/>
              <w:szCs w:val="21"/>
              <w:highlight w:val="none"/>
            </w:rPr>
            <w:t xml:space="preserve"> </w:t>
          </w:r>
          <w:r>
            <w:rPr>
              <w:rFonts w:ascii="宋体" w:hAnsi="宋体" w:eastAsia="宋体" w:cs="宋体"/>
              <w:color w:val="auto"/>
              <w:spacing w:val="-2"/>
              <w:sz w:val="21"/>
              <w:szCs w:val="21"/>
              <w:highlight w:val="none"/>
            </w:rPr>
            <w:t>招标工程量清单封面</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3"/>
              <w:sz w:val="21"/>
              <w:szCs w:val="21"/>
              <w:highlight w:val="none"/>
            </w:rPr>
            <w:t xml:space="preserve"> </w:t>
          </w:r>
          <w:r>
            <w:rPr>
              <w:color w:val="auto"/>
              <w:highlight w:val="none"/>
            </w:rPr>
            <w:fldChar w:fldCharType="begin"/>
          </w:r>
          <w:r>
            <w:rPr>
              <w:color w:val="auto"/>
              <w:highlight w:val="none"/>
            </w:rPr>
            <w:instrText xml:space="preserve"> HYPERLINK \l "bookmark233" </w:instrText>
          </w:r>
          <w:r>
            <w:rPr>
              <w:color w:val="auto"/>
              <w:highlight w:val="none"/>
            </w:rPr>
            <w:fldChar w:fldCharType="separate"/>
          </w:r>
          <w:r>
            <w:rPr>
              <w:rFonts w:ascii="宋体" w:hAnsi="宋体" w:eastAsia="宋体" w:cs="宋体"/>
              <w:color w:val="auto"/>
              <w:spacing w:val="-5"/>
              <w:sz w:val="21"/>
              <w:szCs w:val="21"/>
              <w:highlight w:val="none"/>
            </w:rPr>
            <w:t>197</w:t>
          </w:r>
          <w:r>
            <w:rPr>
              <w:rFonts w:ascii="宋体" w:hAnsi="宋体" w:eastAsia="宋体" w:cs="宋体"/>
              <w:color w:val="auto"/>
              <w:spacing w:val="-5"/>
              <w:sz w:val="21"/>
              <w:szCs w:val="21"/>
              <w:highlight w:val="none"/>
            </w:rPr>
            <w:fldChar w:fldCharType="end"/>
          </w:r>
        </w:p>
        <w:p w14:paraId="3D674214">
          <w:pPr>
            <w:tabs>
              <w:tab w:val="right" w:leader="dot" w:pos="8317"/>
            </w:tabs>
            <w:spacing w:before="17" w:line="221" w:lineRule="auto"/>
            <w:ind w:left="85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4.2</w:t>
          </w:r>
          <w:r>
            <w:rPr>
              <w:rFonts w:ascii="宋体" w:hAnsi="宋体" w:eastAsia="宋体" w:cs="宋体"/>
              <w:color w:val="auto"/>
              <w:spacing w:val="-34"/>
              <w:sz w:val="21"/>
              <w:szCs w:val="21"/>
              <w:highlight w:val="none"/>
            </w:rPr>
            <w:t xml:space="preserve"> </w:t>
          </w:r>
          <w:r>
            <w:rPr>
              <w:rFonts w:ascii="宋体" w:hAnsi="宋体" w:eastAsia="宋体" w:cs="宋体"/>
              <w:color w:val="auto"/>
              <w:spacing w:val="-2"/>
              <w:sz w:val="21"/>
              <w:szCs w:val="21"/>
              <w:highlight w:val="none"/>
            </w:rPr>
            <w:t>招标工程量清单扉页</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3"/>
              <w:sz w:val="21"/>
              <w:szCs w:val="21"/>
              <w:highlight w:val="none"/>
            </w:rPr>
            <w:t xml:space="preserve"> </w:t>
          </w:r>
          <w:r>
            <w:rPr>
              <w:color w:val="auto"/>
              <w:highlight w:val="none"/>
            </w:rPr>
            <w:fldChar w:fldCharType="begin"/>
          </w:r>
          <w:r>
            <w:rPr>
              <w:color w:val="auto"/>
              <w:highlight w:val="none"/>
            </w:rPr>
            <w:instrText xml:space="preserve"> HYPERLINK \l "bookmark234" </w:instrText>
          </w:r>
          <w:r>
            <w:rPr>
              <w:color w:val="auto"/>
              <w:highlight w:val="none"/>
            </w:rPr>
            <w:fldChar w:fldCharType="separate"/>
          </w:r>
          <w:r>
            <w:rPr>
              <w:rFonts w:ascii="宋体" w:hAnsi="宋体" w:eastAsia="宋体" w:cs="宋体"/>
              <w:color w:val="auto"/>
              <w:spacing w:val="-5"/>
              <w:sz w:val="21"/>
              <w:szCs w:val="21"/>
              <w:highlight w:val="none"/>
            </w:rPr>
            <w:t>198</w:t>
          </w:r>
          <w:r>
            <w:rPr>
              <w:rFonts w:ascii="宋体" w:hAnsi="宋体" w:eastAsia="宋体" w:cs="宋体"/>
              <w:color w:val="auto"/>
              <w:spacing w:val="-5"/>
              <w:sz w:val="21"/>
              <w:szCs w:val="21"/>
              <w:highlight w:val="none"/>
            </w:rPr>
            <w:fldChar w:fldCharType="end"/>
          </w:r>
        </w:p>
        <w:p w14:paraId="34FF3D14">
          <w:pPr>
            <w:tabs>
              <w:tab w:val="right" w:leader="dot" w:pos="8317"/>
            </w:tabs>
            <w:spacing w:before="23" w:line="219" w:lineRule="auto"/>
            <w:ind w:left="85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4.3</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投标总价封面</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13"/>
              <w:sz w:val="21"/>
              <w:szCs w:val="21"/>
              <w:highlight w:val="none"/>
            </w:rPr>
            <w:t xml:space="preserve"> </w:t>
          </w:r>
          <w:r>
            <w:rPr>
              <w:color w:val="auto"/>
              <w:highlight w:val="none"/>
            </w:rPr>
            <w:fldChar w:fldCharType="begin"/>
          </w:r>
          <w:r>
            <w:rPr>
              <w:color w:val="auto"/>
              <w:highlight w:val="none"/>
            </w:rPr>
            <w:instrText xml:space="preserve"> HYPERLINK \l "bookmark235" </w:instrText>
          </w:r>
          <w:r>
            <w:rPr>
              <w:color w:val="auto"/>
              <w:highlight w:val="none"/>
            </w:rPr>
            <w:fldChar w:fldCharType="separate"/>
          </w:r>
          <w:r>
            <w:rPr>
              <w:rFonts w:ascii="宋体" w:hAnsi="宋体" w:eastAsia="宋体" w:cs="宋体"/>
              <w:color w:val="auto"/>
              <w:spacing w:val="-5"/>
              <w:sz w:val="21"/>
              <w:szCs w:val="21"/>
              <w:highlight w:val="none"/>
            </w:rPr>
            <w:t>199</w:t>
          </w:r>
          <w:r>
            <w:rPr>
              <w:rFonts w:ascii="宋体" w:hAnsi="宋体" w:eastAsia="宋体" w:cs="宋体"/>
              <w:color w:val="auto"/>
              <w:spacing w:val="-5"/>
              <w:sz w:val="21"/>
              <w:szCs w:val="21"/>
              <w:highlight w:val="none"/>
            </w:rPr>
            <w:fldChar w:fldCharType="end"/>
          </w:r>
        </w:p>
        <w:p w14:paraId="068AFEBC">
          <w:pPr>
            <w:tabs>
              <w:tab w:val="right" w:leader="dot" w:pos="8317"/>
            </w:tabs>
            <w:spacing w:before="24" w:line="219" w:lineRule="auto"/>
            <w:ind w:left="85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4.4</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投标总价扉页</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"bookmark236" </w:instrText>
          </w:r>
          <w:r>
            <w:rPr>
              <w:color w:val="auto"/>
              <w:highlight w:val="none"/>
            </w:rPr>
            <w:fldChar w:fldCharType="separate"/>
          </w:r>
          <w:r>
            <w:rPr>
              <w:rFonts w:ascii="宋体" w:hAnsi="宋体" w:eastAsia="宋体" w:cs="宋体"/>
              <w:color w:val="auto"/>
              <w:spacing w:val="-2"/>
              <w:sz w:val="21"/>
              <w:szCs w:val="21"/>
              <w:highlight w:val="none"/>
            </w:rPr>
            <w:t>200</w:t>
          </w:r>
          <w:r>
            <w:rPr>
              <w:rFonts w:ascii="宋体" w:hAnsi="宋体" w:eastAsia="宋体" w:cs="宋体"/>
              <w:color w:val="auto"/>
              <w:spacing w:val="-2"/>
              <w:sz w:val="21"/>
              <w:szCs w:val="21"/>
              <w:highlight w:val="none"/>
            </w:rPr>
            <w:fldChar w:fldCharType="end"/>
          </w:r>
        </w:p>
        <w:p w14:paraId="7CB3DE46">
          <w:pPr>
            <w:tabs>
              <w:tab w:val="right" w:leader="dot" w:pos="8317"/>
            </w:tabs>
            <w:spacing w:before="24" w:line="221" w:lineRule="auto"/>
            <w:ind w:left="85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4.5</w:t>
          </w:r>
          <w:r>
            <w:rPr>
              <w:rFonts w:ascii="宋体" w:hAnsi="宋体" w:eastAsia="宋体" w:cs="宋体"/>
              <w:color w:val="auto"/>
              <w:spacing w:val="-33"/>
              <w:sz w:val="21"/>
              <w:szCs w:val="21"/>
              <w:highlight w:val="none"/>
            </w:rPr>
            <w:t xml:space="preserve"> </w:t>
          </w:r>
          <w:r>
            <w:rPr>
              <w:rFonts w:ascii="宋体" w:hAnsi="宋体" w:eastAsia="宋体" w:cs="宋体"/>
              <w:color w:val="auto"/>
              <w:spacing w:val="-3"/>
              <w:sz w:val="21"/>
              <w:szCs w:val="21"/>
              <w:highlight w:val="none"/>
            </w:rPr>
            <w:t>总说明表</w:t>
          </w:r>
          <w:r>
            <w:rPr>
              <w:rFonts w:ascii="宋体" w:hAnsi="宋体" w:eastAsia="宋体" w:cs="宋体"/>
              <w:color w:val="auto"/>
              <w:spacing w:val="-3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"bookmark237" </w:instrText>
          </w:r>
          <w:r>
            <w:rPr>
              <w:color w:val="auto"/>
              <w:highlight w:val="none"/>
            </w:rPr>
            <w:fldChar w:fldCharType="separate"/>
          </w:r>
          <w:r>
            <w:rPr>
              <w:rFonts w:ascii="宋体" w:hAnsi="宋体" w:eastAsia="宋体" w:cs="宋体"/>
              <w:color w:val="auto"/>
              <w:spacing w:val="-2"/>
              <w:sz w:val="21"/>
              <w:szCs w:val="21"/>
              <w:highlight w:val="none"/>
            </w:rPr>
            <w:t>201</w:t>
          </w:r>
          <w:r>
            <w:rPr>
              <w:rFonts w:ascii="宋体" w:hAnsi="宋体" w:eastAsia="宋体" w:cs="宋体"/>
              <w:color w:val="auto"/>
              <w:spacing w:val="-2"/>
              <w:sz w:val="21"/>
              <w:szCs w:val="21"/>
              <w:highlight w:val="none"/>
            </w:rPr>
            <w:fldChar w:fldCharType="end"/>
          </w:r>
        </w:p>
        <w:p w14:paraId="4FD02979">
          <w:pPr>
            <w:tabs>
              <w:tab w:val="right" w:leader="dot" w:pos="8317"/>
            </w:tabs>
            <w:spacing w:before="18" w:line="219" w:lineRule="auto"/>
            <w:ind w:left="85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4.6</w:t>
          </w:r>
          <w:r>
            <w:rPr>
              <w:rFonts w:ascii="宋体" w:hAnsi="宋体" w:eastAsia="宋体" w:cs="宋体"/>
              <w:color w:val="auto"/>
              <w:spacing w:val="-42"/>
              <w:sz w:val="21"/>
              <w:szCs w:val="21"/>
              <w:highlight w:val="none"/>
            </w:rPr>
            <w:t xml:space="preserve"> </w:t>
          </w:r>
          <w:r>
            <w:rPr>
              <w:rFonts w:ascii="宋体" w:hAnsi="宋体" w:eastAsia="宋体" w:cs="宋体"/>
              <w:color w:val="auto"/>
              <w:spacing w:val="-1"/>
              <w:sz w:val="21"/>
              <w:szCs w:val="21"/>
              <w:highlight w:val="none"/>
            </w:rPr>
            <w:t>建设项目投标报价汇总表</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"bookmark238" </w:instrText>
          </w:r>
          <w:r>
            <w:rPr>
              <w:color w:val="auto"/>
              <w:highlight w:val="none"/>
            </w:rPr>
            <w:fldChar w:fldCharType="separate"/>
          </w:r>
          <w:r>
            <w:rPr>
              <w:rFonts w:ascii="宋体" w:hAnsi="宋体" w:eastAsia="宋体" w:cs="宋体"/>
              <w:color w:val="auto"/>
              <w:spacing w:val="-2"/>
              <w:sz w:val="21"/>
              <w:szCs w:val="21"/>
              <w:highlight w:val="none"/>
            </w:rPr>
            <w:t>202</w:t>
          </w:r>
          <w:r>
            <w:rPr>
              <w:rFonts w:ascii="宋体" w:hAnsi="宋体" w:eastAsia="宋体" w:cs="宋体"/>
              <w:color w:val="auto"/>
              <w:spacing w:val="-2"/>
              <w:sz w:val="21"/>
              <w:szCs w:val="21"/>
              <w:highlight w:val="none"/>
            </w:rPr>
            <w:fldChar w:fldCharType="end"/>
          </w:r>
        </w:p>
        <w:p w14:paraId="72C38894">
          <w:pPr>
            <w:tabs>
              <w:tab w:val="right" w:leader="dot" w:pos="8317"/>
            </w:tabs>
            <w:spacing w:before="24" w:line="219" w:lineRule="auto"/>
            <w:ind w:left="85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4.7</w:t>
          </w:r>
          <w:r>
            <w:rPr>
              <w:rFonts w:ascii="宋体" w:hAnsi="宋体" w:eastAsia="宋体" w:cs="宋体"/>
              <w:color w:val="auto"/>
              <w:spacing w:val="-42"/>
              <w:sz w:val="21"/>
              <w:szCs w:val="21"/>
              <w:highlight w:val="none"/>
            </w:rPr>
            <w:t xml:space="preserve"> </w:t>
          </w:r>
          <w:r>
            <w:rPr>
              <w:rFonts w:ascii="宋体" w:hAnsi="宋体" w:eastAsia="宋体" w:cs="宋体"/>
              <w:color w:val="auto"/>
              <w:spacing w:val="-1"/>
              <w:sz w:val="21"/>
              <w:szCs w:val="21"/>
              <w:highlight w:val="none"/>
            </w:rPr>
            <w:t>单项工程投标报价汇总表</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"bookmark239" </w:instrText>
          </w:r>
          <w:r>
            <w:rPr>
              <w:color w:val="auto"/>
              <w:highlight w:val="none"/>
            </w:rPr>
            <w:fldChar w:fldCharType="separate"/>
          </w:r>
          <w:r>
            <w:rPr>
              <w:rFonts w:ascii="宋体" w:hAnsi="宋体" w:eastAsia="宋体" w:cs="宋体"/>
              <w:color w:val="auto"/>
              <w:spacing w:val="-2"/>
              <w:sz w:val="21"/>
              <w:szCs w:val="21"/>
              <w:highlight w:val="none"/>
            </w:rPr>
            <w:t>203</w:t>
          </w:r>
          <w:r>
            <w:rPr>
              <w:rFonts w:ascii="宋体" w:hAnsi="宋体" w:eastAsia="宋体" w:cs="宋体"/>
              <w:color w:val="auto"/>
              <w:spacing w:val="-2"/>
              <w:sz w:val="21"/>
              <w:szCs w:val="21"/>
              <w:highlight w:val="none"/>
            </w:rPr>
            <w:fldChar w:fldCharType="end"/>
          </w:r>
        </w:p>
        <w:p w14:paraId="0D189DC3">
          <w:pPr>
            <w:tabs>
              <w:tab w:val="right" w:leader="dot" w:pos="8317"/>
            </w:tabs>
            <w:spacing w:before="25" w:line="219" w:lineRule="auto"/>
            <w:ind w:left="85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4.8</w:t>
          </w:r>
          <w:r>
            <w:rPr>
              <w:rFonts w:ascii="宋体" w:hAnsi="宋体" w:eastAsia="宋体" w:cs="宋体"/>
              <w:color w:val="auto"/>
              <w:spacing w:val="-42"/>
              <w:sz w:val="21"/>
              <w:szCs w:val="21"/>
              <w:highlight w:val="none"/>
            </w:rPr>
            <w:t xml:space="preserve"> </w:t>
          </w:r>
          <w:r>
            <w:rPr>
              <w:rFonts w:ascii="宋体" w:hAnsi="宋体" w:eastAsia="宋体" w:cs="宋体"/>
              <w:color w:val="auto"/>
              <w:spacing w:val="-1"/>
              <w:sz w:val="21"/>
              <w:szCs w:val="21"/>
              <w:highlight w:val="none"/>
            </w:rPr>
            <w:t>单位工程投标报价汇总表</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"bookmark240" </w:instrText>
          </w:r>
          <w:r>
            <w:rPr>
              <w:color w:val="auto"/>
              <w:highlight w:val="none"/>
            </w:rPr>
            <w:fldChar w:fldCharType="separate"/>
          </w:r>
          <w:r>
            <w:rPr>
              <w:rFonts w:ascii="宋体" w:hAnsi="宋体" w:eastAsia="宋体" w:cs="宋体"/>
              <w:color w:val="auto"/>
              <w:spacing w:val="-2"/>
              <w:sz w:val="21"/>
              <w:szCs w:val="21"/>
              <w:highlight w:val="none"/>
            </w:rPr>
            <w:t>204</w:t>
          </w:r>
          <w:r>
            <w:rPr>
              <w:rFonts w:ascii="宋体" w:hAnsi="宋体" w:eastAsia="宋体" w:cs="宋体"/>
              <w:color w:val="auto"/>
              <w:spacing w:val="-2"/>
              <w:sz w:val="21"/>
              <w:szCs w:val="21"/>
              <w:highlight w:val="none"/>
            </w:rPr>
            <w:fldChar w:fldCharType="end"/>
          </w:r>
        </w:p>
        <w:p w14:paraId="4804DF65">
          <w:pPr>
            <w:tabs>
              <w:tab w:val="right" w:leader="dot" w:pos="8317"/>
            </w:tabs>
            <w:spacing w:before="20" w:line="219" w:lineRule="auto"/>
            <w:ind w:left="85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4.9</w:t>
          </w:r>
          <w:r>
            <w:rPr>
              <w:rFonts w:ascii="宋体" w:hAnsi="宋体" w:eastAsia="宋体" w:cs="宋体"/>
              <w:color w:val="auto"/>
              <w:spacing w:val="-41"/>
              <w:sz w:val="21"/>
              <w:szCs w:val="21"/>
              <w:highlight w:val="none"/>
            </w:rPr>
            <w:t xml:space="preserve"> </w:t>
          </w:r>
          <w:r>
            <w:rPr>
              <w:rFonts w:ascii="宋体" w:hAnsi="宋体" w:eastAsia="宋体" w:cs="宋体"/>
              <w:color w:val="auto"/>
              <w:spacing w:val="-1"/>
              <w:sz w:val="21"/>
              <w:szCs w:val="21"/>
              <w:highlight w:val="none"/>
            </w:rPr>
            <w:t>分部分项工程和单价措施项目清单与</w:t>
          </w:r>
          <w:r>
            <w:rPr>
              <w:rFonts w:ascii="宋体" w:hAnsi="宋体" w:eastAsia="宋体" w:cs="宋体"/>
              <w:color w:val="auto"/>
              <w:spacing w:val="-2"/>
              <w:sz w:val="21"/>
              <w:szCs w:val="21"/>
              <w:highlight w:val="none"/>
            </w:rPr>
            <w:t xml:space="preserve">计价表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"bookmark241" </w:instrText>
          </w:r>
          <w:r>
            <w:rPr>
              <w:color w:val="auto"/>
              <w:highlight w:val="none"/>
            </w:rPr>
            <w:fldChar w:fldCharType="separate"/>
          </w:r>
          <w:r>
            <w:rPr>
              <w:rFonts w:ascii="宋体" w:hAnsi="宋体" w:eastAsia="宋体" w:cs="宋体"/>
              <w:color w:val="auto"/>
              <w:spacing w:val="-2"/>
              <w:sz w:val="21"/>
              <w:szCs w:val="21"/>
              <w:highlight w:val="none"/>
            </w:rPr>
            <w:t>205</w:t>
          </w:r>
          <w:r>
            <w:rPr>
              <w:rFonts w:ascii="宋体" w:hAnsi="宋体" w:eastAsia="宋体" w:cs="宋体"/>
              <w:color w:val="auto"/>
              <w:spacing w:val="-2"/>
              <w:sz w:val="21"/>
              <w:szCs w:val="21"/>
              <w:highlight w:val="none"/>
            </w:rPr>
            <w:fldChar w:fldCharType="end"/>
          </w:r>
        </w:p>
        <w:p w14:paraId="739E1880">
          <w:pPr>
            <w:tabs>
              <w:tab w:val="right" w:leader="dot" w:pos="8317"/>
            </w:tabs>
            <w:spacing w:before="25" w:line="219" w:lineRule="auto"/>
            <w:ind w:left="85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4.10</w:t>
          </w:r>
          <w:r>
            <w:rPr>
              <w:rFonts w:ascii="宋体" w:hAnsi="宋体" w:eastAsia="宋体" w:cs="宋体"/>
              <w:color w:val="auto"/>
              <w:spacing w:val="-33"/>
              <w:sz w:val="21"/>
              <w:szCs w:val="21"/>
              <w:highlight w:val="none"/>
            </w:rPr>
            <w:t xml:space="preserve"> </w:t>
          </w:r>
          <w:r>
            <w:rPr>
              <w:rFonts w:ascii="宋体" w:hAnsi="宋体" w:eastAsia="宋体" w:cs="宋体"/>
              <w:color w:val="auto"/>
              <w:spacing w:val="-2"/>
              <w:sz w:val="21"/>
              <w:szCs w:val="21"/>
              <w:highlight w:val="none"/>
            </w:rPr>
            <w:t>综合单价分析表</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"bookmark242" </w:instrText>
          </w:r>
          <w:r>
            <w:rPr>
              <w:color w:val="auto"/>
              <w:highlight w:val="none"/>
            </w:rPr>
            <w:fldChar w:fldCharType="separate"/>
          </w:r>
          <w:r>
            <w:rPr>
              <w:rFonts w:ascii="宋体" w:hAnsi="宋体" w:eastAsia="宋体" w:cs="宋体"/>
              <w:color w:val="auto"/>
              <w:spacing w:val="-2"/>
              <w:sz w:val="21"/>
              <w:szCs w:val="21"/>
              <w:highlight w:val="none"/>
            </w:rPr>
            <w:t>206</w:t>
          </w:r>
          <w:r>
            <w:rPr>
              <w:rFonts w:ascii="宋体" w:hAnsi="宋体" w:eastAsia="宋体" w:cs="宋体"/>
              <w:color w:val="auto"/>
              <w:spacing w:val="-2"/>
              <w:sz w:val="21"/>
              <w:szCs w:val="21"/>
              <w:highlight w:val="none"/>
            </w:rPr>
            <w:fldChar w:fldCharType="end"/>
          </w:r>
        </w:p>
        <w:p w14:paraId="16CA4F10">
          <w:pPr>
            <w:tabs>
              <w:tab w:val="right" w:leader="dot" w:pos="8317"/>
            </w:tabs>
            <w:spacing w:before="24" w:line="219" w:lineRule="auto"/>
            <w:ind w:left="85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4.11</w:t>
          </w:r>
          <w:r>
            <w:rPr>
              <w:rFonts w:ascii="宋体" w:hAnsi="宋体" w:eastAsia="宋体" w:cs="宋体"/>
              <w:color w:val="auto"/>
              <w:spacing w:val="-25"/>
              <w:sz w:val="21"/>
              <w:szCs w:val="21"/>
              <w:highlight w:val="none"/>
            </w:rPr>
            <w:t xml:space="preserve"> </w:t>
          </w:r>
          <w:r>
            <w:rPr>
              <w:rFonts w:ascii="宋体" w:hAnsi="宋体" w:eastAsia="宋体" w:cs="宋体"/>
              <w:color w:val="auto"/>
              <w:spacing w:val="-3"/>
              <w:sz w:val="21"/>
              <w:szCs w:val="21"/>
              <w:highlight w:val="none"/>
            </w:rPr>
            <w:t xml:space="preserve">总价措施项目清单与计价表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"bookmark243" </w:instrText>
          </w:r>
          <w:r>
            <w:rPr>
              <w:color w:val="auto"/>
              <w:highlight w:val="none"/>
            </w:rPr>
            <w:fldChar w:fldCharType="separate"/>
          </w:r>
          <w:r>
            <w:rPr>
              <w:rFonts w:ascii="宋体" w:hAnsi="宋体" w:eastAsia="宋体" w:cs="宋体"/>
              <w:color w:val="auto"/>
              <w:spacing w:val="-2"/>
              <w:sz w:val="21"/>
              <w:szCs w:val="21"/>
              <w:highlight w:val="none"/>
            </w:rPr>
            <w:t>207</w:t>
          </w:r>
          <w:r>
            <w:rPr>
              <w:rFonts w:ascii="宋体" w:hAnsi="宋体" w:eastAsia="宋体" w:cs="宋体"/>
              <w:color w:val="auto"/>
              <w:spacing w:val="-2"/>
              <w:sz w:val="21"/>
              <w:szCs w:val="21"/>
              <w:highlight w:val="none"/>
            </w:rPr>
            <w:fldChar w:fldCharType="end"/>
          </w:r>
        </w:p>
        <w:p w14:paraId="65C9376E">
          <w:pPr>
            <w:tabs>
              <w:tab w:val="right" w:leader="dot" w:pos="8317"/>
            </w:tabs>
            <w:spacing w:before="25" w:line="219" w:lineRule="auto"/>
            <w:ind w:left="85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4.12</w:t>
          </w:r>
          <w:r>
            <w:rPr>
              <w:rFonts w:ascii="宋体" w:hAnsi="宋体" w:eastAsia="宋体" w:cs="宋体"/>
              <w:color w:val="auto"/>
              <w:spacing w:val="-42"/>
              <w:sz w:val="21"/>
              <w:szCs w:val="21"/>
              <w:highlight w:val="none"/>
            </w:rPr>
            <w:t xml:space="preserve"> </w:t>
          </w:r>
          <w:r>
            <w:rPr>
              <w:rFonts w:ascii="宋体" w:hAnsi="宋体" w:eastAsia="宋体" w:cs="宋体"/>
              <w:color w:val="auto"/>
              <w:spacing w:val="-2"/>
              <w:sz w:val="21"/>
              <w:szCs w:val="21"/>
              <w:highlight w:val="none"/>
            </w:rPr>
            <w:t xml:space="preserve">其他项目清单与计价汇总表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"bookmark244" </w:instrText>
          </w:r>
          <w:r>
            <w:rPr>
              <w:color w:val="auto"/>
              <w:highlight w:val="none"/>
            </w:rPr>
            <w:fldChar w:fldCharType="separate"/>
          </w:r>
          <w:r>
            <w:rPr>
              <w:rFonts w:ascii="宋体" w:hAnsi="宋体" w:eastAsia="宋体" w:cs="宋体"/>
              <w:color w:val="auto"/>
              <w:spacing w:val="-2"/>
              <w:sz w:val="21"/>
              <w:szCs w:val="21"/>
              <w:highlight w:val="none"/>
            </w:rPr>
            <w:t>208</w:t>
          </w:r>
          <w:r>
            <w:rPr>
              <w:rFonts w:ascii="宋体" w:hAnsi="宋体" w:eastAsia="宋体" w:cs="宋体"/>
              <w:color w:val="auto"/>
              <w:spacing w:val="-2"/>
              <w:sz w:val="21"/>
              <w:szCs w:val="21"/>
              <w:highlight w:val="none"/>
            </w:rPr>
            <w:fldChar w:fldCharType="end"/>
          </w:r>
        </w:p>
        <w:p w14:paraId="5107347C">
          <w:pPr>
            <w:tabs>
              <w:tab w:val="right" w:leader="dot" w:pos="8317"/>
            </w:tabs>
            <w:spacing w:before="19" w:line="221" w:lineRule="auto"/>
            <w:ind w:left="85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4.12-1</w:t>
          </w:r>
          <w:r>
            <w:rPr>
              <w:rFonts w:ascii="宋体" w:hAnsi="宋体" w:eastAsia="宋体" w:cs="宋体"/>
              <w:color w:val="auto"/>
              <w:spacing w:val="-32"/>
              <w:sz w:val="21"/>
              <w:szCs w:val="21"/>
              <w:highlight w:val="none"/>
            </w:rPr>
            <w:t xml:space="preserve"> </w:t>
          </w:r>
          <w:r>
            <w:rPr>
              <w:rFonts w:ascii="宋体" w:hAnsi="宋体" w:eastAsia="宋体" w:cs="宋体"/>
              <w:color w:val="auto"/>
              <w:spacing w:val="-2"/>
              <w:sz w:val="21"/>
              <w:szCs w:val="21"/>
              <w:highlight w:val="none"/>
            </w:rPr>
            <w:t>暂列金额明细表</w:t>
          </w:r>
          <w:r>
            <w:rPr>
              <w:rFonts w:ascii="宋体" w:hAnsi="宋体" w:eastAsia="宋体" w:cs="宋体"/>
              <w:color w:val="auto"/>
              <w:spacing w:val="-2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"bookmark245" </w:instrText>
          </w:r>
          <w:r>
            <w:rPr>
              <w:color w:val="auto"/>
              <w:highlight w:val="none"/>
            </w:rPr>
            <w:fldChar w:fldCharType="separate"/>
          </w:r>
          <w:r>
            <w:rPr>
              <w:rFonts w:ascii="宋体" w:hAnsi="宋体" w:eastAsia="宋体" w:cs="宋体"/>
              <w:color w:val="auto"/>
              <w:spacing w:val="-2"/>
              <w:sz w:val="21"/>
              <w:szCs w:val="21"/>
              <w:highlight w:val="none"/>
            </w:rPr>
            <w:t>209</w:t>
          </w:r>
          <w:r>
            <w:rPr>
              <w:rFonts w:ascii="宋体" w:hAnsi="宋体" w:eastAsia="宋体" w:cs="宋体"/>
              <w:color w:val="auto"/>
              <w:spacing w:val="-2"/>
              <w:sz w:val="21"/>
              <w:szCs w:val="21"/>
              <w:highlight w:val="none"/>
            </w:rPr>
            <w:fldChar w:fldCharType="end"/>
          </w:r>
        </w:p>
        <w:p w14:paraId="48EF6A4C">
          <w:pPr>
            <w:tabs>
              <w:tab w:val="right" w:leader="dot" w:pos="8317"/>
            </w:tabs>
            <w:spacing w:before="22" w:line="219" w:lineRule="auto"/>
            <w:ind w:left="85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4.12-2</w:t>
          </w:r>
          <w:r>
            <w:rPr>
              <w:rFonts w:ascii="宋体" w:hAnsi="宋体" w:eastAsia="宋体" w:cs="宋体"/>
              <w:color w:val="auto"/>
              <w:spacing w:val="-44"/>
              <w:sz w:val="21"/>
              <w:szCs w:val="21"/>
              <w:highlight w:val="none"/>
            </w:rPr>
            <w:t xml:space="preserve"> </w:t>
          </w:r>
          <w:r>
            <w:rPr>
              <w:rFonts w:ascii="宋体" w:hAnsi="宋体" w:eastAsia="宋体" w:cs="宋体"/>
              <w:color w:val="auto"/>
              <w:spacing w:val="-1"/>
              <w:sz w:val="21"/>
              <w:szCs w:val="21"/>
              <w:highlight w:val="none"/>
            </w:rPr>
            <w:t>材料（工程设备）暂估单价及调</w:t>
          </w:r>
          <w:r>
            <w:rPr>
              <w:rFonts w:ascii="宋体" w:hAnsi="宋体" w:eastAsia="宋体" w:cs="宋体"/>
              <w:color w:val="auto"/>
              <w:spacing w:val="-2"/>
              <w:sz w:val="21"/>
              <w:szCs w:val="21"/>
              <w:highlight w:val="none"/>
            </w:rPr>
            <w:t xml:space="preserve">整表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"bookmark246" </w:instrText>
          </w:r>
          <w:r>
            <w:rPr>
              <w:color w:val="auto"/>
              <w:highlight w:val="none"/>
            </w:rPr>
            <w:fldChar w:fldCharType="separate"/>
          </w:r>
          <w:r>
            <w:rPr>
              <w:rFonts w:ascii="宋体" w:hAnsi="宋体" w:eastAsia="宋体" w:cs="宋体"/>
              <w:color w:val="auto"/>
              <w:spacing w:val="-2"/>
              <w:sz w:val="21"/>
              <w:szCs w:val="21"/>
              <w:highlight w:val="none"/>
            </w:rPr>
            <w:t>210</w:t>
          </w:r>
          <w:r>
            <w:rPr>
              <w:rFonts w:ascii="宋体" w:hAnsi="宋体" w:eastAsia="宋体" w:cs="宋体"/>
              <w:color w:val="auto"/>
              <w:spacing w:val="-2"/>
              <w:sz w:val="21"/>
              <w:szCs w:val="21"/>
              <w:highlight w:val="none"/>
            </w:rPr>
            <w:fldChar w:fldCharType="end"/>
          </w:r>
        </w:p>
        <w:p w14:paraId="3C3D17B3">
          <w:pPr>
            <w:tabs>
              <w:tab w:val="right" w:leader="dot" w:pos="8317"/>
            </w:tabs>
            <w:spacing w:before="25" w:line="219" w:lineRule="auto"/>
            <w:ind w:left="85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4.12-3</w:t>
          </w:r>
          <w:r>
            <w:rPr>
              <w:rFonts w:ascii="宋体" w:hAnsi="宋体" w:eastAsia="宋体" w:cs="宋体"/>
              <w:color w:val="auto"/>
              <w:spacing w:val="-37"/>
              <w:sz w:val="21"/>
              <w:szCs w:val="21"/>
              <w:highlight w:val="none"/>
            </w:rPr>
            <w:t xml:space="preserve"> </w:t>
          </w:r>
          <w:r>
            <w:rPr>
              <w:rFonts w:ascii="宋体" w:hAnsi="宋体" w:eastAsia="宋体" w:cs="宋体"/>
              <w:color w:val="auto"/>
              <w:spacing w:val="-2"/>
              <w:sz w:val="21"/>
              <w:szCs w:val="21"/>
              <w:highlight w:val="none"/>
            </w:rPr>
            <w:t xml:space="preserve">专业工程暂估价及结算价表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"bookmark247" </w:instrText>
          </w:r>
          <w:r>
            <w:rPr>
              <w:color w:val="auto"/>
              <w:highlight w:val="none"/>
            </w:rPr>
            <w:fldChar w:fldCharType="separate"/>
          </w:r>
          <w:r>
            <w:rPr>
              <w:rFonts w:ascii="宋体" w:hAnsi="宋体" w:eastAsia="宋体" w:cs="宋体"/>
              <w:color w:val="auto"/>
              <w:spacing w:val="-2"/>
              <w:sz w:val="21"/>
              <w:szCs w:val="21"/>
              <w:highlight w:val="none"/>
            </w:rPr>
            <w:t>211</w:t>
          </w:r>
          <w:r>
            <w:rPr>
              <w:rFonts w:ascii="宋体" w:hAnsi="宋体" w:eastAsia="宋体" w:cs="宋体"/>
              <w:color w:val="auto"/>
              <w:spacing w:val="-2"/>
              <w:sz w:val="21"/>
              <w:szCs w:val="21"/>
              <w:highlight w:val="none"/>
            </w:rPr>
            <w:fldChar w:fldCharType="end"/>
          </w:r>
        </w:p>
        <w:p w14:paraId="1F44A978">
          <w:pPr>
            <w:tabs>
              <w:tab w:val="right" w:leader="dot" w:pos="8317"/>
            </w:tabs>
            <w:spacing w:before="25" w:line="222" w:lineRule="auto"/>
            <w:ind w:left="85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4.12-4</w:t>
          </w:r>
          <w:r>
            <w:rPr>
              <w:rFonts w:ascii="宋体" w:hAnsi="宋体" w:eastAsia="宋体" w:cs="宋体"/>
              <w:color w:val="auto"/>
              <w:spacing w:val="-37"/>
              <w:sz w:val="21"/>
              <w:szCs w:val="21"/>
              <w:highlight w:val="none"/>
            </w:rPr>
            <w:t xml:space="preserve"> </w:t>
          </w:r>
          <w:r>
            <w:rPr>
              <w:rFonts w:ascii="宋体" w:hAnsi="宋体" w:eastAsia="宋体" w:cs="宋体"/>
              <w:color w:val="auto"/>
              <w:spacing w:val="-2"/>
              <w:sz w:val="21"/>
              <w:szCs w:val="21"/>
              <w:highlight w:val="none"/>
            </w:rPr>
            <w:t>计日工表</w:t>
          </w:r>
          <w:r>
            <w:rPr>
              <w:rFonts w:ascii="宋体" w:hAnsi="宋体" w:eastAsia="宋体" w:cs="宋体"/>
              <w:color w:val="auto"/>
              <w:spacing w:val="-2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"bookmark248" </w:instrText>
          </w:r>
          <w:r>
            <w:rPr>
              <w:color w:val="auto"/>
              <w:highlight w:val="none"/>
            </w:rPr>
            <w:fldChar w:fldCharType="separate"/>
          </w:r>
          <w:r>
            <w:rPr>
              <w:rFonts w:ascii="宋体" w:hAnsi="宋体" w:eastAsia="宋体" w:cs="宋体"/>
              <w:color w:val="auto"/>
              <w:spacing w:val="-2"/>
              <w:sz w:val="21"/>
              <w:szCs w:val="21"/>
              <w:highlight w:val="none"/>
            </w:rPr>
            <w:t>212</w:t>
          </w:r>
          <w:r>
            <w:rPr>
              <w:rFonts w:ascii="宋体" w:hAnsi="宋体" w:eastAsia="宋体" w:cs="宋体"/>
              <w:color w:val="auto"/>
              <w:spacing w:val="-2"/>
              <w:sz w:val="21"/>
              <w:szCs w:val="21"/>
              <w:highlight w:val="none"/>
            </w:rPr>
            <w:fldChar w:fldCharType="end"/>
          </w:r>
        </w:p>
      </w:sdtContent>
    </w:sdt>
    <w:p w14:paraId="288E9DA9">
      <w:pPr>
        <w:spacing w:line="222" w:lineRule="auto"/>
        <w:rPr>
          <w:rFonts w:ascii="宋体" w:hAnsi="宋体" w:eastAsia="宋体" w:cs="宋体"/>
          <w:color w:val="auto"/>
          <w:sz w:val="21"/>
          <w:szCs w:val="21"/>
          <w:highlight w:val="none"/>
        </w:rPr>
        <w:sectPr>
          <w:footerReference r:id="rId10" w:type="default"/>
          <w:pgSz w:w="11905" w:h="16839"/>
          <w:pgMar w:top="1427" w:right="1785" w:bottom="1033" w:left="1785" w:header="0" w:footer="848" w:gutter="0"/>
          <w:pgNumType w:fmt="decimal"/>
          <w:cols w:space="720" w:num="1"/>
        </w:sectPr>
      </w:pPr>
    </w:p>
    <w:sdt>
      <w:sdtPr>
        <w:rPr>
          <w:rFonts w:ascii="宋体" w:hAnsi="宋体" w:eastAsia="宋体" w:cs="宋体"/>
          <w:color w:val="auto"/>
          <w:sz w:val="21"/>
          <w:szCs w:val="21"/>
          <w:highlight w:val="none"/>
        </w:rPr>
        <w:id w:val="6"/>
        <w:docPartObj>
          <w:docPartGallery w:val="Table of Contents"/>
          <w:docPartUnique/>
        </w:docPartObj>
      </w:sdtPr>
      <w:sdtEndPr>
        <w:rPr>
          <w:rFonts w:ascii="宋体" w:hAnsi="宋体" w:eastAsia="宋体" w:cs="宋体"/>
          <w:color w:val="auto"/>
          <w:sz w:val="21"/>
          <w:szCs w:val="21"/>
          <w:highlight w:val="none"/>
        </w:rPr>
      </w:sdtEndPr>
      <w:sdtContent>
        <w:p w14:paraId="69EC70F9">
          <w:pPr>
            <w:tabs>
              <w:tab w:val="right" w:leader="dot" w:pos="8317"/>
            </w:tabs>
            <w:spacing w:before="42" w:line="219" w:lineRule="auto"/>
            <w:ind w:left="85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4.12-5</w:t>
          </w:r>
          <w:r>
            <w:rPr>
              <w:rFonts w:ascii="宋体" w:hAnsi="宋体" w:eastAsia="宋体" w:cs="宋体"/>
              <w:color w:val="auto"/>
              <w:spacing w:val="-26"/>
              <w:sz w:val="21"/>
              <w:szCs w:val="21"/>
              <w:highlight w:val="none"/>
            </w:rPr>
            <w:t xml:space="preserve"> </w:t>
          </w:r>
          <w:r>
            <w:rPr>
              <w:rFonts w:ascii="宋体" w:hAnsi="宋体" w:eastAsia="宋体" w:cs="宋体"/>
              <w:color w:val="auto"/>
              <w:spacing w:val="-2"/>
              <w:sz w:val="21"/>
              <w:szCs w:val="21"/>
              <w:highlight w:val="none"/>
            </w:rPr>
            <w:t>总承包服务费计价表</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"bookmark249" </w:instrText>
          </w:r>
          <w:r>
            <w:rPr>
              <w:color w:val="auto"/>
              <w:highlight w:val="none"/>
            </w:rPr>
            <w:fldChar w:fldCharType="separate"/>
          </w:r>
          <w:r>
            <w:rPr>
              <w:rFonts w:ascii="宋体" w:hAnsi="宋体" w:eastAsia="宋体" w:cs="宋体"/>
              <w:color w:val="auto"/>
              <w:spacing w:val="-2"/>
              <w:sz w:val="21"/>
              <w:szCs w:val="21"/>
              <w:highlight w:val="none"/>
            </w:rPr>
            <w:t>213</w:t>
          </w:r>
          <w:r>
            <w:rPr>
              <w:rFonts w:ascii="宋体" w:hAnsi="宋体" w:eastAsia="宋体" w:cs="宋体"/>
              <w:color w:val="auto"/>
              <w:spacing w:val="-2"/>
              <w:sz w:val="21"/>
              <w:szCs w:val="21"/>
              <w:highlight w:val="none"/>
            </w:rPr>
            <w:fldChar w:fldCharType="end"/>
          </w:r>
        </w:p>
        <w:p w14:paraId="1743603F">
          <w:pPr>
            <w:tabs>
              <w:tab w:val="right" w:leader="dot" w:pos="8317"/>
            </w:tabs>
            <w:spacing w:before="19" w:line="219" w:lineRule="auto"/>
            <w:ind w:left="85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4.13</w:t>
          </w:r>
          <w:r>
            <w:rPr>
              <w:rFonts w:ascii="宋体" w:hAnsi="宋体" w:eastAsia="宋体" w:cs="宋体"/>
              <w:color w:val="auto"/>
              <w:spacing w:val="-42"/>
              <w:sz w:val="21"/>
              <w:szCs w:val="21"/>
              <w:highlight w:val="none"/>
            </w:rPr>
            <w:t xml:space="preserve"> </w:t>
          </w:r>
          <w:r>
            <w:rPr>
              <w:rFonts w:ascii="宋体" w:hAnsi="宋体" w:eastAsia="宋体" w:cs="宋体"/>
              <w:color w:val="auto"/>
              <w:spacing w:val="-1"/>
              <w:sz w:val="21"/>
              <w:szCs w:val="21"/>
              <w:highlight w:val="none"/>
            </w:rPr>
            <w:t>规费、税金项目计价表</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"bookmark250" </w:instrText>
          </w:r>
          <w:r>
            <w:rPr>
              <w:color w:val="auto"/>
              <w:highlight w:val="none"/>
            </w:rPr>
            <w:fldChar w:fldCharType="separate"/>
          </w:r>
          <w:r>
            <w:rPr>
              <w:rFonts w:ascii="宋体" w:hAnsi="宋体" w:eastAsia="宋体" w:cs="宋体"/>
              <w:color w:val="auto"/>
              <w:spacing w:val="-2"/>
              <w:sz w:val="21"/>
              <w:szCs w:val="21"/>
              <w:highlight w:val="none"/>
            </w:rPr>
            <w:t>214</w:t>
          </w:r>
          <w:r>
            <w:rPr>
              <w:rFonts w:ascii="宋体" w:hAnsi="宋体" w:eastAsia="宋体" w:cs="宋体"/>
              <w:color w:val="auto"/>
              <w:spacing w:val="-2"/>
              <w:sz w:val="21"/>
              <w:szCs w:val="21"/>
              <w:highlight w:val="none"/>
            </w:rPr>
            <w:fldChar w:fldCharType="end"/>
          </w:r>
        </w:p>
        <w:p w14:paraId="4046DFB0">
          <w:pPr>
            <w:tabs>
              <w:tab w:val="right" w:leader="dot" w:pos="8317"/>
            </w:tabs>
            <w:spacing w:before="24" w:line="220" w:lineRule="auto"/>
            <w:ind w:left="85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4.14</w:t>
          </w:r>
          <w:r>
            <w:rPr>
              <w:rFonts w:ascii="宋体" w:hAnsi="宋体" w:eastAsia="宋体" w:cs="宋体"/>
              <w:color w:val="auto"/>
              <w:spacing w:val="-33"/>
              <w:sz w:val="21"/>
              <w:szCs w:val="21"/>
              <w:highlight w:val="none"/>
            </w:rPr>
            <w:t xml:space="preserve"> </w:t>
          </w:r>
          <w:r>
            <w:rPr>
              <w:rFonts w:ascii="宋体" w:hAnsi="宋体" w:eastAsia="宋体" w:cs="宋体"/>
              <w:color w:val="auto"/>
              <w:spacing w:val="-2"/>
              <w:sz w:val="21"/>
              <w:szCs w:val="21"/>
              <w:highlight w:val="none"/>
            </w:rPr>
            <w:t xml:space="preserve">发包人提供材料和工程设备一览表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"bookmark251" </w:instrText>
          </w:r>
          <w:r>
            <w:rPr>
              <w:color w:val="auto"/>
              <w:highlight w:val="none"/>
            </w:rPr>
            <w:fldChar w:fldCharType="separate"/>
          </w:r>
          <w:r>
            <w:rPr>
              <w:rFonts w:ascii="宋体" w:hAnsi="宋体" w:eastAsia="宋体" w:cs="宋体"/>
              <w:color w:val="auto"/>
              <w:spacing w:val="-2"/>
              <w:sz w:val="21"/>
              <w:szCs w:val="21"/>
              <w:highlight w:val="none"/>
            </w:rPr>
            <w:t>215</w:t>
          </w:r>
          <w:r>
            <w:rPr>
              <w:rFonts w:ascii="宋体" w:hAnsi="宋体" w:eastAsia="宋体" w:cs="宋体"/>
              <w:color w:val="auto"/>
              <w:spacing w:val="-2"/>
              <w:sz w:val="21"/>
              <w:szCs w:val="21"/>
              <w:highlight w:val="none"/>
            </w:rPr>
            <w:fldChar w:fldCharType="end"/>
          </w:r>
        </w:p>
      </w:sdtContent>
    </w:sdt>
    <w:p w14:paraId="0231B6BC">
      <w:pPr>
        <w:spacing w:before="23" w:line="219" w:lineRule="auto"/>
        <w:ind w:right="12"/>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4.15</w:t>
      </w:r>
      <w:r>
        <w:rPr>
          <w:rFonts w:ascii="宋体" w:hAnsi="宋体" w:eastAsia="宋体" w:cs="宋体"/>
          <w:color w:val="auto"/>
          <w:spacing w:val="-29"/>
          <w:sz w:val="21"/>
          <w:szCs w:val="21"/>
          <w:highlight w:val="none"/>
        </w:rPr>
        <w:t xml:space="preserve"> </w:t>
      </w:r>
      <w:r>
        <w:rPr>
          <w:rFonts w:ascii="宋体" w:hAnsi="宋体" w:eastAsia="宋体" w:cs="宋体"/>
          <w:color w:val="auto"/>
          <w:spacing w:val="-1"/>
          <w:sz w:val="21"/>
          <w:szCs w:val="21"/>
          <w:highlight w:val="none"/>
        </w:rPr>
        <w:t>承包人提供主要材料和工程设备一览表（适用于造价信息差额调整法）</w:t>
      </w:r>
      <w:r>
        <w:rPr>
          <w:rFonts w:ascii="宋体" w:hAnsi="宋体" w:eastAsia="宋体" w:cs="宋体"/>
          <w:color w:val="auto"/>
          <w:spacing w:val="73"/>
          <w:sz w:val="21"/>
          <w:szCs w:val="21"/>
          <w:highlight w:val="none"/>
        </w:rPr>
        <w:t xml:space="preserve"> </w:t>
      </w:r>
      <w:r>
        <w:rPr>
          <w:rFonts w:ascii="宋体" w:hAnsi="宋体" w:eastAsia="宋体" w:cs="宋体"/>
          <w:color w:val="auto"/>
          <w:spacing w:val="-1"/>
          <w:sz w:val="21"/>
          <w:szCs w:val="21"/>
          <w:highlight w:val="none"/>
        </w:rPr>
        <w:t>216</w:t>
      </w:r>
    </w:p>
    <w:p w14:paraId="561E44DA">
      <w:pPr>
        <w:spacing w:before="25" w:line="219" w:lineRule="auto"/>
        <w:ind w:right="12"/>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4.16</w:t>
      </w:r>
      <w:r>
        <w:rPr>
          <w:rFonts w:ascii="宋体" w:hAnsi="宋体" w:eastAsia="宋体" w:cs="宋体"/>
          <w:color w:val="auto"/>
          <w:spacing w:val="-29"/>
          <w:sz w:val="21"/>
          <w:szCs w:val="21"/>
          <w:highlight w:val="none"/>
        </w:rPr>
        <w:t xml:space="preserve"> </w:t>
      </w:r>
      <w:r>
        <w:rPr>
          <w:rFonts w:ascii="宋体" w:hAnsi="宋体" w:eastAsia="宋体" w:cs="宋体"/>
          <w:color w:val="auto"/>
          <w:spacing w:val="-1"/>
          <w:sz w:val="21"/>
          <w:szCs w:val="21"/>
          <w:highlight w:val="none"/>
        </w:rPr>
        <w:t>承包人提供主要材料和工程设备一览表（适用于价格指数差额调整法）</w:t>
      </w:r>
      <w:r>
        <w:rPr>
          <w:rFonts w:ascii="宋体" w:hAnsi="宋体" w:eastAsia="宋体" w:cs="宋体"/>
          <w:color w:val="auto"/>
          <w:spacing w:val="73"/>
          <w:sz w:val="21"/>
          <w:szCs w:val="21"/>
          <w:highlight w:val="none"/>
        </w:rPr>
        <w:t xml:space="preserve"> </w:t>
      </w:r>
      <w:r>
        <w:rPr>
          <w:rFonts w:ascii="宋体" w:hAnsi="宋体" w:eastAsia="宋体" w:cs="宋体"/>
          <w:color w:val="auto"/>
          <w:spacing w:val="-1"/>
          <w:sz w:val="21"/>
          <w:szCs w:val="21"/>
          <w:highlight w:val="none"/>
        </w:rPr>
        <w:t>217</w:t>
      </w:r>
    </w:p>
    <w:sdt>
      <w:sdtPr>
        <w:rPr>
          <w:rFonts w:ascii="宋体" w:hAnsi="宋体" w:eastAsia="宋体" w:cs="宋体"/>
          <w:color w:val="auto"/>
          <w:sz w:val="21"/>
          <w:szCs w:val="21"/>
          <w:highlight w:val="none"/>
        </w:rPr>
        <w:id w:val="7"/>
        <w:docPartObj>
          <w:docPartGallery w:val="Table of Contents"/>
          <w:docPartUnique/>
        </w:docPartObj>
      </w:sdtPr>
      <w:sdtEndPr>
        <w:rPr>
          <w:rFonts w:ascii="宋体" w:hAnsi="宋体" w:eastAsia="宋体" w:cs="宋体"/>
          <w:color w:val="auto"/>
          <w:sz w:val="21"/>
          <w:szCs w:val="21"/>
          <w:highlight w:val="none"/>
        </w:rPr>
      </w:sdtEndPr>
      <w:sdtContent>
        <w:p w14:paraId="4F9CD48F">
          <w:pPr>
            <w:tabs>
              <w:tab w:val="right" w:leader="dot" w:pos="8307"/>
            </w:tabs>
            <w:spacing w:before="19" w:line="221"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第二卷</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32"/>
              <w:sz w:val="21"/>
              <w:szCs w:val="21"/>
              <w:highlight w:val="none"/>
            </w:rPr>
            <w:t xml:space="preserve"> </w:t>
          </w:r>
          <w:r>
            <w:rPr>
              <w:color w:val="auto"/>
              <w:highlight w:val="none"/>
            </w:rPr>
            <w:fldChar w:fldCharType="begin"/>
          </w:r>
          <w:r>
            <w:rPr>
              <w:color w:val="auto"/>
              <w:highlight w:val="none"/>
            </w:rPr>
            <w:instrText xml:space="preserve"> HYPERLINK \l "bookmark252" </w:instrText>
          </w:r>
          <w:r>
            <w:rPr>
              <w:color w:val="auto"/>
              <w:highlight w:val="none"/>
            </w:rPr>
            <w:fldChar w:fldCharType="separate"/>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218</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fldChar w:fldCharType="end"/>
          </w:r>
        </w:p>
        <w:p w14:paraId="44CF6C9F">
          <w:pPr>
            <w:tabs>
              <w:tab w:val="right" w:leader="dot" w:pos="8307"/>
            </w:tabs>
            <w:spacing w:before="22" w:line="220" w:lineRule="auto"/>
            <w:ind w:left="18"/>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14:textOutline w14:w="3831" w14:cap="flat" w14:cmpd="sng">
                <w14:solidFill>
                  <w14:srgbClr w14:val="000000"/>
                </w14:solidFill>
                <w14:prstDash w14:val="solid"/>
                <w14:miter w14:val="0"/>
              </w14:textOutline>
            </w:rPr>
            <w:t>第六章</w:t>
          </w:r>
          <w:r>
            <w:rPr>
              <w:rFonts w:ascii="宋体" w:hAnsi="宋体" w:eastAsia="宋体" w:cs="宋体"/>
              <w:color w:val="auto"/>
              <w:spacing w:val="16"/>
              <w:sz w:val="21"/>
              <w:szCs w:val="21"/>
              <w:highlight w:val="none"/>
            </w:rPr>
            <w:t xml:space="preserve">  </w:t>
          </w:r>
          <w:r>
            <w:rPr>
              <w:rFonts w:ascii="宋体" w:hAnsi="宋体" w:eastAsia="宋体" w:cs="宋体"/>
              <w:color w:val="auto"/>
              <w:spacing w:val="-9"/>
              <w:sz w:val="21"/>
              <w:szCs w:val="21"/>
              <w:highlight w:val="none"/>
              <w14:textOutline w14:w="3831" w14:cap="flat" w14:cmpd="sng">
                <w14:solidFill>
                  <w14:srgbClr w14:val="000000"/>
                </w14:solidFill>
                <w14:prstDash w14:val="solid"/>
                <w14:miter w14:val="0"/>
              </w14:textOutline>
            </w:rPr>
            <w:t>图</w:t>
          </w:r>
          <w:r>
            <w:rPr>
              <w:rFonts w:ascii="宋体" w:hAnsi="宋体" w:eastAsia="宋体" w:cs="宋体"/>
              <w:color w:val="auto"/>
              <w:spacing w:val="6"/>
              <w:sz w:val="21"/>
              <w:szCs w:val="21"/>
              <w:highlight w:val="none"/>
            </w:rPr>
            <w:t xml:space="preserve">  </w:t>
          </w:r>
          <w:r>
            <w:rPr>
              <w:rFonts w:ascii="宋体" w:hAnsi="宋体" w:eastAsia="宋体" w:cs="宋体"/>
              <w:color w:val="auto"/>
              <w:spacing w:val="-9"/>
              <w:sz w:val="21"/>
              <w:szCs w:val="21"/>
              <w:highlight w:val="none"/>
              <w14:textOutline w14:w="3831" w14:cap="flat" w14:cmpd="sng">
                <w14:solidFill>
                  <w14:srgbClr w14:val="000000"/>
                </w14:solidFill>
                <w14:prstDash w14:val="solid"/>
                <w14:miter w14:val="0"/>
              </w14:textOutline>
            </w:rPr>
            <w:t>纸</w:t>
          </w:r>
          <w:r>
            <w:rPr>
              <w:rFonts w:ascii="宋体" w:hAnsi="宋体" w:eastAsia="宋体" w:cs="宋体"/>
              <w:color w:val="auto"/>
              <w:spacing w:val="-52"/>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31"/>
              <w:sz w:val="21"/>
              <w:szCs w:val="21"/>
              <w:highlight w:val="none"/>
            </w:rPr>
            <w:t xml:space="preserve"> </w:t>
          </w:r>
          <w:r>
            <w:rPr>
              <w:color w:val="auto"/>
              <w:highlight w:val="none"/>
            </w:rPr>
            <w:fldChar w:fldCharType="begin"/>
          </w:r>
          <w:r>
            <w:rPr>
              <w:color w:val="auto"/>
              <w:highlight w:val="none"/>
            </w:rPr>
            <w:instrText xml:space="preserve"> HYPERLINK \l "bookmark253" </w:instrText>
          </w:r>
          <w:r>
            <w:rPr>
              <w:color w:val="auto"/>
              <w:highlight w:val="none"/>
            </w:rPr>
            <w:fldChar w:fldCharType="separate"/>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219</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fldChar w:fldCharType="end"/>
          </w:r>
        </w:p>
        <w:p w14:paraId="29FDE2AE">
          <w:pPr>
            <w:tabs>
              <w:tab w:val="right" w:leader="dot" w:pos="8317"/>
            </w:tabs>
            <w:spacing w:before="24" w:line="222" w:lineRule="auto"/>
            <w:ind w:left="45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1．图纸目录</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"bookmark254" </w:instrText>
          </w:r>
          <w:r>
            <w:rPr>
              <w:color w:val="auto"/>
              <w:highlight w:val="none"/>
            </w:rPr>
            <w:fldChar w:fldCharType="separate"/>
          </w:r>
          <w:r>
            <w:rPr>
              <w:rFonts w:ascii="宋体" w:hAnsi="宋体" w:eastAsia="宋体" w:cs="宋体"/>
              <w:color w:val="auto"/>
              <w:spacing w:val="-2"/>
              <w:sz w:val="21"/>
              <w:szCs w:val="21"/>
              <w:highlight w:val="none"/>
            </w:rPr>
            <w:t>220</w:t>
          </w:r>
          <w:r>
            <w:rPr>
              <w:rFonts w:ascii="宋体" w:hAnsi="宋体" w:eastAsia="宋体" w:cs="宋体"/>
              <w:color w:val="auto"/>
              <w:spacing w:val="-2"/>
              <w:sz w:val="21"/>
              <w:szCs w:val="21"/>
              <w:highlight w:val="none"/>
            </w:rPr>
            <w:fldChar w:fldCharType="end"/>
          </w:r>
        </w:p>
        <w:p w14:paraId="47AF909A">
          <w:pPr>
            <w:tabs>
              <w:tab w:val="right" w:leader="dot" w:pos="8317"/>
            </w:tabs>
            <w:spacing w:before="21" w:line="222" w:lineRule="auto"/>
            <w:ind w:left="443"/>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2．图</w:t>
          </w:r>
          <w:r>
            <w:rPr>
              <w:rFonts w:ascii="宋体" w:hAnsi="宋体" w:eastAsia="宋体" w:cs="宋体"/>
              <w:color w:val="auto"/>
              <w:spacing w:val="6"/>
              <w:sz w:val="21"/>
              <w:szCs w:val="21"/>
              <w:highlight w:val="none"/>
            </w:rPr>
            <w:t xml:space="preserve">  </w:t>
          </w:r>
          <w:r>
            <w:rPr>
              <w:rFonts w:ascii="宋体" w:hAnsi="宋体" w:eastAsia="宋体" w:cs="宋体"/>
              <w:color w:val="auto"/>
              <w:spacing w:val="-5"/>
              <w:sz w:val="21"/>
              <w:szCs w:val="21"/>
              <w:highlight w:val="none"/>
            </w:rPr>
            <w:t>纸</w:t>
          </w:r>
          <w:r>
            <w:rPr>
              <w:rFonts w:ascii="宋体" w:hAnsi="宋体" w:eastAsia="宋体" w:cs="宋体"/>
              <w:color w:val="auto"/>
              <w:spacing w:val="-9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"bookmark255" </w:instrText>
          </w:r>
          <w:r>
            <w:rPr>
              <w:color w:val="auto"/>
              <w:highlight w:val="none"/>
            </w:rPr>
            <w:fldChar w:fldCharType="separate"/>
          </w:r>
          <w:r>
            <w:rPr>
              <w:rFonts w:ascii="宋体" w:hAnsi="宋体" w:eastAsia="宋体" w:cs="宋体"/>
              <w:color w:val="auto"/>
              <w:spacing w:val="-2"/>
              <w:sz w:val="21"/>
              <w:szCs w:val="21"/>
              <w:highlight w:val="none"/>
            </w:rPr>
            <w:t>221</w:t>
          </w:r>
          <w:r>
            <w:rPr>
              <w:rFonts w:ascii="宋体" w:hAnsi="宋体" w:eastAsia="宋体" w:cs="宋体"/>
              <w:color w:val="auto"/>
              <w:spacing w:val="-2"/>
              <w:sz w:val="21"/>
              <w:szCs w:val="21"/>
              <w:highlight w:val="none"/>
            </w:rPr>
            <w:fldChar w:fldCharType="end"/>
          </w:r>
        </w:p>
        <w:p w14:paraId="73A8DC07">
          <w:pPr>
            <w:tabs>
              <w:tab w:val="right" w:leader="dot" w:pos="8307"/>
            </w:tabs>
            <w:spacing w:before="15" w:line="221"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第三卷</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32"/>
              <w:sz w:val="21"/>
              <w:szCs w:val="21"/>
              <w:highlight w:val="none"/>
            </w:rPr>
            <w:t xml:space="preserve"> </w:t>
          </w:r>
          <w:r>
            <w:rPr>
              <w:color w:val="auto"/>
              <w:highlight w:val="none"/>
            </w:rPr>
            <w:fldChar w:fldCharType="begin"/>
          </w:r>
          <w:r>
            <w:rPr>
              <w:color w:val="auto"/>
              <w:highlight w:val="none"/>
            </w:rPr>
            <w:instrText xml:space="preserve"> HYPERLINK \l "bookmark256" </w:instrText>
          </w:r>
          <w:r>
            <w:rPr>
              <w:color w:val="auto"/>
              <w:highlight w:val="none"/>
            </w:rPr>
            <w:fldChar w:fldCharType="separate"/>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222</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fldChar w:fldCharType="end"/>
          </w:r>
        </w:p>
        <w:p w14:paraId="084B2FD8">
          <w:pPr>
            <w:tabs>
              <w:tab w:val="right" w:leader="dot" w:pos="8307"/>
            </w:tabs>
            <w:spacing w:before="23"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第七章</w:t>
          </w:r>
          <w:r>
            <w:rPr>
              <w:rFonts w:ascii="宋体" w:hAnsi="宋体" w:eastAsia="宋体" w:cs="宋体"/>
              <w:color w:val="auto"/>
              <w:spacing w:val="-1"/>
              <w:sz w:val="21"/>
              <w:szCs w:val="21"/>
              <w:highlight w:val="none"/>
            </w:rPr>
            <w:t xml:space="preserve">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技术标准和要求</w:t>
          </w:r>
          <w:r>
            <w:rPr>
              <w:rFonts w:ascii="宋体" w:hAnsi="宋体" w:eastAsia="宋体" w:cs="宋体"/>
              <w:color w:val="auto"/>
              <w:spacing w:val="-1"/>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31"/>
              <w:sz w:val="21"/>
              <w:szCs w:val="21"/>
              <w:highlight w:val="none"/>
            </w:rPr>
            <w:t xml:space="preserve"> </w:t>
          </w:r>
          <w:r>
            <w:rPr>
              <w:color w:val="auto"/>
              <w:highlight w:val="none"/>
            </w:rPr>
            <w:fldChar w:fldCharType="begin"/>
          </w:r>
          <w:r>
            <w:rPr>
              <w:color w:val="auto"/>
              <w:highlight w:val="none"/>
            </w:rPr>
            <w:instrText xml:space="preserve"> HYPERLINK \l "bookmark257" </w:instrText>
          </w:r>
          <w:r>
            <w:rPr>
              <w:color w:val="auto"/>
              <w:highlight w:val="none"/>
            </w:rPr>
            <w:fldChar w:fldCharType="separate"/>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223</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fldChar w:fldCharType="end"/>
          </w:r>
        </w:p>
        <w:p w14:paraId="1657BCD8">
          <w:pPr>
            <w:tabs>
              <w:tab w:val="right" w:leader="dot" w:pos="8317"/>
            </w:tabs>
            <w:spacing w:before="23" w:line="221"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第一节 一般要求</w:t>
          </w:r>
          <w:r>
            <w:rPr>
              <w:rFonts w:ascii="宋体" w:hAnsi="宋体" w:eastAsia="宋体" w:cs="宋体"/>
              <w:color w:val="auto"/>
              <w:spacing w:val="-8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"bookmark258" </w:instrText>
          </w:r>
          <w:r>
            <w:rPr>
              <w:color w:val="auto"/>
              <w:highlight w:val="none"/>
            </w:rPr>
            <w:fldChar w:fldCharType="separate"/>
          </w:r>
          <w:r>
            <w:rPr>
              <w:rFonts w:ascii="宋体" w:hAnsi="宋体" w:eastAsia="宋体" w:cs="宋体"/>
              <w:color w:val="auto"/>
              <w:spacing w:val="-2"/>
              <w:sz w:val="21"/>
              <w:szCs w:val="21"/>
              <w:highlight w:val="none"/>
            </w:rPr>
            <w:t>224</w:t>
          </w:r>
          <w:r>
            <w:rPr>
              <w:rFonts w:ascii="宋体" w:hAnsi="宋体" w:eastAsia="宋体" w:cs="宋体"/>
              <w:color w:val="auto"/>
              <w:spacing w:val="-2"/>
              <w:sz w:val="21"/>
              <w:szCs w:val="21"/>
              <w:highlight w:val="none"/>
            </w:rPr>
            <w:fldChar w:fldCharType="end"/>
          </w:r>
        </w:p>
        <w:p w14:paraId="05C7A802">
          <w:pPr>
            <w:tabs>
              <w:tab w:val="right" w:leader="dot" w:pos="8317"/>
            </w:tabs>
            <w:spacing w:before="23" w:line="221" w:lineRule="auto"/>
            <w:ind w:left="87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1.工程说明</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"bookmark259" </w:instrText>
          </w:r>
          <w:r>
            <w:rPr>
              <w:color w:val="auto"/>
              <w:highlight w:val="none"/>
            </w:rPr>
            <w:fldChar w:fldCharType="separate"/>
          </w:r>
          <w:r>
            <w:rPr>
              <w:rFonts w:ascii="宋体" w:hAnsi="宋体" w:eastAsia="宋体" w:cs="宋体"/>
              <w:color w:val="auto"/>
              <w:spacing w:val="-2"/>
              <w:sz w:val="21"/>
              <w:szCs w:val="21"/>
              <w:highlight w:val="none"/>
            </w:rPr>
            <w:t>224</w:t>
          </w:r>
          <w:r>
            <w:rPr>
              <w:rFonts w:ascii="宋体" w:hAnsi="宋体" w:eastAsia="宋体" w:cs="宋体"/>
              <w:color w:val="auto"/>
              <w:spacing w:val="-2"/>
              <w:sz w:val="21"/>
              <w:szCs w:val="21"/>
              <w:highlight w:val="none"/>
            </w:rPr>
            <w:fldChar w:fldCharType="end"/>
          </w:r>
        </w:p>
        <w:p w14:paraId="043F5192">
          <w:pPr>
            <w:tabs>
              <w:tab w:val="right" w:leader="dot" w:pos="8317"/>
            </w:tabs>
            <w:spacing w:before="17" w:line="221" w:lineRule="auto"/>
            <w:ind w:left="86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2.承包范围</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"bookmark260" </w:instrText>
          </w:r>
          <w:r>
            <w:rPr>
              <w:color w:val="auto"/>
              <w:highlight w:val="none"/>
            </w:rPr>
            <w:fldChar w:fldCharType="separate"/>
          </w:r>
          <w:r>
            <w:rPr>
              <w:rFonts w:ascii="宋体" w:hAnsi="宋体" w:eastAsia="宋体" w:cs="宋体"/>
              <w:color w:val="auto"/>
              <w:spacing w:val="-2"/>
              <w:sz w:val="21"/>
              <w:szCs w:val="21"/>
              <w:highlight w:val="none"/>
            </w:rPr>
            <w:t>225</w:t>
          </w:r>
          <w:r>
            <w:rPr>
              <w:rFonts w:ascii="宋体" w:hAnsi="宋体" w:eastAsia="宋体" w:cs="宋体"/>
              <w:color w:val="auto"/>
              <w:spacing w:val="-2"/>
              <w:sz w:val="21"/>
              <w:szCs w:val="21"/>
              <w:highlight w:val="none"/>
            </w:rPr>
            <w:fldChar w:fldCharType="end"/>
          </w:r>
        </w:p>
        <w:p w14:paraId="744A6652">
          <w:pPr>
            <w:tabs>
              <w:tab w:val="right" w:leader="dot" w:pos="8317"/>
            </w:tabs>
            <w:spacing w:before="23" w:line="221" w:lineRule="auto"/>
            <w:ind w:left="86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3.工期要求</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"bookmark261" </w:instrText>
          </w:r>
          <w:r>
            <w:rPr>
              <w:color w:val="auto"/>
              <w:highlight w:val="none"/>
            </w:rPr>
            <w:fldChar w:fldCharType="separate"/>
          </w:r>
          <w:r>
            <w:rPr>
              <w:rFonts w:ascii="宋体" w:hAnsi="宋体" w:eastAsia="宋体" w:cs="宋体"/>
              <w:color w:val="auto"/>
              <w:spacing w:val="-2"/>
              <w:sz w:val="21"/>
              <w:szCs w:val="21"/>
              <w:highlight w:val="none"/>
            </w:rPr>
            <w:t>226</w:t>
          </w:r>
          <w:r>
            <w:rPr>
              <w:rFonts w:ascii="宋体" w:hAnsi="宋体" w:eastAsia="宋体" w:cs="宋体"/>
              <w:color w:val="auto"/>
              <w:spacing w:val="-2"/>
              <w:sz w:val="21"/>
              <w:szCs w:val="21"/>
              <w:highlight w:val="none"/>
            </w:rPr>
            <w:fldChar w:fldCharType="end"/>
          </w:r>
        </w:p>
        <w:p w14:paraId="18AAB5A7">
          <w:pPr>
            <w:tabs>
              <w:tab w:val="right" w:leader="dot" w:pos="8317"/>
            </w:tabs>
            <w:spacing w:before="22" w:line="221" w:lineRule="auto"/>
            <w:ind w:left="85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4.质量要求</w:t>
          </w:r>
          <w:r>
            <w:rPr>
              <w:rFonts w:ascii="宋体" w:hAnsi="宋体" w:eastAsia="宋体" w:cs="宋体"/>
              <w:color w:val="auto"/>
              <w:spacing w:val="-8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"bookmark262" </w:instrText>
          </w:r>
          <w:r>
            <w:rPr>
              <w:color w:val="auto"/>
              <w:highlight w:val="none"/>
            </w:rPr>
            <w:fldChar w:fldCharType="separate"/>
          </w:r>
          <w:r>
            <w:rPr>
              <w:rFonts w:ascii="宋体" w:hAnsi="宋体" w:eastAsia="宋体" w:cs="宋体"/>
              <w:color w:val="auto"/>
              <w:spacing w:val="-2"/>
              <w:sz w:val="21"/>
              <w:szCs w:val="21"/>
              <w:highlight w:val="none"/>
            </w:rPr>
            <w:t>226</w:t>
          </w:r>
          <w:r>
            <w:rPr>
              <w:rFonts w:ascii="宋体" w:hAnsi="宋体" w:eastAsia="宋体" w:cs="宋体"/>
              <w:color w:val="auto"/>
              <w:spacing w:val="-2"/>
              <w:sz w:val="21"/>
              <w:szCs w:val="21"/>
              <w:highlight w:val="none"/>
            </w:rPr>
            <w:fldChar w:fldCharType="end"/>
          </w:r>
        </w:p>
        <w:p w14:paraId="37B2CDB5">
          <w:pPr>
            <w:tabs>
              <w:tab w:val="right" w:leader="dot" w:pos="8317"/>
            </w:tabs>
            <w:spacing w:before="23" w:line="221" w:lineRule="auto"/>
            <w:ind w:left="86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5.适用规范和标准</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"bookmark263" </w:instrText>
          </w:r>
          <w:r>
            <w:rPr>
              <w:color w:val="auto"/>
              <w:highlight w:val="none"/>
            </w:rPr>
            <w:fldChar w:fldCharType="separate"/>
          </w:r>
          <w:r>
            <w:rPr>
              <w:rFonts w:ascii="宋体" w:hAnsi="宋体" w:eastAsia="宋体" w:cs="宋体"/>
              <w:color w:val="auto"/>
              <w:spacing w:val="-2"/>
              <w:sz w:val="21"/>
              <w:szCs w:val="21"/>
              <w:highlight w:val="none"/>
            </w:rPr>
            <w:t>227</w:t>
          </w:r>
          <w:r>
            <w:rPr>
              <w:rFonts w:ascii="宋体" w:hAnsi="宋体" w:eastAsia="宋体" w:cs="宋体"/>
              <w:color w:val="auto"/>
              <w:spacing w:val="-2"/>
              <w:sz w:val="21"/>
              <w:szCs w:val="21"/>
              <w:highlight w:val="none"/>
            </w:rPr>
            <w:fldChar w:fldCharType="end"/>
          </w:r>
        </w:p>
        <w:p w14:paraId="3EA17313">
          <w:pPr>
            <w:tabs>
              <w:tab w:val="right" w:leader="dot" w:pos="8317"/>
            </w:tabs>
            <w:spacing w:before="17" w:line="221" w:lineRule="auto"/>
            <w:ind w:left="86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6.安全文明施工</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"bookmark264" </w:instrText>
          </w:r>
          <w:r>
            <w:rPr>
              <w:color w:val="auto"/>
              <w:highlight w:val="none"/>
            </w:rPr>
            <w:fldChar w:fldCharType="separate"/>
          </w:r>
          <w:r>
            <w:rPr>
              <w:rFonts w:ascii="宋体" w:hAnsi="宋体" w:eastAsia="宋体" w:cs="宋体"/>
              <w:color w:val="auto"/>
              <w:spacing w:val="-2"/>
              <w:sz w:val="21"/>
              <w:szCs w:val="21"/>
              <w:highlight w:val="none"/>
            </w:rPr>
            <w:t>227</w:t>
          </w:r>
          <w:r>
            <w:rPr>
              <w:rFonts w:ascii="宋体" w:hAnsi="宋体" w:eastAsia="宋体" w:cs="宋体"/>
              <w:color w:val="auto"/>
              <w:spacing w:val="-2"/>
              <w:sz w:val="21"/>
              <w:szCs w:val="21"/>
              <w:highlight w:val="none"/>
            </w:rPr>
            <w:fldChar w:fldCharType="end"/>
          </w:r>
        </w:p>
        <w:p w14:paraId="6B16681F">
          <w:pPr>
            <w:tabs>
              <w:tab w:val="right" w:leader="dot" w:pos="8317"/>
            </w:tabs>
            <w:spacing w:before="23" w:line="221" w:lineRule="auto"/>
            <w:ind w:left="86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7.治安保卫</w:t>
          </w:r>
          <w:r>
            <w:rPr>
              <w:rFonts w:ascii="宋体" w:hAnsi="宋体" w:eastAsia="宋体" w:cs="宋体"/>
              <w:color w:val="auto"/>
              <w:spacing w:val="-8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"bookmark265" </w:instrText>
          </w:r>
          <w:r>
            <w:rPr>
              <w:color w:val="auto"/>
              <w:highlight w:val="none"/>
            </w:rPr>
            <w:fldChar w:fldCharType="separate"/>
          </w:r>
          <w:r>
            <w:rPr>
              <w:rFonts w:ascii="宋体" w:hAnsi="宋体" w:eastAsia="宋体" w:cs="宋体"/>
              <w:color w:val="auto"/>
              <w:spacing w:val="-2"/>
              <w:sz w:val="21"/>
              <w:szCs w:val="21"/>
              <w:highlight w:val="none"/>
            </w:rPr>
            <w:t>236</w:t>
          </w:r>
          <w:r>
            <w:rPr>
              <w:rFonts w:ascii="宋体" w:hAnsi="宋体" w:eastAsia="宋体" w:cs="宋体"/>
              <w:color w:val="auto"/>
              <w:spacing w:val="-2"/>
              <w:sz w:val="21"/>
              <w:szCs w:val="21"/>
              <w:highlight w:val="none"/>
            </w:rPr>
            <w:fldChar w:fldCharType="end"/>
          </w:r>
        </w:p>
        <w:p w14:paraId="0D34751B">
          <w:pPr>
            <w:tabs>
              <w:tab w:val="right" w:leader="dot" w:pos="8317"/>
            </w:tabs>
            <w:spacing w:before="21" w:line="221" w:lineRule="auto"/>
            <w:ind w:left="85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8.地上、地下设施和周边建筑物的临时保护</w:t>
          </w:r>
          <w:r>
            <w:rPr>
              <w:rFonts w:ascii="宋体" w:hAnsi="宋体" w:eastAsia="宋体" w:cs="宋体"/>
              <w:color w:val="auto"/>
              <w:spacing w:val="-5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"bookmark266" </w:instrText>
          </w:r>
          <w:r>
            <w:rPr>
              <w:color w:val="auto"/>
              <w:highlight w:val="none"/>
            </w:rPr>
            <w:fldChar w:fldCharType="separate"/>
          </w:r>
          <w:r>
            <w:rPr>
              <w:rFonts w:ascii="宋体" w:hAnsi="宋体" w:eastAsia="宋体" w:cs="宋体"/>
              <w:color w:val="auto"/>
              <w:spacing w:val="-2"/>
              <w:sz w:val="21"/>
              <w:szCs w:val="21"/>
              <w:highlight w:val="none"/>
            </w:rPr>
            <w:t>237</w:t>
          </w:r>
          <w:r>
            <w:rPr>
              <w:rFonts w:ascii="宋体" w:hAnsi="宋体" w:eastAsia="宋体" w:cs="宋体"/>
              <w:color w:val="auto"/>
              <w:spacing w:val="-2"/>
              <w:sz w:val="21"/>
              <w:szCs w:val="21"/>
              <w:highlight w:val="none"/>
            </w:rPr>
            <w:fldChar w:fldCharType="end"/>
          </w:r>
        </w:p>
        <w:p w14:paraId="3A05D812">
          <w:pPr>
            <w:tabs>
              <w:tab w:val="right" w:leader="dot" w:pos="8317"/>
            </w:tabs>
            <w:spacing w:before="23" w:line="220" w:lineRule="auto"/>
            <w:ind w:left="85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9.样品和材料代换</w:t>
          </w:r>
          <w:r>
            <w:rPr>
              <w:rFonts w:ascii="宋体" w:hAnsi="宋体" w:eastAsia="宋体" w:cs="宋体"/>
              <w:color w:val="auto"/>
              <w:spacing w:val="-7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"bookmark267" </w:instrText>
          </w:r>
          <w:r>
            <w:rPr>
              <w:color w:val="auto"/>
              <w:highlight w:val="none"/>
            </w:rPr>
            <w:fldChar w:fldCharType="separate"/>
          </w:r>
          <w:r>
            <w:rPr>
              <w:rFonts w:ascii="宋体" w:hAnsi="宋体" w:eastAsia="宋体" w:cs="宋体"/>
              <w:color w:val="auto"/>
              <w:spacing w:val="-2"/>
              <w:sz w:val="21"/>
              <w:szCs w:val="21"/>
              <w:highlight w:val="none"/>
            </w:rPr>
            <w:t>238</w:t>
          </w:r>
          <w:r>
            <w:rPr>
              <w:rFonts w:ascii="宋体" w:hAnsi="宋体" w:eastAsia="宋体" w:cs="宋体"/>
              <w:color w:val="auto"/>
              <w:spacing w:val="-2"/>
              <w:sz w:val="21"/>
              <w:szCs w:val="21"/>
              <w:highlight w:val="none"/>
            </w:rPr>
            <w:fldChar w:fldCharType="end"/>
          </w:r>
        </w:p>
        <w:p w14:paraId="6AA2F29D">
          <w:pPr>
            <w:tabs>
              <w:tab w:val="right" w:leader="dot" w:pos="8317"/>
            </w:tabs>
            <w:spacing w:before="18" w:line="220" w:lineRule="auto"/>
            <w:ind w:left="87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10.进口材料和工程设备</w:t>
          </w:r>
          <w:r>
            <w:rPr>
              <w:rFonts w:ascii="宋体" w:hAnsi="宋体" w:eastAsia="宋体" w:cs="宋体"/>
              <w:color w:val="auto"/>
              <w:spacing w:val="-7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"bookmark268" </w:instrText>
          </w:r>
          <w:r>
            <w:rPr>
              <w:color w:val="auto"/>
              <w:highlight w:val="none"/>
            </w:rPr>
            <w:fldChar w:fldCharType="separate"/>
          </w:r>
          <w:r>
            <w:rPr>
              <w:rFonts w:ascii="宋体" w:hAnsi="宋体" w:eastAsia="宋体" w:cs="宋体"/>
              <w:color w:val="auto"/>
              <w:spacing w:val="-2"/>
              <w:sz w:val="21"/>
              <w:szCs w:val="21"/>
              <w:highlight w:val="none"/>
            </w:rPr>
            <w:t>239</w:t>
          </w:r>
          <w:r>
            <w:rPr>
              <w:rFonts w:ascii="宋体" w:hAnsi="宋体" w:eastAsia="宋体" w:cs="宋体"/>
              <w:color w:val="auto"/>
              <w:spacing w:val="-2"/>
              <w:sz w:val="21"/>
              <w:szCs w:val="21"/>
              <w:highlight w:val="none"/>
            </w:rPr>
            <w:fldChar w:fldCharType="end"/>
          </w:r>
        </w:p>
        <w:p w14:paraId="584BC4D5">
          <w:pPr>
            <w:tabs>
              <w:tab w:val="right" w:leader="dot" w:pos="8317"/>
            </w:tabs>
            <w:spacing w:before="24" w:line="219" w:lineRule="auto"/>
            <w:ind w:left="87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11.进度报告和进度例会</w:t>
          </w:r>
          <w:r>
            <w:rPr>
              <w:rFonts w:ascii="宋体" w:hAnsi="宋体" w:eastAsia="宋体" w:cs="宋体"/>
              <w:color w:val="auto"/>
              <w:spacing w:val="-7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"bookmark269" </w:instrText>
          </w:r>
          <w:r>
            <w:rPr>
              <w:color w:val="auto"/>
              <w:highlight w:val="none"/>
            </w:rPr>
            <w:fldChar w:fldCharType="separate"/>
          </w:r>
          <w:r>
            <w:rPr>
              <w:rFonts w:ascii="宋体" w:hAnsi="宋体" w:eastAsia="宋体" w:cs="宋体"/>
              <w:color w:val="auto"/>
              <w:spacing w:val="-2"/>
              <w:sz w:val="21"/>
              <w:szCs w:val="21"/>
              <w:highlight w:val="none"/>
            </w:rPr>
            <w:t>239</w:t>
          </w:r>
          <w:r>
            <w:rPr>
              <w:rFonts w:ascii="宋体" w:hAnsi="宋体" w:eastAsia="宋体" w:cs="宋体"/>
              <w:color w:val="auto"/>
              <w:spacing w:val="-2"/>
              <w:sz w:val="21"/>
              <w:szCs w:val="21"/>
              <w:highlight w:val="none"/>
            </w:rPr>
            <w:fldChar w:fldCharType="end"/>
          </w:r>
        </w:p>
        <w:p w14:paraId="67F244AC">
          <w:pPr>
            <w:tabs>
              <w:tab w:val="right" w:leader="dot" w:pos="8317"/>
            </w:tabs>
            <w:spacing w:before="24" w:line="221" w:lineRule="auto"/>
            <w:ind w:left="87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12.试验和检验</w:t>
          </w:r>
          <w:r>
            <w:rPr>
              <w:rFonts w:ascii="宋体" w:hAnsi="宋体" w:eastAsia="宋体" w:cs="宋体"/>
              <w:color w:val="auto"/>
              <w:spacing w:val="-7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"bookmark270" </w:instrText>
          </w:r>
          <w:r>
            <w:rPr>
              <w:color w:val="auto"/>
              <w:highlight w:val="none"/>
            </w:rPr>
            <w:fldChar w:fldCharType="separate"/>
          </w:r>
          <w:r>
            <w:rPr>
              <w:rFonts w:ascii="宋体" w:hAnsi="宋体" w:eastAsia="宋体" w:cs="宋体"/>
              <w:color w:val="auto"/>
              <w:spacing w:val="-2"/>
              <w:sz w:val="21"/>
              <w:szCs w:val="21"/>
              <w:highlight w:val="none"/>
            </w:rPr>
            <w:t>241</w:t>
          </w:r>
          <w:r>
            <w:rPr>
              <w:rFonts w:ascii="宋体" w:hAnsi="宋体" w:eastAsia="宋体" w:cs="宋体"/>
              <w:color w:val="auto"/>
              <w:spacing w:val="-2"/>
              <w:sz w:val="21"/>
              <w:szCs w:val="21"/>
              <w:highlight w:val="none"/>
            </w:rPr>
            <w:fldChar w:fldCharType="end"/>
          </w:r>
        </w:p>
        <w:p w14:paraId="2F56FA56">
          <w:pPr>
            <w:tabs>
              <w:tab w:val="right" w:leader="dot" w:pos="8317"/>
            </w:tabs>
            <w:spacing w:before="18" w:line="222" w:lineRule="auto"/>
            <w:ind w:left="87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13.计日工</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"bookmark271" </w:instrText>
          </w:r>
          <w:r>
            <w:rPr>
              <w:color w:val="auto"/>
              <w:highlight w:val="none"/>
            </w:rPr>
            <w:fldChar w:fldCharType="separate"/>
          </w:r>
          <w:r>
            <w:rPr>
              <w:rFonts w:ascii="宋体" w:hAnsi="宋体" w:eastAsia="宋体" w:cs="宋体"/>
              <w:color w:val="auto"/>
              <w:spacing w:val="-2"/>
              <w:sz w:val="21"/>
              <w:szCs w:val="21"/>
              <w:highlight w:val="none"/>
            </w:rPr>
            <w:t>242</w:t>
          </w:r>
          <w:r>
            <w:rPr>
              <w:rFonts w:ascii="宋体" w:hAnsi="宋体" w:eastAsia="宋体" w:cs="宋体"/>
              <w:color w:val="auto"/>
              <w:spacing w:val="-2"/>
              <w:sz w:val="21"/>
              <w:szCs w:val="21"/>
              <w:highlight w:val="none"/>
            </w:rPr>
            <w:fldChar w:fldCharType="end"/>
          </w:r>
        </w:p>
        <w:p w14:paraId="09BB1C58">
          <w:pPr>
            <w:tabs>
              <w:tab w:val="right" w:leader="dot" w:pos="8317"/>
            </w:tabs>
            <w:spacing w:before="21" w:line="221" w:lineRule="auto"/>
            <w:ind w:left="87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14.计量与支付</w:t>
          </w:r>
          <w:r>
            <w:rPr>
              <w:rFonts w:ascii="宋体" w:hAnsi="宋体" w:eastAsia="宋体" w:cs="宋体"/>
              <w:color w:val="auto"/>
              <w:spacing w:val="-7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"bookmark272" </w:instrText>
          </w:r>
          <w:r>
            <w:rPr>
              <w:color w:val="auto"/>
              <w:highlight w:val="none"/>
            </w:rPr>
            <w:fldChar w:fldCharType="separate"/>
          </w:r>
          <w:r>
            <w:rPr>
              <w:rFonts w:ascii="宋体" w:hAnsi="宋体" w:eastAsia="宋体" w:cs="宋体"/>
              <w:color w:val="auto"/>
              <w:spacing w:val="-2"/>
              <w:sz w:val="21"/>
              <w:szCs w:val="21"/>
              <w:highlight w:val="none"/>
            </w:rPr>
            <w:t>243</w:t>
          </w:r>
          <w:r>
            <w:rPr>
              <w:rFonts w:ascii="宋体" w:hAnsi="宋体" w:eastAsia="宋体" w:cs="宋体"/>
              <w:color w:val="auto"/>
              <w:spacing w:val="-2"/>
              <w:sz w:val="21"/>
              <w:szCs w:val="21"/>
              <w:highlight w:val="none"/>
            </w:rPr>
            <w:fldChar w:fldCharType="end"/>
          </w:r>
        </w:p>
        <w:p w14:paraId="4A540A26">
          <w:pPr>
            <w:tabs>
              <w:tab w:val="right" w:leader="dot" w:pos="8317"/>
            </w:tabs>
            <w:spacing w:before="22" w:line="221" w:lineRule="auto"/>
            <w:ind w:left="87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15.竣工验收和工程移交</w:t>
          </w:r>
          <w:r>
            <w:rPr>
              <w:rFonts w:ascii="宋体" w:hAnsi="宋体" w:eastAsia="宋体" w:cs="宋体"/>
              <w:color w:val="auto"/>
              <w:spacing w:val="-7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"bookmark273" </w:instrText>
          </w:r>
          <w:r>
            <w:rPr>
              <w:color w:val="auto"/>
              <w:highlight w:val="none"/>
            </w:rPr>
            <w:fldChar w:fldCharType="separate"/>
          </w:r>
          <w:r>
            <w:rPr>
              <w:rFonts w:ascii="宋体" w:hAnsi="宋体" w:eastAsia="宋体" w:cs="宋体"/>
              <w:color w:val="auto"/>
              <w:spacing w:val="-2"/>
              <w:sz w:val="21"/>
              <w:szCs w:val="21"/>
              <w:highlight w:val="none"/>
            </w:rPr>
            <w:t>244</w:t>
          </w:r>
          <w:r>
            <w:rPr>
              <w:rFonts w:ascii="宋体" w:hAnsi="宋体" w:eastAsia="宋体" w:cs="宋体"/>
              <w:color w:val="auto"/>
              <w:spacing w:val="-2"/>
              <w:sz w:val="21"/>
              <w:szCs w:val="21"/>
              <w:highlight w:val="none"/>
            </w:rPr>
            <w:fldChar w:fldCharType="end"/>
          </w:r>
        </w:p>
        <w:p w14:paraId="0419B587">
          <w:pPr>
            <w:tabs>
              <w:tab w:val="right" w:leader="dot" w:pos="8317"/>
            </w:tabs>
            <w:spacing w:before="23" w:line="221" w:lineRule="auto"/>
            <w:ind w:left="87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16.其他要求</w:t>
          </w:r>
          <w:r>
            <w:rPr>
              <w:rFonts w:ascii="宋体" w:hAnsi="宋体" w:eastAsia="宋体" w:cs="宋体"/>
              <w:color w:val="auto"/>
              <w:spacing w:val="-8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"bookmark274" </w:instrText>
          </w:r>
          <w:r>
            <w:rPr>
              <w:color w:val="auto"/>
              <w:highlight w:val="none"/>
            </w:rPr>
            <w:fldChar w:fldCharType="separate"/>
          </w:r>
          <w:r>
            <w:rPr>
              <w:rFonts w:ascii="宋体" w:hAnsi="宋体" w:eastAsia="宋体" w:cs="宋体"/>
              <w:color w:val="auto"/>
              <w:spacing w:val="-2"/>
              <w:sz w:val="21"/>
              <w:szCs w:val="21"/>
              <w:highlight w:val="none"/>
            </w:rPr>
            <w:t>246</w:t>
          </w:r>
          <w:r>
            <w:rPr>
              <w:rFonts w:ascii="宋体" w:hAnsi="宋体" w:eastAsia="宋体" w:cs="宋体"/>
              <w:color w:val="auto"/>
              <w:spacing w:val="-2"/>
              <w:sz w:val="21"/>
              <w:szCs w:val="21"/>
              <w:highlight w:val="none"/>
            </w:rPr>
            <w:fldChar w:fldCharType="end"/>
          </w:r>
        </w:p>
        <w:p w14:paraId="09B5976E">
          <w:pPr>
            <w:tabs>
              <w:tab w:val="right" w:leader="dot" w:pos="8317"/>
            </w:tabs>
            <w:spacing w:before="16" w:line="221"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第二节  特殊技术标准和要求</w:t>
          </w:r>
          <w:r>
            <w:rPr>
              <w:rFonts w:ascii="宋体" w:hAnsi="宋体" w:eastAsia="宋体" w:cs="宋体"/>
              <w:color w:val="auto"/>
              <w:spacing w:val="-7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"bookmark275" </w:instrText>
          </w:r>
          <w:r>
            <w:rPr>
              <w:color w:val="auto"/>
              <w:highlight w:val="none"/>
            </w:rPr>
            <w:fldChar w:fldCharType="separate"/>
          </w:r>
          <w:r>
            <w:rPr>
              <w:rFonts w:ascii="宋体" w:hAnsi="宋体" w:eastAsia="宋体" w:cs="宋体"/>
              <w:color w:val="auto"/>
              <w:spacing w:val="-2"/>
              <w:sz w:val="21"/>
              <w:szCs w:val="21"/>
              <w:highlight w:val="none"/>
            </w:rPr>
            <w:t>247</w:t>
          </w:r>
          <w:r>
            <w:rPr>
              <w:rFonts w:ascii="宋体" w:hAnsi="宋体" w:eastAsia="宋体" w:cs="宋体"/>
              <w:color w:val="auto"/>
              <w:spacing w:val="-2"/>
              <w:sz w:val="21"/>
              <w:szCs w:val="21"/>
              <w:highlight w:val="none"/>
            </w:rPr>
            <w:fldChar w:fldCharType="end"/>
          </w:r>
        </w:p>
        <w:p w14:paraId="2C840E88">
          <w:pPr>
            <w:tabs>
              <w:tab w:val="right" w:leader="dot" w:pos="8317"/>
            </w:tabs>
            <w:spacing w:before="23" w:line="220" w:lineRule="auto"/>
            <w:ind w:left="87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1．材料和工程设备技术要求</w:t>
          </w:r>
          <w:r>
            <w:rPr>
              <w:rFonts w:ascii="宋体" w:hAnsi="宋体" w:eastAsia="宋体" w:cs="宋体"/>
              <w:color w:val="auto"/>
              <w:spacing w:val="-7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"bookmark276" </w:instrText>
          </w:r>
          <w:r>
            <w:rPr>
              <w:color w:val="auto"/>
              <w:highlight w:val="none"/>
            </w:rPr>
            <w:fldChar w:fldCharType="separate"/>
          </w:r>
          <w:r>
            <w:rPr>
              <w:rFonts w:ascii="宋体" w:hAnsi="宋体" w:eastAsia="宋体" w:cs="宋体"/>
              <w:color w:val="auto"/>
              <w:spacing w:val="-2"/>
              <w:sz w:val="21"/>
              <w:szCs w:val="21"/>
              <w:highlight w:val="none"/>
            </w:rPr>
            <w:t>247</w:t>
          </w:r>
          <w:r>
            <w:rPr>
              <w:rFonts w:ascii="宋体" w:hAnsi="宋体" w:eastAsia="宋体" w:cs="宋体"/>
              <w:color w:val="auto"/>
              <w:spacing w:val="-2"/>
              <w:sz w:val="21"/>
              <w:szCs w:val="21"/>
              <w:highlight w:val="none"/>
            </w:rPr>
            <w:fldChar w:fldCharType="end"/>
          </w:r>
        </w:p>
        <w:p w14:paraId="09F44510">
          <w:pPr>
            <w:tabs>
              <w:tab w:val="right" w:leader="dot" w:pos="8317"/>
            </w:tabs>
            <w:spacing w:before="23" w:line="221" w:lineRule="auto"/>
            <w:ind w:left="86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2．特殊技术要求</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"bookmark277" </w:instrText>
          </w:r>
          <w:r>
            <w:rPr>
              <w:color w:val="auto"/>
              <w:highlight w:val="none"/>
            </w:rPr>
            <w:fldChar w:fldCharType="separate"/>
          </w:r>
          <w:r>
            <w:rPr>
              <w:rFonts w:ascii="宋体" w:hAnsi="宋体" w:eastAsia="宋体" w:cs="宋体"/>
              <w:color w:val="auto"/>
              <w:spacing w:val="-2"/>
              <w:sz w:val="21"/>
              <w:szCs w:val="21"/>
              <w:highlight w:val="none"/>
            </w:rPr>
            <w:t>247</w:t>
          </w:r>
          <w:r>
            <w:rPr>
              <w:rFonts w:ascii="宋体" w:hAnsi="宋体" w:eastAsia="宋体" w:cs="宋体"/>
              <w:color w:val="auto"/>
              <w:spacing w:val="-2"/>
              <w:sz w:val="21"/>
              <w:szCs w:val="21"/>
              <w:highlight w:val="none"/>
            </w:rPr>
            <w:fldChar w:fldCharType="end"/>
          </w:r>
        </w:p>
        <w:p w14:paraId="5EB13E25">
          <w:pPr>
            <w:tabs>
              <w:tab w:val="right" w:leader="dot" w:pos="8317"/>
            </w:tabs>
            <w:spacing w:before="23" w:line="220" w:lineRule="auto"/>
            <w:ind w:left="86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3．新技术、新工艺和新材料</w:t>
          </w:r>
          <w:r>
            <w:rPr>
              <w:rFonts w:ascii="宋体" w:hAnsi="宋体" w:eastAsia="宋体" w:cs="宋体"/>
              <w:color w:val="auto"/>
              <w:spacing w:val="-7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"bookmark278" </w:instrText>
          </w:r>
          <w:r>
            <w:rPr>
              <w:color w:val="auto"/>
              <w:highlight w:val="none"/>
            </w:rPr>
            <w:fldChar w:fldCharType="separate"/>
          </w:r>
          <w:r>
            <w:rPr>
              <w:rFonts w:ascii="宋体" w:hAnsi="宋体" w:eastAsia="宋体" w:cs="宋体"/>
              <w:color w:val="auto"/>
              <w:spacing w:val="-2"/>
              <w:sz w:val="21"/>
              <w:szCs w:val="21"/>
              <w:highlight w:val="none"/>
            </w:rPr>
            <w:t>247</w:t>
          </w:r>
          <w:r>
            <w:rPr>
              <w:rFonts w:ascii="宋体" w:hAnsi="宋体" w:eastAsia="宋体" w:cs="宋体"/>
              <w:color w:val="auto"/>
              <w:spacing w:val="-2"/>
              <w:sz w:val="21"/>
              <w:szCs w:val="21"/>
              <w:highlight w:val="none"/>
            </w:rPr>
            <w:fldChar w:fldCharType="end"/>
          </w:r>
        </w:p>
        <w:p w14:paraId="7FDBD5F6">
          <w:pPr>
            <w:tabs>
              <w:tab w:val="right" w:leader="dot" w:pos="8317"/>
            </w:tabs>
            <w:spacing w:before="18" w:line="221" w:lineRule="auto"/>
            <w:ind w:left="85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4．其他特殊技术标准和要求</w:t>
          </w:r>
          <w:r>
            <w:rPr>
              <w:rFonts w:ascii="宋体" w:hAnsi="宋体" w:eastAsia="宋体" w:cs="宋体"/>
              <w:color w:val="auto"/>
              <w:spacing w:val="-6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"bookmark279" </w:instrText>
          </w:r>
          <w:r>
            <w:rPr>
              <w:color w:val="auto"/>
              <w:highlight w:val="none"/>
            </w:rPr>
            <w:fldChar w:fldCharType="separate"/>
          </w:r>
          <w:r>
            <w:rPr>
              <w:rFonts w:ascii="宋体" w:hAnsi="宋体" w:eastAsia="宋体" w:cs="宋体"/>
              <w:color w:val="auto"/>
              <w:spacing w:val="-2"/>
              <w:sz w:val="21"/>
              <w:szCs w:val="21"/>
              <w:highlight w:val="none"/>
            </w:rPr>
            <w:t>248</w:t>
          </w:r>
          <w:r>
            <w:rPr>
              <w:rFonts w:ascii="宋体" w:hAnsi="宋体" w:eastAsia="宋体" w:cs="宋体"/>
              <w:color w:val="auto"/>
              <w:spacing w:val="-2"/>
              <w:sz w:val="21"/>
              <w:szCs w:val="21"/>
              <w:highlight w:val="none"/>
            </w:rPr>
            <w:fldChar w:fldCharType="end"/>
          </w:r>
        </w:p>
        <w:p w14:paraId="5E73D2D3">
          <w:pPr>
            <w:tabs>
              <w:tab w:val="right" w:leader="dot" w:pos="8317"/>
            </w:tabs>
            <w:spacing w:before="22" w:line="221"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第三节  适用的国家、行业以及地方规范、标准和规程</w:t>
          </w:r>
          <w:r>
            <w:rPr>
              <w:rFonts w:ascii="宋体" w:hAnsi="宋体" w:eastAsia="宋体" w:cs="宋体"/>
              <w:color w:val="auto"/>
              <w:spacing w:val="-45"/>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"bookmark280" </w:instrText>
          </w:r>
          <w:r>
            <w:rPr>
              <w:color w:val="auto"/>
              <w:highlight w:val="none"/>
            </w:rPr>
            <w:fldChar w:fldCharType="separate"/>
          </w:r>
          <w:r>
            <w:rPr>
              <w:rFonts w:ascii="宋体" w:hAnsi="宋体" w:eastAsia="宋体" w:cs="宋体"/>
              <w:color w:val="auto"/>
              <w:spacing w:val="-2"/>
              <w:sz w:val="21"/>
              <w:szCs w:val="21"/>
              <w:highlight w:val="none"/>
            </w:rPr>
            <w:t>249</w:t>
          </w:r>
          <w:r>
            <w:rPr>
              <w:rFonts w:ascii="宋体" w:hAnsi="宋体" w:eastAsia="宋体" w:cs="宋体"/>
              <w:color w:val="auto"/>
              <w:spacing w:val="-2"/>
              <w:sz w:val="21"/>
              <w:szCs w:val="21"/>
              <w:highlight w:val="none"/>
            </w:rPr>
            <w:fldChar w:fldCharType="end"/>
          </w:r>
        </w:p>
        <w:p w14:paraId="33B9F89E">
          <w:pPr>
            <w:tabs>
              <w:tab w:val="right" w:leader="dot" w:pos="8307"/>
            </w:tabs>
            <w:spacing w:before="23" w:line="221"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第四卷</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32"/>
              <w:sz w:val="21"/>
              <w:szCs w:val="21"/>
              <w:highlight w:val="none"/>
            </w:rPr>
            <w:t xml:space="preserve"> </w:t>
          </w:r>
          <w:r>
            <w:rPr>
              <w:color w:val="auto"/>
              <w:highlight w:val="none"/>
            </w:rPr>
            <w:fldChar w:fldCharType="begin"/>
          </w:r>
          <w:r>
            <w:rPr>
              <w:color w:val="auto"/>
              <w:highlight w:val="none"/>
            </w:rPr>
            <w:instrText xml:space="preserve"> HYPERLINK \l "bookmark281" </w:instrText>
          </w:r>
          <w:r>
            <w:rPr>
              <w:color w:val="auto"/>
              <w:highlight w:val="none"/>
            </w:rPr>
            <w:fldChar w:fldCharType="separate"/>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251</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fldChar w:fldCharType="end"/>
          </w:r>
        </w:p>
        <w:p w14:paraId="2BD36F49">
          <w:pPr>
            <w:tabs>
              <w:tab w:val="right" w:leader="dot" w:pos="8307"/>
            </w:tabs>
            <w:spacing w:before="22" w:line="220"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第八章</w:t>
          </w:r>
          <w:r>
            <w:rPr>
              <w:rFonts w:ascii="宋体" w:hAnsi="宋体" w:eastAsia="宋体" w:cs="宋体"/>
              <w:color w:val="auto"/>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投标文件格式</w:t>
          </w:r>
          <w:r>
            <w:rPr>
              <w:rFonts w:ascii="宋体" w:hAnsi="宋体" w:eastAsia="宋体" w:cs="宋体"/>
              <w:color w:val="auto"/>
              <w:spacing w:val="-21"/>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b/>
          </w:r>
          <w:r>
            <w:rPr>
              <w:rFonts w:ascii="宋体" w:hAnsi="宋体" w:eastAsia="宋体" w:cs="宋体"/>
              <w:color w:val="auto"/>
              <w:spacing w:val="-31"/>
              <w:sz w:val="21"/>
              <w:szCs w:val="21"/>
              <w:highlight w:val="none"/>
            </w:rPr>
            <w:t xml:space="preserve"> </w:t>
          </w:r>
          <w:r>
            <w:rPr>
              <w:color w:val="auto"/>
              <w:highlight w:val="none"/>
            </w:rPr>
            <w:fldChar w:fldCharType="begin"/>
          </w:r>
          <w:r>
            <w:rPr>
              <w:color w:val="auto"/>
              <w:highlight w:val="none"/>
            </w:rPr>
            <w:instrText xml:space="preserve"> HYPERLINK \l "bookmark282" </w:instrText>
          </w:r>
          <w:r>
            <w:rPr>
              <w:color w:val="auto"/>
              <w:highlight w:val="none"/>
            </w:rPr>
            <w:fldChar w:fldCharType="separate"/>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252</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fldChar w:fldCharType="end"/>
          </w:r>
        </w:p>
        <w:p w14:paraId="0C008E3C">
          <w:pPr>
            <w:tabs>
              <w:tab w:val="right" w:leader="dot" w:pos="8317"/>
            </w:tabs>
            <w:spacing w:before="19" w:line="223" w:lineRule="auto"/>
            <w:ind w:left="481"/>
            <w:rPr>
              <w:rFonts w:ascii="宋体" w:hAnsi="宋体" w:eastAsia="宋体" w:cs="宋体"/>
              <w:color w:val="auto"/>
              <w:sz w:val="21"/>
              <w:szCs w:val="21"/>
              <w:highlight w:val="none"/>
            </w:rPr>
          </w:pPr>
          <w:r>
            <w:rPr>
              <w:rFonts w:ascii="宋体" w:hAnsi="宋体" w:eastAsia="宋体" w:cs="宋体"/>
              <w:color w:val="auto"/>
              <w:spacing w:val="-28"/>
              <w:sz w:val="21"/>
              <w:szCs w:val="21"/>
              <w:highlight w:val="none"/>
            </w:rPr>
            <w:t>目</w:t>
          </w:r>
          <w:r>
            <w:rPr>
              <w:rFonts w:ascii="宋体" w:hAnsi="宋体" w:eastAsia="宋体" w:cs="宋体"/>
              <w:color w:val="auto"/>
              <w:spacing w:val="2"/>
              <w:sz w:val="21"/>
              <w:szCs w:val="21"/>
              <w:highlight w:val="none"/>
            </w:rPr>
            <w:t xml:space="preserve">    </w:t>
          </w:r>
          <w:r>
            <w:rPr>
              <w:rFonts w:ascii="宋体" w:hAnsi="宋体" w:eastAsia="宋体" w:cs="宋体"/>
              <w:color w:val="auto"/>
              <w:spacing w:val="-28"/>
              <w:sz w:val="21"/>
              <w:szCs w:val="21"/>
              <w:highlight w:val="none"/>
            </w:rPr>
            <w:t>录</w:t>
          </w:r>
          <w:r>
            <w:rPr>
              <w:rFonts w:ascii="宋体" w:hAnsi="宋体" w:eastAsia="宋体" w:cs="宋体"/>
              <w:color w:val="auto"/>
              <w:spacing w:val="-8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"bookmark283" </w:instrText>
          </w:r>
          <w:r>
            <w:rPr>
              <w:color w:val="auto"/>
              <w:highlight w:val="none"/>
            </w:rPr>
            <w:fldChar w:fldCharType="separate"/>
          </w:r>
          <w:r>
            <w:rPr>
              <w:rFonts w:ascii="宋体" w:hAnsi="宋体" w:eastAsia="宋体" w:cs="宋体"/>
              <w:color w:val="auto"/>
              <w:spacing w:val="-2"/>
              <w:sz w:val="21"/>
              <w:szCs w:val="21"/>
              <w:highlight w:val="none"/>
            </w:rPr>
            <w:t>254</w:t>
          </w:r>
          <w:r>
            <w:rPr>
              <w:rFonts w:ascii="宋体" w:hAnsi="宋体" w:eastAsia="宋体" w:cs="宋体"/>
              <w:color w:val="auto"/>
              <w:spacing w:val="-2"/>
              <w:sz w:val="21"/>
              <w:szCs w:val="21"/>
              <w:highlight w:val="none"/>
            </w:rPr>
            <w:fldChar w:fldCharType="end"/>
          </w:r>
        </w:p>
        <w:p w14:paraId="1379F5C2">
          <w:pPr>
            <w:tabs>
              <w:tab w:val="right" w:leader="dot" w:pos="8317"/>
            </w:tabs>
            <w:spacing w:before="20" w:line="220" w:lineRule="auto"/>
            <w:ind w:left="4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一、投标函及投标函附录等</w:t>
          </w:r>
          <w:r>
            <w:rPr>
              <w:rFonts w:ascii="宋体" w:hAnsi="宋体" w:eastAsia="宋体" w:cs="宋体"/>
              <w:color w:val="auto"/>
              <w:spacing w:val="-7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"bookmark284" </w:instrText>
          </w:r>
          <w:r>
            <w:rPr>
              <w:color w:val="auto"/>
              <w:highlight w:val="none"/>
            </w:rPr>
            <w:fldChar w:fldCharType="separate"/>
          </w:r>
          <w:r>
            <w:rPr>
              <w:rFonts w:ascii="宋体" w:hAnsi="宋体" w:eastAsia="宋体" w:cs="宋体"/>
              <w:color w:val="auto"/>
              <w:spacing w:val="-2"/>
              <w:sz w:val="21"/>
              <w:szCs w:val="21"/>
              <w:highlight w:val="none"/>
            </w:rPr>
            <w:t>255</w:t>
          </w:r>
          <w:r>
            <w:rPr>
              <w:rFonts w:ascii="宋体" w:hAnsi="宋体" w:eastAsia="宋体" w:cs="宋体"/>
              <w:color w:val="auto"/>
              <w:spacing w:val="-2"/>
              <w:sz w:val="21"/>
              <w:szCs w:val="21"/>
              <w:highlight w:val="none"/>
            </w:rPr>
            <w:fldChar w:fldCharType="end"/>
          </w:r>
        </w:p>
        <w:p w14:paraId="1DE1F0F5">
          <w:pPr>
            <w:tabs>
              <w:tab w:val="right" w:leader="dot" w:pos="8317"/>
            </w:tabs>
            <w:spacing w:before="24" w:line="221" w:lineRule="auto"/>
            <w:ind w:left="86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（一）投标函</w:t>
          </w:r>
          <w:r>
            <w:rPr>
              <w:rFonts w:ascii="宋体" w:hAnsi="宋体" w:eastAsia="宋体" w:cs="宋体"/>
              <w:color w:val="auto"/>
              <w:spacing w:val="-7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"bookmark285" </w:instrText>
          </w:r>
          <w:r>
            <w:rPr>
              <w:color w:val="auto"/>
              <w:highlight w:val="none"/>
            </w:rPr>
            <w:fldChar w:fldCharType="separate"/>
          </w:r>
          <w:r>
            <w:rPr>
              <w:rFonts w:ascii="宋体" w:hAnsi="宋体" w:eastAsia="宋体" w:cs="宋体"/>
              <w:color w:val="auto"/>
              <w:spacing w:val="-2"/>
              <w:sz w:val="21"/>
              <w:szCs w:val="21"/>
              <w:highlight w:val="none"/>
            </w:rPr>
            <w:t>255</w:t>
          </w:r>
          <w:r>
            <w:rPr>
              <w:rFonts w:ascii="宋体" w:hAnsi="宋体" w:eastAsia="宋体" w:cs="宋体"/>
              <w:color w:val="auto"/>
              <w:spacing w:val="-2"/>
              <w:sz w:val="21"/>
              <w:szCs w:val="21"/>
              <w:highlight w:val="none"/>
            </w:rPr>
            <w:fldChar w:fldCharType="end"/>
          </w:r>
        </w:p>
        <w:p w14:paraId="3F8AE157">
          <w:pPr>
            <w:tabs>
              <w:tab w:val="right" w:leader="dot" w:pos="8317"/>
            </w:tabs>
            <w:spacing w:before="22" w:line="220" w:lineRule="auto"/>
            <w:ind w:left="86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（二）投标函附录</w:t>
          </w:r>
          <w:r>
            <w:rPr>
              <w:rFonts w:ascii="宋体" w:hAnsi="宋体" w:eastAsia="宋体" w:cs="宋体"/>
              <w:color w:val="auto"/>
              <w:spacing w:val="-7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"bookmark286" </w:instrText>
          </w:r>
          <w:r>
            <w:rPr>
              <w:color w:val="auto"/>
              <w:highlight w:val="none"/>
            </w:rPr>
            <w:fldChar w:fldCharType="separate"/>
          </w:r>
          <w:r>
            <w:rPr>
              <w:rFonts w:ascii="宋体" w:hAnsi="宋体" w:eastAsia="宋体" w:cs="宋体"/>
              <w:color w:val="auto"/>
              <w:spacing w:val="-2"/>
              <w:sz w:val="21"/>
              <w:szCs w:val="21"/>
              <w:highlight w:val="none"/>
            </w:rPr>
            <w:t>256</w:t>
          </w:r>
          <w:r>
            <w:rPr>
              <w:rFonts w:ascii="宋体" w:hAnsi="宋体" w:eastAsia="宋体" w:cs="宋体"/>
              <w:color w:val="auto"/>
              <w:spacing w:val="-2"/>
              <w:sz w:val="21"/>
              <w:szCs w:val="21"/>
              <w:highlight w:val="none"/>
            </w:rPr>
            <w:fldChar w:fldCharType="end"/>
          </w:r>
        </w:p>
        <w:p w14:paraId="07783E44">
          <w:pPr>
            <w:tabs>
              <w:tab w:val="right" w:leader="dot" w:pos="8317"/>
            </w:tabs>
            <w:spacing w:before="19" w:line="219" w:lineRule="auto"/>
            <w:ind w:left="86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（三）告知承诺函</w:t>
          </w:r>
          <w:r>
            <w:rPr>
              <w:rFonts w:ascii="宋体" w:hAnsi="宋体" w:eastAsia="宋体" w:cs="宋体"/>
              <w:color w:val="auto"/>
              <w:spacing w:val="-7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"bookmark287" </w:instrText>
          </w:r>
          <w:r>
            <w:rPr>
              <w:color w:val="auto"/>
              <w:highlight w:val="none"/>
            </w:rPr>
            <w:fldChar w:fldCharType="separate"/>
          </w:r>
          <w:r>
            <w:rPr>
              <w:rFonts w:ascii="宋体" w:hAnsi="宋体" w:eastAsia="宋体" w:cs="宋体"/>
              <w:color w:val="auto"/>
              <w:spacing w:val="-2"/>
              <w:sz w:val="21"/>
              <w:szCs w:val="21"/>
              <w:highlight w:val="none"/>
            </w:rPr>
            <w:t>257</w:t>
          </w:r>
          <w:r>
            <w:rPr>
              <w:rFonts w:ascii="宋体" w:hAnsi="宋体" w:eastAsia="宋体" w:cs="宋体"/>
              <w:color w:val="auto"/>
              <w:spacing w:val="-2"/>
              <w:sz w:val="21"/>
              <w:szCs w:val="21"/>
              <w:highlight w:val="none"/>
            </w:rPr>
            <w:fldChar w:fldCharType="end"/>
          </w:r>
        </w:p>
        <w:p w14:paraId="2A5F2382">
          <w:pPr>
            <w:tabs>
              <w:tab w:val="right" w:leader="dot" w:pos="8317"/>
            </w:tabs>
            <w:spacing w:before="23" w:line="221" w:lineRule="auto"/>
            <w:ind w:left="86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（四）声明函</w:t>
          </w:r>
          <w:r>
            <w:rPr>
              <w:rFonts w:ascii="宋体" w:hAnsi="宋体" w:eastAsia="宋体" w:cs="宋体"/>
              <w:color w:val="auto"/>
              <w:spacing w:val="-7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"bookmark288" </w:instrText>
          </w:r>
          <w:r>
            <w:rPr>
              <w:color w:val="auto"/>
              <w:highlight w:val="none"/>
            </w:rPr>
            <w:fldChar w:fldCharType="separate"/>
          </w:r>
          <w:r>
            <w:rPr>
              <w:rFonts w:ascii="宋体" w:hAnsi="宋体" w:eastAsia="宋体" w:cs="宋体"/>
              <w:color w:val="auto"/>
              <w:spacing w:val="-2"/>
              <w:sz w:val="21"/>
              <w:szCs w:val="21"/>
              <w:highlight w:val="none"/>
            </w:rPr>
            <w:t>258</w:t>
          </w:r>
          <w:r>
            <w:rPr>
              <w:rFonts w:ascii="宋体" w:hAnsi="宋体" w:eastAsia="宋体" w:cs="宋体"/>
              <w:color w:val="auto"/>
              <w:spacing w:val="-2"/>
              <w:sz w:val="21"/>
              <w:szCs w:val="21"/>
              <w:highlight w:val="none"/>
            </w:rPr>
            <w:fldChar w:fldCharType="end"/>
          </w:r>
        </w:p>
        <w:p w14:paraId="148CB3C5">
          <w:pPr>
            <w:tabs>
              <w:tab w:val="right" w:leader="dot" w:pos="8317"/>
            </w:tabs>
            <w:spacing w:before="23" w:line="221" w:lineRule="auto"/>
            <w:ind w:left="4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二、法定代表人身份证明</w:t>
          </w:r>
          <w:r>
            <w:rPr>
              <w:rFonts w:ascii="宋体" w:hAnsi="宋体" w:eastAsia="宋体" w:cs="宋体"/>
              <w:color w:val="auto"/>
              <w:spacing w:val="-7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"bookmark289" </w:instrText>
          </w:r>
          <w:r>
            <w:rPr>
              <w:color w:val="auto"/>
              <w:highlight w:val="none"/>
            </w:rPr>
            <w:fldChar w:fldCharType="separate"/>
          </w:r>
          <w:r>
            <w:rPr>
              <w:rFonts w:ascii="宋体" w:hAnsi="宋体" w:eastAsia="宋体" w:cs="宋体"/>
              <w:color w:val="auto"/>
              <w:spacing w:val="-2"/>
              <w:sz w:val="21"/>
              <w:szCs w:val="21"/>
              <w:highlight w:val="none"/>
            </w:rPr>
            <w:t>259</w:t>
          </w:r>
          <w:r>
            <w:rPr>
              <w:rFonts w:ascii="宋体" w:hAnsi="宋体" w:eastAsia="宋体" w:cs="宋体"/>
              <w:color w:val="auto"/>
              <w:spacing w:val="-2"/>
              <w:sz w:val="21"/>
              <w:szCs w:val="21"/>
              <w:highlight w:val="none"/>
            </w:rPr>
            <w:fldChar w:fldCharType="end"/>
          </w:r>
        </w:p>
        <w:p w14:paraId="59240CDD">
          <w:pPr>
            <w:tabs>
              <w:tab w:val="right" w:leader="dot" w:pos="8317"/>
            </w:tabs>
            <w:spacing w:before="18" w:line="220" w:lineRule="auto"/>
            <w:ind w:left="44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二、授权委托书</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"bookmark290" </w:instrText>
          </w:r>
          <w:r>
            <w:rPr>
              <w:color w:val="auto"/>
              <w:highlight w:val="none"/>
            </w:rPr>
            <w:fldChar w:fldCharType="separate"/>
          </w:r>
          <w:r>
            <w:rPr>
              <w:rFonts w:ascii="宋体" w:hAnsi="宋体" w:eastAsia="宋体" w:cs="宋体"/>
              <w:color w:val="auto"/>
              <w:spacing w:val="-2"/>
              <w:sz w:val="21"/>
              <w:szCs w:val="21"/>
              <w:highlight w:val="none"/>
            </w:rPr>
            <w:t>260</w:t>
          </w:r>
          <w:r>
            <w:rPr>
              <w:rFonts w:ascii="宋体" w:hAnsi="宋体" w:eastAsia="宋体" w:cs="宋体"/>
              <w:color w:val="auto"/>
              <w:spacing w:val="-2"/>
              <w:sz w:val="21"/>
              <w:szCs w:val="21"/>
              <w:highlight w:val="none"/>
            </w:rPr>
            <w:fldChar w:fldCharType="end"/>
          </w:r>
        </w:p>
        <w:p w14:paraId="65062C37">
          <w:pPr>
            <w:tabs>
              <w:tab w:val="right" w:leader="dot" w:pos="8317"/>
            </w:tabs>
            <w:spacing w:before="24" w:line="221"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三、投标保证金</w:t>
          </w:r>
          <w:r>
            <w:rPr>
              <w:rFonts w:ascii="宋体" w:hAnsi="宋体" w:eastAsia="宋体" w:cs="宋体"/>
              <w:color w:val="auto"/>
              <w:spacing w:val="-85"/>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"bookmark291" </w:instrText>
          </w:r>
          <w:r>
            <w:rPr>
              <w:color w:val="auto"/>
              <w:highlight w:val="none"/>
            </w:rPr>
            <w:fldChar w:fldCharType="separate"/>
          </w:r>
          <w:r>
            <w:rPr>
              <w:rFonts w:ascii="宋体" w:hAnsi="宋体" w:eastAsia="宋体" w:cs="宋体"/>
              <w:color w:val="auto"/>
              <w:spacing w:val="-2"/>
              <w:sz w:val="21"/>
              <w:szCs w:val="21"/>
              <w:highlight w:val="none"/>
            </w:rPr>
            <w:t>261</w:t>
          </w:r>
          <w:r>
            <w:rPr>
              <w:rFonts w:ascii="宋体" w:hAnsi="宋体" w:eastAsia="宋体" w:cs="宋体"/>
              <w:color w:val="auto"/>
              <w:spacing w:val="-2"/>
              <w:sz w:val="21"/>
              <w:szCs w:val="21"/>
              <w:highlight w:val="none"/>
            </w:rPr>
            <w:fldChar w:fldCharType="end"/>
          </w:r>
        </w:p>
        <w:p w14:paraId="6159092F">
          <w:pPr>
            <w:tabs>
              <w:tab w:val="right" w:leader="dot" w:pos="8317"/>
            </w:tabs>
            <w:spacing w:before="21" w:line="220" w:lineRule="auto"/>
            <w:ind w:left="46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四、联合体协议书</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"bookmark292" </w:instrText>
          </w:r>
          <w:r>
            <w:rPr>
              <w:color w:val="auto"/>
              <w:highlight w:val="none"/>
            </w:rPr>
            <w:fldChar w:fldCharType="separate"/>
          </w:r>
          <w:r>
            <w:rPr>
              <w:rFonts w:ascii="宋体" w:hAnsi="宋体" w:eastAsia="宋体" w:cs="宋体"/>
              <w:color w:val="auto"/>
              <w:spacing w:val="-2"/>
              <w:sz w:val="21"/>
              <w:szCs w:val="21"/>
              <w:highlight w:val="none"/>
            </w:rPr>
            <w:t>262</w:t>
          </w:r>
          <w:r>
            <w:rPr>
              <w:rFonts w:ascii="宋体" w:hAnsi="宋体" w:eastAsia="宋体" w:cs="宋体"/>
              <w:color w:val="auto"/>
              <w:spacing w:val="-2"/>
              <w:sz w:val="21"/>
              <w:szCs w:val="21"/>
              <w:highlight w:val="none"/>
            </w:rPr>
            <w:fldChar w:fldCharType="end"/>
          </w:r>
        </w:p>
        <w:p w14:paraId="5209A638">
          <w:pPr>
            <w:tabs>
              <w:tab w:val="right" w:leader="dot" w:pos="8317"/>
            </w:tabs>
            <w:spacing w:before="24" w:line="220" w:lineRule="auto"/>
            <w:ind w:left="4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五、拟分包计划表</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"bookmark293" </w:instrText>
          </w:r>
          <w:r>
            <w:rPr>
              <w:color w:val="auto"/>
              <w:highlight w:val="none"/>
            </w:rPr>
            <w:fldChar w:fldCharType="separate"/>
          </w:r>
          <w:r>
            <w:rPr>
              <w:rFonts w:ascii="宋体" w:hAnsi="宋体" w:eastAsia="宋体" w:cs="宋体"/>
              <w:color w:val="auto"/>
              <w:spacing w:val="-2"/>
              <w:sz w:val="21"/>
              <w:szCs w:val="21"/>
              <w:highlight w:val="none"/>
            </w:rPr>
            <w:t>264</w:t>
          </w:r>
          <w:r>
            <w:rPr>
              <w:rFonts w:ascii="宋体" w:hAnsi="宋体" w:eastAsia="宋体" w:cs="宋体"/>
              <w:color w:val="auto"/>
              <w:spacing w:val="-2"/>
              <w:sz w:val="21"/>
              <w:szCs w:val="21"/>
              <w:highlight w:val="none"/>
            </w:rPr>
            <w:fldChar w:fldCharType="end"/>
          </w:r>
        </w:p>
        <w:p w14:paraId="1A95DD65">
          <w:pPr>
            <w:tabs>
              <w:tab w:val="right" w:leader="dot" w:pos="8317"/>
            </w:tabs>
            <w:spacing w:before="18" w:line="220"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六、项目管理机构</w:t>
          </w:r>
          <w:r>
            <w:rPr>
              <w:rFonts w:ascii="宋体" w:hAnsi="宋体" w:eastAsia="宋体" w:cs="宋体"/>
              <w:color w:val="auto"/>
              <w:spacing w:val="-8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"bookmark294" </w:instrText>
          </w:r>
          <w:r>
            <w:rPr>
              <w:color w:val="auto"/>
              <w:highlight w:val="none"/>
            </w:rPr>
            <w:fldChar w:fldCharType="separate"/>
          </w:r>
          <w:r>
            <w:rPr>
              <w:rFonts w:ascii="宋体" w:hAnsi="宋体" w:eastAsia="宋体" w:cs="宋体"/>
              <w:color w:val="auto"/>
              <w:spacing w:val="-2"/>
              <w:sz w:val="21"/>
              <w:szCs w:val="21"/>
              <w:highlight w:val="none"/>
            </w:rPr>
            <w:t>265</w:t>
          </w:r>
          <w:r>
            <w:rPr>
              <w:rFonts w:ascii="宋体" w:hAnsi="宋体" w:eastAsia="宋体" w:cs="宋体"/>
              <w:color w:val="auto"/>
              <w:spacing w:val="-2"/>
              <w:sz w:val="21"/>
              <w:szCs w:val="21"/>
              <w:highlight w:val="none"/>
            </w:rPr>
            <w:fldChar w:fldCharType="end"/>
          </w:r>
        </w:p>
        <w:p w14:paraId="7B608256">
          <w:pPr>
            <w:tabs>
              <w:tab w:val="right" w:leader="dot" w:pos="8317"/>
            </w:tabs>
            <w:spacing w:before="24" w:line="220" w:lineRule="auto"/>
            <w:ind w:left="86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（一）项目管理机构主要人员表</w:t>
          </w:r>
          <w:r>
            <w:rPr>
              <w:rFonts w:ascii="宋体" w:hAnsi="宋体" w:eastAsia="宋体" w:cs="宋体"/>
              <w:color w:val="auto"/>
              <w:spacing w:val="-7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"bookmark295" </w:instrText>
          </w:r>
          <w:r>
            <w:rPr>
              <w:color w:val="auto"/>
              <w:highlight w:val="none"/>
            </w:rPr>
            <w:fldChar w:fldCharType="separate"/>
          </w:r>
          <w:r>
            <w:rPr>
              <w:rFonts w:ascii="宋体" w:hAnsi="宋体" w:eastAsia="宋体" w:cs="宋体"/>
              <w:color w:val="auto"/>
              <w:spacing w:val="-2"/>
              <w:sz w:val="21"/>
              <w:szCs w:val="21"/>
              <w:highlight w:val="none"/>
            </w:rPr>
            <w:t>265</w:t>
          </w:r>
          <w:r>
            <w:rPr>
              <w:rFonts w:ascii="宋体" w:hAnsi="宋体" w:eastAsia="宋体" w:cs="宋体"/>
              <w:color w:val="auto"/>
              <w:spacing w:val="-2"/>
              <w:sz w:val="21"/>
              <w:szCs w:val="21"/>
              <w:highlight w:val="none"/>
            </w:rPr>
            <w:fldChar w:fldCharType="end"/>
          </w:r>
        </w:p>
        <w:p w14:paraId="4A9F7568">
          <w:pPr>
            <w:tabs>
              <w:tab w:val="right" w:leader="dot" w:pos="8317"/>
            </w:tabs>
            <w:spacing w:before="23" w:line="220" w:lineRule="auto"/>
            <w:ind w:left="86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（二）项目经理简历表</w:t>
          </w:r>
          <w:r>
            <w:rPr>
              <w:rFonts w:ascii="宋体" w:hAnsi="宋体" w:eastAsia="宋体" w:cs="宋体"/>
              <w:color w:val="auto"/>
              <w:spacing w:val="-6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"bookmark296" </w:instrText>
          </w:r>
          <w:r>
            <w:rPr>
              <w:color w:val="auto"/>
              <w:highlight w:val="none"/>
            </w:rPr>
            <w:fldChar w:fldCharType="separate"/>
          </w:r>
          <w:r>
            <w:rPr>
              <w:rFonts w:ascii="宋体" w:hAnsi="宋体" w:eastAsia="宋体" w:cs="宋体"/>
              <w:color w:val="auto"/>
              <w:spacing w:val="-2"/>
              <w:sz w:val="21"/>
              <w:szCs w:val="21"/>
              <w:highlight w:val="none"/>
            </w:rPr>
            <w:t>266</w:t>
          </w:r>
          <w:r>
            <w:rPr>
              <w:rFonts w:ascii="宋体" w:hAnsi="宋体" w:eastAsia="宋体" w:cs="宋体"/>
              <w:color w:val="auto"/>
              <w:spacing w:val="-2"/>
              <w:sz w:val="21"/>
              <w:szCs w:val="21"/>
              <w:highlight w:val="none"/>
            </w:rPr>
            <w:fldChar w:fldCharType="end"/>
          </w:r>
        </w:p>
        <w:p w14:paraId="785A9D7B">
          <w:pPr>
            <w:tabs>
              <w:tab w:val="right" w:leader="dot" w:pos="8317"/>
            </w:tabs>
            <w:spacing w:before="24" w:line="220" w:lineRule="auto"/>
            <w:ind w:left="86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（三）承诺书</w:t>
          </w:r>
          <w:r>
            <w:rPr>
              <w:rFonts w:ascii="宋体" w:hAnsi="宋体" w:eastAsia="宋体" w:cs="宋体"/>
              <w:color w:val="auto"/>
              <w:spacing w:val="-7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"bookmark297" </w:instrText>
          </w:r>
          <w:r>
            <w:rPr>
              <w:color w:val="auto"/>
              <w:highlight w:val="none"/>
            </w:rPr>
            <w:fldChar w:fldCharType="separate"/>
          </w:r>
          <w:r>
            <w:rPr>
              <w:rFonts w:ascii="宋体" w:hAnsi="宋体" w:eastAsia="宋体" w:cs="宋体"/>
              <w:color w:val="auto"/>
              <w:spacing w:val="-2"/>
              <w:sz w:val="21"/>
              <w:szCs w:val="21"/>
              <w:highlight w:val="none"/>
            </w:rPr>
            <w:t>267</w:t>
          </w:r>
          <w:r>
            <w:rPr>
              <w:rFonts w:ascii="宋体" w:hAnsi="宋体" w:eastAsia="宋体" w:cs="宋体"/>
              <w:color w:val="auto"/>
              <w:spacing w:val="-2"/>
              <w:sz w:val="21"/>
              <w:szCs w:val="21"/>
              <w:highlight w:val="none"/>
            </w:rPr>
            <w:fldChar w:fldCharType="end"/>
          </w:r>
        </w:p>
      </w:sdtContent>
    </w:sdt>
    <w:p w14:paraId="11AEC77A">
      <w:pPr>
        <w:spacing w:line="220" w:lineRule="auto"/>
        <w:rPr>
          <w:rFonts w:ascii="宋体" w:hAnsi="宋体" w:eastAsia="宋体" w:cs="宋体"/>
          <w:color w:val="auto"/>
          <w:sz w:val="21"/>
          <w:szCs w:val="21"/>
          <w:highlight w:val="none"/>
        </w:rPr>
        <w:sectPr>
          <w:footerReference r:id="rId11" w:type="default"/>
          <w:pgSz w:w="11905" w:h="16839"/>
          <w:pgMar w:top="1427" w:right="1785" w:bottom="1033" w:left="1785" w:header="0" w:footer="848" w:gutter="0"/>
          <w:pgNumType w:fmt="decimal"/>
          <w:cols w:space="720" w:num="1"/>
        </w:sectPr>
      </w:pPr>
    </w:p>
    <w:sdt>
      <w:sdtPr>
        <w:rPr>
          <w:rFonts w:ascii="宋体" w:hAnsi="宋体" w:eastAsia="宋体" w:cs="宋体"/>
          <w:color w:val="auto"/>
          <w:sz w:val="21"/>
          <w:szCs w:val="21"/>
          <w:highlight w:val="none"/>
        </w:rPr>
        <w:id w:val="8"/>
        <w:docPartObj>
          <w:docPartGallery w:val="Table of Contents"/>
          <w:docPartUnique/>
        </w:docPartObj>
      </w:sdtPr>
      <w:sdtEndPr>
        <w:rPr>
          <w:rFonts w:ascii="宋体" w:hAnsi="宋体" w:eastAsia="宋体" w:cs="宋体"/>
          <w:color w:val="auto"/>
          <w:sz w:val="21"/>
          <w:szCs w:val="21"/>
          <w:highlight w:val="none"/>
        </w:rPr>
      </w:sdtEndPr>
      <w:sdtContent>
        <w:p w14:paraId="59C5C680">
          <w:pPr>
            <w:tabs>
              <w:tab w:val="right" w:leader="dot" w:pos="8317"/>
            </w:tabs>
            <w:spacing w:before="42" w:line="220" w:lineRule="auto"/>
            <w:ind w:left="86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（四）其他主要项目管理人员简历表</w:t>
          </w:r>
          <w:r>
            <w:rPr>
              <w:rFonts w:ascii="宋体" w:hAnsi="宋体" w:eastAsia="宋体" w:cs="宋体"/>
              <w:color w:val="auto"/>
              <w:spacing w:val="-6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"bookmark298" </w:instrText>
          </w:r>
          <w:r>
            <w:rPr>
              <w:color w:val="auto"/>
              <w:highlight w:val="none"/>
            </w:rPr>
            <w:fldChar w:fldCharType="separate"/>
          </w:r>
          <w:r>
            <w:rPr>
              <w:rFonts w:ascii="宋体" w:hAnsi="宋体" w:eastAsia="宋体" w:cs="宋体"/>
              <w:color w:val="auto"/>
              <w:spacing w:val="-2"/>
              <w:sz w:val="21"/>
              <w:szCs w:val="21"/>
              <w:highlight w:val="none"/>
            </w:rPr>
            <w:t>268</w:t>
          </w:r>
          <w:r>
            <w:rPr>
              <w:rFonts w:ascii="宋体" w:hAnsi="宋体" w:eastAsia="宋体" w:cs="宋体"/>
              <w:color w:val="auto"/>
              <w:spacing w:val="-2"/>
              <w:sz w:val="21"/>
              <w:szCs w:val="21"/>
              <w:highlight w:val="none"/>
            </w:rPr>
            <w:fldChar w:fldCharType="end"/>
          </w:r>
        </w:p>
        <w:p w14:paraId="505B1325">
          <w:pPr>
            <w:tabs>
              <w:tab w:val="right" w:leader="dot" w:pos="8317"/>
            </w:tabs>
            <w:spacing w:before="18" w:line="221" w:lineRule="auto"/>
            <w:ind w:left="44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七、资格审查资料</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"bookmark299" </w:instrText>
          </w:r>
          <w:r>
            <w:rPr>
              <w:color w:val="auto"/>
              <w:highlight w:val="none"/>
            </w:rPr>
            <w:fldChar w:fldCharType="separate"/>
          </w:r>
          <w:r>
            <w:rPr>
              <w:rFonts w:ascii="宋体" w:hAnsi="宋体" w:eastAsia="宋体" w:cs="宋体"/>
              <w:color w:val="auto"/>
              <w:spacing w:val="-2"/>
              <w:sz w:val="21"/>
              <w:szCs w:val="21"/>
              <w:highlight w:val="none"/>
            </w:rPr>
            <w:t>269</w:t>
          </w:r>
          <w:r>
            <w:rPr>
              <w:rFonts w:ascii="宋体" w:hAnsi="宋体" w:eastAsia="宋体" w:cs="宋体"/>
              <w:color w:val="auto"/>
              <w:spacing w:val="-2"/>
              <w:sz w:val="21"/>
              <w:szCs w:val="21"/>
              <w:highlight w:val="none"/>
            </w:rPr>
            <w:fldChar w:fldCharType="end"/>
          </w:r>
        </w:p>
        <w:p w14:paraId="57F800B6">
          <w:pPr>
            <w:tabs>
              <w:tab w:val="right" w:leader="dot" w:pos="8317"/>
            </w:tabs>
            <w:spacing w:before="22" w:line="220" w:lineRule="auto"/>
            <w:ind w:left="86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（一）投标人基本情况</w:t>
          </w:r>
          <w:r>
            <w:rPr>
              <w:rFonts w:ascii="宋体" w:hAnsi="宋体" w:eastAsia="宋体" w:cs="宋体"/>
              <w:color w:val="auto"/>
              <w:spacing w:val="-6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"bookmark300" </w:instrText>
          </w:r>
          <w:r>
            <w:rPr>
              <w:color w:val="auto"/>
              <w:highlight w:val="none"/>
            </w:rPr>
            <w:fldChar w:fldCharType="separate"/>
          </w:r>
          <w:r>
            <w:rPr>
              <w:rFonts w:ascii="宋体" w:hAnsi="宋体" w:eastAsia="宋体" w:cs="宋体"/>
              <w:color w:val="auto"/>
              <w:spacing w:val="-2"/>
              <w:sz w:val="21"/>
              <w:szCs w:val="21"/>
              <w:highlight w:val="none"/>
            </w:rPr>
            <w:t>269</w:t>
          </w:r>
          <w:r>
            <w:rPr>
              <w:rFonts w:ascii="宋体" w:hAnsi="宋体" w:eastAsia="宋体" w:cs="宋体"/>
              <w:color w:val="auto"/>
              <w:spacing w:val="-2"/>
              <w:sz w:val="21"/>
              <w:szCs w:val="21"/>
              <w:highlight w:val="none"/>
            </w:rPr>
            <w:fldChar w:fldCharType="end"/>
          </w:r>
        </w:p>
        <w:p w14:paraId="41446362">
          <w:pPr>
            <w:tabs>
              <w:tab w:val="right" w:leader="dot" w:pos="8317"/>
            </w:tabs>
            <w:spacing w:before="23" w:line="220" w:lineRule="auto"/>
            <w:ind w:left="87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1-1</w:t>
          </w:r>
          <w:r>
            <w:rPr>
              <w:rFonts w:ascii="宋体" w:hAnsi="宋体" w:eastAsia="宋体" w:cs="宋体"/>
              <w:color w:val="auto"/>
              <w:spacing w:val="-42"/>
              <w:sz w:val="21"/>
              <w:szCs w:val="21"/>
              <w:highlight w:val="none"/>
            </w:rPr>
            <w:t xml:space="preserve"> </w:t>
          </w:r>
          <w:r>
            <w:rPr>
              <w:rFonts w:ascii="宋体" w:hAnsi="宋体" w:eastAsia="宋体" w:cs="宋体"/>
              <w:color w:val="auto"/>
              <w:spacing w:val="-3"/>
              <w:sz w:val="21"/>
              <w:szCs w:val="21"/>
              <w:highlight w:val="none"/>
            </w:rPr>
            <w:t>投标人基本情况表</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"bookmark301" </w:instrText>
          </w:r>
          <w:r>
            <w:rPr>
              <w:color w:val="auto"/>
              <w:highlight w:val="none"/>
            </w:rPr>
            <w:fldChar w:fldCharType="separate"/>
          </w:r>
          <w:r>
            <w:rPr>
              <w:rFonts w:ascii="宋体" w:hAnsi="宋体" w:eastAsia="宋体" w:cs="宋体"/>
              <w:color w:val="auto"/>
              <w:spacing w:val="-2"/>
              <w:sz w:val="21"/>
              <w:szCs w:val="21"/>
              <w:highlight w:val="none"/>
            </w:rPr>
            <w:t>269</w:t>
          </w:r>
          <w:r>
            <w:rPr>
              <w:rFonts w:ascii="宋体" w:hAnsi="宋体" w:eastAsia="宋体" w:cs="宋体"/>
              <w:color w:val="auto"/>
              <w:spacing w:val="-2"/>
              <w:sz w:val="21"/>
              <w:szCs w:val="21"/>
              <w:highlight w:val="none"/>
            </w:rPr>
            <w:fldChar w:fldCharType="end"/>
          </w:r>
        </w:p>
        <w:p w14:paraId="1B26DAA2">
          <w:pPr>
            <w:tabs>
              <w:tab w:val="right" w:leader="dot" w:pos="8317"/>
            </w:tabs>
            <w:spacing w:before="23" w:line="221" w:lineRule="auto"/>
            <w:ind w:left="87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1-2</w:t>
          </w:r>
          <w:r>
            <w:rPr>
              <w:rFonts w:ascii="宋体" w:hAnsi="宋体" w:eastAsia="宋体" w:cs="宋体"/>
              <w:color w:val="auto"/>
              <w:spacing w:val="-32"/>
              <w:sz w:val="21"/>
              <w:szCs w:val="21"/>
              <w:highlight w:val="none"/>
            </w:rPr>
            <w:t xml:space="preserve"> </w:t>
          </w:r>
          <w:r>
            <w:rPr>
              <w:rFonts w:ascii="宋体" w:hAnsi="宋体" w:eastAsia="宋体" w:cs="宋体"/>
              <w:color w:val="auto"/>
              <w:spacing w:val="-4"/>
              <w:sz w:val="21"/>
              <w:szCs w:val="21"/>
              <w:highlight w:val="none"/>
            </w:rPr>
            <w:t>关联单位情况说明</w:t>
          </w:r>
          <w:r>
            <w:rPr>
              <w:rFonts w:ascii="宋体" w:hAnsi="宋体" w:eastAsia="宋体" w:cs="宋体"/>
              <w:color w:val="auto"/>
              <w:spacing w:val="-2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"bookmark302" </w:instrText>
          </w:r>
          <w:r>
            <w:rPr>
              <w:color w:val="auto"/>
              <w:highlight w:val="none"/>
            </w:rPr>
            <w:fldChar w:fldCharType="separate"/>
          </w:r>
          <w:r>
            <w:rPr>
              <w:rFonts w:ascii="宋体" w:hAnsi="宋体" w:eastAsia="宋体" w:cs="宋体"/>
              <w:color w:val="auto"/>
              <w:spacing w:val="-2"/>
              <w:sz w:val="21"/>
              <w:szCs w:val="21"/>
              <w:highlight w:val="none"/>
            </w:rPr>
            <w:t>270</w:t>
          </w:r>
          <w:r>
            <w:rPr>
              <w:rFonts w:ascii="宋体" w:hAnsi="宋体" w:eastAsia="宋体" w:cs="宋体"/>
              <w:color w:val="auto"/>
              <w:spacing w:val="-2"/>
              <w:sz w:val="21"/>
              <w:szCs w:val="21"/>
              <w:highlight w:val="none"/>
            </w:rPr>
            <w:fldChar w:fldCharType="end"/>
          </w:r>
        </w:p>
        <w:p w14:paraId="7692E0EB">
          <w:pPr>
            <w:tabs>
              <w:tab w:val="right" w:leader="dot" w:pos="8317"/>
            </w:tabs>
            <w:spacing w:before="17" w:line="220" w:lineRule="auto"/>
            <w:ind w:left="87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1-3 企业在辽基本信息登记单</w:t>
          </w:r>
          <w:r>
            <w:rPr>
              <w:rFonts w:ascii="宋体" w:hAnsi="宋体" w:eastAsia="宋体" w:cs="宋体"/>
              <w:color w:val="auto"/>
              <w:spacing w:val="-65"/>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"bookmark303" </w:instrText>
          </w:r>
          <w:r>
            <w:rPr>
              <w:color w:val="auto"/>
              <w:highlight w:val="none"/>
            </w:rPr>
            <w:fldChar w:fldCharType="separate"/>
          </w:r>
          <w:r>
            <w:rPr>
              <w:rFonts w:ascii="宋体" w:hAnsi="宋体" w:eastAsia="宋体" w:cs="宋体"/>
              <w:color w:val="auto"/>
              <w:spacing w:val="-2"/>
              <w:sz w:val="21"/>
              <w:szCs w:val="21"/>
              <w:highlight w:val="none"/>
            </w:rPr>
            <w:t>271</w:t>
          </w:r>
          <w:r>
            <w:rPr>
              <w:rFonts w:ascii="宋体" w:hAnsi="宋体" w:eastAsia="宋体" w:cs="宋体"/>
              <w:color w:val="auto"/>
              <w:spacing w:val="-2"/>
              <w:sz w:val="21"/>
              <w:szCs w:val="21"/>
              <w:highlight w:val="none"/>
            </w:rPr>
            <w:fldChar w:fldCharType="end"/>
          </w:r>
        </w:p>
        <w:p w14:paraId="066BB2A6">
          <w:pPr>
            <w:tabs>
              <w:tab w:val="right" w:leader="dot" w:pos="8317"/>
            </w:tabs>
            <w:spacing w:before="23" w:line="220" w:lineRule="auto"/>
            <w:ind w:left="87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1-4</w:t>
          </w:r>
          <w:r>
            <w:rPr>
              <w:rFonts w:ascii="宋体" w:hAnsi="宋体" w:eastAsia="宋体" w:cs="宋体"/>
              <w:color w:val="auto"/>
              <w:spacing w:val="-37"/>
              <w:sz w:val="21"/>
              <w:szCs w:val="21"/>
              <w:highlight w:val="none"/>
            </w:rPr>
            <w:t xml:space="preserve"> </w:t>
          </w:r>
          <w:r>
            <w:rPr>
              <w:rFonts w:ascii="宋体" w:hAnsi="宋体" w:eastAsia="宋体" w:cs="宋体"/>
              <w:color w:val="auto"/>
              <w:spacing w:val="-3"/>
              <w:sz w:val="21"/>
              <w:szCs w:val="21"/>
              <w:highlight w:val="none"/>
            </w:rPr>
            <w:t xml:space="preserve">项目管理机构主要人员及简历表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"bookmark304" </w:instrText>
          </w:r>
          <w:r>
            <w:rPr>
              <w:color w:val="auto"/>
              <w:highlight w:val="none"/>
            </w:rPr>
            <w:fldChar w:fldCharType="separate"/>
          </w:r>
          <w:r>
            <w:rPr>
              <w:rFonts w:ascii="宋体" w:hAnsi="宋体" w:eastAsia="宋体" w:cs="宋体"/>
              <w:color w:val="auto"/>
              <w:spacing w:val="-2"/>
              <w:sz w:val="21"/>
              <w:szCs w:val="21"/>
              <w:highlight w:val="none"/>
            </w:rPr>
            <w:t>272</w:t>
          </w:r>
          <w:r>
            <w:rPr>
              <w:rFonts w:ascii="宋体" w:hAnsi="宋体" w:eastAsia="宋体" w:cs="宋体"/>
              <w:color w:val="auto"/>
              <w:spacing w:val="-2"/>
              <w:sz w:val="21"/>
              <w:szCs w:val="21"/>
              <w:highlight w:val="none"/>
            </w:rPr>
            <w:fldChar w:fldCharType="end"/>
          </w:r>
        </w:p>
        <w:p w14:paraId="17629C7C">
          <w:pPr>
            <w:tabs>
              <w:tab w:val="right" w:leader="dot" w:pos="8317"/>
            </w:tabs>
            <w:spacing w:before="24" w:line="220" w:lineRule="auto"/>
            <w:ind w:left="87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1-5</w:t>
          </w:r>
          <w:r>
            <w:rPr>
              <w:rFonts w:ascii="宋体" w:hAnsi="宋体" w:eastAsia="宋体" w:cs="宋体"/>
              <w:color w:val="auto"/>
              <w:spacing w:val="-37"/>
              <w:sz w:val="21"/>
              <w:szCs w:val="21"/>
              <w:highlight w:val="none"/>
            </w:rPr>
            <w:t xml:space="preserve"> </w:t>
          </w:r>
          <w:r>
            <w:rPr>
              <w:rFonts w:ascii="宋体" w:hAnsi="宋体" w:eastAsia="宋体" w:cs="宋体"/>
              <w:color w:val="auto"/>
              <w:spacing w:val="-3"/>
              <w:sz w:val="21"/>
              <w:szCs w:val="21"/>
              <w:highlight w:val="none"/>
            </w:rPr>
            <w:t xml:space="preserve">拟投入主要施工机械设备情况表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"bookmark305" </w:instrText>
          </w:r>
          <w:r>
            <w:rPr>
              <w:color w:val="auto"/>
              <w:highlight w:val="none"/>
            </w:rPr>
            <w:fldChar w:fldCharType="separate"/>
          </w:r>
          <w:r>
            <w:rPr>
              <w:rFonts w:ascii="宋体" w:hAnsi="宋体" w:eastAsia="宋体" w:cs="宋体"/>
              <w:color w:val="auto"/>
              <w:spacing w:val="-2"/>
              <w:sz w:val="21"/>
              <w:szCs w:val="21"/>
              <w:highlight w:val="none"/>
            </w:rPr>
            <w:t>273</w:t>
          </w:r>
          <w:r>
            <w:rPr>
              <w:rFonts w:ascii="宋体" w:hAnsi="宋体" w:eastAsia="宋体" w:cs="宋体"/>
              <w:color w:val="auto"/>
              <w:spacing w:val="-2"/>
              <w:sz w:val="21"/>
              <w:szCs w:val="21"/>
              <w:highlight w:val="none"/>
            </w:rPr>
            <w:fldChar w:fldCharType="end"/>
          </w:r>
        </w:p>
        <w:p w14:paraId="35163E11">
          <w:pPr>
            <w:tabs>
              <w:tab w:val="right" w:leader="dot" w:pos="8317"/>
            </w:tabs>
            <w:spacing w:before="23" w:line="221" w:lineRule="auto"/>
            <w:ind w:left="86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（二）近年财务状况表</w:t>
          </w:r>
          <w:r>
            <w:rPr>
              <w:rFonts w:ascii="宋体" w:hAnsi="宋体" w:eastAsia="宋体" w:cs="宋体"/>
              <w:color w:val="auto"/>
              <w:spacing w:val="-6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"bookmark306" </w:instrText>
          </w:r>
          <w:r>
            <w:rPr>
              <w:color w:val="auto"/>
              <w:highlight w:val="none"/>
            </w:rPr>
            <w:fldChar w:fldCharType="separate"/>
          </w:r>
          <w:r>
            <w:rPr>
              <w:rFonts w:ascii="宋体" w:hAnsi="宋体" w:eastAsia="宋体" w:cs="宋体"/>
              <w:color w:val="auto"/>
              <w:spacing w:val="-2"/>
              <w:sz w:val="21"/>
              <w:szCs w:val="21"/>
              <w:highlight w:val="none"/>
            </w:rPr>
            <w:t>274</w:t>
          </w:r>
          <w:r>
            <w:rPr>
              <w:rFonts w:ascii="宋体" w:hAnsi="宋体" w:eastAsia="宋体" w:cs="宋体"/>
              <w:color w:val="auto"/>
              <w:spacing w:val="-2"/>
              <w:sz w:val="21"/>
              <w:szCs w:val="21"/>
              <w:highlight w:val="none"/>
            </w:rPr>
            <w:fldChar w:fldCharType="end"/>
          </w:r>
        </w:p>
        <w:p w14:paraId="2B26EFD3">
          <w:pPr>
            <w:tabs>
              <w:tab w:val="right" w:leader="dot" w:pos="8317"/>
            </w:tabs>
            <w:spacing w:before="17" w:line="221" w:lineRule="auto"/>
            <w:ind w:left="86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（三）近年完成的类似项目情况</w:t>
          </w:r>
          <w:r>
            <w:rPr>
              <w:rFonts w:ascii="宋体" w:hAnsi="宋体" w:eastAsia="宋体" w:cs="宋体"/>
              <w:color w:val="auto"/>
              <w:spacing w:val="-7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"bookmark307" </w:instrText>
          </w:r>
          <w:r>
            <w:rPr>
              <w:color w:val="auto"/>
              <w:highlight w:val="none"/>
            </w:rPr>
            <w:fldChar w:fldCharType="separate"/>
          </w:r>
          <w:r>
            <w:rPr>
              <w:rFonts w:ascii="宋体" w:hAnsi="宋体" w:eastAsia="宋体" w:cs="宋体"/>
              <w:color w:val="auto"/>
              <w:spacing w:val="-2"/>
              <w:sz w:val="21"/>
              <w:szCs w:val="21"/>
              <w:highlight w:val="none"/>
            </w:rPr>
            <w:t>275</w:t>
          </w:r>
          <w:r>
            <w:rPr>
              <w:rFonts w:ascii="宋体" w:hAnsi="宋体" w:eastAsia="宋体" w:cs="宋体"/>
              <w:color w:val="auto"/>
              <w:spacing w:val="-2"/>
              <w:sz w:val="21"/>
              <w:szCs w:val="21"/>
              <w:highlight w:val="none"/>
            </w:rPr>
            <w:fldChar w:fldCharType="end"/>
          </w:r>
        </w:p>
        <w:p w14:paraId="4E2EF660">
          <w:pPr>
            <w:tabs>
              <w:tab w:val="right" w:leader="dot" w:pos="8317"/>
            </w:tabs>
            <w:spacing w:before="22" w:line="221" w:lineRule="auto"/>
            <w:ind w:left="86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3-1 近年完成的类似项目汇总表</w:t>
          </w:r>
          <w:r>
            <w:rPr>
              <w:rFonts w:ascii="宋体" w:hAnsi="宋体" w:eastAsia="宋体" w:cs="宋体"/>
              <w:color w:val="auto"/>
              <w:spacing w:val="-6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"bookmark308" </w:instrText>
          </w:r>
          <w:r>
            <w:rPr>
              <w:color w:val="auto"/>
              <w:highlight w:val="none"/>
            </w:rPr>
            <w:fldChar w:fldCharType="separate"/>
          </w:r>
          <w:r>
            <w:rPr>
              <w:rFonts w:ascii="宋体" w:hAnsi="宋体" w:eastAsia="宋体" w:cs="宋体"/>
              <w:color w:val="auto"/>
              <w:spacing w:val="-2"/>
              <w:sz w:val="21"/>
              <w:szCs w:val="21"/>
              <w:highlight w:val="none"/>
            </w:rPr>
            <w:t>275</w:t>
          </w:r>
          <w:r>
            <w:rPr>
              <w:rFonts w:ascii="宋体" w:hAnsi="宋体" w:eastAsia="宋体" w:cs="宋体"/>
              <w:color w:val="auto"/>
              <w:spacing w:val="-2"/>
              <w:sz w:val="21"/>
              <w:szCs w:val="21"/>
              <w:highlight w:val="none"/>
            </w:rPr>
            <w:fldChar w:fldCharType="end"/>
          </w:r>
        </w:p>
        <w:p w14:paraId="36EB8FFC">
          <w:pPr>
            <w:tabs>
              <w:tab w:val="right" w:leader="dot" w:pos="8317"/>
            </w:tabs>
            <w:spacing w:before="23" w:line="221" w:lineRule="auto"/>
            <w:ind w:left="86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3-2 近年完成的类似项目情况表</w:t>
          </w:r>
          <w:r>
            <w:rPr>
              <w:rFonts w:ascii="宋体" w:hAnsi="宋体" w:eastAsia="宋体" w:cs="宋体"/>
              <w:color w:val="auto"/>
              <w:spacing w:val="-6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"bookmark309" </w:instrText>
          </w:r>
          <w:r>
            <w:rPr>
              <w:color w:val="auto"/>
              <w:highlight w:val="none"/>
            </w:rPr>
            <w:fldChar w:fldCharType="separate"/>
          </w:r>
          <w:r>
            <w:rPr>
              <w:rFonts w:ascii="宋体" w:hAnsi="宋体" w:eastAsia="宋体" w:cs="宋体"/>
              <w:color w:val="auto"/>
              <w:spacing w:val="-2"/>
              <w:sz w:val="21"/>
              <w:szCs w:val="21"/>
              <w:highlight w:val="none"/>
            </w:rPr>
            <w:t>276</w:t>
          </w:r>
          <w:r>
            <w:rPr>
              <w:rFonts w:ascii="宋体" w:hAnsi="宋体" w:eastAsia="宋体" w:cs="宋体"/>
              <w:color w:val="auto"/>
              <w:spacing w:val="-2"/>
              <w:sz w:val="21"/>
              <w:szCs w:val="21"/>
              <w:highlight w:val="none"/>
            </w:rPr>
            <w:fldChar w:fldCharType="end"/>
          </w:r>
        </w:p>
        <w:p w14:paraId="33109FFC">
          <w:pPr>
            <w:tabs>
              <w:tab w:val="right" w:leader="dot" w:pos="8317"/>
            </w:tabs>
            <w:spacing w:before="22" w:line="221" w:lineRule="auto"/>
            <w:ind w:left="86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（四）正在施工的和新承接的项目情况</w:t>
          </w:r>
          <w:r>
            <w:rPr>
              <w:rFonts w:ascii="宋体" w:hAnsi="宋体" w:eastAsia="宋体" w:cs="宋体"/>
              <w:color w:val="auto"/>
              <w:spacing w:val="-6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"bookmark310" </w:instrText>
          </w:r>
          <w:r>
            <w:rPr>
              <w:color w:val="auto"/>
              <w:highlight w:val="none"/>
            </w:rPr>
            <w:fldChar w:fldCharType="separate"/>
          </w:r>
          <w:r>
            <w:rPr>
              <w:rFonts w:ascii="宋体" w:hAnsi="宋体" w:eastAsia="宋体" w:cs="宋体"/>
              <w:color w:val="auto"/>
              <w:spacing w:val="-2"/>
              <w:sz w:val="21"/>
              <w:szCs w:val="21"/>
              <w:highlight w:val="none"/>
            </w:rPr>
            <w:t>277</w:t>
          </w:r>
          <w:r>
            <w:rPr>
              <w:rFonts w:ascii="宋体" w:hAnsi="宋体" w:eastAsia="宋体" w:cs="宋体"/>
              <w:color w:val="auto"/>
              <w:spacing w:val="-2"/>
              <w:sz w:val="21"/>
              <w:szCs w:val="21"/>
              <w:highlight w:val="none"/>
            </w:rPr>
            <w:fldChar w:fldCharType="end"/>
          </w:r>
        </w:p>
        <w:p w14:paraId="13967C15">
          <w:pPr>
            <w:tabs>
              <w:tab w:val="right" w:leader="dot" w:pos="8317"/>
            </w:tabs>
            <w:spacing w:before="18" w:line="221" w:lineRule="auto"/>
            <w:ind w:left="85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4-1 正在施工的和新承接的项目汇总表</w:t>
          </w:r>
          <w:r>
            <w:rPr>
              <w:rFonts w:ascii="宋体" w:hAnsi="宋体" w:eastAsia="宋体" w:cs="宋体"/>
              <w:color w:val="auto"/>
              <w:spacing w:val="-5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"bookmark311" </w:instrText>
          </w:r>
          <w:r>
            <w:rPr>
              <w:color w:val="auto"/>
              <w:highlight w:val="none"/>
            </w:rPr>
            <w:fldChar w:fldCharType="separate"/>
          </w:r>
          <w:r>
            <w:rPr>
              <w:rFonts w:ascii="宋体" w:hAnsi="宋体" w:eastAsia="宋体" w:cs="宋体"/>
              <w:color w:val="auto"/>
              <w:spacing w:val="-2"/>
              <w:sz w:val="21"/>
              <w:szCs w:val="21"/>
              <w:highlight w:val="none"/>
            </w:rPr>
            <w:t>277</w:t>
          </w:r>
          <w:r>
            <w:rPr>
              <w:rFonts w:ascii="宋体" w:hAnsi="宋体" w:eastAsia="宋体" w:cs="宋体"/>
              <w:color w:val="auto"/>
              <w:spacing w:val="-2"/>
              <w:sz w:val="21"/>
              <w:szCs w:val="21"/>
              <w:highlight w:val="none"/>
            </w:rPr>
            <w:fldChar w:fldCharType="end"/>
          </w:r>
        </w:p>
        <w:p w14:paraId="781F955C">
          <w:pPr>
            <w:tabs>
              <w:tab w:val="right" w:leader="dot" w:pos="8317"/>
            </w:tabs>
            <w:spacing w:before="22" w:line="221" w:lineRule="auto"/>
            <w:ind w:left="85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4-2 正在施工的和新承接的项目情况表</w:t>
          </w:r>
          <w:r>
            <w:rPr>
              <w:rFonts w:ascii="宋体" w:hAnsi="宋体" w:eastAsia="宋体" w:cs="宋体"/>
              <w:color w:val="auto"/>
              <w:spacing w:val="-5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"bookmark312" </w:instrText>
          </w:r>
          <w:r>
            <w:rPr>
              <w:color w:val="auto"/>
              <w:highlight w:val="none"/>
            </w:rPr>
            <w:fldChar w:fldCharType="separate"/>
          </w:r>
          <w:r>
            <w:rPr>
              <w:rFonts w:ascii="宋体" w:hAnsi="宋体" w:eastAsia="宋体" w:cs="宋体"/>
              <w:color w:val="auto"/>
              <w:spacing w:val="-2"/>
              <w:sz w:val="21"/>
              <w:szCs w:val="21"/>
              <w:highlight w:val="none"/>
            </w:rPr>
            <w:t>278</w:t>
          </w:r>
          <w:r>
            <w:rPr>
              <w:rFonts w:ascii="宋体" w:hAnsi="宋体" w:eastAsia="宋体" w:cs="宋体"/>
              <w:color w:val="auto"/>
              <w:spacing w:val="-2"/>
              <w:sz w:val="21"/>
              <w:szCs w:val="21"/>
              <w:highlight w:val="none"/>
            </w:rPr>
            <w:fldChar w:fldCharType="end"/>
          </w:r>
        </w:p>
        <w:p w14:paraId="531529C9">
          <w:pPr>
            <w:tabs>
              <w:tab w:val="right" w:leader="dot" w:pos="8317"/>
            </w:tabs>
            <w:spacing w:before="22" w:line="220" w:lineRule="auto"/>
            <w:ind w:left="86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（五）企业信誉情况</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"bookmark313" </w:instrText>
          </w:r>
          <w:r>
            <w:rPr>
              <w:color w:val="auto"/>
              <w:highlight w:val="none"/>
            </w:rPr>
            <w:fldChar w:fldCharType="separate"/>
          </w:r>
          <w:r>
            <w:rPr>
              <w:rFonts w:ascii="宋体" w:hAnsi="宋体" w:eastAsia="宋体" w:cs="宋体"/>
              <w:color w:val="auto"/>
              <w:spacing w:val="-2"/>
              <w:sz w:val="21"/>
              <w:szCs w:val="21"/>
              <w:highlight w:val="none"/>
            </w:rPr>
            <w:t>279</w:t>
          </w:r>
          <w:r>
            <w:rPr>
              <w:rFonts w:ascii="宋体" w:hAnsi="宋体" w:eastAsia="宋体" w:cs="宋体"/>
              <w:color w:val="auto"/>
              <w:spacing w:val="-2"/>
              <w:sz w:val="21"/>
              <w:szCs w:val="21"/>
              <w:highlight w:val="none"/>
            </w:rPr>
            <w:fldChar w:fldCharType="end"/>
          </w:r>
        </w:p>
        <w:p w14:paraId="2E9C0048">
          <w:pPr>
            <w:tabs>
              <w:tab w:val="right" w:leader="dot" w:pos="8317"/>
            </w:tabs>
            <w:spacing w:before="24" w:line="220" w:lineRule="auto"/>
            <w:ind w:left="86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5-1</w:t>
          </w:r>
          <w:r>
            <w:rPr>
              <w:rFonts w:ascii="宋体" w:hAnsi="宋体" w:eastAsia="宋体" w:cs="宋体"/>
              <w:color w:val="auto"/>
              <w:spacing w:val="-35"/>
              <w:sz w:val="21"/>
              <w:szCs w:val="21"/>
              <w:highlight w:val="none"/>
            </w:rPr>
            <w:t xml:space="preserve"> </w:t>
          </w:r>
          <w:r>
            <w:rPr>
              <w:rFonts w:ascii="宋体" w:hAnsi="宋体" w:eastAsia="宋体" w:cs="宋体"/>
              <w:color w:val="auto"/>
              <w:spacing w:val="-3"/>
              <w:sz w:val="21"/>
              <w:szCs w:val="21"/>
              <w:highlight w:val="none"/>
            </w:rPr>
            <w:t>企业信誉声明</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"bookmark314" </w:instrText>
          </w:r>
          <w:r>
            <w:rPr>
              <w:color w:val="auto"/>
              <w:highlight w:val="none"/>
            </w:rPr>
            <w:fldChar w:fldCharType="separate"/>
          </w:r>
          <w:r>
            <w:rPr>
              <w:rFonts w:ascii="宋体" w:hAnsi="宋体" w:eastAsia="宋体" w:cs="宋体"/>
              <w:color w:val="auto"/>
              <w:spacing w:val="-2"/>
              <w:sz w:val="21"/>
              <w:szCs w:val="21"/>
              <w:highlight w:val="none"/>
            </w:rPr>
            <w:t>279</w:t>
          </w:r>
          <w:r>
            <w:rPr>
              <w:rFonts w:ascii="宋体" w:hAnsi="宋体" w:eastAsia="宋体" w:cs="宋体"/>
              <w:color w:val="auto"/>
              <w:spacing w:val="-2"/>
              <w:sz w:val="21"/>
              <w:szCs w:val="21"/>
              <w:highlight w:val="none"/>
            </w:rPr>
            <w:fldChar w:fldCharType="end"/>
          </w:r>
        </w:p>
        <w:p w14:paraId="796117F6">
          <w:pPr>
            <w:tabs>
              <w:tab w:val="right" w:leader="dot" w:pos="8317"/>
            </w:tabs>
            <w:spacing w:before="19" w:line="221" w:lineRule="auto"/>
            <w:ind w:left="86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5-2 近年发生的诉讼和仲裁情况</w:t>
          </w:r>
          <w:r>
            <w:rPr>
              <w:rFonts w:ascii="宋体" w:hAnsi="宋体" w:eastAsia="宋体" w:cs="宋体"/>
              <w:color w:val="auto"/>
              <w:spacing w:val="-6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"bookmark315" </w:instrText>
          </w:r>
          <w:r>
            <w:rPr>
              <w:color w:val="auto"/>
              <w:highlight w:val="none"/>
            </w:rPr>
            <w:fldChar w:fldCharType="separate"/>
          </w:r>
          <w:r>
            <w:rPr>
              <w:rFonts w:ascii="宋体" w:hAnsi="宋体" w:eastAsia="宋体" w:cs="宋体"/>
              <w:color w:val="auto"/>
              <w:spacing w:val="-2"/>
              <w:sz w:val="21"/>
              <w:szCs w:val="21"/>
              <w:highlight w:val="none"/>
            </w:rPr>
            <w:t>280</w:t>
          </w:r>
          <w:r>
            <w:rPr>
              <w:rFonts w:ascii="宋体" w:hAnsi="宋体" w:eastAsia="宋体" w:cs="宋体"/>
              <w:color w:val="auto"/>
              <w:spacing w:val="-2"/>
              <w:sz w:val="21"/>
              <w:szCs w:val="21"/>
              <w:highlight w:val="none"/>
            </w:rPr>
            <w:fldChar w:fldCharType="end"/>
          </w:r>
        </w:p>
        <w:p w14:paraId="638C57A5">
          <w:pPr>
            <w:tabs>
              <w:tab w:val="right" w:leader="dot" w:pos="8317"/>
            </w:tabs>
            <w:spacing w:before="22" w:line="221" w:lineRule="auto"/>
            <w:ind w:left="86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5-3 近年投标人工程获奖情况表</w:t>
          </w:r>
          <w:r>
            <w:rPr>
              <w:rFonts w:ascii="宋体" w:hAnsi="宋体" w:eastAsia="宋体" w:cs="宋体"/>
              <w:color w:val="auto"/>
              <w:spacing w:val="-6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"bookmark316" </w:instrText>
          </w:r>
          <w:r>
            <w:rPr>
              <w:color w:val="auto"/>
              <w:highlight w:val="none"/>
            </w:rPr>
            <w:fldChar w:fldCharType="separate"/>
          </w:r>
          <w:r>
            <w:rPr>
              <w:rFonts w:ascii="宋体" w:hAnsi="宋体" w:eastAsia="宋体" w:cs="宋体"/>
              <w:color w:val="auto"/>
              <w:spacing w:val="-2"/>
              <w:sz w:val="21"/>
              <w:szCs w:val="21"/>
              <w:highlight w:val="none"/>
            </w:rPr>
            <w:t>281</w:t>
          </w:r>
          <w:r>
            <w:rPr>
              <w:rFonts w:ascii="宋体" w:hAnsi="宋体" w:eastAsia="宋体" w:cs="宋体"/>
              <w:color w:val="auto"/>
              <w:spacing w:val="-2"/>
              <w:sz w:val="21"/>
              <w:szCs w:val="21"/>
              <w:highlight w:val="none"/>
            </w:rPr>
            <w:fldChar w:fldCharType="end"/>
          </w:r>
        </w:p>
        <w:p w14:paraId="075339C1">
          <w:pPr>
            <w:tabs>
              <w:tab w:val="right" w:leader="dot" w:pos="8317"/>
            </w:tabs>
            <w:spacing w:before="22" w:line="221" w:lineRule="auto"/>
            <w:ind w:left="86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5-4 近年项目经理工程获奖情况表</w:t>
          </w:r>
          <w:r>
            <w:rPr>
              <w:rFonts w:ascii="宋体" w:hAnsi="宋体" w:eastAsia="宋体" w:cs="宋体"/>
              <w:color w:val="auto"/>
              <w:spacing w:val="-6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"bookmark317" </w:instrText>
          </w:r>
          <w:r>
            <w:rPr>
              <w:color w:val="auto"/>
              <w:highlight w:val="none"/>
            </w:rPr>
            <w:fldChar w:fldCharType="separate"/>
          </w:r>
          <w:r>
            <w:rPr>
              <w:rFonts w:ascii="宋体" w:hAnsi="宋体" w:eastAsia="宋体" w:cs="宋体"/>
              <w:color w:val="auto"/>
              <w:spacing w:val="-2"/>
              <w:sz w:val="21"/>
              <w:szCs w:val="21"/>
              <w:highlight w:val="none"/>
            </w:rPr>
            <w:t>282</w:t>
          </w:r>
          <w:r>
            <w:rPr>
              <w:rFonts w:ascii="宋体" w:hAnsi="宋体" w:eastAsia="宋体" w:cs="宋体"/>
              <w:color w:val="auto"/>
              <w:spacing w:val="-2"/>
              <w:sz w:val="21"/>
              <w:szCs w:val="21"/>
              <w:highlight w:val="none"/>
            </w:rPr>
            <w:fldChar w:fldCharType="end"/>
          </w:r>
        </w:p>
        <w:p w14:paraId="187B3234">
          <w:pPr>
            <w:tabs>
              <w:tab w:val="right" w:leader="dot" w:pos="8317"/>
            </w:tabs>
            <w:spacing w:before="22" w:line="221" w:lineRule="auto"/>
            <w:ind w:left="86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5-5 近年项目经理获表彰情况表</w:t>
          </w:r>
          <w:r>
            <w:rPr>
              <w:rFonts w:ascii="宋体" w:hAnsi="宋体" w:eastAsia="宋体" w:cs="宋体"/>
              <w:color w:val="auto"/>
              <w:spacing w:val="-66"/>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"bookmark318" </w:instrText>
          </w:r>
          <w:r>
            <w:rPr>
              <w:color w:val="auto"/>
              <w:highlight w:val="none"/>
            </w:rPr>
            <w:fldChar w:fldCharType="separate"/>
          </w:r>
          <w:r>
            <w:rPr>
              <w:rFonts w:ascii="宋体" w:hAnsi="宋体" w:eastAsia="宋体" w:cs="宋体"/>
              <w:color w:val="auto"/>
              <w:spacing w:val="-2"/>
              <w:sz w:val="21"/>
              <w:szCs w:val="21"/>
              <w:highlight w:val="none"/>
            </w:rPr>
            <w:t>283</w:t>
          </w:r>
          <w:r>
            <w:rPr>
              <w:rFonts w:ascii="宋体" w:hAnsi="宋体" w:eastAsia="宋体" w:cs="宋体"/>
              <w:color w:val="auto"/>
              <w:spacing w:val="-2"/>
              <w:sz w:val="21"/>
              <w:szCs w:val="21"/>
              <w:highlight w:val="none"/>
            </w:rPr>
            <w:fldChar w:fldCharType="end"/>
          </w:r>
        </w:p>
        <w:p w14:paraId="1DC6075C">
          <w:pPr>
            <w:tabs>
              <w:tab w:val="right" w:leader="dot" w:pos="8317"/>
            </w:tabs>
            <w:spacing w:before="18" w:line="219" w:lineRule="auto"/>
            <w:ind w:left="4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八、已标价工程量清单</w:t>
          </w:r>
          <w:r>
            <w:rPr>
              <w:rFonts w:ascii="宋体" w:hAnsi="宋体" w:eastAsia="宋体" w:cs="宋体"/>
              <w:color w:val="auto"/>
              <w:spacing w:val="-81"/>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"bookmark319" </w:instrText>
          </w:r>
          <w:r>
            <w:rPr>
              <w:color w:val="auto"/>
              <w:highlight w:val="none"/>
            </w:rPr>
            <w:fldChar w:fldCharType="separate"/>
          </w:r>
          <w:r>
            <w:rPr>
              <w:rFonts w:ascii="宋体" w:hAnsi="宋体" w:eastAsia="宋体" w:cs="宋体"/>
              <w:color w:val="auto"/>
              <w:spacing w:val="-2"/>
              <w:sz w:val="21"/>
              <w:szCs w:val="21"/>
              <w:highlight w:val="none"/>
            </w:rPr>
            <w:t>284</w:t>
          </w:r>
          <w:r>
            <w:rPr>
              <w:rFonts w:ascii="宋体" w:hAnsi="宋体" w:eastAsia="宋体" w:cs="宋体"/>
              <w:color w:val="auto"/>
              <w:spacing w:val="-2"/>
              <w:sz w:val="21"/>
              <w:szCs w:val="21"/>
              <w:highlight w:val="none"/>
            </w:rPr>
            <w:fldChar w:fldCharType="end"/>
          </w:r>
        </w:p>
        <w:p w14:paraId="70839AE3">
          <w:pPr>
            <w:tabs>
              <w:tab w:val="right" w:leader="dot" w:pos="8317"/>
            </w:tabs>
            <w:spacing w:before="25" w:line="219" w:lineRule="auto"/>
            <w:ind w:left="88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已标价工程量清单（投标总价）封面</w:t>
          </w:r>
          <w:r>
            <w:rPr>
              <w:rFonts w:ascii="宋体" w:hAnsi="宋体" w:eastAsia="宋体" w:cs="宋体"/>
              <w:color w:val="auto"/>
              <w:spacing w:val="-5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7"/>
              <w:sz w:val="21"/>
              <w:szCs w:val="21"/>
              <w:highlight w:val="none"/>
            </w:rPr>
            <w:t xml:space="preserve"> </w:t>
          </w:r>
          <w:r>
            <w:rPr>
              <w:color w:val="auto"/>
              <w:highlight w:val="none"/>
            </w:rPr>
            <w:fldChar w:fldCharType="begin"/>
          </w:r>
          <w:r>
            <w:rPr>
              <w:color w:val="auto"/>
              <w:highlight w:val="none"/>
            </w:rPr>
            <w:instrText xml:space="preserve"> HYPERLINK \l "bookmark320" </w:instrText>
          </w:r>
          <w:r>
            <w:rPr>
              <w:color w:val="auto"/>
              <w:highlight w:val="none"/>
            </w:rPr>
            <w:fldChar w:fldCharType="separate"/>
          </w:r>
          <w:r>
            <w:rPr>
              <w:rFonts w:ascii="宋体" w:hAnsi="宋体" w:eastAsia="宋体" w:cs="宋体"/>
              <w:color w:val="auto"/>
              <w:spacing w:val="-2"/>
              <w:sz w:val="21"/>
              <w:szCs w:val="21"/>
              <w:highlight w:val="none"/>
            </w:rPr>
            <w:t>285</w:t>
          </w:r>
          <w:r>
            <w:rPr>
              <w:rFonts w:ascii="宋体" w:hAnsi="宋体" w:eastAsia="宋体" w:cs="宋体"/>
              <w:color w:val="auto"/>
              <w:spacing w:val="-2"/>
              <w:sz w:val="21"/>
              <w:szCs w:val="21"/>
              <w:highlight w:val="none"/>
            </w:rPr>
            <w:fldChar w:fldCharType="end"/>
          </w:r>
        </w:p>
        <w:p w14:paraId="37AE2BC0">
          <w:pPr>
            <w:tabs>
              <w:tab w:val="right" w:leader="dot" w:pos="8317"/>
            </w:tabs>
            <w:spacing w:before="24" w:line="219" w:lineRule="auto"/>
            <w:ind w:left="86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投标总价扉页</w:t>
          </w:r>
          <w:r>
            <w:rPr>
              <w:rFonts w:ascii="宋体" w:hAnsi="宋体" w:eastAsia="宋体" w:cs="宋体"/>
              <w:color w:val="auto"/>
              <w:spacing w:val="-7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"bookmark321" </w:instrText>
          </w:r>
          <w:r>
            <w:rPr>
              <w:color w:val="auto"/>
              <w:highlight w:val="none"/>
            </w:rPr>
            <w:fldChar w:fldCharType="separate"/>
          </w:r>
          <w:r>
            <w:rPr>
              <w:rFonts w:ascii="宋体" w:hAnsi="宋体" w:eastAsia="宋体" w:cs="宋体"/>
              <w:color w:val="auto"/>
              <w:spacing w:val="-2"/>
              <w:sz w:val="21"/>
              <w:szCs w:val="21"/>
              <w:highlight w:val="none"/>
            </w:rPr>
            <w:t>286</w:t>
          </w:r>
          <w:r>
            <w:rPr>
              <w:rFonts w:ascii="宋体" w:hAnsi="宋体" w:eastAsia="宋体" w:cs="宋体"/>
              <w:color w:val="auto"/>
              <w:spacing w:val="-2"/>
              <w:sz w:val="21"/>
              <w:szCs w:val="21"/>
              <w:highlight w:val="none"/>
            </w:rPr>
            <w:fldChar w:fldCharType="end"/>
          </w:r>
        </w:p>
        <w:p w14:paraId="0053D8F2">
          <w:pPr>
            <w:tabs>
              <w:tab w:val="right" w:leader="dot" w:pos="8317"/>
            </w:tabs>
            <w:spacing w:before="20" w:line="222" w:lineRule="auto"/>
            <w:ind w:left="44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九、施工组织设计</w:t>
          </w:r>
          <w:r>
            <w:rPr>
              <w:rFonts w:ascii="宋体" w:hAnsi="宋体" w:eastAsia="宋体" w:cs="宋体"/>
              <w:color w:val="auto"/>
              <w:spacing w:val="-80"/>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"bookmark322" </w:instrText>
          </w:r>
          <w:r>
            <w:rPr>
              <w:color w:val="auto"/>
              <w:highlight w:val="none"/>
            </w:rPr>
            <w:fldChar w:fldCharType="separate"/>
          </w:r>
          <w:r>
            <w:rPr>
              <w:rFonts w:ascii="宋体" w:hAnsi="宋体" w:eastAsia="宋体" w:cs="宋体"/>
              <w:color w:val="auto"/>
              <w:spacing w:val="-2"/>
              <w:sz w:val="21"/>
              <w:szCs w:val="21"/>
              <w:highlight w:val="none"/>
            </w:rPr>
            <w:t>287</w:t>
          </w:r>
          <w:r>
            <w:rPr>
              <w:rFonts w:ascii="宋体" w:hAnsi="宋体" w:eastAsia="宋体" w:cs="宋体"/>
              <w:color w:val="auto"/>
              <w:spacing w:val="-2"/>
              <w:sz w:val="21"/>
              <w:szCs w:val="21"/>
              <w:highlight w:val="none"/>
            </w:rPr>
            <w:fldChar w:fldCharType="end"/>
          </w:r>
        </w:p>
        <w:p w14:paraId="039BEC2E">
          <w:pPr>
            <w:tabs>
              <w:tab w:val="right" w:leader="dot" w:pos="8317"/>
            </w:tabs>
            <w:spacing w:before="21" w:line="220" w:lineRule="auto"/>
            <w:ind w:left="87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附表一：拟投入本工程的主要施工设备表</w:t>
          </w:r>
          <w:r>
            <w:rPr>
              <w:rFonts w:ascii="宋体" w:hAnsi="宋体" w:eastAsia="宋体" w:cs="宋体"/>
              <w:color w:val="auto"/>
              <w:spacing w:val="-53"/>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5"/>
              <w:sz w:val="21"/>
              <w:szCs w:val="21"/>
              <w:highlight w:val="none"/>
            </w:rPr>
            <w:t xml:space="preserve"> </w:t>
          </w:r>
          <w:r>
            <w:rPr>
              <w:color w:val="auto"/>
              <w:highlight w:val="none"/>
            </w:rPr>
            <w:fldChar w:fldCharType="begin"/>
          </w:r>
          <w:r>
            <w:rPr>
              <w:color w:val="auto"/>
              <w:highlight w:val="none"/>
            </w:rPr>
            <w:instrText xml:space="preserve"> HYPERLINK \l "bookmark323" </w:instrText>
          </w:r>
          <w:r>
            <w:rPr>
              <w:color w:val="auto"/>
              <w:highlight w:val="none"/>
            </w:rPr>
            <w:fldChar w:fldCharType="separate"/>
          </w:r>
          <w:r>
            <w:rPr>
              <w:rFonts w:ascii="宋体" w:hAnsi="宋体" w:eastAsia="宋体" w:cs="宋体"/>
              <w:color w:val="auto"/>
              <w:spacing w:val="-2"/>
              <w:sz w:val="21"/>
              <w:szCs w:val="21"/>
              <w:highlight w:val="none"/>
            </w:rPr>
            <w:t>289</w:t>
          </w:r>
          <w:r>
            <w:rPr>
              <w:rFonts w:ascii="宋体" w:hAnsi="宋体" w:eastAsia="宋体" w:cs="宋体"/>
              <w:color w:val="auto"/>
              <w:spacing w:val="-2"/>
              <w:sz w:val="21"/>
              <w:szCs w:val="21"/>
              <w:highlight w:val="none"/>
            </w:rPr>
            <w:fldChar w:fldCharType="end"/>
          </w:r>
        </w:p>
        <w:p w14:paraId="5A8E297F">
          <w:pPr>
            <w:tabs>
              <w:tab w:val="right" w:leader="dot" w:pos="8317"/>
            </w:tabs>
            <w:spacing w:before="23" w:line="220" w:lineRule="auto"/>
            <w:ind w:left="87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附表二：拟配备本工程的试验和检测仪器设备表</w:t>
          </w:r>
          <w:r>
            <w:rPr>
              <w:rFonts w:ascii="宋体" w:hAnsi="宋体" w:eastAsia="宋体" w:cs="宋体"/>
              <w:color w:val="auto"/>
              <w:spacing w:val="-6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"bookmark324" </w:instrText>
          </w:r>
          <w:r>
            <w:rPr>
              <w:color w:val="auto"/>
              <w:highlight w:val="none"/>
            </w:rPr>
            <w:fldChar w:fldCharType="separate"/>
          </w:r>
          <w:r>
            <w:rPr>
              <w:rFonts w:ascii="宋体" w:hAnsi="宋体" w:eastAsia="宋体" w:cs="宋体"/>
              <w:color w:val="auto"/>
              <w:spacing w:val="-2"/>
              <w:sz w:val="21"/>
              <w:szCs w:val="21"/>
              <w:highlight w:val="none"/>
            </w:rPr>
            <w:t>290</w:t>
          </w:r>
          <w:r>
            <w:rPr>
              <w:rFonts w:ascii="宋体" w:hAnsi="宋体" w:eastAsia="宋体" w:cs="宋体"/>
              <w:color w:val="auto"/>
              <w:spacing w:val="-2"/>
              <w:sz w:val="21"/>
              <w:szCs w:val="21"/>
              <w:highlight w:val="none"/>
            </w:rPr>
            <w:fldChar w:fldCharType="end"/>
          </w:r>
        </w:p>
        <w:p w14:paraId="3882468B">
          <w:pPr>
            <w:tabs>
              <w:tab w:val="right" w:leader="dot" w:pos="8317"/>
            </w:tabs>
            <w:spacing w:before="24" w:line="220" w:lineRule="auto"/>
            <w:ind w:left="87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附表三：劳动力计划表</w:t>
          </w:r>
          <w:r>
            <w:rPr>
              <w:rFonts w:ascii="宋体" w:hAnsi="宋体" w:eastAsia="宋体" w:cs="宋体"/>
              <w:color w:val="auto"/>
              <w:spacing w:val="-6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"bookmark325" </w:instrText>
          </w:r>
          <w:r>
            <w:rPr>
              <w:color w:val="auto"/>
              <w:highlight w:val="none"/>
            </w:rPr>
            <w:fldChar w:fldCharType="separate"/>
          </w:r>
          <w:r>
            <w:rPr>
              <w:rFonts w:ascii="宋体" w:hAnsi="宋体" w:eastAsia="宋体" w:cs="宋体"/>
              <w:color w:val="auto"/>
              <w:spacing w:val="-2"/>
              <w:sz w:val="21"/>
              <w:szCs w:val="21"/>
              <w:highlight w:val="none"/>
            </w:rPr>
            <w:t>291</w:t>
          </w:r>
          <w:r>
            <w:rPr>
              <w:rFonts w:ascii="宋体" w:hAnsi="宋体" w:eastAsia="宋体" w:cs="宋体"/>
              <w:color w:val="auto"/>
              <w:spacing w:val="-2"/>
              <w:sz w:val="21"/>
              <w:szCs w:val="21"/>
              <w:highlight w:val="none"/>
            </w:rPr>
            <w:fldChar w:fldCharType="end"/>
          </w:r>
        </w:p>
        <w:p w14:paraId="79D398EC">
          <w:pPr>
            <w:tabs>
              <w:tab w:val="right" w:leader="dot" w:pos="8317"/>
            </w:tabs>
            <w:spacing w:before="18" w:line="220" w:lineRule="auto"/>
            <w:ind w:left="87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附表四：计划开、竣工日期和施工进度网络图</w:t>
          </w:r>
          <w:r>
            <w:rPr>
              <w:rFonts w:ascii="宋体" w:hAnsi="宋体" w:eastAsia="宋体" w:cs="宋体"/>
              <w:color w:val="auto"/>
              <w:spacing w:val="-47"/>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"bookmark326" </w:instrText>
          </w:r>
          <w:r>
            <w:rPr>
              <w:color w:val="auto"/>
              <w:highlight w:val="none"/>
            </w:rPr>
            <w:fldChar w:fldCharType="separate"/>
          </w:r>
          <w:r>
            <w:rPr>
              <w:rFonts w:ascii="宋体" w:hAnsi="宋体" w:eastAsia="宋体" w:cs="宋体"/>
              <w:color w:val="auto"/>
              <w:spacing w:val="-2"/>
              <w:sz w:val="21"/>
              <w:szCs w:val="21"/>
              <w:highlight w:val="none"/>
            </w:rPr>
            <w:t>292</w:t>
          </w:r>
          <w:r>
            <w:rPr>
              <w:rFonts w:ascii="宋体" w:hAnsi="宋体" w:eastAsia="宋体" w:cs="宋体"/>
              <w:color w:val="auto"/>
              <w:spacing w:val="-2"/>
              <w:sz w:val="21"/>
              <w:szCs w:val="21"/>
              <w:highlight w:val="none"/>
            </w:rPr>
            <w:fldChar w:fldCharType="end"/>
          </w:r>
        </w:p>
        <w:p w14:paraId="02A3EB90">
          <w:pPr>
            <w:tabs>
              <w:tab w:val="right" w:leader="dot" w:pos="8317"/>
            </w:tabs>
            <w:spacing w:before="24" w:line="220" w:lineRule="auto"/>
            <w:ind w:left="87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附表五：施工总平面图</w:t>
          </w:r>
          <w:r>
            <w:rPr>
              <w:rFonts w:ascii="宋体" w:hAnsi="宋体" w:eastAsia="宋体" w:cs="宋体"/>
              <w:color w:val="auto"/>
              <w:spacing w:val="-69"/>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"bookmark327" </w:instrText>
          </w:r>
          <w:r>
            <w:rPr>
              <w:color w:val="auto"/>
              <w:highlight w:val="none"/>
            </w:rPr>
            <w:fldChar w:fldCharType="separate"/>
          </w:r>
          <w:r>
            <w:rPr>
              <w:rFonts w:ascii="宋体" w:hAnsi="宋体" w:eastAsia="宋体" w:cs="宋体"/>
              <w:color w:val="auto"/>
              <w:spacing w:val="-2"/>
              <w:sz w:val="21"/>
              <w:szCs w:val="21"/>
              <w:highlight w:val="none"/>
            </w:rPr>
            <w:t>293</w:t>
          </w:r>
          <w:r>
            <w:rPr>
              <w:rFonts w:ascii="宋体" w:hAnsi="宋体" w:eastAsia="宋体" w:cs="宋体"/>
              <w:color w:val="auto"/>
              <w:spacing w:val="-2"/>
              <w:sz w:val="21"/>
              <w:szCs w:val="21"/>
              <w:highlight w:val="none"/>
            </w:rPr>
            <w:fldChar w:fldCharType="end"/>
          </w:r>
        </w:p>
        <w:p w14:paraId="72020A88">
          <w:pPr>
            <w:tabs>
              <w:tab w:val="right" w:leader="dot" w:pos="8317"/>
            </w:tabs>
            <w:spacing w:before="23" w:line="220" w:lineRule="auto"/>
            <w:ind w:left="87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附表六：临时用地表</w:t>
          </w:r>
          <w:r>
            <w:rPr>
              <w:rFonts w:ascii="宋体" w:hAnsi="宋体" w:eastAsia="宋体" w:cs="宋体"/>
              <w:color w:val="auto"/>
              <w:spacing w:val="-74"/>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"bookmark328" </w:instrText>
          </w:r>
          <w:r>
            <w:rPr>
              <w:color w:val="auto"/>
              <w:highlight w:val="none"/>
            </w:rPr>
            <w:fldChar w:fldCharType="separate"/>
          </w:r>
          <w:r>
            <w:rPr>
              <w:rFonts w:ascii="宋体" w:hAnsi="宋体" w:eastAsia="宋体" w:cs="宋体"/>
              <w:color w:val="auto"/>
              <w:spacing w:val="-2"/>
              <w:sz w:val="21"/>
              <w:szCs w:val="21"/>
              <w:highlight w:val="none"/>
            </w:rPr>
            <w:t>294</w:t>
          </w:r>
          <w:r>
            <w:rPr>
              <w:rFonts w:ascii="宋体" w:hAnsi="宋体" w:eastAsia="宋体" w:cs="宋体"/>
              <w:color w:val="auto"/>
              <w:spacing w:val="-2"/>
              <w:sz w:val="21"/>
              <w:szCs w:val="21"/>
              <w:highlight w:val="none"/>
            </w:rPr>
            <w:fldChar w:fldCharType="end"/>
          </w:r>
        </w:p>
        <w:p w14:paraId="556C6329">
          <w:pPr>
            <w:tabs>
              <w:tab w:val="right" w:leader="dot" w:pos="8317"/>
            </w:tabs>
            <w:spacing w:before="24" w:line="220" w:lineRule="auto"/>
            <w:ind w:left="44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十、其他材料</w:t>
          </w:r>
          <w:r>
            <w:rPr>
              <w:rFonts w:ascii="宋体" w:hAnsi="宋体" w:eastAsia="宋体" w:cs="宋体"/>
              <w:color w:val="auto"/>
              <w:spacing w:val="-82"/>
              <w:sz w:val="21"/>
              <w:szCs w:val="21"/>
              <w:highlight w:val="none"/>
            </w:rPr>
            <w:t xml:space="preserve"> </w:t>
          </w:r>
          <w:r>
            <w:rPr>
              <w:rFonts w:ascii="宋体" w:hAnsi="宋体" w:eastAsia="宋体" w:cs="宋体"/>
              <w:color w:val="auto"/>
              <w:sz w:val="21"/>
              <w:szCs w:val="21"/>
              <w:highlight w:val="none"/>
            </w:rPr>
            <w:tab/>
          </w:r>
          <w:r>
            <w:rPr>
              <w:rFonts w:ascii="宋体" w:hAnsi="宋体" w:eastAsia="宋体" w:cs="宋体"/>
              <w:color w:val="auto"/>
              <w:spacing w:val="-26"/>
              <w:sz w:val="21"/>
              <w:szCs w:val="21"/>
              <w:highlight w:val="none"/>
            </w:rPr>
            <w:t xml:space="preserve"> </w:t>
          </w:r>
          <w:r>
            <w:rPr>
              <w:color w:val="auto"/>
              <w:highlight w:val="none"/>
            </w:rPr>
            <w:fldChar w:fldCharType="begin"/>
          </w:r>
          <w:r>
            <w:rPr>
              <w:color w:val="auto"/>
              <w:highlight w:val="none"/>
            </w:rPr>
            <w:instrText xml:space="preserve"> HYPERLINK \l "bookmark329" </w:instrText>
          </w:r>
          <w:r>
            <w:rPr>
              <w:color w:val="auto"/>
              <w:highlight w:val="none"/>
            </w:rPr>
            <w:fldChar w:fldCharType="separate"/>
          </w:r>
          <w:r>
            <w:rPr>
              <w:rFonts w:ascii="宋体" w:hAnsi="宋体" w:eastAsia="宋体" w:cs="宋体"/>
              <w:color w:val="auto"/>
              <w:spacing w:val="-2"/>
              <w:sz w:val="21"/>
              <w:szCs w:val="21"/>
              <w:highlight w:val="none"/>
            </w:rPr>
            <w:t>295</w:t>
          </w:r>
          <w:r>
            <w:rPr>
              <w:rFonts w:ascii="宋体" w:hAnsi="宋体" w:eastAsia="宋体" w:cs="宋体"/>
              <w:color w:val="auto"/>
              <w:spacing w:val="-2"/>
              <w:sz w:val="21"/>
              <w:szCs w:val="21"/>
              <w:highlight w:val="none"/>
            </w:rPr>
            <w:fldChar w:fldCharType="end"/>
          </w:r>
        </w:p>
      </w:sdtContent>
    </w:sdt>
    <w:p w14:paraId="43177783">
      <w:pPr>
        <w:spacing w:line="220" w:lineRule="auto"/>
        <w:rPr>
          <w:rFonts w:ascii="宋体" w:hAnsi="宋体" w:eastAsia="宋体" w:cs="宋体"/>
          <w:color w:val="auto"/>
          <w:sz w:val="21"/>
          <w:szCs w:val="21"/>
          <w:highlight w:val="none"/>
        </w:rPr>
        <w:sectPr>
          <w:footerReference r:id="rId12" w:type="default"/>
          <w:pgSz w:w="11905" w:h="16839"/>
          <w:pgMar w:top="1427" w:right="1785" w:bottom="1033" w:left="1785" w:header="0" w:footer="848" w:gutter="0"/>
          <w:pgNumType w:fmt="decimal"/>
          <w:cols w:space="720" w:num="1"/>
        </w:sectPr>
      </w:pPr>
    </w:p>
    <w:p w14:paraId="275A508A">
      <w:pPr>
        <w:pStyle w:val="3"/>
        <w:spacing w:line="250" w:lineRule="auto"/>
        <w:rPr>
          <w:color w:val="auto"/>
          <w:highlight w:val="none"/>
        </w:rPr>
      </w:pPr>
    </w:p>
    <w:p w14:paraId="5CB4A6C4">
      <w:pPr>
        <w:pStyle w:val="3"/>
        <w:spacing w:line="250" w:lineRule="auto"/>
        <w:rPr>
          <w:color w:val="auto"/>
          <w:highlight w:val="none"/>
        </w:rPr>
      </w:pPr>
    </w:p>
    <w:p w14:paraId="2BF2C672">
      <w:pPr>
        <w:pStyle w:val="3"/>
        <w:spacing w:line="250" w:lineRule="auto"/>
        <w:rPr>
          <w:color w:val="auto"/>
          <w:highlight w:val="none"/>
        </w:rPr>
      </w:pPr>
    </w:p>
    <w:p w14:paraId="576EBDF6">
      <w:pPr>
        <w:pStyle w:val="3"/>
        <w:spacing w:line="250" w:lineRule="auto"/>
        <w:rPr>
          <w:color w:val="auto"/>
          <w:highlight w:val="none"/>
        </w:rPr>
      </w:pPr>
    </w:p>
    <w:p w14:paraId="04FC0BDD">
      <w:pPr>
        <w:pStyle w:val="3"/>
        <w:spacing w:line="250" w:lineRule="auto"/>
        <w:rPr>
          <w:color w:val="auto"/>
          <w:highlight w:val="none"/>
        </w:rPr>
      </w:pPr>
    </w:p>
    <w:p w14:paraId="31637221">
      <w:pPr>
        <w:pStyle w:val="3"/>
        <w:spacing w:line="250" w:lineRule="auto"/>
        <w:rPr>
          <w:color w:val="auto"/>
          <w:highlight w:val="none"/>
        </w:rPr>
      </w:pPr>
    </w:p>
    <w:p w14:paraId="69186B9F">
      <w:pPr>
        <w:pStyle w:val="3"/>
        <w:spacing w:line="250" w:lineRule="auto"/>
        <w:rPr>
          <w:color w:val="auto"/>
          <w:highlight w:val="none"/>
        </w:rPr>
      </w:pPr>
    </w:p>
    <w:p w14:paraId="126B566D">
      <w:pPr>
        <w:pStyle w:val="3"/>
        <w:spacing w:line="250" w:lineRule="auto"/>
        <w:rPr>
          <w:color w:val="auto"/>
          <w:highlight w:val="none"/>
        </w:rPr>
      </w:pPr>
    </w:p>
    <w:p w14:paraId="0C46B04E">
      <w:pPr>
        <w:pStyle w:val="3"/>
        <w:spacing w:line="250" w:lineRule="auto"/>
        <w:rPr>
          <w:color w:val="auto"/>
          <w:highlight w:val="none"/>
        </w:rPr>
      </w:pPr>
    </w:p>
    <w:p w14:paraId="113B4BC8">
      <w:pPr>
        <w:pStyle w:val="3"/>
        <w:spacing w:line="251" w:lineRule="auto"/>
        <w:rPr>
          <w:color w:val="auto"/>
          <w:highlight w:val="none"/>
        </w:rPr>
      </w:pPr>
    </w:p>
    <w:p w14:paraId="5CD207B3">
      <w:pPr>
        <w:pStyle w:val="3"/>
        <w:spacing w:line="251" w:lineRule="auto"/>
        <w:rPr>
          <w:color w:val="auto"/>
          <w:highlight w:val="none"/>
        </w:rPr>
      </w:pPr>
    </w:p>
    <w:p w14:paraId="78A189E8">
      <w:pPr>
        <w:pStyle w:val="3"/>
        <w:spacing w:line="251" w:lineRule="auto"/>
        <w:rPr>
          <w:color w:val="auto"/>
          <w:highlight w:val="none"/>
        </w:rPr>
      </w:pPr>
    </w:p>
    <w:p w14:paraId="2872A5A9">
      <w:pPr>
        <w:spacing w:before="156" w:line="219" w:lineRule="auto"/>
        <w:ind w:left="3467"/>
        <w:rPr>
          <w:rFonts w:ascii="黑体" w:hAnsi="黑体" w:eastAsia="黑体" w:cs="黑体"/>
          <w:color w:val="auto"/>
          <w:sz w:val="48"/>
          <w:szCs w:val="48"/>
          <w:highlight w:val="none"/>
        </w:rPr>
      </w:pPr>
      <w:r>
        <w:rPr>
          <w:rFonts w:ascii="黑体" w:hAnsi="黑体" w:eastAsia="黑体" w:cs="黑体"/>
          <w:color w:val="auto"/>
          <w:spacing w:val="-7"/>
          <w:sz w:val="48"/>
          <w:szCs w:val="48"/>
          <w:highlight w:val="none"/>
        </w:rPr>
        <w:t>第一卷</w:t>
      </w:r>
    </w:p>
    <w:p w14:paraId="7EB926C4">
      <w:pPr>
        <w:spacing w:line="219" w:lineRule="auto"/>
        <w:rPr>
          <w:rFonts w:ascii="黑体" w:hAnsi="黑体" w:eastAsia="黑体" w:cs="黑体"/>
          <w:color w:val="auto"/>
          <w:sz w:val="48"/>
          <w:szCs w:val="48"/>
          <w:highlight w:val="none"/>
        </w:rPr>
        <w:sectPr>
          <w:footerReference r:id="rId13" w:type="default"/>
          <w:pgSz w:w="11905" w:h="16839"/>
          <w:pgMar w:top="1431" w:right="1785" w:bottom="1036" w:left="1785" w:header="0" w:footer="847" w:gutter="0"/>
          <w:pgNumType w:fmt="decimal"/>
          <w:cols w:space="720" w:num="1"/>
        </w:sectPr>
      </w:pPr>
    </w:p>
    <w:p w14:paraId="0400020F">
      <w:pPr>
        <w:spacing w:before="63" w:line="220" w:lineRule="auto"/>
        <w:ind w:left="2899"/>
        <w:outlineLvl w:val="0"/>
        <w:rPr>
          <w:rFonts w:ascii="黑体" w:hAnsi="黑体" w:eastAsia="黑体" w:cs="黑体"/>
          <w:color w:val="auto"/>
          <w:sz w:val="32"/>
          <w:szCs w:val="32"/>
          <w:highlight w:val="none"/>
        </w:rPr>
      </w:pPr>
      <w:r>
        <w:rPr>
          <w:rFonts w:ascii="黑体" w:hAnsi="黑体" w:eastAsia="黑体" w:cs="黑体"/>
          <w:color w:val="auto"/>
          <w:spacing w:val="-1"/>
          <w:sz w:val="32"/>
          <w:szCs w:val="32"/>
          <w:highlight w:val="none"/>
        </w:rPr>
        <w:t>第一章  招标公告</w:t>
      </w:r>
    </w:p>
    <w:p w14:paraId="64E47DA5">
      <w:pPr>
        <w:pStyle w:val="3"/>
        <w:spacing w:line="386" w:lineRule="auto"/>
        <w:rPr>
          <w:color w:val="auto"/>
          <w:highlight w:val="none"/>
        </w:rPr>
      </w:pPr>
    </w:p>
    <w:p w14:paraId="65B91887">
      <w:pPr>
        <w:tabs>
          <w:tab w:val="left" w:pos="3016"/>
        </w:tabs>
        <w:spacing w:before="78" w:line="220" w:lineRule="auto"/>
        <w:ind w:left="1930"/>
        <w:rPr>
          <w:rFonts w:ascii="黑体" w:hAnsi="黑体" w:eastAsia="黑体" w:cs="黑体"/>
          <w:color w:val="auto"/>
          <w:spacing w:val="-11"/>
          <w:sz w:val="24"/>
          <w:szCs w:val="24"/>
          <w:highlight w:val="none"/>
        </w:rPr>
      </w:pPr>
      <w:r>
        <w:rPr>
          <w:rFonts w:hint="eastAsia" w:ascii="黑体" w:hAnsi="黑体" w:eastAsia="黑体" w:cs="黑体"/>
          <w:color w:val="auto"/>
          <w:spacing w:val="-11"/>
          <w:sz w:val="24"/>
          <w:szCs w:val="24"/>
          <w:highlight w:val="none"/>
          <w:lang w:eastAsia="zh-CN"/>
        </w:rPr>
        <w:t>营口市保障性租赁住房(2025年第一批)项目装修施工</w:t>
      </w:r>
      <w:r>
        <w:rPr>
          <w:rFonts w:ascii="黑体" w:hAnsi="黑体" w:eastAsia="黑体" w:cs="黑体"/>
          <w:color w:val="auto"/>
          <w:spacing w:val="-11"/>
          <w:sz w:val="24"/>
          <w:szCs w:val="24"/>
          <w:highlight w:val="none"/>
        </w:rPr>
        <w:t>招标公告</w:t>
      </w:r>
    </w:p>
    <w:p w14:paraId="71060709">
      <w:pPr>
        <w:spacing w:before="161" w:line="221" w:lineRule="auto"/>
        <w:ind w:left="2646"/>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标段唯一标识码：</w:t>
      </w:r>
      <w:r>
        <w:rPr>
          <w:rFonts w:ascii="宋体" w:hAnsi="宋体" w:eastAsia="宋体" w:cs="宋体"/>
          <w:color w:val="auto"/>
          <w:spacing w:val="-8"/>
          <w:sz w:val="21"/>
          <w:szCs w:val="21"/>
          <w:highlight w:val="none"/>
          <w:u w:val="single" w:color="auto"/>
        </w:rPr>
        <w:t>(</w:t>
      </w:r>
      <w:r>
        <w:rPr>
          <w:rFonts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pacing w:val="1"/>
          <w:sz w:val="21"/>
          <w:szCs w:val="21"/>
          <w:highlight w:val="none"/>
          <w:u w:val="single" w:color="auto"/>
          <w:lang w:val="en-US" w:eastAsia="zh-CN"/>
        </w:rPr>
        <w:t>xxx</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8"/>
          <w:sz w:val="21"/>
          <w:szCs w:val="21"/>
          <w:highlight w:val="none"/>
          <w:u w:val="single" w:color="auto"/>
        </w:rPr>
        <w:t>)</w:t>
      </w:r>
      <w:r>
        <w:rPr>
          <w:rFonts w:ascii="宋体" w:hAnsi="宋体" w:eastAsia="宋体" w:cs="宋体"/>
          <w:color w:val="auto"/>
          <w:sz w:val="21"/>
          <w:szCs w:val="21"/>
          <w:highlight w:val="none"/>
          <w:u w:val="single" w:color="auto"/>
        </w:rPr>
        <w:t xml:space="preserve">  </w:t>
      </w:r>
    </w:p>
    <w:p w14:paraId="13B0FEA3">
      <w:pPr>
        <w:pStyle w:val="3"/>
        <w:spacing w:line="241" w:lineRule="auto"/>
        <w:rPr>
          <w:color w:val="auto"/>
          <w:highlight w:val="none"/>
        </w:rPr>
      </w:pPr>
    </w:p>
    <w:p w14:paraId="30461C26">
      <w:pPr>
        <w:pStyle w:val="3"/>
        <w:spacing w:line="241" w:lineRule="auto"/>
        <w:rPr>
          <w:color w:val="auto"/>
          <w:highlight w:val="none"/>
        </w:rPr>
      </w:pPr>
    </w:p>
    <w:p w14:paraId="7969374A">
      <w:pPr>
        <w:spacing w:before="79" w:line="220"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w:t>
      </w:r>
      <w:r>
        <w:rPr>
          <w:rFonts w:ascii="黑体" w:hAnsi="黑体" w:eastAsia="黑体" w:cs="黑体"/>
          <w:color w:val="auto"/>
          <w:spacing w:val="-5"/>
          <w:sz w:val="24"/>
          <w:szCs w:val="24"/>
          <w:highlight w:val="none"/>
        </w:rPr>
        <w:t>招标条件</w:t>
      </w:r>
    </w:p>
    <w:p w14:paraId="70ED363B">
      <w:pPr>
        <w:ind w:firstLine="420" w:firstLineChars="200"/>
        <w:rPr>
          <w:rFonts w:ascii="宋体" w:hAnsi="宋体" w:eastAsia="宋体" w:cs="宋体"/>
          <w:color w:val="auto"/>
          <w:sz w:val="21"/>
          <w:szCs w:val="21"/>
          <w:highlight w:val="none"/>
        </w:rPr>
      </w:pPr>
      <w:r>
        <w:rPr>
          <w:rFonts w:ascii="宋体" w:hAnsi="宋体" w:eastAsia="宋体" w:cs="宋体"/>
          <w:color w:val="auto"/>
          <w:sz w:val="21"/>
          <w:szCs w:val="21"/>
          <w:highlight w:val="none"/>
        </w:rPr>
        <w:t>本招标项目</w:t>
      </w:r>
      <w:r>
        <w:rPr>
          <w:rFonts w:hint="eastAsia" w:ascii="宋体" w:hAnsi="宋体" w:eastAsia="宋体" w:cs="宋体"/>
          <w:color w:val="auto"/>
          <w:sz w:val="21"/>
          <w:szCs w:val="21"/>
          <w:highlight w:val="none"/>
          <w:u w:val="single"/>
          <w:lang w:eastAsia="zh-CN"/>
        </w:rPr>
        <w:t>营口市保障性租赁住房(2025年第一批)项目</w:t>
      </w:r>
      <w:r>
        <w:rPr>
          <w:rFonts w:ascii="宋体" w:hAnsi="宋体" w:eastAsia="宋体" w:cs="宋体"/>
          <w:color w:val="auto"/>
          <w:sz w:val="21"/>
          <w:szCs w:val="21"/>
          <w:highlight w:val="none"/>
          <w:u w:val="single"/>
        </w:rPr>
        <w:t xml:space="preserve"> </w:t>
      </w:r>
      <w:r>
        <w:rPr>
          <w:rFonts w:ascii="宋体" w:hAnsi="宋体" w:eastAsia="宋体" w:cs="宋体"/>
          <w:color w:val="auto"/>
          <w:sz w:val="21"/>
          <w:szCs w:val="21"/>
          <w:highlight w:val="none"/>
        </w:rPr>
        <w:t>已由</w:t>
      </w:r>
      <w:r>
        <w:rPr>
          <w:rFonts w:hint="eastAsia"/>
          <w:color w:val="auto"/>
          <w:highlight w:val="none"/>
          <w:u w:val="single"/>
          <w:lang w:val="en-US" w:eastAsia="zh-CN"/>
        </w:rPr>
        <w:t>营口市发展和改革委员会</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以</w:t>
      </w:r>
      <w:r>
        <w:rPr>
          <w:rFonts w:ascii="宋体" w:hAnsi="宋体" w:eastAsia="宋体" w:cs="宋体"/>
          <w:color w:val="auto"/>
          <w:spacing w:val="-105"/>
          <w:sz w:val="21"/>
          <w:szCs w:val="21"/>
          <w:highlight w:val="none"/>
        </w:rPr>
        <w:t xml:space="preserve"> </w:t>
      </w:r>
      <w:r>
        <w:rPr>
          <w:rFonts w:hint="eastAsia"/>
          <w:color w:val="auto"/>
          <w:highlight w:val="none"/>
        </w:rPr>
        <w:t>关于</w:t>
      </w:r>
      <w:r>
        <w:rPr>
          <w:rFonts w:hint="eastAsia" w:eastAsia="宋体"/>
          <w:color w:val="auto"/>
          <w:highlight w:val="none"/>
          <w:lang w:eastAsia="zh-CN"/>
        </w:rPr>
        <w:t>《营口市保障性租赁住房(2025年第一批)项目》</w:t>
      </w:r>
      <w:r>
        <w:rPr>
          <w:rFonts w:hint="eastAsia" w:eastAsia="宋体"/>
          <w:color w:val="auto"/>
          <w:highlight w:val="none"/>
          <w:lang w:val="en-US" w:eastAsia="zh-CN"/>
        </w:rPr>
        <w:t>项目备案证明</w:t>
      </w:r>
      <w:r>
        <w:rPr>
          <w:rFonts w:hint="eastAsia" w:eastAsia="宋体"/>
          <w:color w:val="auto"/>
          <w:highlight w:val="none"/>
          <w:lang w:eastAsia="zh-CN"/>
        </w:rPr>
        <w:t>（</w:t>
      </w:r>
      <w:r>
        <w:rPr>
          <w:rFonts w:hint="eastAsia"/>
          <w:color w:val="auto"/>
          <w:highlight w:val="none"/>
          <w:lang w:eastAsia="zh-CN"/>
        </w:rPr>
        <w:t>营发改</w:t>
      </w:r>
      <w:r>
        <w:rPr>
          <w:rFonts w:hint="eastAsia"/>
          <w:color w:val="auto"/>
          <w:highlight w:val="none"/>
          <w:lang w:val="en-US" w:eastAsia="zh-CN"/>
        </w:rPr>
        <w:t>备【</w:t>
      </w:r>
      <w:r>
        <w:rPr>
          <w:rFonts w:hint="eastAsia"/>
          <w:color w:val="auto"/>
          <w:highlight w:val="none"/>
          <w:lang w:eastAsia="zh-CN"/>
        </w:rPr>
        <w:t>2025】</w:t>
      </w:r>
      <w:r>
        <w:rPr>
          <w:rFonts w:hint="eastAsia"/>
          <w:color w:val="auto"/>
          <w:highlight w:val="none"/>
          <w:lang w:val="en-US" w:eastAsia="zh-CN"/>
        </w:rPr>
        <w:t>93</w:t>
      </w:r>
      <w:r>
        <w:rPr>
          <w:rFonts w:hint="eastAsia"/>
          <w:color w:val="auto"/>
          <w:highlight w:val="none"/>
          <w:lang w:eastAsia="zh-CN"/>
        </w:rPr>
        <w:t>号）</w:t>
      </w:r>
      <w:r>
        <w:rPr>
          <w:rFonts w:ascii="宋体" w:hAnsi="宋体" w:eastAsia="宋体" w:cs="宋体"/>
          <w:color w:val="auto"/>
          <w:spacing w:val="-4"/>
          <w:sz w:val="21"/>
          <w:szCs w:val="21"/>
          <w:highlight w:val="none"/>
        </w:rPr>
        <w:t>批准建设，项目业主</w:t>
      </w:r>
      <w:r>
        <w:rPr>
          <w:rFonts w:ascii="宋体" w:hAnsi="宋体" w:eastAsia="宋体" w:cs="宋体"/>
          <w:color w:val="auto"/>
          <w:spacing w:val="-5"/>
          <w:sz w:val="21"/>
          <w:szCs w:val="21"/>
          <w:highlight w:val="none"/>
        </w:rPr>
        <w:t>为</w:t>
      </w:r>
      <w:r>
        <w:rPr>
          <w:rFonts w:hint="eastAsia" w:eastAsia="宋体"/>
          <w:color w:val="auto"/>
          <w:highlight w:val="none"/>
          <w:lang w:eastAsia="zh-CN"/>
        </w:rPr>
        <w:t>营口广厦住房租赁有限公司</w:t>
      </w:r>
      <w:r>
        <w:rPr>
          <w:rFonts w:ascii="宋体" w:hAnsi="宋体" w:eastAsia="宋体" w:cs="宋体"/>
          <w:color w:val="auto"/>
          <w:spacing w:val="-79"/>
          <w:sz w:val="21"/>
          <w:szCs w:val="21"/>
          <w:highlight w:val="none"/>
        </w:rPr>
        <w:t xml:space="preserve"> </w:t>
      </w:r>
      <w:r>
        <w:rPr>
          <w:rFonts w:ascii="宋体" w:hAnsi="宋体" w:eastAsia="宋体" w:cs="宋体"/>
          <w:color w:val="auto"/>
          <w:spacing w:val="-5"/>
          <w:sz w:val="21"/>
          <w:szCs w:val="21"/>
          <w:highlight w:val="none"/>
        </w:rPr>
        <w:t>，建设资金来自</w:t>
      </w:r>
      <w:r>
        <w:rPr>
          <w:rFonts w:hint="eastAsia"/>
          <w:color w:val="auto"/>
          <w:highlight w:val="none"/>
          <w:lang w:eastAsia="zh-CN"/>
        </w:rPr>
        <w:t>财政资金</w:t>
      </w:r>
      <w:r>
        <w:rPr>
          <w:rFonts w:ascii="宋体" w:hAnsi="宋体" w:eastAsia="宋体" w:cs="宋体"/>
          <w:color w:val="auto"/>
          <w:spacing w:val="-52"/>
          <w:w w:val="95"/>
          <w:sz w:val="21"/>
          <w:szCs w:val="21"/>
          <w:highlight w:val="none"/>
        </w:rPr>
        <w:t>，</w:t>
      </w:r>
      <w:r>
        <w:rPr>
          <w:rFonts w:hint="eastAsia"/>
          <w:color w:val="auto"/>
          <w:highlight w:val="none"/>
        </w:rPr>
        <w:t>项目出资比例为</w:t>
      </w:r>
      <w:r>
        <w:rPr>
          <w:rFonts w:hint="eastAsia" w:eastAsia="宋体"/>
          <w:color w:val="auto"/>
          <w:highlight w:val="none"/>
          <w:lang w:val="en-US" w:eastAsia="zh-CN"/>
        </w:rPr>
        <w:t>财政资金100</w:t>
      </w:r>
      <w:r>
        <w:rPr>
          <w:rFonts w:hint="eastAsia"/>
          <w:color w:val="auto"/>
          <w:highlight w:val="none"/>
        </w:rPr>
        <w:t>%</w:t>
      </w:r>
      <w:r>
        <w:rPr>
          <w:rFonts w:hint="eastAsia" w:eastAsia="宋体"/>
          <w:color w:val="auto"/>
          <w:highlight w:val="none"/>
          <w:lang w:eastAsia="zh-CN"/>
        </w:rPr>
        <w:t>，</w:t>
      </w:r>
      <w:r>
        <w:rPr>
          <w:rFonts w:ascii="宋体" w:hAnsi="宋体" w:eastAsia="宋体" w:cs="宋体"/>
          <w:color w:val="auto"/>
          <w:spacing w:val="-2"/>
          <w:sz w:val="21"/>
          <w:szCs w:val="21"/>
          <w:highlight w:val="none"/>
        </w:rPr>
        <w:t>招标人为</w:t>
      </w:r>
      <w:r>
        <w:rPr>
          <w:rFonts w:hint="eastAsia" w:eastAsia="宋体"/>
          <w:color w:val="auto"/>
          <w:highlight w:val="none"/>
          <w:lang w:eastAsia="zh-CN"/>
        </w:rPr>
        <w:t>营口广厦住房租赁有限公司</w:t>
      </w:r>
      <w:r>
        <w:rPr>
          <w:rFonts w:ascii="宋体" w:hAnsi="宋体" w:eastAsia="宋体" w:cs="宋体"/>
          <w:color w:val="auto"/>
          <w:spacing w:val="-75"/>
          <w:sz w:val="21"/>
          <w:szCs w:val="21"/>
          <w:highlight w:val="none"/>
        </w:rPr>
        <w:t xml:space="preserve"> </w:t>
      </w:r>
      <w:r>
        <w:rPr>
          <w:rFonts w:ascii="宋体" w:hAnsi="宋体" w:eastAsia="宋体" w:cs="宋体"/>
          <w:color w:val="auto"/>
          <w:spacing w:val="-2"/>
          <w:sz w:val="21"/>
          <w:szCs w:val="21"/>
          <w:highlight w:val="none"/>
        </w:rPr>
        <w:t>，招标代理机构为</w:t>
      </w:r>
      <w:r>
        <w:rPr>
          <w:rFonts w:hint="eastAsia" w:ascii="宋体" w:hAnsi="宋体" w:eastAsia="宋体" w:cs="宋体"/>
          <w:color w:val="auto"/>
          <w:spacing w:val="-2"/>
          <w:sz w:val="21"/>
          <w:szCs w:val="21"/>
          <w:highlight w:val="none"/>
          <w:lang w:eastAsia="zh-CN"/>
        </w:rPr>
        <w:t>沈阳招标中心有限公司</w:t>
      </w:r>
      <w:r>
        <w:rPr>
          <w:rFonts w:ascii="宋体" w:hAnsi="宋体" w:eastAsia="宋体" w:cs="宋体"/>
          <w:color w:val="auto"/>
          <w:spacing w:val="-74"/>
          <w:sz w:val="21"/>
          <w:szCs w:val="21"/>
          <w:highlight w:val="none"/>
        </w:rPr>
        <w:t xml:space="preserve"> </w:t>
      </w:r>
      <w:r>
        <w:rPr>
          <w:rFonts w:ascii="宋体" w:hAnsi="宋体" w:eastAsia="宋体" w:cs="宋体"/>
          <w:color w:val="auto"/>
          <w:spacing w:val="-2"/>
          <w:sz w:val="21"/>
          <w:szCs w:val="21"/>
          <w:highlight w:val="none"/>
        </w:rPr>
        <w:t>。项</w:t>
      </w:r>
      <w:r>
        <w:rPr>
          <w:rFonts w:ascii="宋体" w:hAnsi="宋体" w:eastAsia="宋体" w:cs="宋体"/>
          <w:color w:val="auto"/>
          <w:spacing w:val="-3"/>
          <w:sz w:val="21"/>
          <w:szCs w:val="21"/>
          <w:highlight w:val="none"/>
        </w:rPr>
        <w:t>目已具备招标</w:t>
      </w:r>
      <w:r>
        <w:rPr>
          <w:rFonts w:ascii="宋体" w:hAnsi="宋体" w:eastAsia="宋体" w:cs="宋体"/>
          <w:color w:val="auto"/>
          <w:spacing w:val="-2"/>
          <w:sz w:val="21"/>
          <w:szCs w:val="21"/>
          <w:highlight w:val="none"/>
        </w:rPr>
        <w:t>条件，现对该项目进行公开招标。</w:t>
      </w:r>
    </w:p>
    <w:p w14:paraId="09AE0B80">
      <w:pPr>
        <w:spacing w:before="142" w:line="447" w:lineRule="exact"/>
        <w:ind w:left="15"/>
        <w:rPr>
          <w:rFonts w:ascii="黑体" w:hAnsi="黑体" w:eastAsia="黑体" w:cs="黑体"/>
          <w:color w:val="auto"/>
          <w:sz w:val="24"/>
          <w:szCs w:val="24"/>
          <w:highlight w:val="none"/>
        </w:rPr>
      </w:pPr>
      <w:r>
        <w:rPr>
          <w:rFonts w:ascii="Times New Roman" w:hAnsi="Times New Roman" w:eastAsia="Times New Roman" w:cs="Times New Roman"/>
          <w:color w:val="auto"/>
          <w:spacing w:val="-1"/>
          <w:position w:val="15"/>
          <w:sz w:val="24"/>
          <w:szCs w:val="24"/>
          <w:highlight w:val="none"/>
        </w:rPr>
        <w:t>2.</w:t>
      </w:r>
      <w:r>
        <w:rPr>
          <w:rFonts w:ascii="黑体" w:hAnsi="黑体" w:eastAsia="黑体" w:cs="黑体"/>
          <w:color w:val="auto"/>
          <w:spacing w:val="-1"/>
          <w:position w:val="15"/>
          <w:sz w:val="24"/>
          <w:szCs w:val="24"/>
          <w:highlight w:val="none"/>
        </w:rPr>
        <w:t>项目概况与招标范围</w:t>
      </w:r>
    </w:p>
    <w:p w14:paraId="0C68C59B">
      <w:pPr>
        <w:spacing w:before="1" w:line="220"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2.1</w:t>
      </w:r>
      <w:r>
        <w:rPr>
          <w:rFonts w:ascii="Times New Roman" w:hAnsi="Times New Roman" w:eastAsia="Times New Roman" w:cs="Times New Roman"/>
          <w:color w:val="auto"/>
          <w:spacing w:val="16"/>
          <w:w w:val="101"/>
          <w:sz w:val="21"/>
          <w:szCs w:val="21"/>
          <w:highlight w:val="none"/>
        </w:rPr>
        <w:t xml:space="preserve"> </w:t>
      </w:r>
      <w:r>
        <w:rPr>
          <w:rFonts w:ascii="宋体" w:hAnsi="宋体" w:eastAsia="宋体" w:cs="宋体"/>
          <w:color w:val="auto"/>
          <w:spacing w:val="-2"/>
          <w:sz w:val="21"/>
          <w:szCs w:val="21"/>
          <w:highlight w:val="none"/>
        </w:rPr>
        <w:t>项目概况</w:t>
      </w:r>
    </w:p>
    <w:p w14:paraId="07A82E74">
      <w:pPr>
        <w:spacing w:before="167" w:line="371" w:lineRule="auto"/>
        <w:ind w:left="861"/>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建设地点：</w:t>
      </w:r>
      <w:r>
        <w:rPr>
          <w:rFonts w:ascii="宋体" w:hAnsi="宋体" w:eastAsia="宋体" w:cs="宋体"/>
          <w:color w:val="auto"/>
          <w:spacing w:val="26"/>
          <w:sz w:val="21"/>
          <w:szCs w:val="21"/>
          <w:highlight w:val="none"/>
        </w:rPr>
        <w:t xml:space="preserve"> </w:t>
      </w:r>
      <w:r>
        <w:rPr>
          <w:rFonts w:hint="eastAsia"/>
          <w:color w:val="auto"/>
          <w:highlight w:val="none"/>
          <w:u w:val="single"/>
          <w:lang w:eastAsia="zh-CN"/>
        </w:rPr>
        <w:t>营口市</w:t>
      </w:r>
      <w:r>
        <w:rPr>
          <w:rFonts w:hint="eastAsia"/>
          <w:color w:val="auto"/>
          <w:highlight w:val="none"/>
          <w:lang w:eastAsia="zh-CN"/>
        </w:rPr>
        <w:t>。</w:t>
      </w:r>
    </w:p>
    <w:p w14:paraId="3B451181">
      <w:pPr>
        <w:spacing w:before="1" w:line="220" w:lineRule="auto"/>
        <w:ind w:left="861"/>
        <w:rPr>
          <w:rFonts w:hint="eastAsia" w:ascii="宋体" w:hAnsi="宋体" w:eastAsia="宋体" w:cs="宋体"/>
          <w:color w:val="auto"/>
          <w:sz w:val="21"/>
          <w:szCs w:val="21"/>
          <w:highlight w:val="none"/>
          <w:lang w:eastAsia="zh-CN"/>
        </w:rPr>
      </w:pPr>
      <w:r>
        <w:rPr>
          <w:rFonts w:ascii="宋体" w:hAnsi="宋体" w:eastAsia="宋体" w:cs="宋体"/>
          <w:color w:val="auto"/>
          <w:spacing w:val="-13"/>
          <w:sz w:val="21"/>
          <w:szCs w:val="21"/>
          <w:highlight w:val="none"/>
        </w:rPr>
        <w:t>建设规模：</w:t>
      </w:r>
      <w:r>
        <w:rPr>
          <w:rFonts w:hint="eastAsia" w:ascii="宋体" w:hAnsi="宋体" w:eastAsia="宋体" w:cs="宋体"/>
          <w:color w:val="auto"/>
          <w:spacing w:val="26"/>
          <w:sz w:val="21"/>
          <w:szCs w:val="21"/>
          <w:highlight w:val="none"/>
          <w:lang w:eastAsia="zh-CN"/>
        </w:rPr>
        <w:t>本项目拟收购两个住宅项目用于保障性租赁住房，其中本标段为智胜新家园小区(一期项目)共319套住房，面积共计21273.46平方米，对其进行装修改造，并配置家具家电。</w:t>
      </w:r>
    </w:p>
    <w:p w14:paraId="6AA8D2A9">
      <w:pPr>
        <w:spacing w:before="167" w:line="221"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2.2 </w:t>
      </w:r>
      <w:r>
        <w:rPr>
          <w:rFonts w:ascii="宋体" w:hAnsi="宋体" w:eastAsia="宋体" w:cs="宋体"/>
          <w:color w:val="auto"/>
          <w:sz w:val="21"/>
          <w:szCs w:val="21"/>
          <w:highlight w:val="none"/>
        </w:rPr>
        <w:t>招标范围</w:t>
      </w:r>
    </w:p>
    <w:p w14:paraId="5F65A44C">
      <w:pPr>
        <w:spacing w:before="171" w:line="367" w:lineRule="auto"/>
        <w:ind w:left="859"/>
        <w:rPr>
          <w:rFonts w:ascii="宋体" w:hAnsi="宋体" w:eastAsia="宋体" w:cs="宋体"/>
          <w:color w:val="auto"/>
          <w:sz w:val="21"/>
          <w:szCs w:val="21"/>
          <w:highlight w:val="none"/>
        </w:rPr>
      </w:pPr>
      <w:r>
        <w:rPr>
          <w:rFonts w:ascii="宋体" w:hAnsi="宋体" w:eastAsia="宋体" w:cs="宋体"/>
          <w:color w:val="auto"/>
          <w:spacing w:val="-21"/>
          <w:sz w:val="21"/>
          <w:szCs w:val="21"/>
          <w:highlight w:val="none"/>
        </w:rPr>
        <w:t>标段划分：</w:t>
      </w:r>
      <w:r>
        <w:rPr>
          <w:rFonts w:hint="eastAsia" w:ascii="宋体" w:hAnsi="宋体" w:eastAsia="宋体" w:cs="宋体"/>
          <w:color w:val="auto"/>
          <w:spacing w:val="-21"/>
          <w:sz w:val="21"/>
          <w:szCs w:val="21"/>
          <w:highlight w:val="none"/>
          <w:lang w:val="en-US" w:eastAsia="zh-CN"/>
        </w:rPr>
        <w:t>2个</w:t>
      </w:r>
      <w:r>
        <w:rPr>
          <w:rFonts w:ascii="宋体" w:hAnsi="宋体" w:eastAsia="宋体" w:cs="宋体"/>
          <w:color w:val="auto"/>
          <w:spacing w:val="-92"/>
          <w:sz w:val="21"/>
          <w:szCs w:val="21"/>
          <w:highlight w:val="none"/>
        </w:rPr>
        <w:t xml:space="preserve"> </w:t>
      </w:r>
      <w:r>
        <w:rPr>
          <w:rFonts w:ascii="宋体" w:hAnsi="宋体" w:eastAsia="宋体" w:cs="宋体"/>
          <w:color w:val="auto"/>
          <w:spacing w:val="-21"/>
          <w:sz w:val="21"/>
          <w:szCs w:val="21"/>
          <w:highlight w:val="none"/>
        </w:rPr>
        <w:t>标段；是否兼投</w:t>
      </w:r>
      <w:r>
        <w:rPr>
          <w:rFonts w:ascii="宋体" w:hAnsi="宋体" w:eastAsia="宋体" w:cs="宋体"/>
          <w:color w:val="auto"/>
          <w:spacing w:val="-3"/>
          <w:sz w:val="21"/>
          <w:szCs w:val="21"/>
          <w:highlight w:val="none"/>
        </w:rPr>
        <w:t>：</w:t>
      </w:r>
      <w:r>
        <w:rPr>
          <w:rFonts w:ascii="宋体" w:hAnsi="宋体" w:eastAsia="宋体" w:cs="宋体"/>
          <w:color w:val="auto"/>
          <w:spacing w:val="-2"/>
          <w:sz w:val="21"/>
          <w:szCs w:val="21"/>
          <w:highlight w:val="none"/>
        </w:rPr>
        <w:t xml:space="preserve"> </w:t>
      </w:r>
      <w:r>
        <w:rPr>
          <w:rFonts w:ascii="宋体" w:hAnsi="宋体" w:eastAsia="宋体" w:cs="宋体"/>
          <w:color w:val="auto"/>
          <w:spacing w:val="17"/>
          <w:sz w:val="21"/>
          <w:szCs w:val="21"/>
          <w:highlight w:val="none"/>
          <w:u w:val="single" w:color="auto"/>
        </w:rPr>
        <w:t xml:space="preserve"> </w:t>
      </w:r>
      <w:r>
        <w:rPr>
          <w:rFonts w:hint="eastAsia" w:ascii="宋体" w:hAnsi="宋体" w:eastAsia="宋体" w:cs="宋体"/>
          <w:color w:val="auto"/>
          <w:spacing w:val="17"/>
          <w:sz w:val="21"/>
          <w:szCs w:val="21"/>
          <w:highlight w:val="none"/>
          <w:u w:val="single" w:color="auto"/>
          <w:lang w:val="en-US" w:eastAsia="zh-CN"/>
        </w:rPr>
        <w:t>是</w:t>
      </w:r>
      <w:r>
        <w:rPr>
          <w:rFonts w:ascii="宋体" w:hAnsi="宋体" w:eastAsia="宋体" w:cs="宋体"/>
          <w:color w:val="auto"/>
          <w:spacing w:val="17"/>
          <w:sz w:val="21"/>
          <w:szCs w:val="21"/>
          <w:highlight w:val="none"/>
          <w:u w:val="single" w:color="auto"/>
        </w:rPr>
        <w:t xml:space="preserve"> </w:t>
      </w:r>
      <w:r>
        <w:rPr>
          <w:rFonts w:ascii="宋体" w:hAnsi="宋体" w:eastAsia="宋体" w:cs="宋体"/>
          <w:color w:val="auto"/>
          <w:spacing w:val="-76"/>
          <w:sz w:val="21"/>
          <w:szCs w:val="21"/>
          <w:highlight w:val="none"/>
        </w:rPr>
        <w:t xml:space="preserve"> </w:t>
      </w:r>
      <w:r>
        <w:rPr>
          <w:rFonts w:ascii="宋体" w:hAnsi="宋体" w:eastAsia="宋体" w:cs="宋体"/>
          <w:color w:val="auto"/>
          <w:spacing w:val="-3"/>
          <w:sz w:val="21"/>
          <w:szCs w:val="21"/>
          <w:highlight w:val="none"/>
        </w:rPr>
        <w:t>；</w:t>
      </w:r>
      <w:r>
        <w:rPr>
          <w:rFonts w:ascii="宋体" w:hAnsi="宋体" w:eastAsia="宋体" w:cs="宋体"/>
          <w:color w:val="auto"/>
          <w:spacing w:val="-21"/>
          <w:sz w:val="21"/>
          <w:szCs w:val="21"/>
          <w:highlight w:val="none"/>
        </w:rPr>
        <w:t xml:space="preserve">是否兼中： </w:t>
      </w:r>
      <w:r>
        <w:rPr>
          <w:rFonts w:hint="eastAsia" w:ascii="宋体" w:hAnsi="宋体" w:eastAsia="宋体" w:cs="宋体"/>
          <w:color w:val="auto"/>
          <w:spacing w:val="20"/>
          <w:sz w:val="21"/>
          <w:szCs w:val="21"/>
          <w:highlight w:val="none"/>
          <w:u w:val="single" w:color="auto"/>
          <w:lang w:val="en-US" w:eastAsia="zh-CN"/>
        </w:rPr>
        <w:t>否</w:t>
      </w:r>
      <w:r>
        <w:rPr>
          <w:rFonts w:ascii="宋体" w:hAnsi="宋体" w:eastAsia="宋体" w:cs="宋体"/>
          <w:color w:val="auto"/>
          <w:spacing w:val="20"/>
          <w:sz w:val="21"/>
          <w:szCs w:val="21"/>
          <w:highlight w:val="none"/>
          <w:u w:val="single" w:color="auto"/>
        </w:rPr>
        <w:t xml:space="preserve"> </w:t>
      </w:r>
      <w:r>
        <w:rPr>
          <w:rFonts w:ascii="宋体" w:hAnsi="宋体" w:eastAsia="宋体" w:cs="宋体"/>
          <w:color w:val="auto"/>
          <w:spacing w:val="-21"/>
          <w:sz w:val="21"/>
          <w:szCs w:val="21"/>
          <w:highlight w:val="none"/>
        </w:rPr>
        <w:t>。</w:t>
      </w:r>
    </w:p>
    <w:p w14:paraId="48FB6759">
      <w:pPr>
        <w:spacing w:before="1" w:line="219" w:lineRule="auto"/>
        <w:ind w:left="85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计划工期/服务期限/供货期限：</w:t>
      </w:r>
      <w:r>
        <w:rPr>
          <w:rFonts w:hint="eastAsia" w:ascii="宋体" w:hAnsi="宋体" w:eastAsia="宋体" w:cs="宋体"/>
          <w:color w:val="auto"/>
          <w:spacing w:val="-2"/>
          <w:sz w:val="21"/>
          <w:szCs w:val="21"/>
          <w:highlight w:val="none"/>
          <w:u w:val="single" w:color="auto"/>
          <w:lang w:val="en-US" w:eastAsia="zh-CN"/>
        </w:rPr>
        <w:t>67日历天</w:t>
      </w:r>
    </w:p>
    <w:p w14:paraId="11767A94">
      <w:pPr>
        <w:spacing w:before="172" w:line="367" w:lineRule="auto"/>
        <w:ind w:right="11"/>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计划开工/服务开始/供货开始日期</w:t>
      </w:r>
      <w:r>
        <w:rPr>
          <w:rFonts w:ascii="宋体" w:hAnsi="宋体" w:eastAsia="宋体" w:cs="宋体"/>
          <w:color w:val="auto"/>
          <w:spacing w:val="-104"/>
          <w:sz w:val="21"/>
          <w:szCs w:val="21"/>
          <w:highlight w:val="none"/>
        </w:rPr>
        <w:t xml:space="preserve"> </w:t>
      </w:r>
      <w:r>
        <w:rPr>
          <w:rFonts w:hint="eastAsia" w:ascii="宋体" w:hAnsi="宋体" w:eastAsia="宋体" w:cs="宋体"/>
          <w:color w:val="auto"/>
          <w:spacing w:val="5"/>
          <w:sz w:val="21"/>
          <w:szCs w:val="21"/>
          <w:highlight w:val="none"/>
          <w:u w:val="single" w:color="auto"/>
          <w:lang w:val="en-US" w:eastAsia="zh-CN"/>
        </w:rPr>
        <w:t>2026年4月24日</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70"/>
          <w:sz w:val="21"/>
          <w:szCs w:val="21"/>
          <w:highlight w:val="none"/>
        </w:rPr>
        <w:t xml:space="preserve"> </w:t>
      </w:r>
      <w:r>
        <w:rPr>
          <w:rFonts w:ascii="宋体" w:hAnsi="宋体" w:eastAsia="宋体" w:cs="宋体"/>
          <w:color w:val="auto"/>
          <w:spacing w:val="1"/>
          <w:sz w:val="21"/>
          <w:szCs w:val="21"/>
          <w:highlight w:val="none"/>
        </w:rPr>
        <w:t>；计划竣工/服务结</w:t>
      </w:r>
      <w:r>
        <w:rPr>
          <w:rFonts w:ascii="宋体" w:hAnsi="宋体" w:eastAsia="宋体" w:cs="宋体"/>
          <w:color w:val="auto"/>
          <w:sz w:val="21"/>
          <w:szCs w:val="21"/>
          <w:highlight w:val="none"/>
        </w:rPr>
        <w:t>束/供货结束日</w:t>
      </w:r>
    </w:p>
    <w:p w14:paraId="128CF844">
      <w:pPr>
        <w:spacing w:before="1" w:line="221" w:lineRule="auto"/>
        <w:ind w:left="20"/>
        <w:rPr>
          <w:rFonts w:hint="eastAsia" w:ascii="宋体" w:hAnsi="宋体" w:eastAsia="宋体" w:cs="宋体"/>
          <w:color w:val="auto"/>
          <w:sz w:val="21"/>
          <w:szCs w:val="21"/>
          <w:highlight w:val="none"/>
          <w:lang w:val="en-US" w:eastAsia="zh-CN"/>
        </w:rPr>
      </w:pPr>
      <w:r>
        <w:rPr>
          <w:rFonts w:ascii="宋体" w:hAnsi="宋体" w:eastAsia="宋体" w:cs="宋体"/>
          <w:color w:val="auto"/>
          <w:spacing w:val="-5"/>
          <w:sz w:val="21"/>
          <w:szCs w:val="21"/>
          <w:highlight w:val="none"/>
        </w:rPr>
        <w:t>期</w:t>
      </w:r>
      <w:r>
        <w:rPr>
          <w:rFonts w:hint="eastAsia" w:ascii="宋体" w:hAnsi="宋体" w:eastAsia="宋体" w:cs="宋体"/>
          <w:color w:val="auto"/>
          <w:spacing w:val="-5"/>
          <w:sz w:val="21"/>
          <w:szCs w:val="21"/>
          <w:highlight w:val="none"/>
          <w:lang w:val="en-US" w:eastAsia="zh-CN"/>
        </w:rPr>
        <w:t xml:space="preserve"> </w:t>
      </w:r>
      <w:r>
        <w:rPr>
          <w:rFonts w:hint="eastAsia" w:ascii="宋体" w:hAnsi="宋体" w:eastAsia="宋体" w:cs="宋体"/>
          <w:color w:val="auto"/>
          <w:spacing w:val="5"/>
          <w:sz w:val="21"/>
          <w:szCs w:val="21"/>
          <w:highlight w:val="none"/>
          <w:u w:val="single" w:color="auto"/>
          <w:lang w:val="en-US" w:eastAsia="zh-CN"/>
        </w:rPr>
        <w:t>2026年6月30日</w:t>
      </w:r>
    </w:p>
    <w:p w14:paraId="46B1904E">
      <w:pPr>
        <w:spacing w:before="171" w:line="367" w:lineRule="auto"/>
        <w:ind w:left="859"/>
        <w:rPr>
          <w:rFonts w:hint="default" w:ascii="宋体" w:hAnsi="宋体" w:eastAsia="宋体" w:cs="宋体"/>
          <w:color w:val="auto"/>
          <w:sz w:val="21"/>
          <w:szCs w:val="21"/>
          <w:highlight w:val="none"/>
          <w:lang w:val="en-US"/>
        </w:rPr>
      </w:pPr>
      <w:r>
        <w:rPr>
          <w:rFonts w:ascii="宋体" w:hAnsi="宋体" w:eastAsia="宋体" w:cs="宋体"/>
          <w:color w:val="auto"/>
          <w:spacing w:val="-23"/>
          <w:w w:val="95"/>
          <w:sz w:val="21"/>
          <w:szCs w:val="21"/>
          <w:highlight w:val="none"/>
        </w:rPr>
        <w:t>标段名称：</w:t>
      </w:r>
      <w:r>
        <w:rPr>
          <w:rFonts w:ascii="宋体" w:hAnsi="宋体" w:eastAsia="宋体" w:cs="宋体"/>
          <w:color w:val="auto"/>
          <w:spacing w:val="58"/>
          <w:sz w:val="21"/>
          <w:szCs w:val="21"/>
          <w:highlight w:val="none"/>
        </w:rPr>
        <w:t xml:space="preserve"> </w:t>
      </w:r>
      <w:r>
        <w:rPr>
          <w:rFonts w:hint="eastAsia" w:ascii="宋体" w:hAnsi="宋体" w:eastAsia="宋体" w:cs="宋体"/>
          <w:color w:val="auto"/>
          <w:sz w:val="21"/>
          <w:szCs w:val="21"/>
          <w:highlight w:val="none"/>
          <w:u w:val="single"/>
          <w:lang w:eastAsia="zh-CN"/>
        </w:rPr>
        <w:t>营口市保障性租赁住房(2025年第一批)项目装修施工一标段</w:t>
      </w:r>
    </w:p>
    <w:p w14:paraId="06B0D32D">
      <w:pPr>
        <w:spacing w:before="1" w:line="220" w:lineRule="auto"/>
        <w:ind w:left="859"/>
        <w:rPr>
          <w:rFonts w:ascii="宋体" w:hAnsi="宋体" w:eastAsia="宋体" w:cs="宋体"/>
          <w:color w:val="auto"/>
          <w:sz w:val="21"/>
          <w:szCs w:val="21"/>
          <w:highlight w:val="none"/>
        </w:rPr>
      </w:pPr>
      <w:r>
        <w:rPr>
          <w:rFonts w:ascii="宋体" w:hAnsi="宋体" w:eastAsia="宋体" w:cs="宋体"/>
          <w:color w:val="auto"/>
          <w:spacing w:val="-25"/>
          <w:w w:val="96"/>
          <w:sz w:val="21"/>
          <w:szCs w:val="21"/>
          <w:highlight w:val="none"/>
        </w:rPr>
        <w:t>标段编号：</w:t>
      </w:r>
      <w:r>
        <w:rPr>
          <w:rFonts w:ascii="宋体" w:hAnsi="宋体" w:eastAsia="宋体" w:cs="宋体"/>
          <w:color w:val="auto"/>
          <w:spacing w:val="58"/>
          <w:sz w:val="21"/>
          <w:szCs w:val="21"/>
          <w:highlight w:val="none"/>
        </w:rPr>
        <w:t xml:space="preserve"> </w:t>
      </w:r>
      <w:r>
        <w:rPr>
          <w:rFonts w:ascii="宋体" w:hAnsi="宋体" w:eastAsia="宋体" w:cs="宋体"/>
          <w:color w:val="auto"/>
          <w:sz w:val="21"/>
          <w:szCs w:val="21"/>
          <w:highlight w:val="none"/>
          <w:u w:val="single" w:color="auto"/>
        </w:rPr>
        <w:t xml:space="preserve">    </w:t>
      </w:r>
      <w:r>
        <w:rPr>
          <w:rFonts w:hint="eastAsia" w:ascii="宋体" w:hAnsi="宋体" w:eastAsia="宋体" w:cs="宋体"/>
          <w:color w:val="auto"/>
          <w:sz w:val="21"/>
          <w:szCs w:val="21"/>
          <w:highlight w:val="none"/>
          <w:u w:val="single" w:color="auto"/>
          <w:lang w:val="en-US" w:eastAsia="zh-CN"/>
        </w:rPr>
        <w:t>xxx</w:t>
      </w:r>
      <w:r>
        <w:rPr>
          <w:rFonts w:ascii="宋体" w:hAnsi="宋体" w:eastAsia="宋体" w:cs="宋体"/>
          <w:color w:val="auto"/>
          <w:sz w:val="21"/>
          <w:szCs w:val="21"/>
          <w:highlight w:val="none"/>
          <w:u w:val="single" w:color="auto"/>
        </w:rPr>
        <w:t xml:space="preserve">                                </w:t>
      </w:r>
    </w:p>
    <w:p w14:paraId="6CBF8684">
      <w:pPr>
        <w:spacing w:before="171" w:line="367" w:lineRule="auto"/>
        <w:ind w:left="859"/>
        <w:rPr>
          <w:rFonts w:hint="eastAsia" w:ascii="宋体" w:hAnsi="宋体" w:eastAsia="宋体" w:cs="宋体"/>
          <w:color w:val="auto"/>
          <w:sz w:val="21"/>
          <w:szCs w:val="21"/>
          <w:highlight w:val="none"/>
          <w:lang w:eastAsia="zh-CN"/>
        </w:rPr>
      </w:pPr>
      <w:r>
        <w:rPr>
          <w:rFonts w:ascii="宋体" w:hAnsi="宋体" w:eastAsia="宋体" w:cs="宋体"/>
          <w:color w:val="auto"/>
          <w:spacing w:val="-11"/>
          <w:sz w:val="21"/>
          <w:szCs w:val="21"/>
          <w:highlight w:val="none"/>
        </w:rPr>
        <w:t>标段招标范围：</w:t>
      </w:r>
      <w:r>
        <w:rPr>
          <w:rFonts w:hint="eastAsia" w:ascii="宋体" w:hAnsi="宋体" w:eastAsia="宋体" w:cs="宋体"/>
          <w:color w:val="auto"/>
          <w:spacing w:val="26"/>
          <w:sz w:val="21"/>
          <w:szCs w:val="21"/>
          <w:highlight w:val="none"/>
          <w:lang w:eastAsia="zh-CN"/>
        </w:rPr>
        <w:t>本项目拟收购两个住宅项目用于保障性租赁住房，其中本标段为智胜新家园小区(一期项目)共319套住房，面积共计21273.46平方米，对其进行装修改造，并配置家具家电。</w:t>
      </w:r>
    </w:p>
    <w:p w14:paraId="337A52A0">
      <w:pPr>
        <w:spacing w:line="219" w:lineRule="auto"/>
        <w:ind w:left="859"/>
        <w:rPr>
          <w:rFonts w:ascii="宋体" w:hAnsi="宋体" w:eastAsia="宋体" w:cs="宋体"/>
          <w:color w:val="auto"/>
          <w:sz w:val="21"/>
          <w:szCs w:val="21"/>
          <w:highlight w:val="none"/>
        </w:rPr>
      </w:pPr>
      <w:r>
        <w:rPr>
          <w:rFonts w:ascii="宋体" w:hAnsi="宋体" w:eastAsia="宋体" w:cs="宋体"/>
          <w:color w:val="auto"/>
          <w:spacing w:val="-17"/>
          <w:sz w:val="21"/>
          <w:szCs w:val="21"/>
          <w:highlight w:val="none"/>
        </w:rPr>
        <w:t>标段类别</w:t>
      </w:r>
      <w:r>
        <w:rPr>
          <w:rFonts w:ascii="宋体" w:hAnsi="宋体" w:eastAsia="宋体" w:cs="宋体"/>
          <w:color w:val="auto"/>
          <w:spacing w:val="-16"/>
          <w:sz w:val="21"/>
          <w:szCs w:val="21"/>
          <w:highlight w:val="none"/>
        </w:rPr>
        <w:t>：</w:t>
      </w:r>
      <w:r>
        <w:rPr>
          <w:rFonts w:ascii="宋体" w:hAnsi="宋体" w:eastAsia="宋体" w:cs="宋体"/>
          <w:color w:val="auto"/>
          <w:spacing w:val="49"/>
          <w:sz w:val="21"/>
          <w:szCs w:val="21"/>
          <w:highlight w:val="none"/>
        </w:rPr>
        <w:t xml:space="preserve"> </w:t>
      </w:r>
      <w:r>
        <w:rPr>
          <w:rFonts w:hint="eastAsia" w:ascii="宋体" w:hAnsi="宋体" w:eastAsia="宋体" w:cs="宋体"/>
          <w:color w:val="auto"/>
          <w:spacing w:val="49"/>
          <w:sz w:val="21"/>
          <w:szCs w:val="21"/>
          <w:highlight w:val="none"/>
          <w:lang w:val="en-US" w:eastAsia="zh-CN"/>
        </w:rPr>
        <w:t>施工</w:t>
      </w:r>
      <w:r>
        <w:rPr>
          <w:rFonts w:ascii="宋体" w:hAnsi="宋体" w:eastAsia="宋体" w:cs="宋体"/>
          <w:color w:val="auto"/>
          <w:spacing w:val="-16"/>
          <w:sz w:val="21"/>
          <w:szCs w:val="21"/>
          <w:highlight w:val="none"/>
        </w:rPr>
        <w:t>；</w:t>
      </w:r>
      <w:r>
        <w:rPr>
          <w:rFonts w:ascii="宋体" w:hAnsi="宋体" w:eastAsia="宋体" w:cs="宋体"/>
          <w:color w:val="auto"/>
          <w:spacing w:val="-17"/>
          <w:sz w:val="21"/>
          <w:szCs w:val="21"/>
          <w:highlight w:val="none"/>
        </w:rPr>
        <w:t>标段合同估算价：</w:t>
      </w:r>
      <w:r>
        <w:rPr>
          <w:rFonts w:hint="eastAsia"/>
          <w:color w:val="auto"/>
          <w:highlight w:val="none"/>
          <w:u w:val="single"/>
          <w:lang w:val="en-US" w:eastAsia="zh-CN"/>
        </w:rPr>
        <w:t>1063.673</w:t>
      </w:r>
      <w:r>
        <w:rPr>
          <w:rFonts w:ascii="宋体" w:hAnsi="宋体" w:eastAsia="宋体" w:cs="宋体"/>
          <w:color w:val="auto"/>
          <w:spacing w:val="-17"/>
          <w:sz w:val="21"/>
          <w:szCs w:val="21"/>
          <w:highlight w:val="none"/>
          <w:u w:val="single"/>
        </w:rPr>
        <w:t>万元</w:t>
      </w:r>
      <w:r>
        <w:rPr>
          <w:rFonts w:ascii="宋体" w:hAnsi="宋体" w:eastAsia="宋体" w:cs="宋体"/>
          <w:color w:val="auto"/>
          <w:spacing w:val="-17"/>
          <w:sz w:val="21"/>
          <w:szCs w:val="21"/>
          <w:highlight w:val="none"/>
        </w:rPr>
        <w:t>。</w:t>
      </w:r>
    </w:p>
    <w:p w14:paraId="3627B6E4">
      <w:pPr>
        <w:spacing w:before="173" w:line="221" w:lineRule="auto"/>
        <w:ind w:left="861"/>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投标保证金金额：</w:t>
      </w:r>
      <w:r>
        <w:rPr>
          <w:rFonts w:hint="eastAsia" w:ascii="宋体" w:hAnsi="宋体" w:eastAsia="宋体" w:cs="宋体"/>
          <w:color w:val="auto"/>
          <w:spacing w:val="-9"/>
          <w:sz w:val="21"/>
          <w:szCs w:val="21"/>
          <w:highlight w:val="none"/>
          <w:u w:val="single" w:color="auto"/>
          <w:lang w:val="en-US" w:eastAsia="zh-CN"/>
        </w:rPr>
        <w:t>10万元</w:t>
      </w:r>
      <w:r>
        <w:rPr>
          <w:rFonts w:ascii="宋体" w:hAnsi="宋体" w:eastAsia="宋体" w:cs="宋体"/>
          <w:color w:val="auto"/>
          <w:spacing w:val="-9"/>
          <w:sz w:val="21"/>
          <w:szCs w:val="21"/>
          <w:highlight w:val="none"/>
        </w:rPr>
        <w:t>； 缴纳方式：</w:t>
      </w:r>
      <w:r>
        <w:rPr>
          <w:rFonts w:ascii="宋体" w:hAnsi="宋体" w:eastAsia="宋体" w:cs="宋体"/>
          <w:color w:val="auto"/>
          <w:spacing w:val="-10"/>
          <w:sz w:val="21"/>
          <w:szCs w:val="21"/>
          <w:highlight w:val="none"/>
          <w:u w:val="single" w:color="auto"/>
        </w:rPr>
        <w:t>现金/保函（保险）</w:t>
      </w:r>
      <w:r>
        <w:rPr>
          <w:rFonts w:ascii="宋体" w:hAnsi="宋体" w:eastAsia="宋体" w:cs="宋体"/>
          <w:color w:val="auto"/>
          <w:spacing w:val="22"/>
          <w:sz w:val="21"/>
          <w:szCs w:val="21"/>
          <w:highlight w:val="none"/>
          <w:u w:val="single" w:color="auto"/>
        </w:rPr>
        <w:t xml:space="preserve"> </w:t>
      </w:r>
      <w:r>
        <w:rPr>
          <w:rFonts w:ascii="宋体" w:hAnsi="宋体" w:eastAsia="宋体" w:cs="宋体"/>
          <w:color w:val="auto"/>
          <w:spacing w:val="-10"/>
          <w:sz w:val="21"/>
          <w:szCs w:val="21"/>
          <w:highlight w:val="none"/>
          <w:u w:val="single" w:color="auto"/>
        </w:rPr>
        <w:t>/其他形式</w:t>
      </w:r>
      <w:r>
        <w:rPr>
          <w:rFonts w:ascii="宋体" w:hAnsi="宋体" w:eastAsia="宋体" w:cs="宋体"/>
          <w:color w:val="auto"/>
          <w:spacing w:val="-10"/>
          <w:sz w:val="21"/>
          <w:szCs w:val="21"/>
          <w:highlight w:val="none"/>
        </w:rPr>
        <w:t>。</w:t>
      </w:r>
    </w:p>
    <w:p w14:paraId="70AE6EDB">
      <w:pPr>
        <w:spacing w:before="167" w:line="350" w:lineRule="auto"/>
        <w:ind w:left="451"/>
        <w:rPr>
          <w:rFonts w:ascii="宋体" w:hAnsi="宋体" w:eastAsia="宋体" w:cs="宋体"/>
          <w:color w:val="auto"/>
          <w:sz w:val="21"/>
          <w:szCs w:val="21"/>
          <w:highlight w:val="none"/>
        </w:rPr>
      </w:pPr>
      <w:r>
        <w:rPr>
          <w:rFonts w:ascii="Times New Roman" w:hAnsi="Times New Roman" w:eastAsia="Times New Roman" w:cs="Times New Roman"/>
          <w:color w:val="auto"/>
          <w:spacing w:val="-15"/>
          <w:sz w:val="21"/>
          <w:szCs w:val="21"/>
          <w:highlight w:val="none"/>
        </w:rPr>
        <w:t>2.3</w:t>
      </w:r>
      <w:r>
        <w:rPr>
          <w:rFonts w:ascii="Times New Roman" w:hAnsi="Times New Roman" w:eastAsia="Times New Roman" w:cs="Times New Roman"/>
          <w:color w:val="auto"/>
          <w:spacing w:val="15"/>
          <w:sz w:val="21"/>
          <w:szCs w:val="21"/>
          <w:highlight w:val="none"/>
        </w:rPr>
        <w:t xml:space="preserve"> </w:t>
      </w:r>
      <w:r>
        <w:rPr>
          <w:rFonts w:ascii="宋体" w:hAnsi="宋体" w:eastAsia="宋体" w:cs="宋体"/>
          <w:color w:val="auto"/>
          <w:spacing w:val="-15"/>
          <w:sz w:val="21"/>
          <w:szCs w:val="21"/>
          <w:highlight w:val="none"/>
        </w:rPr>
        <w:t xml:space="preserve">其他： </w:t>
      </w:r>
      <w:r>
        <w:rPr>
          <w:rFonts w:ascii="宋体" w:hAnsi="宋体" w:eastAsia="宋体" w:cs="宋体"/>
          <w:color w:val="auto"/>
          <w:spacing w:val="2"/>
          <w:sz w:val="21"/>
          <w:szCs w:val="21"/>
          <w:highlight w:val="none"/>
          <w:u w:val="single" w:color="auto"/>
        </w:rPr>
        <w:t xml:space="preserve">  </w:t>
      </w:r>
      <w:r>
        <w:rPr>
          <w:rFonts w:hint="eastAsia" w:ascii="宋体" w:hAnsi="宋体" w:eastAsia="宋体" w:cs="宋体"/>
          <w:color w:val="auto"/>
          <w:spacing w:val="2"/>
          <w:sz w:val="21"/>
          <w:szCs w:val="21"/>
          <w:highlight w:val="none"/>
          <w:u w:val="single" w:color="auto"/>
          <w:lang w:val="en-US" w:eastAsia="zh-CN"/>
        </w:rPr>
        <w:t>/</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5"/>
          <w:sz w:val="21"/>
          <w:szCs w:val="21"/>
          <w:highlight w:val="none"/>
        </w:rPr>
        <w:t>。</w:t>
      </w:r>
    </w:p>
    <w:p w14:paraId="2A1D0146">
      <w:pPr>
        <w:spacing w:before="1" w:line="218"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3.</w:t>
      </w:r>
      <w:r>
        <w:rPr>
          <w:rFonts w:ascii="黑体" w:hAnsi="黑体" w:eastAsia="黑体" w:cs="黑体"/>
          <w:color w:val="auto"/>
          <w:spacing w:val="-1"/>
          <w:sz w:val="24"/>
          <w:szCs w:val="24"/>
          <w:highlight w:val="none"/>
        </w:rPr>
        <w:t>投标人资格要求</w:t>
      </w:r>
    </w:p>
    <w:p w14:paraId="1253FE72">
      <w:pPr>
        <w:spacing w:before="159" w:line="369" w:lineRule="auto"/>
        <w:ind w:left="17" w:right="7" w:firstLine="438"/>
        <w:jc w:val="left"/>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3.1 </w:t>
      </w:r>
      <w:r>
        <w:rPr>
          <w:rFonts w:ascii="宋体" w:hAnsi="宋体" w:eastAsia="宋体" w:cs="宋体"/>
          <w:color w:val="auto"/>
          <w:spacing w:val="-1"/>
          <w:sz w:val="21"/>
          <w:szCs w:val="21"/>
          <w:highlight w:val="none"/>
        </w:rPr>
        <w:t>本次招标要求投标人须具备 [施工总承包·</w:t>
      </w:r>
      <w:r>
        <w:rPr>
          <w:rFonts w:hint="eastAsia" w:ascii="宋体" w:hAnsi="宋体" w:eastAsia="宋体" w:cs="宋体"/>
          <w:color w:val="auto"/>
          <w:spacing w:val="-1"/>
          <w:sz w:val="21"/>
          <w:szCs w:val="21"/>
          <w:highlight w:val="none"/>
          <w:lang w:eastAsia="zh-CN"/>
        </w:rPr>
        <w:t>建筑工程</w:t>
      </w:r>
      <w:r>
        <w:rPr>
          <w:rFonts w:ascii="宋体" w:hAnsi="宋体" w:eastAsia="宋体" w:cs="宋体"/>
          <w:color w:val="auto"/>
          <w:spacing w:val="-1"/>
          <w:sz w:val="21"/>
          <w:szCs w:val="21"/>
          <w:highlight w:val="none"/>
        </w:rPr>
        <w:t>·</w:t>
      </w:r>
      <w:r>
        <w:rPr>
          <w:rFonts w:hint="eastAsia" w:ascii="宋体" w:hAnsi="宋体" w:eastAsia="宋体" w:cs="宋体"/>
          <w:color w:val="auto"/>
          <w:spacing w:val="-1"/>
          <w:sz w:val="21"/>
          <w:szCs w:val="21"/>
          <w:highlight w:val="none"/>
          <w:lang w:eastAsia="zh-CN"/>
        </w:rPr>
        <w:t>建筑工程二级</w:t>
      </w:r>
      <w:r>
        <w:rPr>
          <w:rFonts w:ascii="宋体" w:hAnsi="宋体" w:eastAsia="宋体" w:cs="宋体"/>
          <w:color w:val="auto"/>
          <w:spacing w:val="-1"/>
          <w:sz w:val="21"/>
          <w:szCs w:val="21"/>
          <w:highlight w:val="none"/>
        </w:rPr>
        <w:t>](含)</w:t>
      </w:r>
      <w:r>
        <w:rPr>
          <w:rFonts w:hint="eastAsia" w:ascii="宋体" w:hAnsi="宋体" w:eastAsia="宋体" w:cs="宋体"/>
          <w:color w:val="auto"/>
          <w:spacing w:val="-1"/>
          <w:sz w:val="21"/>
          <w:szCs w:val="21"/>
          <w:highlight w:val="none"/>
          <w:lang w:val="en-US" w:eastAsia="zh-CN"/>
        </w:rPr>
        <w:t>以</w:t>
      </w:r>
      <w:r>
        <w:rPr>
          <w:rFonts w:ascii="宋体" w:hAnsi="宋体" w:eastAsia="宋体" w:cs="宋体"/>
          <w:color w:val="auto"/>
          <w:spacing w:val="-1"/>
          <w:sz w:val="21"/>
          <w:szCs w:val="21"/>
          <w:highlight w:val="none"/>
        </w:rPr>
        <w:t>上资质</w:t>
      </w:r>
      <w:r>
        <w:rPr>
          <w:rFonts w:ascii="宋体" w:hAnsi="宋体" w:eastAsia="宋体" w:cs="宋体"/>
          <w:color w:val="auto"/>
          <w:spacing w:val="-1"/>
          <w:sz w:val="21"/>
          <w:szCs w:val="21"/>
          <w:highlight w:val="none"/>
          <w:u w:val="single" w:color="auto"/>
        </w:rPr>
        <w:t>，</w:t>
      </w:r>
      <w:r>
        <w:rPr>
          <w:rFonts w:hint="eastAsia" w:ascii="宋体" w:hAnsi="宋体" w:eastAsia="宋体" w:cs="宋体"/>
          <w:color w:val="auto"/>
          <w:spacing w:val="-1"/>
          <w:sz w:val="21"/>
          <w:szCs w:val="21"/>
          <w:highlight w:val="none"/>
          <w:u w:val="single" w:color="auto"/>
          <w:lang w:val="en-US" w:eastAsia="zh-CN"/>
        </w:rPr>
        <w:t>或建筑装修装饰工程专业承包二级及以上资质，</w:t>
      </w:r>
      <w:r>
        <w:rPr>
          <w:rFonts w:ascii="宋体" w:hAnsi="宋体" w:eastAsia="宋体" w:cs="宋体"/>
          <w:color w:val="auto"/>
          <w:spacing w:val="-1"/>
          <w:sz w:val="21"/>
          <w:szCs w:val="21"/>
          <w:highlight w:val="none"/>
          <w:u w:val="single" w:color="auto"/>
        </w:rPr>
        <w:t>并在人员、设备、资金等方面具有相应的</w:t>
      </w:r>
      <w:r>
        <w:rPr>
          <w:rFonts w:ascii="宋体" w:hAnsi="宋体" w:eastAsia="宋体" w:cs="宋体"/>
          <w:color w:val="auto"/>
          <w:spacing w:val="-3"/>
          <w:sz w:val="21"/>
          <w:szCs w:val="21"/>
          <w:highlight w:val="none"/>
          <w:u w:val="single" w:color="auto"/>
        </w:rPr>
        <w:t>施工能力，</w:t>
      </w:r>
      <w:r>
        <w:rPr>
          <w:rFonts w:ascii="宋体" w:hAnsi="宋体" w:eastAsia="宋体" w:cs="宋体"/>
          <w:color w:val="auto"/>
          <w:spacing w:val="52"/>
          <w:sz w:val="21"/>
          <w:szCs w:val="21"/>
          <w:highlight w:val="none"/>
          <w:u w:val="single" w:color="auto"/>
        </w:rPr>
        <w:t xml:space="preserve"> </w:t>
      </w:r>
      <w:r>
        <w:rPr>
          <w:rFonts w:ascii="宋体" w:hAnsi="宋体" w:eastAsia="宋体" w:cs="宋体"/>
          <w:color w:val="auto"/>
          <w:spacing w:val="-3"/>
          <w:sz w:val="21"/>
          <w:szCs w:val="21"/>
          <w:highlight w:val="none"/>
          <w:u w:val="single" w:color="auto"/>
        </w:rPr>
        <w:t>其中，投标人拟派项目经理须具备注册</w:t>
      </w:r>
      <w:r>
        <w:rPr>
          <w:rFonts w:hint="eastAsia" w:ascii="宋体" w:hAnsi="宋体" w:eastAsia="宋体" w:cs="宋体"/>
          <w:color w:val="auto"/>
          <w:spacing w:val="-3"/>
          <w:sz w:val="21"/>
          <w:szCs w:val="21"/>
          <w:highlight w:val="none"/>
          <w:u w:val="single" w:color="auto"/>
          <w:lang w:val="en-US" w:eastAsia="zh-CN"/>
        </w:rPr>
        <w:t>二</w:t>
      </w:r>
      <w:r>
        <w:rPr>
          <w:rFonts w:ascii="宋体" w:hAnsi="宋体" w:eastAsia="宋体" w:cs="宋体"/>
          <w:color w:val="auto"/>
          <w:spacing w:val="-3"/>
          <w:sz w:val="21"/>
          <w:szCs w:val="21"/>
          <w:highlight w:val="none"/>
          <w:u w:val="single" w:color="auto"/>
        </w:rPr>
        <w:t>级建造师·</w:t>
      </w:r>
      <w:r>
        <w:rPr>
          <w:rFonts w:hint="eastAsia" w:ascii="宋体" w:hAnsi="宋体" w:eastAsia="宋体" w:cs="宋体"/>
          <w:color w:val="auto"/>
          <w:spacing w:val="-3"/>
          <w:sz w:val="21"/>
          <w:szCs w:val="21"/>
          <w:highlight w:val="none"/>
          <w:u w:val="single" w:color="auto"/>
          <w:lang w:eastAsia="zh-CN"/>
        </w:rPr>
        <w:t>建筑工程</w:t>
      </w:r>
      <w:r>
        <w:rPr>
          <w:rStyle w:val="8"/>
          <w:rFonts w:ascii="宋体" w:hAnsi="宋体" w:cs="宋体"/>
          <w:b w:val="0"/>
          <w:bCs w:val="0"/>
          <w:i w:val="0"/>
          <w:iCs w:val="0"/>
          <w:smallCaps w:val="0"/>
          <w:color w:val="auto"/>
          <w:kern w:val="0"/>
          <w:sz w:val="27"/>
          <w:szCs w:val="27"/>
          <w:highlight w:val="none"/>
        </w:rPr>
        <w:t>]</w:t>
      </w:r>
      <w:r>
        <w:rPr>
          <w:rFonts w:ascii="宋体" w:hAnsi="宋体" w:eastAsia="宋体" w:cs="宋体"/>
          <w:color w:val="auto"/>
          <w:spacing w:val="-4"/>
          <w:sz w:val="21"/>
          <w:szCs w:val="21"/>
          <w:highlight w:val="none"/>
          <w:u w:val="single" w:color="auto"/>
        </w:rPr>
        <w:t>，具备有</w:t>
      </w:r>
      <w:r>
        <w:rPr>
          <w:rFonts w:ascii="宋体" w:hAnsi="宋体" w:eastAsia="宋体" w:cs="宋体"/>
          <w:color w:val="auto"/>
          <w:sz w:val="21"/>
          <w:szCs w:val="21"/>
          <w:highlight w:val="none"/>
          <w:u w:val="single" w:color="auto"/>
        </w:rPr>
        <w:t>效的安全生产考核合格证书（</w:t>
      </w:r>
      <w:r>
        <w:rPr>
          <w:rFonts w:ascii="Times New Roman" w:hAnsi="Times New Roman" w:eastAsia="Times New Roman" w:cs="Times New Roman"/>
          <w:color w:val="auto"/>
          <w:sz w:val="21"/>
          <w:szCs w:val="21"/>
          <w:highlight w:val="none"/>
          <w:u w:val="single" w:color="auto"/>
        </w:rPr>
        <w:t xml:space="preserve">B </w:t>
      </w:r>
      <w:r>
        <w:rPr>
          <w:rFonts w:ascii="宋体" w:hAnsi="宋体" w:eastAsia="宋体" w:cs="宋体"/>
          <w:color w:val="auto"/>
          <w:sz w:val="21"/>
          <w:szCs w:val="21"/>
          <w:highlight w:val="none"/>
          <w:u w:val="single" w:color="auto"/>
        </w:rPr>
        <w:t>证</w:t>
      </w:r>
      <w:r>
        <w:rPr>
          <w:rFonts w:ascii="宋体" w:hAnsi="宋体" w:eastAsia="宋体" w:cs="宋体"/>
          <w:color w:val="auto"/>
          <w:spacing w:val="-54"/>
          <w:w w:val="98"/>
          <w:sz w:val="21"/>
          <w:szCs w:val="21"/>
          <w:highlight w:val="none"/>
          <w:u w:val="single" w:color="auto"/>
        </w:rPr>
        <w:t>），</w:t>
      </w:r>
      <w:r>
        <w:rPr>
          <w:rFonts w:ascii="宋体" w:hAnsi="宋体" w:eastAsia="宋体" w:cs="宋体"/>
          <w:color w:val="auto"/>
          <w:sz w:val="21"/>
          <w:szCs w:val="21"/>
          <w:highlight w:val="none"/>
          <w:u w:val="single" w:color="auto"/>
        </w:rPr>
        <w:t>且未担任其他在施建</w:t>
      </w:r>
      <w:r>
        <w:rPr>
          <w:rFonts w:ascii="宋体" w:hAnsi="宋体" w:eastAsia="宋体" w:cs="宋体"/>
          <w:color w:val="auto"/>
          <w:spacing w:val="-1"/>
          <w:sz w:val="21"/>
          <w:szCs w:val="21"/>
          <w:highlight w:val="none"/>
          <w:u w:val="single" w:color="auto"/>
        </w:rPr>
        <w:t>设工程项目的项目经理</w:t>
      </w:r>
      <w:r>
        <w:rPr>
          <w:rFonts w:ascii="宋体" w:hAnsi="宋体" w:eastAsia="宋体" w:cs="宋体"/>
          <w:color w:val="auto"/>
          <w:spacing w:val="-1"/>
          <w:sz w:val="21"/>
          <w:szCs w:val="21"/>
          <w:highlight w:val="none"/>
        </w:rPr>
        <w:t>。</w:t>
      </w:r>
    </w:p>
    <w:p w14:paraId="212BDF32">
      <w:pPr>
        <w:spacing w:before="172" w:line="220" w:lineRule="auto"/>
        <w:ind w:right="7"/>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3.2</w:t>
      </w:r>
      <w:r>
        <w:rPr>
          <w:rFonts w:ascii="Times New Roman" w:hAnsi="Times New Roman" w:eastAsia="Times New Roman" w:cs="Times New Roman"/>
          <w:color w:val="auto"/>
          <w:spacing w:val="38"/>
          <w:sz w:val="21"/>
          <w:szCs w:val="21"/>
          <w:highlight w:val="none"/>
        </w:rPr>
        <w:t xml:space="preserve"> </w:t>
      </w:r>
      <w:r>
        <w:rPr>
          <w:rFonts w:ascii="宋体" w:hAnsi="宋体" w:eastAsia="宋体" w:cs="宋体"/>
          <w:color w:val="auto"/>
          <w:spacing w:val="2"/>
          <w:sz w:val="21"/>
          <w:szCs w:val="21"/>
          <w:highlight w:val="none"/>
        </w:rPr>
        <w:t>本次招标</w:t>
      </w:r>
      <w:r>
        <w:rPr>
          <w:rFonts w:ascii="宋体" w:hAnsi="宋体" w:eastAsia="宋体" w:cs="宋体"/>
          <w:color w:val="auto"/>
          <w:spacing w:val="-105"/>
          <w:sz w:val="21"/>
          <w:szCs w:val="21"/>
          <w:highlight w:val="none"/>
        </w:rPr>
        <w:t xml:space="preserve"> </w:t>
      </w:r>
      <w:r>
        <w:rPr>
          <w:rFonts w:ascii="宋体" w:hAnsi="宋体" w:eastAsia="宋体" w:cs="宋体"/>
          <w:color w:val="auto"/>
          <w:spacing w:val="12"/>
          <w:sz w:val="21"/>
          <w:szCs w:val="21"/>
          <w:highlight w:val="none"/>
          <w:u w:val="single" w:color="auto"/>
        </w:rPr>
        <w:t xml:space="preserve"> </w:t>
      </w:r>
      <w:r>
        <w:rPr>
          <w:rFonts w:ascii="宋体" w:hAnsi="宋体" w:eastAsia="宋体" w:cs="宋体"/>
          <w:color w:val="auto"/>
          <w:spacing w:val="2"/>
          <w:sz w:val="21"/>
          <w:szCs w:val="21"/>
          <w:highlight w:val="none"/>
        </w:rPr>
        <w:t>不接受</w:t>
      </w:r>
      <w:r>
        <w:rPr>
          <w:rFonts w:ascii="宋体" w:hAnsi="宋体" w:eastAsia="宋体" w:cs="宋体"/>
          <w:color w:val="auto"/>
          <w:spacing w:val="12"/>
          <w:sz w:val="21"/>
          <w:szCs w:val="21"/>
          <w:highlight w:val="none"/>
          <w:u w:val="single" w:color="auto"/>
        </w:rPr>
        <w:t xml:space="preserve"> </w:t>
      </w:r>
      <w:r>
        <w:rPr>
          <w:rFonts w:ascii="宋体" w:hAnsi="宋体" w:eastAsia="宋体" w:cs="宋体"/>
          <w:color w:val="auto"/>
          <w:spacing w:val="2"/>
          <w:sz w:val="21"/>
          <w:szCs w:val="21"/>
          <w:highlight w:val="none"/>
        </w:rPr>
        <w:t>（接受或不接受）联合体投标。联合体投标的，应满足下列要</w:t>
      </w:r>
    </w:p>
    <w:p w14:paraId="4C75569B">
      <w:pPr>
        <w:spacing w:before="167" w:line="222" w:lineRule="auto"/>
        <w:ind w:left="20"/>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求：</w:t>
      </w:r>
      <w:r>
        <w:rPr>
          <w:rFonts w:ascii="宋体" w:hAnsi="宋体" w:eastAsia="宋体" w:cs="宋体"/>
          <w:color w:val="auto"/>
          <w:spacing w:val="-30"/>
          <w:sz w:val="21"/>
          <w:szCs w:val="21"/>
          <w:highlight w:val="none"/>
        </w:rPr>
        <w:t xml:space="preserve"> </w:t>
      </w:r>
      <w:r>
        <w:rPr>
          <w:rFonts w:ascii="宋体" w:hAnsi="宋体" w:eastAsia="宋体" w:cs="宋体"/>
          <w:color w:val="auto"/>
          <w:spacing w:val="-15"/>
          <w:sz w:val="21"/>
          <w:szCs w:val="21"/>
          <w:highlight w:val="none"/>
          <w:u w:val="single" w:color="auto"/>
        </w:rPr>
        <w:t xml:space="preserve">             </w:t>
      </w:r>
      <w:r>
        <w:rPr>
          <w:rFonts w:hint="eastAsia" w:ascii="宋体" w:hAnsi="宋体" w:eastAsia="宋体" w:cs="宋体"/>
          <w:color w:val="auto"/>
          <w:spacing w:val="-15"/>
          <w:sz w:val="21"/>
          <w:szCs w:val="21"/>
          <w:highlight w:val="none"/>
          <w:u w:val="single" w:color="auto"/>
          <w:lang w:val="en-US" w:eastAsia="zh-CN"/>
        </w:rPr>
        <w:t>/</w:t>
      </w:r>
      <w:r>
        <w:rPr>
          <w:rFonts w:ascii="宋体" w:hAnsi="宋体" w:eastAsia="宋体" w:cs="宋体"/>
          <w:color w:val="auto"/>
          <w:spacing w:val="-15"/>
          <w:sz w:val="21"/>
          <w:szCs w:val="21"/>
          <w:highlight w:val="none"/>
          <w:u w:val="single" w:color="auto"/>
        </w:rPr>
        <w:t xml:space="preserve">       </w:t>
      </w:r>
      <w:r>
        <w:rPr>
          <w:rFonts w:ascii="宋体" w:hAnsi="宋体" w:eastAsia="宋体" w:cs="宋体"/>
          <w:color w:val="auto"/>
          <w:spacing w:val="-15"/>
          <w:sz w:val="21"/>
          <w:szCs w:val="21"/>
          <w:highlight w:val="none"/>
        </w:rPr>
        <w:t>。</w:t>
      </w:r>
    </w:p>
    <w:p w14:paraId="7D2573AB">
      <w:pPr>
        <w:spacing w:before="171" w:line="221"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 xml:space="preserve">3.3 </w:t>
      </w:r>
      <w:r>
        <w:rPr>
          <w:rFonts w:ascii="宋体" w:hAnsi="宋体" w:eastAsia="宋体" w:cs="宋体"/>
          <w:color w:val="auto"/>
          <w:spacing w:val="-7"/>
          <w:sz w:val="21"/>
          <w:szCs w:val="21"/>
          <w:highlight w:val="none"/>
        </w:rPr>
        <w:t>其他要求：</w:t>
      </w:r>
      <w:r>
        <w:rPr>
          <w:rFonts w:ascii="宋体" w:hAnsi="宋体" w:eastAsia="宋体" w:cs="宋体"/>
          <w:color w:val="auto"/>
          <w:spacing w:val="-29"/>
          <w:sz w:val="21"/>
          <w:szCs w:val="21"/>
          <w:highlight w:val="none"/>
        </w:rPr>
        <w:t xml:space="preserve"> </w:t>
      </w:r>
      <w:r>
        <w:rPr>
          <w:rFonts w:ascii="宋体" w:hAnsi="宋体" w:eastAsia="宋体" w:cs="宋体"/>
          <w:color w:val="auto"/>
          <w:spacing w:val="-7"/>
          <w:sz w:val="21"/>
          <w:szCs w:val="21"/>
          <w:highlight w:val="none"/>
          <w:u w:val="single" w:color="auto"/>
        </w:rPr>
        <w:t xml:space="preserve">      </w:t>
      </w:r>
      <w:r>
        <w:rPr>
          <w:rFonts w:hint="eastAsia" w:ascii="宋体" w:hAnsi="宋体" w:eastAsia="宋体" w:cs="宋体"/>
          <w:color w:val="auto"/>
          <w:spacing w:val="-7"/>
          <w:sz w:val="21"/>
          <w:szCs w:val="21"/>
          <w:highlight w:val="none"/>
          <w:u w:val="single" w:color="auto"/>
          <w:lang w:val="en-US" w:eastAsia="zh-CN"/>
        </w:rPr>
        <w:t>/</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7"/>
          <w:sz w:val="21"/>
          <w:szCs w:val="21"/>
          <w:highlight w:val="none"/>
        </w:rPr>
        <w:t>。</w:t>
      </w:r>
    </w:p>
    <w:p w14:paraId="681146F8">
      <w:pPr>
        <w:spacing w:before="143" w:line="218" w:lineRule="auto"/>
        <w:ind w:left="13"/>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4.</w:t>
      </w:r>
      <w:r>
        <w:rPr>
          <w:rFonts w:ascii="黑体" w:hAnsi="黑体" w:eastAsia="黑体" w:cs="黑体"/>
          <w:color w:val="auto"/>
          <w:spacing w:val="-1"/>
          <w:sz w:val="24"/>
          <w:szCs w:val="24"/>
          <w:highlight w:val="none"/>
        </w:rPr>
        <w:t>招标文件的获取</w:t>
      </w:r>
    </w:p>
    <w:p w14:paraId="3D02B75C">
      <w:pPr>
        <w:spacing w:before="158" w:line="423" w:lineRule="exact"/>
        <w:ind w:right="3"/>
        <w:jc w:val="left"/>
        <w:rPr>
          <w:rFonts w:ascii="Times New Roman" w:hAnsi="Times New Roman" w:eastAsia="Times New Roman" w:cs="Times New Roman"/>
          <w:color w:val="auto"/>
          <w:spacing w:val="6"/>
          <w:position w:val="16"/>
          <w:sz w:val="21"/>
          <w:szCs w:val="21"/>
          <w:highlight w:val="none"/>
        </w:rPr>
      </w:pPr>
      <w:r>
        <w:rPr>
          <w:rFonts w:ascii="Times New Roman" w:hAnsi="Times New Roman" w:eastAsia="Times New Roman" w:cs="Times New Roman"/>
          <w:color w:val="auto"/>
          <w:spacing w:val="6"/>
          <w:position w:val="16"/>
          <w:sz w:val="21"/>
          <w:szCs w:val="21"/>
          <w:highlight w:val="none"/>
        </w:rPr>
        <w:t>4.1 凡有意参加投标者（若为联合体投标，指联合体所有成员）， 应当在主体信息库</w:t>
      </w:r>
    </w:p>
    <w:p w14:paraId="09A3FE61">
      <w:pPr>
        <w:spacing w:before="158" w:line="423" w:lineRule="exact"/>
        <w:ind w:right="3"/>
        <w:jc w:val="left"/>
        <w:rPr>
          <w:rFonts w:ascii="Times New Roman" w:hAnsi="Times New Roman" w:eastAsia="Times New Roman" w:cs="Times New Roman"/>
          <w:color w:val="auto"/>
          <w:spacing w:val="6"/>
          <w:position w:val="16"/>
          <w:sz w:val="21"/>
          <w:szCs w:val="21"/>
          <w:highlight w:val="none"/>
        </w:rPr>
      </w:pPr>
      <w:r>
        <w:rPr>
          <w:rFonts w:ascii="Times New Roman" w:hAnsi="Times New Roman" w:eastAsia="Times New Roman" w:cs="Times New Roman"/>
          <w:color w:val="auto"/>
          <w:spacing w:val="6"/>
          <w:position w:val="16"/>
          <w:sz w:val="21"/>
          <w:szCs w:val="21"/>
          <w:highlight w:val="none"/>
        </w:rPr>
        <w:t>（辽宁省工程建设项目主体云库）进行注册登记（具体参见主体云库注册操作指南）。</w:t>
      </w:r>
    </w:p>
    <w:p w14:paraId="62EA59E7">
      <w:pPr>
        <w:spacing w:before="158" w:line="423" w:lineRule="exact"/>
        <w:ind w:right="3"/>
        <w:jc w:val="left"/>
        <w:rPr>
          <w:rFonts w:ascii="Times New Roman" w:hAnsi="Times New Roman" w:eastAsia="Times New Roman" w:cs="Times New Roman"/>
          <w:color w:val="auto"/>
          <w:spacing w:val="6"/>
          <w:position w:val="16"/>
          <w:sz w:val="21"/>
          <w:szCs w:val="21"/>
          <w:highlight w:val="none"/>
        </w:rPr>
      </w:pPr>
      <w:r>
        <w:rPr>
          <w:rFonts w:ascii="Times New Roman" w:hAnsi="Times New Roman" w:eastAsia="Times New Roman" w:cs="Times New Roman"/>
          <w:color w:val="auto"/>
          <w:spacing w:val="6"/>
          <w:position w:val="16"/>
          <w:sz w:val="21"/>
          <w:szCs w:val="21"/>
          <w:highlight w:val="none"/>
        </w:rPr>
        <w:t xml:space="preserve">4.2 完成注册登记后， 请于 </w:t>
      </w:r>
      <w:r>
        <w:rPr>
          <w:rFonts w:hint="eastAsia" w:ascii="Times New Roman" w:hAnsi="Times New Roman" w:eastAsia="Times New Roman" w:cs="Times New Roman"/>
          <w:color w:val="auto"/>
          <w:spacing w:val="6"/>
          <w:position w:val="16"/>
          <w:sz w:val="21"/>
          <w:szCs w:val="21"/>
          <w:highlight w:val="none"/>
          <w:lang w:val="en-US" w:eastAsia="zh-CN"/>
        </w:rPr>
        <w:t>2026年3月25日08时30分</w:t>
      </w:r>
      <w:r>
        <w:rPr>
          <w:rFonts w:ascii="Times New Roman" w:hAnsi="Times New Roman" w:eastAsia="Times New Roman" w:cs="Times New Roman"/>
          <w:color w:val="auto"/>
          <w:spacing w:val="6"/>
          <w:position w:val="16"/>
          <w:sz w:val="21"/>
          <w:szCs w:val="21"/>
          <w:highlight w:val="none"/>
        </w:rPr>
        <w:t>至</w:t>
      </w:r>
      <w:r>
        <w:rPr>
          <w:rFonts w:hint="eastAsia" w:ascii="Times New Roman" w:hAnsi="Times New Roman" w:eastAsia="Times New Roman" w:cs="Times New Roman"/>
          <w:color w:val="auto"/>
          <w:spacing w:val="6"/>
          <w:position w:val="16"/>
          <w:sz w:val="21"/>
          <w:szCs w:val="21"/>
          <w:highlight w:val="none"/>
          <w:lang w:val="en-US" w:eastAsia="zh-CN"/>
        </w:rPr>
        <w:t>2026年3月31日16时30分</w:t>
      </w:r>
      <w:r>
        <w:rPr>
          <w:rFonts w:ascii="Times New Roman" w:hAnsi="Times New Roman" w:eastAsia="Times New Roman" w:cs="Times New Roman"/>
          <w:color w:val="auto"/>
          <w:spacing w:val="6"/>
          <w:position w:val="16"/>
          <w:sz w:val="21"/>
          <w:szCs w:val="21"/>
          <w:highlight w:val="none"/>
        </w:rPr>
        <w:t xml:space="preserve">止（北京时间、 下同），通过 </w:t>
      </w:r>
      <w:r>
        <w:rPr>
          <w:rFonts w:hint="eastAsia" w:ascii="Times New Roman" w:hAnsi="Times New Roman" w:eastAsia="Times New Roman" w:cs="Times New Roman"/>
          <w:color w:val="auto"/>
          <w:spacing w:val="6"/>
          <w:position w:val="16"/>
          <w:sz w:val="21"/>
          <w:szCs w:val="21"/>
          <w:highlight w:val="none"/>
        </w:rPr>
        <w:t>辽宁工程咨询招投标交易平台</w:t>
      </w:r>
      <w:r>
        <w:rPr>
          <w:rFonts w:ascii="Times New Roman" w:hAnsi="Times New Roman" w:eastAsia="Times New Roman" w:cs="Times New Roman"/>
          <w:color w:val="auto"/>
          <w:spacing w:val="6"/>
          <w:position w:val="16"/>
          <w:sz w:val="21"/>
          <w:szCs w:val="21"/>
          <w:highlight w:val="none"/>
        </w:rPr>
        <w:t>（投标盲盒工具</w:t>
      </w:r>
      <w:r>
        <w:rPr>
          <w:rFonts w:ascii="Times New Roman" w:hAnsi="Times New Roman" w:eastAsia="Times New Roman" w:cs="Times New Roman"/>
          <w:color w:val="auto"/>
          <w:spacing w:val="6"/>
          <w:position w:val="16"/>
          <w:sz w:val="21"/>
          <w:szCs w:val="21"/>
          <w:highlight w:val="none"/>
        </w:rPr>
        <w:fldChar w:fldCharType="begin"/>
      </w:r>
      <w:r>
        <w:rPr>
          <w:rFonts w:ascii="Times New Roman" w:hAnsi="Times New Roman" w:eastAsia="Times New Roman" w:cs="Times New Roman"/>
          <w:color w:val="auto"/>
          <w:spacing w:val="6"/>
          <w:position w:val="16"/>
          <w:sz w:val="21"/>
          <w:szCs w:val="21"/>
          <w:highlight w:val="none"/>
        </w:rPr>
        <w:instrText xml:space="preserve"> HYPERLINK "https://xbox.lnzb.com" </w:instrText>
      </w:r>
      <w:r>
        <w:rPr>
          <w:rFonts w:ascii="Times New Roman" w:hAnsi="Times New Roman" w:eastAsia="Times New Roman" w:cs="Times New Roman"/>
          <w:color w:val="auto"/>
          <w:spacing w:val="6"/>
          <w:position w:val="16"/>
          <w:sz w:val="21"/>
          <w:szCs w:val="21"/>
          <w:highlight w:val="none"/>
        </w:rPr>
        <w:fldChar w:fldCharType="separate"/>
      </w:r>
      <w:r>
        <w:rPr>
          <w:rFonts w:ascii="Times New Roman" w:hAnsi="Times New Roman" w:eastAsia="Times New Roman" w:cs="Times New Roman"/>
          <w:color w:val="auto"/>
          <w:spacing w:val="6"/>
          <w:position w:val="16"/>
          <w:sz w:val="21"/>
          <w:szCs w:val="21"/>
          <w:highlight w:val="none"/>
        </w:rPr>
        <w:t>https://xbox.lnzb.com</w:t>
      </w:r>
      <w:r>
        <w:rPr>
          <w:rFonts w:ascii="Times New Roman" w:hAnsi="Times New Roman" w:eastAsia="Times New Roman" w:cs="Times New Roman"/>
          <w:color w:val="auto"/>
          <w:spacing w:val="6"/>
          <w:position w:val="16"/>
          <w:sz w:val="21"/>
          <w:szCs w:val="21"/>
          <w:highlight w:val="none"/>
        </w:rPr>
        <w:fldChar w:fldCharType="end"/>
      </w:r>
      <w:r>
        <w:rPr>
          <w:rFonts w:ascii="Times New Roman" w:hAnsi="Times New Roman" w:eastAsia="Times New Roman" w:cs="Times New Roman"/>
          <w:color w:val="auto"/>
          <w:spacing w:val="6"/>
          <w:position w:val="16"/>
          <w:sz w:val="21"/>
          <w:szCs w:val="21"/>
          <w:highlight w:val="none"/>
        </w:rPr>
        <w:t>），在所投标段进行资格确认并下载招标文件。联合体投标的，由联合体牵头人下载招标文件。</w:t>
      </w:r>
    </w:p>
    <w:p w14:paraId="379950FD">
      <w:pPr>
        <w:spacing w:before="147" w:line="219" w:lineRule="auto"/>
        <w:ind w:left="21"/>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5.</w:t>
      </w:r>
      <w:r>
        <w:rPr>
          <w:rFonts w:ascii="黑体" w:hAnsi="黑体" w:eastAsia="黑体" w:cs="黑体"/>
          <w:color w:val="auto"/>
          <w:spacing w:val="-1"/>
          <w:sz w:val="24"/>
          <w:szCs w:val="24"/>
          <w:highlight w:val="none"/>
        </w:rPr>
        <w:t>投标文件的递交</w:t>
      </w:r>
    </w:p>
    <w:p w14:paraId="54EC8E6E">
      <w:pPr>
        <w:spacing w:before="158"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 xml:space="preserve">5.1 </w:t>
      </w:r>
      <w:r>
        <w:rPr>
          <w:rFonts w:ascii="宋体" w:hAnsi="宋体" w:eastAsia="宋体" w:cs="宋体"/>
          <w:color w:val="auto"/>
          <w:spacing w:val="-5"/>
          <w:sz w:val="21"/>
          <w:szCs w:val="21"/>
          <w:highlight w:val="none"/>
        </w:rPr>
        <w:t>投标文件递交截止时间为</w:t>
      </w:r>
      <w:r>
        <w:rPr>
          <w:rFonts w:ascii="宋体" w:hAnsi="宋体" w:eastAsia="宋体" w:cs="宋体"/>
          <w:color w:val="auto"/>
          <w:spacing w:val="-104"/>
          <w:sz w:val="21"/>
          <w:szCs w:val="21"/>
          <w:highlight w:val="none"/>
        </w:rPr>
        <w:t xml:space="preserve"> </w:t>
      </w:r>
      <w:r>
        <w:rPr>
          <w:rFonts w:hint="eastAsia" w:ascii="宋体" w:hAnsi="宋体" w:eastAsia="宋体" w:cs="宋体"/>
          <w:color w:val="auto"/>
          <w:spacing w:val="51"/>
          <w:sz w:val="21"/>
          <w:szCs w:val="21"/>
          <w:highlight w:val="none"/>
          <w:u w:val="single" w:color="auto"/>
          <w:lang w:val="en-US" w:eastAsia="zh-CN"/>
        </w:rPr>
        <w:t>2026年4月15日</w:t>
      </w:r>
      <w:r>
        <w:rPr>
          <w:rFonts w:hint="eastAsia" w:ascii="宋体" w:hAnsi="宋体" w:eastAsia="宋体" w:cs="宋体"/>
          <w:color w:val="auto"/>
          <w:spacing w:val="-5"/>
          <w:sz w:val="21"/>
          <w:szCs w:val="21"/>
          <w:highlight w:val="none"/>
          <w:lang w:val="en-US" w:eastAsia="zh-CN"/>
        </w:rPr>
        <w:t>9</w:t>
      </w:r>
      <w:r>
        <w:rPr>
          <w:rFonts w:ascii="宋体" w:hAnsi="宋体" w:eastAsia="宋体" w:cs="宋体"/>
          <w:color w:val="auto"/>
          <w:spacing w:val="-5"/>
          <w:sz w:val="21"/>
          <w:szCs w:val="21"/>
          <w:highlight w:val="none"/>
        </w:rPr>
        <w:t xml:space="preserve"> 时</w:t>
      </w:r>
      <w:r>
        <w:rPr>
          <w:rFonts w:hint="eastAsia" w:ascii="宋体" w:hAnsi="宋体" w:eastAsia="宋体" w:cs="宋体"/>
          <w:color w:val="auto"/>
          <w:spacing w:val="-5"/>
          <w:sz w:val="21"/>
          <w:szCs w:val="21"/>
          <w:highlight w:val="none"/>
          <w:lang w:val="en-US" w:eastAsia="zh-CN"/>
        </w:rPr>
        <w:t>30分</w:t>
      </w:r>
      <w:r>
        <w:rPr>
          <w:rFonts w:ascii="宋体" w:hAnsi="宋体" w:eastAsia="宋体" w:cs="宋体"/>
          <w:color w:val="auto"/>
          <w:spacing w:val="-5"/>
          <w:sz w:val="21"/>
          <w:szCs w:val="21"/>
          <w:highlight w:val="none"/>
        </w:rPr>
        <w:t>。</w:t>
      </w:r>
    </w:p>
    <w:p w14:paraId="15F82112">
      <w:pPr>
        <w:spacing w:before="173" w:line="369" w:lineRule="auto"/>
        <w:ind w:left="11" w:right="6" w:firstLine="446"/>
        <w:rPr>
          <w:rFonts w:ascii="宋体" w:hAnsi="宋体" w:eastAsia="宋体" w:cs="宋体"/>
          <w:color w:val="auto"/>
          <w:sz w:val="21"/>
          <w:szCs w:val="21"/>
          <w:highlight w:val="none"/>
        </w:rPr>
      </w:pPr>
      <w:r>
        <w:rPr>
          <w:rFonts w:ascii="Times New Roman" w:hAnsi="Times New Roman" w:eastAsia="Times New Roman" w:cs="Times New Roman"/>
          <w:color w:val="auto"/>
          <w:spacing w:val="15"/>
          <w:sz w:val="21"/>
          <w:szCs w:val="21"/>
          <w:highlight w:val="none"/>
        </w:rPr>
        <w:t xml:space="preserve">5.2  </w:t>
      </w:r>
      <w:r>
        <w:rPr>
          <w:rFonts w:ascii="宋体" w:hAnsi="宋体" w:eastAsia="宋体" w:cs="宋体"/>
          <w:color w:val="auto"/>
          <w:spacing w:val="15"/>
          <w:sz w:val="21"/>
          <w:szCs w:val="21"/>
          <w:highlight w:val="none"/>
        </w:rPr>
        <w:t>投标人应当在投标</w:t>
      </w:r>
      <w:r>
        <w:rPr>
          <w:rFonts w:ascii="宋体" w:hAnsi="宋体" w:eastAsia="宋体" w:cs="宋体"/>
          <w:color w:val="auto"/>
          <w:spacing w:val="-60"/>
          <w:sz w:val="21"/>
          <w:szCs w:val="21"/>
          <w:highlight w:val="none"/>
        </w:rPr>
        <w:t xml:space="preserve"> </w:t>
      </w:r>
      <w:r>
        <w:rPr>
          <w:rFonts w:ascii="宋体" w:hAnsi="宋体" w:eastAsia="宋体" w:cs="宋体"/>
          <w:color w:val="auto"/>
          <w:spacing w:val="15"/>
          <w:sz w:val="21"/>
          <w:szCs w:val="21"/>
          <w:highlight w:val="none"/>
        </w:rPr>
        <w:t>截止时间前</w:t>
      </w:r>
      <w:r>
        <w:rPr>
          <w:rFonts w:ascii="宋体" w:hAnsi="宋体" w:eastAsia="宋体" w:cs="宋体"/>
          <w:color w:val="auto"/>
          <w:spacing w:val="-41"/>
          <w:sz w:val="21"/>
          <w:szCs w:val="21"/>
          <w:highlight w:val="none"/>
        </w:rPr>
        <w:t xml:space="preserve"> </w:t>
      </w:r>
      <w:r>
        <w:rPr>
          <w:rFonts w:ascii="宋体" w:hAnsi="宋体" w:eastAsia="宋体" w:cs="宋体"/>
          <w:color w:val="auto"/>
          <w:spacing w:val="15"/>
          <w:sz w:val="21"/>
          <w:szCs w:val="21"/>
          <w:highlight w:val="none"/>
        </w:rPr>
        <w:t>，</w:t>
      </w:r>
      <w:r>
        <w:rPr>
          <w:rFonts w:ascii="宋体" w:hAnsi="宋体" w:eastAsia="宋体" w:cs="宋体"/>
          <w:color w:val="auto"/>
          <w:spacing w:val="-60"/>
          <w:sz w:val="21"/>
          <w:szCs w:val="21"/>
          <w:highlight w:val="none"/>
        </w:rPr>
        <w:t xml:space="preserve"> </w:t>
      </w:r>
      <w:r>
        <w:rPr>
          <w:rFonts w:ascii="宋体" w:hAnsi="宋体" w:eastAsia="宋体" w:cs="宋体"/>
          <w:color w:val="auto"/>
          <w:spacing w:val="15"/>
          <w:sz w:val="21"/>
          <w:szCs w:val="21"/>
          <w:highlight w:val="none"/>
        </w:rPr>
        <w:t>通过</w:t>
      </w:r>
      <w:r>
        <w:rPr>
          <w:rFonts w:hint="eastAsia" w:ascii="宋体" w:hAnsi="宋体" w:eastAsia="宋体" w:cs="宋体"/>
          <w:color w:val="auto"/>
          <w:spacing w:val="15"/>
          <w:sz w:val="21"/>
          <w:szCs w:val="21"/>
          <w:highlight w:val="none"/>
          <w:u w:val="single" w:color="auto"/>
        </w:rPr>
        <w:t>辽宁工程咨询招投标交易平台(投标盲盒工具https://nxbox.Inzb.com:8888/#/login)</w:t>
      </w:r>
      <w:r>
        <w:rPr>
          <w:rFonts w:ascii="宋体" w:hAnsi="宋体" w:eastAsia="宋体" w:cs="宋体"/>
          <w:color w:val="auto"/>
          <w:spacing w:val="-48"/>
          <w:sz w:val="21"/>
          <w:szCs w:val="21"/>
          <w:highlight w:val="none"/>
        </w:rPr>
        <w:t>，</w:t>
      </w:r>
      <w:r>
        <w:rPr>
          <w:rFonts w:ascii="宋体" w:hAnsi="宋体" w:eastAsia="宋体" w:cs="宋体"/>
          <w:color w:val="auto"/>
          <w:spacing w:val="2"/>
          <w:sz w:val="21"/>
          <w:szCs w:val="21"/>
          <w:highlight w:val="none"/>
        </w:rPr>
        <w:t>选择所投标段将加密的电子投标文件上传。投标人完成投</w:t>
      </w:r>
      <w:r>
        <w:rPr>
          <w:rFonts w:ascii="宋体" w:hAnsi="宋体" w:eastAsia="宋体" w:cs="宋体"/>
          <w:color w:val="auto"/>
          <w:spacing w:val="1"/>
          <w:sz w:val="21"/>
          <w:szCs w:val="21"/>
          <w:highlight w:val="none"/>
        </w:rPr>
        <w:t>标文件上</w:t>
      </w:r>
      <w:r>
        <w:rPr>
          <w:rFonts w:ascii="宋体" w:hAnsi="宋体" w:eastAsia="宋体" w:cs="宋体"/>
          <w:color w:val="auto"/>
          <w:sz w:val="21"/>
          <w:szCs w:val="21"/>
          <w:highlight w:val="none"/>
        </w:rPr>
        <w:t>传后， 电子交易系统向投标人发出电子签收凭证，递交时间以电子签收凭证载明的时间为</w:t>
      </w:r>
      <w:r>
        <w:rPr>
          <w:rFonts w:ascii="宋体" w:hAnsi="宋体" w:eastAsia="宋体" w:cs="宋体"/>
          <w:color w:val="auto"/>
          <w:spacing w:val="3"/>
          <w:sz w:val="21"/>
          <w:szCs w:val="21"/>
          <w:highlight w:val="none"/>
        </w:rPr>
        <w:t>准。逾期未完成上传或未加密的电子投标文件，招标人（电子交易系统）将拒收其投标文</w:t>
      </w:r>
      <w:r>
        <w:rPr>
          <w:rFonts w:ascii="宋体" w:hAnsi="宋体" w:eastAsia="宋体" w:cs="宋体"/>
          <w:color w:val="auto"/>
          <w:spacing w:val="-4"/>
          <w:sz w:val="21"/>
          <w:szCs w:val="21"/>
          <w:highlight w:val="none"/>
        </w:rPr>
        <w:t>件。</w:t>
      </w:r>
    </w:p>
    <w:p w14:paraId="6922904A">
      <w:pPr>
        <w:tabs>
          <w:tab w:val="left" w:pos="128"/>
        </w:tabs>
        <w:spacing w:before="119" w:line="266" w:lineRule="auto"/>
        <w:ind w:left="10" w:right="17" w:firstLine="447"/>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8"/>
          <w:sz w:val="21"/>
          <w:szCs w:val="21"/>
          <w:highlight w:val="none"/>
        </w:rPr>
        <w:t xml:space="preserve">5.3    </w:t>
      </w:r>
      <w:r>
        <w:rPr>
          <w:rFonts w:ascii="宋体" w:hAnsi="宋体" w:eastAsia="宋体" w:cs="宋体"/>
          <w:color w:val="auto"/>
          <w:spacing w:val="-8"/>
          <w:sz w:val="21"/>
          <w:szCs w:val="21"/>
          <w:highlight w:val="none"/>
        </w:rPr>
        <w:t>开 标</w:t>
      </w:r>
      <w:r>
        <w:rPr>
          <w:rFonts w:ascii="宋体" w:hAnsi="宋体" w:eastAsia="宋体" w:cs="宋体"/>
          <w:color w:val="auto"/>
          <w:spacing w:val="20"/>
          <w:sz w:val="21"/>
          <w:szCs w:val="21"/>
          <w:highlight w:val="none"/>
        </w:rPr>
        <w:t xml:space="preserve"> </w:t>
      </w:r>
      <w:r>
        <w:rPr>
          <w:rFonts w:ascii="宋体" w:hAnsi="宋体" w:eastAsia="宋体" w:cs="宋体"/>
          <w:color w:val="auto"/>
          <w:spacing w:val="-8"/>
          <w:sz w:val="21"/>
          <w:szCs w:val="21"/>
          <w:highlight w:val="none"/>
        </w:rPr>
        <w:t>地</w:t>
      </w:r>
      <w:r>
        <w:rPr>
          <w:rFonts w:ascii="宋体" w:hAnsi="宋体" w:eastAsia="宋体" w:cs="宋体"/>
          <w:color w:val="auto"/>
          <w:spacing w:val="29"/>
          <w:sz w:val="21"/>
          <w:szCs w:val="21"/>
          <w:highlight w:val="none"/>
        </w:rPr>
        <w:t xml:space="preserve"> </w:t>
      </w:r>
      <w:r>
        <w:rPr>
          <w:rFonts w:ascii="宋体" w:hAnsi="宋体" w:eastAsia="宋体" w:cs="宋体"/>
          <w:color w:val="auto"/>
          <w:spacing w:val="-8"/>
          <w:sz w:val="21"/>
          <w:szCs w:val="21"/>
          <w:highlight w:val="none"/>
        </w:rPr>
        <w:t>点</w:t>
      </w:r>
      <w:r>
        <w:rPr>
          <w:rFonts w:ascii="宋体" w:hAnsi="宋体" w:eastAsia="宋体" w:cs="宋体"/>
          <w:color w:val="auto"/>
          <w:spacing w:val="37"/>
          <w:sz w:val="21"/>
          <w:szCs w:val="21"/>
          <w:highlight w:val="none"/>
        </w:rPr>
        <w:t xml:space="preserve"> </w:t>
      </w:r>
      <w:r>
        <w:rPr>
          <w:rFonts w:ascii="宋体" w:hAnsi="宋体" w:eastAsia="宋体" w:cs="宋体"/>
          <w:color w:val="auto"/>
          <w:spacing w:val="-8"/>
          <w:sz w:val="21"/>
          <w:szCs w:val="21"/>
          <w:highlight w:val="none"/>
        </w:rPr>
        <w:t>：</w:t>
      </w:r>
      <w:r>
        <w:rPr>
          <w:rFonts w:ascii="宋体" w:hAnsi="宋体" w:eastAsia="宋体" w:cs="宋体"/>
          <w:color w:val="auto"/>
          <w:spacing w:val="12"/>
          <w:sz w:val="21"/>
          <w:szCs w:val="21"/>
          <w:highlight w:val="none"/>
        </w:rPr>
        <w:t xml:space="preserve"> </w:t>
      </w:r>
      <w:r>
        <w:rPr>
          <w:rFonts w:ascii="宋体" w:hAnsi="宋体" w:eastAsia="宋体" w:cs="宋体"/>
          <w:color w:val="auto"/>
          <w:spacing w:val="-92"/>
          <w:sz w:val="21"/>
          <w:szCs w:val="21"/>
          <w:highlight w:val="none"/>
          <w:u w:val="single" w:color="auto"/>
        </w:rPr>
        <w:t xml:space="preserve"> </w:t>
      </w:r>
      <w:r>
        <w:rPr>
          <w:rFonts w:ascii="宋体" w:hAnsi="宋体" w:eastAsia="宋体" w:cs="宋体"/>
          <w:color w:val="auto"/>
          <w:spacing w:val="-8"/>
          <w:sz w:val="21"/>
          <w:szCs w:val="21"/>
          <w:highlight w:val="none"/>
          <w:u w:val="single" w:color="auto"/>
        </w:rPr>
        <w:t>辽</w:t>
      </w:r>
      <w:r>
        <w:rPr>
          <w:rFonts w:ascii="宋体" w:hAnsi="宋体" w:eastAsia="宋体" w:cs="宋体"/>
          <w:color w:val="auto"/>
          <w:spacing w:val="29"/>
          <w:sz w:val="21"/>
          <w:szCs w:val="21"/>
          <w:highlight w:val="none"/>
          <w:u w:val="single" w:color="auto"/>
        </w:rPr>
        <w:t xml:space="preserve"> </w:t>
      </w:r>
      <w:r>
        <w:rPr>
          <w:rFonts w:ascii="宋体" w:hAnsi="宋体" w:eastAsia="宋体" w:cs="宋体"/>
          <w:color w:val="auto"/>
          <w:spacing w:val="-8"/>
          <w:sz w:val="21"/>
          <w:szCs w:val="21"/>
          <w:highlight w:val="none"/>
          <w:u w:val="single" w:color="auto"/>
        </w:rPr>
        <w:t>宁</w:t>
      </w:r>
      <w:r>
        <w:rPr>
          <w:rFonts w:ascii="宋体" w:hAnsi="宋体" w:eastAsia="宋体" w:cs="宋体"/>
          <w:color w:val="auto"/>
          <w:spacing w:val="26"/>
          <w:sz w:val="21"/>
          <w:szCs w:val="21"/>
          <w:highlight w:val="none"/>
          <w:u w:val="single" w:color="auto"/>
        </w:rPr>
        <w:t xml:space="preserve"> </w:t>
      </w:r>
      <w:r>
        <w:rPr>
          <w:rFonts w:ascii="宋体" w:hAnsi="宋体" w:eastAsia="宋体" w:cs="宋体"/>
          <w:color w:val="auto"/>
          <w:spacing w:val="-8"/>
          <w:sz w:val="21"/>
          <w:szCs w:val="21"/>
          <w:highlight w:val="none"/>
          <w:u w:val="single" w:color="auto"/>
        </w:rPr>
        <w:t>省</w:t>
      </w:r>
      <w:r>
        <w:rPr>
          <w:rFonts w:ascii="宋体" w:hAnsi="宋体" w:eastAsia="宋体" w:cs="宋体"/>
          <w:color w:val="auto"/>
          <w:spacing w:val="21"/>
          <w:sz w:val="21"/>
          <w:szCs w:val="21"/>
          <w:highlight w:val="none"/>
          <w:u w:val="single" w:color="auto"/>
        </w:rPr>
        <w:t xml:space="preserve"> </w:t>
      </w:r>
      <w:r>
        <w:rPr>
          <w:rFonts w:ascii="宋体" w:hAnsi="宋体" w:eastAsia="宋体" w:cs="宋体"/>
          <w:color w:val="auto"/>
          <w:spacing w:val="-8"/>
          <w:sz w:val="21"/>
          <w:szCs w:val="21"/>
          <w:highlight w:val="none"/>
          <w:u w:val="single" w:color="auto"/>
        </w:rPr>
        <w:t>工</w:t>
      </w:r>
      <w:r>
        <w:rPr>
          <w:rFonts w:ascii="宋体" w:hAnsi="宋体" w:eastAsia="宋体" w:cs="宋体"/>
          <w:color w:val="auto"/>
          <w:spacing w:val="17"/>
          <w:sz w:val="21"/>
          <w:szCs w:val="21"/>
          <w:highlight w:val="none"/>
          <w:u w:val="single" w:color="auto"/>
        </w:rPr>
        <w:t xml:space="preserve"> </w:t>
      </w:r>
      <w:r>
        <w:rPr>
          <w:rFonts w:ascii="宋体" w:hAnsi="宋体" w:eastAsia="宋体" w:cs="宋体"/>
          <w:color w:val="auto"/>
          <w:spacing w:val="-8"/>
          <w:sz w:val="21"/>
          <w:szCs w:val="21"/>
          <w:highlight w:val="none"/>
          <w:u w:val="single" w:color="auto"/>
        </w:rPr>
        <w:t>程</w:t>
      </w:r>
      <w:r>
        <w:rPr>
          <w:rFonts w:ascii="宋体" w:hAnsi="宋体" w:eastAsia="宋体" w:cs="宋体"/>
          <w:color w:val="auto"/>
          <w:spacing w:val="21"/>
          <w:sz w:val="21"/>
          <w:szCs w:val="21"/>
          <w:highlight w:val="none"/>
          <w:u w:val="single" w:color="auto"/>
        </w:rPr>
        <w:t xml:space="preserve"> </w:t>
      </w:r>
      <w:r>
        <w:rPr>
          <w:rFonts w:ascii="宋体" w:hAnsi="宋体" w:eastAsia="宋体" w:cs="宋体"/>
          <w:color w:val="auto"/>
          <w:spacing w:val="-8"/>
          <w:sz w:val="21"/>
          <w:szCs w:val="21"/>
          <w:highlight w:val="none"/>
          <w:u w:val="single" w:color="auto"/>
        </w:rPr>
        <w:t>建</w:t>
      </w:r>
      <w:r>
        <w:rPr>
          <w:rFonts w:ascii="宋体" w:hAnsi="宋体" w:eastAsia="宋体" w:cs="宋体"/>
          <w:color w:val="auto"/>
          <w:spacing w:val="26"/>
          <w:sz w:val="21"/>
          <w:szCs w:val="21"/>
          <w:highlight w:val="none"/>
          <w:u w:val="single" w:color="auto"/>
        </w:rPr>
        <w:t xml:space="preserve"> </w:t>
      </w:r>
      <w:r>
        <w:rPr>
          <w:rFonts w:ascii="宋体" w:hAnsi="宋体" w:eastAsia="宋体" w:cs="宋体"/>
          <w:color w:val="auto"/>
          <w:spacing w:val="-8"/>
          <w:sz w:val="21"/>
          <w:szCs w:val="21"/>
          <w:highlight w:val="none"/>
          <w:u w:val="single" w:color="auto"/>
        </w:rPr>
        <w:t>设</w:t>
      </w:r>
      <w:r>
        <w:rPr>
          <w:rFonts w:ascii="宋体" w:hAnsi="宋体" w:eastAsia="宋体" w:cs="宋体"/>
          <w:color w:val="auto"/>
          <w:spacing w:val="22"/>
          <w:sz w:val="21"/>
          <w:szCs w:val="21"/>
          <w:highlight w:val="none"/>
          <w:u w:val="single" w:color="auto"/>
        </w:rPr>
        <w:t xml:space="preserve"> </w:t>
      </w:r>
      <w:r>
        <w:rPr>
          <w:rFonts w:ascii="宋体" w:hAnsi="宋体" w:eastAsia="宋体" w:cs="宋体"/>
          <w:color w:val="auto"/>
          <w:spacing w:val="-8"/>
          <w:sz w:val="21"/>
          <w:szCs w:val="21"/>
          <w:highlight w:val="none"/>
          <w:u w:val="single" w:color="auto"/>
        </w:rPr>
        <w:t>项  目</w:t>
      </w:r>
      <w:r>
        <w:rPr>
          <w:rFonts w:ascii="宋体" w:hAnsi="宋体" w:eastAsia="宋体" w:cs="宋体"/>
          <w:color w:val="auto"/>
          <w:spacing w:val="20"/>
          <w:sz w:val="21"/>
          <w:szCs w:val="21"/>
          <w:highlight w:val="none"/>
          <w:u w:val="single" w:color="auto"/>
        </w:rPr>
        <w:t xml:space="preserve"> </w:t>
      </w:r>
      <w:r>
        <w:rPr>
          <w:rFonts w:ascii="宋体" w:hAnsi="宋体" w:eastAsia="宋体" w:cs="宋体"/>
          <w:color w:val="auto"/>
          <w:spacing w:val="-8"/>
          <w:sz w:val="21"/>
          <w:szCs w:val="21"/>
          <w:highlight w:val="none"/>
          <w:u w:val="single" w:color="auto"/>
        </w:rPr>
        <w:t>数 字</w:t>
      </w:r>
      <w:r>
        <w:rPr>
          <w:rFonts w:ascii="宋体" w:hAnsi="宋体" w:eastAsia="宋体" w:cs="宋体"/>
          <w:color w:val="auto"/>
          <w:spacing w:val="19"/>
          <w:sz w:val="21"/>
          <w:szCs w:val="21"/>
          <w:highlight w:val="none"/>
          <w:u w:val="single" w:color="auto"/>
        </w:rPr>
        <w:t xml:space="preserve"> </w:t>
      </w:r>
      <w:r>
        <w:rPr>
          <w:rFonts w:ascii="宋体" w:hAnsi="宋体" w:eastAsia="宋体" w:cs="宋体"/>
          <w:color w:val="auto"/>
          <w:spacing w:val="-8"/>
          <w:sz w:val="21"/>
          <w:szCs w:val="21"/>
          <w:highlight w:val="none"/>
          <w:u w:val="single" w:color="auto"/>
        </w:rPr>
        <w:t>化</w:t>
      </w:r>
      <w:r>
        <w:rPr>
          <w:rFonts w:ascii="宋体" w:hAnsi="宋体" w:eastAsia="宋体" w:cs="宋体"/>
          <w:color w:val="auto"/>
          <w:spacing w:val="19"/>
          <w:sz w:val="21"/>
          <w:szCs w:val="21"/>
          <w:highlight w:val="none"/>
          <w:u w:val="single" w:color="auto"/>
        </w:rPr>
        <w:t xml:space="preserve"> </w:t>
      </w:r>
      <w:r>
        <w:rPr>
          <w:rFonts w:ascii="宋体" w:hAnsi="宋体" w:eastAsia="宋体" w:cs="宋体"/>
          <w:color w:val="auto"/>
          <w:spacing w:val="-8"/>
          <w:sz w:val="21"/>
          <w:szCs w:val="21"/>
          <w:highlight w:val="none"/>
          <w:u w:val="single" w:color="auto"/>
        </w:rPr>
        <w:t>开</w:t>
      </w:r>
      <w:r>
        <w:rPr>
          <w:rFonts w:ascii="宋体" w:hAnsi="宋体" w:eastAsia="宋体" w:cs="宋体"/>
          <w:color w:val="auto"/>
          <w:spacing w:val="18"/>
          <w:sz w:val="21"/>
          <w:szCs w:val="21"/>
          <w:highlight w:val="none"/>
          <w:u w:val="single" w:color="auto"/>
        </w:rPr>
        <w:t xml:space="preserve"> </w:t>
      </w:r>
      <w:r>
        <w:rPr>
          <w:rFonts w:ascii="宋体" w:hAnsi="宋体" w:eastAsia="宋体" w:cs="宋体"/>
          <w:color w:val="auto"/>
          <w:spacing w:val="-8"/>
          <w:sz w:val="21"/>
          <w:szCs w:val="21"/>
          <w:highlight w:val="none"/>
          <w:u w:val="single" w:color="auto"/>
        </w:rPr>
        <w:t>标 评</w:t>
      </w:r>
      <w:r>
        <w:rPr>
          <w:rFonts w:ascii="宋体" w:hAnsi="宋体" w:eastAsia="宋体" w:cs="宋体"/>
          <w:color w:val="auto"/>
          <w:spacing w:val="24"/>
          <w:sz w:val="21"/>
          <w:szCs w:val="21"/>
          <w:highlight w:val="none"/>
          <w:u w:val="single" w:color="auto"/>
        </w:rPr>
        <w:t xml:space="preserve"> </w:t>
      </w:r>
      <w:r>
        <w:rPr>
          <w:rFonts w:ascii="宋体" w:hAnsi="宋体" w:eastAsia="宋体" w:cs="宋体"/>
          <w:color w:val="auto"/>
          <w:spacing w:val="-8"/>
          <w:sz w:val="21"/>
          <w:szCs w:val="21"/>
          <w:highlight w:val="none"/>
          <w:u w:val="single" w:color="auto"/>
        </w:rPr>
        <w:t>标</w:t>
      </w:r>
      <w:r>
        <w:rPr>
          <w:rFonts w:ascii="宋体" w:hAnsi="宋体" w:eastAsia="宋体" w:cs="宋体"/>
          <w:color w:val="auto"/>
          <w:spacing w:val="23"/>
          <w:sz w:val="21"/>
          <w:szCs w:val="21"/>
          <w:highlight w:val="none"/>
          <w:u w:val="single" w:color="auto"/>
        </w:rPr>
        <w:t xml:space="preserve"> </w:t>
      </w:r>
      <w:r>
        <w:rPr>
          <w:rFonts w:ascii="宋体" w:hAnsi="宋体" w:eastAsia="宋体" w:cs="宋体"/>
          <w:color w:val="auto"/>
          <w:spacing w:val="-8"/>
          <w:sz w:val="21"/>
          <w:szCs w:val="21"/>
          <w:highlight w:val="none"/>
          <w:u w:val="single" w:color="auto"/>
        </w:rPr>
        <w:t>系</w:t>
      </w:r>
      <w:r>
        <w:rPr>
          <w:rFonts w:ascii="宋体" w:hAnsi="宋体" w:eastAsia="宋体" w:cs="宋体"/>
          <w:color w:val="auto"/>
          <w:spacing w:val="23"/>
          <w:sz w:val="21"/>
          <w:szCs w:val="21"/>
          <w:highlight w:val="none"/>
          <w:u w:val="single" w:color="auto"/>
        </w:rPr>
        <w:t xml:space="preserve"> </w:t>
      </w:r>
      <w:r>
        <w:rPr>
          <w:rFonts w:ascii="宋体" w:hAnsi="宋体" w:eastAsia="宋体" w:cs="宋体"/>
          <w:color w:val="auto"/>
          <w:spacing w:val="-8"/>
          <w:sz w:val="21"/>
          <w:szCs w:val="21"/>
          <w:highlight w:val="none"/>
          <w:u w:val="single" w:color="auto"/>
        </w:rPr>
        <w:t>统</w:t>
      </w:r>
      <w:r>
        <w:rPr>
          <w:rFonts w:ascii="宋体" w:hAnsi="宋体" w:eastAsia="宋体" w:cs="宋体"/>
          <w:color w:val="auto"/>
          <w:sz w:val="21"/>
          <w:szCs w:val="21"/>
          <w:highlight w:val="none"/>
        </w:rPr>
        <w:t xml:space="preserve"> </w:t>
      </w:r>
      <w:r>
        <w:rPr>
          <w:rFonts w:ascii="宋体" w:hAnsi="宋体" w:eastAsia="宋体" w:cs="宋体"/>
          <w:color w:val="auto"/>
          <w:sz w:val="21"/>
          <w:szCs w:val="21"/>
          <w:highlight w:val="none"/>
          <w:u w:val="single" w:color="auto"/>
        </w:rPr>
        <w:tab/>
      </w:r>
      <w:r>
        <w:rPr>
          <w:rFonts w:ascii="宋体" w:hAnsi="宋体" w:eastAsia="宋体" w:cs="宋体"/>
          <w:color w:val="auto"/>
          <w:spacing w:val="-6"/>
          <w:sz w:val="21"/>
          <w:szCs w:val="21"/>
          <w:highlight w:val="none"/>
          <w:u w:val="single" w:color="auto"/>
        </w:rPr>
        <w:t>（</w:t>
      </w:r>
      <w:r>
        <w:rPr>
          <w:color w:val="auto"/>
          <w:highlight w:val="none"/>
        </w:rPr>
        <w:fldChar w:fldCharType="begin"/>
      </w:r>
      <w:r>
        <w:rPr>
          <w:color w:val="auto"/>
          <w:highlight w:val="none"/>
        </w:rPr>
        <w:instrText xml:space="preserve"> HYPERLINK "https://dts.lnzb.com:8888/zjt" </w:instrText>
      </w:r>
      <w:r>
        <w:rPr>
          <w:color w:val="auto"/>
          <w:highlight w:val="none"/>
        </w:rPr>
        <w:fldChar w:fldCharType="separate"/>
      </w:r>
      <w:r>
        <w:rPr>
          <w:rFonts w:ascii="宋体" w:hAnsi="宋体" w:eastAsia="宋体" w:cs="宋体"/>
          <w:color w:val="auto"/>
          <w:spacing w:val="-6"/>
          <w:sz w:val="21"/>
          <w:szCs w:val="21"/>
          <w:highlight w:val="none"/>
          <w:u w:val="single" w:color="auto"/>
        </w:rPr>
        <w:t>https://dts.lnzb.com:8888/zjt</w:t>
      </w:r>
      <w:r>
        <w:rPr>
          <w:rFonts w:ascii="宋体" w:hAnsi="宋体" w:eastAsia="宋体" w:cs="宋体"/>
          <w:color w:val="auto"/>
          <w:spacing w:val="-6"/>
          <w:sz w:val="21"/>
          <w:szCs w:val="21"/>
          <w:highlight w:val="none"/>
          <w:u w:val="single" w:color="auto"/>
        </w:rPr>
        <w:fldChar w:fldCharType="end"/>
      </w:r>
      <w:r>
        <w:rPr>
          <w:rFonts w:ascii="宋体" w:hAnsi="宋体" w:eastAsia="宋体" w:cs="宋体"/>
          <w:color w:val="auto"/>
          <w:spacing w:val="-6"/>
          <w:sz w:val="21"/>
          <w:szCs w:val="21"/>
          <w:highlight w:val="none"/>
          <w:u w:val="single" w:color="auto"/>
        </w:rPr>
        <w:t>-bid/）</w:t>
      </w:r>
      <w:r>
        <w:rPr>
          <w:rFonts w:ascii="宋体" w:hAnsi="宋体" w:eastAsia="宋体" w:cs="宋体"/>
          <w:color w:val="auto"/>
          <w:spacing w:val="-6"/>
          <w:sz w:val="21"/>
          <w:szCs w:val="21"/>
          <w:highlight w:val="none"/>
        </w:rPr>
        <w:t>。</w:t>
      </w:r>
    </w:p>
    <w:p w14:paraId="528D4D46">
      <w:pPr>
        <w:spacing w:before="115" w:line="337" w:lineRule="auto"/>
        <w:ind w:right="18" w:firstLine="408" w:firstLineChars="200"/>
        <w:jc w:val="left"/>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5.4 </w:t>
      </w:r>
      <w:r>
        <w:rPr>
          <w:rFonts w:ascii="宋体" w:hAnsi="宋体" w:eastAsia="宋体" w:cs="宋体"/>
          <w:color w:val="auto"/>
          <w:spacing w:val="-3"/>
          <w:sz w:val="21"/>
          <w:szCs w:val="21"/>
          <w:highlight w:val="none"/>
        </w:rPr>
        <w:t xml:space="preserve">开标方式： </w:t>
      </w:r>
      <w:r>
        <w:rPr>
          <w:rFonts w:ascii="宋体" w:hAnsi="宋体" w:eastAsia="宋体" w:cs="宋体"/>
          <w:color w:val="auto"/>
          <w:spacing w:val="-3"/>
          <w:sz w:val="21"/>
          <w:szCs w:val="21"/>
          <w:highlight w:val="none"/>
          <w:u w:val="single" w:color="auto"/>
        </w:rPr>
        <w:t>远程不见面开标</w:t>
      </w:r>
      <w:r>
        <w:rPr>
          <w:rFonts w:ascii="宋体" w:hAnsi="宋体" w:eastAsia="宋体" w:cs="宋体"/>
          <w:color w:val="auto"/>
          <w:spacing w:val="-3"/>
          <w:sz w:val="21"/>
          <w:szCs w:val="21"/>
          <w:highlight w:val="none"/>
        </w:rPr>
        <w:t>。</w:t>
      </w:r>
    </w:p>
    <w:p w14:paraId="2D74AC09">
      <w:pPr>
        <w:spacing w:before="1" w:line="219" w:lineRule="auto"/>
        <w:ind w:left="20"/>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6.</w:t>
      </w:r>
      <w:r>
        <w:rPr>
          <w:rFonts w:ascii="黑体" w:hAnsi="黑体" w:eastAsia="黑体" w:cs="黑体"/>
          <w:color w:val="auto"/>
          <w:spacing w:val="-1"/>
          <w:sz w:val="24"/>
          <w:szCs w:val="24"/>
          <w:highlight w:val="none"/>
        </w:rPr>
        <w:t>投标相关事宜</w:t>
      </w:r>
    </w:p>
    <w:p w14:paraId="05A0D95A">
      <w:pPr>
        <w:spacing w:before="160" w:line="371" w:lineRule="auto"/>
        <w:ind w:right="1"/>
        <w:jc w:val="both"/>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pacing w:val="1"/>
          <w:sz w:val="21"/>
          <w:szCs w:val="21"/>
          <w:highlight w:val="none"/>
          <w:lang w:val="en-US" w:eastAsia="zh-CN"/>
        </w:rPr>
        <w:t>1、本项目计划开工开始日期和计划竣工结束日期为计划日期，具体以签订合同为准。</w:t>
      </w:r>
    </w:p>
    <w:p w14:paraId="0E562FAB">
      <w:pPr>
        <w:spacing w:before="191" w:line="218" w:lineRule="auto"/>
        <w:ind w:left="18"/>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7.</w:t>
      </w:r>
      <w:r>
        <w:rPr>
          <w:rFonts w:ascii="黑体" w:hAnsi="黑体" w:eastAsia="黑体" w:cs="黑体"/>
          <w:color w:val="auto"/>
          <w:spacing w:val="-1"/>
          <w:sz w:val="24"/>
          <w:szCs w:val="24"/>
          <w:highlight w:val="none"/>
        </w:rPr>
        <w:t>评标办法</w:t>
      </w:r>
    </w:p>
    <w:p w14:paraId="2C9761BD">
      <w:pPr>
        <w:spacing w:before="163" w:line="346" w:lineRule="auto"/>
        <w:ind w:left="45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本次招标评标办法采用</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1"/>
          <w:sz w:val="21"/>
          <w:szCs w:val="21"/>
          <w:highlight w:val="none"/>
          <w:u w:val="single" w:color="auto"/>
        </w:rPr>
        <w:t>综合评估法</w:t>
      </w:r>
      <w:r>
        <w:rPr>
          <w:rFonts w:ascii="宋体" w:hAnsi="宋体" w:eastAsia="宋体" w:cs="宋体"/>
          <w:color w:val="auto"/>
          <w:spacing w:val="-52"/>
          <w:sz w:val="21"/>
          <w:szCs w:val="21"/>
          <w:highlight w:val="none"/>
          <w:u w:val="single" w:color="auto"/>
        </w:rPr>
        <w:t xml:space="preserve"> </w:t>
      </w:r>
      <w:r>
        <w:rPr>
          <w:rFonts w:ascii="宋体" w:hAnsi="宋体" w:eastAsia="宋体" w:cs="宋体"/>
          <w:color w:val="auto"/>
          <w:spacing w:val="-1"/>
          <w:sz w:val="21"/>
          <w:szCs w:val="21"/>
          <w:highlight w:val="none"/>
        </w:rPr>
        <w:t>。</w:t>
      </w:r>
    </w:p>
    <w:p w14:paraId="15423B6C">
      <w:pPr>
        <w:spacing w:before="131" w:line="218" w:lineRule="auto"/>
        <w:ind w:left="19"/>
        <w:rPr>
          <w:rFonts w:ascii="黑体" w:hAnsi="黑体" w:eastAsia="黑体" w:cs="黑体"/>
          <w:color w:val="auto"/>
          <w:sz w:val="24"/>
          <w:szCs w:val="24"/>
          <w:highlight w:val="none"/>
        </w:rPr>
      </w:pPr>
      <w:r>
        <w:rPr>
          <w:rFonts w:hint="eastAsia" w:ascii="Times New Roman" w:hAnsi="Times New Roman" w:eastAsia="宋体" w:cs="Times New Roman"/>
          <w:color w:val="auto"/>
          <w:spacing w:val="-1"/>
          <w:sz w:val="24"/>
          <w:szCs w:val="24"/>
          <w:highlight w:val="none"/>
          <w:lang w:val="en-US" w:eastAsia="zh-CN"/>
        </w:rPr>
        <w:t>8</w:t>
      </w:r>
      <w:r>
        <w:rPr>
          <w:rFonts w:ascii="Times New Roman" w:hAnsi="Times New Roman" w:eastAsia="Times New Roman" w:cs="Times New Roman"/>
          <w:color w:val="auto"/>
          <w:spacing w:val="-1"/>
          <w:sz w:val="24"/>
          <w:szCs w:val="24"/>
          <w:highlight w:val="none"/>
        </w:rPr>
        <w:t>.</w:t>
      </w:r>
      <w:r>
        <w:rPr>
          <w:rFonts w:ascii="黑体" w:hAnsi="黑体" w:eastAsia="黑体" w:cs="黑体"/>
          <w:color w:val="auto"/>
          <w:spacing w:val="-1"/>
          <w:sz w:val="24"/>
          <w:szCs w:val="24"/>
          <w:highlight w:val="none"/>
        </w:rPr>
        <w:t>发布公告的媒介</w:t>
      </w:r>
    </w:p>
    <w:p w14:paraId="60CFC3B0">
      <w:pPr>
        <w:spacing w:before="160" w:line="371" w:lineRule="auto"/>
        <w:ind w:right="1"/>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本次招标公告同时在</w:t>
      </w:r>
      <w:r>
        <w:rPr>
          <w:rFonts w:ascii="宋体" w:hAnsi="宋体" w:eastAsia="宋体" w:cs="宋体"/>
          <w:color w:val="auto"/>
          <w:spacing w:val="1"/>
          <w:sz w:val="21"/>
          <w:szCs w:val="21"/>
          <w:highlight w:val="none"/>
          <w:u w:val="single" w:color="auto"/>
        </w:rPr>
        <w:t>辽宁建设工程信息网、辽宁省招标投</w:t>
      </w:r>
      <w:r>
        <w:rPr>
          <w:rFonts w:ascii="宋体" w:hAnsi="宋体" w:eastAsia="宋体" w:cs="宋体"/>
          <w:color w:val="auto"/>
          <w:sz w:val="21"/>
          <w:szCs w:val="21"/>
          <w:highlight w:val="none"/>
          <w:u w:val="single" w:color="auto"/>
        </w:rPr>
        <w:t>标监管网等</w:t>
      </w:r>
      <w:r>
        <w:rPr>
          <w:rFonts w:ascii="宋体" w:hAnsi="宋体" w:eastAsia="宋体" w:cs="宋体"/>
          <w:color w:val="auto"/>
          <w:spacing w:val="-27"/>
          <w:sz w:val="21"/>
          <w:szCs w:val="21"/>
          <w:highlight w:val="none"/>
        </w:rPr>
        <w:t xml:space="preserve"> </w:t>
      </w:r>
      <w:r>
        <w:rPr>
          <w:rFonts w:ascii="宋体" w:hAnsi="宋体" w:eastAsia="宋体" w:cs="宋体"/>
          <w:color w:val="auto"/>
          <w:sz w:val="21"/>
          <w:szCs w:val="21"/>
          <w:highlight w:val="none"/>
        </w:rPr>
        <w:t>（发布公告的媒</w:t>
      </w:r>
    </w:p>
    <w:p w14:paraId="06C08E04">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介名称）上发布。</w:t>
      </w:r>
    </w:p>
    <w:p w14:paraId="4E2435EC">
      <w:pPr>
        <w:spacing w:before="143" w:line="218" w:lineRule="auto"/>
        <w:ind w:left="38"/>
        <w:rPr>
          <w:rFonts w:ascii="黑体" w:hAnsi="黑体" w:eastAsia="黑体" w:cs="黑体"/>
          <w:color w:val="auto"/>
          <w:sz w:val="24"/>
          <w:szCs w:val="24"/>
          <w:highlight w:val="none"/>
        </w:rPr>
      </w:pPr>
      <w:r>
        <w:rPr>
          <w:rFonts w:hint="eastAsia" w:ascii="Times New Roman" w:hAnsi="Times New Roman" w:eastAsia="宋体" w:cs="Times New Roman"/>
          <w:color w:val="auto"/>
          <w:spacing w:val="-4"/>
          <w:sz w:val="24"/>
          <w:szCs w:val="24"/>
          <w:highlight w:val="none"/>
          <w:lang w:val="en-US" w:eastAsia="zh-CN"/>
        </w:rPr>
        <w:t>9</w:t>
      </w:r>
      <w:r>
        <w:rPr>
          <w:rFonts w:ascii="Times New Roman" w:hAnsi="Times New Roman" w:eastAsia="Times New Roman" w:cs="Times New Roman"/>
          <w:color w:val="auto"/>
          <w:spacing w:val="-4"/>
          <w:sz w:val="24"/>
          <w:szCs w:val="24"/>
          <w:highlight w:val="none"/>
        </w:rPr>
        <w:t>.</w:t>
      </w:r>
      <w:r>
        <w:rPr>
          <w:rFonts w:ascii="黑体" w:hAnsi="黑体" w:eastAsia="黑体" w:cs="黑体"/>
          <w:color w:val="auto"/>
          <w:spacing w:val="-4"/>
          <w:sz w:val="24"/>
          <w:szCs w:val="24"/>
          <w:highlight w:val="none"/>
        </w:rPr>
        <w:t>监督信息</w:t>
      </w:r>
    </w:p>
    <w:p w14:paraId="45A2D9D6">
      <w:pPr>
        <w:widowControl w:val="0"/>
        <w:numPr>
          <w:ilvl w:val="0"/>
          <w:numId w:val="0"/>
        </w:numPr>
        <w:ind w:left="0" w:leftChars="0" w:firstLine="0" w:firstLineChars="0"/>
        <w:jc w:val="left"/>
        <w:rPr>
          <w:rFonts w:ascii="宋体" w:hAnsi="宋体" w:eastAsia="宋体" w:cs="宋体"/>
          <w:color w:val="auto"/>
          <w:spacing w:val="-16"/>
          <w:sz w:val="21"/>
          <w:szCs w:val="21"/>
          <w:highlight w:val="none"/>
        </w:rPr>
      </w:pPr>
      <w:r>
        <w:rPr>
          <w:rFonts w:ascii="宋体" w:hAnsi="宋体" w:eastAsia="宋体" w:cs="宋体"/>
          <w:color w:val="auto"/>
          <w:spacing w:val="-16"/>
          <w:sz w:val="21"/>
          <w:szCs w:val="21"/>
          <w:highlight w:val="none"/>
        </w:rPr>
        <w:t>1.监督部门</w:t>
      </w:r>
      <w:r>
        <w:rPr>
          <w:rFonts w:ascii="宋体" w:hAnsi="宋体" w:eastAsia="宋体" w:cs="宋体"/>
          <w:color w:val="auto"/>
          <w:spacing w:val="-9"/>
          <w:sz w:val="21"/>
          <w:szCs w:val="21"/>
          <w:highlight w:val="none"/>
        </w:rPr>
        <w:t>：</w:t>
      </w:r>
      <w:r>
        <w:rPr>
          <w:rFonts w:ascii="宋体" w:hAnsi="宋体" w:eastAsia="宋体" w:cs="宋体"/>
          <w:color w:val="auto"/>
          <w:spacing w:val="-16"/>
          <w:sz w:val="21"/>
          <w:szCs w:val="21"/>
          <w:highlight w:val="none"/>
        </w:rPr>
        <w:t>营口市城乡建设与公用事业中心，负责人： 李先生，联系方式：0417-2657306。 2.招标负责人：</w:t>
      </w:r>
      <w:r>
        <w:rPr>
          <w:rFonts w:hint="eastAsia" w:ascii="宋体" w:hAnsi="宋体" w:eastAsia="宋体" w:cs="宋体"/>
          <w:color w:val="auto"/>
          <w:spacing w:val="-16"/>
          <w:sz w:val="21"/>
          <w:szCs w:val="21"/>
          <w:highlight w:val="none"/>
          <w:lang w:val="en-US" w:eastAsia="zh-CN"/>
        </w:rPr>
        <w:t>盛陶然</w:t>
      </w:r>
      <w:r>
        <w:rPr>
          <w:rFonts w:ascii="宋体" w:hAnsi="宋体" w:eastAsia="宋体" w:cs="宋体"/>
          <w:color w:val="auto"/>
          <w:spacing w:val="-16"/>
          <w:sz w:val="21"/>
          <w:szCs w:val="21"/>
          <w:highlight w:val="none"/>
        </w:rPr>
        <w:t>，联系方式：</w:t>
      </w:r>
      <w:r>
        <w:rPr>
          <w:rFonts w:hint="eastAsia" w:ascii="宋体" w:hAnsi="宋体" w:eastAsia="宋体" w:cs="宋体"/>
          <w:color w:val="auto"/>
          <w:spacing w:val="-16"/>
          <w:sz w:val="21"/>
          <w:szCs w:val="21"/>
          <w:highlight w:val="none"/>
          <w:lang w:eastAsia="zh-CN"/>
        </w:rPr>
        <w:t>15940733332</w:t>
      </w:r>
      <w:r>
        <w:rPr>
          <w:rFonts w:ascii="宋体" w:hAnsi="宋体" w:eastAsia="宋体" w:cs="宋体"/>
          <w:color w:val="auto"/>
          <w:spacing w:val="-16"/>
          <w:sz w:val="21"/>
          <w:szCs w:val="21"/>
          <w:highlight w:val="none"/>
        </w:rPr>
        <w:t xml:space="preserve"> 。</w:t>
      </w:r>
    </w:p>
    <w:p w14:paraId="514F7140">
      <w:pPr>
        <w:spacing w:before="137" w:line="218"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4"/>
          <w:sz w:val="24"/>
          <w:szCs w:val="24"/>
          <w:highlight w:val="none"/>
        </w:rPr>
        <w:t>1</w:t>
      </w:r>
      <w:r>
        <w:rPr>
          <w:rFonts w:hint="eastAsia" w:ascii="Times New Roman" w:hAnsi="Times New Roman" w:eastAsia="宋体" w:cs="Times New Roman"/>
          <w:color w:val="auto"/>
          <w:spacing w:val="-4"/>
          <w:sz w:val="24"/>
          <w:szCs w:val="24"/>
          <w:highlight w:val="none"/>
          <w:lang w:val="en-US" w:eastAsia="zh-CN"/>
        </w:rPr>
        <w:t>0</w:t>
      </w:r>
      <w:r>
        <w:rPr>
          <w:rFonts w:ascii="Times New Roman" w:hAnsi="Times New Roman" w:eastAsia="Times New Roman" w:cs="Times New Roman"/>
          <w:color w:val="auto"/>
          <w:spacing w:val="-4"/>
          <w:sz w:val="24"/>
          <w:szCs w:val="24"/>
          <w:highlight w:val="none"/>
        </w:rPr>
        <w:t>.</w:t>
      </w:r>
      <w:r>
        <w:rPr>
          <w:rFonts w:ascii="黑体" w:hAnsi="黑体" w:eastAsia="黑体" w:cs="黑体"/>
          <w:color w:val="auto"/>
          <w:spacing w:val="-4"/>
          <w:sz w:val="24"/>
          <w:szCs w:val="24"/>
          <w:highlight w:val="none"/>
        </w:rPr>
        <w:t>联系方式</w:t>
      </w:r>
    </w:p>
    <w:p w14:paraId="55FE9409">
      <w:pPr>
        <w:spacing w:before="159" w:line="220" w:lineRule="auto"/>
        <w:ind w:left="6198" w:leftChars="217" w:hanging="5742" w:hangingChars="3300"/>
        <w:rPr>
          <w:rFonts w:hint="eastAsia" w:ascii="宋体" w:hAnsi="宋体" w:eastAsia="宋体" w:cs="宋体"/>
          <w:color w:val="auto"/>
          <w:sz w:val="21"/>
          <w:szCs w:val="21"/>
          <w:highlight w:val="none"/>
          <w:lang w:eastAsia="zh-CN"/>
        </w:rPr>
      </w:pPr>
      <w:r>
        <w:rPr>
          <w:rFonts w:ascii="宋体" w:hAnsi="宋体" w:eastAsia="宋体" w:cs="宋体"/>
          <w:color w:val="auto"/>
          <w:spacing w:val="-18"/>
          <w:sz w:val="21"/>
          <w:szCs w:val="21"/>
          <w:highlight w:val="none"/>
        </w:rPr>
        <w:t>招 标</w:t>
      </w:r>
      <w:r>
        <w:rPr>
          <w:rFonts w:ascii="宋体" w:hAnsi="宋体" w:eastAsia="宋体" w:cs="宋体"/>
          <w:color w:val="auto"/>
          <w:spacing w:val="12"/>
          <w:sz w:val="21"/>
          <w:szCs w:val="21"/>
          <w:highlight w:val="none"/>
        </w:rPr>
        <w:t xml:space="preserve"> </w:t>
      </w:r>
      <w:r>
        <w:rPr>
          <w:rFonts w:ascii="宋体" w:hAnsi="宋体" w:eastAsia="宋体" w:cs="宋体"/>
          <w:color w:val="auto"/>
          <w:spacing w:val="-18"/>
          <w:sz w:val="21"/>
          <w:szCs w:val="21"/>
          <w:highlight w:val="none"/>
        </w:rPr>
        <w:t>人：</w:t>
      </w:r>
      <w:r>
        <w:rPr>
          <w:rFonts w:hint="eastAsia" w:ascii="仿宋_GB2312" w:eastAsia="仿宋_GB2312"/>
          <w:color w:val="auto"/>
          <w:sz w:val="24"/>
          <w:szCs w:val="24"/>
          <w:highlight w:val="none"/>
          <w:lang w:eastAsia="zh-CN"/>
        </w:rPr>
        <w:t>营口广厦住房租赁有限公司</w:t>
      </w:r>
      <w:r>
        <w:rPr>
          <w:rFonts w:ascii="宋体" w:hAnsi="宋体" w:eastAsia="宋体" w:cs="宋体"/>
          <w:color w:val="auto"/>
          <w:spacing w:val="4"/>
          <w:sz w:val="21"/>
          <w:szCs w:val="21"/>
          <w:highlight w:val="none"/>
        </w:rPr>
        <w:t xml:space="preserve">   </w:t>
      </w:r>
      <w:r>
        <w:rPr>
          <w:rFonts w:ascii="宋体" w:hAnsi="宋体" w:eastAsia="宋体" w:cs="宋体"/>
          <w:color w:val="auto"/>
          <w:spacing w:val="-18"/>
          <w:sz w:val="21"/>
          <w:szCs w:val="21"/>
          <w:highlight w:val="none"/>
        </w:rPr>
        <w:t>招标代理机构：</w:t>
      </w:r>
      <w:r>
        <w:rPr>
          <w:rFonts w:hint="eastAsia" w:ascii="仿宋_GB2312" w:eastAsia="仿宋_GB2312"/>
          <w:color w:val="auto"/>
          <w:sz w:val="24"/>
          <w:szCs w:val="24"/>
          <w:highlight w:val="none"/>
          <w:lang w:eastAsia="zh-CN"/>
        </w:rPr>
        <w:t>沈阳招标中心有限公司</w:t>
      </w:r>
    </w:p>
    <w:p w14:paraId="384927A8">
      <w:pPr>
        <w:spacing w:line="360" w:lineRule="exact"/>
        <w:ind w:firstLine="352" w:firstLineChars="200"/>
        <w:rPr>
          <w:rFonts w:ascii="宋体" w:hAnsi="宋体" w:eastAsia="宋体" w:cs="宋体"/>
          <w:color w:val="auto"/>
          <w:sz w:val="21"/>
          <w:szCs w:val="21"/>
          <w:highlight w:val="none"/>
        </w:rPr>
      </w:pPr>
      <w:r>
        <w:rPr>
          <w:rFonts w:ascii="宋体" w:hAnsi="宋体" w:eastAsia="宋体" w:cs="宋体"/>
          <w:color w:val="auto"/>
          <w:spacing w:val="-17"/>
          <w:sz w:val="21"/>
          <w:szCs w:val="21"/>
          <w:highlight w:val="none"/>
        </w:rPr>
        <w:t>地</w:t>
      </w:r>
      <w:r>
        <w:rPr>
          <w:rFonts w:ascii="宋体" w:hAnsi="宋体" w:eastAsia="宋体" w:cs="宋体"/>
          <w:color w:val="auto"/>
          <w:spacing w:val="3"/>
          <w:sz w:val="21"/>
          <w:szCs w:val="21"/>
          <w:highlight w:val="none"/>
        </w:rPr>
        <w:t xml:space="preserve">    </w:t>
      </w:r>
      <w:r>
        <w:rPr>
          <w:rFonts w:ascii="宋体" w:hAnsi="宋体" w:eastAsia="宋体" w:cs="宋体"/>
          <w:color w:val="auto"/>
          <w:spacing w:val="-17"/>
          <w:sz w:val="21"/>
          <w:szCs w:val="21"/>
          <w:highlight w:val="none"/>
        </w:rPr>
        <w:t>址：</w:t>
      </w:r>
      <w:r>
        <w:rPr>
          <w:rFonts w:ascii="宋体" w:hAnsi="宋体" w:eastAsia="宋体" w:cs="宋体"/>
          <w:color w:val="auto"/>
          <w:spacing w:val="-31"/>
          <w:sz w:val="21"/>
          <w:szCs w:val="21"/>
          <w:highlight w:val="none"/>
        </w:rPr>
        <w:t xml:space="preserve"> </w:t>
      </w:r>
      <w:r>
        <w:rPr>
          <w:rFonts w:hint="eastAsia" w:ascii="仿宋_GB2312" w:eastAsia="仿宋_GB2312"/>
          <w:color w:val="auto"/>
          <w:sz w:val="24"/>
          <w:szCs w:val="24"/>
          <w:highlight w:val="none"/>
        </w:rPr>
        <w:t>营</w:t>
      </w:r>
      <w:r>
        <w:rPr>
          <w:rFonts w:hint="eastAsia" w:ascii="仿宋_GB2312" w:eastAsia="仿宋_GB2312"/>
          <w:color w:val="auto"/>
          <w:sz w:val="24"/>
          <w:szCs w:val="24"/>
          <w:highlight w:val="none"/>
          <w:lang w:val="en-US" w:eastAsia="zh-CN"/>
        </w:rPr>
        <w:t>口</w:t>
      </w:r>
      <w:r>
        <w:rPr>
          <w:rFonts w:hint="eastAsia" w:ascii="仿宋_GB2312" w:eastAsia="仿宋_GB2312"/>
          <w:color w:val="auto"/>
          <w:sz w:val="24"/>
          <w:szCs w:val="24"/>
          <w:highlight w:val="none"/>
        </w:rPr>
        <w:t>市西市区得胜路北</w:t>
      </w:r>
      <w:r>
        <w:rPr>
          <w:rFonts w:hint="eastAsia" w:ascii="仿宋_GB2312" w:eastAsia="仿宋_GB2312"/>
          <w:color w:val="auto"/>
          <w:sz w:val="24"/>
          <w:szCs w:val="24"/>
          <w:highlight w:val="none"/>
          <w:lang w:val="en-US" w:eastAsia="zh-CN"/>
        </w:rPr>
        <w:t>31</w:t>
      </w:r>
      <w:r>
        <w:rPr>
          <w:rFonts w:hint="eastAsia" w:ascii="仿宋_GB2312" w:eastAsia="仿宋_GB2312"/>
          <w:color w:val="auto"/>
          <w:sz w:val="24"/>
          <w:szCs w:val="24"/>
          <w:highlight w:val="none"/>
        </w:rPr>
        <w:t>号</w:t>
      </w:r>
      <w:r>
        <w:rPr>
          <w:rFonts w:ascii="宋体" w:hAnsi="宋体" w:eastAsia="宋体" w:cs="宋体"/>
          <w:color w:val="auto"/>
          <w:spacing w:val="-17"/>
          <w:sz w:val="21"/>
          <w:szCs w:val="21"/>
          <w:highlight w:val="none"/>
        </w:rPr>
        <w:t xml:space="preserve"> </w:t>
      </w:r>
      <w:r>
        <w:rPr>
          <w:rFonts w:ascii="宋体" w:hAnsi="宋体" w:eastAsia="宋体" w:cs="宋体"/>
          <w:color w:val="auto"/>
          <w:spacing w:val="-18"/>
          <w:sz w:val="21"/>
          <w:szCs w:val="21"/>
          <w:highlight w:val="none"/>
        </w:rPr>
        <w:t>地</w:t>
      </w:r>
      <w:r>
        <w:rPr>
          <w:rFonts w:ascii="宋体" w:hAnsi="宋体" w:eastAsia="宋体" w:cs="宋体"/>
          <w:color w:val="auto"/>
          <w:spacing w:val="1"/>
          <w:sz w:val="21"/>
          <w:szCs w:val="21"/>
          <w:highlight w:val="none"/>
        </w:rPr>
        <w:t xml:space="preserve">    </w:t>
      </w:r>
      <w:r>
        <w:rPr>
          <w:rFonts w:ascii="宋体" w:hAnsi="宋体" w:eastAsia="宋体" w:cs="宋体"/>
          <w:color w:val="auto"/>
          <w:spacing w:val="-18"/>
          <w:sz w:val="21"/>
          <w:szCs w:val="21"/>
          <w:highlight w:val="none"/>
        </w:rPr>
        <w:t>址：</w:t>
      </w:r>
      <w:r>
        <w:rPr>
          <w:rFonts w:hint="eastAsia" w:ascii="仿宋_GB2312" w:eastAsia="仿宋_GB2312"/>
          <w:color w:val="auto"/>
          <w:sz w:val="24"/>
          <w:szCs w:val="24"/>
          <w:highlight w:val="none"/>
          <w:lang w:eastAsia="zh-CN"/>
        </w:rPr>
        <w:t>沈阳市和平区绥化东街2号</w:t>
      </w:r>
      <w:r>
        <w:rPr>
          <w:rFonts w:ascii="宋体" w:hAnsi="宋体" w:eastAsia="宋体" w:cs="宋体"/>
          <w:color w:val="auto"/>
          <w:spacing w:val="-30"/>
          <w:sz w:val="21"/>
          <w:szCs w:val="21"/>
          <w:highlight w:val="none"/>
          <w:u w:val="none" w:color="auto"/>
        </w:rPr>
        <w:t xml:space="preserve"> </w:t>
      </w:r>
      <w:r>
        <w:rPr>
          <w:rFonts w:ascii="宋体" w:hAnsi="宋体" w:eastAsia="宋体" w:cs="宋体"/>
          <w:color w:val="auto"/>
          <w:sz w:val="21"/>
          <w:szCs w:val="21"/>
          <w:highlight w:val="none"/>
          <w:u w:val="none" w:color="auto"/>
        </w:rPr>
        <w:t xml:space="preserve">      </w:t>
      </w:r>
      <w:r>
        <w:rPr>
          <w:rFonts w:ascii="宋体" w:hAnsi="宋体" w:eastAsia="宋体" w:cs="宋体"/>
          <w:color w:val="auto"/>
          <w:sz w:val="21"/>
          <w:szCs w:val="21"/>
          <w:highlight w:val="none"/>
          <w:u w:val="single" w:color="auto"/>
        </w:rPr>
        <w:t xml:space="preserve">         </w:t>
      </w:r>
    </w:p>
    <w:p w14:paraId="232B58E9">
      <w:pPr>
        <w:spacing w:before="156" w:line="221" w:lineRule="auto"/>
        <w:ind w:left="471"/>
        <w:rPr>
          <w:rFonts w:ascii="宋体" w:hAnsi="宋体" w:eastAsia="宋体" w:cs="宋体"/>
          <w:color w:val="auto"/>
          <w:sz w:val="21"/>
          <w:szCs w:val="21"/>
          <w:highlight w:val="none"/>
        </w:rPr>
      </w:pPr>
      <w:r>
        <w:rPr>
          <w:rFonts w:ascii="宋体" w:hAnsi="宋体" w:eastAsia="宋体" w:cs="宋体"/>
          <w:color w:val="auto"/>
          <w:spacing w:val="-31"/>
          <w:w w:val="98"/>
          <w:sz w:val="21"/>
          <w:szCs w:val="21"/>
          <w:highlight w:val="none"/>
        </w:rPr>
        <w:t>邮</w:t>
      </w:r>
      <w:r>
        <w:rPr>
          <w:rFonts w:ascii="宋体" w:hAnsi="宋体" w:eastAsia="宋体" w:cs="宋体"/>
          <w:color w:val="auto"/>
          <w:spacing w:val="3"/>
          <w:sz w:val="21"/>
          <w:szCs w:val="21"/>
          <w:highlight w:val="none"/>
        </w:rPr>
        <w:t xml:space="preserve">    </w:t>
      </w:r>
      <w:r>
        <w:rPr>
          <w:rFonts w:ascii="宋体" w:hAnsi="宋体" w:eastAsia="宋体" w:cs="宋体"/>
          <w:color w:val="auto"/>
          <w:spacing w:val="-31"/>
          <w:w w:val="98"/>
          <w:sz w:val="21"/>
          <w:szCs w:val="21"/>
          <w:highlight w:val="none"/>
        </w:rPr>
        <w:t>编：</w:t>
      </w:r>
      <w:r>
        <w:rPr>
          <w:rFonts w:ascii="宋体" w:hAnsi="宋体" w:eastAsia="宋体" w:cs="宋体"/>
          <w:color w:val="auto"/>
          <w:spacing w:val="-28"/>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5"/>
          <w:sz w:val="21"/>
          <w:szCs w:val="21"/>
          <w:highlight w:val="none"/>
        </w:rPr>
        <w:t xml:space="preserve">                </w:t>
      </w:r>
      <w:r>
        <w:rPr>
          <w:rFonts w:ascii="宋体" w:hAnsi="宋体" w:eastAsia="宋体" w:cs="宋体"/>
          <w:color w:val="auto"/>
          <w:spacing w:val="-31"/>
          <w:w w:val="98"/>
          <w:sz w:val="21"/>
          <w:szCs w:val="21"/>
          <w:highlight w:val="none"/>
        </w:rPr>
        <w:t>邮</w:t>
      </w:r>
      <w:r>
        <w:rPr>
          <w:rFonts w:ascii="宋体" w:hAnsi="宋体" w:eastAsia="宋体" w:cs="宋体"/>
          <w:color w:val="auto"/>
          <w:sz w:val="21"/>
          <w:szCs w:val="21"/>
          <w:highlight w:val="none"/>
        </w:rPr>
        <w:t xml:space="preserve">    </w:t>
      </w:r>
      <w:r>
        <w:rPr>
          <w:rFonts w:ascii="宋体" w:hAnsi="宋体" w:eastAsia="宋体" w:cs="宋体"/>
          <w:color w:val="auto"/>
          <w:spacing w:val="-31"/>
          <w:w w:val="98"/>
          <w:sz w:val="21"/>
          <w:szCs w:val="21"/>
          <w:highlight w:val="none"/>
        </w:rPr>
        <w:t>编：</w:t>
      </w:r>
      <w:r>
        <w:rPr>
          <w:rFonts w:ascii="宋体" w:hAnsi="宋体" w:eastAsia="宋体" w:cs="宋体"/>
          <w:color w:val="auto"/>
          <w:spacing w:val="-29"/>
          <w:sz w:val="21"/>
          <w:szCs w:val="21"/>
          <w:highlight w:val="none"/>
        </w:rPr>
        <w:t xml:space="preserve"> </w:t>
      </w:r>
      <w:r>
        <w:rPr>
          <w:rFonts w:ascii="宋体" w:hAnsi="宋体" w:eastAsia="宋体" w:cs="宋体"/>
          <w:color w:val="auto"/>
          <w:sz w:val="21"/>
          <w:szCs w:val="21"/>
          <w:highlight w:val="none"/>
          <w:u w:val="single" w:color="auto"/>
        </w:rPr>
        <w:t xml:space="preserve">              </w:t>
      </w:r>
    </w:p>
    <w:p w14:paraId="1F66ED50">
      <w:pPr>
        <w:spacing w:line="126" w:lineRule="exact"/>
        <w:rPr>
          <w:color w:val="auto"/>
          <w:highlight w:val="none"/>
        </w:rPr>
      </w:pPr>
    </w:p>
    <w:p w14:paraId="50314BB5">
      <w:pPr>
        <w:spacing w:line="126" w:lineRule="exact"/>
        <w:rPr>
          <w:color w:val="auto"/>
          <w:highlight w:val="none"/>
        </w:rPr>
        <w:sectPr>
          <w:footerReference r:id="rId14" w:type="default"/>
          <w:pgSz w:w="11905" w:h="16839"/>
          <w:pgMar w:top="1431" w:right="1785" w:bottom="1036" w:left="1785" w:header="0" w:footer="847" w:gutter="0"/>
          <w:pgNumType w:fmt="decimal" w:start="1"/>
          <w:cols w:equalWidth="0" w:num="1">
            <w:col w:w="8333"/>
          </w:cols>
        </w:sectPr>
      </w:pPr>
    </w:p>
    <w:p w14:paraId="41132A84">
      <w:pPr>
        <w:spacing w:before="41" w:line="223" w:lineRule="auto"/>
        <w:ind w:left="456"/>
        <w:rPr>
          <w:rFonts w:ascii="宋体" w:hAnsi="宋体" w:eastAsia="宋体" w:cs="宋体"/>
          <w:color w:val="auto"/>
          <w:sz w:val="21"/>
          <w:szCs w:val="21"/>
          <w:highlight w:val="none"/>
        </w:rPr>
      </w:pPr>
      <w:r>
        <w:rPr>
          <w:rFonts w:ascii="宋体" w:hAnsi="宋体" w:eastAsia="宋体" w:cs="宋体"/>
          <w:color w:val="auto"/>
          <w:spacing w:val="-25"/>
          <w:sz w:val="21"/>
          <w:szCs w:val="21"/>
          <w:highlight w:val="none"/>
        </w:rPr>
        <w:t>联</w:t>
      </w:r>
      <w:r>
        <w:rPr>
          <w:rFonts w:ascii="宋体" w:hAnsi="宋体" w:eastAsia="宋体" w:cs="宋体"/>
          <w:color w:val="auto"/>
          <w:spacing w:val="13"/>
          <w:sz w:val="21"/>
          <w:szCs w:val="21"/>
          <w:highlight w:val="none"/>
        </w:rPr>
        <w:t xml:space="preserve"> </w:t>
      </w:r>
      <w:r>
        <w:rPr>
          <w:rFonts w:ascii="宋体" w:hAnsi="宋体" w:eastAsia="宋体" w:cs="宋体"/>
          <w:color w:val="auto"/>
          <w:spacing w:val="-25"/>
          <w:sz w:val="21"/>
          <w:szCs w:val="21"/>
          <w:highlight w:val="none"/>
        </w:rPr>
        <w:t>系</w:t>
      </w:r>
      <w:r>
        <w:rPr>
          <w:rFonts w:ascii="宋体" w:hAnsi="宋体" w:eastAsia="宋体" w:cs="宋体"/>
          <w:color w:val="auto"/>
          <w:spacing w:val="10"/>
          <w:sz w:val="21"/>
          <w:szCs w:val="21"/>
          <w:highlight w:val="none"/>
        </w:rPr>
        <w:t xml:space="preserve"> </w:t>
      </w:r>
      <w:r>
        <w:rPr>
          <w:rFonts w:ascii="宋体" w:hAnsi="宋体" w:eastAsia="宋体" w:cs="宋体"/>
          <w:color w:val="auto"/>
          <w:spacing w:val="-25"/>
          <w:sz w:val="21"/>
          <w:szCs w:val="21"/>
          <w:highlight w:val="none"/>
        </w:rPr>
        <w:t>人：</w:t>
      </w:r>
      <w:r>
        <w:rPr>
          <w:rFonts w:ascii="宋体" w:hAnsi="宋体" w:eastAsia="宋体" w:cs="宋体"/>
          <w:color w:val="auto"/>
          <w:spacing w:val="-32"/>
          <w:sz w:val="21"/>
          <w:szCs w:val="21"/>
          <w:highlight w:val="none"/>
          <w:u w:val="single"/>
        </w:rPr>
        <w:t xml:space="preserve"> </w:t>
      </w:r>
      <w:r>
        <w:rPr>
          <w:rFonts w:hint="eastAsia" w:ascii="宋体" w:hAnsi="宋体" w:eastAsia="宋体" w:cs="宋体"/>
          <w:color w:val="auto"/>
          <w:spacing w:val="-16"/>
          <w:sz w:val="21"/>
          <w:szCs w:val="21"/>
          <w:highlight w:val="none"/>
          <w:u w:val="single"/>
          <w:lang w:val="en-US" w:eastAsia="zh-CN"/>
        </w:rPr>
        <w:t>盛陶然</w:t>
      </w:r>
      <w:r>
        <w:rPr>
          <w:rFonts w:ascii="宋体" w:hAnsi="宋体" w:eastAsia="宋体" w:cs="宋体"/>
          <w:color w:val="auto"/>
          <w:sz w:val="21"/>
          <w:szCs w:val="21"/>
          <w:highlight w:val="none"/>
          <w:u w:val="none" w:color="auto"/>
        </w:rPr>
        <w:t xml:space="preserve">             </w:t>
      </w:r>
    </w:p>
    <w:p w14:paraId="7044DDCB">
      <w:pPr>
        <w:spacing w:before="163" w:line="223" w:lineRule="auto"/>
        <w:ind w:left="480"/>
        <w:rPr>
          <w:rFonts w:ascii="宋体" w:hAnsi="宋体" w:eastAsia="宋体" w:cs="宋体"/>
          <w:color w:val="auto"/>
          <w:sz w:val="21"/>
          <w:szCs w:val="21"/>
          <w:highlight w:val="none"/>
          <w:u w:val="none" w:color="auto"/>
        </w:rPr>
      </w:pPr>
      <w:r>
        <w:rPr>
          <w:rFonts w:ascii="宋体" w:hAnsi="宋体" w:eastAsia="宋体" w:cs="宋体"/>
          <w:color w:val="auto"/>
          <w:spacing w:val="-30"/>
          <w:w w:val="96"/>
          <w:sz w:val="21"/>
          <w:szCs w:val="21"/>
          <w:highlight w:val="none"/>
        </w:rPr>
        <w:t>电</w:t>
      </w:r>
      <w:r>
        <w:rPr>
          <w:rFonts w:ascii="宋体" w:hAnsi="宋体" w:eastAsia="宋体" w:cs="宋体"/>
          <w:color w:val="auto"/>
          <w:spacing w:val="3"/>
          <w:sz w:val="21"/>
          <w:szCs w:val="21"/>
          <w:highlight w:val="none"/>
        </w:rPr>
        <w:t xml:space="preserve">    </w:t>
      </w:r>
      <w:r>
        <w:rPr>
          <w:rFonts w:ascii="宋体" w:hAnsi="宋体" w:eastAsia="宋体" w:cs="宋体"/>
          <w:color w:val="auto"/>
          <w:spacing w:val="-30"/>
          <w:w w:val="96"/>
          <w:sz w:val="21"/>
          <w:szCs w:val="21"/>
          <w:highlight w:val="none"/>
        </w:rPr>
        <w:t>话：</w:t>
      </w:r>
      <w:r>
        <w:rPr>
          <w:rFonts w:ascii="宋体" w:hAnsi="宋体" w:eastAsia="宋体" w:cs="宋体"/>
          <w:color w:val="auto"/>
          <w:spacing w:val="-30"/>
          <w:sz w:val="21"/>
          <w:szCs w:val="21"/>
          <w:highlight w:val="none"/>
        </w:rPr>
        <w:t xml:space="preserve"> </w:t>
      </w:r>
      <w:r>
        <w:rPr>
          <w:rFonts w:hint="eastAsia" w:ascii="宋体" w:hAnsi="宋体" w:eastAsia="宋体" w:cs="宋体"/>
          <w:color w:val="auto"/>
          <w:spacing w:val="-16"/>
          <w:sz w:val="21"/>
          <w:szCs w:val="21"/>
          <w:highlight w:val="none"/>
          <w:u w:val="single" w:color="auto"/>
          <w:lang w:eastAsia="zh-CN"/>
        </w:rPr>
        <w:t>15940733332</w:t>
      </w:r>
      <w:r>
        <w:rPr>
          <w:rFonts w:ascii="宋体" w:hAnsi="宋体" w:eastAsia="宋体" w:cs="宋体"/>
          <w:color w:val="auto"/>
          <w:spacing w:val="-16"/>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z w:val="21"/>
          <w:szCs w:val="21"/>
          <w:highlight w:val="none"/>
          <w:u w:val="none" w:color="auto"/>
        </w:rPr>
        <w:t xml:space="preserve">            </w:t>
      </w:r>
    </w:p>
    <w:p w14:paraId="5915565F">
      <w:pPr>
        <w:spacing w:before="169" w:line="367" w:lineRule="auto"/>
        <w:ind w:left="453"/>
        <w:rPr>
          <w:rFonts w:ascii="宋体" w:hAnsi="宋体" w:eastAsia="宋体" w:cs="宋体"/>
          <w:color w:val="auto"/>
          <w:sz w:val="21"/>
          <w:szCs w:val="21"/>
          <w:highlight w:val="none"/>
        </w:rPr>
      </w:pPr>
      <w:r>
        <w:rPr>
          <w:rFonts w:ascii="宋体" w:hAnsi="宋体" w:eastAsia="宋体" w:cs="宋体"/>
          <w:color w:val="auto"/>
          <w:spacing w:val="-28"/>
          <w:w w:val="99"/>
          <w:sz w:val="21"/>
          <w:szCs w:val="21"/>
          <w:highlight w:val="none"/>
        </w:rPr>
        <w:t>传</w:t>
      </w:r>
      <w:r>
        <w:rPr>
          <w:rFonts w:ascii="宋体" w:hAnsi="宋体" w:eastAsia="宋体" w:cs="宋体"/>
          <w:color w:val="auto"/>
          <w:spacing w:val="3"/>
          <w:sz w:val="21"/>
          <w:szCs w:val="21"/>
          <w:highlight w:val="none"/>
        </w:rPr>
        <w:t xml:space="preserve">    </w:t>
      </w:r>
      <w:r>
        <w:rPr>
          <w:rFonts w:ascii="宋体" w:hAnsi="宋体" w:eastAsia="宋体" w:cs="宋体"/>
          <w:color w:val="auto"/>
          <w:spacing w:val="-28"/>
          <w:w w:val="99"/>
          <w:sz w:val="21"/>
          <w:szCs w:val="21"/>
          <w:highlight w:val="none"/>
        </w:rPr>
        <w:t>真：</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u w:val="single" w:color="auto"/>
        </w:rPr>
        <w:t xml:space="preserve">             </w:t>
      </w:r>
    </w:p>
    <w:p w14:paraId="0F422F70">
      <w:pPr>
        <w:spacing w:before="1" w:line="220" w:lineRule="auto"/>
        <w:ind w:left="480"/>
        <w:rPr>
          <w:rFonts w:ascii="宋体" w:hAnsi="宋体" w:eastAsia="宋体" w:cs="宋体"/>
          <w:color w:val="auto"/>
          <w:sz w:val="21"/>
          <w:szCs w:val="21"/>
          <w:highlight w:val="none"/>
        </w:rPr>
      </w:pPr>
      <w:r>
        <w:rPr>
          <w:rFonts w:ascii="宋体" w:hAnsi="宋体" w:eastAsia="宋体" w:cs="宋体"/>
          <w:color w:val="auto"/>
          <w:spacing w:val="-26"/>
          <w:w w:val="98"/>
          <w:sz w:val="21"/>
          <w:szCs w:val="21"/>
          <w:highlight w:val="none"/>
        </w:rPr>
        <w:t>电子邮件：</w:t>
      </w:r>
      <w:r>
        <w:rPr>
          <w:rFonts w:ascii="宋体" w:hAnsi="宋体" w:eastAsia="宋体" w:cs="宋体"/>
          <w:color w:val="auto"/>
          <w:spacing w:val="18"/>
          <w:sz w:val="21"/>
          <w:szCs w:val="21"/>
          <w:highlight w:val="none"/>
        </w:rPr>
        <w:t xml:space="preserve"> </w:t>
      </w:r>
      <w:r>
        <w:rPr>
          <w:rFonts w:ascii="宋体" w:hAnsi="宋体" w:eastAsia="宋体" w:cs="宋体"/>
          <w:color w:val="auto"/>
          <w:sz w:val="21"/>
          <w:szCs w:val="21"/>
          <w:highlight w:val="none"/>
          <w:u w:val="single" w:color="auto"/>
        </w:rPr>
        <w:t xml:space="preserve">             </w:t>
      </w:r>
    </w:p>
    <w:p w14:paraId="3FEE6632">
      <w:pPr>
        <w:spacing w:before="172" w:line="367" w:lineRule="auto"/>
        <w:ind w:left="472"/>
        <w:rPr>
          <w:rFonts w:ascii="宋体" w:hAnsi="宋体" w:eastAsia="宋体" w:cs="宋体"/>
          <w:color w:val="auto"/>
          <w:sz w:val="21"/>
          <w:szCs w:val="21"/>
          <w:highlight w:val="none"/>
        </w:rPr>
      </w:pPr>
      <w:r>
        <w:rPr>
          <w:rFonts w:ascii="宋体" w:hAnsi="宋体" w:eastAsia="宋体" w:cs="宋体"/>
          <w:color w:val="auto"/>
          <w:spacing w:val="-35"/>
          <w:sz w:val="21"/>
          <w:szCs w:val="21"/>
          <w:highlight w:val="none"/>
        </w:rPr>
        <w:t>网</w:t>
      </w:r>
      <w:r>
        <w:rPr>
          <w:rFonts w:ascii="宋体" w:hAnsi="宋体" w:eastAsia="宋体" w:cs="宋体"/>
          <w:color w:val="auto"/>
          <w:spacing w:val="2"/>
          <w:sz w:val="21"/>
          <w:szCs w:val="21"/>
          <w:highlight w:val="none"/>
        </w:rPr>
        <w:t xml:space="preserve">    </w:t>
      </w:r>
      <w:r>
        <w:rPr>
          <w:rFonts w:ascii="宋体" w:hAnsi="宋体" w:eastAsia="宋体" w:cs="宋体"/>
          <w:color w:val="auto"/>
          <w:spacing w:val="-35"/>
          <w:sz w:val="21"/>
          <w:szCs w:val="21"/>
          <w:highlight w:val="none"/>
        </w:rPr>
        <w:t>址：</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u w:val="single" w:color="auto"/>
        </w:rPr>
        <w:t xml:space="preserve">             </w:t>
      </w:r>
    </w:p>
    <w:p w14:paraId="2D4EF69A">
      <w:pPr>
        <w:spacing w:line="221" w:lineRule="auto"/>
        <w:ind w:left="456"/>
        <w:rPr>
          <w:rFonts w:ascii="宋体" w:hAnsi="宋体" w:eastAsia="宋体" w:cs="宋体"/>
          <w:color w:val="auto"/>
          <w:sz w:val="21"/>
          <w:szCs w:val="21"/>
          <w:highlight w:val="none"/>
        </w:rPr>
      </w:pPr>
      <w:r>
        <w:rPr>
          <w:rFonts w:ascii="宋体" w:hAnsi="宋体" w:eastAsia="宋体" w:cs="宋体"/>
          <w:color w:val="auto"/>
          <w:spacing w:val="-24"/>
          <w:w w:val="96"/>
          <w:sz w:val="21"/>
          <w:szCs w:val="21"/>
          <w:highlight w:val="none"/>
        </w:rPr>
        <w:t>开户银行：</w:t>
      </w:r>
      <w:r>
        <w:rPr>
          <w:rFonts w:ascii="宋体" w:hAnsi="宋体" w:eastAsia="宋体" w:cs="宋体"/>
          <w:color w:val="auto"/>
          <w:spacing w:val="53"/>
          <w:sz w:val="21"/>
          <w:szCs w:val="21"/>
          <w:highlight w:val="none"/>
        </w:rPr>
        <w:t xml:space="preserve"> </w:t>
      </w:r>
      <w:r>
        <w:rPr>
          <w:rFonts w:ascii="宋体" w:hAnsi="宋体" w:eastAsia="宋体" w:cs="宋体"/>
          <w:color w:val="auto"/>
          <w:sz w:val="21"/>
          <w:szCs w:val="21"/>
          <w:highlight w:val="none"/>
          <w:u w:val="single" w:color="auto"/>
        </w:rPr>
        <w:t xml:space="preserve">             </w:t>
      </w:r>
    </w:p>
    <w:p w14:paraId="3EBFEEEA">
      <w:pPr>
        <w:spacing w:before="170" w:line="186" w:lineRule="auto"/>
        <w:ind w:left="459"/>
        <w:rPr>
          <w:rFonts w:ascii="宋体" w:hAnsi="宋体" w:eastAsia="宋体" w:cs="宋体"/>
          <w:color w:val="auto"/>
          <w:sz w:val="21"/>
          <w:szCs w:val="21"/>
          <w:highlight w:val="none"/>
        </w:rPr>
      </w:pPr>
      <w:r>
        <w:rPr>
          <w:rFonts w:ascii="宋体" w:hAnsi="宋体" w:eastAsia="宋体" w:cs="宋体"/>
          <w:color w:val="auto"/>
          <w:spacing w:val="-31"/>
          <w:sz w:val="21"/>
          <w:szCs w:val="21"/>
          <w:highlight w:val="none"/>
        </w:rPr>
        <w:t>账</w:t>
      </w:r>
      <w:r>
        <w:rPr>
          <w:rFonts w:ascii="宋体" w:hAnsi="宋体" w:eastAsia="宋体" w:cs="宋体"/>
          <w:color w:val="auto"/>
          <w:spacing w:val="3"/>
          <w:sz w:val="21"/>
          <w:szCs w:val="21"/>
          <w:highlight w:val="none"/>
        </w:rPr>
        <w:t xml:space="preserve">    </w:t>
      </w:r>
      <w:r>
        <w:rPr>
          <w:rFonts w:ascii="宋体" w:hAnsi="宋体" w:eastAsia="宋体" w:cs="宋体"/>
          <w:color w:val="auto"/>
          <w:spacing w:val="-31"/>
          <w:sz w:val="21"/>
          <w:szCs w:val="21"/>
          <w:highlight w:val="none"/>
        </w:rPr>
        <w:t xml:space="preserve">号： </w:t>
      </w:r>
      <w:r>
        <w:rPr>
          <w:rFonts w:ascii="宋体" w:hAnsi="宋体" w:eastAsia="宋体" w:cs="宋体"/>
          <w:color w:val="auto"/>
          <w:sz w:val="21"/>
          <w:szCs w:val="21"/>
          <w:highlight w:val="none"/>
          <w:u w:val="single" w:color="auto"/>
        </w:rPr>
        <w:t xml:space="preserve">             </w:t>
      </w:r>
    </w:p>
    <w:p w14:paraId="06293DEF">
      <w:pPr>
        <w:pStyle w:val="3"/>
        <w:spacing w:line="14" w:lineRule="auto"/>
        <w:rPr>
          <w:color w:val="auto"/>
          <w:sz w:val="2"/>
          <w:highlight w:val="none"/>
        </w:rPr>
      </w:pPr>
      <w:r>
        <w:rPr>
          <w:color w:val="auto"/>
          <w:sz w:val="2"/>
          <w:szCs w:val="2"/>
          <w:highlight w:val="none"/>
        </w:rPr>
        <w:br w:type="column"/>
      </w:r>
    </w:p>
    <w:p w14:paraId="78AE7C6F">
      <w:pPr>
        <w:spacing w:before="40" w:line="223" w:lineRule="auto"/>
        <w:ind w:left="2"/>
        <w:rPr>
          <w:rFonts w:ascii="宋体" w:hAnsi="宋体" w:eastAsia="宋体" w:cs="宋体"/>
          <w:color w:val="auto"/>
          <w:sz w:val="21"/>
          <w:szCs w:val="21"/>
          <w:highlight w:val="none"/>
        </w:rPr>
      </w:pPr>
      <w:r>
        <w:rPr>
          <w:rFonts w:ascii="宋体" w:hAnsi="宋体" w:eastAsia="宋体" w:cs="宋体"/>
          <w:color w:val="auto"/>
          <w:spacing w:val="18"/>
          <w:sz w:val="21"/>
          <w:szCs w:val="21"/>
          <w:highlight w:val="none"/>
        </w:rPr>
        <w:t>联系人：</w:t>
      </w:r>
      <w:r>
        <w:rPr>
          <w:rFonts w:ascii="宋体" w:hAnsi="宋体" w:eastAsia="宋体" w:cs="宋体"/>
          <w:color w:val="auto"/>
          <w:spacing w:val="-34"/>
          <w:sz w:val="21"/>
          <w:szCs w:val="21"/>
          <w:highlight w:val="none"/>
        </w:rPr>
        <w:t xml:space="preserve"> </w:t>
      </w:r>
      <w:r>
        <w:rPr>
          <w:rFonts w:hint="eastAsia" w:ascii="仿宋_GB2312" w:eastAsia="仿宋_GB2312"/>
          <w:color w:val="auto"/>
          <w:sz w:val="24"/>
          <w:szCs w:val="24"/>
          <w:highlight w:val="none"/>
          <w:u w:val="single"/>
          <w:lang w:eastAsia="zh-CN"/>
        </w:rPr>
        <w:t>崔大勇、刘佳麟</w:t>
      </w:r>
      <w:r>
        <w:rPr>
          <w:rFonts w:ascii="宋体" w:hAnsi="宋体" w:eastAsia="宋体" w:cs="宋体"/>
          <w:color w:val="auto"/>
          <w:sz w:val="21"/>
          <w:szCs w:val="21"/>
          <w:highlight w:val="none"/>
          <w:u w:val="none" w:color="auto"/>
        </w:rPr>
        <w:t xml:space="preserve">               </w:t>
      </w:r>
    </w:p>
    <w:p w14:paraId="3FF72E7A">
      <w:pPr>
        <w:spacing w:before="169" w:line="220" w:lineRule="auto"/>
        <w:rPr>
          <w:rFonts w:hint="eastAsia" w:ascii="仿宋_GB2312" w:eastAsia="仿宋_GB2312"/>
          <w:color w:val="auto"/>
          <w:sz w:val="24"/>
          <w:szCs w:val="24"/>
          <w:highlight w:val="none"/>
          <w:u w:val="single"/>
          <w:lang w:eastAsia="zh-CN"/>
        </w:rPr>
      </w:pPr>
      <w:r>
        <w:rPr>
          <w:rFonts w:ascii="宋体" w:hAnsi="宋体" w:eastAsia="宋体" w:cs="宋体"/>
          <w:color w:val="auto"/>
          <w:spacing w:val="-30"/>
          <w:w w:val="96"/>
          <w:sz w:val="21"/>
          <w:szCs w:val="21"/>
          <w:highlight w:val="none"/>
        </w:rPr>
        <w:t>电</w:t>
      </w:r>
      <w:r>
        <w:rPr>
          <w:rFonts w:ascii="宋体" w:hAnsi="宋体" w:eastAsia="宋体" w:cs="宋体"/>
          <w:color w:val="auto"/>
          <w:sz w:val="21"/>
          <w:szCs w:val="21"/>
          <w:highlight w:val="none"/>
        </w:rPr>
        <w:t xml:space="preserve">    </w:t>
      </w:r>
      <w:r>
        <w:rPr>
          <w:rFonts w:ascii="宋体" w:hAnsi="宋体" w:eastAsia="宋体" w:cs="宋体"/>
          <w:color w:val="auto"/>
          <w:spacing w:val="-30"/>
          <w:w w:val="96"/>
          <w:sz w:val="21"/>
          <w:szCs w:val="21"/>
          <w:highlight w:val="none"/>
        </w:rPr>
        <w:t>话：</w:t>
      </w:r>
      <w:r>
        <w:rPr>
          <w:rFonts w:hint="eastAsia" w:ascii="仿宋_GB2312" w:eastAsia="仿宋_GB2312"/>
          <w:color w:val="auto"/>
          <w:sz w:val="24"/>
          <w:szCs w:val="24"/>
          <w:highlight w:val="none"/>
          <w:u w:val="single"/>
          <w:lang w:val="en-US" w:eastAsia="zh-CN"/>
        </w:rPr>
        <w:t>024-22503596、22503578</w:t>
      </w:r>
    </w:p>
    <w:p w14:paraId="698470DF">
      <w:pPr>
        <w:spacing w:before="167" w:line="221" w:lineRule="auto"/>
        <w:ind w:left="26"/>
        <w:rPr>
          <w:rFonts w:ascii="宋体" w:hAnsi="宋体" w:eastAsia="宋体" w:cs="宋体"/>
          <w:color w:val="auto"/>
          <w:sz w:val="21"/>
          <w:szCs w:val="21"/>
          <w:highlight w:val="none"/>
        </w:rPr>
      </w:pPr>
      <w:r>
        <w:rPr>
          <w:rFonts w:ascii="宋体" w:hAnsi="宋体" w:eastAsia="宋体" w:cs="宋体"/>
          <w:color w:val="auto"/>
          <w:spacing w:val="-23"/>
          <w:sz w:val="21"/>
          <w:szCs w:val="21"/>
          <w:highlight w:val="none"/>
        </w:rPr>
        <w:t>电子邮件：</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u w:val="single" w:color="auto"/>
        </w:rPr>
        <w:t xml:space="preserve"> </w:t>
      </w:r>
      <w:r>
        <w:rPr>
          <w:rFonts w:hint="eastAsia" w:ascii="宋体" w:hAnsi="宋体" w:eastAsia="宋体" w:cs="宋体"/>
          <w:color w:val="auto"/>
          <w:sz w:val="21"/>
          <w:szCs w:val="21"/>
          <w:highlight w:val="none"/>
          <w:u w:val="single" w:color="auto"/>
          <w:lang w:val="en-US" w:eastAsia="zh-CN"/>
        </w:rPr>
        <w:t>syzbsc@163.com</w:t>
      </w:r>
      <w:r>
        <w:rPr>
          <w:rFonts w:ascii="宋体" w:hAnsi="宋体" w:eastAsia="宋体" w:cs="宋体"/>
          <w:color w:val="auto"/>
          <w:sz w:val="21"/>
          <w:szCs w:val="21"/>
          <w:highlight w:val="none"/>
          <w:u w:val="single" w:color="auto"/>
        </w:rPr>
        <w:t xml:space="preserve"> </w:t>
      </w:r>
      <w:r>
        <w:rPr>
          <w:rFonts w:ascii="宋体" w:hAnsi="宋体" w:eastAsia="宋体" w:cs="宋体"/>
          <w:color w:val="auto"/>
          <w:sz w:val="21"/>
          <w:szCs w:val="21"/>
          <w:highlight w:val="none"/>
          <w:u w:val="none" w:color="auto"/>
        </w:rPr>
        <w:t xml:space="preserve">          </w:t>
      </w:r>
      <w:r>
        <w:rPr>
          <w:rFonts w:ascii="宋体" w:hAnsi="宋体" w:eastAsia="宋体" w:cs="宋体"/>
          <w:color w:val="auto"/>
          <w:sz w:val="21"/>
          <w:szCs w:val="21"/>
          <w:highlight w:val="none"/>
          <w:u w:val="single" w:color="auto"/>
        </w:rPr>
        <w:t xml:space="preserve">  </w:t>
      </w:r>
    </w:p>
    <w:p w14:paraId="7D21206D">
      <w:pPr>
        <w:spacing w:before="171" w:line="367" w:lineRule="auto"/>
        <w:ind w:left="70"/>
        <w:rPr>
          <w:rFonts w:ascii="宋体" w:hAnsi="宋体" w:eastAsia="宋体" w:cs="宋体"/>
          <w:color w:val="auto"/>
          <w:sz w:val="21"/>
          <w:szCs w:val="21"/>
          <w:highlight w:val="none"/>
        </w:rPr>
      </w:pPr>
      <w:r>
        <w:rPr>
          <w:rFonts w:ascii="宋体" w:hAnsi="宋体" w:eastAsia="宋体" w:cs="宋体"/>
          <w:color w:val="auto"/>
          <w:spacing w:val="-35"/>
          <w:sz w:val="21"/>
          <w:szCs w:val="21"/>
          <w:highlight w:val="none"/>
        </w:rPr>
        <w:t>网</w:t>
      </w:r>
      <w:r>
        <w:rPr>
          <w:rFonts w:ascii="宋体" w:hAnsi="宋体" w:eastAsia="宋体" w:cs="宋体"/>
          <w:color w:val="auto"/>
          <w:sz w:val="21"/>
          <w:szCs w:val="21"/>
          <w:highlight w:val="none"/>
        </w:rPr>
        <w:t xml:space="preserve">    </w:t>
      </w:r>
      <w:r>
        <w:rPr>
          <w:rFonts w:ascii="宋体" w:hAnsi="宋体" w:eastAsia="宋体" w:cs="宋体"/>
          <w:color w:val="auto"/>
          <w:spacing w:val="-35"/>
          <w:sz w:val="21"/>
          <w:szCs w:val="21"/>
          <w:highlight w:val="none"/>
        </w:rPr>
        <w:t>址：</w:t>
      </w:r>
      <w:r>
        <w:rPr>
          <w:rFonts w:ascii="宋体" w:hAnsi="宋体" w:eastAsia="宋体" w:cs="宋体"/>
          <w:color w:val="auto"/>
          <w:spacing w:val="-29"/>
          <w:sz w:val="21"/>
          <w:szCs w:val="21"/>
          <w:highlight w:val="none"/>
        </w:rPr>
        <w:t xml:space="preserve"> </w:t>
      </w:r>
      <w:r>
        <w:rPr>
          <w:rFonts w:ascii="宋体" w:hAnsi="宋体" w:eastAsia="宋体" w:cs="宋体"/>
          <w:color w:val="auto"/>
          <w:sz w:val="21"/>
          <w:szCs w:val="21"/>
          <w:highlight w:val="none"/>
          <w:u w:val="single" w:color="auto"/>
        </w:rPr>
        <w:t xml:space="preserve">              </w:t>
      </w:r>
    </w:p>
    <w:p w14:paraId="16CD1698">
      <w:pPr>
        <w:spacing w:before="1" w:line="221" w:lineRule="auto"/>
        <w:ind w:left="55"/>
        <w:rPr>
          <w:rFonts w:ascii="宋体" w:hAnsi="宋体" w:eastAsia="宋体" w:cs="宋体"/>
          <w:color w:val="auto"/>
          <w:sz w:val="21"/>
          <w:szCs w:val="21"/>
          <w:highlight w:val="none"/>
        </w:rPr>
      </w:pPr>
      <w:r>
        <w:rPr>
          <w:rFonts w:ascii="宋体" w:hAnsi="宋体" w:eastAsia="宋体" w:cs="宋体"/>
          <w:color w:val="auto"/>
          <w:spacing w:val="-18"/>
          <w:sz w:val="21"/>
          <w:szCs w:val="21"/>
          <w:highlight w:val="none"/>
        </w:rPr>
        <w:t>开户银行：</w:t>
      </w:r>
      <w:r>
        <w:rPr>
          <w:rFonts w:ascii="宋体" w:hAnsi="宋体" w:eastAsia="宋体" w:cs="宋体"/>
          <w:color w:val="auto"/>
          <w:spacing w:val="-29"/>
          <w:sz w:val="21"/>
          <w:szCs w:val="21"/>
          <w:highlight w:val="none"/>
        </w:rPr>
        <w:t xml:space="preserve"> </w:t>
      </w:r>
      <w:r>
        <w:rPr>
          <w:rFonts w:ascii="宋体" w:hAnsi="宋体" w:eastAsia="宋体" w:cs="宋体"/>
          <w:color w:val="auto"/>
          <w:sz w:val="21"/>
          <w:szCs w:val="21"/>
          <w:highlight w:val="none"/>
          <w:u w:val="single" w:color="auto"/>
        </w:rPr>
        <w:t xml:space="preserve">              </w:t>
      </w:r>
    </w:p>
    <w:p w14:paraId="03FC8BAF">
      <w:pPr>
        <w:spacing w:before="170" w:line="186" w:lineRule="auto"/>
        <w:ind w:left="57"/>
        <w:rPr>
          <w:rFonts w:ascii="宋体" w:hAnsi="宋体" w:eastAsia="宋体" w:cs="宋体"/>
          <w:color w:val="auto"/>
          <w:sz w:val="21"/>
          <w:szCs w:val="21"/>
          <w:highlight w:val="none"/>
        </w:rPr>
      </w:pPr>
      <w:r>
        <w:rPr>
          <w:rFonts w:ascii="宋体" w:hAnsi="宋体" w:eastAsia="宋体" w:cs="宋体"/>
          <w:color w:val="auto"/>
          <w:spacing w:val="-31"/>
          <w:sz w:val="21"/>
          <w:szCs w:val="21"/>
          <w:highlight w:val="none"/>
        </w:rPr>
        <w:t>账</w:t>
      </w:r>
      <w:r>
        <w:rPr>
          <w:rFonts w:ascii="宋体" w:hAnsi="宋体" w:eastAsia="宋体" w:cs="宋体"/>
          <w:color w:val="auto"/>
          <w:spacing w:val="1"/>
          <w:sz w:val="21"/>
          <w:szCs w:val="21"/>
          <w:highlight w:val="none"/>
        </w:rPr>
        <w:t xml:space="preserve">    </w:t>
      </w:r>
      <w:r>
        <w:rPr>
          <w:rFonts w:ascii="宋体" w:hAnsi="宋体" w:eastAsia="宋体" w:cs="宋体"/>
          <w:color w:val="auto"/>
          <w:spacing w:val="-31"/>
          <w:sz w:val="21"/>
          <w:szCs w:val="21"/>
          <w:highlight w:val="none"/>
        </w:rPr>
        <w:t>号：</w:t>
      </w:r>
      <w:r>
        <w:rPr>
          <w:rFonts w:ascii="宋体" w:hAnsi="宋体" w:eastAsia="宋体" w:cs="宋体"/>
          <w:color w:val="auto"/>
          <w:spacing w:val="-32"/>
          <w:sz w:val="21"/>
          <w:szCs w:val="21"/>
          <w:highlight w:val="none"/>
        </w:rPr>
        <w:t xml:space="preserve"> </w:t>
      </w:r>
      <w:r>
        <w:rPr>
          <w:rFonts w:ascii="宋体" w:hAnsi="宋体" w:eastAsia="宋体" w:cs="宋体"/>
          <w:color w:val="auto"/>
          <w:sz w:val="21"/>
          <w:szCs w:val="21"/>
          <w:highlight w:val="none"/>
          <w:u w:val="single" w:color="auto"/>
        </w:rPr>
        <w:t xml:space="preserve">              </w:t>
      </w:r>
    </w:p>
    <w:p w14:paraId="2574FF0A">
      <w:pPr>
        <w:spacing w:line="186" w:lineRule="auto"/>
        <w:rPr>
          <w:rFonts w:ascii="宋体" w:hAnsi="宋体" w:eastAsia="宋体" w:cs="宋体"/>
          <w:color w:val="auto"/>
          <w:sz w:val="21"/>
          <w:szCs w:val="21"/>
          <w:highlight w:val="none"/>
        </w:rPr>
        <w:sectPr>
          <w:type w:val="continuous"/>
          <w:pgSz w:w="11905" w:h="16839"/>
          <w:pgMar w:top="1431" w:right="1785" w:bottom="1036" w:left="1785" w:header="0" w:footer="847" w:gutter="0"/>
          <w:pgNumType w:fmt="decimal"/>
          <w:cols w:equalWidth="0" w:num="2">
            <w:col w:w="4455" w:space="100"/>
            <w:col w:w="3779"/>
          </w:cols>
        </w:sectPr>
      </w:pPr>
    </w:p>
    <w:p w14:paraId="57C01015">
      <w:pPr>
        <w:pStyle w:val="3"/>
        <w:spacing w:line="278" w:lineRule="auto"/>
        <w:rPr>
          <w:color w:val="auto"/>
          <w:highlight w:val="none"/>
        </w:rPr>
      </w:pPr>
    </w:p>
    <w:p w14:paraId="699A24D6">
      <w:pPr>
        <w:pStyle w:val="3"/>
        <w:spacing w:line="279" w:lineRule="auto"/>
        <w:rPr>
          <w:color w:val="auto"/>
          <w:highlight w:val="none"/>
        </w:rPr>
      </w:pPr>
    </w:p>
    <w:p w14:paraId="320ECC75">
      <w:pPr>
        <w:tabs>
          <w:tab w:val="left" w:pos="6329"/>
        </w:tabs>
        <w:spacing w:before="68" w:line="186" w:lineRule="auto"/>
        <w:ind w:left="5277"/>
        <w:rPr>
          <w:rFonts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color="auto"/>
          <w:lang w:val="en-US" w:eastAsia="zh-CN"/>
        </w:rPr>
        <w:t>2026</w:t>
      </w:r>
      <w:r>
        <w:rPr>
          <w:rFonts w:ascii="宋体" w:hAnsi="宋体" w:eastAsia="宋体" w:cs="宋体"/>
          <w:color w:val="auto"/>
          <w:spacing w:val="-94"/>
          <w:sz w:val="21"/>
          <w:szCs w:val="21"/>
          <w:highlight w:val="none"/>
        </w:rPr>
        <w:t xml:space="preserve"> </w:t>
      </w:r>
      <w:r>
        <w:rPr>
          <w:rFonts w:ascii="宋体" w:hAnsi="宋体" w:eastAsia="宋体" w:cs="宋体"/>
          <w:color w:val="auto"/>
          <w:spacing w:val="-22"/>
          <w:sz w:val="21"/>
          <w:szCs w:val="21"/>
          <w:highlight w:val="none"/>
        </w:rPr>
        <w:t>年</w:t>
      </w:r>
      <w:r>
        <w:rPr>
          <w:rFonts w:ascii="宋体" w:hAnsi="宋体" w:eastAsia="宋体" w:cs="宋体"/>
          <w:color w:val="auto"/>
          <w:spacing w:val="20"/>
          <w:sz w:val="21"/>
          <w:szCs w:val="21"/>
          <w:highlight w:val="none"/>
          <w:u w:val="single" w:color="auto"/>
        </w:rPr>
        <w:t xml:space="preserve"> </w:t>
      </w:r>
      <w:r>
        <w:rPr>
          <w:rFonts w:hint="eastAsia" w:ascii="宋体" w:hAnsi="宋体" w:eastAsia="宋体" w:cs="宋体"/>
          <w:color w:val="auto"/>
          <w:spacing w:val="20"/>
          <w:sz w:val="21"/>
          <w:szCs w:val="21"/>
          <w:highlight w:val="none"/>
          <w:u w:val="single" w:color="auto"/>
          <w:lang w:val="en-US" w:eastAsia="zh-CN"/>
        </w:rPr>
        <w:t>3</w:t>
      </w:r>
      <w:r>
        <w:rPr>
          <w:rFonts w:ascii="宋体" w:hAnsi="宋体" w:eastAsia="宋体" w:cs="宋体"/>
          <w:color w:val="auto"/>
          <w:spacing w:val="-22"/>
          <w:sz w:val="21"/>
          <w:szCs w:val="21"/>
          <w:highlight w:val="none"/>
        </w:rPr>
        <w:t>月</w:t>
      </w:r>
      <w:r>
        <w:rPr>
          <w:rFonts w:hint="eastAsia" w:ascii="宋体" w:hAnsi="宋体" w:eastAsia="宋体" w:cs="宋体"/>
          <w:color w:val="auto"/>
          <w:spacing w:val="17"/>
          <w:sz w:val="21"/>
          <w:szCs w:val="21"/>
          <w:highlight w:val="none"/>
          <w:u w:val="single" w:color="auto"/>
          <w:lang w:val="en-US" w:eastAsia="zh-CN"/>
        </w:rPr>
        <w:t>25</w:t>
      </w:r>
      <w:r>
        <w:rPr>
          <w:rFonts w:ascii="宋体" w:hAnsi="宋体" w:eastAsia="宋体" w:cs="宋体"/>
          <w:color w:val="auto"/>
          <w:spacing w:val="-22"/>
          <w:sz w:val="21"/>
          <w:szCs w:val="21"/>
          <w:highlight w:val="none"/>
        </w:rPr>
        <w:t>日</w:t>
      </w:r>
    </w:p>
    <w:p w14:paraId="54EEAE60">
      <w:pPr>
        <w:spacing w:line="186" w:lineRule="auto"/>
        <w:rPr>
          <w:rFonts w:ascii="宋体" w:hAnsi="宋体" w:eastAsia="宋体" w:cs="宋体"/>
          <w:color w:val="auto"/>
          <w:sz w:val="21"/>
          <w:szCs w:val="21"/>
          <w:highlight w:val="none"/>
        </w:rPr>
        <w:sectPr>
          <w:type w:val="continuous"/>
          <w:pgSz w:w="11905" w:h="16839"/>
          <w:pgMar w:top="1431" w:right="1785" w:bottom="1036" w:left="1785" w:header="0" w:footer="847" w:gutter="0"/>
          <w:pgNumType w:fmt="decimal"/>
          <w:cols w:equalWidth="0" w:num="1">
            <w:col w:w="8333"/>
          </w:cols>
        </w:sectPr>
      </w:pPr>
    </w:p>
    <w:p w14:paraId="3EACE2B8">
      <w:pPr>
        <w:spacing w:line="186" w:lineRule="auto"/>
        <w:rPr>
          <w:rFonts w:ascii="宋体" w:hAnsi="宋体" w:eastAsia="宋体" w:cs="宋体"/>
          <w:color w:val="auto"/>
          <w:sz w:val="21"/>
          <w:szCs w:val="21"/>
          <w:highlight w:val="none"/>
        </w:rPr>
        <w:sectPr>
          <w:footerReference r:id="rId15" w:type="default"/>
          <w:type w:val="continuous"/>
          <w:pgSz w:w="11905" w:h="16839"/>
          <w:pgMar w:top="1431" w:right="1785" w:bottom="1033" w:left="1785" w:header="0" w:footer="847" w:gutter="0"/>
          <w:pgNumType w:fmt="decimal"/>
          <w:cols w:equalWidth="0" w:num="1">
            <w:col w:w="8333"/>
          </w:cols>
        </w:sectPr>
      </w:pPr>
      <w:bookmarkStart w:id="11" w:name="bookmark24"/>
      <w:bookmarkEnd w:id="11"/>
      <w:bookmarkStart w:id="12" w:name="bookmark26"/>
      <w:bookmarkEnd w:id="12"/>
      <w:bookmarkStart w:id="13" w:name="bookmark29"/>
      <w:bookmarkEnd w:id="13"/>
      <w:bookmarkStart w:id="14" w:name="bookmark28"/>
      <w:bookmarkEnd w:id="14"/>
      <w:bookmarkStart w:id="15" w:name="bookmark27"/>
      <w:bookmarkEnd w:id="15"/>
      <w:bookmarkStart w:id="16" w:name="bookmark25"/>
      <w:bookmarkEnd w:id="16"/>
    </w:p>
    <w:p w14:paraId="79263BC6">
      <w:pPr>
        <w:pStyle w:val="3"/>
        <w:spacing w:line="244" w:lineRule="auto"/>
        <w:rPr>
          <w:color w:val="auto"/>
          <w:highlight w:val="none"/>
        </w:rPr>
      </w:pPr>
    </w:p>
    <w:p w14:paraId="05B558BE">
      <w:pPr>
        <w:pStyle w:val="3"/>
        <w:spacing w:line="244" w:lineRule="auto"/>
        <w:rPr>
          <w:color w:val="auto"/>
          <w:highlight w:val="none"/>
        </w:rPr>
      </w:pPr>
    </w:p>
    <w:p w14:paraId="54C19D22">
      <w:pPr>
        <w:pStyle w:val="3"/>
        <w:spacing w:line="244" w:lineRule="auto"/>
        <w:rPr>
          <w:color w:val="auto"/>
          <w:highlight w:val="none"/>
        </w:rPr>
      </w:pPr>
    </w:p>
    <w:p w14:paraId="564D0DD3">
      <w:pPr>
        <w:pStyle w:val="3"/>
        <w:spacing w:line="244" w:lineRule="auto"/>
        <w:rPr>
          <w:color w:val="auto"/>
          <w:highlight w:val="none"/>
        </w:rPr>
      </w:pPr>
    </w:p>
    <w:p w14:paraId="00E7B1C5">
      <w:pPr>
        <w:pStyle w:val="3"/>
        <w:spacing w:line="244" w:lineRule="auto"/>
        <w:rPr>
          <w:color w:val="auto"/>
          <w:highlight w:val="none"/>
        </w:rPr>
      </w:pPr>
    </w:p>
    <w:p w14:paraId="33CFB705">
      <w:pPr>
        <w:pStyle w:val="3"/>
        <w:spacing w:line="244" w:lineRule="auto"/>
        <w:rPr>
          <w:color w:val="auto"/>
          <w:highlight w:val="none"/>
        </w:rPr>
      </w:pPr>
    </w:p>
    <w:p w14:paraId="16052FB4">
      <w:pPr>
        <w:pStyle w:val="3"/>
        <w:spacing w:line="244" w:lineRule="auto"/>
        <w:rPr>
          <w:color w:val="auto"/>
          <w:highlight w:val="none"/>
        </w:rPr>
      </w:pPr>
    </w:p>
    <w:p w14:paraId="0AC58AA8">
      <w:pPr>
        <w:pStyle w:val="3"/>
        <w:spacing w:line="244" w:lineRule="auto"/>
        <w:rPr>
          <w:color w:val="auto"/>
          <w:highlight w:val="none"/>
        </w:rPr>
      </w:pPr>
    </w:p>
    <w:p w14:paraId="1D2DB0CB">
      <w:pPr>
        <w:pStyle w:val="3"/>
        <w:spacing w:line="244" w:lineRule="auto"/>
        <w:rPr>
          <w:color w:val="auto"/>
          <w:highlight w:val="none"/>
        </w:rPr>
      </w:pPr>
    </w:p>
    <w:p w14:paraId="5B58C673">
      <w:pPr>
        <w:pStyle w:val="3"/>
        <w:spacing w:line="244" w:lineRule="auto"/>
        <w:rPr>
          <w:color w:val="auto"/>
          <w:highlight w:val="none"/>
        </w:rPr>
      </w:pPr>
    </w:p>
    <w:p w14:paraId="41D4CE71">
      <w:pPr>
        <w:pStyle w:val="3"/>
        <w:spacing w:line="244" w:lineRule="auto"/>
        <w:rPr>
          <w:color w:val="auto"/>
          <w:highlight w:val="none"/>
        </w:rPr>
      </w:pPr>
    </w:p>
    <w:p w14:paraId="500ED8C8">
      <w:pPr>
        <w:pStyle w:val="3"/>
        <w:spacing w:line="244" w:lineRule="auto"/>
        <w:rPr>
          <w:color w:val="auto"/>
          <w:highlight w:val="none"/>
        </w:rPr>
      </w:pPr>
    </w:p>
    <w:p w14:paraId="6EDBE957">
      <w:pPr>
        <w:pStyle w:val="3"/>
        <w:spacing w:line="245" w:lineRule="auto"/>
        <w:rPr>
          <w:color w:val="auto"/>
          <w:highlight w:val="none"/>
        </w:rPr>
      </w:pPr>
    </w:p>
    <w:p w14:paraId="42B83D32">
      <w:pPr>
        <w:pStyle w:val="3"/>
        <w:spacing w:line="245" w:lineRule="auto"/>
        <w:rPr>
          <w:color w:val="auto"/>
          <w:highlight w:val="none"/>
        </w:rPr>
      </w:pPr>
    </w:p>
    <w:p w14:paraId="64E2C094">
      <w:pPr>
        <w:pStyle w:val="3"/>
        <w:spacing w:line="245" w:lineRule="auto"/>
        <w:rPr>
          <w:color w:val="auto"/>
          <w:highlight w:val="none"/>
        </w:rPr>
      </w:pPr>
    </w:p>
    <w:p w14:paraId="14E95F88">
      <w:pPr>
        <w:spacing w:before="104" w:line="219" w:lineRule="auto"/>
        <w:ind w:left="2740"/>
        <w:outlineLvl w:val="0"/>
        <w:rPr>
          <w:rFonts w:ascii="黑体" w:hAnsi="黑体" w:eastAsia="黑体" w:cs="黑体"/>
          <w:color w:val="auto"/>
          <w:sz w:val="32"/>
          <w:szCs w:val="32"/>
          <w:highlight w:val="none"/>
        </w:rPr>
      </w:pPr>
      <w:bookmarkStart w:id="17" w:name="bookmark43"/>
      <w:bookmarkEnd w:id="17"/>
      <w:bookmarkStart w:id="18" w:name="bookmark42"/>
      <w:bookmarkEnd w:id="18"/>
      <w:bookmarkStart w:id="19" w:name="bookmark44"/>
      <w:bookmarkEnd w:id="19"/>
      <w:bookmarkStart w:id="20" w:name="bookmark41"/>
      <w:bookmarkEnd w:id="20"/>
      <w:r>
        <w:rPr>
          <w:rFonts w:ascii="黑体" w:hAnsi="黑体" w:eastAsia="黑体" w:cs="黑体"/>
          <w:color w:val="auto"/>
          <w:spacing w:val="-1"/>
          <w:sz w:val="32"/>
          <w:szCs w:val="32"/>
          <w:highlight w:val="none"/>
        </w:rPr>
        <w:t>第二章  投标人须知</w:t>
      </w:r>
    </w:p>
    <w:p w14:paraId="5D2ACCC7">
      <w:pPr>
        <w:spacing w:line="219" w:lineRule="auto"/>
        <w:rPr>
          <w:rFonts w:ascii="黑体" w:hAnsi="黑体" w:eastAsia="黑体" w:cs="黑体"/>
          <w:color w:val="auto"/>
          <w:sz w:val="32"/>
          <w:szCs w:val="32"/>
          <w:highlight w:val="none"/>
        </w:rPr>
        <w:sectPr>
          <w:footerReference r:id="rId16" w:type="default"/>
          <w:pgSz w:w="11905" w:h="16839"/>
          <w:pgMar w:top="1431" w:right="1785" w:bottom="1036" w:left="1785" w:header="0" w:footer="847" w:gutter="0"/>
          <w:pgNumType w:fmt="decimal"/>
          <w:cols w:space="720" w:num="1"/>
        </w:sectPr>
      </w:pPr>
    </w:p>
    <w:p w14:paraId="573E99A7">
      <w:pPr>
        <w:spacing w:before="64" w:line="219" w:lineRule="auto"/>
        <w:ind w:left="2783"/>
        <w:rPr>
          <w:rFonts w:ascii="黑体" w:hAnsi="黑体" w:eastAsia="黑体" w:cs="黑体"/>
          <w:color w:val="auto"/>
          <w:sz w:val="32"/>
          <w:szCs w:val="32"/>
          <w:highlight w:val="none"/>
        </w:rPr>
      </w:pPr>
      <w:bookmarkStart w:id="21" w:name="bookmark45"/>
      <w:bookmarkEnd w:id="21"/>
      <w:bookmarkStart w:id="22" w:name="bookmark48"/>
      <w:bookmarkEnd w:id="22"/>
      <w:bookmarkStart w:id="23" w:name="bookmark46"/>
      <w:bookmarkEnd w:id="23"/>
      <w:bookmarkStart w:id="24" w:name="bookmark47"/>
      <w:bookmarkEnd w:id="24"/>
      <w:bookmarkStart w:id="25" w:name="bookmark49"/>
      <w:bookmarkEnd w:id="25"/>
      <w:r>
        <w:rPr>
          <w:rFonts w:ascii="黑体" w:hAnsi="黑体" w:eastAsia="黑体" w:cs="黑体"/>
          <w:color w:val="auto"/>
          <w:spacing w:val="-1"/>
          <w:sz w:val="32"/>
          <w:szCs w:val="32"/>
          <w:highlight w:val="none"/>
        </w:rPr>
        <w:t>第二章  投标人须知</w:t>
      </w:r>
    </w:p>
    <w:p w14:paraId="52475E98">
      <w:pPr>
        <w:spacing w:before="176" w:line="219" w:lineRule="auto"/>
        <w:ind w:left="3096"/>
        <w:outlineLvl w:val="1"/>
        <w:rPr>
          <w:rFonts w:ascii="黑体" w:hAnsi="黑体" w:eastAsia="黑体" w:cs="黑体"/>
          <w:color w:val="auto"/>
          <w:sz w:val="27"/>
          <w:szCs w:val="27"/>
          <w:highlight w:val="none"/>
        </w:rPr>
      </w:pPr>
      <w:r>
        <w:rPr>
          <w:rFonts w:ascii="黑体" w:hAnsi="黑体" w:eastAsia="黑体" w:cs="黑体"/>
          <w:color w:val="auto"/>
          <w:spacing w:val="8"/>
          <w:sz w:val="27"/>
          <w:szCs w:val="27"/>
          <w:highlight w:val="none"/>
        </w:rPr>
        <w:t>投标人须知前附表</w:t>
      </w:r>
    </w:p>
    <w:tbl>
      <w:tblPr>
        <w:tblStyle w:val="10"/>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2AAD5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854" w:type="dxa"/>
            <w:vAlign w:val="top"/>
          </w:tcPr>
          <w:p w14:paraId="5496C049">
            <w:pPr>
              <w:pStyle w:val="11"/>
              <w:spacing w:before="212" w:line="221" w:lineRule="auto"/>
              <w:ind w:left="115"/>
              <w:rPr>
                <w:color w:val="auto"/>
                <w:highlight w:val="none"/>
              </w:rPr>
            </w:pPr>
            <w:r>
              <w:rPr>
                <w:color w:val="auto"/>
                <w:spacing w:val="-2"/>
                <w:highlight w:val="none"/>
                <w14:textOutline w14:w="3831" w14:cap="flat" w14:cmpd="sng">
                  <w14:solidFill>
                    <w14:srgbClr w14:val="000000"/>
                  </w14:solidFill>
                  <w14:prstDash w14:val="solid"/>
                  <w14:miter w14:val="0"/>
                </w14:textOutline>
              </w:rPr>
              <w:t>条款号</w:t>
            </w:r>
          </w:p>
        </w:tc>
        <w:tc>
          <w:tcPr>
            <w:tcW w:w="2121" w:type="dxa"/>
            <w:vAlign w:val="top"/>
          </w:tcPr>
          <w:p w14:paraId="1FD175FC">
            <w:pPr>
              <w:pStyle w:val="11"/>
              <w:spacing w:before="212" w:line="221" w:lineRule="auto"/>
              <w:ind w:left="491"/>
              <w:rPr>
                <w:color w:val="auto"/>
                <w:highlight w:val="none"/>
              </w:rPr>
            </w:pPr>
            <w:r>
              <w:rPr>
                <w:color w:val="auto"/>
                <w:spacing w:val="-5"/>
                <w:highlight w:val="none"/>
                <w14:textOutline w14:w="3831" w14:cap="flat" w14:cmpd="sng">
                  <w14:solidFill>
                    <w14:srgbClr w14:val="000000"/>
                  </w14:solidFill>
                  <w14:prstDash w14:val="solid"/>
                  <w14:miter w14:val="0"/>
                </w14:textOutline>
              </w:rPr>
              <w:t>条</w:t>
            </w:r>
            <w:r>
              <w:rPr>
                <w:color w:val="auto"/>
                <w:spacing w:val="10"/>
                <w:highlight w:val="none"/>
              </w:rPr>
              <w:t xml:space="preserve"> </w:t>
            </w:r>
            <w:r>
              <w:rPr>
                <w:color w:val="auto"/>
                <w:spacing w:val="-5"/>
                <w:highlight w:val="none"/>
                <w14:textOutline w14:w="3831" w14:cap="flat" w14:cmpd="sng">
                  <w14:solidFill>
                    <w14:srgbClr w14:val="000000"/>
                  </w14:solidFill>
                  <w14:prstDash w14:val="solid"/>
                  <w14:miter w14:val="0"/>
                </w14:textOutline>
              </w:rPr>
              <w:t>款</w:t>
            </w:r>
            <w:r>
              <w:rPr>
                <w:color w:val="auto"/>
                <w:spacing w:val="12"/>
                <w:highlight w:val="none"/>
              </w:rPr>
              <w:t xml:space="preserve"> </w:t>
            </w:r>
            <w:r>
              <w:rPr>
                <w:color w:val="auto"/>
                <w:spacing w:val="-5"/>
                <w:highlight w:val="none"/>
                <w14:textOutline w14:w="3831" w14:cap="flat" w14:cmpd="sng">
                  <w14:solidFill>
                    <w14:srgbClr w14:val="000000"/>
                  </w14:solidFill>
                  <w14:prstDash w14:val="solid"/>
                  <w14:miter w14:val="0"/>
                </w14:textOutline>
              </w:rPr>
              <w:t>名</w:t>
            </w:r>
            <w:r>
              <w:rPr>
                <w:color w:val="auto"/>
                <w:spacing w:val="-5"/>
                <w:highlight w:val="none"/>
              </w:rPr>
              <w:t xml:space="preserve"> </w:t>
            </w:r>
            <w:r>
              <w:rPr>
                <w:color w:val="auto"/>
                <w:spacing w:val="-5"/>
                <w:highlight w:val="none"/>
                <w14:textOutline w14:w="3831" w14:cap="flat" w14:cmpd="sng">
                  <w14:solidFill>
                    <w14:srgbClr w14:val="000000"/>
                  </w14:solidFill>
                  <w14:prstDash w14:val="solid"/>
                  <w14:miter w14:val="0"/>
                </w14:textOutline>
              </w:rPr>
              <w:t>称</w:t>
            </w:r>
          </w:p>
        </w:tc>
        <w:tc>
          <w:tcPr>
            <w:tcW w:w="5447" w:type="dxa"/>
            <w:vAlign w:val="top"/>
          </w:tcPr>
          <w:p w14:paraId="228339C6">
            <w:pPr>
              <w:pStyle w:val="11"/>
              <w:spacing w:before="212" w:line="221" w:lineRule="auto"/>
              <w:ind w:left="2149"/>
              <w:rPr>
                <w:color w:val="auto"/>
                <w:highlight w:val="none"/>
              </w:rPr>
            </w:pPr>
            <w:r>
              <w:rPr>
                <w:color w:val="auto"/>
                <w:spacing w:val="-14"/>
                <w:highlight w:val="none"/>
                <w14:textOutline w14:w="3831" w14:cap="flat" w14:cmpd="sng">
                  <w14:solidFill>
                    <w14:srgbClr w14:val="000000"/>
                  </w14:solidFill>
                  <w14:prstDash w14:val="solid"/>
                  <w14:miter w14:val="0"/>
                </w14:textOutline>
              </w:rPr>
              <w:t>编</w:t>
            </w:r>
            <w:r>
              <w:rPr>
                <w:color w:val="auto"/>
                <w:spacing w:val="15"/>
                <w:highlight w:val="none"/>
              </w:rPr>
              <w:t xml:space="preserve"> </w:t>
            </w:r>
            <w:r>
              <w:rPr>
                <w:color w:val="auto"/>
                <w:spacing w:val="-14"/>
                <w:highlight w:val="none"/>
                <w14:textOutline w14:w="3831" w14:cap="flat" w14:cmpd="sng">
                  <w14:solidFill>
                    <w14:srgbClr w14:val="000000"/>
                  </w14:solidFill>
                  <w14:prstDash w14:val="solid"/>
                  <w14:miter w14:val="0"/>
                </w14:textOutline>
              </w:rPr>
              <w:t>列</w:t>
            </w:r>
            <w:r>
              <w:rPr>
                <w:color w:val="auto"/>
                <w:spacing w:val="34"/>
                <w:highlight w:val="none"/>
              </w:rPr>
              <w:t xml:space="preserve"> </w:t>
            </w:r>
            <w:r>
              <w:rPr>
                <w:color w:val="auto"/>
                <w:spacing w:val="-14"/>
                <w:highlight w:val="none"/>
                <w14:textOutline w14:w="3831" w14:cap="flat" w14:cmpd="sng">
                  <w14:solidFill>
                    <w14:srgbClr w14:val="000000"/>
                  </w14:solidFill>
                  <w14:prstDash w14:val="solid"/>
                  <w14:miter w14:val="0"/>
                </w14:textOutline>
              </w:rPr>
              <w:t>内</w:t>
            </w:r>
            <w:r>
              <w:rPr>
                <w:color w:val="auto"/>
                <w:spacing w:val="7"/>
                <w:highlight w:val="none"/>
              </w:rPr>
              <w:t xml:space="preserve"> </w:t>
            </w:r>
            <w:r>
              <w:rPr>
                <w:color w:val="auto"/>
                <w:spacing w:val="-14"/>
                <w:highlight w:val="none"/>
                <w14:textOutline w14:w="3831" w14:cap="flat" w14:cmpd="sng">
                  <w14:solidFill>
                    <w14:srgbClr w14:val="000000"/>
                  </w14:solidFill>
                  <w14:prstDash w14:val="solid"/>
                  <w14:miter w14:val="0"/>
                </w14:textOutline>
              </w:rPr>
              <w:t>容</w:t>
            </w:r>
          </w:p>
        </w:tc>
      </w:tr>
      <w:tr w14:paraId="2D0F1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1" w:hRule="atLeast"/>
        </w:trPr>
        <w:tc>
          <w:tcPr>
            <w:tcW w:w="854" w:type="dxa"/>
            <w:vAlign w:val="top"/>
          </w:tcPr>
          <w:p w14:paraId="4832B4B0">
            <w:pPr>
              <w:spacing w:line="250" w:lineRule="auto"/>
              <w:rPr>
                <w:rFonts w:ascii="Arial"/>
                <w:color w:val="auto"/>
                <w:sz w:val="21"/>
                <w:highlight w:val="none"/>
              </w:rPr>
            </w:pPr>
          </w:p>
          <w:p w14:paraId="7FA0ED46">
            <w:pPr>
              <w:spacing w:line="250" w:lineRule="auto"/>
              <w:rPr>
                <w:rFonts w:ascii="Arial"/>
                <w:color w:val="auto"/>
                <w:sz w:val="21"/>
                <w:highlight w:val="none"/>
              </w:rPr>
            </w:pPr>
          </w:p>
          <w:p w14:paraId="55259C23">
            <w:pPr>
              <w:spacing w:line="251" w:lineRule="auto"/>
              <w:rPr>
                <w:rFonts w:ascii="Arial"/>
                <w:color w:val="auto"/>
                <w:sz w:val="21"/>
                <w:highlight w:val="none"/>
              </w:rPr>
            </w:pPr>
          </w:p>
          <w:p w14:paraId="22C685CF">
            <w:pPr>
              <w:spacing w:line="251" w:lineRule="auto"/>
              <w:rPr>
                <w:rFonts w:ascii="Arial"/>
                <w:color w:val="auto"/>
                <w:sz w:val="21"/>
                <w:highlight w:val="none"/>
              </w:rPr>
            </w:pPr>
          </w:p>
          <w:p w14:paraId="4A697C72">
            <w:pPr>
              <w:spacing w:before="60"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1.1.2</w:t>
            </w:r>
          </w:p>
        </w:tc>
        <w:tc>
          <w:tcPr>
            <w:tcW w:w="2121" w:type="dxa"/>
            <w:vAlign w:val="top"/>
          </w:tcPr>
          <w:p w14:paraId="675BDD44">
            <w:pPr>
              <w:spacing w:line="319" w:lineRule="auto"/>
              <w:rPr>
                <w:rFonts w:ascii="Arial"/>
                <w:color w:val="auto"/>
                <w:sz w:val="21"/>
                <w:highlight w:val="none"/>
              </w:rPr>
            </w:pPr>
          </w:p>
          <w:p w14:paraId="54D9AAC0">
            <w:pPr>
              <w:spacing w:line="319" w:lineRule="auto"/>
              <w:rPr>
                <w:rFonts w:ascii="Arial"/>
                <w:color w:val="auto"/>
                <w:sz w:val="21"/>
                <w:highlight w:val="none"/>
              </w:rPr>
            </w:pPr>
          </w:p>
          <w:p w14:paraId="3A69D754">
            <w:pPr>
              <w:spacing w:line="320" w:lineRule="auto"/>
              <w:rPr>
                <w:rFonts w:ascii="Arial"/>
                <w:color w:val="auto"/>
                <w:sz w:val="21"/>
                <w:highlight w:val="none"/>
              </w:rPr>
            </w:pPr>
          </w:p>
          <w:p w14:paraId="0B0C6CEF">
            <w:pPr>
              <w:pStyle w:val="11"/>
              <w:spacing w:before="69" w:line="221" w:lineRule="auto"/>
              <w:ind w:left="754"/>
              <w:rPr>
                <w:color w:val="auto"/>
                <w:highlight w:val="none"/>
              </w:rPr>
            </w:pPr>
            <w:r>
              <w:rPr>
                <w:color w:val="auto"/>
                <w:spacing w:val="-2"/>
                <w:highlight w:val="none"/>
              </w:rPr>
              <w:t>招标人</w:t>
            </w:r>
          </w:p>
        </w:tc>
        <w:tc>
          <w:tcPr>
            <w:tcW w:w="5447" w:type="dxa"/>
            <w:vAlign w:val="top"/>
          </w:tcPr>
          <w:p w14:paraId="006A4595">
            <w:pPr>
              <w:pStyle w:val="11"/>
              <w:spacing w:before="72" w:line="240" w:lineRule="auto"/>
              <w:ind w:left="113"/>
              <w:rPr>
                <w:rFonts w:hint="eastAsia" w:ascii="宋体" w:hAnsi="宋体" w:eastAsia="宋体" w:cs="宋体"/>
                <w:color w:val="auto"/>
                <w:spacing w:val="4"/>
                <w:highlight w:val="none"/>
                <w:lang w:eastAsia="zh-CN"/>
              </w:rPr>
            </w:pPr>
            <w:r>
              <w:rPr>
                <w:rFonts w:ascii="宋体" w:hAnsi="宋体" w:eastAsia="宋体" w:cs="宋体"/>
                <w:color w:val="auto"/>
                <w:spacing w:val="4"/>
                <w:highlight w:val="none"/>
              </w:rPr>
              <w:t>名  称：</w:t>
            </w:r>
            <w:r>
              <w:rPr>
                <w:rFonts w:hint="eastAsia" w:cs="宋体"/>
                <w:color w:val="auto"/>
                <w:spacing w:val="4"/>
                <w:highlight w:val="none"/>
                <w:lang w:eastAsia="zh-CN"/>
              </w:rPr>
              <w:t>营口广厦住房租赁有限公司</w:t>
            </w:r>
          </w:p>
          <w:p w14:paraId="05AC460C">
            <w:pPr>
              <w:pStyle w:val="11"/>
              <w:spacing w:before="72" w:line="240" w:lineRule="auto"/>
              <w:ind w:left="113"/>
              <w:rPr>
                <w:rFonts w:ascii="宋体" w:hAnsi="宋体" w:eastAsia="宋体" w:cs="宋体"/>
                <w:color w:val="auto"/>
                <w:spacing w:val="4"/>
                <w:highlight w:val="none"/>
              </w:rPr>
            </w:pPr>
            <w:r>
              <w:rPr>
                <w:rFonts w:ascii="宋体" w:hAnsi="宋体" w:eastAsia="宋体" w:cs="宋体"/>
                <w:color w:val="auto"/>
                <w:spacing w:val="4"/>
                <w:highlight w:val="none"/>
              </w:rPr>
              <w:t>地  址：</w:t>
            </w:r>
            <w:r>
              <w:rPr>
                <w:rFonts w:hint="eastAsia" w:ascii="宋体" w:hAnsi="宋体" w:eastAsia="宋体" w:cs="宋体"/>
                <w:color w:val="auto"/>
                <w:spacing w:val="4"/>
                <w:highlight w:val="none"/>
              </w:rPr>
              <w:t>营口市西市区新联北大街63号</w:t>
            </w:r>
          </w:p>
          <w:p w14:paraId="132BAE32">
            <w:pPr>
              <w:pStyle w:val="11"/>
              <w:spacing w:before="72" w:line="240" w:lineRule="auto"/>
              <w:ind w:left="113"/>
              <w:rPr>
                <w:rFonts w:hint="eastAsia" w:ascii="宋体" w:hAnsi="宋体" w:eastAsia="宋体" w:cs="宋体"/>
                <w:color w:val="auto"/>
                <w:spacing w:val="4"/>
                <w:highlight w:val="none"/>
                <w:lang w:eastAsia="zh-CN"/>
              </w:rPr>
            </w:pPr>
            <w:r>
              <w:rPr>
                <w:rFonts w:ascii="宋体" w:hAnsi="宋体" w:eastAsia="宋体" w:cs="宋体"/>
                <w:color w:val="auto"/>
                <w:spacing w:val="4"/>
                <w:highlight w:val="none"/>
              </w:rPr>
              <w:t>联系人：</w:t>
            </w:r>
            <w:r>
              <w:rPr>
                <w:rFonts w:hint="eastAsia" w:cs="宋体"/>
                <w:color w:val="auto"/>
                <w:spacing w:val="4"/>
                <w:highlight w:val="none"/>
                <w:lang w:eastAsia="zh-CN"/>
              </w:rPr>
              <w:t>盛陶然</w:t>
            </w:r>
          </w:p>
          <w:p w14:paraId="352153A0">
            <w:pPr>
              <w:pStyle w:val="11"/>
              <w:spacing w:before="72" w:line="240" w:lineRule="auto"/>
              <w:ind w:left="113"/>
              <w:rPr>
                <w:rFonts w:hint="eastAsia" w:ascii="宋体" w:hAnsi="宋体" w:eastAsia="宋体" w:cs="宋体"/>
                <w:color w:val="auto"/>
                <w:spacing w:val="4"/>
                <w:highlight w:val="none"/>
                <w:lang w:eastAsia="zh-CN"/>
              </w:rPr>
            </w:pPr>
            <w:r>
              <w:rPr>
                <w:rFonts w:ascii="宋体" w:hAnsi="宋体" w:eastAsia="宋体" w:cs="宋体"/>
                <w:color w:val="auto"/>
                <w:spacing w:val="4"/>
                <w:highlight w:val="none"/>
              </w:rPr>
              <w:t>电  话：</w:t>
            </w:r>
            <w:r>
              <w:rPr>
                <w:rFonts w:hint="eastAsia" w:cs="宋体"/>
                <w:color w:val="auto"/>
                <w:spacing w:val="4"/>
                <w:highlight w:val="none"/>
                <w:lang w:eastAsia="zh-CN"/>
              </w:rPr>
              <w:t>15940733332</w:t>
            </w:r>
          </w:p>
          <w:p w14:paraId="5F0E1736">
            <w:pPr>
              <w:pStyle w:val="11"/>
              <w:spacing w:before="72" w:line="240" w:lineRule="auto"/>
              <w:ind w:left="113"/>
              <w:rPr>
                <w:rFonts w:ascii="宋体" w:hAnsi="宋体" w:eastAsia="宋体" w:cs="宋体"/>
                <w:color w:val="auto"/>
                <w:spacing w:val="4"/>
                <w:highlight w:val="none"/>
              </w:rPr>
            </w:pPr>
            <w:r>
              <w:rPr>
                <w:rFonts w:ascii="宋体" w:hAnsi="宋体" w:eastAsia="宋体" w:cs="宋体"/>
                <w:color w:val="auto"/>
                <w:spacing w:val="4"/>
                <w:highlight w:val="none"/>
              </w:rPr>
              <w:t>电子邮件：</w:t>
            </w:r>
          </w:p>
          <w:p w14:paraId="3A3786CE">
            <w:pPr>
              <w:pStyle w:val="11"/>
              <w:spacing w:before="72" w:line="240" w:lineRule="auto"/>
              <w:ind w:left="113"/>
              <w:rPr>
                <w:rFonts w:ascii="宋体" w:hAnsi="宋体" w:eastAsia="宋体" w:cs="宋体"/>
                <w:color w:val="auto"/>
                <w:spacing w:val="4"/>
                <w:highlight w:val="none"/>
              </w:rPr>
            </w:pPr>
            <w:r>
              <w:rPr>
                <w:rFonts w:ascii="宋体" w:hAnsi="宋体" w:eastAsia="宋体" w:cs="宋体"/>
                <w:color w:val="auto"/>
                <w:spacing w:val="4"/>
                <w:highlight w:val="none"/>
              </w:rPr>
              <w:t>项目负责人姓名及联系方式：</w:t>
            </w:r>
          </w:p>
          <w:p w14:paraId="6AF69B26">
            <w:pPr>
              <w:pStyle w:val="11"/>
              <w:spacing w:before="72" w:line="240" w:lineRule="auto"/>
              <w:ind w:left="113"/>
              <w:rPr>
                <w:rFonts w:hint="eastAsia" w:eastAsia="宋体"/>
                <w:color w:val="auto"/>
                <w:highlight w:val="none"/>
                <w:lang w:eastAsia="zh-CN"/>
              </w:rPr>
            </w:pPr>
            <w:r>
              <w:rPr>
                <w:rFonts w:ascii="宋体" w:hAnsi="宋体" w:eastAsia="宋体" w:cs="宋体"/>
                <w:color w:val="auto"/>
                <w:spacing w:val="4"/>
                <w:highlight w:val="none"/>
              </w:rPr>
              <w:t>姓名：</w:t>
            </w:r>
            <w:r>
              <w:rPr>
                <w:rFonts w:hint="eastAsia" w:cs="宋体"/>
                <w:color w:val="auto"/>
                <w:spacing w:val="4"/>
                <w:highlight w:val="none"/>
                <w:lang w:eastAsia="zh-CN"/>
              </w:rPr>
              <w:t>盛陶然</w:t>
            </w:r>
            <w:r>
              <w:rPr>
                <w:rFonts w:ascii="宋体" w:hAnsi="宋体" w:eastAsia="宋体" w:cs="宋体"/>
                <w:color w:val="auto"/>
                <w:spacing w:val="4"/>
                <w:highlight w:val="none"/>
              </w:rPr>
              <w:t xml:space="preserve">   电话：</w:t>
            </w:r>
            <w:r>
              <w:rPr>
                <w:rFonts w:hint="eastAsia" w:cs="宋体"/>
                <w:color w:val="auto"/>
                <w:spacing w:val="4"/>
                <w:highlight w:val="none"/>
                <w:lang w:eastAsia="zh-CN"/>
              </w:rPr>
              <w:t>15940733332</w:t>
            </w:r>
          </w:p>
        </w:tc>
      </w:tr>
      <w:tr w14:paraId="17ABF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6" w:hRule="atLeast"/>
        </w:trPr>
        <w:tc>
          <w:tcPr>
            <w:tcW w:w="854" w:type="dxa"/>
            <w:vAlign w:val="top"/>
          </w:tcPr>
          <w:p w14:paraId="35A91554">
            <w:pPr>
              <w:spacing w:line="252" w:lineRule="auto"/>
              <w:rPr>
                <w:rFonts w:ascii="Arial"/>
                <w:color w:val="auto"/>
                <w:sz w:val="21"/>
                <w:highlight w:val="none"/>
              </w:rPr>
            </w:pPr>
          </w:p>
          <w:p w14:paraId="4B64461B">
            <w:pPr>
              <w:spacing w:line="252" w:lineRule="auto"/>
              <w:rPr>
                <w:rFonts w:ascii="Arial"/>
                <w:color w:val="auto"/>
                <w:sz w:val="21"/>
                <w:highlight w:val="none"/>
              </w:rPr>
            </w:pPr>
          </w:p>
          <w:p w14:paraId="6B8CA374">
            <w:pPr>
              <w:spacing w:line="252" w:lineRule="auto"/>
              <w:rPr>
                <w:rFonts w:ascii="Arial"/>
                <w:color w:val="auto"/>
                <w:sz w:val="21"/>
                <w:highlight w:val="none"/>
              </w:rPr>
            </w:pPr>
          </w:p>
          <w:p w14:paraId="4E97729D">
            <w:pPr>
              <w:spacing w:line="252" w:lineRule="auto"/>
              <w:rPr>
                <w:rFonts w:ascii="Arial"/>
                <w:color w:val="auto"/>
                <w:sz w:val="21"/>
                <w:highlight w:val="none"/>
              </w:rPr>
            </w:pPr>
          </w:p>
          <w:p w14:paraId="0D4C45AB">
            <w:pPr>
              <w:spacing w:before="61"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1.1.3</w:t>
            </w:r>
          </w:p>
        </w:tc>
        <w:tc>
          <w:tcPr>
            <w:tcW w:w="2121" w:type="dxa"/>
            <w:vAlign w:val="top"/>
          </w:tcPr>
          <w:p w14:paraId="012011BA">
            <w:pPr>
              <w:spacing w:line="241" w:lineRule="auto"/>
              <w:rPr>
                <w:rFonts w:ascii="Arial"/>
                <w:color w:val="auto"/>
                <w:sz w:val="21"/>
                <w:highlight w:val="none"/>
              </w:rPr>
            </w:pPr>
          </w:p>
          <w:p w14:paraId="2F8C4B3E">
            <w:pPr>
              <w:spacing w:line="241" w:lineRule="auto"/>
              <w:rPr>
                <w:rFonts w:ascii="Arial"/>
                <w:color w:val="auto"/>
                <w:sz w:val="21"/>
                <w:highlight w:val="none"/>
              </w:rPr>
            </w:pPr>
          </w:p>
          <w:p w14:paraId="042FA2CC">
            <w:pPr>
              <w:spacing w:line="241" w:lineRule="auto"/>
              <w:rPr>
                <w:rFonts w:ascii="Arial"/>
                <w:color w:val="auto"/>
                <w:sz w:val="21"/>
                <w:highlight w:val="none"/>
              </w:rPr>
            </w:pPr>
          </w:p>
          <w:p w14:paraId="45F36DB8">
            <w:pPr>
              <w:spacing w:line="241" w:lineRule="auto"/>
              <w:rPr>
                <w:rFonts w:ascii="Arial"/>
                <w:color w:val="auto"/>
                <w:sz w:val="21"/>
                <w:highlight w:val="none"/>
              </w:rPr>
            </w:pPr>
          </w:p>
          <w:p w14:paraId="03E92DCB">
            <w:pPr>
              <w:pStyle w:val="11"/>
              <w:spacing w:before="68" w:line="220" w:lineRule="auto"/>
              <w:ind w:left="437"/>
              <w:rPr>
                <w:color w:val="auto"/>
                <w:highlight w:val="none"/>
              </w:rPr>
            </w:pPr>
            <w:r>
              <w:rPr>
                <w:color w:val="auto"/>
                <w:spacing w:val="-1"/>
                <w:highlight w:val="none"/>
              </w:rPr>
              <w:t>招标代理机构</w:t>
            </w:r>
          </w:p>
        </w:tc>
        <w:tc>
          <w:tcPr>
            <w:tcW w:w="5447" w:type="dxa"/>
            <w:vAlign w:val="top"/>
          </w:tcPr>
          <w:p w14:paraId="08202830">
            <w:pPr>
              <w:pStyle w:val="11"/>
              <w:spacing w:before="72" w:line="240" w:lineRule="auto"/>
              <w:ind w:left="113"/>
              <w:rPr>
                <w:rFonts w:hint="eastAsia" w:ascii="宋体" w:hAnsi="宋体" w:eastAsia="宋体" w:cs="宋体"/>
                <w:color w:val="auto"/>
                <w:spacing w:val="4"/>
                <w:highlight w:val="none"/>
                <w:lang w:eastAsia="zh-CN"/>
              </w:rPr>
            </w:pPr>
            <w:r>
              <w:rPr>
                <w:rFonts w:ascii="宋体" w:hAnsi="宋体" w:eastAsia="宋体" w:cs="宋体"/>
                <w:color w:val="auto"/>
                <w:spacing w:val="4"/>
                <w:highlight w:val="none"/>
              </w:rPr>
              <w:t>名  称：</w:t>
            </w:r>
            <w:r>
              <w:rPr>
                <w:rFonts w:hint="eastAsia" w:cs="宋体"/>
                <w:color w:val="auto"/>
                <w:spacing w:val="4"/>
                <w:highlight w:val="none"/>
                <w:lang w:eastAsia="zh-CN"/>
              </w:rPr>
              <w:t>沈阳招标中心有限公司</w:t>
            </w:r>
          </w:p>
          <w:p w14:paraId="7146E430">
            <w:pPr>
              <w:pStyle w:val="11"/>
              <w:spacing w:before="72" w:line="240" w:lineRule="auto"/>
              <w:ind w:left="113"/>
              <w:rPr>
                <w:rFonts w:hint="eastAsia" w:ascii="宋体" w:hAnsi="宋体" w:eastAsia="宋体" w:cs="宋体"/>
                <w:color w:val="auto"/>
                <w:spacing w:val="4"/>
                <w:highlight w:val="none"/>
                <w:lang w:eastAsia="zh-CN"/>
              </w:rPr>
            </w:pPr>
            <w:r>
              <w:rPr>
                <w:rFonts w:ascii="宋体" w:hAnsi="宋体" w:eastAsia="宋体" w:cs="宋体"/>
                <w:color w:val="auto"/>
                <w:spacing w:val="4"/>
                <w:highlight w:val="none"/>
              </w:rPr>
              <w:t>地  址：</w:t>
            </w:r>
            <w:r>
              <w:rPr>
                <w:rFonts w:hint="eastAsia" w:cs="宋体"/>
                <w:color w:val="auto"/>
                <w:spacing w:val="4"/>
                <w:highlight w:val="none"/>
                <w:lang w:eastAsia="zh-CN"/>
              </w:rPr>
              <w:t>沈阳市和平区绥化东街2号</w:t>
            </w:r>
          </w:p>
          <w:p w14:paraId="555A67FC">
            <w:pPr>
              <w:pStyle w:val="11"/>
              <w:spacing w:before="72" w:line="240" w:lineRule="auto"/>
              <w:ind w:left="113"/>
              <w:rPr>
                <w:rFonts w:hint="eastAsia" w:ascii="宋体" w:hAnsi="宋体" w:eastAsia="宋体" w:cs="宋体"/>
                <w:color w:val="auto"/>
                <w:spacing w:val="4"/>
                <w:highlight w:val="none"/>
              </w:rPr>
            </w:pPr>
            <w:r>
              <w:rPr>
                <w:rFonts w:ascii="宋体" w:hAnsi="宋体" w:eastAsia="宋体" w:cs="宋体"/>
                <w:color w:val="auto"/>
                <w:spacing w:val="4"/>
                <w:highlight w:val="none"/>
              </w:rPr>
              <w:t>联系人：</w:t>
            </w:r>
            <w:r>
              <w:rPr>
                <w:rFonts w:hint="eastAsia" w:cs="宋体"/>
                <w:color w:val="auto"/>
                <w:spacing w:val="4"/>
                <w:highlight w:val="none"/>
                <w:lang w:eastAsia="zh-CN"/>
              </w:rPr>
              <w:t>崔大勇、刘佳麟</w:t>
            </w:r>
          </w:p>
          <w:p w14:paraId="211EBBD6">
            <w:pPr>
              <w:pStyle w:val="11"/>
              <w:spacing w:before="72" w:line="240" w:lineRule="auto"/>
              <w:ind w:left="113"/>
              <w:rPr>
                <w:rFonts w:hint="eastAsia" w:ascii="宋体" w:hAnsi="宋体" w:eastAsia="宋体" w:cs="宋体"/>
                <w:color w:val="auto"/>
                <w:spacing w:val="4"/>
                <w:highlight w:val="none"/>
                <w:lang w:eastAsia="zh-CN"/>
              </w:rPr>
            </w:pPr>
            <w:r>
              <w:rPr>
                <w:rFonts w:ascii="宋体" w:hAnsi="宋体" w:eastAsia="宋体" w:cs="宋体"/>
                <w:color w:val="auto"/>
                <w:spacing w:val="4"/>
                <w:highlight w:val="none"/>
              </w:rPr>
              <w:t>电  话：</w:t>
            </w:r>
            <w:r>
              <w:rPr>
                <w:rFonts w:hint="eastAsia" w:cs="宋体"/>
                <w:color w:val="auto"/>
                <w:spacing w:val="4"/>
                <w:highlight w:val="none"/>
                <w:lang w:eastAsia="zh-CN"/>
              </w:rPr>
              <w:t>024-22503596、22503578</w:t>
            </w:r>
          </w:p>
          <w:p w14:paraId="401C2086">
            <w:pPr>
              <w:pStyle w:val="11"/>
              <w:spacing w:before="72" w:line="240" w:lineRule="auto"/>
              <w:ind w:left="113"/>
              <w:rPr>
                <w:rFonts w:hint="default" w:ascii="宋体" w:hAnsi="宋体" w:eastAsia="宋体" w:cs="宋体"/>
                <w:color w:val="auto"/>
                <w:spacing w:val="4"/>
                <w:highlight w:val="none"/>
                <w:lang w:val="en-US" w:eastAsia="zh-CN"/>
              </w:rPr>
            </w:pPr>
            <w:r>
              <w:rPr>
                <w:rFonts w:ascii="宋体" w:hAnsi="宋体" w:eastAsia="宋体" w:cs="宋体"/>
                <w:color w:val="auto"/>
                <w:spacing w:val="4"/>
                <w:highlight w:val="none"/>
              </w:rPr>
              <w:t>电子邮件：</w:t>
            </w:r>
            <w:r>
              <w:rPr>
                <w:rFonts w:hint="eastAsia" w:cs="宋体"/>
                <w:color w:val="auto"/>
                <w:spacing w:val="4"/>
                <w:highlight w:val="none"/>
                <w:lang w:val="en-US" w:eastAsia="zh-CN"/>
              </w:rPr>
              <w:t>syzbsc@163.com</w:t>
            </w:r>
          </w:p>
          <w:p w14:paraId="3EBF0A02">
            <w:pPr>
              <w:pStyle w:val="11"/>
              <w:spacing w:before="72" w:line="240" w:lineRule="auto"/>
              <w:ind w:left="113"/>
              <w:rPr>
                <w:rFonts w:ascii="宋体" w:hAnsi="宋体" w:eastAsia="宋体" w:cs="宋体"/>
                <w:color w:val="auto"/>
                <w:spacing w:val="4"/>
                <w:highlight w:val="none"/>
              </w:rPr>
            </w:pPr>
            <w:r>
              <w:rPr>
                <w:rFonts w:ascii="宋体" w:hAnsi="宋体" w:eastAsia="宋体" w:cs="宋体"/>
                <w:color w:val="auto"/>
                <w:spacing w:val="4"/>
                <w:highlight w:val="none"/>
              </w:rPr>
              <w:t>项目负责人姓名及联系方式：</w:t>
            </w:r>
          </w:p>
          <w:p w14:paraId="1FB5A3C4">
            <w:pPr>
              <w:pStyle w:val="11"/>
              <w:spacing w:before="72" w:line="240" w:lineRule="auto"/>
              <w:ind w:left="113"/>
              <w:rPr>
                <w:rFonts w:hint="eastAsia" w:eastAsia="宋体"/>
                <w:color w:val="auto"/>
                <w:highlight w:val="none"/>
                <w:lang w:eastAsia="zh-CN"/>
              </w:rPr>
            </w:pPr>
            <w:r>
              <w:rPr>
                <w:rFonts w:ascii="宋体" w:hAnsi="宋体" w:eastAsia="宋体" w:cs="宋体"/>
                <w:color w:val="auto"/>
                <w:spacing w:val="4"/>
                <w:highlight w:val="none"/>
              </w:rPr>
              <w:t>姓名：</w:t>
            </w:r>
            <w:r>
              <w:rPr>
                <w:rFonts w:hint="eastAsia" w:cs="宋体"/>
                <w:color w:val="auto"/>
                <w:spacing w:val="4"/>
                <w:highlight w:val="none"/>
                <w:lang w:eastAsia="zh-CN"/>
              </w:rPr>
              <w:t>崔大勇、刘佳麟</w:t>
            </w:r>
            <w:r>
              <w:rPr>
                <w:rFonts w:ascii="宋体" w:hAnsi="宋体" w:eastAsia="宋体" w:cs="宋体"/>
                <w:color w:val="auto"/>
                <w:spacing w:val="4"/>
                <w:highlight w:val="none"/>
              </w:rPr>
              <w:t xml:space="preserve">                电话：</w:t>
            </w:r>
            <w:r>
              <w:rPr>
                <w:rFonts w:hint="eastAsia" w:cs="宋体"/>
                <w:color w:val="auto"/>
                <w:spacing w:val="4"/>
                <w:highlight w:val="none"/>
                <w:lang w:eastAsia="zh-CN"/>
              </w:rPr>
              <w:t>024-22503596、22503578</w:t>
            </w:r>
          </w:p>
        </w:tc>
      </w:tr>
      <w:tr w14:paraId="743BA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14:paraId="4D3FF12C">
            <w:pPr>
              <w:spacing w:before="182"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1.1.4</w:t>
            </w:r>
          </w:p>
        </w:tc>
        <w:tc>
          <w:tcPr>
            <w:tcW w:w="2121" w:type="dxa"/>
            <w:vAlign w:val="top"/>
          </w:tcPr>
          <w:p w14:paraId="09955141">
            <w:pPr>
              <w:pStyle w:val="11"/>
              <w:spacing w:before="72" w:line="240" w:lineRule="auto"/>
              <w:ind w:left="113"/>
              <w:jc w:val="center"/>
              <w:rPr>
                <w:rFonts w:ascii="宋体" w:hAnsi="宋体" w:eastAsia="宋体" w:cs="宋体"/>
                <w:color w:val="auto"/>
                <w:spacing w:val="4"/>
                <w:highlight w:val="none"/>
              </w:rPr>
            </w:pPr>
            <w:r>
              <w:rPr>
                <w:rFonts w:ascii="宋体" w:hAnsi="宋体" w:eastAsia="宋体" w:cs="宋体"/>
                <w:color w:val="auto"/>
                <w:spacing w:val="4"/>
                <w:highlight w:val="none"/>
                <w:u w:val="none"/>
              </w:rPr>
              <w:t>标段项目名称</w:t>
            </w:r>
          </w:p>
        </w:tc>
        <w:tc>
          <w:tcPr>
            <w:tcW w:w="5447" w:type="dxa"/>
            <w:vAlign w:val="top"/>
          </w:tcPr>
          <w:p w14:paraId="1FB42A0C">
            <w:pPr>
              <w:pStyle w:val="11"/>
              <w:spacing w:before="72" w:line="240" w:lineRule="auto"/>
              <w:ind w:left="113"/>
              <w:rPr>
                <w:rFonts w:hint="default" w:ascii="宋体" w:hAnsi="宋体" w:eastAsia="宋体" w:cs="宋体"/>
                <w:snapToGrid w:val="0"/>
                <w:color w:val="auto"/>
                <w:spacing w:val="4"/>
                <w:kern w:val="0"/>
                <w:sz w:val="21"/>
                <w:szCs w:val="21"/>
                <w:highlight w:val="none"/>
                <w:lang w:val="en-US" w:eastAsia="en-US" w:bidi="ar-SA"/>
              </w:rPr>
            </w:pPr>
            <w:r>
              <w:rPr>
                <w:rFonts w:hint="eastAsia" w:cs="宋体"/>
                <w:snapToGrid w:val="0"/>
                <w:color w:val="auto"/>
                <w:spacing w:val="4"/>
                <w:kern w:val="0"/>
                <w:sz w:val="21"/>
                <w:szCs w:val="21"/>
                <w:highlight w:val="none"/>
                <w:lang w:val="en-US" w:eastAsia="zh-CN" w:bidi="ar-SA"/>
              </w:rPr>
              <w:t>营口市保障性租赁住房(2025年第一批)项目装修施工一标段</w:t>
            </w:r>
          </w:p>
        </w:tc>
      </w:tr>
      <w:tr w14:paraId="3C36E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854" w:type="dxa"/>
            <w:vAlign w:val="top"/>
          </w:tcPr>
          <w:p w14:paraId="03227D2D">
            <w:pPr>
              <w:spacing w:before="183"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1.1.5</w:t>
            </w:r>
          </w:p>
        </w:tc>
        <w:tc>
          <w:tcPr>
            <w:tcW w:w="2121" w:type="dxa"/>
            <w:vAlign w:val="top"/>
          </w:tcPr>
          <w:p w14:paraId="0EF41A5E">
            <w:pPr>
              <w:pStyle w:val="11"/>
              <w:spacing w:before="146" w:line="222" w:lineRule="auto"/>
              <w:ind w:left="650"/>
              <w:rPr>
                <w:color w:val="auto"/>
                <w:highlight w:val="none"/>
              </w:rPr>
            </w:pPr>
            <w:r>
              <w:rPr>
                <w:color w:val="auto"/>
                <w:spacing w:val="-2"/>
                <w:highlight w:val="none"/>
              </w:rPr>
              <w:t>建设地点</w:t>
            </w:r>
          </w:p>
        </w:tc>
        <w:tc>
          <w:tcPr>
            <w:tcW w:w="5447" w:type="dxa"/>
            <w:vAlign w:val="top"/>
          </w:tcPr>
          <w:p w14:paraId="0D14F850">
            <w:pPr>
              <w:spacing w:line="240" w:lineRule="auto"/>
              <w:rPr>
                <w:rFonts w:ascii="宋体" w:hAnsi="宋体" w:eastAsia="宋体" w:cs="宋体"/>
                <w:snapToGrid w:val="0"/>
                <w:color w:val="auto"/>
                <w:spacing w:val="4"/>
                <w:kern w:val="0"/>
                <w:sz w:val="21"/>
                <w:szCs w:val="21"/>
                <w:highlight w:val="none"/>
                <w:lang w:val="en-US" w:eastAsia="en-US" w:bidi="ar-SA"/>
              </w:rPr>
            </w:pPr>
            <w:r>
              <w:rPr>
                <w:rFonts w:hint="eastAsia" w:ascii="仿宋" w:hAnsi="仿宋" w:eastAsia="仿宋" w:cs="仿宋"/>
                <w:color w:val="auto"/>
                <w:sz w:val="21"/>
                <w:szCs w:val="21"/>
                <w:highlight w:val="none"/>
                <w:lang w:val="en-US" w:eastAsia="zh-CN"/>
              </w:rPr>
              <w:t>营口市</w:t>
            </w:r>
          </w:p>
        </w:tc>
      </w:tr>
      <w:tr w14:paraId="60D86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14:paraId="0116A5C8">
            <w:pPr>
              <w:spacing w:before="187"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1.1.6</w:t>
            </w:r>
          </w:p>
        </w:tc>
        <w:tc>
          <w:tcPr>
            <w:tcW w:w="2121" w:type="dxa"/>
            <w:vAlign w:val="top"/>
          </w:tcPr>
          <w:p w14:paraId="40CFE0AD">
            <w:pPr>
              <w:pStyle w:val="11"/>
              <w:spacing w:before="151" w:line="219" w:lineRule="auto"/>
              <w:ind w:left="439"/>
              <w:rPr>
                <w:color w:val="auto"/>
                <w:highlight w:val="none"/>
              </w:rPr>
            </w:pPr>
            <w:r>
              <w:rPr>
                <w:color w:val="auto"/>
                <w:spacing w:val="-1"/>
                <w:highlight w:val="none"/>
              </w:rPr>
              <w:t>项目投资估算</w:t>
            </w:r>
          </w:p>
        </w:tc>
        <w:tc>
          <w:tcPr>
            <w:tcW w:w="5447" w:type="dxa"/>
            <w:vAlign w:val="top"/>
          </w:tcPr>
          <w:p w14:paraId="20C20CAB">
            <w:pPr>
              <w:pStyle w:val="11"/>
              <w:spacing w:before="72" w:line="240" w:lineRule="auto"/>
              <w:ind w:left="113"/>
              <w:rPr>
                <w:rFonts w:ascii="宋体" w:hAnsi="宋体" w:eastAsia="宋体" w:cs="宋体"/>
                <w:color w:val="auto"/>
                <w:spacing w:val="4"/>
                <w:highlight w:val="none"/>
              </w:rPr>
            </w:pPr>
            <w:r>
              <w:rPr>
                <w:rFonts w:hint="eastAsia"/>
                <w:color w:val="auto"/>
                <w:highlight w:val="none"/>
                <w:lang w:val="en-US" w:eastAsia="zh-CN"/>
              </w:rPr>
              <w:t>9152.83</w:t>
            </w:r>
            <w:r>
              <w:rPr>
                <w:rFonts w:ascii="宋体" w:hAnsi="宋体" w:eastAsia="宋体" w:cs="宋体"/>
                <w:color w:val="auto"/>
                <w:spacing w:val="4"/>
                <w:highlight w:val="none"/>
              </w:rPr>
              <w:t>万元</w:t>
            </w:r>
          </w:p>
        </w:tc>
      </w:tr>
      <w:tr w14:paraId="02CD4A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14:paraId="34D87F2E">
            <w:pPr>
              <w:spacing w:before="183"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5"/>
                <w:sz w:val="21"/>
                <w:szCs w:val="21"/>
                <w:highlight w:val="none"/>
              </w:rPr>
              <w:t>1.1.7</w:t>
            </w:r>
          </w:p>
        </w:tc>
        <w:tc>
          <w:tcPr>
            <w:tcW w:w="2121" w:type="dxa"/>
            <w:vAlign w:val="top"/>
          </w:tcPr>
          <w:p w14:paraId="114348F7">
            <w:pPr>
              <w:pStyle w:val="11"/>
              <w:spacing w:before="147" w:line="221" w:lineRule="auto"/>
              <w:ind w:left="460"/>
              <w:rPr>
                <w:color w:val="auto"/>
                <w:highlight w:val="none"/>
              </w:rPr>
            </w:pPr>
            <w:r>
              <w:rPr>
                <w:color w:val="auto"/>
                <w:spacing w:val="-5"/>
                <w:highlight w:val="none"/>
              </w:rPr>
              <w:t>电子交易系统</w:t>
            </w:r>
          </w:p>
        </w:tc>
        <w:tc>
          <w:tcPr>
            <w:tcW w:w="5447" w:type="dxa"/>
            <w:vAlign w:val="top"/>
          </w:tcPr>
          <w:p w14:paraId="2A6D5ED8">
            <w:pPr>
              <w:pStyle w:val="11"/>
              <w:tabs>
                <w:tab w:val="left" w:pos="1643"/>
              </w:tabs>
              <w:spacing w:before="146" w:line="222" w:lineRule="auto"/>
              <w:ind w:left="103"/>
              <w:rPr>
                <w:color w:val="auto"/>
                <w:highlight w:val="none"/>
              </w:rPr>
            </w:pPr>
            <w:r>
              <w:rPr>
                <w:rFonts w:hint="eastAsia"/>
                <w:color w:val="auto"/>
                <w:highlight w:val="none"/>
              </w:rPr>
              <w:t>辽宁省房屋建筑和市政工程电子交易系统</w:t>
            </w:r>
            <w:r>
              <w:rPr>
                <w:rFonts w:hint="eastAsia"/>
                <w:color w:val="auto"/>
                <w:highlight w:val="none"/>
              </w:rPr>
              <w:br w:type="textWrapping"/>
            </w:r>
            <w:r>
              <w:rPr>
                <w:rFonts w:hint="eastAsia"/>
                <w:color w:val="auto"/>
                <w:highlight w:val="none"/>
              </w:rPr>
              <w:t>（工程咨询）</w:t>
            </w:r>
          </w:p>
        </w:tc>
      </w:tr>
      <w:tr w14:paraId="24090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854" w:type="dxa"/>
            <w:vAlign w:val="top"/>
          </w:tcPr>
          <w:p w14:paraId="65F2F932">
            <w:pPr>
              <w:spacing w:before="183"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1.2.1</w:t>
            </w:r>
          </w:p>
        </w:tc>
        <w:tc>
          <w:tcPr>
            <w:tcW w:w="2121" w:type="dxa"/>
            <w:vAlign w:val="top"/>
          </w:tcPr>
          <w:p w14:paraId="6F9AB209">
            <w:pPr>
              <w:pStyle w:val="11"/>
              <w:spacing w:before="146" w:line="221" w:lineRule="auto"/>
              <w:ind w:left="656"/>
              <w:rPr>
                <w:color w:val="auto"/>
                <w:highlight w:val="none"/>
              </w:rPr>
            </w:pPr>
            <w:r>
              <w:rPr>
                <w:color w:val="auto"/>
                <w:spacing w:val="-3"/>
                <w:highlight w:val="none"/>
              </w:rPr>
              <w:t>资金来源</w:t>
            </w:r>
          </w:p>
        </w:tc>
        <w:tc>
          <w:tcPr>
            <w:tcW w:w="5447" w:type="dxa"/>
            <w:vAlign w:val="top"/>
          </w:tcPr>
          <w:p w14:paraId="6E3297AD">
            <w:pPr>
              <w:rPr>
                <w:rFonts w:hint="default" w:ascii="Arial" w:eastAsia="仿宋_GB2312"/>
                <w:color w:val="auto"/>
                <w:sz w:val="21"/>
                <w:highlight w:val="none"/>
                <w:lang w:val="en-US" w:eastAsia="zh-CN"/>
              </w:rPr>
            </w:pPr>
            <w:r>
              <w:rPr>
                <w:rFonts w:hint="eastAsia" w:ascii="仿宋_GB2312" w:eastAsia="仿宋_GB2312" w:cs="宋体"/>
                <w:color w:val="auto"/>
                <w:sz w:val="24"/>
                <w:szCs w:val="24"/>
                <w:highlight w:val="none"/>
                <w:lang w:val="en-US" w:eastAsia="zh-CN"/>
              </w:rPr>
              <w:t>财政资金</w:t>
            </w:r>
          </w:p>
        </w:tc>
      </w:tr>
      <w:tr w14:paraId="684D5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54" w:type="dxa"/>
            <w:vAlign w:val="top"/>
          </w:tcPr>
          <w:p w14:paraId="69159BA7">
            <w:pPr>
              <w:spacing w:before="183"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5"/>
                <w:sz w:val="21"/>
                <w:szCs w:val="21"/>
                <w:highlight w:val="none"/>
              </w:rPr>
              <w:t>1.2.2</w:t>
            </w:r>
          </w:p>
        </w:tc>
        <w:tc>
          <w:tcPr>
            <w:tcW w:w="2121" w:type="dxa"/>
            <w:vAlign w:val="top"/>
          </w:tcPr>
          <w:p w14:paraId="33D12BDF">
            <w:pPr>
              <w:pStyle w:val="11"/>
              <w:spacing w:before="147" w:line="222" w:lineRule="auto"/>
              <w:ind w:left="665"/>
              <w:rPr>
                <w:color w:val="auto"/>
                <w:highlight w:val="none"/>
              </w:rPr>
            </w:pPr>
            <w:r>
              <w:rPr>
                <w:color w:val="auto"/>
                <w:spacing w:val="-5"/>
                <w:highlight w:val="none"/>
              </w:rPr>
              <w:t>出资比例</w:t>
            </w:r>
          </w:p>
        </w:tc>
        <w:tc>
          <w:tcPr>
            <w:tcW w:w="5447" w:type="dxa"/>
            <w:vAlign w:val="top"/>
          </w:tcPr>
          <w:p w14:paraId="41F709C1">
            <w:pPr>
              <w:rPr>
                <w:rFonts w:hint="default" w:ascii="Arial" w:eastAsia="宋体"/>
                <w:color w:val="auto"/>
                <w:sz w:val="21"/>
                <w:highlight w:val="none"/>
                <w:lang w:val="en-US" w:eastAsia="zh-CN"/>
              </w:rPr>
            </w:pPr>
            <w:r>
              <w:rPr>
                <w:rFonts w:hint="eastAsia" w:eastAsia="宋体"/>
                <w:color w:val="auto"/>
                <w:highlight w:val="none"/>
                <w:lang w:val="en-US" w:eastAsia="zh-CN"/>
              </w:rPr>
              <w:t>100%财政资金</w:t>
            </w:r>
          </w:p>
        </w:tc>
      </w:tr>
      <w:tr w14:paraId="5DFBB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14:paraId="424B0AB2">
            <w:pPr>
              <w:spacing w:before="189"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5"/>
                <w:sz w:val="21"/>
                <w:szCs w:val="21"/>
                <w:highlight w:val="none"/>
              </w:rPr>
              <w:t>1.2.3</w:t>
            </w:r>
          </w:p>
        </w:tc>
        <w:tc>
          <w:tcPr>
            <w:tcW w:w="2121" w:type="dxa"/>
            <w:vAlign w:val="top"/>
          </w:tcPr>
          <w:p w14:paraId="721710DC">
            <w:pPr>
              <w:pStyle w:val="11"/>
              <w:spacing w:before="152" w:line="219" w:lineRule="auto"/>
              <w:ind w:left="331"/>
              <w:rPr>
                <w:color w:val="auto"/>
                <w:highlight w:val="none"/>
              </w:rPr>
            </w:pPr>
            <w:r>
              <w:rPr>
                <w:color w:val="auto"/>
                <w:spacing w:val="-1"/>
                <w:highlight w:val="none"/>
              </w:rPr>
              <w:t>标段合同估算价</w:t>
            </w:r>
          </w:p>
        </w:tc>
        <w:tc>
          <w:tcPr>
            <w:tcW w:w="5447" w:type="dxa"/>
            <w:vAlign w:val="top"/>
          </w:tcPr>
          <w:p w14:paraId="049E9114">
            <w:pPr>
              <w:pStyle w:val="11"/>
              <w:tabs>
                <w:tab w:val="left" w:pos="1630"/>
              </w:tabs>
              <w:spacing w:before="152" w:line="221" w:lineRule="auto"/>
              <w:ind w:left="103"/>
              <w:rPr>
                <w:color w:val="auto"/>
                <w:highlight w:val="none"/>
              </w:rPr>
            </w:pPr>
            <w:r>
              <w:rPr>
                <w:rFonts w:hint="eastAsia"/>
                <w:color w:val="auto"/>
                <w:highlight w:val="none"/>
                <w:lang w:val="en-US" w:eastAsia="zh-CN"/>
              </w:rPr>
              <w:t>1063.673</w:t>
            </w:r>
            <w:r>
              <w:rPr>
                <w:rFonts w:hint="eastAsia"/>
                <w:color w:val="auto"/>
                <w:highlight w:val="none"/>
                <w:lang w:eastAsia="zh-CN"/>
              </w:rPr>
              <w:t>万元</w:t>
            </w:r>
          </w:p>
        </w:tc>
      </w:tr>
      <w:tr w14:paraId="6B86D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14:paraId="2ABF75B3">
            <w:pPr>
              <w:spacing w:before="184"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5"/>
                <w:sz w:val="21"/>
                <w:szCs w:val="21"/>
                <w:highlight w:val="none"/>
              </w:rPr>
              <w:t>1.2.4</w:t>
            </w:r>
          </w:p>
        </w:tc>
        <w:tc>
          <w:tcPr>
            <w:tcW w:w="2121" w:type="dxa"/>
            <w:vAlign w:val="top"/>
          </w:tcPr>
          <w:p w14:paraId="2BC2FE4A">
            <w:pPr>
              <w:pStyle w:val="11"/>
              <w:spacing w:before="148" w:line="221" w:lineRule="auto"/>
              <w:ind w:left="445"/>
              <w:rPr>
                <w:color w:val="auto"/>
                <w:highlight w:val="none"/>
              </w:rPr>
            </w:pPr>
            <w:r>
              <w:rPr>
                <w:color w:val="auto"/>
                <w:spacing w:val="-2"/>
                <w:highlight w:val="none"/>
              </w:rPr>
              <w:t>资金落实情况</w:t>
            </w:r>
          </w:p>
        </w:tc>
        <w:tc>
          <w:tcPr>
            <w:tcW w:w="5447" w:type="dxa"/>
            <w:vAlign w:val="top"/>
          </w:tcPr>
          <w:p w14:paraId="53B6C466">
            <w:pPr>
              <w:rPr>
                <w:rFonts w:ascii="Arial"/>
                <w:color w:val="auto"/>
                <w:sz w:val="21"/>
                <w:highlight w:val="none"/>
              </w:rPr>
            </w:pPr>
            <w:r>
              <w:rPr>
                <w:rFonts w:hint="eastAsia"/>
                <w:color w:val="auto"/>
                <w:highlight w:val="none"/>
                <w:lang w:eastAsia="zh-CN"/>
              </w:rPr>
              <w:t>已落实</w:t>
            </w:r>
          </w:p>
        </w:tc>
      </w:tr>
      <w:tr w14:paraId="26623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2" w:hRule="atLeast"/>
        </w:trPr>
        <w:tc>
          <w:tcPr>
            <w:tcW w:w="854" w:type="dxa"/>
            <w:vAlign w:val="top"/>
          </w:tcPr>
          <w:p w14:paraId="488A9B25">
            <w:pPr>
              <w:spacing w:line="463" w:lineRule="auto"/>
              <w:rPr>
                <w:rFonts w:ascii="Arial"/>
                <w:color w:val="auto"/>
                <w:sz w:val="21"/>
                <w:highlight w:val="none"/>
              </w:rPr>
            </w:pPr>
          </w:p>
          <w:p w14:paraId="128420C8">
            <w:pPr>
              <w:spacing w:before="60"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1.3.1</w:t>
            </w:r>
          </w:p>
        </w:tc>
        <w:tc>
          <w:tcPr>
            <w:tcW w:w="2121" w:type="dxa"/>
            <w:vAlign w:val="top"/>
          </w:tcPr>
          <w:p w14:paraId="2C7B6B57">
            <w:pPr>
              <w:spacing w:line="419" w:lineRule="auto"/>
              <w:rPr>
                <w:rFonts w:ascii="Arial"/>
                <w:color w:val="auto"/>
                <w:sz w:val="21"/>
                <w:highlight w:val="none"/>
              </w:rPr>
            </w:pPr>
          </w:p>
          <w:p w14:paraId="18656DE4">
            <w:pPr>
              <w:pStyle w:val="11"/>
              <w:spacing w:before="68" w:line="221" w:lineRule="auto"/>
              <w:ind w:left="648"/>
              <w:rPr>
                <w:color w:val="auto"/>
                <w:highlight w:val="none"/>
              </w:rPr>
            </w:pPr>
            <w:r>
              <w:rPr>
                <w:color w:val="auto"/>
                <w:spacing w:val="-1"/>
                <w:highlight w:val="none"/>
              </w:rPr>
              <w:t>招标范围</w:t>
            </w:r>
          </w:p>
        </w:tc>
        <w:tc>
          <w:tcPr>
            <w:tcW w:w="5447" w:type="dxa"/>
            <w:vAlign w:val="top"/>
          </w:tcPr>
          <w:p w14:paraId="6C939BD9">
            <w:pPr>
              <w:spacing w:line="397" w:lineRule="auto"/>
              <w:rPr>
                <w:rFonts w:ascii="Arial"/>
                <w:color w:val="auto"/>
                <w:sz w:val="21"/>
                <w:highlight w:val="none"/>
              </w:rPr>
            </w:pPr>
            <w:r>
              <w:rPr>
                <w:rFonts w:hint="eastAsia"/>
                <w:color w:val="auto"/>
                <w:highlight w:val="none"/>
                <w:lang w:eastAsia="zh-CN"/>
              </w:rPr>
              <w:t>本项目拟收购两个住宅项目用于保障性租赁住房，其中本标段为智胜新家园小区(一期项目)共319套住房，面积共计21273.46平方米，对其进行装修改造，并配置家具家电。</w:t>
            </w:r>
          </w:p>
          <w:p w14:paraId="4C7388F1">
            <w:pPr>
              <w:pStyle w:val="11"/>
              <w:spacing w:before="134" w:line="220" w:lineRule="auto"/>
              <w:rPr>
                <w:color w:val="auto"/>
                <w:highlight w:val="none"/>
              </w:rPr>
            </w:pPr>
            <w:r>
              <w:rPr>
                <w:color w:val="auto"/>
                <w:spacing w:val="-1"/>
                <w:highlight w:val="none"/>
              </w:rPr>
              <w:t>关于招标范围的详细说明见第七章“技术标准和要求”。</w:t>
            </w:r>
          </w:p>
        </w:tc>
      </w:tr>
      <w:tr w14:paraId="4CAA7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8" w:hRule="atLeast"/>
        </w:trPr>
        <w:tc>
          <w:tcPr>
            <w:tcW w:w="854" w:type="dxa"/>
            <w:vAlign w:val="top"/>
          </w:tcPr>
          <w:p w14:paraId="3BC2AAF6">
            <w:pPr>
              <w:spacing w:line="243" w:lineRule="auto"/>
              <w:rPr>
                <w:rFonts w:ascii="Arial"/>
                <w:color w:val="auto"/>
                <w:sz w:val="21"/>
                <w:highlight w:val="none"/>
              </w:rPr>
            </w:pPr>
          </w:p>
          <w:p w14:paraId="0EF2018B">
            <w:pPr>
              <w:spacing w:line="243" w:lineRule="auto"/>
              <w:rPr>
                <w:rFonts w:ascii="Arial"/>
                <w:color w:val="auto"/>
                <w:sz w:val="21"/>
                <w:highlight w:val="none"/>
              </w:rPr>
            </w:pPr>
          </w:p>
          <w:p w14:paraId="435B0B43">
            <w:pPr>
              <w:spacing w:line="244" w:lineRule="auto"/>
              <w:rPr>
                <w:rFonts w:ascii="Arial"/>
                <w:color w:val="auto"/>
                <w:sz w:val="21"/>
                <w:highlight w:val="none"/>
              </w:rPr>
            </w:pPr>
          </w:p>
          <w:p w14:paraId="412800D6">
            <w:pPr>
              <w:spacing w:line="244" w:lineRule="auto"/>
              <w:rPr>
                <w:rFonts w:ascii="Arial"/>
                <w:color w:val="auto"/>
                <w:sz w:val="21"/>
                <w:highlight w:val="none"/>
              </w:rPr>
            </w:pPr>
          </w:p>
          <w:p w14:paraId="209409F9">
            <w:pPr>
              <w:spacing w:before="60"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1.3.2</w:t>
            </w:r>
          </w:p>
        </w:tc>
        <w:tc>
          <w:tcPr>
            <w:tcW w:w="2121" w:type="dxa"/>
            <w:vAlign w:val="top"/>
          </w:tcPr>
          <w:p w14:paraId="2F314F5E">
            <w:pPr>
              <w:spacing w:line="310" w:lineRule="auto"/>
              <w:rPr>
                <w:rFonts w:ascii="Arial"/>
                <w:color w:val="auto"/>
                <w:sz w:val="21"/>
                <w:highlight w:val="none"/>
              </w:rPr>
            </w:pPr>
          </w:p>
          <w:p w14:paraId="0D2CFAD2">
            <w:pPr>
              <w:spacing w:line="310" w:lineRule="auto"/>
              <w:rPr>
                <w:rFonts w:ascii="Arial"/>
                <w:color w:val="auto"/>
                <w:sz w:val="21"/>
                <w:highlight w:val="none"/>
              </w:rPr>
            </w:pPr>
          </w:p>
          <w:p w14:paraId="344A36E7">
            <w:pPr>
              <w:spacing w:line="310" w:lineRule="auto"/>
              <w:rPr>
                <w:rFonts w:ascii="Arial"/>
                <w:color w:val="auto"/>
                <w:sz w:val="21"/>
                <w:highlight w:val="none"/>
              </w:rPr>
            </w:pPr>
          </w:p>
          <w:p w14:paraId="44D27B73">
            <w:pPr>
              <w:pStyle w:val="11"/>
              <w:spacing w:before="68" w:line="221" w:lineRule="auto"/>
              <w:ind w:left="647"/>
              <w:rPr>
                <w:color w:val="auto"/>
                <w:highlight w:val="none"/>
              </w:rPr>
            </w:pPr>
            <w:r>
              <w:rPr>
                <w:color w:val="auto"/>
                <w:spacing w:val="-1"/>
                <w:highlight w:val="none"/>
              </w:rPr>
              <w:t>计划工期</w:t>
            </w:r>
          </w:p>
        </w:tc>
        <w:tc>
          <w:tcPr>
            <w:tcW w:w="5447" w:type="dxa"/>
            <w:vAlign w:val="top"/>
          </w:tcPr>
          <w:p w14:paraId="696192E4">
            <w:pPr>
              <w:pStyle w:val="11"/>
              <w:spacing w:before="202" w:line="221" w:lineRule="auto"/>
              <w:ind w:left="111"/>
              <w:rPr>
                <w:color w:val="auto"/>
                <w:highlight w:val="none"/>
              </w:rPr>
            </w:pPr>
            <w:r>
              <w:rPr>
                <w:color w:val="auto"/>
                <w:spacing w:val="-26"/>
                <w:highlight w:val="none"/>
              </w:rPr>
              <w:t>计划工期：</w:t>
            </w:r>
            <w:r>
              <w:rPr>
                <w:color w:val="auto"/>
                <w:spacing w:val="49"/>
                <w:highlight w:val="none"/>
              </w:rPr>
              <w:t xml:space="preserve"> </w:t>
            </w:r>
            <w:r>
              <w:rPr>
                <w:color w:val="auto"/>
                <w:spacing w:val="17"/>
                <w:highlight w:val="none"/>
                <w:u w:val="single" w:color="auto"/>
              </w:rPr>
              <w:t xml:space="preserve"> </w:t>
            </w:r>
            <w:r>
              <w:rPr>
                <w:rFonts w:hint="eastAsia"/>
                <w:color w:val="auto"/>
                <w:spacing w:val="17"/>
                <w:highlight w:val="none"/>
                <w:u w:val="single" w:color="auto"/>
                <w:lang w:val="en-US" w:eastAsia="zh-CN"/>
              </w:rPr>
              <w:t>67日历天</w:t>
            </w:r>
            <w:r>
              <w:rPr>
                <w:color w:val="auto"/>
                <w:spacing w:val="-26"/>
                <w:highlight w:val="none"/>
              </w:rPr>
              <w:t>；</w:t>
            </w:r>
          </w:p>
          <w:p w14:paraId="0ACC35B6">
            <w:pPr>
              <w:pStyle w:val="11"/>
              <w:spacing w:before="69" w:line="279" w:lineRule="auto"/>
              <w:ind w:left="111"/>
              <w:rPr>
                <w:color w:val="auto"/>
                <w:highlight w:val="none"/>
              </w:rPr>
            </w:pPr>
            <w:r>
              <w:rPr>
                <w:color w:val="auto"/>
                <w:spacing w:val="-7"/>
                <w:highlight w:val="none"/>
              </w:rPr>
              <w:t>计划开工日期：</w:t>
            </w:r>
            <w:r>
              <w:rPr>
                <w:color w:val="auto"/>
                <w:spacing w:val="-28"/>
                <w:highlight w:val="none"/>
              </w:rPr>
              <w:t xml:space="preserve"> </w:t>
            </w:r>
            <w:r>
              <w:rPr>
                <w:rFonts w:hint="eastAsia"/>
                <w:color w:val="auto"/>
                <w:spacing w:val="10"/>
                <w:highlight w:val="none"/>
                <w:u w:val="single" w:color="auto"/>
                <w:lang w:val="en-US" w:eastAsia="zh-CN"/>
              </w:rPr>
              <w:t>2026年4月24日</w:t>
            </w:r>
          </w:p>
          <w:p w14:paraId="571493F3">
            <w:pPr>
              <w:pStyle w:val="11"/>
              <w:spacing w:line="220" w:lineRule="auto"/>
              <w:ind w:left="111"/>
              <w:rPr>
                <w:color w:val="auto"/>
                <w:highlight w:val="none"/>
              </w:rPr>
            </w:pPr>
            <w:r>
              <w:rPr>
                <w:color w:val="auto"/>
                <w:spacing w:val="-13"/>
                <w:highlight w:val="none"/>
              </w:rPr>
              <w:t>计划竣工日期：</w:t>
            </w:r>
            <w:r>
              <w:rPr>
                <w:color w:val="auto"/>
                <w:spacing w:val="-27"/>
                <w:highlight w:val="none"/>
              </w:rPr>
              <w:t xml:space="preserve"> </w:t>
            </w:r>
            <w:r>
              <w:rPr>
                <w:rFonts w:hint="eastAsia"/>
                <w:color w:val="auto"/>
                <w:spacing w:val="10"/>
                <w:highlight w:val="none"/>
                <w:u w:val="single" w:color="auto"/>
                <w:lang w:val="en-US" w:eastAsia="zh-CN"/>
              </w:rPr>
              <w:t>2026</w:t>
            </w:r>
            <w:r>
              <w:rPr>
                <w:color w:val="auto"/>
                <w:spacing w:val="-13"/>
                <w:highlight w:val="none"/>
              </w:rPr>
              <w:t>年</w:t>
            </w:r>
            <w:r>
              <w:rPr>
                <w:rFonts w:hint="eastAsia"/>
                <w:color w:val="auto"/>
                <w:spacing w:val="-13"/>
                <w:highlight w:val="none"/>
                <w:lang w:val="en-US" w:eastAsia="zh-CN"/>
              </w:rPr>
              <w:t>6</w:t>
            </w:r>
            <w:r>
              <w:rPr>
                <w:color w:val="auto"/>
                <w:spacing w:val="-13"/>
                <w:highlight w:val="none"/>
              </w:rPr>
              <w:t>月</w:t>
            </w:r>
            <w:r>
              <w:rPr>
                <w:rFonts w:hint="eastAsia"/>
                <w:color w:val="auto"/>
                <w:spacing w:val="14"/>
                <w:highlight w:val="none"/>
                <w:u w:val="single" w:color="auto"/>
                <w:lang w:val="en-US" w:eastAsia="zh-CN"/>
              </w:rPr>
              <w:t>30</w:t>
            </w:r>
            <w:r>
              <w:rPr>
                <w:color w:val="auto"/>
                <w:spacing w:val="-13"/>
                <w:highlight w:val="none"/>
              </w:rPr>
              <w:t>日。</w:t>
            </w:r>
          </w:p>
          <w:p w14:paraId="7C02243C">
            <w:pPr>
              <w:pStyle w:val="11"/>
              <w:spacing w:before="70" w:line="221" w:lineRule="auto"/>
              <w:ind w:left="123"/>
              <w:rPr>
                <w:color w:val="auto"/>
                <w:highlight w:val="none"/>
              </w:rPr>
            </w:pPr>
            <w:r>
              <w:rPr>
                <w:color w:val="auto"/>
                <w:spacing w:val="-3"/>
                <w:highlight w:val="none"/>
              </w:rPr>
              <w:t>除上述总工期外，发包人还要求以下区段工期：</w:t>
            </w:r>
          </w:p>
          <w:p w14:paraId="0CFA22E6">
            <w:pPr>
              <w:pStyle w:val="11"/>
              <w:tabs>
                <w:tab w:val="left" w:pos="2340"/>
              </w:tabs>
              <w:spacing w:before="206" w:line="174" w:lineRule="auto"/>
              <w:ind w:left="103"/>
              <w:rPr>
                <w:color w:val="auto"/>
                <w:sz w:val="7"/>
                <w:szCs w:val="7"/>
                <w:highlight w:val="none"/>
              </w:rPr>
            </w:pPr>
            <w:r>
              <w:rPr>
                <w:rFonts w:hint="eastAsia"/>
                <w:color w:val="auto"/>
                <w:sz w:val="7"/>
                <w:szCs w:val="7"/>
                <w:highlight w:val="none"/>
                <w:u w:val="single" w:color="auto"/>
                <w:lang w:val="en-US" w:eastAsia="zh-CN"/>
              </w:rPr>
              <w:t>/</w:t>
            </w:r>
            <w:r>
              <w:rPr>
                <w:color w:val="auto"/>
                <w:sz w:val="7"/>
                <w:szCs w:val="7"/>
                <w:highlight w:val="none"/>
                <w:u w:val="single" w:color="auto"/>
              </w:rPr>
              <w:tab/>
            </w:r>
            <w:r>
              <w:rPr>
                <w:color w:val="auto"/>
                <w:sz w:val="7"/>
                <w:szCs w:val="7"/>
                <w:highlight w:val="none"/>
                <w:u w:val="single" w:color="auto"/>
              </w:rPr>
              <w:t xml:space="preserve">。    </w:t>
            </w:r>
          </w:p>
          <w:p w14:paraId="447A8EB7">
            <w:pPr>
              <w:pStyle w:val="11"/>
              <w:spacing w:before="115" w:line="220" w:lineRule="auto"/>
              <w:ind w:left="112"/>
              <w:rPr>
                <w:color w:val="auto"/>
                <w:highlight w:val="none"/>
              </w:rPr>
            </w:pPr>
            <w:r>
              <w:rPr>
                <w:color w:val="auto"/>
                <w:spacing w:val="-1"/>
                <w:highlight w:val="none"/>
              </w:rPr>
              <w:t>有关工期的详细要求见第七章“技术标准和要求”。</w:t>
            </w:r>
          </w:p>
        </w:tc>
      </w:tr>
    </w:tbl>
    <w:p w14:paraId="5F6F39F7">
      <w:pPr>
        <w:pStyle w:val="3"/>
        <w:rPr>
          <w:color w:val="auto"/>
          <w:highlight w:val="none"/>
        </w:rPr>
      </w:pPr>
    </w:p>
    <w:p w14:paraId="74072617">
      <w:pPr>
        <w:rPr>
          <w:color w:val="auto"/>
          <w:highlight w:val="none"/>
        </w:rPr>
        <w:sectPr>
          <w:footerReference r:id="rId17" w:type="default"/>
          <w:pgSz w:w="11905" w:h="16839"/>
          <w:pgMar w:top="1421" w:right="1733" w:bottom="1036" w:left="1742" w:header="0" w:footer="847" w:gutter="0"/>
          <w:pgNumType w:fmt="decimal"/>
          <w:cols w:space="720" w:num="1"/>
        </w:sectPr>
      </w:pPr>
    </w:p>
    <w:p w14:paraId="0826BF2C">
      <w:pPr>
        <w:spacing w:line="95" w:lineRule="auto"/>
        <w:rPr>
          <w:rFonts w:ascii="Arial"/>
          <w:color w:val="auto"/>
          <w:sz w:val="2"/>
          <w:highlight w:val="none"/>
        </w:rPr>
      </w:pPr>
    </w:p>
    <w:tbl>
      <w:tblPr>
        <w:tblStyle w:val="10"/>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2F96C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854" w:type="dxa"/>
            <w:vAlign w:val="top"/>
          </w:tcPr>
          <w:p w14:paraId="6DA92A03">
            <w:pPr>
              <w:spacing w:line="373" w:lineRule="auto"/>
              <w:rPr>
                <w:rFonts w:ascii="Arial"/>
                <w:color w:val="auto"/>
                <w:sz w:val="21"/>
                <w:highlight w:val="none"/>
              </w:rPr>
            </w:pPr>
          </w:p>
          <w:p w14:paraId="4ED50CA5">
            <w:pPr>
              <w:spacing w:before="60" w:line="189" w:lineRule="auto"/>
              <w:ind w:left="236"/>
              <w:rPr>
                <w:rFonts w:ascii="Times New Roman" w:hAnsi="Times New Roman" w:eastAsia="Times New Roman" w:cs="Times New Roman"/>
                <w:color w:val="auto"/>
                <w:sz w:val="21"/>
                <w:szCs w:val="21"/>
                <w:highlight w:val="none"/>
              </w:rPr>
            </w:pPr>
            <w:bookmarkStart w:id="26" w:name="bookmark51"/>
            <w:bookmarkEnd w:id="26"/>
            <w:bookmarkStart w:id="27" w:name="bookmark50"/>
            <w:bookmarkEnd w:id="27"/>
            <w:r>
              <w:rPr>
                <w:rFonts w:ascii="Times New Roman" w:hAnsi="Times New Roman" w:eastAsia="Times New Roman" w:cs="Times New Roman"/>
                <w:color w:val="auto"/>
                <w:spacing w:val="-4"/>
                <w:sz w:val="21"/>
                <w:szCs w:val="21"/>
                <w:highlight w:val="none"/>
              </w:rPr>
              <w:t>1.3.3</w:t>
            </w:r>
          </w:p>
        </w:tc>
        <w:tc>
          <w:tcPr>
            <w:tcW w:w="2121" w:type="dxa"/>
            <w:vAlign w:val="top"/>
          </w:tcPr>
          <w:p w14:paraId="623C627C">
            <w:pPr>
              <w:spacing w:line="329" w:lineRule="auto"/>
              <w:rPr>
                <w:rFonts w:ascii="Arial"/>
                <w:color w:val="auto"/>
                <w:sz w:val="21"/>
                <w:highlight w:val="none"/>
              </w:rPr>
            </w:pPr>
          </w:p>
          <w:p w14:paraId="6EA79A69">
            <w:pPr>
              <w:pStyle w:val="11"/>
              <w:spacing w:before="68" w:line="221" w:lineRule="auto"/>
              <w:ind w:left="648"/>
              <w:rPr>
                <w:color w:val="auto"/>
                <w:highlight w:val="none"/>
              </w:rPr>
            </w:pPr>
            <w:r>
              <w:rPr>
                <w:color w:val="auto"/>
                <w:spacing w:val="-1"/>
                <w:highlight w:val="none"/>
              </w:rPr>
              <w:t>质量要求</w:t>
            </w:r>
          </w:p>
        </w:tc>
        <w:tc>
          <w:tcPr>
            <w:tcW w:w="5447" w:type="dxa"/>
            <w:vAlign w:val="top"/>
          </w:tcPr>
          <w:p w14:paraId="086AAB65">
            <w:pPr>
              <w:pStyle w:val="11"/>
              <w:spacing w:before="81" w:line="221" w:lineRule="auto"/>
              <w:ind w:left="112"/>
              <w:rPr>
                <w:color w:val="auto"/>
                <w:highlight w:val="none"/>
              </w:rPr>
            </w:pPr>
            <w:r>
              <w:rPr>
                <w:color w:val="auto"/>
                <w:spacing w:val="-21"/>
                <w:highlight w:val="none"/>
              </w:rPr>
              <w:t>质量目标：</w:t>
            </w:r>
            <w:r>
              <w:rPr>
                <w:color w:val="auto"/>
                <w:spacing w:val="52"/>
                <w:highlight w:val="none"/>
              </w:rPr>
              <w:t xml:space="preserve"> </w:t>
            </w:r>
            <w:r>
              <w:rPr>
                <w:color w:val="auto"/>
                <w:spacing w:val="-48"/>
                <w:highlight w:val="none"/>
                <w:u w:val="single" w:color="auto"/>
              </w:rPr>
              <w:t xml:space="preserve"> </w:t>
            </w:r>
            <w:r>
              <w:rPr>
                <w:color w:val="auto"/>
                <w:spacing w:val="-21"/>
                <w:highlight w:val="none"/>
                <w:u w:val="single" w:color="auto"/>
              </w:rPr>
              <w:t>合格；</w:t>
            </w:r>
          </w:p>
          <w:p w14:paraId="4532D9B6">
            <w:pPr>
              <w:pStyle w:val="11"/>
              <w:spacing w:before="66" w:line="221" w:lineRule="auto"/>
              <w:ind w:left="112"/>
              <w:rPr>
                <w:color w:val="auto"/>
                <w:highlight w:val="none"/>
              </w:rPr>
            </w:pPr>
            <w:r>
              <w:rPr>
                <w:color w:val="auto"/>
                <w:spacing w:val="-27"/>
                <w:highlight w:val="none"/>
              </w:rPr>
              <w:t>其他要求：</w:t>
            </w:r>
            <w:r>
              <w:rPr>
                <w:color w:val="auto"/>
                <w:spacing w:val="53"/>
                <w:highlight w:val="none"/>
              </w:rPr>
              <w:t xml:space="preserve"> </w:t>
            </w:r>
            <w:r>
              <w:rPr>
                <w:color w:val="auto"/>
                <w:spacing w:val="3"/>
                <w:highlight w:val="none"/>
                <w:u w:val="single" w:color="auto"/>
              </w:rPr>
              <w:t xml:space="preserve">             </w:t>
            </w:r>
            <w:r>
              <w:rPr>
                <w:color w:val="auto"/>
                <w:spacing w:val="-27"/>
                <w:highlight w:val="none"/>
                <w:u w:val="single" w:color="auto"/>
              </w:rPr>
              <w:t>。</w:t>
            </w:r>
          </w:p>
          <w:p w14:paraId="4E63BF5A">
            <w:pPr>
              <w:pStyle w:val="11"/>
              <w:spacing w:before="70" w:line="210" w:lineRule="auto"/>
              <w:ind w:left="114"/>
              <w:rPr>
                <w:color w:val="auto"/>
                <w:highlight w:val="none"/>
              </w:rPr>
            </w:pPr>
            <w:r>
              <w:rPr>
                <w:color w:val="auto"/>
                <w:spacing w:val="-1"/>
                <w:highlight w:val="none"/>
              </w:rPr>
              <w:t>关于质量要求的详细说明见第七章“技术标准和要求”。</w:t>
            </w:r>
          </w:p>
        </w:tc>
      </w:tr>
      <w:tr w14:paraId="0AB2B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6" w:hRule="atLeast"/>
        </w:trPr>
        <w:tc>
          <w:tcPr>
            <w:tcW w:w="854" w:type="dxa"/>
            <w:vAlign w:val="top"/>
          </w:tcPr>
          <w:p w14:paraId="57664BC8">
            <w:pPr>
              <w:spacing w:line="253" w:lineRule="auto"/>
              <w:rPr>
                <w:rFonts w:ascii="Arial"/>
                <w:color w:val="auto"/>
                <w:sz w:val="21"/>
                <w:highlight w:val="none"/>
              </w:rPr>
            </w:pPr>
          </w:p>
          <w:p w14:paraId="1D5F75AF">
            <w:pPr>
              <w:spacing w:line="253" w:lineRule="auto"/>
              <w:rPr>
                <w:rFonts w:ascii="Arial"/>
                <w:color w:val="auto"/>
                <w:sz w:val="21"/>
                <w:highlight w:val="none"/>
              </w:rPr>
            </w:pPr>
          </w:p>
          <w:p w14:paraId="4501D85A">
            <w:pPr>
              <w:spacing w:line="253" w:lineRule="auto"/>
              <w:rPr>
                <w:rFonts w:ascii="Arial"/>
                <w:color w:val="auto"/>
                <w:sz w:val="21"/>
                <w:highlight w:val="none"/>
              </w:rPr>
            </w:pPr>
          </w:p>
          <w:p w14:paraId="483ED654">
            <w:pPr>
              <w:spacing w:line="253" w:lineRule="auto"/>
              <w:rPr>
                <w:rFonts w:ascii="Arial"/>
                <w:color w:val="auto"/>
                <w:sz w:val="21"/>
                <w:highlight w:val="none"/>
              </w:rPr>
            </w:pPr>
          </w:p>
          <w:p w14:paraId="04A1E04B">
            <w:pPr>
              <w:spacing w:line="253" w:lineRule="auto"/>
              <w:rPr>
                <w:rFonts w:ascii="Arial"/>
                <w:color w:val="auto"/>
                <w:sz w:val="21"/>
                <w:highlight w:val="none"/>
              </w:rPr>
            </w:pPr>
          </w:p>
          <w:p w14:paraId="203AC5E4">
            <w:pPr>
              <w:spacing w:line="254" w:lineRule="auto"/>
              <w:rPr>
                <w:rFonts w:ascii="Arial"/>
                <w:color w:val="auto"/>
                <w:sz w:val="21"/>
                <w:highlight w:val="none"/>
              </w:rPr>
            </w:pPr>
          </w:p>
          <w:p w14:paraId="0EC2A4D9">
            <w:pPr>
              <w:spacing w:line="254" w:lineRule="auto"/>
              <w:rPr>
                <w:rFonts w:ascii="Arial"/>
                <w:color w:val="auto"/>
                <w:sz w:val="21"/>
                <w:highlight w:val="none"/>
              </w:rPr>
            </w:pPr>
          </w:p>
          <w:p w14:paraId="3C55F7A1">
            <w:pPr>
              <w:spacing w:line="254" w:lineRule="auto"/>
              <w:rPr>
                <w:rFonts w:ascii="Arial"/>
                <w:color w:val="auto"/>
                <w:sz w:val="21"/>
                <w:highlight w:val="none"/>
              </w:rPr>
            </w:pPr>
          </w:p>
          <w:p w14:paraId="3A9EA6DC">
            <w:pPr>
              <w:spacing w:line="254" w:lineRule="auto"/>
              <w:rPr>
                <w:rFonts w:ascii="Arial"/>
                <w:color w:val="auto"/>
                <w:sz w:val="21"/>
                <w:highlight w:val="none"/>
              </w:rPr>
            </w:pPr>
          </w:p>
          <w:p w14:paraId="4ECBF963">
            <w:pPr>
              <w:spacing w:before="61"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1.4.1</w:t>
            </w:r>
          </w:p>
        </w:tc>
        <w:tc>
          <w:tcPr>
            <w:tcW w:w="2121" w:type="dxa"/>
            <w:vAlign w:val="top"/>
          </w:tcPr>
          <w:p w14:paraId="3C7F458B">
            <w:pPr>
              <w:spacing w:line="259" w:lineRule="auto"/>
              <w:rPr>
                <w:rFonts w:ascii="Arial"/>
                <w:color w:val="auto"/>
                <w:sz w:val="21"/>
                <w:highlight w:val="none"/>
              </w:rPr>
            </w:pPr>
          </w:p>
          <w:p w14:paraId="55DB13ED">
            <w:pPr>
              <w:spacing w:line="259" w:lineRule="auto"/>
              <w:rPr>
                <w:rFonts w:ascii="Arial"/>
                <w:color w:val="auto"/>
                <w:sz w:val="21"/>
                <w:highlight w:val="none"/>
              </w:rPr>
            </w:pPr>
          </w:p>
          <w:p w14:paraId="19CE2AC4">
            <w:pPr>
              <w:spacing w:line="259" w:lineRule="auto"/>
              <w:rPr>
                <w:rFonts w:ascii="Arial"/>
                <w:color w:val="auto"/>
                <w:sz w:val="21"/>
                <w:highlight w:val="none"/>
              </w:rPr>
            </w:pPr>
          </w:p>
          <w:p w14:paraId="44AD00A0">
            <w:pPr>
              <w:spacing w:line="259" w:lineRule="auto"/>
              <w:rPr>
                <w:rFonts w:ascii="Arial"/>
                <w:color w:val="auto"/>
                <w:sz w:val="21"/>
                <w:highlight w:val="none"/>
              </w:rPr>
            </w:pPr>
          </w:p>
          <w:p w14:paraId="661B03E0">
            <w:pPr>
              <w:spacing w:line="259" w:lineRule="auto"/>
              <w:rPr>
                <w:rFonts w:ascii="Arial"/>
                <w:color w:val="auto"/>
                <w:sz w:val="21"/>
                <w:highlight w:val="none"/>
              </w:rPr>
            </w:pPr>
          </w:p>
          <w:p w14:paraId="15B013B2">
            <w:pPr>
              <w:spacing w:line="260" w:lineRule="auto"/>
              <w:rPr>
                <w:rFonts w:ascii="Arial"/>
                <w:color w:val="auto"/>
                <w:sz w:val="21"/>
                <w:highlight w:val="none"/>
              </w:rPr>
            </w:pPr>
          </w:p>
          <w:p w14:paraId="5787831F">
            <w:pPr>
              <w:spacing w:line="260" w:lineRule="auto"/>
              <w:rPr>
                <w:rFonts w:ascii="Arial"/>
                <w:color w:val="auto"/>
                <w:sz w:val="21"/>
                <w:highlight w:val="none"/>
              </w:rPr>
            </w:pPr>
          </w:p>
          <w:p w14:paraId="5329245C">
            <w:pPr>
              <w:spacing w:line="260" w:lineRule="auto"/>
              <w:rPr>
                <w:rFonts w:ascii="Arial"/>
                <w:color w:val="auto"/>
                <w:sz w:val="21"/>
                <w:highlight w:val="none"/>
              </w:rPr>
            </w:pPr>
          </w:p>
          <w:p w14:paraId="75E6577A">
            <w:pPr>
              <w:pStyle w:val="11"/>
              <w:spacing w:before="69" w:line="251" w:lineRule="auto"/>
              <w:ind w:left="549" w:right="245" w:hanging="322"/>
              <w:rPr>
                <w:color w:val="auto"/>
                <w:highlight w:val="none"/>
              </w:rPr>
            </w:pPr>
            <w:r>
              <w:rPr>
                <w:color w:val="auto"/>
                <w:spacing w:val="-5"/>
                <w:highlight w:val="none"/>
              </w:rPr>
              <w:t>投标人资质条件、</w:t>
            </w:r>
            <w:r>
              <w:rPr>
                <w:color w:val="auto"/>
                <w:spacing w:val="1"/>
                <w:highlight w:val="none"/>
              </w:rPr>
              <w:t xml:space="preserve"> </w:t>
            </w:r>
            <w:r>
              <w:rPr>
                <w:color w:val="auto"/>
                <w:spacing w:val="-2"/>
                <w:highlight w:val="none"/>
              </w:rPr>
              <w:t>能力和信誉</w:t>
            </w:r>
          </w:p>
        </w:tc>
        <w:tc>
          <w:tcPr>
            <w:tcW w:w="5447" w:type="dxa"/>
            <w:vAlign w:val="top"/>
          </w:tcPr>
          <w:p w14:paraId="3F72B422">
            <w:pPr>
              <w:pStyle w:val="11"/>
              <w:spacing w:before="76" w:line="261" w:lineRule="auto"/>
              <w:ind w:left="114" w:right="109" w:firstLine="5"/>
              <w:rPr>
                <w:color w:val="auto"/>
                <w:highlight w:val="none"/>
              </w:rPr>
            </w:pPr>
            <w:r>
              <w:rPr>
                <w:color w:val="auto"/>
                <w:spacing w:val="-5"/>
                <w:highlight w:val="none"/>
                <w14:textOutline w14:w="3831" w14:cap="flat" w14:cmpd="sng">
                  <w14:solidFill>
                    <w14:srgbClr w14:val="000000"/>
                  </w14:solidFill>
                  <w14:prstDash w14:val="solid"/>
                  <w14:miter w14:val="0"/>
                </w14:textOutline>
              </w:rPr>
              <w:t>资质条件：具备</w:t>
            </w:r>
            <w:r>
              <w:rPr>
                <w:color w:val="auto"/>
                <w:spacing w:val="-104"/>
                <w:highlight w:val="none"/>
              </w:rPr>
              <w:t xml:space="preserve"> </w:t>
            </w:r>
            <w:r>
              <w:rPr>
                <w:rFonts w:ascii="宋体" w:hAnsi="宋体" w:eastAsia="宋体" w:cs="宋体"/>
                <w:color w:val="auto"/>
                <w:spacing w:val="-1"/>
                <w:sz w:val="21"/>
                <w:szCs w:val="21"/>
                <w:highlight w:val="none"/>
              </w:rPr>
              <w:t>具备 [施工总承包·</w:t>
            </w:r>
            <w:r>
              <w:rPr>
                <w:rFonts w:hint="eastAsia" w:cs="宋体"/>
                <w:color w:val="auto"/>
                <w:spacing w:val="-1"/>
                <w:sz w:val="21"/>
                <w:szCs w:val="21"/>
                <w:highlight w:val="none"/>
                <w:lang w:eastAsia="zh-CN"/>
              </w:rPr>
              <w:t>建筑工程</w:t>
            </w:r>
            <w:r>
              <w:rPr>
                <w:rFonts w:ascii="宋体" w:hAnsi="宋体" w:eastAsia="宋体" w:cs="宋体"/>
                <w:color w:val="auto"/>
                <w:spacing w:val="-1"/>
                <w:sz w:val="21"/>
                <w:szCs w:val="21"/>
                <w:highlight w:val="none"/>
              </w:rPr>
              <w:t>·</w:t>
            </w:r>
            <w:r>
              <w:rPr>
                <w:rFonts w:hint="eastAsia" w:cs="宋体"/>
                <w:color w:val="auto"/>
                <w:spacing w:val="-1"/>
                <w:sz w:val="21"/>
                <w:szCs w:val="21"/>
                <w:highlight w:val="none"/>
                <w:lang w:eastAsia="zh-CN"/>
              </w:rPr>
              <w:t>建筑工程二级</w:t>
            </w:r>
            <w:r>
              <w:rPr>
                <w:rFonts w:ascii="宋体" w:hAnsi="宋体" w:eastAsia="宋体" w:cs="宋体"/>
                <w:color w:val="auto"/>
                <w:spacing w:val="-1"/>
                <w:sz w:val="21"/>
                <w:szCs w:val="21"/>
                <w:highlight w:val="none"/>
              </w:rPr>
              <w:t>](含)</w:t>
            </w:r>
            <w:r>
              <w:rPr>
                <w:rFonts w:hint="eastAsia" w:ascii="宋体" w:hAnsi="宋体" w:eastAsia="宋体" w:cs="宋体"/>
                <w:color w:val="auto"/>
                <w:spacing w:val="-1"/>
                <w:sz w:val="21"/>
                <w:szCs w:val="21"/>
                <w:highlight w:val="none"/>
                <w:lang w:val="en-US" w:eastAsia="zh-CN"/>
              </w:rPr>
              <w:t>以</w:t>
            </w:r>
            <w:r>
              <w:rPr>
                <w:rFonts w:ascii="宋体" w:hAnsi="宋体" w:eastAsia="宋体" w:cs="宋体"/>
                <w:color w:val="auto"/>
                <w:spacing w:val="-1"/>
                <w:sz w:val="21"/>
                <w:szCs w:val="21"/>
                <w:highlight w:val="none"/>
              </w:rPr>
              <w:t>上资质</w:t>
            </w:r>
            <w:r>
              <w:rPr>
                <w:rFonts w:hint="eastAsia" w:ascii="宋体" w:hAnsi="宋体" w:eastAsia="宋体" w:cs="宋体"/>
                <w:color w:val="auto"/>
                <w:spacing w:val="-1"/>
                <w:sz w:val="21"/>
                <w:szCs w:val="21"/>
                <w:highlight w:val="none"/>
                <w:lang w:val="en-US" w:eastAsia="zh-CN"/>
              </w:rPr>
              <w:t>或建筑装修装饰工程专业承包二级及以上资质</w:t>
            </w:r>
            <w:r>
              <w:rPr>
                <w:color w:val="auto"/>
                <w:spacing w:val="-5"/>
                <w:highlight w:val="none"/>
              </w:rPr>
              <w:t>且</w:t>
            </w:r>
            <w:r>
              <w:rPr>
                <w:color w:val="auto"/>
                <w:spacing w:val="7"/>
                <w:highlight w:val="none"/>
              </w:rPr>
              <w:t>具备有效的安全生产许可证，具备市场监督管理部门核</w:t>
            </w:r>
            <w:r>
              <w:rPr>
                <w:color w:val="auto"/>
                <w:spacing w:val="-4"/>
                <w:highlight w:val="none"/>
              </w:rPr>
              <w:t>发的有效营业执照。</w:t>
            </w:r>
          </w:p>
          <w:p w14:paraId="4F50BBB7">
            <w:pPr>
              <w:pStyle w:val="11"/>
              <w:spacing w:before="69" w:line="252" w:lineRule="auto"/>
              <w:ind w:left="112" w:right="124" w:hanging="1"/>
              <w:rPr>
                <w:color w:val="auto"/>
                <w:highlight w:val="none"/>
              </w:rPr>
            </w:pPr>
            <w:r>
              <w:rPr>
                <w:color w:val="auto"/>
                <w:spacing w:val="-5"/>
                <w:highlight w:val="none"/>
                <w14:textOutline w14:w="3831" w14:cap="flat" w14:cmpd="sng">
                  <w14:solidFill>
                    <w14:srgbClr w14:val="000000"/>
                  </w14:solidFill>
                  <w14:prstDash w14:val="solid"/>
                  <w14:miter w14:val="0"/>
                </w14:textOutline>
              </w:rPr>
              <w:t>信誉要求：</w:t>
            </w:r>
            <w:r>
              <w:rPr>
                <w:color w:val="auto"/>
                <w:spacing w:val="72"/>
                <w:highlight w:val="none"/>
              </w:rPr>
              <w:t xml:space="preserve"> </w:t>
            </w:r>
            <w:r>
              <w:rPr>
                <w:color w:val="auto"/>
                <w:spacing w:val="-5"/>
                <w:highlight w:val="none"/>
              </w:rPr>
              <w:t>不得具有投标人须知第</w:t>
            </w:r>
            <w:r>
              <w:rPr>
                <w:color w:val="auto"/>
                <w:spacing w:val="28"/>
                <w:highlight w:val="none"/>
              </w:rPr>
              <w:t xml:space="preserve"> </w:t>
            </w:r>
            <w:r>
              <w:rPr>
                <w:rFonts w:ascii="Times New Roman" w:hAnsi="Times New Roman" w:eastAsia="Times New Roman" w:cs="Times New Roman"/>
                <w:color w:val="auto"/>
                <w:spacing w:val="-5"/>
                <w:highlight w:val="none"/>
              </w:rPr>
              <w:t>1.4.3</w:t>
            </w:r>
            <w:r>
              <w:rPr>
                <w:color w:val="auto"/>
                <w:spacing w:val="-5"/>
                <w:highlight w:val="none"/>
              </w:rPr>
              <w:t>（</w:t>
            </w:r>
            <w:r>
              <w:rPr>
                <w:rFonts w:ascii="Times New Roman" w:hAnsi="Times New Roman" w:eastAsia="Times New Roman" w:cs="Times New Roman"/>
                <w:color w:val="auto"/>
                <w:spacing w:val="-5"/>
                <w:highlight w:val="none"/>
              </w:rPr>
              <w:t>10</w:t>
            </w:r>
            <w:r>
              <w:rPr>
                <w:color w:val="auto"/>
                <w:spacing w:val="-5"/>
                <w:highlight w:val="none"/>
              </w:rPr>
              <w:t>）至（</w:t>
            </w:r>
            <w:r>
              <w:rPr>
                <w:rFonts w:ascii="Times New Roman" w:hAnsi="Times New Roman" w:eastAsia="Times New Roman" w:cs="Times New Roman"/>
                <w:color w:val="auto"/>
                <w:spacing w:val="-5"/>
                <w:highlight w:val="none"/>
              </w:rPr>
              <w:t>17</w:t>
            </w:r>
            <w:r>
              <w:rPr>
                <w:color w:val="auto"/>
                <w:spacing w:val="-5"/>
                <w:highlight w:val="none"/>
              </w:rPr>
              <w:t>）</w:t>
            </w:r>
            <w:r>
              <w:rPr>
                <w:color w:val="auto"/>
                <w:highlight w:val="none"/>
              </w:rPr>
              <w:t xml:space="preserve"> </w:t>
            </w:r>
            <w:r>
              <w:rPr>
                <w:color w:val="auto"/>
                <w:spacing w:val="-4"/>
                <w:highlight w:val="none"/>
              </w:rPr>
              <w:t>条目规定的情形。</w:t>
            </w:r>
          </w:p>
          <w:p w14:paraId="1517701D">
            <w:pPr>
              <w:pStyle w:val="11"/>
              <w:spacing w:before="66" w:line="266" w:lineRule="auto"/>
              <w:ind w:left="111" w:right="110" w:firstLine="3"/>
              <w:rPr>
                <w:color w:val="auto"/>
                <w:highlight w:val="none"/>
              </w:rPr>
            </w:pPr>
            <w:r>
              <w:rPr>
                <w:color w:val="auto"/>
                <w:spacing w:val="-8"/>
                <w:highlight w:val="none"/>
                <w14:textOutline w14:w="3831" w14:cap="flat" w14:cmpd="sng">
                  <w14:solidFill>
                    <w14:srgbClr w14:val="000000"/>
                  </w14:solidFill>
                  <w14:prstDash w14:val="solid"/>
                  <w14:miter w14:val="0"/>
                </w14:textOutline>
              </w:rPr>
              <w:t>项目经理资格：</w:t>
            </w:r>
            <w:r>
              <w:rPr>
                <w:color w:val="auto"/>
                <w:spacing w:val="80"/>
                <w:highlight w:val="none"/>
              </w:rPr>
              <w:t xml:space="preserve"> </w:t>
            </w:r>
            <w:r>
              <w:rPr>
                <w:color w:val="auto"/>
                <w:spacing w:val="-8"/>
                <w:highlight w:val="none"/>
              </w:rPr>
              <w:t>具备</w:t>
            </w:r>
            <w:r>
              <w:rPr>
                <w:rFonts w:hint="eastAsia" w:cs="宋体"/>
                <w:color w:val="auto"/>
                <w:spacing w:val="-1"/>
                <w:sz w:val="21"/>
                <w:szCs w:val="21"/>
                <w:highlight w:val="none"/>
                <w:lang w:eastAsia="zh-CN"/>
              </w:rPr>
              <w:t>建筑工程</w:t>
            </w:r>
            <w:r>
              <w:rPr>
                <w:color w:val="auto"/>
                <w:spacing w:val="-8"/>
                <w:highlight w:val="none"/>
              </w:rPr>
              <w:t>专业</w:t>
            </w:r>
            <w:r>
              <w:rPr>
                <w:color w:val="auto"/>
                <w:spacing w:val="-8"/>
                <w:highlight w:val="none"/>
                <w:u w:val="single" w:color="auto"/>
              </w:rPr>
              <w:t xml:space="preserve"> </w:t>
            </w:r>
            <w:r>
              <w:rPr>
                <w:rFonts w:hint="eastAsia"/>
                <w:color w:val="auto"/>
                <w:spacing w:val="-8"/>
                <w:highlight w:val="none"/>
                <w:u w:val="single" w:color="auto"/>
                <w:lang w:val="en-US" w:eastAsia="zh-CN"/>
              </w:rPr>
              <w:t>二</w:t>
            </w:r>
            <w:r>
              <w:rPr>
                <w:color w:val="auto"/>
                <w:spacing w:val="-8"/>
                <w:highlight w:val="none"/>
              </w:rPr>
              <w:t>级注册建造师执业资</w:t>
            </w:r>
            <w:r>
              <w:rPr>
                <w:color w:val="auto"/>
                <w:spacing w:val="1"/>
                <w:highlight w:val="none"/>
              </w:rPr>
              <w:t>格和有效的安全生产考核合格证书（</w:t>
            </w:r>
            <w:r>
              <w:rPr>
                <w:rFonts w:ascii="Times New Roman" w:hAnsi="Times New Roman" w:eastAsia="Times New Roman" w:cs="Times New Roman"/>
                <w:color w:val="auto"/>
                <w:spacing w:val="1"/>
                <w:highlight w:val="none"/>
              </w:rPr>
              <w:t>B</w:t>
            </w:r>
            <w:r>
              <w:rPr>
                <w:rFonts w:ascii="Times New Roman" w:hAnsi="Times New Roman" w:eastAsia="Times New Roman" w:cs="Times New Roman"/>
                <w:color w:val="auto"/>
                <w:spacing w:val="37"/>
                <w:highlight w:val="none"/>
              </w:rPr>
              <w:t xml:space="preserve"> </w:t>
            </w:r>
            <w:r>
              <w:rPr>
                <w:color w:val="auto"/>
                <w:spacing w:val="1"/>
                <w:highlight w:val="none"/>
              </w:rPr>
              <w:t>证</w:t>
            </w:r>
            <w:r>
              <w:rPr>
                <w:color w:val="auto"/>
                <w:spacing w:val="-37"/>
                <w:highlight w:val="none"/>
              </w:rPr>
              <w:t>），</w:t>
            </w:r>
            <w:r>
              <w:rPr>
                <w:color w:val="auto"/>
                <w:spacing w:val="1"/>
                <w:highlight w:val="none"/>
              </w:rPr>
              <w:t>且未担任其</w:t>
            </w:r>
            <w:r>
              <w:rPr>
                <w:color w:val="auto"/>
                <w:spacing w:val="-2"/>
                <w:highlight w:val="none"/>
              </w:rPr>
              <w:t>他在建工程项目的项目经理，二次刷卡认证通过；《注册</w:t>
            </w:r>
            <w:r>
              <w:rPr>
                <w:color w:val="auto"/>
                <w:spacing w:val="-5"/>
                <w:highlight w:val="none"/>
              </w:rPr>
              <w:t>建造师执业管理办法（试行）》第九条规定的情</w:t>
            </w:r>
            <w:r>
              <w:rPr>
                <w:color w:val="auto"/>
                <w:spacing w:val="-6"/>
                <w:highlight w:val="none"/>
              </w:rPr>
              <w:t>形除外。</w:t>
            </w:r>
          </w:p>
          <w:p w14:paraId="21A59942">
            <w:pPr>
              <w:pStyle w:val="11"/>
              <w:spacing w:before="69" w:line="252" w:lineRule="auto"/>
              <w:ind w:left="110" w:right="116"/>
              <w:rPr>
                <w:color w:val="auto"/>
                <w:highlight w:val="none"/>
              </w:rPr>
            </w:pPr>
            <w:r>
              <w:rPr>
                <w:color w:val="auto"/>
                <w:spacing w:val="7"/>
                <w:highlight w:val="none"/>
                <w14:textOutline w14:w="3831" w14:cap="flat" w14:cmpd="sng">
                  <w14:solidFill>
                    <w14:srgbClr w14:val="000000"/>
                  </w14:solidFill>
                  <w14:prstDash w14:val="solid"/>
                  <w14:miter w14:val="0"/>
                </w14:textOutline>
              </w:rPr>
              <w:t>注：项目经理不得同时在两个或者两个以上工程项目担</w:t>
            </w:r>
            <w:r>
              <w:rPr>
                <w:color w:val="auto"/>
                <w:spacing w:val="4"/>
                <w:highlight w:val="none"/>
              </w:rPr>
              <w:t xml:space="preserve"> </w:t>
            </w:r>
            <w:r>
              <w:rPr>
                <w:color w:val="auto"/>
                <w:spacing w:val="-5"/>
                <w:highlight w:val="none"/>
                <w14:textOutline w14:w="3831" w14:cap="flat" w14:cmpd="sng">
                  <w14:solidFill>
                    <w14:srgbClr w14:val="000000"/>
                  </w14:solidFill>
                  <w14:prstDash w14:val="solid"/>
                  <w14:miter w14:val="0"/>
                </w14:textOutline>
              </w:rPr>
              <w:t>任项目经理。</w:t>
            </w:r>
          </w:p>
          <w:p w14:paraId="5196DE3F">
            <w:pPr>
              <w:pStyle w:val="11"/>
              <w:spacing w:before="67" w:line="221" w:lineRule="auto"/>
              <w:ind w:left="110"/>
              <w:rPr>
                <w:color w:val="auto"/>
                <w:highlight w:val="none"/>
              </w:rPr>
            </w:pPr>
            <w:r>
              <w:rPr>
                <w:color w:val="auto"/>
                <w:spacing w:val="-23"/>
                <w:w w:val="96"/>
                <w:highlight w:val="none"/>
                <w14:textOutline w14:w="3831" w14:cap="flat" w14:cmpd="sng">
                  <w14:solidFill>
                    <w14:srgbClr w14:val="000000"/>
                  </w14:solidFill>
                  <w14:prstDash w14:val="solid"/>
                  <w14:miter w14:val="0"/>
                </w14:textOutline>
              </w:rPr>
              <w:t>业绩要求：</w:t>
            </w:r>
            <w:r>
              <w:rPr>
                <w:color w:val="auto"/>
                <w:spacing w:val="48"/>
                <w:highlight w:val="none"/>
              </w:rPr>
              <w:t xml:space="preserve"> </w:t>
            </w:r>
            <w:r>
              <w:rPr>
                <w:color w:val="auto"/>
                <w:highlight w:val="none"/>
                <w:u w:val="single" w:color="auto"/>
              </w:rPr>
              <w:t xml:space="preserve"> </w:t>
            </w:r>
            <w:r>
              <w:rPr>
                <w:rFonts w:hint="eastAsia"/>
                <w:color w:val="auto"/>
                <w:highlight w:val="none"/>
                <w:u w:val="single" w:color="auto"/>
                <w:lang w:val="en-US" w:eastAsia="zh-CN"/>
              </w:rPr>
              <w:t>/</w:t>
            </w:r>
            <w:r>
              <w:rPr>
                <w:color w:val="auto"/>
                <w:highlight w:val="none"/>
                <w:u w:val="single" w:color="auto"/>
              </w:rPr>
              <w:t xml:space="preserve">                 </w:t>
            </w:r>
          </w:p>
          <w:p w14:paraId="5C1D81CD">
            <w:pPr>
              <w:pStyle w:val="11"/>
              <w:spacing w:before="70" w:line="220" w:lineRule="auto"/>
              <w:ind w:left="114"/>
              <w:rPr>
                <w:color w:val="auto"/>
                <w:highlight w:val="none"/>
              </w:rPr>
            </w:pPr>
            <w:r>
              <w:rPr>
                <w:color w:val="auto"/>
                <w:spacing w:val="-12"/>
                <w:highlight w:val="none"/>
                <w14:textOutline w14:w="3831" w14:cap="flat" w14:cmpd="sng">
                  <w14:solidFill>
                    <w14:srgbClr w14:val="000000"/>
                  </w14:solidFill>
                  <w14:prstDash w14:val="solid"/>
                  <w14:miter w14:val="0"/>
                </w14:textOutline>
              </w:rPr>
              <w:t>项目管理机构主要人员要求：</w:t>
            </w:r>
            <w:r>
              <w:rPr>
                <w:color w:val="auto"/>
                <w:spacing w:val="53"/>
                <w:highlight w:val="none"/>
              </w:rPr>
              <w:t xml:space="preserve"> </w:t>
            </w:r>
            <w:r>
              <w:rPr>
                <w:color w:val="auto"/>
                <w:highlight w:val="none"/>
                <w:u w:val="single" w:color="auto"/>
              </w:rPr>
              <w:t xml:space="preserve">  </w:t>
            </w:r>
            <w:r>
              <w:rPr>
                <w:rFonts w:hint="eastAsia"/>
                <w:color w:val="auto"/>
                <w:highlight w:val="none"/>
                <w:u w:val="single" w:color="auto"/>
                <w:lang w:val="en-US" w:eastAsia="zh-CN"/>
              </w:rPr>
              <w:t>/</w:t>
            </w:r>
            <w:r>
              <w:rPr>
                <w:color w:val="auto"/>
                <w:highlight w:val="none"/>
                <w:u w:val="single" w:color="auto"/>
              </w:rPr>
              <w:t xml:space="preserve">                </w:t>
            </w:r>
          </w:p>
          <w:p w14:paraId="5FB8B657">
            <w:pPr>
              <w:pStyle w:val="11"/>
              <w:spacing w:before="71" w:line="254" w:lineRule="auto"/>
              <w:ind w:left="107" w:right="584" w:firstLine="4"/>
              <w:rPr>
                <w:rFonts w:ascii="Times New Roman" w:hAnsi="Times New Roman" w:eastAsia="Times New Roman" w:cs="Times New Roman"/>
                <w:color w:val="auto"/>
                <w:highlight w:val="none"/>
              </w:rPr>
            </w:pPr>
            <w:r>
              <w:rPr>
                <w:color w:val="auto"/>
                <w:spacing w:val="-9"/>
                <w:highlight w:val="none"/>
                <w14:textOutline w14:w="3831" w14:cap="flat" w14:cmpd="sng">
                  <w14:solidFill>
                    <w14:srgbClr w14:val="000000"/>
                  </w14:solidFill>
                  <w14:prstDash w14:val="solid"/>
                  <w14:miter w14:val="0"/>
                </w14:textOutline>
              </w:rPr>
              <w:t>其他要求：</w:t>
            </w:r>
            <w:r>
              <w:rPr>
                <w:color w:val="auto"/>
                <w:spacing w:val="77"/>
                <w:highlight w:val="none"/>
              </w:rPr>
              <w:t xml:space="preserve"> </w:t>
            </w:r>
            <w:r>
              <w:rPr>
                <w:rFonts w:ascii="Times New Roman" w:hAnsi="Times New Roman" w:eastAsia="Times New Roman" w:cs="Times New Roman"/>
                <w:color w:val="auto"/>
                <w:spacing w:val="-9"/>
                <w:highlight w:val="none"/>
              </w:rPr>
              <w:t>1.</w:t>
            </w:r>
            <w:r>
              <w:rPr>
                <w:color w:val="auto"/>
                <w:spacing w:val="-9"/>
                <w:highlight w:val="none"/>
              </w:rPr>
              <w:t>具有有效的企业在辽基本信息登记单。</w:t>
            </w:r>
            <w:r>
              <w:rPr>
                <w:color w:val="auto"/>
                <w:highlight w:val="none"/>
              </w:rPr>
              <w:t xml:space="preserve"> </w:t>
            </w:r>
          </w:p>
        </w:tc>
      </w:tr>
      <w:tr w14:paraId="683C1C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9" w:hRule="atLeast"/>
        </w:trPr>
        <w:tc>
          <w:tcPr>
            <w:tcW w:w="854" w:type="dxa"/>
            <w:vAlign w:val="top"/>
          </w:tcPr>
          <w:p w14:paraId="3D88912D">
            <w:pPr>
              <w:spacing w:line="272" w:lineRule="auto"/>
              <w:rPr>
                <w:rFonts w:ascii="Arial"/>
                <w:color w:val="auto"/>
                <w:sz w:val="21"/>
                <w:highlight w:val="none"/>
              </w:rPr>
            </w:pPr>
          </w:p>
          <w:p w14:paraId="681B4A97">
            <w:pPr>
              <w:spacing w:line="272" w:lineRule="auto"/>
              <w:rPr>
                <w:rFonts w:ascii="Arial"/>
                <w:color w:val="auto"/>
                <w:sz w:val="21"/>
                <w:highlight w:val="none"/>
              </w:rPr>
            </w:pPr>
          </w:p>
          <w:p w14:paraId="416FF850">
            <w:pPr>
              <w:spacing w:line="273" w:lineRule="auto"/>
              <w:rPr>
                <w:rFonts w:ascii="Arial"/>
                <w:color w:val="auto"/>
                <w:sz w:val="21"/>
                <w:highlight w:val="none"/>
              </w:rPr>
            </w:pPr>
          </w:p>
          <w:p w14:paraId="5AB37C4B">
            <w:pPr>
              <w:spacing w:before="60"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1.4.2</w:t>
            </w:r>
          </w:p>
        </w:tc>
        <w:tc>
          <w:tcPr>
            <w:tcW w:w="2121" w:type="dxa"/>
            <w:vAlign w:val="top"/>
          </w:tcPr>
          <w:p w14:paraId="68E2A77D">
            <w:pPr>
              <w:spacing w:line="257" w:lineRule="auto"/>
              <w:rPr>
                <w:rFonts w:ascii="Arial"/>
                <w:color w:val="auto"/>
                <w:sz w:val="21"/>
                <w:highlight w:val="none"/>
              </w:rPr>
            </w:pPr>
          </w:p>
          <w:p w14:paraId="47B7E379">
            <w:pPr>
              <w:spacing w:line="258" w:lineRule="auto"/>
              <w:rPr>
                <w:rFonts w:ascii="Arial"/>
                <w:color w:val="auto"/>
                <w:sz w:val="21"/>
                <w:highlight w:val="none"/>
              </w:rPr>
            </w:pPr>
          </w:p>
          <w:p w14:paraId="010E7D92">
            <w:pPr>
              <w:spacing w:line="258" w:lineRule="auto"/>
              <w:rPr>
                <w:rFonts w:ascii="Arial"/>
                <w:color w:val="auto"/>
                <w:sz w:val="21"/>
                <w:highlight w:val="none"/>
              </w:rPr>
            </w:pPr>
          </w:p>
          <w:p w14:paraId="0D222A89">
            <w:pPr>
              <w:pStyle w:val="11"/>
              <w:spacing w:before="68" w:line="221" w:lineRule="auto"/>
              <w:ind w:left="122"/>
              <w:rPr>
                <w:color w:val="auto"/>
                <w:highlight w:val="none"/>
              </w:rPr>
            </w:pPr>
            <w:r>
              <w:rPr>
                <w:color w:val="auto"/>
                <w:spacing w:val="-1"/>
                <w:highlight w:val="none"/>
              </w:rPr>
              <w:t>是否接受联合体投标</w:t>
            </w:r>
          </w:p>
        </w:tc>
        <w:tc>
          <w:tcPr>
            <w:tcW w:w="5447" w:type="dxa"/>
            <w:vAlign w:val="top"/>
          </w:tcPr>
          <w:p w14:paraId="2BB46E86">
            <w:pPr>
              <w:pStyle w:val="11"/>
              <w:spacing w:before="207" w:line="222" w:lineRule="auto"/>
              <w:ind w:left="132"/>
              <w:rPr>
                <w:color w:val="auto"/>
                <w:highlight w:val="none"/>
              </w:rPr>
            </w:pPr>
            <w:r>
              <w:rPr>
                <w:color w:val="auto"/>
                <w:spacing w:val="-5"/>
                <w:highlight w:val="none"/>
              </w:rPr>
              <w:sym w:font="Wingdings 2" w:char="0052"/>
            </w:r>
            <w:r>
              <w:rPr>
                <w:color w:val="auto"/>
                <w:spacing w:val="-5"/>
                <w:highlight w:val="none"/>
              </w:rPr>
              <w:t>不接受</w:t>
            </w:r>
          </w:p>
          <w:p w14:paraId="4F6219FF">
            <w:pPr>
              <w:pStyle w:val="11"/>
              <w:spacing w:before="68" w:line="221" w:lineRule="auto"/>
              <w:ind w:left="132"/>
              <w:rPr>
                <w:color w:val="auto"/>
                <w:highlight w:val="none"/>
              </w:rPr>
            </w:pPr>
            <w:r>
              <w:rPr>
                <w:color w:val="auto"/>
                <w:spacing w:val="-10"/>
                <w:highlight w:val="none"/>
              </w:rPr>
              <w:t xml:space="preserve">□接受，应满足下列要求： </w:t>
            </w:r>
            <w:r>
              <w:rPr>
                <w:color w:val="auto"/>
                <w:highlight w:val="none"/>
                <w:u w:val="single" w:color="auto"/>
              </w:rPr>
              <w:t xml:space="preserve">       </w:t>
            </w:r>
          </w:p>
          <w:p w14:paraId="42AF99AC">
            <w:pPr>
              <w:pStyle w:val="11"/>
              <w:spacing w:before="67" w:line="262" w:lineRule="auto"/>
              <w:ind w:left="111" w:right="115"/>
              <w:jc w:val="both"/>
              <w:rPr>
                <w:color w:val="auto"/>
                <w:highlight w:val="none"/>
              </w:rPr>
            </w:pPr>
            <w:r>
              <w:rPr>
                <w:color w:val="auto"/>
                <w:spacing w:val="7"/>
                <w:highlight w:val="none"/>
              </w:rPr>
              <w:t>其中：</w:t>
            </w:r>
            <w:r>
              <w:rPr>
                <w:color w:val="auto"/>
                <w:spacing w:val="7"/>
                <w:highlight w:val="none"/>
                <w:u w:val="single" w:color="auto"/>
              </w:rPr>
              <w:t>联合体资质按照联合体协议约定的分工认定，其</w:t>
            </w:r>
            <w:r>
              <w:rPr>
                <w:color w:val="auto"/>
                <w:spacing w:val="4"/>
                <w:highlight w:val="none"/>
              </w:rPr>
              <w:t xml:space="preserve"> </w:t>
            </w:r>
            <w:r>
              <w:rPr>
                <w:color w:val="auto"/>
                <w:spacing w:val="7"/>
                <w:highlight w:val="none"/>
                <w:u w:val="single" w:color="auto"/>
              </w:rPr>
              <w:t>他按照评审标准规定和联合体协议中约定的各成员分工</w:t>
            </w:r>
            <w:r>
              <w:rPr>
                <w:color w:val="auto"/>
                <w:spacing w:val="4"/>
                <w:highlight w:val="none"/>
              </w:rPr>
              <w:t xml:space="preserve"> </w:t>
            </w:r>
            <w:r>
              <w:rPr>
                <w:color w:val="auto"/>
                <w:spacing w:val="-25"/>
                <w:w w:val="98"/>
                <w:highlight w:val="none"/>
                <w:u w:val="single" w:color="auto"/>
              </w:rPr>
              <w:t>要求进行。</w:t>
            </w:r>
            <w:r>
              <w:rPr>
                <w:color w:val="auto"/>
                <w:spacing w:val="3"/>
                <w:highlight w:val="none"/>
                <w:u w:val="single" w:color="auto"/>
              </w:rPr>
              <w:t xml:space="preserve">  </w:t>
            </w:r>
          </w:p>
        </w:tc>
      </w:tr>
      <w:tr w14:paraId="4907D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4" w:type="dxa"/>
            <w:vAlign w:val="top"/>
          </w:tcPr>
          <w:p w14:paraId="5638DEAE">
            <w:pPr>
              <w:pStyle w:val="11"/>
              <w:spacing w:before="118"/>
              <w:ind w:left="120" w:right="124" w:firstLine="115"/>
              <w:rPr>
                <w:color w:val="auto"/>
                <w:highlight w:val="none"/>
              </w:rPr>
            </w:pPr>
            <w:r>
              <w:rPr>
                <w:rFonts w:ascii="Times New Roman" w:hAnsi="Times New Roman" w:eastAsia="Times New Roman" w:cs="Times New Roman"/>
                <w:color w:val="auto"/>
                <w:spacing w:val="-5"/>
                <w:highlight w:val="none"/>
              </w:rPr>
              <w:t>1.4.3</w:t>
            </w:r>
            <w:r>
              <w:rPr>
                <w:rFonts w:ascii="Times New Roman" w:hAnsi="Times New Roman" w:eastAsia="Times New Roman" w:cs="Times New Roman"/>
                <w:color w:val="auto"/>
                <w:highlight w:val="none"/>
              </w:rPr>
              <w:t xml:space="preserve">   </w:t>
            </w:r>
            <w:r>
              <w:rPr>
                <w:color w:val="auto"/>
                <w:spacing w:val="-7"/>
                <w:highlight w:val="none"/>
              </w:rPr>
              <w:t>（</w:t>
            </w:r>
            <w:r>
              <w:rPr>
                <w:rFonts w:ascii="Times New Roman" w:hAnsi="Times New Roman" w:eastAsia="Times New Roman" w:cs="Times New Roman"/>
                <w:color w:val="auto"/>
                <w:spacing w:val="-7"/>
                <w:highlight w:val="none"/>
              </w:rPr>
              <w:t>17</w:t>
            </w:r>
            <w:r>
              <w:rPr>
                <w:color w:val="auto"/>
                <w:spacing w:val="-7"/>
                <w:highlight w:val="none"/>
              </w:rPr>
              <w:t>）</w:t>
            </w:r>
          </w:p>
        </w:tc>
        <w:tc>
          <w:tcPr>
            <w:tcW w:w="2121" w:type="dxa"/>
            <w:vAlign w:val="top"/>
          </w:tcPr>
          <w:p w14:paraId="5E468272">
            <w:pPr>
              <w:pStyle w:val="11"/>
              <w:spacing w:before="82" w:line="242" w:lineRule="auto"/>
              <w:ind w:left="752" w:right="108" w:hanging="631"/>
              <w:rPr>
                <w:color w:val="auto"/>
                <w:highlight w:val="none"/>
              </w:rPr>
            </w:pPr>
            <w:r>
              <w:rPr>
                <w:color w:val="auto"/>
                <w:spacing w:val="-1"/>
                <w:highlight w:val="none"/>
              </w:rPr>
              <w:t>投标人不得存在的其</w:t>
            </w:r>
            <w:r>
              <w:rPr>
                <w:color w:val="auto"/>
                <w:spacing w:val="3"/>
                <w:highlight w:val="none"/>
              </w:rPr>
              <w:t xml:space="preserve"> </w:t>
            </w:r>
            <w:r>
              <w:rPr>
                <w:color w:val="auto"/>
                <w:spacing w:val="-2"/>
                <w:highlight w:val="none"/>
              </w:rPr>
              <w:t>他情形</w:t>
            </w:r>
          </w:p>
        </w:tc>
        <w:tc>
          <w:tcPr>
            <w:tcW w:w="5447" w:type="dxa"/>
            <w:vAlign w:val="top"/>
          </w:tcPr>
          <w:p w14:paraId="4CE16D48">
            <w:pPr>
              <w:rPr>
                <w:rFonts w:hint="eastAsia" w:ascii="Arial" w:eastAsia="宋体"/>
                <w:color w:val="auto"/>
                <w:sz w:val="21"/>
                <w:highlight w:val="none"/>
                <w:lang w:val="en-US" w:eastAsia="zh-CN"/>
              </w:rPr>
            </w:pPr>
            <w:r>
              <w:rPr>
                <w:rFonts w:hint="eastAsia" w:eastAsia="宋体"/>
                <w:color w:val="auto"/>
                <w:sz w:val="21"/>
                <w:highlight w:val="none"/>
                <w:lang w:val="en-US" w:eastAsia="zh-CN"/>
              </w:rPr>
              <w:t>/</w:t>
            </w:r>
          </w:p>
        </w:tc>
      </w:tr>
      <w:tr w14:paraId="0EDC7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6" w:hRule="atLeast"/>
        </w:trPr>
        <w:tc>
          <w:tcPr>
            <w:tcW w:w="854" w:type="dxa"/>
            <w:vAlign w:val="top"/>
          </w:tcPr>
          <w:p w14:paraId="370B916B">
            <w:pPr>
              <w:spacing w:line="434" w:lineRule="auto"/>
              <w:rPr>
                <w:rFonts w:ascii="Arial"/>
                <w:color w:val="auto"/>
                <w:sz w:val="21"/>
                <w:highlight w:val="none"/>
              </w:rPr>
            </w:pPr>
          </w:p>
          <w:p w14:paraId="7DDC9847">
            <w:pPr>
              <w:spacing w:before="61" w:line="189" w:lineRule="auto"/>
              <w:ind w:left="23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1.9.1</w:t>
            </w:r>
          </w:p>
        </w:tc>
        <w:tc>
          <w:tcPr>
            <w:tcW w:w="2121" w:type="dxa"/>
            <w:vAlign w:val="top"/>
          </w:tcPr>
          <w:p w14:paraId="5B1BA1D3">
            <w:pPr>
              <w:spacing w:line="390" w:lineRule="auto"/>
              <w:rPr>
                <w:rFonts w:ascii="Arial"/>
                <w:color w:val="auto"/>
                <w:sz w:val="21"/>
                <w:highlight w:val="none"/>
              </w:rPr>
            </w:pPr>
          </w:p>
          <w:p w14:paraId="2F230490">
            <w:pPr>
              <w:pStyle w:val="11"/>
              <w:spacing w:before="68" w:line="221" w:lineRule="auto"/>
              <w:ind w:left="648"/>
              <w:rPr>
                <w:color w:val="auto"/>
                <w:highlight w:val="none"/>
              </w:rPr>
            </w:pPr>
            <w:r>
              <w:rPr>
                <w:color w:val="auto"/>
                <w:spacing w:val="-1"/>
                <w:highlight w:val="none"/>
              </w:rPr>
              <w:t>踏勘现场</w:t>
            </w:r>
          </w:p>
        </w:tc>
        <w:tc>
          <w:tcPr>
            <w:tcW w:w="5447" w:type="dxa"/>
            <w:vAlign w:val="top"/>
          </w:tcPr>
          <w:p w14:paraId="251B2D17">
            <w:pPr>
              <w:pStyle w:val="11"/>
              <w:spacing w:before="139" w:line="222" w:lineRule="auto"/>
              <w:ind w:left="132"/>
              <w:rPr>
                <w:color w:val="auto"/>
                <w:highlight w:val="none"/>
              </w:rPr>
            </w:pPr>
            <w:r>
              <w:rPr>
                <w:color w:val="auto"/>
                <w:spacing w:val="-4"/>
                <w:highlight w:val="none"/>
              </w:rPr>
              <w:sym w:font="Wingdings 2" w:char="0052"/>
            </w:r>
            <w:r>
              <w:rPr>
                <w:color w:val="auto"/>
                <w:spacing w:val="-4"/>
                <w:highlight w:val="none"/>
              </w:rPr>
              <w:t>不统一组织（选）</w:t>
            </w:r>
          </w:p>
          <w:p w14:paraId="797EDDCE">
            <w:pPr>
              <w:pStyle w:val="11"/>
              <w:spacing w:before="68" w:line="250" w:lineRule="auto"/>
              <w:ind w:left="1374" w:right="1766" w:hanging="1242"/>
              <w:rPr>
                <w:color w:val="auto"/>
                <w:highlight w:val="none"/>
              </w:rPr>
            </w:pPr>
            <w:r>
              <w:rPr>
                <w:color w:val="auto"/>
                <w:spacing w:val="-10"/>
                <w:highlight w:val="none"/>
              </w:rPr>
              <w:t>□统一组织，踏勘时间：</w:t>
            </w:r>
            <w:r>
              <w:rPr>
                <w:color w:val="auto"/>
                <w:spacing w:val="-22"/>
                <w:highlight w:val="none"/>
              </w:rPr>
              <w:t xml:space="preserve"> </w:t>
            </w:r>
            <w:r>
              <w:rPr>
                <w:color w:val="auto"/>
                <w:spacing w:val="9"/>
                <w:highlight w:val="none"/>
                <w:u w:val="single" w:color="auto"/>
              </w:rPr>
              <w:t xml:space="preserve">           </w:t>
            </w:r>
            <w:r>
              <w:rPr>
                <w:color w:val="auto"/>
                <w:spacing w:val="4"/>
                <w:highlight w:val="none"/>
              </w:rPr>
              <w:t xml:space="preserve"> </w:t>
            </w:r>
            <w:r>
              <w:rPr>
                <w:color w:val="auto"/>
                <w:spacing w:val="-17"/>
                <w:highlight w:val="none"/>
              </w:rPr>
              <w:t>踏勘地点：</w:t>
            </w:r>
            <w:r>
              <w:rPr>
                <w:color w:val="auto"/>
                <w:spacing w:val="-29"/>
                <w:highlight w:val="none"/>
              </w:rPr>
              <w:t xml:space="preserve"> </w:t>
            </w:r>
            <w:r>
              <w:rPr>
                <w:color w:val="auto"/>
                <w:highlight w:val="none"/>
                <w:u w:val="single" w:color="auto"/>
              </w:rPr>
              <w:t xml:space="preserve">            </w:t>
            </w:r>
          </w:p>
        </w:tc>
      </w:tr>
      <w:tr w14:paraId="63172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4" w:hRule="atLeast"/>
        </w:trPr>
        <w:tc>
          <w:tcPr>
            <w:tcW w:w="854" w:type="dxa"/>
            <w:vAlign w:val="top"/>
          </w:tcPr>
          <w:p w14:paraId="1F98AC3D">
            <w:pPr>
              <w:spacing w:line="257" w:lineRule="auto"/>
              <w:rPr>
                <w:rFonts w:ascii="Arial"/>
                <w:color w:val="auto"/>
                <w:sz w:val="21"/>
                <w:highlight w:val="none"/>
              </w:rPr>
            </w:pPr>
          </w:p>
          <w:p w14:paraId="398D6D46">
            <w:pPr>
              <w:spacing w:line="258" w:lineRule="auto"/>
              <w:rPr>
                <w:rFonts w:ascii="Arial"/>
                <w:color w:val="auto"/>
                <w:sz w:val="21"/>
                <w:highlight w:val="none"/>
              </w:rPr>
            </w:pPr>
          </w:p>
          <w:p w14:paraId="3CC943B9">
            <w:pPr>
              <w:spacing w:before="60" w:line="189" w:lineRule="auto"/>
              <w:ind w:left="183"/>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1.10.1</w:t>
            </w:r>
          </w:p>
        </w:tc>
        <w:tc>
          <w:tcPr>
            <w:tcW w:w="2121" w:type="dxa"/>
            <w:vAlign w:val="top"/>
          </w:tcPr>
          <w:p w14:paraId="7228313A">
            <w:pPr>
              <w:spacing w:line="471" w:lineRule="auto"/>
              <w:rPr>
                <w:rFonts w:ascii="Arial"/>
                <w:color w:val="auto"/>
                <w:sz w:val="21"/>
                <w:highlight w:val="none"/>
              </w:rPr>
            </w:pPr>
          </w:p>
          <w:p w14:paraId="5405D335">
            <w:pPr>
              <w:pStyle w:val="11"/>
              <w:spacing w:before="68" w:line="220" w:lineRule="auto"/>
              <w:ind w:left="544"/>
              <w:rPr>
                <w:color w:val="auto"/>
                <w:highlight w:val="none"/>
              </w:rPr>
            </w:pPr>
            <w:r>
              <w:rPr>
                <w:color w:val="auto"/>
                <w:spacing w:val="-1"/>
                <w:highlight w:val="none"/>
              </w:rPr>
              <w:t>投标预备会</w:t>
            </w:r>
          </w:p>
        </w:tc>
        <w:tc>
          <w:tcPr>
            <w:tcW w:w="5447" w:type="dxa"/>
            <w:vAlign w:val="top"/>
          </w:tcPr>
          <w:p w14:paraId="583E6527">
            <w:pPr>
              <w:pStyle w:val="11"/>
              <w:spacing w:before="224" w:line="222" w:lineRule="auto"/>
              <w:ind w:left="132"/>
              <w:rPr>
                <w:color w:val="auto"/>
                <w:highlight w:val="none"/>
              </w:rPr>
            </w:pPr>
            <w:r>
              <w:rPr>
                <w:color w:val="auto"/>
                <w:spacing w:val="-6"/>
                <w:highlight w:val="none"/>
              </w:rPr>
              <w:sym w:font="Wingdings 2" w:char="0052"/>
            </w:r>
            <w:r>
              <w:rPr>
                <w:color w:val="auto"/>
                <w:spacing w:val="-6"/>
                <w:highlight w:val="none"/>
              </w:rPr>
              <w:t>不召开（选）</w:t>
            </w:r>
          </w:p>
          <w:p w14:paraId="5534857D">
            <w:pPr>
              <w:pStyle w:val="11"/>
              <w:spacing w:before="65" w:line="252" w:lineRule="auto"/>
              <w:ind w:left="963" w:right="1977" w:hanging="831"/>
              <w:rPr>
                <w:color w:val="auto"/>
                <w:highlight w:val="none"/>
              </w:rPr>
            </w:pPr>
            <w:r>
              <w:rPr>
                <w:color w:val="auto"/>
                <w:spacing w:val="-16"/>
                <w:highlight w:val="none"/>
              </w:rPr>
              <w:t>□召开，召开时间：</w:t>
            </w:r>
            <w:r>
              <w:rPr>
                <w:color w:val="auto"/>
                <w:spacing w:val="14"/>
                <w:highlight w:val="none"/>
              </w:rPr>
              <w:t xml:space="preserve"> </w:t>
            </w:r>
            <w:r>
              <w:rPr>
                <w:color w:val="auto"/>
                <w:spacing w:val="7"/>
                <w:highlight w:val="none"/>
                <w:u w:val="single" w:color="auto"/>
              </w:rPr>
              <w:t xml:space="preserve">             </w:t>
            </w:r>
            <w:r>
              <w:rPr>
                <w:color w:val="auto"/>
                <w:spacing w:val="9"/>
                <w:highlight w:val="none"/>
              </w:rPr>
              <w:t xml:space="preserve"> </w:t>
            </w:r>
            <w:r>
              <w:rPr>
                <w:color w:val="auto"/>
                <w:spacing w:val="-27"/>
                <w:highlight w:val="none"/>
              </w:rPr>
              <w:t>召开地点：</w:t>
            </w:r>
            <w:r>
              <w:rPr>
                <w:color w:val="auto"/>
                <w:spacing w:val="13"/>
                <w:highlight w:val="none"/>
              </w:rPr>
              <w:t xml:space="preserve"> </w:t>
            </w:r>
            <w:r>
              <w:rPr>
                <w:color w:val="auto"/>
                <w:highlight w:val="none"/>
                <w:u w:val="single" w:color="auto"/>
              </w:rPr>
              <w:t xml:space="preserve">              </w:t>
            </w:r>
          </w:p>
        </w:tc>
      </w:tr>
      <w:tr w14:paraId="58A75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54" w:type="dxa"/>
            <w:vAlign w:val="top"/>
          </w:tcPr>
          <w:p w14:paraId="145C1EE4">
            <w:pPr>
              <w:spacing w:before="280" w:line="189" w:lineRule="auto"/>
              <w:ind w:left="183"/>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1.10.2</w:t>
            </w:r>
          </w:p>
        </w:tc>
        <w:tc>
          <w:tcPr>
            <w:tcW w:w="2121" w:type="dxa"/>
            <w:vAlign w:val="top"/>
          </w:tcPr>
          <w:p w14:paraId="2A4F0EBB">
            <w:pPr>
              <w:pStyle w:val="11"/>
              <w:spacing w:before="85" w:line="241" w:lineRule="auto"/>
              <w:ind w:left="646" w:right="214" w:hanging="419"/>
              <w:rPr>
                <w:color w:val="auto"/>
                <w:highlight w:val="none"/>
              </w:rPr>
            </w:pPr>
            <w:r>
              <w:rPr>
                <w:color w:val="auto"/>
                <w:spacing w:val="-1"/>
                <w:highlight w:val="none"/>
              </w:rPr>
              <w:t>投标人提出问题的</w:t>
            </w:r>
            <w:r>
              <w:rPr>
                <w:color w:val="auto"/>
                <w:highlight w:val="none"/>
              </w:rPr>
              <w:t xml:space="preserve"> </w:t>
            </w:r>
            <w:r>
              <w:rPr>
                <w:color w:val="auto"/>
                <w:spacing w:val="-1"/>
                <w:highlight w:val="none"/>
              </w:rPr>
              <w:t>截止时间</w:t>
            </w:r>
          </w:p>
        </w:tc>
        <w:tc>
          <w:tcPr>
            <w:tcW w:w="5447" w:type="dxa"/>
            <w:vAlign w:val="top"/>
          </w:tcPr>
          <w:p w14:paraId="59ED01EC">
            <w:pPr>
              <w:pStyle w:val="11"/>
              <w:spacing w:before="85" w:line="220" w:lineRule="auto"/>
              <w:ind w:left="132"/>
              <w:rPr>
                <w:color w:val="auto"/>
                <w:highlight w:val="none"/>
              </w:rPr>
            </w:pPr>
            <w:r>
              <w:rPr>
                <w:color w:val="auto"/>
                <w:spacing w:val="-5"/>
                <w:highlight w:val="none"/>
              </w:rPr>
              <w:t>□召开投标预备会之日</w:t>
            </w:r>
            <w:r>
              <w:rPr>
                <w:color w:val="auto"/>
                <w:spacing w:val="-94"/>
                <w:highlight w:val="none"/>
              </w:rPr>
              <w:t xml:space="preserve"> </w:t>
            </w:r>
            <w:r>
              <w:rPr>
                <w:color w:val="auto"/>
                <w:spacing w:val="20"/>
                <w:highlight w:val="none"/>
                <w:u w:val="single" w:color="auto"/>
              </w:rPr>
              <w:t xml:space="preserve">     </w:t>
            </w:r>
            <w:r>
              <w:rPr>
                <w:color w:val="auto"/>
                <w:spacing w:val="-57"/>
                <w:highlight w:val="none"/>
              </w:rPr>
              <w:t xml:space="preserve"> </w:t>
            </w:r>
            <w:r>
              <w:rPr>
                <w:color w:val="auto"/>
                <w:spacing w:val="-5"/>
                <w:highlight w:val="none"/>
              </w:rPr>
              <w:t>日前</w:t>
            </w:r>
          </w:p>
          <w:p w14:paraId="6274F9AA">
            <w:pPr>
              <w:pStyle w:val="11"/>
              <w:spacing w:before="66" w:line="204" w:lineRule="auto"/>
              <w:ind w:left="132"/>
              <w:rPr>
                <w:color w:val="auto"/>
                <w:highlight w:val="none"/>
              </w:rPr>
            </w:pPr>
            <w:r>
              <w:rPr>
                <w:rFonts w:hint="eastAsia"/>
                <w:color w:val="auto"/>
                <w:spacing w:val="-19"/>
                <w:highlight w:val="none"/>
                <w:lang w:eastAsia="zh-CN"/>
              </w:rPr>
              <w:t>☑</w:t>
            </w:r>
            <w:r>
              <w:rPr>
                <w:color w:val="auto"/>
                <w:spacing w:val="3"/>
                <w:highlight w:val="none"/>
              </w:rPr>
              <w:t xml:space="preserve"> </w:t>
            </w:r>
            <w:r>
              <w:rPr>
                <w:rFonts w:hint="eastAsia"/>
                <w:color w:val="auto"/>
                <w:spacing w:val="3"/>
                <w:highlight w:val="none"/>
                <w:lang w:val="en-US" w:eastAsia="zh-CN"/>
              </w:rPr>
              <w:t>2026年4月5日</w:t>
            </w:r>
            <w:r>
              <w:rPr>
                <w:rFonts w:hint="eastAsia"/>
                <w:color w:val="auto"/>
                <w:spacing w:val="5"/>
                <w:highlight w:val="none"/>
                <w:lang w:val="en-US" w:eastAsia="zh-CN"/>
              </w:rPr>
              <w:t>16</w:t>
            </w:r>
            <w:r>
              <w:rPr>
                <w:color w:val="auto"/>
                <w:spacing w:val="-19"/>
                <w:highlight w:val="none"/>
              </w:rPr>
              <w:t>时</w:t>
            </w:r>
            <w:r>
              <w:rPr>
                <w:rFonts w:hint="eastAsia"/>
                <w:color w:val="auto"/>
                <w:spacing w:val="-19"/>
                <w:highlight w:val="none"/>
                <w:lang w:val="en-US" w:eastAsia="zh-CN"/>
              </w:rPr>
              <w:t>0</w:t>
            </w:r>
            <w:r>
              <w:rPr>
                <w:rFonts w:hint="eastAsia"/>
                <w:color w:val="auto"/>
                <w:spacing w:val="4"/>
                <w:highlight w:val="none"/>
                <w:lang w:val="en-US" w:eastAsia="zh-CN"/>
              </w:rPr>
              <w:t>0</w:t>
            </w:r>
            <w:r>
              <w:rPr>
                <w:color w:val="auto"/>
                <w:spacing w:val="-19"/>
                <w:highlight w:val="none"/>
              </w:rPr>
              <w:t>分</w:t>
            </w:r>
          </w:p>
        </w:tc>
      </w:tr>
      <w:tr w14:paraId="16672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2" w:hRule="atLeast"/>
        </w:trPr>
        <w:tc>
          <w:tcPr>
            <w:tcW w:w="854" w:type="dxa"/>
            <w:vAlign w:val="top"/>
          </w:tcPr>
          <w:p w14:paraId="354A32C1">
            <w:pPr>
              <w:spacing w:line="333" w:lineRule="auto"/>
              <w:rPr>
                <w:rFonts w:ascii="Arial"/>
                <w:color w:val="auto"/>
                <w:sz w:val="21"/>
                <w:highlight w:val="none"/>
              </w:rPr>
            </w:pPr>
          </w:p>
          <w:p w14:paraId="59AE1003">
            <w:pPr>
              <w:spacing w:line="333" w:lineRule="auto"/>
              <w:rPr>
                <w:rFonts w:ascii="Arial"/>
                <w:color w:val="auto"/>
                <w:sz w:val="21"/>
                <w:highlight w:val="none"/>
              </w:rPr>
            </w:pPr>
          </w:p>
          <w:p w14:paraId="0A544697">
            <w:pPr>
              <w:spacing w:before="60" w:line="189" w:lineRule="auto"/>
              <w:ind w:left="264"/>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6"/>
                <w:sz w:val="21"/>
                <w:szCs w:val="21"/>
                <w:highlight w:val="none"/>
              </w:rPr>
              <w:t>1.11</w:t>
            </w:r>
          </w:p>
        </w:tc>
        <w:tc>
          <w:tcPr>
            <w:tcW w:w="2121" w:type="dxa"/>
            <w:vAlign w:val="top"/>
          </w:tcPr>
          <w:p w14:paraId="30941536">
            <w:pPr>
              <w:spacing w:line="311" w:lineRule="auto"/>
              <w:rPr>
                <w:rFonts w:ascii="Arial"/>
                <w:color w:val="auto"/>
                <w:sz w:val="21"/>
                <w:highlight w:val="none"/>
              </w:rPr>
            </w:pPr>
          </w:p>
          <w:p w14:paraId="7CCF72A4">
            <w:pPr>
              <w:spacing w:line="311" w:lineRule="auto"/>
              <w:rPr>
                <w:rFonts w:ascii="Arial"/>
                <w:color w:val="auto"/>
                <w:sz w:val="21"/>
                <w:highlight w:val="none"/>
              </w:rPr>
            </w:pPr>
          </w:p>
          <w:p w14:paraId="1EE20829">
            <w:pPr>
              <w:pStyle w:val="11"/>
              <w:spacing w:before="68" w:line="221" w:lineRule="auto"/>
              <w:ind w:left="808"/>
              <w:rPr>
                <w:color w:val="auto"/>
                <w:highlight w:val="none"/>
              </w:rPr>
            </w:pPr>
            <w:r>
              <w:rPr>
                <w:color w:val="auto"/>
                <w:spacing w:val="-5"/>
                <w:highlight w:val="none"/>
              </w:rPr>
              <w:t>分</w:t>
            </w:r>
            <w:r>
              <w:rPr>
                <w:color w:val="auto"/>
                <w:spacing w:val="8"/>
                <w:highlight w:val="none"/>
              </w:rPr>
              <w:t xml:space="preserve"> </w:t>
            </w:r>
            <w:r>
              <w:rPr>
                <w:color w:val="auto"/>
                <w:spacing w:val="-5"/>
                <w:highlight w:val="none"/>
              </w:rPr>
              <w:t>包</w:t>
            </w:r>
          </w:p>
        </w:tc>
        <w:tc>
          <w:tcPr>
            <w:tcW w:w="5447" w:type="dxa"/>
            <w:vAlign w:val="top"/>
          </w:tcPr>
          <w:p w14:paraId="7E056A4A">
            <w:pPr>
              <w:pStyle w:val="11"/>
              <w:spacing w:before="213" w:line="221" w:lineRule="auto"/>
              <w:ind w:left="132"/>
              <w:rPr>
                <w:color w:val="auto"/>
                <w:highlight w:val="none"/>
              </w:rPr>
            </w:pPr>
            <w:r>
              <w:rPr>
                <w:color w:val="auto"/>
                <w:spacing w:val="-5"/>
                <w:highlight w:val="none"/>
              </w:rPr>
              <w:sym w:font="Wingdings 2" w:char="0052"/>
            </w:r>
            <w:r>
              <w:rPr>
                <w:color w:val="auto"/>
                <w:spacing w:val="-5"/>
                <w:highlight w:val="none"/>
              </w:rPr>
              <w:t>不允许</w:t>
            </w:r>
          </w:p>
          <w:p w14:paraId="06291AA2">
            <w:pPr>
              <w:pStyle w:val="11"/>
              <w:spacing w:before="70" w:line="221" w:lineRule="auto"/>
              <w:ind w:left="132"/>
              <w:rPr>
                <w:color w:val="auto"/>
                <w:highlight w:val="none"/>
              </w:rPr>
            </w:pPr>
            <w:r>
              <w:rPr>
                <w:color w:val="auto"/>
                <w:spacing w:val="-10"/>
                <w:highlight w:val="none"/>
              </w:rPr>
              <w:t>□允许，分包内容要求：</w:t>
            </w:r>
            <w:r>
              <w:rPr>
                <w:color w:val="auto"/>
                <w:spacing w:val="-22"/>
                <w:highlight w:val="none"/>
              </w:rPr>
              <w:t xml:space="preserve"> </w:t>
            </w:r>
            <w:r>
              <w:rPr>
                <w:color w:val="auto"/>
                <w:highlight w:val="none"/>
                <w:u w:val="single" w:color="auto"/>
              </w:rPr>
              <w:t xml:space="preserve">             </w:t>
            </w:r>
          </w:p>
          <w:p w14:paraId="013D6D06">
            <w:pPr>
              <w:pStyle w:val="11"/>
              <w:spacing w:before="65" w:line="221" w:lineRule="auto"/>
              <w:ind w:left="959"/>
              <w:rPr>
                <w:color w:val="auto"/>
                <w:highlight w:val="none"/>
              </w:rPr>
            </w:pPr>
            <w:r>
              <w:rPr>
                <w:color w:val="auto"/>
                <w:spacing w:val="-13"/>
                <w:highlight w:val="none"/>
              </w:rPr>
              <w:t>分包金额要求：</w:t>
            </w:r>
            <w:r>
              <w:rPr>
                <w:color w:val="auto"/>
                <w:spacing w:val="-27"/>
                <w:highlight w:val="none"/>
              </w:rPr>
              <w:t xml:space="preserve"> </w:t>
            </w:r>
            <w:r>
              <w:rPr>
                <w:color w:val="auto"/>
                <w:highlight w:val="none"/>
                <w:u w:val="single" w:color="auto"/>
              </w:rPr>
              <w:t xml:space="preserve">             </w:t>
            </w:r>
          </w:p>
          <w:p w14:paraId="78602A0F">
            <w:pPr>
              <w:pStyle w:val="11"/>
              <w:spacing w:before="70" w:line="221" w:lineRule="auto"/>
              <w:ind w:left="374"/>
              <w:rPr>
                <w:color w:val="auto"/>
                <w:highlight w:val="none"/>
              </w:rPr>
            </w:pPr>
            <w:r>
              <w:rPr>
                <w:color w:val="auto"/>
                <w:spacing w:val="-1"/>
                <w:highlight w:val="none"/>
              </w:rPr>
              <w:t>接受分包的第三人资质要求：</w:t>
            </w:r>
            <w:r>
              <w:rPr>
                <w:color w:val="auto"/>
                <w:highlight w:val="none"/>
                <w:u w:val="single" w:color="auto"/>
              </w:rPr>
              <w:t xml:space="preserve">       </w:t>
            </w:r>
          </w:p>
        </w:tc>
      </w:tr>
    </w:tbl>
    <w:p w14:paraId="4D2AB538">
      <w:pPr>
        <w:pStyle w:val="3"/>
        <w:rPr>
          <w:color w:val="auto"/>
          <w:highlight w:val="none"/>
        </w:rPr>
      </w:pPr>
    </w:p>
    <w:p w14:paraId="667B989B">
      <w:pPr>
        <w:rPr>
          <w:color w:val="auto"/>
          <w:highlight w:val="none"/>
        </w:rPr>
        <w:sectPr>
          <w:footerReference r:id="rId18" w:type="default"/>
          <w:pgSz w:w="11905" w:h="16839"/>
          <w:pgMar w:top="1431" w:right="1733" w:bottom="1036" w:left="1742" w:header="0" w:footer="847" w:gutter="0"/>
          <w:pgNumType w:fmt="decimal"/>
          <w:cols w:space="720" w:num="1"/>
        </w:sectPr>
      </w:pPr>
    </w:p>
    <w:p w14:paraId="3F456278">
      <w:pPr>
        <w:spacing w:line="95" w:lineRule="auto"/>
        <w:rPr>
          <w:rFonts w:ascii="Arial"/>
          <w:color w:val="auto"/>
          <w:sz w:val="2"/>
          <w:highlight w:val="none"/>
        </w:rPr>
      </w:pPr>
    </w:p>
    <w:tbl>
      <w:tblPr>
        <w:tblStyle w:val="10"/>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2FA00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6" w:hRule="atLeast"/>
        </w:trPr>
        <w:tc>
          <w:tcPr>
            <w:tcW w:w="854" w:type="dxa"/>
            <w:vAlign w:val="top"/>
          </w:tcPr>
          <w:p w14:paraId="0A9EB1D3">
            <w:pPr>
              <w:spacing w:line="257" w:lineRule="auto"/>
              <w:rPr>
                <w:rFonts w:ascii="Arial"/>
                <w:color w:val="auto"/>
                <w:sz w:val="21"/>
                <w:highlight w:val="none"/>
              </w:rPr>
            </w:pPr>
          </w:p>
          <w:p w14:paraId="78B06315">
            <w:pPr>
              <w:spacing w:line="258" w:lineRule="auto"/>
              <w:rPr>
                <w:rFonts w:ascii="Arial"/>
                <w:color w:val="auto"/>
                <w:sz w:val="21"/>
                <w:highlight w:val="none"/>
              </w:rPr>
            </w:pPr>
          </w:p>
          <w:p w14:paraId="38643AD3">
            <w:pPr>
              <w:spacing w:line="258" w:lineRule="auto"/>
              <w:rPr>
                <w:rFonts w:ascii="Arial"/>
                <w:color w:val="auto"/>
                <w:sz w:val="21"/>
                <w:highlight w:val="none"/>
              </w:rPr>
            </w:pPr>
          </w:p>
          <w:p w14:paraId="1F5C39F3">
            <w:pPr>
              <w:spacing w:before="61" w:line="189" w:lineRule="auto"/>
              <w:ind w:left="260"/>
              <w:rPr>
                <w:rFonts w:ascii="Times New Roman" w:hAnsi="Times New Roman" w:eastAsia="Times New Roman" w:cs="Times New Roman"/>
                <w:color w:val="auto"/>
                <w:sz w:val="21"/>
                <w:szCs w:val="21"/>
                <w:highlight w:val="none"/>
              </w:rPr>
            </w:pPr>
            <w:bookmarkStart w:id="28" w:name="bookmark54"/>
            <w:bookmarkEnd w:id="28"/>
            <w:bookmarkStart w:id="29" w:name="bookmark52"/>
            <w:bookmarkEnd w:id="29"/>
            <w:bookmarkStart w:id="30" w:name="bookmark53"/>
            <w:bookmarkEnd w:id="30"/>
            <w:r>
              <w:rPr>
                <w:rFonts w:ascii="Times New Roman" w:hAnsi="Times New Roman" w:eastAsia="Times New Roman" w:cs="Times New Roman"/>
                <w:color w:val="auto"/>
                <w:spacing w:val="-5"/>
                <w:sz w:val="21"/>
                <w:szCs w:val="21"/>
                <w:highlight w:val="none"/>
              </w:rPr>
              <w:t>1.12</w:t>
            </w:r>
          </w:p>
        </w:tc>
        <w:tc>
          <w:tcPr>
            <w:tcW w:w="2121" w:type="dxa"/>
            <w:vAlign w:val="top"/>
          </w:tcPr>
          <w:p w14:paraId="13AFED70">
            <w:pPr>
              <w:spacing w:line="243" w:lineRule="auto"/>
              <w:rPr>
                <w:rFonts w:ascii="Arial"/>
                <w:color w:val="auto"/>
                <w:sz w:val="21"/>
                <w:highlight w:val="none"/>
              </w:rPr>
            </w:pPr>
          </w:p>
          <w:p w14:paraId="70DAEC1F">
            <w:pPr>
              <w:spacing w:line="243" w:lineRule="auto"/>
              <w:rPr>
                <w:rFonts w:ascii="Arial"/>
                <w:color w:val="auto"/>
                <w:sz w:val="21"/>
                <w:highlight w:val="none"/>
              </w:rPr>
            </w:pPr>
          </w:p>
          <w:p w14:paraId="67CF16AA">
            <w:pPr>
              <w:spacing w:line="243" w:lineRule="auto"/>
              <w:rPr>
                <w:rFonts w:ascii="Arial"/>
                <w:color w:val="auto"/>
                <w:sz w:val="21"/>
                <w:highlight w:val="none"/>
              </w:rPr>
            </w:pPr>
          </w:p>
          <w:p w14:paraId="79D1A74A">
            <w:pPr>
              <w:pStyle w:val="11"/>
              <w:spacing w:before="68" w:line="221" w:lineRule="auto"/>
              <w:ind w:left="806"/>
              <w:rPr>
                <w:color w:val="auto"/>
                <w:highlight w:val="none"/>
              </w:rPr>
            </w:pPr>
            <w:r>
              <w:rPr>
                <w:color w:val="auto"/>
                <w:spacing w:val="-4"/>
                <w:highlight w:val="none"/>
              </w:rPr>
              <w:t>偏</w:t>
            </w:r>
            <w:r>
              <w:rPr>
                <w:color w:val="auto"/>
                <w:spacing w:val="12"/>
                <w:highlight w:val="none"/>
              </w:rPr>
              <w:t xml:space="preserve"> </w:t>
            </w:r>
            <w:r>
              <w:rPr>
                <w:color w:val="auto"/>
                <w:spacing w:val="-4"/>
                <w:highlight w:val="none"/>
              </w:rPr>
              <w:t>离</w:t>
            </w:r>
          </w:p>
        </w:tc>
        <w:tc>
          <w:tcPr>
            <w:tcW w:w="5447" w:type="dxa"/>
            <w:vAlign w:val="top"/>
          </w:tcPr>
          <w:p w14:paraId="1D7CEF88">
            <w:pPr>
              <w:pStyle w:val="11"/>
              <w:spacing w:before="158" w:line="221" w:lineRule="auto"/>
              <w:ind w:left="132"/>
              <w:rPr>
                <w:color w:val="auto"/>
                <w:highlight w:val="none"/>
              </w:rPr>
            </w:pPr>
            <w:r>
              <w:rPr>
                <w:color w:val="auto"/>
                <w:spacing w:val="-5"/>
                <w:highlight w:val="none"/>
              </w:rPr>
              <w:sym w:font="Wingdings 2" w:char="0052"/>
            </w:r>
            <w:r>
              <w:rPr>
                <w:color w:val="auto"/>
                <w:spacing w:val="-5"/>
                <w:highlight w:val="none"/>
              </w:rPr>
              <w:t>不允许</w:t>
            </w:r>
          </w:p>
          <w:p w14:paraId="03DC4814">
            <w:pPr>
              <w:pStyle w:val="11"/>
              <w:spacing w:before="71" w:line="252" w:lineRule="auto"/>
              <w:ind w:left="113" w:right="116" w:firstLine="19"/>
              <w:rPr>
                <w:color w:val="auto"/>
                <w:highlight w:val="none"/>
              </w:rPr>
            </w:pPr>
            <w:r>
              <w:rPr>
                <w:color w:val="auto"/>
                <w:spacing w:val="6"/>
                <w:highlight w:val="none"/>
              </w:rPr>
              <w:t>□允许，可偏离的项目和范围见第七章“技术标准和要</w:t>
            </w:r>
            <w:r>
              <w:rPr>
                <w:color w:val="auto"/>
                <w:spacing w:val="7"/>
                <w:highlight w:val="none"/>
              </w:rPr>
              <w:t xml:space="preserve"> </w:t>
            </w:r>
            <w:r>
              <w:rPr>
                <w:color w:val="auto"/>
                <w:spacing w:val="-3"/>
                <w:highlight w:val="none"/>
              </w:rPr>
              <w:t>求”：</w:t>
            </w:r>
          </w:p>
          <w:p w14:paraId="70877524">
            <w:pPr>
              <w:pStyle w:val="11"/>
              <w:spacing w:before="64" w:line="283" w:lineRule="auto"/>
              <w:ind w:left="541"/>
              <w:rPr>
                <w:color w:val="auto"/>
                <w:highlight w:val="none"/>
              </w:rPr>
            </w:pPr>
            <w:r>
              <w:rPr>
                <w:color w:val="auto"/>
                <w:spacing w:val="-11"/>
                <w:highlight w:val="none"/>
              </w:rPr>
              <w:t>允许偏离最高项数：</w:t>
            </w:r>
            <w:r>
              <w:rPr>
                <w:color w:val="auto"/>
                <w:spacing w:val="-21"/>
                <w:highlight w:val="none"/>
              </w:rPr>
              <w:t xml:space="preserve"> </w:t>
            </w:r>
            <w:r>
              <w:rPr>
                <w:color w:val="auto"/>
                <w:highlight w:val="none"/>
                <w:u w:val="single" w:color="auto"/>
              </w:rPr>
              <w:t xml:space="preserve">      </w:t>
            </w:r>
          </w:p>
          <w:p w14:paraId="7147893D">
            <w:pPr>
              <w:pStyle w:val="11"/>
              <w:spacing w:line="220" w:lineRule="auto"/>
              <w:ind w:left="533"/>
              <w:rPr>
                <w:color w:val="auto"/>
                <w:highlight w:val="none"/>
              </w:rPr>
            </w:pPr>
            <w:r>
              <w:rPr>
                <w:color w:val="auto"/>
                <w:spacing w:val="-18"/>
                <w:highlight w:val="none"/>
              </w:rPr>
              <w:t>偏差调整方法：</w:t>
            </w:r>
            <w:r>
              <w:rPr>
                <w:color w:val="auto"/>
                <w:spacing w:val="15"/>
                <w:highlight w:val="none"/>
              </w:rPr>
              <w:t xml:space="preserve"> </w:t>
            </w:r>
            <w:r>
              <w:rPr>
                <w:color w:val="auto"/>
                <w:highlight w:val="none"/>
                <w:u w:val="single" w:color="auto"/>
              </w:rPr>
              <w:t xml:space="preserve">          </w:t>
            </w:r>
          </w:p>
        </w:tc>
      </w:tr>
      <w:tr w14:paraId="69B86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854" w:type="dxa"/>
            <w:vAlign w:val="top"/>
          </w:tcPr>
          <w:p w14:paraId="45A07393">
            <w:pPr>
              <w:spacing w:before="114" w:line="285" w:lineRule="exact"/>
              <w:ind w:left="215"/>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position w:val="8"/>
                <w:sz w:val="21"/>
                <w:szCs w:val="21"/>
                <w:highlight w:val="none"/>
              </w:rPr>
              <w:t>2.1.1</w:t>
            </w:r>
          </w:p>
          <w:p w14:paraId="73D05D91">
            <w:pPr>
              <w:pStyle w:val="11"/>
              <w:spacing w:line="209" w:lineRule="auto"/>
              <w:ind w:left="173"/>
              <w:rPr>
                <w:color w:val="auto"/>
                <w:highlight w:val="none"/>
              </w:rPr>
            </w:pPr>
            <w:r>
              <w:rPr>
                <w:color w:val="auto"/>
                <w:spacing w:val="-5"/>
                <w:highlight w:val="none"/>
              </w:rPr>
              <w:t>（</w:t>
            </w:r>
            <w:r>
              <w:rPr>
                <w:rFonts w:ascii="Times New Roman" w:hAnsi="Times New Roman" w:eastAsia="Times New Roman" w:cs="Times New Roman"/>
                <w:color w:val="auto"/>
                <w:spacing w:val="-5"/>
                <w:highlight w:val="none"/>
              </w:rPr>
              <w:t>9</w:t>
            </w:r>
            <w:r>
              <w:rPr>
                <w:color w:val="auto"/>
                <w:spacing w:val="-5"/>
                <w:highlight w:val="none"/>
              </w:rPr>
              <w:t>）</w:t>
            </w:r>
          </w:p>
        </w:tc>
        <w:tc>
          <w:tcPr>
            <w:tcW w:w="2121" w:type="dxa"/>
            <w:vAlign w:val="top"/>
          </w:tcPr>
          <w:p w14:paraId="3B21C8BC">
            <w:pPr>
              <w:pStyle w:val="11"/>
              <w:spacing w:before="78" w:line="246" w:lineRule="auto"/>
              <w:ind w:left="858" w:right="108" w:hanging="737"/>
              <w:rPr>
                <w:color w:val="auto"/>
                <w:highlight w:val="none"/>
              </w:rPr>
            </w:pPr>
            <w:r>
              <w:rPr>
                <w:color w:val="auto"/>
                <w:spacing w:val="-1"/>
                <w:highlight w:val="none"/>
              </w:rPr>
              <w:t>构成招标文件的其他</w:t>
            </w:r>
            <w:r>
              <w:rPr>
                <w:color w:val="auto"/>
                <w:spacing w:val="3"/>
                <w:highlight w:val="none"/>
              </w:rPr>
              <w:t xml:space="preserve"> </w:t>
            </w:r>
            <w:r>
              <w:rPr>
                <w:color w:val="auto"/>
                <w:spacing w:val="-2"/>
                <w:highlight w:val="none"/>
              </w:rPr>
              <w:t>材料</w:t>
            </w:r>
          </w:p>
        </w:tc>
        <w:tc>
          <w:tcPr>
            <w:tcW w:w="5447" w:type="dxa"/>
            <w:vAlign w:val="top"/>
          </w:tcPr>
          <w:p w14:paraId="06C6D461">
            <w:pPr>
              <w:rPr>
                <w:rFonts w:ascii="Arial"/>
                <w:color w:val="auto"/>
                <w:sz w:val="21"/>
                <w:highlight w:val="none"/>
              </w:rPr>
            </w:pPr>
            <w:bookmarkStart w:id="31" w:name="EB316973a01edd4d0b8a0629b63af16ead"/>
            <w:r>
              <w:rPr>
                <w:rFonts w:hint="eastAsia" w:ascii="仿宋_GB2312" w:eastAsia="仿宋_GB2312"/>
                <w:color w:val="auto"/>
                <w:sz w:val="24"/>
                <w:szCs w:val="24"/>
                <w:highlight w:val="none"/>
              </w:rPr>
              <w:t>招标人在招标期间发出的补遗文件和其他有效函件，均是招标文件的组成部分</w:t>
            </w:r>
            <w:bookmarkEnd w:id="31"/>
          </w:p>
        </w:tc>
      </w:tr>
      <w:tr w14:paraId="0CC89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trPr>
        <w:tc>
          <w:tcPr>
            <w:tcW w:w="854" w:type="dxa"/>
            <w:vAlign w:val="top"/>
          </w:tcPr>
          <w:p w14:paraId="5B60AD5F">
            <w:pPr>
              <w:spacing w:line="263" w:lineRule="auto"/>
              <w:rPr>
                <w:rFonts w:ascii="Arial"/>
                <w:color w:val="auto"/>
                <w:sz w:val="21"/>
                <w:highlight w:val="none"/>
              </w:rPr>
            </w:pPr>
          </w:p>
          <w:p w14:paraId="4D7D2DB0">
            <w:pPr>
              <w:spacing w:before="61" w:line="189" w:lineRule="auto"/>
              <w:ind w:left="215"/>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2.2.1</w:t>
            </w:r>
          </w:p>
        </w:tc>
        <w:tc>
          <w:tcPr>
            <w:tcW w:w="2121" w:type="dxa"/>
            <w:vAlign w:val="top"/>
          </w:tcPr>
          <w:p w14:paraId="0B6D29B6">
            <w:pPr>
              <w:pStyle w:val="11"/>
              <w:spacing w:before="130" w:line="252" w:lineRule="auto"/>
              <w:ind w:left="331" w:right="108" w:hanging="210"/>
              <w:rPr>
                <w:color w:val="auto"/>
                <w:highlight w:val="none"/>
              </w:rPr>
            </w:pPr>
            <w:r>
              <w:rPr>
                <w:color w:val="auto"/>
                <w:spacing w:val="-1"/>
                <w:highlight w:val="none"/>
              </w:rPr>
              <w:t>投标人要求澄清招标</w:t>
            </w:r>
            <w:r>
              <w:rPr>
                <w:color w:val="auto"/>
                <w:spacing w:val="3"/>
                <w:highlight w:val="none"/>
              </w:rPr>
              <w:t xml:space="preserve"> </w:t>
            </w:r>
            <w:r>
              <w:rPr>
                <w:color w:val="auto"/>
                <w:spacing w:val="-1"/>
                <w:highlight w:val="none"/>
              </w:rPr>
              <w:t>文件的截止时间</w:t>
            </w:r>
          </w:p>
        </w:tc>
        <w:tc>
          <w:tcPr>
            <w:tcW w:w="5447" w:type="dxa"/>
            <w:vAlign w:val="top"/>
          </w:tcPr>
          <w:p w14:paraId="24F05D8F">
            <w:pPr>
              <w:pStyle w:val="11"/>
              <w:spacing w:before="288" w:line="221" w:lineRule="auto"/>
              <w:ind w:left="112"/>
              <w:rPr>
                <w:color w:val="auto"/>
                <w:highlight w:val="none"/>
              </w:rPr>
            </w:pPr>
            <w:r>
              <w:rPr>
                <w:color w:val="auto"/>
                <w:spacing w:val="-3"/>
                <w:highlight w:val="none"/>
              </w:rPr>
              <w:t>递交投标文件截止之日</w:t>
            </w:r>
            <w:r>
              <w:rPr>
                <w:color w:val="auto"/>
                <w:spacing w:val="-97"/>
                <w:highlight w:val="none"/>
              </w:rPr>
              <w:t xml:space="preserve"> </w:t>
            </w:r>
            <w:r>
              <w:rPr>
                <w:color w:val="auto"/>
                <w:highlight w:val="none"/>
                <w:u w:val="single" w:color="auto"/>
              </w:rPr>
              <w:t xml:space="preserve">  </w:t>
            </w:r>
            <w:r>
              <w:rPr>
                <w:rFonts w:hint="eastAsia"/>
                <w:color w:val="auto"/>
                <w:highlight w:val="none"/>
                <w:u w:val="single" w:color="auto"/>
                <w:lang w:val="en-US" w:eastAsia="zh-CN"/>
              </w:rPr>
              <w:t>10</w:t>
            </w:r>
            <w:r>
              <w:rPr>
                <w:color w:val="auto"/>
                <w:highlight w:val="none"/>
                <w:u w:val="single" w:color="auto"/>
              </w:rPr>
              <w:t xml:space="preserve">   </w:t>
            </w:r>
            <w:r>
              <w:rPr>
                <w:color w:val="auto"/>
                <w:spacing w:val="-60"/>
                <w:highlight w:val="none"/>
              </w:rPr>
              <w:t xml:space="preserve"> </w:t>
            </w:r>
            <w:r>
              <w:rPr>
                <w:color w:val="auto"/>
                <w:spacing w:val="-3"/>
                <w:highlight w:val="none"/>
              </w:rPr>
              <w:t>日前</w:t>
            </w:r>
          </w:p>
        </w:tc>
      </w:tr>
      <w:tr w14:paraId="2AC52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7" w:hRule="atLeast"/>
        </w:trPr>
        <w:tc>
          <w:tcPr>
            <w:tcW w:w="854" w:type="dxa"/>
            <w:vAlign w:val="top"/>
          </w:tcPr>
          <w:p w14:paraId="799F8097">
            <w:pPr>
              <w:spacing w:line="265" w:lineRule="auto"/>
              <w:rPr>
                <w:rFonts w:ascii="Arial"/>
                <w:color w:val="auto"/>
                <w:sz w:val="21"/>
                <w:highlight w:val="none"/>
              </w:rPr>
            </w:pPr>
          </w:p>
          <w:p w14:paraId="0F942326">
            <w:pPr>
              <w:spacing w:line="265" w:lineRule="auto"/>
              <w:rPr>
                <w:rFonts w:ascii="Arial"/>
                <w:color w:val="auto"/>
                <w:sz w:val="21"/>
                <w:highlight w:val="none"/>
              </w:rPr>
            </w:pPr>
          </w:p>
          <w:p w14:paraId="5E0266AA">
            <w:pPr>
              <w:spacing w:line="265" w:lineRule="auto"/>
              <w:rPr>
                <w:rFonts w:ascii="Arial"/>
                <w:color w:val="auto"/>
                <w:sz w:val="21"/>
                <w:highlight w:val="none"/>
              </w:rPr>
            </w:pPr>
          </w:p>
          <w:p w14:paraId="74D58F5A">
            <w:pPr>
              <w:spacing w:line="265" w:lineRule="auto"/>
              <w:rPr>
                <w:rFonts w:ascii="Arial"/>
                <w:color w:val="auto"/>
                <w:sz w:val="21"/>
                <w:highlight w:val="none"/>
              </w:rPr>
            </w:pPr>
          </w:p>
          <w:p w14:paraId="7E32BCAC">
            <w:pPr>
              <w:spacing w:line="265" w:lineRule="auto"/>
              <w:rPr>
                <w:rFonts w:ascii="Arial"/>
                <w:color w:val="auto"/>
                <w:sz w:val="21"/>
                <w:highlight w:val="none"/>
              </w:rPr>
            </w:pPr>
          </w:p>
          <w:p w14:paraId="4878B79C">
            <w:pPr>
              <w:spacing w:line="265" w:lineRule="auto"/>
              <w:rPr>
                <w:rFonts w:ascii="Arial"/>
                <w:color w:val="auto"/>
                <w:sz w:val="21"/>
                <w:highlight w:val="none"/>
              </w:rPr>
            </w:pPr>
          </w:p>
          <w:p w14:paraId="6085575D">
            <w:pPr>
              <w:spacing w:line="265" w:lineRule="auto"/>
              <w:rPr>
                <w:rFonts w:ascii="Arial"/>
                <w:color w:val="auto"/>
                <w:sz w:val="21"/>
                <w:highlight w:val="none"/>
              </w:rPr>
            </w:pPr>
          </w:p>
          <w:p w14:paraId="26F1B3AB">
            <w:pPr>
              <w:spacing w:line="266" w:lineRule="auto"/>
              <w:rPr>
                <w:rFonts w:ascii="Arial"/>
                <w:color w:val="auto"/>
                <w:sz w:val="21"/>
                <w:highlight w:val="none"/>
              </w:rPr>
            </w:pPr>
          </w:p>
          <w:p w14:paraId="67EE75F8">
            <w:pPr>
              <w:spacing w:before="60" w:line="189" w:lineRule="auto"/>
              <w:ind w:left="215"/>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2.4.1</w:t>
            </w:r>
          </w:p>
        </w:tc>
        <w:tc>
          <w:tcPr>
            <w:tcW w:w="2121" w:type="dxa"/>
            <w:vAlign w:val="top"/>
          </w:tcPr>
          <w:p w14:paraId="427DBCEC">
            <w:pPr>
              <w:rPr>
                <w:rFonts w:ascii="Arial"/>
                <w:color w:val="auto"/>
                <w:sz w:val="21"/>
                <w:highlight w:val="none"/>
              </w:rPr>
            </w:pPr>
          </w:p>
          <w:p w14:paraId="4021EFC8">
            <w:pPr>
              <w:rPr>
                <w:rFonts w:ascii="Arial"/>
                <w:color w:val="auto"/>
                <w:sz w:val="21"/>
                <w:highlight w:val="none"/>
              </w:rPr>
            </w:pPr>
          </w:p>
          <w:p w14:paraId="27D5A848">
            <w:pPr>
              <w:rPr>
                <w:rFonts w:ascii="Arial"/>
                <w:color w:val="auto"/>
                <w:sz w:val="21"/>
                <w:highlight w:val="none"/>
              </w:rPr>
            </w:pPr>
          </w:p>
          <w:p w14:paraId="17815DE3">
            <w:pPr>
              <w:rPr>
                <w:rFonts w:ascii="Arial"/>
                <w:color w:val="auto"/>
                <w:sz w:val="21"/>
                <w:highlight w:val="none"/>
              </w:rPr>
            </w:pPr>
          </w:p>
          <w:p w14:paraId="360C6A4D">
            <w:pPr>
              <w:rPr>
                <w:rFonts w:ascii="Arial"/>
                <w:color w:val="auto"/>
                <w:sz w:val="21"/>
                <w:highlight w:val="none"/>
              </w:rPr>
            </w:pPr>
          </w:p>
          <w:p w14:paraId="1FF92729">
            <w:pPr>
              <w:rPr>
                <w:rFonts w:ascii="Arial"/>
                <w:color w:val="auto"/>
                <w:sz w:val="21"/>
                <w:highlight w:val="none"/>
              </w:rPr>
            </w:pPr>
          </w:p>
          <w:p w14:paraId="0A4EC036">
            <w:pPr>
              <w:rPr>
                <w:rFonts w:ascii="Arial"/>
                <w:color w:val="auto"/>
                <w:sz w:val="21"/>
                <w:highlight w:val="none"/>
              </w:rPr>
            </w:pPr>
          </w:p>
          <w:p w14:paraId="5D155C51">
            <w:pPr>
              <w:rPr>
                <w:rFonts w:ascii="Arial"/>
                <w:color w:val="auto"/>
                <w:sz w:val="21"/>
                <w:highlight w:val="none"/>
              </w:rPr>
            </w:pPr>
          </w:p>
          <w:p w14:paraId="72402ECC">
            <w:pPr>
              <w:pStyle w:val="11"/>
              <w:spacing w:before="68" w:line="252" w:lineRule="auto"/>
              <w:ind w:left="648" w:right="319" w:hanging="315"/>
              <w:rPr>
                <w:color w:val="auto"/>
                <w:highlight w:val="none"/>
              </w:rPr>
            </w:pPr>
            <w:r>
              <w:rPr>
                <w:color w:val="auto"/>
                <w:spacing w:val="-1"/>
                <w:highlight w:val="none"/>
              </w:rPr>
              <w:t>异议受理部门及</w:t>
            </w:r>
            <w:r>
              <w:rPr>
                <w:color w:val="auto"/>
                <w:highlight w:val="none"/>
              </w:rPr>
              <w:t xml:space="preserve"> </w:t>
            </w:r>
            <w:r>
              <w:rPr>
                <w:color w:val="auto"/>
                <w:spacing w:val="-1"/>
                <w:highlight w:val="none"/>
              </w:rPr>
              <w:t>联系方式</w:t>
            </w:r>
          </w:p>
        </w:tc>
        <w:tc>
          <w:tcPr>
            <w:tcW w:w="5447" w:type="dxa"/>
            <w:vAlign w:val="top"/>
          </w:tcPr>
          <w:p w14:paraId="0CE1A394">
            <w:pPr>
              <w:pStyle w:val="11"/>
              <w:spacing w:before="79" w:line="221" w:lineRule="auto"/>
              <w:ind w:left="112"/>
              <w:rPr>
                <w:color w:val="auto"/>
                <w:highlight w:val="none"/>
              </w:rPr>
            </w:pPr>
            <w:r>
              <w:rPr>
                <w:color w:val="auto"/>
                <w:spacing w:val="-12"/>
                <w:highlight w:val="none"/>
              </w:rPr>
              <w:t>招</w:t>
            </w:r>
            <w:r>
              <w:rPr>
                <w:color w:val="auto"/>
                <w:spacing w:val="22"/>
                <w:highlight w:val="none"/>
              </w:rPr>
              <w:t xml:space="preserve">   </w:t>
            </w:r>
            <w:r>
              <w:rPr>
                <w:color w:val="auto"/>
                <w:spacing w:val="-12"/>
                <w:highlight w:val="none"/>
              </w:rPr>
              <w:t>标</w:t>
            </w:r>
            <w:r>
              <w:rPr>
                <w:color w:val="auto"/>
                <w:spacing w:val="30"/>
                <w:highlight w:val="none"/>
              </w:rPr>
              <w:t xml:space="preserve">  </w:t>
            </w:r>
            <w:r>
              <w:rPr>
                <w:color w:val="auto"/>
                <w:spacing w:val="-12"/>
                <w:highlight w:val="none"/>
              </w:rPr>
              <w:t>人：</w:t>
            </w:r>
          </w:p>
          <w:p w14:paraId="76D85D4E">
            <w:pPr>
              <w:pStyle w:val="11"/>
              <w:spacing w:before="69" w:line="223" w:lineRule="auto"/>
              <w:ind w:left="113"/>
              <w:rPr>
                <w:color w:val="auto"/>
                <w:highlight w:val="none"/>
                <w:u w:val="none" w:color="auto"/>
              </w:rPr>
            </w:pPr>
            <w:r>
              <w:rPr>
                <w:color w:val="auto"/>
                <w:spacing w:val="-29"/>
                <w:w w:val="99"/>
                <w:highlight w:val="none"/>
              </w:rPr>
              <w:t>名</w:t>
            </w:r>
            <w:r>
              <w:rPr>
                <w:color w:val="auto"/>
                <w:spacing w:val="1"/>
                <w:highlight w:val="none"/>
              </w:rPr>
              <w:t xml:space="preserve">        </w:t>
            </w:r>
            <w:r>
              <w:rPr>
                <w:color w:val="auto"/>
                <w:spacing w:val="-29"/>
                <w:w w:val="99"/>
                <w:highlight w:val="none"/>
              </w:rPr>
              <w:t>称：</w:t>
            </w:r>
            <w:r>
              <w:rPr>
                <w:rFonts w:hint="eastAsia" w:cs="宋体"/>
                <w:color w:val="auto"/>
                <w:spacing w:val="4"/>
                <w:highlight w:val="none"/>
                <w:lang w:eastAsia="zh-CN"/>
              </w:rPr>
              <w:t>营口广厦住房租赁有限公司</w:t>
            </w:r>
            <w:r>
              <w:rPr>
                <w:color w:val="auto"/>
                <w:spacing w:val="-28"/>
                <w:highlight w:val="none"/>
                <w:u w:val="none" w:color="auto"/>
              </w:rPr>
              <w:t xml:space="preserve"> </w:t>
            </w:r>
            <w:r>
              <w:rPr>
                <w:color w:val="auto"/>
                <w:highlight w:val="none"/>
                <w:u w:val="none" w:color="auto"/>
              </w:rPr>
              <w:t xml:space="preserve">          </w:t>
            </w:r>
          </w:p>
          <w:p w14:paraId="52D9C544">
            <w:pPr>
              <w:pStyle w:val="11"/>
              <w:spacing w:before="63" w:line="230" w:lineRule="auto"/>
              <w:ind w:left="111"/>
              <w:rPr>
                <w:color w:val="auto"/>
                <w:highlight w:val="none"/>
              </w:rPr>
            </w:pPr>
            <w:r>
              <w:rPr>
                <w:color w:val="auto"/>
                <w:spacing w:val="-29"/>
                <w:w w:val="99"/>
                <w:highlight w:val="none"/>
              </w:rPr>
              <w:t>地</w:t>
            </w:r>
            <w:r>
              <w:rPr>
                <w:color w:val="auto"/>
                <w:spacing w:val="1"/>
                <w:highlight w:val="none"/>
              </w:rPr>
              <w:t xml:space="preserve">        </w:t>
            </w:r>
            <w:r>
              <w:rPr>
                <w:color w:val="auto"/>
                <w:spacing w:val="-29"/>
                <w:w w:val="99"/>
                <w:highlight w:val="none"/>
              </w:rPr>
              <w:t>址：</w:t>
            </w:r>
            <w:r>
              <w:rPr>
                <w:color w:val="auto"/>
                <w:spacing w:val="-25"/>
                <w:highlight w:val="none"/>
              </w:rPr>
              <w:t xml:space="preserve"> </w:t>
            </w:r>
            <w:r>
              <w:rPr>
                <w:rFonts w:hint="eastAsia" w:ascii="宋体" w:hAnsi="宋体" w:eastAsia="宋体" w:cs="宋体"/>
                <w:color w:val="auto"/>
                <w:spacing w:val="4"/>
                <w:highlight w:val="none"/>
              </w:rPr>
              <w:t>营口市西市区新联北大街63号</w:t>
            </w:r>
            <w:r>
              <w:rPr>
                <w:color w:val="auto"/>
                <w:highlight w:val="none"/>
                <w:u w:val="none" w:color="auto"/>
              </w:rPr>
              <w:t xml:space="preserve">          </w:t>
            </w:r>
          </w:p>
          <w:p w14:paraId="52FB9F7D">
            <w:pPr>
              <w:pStyle w:val="11"/>
              <w:spacing w:before="59" w:line="223" w:lineRule="auto"/>
              <w:ind w:left="112"/>
              <w:rPr>
                <w:color w:val="auto"/>
                <w:highlight w:val="none"/>
              </w:rPr>
            </w:pPr>
            <w:r>
              <w:rPr>
                <w:color w:val="auto"/>
                <w:spacing w:val="-7"/>
                <w:highlight w:val="none"/>
              </w:rPr>
              <w:t>联</w:t>
            </w:r>
            <w:r>
              <w:rPr>
                <w:color w:val="auto"/>
                <w:spacing w:val="22"/>
                <w:highlight w:val="none"/>
              </w:rPr>
              <w:t xml:space="preserve">   </w:t>
            </w:r>
            <w:r>
              <w:rPr>
                <w:color w:val="auto"/>
                <w:spacing w:val="-7"/>
                <w:highlight w:val="none"/>
              </w:rPr>
              <w:t>系</w:t>
            </w:r>
            <w:r>
              <w:rPr>
                <w:color w:val="auto"/>
                <w:spacing w:val="30"/>
                <w:highlight w:val="none"/>
              </w:rPr>
              <w:t xml:space="preserve">  </w:t>
            </w:r>
            <w:r>
              <w:rPr>
                <w:color w:val="auto"/>
                <w:spacing w:val="-7"/>
                <w:highlight w:val="none"/>
              </w:rPr>
              <w:t>人：</w:t>
            </w:r>
            <w:r>
              <w:rPr>
                <w:rFonts w:hint="eastAsia" w:cs="宋体"/>
                <w:color w:val="auto"/>
                <w:spacing w:val="4"/>
                <w:highlight w:val="none"/>
                <w:lang w:eastAsia="zh-CN"/>
              </w:rPr>
              <w:t>盛陶然</w:t>
            </w:r>
            <w:r>
              <w:rPr>
                <w:color w:val="auto"/>
                <w:highlight w:val="none"/>
                <w:u w:val="none" w:color="auto"/>
              </w:rPr>
              <w:t xml:space="preserve">          </w:t>
            </w:r>
          </w:p>
          <w:p w14:paraId="609C24DA">
            <w:pPr>
              <w:pStyle w:val="11"/>
              <w:spacing w:before="67" w:line="223" w:lineRule="auto"/>
              <w:ind w:left="136"/>
              <w:rPr>
                <w:rFonts w:hint="eastAsia" w:eastAsia="宋体"/>
                <w:color w:val="auto"/>
                <w:highlight w:val="none"/>
                <w:lang w:eastAsia="zh-CN"/>
              </w:rPr>
            </w:pPr>
            <w:r>
              <w:rPr>
                <w:color w:val="auto"/>
                <w:spacing w:val="-30"/>
                <w:w w:val="96"/>
                <w:highlight w:val="none"/>
              </w:rPr>
              <w:t>电</w:t>
            </w:r>
            <w:r>
              <w:rPr>
                <w:color w:val="auto"/>
                <w:spacing w:val="1"/>
                <w:highlight w:val="none"/>
              </w:rPr>
              <w:t xml:space="preserve">        </w:t>
            </w:r>
            <w:r>
              <w:rPr>
                <w:color w:val="auto"/>
                <w:spacing w:val="-30"/>
                <w:w w:val="96"/>
                <w:highlight w:val="none"/>
              </w:rPr>
              <w:t>话：</w:t>
            </w:r>
            <w:r>
              <w:rPr>
                <w:rFonts w:hint="eastAsia" w:cs="宋体"/>
                <w:color w:val="auto"/>
                <w:spacing w:val="4"/>
                <w:highlight w:val="none"/>
                <w:lang w:eastAsia="zh-CN"/>
              </w:rPr>
              <w:t>15940733332</w:t>
            </w:r>
          </w:p>
          <w:p w14:paraId="45E4AFC4">
            <w:pPr>
              <w:pStyle w:val="11"/>
              <w:spacing w:before="64" w:line="283" w:lineRule="auto"/>
              <w:ind w:left="126"/>
              <w:rPr>
                <w:color w:val="auto"/>
                <w:highlight w:val="none"/>
              </w:rPr>
            </w:pPr>
            <w:r>
              <w:rPr>
                <w:color w:val="auto"/>
                <w:spacing w:val="-24"/>
                <w:highlight w:val="none"/>
              </w:rPr>
              <w:t>邮</w:t>
            </w:r>
            <w:r>
              <w:rPr>
                <w:color w:val="auto"/>
                <w:spacing w:val="62"/>
                <w:highlight w:val="none"/>
              </w:rPr>
              <w:t xml:space="preserve"> </w:t>
            </w:r>
            <w:r>
              <w:rPr>
                <w:color w:val="auto"/>
                <w:spacing w:val="-24"/>
                <w:highlight w:val="none"/>
              </w:rPr>
              <w:t>政</w:t>
            </w:r>
            <w:r>
              <w:rPr>
                <w:color w:val="auto"/>
                <w:spacing w:val="11"/>
                <w:highlight w:val="none"/>
              </w:rPr>
              <w:t xml:space="preserve"> </w:t>
            </w:r>
            <w:r>
              <w:rPr>
                <w:color w:val="auto"/>
                <w:spacing w:val="-24"/>
                <w:highlight w:val="none"/>
              </w:rPr>
              <w:t>编</w:t>
            </w:r>
            <w:r>
              <w:rPr>
                <w:color w:val="auto"/>
                <w:spacing w:val="56"/>
                <w:highlight w:val="none"/>
              </w:rPr>
              <w:t xml:space="preserve"> </w:t>
            </w:r>
            <w:r>
              <w:rPr>
                <w:color w:val="auto"/>
                <w:spacing w:val="-24"/>
                <w:highlight w:val="none"/>
              </w:rPr>
              <w:t>码：</w:t>
            </w:r>
            <w:r>
              <w:rPr>
                <w:color w:val="auto"/>
                <w:spacing w:val="-30"/>
                <w:highlight w:val="none"/>
              </w:rPr>
              <w:t xml:space="preserve"> </w:t>
            </w:r>
            <w:r>
              <w:rPr>
                <w:color w:val="auto"/>
                <w:highlight w:val="none"/>
                <w:u w:val="single" w:color="auto"/>
              </w:rPr>
              <w:t xml:space="preserve">          </w:t>
            </w:r>
          </w:p>
          <w:p w14:paraId="0297AF04">
            <w:pPr>
              <w:pStyle w:val="11"/>
              <w:spacing w:before="1" w:line="219" w:lineRule="auto"/>
              <w:ind w:left="112"/>
              <w:rPr>
                <w:color w:val="auto"/>
                <w:highlight w:val="none"/>
              </w:rPr>
            </w:pPr>
            <w:r>
              <w:rPr>
                <w:color w:val="auto"/>
                <w:spacing w:val="-5"/>
                <w:highlight w:val="none"/>
              </w:rPr>
              <w:t>招标代理机构：</w:t>
            </w:r>
          </w:p>
          <w:p w14:paraId="4DE7D195">
            <w:pPr>
              <w:pStyle w:val="11"/>
              <w:spacing w:before="71" w:line="223" w:lineRule="auto"/>
              <w:ind w:left="113"/>
              <w:rPr>
                <w:color w:val="auto"/>
                <w:highlight w:val="none"/>
              </w:rPr>
            </w:pPr>
            <w:r>
              <w:rPr>
                <w:color w:val="auto"/>
                <w:spacing w:val="-29"/>
                <w:w w:val="99"/>
                <w:highlight w:val="none"/>
              </w:rPr>
              <w:t>名</w:t>
            </w:r>
            <w:r>
              <w:rPr>
                <w:color w:val="auto"/>
                <w:spacing w:val="1"/>
                <w:highlight w:val="none"/>
              </w:rPr>
              <w:t xml:space="preserve">        </w:t>
            </w:r>
            <w:r>
              <w:rPr>
                <w:color w:val="auto"/>
                <w:spacing w:val="-29"/>
                <w:w w:val="99"/>
                <w:highlight w:val="none"/>
              </w:rPr>
              <w:t>称：</w:t>
            </w:r>
            <w:r>
              <w:rPr>
                <w:rFonts w:hint="eastAsia" w:cs="宋体"/>
                <w:color w:val="auto"/>
                <w:spacing w:val="4"/>
                <w:highlight w:val="none"/>
                <w:lang w:eastAsia="zh-CN"/>
              </w:rPr>
              <w:t>沈阳招标中心有限公司</w:t>
            </w:r>
            <w:r>
              <w:rPr>
                <w:color w:val="auto"/>
                <w:spacing w:val="-28"/>
                <w:highlight w:val="none"/>
              </w:rPr>
              <w:t xml:space="preserve"> </w:t>
            </w:r>
            <w:r>
              <w:rPr>
                <w:color w:val="auto"/>
                <w:highlight w:val="none"/>
                <w:u w:val="none" w:color="auto"/>
              </w:rPr>
              <w:t xml:space="preserve">        </w:t>
            </w:r>
            <w:r>
              <w:rPr>
                <w:color w:val="auto"/>
                <w:highlight w:val="none"/>
                <w:u w:val="single" w:color="auto"/>
              </w:rPr>
              <w:t xml:space="preserve">  </w:t>
            </w:r>
          </w:p>
          <w:p w14:paraId="63A83E79">
            <w:pPr>
              <w:pStyle w:val="11"/>
              <w:spacing w:before="72" w:line="240" w:lineRule="auto"/>
              <w:ind w:left="113"/>
              <w:rPr>
                <w:rFonts w:hint="eastAsia" w:ascii="宋体" w:hAnsi="宋体" w:eastAsia="宋体" w:cs="宋体"/>
                <w:color w:val="auto"/>
                <w:spacing w:val="4"/>
                <w:highlight w:val="none"/>
                <w:lang w:eastAsia="zh-CN"/>
              </w:rPr>
            </w:pPr>
            <w:r>
              <w:rPr>
                <w:color w:val="auto"/>
                <w:spacing w:val="-29"/>
                <w:w w:val="99"/>
                <w:highlight w:val="none"/>
              </w:rPr>
              <w:t>地</w:t>
            </w:r>
            <w:r>
              <w:rPr>
                <w:color w:val="auto"/>
                <w:spacing w:val="1"/>
                <w:highlight w:val="none"/>
              </w:rPr>
              <w:t xml:space="preserve">        </w:t>
            </w:r>
            <w:r>
              <w:rPr>
                <w:color w:val="auto"/>
                <w:spacing w:val="-29"/>
                <w:w w:val="99"/>
                <w:highlight w:val="none"/>
              </w:rPr>
              <w:t>址：</w:t>
            </w:r>
            <w:r>
              <w:rPr>
                <w:rFonts w:hint="eastAsia" w:cs="宋体"/>
                <w:color w:val="auto"/>
                <w:spacing w:val="4"/>
                <w:highlight w:val="none"/>
                <w:lang w:eastAsia="zh-CN"/>
              </w:rPr>
              <w:t>沈阳市和平区绥化东街2号</w:t>
            </w:r>
          </w:p>
          <w:p w14:paraId="79C2CB58">
            <w:pPr>
              <w:pStyle w:val="11"/>
              <w:spacing w:before="72" w:line="240" w:lineRule="auto"/>
              <w:ind w:left="113"/>
              <w:rPr>
                <w:rFonts w:hint="eastAsia" w:ascii="宋体" w:hAnsi="宋体" w:eastAsia="宋体" w:cs="宋体"/>
                <w:color w:val="auto"/>
                <w:spacing w:val="4"/>
                <w:highlight w:val="none"/>
              </w:rPr>
            </w:pPr>
            <w:r>
              <w:rPr>
                <w:color w:val="auto"/>
                <w:spacing w:val="-25"/>
                <w:highlight w:val="none"/>
              </w:rPr>
              <w:t>联</w:t>
            </w:r>
            <w:r>
              <w:rPr>
                <w:color w:val="auto"/>
                <w:spacing w:val="22"/>
                <w:highlight w:val="none"/>
              </w:rPr>
              <w:t xml:space="preserve">   </w:t>
            </w:r>
            <w:r>
              <w:rPr>
                <w:color w:val="auto"/>
                <w:spacing w:val="-25"/>
                <w:highlight w:val="none"/>
              </w:rPr>
              <w:t>系</w:t>
            </w:r>
            <w:r>
              <w:rPr>
                <w:color w:val="auto"/>
                <w:spacing w:val="29"/>
                <w:highlight w:val="none"/>
              </w:rPr>
              <w:t xml:space="preserve">  </w:t>
            </w:r>
            <w:r>
              <w:rPr>
                <w:color w:val="auto"/>
                <w:spacing w:val="-25"/>
                <w:highlight w:val="none"/>
              </w:rPr>
              <w:t>人：</w:t>
            </w:r>
            <w:r>
              <w:rPr>
                <w:rFonts w:hint="eastAsia" w:cs="宋体"/>
                <w:color w:val="auto"/>
                <w:spacing w:val="4"/>
                <w:highlight w:val="none"/>
                <w:lang w:eastAsia="zh-CN"/>
              </w:rPr>
              <w:t>崔大勇、刘佳麟</w:t>
            </w:r>
          </w:p>
          <w:p w14:paraId="448764E4">
            <w:pPr>
              <w:pStyle w:val="11"/>
              <w:spacing w:before="69" w:line="223" w:lineRule="auto"/>
              <w:ind w:left="136"/>
              <w:rPr>
                <w:color w:val="auto"/>
                <w:highlight w:val="none"/>
              </w:rPr>
            </w:pPr>
            <w:r>
              <w:rPr>
                <w:color w:val="auto"/>
                <w:spacing w:val="-30"/>
                <w:w w:val="96"/>
                <w:highlight w:val="none"/>
              </w:rPr>
              <w:t>电</w:t>
            </w:r>
            <w:r>
              <w:rPr>
                <w:color w:val="auto"/>
                <w:spacing w:val="1"/>
                <w:highlight w:val="none"/>
              </w:rPr>
              <w:t xml:space="preserve">        </w:t>
            </w:r>
            <w:r>
              <w:rPr>
                <w:color w:val="auto"/>
                <w:spacing w:val="-30"/>
                <w:w w:val="96"/>
                <w:highlight w:val="none"/>
              </w:rPr>
              <w:t>话：</w:t>
            </w:r>
            <w:r>
              <w:rPr>
                <w:color w:val="auto"/>
                <w:spacing w:val="-28"/>
                <w:highlight w:val="none"/>
              </w:rPr>
              <w:t xml:space="preserve"> </w:t>
            </w:r>
            <w:r>
              <w:rPr>
                <w:rFonts w:hint="eastAsia" w:cs="宋体"/>
                <w:color w:val="auto"/>
                <w:spacing w:val="4"/>
                <w:highlight w:val="none"/>
                <w:lang w:eastAsia="zh-CN"/>
              </w:rPr>
              <w:t>024-22503596、22503578</w:t>
            </w:r>
            <w:r>
              <w:rPr>
                <w:color w:val="auto"/>
                <w:highlight w:val="none"/>
                <w:u w:val="single" w:color="auto"/>
              </w:rPr>
              <w:t xml:space="preserve">         </w:t>
            </w:r>
          </w:p>
          <w:p w14:paraId="4619461A">
            <w:pPr>
              <w:pStyle w:val="11"/>
              <w:spacing w:before="63" w:line="221" w:lineRule="auto"/>
              <w:ind w:left="126"/>
              <w:rPr>
                <w:color w:val="auto"/>
                <w:highlight w:val="none"/>
              </w:rPr>
            </w:pPr>
            <w:r>
              <w:rPr>
                <w:color w:val="auto"/>
                <w:spacing w:val="-24"/>
                <w:highlight w:val="none"/>
              </w:rPr>
              <w:t>邮</w:t>
            </w:r>
            <w:r>
              <w:rPr>
                <w:color w:val="auto"/>
                <w:spacing w:val="62"/>
                <w:highlight w:val="none"/>
              </w:rPr>
              <w:t xml:space="preserve"> </w:t>
            </w:r>
            <w:r>
              <w:rPr>
                <w:color w:val="auto"/>
                <w:spacing w:val="-24"/>
                <w:highlight w:val="none"/>
              </w:rPr>
              <w:t>政</w:t>
            </w:r>
            <w:r>
              <w:rPr>
                <w:color w:val="auto"/>
                <w:spacing w:val="11"/>
                <w:highlight w:val="none"/>
              </w:rPr>
              <w:t xml:space="preserve"> </w:t>
            </w:r>
            <w:r>
              <w:rPr>
                <w:color w:val="auto"/>
                <w:spacing w:val="-24"/>
                <w:highlight w:val="none"/>
              </w:rPr>
              <w:t>编</w:t>
            </w:r>
            <w:r>
              <w:rPr>
                <w:color w:val="auto"/>
                <w:spacing w:val="56"/>
                <w:highlight w:val="none"/>
              </w:rPr>
              <w:t xml:space="preserve"> </w:t>
            </w:r>
            <w:r>
              <w:rPr>
                <w:color w:val="auto"/>
                <w:spacing w:val="-24"/>
                <w:highlight w:val="none"/>
              </w:rPr>
              <w:t>码：</w:t>
            </w:r>
            <w:r>
              <w:rPr>
                <w:color w:val="auto"/>
                <w:spacing w:val="-30"/>
                <w:highlight w:val="none"/>
              </w:rPr>
              <w:t xml:space="preserve"> </w:t>
            </w:r>
            <w:r>
              <w:rPr>
                <w:rFonts w:hint="eastAsia"/>
                <w:color w:val="auto"/>
                <w:spacing w:val="-30"/>
                <w:highlight w:val="none"/>
                <w:lang w:val="en-US" w:eastAsia="zh-CN"/>
              </w:rPr>
              <w:t>110033</w:t>
            </w:r>
            <w:r>
              <w:rPr>
                <w:color w:val="auto"/>
                <w:highlight w:val="none"/>
                <w:u w:val="none" w:color="auto"/>
              </w:rPr>
              <w:t xml:space="preserve">          </w:t>
            </w:r>
          </w:p>
          <w:p w14:paraId="5A2D76B4">
            <w:pPr>
              <w:pStyle w:val="11"/>
              <w:spacing w:before="70" w:line="245" w:lineRule="auto"/>
              <w:ind w:left="114" w:right="116" w:hanging="1"/>
              <w:rPr>
                <w:color w:val="auto"/>
                <w:highlight w:val="none"/>
              </w:rPr>
            </w:pPr>
            <w:r>
              <w:rPr>
                <w:color w:val="auto"/>
                <w:spacing w:val="7"/>
                <w:highlight w:val="none"/>
              </w:rPr>
              <w:t>异议投诉渠道：辽宁省工程建设项目招标投标异议投诉</w:t>
            </w:r>
            <w:r>
              <w:rPr>
                <w:color w:val="auto"/>
                <w:spacing w:val="2"/>
                <w:highlight w:val="none"/>
              </w:rPr>
              <w:t xml:space="preserve"> </w:t>
            </w:r>
            <w:r>
              <w:rPr>
                <w:color w:val="auto"/>
                <w:spacing w:val="-2"/>
                <w:highlight w:val="none"/>
              </w:rPr>
              <w:t>处理系统</w:t>
            </w:r>
          </w:p>
        </w:tc>
      </w:tr>
      <w:tr w14:paraId="1DE46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4" w:type="dxa"/>
            <w:vAlign w:val="top"/>
          </w:tcPr>
          <w:p w14:paraId="6D463B9D">
            <w:pPr>
              <w:pStyle w:val="11"/>
              <w:spacing w:before="112" w:line="243" w:lineRule="auto"/>
              <w:ind w:left="120" w:right="124" w:firstLine="99"/>
              <w:rPr>
                <w:color w:val="auto"/>
                <w:highlight w:val="none"/>
              </w:rPr>
            </w:pPr>
            <w:r>
              <w:rPr>
                <w:rFonts w:ascii="Times New Roman" w:hAnsi="Times New Roman" w:eastAsia="Times New Roman" w:cs="Times New Roman"/>
                <w:color w:val="auto"/>
                <w:spacing w:val="-2"/>
                <w:highlight w:val="none"/>
              </w:rPr>
              <w:t>3.1.1</w:t>
            </w:r>
            <w:r>
              <w:rPr>
                <w:rFonts w:ascii="Times New Roman" w:hAnsi="Times New Roman" w:eastAsia="Times New Roman" w:cs="Times New Roman"/>
                <w:color w:val="auto"/>
                <w:highlight w:val="none"/>
              </w:rPr>
              <w:t xml:space="preserve">   </w:t>
            </w:r>
            <w:r>
              <w:rPr>
                <w:color w:val="auto"/>
                <w:spacing w:val="-7"/>
                <w:highlight w:val="none"/>
              </w:rPr>
              <w:t>（</w:t>
            </w:r>
            <w:r>
              <w:rPr>
                <w:rFonts w:ascii="Times New Roman" w:hAnsi="Times New Roman" w:eastAsia="Times New Roman" w:cs="Times New Roman"/>
                <w:color w:val="auto"/>
                <w:spacing w:val="-7"/>
                <w:highlight w:val="none"/>
              </w:rPr>
              <w:t>10</w:t>
            </w:r>
            <w:r>
              <w:rPr>
                <w:color w:val="auto"/>
                <w:spacing w:val="-7"/>
                <w:highlight w:val="none"/>
              </w:rPr>
              <w:t>）</w:t>
            </w:r>
          </w:p>
        </w:tc>
        <w:tc>
          <w:tcPr>
            <w:tcW w:w="2121" w:type="dxa"/>
            <w:vAlign w:val="top"/>
          </w:tcPr>
          <w:p w14:paraId="3D2DFBC4">
            <w:pPr>
              <w:pStyle w:val="11"/>
              <w:spacing w:before="75" w:line="245" w:lineRule="auto"/>
              <w:ind w:left="858" w:right="108" w:hanging="737"/>
              <w:rPr>
                <w:color w:val="auto"/>
                <w:highlight w:val="none"/>
              </w:rPr>
            </w:pPr>
            <w:r>
              <w:rPr>
                <w:color w:val="auto"/>
                <w:spacing w:val="-1"/>
                <w:highlight w:val="none"/>
              </w:rPr>
              <w:t>构成投标文件的其他</w:t>
            </w:r>
            <w:r>
              <w:rPr>
                <w:color w:val="auto"/>
                <w:spacing w:val="3"/>
                <w:highlight w:val="none"/>
              </w:rPr>
              <w:t xml:space="preserve"> </w:t>
            </w:r>
            <w:r>
              <w:rPr>
                <w:color w:val="auto"/>
                <w:spacing w:val="-2"/>
                <w:highlight w:val="none"/>
              </w:rPr>
              <w:t>材料</w:t>
            </w:r>
          </w:p>
        </w:tc>
        <w:tc>
          <w:tcPr>
            <w:tcW w:w="5447" w:type="dxa"/>
            <w:vAlign w:val="top"/>
          </w:tcPr>
          <w:p w14:paraId="2FD5DEB1">
            <w:pPr>
              <w:rPr>
                <w:rFonts w:ascii="Arial"/>
                <w:color w:val="auto"/>
                <w:sz w:val="21"/>
                <w:highlight w:val="none"/>
              </w:rPr>
            </w:pPr>
            <w:r>
              <w:rPr>
                <w:rFonts w:hint="eastAsia"/>
                <w:color w:val="auto"/>
                <w:highlight w:val="none"/>
                <w:lang w:eastAsia="zh-CN"/>
              </w:rPr>
              <w:t>工程量清单，图纸，技术文件等</w:t>
            </w:r>
          </w:p>
        </w:tc>
      </w:tr>
      <w:tr w14:paraId="617CC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6" w:hRule="atLeast"/>
        </w:trPr>
        <w:tc>
          <w:tcPr>
            <w:tcW w:w="854" w:type="dxa"/>
            <w:vAlign w:val="top"/>
          </w:tcPr>
          <w:p w14:paraId="31A5700F">
            <w:pPr>
              <w:spacing w:line="267" w:lineRule="auto"/>
              <w:rPr>
                <w:rFonts w:ascii="Arial"/>
                <w:color w:val="auto"/>
                <w:sz w:val="21"/>
                <w:highlight w:val="none"/>
              </w:rPr>
            </w:pPr>
          </w:p>
          <w:p w14:paraId="67E03964">
            <w:pPr>
              <w:spacing w:line="267" w:lineRule="auto"/>
              <w:rPr>
                <w:rFonts w:ascii="Arial"/>
                <w:color w:val="auto"/>
                <w:sz w:val="21"/>
                <w:highlight w:val="none"/>
              </w:rPr>
            </w:pPr>
          </w:p>
          <w:p w14:paraId="28950C57">
            <w:pPr>
              <w:spacing w:before="60" w:line="189" w:lineRule="auto"/>
              <w:ind w:left="22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3.2.4</w:t>
            </w:r>
          </w:p>
        </w:tc>
        <w:tc>
          <w:tcPr>
            <w:tcW w:w="2121" w:type="dxa"/>
            <w:vAlign w:val="top"/>
          </w:tcPr>
          <w:p w14:paraId="4681F91F">
            <w:pPr>
              <w:spacing w:line="245" w:lineRule="auto"/>
              <w:rPr>
                <w:rFonts w:ascii="Arial"/>
                <w:color w:val="auto"/>
                <w:sz w:val="21"/>
                <w:highlight w:val="none"/>
              </w:rPr>
            </w:pPr>
          </w:p>
          <w:p w14:paraId="0090CDAE">
            <w:pPr>
              <w:spacing w:line="245" w:lineRule="auto"/>
              <w:rPr>
                <w:rFonts w:ascii="Arial"/>
                <w:color w:val="auto"/>
                <w:sz w:val="21"/>
                <w:highlight w:val="none"/>
              </w:rPr>
            </w:pPr>
          </w:p>
          <w:p w14:paraId="41F20365">
            <w:pPr>
              <w:pStyle w:val="11"/>
              <w:spacing w:before="68" w:line="219" w:lineRule="auto"/>
              <w:ind w:left="438"/>
              <w:rPr>
                <w:color w:val="auto"/>
                <w:highlight w:val="none"/>
              </w:rPr>
            </w:pPr>
            <w:r>
              <w:rPr>
                <w:color w:val="auto"/>
                <w:spacing w:val="-1"/>
                <w:highlight w:val="none"/>
              </w:rPr>
              <w:t>最高投标限价</w:t>
            </w:r>
          </w:p>
        </w:tc>
        <w:tc>
          <w:tcPr>
            <w:tcW w:w="5447" w:type="dxa"/>
            <w:vAlign w:val="top"/>
          </w:tcPr>
          <w:p w14:paraId="3AFF064B">
            <w:pPr>
              <w:pStyle w:val="11"/>
              <w:spacing w:before="81" w:line="219" w:lineRule="auto"/>
              <w:ind w:left="132"/>
              <w:rPr>
                <w:color w:val="auto"/>
                <w:highlight w:val="none"/>
              </w:rPr>
            </w:pPr>
            <w:r>
              <w:rPr>
                <w:color w:val="auto"/>
                <w:spacing w:val="-3"/>
                <w:highlight w:val="none"/>
              </w:rPr>
              <w:t>□不设置最高投标限价</w:t>
            </w:r>
          </w:p>
          <w:p w14:paraId="4E5289C7">
            <w:pPr>
              <w:pStyle w:val="11"/>
              <w:spacing w:before="72" w:line="219" w:lineRule="auto"/>
              <w:ind w:left="132"/>
              <w:rPr>
                <w:color w:val="auto"/>
                <w:highlight w:val="none"/>
              </w:rPr>
            </w:pPr>
            <w:r>
              <w:rPr>
                <w:color w:val="auto"/>
                <w:spacing w:val="-7"/>
                <w:highlight w:val="none"/>
              </w:rPr>
              <w:sym w:font="Wingdings 2" w:char="0052"/>
            </w:r>
            <w:r>
              <w:rPr>
                <w:color w:val="auto"/>
                <w:spacing w:val="-7"/>
                <w:highlight w:val="none"/>
              </w:rPr>
              <w:t xml:space="preserve">设置最高投标限价，最高投标限价： </w:t>
            </w:r>
            <w:r>
              <w:rPr>
                <w:rFonts w:hint="eastAsia"/>
                <w:color w:val="auto"/>
                <w:spacing w:val="-7"/>
                <w:highlight w:val="none"/>
                <w:u w:val="single" w:color="auto"/>
                <w:lang w:val="en-US" w:eastAsia="zh-CN"/>
              </w:rPr>
              <w:t xml:space="preserve">      万元</w:t>
            </w:r>
            <w:r>
              <w:rPr>
                <w:color w:val="auto"/>
                <w:spacing w:val="-7"/>
                <w:highlight w:val="none"/>
              </w:rPr>
              <w:t>。</w:t>
            </w:r>
          </w:p>
          <w:p w14:paraId="0D6A0C23">
            <w:pPr>
              <w:pStyle w:val="11"/>
              <w:spacing w:before="66" w:line="245" w:lineRule="auto"/>
              <w:ind w:left="112" w:right="381" w:firstLine="1"/>
              <w:rPr>
                <w:color w:val="auto"/>
                <w:highlight w:val="none"/>
              </w:rPr>
            </w:pPr>
            <w:r>
              <w:rPr>
                <w:color w:val="auto"/>
                <w:spacing w:val="-5"/>
                <w:highlight w:val="none"/>
              </w:rPr>
              <w:t>最高投标限价公布时间：投标截止时间</w:t>
            </w:r>
            <w:r>
              <w:rPr>
                <w:color w:val="auto"/>
                <w:spacing w:val="-87"/>
                <w:highlight w:val="none"/>
              </w:rPr>
              <w:t xml:space="preserve"> </w:t>
            </w:r>
            <w:r>
              <w:rPr>
                <w:color w:val="auto"/>
                <w:spacing w:val="6"/>
                <w:highlight w:val="none"/>
                <w:u w:val="single" w:color="auto"/>
              </w:rPr>
              <w:t xml:space="preserve">    </w:t>
            </w:r>
            <w:r>
              <w:rPr>
                <w:rFonts w:hint="eastAsia"/>
                <w:color w:val="auto"/>
                <w:spacing w:val="6"/>
                <w:highlight w:val="none"/>
                <w:u w:val="single" w:color="auto"/>
                <w:lang w:val="en-US" w:eastAsia="zh-CN"/>
              </w:rPr>
              <w:t>3</w:t>
            </w:r>
            <w:r>
              <w:rPr>
                <w:color w:val="auto"/>
                <w:spacing w:val="6"/>
                <w:highlight w:val="none"/>
                <w:u w:val="single" w:color="auto"/>
              </w:rPr>
              <w:t xml:space="preserve">   </w:t>
            </w:r>
            <w:r>
              <w:rPr>
                <w:color w:val="auto"/>
                <w:spacing w:val="-55"/>
                <w:highlight w:val="none"/>
              </w:rPr>
              <w:t xml:space="preserve"> </w:t>
            </w:r>
            <w:r>
              <w:rPr>
                <w:color w:val="auto"/>
                <w:spacing w:val="-5"/>
                <w:highlight w:val="none"/>
              </w:rPr>
              <w:t>日前。</w:t>
            </w:r>
            <w:r>
              <w:rPr>
                <w:color w:val="auto"/>
                <w:highlight w:val="none"/>
              </w:rPr>
              <w:t xml:space="preserve"> </w:t>
            </w:r>
            <w:r>
              <w:rPr>
                <w:color w:val="auto"/>
                <w:spacing w:val="-9"/>
                <w:highlight w:val="none"/>
              </w:rPr>
              <w:t>其他要求：</w:t>
            </w:r>
          </w:p>
        </w:tc>
      </w:tr>
      <w:tr w14:paraId="11122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3" w:hRule="atLeast"/>
        </w:trPr>
        <w:tc>
          <w:tcPr>
            <w:tcW w:w="854" w:type="dxa"/>
            <w:vAlign w:val="top"/>
          </w:tcPr>
          <w:p w14:paraId="6F88369E">
            <w:pPr>
              <w:spacing w:line="292" w:lineRule="auto"/>
              <w:rPr>
                <w:rFonts w:ascii="Arial"/>
                <w:color w:val="auto"/>
                <w:sz w:val="21"/>
                <w:highlight w:val="none"/>
              </w:rPr>
            </w:pPr>
          </w:p>
          <w:p w14:paraId="2B96CC6B">
            <w:pPr>
              <w:spacing w:line="292" w:lineRule="auto"/>
              <w:rPr>
                <w:rFonts w:ascii="Arial"/>
                <w:color w:val="auto"/>
                <w:sz w:val="21"/>
                <w:highlight w:val="none"/>
              </w:rPr>
            </w:pPr>
          </w:p>
          <w:p w14:paraId="2753607B">
            <w:pPr>
              <w:spacing w:line="292" w:lineRule="auto"/>
              <w:rPr>
                <w:rFonts w:ascii="Arial"/>
                <w:color w:val="auto"/>
                <w:sz w:val="21"/>
                <w:highlight w:val="none"/>
              </w:rPr>
            </w:pPr>
          </w:p>
          <w:p w14:paraId="4DB5997E">
            <w:pPr>
              <w:spacing w:line="293" w:lineRule="auto"/>
              <w:rPr>
                <w:rFonts w:ascii="Arial"/>
                <w:color w:val="auto"/>
                <w:sz w:val="21"/>
                <w:highlight w:val="none"/>
              </w:rPr>
            </w:pPr>
          </w:p>
          <w:p w14:paraId="2D17B66D">
            <w:pPr>
              <w:spacing w:before="60" w:line="189" w:lineRule="auto"/>
              <w:ind w:left="22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3.2.5</w:t>
            </w:r>
          </w:p>
        </w:tc>
        <w:tc>
          <w:tcPr>
            <w:tcW w:w="2121" w:type="dxa"/>
            <w:vAlign w:val="top"/>
          </w:tcPr>
          <w:p w14:paraId="2A4D2918">
            <w:pPr>
              <w:spacing w:line="281" w:lineRule="auto"/>
              <w:rPr>
                <w:rFonts w:ascii="Arial"/>
                <w:color w:val="auto"/>
                <w:sz w:val="21"/>
                <w:highlight w:val="none"/>
              </w:rPr>
            </w:pPr>
          </w:p>
          <w:p w14:paraId="6D060B68">
            <w:pPr>
              <w:spacing w:line="281" w:lineRule="auto"/>
              <w:rPr>
                <w:rFonts w:ascii="Arial"/>
                <w:color w:val="auto"/>
                <w:sz w:val="21"/>
                <w:highlight w:val="none"/>
              </w:rPr>
            </w:pPr>
          </w:p>
          <w:p w14:paraId="28CF56A6">
            <w:pPr>
              <w:spacing w:line="281" w:lineRule="auto"/>
              <w:rPr>
                <w:rFonts w:ascii="Arial"/>
                <w:color w:val="auto"/>
                <w:sz w:val="21"/>
                <w:highlight w:val="none"/>
              </w:rPr>
            </w:pPr>
          </w:p>
          <w:p w14:paraId="3B646CA7">
            <w:pPr>
              <w:spacing w:line="282" w:lineRule="auto"/>
              <w:rPr>
                <w:rFonts w:ascii="Arial"/>
                <w:color w:val="auto"/>
                <w:sz w:val="21"/>
                <w:highlight w:val="none"/>
              </w:rPr>
            </w:pPr>
          </w:p>
          <w:p w14:paraId="51D95024">
            <w:pPr>
              <w:pStyle w:val="11"/>
              <w:spacing w:before="68" w:line="219" w:lineRule="auto"/>
              <w:ind w:left="646"/>
              <w:rPr>
                <w:color w:val="auto"/>
                <w:highlight w:val="none"/>
              </w:rPr>
            </w:pPr>
            <w:r>
              <w:rPr>
                <w:color w:val="auto"/>
                <w:spacing w:val="-1"/>
                <w:highlight w:val="none"/>
              </w:rPr>
              <w:t>报价说明</w:t>
            </w:r>
          </w:p>
        </w:tc>
        <w:tc>
          <w:tcPr>
            <w:tcW w:w="5447" w:type="dxa"/>
            <w:vAlign w:val="top"/>
          </w:tcPr>
          <w:p w14:paraId="754F0131">
            <w:pPr>
              <w:pStyle w:val="11"/>
              <w:spacing w:before="81" w:line="219" w:lineRule="auto"/>
              <w:ind w:left="109"/>
              <w:rPr>
                <w:color w:val="auto"/>
                <w:highlight w:val="none"/>
              </w:rPr>
            </w:pPr>
            <w:r>
              <w:rPr>
                <w:color w:val="auto"/>
                <w:spacing w:val="-8"/>
                <w:highlight w:val="none"/>
              </w:rPr>
              <w:t>报价方式：</w:t>
            </w:r>
          </w:p>
          <w:p w14:paraId="7984F5C2">
            <w:pPr>
              <w:pStyle w:val="11"/>
              <w:spacing w:before="68" w:line="219" w:lineRule="auto"/>
              <w:ind w:left="132"/>
              <w:rPr>
                <w:color w:val="auto"/>
                <w:highlight w:val="none"/>
              </w:rPr>
            </w:pPr>
            <w:r>
              <w:rPr>
                <w:color w:val="auto"/>
                <w:spacing w:val="-4"/>
                <w:highlight w:val="none"/>
              </w:rPr>
              <w:sym w:font="Wingdings 2" w:char="0052"/>
            </w:r>
            <w:r>
              <w:rPr>
                <w:color w:val="auto"/>
                <w:spacing w:val="-4"/>
                <w:highlight w:val="none"/>
              </w:rPr>
              <w:t>人民币价格</w:t>
            </w:r>
          </w:p>
          <w:p w14:paraId="7BEA4B2A">
            <w:pPr>
              <w:pStyle w:val="11"/>
              <w:spacing w:before="72" w:line="219" w:lineRule="auto"/>
              <w:ind w:left="132"/>
              <w:rPr>
                <w:color w:val="auto"/>
                <w:highlight w:val="none"/>
              </w:rPr>
            </w:pPr>
            <w:r>
              <w:rPr>
                <w:color w:val="auto"/>
                <w:spacing w:val="-2"/>
                <w:highlight w:val="none"/>
              </w:rPr>
              <w:t>□综合费率（参与价格评审的为综合费率）</w:t>
            </w:r>
          </w:p>
          <w:p w14:paraId="090C4384">
            <w:pPr>
              <w:pStyle w:val="11"/>
              <w:spacing w:before="72" w:line="219" w:lineRule="auto"/>
              <w:ind w:left="132"/>
              <w:rPr>
                <w:color w:val="auto"/>
                <w:highlight w:val="none"/>
              </w:rPr>
            </w:pPr>
            <w:r>
              <w:rPr>
                <w:color w:val="auto"/>
                <w:spacing w:val="-3"/>
                <w:highlight w:val="none"/>
              </w:rPr>
              <w:t>□下浮率（参与价格评审的为下浮率）</w:t>
            </w:r>
          </w:p>
          <w:p w14:paraId="56E71E29">
            <w:pPr>
              <w:pStyle w:val="11"/>
              <w:spacing w:before="67" w:line="219" w:lineRule="auto"/>
              <w:ind w:left="132"/>
              <w:rPr>
                <w:color w:val="auto"/>
                <w:highlight w:val="none"/>
              </w:rPr>
            </w:pPr>
            <w:r>
              <w:rPr>
                <w:color w:val="auto"/>
                <w:spacing w:val="-2"/>
                <w:highlight w:val="none"/>
              </w:rPr>
              <w:t>□综合单价（参与价格评审的为综合单价）</w:t>
            </w:r>
          </w:p>
          <w:p w14:paraId="714FB224">
            <w:pPr>
              <w:pStyle w:val="11"/>
              <w:spacing w:before="72" w:line="219" w:lineRule="auto"/>
              <w:ind w:left="111"/>
              <w:rPr>
                <w:color w:val="auto"/>
                <w:highlight w:val="none"/>
              </w:rPr>
            </w:pPr>
            <w:r>
              <w:rPr>
                <w:color w:val="auto"/>
                <w:spacing w:val="7"/>
                <w:highlight w:val="none"/>
              </w:rPr>
              <w:t>特别说明：非人民币价格方式报价，投标人均应根据实</w:t>
            </w:r>
          </w:p>
          <w:p w14:paraId="6F348701">
            <w:pPr>
              <w:pStyle w:val="11"/>
              <w:spacing w:before="73" w:line="317" w:lineRule="exact"/>
              <w:ind w:left="126"/>
              <w:rPr>
                <w:color w:val="auto"/>
                <w:highlight w:val="none"/>
              </w:rPr>
            </w:pPr>
            <w:r>
              <w:rPr>
                <w:color w:val="auto"/>
                <w:spacing w:val="-3"/>
                <w:position w:val="7"/>
                <w:highlight w:val="none"/>
              </w:rPr>
              <w:t>际情况合理填报转换的人民币价格。</w:t>
            </w:r>
          </w:p>
          <w:p w14:paraId="07E9C4AE">
            <w:pPr>
              <w:pStyle w:val="11"/>
              <w:spacing w:before="1" w:line="205" w:lineRule="auto"/>
              <w:ind w:left="109"/>
              <w:rPr>
                <w:color w:val="auto"/>
                <w:highlight w:val="none"/>
              </w:rPr>
            </w:pPr>
            <w:r>
              <w:rPr>
                <w:color w:val="auto"/>
                <w:spacing w:val="-23"/>
                <w:w w:val="96"/>
                <w:highlight w:val="none"/>
              </w:rPr>
              <w:t>报价要求：</w:t>
            </w:r>
            <w:r>
              <w:rPr>
                <w:color w:val="auto"/>
                <w:spacing w:val="50"/>
                <w:highlight w:val="none"/>
              </w:rPr>
              <w:t xml:space="preserve"> </w:t>
            </w:r>
            <w:r>
              <w:rPr>
                <w:rFonts w:hint="eastAsia"/>
                <w:color w:val="auto"/>
                <w:highlight w:val="none"/>
                <w:u w:val="single"/>
                <w:lang w:eastAsia="zh-CN"/>
              </w:rPr>
              <w:t>有效报价的确定：不超出招标控制价的投标报价为有效投标报价。</w:t>
            </w:r>
          </w:p>
        </w:tc>
      </w:tr>
      <w:tr w14:paraId="2CED7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54" w:type="dxa"/>
            <w:vAlign w:val="top"/>
          </w:tcPr>
          <w:p w14:paraId="6DEC9353">
            <w:pPr>
              <w:spacing w:before="186" w:line="189" w:lineRule="auto"/>
              <w:ind w:left="22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3.3.1</w:t>
            </w:r>
          </w:p>
        </w:tc>
        <w:tc>
          <w:tcPr>
            <w:tcW w:w="2121" w:type="dxa"/>
            <w:vAlign w:val="top"/>
          </w:tcPr>
          <w:p w14:paraId="05F567C4">
            <w:pPr>
              <w:pStyle w:val="11"/>
              <w:spacing w:before="149" w:line="221" w:lineRule="auto"/>
              <w:ind w:left="544"/>
              <w:rPr>
                <w:color w:val="auto"/>
                <w:highlight w:val="none"/>
              </w:rPr>
            </w:pPr>
            <w:r>
              <w:rPr>
                <w:color w:val="auto"/>
                <w:spacing w:val="-1"/>
                <w:highlight w:val="none"/>
              </w:rPr>
              <w:t>投标有效期</w:t>
            </w:r>
          </w:p>
        </w:tc>
        <w:tc>
          <w:tcPr>
            <w:tcW w:w="5447" w:type="dxa"/>
            <w:vAlign w:val="top"/>
          </w:tcPr>
          <w:p w14:paraId="4130A0ED">
            <w:pPr>
              <w:pStyle w:val="11"/>
              <w:spacing w:before="149" w:line="221" w:lineRule="auto"/>
              <w:ind w:left="145"/>
              <w:rPr>
                <w:color w:val="auto"/>
                <w:highlight w:val="none"/>
              </w:rPr>
            </w:pPr>
            <w:r>
              <w:rPr>
                <w:color w:val="auto"/>
                <w:spacing w:val="-6"/>
                <w:highlight w:val="none"/>
              </w:rPr>
              <w:t>自投标截止之日起</w:t>
            </w:r>
            <w:r>
              <w:rPr>
                <w:color w:val="auto"/>
                <w:spacing w:val="-6"/>
                <w:highlight w:val="none"/>
                <w:u w:val="single" w:color="auto"/>
              </w:rPr>
              <w:t xml:space="preserve"> </w:t>
            </w:r>
            <w:r>
              <w:rPr>
                <w:rFonts w:hint="eastAsia"/>
                <w:color w:val="auto"/>
                <w:spacing w:val="-6"/>
                <w:highlight w:val="none"/>
                <w:u w:val="single" w:color="auto"/>
                <w:lang w:val="en-US" w:eastAsia="zh-CN"/>
              </w:rPr>
              <w:t>90</w:t>
            </w:r>
            <w:r>
              <w:rPr>
                <w:color w:val="auto"/>
                <w:spacing w:val="-47"/>
                <w:highlight w:val="none"/>
              </w:rPr>
              <w:t xml:space="preserve"> </w:t>
            </w:r>
            <w:r>
              <w:rPr>
                <w:color w:val="auto"/>
                <w:spacing w:val="-6"/>
                <w:highlight w:val="none"/>
              </w:rPr>
              <w:t>日内有效</w:t>
            </w:r>
          </w:p>
        </w:tc>
      </w:tr>
      <w:tr w14:paraId="5A99B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trPr>
        <w:tc>
          <w:tcPr>
            <w:tcW w:w="854" w:type="dxa"/>
            <w:vAlign w:val="top"/>
          </w:tcPr>
          <w:p w14:paraId="1C50E5E3">
            <w:pPr>
              <w:spacing w:line="267" w:lineRule="auto"/>
              <w:rPr>
                <w:rFonts w:ascii="Arial"/>
                <w:color w:val="auto"/>
                <w:sz w:val="21"/>
                <w:highlight w:val="none"/>
              </w:rPr>
            </w:pPr>
          </w:p>
          <w:p w14:paraId="7FCE389B">
            <w:pPr>
              <w:spacing w:line="268" w:lineRule="auto"/>
              <w:rPr>
                <w:rFonts w:ascii="Arial"/>
                <w:color w:val="auto"/>
                <w:sz w:val="21"/>
                <w:highlight w:val="none"/>
              </w:rPr>
            </w:pPr>
          </w:p>
          <w:p w14:paraId="4E7BD138">
            <w:pPr>
              <w:spacing w:before="61" w:line="189" w:lineRule="auto"/>
              <w:ind w:left="22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3.4.1</w:t>
            </w:r>
          </w:p>
        </w:tc>
        <w:tc>
          <w:tcPr>
            <w:tcW w:w="2121" w:type="dxa"/>
            <w:vAlign w:val="top"/>
          </w:tcPr>
          <w:p w14:paraId="1CF0286C">
            <w:pPr>
              <w:spacing w:line="246" w:lineRule="auto"/>
              <w:rPr>
                <w:rFonts w:ascii="Arial"/>
                <w:color w:val="auto"/>
                <w:sz w:val="21"/>
                <w:highlight w:val="none"/>
              </w:rPr>
            </w:pPr>
          </w:p>
          <w:p w14:paraId="51F77982">
            <w:pPr>
              <w:spacing w:line="246" w:lineRule="auto"/>
              <w:rPr>
                <w:rFonts w:ascii="Arial"/>
                <w:color w:val="auto"/>
                <w:sz w:val="21"/>
                <w:highlight w:val="none"/>
              </w:rPr>
            </w:pPr>
          </w:p>
          <w:p w14:paraId="0F7BBF59">
            <w:pPr>
              <w:pStyle w:val="11"/>
              <w:spacing w:before="68" w:line="221" w:lineRule="auto"/>
              <w:ind w:left="544"/>
              <w:rPr>
                <w:color w:val="auto"/>
                <w:highlight w:val="none"/>
              </w:rPr>
            </w:pPr>
            <w:r>
              <w:rPr>
                <w:color w:val="auto"/>
                <w:spacing w:val="-1"/>
                <w:highlight w:val="none"/>
              </w:rPr>
              <w:t>投标保证金</w:t>
            </w:r>
          </w:p>
        </w:tc>
        <w:tc>
          <w:tcPr>
            <w:tcW w:w="5447" w:type="dxa"/>
            <w:vAlign w:val="top"/>
          </w:tcPr>
          <w:p w14:paraId="1596B6C6">
            <w:pPr>
              <w:pStyle w:val="11"/>
              <w:spacing w:before="40" w:line="207" w:lineRule="auto"/>
              <w:ind w:left="125"/>
              <w:rPr>
                <w:color w:val="auto"/>
                <w:highlight w:val="none"/>
              </w:rPr>
            </w:pPr>
            <w:r>
              <w:rPr>
                <w:rFonts w:ascii="Times New Roman" w:hAnsi="Times New Roman" w:eastAsia="Times New Roman" w:cs="Times New Roman"/>
                <w:color w:val="auto"/>
                <w:spacing w:val="-6"/>
                <w:sz w:val="32"/>
                <w:szCs w:val="32"/>
                <w:highlight w:val="none"/>
              </w:rPr>
              <w:t>□</w:t>
            </w:r>
            <w:r>
              <w:rPr>
                <w:color w:val="auto"/>
                <w:spacing w:val="-6"/>
                <w:highlight w:val="none"/>
              </w:rPr>
              <w:t>不提交</w:t>
            </w:r>
          </w:p>
          <w:p w14:paraId="11BCD889">
            <w:pPr>
              <w:pStyle w:val="11"/>
              <w:spacing w:line="222" w:lineRule="auto"/>
              <w:ind w:left="125"/>
              <w:rPr>
                <w:color w:val="auto"/>
                <w:highlight w:val="none"/>
              </w:rPr>
            </w:pPr>
            <w:r>
              <w:rPr>
                <w:rFonts w:ascii="Times New Roman" w:hAnsi="Times New Roman" w:eastAsia="Times New Roman" w:cs="Times New Roman"/>
                <w:color w:val="auto"/>
                <w:spacing w:val="-8"/>
                <w:sz w:val="32"/>
                <w:szCs w:val="32"/>
                <w:highlight w:val="none"/>
              </w:rPr>
              <w:sym w:font="Wingdings 2" w:char="0052"/>
            </w:r>
            <w:r>
              <w:rPr>
                <w:color w:val="auto"/>
                <w:spacing w:val="-8"/>
                <w:highlight w:val="none"/>
              </w:rPr>
              <w:t>提交</w:t>
            </w:r>
          </w:p>
          <w:p w14:paraId="7B44E768">
            <w:pPr>
              <w:pStyle w:val="11"/>
              <w:numPr>
                <w:ilvl w:val="0"/>
                <w:numId w:val="1"/>
              </w:numPr>
              <w:spacing w:before="21" w:line="246" w:lineRule="auto"/>
              <w:ind w:left="126" w:right="499"/>
              <w:rPr>
                <w:color w:val="auto"/>
                <w:spacing w:val="-14"/>
                <w:highlight w:val="none"/>
                <w14:textOutline w14:w="3831" w14:cap="flat" w14:cmpd="sng">
                  <w14:solidFill>
                    <w14:srgbClr w14:val="000000"/>
                  </w14:solidFill>
                  <w14:prstDash w14:val="solid"/>
                  <w14:miter w14:val="0"/>
                </w14:textOutline>
              </w:rPr>
            </w:pPr>
            <w:r>
              <w:rPr>
                <w:color w:val="auto"/>
                <w:spacing w:val="-6"/>
                <w:highlight w:val="none"/>
              </w:rPr>
              <w:t>递交截止时间（到账时间</w:t>
            </w:r>
            <w:r>
              <w:rPr>
                <w:color w:val="auto"/>
                <w:spacing w:val="-13"/>
                <w:highlight w:val="none"/>
              </w:rPr>
              <w:t>）</w:t>
            </w:r>
            <w:r>
              <w:rPr>
                <w:color w:val="auto"/>
                <w:spacing w:val="37"/>
                <w:highlight w:val="none"/>
              </w:rPr>
              <w:t xml:space="preserve"> </w:t>
            </w:r>
            <w:r>
              <w:rPr>
                <w:color w:val="auto"/>
                <w:spacing w:val="-13"/>
                <w:highlight w:val="none"/>
              </w:rPr>
              <w:t>：</w:t>
            </w:r>
            <w:r>
              <w:rPr>
                <w:color w:val="auto"/>
                <w:spacing w:val="-6"/>
                <w:highlight w:val="none"/>
                <w14:textOutline w14:w="3831" w14:cap="flat" w14:cmpd="sng">
                  <w14:solidFill>
                    <w14:srgbClr w14:val="000000"/>
                  </w14:solidFill>
                  <w14:prstDash w14:val="solid"/>
                  <w14:miter w14:val="0"/>
                </w14:textOutline>
              </w:rPr>
              <w:t>同本标段投标截止时</w:t>
            </w:r>
            <w:r>
              <w:rPr>
                <w:color w:val="auto"/>
                <w:highlight w:val="none"/>
              </w:rPr>
              <w:t xml:space="preserve"> </w:t>
            </w:r>
            <w:r>
              <w:rPr>
                <w:color w:val="auto"/>
                <w:spacing w:val="-14"/>
                <w:highlight w:val="none"/>
                <w14:textOutline w14:w="3831" w14:cap="flat" w14:cmpd="sng">
                  <w14:solidFill>
                    <w14:srgbClr w14:val="000000"/>
                  </w14:solidFill>
                  <w14:prstDash w14:val="solid"/>
                  <w14:miter w14:val="0"/>
                </w14:textOutline>
              </w:rPr>
              <w:t>间。</w:t>
            </w:r>
          </w:p>
        </w:tc>
      </w:tr>
    </w:tbl>
    <w:p w14:paraId="519F1579">
      <w:pPr>
        <w:pStyle w:val="3"/>
        <w:rPr>
          <w:color w:val="auto"/>
          <w:highlight w:val="none"/>
        </w:rPr>
      </w:pPr>
    </w:p>
    <w:p w14:paraId="27D6DD66">
      <w:pPr>
        <w:spacing w:line="95" w:lineRule="auto"/>
        <w:rPr>
          <w:rFonts w:ascii="Arial"/>
          <w:color w:val="auto"/>
          <w:sz w:val="2"/>
          <w:highlight w:val="none"/>
        </w:rPr>
      </w:pPr>
    </w:p>
    <w:tbl>
      <w:tblPr>
        <w:tblStyle w:val="10"/>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52BDE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0" w:hRule="atLeast"/>
        </w:trPr>
        <w:tc>
          <w:tcPr>
            <w:tcW w:w="854" w:type="dxa"/>
            <w:vAlign w:val="top"/>
          </w:tcPr>
          <w:p w14:paraId="2C3CCD12">
            <w:pPr>
              <w:rPr>
                <w:rFonts w:ascii="Arial"/>
                <w:color w:val="auto"/>
                <w:sz w:val="21"/>
                <w:highlight w:val="none"/>
              </w:rPr>
            </w:pPr>
          </w:p>
        </w:tc>
        <w:tc>
          <w:tcPr>
            <w:tcW w:w="2121" w:type="dxa"/>
            <w:vAlign w:val="top"/>
          </w:tcPr>
          <w:p w14:paraId="01CEF81E">
            <w:pPr>
              <w:rPr>
                <w:rFonts w:ascii="Arial"/>
                <w:color w:val="auto"/>
                <w:sz w:val="21"/>
                <w:highlight w:val="none"/>
              </w:rPr>
            </w:pPr>
          </w:p>
        </w:tc>
        <w:tc>
          <w:tcPr>
            <w:tcW w:w="5447" w:type="dxa"/>
            <w:vAlign w:val="top"/>
          </w:tcPr>
          <w:p w14:paraId="1B31FE2B">
            <w:pPr>
              <w:pStyle w:val="11"/>
              <w:spacing w:before="81" w:line="221" w:lineRule="auto"/>
              <w:ind w:left="113"/>
              <w:rPr>
                <w:color w:val="auto"/>
                <w:highlight w:val="none"/>
              </w:rPr>
            </w:pPr>
            <w:bookmarkStart w:id="32" w:name="bookmark57"/>
            <w:bookmarkEnd w:id="32"/>
            <w:bookmarkStart w:id="33" w:name="bookmark55"/>
            <w:bookmarkEnd w:id="33"/>
            <w:bookmarkStart w:id="34" w:name="bookmark58"/>
            <w:bookmarkEnd w:id="34"/>
            <w:bookmarkStart w:id="35" w:name="bookmark56"/>
            <w:bookmarkEnd w:id="35"/>
            <w:r>
              <w:rPr>
                <w:color w:val="auto"/>
                <w:spacing w:val="-14"/>
                <w:highlight w:val="none"/>
              </w:rPr>
              <w:t xml:space="preserve">2.金额： </w:t>
            </w:r>
            <w:r>
              <w:rPr>
                <w:color w:val="auto"/>
                <w:spacing w:val="-14"/>
                <w:highlight w:val="none"/>
                <w:u w:val="single" w:color="auto"/>
              </w:rPr>
              <w:t xml:space="preserve"> </w:t>
            </w:r>
            <w:r>
              <w:rPr>
                <w:rFonts w:hint="eastAsia"/>
                <w:color w:val="auto"/>
                <w:spacing w:val="-14"/>
                <w:highlight w:val="none"/>
                <w:u w:val="single" w:color="auto"/>
                <w:lang w:val="en-US" w:eastAsia="zh-CN"/>
              </w:rPr>
              <w:t>10万元</w:t>
            </w:r>
            <w:r>
              <w:rPr>
                <w:color w:val="auto"/>
                <w:spacing w:val="-14"/>
                <w:highlight w:val="none"/>
              </w:rPr>
              <w:t>。</w:t>
            </w:r>
          </w:p>
          <w:p w14:paraId="2813D50D">
            <w:pPr>
              <w:pStyle w:val="11"/>
              <w:spacing w:before="66" w:line="221" w:lineRule="auto"/>
              <w:ind w:left="115"/>
              <w:rPr>
                <w:color w:val="auto"/>
                <w:highlight w:val="none"/>
              </w:rPr>
            </w:pPr>
            <w:r>
              <w:rPr>
                <w:color w:val="auto"/>
                <w:spacing w:val="-8"/>
                <w:highlight w:val="none"/>
              </w:rPr>
              <w:t>3.形式：</w:t>
            </w:r>
            <w:r>
              <w:rPr>
                <w:rFonts w:hint="eastAsia"/>
                <w:color w:val="auto"/>
                <w:highlight w:val="none"/>
                <w:lang w:eastAsia="zh-CN"/>
              </w:rPr>
              <w:sym w:font="Wingdings 2" w:char="0052"/>
            </w:r>
            <w:r>
              <w:rPr>
                <w:rFonts w:hint="eastAsia"/>
                <w:color w:val="auto"/>
                <w:highlight w:val="none"/>
                <w:lang w:eastAsia="zh-CN"/>
              </w:rPr>
              <w:t>现金（指电汇、支票）  ☑保函（保险）</w:t>
            </w:r>
            <w:r>
              <w:rPr>
                <w:color w:val="auto"/>
                <w:spacing w:val="91"/>
                <w:highlight w:val="none"/>
              </w:rPr>
              <w:t xml:space="preserve"> </w:t>
            </w:r>
            <w:r>
              <w:rPr>
                <w:color w:val="auto"/>
                <w:spacing w:val="-8"/>
                <w:highlight w:val="none"/>
              </w:rPr>
              <w:t>□其他形式</w:t>
            </w:r>
          </w:p>
          <w:p w14:paraId="31D1C156">
            <w:pPr>
              <w:pStyle w:val="11"/>
              <w:spacing w:before="69" w:line="222" w:lineRule="auto"/>
              <w:ind w:left="110"/>
              <w:rPr>
                <w:color w:val="auto"/>
                <w:highlight w:val="none"/>
              </w:rPr>
            </w:pPr>
            <w:r>
              <w:rPr>
                <w:color w:val="auto"/>
                <w:spacing w:val="-5"/>
                <w:highlight w:val="none"/>
              </w:rPr>
              <w:t>4.递交方式：</w:t>
            </w:r>
          </w:p>
          <w:p w14:paraId="0AD93EFA">
            <w:pPr>
              <w:pStyle w:val="11"/>
              <w:spacing w:before="70" w:line="221" w:lineRule="auto"/>
              <w:ind w:left="110"/>
              <w:rPr>
                <w:color w:val="auto"/>
                <w:highlight w:val="none"/>
              </w:rPr>
            </w:pPr>
            <w:r>
              <w:rPr>
                <w:color w:val="auto"/>
                <w:spacing w:val="-2"/>
                <w:highlight w:val="none"/>
              </w:rPr>
              <w:t>4.1</w:t>
            </w:r>
            <w:r>
              <w:rPr>
                <w:color w:val="auto"/>
                <w:spacing w:val="-43"/>
                <w:highlight w:val="none"/>
              </w:rPr>
              <w:t xml:space="preserve"> </w:t>
            </w:r>
            <w:r>
              <w:rPr>
                <w:color w:val="auto"/>
                <w:spacing w:val="-2"/>
                <w:highlight w:val="none"/>
              </w:rPr>
              <w:t>现金</w:t>
            </w:r>
          </w:p>
          <w:p w14:paraId="554B25BA">
            <w:pPr>
              <w:pStyle w:val="11"/>
              <w:spacing w:before="64" w:line="221" w:lineRule="auto"/>
              <w:ind w:left="540"/>
              <w:rPr>
                <w:color w:val="auto"/>
                <w:highlight w:val="none"/>
              </w:rPr>
            </w:pPr>
            <w:r>
              <w:rPr>
                <w:color w:val="auto"/>
                <w:spacing w:val="-4"/>
                <w:highlight w:val="none"/>
              </w:rPr>
              <w:t>（1）收款信息</w:t>
            </w:r>
          </w:p>
          <w:p w14:paraId="48202787">
            <w:pPr>
              <w:widowControl/>
              <w:ind w:firstLine="420" w:firstLineChars="200"/>
              <w:rPr>
                <w:rFonts w:hint="eastAsia" w:ascii="仿宋_GB2312" w:hAnsi="Arial" w:eastAsia="仿宋_GB2312" w:cs="Arial"/>
                <w:color w:val="auto"/>
                <w:kern w:val="0"/>
                <w:szCs w:val="21"/>
                <w:highlight w:val="none"/>
                <w:lang w:eastAsia="zh-CN"/>
              </w:rPr>
            </w:pPr>
            <w:r>
              <w:rPr>
                <w:rFonts w:hint="eastAsia" w:ascii="仿宋_GB2312" w:hAnsi="Arial" w:eastAsia="仿宋_GB2312" w:cs="Arial"/>
                <w:color w:val="auto"/>
                <w:kern w:val="0"/>
                <w:szCs w:val="21"/>
                <w:highlight w:val="none"/>
              </w:rPr>
              <w:t>收款单位：</w:t>
            </w:r>
            <w:r>
              <w:rPr>
                <w:rFonts w:hint="eastAsia" w:ascii="仿宋_GB2312" w:eastAsia="仿宋_GB2312" w:cs="Arial"/>
                <w:color w:val="auto"/>
                <w:kern w:val="0"/>
                <w:szCs w:val="21"/>
                <w:highlight w:val="none"/>
                <w:lang w:eastAsia="zh-CN"/>
              </w:rPr>
              <w:t>沈阳招标中心有限公司</w:t>
            </w:r>
          </w:p>
          <w:p w14:paraId="198F1814">
            <w:pPr>
              <w:widowControl/>
              <w:ind w:firstLine="420" w:firstLineChars="200"/>
              <w:rPr>
                <w:rFonts w:hint="eastAsia" w:ascii="仿宋_GB2312" w:hAnsi="Arial" w:eastAsia="仿宋_GB2312" w:cs="Arial"/>
                <w:color w:val="auto"/>
                <w:kern w:val="0"/>
                <w:szCs w:val="21"/>
                <w:highlight w:val="none"/>
                <w:lang w:eastAsia="zh-CN"/>
              </w:rPr>
            </w:pPr>
            <w:r>
              <w:rPr>
                <w:rFonts w:hint="eastAsia" w:ascii="仿宋_GB2312" w:hAnsi="Arial" w:eastAsia="仿宋_GB2312" w:cs="Arial"/>
                <w:color w:val="auto"/>
                <w:kern w:val="0"/>
                <w:szCs w:val="21"/>
                <w:highlight w:val="none"/>
              </w:rPr>
              <w:t>开户银行：</w:t>
            </w:r>
            <w:r>
              <w:rPr>
                <w:rFonts w:hint="eastAsia" w:ascii="仿宋_GB2312" w:eastAsia="仿宋_GB2312" w:cs="Arial"/>
                <w:color w:val="auto"/>
                <w:kern w:val="0"/>
                <w:szCs w:val="21"/>
                <w:highlight w:val="none"/>
                <w:lang w:val="en-US" w:eastAsia="zh-CN"/>
              </w:rPr>
              <w:t xml:space="preserve"> </w:t>
            </w:r>
            <w:r>
              <w:rPr>
                <w:rFonts w:hint="eastAsia" w:ascii="仿宋_GB2312" w:hAnsi="仿宋_GB2312" w:eastAsia="仿宋_GB2312" w:cs="仿宋_GB2312"/>
                <w:color w:val="auto"/>
                <w:kern w:val="0"/>
                <w:szCs w:val="21"/>
                <w:highlight w:val="none"/>
                <w:u w:val="single"/>
              </w:rPr>
              <w:t>中国建设银行浑南东路支行</w:t>
            </w:r>
          </w:p>
          <w:p w14:paraId="665253C5">
            <w:pPr>
              <w:widowControl/>
              <w:ind w:firstLine="420" w:firstLineChars="200"/>
              <w:rPr>
                <w:rFonts w:hint="eastAsia" w:ascii="仿宋_GB2312" w:hAnsi="Arial" w:eastAsia="仿宋_GB2312" w:cs="Arial"/>
                <w:color w:val="auto"/>
                <w:kern w:val="0"/>
                <w:szCs w:val="21"/>
                <w:highlight w:val="none"/>
                <w:lang w:eastAsia="zh-CN"/>
              </w:rPr>
            </w:pPr>
            <w:r>
              <w:rPr>
                <w:rFonts w:hint="eastAsia" w:ascii="仿宋_GB2312" w:hAnsi="Arial" w:eastAsia="仿宋_GB2312" w:cs="Arial"/>
                <w:color w:val="auto"/>
                <w:kern w:val="0"/>
                <w:szCs w:val="21"/>
                <w:highlight w:val="none"/>
              </w:rPr>
              <w:t>汇款账号：</w:t>
            </w:r>
            <w:r>
              <w:rPr>
                <w:rFonts w:hint="eastAsia" w:ascii="仿宋_GB2312" w:eastAsia="仿宋_GB2312" w:cs="Arial"/>
                <w:color w:val="auto"/>
                <w:kern w:val="0"/>
                <w:szCs w:val="21"/>
                <w:highlight w:val="none"/>
                <w:lang w:val="en-US" w:eastAsia="zh-CN"/>
              </w:rPr>
              <w:t xml:space="preserve"> </w:t>
            </w:r>
          </w:p>
          <w:p w14:paraId="4950E421">
            <w:pPr>
              <w:pStyle w:val="11"/>
              <w:tabs>
                <w:tab w:val="left" w:pos="4937"/>
              </w:tabs>
              <w:spacing w:before="71" w:line="266" w:lineRule="auto"/>
              <w:ind w:left="534" w:right="503" w:firstLine="6"/>
              <w:jc w:val="both"/>
              <w:rPr>
                <w:color w:val="auto"/>
                <w:highlight w:val="none"/>
              </w:rPr>
            </w:pPr>
            <w:r>
              <w:rPr>
                <w:color w:val="auto"/>
                <w:highlight w:val="none"/>
              </w:rPr>
              <w:t xml:space="preserve"> </w:t>
            </w:r>
            <w:r>
              <w:rPr>
                <w:color w:val="auto"/>
                <w:spacing w:val="-1"/>
                <w:highlight w:val="none"/>
              </w:rPr>
              <w:t>（2）收款说明</w:t>
            </w:r>
          </w:p>
          <w:p w14:paraId="20F77537">
            <w:pPr>
              <w:pStyle w:val="11"/>
              <w:spacing w:before="71" w:line="250" w:lineRule="auto"/>
              <w:ind w:left="113" w:right="294" w:firstLine="423"/>
              <w:rPr>
                <w:color w:val="auto"/>
                <w:highlight w:val="none"/>
              </w:rPr>
            </w:pPr>
            <w:r>
              <w:rPr>
                <w:color w:val="auto"/>
                <w:spacing w:val="-1"/>
                <w:highlight w:val="none"/>
              </w:rPr>
              <w:t>投标人应在投标截止时间前通过企业基本账户递交</w:t>
            </w:r>
            <w:r>
              <w:rPr>
                <w:color w:val="auto"/>
                <w:spacing w:val="12"/>
                <w:highlight w:val="none"/>
              </w:rPr>
              <w:t xml:space="preserve"> </w:t>
            </w:r>
            <w:r>
              <w:rPr>
                <w:color w:val="auto"/>
                <w:spacing w:val="-1"/>
                <w:highlight w:val="none"/>
              </w:rPr>
              <w:t>至</w:t>
            </w:r>
            <w:r>
              <w:rPr>
                <w:color w:val="auto"/>
                <w:spacing w:val="-45"/>
                <w:highlight w:val="none"/>
              </w:rPr>
              <w:t xml:space="preserve"> </w:t>
            </w:r>
            <w:r>
              <w:rPr>
                <w:color w:val="auto"/>
                <w:spacing w:val="-1"/>
                <w:highlight w:val="none"/>
              </w:rPr>
              <w:t>4.1（1）规定的账户，否则视为无效投标</w:t>
            </w:r>
            <w:r>
              <w:rPr>
                <w:color w:val="auto"/>
                <w:spacing w:val="-2"/>
                <w:highlight w:val="none"/>
              </w:rPr>
              <w:t>保证金。</w:t>
            </w:r>
          </w:p>
          <w:p w14:paraId="6DB8AD4E">
            <w:pPr>
              <w:pStyle w:val="11"/>
              <w:spacing w:before="70" w:line="221" w:lineRule="auto"/>
              <w:ind w:left="110"/>
              <w:rPr>
                <w:color w:val="auto"/>
                <w:highlight w:val="none"/>
              </w:rPr>
            </w:pPr>
            <w:r>
              <w:rPr>
                <w:color w:val="auto"/>
                <w:spacing w:val="-2"/>
                <w:highlight w:val="none"/>
              </w:rPr>
              <w:t>4.2</w:t>
            </w:r>
            <w:r>
              <w:rPr>
                <w:color w:val="auto"/>
                <w:spacing w:val="-40"/>
                <w:highlight w:val="none"/>
              </w:rPr>
              <w:t xml:space="preserve"> </w:t>
            </w:r>
            <w:r>
              <w:rPr>
                <w:color w:val="auto"/>
                <w:spacing w:val="-2"/>
                <w:highlight w:val="none"/>
              </w:rPr>
              <w:t>保函（保险）</w:t>
            </w:r>
          </w:p>
          <w:p w14:paraId="32466789">
            <w:pPr>
              <w:pStyle w:val="11"/>
              <w:spacing w:before="69" w:line="269" w:lineRule="auto"/>
              <w:ind w:left="110" w:right="188" w:firstLine="429"/>
              <w:rPr>
                <w:color w:val="auto"/>
                <w:highlight w:val="none"/>
              </w:rPr>
            </w:pPr>
            <w:r>
              <w:rPr>
                <w:color w:val="auto"/>
                <w:spacing w:val="-1"/>
                <w:highlight w:val="none"/>
              </w:rPr>
              <w:t>（1）投标人可通过辽宁省建设工程领域电子保函保</w:t>
            </w:r>
            <w:r>
              <w:rPr>
                <w:color w:val="auto"/>
                <w:spacing w:val="10"/>
                <w:highlight w:val="none"/>
              </w:rPr>
              <w:t xml:space="preserve"> </w:t>
            </w:r>
            <w:r>
              <w:rPr>
                <w:color w:val="auto"/>
                <w:spacing w:val="-1"/>
                <w:highlight w:val="none"/>
              </w:rPr>
              <w:t>险基础公共服务平台或辽宁省工程建设项目电子保函保</w:t>
            </w:r>
            <w:r>
              <w:rPr>
                <w:color w:val="auto"/>
                <w:spacing w:val="7"/>
                <w:highlight w:val="none"/>
              </w:rPr>
              <w:t xml:space="preserve">  </w:t>
            </w:r>
            <w:r>
              <w:rPr>
                <w:color w:val="auto"/>
                <w:spacing w:val="-1"/>
                <w:highlight w:val="none"/>
              </w:rPr>
              <w:t>险基础服务平台跨地区、跨行业自由服务试点的金融平</w:t>
            </w:r>
            <w:r>
              <w:rPr>
                <w:color w:val="auto"/>
                <w:spacing w:val="7"/>
                <w:highlight w:val="none"/>
              </w:rPr>
              <w:t xml:space="preserve">  </w:t>
            </w:r>
            <w:r>
              <w:rPr>
                <w:color w:val="auto"/>
                <w:spacing w:val="-1"/>
                <w:highlight w:val="none"/>
              </w:rPr>
              <w:t>台或金融机构任一渠道自主选择购买保函（保险</w:t>
            </w:r>
            <w:r>
              <w:rPr>
                <w:color w:val="auto"/>
                <w:spacing w:val="-34"/>
                <w:highlight w:val="none"/>
              </w:rPr>
              <w:t>），</w:t>
            </w:r>
            <w:r>
              <w:rPr>
                <w:color w:val="auto"/>
                <w:spacing w:val="-24"/>
                <w:highlight w:val="none"/>
              </w:rPr>
              <w:t xml:space="preserve"> </w:t>
            </w:r>
            <w:r>
              <w:rPr>
                <w:color w:val="auto"/>
                <w:spacing w:val="-1"/>
                <w:highlight w:val="none"/>
              </w:rPr>
              <w:t>鼓</w:t>
            </w:r>
            <w:r>
              <w:rPr>
                <w:color w:val="auto"/>
                <w:highlight w:val="none"/>
              </w:rPr>
              <w:t xml:space="preserve">  </w:t>
            </w:r>
            <w:r>
              <w:rPr>
                <w:color w:val="auto"/>
                <w:spacing w:val="-5"/>
                <w:highlight w:val="none"/>
              </w:rPr>
              <w:t>励企业使用电子保函（保险） 等形式提交保证金。</w:t>
            </w:r>
          </w:p>
          <w:p w14:paraId="169405AF">
            <w:pPr>
              <w:pStyle w:val="11"/>
              <w:spacing w:before="69" w:line="273" w:lineRule="auto"/>
              <w:ind w:left="109" w:right="219" w:firstLine="430"/>
              <w:rPr>
                <w:color w:val="auto"/>
                <w:highlight w:val="none"/>
              </w:rPr>
            </w:pPr>
            <w:r>
              <w:rPr>
                <w:color w:val="auto"/>
                <w:spacing w:val="-2"/>
                <w:highlight w:val="none"/>
              </w:rPr>
              <w:t>（2）投标人应在投标截止时间前购买完成并生效。</w:t>
            </w:r>
            <w:r>
              <w:rPr>
                <w:color w:val="auto"/>
                <w:spacing w:val="2"/>
                <w:highlight w:val="none"/>
              </w:rPr>
              <w:t xml:space="preserve"> </w:t>
            </w:r>
            <w:r>
              <w:rPr>
                <w:color w:val="auto"/>
                <w:spacing w:val="-1"/>
                <w:highlight w:val="none"/>
              </w:rPr>
              <w:t xml:space="preserve">购买保函（保险）的财务费用应当通过企业基本账户或 </w:t>
            </w:r>
            <w:r>
              <w:rPr>
                <w:color w:val="auto"/>
                <w:spacing w:val="-3"/>
                <w:highlight w:val="none"/>
              </w:rPr>
              <w:t>主体信息库登记的企业账户缴纳。纸质保函（保险）</w:t>
            </w:r>
            <w:r>
              <w:rPr>
                <w:color w:val="auto"/>
                <w:spacing w:val="-42"/>
                <w:highlight w:val="none"/>
              </w:rPr>
              <w:t xml:space="preserve"> </w:t>
            </w:r>
            <w:r>
              <w:rPr>
                <w:color w:val="auto"/>
                <w:spacing w:val="-4"/>
                <w:highlight w:val="none"/>
              </w:rPr>
              <w:t xml:space="preserve">和 </w:t>
            </w:r>
            <w:r>
              <w:rPr>
                <w:color w:val="auto"/>
                <w:spacing w:val="-1"/>
                <w:highlight w:val="none"/>
              </w:rPr>
              <w:t xml:space="preserve">电子保函（保险）能够满足出函机构官方媒介或其指定 </w:t>
            </w:r>
            <w:r>
              <w:rPr>
                <w:color w:val="auto"/>
                <w:spacing w:val="-6"/>
                <w:highlight w:val="none"/>
              </w:rPr>
              <w:t>的在线系统实时验真的条件。购买保函（保险）</w:t>
            </w:r>
            <w:r>
              <w:rPr>
                <w:color w:val="auto"/>
                <w:spacing w:val="35"/>
                <w:highlight w:val="none"/>
              </w:rPr>
              <w:t xml:space="preserve"> </w:t>
            </w:r>
            <w:r>
              <w:rPr>
                <w:color w:val="auto"/>
                <w:spacing w:val="-7"/>
                <w:highlight w:val="none"/>
              </w:rPr>
              <w:t xml:space="preserve">的财务 </w:t>
            </w:r>
            <w:r>
              <w:rPr>
                <w:color w:val="auto"/>
                <w:spacing w:val="-1"/>
                <w:highlight w:val="none"/>
              </w:rPr>
              <w:t xml:space="preserve">费用不是通过企业账户缴纳或无法在线验真的保函（保 </w:t>
            </w:r>
            <w:r>
              <w:rPr>
                <w:color w:val="auto"/>
                <w:spacing w:val="-3"/>
                <w:highlight w:val="none"/>
              </w:rPr>
              <w:t>险）视为无效保函（保险）。</w:t>
            </w:r>
          </w:p>
          <w:p w14:paraId="6E571F2B">
            <w:pPr>
              <w:pStyle w:val="11"/>
              <w:spacing w:before="70" w:line="221" w:lineRule="auto"/>
              <w:ind w:left="110"/>
              <w:rPr>
                <w:color w:val="auto"/>
                <w:highlight w:val="none"/>
              </w:rPr>
            </w:pPr>
            <w:r>
              <w:rPr>
                <w:color w:val="auto"/>
                <w:spacing w:val="-2"/>
                <w:highlight w:val="none"/>
              </w:rPr>
              <w:t>4.3</w:t>
            </w:r>
            <w:r>
              <w:rPr>
                <w:color w:val="auto"/>
                <w:spacing w:val="-44"/>
                <w:highlight w:val="none"/>
              </w:rPr>
              <w:t xml:space="preserve"> </w:t>
            </w:r>
            <w:r>
              <w:rPr>
                <w:color w:val="auto"/>
                <w:spacing w:val="-2"/>
                <w:highlight w:val="none"/>
              </w:rPr>
              <w:t>其他</w:t>
            </w:r>
          </w:p>
          <w:p w14:paraId="347698D6">
            <w:pPr>
              <w:pStyle w:val="11"/>
              <w:spacing w:before="63" w:line="258" w:lineRule="auto"/>
              <w:ind w:left="111" w:right="294" w:firstLine="421"/>
              <w:jc w:val="both"/>
              <w:rPr>
                <w:color w:val="auto"/>
                <w:highlight w:val="none"/>
              </w:rPr>
            </w:pPr>
            <w:r>
              <w:rPr>
                <w:color w:val="auto"/>
                <w:spacing w:val="-1"/>
                <w:highlight w:val="none"/>
              </w:rPr>
              <w:t>采用汇票等其他方式缴纳投标保证金的，也应参照</w:t>
            </w:r>
            <w:r>
              <w:rPr>
                <w:color w:val="auto"/>
                <w:spacing w:val="15"/>
                <w:highlight w:val="none"/>
              </w:rPr>
              <w:t xml:space="preserve"> </w:t>
            </w:r>
            <w:r>
              <w:rPr>
                <w:color w:val="auto"/>
                <w:spacing w:val="-1"/>
                <w:highlight w:val="none"/>
              </w:rPr>
              <w:t>现金方式缴纳要求执行。招标人要求可以不缴纳投标保</w:t>
            </w:r>
            <w:r>
              <w:rPr>
                <w:color w:val="auto"/>
                <w:spacing w:val="14"/>
                <w:highlight w:val="none"/>
              </w:rPr>
              <w:t xml:space="preserve"> </w:t>
            </w:r>
            <w:r>
              <w:rPr>
                <w:color w:val="auto"/>
                <w:spacing w:val="-1"/>
                <w:highlight w:val="none"/>
              </w:rPr>
              <w:t>证金的除外。</w:t>
            </w:r>
          </w:p>
        </w:tc>
      </w:tr>
      <w:tr w14:paraId="5D4F1C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4" w:hRule="atLeast"/>
        </w:trPr>
        <w:tc>
          <w:tcPr>
            <w:tcW w:w="854" w:type="dxa"/>
            <w:vAlign w:val="top"/>
          </w:tcPr>
          <w:p w14:paraId="370DB5D8">
            <w:pPr>
              <w:spacing w:line="282" w:lineRule="auto"/>
              <w:rPr>
                <w:rFonts w:ascii="Arial"/>
                <w:color w:val="auto"/>
                <w:sz w:val="21"/>
                <w:highlight w:val="none"/>
              </w:rPr>
            </w:pPr>
          </w:p>
          <w:p w14:paraId="399996D7">
            <w:pPr>
              <w:spacing w:line="283" w:lineRule="auto"/>
              <w:rPr>
                <w:rFonts w:ascii="Arial"/>
                <w:color w:val="auto"/>
                <w:sz w:val="21"/>
                <w:highlight w:val="none"/>
              </w:rPr>
            </w:pPr>
          </w:p>
          <w:p w14:paraId="5AFE0BA5">
            <w:pPr>
              <w:spacing w:line="283" w:lineRule="auto"/>
              <w:rPr>
                <w:rFonts w:ascii="Arial"/>
                <w:color w:val="auto"/>
                <w:sz w:val="21"/>
                <w:highlight w:val="none"/>
              </w:rPr>
            </w:pPr>
          </w:p>
          <w:p w14:paraId="769012D6">
            <w:pPr>
              <w:spacing w:before="61" w:line="189" w:lineRule="auto"/>
              <w:ind w:left="22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3.4.3</w:t>
            </w:r>
          </w:p>
        </w:tc>
        <w:tc>
          <w:tcPr>
            <w:tcW w:w="2121" w:type="dxa"/>
            <w:vAlign w:val="top"/>
          </w:tcPr>
          <w:p w14:paraId="26EC9579">
            <w:pPr>
              <w:spacing w:line="323" w:lineRule="auto"/>
              <w:rPr>
                <w:rFonts w:ascii="Arial"/>
                <w:color w:val="auto"/>
                <w:sz w:val="21"/>
                <w:highlight w:val="none"/>
              </w:rPr>
            </w:pPr>
          </w:p>
          <w:p w14:paraId="631ABA5B">
            <w:pPr>
              <w:spacing w:line="324" w:lineRule="auto"/>
              <w:rPr>
                <w:rFonts w:ascii="Arial"/>
                <w:color w:val="auto"/>
                <w:sz w:val="21"/>
                <w:highlight w:val="none"/>
              </w:rPr>
            </w:pPr>
          </w:p>
          <w:p w14:paraId="432D5FE4">
            <w:pPr>
              <w:pStyle w:val="11"/>
              <w:spacing w:before="68" w:line="253" w:lineRule="auto"/>
              <w:ind w:left="752" w:right="320" w:hanging="421"/>
              <w:rPr>
                <w:color w:val="auto"/>
                <w:highlight w:val="none"/>
              </w:rPr>
            </w:pPr>
            <w:r>
              <w:rPr>
                <w:color w:val="auto"/>
                <w:spacing w:val="-1"/>
                <w:highlight w:val="none"/>
              </w:rPr>
              <w:t>退还投标保证金</w:t>
            </w:r>
            <w:r>
              <w:rPr>
                <w:color w:val="auto"/>
                <w:highlight w:val="none"/>
              </w:rPr>
              <w:t xml:space="preserve"> </w:t>
            </w:r>
            <w:r>
              <w:rPr>
                <w:color w:val="auto"/>
                <w:spacing w:val="-1"/>
                <w:highlight w:val="none"/>
              </w:rPr>
              <w:t>及利息</w:t>
            </w:r>
          </w:p>
        </w:tc>
        <w:tc>
          <w:tcPr>
            <w:tcW w:w="5447" w:type="dxa"/>
            <w:vAlign w:val="top"/>
          </w:tcPr>
          <w:p w14:paraId="1D248204">
            <w:pPr>
              <w:pStyle w:val="11"/>
              <w:spacing w:before="80" w:line="221" w:lineRule="auto"/>
              <w:ind w:left="111"/>
              <w:rPr>
                <w:color w:val="auto"/>
                <w:highlight w:val="none"/>
              </w:rPr>
            </w:pPr>
            <w:r>
              <w:rPr>
                <w:color w:val="auto"/>
                <w:spacing w:val="-9"/>
                <w:highlight w:val="none"/>
              </w:rPr>
              <w:t>计息标准：</w:t>
            </w:r>
            <w:r>
              <w:rPr>
                <w:color w:val="auto"/>
                <w:spacing w:val="54"/>
                <w:highlight w:val="none"/>
              </w:rPr>
              <w:t xml:space="preserve"> </w:t>
            </w:r>
            <w:r>
              <w:rPr>
                <w:color w:val="auto"/>
                <w:spacing w:val="-9"/>
                <w:highlight w:val="none"/>
                <w:u w:val="single" w:color="auto"/>
              </w:rPr>
              <w:t>人民银行同期活期存款利率。</w:t>
            </w:r>
          </w:p>
          <w:p w14:paraId="631BB6B2">
            <w:pPr>
              <w:pStyle w:val="11"/>
              <w:spacing w:before="66" w:line="221" w:lineRule="auto"/>
              <w:ind w:left="111"/>
              <w:rPr>
                <w:color w:val="auto"/>
                <w:highlight w:val="none"/>
              </w:rPr>
            </w:pPr>
            <w:r>
              <w:rPr>
                <w:color w:val="auto"/>
                <w:spacing w:val="-8"/>
                <w:highlight w:val="none"/>
              </w:rPr>
              <w:t>计息时间：</w:t>
            </w:r>
            <w:r>
              <w:rPr>
                <w:color w:val="auto"/>
                <w:spacing w:val="67"/>
                <w:highlight w:val="none"/>
              </w:rPr>
              <w:t xml:space="preserve"> </w:t>
            </w:r>
            <w:r>
              <w:rPr>
                <w:color w:val="auto"/>
                <w:spacing w:val="-8"/>
                <w:highlight w:val="none"/>
                <w:u w:val="single" w:color="auto"/>
              </w:rPr>
              <w:t>投标保证金到账之日至退还的前一日。</w:t>
            </w:r>
          </w:p>
          <w:p w14:paraId="538D0CF1">
            <w:pPr>
              <w:pStyle w:val="11"/>
              <w:spacing w:before="67" w:line="263" w:lineRule="auto"/>
              <w:ind w:left="1163" w:right="105" w:hanging="1051"/>
              <w:rPr>
                <w:color w:val="auto"/>
                <w:highlight w:val="none"/>
              </w:rPr>
            </w:pPr>
            <w:r>
              <w:rPr>
                <w:color w:val="auto"/>
                <w:spacing w:val="-10"/>
                <w:highlight w:val="none"/>
              </w:rPr>
              <w:t>退还办法：</w:t>
            </w:r>
            <w:r>
              <w:rPr>
                <w:color w:val="auto"/>
                <w:spacing w:val="84"/>
                <w:highlight w:val="none"/>
              </w:rPr>
              <w:t xml:space="preserve"> </w:t>
            </w:r>
            <w:r>
              <w:rPr>
                <w:color w:val="auto"/>
                <w:spacing w:val="-10"/>
                <w:highlight w:val="none"/>
                <w:u w:val="single" w:color="auto"/>
              </w:rPr>
              <w:t>中标结果公示后</w:t>
            </w:r>
            <w:r>
              <w:rPr>
                <w:color w:val="auto"/>
                <w:spacing w:val="-54"/>
                <w:highlight w:val="none"/>
                <w:u w:val="single" w:color="auto"/>
              </w:rPr>
              <w:t xml:space="preserve"> </w:t>
            </w:r>
            <w:r>
              <w:rPr>
                <w:color w:val="auto"/>
                <w:spacing w:val="-10"/>
                <w:highlight w:val="none"/>
                <w:u w:val="single" w:color="auto"/>
              </w:rPr>
              <w:t>5</w:t>
            </w:r>
            <w:r>
              <w:rPr>
                <w:color w:val="auto"/>
                <w:spacing w:val="-22"/>
                <w:highlight w:val="none"/>
                <w:u w:val="single" w:color="auto"/>
              </w:rPr>
              <w:t xml:space="preserve"> </w:t>
            </w:r>
            <w:r>
              <w:rPr>
                <w:color w:val="auto"/>
                <w:spacing w:val="-10"/>
                <w:highlight w:val="none"/>
                <w:u w:val="single" w:color="auto"/>
              </w:rPr>
              <w:t>日内，未中标的投标人现金</w:t>
            </w:r>
            <w:r>
              <w:rPr>
                <w:color w:val="auto"/>
                <w:highlight w:val="none"/>
              </w:rPr>
              <w:t xml:space="preserve"> </w:t>
            </w:r>
            <w:r>
              <w:rPr>
                <w:color w:val="auto"/>
                <w:spacing w:val="1"/>
                <w:highlight w:val="none"/>
                <w:u w:val="single" w:color="auto"/>
              </w:rPr>
              <w:t>保证金按原路径自动退回；合同签订后 5</w:t>
            </w:r>
            <w:r>
              <w:rPr>
                <w:color w:val="auto"/>
                <w:spacing w:val="57"/>
                <w:highlight w:val="none"/>
                <w:u w:val="single" w:color="auto"/>
              </w:rPr>
              <w:t xml:space="preserve"> </w:t>
            </w:r>
            <w:r>
              <w:rPr>
                <w:color w:val="auto"/>
                <w:spacing w:val="1"/>
                <w:highlight w:val="none"/>
                <w:u w:val="single" w:color="auto"/>
              </w:rPr>
              <w:t>日</w:t>
            </w:r>
            <w:r>
              <w:rPr>
                <w:color w:val="auto"/>
                <w:highlight w:val="none"/>
              </w:rPr>
              <w:t xml:space="preserve"> </w:t>
            </w:r>
            <w:r>
              <w:rPr>
                <w:color w:val="auto"/>
                <w:spacing w:val="9"/>
                <w:highlight w:val="none"/>
                <w:u w:val="single" w:color="auto"/>
              </w:rPr>
              <w:t>内，中标人的现金投标保证金按原路径自动</w:t>
            </w:r>
            <w:r>
              <w:rPr>
                <w:color w:val="auto"/>
                <w:spacing w:val="7"/>
                <w:highlight w:val="none"/>
              </w:rPr>
              <w:t xml:space="preserve"> </w:t>
            </w:r>
            <w:r>
              <w:rPr>
                <w:color w:val="auto"/>
                <w:spacing w:val="-32"/>
                <w:highlight w:val="none"/>
                <w:u w:val="single" w:color="auto"/>
              </w:rPr>
              <w:t>退回。</w:t>
            </w:r>
            <w:r>
              <w:rPr>
                <w:color w:val="auto"/>
                <w:highlight w:val="none"/>
                <w:u w:val="single" w:color="auto"/>
              </w:rPr>
              <w:t xml:space="preserve"> </w:t>
            </w:r>
          </w:p>
        </w:tc>
      </w:tr>
      <w:tr w14:paraId="27675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4" w:type="dxa"/>
            <w:vAlign w:val="top"/>
          </w:tcPr>
          <w:p w14:paraId="42AFC03A">
            <w:pPr>
              <w:spacing w:before="277" w:line="189" w:lineRule="auto"/>
              <w:ind w:left="22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3.5.2</w:t>
            </w:r>
          </w:p>
        </w:tc>
        <w:tc>
          <w:tcPr>
            <w:tcW w:w="2121" w:type="dxa"/>
            <w:vAlign w:val="top"/>
          </w:tcPr>
          <w:p w14:paraId="0643B661">
            <w:pPr>
              <w:pStyle w:val="11"/>
              <w:spacing w:before="82" w:line="242" w:lineRule="auto"/>
              <w:ind w:left="647" w:right="108" w:hanging="525"/>
              <w:rPr>
                <w:color w:val="auto"/>
                <w:highlight w:val="none"/>
              </w:rPr>
            </w:pPr>
            <w:r>
              <w:rPr>
                <w:color w:val="auto"/>
                <w:spacing w:val="-1"/>
                <w:highlight w:val="none"/>
              </w:rPr>
              <w:t>企业近年财务状况的</w:t>
            </w:r>
            <w:r>
              <w:rPr>
                <w:color w:val="auto"/>
                <w:spacing w:val="2"/>
                <w:highlight w:val="none"/>
              </w:rPr>
              <w:t xml:space="preserve"> </w:t>
            </w:r>
            <w:r>
              <w:rPr>
                <w:color w:val="auto"/>
                <w:spacing w:val="-1"/>
                <w:highlight w:val="none"/>
              </w:rPr>
              <w:t>年份要求</w:t>
            </w:r>
          </w:p>
        </w:tc>
        <w:tc>
          <w:tcPr>
            <w:tcW w:w="5447" w:type="dxa"/>
            <w:vAlign w:val="top"/>
          </w:tcPr>
          <w:p w14:paraId="6A98C248">
            <w:pPr>
              <w:pStyle w:val="11"/>
              <w:spacing w:before="240" w:line="221" w:lineRule="auto"/>
              <w:ind w:left="110"/>
              <w:rPr>
                <w:color w:val="auto"/>
                <w:highlight w:val="none"/>
              </w:rPr>
            </w:pPr>
            <w:r>
              <w:rPr>
                <w:color w:val="auto"/>
                <w:spacing w:val="-4"/>
                <w:highlight w:val="none"/>
              </w:rPr>
              <w:t>近</w:t>
            </w:r>
            <w:r>
              <w:rPr>
                <w:color w:val="auto"/>
                <w:spacing w:val="22"/>
                <w:highlight w:val="none"/>
                <w:u w:val="single" w:color="auto"/>
              </w:rPr>
              <w:t xml:space="preserve">  </w:t>
            </w:r>
            <w:r>
              <w:rPr>
                <w:rFonts w:hint="eastAsia"/>
                <w:color w:val="auto"/>
                <w:spacing w:val="22"/>
                <w:highlight w:val="none"/>
                <w:u w:val="single" w:color="auto"/>
                <w:lang w:val="en-US" w:eastAsia="zh-CN"/>
              </w:rPr>
              <w:t>/</w:t>
            </w:r>
            <w:r>
              <w:rPr>
                <w:color w:val="auto"/>
                <w:spacing w:val="22"/>
                <w:highlight w:val="none"/>
                <w:u w:val="single" w:color="auto"/>
              </w:rPr>
              <w:t xml:space="preserve"> </w:t>
            </w:r>
            <w:r>
              <w:rPr>
                <w:color w:val="auto"/>
                <w:spacing w:val="-95"/>
                <w:highlight w:val="none"/>
              </w:rPr>
              <w:t xml:space="preserve"> </w:t>
            </w:r>
            <w:r>
              <w:rPr>
                <w:color w:val="auto"/>
                <w:spacing w:val="-4"/>
                <w:highlight w:val="none"/>
              </w:rPr>
              <w:t>年，指</w:t>
            </w:r>
            <w:r>
              <w:rPr>
                <w:color w:val="auto"/>
                <w:spacing w:val="16"/>
                <w:highlight w:val="none"/>
                <w:u w:val="single" w:color="auto"/>
              </w:rPr>
              <w:t xml:space="preserve">   </w:t>
            </w:r>
            <w:r>
              <w:rPr>
                <w:color w:val="auto"/>
                <w:spacing w:val="-94"/>
                <w:highlight w:val="none"/>
              </w:rPr>
              <w:t xml:space="preserve"> </w:t>
            </w:r>
            <w:r>
              <w:rPr>
                <w:color w:val="auto"/>
                <w:spacing w:val="-4"/>
                <w:highlight w:val="none"/>
              </w:rPr>
              <w:t>年度、</w:t>
            </w:r>
            <w:r>
              <w:rPr>
                <w:color w:val="auto"/>
                <w:spacing w:val="-4"/>
                <w:highlight w:val="none"/>
                <w:u w:val="single" w:color="auto"/>
              </w:rPr>
              <w:t xml:space="preserve">    </w:t>
            </w:r>
            <w:r>
              <w:rPr>
                <w:color w:val="auto"/>
                <w:spacing w:val="-95"/>
                <w:highlight w:val="none"/>
              </w:rPr>
              <w:t xml:space="preserve"> </w:t>
            </w:r>
            <w:r>
              <w:rPr>
                <w:color w:val="auto"/>
                <w:spacing w:val="-4"/>
                <w:highlight w:val="none"/>
              </w:rPr>
              <w:t>年度和</w:t>
            </w:r>
            <w:r>
              <w:rPr>
                <w:color w:val="auto"/>
                <w:spacing w:val="-105"/>
                <w:highlight w:val="none"/>
              </w:rPr>
              <w:t xml:space="preserve"> </w:t>
            </w:r>
            <w:r>
              <w:rPr>
                <w:color w:val="auto"/>
                <w:spacing w:val="16"/>
                <w:highlight w:val="none"/>
                <w:u w:val="single" w:color="auto"/>
              </w:rPr>
              <w:t xml:space="preserve">   </w:t>
            </w:r>
            <w:r>
              <w:rPr>
                <w:color w:val="auto"/>
                <w:spacing w:val="-94"/>
                <w:highlight w:val="none"/>
              </w:rPr>
              <w:t xml:space="preserve"> </w:t>
            </w:r>
            <w:r>
              <w:rPr>
                <w:color w:val="auto"/>
                <w:spacing w:val="-4"/>
                <w:highlight w:val="none"/>
              </w:rPr>
              <w:t>年度。</w:t>
            </w:r>
          </w:p>
        </w:tc>
      </w:tr>
      <w:tr w14:paraId="71307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854" w:type="dxa"/>
            <w:vAlign w:val="top"/>
          </w:tcPr>
          <w:p w14:paraId="4F480A47">
            <w:pPr>
              <w:spacing w:before="277" w:line="189" w:lineRule="auto"/>
              <w:ind w:left="22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3.5.3</w:t>
            </w:r>
          </w:p>
        </w:tc>
        <w:tc>
          <w:tcPr>
            <w:tcW w:w="2121" w:type="dxa"/>
            <w:vAlign w:val="top"/>
          </w:tcPr>
          <w:p w14:paraId="610771A0">
            <w:pPr>
              <w:pStyle w:val="11"/>
              <w:spacing w:before="82" w:line="244" w:lineRule="auto"/>
              <w:ind w:left="223" w:right="108" w:hanging="101"/>
              <w:rPr>
                <w:color w:val="auto"/>
                <w:highlight w:val="none"/>
              </w:rPr>
            </w:pPr>
            <w:r>
              <w:rPr>
                <w:color w:val="auto"/>
                <w:spacing w:val="-1"/>
                <w:highlight w:val="none"/>
              </w:rPr>
              <w:t>企业近年已完成的类</w:t>
            </w:r>
            <w:r>
              <w:rPr>
                <w:color w:val="auto"/>
                <w:spacing w:val="2"/>
                <w:highlight w:val="none"/>
              </w:rPr>
              <w:t xml:space="preserve"> </w:t>
            </w:r>
            <w:r>
              <w:rPr>
                <w:color w:val="auto"/>
                <w:spacing w:val="-1"/>
                <w:highlight w:val="none"/>
              </w:rPr>
              <w:t>似项目的年份要求</w:t>
            </w:r>
          </w:p>
        </w:tc>
        <w:tc>
          <w:tcPr>
            <w:tcW w:w="5447" w:type="dxa"/>
            <w:vAlign w:val="top"/>
          </w:tcPr>
          <w:p w14:paraId="3AE1D70B">
            <w:pPr>
              <w:pStyle w:val="11"/>
              <w:spacing w:before="240" w:line="221" w:lineRule="auto"/>
              <w:ind w:left="110"/>
              <w:rPr>
                <w:color w:val="auto"/>
                <w:highlight w:val="none"/>
              </w:rPr>
            </w:pPr>
            <w:r>
              <w:rPr>
                <w:color w:val="auto"/>
                <w:spacing w:val="-6"/>
                <w:highlight w:val="none"/>
              </w:rPr>
              <w:t>近</w:t>
            </w:r>
            <w:r>
              <w:rPr>
                <w:color w:val="auto"/>
                <w:spacing w:val="18"/>
                <w:highlight w:val="none"/>
                <w:u w:val="single" w:color="auto"/>
              </w:rPr>
              <w:t xml:space="preserve"> </w:t>
            </w:r>
            <w:r>
              <w:rPr>
                <w:rFonts w:hint="eastAsia"/>
                <w:color w:val="auto"/>
                <w:spacing w:val="18"/>
                <w:highlight w:val="none"/>
                <w:u w:val="single" w:color="auto"/>
                <w:lang w:val="en-US" w:eastAsia="zh-CN"/>
              </w:rPr>
              <w:t>/</w:t>
            </w:r>
            <w:r>
              <w:rPr>
                <w:color w:val="auto"/>
                <w:spacing w:val="18"/>
                <w:highlight w:val="none"/>
                <w:u w:val="single" w:color="auto"/>
              </w:rPr>
              <w:t xml:space="preserve">  </w:t>
            </w:r>
            <w:r>
              <w:rPr>
                <w:color w:val="auto"/>
                <w:spacing w:val="-94"/>
                <w:highlight w:val="none"/>
              </w:rPr>
              <w:t xml:space="preserve"> </w:t>
            </w:r>
            <w:r>
              <w:rPr>
                <w:color w:val="auto"/>
                <w:spacing w:val="-6"/>
                <w:highlight w:val="none"/>
              </w:rPr>
              <w:t>年，指</w:t>
            </w:r>
            <w:r>
              <w:rPr>
                <w:color w:val="auto"/>
                <w:spacing w:val="16"/>
                <w:highlight w:val="none"/>
                <w:u w:val="single" w:color="auto"/>
              </w:rPr>
              <w:t xml:space="preserve">   </w:t>
            </w:r>
            <w:r>
              <w:rPr>
                <w:color w:val="auto"/>
                <w:spacing w:val="-94"/>
                <w:highlight w:val="none"/>
              </w:rPr>
              <w:t xml:space="preserve"> </w:t>
            </w:r>
            <w:r>
              <w:rPr>
                <w:color w:val="auto"/>
                <w:spacing w:val="-6"/>
                <w:highlight w:val="none"/>
              </w:rPr>
              <w:t>年</w:t>
            </w:r>
            <w:r>
              <w:rPr>
                <w:color w:val="auto"/>
                <w:spacing w:val="-6"/>
                <w:highlight w:val="none"/>
                <w:u w:val="single" w:color="auto"/>
              </w:rPr>
              <w:t xml:space="preserve">   </w:t>
            </w:r>
            <w:r>
              <w:rPr>
                <w:color w:val="auto"/>
                <w:spacing w:val="-92"/>
                <w:highlight w:val="none"/>
              </w:rPr>
              <w:t xml:space="preserve"> </w:t>
            </w:r>
            <w:r>
              <w:rPr>
                <w:color w:val="auto"/>
                <w:spacing w:val="-6"/>
                <w:highlight w:val="none"/>
              </w:rPr>
              <w:t>月</w:t>
            </w:r>
            <w:r>
              <w:rPr>
                <w:color w:val="auto"/>
                <w:spacing w:val="16"/>
                <w:highlight w:val="none"/>
                <w:u w:val="single" w:color="auto"/>
              </w:rPr>
              <w:t xml:space="preserve">   </w:t>
            </w:r>
            <w:r>
              <w:rPr>
                <w:color w:val="auto"/>
                <w:spacing w:val="-58"/>
                <w:highlight w:val="none"/>
              </w:rPr>
              <w:t xml:space="preserve"> </w:t>
            </w:r>
            <w:r>
              <w:rPr>
                <w:color w:val="auto"/>
                <w:spacing w:val="-6"/>
                <w:highlight w:val="none"/>
              </w:rPr>
              <w:t>日─</w:t>
            </w:r>
            <w:r>
              <w:rPr>
                <w:color w:val="auto"/>
                <w:spacing w:val="18"/>
                <w:highlight w:val="none"/>
                <w:u w:val="single" w:color="auto"/>
              </w:rPr>
              <w:t xml:space="preserve">   </w:t>
            </w:r>
            <w:r>
              <w:rPr>
                <w:color w:val="auto"/>
                <w:spacing w:val="-95"/>
                <w:highlight w:val="none"/>
              </w:rPr>
              <w:t xml:space="preserve"> </w:t>
            </w:r>
            <w:r>
              <w:rPr>
                <w:color w:val="auto"/>
                <w:spacing w:val="-6"/>
                <w:highlight w:val="none"/>
              </w:rPr>
              <w:t>年</w:t>
            </w:r>
            <w:r>
              <w:rPr>
                <w:color w:val="auto"/>
                <w:spacing w:val="-6"/>
                <w:highlight w:val="none"/>
                <w:u w:val="single" w:color="auto"/>
              </w:rPr>
              <w:t xml:space="preserve">   </w:t>
            </w:r>
            <w:r>
              <w:rPr>
                <w:color w:val="auto"/>
                <w:spacing w:val="-92"/>
                <w:highlight w:val="none"/>
              </w:rPr>
              <w:t xml:space="preserve"> </w:t>
            </w:r>
            <w:r>
              <w:rPr>
                <w:color w:val="auto"/>
                <w:spacing w:val="-6"/>
                <w:highlight w:val="none"/>
              </w:rPr>
              <w:t>月</w:t>
            </w:r>
            <w:r>
              <w:rPr>
                <w:color w:val="auto"/>
                <w:spacing w:val="-105"/>
                <w:highlight w:val="none"/>
              </w:rPr>
              <w:t xml:space="preserve"> </w:t>
            </w:r>
            <w:r>
              <w:rPr>
                <w:color w:val="auto"/>
                <w:spacing w:val="17"/>
                <w:highlight w:val="none"/>
                <w:u w:val="single" w:color="auto"/>
              </w:rPr>
              <w:t xml:space="preserve">   </w:t>
            </w:r>
            <w:r>
              <w:rPr>
                <w:color w:val="auto"/>
                <w:spacing w:val="-61"/>
                <w:highlight w:val="none"/>
              </w:rPr>
              <w:t xml:space="preserve"> </w:t>
            </w:r>
            <w:r>
              <w:rPr>
                <w:color w:val="auto"/>
                <w:spacing w:val="-6"/>
                <w:highlight w:val="none"/>
              </w:rPr>
              <w:t>日</w:t>
            </w:r>
          </w:p>
        </w:tc>
      </w:tr>
      <w:tr w14:paraId="74541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8" w:hRule="atLeast"/>
        </w:trPr>
        <w:tc>
          <w:tcPr>
            <w:tcW w:w="854" w:type="dxa"/>
            <w:vAlign w:val="top"/>
          </w:tcPr>
          <w:p w14:paraId="18B4D2EB">
            <w:pPr>
              <w:spacing w:line="346" w:lineRule="auto"/>
              <w:rPr>
                <w:rFonts w:ascii="Arial"/>
                <w:color w:val="auto"/>
                <w:sz w:val="21"/>
                <w:highlight w:val="none"/>
              </w:rPr>
            </w:pPr>
          </w:p>
          <w:p w14:paraId="1BAF5D77">
            <w:pPr>
              <w:spacing w:line="346" w:lineRule="auto"/>
              <w:rPr>
                <w:rFonts w:ascii="Arial"/>
                <w:color w:val="auto"/>
                <w:sz w:val="21"/>
                <w:highlight w:val="none"/>
              </w:rPr>
            </w:pPr>
          </w:p>
          <w:p w14:paraId="57B1E4D8">
            <w:pPr>
              <w:spacing w:before="61" w:line="189" w:lineRule="auto"/>
              <w:ind w:left="22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3.5.5</w:t>
            </w:r>
          </w:p>
        </w:tc>
        <w:tc>
          <w:tcPr>
            <w:tcW w:w="2121" w:type="dxa"/>
            <w:vAlign w:val="top"/>
          </w:tcPr>
          <w:p w14:paraId="705A8A7F">
            <w:pPr>
              <w:spacing w:line="328" w:lineRule="auto"/>
              <w:rPr>
                <w:rFonts w:ascii="Arial"/>
                <w:color w:val="auto"/>
                <w:sz w:val="21"/>
                <w:highlight w:val="none"/>
              </w:rPr>
            </w:pPr>
          </w:p>
          <w:p w14:paraId="392FC384">
            <w:pPr>
              <w:pStyle w:val="11"/>
              <w:spacing w:before="68" w:line="221" w:lineRule="auto"/>
              <w:ind w:left="122"/>
              <w:rPr>
                <w:color w:val="auto"/>
                <w:highlight w:val="none"/>
              </w:rPr>
            </w:pPr>
            <w:r>
              <w:rPr>
                <w:color w:val="auto"/>
                <w:spacing w:val="-1"/>
                <w:highlight w:val="none"/>
              </w:rPr>
              <w:t>企业近年发生的诉讼</w:t>
            </w:r>
          </w:p>
          <w:p w14:paraId="27E79ADF">
            <w:pPr>
              <w:pStyle w:val="11"/>
              <w:spacing w:before="70" w:line="221" w:lineRule="auto"/>
              <w:ind w:left="118"/>
              <w:rPr>
                <w:color w:val="auto"/>
                <w:highlight w:val="none"/>
              </w:rPr>
            </w:pPr>
            <w:r>
              <w:rPr>
                <w:color w:val="auto"/>
                <w:spacing w:val="-1"/>
                <w:highlight w:val="none"/>
              </w:rPr>
              <w:t>及仲裁情况的年份要</w:t>
            </w:r>
          </w:p>
          <w:p w14:paraId="599C085C">
            <w:pPr>
              <w:pStyle w:val="11"/>
              <w:spacing w:before="65" w:line="222" w:lineRule="auto"/>
              <w:ind w:left="961"/>
              <w:rPr>
                <w:color w:val="auto"/>
                <w:highlight w:val="none"/>
              </w:rPr>
            </w:pPr>
            <w:r>
              <w:rPr>
                <w:color w:val="auto"/>
                <w:highlight w:val="none"/>
              </w:rPr>
              <w:t>求</w:t>
            </w:r>
          </w:p>
        </w:tc>
        <w:tc>
          <w:tcPr>
            <w:tcW w:w="5447" w:type="dxa"/>
            <w:vAlign w:val="top"/>
          </w:tcPr>
          <w:p w14:paraId="4F2CF8A9">
            <w:pPr>
              <w:pStyle w:val="11"/>
              <w:spacing w:before="77" w:line="221" w:lineRule="auto"/>
              <w:ind w:left="110"/>
              <w:rPr>
                <w:color w:val="auto"/>
                <w:highlight w:val="none"/>
              </w:rPr>
            </w:pPr>
            <w:r>
              <w:rPr>
                <w:color w:val="auto"/>
                <w:spacing w:val="-6"/>
                <w:highlight w:val="none"/>
              </w:rPr>
              <w:t>近</w:t>
            </w:r>
            <w:r>
              <w:rPr>
                <w:color w:val="auto"/>
                <w:spacing w:val="18"/>
                <w:highlight w:val="none"/>
                <w:u w:val="single" w:color="auto"/>
              </w:rPr>
              <w:t xml:space="preserve">  </w:t>
            </w:r>
            <w:r>
              <w:rPr>
                <w:rFonts w:hint="eastAsia"/>
                <w:color w:val="auto"/>
                <w:spacing w:val="18"/>
                <w:highlight w:val="none"/>
                <w:u w:val="single" w:color="auto"/>
                <w:lang w:val="en-US" w:eastAsia="zh-CN"/>
              </w:rPr>
              <w:t>/</w:t>
            </w:r>
            <w:r>
              <w:rPr>
                <w:color w:val="auto"/>
                <w:spacing w:val="18"/>
                <w:highlight w:val="none"/>
                <w:u w:val="single" w:color="auto"/>
              </w:rPr>
              <w:t xml:space="preserve"> </w:t>
            </w:r>
            <w:r>
              <w:rPr>
                <w:color w:val="auto"/>
                <w:spacing w:val="-94"/>
                <w:highlight w:val="none"/>
              </w:rPr>
              <w:t xml:space="preserve"> </w:t>
            </w:r>
            <w:r>
              <w:rPr>
                <w:color w:val="auto"/>
                <w:spacing w:val="-6"/>
                <w:highlight w:val="none"/>
              </w:rPr>
              <w:t>年，指</w:t>
            </w:r>
            <w:r>
              <w:rPr>
                <w:color w:val="auto"/>
                <w:spacing w:val="16"/>
                <w:highlight w:val="none"/>
                <w:u w:val="single" w:color="auto"/>
              </w:rPr>
              <w:t xml:space="preserve">   </w:t>
            </w:r>
            <w:r>
              <w:rPr>
                <w:color w:val="auto"/>
                <w:spacing w:val="-94"/>
                <w:highlight w:val="none"/>
              </w:rPr>
              <w:t xml:space="preserve"> </w:t>
            </w:r>
            <w:r>
              <w:rPr>
                <w:color w:val="auto"/>
                <w:spacing w:val="-6"/>
                <w:highlight w:val="none"/>
              </w:rPr>
              <w:t>年</w:t>
            </w:r>
            <w:r>
              <w:rPr>
                <w:color w:val="auto"/>
                <w:spacing w:val="-6"/>
                <w:highlight w:val="none"/>
                <w:u w:val="single" w:color="auto"/>
              </w:rPr>
              <w:t xml:space="preserve">   </w:t>
            </w:r>
            <w:r>
              <w:rPr>
                <w:color w:val="auto"/>
                <w:spacing w:val="-92"/>
                <w:highlight w:val="none"/>
              </w:rPr>
              <w:t xml:space="preserve"> </w:t>
            </w:r>
            <w:r>
              <w:rPr>
                <w:color w:val="auto"/>
                <w:spacing w:val="-6"/>
                <w:highlight w:val="none"/>
              </w:rPr>
              <w:t>月</w:t>
            </w:r>
            <w:r>
              <w:rPr>
                <w:color w:val="auto"/>
                <w:spacing w:val="16"/>
                <w:highlight w:val="none"/>
                <w:u w:val="single" w:color="auto"/>
              </w:rPr>
              <w:t xml:space="preserve">   </w:t>
            </w:r>
            <w:r>
              <w:rPr>
                <w:color w:val="auto"/>
                <w:spacing w:val="-58"/>
                <w:highlight w:val="none"/>
              </w:rPr>
              <w:t xml:space="preserve"> </w:t>
            </w:r>
            <w:r>
              <w:rPr>
                <w:color w:val="auto"/>
                <w:spacing w:val="-6"/>
                <w:highlight w:val="none"/>
              </w:rPr>
              <w:t>日─</w:t>
            </w:r>
            <w:r>
              <w:rPr>
                <w:color w:val="auto"/>
                <w:spacing w:val="18"/>
                <w:highlight w:val="none"/>
                <w:u w:val="single" w:color="auto"/>
              </w:rPr>
              <w:t xml:space="preserve">   </w:t>
            </w:r>
            <w:r>
              <w:rPr>
                <w:color w:val="auto"/>
                <w:spacing w:val="-95"/>
                <w:highlight w:val="none"/>
              </w:rPr>
              <w:t xml:space="preserve"> </w:t>
            </w:r>
            <w:r>
              <w:rPr>
                <w:color w:val="auto"/>
                <w:spacing w:val="-6"/>
                <w:highlight w:val="none"/>
              </w:rPr>
              <w:t>年</w:t>
            </w:r>
            <w:r>
              <w:rPr>
                <w:color w:val="auto"/>
                <w:spacing w:val="-6"/>
                <w:highlight w:val="none"/>
                <w:u w:val="single" w:color="auto"/>
              </w:rPr>
              <w:t xml:space="preserve">   </w:t>
            </w:r>
            <w:r>
              <w:rPr>
                <w:color w:val="auto"/>
                <w:spacing w:val="-92"/>
                <w:highlight w:val="none"/>
              </w:rPr>
              <w:t xml:space="preserve"> </w:t>
            </w:r>
            <w:r>
              <w:rPr>
                <w:color w:val="auto"/>
                <w:spacing w:val="-6"/>
                <w:highlight w:val="none"/>
              </w:rPr>
              <w:t>月</w:t>
            </w:r>
            <w:r>
              <w:rPr>
                <w:color w:val="auto"/>
                <w:spacing w:val="-105"/>
                <w:highlight w:val="none"/>
              </w:rPr>
              <w:t xml:space="preserve"> </w:t>
            </w:r>
            <w:r>
              <w:rPr>
                <w:color w:val="auto"/>
                <w:spacing w:val="17"/>
                <w:highlight w:val="none"/>
                <w:u w:val="single" w:color="auto"/>
              </w:rPr>
              <w:t xml:space="preserve">   </w:t>
            </w:r>
            <w:r>
              <w:rPr>
                <w:color w:val="auto"/>
                <w:spacing w:val="-61"/>
                <w:highlight w:val="none"/>
              </w:rPr>
              <w:t xml:space="preserve"> </w:t>
            </w:r>
            <w:r>
              <w:rPr>
                <w:color w:val="auto"/>
                <w:spacing w:val="-6"/>
                <w:highlight w:val="none"/>
              </w:rPr>
              <w:t>日</w:t>
            </w:r>
          </w:p>
          <w:p w14:paraId="7415976F">
            <w:pPr>
              <w:pStyle w:val="11"/>
              <w:spacing w:before="72" w:line="263" w:lineRule="auto"/>
              <w:ind w:left="110" w:right="111"/>
              <w:rPr>
                <w:color w:val="auto"/>
                <w:highlight w:val="none"/>
              </w:rPr>
            </w:pPr>
            <w:r>
              <w:rPr>
                <w:color w:val="auto"/>
                <w:spacing w:val="7"/>
                <w:highlight w:val="none"/>
              </w:rPr>
              <w:t>特别说明：近年发生的诉讼和仲裁情况仅限于申请人败</w:t>
            </w:r>
            <w:r>
              <w:rPr>
                <w:color w:val="auto"/>
                <w:spacing w:val="6"/>
                <w:highlight w:val="none"/>
              </w:rPr>
              <w:t xml:space="preserve"> </w:t>
            </w:r>
            <w:r>
              <w:rPr>
                <w:color w:val="auto"/>
                <w:spacing w:val="7"/>
                <w:highlight w:val="none"/>
              </w:rPr>
              <w:t>诉的，且与签订或履行合同有关的案件，不包括调解结</w:t>
            </w:r>
            <w:r>
              <w:rPr>
                <w:color w:val="auto"/>
                <w:spacing w:val="5"/>
                <w:highlight w:val="none"/>
              </w:rPr>
              <w:t xml:space="preserve"> </w:t>
            </w:r>
            <w:r>
              <w:rPr>
                <w:color w:val="auto"/>
                <w:spacing w:val="7"/>
                <w:highlight w:val="none"/>
              </w:rPr>
              <w:t>案以及未终审判决的诉讼或未裁决的仲裁。投标人应如</w:t>
            </w:r>
            <w:r>
              <w:rPr>
                <w:color w:val="auto"/>
                <w:spacing w:val="11"/>
                <w:highlight w:val="none"/>
              </w:rPr>
              <w:t xml:space="preserve"> </w:t>
            </w:r>
            <w:r>
              <w:rPr>
                <w:color w:val="auto"/>
                <w:spacing w:val="7"/>
                <w:highlight w:val="none"/>
              </w:rPr>
              <w:t>实填写近年发生的诉讼及仲裁情况，否则视为不响应招</w:t>
            </w:r>
          </w:p>
        </w:tc>
      </w:tr>
    </w:tbl>
    <w:p w14:paraId="12BAC472">
      <w:pPr>
        <w:pStyle w:val="3"/>
        <w:rPr>
          <w:color w:val="auto"/>
          <w:highlight w:val="none"/>
        </w:rPr>
      </w:pPr>
    </w:p>
    <w:p w14:paraId="62ED96D6">
      <w:pPr>
        <w:spacing w:line="95" w:lineRule="auto"/>
        <w:rPr>
          <w:rFonts w:ascii="Arial"/>
          <w:color w:val="auto"/>
          <w:sz w:val="2"/>
          <w:highlight w:val="none"/>
        </w:rPr>
      </w:pPr>
    </w:p>
    <w:tbl>
      <w:tblPr>
        <w:tblStyle w:val="10"/>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6A8EBC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91" w:hRule="atLeast"/>
        </w:trPr>
        <w:tc>
          <w:tcPr>
            <w:tcW w:w="854" w:type="dxa"/>
            <w:vAlign w:val="top"/>
          </w:tcPr>
          <w:p w14:paraId="3B5EE43E">
            <w:pPr>
              <w:rPr>
                <w:rFonts w:ascii="Arial"/>
                <w:color w:val="auto"/>
                <w:sz w:val="21"/>
                <w:highlight w:val="none"/>
              </w:rPr>
            </w:pPr>
          </w:p>
        </w:tc>
        <w:tc>
          <w:tcPr>
            <w:tcW w:w="2121" w:type="dxa"/>
            <w:vAlign w:val="top"/>
          </w:tcPr>
          <w:p w14:paraId="64490455">
            <w:pPr>
              <w:rPr>
                <w:rFonts w:ascii="Arial"/>
                <w:color w:val="auto"/>
                <w:sz w:val="21"/>
                <w:highlight w:val="none"/>
              </w:rPr>
            </w:pPr>
          </w:p>
        </w:tc>
        <w:tc>
          <w:tcPr>
            <w:tcW w:w="5447" w:type="dxa"/>
            <w:vAlign w:val="top"/>
          </w:tcPr>
          <w:p w14:paraId="25A1BF66">
            <w:pPr>
              <w:pStyle w:val="11"/>
              <w:spacing w:before="84" w:line="263" w:lineRule="auto"/>
              <w:ind w:left="109" w:right="116" w:firstLine="2"/>
              <w:rPr>
                <w:color w:val="auto"/>
                <w:highlight w:val="none"/>
              </w:rPr>
            </w:pPr>
            <w:bookmarkStart w:id="36" w:name="bookmark59"/>
            <w:bookmarkEnd w:id="36"/>
            <w:bookmarkStart w:id="37" w:name="bookmark60"/>
            <w:bookmarkEnd w:id="37"/>
            <w:r>
              <w:rPr>
                <w:color w:val="auto"/>
                <w:spacing w:val="7"/>
                <w:highlight w:val="none"/>
              </w:rPr>
              <w:t>标文件实质性要求，其投标文件将被否决。如投标人因</w:t>
            </w:r>
            <w:r>
              <w:rPr>
                <w:color w:val="auto"/>
                <w:spacing w:val="4"/>
                <w:highlight w:val="none"/>
              </w:rPr>
              <w:t xml:space="preserve"> </w:t>
            </w:r>
            <w:r>
              <w:rPr>
                <w:color w:val="auto"/>
                <w:spacing w:val="7"/>
                <w:highlight w:val="none"/>
              </w:rPr>
              <w:t>故意隐瞒且查证属实存在影响履约的诉讼及仲</w:t>
            </w:r>
            <w:r>
              <w:rPr>
                <w:color w:val="auto"/>
                <w:spacing w:val="6"/>
                <w:highlight w:val="none"/>
              </w:rPr>
              <w:t>裁情况，</w:t>
            </w:r>
            <w:r>
              <w:rPr>
                <w:color w:val="auto"/>
                <w:highlight w:val="none"/>
              </w:rPr>
              <w:t xml:space="preserve"> </w:t>
            </w:r>
            <w:r>
              <w:rPr>
                <w:color w:val="auto"/>
                <w:spacing w:val="7"/>
                <w:highlight w:val="none"/>
              </w:rPr>
              <w:t>将视为弄虚作假或以不正当手段骗取中标的行为，将依</w:t>
            </w:r>
            <w:r>
              <w:rPr>
                <w:color w:val="auto"/>
                <w:spacing w:val="6"/>
                <w:highlight w:val="none"/>
              </w:rPr>
              <w:t xml:space="preserve"> </w:t>
            </w:r>
            <w:r>
              <w:rPr>
                <w:color w:val="auto"/>
                <w:spacing w:val="-6"/>
                <w:highlight w:val="none"/>
              </w:rPr>
              <w:t>法依规予以处理。 时间为判决或仲裁决定时间。</w:t>
            </w:r>
          </w:p>
        </w:tc>
      </w:tr>
      <w:tr w14:paraId="72049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854" w:type="dxa"/>
            <w:vAlign w:val="top"/>
          </w:tcPr>
          <w:p w14:paraId="00C66FD7">
            <w:pPr>
              <w:spacing w:line="368" w:lineRule="auto"/>
              <w:rPr>
                <w:rFonts w:ascii="Arial"/>
                <w:color w:val="auto"/>
                <w:sz w:val="21"/>
                <w:highlight w:val="none"/>
              </w:rPr>
            </w:pPr>
          </w:p>
          <w:p w14:paraId="6920345C">
            <w:pPr>
              <w:spacing w:before="61" w:line="189" w:lineRule="auto"/>
              <w:ind w:left="22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3.5.9</w:t>
            </w:r>
          </w:p>
        </w:tc>
        <w:tc>
          <w:tcPr>
            <w:tcW w:w="2121" w:type="dxa"/>
            <w:vAlign w:val="top"/>
          </w:tcPr>
          <w:p w14:paraId="54319C50">
            <w:pPr>
              <w:pStyle w:val="11"/>
              <w:spacing w:before="77" w:line="221" w:lineRule="auto"/>
              <w:ind w:left="122"/>
              <w:rPr>
                <w:color w:val="auto"/>
                <w:highlight w:val="none"/>
              </w:rPr>
            </w:pPr>
            <w:r>
              <w:rPr>
                <w:color w:val="auto"/>
                <w:spacing w:val="-1"/>
                <w:highlight w:val="none"/>
              </w:rPr>
              <w:t>项目经理近年已完成</w:t>
            </w:r>
          </w:p>
          <w:p w14:paraId="08A1B04D">
            <w:pPr>
              <w:pStyle w:val="11"/>
              <w:spacing w:before="65" w:line="221" w:lineRule="auto"/>
              <w:ind w:left="136"/>
              <w:rPr>
                <w:color w:val="auto"/>
                <w:highlight w:val="none"/>
              </w:rPr>
            </w:pPr>
            <w:r>
              <w:rPr>
                <w:color w:val="auto"/>
                <w:spacing w:val="-3"/>
                <w:highlight w:val="none"/>
              </w:rPr>
              <w:t>的类似项目的年份要</w:t>
            </w:r>
          </w:p>
          <w:p w14:paraId="5ABB8E29">
            <w:pPr>
              <w:pStyle w:val="11"/>
              <w:spacing w:before="70" w:line="209" w:lineRule="auto"/>
              <w:ind w:left="961"/>
              <w:rPr>
                <w:color w:val="auto"/>
                <w:highlight w:val="none"/>
              </w:rPr>
            </w:pPr>
            <w:r>
              <w:rPr>
                <w:color w:val="auto"/>
                <w:highlight w:val="none"/>
              </w:rPr>
              <w:t>求</w:t>
            </w:r>
          </w:p>
        </w:tc>
        <w:tc>
          <w:tcPr>
            <w:tcW w:w="5447" w:type="dxa"/>
            <w:vAlign w:val="top"/>
          </w:tcPr>
          <w:p w14:paraId="7FFABE7F">
            <w:pPr>
              <w:spacing w:line="324" w:lineRule="auto"/>
              <w:rPr>
                <w:rFonts w:ascii="Arial"/>
                <w:color w:val="auto"/>
                <w:sz w:val="21"/>
                <w:highlight w:val="none"/>
              </w:rPr>
            </w:pPr>
          </w:p>
          <w:p w14:paraId="0100795C">
            <w:pPr>
              <w:pStyle w:val="11"/>
              <w:spacing w:before="68" w:line="221" w:lineRule="auto"/>
              <w:ind w:left="110"/>
              <w:rPr>
                <w:color w:val="auto"/>
                <w:highlight w:val="none"/>
              </w:rPr>
            </w:pPr>
            <w:r>
              <w:rPr>
                <w:color w:val="auto"/>
                <w:spacing w:val="-6"/>
                <w:highlight w:val="none"/>
              </w:rPr>
              <w:t>近</w:t>
            </w:r>
            <w:r>
              <w:rPr>
                <w:color w:val="auto"/>
                <w:spacing w:val="18"/>
                <w:highlight w:val="none"/>
                <w:u w:val="single" w:color="auto"/>
              </w:rPr>
              <w:t xml:space="preserve">   </w:t>
            </w:r>
            <w:r>
              <w:rPr>
                <w:rFonts w:hint="eastAsia"/>
                <w:color w:val="auto"/>
                <w:spacing w:val="18"/>
                <w:highlight w:val="none"/>
                <w:u w:val="single" w:color="auto"/>
                <w:lang w:val="en-US" w:eastAsia="zh-CN"/>
              </w:rPr>
              <w:t>/</w:t>
            </w:r>
            <w:r>
              <w:rPr>
                <w:color w:val="auto"/>
                <w:spacing w:val="-94"/>
                <w:highlight w:val="none"/>
              </w:rPr>
              <w:t xml:space="preserve"> </w:t>
            </w:r>
            <w:r>
              <w:rPr>
                <w:color w:val="auto"/>
                <w:spacing w:val="-6"/>
                <w:highlight w:val="none"/>
              </w:rPr>
              <w:t>年，指</w:t>
            </w:r>
            <w:r>
              <w:rPr>
                <w:color w:val="auto"/>
                <w:spacing w:val="16"/>
                <w:highlight w:val="none"/>
                <w:u w:val="single" w:color="auto"/>
              </w:rPr>
              <w:t xml:space="preserve">   </w:t>
            </w:r>
            <w:r>
              <w:rPr>
                <w:color w:val="auto"/>
                <w:spacing w:val="-94"/>
                <w:highlight w:val="none"/>
              </w:rPr>
              <w:t xml:space="preserve"> </w:t>
            </w:r>
            <w:r>
              <w:rPr>
                <w:color w:val="auto"/>
                <w:spacing w:val="-6"/>
                <w:highlight w:val="none"/>
              </w:rPr>
              <w:t>年</w:t>
            </w:r>
            <w:r>
              <w:rPr>
                <w:color w:val="auto"/>
                <w:spacing w:val="-6"/>
                <w:highlight w:val="none"/>
                <w:u w:val="single" w:color="auto"/>
              </w:rPr>
              <w:t xml:space="preserve">   </w:t>
            </w:r>
            <w:r>
              <w:rPr>
                <w:color w:val="auto"/>
                <w:spacing w:val="-92"/>
                <w:highlight w:val="none"/>
              </w:rPr>
              <w:t xml:space="preserve"> </w:t>
            </w:r>
            <w:r>
              <w:rPr>
                <w:color w:val="auto"/>
                <w:spacing w:val="-6"/>
                <w:highlight w:val="none"/>
              </w:rPr>
              <w:t>月</w:t>
            </w:r>
            <w:r>
              <w:rPr>
                <w:color w:val="auto"/>
                <w:spacing w:val="16"/>
                <w:highlight w:val="none"/>
                <w:u w:val="single" w:color="auto"/>
              </w:rPr>
              <w:t xml:space="preserve">   </w:t>
            </w:r>
            <w:r>
              <w:rPr>
                <w:color w:val="auto"/>
                <w:spacing w:val="-58"/>
                <w:highlight w:val="none"/>
              </w:rPr>
              <w:t xml:space="preserve"> </w:t>
            </w:r>
            <w:r>
              <w:rPr>
                <w:color w:val="auto"/>
                <w:spacing w:val="-6"/>
                <w:highlight w:val="none"/>
              </w:rPr>
              <w:t>日─</w:t>
            </w:r>
            <w:r>
              <w:rPr>
                <w:color w:val="auto"/>
                <w:spacing w:val="18"/>
                <w:highlight w:val="none"/>
                <w:u w:val="single" w:color="auto"/>
              </w:rPr>
              <w:t xml:space="preserve">   </w:t>
            </w:r>
            <w:r>
              <w:rPr>
                <w:color w:val="auto"/>
                <w:spacing w:val="-95"/>
                <w:highlight w:val="none"/>
              </w:rPr>
              <w:t xml:space="preserve"> </w:t>
            </w:r>
            <w:r>
              <w:rPr>
                <w:color w:val="auto"/>
                <w:spacing w:val="-6"/>
                <w:highlight w:val="none"/>
              </w:rPr>
              <w:t>年</w:t>
            </w:r>
            <w:r>
              <w:rPr>
                <w:color w:val="auto"/>
                <w:spacing w:val="-6"/>
                <w:highlight w:val="none"/>
                <w:u w:val="single" w:color="auto"/>
              </w:rPr>
              <w:t xml:space="preserve">   </w:t>
            </w:r>
            <w:r>
              <w:rPr>
                <w:color w:val="auto"/>
                <w:spacing w:val="-92"/>
                <w:highlight w:val="none"/>
              </w:rPr>
              <w:t xml:space="preserve"> </w:t>
            </w:r>
            <w:r>
              <w:rPr>
                <w:color w:val="auto"/>
                <w:spacing w:val="-6"/>
                <w:highlight w:val="none"/>
              </w:rPr>
              <w:t>月</w:t>
            </w:r>
            <w:r>
              <w:rPr>
                <w:color w:val="auto"/>
                <w:spacing w:val="-105"/>
                <w:highlight w:val="none"/>
              </w:rPr>
              <w:t xml:space="preserve"> </w:t>
            </w:r>
            <w:r>
              <w:rPr>
                <w:color w:val="auto"/>
                <w:spacing w:val="17"/>
                <w:highlight w:val="none"/>
                <w:u w:val="single" w:color="auto"/>
              </w:rPr>
              <w:t xml:space="preserve">   </w:t>
            </w:r>
            <w:r>
              <w:rPr>
                <w:color w:val="auto"/>
                <w:spacing w:val="-61"/>
                <w:highlight w:val="none"/>
              </w:rPr>
              <w:t xml:space="preserve"> </w:t>
            </w:r>
            <w:r>
              <w:rPr>
                <w:color w:val="auto"/>
                <w:spacing w:val="-6"/>
                <w:highlight w:val="none"/>
              </w:rPr>
              <w:t>日</w:t>
            </w:r>
          </w:p>
        </w:tc>
      </w:tr>
      <w:tr w14:paraId="77496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4" w:type="dxa"/>
            <w:vAlign w:val="top"/>
          </w:tcPr>
          <w:p w14:paraId="75221D60">
            <w:pPr>
              <w:spacing w:before="273" w:line="189" w:lineRule="auto"/>
              <w:ind w:left="29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3.6</w:t>
            </w:r>
          </w:p>
        </w:tc>
        <w:tc>
          <w:tcPr>
            <w:tcW w:w="2121" w:type="dxa"/>
            <w:vAlign w:val="top"/>
          </w:tcPr>
          <w:p w14:paraId="2B8392BA">
            <w:pPr>
              <w:pStyle w:val="11"/>
              <w:spacing w:before="77" w:line="244" w:lineRule="auto"/>
              <w:ind w:left="753" w:right="108" w:hanging="631"/>
              <w:rPr>
                <w:color w:val="auto"/>
                <w:highlight w:val="none"/>
              </w:rPr>
            </w:pPr>
            <w:r>
              <w:rPr>
                <w:color w:val="auto"/>
                <w:spacing w:val="-1"/>
                <w:highlight w:val="none"/>
              </w:rPr>
              <w:t>是否允许递交备选投</w:t>
            </w:r>
            <w:r>
              <w:rPr>
                <w:color w:val="auto"/>
                <w:spacing w:val="2"/>
                <w:highlight w:val="none"/>
              </w:rPr>
              <w:t xml:space="preserve"> </w:t>
            </w:r>
            <w:r>
              <w:rPr>
                <w:color w:val="auto"/>
                <w:spacing w:val="-2"/>
                <w:highlight w:val="none"/>
              </w:rPr>
              <w:t>标方案</w:t>
            </w:r>
          </w:p>
        </w:tc>
        <w:tc>
          <w:tcPr>
            <w:tcW w:w="5447" w:type="dxa"/>
            <w:vAlign w:val="top"/>
          </w:tcPr>
          <w:p w14:paraId="4C3DFD45">
            <w:pPr>
              <w:pStyle w:val="11"/>
              <w:spacing w:before="37" w:line="202" w:lineRule="auto"/>
              <w:ind w:left="125"/>
              <w:rPr>
                <w:color w:val="auto"/>
                <w:highlight w:val="none"/>
              </w:rPr>
            </w:pPr>
            <w:r>
              <w:rPr>
                <w:rFonts w:ascii="Times New Roman" w:hAnsi="Times New Roman" w:eastAsia="Times New Roman" w:cs="Times New Roman"/>
                <w:color w:val="auto"/>
                <w:spacing w:val="-6"/>
                <w:sz w:val="32"/>
                <w:szCs w:val="32"/>
                <w:highlight w:val="none"/>
              </w:rPr>
              <w:sym w:font="Wingdings 2" w:char="0052"/>
            </w:r>
            <w:r>
              <w:rPr>
                <w:color w:val="auto"/>
                <w:spacing w:val="-6"/>
                <w:highlight w:val="none"/>
              </w:rPr>
              <w:t>不允许</w:t>
            </w:r>
          </w:p>
          <w:p w14:paraId="20E021C7">
            <w:pPr>
              <w:pStyle w:val="11"/>
              <w:spacing w:line="186" w:lineRule="auto"/>
              <w:ind w:left="125"/>
              <w:rPr>
                <w:color w:val="auto"/>
                <w:highlight w:val="none"/>
              </w:rPr>
            </w:pPr>
            <w:r>
              <w:rPr>
                <w:rFonts w:ascii="Times New Roman" w:hAnsi="Times New Roman" w:eastAsia="Times New Roman" w:cs="Times New Roman"/>
                <w:color w:val="auto"/>
                <w:spacing w:val="-8"/>
                <w:sz w:val="32"/>
                <w:szCs w:val="32"/>
                <w:highlight w:val="none"/>
              </w:rPr>
              <w:t>□</w:t>
            </w:r>
            <w:r>
              <w:rPr>
                <w:color w:val="auto"/>
                <w:spacing w:val="-8"/>
                <w:highlight w:val="none"/>
              </w:rPr>
              <w:t>允许</w:t>
            </w:r>
          </w:p>
        </w:tc>
      </w:tr>
      <w:tr w14:paraId="52B86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6" w:hRule="atLeast"/>
        </w:trPr>
        <w:tc>
          <w:tcPr>
            <w:tcW w:w="854" w:type="dxa"/>
            <w:vAlign w:val="top"/>
          </w:tcPr>
          <w:p w14:paraId="30846905">
            <w:pPr>
              <w:spacing w:line="245" w:lineRule="auto"/>
              <w:rPr>
                <w:rFonts w:ascii="Arial"/>
                <w:color w:val="auto"/>
                <w:sz w:val="21"/>
                <w:highlight w:val="none"/>
              </w:rPr>
            </w:pPr>
          </w:p>
          <w:p w14:paraId="3F07EDD5">
            <w:pPr>
              <w:spacing w:line="245" w:lineRule="auto"/>
              <w:rPr>
                <w:rFonts w:ascii="Arial"/>
                <w:color w:val="auto"/>
                <w:sz w:val="21"/>
                <w:highlight w:val="none"/>
              </w:rPr>
            </w:pPr>
          </w:p>
          <w:p w14:paraId="23D22E71">
            <w:pPr>
              <w:spacing w:line="245" w:lineRule="auto"/>
              <w:rPr>
                <w:rFonts w:ascii="Arial"/>
                <w:color w:val="auto"/>
                <w:sz w:val="21"/>
                <w:highlight w:val="none"/>
              </w:rPr>
            </w:pPr>
          </w:p>
          <w:p w14:paraId="529EAC60">
            <w:pPr>
              <w:spacing w:line="245" w:lineRule="auto"/>
              <w:rPr>
                <w:rFonts w:ascii="Arial"/>
                <w:color w:val="auto"/>
                <w:sz w:val="21"/>
                <w:highlight w:val="none"/>
              </w:rPr>
            </w:pPr>
          </w:p>
          <w:p w14:paraId="159B2A13">
            <w:pPr>
              <w:spacing w:line="245" w:lineRule="auto"/>
              <w:rPr>
                <w:rFonts w:ascii="Arial"/>
                <w:color w:val="auto"/>
                <w:sz w:val="21"/>
                <w:highlight w:val="none"/>
              </w:rPr>
            </w:pPr>
          </w:p>
          <w:p w14:paraId="65A73AC2">
            <w:pPr>
              <w:spacing w:line="246" w:lineRule="auto"/>
              <w:rPr>
                <w:rFonts w:ascii="Arial"/>
                <w:color w:val="auto"/>
                <w:sz w:val="21"/>
                <w:highlight w:val="none"/>
              </w:rPr>
            </w:pPr>
          </w:p>
          <w:p w14:paraId="7367C96D">
            <w:pPr>
              <w:spacing w:line="246" w:lineRule="auto"/>
              <w:rPr>
                <w:rFonts w:ascii="Arial"/>
                <w:color w:val="auto"/>
                <w:sz w:val="21"/>
                <w:highlight w:val="none"/>
              </w:rPr>
            </w:pPr>
          </w:p>
          <w:p w14:paraId="514AE657">
            <w:pPr>
              <w:spacing w:line="246" w:lineRule="auto"/>
              <w:rPr>
                <w:rFonts w:ascii="Arial"/>
                <w:color w:val="auto"/>
                <w:sz w:val="21"/>
                <w:highlight w:val="none"/>
              </w:rPr>
            </w:pPr>
          </w:p>
          <w:p w14:paraId="7F62BCB1">
            <w:pPr>
              <w:spacing w:before="61" w:line="189" w:lineRule="auto"/>
              <w:ind w:left="22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3.7.3</w:t>
            </w:r>
          </w:p>
        </w:tc>
        <w:tc>
          <w:tcPr>
            <w:tcW w:w="2121" w:type="dxa"/>
            <w:vAlign w:val="top"/>
          </w:tcPr>
          <w:p w14:paraId="0ABE17F0">
            <w:pPr>
              <w:spacing w:line="251" w:lineRule="auto"/>
              <w:rPr>
                <w:rFonts w:ascii="Arial"/>
                <w:color w:val="auto"/>
                <w:sz w:val="21"/>
                <w:highlight w:val="none"/>
              </w:rPr>
            </w:pPr>
          </w:p>
          <w:p w14:paraId="083B00EC">
            <w:pPr>
              <w:spacing w:line="251" w:lineRule="auto"/>
              <w:rPr>
                <w:rFonts w:ascii="Arial"/>
                <w:color w:val="auto"/>
                <w:sz w:val="21"/>
                <w:highlight w:val="none"/>
              </w:rPr>
            </w:pPr>
          </w:p>
          <w:p w14:paraId="78326038">
            <w:pPr>
              <w:spacing w:line="252" w:lineRule="auto"/>
              <w:rPr>
                <w:rFonts w:ascii="Arial"/>
                <w:color w:val="auto"/>
                <w:sz w:val="21"/>
                <w:highlight w:val="none"/>
              </w:rPr>
            </w:pPr>
          </w:p>
          <w:p w14:paraId="6BDBE914">
            <w:pPr>
              <w:spacing w:line="252" w:lineRule="auto"/>
              <w:rPr>
                <w:rFonts w:ascii="Arial"/>
                <w:color w:val="auto"/>
                <w:sz w:val="21"/>
                <w:highlight w:val="none"/>
              </w:rPr>
            </w:pPr>
          </w:p>
          <w:p w14:paraId="3E5F0276">
            <w:pPr>
              <w:spacing w:line="252" w:lineRule="auto"/>
              <w:rPr>
                <w:rFonts w:ascii="Arial"/>
                <w:color w:val="auto"/>
                <w:sz w:val="21"/>
                <w:highlight w:val="none"/>
              </w:rPr>
            </w:pPr>
          </w:p>
          <w:p w14:paraId="044D8BA4">
            <w:pPr>
              <w:spacing w:line="252" w:lineRule="auto"/>
              <w:rPr>
                <w:rFonts w:ascii="Arial"/>
                <w:color w:val="auto"/>
                <w:sz w:val="21"/>
                <w:highlight w:val="none"/>
              </w:rPr>
            </w:pPr>
          </w:p>
          <w:p w14:paraId="5D70AF8D">
            <w:pPr>
              <w:spacing w:line="252" w:lineRule="auto"/>
              <w:rPr>
                <w:rFonts w:ascii="Arial"/>
                <w:color w:val="auto"/>
                <w:sz w:val="21"/>
                <w:highlight w:val="none"/>
              </w:rPr>
            </w:pPr>
          </w:p>
          <w:p w14:paraId="5618F156">
            <w:pPr>
              <w:pStyle w:val="11"/>
              <w:spacing w:before="68" w:line="249" w:lineRule="auto"/>
              <w:ind w:left="647" w:right="108" w:hanging="528"/>
              <w:rPr>
                <w:color w:val="auto"/>
                <w:highlight w:val="none"/>
              </w:rPr>
            </w:pPr>
            <w:r>
              <w:rPr>
                <w:color w:val="auto"/>
                <w:spacing w:val="-1"/>
                <w:highlight w:val="none"/>
              </w:rPr>
              <w:t>应用于评审的佐证或</w:t>
            </w:r>
            <w:r>
              <w:rPr>
                <w:color w:val="auto"/>
                <w:spacing w:val="5"/>
                <w:highlight w:val="none"/>
              </w:rPr>
              <w:t xml:space="preserve"> </w:t>
            </w:r>
            <w:r>
              <w:rPr>
                <w:color w:val="auto"/>
                <w:spacing w:val="-1"/>
                <w:highlight w:val="none"/>
              </w:rPr>
              <w:t>证明材料</w:t>
            </w:r>
          </w:p>
        </w:tc>
        <w:tc>
          <w:tcPr>
            <w:tcW w:w="5447" w:type="dxa"/>
            <w:vAlign w:val="top"/>
          </w:tcPr>
          <w:p w14:paraId="17AE09A1">
            <w:pPr>
              <w:pStyle w:val="11"/>
              <w:spacing w:before="79" w:line="220" w:lineRule="auto"/>
              <w:ind w:left="111"/>
              <w:rPr>
                <w:color w:val="auto"/>
                <w:highlight w:val="none"/>
              </w:rPr>
            </w:pPr>
            <w:r>
              <w:rPr>
                <w:color w:val="auto"/>
                <w:spacing w:val="-3"/>
                <w:highlight w:val="none"/>
              </w:rPr>
              <w:t>应用数字证照评审的节点和材料内容：</w:t>
            </w:r>
          </w:p>
          <w:p w14:paraId="7D941687">
            <w:pPr>
              <w:pStyle w:val="11"/>
              <w:spacing w:before="71" w:line="222" w:lineRule="auto"/>
              <w:ind w:left="120"/>
              <w:rPr>
                <w:color w:val="auto"/>
                <w:highlight w:val="none"/>
              </w:rPr>
            </w:pPr>
            <w:r>
              <w:rPr>
                <w:rFonts w:ascii="Segoe UI Symbol" w:hAnsi="Segoe UI Symbol" w:eastAsia="Segoe UI Symbol" w:cs="Segoe UI Symbol"/>
                <w:color w:val="auto"/>
                <w:spacing w:val="-3"/>
                <w:highlight w:val="none"/>
              </w:rPr>
              <w:t>☑</w:t>
            </w:r>
            <w:r>
              <w:rPr>
                <w:color w:val="auto"/>
                <w:spacing w:val="-3"/>
                <w:highlight w:val="none"/>
              </w:rPr>
              <w:t>企业业绩</w:t>
            </w:r>
          </w:p>
          <w:p w14:paraId="435A24BE">
            <w:pPr>
              <w:pStyle w:val="11"/>
              <w:spacing w:before="50" w:line="222" w:lineRule="auto"/>
              <w:ind w:left="120"/>
              <w:rPr>
                <w:color w:val="auto"/>
                <w:highlight w:val="none"/>
              </w:rPr>
            </w:pPr>
            <w:r>
              <w:rPr>
                <w:rFonts w:ascii="Segoe UI Symbol" w:hAnsi="Segoe UI Symbol" w:eastAsia="Segoe UI Symbol" w:cs="Segoe UI Symbol"/>
                <w:color w:val="auto"/>
                <w:spacing w:val="-3"/>
                <w:highlight w:val="none"/>
              </w:rPr>
              <w:t>☑</w:t>
            </w:r>
            <w:r>
              <w:rPr>
                <w:color w:val="auto"/>
                <w:spacing w:val="-3"/>
                <w:highlight w:val="none"/>
              </w:rPr>
              <w:t>人员业绩</w:t>
            </w:r>
          </w:p>
          <w:p w14:paraId="21B2DE21">
            <w:pPr>
              <w:pStyle w:val="11"/>
              <w:spacing w:before="54" w:line="220" w:lineRule="auto"/>
              <w:ind w:left="120"/>
              <w:rPr>
                <w:color w:val="auto"/>
                <w:highlight w:val="none"/>
              </w:rPr>
            </w:pPr>
            <w:r>
              <w:rPr>
                <w:rFonts w:ascii="Segoe UI Symbol" w:hAnsi="Segoe UI Symbol" w:eastAsia="Segoe UI Symbol" w:cs="Segoe UI Symbol"/>
                <w:color w:val="auto"/>
                <w:spacing w:val="-2"/>
                <w:highlight w:val="none"/>
              </w:rPr>
              <w:t>☑</w:t>
            </w:r>
            <w:r>
              <w:rPr>
                <w:color w:val="auto"/>
                <w:spacing w:val="-2"/>
                <w:highlight w:val="none"/>
              </w:rPr>
              <w:t>财务审计报告</w:t>
            </w:r>
          </w:p>
          <w:p w14:paraId="6E76AD3A">
            <w:pPr>
              <w:pStyle w:val="11"/>
              <w:spacing w:before="58" w:line="266" w:lineRule="auto"/>
              <w:ind w:left="110" w:right="116"/>
              <w:rPr>
                <w:color w:val="auto"/>
                <w:highlight w:val="none"/>
              </w:rPr>
            </w:pPr>
            <w:r>
              <w:rPr>
                <w:color w:val="auto"/>
                <w:spacing w:val="-8"/>
                <w:highlight w:val="none"/>
              </w:rPr>
              <w:t>特别说明：</w:t>
            </w:r>
            <w:r>
              <w:rPr>
                <w:color w:val="auto"/>
                <w:spacing w:val="76"/>
                <w:highlight w:val="none"/>
              </w:rPr>
              <w:t xml:space="preserve"> </w:t>
            </w:r>
            <w:r>
              <w:rPr>
                <w:rFonts w:ascii="Times New Roman" w:hAnsi="Times New Roman" w:eastAsia="Times New Roman" w:cs="Times New Roman"/>
                <w:color w:val="auto"/>
                <w:spacing w:val="-8"/>
                <w:highlight w:val="none"/>
              </w:rPr>
              <w:t>1.</w:t>
            </w:r>
            <w:r>
              <w:rPr>
                <w:color w:val="auto"/>
                <w:spacing w:val="-8"/>
                <w:highlight w:val="none"/>
              </w:rPr>
              <w:t>通过企业主体信息库生成的数字证照信息，</w:t>
            </w:r>
            <w:r>
              <w:rPr>
                <w:color w:val="auto"/>
                <w:highlight w:val="none"/>
              </w:rPr>
              <w:t xml:space="preserve"> </w:t>
            </w:r>
            <w:r>
              <w:rPr>
                <w:color w:val="auto"/>
                <w:spacing w:val="7"/>
                <w:highlight w:val="none"/>
              </w:rPr>
              <w:t>投标人应当自行校核和确认数字证照数据信息内容，一</w:t>
            </w:r>
            <w:r>
              <w:rPr>
                <w:color w:val="auto"/>
                <w:spacing w:val="5"/>
                <w:highlight w:val="none"/>
              </w:rPr>
              <w:t xml:space="preserve"> </w:t>
            </w:r>
            <w:r>
              <w:rPr>
                <w:color w:val="auto"/>
                <w:spacing w:val="7"/>
                <w:highlight w:val="none"/>
              </w:rPr>
              <w:t>般应当对投标文件中已生成的数字证照进行</w:t>
            </w:r>
            <w:r>
              <w:rPr>
                <w:color w:val="auto"/>
                <w:spacing w:val="6"/>
                <w:highlight w:val="none"/>
              </w:rPr>
              <w:t>电子签名，</w:t>
            </w:r>
            <w:r>
              <w:rPr>
                <w:color w:val="auto"/>
                <w:highlight w:val="none"/>
              </w:rPr>
              <w:t xml:space="preserve"> </w:t>
            </w:r>
            <w:r>
              <w:rPr>
                <w:color w:val="auto"/>
                <w:spacing w:val="-2"/>
                <w:highlight w:val="none"/>
              </w:rPr>
              <w:t>否则视为已确认和认可数据信息内容。</w:t>
            </w:r>
          </w:p>
          <w:p w14:paraId="397ECFCE">
            <w:pPr>
              <w:pStyle w:val="11"/>
              <w:spacing w:before="65" w:line="267" w:lineRule="auto"/>
              <w:ind w:left="110" w:right="111" w:hanging="3"/>
              <w:jc w:val="both"/>
              <w:rPr>
                <w:color w:val="auto"/>
                <w:highlight w:val="none"/>
              </w:rPr>
            </w:pPr>
            <w:r>
              <w:rPr>
                <w:rFonts w:ascii="Times New Roman" w:hAnsi="Times New Roman" w:eastAsia="Times New Roman" w:cs="Times New Roman"/>
                <w:color w:val="auto"/>
                <w:spacing w:val="1"/>
                <w:highlight w:val="none"/>
              </w:rPr>
              <w:t>2.</w:t>
            </w:r>
            <w:r>
              <w:rPr>
                <w:color w:val="auto"/>
                <w:spacing w:val="1"/>
                <w:highlight w:val="none"/>
              </w:rPr>
              <w:t>投标人制作投标文件时按上述实际明确的材料生成</w:t>
            </w:r>
            <w:r>
              <w:rPr>
                <w:color w:val="auto"/>
                <w:highlight w:val="none"/>
              </w:rPr>
              <w:t xml:space="preserve">数字 </w:t>
            </w:r>
            <w:r>
              <w:rPr>
                <w:color w:val="auto"/>
                <w:spacing w:val="7"/>
                <w:highlight w:val="none"/>
              </w:rPr>
              <w:t>证照应用于项目评审，否则相关证明佐证材料以企业主</w:t>
            </w:r>
            <w:r>
              <w:rPr>
                <w:color w:val="auto"/>
                <w:spacing w:val="4"/>
                <w:highlight w:val="none"/>
              </w:rPr>
              <w:t xml:space="preserve"> </w:t>
            </w:r>
            <w:r>
              <w:rPr>
                <w:color w:val="auto"/>
                <w:spacing w:val="7"/>
                <w:highlight w:val="none"/>
              </w:rPr>
              <w:t>体信息库获取的材料影印件应用于项目评审，投标人对</w:t>
            </w:r>
            <w:r>
              <w:rPr>
                <w:color w:val="auto"/>
                <w:spacing w:val="4"/>
                <w:highlight w:val="none"/>
              </w:rPr>
              <w:t xml:space="preserve"> </w:t>
            </w:r>
            <w:r>
              <w:rPr>
                <w:color w:val="auto"/>
                <w:spacing w:val="7"/>
                <w:highlight w:val="none"/>
              </w:rPr>
              <w:t>数字证照和材料影印件内容的准确性、完整性和真实性</w:t>
            </w:r>
            <w:r>
              <w:rPr>
                <w:color w:val="auto"/>
                <w:spacing w:val="4"/>
                <w:highlight w:val="none"/>
              </w:rPr>
              <w:t xml:space="preserve"> </w:t>
            </w:r>
            <w:r>
              <w:rPr>
                <w:color w:val="auto"/>
                <w:spacing w:val="-8"/>
                <w:highlight w:val="none"/>
              </w:rPr>
              <w:t>负责。</w:t>
            </w:r>
          </w:p>
        </w:tc>
      </w:tr>
      <w:tr w14:paraId="25607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54" w:type="dxa"/>
            <w:vAlign w:val="top"/>
          </w:tcPr>
          <w:p w14:paraId="475943EE">
            <w:pPr>
              <w:spacing w:before="184" w:line="189" w:lineRule="auto"/>
              <w:ind w:left="22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3.7.4</w:t>
            </w:r>
          </w:p>
        </w:tc>
        <w:tc>
          <w:tcPr>
            <w:tcW w:w="2121" w:type="dxa"/>
            <w:vAlign w:val="top"/>
          </w:tcPr>
          <w:p w14:paraId="192A1E2B">
            <w:pPr>
              <w:pStyle w:val="11"/>
              <w:spacing w:before="147" w:line="220" w:lineRule="auto"/>
              <w:ind w:left="120"/>
              <w:rPr>
                <w:color w:val="auto"/>
                <w:highlight w:val="none"/>
              </w:rPr>
            </w:pPr>
            <w:r>
              <w:rPr>
                <w:color w:val="auto"/>
                <w:spacing w:val="-1"/>
                <w:highlight w:val="none"/>
              </w:rPr>
              <w:t>技术标是否采用暗标</w:t>
            </w:r>
          </w:p>
        </w:tc>
        <w:tc>
          <w:tcPr>
            <w:tcW w:w="5447" w:type="dxa"/>
            <w:vAlign w:val="top"/>
          </w:tcPr>
          <w:p w14:paraId="1C338BDF">
            <w:pPr>
              <w:pStyle w:val="11"/>
              <w:spacing w:before="147" w:line="220" w:lineRule="auto"/>
              <w:ind w:left="110"/>
              <w:rPr>
                <w:color w:val="auto"/>
                <w:highlight w:val="none"/>
              </w:rPr>
            </w:pPr>
            <w:r>
              <w:rPr>
                <w:color w:val="auto"/>
                <w:spacing w:val="-1"/>
                <w:highlight w:val="none"/>
              </w:rPr>
              <w:t>采用模块化暗标评审</w:t>
            </w:r>
          </w:p>
        </w:tc>
      </w:tr>
      <w:tr w14:paraId="41DFC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854" w:type="dxa"/>
            <w:vAlign w:val="top"/>
          </w:tcPr>
          <w:p w14:paraId="0EFCDC77">
            <w:pPr>
              <w:spacing w:before="285" w:line="189" w:lineRule="auto"/>
              <w:ind w:left="214"/>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4.2.1</w:t>
            </w:r>
          </w:p>
        </w:tc>
        <w:tc>
          <w:tcPr>
            <w:tcW w:w="2121" w:type="dxa"/>
            <w:vAlign w:val="top"/>
          </w:tcPr>
          <w:p w14:paraId="733E3761">
            <w:pPr>
              <w:pStyle w:val="11"/>
              <w:spacing w:before="249" w:line="221" w:lineRule="auto"/>
              <w:ind w:left="438"/>
              <w:rPr>
                <w:color w:val="auto"/>
                <w:highlight w:val="none"/>
              </w:rPr>
            </w:pPr>
            <w:r>
              <w:rPr>
                <w:color w:val="auto"/>
                <w:spacing w:val="-1"/>
                <w:highlight w:val="none"/>
              </w:rPr>
              <w:t>投标截止时间</w:t>
            </w:r>
          </w:p>
        </w:tc>
        <w:tc>
          <w:tcPr>
            <w:tcW w:w="5447" w:type="dxa"/>
            <w:vAlign w:val="top"/>
          </w:tcPr>
          <w:p w14:paraId="030ED5D4">
            <w:pPr>
              <w:pStyle w:val="11"/>
              <w:tabs>
                <w:tab w:val="left" w:pos="735"/>
              </w:tabs>
              <w:spacing w:before="248" w:line="221" w:lineRule="auto"/>
              <w:ind w:left="103"/>
              <w:rPr>
                <w:color w:val="auto"/>
                <w:highlight w:val="none"/>
              </w:rPr>
            </w:pPr>
            <w:r>
              <w:rPr>
                <w:rFonts w:hint="eastAsia"/>
                <w:color w:val="auto"/>
                <w:highlight w:val="none"/>
                <w:u w:val="single" w:color="auto"/>
                <w:lang w:val="en-US" w:eastAsia="zh-CN"/>
              </w:rPr>
              <w:t>2026</w:t>
            </w:r>
            <w:r>
              <w:rPr>
                <w:color w:val="auto"/>
                <w:spacing w:val="-18"/>
                <w:highlight w:val="none"/>
              </w:rPr>
              <w:t>年</w:t>
            </w:r>
            <w:r>
              <w:rPr>
                <w:color w:val="auto"/>
                <w:spacing w:val="-105"/>
                <w:highlight w:val="none"/>
              </w:rPr>
              <w:t xml:space="preserve"> </w:t>
            </w:r>
            <w:r>
              <w:rPr>
                <w:rFonts w:hint="eastAsia"/>
                <w:color w:val="auto"/>
                <w:spacing w:val="25"/>
                <w:highlight w:val="none"/>
                <w:u w:val="single" w:color="auto"/>
                <w:lang w:val="en-US" w:eastAsia="zh-CN"/>
              </w:rPr>
              <w:t>4</w:t>
            </w:r>
            <w:r>
              <w:rPr>
                <w:color w:val="auto"/>
                <w:spacing w:val="-18"/>
                <w:highlight w:val="none"/>
              </w:rPr>
              <w:t>月</w:t>
            </w:r>
            <w:r>
              <w:rPr>
                <w:rFonts w:hint="eastAsia"/>
                <w:color w:val="auto"/>
                <w:spacing w:val="12"/>
                <w:highlight w:val="none"/>
                <w:u w:val="single" w:color="auto"/>
                <w:lang w:val="en-US" w:eastAsia="zh-CN"/>
              </w:rPr>
              <w:t>15</w:t>
            </w:r>
            <w:r>
              <w:rPr>
                <w:color w:val="auto"/>
                <w:spacing w:val="-18"/>
                <w:highlight w:val="none"/>
              </w:rPr>
              <w:t>日</w:t>
            </w:r>
            <w:r>
              <w:rPr>
                <w:color w:val="auto"/>
                <w:spacing w:val="12"/>
                <w:highlight w:val="none"/>
                <w:u w:val="single" w:color="auto"/>
              </w:rPr>
              <w:t xml:space="preserve"> </w:t>
            </w:r>
            <w:r>
              <w:rPr>
                <w:rFonts w:hint="eastAsia"/>
                <w:color w:val="auto"/>
                <w:spacing w:val="12"/>
                <w:highlight w:val="none"/>
                <w:u w:val="single" w:color="auto"/>
                <w:lang w:val="en-US" w:eastAsia="zh-CN"/>
              </w:rPr>
              <w:t>9</w:t>
            </w:r>
            <w:r>
              <w:rPr>
                <w:color w:val="auto"/>
                <w:spacing w:val="-84"/>
                <w:highlight w:val="none"/>
              </w:rPr>
              <w:t xml:space="preserve"> </w:t>
            </w:r>
            <w:r>
              <w:rPr>
                <w:color w:val="auto"/>
                <w:spacing w:val="-18"/>
                <w:highlight w:val="none"/>
              </w:rPr>
              <w:t>时</w:t>
            </w:r>
            <w:r>
              <w:rPr>
                <w:rFonts w:hint="eastAsia"/>
                <w:color w:val="auto"/>
                <w:highlight w:val="none"/>
                <w:u w:val="single" w:color="auto"/>
                <w:lang w:val="en-US" w:eastAsia="zh-CN"/>
              </w:rPr>
              <w:t>30</w:t>
            </w:r>
            <w:r>
              <w:rPr>
                <w:color w:val="auto"/>
                <w:highlight w:val="none"/>
                <w:u w:val="single" w:color="auto"/>
              </w:rPr>
              <w:t xml:space="preserve"> </w:t>
            </w:r>
            <w:r>
              <w:rPr>
                <w:color w:val="auto"/>
                <w:spacing w:val="-91"/>
                <w:highlight w:val="none"/>
              </w:rPr>
              <w:t xml:space="preserve"> </w:t>
            </w:r>
            <w:r>
              <w:rPr>
                <w:color w:val="auto"/>
                <w:spacing w:val="-18"/>
                <w:highlight w:val="none"/>
              </w:rPr>
              <w:t>分。</w:t>
            </w:r>
          </w:p>
        </w:tc>
      </w:tr>
      <w:tr w14:paraId="64FD4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54" w:type="dxa"/>
            <w:vAlign w:val="top"/>
          </w:tcPr>
          <w:p w14:paraId="1734E9F3">
            <w:pPr>
              <w:spacing w:line="257" w:lineRule="auto"/>
              <w:rPr>
                <w:rFonts w:ascii="Arial"/>
                <w:color w:val="auto"/>
                <w:sz w:val="21"/>
                <w:highlight w:val="none"/>
              </w:rPr>
            </w:pPr>
          </w:p>
          <w:p w14:paraId="79493060">
            <w:pPr>
              <w:spacing w:before="61" w:line="189" w:lineRule="auto"/>
              <w:ind w:left="214"/>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4.2.3</w:t>
            </w:r>
          </w:p>
        </w:tc>
        <w:tc>
          <w:tcPr>
            <w:tcW w:w="2121" w:type="dxa"/>
            <w:vAlign w:val="top"/>
          </w:tcPr>
          <w:p w14:paraId="623F81EC">
            <w:pPr>
              <w:pStyle w:val="11"/>
              <w:spacing w:before="282" w:line="221" w:lineRule="auto"/>
              <w:ind w:left="228"/>
              <w:rPr>
                <w:color w:val="auto"/>
                <w:highlight w:val="none"/>
              </w:rPr>
            </w:pPr>
            <w:r>
              <w:rPr>
                <w:color w:val="auto"/>
                <w:spacing w:val="-1"/>
                <w:highlight w:val="none"/>
              </w:rPr>
              <w:t>是否退还投标文件</w:t>
            </w:r>
          </w:p>
        </w:tc>
        <w:tc>
          <w:tcPr>
            <w:tcW w:w="5447" w:type="dxa"/>
            <w:vAlign w:val="top"/>
          </w:tcPr>
          <w:p w14:paraId="3E94CA88">
            <w:pPr>
              <w:pStyle w:val="11"/>
              <w:spacing w:before="125" w:line="221" w:lineRule="auto"/>
              <w:ind w:left="132"/>
              <w:rPr>
                <w:color w:val="auto"/>
                <w:highlight w:val="none"/>
              </w:rPr>
            </w:pPr>
            <w:r>
              <w:rPr>
                <w:color w:val="auto"/>
                <w:spacing w:val="-7"/>
                <w:highlight w:val="none"/>
              </w:rPr>
              <w:sym w:font="Wingdings 2" w:char="0052"/>
            </w:r>
            <w:r>
              <w:rPr>
                <w:color w:val="auto"/>
                <w:spacing w:val="-7"/>
                <w:highlight w:val="none"/>
              </w:rPr>
              <w:t>否</w:t>
            </w:r>
          </w:p>
          <w:p w14:paraId="2D20FDCE">
            <w:pPr>
              <w:pStyle w:val="11"/>
              <w:spacing w:before="65" w:line="222" w:lineRule="auto"/>
              <w:ind w:left="132"/>
              <w:rPr>
                <w:color w:val="auto"/>
                <w:highlight w:val="none"/>
              </w:rPr>
            </w:pPr>
            <w:r>
              <w:rPr>
                <w:color w:val="auto"/>
                <w:spacing w:val="-3"/>
                <w:highlight w:val="none"/>
              </w:rPr>
              <w:t>□是，退还具体安排：</w:t>
            </w:r>
          </w:p>
        </w:tc>
      </w:tr>
      <w:tr w14:paraId="18356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5" w:hRule="atLeast"/>
        </w:trPr>
        <w:tc>
          <w:tcPr>
            <w:tcW w:w="854" w:type="dxa"/>
            <w:vAlign w:val="top"/>
          </w:tcPr>
          <w:p w14:paraId="03766117">
            <w:pPr>
              <w:spacing w:line="284" w:lineRule="auto"/>
              <w:rPr>
                <w:rFonts w:ascii="Arial"/>
                <w:color w:val="auto"/>
                <w:sz w:val="21"/>
                <w:highlight w:val="none"/>
              </w:rPr>
            </w:pPr>
          </w:p>
          <w:p w14:paraId="55351A50">
            <w:pPr>
              <w:spacing w:line="284" w:lineRule="auto"/>
              <w:rPr>
                <w:rFonts w:ascii="Arial"/>
                <w:color w:val="auto"/>
                <w:sz w:val="21"/>
                <w:highlight w:val="none"/>
              </w:rPr>
            </w:pPr>
          </w:p>
          <w:p w14:paraId="4B17FA65">
            <w:pPr>
              <w:spacing w:line="285" w:lineRule="auto"/>
              <w:rPr>
                <w:rFonts w:ascii="Arial"/>
                <w:color w:val="auto"/>
                <w:sz w:val="21"/>
                <w:highlight w:val="none"/>
              </w:rPr>
            </w:pPr>
          </w:p>
          <w:p w14:paraId="5AA2228D">
            <w:pPr>
              <w:spacing w:before="60" w:line="189" w:lineRule="auto"/>
              <w:ind w:left="221"/>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5.1.1</w:t>
            </w:r>
          </w:p>
        </w:tc>
        <w:tc>
          <w:tcPr>
            <w:tcW w:w="2121" w:type="dxa"/>
            <w:vAlign w:val="top"/>
          </w:tcPr>
          <w:p w14:paraId="6A008D55">
            <w:pPr>
              <w:spacing w:line="269" w:lineRule="auto"/>
              <w:rPr>
                <w:rFonts w:ascii="Arial"/>
                <w:color w:val="auto"/>
                <w:sz w:val="21"/>
                <w:highlight w:val="none"/>
              </w:rPr>
            </w:pPr>
          </w:p>
          <w:p w14:paraId="0202B084">
            <w:pPr>
              <w:spacing w:line="270" w:lineRule="auto"/>
              <w:rPr>
                <w:rFonts w:ascii="Arial"/>
                <w:color w:val="auto"/>
                <w:sz w:val="21"/>
                <w:highlight w:val="none"/>
              </w:rPr>
            </w:pPr>
          </w:p>
          <w:p w14:paraId="226F47AB">
            <w:pPr>
              <w:spacing w:line="270" w:lineRule="auto"/>
              <w:rPr>
                <w:rFonts w:ascii="Arial"/>
                <w:color w:val="auto"/>
                <w:sz w:val="21"/>
                <w:highlight w:val="none"/>
              </w:rPr>
            </w:pPr>
          </w:p>
          <w:p w14:paraId="7E51930F">
            <w:pPr>
              <w:pStyle w:val="11"/>
              <w:spacing w:before="68" w:line="221" w:lineRule="auto"/>
              <w:ind w:left="437"/>
              <w:rPr>
                <w:color w:val="auto"/>
                <w:highlight w:val="none"/>
              </w:rPr>
            </w:pPr>
            <w:r>
              <w:rPr>
                <w:color w:val="auto"/>
                <w:spacing w:val="-1"/>
                <w:highlight w:val="none"/>
              </w:rPr>
              <w:t>开标组织方式</w:t>
            </w:r>
          </w:p>
        </w:tc>
        <w:tc>
          <w:tcPr>
            <w:tcW w:w="5447" w:type="dxa"/>
            <w:vAlign w:val="top"/>
          </w:tcPr>
          <w:p w14:paraId="73195AA3">
            <w:pPr>
              <w:pStyle w:val="11"/>
              <w:spacing w:before="80" w:line="221" w:lineRule="auto"/>
              <w:ind w:left="132"/>
              <w:rPr>
                <w:color w:val="auto"/>
                <w:highlight w:val="none"/>
              </w:rPr>
            </w:pPr>
            <w:r>
              <w:rPr>
                <w:color w:val="auto"/>
                <w:spacing w:val="-4"/>
                <w:highlight w:val="none"/>
              </w:rPr>
              <w:t>□现场集中开标</w:t>
            </w:r>
          </w:p>
          <w:p w14:paraId="2B43F603">
            <w:pPr>
              <w:pStyle w:val="11"/>
              <w:spacing w:before="70" w:line="221" w:lineRule="auto"/>
              <w:ind w:left="132"/>
              <w:rPr>
                <w:color w:val="auto"/>
                <w:highlight w:val="none"/>
              </w:rPr>
            </w:pPr>
            <w:r>
              <w:rPr>
                <w:color w:val="auto"/>
                <w:spacing w:val="-4"/>
                <w:highlight w:val="none"/>
              </w:rPr>
              <w:sym w:font="Wingdings 2" w:char="0052"/>
            </w:r>
            <w:r>
              <w:rPr>
                <w:color w:val="auto"/>
                <w:spacing w:val="-4"/>
                <w:highlight w:val="none"/>
              </w:rPr>
              <w:t>远程不见面开标</w:t>
            </w:r>
          </w:p>
          <w:p w14:paraId="31CCE484">
            <w:pPr>
              <w:pStyle w:val="11"/>
              <w:spacing w:before="66" w:line="252" w:lineRule="auto"/>
              <w:ind w:left="113" w:right="116" w:firstLine="19"/>
              <w:rPr>
                <w:color w:val="auto"/>
                <w:highlight w:val="none"/>
              </w:rPr>
            </w:pPr>
            <w:r>
              <w:rPr>
                <w:color w:val="auto"/>
                <w:spacing w:val="6"/>
                <w:highlight w:val="none"/>
              </w:rPr>
              <w:t>□现场集中和远程不见面开标同时进行。投标人自行选</w:t>
            </w:r>
            <w:r>
              <w:rPr>
                <w:color w:val="auto"/>
                <w:spacing w:val="7"/>
                <w:highlight w:val="none"/>
              </w:rPr>
              <w:t xml:space="preserve"> </w:t>
            </w:r>
            <w:r>
              <w:rPr>
                <w:color w:val="auto"/>
                <w:spacing w:val="-4"/>
                <w:highlight w:val="none"/>
              </w:rPr>
              <w:t>择参与开标的方式。</w:t>
            </w:r>
          </w:p>
          <w:p w14:paraId="115917B1">
            <w:pPr>
              <w:pStyle w:val="11"/>
              <w:tabs>
                <w:tab w:val="left" w:pos="222"/>
              </w:tabs>
              <w:spacing w:before="68" w:line="243" w:lineRule="auto"/>
              <w:ind w:left="103" w:right="109" w:firstLine="9"/>
              <w:rPr>
                <w:color w:val="auto"/>
                <w:highlight w:val="none"/>
              </w:rPr>
            </w:pPr>
            <w:r>
              <w:rPr>
                <w:color w:val="auto"/>
                <w:spacing w:val="14"/>
                <w:highlight w:val="none"/>
              </w:rPr>
              <w:t>开标系统：</w:t>
            </w:r>
            <w:r>
              <w:rPr>
                <w:color w:val="auto"/>
                <w:spacing w:val="-39"/>
                <w:highlight w:val="none"/>
              </w:rPr>
              <w:t xml:space="preserve"> </w:t>
            </w:r>
            <w:r>
              <w:rPr>
                <w:color w:val="auto"/>
                <w:spacing w:val="14"/>
                <w:highlight w:val="none"/>
                <w:u w:val="single" w:color="auto"/>
              </w:rPr>
              <w:t>辽宁省工程建设项目数字化开标评标系统</w:t>
            </w:r>
            <w:r>
              <w:rPr>
                <w:color w:val="auto"/>
                <w:highlight w:val="none"/>
              </w:rPr>
              <w:t xml:space="preserve"> </w:t>
            </w:r>
            <w:r>
              <w:rPr>
                <w:color w:val="auto"/>
                <w:highlight w:val="none"/>
                <w:u w:val="single" w:color="auto"/>
              </w:rPr>
              <w:tab/>
            </w:r>
            <w:r>
              <w:rPr>
                <w:color w:val="auto"/>
                <w:spacing w:val="-5"/>
                <w:highlight w:val="none"/>
                <w:u w:val="single" w:color="auto"/>
              </w:rPr>
              <w:t>（</w:t>
            </w:r>
            <w:r>
              <w:rPr>
                <w:color w:val="auto"/>
                <w:highlight w:val="none"/>
              </w:rPr>
              <w:fldChar w:fldCharType="begin"/>
            </w:r>
            <w:r>
              <w:rPr>
                <w:color w:val="auto"/>
                <w:highlight w:val="none"/>
              </w:rPr>
              <w:instrText xml:space="preserve"> HYPERLINK "https://dts.lnzb.com:8888/zjt" </w:instrText>
            </w:r>
            <w:r>
              <w:rPr>
                <w:color w:val="auto"/>
                <w:highlight w:val="none"/>
              </w:rPr>
              <w:fldChar w:fldCharType="separate"/>
            </w:r>
            <w:r>
              <w:rPr>
                <w:rFonts w:ascii="Times New Roman" w:hAnsi="Times New Roman" w:eastAsia="Times New Roman" w:cs="Times New Roman"/>
                <w:color w:val="auto"/>
                <w:spacing w:val="-5"/>
                <w:highlight w:val="none"/>
                <w:u w:val="single" w:color="auto"/>
              </w:rPr>
              <w:t>https://dts.lnzb.com:8888/zjt</w:t>
            </w:r>
            <w:r>
              <w:rPr>
                <w:rFonts w:ascii="Times New Roman" w:hAnsi="Times New Roman" w:eastAsia="Times New Roman" w:cs="Times New Roman"/>
                <w:color w:val="auto"/>
                <w:spacing w:val="-5"/>
                <w:highlight w:val="none"/>
                <w:u w:val="single" w:color="auto"/>
              </w:rPr>
              <w:fldChar w:fldCharType="end"/>
            </w:r>
            <w:r>
              <w:rPr>
                <w:rFonts w:ascii="Times New Roman" w:hAnsi="Times New Roman" w:eastAsia="Times New Roman" w:cs="Times New Roman"/>
                <w:color w:val="auto"/>
                <w:spacing w:val="-5"/>
                <w:highlight w:val="none"/>
                <w:u w:val="single" w:color="auto"/>
              </w:rPr>
              <w:t>-b</w:t>
            </w:r>
            <w:r>
              <w:rPr>
                <w:rFonts w:ascii="Times New Roman" w:hAnsi="Times New Roman" w:eastAsia="Times New Roman" w:cs="Times New Roman"/>
                <w:color w:val="auto"/>
                <w:spacing w:val="-6"/>
                <w:highlight w:val="none"/>
                <w:u w:val="single" w:color="auto"/>
              </w:rPr>
              <w:t>id/</w:t>
            </w:r>
            <w:r>
              <w:rPr>
                <w:color w:val="auto"/>
                <w:spacing w:val="-6"/>
                <w:highlight w:val="none"/>
                <w:u w:val="single" w:color="auto"/>
              </w:rPr>
              <w:t>）。</w:t>
            </w:r>
          </w:p>
        </w:tc>
      </w:tr>
      <w:tr w14:paraId="0ED84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854" w:type="dxa"/>
            <w:vAlign w:val="top"/>
          </w:tcPr>
          <w:p w14:paraId="6C1C1724">
            <w:pPr>
              <w:spacing w:before="237" w:line="189" w:lineRule="auto"/>
              <w:ind w:left="221"/>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5.1.2</w:t>
            </w:r>
          </w:p>
        </w:tc>
        <w:tc>
          <w:tcPr>
            <w:tcW w:w="2121" w:type="dxa"/>
            <w:vAlign w:val="top"/>
          </w:tcPr>
          <w:p w14:paraId="69E1DF41">
            <w:pPr>
              <w:pStyle w:val="11"/>
              <w:spacing w:before="201" w:line="221" w:lineRule="auto"/>
              <w:ind w:left="648"/>
              <w:rPr>
                <w:color w:val="auto"/>
                <w:highlight w:val="none"/>
              </w:rPr>
            </w:pPr>
            <w:r>
              <w:rPr>
                <w:color w:val="auto"/>
                <w:spacing w:val="-1"/>
                <w:highlight w:val="none"/>
              </w:rPr>
              <w:t>开标地点</w:t>
            </w:r>
          </w:p>
        </w:tc>
        <w:tc>
          <w:tcPr>
            <w:tcW w:w="5447" w:type="dxa"/>
            <w:vAlign w:val="top"/>
          </w:tcPr>
          <w:p w14:paraId="2C62192B">
            <w:pPr>
              <w:rPr>
                <w:rFonts w:ascii="Arial"/>
                <w:color w:val="auto"/>
                <w:sz w:val="21"/>
                <w:highlight w:val="none"/>
              </w:rPr>
            </w:pPr>
            <w:r>
              <w:rPr>
                <w:rFonts w:hint="eastAsia"/>
                <w:color w:val="auto"/>
                <w:highlight w:val="none"/>
                <w:lang w:eastAsia="zh-CN"/>
              </w:rPr>
              <w:t>开标地点： 远程不见面(请按招标文件规定时间登录“辽宁省工程建设项目数字化开标评标系统(https://dts.lnzb.com:8888/zjt-bid/)” 进行解密)。</w:t>
            </w:r>
          </w:p>
        </w:tc>
      </w:tr>
      <w:tr w14:paraId="79141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25" w:hRule="atLeast"/>
        </w:trPr>
        <w:tc>
          <w:tcPr>
            <w:tcW w:w="854" w:type="dxa"/>
            <w:vAlign w:val="top"/>
          </w:tcPr>
          <w:p w14:paraId="40C1B7E2">
            <w:pPr>
              <w:spacing w:before="204" w:line="285" w:lineRule="exact"/>
              <w:ind w:left="221"/>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position w:val="9"/>
                <w:sz w:val="21"/>
                <w:szCs w:val="21"/>
                <w:highlight w:val="none"/>
              </w:rPr>
              <w:t>5.2.1</w:t>
            </w:r>
          </w:p>
          <w:p w14:paraId="1FCBE78E">
            <w:pPr>
              <w:pStyle w:val="11"/>
              <w:spacing w:line="232" w:lineRule="auto"/>
              <w:ind w:left="173"/>
              <w:rPr>
                <w:color w:val="auto"/>
                <w:highlight w:val="none"/>
              </w:rPr>
            </w:pPr>
            <w:r>
              <w:rPr>
                <w:color w:val="auto"/>
                <w:spacing w:val="-5"/>
                <w:highlight w:val="none"/>
              </w:rPr>
              <w:t>（</w:t>
            </w:r>
            <w:r>
              <w:rPr>
                <w:rFonts w:ascii="Times New Roman" w:hAnsi="Times New Roman" w:eastAsia="Times New Roman" w:cs="Times New Roman"/>
                <w:color w:val="auto"/>
                <w:spacing w:val="-5"/>
                <w:highlight w:val="none"/>
              </w:rPr>
              <w:t>5</w:t>
            </w:r>
            <w:r>
              <w:rPr>
                <w:color w:val="auto"/>
                <w:spacing w:val="-5"/>
                <w:highlight w:val="none"/>
              </w:rPr>
              <w:t>）</w:t>
            </w:r>
          </w:p>
        </w:tc>
        <w:tc>
          <w:tcPr>
            <w:tcW w:w="2121" w:type="dxa"/>
            <w:vAlign w:val="top"/>
          </w:tcPr>
          <w:p w14:paraId="03D1F726">
            <w:pPr>
              <w:spacing w:line="261" w:lineRule="auto"/>
              <w:rPr>
                <w:rFonts w:ascii="Arial"/>
                <w:color w:val="auto"/>
                <w:sz w:val="21"/>
                <w:highlight w:val="none"/>
              </w:rPr>
            </w:pPr>
          </w:p>
          <w:p w14:paraId="38E7E626">
            <w:pPr>
              <w:pStyle w:val="11"/>
              <w:spacing w:before="69" w:line="221" w:lineRule="auto"/>
              <w:ind w:left="646"/>
              <w:rPr>
                <w:color w:val="auto"/>
                <w:highlight w:val="none"/>
              </w:rPr>
            </w:pPr>
            <w:r>
              <w:rPr>
                <w:color w:val="auto"/>
                <w:spacing w:val="-1"/>
                <w:highlight w:val="none"/>
              </w:rPr>
              <w:t>解密时间</w:t>
            </w:r>
          </w:p>
        </w:tc>
        <w:tc>
          <w:tcPr>
            <w:tcW w:w="5447" w:type="dxa"/>
            <w:vAlign w:val="top"/>
          </w:tcPr>
          <w:p w14:paraId="1A69FC3E">
            <w:pPr>
              <w:pStyle w:val="11"/>
              <w:spacing w:before="33" w:line="229" w:lineRule="auto"/>
              <w:ind w:left="112" w:right="111"/>
              <w:jc w:val="both"/>
              <w:rPr>
                <w:color w:val="auto"/>
                <w:highlight w:val="none"/>
              </w:rPr>
            </w:pPr>
            <w:r>
              <w:rPr>
                <w:rFonts w:hint="eastAsia" w:ascii="宋体" w:hAnsi="宋体"/>
                <w:color w:val="auto"/>
                <w:szCs w:val="21"/>
                <w:highlight w:val="none"/>
              </w:rPr>
              <w:t>招标人发出解密提示后</w:t>
            </w:r>
            <w:r>
              <w:rPr>
                <w:rFonts w:hint="eastAsia" w:ascii="宋体" w:hAnsi="宋体"/>
                <w:color w:val="auto"/>
                <w:szCs w:val="21"/>
                <w:highlight w:val="none"/>
                <w:u w:val="single"/>
              </w:rPr>
              <w:t>30</w:t>
            </w:r>
            <w:r>
              <w:rPr>
                <w:rFonts w:hint="eastAsia" w:ascii="宋体" w:hAnsi="宋体"/>
                <w:color w:val="auto"/>
                <w:szCs w:val="21"/>
                <w:highlight w:val="none"/>
              </w:rPr>
              <w:t>分钟内。如遇到投标人较多或其他特殊情况在规定时间内无法完成解密的，可报项目行政监督部门适当延长解密时间。</w:t>
            </w:r>
          </w:p>
        </w:tc>
      </w:tr>
      <w:tr w14:paraId="2BC82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7" w:hRule="atLeast"/>
        </w:trPr>
        <w:tc>
          <w:tcPr>
            <w:tcW w:w="854" w:type="dxa"/>
            <w:vAlign w:val="top"/>
          </w:tcPr>
          <w:p w14:paraId="32858E14">
            <w:pPr>
              <w:spacing w:line="317" w:lineRule="auto"/>
              <w:rPr>
                <w:rFonts w:ascii="Arial"/>
                <w:color w:val="auto"/>
                <w:sz w:val="21"/>
                <w:highlight w:val="none"/>
              </w:rPr>
            </w:pPr>
          </w:p>
          <w:p w14:paraId="7BBE95C0">
            <w:pPr>
              <w:spacing w:line="318" w:lineRule="auto"/>
              <w:rPr>
                <w:rFonts w:ascii="Arial"/>
                <w:color w:val="auto"/>
                <w:sz w:val="21"/>
                <w:highlight w:val="none"/>
              </w:rPr>
            </w:pPr>
          </w:p>
          <w:p w14:paraId="432D6F45">
            <w:pPr>
              <w:spacing w:before="60" w:line="189" w:lineRule="auto"/>
              <w:ind w:left="22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6.1.1</w:t>
            </w:r>
          </w:p>
        </w:tc>
        <w:tc>
          <w:tcPr>
            <w:tcW w:w="2121" w:type="dxa"/>
            <w:vAlign w:val="top"/>
          </w:tcPr>
          <w:p w14:paraId="7876FD66">
            <w:pPr>
              <w:spacing w:line="295" w:lineRule="auto"/>
              <w:rPr>
                <w:rFonts w:ascii="Arial"/>
                <w:color w:val="auto"/>
                <w:sz w:val="21"/>
                <w:highlight w:val="none"/>
              </w:rPr>
            </w:pPr>
          </w:p>
          <w:p w14:paraId="368EBC71">
            <w:pPr>
              <w:spacing w:line="295" w:lineRule="auto"/>
              <w:rPr>
                <w:rFonts w:ascii="Arial"/>
                <w:color w:val="auto"/>
                <w:sz w:val="21"/>
                <w:highlight w:val="none"/>
              </w:rPr>
            </w:pPr>
          </w:p>
          <w:p w14:paraId="3A1DE2FA">
            <w:pPr>
              <w:pStyle w:val="11"/>
              <w:spacing w:before="69" w:line="220" w:lineRule="auto"/>
              <w:ind w:left="224"/>
              <w:rPr>
                <w:color w:val="auto"/>
                <w:highlight w:val="none"/>
              </w:rPr>
            </w:pPr>
            <w:r>
              <w:rPr>
                <w:color w:val="auto"/>
                <w:spacing w:val="-1"/>
                <w:highlight w:val="none"/>
              </w:rPr>
              <w:t>评标委员会的组建</w:t>
            </w:r>
          </w:p>
        </w:tc>
        <w:tc>
          <w:tcPr>
            <w:tcW w:w="5447" w:type="dxa"/>
            <w:vAlign w:val="top"/>
          </w:tcPr>
          <w:p w14:paraId="09E7FFF6">
            <w:pPr>
              <w:spacing w:line="400" w:lineRule="exact"/>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eastAsia="zh-CN"/>
              </w:rPr>
              <w:t>本次评标委员会由5人组成，其中：经济专家2人、技术专家3人</w:t>
            </w:r>
            <w:r>
              <w:rPr>
                <w:rFonts w:hint="eastAsia" w:ascii="仿宋_GB2312" w:eastAsia="仿宋_GB2312"/>
                <w:color w:val="auto"/>
                <w:sz w:val="24"/>
                <w:szCs w:val="24"/>
                <w:highlight w:val="none"/>
              </w:rPr>
              <w:t>。</w:t>
            </w:r>
          </w:p>
          <w:p w14:paraId="3A7B8221">
            <w:pPr>
              <w:pStyle w:val="11"/>
              <w:spacing w:before="64" w:line="251" w:lineRule="auto"/>
              <w:ind w:left="130" w:right="113" w:hanging="20"/>
              <w:rPr>
                <w:color w:val="auto"/>
                <w:highlight w:val="none"/>
              </w:rPr>
            </w:pPr>
            <w:r>
              <w:rPr>
                <w:rFonts w:hint="eastAsia" w:ascii="仿宋_GB2312" w:eastAsia="仿宋_GB2312"/>
                <w:color w:val="auto"/>
                <w:sz w:val="24"/>
                <w:szCs w:val="24"/>
                <w:highlight w:val="none"/>
              </w:rPr>
              <w:t>评标专家确定方式：</w:t>
            </w:r>
            <w:bookmarkStart w:id="38" w:name="EBa1d104d5209f48c1b3f257aeb910318a"/>
            <w:r>
              <w:rPr>
                <w:rFonts w:hint="eastAsia" w:ascii="仿宋_GB2312" w:eastAsia="仿宋_GB2312"/>
                <w:color w:val="auto"/>
                <w:sz w:val="24"/>
                <w:szCs w:val="24"/>
                <w:highlight w:val="none"/>
              </w:rPr>
              <w:t>在辽宁省综合专家库中随机抽取</w:t>
            </w:r>
            <w:bookmarkEnd w:id="38"/>
          </w:p>
        </w:tc>
      </w:tr>
    </w:tbl>
    <w:p w14:paraId="2870EE3A">
      <w:pPr>
        <w:pStyle w:val="3"/>
        <w:rPr>
          <w:color w:val="auto"/>
          <w:highlight w:val="none"/>
        </w:rPr>
      </w:pPr>
    </w:p>
    <w:p w14:paraId="1C84631F">
      <w:pPr>
        <w:spacing w:line="95" w:lineRule="auto"/>
        <w:rPr>
          <w:rFonts w:ascii="Arial"/>
          <w:color w:val="auto"/>
          <w:sz w:val="2"/>
          <w:highlight w:val="none"/>
        </w:rPr>
      </w:pPr>
    </w:p>
    <w:tbl>
      <w:tblPr>
        <w:tblStyle w:val="10"/>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65259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854" w:type="dxa"/>
            <w:vAlign w:val="top"/>
          </w:tcPr>
          <w:p w14:paraId="1FD5BB4A">
            <w:pPr>
              <w:spacing w:before="277" w:line="189" w:lineRule="auto"/>
              <w:ind w:left="297"/>
              <w:rPr>
                <w:rFonts w:ascii="Times New Roman" w:hAnsi="Times New Roman" w:eastAsia="Times New Roman" w:cs="Times New Roman"/>
                <w:color w:val="auto"/>
                <w:sz w:val="21"/>
                <w:szCs w:val="21"/>
                <w:highlight w:val="none"/>
              </w:rPr>
            </w:pPr>
            <w:bookmarkStart w:id="39" w:name="bookmark66"/>
            <w:bookmarkEnd w:id="39"/>
            <w:bookmarkStart w:id="40" w:name="bookmark61"/>
            <w:bookmarkEnd w:id="40"/>
            <w:bookmarkStart w:id="41" w:name="bookmark68"/>
            <w:bookmarkEnd w:id="41"/>
            <w:bookmarkStart w:id="42" w:name="bookmark64"/>
            <w:bookmarkEnd w:id="42"/>
            <w:bookmarkStart w:id="43" w:name="bookmark67"/>
            <w:bookmarkEnd w:id="43"/>
            <w:bookmarkStart w:id="44" w:name="bookmark62"/>
            <w:bookmarkEnd w:id="44"/>
            <w:bookmarkStart w:id="45" w:name="bookmark63"/>
            <w:bookmarkEnd w:id="45"/>
            <w:bookmarkStart w:id="46" w:name="bookmark65"/>
            <w:bookmarkEnd w:id="46"/>
            <w:r>
              <w:rPr>
                <w:rFonts w:ascii="Times New Roman" w:hAnsi="Times New Roman" w:eastAsia="Times New Roman" w:cs="Times New Roman"/>
                <w:color w:val="auto"/>
                <w:spacing w:val="-3"/>
                <w:sz w:val="21"/>
                <w:szCs w:val="21"/>
                <w:highlight w:val="none"/>
              </w:rPr>
              <w:t>6.3</w:t>
            </w:r>
          </w:p>
        </w:tc>
        <w:tc>
          <w:tcPr>
            <w:tcW w:w="2121" w:type="dxa"/>
            <w:vAlign w:val="top"/>
          </w:tcPr>
          <w:p w14:paraId="66D23646">
            <w:pPr>
              <w:pStyle w:val="11"/>
              <w:spacing w:before="240" w:line="220" w:lineRule="auto"/>
              <w:ind w:left="435"/>
              <w:rPr>
                <w:color w:val="auto"/>
                <w:highlight w:val="none"/>
              </w:rPr>
            </w:pPr>
            <w:r>
              <w:rPr>
                <w:color w:val="auto"/>
                <w:spacing w:val="-1"/>
                <w:highlight w:val="none"/>
              </w:rPr>
              <w:t>评标采用方式</w:t>
            </w:r>
          </w:p>
        </w:tc>
        <w:tc>
          <w:tcPr>
            <w:tcW w:w="5447" w:type="dxa"/>
            <w:vAlign w:val="top"/>
          </w:tcPr>
          <w:p w14:paraId="38013E31">
            <w:pPr>
              <w:pStyle w:val="11"/>
              <w:spacing w:before="82" w:line="220" w:lineRule="auto"/>
              <w:ind w:left="132"/>
              <w:rPr>
                <w:color w:val="auto"/>
                <w:highlight w:val="none"/>
              </w:rPr>
            </w:pPr>
            <w:r>
              <w:rPr>
                <w:color w:val="auto"/>
                <w:spacing w:val="-3"/>
                <w:highlight w:val="none"/>
              </w:rPr>
              <w:sym w:font="Wingdings 2" w:char="0052"/>
            </w:r>
            <w:r>
              <w:rPr>
                <w:color w:val="auto"/>
                <w:spacing w:val="-3"/>
                <w:highlight w:val="none"/>
              </w:rPr>
              <w:t>本地集中评标方式</w:t>
            </w:r>
          </w:p>
          <w:p w14:paraId="07581E48">
            <w:pPr>
              <w:pStyle w:val="11"/>
              <w:spacing w:before="66" w:line="210" w:lineRule="auto"/>
              <w:ind w:left="132"/>
              <w:rPr>
                <w:color w:val="auto"/>
                <w:spacing w:val="-3"/>
                <w:highlight w:val="none"/>
              </w:rPr>
            </w:pPr>
            <w:r>
              <w:rPr>
                <w:color w:val="auto"/>
                <w:spacing w:val="-3"/>
                <w:highlight w:val="none"/>
              </w:rPr>
              <w:t>□远程异地评标方式</w:t>
            </w:r>
          </w:p>
          <w:p w14:paraId="1000281C">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评标是否采用计算机辅助智能评审：</w:t>
            </w:r>
          </w:p>
          <w:p w14:paraId="391BBA7D">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□是</w:t>
            </w:r>
          </w:p>
          <w:p w14:paraId="188B0A57">
            <w:pPr>
              <w:pStyle w:val="11"/>
              <w:spacing w:before="66" w:line="210" w:lineRule="auto"/>
              <w:ind w:left="132"/>
              <w:rPr>
                <w:color w:val="auto"/>
                <w:spacing w:val="-3"/>
                <w:highlight w:val="none"/>
              </w:rPr>
            </w:pPr>
            <w:r>
              <w:rPr>
                <w:rFonts w:hint="eastAsia"/>
                <w:color w:val="auto"/>
                <w:highlight w:val="none"/>
                <w:lang w:eastAsia="zh-CN"/>
              </w:rPr>
              <w:t>☑否</w:t>
            </w:r>
          </w:p>
        </w:tc>
      </w:tr>
      <w:tr w14:paraId="51842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3" w:hRule="atLeast"/>
        </w:trPr>
        <w:tc>
          <w:tcPr>
            <w:tcW w:w="854" w:type="dxa"/>
            <w:vAlign w:val="top"/>
          </w:tcPr>
          <w:p w14:paraId="13D83225">
            <w:pPr>
              <w:spacing w:line="392" w:lineRule="auto"/>
              <w:rPr>
                <w:rFonts w:ascii="Arial"/>
                <w:color w:val="auto"/>
                <w:sz w:val="21"/>
                <w:highlight w:val="none"/>
              </w:rPr>
            </w:pPr>
          </w:p>
          <w:p w14:paraId="77AE6ED1">
            <w:pPr>
              <w:spacing w:before="60" w:line="189" w:lineRule="auto"/>
              <w:ind w:left="297"/>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6.4</w:t>
            </w:r>
          </w:p>
        </w:tc>
        <w:tc>
          <w:tcPr>
            <w:tcW w:w="2121" w:type="dxa"/>
            <w:vAlign w:val="top"/>
          </w:tcPr>
          <w:p w14:paraId="6C857AAA">
            <w:pPr>
              <w:spacing w:line="348" w:lineRule="auto"/>
              <w:rPr>
                <w:rFonts w:ascii="Arial"/>
                <w:color w:val="auto"/>
                <w:sz w:val="21"/>
                <w:highlight w:val="none"/>
              </w:rPr>
            </w:pPr>
          </w:p>
          <w:p w14:paraId="6FC20695">
            <w:pPr>
              <w:pStyle w:val="11"/>
              <w:spacing w:before="68" w:line="220" w:lineRule="auto"/>
              <w:ind w:left="224"/>
              <w:rPr>
                <w:color w:val="auto"/>
                <w:highlight w:val="none"/>
              </w:rPr>
            </w:pPr>
            <w:r>
              <w:rPr>
                <w:color w:val="auto"/>
                <w:spacing w:val="-1"/>
                <w:highlight w:val="none"/>
              </w:rPr>
              <w:t>评标结果公示媒介</w:t>
            </w:r>
          </w:p>
        </w:tc>
        <w:tc>
          <w:tcPr>
            <w:tcW w:w="5447" w:type="dxa"/>
            <w:vAlign w:val="top"/>
          </w:tcPr>
          <w:p w14:paraId="148BCA9B">
            <w:pPr>
              <w:pStyle w:val="11"/>
              <w:spacing w:before="66" w:line="226" w:lineRule="auto"/>
              <w:ind w:left="132"/>
              <w:rPr>
                <w:color w:val="auto"/>
                <w:highlight w:val="none"/>
              </w:rPr>
            </w:pPr>
            <w:r>
              <w:rPr>
                <w:rFonts w:hint="eastAsia"/>
                <w:color w:val="auto"/>
                <w:highlight w:val="none"/>
                <w:lang w:eastAsia="zh-CN"/>
              </w:rPr>
              <w:t>辽宁建设工程信息网、辽宁省招标投标监管网、中国招标投标公共服务平台</w:t>
            </w:r>
          </w:p>
        </w:tc>
      </w:tr>
      <w:tr w14:paraId="45930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6" w:hRule="atLeast"/>
        </w:trPr>
        <w:tc>
          <w:tcPr>
            <w:tcW w:w="854" w:type="dxa"/>
            <w:vAlign w:val="top"/>
          </w:tcPr>
          <w:p w14:paraId="497F6000">
            <w:pPr>
              <w:spacing w:line="247" w:lineRule="auto"/>
              <w:rPr>
                <w:rFonts w:ascii="Arial"/>
                <w:color w:val="auto"/>
                <w:sz w:val="21"/>
                <w:highlight w:val="none"/>
              </w:rPr>
            </w:pPr>
          </w:p>
          <w:p w14:paraId="1779CCFE">
            <w:pPr>
              <w:spacing w:line="247" w:lineRule="auto"/>
              <w:rPr>
                <w:rFonts w:ascii="Arial"/>
                <w:color w:val="auto"/>
                <w:sz w:val="21"/>
                <w:highlight w:val="none"/>
              </w:rPr>
            </w:pPr>
          </w:p>
          <w:p w14:paraId="582F43AC">
            <w:pPr>
              <w:spacing w:line="247" w:lineRule="auto"/>
              <w:rPr>
                <w:rFonts w:ascii="Arial"/>
                <w:color w:val="auto"/>
                <w:sz w:val="21"/>
                <w:highlight w:val="none"/>
              </w:rPr>
            </w:pPr>
          </w:p>
          <w:p w14:paraId="102D25D3">
            <w:pPr>
              <w:spacing w:line="248" w:lineRule="auto"/>
              <w:rPr>
                <w:rFonts w:ascii="Arial"/>
                <w:color w:val="auto"/>
                <w:sz w:val="21"/>
                <w:highlight w:val="none"/>
              </w:rPr>
            </w:pPr>
          </w:p>
          <w:p w14:paraId="58493C2A">
            <w:pPr>
              <w:spacing w:line="248" w:lineRule="auto"/>
              <w:rPr>
                <w:rFonts w:ascii="Arial"/>
                <w:color w:val="auto"/>
                <w:sz w:val="21"/>
                <w:highlight w:val="none"/>
              </w:rPr>
            </w:pPr>
          </w:p>
          <w:p w14:paraId="3C998B3F">
            <w:pPr>
              <w:spacing w:line="248" w:lineRule="auto"/>
              <w:rPr>
                <w:rFonts w:ascii="Arial"/>
                <w:color w:val="auto"/>
                <w:sz w:val="21"/>
                <w:highlight w:val="none"/>
              </w:rPr>
            </w:pPr>
          </w:p>
          <w:p w14:paraId="618BEE8E">
            <w:pPr>
              <w:spacing w:before="60" w:line="189" w:lineRule="auto"/>
              <w:ind w:left="29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7.1</w:t>
            </w:r>
          </w:p>
        </w:tc>
        <w:tc>
          <w:tcPr>
            <w:tcW w:w="2121" w:type="dxa"/>
            <w:vAlign w:val="top"/>
          </w:tcPr>
          <w:p w14:paraId="036130A9">
            <w:pPr>
              <w:rPr>
                <w:rFonts w:ascii="Arial"/>
                <w:color w:val="auto"/>
                <w:sz w:val="21"/>
                <w:highlight w:val="none"/>
              </w:rPr>
            </w:pPr>
          </w:p>
          <w:p w14:paraId="137C2E3E">
            <w:pPr>
              <w:rPr>
                <w:rFonts w:ascii="Arial"/>
                <w:color w:val="auto"/>
                <w:sz w:val="21"/>
                <w:highlight w:val="none"/>
              </w:rPr>
            </w:pPr>
          </w:p>
          <w:p w14:paraId="2AB399AA">
            <w:pPr>
              <w:rPr>
                <w:rFonts w:ascii="Arial"/>
                <w:color w:val="auto"/>
                <w:sz w:val="21"/>
                <w:highlight w:val="none"/>
              </w:rPr>
            </w:pPr>
          </w:p>
          <w:p w14:paraId="35DAA550">
            <w:pPr>
              <w:rPr>
                <w:rFonts w:ascii="Arial"/>
                <w:color w:val="auto"/>
                <w:sz w:val="21"/>
                <w:highlight w:val="none"/>
              </w:rPr>
            </w:pPr>
          </w:p>
          <w:p w14:paraId="4BC60423">
            <w:pPr>
              <w:rPr>
                <w:rFonts w:ascii="Arial"/>
                <w:color w:val="auto"/>
                <w:sz w:val="21"/>
                <w:highlight w:val="none"/>
              </w:rPr>
            </w:pPr>
          </w:p>
          <w:p w14:paraId="47CC27FE">
            <w:pPr>
              <w:spacing w:line="241" w:lineRule="auto"/>
              <w:rPr>
                <w:rFonts w:ascii="Arial"/>
                <w:color w:val="auto"/>
                <w:sz w:val="21"/>
                <w:highlight w:val="none"/>
              </w:rPr>
            </w:pPr>
          </w:p>
          <w:p w14:paraId="0CA6415A">
            <w:pPr>
              <w:pStyle w:val="11"/>
              <w:spacing w:before="68" w:line="221" w:lineRule="auto"/>
              <w:ind w:left="652"/>
              <w:rPr>
                <w:color w:val="auto"/>
                <w:highlight w:val="none"/>
              </w:rPr>
            </w:pPr>
            <w:r>
              <w:rPr>
                <w:color w:val="auto"/>
                <w:spacing w:val="-2"/>
                <w:highlight w:val="none"/>
              </w:rPr>
              <w:t>定标方式</w:t>
            </w:r>
          </w:p>
        </w:tc>
        <w:tc>
          <w:tcPr>
            <w:tcW w:w="5447" w:type="dxa"/>
            <w:vAlign w:val="top"/>
          </w:tcPr>
          <w:p w14:paraId="7BAD399F">
            <w:pPr>
              <w:pStyle w:val="11"/>
              <w:spacing w:before="77" w:line="220" w:lineRule="auto"/>
              <w:ind w:left="111"/>
              <w:rPr>
                <w:color w:val="auto"/>
                <w:highlight w:val="none"/>
              </w:rPr>
            </w:pPr>
            <w:r>
              <w:rPr>
                <w:color w:val="auto"/>
                <w:spacing w:val="-1"/>
                <w:highlight w:val="none"/>
              </w:rPr>
              <w:t>推荐的中标候选人数：不超过</w:t>
            </w:r>
            <w:r>
              <w:rPr>
                <w:color w:val="auto"/>
                <w:spacing w:val="-94"/>
                <w:highlight w:val="none"/>
              </w:rPr>
              <w:t xml:space="preserve"> </w:t>
            </w:r>
            <w:r>
              <w:rPr>
                <w:rFonts w:hint="eastAsia"/>
                <w:color w:val="auto"/>
                <w:spacing w:val="34"/>
                <w:highlight w:val="none"/>
                <w:u w:val="single" w:color="auto"/>
                <w:lang w:val="en-US" w:eastAsia="zh-CN"/>
              </w:rPr>
              <w:t>3</w:t>
            </w:r>
            <w:r>
              <w:rPr>
                <w:color w:val="auto"/>
                <w:spacing w:val="-1"/>
                <w:highlight w:val="none"/>
              </w:rPr>
              <w:t>名</w:t>
            </w:r>
          </w:p>
          <w:p w14:paraId="29E5CA42">
            <w:pPr>
              <w:pStyle w:val="11"/>
              <w:spacing w:before="71" w:line="220" w:lineRule="auto"/>
              <w:ind w:left="132"/>
              <w:rPr>
                <w:color w:val="auto"/>
                <w:highlight w:val="none"/>
              </w:rPr>
            </w:pPr>
            <w:r>
              <w:rPr>
                <w:rFonts w:hint="eastAsia"/>
                <w:color w:val="auto"/>
                <w:spacing w:val="-2"/>
                <w:highlight w:val="none"/>
                <w:lang w:eastAsia="zh-CN"/>
              </w:rPr>
              <w:t>☑</w:t>
            </w:r>
            <w:r>
              <w:rPr>
                <w:color w:val="auto"/>
                <w:spacing w:val="-2"/>
                <w:highlight w:val="none"/>
              </w:rPr>
              <w:t>招标人授权评标委员会直接确定中标人</w:t>
            </w:r>
          </w:p>
          <w:p w14:paraId="6FDF3A7D">
            <w:pPr>
              <w:pStyle w:val="11"/>
              <w:spacing w:before="66" w:line="220" w:lineRule="auto"/>
              <w:ind w:left="132"/>
              <w:rPr>
                <w:color w:val="auto"/>
                <w:highlight w:val="none"/>
              </w:rPr>
            </w:pPr>
            <w:r>
              <w:rPr>
                <w:color w:val="auto"/>
                <w:spacing w:val="-1"/>
                <w:highlight w:val="none"/>
              </w:rPr>
              <w:sym w:font="Wingdings 2" w:char="00A3"/>
            </w:r>
            <w:r>
              <w:rPr>
                <w:color w:val="auto"/>
                <w:spacing w:val="-1"/>
                <w:highlight w:val="none"/>
              </w:rPr>
              <w:t>招标人依据评标委员会推荐的中标候选人确</w:t>
            </w:r>
            <w:r>
              <w:rPr>
                <w:color w:val="auto"/>
                <w:spacing w:val="-2"/>
                <w:highlight w:val="none"/>
              </w:rPr>
              <w:t>定中标人</w:t>
            </w:r>
          </w:p>
          <w:p w14:paraId="65D00269">
            <w:pPr>
              <w:pStyle w:val="11"/>
              <w:spacing w:before="72" w:line="251" w:lineRule="auto"/>
              <w:ind w:left="121" w:right="116" w:firstLine="11"/>
              <w:rPr>
                <w:color w:val="auto"/>
                <w:highlight w:val="none"/>
              </w:rPr>
            </w:pPr>
            <w:r>
              <w:rPr>
                <w:color w:val="auto"/>
                <w:spacing w:val="6"/>
                <w:highlight w:val="none"/>
              </w:rPr>
              <w:sym w:font="Wingdings 2" w:char="00A3"/>
            </w:r>
            <w:r>
              <w:rPr>
                <w:color w:val="auto"/>
                <w:spacing w:val="6"/>
                <w:highlight w:val="none"/>
              </w:rPr>
              <w:t>招标人从评标委员会推荐的中标候选人范围内自主研</w:t>
            </w:r>
            <w:r>
              <w:rPr>
                <w:color w:val="auto"/>
                <w:spacing w:val="7"/>
                <w:highlight w:val="none"/>
              </w:rPr>
              <w:t xml:space="preserve"> </w:t>
            </w:r>
            <w:r>
              <w:rPr>
                <w:color w:val="auto"/>
                <w:spacing w:val="-3"/>
                <w:highlight w:val="none"/>
              </w:rPr>
              <w:t>究确定中标人</w:t>
            </w:r>
          </w:p>
          <w:p w14:paraId="0E829F77">
            <w:pPr>
              <w:pStyle w:val="11"/>
              <w:spacing w:before="66" w:line="252" w:lineRule="auto"/>
              <w:ind w:left="112" w:right="205" w:hanging="1"/>
              <w:rPr>
                <w:color w:val="auto"/>
                <w:highlight w:val="none"/>
              </w:rPr>
            </w:pPr>
            <w:r>
              <w:rPr>
                <w:color w:val="auto"/>
                <w:spacing w:val="-1"/>
                <w:highlight w:val="none"/>
              </w:rPr>
              <w:t>通过初步评审投标人的数量少于或等于</w:t>
            </w:r>
            <w:r>
              <w:rPr>
                <w:color w:val="auto"/>
                <w:spacing w:val="-46"/>
                <w:highlight w:val="none"/>
              </w:rPr>
              <w:t xml:space="preserve"> </w:t>
            </w:r>
            <w:r>
              <w:rPr>
                <w:rFonts w:ascii="Times New Roman" w:hAnsi="Times New Roman" w:eastAsia="Times New Roman" w:cs="Times New Roman"/>
                <w:color w:val="auto"/>
                <w:spacing w:val="-1"/>
                <w:highlight w:val="none"/>
              </w:rPr>
              <w:t xml:space="preserve">20 </w:t>
            </w:r>
            <w:r>
              <w:rPr>
                <w:color w:val="auto"/>
                <w:spacing w:val="-1"/>
                <w:highlight w:val="none"/>
              </w:rPr>
              <w:t>家时，推荐</w:t>
            </w:r>
            <w:r>
              <w:rPr>
                <w:color w:val="auto"/>
                <w:spacing w:val="102"/>
                <w:highlight w:val="none"/>
                <w:u w:val="single" w:color="auto"/>
              </w:rPr>
              <w:t xml:space="preserve"> </w:t>
            </w:r>
            <w:r>
              <w:rPr>
                <w:color w:val="auto"/>
                <w:highlight w:val="none"/>
              </w:rPr>
              <w:t xml:space="preserve"> </w:t>
            </w:r>
            <w:r>
              <w:rPr>
                <w:color w:val="auto"/>
                <w:spacing w:val="-1"/>
                <w:highlight w:val="none"/>
              </w:rPr>
              <w:t>家中标候选人；通过初步评审投标人的数量大于</w:t>
            </w:r>
            <w:r>
              <w:rPr>
                <w:color w:val="auto"/>
                <w:spacing w:val="-39"/>
                <w:highlight w:val="none"/>
              </w:rPr>
              <w:t xml:space="preserve"> </w:t>
            </w:r>
            <w:r>
              <w:rPr>
                <w:rFonts w:ascii="Times New Roman" w:hAnsi="Times New Roman" w:eastAsia="Times New Roman" w:cs="Times New Roman"/>
                <w:color w:val="auto"/>
                <w:spacing w:val="-1"/>
                <w:highlight w:val="none"/>
              </w:rPr>
              <w:t xml:space="preserve">20 </w:t>
            </w:r>
            <w:r>
              <w:rPr>
                <w:color w:val="auto"/>
                <w:spacing w:val="-1"/>
                <w:highlight w:val="none"/>
              </w:rPr>
              <w:t>家</w:t>
            </w:r>
          </w:p>
          <w:p w14:paraId="006FDB8C">
            <w:pPr>
              <w:pStyle w:val="11"/>
              <w:spacing w:before="70" w:line="220" w:lineRule="auto"/>
              <w:ind w:left="121"/>
              <w:rPr>
                <w:color w:val="auto"/>
                <w:highlight w:val="none"/>
              </w:rPr>
            </w:pPr>
            <w:r>
              <w:rPr>
                <w:color w:val="auto"/>
                <w:spacing w:val="-4"/>
                <w:highlight w:val="none"/>
              </w:rPr>
              <w:t>时，推荐</w:t>
            </w:r>
            <w:r>
              <w:rPr>
                <w:color w:val="auto"/>
                <w:spacing w:val="-102"/>
                <w:highlight w:val="none"/>
              </w:rPr>
              <w:t xml:space="preserve"> </w:t>
            </w:r>
            <w:r>
              <w:rPr>
                <w:color w:val="auto"/>
                <w:spacing w:val="51"/>
                <w:highlight w:val="none"/>
                <w:u w:val="single" w:color="auto"/>
              </w:rPr>
              <w:t xml:space="preserve">  </w:t>
            </w:r>
            <w:r>
              <w:rPr>
                <w:color w:val="auto"/>
                <w:spacing w:val="-95"/>
                <w:highlight w:val="none"/>
              </w:rPr>
              <w:t xml:space="preserve"> </w:t>
            </w:r>
            <w:r>
              <w:rPr>
                <w:color w:val="auto"/>
                <w:spacing w:val="-4"/>
                <w:highlight w:val="none"/>
              </w:rPr>
              <w:t>家中标候选人。</w:t>
            </w:r>
          </w:p>
          <w:p w14:paraId="5D10841B">
            <w:pPr>
              <w:pStyle w:val="11"/>
              <w:spacing w:before="67" w:line="246" w:lineRule="auto"/>
              <w:ind w:left="114" w:right="112" w:firstLine="419"/>
              <w:rPr>
                <w:color w:val="auto"/>
                <w:highlight w:val="none"/>
              </w:rPr>
            </w:pPr>
            <w:r>
              <w:rPr>
                <w:color w:val="auto"/>
                <w:spacing w:val="8"/>
                <w:highlight w:val="none"/>
              </w:rPr>
              <w:t>招标人组建定标委员会按照定标办法要求进行</w:t>
            </w:r>
            <w:r>
              <w:rPr>
                <w:color w:val="auto"/>
                <w:spacing w:val="7"/>
                <w:highlight w:val="none"/>
              </w:rPr>
              <w:t>，关</w:t>
            </w:r>
            <w:r>
              <w:rPr>
                <w:color w:val="auto"/>
                <w:highlight w:val="none"/>
              </w:rPr>
              <w:t xml:space="preserve"> </w:t>
            </w:r>
            <w:r>
              <w:rPr>
                <w:color w:val="auto"/>
                <w:spacing w:val="-1"/>
                <w:highlight w:val="none"/>
              </w:rPr>
              <w:t>于定标办法和规则的详细说明见第三章“定标办法”。</w:t>
            </w:r>
          </w:p>
        </w:tc>
      </w:tr>
      <w:tr w14:paraId="6DD82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1" w:hRule="atLeast"/>
        </w:trPr>
        <w:tc>
          <w:tcPr>
            <w:tcW w:w="854" w:type="dxa"/>
            <w:vAlign w:val="top"/>
          </w:tcPr>
          <w:p w14:paraId="6DDE6AAC">
            <w:pPr>
              <w:spacing w:line="294" w:lineRule="auto"/>
              <w:rPr>
                <w:rFonts w:ascii="Arial"/>
                <w:color w:val="auto"/>
                <w:sz w:val="21"/>
                <w:highlight w:val="none"/>
              </w:rPr>
            </w:pPr>
          </w:p>
          <w:p w14:paraId="3EE1D35D">
            <w:pPr>
              <w:spacing w:line="295" w:lineRule="auto"/>
              <w:rPr>
                <w:rFonts w:ascii="Arial"/>
                <w:color w:val="auto"/>
                <w:sz w:val="21"/>
                <w:highlight w:val="none"/>
              </w:rPr>
            </w:pPr>
          </w:p>
          <w:p w14:paraId="29667F8C">
            <w:pPr>
              <w:spacing w:before="60" w:line="189" w:lineRule="auto"/>
              <w:ind w:left="219"/>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7.3.1</w:t>
            </w:r>
          </w:p>
        </w:tc>
        <w:tc>
          <w:tcPr>
            <w:tcW w:w="2121" w:type="dxa"/>
            <w:vAlign w:val="top"/>
          </w:tcPr>
          <w:p w14:paraId="7A9FF52C">
            <w:pPr>
              <w:spacing w:line="272" w:lineRule="auto"/>
              <w:rPr>
                <w:rFonts w:ascii="Arial"/>
                <w:color w:val="auto"/>
                <w:sz w:val="21"/>
                <w:highlight w:val="none"/>
              </w:rPr>
            </w:pPr>
          </w:p>
          <w:p w14:paraId="2927472F">
            <w:pPr>
              <w:spacing w:line="273" w:lineRule="auto"/>
              <w:rPr>
                <w:rFonts w:ascii="Arial"/>
                <w:color w:val="auto"/>
                <w:sz w:val="21"/>
                <w:highlight w:val="none"/>
              </w:rPr>
            </w:pPr>
          </w:p>
          <w:p w14:paraId="5212B22A">
            <w:pPr>
              <w:pStyle w:val="11"/>
              <w:spacing w:before="68" w:line="221" w:lineRule="auto"/>
              <w:ind w:left="545"/>
              <w:rPr>
                <w:color w:val="auto"/>
                <w:highlight w:val="none"/>
              </w:rPr>
            </w:pPr>
            <w:r>
              <w:rPr>
                <w:color w:val="auto"/>
                <w:spacing w:val="-2"/>
                <w:highlight w:val="none"/>
              </w:rPr>
              <w:t>履约保证金</w:t>
            </w:r>
          </w:p>
        </w:tc>
        <w:tc>
          <w:tcPr>
            <w:tcW w:w="5447" w:type="dxa"/>
            <w:vAlign w:val="top"/>
          </w:tcPr>
          <w:p w14:paraId="2BB0290A">
            <w:pPr>
              <w:pStyle w:val="11"/>
              <w:spacing w:before="137" w:line="221" w:lineRule="auto"/>
              <w:ind w:left="132"/>
              <w:rPr>
                <w:color w:val="auto"/>
                <w:highlight w:val="none"/>
              </w:rPr>
            </w:pPr>
            <w:r>
              <w:rPr>
                <w:color w:val="auto"/>
                <w:spacing w:val="-5"/>
                <w:highlight w:val="none"/>
              </w:rPr>
              <w:sym w:font="Wingdings 2" w:char="0052"/>
            </w:r>
            <w:r>
              <w:rPr>
                <w:color w:val="auto"/>
                <w:spacing w:val="-5"/>
                <w:highlight w:val="none"/>
              </w:rPr>
              <w:t>不提交</w:t>
            </w:r>
          </w:p>
          <w:p w14:paraId="7CB1CC56">
            <w:pPr>
              <w:pStyle w:val="11"/>
              <w:spacing w:before="65" w:line="221" w:lineRule="auto"/>
              <w:ind w:left="132"/>
              <w:rPr>
                <w:color w:val="auto"/>
                <w:highlight w:val="none"/>
              </w:rPr>
            </w:pPr>
            <w:r>
              <w:rPr>
                <w:color w:val="auto"/>
                <w:spacing w:val="-5"/>
                <w:highlight w:val="none"/>
              </w:rPr>
              <w:t>□提交，履约保证金的形式：</w:t>
            </w:r>
          </w:p>
          <w:p w14:paraId="5E95BA5C">
            <w:pPr>
              <w:pStyle w:val="11"/>
              <w:spacing w:before="69" w:line="258" w:lineRule="auto"/>
              <w:ind w:left="114" w:right="109" w:firstLine="858"/>
              <w:rPr>
                <w:rFonts w:ascii="Times New Roman" w:hAnsi="Times New Roman" w:eastAsia="Times New Roman" w:cs="Times New Roman"/>
                <w:color w:val="auto"/>
                <w:highlight w:val="none"/>
              </w:rPr>
            </w:pPr>
            <w:r>
              <w:rPr>
                <w:color w:val="auto"/>
                <w:spacing w:val="-10"/>
                <w:highlight w:val="none"/>
              </w:rPr>
              <w:t>□现金</w:t>
            </w:r>
            <w:r>
              <w:rPr>
                <w:color w:val="auto"/>
                <w:spacing w:val="12"/>
                <w:highlight w:val="none"/>
              </w:rPr>
              <w:t xml:space="preserve">   </w:t>
            </w:r>
            <w:r>
              <w:rPr>
                <w:color w:val="auto"/>
                <w:spacing w:val="-10"/>
                <w:highlight w:val="none"/>
              </w:rPr>
              <w:t>□保函（保险）</w:t>
            </w:r>
            <w:r>
              <w:rPr>
                <w:color w:val="auto"/>
                <w:spacing w:val="37"/>
                <w:highlight w:val="none"/>
              </w:rPr>
              <w:t xml:space="preserve"> </w:t>
            </w:r>
            <w:r>
              <w:rPr>
                <w:color w:val="auto"/>
                <w:spacing w:val="-10"/>
                <w:highlight w:val="none"/>
              </w:rPr>
              <w:t>□其他形式</w:t>
            </w:r>
            <w:r>
              <w:rPr>
                <w:color w:val="auto"/>
                <w:spacing w:val="-52"/>
                <w:highlight w:val="none"/>
              </w:rPr>
              <w:t xml:space="preserve"> </w:t>
            </w:r>
            <w:r>
              <w:rPr>
                <w:color w:val="auto"/>
                <w:spacing w:val="10"/>
                <w:highlight w:val="none"/>
                <w:u w:val="single" w:color="auto"/>
              </w:rPr>
              <w:t xml:space="preserve">       </w:t>
            </w:r>
            <w:r>
              <w:rPr>
                <w:color w:val="auto"/>
                <w:spacing w:val="6"/>
                <w:highlight w:val="none"/>
              </w:rPr>
              <w:t xml:space="preserve"> </w:t>
            </w:r>
            <w:r>
              <w:rPr>
                <w:color w:val="auto"/>
                <w:spacing w:val="-8"/>
                <w:highlight w:val="none"/>
              </w:rPr>
              <w:t>履约保证金的金额： 合同总价的</w:t>
            </w:r>
            <w:r>
              <w:rPr>
                <w:color w:val="auto"/>
                <w:spacing w:val="-92"/>
                <w:highlight w:val="none"/>
              </w:rPr>
              <w:t xml:space="preserve"> </w:t>
            </w:r>
            <w:r>
              <w:rPr>
                <w:color w:val="auto"/>
                <w:highlight w:val="none"/>
                <w:u w:val="single" w:color="auto"/>
              </w:rPr>
              <w:t xml:space="preserve">     </w:t>
            </w:r>
            <w:r>
              <w:rPr>
                <w:color w:val="auto"/>
                <w:spacing w:val="-46"/>
                <w:highlight w:val="none"/>
              </w:rPr>
              <w:t xml:space="preserve"> </w:t>
            </w:r>
            <w:r>
              <w:rPr>
                <w:rFonts w:ascii="Times New Roman" w:hAnsi="Times New Roman" w:eastAsia="Times New Roman" w:cs="Times New Roman"/>
                <w:color w:val="auto"/>
                <w:spacing w:val="-8"/>
                <w:highlight w:val="none"/>
              </w:rPr>
              <w:t>%</w:t>
            </w:r>
          </w:p>
        </w:tc>
      </w:tr>
      <w:tr w14:paraId="6D775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1" w:hRule="atLeast"/>
        </w:trPr>
        <w:tc>
          <w:tcPr>
            <w:tcW w:w="854" w:type="dxa"/>
            <w:vAlign w:val="top"/>
          </w:tcPr>
          <w:p w14:paraId="14AB490F">
            <w:pPr>
              <w:spacing w:line="251" w:lineRule="auto"/>
              <w:rPr>
                <w:rFonts w:ascii="Arial"/>
                <w:color w:val="auto"/>
                <w:sz w:val="21"/>
                <w:highlight w:val="none"/>
              </w:rPr>
            </w:pPr>
          </w:p>
          <w:p w14:paraId="0B8D1105">
            <w:pPr>
              <w:spacing w:line="251" w:lineRule="auto"/>
              <w:rPr>
                <w:rFonts w:ascii="Arial"/>
                <w:color w:val="auto"/>
                <w:sz w:val="21"/>
                <w:highlight w:val="none"/>
              </w:rPr>
            </w:pPr>
          </w:p>
          <w:p w14:paraId="20B2058E">
            <w:pPr>
              <w:spacing w:line="251" w:lineRule="auto"/>
              <w:rPr>
                <w:rFonts w:ascii="Arial"/>
                <w:color w:val="auto"/>
                <w:sz w:val="21"/>
                <w:highlight w:val="none"/>
              </w:rPr>
            </w:pPr>
          </w:p>
          <w:p w14:paraId="0BA88A2A">
            <w:pPr>
              <w:spacing w:line="252" w:lineRule="auto"/>
              <w:rPr>
                <w:rFonts w:ascii="Arial"/>
                <w:color w:val="auto"/>
                <w:sz w:val="21"/>
                <w:highlight w:val="none"/>
              </w:rPr>
            </w:pPr>
          </w:p>
          <w:p w14:paraId="5477AF91">
            <w:pPr>
              <w:spacing w:before="60" w:line="189" w:lineRule="auto"/>
              <w:ind w:left="29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9.5</w:t>
            </w:r>
          </w:p>
        </w:tc>
        <w:tc>
          <w:tcPr>
            <w:tcW w:w="2121" w:type="dxa"/>
            <w:vAlign w:val="top"/>
          </w:tcPr>
          <w:p w14:paraId="3C8A7AE1">
            <w:pPr>
              <w:rPr>
                <w:rFonts w:ascii="Arial"/>
                <w:color w:val="auto"/>
                <w:sz w:val="21"/>
                <w:highlight w:val="none"/>
              </w:rPr>
            </w:pPr>
          </w:p>
          <w:p w14:paraId="7A013DFC">
            <w:pPr>
              <w:rPr>
                <w:rFonts w:ascii="Arial"/>
                <w:color w:val="auto"/>
                <w:sz w:val="21"/>
                <w:highlight w:val="none"/>
              </w:rPr>
            </w:pPr>
          </w:p>
          <w:p w14:paraId="39CB3549">
            <w:pPr>
              <w:rPr>
                <w:rFonts w:ascii="Arial"/>
                <w:color w:val="auto"/>
                <w:sz w:val="21"/>
                <w:highlight w:val="none"/>
              </w:rPr>
            </w:pPr>
          </w:p>
          <w:p w14:paraId="1C539451">
            <w:pPr>
              <w:rPr>
                <w:rFonts w:ascii="Arial"/>
                <w:color w:val="auto"/>
                <w:sz w:val="21"/>
                <w:highlight w:val="none"/>
              </w:rPr>
            </w:pPr>
          </w:p>
          <w:p w14:paraId="6214E4FD">
            <w:pPr>
              <w:pStyle w:val="11"/>
              <w:spacing w:before="68" w:line="221" w:lineRule="auto"/>
              <w:ind w:left="439"/>
              <w:rPr>
                <w:color w:val="auto"/>
                <w:highlight w:val="none"/>
              </w:rPr>
            </w:pPr>
            <w:r>
              <w:rPr>
                <w:color w:val="auto"/>
                <w:spacing w:val="-1"/>
                <w:highlight w:val="none"/>
              </w:rPr>
              <w:t>行政监督部门</w:t>
            </w:r>
          </w:p>
        </w:tc>
        <w:tc>
          <w:tcPr>
            <w:tcW w:w="5447" w:type="dxa"/>
            <w:vAlign w:val="top"/>
          </w:tcPr>
          <w:p w14:paraId="22D90258">
            <w:pPr>
              <w:pStyle w:val="11"/>
              <w:spacing w:before="74" w:line="223" w:lineRule="auto"/>
              <w:ind w:left="113"/>
              <w:rPr>
                <w:rFonts w:ascii="宋体" w:hAnsi="宋体" w:eastAsia="宋体" w:cs="宋体"/>
                <w:color w:val="auto"/>
                <w:spacing w:val="3"/>
                <w:highlight w:val="none"/>
              </w:rPr>
            </w:pPr>
            <w:r>
              <w:rPr>
                <w:rFonts w:ascii="宋体" w:hAnsi="宋体" w:eastAsia="宋体" w:cs="宋体"/>
                <w:color w:val="auto"/>
                <w:spacing w:val="3"/>
                <w:highlight w:val="none"/>
              </w:rPr>
              <w:t xml:space="preserve">名    称： 营口市城乡建设与公用事业中心 </w:t>
            </w:r>
          </w:p>
          <w:p w14:paraId="7BF423AD">
            <w:pPr>
              <w:pStyle w:val="11"/>
              <w:spacing w:before="74" w:line="223" w:lineRule="auto"/>
              <w:ind w:left="113"/>
              <w:rPr>
                <w:rFonts w:ascii="宋体" w:hAnsi="宋体" w:eastAsia="宋体" w:cs="宋体"/>
                <w:color w:val="auto"/>
                <w:spacing w:val="3"/>
                <w:highlight w:val="none"/>
              </w:rPr>
            </w:pPr>
            <w:r>
              <w:rPr>
                <w:rFonts w:ascii="宋体" w:hAnsi="宋体" w:eastAsia="宋体" w:cs="宋体"/>
                <w:color w:val="auto"/>
                <w:spacing w:val="3"/>
                <w:highlight w:val="none"/>
              </w:rPr>
              <w:t xml:space="preserve">地    址： 辽宁省营口市          </w:t>
            </w:r>
          </w:p>
          <w:p w14:paraId="362E7F88">
            <w:pPr>
              <w:pStyle w:val="11"/>
              <w:spacing w:before="74" w:line="223" w:lineRule="auto"/>
              <w:ind w:left="113"/>
              <w:rPr>
                <w:rFonts w:ascii="宋体" w:hAnsi="宋体" w:eastAsia="宋体" w:cs="宋体"/>
                <w:color w:val="auto"/>
                <w:spacing w:val="3"/>
                <w:highlight w:val="none"/>
              </w:rPr>
            </w:pPr>
            <w:r>
              <w:rPr>
                <w:rFonts w:ascii="宋体" w:hAnsi="宋体" w:eastAsia="宋体" w:cs="宋体"/>
                <w:color w:val="auto"/>
                <w:spacing w:val="3"/>
                <w:highlight w:val="none"/>
              </w:rPr>
              <w:t xml:space="preserve">电    话： 0417-2657306          </w:t>
            </w:r>
          </w:p>
          <w:p w14:paraId="07384DEB">
            <w:pPr>
              <w:pStyle w:val="11"/>
              <w:spacing w:before="74" w:line="223" w:lineRule="auto"/>
              <w:ind w:left="113"/>
              <w:rPr>
                <w:rFonts w:ascii="宋体" w:hAnsi="宋体" w:eastAsia="宋体" w:cs="宋体"/>
                <w:color w:val="auto"/>
                <w:spacing w:val="3"/>
                <w:highlight w:val="none"/>
              </w:rPr>
            </w:pPr>
            <w:r>
              <w:rPr>
                <w:rFonts w:ascii="宋体" w:hAnsi="宋体" w:eastAsia="宋体" w:cs="宋体"/>
                <w:color w:val="auto"/>
                <w:spacing w:val="3"/>
                <w:highlight w:val="none"/>
              </w:rPr>
              <w:t xml:space="preserve">传    真：           </w:t>
            </w:r>
          </w:p>
          <w:p w14:paraId="4CFDA745">
            <w:pPr>
              <w:pStyle w:val="11"/>
              <w:spacing w:before="74" w:line="223" w:lineRule="auto"/>
              <w:ind w:left="113"/>
              <w:rPr>
                <w:rFonts w:ascii="宋体" w:hAnsi="宋体" w:eastAsia="宋体" w:cs="宋体"/>
                <w:color w:val="auto"/>
                <w:spacing w:val="3"/>
                <w:highlight w:val="none"/>
              </w:rPr>
            </w:pPr>
            <w:r>
              <w:rPr>
                <w:rFonts w:ascii="宋体" w:hAnsi="宋体" w:eastAsia="宋体" w:cs="宋体"/>
                <w:color w:val="auto"/>
                <w:spacing w:val="3"/>
                <w:highlight w:val="none"/>
              </w:rPr>
              <w:t xml:space="preserve">邮政编码：           </w:t>
            </w:r>
          </w:p>
          <w:p w14:paraId="36583766">
            <w:pPr>
              <w:pStyle w:val="11"/>
              <w:spacing w:before="71" w:line="243" w:lineRule="auto"/>
              <w:ind w:left="114" w:right="116" w:hanging="1"/>
              <w:rPr>
                <w:color w:val="auto"/>
                <w:highlight w:val="none"/>
              </w:rPr>
            </w:pPr>
            <w:r>
              <w:rPr>
                <w:color w:val="auto"/>
                <w:spacing w:val="7"/>
                <w:highlight w:val="none"/>
              </w:rPr>
              <w:t>异议投诉渠道：辽宁省工程建设项目招标投标异议投诉</w:t>
            </w:r>
            <w:r>
              <w:rPr>
                <w:color w:val="auto"/>
                <w:spacing w:val="2"/>
                <w:highlight w:val="none"/>
              </w:rPr>
              <w:t xml:space="preserve"> </w:t>
            </w:r>
            <w:r>
              <w:rPr>
                <w:color w:val="auto"/>
                <w:spacing w:val="-2"/>
                <w:highlight w:val="none"/>
              </w:rPr>
              <w:t>处理系统</w:t>
            </w:r>
          </w:p>
        </w:tc>
      </w:tr>
      <w:tr w14:paraId="661DE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54" w:type="dxa"/>
            <w:vAlign w:val="top"/>
          </w:tcPr>
          <w:p w14:paraId="2B173075">
            <w:pPr>
              <w:spacing w:before="270" w:line="189" w:lineRule="auto"/>
              <w:ind w:left="341"/>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2"/>
                <w:sz w:val="21"/>
                <w:szCs w:val="21"/>
                <w:highlight w:val="none"/>
              </w:rPr>
              <w:t>10</w:t>
            </w:r>
          </w:p>
        </w:tc>
        <w:tc>
          <w:tcPr>
            <w:tcW w:w="7568" w:type="dxa"/>
            <w:gridSpan w:val="2"/>
            <w:vAlign w:val="top"/>
          </w:tcPr>
          <w:p w14:paraId="51AE22BF">
            <w:pPr>
              <w:pStyle w:val="11"/>
              <w:spacing w:before="233" w:line="221" w:lineRule="auto"/>
              <w:ind w:left="126"/>
              <w:rPr>
                <w:color w:val="auto"/>
                <w:highlight w:val="none"/>
              </w:rPr>
            </w:pPr>
            <w:r>
              <w:rPr>
                <w:color w:val="auto"/>
                <w:spacing w:val="-1"/>
                <w:highlight w:val="none"/>
                <w14:textOutline w14:w="3831" w14:cap="flat" w14:cmpd="sng">
                  <w14:solidFill>
                    <w14:srgbClr w14:val="000000"/>
                  </w14:solidFill>
                  <w14:prstDash w14:val="solid"/>
                  <w14:miter w14:val="0"/>
                </w14:textOutline>
              </w:rPr>
              <w:t>需要补充的其他内容</w:t>
            </w:r>
          </w:p>
        </w:tc>
      </w:tr>
      <w:tr w14:paraId="46276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854" w:type="dxa"/>
            <w:vAlign w:val="top"/>
          </w:tcPr>
          <w:p w14:paraId="5D9E8E3F">
            <w:pPr>
              <w:spacing w:before="117" w:line="189" w:lineRule="auto"/>
              <w:ind w:left="26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6"/>
                <w:sz w:val="21"/>
                <w:szCs w:val="21"/>
                <w:highlight w:val="none"/>
              </w:rPr>
              <w:t>10.1</w:t>
            </w:r>
          </w:p>
        </w:tc>
        <w:tc>
          <w:tcPr>
            <w:tcW w:w="7568" w:type="dxa"/>
            <w:gridSpan w:val="2"/>
            <w:vAlign w:val="top"/>
          </w:tcPr>
          <w:p w14:paraId="265B9D24">
            <w:pPr>
              <w:pStyle w:val="11"/>
              <w:spacing w:before="81" w:line="206" w:lineRule="auto"/>
              <w:ind w:left="116"/>
              <w:rPr>
                <w:color w:val="auto"/>
                <w:highlight w:val="none"/>
              </w:rPr>
            </w:pPr>
            <w:r>
              <w:rPr>
                <w:color w:val="auto"/>
                <w:spacing w:val="-1"/>
                <w:highlight w:val="none"/>
                <w14:textOutline w14:w="3831" w14:cap="flat" w14:cmpd="sng">
                  <w14:solidFill>
                    <w14:srgbClr w14:val="000000"/>
                  </w14:solidFill>
                  <w14:prstDash w14:val="solid"/>
                  <w14:miter w14:val="0"/>
                </w14:textOutline>
              </w:rPr>
              <w:t>词语定义</w:t>
            </w:r>
          </w:p>
        </w:tc>
      </w:tr>
      <w:tr w14:paraId="3F80F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4" w:hRule="atLeast"/>
        </w:trPr>
        <w:tc>
          <w:tcPr>
            <w:tcW w:w="854" w:type="dxa"/>
            <w:vAlign w:val="top"/>
          </w:tcPr>
          <w:p w14:paraId="6CF13C5D">
            <w:pPr>
              <w:spacing w:line="265" w:lineRule="auto"/>
              <w:rPr>
                <w:rFonts w:ascii="Arial"/>
                <w:color w:val="auto"/>
                <w:sz w:val="21"/>
                <w:highlight w:val="none"/>
              </w:rPr>
            </w:pPr>
          </w:p>
          <w:p w14:paraId="64F36A28">
            <w:pPr>
              <w:spacing w:line="265" w:lineRule="auto"/>
              <w:rPr>
                <w:rFonts w:ascii="Arial"/>
                <w:color w:val="auto"/>
                <w:sz w:val="21"/>
                <w:highlight w:val="none"/>
              </w:rPr>
            </w:pPr>
          </w:p>
          <w:p w14:paraId="679064B6">
            <w:pPr>
              <w:spacing w:line="265" w:lineRule="auto"/>
              <w:rPr>
                <w:rFonts w:ascii="Arial"/>
                <w:color w:val="auto"/>
                <w:sz w:val="21"/>
                <w:highlight w:val="none"/>
              </w:rPr>
            </w:pPr>
          </w:p>
          <w:p w14:paraId="18777C7E">
            <w:pPr>
              <w:spacing w:line="265" w:lineRule="auto"/>
              <w:rPr>
                <w:rFonts w:ascii="Arial"/>
                <w:color w:val="auto"/>
                <w:sz w:val="21"/>
                <w:highlight w:val="none"/>
              </w:rPr>
            </w:pPr>
          </w:p>
          <w:p w14:paraId="170CCCD2">
            <w:pPr>
              <w:spacing w:line="266" w:lineRule="auto"/>
              <w:rPr>
                <w:rFonts w:ascii="Arial"/>
                <w:color w:val="auto"/>
                <w:sz w:val="21"/>
                <w:highlight w:val="none"/>
              </w:rPr>
            </w:pPr>
          </w:p>
          <w:p w14:paraId="5099AF49">
            <w:pPr>
              <w:spacing w:before="61" w:line="189" w:lineRule="auto"/>
              <w:ind w:left="183"/>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10.1.1</w:t>
            </w:r>
          </w:p>
        </w:tc>
        <w:tc>
          <w:tcPr>
            <w:tcW w:w="2121" w:type="dxa"/>
            <w:vAlign w:val="top"/>
          </w:tcPr>
          <w:p w14:paraId="14417640">
            <w:pPr>
              <w:spacing w:line="256" w:lineRule="auto"/>
              <w:rPr>
                <w:rFonts w:ascii="Arial"/>
                <w:color w:val="auto"/>
                <w:sz w:val="21"/>
                <w:highlight w:val="none"/>
              </w:rPr>
            </w:pPr>
          </w:p>
          <w:p w14:paraId="73DA5CF8">
            <w:pPr>
              <w:spacing w:line="256" w:lineRule="auto"/>
              <w:rPr>
                <w:rFonts w:ascii="Arial"/>
                <w:color w:val="auto"/>
                <w:sz w:val="21"/>
                <w:highlight w:val="none"/>
              </w:rPr>
            </w:pPr>
          </w:p>
          <w:p w14:paraId="553C30B1">
            <w:pPr>
              <w:spacing w:line="256" w:lineRule="auto"/>
              <w:rPr>
                <w:rFonts w:ascii="Arial"/>
                <w:color w:val="auto"/>
                <w:sz w:val="21"/>
                <w:highlight w:val="none"/>
              </w:rPr>
            </w:pPr>
          </w:p>
          <w:p w14:paraId="0DB59369">
            <w:pPr>
              <w:spacing w:line="257" w:lineRule="auto"/>
              <w:rPr>
                <w:rFonts w:ascii="Arial"/>
                <w:color w:val="auto"/>
                <w:sz w:val="21"/>
                <w:highlight w:val="none"/>
              </w:rPr>
            </w:pPr>
          </w:p>
          <w:p w14:paraId="7009A212">
            <w:pPr>
              <w:spacing w:line="257" w:lineRule="auto"/>
              <w:rPr>
                <w:rFonts w:ascii="Arial"/>
                <w:color w:val="auto"/>
                <w:sz w:val="21"/>
                <w:highlight w:val="none"/>
              </w:rPr>
            </w:pPr>
          </w:p>
          <w:p w14:paraId="6417489F">
            <w:pPr>
              <w:pStyle w:val="11"/>
              <w:spacing w:before="68" w:line="221" w:lineRule="auto"/>
              <w:ind w:left="647"/>
              <w:rPr>
                <w:color w:val="auto"/>
                <w:highlight w:val="none"/>
              </w:rPr>
            </w:pPr>
            <w:r>
              <w:rPr>
                <w:color w:val="auto"/>
                <w:spacing w:val="-1"/>
                <w:highlight w:val="none"/>
              </w:rPr>
              <w:t>类似项目</w:t>
            </w:r>
          </w:p>
        </w:tc>
        <w:tc>
          <w:tcPr>
            <w:tcW w:w="5447" w:type="dxa"/>
            <w:vAlign w:val="top"/>
          </w:tcPr>
          <w:p w14:paraId="2747AEE8">
            <w:pPr>
              <w:pStyle w:val="11"/>
              <w:spacing w:before="75" w:line="252" w:lineRule="auto"/>
              <w:ind w:left="114" w:right="110" w:firstLine="2"/>
              <w:rPr>
                <w:color w:val="auto"/>
                <w:highlight w:val="none"/>
              </w:rPr>
            </w:pPr>
            <w:r>
              <w:rPr>
                <w:color w:val="auto"/>
                <w:spacing w:val="-2"/>
                <w:highlight w:val="none"/>
              </w:rPr>
              <w:t>（</w:t>
            </w:r>
            <w:r>
              <w:rPr>
                <w:rFonts w:ascii="Times New Roman" w:hAnsi="Times New Roman" w:eastAsia="Times New Roman" w:cs="Times New Roman"/>
                <w:color w:val="auto"/>
                <w:spacing w:val="-2"/>
                <w:highlight w:val="none"/>
              </w:rPr>
              <w:t>1</w:t>
            </w:r>
            <w:r>
              <w:rPr>
                <w:color w:val="auto"/>
                <w:spacing w:val="-2"/>
                <w:highlight w:val="none"/>
              </w:rPr>
              <w:t>）类似项目指</w:t>
            </w:r>
            <w:r>
              <w:rPr>
                <w:rFonts w:hint="eastAsia"/>
                <w:color w:val="auto"/>
                <w:spacing w:val="2"/>
                <w:highlight w:val="none"/>
                <w:u w:val="single" w:color="auto"/>
                <w:lang w:val="en-US" w:eastAsia="zh-CN"/>
              </w:rPr>
              <w:t>装饰装修</w:t>
            </w:r>
            <w:r>
              <w:rPr>
                <w:color w:val="auto"/>
                <w:spacing w:val="-2"/>
                <w:highlight w:val="none"/>
              </w:rPr>
              <w:t>工程，且</w:t>
            </w:r>
            <w:r>
              <w:rPr>
                <w:color w:val="auto"/>
                <w:spacing w:val="-3"/>
                <w:highlight w:val="none"/>
              </w:rPr>
              <w:t>项目已完成工程竣工验收。</w:t>
            </w:r>
          </w:p>
          <w:p w14:paraId="4393E42D">
            <w:pPr>
              <w:pStyle w:val="11"/>
              <w:spacing w:before="70" w:line="221" w:lineRule="auto"/>
              <w:ind w:left="117"/>
              <w:rPr>
                <w:color w:val="auto"/>
                <w:highlight w:val="none"/>
              </w:rPr>
            </w:pPr>
            <w:r>
              <w:rPr>
                <w:color w:val="auto"/>
                <w:spacing w:val="-5"/>
                <w:highlight w:val="none"/>
              </w:rPr>
              <w:t>（</w:t>
            </w:r>
            <w:r>
              <w:rPr>
                <w:rFonts w:ascii="Times New Roman" w:hAnsi="Times New Roman" w:eastAsia="Times New Roman" w:cs="Times New Roman"/>
                <w:color w:val="auto"/>
                <w:spacing w:val="-5"/>
                <w:highlight w:val="none"/>
              </w:rPr>
              <w:t>2</w:t>
            </w:r>
            <w:r>
              <w:rPr>
                <w:color w:val="auto"/>
                <w:spacing w:val="-5"/>
                <w:highlight w:val="none"/>
              </w:rPr>
              <w:t>）类似项目时间：</w:t>
            </w:r>
          </w:p>
          <w:p w14:paraId="5D394571">
            <w:pPr>
              <w:pStyle w:val="11"/>
              <w:spacing w:before="24" w:line="210" w:lineRule="auto"/>
              <w:ind w:left="764"/>
              <w:rPr>
                <w:color w:val="auto"/>
                <w:highlight w:val="none"/>
              </w:rPr>
            </w:pPr>
            <w:r>
              <w:rPr>
                <w:rFonts w:ascii="Times New Roman" w:hAnsi="Times New Roman" w:eastAsia="Times New Roman" w:cs="Times New Roman"/>
                <w:color w:val="auto"/>
                <w:spacing w:val="-2"/>
                <w:sz w:val="32"/>
                <w:szCs w:val="32"/>
                <w:highlight w:val="none"/>
              </w:rPr>
              <w:t>□</w:t>
            </w:r>
            <w:r>
              <w:rPr>
                <w:color w:val="auto"/>
                <w:spacing w:val="-2"/>
                <w:highlight w:val="none"/>
              </w:rPr>
              <w:t>合同签订时间为准</w:t>
            </w:r>
          </w:p>
          <w:p w14:paraId="14E9BF41">
            <w:pPr>
              <w:pStyle w:val="11"/>
              <w:spacing w:before="1" w:line="221" w:lineRule="auto"/>
              <w:ind w:left="764"/>
              <w:rPr>
                <w:color w:val="auto"/>
                <w:highlight w:val="none"/>
              </w:rPr>
            </w:pPr>
            <w:r>
              <w:rPr>
                <w:rFonts w:ascii="Times New Roman" w:hAnsi="Times New Roman" w:eastAsia="Times New Roman" w:cs="Times New Roman"/>
                <w:color w:val="auto"/>
                <w:spacing w:val="-2"/>
                <w:sz w:val="32"/>
                <w:szCs w:val="32"/>
                <w:highlight w:val="none"/>
              </w:rPr>
              <w:sym w:font="Wingdings 2" w:char="0052"/>
            </w:r>
            <w:r>
              <w:rPr>
                <w:color w:val="auto"/>
                <w:spacing w:val="-2"/>
                <w:highlight w:val="none"/>
              </w:rPr>
              <w:t>竣工验收时间为准</w:t>
            </w:r>
          </w:p>
          <w:p w14:paraId="2F1443AD">
            <w:pPr>
              <w:pStyle w:val="11"/>
              <w:spacing w:before="22" w:line="242" w:lineRule="auto"/>
              <w:ind w:left="117"/>
              <w:rPr>
                <w:color w:val="auto"/>
                <w:highlight w:val="none"/>
              </w:rPr>
            </w:pPr>
            <w:r>
              <w:rPr>
                <w:color w:val="auto"/>
                <w:spacing w:val="-3"/>
                <w:highlight w:val="none"/>
              </w:rPr>
              <w:t>（</w:t>
            </w:r>
            <w:r>
              <w:rPr>
                <w:rFonts w:ascii="Times New Roman" w:hAnsi="Times New Roman" w:eastAsia="Times New Roman" w:cs="Times New Roman"/>
                <w:color w:val="auto"/>
                <w:spacing w:val="-3"/>
                <w:highlight w:val="none"/>
              </w:rPr>
              <w:t>3</w:t>
            </w:r>
            <w:r>
              <w:rPr>
                <w:color w:val="auto"/>
                <w:spacing w:val="-3"/>
                <w:highlight w:val="none"/>
              </w:rPr>
              <w:t>）类似项目类型</w:t>
            </w:r>
          </w:p>
          <w:p w14:paraId="3CB3DE9E">
            <w:pPr>
              <w:pStyle w:val="11"/>
              <w:spacing w:line="210" w:lineRule="auto"/>
              <w:ind w:left="764"/>
              <w:rPr>
                <w:color w:val="auto"/>
                <w:highlight w:val="none"/>
              </w:rPr>
            </w:pPr>
            <w:r>
              <w:rPr>
                <w:rFonts w:ascii="Times New Roman" w:hAnsi="Times New Roman" w:eastAsia="Times New Roman" w:cs="Times New Roman"/>
                <w:color w:val="auto"/>
                <w:spacing w:val="-22"/>
                <w:sz w:val="32"/>
                <w:szCs w:val="32"/>
                <w:highlight w:val="none"/>
              </w:rPr>
              <w:sym w:font="Wingdings 2" w:char="0052"/>
            </w:r>
            <w:r>
              <w:rPr>
                <w:rFonts w:ascii="Times New Roman" w:hAnsi="Times New Roman" w:eastAsia="Times New Roman" w:cs="Times New Roman"/>
                <w:color w:val="auto"/>
                <w:spacing w:val="-1"/>
                <w:highlight w:val="none"/>
              </w:rPr>
              <w:t xml:space="preserve">A </w:t>
            </w:r>
            <w:r>
              <w:rPr>
                <w:color w:val="auto"/>
                <w:spacing w:val="-1"/>
                <w:highlight w:val="none"/>
              </w:rPr>
              <w:t>类</w:t>
            </w:r>
          </w:p>
          <w:p w14:paraId="072B4966">
            <w:pPr>
              <w:pStyle w:val="11"/>
              <w:spacing w:before="2" w:line="221" w:lineRule="auto"/>
              <w:ind w:left="764"/>
              <w:rPr>
                <w:color w:val="auto"/>
                <w:highlight w:val="none"/>
              </w:rPr>
            </w:pPr>
            <w:r>
              <w:rPr>
                <w:rFonts w:hint="eastAsia" w:ascii="Times New Roman" w:hAnsi="Times New Roman" w:cs="Times New Roman"/>
                <w:color w:val="auto"/>
                <w:spacing w:val="-4"/>
                <w:sz w:val="32"/>
                <w:szCs w:val="32"/>
                <w:highlight w:val="none"/>
                <w:lang w:eastAsia="zh-CN"/>
              </w:rPr>
              <w:t>□</w:t>
            </w:r>
            <w:r>
              <w:rPr>
                <w:rFonts w:ascii="Times New Roman" w:hAnsi="Times New Roman" w:eastAsia="Times New Roman" w:cs="Times New Roman"/>
                <w:color w:val="auto"/>
                <w:spacing w:val="-4"/>
                <w:highlight w:val="none"/>
              </w:rPr>
              <w:t xml:space="preserve">A+B </w:t>
            </w:r>
            <w:r>
              <w:rPr>
                <w:color w:val="auto"/>
                <w:spacing w:val="-4"/>
                <w:highlight w:val="none"/>
              </w:rPr>
              <w:t>类</w:t>
            </w:r>
          </w:p>
          <w:p w14:paraId="6E543496">
            <w:pPr>
              <w:pStyle w:val="11"/>
              <w:spacing w:before="23" w:line="205" w:lineRule="auto"/>
              <w:ind w:left="117"/>
              <w:rPr>
                <w:color w:val="auto"/>
                <w:highlight w:val="none"/>
              </w:rPr>
            </w:pPr>
            <w:r>
              <w:rPr>
                <w:color w:val="auto"/>
                <w:spacing w:val="-21"/>
                <w:highlight w:val="none"/>
              </w:rPr>
              <w:t>（</w:t>
            </w:r>
            <w:r>
              <w:rPr>
                <w:rFonts w:ascii="Times New Roman" w:hAnsi="Times New Roman" w:eastAsia="Times New Roman" w:cs="Times New Roman"/>
                <w:color w:val="auto"/>
                <w:spacing w:val="-21"/>
                <w:highlight w:val="none"/>
              </w:rPr>
              <w:t>4</w:t>
            </w:r>
            <w:r>
              <w:rPr>
                <w:color w:val="auto"/>
                <w:spacing w:val="-21"/>
                <w:highlight w:val="none"/>
              </w:rPr>
              <w:t>）其他：</w:t>
            </w:r>
            <w:r>
              <w:rPr>
                <w:color w:val="auto"/>
                <w:spacing w:val="12"/>
                <w:highlight w:val="none"/>
              </w:rPr>
              <w:t xml:space="preserve"> </w:t>
            </w:r>
            <w:r>
              <w:rPr>
                <w:color w:val="auto"/>
                <w:highlight w:val="none"/>
                <w:u w:val="single" w:color="auto"/>
              </w:rPr>
              <w:t xml:space="preserve"> </w:t>
            </w:r>
            <w:r>
              <w:rPr>
                <w:rFonts w:hint="eastAsia"/>
                <w:color w:val="auto"/>
                <w:highlight w:val="none"/>
                <w:u w:val="single" w:color="auto"/>
                <w:lang w:val="en-US" w:eastAsia="zh-CN"/>
              </w:rPr>
              <w:t>/</w:t>
            </w:r>
            <w:r>
              <w:rPr>
                <w:color w:val="auto"/>
                <w:highlight w:val="none"/>
                <w:u w:val="single" w:color="auto"/>
              </w:rPr>
              <w:t xml:space="preserve">                  </w:t>
            </w:r>
          </w:p>
        </w:tc>
      </w:tr>
      <w:tr w14:paraId="4BF75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trPr>
        <w:tc>
          <w:tcPr>
            <w:tcW w:w="854" w:type="dxa"/>
            <w:vAlign w:val="top"/>
          </w:tcPr>
          <w:p w14:paraId="3D24B354">
            <w:pPr>
              <w:spacing w:line="265" w:lineRule="auto"/>
              <w:rPr>
                <w:rFonts w:ascii="Arial"/>
                <w:color w:val="auto"/>
                <w:sz w:val="21"/>
                <w:highlight w:val="none"/>
              </w:rPr>
            </w:pPr>
          </w:p>
          <w:p w14:paraId="22B35809">
            <w:pPr>
              <w:spacing w:line="266" w:lineRule="auto"/>
              <w:rPr>
                <w:rFonts w:ascii="Arial"/>
                <w:color w:val="auto"/>
                <w:sz w:val="21"/>
                <w:highlight w:val="none"/>
              </w:rPr>
            </w:pPr>
          </w:p>
          <w:p w14:paraId="64B02571">
            <w:pPr>
              <w:spacing w:before="60" w:line="189" w:lineRule="auto"/>
              <w:ind w:left="183"/>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10.1.2</w:t>
            </w:r>
          </w:p>
        </w:tc>
        <w:tc>
          <w:tcPr>
            <w:tcW w:w="2121" w:type="dxa"/>
            <w:vAlign w:val="top"/>
          </w:tcPr>
          <w:p w14:paraId="39542666">
            <w:pPr>
              <w:spacing w:line="243" w:lineRule="auto"/>
              <w:rPr>
                <w:rFonts w:ascii="Arial"/>
                <w:color w:val="auto"/>
                <w:sz w:val="21"/>
                <w:highlight w:val="none"/>
              </w:rPr>
            </w:pPr>
          </w:p>
          <w:p w14:paraId="625D64BD">
            <w:pPr>
              <w:spacing w:line="243" w:lineRule="auto"/>
              <w:rPr>
                <w:rFonts w:ascii="Arial"/>
                <w:color w:val="auto"/>
                <w:sz w:val="21"/>
                <w:highlight w:val="none"/>
              </w:rPr>
            </w:pPr>
          </w:p>
          <w:p w14:paraId="23D67D69">
            <w:pPr>
              <w:pStyle w:val="11"/>
              <w:spacing w:before="69" w:line="220" w:lineRule="auto"/>
              <w:ind w:left="859"/>
              <w:rPr>
                <w:color w:val="auto"/>
                <w:highlight w:val="none"/>
              </w:rPr>
            </w:pPr>
            <w:r>
              <w:rPr>
                <w:color w:val="auto"/>
                <w:spacing w:val="-2"/>
                <w:highlight w:val="none"/>
              </w:rPr>
              <w:t>盖章</w:t>
            </w:r>
          </w:p>
        </w:tc>
        <w:tc>
          <w:tcPr>
            <w:tcW w:w="5447" w:type="dxa"/>
            <w:vAlign w:val="top"/>
          </w:tcPr>
          <w:p w14:paraId="6B408FA2">
            <w:pPr>
              <w:pStyle w:val="11"/>
              <w:spacing w:before="79" w:line="264" w:lineRule="auto"/>
              <w:ind w:left="111" w:right="116"/>
              <w:jc w:val="both"/>
              <w:rPr>
                <w:color w:val="auto"/>
                <w:highlight w:val="none"/>
              </w:rPr>
            </w:pPr>
            <w:r>
              <w:rPr>
                <w:color w:val="auto"/>
                <w:spacing w:val="7"/>
                <w:highlight w:val="none"/>
              </w:rPr>
              <w:t>盖单位章及签章（个人）均为电子签名法所指的电子签</w:t>
            </w:r>
            <w:r>
              <w:rPr>
                <w:color w:val="auto"/>
                <w:spacing w:val="4"/>
                <w:highlight w:val="none"/>
              </w:rPr>
              <w:t xml:space="preserve"> </w:t>
            </w:r>
            <w:r>
              <w:rPr>
                <w:color w:val="auto"/>
                <w:spacing w:val="7"/>
                <w:highlight w:val="none"/>
              </w:rPr>
              <w:t>名，即表示数据电文中以电子形式所含、所附用于识别</w:t>
            </w:r>
            <w:r>
              <w:rPr>
                <w:color w:val="auto"/>
                <w:spacing w:val="4"/>
                <w:highlight w:val="none"/>
              </w:rPr>
              <w:t xml:space="preserve"> </w:t>
            </w:r>
            <w:r>
              <w:rPr>
                <w:color w:val="auto"/>
                <w:spacing w:val="7"/>
                <w:highlight w:val="none"/>
              </w:rPr>
              <w:t>签名单位和签名人身份并表明签名单位和签名人认可其</w:t>
            </w:r>
            <w:r>
              <w:rPr>
                <w:color w:val="auto"/>
                <w:spacing w:val="4"/>
                <w:highlight w:val="none"/>
              </w:rPr>
              <w:t xml:space="preserve"> </w:t>
            </w:r>
            <w:r>
              <w:rPr>
                <w:color w:val="auto"/>
                <w:spacing w:val="-3"/>
                <w:highlight w:val="none"/>
              </w:rPr>
              <w:t>中内容的数据。</w:t>
            </w:r>
          </w:p>
        </w:tc>
      </w:tr>
    </w:tbl>
    <w:p w14:paraId="0D035FE1">
      <w:pPr>
        <w:spacing w:line="95" w:lineRule="auto"/>
        <w:rPr>
          <w:rFonts w:ascii="Arial"/>
          <w:color w:val="auto"/>
          <w:sz w:val="2"/>
          <w:highlight w:val="none"/>
        </w:rPr>
      </w:pPr>
    </w:p>
    <w:tbl>
      <w:tblPr>
        <w:tblStyle w:val="10"/>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0E1D1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854" w:type="dxa"/>
            <w:vAlign w:val="top"/>
          </w:tcPr>
          <w:p w14:paraId="65B64C62">
            <w:pPr>
              <w:spacing w:before="186" w:line="189" w:lineRule="auto"/>
              <w:ind w:left="183"/>
              <w:rPr>
                <w:rFonts w:ascii="Times New Roman" w:hAnsi="Times New Roman" w:eastAsia="Times New Roman" w:cs="Times New Roman"/>
                <w:color w:val="auto"/>
                <w:sz w:val="21"/>
                <w:szCs w:val="21"/>
                <w:highlight w:val="none"/>
              </w:rPr>
            </w:pPr>
            <w:bookmarkStart w:id="47" w:name="bookmark70"/>
            <w:bookmarkEnd w:id="47"/>
            <w:bookmarkStart w:id="48" w:name="bookmark72"/>
            <w:bookmarkEnd w:id="48"/>
            <w:bookmarkStart w:id="49" w:name="bookmark71"/>
            <w:bookmarkEnd w:id="49"/>
            <w:bookmarkStart w:id="50" w:name="bookmark69"/>
            <w:bookmarkEnd w:id="50"/>
            <w:bookmarkStart w:id="51" w:name="bookmark73"/>
            <w:bookmarkEnd w:id="51"/>
            <w:r>
              <w:rPr>
                <w:rFonts w:ascii="Times New Roman" w:hAnsi="Times New Roman" w:eastAsia="Times New Roman" w:cs="Times New Roman"/>
                <w:color w:val="auto"/>
                <w:spacing w:val="-4"/>
                <w:sz w:val="21"/>
                <w:szCs w:val="21"/>
                <w:highlight w:val="none"/>
              </w:rPr>
              <w:t>10.1.3</w:t>
            </w:r>
          </w:p>
        </w:tc>
        <w:tc>
          <w:tcPr>
            <w:tcW w:w="2121" w:type="dxa"/>
            <w:vAlign w:val="top"/>
          </w:tcPr>
          <w:p w14:paraId="5F40EBF5">
            <w:pPr>
              <w:pStyle w:val="11"/>
              <w:spacing w:before="149" w:line="221" w:lineRule="auto"/>
              <w:ind w:left="439"/>
              <w:rPr>
                <w:color w:val="auto"/>
                <w:highlight w:val="none"/>
              </w:rPr>
            </w:pPr>
            <w:r>
              <w:rPr>
                <w:color w:val="auto"/>
                <w:spacing w:val="-1"/>
                <w:highlight w:val="none"/>
              </w:rPr>
              <w:t>获奖表彰时间</w:t>
            </w:r>
          </w:p>
        </w:tc>
        <w:tc>
          <w:tcPr>
            <w:tcW w:w="5447" w:type="dxa"/>
            <w:vAlign w:val="top"/>
          </w:tcPr>
          <w:p w14:paraId="0E5CE7C6">
            <w:pPr>
              <w:pStyle w:val="11"/>
              <w:spacing w:before="149" w:line="220" w:lineRule="auto"/>
              <w:ind w:left="135"/>
              <w:rPr>
                <w:color w:val="auto"/>
                <w:highlight w:val="none"/>
              </w:rPr>
            </w:pPr>
            <w:r>
              <w:rPr>
                <w:color w:val="auto"/>
                <w:spacing w:val="-2"/>
                <w:highlight w:val="none"/>
              </w:rPr>
              <w:t>以表彰文件、获奖证书的颁发时间为准。</w:t>
            </w:r>
          </w:p>
        </w:tc>
      </w:tr>
      <w:tr w14:paraId="2EC93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2" w:hRule="atLeast"/>
        </w:trPr>
        <w:tc>
          <w:tcPr>
            <w:tcW w:w="854" w:type="dxa"/>
            <w:vAlign w:val="top"/>
          </w:tcPr>
          <w:p w14:paraId="3ADC3813">
            <w:pPr>
              <w:spacing w:line="291" w:lineRule="auto"/>
              <w:rPr>
                <w:rFonts w:ascii="Arial"/>
                <w:color w:val="auto"/>
                <w:sz w:val="21"/>
                <w:highlight w:val="none"/>
              </w:rPr>
            </w:pPr>
          </w:p>
          <w:p w14:paraId="582062C0">
            <w:pPr>
              <w:spacing w:line="291" w:lineRule="auto"/>
              <w:rPr>
                <w:rFonts w:ascii="Arial"/>
                <w:color w:val="auto"/>
                <w:sz w:val="21"/>
                <w:highlight w:val="none"/>
              </w:rPr>
            </w:pPr>
          </w:p>
          <w:p w14:paraId="1F2AE4F8">
            <w:pPr>
              <w:spacing w:line="291" w:lineRule="auto"/>
              <w:rPr>
                <w:rFonts w:ascii="Arial"/>
                <w:color w:val="auto"/>
                <w:sz w:val="21"/>
                <w:highlight w:val="none"/>
              </w:rPr>
            </w:pPr>
          </w:p>
          <w:p w14:paraId="6A6848FC">
            <w:pPr>
              <w:spacing w:line="292" w:lineRule="auto"/>
              <w:rPr>
                <w:rFonts w:ascii="Arial"/>
                <w:color w:val="auto"/>
                <w:sz w:val="21"/>
                <w:highlight w:val="none"/>
              </w:rPr>
            </w:pPr>
          </w:p>
          <w:p w14:paraId="40CA8419">
            <w:pPr>
              <w:spacing w:before="61" w:line="189" w:lineRule="auto"/>
              <w:ind w:left="183"/>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10.1.4</w:t>
            </w:r>
          </w:p>
        </w:tc>
        <w:tc>
          <w:tcPr>
            <w:tcW w:w="2121" w:type="dxa"/>
            <w:vAlign w:val="top"/>
          </w:tcPr>
          <w:p w14:paraId="1C82F9FE">
            <w:pPr>
              <w:spacing w:line="280" w:lineRule="auto"/>
              <w:rPr>
                <w:rFonts w:ascii="Arial"/>
                <w:color w:val="auto"/>
                <w:sz w:val="21"/>
                <w:highlight w:val="none"/>
              </w:rPr>
            </w:pPr>
          </w:p>
          <w:p w14:paraId="406C26C0">
            <w:pPr>
              <w:spacing w:line="280" w:lineRule="auto"/>
              <w:rPr>
                <w:rFonts w:ascii="Arial"/>
                <w:color w:val="auto"/>
                <w:sz w:val="21"/>
                <w:highlight w:val="none"/>
              </w:rPr>
            </w:pPr>
          </w:p>
          <w:p w14:paraId="361BF345">
            <w:pPr>
              <w:spacing w:line="280" w:lineRule="auto"/>
              <w:rPr>
                <w:rFonts w:ascii="Arial"/>
                <w:color w:val="auto"/>
                <w:sz w:val="21"/>
                <w:highlight w:val="none"/>
              </w:rPr>
            </w:pPr>
          </w:p>
          <w:p w14:paraId="402DF606">
            <w:pPr>
              <w:spacing w:line="281" w:lineRule="auto"/>
              <w:rPr>
                <w:rFonts w:ascii="Arial"/>
                <w:color w:val="auto"/>
                <w:sz w:val="21"/>
                <w:highlight w:val="none"/>
              </w:rPr>
            </w:pPr>
          </w:p>
          <w:p w14:paraId="18F424CC">
            <w:pPr>
              <w:pStyle w:val="11"/>
              <w:spacing w:before="69" w:line="221" w:lineRule="auto"/>
              <w:ind w:left="651"/>
              <w:rPr>
                <w:color w:val="auto"/>
                <w:highlight w:val="none"/>
              </w:rPr>
            </w:pPr>
            <w:r>
              <w:rPr>
                <w:color w:val="auto"/>
                <w:spacing w:val="-2"/>
                <w:highlight w:val="none"/>
              </w:rPr>
              <w:t>不良行为</w:t>
            </w:r>
          </w:p>
        </w:tc>
        <w:tc>
          <w:tcPr>
            <w:tcW w:w="5447" w:type="dxa"/>
            <w:vAlign w:val="top"/>
          </w:tcPr>
          <w:p w14:paraId="54B66F2A">
            <w:pPr>
              <w:pStyle w:val="11"/>
              <w:spacing w:before="72" w:line="253" w:lineRule="auto"/>
              <w:ind w:left="113" w:right="139" w:firstLine="3"/>
              <w:rPr>
                <w:color w:val="auto"/>
                <w:highlight w:val="none"/>
              </w:rPr>
            </w:pPr>
            <w:r>
              <w:rPr>
                <w:color w:val="auto"/>
                <w:spacing w:val="-1"/>
                <w:highlight w:val="none"/>
              </w:rPr>
              <w:t>（</w:t>
            </w:r>
            <w:r>
              <w:rPr>
                <w:rFonts w:ascii="Times New Roman" w:hAnsi="Times New Roman" w:eastAsia="Times New Roman" w:cs="Times New Roman"/>
                <w:color w:val="auto"/>
                <w:spacing w:val="-1"/>
                <w:highlight w:val="none"/>
              </w:rPr>
              <w:t>1</w:t>
            </w:r>
            <w:r>
              <w:rPr>
                <w:color w:val="auto"/>
                <w:spacing w:val="-1"/>
                <w:highlight w:val="none"/>
              </w:rPr>
              <w:t>）指投标人须知第</w:t>
            </w:r>
            <w:r>
              <w:rPr>
                <w:color w:val="auto"/>
                <w:spacing w:val="-26"/>
                <w:highlight w:val="none"/>
              </w:rPr>
              <w:t xml:space="preserve"> </w:t>
            </w:r>
            <w:r>
              <w:rPr>
                <w:rFonts w:ascii="Times New Roman" w:hAnsi="Times New Roman" w:eastAsia="Times New Roman" w:cs="Times New Roman"/>
                <w:color w:val="auto"/>
                <w:spacing w:val="-1"/>
                <w:highlight w:val="none"/>
              </w:rPr>
              <w:t>1.4.3</w:t>
            </w:r>
            <w:r>
              <w:rPr>
                <w:color w:val="auto"/>
                <w:spacing w:val="-1"/>
                <w:highlight w:val="none"/>
              </w:rPr>
              <w:t>（</w:t>
            </w:r>
            <w:r>
              <w:rPr>
                <w:rFonts w:ascii="Times New Roman" w:hAnsi="Times New Roman" w:eastAsia="Times New Roman" w:cs="Times New Roman"/>
                <w:color w:val="auto"/>
                <w:spacing w:val="-1"/>
                <w:highlight w:val="none"/>
              </w:rPr>
              <w:t>10</w:t>
            </w:r>
            <w:r>
              <w:rPr>
                <w:color w:val="auto"/>
                <w:spacing w:val="-1"/>
                <w:highlight w:val="none"/>
              </w:rPr>
              <w:t>）至</w:t>
            </w:r>
            <w:r>
              <w:rPr>
                <w:color w:val="auto"/>
                <w:spacing w:val="-2"/>
                <w:highlight w:val="none"/>
              </w:rPr>
              <w:t>（</w:t>
            </w:r>
            <w:r>
              <w:rPr>
                <w:rFonts w:ascii="Times New Roman" w:hAnsi="Times New Roman" w:eastAsia="Times New Roman" w:cs="Times New Roman"/>
                <w:color w:val="auto"/>
                <w:spacing w:val="-2"/>
                <w:highlight w:val="none"/>
              </w:rPr>
              <w:t>17</w:t>
            </w:r>
            <w:r>
              <w:rPr>
                <w:color w:val="auto"/>
                <w:spacing w:val="-2"/>
                <w:highlight w:val="none"/>
              </w:rPr>
              <w:t>）条目规定的情</w:t>
            </w:r>
            <w:r>
              <w:rPr>
                <w:color w:val="auto"/>
                <w:highlight w:val="none"/>
              </w:rPr>
              <w:t xml:space="preserve"> </w:t>
            </w:r>
            <w:r>
              <w:rPr>
                <w:color w:val="auto"/>
                <w:spacing w:val="-10"/>
                <w:highlight w:val="none"/>
              </w:rPr>
              <w:t>形。</w:t>
            </w:r>
          </w:p>
          <w:p w14:paraId="4FD7F5D1">
            <w:pPr>
              <w:pStyle w:val="11"/>
              <w:spacing w:before="68" w:line="266" w:lineRule="auto"/>
              <w:ind w:left="111" w:right="139" w:firstLine="6"/>
              <w:rPr>
                <w:color w:val="auto"/>
                <w:highlight w:val="none"/>
              </w:rPr>
            </w:pPr>
            <w:r>
              <w:rPr>
                <w:color w:val="auto"/>
                <w:spacing w:val="-2"/>
                <w:highlight w:val="none"/>
              </w:rPr>
              <w:t>（</w:t>
            </w:r>
            <w:r>
              <w:rPr>
                <w:rFonts w:ascii="Times New Roman" w:hAnsi="Times New Roman" w:eastAsia="Times New Roman" w:cs="Times New Roman"/>
                <w:color w:val="auto"/>
                <w:spacing w:val="-2"/>
                <w:highlight w:val="none"/>
              </w:rPr>
              <w:t>2</w:t>
            </w:r>
            <w:r>
              <w:rPr>
                <w:color w:val="auto"/>
                <w:spacing w:val="-2"/>
                <w:highlight w:val="none"/>
              </w:rPr>
              <w:t>）投标人须知第</w:t>
            </w:r>
            <w:r>
              <w:rPr>
                <w:color w:val="auto"/>
                <w:spacing w:val="-9"/>
                <w:highlight w:val="none"/>
              </w:rPr>
              <w:t xml:space="preserve"> </w:t>
            </w:r>
            <w:r>
              <w:rPr>
                <w:rFonts w:ascii="Times New Roman" w:hAnsi="Times New Roman" w:eastAsia="Times New Roman" w:cs="Times New Roman"/>
                <w:color w:val="auto"/>
                <w:spacing w:val="-2"/>
                <w:highlight w:val="none"/>
              </w:rPr>
              <w:t>1.4.3</w:t>
            </w:r>
            <w:r>
              <w:rPr>
                <w:color w:val="auto"/>
                <w:spacing w:val="-2"/>
                <w:highlight w:val="none"/>
              </w:rPr>
              <w:t>（</w:t>
            </w:r>
            <w:r>
              <w:rPr>
                <w:rFonts w:ascii="Times New Roman" w:hAnsi="Times New Roman" w:eastAsia="Times New Roman" w:cs="Times New Roman"/>
                <w:color w:val="auto"/>
                <w:spacing w:val="-2"/>
                <w:highlight w:val="none"/>
              </w:rPr>
              <w:t>13</w:t>
            </w:r>
            <w:r>
              <w:rPr>
                <w:color w:val="auto"/>
                <w:spacing w:val="-2"/>
                <w:highlight w:val="none"/>
              </w:rPr>
              <w:t>）条目规定的在最近三年内</w:t>
            </w:r>
            <w:r>
              <w:rPr>
                <w:color w:val="auto"/>
                <w:highlight w:val="none"/>
              </w:rPr>
              <w:t xml:space="preserve"> </w:t>
            </w:r>
            <w:r>
              <w:rPr>
                <w:color w:val="auto"/>
                <w:spacing w:val="-2"/>
                <w:highlight w:val="none"/>
              </w:rPr>
              <w:t xml:space="preserve">有骗取中标或严重违约或重大工程质量问题的时间以相  关行业主管部门行政处罚决定时间或司法机关出具的法  </w:t>
            </w:r>
            <w:r>
              <w:rPr>
                <w:color w:val="auto"/>
                <w:spacing w:val="-3"/>
                <w:highlight w:val="none"/>
              </w:rPr>
              <w:t>律文书时间为准。</w:t>
            </w:r>
          </w:p>
          <w:p w14:paraId="7A97B40B">
            <w:pPr>
              <w:pStyle w:val="11"/>
              <w:spacing w:before="67" w:line="245" w:lineRule="auto"/>
              <w:ind w:left="120" w:right="299" w:hanging="9"/>
              <w:rPr>
                <w:color w:val="auto"/>
                <w:highlight w:val="none"/>
              </w:rPr>
            </w:pPr>
            <w:r>
              <w:rPr>
                <w:color w:val="auto"/>
                <w:spacing w:val="-5"/>
                <w:highlight w:val="none"/>
              </w:rPr>
              <w:t>特别说明： 同一标段项目出现两个（含）以上不同处罚</w:t>
            </w:r>
            <w:r>
              <w:rPr>
                <w:color w:val="auto"/>
                <w:spacing w:val="10"/>
                <w:highlight w:val="none"/>
              </w:rPr>
              <w:t xml:space="preserve"> </w:t>
            </w:r>
            <w:r>
              <w:rPr>
                <w:color w:val="auto"/>
                <w:spacing w:val="-2"/>
                <w:highlight w:val="none"/>
              </w:rPr>
              <w:t>时间（或法律文书时间）均应满足时间要求。</w:t>
            </w:r>
          </w:p>
        </w:tc>
      </w:tr>
      <w:tr w14:paraId="7F5CE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854" w:type="dxa"/>
            <w:vAlign w:val="top"/>
          </w:tcPr>
          <w:p w14:paraId="0B3A0927">
            <w:pPr>
              <w:spacing w:before="274" w:line="189" w:lineRule="auto"/>
              <w:ind w:left="183"/>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10.1.5</w:t>
            </w:r>
          </w:p>
        </w:tc>
        <w:tc>
          <w:tcPr>
            <w:tcW w:w="2121" w:type="dxa"/>
            <w:vAlign w:val="top"/>
          </w:tcPr>
          <w:p w14:paraId="56911191">
            <w:pPr>
              <w:pStyle w:val="11"/>
              <w:spacing w:before="238" w:line="221" w:lineRule="auto"/>
              <w:ind w:left="860"/>
              <w:rPr>
                <w:color w:val="auto"/>
                <w:highlight w:val="none"/>
              </w:rPr>
            </w:pPr>
            <w:r>
              <w:rPr>
                <w:color w:val="auto"/>
                <w:spacing w:val="-2"/>
                <w:highlight w:val="none"/>
              </w:rPr>
              <w:t>现金</w:t>
            </w:r>
          </w:p>
        </w:tc>
        <w:tc>
          <w:tcPr>
            <w:tcW w:w="5447" w:type="dxa"/>
            <w:vAlign w:val="top"/>
          </w:tcPr>
          <w:p w14:paraId="5660137C">
            <w:pPr>
              <w:pStyle w:val="11"/>
              <w:spacing w:before="79" w:line="245" w:lineRule="auto"/>
              <w:ind w:left="113" w:right="298"/>
              <w:rPr>
                <w:color w:val="auto"/>
                <w:highlight w:val="none"/>
              </w:rPr>
            </w:pPr>
            <w:r>
              <w:rPr>
                <w:color w:val="auto"/>
                <w:spacing w:val="-1"/>
                <w:highlight w:val="none"/>
              </w:rPr>
              <w:t>投标保证金、履约保证金现金缴纳方式指通过电汇、支</w:t>
            </w:r>
            <w:r>
              <w:rPr>
                <w:color w:val="auto"/>
                <w:spacing w:val="12"/>
                <w:highlight w:val="none"/>
              </w:rPr>
              <w:t xml:space="preserve"> </w:t>
            </w:r>
            <w:r>
              <w:rPr>
                <w:color w:val="auto"/>
                <w:spacing w:val="-2"/>
                <w:highlight w:val="none"/>
              </w:rPr>
              <w:t>票等广义现金方式缴纳而非现金钞票。</w:t>
            </w:r>
          </w:p>
        </w:tc>
      </w:tr>
      <w:tr w14:paraId="1A30D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 w:hRule="atLeast"/>
        </w:trPr>
        <w:tc>
          <w:tcPr>
            <w:tcW w:w="854" w:type="dxa"/>
            <w:vAlign w:val="top"/>
          </w:tcPr>
          <w:p w14:paraId="05B07480">
            <w:pPr>
              <w:spacing w:line="414" w:lineRule="auto"/>
              <w:rPr>
                <w:rFonts w:ascii="Arial"/>
                <w:color w:val="auto"/>
                <w:sz w:val="21"/>
                <w:highlight w:val="none"/>
              </w:rPr>
            </w:pPr>
          </w:p>
          <w:p w14:paraId="3F7D2C35">
            <w:pPr>
              <w:spacing w:before="60" w:line="189" w:lineRule="auto"/>
              <w:ind w:left="26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6"/>
                <w:sz w:val="21"/>
                <w:szCs w:val="21"/>
                <w:highlight w:val="none"/>
              </w:rPr>
              <w:t>10.2</w:t>
            </w:r>
          </w:p>
        </w:tc>
        <w:tc>
          <w:tcPr>
            <w:tcW w:w="2121" w:type="dxa"/>
            <w:vAlign w:val="top"/>
          </w:tcPr>
          <w:p w14:paraId="3AE74EA0">
            <w:pPr>
              <w:pStyle w:val="11"/>
              <w:spacing w:before="281" w:line="252" w:lineRule="auto"/>
              <w:ind w:left="437" w:right="320" w:hanging="87"/>
              <w:rPr>
                <w:color w:val="auto"/>
                <w:highlight w:val="none"/>
              </w:rPr>
            </w:pPr>
            <w:r>
              <w:rPr>
                <w:color w:val="auto"/>
                <w:spacing w:val="-4"/>
                <w:highlight w:val="none"/>
              </w:rPr>
              <w:t>中标后须提交的</w:t>
            </w:r>
            <w:r>
              <w:rPr>
                <w:color w:val="auto"/>
                <w:spacing w:val="2"/>
                <w:highlight w:val="none"/>
              </w:rPr>
              <w:t xml:space="preserve"> </w:t>
            </w:r>
            <w:r>
              <w:rPr>
                <w:color w:val="auto"/>
                <w:spacing w:val="-2"/>
                <w:highlight w:val="none"/>
              </w:rPr>
              <w:t>纸质投标文件</w:t>
            </w:r>
          </w:p>
        </w:tc>
        <w:tc>
          <w:tcPr>
            <w:tcW w:w="5447" w:type="dxa"/>
            <w:vAlign w:val="top"/>
          </w:tcPr>
          <w:p w14:paraId="28AE553D">
            <w:pPr>
              <w:pStyle w:val="11"/>
              <w:spacing w:before="281" w:line="252" w:lineRule="auto"/>
              <w:ind w:left="111" w:right="298"/>
              <w:rPr>
                <w:color w:val="auto"/>
                <w:highlight w:val="none"/>
              </w:rPr>
            </w:pPr>
            <w:r>
              <w:rPr>
                <w:color w:val="auto"/>
                <w:spacing w:val="-5"/>
                <w:highlight w:val="none"/>
              </w:rPr>
              <w:t xml:space="preserve">份数： </w:t>
            </w:r>
            <w:r>
              <w:rPr>
                <w:rFonts w:hint="eastAsia"/>
                <w:color w:val="auto"/>
                <w:spacing w:val="-5"/>
                <w:highlight w:val="none"/>
                <w:u w:val="single" w:color="auto"/>
                <w:lang w:val="en-US" w:eastAsia="zh-CN"/>
              </w:rPr>
              <w:t>3</w:t>
            </w:r>
            <w:r>
              <w:rPr>
                <w:color w:val="auto"/>
                <w:spacing w:val="-5"/>
                <w:highlight w:val="none"/>
                <w:u w:val="single" w:color="auto"/>
              </w:rPr>
              <w:t xml:space="preserve"> </w:t>
            </w:r>
            <w:r>
              <w:rPr>
                <w:color w:val="auto"/>
                <w:spacing w:val="-80"/>
                <w:highlight w:val="none"/>
              </w:rPr>
              <w:t xml:space="preserve"> </w:t>
            </w:r>
            <w:r>
              <w:rPr>
                <w:color w:val="auto"/>
                <w:spacing w:val="-5"/>
                <w:highlight w:val="none"/>
              </w:rPr>
              <w:t>份，中标人提交的纸质投标文件应当与投</w:t>
            </w:r>
            <w:r>
              <w:rPr>
                <w:color w:val="auto"/>
                <w:highlight w:val="none"/>
              </w:rPr>
              <w:t xml:space="preserve"> </w:t>
            </w:r>
            <w:r>
              <w:rPr>
                <w:color w:val="auto"/>
                <w:spacing w:val="-1"/>
                <w:highlight w:val="none"/>
              </w:rPr>
              <w:t>标时的电子投标文件内容一致。</w:t>
            </w:r>
          </w:p>
        </w:tc>
      </w:tr>
      <w:tr w14:paraId="76351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854" w:type="dxa"/>
            <w:vAlign w:val="top"/>
          </w:tcPr>
          <w:p w14:paraId="06F38D4A">
            <w:pPr>
              <w:spacing w:before="277" w:line="189" w:lineRule="auto"/>
              <w:ind w:left="26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5"/>
                <w:sz w:val="21"/>
                <w:szCs w:val="21"/>
                <w:highlight w:val="none"/>
              </w:rPr>
              <w:t>10.6</w:t>
            </w:r>
          </w:p>
        </w:tc>
        <w:tc>
          <w:tcPr>
            <w:tcW w:w="2121" w:type="dxa"/>
            <w:vAlign w:val="top"/>
          </w:tcPr>
          <w:p w14:paraId="5960EA0E">
            <w:pPr>
              <w:pStyle w:val="11"/>
              <w:spacing w:before="82" w:line="246" w:lineRule="auto"/>
              <w:ind w:left="883" w:right="214" w:hanging="658"/>
              <w:rPr>
                <w:color w:val="auto"/>
                <w:highlight w:val="none"/>
              </w:rPr>
            </w:pPr>
            <w:r>
              <w:rPr>
                <w:color w:val="auto"/>
                <w:spacing w:val="-1"/>
                <w:highlight w:val="none"/>
              </w:rPr>
              <w:t>招标人补充的其他</w:t>
            </w:r>
            <w:r>
              <w:rPr>
                <w:color w:val="auto"/>
                <w:spacing w:val="2"/>
                <w:highlight w:val="none"/>
              </w:rPr>
              <w:t xml:space="preserve"> </w:t>
            </w:r>
            <w:r>
              <w:rPr>
                <w:color w:val="auto"/>
                <w:spacing w:val="-8"/>
                <w:highlight w:val="none"/>
              </w:rPr>
              <w:t>内容</w:t>
            </w:r>
          </w:p>
        </w:tc>
        <w:tc>
          <w:tcPr>
            <w:tcW w:w="5447" w:type="dxa"/>
            <w:vAlign w:val="top"/>
          </w:tcPr>
          <w:p w14:paraId="1D5FFEAA">
            <w:pPr>
              <w:spacing w:line="400" w:lineRule="exact"/>
              <w:rPr>
                <w:rFonts w:ascii="仿宋_GB2312" w:eastAsia="仿宋_GB2312"/>
                <w:color w:val="auto"/>
                <w:sz w:val="24"/>
                <w:szCs w:val="24"/>
                <w:highlight w:val="none"/>
              </w:rPr>
            </w:pPr>
            <w:bookmarkStart w:id="52" w:name="EBf460ad02438e49be941e01ee0eb064fb"/>
            <w:r>
              <w:rPr>
                <w:rFonts w:hint="eastAsia" w:ascii="仿宋_GB2312" w:eastAsia="仿宋_GB2312"/>
                <w:color w:val="auto"/>
                <w:sz w:val="24"/>
                <w:szCs w:val="24"/>
                <w:highlight w:val="none"/>
                <w:lang w:val="en-US" w:eastAsia="zh-CN"/>
              </w:rPr>
              <w:t>10.6.1</w:t>
            </w:r>
            <w:r>
              <w:rPr>
                <w:rFonts w:hint="eastAsia" w:ascii="仿宋_GB2312" w:eastAsia="仿宋_GB2312"/>
                <w:color w:val="auto"/>
                <w:sz w:val="24"/>
                <w:szCs w:val="24"/>
                <w:highlight w:val="none"/>
              </w:rPr>
              <w:t xml:space="preserve">在招投标过程中，发现下列情形之一的，招投标监管机构和评标委员会将认定为围标串标行为，投标按作废标处理，并按相关规定予以处罚：              </w:t>
            </w:r>
          </w:p>
          <w:p w14:paraId="72D9EE7B">
            <w:pPr>
              <w:spacing w:line="400" w:lineRule="exact"/>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1、投标人同属于一个母公司或者一个母公司和他所属的子公司同时参加投标；              </w:t>
            </w:r>
          </w:p>
          <w:p w14:paraId="6699B583">
            <w:pPr>
              <w:spacing w:line="400" w:lineRule="exact"/>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2、投标人以两家及以上企业的名义参与投标报名的；              </w:t>
            </w:r>
          </w:p>
          <w:p w14:paraId="7316D6D1">
            <w:pPr>
              <w:spacing w:line="400" w:lineRule="exact"/>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3、投标人的投标文件相互混装的；              </w:t>
            </w:r>
          </w:p>
          <w:p w14:paraId="06BC6104">
            <w:pPr>
              <w:spacing w:line="400" w:lineRule="exact"/>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4、投标人的投标文件错、漏之处一致的；              </w:t>
            </w:r>
          </w:p>
          <w:p w14:paraId="3A486064">
            <w:pPr>
              <w:spacing w:line="400" w:lineRule="exact"/>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5、投标人的投标报价或报价组成异常一致或呈规律性变化的；              </w:t>
            </w:r>
          </w:p>
          <w:p w14:paraId="6F5ACFD6">
            <w:pPr>
              <w:spacing w:line="400" w:lineRule="exact"/>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6、投标人的投标文件由同一单位或同一个人编制的；              </w:t>
            </w:r>
          </w:p>
          <w:p w14:paraId="241680B6">
            <w:pPr>
              <w:spacing w:line="400" w:lineRule="exact"/>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7、投标人的投标文件授权代表人为同一人或同一单位人员的；              </w:t>
            </w:r>
          </w:p>
          <w:p w14:paraId="3394909E">
            <w:pPr>
              <w:spacing w:line="400" w:lineRule="exact"/>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8、投标人的相关人员有在同一个单位缴纳社会保险的；              </w:t>
            </w:r>
          </w:p>
          <w:p w14:paraId="3D0E75ED">
            <w:pPr>
              <w:spacing w:line="400" w:lineRule="exact"/>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9、投标人的投标保证金由同一企业或同一账户资金缴纳的；              </w:t>
            </w:r>
          </w:p>
          <w:p w14:paraId="13F5340E">
            <w:pPr>
              <w:pStyle w:val="11"/>
              <w:spacing w:before="240" w:line="332" w:lineRule="exact"/>
              <w:ind w:left="124"/>
              <w:rPr>
                <w:color w:val="auto"/>
                <w:highlight w:val="none"/>
              </w:rPr>
            </w:pPr>
            <w:r>
              <w:rPr>
                <w:rFonts w:hint="eastAsia" w:ascii="仿宋_GB2312" w:eastAsia="仿宋_GB2312"/>
                <w:color w:val="auto"/>
                <w:sz w:val="24"/>
                <w:szCs w:val="24"/>
                <w:highlight w:val="none"/>
              </w:rPr>
              <w:t>10、证明投标人与招标人、招标代理机构或其他投标人串通的其他情形及其他不符合法律、法规规定情形的。</w:t>
            </w:r>
            <w:bookmarkEnd w:id="52"/>
          </w:p>
        </w:tc>
      </w:tr>
      <w:tr w14:paraId="1EB78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854" w:type="dxa"/>
            <w:vAlign w:val="top"/>
          </w:tcPr>
          <w:p w14:paraId="0C14FD4C">
            <w:pPr>
              <w:spacing w:before="277" w:line="189" w:lineRule="auto"/>
              <w:ind w:left="260"/>
              <w:rPr>
                <w:rFonts w:ascii="Times New Roman" w:hAnsi="Times New Roman" w:eastAsia="Times New Roman" w:cs="Times New Roman"/>
                <w:color w:val="auto"/>
                <w:spacing w:val="-5"/>
                <w:sz w:val="21"/>
                <w:szCs w:val="21"/>
                <w:highlight w:val="none"/>
              </w:rPr>
            </w:pPr>
          </w:p>
        </w:tc>
        <w:tc>
          <w:tcPr>
            <w:tcW w:w="2121" w:type="dxa"/>
            <w:vAlign w:val="top"/>
          </w:tcPr>
          <w:p w14:paraId="6A737350">
            <w:pPr>
              <w:pStyle w:val="11"/>
              <w:spacing w:before="82" w:line="246" w:lineRule="auto"/>
              <w:ind w:left="883" w:right="214" w:hanging="658"/>
              <w:rPr>
                <w:color w:val="auto"/>
                <w:spacing w:val="-1"/>
                <w:highlight w:val="none"/>
              </w:rPr>
            </w:pPr>
          </w:p>
        </w:tc>
        <w:tc>
          <w:tcPr>
            <w:tcW w:w="5447" w:type="dxa"/>
            <w:vAlign w:val="top"/>
          </w:tcPr>
          <w:p w14:paraId="1D4C15B9">
            <w:pPr>
              <w:rPr>
                <w:rFonts w:ascii="仿宋_GB2312" w:eastAsia="仿宋_GB2312"/>
                <w:color w:val="auto"/>
                <w:sz w:val="24"/>
                <w:szCs w:val="24"/>
                <w:highlight w:val="none"/>
              </w:rPr>
            </w:pPr>
            <w:r>
              <w:rPr>
                <w:rFonts w:ascii="仿宋_GB2312" w:eastAsia="仿宋_GB2312"/>
                <w:color w:val="auto"/>
                <w:sz w:val="24"/>
                <w:szCs w:val="24"/>
                <w:highlight w:val="none"/>
              </w:rPr>
              <w:t>10.</w:t>
            </w:r>
            <w:r>
              <w:rPr>
                <w:rFonts w:hint="eastAsia" w:ascii="仿宋_GB2312" w:eastAsia="仿宋_GB2312"/>
                <w:color w:val="auto"/>
                <w:sz w:val="24"/>
                <w:szCs w:val="24"/>
                <w:highlight w:val="none"/>
                <w:lang w:val="en-US" w:eastAsia="zh-CN"/>
              </w:rPr>
              <w:t>6.2</w:t>
            </w:r>
            <w:r>
              <w:rPr>
                <w:rFonts w:ascii="仿宋_GB2312" w:eastAsia="仿宋_GB2312"/>
                <w:color w:val="auto"/>
                <w:sz w:val="24"/>
                <w:szCs w:val="24"/>
                <w:highlight w:val="none"/>
              </w:rPr>
              <w:t xml:space="preserve"> 招标人认为需要补充的其他内容</w:t>
            </w:r>
          </w:p>
          <w:p w14:paraId="6224FBDD">
            <w:pPr>
              <w:rPr>
                <w:rFonts w:hint="eastAsia" w:ascii="仿宋_GB2312" w:eastAsia="仿宋_GB2312"/>
                <w:color w:val="auto"/>
                <w:sz w:val="24"/>
                <w:szCs w:val="24"/>
                <w:highlight w:val="none"/>
              </w:rPr>
            </w:pPr>
            <w:bookmarkStart w:id="53" w:name="EBf22f82123e6e4bd699547b1001c550b1"/>
            <w:r>
              <w:rPr>
                <w:rFonts w:hint="eastAsia" w:ascii="仿宋_GB2312" w:eastAsia="仿宋_GB2312"/>
                <w:color w:val="auto"/>
                <w:sz w:val="24"/>
                <w:szCs w:val="24"/>
                <w:highlight w:val="none"/>
              </w:rPr>
              <w:t xml:space="preserve">1、投标报价要求：     </w:t>
            </w:r>
          </w:p>
          <w:p w14:paraId="59A71CB5">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（1）本工程采用工程量清单报价，“执行《工程量清单计价规范（GB/T50500-2024）》 和 20</w:t>
            </w:r>
            <w:r>
              <w:rPr>
                <w:rFonts w:hint="eastAsia" w:ascii="仿宋_GB2312" w:eastAsia="仿宋_GB2312"/>
                <w:color w:val="auto"/>
                <w:sz w:val="24"/>
                <w:szCs w:val="24"/>
                <w:highlight w:val="none"/>
                <w:lang w:val="en-US" w:eastAsia="zh-CN"/>
              </w:rPr>
              <w:t>24</w:t>
            </w:r>
            <w:r>
              <w:rPr>
                <w:rFonts w:hint="eastAsia" w:ascii="仿宋_GB2312" w:eastAsia="仿宋_GB2312"/>
                <w:color w:val="auto"/>
                <w:sz w:val="24"/>
                <w:szCs w:val="24"/>
                <w:highlight w:val="none"/>
              </w:rPr>
              <w:t xml:space="preserve">年《辽宁省建设工程计价依据》，各投标人应结合企业自身实力自主报价。     </w:t>
            </w:r>
          </w:p>
          <w:p w14:paraId="4678C460">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（2）合同方式：采用固定综合单价方式。     </w:t>
            </w:r>
          </w:p>
          <w:p w14:paraId="05C190A3">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本工程的投标报价应是在招标人提供的招标文件及相关答疑、补遗文件所确定的招标范围内的全部工作内容的价格体现。投标人应依据招标文件、工程量清单、补遗文件、答疑文件所确定的招标范围内的全部工程内容，并充分考察施工现场情况及一切不利条件所带来的风险的基础上，以自身的施工组织设计或施工方案为基础，根据企业内部定额，并结合市场价格，自主报价。投标报价应包括但不限于施工机械、劳务、材料设备、临时设施、缺陷修补、利润、保险、税金、安措费、社会保障费（按照相关文件规定进行计取）、技术培训等各项直接、间接费用，以及所包含的风险、责任等各项应有费用。投标总价作为评标的依据。任何情况下，投标人在报价时不得直接修改（包括任何形式的增加、删除或修改）招标人提供的工程量清单（包括子目列项和各子项的工程数量），投标人应直接按照招标人提供的工程量投标报价，即使招标范围不存在的子目，只要在本工程量清单中已经列明，投标人就要对其进行合理报价，并纳入投标总价。     </w:t>
            </w:r>
          </w:p>
          <w:p w14:paraId="1C96119C">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3）投标人应对招标人提供的工程量清单进行复核，如果对工程量清单存在任何疑问，则投标人应于招标文件投标人须知相关条款规定的投标人要求澄清招标文件的截止时间前按照投标人须知相关条款规定的方式提交到招标代理机构（投标人加盖公章后扫描件以 WORD形式发至招标代理机构邮箱 </w:t>
            </w:r>
            <w:r>
              <w:rPr>
                <w:rFonts w:hint="eastAsia" w:ascii="仿宋_GB2312" w:eastAsia="仿宋_GB2312"/>
                <w:color w:val="auto"/>
                <w:sz w:val="24"/>
                <w:szCs w:val="24"/>
                <w:highlight w:val="none"/>
                <w:lang w:eastAsia="zh-CN"/>
              </w:rPr>
              <w:t>syzbsc@163.com</w:t>
            </w:r>
            <w:r>
              <w:rPr>
                <w:rFonts w:hint="eastAsia" w:ascii="仿宋_GB2312" w:eastAsia="仿宋_GB2312"/>
                <w:color w:val="auto"/>
                <w:sz w:val="24"/>
                <w:szCs w:val="24"/>
                <w:highlight w:val="none"/>
              </w:rPr>
              <w:t xml:space="preserve"> 后，请务必立即电话告知投标人须知中载明的招标代理机构联系人），招标代理机构将收到的问题汇总后提交给招标人，经招标人复核后如确实存在招标清单计算错误，则做出相应调整；     </w:t>
            </w:r>
          </w:p>
          <w:p w14:paraId="537B2E02">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2、按照招标人有关要求，所使用材料均符合国家有关标准要求。中标人对进场的材料必须进行检验测试，合格的方可使用。招标人将对进场材料进行随机抽样，中标人应无条件进行检验测试，费用由中标人承担。     </w:t>
            </w:r>
          </w:p>
          <w:p w14:paraId="4425E9CE">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3、实名认证：     </w:t>
            </w:r>
          </w:p>
          <w:p w14:paraId="7716F327">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3.1根据辽宁省住房和城乡建设厅《关于进一步落实招投标各方主体及从业人员实名制的通知》，施工和监理类项目投标单位【授权委托人】、【项目负责人】（拟派项目经理、总监理工程师）及服务和材料设备类项目投标单位【授权委托人】、【项目负责人】（拟派项目负责人）在投标期间内均必须进行身份证实名认证。     </w:t>
            </w:r>
          </w:p>
          <w:p w14:paraId="5D226A6A">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3.1.1 实名认证可采用身份证阅读机器进行身份证实体刷卡认证（PC 端），也可采用移动端 APP软件进行远程实名认证（APP 端 ）。     </w:t>
            </w:r>
          </w:p>
          <w:p w14:paraId="1F2AF193">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3.1.2 授权委托人实名认证：     </w:t>
            </w:r>
          </w:p>
          <w:p w14:paraId="52DB8B58">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（1）在“项目委托人授权”步骤可以点选或跳过此步骤直接进入“招标文件领取”步骤，     </w:t>
            </w:r>
          </w:p>
          <w:p w14:paraId="4B8814F9">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但在上传投标文件前（电子开标项目）/中标候选人公示前（纸质开标项目），【授权委托人】必须进行实名认证，否则无法上传投标文件（电子开标项目）/无法在候选人公示选取到单位信息（纸质开标项目）。     </w:t>
            </w:r>
          </w:p>
          <w:p w14:paraId="3E61D0B8">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（2）在“项目委托人授权”步骤直接刷其身份证带出【授权委托人】信息，视为【授权委     </w:t>
            </w:r>
          </w:p>
          <w:p w14:paraId="158CF0DD">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托人】已做实名认证。     </w:t>
            </w:r>
          </w:p>
          <w:p w14:paraId="10AC06A1">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3.1.3 项目负责人实名认证：     </w:t>
            </w:r>
          </w:p>
          <w:p w14:paraId="55470369">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（1）【授权委托人】已进行实名认证的：在“招标文件领取”步骤，可以点选【项目负责人】或刷其 IC 卡或刷其身份证领取招标文件，未刷【项目负责人】身份证领取文件的需要在“项目负责人实名认证”步骤或在二次刷卡时刷其身份证进行实名认证。     </w:t>
            </w:r>
          </w:p>
          <w:p w14:paraId="25E172C0">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（2）【授权委托人】未进行实名认证的：在“招标文件领取”步骤，仅可刷【项目负责人】     </w:t>
            </w:r>
          </w:p>
          <w:p w14:paraId="7ECC07FD">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IC 卡或其身份证领取招标文件，刷【项目负责人】IC 卡领取文件的需要在“项目负责人实名认证”步骤或在二次刷卡时刷其身份证进行实名认证。     </w:t>
            </w:r>
          </w:p>
          <w:p w14:paraId="64975C25">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3.1.4 二次刷卡     </w:t>
            </w:r>
          </w:p>
          <w:p w14:paraId="6A5D6281">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（1）【项目负责人】已进行实名认证的，二次刷卡可以刷【项目负责人】或【授权委托人】身份证带出【项目负责人】“在建项目信息”及“不良行为信息”。     </w:t>
            </w:r>
          </w:p>
          <w:p w14:paraId="63A9C809">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（2）【项目负责人】未进行实名认证的，二次刷卡只能刷其本人身份证带出【项目负责人】“在建项目信息”及“不良行为信息”。     </w:t>
            </w:r>
          </w:p>
          <w:p w14:paraId="3947F5B9">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3.1.5 当【授权委托人】与【项目负责人】为同一人时，在以上任一环节进行过实名认证的，其另一身份也视为已实名认证。     </w:t>
            </w:r>
          </w:p>
          <w:p w14:paraId="5E43ABB6">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3.1.6【授权委托人】及【项目负责人】未进行实名认证或认证人员与投标文件中人员不一致的做废标处理。     </w:t>
            </w:r>
          </w:p>
          <w:p w14:paraId="74E2F597">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4、 网络投标注意事项: 本项目采用“不见面交易”。根据《市城乡建设局关于开展远程开标（不见面交易）工作的通知》，本项目采用不见面交易开标方式，具体做法：登录辽宁省建设工程信息网，在首页“本网公告”中查看《辽宁省电子招标投标交易综合服务系统不见面开标操作说明》。投标人在开标前需在业务系统完成实名认证及二次刷卡操作。     </w:t>
            </w:r>
          </w:p>
          <w:p w14:paraId="0CCFDD40">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1）投标人须随时关注购买招标文件的网站上的澄清文件并下载，否则，由此引起的答疑文件、补遗文件和其他相关信息无法收到，投标单位须自行承担全部责任。项目有答疑文件，请务必通过网上下载并使用最后一次答疑文件制作投标文件然后通过网络上传。如果在答疑之前已经通过网上上传了投标文件，请务必撤销以前上传的文件，重新用答疑文件制作新的投标文件再次上传。     </w:t>
            </w:r>
          </w:p>
          <w:p w14:paraId="7D1EE6BA">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（2）投标人开标结束后需要在规定时间内完成对开标记录表的电子签章操作，否则视为认同开标情况，后续不予受理对开标情况的投诉。     </w:t>
            </w:r>
          </w:p>
          <w:p w14:paraId="49E7EB7A">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5、 费用承担方式（按要求含在投标报价中，注:如果项目允许联合体投标，则其费用由牵头人递交）：     </w:t>
            </w:r>
          </w:p>
          <w:p w14:paraId="66C5A36D">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（1）投标人准备和参加投标活动所发生的费用自理。     </w:t>
            </w:r>
          </w:p>
          <w:p w14:paraId="7DF4A3E8">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（2）招标人不提供任何临时设施（包括施工人员的食宿、办公地点等）。投标人如需要     </w:t>
            </w:r>
          </w:p>
          <w:p w14:paraId="28B17A24">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搭建或租用临时设施的费用含在报价中，地点的选择应在招标人指定的范围内。投标人不得将费用转嫁给与本项目相关的施工单位和材料供应单位。     </w:t>
            </w:r>
          </w:p>
          <w:p w14:paraId="56449251">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 6、外埠（外省）企业投标备案     </w:t>
            </w:r>
          </w:p>
          <w:p w14:paraId="18EF502C">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外埠（外省）企业投标时应按照辽宁省建设厅《关于加强省外施工企业入辽承揽业务监管工作的通知》（辽住建【2016】1号）文件执行。     </w:t>
            </w:r>
          </w:p>
          <w:p w14:paraId="61B4BC04">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7、电子化招投标要求：     </w:t>
            </w:r>
          </w:p>
          <w:p w14:paraId="4D7D1B57">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1）根据省、市监管部门的要求，凡涉及投标人实名认证有关验证全部由投标人自行通过辽宁省建设工程招投标网上运行平台进行在线验证。投标人（注册建造师、注册监理工程师）在开标前可自行登录平台，通过业务管理系统进行实名认证操作。项目开标时，平台将自动将项目负责人实名认证情况以及项目负责人是否有在建工程进行公示并自动提交评标委员会评审，如未在规定期限内进行实名认证或验证未通过，将不能参与投标。投标文件中的项目经理与通过验证的项目经理必须一致，否则按照废标处理。     </w:t>
            </w:r>
          </w:p>
          <w:p w14:paraId="09DB9934">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（2）电子化招投标以信息库中投标人信息为准。     </w:t>
            </w:r>
          </w:p>
          <w:p w14:paraId="72D96CE6">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8、如果有2个或2个以上投标人的最终评审得分相同，以投标报价低的优先排在前面，如果投标报价也相同，以施工组织设计得分高的排在前面。     </w:t>
            </w:r>
          </w:p>
          <w:p w14:paraId="6C3975C6">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9、投标人评标办法中企业类似业绩以本单位在辽宁建设工程信息网诚信库中备案的为准。     </w:t>
            </w:r>
          </w:p>
          <w:p w14:paraId="638177D1">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10、本项目“技术标”为暗标。投标人须按暗标要求编制电子投标文件，否则，按废标处理。     </w:t>
            </w:r>
          </w:p>
          <w:p w14:paraId="736CE405">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11、经评标委员会评审确定为中标人或中标候选人的，中标人或中标候选人无正当理由不得放弃中标或中标候选人资格。中标人或中标候选人放弃中标或中标候选人资格的，招标人应当没收投标保证金，给招标人造成损失的，应当依法承担赔偿责任。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     </w:t>
            </w:r>
          </w:p>
          <w:p w14:paraId="2DCCB265">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12、招标代理服务费要求     </w:t>
            </w:r>
          </w:p>
          <w:p w14:paraId="417900EA">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（1）招标代理服务费根据国家发改委“计价格[2002]1980号”和“发改办价格[2003]857号”文件规定，招标代理机构将按照国家收费标准</w:t>
            </w:r>
            <w:r>
              <w:rPr>
                <w:rFonts w:hint="eastAsia" w:ascii="仿宋_GB2312" w:eastAsia="仿宋_GB2312"/>
                <w:color w:val="auto"/>
                <w:sz w:val="24"/>
                <w:szCs w:val="24"/>
                <w:highlight w:val="none"/>
                <w:lang w:val="en-US" w:eastAsia="zh-CN"/>
              </w:rPr>
              <w:t>下浮20%</w:t>
            </w:r>
            <w:r>
              <w:rPr>
                <w:rFonts w:hint="eastAsia" w:ascii="仿宋_GB2312" w:eastAsia="仿宋_GB2312"/>
                <w:color w:val="auto"/>
                <w:sz w:val="24"/>
                <w:szCs w:val="24"/>
                <w:highlight w:val="none"/>
              </w:rPr>
              <w:t xml:space="preserve">向中标单位收取服务费；招标代理服务费不得在投标报价中单列；招标代理服务费在中标通知书核准后一次性向招标代理机构付清。  </w:t>
            </w:r>
          </w:p>
          <w:p w14:paraId="04CCBE4E">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 xml:space="preserve">13、本项目行政监督部门为“营口市城乡建设与公用事业中心”     </w:t>
            </w:r>
          </w:p>
          <w:p w14:paraId="1BA01CFE">
            <w:pPr>
              <w:rPr>
                <w:rFonts w:hint="eastAsia" w:ascii="仿宋_GB2312" w:eastAsia="仿宋_GB2312"/>
                <w:color w:val="auto"/>
                <w:sz w:val="24"/>
                <w:szCs w:val="24"/>
                <w:highlight w:val="none"/>
              </w:rPr>
            </w:pPr>
            <w:r>
              <w:rPr>
                <w:rFonts w:hint="eastAsia" w:ascii="仿宋_GB2312" w:eastAsia="仿宋_GB2312"/>
                <w:color w:val="auto"/>
                <w:sz w:val="24"/>
                <w:szCs w:val="24"/>
                <w:highlight w:val="none"/>
              </w:rPr>
              <w:t>14、未尽事宜将依照《中华人民共和国招标投标法》及相关法规执行。</w:t>
            </w:r>
            <w:bookmarkEnd w:id="53"/>
          </w:p>
          <w:p w14:paraId="558CAA12">
            <w:pPr>
              <w:rPr>
                <w:rFonts w:hint="eastAsia" w:ascii="仿宋_GB2312" w:eastAsia="仿宋_GB2312"/>
                <w:color w:val="auto"/>
                <w:sz w:val="24"/>
                <w:szCs w:val="24"/>
                <w:highlight w:val="none"/>
              </w:rPr>
            </w:pPr>
            <w:bookmarkStart w:id="54" w:name="EB941e643d7ee341f88f0f1eaefb572edc"/>
            <w:r>
              <w:rPr>
                <w:rFonts w:hint="eastAsia" w:ascii="仿宋_GB2312" w:eastAsia="仿宋_GB2312"/>
                <w:color w:val="auto"/>
                <w:sz w:val="24"/>
                <w:szCs w:val="24"/>
                <w:highlight w:val="none"/>
              </w:rPr>
              <w:t xml:space="preserve"> </w:t>
            </w:r>
            <w:bookmarkEnd w:id="54"/>
          </w:p>
          <w:p w14:paraId="44DDAE01">
            <w:pPr>
              <w:rPr>
                <w:rFonts w:hint="eastAsia" w:ascii="仿宋_GB2312" w:eastAsia="仿宋_GB2312"/>
                <w:color w:val="auto"/>
                <w:sz w:val="24"/>
                <w:szCs w:val="24"/>
                <w:highlight w:val="none"/>
                <w:lang w:val="en-US" w:eastAsia="en-US"/>
              </w:rPr>
            </w:pPr>
            <w:r>
              <w:rPr>
                <w:rFonts w:hint="eastAsia" w:ascii="仿宋_GB2312" w:eastAsia="仿宋_GB2312"/>
                <w:color w:val="auto"/>
                <w:sz w:val="24"/>
                <w:szCs w:val="24"/>
                <w:highlight w:val="none"/>
                <w:lang w:val="en-US" w:eastAsia="zh-CN"/>
              </w:rPr>
              <w:t>15、</w:t>
            </w:r>
            <w:r>
              <w:rPr>
                <w:rFonts w:hint="eastAsia" w:ascii="仿宋_GB2312" w:eastAsia="仿宋_GB2312"/>
                <w:color w:val="auto"/>
                <w:sz w:val="24"/>
                <w:szCs w:val="24"/>
                <w:highlight w:val="none"/>
                <w:lang w:val="en-US" w:eastAsia="en-US"/>
              </w:rPr>
              <w:t xml:space="preserve"> 工程进度款支付</w:t>
            </w:r>
          </w:p>
          <w:p w14:paraId="69118CB3">
            <w:pP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en-US"/>
              </w:rPr>
              <w:t>1)</w:t>
            </w:r>
            <w:r>
              <w:rPr>
                <w:rFonts w:hint="eastAsia" w:ascii="仿宋_GB2312" w:eastAsia="仿宋_GB2312"/>
                <w:color w:val="auto"/>
                <w:sz w:val="24"/>
                <w:szCs w:val="24"/>
                <w:highlight w:val="none"/>
                <w:lang w:val="en-US" w:eastAsia="zh-CN"/>
              </w:rPr>
              <w:t>按照工程形象进度支付已完工程额的80%。项目结算后支付至合同金额的97%，3%为质量保证金</w:t>
            </w:r>
            <w:r>
              <w:rPr>
                <w:rFonts w:hint="eastAsia" w:ascii="仿宋_GB2312" w:eastAsia="仿宋_GB2312"/>
                <w:color w:val="auto"/>
                <w:sz w:val="24"/>
                <w:szCs w:val="24"/>
                <w:highlight w:val="none"/>
                <w:lang w:val="en-US" w:eastAsia="en-US"/>
              </w:rPr>
              <w:t>；</w:t>
            </w:r>
            <w:r>
              <w:rPr>
                <w:rFonts w:hint="eastAsia" w:ascii="仿宋_GB2312" w:eastAsia="仿宋_GB2312"/>
                <w:color w:val="auto"/>
                <w:sz w:val="24"/>
                <w:szCs w:val="24"/>
                <w:highlight w:val="none"/>
                <w:lang w:val="en-US" w:eastAsia="en-US"/>
              </w:rPr>
              <w:cr/>
            </w:r>
            <w:r>
              <w:rPr>
                <w:rFonts w:hint="eastAsia" w:ascii="仿宋_GB2312" w:eastAsia="仿宋_GB2312"/>
                <w:color w:val="auto"/>
                <w:sz w:val="24"/>
                <w:szCs w:val="24"/>
                <w:highlight w:val="none"/>
                <w:lang w:val="en-US" w:eastAsia="en-US"/>
              </w:rPr>
              <w:t xml:space="preserve">   2)承包人应于每月 25 日向监理人报送上月 20 日至当月 19 日已完成的工程量报告，并附具进度付款申请单、已完成工程量报表和有关资料。 </w:t>
            </w:r>
            <w:r>
              <w:rPr>
                <w:rFonts w:hint="eastAsia" w:ascii="仿宋_GB2312" w:eastAsia="仿宋_GB2312"/>
                <w:color w:val="auto"/>
                <w:sz w:val="24"/>
                <w:szCs w:val="24"/>
                <w:highlight w:val="none"/>
                <w:lang w:val="en-US" w:eastAsia="en-US"/>
              </w:rPr>
              <w:cr/>
            </w:r>
            <w:r>
              <w:rPr>
                <w:rFonts w:hint="eastAsia" w:ascii="仿宋_GB2312" w:eastAsia="仿宋_GB2312"/>
                <w:color w:val="auto"/>
                <w:sz w:val="24"/>
                <w:szCs w:val="24"/>
                <w:highlight w:val="none"/>
                <w:lang w:val="en-US" w:eastAsia="en-US"/>
              </w:rPr>
              <w:t xml:space="preserve">   3)监理人应在收到承包人提交的工程量报告后 7 天内完成对承包人提交的工程量报表的审核并报送发包人，以确定当月实际完成的工程量。</w:t>
            </w:r>
            <w:r>
              <w:rPr>
                <w:rFonts w:hint="eastAsia" w:ascii="仿宋_GB2312" w:eastAsia="仿宋_GB2312"/>
                <w:color w:val="auto"/>
                <w:sz w:val="24"/>
                <w:szCs w:val="24"/>
                <w:highlight w:val="none"/>
                <w:lang w:val="en-US" w:eastAsia="en-US"/>
              </w:rPr>
              <w:cr/>
            </w:r>
            <w:r>
              <w:rPr>
                <w:rFonts w:hint="eastAsia" w:ascii="仿宋_GB2312" w:eastAsia="仿宋_GB2312"/>
                <w:color w:val="auto"/>
                <w:sz w:val="24"/>
                <w:szCs w:val="24"/>
                <w:highlight w:val="none"/>
                <w:lang w:val="en-US" w:eastAsia="en-US"/>
              </w:rPr>
              <w:t xml:space="preserve">   4)</w:t>
            </w:r>
            <w:r>
              <w:rPr>
                <w:rFonts w:hint="eastAsia" w:ascii="仿宋_GB2312" w:eastAsia="仿宋_GB2312"/>
                <w:color w:val="auto"/>
                <w:sz w:val="24"/>
                <w:szCs w:val="24"/>
                <w:highlight w:val="none"/>
                <w:lang w:val="en-US" w:eastAsia="zh-CN"/>
              </w:rPr>
              <w:t>竣工验收后，乙方负责向政府相关部门报验并通过审核验收合格，同时提交相关档案后，支付全部合同金额的 97%，合同金额的 3%作为质保金;</w:t>
            </w:r>
            <w:r>
              <w:rPr>
                <w:rFonts w:hint="eastAsia" w:ascii="仿宋_GB2312" w:eastAsia="仿宋_GB2312"/>
                <w:color w:val="auto"/>
                <w:sz w:val="24"/>
                <w:szCs w:val="24"/>
                <w:highlight w:val="none"/>
                <w:lang w:val="en-US" w:eastAsia="en-US"/>
              </w:rPr>
              <w:t xml:space="preserve"> </w:t>
            </w:r>
            <w:r>
              <w:rPr>
                <w:rFonts w:hint="eastAsia" w:ascii="仿宋_GB2312" w:eastAsia="仿宋_GB2312"/>
                <w:color w:val="auto"/>
                <w:sz w:val="24"/>
                <w:szCs w:val="24"/>
                <w:highlight w:val="none"/>
                <w:lang w:val="en-US" w:eastAsia="en-US"/>
              </w:rPr>
              <w:cr/>
            </w:r>
            <w:r>
              <w:rPr>
                <w:rFonts w:hint="eastAsia" w:ascii="仿宋_GB2312" w:eastAsia="仿宋_GB2312"/>
                <w:color w:val="auto"/>
                <w:sz w:val="24"/>
                <w:szCs w:val="24"/>
                <w:highlight w:val="none"/>
                <w:lang w:val="en-US" w:eastAsia="en-US"/>
              </w:rPr>
              <w:t xml:space="preserve">   </w:t>
            </w:r>
          </w:p>
          <w:p w14:paraId="75DD3559">
            <w:pPr>
              <w:pStyle w:val="11"/>
              <w:spacing w:before="240" w:line="332" w:lineRule="exact"/>
              <w:rPr>
                <w:rFonts w:hint="eastAsia" w:ascii="仿宋_GB2312" w:eastAsia="仿宋_GB2312"/>
                <w:color w:val="auto"/>
                <w:sz w:val="24"/>
                <w:szCs w:val="24"/>
                <w:highlight w:val="none"/>
              </w:rPr>
            </w:pPr>
          </w:p>
        </w:tc>
      </w:tr>
    </w:tbl>
    <w:p w14:paraId="09D49BAC">
      <w:pPr>
        <w:pStyle w:val="3"/>
        <w:rPr>
          <w:color w:val="auto"/>
          <w:highlight w:val="none"/>
        </w:rPr>
      </w:pPr>
    </w:p>
    <w:p w14:paraId="3634F38C">
      <w:pPr>
        <w:pStyle w:val="3"/>
        <w:spacing w:line="308" w:lineRule="auto"/>
        <w:rPr>
          <w:color w:val="auto"/>
          <w:highlight w:val="none"/>
        </w:rPr>
      </w:pPr>
    </w:p>
    <w:p w14:paraId="0AF628F8">
      <w:pPr>
        <w:spacing w:before="88" w:line="224" w:lineRule="auto"/>
        <w:ind w:left="18"/>
        <w:outlineLvl w:val="1"/>
        <w:rPr>
          <w:rFonts w:ascii="黑体" w:hAnsi="黑体" w:eastAsia="黑体" w:cs="黑体"/>
          <w:color w:val="auto"/>
          <w:sz w:val="27"/>
          <w:szCs w:val="27"/>
          <w:highlight w:val="none"/>
        </w:rPr>
      </w:pPr>
      <w:bookmarkStart w:id="55" w:name="bookmark78"/>
      <w:bookmarkEnd w:id="55"/>
      <w:bookmarkStart w:id="56" w:name="bookmark74"/>
      <w:bookmarkEnd w:id="56"/>
      <w:bookmarkStart w:id="57" w:name="bookmark76"/>
      <w:bookmarkEnd w:id="57"/>
      <w:bookmarkStart w:id="58" w:name="bookmark77"/>
      <w:bookmarkEnd w:id="58"/>
      <w:bookmarkStart w:id="59" w:name="bookmark79"/>
      <w:bookmarkEnd w:id="59"/>
      <w:bookmarkStart w:id="60" w:name="bookmark81"/>
      <w:bookmarkEnd w:id="60"/>
      <w:bookmarkStart w:id="61" w:name="bookmark75"/>
      <w:bookmarkEnd w:id="61"/>
      <w:bookmarkStart w:id="62" w:name="bookmark80"/>
      <w:bookmarkEnd w:id="62"/>
      <w:r>
        <w:rPr>
          <w:rFonts w:ascii="黑体" w:hAnsi="黑体" w:eastAsia="黑体" w:cs="黑体"/>
          <w:color w:val="auto"/>
          <w:spacing w:val="8"/>
          <w:sz w:val="27"/>
          <w:szCs w:val="27"/>
          <w:highlight w:val="none"/>
        </w:rPr>
        <w:t>投标人须知正文部分</w:t>
      </w:r>
    </w:p>
    <w:p w14:paraId="1BD19E48">
      <w:pPr>
        <w:spacing w:before="132" w:line="225" w:lineRule="auto"/>
        <w:ind w:left="42"/>
        <w:rPr>
          <w:rFonts w:ascii="黑体" w:hAnsi="黑体" w:eastAsia="黑体" w:cs="黑体"/>
          <w:color w:val="auto"/>
          <w:sz w:val="27"/>
          <w:szCs w:val="27"/>
          <w:highlight w:val="none"/>
        </w:rPr>
      </w:pPr>
      <w:r>
        <w:rPr>
          <w:rFonts w:ascii="Times New Roman" w:hAnsi="Times New Roman" w:eastAsia="Times New Roman" w:cs="Times New Roman"/>
          <w:color w:val="auto"/>
          <w:spacing w:val="-7"/>
          <w:sz w:val="27"/>
          <w:szCs w:val="27"/>
          <w:highlight w:val="none"/>
        </w:rPr>
        <w:t>1.</w:t>
      </w:r>
      <w:r>
        <w:rPr>
          <w:rFonts w:ascii="Times New Roman" w:hAnsi="Times New Roman" w:eastAsia="Times New Roman" w:cs="Times New Roman"/>
          <w:color w:val="auto"/>
          <w:spacing w:val="24"/>
          <w:w w:val="101"/>
          <w:sz w:val="27"/>
          <w:szCs w:val="27"/>
          <w:highlight w:val="none"/>
        </w:rPr>
        <w:t xml:space="preserve"> </w:t>
      </w:r>
      <w:r>
        <w:rPr>
          <w:rFonts w:ascii="黑体" w:hAnsi="黑体" w:eastAsia="黑体" w:cs="黑体"/>
          <w:color w:val="auto"/>
          <w:spacing w:val="-7"/>
          <w:sz w:val="27"/>
          <w:szCs w:val="27"/>
          <w:highlight w:val="none"/>
        </w:rPr>
        <w:t>总则</w:t>
      </w:r>
    </w:p>
    <w:p w14:paraId="1C22EE43">
      <w:pPr>
        <w:spacing w:before="65" w:line="218"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1.1</w:t>
      </w:r>
      <w:r>
        <w:rPr>
          <w:rFonts w:ascii="Times New Roman" w:hAnsi="Times New Roman" w:eastAsia="Times New Roman" w:cs="Times New Roman"/>
          <w:color w:val="auto"/>
          <w:spacing w:val="13"/>
          <w:sz w:val="24"/>
          <w:szCs w:val="24"/>
          <w:highlight w:val="none"/>
        </w:rPr>
        <w:t xml:space="preserve"> </w:t>
      </w:r>
      <w:r>
        <w:rPr>
          <w:rFonts w:ascii="黑体" w:hAnsi="黑体" w:eastAsia="黑体" w:cs="黑体"/>
          <w:color w:val="auto"/>
          <w:spacing w:val="-5"/>
          <w:sz w:val="24"/>
          <w:szCs w:val="24"/>
          <w:highlight w:val="none"/>
        </w:rPr>
        <w:t>项目概况</w:t>
      </w:r>
    </w:p>
    <w:p w14:paraId="43FCFEB8">
      <w:pPr>
        <w:spacing w:before="101" w:line="268" w:lineRule="auto"/>
        <w:ind w:left="58" w:right="3" w:firstLine="399"/>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1.1.1</w:t>
      </w:r>
      <w:r>
        <w:rPr>
          <w:rFonts w:ascii="Times New Roman" w:hAnsi="Times New Roman" w:eastAsia="Times New Roman" w:cs="Times New Roman"/>
          <w:color w:val="auto"/>
          <w:spacing w:val="47"/>
          <w:w w:val="101"/>
          <w:sz w:val="21"/>
          <w:szCs w:val="21"/>
          <w:highlight w:val="none"/>
        </w:rPr>
        <w:t xml:space="preserve"> </w:t>
      </w:r>
      <w:r>
        <w:rPr>
          <w:rFonts w:ascii="宋体" w:hAnsi="宋体" w:eastAsia="宋体" w:cs="宋体"/>
          <w:color w:val="auto"/>
          <w:sz w:val="21"/>
          <w:szCs w:val="21"/>
          <w:highlight w:val="none"/>
        </w:rPr>
        <w:t xml:space="preserve">根据《中华人民共和国招标投标法》等有关法律、法规和规章的规定，本招标项 </w:t>
      </w:r>
      <w:r>
        <w:rPr>
          <w:rFonts w:ascii="宋体" w:hAnsi="宋体" w:eastAsia="宋体" w:cs="宋体"/>
          <w:color w:val="auto"/>
          <w:spacing w:val="-8"/>
          <w:sz w:val="21"/>
          <w:szCs w:val="21"/>
          <w:highlight w:val="none"/>
        </w:rPr>
        <w:t>目已具备招标条件， 现对本标段施工进行招标。</w:t>
      </w:r>
    </w:p>
    <w:p w14:paraId="5E62525E">
      <w:pPr>
        <w:spacing w:before="110"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1.1.2 </w:t>
      </w:r>
      <w:r>
        <w:rPr>
          <w:rFonts w:ascii="宋体" w:hAnsi="宋体" w:eastAsia="宋体" w:cs="宋体"/>
          <w:color w:val="auto"/>
          <w:spacing w:val="-2"/>
          <w:sz w:val="21"/>
          <w:szCs w:val="21"/>
          <w:highlight w:val="none"/>
        </w:rPr>
        <w:t>本招标项目招标人：见投标人须知前附表。</w:t>
      </w:r>
    </w:p>
    <w:p w14:paraId="6FFC9907">
      <w:pPr>
        <w:spacing w:before="109"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1.1.3 </w:t>
      </w:r>
      <w:r>
        <w:rPr>
          <w:rFonts w:ascii="宋体" w:hAnsi="宋体" w:eastAsia="宋体" w:cs="宋体"/>
          <w:color w:val="auto"/>
          <w:spacing w:val="-1"/>
          <w:sz w:val="21"/>
          <w:szCs w:val="21"/>
          <w:highlight w:val="none"/>
        </w:rPr>
        <w:t>本标段招标代理机构：见投标人须知前附表。</w:t>
      </w:r>
    </w:p>
    <w:p w14:paraId="263E9AA3">
      <w:pPr>
        <w:spacing w:before="110"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1.1.4 </w:t>
      </w:r>
      <w:r>
        <w:rPr>
          <w:rFonts w:ascii="宋体" w:hAnsi="宋体" w:eastAsia="宋体" w:cs="宋体"/>
          <w:color w:val="auto"/>
          <w:spacing w:val="-2"/>
          <w:sz w:val="21"/>
          <w:szCs w:val="21"/>
          <w:highlight w:val="none"/>
        </w:rPr>
        <w:t>本标段项目名称：见投标人须知前附表。</w:t>
      </w:r>
    </w:p>
    <w:p w14:paraId="23EE8DE7">
      <w:pPr>
        <w:spacing w:before="110"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1.1.5 </w:t>
      </w:r>
      <w:r>
        <w:rPr>
          <w:rFonts w:ascii="宋体" w:hAnsi="宋体" w:eastAsia="宋体" w:cs="宋体"/>
          <w:color w:val="auto"/>
          <w:spacing w:val="-2"/>
          <w:sz w:val="21"/>
          <w:szCs w:val="21"/>
          <w:highlight w:val="none"/>
        </w:rPr>
        <w:t>本标段建设地点：见投标人须知前附表。</w:t>
      </w:r>
    </w:p>
    <w:p w14:paraId="3432AB97">
      <w:pPr>
        <w:spacing w:before="110" w:line="219"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1.1.6 </w:t>
      </w:r>
      <w:r>
        <w:rPr>
          <w:rFonts w:ascii="宋体" w:hAnsi="宋体" w:eastAsia="宋体" w:cs="宋体"/>
          <w:color w:val="auto"/>
          <w:spacing w:val="-1"/>
          <w:sz w:val="21"/>
          <w:szCs w:val="21"/>
          <w:highlight w:val="none"/>
        </w:rPr>
        <w:t>本招标项目投资估算：见投标人须知前附表。</w:t>
      </w:r>
    </w:p>
    <w:p w14:paraId="64B8E1C4">
      <w:pPr>
        <w:spacing w:before="111"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 xml:space="preserve">1.1.7 </w:t>
      </w:r>
      <w:r>
        <w:rPr>
          <w:rFonts w:ascii="宋体" w:hAnsi="宋体" w:eastAsia="宋体" w:cs="宋体"/>
          <w:color w:val="auto"/>
          <w:spacing w:val="-5"/>
          <w:sz w:val="21"/>
          <w:szCs w:val="21"/>
          <w:highlight w:val="none"/>
        </w:rPr>
        <w:t>本标段采用的电子交易系统名称： 见投标人须知前附表。</w:t>
      </w:r>
    </w:p>
    <w:p w14:paraId="782D250C">
      <w:pPr>
        <w:spacing w:before="85" w:line="218"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4"/>
          <w:sz w:val="24"/>
          <w:szCs w:val="24"/>
          <w:highlight w:val="none"/>
        </w:rPr>
        <w:t>1.2</w:t>
      </w:r>
      <w:r>
        <w:rPr>
          <w:rFonts w:ascii="Times New Roman" w:hAnsi="Times New Roman" w:eastAsia="Times New Roman" w:cs="Times New Roman"/>
          <w:color w:val="auto"/>
          <w:spacing w:val="26"/>
          <w:sz w:val="24"/>
          <w:szCs w:val="24"/>
          <w:highlight w:val="none"/>
        </w:rPr>
        <w:t xml:space="preserve"> </w:t>
      </w:r>
      <w:r>
        <w:rPr>
          <w:rFonts w:ascii="黑体" w:hAnsi="黑体" w:eastAsia="黑体" w:cs="黑体"/>
          <w:color w:val="auto"/>
          <w:spacing w:val="-4"/>
          <w:sz w:val="24"/>
          <w:szCs w:val="24"/>
          <w:highlight w:val="none"/>
        </w:rPr>
        <w:t>资金来源和落实情况</w:t>
      </w:r>
    </w:p>
    <w:p w14:paraId="3C7FCFEC">
      <w:pPr>
        <w:spacing w:before="102"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 xml:space="preserve">1.2.1 </w:t>
      </w:r>
      <w:r>
        <w:rPr>
          <w:rFonts w:ascii="宋体" w:hAnsi="宋体" w:eastAsia="宋体" w:cs="宋体"/>
          <w:color w:val="auto"/>
          <w:spacing w:val="-5"/>
          <w:sz w:val="21"/>
          <w:szCs w:val="21"/>
          <w:highlight w:val="none"/>
        </w:rPr>
        <w:t>本招标项目的资金来源： 见投标人须知前附</w:t>
      </w:r>
      <w:r>
        <w:rPr>
          <w:rFonts w:ascii="宋体" w:hAnsi="宋体" w:eastAsia="宋体" w:cs="宋体"/>
          <w:color w:val="auto"/>
          <w:spacing w:val="-6"/>
          <w:sz w:val="21"/>
          <w:szCs w:val="21"/>
          <w:highlight w:val="none"/>
        </w:rPr>
        <w:t>表。</w:t>
      </w:r>
    </w:p>
    <w:p w14:paraId="55AAE02B">
      <w:pPr>
        <w:spacing w:before="110"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 xml:space="preserve">1.2.2 </w:t>
      </w:r>
      <w:r>
        <w:rPr>
          <w:rFonts w:ascii="宋体" w:hAnsi="宋体" w:eastAsia="宋体" w:cs="宋体"/>
          <w:color w:val="auto"/>
          <w:spacing w:val="-5"/>
          <w:sz w:val="21"/>
          <w:szCs w:val="21"/>
          <w:highlight w:val="none"/>
        </w:rPr>
        <w:t>本招标项目的出资比例： 见投标人须知前附</w:t>
      </w:r>
      <w:r>
        <w:rPr>
          <w:rFonts w:ascii="宋体" w:hAnsi="宋体" w:eastAsia="宋体" w:cs="宋体"/>
          <w:color w:val="auto"/>
          <w:spacing w:val="-6"/>
          <w:sz w:val="21"/>
          <w:szCs w:val="21"/>
          <w:highlight w:val="none"/>
        </w:rPr>
        <w:t>表。</w:t>
      </w:r>
    </w:p>
    <w:p w14:paraId="7790D8CC">
      <w:pPr>
        <w:spacing w:before="110" w:line="219"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1.2.3 </w:t>
      </w:r>
      <w:r>
        <w:rPr>
          <w:rFonts w:ascii="宋体" w:hAnsi="宋体" w:eastAsia="宋体" w:cs="宋体"/>
          <w:color w:val="auto"/>
          <w:spacing w:val="-2"/>
          <w:sz w:val="21"/>
          <w:szCs w:val="21"/>
          <w:highlight w:val="none"/>
        </w:rPr>
        <w:t>本标段合同估算价：见投标人须知前附表。</w:t>
      </w:r>
    </w:p>
    <w:p w14:paraId="452C963F">
      <w:pPr>
        <w:spacing w:before="110"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1.2.4 </w:t>
      </w:r>
      <w:r>
        <w:rPr>
          <w:rFonts w:ascii="宋体" w:hAnsi="宋体" w:eastAsia="宋体" w:cs="宋体"/>
          <w:color w:val="auto"/>
          <w:spacing w:val="-1"/>
          <w:sz w:val="21"/>
          <w:szCs w:val="21"/>
          <w:highlight w:val="none"/>
        </w:rPr>
        <w:t>本标段资金落实情况：见投标人须知前附表。</w:t>
      </w:r>
    </w:p>
    <w:p w14:paraId="67C78DE9">
      <w:pPr>
        <w:spacing w:before="85" w:line="220"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 xml:space="preserve">1.3 </w:t>
      </w:r>
      <w:r>
        <w:rPr>
          <w:rFonts w:ascii="黑体" w:hAnsi="黑体" w:eastAsia="黑体" w:cs="黑体"/>
          <w:color w:val="auto"/>
          <w:spacing w:val="-2"/>
          <w:sz w:val="24"/>
          <w:szCs w:val="24"/>
          <w:highlight w:val="none"/>
        </w:rPr>
        <w:t>招标范围、计划工期和质量要求</w:t>
      </w:r>
    </w:p>
    <w:p w14:paraId="65ACE6B0">
      <w:pPr>
        <w:spacing w:before="99"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 xml:space="preserve">1.3.1 </w:t>
      </w:r>
      <w:r>
        <w:rPr>
          <w:rFonts w:ascii="宋体" w:hAnsi="宋体" w:eastAsia="宋体" w:cs="宋体"/>
          <w:color w:val="auto"/>
          <w:spacing w:val="-6"/>
          <w:sz w:val="21"/>
          <w:szCs w:val="21"/>
          <w:highlight w:val="none"/>
        </w:rPr>
        <w:t>本次招标范围： 见投标人须知前附表。</w:t>
      </w:r>
    </w:p>
    <w:p w14:paraId="0B418907">
      <w:pPr>
        <w:spacing w:before="110"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1.3.2 </w:t>
      </w:r>
      <w:r>
        <w:rPr>
          <w:rFonts w:ascii="宋体" w:hAnsi="宋体" w:eastAsia="宋体" w:cs="宋体"/>
          <w:color w:val="auto"/>
          <w:spacing w:val="-2"/>
          <w:sz w:val="21"/>
          <w:szCs w:val="21"/>
          <w:highlight w:val="none"/>
        </w:rPr>
        <w:t>本标段的计划工期：见投标人须知前附表。</w:t>
      </w:r>
    </w:p>
    <w:p w14:paraId="050FDAD9">
      <w:pPr>
        <w:spacing w:before="110" w:line="335" w:lineRule="exact"/>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9"/>
          <w:sz w:val="21"/>
          <w:szCs w:val="21"/>
          <w:highlight w:val="none"/>
        </w:rPr>
        <w:t xml:space="preserve">1.3.3 </w:t>
      </w:r>
      <w:r>
        <w:rPr>
          <w:rFonts w:ascii="宋体" w:hAnsi="宋体" w:eastAsia="宋体" w:cs="宋体"/>
          <w:color w:val="auto"/>
          <w:spacing w:val="-2"/>
          <w:position w:val="9"/>
          <w:sz w:val="21"/>
          <w:szCs w:val="21"/>
          <w:highlight w:val="none"/>
        </w:rPr>
        <w:t>本标段的质量要求：见投标人须知前附表。</w:t>
      </w:r>
    </w:p>
    <w:p w14:paraId="304D5423">
      <w:pPr>
        <w:spacing w:before="1" w:line="218"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 xml:space="preserve">1.4 </w:t>
      </w:r>
      <w:r>
        <w:rPr>
          <w:rFonts w:ascii="黑体" w:hAnsi="黑体" w:eastAsia="黑体" w:cs="黑体"/>
          <w:color w:val="auto"/>
          <w:spacing w:val="-2"/>
          <w:sz w:val="24"/>
          <w:szCs w:val="24"/>
          <w:highlight w:val="none"/>
        </w:rPr>
        <w:t>投标人资格要求</w:t>
      </w:r>
    </w:p>
    <w:p w14:paraId="598C2B29">
      <w:pPr>
        <w:spacing w:before="101" w:line="360" w:lineRule="exact"/>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1"/>
          <w:sz w:val="21"/>
          <w:szCs w:val="21"/>
          <w:highlight w:val="none"/>
        </w:rPr>
        <w:t xml:space="preserve">1.4.1 </w:t>
      </w:r>
      <w:r>
        <w:rPr>
          <w:rFonts w:ascii="宋体" w:hAnsi="宋体" w:eastAsia="宋体" w:cs="宋体"/>
          <w:color w:val="auto"/>
          <w:spacing w:val="-2"/>
          <w:position w:val="11"/>
          <w:sz w:val="21"/>
          <w:szCs w:val="21"/>
          <w:highlight w:val="none"/>
        </w:rPr>
        <w:t>投标人应具备承担本标段施工的资质条件、能力和信誉。</w:t>
      </w:r>
    </w:p>
    <w:p w14:paraId="278892D5">
      <w:pPr>
        <w:spacing w:before="1" w:line="219" w:lineRule="auto"/>
        <w:ind w:left="74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）资质条件：见投标人须知前附表；</w:t>
      </w:r>
    </w:p>
    <w:p w14:paraId="579BA31D">
      <w:pPr>
        <w:spacing w:before="110" w:line="220" w:lineRule="auto"/>
        <w:ind w:left="74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2</w:t>
      </w:r>
      <w:r>
        <w:rPr>
          <w:rFonts w:ascii="宋体" w:hAnsi="宋体" w:eastAsia="宋体" w:cs="宋体"/>
          <w:color w:val="auto"/>
          <w:spacing w:val="-5"/>
          <w:sz w:val="21"/>
          <w:szCs w:val="21"/>
          <w:highlight w:val="none"/>
        </w:rPr>
        <w:t>）财务要求：见投标人须知前附表（如有</w:t>
      </w:r>
      <w:r>
        <w:rPr>
          <w:rFonts w:ascii="宋体" w:hAnsi="宋体" w:eastAsia="宋体" w:cs="宋体"/>
          <w:color w:val="auto"/>
          <w:spacing w:val="-15"/>
          <w:sz w:val="21"/>
          <w:szCs w:val="21"/>
          <w:highlight w:val="none"/>
        </w:rPr>
        <w:t>）；</w:t>
      </w:r>
    </w:p>
    <w:p w14:paraId="74977840">
      <w:pPr>
        <w:spacing w:before="109" w:line="220" w:lineRule="auto"/>
        <w:ind w:left="74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3</w:t>
      </w:r>
      <w:r>
        <w:rPr>
          <w:rFonts w:ascii="宋体" w:hAnsi="宋体" w:eastAsia="宋体" w:cs="宋体"/>
          <w:color w:val="auto"/>
          <w:spacing w:val="-5"/>
          <w:sz w:val="21"/>
          <w:szCs w:val="21"/>
          <w:highlight w:val="none"/>
        </w:rPr>
        <w:t>）业绩要求：见投标人须知前附表（如有</w:t>
      </w:r>
      <w:r>
        <w:rPr>
          <w:rFonts w:ascii="宋体" w:hAnsi="宋体" w:eastAsia="宋体" w:cs="宋体"/>
          <w:color w:val="auto"/>
          <w:spacing w:val="-15"/>
          <w:sz w:val="21"/>
          <w:szCs w:val="21"/>
          <w:highlight w:val="none"/>
        </w:rPr>
        <w:t>）；</w:t>
      </w:r>
    </w:p>
    <w:p w14:paraId="2DCFD188">
      <w:pPr>
        <w:spacing w:before="110" w:line="220" w:lineRule="auto"/>
        <w:ind w:left="74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4</w:t>
      </w:r>
      <w:r>
        <w:rPr>
          <w:rFonts w:ascii="宋体" w:hAnsi="宋体" w:eastAsia="宋体" w:cs="宋体"/>
          <w:color w:val="auto"/>
          <w:spacing w:val="-3"/>
          <w:sz w:val="21"/>
          <w:szCs w:val="21"/>
          <w:highlight w:val="none"/>
        </w:rPr>
        <w:t>）信誉要求：见投标人须知前附表；</w:t>
      </w:r>
    </w:p>
    <w:p w14:paraId="24F31D6F">
      <w:pPr>
        <w:spacing w:before="111" w:line="220" w:lineRule="auto"/>
        <w:ind w:left="745"/>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w:t>
      </w:r>
      <w:r>
        <w:rPr>
          <w:rFonts w:ascii="Times New Roman" w:hAnsi="Times New Roman" w:eastAsia="Times New Roman" w:cs="Times New Roman"/>
          <w:color w:val="auto"/>
          <w:spacing w:val="-7"/>
          <w:sz w:val="21"/>
          <w:szCs w:val="21"/>
          <w:highlight w:val="none"/>
        </w:rPr>
        <w:t>5</w:t>
      </w:r>
      <w:r>
        <w:rPr>
          <w:rFonts w:ascii="宋体" w:hAnsi="宋体" w:eastAsia="宋体" w:cs="宋体"/>
          <w:color w:val="auto"/>
          <w:spacing w:val="-7"/>
          <w:sz w:val="21"/>
          <w:szCs w:val="21"/>
          <w:highlight w:val="none"/>
        </w:rPr>
        <w:t>）项目经理资格： 见投标人须知前附表；</w:t>
      </w:r>
    </w:p>
    <w:p w14:paraId="73D758B7">
      <w:pPr>
        <w:spacing w:before="110" w:line="360" w:lineRule="exact"/>
        <w:ind w:left="745"/>
        <w:rPr>
          <w:rFonts w:ascii="宋体" w:hAnsi="宋体" w:eastAsia="宋体" w:cs="宋体"/>
          <w:color w:val="auto"/>
          <w:sz w:val="21"/>
          <w:szCs w:val="21"/>
          <w:highlight w:val="none"/>
        </w:rPr>
      </w:pPr>
      <w:r>
        <w:rPr>
          <w:rFonts w:ascii="宋体" w:hAnsi="宋体" w:eastAsia="宋体" w:cs="宋体"/>
          <w:color w:val="auto"/>
          <w:spacing w:val="-2"/>
          <w:position w:val="11"/>
          <w:sz w:val="21"/>
          <w:szCs w:val="21"/>
          <w:highlight w:val="none"/>
        </w:rPr>
        <w:t>（</w:t>
      </w:r>
      <w:r>
        <w:rPr>
          <w:rFonts w:ascii="Times New Roman" w:hAnsi="Times New Roman" w:eastAsia="Times New Roman" w:cs="Times New Roman"/>
          <w:color w:val="auto"/>
          <w:spacing w:val="-2"/>
          <w:position w:val="11"/>
          <w:sz w:val="21"/>
          <w:szCs w:val="21"/>
          <w:highlight w:val="none"/>
        </w:rPr>
        <w:t>6</w:t>
      </w:r>
      <w:r>
        <w:rPr>
          <w:rFonts w:ascii="宋体" w:hAnsi="宋体" w:eastAsia="宋体" w:cs="宋体"/>
          <w:color w:val="auto"/>
          <w:spacing w:val="-2"/>
          <w:position w:val="11"/>
          <w:sz w:val="21"/>
          <w:szCs w:val="21"/>
          <w:highlight w:val="none"/>
        </w:rPr>
        <w:t>）项目管理机构主要人员要求：见投标人须知前附表；</w:t>
      </w:r>
    </w:p>
    <w:p w14:paraId="06907419">
      <w:pPr>
        <w:spacing w:line="219" w:lineRule="auto"/>
        <w:ind w:left="74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7</w:t>
      </w:r>
      <w:r>
        <w:rPr>
          <w:rFonts w:ascii="宋体" w:hAnsi="宋体" w:eastAsia="宋体" w:cs="宋体"/>
          <w:color w:val="auto"/>
          <w:spacing w:val="-2"/>
          <w:sz w:val="21"/>
          <w:szCs w:val="21"/>
          <w:highlight w:val="none"/>
        </w:rPr>
        <w:t>）其他要求：见投标人须知前附表。</w:t>
      </w:r>
    </w:p>
    <w:p w14:paraId="3243B200">
      <w:pPr>
        <w:spacing w:before="111" w:line="268" w:lineRule="auto"/>
        <w:ind w:left="21" w:right="1" w:firstLine="436"/>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1.4.2 </w:t>
      </w:r>
      <w:r>
        <w:rPr>
          <w:rFonts w:ascii="宋体" w:hAnsi="宋体" w:eastAsia="宋体" w:cs="宋体"/>
          <w:color w:val="auto"/>
          <w:spacing w:val="-2"/>
          <w:sz w:val="21"/>
          <w:szCs w:val="21"/>
          <w:highlight w:val="none"/>
        </w:rPr>
        <w:t>投标人须知前附表规定接受联合体投标的，除应符合本章第</w:t>
      </w:r>
      <w:r>
        <w:rPr>
          <w:rFonts w:ascii="宋体" w:hAnsi="宋体" w:eastAsia="宋体" w:cs="宋体"/>
          <w:color w:val="auto"/>
          <w:spacing w:val="-18"/>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1.4.1 </w:t>
      </w:r>
      <w:r>
        <w:rPr>
          <w:rFonts w:ascii="宋体" w:hAnsi="宋体" w:eastAsia="宋体" w:cs="宋体"/>
          <w:color w:val="auto"/>
          <w:spacing w:val="-2"/>
          <w:sz w:val="21"/>
          <w:szCs w:val="21"/>
          <w:highlight w:val="none"/>
        </w:rPr>
        <w:t>项和投标人须知</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前附表的要求外，还应遵守以下规定：</w:t>
      </w:r>
    </w:p>
    <w:p w14:paraId="6EDBD9A9">
      <w:pPr>
        <w:spacing w:before="109" w:line="269" w:lineRule="auto"/>
        <w:ind w:left="19" w:right="16" w:firstLine="72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）联合体各方应按招标文件提供的格式签订联合体协议书，明确联合体牵头人</w:t>
      </w:r>
      <w:r>
        <w:rPr>
          <w:rFonts w:ascii="宋体" w:hAnsi="宋体" w:eastAsia="宋体" w:cs="宋体"/>
          <w:color w:val="auto"/>
          <w:spacing w:val="7"/>
          <w:sz w:val="21"/>
          <w:szCs w:val="21"/>
          <w:highlight w:val="none"/>
        </w:rPr>
        <w:t xml:space="preserve"> </w:t>
      </w:r>
      <w:r>
        <w:rPr>
          <w:rFonts w:ascii="宋体" w:hAnsi="宋体" w:eastAsia="宋体" w:cs="宋体"/>
          <w:color w:val="auto"/>
          <w:spacing w:val="-5"/>
          <w:sz w:val="21"/>
          <w:szCs w:val="21"/>
          <w:highlight w:val="none"/>
        </w:rPr>
        <w:t>和各方权利义务；</w:t>
      </w:r>
    </w:p>
    <w:p w14:paraId="30761AC5">
      <w:pPr>
        <w:spacing w:before="108" w:line="269" w:lineRule="auto"/>
        <w:ind w:left="745" w:right="193"/>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2</w:t>
      </w:r>
      <w:r>
        <w:rPr>
          <w:rFonts w:ascii="宋体" w:hAnsi="宋体" w:eastAsia="宋体" w:cs="宋体"/>
          <w:color w:val="auto"/>
          <w:spacing w:val="-5"/>
          <w:sz w:val="21"/>
          <w:szCs w:val="21"/>
          <w:highlight w:val="none"/>
        </w:rPr>
        <w:t>）由同一专业的单位组成的联合体， 按照资质等级较低的单位确定资质等级；</w:t>
      </w:r>
      <w:r>
        <w:rPr>
          <w:rFonts w:ascii="宋体" w:hAnsi="宋体" w:eastAsia="宋体" w:cs="宋体"/>
          <w:color w:val="auto"/>
          <w:spacing w:val="18"/>
          <w:sz w:val="21"/>
          <w:szCs w:val="21"/>
          <w:highlight w:val="none"/>
        </w:rPr>
        <w:t xml:space="preserve"> </w:t>
      </w: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）联合体各方不得再以自己名义单独或参加其他联合体在同一标段中投标。</w:t>
      </w:r>
    </w:p>
    <w:p w14:paraId="7FB49041">
      <w:pPr>
        <w:spacing w:before="109"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1.4.3 </w:t>
      </w:r>
      <w:r>
        <w:rPr>
          <w:rFonts w:ascii="宋体" w:hAnsi="宋体" w:eastAsia="宋体" w:cs="宋体"/>
          <w:color w:val="auto"/>
          <w:spacing w:val="-2"/>
          <w:sz w:val="21"/>
          <w:szCs w:val="21"/>
          <w:highlight w:val="none"/>
        </w:rPr>
        <w:t>投标人不得存在下列情形之一：</w:t>
      </w:r>
    </w:p>
    <w:p w14:paraId="03837FF5">
      <w:pPr>
        <w:spacing w:before="109" w:line="220" w:lineRule="auto"/>
        <w:ind w:left="74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1</w:t>
      </w:r>
      <w:r>
        <w:rPr>
          <w:rFonts w:ascii="宋体" w:hAnsi="宋体" w:eastAsia="宋体" w:cs="宋体"/>
          <w:color w:val="auto"/>
          <w:spacing w:val="-4"/>
          <w:sz w:val="21"/>
          <w:szCs w:val="21"/>
          <w:highlight w:val="none"/>
        </w:rPr>
        <w:t>）为招标人不具有独立法人资格的附属机构（单位</w:t>
      </w:r>
      <w:r>
        <w:rPr>
          <w:rFonts w:ascii="宋体" w:hAnsi="宋体" w:eastAsia="宋体" w:cs="宋体"/>
          <w:color w:val="auto"/>
          <w:spacing w:val="-20"/>
          <w:sz w:val="21"/>
          <w:szCs w:val="21"/>
          <w:highlight w:val="none"/>
        </w:rPr>
        <w:t>）；</w:t>
      </w:r>
    </w:p>
    <w:p w14:paraId="1E89B069">
      <w:pPr>
        <w:spacing w:line="220" w:lineRule="auto"/>
        <w:rPr>
          <w:rFonts w:ascii="宋体" w:hAnsi="宋体" w:eastAsia="宋体" w:cs="宋体"/>
          <w:color w:val="auto"/>
          <w:sz w:val="21"/>
          <w:szCs w:val="21"/>
          <w:highlight w:val="none"/>
        </w:rPr>
        <w:sectPr>
          <w:footerReference r:id="rId19" w:type="default"/>
          <w:pgSz w:w="11905" w:h="16839"/>
          <w:pgMar w:top="1431" w:right="1785" w:bottom="1036" w:left="1785" w:header="0" w:footer="847" w:gutter="0"/>
          <w:pgNumType w:fmt="decimal"/>
          <w:cols w:space="720" w:num="1"/>
        </w:sectPr>
      </w:pPr>
    </w:p>
    <w:p w14:paraId="051AFF26">
      <w:pPr>
        <w:spacing w:before="115" w:line="360" w:lineRule="exact"/>
        <w:ind w:left="745"/>
        <w:rPr>
          <w:rFonts w:ascii="宋体" w:hAnsi="宋体" w:eastAsia="宋体" w:cs="宋体"/>
          <w:color w:val="auto"/>
          <w:sz w:val="21"/>
          <w:szCs w:val="21"/>
          <w:highlight w:val="none"/>
        </w:rPr>
      </w:pPr>
      <w:bookmarkStart w:id="63" w:name="bookmark86"/>
      <w:bookmarkEnd w:id="63"/>
      <w:bookmarkStart w:id="64" w:name="bookmark87"/>
      <w:bookmarkEnd w:id="64"/>
      <w:bookmarkStart w:id="65" w:name="bookmark84"/>
      <w:bookmarkEnd w:id="65"/>
      <w:bookmarkStart w:id="66" w:name="bookmark82"/>
      <w:bookmarkEnd w:id="66"/>
      <w:bookmarkStart w:id="67" w:name="bookmark83"/>
      <w:bookmarkEnd w:id="67"/>
      <w:bookmarkStart w:id="68" w:name="bookmark85"/>
      <w:bookmarkEnd w:id="68"/>
      <w:bookmarkStart w:id="69" w:name="bookmark88"/>
      <w:bookmarkEnd w:id="69"/>
      <w:r>
        <w:rPr>
          <w:rFonts w:ascii="宋体" w:hAnsi="宋体" w:eastAsia="宋体" w:cs="宋体"/>
          <w:color w:val="auto"/>
          <w:spacing w:val="-1"/>
          <w:position w:val="11"/>
          <w:sz w:val="21"/>
          <w:szCs w:val="21"/>
          <w:highlight w:val="none"/>
        </w:rPr>
        <w:t>（</w:t>
      </w:r>
      <w:r>
        <w:rPr>
          <w:rFonts w:ascii="Times New Roman" w:hAnsi="Times New Roman" w:eastAsia="Times New Roman" w:cs="Times New Roman"/>
          <w:color w:val="auto"/>
          <w:spacing w:val="-1"/>
          <w:position w:val="11"/>
          <w:sz w:val="21"/>
          <w:szCs w:val="21"/>
          <w:highlight w:val="none"/>
        </w:rPr>
        <w:t>2</w:t>
      </w:r>
      <w:r>
        <w:rPr>
          <w:rFonts w:ascii="宋体" w:hAnsi="宋体" w:eastAsia="宋体" w:cs="宋体"/>
          <w:color w:val="auto"/>
          <w:spacing w:val="-1"/>
          <w:position w:val="11"/>
          <w:sz w:val="21"/>
          <w:szCs w:val="21"/>
          <w:highlight w:val="none"/>
        </w:rPr>
        <w:t>）为本标段前期准备提供设计或咨询服务的；</w:t>
      </w:r>
    </w:p>
    <w:p w14:paraId="7664864C">
      <w:pPr>
        <w:spacing w:line="219" w:lineRule="auto"/>
        <w:ind w:left="74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3</w:t>
      </w:r>
      <w:r>
        <w:rPr>
          <w:rFonts w:ascii="宋体" w:hAnsi="宋体" w:eastAsia="宋体" w:cs="宋体"/>
          <w:color w:val="auto"/>
          <w:spacing w:val="-3"/>
          <w:sz w:val="21"/>
          <w:szCs w:val="21"/>
          <w:highlight w:val="none"/>
        </w:rPr>
        <w:t>）为本标段的监理人；</w:t>
      </w:r>
    </w:p>
    <w:p w14:paraId="7D7290FC">
      <w:pPr>
        <w:spacing w:before="109" w:line="220" w:lineRule="auto"/>
        <w:ind w:left="74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4</w:t>
      </w:r>
      <w:r>
        <w:rPr>
          <w:rFonts w:ascii="宋体" w:hAnsi="宋体" w:eastAsia="宋体" w:cs="宋体"/>
          <w:color w:val="auto"/>
          <w:spacing w:val="-3"/>
          <w:sz w:val="21"/>
          <w:szCs w:val="21"/>
          <w:highlight w:val="none"/>
        </w:rPr>
        <w:t>）为本标段的代建人；</w:t>
      </w:r>
    </w:p>
    <w:p w14:paraId="12718D56">
      <w:pPr>
        <w:spacing w:before="110" w:line="220" w:lineRule="auto"/>
        <w:ind w:left="74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5</w:t>
      </w:r>
      <w:r>
        <w:rPr>
          <w:rFonts w:ascii="宋体" w:hAnsi="宋体" w:eastAsia="宋体" w:cs="宋体"/>
          <w:color w:val="auto"/>
          <w:spacing w:val="-3"/>
          <w:sz w:val="21"/>
          <w:szCs w:val="21"/>
          <w:highlight w:val="none"/>
        </w:rPr>
        <w:t>）为本标段提供招标代理服务；</w:t>
      </w:r>
    </w:p>
    <w:p w14:paraId="73B3A5DA">
      <w:pPr>
        <w:spacing w:before="109" w:line="270" w:lineRule="auto"/>
        <w:ind w:left="20" w:right="180" w:firstLine="72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6</w:t>
      </w:r>
      <w:r>
        <w:rPr>
          <w:rFonts w:ascii="宋体" w:hAnsi="宋体" w:eastAsia="宋体" w:cs="宋体"/>
          <w:color w:val="auto"/>
          <w:spacing w:val="3"/>
          <w:sz w:val="21"/>
          <w:szCs w:val="21"/>
          <w:highlight w:val="none"/>
        </w:rPr>
        <w:t>）与本标段的监理人或代建人或招标代理机构同为一个法定代表人或单位负责</w:t>
      </w:r>
      <w:r>
        <w:rPr>
          <w:rFonts w:ascii="宋体" w:hAnsi="宋体" w:eastAsia="宋体" w:cs="宋体"/>
          <w:color w:val="auto"/>
          <w:spacing w:val="16"/>
          <w:sz w:val="21"/>
          <w:szCs w:val="21"/>
          <w:highlight w:val="none"/>
        </w:rPr>
        <w:t xml:space="preserve"> </w:t>
      </w:r>
      <w:r>
        <w:rPr>
          <w:rFonts w:ascii="宋体" w:hAnsi="宋体" w:eastAsia="宋体" w:cs="宋体"/>
          <w:color w:val="auto"/>
          <w:spacing w:val="-15"/>
          <w:sz w:val="21"/>
          <w:szCs w:val="21"/>
          <w:highlight w:val="none"/>
        </w:rPr>
        <w:t>人；</w:t>
      </w:r>
    </w:p>
    <w:p w14:paraId="40D7D78F">
      <w:pPr>
        <w:spacing w:before="107" w:line="220" w:lineRule="auto"/>
        <w:ind w:left="74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7</w:t>
      </w:r>
      <w:r>
        <w:rPr>
          <w:rFonts w:ascii="宋体" w:hAnsi="宋体" w:eastAsia="宋体" w:cs="宋体"/>
          <w:color w:val="auto"/>
          <w:spacing w:val="-1"/>
          <w:sz w:val="21"/>
          <w:szCs w:val="21"/>
          <w:highlight w:val="none"/>
        </w:rPr>
        <w:t>）与本标段的监理人或代建人或招标代理机构</w:t>
      </w:r>
      <w:r>
        <w:rPr>
          <w:rFonts w:ascii="宋体" w:hAnsi="宋体" w:eastAsia="宋体" w:cs="宋体"/>
          <w:color w:val="auto"/>
          <w:spacing w:val="-2"/>
          <w:sz w:val="21"/>
          <w:szCs w:val="21"/>
          <w:highlight w:val="none"/>
        </w:rPr>
        <w:t>相互控股或参股；</w:t>
      </w:r>
    </w:p>
    <w:p w14:paraId="02A1E53B">
      <w:pPr>
        <w:spacing w:before="109" w:line="269" w:lineRule="auto"/>
        <w:ind w:left="17" w:right="188" w:firstLine="7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8</w:t>
      </w:r>
      <w:r>
        <w:rPr>
          <w:rFonts w:ascii="宋体" w:hAnsi="宋体" w:eastAsia="宋体" w:cs="宋体"/>
          <w:color w:val="auto"/>
          <w:spacing w:val="3"/>
          <w:sz w:val="21"/>
          <w:szCs w:val="21"/>
          <w:highlight w:val="none"/>
        </w:rPr>
        <w:t>）与本标段的监理人或代建人或招标代理机构的法定代表人或单位负责人相互</w:t>
      </w:r>
      <w:r>
        <w:rPr>
          <w:rFonts w:ascii="宋体" w:hAnsi="宋体" w:eastAsia="宋体" w:cs="宋体"/>
          <w:color w:val="auto"/>
          <w:spacing w:val="8"/>
          <w:sz w:val="21"/>
          <w:szCs w:val="21"/>
          <w:highlight w:val="none"/>
        </w:rPr>
        <w:t xml:space="preserve"> </w:t>
      </w:r>
      <w:r>
        <w:rPr>
          <w:rFonts w:ascii="宋体" w:hAnsi="宋体" w:eastAsia="宋体" w:cs="宋体"/>
          <w:color w:val="auto"/>
          <w:spacing w:val="-1"/>
          <w:sz w:val="21"/>
          <w:szCs w:val="21"/>
          <w:highlight w:val="none"/>
        </w:rPr>
        <w:t>任职或工作；</w:t>
      </w:r>
    </w:p>
    <w:p w14:paraId="7824B58D">
      <w:pPr>
        <w:spacing w:before="109" w:line="269" w:lineRule="auto"/>
        <w:ind w:left="20" w:right="180" w:firstLine="72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9</w:t>
      </w:r>
      <w:r>
        <w:rPr>
          <w:rFonts w:ascii="宋体" w:hAnsi="宋体" w:eastAsia="宋体" w:cs="宋体"/>
          <w:color w:val="auto"/>
          <w:spacing w:val="3"/>
          <w:sz w:val="21"/>
          <w:szCs w:val="21"/>
          <w:highlight w:val="none"/>
        </w:rPr>
        <w:t>）单位负责人为同一人或者存在控股、管理关系的不同单位，同时参加本标段</w:t>
      </w:r>
      <w:r>
        <w:rPr>
          <w:rFonts w:ascii="宋体" w:hAnsi="宋体" w:eastAsia="宋体" w:cs="宋体"/>
          <w:color w:val="auto"/>
          <w:spacing w:val="16"/>
          <w:sz w:val="21"/>
          <w:szCs w:val="21"/>
          <w:highlight w:val="none"/>
        </w:rPr>
        <w:t xml:space="preserve"> </w:t>
      </w:r>
      <w:r>
        <w:rPr>
          <w:rFonts w:ascii="宋体" w:hAnsi="宋体" w:eastAsia="宋体" w:cs="宋体"/>
          <w:color w:val="auto"/>
          <w:spacing w:val="-11"/>
          <w:sz w:val="21"/>
          <w:szCs w:val="21"/>
          <w:highlight w:val="none"/>
        </w:rPr>
        <w:t>投标的；</w:t>
      </w:r>
    </w:p>
    <w:p w14:paraId="3F27B03D">
      <w:pPr>
        <w:spacing w:before="107" w:line="285" w:lineRule="auto"/>
        <w:ind w:left="21" w:right="185" w:firstLine="723"/>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10</w:t>
      </w:r>
      <w:r>
        <w:rPr>
          <w:rFonts w:ascii="宋体" w:hAnsi="宋体" w:eastAsia="宋体" w:cs="宋体"/>
          <w:color w:val="auto"/>
          <w:sz w:val="21"/>
          <w:szCs w:val="21"/>
          <w:highlight w:val="none"/>
        </w:rPr>
        <w:t>）被依法暂停或取消投标资格（指被本招标项目所在地县级及以上住房城乡建</w:t>
      </w:r>
      <w:r>
        <w:rPr>
          <w:rFonts w:ascii="宋体" w:hAnsi="宋体" w:eastAsia="宋体" w:cs="宋体"/>
          <w:color w:val="auto"/>
          <w:spacing w:val="15"/>
          <w:sz w:val="21"/>
          <w:szCs w:val="21"/>
          <w:highlight w:val="none"/>
        </w:rPr>
        <w:t xml:space="preserve"> </w:t>
      </w:r>
      <w:r>
        <w:rPr>
          <w:rFonts w:ascii="宋体" w:hAnsi="宋体" w:eastAsia="宋体" w:cs="宋体"/>
          <w:color w:val="auto"/>
          <w:spacing w:val="3"/>
          <w:sz w:val="21"/>
          <w:szCs w:val="21"/>
          <w:highlight w:val="none"/>
        </w:rPr>
        <w:t>设主管部门或其他行政主管部门暂停或取消投标资格或禁止进入该区</w:t>
      </w:r>
      <w:r>
        <w:rPr>
          <w:rFonts w:ascii="宋体" w:hAnsi="宋体" w:eastAsia="宋体" w:cs="宋体"/>
          <w:color w:val="auto"/>
          <w:spacing w:val="2"/>
          <w:sz w:val="21"/>
          <w:szCs w:val="21"/>
          <w:highlight w:val="none"/>
        </w:rPr>
        <w:t>域建设市场且处于有</w:t>
      </w:r>
      <w:r>
        <w:rPr>
          <w:rFonts w:ascii="宋体" w:hAnsi="宋体" w:eastAsia="宋体" w:cs="宋体"/>
          <w:color w:val="auto"/>
          <w:sz w:val="21"/>
          <w:szCs w:val="21"/>
          <w:highlight w:val="none"/>
        </w:rPr>
        <w:t xml:space="preserve"> </w:t>
      </w:r>
      <w:r>
        <w:rPr>
          <w:rFonts w:ascii="宋体" w:hAnsi="宋体" w:eastAsia="宋体" w:cs="宋体"/>
          <w:color w:val="auto"/>
          <w:spacing w:val="-32"/>
          <w:sz w:val="21"/>
          <w:szCs w:val="21"/>
          <w:highlight w:val="none"/>
        </w:rPr>
        <w:t>效期内</w:t>
      </w:r>
      <w:r>
        <w:rPr>
          <w:rFonts w:ascii="宋体" w:hAnsi="宋体" w:eastAsia="宋体" w:cs="宋体"/>
          <w:color w:val="auto"/>
          <w:spacing w:val="-16"/>
          <w:sz w:val="21"/>
          <w:szCs w:val="21"/>
          <w:highlight w:val="none"/>
        </w:rPr>
        <w:t>）；</w:t>
      </w:r>
    </w:p>
    <w:p w14:paraId="06E30D48">
      <w:pPr>
        <w:spacing w:before="109" w:line="220" w:lineRule="auto"/>
        <w:ind w:left="74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11</w:t>
      </w:r>
      <w:r>
        <w:rPr>
          <w:rFonts w:ascii="宋体" w:hAnsi="宋体" w:eastAsia="宋体" w:cs="宋体"/>
          <w:color w:val="auto"/>
          <w:spacing w:val="-2"/>
          <w:sz w:val="21"/>
          <w:szCs w:val="21"/>
          <w:highlight w:val="none"/>
        </w:rPr>
        <w:t>）被责令停产停业、暂扣或者吊销许可证、暂扣或者吊销执照；</w:t>
      </w:r>
    </w:p>
    <w:p w14:paraId="14D971A2">
      <w:pPr>
        <w:spacing w:before="110" w:line="219" w:lineRule="auto"/>
        <w:ind w:left="74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12</w:t>
      </w:r>
      <w:r>
        <w:rPr>
          <w:rFonts w:ascii="宋体" w:hAnsi="宋体" w:eastAsia="宋体" w:cs="宋体"/>
          <w:color w:val="auto"/>
          <w:spacing w:val="-4"/>
          <w:sz w:val="21"/>
          <w:szCs w:val="21"/>
          <w:highlight w:val="none"/>
        </w:rPr>
        <w:t>）进入清算程序，或被宣告破产， 或其他丧失履约能力的情形；</w:t>
      </w:r>
    </w:p>
    <w:p w14:paraId="56AFF8C1">
      <w:pPr>
        <w:spacing w:before="111" w:line="268" w:lineRule="auto"/>
        <w:ind w:left="23" w:right="189" w:firstLine="721"/>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13</w:t>
      </w:r>
      <w:r>
        <w:rPr>
          <w:rFonts w:ascii="宋体" w:hAnsi="宋体" w:eastAsia="宋体" w:cs="宋体"/>
          <w:color w:val="auto"/>
          <w:sz w:val="21"/>
          <w:szCs w:val="21"/>
          <w:highlight w:val="none"/>
        </w:rPr>
        <w:t>）在最近三年内有骗取中标或严重违约或重大工程质量问题的（以相关行业主</w:t>
      </w:r>
      <w:r>
        <w:rPr>
          <w:rFonts w:ascii="宋体" w:hAnsi="宋体" w:eastAsia="宋体" w:cs="宋体"/>
          <w:color w:val="auto"/>
          <w:spacing w:val="11"/>
          <w:sz w:val="21"/>
          <w:szCs w:val="21"/>
          <w:highlight w:val="none"/>
        </w:rPr>
        <w:t xml:space="preserve"> </w:t>
      </w:r>
      <w:r>
        <w:rPr>
          <w:rFonts w:ascii="宋体" w:hAnsi="宋体" w:eastAsia="宋体" w:cs="宋体"/>
          <w:color w:val="auto"/>
          <w:spacing w:val="-4"/>
          <w:sz w:val="21"/>
          <w:szCs w:val="21"/>
          <w:highlight w:val="none"/>
        </w:rPr>
        <w:t>管部门的行政处罚决定或司法机关出具的有关法律文书为准</w:t>
      </w:r>
      <w:r>
        <w:rPr>
          <w:rFonts w:ascii="宋体" w:hAnsi="宋体" w:eastAsia="宋体" w:cs="宋体"/>
          <w:color w:val="auto"/>
          <w:spacing w:val="-14"/>
          <w:sz w:val="21"/>
          <w:szCs w:val="21"/>
          <w:highlight w:val="none"/>
        </w:rPr>
        <w:t>）；</w:t>
      </w:r>
    </w:p>
    <w:p w14:paraId="522919D7">
      <w:pPr>
        <w:spacing w:before="109" w:line="269" w:lineRule="auto"/>
        <w:ind w:left="18" w:right="191" w:firstLine="726"/>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14</w:t>
      </w:r>
      <w:r>
        <w:rPr>
          <w:rFonts w:ascii="宋体" w:hAnsi="宋体" w:eastAsia="宋体" w:cs="宋体"/>
          <w:color w:val="auto"/>
          <w:sz w:val="21"/>
          <w:szCs w:val="21"/>
          <w:highlight w:val="none"/>
        </w:rPr>
        <w:t>）在“国家企业信用信息公示系统”（</w:t>
      </w:r>
      <w:r>
        <w:rPr>
          <w:rFonts w:ascii="Times New Roman" w:hAnsi="Times New Roman" w:eastAsia="Times New Roman" w:cs="Times New Roman"/>
          <w:color w:val="auto"/>
          <w:sz w:val="21"/>
          <w:szCs w:val="21"/>
          <w:highlight w:val="none"/>
        </w:rPr>
        <w:t>www.gsxt.gov.cn</w:t>
      </w:r>
      <w:r>
        <w:rPr>
          <w:rFonts w:ascii="宋体" w:hAnsi="宋体" w:eastAsia="宋体" w:cs="宋体"/>
          <w:color w:val="auto"/>
          <w:sz w:val="21"/>
          <w:szCs w:val="21"/>
          <w:highlight w:val="none"/>
        </w:rPr>
        <w:t>）中被列入严重违法失</w:t>
      </w:r>
      <w:r>
        <w:rPr>
          <w:rFonts w:ascii="宋体" w:hAnsi="宋体" w:eastAsia="宋体" w:cs="宋体"/>
          <w:color w:val="auto"/>
          <w:spacing w:val="3"/>
          <w:sz w:val="21"/>
          <w:szCs w:val="21"/>
          <w:highlight w:val="none"/>
        </w:rPr>
        <w:t xml:space="preserve"> </w:t>
      </w:r>
      <w:r>
        <w:rPr>
          <w:rFonts w:ascii="宋体" w:hAnsi="宋体" w:eastAsia="宋体" w:cs="宋体"/>
          <w:color w:val="auto"/>
          <w:spacing w:val="-1"/>
          <w:sz w:val="21"/>
          <w:szCs w:val="21"/>
          <w:highlight w:val="none"/>
        </w:rPr>
        <w:t>信企业名单；</w:t>
      </w:r>
    </w:p>
    <w:p w14:paraId="74B481C1">
      <w:pPr>
        <w:spacing w:before="109" w:line="265" w:lineRule="auto"/>
        <w:ind w:left="24" w:right="76" w:firstLine="720"/>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15</w:t>
      </w:r>
      <w:r>
        <w:rPr>
          <w:rFonts w:ascii="宋体" w:hAnsi="宋体" w:eastAsia="宋体" w:cs="宋体"/>
          <w:color w:val="auto"/>
          <w:spacing w:val="5"/>
          <w:sz w:val="21"/>
          <w:szCs w:val="21"/>
          <w:highlight w:val="none"/>
        </w:rPr>
        <w:t>）在“信用中国”网站（</w:t>
      </w:r>
      <w:r>
        <w:rPr>
          <w:rFonts w:ascii="Times New Roman" w:hAnsi="Times New Roman" w:eastAsia="Times New Roman" w:cs="Times New Roman"/>
          <w:color w:val="auto"/>
          <w:sz w:val="21"/>
          <w:szCs w:val="21"/>
          <w:highlight w:val="none"/>
        </w:rPr>
        <w:t>www</w:t>
      </w:r>
      <w:r>
        <w:rPr>
          <w:rFonts w:ascii="Times New Roman" w:hAnsi="Times New Roman" w:eastAsia="Times New Roman" w:cs="Times New Roman"/>
          <w:color w:val="auto"/>
          <w:spacing w:val="5"/>
          <w:sz w:val="21"/>
          <w:szCs w:val="21"/>
          <w:highlight w:val="none"/>
        </w:rPr>
        <w:t>.</w:t>
      </w:r>
      <w:r>
        <w:rPr>
          <w:rFonts w:ascii="Times New Roman" w:hAnsi="Times New Roman" w:eastAsia="Times New Roman" w:cs="Times New Roman"/>
          <w:color w:val="auto"/>
          <w:sz w:val="21"/>
          <w:szCs w:val="21"/>
          <w:highlight w:val="none"/>
        </w:rPr>
        <w:t>creditchina</w:t>
      </w:r>
      <w:r>
        <w:rPr>
          <w:rFonts w:ascii="Times New Roman" w:hAnsi="Times New Roman" w:eastAsia="Times New Roman" w:cs="Times New Roman"/>
          <w:color w:val="auto"/>
          <w:spacing w:val="5"/>
          <w:sz w:val="21"/>
          <w:szCs w:val="21"/>
          <w:highlight w:val="none"/>
        </w:rPr>
        <w:t>.</w:t>
      </w:r>
      <w:r>
        <w:rPr>
          <w:rFonts w:ascii="Times New Roman" w:hAnsi="Times New Roman" w:eastAsia="Times New Roman" w:cs="Times New Roman"/>
          <w:color w:val="auto"/>
          <w:sz w:val="21"/>
          <w:szCs w:val="21"/>
          <w:highlight w:val="none"/>
        </w:rPr>
        <w:t>gov</w:t>
      </w:r>
      <w:r>
        <w:rPr>
          <w:rFonts w:ascii="Times New Roman" w:hAnsi="Times New Roman" w:eastAsia="Times New Roman" w:cs="Times New Roman"/>
          <w:color w:val="auto"/>
          <w:spacing w:val="5"/>
          <w:sz w:val="21"/>
          <w:szCs w:val="21"/>
          <w:highlight w:val="none"/>
        </w:rPr>
        <w:t>.</w:t>
      </w:r>
      <w:r>
        <w:rPr>
          <w:rFonts w:ascii="Times New Roman" w:hAnsi="Times New Roman" w:eastAsia="Times New Roman" w:cs="Times New Roman"/>
          <w:color w:val="auto"/>
          <w:sz w:val="21"/>
          <w:szCs w:val="21"/>
          <w:highlight w:val="none"/>
        </w:rPr>
        <w:t>cn</w:t>
      </w:r>
      <w:r>
        <w:rPr>
          <w:rFonts w:ascii="宋体" w:hAnsi="宋体" w:eastAsia="宋体" w:cs="宋体"/>
          <w:color w:val="auto"/>
          <w:spacing w:val="5"/>
          <w:sz w:val="21"/>
          <w:szCs w:val="21"/>
          <w:highlight w:val="none"/>
        </w:rPr>
        <w:t>）或“中国执行信息公开网”</w:t>
      </w:r>
      <w:r>
        <w:rPr>
          <w:rFonts w:ascii="宋体" w:hAnsi="宋体" w:eastAsia="宋体" w:cs="宋体"/>
          <w:color w:val="auto"/>
          <w:spacing w:val="15"/>
          <w:sz w:val="21"/>
          <w:szCs w:val="21"/>
          <w:highlight w:val="none"/>
        </w:rPr>
        <w:t xml:space="preserve"> </w:t>
      </w:r>
      <w:r>
        <w:rPr>
          <w:rFonts w:ascii="宋体" w:hAnsi="宋体" w:eastAsia="宋体" w:cs="宋体"/>
          <w:color w:val="auto"/>
          <w:spacing w:val="-2"/>
          <w:sz w:val="21"/>
          <w:szCs w:val="21"/>
          <w:highlight w:val="none"/>
        </w:rPr>
        <w:t>（</w:t>
      </w:r>
      <w:r>
        <w:rPr>
          <w:color w:val="auto"/>
          <w:highlight w:val="none"/>
        </w:rPr>
        <w:fldChar w:fldCharType="begin"/>
      </w:r>
      <w:r>
        <w:rPr>
          <w:color w:val="auto"/>
          <w:highlight w:val="none"/>
        </w:rPr>
        <w:instrText xml:space="preserve"> HYPERLINK "http://zxgk.court.gov.cn/shixin/" </w:instrText>
      </w:r>
      <w:r>
        <w:rPr>
          <w:color w:val="auto"/>
          <w:highlight w:val="none"/>
        </w:rPr>
        <w:fldChar w:fldCharType="separate"/>
      </w:r>
      <w:r>
        <w:rPr>
          <w:rFonts w:ascii="Times New Roman" w:hAnsi="Times New Roman" w:eastAsia="Times New Roman" w:cs="Times New Roman"/>
          <w:color w:val="auto"/>
          <w:spacing w:val="-2"/>
          <w:sz w:val="21"/>
          <w:szCs w:val="21"/>
          <w:highlight w:val="none"/>
        </w:rPr>
        <w:t>http://zxgk.court.gov.cn/shixin/</w:t>
      </w:r>
      <w:r>
        <w:rPr>
          <w:rFonts w:ascii="Times New Roman" w:hAnsi="Times New Roman" w:eastAsia="Times New Roman" w:cs="Times New Roman"/>
          <w:color w:val="auto"/>
          <w:spacing w:val="-2"/>
          <w:sz w:val="21"/>
          <w:szCs w:val="21"/>
          <w:highlight w:val="none"/>
        </w:rPr>
        <w:fldChar w:fldCharType="end"/>
      </w:r>
      <w:r>
        <w:rPr>
          <w:rFonts w:ascii="Times New Roman" w:hAnsi="Times New Roman" w:eastAsia="Times New Roman" w:cs="Times New Roman"/>
          <w:color w:val="auto"/>
          <w:spacing w:val="-22"/>
          <w:sz w:val="21"/>
          <w:szCs w:val="21"/>
          <w:highlight w:val="none"/>
        </w:rPr>
        <w:t xml:space="preserve"> </w:t>
      </w:r>
      <w:r>
        <w:rPr>
          <w:rFonts w:ascii="宋体" w:hAnsi="宋体" w:eastAsia="宋体" w:cs="宋体"/>
          <w:color w:val="auto"/>
          <w:spacing w:val="-2"/>
          <w:sz w:val="21"/>
          <w:szCs w:val="21"/>
          <w:highlight w:val="none"/>
        </w:rPr>
        <w:t>）</w:t>
      </w:r>
      <w:r>
        <w:rPr>
          <w:rFonts w:ascii="宋体" w:hAnsi="宋体" w:eastAsia="宋体" w:cs="宋体"/>
          <w:color w:val="auto"/>
          <w:spacing w:val="-43"/>
          <w:sz w:val="21"/>
          <w:szCs w:val="21"/>
          <w:highlight w:val="none"/>
        </w:rPr>
        <w:t xml:space="preserve"> </w:t>
      </w:r>
      <w:r>
        <w:rPr>
          <w:rFonts w:ascii="宋体" w:hAnsi="宋体" w:eastAsia="宋体" w:cs="宋体"/>
          <w:color w:val="auto"/>
          <w:spacing w:val="-2"/>
          <w:sz w:val="21"/>
          <w:szCs w:val="21"/>
          <w:highlight w:val="none"/>
        </w:rPr>
        <w:t>被列入</w:t>
      </w:r>
      <w:r>
        <w:rPr>
          <w:rFonts w:ascii="宋体" w:hAnsi="宋体" w:eastAsia="宋体" w:cs="宋体"/>
          <w:color w:val="auto"/>
          <w:spacing w:val="-3"/>
          <w:sz w:val="21"/>
          <w:szCs w:val="21"/>
          <w:highlight w:val="none"/>
        </w:rPr>
        <w:t>失信被执行人名单；</w:t>
      </w:r>
    </w:p>
    <w:p w14:paraId="5E6303B4">
      <w:pPr>
        <w:spacing w:before="118" w:line="268" w:lineRule="auto"/>
        <w:ind w:left="17" w:right="178" w:firstLine="72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16</w:t>
      </w:r>
      <w:r>
        <w:rPr>
          <w:rFonts w:ascii="宋体" w:hAnsi="宋体" w:eastAsia="宋体" w:cs="宋体"/>
          <w:color w:val="auto"/>
          <w:spacing w:val="4"/>
          <w:sz w:val="21"/>
          <w:szCs w:val="21"/>
          <w:highlight w:val="none"/>
        </w:rPr>
        <w:t>）在辽宁省建设工程招投标监督平台</w:t>
      </w:r>
      <w:r>
        <w:rPr>
          <w:rFonts w:ascii="Times New Roman" w:hAnsi="Times New Roman" w:eastAsia="Times New Roman" w:cs="Times New Roman"/>
          <w:color w:val="auto"/>
          <w:spacing w:val="4"/>
          <w:sz w:val="21"/>
          <w:szCs w:val="21"/>
          <w:highlight w:val="none"/>
        </w:rPr>
        <w:t>-</w:t>
      </w:r>
      <w:r>
        <w:rPr>
          <w:rFonts w:ascii="宋体" w:hAnsi="宋体" w:eastAsia="宋体" w:cs="宋体"/>
          <w:color w:val="auto"/>
          <w:spacing w:val="4"/>
          <w:sz w:val="21"/>
          <w:szCs w:val="21"/>
          <w:highlight w:val="none"/>
        </w:rPr>
        <w:t>辽宁建设工程信息网上被列入不良行为</w:t>
      </w:r>
      <w:r>
        <w:rPr>
          <w:rFonts w:ascii="宋体" w:hAnsi="宋体" w:eastAsia="宋体" w:cs="宋体"/>
          <w:color w:val="auto"/>
          <w:spacing w:val="14"/>
          <w:sz w:val="21"/>
          <w:szCs w:val="21"/>
          <w:highlight w:val="none"/>
        </w:rPr>
        <w:t xml:space="preserve"> </w:t>
      </w:r>
      <w:r>
        <w:rPr>
          <w:rFonts w:ascii="宋体" w:hAnsi="宋体" w:eastAsia="宋体" w:cs="宋体"/>
          <w:color w:val="auto"/>
          <w:spacing w:val="-1"/>
          <w:sz w:val="21"/>
          <w:szCs w:val="21"/>
          <w:highlight w:val="none"/>
        </w:rPr>
        <w:t>记录且在公布期内的；</w:t>
      </w:r>
    </w:p>
    <w:p w14:paraId="14712683">
      <w:pPr>
        <w:spacing w:before="110" w:line="336" w:lineRule="exact"/>
        <w:ind w:left="745"/>
        <w:rPr>
          <w:rFonts w:ascii="宋体" w:hAnsi="宋体" w:eastAsia="宋体" w:cs="宋体"/>
          <w:color w:val="auto"/>
          <w:sz w:val="21"/>
          <w:szCs w:val="21"/>
          <w:highlight w:val="none"/>
        </w:rPr>
      </w:pPr>
      <w:r>
        <w:rPr>
          <w:rFonts w:ascii="宋体" w:hAnsi="宋体" w:eastAsia="宋体" w:cs="宋体"/>
          <w:color w:val="auto"/>
          <w:spacing w:val="-2"/>
          <w:position w:val="9"/>
          <w:sz w:val="21"/>
          <w:szCs w:val="21"/>
          <w:highlight w:val="none"/>
        </w:rPr>
        <w:t>（</w:t>
      </w:r>
      <w:r>
        <w:rPr>
          <w:rFonts w:ascii="Times New Roman" w:hAnsi="Times New Roman" w:eastAsia="Times New Roman" w:cs="Times New Roman"/>
          <w:color w:val="auto"/>
          <w:spacing w:val="-2"/>
          <w:position w:val="9"/>
          <w:sz w:val="21"/>
          <w:szCs w:val="21"/>
          <w:highlight w:val="none"/>
        </w:rPr>
        <w:t>17</w:t>
      </w:r>
      <w:r>
        <w:rPr>
          <w:rFonts w:ascii="宋体" w:hAnsi="宋体" w:eastAsia="宋体" w:cs="宋体"/>
          <w:color w:val="auto"/>
          <w:spacing w:val="-2"/>
          <w:position w:val="9"/>
          <w:sz w:val="21"/>
          <w:szCs w:val="21"/>
          <w:highlight w:val="none"/>
        </w:rPr>
        <w:t>）法律法规规定的其他情形。</w:t>
      </w:r>
    </w:p>
    <w:p w14:paraId="2BCDFBB7">
      <w:pPr>
        <w:spacing w:line="219"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1.5</w:t>
      </w:r>
      <w:r>
        <w:rPr>
          <w:rFonts w:ascii="Times New Roman" w:hAnsi="Times New Roman" w:eastAsia="Times New Roman" w:cs="Times New Roman"/>
          <w:color w:val="auto"/>
          <w:spacing w:val="14"/>
          <w:sz w:val="24"/>
          <w:szCs w:val="24"/>
          <w:highlight w:val="none"/>
        </w:rPr>
        <w:t xml:space="preserve"> </w:t>
      </w:r>
      <w:r>
        <w:rPr>
          <w:rFonts w:ascii="黑体" w:hAnsi="黑体" w:eastAsia="黑体" w:cs="黑体"/>
          <w:color w:val="auto"/>
          <w:spacing w:val="-5"/>
          <w:sz w:val="24"/>
          <w:szCs w:val="24"/>
          <w:highlight w:val="none"/>
        </w:rPr>
        <w:t>费用承担</w:t>
      </w:r>
    </w:p>
    <w:p w14:paraId="4EF6E9ED">
      <w:pPr>
        <w:spacing w:before="100" w:line="335" w:lineRule="exact"/>
        <w:ind w:left="443"/>
        <w:rPr>
          <w:rFonts w:ascii="宋体" w:hAnsi="宋体" w:eastAsia="宋体" w:cs="宋体"/>
          <w:color w:val="auto"/>
          <w:sz w:val="21"/>
          <w:szCs w:val="21"/>
          <w:highlight w:val="none"/>
        </w:rPr>
      </w:pPr>
      <w:r>
        <w:rPr>
          <w:rFonts w:ascii="宋体" w:hAnsi="宋体" w:eastAsia="宋体" w:cs="宋体"/>
          <w:color w:val="auto"/>
          <w:spacing w:val="-2"/>
          <w:position w:val="9"/>
          <w:sz w:val="21"/>
          <w:szCs w:val="21"/>
          <w:highlight w:val="none"/>
        </w:rPr>
        <w:t>投标人准备和参加投标活动发生的费用自理。</w:t>
      </w:r>
    </w:p>
    <w:p w14:paraId="352E0A94">
      <w:pPr>
        <w:spacing w:line="218"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6"/>
          <w:sz w:val="24"/>
          <w:szCs w:val="24"/>
          <w:highlight w:val="none"/>
        </w:rPr>
        <w:t>1.6</w:t>
      </w:r>
      <w:r>
        <w:rPr>
          <w:rFonts w:ascii="Times New Roman" w:hAnsi="Times New Roman" w:eastAsia="Times New Roman" w:cs="Times New Roman"/>
          <w:color w:val="auto"/>
          <w:spacing w:val="10"/>
          <w:sz w:val="24"/>
          <w:szCs w:val="24"/>
          <w:highlight w:val="none"/>
        </w:rPr>
        <w:t xml:space="preserve"> </w:t>
      </w:r>
      <w:r>
        <w:rPr>
          <w:rFonts w:ascii="黑体" w:hAnsi="黑体" w:eastAsia="黑体" w:cs="黑体"/>
          <w:color w:val="auto"/>
          <w:spacing w:val="-6"/>
          <w:sz w:val="24"/>
          <w:szCs w:val="24"/>
          <w:highlight w:val="none"/>
        </w:rPr>
        <w:t>保密</w:t>
      </w:r>
    </w:p>
    <w:p w14:paraId="409E1B91">
      <w:pPr>
        <w:spacing w:before="101" w:line="269" w:lineRule="auto"/>
        <w:ind w:left="18" w:right="179" w:firstLine="424"/>
        <w:rPr>
          <w:rFonts w:ascii="宋体" w:hAnsi="宋体" w:eastAsia="宋体" w:cs="宋体"/>
          <w:color w:val="auto"/>
          <w:sz w:val="21"/>
          <w:szCs w:val="21"/>
          <w:highlight w:val="none"/>
        </w:rPr>
      </w:pPr>
      <w:r>
        <w:rPr>
          <w:rFonts w:ascii="宋体" w:hAnsi="宋体" w:eastAsia="宋体" w:cs="宋体"/>
          <w:color w:val="auto"/>
          <w:sz w:val="21"/>
          <w:szCs w:val="21"/>
          <w:highlight w:val="none"/>
        </w:rPr>
        <w:t>参与招标投标活动的各方应对招标文件和投标文件中的商业和技术等秘密保密， 违者</w:t>
      </w:r>
      <w:r>
        <w:rPr>
          <w:rFonts w:ascii="宋体" w:hAnsi="宋体" w:eastAsia="宋体" w:cs="宋体"/>
          <w:color w:val="auto"/>
          <w:spacing w:val="7"/>
          <w:sz w:val="21"/>
          <w:szCs w:val="21"/>
          <w:highlight w:val="none"/>
        </w:rPr>
        <w:t xml:space="preserve"> </w:t>
      </w:r>
      <w:r>
        <w:rPr>
          <w:rFonts w:ascii="宋体" w:hAnsi="宋体" w:eastAsia="宋体" w:cs="宋体"/>
          <w:color w:val="auto"/>
          <w:spacing w:val="-2"/>
          <w:sz w:val="21"/>
          <w:szCs w:val="21"/>
          <w:highlight w:val="none"/>
        </w:rPr>
        <w:t>应对由此造成的后果承担法律责任。</w:t>
      </w:r>
    </w:p>
    <w:p w14:paraId="30F30FF6">
      <w:pPr>
        <w:spacing w:before="84" w:line="219"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1.7</w:t>
      </w:r>
      <w:r>
        <w:rPr>
          <w:rFonts w:ascii="Times New Roman" w:hAnsi="Times New Roman" w:eastAsia="Times New Roman" w:cs="Times New Roman"/>
          <w:color w:val="auto"/>
          <w:spacing w:val="13"/>
          <w:sz w:val="24"/>
          <w:szCs w:val="24"/>
          <w:highlight w:val="none"/>
        </w:rPr>
        <w:t xml:space="preserve"> </w:t>
      </w:r>
      <w:r>
        <w:rPr>
          <w:rFonts w:ascii="黑体" w:hAnsi="黑体" w:eastAsia="黑体" w:cs="黑体"/>
          <w:color w:val="auto"/>
          <w:spacing w:val="-5"/>
          <w:sz w:val="24"/>
          <w:szCs w:val="24"/>
          <w:highlight w:val="none"/>
        </w:rPr>
        <w:t>语言文字</w:t>
      </w:r>
    </w:p>
    <w:p w14:paraId="7C91FA8A">
      <w:pPr>
        <w:spacing w:before="99" w:line="255" w:lineRule="auto"/>
        <w:ind w:left="38" w:firstLine="415"/>
        <w:rPr>
          <w:rFonts w:ascii="黑体" w:hAnsi="黑体" w:eastAsia="黑体" w:cs="黑体"/>
          <w:color w:val="auto"/>
          <w:sz w:val="24"/>
          <w:szCs w:val="24"/>
          <w:highlight w:val="none"/>
        </w:rPr>
      </w:pPr>
      <w:r>
        <w:rPr>
          <w:rFonts w:ascii="宋体" w:hAnsi="宋体" w:eastAsia="宋体" w:cs="宋体"/>
          <w:color w:val="auto"/>
          <w:spacing w:val="2"/>
          <w:sz w:val="21"/>
          <w:szCs w:val="21"/>
          <w:highlight w:val="none"/>
        </w:rPr>
        <w:t>除专用术语外，与招标投标有关的语言均使用中文。必要时专用术语应附有</w:t>
      </w:r>
      <w:r>
        <w:rPr>
          <w:rFonts w:ascii="宋体" w:hAnsi="宋体" w:eastAsia="宋体" w:cs="宋体"/>
          <w:color w:val="auto"/>
          <w:spacing w:val="1"/>
          <w:sz w:val="21"/>
          <w:szCs w:val="21"/>
          <w:highlight w:val="none"/>
        </w:rPr>
        <w:t>中文注释。</w:t>
      </w:r>
      <w:r>
        <w:rPr>
          <w:rFonts w:ascii="宋体" w:hAnsi="宋体" w:eastAsia="宋体" w:cs="宋体"/>
          <w:color w:val="auto"/>
          <w:sz w:val="21"/>
          <w:szCs w:val="21"/>
          <w:highlight w:val="none"/>
        </w:rPr>
        <w:t xml:space="preserve"> </w:t>
      </w:r>
      <w:r>
        <w:rPr>
          <w:rFonts w:ascii="Times New Roman" w:hAnsi="Times New Roman" w:eastAsia="Times New Roman" w:cs="Times New Roman"/>
          <w:color w:val="auto"/>
          <w:spacing w:val="-5"/>
          <w:sz w:val="24"/>
          <w:szCs w:val="24"/>
          <w:highlight w:val="none"/>
        </w:rPr>
        <w:t>1.8</w:t>
      </w:r>
      <w:r>
        <w:rPr>
          <w:rFonts w:ascii="Times New Roman" w:hAnsi="Times New Roman" w:eastAsia="Times New Roman" w:cs="Times New Roman"/>
          <w:color w:val="auto"/>
          <w:spacing w:val="13"/>
          <w:sz w:val="24"/>
          <w:szCs w:val="24"/>
          <w:highlight w:val="none"/>
        </w:rPr>
        <w:t xml:space="preserve"> </w:t>
      </w:r>
      <w:r>
        <w:rPr>
          <w:rFonts w:ascii="黑体" w:hAnsi="黑体" w:eastAsia="黑体" w:cs="黑体"/>
          <w:color w:val="auto"/>
          <w:spacing w:val="-5"/>
          <w:sz w:val="24"/>
          <w:szCs w:val="24"/>
          <w:highlight w:val="none"/>
        </w:rPr>
        <w:t>计量单位</w:t>
      </w:r>
    </w:p>
    <w:p w14:paraId="7ECE4D94">
      <w:pPr>
        <w:spacing w:before="100" w:line="335" w:lineRule="exact"/>
        <w:ind w:left="441"/>
        <w:rPr>
          <w:rFonts w:ascii="宋体" w:hAnsi="宋体" w:eastAsia="宋体" w:cs="宋体"/>
          <w:color w:val="auto"/>
          <w:sz w:val="21"/>
          <w:szCs w:val="21"/>
          <w:highlight w:val="none"/>
        </w:rPr>
      </w:pPr>
      <w:r>
        <w:rPr>
          <w:rFonts w:ascii="宋体" w:hAnsi="宋体" w:eastAsia="宋体" w:cs="宋体"/>
          <w:color w:val="auto"/>
          <w:spacing w:val="-2"/>
          <w:position w:val="9"/>
          <w:sz w:val="21"/>
          <w:szCs w:val="21"/>
          <w:highlight w:val="none"/>
        </w:rPr>
        <w:t>所有计量均采用</w:t>
      </w:r>
      <w:bookmarkStart w:id="1357" w:name="_GoBack"/>
      <w:r>
        <w:rPr>
          <w:rFonts w:ascii="宋体" w:hAnsi="宋体" w:eastAsia="宋体" w:cs="宋体"/>
          <w:color w:val="auto"/>
          <w:spacing w:val="-2"/>
          <w:position w:val="9"/>
          <w:sz w:val="21"/>
          <w:szCs w:val="21"/>
          <w:highlight w:val="none"/>
        </w:rPr>
        <w:t>中华人民共和国</w:t>
      </w:r>
      <w:bookmarkEnd w:id="1357"/>
      <w:r>
        <w:rPr>
          <w:rFonts w:ascii="宋体" w:hAnsi="宋体" w:eastAsia="宋体" w:cs="宋体"/>
          <w:color w:val="auto"/>
          <w:spacing w:val="-2"/>
          <w:position w:val="9"/>
          <w:sz w:val="21"/>
          <w:szCs w:val="21"/>
          <w:highlight w:val="none"/>
        </w:rPr>
        <w:t>法定计量单位。</w:t>
      </w:r>
    </w:p>
    <w:p w14:paraId="14D514C5">
      <w:pPr>
        <w:spacing w:before="1" w:line="218"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1.9</w:t>
      </w:r>
      <w:r>
        <w:rPr>
          <w:rFonts w:ascii="Times New Roman" w:hAnsi="Times New Roman" w:eastAsia="Times New Roman" w:cs="Times New Roman"/>
          <w:color w:val="auto"/>
          <w:spacing w:val="13"/>
          <w:sz w:val="24"/>
          <w:szCs w:val="24"/>
          <w:highlight w:val="none"/>
        </w:rPr>
        <w:t xml:space="preserve"> </w:t>
      </w:r>
      <w:r>
        <w:rPr>
          <w:rFonts w:ascii="黑体" w:hAnsi="黑体" w:eastAsia="黑体" w:cs="黑体"/>
          <w:color w:val="auto"/>
          <w:spacing w:val="-5"/>
          <w:sz w:val="24"/>
          <w:szCs w:val="24"/>
          <w:highlight w:val="none"/>
        </w:rPr>
        <w:t>踏勘现场</w:t>
      </w:r>
    </w:p>
    <w:p w14:paraId="514C84EA">
      <w:pPr>
        <w:spacing w:before="100" w:line="269" w:lineRule="auto"/>
        <w:ind w:left="18" w:right="2" w:firstLine="439"/>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1.9.1</w:t>
      </w:r>
      <w:r>
        <w:rPr>
          <w:rFonts w:ascii="Times New Roman" w:hAnsi="Times New Roman" w:eastAsia="Times New Roman" w:cs="Times New Roman"/>
          <w:color w:val="auto"/>
          <w:spacing w:val="53"/>
          <w:w w:val="101"/>
          <w:sz w:val="21"/>
          <w:szCs w:val="21"/>
          <w:highlight w:val="none"/>
        </w:rPr>
        <w:t xml:space="preserve"> </w:t>
      </w:r>
      <w:r>
        <w:rPr>
          <w:rFonts w:ascii="宋体" w:hAnsi="宋体" w:eastAsia="宋体" w:cs="宋体"/>
          <w:color w:val="auto"/>
          <w:spacing w:val="-1"/>
          <w:sz w:val="21"/>
          <w:szCs w:val="21"/>
          <w:highlight w:val="none"/>
        </w:rPr>
        <w:t>投标人须知前附表规定组织踏勘现场的，招标人按投标人须知前附表规定的时间、</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地点组织投标人踏勘项目现场。</w:t>
      </w:r>
    </w:p>
    <w:p w14:paraId="2962D13E">
      <w:pPr>
        <w:spacing w:before="108"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1.9.2 </w:t>
      </w:r>
      <w:r>
        <w:rPr>
          <w:rFonts w:ascii="宋体" w:hAnsi="宋体" w:eastAsia="宋体" w:cs="宋体"/>
          <w:color w:val="auto"/>
          <w:spacing w:val="-2"/>
          <w:sz w:val="21"/>
          <w:szCs w:val="21"/>
          <w:highlight w:val="none"/>
        </w:rPr>
        <w:t>投标人踏勘现场发生的费用自理。</w:t>
      </w:r>
    </w:p>
    <w:p w14:paraId="5B24170C">
      <w:pPr>
        <w:spacing w:line="221" w:lineRule="auto"/>
        <w:rPr>
          <w:rFonts w:ascii="宋体" w:hAnsi="宋体" w:eastAsia="宋体" w:cs="宋体"/>
          <w:color w:val="auto"/>
          <w:sz w:val="21"/>
          <w:szCs w:val="21"/>
          <w:highlight w:val="none"/>
        </w:rPr>
        <w:sectPr>
          <w:footerReference r:id="rId20" w:type="default"/>
          <w:pgSz w:w="11905" w:h="16839"/>
          <w:pgMar w:top="1431" w:right="1612" w:bottom="1036" w:left="1785" w:header="0" w:footer="847" w:gutter="0"/>
          <w:pgNumType w:fmt="decimal"/>
          <w:cols w:space="720" w:num="1"/>
        </w:sectPr>
      </w:pPr>
    </w:p>
    <w:p w14:paraId="0B7CBA33">
      <w:pPr>
        <w:spacing w:before="115" w:line="221" w:lineRule="auto"/>
        <w:jc w:val="right"/>
        <w:rPr>
          <w:rFonts w:ascii="宋体" w:hAnsi="宋体" w:eastAsia="宋体" w:cs="宋体"/>
          <w:color w:val="auto"/>
          <w:sz w:val="21"/>
          <w:szCs w:val="21"/>
          <w:highlight w:val="none"/>
        </w:rPr>
      </w:pPr>
      <w:bookmarkStart w:id="70" w:name="bookmark89"/>
      <w:bookmarkEnd w:id="70"/>
      <w:r>
        <w:rPr>
          <w:rFonts w:ascii="Times New Roman" w:hAnsi="Times New Roman" w:eastAsia="Times New Roman" w:cs="Times New Roman"/>
          <w:color w:val="auto"/>
          <w:spacing w:val="-1"/>
          <w:sz w:val="21"/>
          <w:szCs w:val="21"/>
          <w:highlight w:val="none"/>
        </w:rPr>
        <w:t>1.9.3</w:t>
      </w:r>
      <w:r>
        <w:rPr>
          <w:rFonts w:ascii="Times New Roman" w:hAnsi="Times New Roman" w:eastAsia="Times New Roman" w:cs="Times New Roman"/>
          <w:color w:val="auto"/>
          <w:spacing w:val="53"/>
          <w:w w:val="101"/>
          <w:sz w:val="21"/>
          <w:szCs w:val="21"/>
          <w:highlight w:val="none"/>
        </w:rPr>
        <w:t xml:space="preserve"> </w:t>
      </w:r>
      <w:r>
        <w:rPr>
          <w:rFonts w:ascii="宋体" w:hAnsi="宋体" w:eastAsia="宋体" w:cs="宋体"/>
          <w:color w:val="auto"/>
          <w:spacing w:val="-1"/>
          <w:sz w:val="21"/>
          <w:szCs w:val="21"/>
          <w:highlight w:val="none"/>
        </w:rPr>
        <w:t>除招标人的原因外，投标人自行负责在踏勘现场中所发生的人员伤亡和财产损失。</w:t>
      </w:r>
    </w:p>
    <w:p w14:paraId="2B5DA51C">
      <w:pPr>
        <w:spacing w:before="108"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1.9.4</w:t>
      </w:r>
      <w:r>
        <w:rPr>
          <w:rFonts w:ascii="Times New Roman" w:hAnsi="Times New Roman" w:eastAsia="Times New Roman" w:cs="Times New Roman"/>
          <w:color w:val="auto"/>
          <w:spacing w:val="42"/>
          <w:w w:val="101"/>
          <w:sz w:val="21"/>
          <w:szCs w:val="21"/>
          <w:highlight w:val="none"/>
        </w:rPr>
        <w:t xml:space="preserve"> </w:t>
      </w:r>
      <w:r>
        <w:rPr>
          <w:rFonts w:ascii="宋体" w:hAnsi="宋体" w:eastAsia="宋体" w:cs="宋体"/>
          <w:color w:val="auto"/>
          <w:sz w:val="21"/>
          <w:szCs w:val="21"/>
          <w:highlight w:val="none"/>
        </w:rPr>
        <w:t>招标人在踏勘现场中介绍的工程场地和相关的周边环境情况，供投标人在编制投</w:t>
      </w:r>
    </w:p>
    <w:p w14:paraId="09C4B6FA">
      <w:pPr>
        <w:spacing w:before="109" w:line="336" w:lineRule="exact"/>
        <w:ind w:left="19"/>
        <w:rPr>
          <w:rFonts w:ascii="宋体" w:hAnsi="宋体" w:eastAsia="宋体" w:cs="宋体"/>
          <w:color w:val="auto"/>
          <w:sz w:val="21"/>
          <w:szCs w:val="21"/>
          <w:highlight w:val="none"/>
        </w:rPr>
      </w:pPr>
      <w:r>
        <w:rPr>
          <w:rFonts w:ascii="宋体" w:hAnsi="宋体" w:eastAsia="宋体" w:cs="宋体"/>
          <w:color w:val="auto"/>
          <w:spacing w:val="-1"/>
          <w:position w:val="9"/>
          <w:sz w:val="21"/>
          <w:szCs w:val="21"/>
          <w:highlight w:val="none"/>
        </w:rPr>
        <w:t>标文件时参考，招标人不对投标人据此作出的判断和决策</w:t>
      </w:r>
      <w:r>
        <w:rPr>
          <w:rFonts w:ascii="宋体" w:hAnsi="宋体" w:eastAsia="宋体" w:cs="宋体"/>
          <w:color w:val="auto"/>
          <w:spacing w:val="-2"/>
          <w:position w:val="9"/>
          <w:sz w:val="21"/>
          <w:szCs w:val="21"/>
          <w:highlight w:val="none"/>
        </w:rPr>
        <w:t>负责。</w:t>
      </w:r>
    </w:p>
    <w:p w14:paraId="41D09D8B">
      <w:pPr>
        <w:spacing w:before="1" w:line="218"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 xml:space="preserve">1.10 </w:t>
      </w:r>
      <w:r>
        <w:rPr>
          <w:rFonts w:ascii="黑体" w:hAnsi="黑体" w:eastAsia="黑体" w:cs="黑体"/>
          <w:color w:val="auto"/>
          <w:spacing w:val="-3"/>
          <w:sz w:val="24"/>
          <w:szCs w:val="24"/>
          <w:highlight w:val="none"/>
        </w:rPr>
        <w:t>投标预备会</w:t>
      </w:r>
    </w:p>
    <w:p w14:paraId="67E8B5DC">
      <w:pPr>
        <w:spacing w:before="100" w:line="268" w:lineRule="auto"/>
        <w:ind w:left="28" w:right="183" w:firstLine="429"/>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1.10.1</w:t>
      </w:r>
      <w:r>
        <w:rPr>
          <w:rFonts w:ascii="Times New Roman" w:hAnsi="Times New Roman" w:eastAsia="Times New Roman" w:cs="Times New Roman"/>
          <w:color w:val="auto"/>
          <w:spacing w:val="40"/>
          <w:w w:val="101"/>
          <w:sz w:val="21"/>
          <w:szCs w:val="21"/>
          <w:highlight w:val="none"/>
        </w:rPr>
        <w:t xml:space="preserve"> </w:t>
      </w:r>
      <w:r>
        <w:rPr>
          <w:rFonts w:ascii="宋体" w:hAnsi="宋体" w:eastAsia="宋体" w:cs="宋体"/>
          <w:color w:val="auto"/>
          <w:spacing w:val="3"/>
          <w:sz w:val="21"/>
          <w:szCs w:val="21"/>
          <w:highlight w:val="none"/>
        </w:rPr>
        <w:t>投标人须知前附表规定召开投标预备会的</w:t>
      </w:r>
      <w:r>
        <w:rPr>
          <w:rFonts w:ascii="宋体" w:hAnsi="宋体" w:eastAsia="宋体" w:cs="宋体"/>
          <w:color w:val="auto"/>
          <w:spacing w:val="2"/>
          <w:sz w:val="21"/>
          <w:szCs w:val="21"/>
          <w:highlight w:val="none"/>
        </w:rPr>
        <w:t>，招标人按投标人须知前附表规定的</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时间和地点召开投标预备会， 澄清投标人提出的问题。</w:t>
      </w:r>
    </w:p>
    <w:p w14:paraId="3E7EEB49">
      <w:pPr>
        <w:spacing w:before="110" w:line="268" w:lineRule="auto"/>
        <w:ind w:left="19" w:right="183" w:firstLine="438"/>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1.10.2</w:t>
      </w:r>
      <w:r>
        <w:rPr>
          <w:rFonts w:ascii="Times New Roman" w:hAnsi="Times New Roman" w:eastAsia="Times New Roman" w:cs="Times New Roman"/>
          <w:color w:val="auto"/>
          <w:spacing w:val="36"/>
          <w:w w:val="101"/>
          <w:sz w:val="21"/>
          <w:szCs w:val="21"/>
          <w:highlight w:val="none"/>
        </w:rPr>
        <w:t xml:space="preserve"> </w:t>
      </w:r>
      <w:r>
        <w:rPr>
          <w:rFonts w:ascii="宋体" w:hAnsi="宋体" w:eastAsia="宋体" w:cs="宋体"/>
          <w:color w:val="auto"/>
          <w:spacing w:val="3"/>
          <w:sz w:val="21"/>
          <w:szCs w:val="21"/>
          <w:highlight w:val="none"/>
        </w:rPr>
        <w:t>在投标人须知前附表规定的时间前，投标人应通过</w:t>
      </w:r>
      <w:r>
        <w:rPr>
          <w:rFonts w:ascii="宋体" w:hAnsi="宋体" w:eastAsia="宋体" w:cs="宋体"/>
          <w:color w:val="auto"/>
          <w:spacing w:val="2"/>
          <w:sz w:val="21"/>
          <w:szCs w:val="21"/>
          <w:highlight w:val="none"/>
        </w:rPr>
        <w:t>电子交易系统以书面形式将</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提出的问题送达招标人，以便招标人在会议期间澄清。</w:t>
      </w:r>
    </w:p>
    <w:p w14:paraId="77048A92">
      <w:pPr>
        <w:spacing w:before="109" w:line="285" w:lineRule="auto"/>
        <w:ind w:left="17" w:right="174" w:firstLine="440"/>
        <w:rPr>
          <w:rFonts w:ascii="宋体" w:hAnsi="宋体"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1.10.3</w:t>
      </w:r>
      <w:r>
        <w:rPr>
          <w:rFonts w:ascii="Times New Roman" w:hAnsi="Times New Roman" w:eastAsia="Times New Roman" w:cs="Times New Roman"/>
          <w:color w:val="auto"/>
          <w:spacing w:val="40"/>
          <w:w w:val="101"/>
          <w:sz w:val="21"/>
          <w:szCs w:val="21"/>
          <w:highlight w:val="none"/>
        </w:rPr>
        <w:t xml:space="preserve"> </w:t>
      </w:r>
      <w:r>
        <w:rPr>
          <w:rFonts w:ascii="宋体" w:hAnsi="宋体" w:eastAsia="宋体" w:cs="宋体"/>
          <w:color w:val="auto"/>
          <w:spacing w:val="-5"/>
          <w:sz w:val="21"/>
          <w:szCs w:val="21"/>
          <w:highlight w:val="none"/>
        </w:rPr>
        <w:t xml:space="preserve">投标预备会后，招标人在本章第 </w:t>
      </w:r>
      <w:r>
        <w:rPr>
          <w:rFonts w:ascii="Times New Roman" w:hAnsi="Times New Roman" w:eastAsia="Times New Roman" w:cs="Times New Roman"/>
          <w:color w:val="auto"/>
          <w:spacing w:val="-5"/>
          <w:sz w:val="21"/>
          <w:szCs w:val="21"/>
          <w:highlight w:val="none"/>
        </w:rPr>
        <w:t>2.2.2</w:t>
      </w:r>
      <w:r>
        <w:rPr>
          <w:rFonts w:ascii="Times New Roman" w:hAnsi="Times New Roman" w:eastAsia="Times New Roman" w:cs="Times New Roman"/>
          <w:color w:val="auto"/>
          <w:spacing w:val="21"/>
          <w:w w:val="101"/>
          <w:sz w:val="21"/>
          <w:szCs w:val="21"/>
          <w:highlight w:val="none"/>
        </w:rPr>
        <w:t xml:space="preserve"> </w:t>
      </w:r>
      <w:r>
        <w:rPr>
          <w:rFonts w:ascii="宋体" w:hAnsi="宋体" w:eastAsia="宋体" w:cs="宋体"/>
          <w:color w:val="auto"/>
          <w:spacing w:val="-5"/>
          <w:sz w:val="21"/>
          <w:szCs w:val="21"/>
          <w:highlight w:val="none"/>
        </w:rPr>
        <w:t>项规定的时间内，</w:t>
      </w:r>
      <w:r>
        <w:rPr>
          <w:rFonts w:ascii="宋体" w:hAnsi="宋体" w:eastAsia="宋体" w:cs="宋体"/>
          <w:color w:val="auto"/>
          <w:spacing w:val="49"/>
          <w:sz w:val="21"/>
          <w:szCs w:val="21"/>
          <w:highlight w:val="none"/>
        </w:rPr>
        <w:t xml:space="preserve"> </w:t>
      </w:r>
      <w:r>
        <w:rPr>
          <w:rFonts w:ascii="宋体" w:hAnsi="宋体" w:eastAsia="宋体" w:cs="宋体"/>
          <w:color w:val="auto"/>
          <w:spacing w:val="-5"/>
          <w:sz w:val="21"/>
          <w:szCs w:val="21"/>
          <w:highlight w:val="none"/>
        </w:rPr>
        <w:t>将对投标人所提问题的</w:t>
      </w:r>
      <w:r>
        <w:rPr>
          <w:rFonts w:ascii="宋体" w:hAnsi="宋体" w:eastAsia="宋体" w:cs="宋体"/>
          <w:color w:val="auto"/>
          <w:sz w:val="21"/>
          <w:szCs w:val="21"/>
          <w:highlight w:val="none"/>
        </w:rPr>
        <w:t xml:space="preserve"> 澄清， 以书面形式通过法定公告公示信息发布媒介、电子交易系统（投标盲盒工具）等渠</w:t>
      </w:r>
      <w:r>
        <w:rPr>
          <w:rFonts w:ascii="宋体" w:hAnsi="宋体" w:eastAsia="宋体" w:cs="宋体"/>
          <w:color w:val="auto"/>
          <w:spacing w:val="13"/>
          <w:sz w:val="21"/>
          <w:szCs w:val="21"/>
          <w:highlight w:val="none"/>
        </w:rPr>
        <w:t xml:space="preserve"> </w:t>
      </w:r>
      <w:r>
        <w:rPr>
          <w:rFonts w:ascii="宋体" w:hAnsi="宋体" w:eastAsia="宋体" w:cs="宋体"/>
          <w:color w:val="auto"/>
          <w:spacing w:val="-1"/>
          <w:sz w:val="21"/>
          <w:szCs w:val="21"/>
          <w:highlight w:val="none"/>
        </w:rPr>
        <w:t>道通知所有下载招标文件的投标人。该澄清内容为招标文件的组成部分。</w:t>
      </w:r>
    </w:p>
    <w:p w14:paraId="1B04B57B">
      <w:pPr>
        <w:spacing w:before="84" w:line="220"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8"/>
          <w:sz w:val="24"/>
          <w:szCs w:val="24"/>
          <w:highlight w:val="none"/>
        </w:rPr>
        <w:t>1.11</w:t>
      </w:r>
      <w:r>
        <w:rPr>
          <w:rFonts w:ascii="Times New Roman" w:hAnsi="Times New Roman" w:eastAsia="Times New Roman" w:cs="Times New Roman"/>
          <w:color w:val="auto"/>
          <w:spacing w:val="22"/>
          <w:sz w:val="24"/>
          <w:szCs w:val="24"/>
          <w:highlight w:val="none"/>
        </w:rPr>
        <w:t xml:space="preserve"> </w:t>
      </w:r>
      <w:r>
        <w:rPr>
          <w:rFonts w:ascii="黑体" w:hAnsi="黑体" w:eastAsia="黑体" w:cs="黑体"/>
          <w:color w:val="auto"/>
          <w:spacing w:val="-8"/>
          <w:sz w:val="24"/>
          <w:szCs w:val="24"/>
          <w:highlight w:val="none"/>
        </w:rPr>
        <w:t>分包</w:t>
      </w:r>
    </w:p>
    <w:p w14:paraId="45605FE7">
      <w:pPr>
        <w:spacing w:before="100" w:line="268" w:lineRule="auto"/>
        <w:ind w:left="20" w:right="177" w:firstLine="42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投标人拟在中标后将中标项目的部分非主体、非关键性工作进行分包的，应符合投标</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人须知前附表规定的分包内容、分包金额和接受分包的第三人资质要求等限制性条件。</w:t>
      </w:r>
    </w:p>
    <w:p w14:paraId="26905923">
      <w:pPr>
        <w:spacing w:before="85" w:line="220"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6"/>
          <w:sz w:val="24"/>
          <w:szCs w:val="24"/>
          <w:highlight w:val="none"/>
        </w:rPr>
        <w:t>1.12</w:t>
      </w:r>
      <w:r>
        <w:rPr>
          <w:rFonts w:ascii="Times New Roman" w:hAnsi="Times New Roman" w:eastAsia="Times New Roman" w:cs="Times New Roman"/>
          <w:color w:val="auto"/>
          <w:spacing w:val="16"/>
          <w:sz w:val="24"/>
          <w:szCs w:val="24"/>
          <w:highlight w:val="none"/>
        </w:rPr>
        <w:t xml:space="preserve"> </w:t>
      </w:r>
      <w:r>
        <w:rPr>
          <w:rFonts w:ascii="黑体" w:hAnsi="黑体" w:eastAsia="黑体" w:cs="黑体"/>
          <w:color w:val="auto"/>
          <w:spacing w:val="-6"/>
          <w:sz w:val="24"/>
          <w:szCs w:val="24"/>
          <w:highlight w:val="none"/>
        </w:rPr>
        <w:t>偏离</w:t>
      </w:r>
    </w:p>
    <w:p w14:paraId="59E68299">
      <w:pPr>
        <w:spacing w:before="99" w:line="268" w:lineRule="auto"/>
        <w:ind w:left="23" w:right="177" w:firstLine="420"/>
        <w:rPr>
          <w:rFonts w:ascii="宋体" w:hAnsi="宋体" w:eastAsia="宋体" w:cs="宋体"/>
          <w:color w:val="auto"/>
          <w:sz w:val="21"/>
          <w:szCs w:val="21"/>
          <w:highlight w:val="none"/>
        </w:rPr>
      </w:pPr>
      <w:r>
        <w:rPr>
          <w:rFonts w:ascii="宋体" w:hAnsi="宋体" w:eastAsia="宋体" w:cs="宋体"/>
          <w:color w:val="auto"/>
          <w:sz w:val="21"/>
          <w:szCs w:val="21"/>
          <w:highlight w:val="none"/>
        </w:rPr>
        <w:t>投标人须知前附表允许投标文件偏离招标文件某些要求的， 偏离应当符合招标文件规</w:t>
      </w:r>
      <w:r>
        <w:rPr>
          <w:rFonts w:ascii="宋体" w:hAnsi="宋体" w:eastAsia="宋体" w:cs="宋体"/>
          <w:color w:val="auto"/>
          <w:spacing w:val="6"/>
          <w:sz w:val="21"/>
          <w:szCs w:val="21"/>
          <w:highlight w:val="none"/>
        </w:rPr>
        <w:t xml:space="preserve"> </w:t>
      </w:r>
      <w:r>
        <w:rPr>
          <w:rFonts w:ascii="宋体" w:hAnsi="宋体" w:eastAsia="宋体" w:cs="宋体"/>
          <w:color w:val="auto"/>
          <w:spacing w:val="-1"/>
          <w:sz w:val="21"/>
          <w:szCs w:val="21"/>
          <w:highlight w:val="none"/>
        </w:rPr>
        <w:t>定的偏离范围和幅度。</w:t>
      </w:r>
    </w:p>
    <w:p w14:paraId="1F74344E">
      <w:pPr>
        <w:spacing w:before="153" w:line="225" w:lineRule="auto"/>
        <w:ind w:left="15"/>
        <w:rPr>
          <w:rFonts w:ascii="黑体" w:hAnsi="黑体" w:eastAsia="黑体" w:cs="黑体"/>
          <w:color w:val="auto"/>
          <w:sz w:val="27"/>
          <w:szCs w:val="27"/>
          <w:highlight w:val="none"/>
        </w:rPr>
      </w:pPr>
      <w:r>
        <w:rPr>
          <w:rFonts w:ascii="Times New Roman" w:hAnsi="Times New Roman" w:eastAsia="Times New Roman" w:cs="Times New Roman"/>
          <w:color w:val="auto"/>
          <w:spacing w:val="4"/>
          <w:sz w:val="27"/>
          <w:szCs w:val="27"/>
          <w:highlight w:val="none"/>
        </w:rPr>
        <w:t>2.</w:t>
      </w:r>
      <w:r>
        <w:rPr>
          <w:rFonts w:ascii="Times New Roman" w:hAnsi="Times New Roman" w:eastAsia="Times New Roman" w:cs="Times New Roman"/>
          <w:color w:val="auto"/>
          <w:spacing w:val="17"/>
          <w:sz w:val="27"/>
          <w:szCs w:val="27"/>
          <w:highlight w:val="none"/>
        </w:rPr>
        <w:t xml:space="preserve"> </w:t>
      </w:r>
      <w:r>
        <w:rPr>
          <w:rFonts w:ascii="黑体" w:hAnsi="黑体" w:eastAsia="黑体" w:cs="黑体"/>
          <w:color w:val="auto"/>
          <w:spacing w:val="4"/>
          <w:sz w:val="27"/>
          <w:szCs w:val="27"/>
          <w:highlight w:val="none"/>
        </w:rPr>
        <w:t>招标文件</w:t>
      </w:r>
    </w:p>
    <w:p w14:paraId="7370370E">
      <w:pPr>
        <w:spacing w:before="65" w:line="219" w:lineRule="auto"/>
        <w:ind w:left="15"/>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 xml:space="preserve">2.1 </w:t>
      </w:r>
      <w:r>
        <w:rPr>
          <w:rFonts w:ascii="黑体" w:hAnsi="黑体" w:eastAsia="黑体" w:cs="黑体"/>
          <w:color w:val="auto"/>
          <w:sz w:val="24"/>
          <w:szCs w:val="24"/>
          <w:highlight w:val="none"/>
        </w:rPr>
        <w:t>招标文件的组成</w:t>
      </w:r>
    </w:p>
    <w:p w14:paraId="683533F5">
      <w:pPr>
        <w:spacing w:before="100" w:line="220" w:lineRule="auto"/>
        <w:ind w:left="120"/>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2.1.1 </w:t>
      </w:r>
      <w:r>
        <w:rPr>
          <w:rFonts w:ascii="宋体" w:hAnsi="宋体" w:eastAsia="宋体" w:cs="宋体"/>
          <w:color w:val="auto"/>
          <w:spacing w:val="-3"/>
          <w:sz w:val="21"/>
          <w:szCs w:val="21"/>
          <w:highlight w:val="none"/>
        </w:rPr>
        <w:t>本招标文件包括：</w:t>
      </w:r>
    </w:p>
    <w:p w14:paraId="3C7F9EF4">
      <w:pPr>
        <w:spacing w:before="110" w:line="360" w:lineRule="exact"/>
        <w:ind w:left="385"/>
        <w:rPr>
          <w:rFonts w:ascii="宋体" w:hAnsi="宋体" w:eastAsia="宋体" w:cs="宋体"/>
          <w:color w:val="auto"/>
          <w:sz w:val="21"/>
          <w:szCs w:val="21"/>
          <w:highlight w:val="none"/>
        </w:rPr>
      </w:pPr>
      <w:r>
        <w:rPr>
          <w:rFonts w:ascii="宋体" w:hAnsi="宋体" w:eastAsia="宋体" w:cs="宋体"/>
          <w:color w:val="auto"/>
          <w:spacing w:val="-1"/>
          <w:position w:val="11"/>
          <w:sz w:val="21"/>
          <w:szCs w:val="21"/>
          <w:highlight w:val="none"/>
        </w:rPr>
        <w:t>（</w:t>
      </w:r>
      <w:r>
        <w:rPr>
          <w:rFonts w:ascii="Times New Roman" w:hAnsi="Times New Roman" w:eastAsia="Times New Roman" w:cs="Times New Roman"/>
          <w:color w:val="auto"/>
          <w:spacing w:val="-1"/>
          <w:position w:val="11"/>
          <w:sz w:val="21"/>
          <w:szCs w:val="21"/>
          <w:highlight w:val="none"/>
        </w:rPr>
        <w:t>1</w:t>
      </w:r>
      <w:r>
        <w:rPr>
          <w:rFonts w:ascii="宋体" w:hAnsi="宋体" w:eastAsia="宋体" w:cs="宋体"/>
          <w:color w:val="auto"/>
          <w:spacing w:val="-1"/>
          <w:position w:val="11"/>
          <w:sz w:val="21"/>
          <w:szCs w:val="21"/>
          <w:highlight w:val="none"/>
        </w:rPr>
        <w:t>）招标公告（或投标邀请书</w:t>
      </w:r>
      <w:r>
        <w:rPr>
          <w:rFonts w:ascii="宋体" w:hAnsi="宋体" w:eastAsia="宋体" w:cs="宋体"/>
          <w:color w:val="auto"/>
          <w:spacing w:val="-54"/>
          <w:w w:val="97"/>
          <w:position w:val="11"/>
          <w:sz w:val="21"/>
          <w:szCs w:val="21"/>
          <w:highlight w:val="none"/>
        </w:rPr>
        <w:t>）；</w:t>
      </w:r>
    </w:p>
    <w:p w14:paraId="680CC122">
      <w:pPr>
        <w:spacing w:line="221" w:lineRule="auto"/>
        <w:ind w:left="385"/>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2</w:t>
      </w:r>
      <w:r>
        <w:rPr>
          <w:rFonts w:ascii="宋体" w:hAnsi="宋体" w:eastAsia="宋体" w:cs="宋体"/>
          <w:color w:val="auto"/>
          <w:spacing w:val="-6"/>
          <w:sz w:val="21"/>
          <w:szCs w:val="21"/>
          <w:highlight w:val="none"/>
        </w:rPr>
        <w:t>）投标人须知；</w:t>
      </w:r>
    </w:p>
    <w:p w14:paraId="737FC321">
      <w:pPr>
        <w:spacing w:before="108" w:line="221" w:lineRule="auto"/>
        <w:ind w:left="385"/>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3</w:t>
      </w:r>
      <w:r>
        <w:rPr>
          <w:rFonts w:ascii="宋体" w:hAnsi="宋体" w:eastAsia="宋体" w:cs="宋体"/>
          <w:color w:val="auto"/>
          <w:spacing w:val="-6"/>
          <w:sz w:val="21"/>
          <w:szCs w:val="21"/>
          <w:highlight w:val="none"/>
        </w:rPr>
        <w:t>）评标办法；</w:t>
      </w:r>
    </w:p>
    <w:p w14:paraId="6A28E27C">
      <w:pPr>
        <w:spacing w:before="109" w:line="360" w:lineRule="exact"/>
        <w:ind w:left="385"/>
        <w:rPr>
          <w:rFonts w:ascii="宋体" w:hAnsi="宋体" w:eastAsia="宋体" w:cs="宋体"/>
          <w:color w:val="auto"/>
          <w:sz w:val="21"/>
          <w:szCs w:val="21"/>
          <w:highlight w:val="none"/>
        </w:rPr>
      </w:pPr>
      <w:r>
        <w:rPr>
          <w:rFonts w:ascii="宋体" w:hAnsi="宋体" w:eastAsia="宋体" w:cs="宋体"/>
          <w:color w:val="auto"/>
          <w:spacing w:val="-1"/>
          <w:position w:val="11"/>
          <w:sz w:val="21"/>
          <w:szCs w:val="21"/>
          <w:highlight w:val="none"/>
        </w:rPr>
        <w:t>（</w:t>
      </w:r>
      <w:r>
        <w:rPr>
          <w:rFonts w:ascii="Times New Roman" w:hAnsi="Times New Roman" w:eastAsia="Times New Roman" w:cs="Times New Roman"/>
          <w:color w:val="auto"/>
          <w:spacing w:val="-1"/>
          <w:position w:val="11"/>
          <w:sz w:val="21"/>
          <w:szCs w:val="21"/>
          <w:highlight w:val="none"/>
        </w:rPr>
        <w:t>4</w:t>
      </w:r>
      <w:r>
        <w:rPr>
          <w:rFonts w:ascii="宋体" w:hAnsi="宋体" w:eastAsia="宋体" w:cs="宋体"/>
          <w:color w:val="auto"/>
          <w:spacing w:val="-1"/>
          <w:position w:val="11"/>
          <w:sz w:val="21"/>
          <w:szCs w:val="21"/>
          <w:highlight w:val="none"/>
        </w:rPr>
        <w:t>）合同条款及格式；</w:t>
      </w:r>
    </w:p>
    <w:p w14:paraId="61A05F83">
      <w:pPr>
        <w:spacing w:before="1" w:line="221" w:lineRule="auto"/>
        <w:ind w:left="38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5</w:t>
      </w:r>
      <w:r>
        <w:rPr>
          <w:rFonts w:ascii="宋体" w:hAnsi="宋体" w:eastAsia="宋体" w:cs="宋体"/>
          <w:color w:val="auto"/>
          <w:spacing w:val="-5"/>
          <w:sz w:val="21"/>
          <w:szCs w:val="21"/>
          <w:highlight w:val="none"/>
        </w:rPr>
        <w:t>）工程量清单；</w:t>
      </w:r>
    </w:p>
    <w:p w14:paraId="463C586D">
      <w:pPr>
        <w:spacing w:before="108" w:line="222" w:lineRule="auto"/>
        <w:ind w:left="385"/>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w:t>
      </w:r>
      <w:r>
        <w:rPr>
          <w:rFonts w:ascii="Times New Roman" w:hAnsi="Times New Roman" w:eastAsia="Times New Roman" w:cs="Times New Roman"/>
          <w:color w:val="auto"/>
          <w:spacing w:val="-8"/>
          <w:sz w:val="21"/>
          <w:szCs w:val="21"/>
          <w:highlight w:val="none"/>
        </w:rPr>
        <w:t>6</w:t>
      </w:r>
      <w:r>
        <w:rPr>
          <w:rFonts w:ascii="宋体" w:hAnsi="宋体" w:eastAsia="宋体" w:cs="宋体"/>
          <w:color w:val="auto"/>
          <w:spacing w:val="-8"/>
          <w:sz w:val="21"/>
          <w:szCs w:val="21"/>
          <w:highlight w:val="none"/>
        </w:rPr>
        <w:t>）图纸；</w:t>
      </w:r>
    </w:p>
    <w:p w14:paraId="5607596B">
      <w:pPr>
        <w:spacing w:before="107" w:line="361" w:lineRule="exact"/>
        <w:ind w:left="385"/>
        <w:rPr>
          <w:rFonts w:ascii="宋体" w:hAnsi="宋体" w:eastAsia="宋体" w:cs="宋体"/>
          <w:color w:val="auto"/>
          <w:sz w:val="21"/>
          <w:szCs w:val="21"/>
          <w:highlight w:val="none"/>
        </w:rPr>
      </w:pPr>
      <w:r>
        <w:rPr>
          <w:rFonts w:ascii="宋体" w:hAnsi="宋体" w:eastAsia="宋体" w:cs="宋体"/>
          <w:color w:val="auto"/>
          <w:spacing w:val="-1"/>
          <w:position w:val="11"/>
          <w:sz w:val="21"/>
          <w:szCs w:val="21"/>
          <w:highlight w:val="none"/>
        </w:rPr>
        <w:t>（</w:t>
      </w:r>
      <w:r>
        <w:rPr>
          <w:rFonts w:ascii="Times New Roman" w:hAnsi="Times New Roman" w:eastAsia="Times New Roman" w:cs="Times New Roman"/>
          <w:color w:val="auto"/>
          <w:spacing w:val="-1"/>
          <w:position w:val="11"/>
          <w:sz w:val="21"/>
          <w:szCs w:val="21"/>
          <w:highlight w:val="none"/>
        </w:rPr>
        <w:t>7</w:t>
      </w:r>
      <w:r>
        <w:rPr>
          <w:rFonts w:ascii="宋体" w:hAnsi="宋体" w:eastAsia="宋体" w:cs="宋体"/>
          <w:color w:val="auto"/>
          <w:spacing w:val="-1"/>
          <w:position w:val="11"/>
          <w:sz w:val="21"/>
          <w:szCs w:val="21"/>
          <w:highlight w:val="none"/>
        </w:rPr>
        <w:t>）技术标准和要求；</w:t>
      </w:r>
    </w:p>
    <w:p w14:paraId="1B27CA62">
      <w:pPr>
        <w:spacing w:before="1" w:line="220" w:lineRule="auto"/>
        <w:ind w:left="38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8</w:t>
      </w:r>
      <w:r>
        <w:rPr>
          <w:rFonts w:ascii="宋体" w:hAnsi="宋体" w:eastAsia="宋体" w:cs="宋体"/>
          <w:color w:val="auto"/>
          <w:spacing w:val="-5"/>
          <w:sz w:val="21"/>
          <w:szCs w:val="21"/>
          <w:highlight w:val="none"/>
        </w:rPr>
        <w:t>）投标文件格式；</w:t>
      </w:r>
    </w:p>
    <w:p w14:paraId="58CE4D20">
      <w:pPr>
        <w:spacing w:before="108" w:line="220" w:lineRule="auto"/>
        <w:ind w:left="38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9</w:t>
      </w:r>
      <w:r>
        <w:rPr>
          <w:rFonts w:ascii="宋体" w:hAnsi="宋体" w:eastAsia="宋体" w:cs="宋体"/>
          <w:color w:val="auto"/>
          <w:spacing w:val="-1"/>
          <w:sz w:val="21"/>
          <w:szCs w:val="21"/>
          <w:highlight w:val="none"/>
        </w:rPr>
        <w:t>）投标人须知前附表规定的其他材料。</w:t>
      </w:r>
    </w:p>
    <w:p w14:paraId="349475F7">
      <w:pPr>
        <w:spacing w:before="109" w:line="269" w:lineRule="auto"/>
        <w:ind w:left="35" w:right="174" w:firstLine="40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根据本章第</w:t>
      </w:r>
      <w:r>
        <w:rPr>
          <w:rFonts w:ascii="宋体" w:hAnsi="宋体" w:eastAsia="宋体" w:cs="宋体"/>
          <w:color w:val="auto"/>
          <w:spacing w:val="-27"/>
          <w:sz w:val="21"/>
          <w:szCs w:val="21"/>
          <w:highlight w:val="none"/>
        </w:rPr>
        <w:t xml:space="preserve"> </w:t>
      </w:r>
      <w:r>
        <w:rPr>
          <w:rFonts w:ascii="Times New Roman" w:hAnsi="Times New Roman" w:eastAsia="Times New Roman" w:cs="Times New Roman"/>
          <w:color w:val="auto"/>
          <w:spacing w:val="-5"/>
          <w:sz w:val="21"/>
          <w:szCs w:val="21"/>
          <w:highlight w:val="none"/>
        </w:rPr>
        <w:t xml:space="preserve">1.10 </w:t>
      </w:r>
      <w:r>
        <w:rPr>
          <w:rFonts w:ascii="宋体" w:hAnsi="宋体" w:eastAsia="宋体" w:cs="宋体"/>
          <w:color w:val="auto"/>
          <w:spacing w:val="-5"/>
          <w:sz w:val="21"/>
          <w:szCs w:val="21"/>
          <w:highlight w:val="none"/>
        </w:rPr>
        <w:t>款、</w:t>
      </w:r>
      <w:r>
        <w:rPr>
          <w:rFonts w:ascii="宋体" w:hAnsi="宋体" w:eastAsia="宋体" w:cs="宋体"/>
          <w:color w:val="auto"/>
          <w:spacing w:val="-32"/>
          <w:sz w:val="21"/>
          <w:szCs w:val="21"/>
          <w:highlight w:val="none"/>
        </w:rPr>
        <w:t xml:space="preserve"> </w:t>
      </w:r>
      <w:r>
        <w:rPr>
          <w:rFonts w:ascii="宋体" w:hAnsi="宋体" w:eastAsia="宋体" w:cs="宋体"/>
          <w:color w:val="auto"/>
          <w:spacing w:val="-5"/>
          <w:sz w:val="21"/>
          <w:szCs w:val="21"/>
          <w:highlight w:val="none"/>
        </w:rPr>
        <w:t>第</w:t>
      </w:r>
      <w:r>
        <w:rPr>
          <w:rFonts w:ascii="宋体" w:hAnsi="宋体" w:eastAsia="宋体" w:cs="宋体"/>
          <w:color w:val="auto"/>
          <w:spacing w:val="-47"/>
          <w:sz w:val="21"/>
          <w:szCs w:val="21"/>
          <w:highlight w:val="none"/>
        </w:rPr>
        <w:t xml:space="preserve"> </w:t>
      </w:r>
      <w:r>
        <w:rPr>
          <w:rFonts w:ascii="Times New Roman" w:hAnsi="Times New Roman" w:eastAsia="Times New Roman" w:cs="Times New Roman"/>
          <w:color w:val="auto"/>
          <w:spacing w:val="-5"/>
          <w:sz w:val="21"/>
          <w:szCs w:val="21"/>
          <w:highlight w:val="none"/>
        </w:rPr>
        <w:t xml:space="preserve">2.2 </w:t>
      </w:r>
      <w:r>
        <w:rPr>
          <w:rFonts w:ascii="宋体" w:hAnsi="宋体" w:eastAsia="宋体" w:cs="宋体"/>
          <w:color w:val="auto"/>
          <w:spacing w:val="-5"/>
          <w:sz w:val="21"/>
          <w:szCs w:val="21"/>
          <w:highlight w:val="none"/>
        </w:rPr>
        <w:t>款和第</w:t>
      </w:r>
      <w:r>
        <w:rPr>
          <w:rFonts w:ascii="宋体" w:hAnsi="宋体" w:eastAsia="宋体" w:cs="宋体"/>
          <w:color w:val="auto"/>
          <w:spacing w:val="-48"/>
          <w:sz w:val="21"/>
          <w:szCs w:val="21"/>
          <w:highlight w:val="none"/>
        </w:rPr>
        <w:t xml:space="preserve"> </w:t>
      </w:r>
      <w:r>
        <w:rPr>
          <w:rFonts w:ascii="Times New Roman" w:hAnsi="Times New Roman" w:eastAsia="Times New Roman" w:cs="Times New Roman"/>
          <w:color w:val="auto"/>
          <w:spacing w:val="-5"/>
          <w:sz w:val="21"/>
          <w:szCs w:val="21"/>
          <w:highlight w:val="none"/>
        </w:rPr>
        <w:t>2.</w:t>
      </w:r>
      <w:r>
        <w:rPr>
          <w:rFonts w:ascii="Times New Roman" w:hAnsi="Times New Roman" w:eastAsia="Times New Roman" w:cs="Times New Roman"/>
          <w:color w:val="auto"/>
          <w:spacing w:val="-6"/>
          <w:sz w:val="21"/>
          <w:szCs w:val="21"/>
          <w:highlight w:val="none"/>
        </w:rPr>
        <w:t xml:space="preserve">3 </w:t>
      </w:r>
      <w:r>
        <w:rPr>
          <w:rFonts w:ascii="宋体" w:hAnsi="宋体" w:eastAsia="宋体" w:cs="宋体"/>
          <w:color w:val="auto"/>
          <w:spacing w:val="-6"/>
          <w:sz w:val="21"/>
          <w:szCs w:val="21"/>
          <w:highlight w:val="none"/>
        </w:rPr>
        <w:t>款对招标文件所作的澄清、修改， 构成招标文件</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的组成部分。</w:t>
      </w:r>
    </w:p>
    <w:p w14:paraId="7BFC7DCF">
      <w:pPr>
        <w:spacing w:before="84" w:line="219" w:lineRule="auto"/>
        <w:ind w:left="15"/>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 xml:space="preserve">2.2 </w:t>
      </w:r>
      <w:r>
        <w:rPr>
          <w:rFonts w:ascii="黑体" w:hAnsi="黑体" w:eastAsia="黑体" w:cs="黑体"/>
          <w:color w:val="auto"/>
          <w:sz w:val="24"/>
          <w:szCs w:val="24"/>
          <w:highlight w:val="none"/>
        </w:rPr>
        <w:t>招标文件的澄清</w:t>
      </w:r>
    </w:p>
    <w:p w14:paraId="41AF4CE5">
      <w:pPr>
        <w:spacing w:before="99" w:line="293" w:lineRule="auto"/>
        <w:ind w:left="19" w:right="173" w:firstLine="418"/>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2.2.1</w:t>
      </w:r>
      <w:r>
        <w:rPr>
          <w:rFonts w:ascii="Times New Roman" w:hAnsi="Times New Roman" w:eastAsia="Times New Roman" w:cs="Times New Roman"/>
          <w:color w:val="auto"/>
          <w:spacing w:val="44"/>
          <w:w w:val="101"/>
          <w:sz w:val="21"/>
          <w:szCs w:val="21"/>
          <w:highlight w:val="none"/>
        </w:rPr>
        <w:t xml:space="preserve"> </w:t>
      </w:r>
      <w:r>
        <w:rPr>
          <w:rFonts w:ascii="宋体" w:hAnsi="宋体" w:eastAsia="宋体" w:cs="宋体"/>
          <w:color w:val="auto"/>
          <w:spacing w:val="1"/>
          <w:sz w:val="21"/>
          <w:szCs w:val="21"/>
          <w:highlight w:val="none"/>
        </w:rPr>
        <w:t>投标人应仔细阅读和检查招标文件的全部内容</w:t>
      </w:r>
      <w:r>
        <w:rPr>
          <w:rFonts w:ascii="宋体" w:hAnsi="宋体" w:eastAsia="宋体" w:cs="宋体"/>
          <w:color w:val="auto"/>
          <w:sz w:val="21"/>
          <w:szCs w:val="21"/>
          <w:highlight w:val="none"/>
        </w:rPr>
        <w:t xml:space="preserve">。如发现缺页或附件不全，应及时 </w:t>
      </w:r>
      <w:r>
        <w:rPr>
          <w:rFonts w:ascii="宋体" w:hAnsi="宋体" w:eastAsia="宋体" w:cs="宋体"/>
          <w:color w:val="auto"/>
          <w:spacing w:val="1"/>
          <w:sz w:val="21"/>
          <w:szCs w:val="21"/>
          <w:highlight w:val="none"/>
        </w:rPr>
        <w:t>向招标人提出，以便补齐。</w:t>
      </w:r>
      <w:r>
        <w:rPr>
          <w:rFonts w:ascii="宋体" w:hAnsi="宋体" w:eastAsia="宋体" w:cs="宋体"/>
          <w:color w:val="auto"/>
          <w:spacing w:val="-20"/>
          <w:sz w:val="21"/>
          <w:szCs w:val="21"/>
          <w:highlight w:val="none"/>
        </w:rPr>
        <w:t xml:space="preserve"> </w:t>
      </w:r>
      <w:r>
        <w:rPr>
          <w:rFonts w:ascii="宋体" w:hAnsi="宋体" w:eastAsia="宋体" w:cs="宋体"/>
          <w:color w:val="auto"/>
          <w:spacing w:val="1"/>
          <w:sz w:val="21"/>
          <w:szCs w:val="21"/>
          <w:highlight w:val="none"/>
        </w:rPr>
        <w:t>如有疑问，应在投标人须知前附表规定的时</w:t>
      </w:r>
      <w:r>
        <w:rPr>
          <w:rFonts w:ascii="宋体" w:hAnsi="宋体" w:eastAsia="宋体" w:cs="宋体"/>
          <w:color w:val="auto"/>
          <w:sz w:val="21"/>
          <w:szCs w:val="21"/>
          <w:highlight w:val="none"/>
        </w:rPr>
        <w:t xml:space="preserve">间前，通过法定公 </w:t>
      </w:r>
      <w:r>
        <w:rPr>
          <w:rFonts w:ascii="宋体" w:hAnsi="宋体" w:eastAsia="宋体" w:cs="宋体"/>
          <w:color w:val="auto"/>
          <w:spacing w:val="-1"/>
          <w:sz w:val="21"/>
          <w:szCs w:val="21"/>
          <w:highlight w:val="none"/>
        </w:rPr>
        <w:t>告公示信息发布媒介、电子交易系统（投标盲盒工具）</w:t>
      </w:r>
      <w:r>
        <w:rPr>
          <w:rFonts w:ascii="宋体" w:hAnsi="宋体" w:eastAsia="宋体" w:cs="宋体"/>
          <w:color w:val="auto"/>
          <w:spacing w:val="48"/>
          <w:sz w:val="21"/>
          <w:szCs w:val="21"/>
          <w:highlight w:val="none"/>
        </w:rPr>
        <w:t xml:space="preserve"> </w:t>
      </w:r>
      <w:r>
        <w:rPr>
          <w:rFonts w:ascii="宋体" w:hAnsi="宋体" w:eastAsia="宋体" w:cs="宋体"/>
          <w:color w:val="auto"/>
          <w:spacing w:val="-1"/>
          <w:sz w:val="21"/>
          <w:szCs w:val="21"/>
          <w:highlight w:val="none"/>
        </w:rPr>
        <w:t>等渠道以书面形式要求招标人对招</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标文件予以澄清。</w:t>
      </w:r>
    </w:p>
    <w:p w14:paraId="177D375E">
      <w:pPr>
        <w:spacing w:before="110" w:line="268" w:lineRule="auto"/>
        <w:ind w:left="19" w:right="2" w:firstLine="418"/>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2.2.2</w:t>
      </w:r>
      <w:r>
        <w:rPr>
          <w:rFonts w:ascii="Times New Roman" w:hAnsi="Times New Roman" w:eastAsia="Times New Roman" w:cs="Times New Roman"/>
          <w:color w:val="auto"/>
          <w:spacing w:val="51"/>
          <w:sz w:val="21"/>
          <w:szCs w:val="21"/>
          <w:highlight w:val="none"/>
        </w:rPr>
        <w:t xml:space="preserve"> </w:t>
      </w:r>
      <w:r>
        <w:rPr>
          <w:rFonts w:ascii="宋体" w:hAnsi="宋体" w:eastAsia="宋体" w:cs="宋体"/>
          <w:color w:val="auto"/>
          <w:sz w:val="21"/>
          <w:szCs w:val="21"/>
          <w:highlight w:val="none"/>
        </w:rPr>
        <w:t>招标人对招标文件的澄清通过法定公告公示信息发布媒介、电子交易系统（投标  盲盒工具）</w:t>
      </w:r>
      <w:r>
        <w:rPr>
          <w:rFonts w:ascii="宋体" w:hAnsi="宋体" w:eastAsia="宋体" w:cs="宋体"/>
          <w:color w:val="auto"/>
          <w:spacing w:val="-24"/>
          <w:sz w:val="21"/>
          <w:szCs w:val="21"/>
          <w:highlight w:val="none"/>
        </w:rPr>
        <w:t xml:space="preserve"> </w:t>
      </w:r>
      <w:r>
        <w:rPr>
          <w:rFonts w:ascii="宋体" w:hAnsi="宋体" w:eastAsia="宋体" w:cs="宋体"/>
          <w:color w:val="auto"/>
          <w:sz w:val="21"/>
          <w:szCs w:val="21"/>
          <w:highlight w:val="none"/>
        </w:rPr>
        <w:t>等渠道以书面形式发给所有下载招标文件的投标人，但不指明澄清问题的来源。</w:t>
      </w:r>
    </w:p>
    <w:p w14:paraId="38405FA6">
      <w:pPr>
        <w:spacing w:line="268" w:lineRule="auto"/>
        <w:rPr>
          <w:rFonts w:ascii="宋体" w:hAnsi="宋体" w:eastAsia="宋体" w:cs="宋体"/>
          <w:color w:val="auto"/>
          <w:sz w:val="21"/>
          <w:szCs w:val="21"/>
          <w:highlight w:val="none"/>
        </w:rPr>
        <w:sectPr>
          <w:footerReference r:id="rId21" w:type="default"/>
          <w:pgSz w:w="11905" w:h="16839"/>
          <w:pgMar w:top="1431" w:right="1614" w:bottom="1036" w:left="1785" w:header="0" w:footer="847" w:gutter="0"/>
          <w:pgNumType w:fmt="decimal"/>
          <w:cols w:space="720" w:num="1"/>
        </w:sectPr>
      </w:pPr>
    </w:p>
    <w:p w14:paraId="4513A045">
      <w:pPr>
        <w:spacing w:before="114" w:line="269" w:lineRule="auto"/>
        <w:ind w:left="22" w:right="208" w:hanging="1"/>
        <w:rPr>
          <w:rFonts w:ascii="宋体" w:hAnsi="宋体" w:eastAsia="宋体" w:cs="宋体"/>
          <w:color w:val="auto"/>
          <w:sz w:val="21"/>
          <w:szCs w:val="21"/>
          <w:highlight w:val="none"/>
        </w:rPr>
      </w:pPr>
      <w:bookmarkStart w:id="71" w:name="bookmark90"/>
      <w:bookmarkEnd w:id="71"/>
      <w:r>
        <w:rPr>
          <w:rFonts w:ascii="宋体" w:hAnsi="宋体" w:eastAsia="宋体" w:cs="宋体"/>
          <w:color w:val="auto"/>
          <w:spacing w:val="-3"/>
          <w:sz w:val="21"/>
          <w:szCs w:val="21"/>
          <w:highlight w:val="none"/>
        </w:rPr>
        <w:t xml:space="preserve">如果澄清通知发出的时间距投标人须知前附表第 </w:t>
      </w:r>
      <w:r>
        <w:rPr>
          <w:rFonts w:ascii="Times New Roman" w:hAnsi="Times New Roman" w:eastAsia="Times New Roman" w:cs="Times New Roman"/>
          <w:color w:val="auto"/>
          <w:spacing w:val="-3"/>
          <w:sz w:val="21"/>
          <w:szCs w:val="21"/>
          <w:highlight w:val="none"/>
        </w:rPr>
        <w:t>4.2.1</w:t>
      </w:r>
      <w:r>
        <w:rPr>
          <w:rFonts w:ascii="Times New Roman" w:hAnsi="Times New Roman" w:eastAsia="Times New Roman" w:cs="Times New Roman"/>
          <w:color w:val="auto"/>
          <w:spacing w:val="47"/>
          <w:sz w:val="21"/>
          <w:szCs w:val="21"/>
          <w:highlight w:val="none"/>
        </w:rPr>
        <w:t xml:space="preserve"> </w:t>
      </w:r>
      <w:r>
        <w:rPr>
          <w:rFonts w:ascii="宋体" w:hAnsi="宋体" w:eastAsia="宋体" w:cs="宋体"/>
          <w:color w:val="auto"/>
          <w:spacing w:val="-3"/>
          <w:sz w:val="21"/>
          <w:szCs w:val="21"/>
          <w:highlight w:val="none"/>
        </w:rPr>
        <w:t xml:space="preserve">项规定的投标截止时间不足 </w:t>
      </w:r>
      <w:r>
        <w:rPr>
          <w:rFonts w:ascii="Times New Roman" w:hAnsi="Times New Roman" w:eastAsia="Times New Roman" w:cs="Times New Roman"/>
          <w:color w:val="auto"/>
          <w:spacing w:val="-3"/>
          <w:sz w:val="21"/>
          <w:szCs w:val="21"/>
          <w:highlight w:val="none"/>
        </w:rPr>
        <w:t xml:space="preserve">15  </w:t>
      </w:r>
      <w:r>
        <w:rPr>
          <w:rFonts w:ascii="宋体" w:hAnsi="宋体" w:eastAsia="宋体" w:cs="宋体"/>
          <w:color w:val="auto"/>
          <w:spacing w:val="-3"/>
          <w:sz w:val="21"/>
          <w:szCs w:val="21"/>
          <w:highlight w:val="none"/>
        </w:rPr>
        <w:t>日，</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并且澄清的内容确实影响投标文件编制的，应当相应延长投标截止时间。</w:t>
      </w:r>
    </w:p>
    <w:p w14:paraId="6F765E00">
      <w:pPr>
        <w:spacing w:before="108" w:line="285" w:lineRule="auto"/>
        <w:ind w:left="16" w:right="163" w:firstLine="420"/>
        <w:jc w:val="both"/>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2.2.3</w:t>
      </w:r>
      <w:r>
        <w:rPr>
          <w:rFonts w:ascii="Times New Roman" w:hAnsi="Times New Roman" w:eastAsia="Times New Roman" w:cs="Times New Roman"/>
          <w:color w:val="auto"/>
          <w:spacing w:val="58"/>
          <w:w w:val="101"/>
          <w:sz w:val="21"/>
          <w:szCs w:val="21"/>
          <w:highlight w:val="none"/>
        </w:rPr>
        <w:t xml:space="preserve"> </w:t>
      </w:r>
      <w:r>
        <w:rPr>
          <w:rFonts w:ascii="宋体" w:hAnsi="宋体" w:eastAsia="宋体" w:cs="宋体"/>
          <w:color w:val="auto"/>
          <w:sz w:val="21"/>
          <w:szCs w:val="21"/>
          <w:highlight w:val="none"/>
        </w:rPr>
        <w:t xml:space="preserve">投标人应实时自行关注法定公告公示信息发布媒介、电子交易系统（投标盲盒工 </w:t>
      </w:r>
      <w:r>
        <w:rPr>
          <w:rFonts w:ascii="宋体" w:hAnsi="宋体" w:eastAsia="宋体" w:cs="宋体"/>
          <w:color w:val="auto"/>
          <w:spacing w:val="1"/>
          <w:sz w:val="21"/>
          <w:szCs w:val="21"/>
          <w:highlight w:val="none"/>
        </w:rPr>
        <w:t>具）</w:t>
      </w:r>
      <w:r>
        <w:rPr>
          <w:rFonts w:ascii="宋体" w:hAnsi="宋体" w:eastAsia="宋体" w:cs="宋体"/>
          <w:color w:val="auto"/>
          <w:spacing w:val="-28"/>
          <w:sz w:val="21"/>
          <w:szCs w:val="21"/>
          <w:highlight w:val="none"/>
        </w:rPr>
        <w:t xml:space="preserve"> </w:t>
      </w:r>
      <w:r>
        <w:rPr>
          <w:rFonts w:ascii="宋体" w:hAnsi="宋体" w:eastAsia="宋体" w:cs="宋体"/>
          <w:color w:val="auto"/>
          <w:spacing w:val="1"/>
          <w:sz w:val="21"/>
          <w:szCs w:val="21"/>
          <w:highlight w:val="none"/>
        </w:rPr>
        <w:t>等渠道上发出的澄清通知，因投标人自身原因未及时获知澄清内容而导致的任何后果</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将由投标人自行承担。</w:t>
      </w:r>
    </w:p>
    <w:p w14:paraId="21898975">
      <w:pPr>
        <w:spacing w:before="84" w:line="219" w:lineRule="auto"/>
        <w:ind w:left="15"/>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 xml:space="preserve">2.3 </w:t>
      </w:r>
      <w:r>
        <w:rPr>
          <w:rFonts w:ascii="黑体" w:hAnsi="黑体" w:eastAsia="黑体" w:cs="黑体"/>
          <w:color w:val="auto"/>
          <w:sz w:val="24"/>
          <w:szCs w:val="24"/>
          <w:highlight w:val="none"/>
        </w:rPr>
        <w:t>招标文件的修改</w:t>
      </w:r>
    </w:p>
    <w:p w14:paraId="1806F055">
      <w:pPr>
        <w:spacing w:before="98" w:line="293" w:lineRule="auto"/>
        <w:ind w:left="18" w:right="161" w:firstLine="419"/>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2.3.1</w:t>
      </w:r>
      <w:r>
        <w:rPr>
          <w:rFonts w:ascii="Times New Roman" w:hAnsi="Times New Roman" w:eastAsia="Times New Roman" w:cs="Times New Roman"/>
          <w:color w:val="auto"/>
          <w:spacing w:val="34"/>
          <w:sz w:val="21"/>
          <w:szCs w:val="21"/>
          <w:highlight w:val="none"/>
        </w:rPr>
        <w:t xml:space="preserve"> </w:t>
      </w:r>
      <w:r>
        <w:rPr>
          <w:rFonts w:ascii="宋体" w:hAnsi="宋体" w:eastAsia="宋体" w:cs="宋体"/>
          <w:color w:val="auto"/>
          <w:spacing w:val="1"/>
          <w:sz w:val="21"/>
          <w:szCs w:val="21"/>
          <w:highlight w:val="none"/>
        </w:rPr>
        <w:t>招标人可以书面形式修改招标文件，并通过法定公告公示信</w:t>
      </w:r>
      <w:r>
        <w:rPr>
          <w:rFonts w:ascii="宋体" w:hAnsi="宋体" w:eastAsia="宋体" w:cs="宋体"/>
          <w:color w:val="auto"/>
          <w:sz w:val="21"/>
          <w:szCs w:val="21"/>
          <w:highlight w:val="none"/>
        </w:rPr>
        <w:t xml:space="preserve">息发布媒介、电子交 </w:t>
      </w:r>
      <w:r>
        <w:rPr>
          <w:rFonts w:ascii="宋体" w:hAnsi="宋体" w:eastAsia="宋体" w:cs="宋体"/>
          <w:color w:val="auto"/>
          <w:spacing w:val="3"/>
          <w:sz w:val="21"/>
          <w:szCs w:val="21"/>
          <w:highlight w:val="none"/>
        </w:rPr>
        <w:t>易系统（投标盲盒工具）等渠道通知所有已下载招标文件的投标人。如果修改通</w:t>
      </w:r>
      <w:r>
        <w:rPr>
          <w:rFonts w:ascii="宋体" w:hAnsi="宋体" w:eastAsia="宋体" w:cs="宋体"/>
          <w:color w:val="auto"/>
          <w:spacing w:val="2"/>
          <w:sz w:val="21"/>
          <w:szCs w:val="21"/>
          <w:highlight w:val="none"/>
        </w:rPr>
        <w:t>知发出的</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 xml:space="preserve">时间距投标人须知前附表第 </w:t>
      </w:r>
      <w:r>
        <w:rPr>
          <w:rFonts w:ascii="Times New Roman" w:hAnsi="Times New Roman" w:eastAsia="Times New Roman" w:cs="Times New Roman"/>
          <w:color w:val="auto"/>
          <w:spacing w:val="-1"/>
          <w:sz w:val="21"/>
          <w:szCs w:val="21"/>
          <w:highlight w:val="none"/>
        </w:rPr>
        <w:t>4.2.1</w:t>
      </w:r>
      <w:r>
        <w:rPr>
          <w:rFonts w:ascii="Times New Roman" w:hAnsi="Times New Roman" w:eastAsia="Times New Roman" w:cs="Times New Roman"/>
          <w:color w:val="auto"/>
          <w:spacing w:val="31"/>
          <w:sz w:val="21"/>
          <w:szCs w:val="21"/>
          <w:highlight w:val="none"/>
        </w:rPr>
        <w:t xml:space="preserve"> </w:t>
      </w:r>
      <w:r>
        <w:rPr>
          <w:rFonts w:ascii="宋体" w:hAnsi="宋体" w:eastAsia="宋体" w:cs="宋体"/>
          <w:color w:val="auto"/>
          <w:spacing w:val="-1"/>
          <w:sz w:val="21"/>
          <w:szCs w:val="21"/>
          <w:highlight w:val="none"/>
        </w:rPr>
        <w:t>项规定</w:t>
      </w:r>
      <w:r>
        <w:rPr>
          <w:rFonts w:ascii="宋体" w:hAnsi="宋体" w:eastAsia="宋体" w:cs="宋体"/>
          <w:color w:val="auto"/>
          <w:spacing w:val="-2"/>
          <w:sz w:val="21"/>
          <w:szCs w:val="21"/>
          <w:highlight w:val="none"/>
        </w:rPr>
        <w:t xml:space="preserve">的投标截止时间不足 </w:t>
      </w:r>
      <w:r>
        <w:rPr>
          <w:rFonts w:ascii="Times New Roman" w:hAnsi="Times New Roman" w:eastAsia="Times New Roman" w:cs="Times New Roman"/>
          <w:color w:val="auto"/>
          <w:spacing w:val="-2"/>
          <w:sz w:val="21"/>
          <w:szCs w:val="21"/>
          <w:highlight w:val="none"/>
        </w:rPr>
        <w:t xml:space="preserve">15  </w:t>
      </w:r>
      <w:r>
        <w:rPr>
          <w:rFonts w:ascii="宋体" w:hAnsi="宋体" w:eastAsia="宋体" w:cs="宋体"/>
          <w:color w:val="auto"/>
          <w:spacing w:val="-2"/>
          <w:sz w:val="21"/>
          <w:szCs w:val="21"/>
          <w:highlight w:val="none"/>
        </w:rPr>
        <w:t>日，并且修改的内容确实</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影响投标文件编制的，应当相应延长投标截止时间。</w:t>
      </w:r>
    </w:p>
    <w:p w14:paraId="4FFCF4A7">
      <w:pPr>
        <w:spacing w:before="107" w:line="285" w:lineRule="auto"/>
        <w:ind w:left="16" w:right="162" w:firstLine="420"/>
        <w:jc w:val="both"/>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2.3.2</w:t>
      </w:r>
      <w:r>
        <w:rPr>
          <w:rFonts w:ascii="Times New Roman" w:hAnsi="Times New Roman" w:eastAsia="Times New Roman" w:cs="Times New Roman"/>
          <w:color w:val="auto"/>
          <w:spacing w:val="58"/>
          <w:w w:val="101"/>
          <w:sz w:val="21"/>
          <w:szCs w:val="21"/>
          <w:highlight w:val="none"/>
        </w:rPr>
        <w:t xml:space="preserve"> </w:t>
      </w:r>
      <w:r>
        <w:rPr>
          <w:rFonts w:ascii="宋体" w:hAnsi="宋体" w:eastAsia="宋体" w:cs="宋体"/>
          <w:color w:val="auto"/>
          <w:sz w:val="21"/>
          <w:szCs w:val="21"/>
          <w:highlight w:val="none"/>
        </w:rPr>
        <w:t xml:space="preserve">投标人应实时自行关注法定公告公示信息发布媒介、电子交易系统（投标盲盒工 </w:t>
      </w:r>
      <w:r>
        <w:rPr>
          <w:rFonts w:ascii="宋体" w:hAnsi="宋体" w:eastAsia="宋体" w:cs="宋体"/>
          <w:color w:val="auto"/>
          <w:spacing w:val="1"/>
          <w:sz w:val="21"/>
          <w:szCs w:val="21"/>
          <w:highlight w:val="none"/>
        </w:rPr>
        <w:t>具）</w:t>
      </w:r>
      <w:r>
        <w:rPr>
          <w:rFonts w:ascii="宋体" w:hAnsi="宋体" w:eastAsia="宋体" w:cs="宋体"/>
          <w:color w:val="auto"/>
          <w:spacing w:val="-27"/>
          <w:sz w:val="21"/>
          <w:szCs w:val="21"/>
          <w:highlight w:val="none"/>
        </w:rPr>
        <w:t xml:space="preserve"> </w:t>
      </w:r>
      <w:r>
        <w:rPr>
          <w:rFonts w:ascii="宋体" w:hAnsi="宋体" w:eastAsia="宋体" w:cs="宋体"/>
          <w:color w:val="auto"/>
          <w:spacing w:val="1"/>
          <w:sz w:val="21"/>
          <w:szCs w:val="21"/>
          <w:highlight w:val="none"/>
        </w:rPr>
        <w:t>等渠道上发出的修改通知，因投标人自身原因未及时获知修改内容而导致的任何后果</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将由投标人自行承担。</w:t>
      </w:r>
    </w:p>
    <w:p w14:paraId="2D1DE48D">
      <w:pPr>
        <w:spacing w:before="84" w:line="219" w:lineRule="auto"/>
        <w:ind w:left="15"/>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 xml:space="preserve">2.4 </w:t>
      </w:r>
      <w:r>
        <w:rPr>
          <w:rFonts w:ascii="黑体" w:hAnsi="黑体" w:eastAsia="黑体" w:cs="黑体"/>
          <w:color w:val="auto"/>
          <w:sz w:val="24"/>
          <w:szCs w:val="24"/>
          <w:highlight w:val="none"/>
        </w:rPr>
        <w:t>招标文件的异议</w:t>
      </w:r>
    </w:p>
    <w:p w14:paraId="3FC6B0A7">
      <w:pPr>
        <w:spacing w:before="101" w:line="297" w:lineRule="auto"/>
        <w:ind w:left="19" w:firstLine="418"/>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2.4.1</w:t>
      </w:r>
      <w:r>
        <w:rPr>
          <w:rFonts w:ascii="Times New Roman" w:hAnsi="Times New Roman" w:eastAsia="Times New Roman" w:cs="Times New Roman"/>
          <w:color w:val="auto"/>
          <w:spacing w:val="45"/>
          <w:sz w:val="21"/>
          <w:szCs w:val="21"/>
          <w:highlight w:val="none"/>
        </w:rPr>
        <w:t xml:space="preserve"> </w:t>
      </w:r>
      <w:r>
        <w:rPr>
          <w:rFonts w:ascii="宋体" w:hAnsi="宋体" w:eastAsia="宋体" w:cs="宋体"/>
          <w:color w:val="auto"/>
          <w:sz w:val="21"/>
          <w:szCs w:val="21"/>
          <w:highlight w:val="none"/>
        </w:rPr>
        <w:t>投标人或者其他利害关系人对招标文件（包括对招标文件澄清和修</w:t>
      </w:r>
      <w:r>
        <w:rPr>
          <w:rFonts w:ascii="宋体" w:hAnsi="宋体" w:eastAsia="宋体" w:cs="宋体"/>
          <w:color w:val="auto"/>
          <w:spacing w:val="-1"/>
          <w:sz w:val="21"/>
          <w:szCs w:val="21"/>
          <w:highlight w:val="none"/>
        </w:rPr>
        <w:t xml:space="preserve">改的内容）有  </w:t>
      </w:r>
      <w:r>
        <w:rPr>
          <w:rFonts w:ascii="宋体" w:hAnsi="宋体" w:eastAsia="宋体" w:cs="宋体"/>
          <w:color w:val="auto"/>
          <w:spacing w:val="-2"/>
          <w:sz w:val="21"/>
          <w:szCs w:val="21"/>
          <w:highlight w:val="none"/>
        </w:rPr>
        <w:t xml:space="preserve">异议的，应当在投标人须知前附表第 </w:t>
      </w:r>
      <w:r>
        <w:rPr>
          <w:rFonts w:ascii="Times New Roman" w:hAnsi="Times New Roman" w:eastAsia="Times New Roman" w:cs="Times New Roman"/>
          <w:color w:val="auto"/>
          <w:spacing w:val="-2"/>
          <w:sz w:val="21"/>
          <w:szCs w:val="21"/>
          <w:highlight w:val="none"/>
        </w:rPr>
        <w:t>4.2.1</w:t>
      </w:r>
      <w:r>
        <w:rPr>
          <w:rFonts w:ascii="Times New Roman" w:hAnsi="Times New Roman" w:eastAsia="Times New Roman" w:cs="Times New Roman"/>
          <w:color w:val="auto"/>
          <w:spacing w:val="32"/>
          <w:sz w:val="21"/>
          <w:szCs w:val="21"/>
          <w:highlight w:val="none"/>
        </w:rPr>
        <w:t xml:space="preserve"> </w:t>
      </w:r>
      <w:r>
        <w:rPr>
          <w:rFonts w:ascii="宋体" w:hAnsi="宋体" w:eastAsia="宋体" w:cs="宋体"/>
          <w:color w:val="auto"/>
          <w:spacing w:val="-2"/>
          <w:sz w:val="21"/>
          <w:szCs w:val="21"/>
          <w:highlight w:val="none"/>
        </w:rPr>
        <w:t xml:space="preserve">项规定的投标截止时间 </w:t>
      </w:r>
      <w:r>
        <w:rPr>
          <w:rFonts w:ascii="Times New Roman" w:hAnsi="Times New Roman" w:eastAsia="Times New Roman" w:cs="Times New Roman"/>
          <w:color w:val="auto"/>
          <w:spacing w:val="-2"/>
          <w:sz w:val="21"/>
          <w:szCs w:val="21"/>
          <w:highlight w:val="none"/>
        </w:rPr>
        <w:t xml:space="preserve">10  </w:t>
      </w:r>
      <w:r>
        <w:rPr>
          <w:rFonts w:ascii="宋体" w:hAnsi="宋体" w:eastAsia="宋体" w:cs="宋体"/>
          <w:color w:val="auto"/>
          <w:spacing w:val="-2"/>
          <w:sz w:val="21"/>
          <w:szCs w:val="21"/>
          <w:highlight w:val="none"/>
        </w:rPr>
        <w:t>日前提出。</w:t>
      </w:r>
      <w:r>
        <w:rPr>
          <w:rFonts w:ascii="宋体" w:hAnsi="宋体" w:eastAsia="宋体" w:cs="宋体"/>
          <w:color w:val="auto"/>
          <w:spacing w:val="-3"/>
          <w:sz w:val="21"/>
          <w:szCs w:val="21"/>
          <w:highlight w:val="none"/>
        </w:rPr>
        <w:t xml:space="preserve">招标人自  </w:t>
      </w:r>
      <w:r>
        <w:rPr>
          <w:rFonts w:ascii="宋体" w:hAnsi="宋体" w:eastAsia="宋体" w:cs="宋体"/>
          <w:color w:val="auto"/>
          <w:spacing w:val="-2"/>
          <w:sz w:val="21"/>
          <w:szCs w:val="21"/>
          <w:highlight w:val="none"/>
        </w:rPr>
        <w:t xml:space="preserve">收到异议之日起 </w:t>
      </w:r>
      <w:r>
        <w:rPr>
          <w:rFonts w:ascii="Times New Roman" w:hAnsi="Times New Roman" w:eastAsia="Times New Roman" w:cs="Times New Roman"/>
          <w:color w:val="auto"/>
          <w:spacing w:val="-2"/>
          <w:sz w:val="21"/>
          <w:szCs w:val="21"/>
          <w:highlight w:val="none"/>
        </w:rPr>
        <w:t>3</w:t>
      </w:r>
      <w:r>
        <w:rPr>
          <w:rFonts w:ascii="Times New Roman" w:hAnsi="Times New Roman" w:eastAsia="Times New Roman" w:cs="Times New Roman"/>
          <w:color w:val="auto"/>
          <w:spacing w:val="22"/>
          <w:sz w:val="21"/>
          <w:szCs w:val="21"/>
          <w:highlight w:val="none"/>
        </w:rPr>
        <w:t xml:space="preserve">  </w:t>
      </w:r>
      <w:r>
        <w:rPr>
          <w:rFonts w:ascii="宋体" w:hAnsi="宋体" w:eastAsia="宋体" w:cs="宋体"/>
          <w:color w:val="auto"/>
          <w:spacing w:val="-2"/>
          <w:sz w:val="21"/>
          <w:szCs w:val="21"/>
          <w:highlight w:val="none"/>
        </w:rPr>
        <w:t>日内作出答复；作出答复前，招标人将暂停招标投标活动。逾期提出的，</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 xml:space="preserve">招标人可不予受理。异议与答复应通过电子招标投标系统（辽宁省工程建设项目招标投标  </w:t>
      </w:r>
      <w:r>
        <w:rPr>
          <w:rFonts w:ascii="宋体" w:hAnsi="宋体" w:eastAsia="宋体" w:cs="宋体"/>
          <w:color w:val="auto"/>
          <w:spacing w:val="-11"/>
          <w:sz w:val="21"/>
          <w:szCs w:val="21"/>
          <w:highlight w:val="none"/>
        </w:rPr>
        <w:t>异议投诉处理系统）</w:t>
      </w:r>
      <w:r>
        <w:rPr>
          <w:rFonts w:ascii="宋体" w:hAnsi="宋体" w:eastAsia="宋体" w:cs="宋体"/>
          <w:color w:val="auto"/>
          <w:spacing w:val="54"/>
          <w:sz w:val="21"/>
          <w:szCs w:val="21"/>
          <w:highlight w:val="none"/>
        </w:rPr>
        <w:t xml:space="preserve"> </w:t>
      </w:r>
      <w:r>
        <w:rPr>
          <w:rFonts w:ascii="宋体" w:hAnsi="宋体" w:eastAsia="宋体" w:cs="宋体"/>
          <w:color w:val="auto"/>
          <w:spacing w:val="-11"/>
          <w:sz w:val="21"/>
          <w:szCs w:val="21"/>
          <w:highlight w:val="none"/>
        </w:rPr>
        <w:t>以书面形式进行。</w:t>
      </w:r>
    </w:p>
    <w:p w14:paraId="49669F88">
      <w:pPr>
        <w:spacing w:before="109" w:line="285" w:lineRule="auto"/>
        <w:ind w:left="19" w:right="164" w:firstLine="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本条所称异议是指投标人或者其他利害关系人认为招标文件的内容违反法律、法规、</w:t>
      </w:r>
      <w:r>
        <w:rPr>
          <w:rFonts w:ascii="宋体" w:hAnsi="宋体" w:eastAsia="宋体" w:cs="宋体"/>
          <w:color w:val="auto"/>
          <w:spacing w:val="8"/>
          <w:sz w:val="21"/>
          <w:szCs w:val="21"/>
          <w:highlight w:val="none"/>
        </w:rPr>
        <w:t xml:space="preserve"> </w:t>
      </w:r>
      <w:r>
        <w:rPr>
          <w:rFonts w:ascii="宋体" w:hAnsi="宋体" w:eastAsia="宋体" w:cs="宋体"/>
          <w:color w:val="auto"/>
          <w:sz w:val="21"/>
          <w:szCs w:val="21"/>
          <w:highlight w:val="none"/>
        </w:rPr>
        <w:t>规章的强制性规定，违反公平竞争原则， 影响投标人投标而向招标人提出的质疑。未在法</w:t>
      </w:r>
      <w:r>
        <w:rPr>
          <w:rFonts w:ascii="宋体" w:hAnsi="宋体" w:eastAsia="宋体" w:cs="宋体"/>
          <w:color w:val="auto"/>
          <w:spacing w:val="8"/>
          <w:sz w:val="21"/>
          <w:szCs w:val="21"/>
          <w:highlight w:val="none"/>
        </w:rPr>
        <w:t xml:space="preserve"> </w:t>
      </w:r>
      <w:r>
        <w:rPr>
          <w:rFonts w:ascii="宋体" w:hAnsi="宋体" w:eastAsia="宋体" w:cs="宋体"/>
          <w:color w:val="auto"/>
          <w:spacing w:val="-2"/>
          <w:sz w:val="21"/>
          <w:szCs w:val="21"/>
          <w:highlight w:val="none"/>
        </w:rPr>
        <w:t>定时间期限内未提出异议视为投标人权利灭失。</w:t>
      </w:r>
    </w:p>
    <w:p w14:paraId="669DEA04">
      <w:pPr>
        <w:spacing w:before="109" w:line="220"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有关异议受理部门及联系方式见投标人须知前附表。</w:t>
      </w:r>
    </w:p>
    <w:p w14:paraId="3C524E44">
      <w:pPr>
        <w:spacing w:before="109" w:line="269" w:lineRule="auto"/>
        <w:ind w:left="19" w:right="156" w:firstLine="418"/>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2.4.2</w:t>
      </w:r>
      <w:r>
        <w:rPr>
          <w:rFonts w:ascii="Times New Roman" w:hAnsi="Times New Roman" w:eastAsia="Times New Roman" w:cs="Times New Roman"/>
          <w:color w:val="auto"/>
          <w:spacing w:val="38"/>
          <w:sz w:val="21"/>
          <w:szCs w:val="21"/>
          <w:highlight w:val="none"/>
        </w:rPr>
        <w:t xml:space="preserve"> </w:t>
      </w:r>
      <w:r>
        <w:rPr>
          <w:rFonts w:ascii="宋体" w:hAnsi="宋体" w:eastAsia="宋体" w:cs="宋体"/>
          <w:color w:val="auto"/>
          <w:sz w:val="21"/>
          <w:szCs w:val="21"/>
          <w:highlight w:val="none"/>
        </w:rPr>
        <w:t>招标人对异议的答复构成对招标文件澄清</w:t>
      </w:r>
      <w:r>
        <w:rPr>
          <w:rFonts w:ascii="宋体" w:hAnsi="宋体" w:eastAsia="宋体" w:cs="宋体"/>
          <w:color w:val="auto"/>
          <w:spacing w:val="-1"/>
          <w:sz w:val="21"/>
          <w:szCs w:val="21"/>
          <w:highlight w:val="none"/>
        </w:rPr>
        <w:t xml:space="preserve">或者修改的， 招标人将按照本章第 </w:t>
      </w:r>
      <w:r>
        <w:rPr>
          <w:rFonts w:ascii="Times New Roman" w:hAnsi="Times New Roman" w:eastAsia="Times New Roman" w:cs="Times New Roman"/>
          <w:color w:val="auto"/>
          <w:spacing w:val="-1"/>
          <w:sz w:val="21"/>
          <w:szCs w:val="21"/>
          <w:highlight w:val="none"/>
        </w:rPr>
        <w:t>2.2</w:t>
      </w:r>
      <w:r>
        <w:rPr>
          <w:rFonts w:ascii="Times New Roman" w:hAnsi="Times New Roman" w:eastAsia="Times New Roman" w:cs="Times New Roman"/>
          <w:color w:val="auto"/>
          <w:sz w:val="21"/>
          <w:szCs w:val="21"/>
          <w:highlight w:val="none"/>
        </w:rPr>
        <w:t xml:space="preserve"> </w:t>
      </w:r>
      <w:r>
        <w:rPr>
          <w:rFonts w:ascii="宋体" w:hAnsi="宋体" w:eastAsia="宋体" w:cs="宋体"/>
          <w:color w:val="auto"/>
          <w:spacing w:val="-3"/>
          <w:sz w:val="21"/>
          <w:szCs w:val="21"/>
          <w:highlight w:val="none"/>
        </w:rPr>
        <w:t>款、第</w:t>
      </w:r>
      <w:r>
        <w:rPr>
          <w:rFonts w:ascii="宋体" w:hAnsi="宋体" w:eastAsia="宋体" w:cs="宋体"/>
          <w:color w:val="auto"/>
          <w:spacing w:val="-44"/>
          <w:sz w:val="21"/>
          <w:szCs w:val="21"/>
          <w:highlight w:val="none"/>
        </w:rPr>
        <w:t xml:space="preserve"> </w:t>
      </w:r>
      <w:r>
        <w:rPr>
          <w:rFonts w:ascii="Times New Roman" w:hAnsi="Times New Roman" w:eastAsia="Times New Roman" w:cs="Times New Roman"/>
          <w:color w:val="auto"/>
          <w:spacing w:val="-3"/>
          <w:sz w:val="21"/>
          <w:szCs w:val="21"/>
          <w:highlight w:val="none"/>
        </w:rPr>
        <w:t xml:space="preserve">2.3 </w:t>
      </w:r>
      <w:r>
        <w:rPr>
          <w:rFonts w:ascii="宋体" w:hAnsi="宋体" w:eastAsia="宋体" w:cs="宋体"/>
          <w:color w:val="auto"/>
          <w:spacing w:val="-3"/>
          <w:sz w:val="21"/>
          <w:szCs w:val="21"/>
          <w:highlight w:val="none"/>
        </w:rPr>
        <w:t>款规定办理。</w:t>
      </w:r>
    </w:p>
    <w:p w14:paraId="70571D29">
      <w:pPr>
        <w:spacing w:before="151" w:line="225" w:lineRule="auto"/>
        <w:ind w:left="21"/>
        <w:rPr>
          <w:rFonts w:ascii="黑体" w:hAnsi="黑体" w:eastAsia="黑体" w:cs="黑体"/>
          <w:color w:val="auto"/>
          <w:sz w:val="27"/>
          <w:szCs w:val="27"/>
          <w:highlight w:val="none"/>
        </w:rPr>
      </w:pPr>
      <w:r>
        <w:rPr>
          <w:rFonts w:ascii="Times New Roman" w:hAnsi="Times New Roman" w:eastAsia="Times New Roman" w:cs="Times New Roman"/>
          <w:color w:val="auto"/>
          <w:spacing w:val="3"/>
          <w:sz w:val="27"/>
          <w:szCs w:val="27"/>
          <w:highlight w:val="none"/>
        </w:rPr>
        <w:t>3.</w:t>
      </w:r>
      <w:r>
        <w:rPr>
          <w:rFonts w:ascii="Times New Roman" w:hAnsi="Times New Roman" w:eastAsia="Times New Roman" w:cs="Times New Roman"/>
          <w:color w:val="auto"/>
          <w:spacing w:val="16"/>
          <w:w w:val="101"/>
          <w:sz w:val="27"/>
          <w:szCs w:val="27"/>
          <w:highlight w:val="none"/>
        </w:rPr>
        <w:t xml:space="preserve"> </w:t>
      </w:r>
      <w:r>
        <w:rPr>
          <w:rFonts w:ascii="黑体" w:hAnsi="黑体" w:eastAsia="黑体" w:cs="黑体"/>
          <w:color w:val="auto"/>
          <w:spacing w:val="3"/>
          <w:sz w:val="27"/>
          <w:szCs w:val="27"/>
          <w:highlight w:val="none"/>
        </w:rPr>
        <w:t>投标文件</w:t>
      </w:r>
    </w:p>
    <w:p w14:paraId="0313DCA2">
      <w:pPr>
        <w:spacing w:before="65" w:line="219"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3.1 </w:t>
      </w:r>
      <w:r>
        <w:rPr>
          <w:rFonts w:ascii="黑体" w:hAnsi="黑体" w:eastAsia="黑体" w:cs="黑体"/>
          <w:color w:val="auto"/>
          <w:spacing w:val="-1"/>
          <w:sz w:val="24"/>
          <w:szCs w:val="24"/>
          <w:highlight w:val="none"/>
        </w:rPr>
        <w:t>投标文件的组成</w:t>
      </w:r>
    </w:p>
    <w:p w14:paraId="2E48FE0A">
      <w:pPr>
        <w:spacing w:before="101" w:line="360" w:lineRule="exact"/>
        <w:ind w:left="124"/>
        <w:rPr>
          <w:rFonts w:ascii="宋体" w:hAnsi="宋体" w:eastAsia="宋体" w:cs="宋体"/>
          <w:color w:val="auto"/>
          <w:sz w:val="21"/>
          <w:szCs w:val="21"/>
          <w:highlight w:val="none"/>
        </w:rPr>
      </w:pPr>
      <w:r>
        <w:rPr>
          <w:rFonts w:ascii="Times New Roman" w:hAnsi="Times New Roman" w:eastAsia="Times New Roman" w:cs="Times New Roman"/>
          <w:color w:val="auto"/>
          <w:spacing w:val="-3"/>
          <w:position w:val="11"/>
          <w:sz w:val="21"/>
          <w:szCs w:val="21"/>
          <w:highlight w:val="none"/>
        </w:rPr>
        <w:t xml:space="preserve">3.1.1 </w:t>
      </w:r>
      <w:r>
        <w:rPr>
          <w:rFonts w:ascii="宋体" w:hAnsi="宋体" w:eastAsia="宋体" w:cs="宋体"/>
          <w:color w:val="auto"/>
          <w:spacing w:val="-3"/>
          <w:position w:val="11"/>
          <w:sz w:val="21"/>
          <w:szCs w:val="21"/>
          <w:highlight w:val="none"/>
        </w:rPr>
        <w:t>投标文件应包括下列内容：</w:t>
      </w:r>
    </w:p>
    <w:p w14:paraId="04A596FC">
      <w:pPr>
        <w:spacing w:before="1" w:line="219" w:lineRule="auto"/>
        <w:ind w:left="38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1</w:t>
      </w:r>
      <w:r>
        <w:rPr>
          <w:rFonts w:ascii="宋体" w:hAnsi="宋体" w:eastAsia="宋体" w:cs="宋体"/>
          <w:color w:val="auto"/>
          <w:spacing w:val="-4"/>
          <w:sz w:val="21"/>
          <w:szCs w:val="21"/>
          <w:highlight w:val="none"/>
        </w:rPr>
        <w:t>）投标函及投标函附录等；</w:t>
      </w:r>
    </w:p>
    <w:p w14:paraId="454144BD">
      <w:pPr>
        <w:spacing w:before="109" w:line="221" w:lineRule="auto"/>
        <w:ind w:left="38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2</w:t>
      </w:r>
      <w:r>
        <w:rPr>
          <w:rFonts w:ascii="宋体" w:hAnsi="宋体" w:eastAsia="宋体" w:cs="宋体"/>
          <w:color w:val="auto"/>
          <w:spacing w:val="-4"/>
          <w:sz w:val="21"/>
          <w:szCs w:val="21"/>
          <w:highlight w:val="none"/>
        </w:rPr>
        <w:t>）法定代表人身份证明；</w:t>
      </w:r>
    </w:p>
    <w:p w14:paraId="282FB616">
      <w:pPr>
        <w:spacing w:before="109" w:line="220" w:lineRule="auto"/>
        <w:ind w:left="385"/>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2</w:t>
      </w:r>
      <w:r>
        <w:rPr>
          <w:rFonts w:ascii="宋体" w:hAnsi="宋体" w:eastAsia="宋体" w:cs="宋体"/>
          <w:color w:val="auto"/>
          <w:spacing w:val="-6"/>
          <w:sz w:val="21"/>
          <w:szCs w:val="21"/>
          <w:highlight w:val="none"/>
        </w:rPr>
        <w:t>）授权委托书；</w:t>
      </w:r>
    </w:p>
    <w:p w14:paraId="2A896DE5">
      <w:pPr>
        <w:spacing w:before="110" w:line="221" w:lineRule="auto"/>
        <w:ind w:left="38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3</w:t>
      </w:r>
      <w:r>
        <w:rPr>
          <w:rFonts w:ascii="宋体" w:hAnsi="宋体" w:eastAsia="宋体" w:cs="宋体"/>
          <w:color w:val="auto"/>
          <w:spacing w:val="-5"/>
          <w:sz w:val="21"/>
          <w:szCs w:val="21"/>
          <w:highlight w:val="none"/>
        </w:rPr>
        <w:t>）投标保证金；</w:t>
      </w:r>
    </w:p>
    <w:p w14:paraId="2FF5CFD7">
      <w:pPr>
        <w:spacing w:before="109" w:line="360" w:lineRule="exact"/>
        <w:ind w:left="385"/>
        <w:rPr>
          <w:rFonts w:ascii="宋体" w:hAnsi="宋体" w:eastAsia="宋体" w:cs="宋体"/>
          <w:color w:val="auto"/>
          <w:sz w:val="21"/>
          <w:szCs w:val="21"/>
          <w:highlight w:val="none"/>
        </w:rPr>
      </w:pPr>
      <w:r>
        <w:rPr>
          <w:rFonts w:ascii="宋体" w:hAnsi="宋体" w:eastAsia="宋体" w:cs="宋体"/>
          <w:color w:val="auto"/>
          <w:spacing w:val="-9"/>
          <w:position w:val="11"/>
          <w:sz w:val="21"/>
          <w:szCs w:val="21"/>
          <w:highlight w:val="none"/>
        </w:rPr>
        <w:t>（</w:t>
      </w:r>
      <w:r>
        <w:rPr>
          <w:rFonts w:ascii="Times New Roman" w:hAnsi="Times New Roman" w:eastAsia="Times New Roman" w:cs="Times New Roman"/>
          <w:color w:val="auto"/>
          <w:spacing w:val="-9"/>
          <w:position w:val="11"/>
          <w:sz w:val="21"/>
          <w:szCs w:val="21"/>
          <w:highlight w:val="none"/>
        </w:rPr>
        <w:t>4</w:t>
      </w:r>
      <w:r>
        <w:rPr>
          <w:rFonts w:ascii="宋体" w:hAnsi="宋体" w:eastAsia="宋体" w:cs="宋体"/>
          <w:color w:val="auto"/>
          <w:spacing w:val="-9"/>
          <w:position w:val="11"/>
          <w:sz w:val="21"/>
          <w:szCs w:val="21"/>
          <w:highlight w:val="none"/>
        </w:rPr>
        <w:t>）联合体协议书（如有</w:t>
      </w:r>
      <w:r>
        <w:rPr>
          <w:rFonts w:ascii="宋体" w:hAnsi="宋体" w:eastAsia="宋体" w:cs="宋体"/>
          <w:color w:val="auto"/>
          <w:spacing w:val="-11"/>
          <w:position w:val="11"/>
          <w:sz w:val="21"/>
          <w:szCs w:val="21"/>
          <w:highlight w:val="none"/>
        </w:rPr>
        <w:t>）；</w:t>
      </w:r>
    </w:p>
    <w:p w14:paraId="329A593A">
      <w:pPr>
        <w:spacing w:before="1" w:line="219" w:lineRule="auto"/>
        <w:ind w:left="385"/>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w:t>
      </w:r>
      <w:r>
        <w:rPr>
          <w:rFonts w:ascii="Times New Roman" w:hAnsi="Times New Roman" w:eastAsia="Times New Roman" w:cs="Times New Roman"/>
          <w:color w:val="auto"/>
          <w:spacing w:val="-9"/>
          <w:sz w:val="21"/>
          <w:szCs w:val="21"/>
          <w:highlight w:val="none"/>
        </w:rPr>
        <w:t>5</w:t>
      </w:r>
      <w:r>
        <w:rPr>
          <w:rFonts w:ascii="宋体" w:hAnsi="宋体" w:eastAsia="宋体" w:cs="宋体"/>
          <w:color w:val="auto"/>
          <w:spacing w:val="-9"/>
          <w:sz w:val="21"/>
          <w:szCs w:val="21"/>
          <w:highlight w:val="none"/>
        </w:rPr>
        <w:t>）拟分包计划表（如有</w:t>
      </w:r>
      <w:r>
        <w:rPr>
          <w:rFonts w:ascii="宋体" w:hAnsi="宋体" w:eastAsia="宋体" w:cs="宋体"/>
          <w:color w:val="auto"/>
          <w:spacing w:val="-11"/>
          <w:sz w:val="21"/>
          <w:szCs w:val="21"/>
          <w:highlight w:val="none"/>
        </w:rPr>
        <w:t>）；</w:t>
      </w:r>
    </w:p>
    <w:p w14:paraId="33F72997">
      <w:pPr>
        <w:spacing w:before="110" w:line="220" w:lineRule="auto"/>
        <w:ind w:left="38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6</w:t>
      </w:r>
      <w:r>
        <w:rPr>
          <w:rFonts w:ascii="宋体" w:hAnsi="宋体" w:eastAsia="宋体" w:cs="宋体"/>
          <w:color w:val="auto"/>
          <w:spacing w:val="-5"/>
          <w:sz w:val="21"/>
          <w:szCs w:val="21"/>
          <w:highlight w:val="none"/>
        </w:rPr>
        <w:t>）项目管理机构；</w:t>
      </w:r>
    </w:p>
    <w:p w14:paraId="330D55A5">
      <w:pPr>
        <w:spacing w:before="109" w:line="221" w:lineRule="auto"/>
        <w:ind w:left="385"/>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7</w:t>
      </w:r>
      <w:r>
        <w:rPr>
          <w:rFonts w:ascii="宋体" w:hAnsi="宋体" w:eastAsia="宋体" w:cs="宋体"/>
          <w:color w:val="auto"/>
          <w:spacing w:val="-6"/>
          <w:sz w:val="21"/>
          <w:szCs w:val="21"/>
          <w:highlight w:val="none"/>
        </w:rPr>
        <w:t>）资格审查资料；</w:t>
      </w:r>
    </w:p>
    <w:p w14:paraId="1F8E5F64">
      <w:pPr>
        <w:spacing w:before="109" w:line="361" w:lineRule="exact"/>
        <w:ind w:left="385"/>
        <w:rPr>
          <w:rFonts w:ascii="宋体" w:hAnsi="宋体" w:eastAsia="宋体" w:cs="宋体"/>
          <w:color w:val="auto"/>
          <w:sz w:val="21"/>
          <w:szCs w:val="21"/>
          <w:highlight w:val="none"/>
        </w:rPr>
      </w:pPr>
      <w:r>
        <w:rPr>
          <w:rFonts w:ascii="宋体" w:hAnsi="宋体" w:eastAsia="宋体" w:cs="宋体"/>
          <w:color w:val="auto"/>
          <w:spacing w:val="-1"/>
          <w:position w:val="11"/>
          <w:sz w:val="21"/>
          <w:szCs w:val="21"/>
          <w:highlight w:val="none"/>
        </w:rPr>
        <w:t>（</w:t>
      </w:r>
      <w:r>
        <w:rPr>
          <w:rFonts w:ascii="Times New Roman" w:hAnsi="Times New Roman" w:eastAsia="Times New Roman" w:cs="Times New Roman"/>
          <w:color w:val="auto"/>
          <w:spacing w:val="-1"/>
          <w:position w:val="11"/>
          <w:sz w:val="21"/>
          <w:szCs w:val="21"/>
          <w:highlight w:val="none"/>
        </w:rPr>
        <w:t>8</w:t>
      </w:r>
      <w:r>
        <w:rPr>
          <w:rFonts w:ascii="宋体" w:hAnsi="宋体" w:eastAsia="宋体" w:cs="宋体"/>
          <w:color w:val="auto"/>
          <w:spacing w:val="-1"/>
          <w:position w:val="11"/>
          <w:sz w:val="21"/>
          <w:szCs w:val="21"/>
          <w:highlight w:val="none"/>
        </w:rPr>
        <w:t>）已标价工程量清单；</w:t>
      </w:r>
    </w:p>
    <w:p w14:paraId="648A35F2">
      <w:pPr>
        <w:spacing w:line="222" w:lineRule="auto"/>
        <w:ind w:left="38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9</w:t>
      </w:r>
      <w:r>
        <w:rPr>
          <w:rFonts w:ascii="宋体" w:hAnsi="宋体" w:eastAsia="宋体" w:cs="宋体"/>
          <w:color w:val="auto"/>
          <w:spacing w:val="-5"/>
          <w:sz w:val="21"/>
          <w:szCs w:val="21"/>
          <w:highlight w:val="none"/>
        </w:rPr>
        <w:t>）施工组织设计；</w:t>
      </w:r>
    </w:p>
    <w:p w14:paraId="28FC409E">
      <w:pPr>
        <w:spacing w:line="222" w:lineRule="auto"/>
        <w:rPr>
          <w:rFonts w:ascii="宋体" w:hAnsi="宋体" w:eastAsia="宋体" w:cs="宋体"/>
          <w:color w:val="auto"/>
          <w:sz w:val="21"/>
          <w:szCs w:val="21"/>
          <w:highlight w:val="none"/>
        </w:rPr>
        <w:sectPr>
          <w:footerReference r:id="rId22" w:type="default"/>
          <w:pgSz w:w="11905" w:h="16839"/>
          <w:pgMar w:top="1431" w:right="1630" w:bottom="1036" w:left="1785" w:header="0" w:footer="847" w:gutter="0"/>
          <w:pgNumType w:fmt="decimal"/>
          <w:cols w:space="720" w:num="1"/>
        </w:sectPr>
      </w:pPr>
    </w:p>
    <w:p w14:paraId="0ACC397C">
      <w:pPr>
        <w:spacing w:before="115" w:line="220" w:lineRule="auto"/>
        <w:ind w:left="385"/>
        <w:rPr>
          <w:rFonts w:ascii="宋体" w:hAnsi="宋体" w:eastAsia="宋体" w:cs="宋体"/>
          <w:color w:val="auto"/>
          <w:sz w:val="21"/>
          <w:szCs w:val="21"/>
          <w:highlight w:val="none"/>
        </w:rPr>
      </w:pPr>
      <w:bookmarkStart w:id="72" w:name="bookmark91"/>
      <w:bookmarkEnd w:id="72"/>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10</w:t>
      </w:r>
      <w:r>
        <w:rPr>
          <w:rFonts w:ascii="宋体" w:hAnsi="宋体" w:eastAsia="宋体" w:cs="宋体"/>
          <w:color w:val="auto"/>
          <w:spacing w:val="-2"/>
          <w:sz w:val="21"/>
          <w:szCs w:val="21"/>
          <w:highlight w:val="none"/>
        </w:rPr>
        <w:t>）投标人须知前附表规定的其他材料。</w:t>
      </w:r>
    </w:p>
    <w:p w14:paraId="575F102C">
      <w:pPr>
        <w:spacing w:before="110" w:line="268" w:lineRule="auto"/>
        <w:ind w:left="20" w:right="160" w:firstLine="359"/>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3.1.2</w:t>
      </w:r>
      <w:r>
        <w:rPr>
          <w:rFonts w:ascii="Times New Roman" w:hAnsi="Times New Roman" w:eastAsia="Times New Roman" w:cs="Times New Roman"/>
          <w:color w:val="auto"/>
          <w:spacing w:val="44"/>
          <w:sz w:val="21"/>
          <w:szCs w:val="21"/>
          <w:highlight w:val="none"/>
        </w:rPr>
        <w:t xml:space="preserve"> </w:t>
      </w:r>
      <w:r>
        <w:rPr>
          <w:rFonts w:ascii="宋体" w:hAnsi="宋体" w:eastAsia="宋体" w:cs="宋体"/>
          <w:color w:val="auto"/>
          <w:spacing w:val="2"/>
          <w:sz w:val="21"/>
          <w:szCs w:val="21"/>
          <w:highlight w:val="none"/>
        </w:rPr>
        <w:t>投标人须知前附表规定不接受联合体投标的，或投标人没有组成联合体的，投标</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文件不包括本章第</w:t>
      </w:r>
      <w:r>
        <w:rPr>
          <w:rFonts w:ascii="宋体" w:hAnsi="宋体" w:eastAsia="宋体" w:cs="宋体"/>
          <w:color w:val="auto"/>
          <w:spacing w:val="-43"/>
          <w:sz w:val="21"/>
          <w:szCs w:val="21"/>
          <w:highlight w:val="none"/>
        </w:rPr>
        <w:t xml:space="preserve"> </w:t>
      </w:r>
      <w:r>
        <w:rPr>
          <w:rFonts w:ascii="Times New Roman" w:hAnsi="Times New Roman" w:eastAsia="Times New Roman" w:cs="Times New Roman"/>
          <w:color w:val="auto"/>
          <w:spacing w:val="-2"/>
          <w:sz w:val="21"/>
          <w:szCs w:val="21"/>
          <w:highlight w:val="none"/>
        </w:rPr>
        <w:t>3.1.1</w:t>
      </w: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4</w:t>
      </w:r>
      <w:r>
        <w:rPr>
          <w:rFonts w:ascii="宋体" w:hAnsi="宋体" w:eastAsia="宋体" w:cs="宋体"/>
          <w:color w:val="auto"/>
          <w:spacing w:val="-2"/>
          <w:sz w:val="21"/>
          <w:szCs w:val="21"/>
          <w:highlight w:val="none"/>
        </w:rPr>
        <w:t>）</w:t>
      </w:r>
      <w:r>
        <w:rPr>
          <w:rFonts w:ascii="宋体" w:hAnsi="宋体" w:eastAsia="宋体" w:cs="宋体"/>
          <w:color w:val="auto"/>
          <w:spacing w:val="-60"/>
          <w:sz w:val="21"/>
          <w:szCs w:val="21"/>
          <w:highlight w:val="none"/>
        </w:rPr>
        <w:t xml:space="preserve"> </w:t>
      </w:r>
      <w:r>
        <w:rPr>
          <w:rFonts w:ascii="宋体" w:hAnsi="宋体" w:eastAsia="宋体" w:cs="宋体"/>
          <w:color w:val="auto"/>
          <w:spacing w:val="-2"/>
          <w:sz w:val="21"/>
          <w:szCs w:val="21"/>
          <w:highlight w:val="none"/>
        </w:rPr>
        <w:t>目所指</w:t>
      </w:r>
      <w:r>
        <w:rPr>
          <w:rFonts w:ascii="宋体" w:hAnsi="宋体" w:eastAsia="宋体" w:cs="宋体"/>
          <w:color w:val="auto"/>
          <w:spacing w:val="-3"/>
          <w:sz w:val="21"/>
          <w:szCs w:val="21"/>
          <w:highlight w:val="none"/>
        </w:rPr>
        <w:t>的联合体协议书。</w:t>
      </w:r>
    </w:p>
    <w:p w14:paraId="62BE2D79">
      <w:pPr>
        <w:spacing w:before="85" w:line="219"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3.2 </w:t>
      </w:r>
      <w:r>
        <w:rPr>
          <w:rFonts w:ascii="黑体" w:hAnsi="黑体" w:eastAsia="黑体" w:cs="黑体"/>
          <w:color w:val="auto"/>
          <w:spacing w:val="-1"/>
          <w:sz w:val="24"/>
          <w:szCs w:val="24"/>
          <w:highlight w:val="none"/>
        </w:rPr>
        <w:t>投标报价</w:t>
      </w:r>
    </w:p>
    <w:p w14:paraId="6A8A43CA">
      <w:pPr>
        <w:spacing w:before="100" w:line="220"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3.2.1 </w:t>
      </w:r>
      <w:r>
        <w:rPr>
          <w:rFonts w:ascii="宋体" w:hAnsi="宋体" w:eastAsia="宋体" w:cs="宋体"/>
          <w:color w:val="auto"/>
          <w:spacing w:val="-1"/>
          <w:sz w:val="21"/>
          <w:szCs w:val="21"/>
          <w:highlight w:val="none"/>
        </w:rPr>
        <w:t>投标人应按第五章“工程量清单”的要求填写相应表格。</w:t>
      </w:r>
    </w:p>
    <w:p w14:paraId="4CC56B90">
      <w:pPr>
        <w:spacing w:before="109" w:line="268" w:lineRule="auto"/>
        <w:ind w:left="18" w:right="163"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3.2.2</w:t>
      </w:r>
      <w:r>
        <w:rPr>
          <w:rFonts w:ascii="Times New Roman" w:hAnsi="Times New Roman" w:eastAsia="Times New Roman" w:cs="Times New Roman"/>
          <w:color w:val="auto"/>
          <w:spacing w:val="36"/>
          <w:sz w:val="21"/>
          <w:szCs w:val="21"/>
          <w:highlight w:val="none"/>
        </w:rPr>
        <w:t xml:space="preserve"> </w:t>
      </w:r>
      <w:r>
        <w:rPr>
          <w:rFonts w:ascii="宋体" w:hAnsi="宋体" w:eastAsia="宋体" w:cs="宋体"/>
          <w:color w:val="auto"/>
          <w:spacing w:val="1"/>
          <w:sz w:val="21"/>
          <w:szCs w:val="21"/>
          <w:highlight w:val="none"/>
        </w:rPr>
        <w:t>投标人在投标截止时间前修改投标函中的</w:t>
      </w:r>
      <w:r>
        <w:rPr>
          <w:rFonts w:ascii="宋体" w:hAnsi="宋体" w:eastAsia="宋体" w:cs="宋体"/>
          <w:color w:val="auto"/>
          <w:sz w:val="21"/>
          <w:szCs w:val="21"/>
          <w:highlight w:val="none"/>
        </w:rPr>
        <w:t xml:space="preserve">投标总报价，应同时修改第五章“工程 </w:t>
      </w:r>
      <w:r>
        <w:rPr>
          <w:rFonts w:ascii="宋体" w:hAnsi="宋体" w:eastAsia="宋体" w:cs="宋体"/>
          <w:color w:val="auto"/>
          <w:spacing w:val="-2"/>
          <w:sz w:val="21"/>
          <w:szCs w:val="21"/>
          <w:highlight w:val="none"/>
        </w:rPr>
        <w:t>量清单”中的相应“</w:t>
      </w:r>
      <w:r>
        <w:rPr>
          <w:rFonts w:ascii="宋体" w:hAnsi="宋体" w:eastAsia="宋体" w:cs="宋体"/>
          <w:color w:val="auto"/>
          <w:spacing w:val="-78"/>
          <w:sz w:val="21"/>
          <w:szCs w:val="21"/>
          <w:highlight w:val="none"/>
        </w:rPr>
        <w:t xml:space="preserve"> </w:t>
      </w:r>
      <w:r>
        <w:rPr>
          <w:rFonts w:ascii="宋体" w:hAnsi="宋体" w:eastAsia="宋体" w:cs="宋体"/>
          <w:color w:val="auto"/>
          <w:spacing w:val="-2"/>
          <w:sz w:val="21"/>
          <w:szCs w:val="21"/>
          <w:highlight w:val="none"/>
        </w:rPr>
        <w:t>已标价工程量清单</w:t>
      </w:r>
      <w:r>
        <w:rPr>
          <w:rFonts w:ascii="宋体" w:hAnsi="宋体" w:eastAsia="宋体" w:cs="宋体"/>
          <w:color w:val="auto"/>
          <w:spacing w:val="-81"/>
          <w:sz w:val="21"/>
          <w:szCs w:val="21"/>
          <w:highlight w:val="none"/>
        </w:rPr>
        <w:t xml:space="preserve"> </w:t>
      </w:r>
      <w:r>
        <w:rPr>
          <w:rFonts w:ascii="宋体" w:hAnsi="宋体" w:eastAsia="宋体" w:cs="宋体"/>
          <w:color w:val="auto"/>
          <w:spacing w:val="-2"/>
          <w:sz w:val="21"/>
          <w:szCs w:val="21"/>
          <w:highlight w:val="none"/>
        </w:rPr>
        <w:t>”报价。此修改须符合本章第</w:t>
      </w:r>
      <w:r>
        <w:rPr>
          <w:rFonts w:ascii="宋体" w:hAnsi="宋体" w:eastAsia="宋体" w:cs="宋体"/>
          <w:color w:val="auto"/>
          <w:spacing w:val="-48"/>
          <w:sz w:val="21"/>
          <w:szCs w:val="21"/>
          <w:highlight w:val="none"/>
        </w:rPr>
        <w:t xml:space="preserve"> </w:t>
      </w:r>
      <w:r>
        <w:rPr>
          <w:rFonts w:ascii="Times New Roman" w:hAnsi="Times New Roman" w:eastAsia="Times New Roman" w:cs="Times New Roman"/>
          <w:color w:val="auto"/>
          <w:spacing w:val="-2"/>
          <w:sz w:val="21"/>
          <w:szCs w:val="21"/>
          <w:highlight w:val="none"/>
        </w:rPr>
        <w:t xml:space="preserve">4.3 </w:t>
      </w:r>
      <w:r>
        <w:rPr>
          <w:rFonts w:ascii="宋体" w:hAnsi="宋体" w:eastAsia="宋体" w:cs="宋体"/>
          <w:color w:val="auto"/>
          <w:spacing w:val="-3"/>
          <w:sz w:val="21"/>
          <w:szCs w:val="21"/>
          <w:highlight w:val="none"/>
        </w:rPr>
        <w:t>款的有关要求。</w:t>
      </w:r>
    </w:p>
    <w:p w14:paraId="0A65F9E0">
      <w:pPr>
        <w:spacing w:before="110" w:line="269" w:lineRule="auto"/>
        <w:ind w:left="19" w:firstLine="422"/>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3.2.3</w:t>
      </w:r>
      <w:r>
        <w:rPr>
          <w:rFonts w:ascii="Times New Roman" w:hAnsi="Times New Roman" w:eastAsia="Times New Roman" w:cs="Times New Roman"/>
          <w:color w:val="auto"/>
          <w:spacing w:val="53"/>
          <w:sz w:val="21"/>
          <w:szCs w:val="21"/>
          <w:highlight w:val="none"/>
        </w:rPr>
        <w:t xml:space="preserve"> </w:t>
      </w:r>
      <w:r>
        <w:rPr>
          <w:rFonts w:ascii="宋体" w:hAnsi="宋体" w:eastAsia="宋体" w:cs="宋体"/>
          <w:color w:val="auto"/>
          <w:spacing w:val="-1"/>
          <w:sz w:val="21"/>
          <w:szCs w:val="21"/>
          <w:highlight w:val="none"/>
        </w:rPr>
        <w:t>投标人投标函中的大写报价或算术错误修正后的投标总报价大于最高投标限价的，</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其投标将被否决。</w:t>
      </w:r>
    </w:p>
    <w:p w14:paraId="44C76BAA">
      <w:pPr>
        <w:spacing w:before="109" w:line="219"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3.2.4 </w:t>
      </w:r>
      <w:r>
        <w:rPr>
          <w:rFonts w:ascii="宋体" w:hAnsi="宋体" w:eastAsia="宋体" w:cs="宋体"/>
          <w:color w:val="auto"/>
          <w:spacing w:val="-1"/>
          <w:sz w:val="21"/>
          <w:szCs w:val="21"/>
          <w:highlight w:val="none"/>
        </w:rPr>
        <w:t>本项目最高投标限价及要求详见投标人须知</w:t>
      </w:r>
      <w:r>
        <w:rPr>
          <w:rFonts w:ascii="宋体" w:hAnsi="宋体" w:eastAsia="宋体" w:cs="宋体"/>
          <w:color w:val="auto"/>
          <w:spacing w:val="-2"/>
          <w:sz w:val="21"/>
          <w:szCs w:val="21"/>
          <w:highlight w:val="none"/>
        </w:rPr>
        <w:t>前附表。</w:t>
      </w:r>
    </w:p>
    <w:p w14:paraId="35D5499F">
      <w:pPr>
        <w:spacing w:before="111" w:line="335" w:lineRule="exact"/>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9"/>
          <w:sz w:val="21"/>
          <w:szCs w:val="21"/>
          <w:highlight w:val="none"/>
        </w:rPr>
        <w:t xml:space="preserve">3.2.5 </w:t>
      </w:r>
      <w:r>
        <w:rPr>
          <w:rFonts w:ascii="宋体" w:hAnsi="宋体" w:eastAsia="宋体" w:cs="宋体"/>
          <w:color w:val="auto"/>
          <w:spacing w:val="-1"/>
          <w:position w:val="9"/>
          <w:sz w:val="21"/>
          <w:szCs w:val="21"/>
          <w:highlight w:val="none"/>
        </w:rPr>
        <w:t>投标报价的其他要求见投标人须知前附表。</w:t>
      </w:r>
    </w:p>
    <w:p w14:paraId="5E47B9B4">
      <w:pPr>
        <w:spacing w:line="218"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3.3 </w:t>
      </w:r>
      <w:r>
        <w:rPr>
          <w:rFonts w:ascii="黑体" w:hAnsi="黑体" w:eastAsia="黑体" w:cs="黑体"/>
          <w:color w:val="auto"/>
          <w:spacing w:val="-1"/>
          <w:sz w:val="24"/>
          <w:szCs w:val="24"/>
          <w:highlight w:val="none"/>
        </w:rPr>
        <w:t>投标有效期</w:t>
      </w:r>
    </w:p>
    <w:p w14:paraId="78D98D2C">
      <w:pPr>
        <w:spacing w:before="101" w:line="269" w:lineRule="auto"/>
        <w:ind w:left="17" w:right="163" w:firstLine="424"/>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3.3.1</w:t>
      </w:r>
      <w:r>
        <w:rPr>
          <w:rFonts w:ascii="Times New Roman" w:hAnsi="Times New Roman" w:eastAsia="Times New Roman" w:cs="Times New Roman"/>
          <w:color w:val="auto"/>
          <w:spacing w:val="32"/>
          <w:sz w:val="21"/>
          <w:szCs w:val="21"/>
          <w:highlight w:val="none"/>
        </w:rPr>
        <w:t xml:space="preserve"> </w:t>
      </w:r>
      <w:r>
        <w:rPr>
          <w:rFonts w:ascii="宋体" w:hAnsi="宋体" w:eastAsia="宋体" w:cs="宋体"/>
          <w:color w:val="auto"/>
          <w:spacing w:val="1"/>
          <w:sz w:val="21"/>
          <w:szCs w:val="21"/>
          <w:highlight w:val="none"/>
        </w:rPr>
        <w:t>在投标人须知前附表规定的投标有效期内，投标人</w:t>
      </w:r>
      <w:r>
        <w:rPr>
          <w:rFonts w:ascii="宋体" w:hAnsi="宋体" w:eastAsia="宋体" w:cs="宋体"/>
          <w:color w:val="auto"/>
          <w:sz w:val="21"/>
          <w:szCs w:val="21"/>
          <w:highlight w:val="none"/>
        </w:rPr>
        <w:t xml:space="preserve">不得要求撤销或修改其投标文 </w:t>
      </w:r>
      <w:r>
        <w:rPr>
          <w:rFonts w:ascii="宋体" w:hAnsi="宋体" w:eastAsia="宋体" w:cs="宋体"/>
          <w:color w:val="auto"/>
          <w:spacing w:val="-10"/>
          <w:sz w:val="21"/>
          <w:szCs w:val="21"/>
          <w:highlight w:val="none"/>
        </w:rPr>
        <w:t>件。</w:t>
      </w:r>
    </w:p>
    <w:p w14:paraId="42E160CD">
      <w:pPr>
        <w:spacing w:before="109" w:line="294" w:lineRule="auto"/>
        <w:ind w:left="18" w:right="158" w:firstLine="423"/>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3.3.2  </w:t>
      </w:r>
      <w:r>
        <w:rPr>
          <w:rFonts w:ascii="宋体" w:hAnsi="宋体" w:eastAsia="宋体" w:cs="宋体"/>
          <w:color w:val="auto"/>
          <w:sz w:val="21"/>
          <w:szCs w:val="21"/>
          <w:highlight w:val="none"/>
        </w:rPr>
        <w:t>出现特殊情况需要延长投标有效期的，招标人以书面形式通知所有投标人延长投</w:t>
      </w:r>
      <w:r>
        <w:rPr>
          <w:rFonts w:ascii="宋体" w:hAnsi="宋体" w:eastAsia="宋体" w:cs="宋体"/>
          <w:color w:val="auto"/>
          <w:spacing w:val="11"/>
          <w:sz w:val="21"/>
          <w:szCs w:val="21"/>
          <w:highlight w:val="none"/>
        </w:rPr>
        <w:t xml:space="preserve"> </w:t>
      </w:r>
      <w:r>
        <w:rPr>
          <w:rFonts w:ascii="宋体" w:hAnsi="宋体" w:eastAsia="宋体" w:cs="宋体"/>
          <w:color w:val="auto"/>
          <w:spacing w:val="3"/>
          <w:sz w:val="21"/>
          <w:szCs w:val="21"/>
          <w:highlight w:val="none"/>
        </w:rPr>
        <w:t>标有效期。投标人同意延长的，应相应延长其投标保证金的有效期，但不得</w:t>
      </w:r>
      <w:r>
        <w:rPr>
          <w:rFonts w:ascii="宋体" w:hAnsi="宋体" w:eastAsia="宋体" w:cs="宋体"/>
          <w:color w:val="auto"/>
          <w:spacing w:val="2"/>
          <w:sz w:val="21"/>
          <w:szCs w:val="21"/>
          <w:highlight w:val="none"/>
        </w:rPr>
        <w:t>要求或被允许</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修改或撤销其投标文件；投标人拒绝延长的， 其投标</w:t>
      </w:r>
      <w:r>
        <w:rPr>
          <w:rFonts w:ascii="宋体" w:hAnsi="宋体" w:eastAsia="宋体" w:cs="宋体"/>
          <w:color w:val="auto"/>
          <w:spacing w:val="-3"/>
          <w:sz w:val="21"/>
          <w:szCs w:val="21"/>
          <w:highlight w:val="none"/>
        </w:rPr>
        <w:t>失效， 但投标人有权收回其投标保证</w:t>
      </w:r>
      <w:r>
        <w:rPr>
          <w:rFonts w:ascii="宋体" w:hAnsi="宋体" w:eastAsia="宋体" w:cs="宋体"/>
          <w:color w:val="auto"/>
          <w:sz w:val="21"/>
          <w:szCs w:val="21"/>
          <w:highlight w:val="none"/>
        </w:rPr>
        <w:t xml:space="preserve"> </w:t>
      </w:r>
      <w:r>
        <w:rPr>
          <w:rFonts w:ascii="宋体" w:hAnsi="宋体" w:eastAsia="宋体" w:cs="宋体"/>
          <w:color w:val="auto"/>
          <w:spacing w:val="-10"/>
          <w:sz w:val="21"/>
          <w:szCs w:val="21"/>
          <w:highlight w:val="none"/>
        </w:rPr>
        <w:t>金。</w:t>
      </w:r>
    </w:p>
    <w:p w14:paraId="5DDE957D">
      <w:pPr>
        <w:spacing w:before="77" w:line="220"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3.4 </w:t>
      </w:r>
      <w:r>
        <w:rPr>
          <w:rFonts w:ascii="黑体" w:hAnsi="黑体" w:eastAsia="黑体" w:cs="黑体"/>
          <w:color w:val="auto"/>
          <w:spacing w:val="-1"/>
          <w:sz w:val="24"/>
          <w:szCs w:val="24"/>
          <w:highlight w:val="none"/>
        </w:rPr>
        <w:t>投标保证金</w:t>
      </w:r>
    </w:p>
    <w:p w14:paraId="577727A7">
      <w:pPr>
        <w:spacing w:before="101" w:line="292" w:lineRule="auto"/>
        <w:ind w:left="19" w:right="158" w:firstLine="422"/>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3.4.1</w:t>
      </w:r>
      <w:r>
        <w:rPr>
          <w:rFonts w:ascii="Times New Roman" w:hAnsi="Times New Roman" w:eastAsia="Times New Roman" w:cs="Times New Roman"/>
          <w:color w:val="auto"/>
          <w:spacing w:val="44"/>
          <w:w w:val="101"/>
          <w:sz w:val="21"/>
          <w:szCs w:val="21"/>
          <w:highlight w:val="none"/>
        </w:rPr>
        <w:t xml:space="preserve"> </w:t>
      </w:r>
      <w:r>
        <w:rPr>
          <w:rFonts w:ascii="宋体" w:hAnsi="宋体" w:eastAsia="宋体" w:cs="宋体"/>
          <w:color w:val="auto"/>
          <w:spacing w:val="1"/>
          <w:sz w:val="21"/>
          <w:szCs w:val="21"/>
          <w:highlight w:val="none"/>
        </w:rPr>
        <w:t>投标人须知前附表规定提交投标</w:t>
      </w:r>
      <w:r>
        <w:rPr>
          <w:rFonts w:ascii="宋体" w:hAnsi="宋体" w:eastAsia="宋体" w:cs="宋体"/>
          <w:color w:val="auto"/>
          <w:sz w:val="21"/>
          <w:szCs w:val="21"/>
          <w:highlight w:val="none"/>
        </w:rPr>
        <w:t>保证金的，投标人在递交投标文件的同时，应按 投标人须知前附表规定的形式、金额、递交截止时间、递交方式提交投标保证金， 并作为</w:t>
      </w:r>
      <w:r>
        <w:rPr>
          <w:rFonts w:ascii="宋体" w:hAnsi="宋体" w:eastAsia="宋体" w:cs="宋体"/>
          <w:color w:val="auto"/>
          <w:spacing w:val="8"/>
          <w:sz w:val="21"/>
          <w:szCs w:val="21"/>
          <w:highlight w:val="none"/>
        </w:rPr>
        <w:t xml:space="preserve"> </w:t>
      </w:r>
      <w:r>
        <w:rPr>
          <w:rFonts w:ascii="宋体" w:hAnsi="宋体" w:eastAsia="宋体" w:cs="宋体"/>
          <w:color w:val="auto"/>
          <w:spacing w:val="-2"/>
          <w:sz w:val="21"/>
          <w:szCs w:val="21"/>
          <w:highlight w:val="none"/>
        </w:rPr>
        <w:t>其投标文件的组成部分。联合体投标的， 其投标保证</w:t>
      </w:r>
      <w:r>
        <w:rPr>
          <w:rFonts w:ascii="宋体" w:hAnsi="宋体" w:eastAsia="宋体" w:cs="宋体"/>
          <w:color w:val="auto"/>
          <w:spacing w:val="-3"/>
          <w:sz w:val="21"/>
          <w:szCs w:val="21"/>
          <w:highlight w:val="none"/>
        </w:rPr>
        <w:t>金由牵头人递交， 并应符合投标人须</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知前附表的规定。</w:t>
      </w:r>
    </w:p>
    <w:p w14:paraId="50863F97">
      <w:pPr>
        <w:spacing w:before="110" w:line="220"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3.4.2 </w:t>
      </w:r>
      <w:r>
        <w:rPr>
          <w:rFonts w:ascii="宋体" w:hAnsi="宋体" w:eastAsia="宋体" w:cs="宋体"/>
          <w:color w:val="auto"/>
          <w:spacing w:val="-3"/>
          <w:sz w:val="21"/>
          <w:szCs w:val="21"/>
          <w:highlight w:val="none"/>
        </w:rPr>
        <w:t>投标人不按本章第</w:t>
      </w:r>
      <w:r>
        <w:rPr>
          <w:rFonts w:ascii="宋体" w:hAnsi="宋体" w:eastAsia="宋体" w:cs="宋体"/>
          <w:color w:val="auto"/>
          <w:spacing w:val="-31"/>
          <w:sz w:val="21"/>
          <w:szCs w:val="21"/>
          <w:highlight w:val="none"/>
        </w:rPr>
        <w:t xml:space="preserve"> </w:t>
      </w:r>
      <w:r>
        <w:rPr>
          <w:rFonts w:ascii="Times New Roman" w:hAnsi="Times New Roman" w:eastAsia="Times New Roman" w:cs="Times New Roman"/>
          <w:color w:val="auto"/>
          <w:spacing w:val="-3"/>
          <w:sz w:val="21"/>
          <w:szCs w:val="21"/>
          <w:highlight w:val="none"/>
        </w:rPr>
        <w:t xml:space="preserve">3.4.1 </w:t>
      </w:r>
      <w:r>
        <w:rPr>
          <w:rFonts w:ascii="宋体" w:hAnsi="宋体" w:eastAsia="宋体" w:cs="宋体"/>
          <w:color w:val="auto"/>
          <w:spacing w:val="-3"/>
          <w:sz w:val="21"/>
          <w:szCs w:val="21"/>
          <w:highlight w:val="none"/>
        </w:rPr>
        <w:t>项要求提交投标保证金的，</w:t>
      </w:r>
      <w:r>
        <w:rPr>
          <w:rFonts w:ascii="宋体" w:hAnsi="宋体" w:eastAsia="宋体" w:cs="宋体"/>
          <w:color w:val="auto"/>
          <w:spacing w:val="-19"/>
          <w:sz w:val="21"/>
          <w:szCs w:val="21"/>
          <w:highlight w:val="none"/>
        </w:rPr>
        <w:t xml:space="preserve"> </w:t>
      </w:r>
      <w:r>
        <w:rPr>
          <w:rFonts w:ascii="宋体" w:hAnsi="宋体" w:eastAsia="宋体" w:cs="宋体"/>
          <w:color w:val="auto"/>
          <w:spacing w:val="-3"/>
          <w:sz w:val="21"/>
          <w:szCs w:val="21"/>
          <w:highlight w:val="none"/>
        </w:rPr>
        <w:t>其投标将被否决。</w:t>
      </w:r>
    </w:p>
    <w:p w14:paraId="2E0736D4">
      <w:pPr>
        <w:spacing w:before="111" w:line="284" w:lineRule="auto"/>
        <w:ind w:left="19" w:right="157" w:firstLine="422"/>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3.4.3</w:t>
      </w:r>
      <w:r>
        <w:rPr>
          <w:rFonts w:ascii="Times New Roman" w:hAnsi="Times New Roman" w:eastAsia="Times New Roman" w:cs="Times New Roman"/>
          <w:color w:val="auto"/>
          <w:spacing w:val="45"/>
          <w:w w:val="101"/>
          <w:sz w:val="21"/>
          <w:szCs w:val="21"/>
          <w:highlight w:val="none"/>
        </w:rPr>
        <w:t xml:space="preserve"> </w:t>
      </w:r>
      <w:r>
        <w:rPr>
          <w:rFonts w:ascii="宋体" w:hAnsi="宋体" w:eastAsia="宋体" w:cs="宋体"/>
          <w:color w:val="auto"/>
          <w:spacing w:val="-2"/>
          <w:sz w:val="21"/>
          <w:szCs w:val="21"/>
          <w:highlight w:val="none"/>
        </w:rPr>
        <w:t xml:space="preserve">招标人最迟在与中标人签订合同后 </w:t>
      </w:r>
      <w:r>
        <w:rPr>
          <w:rFonts w:ascii="Times New Roman" w:hAnsi="Times New Roman" w:eastAsia="Times New Roman" w:cs="Times New Roman"/>
          <w:color w:val="auto"/>
          <w:spacing w:val="-2"/>
          <w:sz w:val="21"/>
          <w:szCs w:val="21"/>
          <w:highlight w:val="none"/>
        </w:rPr>
        <w:t xml:space="preserve">5  </w:t>
      </w:r>
      <w:r>
        <w:rPr>
          <w:rFonts w:ascii="宋体" w:hAnsi="宋体" w:eastAsia="宋体" w:cs="宋体"/>
          <w:color w:val="auto"/>
          <w:spacing w:val="-2"/>
          <w:sz w:val="21"/>
          <w:szCs w:val="21"/>
          <w:highlight w:val="none"/>
        </w:rPr>
        <w:t>日内，向未中标的投标人和中标人退还投标</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保证金。招标人同时退还投标保证金的银行同期存款利息。投标保证金及利</w:t>
      </w:r>
      <w:r>
        <w:rPr>
          <w:rFonts w:ascii="宋体" w:hAnsi="宋体" w:eastAsia="宋体" w:cs="宋体"/>
          <w:color w:val="auto"/>
          <w:spacing w:val="2"/>
          <w:sz w:val="21"/>
          <w:szCs w:val="21"/>
          <w:highlight w:val="none"/>
        </w:rPr>
        <w:t>息的计息标准</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和退还方式见投标人须知前附表。</w:t>
      </w:r>
    </w:p>
    <w:p w14:paraId="2E4B1DDD">
      <w:pPr>
        <w:spacing w:before="109" w:line="221"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3.4.4 </w:t>
      </w:r>
      <w:r>
        <w:rPr>
          <w:rFonts w:ascii="宋体" w:hAnsi="宋体" w:eastAsia="宋体" w:cs="宋体"/>
          <w:color w:val="auto"/>
          <w:sz w:val="21"/>
          <w:szCs w:val="21"/>
          <w:highlight w:val="none"/>
        </w:rPr>
        <w:t>有下列情形之一的，投标保证金将不</w:t>
      </w:r>
      <w:r>
        <w:rPr>
          <w:rFonts w:ascii="宋体" w:hAnsi="宋体" w:eastAsia="宋体" w:cs="宋体"/>
          <w:color w:val="auto"/>
          <w:spacing w:val="-1"/>
          <w:sz w:val="21"/>
          <w:szCs w:val="21"/>
          <w:highlight w:val="none"/>
        </w:rPr>
        <w:t>予退还：</w:t>
      </w:r>
    </w:p>
    <w:p w14:paraId="7A500ECC">
      <w:pPr>
        <w:spacing w:before="110" w:line="221" w:lineRule="auto"/>
        <w:ind w:left="74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）投标人在规定的投标有效期内撤销或修改其投标文件；</w:t>
      </w:r>
    </w:p>
    <w:p w14:paraId="19BD850F">
      <w:pPr>
        <w:spacing w:before="109" w:line="268" w:lineRule="auto"/>
        <w:ind w:left="19" w:right="170" w:firstLine="725"/>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）中标人在收到中标通知书后， 无正当理由拒签合同、在签订合同时向招标人</w:t>
      </w:r>
      <w:r>
        <w:rPr>
          <w:rFonts w:ascii="宋体" w:hAnsi="宋体" w:eastAsia="宋体" w:cs="宋体"/>
          <w:color w:val="auto"/>
          <w:spacing w:val="10"/>
          <w:sz w:val="21"/>
          <w:szCs w:val="21"/>
          <w:highlight w:val="none"/>
        </w:rPr>
        <w:t xml:space="preserve"> </w:t>
      </w:r>
      <w:r>
        <w:rPr>
          <w:rFonts w:ascii="宋体" w:hAnsi="宋体" w:eastAsia="宋体" w:cs="宋体"/>
          <w:color w:val="auto"/>
          <w:spacing w:val="-1"/>
          <w:sz w:val="21"/>
          <w:szCs w:val="21"/>
          <w:highlight w:val="none"/>
        </w:rPr>
        <w:t>提出附加条件或未按招标文件规定提交履约保证金。</w:t>
      </w:r>
    </w:p>
    <w:p w14:paraId="3A4476F7">
      <w:pPr>
        <w:spacing w:before="85" w:line="219" w:lineRule="auto"/>
        <w:ind w:left="140"/>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3.5</w:t>
      </w:r>
      <w:r>
        <w:rPr>
          <w:rFonts w:ascii="Times New Roman" w:hAnsi="Times New Roman" w:eastAsia="Times New Roman" w:cs="Times New Roman"/>
          <w:color w:val="auto"/>
          <w:spacing w:val="38"/>
          <w:sz w:val="24"/>
          <w:szCs w:val="24"/>
          <w:highlight w:val="none"/>
        </w:rPr>
        <w:t xml:space="preserve"> </w:t>
      </w:r>
      <w:r>
        <w:rPr>
          <w:rFonts w:ascii="黑体" w:hAnsi="黑体" w:eastAsia="黑体" w:cs="黑体"/>
          <w:color w:val="auto"/>
          <w:spacing w:val="-2"/>
          <w:sz w:val="24"/>
          <w:szCs w:val="24"/>
          <w:highlight w:val="none"/>
        </w:rPr>
        <w:t>资格审查资料（适用于已进行资格预审的）</w:t>
      </w:r>
    </w:p>
    <w:p w14:paraId="6E5339D5">
      <w:pPr>
        <w:spacing w:before="134" w:line="399" w:lineRule="exact"/>
        <w:ind w:left="443"/>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投标人在递交投标文件前， 发生可能影响其投标资格的新情况的，应更新或补充其在</w:t>
      </w:r>
    </w:p>
    <w:p w14:paraId="29E74558">
      <w:pPr>
        <w:spacing w:before="1" w:line="219" w:lineRule="auto"/>
        <w:ind w:left="4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申请资格预审时提供的资料，</w:t>
      </w:r>
      <w:r>
        <w:rPr>
          <w:rFonts w:ascii="宋体" w:hAnsi="宋体" w:eastAsia="宋体" w:cs="宋体"/>
          <w:color w:val="auto"/>
          <w:spacing w:val="51"/>
          <w:sz w:val="21"/>
          <w:szCs w:val="21"/>
          <w:highlight w:val="none"/>
        </w:rPr>
        <w:t xml:space="preserve"> </w:t>
      </w:r>
      <w:r>
        <w:rPr>
          <w:rFonts w:ascii="宋体" w:hAnsi="宋体" w:eastAsia="宋体" w:cs="宋体"/>
          <w:color w:val="auto"/>
          <w:spacing w:val="-2"/>
          <w:sz w:val="21"/>
          <w:szCs w:val="21"/>
          <w:highlight w:val="none"/>
        </w:rPr>
        <w:t>以证实其各项资格条件仍能继续满足资格预审文件的要求，</w:t>
      </w:r>
    </w:p>
    <w:p w14:paraId="00F8EC69">
      <w:pPr>
        <w:spacing w:before="152" w:line="221"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且没有实质性降低。</w:t>
      </w:r>
    </w:p>
    <w:p w14:paraId="4154404F">
      <w:pPr>
        <w:spacing w:before="89" w:line="219"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9"/>
          <w:sz w:val="24"/>
          <w:szCs w:val="24"/>
          <w:highlight w:val="none"/>
        </w:rPr>
        <w:t>3.5</w:t>
      </w:r>
      <w:r>
        <w:rPr>
          <w:rFonts w:ascii="Times New Roman" w:hAnsi="Times New Roman" w:eastAsia="Times New Roman" w:cs="Times New Roman"/>
          <w:color w:val="auto"/>
          <w:spacing w:val="26"/>
          <w:w w:val="101"/>
          <w:sz w:val="24"/>
          <w:szCs w:val="24"/>
          <w:highlight w:val="none"/>
        </w:rPr>
        <w:t xml:space="preserve"> </w:t>
      </w:r>
      <w:r>
        <w:rPr>
          <w:rFonts w:ascii="黑体" w:hAnsi="黑体" w:eastAsia="黑体" w:cs="黑体"/>
          <w:color w:val="auto"/>
          <w:spacing w:val="-9"/>
          <w:sz w:val="24"/>
          <w:szCs w:val="24"/>
          <w:highlight w:val="none"/>
        </w:rPr>
        <w:t>资格审查资料</w:t>
      </w:r>
      <w:r>
        <w:rPr>
          <w:rFonts w:ascii="黑体" w:hAnsi="黑体" w:eastAsia="黑体" w:cs="黑体"/>
          <w:color w:val="auto"/>
          <w:spacing w:val="25"/>
          <w:sz w:val="24"/>
          <w:szCs w:val="24"/>
          <w:highlight w:val="none"/>
        </w:rPr>
        <w:t xml:space="preserve"> </w:t>
      </w:r>
      <w:r>
        <w:rPr>
          <w:rFonts w:ascii="黑体" w:hAnsi="黑体" w:eastAsia="黑体" w:cs="黑体"/>
          <w:color w:val="auto"/>
          <w:spacing w:val="-9"/>
          <w:sz w:val="24"/>
          <w:szCs w:val="24"/>
          <w:highlight w:val="none"/>
        </w:rPr>
        <w:t>（适用于未进行资格预审的）</w:t>
      </w:r>
    </w:p>
    <w:p w14:paraId="078BC4C2">
      <w:pPr>
        <w:spacing w:before="101" w:line="268" w:lineRule="auto"/>
        <w:ind w:left="22" w:right="2" w:firstLine="419"/>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3.5.1</w:t>
      </w:r>
      <w:r>
        <w:rPr>
          <w:rFonts w:ascii="宋体" w:hAnsi="宋体" w:eastAsia="宋体" w:cs="宋体"/>
          <w:color w:val="auto"/>
          <w:spacing w:val="2"/>
          <w:sz w:val="21"/>
          <w:szCs w:val="21"/>
          <w:highlight w:val="none"/>
        </w:rPr>
        <w:t>“投标人基本情况表”应附投标人营</w:t>
      </w:r>
      <w:r>
        <w:rPr>
          <w:rFonts w:ascii="宋体" w:hAnsi="宋体" w:eastAsia="宋体" w:cs="宋体"/>
          <w:color w:val="auto"/>
          <w:spacing w:val="1"/>
          <w:sz w:val="21"/>
          <w:szCs w:val="21"/>
          <w:highlight w:val="none"/>
        </w:rPr>
        <w:t>业执照、资质证书和安全生产许可证等材料，</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具体要求见投标人须知前附表。</w:t>
      </w:r>
    </w:p>
    <w:p w14:paraId="460901BF">
      <w:pPr>
        <w:spacing w:line="268" w:lineRule="auto"/>
        <w:rPr>
          <w:rFonts w:ascii="宋体" w:hAnsi="宋体" w:eastAsia="宋体" w:cs="宋体"/>
          <w:color w:val="auto"/>
          <w:sz w:val="21"/>
          <w:szCs w:val="21"/>
          <w:highlight w:val="none"/>
        </w:rPr>
        <w:sectPr>
          <w:footerReference r:id="rId23" w:type="default"/>
          <w:pgSz w:w="11905" w:h="16839"/>
          <w:pgMar w:top="1431" w:right="1630" w:bottom="1036" w:left="1785" w:header="0" w:footer="847" w:gutter="0"/>
          <w:pgNumType w:fmt="decimal"/>
          <w:cols w:space="720" w:num="1"/>
        </w:sectPr>
      </w:pPr>
    </w:p>
    <w:p w14:paraId="38053E71">
      <w:pPr>
        <w:spacing w:before="116" w:line="268" w:lineRule="auto"/>
        <w:ind w:left="19" w:right="204" w:firstLine="422"/>
        <w:rPr>
          <w:rFonts w:ascii="宋体" w:hAnsi="宋体" w:eastAsia="宋体" w:cs="宋体"/>
          <w:color w:val="auto"/>
          <w:sz w:val="21"/>
          <w:szCs w:val="21"/>
          <w:highlight w:val="none"/>
        </w:rPr>
      </w:pPr>
      <w:bookmarkStart w:id="73" w:name="bookmark92"/>
      <w:bookmarkEnd w:id="73"/>
      <w:r>
        <w:rPr>
          <w:rFonts w:ascii="Times New Roman" w:hAnsi="Times New Roman" w:eastAsia="Times New Roman" w:cs="Times New Roman"/>
          <w:color w:val="auto"/>
          <w:spacing w:val="-1"/>
          <w:sz w:val="21"/>
          <w:szCs w:val="21"/>
          <w:highlight w:val="none"/>
        </w:rPr>
        <w:t xml:space="preserve">3.5.2   </w:t>
      </w:r>
      <w:r>
        <w:rPr>
          <w:rFonts w:ascii="宋体" w:hAnsi="宋体" w:eastAsia="宋体" w:cs="宋体"/>
          <w:color w:val="auto"/>
          <w:spacing w:val="-1"/>
          <w:sz w:val="21"/>
          <w:szCs w:val="21"/>
          <w:highlight w:val="none"/>
        </w:rPr>
        <w:t>“近年财务状况表”应附经会计师事务所或审计机构审计的财务会计报表</w:t>
      </w:r>
      <w:r>
        <w:rPr>
          <w:rFonts w:ascii="宋体" w:hAnsi="宋体" w:eastAsia="宋体" w:cs="宋体"/>
          <w:color w:val="auto"/>
          <w:spacing w:val="-2"/>
          <w:sz w:val="21"/>
          <w:szCs w:val="21"/>
          <w:highlight w:val="none"/>
        </w:rPr>
        <w:t>，具体</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年份要求见投标人须知前附表。</w:t>
      </w:r>
    </w:p>
    <w:p w14:paraId="49955ED9">
      <w:pPr>
        <w:spacing w:before="110" w:line="268" w:lineRule="auto"/>
        <w:ind w:left="19" w:right="201" w:firstLine="422"/>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 xml:space="preserve">3.5.3   </w:t>
      </w:r>
      <w:r>
        <w:rPr>
          <w:rFonts w:ascii="宋体" w:hAnsi="宋体" w:eastAsia="宋体" w:cs="宋体"/>
          <w:color w:val="auto"/>
          <w:spacing w:val="-4"/>
          <w:sz w:val="21"/>
          <w:szCs w:val="21"/>
          <w:highlight w:val="none"/>
        </w:rPr>
        <w:t>“近年完成的类似项目情况表”应</w:t>
      </w:r>
      <w:r>
        <w:rPr>
          <w:rFonts w:ascii="宋体" w:hAnsi="宋体" w:eastAsia="宋体" w:cs="宋体"/>
          <w:color w:val="auto"/>
          <w:spacing w:val="-5"/>
          <w:sz w:val="21"/>
          <w:szCs w:val="21"/>
          <w:highlight w:val="none"/>
        </w:rPr>
        <w:t>附中标通知书、合同、</w:t>
      </w:r>
      <w:r>
        <w:rPr>
          <w:rFonts w:ascii="宋体" w:hAnsi="宋体" w:eastAsia="宋体" w:cs="宋体"/>
          <w:color w:val="auto"/>
          <w:spacing w:val="43"/>
          <w:sz w:val="21"/>
          <w:szCs w:val="21"/>
          <w:highlight w:val="none"/>
        </w:rPr>
        <w:t xml:space="preserve"> </w:t>
      </w:r>
      <w:r>
        <w:rPr>
          <w:rFonts w:ascii="宋体" w:hAnsi="宋体" w:eastAsia="宋体" w:cs="宋体"/>
          <w:color w:val="auto"/>
          <w:spacing w:val="-5"/>
          <w:sz w:val="21"/>
          <w:szCs w:val="21"/>
          <w:highlight w:val="none"/>
        </w:rPr>
        <w:t>竣工验收等材料，具体</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年份要求见投标人须知前附表。每张表格只填写一个项目，并标明序号。</w:t>
      </w:r>
    </w:p>
    <w:p w14:paraId="5D8B5F86">
      <w:pPr>
        <w:spacing w:before="108" w:line="269" w:lineRule="auto"/>
        <w:ind w:left="17" w:right="204" w:firstLine="424"/>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3.5.4   </w:t>
      </w:r>
      <w:r>
        <w:rPr>
          <w:rFonts w:ascii="宋体" w:hAnsi="宋体" w:eastAsia="宋体" w:cs="宋体"/>
          <w:color w:val="auto"/>
          <w:spacing w:val="-1"/>
          <w:sz w:val="21"/>
          <w:szCs w:val="21"/>
          <w:highlight w:val="none"/>
        </w:rPr>
        <w:t>“正在施工和新承接的项目情况表”应附中标通知书、合同协议书等材料</w:t>
      </w:r>
      <w:r>
        <w:rPr>
          <w:rFonts w:ascii="宋体" w:hAnsi="宋体" w:eastAsia="宋体" w:cs="宋体"/>
          <w:color w:val="auto"/>
          <w:spacing w:val="-2"/>
          <w:sz w:val="21"/>
          <w:szCs w:val="21"/>
          <w:highlight w:val="none"/>
        </w:rPr>
        <w:t>。每张</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表格只填写一个项目，并标明序号。</w:t>
      </w:r>
    </w:p>
    <w:p w14:paraId="70D6C71F">
      <w:pPr>
        <w:spacing w:before="109" w:line="268" w:lineRule="auto"/>
        <w:ind w:left="24" w:right="204" w:firstLine="416"/>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3.5.5   </w:t>
      </w:r>
      <w:r>
        <w:rPr>
          <w:rFonts w:ascii="宋体" w:hAnsi="宋体" w:eastAsia="宋体" w:cs="宋体"/>
          <w:color w:val="auto"/>
          <w:spacing w:val="-1"/>
          <w:sz w:val="21"/>
          <w:szCs w:val="21"/>
          <w:highlight w:val="none"/>
        </w:rPr>
        <w:t>“近年发生的诉讼及仲裁情况”应说明相关情况，并附法院或仲裁机构作</w:t>
      </w:r>
      <w:r>
        <w:rPr>
          <w:rFonts w:ascii="宋体" w:hAnsi="宋体" w:eastAsia="宋体" w:cs="宋体"/>
          <w:color w:val="auto"/>
          <w:spacing w:val="-2"/>
          <w:sz w:val="21"/>
          <w:szCs w:val="21"/>
          <w:highlight w:val="none"/>
        </w:rPr>
        <w:t>出的判</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决、裁决等有关法律文书，具体年份要求见</w:t>
      </w:r>
      <w:r>
        <w:rPr>
          <w:rFonts w:ascii="宋体" w:hAnsi="宋体" w:eastAsia="宋体" w:cs="宋体"/>
          <w:color w:val="auto"/>
          <w:spacing w:val="-2"/>
          <w:sz w:val="21"/>
          <w:szCs w:val="21"/>
          <w:highlight w:val="none"/>
        </w:rPr>
        <w:t>投标人须知前附表。</w:t>
      </w:r>
    </w:p>
    <w:p w14:paraId="792B55C7">
      <w:pPr>
        <w:spacing w:before="110" w:line="269" w:lineRule="auto"/>
        <w:ind w:left="19" w:right="197" w:firstLine="422"/>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3.5.6</w:t>
      </w:r>
      <w:r>
        <w:rPr>
          <w:rFonts w:ascii="Times New Roman" w:hAnsi="Times New Roman" w:eastAsia="Times New Roman" w:cs="Times New Roman"/>
          <w:color w:val="auto"/>
          <w:spacing w:val="20"/>
          <w:w w:val="101"/>
          <w:sz w:val="21"/>
          <w:szCs w:val="21"/>
          <w:highlight w:val="none"/>
        </w:rPr>
        <w:t xml:space="preserve"> </w:t>
      </w:r>
      <w:r>
        <w:rPr>
          <w:rFonts w:ascii="宋体" w:hAnsi="宋体" w:eastAsia="宋体" w:cs="宋体"/>
          <w:color w:val="auto"/>
          <w:spacing w:val="-2"/>
          <w:sz w:val="21"/>
          <w:szCs w:val="21"/>
          <w:highlight w:val="none"/>
        </w:rPr>
        <w:t xml:space="preserve">投标人须知前附表第 </w:t>
      </w:r>
      <w:r>
        <w:rPr>
          <w:rFonts w:ascii="Times New Roman" w:hAnsi="Times New Roman" w:eastAsia="Times New Roman" w:cs="Times New Roman"/>
          <w:color w:val="auto"/>
          <w:spacing w:val="-2"/>
          <w:sz w:val="21"/>
          <w:szCs w:val="21"/>
          <w:highlight w:val="none"/>
        </w:rPr>
        <w:t>1.4.2</w:t>
      </w:r>
      <w:r>
        <w:rPr>
          <w:rFonts w:ascii="Times New Roman" w:hAnsi="Times New Roman" w:eastAsia="Times New Roman" w:cs="Times New Roman"/>
          <w:color w:val="auto"/>
          <w:spacing w:val="17"/>
          <w:sz w:val="21"/>
          <w:szCs w:val="21"/>
          <w:highlight w:val="none"/>
        </w:rPr>
        <w:t xml:space="preserve"> </w:t>
      </w:r>
      <w:r>
        <w:rPr>
          <w:rFonts w:ascii="宋体" w:hAnsi="宋体" w:eastAsia="宋体" w:cs="宋体"/>
          <w:color w:val="auto"/>
          <w:spacing w:val="-2"/>
          <w:sz w:val="21"/>
          <w:szCs w:val="21"/>
          <w:highlight w:val="none"/>
        </w:rPr>
        <w:t xml:space="preserve">项规定接受联合体投标的，本章第 </w:t>
      </w:r>
      <w:r>
        <w:rPr>
          <w:rFonts w:ascii="Times New Roman" w:hAnsi="Times New Roman" w:eastAsia="Times New Roman" w:cs="Times New Roman"/>
          <w:color w:val="auto"/>
          <w:spacing w:val="-2"/>
          <w:sz w:val="21"/>
          <w:szCs w:val="21"/>
          <w:highlight w:val="none"/>
        </w:rPr>
        <w:t>3.5.1</w:t>
      </w:r>
      <w:r>
        <w:rPr>
          <w:rFonts w:ascii="Times New Roman" w:hAnsi="Times New Roman" w:eastAsia="Times New Roman" w:cs="Times New Roman"/>
          <w:color w:val="auto"/>
          <w:spacing w:val="21"/>
          <w:w w:val="101"/>
          <w:sz w:val="21"/>
          <w:szCs w:val="21"/>
          <w:highlight w:val="none"/>
        </w:rPr>
        <w:t xml:space="preserve"> </w:t>
      </w:r>
      <w:r>
        <w:rPr>
          <w:rFonts w:ascii="宋体" w:hAnsi="宋体" w:eastAsia="宋体" w:cs="宋体"/>
          <w:color w:val="auto"/>
          <w:spacing w:val="-2"/>
          <w:sz w:val="21"/>
          <w:szCs w:val="21"/>
          <w:highlight w:val="none"/>
        </w:rPr>
        <w:t>项规</w:t>
      </w:r>
      <w:r>
        <w:rPr>
          <w:rFonts w:ascii="宋体" w:hAnsi="宋体" w:eastAsia="宋体" w:cs="宋体"/>
          <w:color w:val="auto"/>
          <w:spacing w:val="-3"/>
          <w:sz w:val="21"/>
          <w:szCs w:val="21"/>
          <w:highlight w:val="none"/>
        </w:rPr>
        <w:t>定的表格</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和资料应包括联合体各方相关情况。</w:t>
      </w:r>
    </w:p>
    <w:p w14:paraId="02A16E48">
      <w:pPr>
        <w:spacing w:before="109" w:line="268" w:lineRule="auto"/>
        <w:ind w:left="23" w:right="40" w:firstLine="418"/>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3.5.7</w:t>
      </w:r>
      <w:r>
        <w:rPr>
          <w:rFonts w:ascii="Times New Roman" w:hAnsi="Times New Roman" w:eastAsia="Times New Roman" w:cs="Times New Roman"/>
          <w:color w:val="auto"/>
          <w:spacing w:val="53"/>
          <w:sz w:val="21"/>
          <w:szCs w:val="21"/>
          <w:highlight w:val="none"/>
        </w:rPr>
        <w:t xml:space="preserve"> </w:t>
      </w:r>
      <w:r>
        <w:rPr>
          <w:rFonts w:ascii="宋体" w:hAnsi="宋体" w:eastAsia="宋体" w:cs="宋体"/>
          <w:color w:val="auto"/>
          <w:spacing w:val="-1"/>
          <w:sz w:val="21"/>
          <w:szCs w:val="21"/>
          <w:highlight w:val="none"/>
        </w:rPr>
        <w:t>投标人应按招标文件第八章“投标文件格式”中规定的表格内容填写资格审查表，</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并按各资格审查表的具体要求提供相关证件及证明</w:t>
      </w:r>
      <w:r>
        <w:rPr>
          <w:rFonts w:ascii="宋体" w:hAnsi="宋体" w:eastAsia="宋体" w:cs="宋体"/>
          <w:color w:val="auto"/>
          <w:spacing w:val="-2"/>
          <w:sz w:val="21"/>
          <w:szCs w:val="21"/>
          <w:highlight w:val="none"/>
        </w:rPr>
        <w:t>材料。</w:t>
      </w:r>
    </w:p>
    <w:p w14:paraId="765F01BA">
      <w:pPr>
        <w:spacing w:before="109" w:line="220"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3.5.8 </w:t>
      </w:r>
      <w:r>
        <w:rPr>
          <w:rFonts w:ascii="宋体" w:hAnsi="宋体" w:eastAsia="宋体" w:cs="宋体"/>
          <w:color w:val="auto"/>
          <w:spacing w:val="-2"/>
          <w:sz w:val="21"/>
          <w:szCs w:val="21"/>
          <w:highlight w:val="none"/>
        </w:rPr>
        <w:t>本招标文件中“类似项目”的定义见投标人须知前附表第</w:t>
      </w:r>
      <w:r>
        <w:rPr>
          <w:rFonts w:ascii="宋体" w:hAnsi="宋体" w:eastAsia="宋体" w:cs="宋体"/>
          <w:color w:val="auto"/>
          <w:spacing w:val="-10"/>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10.1.1 </w:t>
      </w:r>
      <w:r>
        <w:rPr>
          <w:rFonts w:ascii="宋体" w:hAnsi="宋体" w:eastAsia="宋体" w:cs="宋体"/>
          <w:color w:val="auto"/>
          <w:spacing w:val="-2"/>
          <w:sz w:val="21"/>
          <w:szCs w:val="21"/>
          <w:highlight w:val="none"/>
        </w:rPr>
        <w:t>条目规定。</w:t>
      </w:r>
    </w:p>
    <w:p w14:paraId="6554A38E">
      <w:pPr>
        <w:spacing w:before="110" w:line="254" w:lineRule="auto"/>
        <w:ind w:left="19" w:right="730" w:firstLine="421"/>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1"/>
          <w:szCs w:val="21"/>
          <w:highlight w:val="none"/>
        </w:rPr>
        <w:t xml:space="preserve">3.5.9 </w:t>
      </w:r>
      <w:r>
        <w:rPr>
          <w:rFonts w:ascii="宋体" w:hAnsi="宋体" w:eastAsia="宋体" w:cs="宋体"/>
          <w:color w:val="auto"/>
          <w:spacing w:val="-1"/>
          <w:sz w:val="21"/>
          <w:szCs w:val="21"/>
          <w:highlight w:val="none"/>
        </w:rPr>
        <w:t>项目经理的已完成的类似项目的业绩，具体年份要求见</w:t>
      </w:r>
      <w:r>
        <w:rPr>
          <w:rFonts w:ascii="宋体" w:hAnsi="宋体" w:eastAsia="宋体" w:cs="宋体"/>
          <w:color w:val="auto"/>
          <w:spacing w:val="-2"/>
          <w:sz w:val="21"/>
          <w:szCs w:val="21"/>
          <w:highlight w:val="none"/>
        </w:rPr>
        <w:t>投标人须知前附表。</w:t>
      </w:r>
      <w:r>
        <w:rPr>
          <w:rFonts w:ascii="宋体" w:hAnsi="宋体" w:eastAsia="宋体" w:cs="宋体"/>
          <w:color w:val="auto"/>
          <w:sz w:val="21"/>
          <w:szCs w:val="21"/>
          <w:highlight w:val="none"/>
        </w:rPr>
        <w:t xml:space="preserve"> </w:t>
      </w:r>
      <w:r>
        <w:rPr>
          <w:rFonts w:ascii="Times New Roman" w:hAnsi="Times New Roman" w:eastAsia="Times New Roman" w:cs="Times New Roman"/>
          <w:color w:val="auto"/>
          <w:spacing w:val="-1"/>
          <w:sz w:val="24"/>
          <w:szCs w:val="24"/>
          <w:highlight w:val="none"/>
        </w:rPr>
        <w:t xml:space="preserve">3.6 </w:t>
      </w:r>
      <w:r>
        <w:rPr>
          <w:rFonts w:ascii="黑体" w:hAnsi="黑体" w:eastAsia="黑体" w:cs="黑体"/>
          <w:color w:val="auto"/>
          <w:spacing w:val="-1"/>
          <w:sz w:val="24"/>
          <w:szCs w:val="24"/>
          <w:highlight w:val="none"/>
        </w:rPr>
        <w:t>备选投标方案</w:t>
      </w:r>
    </w:p>
    <w:p w14:paraId="174B9BB7">
      <w:pPr>
        <w:spacing w:before="101" w:line="293" w:lineRule="auto"/>
        <w:ind w:left="17" w:right="202" w:firstLine="436"/>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除投标人须知前附表另有规定外，投标人不得递交备选投标方</w:t>
      </w:r>
      <w:r>
        <w:rPr>
          <w:rFonts w:ascii="宋体" w:hAnsi="宋体" w:eastAsia="宋体" w:cs="宋体"/>
          <w:color w:val="auto"/>
          <w:spacing w:val="2"/>
          <w:sz w:val="21"/>
          <w:szCs w:val="21"/>
          <w:highlight w:val="none"/>
        </w:rPr>
        <w:t>案。允许投标人递交备</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选投标方案的，只有中标人所递交的备选投标方案方可予以考虑。评标委员会</w:t>
      </w:r>
      <w:r>
        <w:rPr>
          <w:rFonts w:ascii="宋体" w:hAnsi="宋体" w:eastAsia="宋体" w:cs="宋体"/>
          <w:color w:val="auto"/>
          <w:spacing w:val="2"/>
          <w:sz w:val="21"/>
          <w:szCs w:val="21"/>
          <w:highlight w:val="none"/>
        </w:rPr>
        <w:t>认为中标候</w:t>
      </w:r>
      <w:r>
        <w:rPr>
          <w:rFonts w:ascii="宋体" w:hAnsi="宋体" w:eastAsia="宋体" w:cs="宋体"/>
          <w:color w:val="auto"/>
          <w:sz w:val="21"/>
          <w:szCs w:val="21"/>
          <w:highlight w:val="none"/>
        </w:rPr>
        <w:t xml:space="preserve"> 选人的备选投标方案优于其按照招标文件要求编制的投标方案的， 该中标候选人被确定中</w:t>
      </w:r>
      <w:r>
        <w:rPr>
          <w:rFonts w:ascii="宋体" w:hAnsi="宋体" w:eastAsia="宋体" w:cs="宋体"/>
          <w:color w:val="auto"/>
          <w:spacing w:val="7"/>
          <w:sz w:val="21"/>
          <w:szCs w:val="21"/>
          <w:highlight w:val="none"/>
        </w:rPr>
        <w:t xml:space="preserve"> </w:t>
      </w:r>
      <w:r>
        <w:rPr>
          <w:rFonts w:ascii="宋体" w:hAnsi="宋体" w:eastAsia="宋体" w:cs="宋体"/>
          <w:color w:val="auto"/>
          <w:spacing w:val="-1"/>
          <w:sz w:val="21"/>
          <w:szCs w:val="21"/>
          <w:highlight w:val="none"/>
        </w:rPr>
        <w:t>标人后，招标人可以接受该备选投标方案。</w:t>
      </w:r>
    </w:p>
    <w:p w14:paraId="77D86A31">
      <w:pPr>
        <w:spacing w:before="83" w:line="218"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3.7 </w:t>
      </w:r>
      <w:r>
        <w:rPr>
          <w:rFonts w:ascii="黑体" w:hAnsi="黑体" w:eastAsia="黑体" w:cs="黑体"/>
          <w:color w:val="auto"/>
          <w:spacing w:val="-1"/>
          <w:sz w:val="24"/>
          <w:szCs w:val="24"/>
          <w:highlight w:val="none"/>
        </w:rPr>
        <w:t>投标文件的编制</w:t>
      </w:r>
    </w:p>
    <w:p w14:paraId="072D825A">
      <w:pPr>
        <w:spacing w:before="100" w:line="285" w:lineRule="auto"/>
        <w:ind w:left="20" w:right="199" w:firstLine="42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3.7.1</w:t>
      </w:r>
      <w:r>
        <w:rPr>
          <w:rFonts w:ascii="Times New Roman" w:hAnsi="Times New Roman" w:eastAsia="Times New Roman" w:cs="Times New Roman"/>
          <w:color w:val="auto"/>
          <w:spacing w:val="44"/>
          <w:w w:val="101"/>
          <w:sz w:val="21"/>
          <w:szCs w:val="21"/>
          <w:highlight w:val="none"/>
        </w:rPr>
        <w:t xml:space="preserve"> </w:t>
      </w:r>
      <w:r>
        <w:rPr>
          <w:rFonts w:ascii="宋体" w:hAnsi="宋体" w:eastAsia="宋体" w:cs="宋体"/>
          <w:color w:val="auto"/>
          <w:spacing w:val="1"/>
          <w:sz w:val="21"/>
          <w:szCs w:val="21"/>
          <w:highlight w:val="none"/>
        </w:rPr>
        <w:t>投标文件应按第八章“投标文件</w:t>
      </w:r>
      <w:r>
        <w:rPr>
          <w:rFonts w:ascii="宋体" w:hAnsi="宋体" w:eastAsia="宋体" w:cs="宋体"/>
          <w:color w:val="auto"/>
          <w:sz w:val="21"/>
          <w:szCs w:val="21"/>
          <w:highlight w:val="none"/>
        </w:rPr>
        <w:t>格式”进行编写，如有必要，可以增加附页，作 为投标文件的组成部分。其中，投标函附录在满足招标文件实质性要求的基础上， 可以提</w:t>
      </w:r>
      <w:r>
        <w:rPr>
          <w:rFonts w:ascii="宋体" w:hAnsi="宋体" w:eastAsia="宋体" w:cs="宋体"/>
          <w:color w:val="auto"/>
          <w:spacing w:val="4"/>
          <w:sz w:val="21"/>
          <w:szCs w:val="21"/>
          <w:highlight w:val="none"/>
        </w:rPr>
        <w:t xml:space="preserve"> </w:t>
      </w:r>
      <w:r>
        <w:rPr>
          <w:rFonts w:ascii="宋体" w:hAnsi="宋体" w:eastAsia="宋体" w:cs="宋体"/>
          <w:color w:val="auto"/>
          <w:spacing w:val="-2"/>
          <w:sz w:val="21"/>
          <w:szCs w:val="21"/>
          <w:highlight w:val="none"/>
        </w:rPr>
        <w:t>出比招标文件要求更有利于招标人的承诺。</w:t>
      </w:r>
    </w:p>
    <w:p w14:paraId="3AA83BC3">
      <w:pPr>
        <w:spacing w:before="108" w:line="269" w:lineRule="auto"/>
        <w:ind w:left="19" w:right="234" w:firstLine="422"/>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3.7.2</w:t>
      </w:r>
      <w:r>
        <w:rPr>
          <w:rFonts w:ascii="Times New Roman" w:hAnsi="Times New Roman" w:eastAsia="Times New Roman" w:cs="Times New Roman"/>
          <w:color w:val="auto"/>
          <w:spacing w:val="35"/>
          <w:w w:val="101"/>
          <w:sz w:val="21"/>
          <w:szCs w:val="21"/>
          <w:highlight w:val="none"/>
        </w:rPr>
        <w:t xml:space="preserve"> </w:t>
      </w:r>
      <w:r>
        <w:rPr>
          <w:rFonts w:ascii="宋体" w:hAnsi="宋体" w:eastAsia="宋体" w:cs="宋体"/>
          <w:color w:val="auto"/>
          <w:sz w:val="21"/>
          <w:szCs w:val="21"/>
          <w:highlight w:val="none"/>
        </w:rPr>
        <w:t>投标文件应当对招标文件有关工期、投标有效期、质量要求、技</w:t>
      </w:r>
      <w:r>
        <w:rPr>
          <w:rFonts w:ascii="宋体" w:hAnsi="宋体" w:eastAsia="宋体" w:cs="宋体"/>
          <w:color w:val="auto"/>
          <w:spacing w:val="-1"/>
          <w:sz w:val="21"/>
          <w:szCs w:val="21"/>
          <w:highlight w:val="none"/>
        </w:rPr>
        <w:t>术标准和要求、</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招标范围等实质性内容作出响应。</w:t>
      </w:r>
    </w:p>
    <w:p w14:paraId="0C6F2D09">
      <w:pPr>
        <w:spacing w:before="109" w:line="221"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3.7.3 </w:t>
      </w:r>
      <w:r>
        <w:rPr>
          <w:rFonts w:ascii="宋体" w:hAnsi="宋体" w:eastAsia="宋体" w:cs="宋体"/>
          <w:color w:val="auto"/>
          <w:spacing w:val="-1"/>
          <w:sz w:val="21"/>
          <w:szCs w:val="21"/>
          <w:highlight w:val="none"/>
        </w:rPr>
        <w:t>投标文件制作</w:t>
      </w:r>
    </w:p>
    <w:p w14:paraId="0659160C">
      <w:pPr>
        <w:spacing w:before="109"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宋体" w:hAnsi="宋体" w:eastAsia="宋体" w:cs="宋体"/>
          <w:color w:val="auto"/>
          <w:spacing w:val="-1"/>
          <w:sz w:val="21"/>
          <w:szCs w:val="21"/>
          <w:highlight w:val="none"/>
        </w:rPr>
        <w:t>）投标文件由投标人使用符合标准的数字化投标文件制作软件制作生成。</w:t>
      </w:r>
    </w:p>
    <w:p w14:paraId="6284C616">
      <w:pPr>
        <w:spacing w:before="108"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2</w:t>
      </w:r>
      <w:r>
        <w:rPr>
          <w:rFonts w:ascii="宋体" w:hAnsi="宋体" w:eastAsia="宋体" w:cs="宋体"/>
          <w:color w:val="auto"/>
          <w:spacing w:val="-3"/>
          <w:sz w:val="21"/>
          <w:szCs w:val="21"/>
          <w:highlight w:val="none"/>
        </w:rPr>
        <w:t>）投标人在编制投标文件时应当建立分级目录，</w:t>
      </w:r>
      <w:r>
        <w:rPr>
          <w:rFonts w:ascii="宋体" w:hAnsi="宋体" w:eastAsia="宋体" w:cs="宋体"/>
          <w:color w:val="auto"/>
          <w:spacing w:val="-17"/>
          <w:sz w:val="21"/>
          <w:szCs w:val="21"/>
          <w:highlight w:val="none"/>
        </w:rPr>
        <w:t xml:space="preserve"> </w:t>
      </w:r>
      <w:r>
        <w:rPr>
          <w:rFonts w:ascii="宋体" w:hAnsi="宋体" w:eastAsia="宋体" w:cs="宋体"/>
          <w:color w:val="auto"/>
          <w:spacing w:val="-3"/>
          <w:sz w:val="21"/>
          <w:szCs w:val="21"/>
          <w:highlight w:val="none"/>
        </w:rPr>
        <w:t>并按照提示录入或填写相关内容。</w:t>
      </w:r>
    </w:p>
    <w:p w14:paraId="633FA141">
      <w:pPr>
        <w:spacing w:before="108" w:line="293" w:lineRule="auto"/>
        <w:ind w:left="20" w:firstLine="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3</w:t>
      </w:r>
      <w:r>
        <w:rPr>
          <w:rFonts w:ascii="宋体" w:hAnsi="宋体" w:eastAsia="宋体" w:cs="宋体"/>
          <w:color w:val="auto"/>
          <w:spacing w:val="3"/>
          <w:sz w:val="21"/>
          <w:szCs w:val="21"/>
          <w:highlight w:val="none"/>
        </w:rPr>
        <w:t>）投标人应当从从企业主体信息库（</w:t>
      </w:r>
      <w:r>
        <w:rPr>
          <w:rFonts w:ascii="Times New Roman" w:hAnsi="Times New Roman" w:eastAsia="Times New Roman" w:cs="Times New Roman"/>
          <w:color w:val="auto"/>
          <w:spacing w:val="3"/>
          <w:sz w:val="21"/>
          <w:szCs w:val="21"/>
          <w:highlight w:val="none"/>
        </w:rPr>
        <w:t>2024</w:t>
      </w:r>
      <w:r>
        <w:rPr>
          <w:rFonts w:ascii="Times New Roman" w:hAnsi="Times New Roman" w:eastAsia="Times New Roman" w:cs="Times New Roman"/>
          <w:color w:val="auto"/>
          <w:spacing w:val="38"/>
          <w:sz w:val="21"/>
          <w:szCs w:val="21"/>
          <w:highlight w:val="none"/>
        </w:rPr>
        <w:t xml:space="preserve"> </w:t>
      </w:r>
      <w:r>
        <w:rPr>
          <w:rFonts w:ascii="宋体" w:hAnsi="宋体" w:eastAsia="宋体" w:cs="宋体"/>
          <w:color w:val="auto"/>
          <w:spacing w:val="3"/>
          <w:sz w:val="21"/>
          <w:szCs w:val="21"/>
          <w:highlight w:val="none"/>
        </w:rPr>
        <w:t>年新版本辽宁省工程建设项</w:t>
      </w:r>
      <w:r>
        <w:rPr>
          <w:rFonts w:ascii="宋体" w:hAnsi="宋体" w:eastAsia="宋体" w:cs="宋体"/>
          <w:color w:val="auto"/>
          <w:spacing w:val="2"/>
          <w:sz w:val="21"/>
          <w:szCs w:val="21"/>
          <w:highlight w:val="none"/>
        </w:rPr>
        <w:t>目主体云库）</w:t>
      </w:r>
      <w:r>
        <w:rPr>
          <w:rFonts w:ascii="宋体" w:hAnsi="宋体" w:eastAsia="宋体" w:cs="宋体"/>
          <w:color w:val="auto"/>
          <w:sz w:val="21"/>
          <w:szCs w:val="21"/>
          <w:highlight w:val="none"/>
        </w:rPr>
        <w:t xml:space="preserve"> 中选择用于评审的佐证或证明材料并获取相应的数据信息， 在制作投标文件时生成应用于</w:t>
      </w:r>
      <w:r>
        <w:rPr>
          <w:rFonts w:ascii="宋体" w:hAnsi="宋体" w:eastAsia="宋体" w:cs="宋体"/>
          <w:color w:val="auto"/>
          <w:spacing w:val="1"/>
          <w:sz w:val="21"/>
          <w:szCs w:val="21"/>
          <w:highlight w:val="none"/>
        </w:rPr>
        <w:t xml:space="preserve">   </w:t>
      </w:r>
      <w:r>
        <w:rPr>
          <w:rFonts w:ascii="宋体" w:hAnsi="宋体" w:eastAsia="宋体" w:cs="宋体"/>
          <w:color w:val="auto"/>
          <w:spacing w:val="3"/>
          <w:sz w:val="21"/>
          <w:szCs w:val="21"/>
          <w:highlight w:val="none"/>
        </w:rPr>
        <w:t>项目评审的数字证照或影印件。如发现获取信息内容有错误应当在企业主体信</w:t>
      </w:r>
      <w:r>
        <w:rPr>
          <w:rFonts w:ascii="宋体" w:hAnsi="宋体" w:eastAsia="宋体" w:cs="宋体"/>
          <w:color w:val="auto"/>
          <w:spacing w:val="2"/>
          <w:sz w:val="21"/>
          <w:szCs w:val="21"/>
          <w:highlight w:val="none"/>
        </w:rPr>
        <w:t>息库修改和</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完善，并重新获取并生成数字证照或影印件。</w:t>
      </w:r>
    </w:p>
    <w:p w14:paraId="61FBBD9B">
      <w:pPr>
        <w:spacing w:before="108" w:line="269" w:lineRule="auto"/>
        <w:ind w:left="20" w:right="202" w:firstLine="4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投标人投标文件中数字证照数据信息内容是专家评审凭证和依据，投标人应当自行校</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核和确认数字证照数据信息内容，确保其准确有效和响应招标文件要求。</w:t>
      </w:r>
    </w:p>
    <w:p w14:paraId="708730F7">
      <w:pPr>
        <w:spacing w:before="111" w:line="292" w:lineRule="auto"/>
        <w:ind w:left="17" w:right="207" w:firstLine="42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投标人应用于投标的数字证照可通过主体信息库调取、下载和追溯其数</w:t>
      </w:r>
      <w:r>
        <w:rPr>
          <w:rFonts w:ascii="宋体" w:hAnsi="宋体" w:eastAsia="宋体" w:cs="宋体"/>
          <w:color w:val="auto"/>
          <w:spacing w:val="2"/>
          <w:sz w:val="21"/>
          <w:szCs w:val="21"/>
          <w:highlight w:val="none"/>
        </w:rPr>
        <w:t>据原始材料，</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用于核查、归档、调查或异议投诉处理等事宜。如发现投标人投标文件中应用</w:t>
      </w:r>
      <w:r>
        <w:rPr>
          <w:rFonts w:ascii="宋体" w:hAnsi="宋体" w:eastAsia="宋体" w:cs="宋体"/>
          <w:color w:val="auto"/>
          <w:spacing w:val="2"/>
          <w:sz w:val="21"/>
          <w:szCs w:val="21"/>
          <w:highlight w:val="none"/>
        </w:rPr>
        <w:t>于评审的数</w:t>
      </w:r>
      <w:r>
        <w:rPr>
          <w:rFonts w:ascii="宋体" w:hAnsi="宋体" w:eastAsia="宋体" w:cs="宋体"/>
          <w:color w:val="auto"/>
          <w:sz w:val="21"/>
          <w:szCs w:val="21"/>
          <w:highlight w:val="none"/>
        </w:rPr>
        <w:t xml:space="preserve"> 据证照信息数据内容存在不实或弄虚作假的， 即按照弄虚作假骗取中标行为予以认定并依</w:t>
      </w:r>
      <w:r>
        <w:rPr>
          <w:rFonts w:ascii="宋体" w:hAnsi="宋体" w:eastAsia="宋体" w:cs="宋体"/>
          <w:color w:val="auto"/>
          <w:spacing w:val="7"/>
          <w:sz w:val="21"/>
          <w:szCs w:val="21"/>
          <w:highlight w:val="none"/>
        </w:rPr>
        <w:t xml:space="preserve"> </w:t>
      </w:r>
      <w:r>
        <w:rPr>
          <w:rFonts w:ascii="宋体" w:hAnsi="宋体" w:eastAsia="宋体" w:cs="宋体"/>
          <w:color w:val="auto"/>
          <w:spacing w:val="-1"/>
          <w:sz w:val="21"/>
          <w:szCs w:val="21"/>
          <w:highlight w:val="none"/>
        </w:rPr>
        <w:t>法依规处理。</w:t>
      </w:r>
    </w:p>
    <w:p w14:paraId="186B368C">
      <w:pPr>
        <w:spacing w:line="292" w:lineRule="auto"/>
        <w:rPr>
          <w:rFonts w:ascii="宋体" w:hAnsi="宋体" w:eastAsia="宋体" w:cs="宋体"/>
          <w:color w:val="auto"/>
          <w:sz w:val="21"/>
          <w:szCs w:val="21"/>
          <w:highlight w:val="none"/>
        </w:rPr>
        <w:sectPr>
          <w:footerReference r:id="rId24" w:type="default"/>
          <w:pgSz w:w="11905" w:h="16839"/>
          <w:pgMar w:top="1431" w:right="1589" w:bottom="1036" w:left="1785" w:header="0" w:footer="847" w:gutter="0"/>
          <w:pgNumType w:fmt="decimal"/>
          <w:cols w:space="720" w:num="1"/>
        </w:sectPr>
      </w:pPr>
    </w:p>
    <w:p w14:paraId="5419338B">
      <w:pPr>
        <w:spacing w:before="115" w:line="220" w:lineRule="auto"/>
        <w:ind w:left="441"/>
        <w:rPr>
          <w:rFonts w:ascii="宋体" w:hAnsi="宋体" w:eastAsia="宋体" w:cs="宋体"/>
          <w:color w:val="auto"/>
          <w:sz w:val="21"/>
          <w:szCs w:val="21"/>
          <w:highlight w:val="none"/>
        </w:rPr>
      </w:pPr>
      <w:bookmarkStart w:id="74" w:name="bookmark93"/>
      <w:bookmarkEnd w:id="74"/>
      <w:r>
        <w:rPr>
          <w:rFonts w:ascii="宋体" w:hAnsi="宋体" w:eastAsia="宋体" w:cs="宋体"/>
          <w:color w:val="auto"/>
          <w:spacing w:val="-1"/>
          <w:sz w:val="21"/>
          <w:szCs w:val="21"/>
          <w:highlight w:val="none"/>
        </w:rPr>
        <w:t>应用数字证照评审的节点和材料内容见投标人须知前附</w:t>
      </w:r>
      <w:r>
        <w:rPr>
          <w:rFonts w:ascii="宋体" w:hAnsi="宋体" w:eastAsia="宋体" w:cs="宋体"/>
          <w:color w:val="auto"/>
          <w:spacing w:val="-2"/>
          <w:sz w:val="21"/>
          <w:szCs w:val="21"/>
          <w:highlight w:val="none"/>
        </w:rPr>
        <w:t>表。</w:t>
      </w:r>
    </w:p>
    <w:p w14:paraId="1DFE204C">
      <w:pPr>
        <w:spacing w:before="107" w:line="301" w:lineRule="auto"/>
        <w:ind w:left="18" w:firstLine="429"/>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w:t>
      </w:r>
      <w:r>
        <w:rPr>
          <w:rFonts w:ascii="Times New Roman" w:hAnsi="Times New Roman" w:eastAsia="Times New Roman" w:cs="Times New Roman"/>
          <w:color w:val="auto"/>
          <w:spacing w:val="12"/>
          <w:sz w:val="21"/>
          <w:szCs w:val="21"/>
          <w:highlight w:val="none"/>
        </w:rPr>
        <w:t>4</w:t>
      </w:r>
      <w:r>
        <w:rPr>
          <w:rFonts w:ascii="宋体" w:hAnsi="宋体" w:eastAsia="宋体" w:cs="宋体"/>
          <w:color w:val="auto"/>
          <w:spacing w:val="12"/>
          <w:sz w:val="21"/>
          <w:szCs w:val="21"/>
          <w:highlight w:val="none"/>
        </w:rPr>
        <w:t>）第八章投标文件格式文件要求“盖单位</w:t>
      </w:r>
      <w:r>
        <w:rPr>
          <w:rFonts w:ascii="宋体" w:hAnsi="宋体" w:eastAsia="宋体" w:cs="宋体"/>
          <w:color w:val="auto"/>
          <w:spacing w:val="11"/>
          <w:sz w:val="21"/>
          <w:szCs w:val="21"/>
          <w:highlight w:val="none"/>
        </w:rPr>
        <w:t>章”的地方，投标人应使用数字证书</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z w:val="21"/>
          <w:szCs w:val="21"/>
          <w:highlight w:val="none"/>
        </w:rPr>
        <w:t>CA</w:t>
      </w:r>
      <w:r>
        <w:rPr>
          <w:rFonts w:ascii="宋体" w:hAnsi="宋体" w:eastAsia="宋体" w:cs="宋体"/>
          <w:color w:val="auto"/>
          <w:spacing w:val="1"/>
          <w:sz w:val="21"/>
          <w:szCs w:val="21"/>
          <w:highlight w:val="none"/>
        </w:rPr>
        <w:t>）加盖投标人的单位电子印章； 要求“签章”的地方，投标人应使用数字证书（</w:t>
      </w:r>
      <w:r>
        <w:rPr>
          <w:rFonts w:ascii="Times New Roman" w:hAnsi="Times New Roman" w:eastAsia="Times New Roman" w:cs="Times New Roman"/>
          <w:color w:val="auto"/>
          <w:sz w:val="21"/>
          <w:szCs w:val="21"/>
          <w:highlight w:val="none"/>
        </w:rPr>
        <w:t>CA</w:t>
      </w:r>
      <w:r>
        <w:rPr>
          <w:rFonts w:ascii="宋体" w:hAnsi="宋体" w:eastAsia="宋体" w:cs="宋体"/>
          <w:color w:val="auto"/>
          <w:spacing w:val="1"/>
          <w:sz w:val="21"/>
          <w:szCs w:val="21"/>
          <w:highlight w:val="none"/>
        </w:rPr>
        <w:t>）</w:t>
      </w:r>
      <w:r>
        <w:rPr>
          <w:rFonts w:ascii="宋体" w:hAnsi="宋体" w:eastAsia="宋体" w:cs="宋体"/>
          <w:color w:val="auto"/>
          <w:spacing w:val="7"/>
          <w:sz w:val="21"/>
          <w:szCs w:val="21"/>
          <w:highlight w:val="none"/>
        </w:rPr>
        <w:t xml:space="preserve"> </w:t>
      </w:r>
      <w:r>
        <w:rPr>
          <w:rFonts w:ascii="宋体" w:hAnsi="宋体" w:eastAsia="宋体" w:cs="宋体"/>
          <w:color w:val="auto"/>
          <w:spacing w:val="3"/>
          <w:sz w:val="21"/>
          <w:szCs w:val="21"/>
          <w:highlight w:val="none"/>
        </w:rPr>
        <w:t>加盖法定代表人（授权委托人）的个人电子印章或电子签名。联合体投标的，投标文</w:t>
      </w:r>
      <w:r>
        <w:rPr>
          <w:rFonts w:ascii="宋体" w:hAnsi="宋体" w:eastAsia="宋体" w:cs="宋体"/>
          <w:color w:val="auto"/>
          <w:spacing w:val="2"/>
          <w:sz w:val="21"/>
          <w:szCs w:val="21"/>
          <w:highlight w:val="none"/>
        </w:rPr>
        <w:t>件由</w:t>
      </w:r>
      <w:r>
        <w:rPr>
          <w:rFonts w:ascii="宋体" w:hAnsi="宋体" w:eastAsia="宋体" w:cs="宋体"/>
          <w:color w:val="auto"/>
          <w:sz w:val="21"/>
          <w:szCs w:val="21"/>
          <w:highlight w:val="none"/>
        </w:rPr>
        <w:t xml:space="preserve">   联合体牵头人按上述规定在要求“盖单位章”的地方加盖联合体牵头人单位电子印章； 在</w:t>
      </w:r>
      <w:r>
        <w:rPr>
          <w:rFonts w:ascii="宋体" w:hAnsi="宋体" w:eastAsia="宋体" w:cs="宋体"/>
          <w:color w:val="auto"/>
          <w:spacing w:val="3"/>
          <w:sz w:val="21"/>
          <w:szCs w:val="21"/>
          <w:highlight w:val="none"/>
        </w:rPr>
        <w:t xml:space="preserve">   </w:t>
      </w:r>
      <w:r>
        <w:rPr>
          <w:rFonts w:ascii="宋体" w:hAnsi="宋体" w:eastAsia="宋体" w:cs="宋体"/>
          <w:color w:val="auto"/>
          <w:sz w:val="21"/>
          <w:szCs w:val="21"/>
          <w:highlight w:val="none"/>
        </w:rPr>
        <w:t>要求“签章”的地方加盖联合体牵头人法定代表人（授权委托人） 的个人电子印章或电子</w:t>
      </w:r>
      <w:r>
        <w:rPr>
          <w:rFonts w:ascii="宋体" w:hAnsi="宋体" w:eastAsia="宋体" w:cs="宋体"/>
          <w:color w:val="auto"/>
          <w:spacing w:val="3"/>
          <w:sz w:val="21"/>
          <w:szCs w:val="21"/>
          <w:highlight w:val="none"/>
        </w:rPr>
        <w:t xml:space="preserve">   </w:t>
      </w:r>
      <w:r>
        <w:rPr>
          <w:rFonts w:ascii="宋体" w:hAnsi="宋体" w:eastAsia="宋体" w:cs="宋体"/>
          <w:color w:val="auto"/>
          <w:spacing w:val="-8"/>
          <w:sz w:val="21"/>
          <w:szCs w:val="21"/>
          <w:highlight w:val="none"/>
        </w:rPr>
        <w:t>签名。 招标文件有特别说明的除外。</w:t>
      </w:r>
    </w:p>
    <w:p w14:paraId="732CD583">
      <w:pPr>
        <w:spacing w:before="108" w:line="269" w:lineRule="auto"/>
        <w:ind w:left="19" w:right="192" w:firstLine="428"/>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5</w:t>
      </w:r>
      <w:r>
        <w:rPr>
          <w:rFonts w:ascii="宋体" w:hAnsi="宋体" w:eastAsia="宋体" w:cs="宋体"/>
          <w:color w:val="auto"/>
          <w:sz w:val="21"/>
          <w:szCs w:val="21"/>
          <w:highlight w:val="none"/>
        </w:rPr>
        <w:t>）投标文件中的已标价工程量清单数据文件应符合辽宁省建设工程造价数据规范的</w:t>
      </w:r>
      <w:r>
        <w:rPr>
          <w:rFonts w:ascii="宋体" w:hAnsi="宋体" w:eastAsia="宋体" w:cs="宋体"/>
          <w:color w:val="auto"/>
          <w:spacing w:val="7"/>
          <w:sz w:val="21"/>
          <w:szCs w:val="21"/>
          <w:highlight w:val="none"/>
        </w:rPr>
        <w:t xml:space="preserve"> </w:t>
      </w:r>
      <w:r>
        <w:rPr>
          <w:rFonts w:ascii="宋体" w:hAnsi="宋体" w:eastAsia="宋体" w:cs="宋体"/>
          <w:color w:val="auto"/>
          <w:spacing w:val="-4"/>
          <w:sz w:val="21"/>
          <w:szCs w:val="21"/>
          <w:highlight w:val="none"/>
        </w:rPr>
        <w:t>要求，多个专业分别编制时， 应汇总合并为一个文</w:t>
      </w:r>
      <w:r>
        <w:rPr>
          <w:rFonts w:ascii="宋体" w:hAnsi="宋体" w:eastAsia="宋体" w:cs="宋体"/>
          <w:color w:val="auto"/>
          <w:spacing w:val="-5"/>
          <w:sz w:val="21"/>
          <w:szCs w:val="21"/>
          <w:highlight w:val="none"/>
        </w:rPr>
        <w:t>件导入。</w:t>
      </w:r>
    </w:p>
    <w:p w14:paraId="7CC3EF3D">
      <w:pPr>
        <w:spacing w:before="106" w:line="293" w:lineRule="auto"/>
        <w:ind w:left="19" w:right="192" w:firstLine="42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6</w:t>
      </w:r>
      <w:r>
        <w:rPr>
          <w:rFonts w:ascii="宋体" w:hAnsi="宋体" w:eastAsia="宋体" w:cs="宋体"/>
          <w:color w:val="auto"/>
          <w:spacing w:val="-4"/>
          <w:sz w:val="21"/>
          <w:szCs w:val="21"/>
          <w:highlight w:val="none"/>
        </w:rPr>
        <w:t>）投标文件制作完成后，将生成一份加密的电子投标文件。</w:t>
      </w:r>
      <w:r>
        <w:rPr>
          <w:rFonts w:ascii="宋体" w:hAnsi="宋体" w:eastAsia="宋体" w:cs="宋体"/>
          <w:color w:val="auto"/>
          <w:spacing w:val="54"/>
          <w:sz w:val="21"/>
          <w:szCs w:val="21"/>
          <w:highlight w:val="none"/>
        </w:rPr>
        <w:t xml:space="preserve"> </w:t>
      </w:r>
      <w:r>
        <w:rPr>
          <w:rFonts w:ascii="宋体" w:hAnsi="宋体" w:eastAsia="宋体" w:cs="宋体"/>
          <w:color w:val="auto"/>
          <w:spacing w:val="-4"/>
          <w:sz w:val="21"/>
          <w:szCs w:val="21"/>
          <w:highlight w:val="none"/>
        </w:rPr>
        <w:t>投标人应当自行验证电</w:t>
      </w:r>
      <w:r>
        <w:rPr>
          <w:rFonts w:ascii="宋体" w:hAnsi="宋体" w:eastAsia="宋体" w:cs="宋体"/>
          <w:color w:val="auto"/>
          <w:sz w:val="21"/>
          <w:szCs w:val="21"/>
          <w:highlight w:val="none"/>
        </w:rPr>
        <w:t xml:space="preserve"> 子投标文件格式、内容和数据的准确性，原则上电子投</w:t>
      </w:r>
      <w:r>
        <w:rPr>
          <w:rFonts w:ascii="宋体" w:hAnsi="宋体" w:eastAsia="宋体" w:cs="宋体"/>
          <w:color w:val="auto"/>
          <w:spacing w:val="-1"/>
          <w:sz w:val="21"/>
          <w:szCs w:val="21"/>
          <w:highlight w:val="none"/>
        </w:rPr>
        <w:t>标文件大小不得超过</w:t>
      </w:r>
      <w:r>
        <w:rPr>
          <w:rFonts w:ascii="宋体" w:hAnsi="宋体" w:eastAsia="宋体" w:cs="宋体"/>
          <w:color w:val="auto"/>
          <w:spacing w:val="-53"/>
          <w:sz w:val="21"/>
          <w:szCs w:val="21"/>
          <w:highlight w:val="none"/>
        </w:rPr>
        <w:t xml:space="preserve"> </w:t>
      </w:r>
      <w:r>
        <w:rPr>
          <w:rFonts w:ascii="Times New Roman" w:hAnsi="Times New Roman" w:eastAsia="Times New Roman" w:cs="Times New Roman"/>
          <w:color w:val="auto"/>
          <w:spacing w:val="-1"/>
          <w:sz w:val="21"/>
          <w:szCs w:val="21"/>
          <w:highlight w:val="none"/>
        </w:rPr>
        <w:t>500M</w:t>
      </w:r>
      <w:r>
        <w:rPr>
          <w:rFonts w:ascii="宋体" w:hAnsi="宋体" w:eastAsia="宋体" w:cs="宋体"/>
          <w:color w:val="auto"/>
          <w:spacing w:val="-1"/>
          <w:sz w:val="21"/>
          <w:szCs w:val="21"/>
          <w:highlight w:val="none"/>
        </w:rPr>
        <w:t>。电子投</w:t>
      </w:r>
      <w:r>
        <w:rPr>
          <w:rFonts w:ascii="宋体" w:hAnsi="宋体" w:eastAsia="宋体" w:cs="宋体"/>
          <w:color w:val="auto"/>
          <w:sz w:val="21"/>
          <w:szCs w:val="21"/>
          <w:highlight w:val="none"/>
        </w:rPr>
        <w:t xml:space="preserve"> 标文件由于格式、内容或数据存在错误造成无法解密或解析，视为撤回投标文件， 责任由</w:t>
      </w:r>
      <w:r>
        <w:rPr>
          <w:rFonts w:ascii="宋体" w:hAnsi="宋体" w:eastAsia="宋体" w:cs="宋体"/>
          <w:color w:val="auto"/>
          <w:spacing w:val="6"/>
          <w:sz w:val="21"/>
          <w:szCs w:val="21"/>
          <w:highlight w:val="none"/>
        </w:rPr>
        <w:t xml:space="preserve"> </w:t>
      </w:r>
      <w:r>
        <w:rPr>
          <w:rFonts w:ascii="宋体" w:hAnsi="宋体" w:eastAsia="宋体" w:cs="宋体"/>
          <w:color w:val="auto"/>
          <w:spacing w:val="-4"/>
          <w:sz w:val="21"/>
          <w:szCs w:val="21"/>
          <w:highlight w:val="none"/>
        </w:rPr>
        <w:t>投标人自行承担。</w:t>
      </w:r>
    </w:p>
    <w:p w14:paraId="5DF3381D">
      <w:pPr>
        <w:spacing w:before="109"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7</w:t>
      </w:r>
      <w:r>
        <w:rPr>
          <w:rFonts w:ascii="宋体" w:hAnsi="宋体" w:eastAsia="宋体" w:cs="宋体"/>
          <w:color w:val="auto"/>
          <w:spacing w:val="-1"/>
          <w:sz w:val="21"/>
          <w:szCs w:val="21"/>
          <w:highlight w:val="none"/>
        </w:rPr>
        <w:t>）投标文件制作的具体方法详见“数字化投标文件制作软件”中的操作说明。</w:t>
      </w:r>
    </w:p>
    <w:p w14:paraId="55153714">
      <w:pPr>
        <w:spacing w:before="109" w:line="268" w:lineRule="auto"/>
        <w:ind w:left="20" w:right="197" w:firstLine="420"/>
        <w:rPr>
          <w:rFonts w:ascii="宋体" w:hAnsi="宋体"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3.7.4</w:t>
      </w:r>
      <w:r>
        <w:rPr>
          <w:rFonts w:ascii="Times New Roman" w:hAnsi="Times New Roman" w:eastAsia="Times New Roman" w:cs="Times New Roman"/>
          <w:color w:val="auto"/>
          <w:spacing w:val="55"/>
          <w:w w:val="101"/>
          <w:sz w:val="21"/>
          <w:szCs w:val="21"/>
          <w:highlight w:val="none"/>
        </w:rPr>
        <w:t xml:space="preserve"> </w:t>
      </w:r>
      <w:r>
        <w:rPr>
          <w:rFonts w:ascii="宋体" w:hAnsi="宋体" w:eastAsia="宋体" w:cs="宋体"/>
          <w:color w:val="auto"/>
          <w:spacing w:val="-5"/>
          <w:sz w:val="21"/>
          <w:szCs w:val="21"/>
          <w:highlight w:val="none"/>
        </w:rPr>
        <w:t>投标人须知前附表规定“施工组织设计”（技术标）采用“模块化暗标”，“施工</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组织设计”应按本章第</w:t>
      </w:r>
      <w:r>
        <w:rPr>
          <w:rFonts w:ascii="宋体" w:hAnsi="宋体" w:eastAsia="宋体" w:cs="宋体"/>
          <w:color w:val="auto"/>
          <w:spacing w:val="-36"/>
          <w:sz w:val="21"/>
          <w:szCs w:val="21"/>
          <w:highlight w:val="none"/>
        </w:rPr>
        <w:t xml:space="preserve"> </w:t>
      </w:r>
      <w:r>
        <w:rPr>
          <w:rFonts w:ascii="Times New Roman" w:hAnsi="Times New Roman" w:eastAsia="Times New Roman" w:cs="Times New Roman"/>
          <w:color w:val="auto"/>
          <w:spacing w:val="-1"/>
          <w:sz w:val="21"/>
          <w:szCs w:val="21"/>
          <w:highlight w:val="none"/>
        </w:rPr>
        <w:t xml:space="preserve">3.7.3 </w:t>
      </w:r>
      <w:r>
        <w:rPr>
          <w:rFonts w:ascii="宋体" w:hAnsi="宋体" w:eastAsia="宋体" w:cs="宋体"/>
          <w:color w:val="auto"/>
          <w:spacing w:val="-1"/>
          <w:sz w:val="21"/>
          <w:szCs w:val="21"/>
          <w:highlight w:val="none"/>
        </w:rPr>
        <w:t>项制作投标文件并应满足下列要求：</w:t>
      </w:r>
    </w:p>
    <w:p w14:paraId="5EEEADC3">
      <w:pPr>
        <w:spacing w:before="112" w:line="292" w:lineRule="auto"/>
        <w:ind w:left="14" w:right="194" w:firstLine="43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）模块采用</w:t>
      </w:r>
      <w:r>
        <w:rPr>
          <w:rFonts w:ascii="宋体" w:hAnsi="宋体" w:eastAsia="宋体" w:cs="宋体"/>
          <w:color w:val="auto"/>
          <w:spacing w:val="-60"/>
          <w:sz w:val="21"/>
          <w:szCs w:val="21"/>
          <w:highlight w:val="none"/>
        </w:rPr>
        <w:t xml:space="preserve"> </w:t>
      </w:r>
      <w:r>
        <w:rPr>
          <w:rFonts w:ascii="Times New Roman" w:hAnsi="Times New Roman" w:eastAsia="Times New Roman" w:cs="Times New Roman"/>
          <w:color w:val="auto"/>
          <w:spacing w:val="-3"/>
          <w:sz w:val="21"/>
          <w:szCs w:val="21"/>
          <w:highlight w:val="none"/>
        </w:rPr>
        <w:t>A4</w:t>
      </w:r>
      <w:r>
        <w:rPr>
          <w:rFonts w:ascii="Times New Roman" w:hAnsi="Times New Roman" w:eastAsia="Times New Roman" w:cs="Times New Roman"/>
          <w:color w:val="auto"/>
          <w:spacing w:val="-10"/>
          <w:sz w:val="21"/>
          <w:szCs w:val="21"/>
          <w:highlight w:val="none"/>
        </w:rPr>
        <w:t xml:space="preserve"> </w:t>
      </w:r>
      <w:r>
        <w:rPr>
          <w:rFonts w:ascii="宋体" w:hAnsi="宋体" w:eastAsia="宋体" w:cs="宋体"/>
          <w:color w:val="auto"/>
          <w:spacing w:val="-3"/>
          <w:sz w:val="21"/>
          <w:szCs w:val="21"/>
          <w:highlight w:val="none"/>
        </w:rPr>
        <w:t>规格纸张，纸张方向为纵向，段落采用单</w:t>
      </w:r>
      <w:r>
        <w:rPr>
          <w:rFonts w:ascii="宋体" w:hAnsi="宋体" w:eastAsia="宋体" w:cs="宋体"/>
          <w:color w:val="auto"/>
          <w:spacing w:val="-4"/>
          <w:sz w:val="21"/>
          <w:szCs w:val="21"/>
          <w:highlight w:val="none"/>
        </w:rPr>
        <w:t>倍行距，“文档网格”设置</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为“无网格”，对齐方式两端对齐，大纲级别正文文本，左侧、右侧缩进</w:t>
      </w:r>
      <w:r>
        <w:rPr>
          <w:rFonts w:ascii="宋体" w:hAnsi="宋体" w:eastAsia="宋体" w:cs="宋体"/>
          <w:color w:val="auto"/>
          <w:spacing w:val="-19"/>
          <w:sz w:val="21"/>
          <w:szCs w:val="21"/>
          <w:highlight w:val="none"/>
        </w:rPr>
        <w:t xml:space="preserve"> </w:t>
      </w:r>
      <w:r>
        <w:rPr>
          <w:rFonts w:ascii="Times New Roman" w:hAnsi="Times New Roman" w:eastAsia="Times New Roman" w:cs="Times New Roman"/>
          <w:color w:val="auto"/>
          <w:spacing w:val="-3"/>
          <w:sz w:val="21"/>
          <w:szCs w:val="21"/>
          <w:highlight w:val="none"/>
        </w:rPr>
        <w:t xml:space="preserve">0 </w:t>
      </w:r>
      <w:r>
        <w:rPr>
          <w:rFonts w:ascii="宋体" w:hAnsi="宋体" w:eastAsia="宋体" w:cs="宋体"/>
          <w:color w:val="auto"/>
          <w:spacing w:val="-3"/>
          <w:sz w:val="21"/>
          <w:szCs w:val="21"/>
          <w:highlight w:val="none"/>
        </w:rPr>
        <w:t>个字符，首行缩</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 xml:space="preserve">进 </w:t>
      </w:r>
      <w:r>
        <w:rPr>
          <w:rFonts w:ascii="Times New Roman" w:hAnsi="Times New Roman" w:eastAsia="Times New Roman" w:cs="Times New Roman"/>
          <w:color w:val="auto"/>
          <w:spacing w:val="-2"/>
          <w:sz w:val="21"/>
          <w:szCs w:val="21"/>
          <w:highlight w:val="none"/>
        </w:rPr>
        <w:t>2</w:t>
      </w:r>
      <w:r>
        <w:rPr>
          <w:rFonts w:ascii="Times New Roman" w:hAnsi="Times New Roman" w:eastAsia="Times New Roman" w:cs="Times New Roman"/>
          <w:color w:val="auto"/>
          <w:spacing w:val="45"/>
          <w:w w:val="101"/>
          <w:sz w:val="21"/>
          <w:szCs w:val="21"/>
          <w:highlight w:val="none"/>
        </w:rPr>
        <w:t xml:space="preserve"> </w:t>
      </w:r>
      <w:r>
        <w:rPr>
          <w:rFonts w:ascii="宋体" w:hAnsi="宋体" w:eastAsia="宋体" w:cs="宋体"/>
          <w:color w:val="auto"/>
          <w:spacing w:val="-2"/>
          <w:sz w:val="21"/>
          <w:szCs w:val="21"/>
          <w:highlight w:val="none"/>
        </w:rPr>
        <w:t xml:space="preserve">个字符，段前、段后 </w:t>
      </w:r>
      <w:r>
        <w:rPr>
          <w:rFonts w:ascii="Times New Roman" w:hAnsi="Times New Roman" w:eastAsia="Times New Roman" w:cs="Times New Roman"/>
          <w:color w:val="auto"/>
          <w:spacing w:val="-2"/>
          <w:sz w:val="21"/>
          <w:szCs w:val="21"/>
          <w:highlight w:val="none"/>
        </w:rPr>
        <w:t>0</w:t>
      </w:r>
      <w:r>
        <w:rPr>
          <w:rFonts w:ascii="Times New Roman" w:hAnsi="Times New Roman" w:eastAsia="Times New Roman" w:cs="Times New Roman"/>
          <w:color w:val="auto"/>
          <w:spacing w:val="27"/>
          <w:sz w:val="21"/>
          <w:szCs w:val="21"/>
          <w:highlight w:val="none"/>
        </w:rPr>
        <w:t xml:space="preserve"> </w:t>
      </w:r>
      <w:r>
        <w:rPr>
          <w:rFonts w:ascii="宋体" w:hAnsi="宋体" w:eastAsia="宋体" w:cs="宋体"/>
          <w:color w:val="auto"/>
          <w:spacing w:val="-2"/>
          <w:sz w:val="21"/>
          <w:szCs w:val="21"/>
          <w:highlight w:val="none"/>
        </w:rPr>
        <w:t>行。编辑软件可采用</w:t>
      </w:r>
      <w:r>
        <w:rPr>
          <w:rFonts w:ascii="宋体" w:hAnsi="宋体" w:eastAsia="宋体" w:cs="宋体"/>
          <w:color w:val="auto"/>
          <w:spacing w:val="-20"/>
          <w:sz w:val="21"/>
          <w:szCs w:val="21"/>
          <w:highlight w:val="none"/>
        </w:rPr>
        <w:t xml:space="preserve"> </w:t>
      </w:r>
      <w:r>
        <w:rPr>
          <w:rFonts w:ascii="Times New Roman" w:hAnsi="Times New Roman" w:eastAsia="Times New Roman" w:cs="Times New Roman"/>
          <w:color w:val="auto"/>
          <w:spacing w:val="-2"/>
          <w:sz w:val="21"/>
          <w:szCs w:val="21"/>
          <w:highlight w:val="none"/>
        </w:rPr>
        <w:t>Microsoft</w:t>
      </w:r>
      <w:r>
        <w:rPr>
          <w:rFonts w:ascii="Times New Roman" w:hAnsi="Times New Roman" w:eastAsia="Times New Roman" w:cs="Times New Roman"/>
          <w:color w:val="auto"/>
          <w:spacing w:val="21"/>
          <w:w w:val="101"/>
          <w:sz w:val="21"/>
          <w:szCs w:val="21"/>
          <w:highlight w:val="none"/>
        </w:rPr>
        <w:t xml:space="preserve"> </w:t>
      </w:r>
      <w:r>
        <w:rPr>
          <w:rFonts w:ascii="Times New Roman" w:hAnsi="Times New Roman" w:eastAsia="Times New Roman" w:cs="Times New Roman"/>
          <w:color w:val="auto"/>
          <w:spacing w:val="-2"/>
          <w:sz w:val="21"/>
          <w:szCs w:val="21"/>
          <w:highlight w:val="none"/>
        </w:rPr>
        <w:t>Word</w:t>
      </w:r>
      <w:r>
        <w:rPr>
          <w:rFonts w:ascii="Times New Roman" w:hAnsi="Times New Roman" w:eastAsia="Times New Roman" w:cs="Times New Roman"/>
          <w:color w:val="auto"/>
          <w:spacing w:val="28"/>
          <w:sz w:val="21"/>
          <w:szCs w:val="21"/>
          <w:highlight w:val="none"/>
        </w:rPr>
        <w:t xml:space="preserve"> </w:t>
      </w:r>
      <w:r>
        <w:rPr>
          <w:rFonts w:ascii="Times New Roman" w:hAnsi="Times New Roman" w:eastAsia="Times New Roman" w:cs="Times New Roman"/>
          <w:color w:val="auto"/>
          <w:spacing w:val="-2"/>
          <w:sz w:val="21"/>
          <w:szCs w:val="21"/>
          <w:highlight w:val="none"/>
        </w:rPr>
        <w:t>2010</w:t>
      </w:r>
      <w:r>
        <w:rPr>
          <w:rFonts w:ascii="Times New Roman" w:hAnsi="Times New Roman" w:eastAsia="Times New Roman" w:cs="Times New Roman"/>
          <w:color w:val="auto"/>
          <w:spacing w:val="29"/>
          <w:sz w:val="21"/>
          <w:szCs w:val="21"/>
          <w:highlight w:val="none"/>
        </w:rPr>
        <w:t xml:space="preserve"> </w:t>
      </w:r>
      <w:r>
        <w:rPr>
          <w:rFonts w:ascii="宋体" w:hAnsi="宋体" w:eastAsia="宋体" w:cs="宋体"/>
          <w:color w:val="auto"/>
          <w:spacing w:val="-2"/>
          <w:sz w:val="21"/>
          <w:szCs w:val="21"/>
          <w:highlight w:val="none"/>
        </w:rPr>
        <w:t>及以上版本或</w:t>
      </w:r>
      <w:r>
        <w:rPr>
          <w:rFonts w:ascii="宋体" w:hAnsi="宋体" w:eastAsia="宋体" w:cs="宋体"/>
          <w:color w:val="auto"/>
          <w:spacing w:val="-21"/>
          <w:sz w:val="21"/>
          <w:szCs w:val="21"/>
          <w:highlight w:val="none"/>
        </w:rPr>
        <w:t xml:space="preserve"> </w:t>
      </w:r>
      <w:r>
        <w:rPr>
          <w:rFonts w:ascii="Times New Roman" w:hAnsi="Times New Roman" w:eastAsia="Times New Roman" w:cs="Times New Roman"/>
          <w:color w:val="auto"/>
          <w:spacing w:val="-2"/>
          <w:sz w:val="21"/>
          <w:szCs w:val="21"/>
          <w:highlight w:val="none"/>
        </w:rPr>
        <w:t>WPS</w:t>
      </w:r>
      <w:r>
        <w:rPr>
          <w:rFonts w:ascii="Times New Roman" w:hAnsi="Times New Roman" w:eastAsia="Times New Roman" w:cs="Times New Roman"/>
          <w:color w:val="auto"/>
          <w:sz w:val="21"/>
          <w:szCs w:val="21"/>
          <w:highlight w:val="none"/>
        </w:rPr>
        <w:t xml:space="preserve"> </w:t>
      </w:r>
      <w:r>
        <w:rPr>
          <w:rFonts w:ascii="Times New Roman" w:hAnsi="Times New Roman" w:eastAsia="Times New Roman" w:cs="Times New Roman"/>
          <w:color w:val="auto"/>
          <w:spacing w:val="-2"/>
          <w:sz w:val="21"/>
          <w:szCs w:val="21"/>
          <w:highlight w:val="none"/>
        </w:rPr>
        <w:t xml:space="preserve">2013 </w:t>
      </w:r>
      <w:r>
        <w:rPr>
          <w:rFonts w:ascii="宋体" w:hAnsi="宋体" w:eastAsia="宋体" w:cs="宋体"/>
          <w:color w:val="auto"/>
          <w:spacing w:val="-2"/>
          <w:sz w:val="21"/>
          <w:szCs w:val="21"/>
          <w:highlight w:val="none"/>
        </w:rPr>
        <w:t>版本及以上版本。</w:t>
      </w:r>
    </w:p>
    <w:p w14:paraId="524D1B2B">
      <w:pPr>
        <w:spacing w:before="110" w:line="269" w:lineRule="auto"/>
        <w:ind w:left="38" w:right="209" w:firstLine="409"/>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2</w:t>
      </w:r>
      <w:r>
        <w:rPr>
          <w:rFonts w:ascii="宋体" w:hAnsi="宋体" w:eastAsia="宋体" w:cs="宋体"/>
          <w:color w:val="auto"/>
          <w:spacing w:val="-6"/>
          <w:sz w:val="21"/>
          <w:szCs w:val="21"/>
          <w:highlight w:val="none"/>
        </w:rPr>
        <w:t>）标题（包括章、节、条、款、项）、正文要求： 采用</w:t>
      </w:r>
      <w:r>
        <w:rPr>
          <w:rFonts w:ascii="宋体" w:hAnsi="宋体" w:eastAsia="宋体" w:cs="宋体"/>
          <w:color w:val="auto"/>
          <w:spacing w:val="-61"/>
          <w:sz w:val="21"/>
          <w:szCs w:val="21"/>
          <w:highlight w:val="none"/>
        </w:rPr>
        <w:t xml:space="preserve"> </w:t>
      </w:r>
      <w:r>
        <w:rPr>
          <w:rFonts w:ascii="Times New Roman" w:hAnsi="Times New Roman" w:eastAsia="Times New Roman" w:cs="Times New Roman"/>
          <w:color w:val="auto"/>
          <w:spacing w:val="-6"/>
          <w:sz w:val="21"/>
          <w:szCs w:val="21"/>
          <w:highlight w:val="none"/>
        </w:rPr>
        <w:t>A4</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pacing w:val="-6"/>
          <w:sz w:val="21"/>
          <w:szCs w:val="21"/>
          <w:highlight w:val="none"/>
        </w:rPr>
        <w:t>规格纸张，文字</w:t>
      </w:r>
      <w:r>
        <w:rPr>
          <w:rFonts w:ascii="宋体" w:hAnsi="宋体" w:eastAsia="宋体" w:cs="宋体"/>
          <w:color w:val="auto"/>
          <w:spacing w:val="-7"/>
          <w:sz w:val="21"/>
          <w:szCs w:val="21"/>
          <w:highlight w:val="none"/>
        </w:rPr>
        <w:t>为黑色小</w:t>
      </w:r>
      <w:r>
        <w:rPr>
          <w:rFonts w:ascii="宋体" w:hAnsi="宋体" w:eastAsia="宋体" w:cs="宋体"/>
          <w:color w:val="auto"/>
          <w:sz w:val="21"/>
          <w:szCs w:val="21"/>
          <w:highlight w:val="none"/>
        </w:rPr>
        <w:t xml:space="preserve"> </w:t>
      </w:r>
      <w:r>
        <w:rPr>
          <w:rFonts w:ascii="宋体" w:hAnsi="宋体" w:eastAsia="宋体" w:cs="宋体"/>
          <w:color w:val="auto"/>
          <w:spacing w:val="-15"/>
          <w:sz w:val="21"/>
          <w:szCs w:val="21"/>
          <w:highlight w:val="none"/>
        </w:rPr>
        <w:t>四号宋体，</w:t>
      </w:r>
      <w:r>
        <w:rPr>
          <w:rFonts w:ascii="宋体" w:hAnsi="宋体" w:eastAsia="宋体" w:cs="宋体"/>
          <w:color w:val="auto"/>
          <w:spacing w:val="20"/>
          <w:sz w:val="21"/>
          <w:szCs w:val="21"/>
          <w:highlight w:val="none"/>
        </w:rPr>
        <w:t xml:space="preserve"> </w:t>
      </w:r>
      <w:r>
        <w:rPr>
          <w:rFonts w:ascii="宋体" w:hAnsi="宋体" w:eastAsia="宋体" w:cs="宋体"/>
          <w:color w:val="auto"/>
          <w:spacing w:val="-15"/>
          <w:sz w:val="21"/>
          <w:szCs w:val="21"/>
          <w:highlight w:val="none"/>
        </w:rPr>
        <w:t>标题可加粗。</w:t>
      </w:r>
    </w:p>
    <w:p w14:paraId="19DD8E01">
      <w:pPr>
        <w:spacing w:before="106" w:line="293" w:lineRule="auto"/>
        <w:ind w:left="18" w:right="191" w:firstLine="42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3</w:t>
      </w:r>
      <w:r>
        <w:rPr>
          <w:rFonts w:ascii="宋体" w:hAnsi="宋体" w:eastAsia="宋体" w:cs="宋体"/>
          <w:color w:val="auto"/>
          <w:spacing w:val="-3"/>
          <w:sz w:val="21"/>
          <w:szCs w:val="21"/>
          <w:highlight w:val="none"/>
        </w:rPr>
        <w:t>）图表要求： 图表应尽可能采用</w:t>
      </w:r>
      <w:r>
        <w:rPr>
          <w:rFonts w:ascii="宋体" w:hAnsi="宋体" w:eastAsia="宋体" w:cs="宋体"/>
          <w:color w:val="auto"/>
          <w:spacing w:val="-59"/>
          <w:sz w:val="21"/>
          <w:szCs w:val="21"/>
          <w:highlight w:val="none"/>
        </w:rPr>
        <w:t xml:space="preserve"> </w:t>
      </w:r>
      <w:r>
        <w:rPr>
          <w:rFonts w:ascii="Times New Roman" w:hAnsi="Times New Roman" w:eastAsia="Times New Roman" w:cs="Times New Roman"/>
          <w:color w:val="auto"/>
          <w:spacing w:val="-3"/>
          <w:sz w:val="21"/>
          <w:szCs w:val="21"/>
          <w:highlight w:val="none"/>
        </w:rPr>
        <w:t xml:space="preserve">A4 </w:t>
      </w:r>
      <w:r>
        <w:rPr>
          <w:rFonts w:ascii="宋体" w:hAnsi="宋体" w:eastAsia="宋体" w:cs="宋体"/>
          <w:color w:val="auto"/>
          <w:spacing w:val="-3"/>
          <w:sz w:val="21"/>
          <w:szCs w:val="21"/>
          <w:highlight w:val="none"/>
        </w:rPr>
        <w:t>规格白色</w:t>
      </w:r>
      <w:r>
        <w:rPr>
          <w:rFonts w:ascii="宋体" w:hAnsi="宋体" w:eastAsia="宋体" w:cs="宋体"/>
          <w:color w:val="auto"/>
          <w:spacing w:val="-4"/>
          <w:sz w:val="21"/>
          <w:szCs w:val="21"/>
          <w:highlight w:val="none"/>
        </w:rPr>
        <w:t>底色，对于比较大的图表可使用</w:t>
      </w:r>
      <w:r>
        <w:rPr>
          <w:rFonts w:ascii="宋体" w:hAnsi="宋体" w:eastAsia="宋体" w:cs="宋体"/>
          <w:color w:val="auto"/>
          <w:spacing w:val="-54"/>
          <w:sz w:val="21"/>
          <w:szCs w:val="21"/>
          <w:highlight w:val="none"/>
        </w:rPr>
        <w:t xml:space="preserve"> </w:t>
      </w:r>
      <w:r>
        <w:rPr>
          <w:rFonts w:ascii="宋体" w:hAnsi="宋体" w:eastAsia="宋体" w:cs="宋体"/>
          <w:color w:val="auto"/>
          <w:spacing w:val="-4"/>
          <w:sz w:val="21"/>
          <w:szCs w:val="21"/>
          <w:highlight w:val="none"/>
        </w:rPr>
        <w:t>A3</w:t>
      </w:r>
      <w:r>
        <w:rPr>
          <w:rFonts w:ascii="宋体" w:hAnsi="宋体" w:eastAsia="宋体" w:cs="宋体"/>
          <w:color w:val="auto"/>
          <w:spacing w:val="-48"/>
          <w:sz w:val="21"/>
          <w:szCs w:val="21"/>
          <w:highlight w:val="none"/>
        </w:rPr>
        <w:t xml:space="preserve"> </w:t>
      </w:r>
      <w:r>
        <w:rPr>
          <w:rFonts w:ascii="宋体" w:hAnsi="宋体" w:eastAsia="宋体" w:cs="宋体"/>
          <w:color w:val="auto"/>
          <w:spacing w:val="-4"/>
          <w:sz w:val="21"/>
          <w:szCs w:val="21"/>
          <w:highlight w:val="none"/>
        </w:rPr>
        <w:t>规</w:t>
      </w:r>
      <w:r>
        <w:rPr>
          <w:rFonts w:ascii="宋体" w:hAnsi="宋体" w:eastAsia="宋体" w:cs="宋体"/>
          <w:color w:val="auto"/>
          <w:sz w:val="21"/>
          <w:szCs w:val="21"/>
          <w:highlight w:val="none"/>
        </w:rPr>
        <w:t xml:space="preserve"> 格白色底色。 图表中的文字采用黑色，字体、字号不限（不包括纯表格，纯表格中文字要</w:t>
      </w:r>
      <w:r>
        <w:rPr>
          <w:rFonts w:ascii="宋体" w:hAnsi="宋体" w:eastAsia="宋体" w:cs="宋体"/>
          <w:color w:val="auto"/>
          <w:spacing w:val="11"/>
          <w:sz w:val="21"/>
          <w:szCs w:val="21"/>
          <w:highlight w:val="none"/>
        </w:rPr>
        <w:t xml:space="preserve"> </w:t>
      </w:r>
      <w:r>
        <w:rPr>
          <w:rFonts w:ascii="宋体" w:hAnsi="宋体" w:eastAsia="宋体" w:cs="宋体"/>
          <w:color w:val="auto"/>
          <w:spacing w:val="-7"/>
          <w:sz w:val="21"/>
          <w:szCs w:val="21"/>
          <w:highlight w:val="none"/>
        </w:rPr>
        <w:t>求同正文要求）。</w:t>
      </w:r>
      <w:r>
        <w:rPr>
          <w:rFonts w:ascii="宋体" w:hAnsi="宋体" w:eastAsia="宋体" w:cs="宋体"/>
          <w:color w:val="auto"/>
          <w:spacing w:val="-59"/>
          <w:sz w:val="21"/>
          <w:szCs w:val="21"/>
          <w:highlight w:val="none"/>
        </w:rPr>
        <w:t xml:space="preserve"> </w:t>
      </w:r>
      <w:r>
        <w:rPr>
          <w:rFonts w:ascii="宋体" w:hAnsi="宋体" w:eastAsia="宋体" w:cs="宋体"/>
          <w:color w:val="auto"/>
          <w:spacing w:val="-7"/>
          <w:sz w:val="21"/>
          <w:szCs w:val="21"/>
          <w:highlight w:val="none"/>
        </w:rPr>
        <w:t>图表（包括框图、流程图、结构图等，不包括纯表</w:t>
      </w:r>
      <w:r>
        <w:rPr>
          <w:rFonts w:ascii="宋体" w:hAnsi="宋体" w:eastAsia="宋体" w:cs="宋体"/>
          <w:color w:val="auto"/>
          <w:spacing w:val="-8"/>
          <w:sz w:val="21"/>
          <w:szCs w:val="21"/>
          <w:highlight w:val="none"/>
        </w:rPr>
        <w:t>格）</w:t>
      </w:r>
      <w:r>
        <w:rPr>
          <w:rFonts w:ascii="宋体" w:hAnsi="宋体" w:eastAsia="宋体" w:cs="宋体"/>
          <w:color w:val="auto"/>
          <w:spacing w:val="43"/>
          <w:sz w:val="21"/>
          <w:szCs w:val="21"/>
          <w:highlight w:val="none"/>
        </w:rPr>
        <w:t xml:space="preserve"> </w:t>
      </w:r>
      <w:r>
        <w:rPr>
          <w:rFonts w:ascii="宋体" w:hAnsi="宋体" w:eastAsia="宋体" w:cs="宋体"/>
          <w:color w:val="auto"/>
          <w:spacing w:val="-8"/>
          <w:sz w:val="21"/>
          <w:szCs w:val="21"/>
          <w:highlight w:val="none"/>
        </w:rPr>
        <w:t>内容需转换为“图</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片”格式插入到文件对应位置上。</w:t>
      </w:r>
    </w:p>
    <w:p w14:paraId="1A2C0D23">
      <w:pPr>
        <w:spacing w:before="109" w:line="268" w:lineRule="auto"/>
        <w:ind w:left="17" w:right="212" w:firstLine="430"/>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4</w:t>
      </w:r>
      <w:r>
        <w:rPr>
          <w:rFonts w:ascii="宋体" w:hAnsi="宋体" w:eastAsia="宋体" w:cs="宋体"/>
          <w:color w:val="auto"/>
          <w:sz w:val="21"/>
          <w:szCs w:val="21"/>
          <w:highlight w:val="none"/>
        </w:rPr>
        <w:t>）页眉和页脚（包括页码）设置要求：不允许出现页</w:t>
      </w:r>
      <w:r>
        <w:rPr>
          <w:rFonts w:ascii="宋体" w:hAnsi="宋体" w:eastAsia="宋体" w:cs="宋体"/>
          <w:color w:val="auto"/>
          <w:spacing w:val="-1"/>
          <w:sz w:val="21"/>
          <w:szCs w:val="21"/>
          <w:highlight w:val="none"/>
        </w:rPr>
        <w:t>眉，且页脚只准出现页码，页</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码格式采用阿拉伯数字格式， 字体为五号</w:t>
      </w:r>
      <w:r>
        <w:rPr>
          <w:rFonts w:ascii="宋体" w:hAnsi="宋体" w:eastAsia="宋体" w:cs="宋体"/>
          <w:color w:val="auto"/>
          <w:spacing w:val="-6"/>
          <w:sz w:val="21"/>
          <w:szCs w:val="21"/>
          <w:highlight w:val="none"/>
        </w:rPr>
        <w:t>宋体， 设在页脚居中位置，页码应当连续。</w:t>
      </w:r>
    </w:p>
    <w:p w14:paraId="1F762A30">
      <w:pPr>
        <w:spacing w:before="111" w:line="221"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5</w:t>
      </w:r>
      <w:r>
        <w:rPr>
          <w:rFonts w:ascii="宋体" w:hAnsi="宋体" w:eastAsia="宋体" w:cs="宋体"/>
          <w:color w:val="auto"/>
          <w:spacing w:val="-4"/>
          <w:sz w:val="21"/>
          <w:szCs w:val="21"/>
          <w:highlight w:val="none"/>
        </w:rPr>
        <w:t>）不允许有目录， 不允许涂改或删除痕迹，不允许字体涂色。</w:t>
      </w:r>
    </w:p>
    <w:p w14:paraId="5C3DBF7D">
      <w:pPr>
        <w:spacing w:before="108" w:line="269" w:lineRule="auto"/>
        <w:ind w:left="35" w:right="192" w:firstLine="41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6</w:t>
      </w:r>
      <w:r>
        <w:rPr>
          <w:rFonts w:ascii="宋体" w:hAnsi="宋体" w:eastAsia="宋体" w:cs="宋体"/>
          <w:color w:val="auto"/>
          <w:spacing w:val="-4"/>
          <w:sz w:val="21"/>
          <w:szCs w:val="21"/>
          <w:highlight w:val="none"/>
        </w:rPr>
        <w:t>）任何情况下，</w:t>
      </w:r>
      <w:r>
        <w:rPr>
          <w:rFonts w:ascii="宋体" w:hAnsi="宋体" w:eastAsia="宋体" w:cs="宋体"/>
          <w:color w:val="auto"/>
          <w:spacing w:val="54"/>
          <w:sz w:val="21"/>
          <w:szCs w:val="21"/>
          <w:highlight w:val="none"/>
        </w:rPr>
        <w:t xml:space="preserve"> </w:t>
      </w:r>
      <w:r>
        <w:rPr>
          <w:rFonts w:ascii="宋体" w:hAnsi="宋体" w:eastAsia="宋体" w:cs="宋体"/>
          <w:color w:val="auto"/>
          <w:spacing w:val="-4"/>
          <w:sz w:val="21"/>
          <w:szCs w:val="21"/>
          <w:highlight w:val="none"/>
        </w:rPr>
        <w:t>施工组织设计中不得出现投标人的名称和其它可以识别投标人身份</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的字符、徽标、人员名称等以及雷同性标记内容。</w:t>
      </w:r>
    </w:p>
    <w:p w14:paraId="20778DC9">
      <w:pPr>
        <w:spacing w:before="152" w:line="225" w:lineRule="auto"/>
        <w:ind w:left="14"/>
        <w:rPr>
          <w:rFonts w:ascii="黑体" w:hAnsi="黑体" w:eastAsia="黑体" w:cs="黑体"/>
          <w:color w:val="auto"/>
          <w:sz w:val="27"/>
          <w:szCs w:val="27"/>
          <w:highlight w:val="none"/>
        </w:rPr>
      </w:pPr>
      <w:r>
        <w:rPr>
          <w:rFonts w:ascii="Times New Roman" w:hAnsi="Times New Roman" w:eastAsia="Times New Roman" w:cs="Times New Roman"/>
          <w:color w:val="auto"/>
          <w:spacing w:val="2"/>
          <w:sz w:val="27"/>
          <w:szCs w:val="27"/>
          <w:highlight w:val="none"/>
        </w:rPr>
        <w:t>4.</w:t>
      </w:r>
      <w:r>
        <w:rPr>
          <w:rFonts w:ascii="Times New Roman" w:hAnsi="Times New Roman" w:eastAsia="Times New Roman" w:cs="Times New Roman"/>
          <w:color w:val="auto"/>
          <w:spacing w:val="17"/>
          <w:sz w:val="27"/>
          <w:szCs w:val="27"/>
          <w:highlight w:val="none"/>
        </w:rPr>
        <w:t xml:space="preserve"> </w:t>
      </w:r>
      <w:r>
        <w:rPr>
          <w:rFonts w:ascii="黑体" w:hAnsi="黑体" w:eastAsia="黑体" w:cs="黑体"/>
          <w:color w:val="auto"/>
          <w:spacing w:val="2"/>
          <w:sz w:val="27"/>
          <w:szCs w:val="27"/>
          <w:highlight w:val="none"/>
        </w:rPr>
        <w:t>投标</w:t>
      </w:r>
    </w:p>
    <w:p w14:paraId="145F6C1A">
      <w:pPr>
        <w:spacing w:before="64" w:line="218" w:lineRule="auto"/>
        <w:ind w:left="13"/>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 xml:space="preserve">4.1 </w:t>
      </w:r>
      <w:r>
        <w:rPr>
          <w:rFonts w:ascii="黑体" w:hAnsi="黑体" w:eastAsia="黑体" w:cs="黑体"/>
          <w:color w:val="auto"/>
          <w:sz w:val="24"/>
          <w:szCs w:val="24"/>
          <w:highlight w:val="none"/>
        </w:rPr>
        <w:t>投标文件的加密</w:t>
      </w:r>
    </w:p>
    <w:p w14:paraId="1C71B5A3">
      <w:pPr>
        <w:spacing w:before="100" w:line="269" w:lineRule="auto"/>
        <w:ind w:left="21" w:right="241" w:firstLine="42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投标人应当按照本章第</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pacing w:val="-4"/>
          <w:sz w:val="21"/>
          <w:szCs w:val="21"/>
          <w:highlight w:val="none"/>
        </w:rPr>
        <w:t>3.7.3</w:t>
      </w:r>
      <w:r>
        <w:rPr>
          <w:rFonts w:ascii="Times New Roman" w:hAnsi="Times New Roman" w:eastAsia="Times New Roman" w:cs="Times New Roman"/>
          <w:color w:val="auto"/>
          <w:spacing w:val="12"/>
          <w:sz w:val="21"/>
          <w:szCs w:val="21"/>
          <w:highlight w:val="none"/>
        </w:rPr>
        <w:t xml:space="preserve"> </w:t>
      </w:r>
      <w:r>
        <w:rPr>
          <w:rFonts w:ascii="宋体" w:hAnsi="宋体" w:eastAsia="宋体" w:cs="宋体"/>
          <w:color w:val="auto"/>
          <w:spacing w:val="-4"/>
          <w:sz w:val="21"/>
          <w:szCs w:val="21"/>
          <w:highlight w:val="none"/>
        </w:rPr>
        <w:t>项要求制作投标文件， 并在投标时</w:t>
      </w:r>
      <w:r>
        <w:rPr>
          <w:rFonts w:ascii="宋体" w:hAnsi="宋体" w:eastAsia="宋体" w:cs="宋体"/>
          <w:color w:val="auto"/>
          <w:spacing w:val="-5"/>
          <w:sz w:val="21"/>
          <w:szCs w:val="21"/>
          <w:highlight w:val="none"/>
        </w:rPr>
        <w:t>上传加密的投标文件，</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未加密的投标文件， 招标人（电子招标投标系统）将拒收并提示。</w:t>
      </w:r>
    </w:p>
    <w:p w14:paraId="5CA77485">
      <w:pPr>
        <w:spacing w:before="84" w:line="219" w:lineRule="auto"/>
        <w:ind w:left="13"/>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 xml:space="preserve">4.2 </w:t>
      </w:r>
      <w:r>
        <w:rPr>
          <w:rFonts w:ascii="黑体" w:hAnsi="黑体" w:eastAsia="黑体" w:cs="黑体"/>
          <w:color w:val="auto"/>
          <w:sz w:val="24"/>
          <w:szCs w:val="24"/>
          <w:highlight w:val="none"/>
        </w:rPr>
        <w:t>投标文件的递交</w:t>
      </w:r>
    </w:p>
    <w:p w14:paraId="77CFCED6">
      <w:pPr>
        <w:spacing w:before="101" w:line="220"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4.2.1 </w:t>
      </w:r>
      <w:r>
        <w:rPr>
          <w:rFonts w:ascii="宋体" w:hAnsi="宋体" w:eastAsia="宋体" w:cs="宋体"/>
          <w:color w:val="auto"/>
          <w:sz w:val="21"/>
          <w:szCs w:val="21"/>
          <w:highlight w:val="none"/>
        </w:rPr>
        <w:t>投标人递交投标文件的截止时间（投标截止时间</w:t>
      </w:r>
      <w:r>
        <w:rPr>
          <w:rFonts w:ascii="宋体" w:hAnsi="宋体" w:eastAsia="宋体" w:cs="宋体"/>
          <w:color w:val="auto"/>
          <w:spacing w:val="-54"/>
          <w:w w:val="96"/>
          <w:sz w:val="21"/>
          <w:szCs w:val="21"/>
          <w:highlight w:val="none"/>
        </w:rPr>
        <w:t>）：</w:t>
      </w:r>
      <w:r>
        <w:rPr>
          <w:rFonts w:ascii="宋体" w:hAnsi="宋体" w:eastAsia="宋体" w:cs="宋体"/>
          <w:color w:val="auto"/>
          <w:sz w:val="21"/>
          <w:szCs w:val="21"/>
          <w:highlight w:val="none"/>
        </w:rPr>
        <w:t>见投标人须知前附表。</w:t>
      </w:r>
    </w:p>
    <w:p w14:paraId="7043163E">
      <w:pPr>
        <w:spacing w:before="110" w:line="221"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4.2.2</w:t>
      </w:r>
      <w:r>
        <w:rPr>
          <w:rFonts w:ascii="Times New Roman" w:hAnsi="Times New Roman" w:eastAsia="Times New Roman" w:cs="Times New Roman"/>
          <w:color w:val="auto"/>
          <w:spacing w:val="35"/>
          <w:sz w:val="21"/>
          <w:szCs w:val="21"/>
          <w:highlight w:val="none"/>
        </w:rPr>
        <w:t xml:space="preserve"> </w:t>
      </w:r>
      <w:r>
        <w:rPr>
          <w:rFonts w:ascii="宋体" w:hAnsi="宋体" w:eastAsia="宋体" w:cs="宋体"/>
          <w:color w:val="auto"/>
          <w:spacing w:val="-6"/>
          <w:sz w:val="21"/>
          <w:szCs w:val="21"/>
          <w:highlight w:val="none"/>
        </w:rPr>
        <w:t>投标人应当在投标截止时间前，</w:t>
      </w:r>
      <w:r>
        <w:rPr>
          <w:rFonts w:ascii="宋体" w:hAnsi="宋体" w:eastAsia="宋体" w:cs="宋体"/>
          <w:color w:val="auto"/>
          <w:spacing w:val="57"/>
          <w:sz w:val="21"/>
          <w:szCs w:val="21"/>
          <w:highlight w:val="none"/>
        </w:rPr>
        <w:t xml:space="preserve"> </w:t>
      </w:r>
      <w:r>
        <w:rPr>
          <w:rFonts w:ascii="宋体" w:hAnsi="宋体" w:eastAsia="宋体" w:cs="宋体"/>
          <w:color w:val="auto"/>
          <w:spacing w:val="-6"/>
          <w:sz w:val="21"/>
          <w:szCs w:val="21"/>
          <w:highlight w:val="none"/>
        </w:rPr>
        <w:t>通过电</w:t>
      </w:r>
      <w:r>
        <w:rPr>
          <w:rFonts w:ascii="宋体" w:hAnsi="宋体" w:eastAsia="宋体" w:cs="宋体"/>
          <w:color w:val="auto"/>
          <w:spacing w:val="-7"/>
          <w:sz w:val="21"/>
          <w:szCs w:val="21"/>
          <w:highlight w:val="none"/>
        </w:rPr>
        <w:t>子交易系统（投标盲盒工具）</w:t>
      </w:r>
      <w:r>
        <w:rPr>
          <w:rFonts w:ascii="宋体" w:hAnsi="宋体" w:eastAsia="宋体" w:cs="宋体"/>
          <w:color w:val="auto"/>
          <w:spacing w:val="22"/>
          <w:sz w:val="21"/>
          <w:szCs w:val="21"/>
          <w:highlight w:val="none"/>
        </w:rPr>
        <w:t xml:space="preserve"> </w:t>
      </w:r>
      <w:r>
        <w:rPr>
          <w:rFonts w:ascii="宋体" w:hAnsi="宋体" w:eastAsia="宋体" w:cs="宋体"/>
          <w:color w:val="auto"/>
          <w:spacing w:val="-7"/>
          <w:sz w:val="21"/>
          <w:szCs w:val="21"/>
          <w:highlight w:val="none"/>
        </w:rPr>
        <w:t>选择所投标</w:t>
      </w:r>
    </w:p>
    <w:p w14:paraId="2B1187DE">
      <w:pPr>
        <w:spacing w:line="221" w:lineRule="auto"/>
        <w:rPr>
          <w:rFonts w:ascii="宋体" w:hAnsi="宋体" w:eastAsia="宋体" w:cs="宋体"/>
          <w:color w:val="auto"/>
          <w:sz w:val="21"/>
          <w:szCs w:val="21"/>
          <w:highlight w:val="none"/>
        </w:rPr>
        <w:sectPr>
          <w:footerReference r:id="rId25" w:type="default"/>
          <w:pgSz w:w="11905" w:h="16839"/>
          <w:pgMar w:top="1431" w:right="1594" w:bottom="1036" w:left="1785" w:header="0" w:footer="847" w:gutter="0"/>
          <w:pgNumType w:fmt="decimal"/>
          <w:cols w:space="720" w:num="1"/>
        </w:sectPr>
      </w:pPr>
    </w:p>
    <w:p w14:paraId="4AA8ACC8">
      <w:pPr>
        <w:spacing w:before="114" w:line="285" w:lineRule="auto"/>
        <w:ind w:left="17" w:firstLine="1"/>
        <w:jc w:val="both"/>
        <w:rPr>
          <w:rFonts w:ascii="宋体" w:hAnsi="宋体" w:eastAsia="宋体" w:cs="宋体"/>
          <w:color w:val="auto"/>
          <w:sz w:val="21"/>
          <w:szCs w:val="21"/>
          <w:highlight w:val="none"/>
        </w:rPr>
      </w:pPr>
      <w:bookmarkStart w:id="75" w:name="bookmark94"/>
      <w:bookmarkEnd w:id="75"/>
      <w:r>
        <w:rPr>
          <w:rFonts w:ascii="宋体" w:hAnsi="宋体" w:eastAsia="宋体" w:cs="宋体"/>
          <w:color w:val="auto"/>
          <w:spacing w:val="-3"/>
          <w:sz w:val="21"/>
          <w:szCs w:val="21"/>
          <w:highlight w:val="none"/>
        </w:rPr>
        <w:t>段将加密的投标文件上传至电子招标投标系统（辽宁省工程建设项目数字化开标评标系统）。</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投标人应充分考虑上传文件时的不可预见因素， 投标文件未在投标截止时间前完成上传的，</w:t>
      </w:r>
      <w:r>
        <w:rPr>
          <w:rFonts w:ascii="宋体" w:hAnsi="宋体" w:eastAsia="宋体" w:cs="宋体"/>
          <w:color w:val="auto"/>
          <w:spacing w:val="8"/>
          <w:sz w:val="21"/>
          <w:szCs w:val="21"/>
          <w:highlight w:val="none"/>
        </w:rPr>
        <w:t xml:space="preserve"> </w:t>
      </w:r>
      <w:r>
        <w:rPr>
          <w:rFonts w:ascii="宋体" w:hAnsi="宋体" w:eastAsia="宋体" w:cs="宋体"/>
          <w:color w:val="auto"/>
          <w:sz w:val="21"/>
          <w:szCs w:val="21"/>
          <w:highlight w:val="none"/>
        </w:rPr>
        <w:t>视为逾期送达，招标人（电子交易系统）将拒收其</w:t>
      </w:r>
      <w:r>
        <w:rPr>
          <w:rFonts w:ascii="宋体" w:hAnsi="宋体" w:eastAsia="宋体" w:cs="宋体"/>
          <w:color w:val="auto"/>
          <w:spacing w:val="-1"/>
          <w:sz w:val="21"/>
          <w:szCs w:val="21"/>
          <w:highlight w:val="none"/>
        </w:rPr>
        <w:t>投标文件。</w:t>
      </w:r>
    </w:p>
    <w:p w14:paraId="13259A9F">
      <w:pPr>
        <w:spacing w:before="108" w:line="269" w:lineRule="auto"/>
        <w:ind w:left="34" w:right="187" w:firstLine="40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投标人完成投标文件上传成功后，电子交易系统向投标人发出电子签</w:t>
      </w:r>
      <w:r>
        <w:rPr>
          <w:rFonts w:ascii="宋体" w:hAnsi="宋体" w:eastAsia="宋体" w:cs="宋体"/>
          <w:color w:val="auto"/>
          <w:spacing w:val="2"/>
          <w:sz w:val="21"/>
          <w:szCs w:val="21"/>
          <w:highlight w:val="none"/>
        </w:rPr>
        <w:t>收凭证，递交时</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间以电子签收凭证载明的时间为准。</w:t>
      </w:r>
    </w:p>
    <w:p w14:paraId="599EF233">
      <w:pPr>
        <w:spacing w:before="109" w:line="254" w:lineRule="auto"/>
        <w:ind w:left="13" w:right="1121" w:firstLine="422"/>
        <w:rPr>
          <w:rFonts w:ascii="黑体" w:hAnsi="黑体" w:eastAsia="黑体" w:cs="黑体"/>
          <w:color w:val="auto"/>
          <w:sz w:val="24"/>
          <w:szCs w:val="24"/>
          <w:highlight w:val="none"/>
        </w:rPr>
      </w:pPr>
      <w:r>
        <w:rPr>
          <w:rFonts w:ascii="Times New Roman" w:hAnsi="Times New Roman" w:eastAsia="Times New Roman" w:cs="Times New Roman"/>
          <w:color w:val="auto"/>
          <w:spacing w:val="-4"/>
          <w:sz w:val="21"/>
          <w:szCs w:val="21"/>
          <w:highlight w:val="none"/>
        </w:rPr>
        <w:t>4.2.3</w:t>
      </w:r>
      <w:r>
        <w:rPr>
          <w:rFonts w:ascii="Times New Roman" w:hAnsi="Times New Roman" w:eastAsia="Times New Roman" w:cs="Times New Roman"/>
          <w:color w:val="auto"/>
          <w:spacing w:val="21"/>
          <w:sz w:val="21"/>
          <w:szCs w:val="21"/>
          <w:highlight w:val="none"/>
        </w:rPr>
        <w:t xml:space="preserve"> </w:t>
      </w:r>
      <w:r>
        <w:rPr>
          <w:rFonts w:ascii="宋体" w:hAnsi="宋体" w:eastAsia="宋体" w:cs="宋体"/>
          <w:color w:val="auto"/>
          <w:spacing w:val="-4"/>
          <w:sz w:val="21"/>
          <w:szCs w:val="21"/>
          <w:highlight w:val="none"/>
        </w:rPr>
        <w:t>除投标人须知前附表另有规定外， 投标人</w:t>
      </w:r>
      <w:r>
        <w:rPr>
          <w:rFonts w:ascii="宋体" w:hAnsi="宋体" w:eastAsia="宋体" w:cs="宋体"/>
          <w:color w:val="auto"/>
          <w:spacing w:val="-5"/>
          <w:sz w:val="21"/>
          <w:szCs w:val="21"/>
          <w:highlight w:val="none"/>
        </w:rPr>
        <w:t>所递交的投标文件不予退还。</w:t>
      </w:r>
      <w:r>
        <w:rPr>
          <w:rFonts w:ascii="宋体" w:hAnsi="宋体" w:eastAsia="宋体" w:cs="宋体"/>
          <w:color w:val="auto"/>
          <w:sz w:val="21"/>
          <w:szCs w:val="21"/>
          <w:highlight w:val="none"/>
        </w:rPr>
        <w:t xml:space="preserve"> </w:t>
      </w:r>
      <w:r>
        <w:rPr>
          <w:rFonts w:ascii="Times New Roman" w:hAnsi="Times New Roman" w:eastAsia="Times New Roman" w:cs="Times New Roman"/>
          <w:color w:val="auto"/>
          <w:sz w:val="24"/>
          <w:szCs w:val="24"/>
          <w:highlight w:val="none"/>
        </w:rPr>
        <w:t xml:space="preserve">4.3 </w:t>
      </w:r>
      <w:r>
        <w:rPr>
          <w:rFonts w:ascii="黑体" w:hAnsi="黑体" w:eastAsia="黑体" w:cs="黑体"/>
          <w:color w:val="auto"/>
          <w:sz w:val="24"/>
          <w:szCs w:val="24"/>
          <w:highlight w:val="none"/>
        </w:rPr>
        <w:t>投标文件的修改与撤回</w:t>
      </w:r>
    </w:p>
    <w:p w14:paraId="34C0EDC6">
      <w:pPr>
        <w:spacing w:before="99" w:line="269" w:lineRule="auto"/>
        <w:ind w:left="17" w:right="177" w:firstLine="418"/>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4.3.1 </w:t>
      </w:r>
      <w:r>
        <w:rPr>
          <w:rFonts w:ascii="宋体" w:hAnsi="宋体" w:eastAsia="宋体" w:cs="宋体"/>
          <w:color w:val="auto"/>
          <w:spacing w:val="-1"/>
          <w:sz w:val="21"/>
          <w:szCs w:val="21"/>
          <w:highlight w:val="none"/>
        </w:rPr>
        <w:t>在本章第</w:t>
      </w:r>
      <w:r>
        <w:rPr>
          <w:rFonts w:ascii="宋体" w:hAnsi="宋体" w:eastAsia="宋体" w:cs="宋体"/>
          <w:color w:val="auto"/>
          <w:spacing w:val="-44"/>
          <w:sz w:val="21"/>
          <w:szCs w:val="21"/>
          <w:highlight w:val="none"/>
        </w:rPr>
        <w:t xml:space="preserve"> </w:t>
      </w:r>
      <w:r>
        <w:rPr>
          <w:rFonts w:ascii="Times New Roman" w:hAnsi="Times New Roman" w:eastAsia="Times New Roman" w:cs="Times New Roman"/>
          <w:color w:val="auto"/>
          <w:spacing w:val="-1"/>
          <w:sz w:val="21"/>
          <w:szCs w:val="21"/>
          <w:highlight w:val="none"/>
        </w:rPr>
        <w:t xml:space="preserve">4.2.1 </w:t>
      </w:r>
      <w:r>
        <w:rPr>
          <w:rFonts w:ascii="宋体" w:hAnsi="宋体" w:eastAsia="宋体" w:cs="宋体"/>
          <w:color w:val="auto"/>
          <w:spacing w:val="-1"/>
          <w:sz w:val="21"/>
          <w:szCs w:val="21"/>
          <w:highlight w:val="none"/>
        </w:rPr>
        <w:t>项规定的投标截止时间前，投标人可以修改或撤回已递交的投标文</w:t>
      </w:r>
      <w:r>
        <w:rPr>
          <w:rFonts w:ascii="宋体" w:hAnsi="宋体" w:eastAsia="宋体" w:cs="宋体"/>
          <w:color w:val="auto"/>
          <w:sz w:val="21"/>
          <w:szCs w:val="21"/>
          <w:highlight w:val="none"/>
        </w:rPr>
        <w:t xml:space="preserve"> </w:t>
      </w:r>
      <w:r>
        <w:rPr>
          <w:rFonts w:ascii="宋体" w:hAnsi="宋体" w:eastAsia="宋体" w:cs="宋体"/>
          <w:color w:val="auto"/>
          <w:spacing w:val="-10"/>
          <w:sz w:val="21"/>
          <w:szCs w:val="21"/>
          <w:highlight w:val="none"/>
        </w:rPr>
        <w:t>件。</w:t>
      </w:r>
    </w:p>
    <w:p w14:paraId="1D46C622">
      <w:pPr>
        <w:spacing w:before="108" w:line="221"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 xml:space="preserve">4.3.2 </w:t>
      </w:r>
      <w:r>
        <w:rPr>
          <w:rFonts w:ascii="宋体" w:hAnsi="宋体" w:eastAsia="宋体" w:cs="宋体"/>
          <w:color w:val="auto"/>
          <w:spacing w:val="-5"/>
          <w:sz w:val="21"/>
          <w:szCs w:val="21"/>
          <w:highlight w:val="none"/>
        </w:rPr>
        <w:t>投标人撤回投标文件的， 在电子交易系统（投标盲盒工具） 直接进行撤回操作。</w:t>
      </w:r>
    </w:p>
    <w:p w14:paraId="0A11CD18">
      <w:pPr>
        <w:spacing w:before="110" w:line="284" w:lineRule="auto"/>
        <w:ind w:left="19" w:right="175" w:firstLine="41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4.3.3 </w:t>
      </w:r>
      <w:r>
        <w:rPr>
          <w:rFonts w:ascii="宋体" w:hAnsi="宋体" w:eastAsia="宋体" w:cs="宋体"/>
          <w:color w:val="auto"/>
          <w:spacing w:val="-3"/>
          <w:sz w:val="21"/>
          <w:szCs w:val="21"/>
          <w:highlight w:val="none"/>
        </w:rPr>
        <w:t>投标人修改投标文件的， 应当先按本章第</w:t>
      </w:r>
      <w:r>
        <w:rPr>
          <w:rFonts w:ascii="宋体" w:hAnsi="宋体" w:eastAsia="宋体" w:cs="宋体"/>
          <w:color w:val="auto"/>
          <w:spacing w:val="-53"/>
          <w:sz w:val="21"/>
          <w:szCs w:val="21"/>
          <w:highlight w:val="none"/>
        </w:rPr>
        <w:t xml:space="preserve"> </w:t>
      </w:r>
      <w:r>
        <w:rPr>
          <w:rFonts w:ascii="Times New Roman" w:hAnsi="Times New Roman" w:eastAsia="Times New Roman" w:cs="Times New Roman"/>
          <w:color w:val="auto"/>
          <w:spacing w:val="-3"/>
          <w:sz w:val="21"/>
          <w:szCs w:val="21"/>
          <w:highlight w:val="none"/>
        </w:rPr>
        <w:t xml:space="preserve">4.3.2 </w:t>
      </w:r>
      <w:r>
        <w:rPr>
          <w:rFonts w:ascii="宋体" w:hAnsi="宋体" w:eastAsia="宋体" w:cs="宋体"/>
          <w:color w:val="auto"/>
          <w:spacing w:val="-3"/>
          <w:sz w:val="21"/>
          <w:szCs w:val="21"/>
          <w:highlight w:val="none"/>
        </w:rPr>
        <w:t>项的规定撤回投标文件，再使用投</w:t>
      </w:r>
      <w:r>
        <w:rPr>
          <w:rFonts w:ascii="宋体" w:hAnsi="宋体" w:eastAsia="宋体" w:cs="宋体"/>
          <w:color w:val="auto"/>
          <w:sz w:val="21"/>
          <w:szCs w:val="21"/>
          <w:highlight w:val="none"/>
        </w:rPr>
        <w:t xml:space="preserve"> 标文件制作软件制作成完整的投标文件，并按照本章第</w:t>
      </w:r>
      <w:r>
        <w:rPr>
          <w:rFonts w:ascii="宋体" w:hAnsi="宋体" w:eastAsia="宋体" w:cs="宋体"/>
          <w:color w:val="auto"/>
          <w:spacing w:val="-61"/>
          <w:sz w:val="21"/>
          <w:szCs w:val="21"/>
          <w:highlight w:val="none"/>
        </w:rPr>
        <w:t xml:space="preserve"> </w:t>
      </w:r>
      <w:r>
        <w:rPr>
          <w:rFonts w:ascii="Times New Roman" w:hAnsi="Times New Roman" w:eastAsia="Times New Roman" w:cs="Times New Roman"/>
          <w:color w:val="auto"/>
          <w:sz w:val="21"/>
          <w:szCs w:val="21"/>
          <w:highlight w:val="none"/>
        </w:rPr>
        <w:t>3</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z w:val="21"/>
          <w:szCs w:val="21"/>
          <w:highlight w:val="none"/>
        </w:rPr>
        <w:t>条、第</w:t>
      </w:r>
      <w:r>
        <w:rPr>
          <w:rFonts w:ascii="Times New Roman" w:hAnsi="Times New Roman" w:eastAsia="Times New Roman" w:cs="Times New Roman"/>
          <w:color w:val="auto"/>
          <w:sz w:val="21"/>
          <w:szCs w:val="21"/>
          <w:highlight w:val="none"/>
        </w:rPr>
        <w:t>4</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z w:val="21"/>
          <w:szCs w:val="21"/>
          <w:highlight w:val="none"/>
        </w:rPr>
        <w:t xml:space="preserve">条规定进行编制和递交， </w:t>
      </w:r>
      <w:r>
        <w:rPr>
          <w:rFonts w:ascii="宋体" w:hAnsi="宋体" w:eastAsia="宋体" w:cs="宋体"/>
          <w:color w:val="auto"/>
          <w:spacing w:val="-1"/>
          <w:sz w:val="21"/>
          <w:szCs w:val="21"/>
          <w:highlight w:val="none"/>
        </w:rPr>
        <w:t>递交时间以投标截止时间前最后完成上传的文件为准。</w:t>
      </w:r>
    </w:p>
    <w:p w14:paraId="3EABAF17">
      <w:pPr>
        <w:spacing w:before="154" w:line="227" w:lineRule="auto"/>
        <w:ind w:left="23"/>
        <w:rPr>
          <w:rFonts w:ascii="黑体" w:hAnsi="黑体" w:eastAsia="黑体" w:cs="黑体"/>
          <w:color w:val="auto"/>
          <w:sz w:val="27"/>
          <w:szCs w:val="27"/>
          <w:highlight w:val="none"/>
        </w:rPr>
      </w:pPr>
      <w:r>
        <w:rPr>
          <w:rFonts w:ascii="Times New Roman" w:hAnsi="Times New Roman" w:eastAsia="Times New Roman" w:cs="Times New Roman"/>
          <w:color w:val="auto"/>
          <w:spacing w:val="-2"/>
          <w:sz w:val="27"/>
          <w:szCs w:val="27"/>
          <w:highlight w:val="none"/>
        </w:rPr>
        <w:t>5.</w:t>
      </w:r>
      <w:r>
        <w:rPr>
          <w:rFonts w:ascii="Times New Roman" w:hAnsi="Times New Roman" w:eastAsia="Times New Roman" w:cs="Times New Roman"/>
          <w:color w:val="auto"/>
          <w:spacing w:val="24"/>
          <w:sz w:val="27"/>
          <w:szCs w:val="27"/>
          <w:highlight w:val="none"/>
        </w:rPr>
        <w:t xml:space="preserve"> </w:t>
      </w:r>
      <w:r>
        <w:rPr>
          <w:rFonts w:ascii="黑体" w:hAnsi="黑体" w:eastAsia="黑体" w:cs="黑体"/>
          <w:color w:val="auto"/>
          <w:spacing w:val="-2"/>
          <w:sz w:val="27"/>
          <w:szCs w:val="27"/>
          <w:highlight w:val="none"/>
        </w:rPr>
        <w:t>开标</w:t>
      </w:r>
    </w:p>
    <w:p w14:paraId="7A7AAFF1">
      <w:pPr>
        <w:spacing w:before="61" w:line="220" w:lineRule="auto"/>
        <w:ind w:left="21"/>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5.1</w:t>
      </w:r>
      <w:r>
        <w:rPr>
          <w:rFonts w:ascii="Times New Roman" w:hAnsi="Times New Roman" w:eastAsia="Times New Roman" w:cs="Times New Roman"/>
          <w:color w:val="auto"/>
          <w:spacing w:val="24"/>
          <w:w w:val="101"/>
          <w:sz w:val="24"/>
          <w:szCs w:val="24"/>
          <w:highlight w:val="none"/>
        </w:rPr>
        <w:t xml:space="preserve"> </w:t>
      </w:r>
      <w:r>
        <w:rPr>
          <w:rFonts w:ascii="黑体" w:hAnsi="黑体" w:eastAsia="黑体" w:cs="黑体"/>
          <w:color w:val="auto"/>
          <w:spacing w:val="-3"/>
          <w:sz w:val="24"/>
          <w:szCs w:val="24"/>
          <w:highlight w:val="none"/>
        </w:rPr>
        <w:t>开标时间和地点</w:t>
      </w:r>
    </w:p>
    <w:p w14:paraId="1C94E09F">
      <w:pPr>
        <w:spacing w:before="99" w:line="284" w:lineRule="auto"/>
        <w:ind w:left="19" w:right="179"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5.1.1</w:t>
      </w:r>
      <w:r>
        <w:rPr>
          <w:rFonts w:ascii="Times New Roman" w:hAnsi="Times New Roman" w:eastAsia="Times New Roman" w:cs="Times New Roman"/>
          <w:color w:val="auto"/>
          <w:spacing w:val="47"/>
          <w:sz w:val="21"/>
          <w:szCs w:val="21"/>
          <w:highlight w:val="none"/>
        </w:rPr>
        <w:t xml:space="preserve"> </w:t>
      </w:r>
      <w:r>
        <w:rPr>
          <w:rFonts w:ascii="宋体" w:hAnsi="宋体" w:eastAsia="宋体" w:cs="宋体"/>
          <w:color w:val="auto"/>
          <w:spacing w:val="-2"/>
          <w:sz w:val="21"/>
          <w:szCs w:val="21"/>
          <w:highlight w:val="none"/>
        </w:rPr>
        <w:t xml:space="preserve">招标人在本章第 </w:t>
      </w:r>
      <w:r>
        <w:rPr>
          <w:rFonts w:ascii="Times New Roman" w:hAnsi="Times New Roman" w:eastAsia="Times New Roman" w:cs="Times New Roman"/>
          <w:color w:val="auto"/>
          <w:spacing w:val="-2"/>
          <w:sz w:val="21"/>
          <w:szCs w:val="21"/>
          <w:highlight w:val="none"/>
        </w:rPr>
        <w:t xml:space="preserve">4.2.1  </w:t>
      </w:r>
      <w:r>
        <w:rPr>
          <w:rFonts w:ascii="宋体" w:hAnsi="宋体" w:eastAsia="宋体" w:cs="宋体"/>
          <w:color w:val="auto"/>
          <w:spacing w:val="-2"/>
          <w:sz w:val="21"/>
          <w:szCs w:val="21"/>
          <w:highlight w:val="none"/>
        </w:rPr>
        <w:t>项规定的投标截止时间（开标时间） 在电子招标投标系统</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（辽宁省工程建设项目数字化开标评标系统）</w:t>
      </w:r>
      <w:r>
        <w:rPr>
          <w:rFonts w:ascii="宋体" w:hAnsi="宋体" w:eastAsia="宋体" w:cs="宋体"/>
          <w:color w:val="auto"/>
          <w:spacing w:val="-15"/>
          <w:sz w:val="21"/>
          <w:szCs w:val="21"/>
          <w:highlight w:val="none"/>
        </w:rPr>
        <w:t xml:space="preserve"> </w:t>
      </w:r>
      <w:r>
        <w:rPr>
          <w:rFonts w:ascii="宋体" w:hAnsi="宋体" w:eastAsia="宋体" w:cs="宋体"/>
          <w:color w:val="auto"/>
          <w:spacing w:val="-2"/>
          <w:sz w:val="21"/>
          <w:szCs w:val="21"/>
          <w:highlight w:val="none"/>
        </w:rPr>
        <w:t>上公开进行开标， 所有投标人均应当参加开</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标。招标人按照投标人须知前附表规定的方式组织开标。</w:t>
      </w:r>
    </w:p>
    <w:p w14:paraId="51665500">
      <w:pPr>
        <w:spacing w:before="110" w:line="285" w:lineRule="auto"/>
        <w:ind w:left="19" w:right="180"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5.1.2 </w:t>
      </w:r>
      <w:r>
        <w:rPr>
          <w:rFonts w:ascii="宋体" w:hAnsi="宋体" w:eastAsia="宋体" w:cs="宋体"/>
          <w:color w:val="auto"/>
          <w:spacing w:val="-2"/>
          <w:sz w:val="21"/>
          <w:szCs w:val="21"/>
          <w:highlight w:val="none"/>
        </w:rPr>
        <w:t>招标人在投标人须知前附表规定的地点组织开标，并在投标截止</w:t>
      </w:r>
      <w:r>
        <w:rPr>
          <w:rFonts w:ascii="宋体" w:hAnsi="宋体" w:eastAsia="宋体" w:cs="宋体"/>
          <w:color w:val="auto"/>
          <w:spacing w:val="-3"/>
          <w:sz w:val="21"/>
          <w:szCs w:val="21"/>
          <w:highlight w:val="none"/>
        </w:rPr>
        <w:t>时间</w:t>
      </w:r>
      <w:r>
        <w:rPr>
          <w:rFonts w:ascii="宋体" w:hAnsi="宋体" w:eastAsia="宋体" w:cs="宋体"/>
          <w:color w:val="auto"/>
          <w:spacing w:val="-46"/>
          <w:sz w:val="21"/>
          <w:szCs w:val="21"/>
          <w:highlight w:val="none"/>
        </w:rPr>
        <w:t xml:space="preserve"> </w:t>
      </w:r>
      <w:r>
        <w:rPr>
          <w:rFonts w:ascii="Times New Roman" w:hAnsi="Times New Roman" w:eastAsia="Times New Roman" w:cs="Times New Roman"/>
          <w:color w:val="auto"/>
          <w:spacing w:val="-3"/>
          <w:sz w:val="21"/>
          <w:szCs w:val="21"/>
          <w:highlight w:val="none"/>
        </w:rPr>
        <w:t xml:space="preserve">30 </w:t>
      </w:r>
      <w:r>
        <w:rPr>
          <w:rFonts w:ascii="宋体" w:hAnsi="宋体" w:eastAsia="宋体" w:cs="宋体"/>
          <w:color w:val="auto"/>
          <w:spacing w:val="-3"/>
          <w:sz w:val="21"/>
          <w:szCs w:val="21"/>
          <w:highlight w:val="none"/>
        </w:rPr>
        <w:t>分钟前，</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登录并进入电子招标投标系统（辽宁省工程建设项目数字化开标评标系统）</w:t>
      </w:r>
      <w:r>
        <w:rPr>
          <w:rFonts w:ascii="宋体" w:hAnsi="宋体" w:eastAsia="宋体" w:cs="宋体"/>
          <w:color w:val="auto"/>
          <w:spacing w:val="-28"/>
          <w:sz w:val="21"/>
          <w:szCs w:val="21"/>
          <w:highlight w:val="none"/>
        </w:rPr>
        <w:t xml:space="preserve"> </w:t>
      </w:r>
      <w:r>
        <w:rPr>
          <w:rFonts w:ascii="宋体" w:hAnsi="宋体" w:eastAsia="宋体" w:cs="宋体"/>
          <w:color w:val="auto"/>
          <w:spacing w:val="1"/>
          <w:sz w:val="21"/>
          <w:szCs w:val="21"/>
          <w:highlight w:val="none"/>
        </w:rPr>
        <w:t>选择相应标段</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作开标的准备工作。</w:t>
      </w:r>
    </w:p>
    <w:p w14:paraId="219FA4A8">
      <w:pPr>
        <w:spacing w:before="106" w:line="293" w:lineRule="auto"/>
        <w:ind w:left="19" w:right="175"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5.1.3</w:t>
      </w:r>
      <w:r>
        <w:rPr>
          <w:rFonts w:ascii="Times New Roman" w:hAnsi="Times New Roman" w:eastAsia="Times New Roman" w:cs="Times New Roman"/>
          <w:color w:val="auto"/>
          <w:spacing w:val="41"/>
          <w:w w:val="101"/>
          <w:sz w:val="21"/>
          <w:szCs w:val="21"/>
          <w:highlight w:val="none"/>
        </w:rPr>
        <w:t xml:space="preserve"> </w:t>
      </w:r>
      <w:r>
        <w:rPr>
          <w:rFonts w:ascii="宋体" w:hAnsi="宋体" w:eastAsia="宋体" w:cs="宋体"/>
          <w:color w:val="auto"/>
          <w:spacing w:val="-1"/>
          <w:sz w:val="21"/>
          <w:szCs w:val="21"/>
          <w:highlight w:val="none"/>
        </w:rPr>
        <w:t>投标人应当在能够保证设施设备可靠、互联网畅通的任意地点，按照本章第</w:t>
      </w:r>
      <w:r>
        <w:rPr>
          <w:rFonts w:ascii="宋体" w:hAnsi="宋体" w:eastAsia="宋体" w:cs="宋体"/>
          <w:color w:val="auto"/>
          <w:spacing w:val="-39"/>
          <w:sz w:val="21"/>
          <w:szCs w:val="21"/>
          <w:highlight w:val="none"/>
        </w:rPr>
        <w:t xml:space="preserve"> </w:t>
      </w:r>
      <w:r>
        <w:rPr>
          <w:rFonts w:ascii="Times New Roman" w:hAnsi="Times New Roman" w:eastAsia="Times New Roman" w:cs="Times New Roman"/>
          <w:color w:val="auto"/>
          <w:spacing w:val="-1"/>
          <w:sz w:val="21"/>
          <w:szCs w:val="21"/>
          <w:highlight w:val="none"/>
        </w:rPr>
        <w:t>5.1.1</w:t>
      </w:r>
      <w:r>
        <w:rPr>
          <w:rFonts w:ascii="Times New Roman" w:hAnsi="Times New Roman" w:eastAsia="Times New Roman" w:cs="Times New Roman"/>
          <w:color w:val="auto"/>
          <w:sz w:val="21"/>
          <w:szCs w:val="21"/>
          <w:highlight w:val="none"/>
        </w:rPr>
        <w:t xml:space="preserve"> </w:t>
      </w:r>
      <w:r>
        <w:rPr>
          <w:rFonts w:ascii="宋体" w:hAnsi="宋体" w:eastAsia="宋体" w:cs="宋体"/>
          <w:color w:val="auto"/>
          <w:sz w:val="21"/>
          <w:szCs w:val="21"/>
          <w:highlight w:val="none"/>
        </w:rPr>
        <w:t>项规定的组织方式，通过互联网远程在线或现场集中参加开标， 使用加密其投标文件的数</w:t>
      </w:r>
      <w:r>
        <w:rPr>
          <w:rFonts w:ascii="宋体" w:hAnsi="宋体" w:eastAsia="宋体" w:cs="宋体"/>
          <w:color w:val="auto"/>
          <w:spacing w:val="10"/>
          <w:sz w:val="21"/>
          <w:szCs w:val="21"/>
          <w:highlight w:val="none"/>
        </w:rPr>
        <w:t xml:space="preserve"> </w:t>
      </w:r>
      <w:r>
        <w:rPr>
          <w:rFonts w:ascii="宋体" w:hAnsi="宋体" w:eastAsia="宋体" w:cs="宋体"/>
          <w:color w:val="auto"/>
          <w:spacing w:val="-2"/>
          <w:sz w:val="21"/>
          <w:szCs w:val="21"/>
          <w:highlight w:val="none"/>
        </w:rPr>
        <w:t>字证书（</w:t>
      </w:r>
      <w:r>
        <w:rPr>
          <w:rFonts w:ascii="Times New Roman" w:hAnsi="Times New Roman" w:eastAsia="Times New Roman" w:cs="Times New Roman"/>
          <w:color w:val="auto"/>
          <w:spacing w:val="-2"/>
          <w:sz w:val="21"/>
          <w:szCs w:val="21"/>
          <w:highlight w:val="none"/>
        </w:rPr>
        <w:t>CA</w:t>
      </w:r>
      <w:r>
        <w:rPr>
          <w:rFonts w:ascii="宋体" w:hAnsi="宋体" w:eastAsia="宋体" w:cs="宋体"/>
          <w:color w:val="auto"/>
          <w:spacing w:val="-2"/>
          <w:sz w:val="21"/>
          <w:szCs w:val="21"/>
          <w:highlight w:val="none"/>
        </w:rPr>
        <w:t>）登录电子招标投标系统（辽宁省工程建设项目数字化开标评标系统） 选择所</w:t>
      </w:r>
      <w:r>
        <w:rPr>
          <w:rFonts w:ascii="宋体" w:hAnsi="宋体" w:eastAsia="宋体" w:cs="宋体"/>
          <w:color w:val="auto"/>
          <w:spacing w:val="12"/>
          <w:sz w:val="21"/>
          <w:szCs w:val="21"/>
          <w:highlight w:val="none"/>
        </w:rPr>
        <w:t xml:space="preserve"> </w:t>
      </w:r>
      <w:r>
        <w:rPr>
          <w:rFonts w:ascii="宋体" w:hAnsi="宋体" w:eastAsia="宋体" w:cs="宋体"/>
          <w:color w:val="auto"/>
          <w:spacing w:val="-1"/>
          <w:sz w:val="21"/>
          <w:szCs w:val="21"/>
          <w:highlight w:val="none"/>
        </w:rPr>
        <w:t>投标段进行签到，并实时关注招标人的操作情况。</w:t>
      </w:r>
    </w:p>
    <w:p w14:paraId="1DF2C3D7">
      <w:pPr>
        <w:spacing w:before="84" w:line="219" w:lineRule="auto"/>
        <w:ind w:left="21"/>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5.2</w:t>
      </w:r>
      <w:r>
        <w:rPr>
          <w:rFonts w:ascii="Times New Roman" w:hAnsi="Times New Roman" w:eastAsia="Times New Roman" w:cs="Times New Roman"/>
          <w:color w:val="auto"/>
          <w:spacing w:val="17"/>
          <w:sz w:val="24"/>
          <w:szCs w:val="24"/>
          <w:highlight w:val="none"/>
        </w:rPr>
        <w:t xml:space="preserve"> </w:t>
      </w:r>
      <w:r>
        <w:rPr>
          <w:rFonts w:ascii="黑体" w:hAnsi="黑体" w:eastAsia="黑体" w:cs="黑体"/>
          <w:color w:val="auto"/>
          <w:spacing w:val="-3"/>
          <w:sz w:val="24"/>
          <w:szCs w:val="24"/>
          <w:highlight w:val="none"/>
        </w:rPr>
        <w:t>开标程序</w:t>
      </w:r>
    </w:p>
    <w:p w14:paraId="03DD6AD3">
      <w:pPr>
        <w:spacing w:before="101" w:line="269" w:lineRule="auto"/>
        <w:ind w:left="23" w:right="180" w:firstLine="419"/>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5.2.1</w:t>
      </w:r>
      <w:r>
        <w:rPr>
          <w:rFonts w:ascii="Times New Roman" w:hAnsi="Times New Roman" w:eastAsia="Times New Roman" w:cs="Times New Roman"/>
          <w:color w:val="auto"/>
          <w:spacing w:val="34"/>
          <w:sz w:val="21"/>
          <w:szCs w:val="21"/>
          <w:highlight w:val="none"/>
        </w:rPr>
        <w:t xml:space="preserve"> </w:t>
      </w:r>
      <w:r>
        <w:rPr>
          <w:rFonts w:ascii="宋体" w:hAnsi="宋体" w:eastAsia="宋体" w:cs="宋体"/>
          <w:color w:val="auto"/>
          <w:spacing w:val="1"/>
          <w:sz w:val="21"/>
          <w:szCs w:val="21"/>
          <w:highlight w:val="none"/>
        </w:rPr>
        <w:t>主持人按下列程序在电子招标投标系统（辽宁</w:t>
      </w:r>
      <w:r>
        <w:rPr>
          <w:rFonts w:ascii="宋体" w:hAnsi="宋体" w:eastAsia="宋体" w:cs="宋体"/>
          <w:color w:val="auto"/>
          <w:sz w:val="21"/>
          <w:szCs w:val="21"/>
          <w:highlight w:val="none"/>
        </w:rPr>
        <w:t xml:space="preserve">省工程建设项目数字化开标评标系 </w:t>
      </w:r>
      <w:r>
        <w:rPr>
          <w:rFonts w:ascii="宋体" w:hAnsi="宋体" w:eastAsia="宋体" w:cs="宋体"/>
          <w:color w:val="auto"/>
          <w:spacing w:val="-14"/>
          <w:sz w:val="21"/>
          <w:szCs w:val="21"/>
          <w:highlight w:val="none"/>
        </w:rPr>
        <w:t>统）</w:t>
      </w:r>
      <w:r>
        <w:rPr>
          <w:rFonts w:ascii="宋体" w:hAnsi="宋体" w:eastAsia="宋体" w:cs="宋体"/>
          <w:color w:val="auto"/>
          <w:spacing w:val="-41"/>
          <w:sz w:val="21"/>
          <w:szCs w:val="21"/>
          <w:highlight w:val="none"/>
        </w:rPr>
        <w:t xml:space="preserve"> </w:t>
      </w:r>
      <w:r>
        <w:rPr>
          <w:rFonts w:ascii="宋体" w:hAnsi="宋体" w:eastAsia="宋体" w:cs="宋体"/>
          <w:color w:val="auto"/>
          <w:spacing w:val="-14"/>
          <w:sz w:val="21"/>
          <w:szCs w:val="21"/>
          <w:highlight w:val="none"/>
        </w:rPr>
        <w:t>进行开标：</w:t>
      </w:r>
    </w:p>
    <w:p w14:paraId="534DB671">
      <w:pPr>
        <w:spacing w:before="108" w:line="220"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1</w:t>
      </w:r>
      <w:r>
        <w:rPr>
          <w:rFonts w:ascii="宋体" w:hAnsi="宋体" w:eastAsia="宋体" w:cs="宋体"/>
          <w:color w:val="auto"/>
          <w:spacing w:val="-5"/>
          <w:sz w:val="21"/>
          <w:szCs w:val="21"/>
          <w:highlight w:val="none"/>
        </w:rPr>
        <w:t>）宣布开标纪律；</w:t>
      </w:r>
    </w:p>
    <w:p w14:paraId="105FB091">
      <w:pPr>
        <w:spacing w:before="110" w:line="360" w:lineRule="exact"/>
        <w:ind w:left="447"/>
        <w:rPr>
          <w:rFonts w:ascii="宋体" w:hAnsi="宋体" w:eastAsia="宋体" w:cs="宋体"/>
          <w:color w:val="auto"/>
          <w:sz w:val="21"/>
          <w:szCs w:val="21"/>
          <w:highlight w:val="none"/>
        </w:rPr>
      </w:pPr>
      <w:r>
        <w:rPr>
          <w:rFonts w:ascii="宋体" w:hAnsi="宋体" w:eastAsia="宋体" w:cs="宋体"/>
          <w:color w:val="auto"/>
          <w:spacing w:val="-2"/>
          <w:position w:val="11"/>
          <w:sz w:val="21"/>
          <w:szCs w:val="21"/>
          <w:highlight w:val="none"/>
        </w:rPr>
        <w:t>（</w:t>
      </w:r>
      <w:r>
        <w:rPr>
          <w:rFonts w:ascii="Times New Roman" w:hAnsi="Times New Roman" w:eastAsia="Times New Roman" w:cs="Times New Roman"/>
          <w:color w:val="auto"/>
          <w:spacing w:val="-2"/>
          <w:position w:val="11"/>
          <w:sz w:val="21"/>
          <w:szCs w:val="21"/>
          <w:highlight w:val="none"/>
        </w:rPr>
        <w:t>2</w:t>
      </w:r>
      <w:r>
        <w:rPr>
          <w:rFonts w:ascii="宋体" w:hAnsi="宋体" w:eastAsia="宋体" w:cs="宋体"/>
          <w:color w:val="auto"/>
          <w:spacing w:val="-2"/>
          <w:position w:val="11"/>
          <w:sz w:val="21"/>
          <w:szCs w:val="21"/>
          <w:highlight w:val="none"/>
        </w:rPr>
        <w:t>）公布主持人、招标人代表、监标人等有关人员姓名；</w:t>
      </w:r>
    </w:p>
    <w:p w14:paraId="15480061">
      <w:pPr>
        <w:spacing w:before="1" w:line="219"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）公布在投标截止时间前投标文件的递交情况；</w:t>
      </w:r>
    </w:p>
    <w:p w14:paraId="0BF22662">
      <w:pPr>
        <w:spacing w:before="109" w:line="285" w:lineRule="auto"/>
        <w:ind w:left="447" w:right="1399"/>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4</w:t>
      </w:r>
      <w:r>
        <w:rPr>
          <w:rFonts w:ascii="宋体" w:hAnsi="宋体" w:eastAsia="宋体" w:cs="宋体"/>
          <w:color w:val="auto"/>
          <w:spacing w:val="-3"/>
          <w:sz w:val="21"/>
          <w:szCs w:val="21"/>
          <w:highlight w:val="none"/>
        </w:rPr>
        <w:t>）公布投标保证金递交情况（对担保保函、保</w:t>
      </w:r>
      <w:r>
        <w:rPr>
          <w:rFonts w:ascii="宋体" w:hAnsi="宋体" w:eastAsia="宋体" w:cs="宋体"/>
          <w:color w:val="auto"/>
          <w:spacing w:val="-4"/>
          <w:sz w:val="21"/>
          <w:szCs w:val="21"/>
          <w:highlight w:val="none"/>
        </w:rPr>
        <w:t>证保险进行实时验真</w:t>
      </w:r>
      <w:r>
        <w:rPr>
          <w:rFonts w:ascii="宋体" w:hAnsi="宋体" w:eastAsia="宋体" w:cs="宋体"/>
          <w:color w:val="auto"/>
          <w:spacing w:val="-33"/>
          <w:sz w:val="21"/>
          <w:szCs w:val="21"/>
          <w:highlight w:val="none"/>
        </w:rPr>
        <w:t>）；</w:t>
      </w:r>
      <w:r>
        <w:rPr>
          <w:rFonts w:ascii="宋体" w:hAnsi="宋体" w:eastAsia="宋体" w:cs="宋体"/>
          <w:color w:val="auto"/>
          <w:spacing w:val="1"/>
          <w:sz w:val="21"/>
          <w:szCs w:val="21"/>
          <w:highlight w:val="none"/>
        </w:rPr>
        <w:t xml:space="preserve"> </w:t>
      </w: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5</w:t>
      </w:r>
      <w:r>
        <w:rPr>
          <w:rFonts w:ascii="宋体" w:hAnsi="宋体" w:eastAsia="宋体" w:cs="宋体"/>
          <w:color w:val="auto"/>
          <w:sz w:val="21"/>
          <w:szCs w:val="21"/>
          <w:highlight w:val="none"/>
        </w:rPr>
        <w:t>）投标人根据提示在投标人须知前附表规定</w:t>
      </w:r>
      <w:r>
        <w:rPr>
          <w:rFonts w:ascii="宋体" w:hAnsi="宋体" w:eastAsia="宋体" w:cs="宋体"/>
          <w:color w:val="auto"/>
          <w:spacing w:val="-1"/>
          <w:sz w:val="21"/>
          <w:szCs w:val="21"/>
          <w:highlight w:val="none"/>
        </w:rPr>
        <w:t>的时间内解密投标文件；</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6</w:t>
      </w:r>
      <w:r>
        <w:rPr>
          <w:rFonts w:ascii="宋体" w:hAnsi="宋体" w:eastAsia="宋体" w:cs="宋体"/>
          <w:color w:val="auto"/>
          <w:spacing w:val="-1"/>
          <w:sz w:val="21"/>
          <w:szCs w:val="21"/>
          <w:highlight w:val="none"/>
        </w:rPr>
        <w:t>）读取已解密的投标文件的内容；</w:t>
      </w:r>
    </w:p>
    <w:p w14:paraId="2B31F9E4">
      <w:pPr>
        <w:spacing w:before="108" w:line="269" w:lineRule="auto"/>
        <w:ind w:left="17" w:right="202" w:firstLine="430"/>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7</w:t>
      </w:r>
      <w:r>
        <w:rPr>
          <w:rFonts w:ascii="宋体" w:hAnsi="宋体" w:eastAsia="宋体" w:cs="宋体"/>
          <w:color w:val="auto"/>
          <w:spacing w:val="-5"/>
          <w:sz w:val="21"/>
          <w:szCs w:val="21"/>
          <w:highlight w:val="none"/>
        </w:rPr>
        <w:t>）公布投标人名称、</w:t>
      </w:r>
      <w:r>
        <w:rPr>
          <w:rFonts w:ascii="宋体" w:hAnsi="宋体" w:eastAsia="宋体" w:cs="宋体"/>
          <w:color w:val="auto"/>
          <w:spacing w:val="-28"/>
          <w:sz w:val="21"/>
          <w:szCs w:val="21"/>
          <w:highlight w:val="none"/>
        </w:rPr>
        <w:t xml:space="preserve"> </w:t>
      </w:r>
      <w:r>
        <w:rPr>
          <w:rFonts w:ascii="宋体" w:hAnsi="宋体" w:eastAsia="宋体" w:cs="宋体"/>
          <w:color w:val="auto"/>
          <w:spacing w:val="-5"/>
          <w:sz w:val="21"/>
          <w:szCs w:val="21"/>
          <w:highlight w:val="none"/>
        </w:rPr>
        <w:t>标段名称、投标保证金的递交情况、 投标报价</w:t>
      </w:r>
      <w:r>
        <w:rPr>
          <w:rFonts w:ascii="宋体" w:hAnsi="宋体" w:eastAsia="宋体" w:cs="宋体"/>
          <w:color w:val="auto"/>
          <w:spacing w:val="-6"/>
          <w:sz w:val="21"/>
          <w:szCs w:val="21"/>
          <w:highlight w:val="none"/>
        </w:rPr>
        <w:t>、项目经理姓名</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及其他内容，并生成开标记录；</w:t>
      </w:r>
    </w:p>
    <w:p w14:paraId="2ABB2E75">
      <w:pPr>
        <w:spacing w:before="109" w:line="360" w:lineRule="exact"/>
        <w:ind w:left="447"/>
        <w:rPr>
          <w:rFonts w:ascii="宋体" w:hAnsi="宋体" w:eastAsia="宋体" w:cs="宋体"/>
          <w:color w:val="auto"/>
          <w:sz w:val="21"/>
          <w:szCs w:val="21"/>
          <w:highlight w:val="none"/>
        </w:rPr>
      </w:pPr>
      <w:r>
        <w:rPr>
          <w:rFonts w:ascii="宋体" w:hAnsi="宋体" w:eastAsia="宋体" w:cs="宋体"/>
          <w:color w:val="auto"/>
          <w:spacing w:val="-3"/>
          <w:position w:val="11"/>
          <w:sz w:val="21"/>
          <w:szCs w:val="21"/>
          <w:highlight w:val="none"/>
        </w:rPr>
        <w:t>（</w:t>
      </w:r>
      <w:r>
        <w:rPr>
          <w:rFonts w:ascii="Times New Roman" w:hAnsi="Times New Roman" w:eastAsia="Times New Roman" w:cs="Times New Roman"/>
          <w:color w:val="auto"/>
          <w:spacing w:val="-3"/>
          <w:position w:val="11"/>
          <w:sz w:val="21"/>
          <w:szCs w:val="21"/>
          <w:highlight w:val="none"/>
        </w:rPr>
        <w:t>8</w:t>
      </w:r>
      <w:r>
        <w:rPr>
          <w:rFonts w:ascii="宋体" w:hAnsi="宋体" w:eastAsia="宋体" w:cs="宋体"/>
          <w:color w:val="auto"/>
          <w:spacing w:val="-3"/>
          <w:position w:val="11"/>
          <w:sz w:val="21"/>
          <w:szCs w:val="21"/>
          <w:highlight w:val="none"/>
        </w:rPr>
        <w:t>）投标人对开标记录进行确认；</w:t>
      </w:r>
    </w:p>
    <w:p w14:paraId="7113DCA3">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9</w:t>
      </w:r>
      <w:r>
        <w:rPr>
          <w:rFonts w:ascii="宋体" w:hAnsi="宋体" w:eastAsia="宋体" w:cs="宋体"/>
          <w:color w:val="auto"/>
          <w:spacing w:val="-4"/>
          <w:sz w:val="21"/>
          <w:szCs w:val="21"/>
          <w:highlight w:val="none"/>
        </w:rPr>
        <w:t>）开标结束。</w:t>
      </w:r>
    </w:p>
    <w:p w14:paraId="5F51CE77">
      <w:pPr>
        <w:spacing w:line="220" w:lineRule="auto"/>
        <w:rPr>
          <w:rFonts w:ascii="宋体" w:hAnsi="宋体" w:eastAsia="宋体" w:cs="宋体"/>
          <w:color w:val="auto"/>
          <w:sz w:val="21"/>
          <w:szCs w:val="21"/>
          <w:highlight w:val="none"/>
        </w:rPr>
        <w:sectPr>
          <w:footerReference r:id="rId26" w:type="default"/>
          <w:pgSz w:w="11905" w:h="16839"/>
          <w:pgMar w:top="1431" w:right="1611" w:bottom="1036" w:left="1785" w:header="0" w:footer="847" w:gutter="0"/>
          <w:pgNumType w:fmt="decimal"/>
          <w:cols w:space="720" w:num="1"/>
        </w:sectPr>
      </w:pPr>
    </w:p>
    <w:p w14:paraId="37CA87B2">
      <w:pPr>
        <w:spacing w:before="114" w:line="285" w:lineRule="auto"/>
        <w:ind w:left="19" w:right="155" w:firstLine="423"/>
        <w:rPr>
          <w:rFonts w:ascii="宋体" w:hAnsi="宋体" w:eastAsia="宋体" w:cs="宋体"/>
          <w:color w:val="auto"/>
          <w:sz w:val="21"/>
          <w:szCs w:val="21"/>
          <w:highlight w:val="none"/>
        </w:rPr>
      </w:pPr>
      <w:bookmarkStart w:id="76" w:name="bookmark95"/>
      <w:bookmarkEnd w:id="76"/>
      <w:r>
        <w:rPr>
          <w:rFonts w:ascii="Times New Roman" w:hAnsi="Times New Roman" w:eastAsia="Times New Roman" w:cs="Times New Roman"/>
          <w:color w:val="auto"/>
          <w:spacing w:val="-1"/>
          <w:sz w:val="21"/>
          <w:szCs w:val="21"/>
          <w:highlight w:val="none"/>
        </w:rPr>
        <w:t xml:space="preserve">5.2.2 </w:t>
      </w:r>
      <w:r>
        <w:rPr>
          <w:rFonts w:ascii="宋体" w:hAnsi="宋体" w:eastAsia="宋体" w:cs="宋体"/>
          <w:color w:val="auto"/>
          <w:spacing w:val="-1"/>
          <w:sz w:val="21"/>
          <w:szCs w:val="21"/>
          <w:highlight w:val="none"/>
        </w:rPr>
        <w:t>生成开标记录后</w:t>
      </w:r>
      <w:r>
        <w:rPr>
          <w:rFonts w:ascii="宋体" w:hAnsi="宋体" w:eastAsia="宋体" w:cs="宋体"/>
          <w:color w:val="auto"/>
          <w:spacing w:val="-31"/>
          <w:sz w:val="21"/>
          <w:szCs w:val="21"/>
          <w:highlight w:val="none"/>
        </w:rPr>
        <w:t xml:space="preserve"> </w:t>
      </w:r>
      <w:r>
        <w:rPr>
          <w:rFonts w:ascii="Times New Roman" w:hAnsi="Times New Roman" w:eastAsia="Times New Roman" w:cs="Times New Roman"/>
          <w:color w:val="auto"/>
          <w:spacing w:val="-1"/>
          <w:sz w:val="21"/>
          <w:szCs w:val="21"/>
          <w:highlight w:val="none"/>
        </w:rPr>
        <w:t xml:space="preserve">10 </w:t>
      </w:r>
      <w:r>
        <w:rPr>
          <w:rFonts w:ascii="宋体" w:hAnsi="宋体" w:eastAsia="宋体" w:cs="宋体"/>
          <w:color w:val="auto"/>
          <w:spacing w:val="-1"/>
          <w:sz w:val="21"/>
          <w:szCs w:val="21"/>
          <w:highlight w:val="none"/>
        </w:rPr>
        <w:t>分钟内，投标人通</w:t>
      </w:r>
      <w:r>
        <w:rPr>
          <w:rFonts w:ascii="宋体" w:hAnsi="宋体" w:eastAsia="宋体" w:cs="宋体"/>
          <w:color w:val="auto"/>
          <w:spacing w:val="-2"/>
          <w:sz w:val="21"/>
          <w:szCs w:val="21"/>
          <w:highlight w:val="none"/>
        </w:rPr>
        <w:t>过电子招标投标系统（辽宁省工程建设项目</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数字化开标评标系统）</w:t>
      </w:r>
      <w:r>
        <w:rPr>
          <w:rFonts w:ascii="宋体" w:hAnsi="宋体" w:eastAsia="宋体" w:cs="宋体"/>
          <w:color w:val="auto"/>
          <w:spacing w:val="-28"/>
          <w:sz w:val="21"/>
          <w:szCs w:val="21"/>
          <w:highlight w:val="none"/>
        </w:rPr>
        <w:t xml:space="preserve"> </w:t>
      </w:r>
      <w:r>
        <w:rPr>
          <w:rFonts w:ascii="宋体" w:hAnsi="宋体" w:eastAsia="宋体" w:cs="宋体"/>
          <w:color w:val="auto"/>
          <w:spacing w:val="1"/>
          <w:sz w:val="21"/>
          <w:szCs w:val="21"/>
          <w:highlight w:val="none"/>
        </w:rPr>
        <w:t>对开标结果予以确认。未在规定时间内确认或未确认的视</w:t>
      </w:r>
      <w:r>
        <w:rPr>
          <w:rFonts w:ascii="宋体" w:hAnsi="宋体" w:eastAsia="宋体" w:cs="宋体"/>
          <w:color w:val="auto"/>
          <w:sz w:val="21"/>
          <w:szCs w:val="21"/>
          <w:highlight w:val="none"/>
        </w:rPr>
        <w:t xml:space="preserve">为对开标 </w:t>
      </w:r>
      <w:r>
        <w:rPr>
          <w:rFonts w:ascii="宋体" w:hAnsi="宋体" w:eastAsia="宋体" w:cs="宋体"/>
          <w:color w:val="auto"/>
          <w:spacing w:val="-3"/>
          <w:sz w:val="21"/>
          <w:szCs w:val="21"/>
          <w:highlight w:val="none"/>
        </w:rPr>
        <w:t>过程及结果无异议。</w:t>
      </w:r>
    </w:p>
    <w:p w14:paraId="251B6BB0">
      <w:pPr>
        <w:spacing w:before="108" w:line="269" w:lineRule="auto"/>
        <w:ind w:left="41" w:firstLine="40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5.2.3</w:t>
      </w:r>
      <w:r>
        <w:rPr>
          <w:rFonts w:ascii="Times New Roman" w:hAnsi="Times New Roman" w:eastAsia="Times New Roman" w:cs="Times New Roman"/>
          <w:color w:val="auto"/>
          <w:spacing w:val="54"/>
          <w:w w:val="101"/>
          <w:sz w:val="21"/>
          <w:szCs w:val="21"/>
          <w:highlight w:val="none"/>
        </w:rPr>
        <w:t xml:space="preserve"> </w:t>
      </w:r>
      <w:r>
        <w:rPr>
          <w:rFonts w:ascii="宋体" w:hAnsi="宋体" w:eastAsia="宋体" w:cs="宋体"/>
          <w:color w:val="auto"/>
          <w:spacing w:val="-1"/>
          <w:sz w:val="21"/>
          <w:szCs w:val="21"/>
          <w:highlight w:val="none"/>
        </w:rPr>
        <w:t xml:space="preserve">在本章第 </w:t>
      </w:r>
      <w:r>
        <w:rPr>
          <w:rFonts w:ascii="Times New Roman" w:hAnsi="Times New Roman" w:eastAsia="Times New Roman" w:cs="Times New Roman"/>
          <w:color w:val="auto"/>
          <w:spacing w:val="-1"/>
          <w:sz w:val="21"/>
          <w:szCs w:val="21"/>
          <w:highlight w:val="none"/>
        </w:rPr>
        <w:t>5.2.1</w:t>
      </w: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5</w:t>
      </w:r>
      <w:r>
        <w:rPr>
          <w:rFonts w:ascii="宋体" w:hAnsi="宋体" w:eastAsia="宋体" w:cs="宋体"/>
          <w:color w:val="auto"/>
          <w:spacing w:val="-1"/>
          <w:sz w:val="21"/>
          <w:szCs w:val="21"/>
          <w:highlight w:val="none"/>
        </w:rPr>
        <w:t>）目规定的时间内，已解密的投标文件少于三个的，招标失败；</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已解密的投标文件不少于三个，开标继续进行。</w:t>
      </w:r>
    </w:p>
    <w:p w14:paraId="23C95A74">
      <w:pPr>
        <w:spacing w:before="108" w:line="269" w:lineRule="auto"/>
        <w:ind w:left="20" w:right="170" w:firstLine="437"/>
        <w:rPr>
          <w:rFonts w:ascii="宋体" w:hAnsi="宋体" w:eastAsia="宋体" w:cs="宋体"/>
          <w:color w:val="auto"/>
          <w:sz w:val="21"/>
          <w:szCs w:val="21"/>
          <w:highlight w:val="none"/>
        </w:rPr>
      </w:pPr>
      <w:r>
        <w:rPr>
          <w:rFonts w:ascii="宋体" w:hAnsi="宋体" w:eastAsia="宋体" w:cs="宋体"/>
          <w:color w:val="auto"/>
          <w:sz w:val="21"/>
          <w:szCs w:val="21"/>
          <w:highlight w:val="none"/>
        </w:rPr>
        <w:t>因投标人原因（如数字证书（</w:t>
      </w:r>
      <w:r>
        <w:rPr>
          <w:rFonts w:ascii="Times New Roman" w:hAnsi="Times New Roman" w:eastAsia="Times New Roman" w:cs="Times New Roman"/>
          <w:color w:val="auto"/>
          <w:sz w:val="21"/>
          <w:szCs w:val="21"/>
          <w:highlight w:val="none"/>
        </w:rPr>
        <w:t>CA</w:t>
      </w:r>
      <w:r>
        <w:rPr>
          <w:rFonts w:ascii="宋体" w:hAnsi="宋体" w:eastAsia="宋体" w:cs="宋体"/>
          <w:color w:val="auto"/>
          <w:sz w:val="21"/>
          <w:szCs w:val="21"/>
          <w:highlight w:val="none"/>
        </w:rPr>
        <w:t>）损坏或密码丢失或输入错误、投标人自身网络中断</w:t>
      </w:r>
      <w:r>
        <w:rPr>
          <w:rFonts w:ascii="宋体" w:hAnsi="宋体" w:eastAsia="宋体" w:cs="宋体"/>
          <w:color w:val="auto"/>
          <w:spacing w:val="5"/>
          <w:sz w:val="21"/>
          <w:szCs w:val="21"/>
          <w:highlight w:val="none"/>
        </w:rPr>
        <w:t xml:space="preserve"> </w:t>
      </w:r>
      <w:r>
        <w:rPr>
          <w:rFonts w:ascii="宋体" w:hAnsi="宋体" w:eastAsia="宋体" w:cs="宋体"/>
          <w:color w:val="auto"/>
          <w:spacing w:val="-4"/>
          <w:sz w:val="21"/>
          <w:szCs w:val="21"/>
          <w:highlight w:val="none"/>
        </w:rPr>
        <w:t>等非开标系统原因） 造成投标文件未解密的，视为投标人撤回投标</w:t>
      </w:r>
      <w:r>
        <w:rPr>
          <w:rFonts w:ascii="宋体" w:hAnsi="宋体" w:eastAsia="宋体" w:cs="宋体"/>
          <w:color w:val="auto"/>
          <w:spacing w:val="-5"/>
          <w:sz w:val="21"/>
          <w:szCs w:val="21"/>
          <w:highlight w:val="none"/>
        </w:rPr>
        <w:t>文件。</w:t>
      </w:r>
    </w:p>
    <w:p w14:paraId="133F7DF8">
      <w:pPr>
        <w:spacing w:before="107" w:line="293" w:lineRule="auto"/>
        <w:ind w:left="19" w:right="159" w:firstLine="438"/>
        <w:rPr>
          <w:rFonts w:ascii="宋体" w:hAnsi="宋体" w:eastAsia="宋体" w:cs="宋体"/>
          <w:color w:val="auto"/>
          <w:sz w:val="21"/>
          <w:szCs w:val="21"/>
          <w:highlight w:val="none"/>
        </w:rPr>
      </w:pPr>
      <w:r>
        <w:rPr>
          <w:rFonts w:ascii="宋体" w:hAnsi="宋体" w:eastAsia="宋体" w:cs="宋体"/>
          <w:color w:val="auto"/>
          <w:sz w:val="21"/>
          <w:szCs w:val="21"/>
          <w:highlight w:val="none"/>
        </w:rPr>
        <w:t>因投标人之外原因，如因网络、开标系统故障等非投标人自身原因，</w:t>
      </w:r>
      <w:r>
        <w:rPr>
          <w:rFonts w:ascii="宋体" w:hAnsi="宋体" w:eastAsia="宋体" w:cs="宋体"/>
          <w:color w:val="auto"/>
          <w:spacing w:val="-1"/>
          <w:sz w:val="21"/>
          <w:szCs w:val="21"/>
          <w:highlight w:val="none"/>
        </w:rPr>
        <w:t xml:space="preserve"> 招标代理机构工</w:t>
      </w:r>
      <w:r>
        <w:rPr>
          <w:rFonts w:ascii="宋体" w:hAnsi="宋体" w:eastAsia="宋体" w:cs="宋体"/>
          <w:color w:val="auto"/>
          <w:sz w:val="21"/>
          <w:szCs w:val="21"/>
          <w:highlight w:val="none"/>
        </w:rPr>
        <w:t xml:space="preserve"> 作人员应及时将情况反馈到交易平台运营单位、项目监管部门以及相关技术服务单位， 在</w:t>
      </w:r>
      <w:r>
        <w:rPr>
          <w:rFonts w:ascii="宋体" w:hAnsi="宋体" w:eastAsia="宋体" w:cs="宋体"/>
          <w:color w:val="auto"/>
          <w:spacing w:val="6"/>
          <w:sz w:val="21"/>
          <w:szCs w:val="21"/>
          <w:highlight w:val="none"/>
        </w:rPr>
        <w:t xml:space="preserve"> </w:t>
      </w:r>
      <w:r>
        <w:rPr>
          <w:rFonts w:ascii="宋体" w:hAnsi="宋体" w:eastAsia="宋体" w:cs="宋体"/>
          <w:color w:val="auto"/>
          <w:spacing w:val="-2"/>
          <w:sz w:val="21"/>
          <w:szCs w:val="21"/>
          <w:highlight w:val="none"/>
        </w:rPr>
        <w:t>监管部门指导下将立即启动应急响应机制，积极排查和</w:t>
      </w:r>
      <w:r>
        <w:rPr>
          <w:rFonts w:ascii="宋体" w:hAnsi="宋体" w:eastAsia="宋体" w:cs="宋体"/>
          <w:color w:val="auto"/>
          <w:spacing w:val="-3"/>
          <w:sz w:val="21"/>
          <w:szCs w:val="21"/>
          <w:highlight w:val="none"/>
        </w:rPr>
        <w:t>解决问题， 投标人应予以配合， 监</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管部门应根据现场实际适当延长解密时间。</w:t>
      </w:r>
    </w:p>
    <w:p w14:paraId="3314E2CA">
      <w:pPr>
        <w:spacing w:before="84" w:line="219" w:lineRule="auto"/>
        <w:ind w:left="21"/>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5.3</w:t>
      </w:r>
      <w:r>
        <w:rPr>
          <w:rFonts w:ascii="Times New Roman" w:hAnsi="Times New Roman" w:eastAsia="Times New Roman" w:cs="Times New Roman"/>
          <w:color w:val="auto"/>
          <w:spacing w:val="17"/>
          <w:sz w:val="24"/>
          <w:szCs w:val="24"/>
          <w:highlight w:val="none"/>
        </w:rPr>
        <w:t xml:space="preserve"> </w:t>
      </w:r>
      <w:r>
        <w:rPr>
          <w:rFonts w:ascii="黑体" w:hAnsi="黑体" w:eastAsia="黑体" w:cs="黑体"/>
          <w:color w:val="auto"/>
          <w:spacing w:val="-3"/>
          <w:sz w:val="24"/>
          <w:szCs w:val="24"/>
          <w:highlight w:val="none"/>
        </w:rPr>
        <w:t>开标异议</w:t>
      </w:r>
    </w:p>
    <w:p w14:paraId="25BA6FDE">
      <w:pPr>
        <w:spacing w:before="101" w:line="284" w:lineRule="auto"/>
        <w:ind w:left="17" w:right="161" w:firstLine="42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5.3.1</w:t>
      </w:r>
      <w:r>
        <w:rPr>
          <w:rFonts w:ascii="Times New Roman" w:hAnsi="Times New Roman" w:eastAsia="Times New Roman" w:cs="Times New Roman"/>
          <w:color w:val="auto"/>
          <w:spacing w:val="54"/>
          <w:w w:val="101"/>
          <w:sz w:val="21"/>
          <w:szCs w:val="21"/>
          <w:highlight w:val="none"/>
        </w:rPr>
        <w:t xml:space="preserve"> </w:t>
      </w:r>
      <w:r>
        <w:rPr>
          <w:rFonts w:ascii="宋体" w:hAnsi="宋体" w:eastAsia="宋体" w:cs="宋体"/>
          <w:color w:val="auto"/>
          <w:spacing w:val="-1"/>
          <w:sz w:val="21"/>
          <w:szCs w:val="21"/>
          <w:highlight w:val="none"/>
        </w:rPr>
        <w:t>投标人对开标有异议的，应当在开标过程中提出；招标人当场对异议作出答复，</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并记入开标记录。异议与答复应通过电子招标投标系统（辽宁省工程建设项目数字化开标</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评标系统）以书面形式进行。</w:t>
      </w:r>
    </w:p>
    <w:p w14:paraId="548DC4AB">
      <w:pPr>
        <w:spacing w:before="108" w:line="269" w:lineRule="auto"/>
        <w:ind w:left="19" w:right="186" w:firstLine="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本条所称异议是指投标人在开标过程中对投标文件提交、投标截止时间、开标程序、</w:t>
      </w:r>
      <w:r>
        <w:rPr>
          <w:rFonts w:ascii="宋体" w:hAnsi="宋体" w:eastAsia="宋体" w:cs="宋体"/>
          <w:color w:val="auto"/>
          <w:spacing w:val="12"/>
          <w:sz w:val="21"/>
          <w:szCs w:val="21"/>
          <w:highlight w:val="none"/>
        </w:rPr>
        <w:t xml:space="preserve"> </w:t>
      </w:r>
      <w:r>
        <w:rPr>
          <w:rFonts w:ascii="宋体" w:hAnsi="宋体" w:eastAsia="宋体" w:cs="宋体"/>
          <w:color w:val="auto"/>
          <w:spacing w:val="-1"/>
          <w:sz w:val="21"/>
          <w:szCs w:val="21"/>
          <w:highlight w:val="none"/>
        </w:rPr>
        <w:t>开标记录以及投标人和招标人或者投标人相互之间存在利益冲突的情形等提出的质疑。</w:t>
      </w:r>
    </w:p>
    <w:p w14:paraId="7BA32710">
      <w:pPr>
        <w:spacing w:before="109" w:line="269" w:lineRule="auto"/>
        <w:ind w:left="20" w:firstLine="422"/>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5.3.2</w:t>
      </w:r>
      <w:r>
        <w:rPr>
          <w:rFonts w:ascii="Times New Roman" w:hAnsi="Times New Roman" w:eastAsia="Times New Roman" w:cs="Times New Roman"/>
          <w:color w:val="auto"/>
          <w:spacing w:val="50"/>
          <w:w w:val="101"/>
          <w:sz w:val="21"/>
          <w:szCs w:val="21"/>
          <w:highlight w:val="none"/>
        </w:rPr>
        <w:t xml:space="preserve"> </w:t>
      </w:r>
      <w:r>
        <w:rPr>
          <w:rFonts w:ascii="宋体" w:hAnsi="宋体" w:eastAsia="宋体" w:cs="宋体"/>
          <w:color w:val="auto"/>
          <w:spacing w:val="-1"/>
          <w:sz w:val="21"/>
          <w:szCs w:val="21"/>
          <w:highlight w:val="none"/>
        </w:rPr>
        <w:t>投标人异议成立的，招标人将及时采取纠正措施，或者提交评标委员会评审确认；</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投标人异议不成立的，招标人将当场给予解释说明。</w:t>
      </w:r>
    </w:p>
    <w:p w14:paraId="48816CFF">
      <w:pPr>
        <w:spacing w:before="109" w:line="254" w:lineRule="auto"/>
        <w:ind w:left="21" w:right="476" w:firstLine="421"/>
        <w:rPr>
          <w:rFonts w:ascii="黑体" w:hAnsi="黑体" w:eastAsia="黑体" w:cs="黑体"/>
          <w:color w:val="auto"/>
          <w:sz w:val="24"/>
          <w:szCs w:val="24"/>
          <w:highlight w:val="none"/>
        </w:rPr>
      </w:pPr>
      <w:r>
        <w:rPr>
          <w:rFonts w:ascii="Times New Roman" w:hAnsi="Times New Roman" w:eastAsia="Times New Roman" w:cs="Times New Roman"/>
          <w:color w:val="auto"/>
          <w:spacing w:val="-4"/>
          <w:sz w:val="21"/>
          <w:szCs w:val="21"/>
          <w:highlight w:val="none"/>
        </w:rPr>
        <w:t xml:space="preserve">5.3.3 </w:t>
      </w:r>
      <w:r>
        <w:rPr>
          <w:rFonts w:ascii="宋体" w:hAnsi="宋体" w:eastAsia="宋体" w:cs="宋体"/>
          <w:color w:val="auto"/>
          <w:spacing w:val="-4"/>
          <w:sz w:val="21"/>
          <w:szCs w:val="21"/>
          <w:highlight w:val="none"/>
        </w:rPr>
        <w:t>投标人未在开标现场提出异议， 视为异议权利灭失，不可再对开标提出异议。</w:t>
      </w:r>
      <w:r>
        <w:rPr>
          <w:rFonts w:ascii="宋体" w:hAnsi="宋体" w:eastAsia="宋体" w:cs="宋体"/>
          <w:color w:val="auto"/>
          <w:spacing w:val="12"/>
          <w:sz w:val="21"/>
          <w:szCs w:val="21"/>
          <w:highlight w:val="none"/>
        </w:rPr>
        <w:t xml:space="preserve"> </w:t>
      </w:r>
      <w:r>
        <w:rPr>
          <w:rFonts w:ascii="Times New Roman" w:hAnsi="Times New Roman" w:eastAsia="Times New Roman" w:cs="Times New Roman"/>
          <w:color w:val="auto"/>
          <w:spacing w:val="-1"/>
          <w:sz w:val="24"/>
          <w:szCs w:val="24"/>
          <w:highlight w:val="none"/>
        </w:rPr>
        <w:t xml:space="preserve">5.4 </w:t>
      </w:r>
      <w:r>
        <w:rPr>
          <w:rFonts w:ascii="黑体" w:hAnsi="黑体" w:eastAsia="黑体" w:cs="黑体"/>
          <w:color w:val="auto"/>
          <w:spacing w:val="-1"/>
          <w:sz w:val="24"/>
          <w:szCs w:val="24"/>
          <w:highlight w:val="none"/>
        </w:rPr>
        <w:t>特殊情况的处置</w:t>
      </w:r>
    </w:p>
    <w:p w14:paraId="389F96E2">
      <w:pPr>
        <w:spacing w:before="99" w:line="285" w:lineRule="auto"/>
        <w:ind w:left="20" w:right="154" w:firstLine="422"/>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5.4.1  </w:t>
      </w:r>
      <w:r>
        <w:rPr>
          <w:rFonts w:ascii="宋体" w:hAnsi="宋体" w:eastAsia="宋体" w:cs="宋体"/>
          <w:color w:val="auto"/>
          <w:spacing w:val="-3"/>
          <w:sz w:val="21"/>
          <w:szCs w:val="21"/>
          <w:highlight w:val="none"/>
        </w:rPr>
        <w:t>因电子招标投标系统（辽宁省工程建设项目数字化开标评标系统）</w:t>
      </w:r>
      <w:r>
        <w:rPr>
          <w:rFonts w:ascii="宋体" w:hAnsi="宋体" w:eastAsia="宋体" w:cs="宋体"/>
          <w:color w:val="auto"/>
          <w:spacing w:val="33"/>
          <w:sz w:val="21"/>
          <w:szCs w:val="21"/>
          <w:highlight w:val="none"/>
        </w:rPr>
        <w:t xml:space="preserve"> </w:t>
      </w:r>
      <w:r>
        <w:rPr>
          <w:rFonts w:ascii="宋体" w:hAnsi="宋体" w:eastAsia="宋体" w:cs="宋体"/>
          <w:color w:val="auto"/>
          <w:spacing w:val="-3"/>
          <w:sz w:val="21"/>
          <w:szCs w:val="21"/>
          <w:highlight w:val="none"/>
        </w:rPr>
        <w:t>故障导致无法</w:t>
      </w:r>
      <w:r>
        <w:rPr>
          <w:rFonts w:ascii="宋体" w:hAnsi="宋体" w:eastAsia="宋体" w:cs="宋体"/>
          <w:color w:val="auto"/>
          <w:sz w:val="21"/>
          <w:szCs w:val="21"/>
          <w:highlight w:val="none"/>
        </w:rPr>
        <w:t xml:space="preserve"> 投标的，管理部门及时通知招标人，招标人视情况决定是否顺延投标截止时间。 因投标人</w:t>
      </w:r>
      <w:r>
        <w:rPr>
          <w:rFonts w:ascii="宋体" w:hAnsi="宋体" w:eastAsia="宋体" w:cs="宋体"/>
          <w:color w:val="auto"/>
          <w:spacing w:val="9"/>
          <w:sz w:val="21"/>
          <w:szCs w:val="21"/>
          <w:highlight w:val="none"/>
        </w:rPr>
        <w:t xml:space="preserve"> </w:t>
      </w:r>
      <w:r>
        <w:rPr>
          <w:rFonts w:ascii="宋体" w:hAnsi="宋体" w:eastAsia="宋体" w:cs="宋体"/>
          <w:color w:val="auto"/>
          <w:spacing w:val="-1"/>
          <w:sz w:val="21"/>
          <w:szCs w:val="21"/>
          <w:highlight w:val="none"/>
        </w:rPr>
        <w:t>自身原因导致无法完成投标的，由投标人自行承担后果。</w:t>
      </w:r>
    </w:p>
    <w:p w14:paraId="0BB514D4">
      <w:pPr>
        <w:spacing w:before="108" w:line="269" w:lineRule="auto"/>
        <w:ind w:left="22" w:right="154" w:firstLine="420"/>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5.4.2  </w:t>
      </w:r>
      <w:r>
        <w:rPr>
          <w:rFonts w:ascii="宋体" w:hAnsi="宋体" w:eastAsia="宋体" w:cs="宋体"/>
          <w:color w:val="auto"/>
          <w:spacing w:val="-3"/>
          <w:sz w:val="21"/>
          <w:szCs w:val="21"/>
          <w:highlight w:val="none"/>
        </w:rPr>
        <w:t>因电子招标投标系统（辽宁省工程建设项目数字化开标评标系统）</w:t>
      </w:r>
      <w:r>
        <w:rPr>
          <w:rFonts w:ascii="宋体" w:hAnsi="宋体" w:eastAsia="宋体" w:cs="宋体"/>
          <w:color w:val="auto"/>
          <w:spacing w:val="33"/>
          <w:sz w:val="21"/>
          <w:szCs w:val="21"/>
          <w:highlight w:val="none"/>
        </w:rPr>
        <w:t xml:space="preserve"> </w:t>
      </w:r>
      <w:r>
        <w:rPr>
          <w:rFonts w:ascii="宋体" w:hAnsi="宋体" w:eastAsia="宋体" w:cs="宋体"/>
          <w:color w:val="auto"/>
          <w:spacing w:val="-3"/>
          <w:sz w:val="21"/>
          <w:szCs w:val="21"/>
          <w:highlight w:val="none"/>
        </w:rPr>
        <w:t>故障导致无法</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正常开标的，招标人将暂停开标，待系统恢复正常后</w:t>
      </w:r>
      <w:r>
        <w:rPr>
          <w:rFonts w:ascii="宋体" w:hAnsi="宋体" w:eastAsia="宋体" w:cs="宋体"/>
          <w:color w:val="auto"/>
          <w:spacing w:val="-2"/>
          <w:sz w:val="21"/>
          <w:szCs w:val="21"/>
          <w:highlight w:val="none"/>
        </w:rPr>
        <w:t>继续开标。</w:t>
      </w:r>
    </w:p>
    <w:p w14:paraId="5DD2294C">
      <w:pPr>
        <w:spacing w:before="110" w:line="268" w:lineRule="auto"/>
        <w:ind w:left="22" w:right="155" w:firstLine="443"/>
        <w:rPr>
          <w:rFonts w:ascii="宋体" w:hAnsi="宋体" w:eastAsia="宋体" w:cs="宋体"/>
          <w:color w:val="auto"/>
          <w:sz w:val="21"/>
          <w:szCs w:val="21"/>
          <w:highlight w:val="none"/>
        </w:rPr>
      </w:pPr>
      <w:r>
        <w:rPr>
          <w:rFonts w:ascii="宋体" w:hAnsi="宋体" w:eastAsia="宋体" w:cs="宋体"/>
          <w:color w:val="auto"/>
          <w:sz w:val="21"/>
          <w:szCs w:val="21"/>
          <w:highlight w:val="none"/>
        </w:rPr>
        <w:t>电子招标投标系统（辽宁省工程建设项目数字化开标评标系统）</w:t>
      </w:r>
      <w:r>
        <w:rPr>
          <w:rFonts w:ascii="宋体" w:hAnsi="宋体" w:eastAsia="宋体" w:cs="宋体"/>
          <w:color w:val="auto"/>
          <w:spacing w:val="-12"/>
          <w:sz w:val="21"/>
          <w:szCs w:val="21"/>
          <w:highlight w:val="none"/>
        </w:rPr>
        <w:t xml:space="preserve"> </w:t>
      </w:r>
      <w:r>
        <w:rPr>
          <w:rFonts w:ascii="宋体" w:hAnsi="宋体" w:eastAsia="宋体" w:cs="宋体"/>
          <w:color w:val="auto"/>
          <w:sz w:val="21"/>
          <w:szCs w:val="21"/>
          <w:highlight w:val="none"/>
        </w:rPr>
        <w:t xml:space="preserve">技术服务单位将立即 </w:t>
      </w:r>
      <w:r>
        <w:rPr>
          <w:rFonts w:ascii="宋体" w:hAnsi="宋体" w:eastAsia="宋体" w:cs="宋体"/>
          <w:color w:val="auto"/>
          <w:spacing w:val="-6"/>
          <w:sz w:val="21"/>
          <w:szCs w:val="21"/>
          <w:highlight w:val="none"/>
        </w:rPr>
        <w:t>启动应急响应机制， 积极排查系统故障，解决问题。</w:t>
      </w:r>
    </w:p>
    <w:p w14:paraId="5E9A10B5">
      <w:pPr>
        <w:spacing w:before="110" w:line="270" w:lineRule="auto"/>
        <w:ind w:left="20" w:right="159" w:firstLine="422"/>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5.4.3  </w:t>
      </w:r>
      <w:r>
        <w:rPr>
          <w:rFonts w:ascii="宋体" w:hAnsi="宋体" w:eastAsia="宋体" w:cs="宋体"/>
          <w:color w:val="auto"/>
          <w:spacing w:val="-3"/>
          <w:sz w:val="21"/>
          <w:szCs w:val="21"/>
          <w:highlight w:val="none"/>
        </w:rPr>
        <w:t>电子招标投标系统（辽宁省工程建设项目数字化开标评标系统）</w:t>
      </w:r>
      <w:r>
        <w:rPr>
          <w:rFonts w:ascii="宋体" w:hAnsi="宋体" w:eastAsia="宋体" w:cs="宋体"/>
          <w:color w:val="auto"/>
          <w:spacing w:val="28"/>
          <w:sz w:val="21"/>
          <w:szCs w:val="21"/>
          <w:highlight w:val="none"/>
        </w:rPr>
        <w:t xml:space="preserve"> </w:t>
      </w:r>
      <w:r>
        <w:rPr>
          <w:rFonts w:ascii="宋体" w:hAnsi="宋体" w:eastAsia="宋体" w:cs="宋体"/>
          <w:color w:val="auto"/>
          <w:spacing w:val="-3"/>
          <w:sz w:val="21"/>
          <w:szCs w:val="21"/>
          <w:highlight w:val="none"/>
        </w:rPr>
        <w:t>故障是指下列情</w:t>
      </w:r>
      <w:r>
        <w:rPr>
          <w:rFonts w:ascii="宋体" w:hAnsi="宋体" w:eastAsia="宋体" w:cs="宋体"/>
          <w:color w:val="auto"/>
          <w:sz w:val="21"/>
          <w:szCs w:val="21"/>
          <w:highlight w:val="none"/>
        </w:rPr>
        <w:t xml:space="preserve"> </w:t>
      </w:r>
      <w:r>
        <w:rPr>
          <w:rFonts w:ascii="宋体" w:hAnsi="宋体" w:eastAsia="宋体" w:cs="宋体"/>
          <w:color w:val="auto"/>
          <w:spacing w:val="-15"/>
          <w:sz w:val="21"/>
          <w:szCs w:val="21"/>
          <w:highlight w:val="none"/>
        </w:rPr>
        <w:t>形：</w:t>
      </w:r>
    </w:p>
    <w:p w14:paraId="59DB20A8">
      <w:pPr>
        <w:spacing w:before="106"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）系统服务器发生故障，无法访问或无法使用系统；</w:t>
      </w:r>
    </w:p>
    <w:p w14:paraId="31055BA6">
      <w:pPr>
        <w:spacing w:before="109" w:line="360" w:lineRule="exact"/>
        <w:ind w:left="447"/>
        <w:rPr>
          <w:rFonts w:ascii="宋体" w:hAnsi="宋体" w:eastAsia="宋体" w:cs="宋体"/>
          <w:color w:val="auto"/>
          <w:sz w:val="21"/>
          <w:szCs w:val="21"/>
          <w:highlight w:val="none"/>
        </w:rPr>
      </w:pPr>
      <w:r>
        <w:rPr>
          <w:rFonts w:ascii="宋体" w:hAnsi="宋体" w:eastAsia="宋体" w:cs="宋体"/>
          <w:color w:val="auto"/>
          <w:spacing w:val="-2"/>
          <w:position w:val="11"/>
          <w:sz w:val="21"/>
          <w:szCs w:val="21"/>
          <w:highlight w:val="none"/>
        </w:rPr>
        <w:t>（</w:t>
      </w:r>
      <w:r>
        <w:rPr>
          <w:rFonts w:ascii="Times New Roman" w:hAnsi="Times New Roman" w:eastAsia="Times New Roman" w:cs="Times New Roman"/>
          <w:color w:val="auto"/>
          <w:spacing w:val="-2"/>
          <w:position w:val="11"/>
          <w:sz w:val="21"/>
          <w:szCs w:val="21"/>
          <w:highlight w:val="none"/>
        </w:rPr>
        <w:t>2</w:t>
      </w:r>
      <w:r>
        <w:rPr>
          <w:rFonts w:ascii="宋体" w:hAnsi="宋体" w:eastAsia="宋体" w:cs="宋体"/>
          <w:color w:val="auto"/>
          <w:spacing w:val="-2"/>
          <w:position w:val="11"/>
          <w:sz w:val="21"/>
          <w:szCs w:val="21"/>
          <w:highlight w:val="none"/>
        </w:rPr>
        <w:t>）系统的软件或数据库出现错误，不能进行正常操作；</w:t>
      </w:r>
    </w:p>
    <w:p w14:paraId="52AA8D2A">
      <w:pPr>
        <w:spacing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）系统发现有安全漏洞，有潜在的泄密危险；</w:t>
      </w:r>
    </w:p>
    <w:p w14:paraId="3BEE67FB">
      <w:pPr>
        <w:spacing w:before="109"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4</w:t>
      </w:r>
      <w:r>
        <w:rPr>
          <w:rFonts w:ascii="宋体" w:hAnsi="宋体" w:eastAsia="宋体" w:cs="宋体"/>
          <w:color w:val="auto"/>
          <w:spacing w:val="-3"/>
          <w:sz w:val="21"/>
          <w:szCs w:val="21"/>
          <w:highlight w:val="none"/>
        </w:rPr>
        <w:t>）系统出现网络攻击；</w:t>
      </w:r>
    </w:p>
    <w:p w14:paraId="3AFE556F">
      <w:pPr>
        <w:spacing w:before="108" w:line="221"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5</w:t>
      </w:r>
      <w:r>
        <w:rPr>
          <w:rFonts w:ascii="宋体" w:hAnsi="宋体" w:eastAsia="宋体" w:cs="宋体"/>
          <w:color w:val="auto"/>
          <w:spacing w:val="-4"/>
          <w:sz w:val="21"/>
          <w:szCs w:val="21"/>
          <w:highlight w:val="none"/>
        </w:rPr>
        <w:t>）出现断电、断网事故；</w:t>
      </w:r>
    </w:p>
    <w:p w14:paraId="57784A04">
      <w:pPr>
        <w:spacing w:before="109" w:line="221"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6</w:t>
      </w:r>
      <w:r>
        <w:rPr>
          <w:rFonts w:ascii="宋体" w:hAnsi="宋体" w:eastAsia="宋体" w:cs="宋体"/>
          <w:color w:val="auto"/>
          <w:spacing w:val="-4"/>
          <w:sz w:val="21"/>
          <w:szCs w:val="21"/>
          <w:highlight w:val="none"/>
        </w:rPr>
        <w:t>）出现法定不可抗力因素；</w:t>
      </w:r>
    </w:p>
    <w:p w14:paraId="7A5EE482">
      <w:pPr>
        <w:spacing w:before="109"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7</w:t>
      </w:r>
      <w:r>
        <w:rPr>
          <w:rFonts w:ascii="宋体" w:hAnsi="宋体" w:eastAsia="宋体" w:cs="宋体"/>
          <w:color w:val="auto"/>
          <w:spacing w:val="-1"/>
          <w:sz w:val="21"/>
          <w:szCs w:val="21"/>
          <w:highlight w:val="none"/>
        </w:rPr>
        <w:t>）其他无法保证招投标过程正常进行的情形。</w:t>
      </w:r>
    </w:p>
    <w:p w14:paraId="63222793">
      <w:pPr>
        <w:spacing w:line="221" w:lineRule="auto"/>
        <w:rPr>
          <w:rFonts w:ascii="宋体" w:hAnsi="宋体" w:eastAsia="宋体" w:cs="宋体"/>
          <w:color w:val="auto"/>
          <w:sz w:val="21"/>
          <w:szCs w:val="21"/>
          <w:highlight w:val="none"/>
        </w:rPr>
        <w:sectPr>
          <w:footerReference r:id="rId27" w:type="default"/>
          <w:pgSz w:w="11905" w:h="16839"/>
          <w:pgMar w:top="1431" w:right="1632" w:bottom="1036" w:left="1785" w:header="0" w:footer="847" w:gutter="0"/>
          <w:pgNumType w:fmt="decimal"/>
          <w:cols w:space="720" w:num="1"/>
        </w:sectPr>
      </w:pPr>
    </w:p>
    <w:p w14:paraId="7DA89457">
      <w:pPr>
        <w:spacing w:before="57" w:line="225" w:lineRule="auto"/>
        <w:ind w:left="22"/>
        <w:rPr>
          <w:rFonts w:ascii="黑体" w:hAnsi="黑体" w:eastAsia="黑体" w:cs="黑体"/>
          <w:color w:val="auto"/>
          <w:sz w:val="27"/>
          <w:szCs w:val="27"/>
          <w:highlight w:val="none"/>
        </w:rPr>
      </w:pPr>
      <w:bookmarkStart w:id="77" w:name="bookmark96"/>
      <w:bookmarkEnd w:id="77"/>
      <w:r>
        <w:rPr>
          <w:rFonts w:ascii="Times New Roman" w:hAnsi="Times New Roman" w:eastAsia="Times New Roman" w:cs="Times New Roman"/>
          <w:color w:val="auto"/>
          <w:sz w:val="27"/>
          <w:szCs w:val="27"/>
          <w:highlight w:val="none"/>
        </w:rPr>
        <w:t>6.</w:t>
      </w:r>
      <w:r>
        <w:rPr>
          <w:rFonts w:ascii="Times New Roman" w:hAnsi="Times New Roman" w:eastAsia="Times New Roman" w:cs="Times New Roman"/>
          <w:color w:val="auto"/>
          <w:spacing w:val="17"/>
          <w:sz w:val="27"/>
          <w:szCs w:val="27"/>
          <w:highlight w:val="none"/>
        </w:rPr>
        <w:t xml:space="preserve"> </w:t>
      </w:r>
      <w:r>
        <w:rPr>
          <w:rFonts w:ascii="黑体" w:hAnsi="黑体" w:eastAsia="黑体" w:cs="黑体"/>
          <w:color w:val="auto"/>
          <w:sz w:val="27"/>
          <w:szCs w:val="27"/>
          <w:highlight w:val="none"/>
        </w:rPr>
        <w:t>评标</w:t>
      </w:r>
    </w:p>
    <w:p w14:paraId="5A03BB06">
      <w:pPr>
        <w:spacing w:before="64" w:line="218" w:lineRule="auto"/>
        <w:ind w:left="20"/>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6.1 </w:t>
      </w:r>
      <w:r>
        <w:rPr>
          <w:rFonts w:ascii="黑体" w:hAnsi="黑体" w:eastAsia="黑体" w:cs="黑体"/>
          <w:color w:val="auto"/>
          <w:spacing w:val="-1"/>
          <w:sz w:val="24"/>
          <w:szCs w:val="24"/>
          <w:highlight w:val="none"/>
        </w:rPr>
        <w:t>评标委员会</w:t>
      </w:r>
    </w:p>
    <w:p w14:paraId="79D39F13">
      <w:pPr>
        <w:spacing w:before="102" w:line="284" w:lineRule="auto"/>
        <w:ind w:left="17" w:right="8" w:firstLine="424"/>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6.1.1</w:t>
      </w:r>
      <w:r>
        <w:rPr>
          <w:rFonts w:ascii="Times New Roman" w:hAnsi="Times New Roman" w:eastAsia="Times New Roman" w:cs="Times New Roman"/>
          <w:color w:val="auto"/>
          <w:spacing w:val="32"/>
          <w:w w:val="101"/>
          <w:sz w:val="21"/>
          <w:szCs w:val="21"/>
          <w:highlight w:val="none"/>
        </w:rPr>
        <w:t xml:space="preserve"> </w:t>
      </w:r>
      <w:r>
        <w:rPr>
          <w:rFonts w:ascii="宋体" w:hAnsi="宋体" w:eastAsia="宋体" w:cs="宋体"/>
          <w:color w:val="auto"/>
          <w:spacing w:val="1"/>
          <w:sz w:val="21"/>
          <w:szCs w:val="21"/>
          <w:highlight w:val="none"/>
        </w:rPr>
        <w:t>评标由招标人依法组建的评标委员会负责。评标</w:t>
      </w:r>
      <w:r>
        <w:rPr>
          <w:rFonts w:ascii="宋体" w:hAnsi="宋体" w:eastAsia="宋体" w:cs="宋体"/>
          <w:color w:val="auto"/>
          <w:sz w:val="21"/>
          <w:szCs w:val="21"/>
          <w:highlight w:val="none"/>
        </w:rPr>
        <w:t xml:space="preserve">委员会由招标人或其委托的招标 </w:t>
      </w:r>
      <w:r>
        <w:rPr>
          <w:rFonts w:ascii="宋体" w:hAnsi="宋体" w:eastAsia="宋体" w:cs="宋体"/>
          <w:color w:val="auto"/>
          <w:spacing w:val="3"/>
          <w:sz w:val="21"/>
          <w:szCs w:val="21"/>
          <w:highlight w:val="none"/>
        </w:rPr>
        <w:t>代理机构熟悉相关业务的代表，以及有关技术、经济等方面的专家组成。评标</w:t>
      </w:r>
      <w:r>
        <w:rPr>
          <w:rFonts w:ascii="宋体" w:hAnsi="宋体" w:eastAsia="宋体" w:cs="宋体"/>
          <w:color w:val="auto"/>
          <w:spacing w:val="2"/>
          <w:sz w:val="21"/>
          <w:szCs w:val="21"/>
          <w:highlight w:val="none"/>
        </w:rPr>
        <w:t>委员会成员</w:t>
      </w:r>
      <w:r>
        <w:rPr>
          <w:rFonts w:ascii="宋体" w:hAnsi="宋体" w:eastAsia="宋体" w:cs="宋体"/>
          <w:color w:val="auto"/>
          <w:sz w:val="21"/>
          <w:szCs w:val="21"/>
          <w:highlight w:val="none"/>
        </w:rPr>
        <w:t xml:space="preserve"> 人数以及技术、经济等方面专家的确定方式见投标人须知</w:t>
      </w:r>
      <w:r>
        <w:rPr>
          <w:rFonts w:ascii="宋体" w:hAnsi="宋体" w:eastAsia="宋体" w:cs="宋体"/>
          <w:color w:val="auto"/>
          <w:spacing w:val="-1"/>
          <w:sz w:val="21"/>
          <w:szCs w:val="21"/>
          <w:highlight w:val="none"/>
        </w:rPr>
        <w:t>前附表。</w:t>
      </w:r>
    </w:p>
    <w:p w14:paraId="1B656FE0">
      <w:pPr>
        <w:spacing w:before="109" w:line="220"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6.1.2 </w:t>
      </w:r>
      <w:r>
        <w:rPr>
          <w:rFonts w:ascii="宋体" w:hAnsi="宋体" w:eastAsia="宋体" w:cs="宋体"/>
          <w:color w:val="auto"/>
          <w:spacing w:val="-2"/>
          <w:sz w:val="21"/>
          <w:szCs w:val="21"/>
          <w:highlight w:val="none"/>
        </w:rPr>
        <w:t>评标委员会成员有下列情形之一的，应当回避：</w:t>
      </w:r>
    </w:p>
    <w:p w14:paraId="5C742F14">
      <w:pPr>
        <w:spacing w:before="109"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）投标人或投标人的主要负责人的近亲</w:t>
      </w:r>
      <w:r>
        <w:rPr>
          <w:rFonts w:ascii="宋体" w:hAnsi="宋体" w:eastAsia="宋体" w:cs="宋体"/>
          <w:color w:val="auto"/>
          <w:spacing w:val="-3"/>
          <w:sz w:val="21"/>
          <w:szCs w:val="21"/>
          <w:highlight w:val="none"/>
        </w:rPr>
        <w:t>属；</w:t>
      </w:r>
    </w:p>
    <w:p w14:paraId="6527E400">
      <w:pPr>
        <w:spacing w:before="109"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）项目主管部门或者行政监督部门的人</w:t>
      </w:r>
      <w:r>
        <w:rPr>
          <w:rFonts w:ascii="宋体" w:hAnsi="宋体" w:eastAsia="宋体" w:cs="宋体"/>
          <w:color w:val="auto"/>
          <w:spacing w:val="-3"/>
          <w:sz w:val="21"/>
          <w:szCs w:val="21"/>
          <w:highlight w:val="none"/>
        </w:rPr>
        <w:t>员；</w:t>
      </w:r>
    </w:p>
    <w:p w14:paraId="386988CA">
      <w:pPr>
        <w:spacing w:before="110"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）与投标人有经济利益关系或其他利害关系，可能</w:t>
      </w:r>
      <w:r>
        <w:rPr>
          <w:rFonts w:ascii="宋体" w:hAnsi="宋体" w:eastAsia="宋体" w:cs="宋体"/>
          <w:color w:val="auto"/>
          <w:spacing w:val="-2"/>
          <w:sz w:val="21"/>
          <w:szCs w:val="21"/>
          <w:highlight w:val="none"/>
        </w:rPr>
        <w:t>影响对投标公正评审的；</w:t>
      </w:r>
    </w:p>
    <w:p w14:paraId="74BBAAA9">
      <w:pPr>
        <w:spacing w:before="109" w:line="221" w:lineRule="auto"/>
        <w:ind w:right="25"/>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4</w:t>
      </w:r>
      <w:r>
        <w:rPr>
          <w:rFonts w:ascii="宋体" w:hAnsi="宋体" w:eastAsia="宋体" w:cs="宋体"/>
          <w:color w:val="auto"/>
          <w:sz w:val="21"/>
          <w:szCs w:val="21"/>
          <w:highlight w:val="none"/>
        </w:rPr>
        <w:t>）曾因在招标、评标以及其他与招标投标有</w:t>
      </w:r>
      <w:r>
        <w:rPr>
          <w:rFonts w:ascii="宋体" w:hAnsi="宋体" w:eastAsia="宋体" w:cs="宋体"/>
          <w:color w:val="auto"/>
          <w:spacing w:val="-1"/>
          <w:sz w:val="21"/>
          <w:szCs w:val="21"/>
          <w:highlight w:val="none"/>
        </w:rPr>
        <w:t>关活动中从事违法行为而受过行政处罚</w:t>
      </w:r>
    </w:p>
    <w:p w14:paraId="5C68633E">
      <w:pPr>
        <w:spacing w:before="108" w:line="335" w:lineRule="exact"/>
        <w:ind w:left="20"/>
        <w:rPr>
          <w:rFonts w:ascii="宋体" w:hAnsi="宋体" w:eastAsia="宋体" w:cs="宋体"/>
          <w:color w:val="auto"/>
          <w:sz w:val="21"/>
          <w:szCs w:val="21"/>
          <w:highlight w:val="none"/>
        </w:rPr>
      </w:pPr>
      <w:r>
        <w:rPr>
          <w:rFonts w:ascii="宋体" w:hAnsi="宋体" w:eastAsia="宋体" w:cs="宋体"/>
          <w:color w:val="auto"/>
          <w:spacing w:val="-4"/>
          <w:position w:val="9"/>
          <w:sz w:val="21"/>
          <w:szCs w:val="21"/>
          <w:highlight w:val="none"/>
        </w:rPr>
        <w:t>或刑事处罚的。</w:t>
      </w:r>
    </w:p>
    <w:p w14:paraId="5152E65B">
      <w:pPr>
        <w:spacing w:before="1" w:line="218" w:lineRule="auto"/>
        <w:ind w:left="20"/>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6.2</w:t>
      </w:r>
      <w:r>
        <w:rPr>
          <w:rFonts w:ascii="Times New Roman" w:hAnsi="Times New Roman" w:eastAsia="Times New Roman" w:cs="Times New Roman"/>
          <w:color w:val="auto"/>
          <w:spacing w:val="17"/>
          <w:sz w:val="24"/>
          <w:szCs w:val="24"/>
          <w:highlight w:val="none"/>
        </w:rPr>
        <w:t xml:space="preserve"> </w:t>
      </w:r>
      <w:r>
        <w:rPr>
          <w:rFonts w:ascii="黑体" w:hAnsi="黑体" w:eastAsia="黑体" w:cs="黑体"/>
          <w:color w:val="auto"/>
          <w:spacing w:val="-3"/>
          <w:sz w:val="24"/>
          <w:szCs w:val="24"/>
          <w:highlight w:val="none"/>
        </w:rPr>
        <w:t>评标原则</w:t>
      </w:r>
    </w:p>
    <w:p w14:paraId="343E999F">
      <w:pPr>
        <w:spacing w:before="100" w:line="336" w:lineRule="exact"/>
        <w:ind w:left="440"/>
        <w:rPr>
          <w:rFonts w:ascii="宋体" w:hAnsi="宋体" w:eastAsia="宋体" w:cs="宋体"/>
          <w:color w:val="auto"/>
          <w:sz w:val="21"/>
          <w:szCs w:val="21"/>
          <w:highlight w:val="none"/>
        </w:rPr>
      </w:pPr>
      <w:r>
        <w:rPr>
          <w:rFonts w:ascii="宋体" w:hAnsi="宋体" w:eastAsia="宋体" w:cs="宋体"/>
          <w:color w:val="auto"/>
          <w:spacing w:val="-2"/>
          <w:position w:val="9"/>
          <w:sz w:val="21"/>
          <w:szCs w:val="21"/>
          <w:highlight w:val="none"/>
        </w:rPr>
        <w:t>评标活动遵循公平、公正、科学和择优的原则。</w:t>
      </w:r>
    </w:p>
    <w:p w14:paraId="66BEFF7E">
      <w:pPr>
        <w:spacing w:before="1" w:line="218" w:lineRule="auto"/>
        <w:ind w:left="20"/>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6.3</w:t>
      </w:r>
      <w:r>
        <w:rPr>
          <w:rFonts w:ascii="Times New Roman" w:hAnsi="Times New Roman" w:eastAsia="Times New Roman" w:cs="Times New Roman"/>
          <w:color w:val="auto"/>
          <w:spacing w:val="13"/>
          <w:sz w:val="24"/>
          <w:szCs w:val="24"/>
          <w:highlight w:val="none"/>
        </w:rPr>
        <w:t xml:space="preserve"> </w:t>
      </w:r>
      <w:r>
        <w:rPr>
          <w:rFonts w:ascii="黑体" w:hAnsi="黑体" w:eastAsia="黑体" w:cs="黑体"/>
          <w:color w:val="auto"/>
          <w:spacing w:val="-3"/>
          <w:sz w:val="24"/>
          <w:szCs w:val="24"/>
          <w:highlight w:val="none"/>
        </w:rPr>
        <w:t>评标</w:t>
      </w:r>
    </w:p>
    <w:p w14:paraId="78586709">
      <w:pPr>
        <w:spacing w:before="101" w:line="268" w:lineRule="auto"/>
        <w:ind w:left="16" w:right="6" w:firstLine="42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评标委员会按照第三章“评标办法”规定的方法、评审因素、标准和程序对投标文件 </w:t>
      </w:r>
      <w:r>
        <w:rPr>
          <w:rFonts w:ascii="宋体" w:hAnsi="宋体" w:eastAsia="宋体" w:cs="宋体"/>
          <w:color w:val="auto"/>
          <w:spacing w:val="-1"/>
          <w:sz w:val="21"/>
          <w:szCs w:val="21"/>
          <w:highlight w:val="none"/>
        </w:rPr>
        <w:t>进行评审。第三章“评标办法”没有规定的方法、评审因素和标准，不作为评标依据。</w:t>
      </w:r>
    </w:p>
    <w:p w14:paraId="1C485A47">
      <w:pPr>
        <w:spacing w:before="110" w:line="335" w:lineRule="exact"/>
        <w:ind w:left="440"/>
        <w:rPr>
          <w:rFonts w:ascii="宋体" w:hAnsi="宋体" w:eastAsia="宋体" w:cs="宋体"/>
          <w:color w:val="auto"/>
          <w:sz w:val="21"/>
          <w:szCs w:val="21"/>
          <w:highlight w:val="none"/>
        </w:rPr>
      </w:pPr>
      <w:r>
        <w:rPr>
          <w:rFonts w:ascii="宋体" w:hAnsi="宋体" w:eastAsia="宋体" w:cs="宋体"/>
          <w:color w:val="auto"/>
          <w:spacing w:val="-2"/>
          <w:position w:val="9"/>
          <w:sz w:val="21"/>
          <w:szCs w:val="21"/>
          <w:highlight w:val="none"/>
        </w:rPr>
        <w:t>评标采用方式详见投标人须知前附表。</w:t>
      </w:r>
    </w:p>
    <w:p w14:paraId="73BFBBDB">
      <w:pPr>
        <w:spacing w:before="1" w:line="218" w:lineRule="auto"/>
        <w:ind w:left="20"/>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6.4 </w:t>
      </w:r>
      <w:r>
        <w:rPr>
          <w:rFonts w:ascii="黑体" w:hAnsi="黑体" w:eastAsia="黑体" w:cs="黑体"/>
          <w:color w:val="auto"/>
          <w:spacing w:val="-1"/>
          <w:sz w:val="24"/>
          <w:szCs w:val="24"/>
          <w:highlight w:val="none"/>
        </w:rPr>
        <w:t>评标结果公示</w:t>
      </w:r>
    </w:p>
    <w:p w14:paraId="19FBD188">
      <w:pPr>
        <w:spacing w:before="102" w:line="292" w:lineRule="auto"/>
        <w:ind w:left="17" w:right="6" w:firstLine="4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 xml:space="preserve">招标人将自收到评标报告之日起 </w:t>
      </w:r>
      <w:r>
        <w:rPr>
          <w:rFonts w:ascii="Times New Roman" w:hAnsi="Times New Roman" w:eastAsia="Times New Roman" w:cs="Times New Roman"/>
          <w:color w:val="auto"/>
          <w:spacing w:val="-2"/>
          <w:sz w:val="21"/>
          <w:szCs w:val="21"/>
          <w:highlight w:val="none"/>
        </w:rPr>
        <w:t>3</w:t>
      </w:r>
      <w:r>
        <w:rPr>
          <w:rFonts w:ascii="Times New Roman" w:hAnsi="Times New Roman" w:eastAsia="Times New Roman" w:cs="Times New Roman"/>
          <w:color w:val="auto"/>
          <w:spacing w:val="20"/>
          <w:sz w:val="21"/>
          <w:szCs w:val="21"/>
          <w:highlight w:val="none"/>
        </w:rPr>
        <w:t xml:space="preserve">  </w:t>
      </w:r>
      <w:r>
        <w:rPr>
          <w:rFonts w:ascii="宋体" w:hAnsi="宋体" w:eastAsia="宋体" w:cs="宋体"/>
          <w:color w:val="auto"/>
          <w:spacing w:val="-2"/>
          <w:sz w:val="21"/>
          <w:szCs w:val="21"/>
          <w:highlight w:val="none"/>
        </w:rPr>
        <w:t>日内，完成审查评标委员会提交的书面评标报告，</w:t>
      </w:r>
      <w:r>
        <w:rPr>
          <w:rFonts w:ascii="宋体" w:hAnsi="宋体" w:eastAsia="宋体" w:cs="宋体"/>
          <w:color w:val="auto"/>
          <w:sz w:val="21"/>
          <w:szCs w:val="21"/>
          <w:highlight w:val="none"/>
        </w:rPr>
        <w:t xml:space="preserve"> 并在投标人须知前附表规定的媒介公示中标候选人。公示期不少于 </w:t>
      </w:r>
      <w:r>
        <w:rPr>
          <w:rFonts w:ascii="Times New Roman" w:hAnsi="Times New Roman" w:eastAsia="Times New Roman" w:cs="Times New Roman"/>
          <w:color w:val="auto"/>
          <w:sz w:val="21"/>
          <w:szCs w:val="21"/>
          <w:highlight w:val="none"/>
        </w:rPr>
        <w:t xml:space="preserve">3  </w:t>
      </w:r>
      <w:r>
        <w:rPr>
          <w:rFonts w:ascii="宋体" w:hAnsi="宋体" w:eastAsia="宋体" w:cs="宋体"/>
          <w:color w:val="auto"/>
          <w:sz w:val="21"/>
          <w:szCs w:val="21"/>
          <w:highlight w:val="none"/>
        </w:rPr>
        <w:t>日。招标人在中标候</w:t>
      </w:r>
      <w:r>
        <w:rPr>
          <w:rFonts w:ascii="宋体" w:hAnsi="宋体" w:eastAsia="宋体" w:cs="宋体"/>
          <w:color w:val="auto"/>
          <w:spacing w:val="13"/>
          <w:sz w:val="21"/>
          <w:szCs w:val="21"/>
          <w:highlight w:val="none"/>
        </w:rPr>
        <w:t xml:space="preserve"> </w:t>
      </w:r>
      <w:r>
        <w:rPr>
          <w:rFonts w:ascii="宋体" w:hAnsi="宋体" w:eastAsia="宋体" w:cs="宋体"/>
          <w:color w:val="auto"/>
          <w:spacing w:val="-1"/>
          <w:sz w:val="21"/>
          <w:szCs w:val="21"/>
          <w:highlight w:val="none"/>
        </w:rPr>
        <w:t>选人公示前将对评标委员会提交的评标报告进行审查，</w:t>
      </w:r>
      <w:r>
        <w:rPr>
          <w:rFonts w:ascii="宋体" w:hAnsi="宋体" w:eastAsia="宋体" w:cs="宋体"/>
          <w:color w:val="auto"/>
          <w:spacing w:val="46"/>
          <w:sz w:val="21"/>
          <w:szCs w:val="21"/>
          <w:highlight w:val="none"/>
        </w:rPr>
        <w:t xml:space="preserve"> </w:t>
      </w:r>
      <w:r>
        <w:rPr>
          <w:rFonts w:ascii="宋体" w:hAnsi="宋体" w:eastAsia="宋体" w:cs="宋体"/>
          <w:color w:val="auto"/>
          <w:spacing w:val="-1"/>
          <w:sz w:val="21"/>
          <w:szCs w:val="21"/>
          <w:highlight w:val="none"/>
        </w:rPr>
        <w:t>发现异常情形的，依照法定程序进</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行复核，确认存在问题的，依照法定程序予以纠正。</w:t>
      </w:r>
    </w:p>
    <w:p w14:paraId="06AD8DB3">
      <w:pPr>
        <w:spacing w:before="112" w:line="292" w:lineRule="auto"/>
        <w:ind w:left="21" w:right="6" w:firstLine="4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投标人或者其他利害关系人对评标结果有异议的，应当在中标候选人公示（评标结果</w:t>
      </w:r>
      <w:r>
        <w:rPr>
          <w:rFonts w:ascii="宋体" w:hAnsi="宋体" w:eastAsia="宋体" w:cs="宋体"/>
          <w:color w:val="auto"/>
          <w:sz w:val="21"/>
          <w:szCs w:val="21"/>
          <w:highlight w:val="none"/>
        </w:rPr>
        <w:t xml:space="preserve"> 公示）期间提出。招标人自收到异议之日起 </w:t>
      </w:r>
      <w:r>
        <w:rPr>
          <w:rFonts w:ascii="Times New Roman" w:hAnsi="Times New Roman" w:eastAsia="Times New Roman" w:cs="Times New Roman"/>
          <w:color w:val="auto"/>
          <w:sz w:val="21"/>
          <w:szCs w:val="21"/>
          <w:highlight w:val="none"/>
        </w:rPr>
        <w:t xml:space="preserve">3  </w:t>
      </w:r>
      <w:r>
        <w:rPr>
          <w:rFonts w:ascii="宋体" w:hAnsi="宋体" w:eastAsia="宋体" w:cs="宋体"/>
          <w:color w:val="auto"/>
          <w:sz w:val="21"/>
          <w:szCs w:val="21"/>
          <w:highlight w:val="none"/>
        </w:rPr>
        <w:t>日内作出答复；作出答复前，暂停招标投标</w:t>
      </w:r>
      <w:r>
        <w:rPr>
          <w:rFonts w:ascii="宋体" w:hAnsi="宋体" w:eastAsia="宋体" w:cs="宋体"/>
          <w:color w:val="auto"/>
          <w:spacing w:val="7"/>
          <w:sz w:val="21"/>
          <w:szCs w:val="21"/>
          <w:highlight w:val="none"/>
        </w:rPr>
        <w:t xml:space="preserve"> </w:t>
      </w:r>
      <w:r>
        <w:rPr>
          <w:rFonts w:ascii="宋体" w:hAnsi="宋体" w:eastAsia="宋体" w:cs="宋体"/>
          <w:color w:val="auto"/>
          <w:sz w:val="21"/>
          <w:szCs w:val="21"/>
          <w:highlight w:val="none"/>
        </w:rPr>
        <w:t>活动。在法定时间期限内未提出视为投标人权利灭失。 异议与答复应通过电子招标投标系</w:t>
      </w:r>
      <w:r>
        <w:rPr>
          <w:rFonts w:ascii="宋体" w:hAnsi="宋体" w:eastAsia="宋体" w:cs="宋体"/>
          <w:color w:val="auto"/>
          <w:spacing w:val="7"/>
          <w:sz w:val="21"/>
          <w:szCs w:val="21"/>
          <w:highlight w:val="none"/>
        </w:rPr>
        <w:t xml:space="preserve"> </w:t>
      </w:r>
      <w:r>
        <w:rPr>
          <w:rFonts w:ascii="宋体" w:hAnsi="宋体" w:eastAsia="宋体" w:cs="宋体"/>
          <w:color w:val="auto"/>
          <w:spacing w:val="-1"/>
          <w:sz w:val="21"/>
          <w:szCs w:val="21"/>
          <w:highlight w:val="none"/>
        </w:rPr>
        <w:t>统（辽宁省工程建设项目招标投标异议投诉处理系统）以书面形式</w:t>
      </w:r>
      <w:r>
        <w:rPr>
          <w:rFonts w:ascii="宋体" w:hAnsi="宋体" w:eastAsia="宋体" w:cs="宋体"/>
          <w:color w:val="auto"/>
          <w:spacing w:val="-2"/>
          <w:sz w:val="21"/>
          <w:szCs w:val="21"/>
          <w:highlight w:val="none"/>
        </w:rPr>
        <w:t>进行。</w:t>
      </w:r>
    </w:p>
    <w:p w14:paraId="77579A38">
      <w:pPr>
        <w:spacing w:before="85" w:line="219" w:lineRule="auto"/>
        <w:ind w:left="20"/>
        <w:rPr>
          <w:rFonts w:ascii="黑体" w:hAnsi="黑体" w:eastAsia="黑体" w:cs="黑体"/>
          <w:color w:val="auto"/>
          <w:sz w:val="24"/>
          <w:szCs w:val="24"/>
          <w:highlight w:val="none"/>
        </w:rPr>
      </w:pPr>
      <w:r>
        <w:rPr>
          <w:rFonts w:ascii="Times New Roman" w:hAnsi="Times New Roman" w:eastAsia="Times New Roman" w:cs="Times New Roman"/>
          <w:color w:val="auto"/>
          <w:spacing w:val="-7"/>
          <w:sz w:val="24"/>
          <w:szCs w:val="24"/>
          <w:highlight w:val="none"/>
        </w:rPr>
        <w:t xml:space="preserve">6.5 </w:t>
      </w:r>
      <w:r>
        <w:rPr>
          <w:rFonts w:ascii="黑体" w:hAnsi="黑体" w:eastAsia="黑体" w:cs="黑体"/>
          <w:color w:val="auto"/>
          <w:spacing w:val="-7"/>
          <w:sz w:val="24"/>
          <w:szCs w:val="24"/>
          <w:highlight w:val="none"/>
        </w:rPr>
        <w:t>履约能力的核查 （如有）</w:t>
      </w:r>
    </w:p>
    <w:p w14:paraId="4CA21254">
      <w:pPr>
        <w:spacing w:before="99" w:line="285" w:lineRule="auto"/>
        <w:ind w:left="18" w:right="6" w:firstLine="426"/>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如果中标候选人的经营、财务状况发生较大变化或者存在违法行为， 招标人认为可能</w:t>
      </w:r>
      <w:r>
        <w:rPr>
          <w:rFonts w:ascii="宋体" w:hAnsi="宋体" w:eastAsia="宋体" w:cs="宋体"/>
          <w:color w:val="auto"/>
          <w:spacing w:val="5"/>
          <w:sz w:val="21"/>
          <w:szCs w:val="21"/>
          <w:highlight w:val="none"/>
        </w:rPr>
        <w:t xml:space="preserve"> </w:t>
      </w:r>
      <w:r>
        <w:rPr>
          <w:rFonts w:ascii="宋体" w:hAnsi="宋体" w:eastAsia="宋体" w:cs="宋体"/>
          <w:color w:val="auto"/>
          <w:sz w:val="21"/>
          <w:szCs w:val="21"/>
          <w:highlight w:val="none"/>
        </w:rPr>
        <w:t>影响其履约能力的，将在发出中标通知书前报请行政监督部门后， 召集原评标委员会按照</w:t>
      </w:r>
      <w:r>
        <w:rPr>
          <w:rFonts w:ascii="宋体" w:hAnsi="宋体" w:eastAsia="宋体" w:cs="宋体"/>
          <w:color w:val="auto"/>
          <w:spacing w:val="6"/>
          <w:sz w:val="21"/>
          <w:szCs w:val="21"/>
          <w:highlight w:val="none"/>
        </w:rPr>
        <w:t xml:space="preserve"> </w:t>
      </w:r>
      <w:r>
        <w:rPr>
          <w:rFonts w:ascii="宋体" w:hAnsi="宋体" w:eastAsia="宋体" w:cs="宋体"/>
          <w:color w:val="auto"/>
          <w:spacing w:val="-2"/>
          <w:sz w:val="21"/>
          <w:szCs w:val="21"/>
          <w:highlight w:val="none"/>
        </w:rPr>
        <w:t>招标文件规定的标准和方法核查确认。</w:t>
      </w:r>
    </w:p>
    <w:p w14:paraId="73B31137">
      <w:pPr>
        <w:spacing w:before="153" w:line="393" w:lineRule="exact"/>
        <w:ind w:left="20"/>
        <w:rPr>
          <w:rFonts w:ascii="黑体" w:hAnsi="黑体" w:eastAsia="黑体" w:cs="黑体"/>
          <w:color w:val="auto"/>
          <w:sz w:val="27"/>
          <w:szCs w:val="27"/>
          <w:highlight w:val="none"/>
        </w:rPr>
      </w:pPr>
      <w:r>
        <w:rPr>
          <w:rFonts w:ascii="Times New Roman" w:hAnsi="Times New Roman" w:eastAsia="Times New Roman" w:cs="Times New Roman"/>
          <w:color w:val="auto"/>
          <w:spacing w:val="2"/>
          <w:position w:val="8"/>
          <w:sz w:val="27"/>
          <w:szCs w:val="27"/>
          <w:highlight w:val="none"/>
        </w:rPr>
        <w:t>7.</w:t>
      </w:r>
      <w:r>
        <w:rPr>
          <w:rFonts w:ascii="Times New Roman" w:hAnsi="Times New Roman" w:eastAsia="Times New Roman" w:cs="Times New Roman"/>
          <w:color w:val="auto"/>
          <w:spacing w:val="24"/>
          <w:position w:val="8"/>
          <w:sz w:val="27"/>
          <w:szCs w:val="27"/>
          <w:highlight w:val="none"/>
        </w:rPr>
        <w:t xml:space="preserve"> </w:t>
      </w:r>
      <w:r>
        <w:rPr>
          <w:rFonts w:ascii="黑体" w:hAnsi="黑体" w:eastAsia="黑体" w:cs="黑体"/>
          <w:color w:val="auto"/>
          <w:spacing w:val="2"/>
          <w:position w:val="8"/>
          <w:sz w:val="27"/>
          <w:szCs w:val="27"/>
          <w:highlight w:val="none"/>
        </w:rPr>
        <w:t>合同授予</w:t>
      </w:r>
    </w:p>
    <w:p w14:paraId="09856016">
      <w:pPr>
        <w:spacing w:line="218" w:lineRule="auto"/>
        <w:ind w:left="18"/>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7.1 </w:t>
      </w:r>
      <w:r>
        <w:rPr>
          <w:rFonts w:ascii="黑体" w:hAnsi="黑体" w:eastAsia="黑体" w:cs="黑体"/>
          <w:color w:val="auto"/>
          <w:spacing w:val="-1"/>
          <w:sz w:val="24"/>
          <w:szCs w:val="24"/>
          <w:highlight w:val="none"/>
        </w:rPr>
        <w:t>定标方式</w:t>
      </w:r>
    </w:p>
    <w:p w14:paraId="24CA050E">
      <w:pPr>
        <w:spacing w:before="102" w:line="284" w:lineRule="auto"/>
        <w:ind w:left="17" w:right="6" w:firstLine="43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除投标人须知前附表规定评标委员会直接确定中标人外，招标</w:t>
      </w:r>
      <w:r>
        <w:rPr>
          <w:rFonts w:ascii="宋体" w:hAnsi="宋体" w:eastAsia="宋体" w:cs="宋体"/>
          <w:color w:val="auto"/>
          <w:spacing w:val="2"/>
          <w:sz w:val="21"/>
          <w:szCs w:val="21"/>
          <w:highlight w:val="none"/>
        </w:rPr>
        <w:t>人依据评标委员会推荐</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的中标候选人确定中标人或从评标委员会推荐的中标候选人范围内自主研究确定中标人，</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评标委员会推荐中标候选人的人数见投标人须知前附表。</w:t>
      </w:r>
    </w:p>
    <w:p w14:paraId="578FAF1A">
      <w:pPr>
        <w:spacing w:before="109" w:line="285" w:lineRule="auto"/>
        <w:ind w:left="17" w:right="6" w:firstLine="42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招标人从评标委员会推荐的中标候选人范围内自主研究确定中标人的，招标人按照定</w:t>
      </w:r>
      <w:r>
        <w:rPr>
          <w:rFonts w:ascii="宋体" w:hAnsi="宋体" w:eastAsia="宋体" w:cs="宋体"/>
          <w:color w:val="auto"/>
          <w:spacing w:val="2"/>
          <w:sz w:val="21"/>
          <w:szCs w:val="21"/>
          <w:highlight w:val="none"/>
        </w:rPr>
        <w:t xml:space="preserve"> </w:t>
      </w:r>
      <w:r>
        <w:rPr>
          <w:rFonts w:ascii="宋体" w:hAnsi="宋体" w:eastAsia="宋体" w:cs="宋体"/>
          <w:color w:val="auto"/>
          <w:spacing w:val="3"/>
          <w:sz w:val="21"/>
          <w:szCs w:val="21"/>
          <w:highlight w:val="none"/>
        </w:rPr>
        <w:t>标办法规定的规则组建定标委员会，定标委员会按照定标办法规定的方法、规则、标准和</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程序在中标候选人中定标，确定中标人。 定标办法没有规定的方法、规则、标准，</w:t>
      </w:r>
      <w:r>
        <w:rPr>
          <w:rFonts w:ascii="宋体" w:hAnsi="宋体" w:eastAsia="宋体" w:cs="宋体"/>
          <w:color w:val="auto"/>
          <w:spacing w:val="66"/>
          <w:sz w:val="21"/>
          <w:szCs w:val="21"/>
          <w:highlight w:val="none"/>
        </w:rPr>
        <w:t xml:space="preserve"> </w:t>
      </w:r>
      <w:r>
        <w:rPr>
          <w:rFonts w:ascii="宋体" w:hAnsi="宋体" w:eastAsia="宋体" w:cs="宋体"/>
          <w:color w:val="auto"/>
          <w:spacing w:val="-4"/>
          <w:sz w:val="21"/>
          <w:szCs w:val="21"/>
          <w:highlight w:val="none"/>
        </w:rPr>
        <w:t>不得作</w:t>
      </w:r>
    </w:p>
    <w:p w14:paraId="6B33FABC">
      <w:pPr>
        <w:spacing w:line="285" w:lineRule="auto"/>
        <w:rPr>
          <w:rFonts w:ascii="宋体" w:hAnsi="宋体" w:eastAsia="宋体" w:cs="宋体"/>
          <w:color w:val="auto"/>
          <w:sz w:val="21"/>
          <w:szCs w:val="21"/>
          <w:highlight w:val="none"/>
        </w:rPr>
        <w:sectPr>
          <w:footerReference r:id="rId28" w:type="default"/>
          <w:pgSz w:w="11905" w:h="16839"/>
          <w:pgMar w:top="1431" w:right="1785" w:bottom="1036" w:left="1785" w:header="0" w:footer="847" w:gutter="0"/>
          <w:pgNumType w:fmt="decimal"/>
          <w:cols w:space="720" w:num="1"/>
        </w:sectPr>
      </w:pPr>
    </w:p>
    <w:p w14:paraId="3F6F310F">
      <w:pPr>
        <w:spacing w:before="115"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为定标依据。</w:t>
      </w:r>
    </w:p>
    <w:p w14:paraId="20FD2C7C">
      <w:pPr>
        <w:spacing w:before="84" w:line="220" w:lineRule="auto"/>
        <w:ind w:left="18"/>
        <w:rPr>
          <w:rFonts w:ascii="黑体" w:hAnsi="黑体" w:eastAsia="黑体" w:cs="黑体"/>
          <w:color w:val="auto"/>
          <w:sz w:val="24"/>
          <w:szCs w:val="24"/>
          <w:highlight w:val="none"/>
        </w:rPr>
      </w:pPr>
      <w:bookmarkStart w:id="78" w:name="bookmark97"/>
      <w:bookmarkEnd w:id="78"/>
      <w:r>
        <w:rPr>
          <w:rFonts w:ascii="Times New Roman" w:hAnsi="Times New Roman" w:eastAsia="Times New Roman" w:cs="Times New Roman"/>
          <w:color w:val="auto"/>
          <w:spacing w:val="-4"/>
          <w:sz w:val="24"/>
          <w:szCs w:val="24"/>
          <w:highlight w:val="none"/>
        </w:rPr>
        <w:t>7.2</w:t>
      </w:r>
      <w:r>
        <w:rPr>
          <w:rFonts w:ascii="Times New Roman" w:hAnsi="Times New Roman" w:eastAsia="Times New Roman" w:cs="Times New Roman"/>
          <w:color w:val="auto"/>
          <w:spacing w:val="31"/>
          <w:sz w:val="24"/>
          <w:szCs w:val="24"/>
          <w:highlight w:val="none"/>
        </w:rPr>
        <w:t xml:space="preserve"> </w:t>
      </w:r>
      <w:r>
        <w:rPr>
          <w:rFonts w:ascii="黑体" w:hAnsi="黑体" w:eastAsia="黑体" w:cs="黑体"/>
          <w:color w:val="auto"/>
          <w:spacing w:val="-4"/>
          <w:sz w:val="24"/>
          <w:szCs w:val="24"/>
          <w:highlight w:val="none"/>
        </w:rPr>
        <w:t>中标通知</w:t>
      </w:r>
    </w:p>
    <w:p w14:paraId="2B68F4E3">
      <w:pPr>
        <w:spacing w:before="99" w:line="285" w:lineRule="auto"/>
        <w:ind w:left="38" w:right="152" w:firstLine="40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评标结果公示期满后，在本章第</w:t>
      </w:r>
      <w:r>
        <w:rPr>
          <w:rFonts w:ascii="宋体" w:hAnsi="宋体" w:eastAsia="宋体" w:cs="宋体"/>
          <w:color w:val="auto"/>
          <w:spacing w:val="-57"/>
          <w:sz w:val="21"/>
          <w:szCs w:val="21"/>
          <w:highlight w:val="none"/>
        </w:rPr>
        <w:t xml:space="preserve"> </w:t>
      </w:r>
      <w:r>
        <w:rPr>
          <w:rFonts w:ascii="Times New Roman" w:hAnsi="Times New Roman" w:eastAsia="Times New Roman" w:cs="Times New Roman"/>
          <w:color w:val="auto"/>
          <w:sz w:val="21"/>
          <w:szCs w:val="21"/>
          <w:highlight w:val="none"/>
        </w:rPr>
        <w:t>3.3</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z w:val="21"/>
          <w:szCs w:val="21"/>
          <w:highlight w:val="none"/>
        </w:rPr>
        <w:t>款规定</w:t>
      </w:r>
      <w:r>
        <w:rPr>
          <w:rFonts w:ascii="宋体" w:hAnsi="宋体" w:eastAsia="宋体" w:cs="宋体"/>
          <w:color w:val="auto"/>
          <w:spacing w:val="-1"/>
          <w:sz w:val="21"/>
          <w:szCs w:val="21"/>
          <w:highlight w:val="none"/>
        </w:rPr>
        <w:t>的投标有效期内，招标人通过电子交易系统</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以书面形式向中标人发出经电子监督系统验证备案的中标通知书，</w:t>
      </w:r>
      <w:r>
        <w:rPr>
          <w:rFonts w:ascii="宋体" w:hAnsi="宋体" w:eastAsia="宋体" w:cs="宋体"/>
          <w:color w:val="auto"/>
          <w:spacing w:val="34"/>
          <w:sz w:val="21"/>
          <w:szCs w:val="21"/>
          <w:highlight w:val="none"/>
        </w:rPr>
        <w:t xml:space="preserve"> </w:t>
      </w:r>
      <w:r>
        <w:rPr>
          <w:rFonts w:ascii="宋体" w:hAnsi="宋体" w:eastAsia="宋体" w:cs="宋体"/>
          <w:color w:val="auto"/>
          <w:spacing w:val="-1"/>
          <w:sz w:val="21"/>
          <w:szCs w:val="21"/>
          <w:highlight w:val="none"/>
        </w:rPr>
        <w:t>同时</w:t>
      </w:r>
      <w:r>
        <w:rPr>
          <w:rFonts w:ascii="宋体" w:hAnsi="宋体" w:eastAsia="宋体" w:cs="宋体"/>
          <w:color w:val="auto"/>
          <w:spacing w:val="-2"/>
          <w:sz w:val="21"/>
          <w:szCs w:val="21"/>
          <w:highlight w:val="none"/>
        </w:rPr>
        <w:t>将中标结果通知未</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中标的投标人。</w:t>
      </w:r>
    </w:p>
    <w:p w14:paraId="1641F633">
      <w:pPr>
        <w:spacing w:before="108" w:line="269" w:lineRule="auto"/>
        <w:ind w:left="22" w:right="154" w:firstLine="43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中标通知书发出的同时，招标人将在投标人须知前附表第</w:t>
      </w:r>
      <w:r>
        <w:rPr>
          <w:rFonts w:ascii="宋体" w:hAnsi="宋体" w:eastAsia="宋体" w:cs="宋体"/>
          <w:color w:val="auto"/>
          <w:spacing w:val="-55"/>
          <w:sz w:val="21"/>
          <w:szCs w:val="21"/>
          <w:highlight w:val="none"/>
        </w:rPr>
        <w:t xml:space="preserve"> </w:t>
      </w:r>
      <w:r>
        <w:rPr>
          <w:rFonts w:ascii="Times New Roman" w:hAnsi="Times New Roman" w:eastAsia="Times New Roman" w:cs="Times New Roman"/>
          <w:color w:val="auto"/>
          <w:spacing w:val="-1"/>
          <w:sz w:val="21"/>
          <w:szCs w:val="21"/>
          <w:highlight w:val="none"/>
        </w:rPr>
        <w:t>6.4</w:t>
      </w:r>
      <w:r>
        <w:rPr>
          <w:rFonts w:ascii="Times New Roman" w:hAnsi="Times New Roman" w:eastAsia="Times New Roman" w:cs="Times New Roman"/>
          <w:color w:val="auto"/>
          <w:spacing w:val="-15"/>
          <w:sz w:val="21"/>
          <w:szCs w:val="21"/>
          <w:highlight w:val="none"/>
        </w:rPr>
        <w:t xml:space="preserve"> </w:t>
      </w:r>
      <w:r>
        <w:rPr>
          <w:rFonts w:ascii="宋体" w:hAnsi="宋体" w:eastAsia="宋体" w:cs="宋体"/>
          <w:color w:val="auto"/>
          <w:spacing w:val="-1"/>
          <w:sz w:val="21"/>
          <w:szCs w:val="21"/>
          <w:highlight w:val="none"/>
        </w:rPr>
        <w:t>款规定的媒介发布</w:t>
      </w:r>
      <w:r>
        <w:rPr>
          <w:rFonts w:ascii="宋体" w:hAnsi="宋体" w:eastAsia="宋体" w:cs="宋体"/>
          <w:color w:val="auto"/>
          <w:spacing w:val="-2"/>
          <w:sz w:val="21"/>
          <w:szCs w:val="21"/>
          <w:highlight w:val="none"/>
        </w:rPr>
        <w:t>中标结</w:t>
      </w:r>
      <w:r>
        <w:rPr>
          <w:rFonts w:ascii="宋体" w:hAnsi="宋体" w:eastAsia="宋体" w:cs="宋体"/>
          <w:color w:val="auto"/>
          <w:sz w:val="21"/>
          <w:szCs w:val="21"/>
          <w:highlight w:val="none"/>
        </w:rPr>
        <w:t xml:space="preserve"> </w:t>
      </w:r>
      <w:r>
        <w:rPr>
          <w:rFonts w:ascii="宋体" w:hAnsi="宋体" w:eastAsia="宋体" w:cs="宋体"/>
          <w:color w:val="auto"/>
          <w:spacing w:val="-8"/>
          <w:sz w:val="21"/>
          <w:szCs w:val="21"/>
          <w:highlight w:val="none"/>
        </w:rPr>
        <w:t>果公示。</w:t>
      </w:r>
    </w:p>
    <w:p w14:paraId="451BF037">
      <w:pPr>
        <w:spacing w:before="83" w:line="219" w:lineRule="auto"/>
        <w:ind w:left="18"/>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7.3 </w:t>
      </w:r>
      <w:r>
        <w:rPr>
          <w:rFonts w:ascii="黑体" w:hAnsi="黑体" w:eastAsia="黑体" w:cs="黑体"/>
          <w:color w:val="auto"/>
          <w:spacing w:val="-1"/>
          <w:sz w:val="24"/>
          <w:szCs w:val="24"/>
          <w:highlight w:val="none"/>
        </w:rPr>
        <w:t>履约保证金</w:t>
      </w:r>
    </w:p>
    <w:p w14:paraId="51FBAF5A">
      <w:pPr>
        <w:spacing w:before="102" w:line="292" w:lineRule="auto"/>
        <w:ind w:left="18" w:right="155" w:firstLine="422"/>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7.3.1</w:t>
      </w:r>
      <w:r>
        <w:rPr>
          <w:rFonts w:ascii="Times New Roman" w:hAnsi="Times New Roman" w:eastAsia="Times New Roman" w:cs="Times New Roman"/>
          <w:color w:val="auto"/>
          <w:spacing w:val="41"/>
          <w:w w:val="101"/>
          <w:sz w:val="21"/>
          <w:szCs w:val="21"/>
          <w:highlight w:val="none"/>
        </w:rPr>
        <w:t xml:space="preserve"> </w:t>
      </w:r>
      <w:r>
        <w:rPr>
          <w:rFonts w:ascii="宋体" w:hAnsi="宋体" w:eastAsia="宋体" w:cs="宋体"/>
          <w:color w:val="auto"/>
          <w:spacing w:val="1"/>
          <w:sz w:val="21"/>
          <w:szCs w:val="21"/>
          <w:highlight w:val="none"/>
        </w:rPr>
        <w:t>在签订合同前，中标人应按投标人须知前</w:t>
      </w:r>
      <w:r>
        <w:rPr>
          <w:rFonts w:ascii="宋体" w:hAnsi="宋体" w:eastAsia="宋体" w:cs="宋体"/>
          <w:color w:val="auto"/>
          <w:sz w:val="21"/>
          <w:szCs w:val="21"/>
          <w:highlight w:val="none"/>
        </w:rPr>
        <w:t xml:space="preserve">附表规定的金额、担保形式和招标文件 </w:t>
      </w:r>
      <w:r>
        <w:rPr>
          <w:rFonts w:ascii="宋体" w:hAnsi="宋体" w:eastAsia="宋体" w:cs="宋体"/>
          <w:color w:val="auto"/>
          <w:spacing w:val="3"/>
          <w:sz w:val="21"/>
          <w:szCs w:val="21"/>
          <w:highlight w:val="none"/>
        </w:rPr>
        <w:t>第四章“合同条款及格式”规定的履约保证金格式或者事先经过招标人书面</w:t>
      </w:r>
      <w:r>
        <w:rPr>
          <w:rFonts w:ascii="宋体" w:hAnsi="宋体" w:eastAsia="宋体" w:cs="宋体"/>
          <w:color w:val="auto"/>
          <w:spacing w:val="2"/>
          <w:sz w:val="21"/>
          <w:szCs w:val="21"/>
          <w:highlight w:val="none"/>
        </w:rPr>
        <w:t>认可的履约保</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证金格式向招标人提交履约担保。联合体中标的，其履约保证金由牵头人递</w:t>
      </w:r>
      <w:r>
        <w:rPr>
          <w:rFonts w:ascii="宋体" w:hAnsi="宋体" w:eastAsia="宋体" w:cs="宋体"/>
          <w:color w:val="auto"/>
          <w:spacing w:val="2"/>
          <w:sz w:val="21"/>
          <w:szCs w:val="21"/>
          <w:highlight w:val="none"/>
        </w:rPr>
        <w:t>交，并应符合</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投标人须知前附表的规定。</w:t>
      </w:r>
    </w:p>
    <w:p w14:paraId="30D4B414">
      <w:pPr>
        <w:spacing w:before="108" w:line="285" w:lineRule="auto"/>
        <w:ind w:left="18" w:right="155" w:firstLine="422"/>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7.3.2</w:t>
      </w:r>
      <w:r>
        <w:rPr>
          <w:rFonts w:ascii="Times New Roman" w:hAnsi="Times New Roman" w:eastAsia="Times New Roman" w:cs="Times New Roman"/>
          <w:color w:val="auto"/>
          <w:spacing w:val="14"/>
          <w:w w:val="101"/>
          <w:sz w:val="21"/>
          <w:szCs w:val="21"/>
          <w:highlight w:val="none"/>
        </w:rPr>
        <w:t xml:space="preserve"> </w:t>
      </w:r>
      <w:r>
        <w:rPr>
          <w:rFonts w:ascii="宋体" w:hAnsi="宋体" w:eastAsia="宋体" w:cs="宋体"/>
          <w:color w:val="auto"/>
          <w:spacing w:val="-1"/>
          <w:sz w:val="21"/>
          <w:szCs w:val="21"/>
          <w:highlight w:val="none"/>
        </w:rPr>
        <w:t>中标人不能按本章第</w:t>
      </w:r>
      <w:r>
        <w:rPr>
          <w:rFonts w:ascii="宋体" w:hAnsi="宋体" w:eastAsia="宋体" w:cs="宋体"/>
          <w:color w:val="auto"/>
          <w:spacing w:val="-48"/>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7.3.1 </w:t>
      </w:r>
      <w:r>
        <w:rPr>
          <w:rFonts w:ascii="宋体" w:hAnsi="宋体" w:eastAsia="宋体" w:cs="宋体"/>
          <w:color w:val="auto"/>
          <w:spacing w:val="-1"/>
          <w:sz w:val="21"/>
          <w:szCs w:val="21"/>
          <w:highlight w:val="none"/>
        </w:rPr>
        <w:t>项要求提交履约保证</w:t>
      </w:r>
      <w:r>
        <w:rPr>
          <w:rFonts w:ascii="宋体" w:hAnsi="宋体" w:eastAsia="宋体" w:cs="宋体"/>
          <w:color w:val="auto"/>
          <w:spacing w:val="-2"/>
          <w:sz w:val="21"/>
          <w:szCs w:val="21"/>
          <w:highlight w:val="none"/>
        </w:rPr>
        <w:t>金的，视为放弃中标，其投标保证</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金不予退还， 给招标人造成的损失超过投标保证金数</w:t>
      </w:r>
      <w:r>
        <w:rPr>
          <w:rFonts w:ascii="宋体" w:hAnsi="宋体" w:eastAsia="宋体" w:cs="宋体"/>
          <w:color w:val="auto"/>
          <w:spacing w:val="-3"/>
          <w:sz w:val="21"/>
          <w:szCs w:val="21"/>
          <w:highlight w:val="none"/>
        </w:rPr>
        <w:t>额的， 中标人还应当对超过部分予以</w:t>
      </w:r>
      <w:r>
        <w:rPr>
          <w:rFonts w:ascii="宋体" w:hAnsi="宋体" w:eastAsia="宋体" w:cs="宋体"/>
          <w:color w:val="auto"/>
          <w:sz w:val="21"/>
          <w:szCs w:val="21"/>
          <w:highlight w:val="none"/>
        </w:rPr>
        <w:t xml:space="preserve"> </w:t>
      </w:r>
      <w:r>
        <w:rPr>
          <w:rFonts w:ascii="宋体" w:hAnsi="宋体" w:eastAsia="宋体" w:cs="宋体"/>
          <w:color w:val="auto"/>
          <w:spacing w:val="-8"/>
          <w:sz w:val="21"/>
          <w:szCs w:val="21"/>
          <w:highlight w:val="none"/>
        </w:rPr>
        <w:t>赔偿。</w:t>
      </w:r>
    </w:p>
    <w:p w14:paraId="48D60BBA">
      <w:pPr>
        <w:spacing w:before="85" w:line="220" w:lineRule="auto"/>
        <w:ind w:left="18"/>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7.4</w:t>
      </w:r>
      <w:r>
        <w:rPr>
          <w:rFonts w:ascii="Times New Roman" w:hAnsi="Times New Roman" w:eastAsia="Times New Roman" w:cs="Times New Roman"/>
          <w:color w:val="auto"/>
          <w:spacing w:val="12"/>
          <w:sz w:val="24"/>
          <w:szCs w:val="24"/>
          <w:highlight w:val="none"/>
        </w:rPr>
        <w:t xml:space="preserve"> </w:t>
      </w:r>
      <w:r>
        <w:rPr>
          <w:rFonts w:ascii="黑体" w:hAnsi="黑体" w:eastAsia="黑体" w:cs="黑体"/>
          <w:color w:val="auto"/>
          <w:spacing w:val="-2"/>
          <w:sz w:val="24"/>
          <w:szCs w:val="24"/>
          <w:highlight w:val="none"/>
        </w:rPr>
        <w:t>签订合同</w:t>
      </w:r>
    </w:p>
    <w:p w14:paraId="14E6D08E">
      <w:pPr>
        <w:spacing w:before="100" w:line="297" w:lineRule="auto"/>
        <w:ind w:left="19" w:firstLine="421"/>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7.4.1 </w:t>
      </w:r>
      <w:r>
        <w:rPr>
          <w:rFonts w:ascii="宋体" w:hAnsi="宋体" w:eastAsia="宋体" w:cs="宋体"/>
          <w:color w:val="auto"/>
          <w:spacing w:val="-2"/>
          <w:sz w:val="21"/>
          <w:szCs w:val="21"/>
          <w:highlight w:val="none"/>
        </w:rPr>
        <w:t>招标人和中标人应当在投标有效期内并自</w:t>
      </w:r>
      <w:r>
        <w:rPr>
          <w:rFonts w:ascii="宋体" w:hAnsi="宋体" w:eastAsia="宋体" w:cs="宋体"/>
          <w:color w:val="auto"/>
          <w:spacing w:val="-3"/>
          <w:sz w:val="21"/>
          <w:szCs w:val="21"/>
          <w:highlight w:val="none"/>
        </w:rPr>
        <w:t>中标通知书发出之日起</w:t>
      </w:r>
      <w:r>
        <w:rPr>
          <w:rFonts w:ascii="宋体" w:hAnsi="宋体" w:eastAsia="宋体" w:cs="宋体"/>
          <w:color w:val="auto"/>
          <w:spacing w:val="-45"/>
          <w:sz w:val="21"/>
          <w:szCs w:val="21"/>
          <w:highlight w:val="none"/>
        </w:rPr>
        <w:t xml:space="preserve"> </w:t>
      </w:r>
      <w:r>
        <w:rPr>
          <w:rFonts w:ascii="Times New Roman" w:hAnsi="Times New Roman" w:eastAsia="Times New Roman" w:cs="Times New Roman"/>
          <w:color w:val="auto"/>
          <w:spacing w:val="-3"/>
          <w:sz w:val="21"/>
          <w:szCs w:val="21"/>
          <w:highlight w:val="none"/>
        </w:rPr>
        <w:t>30</w:t>
      </w:r>
      <w:r>
        <w:rPr>
          <w:rFonts w:ascii="Times New Roman" w:hAnsi="Times New Roman" w:eastAsia="Times New Roman" w:cs="Times New Roman"/>
          <w:color w:val="auto"/>
          <w:spacing w:val="25"/>
          <w:w w:val="101"/>
          <w:sz w:val="21"/>
          <w:szCs w:val="21"/>
          <w:highlight w:val="none"/>
        </w:rPr>
        <w:t xml:space="preserve"> </w:t>
      </w:r>
      <w:r>
        <w:rPr>
          <w:rFonts w:ascii="宋体" w:hAnsi="宋体" w:eastAsia="宋体" w:cs="宋体"/>
          <w:color w:val="auto"/>
          <w:spacing w:val="-3"/>
          <w:sz w:val="21"/>
          <w:szCs w:val="21"/>
          <w:highlight w:val="none"/>
        </w:rPr>
        <w:t xml:space="preserve">日内，根据招  </w:t>
      </w:r>
      <w:r>
        <w:rPr>
          <w:rFonts w:ascii="宋体" w:hAnsi="宋体" w:eastAsia="宋体" w:cs="宋体"/>
          <w:color w:val="auto"/>
          <w:spacing w:val="2"/>
          <w:sz w:val="21"/>
          <w:szCs w:val="21"/>
          <w:highlight w:val="none"/>
        </w:rPr>
        <w:t xml:space="preserve">标文件和中标人的投标文件（以经评标委员会评审的文件版本为准）订立书面合同。中标  </w:t>
      </w:r>
      <w:r>
        <w:rPr>
          <w:rFonts w:ascii="宋体" w:hAnsi="宋体" w:eastAsia="宋体" w:cs="宋体"/>
          <w:color w:val="auto"/>
          <w:spacing w:val="-1"/>
          <w:sz w:val="21"/>
          <w:szCs w:val="21"/>
          <w:highlight w:val="none"/>
        </w:rPr>
        <w:t>人无正当理由拒签合同或在签订合同时向招标人提出附加条件的， 招标人取消其中标资格，</w:t>
      </w:r>
      <w:r>
        <w:rPr>
          <w:rFonts w:ascii="宋体" w:hAnsi="宋体" w:eastAsia="宋体" w:cs="宋体"/>
          <w:color w:val="auto"/>
          <w:sz w:val="21"/>
          <w:szCs w:val="21"/>
          <w:highlight w:val="none"/>
        </w:rPr>
        <w:t xml:space="preserve"> 其投标保证金不予退还；给招标人造成的损失超</w:t>
      </w:r>
      <w:r>
        <w:rPr>
          <w:rFonts w:ascii="宋体" w:hAnsi="宋体" w:eastAsia="宋体" w:cs="宋体"/>
          <w:color w:val="auto"/>
          <w:spacing w:val="-1"/>
          <w:sz w:val="21"/>
          <w:szCs w:val="21"/>
          <w:highlight w:val="none"/>
        </w:rPr>
        <w:t xml:space="preserve">过投标保证金数额的， 中标人还应当对超  </w:t>
      </w:r>
      <w:r>
        <w:rPr>
          <w:rFonts w:ascii="宋体" w:hAnsi="宋体" w:eastAsia="宋体" w:cs="宋体"/>
          <w:color w:val="auto"/>
          <w:spacing w:val="-4"/>
          <w:sz w:val="21"/>
          <w:szCs w:val="21"/>
          <w:highlight w:val="none"/>
        </w:rPr>
        <w:t>过部分予以赔偿。</w:t>
      </w:r>
    </w:p>
    <w:p w14:paraId="28AF46BC">
      <w:pPr>
        <w:spacing w:before="108" w:line="269" w:lineRule="auto"/>
        <w:ind w:left="18" w:right="160" w:firstLine="422"/>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7.4.2</w:t>
      </w:r>
      <w:r>
        <w:rPr>
          <w:rFonts w:ascii="Times New Roman" w:hAnsi="Times New Roman" w:eastAsia="Times New Roman" w:cs="Times New Roman"/>
          <w:color w:val="auto"/>
          <w:spacing w:val="36"/>
          <w:w w:val="101"/>
          <w:sz w:val="21"/>
          <w:szCs w:val="21"/>
          <w:highlight w:val="none"/>
        </w:rPr>
        <w:t xml:space="preserve"> </w:t>
      </w:r>
      <w:r>
        <w:rPr>
          <w:rFonts w:ascii="宋体" w:hAnsi="宋体" w:eastAsia="宋体" w:cs="宋体"/>
          <w:color w:val="auto"/>
          <w:spacing w:val="1"/>
          <w:sz w:val="21"/>
          <w:szCs w:val="21"/>
          <w:highlight w:val="none"/>
        </w:rPr>
        <w:t>发出中标通知书后，招标人无正当理由拒</w:t>
      </w:r>
      <w:r>
        <w:rPr>
          <w:rFonts w:ascii="宋体" w:hAnsi="宋体" w:eastAsia="宋体" w:cs="宋体"/>
          <w:color w:val="auto"/>
          <w:sz w:val="21"/>
          <w:szCs w:val="21"/>
          <w:highlight w:val="none"/>
        </w:rPr>
        <w:t xml:space="preserve">签合同的，招标人向中标人退还投标保 </w:t>
      </w:r>
      <w:r>
        <w:rPr>
          <w:rFonts w:ascii="宋体" w:hAnsi="宋体" w:eastAsia="宋体" w:cs="宋体"/>
          <w:color w:val="auto"/>
          <w:spacing w:val="-6"/>
          <w:sz w:val="21"/>
          <w:szCs w:val="21"/>
          <w:highlight w:val="none"/>
        </w:rPr>
        <w:t>证金；给中标人造成损失的， 还应当赔偿损失。</w:t>
      </w:r>
    </w:p>
    <w:p w14:paraId="0611D27F">
      <w:pPr>
        <w:spacing w:before="109" w:line="269" w:lineRule="auto"/>
        <w:ind w:left="19" w:right="160" w:firstLine="42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7.4.3</w:t>
      </w:r>
      <w:r>
        <w:rPr>
          <w:rFonts w:ascii="Times New Roman" w:hAnsi="Times New Roman" w:eastAsia="Times New Roman" w:cs="Times New Roman"/>
          <w:color w:val="auto"/>
          <w:spacing w:val="33"/>
          <w:w w:val="101"/>
          <w:sz w:val="21"/>
          <w:szCs w:val="21"/>
          <w:highlight w:val="none"/>
        </w:rPr>
        <w:t xml:space="preserve"> </w:t>
      </w:r>
      <w:r>
        <w:rPr>
          <w:rFonts w:ascii="宋体" w:hAnsi="宋体" w:eastAsia="宋体" w:cs="宋体"/>
          <w:color w:val="auto"/>
          <w:spacing w:val="1"/>
          <w:sz w:val="21"/>
          <w:szCs w:val="21"/>
          <w:highlight w:val="none"/>
        </w:rPr>
        <w:t>联合体中标的，联合体各方应当共同与招标人签</w:t>
      </w:r>
      <w:r>
        <w:rPr>
          <w:rFonts w:ascii="宋体" w:hAnsi="宋体" w:eastAsia="宋体" w:cs="宋体"/>
          <w:color w:val="auto"/>
          <w:sz w:val="21"/>
          <w:szCs w:val="21"/>
          <w:highlight w:val="none"/>
        </w:rPr>
        <w:t xml:space="preserve">订合同，就中标项目向招标人承 </w:t>
      </w:r>
      <w:r>
        <w:rPr>
          <w:rFonts w:ascii="宋体" w:hAnsi="宋体" w:eastAsia="宋体" w:cs="宋体"/>
          <w:color w:val="auto"/>
          <w:spacing w:val="-1"/>
          <w:sz w:val="21"/>
          <w:szCs w:val="21"/>
          <w:highlight w:val="none"/>
        </w:rPr>
        <w:t>担连带责任。</w:t>
      </w:r>
    </w:p>
    <w:p w14:paraId="6548F128">
      <w:pPr>
        <w:spacing w:before="109" w:line="219"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7.4.4 </w:t>
      </w:r>
      <w:r>
        <w:rPr>
          <w:rFonts w:ascii="宋体" w:hAnsi="宋体" w:eastAsia="宋体" w:cs="宋体"/>
          <w:color w:val="auto"/>
          <w:spacing w:val="-2"/>
          <w:sz w:val="21"/>
          <w:szCs w:val="21"/>
          <w:highlight w:val="none"/>
        </w:rPr>
        <w:t>签约合同价的确定原则如下：</w:t>
      </w:r>
    </w:p>
    <w:p w14:paraId="3DF04E75">
      <w:pPr>
        <w:spacing w:before="111" w:line="284" w:lineRule="auto"/>
        <w:ind w:left="20" w:right="158" w:firstLine="42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开标时投标函中大写投标总价应为签约合同价。按照第三章“评标办法”的规定，如</w:t>
      </w:r>
      <w:r>
        <w:rPr>
          <w:rFonts w:ascii="宋体" w:hAnsi="宋体" w:eastAsia="宋体" w:cs="宋体"/>
          <w:color w:val="auto"/>
          <w:spacing w:val="2"/>
          <w:sz w:val="21"/>
          <w:szCs w:val="21"/>
          <w:highlight w:val="none"/>
        </w:rPr>
        <w:t xml:space="preserve"> </w:t>
      </w:r>
      <w:r>
        <w:rPr>
          <w:rFonts w:ascii="宋体" w:hAnsi="宋体" w:eastAsia="宋体" w:cs="宋体"/>
          <w:color w:val="auto"/>
          <w:sz w:val="21"/>
          <w:szCs w:val="21"/>
          <w:highlight w:val="none"/>
        </w:rPr>
        <w:t>投标报价有算术错误的，修正的价格经投标人书面确认后， 以修正后的投标总价为签约合</w:t>
      </w:r>
      <w:r>
        <w:rPr>
          <w:rFonts w:ascii="宋体" w:hAnsi="宋体" w:eastAsia="宋体" w:cs="宋体"/>
          <w:color w:val="auto"/>
          <w:spacing w:val="4"/>
          <w:sz w:val="21"/>
          <w:szCs w:val="21"/>
          <w:highlight w:val="none"/>
        </w:rPr>
        <w:t xml:space="preserve"> </w:t>
      </w:r>
      <w:r>
        <w:rPr>
          <w:rFonts w:ascii="宋体" w:hAnsi="宋体" w:eastAsia="宋体" w:cs="宋体"/>
          <w:color w:val="auto"/>
          <w:spacing w:val="-9"/>
          <w:sz w:val="21"/>
          <w:szCs w:val="21"/>
          <w:highlight w:val="none"/>
        </w:rPr>
        <w:t>同价。</w:t>
      </w:r>
    </w:p>
    <w:p w14:paraId="3D4CF731">
      <w:pPr>
        <w:spacing w:before="112" w:line="284" w:lineRule="auto"/>
        <w:ind w:left="17" w:right="153"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7.4.5 </w:t>
      </w:r>
      <w:r>
        <w:rPr>
          <w:rFonts w:ascii="宋体" w:hAnsi="宋体" w:eastAsia="宋体" w:cs="宋体"/>
          <w:color w:val="auto"/>
          <w:spacing w:val="-2"/>
          <w:sz w:val="21"/>
          <w:szCs w:val="21"/>
          <w:highlight w:val="none"/>
        </w:rPr>
        <w:t>招标人和中标人应当在中标通知书发出之日起</w:t>
      </w:r>
      <w:r>
        <w:rPr>
          <w:rFonts w:ascii="宋体" w:hAnsi="宋体" w:eastAsia="宋体" w:cs="宋体"/>
          <w:color w:val="auto"/>
          <w:spacing w:val="-37"/>
          <w:sz w:val="21"/>
          <w:szCs w:val="21"/>
          <w:highlight w:val="none"/>
        </w:rPr>
        <w:t xml:space="preserve"> </w:t>
      </w:r>
      <w:r>
        <w:rPr>
          <w:rFonts w:ascii="Times New Roman" w:hAnsi="Times New Roman" w:eastAsia="Times New Roman" w:cs="Times New Roman"/>
          <w:color w:val="auto"/>
          <w:spacing w:val="-2"/>
          <w:sz w:val="21"/>
          <w:szCs w:val="21"/>
          <w:highlight w:val="none"/>
        </w:rPr>
        <w:t>30</w:t>
      </w:r>
      <w:r>
        <w:rPr>
          <w:rFonts w:ascii="Times New Roman" w:hAnsi="Times New Roman" w:eastAsia="Times New Roman" w:cs="Times New Roman"/>
          <w:color w:val="auto"/>
          <w:spacing w:val="30"/>
          <w:sz w:val="21"/>
          <w:szCs w:val="21"/>
          <w:highlight w:val="none"/>
        </w:rPr>
        <w:t xml:space="preserve"> </w:t>
      </w:r>
      <w:r>
        <w:rPr>
          <w:rFonts w:ascii="宋体" w:hAnsi="宋体" w:eastAsia="宋体" w:cs="宋体"/>
          <w:color w:val="auto"/>
          <w:spacing w:val="-2"/>
          <w:sz w:val="21"/>
          <w:szCs w:val="21"/>
          <w:highlight w:val="none"/>
        </w:rPr>
        <w:t>日内，登录辽宁省工程建设项目</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合同履约管理系统签订合同并向电子监督系统提交电子合</w:t>
      </w:r>
      <w:r>
        <w:rPr>
          <w:rFonts w:ascii="宋体" w:hAnsi="宋体" w:eastAsia="宋体" w:cs="宋体"/>
          <w:color w:val="auto"/>
          <w:spacing w:val="3"/>
          <w:sz w:val="21"/>
          <w:szCs w:val="21"/>
          <w:highlight w:val="none"/>
        </w:rPr>
        <w:t>同文件归档</w:t>
      </w:r>
      <w:r>
        <w:rPr>
          <w:rFonts w:ascii="宋体" w:hAnsi="宋体" w:eastAsia="宋体" w:cs="宋体"/>
          <w:color w:val="auto"/>
          <w:spacing w:val="3"/>
          <w:sz w:val="19"/>
          <w:szCs w:val="19"/>
          <w:highlight w:val="none"/>
        </w:rPr>
        <w:t>。</w:t>
      </w:r>
      <w:r>
        <w:rPr>
          <w:rFonts w:ascii="宋体" w:hAnsi="宋体" w:eastAsia="宋体" w:cs="宋体"/>
          <w:color w:val="auto"/>
          <w:spacing w:val="3"/>
          <w:sz w:val="21"/>
          <w:szCs w:val="21"/>
          <w:highlight w:val="none"/>
        </w:rPr>
        <w:t>按照信息公示规定</w:t>
      </w:r>
      <w:r>
        <w:rPr>
          <w:rFonts w:ascii="宋体" w:hAnsi="宋体" w:eastAsia="宋体" w:cs="宋体"/>
          <w:color w:val="auto"/>
          <w:sz w:val="21"/>
          <w:szCs w:val="21"/>
          <w:highlight w:val="none"/>
        </w:rPr>
        <w:t xml:space="preserve"> 对合同签订等信息进行公示公开，依法应当保护的商业秘</w:t>
      </w:r>
      <w:r>
        <w:rPr>
          <w:rFonts w:ascii="宋体" w:hAnsi="宋体" w:eastAsia="宋体" w:cs="宋体"/>
          <w:color w:val="auto"/>
          <w:spacing w:val="-1"/>
          <w:sz w:val="21"/>
          <w:szCs w:val="21"/>
          <w:highlight w:val="none"/>
        </w:rPr>
        <w:t>密除外。</w:t>
      </w:r>
    </w:p>
    <w:p w14:paraId="1A19883C">
      <w:pPr>
        <w:spacing w:before="153" w:line="393" w:lineRule="exact"/>
        <w:ind w:left="27"/>
        <w:rPr>
          <w:rFonts w:ascii="黑体" w:hAnsi="黑体" w:eastAsia="黑体" w:cs="黑体"/>
          <w:color w:val="auto"/>
          <w:sz w:val="27"/>
          <w:szCs w:val="27"/>
          <w:highlight w:val="none"/>
        </w:rPr>
      </w:pPr>
      <w:r>
        <w:rPr>
          <w:rFonts w:ascii="Times New Roman" w:hAnsi="Times New Roman" w:eastAsia="Times New Roman" w:cs="Times New Roman"/>
          <w:color w:val="auto"/>
          <w:spacing w:val="6"/>
          <w:position w:val="8"/>
          <w:sz w:val="27"/>
          <w:szCs w:val="27"/>
          <w:highlight w:val="none"/>
        </w:rPr>
        <w:t>8.</w:t>
      </w:r>
      <w:r>
        <w:rPr>
          <w:rFonts w:ascii="Times New Roman" w:hAnsi="Times New Roman" w:eastAsia="Times New Roman" w:cs="Times New Roman"/>
          <w:color w:val="auto"/>
          <w:spacing w:val="30"/>
          <w:w w:val="101"/>
          <w:position w:val="8"/>
          <w:sz w:val="27"/>
          <w:szCs w:val="27"/>
          <w:highlight w:val="none"/>
        </w:rPr>
        <w:t xml:space="preserve"> </w:t>
      </w:r>
      <w:r>
        <w:rPr>
          <w:rFonts w:ascii="黑体" w:hAnsi="黑体" w:eastAsia="黑体" w:cs="黑体"/>
          <w:color w:val="auto"/>
          <w:spacing w:val="6"/>
          <w:position w:val="8"/>
          <w:sz w:val="27"/>
          <w:szCs w:val="27"/>
          <w:highlight w:val="none"/>
        </w:rPr>
        <w:t>重新招标、不再招标和终止招标</w:t>
      </w:r>
    </w:p>
    <w:p w14:paraId="7ECA474A">
      <w:pPr>
        <w:spacing w:before="1" w:line="218" w:lineRule="auto"/>
        <w:ind w:left="24"/>
        <w:rPr>
          <w:rFonts w:ascii="黑体" w:hAnsi="黑体" w:eastAsia="黑体" w:cs="黑体"/>
          <w:color w:val="auto"/>
          <w:sz w:val="24"/>
          <w:szCs w:val="24"/>
          <w:highlight w:val="none"/>
        </w:rPr>
      </w:pPr>
      <w:r>
        <w:rPr>
          <w:rFonts w:ascii="Times New Roman" w:hAnsi="Times New Roman" w:eastAsia="Times New Roman" w:cs="Times New Roman"/>
          <w:color w:val="auto"/>
          <w:spacing w:val="-4"/>
          <w:sz w:val="24"/>
          <w:szCs w:val="24"/>
          <w:highlight w:val="none"/>
        </w:rPr>
        <w:t>8.1</w:t>
      </w:r>
      <w:r>
        <w:rPr>
          <w:rFonts w:ascii="Times New Roman" w:hAnsi="Times New Roman" w:eastAsia="Times New Roman" w:cs="Times New Roman"/>
          <w:color w:val="auto"/>
          <w:spacing w:val="21"/>
          <w:sz w:val="24"/>
          <w:szCs w:val="24"/>
          <w:highlight w:val="none"/>
        </w:rPr>
        <w:t xml:space="preserve"> </w:t>
      </w:r>
      <w:r>
        <w:rPr>
          <w:rFonts w:ascii="黑体" w:hAnsi="黑体" w:eastAsia="黑体" w:cs="黑体"/>
          <w:color w:val="auto"/>
          <w:spacing w:val="-4"/>
          <w:sz w:val="24"/>
          <w:szCs w:val="24"/>
          <w:highlight w:val="none"/>
        </w:rPr>
        <w:t>重新招标</w:t>
      </w:r>
    </w:p>
    <w:p w14:paraId="7E8F3B2B">
      <w:pPr>
        <w:spacing w:before="100" w:line="221" w:lineRule="auto"/>
        <w:ind w:left="37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有下列情形之一的，</w:t>
      </w:r>
      <w:r>
        <w:rPr>
          <w:rFonts w:ascii="宋体" w:hAnsi="宋体" w:eastAsia="宋体" w:cs="宋体"/>
          <w:color w:val="auto"/>
          <w:spacing w:val="-20"/>
          <w:sz w:val="21"/>
          <w:szCs w:val="21"/>
          <w:highlight w:val="none"/>
        </w:rPr>
        <w:t xml:space="preserve"> </w:t>
      </w:r>
      <w:r>
        <w:rPr>
          <w:rFonts w:ascii="宋体" w:hAnsi="宋体" w:eastAsia="宋体" w:cs="宋体"/>
          <w:color w:val="auto"/>
          <w:spacing w:val="-5"/>
          <w:sz w:val="21"/>
          <w:szCs w:val="21"/>
          <w:highlight w:val="none"/>
        </w:rPr>
        <w:t>招标人将重新招标：</w:t>
      </w:r>
    </w:p>
    <w:p w14:paraId="39A51435">
      <w:pPr>
        <w:spacing w:before="109" w:line="221" w:lineRule="auto"/>
        <w:ind w:left="38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）投标截止时间止，投标人少于</w:t>
      </w:r>
      <w:r>
        <w:rPr>
          <w:rFonts w:ascii="宋体" w:hAnsi="宋体" w:eastAsia="宋体" w:cs="宋体"/>
          <w:color w:val="auto"/>
          <w:spacing w:val="-41"/>
          <w:sz w:val="21"/>
          <w:szCs w:val="21"/>
          <w:highlight w:val="none"/>
        </w:rPr>
        <w:t xml:space="preserve"> </w:t>
      </w:r>
      <w:r>
        <w:rPr>
          <w:rFonts w:ascii="Times New Roman" w:hAnsi="Times New Roman" w:eastAsia="Times New Roman" w:cs="Times New Roman"/>
          <w:color w:val="auto"/>
          <w:spacing w:val="-3"/>
          <w:sz w:val="21"/>
          <w:szCs w:val="21"/>
          <w:highlight w:val="none"/>
        </w:rPr>
        <w:t xml:space="preserve">3 </w:t>
      </w:r>
      <w:r>
        <w:rPr>
          <w:rFonts w:ascii="宋体" w:hAnsi="宋体" w:eastAsia="宋体" w:cs="宋体"/>
          <w:color w:val="auto"/>
          <w:spacing w:val="-3"/>
          <w:sz w:val="21"/>
          <w:szCs w:val="21"/>
          <w:highlight w:val="none"/>
        </w:rPr>
        <w:t>个的；</w:t>
      </w:r>
    </w:p>
    <w:p w14:paraId="6E060AB5">
      <w:pPr>
        <w:spacing w:before="109" w:line="220" w:lineRule="auto"/>
        <w:ind w:left="38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）经评标委员会评审后否决所有投标的；</w:t>
      </w:r>
    </w:p>
    <w:p w14:paraId="2AD9C2E7">
      <w:pPr>
        <w:spacing w:before="110" w:line="221" w:lineRule="auto"/>
        <w:ind w:left="385"/>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3</w:t>
      </w:r>
      <w:r>
        <w:rPr>
          <w:rFonts w:ascii="宋体" w:hAnsi="宋体" w:eastAsia="宋体" w:cs="宋体"/>
          <w:color w:val="auto"/>
          <w:spacing w:val="-6"/>
          <w:sz w:val="21"/>
          <w:szCs w:val="21"/>
          <w:highlight w:val="none"/>
        </w:rPr>
        <w:t>）第一中标候选人或所有中标候选人存在不同程度的问题，</w:t>
      </w:r>
      <w:r>
        <w:rPr>
          <w:rFonts w:ascii="宋体" w:hAnsi="宋体" w:eastAsia="宋体" w:cs="宋体"/>
          <w:color w:val="auto"/>
          <w:spacing w:val="61"/>
          <w:sz w:val="21"/>
          <w:szCs w:val="21"/>
          <w:highlight w:val="none"/>
        </w:rPr>
        <w:t xml:space="preserve"> </w:t>
      </w:r>
      <w:r>
        <w:rPr>
          <w:rFonts w:ascii="宋体" w:hAnsi="宋体" w:eastAsia="宋体" w:cs="宋体"/>
          <w:color w:val="auto"/>
          <w:spacing w:val="-6"/>
          <w:sz w:val="21"/>
          <w:szCs w:val="21"/>
          <w:highlight w:val="none"/>
        </w:rPr>
        <w:t>不能签订合同的；</w:t>
      </w:r>
    </w:p>
    <w:p w14:paraId="6B665082">
      <w:pPr>
        <w:spacing w:line="221" w:lineRule="auto"/>
        <w:rPr>
          <w:rFonts w:ascii="宋体" w:hAnsi="宋体" w:eastAsia="宋体" w:cs="宋体"/>
          <w:color w:val="auto"/>
          <w:sz w:val="21"/>
          <w:szCs w:val="21"/>
          <w:highlight w:val="none"/>
        </w:rPr>
        <w:sectPr>
          <w:footerReference r:id="rId29" w:type="default"/>
          <w:pgSz w:w="11905" w:h="16839"/>
          <w:pgMar w:top="1431" w:right="1633" w:bottom="1036" w:left="1785" w:header="0" w:footer="847" w:gutter="0"/>
          <w:pgNumType w:fmt="decimal"/>
          <w:cols w:space="720" w:num="1"/>
        </w:sectPr>
      </w:pPr>
    </w:p>
    <w:p w14:paraId="05B0C5F8">
      <w:pPr>
        <w:spacing w:before="115" w:line="360" w:lineRule="exact"/>
        <w:ind w:left="385"/>
        <w:rPr>
          <w:rFonts w:ascii="宋体" w:hAnsi="宋体" w:eastAsia="宋体" w:cs="宋体"/>
          <w:color w:val="auto"/>
          <w:sz w:val="21"/>
          <w:szCs w:val="21"/>
          <w:highlight w:val="none"/>
        </w:rPr>
      </w:pPr>
      <w:bookmarkStart w:id="79" w:name="bookmark98"/>
      <w:bookmarkEnd w:id="79"/>
      <w:r>
        <w:rPr>
          <w:rFonts w:ascii="宋体" w:hAnsi="宋体" w:eastAsia="宋体" w:cs="宋体"/>
          <w:color w:val="auto"/>
          <w:spacing w:val="-1"/>
          <w:position w:val="11"/>
          <w:sz w:val="21"/>
          <w:szCs w:val="21"/>
          <w:highlight w:val="none"/>
        </w:rPr>
        <w:t>（</w:t>
      </w:r>
      <w:r>
        <w:rPr>
          <w:rFonts w:ascii="Times New Roman" w:hAnsi="Times New Roman" w:eastAsia="Times New Roman" w:cs="Times New Roman"/>
          <w:color w:val="auto"/>
          <w:spacing w:val="-1"/>
          <w:position w:val="11"/>
          <w:sz w:val="21"/>
          <w:szCs w:val="21"/>
          <w:highlight w:val="none"/>
        </w:rPr>
        <w:t>4</w:t>
      </w:r>
      <w:r>
        <w:rPr>
          <w:rFonts w:ascii="宋体" w:hAnsi="宋体" w:eastAsia="宋体" w:cs="宋体"/>
          <w:color w:val="auto"/>
          <w:spacing w:val="-1"/>
          <w:position w:val="11"/>
          <w:sz w:val="21"/>
          <w:szCs w:val="21"/>
          <w:highlight w:val="none"/>
        </w:rPr>
        <w:t>）在投标有效期内同意延长投标有效期的投标人少于三个的；</w:t>
      </w:r>
    </w:p>
    <w:p w14:paraId="6C630772">
      <w:pPr>
        <w:spacing w:line="220" w:lineRule="auto"/>
        <w:ind w:left="38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5</w:t>
      </w:r>
      <w:r>
        <w:rPr>
          <w:rFonts w:ascii="宋体" w:hAnsi="宋体" w:eastAsia="宋体" w:cs="宋体"/>
          <w:color w:val="auto"/>
          <w:spacing w:val="-2"/>
          <w:sz w:val="21"/>
          <w:szCs w:val="21"/>
          <w:highlight w:val="none"/>
        </w:rPr>
        <w:t>）法律、法规规定的其他情形。</w:t>
      </w:r>
    </w:p>
    <w:p w14:paraId="1FC564E7">
      <w:pPr>
        <w:spacing w:before="84" w:line="219" w:lineRule="auto"/>
        <w:ind w:left="24"/>
        <w:rPr>
          <w:rFonts w:ascii="黑体" w:hAnsi="黑体" w:eastAsia="黑体" w:cs="黑体"/>
          <w:color w:val="auto"/>
          <w:sz w:val="24"/>
          <w:szCs w:val="24"/>
          <w:highlight w:val="none"/>
        </w:rPr>
      </w:pPr>
      <w:r>
        <w:rPr>
          <w:rFonts w:ascii="Times New Roman" w:hAnsi="Times New Roman" w:eastAsia="Times New Roman" w:cs="Times New Roman"/>
          <w:color w:val="auto"/>
          <w:spacing w:val="-4"/>
          <w:sz w:val="24"/>
          <w:szCs w:val="24"/>
          <w:highlight w:val="none"/>
        </w:rPr>
        <w:t>8.2</w:t>
      </w:r>
      <w:r>
        <w:rPr>
          <w:rFonts w:ascii="Times New Roman" w:hAnsi="Times New Roman" w:eastAsia="Times New Roman" w:cs="Times New Roman"/>
          <w:color w:val="auto"/>
          <w:spacing w:val="20"/>
          <w:w w:val="101"/>
          <w:sz w:val="24"/>
          <w:szCs w:val="24"/>
          <w:highlight w:val="none"/>
        </w:rPr>
        <w:t xml:space="preserve"> </w:t>
      </w:r>
      <w:r>
        <w:rPr>
          <w:rFonts w:ascii="黑体" w:hAnsi="黑体" w:eastAsia="黑体" w:cs="黑体"/>
          <w:color w:val="auto"/>
          <w:spacing w:val="-4"/>
          <w:sz w:val="24"/>
          <w:szCs w:val="24"/>
          <w:highlight w:val="none"/>
        </w:rPr>
        <w:t>不再招标</w:t>
      </w:r>
    </w:p>
    <w:p w14:paraId="5D62DDBE">
      <w:pPr>
        <w:spacing w:before="99" w:line="269" w:lineRule="auto"/>
        <w:ind w:left="21" w:right="171" w:firstLine="4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重新招标后投标人仍少于 </w:t>
      </w:r>
      <w:r>
        <w:rPr>
          <w:rFonts w:ascii="Times New Roman" w:hAnsi="Times New Roman" w:eastAsia="Times New Roman" w:cs="Times New Roman"/>
          <w:color w:val="auto"/>
          <w:spacing w:val="1"/>
          <w:sz w:val="21"/>
          <w:szCs w:val="21"/>
          <w:highlight w:val="none"/>
        </w:rPr>
        <w:t>3</w:t>
      </w:r>
      <w:r>
        <w:rPr>
          <w:rFonts w:ascii="Times New Roman" w:hAnsi="Times New Roman" w:eastAsia="Times New Roman" w:cs="Times New Roman"/>
          <w:color w:val="auto"/>
          <w:spacing w:val="42"/>
          <w:sz w:val="21"/>
          <w:szCs w:val="21"/>
          <w:highlight w:val="none"/>
        </w:rPr>
        <w:t xml:space="preserve"> </w:t>
      </w:r>
      <w:r>
        <w:rPr>
          <w:rFonts w:ascii="宋体" w:hAnsi="宋体" w:eastAsia="宋体" w:cs="宋体"/>
          <w:color w:val="auto"/>
          <w:spacing w:val="1"/>
          <w:sz w:val="21"/>
          <w:szCs w:val="21"/>
          <w:highlight w:val="none"/>
        </w:rPr>
        <w:t>个或者所有投标被否</w:t>
      </w:r>
      <w:r>
        <w:rPr>
          <w:rFonts w:ascii="宋体" w:hAnsi="宋体" w:eastAsia="宋体" w:cs="宋体"/>
          <w:color w:val="auto"/>
          <w:sz w:val="21"/>
          <w:szCs w:val="21"/>
          <w:highlight w:val="none"/>
        </w:rPr>
        <w:t xml:space="preserve">决的，属于必须审批或核准的工程建 </w:t>
      </w:r>
      <w:r>
        <w:rPr>
          <w:rFonts w:ascii="宋体" w:hAnsi="宋体" w:eastAsia="宋体" w:cs="宋体"/>
          <w:color w:val="auto"/>
          <w:spacing w:val="-1"/>
          <w:sz w:val="21"/>
          <w:szCs w:val="21"/>
          <w:highlight w:val="none"/>
        </w:rPr>
        <w:t>设项目，经原审批或核准部门批准后不再进行招标。</w:t>
      </w:r>
    </w:p>
    <w:p w14:paraId="4F62DCB0">
      <w:pPr>
        <w:spacing w:before="84" w:line="220" w:lineRule="auto"/>
        <w:ind w:left="24"/>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8.3</w:t>
      </w:r>
      <w:r>
        <w:rPr>
          <w:rFonts w:ascii="Times New Roman" w:hAnsi="Times New Roman" w:eastAsia="Times New Roman" w:cs="Times New Roman"/>
          <w:color w:val="auto"/>
          <w:spacing w:val="12"/>
          <w:sz w:val="24"/>
          <w:szCs w:val="24"/>
          <w:highlight w:val="none"/>
        </w:rPr>
        <w:t xml:space="preserve"> </w:t>
      </w:r>
      <w:r>
        <w:rPr>
          <w:rFonts w:ascii="黑体" w:hAnsi="黑体" w:eastAsia="黑体" w:cs="黑体"/>
          <w:color w:val="auto"/>
          <w:spacing w:val="-3"/>
          <w:sz w:val="24"/>
          <w:szCs w:val="24"/>
          <w:highlight w:val="none"/>
        </w:rPr>
        <w:t>终止招标</w:t>
      </w:r>
    </w:p>
    <w:p w14:paraId="70136C6C">
      <w:pPr>
        <w:spacing w:before="97" w:line="293" w:lineRule="auto"/>
        <w:ind w:left="20" w:right="171" w:firstLine="437"/>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因不可抗力等原因，招标人终止招标的， 将通过法定公告公示信息发布媒介</w:t>
      </w:r>
      <w:r>
        <w:rPr>
          <w:rFonts w:ascii="宋体" w:hAnsi="宋体" w:eastAsia="宋体" w:cs="宋体"/>
          <w:color w:val="auto"/>
          <w:spacing w:val="-1"/>
          <w:sz w:val="21"/>
          <w:szCs w:val="21"/>
          <w:highlight w:val="none"/>
        </w:rPr>
        <w:t>、电子交</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易系统（投标盲盒工具）等渠道及时发布公告，或者以书面形式通知被邀请</w:t>
      </w:r>
      <w:r>
        <w:rPr>
          <w:rFonts w:ascii="宋体" w:hAnsi="宋体" w:eastAsia="宋体" w:cs="宋体"/>
          <w:color w:val="auto"/>
          <w:spacing w:val="2"/>
          <w:sz w:val="21"/>
          <w:szCs w:val="21"/>
          <w:highlight w:val="none"/>
        </w:rPr>
        <w:t>的或者已经获</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取招标文件的潜在投标人。已经收取投标保证金的，招标人将及时退还所</w:t>
      </w:r>
      <w:r>
        <w:rPr>
          <w:rFonts w:ascii="宋体" w:hAnsi="宋体" w:eastAsia="宋体" w:cs="宋体"/>
          <w:color w:val="auto"/>
          <w:spacing w:val="2"/>
          <w:sz w:val="21"/>
          <w:szCs w:val="21"/>
          <w:highlight w:val="none"/>
        </w:rPr>
        <w:t>收取的投标保证</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金及银行同期存款利息。</w:t>
      </w:r>
    </w:p>
    <w:p w14:paraId="693466BF">
      <w:pPr>
        <w:spacing w:before="152" w:line="224" w:lineRule="auto"/>
        <w:ind w:left="21"/>
        <w:rPr>
          <w:rFonts w:ascii="黑体" w:hAnsi="黑体" w:eastAsia="黑体" w:cs="黑体"/>
          <w:color w:val="auto"/>
          <w:sz w:val="27"/>
          <w:szCs w:val="27"/>
          <w:highlight w:val="none"/>
        </w:rPr>
      </w:pPr>
      <w:r>
        <w:rPr>
          <w:rFonts w:ascii="Times New Roman" w:hAnsi="Times New Roman" w:eastAsia="Times New Roman" w:cs="Times New Roman"/>
          <w:color w:val="auto"/>
          <w:spacing w:val="2"/>
          <w:sz w:val="27"/>
          <w:szCs w:val="27"/>
          <w:highlight w:val="none"/>
        </w:rPr>
        <w:t>9.</w:t>
      </w:r>
      <w:r>
        <w:rPr>
          <w:rFonts w:ascii="Times New Roman" w:hAnsi="Times New Roman" w:eastAsia="Times New Roman" w:cs="Times New Roman"/>
          <w:color w:val="auto"/>
          <w:spacing w:val="29"/>
          <w:sz w:val="27"/>
          <w:szCs w:val="27"/>
          <w:highlight w:val="none"/>
        </w:rPr>
        <w:t xml:space="preserve"> </w:t>
      </w:r>
      <w:r>
        <w:rPr>
          <w:rFonts w:ascii="黑体" w:hAnsi="黑体" w:eastAsia="黑体" w:cs="黑体"/>
          <w:color w:val="auto"/>
          <w:spacing w:val="2"/>
          <w:sz w:val="27"/>
          <w:szCs w:val="27"/>
          <w:highlight w:val="none"/>
        </w:rPr>
        <w:t>纪律和监督</w:t>
      </w:r>
    </w:p>
    <w:p w14:paraId="60C04E28">
      <w:pPr>
        <w:spacing w:before="65" w:line="220"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9.1 </w:t>
      </w:r>
      <w:r>
        <w:rPr>
          <w:rFonts w:ascii="黑体" w:hAnsi="黑体" w:eastAsia="黑体" w:cs="黑体"/>
          <w:color w:val="auto"/>
          <w:spacing w:val="-1"/>
          <w:sz w:val="24"/>
          <w:szCs w:val="24"/>
          <w:highlight w:val="none"/>
        </w:rPr>
        <w:t>对招标人的纪律要求</w:t>
      </w:r>
    </w:p>
    <w:p w14:paraId="3F0F8193">
      <w:pPr>
        <w:spacing w:before="100" w:line="268" w:lineRule="auto"/>
        <w:ind w:left="19" w:right="174" w:firstLine="4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招标人不得泄漏招标投标活动中应当保密的情况和资料，不得与投标人串通损害国家</w:t>
      </w:r>
      <w:r>
        <w:rPr>
          <w:rFonts w:ascii="宋体" w:hAnsi="宋体" w:eastAsia="宋体" w:cs="宋体"/>
          <w:color w:val="auto"/>
          <w:spacing w:val="2"/>
          <w:sz w:val="21"/>
          <w:szCs w:val="21"/>
          <w:highlight w:val="none"/>
        </w:rPr>
        <w:t xml:space="preserve"> </w:t>
      </w:r>
      <w:r>
        <w:rPr>
          <w:rFonts w:ascii="宋体" w:hAnsi="宋体" w:eastAsia="宋体" w:cs="宋体"/>
          <w:color w:val="auto"/>
          <w:spacing w:val="-1"/>
          <w:sz w:val="21"/>
          <w:szCs w:val="21"/>
          <w:highlight w:val="none"/>
        </w:rPr>
        <w:t>利益、社会公共利益或者他人合法权益。</w:t>
      </w:r>
    </w:p>
    <w:p w14:paraId="69A8964A">
      <w:pPr>
        <w:spacing w:before="85" w:line="220"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9.2 </w:t>
      </w:r>
      <w:r>
        <w:rPr>
          <w:rFonts w:ascii="黑体" w:hAnsi="黑体" w:eastAsia="黑体" w:cs="黑体"/>
          <w:color w:val="auto"/>
          <w:spacing w:val="-1"/>
          <w:sz w:val="24"/>
          <w:szCs w:val="24"/>
          <w:highlight w:val="none"/>
        </w:rPr>
        <w:t>对投标人的纪律要求</w:t>
      </w:r>
    </w:p>
    <w:p w14:paraId="33EC0BC5">
      <w:pPr>
        <w:spacing w:before="100" w:line="284" w:lineRule="auto"/>
        <w:ind w:left="21" w:right="174" w:firstLine="422"/>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投标人不得相互串通投标或者与招标人串通投标，不得向招标人或者评标委员会成员</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行贿谋取中标，不得以他人名义投标或者以其他方式弄虚作假骗取中</w:t>
      </w:r>
      <w:r>
        <w:rPr>
          <w:rFonts w:ascii="宋体" w:hAnsi="宋体" w:eastAsia="宋体" w:cs="宋体"/>
          <w:color w:val="auto"/>
          <w:spacing w:val="2"/>
          <w:sz w:val="21"/>
          <w:szCs w:val="21"/>
          <w:highlight w:val="none"/>
        </w:rPr>
        <w:t>标；投标人不得以任</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何方式干扰、影响评标工作。</w:t>
      </w:r>
    </w:p>
    <w:p w14:paraId="414422D7">
      <w:pPr>
        <w:spacing w:before="86" w:line="218"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9.3 </w:t>
      </w:r>
      <w:r>
        <w:rPr>
          <w:rFonts w:ascii="黑体" w:hAnsi="黑体" w:eastAsia="黑体" w:cs="黑体"/>
          <w:color w:val="auto"/>
          <w:spacing w:val="-1"/>
          <w:sz w:val="24"/>
          <w:szCs w:val="24"/>
          <w:highlight w:val="none"/>
        </w:rPr>
        <w:t>对评标委员会成员的纪律要求</w:t>
      </w:r>
    </w:p>
    <w:p w14:paraId="0538996B">
      <w:pPr>
        <w:spacing w:before="104" w:line="300" w:lineRule="auto"/>
        <w:ind w:left="19" w:right="174" w:firstLine="421"/>
        <w:rPr>
          <w:rFonts w:ascii="宋体" w:hAnsi="宋体" w:eastAsia="宋体" w:cs="宋体"/>
          <w:color w:val="auto"/>
          <w:sz w:val="21"/>
          <w:szCs w:val="21"/>
          <w:highlight w:val="none"/>
        </w:rPr>
      </w:pPr>
      <w:r>
        <w:rPr>
          <w:rFonts w:ascii="宋体" w:hAnsi="宋体" w:eastAsia="宋体" w:cs="宋体"/>
          <w:color w:val="auto"/>
          <w:sz w:val="21"/>
          <w:szCs w:val="21"/>
          <w:highlight w:val="none"/>
        </w:rPr>
        <w:t>评标委员会应当根据招标文件规定的评标标准和方法， 对投标文件进行系统地评审和</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比较， 第三章“评标办法”没有规定的评审因素和标准不能作为评标依据。评标委员会成</w:t>
      </w:r>
      <w:r>
        <w:rPr>
          <w:rFonts w:ascii="宋体" w:hAnsi="宋体" w:eastAsia="宋体" w:cs="宋体"/>
          <w:color w:val="auto"/>
          <w:spacing w:val="6"/>
          <w:sz w:val="21"/>
          <w:szCs w:val="21"/>
          <w:highlight w:val="none"/>
        </w:rPr>
        <w:t xml:space="preserve"> </w:t>
      </w:r>
      <w:r>
        <w:rPr>
          <w:rFonts w:ascii="宋体" w:hAnsi="宋体" w:eastAsia="宋体" w:cs="宋体"/>
          <w:color w:val="auto"/>
          <w:spacing w:val="3"/>
          <w:sz w:val="21"/>
          <w:szCs w:val="21"/>
          <w:highlight w:val="none"/>
        </w:rPr>
        <w:t>员不得对其他评标委员会成员的独立评审施加不当影响，不得与任何投标人</w:t>
      </w:r>
      <w:r>
        <w:rPr>
          <w:rFonts w:ascii="宋体" w:hAnsi="宋体" w:eastAsia="宋体" w:cs="宋体"/>
          <w:color w:val="auto"/>
          <w:spacing w:val="2"/>
          <w:sz w:val="21"/>
          <w:szCs w:val="21"/>
          <w:highlight w:val="none"/>
        </w:rPr>
        <w:t>或者与招标结</w:t>
      </w:r>
      <w:r>
        <w:rPr>
          <w:rFonts w:ascii="宋体" w:hAnsi="宋体" w:eastAsia="宋体" w:cs="宋体"/>
          <w:color w:val="auto"/>
          <w:sz w:val="21"/>
          <w:szCs w:val="21"/>
          <w:highlight w:val="none"/>
        </w:rPr>
        <w:t xml:space="preserve"> 果有利害关系的人进行私下接触， 不得收受投标人、中介人、其他利害关系人的财物或者</w:t>
      </w:r>
      <w:r>
        <w:rPr>
          <w:rFonts w:ascii="宋体" w:hAnsi="宋体" w:eastAsia="宋体" w:cs="宋体"/>
          <w:color w:val="auto"/>
          <w:spacing w:val="6"/>
          <w:sz w:val="21"/>
          <w:szCs w:val="21"/>
          <w:highlight w:val="none"/>
        </w:rPr>
        <w:t xml:space="preserve"> </w:t>
      </w:r>
      <w:r>
        <w:rPr>
          <w:rFonts w:ascii="宋体" w:hAnsi="宋体" w:eastAsia="宋体" w:cs="宋体"/>
          <w:color w:val="auto"/>
          <w:spacing w:val="3"/>
          <w:sz w:val="21"/>
          <w:szCs w:val="21"/>
          <w:highlight w:val="none"/>
        </w:rPr>
        <w:t>其他好处，不得向他人透漏对投标文件的评审和比较、中标候选人的推荐情</w:t>
      </w:r>
      <w:r>
        <w:rPr>
          <w:rFonts w:ascii="宋体" w:hAnsi="宋体" w:eastAsia="宋体" w:cs="宋体"/>
          <w:color w:val="auto"/>
          <w:spacing w:val="2"/>
          <w:sz w:val="21"/>
          <w:szCs w:val="21"/>
          <w:highlight w:val="none"/>
        </w:rPr>
        <w:t>况以及评标有</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关的其他情况。在评标活动中，评标委员会成员不得应当回避</w:t>
      </w:r>
      <w:r>
        <w:rPr>
          <w:rFonts w:ascii="宋体" w:hAnsi="宋体" w:eastAsia="宋体" w:cs="宋体"/>
          <w:color w:val="auto"/>
          <w:spacing w:val="2"/>
          <w:sz w:val="21"/>
          <w:szCs w:val="21"/>
          <w:highlight w:val="none"/>
        </w:rPr>
        <w:t>而不回避，不得擅离职守，</w:t>
      </w:r>
    </w:p>
    <w:p w14:paraId="4475314F">
      <w:pPr>
        <w:spacing w:before="112" w:line="297"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rPr>
        <w:t>影响评标程序正常进行，不得向招标人征询其确定中标人的意向， 不得接受任何单位</w:t>
      </w:r>
      <w:r>
        <w:rPr>
          <w:rFonts w:ascii="宋体" w:hAnsi="宋体" w:eastAsia="宋体" w:cs="宋体"/>
          <w:color w:val="auto"/>
          <w:spacing w:val="-1"/>
          <w:sz w:val="21"/>
          <w:szCs w:val="21"/>
          <w:highlight w:val="none"/>
        </w:rPr>
        <w:t xml:space="preserve">或者  </w:t>
      </w:r>
      <w:r>
        <w:rPr>
          <w:rFonts w:ascii="宋体" w:hAnsi="宋体" w:eastAsia="宋体" w:cs="宋体"/>
          <w:color w:val="auto"/>
          <w:sz w:val="21"/>
          <w:szCs w:val="21"/>
          <w:highlight w:val="none"/>
        </w:rPr>
        <w:t>个人明示或者暗示提出的倾向或者排斥特定投标人的要求， 不得对依法应当否决的投</w:t>
      </w:r>
      <w:r>
        <w:rPr>
          <w:rFonts w:ascii="宋体" w:hAnsi="宋体" w:eastAsia="宋体" w:cs="宋体"/>
          <w:color w:val="auto"/>
          <w:spacing w:val="-1"/>
          <w:sz w:val="21"/>
          <w:szCs w:val="21"/>
          <w:highlight w:val="none"/>
        </w:rPr>
        <w:t xml:space="preserve">标不  </w:t>
      </w:r>
      <w:r>
        <w:rPr>
          <w:rFonts w:ascii="宋体" w:hAnsi="宋体" w:eastAsia="宋体" w:cs="宋体"/>
          <w:color w:val="auto"/>
          <w:spacing w:val="2"/>
          <w:sz w:val="21"/>
          <w:szCs w:val="21"/>
          <w:highlight w:val="none"/>
        </w:rPr>
        <w:t>提出否决意见，不得暗示或者诱导投标人作出澄清、说明或者接受投标人主动提出的澄清、</w:t>
      </w:r>
      <w:r>
        <w:rPr>
          <w:rFonts w:ascii="宋体" w:hAnsi="宋体" w:eastAsia="宋体" w:cs="宋体"/>
          <w:color w:val="auto"/>
          <w:spacing w:val="1"/>
          <w:sz w:val="21"/>
          <w:szCs w:val="21"/>
          <w:highlight w:val="none"/>
        </w:rPr>
        <w:t xml:space="preserve"> </w:t>
      </w:r>
      <w:r>
        <w:rPr>
          <w:rFonts w:ascii="宋体" w:hAnsi="宋体" w:eastAsia="宋体" w:cs="宋体"/>
          <w:color w:val="auto"/>
          <w:sz w:val="21"/>
          <w:szCs w:val="21"/>
          <w:highlight w:val="none"/>
        </w:rPr>
        <w:t>说明， 不得敷衍塞责随意评标，不得在合法的评标劳务费之外额外索取、接受报酬或</w:t>
      </w:r>
      <w:r>
        <w:rPr>
          <w:rFonts w:ascii="宋体" w:hAnsi="宋体" w:eastAsia="宋体" w:cs="宋体"/>
          <w:color w:val="auto"/>
          <w:spacing w:val="-1"/>
          <w:sz w:val="21"/>
          <w:szCs w:val="21"/>
          <w:highlight w:val="none"/>
        </w:rPr>
        <w:t xml:space="preserve">者其  </w:t>
      </w:r>
      <w:r>
        <w:rPr>
          <w:rFonts w:ascii="宋体" w:hAnsi="宋体" w:eastAsia="宋体" w:cs="宋体"/>
          <w:color w:val="auto"/>
          <w:spacing w:val="-7"/>
          <w:sz w:val="21"/>
          <w:szCs w:val="21"/>
          <w:highlight w:val="none"/>
        </w:rPr>
        <w:t>他好处。</w:t>
      </w:r>
    </w:p>
    <w:p w14:paraId="532B7866">
      <w:pPr>
        <w:spacing w:before="85" w:line="218"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9.4 </w:t>
      </w:r>
      <w:r>
        <w:rPr>
          <w:rFonts w:ascii="黑体" w:hAnsi="黑体" w:eastAsia="黑体" w:cs="黑体"/>
          <w:color w:val="auto"/>
          <w:spacing w:val="-1"/>
          <w:sz w:val="24"/>
          <w:szCs w:val="24"/>
          <w:highlight w:val="none"/>
        </w:rPr>
        <w:t>对与评标活动有关的工作人员的纪律要求</w:t>
      </w:r>
    </w:p>
    <w:p w14:paraId="36A3B255">
      <w:pPr>
        <w:spacing w:before="100" w:line="285" w:lineRule="auto"/>
        <w:ind w:left="19" w:right="174" w:firstLine="426"/>
        <w:rPr>
          <w:rFonts w:ascii="宋体" w:hAnsi="宋体" w:eastAsia="宋体" w:cs="宋体"/>
          <w:color w:val="auto"/>
          <w:sz w:val="21"/>
          <w:szCs w:val="21"/>
          <w:highlight w:val="none"/>
        </w:rPr>
      </w:pPr>
      <w:r>
        <w:rPr>
          <w:rFonts w:ascii="宋体" w:hAnsi="宋体" w:eastAsia="宋体" w:cs="宋体"/>
          <w:color w:val="auto"/>
          <w:sz w:val="21"/>
          <w:szCs w:val="21"/>
          <w:highlight w:val="none"/>
        </w:rPr>
        <w:t>与评标活动有关的工作人员不得收受他人的财物或者其他好处， 不得向他人透漏对投</w:t>
      </w:r>
      <w:r>
        <w:rPr>
          <w:rFonts w:ascii="宋体" w:hAnsi="宋体" w:eastAsia="宋体" w:cs="宋体"/>
          <w:color w:val="auto"/>
          <w:spacing w:val="4"/>
          <w:sz w:val="21"/>
          <w:szCs w:val="21"/>
          <w:highlight w:val="none"/>
        </w:rPr>
        <w:t xml:space="preserve"> </w:t>
      </w:r>
      <w:r>
        <w:rPr>
          <w:rFonts w:ascii="宋体" w:hAnsi="宋体" w:eastAsia="宋体" w:cs="宋体"/>
          <w:color w:val="auto"/>
          <w:spacing w:val="3"/>
          <w:sz w:val="21"/>
          <w:szCs w:val="21"/>
          <w:highlight w:val="none"/>
        </w:rPr>
        <w:t>标文件的评审和比较、中标候选人的推荐情况以及评标有关的</w:t>
      </w:r>
      <w:r>
        <w:rPr>
          <w:rFonts w:ascii="宋体" w:hAnsi="宋体" w:eastAsia="宋体" w:cs="宋体"/>
          <w:color w:val="auto"/>
          <w:spacing w:val="2"/>
          <w:sz w:val="21"/>
          <w:szCs w:val="21"/>
          <w:highlight w:val="none"/>
        </w:rPr>
        <w:t>其他情况。在评标活动中，</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与评标活动有关的工作人员不得擅离职守，影响评标程序正常进行。</w:t>
      </w:r>
    </w:p>
    <w:p w14:paraId="16C9B285">
      <w:pPr>
        <w:spacing w:before="85" w:line="217"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9.5</w:t>
      </w:r>
      <w:r>
        <w:rPr>
          <w:rFonts w:ascii="Times New Roman" w:hAnsi="Times New Roman" w:eastAsia="Times New Roman" w:cs="Times New Roman"/>
          <w:color w:val="auto"/>
          <w:spacing w:val="13"/>
          <w:sz w:val="24"/>
          <w:szCs w:val="24"/>
          <w:highlight w:val="none"/>
        </w:rPr>
        <w:t xml:space="preserve"> </w:t>
      </w:r>
      <w:r>
        <w:rPr>
          <w:rFonts w:ascii="黑体" w:hAnsi="黑体" w:eastAsia="黑体" w:cs="黑体"/>
          <w:color w:val="auto"/>
          <w:spacing w:val="-3"/>
          <w:sz w:val="24"/>
          <w:szCs w:val="24"/>
          <w:highlight w:val="none"/>
        </w:rPr>
        <w:t>投诉</w:t>
      </w:r>
    </w:p>
    <w:p w14:paraId="541783C8">
      <w:pPr>
        <w:spacing w:before="102" w:line="284" w:lineRule="auto"/>
        <w:ind w:left="17" w:right="169" w:firstLine="426"/>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投标人和其他利害关系人认为本次招标活动违反法律、法规和规章规定的， 有权自知</w:t>
      </w:r>
      <w:r>
        <w:rPr>
          <w:rFonts w:ascii="宋体" w:hAnsi="宋体" w:eastAsia="宋体" w:cs="宋体"/>
          <w:color w:val="auto"/>
          <w:spacing w:val="6"/>
          <w:sz w:val="21"/>
          <w:szCs w:val="21"/>
          <w:highlight w:val="none"/>
        </w:rPr>
        <w:t xml:space="preserve"> </w:t>
      </w:r>
      <w:r>
        <w:rPr>
          <w:rFonts w:ascii="宋体" w:hAnsi="宋体" w:eastAsia="宋体" w:cs="宋体"/>
          <w:color w:val="auto"/>
          <w:spacing w:val="-2"/>
          <w:sz w:val="21"/>
          <w:szCs w:val="21"/>
          <w:highlight w:val="none"/>
        </w:rPr>
        <w:t xml:space="preserve">道或者应当知道之日起 </w:t>
      </w:r>
      <w:r>
        <w:rPr>
          <w:rFonts w:ascii="Times New Roman" w:hAnsi="Times New Roman" w:eastAsia="Times New Roman" w:cs="Times New Roman"/>
          <w:color w:val="auto"/>
          <w:spacing w:val="-2"/>
          <w:sz w:val="21"/>
          <w:szCs w:val="21"/>
          <w:highlight w:val="none"/>
        </w:rPr>
        <w:t>10</w:t>
      </w:r>
      <w:r>
        <w:rPr>
          <w:rFonts w:ascii="Times New Roman" w:hAnsi="Times New Roman" w:eastAsia="Times New Roman" w:cs="Times New Roman"/>
          <w:color w:val="auto"/>
          <w:spacing w:val="47"/>
          <w:w w:val="101"/>
          <w:sz w:val="21"/>
          <w:szCs w:val="21"/>
          <w:highlight w:val="none"/>
        </w:rPr>
        <w:t xml:space="preserve"> </w:t>
      </w:r>
      <w:r>
        <w:rPr>
          <w:rFonts w:ascii="宋体" w:hAnsi="宋体" w:eastAsia="宋体" w:cs="宋体"/>
          <w:color w:val="auto"/>
          <w:spacing w:val="-2"/>
          <w:sz w:val="21"/>
          <w:szCs w:val="21"/>
          <w:highlight w:val="none"/>
        </w:rPr>
        <w:t>日内向有关行政监督部门投诉，其中对招标文件的内容（包括最</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高投标限价）、开标、评标结果进行投诉的，应当按本章第</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4"/>
          <w:sz w:val="21"/>
          <w:szCs w:val="21"/>
          <w:highlight w:val="none"/>
        </w:rPr>
        <w:t xml:space="preserve">2.4 </w:t>
      </w:r>
      <w:r>
        <w:rPr>
          <w:rFonts w:ascii="宋体" w:hAnsi="宋体" w:eastAsia="宋体" w:cs="宋体"/>
          <w:color w:val="auto"/>
          <w:spacing w:val="-4"/>
          <w:sz w:val="21"/>
          <w:szCs w:val="21"/>
          <w:highlight w:val="none"/>
        </w:rPr>
        <w:t>款、第</w:t>
      </w:r>
      <w:r>
        <w:rPr>
          <w:rFonts w:ascii="宋体" w:hAnsi="宋体" w:eastAsia="宋体" w:cs="宋体"/>
          <w:color w:val="auto"/>
          <w:spacing w:val="-42"/>
          <w:sz w:val="21"/>
          <w:szCs w:val="21"/>
          <w:highlight w:val="none"/>
        </w:rPr>
        <w:t xml:space="preserve"> </w:t>
      </w:r>
      <w:r>
        <w:rPr>
          <w:rFonts w:ascii="Times New Roman" w:hAnsi="Times New Roman" w:eastAsia="Times New Roman" w:cs="Times New Roman"/>
          <w:color w:val="auto"/>
          <w:spacing w:val="-4"/>
          <w:sz w:val="21"/>
          <w:szCs w:val="21"/>
          <w:highlight w:val="none"/>
        </w:rPr>
        <w:t xml:space="preserve">5.3 </w:t>
      </w:r>
      <w:r>
        <w:rPr>
          <w:rFonts w:ascii="宋体" w:hAnsi="宋体" w:eastAsia="宋体" w:cs="宋体"/>
          <w:color w:val="auto"/>
          <w:spacing w:val="-4"/>
          <w:sz w:val="21"/>
          <w:szCs w:val="21"/>
          <w:highlight w:val="none"/>
        </w:rPr>
        <w:t>款、第</w:t>
      </w:r>
      <w:r>
        <w:rPr>
          <w:rFonts w:ascii="宋体" w:hAnsi="宋体" w:eastAsia="宋体" w:cs="宋体"/>
          <w:color w:val="auto"/>
          <w:spacing w:val="-43"/>
          <w:sz w:val="21"/>
          <w:szCs w:val="21"/>
          <w:highlight w:val="none"/>
        </w:rPr>
        <w:t xml:space="preserve"> </w:t>
      </w:r>
      <w:r>
        <w:rPr>
          <w:rFonts w:ascii="Times New Roman" w:hAnsi="Times New Roman" w:eastAsia="Times New Roman" w:cs="Times New Roman"/>
          <w:color w:val="auto"/>
          <w:spacing w:val="-4"/>
          <w:sz w:val="21"/>
          <w:szCs w:val="21"/>
          <w:highlight w:val="none"/>
        </w:rPr>
        <w:t xml:space="preserve">6.4 </w:t>
      </w:r>
      <w:r>
        <w:rPr>
          <w:rFonts w:ascii="宋体" w:hAnsi="宋体" w:eastAsia="宋体" w:cs="宋体"/>
          <w:color w:val="auto"/>
          <w:spacing w:val="-4"/>
          <w:sz w:val="21"/>
          <w:szCs w:val="21"/>
          <w:highlight w:val="none"/>
        </w:rPr>
        <w:t>款的规</w:t>
      </w:r>
    </w:p>
    <w:p w14:paraId="1BC1AC9A">
      <w:pPr>
        <w:spacing w:line="284" w:lineRule="auto"/>
        <w:rPr>
          <w:rFonts w:ascii="宋体" w:hAnsi="宋体" w:eastAsia="宋体" w:cs="宋体"/>
          <w:color w:val="auto"/>
          <w:sz w:val="21"/>
          <w:szCs w:val="21"/>
          <w:highlight w:val="none"/>
        </w:rPr>
        <w:sectPr>
          <w:footerReference r:id="rId30" w:type="default"/>
          <w:pgSz w:w="11905" w:h="16839"/>
          <w:pgMar w:top="1431" w:right="1617" w:bottom="1036" w:left="1785" w:header="0" w:footer="847" w:gutter="0"/>
          <w:pgNumType w:fmt="decimal"/>
          <w:cols w:space="720" w:num="1"/>
        </w:sectPr>
      </w:pPr>
    </w:p>
    <w:p w14:paraId="4A4CD198">
      <w:pPr>
        <w:spacing w:before="114" w:line="269" w:lineRule="auto"/>
        <w:ind w:left="17" w:right="179" w:firstLine="5"/>
        <w:rPr>
          <w:rFonts w:ascii="宋体" w:hAnsi="宋体" w:eastAsia="宋体" w:cs="宋体"/>
          <w:color w:val="auto"/>
          <w:sz w:val="21"/>
          <w:szCs w:val="21"/>
          <w:highlight w:val="none"/>
        </w:rPr>
      </w:pPr>
      <w:r>
        <w:rPr>
          <w:rFonts w:ascii="宋体" w:hAnsi="宋体" w:eastAsia="宋体" w:cs="宋体"/>
          <w:color w:val="auto"/>
          <w:sz w:val="21"/>
          <w:szCs w:val="21"/>
          <w:highlight w:val="none"/>
        </w:rPr>
        <w:t>定先向招标人提出异议后，方可向有关行政监督部门投诉， 异议答复期不计算在规定的投</w:t>
      </w:r>
      <w:r>
        <w:rPr>
          <w:rFonts w:ascii="宋体" w:hAnsi="宋体" w:eastAsia="宋体" w:cs="宋体"/>
          <w:color w:val="auto"/>
          <w:spacing w:val="7"/>
          <w:sz w:val="21"/>
          <w:szCs w:val="21"/>
          <w:highlight w:val="none"/>
        </w:rPr>
        <w:t xml:space="preserve"> </w:t>
      </w:r>
      <w:r>
        <w:rPr>
          <w:rFonts w:ascii="宋体" w:hAnsi="宋体" w:eastAsia="宋体" w:cs="宋体"/>
          <w:color w:val="auto"/>
          <w:spacing w:val="-3"/>
          <w:sz w:val="21"/>
          <w:szCs w:val="21"/>
          <w:highlight w:val="none"/>
        </w:rPr>
        <w:t>诉时效期限内。</w:t>
      </w:r>
    </w:p>
    <w:p w14:paraId="1D58AC18">
      <w:pPr>
        <w:spacing w:before="109" w:line="269" w:lineRule="auto"/>
        <w:ind w:left="35" w:right="188" w:firstLine="40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投标人和其他利害关系人的投诉应按照《工程建设项目招标投标</w:t>
      </w:r>
      <w:r>
        <w:rPr>
          <w:rFonts w:ascii="宋体" w:hAnsi="宋体" w:eastAsia="宋体" w:cs="宋体"/>
          <w:color w:val="auto"/>
          <w:spacing w:val="2"/>
          <w:sz w:val="21"/>
          <w:szCs w:val="21"/>
          <w:highlight w:val="none"/>
        </w:rPr>
        <w:t>活动投诉处理办法》</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的规定进行。</w:t>
      </w:r>
    </w:p>
    <w:p w14:paraId="6B24BBCE">
      <w:pPr>
        <w:spacing w:before="108" w:line="220"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有关行政监督部门的联系方式见投标人须知前附表。</w:t>
      </w:r>
    </w:p>
    <w:p w14:paraId="45ED0DDB">
      <w:pPr>
        <w:spacing w:before="152" w:line="393" w:lineRule="exact"/>
        <w:ind w:left="42"/>
        <w:rPr>
          <w:rFonts w:ascii="黑体" w:hAnsi="黑体" w:eastAsia="黑体" w:cs="黑体"/>
          <w:color w:val="auto"/>
          <w:sz w:val="27"/>
          <w:szCs w:val="27"/>
          <w:highlight w:val="none"/>
        </w:rPr>
      </w:pPr>
      <w:bookmarkStart w:id="80" w:name="bookmark99"/>
      <w:bookmarkEnd w:id="80"/>
      <w:r>
        <w:rPr>
          <w:rFonts w:ascii="Times New Roman" w:hAnsi="Times New Roman" w:eastAsia="Times New Roman" w:cs="Times New Roman"/>
          <w:color w:val="auto"/>
          <w:spacing w:val="3"/>
          <w:position w:val="8"/>
          <w:sz w:val="27"/>
          <w:szCs w:val="27"/>
          <w:highlight w:val="none"/>
        </w:rPr>
        <w:t>10.</w:t>
      </w:r>
      <w:r>
        <w:rPr>
          <w:rFonts w:ascii="Times New Roman" w:hAnsi="Times New Roman" w:eastAsia="Times New Roman" w:cs="Times New Roman"/>
          <w:color w:val="auto"/>
          <w:spacing w:val="28"/>
          <w:position w:val="8"/>
          <w:sz w:val="27"/>
          <w:szCs w:val="27"/>
          <w:highlight w:val="none"/>
        </w:rPr>
        <w:t xml:space="preserve"> </w:t>
      </w:r>
      <w:r>
        <w:rPr>
          <w:rFonts w:ascii="黑体" w:hAnsi="黑体" w:eastAsia="黑体" w:cs="黑体"/>
          <w:color w:val="auto"/>
          <w:spacing w:val="3"/>
          <w:position w:val="8"/>
          <w:sz w:val="27"/>
          <w:szCs w:val="27"/>
          <w:highlight w:val="none"/>
        </w:rPr>
        <w:t>需要补充的其他内容</w:t>
      </w:r>
    </w:p>
    <w:p w14:paraId="22630500">
      <w:pPr>
        <w:spacing w:line="219"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10.1</w:t>
      </w:r>
      <w:r>
        <w:rPr>
          <w:rFonts w:ascii="Times New Roman" w:hAnsi="Times New Roman" w:eastAsia="Times New Roman" w:cs="Times New Roman"/>
          <w:color w:val="auto"/>
          <w:spacing w:val="19"/>
          <w:sz w:val="24"/>
          <w:szCs w:val="24"/>
          <w:highlight w:val="none"/>
        </w:rPr>
        <w:t xml:space="preserve"> </w:t>
      </w:r>
      <w:r>
        <w:rPr>
          <w:rFonts w:ascii="黑体" w:hAnsi="黑体" w:eastAsia="黑体" w:cs="黑体"/>
          <w:color w:val="auto"/>
          <w:spacing w:val="-5"/>
          <w:sz w:val="24"/>
          <w:szCs w:val="24"/>
          <w:highlight w:val="none"/>
        </w:rPr>
        <w:t>词语定义</w:t>
      </w:r>
    </w:p>
    <w:p w14:paraId="5604228D">
      <w:pPr>
        <w:spacing w:before="100" w:line="220" w:lineRule="auto"/>
        <w:ind w:left="44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词语定义规定：见投标人须知前附表。</w:t>
      </w:r>
    </w:p>
    <w:p w14:paraId="5EADDFB6">
      <w:pPr>
        <w:spacing w:before="85" w:line="219"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10.2</w:t>
      </w:r>
      <w:r>
        <w:rPr>
          <w:rFonts w:ascii="Times New Roman" w:hAnsi="Times New Roman" w:eastAsia="Times New Roman" w:cs="Times New Roman"/>
          <w:color w:val="auto"/>
          <w:spacing w:val="39"/>
          <w:w w:val="101"/>
          <w:sz w:val="24"/>
          <w:szCs w:val="24"/>
          <w:highlight w:val="none"/>
        </w:rPr>
        <w:t xml:space="preserve"> </w:t>
      </w:r>
      <w:r>
        <w:rPr>
          <w:rFonts w:ascii="黑体" w:hAnsi="黑体" w:eastAsia="黑体" w:cs="黑体"/>
          <w:color w:val="auto"/>
          <w:spacing w:val="-5"/>
          <w:sz w:val="24"/>
          <w:szCs w:val="24"/>
          <w:highlight w:val="none"/>
        </w:rPr>
        <w:t>中标人的投标文件</w:t>
      </w:r>
    </w:p>
    <w:p w14:paraId="49CBD864">
      <w:pPr>
        <w:spacing w:before="99" w:line="255" w:lineRule="auto"/>
        <w:ind w:left="38" w:firstLine="422"/>
        <w:rPr>
          <w:rFonts w:ascii="黑体" w:hAnsi="黑体" w:eastAsia="黑体" w:cs="黑体"/>
          <w:color w:val="auto"/>
          <w:sz w:val="24"/>
          <w:szCs w:val="24"/>
          <w:highlight w:val="none"/>
        </w:rPr>
      </w:pPr>
      <w:r>
        <w:rPr>
          <w:rFonts w:ascii="宋体" w:hAnsi="宋体" w:eastAsia="宋体" w:cs="宋体"/>
          <w:color w:val="auto"/>
          <w:spacing w:val="-1"/>
          <w:sz w:val="21"/>
          <w:szCs w:val="21"/>
          <w:highlight w:val="none"/>
        </w:rPr>
        <w:t>中标人在签订合同前须向招标人另行提交的纸质投标文件份数： 见投标人须知前附</w:t>
      </w:r>
      <w:r>
        <w:rPr>
          <w:rFonts w:ascii="宋体" w:hAnsi="宋体" w:eastAsia="宋体" w:cs="宋体"/>
          <w:color w:val="auto"/>
          <w:spacing w:val="-2"/>
          <w:sz w:val="21"/>
          <w:szCs w:val="21"/>
          <w:highlight w:val="none"/>
        </w:rPr>
        <w:t>表。</w:t>
      </w:r>
      <w:r>
        <w:rPr>
          <w:rFonts w:ascii="宋体" w:hAnsi="宋体" w:eastAsia="宋体" w:cs="宋体"/>
          <w:color w:val="auto"/>
          <w:sz w:val="21"/>
          <w:szCs w:val="21"/>
          <w:highlight w:val="none"/>
        </w:rPr>
        <w:t xml:space="preserve"> </w:t>
      </w:r>
      <w:r>
        <w:rPr>
          <w:rFonts w:ascii="Times New Roman" w:hAnsi="Times New Roman" w:eastAsia="Times New Roman" w:cs="Times New Roman"/>
          <w:color w:val="auto"/>
          <w:spacing w:val="-5"/>
          <w:sz w:val="24"/>
          <w:szCs w:val="24"/>
          <w:highlight w:val="none"/>
        </w:rPr>
        <w:t>10.3</w:t>
      </w:r>
      <w:r>
        <w:rPr>
          <w:rFonts w:ascii="Times New Roman" w:hAnsi="Times New Roman" w:eastAsia="Times New Roman" w:cs="Times New Roman"/>
          <w:color w:val="auto"/>
          <w:spacing w:val="20"/>
          <w:sz w:val="24"/>
          <w:szCs w:val="24"/>
          <w:highlight w:val="none"/>
        </w:rPr>
        <w:t xml:space="preserve"> </w:t>
      </w:r>
      <w:r>
        <w:rPr>
          <w:rFonts w:ascii="黑体" w:hAnsi="黑体" w:eastAsia="黑体" w:cs="黑体"/>
          <w:color w:val="auto"/>
          <w:spacing w:val="-5"/>
          <w:sz w:val="24"/>
          <w:szCs w:val="24"/>
          <w:highlight w:val="none"/>
        </w:rPr>
        <w:t>知识产权</w:t>
      </w:r>
    </w:p>
    <w:p w14:paraId="31ED3C18">
      <w:pPr>
        <w:spacing w:before="101" w:line="284" w:lineRule="auto"/>
        <w:ind w:left="20" w:right="179" w:firstLine="42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构成本招标文件各个组成部分的文件，未经招标人书面同意，投标人不得擅自复印和</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用于非本招标项目所需的其他目的。招标人全部或者部分使用未中标人投</w:t>
      </w:r>
      <w:r>
        <w:rPr>
          <w:rFonts w:ascii="宋体" w:hAnsi="宋体" w:eastAsia="宋体" w:cs="宋体"/>
          <w:color w:val="auto"/>
          <w:spacing w:val="2"/>
          <w:sz w:val="21"/>
          <w:szCs w:val="21"/>
          <w:highlight w:val="none"/>
        </w:rPr>
        <w:t>标文件中的技术</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成果或技术方案时，</w:t>
      </w:r>
      <w:r>
        <w:rPr>
          <w:rFonts w:ascii="宋体" w:hAnsi="宋体" w:eastAsia="宋体" w:cs="宋体"/>
          <w:color w:val="auto"/>
          <w:spacing w:val="25"/>
          <w:sz w:val="21"/>
          <w:szCs w:val="21"/>
          <w:highlight w:val="none"/>
        </w:rPr>
        <w:t xml:space="preserve"> </w:t>
      </w:r>
      <w:r>
        <w:rPr>
          <w:rFonts w:ascii="宋体" w:hAnsi="宋体" w:eastAsia="宋体" w:cs="宋体"/>
          <w:color w:val="auto"/>
          <w:spacing w:val="-4"/>
          <w:sz w:val="21"/>
          <w:szCs w:val="21"/>
          <w:highlight w:val="none"/>
        </w:rPr>
        <w:t>需征得其书面同意，并不得擅自复印或提供</w:t>
      </w:r>
      <w:r>
        <w:rPr>
          <w:rFonts w:ascii="宋体" w:hAnsi="宋体" w:eastAsia="宋体" w:cs="宋体"/>
          <w:color w:val="auto"/>
          <w:spacing w:val="-5"/>
          <w:sz w:val="21"/>
          <w:szCs w:val="21"/>
          <w:highlight w:val="none"/>
        </w:rPr>
        <w:t>给第三人。</w:t>
      </w:r>
    </w:p>
    <w:p w14:paraId="4774C029">
      <w:pPr>
        <w:spacing w:before="85" w:line="220"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6"/>
          <w:sz w:val="24"/>
          <w:szCs w:val="24"/>
          <w:highlight w:val="none"/>
        </w:rPr>
        <w:t>10.4</w:t>
      </w:r>
      <w:r>
        <w:rPr>
          <w:rFonts w:ascii="Times New Roman" w:hAnsi="Times New Roman" w:eastAsia="Times New Roman" w:cs="Times New Roman"/>
          <w:color w:val="auto"/>
          <w:spacing w:val="29"/>
          <w:w w:val="101"/>
          <w:sz w:val="24"/>
          <w:szCs w:val="24"/>
          <w:highlight w:val="none"/>
        </w:rPr>
        <w:t xml:space="preserve"> </w:t>
      </w:r>
      <w:r>
        <w:rPr>
          <w:rFonts w:ascii="黑体" w:hAnsi="黑体" w:eastAsia="黑体" w:cs="黑体"/>
          <w:color w:val="auto"/>
          <w:spacing w:val="-6"/>
          <w:sz w:val="24"/>
          <w:szCs w:val="24"/>
          <w:highlight w:val="none"/>
        </w:rPr>
        <w:t>同义词语</w:t>
      </w:r>
    </w:p>
    <w:p w14:paraId="0DEA7C62">
      <w:pPr>
        <w:spacing w:before="98" w:line="285" w:lineRule="auto"/>
        <w:ind w:left="4" w:right="174" w:firstLine="439"/>
        <w:jc w:val="both"/>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构成招标文件组成部分的“通用合同条款”、“专用合同条款”、“技术标准和要求”和</w:t>
      </w:r>
      <w:r>
        <w:rPr>
          <w:rFonts w:ascii="宋体" w:hAnsi="宋体" w:eastAsia="宋体" w:cs="宋体"/>
          <w:color w:val="auto"/>
          <w:spacing w:val="8"/>
          <w:sz w:val="21"/>
          <w:szCs w:val="21"/>
          <w:highlight w:val="none"/>
        </w:rPr>
        <w:t xml:space="preserve"> </w:t>
      </w:r>
      <w:r>
        <w:rPr>
          <w:rFonts w:ascii="宋体" w:hAnsi="宋体" w:eastAsia="宋体" w:cs="宋体"/>
          <w:color w:val="auto"/>
          <w:spacing w:val="-2"/>
          <w:sz w:val="21"/>
          <w:szCs w:val="21"/>
          <w:highlight w:val="none"/>
        </w:rPr>
        <w:t>“工程量清单”等章节中出现的措辞“发包人”和“承包人”，在招标投标阶段应当分</w:t>
      </w:r>
      <w:r>
        <w:rPr>
          <w:rFonts w:ascii="宋体" w:hAnsi="宋体" w:eastAsia="宋体" w:cs="宋体"/>
          <w:color w:val="auto"/>
          <w:spacing w:val="-3"/>
          <w:sz w:val="21"/>
          <w:szCs w:val="21"/>
          <w:highlight w:val="none"/>
        </w:rPr>
        <w:t>别按</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“招标人”和“投标人”进行理解。</w:t>
      </w:r>
    </w:p>
    <w:p w14:paraId="36142615">
      <w:pPr>
        <w:spacing w:before="84" w:line="220"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10.5</w:t>
      </w:r>
      <w:r>
        <w:rPr>
          <w:rFonts w:ascii="Times New Roman" w:hAnsi="Times New Roman" w:eastAsia="Times New Roman" w:cs="Times New Roman"/>
          <w:color w:val="auto"/>
          <w:spacing w:val="13"/>
          <w:sz w:val="24"/>
          <w:szCs w:val="24"/>
          <w:highlight w:val="none"/>
        </w:rPr>
        <w:t xml:space="preserve"> </w:t>
      </w:r>
      <w:r>
        <w:rPr>
          <w:rFonts w:ascii="黑体" w:hAnsi="黑体" w:eastAsia="黑体" w:cs="黑体"/>
          <w:color w:val="auto"/>
          <w:spacing w:val="-5"/>
          <w:sz w:val="24"/>
          <w:szCs w:val="24"/>
          <w:highlight w:val="none"/>
        </w:rPr>
        <w:t>解释权</w:t>
      </w:r>
    </w:p>
    <w:p w14:paraId="0F4460A6">
      <w:pPr>
        <w:spacing w:before="99" w:line="298" w:lineRule="auto"/>
        <w:ind w:left="19" w:right="5" w:firstLine="424"/>
        <w:jc w:val="both"/>
        <w:rPr>
          <w:rFonts w:ascii="黑体" w:hAnsi="黑体" w:eastAsia="黑体" w:cs="黑体"/>
          <w:color w:val="auto"/>
          <w:sz w:val="24"/>
          <w:szCs w:val="24"/>
          <w:highlight w:val="none"/>
        </w:rPr>
      </w:pPr>
      <w:r>
        <w:rPr>
          <w:rFonts w:ascii="宋体" w:hAnsi="宋体" w:eastAsia="宋体" w:cs="宋体"/>
          <w:color w:val="auto"/>
          <w:sz w:val="21"/>
          <w:szCs w:val="21"/>
          <w:highlight w:val="none"/>
        </w:rPr>
        <w:t>构成本招标文件的各个组成文件应互为解释，互为说明；如有不明确或</w:t>
      </w:r>
      <w:r>
        <w:rPr>
          <w:rFonts w:ascii="宋体" w:hAnsi="宋体" w:eastAsia="宋体" w:cs="宋体"/>
          <w:color w:val="auto"/>
          <w:spacing w:val="-1"/>
          <w:sz w:val="21"/>
          <w:szCs w:val="21"/>
          <w:highlight w:val="none"/>
        </w:rPr>
        <w:t xml:space="preserve">不一致， 构成  </w:t>
      </w:r>
      <w:r>
        <w:rPr>
          <w:rFonts w:ascii="宋体" w:hAnsi="宋体" w:eastAsia="宋体" w:cs="宋体"/>
          <w:color w:val="auto"/>
          <w:sz w:val="21"/>
          <w:szCs w:val="21"/>
          <w:highlight w:val="none"/>
        </w:rPr>
        <w:t>合同文件组成内容的， 以合同文件约定内容为准，且以专用合同条款约定的合同文件</w:t>
      </w:r>
      <w:r>
        <w:rPr>
          <w:rFonts w:ascii="宋体" w:hAnsi="宋体" w:eastAsia="宋体" w:cs="宋体"/>
          <w:color w:val="auto"/>
          <w:spacing w:val="-1"/>
          <w:sz w:val="21"/>
          <w:szCs w:val="21"/>
          <w:highlight w:val="none"/>
        </w:rPr>
        <w:t xml:space="preserve">优先  </w:t>
      </w:r>
      <w:r>
        <w:rPr>
          <w:rFonts w:ascii="宋体" w:hAnsi="宋体" w:eastAsia="宋体" w:cs="宋体"/>
          <w:color w:val="auto"/>
          <w:sz w:val="21"/>
          <w:szCs w:val="21"/>
          <w:highlight w:val="none"/>
        </w:rPr>
        <w:t>顺序解释；除招标文件中有特别规定外， 仅适用于招标投标阶段的规定，按招标公告</w:t>
      </w:r>
      <w:r>
        <w:rPr>
          <w:rFonts w:ascii="宋体" w:hAnsi="宋体" w:eastAsia="宋体" w:cs="宋体"/>
          <w:color w:val="auto"/>
          <w:spacing w:val="-1"/>
          <w:sz w:val="21"/>
          <w:szCs w:val="21"/>
          <w:highlight w:val="none"/>
        </w:rPr>
        <w:t xml:space="preserve">（投  </w:t>
      </w:r>
      <w:r>
        <w:rPr>
          <w:rFonts w:ascii="宋体" w:hAnsi="宋体" w:eastAsia="宋体" w:cs="宋体"/>
          <w:color w:val="auto"/>
          <w:spacing w:val="-3"/>
          <w:sz w:val="21"/>
          <w:szCs w:val="21"/>
          <w:highlight w:val="none"/>
        </w:rPr>
        <w:t xml:space="preserve">标邀请书）、投标人须知、评标办法、投标文件格式的先后顺序解释；同一组成文件中就同  </w:t>
      </w:r>
      <w:r>
        <w:rPr>
          <w:rFonts w:ascii="宋体" w:hAnsi="宋体" w:eastAsia="宋体" w:cs="宋体"/>
          <w:color w:val="auto"/>
          <w:spacing w:val="3"/>
          <w:sz w:val="21"/>
          <w:szCs w:val="21"/>
          <w:highlight w:val="none"/>
        </w:rPr>
        <w:t>一事项的规定或约定不一致的，以编排顺序</w:t>
      </w:r>
      <w:r>
        <w:rPr>
          <w:rFonts w:ascii="宋体" w:hAnsi="宋体" w:eastAsia="宋体" w:cs="宋体"/>
          <w:color w:val="auto"/>
          <w:spacing w:val="2"/>
          <w:sz w:val="21"/>
          <w:szCs w:val="21"/>
          <w:highlight w:val="none"/>
        </w:rPr>
        <w:t xml:space="preserve">在后者为准；同一组成文件不同版本之间有不  </w:t>
      </w:r>
      <w:r>
        <w:rPr>
          <w:rFonts w:ascii="宋体" w:hAnsi="宋体" w:eastAsia="宋体" w:cs="宋体"/>
          <w:color w:val="auto"/>
          <w:spacing w:val="-1"/>
          <w:sz w:val="21"/>
          <w:szCs w:val="21"/>
          <w:highlight w:val="none"/>
        </w:rPr>
        <w:t>一致的，以形成时间在后者为准。按本款前述规定仍不能形成结论的， 由招标人负责解释。</w:t>
      </w:r>
      <w:r>
        <w:rPr>
          <w:rFonts w:ascii="宋体" w:hAnsi="宋体" w:eastAsia="宋体" w:cs="宋体"/>
          <w:color w:val="auto"/>
          <w:spacing w:val="17"/>
          <w:sz w:val="21"/>
          <w:szCs w:val="21"/>
          <w:highlight w:val="none"/>
        </w:rPr>
        <w:t xml:space="preserve"> </w:t>
      </w:r>
      <w:r>
        <w:rPr>
          <w:rFonts w:ascii="Times New Roman" w:hAnsi="Times New Roman" w:eastAsia="Times New Roman" w:cs="Times New Roman"/>
          <w:color w:val="auto"/>
          <w:spacing w:val="-1"/>
          <w:sz w:val="24"/>
          <w:szCs w:val="24"/>
          <w:highlight w:val="none"/>
        </w:rPr>
        <w:t xml:space="preserve">10.6 </w:t>
      </w:r>
      <w:r>
        <w:rPr>
          <w:rFonts w:ascii="黑体" w:hAnsi="黑体" w:eastAsia="黑体" w:cs="黑体"/>
          <w:color w:val="auto"/>
          <w:spacing w:val="-1"/>
          <w:sz w:val="24"/>
          <w:szCs w:val="24"/>
          <w:highlight w:val="none"/>
        </w:rPr>
        <w:t>招标人补充的其他内容</w:t>
      </w:r>
    </w:p>
    <w:p w14:paraId="4425BDC8">
      <w:pPr>
        <w:spacing w:before="99" w:line="220" w:lineRule="auto"/>
        <w:ind w:left="44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招标人补充的其他内容：见投标人须知前附表。</w:t>
      </w:r>
    </w:p>
    <w:p w14:paraId="21CD6C8B">
      <w:pPr>
        <w:spacing w:line="220" w:lineRule="auto"/>
        <w:rPr>
          <w:rFonts w:ascii="宋体" w:hAnsi="宋体" w:eastAsia="宋体" w:cs="宋体"/>
          <w:color w:val="auto"/>
          <w:sz w:val="21"/>
          <w:szCs w:val="21"/>
          <w:highlight w:val="none"/>
        </w:rPr>
        <w:sectPr>
          <w:footerReference r:id="rId31" w:type="default"/>
          <w:pgSz w:w="11905" w:h="16839"/>
          <w:pgMar w:top="1431" w:right="1612" w:bottom="1036" w:left="1785" w:header="0" w:footer="847" w:gutter="0"/>
          <w:pgNumType w:fmt="decimal"/>
          <w:cols w:space="720" w:num="1"/>
        </w:sectPr>
      </w:pPr>
    </w:p>
    <w:p w14:paraId="26E1194F">
      <w:pPr>
        <w:spacing w:before="47" w:line="219" w:lineRule="auto"/>
        <w:ind w:left="32"/>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附表一：招标文件澄清申请函</w:t>
      </w:r>
    </w:p>
    <w:p w14:paraId="3D5554A6">
      <w:pPr>
        <w:pStyle w:val="3"/>
        <w:spacing w:line="253" w:lineRule="auto"/>
        <w:rPr>
          <w:color w:val="auto"/>
          <w:highlight w:val="none"/>
        </w:rPr>
      </w:pPr>
    </w:p>
    <w:p w14:paraId="46B5509C">
      <w:pPr>
        <w:pStyle w:val="3"/>
        <w:spacing w:line="253" w:lineRule="auto"/>
        <w:rPr>
          <w:color w:val="auto"/>
          <w:highlight w:val="none"/>
        </w:rPr>
      </w:pPr>
    </w:p>
    <w:p w14:paraId="6E6E5C31">
      <w:pPr>
        <w:pStyle w:val="3"/>
        <w:spacing w:line="253" w:lineRule="auto"/>
        <w:rPr>
          <w:color w:val="auto"/>
          <w:highlight w:val="none"/>
        </w:rPr>
      </w:pPr>
    </w:p>
    <w:p w14:paraId="298143F1">
      <w:pPr>
        <w:pStyle w:val="3"/>
        <w:spacing w:line="253" w:lineRule="auto"/>
        <w:rPr>
          <w:color w:val="auto"/>
          <w:highlight w:val="none"/>
        </w:rPr>
      </w:pPr>
    </w:p>
    <w:p w14:paraId="0053BAE1">
      <w:pPr>
        <w:pStyle w:val="3"/>
        <w:spacing w:line="253" w:lineRule="auto"/>
        <w:rPr>
          <w:color w:val="auto"/>
          <w:highlight w:val="none"/>
        </w:rPr>
      </w:pPr>
    </w:p>
    <w:p w14:paraId="3272F1D4">
      <w:pPr>
        <w:pStyle w:val="3"/>
        <w:spacing w:line="254" w:lineRule="auto"/>
        <w:rPr>
          <w:color w:val="auto"/>
          <w:highlight w:val="none"/>
        </w:rPr>
      </w:pPr>
    </w:p>
    <w:p w14:paraId="0F462C3E">
      <w:pPr>
        <w:spacing w:before="88" w:line="225" w:lineRule="auto"/>
        <w:ind w:left="2915"/>
        <w:rPr>
          <w:rFonts w:ascii="黑体" w:hAnsi="黑体" w:eastAsia="黑体" w:cs="黑体"/>
          <w:color w:val="auto"/>
          <w:sz w:val="27"/>
          <w:szCs w:val="27"/>
          <w:highlight w:val="none"/>
        </w:rPr>
      </w:pPr>
      <w:r>
        <w:rPr>
          <w:rFonts w:ascii="黑体" w:hAnsi="黑体" w:eastAsia="黑体" w:cs="黑体"/>
          <w:color w:val="auto"/>
          <w:spacing w:val="8"/>
          <w:sz w:val="27"/>
          <w:szCs w:val="27"/>
          <w:highlight w:val="none"/>
        </w:rPr>
        <w:t>招标文件澄清申请函</w:t>
      </w:r>
    </w:p>
    <w:p w14:paraId="47E2B09A">
      <w:pPr>
        <w:pStyle w:val="3"/>
        <w:spacing w:line="474" w:lineRule="auto"/>
        <w:rPr>
          <w:color w:val="auto"/>
          <w:highlight w:val="none"/>
        </w:rPr>
      </w:pPr>
    </w:p>
    <w:p w14:paraId="1B7D3A25">
      <w:pPr>
        <w:spacing w:before="68" w:line="221" w:lineRule="auto"/>
        <w:ind w:left="6219"/>
        <w:rPr>
          <w:rFonts w:ascii="宋体" w:hAnsi="宋体" w:eastAsia="宋体" w:cs="宋体"/>
          <w:color w:val="auto"/>
          <w:sz w:val="21"/>
          <w:szCs w:val="21"/>
          <w:highlight w:val="none"/>
        </w:rPr>
      </w:pPr>
      <w:r>
        <w:rPr>
          <w:rFonts w:ascii="宋体" w:hAnsi="宋体" w:eastAsia="宋体" w:cs="宋体"/>
          <w:color w:val="auto"/>
          <w:spacing w:val="-32"/>
          <w:w w:val="98"/>
          <w:sz w:val="21"/>
          <w:szCs w:val="21"/>
          <w:highlight w:val="none"/>
        </w:rPr>
        <w:t>编号：</w:t>
      </w:r>
      <w:r>
        <w:rPr>
          <w:rFonts w:ascii="宋体" w:hAnsi="宋体" w:eastAsia="宋体" w:cs="宋体"/>
          <w:color w:val="auto"/>
          <w:spacing w:val="-4"/>
          <w:sz w:val="21"/>
          <w:szCs w:val="21"/>
          <w:highlight w:val="none"/>
        </w:rPr>
        <w:t xml:space="preserve"> </w:t>
      </w:r>
      <w:r>
        <w:rPr>
          <w:rFonts w:ascii="宋体" w:hAnsi="宋体" w:eastAsia="宋体" w:cs="宋体"/>
          <w:color w:val="auto"/>
          <w:sz w:val="21"/>
          <w:szCs w:val="21"/>
          <w:highlight w:val="none"/>
          <w:u w:val="single" w:color="auto"/>
        </w:rPr>
        <w:t xml:space="preserve">          </w:t>
      </w:r>
    </w:p>
    <w:p w14:paraId="1D537465">
      <w:pPr>
        <w:pStyle w:val="3"/>
        <w:spacing w:line="250" w:lineRule="auto"/>
        <w:rPr>
          <w:color w:val="auto"/>
          <w:highlight w:val="none"/>
        </w:rPr>
      </w:pPr>
    </w:p>
    <w:p w14:paraId="1A74640A">
      <w:pPr>
        <w:pStyle w:val="3"/>
        <w:spacing w:line="250" w:lineRule="auto"/>
        <w:rPr>
          <w:color w:val="auto"/>
          <w:highlight w:val="none"/>
        </w:rPr>
      </w:pPr>
    </w:p>
    <w:p w14:paraId="6F1ADBB2">
      <w:pPr>
        <w:pStyle w:val="3"/>
        <w:spacing w:line="251" w:lineRule="auto"/>
        <w:rPr>
          <w:color w:val="auto"/>
          <w:highlight w:val="none"/>
        </w:rPr>
      </w:pPr>
    </w:p>
    <w:p w14:paraId="0614DC8D">
      <w:pPr>
        <w:tabs>
          <w:tab w:val="left" w:pos="2218"/>
        </w:tabs>
        <w:spacing w:before="69" w:line="221" w:lineRule="auto"/>
        <w:ind w:left="1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（招标人名称</w:t>
      </w:r>
      <w:r>
        <w:rPr>
          <w:rFonts w:ascii="宋体" w:hAnsi="宋体" w:eastAsia="宋体" w:cs="宋体"/>
          <w:color w:val="auto"/>
          <w:spacing w:val="-55"/>
          <w:w w:val="98"/>
          <w:sz w:val="21"/>
          <w:szCs w:val="21"/>
          <w:highlight w:val="none"/>
        </w:rPr>
        <w:t>）：</w:t>
      </w:r>
    </w:p>
    <w:p w14:paraId="3BCB1661">
      <w:pPr>
        <w:spacing w:before="305" w:line="494" w:lineRule="auto"/>
        <w:jc w:val="right"/>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经过仔细阅读</w:t>
      </w:r>
      <w:r>
        <w:rPr>
          <w:rFonts w:ascii="宋体" w:hAnsi="宋体" w:eastAsia="宋体" w:cs="宋体"/>
          <w:color w:val="auto"/>
          <w:spacing w:val="-103"/>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5"/>
          <w:sz w:val="21"/>
          <w:szCs w:val="21"/>
          <w:highlight w:val="none"/>
        </w:rPr>
        <w:t xml:space="preserve"> （标段名称）</w:t>
      </w:r>
      <w:r>
        <w:rPr>
          <w:rFonts w:ascii="宋体" w:hAnsi="宋体" w:eastAsia="宋体" w:cs="宋体"/>
          <w:color w:val="auto"/>
          <w:spacing w:val="-21"/>
          <w:sz w:val="21"/>
          <w:szCs w:val="21"/>
          <w:highlight w:val="none"/>
        </w:rPr>
        <w:t xml:space="preserve"> </w:t>
      </w:r>
      <w:r>
        <w:rPr>
          <w:rFonts w:ascii="宋体" w:hAnsi="宋体" w:eastAsia="宋体" w:cs="宋体"/>
          <w:color w:val="auto"/>
          <w:spacing w:val="-5"/>
          <w:sz w:val="21"/>
          <w:szCs w:val="21"/>
          <w:highlight w:val="none"/>
        </w:rPr>
        <w:t>项目（标段</w:t>
      </w:r>
      <w:r>
        <w:rPr>
          <w:rFonts w:ascii="宋体" w:hAnsi="宋体" w:eastAsia="宋体" w:cs="宋体"/>
          <w:color w:val="auto"/>
          <w:spacing w:val="-6"/>
          <w:sz w:val="21"/>
          <w:szCs w:val="21"/>
          <w:highlight w:val="none"/>
        </w:rPr>
        <w:t>唯一标识码</w:t>
      </w:r>
      <w:r>
        <w:rPr>
          <w:rFonts w:ascii="宋体" w:hAnsi="宋体" w:eastAsia="宋体" w:cs="宋体"/>
          <w:color w:val="auto"/>
          <w:spacing w:val="-12"/>
          <w:sz w:val="21"/>
          <w:szCs w:val="21"/>
          <w:highlight w:val="none"/>
        </w:rPr>
        <w:t>：</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26"/>
          <w:sz w:val="21"/>
          <w:szCs w:val="21"/>
          <w:highlight w:val="none"/>
        </w:rPr>
        <w:t xml:space="preserve"> </w:t>
      </w:r>
      <w:r>
        <w:rPr>
          <w:rFonts w:ascii="宋体" w:hAnsi="宋体" w:eastAsia="宋体" w:cs="宋体"/>
          <w:color w:val="auto"/>
          <w:spacing w:val="-12"/>
          <w:sz w:val="21"/>
          <w:szCs w:val="21"/>
          <w:highlight w:val="none"/>
        </w:rPr>
        <w:t>）</w:t>
      </w:r>
      <w:r>
        <w:rPr>
          <w:rFonts w:ascii="宋体" w:hAnsi="宋体" w:eastAsia="宋体" w:cs="宋体"/>
          <w:color w:val="auto"/>
          <w:spacing w:val="-6"/>
          <w:sz w:val="21"/>
          <w:szCs w:val="21"/>
          <w:highlight w:val="none"/>
        </w:rPr>
        <w:t>招</w:t>
      </w:r>
    </w:p>
    <w:p w14:paraId="16C120C4">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标文件后，</w:t>
      </w:r>
      <w:r>
        <w:rPr>
          <w:rFonts w:ascii="宋体" w:hAnsi="宋体" w:eastAsia="宋体" w:cs="宋体"/>
          <w:color w:val="auto"/>
          <w:spacing w:val="54"/>
          <w:sz w:val="21"/>
          <w:szCs w:val="21"/>
          <w:highlight w:val="none"/>
        </w:rPr>
        <w:t xml:space="preserve"> </w:t>
      </w:r>
      <w:r>
        <w:rPr>
          <w:rFonts w:ascii="宋体" w:hAnsi="宋体" w:eastAsia="宋体" w:cs="宋体"/>
          <w:color w:val="auto"/>
          <w:spacing w:val="-10"/>
          <w:sz w:val="21"/>
          <w:szCs w:val="21"/>
          <w:highlight w:val="none"/>
        </w:rPr>
        <w:t>我方申请对以下问题予以澄清：</w:t>
      </w:r>
    </w:p>
    <w:p w14:paraId="14E82FC7">
      <w:pPr>
        <w:pStyle w:val="3"/>
        <w:spacing w:line="241" w:lineRule="auto"/>
        <w:rPr>
          <w:color w:val="auto"/>
          <w:highlight w:val="none"/>
        </w:rPr>
      </w:pPr>
    </w:p>
    <w:p w14:paraId="3BA40F5D">
      <w:pPr>
        <w:spacing w:before="68"/>
        <w:ind w:left="351"/>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1.……</w:t>
      </w:r>
    </w:p>
    <w:p w14:paraId="5EE00D05">
      <w:pPr>
        <w:spacing w:before="284"/>
        <w:ind w:left="33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w:t>
      </w:r>
    </w:p>
    <w:p w14:paraId="2ED278E0">
      <w:pPr>
        <w:spacing w:before="289" w:line="332" w:lineRule="exact"/>
        <w:ind w:left="454"/>
        <w:rPr>
          <w:rFonts w:ascii="宋体" w:hAnsi="宋体" w:eastAsia="宋体" w:cs="宋体"/>
          <w:color w:val="auto"/>
          <w:sz w:val="21"/>
          <w:szCs w:val="21"/>
          <w:highlight w:val="none"/>
        </w:rPr>
      </w:pPr>
      <w:r>
        <w:rPr>
          <w:rFonts w:ascii="宋体" w:hAnsi="宋体" w:eastAsia="宋体" w:cs="宋体"/>
          <w:color w:val="auto"/>
          <w:spacing w:val="-5"/>
          <w:position w:val="2"/>
          <w:sz w:val="21"/>
          <w:szCs w:val="21"/>
          <w:highlight w:val="none"/>
        </w:rPr>
        <w:t>……</w:t>
      </w:r>
    </w:p>
    <w:p w14:paraId="7600BD4A">
      <w:pPr>
        <w:pStyle w:val="3"/>
        <w:spacing w:line="258" w:lineRule="auto"/>
        <w:rPr>
          <w:color w:val="auto"/>
          <w:highlight w:val="none"/>
        </w:rPr>
      </w:pPr>
    </w:p>
    <w:p w14:paraId="0B37107F">
      <w:pPr>
        <w:pStyle w:val="3"/>
        <w:spacing w:line="258" w:lineRule="auto"/>
        <w:rPr>
          <w:color w:val="auto"/>
          <w:highlight w:val="none"/>
        </w:rPr>
      </w:pPr>
    </w:p>
    <w:p w14:paraId="0DFB1C9C">
      <w:pPr>
        <w:pStyle w:val="3"/>
        <w:spacing w:line="258" w:lineRule="auto"/>
        <w:rPr>
          <w:color w:val="auto"/>
          <w:highlight w:val="none"/>
        </w:rPr>
      </w:pPr>
    </w:p>
    <w:p w14:paraId="69088D4E">
      <w:pPr>
        <w:pStyle w:val="3"/>
        <w:spacing w:line="259" w:lineRule="auto"/>
        <w:rPr>
          <w:color w:val="auto"/>
          <w:highlight w:val="none"/>
        </w:rPr>
      </w:pPr>
    </w:p>
    <w:p w14:paraId="62D62348">
      <w:pPr>
        <w:spacing w:before="69" w:line="220" w:lineRule="auto"/>
        <w:ind w:right="14"/>
        <w:jc w:val="right"/>
        <w:rPr>
          <w:rFonts w:ascii="宋体" w:hAnsi="宋体" w:eastAsia="宋体" w:cs="宋体"/>
          <w:color w:val="auto"/>
          <w:sz w:val="21"/>
          <w:szCs w:val="21"/>
          <w:highlight w:val="none"/>
        </w:rPr>
      </w:pPr>
      <w:r>
        <w:rPr>
          <w:rFonts w:ascii="宋体" w:hAnsi="宋体" w:eastAsia="宋体" w:cs="宋体"/>
          <w:color w:val="auto"/>
          <w:spacing w:val="-23"/>
          <w:sz w:val="21"/>
          <w:szCs w:val="21"/>
          <w:highlight w:val="none"/>
        </w:rPr>
        <w:t>投标人</w:t>
      </w:r>
      <w:r>
        <w:rPr>
          <w:rFonts w:ascii="宋体" w:hAnsi="宋体" w:eastAsia="宋体" w:cs="宋体"/>
          <w:color w:val="auto"/>
          <w:spacing w:val="1"/>
          <w:sz w:val="21"/>
          <w:szCs w:val="21"/>
          <w:highlight w:val="none"/>
        </w:rPr>
        <w:t>：</w:t>
      </w:r>
      <w:r>
        <w:rPr>
          <w:rFonts w:ascii="宋体" w:hAnsi="宋体" w:eastAsia="宋体" w:cs="宋体"/>
          <w:color w:val="auto"/>
          <w:spacing w:val="-2"/>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52"/>
          <w:sz w:val="21"/>
          <w:szCs w:val="21"/>
          <w:highlight w:val="none"/>
        </w:rPr>
        <w:t xml:space="preserve"> </w:t>
      </w:r>
      <w:r>
        <w:rPr>
          <w:rFonts w:ascii="宋体" w:hAnsi="宋体" w:eastAsia="宋体" w:cs="宋体"/>
          <w:color w:val="auto"/>
          <w:spacing w:val="1"/>
          <w:sz w:val="21"/>
          <w:szCs w:val="21"/>
          <w:highlight w:val="none"/>
        </w:rPr>
        <w:t>（</w:t>
      </w:r>
      <w:r>
        <w:rPr>
          <w:rFonts w:ascii="宋体" w:hAnsi="宋体" w:eastAsia="宋体" w:cs="宋体"/>
          <w:color w:val="auto"/>
          <w:spacing w:val="-23"/>
          <w:sz w:val="21"/>
          <w:szCs w:val="21"/>
          <w:highlight w:val="none"/>
        </w:rPr>
        <w:t>盖单位章）</w:t>
      </w:r>
    </w:p>
    <w:p w14:paraId="352419E1">
      <w:pPr>
        <w:pStyle w:val="3"/>
        <w:spacing w:line="465" w:lineRule="auto"/>
        <w:rPr>
          <w:color w:val="auto"/>
          <w:highlight w:val="none"/>
        </w:rPr>
      </w:pPr>
    </w:p>
    <w:p w14:paraId="32A5F8B0">
      <w:pPr>
        <w:tabs>
          <w:tab w:val="left" w:pos="6842"/>
        </w:tabs>
        <w:spacing w:before="69" w:line="221" w:lineRule="auto"/>
        <w:ind w:left="5897"/>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4"/>
          <w:sz w:val="21"/>
          <w:szCs w:val="21"/>
          <w:highlight w:val="none"/>
        </w:rPr>
        <w:t xml:space="preserve"> </w:t>
      </w:r>
      <w:r>
        <w:rPr>
          <w:rFonts w:ascii="宋体" w:hAnsi="宋体" w:eastAsia="宋体" w:cs="宋体"/>
          <w:color w:val="auto"/>
          <w:spacing w:val="-22"/>
          <w:sz w:val="21"/>
          <w:szCs w:val="21"/>
          <w:highlight w:val="none"/>
        </w:rPr>
        <w:t>年</w:t>
      </w:r>
      <w:r>
        <w:rPr>
          <w:rFonts w:ascii="宋体" w:hAnsi="宋体" w:eastAsia="宋体" w:cs="宋体"/>
          <w:color w:val="auto"/>
          <w:spacing w:val="-105"/>
          <w:sz w:val="21"/>
          <w:szCs w:val="21"/>
          <w:highlight w:val="none"/>
        </w:rPr>
        <w:t xml:space="preserve"> </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22"/>
          <w:sz w:val="21"/>
          <w:szCs w:val="21"/>
          <w:highlight w:val="none"/>
        </w:rPr>
        <w:t>月</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22"/>
          <w:sz w:val="21"/>
          <w:szCs w:val="21"/>
          <w:highlight w:val="none"/>
        </w:rPr>
        <w:t>日</w:t>
      </w:r>
    </w:p>
    <w:p w14:paraId="6F650A20">
      <w:pPr>
        <w:spacing w:line="221" w:lineRule="auto"/>
        <w:rPr>
          <w:rFonts w:ascii="宋体" w:hAnsi="宋体" w:eastAsia="宋体" w:cs="宋体"/>
          <w:color w:val="auto"/>
          <w:sz w:val="21"/>
          <w:szCs w:val="21"/>
          <w:highlight w:val="none"/>
        </w:rPr>
        <w:sectPr>
          <w:footerReference r:id="rId32" w:type="default"/>
          <w:pgSz w:w="11905" w:h="16839"/>
          <w:pgMar w:top="1431" w:right="1785" w:bottom="1036" w:left="1785" w:header="0" w:footer="847" w:gutter="0"/>
          <w:pgNumType w:fmt="decimal"/>
          <w:cols w:space="720" w:num="1"/>
        </w:sectPr>
      </w:pPr>
    </w:p>
    <w:p w14:paraId="4E9B9251">
      <w:pPr>
        <w:spacing w:before="47" w:line="219" w:lineRule="auto"/>
        <w:ind w:left="32"/>
        <w:rPr>
          <w:rFonts w:ascii="黑体" w:hAnsi="黑体" w:eastAsia="黑体" w:cs="黑体"/>
          <w:color w:val="auto"/>
          <w:sz w:val="24"/>
          <w:szCs w:val="24"/>
          <w:highlight w:val="none"/>
        </w:rPr>
      </w:pPr>
      <w:r>
        <w:rPr>
          <w:rFonts w:ascii="黑体" w:hAnsi="黑体" w:eastAsia="黑体" w:cs="黑体"/>
          <w:color w:val="auto"/>
          <w:spacing w:val="-11"/>
          <w:sz w:val="24"/>
          <w:szCs w:val="24"/>
          <w:highlight w:val="none"/>
        </w:rPr>
        <w:t>附表二： 招标文件澄清通知</w:t>
      </w:r>
    </w:p>
    <w:p w14:paraId="3BE6C0C3">
      <w:pPr>
        <w:pStyle w:val="3"/>
        <w:spacing w:line="266" w:lineRule="auto"/>
        <w:rPr>
          <w:color w:val="auto"/>
          <w:highlight w:val="none"/>
        </w:rPr>
      </w:pPr>
    </w:p>
    <w:p w14:paraId="5A683FAF">
      <w:pPr>
        <w:pStyle w:val="3"/>
        <w:spacing w:line="266" w:lineRule="auto"/>
        <w:rPr>
          <w:color w:val="auto"/>
          <w:highlight w:val="none"/>
        </w:rPr>
      </w:pPr>
    </w:p>
    <w:p w14:paraId="74F03133">
      <w:pPr>
        <w:pStyle w:val="3"/>
        <w:spacing w:line="266" w:lineRule="auto"/>
        <w:rPr>
          <w:color w:val="auto"/>
          <w:highlight w:val="none"/>
        </w:rPr>
      </w:pPr>
    </w:p>
    <w:p w14:paraId="3049550D">
      <w:pPr>
        <w:pStyle w:val="3"/>
        <w:spacing w:line="266" w:lineRule="auto"/>
        <w:rPr>
          <w:color w:val="auto"/>
          <w:highlight w:val="none"/>
        </w:rPr>
      </w:pPr>
    </w:p>
    <w:p w14:paraId="72BF24A6">
      <w:pPr>
        <w:pStyle w:val="3"/>
        <w:spacing w:line="266" w:lineRule="auto"/>
        <w:rPr>
          <w:color w:val="auto"/>
          <w:highlight w:val="none"/>
        </w:rPr>
      </w:pPr>
    </w:p>
    <w:p w14:paraId="6D0F2A27">
      <w:pPr>
        <w:pStyle w:val="3"/>
        <w:spacing w:line="266" w:lineRule="auto"/>
        <w:rPr>
          <w:color w:val="auto"/>
          <w:highlight w:val="none"/>
        </w:rPr>
      </w:pPr>
    </w:p>
    <w:p w14:paraId="4D38D494">
      <w:pPr>
        <w:spacing w:before="87" w:line="225" w:lineRule="auto"/>
        <w:ind w:left="3054"/>
        <w:rPr>
          <w:rFonts w:ascii="黑体" w:hAnsi="黑体" w:eastAsia="黑体" w:cs="黑体"/>
          <w:color w:val="auto"/>
          <w:sz w:val="27"/>
          <w:szCs w:val="27"/>
          <w:highlight w:val="none"/>
        </w:rPr>
      </w:pPr>
      <w:bookmarkStart w:id="81" w:name="bookmark100"/>
      <w:bookmarkEnd w:id="81"/>
      <w:bookmarkStart w:id="82" w:name="bookmark101"/>
      <w:bookmarkEnd w:id="82"/>
      <w:r>
        <w:rPr>
          <w:rFonts w:ascii="黑体" w:hAnsi="黑体" w:eastAsia="黑体" w:cs="黑体"/>
          <w:color w:val="auto"/>
          <w:spacing w:val="8"/>
          <w:sz w:val="27"/>
          <w:szCs w:val="27"/>
          <w:highlight w:val="none"/>
        </w:rPr>
        <w:t>招标文件澄清通知</w:t>
      </w:r>
    </w:p>
    <w:p w14:paraId="39B1E7F8">
      <w:pPr>
        <w:pStyle w:val="3"/>
        <w:spacing w:line="474" w:lineRule="auto"/>
        <w:rPr>
          <w:color w:val="auto"/>
          <w:highlight w:val="none"/>
        </w:rPr>
      </w:pPr>
    </w:p>
    <w:p w14:paraId="23EE6224">
      <w:pPr>
        <w:spacing w:before="68" w:line="221" w:lineRule="auto"/>
        <w:ind w:left="6007"/>
        <w:rPr>
          <w:rFonts w:ascii="宋体" w:hAnsi="宋体" w:eastAsia="宋体" w:cs="宋体"/>
          <w:color w:val="auto"/>
          <w:sz w:val="21"/>
          <w:szCs w:val="21"/>
          <w:highlight w:val="none"/>
        </w:rPr>
      </w:pPr>
      <w:r>
        <w:rPr>
          <w:rFonts w:ascii="宋体" w:hAnsi="宋体" w:eastAsia="宋体" w:cs="宋体"/>
          <w:color w:val="auto"/>
          <w:spacing w:val="-32"/>
          <w:w w:val="98"/>
          <w:sz w:val="21"/>
          <w:szCs w:val="21"/>
          <w:highlight w:val="none"/>
        </w:rPr>
        <w:t>编号：</w:t>
      </w:r>
      <w:r>
        <w:rPr>
          <w:rFonts w:ascii="宋体" w:hAnsi="宋体" w:eastAsia="宋体" w:cs="宋体"/>
          <w:color w:val="auto"/>
          <w:spacing w:val="-4"/>
          <w:sz w:val="21"/>
          <w:szCs w:val="21"/>
          <w:highlight w:val="none"/>
        </w:rPr>
        <w:t xml:space="preserve"> </w:t>
      </w:r>
      <w:r>
        <w:rPr>
          <w:rFonts w:ascii="宋体" w:hAnsi="宋体" w:eastAsia="宋体" w:cs="宋体"/>
          <w:color w:val="auto"/>
          <w:sz w:val="21"/>
          <w:szCs w:val="21"/>
          <w:highlight w:val="none"/>
          <w:u w:val="single" w:color="auto"/>
        </w:rPr>
        <w:t xml:space="preserve">          </w:t>
      </w:r>
    </w:p>
    <w:p w14:paraId="2819A4A1">
      <w:pPr>
        <w:pStyle w:val="3"/>
        <w:spacing w:line="465" w:lineRule="auto"/>
        <w:rPr>
          <w:color w:val="auto"/>
          <w:highlight w:val="none"/>
        </w:rPr>
      </w:pPr>
    </w:p>
    <w:p w14:paraId="18E12C9C">
      <w:pPr>
        <w:spacing w:before="68" w:line="221" w:lineRule="auto"/>
        <w:ind w:left="20"/>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各投标人：</w:t>
      </w:r>
    </w:p>
    <w:p w14:paraId="53A4D998">
      <w:pPr>
        <w:pStyle w:val="3"/>
        <w:rPr>
          <w:color w:val="auto"/>
          <w:highlight w:val="none"/>
        </w:rPr>
      </w:pPr>
    </w:p>
    <w:p w14:paraId="147743AA">
      <w:pPr>
        <w:spacing w:before="69" w:line="490" w:lineRule="auto"/>
        <w:ind w:right="1"/>
        <w:jc w:val="right"/>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经研究，对</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8"/>
          <w:sz w:val="21"/>
          <w:szCs w:val="21"/>
          <w:highlight w:val="none"/>
          <w:u w:val="single" w:color="auto"/>
        </w:rPr>
        <w:t xml:space="preserve">   </w:t>
      </w:r>
      <w:r>
        <w:rPr>
          <w:rFonts w:ascii="宋体" w:hAnsi="宋体" w:eastAsia="宋体" w:cs="宋体"/>
          <w:color w:val="auto"/>
          <w:spacing w:val="-8"/>
          <w:sz w:val="21"/>
          <w:szCs w:val="21"/>
          <w:highlight w:val="none"/>
        </w:rPr>
        <w:t xml:space="preserve"> （标段名称）</w:t>
      </w:r>
      <w:r>
        <w:rPr>
          <w:rFonts w:ascii="宋体" w:hAnsi="宋体" w:eastAsia="宋体" w:cs="宋体"/>
          <w:color w:val="auto"/>
          <w:spacing w:val="-25"/>
          <w:sz w:val="21"/>
          <w:szCs w:val="21"/>
          <w:highlight w:val="none"/>
        </w:rPr>
        <w:t xml:space="preserve"> </w:t>
      </w:r>
      <w:r>
        <w:rPr>
          <w:rFonts w:ascii="宋体" w:hAnsi="宋体" w:eastAsia="宋体" w:cs="宋体"/>
          <w:color w:val="auto"/>
          <w:spacing w:val="-8"/>
          <w:sz w:val="21"/>
          <w:szCs w:val="21"/>
          <w:highlight w:val="none"/>
        </w:rPr>
        <w:t>项目（标段唯一标识码</w:t>
      </w:r>
      <w:r>
        <w:rPr>
          <w:rFonts w:ascii="宋体" w:hAnsi="宋体" w:eastAsia="宋体" w:cs="宋体"/>
          <w:color w:val="auto"/>
          <w:sz w:val="21"/>
          <w:szCs w:val="21"/>
          <w:highlight w:val="none"/>
        </w:rPr>
        <w:t>：</w:t>
      </w:r>
      <w:r>
        <w:rPr>
          <w:rFonts w:ascii="宋体" w:hAnsi="宋体" w:eastAsia="宋体" w:cs="宋体"/>
          <w:color w:val="auto"/>
          <w:spacing w:val="-28"/>
          <w:sz w:val="21"/>
          <w:szCs w:val="21"/>
          <w:highlight w:val="none"/>
        </w:rPr>
        <w:t xml:space="preserve"> </w:t>
      </w:r>
      <w:r>
        <w:rPr>
          <w:rFonts w:ascii="宋体" w:hAnsi="宋体" w:eastAsia="宋体" w:cs="宋体"/>
          <w:color w:val="auto"/>
          <w:spacing w:val="12"/>
          <w:sz w:val="21"/>
          <w:szCs w:val="21"/>
          <w:highlight w:val="none"/>
          <w:u w:val="single" w:color="auto"/>
        </w:rPr>
        <w:t xml:space="preserve">    </w:t>
      </w:r>
      <w:r>
        <w:rPr>
          <w:rFonts w:ascii="宋体" w:hAnsi="宋体" w:eastAsia="宋体" w:cs="宋体"/>
          <w:color w:val="auto"/>
          <w:spacing w:val="-55"/>
          <w:sz w:val="21"/>
          <w:szCs w:val="21"/>
          <w:highlight w:val="none"/>
        </w:rPr>
        <w:t xml:space="preserve"> </w:t>
      </w:r>
      <w:r>
        <w:rPr>
          <w:rFonts w:ascii="宋体" w:hAnsi="宋体" w:eastAsia="宋体" w:cs="宋体"/>
          <w:color w:val="auto"/>
          <w:sz w:val="21"/>
          <w:szCs w:val="21"/>
          <w:highlight w:val="none"/>
        </w:rPr>
        <w:t>）</w:t>
      </w:r>
    </w:p>
    <w:p w14:paraId="5ACECA4B">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17"/>
          <w:sz w:val="21"/>
          <w:szCs w:val="21"/>
          <w:highlight w:val="none"/>
        </w:rPr>
        <w:t>招标文件，</w:t>
      </w:r>
      <w:r>
        <w:rPr>
          <w:rFonts w:ascii="宋体" w:hAnsi="宋体" w:eastAsia="宋体" w:cs="宋体"/>
          <w:color w:val="auto"/>
          <w:spacing w:val="52"/>
          <w:sz w:val="21"/>
          <w:szCs w:val="21"/>
          <w:highlight w:val="none"/>
        </w:rPr>
        <w:t xml:space="preserve"> </w:t>
      </w:r>
      <w:r>
        <w:rPr>
          <w:rFonts w:ascii="宋体" w:hAnsi="宋体" w:eastAsia="宋体" w:cs="宋体"/>
          <w:color w:val="auto"/>
          <w:spacing w:val="-17"/>
          <w:sz w:val="21"/>
          <w:szCs w:val="21"/>
          <w:highlight w:val="none"/>
        </w:rPr>
        <w:t>作如下澄清：</w:t>
      </w:r>
    </w:p>
    <w:p w14:paraId="1DDF266F">
      <w:pPr>
        <w:pStyle w:val="3"/>
        <w:rPr>
          <w:color w:val="auto"/>
          <w:highlight w:val="none"/>
        </w:rPr>
      </w:pPr>
    </w:p>
    <w:p w14:paraId="33752DC0">
      <w:pPr>
        <w:spacing w:before="69" w:line="562" w:lineRule="exact"/>
        <w:ind w:left="456"/>
        <w:rPr>
          <w:rFonts w:ascii="宋体" w:hAnsi="宋体" w:eastAsia="宋体" w:cs="宋体"/>
          <w:color w:val="auto"/>
          <w:sz w:val="21"/>
          <w:szCs w:val="21"/>
          <w:highlight w:val="none"/>
        </w:rPr>
      </w:pPr>
      <w:r>
        <w:rPr>
          <w:rFonts w:ascii="宋体" w:hAnsi="宋体" w:eastAsia="宋体" w:cs="宋体"/>
          <w:color w:val="auto"/>
          <w:spacing w:val="-6"/>
          <w:position w:val="27"/>
          <w:sz w:val="21"/>
          <w:szCs w:val="21"/>
          <w:highlight w:val="none"/>
        </w:rPr>
        <w:t>1.……</w:t>
      </w:r>
    </w:p>
    <w:p w14:paraId="023E1156">
      <w:pPr>
        <w:ind w:left="44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w:t>
      </w:r>
    </w:p>
    <w:p w14:paraId="7C14DF6E">
      <w:pPr>
        <w:spacing w:before="284" w:line="332" w:lineRule="exact"/>
        <w:ind w:left="454"/>
        <w:rPr>
          <w:rFonts w:ascii="宋体" w:hAnsi="宋体" w:eastAsia="宋体" w:cs="宋体"/>
          <w:color w:val="auto"/>
          <w:sz w:val="21"/>
          <w:szCs w:val="21"/>
          <w:highlight w:val="none"/>
        </w:rPr>
      </w:pPr>
      <w:r>
        <w:rPr>
          <w:rFonts w:ascii="宋体" w:hAnsi="宋体" w:eastAsia="宋体" w:cs="宋体"/>
          <w:color w:val="auto"/>
          <w:spacing w:val="-5"/>
          <w:position w:val="2"/>
          <w:sz w:val="21"/>
          <w:szCs w:val="21"/>
          <w:highlight w:val="none"/>
        </w:rPr>
        <w:t>……</w:t>
      </w:r>
    </w:p>
    <w:p w14:paraId="2DEC5107">
      <w:pPr>
        <w:pStyle w:val="3"/>
        <w:spacing w:line="268" w:lineRule="auto"/>
        <w:rPr>
          <w:color w:val="auto"/>
          <w:highlight w:val="none"/>
        </w:rPr>
      </w:pPr>
    </w:p>
    <w:p w14:paraId="59D8D7E7">
      <w:pPr>
        <w:pStyle w:val="3"/>
        <w:spacing w:line="268" w:lineRule="auto"/>
        <w:rPr>
          <w:color w:val="auto"/>
          <w:highlight w:val="none"/>
        </w:rPr>
      </w:pPr>
    </w:p>
    <w:p w14:paraId="3AFCD841">
      <w:pPr>
        <w:pStyle w:val="3"/>
        <w:spacing w:line="268" w:lineRule="auto"/>
        <w:rPr>
          <w:color w:val="auto"/>
          <w:highlight w:val="none"/>
        </w:rPr>
      </w:pPr>
    </w:p>
    <w:p w14:paraId="7D3BBC70">
      <w:pPr>
        <w:pStyle w:val="3"/>
        <w:spacing w:line="269" w:lineRule="auto"/>
        <w:rPr>
          <w:color w:val="auto"/>
          <w:highlight w:val="none"/>
        </w:rPr>
      </w:pPr>
    </w:p>
    <w:p w14:paraId="1F3E507A">
      <w:pPr>
        <w:pStyle w:val="3"/>
        <w:spacing w:line="269" w:lineRule="auto"/>
        <w:rPr>
          <w:color w:val="auto"/>
          <w:highlight w:val="none"/>
        </w:rPr>
      </w:pPr>
    </w:p>
    <w:p w14:paraId="00FFF670">
      <w:pPr>
        <w:pStyle w:val="3"/>
        <w:spacing w:line="269" w:lineRule="auto"/>
        <w:rPr>
          <w:color w:val="auto"/>
          <w:highlight w:val="none"/>
        </w:rPr>
      </w:pPr>
    </w:p>
    <w:p w14:paraId="7B036FA6">
      <w:pPr>
        <w:pStyle w:val="3"/>
        <w:spacing w:line="269" w:lineRule="auto"/>
        <w:rPr>
          <w:color w:val="auto"/>
          <w:highlight w:val="none"/>
        </w:rPr>
      </w:pPr>
    </w:p>
    <w:p w14:paraId="79B1B079">
      <w:pPr>
        <w:pStyle w:val="3"/>
        <w:spacing w:line="269" w:lineRule="auto"/>
        <w:rPr>
          <w:color w:val="auto"/>
          <w:highlight w:val="none"/>
        </w:rPr>
      </w:pPr>
    </w:p>
    <w:p w14:paraId="6E6BC8A6">
      <w:pPr>
        <w:spacing w:before="69" w:line="220" w:lineRule="auto"/>
        <w:ind w:right="15"/>
        <w:jc w:val="right"/>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招标人</w:t>
      </w:r>
      <w:r>
        <w:rPr>
          <w:rFonts w:ascii="宋体" w:hAnsi="宋体" w:eastAsia="宋体" w:cs="宋体"/>
          <w:color w:val="auto"/>
          <w:spacing w:val="-15"/>
          <w:sz w:val="21"/>
          <w:szCs w:val="21"/>
          <w:highlight w:val="none"/>
        </w:rPr>
        <w:t>：</w:t>
      </w:r>
      <w:r>
        <w:rPr>
          <w:rFonts w:ascii="宋体" w:hAnsi="宋体" w:eastAsia="宋体" w:cs="宋体"/>
          <w:color w:val="auto"/>
          <w:spacing w:val="-2"/>
          <w:sz w:val="21"/>
          <w:szCs w:val="21"/>
          <w:highlight w:val="none"/>
        </w:rPr>
        <w:t xml:space="preserve"> </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15"/>
          <w:sz w:val="21"/>
          <w:szCs w:val="21"/>
          <w:highlight w:val="none"/>
        </w:rPr>
        <w:t>（</w:t>
      </w:r>
      <w:r>
        <w:rPr>
          <w:rFonts w:ascii="宋体" w:hAnsi="宋体" w:eastAsia="宋体" w:cs="宋体"/>
          <w:color w:val="auto"/>
          <w:spacing w:val="-12"/>
          <w:sz w:val="21"/>
          <w:szCs w:val="21"/>
          <w:highlight w:val="none"/>
        </w:rPr>
        <w:t>盖单位章）</w:t>
      </w:r>
    </w:p>
    <w:p w14:paraId="2586F508">
      <w:pPr>
        <w:pStyle w:val="3"/>
        <w:spacing w:line="249" w:lineRule="auto"/>
        <w:rPr>
          <w:color w:val="auto"/>
          <w:highlight w:val="none"/>
        </w:rPr>
      </w:pPr>
    </w:p>
    <w:p w14:paraId="443D1E62">
      <w:pPr>
        <w:pStyle w:val="3"/>
        <w:spacing w:line="249" w:lineRule="auto"/>
        <w:rPr>
          <w:color w:val="auto"/>
          <w:highlight w:val="none"/>
        </w:rPr>
      </w:pPr>
    </w:p>
    <w:p w14:paraId="2E0BCCE8">
      <w:pPr>
        <w:pStyle w:val="3"/>
        <w:spacing w:line="249" w:lineRule="auto"/>
        <w:rPr>
          <w:color w:val="auto"/>
          <w:highlight w:val="none"/>
        </w:rPr>
      </w:pPr>
    </w:p>
    <w:p w14:paraId="14951412">
      <w:pPr>
        <w:tabs>
          <w:tab w:val="left" w:pos="6842"/>
        </w:tabs>
        <w:spacing w:before="69" w:line="221" w:lineRule="auto"/>
        <w:ind w:left="5897"/>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4"/>
          <w:sz w:val="21"/>
          <w:szCs w:val="21"/>
          <w:highlight w:val="none"/>
        </w:rPr>
        <w:t xml:space="preserve"> </w:t>
      </w:r>
      <w:r>
        <w:rPr>
          <w:rFonts w:ascii="宋体" w:hAnsi="宋体" w:eastAsia="宋体" w:cs="宋体"/>
          <w:color w:val="auto"/>
          <w:spacing w:val="-22"/>
          <w:sz w:val="21"/>
          <w:szCs w:val="21"/>
          <w:highlight w:val="none"/>
        </w:rPr>
        <w:t>年</w:t>
      </w:r>
      <w:r>
        <w:rPr>
          <w:rFonts w:ascii="宋体" w:hAnsi="宋体" w:eastAsia="宋体" w:cs="宋体"/>
          <w:color w:val="auto"/>
          <w:spacing w:val="-105"/>
          <w:sz w:val="21"/>
          <w:szCs w:val="21"/>
          <w:highlight w:val="none"/>
        </w:rPr>
        <w:t xml:space="preserve"> </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22"/>
          <w:sz w:val="21"/>
          <w:szCs w:val="21"/>
          <w:highlight w:val="none"/>
        </w:rPr>
        <w:t>月</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22"/>
          <w:sz w:val="21"/>
          <w:szCs w:val="21"/>
          <w:highlight w:val="none"/>
        </w:rPr>
        <w:t>日</w:t>
      </w:r>
    </w:p>
    <w:p w14:paraId="6A2E0916">
      <w:pPr>
        <w:spacing w:line="221" w:lineRule="auto"/>
        <w:rPr>
          <w:rFonts w:ascii="宋体" w:hAnsi="宋体" w:eastAsia="宋体" w:cs="宋体"/>
          <w:color w:val="auto"/>
          <w:sz w:val="21"/>
          <w:szCs w:val="21"/>
          <w:highlight w:val="none"/>
        </w:rPr>
        <w:sectPr>
          <w:footerReference r:id="rId33" w:type="default"/>
          <w:pgSz w:w="11905" w:h="16839"/>
          <w:pgMar w:top="1431" w:right="1785" w:bottom="1036" w:left="1785" w:header="0" w:footer="847" w:gutter="0"/>
          <w:pgNumType w:fmt="decimal"/>
          <w:cols w:space="720" w:num="1"/>
        </w:sectPr>
      </w:pPr>
    </w:p>
    <w:p w14:paraId="563F1AE4">
      <w:pPr>
        <w:spacing w:before="47" w:line="219" w:lineRule="auto"/>
        <w:ind w:left="32"/>
        <w:rPr>
          <w:rFonts w:ascii="黑体" w:hAnsi="黑体" w:eastAsia="黑体" w:cs="黑体"/>
          <w:color w:val="auto"/>
          <w:sz w:val="24"/>
          <w:szCs w:val="24"/>
          <w:highlight w:val="none"/>
        </w:rPr>
      </w:pPr>
      <w:r>
        <w:rPr>
          <w:rFonts w:ascii="黑体" w:hAnsi="黑体" w:eastAsia="黑体" w:cs="黑体"/>
          <w:color w:val="auto"/>
          <w:spacing w:val="-11"/>
          <w:sz w:val="24"/>
          <w:szCs w:val="24"/>
          <w:highlight w:val="none"/>
        </w:rPr>
        <w:t>附表三： 招标文件修改通知</w:t>
      </w:r>
    </w:p>
    <w:p w14:paraId="693C0BC4">
      <w:pPr>
        <w:pStyle w:val="3"/>
        <w:spacing w:line="266" w:lineRule="auto"/>
        <w:rPr>
          <w:color w:val="auto"/>
          <w:highlight w:val="none"/>
        </w:rPr>
      </w:pPr>
    </w:p>
    <w:p w14:paraId="21AEED6D">
      <w:pPr>
        <w:pStyle w:val="3"/>
        <w:spacing w:line="266" w:lineRule="auto"/>
        <w:rPr>
          <w:color w:val="auto"/>
          <w:highlight w:val="none"/>
        </w:rPr>
      </w:pPr>
    </w:p>
    <w:p w14:paraId="184BBE96">
      <w:pPr>
        <w:pStyle w:val="3"/>
        <w:spacing w:line="266" w:lineRule="auto"/>
        <w:rPr>
          <w:color w:val="auto"/>
          <w:highlight w:val="none"/>
        </w:rPr>
      </w:pPr>
    </w:p>
    <w:p w14:paraId="75E364D5">
      <w:pPr>
        <w:pStyle w:val="3"/>
        <w:spacing w:line="266" w:lineRule="auto"/>
        <w:rPr>
          <w:color w:val="auto"/>
          <w:highlight w:val="none"/>
        </w:rPr>
      </w:pPr>
    </w:p>
    <w:p w14:paraId="273BD93B">
      <w:pPr>
        <w:pStyle w:val="3"/>
        <w:spacing w:line="266" w:lineRule="auto"/>
        <w:rPr>
          <w:color w:val="auto"/>
          <w:highlight w:val="none"/>
        </w:rPr>
      </w:pPr>
    </w:p>
    <w:p w14:paraId="44E6F080">
      <w:pPr>
        <w:pStyle w:val="3"/>
        <w:spacing w:line="266" w:lineRule="auto"/>
        <w:rPr>
          <w:color w:val="auto"/>
          <w:highlight w:val="none"/>
        </w:rPr>
      </w:pPr>
    </w:p>
    <w:p w14:paraId="2F555BF3">
      <w:pPr>
        <w:spacing w:before="87" w:line="225" w:lineRule="auto"/>
        <w:ind w:left="3054"/>
        <w:rPr>
          <w:rFonts w:ascii="黑体" w:hAnsi="黑体" w:eastAsia="黑体" w:cs="黑体"/>
          <w:color w:val="auto"/>
          <w:sz w:val="27"/>
          <w:szCs w:val="27"/>
          <w:highlight w:val="none"/>
        </w:rPr>
      </w:pPr>
      <w:r>
        <w:rPr>
          <w:rFonts w:ascii="黑体" w:hAnsi="黑体" w:eastAsia="黑体" w:cs="黑体"/>
          <w:color w:val="auto"/>
          <w:spacing w:val="8"/>
          <w:sz w:val="27"/>
          <w:szCs w:val="27"/>
          <w:highlight w:val="none"/>
        </w:rPr>
        <w:t>招标文件修改通知</w:t>
      </w:r>
    </w:p>
    <w:p w14:paraId="556DA3DA">
      <w:pPr>
        <w:pStyle w:val="3"/>
        <w:spacing w:line="248" w:lineRule="auto"/>
        <w:rPr>
          <w:color w:val="auto"/>
          <w:highlight w:val="none"/>
        </w:rPr>
      </w:pPr>
    </w:p>
    <w:p w14:paraId="42C9316C">
      <w:pPr>
        <w:pStyle w:val="3"/>
        <w:spacing w:line="248" w:lineRule="auto"/>
        <w:rPr>
          <w:color w:val="auto"/>
          <w:highlight w:val="none"/>
        </w:rPr>
      </w:pPr>
    </w:p>
    <w:p w14:paraId="345116AB">
      <w:pPr>
        <w:pStyle w:val="3"/>
        <w:spacing w:line="249" w:lineRule="auto"/>
        <w:rPr>
          <w:color w:val="auto"/>
          <w:highlight w:val="none"/>
        </w:rPr>
      </w:pPr>
    </w:p>
    <w:p w14:paraId="1CF0FE23">
      <w:pPr>
        <w:spacing w:before="69" w:line="221" w:lineRule="auto"/>
        <w:ind w:left="6007"/>
        <w:rPr>
          <w:rFonts w:ascii="宋体" w:hAnsi="宋体" w:eastAsia="宋体" w:cs="宋体"/>
          <w:color w:val="auto"/>
          <w:sz w:val="21"/>
          <w:szCs w:val="21"/>
          <w:highlight w:val="none"/>
        </w:rPr>
      </w:pPr>
      <w:r>
        <w:rPr>
          <w:rFonts w:ascii="宋体" w:hAnsi="宋体" w:eastAsia="宋体" w:cs="宋体"/>
          <w:color w:val="auto"/>
          <w:spacing w:val="-32"/>
          <w:w w:val="98"/>
          <w:sz w:val="21"/>
          <w:szCs w:val="21"/>
          <w:highlight w:val="none"/>
        </w:rPr>
        <w:t>编号：</w:t>
      </w:r>
      <w:r>
        <w:rPr>
          <w:rFonts w:ascii="宋体" w:hAnsi="宋体" w:eastAsia="宋体" w:cs="宋体"/>
          <w:color w:val="auto"/>
          <w:spacing w:val="-4"/>
          <w:sz w:val="21"/>
          <w:szCs w:val="21"/>
          <w:highlight w:val="none"/>
        </w:rPr>
        <w:t xml:space="preserve"> </w:t>
      </w:r>
      <w:r>
        <w:rPr>
          <w:rFonts w:ascii="宋体" w:hAnsi="宋体" w:eastAsia="宋体" w:cs="宋体"/>
          <w:color w:val="auto"/>
          <w:sz w:val="21"/>
          <w:szCs w:val="21"/>
          <w:highlight w:val="none"/>
          <w:u w:val="single" w:color="auto"/>
        </w:rPr>
        <w:t xml:space="preserve">          </w:t>
      </w:r>
    </w:p>
    <w:p w14:paraId="1E810188">
      <w:pPr>
        <w:pStyle w:val="3"/>
        <w:spacing w:line="465" w:lineRule="auto"/>
        <w:rPr>
          <w:color w:val="auto"/>
          <w:highlight w:val="none"/>
        </w:rPr>
      </w:pPr>
    </w:p>
    <w:p w14:paraId="08044655">
      <w:pPr>
        <w:spacing w:before="68" w:line="221" w:lineRule="auto"/>
        <w:ind w:left="20"/>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各投标人：</w:t>
      </w:r>
    </w:p>
    <w:p w14:paraId="0B8A6D64">
      <w:pPr>
        <w:spacing w:before="305" w:line="220" w:lineRule="auto"/>
        <w:jc w:val="right"/>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经研究，对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4"/>
          <w:sz w:val="21"/>
          <w:szCs w:val="21"/>
          <w:highlight w:val="none"/>
        </w:rPr>
        <w:t xml:space="preserve">  （标段名称）项目（标段唯一标识</w:t>
      </w:r>
    </w:p>
    <w:p w14:paraId="3BDDEFB8">
      <w:pPr>
        <w:pStyle w:val="3"/>
        <w:spacing w:line="241" w:lineRule="auto"/>
        <w:rPr>
          <w:color w:val="auto"/>
          <w:highlight w:val="none"/>
        </w:rPr>
      </w:pPr>
    </w:p>
    <w:p w14:paraId="122F877C">
      <w:pPr>
        <w:spacing w:before="69" w:line="221" w:lineRule="auto"/>
        <w:ind w:left="17"/>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码</w:t>
      </w:r>
      <w:r>
        <w:rPr>
          <w:rFonts w:ascii="宋体" w:hAnsi="宋体" w:eastAsia="宋体" w:cs="宋体"/>
          <w:color w:val="auto"/>
          <w:spacing w:val="-6"/>
          <w:sz w:val="21"/>
          <w:szCs w:val="21"/>
          <w:highlight w:val="none"/>
        </w:rPr>
        <w:t>：</w:t>
      </w:r>
      <w:r>
        <w:rPr>
          <w:rFonts w:ascii="宋体" w:hAnsi="宋体" w:eastAsia="宋体" w:cs="宋体"/>
          <w:color w:val="auto"/>
          <w:spacing w:val="-29"/>
          <w:sz w:val="21"/>
          <w:szCs w:val="21"/>
          <w:highlight w:val="none"/>
        </w:rPr>
        <w:t xml:space="preserve"> </w:t>
      </w:r>
      <w:r>
        <w:rPr>
          <w:rFonts w:ascii="宋体" w:hAnsi="宋体" w:eastAsia="宋体" w:cs="宋体"/>
          <w:color w:val="auto"/>
          <w:spacing w:val="11"/>
          <w:sz w:val="21"/>
          <w:szCs w:val="21"/>
          <w:highlight w:val="none"/>
          <w:u w:val="single" w:color="auto"/>
        </w:rPr>
        <w:t xml:space="preserve">     </w:t>
      </w:r>
      <w:r>
        <w:rPr>
          <w:rFonts w:ascii="宋体" w:hAnsi="宋体" w:eastAsia="宋体" w:cs="宋体"/>
          <w:color w:val="auto"/>
          <w:spacing w:val="-26"/>
          <w:sz w:val="21"/>
          <w:szCs w:val="21"/>
          <w:highlight w:val="none"/>
        </w:rPr>
        <w:t xml:space="preserve"> </w:t>
      </w:r>
      <w:r>
        <w:rPr>
          <w:rFonts w:ascii="宋体" w:hAnsi="宋体" w:eastAsia="宋体" w:cs="宋体"/>
          <w:color w:val="auto"/>
          <w:spacing w:val="-6"/>
          <w:sz w:val="21"/>
          <w:szCs w:val="21"/>
          <w:highlight w:val="none"/>
        </w:rPr>
        <w:t>）</w:t>
      </w:r>
      <w:r>
        <w:rPr>
          <w:rFonts w:ascii="宋体" w:hAnsi="宋体" w:eastAsia="宋体" w:cs="宋体"/>
          <w:color w:val="auto"/>
          <w:spacing w:val="-11"/>
          <w:sz w:val="21"/>
          <w:szCs w:val="21"/>
          <w:highlight w:val="none"/>
        </w:rPr>
        <w:t>招标文件，作如下修改：</w:t>
      </w:r>
    </w:p>
    <w:p w14:paraId="70A9FE2E">
      <w:pPr>
        <w:pStyle w:val="3"/>
        <w:rPr>
          <w:color w:val="auto"/>
          <w:highlight w:val="none"/>
        </w:rPr>
      </w:pPr>
    </w:p>
    <w:p w14:paraId="0592693D">
      <w:pPr>
        <w:spacing w:before="69" w:line="557" w:lineRule="exact"/>
        <w:ind w:left="456"/>
        <w:rPr>
          <w:rFonts w:ascii="宋体" w:hAnsi="宋体" w:eastAsia="宋体" w:cs="宋体"/>
          <w:color w:val="auto"/>
          <w:sz w:val="21"/>
          <w:szCs w:val="21"/>
          <w:highlight w:val="none"/>
        </w:rPr>
      </w:pPr>
      <w:r>
        <w:rPr>
          <w:rFonts w:ascii="宋体" w:hAnsi="宋体" w:eastAsia="宋体" w:cs="宋体"/>
          <w:color w:val="auto"/>
          <w:spacing w:val="-6"/>
          <w:position w:val="27"/>
          <w:sz w:val="21"/>
          <w:szCs w:val="21"/>
          <w:highlight w:val="none"/>
        </w:rPr>
        <w:t>1.……</w:t>
      </w:r>
    </w:p>
    <w:p w14:paraId="32115267">
      <w:pPr>
        <w:ind w:left="44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w:t>
      </w:r>
    </w:p>
    <w:p w14:paraId="18D2DD37">
      <w:pPr>
        <w:spacing w:before="289" w:line="332" w:lineRule="exact"/>
        <w:ind w:left="454"/>
        <w:rPr>
          <w:rFonts w:ascii="宋体" w:hAnsi="宋体" w:eastAsia="宋体" w:cs="宋体"/>
          <w:color w:val="auto"/>
          <w:sz w:val="21"/>
          <w:szCs w:val="21"/>
          <w:highlight w:val="none"/>
        </w:rPr>
      </w:pPr>
      <w:r>
        <w:rPr>
          <w:rFonts w:ascii="宋体" w:hAnsi="宋体" w:eastAsia="宋体" w:cs="宋体"/>
          <w:color w:val="auto"/>
          <w:spacing w:val="-5"/>
          <w:position w:val="2"/>
          <w:sz w:val="21"/>
          <w:szCs w:val="21"/>
          <w:highlight w:val="none"/>
        </w:rPr>
        <w:t>……</w:t>
      </w:r>
    </w:p>
    <w:p w14:paraId="1023C9F0">
      <w:pPr>
        <w:pStyle w:val="3"/>
        <w:spacing w:line="268" w:lineRule="auto"/>
        <w:rPr>
          <w:color w:val="auto"/>
          <w:highlight w:val="none"/>
        </w:rPr>
      </w:pPr>
    </w:p>
    <w:p w14:paraId="66F56D50">
      <w:pPr>
        <w:pStyle w:val="3"/>
        <w:spacing w:line="268" w:lineRule="auto"/>
        <w:rPr>
          <w:color w:val="auto"/>
          <w:highlight w:val="none"/>
        </w:rPr>
      </w:pPr>
    </w:p>
    <w:p w14:paraId="799F82C2">
      <w:pPr>
        <w:pStyle w:val="3"/>
        <w:spacing w:line="268" w:lineRule="auto"/>
        <w:rPr>
          <w:color w:val="auto"/>
          <w:highlight w:val="none"/>
        </w:rPr>
      </w:pPr>
    </w:p>
    <w:p w14:paraId="611F5877">
      <w:pPr>
        <w:pStyle w:val="3"/>
        <w:spacing w:line="268" w:lineRule="auto"/>
        <w:rPr>
          <w:color w:val="auto"/>
          <w:highlight w:val="none"/>
        </w:rPr>
      </w:pPr>
    </w:p>
    <w:p w14:paraId="474AE601">
      <w:pPr>
        <w:pStyle w:val="3"/>
        <w:spacing w:line="268" w:lineRule="auto"/>
        <w:rPr>
          <w:color w:val="auto"/>
          <w:highlight w:val="none"/>
        </w:rPr>
      </w:pPr>
    </w:p>
    <w:p w14:paraId="546803B1">
      <w:pPr>
        <w:pStyle w:val="3"/>
        <w:spacing w:line="268" w:lineRule="auto"/>
        <w:rPr>
          <w:color w:val="auto"/>
          <w:highlight w:val="none"/>
        </w:rPr>
      </w:pPr>
    </w:p>
    <w:p w14:paraId="49B6A4C7">
      <w:pPr>
        <w:pStyle w:val="3"/>
        <w:spacing w:line="268" w:lineRule="auto"/>
        <w:rPr>
          <w:color w:val="auto"/>
          <w:highlight w:val="none"/>
        </w:rPr>
      </w:pPr>
    </w:p>
    <w:p w14:paraId="1C2E8DAC">
      <w:pPr>
        <w:pStyle w:val="3"/>
        <w:spacing w:line="269" w:lineRule="auto"/>
        <w:rPr>
          <w:color w:val="auto"/>
          <w:highlight w:val="none"/>
        </w:rPr>
      </w:pPr>
    </w:p>
    <w:p w14:paraId="3E248820">
      <w:pPr>
        <w:spacing w:before="69" w:line="220" w:lineRule="auto"/>
        <w:ind w:right="15"/>
        <w:jc w:val="right"/>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招标人</w:t>
      </w:r>
      <w:r>
        <w:rPr>
          <w:rFonts w:ascii="宋体" w:hAnsi="宋体" w:eastAsia="宋体" w:cs="宋体"/>
          <w:color w:val="auto"/>
          <w:spacing w:val="-15"/>
          <w:sz w:val="21"/>
          <w:szCs w:val="21"/>
          <w:highlight w:val="none"/>
        </w:rPr>
        <w:t>：</w:t>
      </w:r>
      <w:r>
        <w:rPr>
          <w:rFonts w:ascii="宋体" w:hAnsi="宋体" w:eastAsia="宋体" w:cs="宋体"/>
          <w:color w:val="auto"/>
          <w:spacing w:val="-2"/>
          <w:sz w:val="21"/>
          <w:szCs w:val="21"/>
          <w:highlight w:val="none"/>
        </w:rPr>
        <w:t xml:space="preserve"> </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15"/>
          <w:sz w:val="21"/>
          <w:szCs w:val="21"/>
          <w:highlight w:val="none"/>
        </w:rPr>
        <w:t>（</w:t>
      </w:r>
      <w:r>
        <w:rPr>
          <w:rFonts w:ascii="宋体" w:hAnsi="宋体" w:eastAsia="宋体" w:cs="宋体"/>
          <w:color w:val="auto"/>
          <w:spacing w:val="-12"/>
          <w:sz w:val="21"/>
          <w:szCs w:val="21"/>
          <w:highlight w:val="none"/>
        </w:rPr>
        <w:t>盖单位章）</w:t>
      </w:r>
    </w:p>
    <w:p w14:paraId="7E00AACB">
      <w:pPr>
        <w:pStyle w:val="3"/>
        <w:spacing w:line="250" w:lineRule="auto"/>
        <w:rPr>
          <w:color w:val="auto"/>
          <w:highlight w:val="none"/>
        </w:rPr>
      </w:pPr>
    </w:p>
    <w:p w14:paraId="54CA8210">
      <w:pPr>
        <w:pStyle w:val="3"/>
        <w:spacing w:line="251" w:lineRule="auto"/>
        <w:rPr>
          <w:color w:val="auto"/>
          <w:highlight w:val="none"/>
        </w:rPr>
      </w:pPr>
    </w:p>
    <w:p w14:paraId="1A1F7847">
      <w:pPr>
        <w:pStyle w:val="3"/>
        <w:spacing w:line="251" w:lineRule="auto"/>
        <w:rPr>
          <w:color w:val="auto"/>
          <w:highlight w:val="none"/>
        </w:rPr>
      </w:pPr>
    </w:p>
    <w:p w14:paraId="7C58C2FF">
      <w:pPr>
        <w:tabs>
          <w:tab w:val="left" w:pos="6737"/>
        </w:tabs>
        <w:spacing w:before="68" w:line="221" w:lineRule="auto"/>
        <w:ind w:left="5791"/>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6"/>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pacing w:val="-104"/>
          <w:sz w:val="21"/>
          <w:szCs w:val="21"/>
          <w:highlight w:val="none"/>
        </w:rPr>
        <w:t xml:space="preserve"> </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7"/>
          <w:sz w:val="21"/>
          <w:szCs w:val="21"/>
          <w:highlight w:val="none"/>
        </w:rPr>
        <w:t>日</w:t>
      </w:r>
    </w:p>
    <w:p w14:paraId="516A5212">
      <w:pPr>
        <w:spacing w:line="221" w:lineRule="auto"/>
        <w:rPr>
          <w:rFonts w:ascii="宋体" w:hAnsi="宋体" w:eastAsia="宋体" w:cs="宋体"/>
          <w:color w:val="auto"/>
          <w:sz w:val="21"/>
          <w:szCs w:val="21"/>
          <w:highlight w:val="none"/>
        </w:rPr>
        <w:sectPr>
          <w:footerReference r:id="rId34" w:type="default"/>
          <w:pgSz w:w="11905" w:h="16839"/>
          <w:pgMar w:top="1431" w:right="1785" w:bottom="1036" w:left="1785" w:header="0" w:footer="847" w:gutter="0"/>
          <w:pgNumType w:fmt="decimal"/>
          <w:cols w:space="720" w:num="1"/>
        </w:sectPr>
      </w:pPr>
    </w:p>
    <w:p w14:paraId="2C9CF26D">
      <w:pPr>
        <w:spacing w:before="48" w:line="218" w:lineRule="auto"/>
        <w:ind w:left="32"/>
        <w:rPr>
          <w:rFonts w:ascii="黑体" w:hAnsi="黑体" w:eastAsia="黑体" w:cs="黑体"/>
          <w:color w:val="auto"/>
          <w:sz w:val="24"/>
          <w:szCs w:val="24"/>
          <w:highlight w:val="none"/>
        </w:rPr>
      </w:pPr>
      <w:r>
        <w:rPr>
          <w:rFonts w:ascii="黑体" w:hAnsi="黑体" w:eastAsia="黑体" w:cs="黑体"/>
          <w:color w:val="auto"/>
          <w:spacing w:val="-9"/>
          <w:sz w:val="24"/>
          <w:szCs w:val="24"/>
          <w:highlight w:val="none"/>
        </w:rPr>
        <w:t>附表四： 投标文件递交电子签收凭证</w:t>
      </w:r>
    </w:p>
    <w:p w14:paraId="47432984">
      <w:pPr>
        <w:pStyle w:val="3"/>
        <w:spacing w:line="249" w:lineRule="auto"/>
        <w:rPr>
          <w:color w:val="auto"/>
          <w:highlight w:val="none"/>
        </w:rPr>
      </w:pPr>
    </w:p>
    <w:p w14:paraId="12CF7734">
      <w:pPr>
        <w:pStyle w:val="3"/>
        <w:spacing w:line="250" w:lineRule="auto"/>
        <w:rPr>
          <w:color w:val="auto"/>
          <w:highlight w:val="none"/>
        </w:rPr>
      </w:pPr>
    </w:p>
    <w:p w14:paraId="3B1207D8">
      <w:pPr>
        <w:pStyle w:val="3"/>
        <w:spacing w:line="250" w:lineRule="auto"/>
        <w:rPr>
          <w:color w:val="auto"/>
          <w:highlight w:val="none"/>
        </w:rPr>
      </w:pPr>
    </w:p>
    <w:p w14:paraId="4B35A800">
      <w:pPr>
        <w:pStyle w:val="3"/>
        <w:spacing w:line="250" w:lineRule="auto"/>
        <w:rPr>
          <w:color w:val="auto"/>
          <w:highlight w:val="none"/>
        </w:rPr>
      </w:pPr>
    </w:p>
    <w:p w14:paraId="2CAB9D5A">
      <w:pPr>
        <w:pStyle w:val="3"/>
        <w:spacing w:line="250" w:lineRule="auto"/>
        <w:rPr>
          <w:color w:val="auto"/>
          <w:highlight w:val="none"/>
        </w:rPr>
      </w:pPr>
    </w:p>
    <w:p w14:paraId="413ED445">
      <w:pPr>
        <w:spacing w:before="87" w:line="224" w:lineRule="auto"/>
        <w:ind w:left="2496"/>
        <w:rPr>
          <w:rFonts w:ascii="黑体" w:hAnsi="黑体" w:eastAsia="黑体" w:cs="黑体"/>
          <w:color w:val="auto"/>
          <w:sz w:val="27"/>
          <w:szCs w:val="27"/>
          <w:highlight w:val="none"/>
        </w:rPr>
      </w:pPr>
      <w:r>
        <w:rPr>
          <w:rFonts w:ascii="黑体" w:hAnsi="黑体" w:eastAsia="黑体" w:cs="黑体"/>
          <w:color w:val="auto"/>
          <w:spacing w:val="8"/>
          <w:sz w:val="27"/>
          <w:szCs w:val="27"/>
          <w:highlight w:val="none"/>
        </w:rPr>
        <w:t>投标文件递交电子签收凭证</w:t>
      </w:r>
    </w:p>
    <w:p w14:paraId="036B6B2B">
      <w:pPr>
        <w:pStyle w:val="3"/>
        <w:spacing w:line="273" w:lineRule="auto"/>
        <w:rPr>
          <w:color w:val="auto"/>
          <w:highlight w:val="none"/>
        </w:rPr>
      </w:pPr>
    </w:p>
    <w:p w14:paraId="46AA39AA">
      <w:pPr>
        <w:pStyle w:val="3"/>
        <w:spacing w:line="273" w:lineRule="auto"/>
        <w:rPr>
          <w:color w:val="auto"/>
          <w:highlight w:val="none"/>
        </w:rPr>
      </w:pPr>
    </w:p>
    <w:p w14:paraId="6E28B388">
      <w:pPr>
        <w:pStyle w:val="3"/>
        <w:spacing w:line="273" w:lineRule="auto"/>
        <w:rPr>
          <w:color w:val="auto"/>
          <w:highlight w:val="none"/>
        </w:rPr>
      </w:pPr>
    </w:p>
    <w:p w14:paraId="1263957B">
      <w:pPr>
        <w:tabs>
          <w:tab w:val="left" w:pos="1801"/>
        </w:tabs>
        <w:spacing w:before="68" w:line="221" w:lineRule="auto"/>
        <w:ind w:left="1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10"/>
          <w:sz w:val="21"/>
          <w:szCs w:val="21"/>
          <w:highlight w:val="none"/>
        </w:rPr>
        <w:t>（投标人名称</w:t>
      </w:r>
      <w:r>
        <w:rPr>
          <w:rFonts w:ascii="宋体" w:hAnsi="宋体" w:eastAsia="宋体" w:cs="宋体"/>
          <w:color w:val="auto"/>
          <w:spacing w:val="-31"/>
          <w:sz w:val="21"/>
          <w:szCs w:val="21"/>
          <w:highlight w:val="none"/>
        </w:rPr>
        <w:t>）：</w:t>
      </w:r>
    </w:p>
    <w:p w14:paraId="57E925D5">
      <w:pPr>
        <w:spacing w:before="295" w:line="359"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您单位参与的</w:t>
      </w:r>
      <w:r>
        <w:rPr>
          <w:rFonts w:ascii="宋体" w:hAnsi="宋体" w:eastAsia="宋体" w:cs="宋体"/>
          <w:color w:val="auto"/>
          <w:spacing w:val="-104"/>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1"/>
          <w:sz w:val="21"/>
          <w:szCs w:val="21"/>
          <w:highlight w:val="none"/>
        </w:rPr>
        <w:t>（标段名称）项目（标段唯一标识码</w:t>
      </w:r>
      <w:r>
        <w:rPr>
          <w:rFonts w:ascii="宋体" w:hAnsi="宋体" w:eastAsia="宋体" w:cs="宋体"/>
          <w:color w:val="auto"/>
          <w:spacing w:val="-35"/>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50"/>
          <w:sz w:val="21"/>
          <w:szCs w:val="21"/>
          <w:highlight w:val="none"/>
        </w:rPr>
        <w:t xml:space="preserve"> </w:t>
      </w:r>
      <w:r>
        <w:rPr>
          <w:rFonts w:ascii="宋体" w:hAnsi="宋体" w:eastAsia="宋体" w:cs="宋体"/>
          <w:color w:val="auto"/>
          <w:spacing w:val="-35"/>
          <w:sz w:val="21"/>
          <w:szCs w:val="21"/>
          <w:highlight w:val="none"/>
        </w:rPr>
        <w:t>），</w:t>
      </w:r>
      <w:r>
        <w:rPr>
          <w:rFonts w:ascii="宋体" w:hAnsi="宋体" w:eastAsia="宋体" w:cs="宋体"/>
          <w:color w:val="auto"/>
          <w:spacing w:val="-1"/>
          <w:sz w:val="21"/>
          <w:szCs w:val="21"/>
          <w:highlight w:val="none"/>
        </w:rPr>
        <w:t>投</w:t>
      </w:r>
    </w:p>
    <w:p w14:paraId="29A13BB7">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标文件于</w:t>
      </w:r>
      <w:r>
        <w:rPr>
          <w:rFonts w:ascii="宋体" w:hAnsi="宋体" w:eastAsia="宋体" w:cs="宋体"/>
          <w:color w:val="auto"/>
          <w:spacing w:val="-90"/>
          <w:sz w:val="21"/>
          <w:szCs w:val="21"/>
          <w:highlight w:val="none"/>
        </w:rPr>
        <w:t xml:space="preserve"> </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95"/>
          <w:sz w:val="21"/>
          <w:szCs w:val="21"/>
          <w:highlight w:val="none"/>
        </w:rPr>
        <w:t xml:space="preserve"> </w:t>
      </w:r>
      <w:r>
        <w:rPr>
          <w:rFonts w:ascii="宋体" w:hAnsi="宋体" w:eastAsia="宋体" w:cs="宋体"/>
          <w:color w:val="auto"/>
          <w:spacing w:val="-6"/>
          <w:sz w:val="21"/>
          <w:szCs w:val="21"/>
          <w:highlight w:val="none"/>
        </w:rPr>
        <w:t>年</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92"/>
          <w:sz w:val="21"/>
          <w:szCs w:val="21"/>
          <w:highlight w:val="none"/>
        </w:rPr>
        <w:t xml:space="preserve"> </w:t>
      </w:r>
      <w:r>
        <w:rPr>
          <w:rFonts w:ascii="宋体" w:hAnsi="宋体" w:eastAsia="宋体" w:cs="宋体"/>
          <w:color w:val="auto"/>
          <w:spacing w:val="-6"/>
          <w:sz w:val="21"/>
          <w:szCs w:val="21"/>
          <w:highlight w:val="none"/>
        </w:rPr>
        <w:t>月</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6"/>
          <w:sz w:val="21"/>
          <w:szCs w:val="21"/>
          <w:highlight w:val="none"/>
        </w:rPr>
        <w:t>日</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86"/>
          <w:sz w:val="21"/>
          <w:szCs w:val="21"/>
          <w:highlight w:val="none"/>
        </w:rPr>
        <w:t xml:space="preserve"> </w:t>
      </w:r>
      <w:r>
        <w:rPr>
          <w:rFonts w:ascii="宋体" w:hAnsi="宋体" w:eastAsia="宋体" w:cs="宋体"/>
          <w:color w:val="auto"/>
          <w:spacing w:val="-6"/>
          <w:sz w:val="21"/>
          <w:szCs w:val="21"/>
          <w:highlight w:val="none"/>
        </w:rPr>
        <w:t>时</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94"/>
          <w:sz w:val="21"/>
          <w:szCs w:val="21"/>
          <w:highlight w:val="none"/>
        </w:rPr>
        <w:t xml:space="preserve"> </w:t>
      </w:r>
      <w:r>
        <w:rPr>
          <w:rFonts w:ascii="宋体" w:hAnsi="宋体" w:eastAsia="宋体" w:cs="宋体"/>
          <w:color w:val="auto"/>
          <w:spacing w:val="-6"/>
          <w:sz w:val="21"/>
          <w:szCs w:val="21"/>
          <w:highlight w:val="none"/>
        </w:rPr>
        <w:t>分</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97"/>
          <w:sz w:val="21"/>
          <w:szCs w:val="21"/>
          <w:highlight w:val="none"/>
        </w:rPr>
        <w:t xml:space="preserve"> </w:t>
      </w:r>
      <w:r>
        <w:rPr>
          <w:rFonts w:ascii="宋体" w:hAnsi="宋体" w:eastAsia="宋体" w:cs="宋体"/>
          <w:color w:val="auto"/>
          <w:spacing w:val="-6"/>
          <w:sz w:val="21"/>
          <w:szCs w:val="21"/>
          <w:highlight w:val="none"/>
        </w:rPr>
        <w:t>秒上传成功。</w:t>
      </w:r>
    </w:p>
    <w:p w14:paraId="171589E1">
      <w:pPr>
        <w:pStyle w:val="3"/>
        <w:spacing w:line="247" w:lineRule="auto"/>
        <w:rPr>
          <w:color w:val="auto"/>
          <w:highlight w:val="none"/>
        </w:rPr>
      </w:pPr>
    </w:p>
    <w:p w14:paraId="26B93541">
      <w:pPr>
        <w:pStyle w:val="3"/>
        <w:spacing w:line="248" w:lineRule="auto"/>
        <w:rPr>
          <w:color w:val="auto"/>
          <w:highlight w:val="none"/>
        </w:rPr>
      </w:pPr>
    </w:p>
    <w:p w14:paraId="2903CE16">
      <w:pPr>
        <w:spacing w:before="69" w:line="422" w:lineRule="auto"/>
        <w:ind w:left="444"/>
        <w:rPr>
          <w:rFonts w:ascii="宋体" w:hAnsi="宋体" w:eastAsia="宋体" w:cs="宋体"/>
          <w:color w:val="auto"/>
          <w:sz w:val="21"/>
          <w:szCs w:val="21"/>
          <w:highlight w:val="none"/>
        </w:rPr>
      </w:pPr>
      <w:r>
        <w:rPr>
          <w:rFonts w:ascii="宋体" w:hAnsi="宋体" w:eastAsia="宋体" w:cs="宋体"/>
          <w:color w:val="auto"/>
          <w:spacing w:val="-26"/>
          <w:sz w:val="21"/>
          <w:szCs w:val="21"/>
          <w:highlight w:val="none"/>
        </w:rPr>
        <w:t>项目经理：</w:t>
      </w:r>
      <w:r>
        <w:rPr>
          <w:rFonts w:ascii="宋体" w:hAnsi="宋体" w:eastAsia="宋体" w:cs="宋体"/>
          <w:color w:val="auto"/>
          <w:spacing w:val="18"/>
          <w:sz w:val="21"/>
          <w:szCs w:val="21"/>
          <w:highlight w:val="none"/>
        </w:rPr>
        <w:t xml:space="preserve"> </w:t>
      </w:r>
      <w:r>
        <w:rPr>
          <w:rFonts w:ascii="宋体" w:hAnsi="宋体" w:eastAsia="宋体" w:cs="宋体"/>
          <w:color w:val="auto"/>
          <w:sz w:val="21"/>
          <w:szCs w:val="21"/>
          <w:highlight w:val="none"/>
          <w:u w:val="single" w:color="auto"/>
        </w:rPr>
        <w:t xml:space="preserve">                               </w:t>
      </w:r>
    </w:p>
    <w:p w14:paraId="73B66169">
      <w:pPr>
        <w:spacing w:line="220" w:lineRule="auto"/>
        <w:ind w:left="461"/>
        <w:rPr>
          <w:rFonts w:ascii="宋体" w:hAnsi="宋体" w:eastAsia="宋体" w:cs="宋体"/>
          <w:color w:val="auto"/>
          <w:sz w:val="21"/>
          <w:szCs w:val="21"/>
          <w:highlight w:val="none"/>
        </w:rPr>
      </w:pPr>
      <w:r>
        <w:rPr>
          <w:rFonts w:ascii="宋体" w:hAnsi="宋体" w:eastAsia="宋体" w:cs="宋体"/>
          <w:color w:val="auto"/>
          <w:spacing w:val="-31"/>
          <w:w w:val="98"/>
          <w:sz w:val="21"/>
          <w:szCs w:val="21"/>
          <w:highlight w:val="none"/>
        </w:rPr>
        <w:t>回执码：</w:t>
      </w:r>
      <w:r>
        <w:rPr>
          <w:rFonts w:ascii="宋体" w:hAnsi="宋体" w:eastAsia="宋体" w:cs="宋体"/>
          <w:color w:val="auto"/>
          <w:spacing w:val="11"/>
          <w:sz w:val="21"/>
          <w:szCs w:val="21"/>
          <w:highlight w:val="none"/>
        </w:rPr>
        <w:t xml:space="preserve"> </w:t>
      </w:r>
      <w:r>
        <w:rPr>
          <w:rFonts w:ascii="宋体" w:hAnsi="宋体" w:eastAsia="宋体" w:cs="宋体"/>
          <w:color w:val="auto"/>
          <w:sz w:val="21"/>
          <w:szCs w:val="21"/>
          <w:highlight w:val="none"/>
          <w:u w:val="single" w:color="auto"/>
        </w:rPr>
        <w:t xml:space="preserve">                                 </w:t>
      </w:r>
    </w:p>
    <w:p w14:paraId="16FF7454">
      <w:pPr>
        <w:spacing w:line="220" w:lineRule="auto"/>
        <w:rPr>
          <w:rFonts w:ascii="宋体" w:hAnsi="宋体" w:eastAsia="宋体" w:cs="宋体"/>
          <w:color w:val="auto"/>
          <w:sz w:val="21"/>
          <w:szCs w:val="21"/>
          <w:highlight w:val="none"/>
        </w:rPr>
        <w:sectPr>
          <w:footerReference r:id="rId35" w:type="default"/>
          <w:pgSz w:w="11905" w:h="16839"/>
          <w:pgMar w:top="1431" w:right="1785" w:bottom="1036" w:left="1785" w:header="0" w:footer="847" w:gutter="0"/>
          <w:pgNumType w:fmt="decimal"/>
          <w:cols w:space="720" w:num="1"/>
        </w:sectPr>
      </w:pPr>
    </w:p>
    <w:p w14:paraId="64AEB5AB">
      <w:pPr>
        <w:pStyle w:val="3"/>
        <w:spacing w:line="246" w:lineRule="auto"/>
        <w:rPr>
          <w:color w:val="auto"/>
          <w:highlight w:val="none"/>
        </w:rPr>
      </w:pPr>
    </w:p>
    <w:p w14:paraId="6C3B13B3">
      <w:pPr>
        <w:pStyle w:val="3"/>
        <w:spacing w:line="247" w:lineRule="auto"/>
        <w:rPr>
          <w:color w:val="auto"/>
          <w:highlight w:val="none"/>
        </w:rPr>
      </w:pPr>
    </w:p>
    <w:p w14:paraId="1DE409E1">
      <w:pPr>
        <w:pStyle w:val="3"/>
        <w:spacing w:line="247" w:lineRule="auto"/>
        <w:rPr>
          <w:color w:val="auto"/>
          <w:highlight w:val="none"/>
        </w:rPr>
      </w:pPr>
    </w:p>
    <w:p w14:paraId="7CC24A44">
      <w:pPr>
        <w:spacing w:before="78" w:line="219" w:lineRule="auto"/>
        <w:ind w:left="2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附表五：开标记录表</w:t>
      </w:r>
    </w:p>
    <w:p w14:paraId="1A90642E">
      <w:pPr>
        <w:pStyle w:val="3"/>
        <w:spacing w:line="469" w:lineRule="auto"/>
        <w:rPr>
          <w:color w:val="auto"/>
          <w:highlight w:val="none"/>
        </w:rPr>
      </w:pPr>
    </w:p>
    <w:p w14:paraId="02C8961C">
      <w:pPr>
        <w:tabs>
          <w:tab w:val="left" w:pos="7840"/>
        </w:tabs>
        <w:spacing w:before="88" w:line="225" w:lineRule="auto"/>
        <w:ind w:left="4623"/>
        <w:rPr>
          <w:rFonts w:ascii="黑体" w:hAnsi="黑体" w:eastAsia="黑体" w:cs="黑体"/>
          <w:color w:val="auto"/>
          <w:sz w:val="27"/>
          <w:szCs w:val="27"/>
          <w:highlight w:val="none"/>
        </w:rPr>
      </w:pPr>
      <w:r>
        <w:rPr>
          <w:rFonts w:ascii="黑体" w:hAnsi="黑体" w:eastAsia="黑体" w:cs="黑体"/>
          <w:color w:val="auto"/>
          <w:sz w:val="27"/>
          <w:szCs w:val="27"/>
          <w:highlight w:val="none"/>
          <w:u w:val="single" w:color="auto"/>
        </w:rPr>
        <w:tab/>
      </w:r>
      <w:r>
        <w:rPr>
          <w:rFonts w:ascii="黑体" w:hAnsi="黑体" w:eastAsia="黑体" w:cs="黑体"/>
          <w:color w:val="auto"/>
          <w:spacing w:val="-46"/>
          <w:sz w:val="27"/>
          <w:szCs w:val="27"/>
          <w:highlight w:val="none"/>
        </w:rPr>
        <w:t xml:space="preserve"> </w:t>
      </w:r>
      <w:r>
        <w:rPr>
          <w:rFonts w:ascii="黑体" w:hAnsi="黑体" w:eastAsia="黑体" w:cs="黑体"/>
          <w:color w:val="auto"/>
          <w:spacing w:val="2"/>
          <w:sz w:val="27"/>
          <w:szCs w:val="27"/>
          <w:highlight w:val="none"/>
        </w:rPr>
        <w:t>（标段名称）项目开标记录表</w:t>
      </w:r>
    </w:p>
    <w:p w14:paraId="0C6FE100">
      <w:pPr>
        <w:pStyle w:val="3"/>
        <w:spacing w:line="297" w:lineRule="auto"/>
        <w:rPr>
          <w:color w:val="auto"/>
          <w:highlight w:val="none"/>
        </w:rPr>
      </w:pPr>
    </w:p>
    <w:p w14:paraId="0BC86EE5">
      <w:pPr>
        <w:spacing w:before="68" w:line="221" w:lineRule="auto"/>
        <w:ind w:left="114"/>
        <w:rPr>
          <w:rFonts w:ascii="宋体" w:hAnsi="宋体" w:eastAsia="宋体" w:cs="宋体"/>
          <w:color w:val="auto"/>
          <w:sz w:val="21"/>
          <w:szCs w:val="21"/>
          <w:highlight w:val="none"/>
        </w:rPr>
      </w:pPr>
      <w:r>
        <w:rPr>
          <w:rFonts w:ascii="宋体" w:hAnsi="宋体" w:eastAsia="宋体" w:cs="宋体"/>
          <w:color w:val="auto"/>
          <w:spacing w:val="-24"/>
          <w:sz w:val="21"/>
          <w:szCs w:val="21"/>
          <w:highlight w:val="none"/>
        </w:rPr>
        <w:t>开标时间：</w:t>
      </w:r>
      <w:r>
        <w:rPr>
          <w:rFonts w:ascii="宋体" w:hAnsi="宋体" w:eastAsia="宋体" w:cs="宋体"/>
          <w:color w:val="auto"/>
          <w:spacing w:val="56"/>
          <w:sz w:val="21"/>
          <w:szCs w:val="21"/>
          <w:highlight w:val="none"/>
        </w:rPr>
        <w:t xml:space="preserve"> </w:t>
      </w:r>
      <w:r>
        <w:rPr>
          <w:rFonts w:ascii="宋体" w:hAnsi="宋体" w:eastAsia="宋体" w:cs="宋体"/>
          <w:color w:val="auto"/>
          <w:spacing w:val="21"/>
          <w:sz w:val="21"/>
          <w:szCs w:val="21"/>
          <w:highlight w:val="none"/>
          <w:u w:val="single" w:color="auto"/>
        </w:rPr>
        <w:t xml:space="preserve">     </w:t>
      </w:r>
      <w:r>
        <w:rPr>
          <w:rFonts w:ascii="宋体" w:hAnsi="宋体" w:eastAsia="宋体" w:cs="宋体"/>
          <w:color w:val="auto"/>
          <w:spacing w:val="-96"/>
          <w:sz w:val="21"/>
          <w:szCs w:val="21"/>
          <w:highlight w:val="none"/>
        </w:rPr>
        <w:t xml:space="preserve"> </w:t>
      </w:r>
      <w:r>
        <w:rPr>
          <w:rFonts w:ascii="宋体" w:hAnsi="宋体" w:eastAsia="宋体" w:cs="宋体"/>
          <w:color w:val="auto"/>
          <w:spacing w:val="-24"/>
          <w:sz w:val="21"/>
          <w:szCs w:val="21"/>
          <w:highlight w:val="none"/>
        </w:rPr>
        <w:t>年</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24"/>
          <w:sz w:val="21"/>
          <w:szCs w:val="21"/>
          <w:highlight w:val="none"/>
        </w:rPr>
        <w:t>月</w:t>
      </w:r>
      <w:r>
        <w:rPr>
          <w:rFonts w:ascii="宋体" w:hAnsi="宋体" w:eastAsia="宋体" w:cs="宋体"/>
          <w:color w:val="auto"/>
          <w:spacing w:val="-105"/>
          <w:sz w:val="21"/>
          <w:szCs w:val="21"/>
          <w:highlight w:val="none"/>
        </w:rPr>
        <w:t xml:space="preserve"> </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24"/>
          <w:sz w:val="21"/>
          <w:szCs w:val="21"/>
          <w:highlight w:val="none"/>
        </w:rPr>
        <w:t>日</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86"/>
          <w:sz w:val="21"/>
          <w:szCs w:val="21"/>
          <w:highlight w:val="none"/>
        </w:rPr>
        <w:t xml:space="preserve"> </w:t>
      </w:r>
      <w:r>
        <w:rPr>
          <w:rFonts w:ascii="宋体" w:hAnsi="宋体" w:eastAsia="宋体" w:cs="宋体"/>
          <w:color w:val="auto"/>
          <w:spacing w:val="-24"/>
          <w:sz w:val="21"/>
          <w:szCs w:val="21"/>
          <w:highlight w:val="none"/>
        </w:rPr>
        <w:t>时</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2"/>
          <w:sz w:val="21"/>
          <w:szCs w:val="21"/>
          <w:highlight w:val="none"/>
        </w:rPr>
        <w:t xml:space="preserve"> </w:t>
      </w:r>
      <w:r>
        <w:rPr>
          <w:rFonts w:ascii="宋体" w:hAnsi="宋体" w:eastAsia="宋体" w:cs="宋体"/>
          <w:color w:val="auto"/>
          <w:spacing w:val="-24"/>
          <w:sz w:val="21"/>
          <w:szCs w:val="21"/>
          <w:highlight w:val="none"/>
        </w:rPr>
        <w:t>分</w:t>
      </w:r>
      <w:r>
        <w:rPr>
          <w:rFonts w:ascii="宋体" w:hAnsi="宋体" w:eastAsia="宋体" w:cs="宋体"/>
          <w:color w:val="auto"/>
          <w:sz w:val="21"/>
          <w:szCs w:val="21"/>
          <w:highlight w:val="none"/>
        </w:rPr>
        <w:t xml:space="preserve">     </w:t>
      </w:r>
      <w:r>
        <w:rPr>
          <w:rFonts w:ascii="宋体" w:hAnsi="宋体" w:eastAsia="宋体" w:cs="宋体"/>
          <w:color w:val="auto"/>
          <w:spacing w:val="-24"/>
          <w:sz w:val="21"/>
          <w:szCs w:val="21"/>
          <w:highlight w:val="none"/>
        </w:rPr>
        <w:t>开标地点：</w:t>
      </w:r>
      <w:r>
        <w:rPr>
          <w:rFonts w:ascii="宋体" w:hAnsi="宋体" w:eastAsia="宋体" w:cs="宋体"/>
          <w:color w:val="auto"/>
          <w:spacing w:val="48"/>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4"/>
          <w:sz w:val="21"/>
          <w:szCs w:val="21"/>
          <w:highlight w:val="none"/>
        </w:rPr>
        <w:t xml:space="preserve">        开标方式：</w:t>
      </w:r>
      <w:r>
        <w:rPr>
          <w:rFonts w:ascii="宋体" w:hAnsi="宋体" w:eastAsia="宋体" w:cs="宋体"/>
          <w:color w:val="auto"/>
          <w:spacing w:val="53"/>
          <w:sz w:val="21"/>
          <w:szCs w:val="21"/>
          <w:highlight w:val="none"/>
        </w:rPr>
        <w:t xml:space="preserve"> </w:t>
      </w:r>
      <w:r>
        <w:rPr>
          <w:rFonts w:ascii="宋体" w:hAnsi="宋体" w:eastAsia="宋体" w:cs="宋体"/>
          <w:color w:val="auto"/>
          <w:sz w:val="21"/>
          <w:szCs w:val="21"/>
          <w:highlight w:val="none"/>
          <w:u w:val="single" w:color="auto"/>
        </w:rPr>
        <w:t xml:space="preserve">                </w:t>
      </w:r>
    </w:p>
    <w:p w14:paraId="61762206">
      <w:pPr>
        <w:spacing w:line="126" w:lineRule="auto"/>
        <w:rPr>
          <w:rFonts w:ascii="Arial"/>
          <w:color w:val="auto"/>
          <w:sz w:val="2"/>
          <w:highlight w:val="none"/>
        </w:rPr>
      </w:pPr>
    </w:p>
    <w:tbl>
      <w:tblPr>
        <w:tblStyle w:val="10"/>
        <w:tblW w:w="140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1"/>
        <w:gridCol w:w="2482"/>
        <w:gridCol w:w="988"/>
        <w:gridCol w:w="1138"/>
        <w:gridCol w:w="1132"/>
        <w:gridCol w:w="1133"/>
        <w:gridCol w:w="1133"/>
        <w:gridCol w:w="1137"/>
        <w:gridCol w:w="1272"/>
        <w:gridCol w:w="1704"/>
        <w:gridCol w:w="1282"/>
      </w:tblGrid>
      <w:tr w14:paraId="73C3E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71" w:type="dxa"/>
            <w:vMerge w:val="restart"/>
            <w:tcBorders>
              <w:bottom w:val="nil"/>
            </w:tcBorders>
            <w:vAlign w:val="top"/>
          </w:tcPr>
          <w:p w14:paraId="03AF3BAD">
            <w:pPr>
              <w:pStyle w:val="11"/>
              <w:spacing w:before="307" w:line="222" w:lineRule="auto"/>
              <w:ind w:left="131"/>
              <w:rPr>
                <w:color w:val="auto"/>
                <w:highlight w:val="none"/>
              </w:rPr>
            </w:pPr>
            <w:r>
              <w:rPr>
                <w:color w:val="auto"/>
                <w:spacing w:val="-2"/>
                <w:highlight w:val="none"/>
              </w:rPr>
              <w:t>序号</w:t>
            </w:r>
          </w:p>
        </w:tc>
        <w:tc>
          <w:tcPr>
            <w:tcW w:w="2482" w:type="dxa"/>
            <w:vMerge w:val="restart"/>
            <w:tcBorders>
              <w:bottom w:val="nil"/>
            </w:tcBorders>
            <w:vAlign w:val="top"/>
          </w:tcPr>
          <w:p w14:paraId="3E18C7E0">
            <w:pPr>
              <w:pStyle w:val="11"/>
              <w:spacing w:before="308" w:line="221" w:lineRule="auto"/>
              <w:ind w:left="722"/>
              <w:rPr>
                <w:color w:val="auto"/>
                <w:highlight w:val="none"/>
              </w:rPr>
            </w:pPr>
            <w:r>
              <w:rPr>
                <w:color w:val="auto"/>
                <w:spacing w:val="-1"/>
                <w:highlight w:val="none"/>
              </w:rPr>
              <w:t>投标人名称</w:t>
            </w:r>
          </w:p>
        </w:tc>
        <w:tc>
          <w:tcPr>
            <w:tcW w:w="988" w:type="dxa"/>
            <w:vMerge w:val="restart"/>
            <w:tcBorders>
              <w:bottom w:val="nil"/>
            </w:tcBorders>
            <w:vAlign w:val="top"/>
          </w:tcPr>
          <w:p w14:paraId="66FAA88C">
            <w:pPr>
              <w:pStyle w:val="11"/>
              <w:spacing w:before="173" w:line="231" w:lineRule="auto"/>
              <w:ind w:left="193" w:right="64" w:hanging="109"/>
              <w:rPr>
                <w:color w:val="auto"/>
                <w:highlight w:val="none"/>
              </w:rPr>
            </w:pPr>
            <w:r>
              <w:rPr>
                <w:color w:val="auto"/>
                <w:spacing w:val="-2"/>
                <w:highlight w:val="none"/>
              </w:rPr>
              <w:t>投标报价</w:t>
            </w:r>
            <w:r>
              <w:rPr>
                <w:color w:val="auto"/>
                <w:spacing w:val="1"/>
                <w:highlight w:val="none"/>
              </w:rPr>
              <w:t xml:space="preserve"> </w:t>
            </w:r>
            <w:r>
              <w:rPr>
                <w:color w:val="auto"/>
                <w:spacing w:val="-6"/>
                <w:highlight w:val="none"/>
              </w:rPr>
              <w:t>（元）</w:t>
            </w:r>
          </w:p>
        </w:tc>
        <w:tc>
          <w:tcPr>
            <w:tcW w:w="1138" w:type="dxa"/>
            <w:vMerge w:val="restart"/>
            <w:tcBorders>
              <w:bottom w:val="nil"/>
            </w:tcBorders>
            <w:vAlign w:val="top"/>
          </w:tcPr>
          <w:p w14:paraId="21776CAF">
            <w:pPr>
              <w:pStyle w:val="11"/>
              <w:spacing w:before="173" w:line="221" w:lineRule="auto"/>
              <w:ind w:left="368"/>
              <w:rPr>
                <w:color w:val="auto"/>
                <w:highlight w:val="none"/>
              </w:rPr>
            </w:pPr>
            <w:r>
              <w:rPr>
                <w:color w:val="auto"/>
                <w:spacing w:val="-3"/>
                <w:highlight w:val="none"/>
              </w:rPr>
              <w:t>工期</w:t>
            </w:r>
          </w:p>
          <w:p w14:paraId="2479C0FD">
            <w:pPr>
              <w:pStyle w:val="11"/>
              <w:spacing w:before="22" w:line="221" w:lineRule="auto"/>
              <w:ind w:left="55"/>
              <w:rPr>
                <w:color w:val="auto"/>
                <w:highlight w:val="none"/>
              </w:rPr>
            </w:pPr>
            <w:r>
              <w:rPr>
                <w:color w:val="auto"/>
                <w:spacing w:val="-4"/>
                <w:highlight w:val="none"/>
              </w:rPr>
              <w:t>（日历天）</w:t>
            </w:r>
          </w:p>
        </w:tc>
        <w:tc>
          <w:tcPr>
            <w:tcW w:w="1132" w:type="dxa"/>
            <w:vMerge w:val="restart"/>
            <w:tcBorders>
              <w:bottom w:val="nil"/>
            </w:tcBorders>
            <w:vAlign w:val="top"/>
          </w:tcPr>
          <w:p w14:paraId="4C3A665A">
            <w:pPr>
              <w:pStyle w:val="11"/>
              <w:spacing w:before="308" w:line="221" w:lineRule="auto"/>
              <w:ind w:left="150"/>
              <w:rPr>
                <w:color w:val="auto"/>
                <w:highlight w:val="none"/>
              </w:rPr>
            </w:pPr>
            <w:r>
              <w:rPr>
                <w:color w:val="auto"/>
                <w:spacing w:val="-1"/>
                <w:highlight w:val="none"/>
              </w:rPr>
              <w:t>质量目标</w:t>
            </w:r>
          </w:p>
        </w:tc>
        <w:tc>
          <w:tcPr>
            <w:tcW w:w="1133" w:type="dxa"/>
            <w:vMerge w:val="restart"/>
            <w:tcBorders>
              <w:bottom w:val="nil"/>
            </w:tcBorders>
            <w:vAlign w:val="top"/>
          </w:tcPr>
          <w:p w14:paraId="7DE3152C">
            <w:pPr>
              <w:pStyle w:val="11"/>
              <w:spacing w:before="173" w:line="231" w:lineRule="auto"/>
              <w:ind w:left="153" w:right="140"/>
              <w:rPr>
                <w:color w:val="auto"/>
                <w:highlight w:val="none"/>
              </w:rPr>
            </w:pPr>
            <w:r>
              <w:rPr>
                <w:color w:val="auto"/>
                <w:spacing w:val="-2"/>
                <w:highlight w:val="none"/>
              </w:rPr>
              <w:t>投标有效</w:t>
            </w:r>
            <w:r>
              <w:rPr>
                <w:color w:val="auto"/>
                <w:spacing w:val="1"/>
                <w:highlight w:val="none"/>
              </w:rPr>
              <w:t xml:space="preserve"> </w:t>
            </w:r>
            <w:r>
              <w:rPr>
                <w:color w:val="auto"/>
                <w:spacing w:val="-4"/>
                <w:highlight w:val="none"/>
              </w:rPr>
              <w:t>期（天）</w:t>
            </w:r>
          </w:p>
        </w:tc>
        <w:tc>
          <w:tcPr>
            <w:tcW w:w="1133" w:type="dxa"/>
            <w:vMerge w:val="restart"/>
            <w:tcBorders>
              <w:bottom w:val="nil"/>
            </w:tcBorders>
            <w:vAlign w:val="top"/>
          </w:tcPr>
          <w:p w14:paraId="1BAB9531">
            <w:pPr>
              <w:pStyle w:val="11"/>
              <w:spacing w:before="172" w:line="231" w:lineRule="auto"/>
              <w:ind w:left="365" w:right="135" w:hanging="207"/>
              <w:rPr>
                <w:color w:val="auto"/>
                <w:highlight w:val="none"/>
              </w:rPr>
            </w:pPr>
            <w:r>
              <w:rPr>
                <w:color w:val="auto"/>
                <w:spacing w:val="-2"/>
                <w:highlight w:val="none"/>
              </w:rPr>
              <w:t>项目经理</w:t>
            </w:r>
            <w:r>
              <w:rPr>
                <w:color w:val="auto"/>
                <w:highlight w:val="none"/>
              </w:rPr>
              <w:t xml:space="preserve"> </w:t>
            </w:r>
            <w:r>
              <w:rPr>
                <w:color w:val="auto"/>
                <w:spacing w:val="-2"/>
                <w:highlight w:val="none"/>
              </w:rPr>
              <w:t>姓名</w:t>
            </w:r>
          </w:p>
        </w:tc>
        <w:tc>
          <w:tcPr>
            <w:tcW w:w="2409" w:type="dxa"/>
            <w:gridSpan w:val="2"/>
            <w:vAlign w:val="top"/>
          </w:tcPr>
          <w:p w14:paraId="39879E33">
            <w:pPr>
              <w:pStyle w:val="11"/>
              <w:spacing w:before="29" w:line="210" w:lineRule="auto"/>
              <w:ind w:left="691"/>
              <w:rPr>
                <w:color w:val="auto"/>
                <w:highlight w:val="none"/>
              </w:rPr>
            </w:pPr>
            <w:r>
              <w:rPr>
                <w:color w:val="auto"/>
                <w:spacing w:val="-1"/>
                <w:highlight w:val="none"/>
              </w:rPr>
              <w:t>投标保证金</w:t>
            </w:r>
          </w:p>
        </w:tc>
        <w:tc>
          <w:tcPr>
            <w:tcW w:w="1704" w:type="dxa"/>
            <w:vMerge w:val="restart"/>
            <w:tcBorders>
              <w:bottom w:val="nil"/>
            </w:tcBorders>
            <w:vAlign w:val="top"/>
          </w:tcPr>
          <w:p w14:paraId="5F5E86E6">
            <w:pPr>
              <w:pStyle w:val="11"/>
              <w:spacing w:before="172" w:line="231" w:lineRule="auto"/>
              <w:ind w:left="227" w:right="110" w:hanging="103"/>
              <w:rPr>
                <w:color w:val="auto"/>
                <w:highlight w:val="none"/>
              </w:rPr>
            </w:pPr>
            <w:r>
              <w:rPr>
                <w:color w:val="auto"/>
                <w:spacing w:val="-1"/>
                <w:highlight w:val="none"/>
              </w:rPr>
              <w:t>法定代表人或授</w:t>
            </w:r>
            <w:r>
              <w:rPr>
                <w:color w:val="auto"/>
                <w:highlight w:val="none"/>
              </w:rPr>
              <w:t xml:space="preserve"> </w:t>
            </w:r>
            <w:r>
              <w:rPr>
                <w:color w:val="auto"/>
                <w:spacing w:val="-1"/>
                <w:highlight w:val="none"/>
              </w:rPr>
              <w:t>权委托人确认</w:t>
            </w:r>
          </w:p>
        </w:tc>
        <w:tc>
          <w:tcPr>
            <w:tcW w:w="1282" w:type="dxa"/>
            <w:vMerge w:val="restart"/>
            <w:tcBorders>
              <w:bottom w:val="nil"/>
            </w:tcBorders>
            <w:vAlign w:val="top"/>
          </w:tcPr>
          <w:p w14:paraId="7FDC6FF3">
            <w:pPr>
              <w:pStyle w:val="11"/>
              <w:spacing w:before="307" w:line="223" w:lineRule="auto"/>
              <w:ind w:left="225"/>
              <w:rPr>
                <w:color w:val="auto"/>
                <w:highlight w:val="none"/>
              </w:rPr>
            </w:pPr>
            <w:r>
              <w:rPr>
                <w:color w:val="auto"/>
                <w:spacing w:val="-1"/>
                <w:highlight w:val="none"/>
              </w:rPr>
              <w:t>联系电话</w:t>
            </w:r>
          </w:p>
        </w:tc>
      </w:tr>
      <w:tr w14:paraId="6C348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671" w:type="dxa"/>
            <w:vMerge w:val="continue"/>
            <w:tcBorders>
              <w:top w:val="nil"/>
            </w:tcBorders>
            <w:vAlign w:val="top"/>
          </w:tcPr>
          <w:p w14:paraId="52125256">
            <w:pPr>
              <w:rPr>
                <w:rFonts w:ascii="Arial"/>
                <w:color w:val="auto"/>
                <w:sz w:val="21"/>
                <w:highlight w:val="none"/>
              </w:rPr>
            </w:pPr>
          </w:p>
        </w:tc>
        <w:tc>
          <w:tcPr>
            <w:tcW w:w="2482" w:type="dxa"/>
            <w:vMerge w:val="continue"/>
            <w:tcBorders>
              <w:top w:val="nil"/>
            </w:tcBorders>
            <w:vAlign w:val="top"/>
          </w:tcPr>
          <w:p w14:paraId="1993E77E">
            <w:pPr>
              <w:rPr>
                <w:rFonts w:ascii="Arial"/>
                <w:color w:val="auto"/>
                <w:sz w:val="21"/>
                <w:highlight w:val="none"/>
              </w:rPr>
            </w:pPr>
          </w:p>
        </w:tc>
        <w:tc>
          <w:tcPr>
            <w:tcW w:w="988" w:type="dxa"/>
            <w:vMerge w:val="continue"/>
            <w:tcBorders>
              <w:top w:val="nil"/>
            </w:tcBorders>
            <w:vAlign w:val="top"/>
          </w:tcPr>
          <w:p w14:paraId="50C198BF">
            <w:pPr>
              <w:rPr>
                <w:rFonts w:ascii="Arial"/>
                <w:color w:val="auto"/>
                <w:sz w:val="21"/>
                <w:highlight w:val="none"/>
              </w:rPr>
            </w:pPr>
          </w:p>
        </w:tc>
        <w:tc>
          <w:tcPr>
            <w:tcW w:w="1138" w:type="dxa"/>
            <w:vMerge w:val="continue"/>
            <w:tcBorders>
              <w:top w:val="nil"/>
            </w:tcBorders>
            <w:vAlign w:val="top"/>
          </w:tcPr>
          <w:p w14:paraId="5C732450">
            <w:pPr>
              <w:rPr>
                <w:rFonts w:ascii="Arial"/>
                <w:color w:val="auto"/>
                <w:sz w:val="21"/>
                <w:highlight w:val="none"/>
              </w:rPr>
            </w:pPr>
          </w:p>
        </w:tc>
        <w:tc>
          <w:tcPr>
            <w:tcW w:w="1132" w:type="dxa"/>
            <w:vMerge w:val="continue"/>
            <w:tcBorders>
              <w:top w:val="nil"/>
            </w:tcBorders>
            <w:vAlign w:val="top"/>
          </w:tcPr>
          <w:p w14:paraId="299FEA37">
            <w:pPr>
              <w:rPr>
                <w:rFonts w:ascii="Arial"/>
                <w:color w:val="auto"/>
                <w:sz w:val="21"/>
                <w:highlight w:val="none"/>
              </w:rPr>
            </w:pPr>
          </w:p>
        </w:tc>
        <w:tc>
          <w:tcPr>
            <w:tcW w:w="1133" w:type="dxa"/>
            <w:vMerge w:val="continue"/>
            <w:tcBorders>
              <w:top w:val="nil"/>
            </w:tcBorders>
            <w:vAlign w:val="top"/>
          </w:tcPr>
          <w:p w14:paraId="3C8FE0F5">
            <w:pPr>
              <w:rPr>
                <w:rFonts w:ascii="Arial"/>
                <w:color w:val="auto"/>
                <w:sz w:val="21"/>
                <w:highlight w:val="none"/>
              </w:rPr>
            </w:pPr>
          </w:p>
        </w:tc>
        <w:tc>
          <w:tcPr>
            <w:tcW w:w="1133" w:type="dxa"/>
            <w:vMerge w:val="continue"/>
            <w:tcBorders>
              <w:top w:val="nil"/>
            </w:tcBorders>
            <w:vAlign w:val="top"/>
          </w:tcPr>
          <w:p w14:paraId="4F6CA2BB">
            <w:pPr>
              <w:rPr>
                <w:rFonts w:ascii="Arial"/>
                <w:color w:val="auto"/>
                <w:sz w:val="21"/>
                <w:highlight w:val="none"/>
              </w:rPr>
            </w:pPr>
          </w:p>
        </w:tc>
        <w:tc>
          <w:tcPr>
            <w:tcW w:w="1137" w:type="dxa"/>
            <w:vAlign w:val="top"/>
          </w:tcPr>
          <w:p w14:paraId="08FB9A60">
            <w:pPr>
              <w:pStyle w:val="11"/>
              <w:spacing w:before="29" w:line="241" w:lineRule="auto"/>
              <w:ind w:left="368"/>
              <w:rPr>
                <w:color w:val="auto"/>
                <w:highlight w:val="none"/>
              </w:rPr>
            </w:pPr>
            <w:r>
              <w:rPr>
                <w:color w:val="auto"/>
                <w:spacing w:val="-2"/>
                <w:highlight w:val="none"/>
              </w:rPr>
              <w:t>金额</w:t>
            </w:r>
          </w:p>
          <w:p w14:paraId="2625D5CF">
            <w:pPr>
              <w:pStyle w:val="11"/>
              <w:spacing w:line="209" w:lineRule="auto"/>
              <w:ind w:left="267"/>
              <w:rPr>
                <w:color w:val="auto"/>
                <w:highlight w:val="none"/>
              </w:rPr>
            </w:pPr>
            <w:r>
              <w:rPr>
                <w:color w:val="auto"/>
                <w:spacing w:val="-6"/>
                <w:highlight w:val="none"/>
              </w:rPr>
              <w:t>（元）</w:t>
            </w:r>
          </w:p>
        </w:tc>
        <w:tc>
          <w:tcPr>
            <w:tcW w:w="1272" w:type="dxa"/>
            <w:vAlign w:val="top"/>
          </w:tcPr>
          <w:p w14:paraId="54300B7A">
            <w:pPr>
              <w:pStyle w:val="11"/>
              <w:spacing w:before="168" w:line="221" w:lineRule="auto"/>
              <w:ind w:left="217"/>
              <w:rPr>
                <w:color w:val="auto"/>
                <w:highlight w:val="none"/>
              </w:rPr>
            </w:pPr>
            <w:r>
              <w:rPr>
                <w:color w:val="auto"/>
                <w:spacing w:val="-1"/>
                <w:highlight w:val="none"/>
              </w:rPr>
              <w:t>缴纳方式</w:t>
            </w:r>
          </w:p>
        </w:tc>
        <w:tc>
          <w:tcPr>
            <w:tcW w:w="1704" w:type="dxa"/>
            <w:vMerge w:val="continue"/>
            <w:tcBorders>
              <w:top w:val="nil"/>
            </w:tcBorders>
            <w:vAlign w:val="top"/>
          </w:tcPr>
          <w:p w14:paraId="059B1DCF">
            <w:pPr>
              <w:rPr>
                <w:rFonts w:ascii="Arial"/>
                <w:color w:val="auto"/>
                <w:sz w:val="21"/>
                <w:highlight w:val="none"/>
              </w:rPr>
            </w:pPr>
          </w:p>
        </w:tc>
        <w:tc>
          <w:tcPr>
            <w:tcW w:w="1282" w:type="dxa"/>
            <w:vMerge w:val="continue"/>
            <w:tcBorders>
              <w:top w:val="nil"/>
            </w:tcBorders>
            <w:vAlign w:val="top"/>
          </w:tcPr>
          <w:p w14:paraId="48EB270D">
            <w:pPr>
              <w:rPr>
                <w:rFonts w:ascii="Arial"/>
                <w:color w:val="auto"/>
                <w:sz w:val="21"/>
                <w:highlight w:val="none"/>
              </w:rPr>
            </w:pPr>
          </w:p>
        </w:tc>
      </w:tr>
      <w:tr w14:paraId="45D68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71" w:type="dxa"/>
            <w:vAlign w:val="top"/>
          </w:tcPr>
          <w:p w14:paraId="57478286">
            <w:pPr>
              <w:rPr>
                <w:rFonts w:ascii="Arial"/>
                <w:color w:val="auto"/>
                <w:sz w:val="21"/>
                <w:highlight w:val="none"/>
              </w:rPr>
            </w:pPr>
          </w:p>
        </w:tc>
        <w:tc>
          <w:tcPr>
            <w:tcW w:w="2482" w:type="dxa"/>
            <w:vAlign w:val="top"/>
          </w:tcPr>
          <w:p w14:paraId="37A3EFED">
            <w:pPr>
              <w:rPr>
                <w:rFonts w:ascii="Arial"/>
                <w:color w:val="auto"/>
                <w:sz w:val="21"/>
                <w:highlight w:val="none"/>
              </w:rPr>
            </w:pPr>
          </w:p>
        </w:tc>
        <w:tc>
          <w:tcPr>
            <w:tcW w:w="988" w:type="dxa"/>
            <w:vAlign w:val="top"/>
          </w:tcPr>
          <w:p w14:paraId="40F67269">
            <w:pPr>
              <w:rPr>
                <w:rFonts w:ascii="Arial"/>
                <w:color w:val="auto"/>
                <w:sz w:val="21"/>
                <w:highlight w:val="none"/>
              </w:rPr>
            </w:pPr>
          </w:p>
        </w:tc>
        <w:tc>
          <w:tcPr>
            <w:tcW w:w="1138" w:type="dxa"/>
            <w:vAlign w:val="top"/>
          </w:tcPr>
          <w:p w14:paraId="6B183013">
            <w:pPr>
              <w:rPr>
                <w:rFonts w:ascii="Arial"/>
                <w:color w:val="auto"/>
                <w:sz w:val="21"/>
                <w:highlight w:val="none"/>
              </w:rPr>
            </w:pPr>
          </w:p>
        </w:tc>
        <w:tc>
          <w:tcPr>
            <w:tcW w:w="1132" w:type="dxa"/>
            <w:vAlign w:val="top"/>
          </w:tcPr>
          <w:p w14:paraId="65234917">
            <w:pPr>
              <w:rPr>
                <w:rFonts w:ascii="Arial"/>
                <w:color w:val="auto"/>
                <w:sz w:val="21"/>
                <w:highlight w:val="none"/>
              </w:rPr>
            </w:pPr>
          </w:p>
        </w:tc>
        <w:tc>
          <w:tcPr>
            <w:tcW w:w="1133" w:type="dxa"/>
            <w:vAlign w:val="top"/>
          </w:tcPr>
          <w:p w14:paraId="7BA5BF4D">
            <w:pPr>
              <w:rPr>
                <w:rFonts w:ascii="Arial"/>
                <w:color w:val="auto"/>
                <w:sz w:val="21"/>
                <w:highlight w:val="none"/>
              </w:rPr>
            </w:pPr>
          </w:p>
        </w:tc>
        <w:tc>
          <w:tcPr>
            <w:tcW w:w="1133" w:type="dxa"/>
            <w:vAlign w:val="top"/>
          </w:tcPr>
          <w:p w14:paraId="151326E9">
            <w:pPr>
              <w:rPr>
                <w:rFonts w:ascii="Arial"/>
                <w:color w:val="auto"/>
                <w:sz w:val="21"/>
                <w:highlight w:val="none"/>
              </w:rPr>
            </w:pPr>
          </w:p>
        </w:tc>
        <w:tc>
          <w:tcPr>
            <w:tcW w:w="1137" w:type="dxa"/>
            <w:vAlign w:val="top"/>
          </w:tcPr>
          <w:p w14:paraId="3A8C9DFD">
            <w:pPr>
              <w:rPr>
                <w:rFonts w:ascii="Arial"/>
                <w:color w:val="auto"/>
                <w:sz w:val="21"/>
                <w:highlight w:val="none"/>
              </w:rPr>
            </w:pPr>
          </w:p>
        </w:tc>
        <w:tc>
          <w:tcPr>
            <w:tcW w:w="1272" w:type="dxa"/>
            <w:vAlign w:val="top"/>
          </w:tcPr>
          <w:p w14:paraId="039AE516">
            <w:pPr>
              <w:rPr>
                <w:rFonts w:ascii="Arial"/>
                <w:color w:val="auto"/>
                <w:sz w:val="21"/>
                <w:highlight w:val="none"/>
              </w:rPr>
            </w:pPr>
          </w:p>
        </w:tc>
        <w:tc>
          <w:tcPr>
            <w:tcW w:w="1704" w:type="dxa"/>
            <w:vAlign w:val="top"/>
          </w:tcPr>
          <w:p w14:paraId="78AD583C">
            <w:pPr>
              <w:rPr>
                <w:rFonts w:ascii="Arial"/>
                <w:color w:val="auto"/>
                <w:sz w:val="21"/>
                <w:highlight w:val="none"/>
              </w:rPr>
            </w:pPr>
          </w:p>
        </w:tc>
        <w:tc>
          <w:tcPr>
            <w:tcW w:w="1282" w:type="dxa"/>
            <w:vAlign w:val="top"/>
          </w:tcPr>
          <w:p w14:paraId="64BF7EA5">
            <w:pPr>
              <w:rPr>
                <w:rFonts w:ascii="Arial"/>
                <w:color w:val="auto"/>
                <w:sz w:val="21"/>
                <w:highlight w:val="none"/>
              </w:rPr>
            </w:pPr>
          </w:p>
        </w:tc>
      </w:tr>
      <w:tr w14:paraId="037EC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71" w:type="dxa"/>
            <w:vAlign w:val="top"/>
          </w:tcPr>
          <w:p w14:paraId="5278EA2D">
            <w:pPr>
              <w:rPr>
                <w:rFonts w:ascii="Arial"/>
                <w:color w:val="auto"/>
                <w:sz w:val="21"/>
                <w:highlight w:val="none"/>
              </w:rPr>
            </w:pPr>
          </w:p>
        </w:tc>
        <w:tc>
          <w:tcPr>
            <w:tcW w:w="2482" w:type="dxa"/>
            <w:vAlign w:val="top"/>
          </w:tcPr>
          <w:p w14:paraId="75EC74B3">
            <w:pPr>
              <w:rPr>
                <w:rFonts w:ascii="Arial"/>
                <w:color w:val="auto"/>
                <w:sz w:val="21"/>
                <w:highlight w:val="none"/>
              </w:rPr>
            </w:pPr>
          </w:p>
        </w:tc>
        <w:tc>
          <w:tcPr>
            <w:tcW w:w="988" w:type="dxa"/>
            <w:vAlign w:val="top"/>
          </w:tcPr>
          <w:p w14:paraId="48777A63">
            <w:pPr>
              <w:rPr>
                <w:rFonts w:ascii="Arial"/>
                <w:color w:val="auto"/>
                <w:sz w:val="21"/>
                <w:highlight w:val="none"/>
              </w:rPr>
            </w:pPr>
          </w:p>
        </w:tc>
        <w:tc>
          <w:tcPr>
            <w:tcW w:w="1138" w:type="dxa"/>
            <w:vAlign w:val="top"/>
          </w:tcPr>
          <w:p w14:paraId="0638A946">
            <w:pPr>
              <w:rPr>
                <w:rFonts w:ascii="Arial"/>
                <w:color w:val="auto"/>
                <w:sz w:val="21"/>
                <w:highlight w:val="none"/>
              </w:rPr>
            </w:pPr>
          </w:p>
        </w:tc>
        <w:tc>
          <w:tcPr>
            <w:tcW w:w="1132" w:type="dxa"/>
            <w:vAlign w:val="top"/>
          </w:tcPr>
          <w:p w14:paraId="661A99C0">
            <w:pPr>
              <w:rPr>
                <w:rFonts w:ascii="Arial"/>
                <w:color w:val="auto"/>
                <w:sz w:val="21"/>
                <w:highlight w:val="none"/>
              </w:rPr>
            </w:pPr>
          </w:p>
        </w:tc>
        <w:tc>
          <w:tcPr>
            <w:tcW w:w="1133" w:type="dxa"/>
            <w:vAlign w:val="top"/>
          </w:tcPr>
          <w:p w14:paraId="06CD9D9F">
            <w:pPr>
              <w:rPr>
                <w:rFonts w:ascii="Arial"/>
                <w:color w:val="auto"/>
                <w:sz w:val="21"/>
                <w:highlight w:val="none"/>
              </w:rPr>
            </w:pPr>
          </w:p>
        </w:tc>
        <w:tc>
          <w:tcPr>
            <w:tcW w:w="1133" w:type="dxa"/>
            <w:vAlign w:val="top"/>
          </w:tcPr>
          <w:p w14:paraId="19B42105">
            <w:pPr>
              <w:rPr>
                <w:rFonts w:ascii="Arial"/>
                <w:color w:val="auto"/>
                <w:sz w:val="21"/>
                <w:highlight w:val="none"/>
              </w:rPr>
            </w:pPr>
          </w:p>
        </w:tc>
        <w:tc>
          <w:tcPr>
            <w:tcW w:w="1137" w:type="dxa"/>
            <w:vAlign w:val="top"/>
          </w:tcPr>
          <w:p w14:paraId="4AD14DC1">
            <w:pPr>
              <w:rPr>
                <w:rFonts w:ascii="Arial"/>
                <w:color w:val="auto"/>
                <w:sz w:val="21"/>
                <w:highlight w:val="none"/>
              </w:rPr>
            </w:pPr>
          </w:p>
        </w:tc>
        <w:tc>
          <w:tcPr>
            <w:tcW w:w="1272" w:type="dxa"/>
            <w:vAlign w:val="top"/>
          </w:tcPr>
          <w:p w14:paraId="3E7D7FC5">
            <w:pPr>
              <w:rPr>
                <w:rFonts w:ascii="Arial"/>
                <w:color w:val="auto"/>
                <w:sz w:val="21"/>
                <w:highlight w:val="none"/>
              </w:rPr>
            </w:pPr>
          </w:p>
        </w:tc>
        <w:tc>
          <w:tcPr>
            <w:tcW w:w="1704" w:type="dxa"/>
            <w:vAlign w:val="top"/>
          </w:tcPr>
          <w:p w14:paraId="43B1CBA8">
            <w:pPr>
              <w:rPr>
                <w:rFonts w:ascii="Arial"/>
                <w:color w:val="auto"/>
                <w:sz w:val="21"/>
                <w:highlight w:val="none"/>
              </w:rPr>
            </w:pPr>
          </w:p>
        </w:tc>
        <w:tc>
          <w:tcPr>
            <w:tcW w:w="1282" w:type="dxa"/>
            <w:vAlign w:val="top"/>
          </w:tcPr>
          <w:p w14:paraId="2086F621">
            <w:pPr>
              <w:rPr>
                <w:rFonts w:ascii="Arial"/>
                <w:color w:val="auto"/>
                <w:sz w:val="21"/>
                <w:highlight w:val="none"/>
              </w:rPr>
            </w:pPr>
          </w:p>
        </w:tc>
      </w:tr>
      <w:tr w14:paraId="681F63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671" w:type="dxa"/>
            <w:vAlign w:val="top"/>
          </w:tcPr>
          <w:p w14:paraId="5C474BB6">
            <w:pPr>
              <w:rPr>
                <w:rFonts w:ascii="Arial"/>
                <w:color w:val="auto"/>
                <w:sz w:val="21"/>
                <w:highlight w:val="none"/>
              </w:rPr>
            </w:pPr>
          </w:p>
        </w:tc>
        <w:tc>
          <w:tcPr>
            <w:tcW w:w="2482" w:type="dxa"/>
            <w:vAlign w:val="top"/>
          </w:tcPr>
          <w:p w14:paraId="72AAC84B">
            <w:pPr>
              <w:rPr>
                <w:rFonts w:ascii="Arial"/>
                <w:color w:val="auto"/>
                <w:sz w:val="21"/>
                <w:highlight w:val="none"/>
              </w:rPr>
            </w:pPr>
          </w:p>
        </w:tc>
        <w:tc>
          <w:tcPr>
            <w:tcW w:w="988" w:type="dxa"/>
            <w:vAlign w:val="top"/>
          </w:tcPr>
          <w:p w14:paraId="09F15B28">
            <w:pPr>
              <w:rPr>
                <w:rFonts w:ascii="Arial"/>
                <w:color w:val="auto"/>
                <w:sz w:val="21"/>
                <w:highlight w:val="none"/>
              </w:rPr>
            </w:pPr>
          </w:p>
        </w:tc>
        <w:tc>
          <w:tcPr>
            <w:tcW w:w="1138" w:type="dxa"/>
            <w:vAlign w:val="top"/>
          </w:tcPr>
          <w:p w14:paraId="0D9749DB">
            <w:pPr>
              <w:rPr>
                <w:rFonts w:ascii="Arial"/>
                <w:color w:val="auto"/>
                <w:sz w:val="21"/>
                <w:highlight w:val="none"/>
              </w:rPr>
            </w:pPr>
          </w:p>
        </w:tc>
        <w:tc>
          <w:tcPr>
            <w:tcW w:w="1132" w:type="dxa"/>
            <w:vAlign w:val="top"/>
          </w:tcPr>
          <w:p w14:paraId="3621824A">
            <w:pPr>
              <w:rPr>
                <w:rFonts w:ascii="Arial"/>
                <w:color w:val="auto"/>
                <w:sz w:val="21"/>
                <w:highlight w:val="none"/>
              </w:rPr>
            </w:pPr>
          </w:p>
        </w:tc>
        <w:tc>
          <w:tcPr>
            <w:tcW w:w="1133" w:type="dxa"/>
            <w:vAlign w:val="top"/>
          </w:tcPr>
          <w:p w14:paraId="2DD087DA">
            <w:pPr>
              <w:rPr>
                <w:rFonts w:ascii="Arial"/>
                <w:color w:val="auto"/>
                <w:sz w:val="21"/>
                <w:highlight w:val="none"/>
              </w:rPr>
            </w:pPr>
          </w:p>
        </w:tc>
        <w:tc>
          <w:tcPr>
            <w:tcW w:w="1133" w:type="dxa"/>
            <w:vAlign w:val="top"/>
          </w:tcPr>
          <w:p w14:paraId="195FCE02">
            <w:pPr>
              <w:rPr>
                <w:rFonts w:ascii="Arial"/>
                <w:color w:val="auto"/>
                <w:sz w:val="21"/>
                <w:highlight w:val="none"/>
              </w:rPr>
            </w:pPr>
          </w:p>
        </w:tc>
        <w:tc>
          <w:tcPr>
            <w:tcW w:w="1137" w:type="dxa"/>
            <w:vAlign w:val="top"/>
          </w:tcPr>
          <w:p w14:paraId="074B2791">
            <w:pPr>
              <w:rPr>
                <w:rFonts w:ascii="Arial"/>
                <w:color w:val="auto"/>
                <w:sz w:val="21"/>
                <w:highlight w:val="none"/>
              </w:rPr>
            </w:pPr>
          </w:p>
        </w:tc>
        <w:tc>
          <w:tcPr>
            <w:tcW w:w="1272" w:type="dxa"/>
            <w:vAlign w:val="top"/>
          </w:tcPr>
          <w:p w14:paraId="12A0D611">
            <w:pPr>
              <w:rPr>
                <w:rFonts w:ascii="Arial"/>
                <w:color w:val="auto"/>
                <w:sz w:val="21"/>
                <w:highlight w:val="none"/>
              </w:rPr>
            </w:pPr>
          </w:p>
        </w:tc>
        <w:tc>
          <w:tcPr>
            <w:tcW w:w="1704" w:type="dxa"/>
            <w:vAlign w:val="top"/>
          </w:tcPr>
          <w:p w14:paraId="17210ABE">
            <w:pPr>
              <w:rPr>
                <w:rFonts w:ascii="Arial"/>
                <w:color w:val="auto"/>
                <w:sz w:val="21"/>
                <w:highlight w:val="none"/>
              </w:rPr>
            </w:pPr>
          </w:p>
        </w:tc>
        <w:tc>
          <w:tcPr>
            <w:tcW w:w="1282" w:type="dxa"/>
            <w:vAlign w:val="top"/>
          </w:tcPr>
          <w:p w14:paraId="13AF8B8C">
            <w:pPr>
              <w:rPr>
                <w:rFonts w:ascii="Arial"/>
                <w:color w:val="auto"/>
                <w:sz w:val="21"/>
                <w:highlight w:val="none"/>
              </w:rPr>
            </w:pPr>
          </w:p>
        </w:tc>
      </w:tr>
      <w:tr w14:paraId="24173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71" w:type="dxa"/>
            <w:vAlign w:val="top"/>
          </w:tcPr>
          <w:p w14:paraId="703FE215">
            <w:pPr>
              <w:rPr>
                <w:rFonts w:ascii="Arial"/>
                <w:color w:val="auto"/>
                <w:sz w:val="21"/>
                <w:highlight w:val="none"/>
              </w:rPr>
            </w:pPr>
          </w:p>
        </w:tc>
        <w:tc>
          <w:tcPr>
            <w:tcW w:w="2482" w:type="dxa"/>
            <w:vAlign w:val="top"/>
          </w:tcPr>
          <w:p w14:paraId="6D22707F">
            <w:pPr>
              <w:rPr>
                <w:rFonts w:ascii="Arial"/>
                <w:color w:val="auto"/>
                <w:sz w:val="21"/>
                <w:highlight w:val="none"/>
              </w:rPr>
            </w:pPr>
          </w:p>
        </w:tc>
        <w:tc>
          <w:tcPr>
            <w:tcW w:w="988" w:type="dxa"/>
            <w:vAlign w:val="top"/>
          </w:tcPr>
          <w:p w14:paraId="760B65A6">
            <w:pPr>
              <w:rPr>
                <w:rFonts w:ascii="Arial"/>
                <w:color w:val="auto"/>
                <w:sz w:val="21"/>
                <w:highlight w:val="none"/>
              </w:rPr>
            </w:pPr>
          </w:p>
        </w:tc>
        <w:tc>
          <w:tcPr>
            <w:tcW w:w="1138" w:type="dxa"/>
            <w:vAlign w:val="top"/>
          </w:tcPr>
          <w:p w14:paraId="31CB4C93">
            <w:pPr>
              <w:rPr>
                <w:rFonts w:ascii="Arial"/>
                <w:color w:val="auto"/>
                <w:sz w:val="21"/>
                <w:highlight w:val="none"/>
              </w:rPr>
            </w:pPr>
          </w:p>
        </w:tc>
        <w:tc>
          <w:tcPr>
            <w:tcW w:w="1132" w:type="dxa"/>
            <w:vAlign w:val="top"/>
          </w:tcPr>
          <w:p w14:paraId="09759238">
            <w:pPr>
              <w:rPr>
                <w:rFonts w:ascii="Arial"/>
                <w:color w:val="auto"/>
                <w:sz w:val="21"/>
                <w:highlight w:val="none"/>
              </w:rPr>
            </w:pPr>
          </w:p>
        </w:tc>
        <w:tc>
          <w:tcPr>
            <w:tcW w:w="1133" w:type="dxa"/>
            <w:vAlign w:val="top"/>
          </w:tcPr>
          <w:p w14:paraId="111B36FD">
            <w:pPr>
              <w:rPr>
                <w:rFonts w:ascii="Arial"/>
                <w:color w:val="auto"/>
                <w:sz w:val="21"/>
                <w:highlight w:val="none"/>
              </w:rPr>
            </w:pPr>
          </w:p>
        </w:tc>
        <w:tc>
          <w:tcPr>
            <w:tcW w:w="1133" w:type="dxa"/>
            <w:vAlign w:val="top"/>
          </w:tcPr>
          <w:p w14:paraId="7E4F31AB">
            <w:pPr>
              <w:rPr>
                <w:rFonts w:ascii="Arial"/>
                <w:color w:val="auto"/>
                <w:sz w:val="21"/>
                <w:highlight w:val="none"/>
              </w:rPr>
            </w:pPr>
          </w:p>
        </w:tc>
        <w:tc>
          <w:tcPr>
            <w:tcW w:w="1137" w:type="dxa"/>
            <w:vAlign w:val="top"/>
          </w:tcPr>
          <w:p w14:paraId="32896FCE">
            <w:pPr>
              <w:rPr>
                <w:rFonts w:ascii="Arial"/>
                <w:color w:val="auto"/>
                <w:sz w:val="21"/>
                <w:highlight w:val="none"/>
              </w:rPr>
            </w:pPr>
          </w:p>
        </w:tc>
        <w:tc>
          <w:tcPr>
            <w:tcW w:w="1272" w:type="dxa"/>
            <w:vAlign w:val="top"/>
          </w:tcPr>
          <w:p w14:paraId="5A2A9E35">
            <w:pPr>
              <w:rPr>
                <w:rFonts w:ascii="Arial"/>
                <w:color w:val="auto"/>
                <w:sz w:val="21"/>
                <w:highlight w:val="none"/>
              </w:rPr>
            </w:pPr>
          </w:p>
        </w:tc>
        <w:tc>
          <w:tcPr>
            <w:tcW w:w="1704" w:type="dxa"/>
            <w:vAlign w:val="top"/>
          </w:tcPr>
          <w:p w14:paraId="6E7FDB40">
            <w:pPr>
              <w:rPr>
                <w:rFonts w:ascii="Arial"/>
                <w:color w:val="auto"/>
                <w:sz w:val="21"/>
                <w:highlight w:val="none"/>
              </w:rPr>
            </w:pPr>
          </w:p>
        </w:tc>
        <w:tc>
          <w:tcPr>
            <w:tcW w:w="1282" w:type="dxa"/>
            <w:vAlign w:val="top"/>
          </w:tcPr>
          <w:p w14:paraId="7005CF1D">
            <w:pPr>
              <w:rPr>
                <w:rFonts w:ascii="Arial"/>
                <w:color w:val="auto"/>
                <w:sz w:val="21"/>
                <w:highlight w:val="none"/>
              </w:rPr>
            </w:pPr>
          </w:p>
        </w:tc>
      </w:tr>
      <w:tr w14:paraId="05C4B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71" w:type="dxa"/>
            <w:tcBorders>
              <w:bottom w:val="single" w:color="000000" w:sz="4" w:space="0"/>
            </w:tcBorders>
            <w:vAlign w:val="top"/>
          </w:tcPr>
          <w:p w14:paraId="0DADF91C">
            <w:pPr>
              <w:rPr>
                <w:rFonts w:ascii="Arial"/>
                <w:color w:val="auto"/>
                <w:sz w:val="21"/>
                <w:highlight w:val="none"/>
              </w:rPr>
            </w:pPr>
          </w:p>
        </w:tc>
        <w:tc>
          <w:tcPr>
            <w:tcW w:w="2482" w:type="dxa"/>
            <w:tcBorders>
              <w:bottom w:val="single" w:color="000000" w:sz="4" w:space="0"/>
            </w:tcBorders>
            <w:vAlign w:val="top"/>
          </w:tcPr>
          <w:p w14:paraId="5853EF9B">
            <w:pPr>
              <w:rPr>
                <w:rFonts w:ascii="Arial"/>
                <w:color w:val="auto"/>
                <w:sz w:val="21"/>
                <w:highlight w:val="none"/>
              </w:rPr>
            </w:pPr>
          </w:p>
        </w:tc>
        <w:tc>
          <w:tcPr>
            <w:tcW w:w="988" w:type="dxa"/>
            <w:tcBorders>
              <w:bottom w:val="single" w:color="000000" w:sz="4" w:space="0"/>
            </w:tcBorders>
            <w:vAlign w:val="top"/>
          </w:tcPr>
          <w:p w14:paraId="0CBC9E10">
            <w:pPr>
              <w:rPr>
                <w:rFonts w:ascii="Arial"/>
                <w:color w:val="auto"/>
                <w:sz w:val="21"/>
                <w:highlight w:val="none"/>
              </w:rPr>
            </w:pPr>
          </w:p>
        </w:tc>
        <w:tc>
          <w:tcPr>
            <w:tcW w:w="1138" w:type="dxa"/>
            <w:tcBorders>
              <w:bottom w:val="single" w:color="000000" w:sz="4" w:space="0"/>
            </w:tcBorders>
            <w:vAlign w:val="top"/>
          </w:tcPr>
          <w:p w14:paraId="33E3B45B">
            <w:pPr>
              <w:rPr>
                <w:rFonts w:ascii="Arial"/>
                <w:color w:val="auto"/>
                <w:sz w:val="21"/>
                <w:highlight w:val="none"/>
              </w:rPr>
            </w:pPr>
          </w:p>
        </w:tc>
        <w:tc>
          <w:tcPr>
            <w:tcW w:w="1132" w:type="dxa"/>
            <w:tcBorders>
              <w:bottom w:val="single" w:color="000000" w:sz="4" w:space="0"/>
            </w:tcBorders>
            <w:vAlign w:val="top"/>
          </w:tcPr>
          <w:p w14:paraId="74D00255">
            <w:pPr>
              <w:rPr>
                <w:rFonts w:ascii="Arial"/>
                <w:color w:val="auto"/>
                <w:sz w:val="21"/>
                <w:highlight w:val="none"/>
              </w:rPr>
            </w:pPr>
          </w:p>
        </w:tc>
        <w:tc>
          <w:tcPr>
            <w:tcW w:w="1133" w:type="dxa"/>
            <w:tcBorders>
              <w:bottom w:val="single" w:color="000000" w:sz="4" w:space="0"/>
            </w:tcBorders>
            <w:vAlign w:val="top"/>
          </w:tcPr>
          <w:p w14:paraId="60E86463">
            <w:pPr>
              <w:rPr>
                <w:rFonts w:ascii="Arial"/>
                <w:color w:val="auto"/>
                <w:sz w:val="21"/>
                <w:highlight w:val="none"/>
              </w:rPr>
            </w:pPr>
          </w:p>
        </w:tc>
        <w:tc>
          <w:tcPr>
            <w:tcW w:w="1133" w:type="dxa"/>
            <w:tcBorders>
              <w:bottom w:val="single" w:color="000000" w:sz="4" w:space="0"/>
            </w:tcBorders>
            <w:vAlign w:val="top"/>
          </w:tcPr>
          <w:p w14:paraId="5FE0FBDD">
            <w:pPr>
              <w:rPr>
                <w:rFonts w:ascii="Arial"/>
                <w:color w:val="auto"/>
                <w:sz w:val="21"/>
                <w:highlight w:val="none"/>
              </w:rPr>
            </w:pPr>
          </w:p>
        </w:tc>
        <w:tc>
          <w:tcPr>
            <w:tcW w:w="1137" w:type="dxa"/>
            <w:tcBorders>
              <w:bottom w:val="single" w:color="000000" w:sz="4" w:space="0"/>
            </w:tcBorders>
            <w:vAlign w:val="top"/>
          </w:tcPr>
          <w:p w14:paraId="70B03E36">
            <w:pPr>
              <w:rPr>
                <w:rFonts w:ascii="Arial"/>
                <w:color w:val="auto"/>
                <w:sz w:val="21"/>
                <w:highlight w:val="none"/>
              </w:rPr>
            </w:pPr>
          </w:p>
        </w:tc>
        <w:tc>
          <w:tcPr>
            <w:tcW w:w="1272" w:type="dxa"/>
            <w:tcBorders>
              <w:bottom w:val="single" w:color="000000" w:sz="4" w:space="0"/>
            </w:tcBorders>
            <w:vAlign w:val="top"/>
          </w:tcPr>
          <w:p w14:paraId="24DD2FFC">
            <w:pPr>
              <w:rPr>
                <w:rFonts w:ascii="Arial"/>
                <w:color w:val="auto"/>
                <w:sz w:val="21"/>
                <w:highlight w:val="none"/>
              </w:rPr>
            </w:pPr>
          </w:p>
        </w:tc>
        <w:tc>
          <w:tcPr>
            <w:tcW w:w="1704" w:type="dxa"/>
            <w:tcBorders>
              <w:bottom w:val="single" w:color="000000" w:sz="4" w:space="0"/>
            </w:tcBorders>
            <w:vAlign w:val="top"/>
          </w:tcPr>
          <w:p w14:paraId="6904EDA1">
            <w:pPr>
              <w:rPr>
                <w:rFonts w:ascii="Arial"/>
                <w:color w:val="auto"/>
                <w:sz w:val="21"/>
                <w:highlight w:val="none"/>
              </w:rPr>
            </w:pPr>
          </w:p>
        </w:tc>
        <w:tc>
          <w:tcPr>
            <w:tcW w:w="1282" w:type="dxa"/>
            <w:tcBorders>
              <w:bottom w:val="single" w:color="000000" w:sz="4" w:space="0"/>
            </w:tcBorders>
            <w:vAlign w:val="top"/>
          </w:tcPr>
          <w:p w14:paraId="0291F290">
            <w:pPr>
              <w:rPr>
                <w:rFonts w:ascii="Arial"/>
                <w:color w:val="auto"/>
                <w:sz w:val="21"/>
                <w:highlight w:val="none"/>
              </w:rPr>
            </w:pPr>
          </w:p>
        </w:tc>
      </w:tr>
      <w:tr w14:paraId="192AF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6" w:hRule="atLeast"/>
        </w:trPr>
        <w:tc>
          <w:tcPr>
            <w:tcW w:w="671" w:type="dxa"/>
            <w:tcBorders>
              <w:top w:val="single" w:color="000000" w:sz="4" w:space="0"/>
            </w:tcBorders>
            <w:vAlign w:val="top"/>
          </w:tcPr>
          <w:p w14:paraId="3413088F">
            <w:pPr>
              <w:rPr>
                <w:rFonts w:ascii="Arial"/>
                <w:color w:val="auto"/>
                <w:sz w:val="21"/>
                <w:highlight w:val="none"/>
              </w:rPr>
            </w:pPr>
          </w:p>
        </w:tc>
        <w:tc>
          <w:tcPr>
            <w:tcW w:w="2482" w:type="dxa"/>
            <w:tcBorders>
              <w:top w:val="single" w:color="000000" w:sz="4" w:space="0"/>
            </w:tcBorders>
            <w:vAlign w:val="top"/>
          </w:tcPr>
          <w:p w14:paraId="49A2773C">
            <w:pPr>
              <w:rPr>
                <w:rFonts w:ascii="Arial"/>
                <w:color w:val="auto"/>
                <w:sz w:val="21"/>
                <w:highlight w:val="none"/>
              </w:rPr>
            </w:pPr>
          </w:p>
        </w:tc>
        <w:tc>
          <w:tcPr>
            <w:tcW w:w="988" w:type="dxa"/>
            <w:tcBorders>
              <w:top w:val="single" w:color="000000" w:sz="4" w:space="0"/>
            </w:tcBorders>
            <w:vAlign w:val="top"/>
          </w:tcPr>
          <w:p w14:paraId="400A6D5B">
            <w:pPr>
              <w:rPr>
                <w:rFonts w:ascii="Arial"/>
                <w:color w:val="auto"/>
                <w:sz w:val="21"/>
                <w:highlight w:val="none"/>
              </w:rPr>
            </w:pPr>
          </w:p>
        </w:tc>
        <w:tc>
          <w:tcPr>
            <w:tcW w:w="1138" w:type="dxa"/>
            <w:tcBorders>
              <w:top w:val="single" w:color="000000" w:sz="4" w:space="0"/>
            </w:tcBorders>
            <w:vAlign w:val="top"/>
          </w:tcPr>
          <w:p w14:paraId="031A7C77">
            <w:pPr>
              <w:rPr>
                <w:rFonts w:ascii="Arial"/>
                <w:color w:val="auto"/>
                <w:sz w:val="21"/>
                <w:highlight w:val="none"/>
              </w:rPr>
            </w:pPr>
          </w:p>
        </w:tc>
        <w:tc>
          <w:tcPr>
            <w:tcW w:w="1132" w:type="dxa"/>
            <w:tcBorders>
              <w:top w:val="single" w:color="000000" w:sz="4" w:space="0"/>
            </w:tcBorders>
            <w:vAlign w:val="top"/>
          </w:tcPr>
          <w:p w14:paraId="42D47B10">
            <w:pPr>
              <w:rPr>
                <w:rFonts w:ascii="Arial"/>
                <w:color w:val="auto"/>
                <w:sz w:val="21"/>
                <w:highlight w:val="none"/>
              </w:rPr>
            </w:pPr>
          </w:p>
        </w:tc>
        <w:tc>
          <w:tcPr>
            <w:tcW w:w="1133" w:type="dxa"/>
            <w:tcBorders>
              <w:top w:val="single" w:color="000000" w:sz="4" w:space="0"/>
            </w:tcBorders>
            <w:vAlign w:val="top"/>
          </w:tcPr>
          <w:p w14:paraId="6A6E2203">
            <w:pPr>
              <w:rPr>
                <w:rFonts w:ascii="Arial"/>
                <w:color w:val="auto"/>
                <w:sz w:val="21"/>
                <w:highlight w:val="none"/>
              </w:rPr>
            </w:pPr>
          </w:p>
        </w:tc>
        <w:tc>
          <w:tcPr>
            <w:tcW w:w="1133" w:type="dxa"/>
            <w:tcBorders>
              <w:top w:val="single" w:color="000000" w:sz="4" w:space="0"/>
            </w:tcBorders>
            <w:vAlign w:val="top"/>
          </w:tcPr>
          <w:p w14:paraId="2D7C041E">
            <w:pPr>
              <w:rPr>
                <w:rFonts w:ascii="Arial"/>
                <w:color w:val="auto"/>
                <w:sz w:val="21"/>
                <w:highlight w:val="none"/>
              </w:rPr>
            </w:pPr>
          </w:p>
        </w:tc>
        <w:tc>
          <w:tcPr>
            <w:tcW w:w="1137" w:type="dxa"/>
            <w:tcBorders>
              <w:top w:val="single" w:color="000000" w:sz="4" w:space="0"/>
            </w:tcBorders>
            <w:vAlign w:val="top"/>
          </w:tcPr>
          <w:p w14:paraId="1E9B9B76">
            <w:pPr>
              <w:rPr>
                <w:rFonts w:ascii="Arial"/>
                <w:color w:val="auto"/>
                <w:sz w:val="21"/>
                <w:highlight w:val="none"/>
              </w:rPr>
            </w:pPr>
          </w:p>
        </w:tc>
        <w:tc>
          <w:tcPr>
            <w:tcW w:w="1272" w:type="dxa"/>
            <w:tcBorders>
              <w:top w:val="single" w:color="000000" w:sz="4" w:space="0"/>
            </w:tcBorders>
            <w:vAlign w:val="top"/>
          </w:tcPr>
          <w:p w14:paraId="5BE457FD">
            <w:pPr>
              <w:rPr>
                <w:rFonts w:ascii="Arial"/>
                <w:color w:val="auto"/>
                <w:sz w:val="21"/>
                <w:highlight w:val="none"/>
              </w:rPr>
            </w:pPr>
          </w:p>
        </w:tc>
        <w:tc>
          <w:tcPr>
            <w:tcW w:w="1704" w:type="dxa"/>
            <w:tcBorders>
              <w:top w:val="single" w:color="000000" w:sz="4" w:space="0"/>
            </w:tcBorders>
            <w:vAlign w:val="top"/>
          </w:tcPr>
          <w:p w14:paraId="71E20974">
            <w:pPr>
              <w:rPr>
                <w:rFonts w:ascii="Arial"/>
                <w:color w:val="auto"/>
                <w:sz w:val="21"/>
                <w:highlight w:val="none"/>
              </w:rPr>
            </w:pPr>
          </w:p>
        </w:tc>
        <w:tc>
          <w:tcPr>
            <w:tcW w:w="1282" w:type="dxa"/>
            <w:tcBorders>
              <w:top w:val="single" w:color="000000" w:sz="4" w:space="0"/>
            </w:tcBorders>
            <w:vAlign w:val="top"/>
          </w:tcPr>
          <w:p w14:paraId="6AAEB61D">
            <w:pPr>
              <w:rPr>
                <w:rFonts w:ascii="Arial"/>
                <w:color w:val="auto"/>
                <w:sz w:val="21"/>
                <w:highlight w:val="none"/>
              </w:rPr>
            </w:pPr>
          </w:p>
        </w:tc>
      </w:tr>
      <w:tr w14:paraId="21945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71" w:type="dxa"/>
            <w:vAlign w:val="top"/>
          </w:tcPr>
          <w:p w14:paraId="0B63C843">
            <w:pPr>
              <w:rPr>
                <w:rFonts w:ascii="Arial"/>
                <w:color w:val="auto"/>
                <w:sz w:val="21"/>
                <w:highlight w:val="none"/>
              </w:rPr>
            </w:pPr>
          </w:p>
        </w:tc>
        <w:tc>
          <w:tcPr>
            <w:tcW w:w="2482" w:type="dxa"/>
            <w:vAlign w:val="top"/>
          </w:tcPr>
          <w:p w14:paraId="702E99E3">
            <w:pPr>
              <w:rPr>
                <w:rFonts w:ascii="Arial"/>
                <w:color w:val="auto"/>
                <w:sz w:val="21"/>
                <w:highlight w:val="none"/>
              </w:rPr>
            </w:pPr>
          </w:p>
        </w:tc>
        <w:tc>
          <w:tcPr>
            <w:tcW w:w="988" w:type="dxa"/>
            <w:vAlign w:val="top"/>
          </w:tcPr>
          <w:p w14:paraId="777BEC70">
            <w:pPr>
              <w:rPr>
                <w:rFonts w:ascii="Arial"/>
                <w:color w:val="auto"/>
                <w:sz w:val="21"/>
                <w:highlight w:val="none"/>
              </w:rPr>
            </w:pPr>
          </w:p>
        </w:tc>
        <w:tc>
          <w:tcPr>
            <w:tcW w:w="1138" w:type="dxa"/>
            <w:vAlign w:val="top"/>
          </w:tcPr>
          <w:p w14:paraId="43437ACE">
            <w:pPr>
              <w:rPr>
                <w:rFonts w:ascii="Arial"/>
                <w:color w:val="auto"/>
                <w:sz w:val="21"/>
                <w:highlight w:val="none"/>
              </w:rPr>
            </w:pPr>
          </w:p>
        </w:tc>
        <w:tc>
          <w:tcPr>
            <w:tcW w:w="1132" w:type="dxa"/>
            <w:vAlign w:val="top"/>
          </w:tcPr>
          <w:p w14:paraId="1F8DC7A8">
            <w:pPr>
              <w:rPr>
                <w:rFonts w:ascii="Arial"/>
                <w:color w:val="auto"/>
                <w:sz w:val="21"/>
                <w:highlight w:val="none"/>
              </w:rPr>
            </w:pPr>
          </w:p>
        </w:tc>
        <w:tc>
          <w:tcPr>
            <w:tcW w:w="1133" w:type="dxa"/>
            <w:vAlign w:val="top"/>
          </w:tcPr>
          <w:p w14:paraId="41D0AB18">
            <w:pPr>
              <w:rPr>
                <w:rFonts w:ascii="Arial"/>
                <w:color w:val="auto"/>
                <w:sz w:val="21"/>
                <w:highlight w:val="none"/>
              </w:rPr>
            </w:pPr>
          </w:p>
        </w:tc>
        <w:tc>
          <w:tcPr>
            <w:tcW w:w="1133" w:type="dxa"/>
            <w:vAlign w:val="top"/>
          </w:tcPr>
          <w:p w14:paraId="1492E300">
            <w:pPr>
              <w:rPr>
                <w:rFonts w:ascii="Arial"/>
                <w:color w:val="auto"/>
                <w:sz w:val="21"/>
                <w:highlight w:val="none"/>
              </w:rPr>
            </w:pPr>
          </w:p>
        </w:tc>
        <w:tc>
          <w:tcPr>
            <w:tcW w:w="1137" w:type="dxa"/>
            <w:vAlign w:val="top"/>
          </w:tcPr>
          <w:p w14:paraId="77289BF0">
            <w:pPr>
              <w:rPr>
                <w:rFonts w:ascii="Arial"/>
                <w:color w:val="auto"/>
                <w:sz w:val="21"/>
                <w:highlight w:val="none"/>
              </w:rPr>
            </w:pPr>
          </w:p>
        </w:tc>
        <w:tc>
          <w:tcPr>
            <w:tcW w:w="1272" w:type="dxa"/>
            <w:vAlign w:val="top"/>
          </w:tcPr>
          <w:p w14:paraId="4AED7CA8">
            <w:pPr>
              <w:rPr>
                <w:rFonts w:ascii="Arial"/>
                <w:color w:val="auto"/>
                <w:sz w:val="21"/>
                <w:highlight w:val="none"/>
              </w:rPr>
            </w:pPr>
          </w:p>
        </w:tc>
        <w:tc>
          <w:tcPr>
            <w:tcW w:w="1704" w:type="dxa"/>
            <w:vAlign w:val="top"/>
          </w:tcPr>
          <w:p w14:paraId="329AF43C">
            <w:pPr>
              <w:rPr>
                <w:rFonts w:ascii="Arial"/>
                <w:color w:val="auto"/>
                <w:sz w:val="21"/>
                <w:highlight w:val="none"/>
              </w:rPr>
            </w:pPr>
          </w:p>
        </w:tc>
        <w:tc>
          <w:tcPr>
            <w:tcW w:w="1282" w:type="dxa"/>
            <w:vAlign w:val="top"/>
          </w:tcPr>
          <w:p w14:paraId="7F21DED2">
            <w:pPr>
              <w:rPr>
                <w:rFonts w:ascii="Arial"/>
                <w:color w:val="auto"/>
                <w:sz w:val="21"/>
                <w:highlight w:val="none"/>
              </w:rPr>
            </w:pPr>
          </w:p>
        </w:tc>
      </w:tr>
      <w:tr w14:paraId="749EA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671" w:type="dxa"/>
            <w:vAlign w:val="top"/>
          </w:tcPr>
          <w:p w14:paraId="147DE65D">
            <w:pPr>
              <w:rPr>
                <w:rFonts w:ascii="Arial"/>
                <w:color w:val="auto"/>
                <w:sz w:val="21"/>
                <w:highlight w:val="none"/>
              </w:rPr>
            </w:pPr>
          </w:p>
        </w:tc>
        <w:tc>
          <w:tcPr>
            <w:tcW w:w="2482" w:type="dxa"/>
            <w:vAlign w:val="top"/>
          </w:tcPr>
          <w:p w14:paraId="2DC4F866">
            <w:pPr>
              <w:rPr>
                <w:rFonts w:ascii="Arial"/>
                <w:color w:val="auto"/>
                <w:sz w:val="21"/>
                <w:highlight w:val="none"/>
              </w:rPr>
            </w:pPr>
          </w:p>
        </w:tc>
        <w:tc>
          <w:tcPr>
            <w:tcW w:w="988" w:type="dxa"/>
            <w:vAlign w:val="top"/>
          </w:tcPr>
          <w:p w14:paraId="65E3B1B4">
            <w:pPr>
              <w:rPr>
                <w:rFonts w:ascii="Arial"/>
                <w:color w:val="auto"/>
                <w:sz w:val="21"/>
                <w:highlight w:val="none"/>
              </w:rPr>
            </w:pPr>
          </w:p>
        </w:tc>
        <w:tc>
          <w:tcPr>
            <w:tcW w:w="1138" w:type="dxa"/>
            <w:vAlign w:val="top"/>
          </w:tcPr>
          <w:p w14:paraId="4C82AF5A">
            <w:pPr>
              <w:rPr>
                <w:rFonts w:ascii="Arial"/>
                <w:color w:val="auto"/>
                <w:sz w:val="21"/>
                <w:highlight w:val="none"/>
              </w:rPr>
            </w:pPr>
          </w:p>
        </w:tc>
        <w:tc>
          <w:tcPr>
            <w:tcW w:w="1132" w:type="dxa"/>
            <w:vAlign w:val="top"/>
          </w:tcPr>
          <w:p w14:paraId="4A880856">
            <w:pPr>
              <w:rPr>
                <w:rFonts w:ascii="Arial"/>
                <w:color w:val="auto"/>
                <w:sz w:val="21"/>
                <w:highlight w:val="none"/>
              </w:rPr>
            </w:pPr>
          </w:p>
        </w:tc>
        <w:tc>
          <w:tcPr>
            <w:tcW w:w="1133" w:type="dxa"/>
            <w:vAlign w:val="top"/>
          </w:tcPr>
          <w:p w14:paraId="075CD3E2">
            <w:pPr>
              <w:rPr>
                <w:rFonts w:ascii="Arial"/>
                <w:color w:val="auto"/>
                <w:sz w:val="21"/>
                <w:highlight w:val="none"/>
              </w:rPr>
            </w:pPr>
          </w:p>
        </w:tc>
        <w:tc>
          <w:tcPr>
            <w:tcW w:w="1133" w:type="dxa"/>
            <w:vAlign w:val="top"/>
          </w:tcPr>
          <w:p w14:paraId="56C52835">
            <w:pPr>
              <w:rPr>
                <w:rFonts w:ascii="Arial"/>
                <w:color w:val="auto"/>
                <w:sz w:val="21"/>
                <w:highlight w:val="none"/>
              </w:rPr>
            </w:pPr>
          </w:p>
        </w:tc>
        <w:tc>
          <w:tcPr>
            <w:tcW w:w="1137" w:type="dxa"/>
            <w:vAlign w:val="top"/>
          </w:tcPr>
          <w:p w14:paraId="0C1E86D1">
            <w:pPr>
              <w:rPr>
                <w:rFonts w:ascii="Arial"/>
                <w:color w:val="auto"/>
                <w:sz w:val="21"/>
                <w:highlight w:val="none"/>
              </w:rPr>
            </w:pPr>
          </w:p>
        </w:tc>
        <w:tc>
          <w:tcPr>
            <w:tcW w:w="1272" w:type="dxa"/>
            <w:vAlign w:val="top"/>
          </w:tcPr>
          <w:p w14:paraId="4F21858B">
            <w:pPr>
              <w:rPr>
                <w:rFonts w:ascii="Arial"/>
                <w:color w:val="auto"/>
                <w:sz w:val="21"/>
                <w:highlight w:val="none"/>
              </w:rPr>
            </w:pPr>
          </w:p>
        </w:tc>
        <w:tc>
          <w:tcPr>
            <w:tcW w:w="1704" w:type="dxa"/>
            <w:vAlign w:val="top"/>
          </w:tcPr>
          <w:p w14:paraId="44E9C595">
            <w:pPr>
              <w:rPr>
                <w:rFonts w:ascii="Arial"/>
                <w:color w:val="auto"/>
                <w:sz w:val="21"/>
                <w:highlight w:val="none"/>
              </w:rPr>
            </w:pPr>
          </w:p>
        </w:tc>
        <w:tc>
          <w:tcPr>
            <w:tcW w:w="1282" w:type="dxa"/>
            <w:vAlign w:val="top"/>
          </w:tcPr>
          <w:p w14:paraId="7A76E22F">
            <w:pPr>
              <w:rPr>
                <w:rFonts w:ascii="Arial"/>
                <w:color w:val="auto"/>
                <w:sz w:val="21"/>
                <w:highlight w:val="none"/>
              </w:rPr>
            </w:pPr>
          </w:p>
        </w:tc>
      </w:tr>
      <w:tr w14:paraId="19805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3153" w:type="dxa"/>
            <w:gridSpan w:val="2"/>
            <w:vAlign w:val="top"/>
          </w:tcPr>
          <w:p w14:paraId="0A904181">
            <w:pPr>
              <w:pStyle w:val="11"/>
              <w:spacing w:before="159" w:line="219" w:lineRule="auto"/>
              <w:ind w:left="639"/>
              <w:rPr>
                <w:color w:val="auto"/>
                <w:highlight w:val="none"/>
              </w:rPr>
            </w:pPr>
            <w:r>
              <w:rPr>
                <w:color w:val="auto"/>
                <w:spacing w:val="-2"/>
                <w:highlight w:val="none"/>
              </w:rPr>
              <w:t>最高投标限价（元）</w:t>
            </w:r>
          </w:p>
        </w:tc>
        <w:tc>
          <w:tcPr>
            <w:tcW w:w="10919" w:type="dxa"/>
            <w:gridSpan w:val="9"/>
            <w:vAlign w:val="top"/>
          </w:tcPr>
          <w:p w14:paraId="4BAC59DC">
            <w:pPr>
              <w:rPr>
                <w:rFonts w:ascii="Arial"/>
                <w:color w:val="auto"/>
                <w:sz w:val="21"/>
                <w:highlight w:val="none"/>
              </w:rPr>
            </w:pPr>
          </w:p>
        </w:tc>
      </w:tr>
      <w:tr w14:paraId="3E13D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3153" w:type="dxa"/>
            <w:gridSpan w:val="2"/>
            <w:vAlign w:val="top"/>
          </w:tcPr>
          <w:p w14:paraId="4D2C21F2">
            <w:pPr>
              <w:pStyle w:val="11"/>
              <w:spacing w:before="160" w:line="221" w:lineRule="auto"/>
              <w:ind w:left="320"/>
              <w:rPr>
                <w:color w:val="auto"/>
                <w:highlight w:val="none"/>
              </w:rPr>
            </w:pPr>
            <w:r>
              <w:rPr>
                <w:color w:val="auto"/>
                <w:spacing w:val="-1"/>
                <w:highlight w:val="none"/>
              </w:rPr>
              <w:t>开标过程需记录的其他事项</w:t>
            </w:r>
          </w:p>
        </w:tc>
        <w:tc>
          <w:tcPr>
            <w:tcW w:w="10919" w:type="dxa"/>
            <w:gridSpan w:val="9"/>
            <w:vAlign w:val="top"/>
          </w:tcPr>
          <w:p w14:paraId="323AD038">
            <w:pPr>
              <w:rPr>
                <w:rFonts w:ascii="Arial"/>
                <w:color w:val="auto"/>
                <w:sz w:val="21"/>
                <w:highlight w:val="none"/>
              </w:rPr>
            </w:pPr>
          </w:p>
        </w:tc>
      </w:tr>
    </w:tbl>
    <w:p w14:paraId="7FF3DDD8">
      <w:pPr>
        <w:spacing w:before="140" w:line="221" w:lineRule="auto"/>
        <w:ind w:left="7365"/>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主持人：</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5"/>
          <w:sz w:val="21"/>
          <w:szCs w:val="21"/>
          <w:highlight w:val="none"/>
        </w:rPr>
        <w:t xml:space="preserve"> </w:t>
      </w:r>
      <w:r>
        <w:rPr>
          <w:rFonts w:ascii="宋体" w:hAnsi="宋体" w:eastAsia="宋体" w:cs="宋体"/>
          <w:color w:val="auto"/>
          <w:spacing w:val="-6"/>
          <w:sz w:val="21"/>
          <w:szCs w:val="21"/>
          <w:highlight w:val="none"/>
        </w:rPr>
        <w:t xml:space="preserve">招标人代表： </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96"/>
          <w:sz w:val="21"/>
          <w:szCs w:val="21"/>
          <w:highlight w:val="none"/>
        </w:rPr>
        <w:t xml:space="preserve"> </w:t>
      </w:r>
      <w:r>
        <w:rPr>
          <w:rFonts w:ascii="宋体" w:hAnsi="宋体" w:eastAsia="宋体" w:cs="宋体"/>
          <w:color w:val="auto"/>
          <w:spacing w:val="-6"/>
          <w:sz w:val="21"/>
          <w:szCs w:val="21"/>
          <w:highlight w:val="none"/>
        </w:rPr>
        <w:t>监标</w:t>
      </w:r>
      <w:r>
        <w:rPr>
          <w:rFonts w:ascii="宋体" w:hAnsi="宋体" w:eastAsia="宋体" w:cs="宋体"/>
          <w:color w:val="auto"/>
          <w:spacing w:val="-7"/>
          <w:sz w:val="21"/>
          <w:szCs w:val="21"/>
          <w:highlight w:val="none"/>
        </w:rPr>
        <w:t>人：</w:t>
      </w:r>
      <w:r>
        <w:rPr>
          <w:rFonts w:ascii="宋体" w:hAnsi="宋体" w:eastAsia="宋体" w:cs="宋体"/>
          <w:color w:val="auto"/>
          <w:spacing w:val="-7"/>
          <w:sz w:val="21"/>
          <w:szCs w:val="21"/>
          <w:highlight w:val="none"/>
          <w:u w:val="single" w:color="auto"/>
        </w:rPr>
        <w:t xml:space="preserve">                 </w:t>
      </w:r>
    </w:p>
    <w:p w14:paraId="36EE425F">
      <w:pPr>
        <w:spacing w:line="221" w:lineRule="auto"/>
        <w:rPr>
          <w:rFonts w:ascii="宋体" w:hAnsi="宋体" w:eastAsia="宋体" w:cs="宋体"/>
          <w:color w:val="auto"/>
          <w:sz w:val="21"/>
          <w:szCs w:val="21"/>
          <w:highlight w:val="none"/>
        </w:rPr>
        <w:sectPr>
          <w:footerReference r:id="rId36" w:type="default"/>
          <w:pgSz w:w="16839" w:h="11905"/>
          <w:pgMar w:top="1011" w:right="1320" w:bottom="1034" w:left="1440" w:header="0" w:footer="832" w:gutter="0"/>
          <w:pgNumType w:fmt="decimal"/>
          <w:cols w:space="720" w:num="1"/>
        </w:sectPr>
      </w:pPr>
    </w:p>
    <w:p w14:paraId="21D104F9">
      <w:pPr>
        <w:spacing w:before="306" w:line="219" w:lineRule="auto"/>
        <w:ind w:left="3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附表六：投标文件问题澄清通知</w:t>
      </w:r>
    </w:p>
    <w:p w14:paraId="7AD69857">
      <w:pPr>
        <w:pStyle w:val="3"/>
        <w:spacing w:line="315" w:lineRule="auto"/>
        <w:rPr>
          <w:color w:val="auto"/>
          <w:highlight w:val="none"/>
        </w:rPr>
      </w:pPr>
    </w:p>
    <w:p w14:paraId="6F32E223">
      <w:pPr>
        <w:pStyle w:val="3"/>
        <w:spacing w:line="316" w:lineRule="auto"/>
        <w:rPr>
          <w:color w:val="auto"/>
          <w:highlight w:val="none"/>
        </w:rPr>
      </w:pPr>
    </w:p>
    <w:p w14:paraId="06118423">
      <w:pPr>
        <w:pStyle w:val="3"/>
        <w:spacing w:line="316" w:lineRule="auto"/>
        <w:rPr>
          <w:color w:val="auto"/>
          <w:highlight w:val="none"/>
        </w:rPr>
      </w:pPr>
    </w:p>
    <w:p w14:paraId="7261CC7B">
      <w:pPr>
        <w:spacing w:before="88" w:line="225" w:lineRule="auto"/>
        <w:ind w:left="2775"/>
        <w:rPr>
          <w:rFonts w:ascii="黑体" w:hAnsi="黑体" w:eastAsia="黑体" w:cs="黑体"/>
          <w:color w:val="auto"/>
          <w:sz w:val="27"/>
          <w:szCs w:val="27"/>
          <w:highlight w:val="none"/>
        </w:rPr>
      </w:pPr>
      <w:r>
        <w:rPr>
          <w:rFonts w:ascii="黑体" w:hAnsi="黑体" w:eastAsia="黑体" w:cs="黑体"/>
          <w:color w:val="auto"/>
          <w:spacing w:val="8"/>
          <w:sz w:val="27"/>
          <w:szCs w:val="27"/>
          <w:highlight w:val="none"/>
        </w:rPr>
        <w:t>投标文件问题澄清通知</w:t>
      </w:r>
    </w:p>
    <w:p w14:paraId="0533D2CF">
      <w:pPr>
        <w:pStyle w:val="3"/>
        <w:spacing w:line="297" w:lineRule="auto"/>
        <w:rPr>
          <w:color w:val="auto"/>
          <w:highlight w:val="none"/>
        </w:rPr>
      </w:pPr>
    </w:p>
    <w:p w14:paraId="16A57D4E">
      <w:pPr>
        <w:spacing w:before="68" w:line="221" w:lineRule="auto"/>
        <w:ind w:left="5379"/>
        <w:rPr>
          <w:rFonts w:ascii="宋体" w:hAnsi="宋体" w:eastAsia="宋体" w:cs="宋体"/>
          <w:color w:val="auto"/>
          <w:sz w:val="21"/>
          <w:szCs w:val="21"/>
          <w:highlight w:val="none"/>
        </w:rPr>
      </w:pPr>
      <w:r>
        <w:rPr>
          <w:rFonts w:ascii="宋体" w:hAnsi="宋体" w:eastAsia="宋体" w:cs="宋体"/>
          <w:color w:val="auto"/>
          <w:spacing w:val="-32"/>
          <w:w w:val="98"/>
          <w:sz w:val="21"/>
          <w:szCs w:val="21"/>
          <w:highlight w:val="none"/>
        </w:rPr>
        <w:t>编号：</w:t>
      </w:r>
      <w:r>
        <w:rPr>
          <w:rFonts w:ascii="宋体" w:hAnsi="宋体" w:eastAsia="宋体" w:cs="宋体"/>
          <w:color w:val="auto"/>
          <w:spacing w:val="-4"/>
          <w:sz w:val="21"/>
          <w:szCs w:val="21"/>
          <w:highlight w:val="none"/>
        </w:rPr>
        <w:t xml:space="preserve"> </w:t>
      </w:r>
      <w:r>
        <w:rPr>
          <w:rFonts w:ascii="宋体" w:hAnsi="宋体" w:eastAsia="宋体" w:cs="宋体"/>
          <w:color w:val="auto"/>
          <w:sz w:val="21"/>
          <w:szCs w:val="21"/>
          <w:highlight w:val="none"/>
          <w:u w:val="single" w:color="auto"/>
        </w:rPr>
        <w:t xml:space="preserve">         </w:t>
      </w:r>
    </w:p>
    <w:p w14:paraId="4F352B8F">
      <w:pPr>
        <w:tabs>
          <w:tab w:val="left" w:pos="1901"/>
        </w:tabs>
        <w:spacing w:before="215" w:line="221" w:lineRule="auto"/>
        <w:ind w:left="1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15"/>
          <w:sz w:val="21"/>
          <w:szCs w:val="21"/>
          <w:highlight w:val="none"/>
        </w:rPr>
        <w:t xml:space="preserve"> </w:t>
      </w:r>
      <w:r>
        <w:rPr>
          <w:rFonts w:ascii="宋体" w:hAnsi="宋体" w:eastAsia="宋体" w:cs="宋体"/>
          <w:color w:val="auto"/>
          <w:spacing w:val="-23"/>
          <w:w w:val="95"/>
          <w:sz w:val="21"/>
          <w:szCs w:val="21"/>
          <w:highlight w:val="none"/>
        </w:rPr>
        <w:t>（投标人名称</w:t>
      </w:r>
      <w:r>
        <w:rPr>
          <w:rFonts w:ascii="宋体" w:hAnsi="宋体" w:eastAsia="宋体" w:cs="宋体"/>
          <w:color w:val="auto"/>
          <w:spacing w:val="-18"/>
          <w:sz w:val="21"/>
          <w:szCs w:val="21"/>
          <w:highlight w:val="none"/>
        </w:rPr>
        <w:t>）：</w:t>
      </w:r>
    </w:p>
    <w:p w14:paraId="515F8106">
      <w:pPr>
        <w:pStyle w:val="3"/>
        <w:spacing w:line="318" w:lineRule="auto"/>
        <w:rPr>
          <w:color w:val="auto"/>
          <w:highlight w:val="none"/>
        </w:rPr>
      </w:pPr>
    </w:p>
    <w:p w14:paraId="09C7AF94">
      <w:pPr>
        <w:pStyle w:val="3"/>
        <w:spacing w:line="318" w:lineRule="auto"/>
        <w:rPr>
          <w:color w:val="auto"/>
          <w:highlight w:val="none"/>
        </w:rPr>
      </w:pPr>
    </w:p>
    <w:p w14:paraId="1E4D5706">
      <w:pPr>
        <w:tabs>
          <w:tab w:val="left" w:pos="1378"/>
        </w:tabs>
        <w:spacing w:before="68" w:line="422" w:lineRule="auto"/>
        <w:ind w:left="23" w:firstLine="510"/>
        <w:jc w:val="both"/>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6"/>
          <w:sz w:val="21"/>
          <w:szCs w:val="21"/>
          <w:highlight w:val="none"/>
        </w:rPr>
        <w:t>（标段名称）项目（标段唯一标识码</w:t>
      </w:r>
      <w:r>
        <w:rPr>
          <w:rFonts w:ascii="宋体" w:hAnsi="宋体" w:eastAsia="宋体" w:cs="宋体"/>
          <w:color w:val="auto"/>
          <w:spacing w:val="1"/>
          <w:sz w:val="21"/>
          <w:szCs w:val="21"/>
          <w:highlight w:val="none"/>
        </w:rPr>
        <w:t>：</w:t>
      </w:r>
      <w:r>
        <w:rPr>
          <w:rFonts w:ascii="宋体" w:hAnsi="宋体" w:eastAsia="宋体" w:cs="宋体"/>
          <w:color w:val="auto"/>
          <w:spacing w:val="8"/>
          <w:sz w:val="21"/>
          <w:szCs w:val="21"/>
          <w:highlight w:val="none"/>
        </w:rPr>
        <w:t xml:space="preserve"> </w:t>
      </w:r>
      <w:r>
        <w:rPr>
          <w:rFonts w:ascii="宋体" w:hAnsi="宋体" w:eastAsia="宋体" w:cs="宋体"/>
          <w:color w:val="auto"/>
          <w:spacing w:val="11"/>
          <w:sz w:val="21"/>
          <w:szCs w:val="21"/>
          <w:highlight w:val="none"/>
          <w:u w:val="single" w:color="auto"/>
        </w:rPr>
        <w:t xml:space="preserve">     </w:t>
      </w:r>
      <w:r>
        <w:rPr>
          <w:rFonts w:ascii="宋体" w:hAnsi="宋体" w:eastAsia="宋体" w:cs="宋体"/>
          <w:color w:val="auto"/>
          <w:spacing w:val="-6"/>
          <w:sz w:val="21"/>
          <w:szCs w:val="21"/>
          <w:highlight w:val="none"/>
        </w:rPr>
        <w:t xml:space="preserve"> </w:t>
      </w:r>
      <w:r>
        <w:rPr>
          <w:rFonts w:ascii="宋体" w:hAnsi="宋体" w:eastAsia="宋体" w:cs="宋体"/>
          <w:color w:val="auto"/>
          <w:spacing w:val="1"/>
          <w:sz w:val="21"/>
          <w:szCs w:val="21"/>
          <w:highlight w:val="none"/>
        </w:rPr>
        <w:t>）</w:t>
      </w:r>
      <w:r>
        <w:rPr>
          <w:rFonts w:ascii="宋体" w:hAnsi="宋体" w:eastAsia="宋体" w:cs="宋体"/>
          <w:color w:val="auto"/>
          <w:spacing w:val="-6"/>
          <w:sz w:val="21"/>
          <w:szCs w:val="21"/>
          <w:highlight w:val="none"/>
        </w:rPr>
        <w:t xml:space="preserve">招标的评标委员会，对你方  </w:t>
      </w:r>
      <w:r>
        <w:rPr>
          <w:rFonts w:ascii="宋体" w:hAnsi="宋体" w:eastAsia="宋体" w:cs="宋体"/>
          <w:color w:val="auto"/>
          <w:spacing w:val="2"/>
          <w:sz w:val="21"/>
          <w:szCs w:val="21"/>
          <w:highlight w:val="none"/>
        </w:rPr>
        <w:t>的投标文件进行了仔细的审查，现需你方对下</w:t>
      </w:r>
      <w:r>
        <w:rPr>
          <w:rFonts w:ascii="宋体" w:hAnsi="宋体" w:eastAsia="宋体" w:cs="宋体"/>
          <w:color w:val="auto"/>
          <w:spacing w:val="1"/>
          <w:sz w:val="21"/>
          <w:szCs w:val="21"/>
          <w:highlight w:val="none"/>
        </w:rPr>
        <w:t>列问题以书面形式予以澄清、说明或者补正，</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并将投标文件的澄清、说明或者补正于</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80"/>
          <w:sz w:val="21"/>
          <w:szCs w:val="21"/>
          <w:highlight w:val="none"/>
        </w:rPr>
        <w:t xml:space="preserve"> </w:t>
      </w:r>
      <w:r>
        <w:rPr>
          <w:rFonts w:ascii="宋体" w:hAnsi="宋体" w:eastAsia="宋体" w:cs="宋体"/>
          <w:color w:val="auto"/>
          <w:spacing w:val="-2"/>
          <w:sz w:val="21"/>
          <w:szCs w:val="21"/>
          <w:highlight w:val="none"/>
        </w:rPr>
        <w:t>年</w:t>
      </w:r>
      <w:r>
        <w:rPr>
          <w:rFonts w:ascii="宋体" w:hAnsi="宋体" w:eastAsia="宋体" w:cs="宋体"/>
          <w:color w:val="auto"/>
          <w:spacing w:val="15"/>
          <w:sz w:val="21"/>
          <w:szCs w:val="21"/>
          <w:highlight w:val="none"/>
          <w:u w:val="single" w:color="auto"/>
        </w:rPr>
        <w:t xml:space="preserve">   </w:t>
      </w:r>
      <w:r>
        <w:rPr>
          <w:rFonts w:ascii="宋体" w:hAnsi="宋体" w:eastAsia="宋体" w:cs="宋体"/>
          <w:color w:val="auto"/>
          <w:spacing w:val="-92"/>
          <w:sz w:val="21"/>
          <w:szCs w:val="21"/>
          <w:highlight w:val="none"/>
        </w:rPr>
        <w:t xml:space="preserve"> </w:t>
      </w:r>
      <w:r>
        <w:rPr>
          <w:rFonts w:ascii="宋体" w:hAnsi="宋体" w:eastAsia="宋体" w:cs="宋体"/>
          <w:color w:val="auto"/>
          <w:spacing w:val="-2"/>
          <w:sz w:val="21"/>
          <w:szCs w:val="21"/>
          <w:highlight w:val="none"/>
        </w:rPr>
        <w:t>月</w:t>
      </w:r>
      <w:r>
        <w:rPr>
          <w:rFonts w:ascii="宋体" w:hAnsi="宋体" w:eastAsia="宋体" w:cs="宋体"/>
          <w:color w:val="auto"/>
          <w:spacing w:val="15"/>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2"/>
          <w:sz w:val="21"/>
          <w:szCs w:val="21"/>
          <w:highlight w:val="none"/>
        </w:rPr>
        <w:t>日</w:t>
      </w:r>
      <w:r>
        <w:rPr>
          <w:rFonts w:ascii="宋体" w:hAnsi="宋体" w:eastAsia="宋体" w:cs="宋体"/>
          <w:color w:val="auto"/>
          <w:spacing w:val="62"/>
          <w:sz w:val="21"/>
          <w:szCs w:val="21"/>
          <w:highlight w:val="none"/>
          <w:u w:val="single" w:color="auto"/>
        </w:rPr>
        <w:t xml:space="preserve"> </w:t>
      </w:r>
      <w:r>
        <w:rPr>
          <w:rFonts w:ascii="宋体" w:hAnsi="宋体" w:eastAsia="宋体" w:cs="宋体"/>
          <w:color w:val="auto"/>
          <w:spacing w:val="-2"/>
          <w:sz w:val="21"/>
          <w:szCs w:val="21"/>
          <w:highlight w:val="none"/>
        </w:rPr>
        <w:t>时</w:t>
      </w:r>
      <w:r>
        <w:rPr>
          <w:rFonts w:ascii="宋体" w:hAnsi="宋体" w:eastAsia="宋体" w:cs="宋体"/>
          <w:color w:val="auto"/>
          <w:spacing w:val="-105"/>
          <w:sz w:val="21"/>
          <w:szCs w:val="21"/>
          <w:highlight w:val="none"/>
        </w:rPr>
        <w:t xml:space="preserve"> </w:t>
      </w:r>
      <w:r>
        <w:rPr>
          <w:rFonts w:ascii="宋体" w:hAnsi="宋体" w:eastAsia="宋体" w:cs="宋体"/>
          <w:color w:val="auto"/>
          <w:spacing w:val="15"/>
          <w:sz w:val="21"/>
          <w:szCs w:val="21"/>
          <w:highlight w:val="none"/>
          <w:u w:val="single" w:color="auto"/>
        </w:rPr>
        <w:t xml:space="preserve">   </w:t>
      </w:r>
      <w:r>
        <w:rPr>
          <w:rFonts w:ascii="宋体" w:hAnsi="宋体" w:eastAsia="宋体" w:cs="宋体"/>
          <w:color w:val="auto"/>
          <w:spacing w:val="-94"/>
          <w:sz w:val="21"/>
          <w:szCs w:val="21"/>
          <w:highlight w:val="none"/>
        </w:rPr>
        <w:t xml:space="preserve"> </w:t>
      </w:r>
      <w:r>
        <w:rPr>
          <w:rFonts w:ascii="宋体" w:hAnsi="宋体" w:eastAsia="宋体" w:cs="宋体"/>
          <w:color w:val="auto"/>
          <w:spacing w:val="-2"/>
          <w:sz w:val="21"/>
          <w:szCs w:val="21"/>
          <w:highlight w:val="none"/>
        </w:rPr>
        <w:t>分前，通过电子招标投标</w:t>
      </w:r>
    </w:p>
    <w:p w14:paraId="6B97E8C2">
      <w:pPr>
        <w:spacing w:before="1" w:line="219" w:lineRule="auto"/>
        <w:ind w:left="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系统（辽宁省工程建设项目数字化开标评标系统）提交给本评标委员会。</w:t>
      </w:r>
    </w:p>
    <w:p w14:paraId="15C71B01">
      <w:pPr>
        <w:spacing w:before="196" w:line="237"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1.</w:t>
      </w:r>
      <w:r>
        <w:rPr>
          <w:rFonts w:ascii="宋体" w:hAnsi="宋体" w:eastAsia="宋体" w:cs="宋体"/>
          <w:color w:val="auto"/>
          <w:spacing w:val="-6"/>
          <w:sz w:val="21"/>
          <w:szCs w:val="21"/>
          <w:highlight w:val="none"/>
        </w:rPr>
        <w:t>……</w:t>
      </w:r>
    </w:p>
    <w:p w14:paraId="16B53B5E">
      <w:pPr>
        <w:spacing w:before="172" w:line="442" w:lineRule="exact"/>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8"/>
          <w:sz w:val="21"/>
          <w:szCs w:val="21"/>
          <w:highlight w:val="none"/>
        </w:rPr>
        <w:t>2.</w:t>
      </w:r>
      <w:r>
        <w:rPr>
          <w:rFonts w:ascii="宋体" w:hAnsi="宋体" w:eastAsia="宋体" w:cs="宋体"/>
          <w:color w:val="auto"/>
          <w:spacing w:val="-1"/>
          <w:position w:val="18"/>
          <w:sz w:val="21"/>
          <w:szCs w:val="21"/>
          <w:highlight w:val="none"/>
        </w:rPr>
        <w:t>……</w:t>
      </w:r>
    </w:p>
    <w:p w14:paraId="1347A913">
      <w:pPr>
        <w:spacing w:line="332" w:lineRule="exact"/>
        <w:ind w:left="243"/>
        <w:rPr>
          <w:rFonts w:ascii="宋体" w:hAnsi="宋体" w:eastAsia="宋体" w:cs="宋体"/>
          <w:color w:val="auto"/>
          <w:sz w:val="21"/>
          <w:szCs w:val="21"/>
          <w:highlight w:val="none"/>
        </w:rPr>
      </w:pPr>
      <w:r>
        <w:rPr>
          <w:rFonts w:ascii="宋体" w:hAnsi="宋体" w:eastAsia="宋体" w:cs="宋体"/>
          <w:color w:val="auto"/>
          <w:spacing w:val="-5"/>
          <w:position w:val="2"/>
          <w:sz w:val="21"/>
          <w:szCs w:val="21"/>
          <w:highlight w:val="none"/>
        </w:rPr>
        <w:t>……</w:t>
      </w:r>
    </w:p>
    <w:p w14:paraId="7B329F0F">
      <w:pPr>
        <w:pStyle w:val="3"/>
        <w:spacing w:line="273" w:lineRule="auto"/>
        <w:rPr>
          <w:color w:val="auto"/>
          <w:highlight w:val="none"/>
        </w:rPr>
      </w:pPr>
    </w:p>
    <w:p w14:paraId="11DCC2EA">
      <w:pPr>
        <w:pStyle w:val="3"/>
        <w:spacing w:line="273" w:lineRule="auto"/>
        <w:rPr>
          <w:color w:val="auto"/>
          <w:highlight w:val="none"/>
        </w:rPr>
      </w:pPr>
    </w:p>
    <w:p w14:paraId="1C93D483">
      <w:pPr>
        <w:tabs>
          <w:tab w:val="left" w:pos="4005"/>
        </w:tabs>
        <w:spacing w:before="69" w:line="220" w:lineRule="auto"/>
        <w:ind w:left="2742"/>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15"/>
          <w:sz w:val="21"/>
          <w:szCs w:val="21"/>
          <w:highlight w:val="none"/>
        </w:rPr>
        <w:t xml:space="preserve"> </w:t>
      </w:r>
      <w:r>
        <w:rPr>
          <w:rFonts w:ascii="宋体" w:hAnsi="宋体" w:eastAsia="宋体" w:cs="宋体"/>
          <w:color w:val="auto"/>
          <w:spacing w:val="-12"/>
          <w:sz w:val="21"/>
          <w:szCs w:val="21"/>
          <w:highlight w:val="none"/>
        </w:rPr>
        <w:t>（标段名称） 项目招标评标委员会</w:t>
      </w:r>
    </w:p>
    <w:p w14:paraId="592D8DE0">
      <w:pPr>
        <w:pStyle w:val="3"/>
        <w:spacing w:line="278" w:lineRule="auto"/>
        <w:rPr>
          <w:color w:val="auto"/>
          <w:highlight w:val="none"/>
        </w:rPr>
      </w:pPr>
    </w:p>
    <w:p w14:paraId="6C35F1DA">
      <w:pPr>
        <w:pStyle w:val="3"/>
        <w:spacing w:line="278" w:lineRule="auto"/>
        <w:rPr>
          <w:color w:val="auto"/>
          <w:highlight w:val="none"/>
        </w:rPr>
      </w:pPr>
    </w:p>
    <w:p w14:paraId="125E277F">
      <w:pPr>
        <w:pStyle w:val="3"/>
        <w:spacing w:line="279" w:lineRule="auto"/>
        <w:rPr>
          <w:color w:val="auto"/>
          <w:highlight w:val="none"/>
        </w:rPr>
      </w:pPr>
    </w:p>
    <w:p w14:paraId="6BA14A58">
      <w:pPr>
        <w:pStyle w:val="3"/>
        <w:spacing w:line="279" w:lineRule="auto"/>
        <w:rPr>
          <w:color w:val="auto"/>
          <w:highlight w:val="none"/>
        </w:rPr>
      </w:pPr>
    </w:p>
    <w:p w14:paraId="3D5FC079">
      <w:pPr>
        <w:tabs>
          <w:tab w:val="left" w:pos="5997"/>
        </w:tabs>
        <w:spacing w:before="69" w:line="221" w:lineRule="auto"/>
        <w:ind w:left="5575"/>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5"/>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105"/>
          <w:sz w:val="21"/>
          <w:szCs w:val="21"/>
          <w:highlight w:val="none"/>
        </w:rPr>
        <w:t xml:space="preserve"> </w:t>
      </w:r>
      <w:r>
        <w:rPr>
          <w:rFonts w:ascii="宋体" w:hAnsi="宋体" w:eastAsia="宋体" w:cs="宋体"/>
          <w:color w:val="auto"/>
          <w:spacing w:val="18"/>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pacing w:val="16"/>
          <w:sz w:val="21"/>
          <w:szCs w:val="21"/>
          <w:highlight w:val="none"/>
          <w:u w:val="single" w:color="auto"/>
        </w:rPr>
        <w:t xml:space="preserve">   </w:t>
      </w:r>
      <w:r>
        <w:rPr>
          <w:rFonts w:ascii="宋体" w:hAnsi="宋体" w:eastAsia="宋体" w:cs="宋体"/>
          <w:color w:val="auto"/>
          <w:spacing w:val="-59"/>
          <w:sz w:val="21"/>
          <w:szCs w:val="21"/>
          <w:highlight w:val="none"/>
        </w:rPr>
        <w:t xml:space="preserve"> </w:t>
      </w:r>
      <w:r>
        <w:rPr>
          <w:rFonts w:ascii="宋体" w:hAnsi="宋体" w:eastAsia="宋体" w:cs="宋体"/>
          <w:color w:val="auto"/>
          <w:spacing w:val="-7"/>
          <w:sz w:val="21"/>
          <w:szCs w:val="21"/>
          <w:highlight w:val="none"/>
        </w:rPr>
        <w:t>日</w:t>
      </w:r>
    </w:p>
    <w:p w14:paraId="542D79CA">
      <w:pPr>
        <w:spacing w:line="221" w:lineRule="auto"/>
        <w:rPr>
          <w:rFonts w:ascii="宋体" w:hAnsi="宋体" w:eastAsia="宋体" w:cs="宋体"/>
          <w:color w:val="auto"/>
          <w:sz w:val="21"/>
          <w:szCs w:val="21"/>
          <w:highlight w:val="none"/>
        </w:rPr>
        <w:sectPr>
          <w:footerReference r:id="rId37" w:type="default"/>
          <w:pgSz w:w="11905" w:h="16839"/>
          <w:pgMar w:top="1431" w:right="1633" w:bottom="996" w:left="1785" w:header="0" w:footer="791" w:gutter="0"/>
          <w:pgNumType w:fmt="decimal"/>
          <w:cols w:space="720" w:num="1"/>
        </w:sectPr>
      </w:pPr>
    </w:p>
    <w:p w14:paraId="53E86545">
      <w:pPr>
        <w:spacing w:before="47" w:line="219" w:lineRule="auto"/>
        <w:ind w:left="3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附表七：投标文件问题的澄清</w:t>
      </w:r>
    </w:p>
    <w:p w14:paraId="791EA27F">
      <w:pPr>
        <w:pStyle w:val="3"/>
        <w:spacing w:line="249" w:lineRule="auto"/>
        <w:rPr>
          <w:color w:val="auto"/>
          <w:highlight w:val="none"/>
        </w:rPr>
      </w:pPr>
    </w:p>
    <w:p w14:paraId="3F568C36">
      <w:pPr>
        <w:pStyle w:val="3"/>
        <w:spacing w:line="249" w:lineRule="auto"/>
        <w:rPr>
          <w:color w:val="auto"/>
          <w:highlight w:val="none"/>
        </w:rPr>
      </w:pPr>
    </w:p>
    <w:p w14:paraId="5FA8A4B4">
      <w:pPr>
        <w:pStyle w:val="3"/>
        <w:spacing w:line="250" w:lineRule="auto"/>
        <w:rPr>
          <w:color w:val="auto"/>
          <w:highlight w:val="none"/>
        </w:rPr>
      </w:pPr>
    </w:p>
    <w:p w14:paraId="21146411">
      <w:pPr>
        <w:pStyle w:val="3"/>
        <w:spacing w:line="250" w:lineRule="auto"/>
        <w:rPr>
          <w:color w:val="auto"/>
          <w:highlight w:val="none"/>
        </w:rPr>
      </w:pPr>
    </w:p>
    <w:p w14:paraId="6BF01C2D">
      <w:pPr>
        <w:pStyle w:val="3"/>
        <w:spacing w:line="250" w:lineRule="auto"/>
        <w:rPr>
          <w:color w:val="auto"/>
          <w:highlight w:val="none"/>
        </w:rPr>
      </w:pPr>
    </w:p>
    <w:p w14:paraId="0D828813">
      <w:pPr>
        <w:spacing w:before="88" w:line="224" w:lineRule="auto"/>
        <w:ind w:left="2074"/>
        <w:rPr>
          <w:rFonts w:ascii="黑体" w:hAnsi="黑体" w:eastAsia="黑体" w:cs="黑体"/>
          <w:color w:val="auto"/>
          <w:sz w:val="27"/>
          <w:szCs w:val="27"/>
          <w:highlight w:val="none"/>
        </w:rPr>
      </w:pPr>
      <w:r>
        <w:rPr>
          <w:rFonts w:ascii="黑体" w:hAnsi="黑体" w:eastAsia="黑体" w:cs="黑体"/>
          <w:color w:val="auto"/>
          <w:spacing w:val="9"/>
          <w:sz w:val="27"/>
          <w:szCs w:val="27"/>
          <w:highlight w:val="none"/>
        </w:rPr>
        <w:t>投标文件问题的澄清、说明或补正</w:t>
      </w:r>
    </w:p>
    <w:p w14:paraId="30FC38C3">
      <w:pPr>
        <w:pStyle w:val="3"/>
        <w:spacing w:line="317" w:lineRule="auto"/>
        <w:rPr>
          <w:color w:val="auto"/>
          <w:highlight w:val="none"/>
        </w:rPr>
      </w:pPr>
    </w:p>
    <w:p w14:paraId="5B47B8A2">
      <w:pPr>
        <w:spacing w:before="68" w:line="221" w:lineRule="auto"/>
        <w:ind w:left="5379"/>
        <w:rPr>
          <w:rFonts w:ascii="宋体" w:hAnsi="宋体" w:eastAsia="宋体" w:cs="宋体"/>
          <w:color w:val="auto"/>
          <w:sz w:val="21"/>
          <w:szCs w:val="21"/>
          <w:highlight w:val="none"/>
        </w:rPr>
      </w:pPr>
      <w:r>
        <w:rPr>
          <w:rFonts w:ascii="宋体" w:hAnsi="宋体" w:eastAsia="宋体" w:cs="宋体"/>
          <w:color w:val="auto"/>
          <w:spacing w:val="-32"/>
          <w:w w:val="98"/>
          <w:sz w:val="21"/>
          <w:szCs w:val="21"/>
          <w:highlight w:val="none"/>
        </w:rPr>
        <w:t>编号：</w:t>
      </w:r>
      <w:r>
        <w:rPr>
          <w:rFonts w:ascii="宋体" w:hAnsi="宋体" w:eastAsia="宋体" w:cs="宋体"/>
          <w:color w:val="auto"/>
          <w:spacing w:val="-4"/>
          <w:sz w:val="21"/>
          <w:szCs w:val="21"/>
          <w:highlight w:val="none"/>
        </w:rPr>
        <w:t xml:space="preserve"> </w:t>
      </w:r>
      <w:r>
        <w:rPr>
          <w:rFonts w:ascii="宋体" w:hAnsi="宋体" w:eastAsia="宋体" w:cs="宋体"/>
          <w:color w:val="auto"/>
          <w:sz w:val="21"/>
          <w:szCs w:val="21"/>
          <w:highlight w:val="none"/>
          <w:u w:val="single" w:color="auto"/>
        </w:rPr>
        <w:t xml:space="preserve">         </w:t>
      </w:r>
    </w:p>
    <w:p w14:paraId="0572B45C">
      <w:pPr>
        <w:tabs>
          <w:tab w:val="left" w:pos="960"/>
        </w:tabs>
        <w:spacing w:before="210" w:line="220" w:lineRule="auto"/>
        <w:ind w:left="116"/>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2"/>
          <w:sz w:val="21"/>
          <w:szCs w:val="21"/>
          <w:highlight w:val="none"/>
        </w:rPr>
        <w:t>（标段名称）项目招标评标委员会：</w:t>
      </w:r>
    </w:p>
    <w:p w14:paraId="369A029C">
      <w:pPr>
        <w:spacing w:before="229" w:line="422" w:lineRule="auto"/>
        <w:ind w:left="44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投标文件问题澄清通知（编号</w:t>
      </w:r>
      <w:r>
        <w:rPr>
          <w:rFonts w:ascii="宋体" w:hAnsi="宋体" w:eastAsia="宋体" w:cs="宋体"/>
          <w:color w:val="auto"/>
          <w:spacing w:val="-3"/>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71"/>
          <w:sz w:val="21"/>
          <w:szCs w:val="21"/>
          <w:highlight w:val="none"/>
        </w:rPr>
        <w:t xml:space="preserve"> </w:t>
      </w:r>
      <w:r>
        <w:rPr>
          <w:rFonts w:ascii="宋体" w:hAnsi="宋体" w:eastAsia="宋体" w:cs="宋体"/>
          <w:color w:val="auto"/>
          <w:spacing w:val="-3"/>
          <w:sz w:val="21"/>
          <w:szCs w:val="21"/>
          <w:highlight w:val="none"/>
        </w:rPr>
        <w:t>）</w:t>
      </w:r>
      <w:r>
        <w:rPr>
          <w:rFonts w:ascii="宋体" w:hAnsi="宋体" w:eastAsia="宋体" w:cs="宋体"/>
          <w:color w:val="auto"/>
          <w:spacing w:val="-2"/>
          <w:sz w:val="21"/>
          <w:szCs w:val="21"/>
          <w:highlight w:val="none"/>
        </w:rPr>
        <w:t>已收悉，现澄清、</w:t>
      </w:r>
      <w:r>
        <w:rPr>
          <w:rFonts w:ascii="宋体" w:hAnsi="宋体" w:eastAsia="宋体" w:cs="宋体"/>
          <w:color w:val="auto"/>
          <w:spacing w:val="-3"/>
          <w:sz w:val="21"/>
          <w:szCs w:val="21"/>
          <w:highlight w:val="none"/>
        </w:rPr>
        <w:t>说明或者补正如下：</w:t>
      </w:r>
    </w:p>
    <w:p w14:paraId="45304487">
      <w:pPr>
        <w:spacing w:before="1" w:line="236"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1.</w:t>
      </w:r>
      <w:r>
        <w:rPr>
          <w:rFonts w:ascii="宋体" w:hAnsi="宋体" w:eastAsia="宋体" w:cs="宋体"/>
          <w:color w:val="auto"/>
          <w:spacing w:val="-6"/>
          <w:sz w:val="21"/>
          <w:szCs w:val="21"/>
          <w:highlight w:val="none"/>
        </w:rPr>
        <w:t>……</w:t>
      </w:r>
    </w:p>
    <w:p w14:paraId="6B6859C6">
      <w:pPr>
        <w:spacing w:before="210" w:line="237"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w:t>
      </w:r>
    </w:p>
    <w:p w14:paraId="36AA20DE">
      <w:pPr>
        <w:pStyle w:val="3"/>
        <w:spacing w:line="309" w:lineRule="auto"/>
        <w:rPr>
          <w:color w:val="auto"/>
          <w:highlight w:val="none"/>
        </w:rPr>
      </w:pPr>
    </w:p>
    <w:p w14:paraId="33FA675E">
      <w:pPr>
        <w:pStyle w:val="3"/>
        <w:spacing w:line="310" w:lineRule="auto"/>
        <w:rPr>
          <w:color w:val="auto"/>
          <w:highlight w:val="none"/>
        </w:rPr>
      </w:pPr>
    </w:p>
    <w:p w14:paraId="54D8A9C4">
      <w:pPr>
        <w:spacing w:before="69" w:line="332" w:lineRule="exact"/>
        <w:ind w:left="454"/>
        <w:rPr>
          <w:rFonts w:ascii="宋体" w:hAnsi="宋体" w:eastAsia="宋体" w:cs="宋体"/>
          <w:color w:val="auto"/>
          <w:sz w:val="21"/>
          <w:szCs w:val="21"/>
          <w:highlight w:val="none"/>
        </w:rPr>
      </w:pPr>
      <w:r>
        <w:rPr>
          <w:rFonts w:ascii="宋体" w:hAnsi="宋体" w:eastAsia="宋体" w:cs="宋体"/>
          <w:color w:val="auto"/>
          <w:spacing w:val="-5"/>
          <w:position w:val="2"/>
          <w:sz w:val="21"/>
          <w:szCs w:val="21"/>
          <w:highlight w:val="none"/>
        </w:rPr>
        <w:t>……</w:t>
      </w:r>
    </w:p>
    <w:p w14:paraId="7DDFA557">
      <w:pPr>
        <w:pStyle w:val="3"/>
        <w:spacing w:line="245" w:lineRule="auto"/>
        <w:rPr>
          <w:color w:val="auto"/>
          <w:highlight w:val="none"/>
        </w:rPr>
      </w:pPr>
    </w:p>
    <w:p w14:paraId="78576ABF">
      <w:pPr>
        <w:pStyle w:val="3"/>
        <w:spacing w:line="245" w:lineRule="auto"/>
        <w:rPr>
          <w:color w:val="auto"/>
          <w:highlight w:val="none"/>
        </w:rPr>
      </w:pPr>
    </w:p>
    <w:p w14:paraId="3218C05B">
      <w:pPr>
        <w:pStyle w:val="3"/>
        <w:spacing w:line="245" w:lineRule="auto"/>
        <w:rPr>
          <w:color w:val="auto"/>
          <w:highlight w:val="none"/>
        </w:rPr>
      </w:pPr>
    </w:p>
    <w:p w14:paraId="1E8A0839">
      <w:pPr>
        <w:pStyle w:val="3"/>
        <w:spacing w:line="245" w:lineRule="auto"/>
        <w:rPr>
          <w:color w:val="auto"/>
          <w:highlight w:val="none"/>
        </w:rPr>
      </w:pPr>
    </w:p>
    <w:p w14:paraId="10955415">
      <w:pPr>
        <w:pStyle w:val="3"/>
        <w:spacing w:line="245" w:lineRule="auto"/>
        <w:rPr>
          <w:color w:val="auto"/>
          <w:highlight w:val="none"/>
        </w:rPr>
      </w:pPr>
    </w:p>
    <w:p w14:paraId="0B1C9871">
      <w:pPr>
        <w:pStyle w:val="3"/>
        <w:spacing w:line="245" w:lineRule="auto"/>
        <w:rPr>
          <w:color w:val="auto"/>
          <w:highlight w:val="none"/>
        </w:rPr>
      </w:pPr>
    </w:p>
    <w:p w14:paraId="33F088B8">
      <w:pPr>
        <w:pStyle w:val="3"/>
        <w:spacing w:line="245" w:lineRule="auto"/>
        <w:rPr>
          <w:color w:val="auto"/>
          <w:highlight w:val="none"/>
        </w:rPr>
      </w:pPr>
    </w:p>
    <w:p w14:paraId="7B759CA8">
      <w:pPr>
        <w:pStyle w:val="3"/>
        <w:spacing w:line="245" w:lineRule="auto"/>
        <w:rPr>
          <w:color w:val="auto"/>
          <w:highlight w:val="none"/>
        </w:rPr>
      </w:pPr>
    </w:p>
    <w:p w14:paraId="6D206F03">
      <w:pPr>
        <w:pStyle w:val="3"/>
        <w:spacing w:line="245" w:lineRule="auto"/>
        <w:rPr>
          <w:color w:val="auto"/>
          <w:highlight w:val="none"/>
        </w:rPr>
      </w:pPr>
    </w:p>
    <w:p w14:paraId="0F306EDD">
      <w:pPr>
        <w:pStyle w:val="3"/>
        <w:spacing w:line="246" w:lineRule="auto"/>
        <w:rPr>
          <w:color w:val="auto"/>
          <w:highlight w:val="none"/>
        </w:rPr>
      </w:pPr>
    </w:p>
    <w:p w14:paraId="257D51D5">
      <w:pPr>
        <w:pStyle w:val="3"/>
        <w:spacing w:line="246" w:lineRule="auto"/>
        <w:rPr>
          <w:color w:val="auto"/>
          <w:highlight w:val="none"/>
        </w:rPr>
      </w:pPr>
    </w:p>
    <w:p w14:paraId="33BB8769">
      <w:pPr>
        <w:pStyle w:val="3"/>
        <w:spacing w:line="246" w:lineRule="auto"/>
        <w:rPr>
          <w:color w:val="auto"/>
          <w:highlight w:val="none"/>
        </w:rPr>
      </w:pPr>
    </w:p>
    <w:p w14:paraId="03891A33">
      <w:pPr>
        <w:spacing w:before="68" w:line="527" w:lineRule="auto"/>
        <w:ind w:left="3188" w:right="125" w:firstLine="1"/>
        <w:jc w:val="right"/>
        <w:rPr>
          <w:rFonts w:ascii="宋体" w:hAnsi="宋体" w:eastAsia="宋体" w:cs="宋体"/>
          <w:color w:val="auto"/>
          <w:sz w:val="21"/>
          <w:szCs w:val="21"/>
          <w:highlight w:val="none"/>
        </w:rPr>
      </w:pPr>
      <w:r>
        <w:rPr>
          <w:rFonts w:ascii="宋体" w:hAnsi="宋体" w:eastAsia="宋体" w:cs="宋体"/>
          <w:color w:val="auto"/>
          <w:spacing w:val="-23"/>
          <w:w w:val="98"/>
          <w:sz w:val="21"/>
          <w:szCs w:val="21"/>
          <w:highlight w:val="none"/>
        </w:rPr>
        <w:t>投标人</w:t>
      </w:r>
      <w:r>
        <w:rPr>
          <w:rFonts w:ascii="宋体" w:hAnsi="宋体" w:eastAsia="宋体" w:cs="宋体"/>
          <w:color w:val="auto"/>
          <w:sz w:val="21"/>
          <w:szCs w:val="21"/>
          <w:highlight w:val="none"/>
        </w:rPr>
        <w:t>：</w:t>
      </w:r>
      <w:r>
        <w:rPr>
          <w:rFonts w:ascii="宋体" w:hAnsi="宋体" w:eastAsia="宋体" w:cs="宋体"/>
          <w:color w:val="auto"/>
          <w:spacing w:val="11"/>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26"/>
          <w:sz w:val="21"/>
          <w:szCs w:val="21"/>
          <w:highlight w:val="none"/>
        </w:rPr>
        <w:t xml:space="preserve"> </w:t>
      </w:r>
      <w:r>
        <w:rPr>
          <w:rFonts w:ascii="宋体" w:hAnsi="宋体" w:eastAsia="宋体" w:cs="宋体"/>
          <w:color w:val="auto"/>
          <w:sz w:val="21"/>
          <w:szCs w:val="21"/>
          <w:highlight w:val="none"/>
        </w:rPr>
        <w:t>（</w:t>
      </w:r>
      <w:r>
        <w:rPr>
          <w:rFonts w:ascii="宋体" w:hAnsi="宋体" w:eastAsia="宋体" w:cs="宋体"/>
          <w:color w:val="auto"/>
          <w:spacing w:val="-23"/>
          <w:w w:val="98"/>
          <w:sz w:val="21"/>
          <w:szCs w:val="21"/>
          <w:highlight w:val="none"/>
        </w:rPr>
        <w:t>盖单位章）</w:t>
      </w:r>
      <w:r>
        <w:rPr>
          <w:rFonts w:ascii="宋体" w:hAnsi="宋体" w:eastAsia="宋体" w:cs="宋体"/>
          <w:color w:val="auto"/>
          <w:sz w:val="21"/>
          <w:szCs w:val="21"/>
          <w:highlight w:val="none"/>
        </w:rPr>
        <w:t xml:space="preserve"> 法定代表人</w:t>
      </w:r>
      <w:r>
        <w:rPr>
          <w:rFonts w:ascii="宋体" w:hAnsi="宋体" w:eastAsia="宋体" w:cs="宋体"/>
          <w:color w:val="auto"/>
          <w:spacing w:val="-14"/>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4"/>
          <w:sz w:val="21"/>
          <w:szCs w:val="21"/>
          <w:highlight w:val="none"/>
        </w:rPr>
        <w:t>（</w:t>
      </w:r>
      <w:r>
        <w:rPr>
          <w:rFonts w:ascii="宋体" w:hAnsi="宋体" w:eastAsia="宋体" w:cs="宋体"/>
          <w:color w:val="auto"/>
          <w:sz w:val="21"/>
          <w:szCs w:val="21"/>
          <w:highlight w:val="none"/>
        </w:rPr>
        <w:t>签章）</w:t>
      </w:r>
    </w:p>
    <w:p w14:paraId="31B33865">
      <w:pPr>
        <w:tabs>
          <w:tab w:val="left" w:pos="6420"/>
        </w:tabs>
        <w:spacing w:before="1" w:line="220" w:lineRule="auto"/>
        <w:ind w:left="5786"/>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5"/>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25"/>
          <w:sz w:val="21"/>
          <w:szCs w:val="21"/>
          <w:highlight w:val="none"/>
          <w:u w:val="single" w:color="auto"/>
        </w:rPr>
        <w:t xml:space="preserve">    </w:t>
      </w:r>
      <w:r>
        <w:rPr>
          <w:rFonts w:ascii="宋体" w:hAnsi="宋体" w:eastAsia="宋体" w:cs="宋体"/>
          <w:color w:val="auto"/>
          <w:spacing w:val="-89"/>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pacing w:val="-105"/>
          <w:sz w:val="21"/>
          <w:szCs w:val="21"/>
          <w:highlight w:val="none"/>
        </w:rPr>
        <w:t xml:space="preserve"> </w:t>
      </w:r>
      <w:r>
        <w:rPr>
          <w:rFonts w:ascii="宋体" w:hAnsi="宋体" w:eastAsia="宋体" w:cs="宋体"/>
          <w:color w:val="auto"/>
          <w:spacing w:val="26"/>
          <w:sz w:val="21"/>
          <w:szCs w:val="21"/>
          <w:highlight w:val="none"/>
          <w:u w:val="single" w:color="auto"/>
        </w:rPr>
        <w:t xml:space="preserve">    </w:t>
      </w:r>
      <w:r>
        <w:rPr>
          <w:rFonts w:ascii="宋体" w:hAnsi="宋体" w:eastAsia="宋体" w:cs="宋体"/>
          <w:color w:val="auto"/>
          <w:spacing w:val="-61"/>
          <w:sz w:val="21"/>
          <w:szCs w:val="21"/>
          <w:highlight w:val="none"/>
        </w:rPr>
        <w:t xml:space="preserve"> </w:t>
      </w:r>
      <w:r>
        <w:rPr>
          <w:rFonts w:ascii="宋体" w:hAnsi="宋体" w:eastAsia="宋体" w:cs="宋体"/>
          <w:color w:val="auto"/>
          <w:spacing w:val="-7"/>
          <w:sz w:val="21"/>
          <w:szCs w:val="21"/>
          <w:highlight w:val="none"/>
        </w:rPr>
        <w:t>日</w:t>
      </w:r>
    </w:p>
    <w:p w14:paraId="609DB477">
      <w:pPr>
        <w:spacing w:line="220" w:lineRule="auto"/>
        <w:rPr>
          <w:rFonts w:ascii="宋体" w:hAnsi="宋体" w:eastAsia="宋体" w:cs="宋体"/>
          <w:color w:val="auto"/>
          <w:sz w:val="21"/>
          <w:szCs w:val="21"/>
          <w:highlight w:val="none"/>
        </w:rPr>
        <w:sectPr>
          <w:footerReference r:id="rId38" w:type="default"/>
          <w:pgSz w:w="11905" w:h="16839"/>
          <w:pgMar w:top="1431" w:right="1785" w:bottom="996" w:left="1785" w:header="0" w:footer="791" w:gutter="0"/>
          <w:pgNumType w:fmt="decimal"/>
          <w:cols w:space="720" w:num="1"/>
        </w:sectPr>
      </w:pPr>
    </w:p>
    <w:p w14:paraId="7A695814">
      <w:pPr>
        <w:pStyle w:val="3"/>
        <w:spacing w:line="281" w:lineRule="auto"/>
        <w:rPr>
          <w:color w:val="auto"/>
          <w:highlight w:val="none"/>
        </w:rPr>
      </w:pPr>
    </w:p>
    <w:p w14:paraId="2826DCAF">
      <w:pPr>
        <w:spacing w:before="78" w:line="220" w:lineRule="auto"/>
        <w:ind w:left="2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附表八：中标通知书</w:t>
      </w:r>
    </w:p>
    <w:p w14:paraId="302EEB43">
      <w:pPr>
        <w:spacing w:before="326" w:line="219" w:lineRule="auto"/>
        <w:ind w:left="5410"/>
        <w:rPr>
          <w:rFonts w:ascii="黑体" w:hAnsi="黑体" w:eastAsia="黑体" w:cs="黑体"/>
          <w:color w:val="auto"/>
          <w:sz w:val="32"/>
          <w:szCs w:val="32"/>
          <w:highlight w:val="none"/>
        </w:rPr>
      </w:pPr>
      <w:r>
        <w:rPr>
          <w:rFonts w:ascii="黑体" w:hAnsi="黑体" w:eastAsia="黑体" w:cs="黑体"/>
          <w:color w:val="auto"/>
          <w:spacing w:val="-5"/>
          <w:sz w:val="32"/>
          <w:szCs w:val="32"/>
          <w:highlight w:val="none"/>
          <w14:textOutline w14:w="5834" w14:cap="flat" w14:cmpd="sng">
            <w14:solidFill>
              <w14:srgbClr w14:val="000000"/>
            </w14:solidFill>
            <w14:prstDash w14:val="solid"/>
            <w14:miter w14:val="0"/>
          </w14:textOutline>
        </w:rPr>
        <w:t>中标通知书（工程类）</w:t>
      </w:r>
    </w:p>
    <w:p w14:paraId="4DE1B542">
      <w:pPr>
        <w:tabs>
          <w:tab w:val="left" w:pos="1366"/>
        </w:tabs>
        <w:spacing w:before="223" w:line="221" w:lineRule="auto"/>
        <w:ind w:left="105"/>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76"/>
          <w:sz w:val="21"/>
          <w:szCs w:val="21"/>
          <w:highlight w:val="none"/>
        </w:rPr>
        <w:t xml:space="preserve"> </w:t>
      </w:r>
      <w:r>
        <w:rPr>
          <w:rFonts w:ascii="宋体" w:hAnsi="宋体" w:eastAsia="宋体" w:cs="宋体"/>
          <w:color w:val="auto"/>
          <w:spacing w:val="-34"/>
          <w:sz w:val="21"/>
          <w:szCs w:val="21"/>
          <w:highlight w:val="none"/>
        </w:rPr>
        <w:t>：</w:t>
      </w:r>
      <w:r>
        <w:rPr>
          <w:rFonts w:ascii="宋体" w:hAnsi="宋体" w:eastAsia="宋体" w:cs="宋体"/>
          <w:color w:val="auto"/>
          <w:sz w:val="21"/>
          <w:szCs w:val="21"/>
          <w:highlight w:val="none"/>
        </w:rPr>
        <w:t xml:space="preserve">                                                                                                   </w:t>
      </w:r>
      <w:r>
        <w:rPr>
          <w:rFonts w:ascii="宋体" w:hAnsi="宋体" w:eastAsia="宋体" w:cs="宋体"/>
          <w:color w:val="auto"/>
          <w:spacing w:val="-34"/>
          <w:sz w:val="21"/>
          <w:szCs w:val="21"/>
          <w:highlight w:val="none"/>
        </w:rPr>
        <w:t>编号：</w:t>
      </w:r>
      <w:r>
        <w:rPr>
          <w:rFonts w:ascii="宋体" w:hAnsi="宋体" w:eastAsia="宋体" w:cs="宋体"/>
          <w:color w:val="auto"/>
          <w:spacing w:val="2"/>
          <w:sz w:val="21"/>
          <w:szCs w:val="21"/>
          <w:highlight w:val="none"/>
        </w:rPr>
        <w:t xml:space="preserve"> </w:t>
      </w:r>
      <w:r>
        <w:rPr>
          <w:rFonts w:ascii="宋体" w:hAnsi="宋体" w:eastAsia="宋体" w:cs="宋体"/>
          <w:color w:val="auto"/>
          <w:sz w:val="21"/>
          <w:szCs w:val="21"/>
          <w:highlight w:val="none"/>
          <w:u w:val="single" w:color="auto"/>
        </w:rPr>
        <w:t xml:space="preserve">             </w:t>
      </w:r>
    </w:p>
    <w:p w14:paraId="17ABA671">
      <w:pPr>
        <w:spacing w:before="157" w:line="359" w:lineRule="auto"/>
        <w:ind w:left="43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你方于</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97"/>
          <w:sz w:val="21"/>
          <w:szCs w:val="21"/>
          <w:highlight w:val="none"/>
        </w:rPr>
        <w:t xml:space="preserve"> </w:t>
      </w:r>
      <w:r>
        <w:rPr>
          <w:rFonts w:ascii="宋体" w:hAnsi="宋体" w:eastAsia="宋体" w:cs="宋体"/>
          <w:color w:val="auto"/>
          <w:spacing w:val="-3"/>
          <w:sz w:val="21"/>
          <w:szCs w:val="21"/>
          <w:highlight w:val="none"/>
        </w:rPr>
        <w:t>年</w:t>
      </w:r>
      <w:r>
        <w:rPr>
          <w:rFonts w:ascii="宋体" w:hAnsi="宋体" w:eastAsia="宋体" w:cs="宋体"/>
          <w:color w:val="auto"/>
          <w:spacing w:val="-105"/>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0"/>
          <w:sz w:val="21"/>
          <w:szCs w:val="21"/>
          <w:highlight w:val="none"/>
        </w:rPr>
        <w:t xml:space="preserve"> </w:t>
      </w:r>
      <w:r>
        <w:rPr>
          <w:rFonts w:ascii="宋体" w:hAnsi="宋体" w:eastAsia="宋体" w:cs="宋体"/>
          <w:color w:val="auto"/>
          <w:spacing w:val="-3"/>
          <w:sz w:val="21"/>
          <w:szCs w:val="21"/>
          <w:highlight w:val="none"/>
        </w:rPr>
        <w:t>月</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3"/>
          <w:sz w:val="21"/>
          <w:szCs w:val="21"/>
          <w:highlight w:val="none"/>
        </w:rPr>
        <w:t>日所递交的</w:t>
      </w:r>
      <w:r>
        <w:rPr>
          <w:rFonts w:ascii="宋体" w:hAnsi="宋体" w:eastAsia="宋体" w:cs="宋体"/>
          <w:color w:val="auto"/>
          <w:spacing w:val="-3"/>
          <w:sz w:val="21"/>
          <w:szCs w:val="21"/>
          <w:highlight w:val="none"/>
          <w:u w:val="single" w:color="auto"/>
        </w:rPr>
        <w:t xml:space="preserve">    （标段名称）     </w:t>
      </w:r>
      <w:r>
        <w:rPr>
          <w:rFonts w:ascii="宋体" w:hAnsi="宋体" w:eastAsia="宋体" w:cs="宋体"/>
          <w:color w:val="auto"/>
          <w:spacing w:val="-79"/>
          <w:sz w:val="21"/>
          <w:szCs w:val="21"/>
          <w:highlight w:val="none"/>
        </w:rPr>
        <w:t xml:space="preserve"> </w:t>
      </w:r>
      <w:r>
        <w:rPr>
          <w:rFonts w:ascii="宋体" w:hAnsi="宋体" w:eastAsia="宋体" w:cs="宋体"/>
          <w:color w:val="auto"/>
          <w:spacing w:val="-3"/>
          <w:sz w:val="21"/>
          <w:szCs w:val="21"/>
          <w:highlight w:val="none"/>
        </w:rPr>
        <w:t>的投标文件已被我方接受，被确定为中标人，请你单位派代表持本通知书及相关资料在</w:t>
      </w:r>
    </w:p>
    <w:p w14:paraId="2572BEE4">
      <w:pPr>
        <w:spacing w:line="219" w:lineRule="auto"/>
        <w:ind w:left="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接到本通知书后</w:t>
      </w:r>
      <w:r>
        <w:rPr>
          <w:rFonts w:ascii="宋体" w:hAnsi="宋体" w:eastAsia="宋体" w:cs="宋体"/>
          <w:color w:val="auto"/>
          <w:spacing w:val="-33"/>
          <w:sz w:val="21"/>
          <w:szCs w:val="21"/>
          <w:highlight w:val="none"/>
        </w:rPr>
        <w:t xml:space="preserve"> </w:t>
      </w:r>
      <w:r>
        <w:rPr>
          <w:rFonts w:ascii="宋体" w:hAnsi="宋体" w:eastAsia="宋体" w:cs="宋体"/>
          <w:color w:val="auto"/>
          <w:spacing w:val="-2"/>
          <w:sz w:val="21"/>
          <w:szCs w:val="21"/>
          <w:highlight w:val="none"/>
        </w:rPr>
        <w:t>30 日内到</w:t>
      </w:r>
      <w:r>
        <w:rPr>
          <w:rFonts w:ascii="宋体" w:hAnsi="宋体" w:eastAsia="宋体" w:cs="宋体"/>
          <w:color w:val="auto"/>
          <w:spacing w:val="-105"/>
          <w:sz w:val="21"/>
          <w:szCs w:val="21"/>
          <w:highlight w:val="none"/>
        </w:rPr>
        <w:t xml:space="preserve"> </w:t>
      </w:r>
      <w:r>
        <w:rPr>
          <w:rFonts w:ascii="宋体" w:hAnsi="宋体" w:eastAsia="宋体" w:cs="宋体"/>
          <w:color w:val="auto"/>
          <w:spacing w:val="20"/>
          <w:sz w:val="21"/>
          <w:szCs w:val="21"/>
          <w:highlight w:val="none"/>
          <w:u w:val="single" w:color="auto"/>
        </w:rPr>
        <w:t xml:space="preserve">     </w:t>
      </w:r>
      <w:r>
        <w:rPr>
          <w:rFonts w:ascii="宋体" w:hAnsi="宋体" w:eastAsia="宋体" w:cs="宋体"/>
          <w:color w:val="auto"/>
          <w:spacing w:val="-89"/>
          <w:sz w:val="21"/>
          <w:szCs w:val="21"/>
          <w:highlight w:val="none"/>
        </w:rPr>
        <w:t xml:space="preserve"> </w:t>
      </w:r>
      <w:r>
        <w:rPr>
          <w:rFonts w:ascii="宋体" w:hAnsi="宋体" w:eastAsia="宋体" w:cs="宋体"/>
          <w:color w:val="auto"/>
          <w:spacing w:val="-2"/>
          <w:sz w:val="21"/>
          <w:szCs w:val="21"/>
          <w:highlight w:val="none"/>
        </w:rPr>
        <w:t>与我方签订承包合同。在此之前按照招标文件规定向我方提交履约担保。</w:t>
      </w:r>
    </w:p>
    <w:p w14:paraId="6BB0FF5B">
      <w:pPr>
        <w:spacing w:before="158" w:line="221" w:lineRule="auto"/>
        <w:ind w:left="6041"/>
        <w:rPr>
          <w:rFonts w:ascii="宋体" w:hAnsi="宋体" w:eastAsia="宋体" w:cs="宋体"/>
          <w:color w:val="auto"/>
          <w:sz w:val="21"/>
          <w:szCs w:val="21"/>
          <w:highlight w:val="none"/>
        </w:rPr>
      </w:pP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工程概况及中标内容</w:t>
      </w:r>
    </w:p>
    <w:p w14:paraId="39CB8733">
      <w:pPr>
        <w:spacing w:line="127" w:lineRule="exact"/>
        <w:rPr>
          <w:color w:val="auto"/>
          <w:highlight w:val="none"/>
        </w:rPr>
      </w:pPr>
    </w:p>
    <w:tbl>
      <w:tblPr>
        <w:tblStyle w:val="10"/>
        <w:tblW w:w="141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48"/>
        <w:gridCol w:w="2764"/>
        <w:gridCol w:w="2344"/>
        <w:gridCol w:w="2341"/>
        <w:gridCol w:w="20"/>
        <w:gridCol w:w="4727"/>
      </w:tblGrid>
      <w:tr w14:paraId="2CAE9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1948" w:type="dxa"/>
            <w:vAlign w:val="top"/>
          </w:tcPr>
          <w:p w14:paraId="7D241976">
            <w:pPr>
              <w:pStyle w:val="11"/>
              <w:spacing w:before="97" w:line="221" w:lineRule="auto"/>
              <w:ind w:left="563"/>
              <w:rPr>
                <w:color w:val="auto"/>
                <w:highlight w:val="none"/>
              </w:rPr>
            </w:pPr>
            <w:r>
              <w:rPr>
                <w:color w:val="auto"/>
                <w:spacing w:val="-2"/>
                <w:highlight w:val="none"/>
              </w:rPr>
              <w:t>项目名称</w:t>
            </w:r>
          </w:p>
        </w:tc>
        <w:tc>
          <w:tcPr>
            <w:tcW w:w="12196" w:type="dxa"/>
            <w:gridSpan w:val="5"/>
            <w:vAlign w:val="top"/>
          </w:tcPr>
          <w:p w14:paraId="662CBB0C">
            <w:pPr>
              <w:rPr>
                <w:rFonts w:ascii="Arial"/>
                <w:color w:val="auto"/>
                <w:sz w:val="21"/>
                <w:highlight w:val="none"/>
              </w:rPr>
            </w:pPr>
          </w:p>
        </w:tc>
      </w:tr>
      <w:tr w14:paraId="6FE9F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948" w:type="dxa"/>
            <w:vAlign w:val="top"/>
          </w:tcPr>
          <w:p w14:paraId="0210955A">
            <w:pPr>
              <w:pStyle w:val="11"/>
              <w:spacing w:before="97" w:line="221" w:lineRule="auto"/>
              <w:ind w:left="560"/>
              <w:rPr>
                <w:color w:val="auto"/>
                <w:highlight w:val="none"/>
              </w:rPr>
            </w:pPr>
            <w:r>
              <w:rPr>
                <w:color w:val="auto"/>
                <w:spacing w:val="-1"/>
                <w:highlight w:val="none"/>
              </w:rPr>
              <w:t>标段名称</w:t>
            </w:r>
          </w:p>
        </w:tc>
        <w:tc>
          <w:tcPr>
            <w:tcW w:w="12196" w:type="dxa"/>
            <w:gridSpan w:val="5"/>
            <w:vAlign w:val="top"/>
          </w:tcPr>
          <w:p w14:paraId="1316DAA5">
            <w:pPr>
              <w:rPr>
                <w:rFonts w:ascii="Arial"/>
                <w:color w:val="auto"/>
                <w:sz w:val="21"/>
                <w:highlight w:val="none"/>
              </w:rPr>
            </w:pPr>
          </w:p>
        </w:tc>
      </w:tr>
      <w:tr w14:paraId="2748E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Align w:val="top"/>
          </w:tcPr>
          <w:p w14:paraId="6B5A2342">
            <w:pPr>
              <w:pStyle w:val="11"/>
              <w:spacing w:before="93" w:line="221" w:lineRule="auto"/>
              <w:ind w:left="562"/>
              <w:rPr>
                <w:color w:val="auto"/>
                <w:highlight w:val="none"/>
              </w:rPr>
            </w:pPr>
            <w:r>
              <w:rPr>
                <w:color w:val="auto"/>
                <w:spacing w:val="-2"/>
                <w:highlight w:val="none"/>
              </w:rPr>
              <w:t>工程性质</w:t>
            </w:r>
          </w:p>
        </w:tc>
        <w:tc>
          <w:tcPr>
            <w:tcW w:w="5108" w:type="dxa"/>
            <w:gridSpan w:val="2"/>
            <w:vAlign w:val="top"/>
          </w:tcPr>
          <w:p w14:paraId="05DFA75B">
            <w:pPr>
              <w:rPr>
                <w:rFonts w:ascii="Arial"/>
                <w:color w:val="auto"/>
                <w:sz w:val="21"/>
                <w:highlight w:val="none"/>
              </w:rPr>
            </w:pPr>
          </w:p>
        </w:tc>
        <w:tc>
          <w:tcPr>
            <w:tcW w:w="2341" w:type="dxa"/>
            <w:vAlign w:val="top"/>
          </w:tcPr>
          <w:p w14:paraId="4CA7F623">
            <w:pPr>
              <w:pStyle w:val="11"/>
              <w:spacing w:before="92" w:line="221" w:lineRule="auto"/>
              <w:ind w:left="422"/>
              <w:rPr>
                <w:color w:val="auto"/>
                <w:highlight w:val="none"/>
              </w:rPr>
            </w:pPr>
            <w:r>
              <w:rPr>
                <w:color w:val="auto"/>
                <w:spacing w:val="-2"/>
                <w:highlight w:val="none"/>
              </w:rPr>
              <w:t>资金来源及比例</w:t>
            </w:r>
          </w:p>
        </w:tc>
        <w:tc>
          <w:tcPr>
            <w:tcW w:w="4747" w:type="dxa"/>
            <w:gridSpan w:val="2"/>
            <w:vAlign w:val="top"/>
          </w:tcPr>
          <w:p w14:paraId="71878D00">
            <w:pPr>
              <w:rPr>
                <w:rFonts w:ascii="Arial"/>
                <w:color w:val="auto"/>
                <w:sz w:val="21"/>
                <w:highlight w:val="none"/>
              </w:rPr>
            </w:pPr>
          </w:p>
        </w:tc>
      </w:tr>
      <w:tr w14:paraId="44DC4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1948" w:type="dxa"/>
            <w:vAlign w:val="top"/>
          </w:tcPr>
          <w:p w14:paraId="63C84B4F">
            <w:pPr>
              <w:pStyle w:val="11"/>
              <w:spacing w:before="93" w:line="222" w:lineRule="auto"/>
              <w:ind w:left="562"/>
              <w:rPr>
                <w:color w:val="auto"/>
                <w:highlight w:val="none"/>
              </w:rPr>
            </w:pPr>
            <w:r>
              <w:rPr>
                <w:color w:val="auto"/>
                <w:spacing w:val="-2"/>
                <w:highlight w:val="none"/>
              </w:rPr>
              <w:t>建设地址</w:t>
            </w:r>
          </w:p>
        </w:tc>
        <w:tc>
          <w:tcPr>
            <w:tcW w:w="12196" w:type="dxa"/>
            <w:gridSpan w:val="5"/>
            <w:vAlign w:val="top"/>
          </w:tcPr>
          <w:p w14:paraId="6DD12FAC">
            <w:pPr>
              <w:rPr>
                <w:rFonts w:ascii="Arial"/>
                <w:color w:val="auto"/>
                <w:sz w:val="21"/>
                <w:highlight w:val="none"/>
              </w:rPr>
            </w:pPr>
          </w:p>
        </w:tc>
      </w:tr>
      <w:tr w14:paraId="7BAC1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Align w:val="top"/>
          </w:tcPr>
          <w:p w14:paraId="32D25F04">
            <w:pPr>
              <w:pStyle w:val="11"/>
              <w:spacing w:before="92" w:line="221" w:lineRule="auto"/>
              <w:ind w:left="579"/>
              <w:rPr>
                <w:color w:val="auto"/>
                <w:highlight w:val="none"/>
              </w:rPr>
            </w:pPr>
            <w:r>
              <w:rPr>
                <w:color w:val="auto"/>
                <w:spacing w:val="-5"/>
                <w:highlight w:val="none"/>
              </w:rPr>
              <w:t>中标内容</w:t>
            </w:r>
          </w:p>
        </w:tc>
        <w:tc>
          <w:tcPr>
            <w:tcW w:w="12196" w:type="dxa"/>
            <w:gridSpan w:val="5"/>
            <w:vAlign w:val="top"/>
          </w:tcPr>
          <w:p w14:paraId="09FEBFF6">
            <w:pPr>
              <w:rPr>
                <w:rFonts w:ascii="Arial"/>
                <w:color w:val="auto"/>
                <w:sz w:val="21"/>
                <w:highlight w:val="none"/>
              </w:rPr>
            </w:pPr>
          </w:p>
        </w:tc>
      </w:tr>
      <w:tr w14:paraId="2A5C0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948" w:type="dxa"/>
            <w:vAlign w:val="top"/>
          </w:tcPr>
          <w:p w14:paraId="009D8D68">
            <w:pPr>
              <w:pStyle w:val="11"/>
              <w:spacing w:before="103" w:line="221" w:lineRule="auto"/>
              <w:ind w:left="560"/>
              <w:rPr>
                <w:color w:val="auto"/>
                <w:highlight w:val="none"/>
              </w:rPr>
            </w:pPr>
            <w:r>
              <w:rPr>
                <w:color w:val="auto"/>
                <w:spacing w:val="-1"/>
                <w:highlight w:val="none"/>
              </w:rPr>
              <w:t>计划工期</w:t>
            </w:r>
          </w:p>
        </w:tc>
        <w:tc>
          <w:tcPr>
            <w:tcW w:w="5108" w:type="dxa"/>
            <w:gridSpan w:val="2"/>
            <w:vAlign w:val="top"/>
          </w:tcPr>
          <w:p w14:paraId="6BEF5FDC">
            <w:pPr>
              <w:rPr>
                <w:rFonts w:ascii="Arial"/>
                <w:color w:val="auto"/>
                <w:sz w:val="21"/>
                <w:highlight w:val="none"/>
              </w:rPr>
            </w:pPr>
          </w:p>
        </w:tc>
        <w:tc>
          <w:tcPr>
            <w:tcW w:w="2361" w:type="dxa"/>
            <w:gridSpan w:val="2"/>
            <w:vAlign w:val="top"/>
          </w:tcPr>
          <w:p w14:paraId="5D091577">
            <w:pPr>
              <w:pStyle w:val="11"/>
              <w:spacing w:before="103" w:line="221" w:lineRule="auto"/>
              <w:ind w:left="361"/>
              <w:rPr>
                <w:color w:val="auto"/>
                <w:highlight w:val="none"/>
              </w:rPr>
            </w:pPr>
            <w:r>
              <w:rPr>
                <w:color w:val="auto"/>
                <w:spacing w:val="-3"/>
                <w:highlight w:val="none"/>
              </w:rPr>
              <w:t>总工期（日历天）</w:t>
            </w:r>
          </w:p>
        </w:tc>
        <w:tc>
          <w:tcPr>
            <w:tcW w:w="4727" w:type="dxa"/>
            <w:vAlign w:val="top"/>
          </w:tcPr>
          <w:p w14:paraId="24CD18AE">
            <w:pPr>
              <w:rPr>
                <w:rFonts w:ascii="Arial"/>
                <w:color w:val="auto"/>
                <w:sz w:val="21"/>
                <w:highlight w:val="none"/>
              </w:rPr>
            </w:pPr>
          </w:p>
        </w:tc>
      </w:tr>
      <w:tr w14:paraId="302EC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3" w:hRule="atLeast"/>
        </w:trPr>
        <w:tc>
          <w:tcPr>
            <w:tcW w:w="1948" w:type="dxa"/>
            <w:vAlign w:val="top"/>
          </w:tcPr>
          <w:p w14:paraId="3D71710C">
            <w:pPr>
              <w:pStyle w:val="11"/>
              <w:spacing w:before="93" w:line="221" w:lineRule="auto"/>
              <w:ind w:left="569"/>
              <w:rPr>
                <w:color w:val="auto"/>
                <w:highlight w:val="none"/>
              </w:rPr>
            </w:pPr>
            <w:r>
              <w:rPr>
                <w:color w:val="auto"/>
                <w:spacing w:val="-3"/>
                <w:highlight w:val="none"/>
              </w:rPr>
              <w:t>资质等级</w:t>
            </w:r>
          </w:p>
        </w:tc>
        <w:tc>
          <w:tcPr>
            <w:tcW w:w="5108" w:type="dxa"/>
            <w:gridSpan w:val="2"/>
            <w:vAlign w:val="top"/>
          </w:tcPr>
          <w:p w14:paraId="1BB90AB6">
            <w:pPr>
              <w:rPr>
                <w:rFonts w:ascii="Arial"/>
                <w:color w:val="auto"/>
                <w:sz w:val="21"/>
                <w:highlight w:val="none"/>
              </w:rPr>
            </w:pPr>
          </w:p>
        </w:tc>
        <w:tc>
          <w:tcPr>
            <w:tcW w:w="2361" w:type="dxa"/>
            <w:gridSpan w:val="2"/>
            <w:vAlign w:val="top"/>
          </w:tcPr>
          <w:p w14:paraId="040CB358">
            <w:pPr>
              <w:pStyle w:val="11"/>
              <w:spacing w:before="94" w:line="221" w:lineRule="auto"/>
              <w:ind w:left="774"/>
              <w:rPr>
                <w:color w:val="auto"/>
                <w:highlight w:val="none"/>
              </w:rPr>
            </w:pPr>
            <w:r>
              <w:rPr>
                <w:color w:val="auto"/>
                <w:spacing w:val="-1"/>
                <w:highlight w:val="none"/>
              </w:rPr>
              <w:t>质量标准</w:t>
            </w:r>
          </w:p>
        </w:tc>
        <w:tc>
          <w:tcPr>
            <w:tcW w:w="4727" w:type="dxa"/>
            <w:vAlign w:val="top"/>
          </w:tcPr>
          <w:p w14:paraId="06D6C2AD">
            <w:pPr>
              <w:rPr>
                <w:rFonts w:ascii="Arial"/>
                <w:color w:val="auto"/>
                <w:sz w:val="21"/>
                <w:highlight w:val="none"/>
              </w:rPr>
            </w:pPr>
          </w:p>
        </w:tc>
      </w:tr>
      <w:tr w14:paraId="44BC6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948" w:type="dxa"/>
            <w:vAlign w:val="top"/>
          </w:tcPr>
          <w:p w14:paraId="33456D7C">
            <w:pPr>
              <w:pStyle w:val="11"/>
              <w:spacing w:before="99" w:line="221" w:lineRule="auto"/>
              <w:ind w:left="563"/>
              <w:rPr>
                <w:color w:val="auto"/>
                <w:highlight w:val="none"/>
              </w:rPr>
            </w:pPr>
            <w:r>
              <w:rPr>
                <w:color w:val="auto"/>
                <w:spacing w:val="-2"/>
                <w:highlight w:val="none"/>
              </w:rPr>
              <w:t>项目经理</w:t>
            </w:r>
          </w:p>
        </w:tc>
        <w:tc>
          <w:tcPr>
            <w:tcW w:w="2764" w:type="dxa"/>
            <w:vAlign w:val="top"/>
          </w:tcPr>
          <w:p w14:paraId="40FD86F4">
            <w:pPr>
              <w:rPr>
                <w:rFonts w:ascii="Arial"/>
                <w:color w:val="auto"/>
                <w:sz w:val="21"/>
                <w:highlight w:val="none"/>
              </w:rPr>
            </w:pPr>
          </w:p>
        </w:tc>
        <w:tc>
          <w:tcPr>
            <w:tcW w:w="2344" w:type="dxa"/>
            <w:vAlign w:val="top"/>
          </w:tcPr>
          <w:p w14:paraId="3AE02559">
            <w:pPr>
              <w:pStyle w:val="11"/>
              <w:spacing w:before="98" w:line="220" w:lineRule="auto"/>
              <w:ind w:left="461"/>
              <w:rPr>
                <w:color w:val="auto"/>
                <w:highlight w:val="none"/>
              </w:rPr>
            </w:pPr>
            <w:r>
              <w:rPr>
                <w:color w:val="auto"/>
                <w:spacing w:val="-2"/>
                <w:highlight w:val="none"/>
              </w:rPr>
              <w:t>资格证书及编号</w:t>
            </w:r>
          </w:p>
        </w:tc>
        <w:tc>
          <w:tcPr>
            <w:tcW w:w="7088" w:type="dxa"/>
            <w:gridSpan w:val="3"/>
            <w:vAlign w:val="top"/>
          </w:tcPr>
          <w:p w14:paraId="14CF8B47">
            <w:pPr>
              <w:rPr>
                <w:rFonts w:ascii="Arial"/>
                <w:color w:val="auto"/>
                <w:sz w:val="21"/>
                <w:highlight w:val="none"/>
              </w:rPr>
            </w:pPr>
          </w:p>
        </w:tc>
      </w:tr>
      <w:tr w14:paraId="79293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Merge w:val="restart"/>
            <w:tcBorders>
              <w:bottom w:val="nil"/>
            </w:tcBorders>
            <w:vAlign w:val="top"/>
          </w:tcPr>
          <w:p w14:paraId="49CA95A3">
            <w:pPr>
              <w:pStyle w:val="11"/>
              <w:spacing w:before="252" w:line="221" w:lineRule="auto"/>
              <w:ind w:left="579"/>
              <w:rPr>
                <w:color w:val="auto"/>
                <w:highlight w:val="none"/>
              </w:rPr>
            </w:pPr>
            <w:r>
              <w:rPr>
                <w:color w:val="auto"/>
                <w:spacing w:val="-5"/>
                <w:highlight w:val="none"/>
              </w:rPr>
              <w:t>中标金额</w:t>
            </w:r>
          </w:p>
        </w:tc>
        <w:tc>
          <w:tcPr>
            <w:tcW w:w="12196" w:type="dxa"/>
            <w:gridSpan w:val="5"/>
            <w:vAlign w:val="top"/>
          </w:tcPr>
          <w:p w14:paraId="2DF609B8">
            <w:pPr>
              <w:pStyle w:val="11"/>
              <w:spacing w:before="95" w:line="221" w:lineRule="auto"/>
              <w:ind w:left="117"/>
              <w:rPr>
                <w:color w:val="auto"/>
                <w:highlight w:val="none"/>
              </w:rPr>
            </w:pPr>
            <w:r>
              <w:rPr>
                <w:color w:val="auto"/>
                <w:spacing w:val="-13"/>
                <w:highlight w:val="none"/>
              </w:rPr>
              <w:t>大写：</w:t>
            </w:r>
          </w:p>
        </w:tc>
      </w:tr>
      <w:tr w14:paraId="7E977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948" w:type="dxa"/>
            <w:vMerge w:val="continue"/>
            <w:tcBorders>
              <w:top w:val="nil"/>
            </w:tcBorders>
            <w:vAlign w:val="top"/>
          </w:tcPr>
          <w:p w14:paraId="7B6D9177">
            <w:pPr>
              <w:rPr>
                <w:rFonts w:ascii="Arial"/>
                <w:color w:val="auto"/>
                <w:sz w:val="21"/>
                <w:highlight w:val="none"/>
              </w:rPr>
            </w:pPr>
          </w:p>
        </w:tc>
        <w:tc>
          <w:tcPr>
            <w:tcW w:w="12196" w:type="dxa"/>
            <w:gridSpan w:val="5"/>
            <w:vAlign w:val="top"/>
          </w:tcPr>
          <w:p w14:paraId="5F42F366">
            <w:pPr>
              <w:pStyle w:val="11"/>
              <w:spacing w:before="52" w:line="219" w:lineRule="auto"/>
              <w:ind w:left="120"/>
              <w:rPr>
                <w:color w:val="auto"/>
                <w:highlight w:val="none"/>
              </w:rPr>
            </w:pPr>
            <w:r>
              <w:rPr>
                <w:color w:val="auto"/>
                <w:spacing w:val="-14"/>
                <w:highlight w:val="none"/>
              </w:rPr>
              <w:t>小写：</w:t>
            </w:r>
          </w:p>
        </w:tc>
      </w:tr>
      <w:tr w14:paraId="4F3BB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948" w:type="dxa"/>
            <w:vAlign w:val="top"/>
          </w:tcPr>
          <w:p w14:paraId="467CA2B2">
            <w:pPr>
              <w:pStyle w:val="11"/>
              <w:spacing w:before="94" w:line="221" w:lineRule="auto"/>
              <w:ind w:left="259"/>
              <w:rPr>
                <w:color w:val="auto"/>
                <w:highlight w:val="none"/>
              </w:rPr>
            </w:pPr>
            <w:r>
              <w:rPr>
                <w:color w:val="auto"/>
                <w:spacing w:val="-3"/>
                <w:highlight w:val="none"/>
              </w:rPr>
              <w:t>需要说明的事项</w:t>
            </w:r>
          </w:p>
        </w:tc>
        <w:tc>
          <w:tcPr>
            <w:tcW w:w="12196" w:type="dxa"/>
            <w:gridSpan w:val="5"/>
            <w:vAlign w:val="top"/>
          </w:tcPr>
          <w:p w14:paraId="1203B0A0">
            <w:pPr>
              <w:rPr>
                <w:rFonts w:ascii="Arial"/>
                <w:color w:val="auto"/>
                <w:sz w:val="21"/>
                <w:highlight w:val="none"/>
              </w:rPr>
            </w:pPr>
          </w:p>
        </w:tc>
      </w:tr>
      <w:tr w14:paraId="39749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7" w:hRule="atLeast"/>
        </w:trPr>
        <w:tc>
          <w:tcPr>
            <w:tcW w:w="4712" w:type="dxa"/>
            <w:gridSpan w:val="2"/>
            <w:vAlign w:val="top"/>
          </w:tcPr>
          <w:p w14:paraId="40B84D26">
            <w:pPr>
              <w:spacing w:line="471" w:lineRule="auto"/>
              <w:rPr>
                <w:rFonts w:ascii="Arial"/>
                <w:color w:val="auto"/>
                <w:sz w:val="21"/>
                <w:highlight w:val="none"/>
              </w:rPr>
            </w:pPr>
          </w:p>
          <w:p w14:paraId="0B8E33DC">
            <w:pPr>
              <w:pStyle w:val="11"/>
              <w:spacing w:before="68" w:line="220" w:lineRule="auto"/>
              <w:ind w:left="748"/>
              <w:rPr>
                <w:color w:val="auto"/>
                <w:highlight w:val="none"/>
              </w:rPr>
            </w:pPr>
            <w:r>
              <w:rPr>
                <w:color w:val="auto"/>
                <w:spacing w:val="-2"/>
                <w:highlight w:val="none"/>
              </w:rPr>
              <w:t>招标人（盖章）</w:t>
            </w:r>
          </w:p>
          <w:p w14:paraId="0A5BB29E">
            <w:pPr>
              <w:pStyle w:val="11"/>
              <w:spacing w:before="152" w:line="220" w:lineRule="auto"/>
              <w:ind w:left="748"/>
              <w:rPr>
                <w:color w:val="auto"/>
                <w:highlight w:val="none"/>
              </w:rPr>
            </w:pPr>
            <w:r>
              <w:rPr>
                <w:color w:val="auto"/>
                <w:spacing w:val="-2"/>
                <w:highlight w:val="none"/>
              </w:rPr>
              <w:t>法定代表人（签章）</w:t>
            </w:r>
          </w:p>
          <w:p w14:paraId="18329ECE">
            <w:pPr>
              <w:pStyle w:val="11"/>
              <w:spacing w:before="147" w:line="221" w:lineRule="auto"/>
              <w:ind w:left="2735"/>
              <w:rPr>
                <w:color w:val="auto"/>
                <w:highlight w:val="none"/>
              </w:rPr>
            </w:pPr>
            <w:r>
              <w:rPr>
                <w:color w:val="auto"/>
                <w:spacing w:val="-7"/>
                <w:highlight w:val="none"/>
              </w:rPr>
              <w:t>年</w:t>
            </w:r>
            <w:r>
              <w:rPr>
                <w:color w:val="auto"/>
                <w:spacing w:val="5"/>
                <w:highlight w:val="none"/>
              </w:rPr>
              <w:t xml:space="preserve">  </w:t>
            </w:r>
            <w:r>
              <w:rPr>
                <w:color w:val="auto"/>
                <w:spacing w:val="-7"/>
                <w:highlight w:val="none"/>
              </w:rPr>
              <w:t>月</w:t>
            </w:r>
            <w:r>
              <w:rPr>
                <w:color w:val="auto"/>
                <w:spacing w:val="22"/>
                <w:highlight w:val="none"/>
              </w:rPr>
              <w:t xml:space="preserve">  </w:t>
            </w:r>
            <w:r>
              <w:rPr>
                <w:color w:val="auto"/>
                <w:spacing w:val="-7"/>
                <w:highlight w:val="none"/>
              </w:rPr>
              <w:t>日</w:t>
            </w:r>
          </w:p>
        </w:tc>
        <w:tc>
          <w:tcPr>
            <w:tcW w:w="4705" w:type="dxa"/>
            <w:gridSpan w:val="3"/>
            <w:vAlign w:val="top"/>
          </w:tcPr>
          <w:p w14:paraId="303D4545">
            <w:pPr>
              <w:spacing w:line="471" w:lineRule="auto"/>
              <w:rPr>
                <w:rFonts w:ascii="Arial"/>
                <w:color w:val="auto"/>
                <w:sz w:val="21"/>
                <w:highlight w:val="none"/>
              </w:rPr>
            </w:pPr>
          </w:p>
          <w:p w14:paraId="003815D7">
            <w:pPr>
              <w:pStyle w:val="11"/>
              <w:spacing w:before="68" w:line="220" w:lineRule="auto"/>
              <w:ind w:left="746"/>
              <w:rPr>
                <w:color w:val="auto"/>
                <w:highlight w:val="none"/>
              </w:rPr>
            </w:pPr>
            <w:r>
              <w:rPr>
                <w:color w:val="auto"/>
                <w:spacing w:val="-3"/>
                <w:highlight w:val="none"/>
              </w:rPr>
              <w:t>招标代理（盖章）</w:t>
            </w:r>
          </w:p>
          <w:p w14:paraId="7D5550C6">
            <w:pPr>
              <w:pStyle w:val="11"/>
              <w:spacing w:before="152" w:line="220" w:lineRule="auto"/>
              <w:ind w:left="746"/>
              <w:rPr>
                <w:color w:val="auto"/>
                <w:highlight w:val="none"/>
              </w:rPr>
            </w:pPr>
            <w:r>
              <w:rPr>
                <w:color w:val="auto"/>
                <w:spacing w:val="-2"/>
                <w:highlight w:val="none"/>
              </w:rPr>
              <w:t>法定代表人（签章）</w:t>
            </w:r>
          </w:p>
          <w:p w14:paraId="5A75C35E">
            <w:pPr>
              <w:pStyle w:val="11"/>
              <w:spacing w:before="147" w:line="221" w:lineRule="auto"/>
              <w:ind w:left="2786"/>
              <w:rPr>
                <w:color w:val="auto"/>
                <w:highlight w:val="none"/>
              </w:rPr>
            </w:pPr>
            <w:r>
              <w:rPr>
                <w:color w:val="auto"/>
                <w:spacing w:val="-7"/>
                <w:highlight w:val="none"/>
              </w:rPr>
              <w:t>年</w:t>
            </w:r>
            <w:r>
              <w:rPr>
                <w:color w:val="auto"/>
                <w:spacing w:val="7"/>
                <w:highlight w:val="none"/>
              </w:rPr>
              <w:t xml:space="preserve">  </w:t>
            </w:r>
            <w:r>
              <w:rPr>
                <w:color w:val="auto"/>
                <w:spacing w:val="-7"/>
                <w:highlight w:val="none"/>
              </w:rPr>
              <w:t>月</w:t>
            </w:r>
            <w:r>
              <w:rPr>
                <w:color w:val="auto"/>
                <w:spacing w:val="20"/>
                <w:highlight w:val="none"/>
              </w:rPr>
              <w:t xml:space="preserve">  </w:t>
            </w:r>
            <w:r>
              <w:rPr>
                <w:color w:val="auto"/>
                <w:spacing w:val="-7"/>
                <w:highlight w:val="none"/>
              </w:rPr>
              <w:t>日</w:t>
            </w:r>
          </w:p>
        </w:tc>
        <w:tc>
          <w:tcPr>
            <w:tcW w:w="4727" w:type="dxa"/>
            <w:vAlign w:val="top"/>
          </w:tcPr>
          <w:p w14:paraId="74A9DDD0">
            <w:pPr>
              <w:spacing w:line="471" w:lineRule="auto"/>
              <w:rPr>
                <w:rFonts w:ascii="Arial"/>
                <w:color w:val="auto"/>
                <w:sz w:val="21"/>
                <w:highlight w:val="none"/>
              </w:rPr>
            </w:pPr>
          </w:p>
          <w:p w14:paraId="74EF3157">
            <w:pPr>
              <w:pStyle w:val="11"/>
              <w:spacing w:before="69" w:line="403" w:lineRule="exact"/>
              <w:ind w:left="645"/>
              <w:rPr>
                <w:color w:val="auto"/>
                <w:highlight w:val="none"/>
              </w:rPr>
            </w:pPr>
            <w:r>
              <w:rPr>
                <w:color w:val="auto"/>
                <w:spacing w:val="-3"/>
                <w:position w:val="14"/>
                <w:highlight w:val="none"/>
              </w:rPr>
              <w:t>监管部门（盖章）</w:t>
            </w:r>
          </w:p>
          <w:p w14:paraId="6B623445">
            <w:pPr>
              <w:pStyle w:val="11"/>
              <w:spacing w:line="219" w:lineRule="auto"/>
              <w:ind w:left="646"/>
              <w:rPr>
                <w:color w:val="auto"/>
                <w:highlight w:val="none"/>
              </w:rPr>
            </w:pPr>
            <w:r>
              <w:rPr>
                <w:color w:val="auto"/>
                <w:spacing w:val="-2"/>
                <w:highlight w:val="none"/>
              </w:rPr>
              <w:t>经办人（签章）</w:t>
            </w:r>
          </w:p>
          <w:p w14:paraId="4CCD5D41">
            <w:pPr>
              <w:pStyle w:val="11"/>
              <w:spacing w:before="147" w:line="221" w:lineRule="auto"/>
              <w:ind w:left="2638"/>
              <w:rPr>
                <w:color w:val="auto"/>
                <w:highlight w:val="none"/>
              </w:rPr>
            </w:pPr>
            <w:r>
              <w:rPr>
                <w:color w:val="auto"/>
                <w:spacing w:val="-7"/>
                <w:highlight w:val="none"/>
              </w:rPr>
              <w:t>年</w:t>
            </w:r>
            <w:r>
              <w:rPr>
                <w:color w:val="auto"/>
                <w:spacing w:val="4"/>
                <w:highlight w:val="none"/>
              </w:rPr>
              <w:t xml:space="preserve">  </w:t>
            </w:r>
            <w:r>
              <w:rPr>
                <w:color w:val="auto"/>
                <w:spacing w:val="-7"/>
                <w:highlight w:val="none"/>
              </w:rPr>
              <w:t>月</w:t>
            </w:r>
            <w:r>
              <w:rPr>
                <w:color w:val="auto"/>
                <w:spacing w:val="23"/>
                <w:highlight w:val="none"/>
              </w:rPr>
              <w:t xml:space="preserve">  </w:t>
            </w:r>
            <w:r>
              <w:rPr>
                <w:color w:val="auto"/>
                <w:spacing w:val="-7"/>
                <w:highlight w:val="none"/>
              </w:rPr>
              <w:t>日</w:t>
            </w:r>
          </w:p>
        </w:tc>
      </w:tr>
    </w:tbl>
    <w:p w14:paraId="4AD705DD">
      <w:pPr>
        <w:pStyle w:val="3"/>
        <w:rPr>
          <w:color w:val="auto"/>
          <w:highlight w:val="none"/>
        </w:rPr>
      </w:pPr>
    </w:p>
    <w:p w14:paraId="2F6128E0">
      <w:pPr>
        <w:rPr>
          <w:color w:val="auto"/>
          <w:highlight w:val="none"/>
        </w:rPr>
        <w:sectPr>
          <w:footerReference r:id="rId39" w:type="default"/>
          <w:pgSz w:w="16839" w:h="11905"/>
          <w:pgMar w:top="1011" w:right="1248" w:bottom="991" w:left="1440" w:header="0" w:footer="786" w:gutter="0"/>
          <w:pgNumType w:fmt="decimal"/>
          <w:cols w:space="720" w:num="1"/>
        </w:sectPr>
      </w:pPr>
    </w:p>
    <w:p w14:paraId="59363DAD">
      <w:pPr>
        <w:pStyle w:val="3"/>
        <w:spacing w:line="465" w:lineRule="auto"/>
        <w:rPr>
          <w:color w:val="auto"/>
          <w:highlight w:val="none"/>
        </w:rPr>
      </w:pPr>
    </w:p>
    <w:p w14:paraId="0C5DB61B">
      <w:pPr>
        <w:spacing w:before="78" w:line="220" w:lineRule="auto"/>
        <w:ind w:left="32"/>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附表九：中标结果通知书</w:t>
      </w:r>
    </w:p>
    <w:p w14:paraId="549F4453">
      <w:pPr>
        <w:pStyle w:val="3"/>
        <w:spacing w:line="266" w:lineRule="auto"/>
        <w:rPr>
          <w:color w:val="auto"/>
          <w:highlight w:val="none"/>
        </w:rPr>
      </w:pPr>
    </w:p>
    <w:p w14:paraId="24680C0C">
      <w:pPr>
        <w:pStyle w:val="3"/>
        <w:spacing w:line="266" w:lineRule="auto"/>
        <w:rPr>
          <w:color w:val="auto"/>
          <w:highlight w:val="none"/>
        </w:rPr>
      </w:pPr>
    </w:p>
    <w:p w14:paraId="3F985BD4">
      <w:pPr>
        <w:spacing w:before="88" w:line="225" w:lineRule="auto"/>
        <w:ind w:left="3221"/>
        <w:rPr>
          <w:rFonts w:ascii="黑体" w:hAnsi="黑体" w:eastAsia="黑体" w:cs="黑体"/>
          <w:color w:val="auto"/>
          <w:sz w:val="27"/>
          <w:szCs w:val="27"/>
          <w:highlight w:val="none"/>
        </w:rPr>
      </w:pPr>
      <w:r>
        <w:rPr>
          <w:rFonts w:ascii="黑体" w:hAnsi="黑体" w:eastAsia="黑体" w:cs="黑体"/>
          <w:color w:val="auto"/>
          <w:spacing w:val="4"/>
          <w:sz w:val="27"/>
          <w:szCs w:val="27"/>
          <w:highlight w:val="none"/>
        </w:rPr>
        <w:t>中标结果通知书</w:t>
      </w:r>
    </w:p>
    <w:p w14:paraId="4B5491ED">
      <w:pPr>
        <w:pStyle w:val="3"/>
        <w:spacing w:line="378" w:lineRule="auto"/>
        <w:rPr>
          <w:color w:val="auto"/>
          <w:highlight w:val="none"/>
        </w:rPr>
      </w:pPr>
    </w:p>
    <w:p w14:paraId="351563AD">
      <w:pPr>
        <w:tabs>
          <w:tab w:val="left" w:pos="1166"/>
        </w:tabs>
        <w:spacing w:before="68" w:line="221" w:lineRule="auto"/>
        <w:ind w:left="1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16"/>
          <w:sz w:val="21"/>
          <w:szCs w:val="21"/>
          <w:highlight w:val="none"/>
        </w:rPr>
        <w:t xml:space="preserve"> </w:t>
      </w:r>
      <w:r>
        <w:rPr>
          <w:rFonts w:ascii="宋体" w:hAnsi="宋体" w:eastAsia="宋体" w:cs="宋体"/>
          <w:color w:val="auto"/>
          <w:spacing w:val="-27"/>
          <w:w w:val="98"/>
          <w:sz w:val="21"/>
          <w:szCs w:val="21"/>
          <w:highlight w:val="none"/>
        </w:rPr>
        <w:t>（未中标人名称</w:t>
      </w:r>
      <w:r>
        <w:rPr>
          <w:rFonts w:ascii="宋体" w:hAnsi="宋体" w:eastAsia="宋体" w:cs="宋体"/>
          <w:color w:val="auto"/>
          <w:spacing w:val="-9"/>
          <w:sz w:val="21"/>
          <w:szCs w:val="21"/>
          <w:highlight w:val="none"/>
        </w:rPr>
        <w:t>）：</w:t>
      </w:r>
    </w:p>
    <w:p w14:paraId="16668FEE">
      <w:pPr>
        <w:pStyle w:val="3"/>
        <w:spacing w:line="318" w:lineRule="auto"/>
        <w:rPr>
          <w:color w:val="auto"/>
          <w:highlight w:val="none"/>
        </w:rPr>
      </w:pPr>
    </w:p>
    <w:p w14:paraId="32AE19EF">
      <w:pPr>
        <w:pStyle w:val="3"/>
        <w:spacing w:line="318" w:lineRule="auto"/>
        <w:rPr>
          <w:color w:val="auto"/>
          <w:highlight w:val="none"/>
        </w:rPr>
      </w:pPr>
    </w:p>
    <w:p w14:paraId="5BF95405">
      <w:pPr>
        <w:spacing w:before="68" w:line="422" w:lineRule="auto"/>
        <w:jc w:val="right"/>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我方已接受</w:t>
      </w:r>
      <w:r>
        <w:rPr>
          <w:rFonts w:ascii="宋体" w:hAnsi="宋体" w:eastAsia="宋体" w:cs="宋体"/>
          <w:color w:val="auto"/>
          <w:spacing w:val="-88"/>
          <w:sz w:val="21"/>
          <w:szCs w:val="21"/>
          <w:highlight w:val="none"/>
        </w:rPr>
        <w:t xml:space="preserve"> </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6"/>
          <w:sz w:val="21"/>
          <w:szCs w:val="21"/>
          <w:highlight w:val="none"/>
        </w:rPr>
        <w:t>（中标人名称）于</w:t>
      </w:r>
      <w:r>
        <w:rPr>
          <w:rFonts w:ascii="宋体" w:hAnsi="宋体" w:eastAsia="宋体" w:cs="宋体"/>
          <w:color w:val="auto"/>
          <w:spacing w:val="-104"/>
          <w:sz w:val="21"/>
          <w:szCs w:val="21"/>
          <w:highlight w:val="none"/>
        </w:rPr>
        <w:t xml:space="preserve"> </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6"/>
          <w:sz w:val="21"/>
          <w:szCs w:val="21"/>
          <w:highlight w:val="none"/>
        </w:rPr>
        <w:t xml:space="preserve"> （投标日期）所递交的</w:t>
      </w:r>
      <w:r>
        <w:rPr>
          <w:rFonts w:ascii="宋体" w:hAnsi="宋体" w:eastAsia="宋体" w:cs="宋体"/>
          <w:color w:val="auto"/>
          <w:spacing w:val="-104"/>
          <w:sz w:val="21"/>
          <w:szCs w:val="21"/>
          <w:highlight w:val="none"/>
        </w:rPr>
        <w:t xml:space="preserve"> </w:t>
      </w:r>
      <w:r>
        <w:rPr>
          <w:rFonts w:ascii="宋体" w:hAnsi="宋体" w:eastAsia="宋体" w:cs="宋体"/>
          <w:color w:val="auto"/>
          <w:spacing w:val="19"/>
          <w:sz w:val="21"/>
          <w:szCs w:val="21"/>
          <w:highlight w:val="none"/>
          <w:u w:val="single" w:color="auto"/>
        </w:rPr>
        <w:t xml:space="preserve">     </w:t>
      </w:r>
      <w:r>
        <w:rPr>
          <w:rFonts w:ascii="宋体" w:hAnsi="宋体" w:eastAsia="宋体" w:cs="宋体"/>
          <w:color w:val="auto"/>
          <w:spacing w:val="-44"/>
          <w:sz w:val="21"/>
          <w:szCs w:val="21"/>
          <w:highlight w:val="none"/>
        </w:rPr>
        <w:t xml:space="preserve"> </w:t>
      </w:r>
      <w:r>
        <w:rPr>
          <w:rFonts w:ascii="宋体" w:hAnsi="宋体" w:eastAsia="宋体" w:cs="宋体"/>
          <w:color w:val="auto"/>
          <w:spacing w:val="-6"/>
          <w:sz w:val="21"/>
          <w:szCs w:val="21"/>
          <w:highlight w:val="none"/>
        </w:rPr>
        <w:t>（标</w:t>
      </w:r>
    </w:p>
    <w:p w14:paraId="228FFC99">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段名称）项目（标段唯一标识码</w:t>
      </w:r>
      <w:r>
        <w:rPr>
          <w:rFonts w:ascii="宋体" w:hAnsi="宋体" w:eastAsia="宋体" w:cs="宋体"/>
          <w:color w:val="auto"/>
          <w:spacing w:val="-5"/>
          <w:sz w:val="21"/>
          <w:szCs w:val="21"/>
          <w:highlight w:val="none"/>
        </w:rPr>
        <w:t>：</w:t>
      </w:r>
      <w:r>
        <w:rPr>
          <w:rFonts w:ascii="宋体" w:hAnsi="宋体" w:eastAsia="宋体" w:cs="宋体"/>
          <w:color w:val="auto"/>
          <w:spacing w:val="-27"/>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4"/>
          <w:sz w:val="21"/>
          <w:szCs w:val="21"/>
          <w:highlight w:val="none"/>
        </w:rPr>
        <w:t xml:space="preserve"> </w:t>
      </w:r>
      <w:r>
        <w:rPr>
          <w:rFonts w:ascii="宋体" w:hAnsi="宋体" w:eastAsia="宋体" w:cs="宋体"/>
          <w:color w:val="auto"/>
          <w:spacing w:val="-5"/>
          <w:sz w:val="21"/>
          <w:szCs w:val="21"/>
          <w:highlight w:val="none"/>
        </w:rPr>
        <w:t>）</w:t>
      </w:r>
      <w:r>
        <w:rPr>
          <w:rFonts w:ascii="宋体" w:hAnsi="宋体" w:eastAsia="宋体" w:cs="宋体"/>
          <w:color w:val="auto"/>
          <w:spacing w:val="-6"/>
          <w:sz w:val="21"/>
          <w:szCs w:val="21"/>
          <w:highlight w:val="none"/>
        </w:rPr>
        <w:t>投标文件，</w:t>
      </w:r>
      <w:r>
        <w:rPr>
          <w:rFonts w:ascii="宋体" w:hAnsi="宋体" w:eastAsia="宋体" w:cs="宋体"/>
          <w:color w:val="auto"/>
          <w:spacing w:val="-21"/>
          <w:sz w:val="21"/>
          <w:szCs w:val="21"/>
          <w:highlight w:val="none"/>
        </w:rPr>
        <w:t xml:space="preserve"> </w:t>
      </w:r>
      <w:r>
        <w:rPr>
          <w:rFonts w:ascii="宋体" w:hAnsi="宋体" w:eastAsia="宋体" w:cs="宋体"/>
          <w:color w:val="auto"/>
          <w:spacing w:val="-6"/>
          <w:sz w:val="21"/>
          <w:szCs w:val="21"/>
          <w:highlight w:val="none"/>
        </w:rPr>
        <w:t>确定</w:t>
      </w:r>
      <w:r>
        <w:rPr>
          <w:rFonts w:ascii="宋体" w:hAnsi="宋体" w:eastAsia="宋体" w:cs="宋体"/>
          <w:color w:val="auto"/>
          <w:spacing w:val="-104"/>
          <w:sz w:val="21"/>
          <w:szCs w:val="21"/>
          <w:highlight w:val="none"/>
        </w:rPr>
        <w:t xml:space="preserve"> </w:t>
      </w:r>
      <w:r>
        <w:rPr>
          <w:rFonts w:ascii="宋体" w:hAnsi="宋体" w:eastAsia="宋体" w:cs="宋体"/>
          <w:color w:val="auto"/>
          <w:spacing w:val="13"/>
          <w:sz w:val="21"/>
          <w:szCs w:val="21"/>
          <w:highlight w:val="none"/>
          <w:u w:val="single" w:color="auto"/>
        </w:rPr>
        <w:t xml:space="preserve">    </w:t>
      </w:r>
      <w:r>
        <w:rPr>
          <w:rFonts w:ascii="宋体" w:hAnsi="宋体" w:eastAsia="宋体" w:cs="宋体"/>
          <w:color w:val="auto"/>
          <w:spacing w:val="-6"/>
          <w:sz w:val="21"/>
          <w:szCs w:val="21"/>
          <w:highlight w:val="none"/>
        </w:rPr>
        <w:t>（</w:t>
      </w:r>
      <w:r>
        <w:rPr>
          <w:rFonts w:ascii="宋体" w:hAnsi="宋体" w:eastAsia="宋体" w:cs="宋体"/>
          <w:color w:val="auto"/>
          <w:spacing w:val="-7"/>
          <w:sz w:val="21"/>
          <w:szCs w:val="21"/>
          <w:highlight w:val="none"/>
        </w:rPr>
        <w:t>中标人名称）为中标人。</w:t>
      </w:r>
    </w:p>
    <w:p w14:paraId="741C414C">
      <w:pPr>
        <w:pStyle w:val="3"/>
        <w:spacing w:line="319" w:lineRule="auto"/>
        <w:rPr>
          <w:color w:val="auto"/>
          <w:highlight w:val="none"/>
        </w:rPr>
      </w:pPr>
    </w:p>
    <w:p w14:paraId="330DBBEF">
      <w:pPr>
        <w:pStyle w:val="3"/>
        <w:spacing w:line="319" w:lineRule="auto"/>
        <w:rPr>
          <w:color w:val="auto"/>
          <w:highlight w:val="none"/>
        </w:rPr>
      </w:pPr>
    </w:p>
    <w:p w14:paraId="73A4B57B">
      <w:pPr>
        <w:spacing w:before="68" w:line="234" w:lineRule="auto"/>
        <w:ind w:left="442"/>
        <w:rPr>
          <w:rFonts w:ascii="Times New Roman" w:hAnsi="Times New Roman" w:eastAsia="Times New Roman" w:cs="Times New Roman"/>
          <w:color w:val="auto"/>
          <w:sz w:val="21"/>
          <w:szCs w:val="21"/>
          <w:highlight w:val="none"/>
        </w:rPr>
      </w:pPr>
      <w:r>
        <w:rPr>
          <w:rFonts w:ascii="宋体" w:hAnsi="宋体" w:eastAsia="宋体" w:cs="宋体"/>
          <w:color w:val="auto"/>
          <w:spacing w:val="-1"/>
          <w:sz w:val="21"/>
          <w:szCs w:val="21"/>
          <w:highlight w:val="none"/>
        </w:rPr>
        <w:t>感谢你单位对我方工作的大力支持</w:t>
      </w:r>
      <w:r>
        <w:rPr>
          <w:rFonts w:ascii="Times New Roman" w:hAnsi="Times New Roman" w:eastAsia="Times New Roman" w:cs="Times New Roman"/>
          <w:color w:val="auto"/>
          <w:spacing w:val="-1"/>
          <w:sz w:val="21"/>
          <w:szCs w:val="21"/>
          <w:highlight w:val="none"/>
        </w:rPr>
        <w:t>!</w:t>
      </w:r>
    </w:p>
    <w:p w14:paraId="5ECD6B64">
      <w:pPr>
        <w:pStyle w:val="3"/>
        <w:spacing w:line="256" w:lineRule="auto"/>
        <w:rPr>
          <w:color w:val="auto"/>
          <w:highlight w:val="none"/>
        </w:rPr>
      </w:pPr>
    </w:p>
    <w:p w14:paraId="193ECE70">
      <w:pPr>
        <w:pStyle w:val="3"/>
        <w:spacing w:line="256" w:lineRule="auto"/>
        <w:rPr>
          <w:color w:val="auto"/>
          <w:highlight w:val="none"/>
        </w:rPr>
      </w:pPr>
    </w:p>
    <w:p w14:paraId="531296F3">
      <w:pPr>
        <w:pStyle w:val="3"/>
        <w:spacing w:line="256" w:lineRule="auto"/>
        <w:rPr>
          <w:color w:val="auto"/>
          <w:highlight w:val="none"/>
        </w:rPr>
      </w:pPr>
    </w:p>
    <w:p w14:paraId="79A8F3D3">
      <w:pPr>
        <w:pStyle w:val="3"/>
        <w:spacing w:line="256" w:lineRule="auto"/>
        <w:rPr>
          <w:color w:val="auto"/>
          <w:highlight w:val="none"/>
        </w:rPr>
      </w:pPr>
    </w:p>
    <w:p w14:paraId="4F2BFC61">
      <w:pPr>
        <w:pStyle w:val="3"/>
        <w:spacing w:line="257" w:lineRule="auto"/>
        <w:rPr>
          <w:color w:val="auto"/>
          <w:highlight w:val="none"/>
        </w:rPr>
      </w:pPr>
    </w:p>
    <w:p w14:paraId="43A6F354">
      <w:pPr>
        <w:pStyle w:val="3"/>
        <w:spacing w:line="257" w:lineRule="auto"/>
        <w:rPr>
          <w:color w:val="auto"/>
          <w:highlight w:val="none"/>
        </w:rPr>
      </w:pPr>
    </w:p>
    <w:p w14:paraId="7A42F23A">
      <w:pPr>
        <w:pStyle w:val="3"/>
        <w:spacing w:line="257" w:lineRule="auto"/>
        <w:rPr>
          <w:color w:val="auto"/>
          <w:highlight w:val="none"/>
        </w:rPr>
      </w:pPr>
    </w:p>
    <w:p w14:paraId="1246E43B">
      <w:pPr>
        <w:pStyle w:val="3"/>
        <w:spacing w:line="257" w:lineRule="auto"/>
        <w:rPr>
          <w:color w:val="auto"/>
          <w:highlight w:val="none"/>
        </w:rPr>
      </w:pPr>
    </w:p>
    <w:p w14:paraId="396DE576">
      <w:pPr>
        <w:spacing w:before="69" w:line="422" w:lineRule="auto"/>
        <w:ind w:left="4557" w:right="116"/>
        <w:jc w:val="right"/>
        <w:rPr>
          <w:rFonts w:ascii="宋体" w:hAnsi="宋体" w:eastAsia="宋体" w:cs="宋体"/>
          <w:color w:val="auto"/>
          <w:sz w:val="21"/>
          <w:szCs w:val="21"/>
          <w:highlight w:val="none"/>
        </w:rPr>
      </w:pPr>
      <w:r>
        <w:rPr>
          <w:rFonts w:ascii="宋体" w:hAnsi="宋体" w:eastAsia="宋体" w:cs="宋体"/>
          <w:color w:val="auto"/>
          <w:spacing w:val="-24"/>
          <w:sz w:val="21"/>
          <w:szCs w:val="21"/>
          <w:highlight w:val="none"/>
        </w:rPr>
        <w:t>招标人</w:t>
      </w:r>
      <w:r>
        <w:rPr>
          <w:rFonts w:ascii="宋体" w:hAnsi="宋体" w:eastAsia="宋体" w:cs="宋体"/>
          <w:color w:val="auto"/>
          <w:spacing w:val="1"/>
          <w:sz w:val="21"/>
          <w:szCs w:val="21"/>
          <w:highlight w:val="none"/>
        </w:rPr>
        <w:t>：</w:t>
      </w:r>
      <w:r>
        <w:rPr>
          <w:rFonts w:ascii="宋体" w:hAnsi="宋体" w:eastAsia="宋体" w:cs="宋体"/>
          <w:color w:val="auto"/>
          <w:spacing w:val="11"/>
          <w:sz w:val="21"/>
          <w:szCs w:val="21"/>
          <w:highlight w:val="none"/>
        </w:rPr>
        <w:t xml:space="preserve"> </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42"/>
          <w:sz w:val="21"/>
          <w:szCs w:val="21"/>
          <w:highlight w:val="none"/>
        </w:rPr>
        <w:t xml:space="preserve"> </w:t>
      </w:r>
      <w:r>
        <w:rPr>
          <w:rFonts w:ascii="宋体" w:hAnsi="宋体" w:eastAsia="宋体" w:cs="宋体"/>
          <w:color w:val="auto"/>
          <w:spacing w:val="1"/>
          <w:sz w:val="21"/>
          <w:szCs w:val="21"/>
          <w:highlight w:val="none"/>
        </w:rPr>
        <w:t>（</w:t>
      </w:r>
      <w:r>
        <w:rPr>
          <w:rFonts w:ascii="宋体" w:hAnsi="宋体" w:eastAsia="宋体" w:cs="宋体"/>
          <w:color w:val="auto"/>
          <w:spacing w:val="-24"/>
          <w:sz w:val="21"/>
          <w:szCs w:val="21"/>
          <w:highlight w:val="none"/>
        </w:rPr>
        <w:t>盖单位章）</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法定代表人</w:t>
      </w:r>
      <w:r>
        <w:rPr>
          <w:rFonts w:ascii="宋体" w:hAnsi="宋体" w:eastAsia="宋体" w:cs="宋体"/>
          <w:color w:val="auto"/>
          <w:spacing w:val="-17"/>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17"/>
          <w:sz w:val="21"/>
          <w:szCs w:val="21"/>
          <w:highlight w:val="none"/>
        </w:rPr>
        <w:t>（</w:t>
      </w:r>
      <w:r>
        <w:rPr>
          <w:rFonts w:ascii="宋体" w:hAnsi="宋体" w:eastAsia="宋体" w:cs="宋体"/>
          <w:color w:val="auto"/>
          <w:spacing w:val="2"/>
          <w:sz w:val="21"/>
          <w:szCs w:val="21"/>
          <w:highlight w:val="none"/>
        </w:rPr>
        <w:t>签章）</w:t>
      </w:r>
    </w:p>
    <w:p w14:paraId="1401BB0A">
      <w:pPr>
        <w:tabs>
          <w:tab w:val="left" w:pos="6020"/>
        </w:tabs>
        <w:spacing w:before="1" w:line="220" w:lineRule="auto"/>
        <w:ind w:left="5282"/>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5"/>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105"/>
          <w:sz w:val="21"/>
          <w:szCs w:val="21"/>
          <w:highlight w:val="none"/>
        </w:rPr>
        <w:t xml:space="preserve"> </w:t>
      </w:r>
      <w:r>
        <w:rPr>
          <w:rFonts w:ascii="宋体" w:hAnsi="宋体" w:eastAsia="宋体" w:cs="宋体"/>
          <w:color w:val="auto"/>
          <w:spacing w:val="17"/>
          <w:sz w:val="21"/>
          <w:szCs w:val="21"/>
          <w:highlight w:val="none"/>
          <w:u w:val="single" w:color="auto"/>
        </w:rPr>
        <w:t xml:space="preserve">      </w:t>
      </w:r>
      <w:r>
        <w:rPr>
          <w:rFonts w:ascii="宋体" w:hAnsi="宋体" w:eastAsia="宋体" w:cs="宋体"/>
          <w:color w:val="auto"/>
          <w:spacing w:val="-89"/>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pacing w:val="17"/>
          <w:sz w:val="21"/>
          <w:szCs w:val="21"/>
          <w:highlight w:val="none"/>
          <w:u w:val="single" w:color="auto"/>
        </w:rPr>
        <w:t xml:space="preserve">      </w:t>
      </w:r>
      <w:r>
        <w:rPr>
          <w:rFonts w:ascii="宋体" w:hAnsi="宋体" w:eastAsia="宋体" w:cs="宋体"/>
          <w:color w:val="auto"/>
          <w:spacing w:val="-58"/>
          <w:sz w:val="21"/>
          <w:szCs w:val="21"/>
          <w:highlight w:val="none"/>
        </w:rPr>
        <w:t xml:space="preserve"> </w:t>
      </w:r>
      <w:r>
        <w:rPr>
          <w:rFonts w:ascii="宋体" w:hAnsi="宋体" w:eastAsia="宋体" w:cs="宋体"/>
          <w:color w:val="auto"/>
          <w:spacing w:val="-7"/>
          <w:sz w:val="21"/>
          <w:szCs w:val="21"/>
          <w:highlight w:val="none"/>
        </w:rPr>
        <w:t>日</w:t>
      </w:r>
    </w:p>
    <w:p w14:paraId="7FF51DC7">
      <w:pPr>
        <w:spacing w:line="220" w:lineRule="auto"/>
        <w:rPr>
          <w:rFonts w:ascii="宋体" w:hAnsi="宋体" w:eastAsia="宋体" w:cs="宋体"/>
          <w:color w:val="auto"/>
          <w:sz w:val="21"/>
          <w:szCs w:val="21"/>
          <w:highlight w:val="none"/>
        </w:rPr>
        <w:sectPr>
          <w:footerReference r:id="rId40" w:type="default"/>
          <w:pgSz w:w="11905" w:h="16839"/>
          <w:pgMar w:top="1431" w:right="1785" w:bottom="996" w:left="1785" w:header="0" w:footer="791" w:gutter="0"/>
          <w:pgNumType w:fmt="decimal"/>
          <w:cols w:space="720" w:num="1"/>
        </w:sectPr>
      </w:pPr>
    </w:p>
    <w:p w14:paraId="3FE5B5AF">
      <w:pPr>
        <w:spacing w:before="47" w:line="219" w:lineRule="auto"/>
        <w:ind w:left="3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附表十：异议书</w:t>
      </w:r>
    </w:p>
    <w:p w14:paraId="47A61B92">
      <w:pPr>
        <w:pStyle w:val="3"/>
        <w:spacing w:line="266" w:lineRule="auto"/>
        <w:rPr>
          <w:color w:val="auto"/>
          <w:highlight w:val="none"/>
        </w:rPr>
      </w:pPr>
    </w:p>
    <w:p w14:paraId="6F10D4E6">
      <w:pPr>
        <w:pStyle w:val="3"/>
        <w:spacing w:line="266" w:lineRule="auto"/>
        <w:rPr>
          <w:color w:val="auto"/>
          <w:highlight w:val="none"/>
        </w:rPr>
      </w:pPr>
    </w:p>
    <w:p w14:paraId="3E63F8C2">
      <w:pPr>
        <w:spacing w:before="88" w:line="225" w:lineRule="auto"/>
        <w:ind w:left="3762"/>
        <w:rPr>
          <w:rFonts w:ascii="黑体" w:hAnsi="黑体" w:eastAsia="黑体" w:cs="黑体"/>
          <w:color w:val="auto"/>
          <w:sz w:val="27"/>
          <w:szCs w:val="27"/>
          <w:highlight w:val="none"/>
        </w:rPr>
      </w:pPr>
      <w:r>
        <w:rPr>
          <w:rFonts w:ascii="黑体" w:hAnsi="黑体" w:eastAsia="黑体" w:cs="黑体"/>
          <w:color w:val="auto"/>
          <w:spacing w:val="2"/>
          <w:sz w:val="27"/>
          <w:szCs w:val="27"/>
          <w:highlight w:val="none"/>
        </w:rPr>
        <w:t>异议书</w:t>
      </w:r>
    </w:p>
    <w:p w14:paraId="07913B9F">
      <w:pPr>
        <w:pStyle w:val="3"/>
        <w:spacing w:line="392" w:lineRule="auto"/>
        <w:rPr>
          <w:color w:val="auto"/>
          <w:highlight w:val="none"/>
        </w:rPr>
      </w:pPr>
    </w:p>
    <w:p w14:paraId="1B9FCD36">
      <w:pPr>
        <w:spacing w:before="69" w:line="220" w:lineRule="auto"/>
        <w:ind w:left="21"/>
        <w:outlineLvl w:val="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一、异议项目基本情况</w:t>
      </w:r>
    </w:p>
    <w:p w14:paraId="49D34861">
      <w:pPr>
        <w:tabs>
          <w:tab w:val="left" w:pos="8144"/>
          <w:tab w:val="left" w:pos="8149"/>
        </w:tabs>
        <w:spacing w:before="249" w:line="439" w:lineRule="auto"/>
        <w:ind w:left="442" w:right="183"/>
        <w:jc w:val="both"/>
        <w:rPr>
          <w:rFonts w:ascii="宋体" w:hAnsi="宋体" w:eastAsia="宋体" w:cs="宋体"/>
          <w:color w:val="auto"/>
          <w:sz w:val="21"/>
          <w:szCs w:val="21"/>
          <w:highlight w:val="none"/>
        </w:rPr>
      </w:pPr>
      <w:r>
        <w:rPr>
          <w:rFonts w:ascii="宋体" w:hAnsi="宋体" w:eastAsia="宋体" w:cs="宋体"/>
          <w:color w:val="auto"/>
          <w:spacing w:val="-23"/>
          <w:w w:val="95"/>
          <w:sz w:val="21"/>
          <w:szCs w:val="21"/>
          <w:highlight w:val="none"/>
        </w:rPr>
        <w:t>标段名称：</w:t>
      </w:r>
      <w:r>
        <w:rPr>
          <w:rFonts w:ascii="宋体" w:hAnsi="宋体" w:eastAsia="宋体" w:cs="宋体"/>
          <w:color w:val="auto"/>
          <w:spacing w:val="54"/>
          <w:sz w:val="21"/>
          <w:szCs w:val="21"/>
          <w:highlight w:val="none"/>
        </w:rPr>
        <w:t xml:space="preserve"> </w:t>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 xml:space="preserve"> </w:t>
      </w:r>
      <w:r>
        <w:rPr>
          <w:rFonts w:ascii="宋体" w:hAnsi="宋体" w:eastAsia="宋体" w:cs="宋体"/>
          <w:color w:val="auto"/>
          <w:spacing w:val="-13"/>
          <w:sz w:val="21"/>
          <w:szCs w:val="21"/>
          <w:highlight w:val="none"/>
        </w:rPr>
        <w:t xml:space="preserve">标段唯一标识码： </w:t>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招标人名称：</w:t>
      </w:r>
      <w:r>
        <w:rPr>
          <w:rFonts w:ascii="宋体" w:hAnsi="宋体" w:eastAsia="宋体" w:cs="宋体"/>
          <w:color w:val="auto"/>
          <w:spacing w:val="-1"/>
          <w:sz w:val="21"/>
          <w:szCs w:val="21"/>
          <w:highlight w:val="none"/>
          <w:u w:val="single" w:color="auto"/>
        </w:rPr>
        <w:t xml:space="preserve">                                                              </w:t>
      </w:r>
    </w:p>
    <w:p w14:paraId="75F064B7">
      <w:pPr>
        <w:spacing w:line="219" w:lineRule="auto"/>
        <w:ind w:left="442"/>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 xml:space="preserve">招标代理机构名称： </w:t>
      </w:r>
      <w:r>
        <w:rPr>
          <w:rFonts w:ascii="宋体" w:hAnsi="宋体" w:eastAsia="宋体" w:cs="宋体"/>
          <w:color w:val="auto"/>
          <w:sz w:val="21"/>
          <w:szCs w:val="21"/>
          <w:highlight w:val="none"/>
          <w:u w:val="single" w:color="auto"/>
        </w:rPr>
        <w:t xml:space="preserve">                                                        </w:t>
      </w:r>
    </w:p>
    <w:p w14:paraId="55944E01">
      <w:pPr>
        <w:spacing w:before="248" w:line="220" w:lineRule="auto"/>
        <w:ind w:left="21"/>
        <w:outlineLvl w:val="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二、异议人基本情况</w:t>
      </w:r>
    </w:p>
    <w:p w14:paraId="6DA04A75">
      <w:pPr>
        <w:tabs>
          <w:tab w:val="left" w:pos="8139"/>
          <w:tab w:val="left" w:pos="8149"/>
        </w:tabs>
        <w:spacing w:before="255" w:line="439" w:lineRule="auto"/>
        <w:ind w:left="440" w:right="183" w:firstLine="2"/>
        <w:jc w:val="both"/>
        <w:rPr>
          <w:rFonts w:ascii="宋体" w:hAnsi="宋体" w:eastAsia="宋体" w:cs="宋体"/>
          <w:color w:val="auto"/>
          <w:sz w:val="21"/>
          <w:szCs w:val="21"/>
          <w:highlight w:val="none"/>
        </w:rPr>
      </w:pPr>
      <w:r>
        <w:rPr>
          <w:rFonts w:ascii="宋体" w:hAnsi="宋体" w:eastAsia="宋体" w:cs="宋体"/>
          <w:color w:val="auto"/>
          <w:spacing w:val="-23"/>
          <w:w w:val="98"/>
          <w:sz w:val="21"/>
          <w:szCs w:val="21"/>
          <w:highlight w:val="none"/>
        </w:rPr>
        <w:t>单位名称：</w:t>
      </w:r>
      <w:r>
        <w:rPr>
          <w:rFonts w:ascii="宋体" w:hAnsi="宋体" w:eastAsia="宋体" w:cs="宋体"/>
          <w:color w:val="auto"/>
          <w:spacing w:val="21"/>
          <w:sz w:val="21"/>
          <w:szCs w:val="21"/>
          <w:highlight w:val="none"/>
        </w:rPr>
        <w:t xml:space="preserve"> </w:t>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 xml:space="preserve"> </w:t>
      </w:r>
      <w:r>
        <w:rPr>
          <w:rFonts w:ascii="宋体" w:hAnsi="宋体" w:eastAsia="宋体" w:cs="宋体"/>
          <w:color w:val="auto"/>
          <w:spacing w:val="-21"/>
          <w:sz w:val="21"/>
          <w:szCs w:val="21"/>
          <w:highlight w:val="none"/>
        </w:rPr>
        <w:t>住所地：</w:t>
      </w:r>
      <w:r>
        <w:rPr>
          <w:rFonts w:ascii="宋体" w:hAnsi="宋体" w:eastAsia="宋体" w:cs="宋体"/>
          <w:color w:val="auto"/>
          <w:spacing w:val="8"/>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80"/>
          <w:sz w:val="21"/>
          <w:szCs w:val="21"/>
          <w:highlight w:val="none"/>
        </w:rPr>
        <w:t xml:space="preserve"> </w:t>
      </w:r>
      <w:r>
        <w:rPr>
          <w:rFonts w:ascii="宋体" w:hAnsi="宋体" w:eastAsia="宋体" w:cs="宋体"/>
          <w:color w:val="auto"/>
          <w:spacing w:val="-21"/>
          <w:sz w:val="21"/>
          <w:szCs w:val="21"/>
          <w:highlight w:val="none"/>
        </w:rPr>
        <w:t>邮编：</w:t>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 xml:space="preserve"> </w:t>
      </w:r>
      <w:r>
        <w:rPr>
          <w:rFonts w:ascii="宋体" w:hAnsi="宋体" w:eastAsia="宋体" w:cs="宋体"/>
          <w:color w:val="auto"/>
          <w:spacing w:val="-15"/>
          <w:sz w:val="21"/>
          <w:szCs w:val="21"/>
          <w:highlight w:val="none"/>
        </w:rPr>
        <w:t>法定代表人：</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5"/>
          <w:sz w:val="21"/>
          <w:szCs w:val="21"/>
          <w:highlight w:val="none"/>
        </w:rPr>
        <w:t xml:space="preserve"> </w:t>
      </w:r>
      <w:r>
        <w:rPr>
          <w:rFonts w:ascii="宋体" w:hAnsi="宋体" w:eastAsia="宋体" w:cs="宋体"/>
          <w:color w:val="auto"/>
          <w:spacing w:val="-15"/>
          <w:sz w:val="21"/>
          <w:szCs w:val="21"/>
          <w:highlight w:val="none"/>
        </w:rPr>
        <w:t>联系电话：</w:t>
      </w:r>
      <w:r>
        <w:rPr>
          <w:rFonts w:ascii="宋体" w:hAnsi="宋体" w:eastAsia="宋体" w:cs="宋体"/>
          <w:color w:val="auto"/>
          <w:spacing w:val="45"/>
          <w:sz w:val="21"/>
          <w:szCs w:val="21"/>
          <w:highlight w:val="none"/>
        </w:rPr>
        <w:t xml:space="preserve"> </w:t>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 xml:space="preserve"> </w:t>
      </w:r>
      <w:r>
        <w:rPr>
          <w:rFonts w:ascii="宋体" w:hAnsi="宋体" w:eastAsia="宋体" w:cs="宋体"/>
          <w:color w:val="auto"/>
          <w:spacing w:val="-11"/>
          <w:sz w:val="21"/>
          <w:szCs w:val="21"/>
          <w:highlight w:val="none"/>
        </w:rPr>
        <w:t xml:space="preserve">异议人授权代表： </w:t>
      </w:r>
      <w:r>
        <w:rPr>
          <w:rFonts w:ascii="宋体" w:hAnsi="宋体" w:eastAsia="宋体" w:cs="宋体"/>
          <w:color w:val="auto"/>
          <w:spacing w:val="-11"/>
          <w:sz w:val="21"/>
          <w:szCs w:val="21"/>
          <w:highlight w:val="none"/>
          <w:u w:val="single" w:color="auto"/>
        </w:rPr>
        <w:t xml:space="preserve">                      </w:t>
      </w:r>
      <w:r>
        <w:rPr>
          <w:rFonts w:ascii="宋体" w:hAnsi="宋体" w:eastAsia="宋体" w:cs="宋体"/>
          <w:color w:val="auto"/>
          <w:spacing w:val="-12"/>
          <w:sz w:val="21"/>
          <w:szCs w:val="21"/>
          <w:highlight w:val="none"/>
          <w:u w:val="single" w:color="auto"/>
        </w:rPr>
        <w:t xml:space="preserve">           </w:t>
      </w:r>
      <w:r>
        <w:rPr>
          <w:rFonts w:ascii="宋体" w:hAnsi="宋体" w:eastAsia="宋体" w:cs="宋体"/>
          <w:color w:val="auto"/>
          <w:spacing w:val="-94"/>
          <w:sz w:val="21"/>
          <w:szCs w:val="21"/>
          <w:highlight w:val="none"/>
        </w:rPr>
        <w:t xml:space="preserve"> </w:t>
      </w:r>
      <w:r>
        <w:rPr>
          <w:rFonts w:ascii="宋体" w:hAnsi="宋体" w:eastAsia="宋体" w:cs="宋体"/>
          <w:color w:val="auto"/>
          <w:spacing w:val="-12"/>
          <w:sz w:val="21"/>
          <w:szCs w:val="21"/>
          <w:highlight w:val="none"/>
        </w:rPr>
        <w:t xml:space="preserve">性别： </w:t>
      </w:r>
      <w:r>
        <w:rPr>
          <w:rFonts w:ascii="宋体" w:hAnsi="宋体" w:eastAsia="宋体" w:cs="宋体"/>
          <w:color w:val="auto"/>
          <w:sz w:val="21"/>
          <w:szCs w:val="21"/>
          <w:highlight w:val="none"/>
          <w:u w:val="single" w:color="auto"/>
        </w:rPr>
        <w:t xml:space="preserve">                      </w:t>
      </w:r>
    </w:p>
    <w:p w14:paraId="5021A790">
      <w:pPr>
        <w:spacing w:line="222" w:lineRule="auto"/>
        <w:ind w:left="441"/>
        <w:rPr>
          <w:rFonts w:ascii="宋体" w:hAnsi="宋体" w:eastAsia="宋体" w:cs="宋体"/>
          <w:color w:val="auto"/>
          <w:sz w:val="21"/>
          <w:szCs w:val="21"/>
          <w:highlight w:val="none"/>
        </w:rPr>
      </w:pPr>
      <w:r>
        <w:rPr>
          <w:rFonts w:ascii="宋体" w:hAnsi="宋体" w:eastAsia="宋体" w:cs="宋体"/>
          <w:color w:val="auto"/>
          <w:spacing w:val="-31"/>
          <w:sz w:val="21"/>
          <w:szCs w:val="21"/>
          <w:highlight w:val="none"/>
        </w:rPr>
        <w:t xml:space="preserve">地址：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1"/>
          <w:sz w:val="21"/>
          <w:szCs w:val="21"/>
          <w:highlight w:val="none"/>
        </w:rPr>
        <w:t xml:space="preserve"> </w:t>
      </w:r>
      <w:r>
        <w:rPr>
          <w:rFonts w:ascii="宋体" w:hAnsi="宋体" w:eastAsia="宋体" w:cs="宋体"/>
          <w:color w:val="auto"/>
          <w:spacing w:val="-31"/>
          <w:sz w:val="21"/>
          <w:szCs w:val="21"/>
          <w:highlight w:val="none"/>
        </w:rPr>
        <w:t>联系电话：</w:t>
      </w:r>
      <w:r>
        <w:rPr>
          <w:rFonts w:ascii="宋体" w:hAnsi="宋体" w:eastAsia="宋体" w:cs="宋体"/>
          <w:color w:val="auto"/>
          <w:spacing w:val="45"/>
          <w:sz w:val="21"/>
          <w:szCs w:val="21"/>
          <w:highlight w:val="none"/>
        </w:rPr>
        <w:t xml:space="preserve"> </w:t>
      </w:r>
      <w:r>
        <w:rPr>
          <w:rFonts w:ascii="宋体" w:hAnsi="宋体" w:eastAsia="宋体" w:cs="宋体"/>
          <w:color w:val="auto"/>
          <w:sz w:val="21"/>
          <w:szCs w:val="21"/>
          <w:highlight w:val="none"/>
          <w:u w:val="single" w:color="auto"/>
        </w:rPr>
        <w:t xml:space="preserve">                 </w:t>
      </w:r>
    </w:p>
    <w:p w14:paraId="0FECD31E">
      <w:pPr>
        <w:spacing w:before="246" w:line="220" w:lineRule="auto"/>
        <w:ind w:left="18"/>
        <w:outlineLvl w:val="9"/>
        <w:rPr>
          <w:rFonts w:ascii="宋体" w:hAnsi="宋体" w:eastAsia="宋体" w:cs="宋体"/>
          <w:color w:val="auto"/>
          <w:sz w:val="21"/>
          <w:szCs w:val="21"/>
          <w:highlight w:val="none"/>
        </w:rPr>
      </w:pP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三、异议事项基本事实</w:t>
      </w:r>
    </w:p>
    <w:p w14:paraId="009A0EF2">
      <w:pPr>
        <w:spacing w:before="254" w:line="221" w:lineRule="auto"/>
        <w:ind w:right="21"/>
        <w:jc w:val="right"/>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异议事项</w:t>
      </w:r>
      <w:r>
        <w:rPr>
          <w:rFonts w:ascii="宋体" w:hAnsi="宋体" w:eastAsia="宋体" w:cs="宋体"/>
          <w:color w:val="auto"/>
          <w:spacing w:val="-28"/>
          <w:sz w:val="21"/>
          <w:szCs w:val="21"/>
          <w:highlight w:val="none"/>
        </w:rPr>
        <w:t xml:space="preserve"> </w:t>
      </w:r>
      <w:r>
        <w:rPr>
          <w:rFonts w:ascii="宋体" w:hAnsi="宋体" w:eastAsia="宋体" w:cs="宋体"/>
          <w:color w:val="auto"/>
          <w:spacing w:val="-6"/>
          <w:sz w:val="21"/>
          <w:szCs w:val="21"/>
          <w:highlight w:val="none"/>
        </w:rPr>
        <w:t>1</w:t>
      </w:r>
      <w:r>
        <w:rPr>
          <w:rFonts w:ascii="宋体" w:hAnsi="宋体" w:eastAsia="宋体" w:cs="宋体"/>
          <w:color w:val="auto"/>
          <w:spacing w:val="-2"/>
          <w:sz w:val="21"/>
          <w:szCs w:val="21"/>
          <w:highlight w:val="none"/>
        </w:rPr>
        <w:t>：</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
          <w:sz w:val="21"/>
          <w:szCs w:val="21"/>
          <w:highlight w:val="none"/>
        </w:rPr>
        <w:t>；</w:t>
      </w:r>
    </w:p>
    <w:p w14:paraId="7D752BBF">
      <w:pPr>
        <w:spacing w:before="248" w:line="221" w:lineRule="auto"/>
        <w:ind w:right="21"/>
        <w:jc w:val="right"/>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异议事项</w:t>
      </w:r>
      <w:r>
        <w:rPr>
          <w:rFonts w:ascii="宋体" w:hAnsi="宋体" w:eastAsia="宋体" w:cs="宋体"/>
          <w:color w:val="auto"/>
          <w:spacing w:val="-40"/>
          <w:sz w:val="21"/>
          <w:szCs w:val="21"/>
          <w:highlight w:val="none"/>
        </w:rPr>
        <w:t xml:space="preserve"> </w:t>
      </w:r>
      <w:r>
        <w:rPr>
          <w:rFonts w:ascii="宋体" w:hAnsi="宋体" w:eastAsia="宋体" w:cs="宋体"/>
          <w:color w:val="auto"/>
          <w:spacing w:val="-4"/>
          <w:sz w:val="21"/>
          <w:szCs w:val="21"/>
          <w:highlight w:val="none"/>
        </w:rPr>
        <w:t>2</w:t>
      </w:r>
      <w:r>
        <w:rPr>
          <w:rFonts w:ascii="宋体" w:hAnsi="宋体" w:eastAsia="宋体" w:cs="宋体"/>
          <w:color w:val="auto"/>
          <w:spacing w:val="-1"/>
          <w:sz w:val="21"/>
          <w:szCs w:val="21"/>
          <w:highlight w:val="none"/>
        </w:rPr>
        <w:t>：</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rPr>
        <w:t>；</w:t>
      </w:r>
    </w:p>
    <w:p w14:paraId="0CE7C37C">
      <w:pPr>
        <w:spacing w:before="248" w:line="221" w:lineRule="auto"/>
        <w:ind w:right="21"/>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异议事项</w:t>
      </w:r>
      <w:r>
        <w:rPr>
          <w:rFonts w:ascii="宋体" w:hAnsi="宋体" w:eastAsia="宋体" w:cs="宋体"/>
          <w:color w:val="auto"/>
          <w:spacing w:val="-39"/>
          <w:sz w:val="21"/>
          <w:szCs w:val="21"/>
          <w:highlight w:val="none"/>
        </w:rPr>
        <w:t xml:space="preserve"> </w:t>
      </w:r>
      <w:r>
        <w:rPr>
          <w:rFonts w:ascii="宋体" w:hAnsi="宋体" w:eastAsia="宋体" w:cs="宋体"/>
          <w:color w:val="auto"/>
          <w:spacing w:val="-1"/>
          <w:sz w:val="21"/>
          <w:szCs w:val="21"/>
          <w:highlight w:val="none"/>
        </w:rPr>
        <w:t>3：</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2"/>
          <w:sz w:val="21"/>
          <w:szCs w:val="21"/>
          <w:highlight w:val="none"/>
        </w:rPr>
        <w:t>。</w:t>
      </w:r>
    </w:p>
    <w:p w14:paraId="085160AC">
      <w:pPr>
        <w:spacing w:before="248" w:line="499" w:lineRule="exact"/>
        <w:ind w:left="38"/>
        <w:rPr>
          <w:rFonts w:ascii="宋体" w:hAnsi="宋体" w:eastAsia="宋体" w:cs="宋体"/>
          <w:color w:val="auto"/>
          <w:sz w:val="21"/>
          <w:szCs w:val="21"/>
          <w:highlight w:val="none"/>
        </w:rPr>
      </w:pPr>
      <w:r>
        <w:rPr>
          <w:rFonts w:ascii="宋体" w:hAnsi="宋体" w:eastAsia="宋体" w:cs="宋体"/>
          <w:color w:val="auto"/>
          <w:spacing w:val="-1"/>
          <w:position w:val="22"/>
          <w:sz w:val="21"/>
          <w:szCs w:val="21"/>
          <w:highlight w:val="none"/>
          <w14:textOutline w14:w="3831" w14:cap="flat" w14:cmpd="sng">
            <w14:solidFill>
              <w14:srgbClr w14:val="000000"/>
            </w14:solidFill>
            <w14:prstDash w14:val="solid"/>
            <w14:miter w14:val="0"/>
          </w14:textOutline>
        </w:rPr>
        <w:t>四、有效线索和相关证明材料：见附件</w:t>
      </w:r>
    </w:p>
    <w:p w14:paraId="59356E0C">
      <w:pPr>
        <w:spacing w:line="221" w:lineRule="auto"/>
        <w:ind w:left="21"/>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14:textOutline w14:w="3831" w14:cap="flat" w14:cmpd="sng">
            <w14:solidFill>
              <w14:srgbClr w14:val="000000"/>
            </w14:solidFill>
            <w14:prstDash w14:val="solid"/>
            <w14:miter w14:val="0"/>
          </w14:textOutline>
        </w:rPr>
        <w:t>五、相关请求及主张：</w:t>
      </w:r>
    </w:p>
    <w:p w14:paraId="23D4C48D">
      <w:pPr>
        <w:spacing w:before="248" w:line="441" w:lineRule="auto"/>
        <w:ind w:left="447" w:right="118"/>
        <w:jc w:val="both"/>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（一</w:t>
      </w:r>
      <w:r>
        <w:rPr>
          <w:rFonts w:ascii="宋体" w:hAnsi="宋体" w:eastAsia="宋体" w:cs="宋体"/>
          <w:color w:val="auto"/>
          <w:spacing w:val="-24"/>
          <w:sz w:val="21"/>
          <w:szCs w:val="21"/>
          <w:highlight w:val="none"/>
        </w:rPr>
        <w:t>）</w:t>
      </w:r>
      <w:r>
        <w:rPr>
          <w:rFonts w:ascii="宋体" w:hAnsi="宋体" w:eastAsia="宋体" w:cs="宋体"/>
          <w:color w:val="auto"/>
          <w:spacing w:val="-3"/>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4"/>
          <w:sz w:val="21"/>
          <w:szCs w:val="21"/>
          <w:highlight w:val="none"/>
        </w:rPr>
        <w:t>；</w:t>
      </w:r>
      <w:r>
        <w:rPr>
          <w:rFonts w:ascii="宋体" w:hAnsi="宋体" w:eastAsia="宋体" w:cs="宋体"/>
          <w:color w:val="auto"/>
          <w:spacing w:val="1"/>
          <w:sz w:val="21"/>
          <w:szCs w:val="21"/>
          <w:highlight w:val="none"/>
        </w:rPr>
        <w:t xml:space="preserve"> </w:t>
      </w:r>
      <w:r>
        <w:rPr>
          <w:rFonts w:ascii="宋体" w:hAnsi="宋体" w:eastAsia="宋体" w:cs="宋体"/>
          <w:color w:val="auto"/>
          <w:spacing w:val="-41"/>
          <w:w w:val="98"/>
          <w:sz w:val="21"/>
          <w:szCs w:val="21"/>
          <w:highlight w:val="none"/>
        </w:rPr>
        <w:t>（二</w:t>
      </w:r>
      <w:r>
        <w:rPr>
          <w:rFonts w:ascii="宋体" w:hAnsi="宋体" w:eastAsia="宋体" w:cs="宋体"/>
          <w:color w:val="auto"/>
          <w:spacing w:val="-24"/>
          <w:sz w:val="21"/>
          <w:szCs w:val="21"/>
          <w:highlight w:val="none"/>
        </w:rPr>
        <w:t>）</w:t>
      </w:r>
      <w:r>
        <w:rPr>
          <w:rFonts w:ascii="宋体" w:hAnsi="宋体" w:eastAsia="宋体" w:cs="宋体"/>
          <w:color w:val="auto"/>
          <w:spacing w:val="-33"/>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4"/>
          <w:sz w:val="21"/>
          <w:szCs w:val="21"/>
          <w:highlight w:val="none"/>
        </w:rPr>
        <w:t>；</w:t>
      </w:r>
    </w:p>
    <w:p w14:paraId="0E3C5BAF">
      <w:pPr>
        <w:spacing w:before="1" w:line="232" w:lineRule="auto"/>
        <w:ind w:left="447"/>
        <w:rPr>
          <w:rFonts w:ascii="宋体" w:hAnsi="宋体" w:eastAsia="宋体" w:cs="宋体"/>
          <w:color w:val="auto"/>
          <w:sz w:val="21"/>
          <w:szCs w:val="21"/>
          <w:highlight w:val="none"/>
        </w:rPr>
      </w:pPr>
      <w:r>
        <w:rPr>
          <w:rFonts w:ascii="宋体" w:hAnsi="宋体" w:eastAsia="宋体" w:cs="宋体"/>
          <w:color w:val="auto"/>
          <w:spacing w:val="-22"/>
          <w:sz w:val="21"/>
          <w:szCs w:val="21"/>
          <w:highlight w:val="none"/>
        </w:rPr>
        <w:t>（三）</w:t>
      </w:r>
      <w:r>
        <w:rPr>
          <w:rFonts w:ascii="宋体" w:hAnsi="宋体" w:eastAsia="宋体" w:cs="宋体"/>
          <w:color w:val="auto"/>
          <w:spacing w:val="-34"/>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2"/>
          <w:sz w:val="21"/>
          <w:szCs w:val="21"/>
          <w:highlight w:val="none"/>
        </w:rPr>
        <w:t>。</w:t>
      </w:r>
    </w:p>
    <w:p w14:paraId="335402F1">
      <w:pPr>
        <w:pStyle w:val="3"/>
        <w:spacing w:line="475" w:lineRule="auto"/>
        <w:rPr>
          <w:color w:val="auto"/>
          <w:highlight w:val="none"/>
        </w:rPr>
      </w:pPr>
    </w:p>
    <w:p w14:paraId="60C653DC">
      <w:pPr>
        <w:spacing w:before="69" w:line="220" w:lineRule="auto"/>
        <w:ind w:left="4323"/>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异议人（公章</w:t>
      </w:r>
      <w:r>
        <w:rPr>
          <w:rFonts w:ascii="宋体" w:hAnsi="宋体" w:eastAsia="宋体" w:cs="宋体"/>
          <w:color w:val="auto"/>
          <w:spacing w:val="-25"/>
          <w:sz w:val="21"/>
          <w:szCs w:val="21"/>
          <w:highlight w:val="none"/>
        </w:rPr>
        <w:t>）：</w:t>
      </w:r>
      <w:r>
        <w:rPr>
          <w:rFonts w:ascii="宋体" w:hAnsi="宋体" w:eastAsia="宋体" w:cs="宋体"/>
          <w:color w:val="auto"/>
          <w:spacing w:val="-2"/>
          <w:sz w:val="21"/>
          <w:szCs w:val="21"/>
          <w:highlight w:val="none"/>
        </w:rPr>
        <w:t xml:space="preserve"> </w:t>
      </w:r>
      <w:r>
        <w:rPr>
          <w:rFonts w:ascii="宋体" w:hAnsi="宋体" w:eastAsia="宋体" w:cs="宋体"/>
          <w:color w:val="auto"/>
          <w:sz w:val="21"/>
          <w:szCs w:val="21"/>
          <w:highlight w:val="none"/>
          <w:u w:val="single" w:color="auto"/>
        </w:rPr>
        <w:t xml:space="preserve">                 </w:t>
      </w:r>
    </w:p>
    <w:p w14:paraId="11288818">
      <w:pPr>
        <w:spacing w:before="158" w:line="220" w:lineRule="auto"/>
        <w:ind w:left="2641"/>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 xml:space="preserve">法定代表人或授权代表（签字或盖章） </w:t>
      </w:r>
      <w:r>
        <w:rPr>
          <w:rFonts w:ascii="宋体" w:hAnsi="宋体" w:eastAsia="宋体" w:cs="宋体"/>
          <w:color w:val="auto"/>
          <w:spacing w:val="-6"/>
          <w:sz w:val="21"/>
          <w:szCs w:val="21"/>
          <w:highlight w:val="none"/>
          <w:u w:val="single" w:color="auto"/>
        </w:rPr>
        <w:t xml:space="preserve">                    </w:t>
      </w:r>
    </w:p>
    <w:p w14:paraId="5C3F5ACE">
      <w:pPr>
        <w:spacing w:before="157" w:line="221" w:lineRule="auto"/>
        <w:ind w:left="4261"/>
        <w:rPr>
          <w:rFonts w:ascii="宋体" w:hAnsi="宋体" w:eastAsia="宋体" w:cs="宋体"/>
          <w:color w:val="auto"/>
          <w:sz w:val="21"/>
          <w:szCs w:val="21"/>
          <w:highlight w:val="none"/>
        </w:rPr>
      </w:pPr>
      <w:r>
        <w:rPr>
          <w:rFonts w:ascii="宋体" w:hAnsi="宋体" w:eastAsia="宋体" w:cs="宋体"/>
          <w:color w:val="auto"/>
          <w:spacing w:val="-25"/>
          <w:sz w:val="21"/>
          <w:szCs w:val="21"/>
          <w:highlight w:val="none"/>
        </w:rPr>
        <w:t>日</w:t>
      </w:r>
      <w:r>
        <w:rPr>
          <w:rFonts w:ascii="宋体" w:hAnsi="宋体" w:eastAsia="宋体" w:cs="宋体"/>
          <w:color w:val="auto"/>
          <w:spacing w:val="3"/>
          <w:sz w:val="21"/>
          <w:szCs w:val="21"/>
          <w:highlight w:val="none"/>
        </w:rPr>
        <w:t xml:space="preserve">    </w:t>
      </w:r>
      <w:r>
        <w:rPr>
          <w:rFonts w:ascii="宋体" w:hAnsi="宋体" w:eastAsia="宋体" w:cs="宋体"/>
          <w:color w:val="auto"/>
          <w:spacing w:val="-25"/>
          <w:sz w:val="21"/>
          <w:szCs w:val="21"/>
          <w:highlight w:val="none"/>
        </w:rPr>
        <w:t>期：</w:t>
      </w:r>
      <w:r>
        <w:rPr>
          <w:rFonts w:ascii="宋体" w:hAnsi="宋体" w:eastAsia="宋体" w:cs="宋体"/>
          <w:color w:val="auto"/>
          <w:spacing w:val="13"/>
          <w:sz w:val="21"/>
          <w:szCs w:val="21"/>
          <w:highlight w:val="none"/>
        </w:rPr>
        <w:t xml:space="preserve">      </w:t>
      </w:r>
      <w:r>
        <w:rPr>
          <w:rFonts w:ascii="宋体" w:hAnsi="宋体" w:eastAsia="宋体" w:cs="宋体"/>
          <w:color w:val="auto"/>
          <w:spacing w:val="-25"/>
          <w:sz w:val="21"/>
          <w:szCs w:val="21"/>
          <w:highlight w:val="none"/>
        </w:rPr>
        <w:t>年</w:t>
      </w:r>
      <w:r>
        <w:rPr>
          <w:rFonts w:ascii="宋体" w:hAnsi="宋体" w:eastAsia="宋体" w:cs="宋体"/>
          <w:color w:val="auto"/>
          <w:spacing w:val="3"/>
          <w:sz w:val="21"/>
          <w:szCs w:val="21"/>
          <w:highlight w:val="none"/>
        </w:rPr>
        <w:t xml:space="preserve">    </w:t>
      </w:r>
      <w:r>
        <w:rPr>
          <w:rFonts w:ascii="宋体" w:hAnsi="宋体" w:eastAsia="宋体" w:cs="宋体"/>
          <w:color w:val="auto"/>
          <w:spacing w:val="-25"/>
          <w:sz w:val="21"/>
          <w:szCs w:val="21"/>
          <w:highlight w:val="none"/>
        </w:rPr>
        <w:t>月</w:t>
      </w:r>
      <w:r>
        <w:rPr>
          <w:rFonts w:ascii="宋体" w:hAnsi="宋体" w:eastAsia="宋体" w:cs="宋体"/>
          <w:color w:val="auto"/>
          <w:spacing w:val="16"/>
          <w:sz w:val="21"/>
          <w:szCs w:val="21"/>
          <w:highlight w:val="none"/>
        </w:rPr>
        <w:t xml:space="preserve">   </w:t>
      </w:r>
      <w:r>
        <w:rPr>
          <w:rFonts w:ascii="宋体" w:hAnsi="宋体" w:eastAsia="宋体" w:cs="宋体"/>
          <w:color w:val="auto"/>
          <w:spacing w:val="-25"/>
          <w:sz w:val="21"/>
          <w:szCs w:val="21"/>
          <w:highlight w:val="none"/>
        </w:rPr>
        <w:t>日</w:t>
      </w:r>
    </w:p>
    <w:p w14:paraId="108B0F6D">
      <w:pPr>
        <w:spacing w:line="221" w:lineRule="auto"/>
        <w:rPr>
          <w:rFonts w:ascii="宋体" w:hAnsi="宋体" w:eastAsia="宋体" w:cs="宋体"/>
          <w:color w:val="auto"/>
          <w:sz w:val="21"/>
          <w:szCs w:val="21"/>
          <w:highlight w:val="none"/>
        </w:rPr>
        <w:sectPr>
          <w:footerReference r:id="rId41" w:type="default"/>
          <w:pgSz w:w="11905" w:h="16839"/>
          <w:pgMar w:top="1431" w:right="1785" w:bottom="996" w:left="1785" w:header="0" w:footer="791" w:gutter="0"/>
          <w:pgNumType w:fmt="decimal"/>
          <w:cols w:space="720" w:num="1"/>
        </w:sectPr>
      </w:pPr>
    </w:p>
    <w:p w14:paraId="43BAE0C2">
      <w:pPr>
        <w:pStyle w:val="3"/>
        <w:spacing w:line="249" w:lineRule="auto"/>
        <w:rPr>
          <w:color w:val="auto"/>
          <w:highlight w:val="none"/>
        </w:rPr>
      </w:pPr>
    </w:p>
    <w:p w14:paraId="5C72493B">
      <w:pPr>
        <w:pStyle w:val="3"/>
        <w:spacing w:line="250" w:lineRule="auto"/>
        <w:rPr>
          <w:color w:val="auto"/>
          <w:highlight w:val="none"/>
        </w:rPr>
      </w:pPr>
    </w:p>
    <w:p w14:paraId="44EE91BA">
      <w:pPr>
        <w:spacing w:before="78" w:line="219" w:lineRule="auto"/>
        <w:ind w:left="32"/>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附表十一：异议答复函</w:t>
      </w:r>
    </w:p>
    <w:p w14:paraId="32AD9CAE">
      <w:pPr>
        <w:pStyle w:val="3"/>
        <w:spacing w:line="263" w:lineRule="auto"/>
        <w:rPr>
          <w:color w:val="auto"/>
          <w:highlight w:val="none"/>
        </w:rPr>
      </w:pPr>
    </w:p>
    <w:p w14:paraId="0462E03E">
      <w:pPr>
        <w:pStyle w:val="3"/>
        <w:spacing w:line="264" w:lineRule="auto"/>
        <w:rPr>
          <w:color w:val="auto"/>
          <w:highlight w:val="none"/>
        </w:rPr>
      </w:pPr>
    </w:p>
    <w:p w14:paraId="669A65FD">
      <w:pPr>
        <w:spacing w:before="88" w:line="225" w:lineRule="auto"/>
        <w:ind w:left="3484"/>
        <w:rPr>
          <w:rFonts w:ascii="黑体" w:hAnsi="黑体" w:eastAsia="黑体" w:cs="黑体"/>
          <w:color w:val="auto"/>
          <w:sz w:val="27"/>
          <w:szCs w:val="27"/>
          <w:highlight w:val="none"/>
        </w:rPr>
      </w:pPr>
      <w:bookmarkStart w:id="83" w:name="bookmark103"/>
      <w:bookmarkEnd w:id="83"/>
      <w:bookmarkStart w:id="84" w:name="bookmark104"/>
      <w:bookmarkEnd w:id="84"/>
      <w:bookmarkStart w:id="85" w:name="bookmark106"/>
      <w:bookmarkEnd w:id="85"/>
      <w:bookmarkStart w:id="86" w:name="bookmark102"/>
      <w:bookmarkEnd w:id="86"/>
      <w:bookmarkStart w:id="87" w:name="bookmark105"/>
      <w:bookmarkEnd w:id="87"/>
      <w:bookmarkStart w:id="88" w:name="bookmark108"/>
      <w:bookmarkEnd w:id="88"/>
      <w:bookmarkStart w:id="89" w:name="bookmark107"/>
      <w:bookmarkEnd w:id="89"/>
      <w:r>
        <w:rPr>
          <w:rFonts w:ascii="黑体" w:hAnsi="黑体" w:eastAsia="黑体" w:cs="黑体"/>
          <w:color w:val="auto"/>
          <w:spacing w:val="6"/>
          <w:sz w:val="27"/>
          <w:szCs w:val="27"/>
          <w:highlight w:val="none"/>
        </w:rPr>
        <w:t>异议答复函</w:t>
      </w:r>
    </w:p>
    <w:p w14:paraId="2AD79E9A">
      <w:pPr>
        <w:tabs>
          <w:tab w:val="left" w:pos="128"/>
        </w:tabs>
        <w:spacing w:before="276" w:line="212" w:lineRule="auto"/>
        <w:ind w:left="1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18"/>
          <w:sz w:val="21"/>
          <w:szCs w:val="21"/>
          <w:highlight w:val="none"/>
          <w:u w:val="single" w:color="auto"/>
        </w:rPr>
        <w:t>（</w:t>
      </w:r>
      <w:r>
        <w:rPr>
          <w:rFonts w:ascii="宋体" w:hAnsi="宋体" w:eastAsia="宋体" w:cs="宋体"/>
          <w:i/>
          <w:iCs/>
          <w:color w:val="auto"/>
          <w:spacing w:val="-18"/>
          <w:sz w:val="22"/>
          <w:szCs w:val="22"/>
          <w:highlight w:val="none"/>
          <w:u w:val="single" w:color="auto"/>
        </w:rPr>
        <w:t>异议人名称</w:t>
      </w:r>
      <w:r>
        <w:rPr>
          <w:rFonts w:ascii="宋体" w:hAnsi="宋体" w:eastAsia="宋体" w:cs="宋体"/>
          <w:color w:val="auto"/>
          <w:spacing w:val="-29"/>
          <w:sz w:val="21"/>
          <w:szCs w:val="21"/>
          <w:highlight w:val="none"/>
          <w:u w:val="single" w:color="auto"/>
        </w:rPr>
        <w:t>）</w:t>
      </w:r>
      <w:r>
        <w:rPr>
          <w:rFonts w:ascii="宋体" w:hAnsi="宋体" w:eastAsia="宋体" w:cs="宋体"/>
          <w:color w:val="auto"/>
          <w:spacing w:val="-29"/>
          <w:sz w:val="21"/>
          <w:szCs w:val="21"/>
          <w:highlight w:val="none"/>
        </w:rPr>
        <w:t>：</w:t>
      </w:r>
    </w:p>
    <w:p w14:paraId="5211A784">
      <w:pPr>
        <w:pStyle w:val="3"/>
        <w:spacing w:line="358" w:lineRule="auto"/>
        <w:rPr>
          <w:color w:val="auto"/>
          <w:highlight w:val="none"/>
        </w:rPr>
      </w:pPr>
    </w:p>
    <w:p w14:paraId="60BDDB84">
      <w:pPr>
        <w:spacing w:before="68" w:line="359" w:lineRule="auto"/>
        <w:jc w:val="right"/>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您单位对</w:t>
      </w:r>
      <w:r>
        <w:rPr>
          <w:rFonts w:ascii="宋体" w:hAnsi="宋体" w:eastAsia="宋体" w:cs="宋体"/>
          <w:color w:val="auto"/>
          <w:spacing w:val="-104"/>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5"/>
          <w:sz w:val="21"/>
          <w:szCs w:val="21"/>
          <w:highlight w:val="none"/>
        </w:rPr>
        <w:t xml:space="preserve"> （标段名称）项目（标段唯一标识码</w:t>
      </w:r>
      <w:r>
        <w:rPr>
          <w:rFonts w:ascii="宋体" w:hAnsi="宋体" w:eastAsia="宋体" w:cs="宋体"/>
          <w:color w:val="auto"/>
          <w:spacing w:val="2"/>
          <w:sz w:val="21"/>
          <w:szCs w:val="21"/>
          <w:highlight w:val="none"/>
        </w:rPr>
        <w:t>：</w:t>
      </w:r>
      <w:r>
        <w:rPr>
          <w:rFonts w:ascii="宋体" w:hAnsi="宋体" w:eastAsia="宋体" w:cs="宋体"/>
          <w:color w:val="auto"/>
          <w:spacing w:val="15"/>
          <w:sz w:val="21"/>
          <w:szCs w:val="21"/>
          <w:highlight w:val="none"/>
          <w:u w:val="single" w:color="auto"/>
        </w:rPr>
        <w:t xml:space="preserve">    </w:t>
      </w:r>
      <w:r>
        <w:rPr>
          <w:rFonts w:ascii="宋体" w:hAnsi="宋体" w:eastAsia="宋体" w:cs="宋体"/>
          <w:color w:val="auto"/>
          <w:spacing w:val="-75"/>
          <w:sz w:val="21"/>
          <w:szCs w:val="21"/>
          <w:highlight w:val="none"/>
        </w:rPr>
        <w:t xml:space="preserve"> </w:t>
      </w:r>
      <w:r>
        <w:rPr>
          <w:rFonts w:ascii="宋体" w:hAnsi="宋体" w:eastAsia="宋体" w:cs="宋体"/>
          <w:color w:val="auto"/>
          <w:spacing w:val="2"/>
          <w:sz w:val="21"/>
          <w:szCs w:val="21"/>
          <w:highlight w:val="none"/>
        </w:rPr>
        <w:t>）</w:t>
      </w:r>
      <w:r>
        <w:rPr>
          <w:rFonts w:ascii="宋体" w:hAnsi="宋体" w:eastAsia="宋体" w:cs="宋体"/>
          <w:color w:val="auto"/>
          <w:spacing w:val="-5"/>
          <w:sz w:val="21"/>
          <w:szCs w:val="21"/>
          <w:highlight w:val="none"/>
        </w:rPr>
        <w:t>的异议书于</w:t>
      </w:r>
      <w:r>
        <w:rPr>
          <w:rFonts w:ascii="宋体" w:hAnsi="宋体" w:eastAsia="宋体" w:cs="宋体"/>
          <w:color w:val="auto"/>
          <w:spacing w:val="-104"/>
          <w:sz w:val="21"/>
          <w:szCs w:val="21"/>
          <w:highlight w:val="none"/>
        </w:rPr>
        <w:t xml:space="preserve"> </w:t>
      </w:r>
      <w:r>
        <w:rPr>
          <w:rFonts w:ascii="宋体" w:hAnsi="宋体" w:eastAsia="宋体" w:cs="宋体"/>
          <w:color w:val="auto"/>
          <w:spacing w:val="23"/>
          <w:sz w:val="21"/>
          <w:szCs w:val="21"/>
          <w:highlight w:val="none"/>
          <w:u w:val="single" w:color="auto"/>
        </w:rPr>
        <w:t xml:space="preserve">   </w:t>
      </w:r>
      <w:r>
        <w:rPr>
          <w:rFonts w:ascii="宋体" w:hAnsi="宋体" w:eastAsia="宋体" w:cs="宋体"/>
          <w:color w:val="auto"/>
          <w:spacing w:val="-96"/>
          <w:sz w:val="21"/>
          <w:szCs w:val="21"/>
          <w:highlight w:val="none"/>
        </w:rPr>
        <w:t xml:space="preserve"> </w:t>
      </w:r>
      <w:r>
        <w:rPr>
          <w:rFonts w:ascii="宋体" w:hAnsi="宋体" w:eastAsia="宋体" w:cs="宋体"/>
          <w:color w:val="auto"/>
          <w:spacing w:val="-5"/>
          <w:sz w:val="21"/>
          <w:szCs w:val="21"/>
          <w:highlight w:val="none"/>
        </w:rPr>
        <w:t>年</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5"/>
          <w:sz w:val="21"/>
          <w:szCs w:val="21"/>
          <w:highlight w:val="none"/>
        </w:rPr>
        <w:t>月</w:t>
      </w:r>
    </w:p>
    <w:p w14:paraId="41A25A95">
      <w:pPr>
        <w:spacing w:line="220" w:lineRule="auto"/>
        <w:ind w:left="5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日收悉。经查，针对异议内容，现答复如下：</w:t>
      </w:r>
    </w:p>
    <w:p w14:paraId="31271B9C">
      <w:pPr>
        <w:spacing w:before="161" w:line="221" w:lineRule="auto"/>
        <w:ind w:left="44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异议事项</w:t>
      </w:r>
      <w:r>
        <w:rPr>
          <w:rFonts w:ascii="宋体" w:hAnsi="宋体" w:eastAsia="宋体" w:cs="宋体"/>
          <w:color w:val="auto"/>
          <w:spacing w:val="-26"/>
          <w:sz w:val="21"/>
          <w:szCs w:val="21"/>
          <w:highlight w:val="none"/>
        </w:rPr>
        <w:t xml:space="preserve"> </w:t>
      </w:r>
      <w:r>
        <w:rPr>
          <w:rFonts w:ascii="宋体" w:hAnsi="宋体" w:eastAsia="宋体" w:cs="宋体"/>
          <w:color w:val="auto"/>
          <w:spacing w:val="-6"/>
          <w:sz w:val="21"/>
          <w:szCs w:val="21"/>
          <w:highlight w:val="none"/>
        </w:rPr>
        <w:t>1：</w:t>
      </w:r>
      <w:r>
        <w:rPr>
          <w:rFonts w:ascii="宋体" w:hAnsi="宋体" w:eastAsia="宋体" w:cs="宋体"/>
          <w:color w:val="auto"/>
          <w:sz w:val="21"/>
          <w:szCs w:val="21"/>
          <w:highlight w:val="none"/>
          <w:u w:val="single" w:color="auto"/>
        </w:rPr>
        <w:t xml:space="preserve">                                                                </w:t>
      </w:r>
    </w:p>
    <w:p w14:paraId="3F94FCEA">
      <w:pPr>
        <w:pStyle w:val="3"/>
        <w:spacing w:line="247" w:lineRule="auto"/>
        <w:rPr>
          <w:color w:val="auto"/>
          <w:highlight w:val="none"/>
        </w:rPr>
      </w:pPr>
    </w:p>
    <w:p w14:paraId="59222F89">
      <w:pPr>
        <w:pStyle w:val="3"/>
        <w:spacing w:line="247" w:lineRule="auto"/>
        <w:rPr>
          <w:color w:val="auto"/>
          <w:highlight w:val="none"/>
        </w:rPr>
      </w:pPr>
    </w:p>
    <w:p w14:paraId="2E240849">
      <w:pPr>
        <w:spacing w:before="69" w:line="221" w:lineRule="auto"/>
        <w:ind w:left="441"/>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答复</w:t>
      </w:r>
      <w:r>
        <w:rPr>
          <w:rFonts w:ascii="宋体" w:hAnsi="宋体" w:eastAsia="宋体" w:cs="宋体"/>
          <w:color w:val="auto"/>
          <w:spacing w:val="-29"/>
          <w:sz w:val="21"/>
          <w:szCs w:val="21"/>
          <w:highlight w:val="none"/>
        </w:rPr>
        <w:t xml:space="preserve"> </w:t>
      </w:r>
      <w:r>
        <w:rPr>
          <w:rFonts w:ascii="宋体" w:hAnsi="宋体" w:eastAsia="宋体" w:cs="宋体"/>
          <w:color w:val="auto"/>
          <w:spacing w:val="-7"/>
          <w:sz w:val="21"/>
          <w:szCs w:val="21"/>
          <w:highlight w:val="none"/>
        </w:rPr>
        <w:t>1：</w:t>
      </w:r>
      <w:r>
        <w:rPr>
          <w:rFonts w:ascii="宋体" w:hAnsi="宋体" w:eastAsia="宋体" w:cs="宋体"/>
          <w:color w:val="auto"/>
          <w:sz w:val="21"/>
          <w:szCs w:val="21"/>
          <w:highlight w:val="none"/>
          <w:u w:val="single" w:color="auto"/>
        </w:rPr>
        <w:t xml:space="preserve">                                                                    </w:t>
      </w:r>
    </w:p>
    <w:p w14:paraId="40E90AE4">
      <w:pPr>
        <w:pStyle w:val="3"/>
        <w:spacing w:line="246" w:lineRule="auto"/>
        <w:rPr>
          <w:color w:val="auto"/>
          <w:highlight w:val="none"/>
        </w:rPr>
      </w:pPr>
    </w:p>
    <w:p w14:paraId="329B62B6">
      <w:pPr>
        <w:pStyle w:val="3"/>
        <w:spacing w:line="247" w:lineRule="auto"/>
        <w:rPr>
          <w:color w:val="auto"/>
          <w:highlight w:val="none"/>
        </w:rPr>
      </w:pPr>
    </w:p>
    <w:p w14:paraId="7163731F">
      <w:pPr>
        <w:spacing w:before="68" w:line="221" w:lineRule="auto"/>
        <w:ind w:left="44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异议事项</w:t>
      </w:r>
      <w:r>
        <w:rPr>
          <w:rFonts w:ascii="宋体" w:hAnsi="宋体" w:eastAsia="宋体" w:cs="宋体"/>
          <w:color w:val="auto"/>
          <w:spacing w:val="-41"/>
          <w:sz w:val="21"/>
          <w:szCs w:val="21"/>
          <w:highlight w:val="none"/>
        </w:rPr>
        <w:t xml:space="preserve"> </w:t>
      </w:r>
      <w:r>
        <w:rPr>
          <w:rFonts w:ascii="宋体" w:hAnsi="宋体" w:eastAsia="宋体" w:cs="宋体"/>
          <w:color w:val="auto"/>
          <w:spacing w:val="-2"/>
          <w:sz w:val="21"/>
          <w:szCs w:val="21"/>
          <w:highlight w:val="none"/>
        </w:rPr>
        <w:t>2：</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p>
    <w:p w14:paraId="29EE8253">
      <w:pPr>
        <w:pStyle w:val="3"/>
        <w:spacing w:line="247" w:lineRule="auto"/>
        <w:rPr>
          <w:color w:val="auto"/>
          <w:highlight w:val="none"/>
        </w:rPr>
      </w:pPr>
    </w:p>
    <w:p w14:paraId="15B2D330">
      <w:pPr>
        <w:pStyle w:val="3"/>
        <w:spacing w:line="247" w:lineRule="auto"/>
        <w:rPr>
          <w:color w:val="auto"/>
          <w:highlight w:val="none"/>
        </w:rPr>
      </w:pPr>
    </w:p>
    <w:p w14:paraId="7CFA2A4F">
      <w:pPr>
        <w:spacing w:before="69" w:line="221" w:lineRule="auto"/>
        <w:ind w:left="44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答复</w:t>
      </w:r>
      <w:r>
        <w:rPr>
          <w:rFonts w:ascii="宋体" w:hAnsi="宋体" w:eastAsia="宋体" w:cs="宋体"/>
          <w:color w:val="auto"/>
          <w:spacing w:val="-25"/>
          <w:sz w:val="21"/>
          <w:szCs w:val="21"/>
          <w:highlight w:val="none"/>
        </w:rPr>
        <w:t xml:space="preserve"> </w:t>
      </w:r>
      <w:r>
        <w:rPr>
          <w:rFonts w:ascii="宋体" w:hAnsi="宋体" w:eastAsia="宋体" w:cs="宋体"/>
          <w:color w:val="auto"/>
          <w:spacing w:val="-3"/>
          <w:sz w:val="21"/>
          <w:szCs w:val="21"/>
          <w:highlight w:val="none"/>
        </w:rPr>
        <w:t>2：</w:t>
      </w:r>
      <w:r>
        <w:rPr>
          <w:rFonts w:ascii="宋体" w:hAnsi="宋体" w:eastAsia="宋体" w:cs="宋体"/>
          <w:color w:val="auto"/>
          <w:spacing w:val="-3"/>
          <w:sz w:val="21"/>
          <w:szCs w:val="21"/>
          <w:highlight w:val="none"/>
          <w:u w:val="single" w:color="auto"/>
        </w:rPr>
        <w:t xml:space="preserve">                                                                     </w:t>
      </w:r>
    </w:p>
    <w:p w14:paraId="1546BF81">
      <w:pPr>
        <w:pStyle w:val="3"/>
        <w:spacing w:line="246" w:lineRule="auto"/>
        <w:rPr>
          <w:color w:val="auto"/>
          <w:highlight w:val="none"/>
        </w:rPr>
      </w:pPr>
    </w:p>
    <w:p w14:paraId="02A3BA24">
      <w:pPr>
        <w:pStyle w:val="3"/>
        <w:spacing w:line="246" w:lineRule="auto"/>
        <w:rPr>
          <w:color w:val="auto"/>
          <w:highlight w:val="none"/>
        </w:rPr>
      </w:pPr>
    </w:p>
    <w:p w14:paraId="59CA27C9">
      <w:pPr>
        <w:spacing w:before="69" w:line="221" w:lineRule="auto"/>
        <w:ind w:left="44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异议事项</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3：</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p>
    <w:p w14:paraId="3BF5D996">
      <w:pPr>
        <w:pStyle w:val="3"/>
        <w:spacing w:line="249" w:lineRule="auto"/>
        <w:rPr>
          <w:color w:val="auto"/>
          <w:highlight w:val="none"/>
        </w:rPr>
      </w:pPr>
    </w:p>
    <w:p w14:paraId="0E88A39F">
      <w:pPr>
        <w:pStyle w:val="3"/>
        <w:spacing w:line="249" w:lineRule="auto"/>
        <w:rPr>
          <w:color w:val="auto"/>
          <w:highlight w:val="none"/>
        </w:rPr>
      </w:pPr>
    </w:p>
    <w:p w14:paraId="2AC50F75">
      <w:pPr>
        <w:spacing w:before="69" w:line="221" w:lineRule="auto"/>
        <w:ind w:left="44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答复</w:t>
      </w:r>
      <w:r>
        <w:rPr>
          <w:rFonts w:ascii="宋体" w:hAnsi="宋体" w:eastAsia="宋体" w:cs="宋体"/>
          <w:color w:val="auto"/>
          <w:spacing w:val="-25"/>
          <w:sz w:val="21"/>
          <w:szCs w:val="21"/>
          <w:highlight w:val="none"/>
        </w:rPr>
        <w:t xml:space="preserve"> </w:t>
      </w:r>
      <w:r>
        <w:rPr>
          <w:rFonts w:ascii="宋体" w:hAnsi="宋体" w:eastAsia="宋体" w:cs="宋体"/>
          <w:color w:val="auto"/>
          <w:spacing w:val="-3"/>
          <w:sz w:val="21"/>
          <w:szCs w:val="21"/>
          <w:highlight w:val="none"/>
        </w:rPr>
        <w:t>3：</w:t>
      </w:r>
      <w:r>
        <w:rPr>
          <w:rFonts w:ascii="宋体" w:hAnsi="宋体" w:eastAsia="宋体" w:cs="宋体"/>
          <w:color w:val="auto"/>
          <w:spacing w:val="-3"/>
          <w:sz w:val="21"/>
          <w:szCs w:val="21"/>
          <w:highlight w:val="none"/>
          <w:u w:val="single" w:color="auto"/>
        </w:rPr>
        <w:t xml:space="preserve">                                                                     </w:t>
      </w:r>
    </w:p>
    <w:p w14:paraId="2E9278AE">
      <w:pPr>
        <w:spacing w:before="156" w:line="220"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相关证明材料：见附件（如有）</w:t>
      </w:r>
    </w:p>
    <w:p w14:paraId="1C193FF0">
      <w:pPr>
        <w:pStyle w:val="3"/>
        <w:spacing w:line="361" w:lineRule="auto"/>
        <w:rPr>
          <w:color w:val="auto"/>
          <w:highlight w:val="none"/>
        </w:rPr>
      </w:pPr>
    </w:p>
    <w:p w14:paraId="0AB27742">
      <w:pPr>
        <w:spacing w:before="69" w:line="408" w:lineRule="exact"/>
        <w:ind w:right="1"/>
        <w:jc w:val="right"/>
        <w:rPr>
          <w:rFonts w:ascii="宋体" w:hAnsi="宋体" w:eastAsia="宋体" w:cs="宋体"/>
          <w:color w:val="auto"/>
          <w:sz w:val="21"/>
          <w:szCs w:val="21"/>
          <w:highlight w:val="none"/>
        </w:rPr>
      </w:pPr>
      <w:r>
        <w:rPr>
          <w:rFonts w:ascii="宋体" w:hAnsi="宋体" w:eastAsia="宋体" w:cs="宋体"/>
          <w:color w:val="auto"/>
          <w:position w:val="15"/>
          <w:sz w:val="21"/>
          <w:szCs w:val="21"/>
          <w:highlight w:val="none"/>
        </w:rPr>
        <w:t>如您单位对本答复不满意， 可以在异议答复期满十日内向有关行政监督部门依法提起</w:t>
      </w:r>
    </w:p>
    <w:p w14:paraId="150933F4">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投诉。感谢您对我们工作的监督和支持。</w:t>
      </w:r>
    </w:p>
    <w:p w14:paraId="1D1692F2">
      <w:pPr>
        <w:pStyle w:val="3"/>
        <w:spacing w:line="261" w:lineRule="auto"/>
        <w:rPr>
          <w:color w:val="auto"/>
          <w:highlight w:val="none"/>
        </w:rPr>
      </w:pPr>
    </w:p>
    <w:p w14:paraId="153CB9FD">
      <w:pPr>
        <w:pStyle w:val="3"/>
        <w:spacing w:line="261" w:lineRule="auto"/>
        <w:rPr>
          <w:color w:val="auto"/>
          <w:highlight w:val="none"/>
        </w:rPr>
      </w:pPr>
    </w:p>
    <w:p w14:paraId="396DE815">
      <w:pPr>
        <w:pStyle w:val="3"/>
        <w:spacing w:line="261" w:lineRule="auto"/>
        <w:rPr>
          <w:color w:val="auto"/>
          <w:highlight w:val="none"/>
        </w:rPr>
      </w:pPr>
    </w:p>
    <w:p w14:paraId="745BE852">
      <w:pPr>
        <w:pStyle w:val="3"/>
        <w:spacing w:line="261" w:lineRule="auto"/>
        <w:rPr>
          <w:color w:val="auto"/>
          <w:highlight w:val="none"/>
        </w:rPr>
      </w:pPr>
    </w:p>
    <w:p w14:paraId="031B699F">
      <w:pPr>
        <w:pStyle w:val="3"/>
        <w:spacing w:line="261" w:lineRule="auto"/>
        <w:rPr>
          <w:color w:val="auto"/>
          <w:highlight w:val="none"/>
        </w:rPr>
      </w:pPr>
    </w:p>
    <w:p w14:paraId="50DDC1C8">
      <w:pPr>
        <w:spacing w:before="69" w:line="359" w:lineRule="auto"/>
        <w:ind w:left="42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招标人或招标代理机构（公章</w:t>
      </w:r>
      <w:r>
        <w:rPr>
          <w:rFonts w:ascii="宋体" w:hAnsi="宋体" w:eastAsia="宋体" w:cs="宋体"/>
          <w:color w:val="auto"/>
          <w:spacing w:val="-35"/>
          <w:sz w:val="21"/>
          <w:szCs w:val="21"/>
          <w:highlight w:val="none"/>
        </w:rPr>
        <w:t>）：</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u w:val="single" w:color="auto"/>
        </w:rPr>
        <w:t xml:space="preserve">         </w:t>
      </w:r>
    </w:p>
    <w:p w14:paraId="41624093">
      <w:pPr>
        <w:spacing w:before="1" w:line="219" w:lineRule="auto"/>
        <w:ind w:left="3899"/>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 xml:space="preserve">法定代表人或授权代表（签字或盖章） </w:t>
      </w:r>
      <w:r>
        <w:rPr>
          <w:rFonts w:ascii="宋体" w:hAnsi="宋体" w:eastAsia="宋体" w:cs="宋体"/>
          <w:color w:val="auto"/>
          <w:sz w:val="21"/>
          <w:szCs w:val="21"/>
          <w:highlight w:val="none"/>
          <w:u w:val="single" w:color="auto"/>
        </w:rPr>
        <w:t xml:space="preserve">    </w:t>
      </w:r>
    </w:p>
    <w:p w14:paraId="2090A8A9">
      <w:pPr>
        <w:spacing w:before="157" w:line="221" w:lineRule="auto"/>
        <w:ind w:left="4261"/>
        <w:rPr>
          <w:rFonts w:ascii="宋体" w:hAnsi="宋体" w:eastAsia="宋体" w:cs="宋体"/>
          <w:color w:val="auto"/>
          <w:sz w:val="21"/>
          <w:szCs w:val="21"/>
          <w:highlight w:val="none"/>
        </w:rPr>
      </w:pPr>
      <w:r>
        <w:rPr>
          <w:rFonts w:ascii="宋体" w:hAnsi="宋体" w:eastAsia="宋体" w:cs="宋体"/>
          <w:color w:val="auto"/>
          <w:spacing w:val="-25"/>
          <w:sz w:val="21"/>
          <w:szCs w:val="21"/>
          <w:highlight w:val="none"/>
        </w:rPr>
        <w:t>日</w:t>
      </w:r>
      <w:r>
        <w:rPr>
          <w:rFonts w:ascii="宋体" w:hAnsi="宋体" w:eastAsia="宋体" w:cs="宋体"/>
          <w:color w:val="auto"/>
          <w:spacing w:val="1"/>
          <w:sz w:val="21"/>
          <w:szCs w:val="21"/>
          <w:highlight w:val="none"/>
        </w:rPr>
        <w:t xml:space="preserve">    </w:t>
      </w:r>
      <w:r>
        <w:rPr>
          <w:rFonts w:ascii="宋体" w:hAnsi="宋体" w:eastAsia="宋体" w:cs="宋体"/>
          <w:color w:val="auto"/>
          <w:spacing w:val="-25"/>
          <w:sz w:val="21"/>
          <w:szCs w:val="21"/>
          <w:highlight w:val="none"/>
        </w:rPr>
        <w:t>期：</w:t>
      </w:r>
      <w:r>
        <w:rPr>
          <w:rFonts w:ascii="宋体" w:hAnsi="宋体" w:eastAsia="宋体" w:cs="宋体"/>
          <w:color w:val="auto"/>
          <w:spacing w:val="17"/>
          <w:sz w:val="21"/>
          <w:szCs w:val="21"/>
          <w:highlight w:val="none"/>
        </w:rPr>
        <w:t xml:space="preserve">     </w:t>
      </w:r>
      <w:r>
        <w:rPr>
          <w:rFonts w:ascii="宋体" w:hAnsi="宋体" w:eastAsia="宋体" w:cs="宋体"/>
          <w:color w:val="auto"/>
          <w:spacing w:val="-25"/>
          <w:sz w:val="21"/>
          <w:szCs w:val="21"/>
          <w:highlight w:val="none"/>
        </w:rPr>
        <w:t>年</w:t>
      </w:r>
      <w:r>
        <w:rPr>
          <w:rFonts w:ascii="宋体" w:hAnsi="宋体" w:eastAsia="宋体" w:cs="宋体"/>
          <w:color w:val="auto"/>
          <w:spacing w:val="3"/>
          <w:sz w:val="21"/>
          <w:szCs w:val="21"/>
          <w:highlight w:val="none"/>
        </w:rPr>
        <w:t xml:space="preserve">    </w:t>
      </w:r>
      <w:r>
        <w:rPr>
          <w:rFonts w:ascii="宋体" w:hAnsi="宋体" w:eastAsia="宋体" w:cs="宋体"/>
          <w:color w:val="auto"/>
          <w:spacing w:val="-25"/>
          <w:sz w:val="21"/>
          <w:szCs w:val="21"/>
          <w:highlight w:val="none"/>
        </w:rPr>
        <w:t>月</w:t>
      </w:r>
      <w:r>
        <w:rPr>
          <w:rFonts w:ascii="宋体" w:hAnsi="宋体" w:eastAsia="宋体" w:cs="宋体"/>
          <w:color w:val="auto"/>
          <w:spacing w:val="15"/>
          <w:sz w:val="21"/>
          <w:szCs w:val="21"/>
          <w:highlight w:val="none"/>
        </w:rPr>
        <w:t xml:space="preserve">   </w:t>
      </w:r>
      <w:r>
        <w:rPr>
          <w:rFonts w:ascii="宋体" w:hAnsi="宋体" w:eastAsia="宋体" w:cs="宋体"/>
          <w:color w:val="auto"/>
          <w:spacing w:val="-25"/>
          <w:sz w:val="21"/>
          <w:szCs w:val="21"/>
          <w:highlight w:val="none"/>
        </w:rPr>
        <w:t>日</w:t>
      </w:r>
    </w:p>
    <w:p w14:paraId="6235F056">
      <w:pPr>
        <w:spacing w:line="221" w:lineRule="auto"/>
        <w:rPr>
          <w:rFonts w:ascii="宋体" w:hAnsi="宋体" w:eastAsia="宋体" w:cs="宋体"/>
          <w:color w:val="auto"/>
          <w:sz w:val="21"/>
          <w:szCs w:val="21"/>
          <w:highlight w:val="none"/>
        </w:rPr>
        <w:sectPr>
          <w:footerReference r:id="rId42" w:type="default"/>
          <w:pgSz w:w="11905" w:h="16839"/>
          <w:pgMar w:top="1431" w:right="1785" w:bottom="996" w:left="1785" w:header="0" w:footer="791" w:gutter="0"/>
          <w:pgNumType w:fmt="decimal"/>
          <w:cols w:space="720" w:num="1"/>
        </w:sectPr>
      </w:pPr>
    </w:p>
    <w:p w14:paraId="260EFB2B">
      <w:pPr>
        <w:pStyle w:val="3"/>
        <w:spacing w:line="248" w:lineRule="auto"/>
        <w:rPr>
          <w:color w:val="auto"/>
          <w:highlight w:val="none"/>
        </w:rPr>
      </w:pPr>
    </w:p>
    <w:p w14:paraId="01221CF0">
      <w:pPr>
        <w:pStyle w:val="3"/>
        <w:spacing w:line="248" w:lineRule="auto"/>
        <w:rPr>
          <w:color w:val="auto"/>
          <w:highlight w:val="none"/>
        </w:rPr>
      </w:pPr>
    </w:p>
    <w:p w14:paraId="1D0F6EF1">
      <w:pPr>
        <w:pStyle w:val="3"/>
        <w:spacing w:line="248" w:lineRule="auto"/>
        <w:rPr>
          <w:color w:val="auto"/>
          <w:highlight w:val="none"/>
        </w:rPr>
      </w:pPr>
    </w:p>
    <w:p w14:paraId="2835C90A">
      <w:pPr>
        <w:pStyle w:val="3"/>
        <w:spacing w:line="248" w:lineRule="auto"/>
        <w:rPr>
          <w:color w:val="auto"/>
          <w:highlight w:val="none"/>
        </w:rPr>
      </w:pPr>
    </w:p>
    <w:p w14:paraId="585F6681">
      <w:pPr>
        <w:pStyle w:val="3"/>
        <w:spacing w:line="248" w:lineRule="auto"/>
        <w:rPr>
          <w:color w:val="auto"/>
          <w:highlight w:val="none"/>
        </w:rPr>
      </w:pPr>
    </w:p>
    <w:p w14:paraId="6467E847">
      <w:pPr>
        <w:pStyle w:val="3"/>
        <w:spacing w:line="248" w:lineRule="auto"/>
        <w:rPr>
          <w:color w:val="auto"/>
          <w:highlight w:val="none"/>
        </w:rPr>
      </w:pPr>
    </w:p>
    <w:p w14:paraId="2E8CAE50">
      <w:pPr>
        <w:pStyle w:val="3"/>
        <w:spacing w:line="248" w:lineRule="auto"/>
        <w:rPr>
          <w:color w:val="auto"/>
          <w:highlight w:val="none"/>
        </w:rPr>
      </w:pPr>
    </w:p>
    <w:p w14:paraId="3EE41704">
      <w:pPr>
        <w:pStyle w:val="3"/>
        <w:spacing w:line="248" w:lineRule="auto"/>
        <w:rPr>
          <w:color w:val="auto"/>
          <w:highlight w:val="none"/>
        </w:rPr>
      </w:pPr>
    </w:p>
    <w:p w14:paraId="3EABB8EC">
      <w:pPr>
        <w:pStyle w:val="3"/>
        <w:spacing w:line="248" w:lineRule="auto"/>
        <w:rPr>
          <w:color w:val="auto"/>
          <w:highlight w:val="none"/>
        </w:rPr>
      </w:pPr>
    </w:p>
    <w:p w14:paraId="6CAF1BBB">
      <w:pPr>
        <w:pStyle w:val="3"/>
        <w:spacing w:line="248" w:lineRule="auto"/>
        <w:rPr>
          <w:color w:val="auto"/>
          <w:highlight w:val="none"/>
        </w:rPr>
      </w:pPr>
    </w:p>
    <w:p w14:paraId="063DCFE1">
      <w:pPr>
        <w:pStyle w:val="3"/>
        <w:spacing w:line="249" w:lineRule="auto"/>
        <w:rPr>
          <w:color w:val="auto"/>
          <w:highlight w:val="none"/>
        </w:rPr>
      </w:pPr>
    </w:p>
    <w:p w14:paraId="29CACF02">
      <w:pPr>
        <w:pStyle w:val="3"/>
        <w:spacing w:line="249" w:lineRule="auto"/>
        <w:rPr>
          <w:color w:val="auto"/>
          <w:highlight w:val="none"/>
        </w:rPr>
      </w:pPr>
    </w:p>
    <w:p w14:paraId="7E4643A5">
      <w:pPr>
        <w:pStyle w:val="3"/>
        <w:spacing w:line="249" w:lineRule="auto"/>
        <w:rPr>
          <w:color w:val="auto"/>
          <w:highlight w:val="none"/>
        </w:rPr>
      </w:pPr>
    </w:p>
    <w:p w14:paraId="2D8977BB">
      <w:pPr>
        <w:pStyle w:val="3"/>
        <w:spacing w:line="249" w:lineRule="auto"/>
        <w:rPr>
          <w:color w:val="auto"/>
          <w:highlight w:val="none"/>
        </w:rPr>
      </w:pPr>
    </w:p>
    <w:p w14:paraId="0AF3563F">
      <w:pPr>
        <w:pStyle w:val="3"/>
        <w:spacing w:line="249" w:lineRule="auto"/>
        <w:rPr>
          <w:color w:val="auto"/>
          <w:highlight w:val="none"/>
        </w:rPr>
      </w:pPr>
    </w:p>
    <w:p w14:paraId="1BC478D1">
      <w:pPr>
        <w:spacing w:before="104" w:line="219" w:lineRule="auto"/>
        <w:ind w:left="2899"/>
        <w:outlineLvl w:val="0"/>
        <w:rPr>
          <w:rFonts w:ascii="黑体" w:hAnsi="黑体" w:eastAsia="黑体" w:cs="黑体"/>
          <w:color w:val="auto"/>
          <w:sz w:val="32"/>
          <w:szCs w:val="32"/>
          <w:highlight w:val="none"/>
        </w:rPr>
      </w:pPr>
      <w:bookmarkStart w:id="90" w:name="bookmark109"/>
      <w:bookmarkEnd w:id="90"/>
      <w:r>
        <w:rPr>
          <w:rFonts w:ascii="黑体" w:hAnsi="黑体" w:eastAsia="黑体" w:cs="黑体"/>
          <w:color w:val="auto"/>
          <w:spacing w:val="-1"/>
          <w:sz w:val="32"/>
          <w:szCs w:val="32"/>
          <w:highlight w:val="none"/>
        </w:rPr>
        <w:t>第三章  评标办法</w:t>
      </w:r>
    </w:p>
    <w:p w14:paraId="27EBC167">
      <w:pPr>
        <w:spacing w:line="219" w:lineRule="auto"/>
        <w:rPr>
          <w:rFonts w:ascii="黑体" w:hAnsi="黑体" w:eastAsia="黑体" w:cs="黑体"/>
          <w:color w:val="auto"/>
          <w:sz w:val="32"/>
          <w:szCs w:val="32"/>
          <w:highlight w:val="none"/>
        </w:rPr>
        <w:sectPr>
          <w:footerReference r:id="rId43" w:type="default"/>
          <w:pgSz w:w="11905" w:h="16839"/>
          <w:pgMar w:top="1431" w:right="1785" w:bottom="996" w:left="1785" w:header="0" w:footer="791" w:gutter="0"/>
          <w:pgNumType w:fmt="decimal"/>
          <w:cols w:space="720" w:num="1"/>
        </w:sectPr>
      </w:pPr>
    </w:p>
    <w:p w14:paraId="287B96E5">
      <w:pPr>
        <w:spacing w:before="64" w:line="219" w:lineRule="auto"/>
        <w:ind w:left="3201"/>
        <w:rPr>
          <w:rFonts w:ascii="黑体" w:hAnsi="黑体" w:eastAsia="黑体" w:cs="黑体"/>
          <w:color w:val="auto"/>
          <w:sz w:val="32"/>
          <w:szCs w:val="32"/>
          <w:highlight w:val="none"/>
        </w:rPr>
      </w:pPr>
      <w:bookmarkStart w:id="91" w:name="bookmark111"/>
      <w:bookmarkEnd w:id="91"/>
      <w:bookmarkStart w:id="92" w:name="bookmark110"/>
      <w:bookmarkEnd w:id="92"/>
      <w:r>
        <w:rPr>
          <w:rFonts w:ascii="黑体" w:hAnsi="黑体" w:eastAsia="黑体" w:cs="黑体"/>
          <w:color w:val="auto"/>
          <w:spacing w:val="-1"/>
          <w:sz w:val="32"/>
          <w:szCs w:val="32"/>
          <w:highlight w:val="none"/>
        </w:rPr>
        <w:t>第三章  评标办法</w:t>
      </w:r>
    </w:p>
    <w:p w14:paraId="5D768B9C">
      <w:pPr>
        <w:pStyle w:val="3"/>
        <w:spacing w:line="426" w:lineRule="auto"/>
        <w:rPr>
          <w:color w:val="auto"/>
          <w:highlight w:val="none"/>
        </w:rPr>
      </w:pPr>
    </w:p>
    <w:p w14:paraId="2C08AF94">
      <w:pPr>
        <w:spacing w:before="88" w:line="224" w:lineRule="auto"/>
        <w:ind w:left="2516"/>
        <w:outlineLvl w:val="1"/>
        <w:rPr>
          <w:rFonts w:ascii="黑体" w:hAnsi="黑体" w:eastAsia="黑体" w:cs="黑体"/>
          <w:color w:val="auto"/>
          <w:sz w:val="27"/>
          <w:szCs w:val="27"/>
          <w:highlight w:val="none"/>
        </w:rPr>
      </w:pPr>
      <w:r>
        <w:rPr>
          <w:rFonts w:ascii="黑体" w:hAnsi="黑体" w:eastAsia="黑体" w:cs="黑体"/>
          <w:color w:val="auto"/>
          <w:spacing w:val="8"/>
          <w:sz w:val="27"/>
          <w:szCs w:val="27"/>
          <w:highlight w:val="none"/>
        </w:rPr>
        <w:t>评标办法前附表（综合评估法）</w:t>
      </w:r>
    </w:p>
    <w:p w14:paraId="777A6A13">
      <w:pPr>
        <w:spacing w:before="111"/>
        <w:rPr>
          <w:color w:val="auto"/>
          <w:highlight w:val="none"/>
        </w:rPr>
      </w:pPr>
    </w:p>
    <w:tbl>
      <w:tblPr>
        <w:tblStyle w:val="6"/>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099"/>
        <w:gridCol w:w="2303"/>
        <w:gridCol w:w="4794"/>
      </w:tblGrid>
      <w:tr w14:paraId="228EF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843" w:type="dxa"/>
            <w:gridSpan w:val="2"/>
            <w:tcBorders>
              <w:top w:val="single" w:color="000000" w:sz="2" w:space="0"/>
              <w:left w:val="single" w:color="000000" w:sz="2" w:space="0"/>
              <w:bottom w:val="single" w:color="000000" w:sz="2" w:space="0"/>
              <w:right w:val="single" w:color="000000" w:sz="2" w:space="0"/>
              <w:tl2br w:val="nil"/>
              <w:tr2bl w:val="nil"/>
            </w:tcBorders>
            <w:noWrap w:val="0"/>
            <w:vAlign w:val="top"/>
          </w:tcPr>
          <w:p w14:paraId="2C36A056">
            <w:pPr>
              <w:pStyle w:val="11"/>
              <w:spacing w:before="182" w:beforeLines="0" w:afterLines="0" w:line="221" w:lineRule="auto"/>
              <w:ind w:left="610"/>
              <w:rPr>
                <w:rFonts w:hint="default"/>
                <w:color w:val="auto"/>
                <w:sz w:val="21"/>
                <w:szCs w:val="21"/>
                <w:highlight w:val="none"/>
              </w:rPr>
            </w:pPr>
            <w:r>
              <w:rPr>
                <w:rFonts w:hint="default"/>
                <w:color w:val="auto"/>
                <w:spacing w:val="-2"/>
                <w:sz w:val="21"/>
                <w:szCs w:val="21"/>
                <w:highlight w:val="none"/>
              </w:rPr>
              <w:t>条款号</w:t>
            </w: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92808DA">
            <w:pPr>
              <w:pStyle w:val="11"/>
              <w:spacing w:before="182" w:beforeLines="0" w:afterLines="0" w:line="221" w:lineRule="auto"/>
              <w:ind w:left="728"/>
              <w:rPr>
                <w:rFonts w:hint="default"/>
                <w:color w:val="auto"/>
                <w:sz w:val="21"/>
                <w:szCs w:val="21"/>
                <w:highlight w:val="none"/>
              </w:rPr>
            </w:pPr>
            <w:r>
              <w:rPr>
                <w:rFonts w:hint="default"/>
                <w:color w:val="auto"/>
                <w:spacing w:val="-1"/>
                <w:sz w:val="21"/>
                <w:szCs w:val="21"/>
                <w:highlight w:val="none"/>
              </w:rPr>
              <w:t>评审因素</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74B588A">
            <w:pPr>
              <w:pStyle w:val="11"/>
              <w:spacing w:before="183" w:beforeLines="0" w:afterLines="0" w:line="221" w:lineRule="auto"/>
              <w:ind w:left="1973"/>
              <w:rPr>
                <w:rFonts w:hint="default"/>
                <w:color w:val="auto"/>
                <w:sz w:val="21"/>
                <w:szCs w:val="21"/>
                <w:highlight w:val="none"/>
              </w:rPr>
            </w:pPr>
            <w:r>
              <w:rPr>
                <w:rFonts w:hint="default"/>
                <w:color w:val="auto"/>
                <w:spacing w:val="-1"/>
                <w:sz w:val="21"/>
                <w:szCs w:val="21"/>
                <w:highlight w:val="none"/>
              </w:rPr>
              <w:t>评审标准</w:t>
            </w:r>
          </w:p>
        </w:tc>
      </w:tr>
      <w:tr w14:paraId="0B365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restart"/>
            <w:tcBorders>
              <w:top w:val="single" w:color="000000" w:sz="2" w:space="0"/>
              <w:left w:val="single" w:color="000000" w:sz="2" w:space="0"/>
              <w:bottom w:val="nil"/>
              <w:right w:val="single" w:color="000000" w:sz="2" w:space="0"/>
              <w:tl2br w:val="nil"/>
              <w:tr2bl w:val="nil"/>
            </w:tcBorders>
            <w:noWrap w:val="0"/>
            <w:vAlign w:val="top"/>
          </w:tcPr>
          <w:p w14:paraId="214E4246">
            <w:pPr>
              <w:spacing w:beforeLines="0" w:afterLines="0" w:line="255" w:lineRule="auto"/>
              <w:rPr>
                <w:rFonts w:hint="default"/>
                <w:color w:val="auto"/>
                <w:sz w:val="21"/>
                <w:szCs w:val="21"/>
                <w:highlight w:val="none"/>
              </w:rPr>
            </w:pPr>
          </w:p>
          <w:p w14:paraId="58A09DF9">
            <w:pPr>
              <w:spacing w:beforeLines="0" w:afterLines="0" w:line="255" w:lineRule="auto"/>
              <w:rPr>
                <w:rFonts w:hint="default"/>
                <w:color w:val="auto"/>
                <w:sz w:val="21"/>
                <w:szCs w:val="21"/>
                <w:highlight w:val="none"/>
              </w:rPr>
            </w:pPr>
          </w:p>
          <w:p w14:paraId="45652DA9">
            <w:pPr>
              <w:spacing w:beforeLines="0" w:afterLines="0" w:line="255" w:lineRule="auto"/>
              <w:rPr>
                <w:rFonts w:hint="default"/>
                <w:color w:val="auto"/>
                <w:sz w:val="21"/>
                <w:szCs w:val="21"/>
                <w:highlight w:val="none"/>
              </w:rPr>
            </w:pPr>
          </w:p>
          <w:p w14:paraId="61C93DEB">
            <w:pPr>
              <w:spacing w:beforeLines="0" w:afterLines="0" w:line="256" w:lineRule="auto"/>
              <w:rPr>
                <w:rFonts w:hint="default"/>
                <w:color w:val="auto"/>
                <w:sz w:val="21"/>
                <w:szCs w:val="21"/>
                <w:highlight w:val="none"/>
              </w:rPr>
            </w:pPr>
          </w:p>
          <w:p w14:paraId="0726A5EF">
            <w:pPr>
              <w:spacing w:beforeLines="0" w:afterLines="0" w:line="256" w:lineRule="auto"/>
              <w:rPr>
                <w:rFonts w:hint="default"/>
                <w:color w:val="auto"/>
                <w:sz w:val="21"/>
                <w:szCs w:val="21"/>
                <w:highlight w:val="none"/>
              </w:rPr>
            </w:pPr>
          </w:p>
          <w:p w14:paraId="73740E88">
            <w:pPr>
              <w:spacing w:beforeLines="0" w:afterLines="0" w:line="256" w:lineRule="auto"/>
              <w:rPr>
                <w:rFonts w:hint="default"/>
                <w:color w:val="auto"/>
                <w:sz w:val="21"/>
                <w:szCs w:val="21"/>
                <w:highlight w:val="none"/>
              </w:rPr>
            </w:pPr>
          </w:p>
          <w:p w14:paraId="33AB4673">
            <w:pPr>
              <w:spacing w:beforeLines="0" w:afterLines="0" w:line="256" w:lineRule="auto"/>
              <w:rPr>
                <w:rFonts w:hint="default"/>
                <w:color w:val="auto"/>
                <w:sz w:val="21"/>
                <w:szCs w:val="21"/>
                <w:highlight w:val="none"/>
              </w:rPr>
            </w:pPr>
          </w:p>
          <w:p w14:paraId="2C3D0E1F">
            <w:pPr>
              <w:spacing w:beforeLines="0" w:afterLines="0" w:line="256" w:lineRule="auto"/>
              <w:rPr>
                <w:rFonts w:hint="default"/>
                <w:color w:val="auto"/>
                <w:sz w:val="21"/>
                <w:szCs w:val="21"/>
                <w:highlight w:val="none"/>
              </w:rPr>
            </w:pPr>
          </w:p>
          <w:p w14:paraId="3B2FD82A">
            <w:pPr>
              <w:spacing w:beforeLines="0" w:afterLines="0" w:line="256" w:lineRule="auto"/>
              <w:rPr>
                <w:rFonts w:hint="default"/>
                <w:color w:val="auto"/>
                <w:sz w:val="21"/>
                <w:szCs w:val="21"/>
                <w:highlight w:val="none"/>
              </w:rPr>
            </w:pPr>
          </w:p>
          <w:p w14:paraId="40CF8114">
            <w:pPr>
              <w:spacing w:beforeLines="0" w:afterLines="0" w:line="256" w:lineRule="auto"/>
              <w:rPr>
                <w:rFonts w:hint="default"/>
                <w:color w:val="auto"/>
                <w:sz w:val="21"/>
                <w:szCs w:val="21"/>
                <w:highlight w:val="none"/>
              </w:rPr>
            </w:pPr>
          </w:p>
          <w:p w14:paraId="79621642">
            <w:pPr>
              <w:spacing w:beforeLines="0" w:afterLines="0" w:line="256" w:lineRule="auto"/>
              <w:rPr>
                <w:rFonts w:hint="default"/>
                <w:color w:val="auto"/>
                <w:sz w:val="21"/>
                <w:szCs w:val="21"/>
                <w:highlight w:val="none"/>
              </w:rPr>
            </w:pPr>
          </w:p>
          <w:p w14:paraId="7D4D3696">
            <w:pPr>
              <w:spacing w:beforeLines="0" w:afterLines="0" w:line="256" w:lineRule="auto"/>
              <w:rPr>
                <w:rFonts w:hint="default"/>
                <w:color w:val="auto"/>
                <w:sz w:val="21"/>
                <w:szCs w:val="21"/>
                <w:highlight w:val="none"/>
              </w:rPr>
            </w:pPr>
          </w:p>
          <w:p w14:paraId="64160908">
            <w:pPr>
              <w:spacing w:beforeLines="0" w:afterLines="0" w:line="256" w:lineRule="auto"/>
              <w:rPr>
                <w:rFonts w:hint="default"/>
                <w:color w:val="auto"/>
                <w:sz w:val="21"/>
                <w:szCs w:val="21"/>
                <w:highlight w:val="none"/>
              </w:rPr>
            </w:pPr>
          </w:p>
          <w:p w14:paraId="3B9ADF52">
            <w:pPr>
              <w:spacing w:beforeLines="0" w:afterLines="0" w:line="256" w:lineRule="auto"/>
              <w:rPr>
                <w:rFonts w:hint="default"/>
                <w:color w:val="auto"/>
                <w:sz w:val="21"/>
                <w:szCs w:val="21"/>
                <w:highlight w:val="none"/>
              </w:rPr>
            </w:pPr>
          </w:p>
          <w:p w14:paraId="60138436">
            <w:pPr>
              <w:spacing w:beforeLines="0" w:afterLines="0" w:line="256" w:lineRule="auto"/>
              <w:rPr>
                <w:rFonts w:hint="default"/>
                <w:color w:val="auto"/>
                <w:sz w:val="21"/>
                <w:szCs w:val="21"/>
                <w:highlight w:val="none"/>
              </w:rPr>
            </w:pPr>
          </w:p>
          <w:p w14:paraId="3EACF89A">
            <w:pPr>
              <w:spacing w:before="61" w:beforeLines="0" w:afterLines="0" w:line="189" w:lineRule="auto"/>
              <w:ind w:left="162"/>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pacing w:val="-1"/>
                <w:sz w:val="21"/>
                <w:szCs w:val="21"/>
                <w:highlight w:val="none"/>
              </w:rPr>
              <w:t>2.1.1</w:t>
            </w:r>
          </w:p>
        </w:tc>
        <w:tc>
          <w:tcPr>
            <w:tcW w:w="1099" w:type="dxa"/>
            <w:vMerge w:val="restart"/>
            <w:tcBorders>
              <w:top w:val="single" w:color="000000" w:sz="2" w:space="0"/>
              <w:left w:val="single" w:color="000000" w:sz="2" w:space="0"/>
              <w:bottom w:val="nil"/>
              <w:right w:val="single" w:color="000000" w:sz="2" w:space="0"/>
              <w:tl2br w:val="nil"/>
              <w:tr2bl w:val="nil"/>
            </w:tcBorders>
            <w:noWrap w:val="0"/>
            <w:vAlign w:val="top"/>
          </w:tcPr>
          <w:p w14:paraId="1395CDEE">
            <w:pPr>
              <w:spacing w:beforeLines="0" w:afterLines="0" w:line="241" w:lineRule="auto"/>
              <w:rPr>
                <w:rFonts w:hint="default"/>
                <w:color w:val="auto"/>
                <w:sz w:val="21"/>
                <w:szCs w:val="21"/>
                <w:highlight w:val="none"/>
              </w:rPr>
            </w:pPr>
          </w:p>
          <w:p w14:paraId="767A9818">
            <w:pPr>
              <w:spacing w:beforeLines="0" w:afterLines="0" w:line="241" w:lineRule="auto"/>
              <w:rPr>
                <w:rFonts w:hint="default"/>
                <w:color w:val="auto"/>
                <w:sz w:val="21"/>
                <w:szCs w:val="21"/>
                <w:highlight w:val="none"/>
              </w:rPr>
            </w:pPr>
          </w:p>
          <w:p w14:paraId="1C5D781E">
            <w:pPr>
              <w:spacing w:beforeLines="0" w:afterLines="0" w:line="241" w:lineRule="auto"/>
              <w:rPr>
                <w:rFonts w:hint="default"/>
                <w:color w:val="auto"/>
                <w:sz w:val="21"/>
                <w:szCs w:val="21"/>
                <w:highlight w:val="none"/>
              </w:rPr>
            </w:pPr>
          </w:p>
          <w:p w14:paraId="3CBFF31C">
            <w:pPr>
              <w:spacing w:beforeLines="0" w:afterLines="0" w:line="241" w:lineRule="auto"/>
              <w:rPr>
                <w:rFonts w:hint="default"/>
                <w:color w:val="auto"/>
                <w:sz w:val="21"/>
                <w:szCs w:val="21"/>
                <w:highlight w:val="none"/>
              </w:rPr>
            </w:pPr>
          </w:p>
          <w:p w14:paraId="1CD0648C">
            <w:pPr>
              <w:spacing w:beforeLines="0" w:afterLines="0" w:line="241" w:lineRule="auto"/>
              <w:rPr>
                <w:rFonts w:hint="default"/>
                <w:color w:val="auto"/>
                <w:sz w:val="21"/>
                <w:szCs w:val="21"/>
                <w:highlight w:val="none"/>
              </w:rPr>
            </w:pPr>
          </w:p>
          <w:p w14:paraId="402F932D">
            <w:pPr>
              <w:spacing w:beforeLines="0" w:afterLines="0" w:line="241" w:lineRule="auto"/>
              <w:rPr>
                <w:rFonts w:hint="default"/>
                <w:color w:val="auto"/>
                <w:sz w:val="21"/>
                <w:szCs w:val="21"/>
                <w:highlight w:val="none"/>
              </w:rPr>
            </w:pPr>
          </w:p>
          <w:p w14:paraId="04C2445A">
            <w:pPr>
              <w:spacing w:beforeLines="0" w:afterLines="0" w:line="241" w:lineRule="auto"/>
              <w:rPr>
                <w:rFonts w:hint="default"/>
                <w:color w:val="auto"/>
                <w:sz w:val="21"/>
                <w:szCs w:val="21"/>
                <w:highlight w:val="none"/>
              </w:rPr>
            </w:pPr>
          </w:p>
          <w:p w14:paraId="49CC3245">
            <w:pPr>
              <w:spacing w:beforeLines="0" w:afterLines="0" w:line="241" w:lineRule="auto"/>
              <w:rPr>
                <w:rFonts w:hint="default"/>
                <w:color w:val="auto"/>
                <w:sz w:val="21"/>
                <w:szCs w:val="21"/>
                <w:highlight w:val="none"/>
              </w:rPr>
            </w:pPr>
          </w:p>
          <w:p w14:paraId="41F44A10">
            <w:pPr>
              <w:spacing w:beforeLines="0" w:afterLines="0" w:line="241" w:lineRule="auto"/>
              <w:rPr>
                <w:rFonts w:hint="default"/>
                <w:color w:val="auto"/>
                <w:sz w:val="21"/>
                <w:szCs w:val="21"/>
                <w:highlight w:val="none"/>
              </w:rPr>
            </w:pPr>
          </w:p>
          <w:p w14:paraId="1B87EAC5">
            <w:pPr>
              <w:spacing w:beforeLines="0" w:afterLines="0" w:line="241" w:lineRule="auto"/>
              <w:rPr>
                <w:rFonts w:hint="default"/>
                <w:color w:val="auto"/>
                <w:sz w:val="21"/>
                <w:szCs w:val="21"/>
                <w:highlight w:val="none"/>
              </w:rPr>
            </w:pPr>
          </w:p>
          <w:p w14:paraId="1DD1F7CA">
            <w:pPr>
              <w:spacing w:beforeLines="0" w:afterLines="0" w:line="242" w:lineRule="auto"/>
              <w:rPr>
                <w:rFonts w:hint="default"/>
                <w:color w:val="auto"/>
                <w:sz w:val="21"/>
                <w:szCs w:val="21"/>
                <w:highlight w:val="none"/>
              </w:rPr>
            </w:pPr>
          </w:p>
          <w:p w14:paraId="06C36FCC">
            <w:pPr>
              <w:spacing w:beforeLines="0" w:afterLines="0" w:line="242" w:lineRule="auto"/>
              <w:rPr>
                <w:rFonts w:hint="default"/>
                <w:color w:val="auto"/>
                <w:sz w:val="21"/>
                <w:szCs w:val="21"/>
                <w:highlight w:val="none"/>
              </w:rPr>
            </w:pPr>
          </w:p>
          <w:p w14:paraId="7E51D347">
            <w:pPr>
              <w:spacing w:beforeLines="0" w:afterLines="0" w:line="242" w:lineRule="auto"/>
              <w:rPr>
                <w:rFonts w:hint="default"/>
                <w:color w:val="auto"/>
                <w:sz w:val="21"/>
                <w:szCs w:val="21"/>
                <w:highlight w:val="none"/>
              </w:rPr>
            </w:pPr>
          </w:p>
          <w:p w14:paraId="6C7E3E43">
            <w:pPr>
              <w:spacing w:beforeLines="0" w:afterLines="0" w:line="242" w:lineRule="auto"/>
              <w:rPr>
                <w:rFonts w:hint="default"/>
                <w:color w:val="auto"/>
                <w:sz w:val="21"/>
                <w:szCs w:val="21"/>
                <w:highlight w:val="none"/>
              </w:rPr>
            </w:pPr>
          </w:p>
          <w:p w14:paraId="41FBB0BF">
            <w:pPr>
              <w:pStyle w:val="11"/>
              <w:spacing w:before="68" w:beforeLines="0" w:afterLines="0" w:line="418" w:lineRule="exact"/>
              <w:ind w:left="347"/>
              <w:rPr>
                <w:rFonts w:hint="default"/>
                <w:color w:val="auto"/>
                <w:sz w:val="21"/>
                <w:szCs w:val="21"/>
                <w:highlight w:val="none"/>
              </w:rPr>
            </w:pPr>
            <w:r>
              <w:rPr>
                <w:rFonts w:hint="default"/>
                <w:color w:val="auto"/>
                <w:spacing w:val="-3"/>
                <w:position w:val="15"/>
                <w:sz w:val="21"/>
                <w:szCs w:val="21"/>
                <w:highlight w:val="none"/>
              </w:rPr>
              <w:t>形式</w:t>
            </w:r>
          </w:p>
          <w:p w14:paraId="170ADEDB">
            <w:pPr>
              <w:pStyle w:val="11"/>
              <w:spacing w:beforeLines="0" w:afterLines="0" w:line="221" w:lineRule="auto"/>
              <w:ind w:left="343"/>
              <w:rPr>
                <w:rFonts w:hint="default"/>
                <w:color w:val="auto"/>
                <w:sz w:val="21"/>
                <w:szCs w:val="21"/>
                <w:highlight w:val="none"/>
              </w:rPr>
            </w:pPr>
            <w:r>
              <w:rPr>
                <w:rFonts w:hint="default"/>
                <w:color w:val="auto"/>
                <w:spacing w:val="-2"/>
                <w:sz w:val="21"/>
                <w:szCs w:val="21"/>
                <w:highlight w:val="none"/>
              </w:rPr>
              <w:t>评审</w:t>
            </w:r>
          </w:p>
          <w:p w14:paraId="749D4A50">
            <w:pPr>
              <w:pStyle w:val="11"/>
              <w:spacing w:before="171" w:beforeLines="0" w:afterLines="0" w:line="221" w:lineRule="auto"/>
              <w:ind w:left="345"/>
              <w:rPr>
                <w:rFonts w:hint="default"/>
                <w:color w:val="auto"/>
                <w:sz w:val="21"/>
                <w:szCs w:val="21"/>
                <w:highlight w:val="none"/>
              </w:rPr>
            </w:pPr>
            <w:r>
              <w:rPr>
                <w:rFonts w:hint="default"/>
                <w:color w:val="auto"/>
                <w:spacing w:val="-2"/>
                <w:sz w:val="21"/>
                <w:szCs w:val="21"/>
                <w:highlight w:val="none"/>
              </w:rPr>
              <w:t>标准</w:t>
            </w: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C19A694">
            <w:pPr>
              <w:pStyle w:val="11"/>
              <w:spacing w:before="174" w:beforeLines="0" w:afterLines="0" w:line="221" w:lineRule="auto"/>
              <w:ind w:left="630"/>
              <w:rPr>
                <w:rFonts w:hint="default"/>
                <w:color w:val="auto"/>
                <w:sz w:val="21"/>
                <w:szCs w:val="21"/>
                <w:highlight w:val="none"/>
              </w:rPr>
            </w:pPr>
            <w:r>
              <w:rPr>
                <w:rFonts w:hint="default"/>
                <w:color w:val="auto"/>
                <w:spacing w:val="-1"/>
                <w:sz w:val="21"/>
                <w:szCs w:val="21"/>
                <w:highlight w:val="none"/>
              </w:rPr>
              <w:t>投标人名称</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441044DD">
            <w:pPr>
              <w:pStyle w:val="11"/>
              <w:spacing w:before="173" w:beforeLines="0" w:afterLines="0" w:line="220" w:lineRule="auto"/>
              <w:ind w:left="116"/>
              <w:rPr>
                <w:rFonts w:hint="default"/>
                <w:color w:val="auto"/>
                <w:sz w:val="21"/>
                <w:szCs w:val="21"/>
                <w:highlight w:val="none"/>
              </w:rPr>
            </w:pPr>
            <w:r>
              <w:rPr>
                <w:rFonts w:hint="default"/>
                <w:color w:val="auto"/>
                <w:spacing w:val="-1"/>
                <w:sz w:val="21"/>
                <w:szCs w:val="21"/>
                <w:highlight w:val="none"/>
              </w:rPr>
              <w:t>与营业执照、资质证书、安全生产许可证一致</w:t>
            </w:r>
          </w:p>
        </w:tc>
      </w:tr>
      <w:tr w14:paraId="09614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2AFB10E5">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6C48128E">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02B0A94">
            <w:pPr>
              <w:pStyle w:val="11"/>
              <w:spacing w:before="174" w:beforeLines="0" w:afterLines="0" w:line="220" w:lineRule="auto"/>
              <w:ind w:left="314"/>
              <w:rPr>
                <w:rFonts w:hint="default"/>
                <w:color w:val="auto"/>
                <w:sz w:val="21"/>
                <w:szCs w:val="21"/>
                <w:highlight w:val="none"/>
              </w:rPr>
            </w:pPr>
            <w:r>
              <w:rPr>
                <w:rFonts w:hint="default"/>
                <w:color w:val="auto"/>
                <w:spacing w:val="-1"/>
                <w:sz w:val="21"/>
                <w:szCs w:val="21"/>
                <w:highlight w:val="none"/>
              </w:rPr>
              <w:t>投标文件签字盖章</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38F81E3F">
            <w:pPr>
              <w:pStyle w:val="11"/>
              <w:spacing w:before="174" w:beforeLines="0" w:afterLines="0" w:line="220" w:lineRule="auto"/>
              <w:ind w:left="113"/>
              <w:rPr>
                <w:rFonts w:hint="default"/>
                <w:color w:val="auto"/>
                <w:sz w:val="21"/>
                <w:szCs w:val="21"/>
                <w:highlight w:val="none"/>
              </w:rPr>
            </w:pPr>
            <w:r>
              <w:rPr>
                <w:rFonts w:hint="default"/>
                <w:color w:val="auto"/>
                <w:spacing w:val="-1"/>
                <w:sz w:val="21"/>
                <w:szCs w:val="21"/>
                <w:highlight w:val="none"/>
              </w:rPr>
              <w:t>符合第二章“投标人须知”第</w:t>
            </w:r>
            <w:r>
              <w:rPr>
                <w:rFonts w:hint="default"/>
                <w:color w:val="auto"/>
                <w:spacing w:val="-43"/>
                <w:sz w:val="21"/>
                <w:szCs w:val="21"/>
                <w:highlight w:val="none"/>
              </w:rPr>
              <w:t xml:space="preserve"> </w:t>
            </w:r>
            <w:r>
              <w:rPr>
                <w:rFonts w:hint="default"/>
                <w:color w:val="auto"/>
                <w:spacing w:val="-1"/>
                <w:sz w:val="21"/>
                <w:szCs w:val="21"/>
                <w:highlight w:val="none"/>
              </w:rPr>
              <w:t>3.7.3（4）目规定</w:t>
            </w:r>
          </w:p>
        </w:tc>
      </w:tr>
      <w:tr w14:paraId="706DD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0E67CFD0">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1F8D9074">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0827CD4F">
            <w:pPr>
              <w:spacing w:beforeLines="0" w:afterLines="0" w:line="300" w:lineRule="auto"/>
              <w:rPr>
                <w:rFonts w:hint="default"/>
                <w:color w:val="auto"/>
                <w:sz w:val="21"/>
                <w:szCs w:val="21"/>
                <w:highlight w:val="none"/>
              </w:rPr>
            </w:pPr>
          </w:p>
          <w:p w14:paraId="406A6F14">
            <w:pPr>
              <w:pStyle w:val="11"/>
              <w:spacing w:before="69" w:beforeLines="0" w:afterLines="0" w:line="221" w:lineRule="auto"/>
              <w:ind w:left="208"/>
              <w:rPr>
                <w:rFonts w:hint="default"/>
                <w:color w:val="auto"/>
                <w:sz w:val="21"/>
                <w:szCs w:val="21"/>
                <w:highlight w:val="none"/>
              </w:rPr>
            </w:pPr>
            <w:r>
              <w:rPr>
                <w:rFonts w:hint="default"/>
                <w:color w:val="auto"/>
                <w:spacing w:val="-1"/>
                <w:sz w:val="21"/>
                <w:szCs w:val="21"/>
                <w:highlight w:val="none"/>
              </w:rPr>
              <w:t>投标文件格式、内容</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2E07CEA">
            <w:pPr>
              <w:pStyle w:val="11"/>
              <w:spacing w:before="160" w:beforeLines="0" w:afterLines="0" w:line="422" w:lineRule="exact"/>
              <w:ind w:left="113"/>
              <w:rPr>
                <w:rFonts w:hint="default"/>
                <w:color w:val="auto"/>
                <w:sz w:val="21"/>
                <w:szCs w:val="21"/>
                <w:highlight w:val="none"/>
              </w:rPr>
            </w:pPr>
            <w:r>
              <w:rPr>
                <w:rFonts w:hint="default"/>
                <w:color w:val="auto"/>
                <w:spacing w:val="7"/>
                <w:position w:val="16"/>
                <w:sz w:val="21"/>
                <w:szCs w:val="21"/>
                <w:highlight w:val="none"/>
              </w:rPr>
              <w:t>符合第八章“投标文件格式”的要求且实质性内</w:t>
            </w:r>
          </w:p>
          <w:p w14:paraId="75662757">
            <w:pPr>
              <w:pStyle w:val="11"/>
              <w:spacing w:beforeLines="0" w:afterLines="0" w:line="220" w:lineRule="auto"/>
              <w:ind w:left="114"/>
              <w:rPr>
                <w:rFonts w:hint="default"/>
                <w:color w:val="auto"/>
                <w:sz w:val="21"/>
                <w:szCs w:val="21"/>
                <w:highlight w:val="none"/>
              </w:rPr>
            </w:pPr>
            <w:r>
              <w:rPr>
                <w:rFonts w:hint="default"/>
                <w:color w:val="auto"/>
                <w:spacing w:val="-2"/>
                <w:sz w:val="21"/>
                <w:szCs w:val="21"/>
                <w:highlight w:val="none"/>
              </w:rPr>
              <w:t>容齐全</w:t>
            </w:r>
          </w:p>
        </w:tc>
      </w:tr>
      <w:tr w14:paraId="3C4B9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07EAC6FF">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6F58E959">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4263EB4B">
            <w:pPr>
              <w:pStyle w:val="11"/>
              <w:spacing w:before="155" w:beforeLines="0" w:afterLines="0" w:line="423" w:lineRule="exact"/>
              <w:ind w:left="312"/>
              <w:rPr>
                <w:rFonts w:hint="default"/>
                <w:color w:val="auto"/>
                <w:sz w:val="21"/>
                <w:szCs w:val="21"/>
                <w:highlight w:val="none"/>
              </w:rPr>
            </w:pPr>
            <w:r>
              <w:rPr>
                <w:rFonts w:hint="default"/>
                <w:color w:val="auto"/>
                <w:spacing w:val="-1"/>
                <w:position w:val="16"/>
                <w:sz w:val="21"/>
                <w:szCs w:val="21"/>
                <w:highlight w:val="none"/>
              </w:rPr>
              <w:t>联合体投标人（如</w:t>
            </w:r>
          </w:p>
          <w:p w14:paraId="77963DA7">
            <w:pPr>
              <w:pStyle w:val="11"/>
              <w:spacing w:beforeLines="0" w:afterLines="0" w:line="221" w:lineRule="auto"/>
              <w:ind w:left="946"/>
              <w:rPr>
                <w:rFonts w:hint="default"/>
                <w:color w:val="auto"/>
                <w:sz w:val="21"/>
                <w:szCs w:val="21"/>
                <w:highlight w:val="none"/>
              </w:rPr>
            </w:pPr>
            <w:r>
              <w:rPr>
                <w:rFonts w:hint="default"/>
                <w:color w:val="auto"/>
                <w:spacing w:val="-6"/>
                <w:sz w:val="21"/>
                <w:szCs w:val="21"/>
                <w:highlight w:val="none"/>
              </w:rPr>
              <w:t>有）</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5168791E">
            <w:pPr>
              <w:pStyle w:val="11"/>
              <w:spacing w:before="155" w:beforeLines="0" w:afterLines="0" w:line="423" w:lineRule="exact"/>
              <w:ind w:left="112"/>
              <w:rPr>
                <w:rFonts w:hint="default"/>
                <w:color w:val="auto"/>
                <w:sz w:val="21"/>
                <w:szCs w:val="21"/>
                <w:highlight w:val="none"/>
              </w:rPr>
            </w:pPr>
            <w:r>
              <w:rPr>
                <w:rFonts w:hint="default"/>
                <w:color w:val="auto"/>
                <w:spacing w:val="7"/>
                <w:position w:val="16"/>
                <w:sz w:val="21"/>
                <w:szCs w:val="21"/>
                <w:highlight w:val="none"/>
              </w:rPr>
              <w:t>提交联合体协议书，并明确联合体牵头人和各方</w:t>
            </w:r>
          </w:p>
          <w:p w14:paraId="5D9B12B8">
            <w:pPr>
              <w:pStyle w:val="11"/>
              <w:spacing w:beforeLines="0" w:afterLines="0" w:line="220" w:lineRule="auto"/>
              <w:ind w:left="129"/>
              <w:rPr>
                <w:rFonts w:hint="default"/>
                <w:color w:val="auto"/>
                <w:sz w:val="21"/>
                <w:szCs w:val="21"/>
                <w:highlight w:val="none"/>
              </w:rPr>
            </w:pPr>
            <w:r>
              <w:rPr>
                <w:rFonts w:hint="default"/>
                <w:color w:val="auto"/>
                <w:spacing w:val="-4"/>
                <w:sz w:val="21"/>
                <w:szCs w:val="21"/>
                <w:highlight w:val="none"/>
              </w:rPr>
              <w:t>的权利义务</w:t>
            </w:r>
          </w:p>
        </w:tc>
      </w:tr>
      <w:tr w14:paraId="2B1AD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63A01D95">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7AEE2FD0">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AC14C8F">
            <w:pPr>
              <w:spacing w:beforeLines="0" w:afterLines="0" w:line="298" w:lineRule="auto"/>
              <w:rPr>
                <w:rFonts w:hint="default"/>
                <w:color w:val="auto"/>
                <w:sz w:val="21"/>
                <w:szCs w:val="21"/>
                <w:highlight w:val="none"/>
              </w:rPr>
            </w:pPr>
          </w:p>
          <w:p w14:paraId="26A2BB80">
            <w:pPr>
              <w:pStyle w:val="11"/>
              <w:spacing w:before="68" w:beforeLines="0" w:afterLines="0" w:line="219" w:lineRule="auto"/>
              <w:ind w:left="732"/>
              <w:rPr>
                <w:rFonts w:hint="default"/>
                <w:color w:val="auto"/>
                <w:sz w:val="21"/>
                <w:szCs w:val="21"/>
                <w:highlight w:val="none"/>
              </w:rPr>
            </w:pPr>
            <w:r>
              <w:rPr>
                <w:rFonts w:hint="default"/>
                <w:color w:val="auto"/>
                <w:spacing w:val="2"/>
                <w:sz w:val="21"/>
                <w:szCs w:val="21"/>
                <w:highlight w:val="none"/>
              </w:rPr>
              <w:t>报价唯一</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BEF9655">
            <w:pPr>
              <w:pStyle w:val="11"/>
              <w:spacing w:before="157" w:beforeLines="0" w:afterLines="0" w:line="422" w:lineRule="exact"/>
              <w:ind w:left="114"/>
              <w:rPr>
                <w:rFonts w:hint="default"/>
                <w:color w:val="auto"/>
                <w:sz w:val="21"/>
                <w:szCs w:val="21"/>
                <w:highlight w:val="none"/>
              </w:rPr>
            </w:pPr>
            <w:r>
              <w:rPr>
                <w:rFonts w:hint="default"/>
                <w:color w:val="auto"/>
                <w:spacing w:val="7"/>
                <w:position w:val="16"/>
                <w:sz w:val="21"/>
                <w:szCs w:val="21"/>
                <w:highlight w:val="none"/>
              </w:rPr>
              <w:t>投标报价文件（包括投标函）中的任何单价、合</w:t>
            </w:r>
          </w:p>
          <w:p w14:paraId="07092825">
            <w:pPr>
              <w:pStyle w:val="11"/>
              <w:spacing w:beforeLines="0" w:afterLines="0" w:line="219" w:lineRule="auto"/>
              <w:ind w:left="112"/>
              <w:rPr>
                <w:rFonts w:hint="default"/>
                <w:color w:val="auto"/>
                <w:sz w:val="21"/>
                <w:szCs w:val="21"/>
                <w:highlight w:val="none"/>
              </w:rPr>
            </w:pPr>
            <w:r>
              <w:rPr>
                <w:rFonts w:hint="default"/>
                <w:color w:val="auto"/>
                <w:spacing w:val="-1"/>
                <w:sz w:val="21"/>
                <w:szCs w:val="21"/>
                <w:highlight w:val="none"/>
              </w:rPr>
              <w:t>价或总价只能有一个有效报价</w:t>
            </w:r>
          </w:p>
        </w:tc>
      </w:tr>
      <w:tr w14:paraId="34BB0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399768C2">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76207FE9">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5B9CA47">
            <w:pPr>
              <w:pStyle w:val="11"/>
              <w:spacing w:before="176" w:beforeLines="0" w:afterLines="0" w:line="219" w:lineRule="auto"/>
              <w:ind w:left="309"/>
              <w:rPr>
                <w:rFonts w:hint="default"/>
                <w:color w:val="auto"/>
                <w:sz w:val="21"/>
                <w:szCs w:val="21"/>
                <w:highlight w:val="none"/>
              </w:rPr>
            </w:pPr>
            <w:r>
              <w:rPr>
                <w:rFonts w:hint="default"/>
                <w:color w:val="auto"/>
                <w:spacing w:val="-1"/>
                <w:sz w:val="21"/>
                <w:szCs w:val="21"/>
                <w:highlight w:val="none"/>
              </w:rPr>
              <w:t>报价表格的完整性</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36FD8C08">
            <w:pPr>
              <w:pStyle w:val="11"/>
              <w:spacing w:before="176" w:beforeLines="0" w:afterLines="0" w:line="219" w:lineRule="auto"/>
              <w:ind w:left="111"/>
              <w:rPr>
                <w:rFonts w:hint="default"/>
                <w:color w:val="auto"/>
                <w:sz w:val="21"/>
                <w:szCs w:val="21"/>
                <w:highlight w:val="none"/>
              </w:rPr>
            </w:pPr>
            <w:r>
              <w:rPr>
                <w:rFonts w:hint="default"/>
                <w:color w:val="auto"/>
                <w:spacing w:val="-1"/>
                <w:sz w:val="21"/>
                <w:szCs w:val="21"/>
                <w:highlight w:val="none"/>
              </w:rPr>
              <w:t>应按招标文件的要求完整报送投标报价应有表格</w:t>
            </w:r>
          </w:p>
        </w:tc>
      </w:tr>
      <w:tr w14:paraId="0135B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30652A02">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7FD2DCD5">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9F49827">
            <w:pPr>
              <w:spacing w:beforeLines="0" w:afterLines="0" w:line="303" w:lineRule="auto"/>
              <w:rPr>
                <w:rFonts w:hint="default"/>
                <w:color w:val="auto"/>
                <w:sz w:val="21"/>
                <w:szCs w:val="21"/>
                <w:highlight w:val="none"/>
              </w:rPr>
            </w:pPr>
          </w:p>
          <w:p w14:paraId="5D255DF4">
            <w:pPr>
              <w:pStyle w:val="11"/>
              <w:spacing w:before="68" w:beforeLines="0" w:afterLines="0" w:line="221" w:lineRule="auto"/>
              <w:ind w:left="314"/>
              <w:rPr>
                <w:rFonts w:hint="default"/>
                <w:color w:val="auto"/>
                <w:sz w:val="21"/>
                <w:szCs w:val="21"/>
                <w:highlight w:val="none"/>
              </w:rPr>
            </w:pPr>
            <w:r>
              <w:rPr>
                <w:rFonts w:hint="default"/>
                <w:color w:val="auto"/>
                <w:spacing w:val="-1"/>
                <w:sz w:val="21"/>
                <w:szCs w:val="21"/>
                <w:highlight w:val="none"/>
              </w:rPr>
              <w:t>项目经理实名认证</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557A070B">
            <w:pPr>
              <w:pStyle w:val="11"/>
              <w:spacing w:before="161" w:beforeLines="0" w:afterLines="0" w:line="418" w:lineRule="exact"/>
              <w:ind w:left="115"/>
              <w:rPr>
                <w:rFonts w:hint="default"/>
                <w:color w:val="auto"/>
                <w:sz w:val="21"/>
                <w:szCs w:val="21"/>
                <w:highlight w:val="none"/>
              </w:rPr>
            </w:pPr>
            <w:r>
              <w:rPr>
                <w:rFonts w:hint="default"/>
                <w:color w:val="auto"/>
                <w:spacing w:val="7"/>
                <w:position w:val="15"/>
                <w:sz w:val="21"/>
                <w:szCs w:val="21"/>
                <w:highlight w:val="none"/>
              </w:rPr>
              <w:t>项目经理通过二次刷卡实名认证（无在建工程和</w:t>
            </w:r>
          </w:p>
          <w:p w14:paraId="0AC61F94">
            <w:pPr>
              <w:pStyle w:val="11"/>
              <w:spacing w:beforeLines="0" w:afterLines="0" w:line="221" w:lineRule="auto"/>
              <w:ind w:left="115"/>
              <w:rPr>
                <w:rFonts w:hint="default"/>
                <w:color w:val="auto"/>
                <w:sz w:val="21"/>
                <w:szCs w:val="21"/>
                <w:highlight w:val="none"/>
              </w:rPr>
            </w:pPr>
            <w:r>
              <w:rPr>
                <w:rFonts w:hint="default"/>
                <w:color w:val="auto"/>
                <w:spacing w:val="-4"/>
                <w:sz w:val="21"/>
                <w:szCs w:val="21"/>
                <w:highlight w:val="none"/>
              </w:rPr>
              <w:t>不良行为）</w:t>
            </w:r>
          </w:p>
        </w:tc>
      </w:tr>
      <w:tr w14:paraId="594DE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23197C0D">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2C7CED0E">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0FD7600">
            <w:pPr>
              <w:spacing w:beforeLines="0" w:afterLines="0" w:line="302" w:lineRule="auto"/>
              <w:rPr>
                <w:rFonts w:hint="default"/>
                <w:color w:val="auto"/>
                <w:sz w:val="21"/>
                <w:szCs w:val="21"/>
                <w:highlight w:val="none"/>
              </w:rPr>
            </w:pPr>
          </w:p>
          <w:p w14:paraId="6B7832F3">
            <w:pPr>
              <w:pStyle w:val="11"/>
              <w:spacing w:before="69" w:beforeLines="0" w:afterLines="0" w:line="221" w:lineRule="auto"/>
              <w:ind w:left="525"/>
              <w:rPr>
                <w:rFonts w:hint="default"/>
                <w:color w:val="auto"/>
                <w:sz w:val="21"/>
                <w:szCs w:val="21"/>
                <w:highlight w:val="none"/>
              </w:rPr>
            </w:pPr>
            <w:r>
              <w:rPr>
                <w:rFonts w:hint="default"/>
                <w:color w:val="auto"/>
                <w:spacing w:val="-1"/>
                <w:sz w:val="21"/>
                <w:szCs w:val="21"/>
                <w:highlight w:val="none"/>
              </w:rPr>
              <w:t>备选投标方案</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AC379B2">
            <w:pPr>
              <w:pStyle w:val="11"/>
              <w:spacing w:before="161" w:beforeLines="0" w:afterLines="0" w:line="422" w:lineRule="exact"/>
              <w:ind w:left="124"/>
              <w:rPr>
                <w:rFonts w:hint="default"/>
                <w:color w:val="auto"/>
                <w:sz w:val="21"/>
                <w:szCs w:val="21"/>
                <w:highlight w:val="none"/>
              </w:rPr>
            </w:pPr>
            <w:r>
              <w:rPr>
                <w:rFonts w:hint="default"/>
                <w:color w:val="auto"/>
                <w:spacing w:val="6"/>
                <w:position w:val="16"/>
                <w:sz w:val="21"/>
                <w:szCs w:val="21"/>
                <w:highlight w:val="none"/>
              </w:rPr>
              <w:t>除招标文件明确允许提交备选投标方案外，投标</w:t>
            </w:r>
          </w:p>
          <w:p w14:paraId="2FA2B375">
            <w:pPr>
              <w:pStyle w:val="11"/>
              <w:spacing w:beforeLines="0" w:afterLines="0" w:line="220" w:lineRule="auto"/>
              <w:ind w:left="113"/>
              <w:rPr>
                <w:rFonts w:hint="default"/>
                <w:color w:val="auto"/>
                <w:sz w:val="21"/>
                <w:szCs w:val="21"/>
                <w:highlight w:val="none"/>
              </w:rPr>
            </w:pPr>
            <w:r>
              <w:rPr>
                <w:rFonts w:hint="default"/>
                <w:color w:val="auto"/>
                <w:spacing w:val="-1"/>
                <w:sz w:val="21"/>
                <w:szCs w:val="21"/>
                <w:highlight w:val="none"/>
              </w:rPr>
              <w:t>人不得提交备选投标方案</w:t>
            </w:r>
          </w:p>
        </w:tc>
      </w:tr>
      <w:tr w14:paraId="3EC2F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4009D4ED">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1B455A3F">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309BA6D6">
            <w:pPr>
              <w:pStyle w:val="11"/>
              <w:spacing w:before="156" w:beforeLines="0" w:afterLines="0" w:line="423" w:lineRule="exact"/>
              <w:ind w:left="206"/>
              <w:rPr>
                <w:rFonts w:hint="default"/>
                <w:color w:val="auto"/>
                <w:sz w:val="21"/>
                <w:szCs w:val="21"/>
                <w:highlight w:val="none"/>
              </w:rPr>
            </w:pPr>
            <w:r>
              <w:rPr>
                <w:rFonts w:hint="default"/>
                <w:color w:val="auto"/>
                <w:spacing w:val="-1"/>
                <w:position w:val="16"/>
                <w:sz w:val="21"/>
                <w:szCs w:val="21"/>
                <w:highlight w:val="none"/>
              </w:rPr>
              <w:t>法定代表人或授权委</w:t>
            </w:r>
          </w:p>
          <w:p w14:paraId="646262B8">
            <w:pPr>
              <w:pStyle w:val="11"/>
              <w:spacing w:beforeLines="0" w:afterLines="0" w:line="221" w:lineRule="auto"/>
              <w:ind w:left="522"/>
              <w:rPr>
                <w:rFonts w:hint="default"/>
                <w:color w:val="auto"/>
                <w:sz w:val="21"/>
                <w:szCs w:val="21"/>
                <w:highlight w:val="none"/>
              </w:rPr>
            </w:pPr>
            <w:r>
              <w:rPr>
                <w:rFonts w:hint="default"/>
                <w:color w:val="auto"/>
                <w:spacing w:val="-1"/>
                <w:sz w:val="21"/>
                <w:szCs w:val="21"/>
                <w:highlight w:val="none"/>
              </w:rPr>
              <w:t>托人实名认证</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7B48135">
            <w:pPr>
              <w:spacing w:beforeLines="0" w:afterLines="0" w:line="297" w:lineRule="auto"/>
              <w:rPr>
                <w:rFonts w:hint="default"/>
                <w:color w:val="auto"/>
                <w:sz w:val="21"/>
                <w:szCs w:val="21"/>
                <w:highlight w:val="none"/>
              </w:rPr>
            </w:pPr>
          </w:p>
          <w:p w14:paraId="6548C15E">
            <w:pPr>
              <w:pStyle w:val="11"/>
              <w:spacing w:before="68" w:beforeLines="0" w:afterLines="0" w:line="221" w:lineRule="auto"/>
              <w:ind w:left="112"/>
              <w:rPr>
                <w:rFonts w:hint="default"/>
                <w:color w:val="auto"/>
                <w:sz w:val="21"/>
                <w:szCs w:val="21"/>
                <w:highlight w:val="none"/>
              </w:rPr>
            </w:pPr>
            <w:r>
              <w:rPr>
                <w:rFonts w:hint="default"/>
                <w:color w:val="auto"/>
                <w:spacing w:val="-1"/>
                <w:sz w:val="21"/>
                <w:szCs w:val="21"/>
                <w:highlight w:val="none"/>
              </w:rPr>
              <w:t>法定代表人或授权委托人完成实名认证</w:t>
            </w:r>
          </w:p>
        </w:tc>
      </w:tr>
      <w:tr w14:paraId="72AE0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5E501EE0">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09D35B75">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D8665AE">
            <w:pPr>
              <w:pStyle w:val="11"/>
              <w:spacing w:before="175" w:beforeLines="0" w:afterLines="0" w:line="221" w:lineRule="auto"/>
              <w:ind w:left="627"/>
              <w:rPr>
                <w:rFonts w:hint="default"/>
                <w:color w:val="auto"/>
                <w:sz w:val="21"/>
                <w:szCs w:val="21"/>
                <w:highlight w:val="none"/>
              </w:rPr>
            </w:pPr>
            <w:r>
              <w:rPr>
                <w:rFonts w:hint="default"/>
                <w:color w:val="auto"/>
                <w:spacing w:val="-1"/>
                <w:sz w:val="21"/>
                <w:szCs w:val="21"/>
                <w:highlight w:val="none"/>
              </w:rPr>
              <w:t>模块化暗标</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0728D935">
            <w:pPr>
              <w:pStyle w:val="11"/>
              <w:spacing w:before="176" w:beforeLines="0" w:afterLines="0" w:line="220" w:lineRule="auto"/>
              <w:ind w:left="113"/>
              <w:rPr>
                <w:rFonts w:hint="default"/>
                <w:color w:val="auto"/>
                <w:sz w:val="21"/>
                <w:szCs w:val="21"/>
                <w:highlight w:val="none"/>
              </w:rPr>
            </w:pPr>
            <w:r>
              <w:rPr>
                <w:rFonts w:hint="default"/>
                <w:color w:val="auto"/>
                <w:spacing w:val="-1"/>
                <w:sz w:val="21"/>
                <w:szCs w:val="21"/>
                <w:highlight w:val="none"/>
              </w:rPr>
              <w:t>符合第二章“投标人须知”第</w:t>
            </w:r>
            <w:r>
              <w:rPr>
                <w:rFonts w:hint="default"/>
                <w:color w:val="auto"/>
                <w:spacing w:val="-46"/>
                <w:sz w:val="21"/>
                <w:szCs w:val="21"/>
                <w:highlight w:val="none"/>
              </w:rPr>
              <w:t xml:space="preserve"> </w:t>
            </w:r>
            <w:r>
              <w:rPr>
                <w:rFonts w:hint="eastAsia" w:ascii="Times New Roman" w:hAnsi="Times New Roman" w:eastAsia="Times New Roman" w:cs="Times New Roman"/>
                <w:color w:val="auto"/>
                <w:spacing w:val="-1"/>
                <w:sz w:val="21"/>
                <w:szCs w:val="21"/>
                <w:highlight w:val="none"/>
              </w:rPr>
              <w:t xml:space="preserve">3.7.4 </w:t>
            </w:r>
            <w:r>
              <w:rPr>
                <w:rFonts w:hint="default"/>
                <w:color w:val="auto"/>
                <w:spacing w:val="-1"/>
                <w:sz w:val="21"/>
                <w:szCs w:val="21"/>
                <w:highlight w:val="none"/>
              </w:rPr>
              <w:t>项规定</w:t>
            </w:r>
          </w:p>
        </w:tc>
      </w:tr>
      <w:tr w14:paraId="47E6C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2093B0A1">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236D722E">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540BA118">
            <w:pPr>
              <w:pStyle w:val="11"/>
              <w:spacing w:before="176" w:beforeLines="0" w:afterLines="0" w:line="221" w:lineRule="auto"/>
              <w:ind w:left="526"/>
              <w:rPr>
                <w:rFonts w:hint="default"/>
                <w:color w:val="auto"/>
                <w:sz w:val="21"/>
                <w:szCs w:val="21"/>
                <w:highlight w:val="none"/>
              </w:rPr>
            </w:pPr>
            <w:r>
              <w:rPr>
                <w:rFonts w:hint="default"/>
                <w:color w:val="auto"/>
                <w:spacing w:val="-1"/>
                <w:sz w:val="21"/>
                <w:szCs w:val="21"/>
                <w:highlight w:val="none"/>
              </w:rPr>
              <w:t>行为雷同分析</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CFC12D7">
            <w:pPr>
              <w:pStyle w:val="11"/>
              <w:spacing w:before="175" w:beforeLines="0" w:afterLines="0" w:line="221" w:lineRule="auto"/>
              <w:ind w:left="115"/>
              <w:rPr>
                <w:rFonts w:hint="default"/>
                <w:color w:val="auto"/>
                <w:sz w:val="21"/>
                <w:szCs w:val="21"/>
                <w:highlight w:val="none"/>
              </w:rPr>
            </w:pPr>
            <w:r>
              <w:rPr>
                <w:rFonts w:hint="default"/>
                <w:color w:val="auto"/>
                <w:spacing w:val="-1"/>
                <w:sz w:val="21"/>
                <w:szCs w:val="21"/>
                <w:highlight w:val="none"/>
              </w:rPr>
              <w:t>不存在投标行为雷同情形</w:t>
            </w:r>
          </w:p>
        </w:tc>
      </w:tr>
      <w:tr w14:paraId="56C46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left w:val="single" w:color="000000" w:sz="2" w:space="0"/>
              <w:bottom w:val="single" w:color="000000" w:sz="2" w:space="0"/>
              <w:right w:val="single" w:color="000000" w:sz="2" w:space="0"/>
              <w:tl2br w:val="nil"/>
              <w:tr2bl w:val="nil"/>
            </w:tcBorders>
            <w:noWrap w:val="0"/>
            <w:vAlign w:val="top"/>
          </w:tcPr>
          <w:p w14:paraId="0637F194">
            <w:pPr>
              <w:spacing w:beforeLines="0" w:afterLines="0"/>
              <w:rPr>
                <w:rFonts w:hint="default"/>
                <w:color w:val="auto"/>
                <w:sz w:val="21"/>
                <w:szCs w:val="21"/>
                <w:highlight w:val="none"/>
              </w:rPr>
            </w:pPr>
          </w:p>
        </w:tc>
        <w:tc>
          <w:tcPr>
            <w:tcW w:w="1099" w:type="dxa"/>
            <w:vMerge w:val="continue"/>
            <w:tcBorders>
              <w:top w:val="nil"/>
              <w:left w:val="single" w:color="000000" w:sz="2" w:space="0"/>
              <w:bottom w:val="single" w:color="000000" w:sz="2" w:space="0"/>
              <w:right w:val="single" w:color="000000" w:sz="2" w:space="0"/>
              <w:tl2br w:val="nil"/>
              <w:tr2bl w:val="nil"/>
            </w:tcBorders>
            <w:noWrap w:val="0"/>
            <w:vAlign w:val="top"/>
          </w:tcPr>
          <w:p w14:paraId="0DABEE93">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B25ABE1">
            <w:pPr>
              <w:pStyle w:val="11"/>
              <w:spacing w:before="177" w:beforeLines="0" w:afterLines="0"/>
              <w:ind w:left="958"/>
              <w:rPr>
                <w:rFonts w:hint="default"/>
                <w:color w:val="auto"/>
                <w:sz w:val="21"/>
                <w:szCs w:val="21"/>
                <w:highlight w:val="none"/>
              </w:rPr>
            </w:pPr>
            <w:r>
              <w:rPr>
                <w:rFonts w:hint="default"/>
                <w:color w:val="auto"/>
                <w:spacing w:val="-5"/>
                <w:sz w:val="21"/>
                <w:szCs w:val="21"/>
                <w:highlight w:val="none"/>
              </w:rPr>
              <w:t>……</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61B865A">
            <w:pPr>
              <w:pStyle w:val="11"/>
              <w:spacing w:before="177" w:beforeLines="0" w:afterLines="0"/>
              <w:ind w:left="125"/>
              <w:rPr>
                <w:rFonts w:hint="default"/>
                <w:color w:val="auto"/>
                <w:sz w:val="21"/>
                <w:szCs w:val="21"/>
                <w:highlight w:val="none"/>
              </w:rPr>
            </w:pPr>
            <w:r>
              <w:rPr>
                <w:rFonts w:hint="default"/>
                <w:color w:val="auto"/>
                <w:spacing w:val="-5"/>
                <w:sz w:val="21"/>
                <w:szCs w:val="21"/>
                <w:highlight w:val="none"/>
              </w:rPr>
              <w:t>……</w:t>
            </w:r>
          </w:p>
        </w:tc>
      </w:tr>
      <w:tr w14:paraId="2B15C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restart"/>
            <w:tcBorders>
              <w:top w:val="single" w:color="000000" w:sz="2" w:space="0"/>
              <w:left w:val="single" w:color="000000" w:sz="2" w:space="0"/>
              <w:bottom w:val="nil"/>
              <w:right w:val="single" w:color="000000" w:sz="2" w:space="0"/>
              <w:tl2br w:val="nil"/>
              <w:tr2bl w:val="nil"/>
            </w:tcBorders>
            <w:noWrap w:val="0"/>
            <w:vAlign w:val="top"/>
          </w:tcPr>
          <w:p w14:paraId="57F5FD20">
            <w:pPr>
              <w:spacing w:beforeLines="0" w:afterLines="0" w:line="246" w:lineRule="auto"/>
              <w:rPr>
                <w:rFonts w:hint="default"/>
                <w:color w:val="auto"/>
                <w:sz w:val="21"/>
                <w:szCs w:val="21"/>
                <w:highlight w:val="none"/>
              </w:rPr>
            </w:pPr>
          </w:p>
          <w:p w14:paraId="5972C76D">
            <w:pPr>
              <w:spacing w:beforeLines="0" w:afterLines="0" w:line="246" w:lineRule="auto"/>
              <w:rPr>
                <w:rFonts w:hint="default"/>
                <w:color w:val="auto"/>
                <w:sz w:val="21"/>
                <w:szCs w:val="21"/>
                <w:highlight w:val="none"/>
              </w:rPr>
            </w:pPr>
          </w:p>
          <w:p w14:paraId="067C6125">
            <w:pPr>
              <w:spacing w:beforeLines="0" w:afterLines="0" w:line="247" w:lineRule="auto"/>
              <w:rPr>
                <w:rFonts w:hint="default"/>
                <w:color w:val="auto"/>
                <w:sz w:val="21"/>
                <w:szCs w:val="21"/>
                <w:highlight w:val="none"/>
              </w:rPr>
            </w:pPr>
          </w:p>
          <w:p w14:paraId="69E08DD0">
            <w:pPr>
              <w:spacing w:beforeLines="0" w:afterLines="0" w:line="247" w:lineRule="auto"/>
              <w:rPr>
                <w:rFonts w:hint="default"/>
                <w:color w:val="auto"/>
                <w:sz w:val="21"/>
                <w:szCs w:val="21"/>
                <w:highlight w:val="none"/>
              </w:rPr>
            </w:pPr>
          </w:p>
          <w:p w14:paraId="2018ACDC">
            <w:pPr>
              <w:spacing w:beforeLines="0" w:afterLines="0" w:line="247" w:lineRule="auto"/>
              <w:rPr>
                <w:rFonts w:hint="default"/>
                <w:color w:val="auto"/>
                <w:sz w:val="21"/>
                <w:szCs w:val="21"/>
                <w:highlight w:val="none"/>
              </w:rPr>
            </w:pPr>
          </w:p>
          <w:p w14:paraId="6ADC17FB">
            <w:pPr>
              <w:spacing w:beforeLines="0" w:afterLines="0" w:line="247" w:lineRule="auto"/>
              <w:rPr>
                <w:rFonts w:hint="default"/>
                <w:color w:val="auto"/>
                <w:sz w:val="21"/>
                <w:szCs w:val="21"/>
                <w:highlight w:val="none"/>
              </w:rPr>
            </w:pPr>
          </w:p>
          <w:p w14:paraId="14CC1C9B">
            <w:pPr>
              <w:spacing w:beforeLines="0" w:afterLines="0" w:line="247" w:lineRule="auto"/>
              <w:rPr>
                <w:rFonts w:hint="default"/>
                <w:color w:val="auto"/>
                <w:sz w:val="21"/>
                <w:szCs w:val="21"/>
                <w:highlight w:val="none"/>
              </w:rPr>
            </w:pPr>
          </w:p>
          <w:p w14:paraId="4A84A6BD">
            <w:pPr>
              <w:spacing w:before="61" w:beforeLines="0" w:afterLines="0" w:line="189" w:lineRule="auto"/>
              <w:ind w:left="162"/>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pacing w:val="-1"/>
                <w:sz w:val="21"/>
                <w:szCs w:val="21"/>
                <w:highlight w:val="none"/>
              </w:rPr>
              <w:t>2.1.2</w:t>
            </w:r>
          </w:p>
        </w:tc>
        <w:tc>
          <w:tcPr>
            <w:tcW w:w="1099" w:type="dxa"/>
            <w:vMerge w:val="restart"/>
            <w:tcBorders>
              <w:top w:val="single" w:color="000000" w:sz="2" w:space="0"/>
              <w:left w:val="single" w:color="000000" w:sz="2" w:space="0"/>
              <w:bottom w:val="nil"/>
              <w:right w:val="single" w:color="000000" w:sz="2" w:space="0"/>
              <w:tl2br w:val="nil"/>
              <w:tr2bl w:val="nil"/>
            </w:tcBorders>
            <w:noWrap w:val="0"/>
            <w:vAlign w:val="top"/>
          </w:tcPr>
          <w:p w14:paraId="3799EA00">
            <w:pPr>
              <w:spacing w:beforeLines="0" w:afterLines="0" w:line="252" w:lineRule="auto"/>
              <w:rPr>
                <w:rFonts w:hint="default"/>
                <w:color w:val="auto"/>
                <w:sz w:val="21"/>
                <w:szCs w:val="21"/>
                <w:highlight w:val="none"/>
              </w:rPr>
            </w:pPr>
          </w:p>
          <w:p w14:paraId="2A6E6ED1">
            <w:pPr>
              <w:spacing w:beforeLines="0" w:afterLines="0" w:line="252" w:lineRule="auto"/>
              <w:rPr>
                <w:rFonts w:hint="default"/>
                <w:color w:val="auto"/>
                <w:sz w:val="21"/>
                <w:szCs w:val="21"/>
                <w:highlight w:val="none"/>
              </w:rPr>
            </w:pPr>
          </w:p>
          <w:p w14:paraId="62582556">
            <w:pPr>
              <w:spacing w:beforeLines="0" w:afterLines="0" w:line="253" w:lineRule="auto"/>
              <w:rPr>
                <w:rFonts w:hint="default"/>
                <w:color w:val="auto"/>
                <w:sz w:val="21"/>
                <w:szCs w:val="21"/>
                <w:highlight w:val="none"/>
              </w:rPr>
            </w:pPr>
          </w:p>
          <w:p w14:paraId="3E399E25">
            <w:pPr>
              <w:spacing w:beforeLines="0" w:afterLines="0" w:line="253" w:lineRule="auto"/>
              <w:rPr>
                <w:rFonts w:hint="default"/>
                <w:color w:val="auto"/>
                <w:sz w:val="21"/>
                <w:szCs w:val="21"/>
                <w:highlight w:val="none"/>
              </w:rPr>
            </w:pPr>
          </w:p>
          <w:p w14:paraId="1790B879">
            <w:pPr>
              <w:spacing w:beforeLines="0" w:afterLines="0" w:line="253" w:lineRule="auto"/>
              <w:rPr>
                <w:rFonts w:hint="default"/>
                <w:color w:val="auto"/>
                <w:sz w:val="21"/>
                <w:szCs w:val="21"/>
                <w:highlight w:val="none"/>
              </w:rPr>
            </w:pPr>
          </w:p>
          <w:p w14:paraId="1FFF49ED">
            <w:pPr>
              <w:pStyle w:val="11"/>
              <w:spacing w:before="68" w:beforeLines="0" w:afterLines="0" w:line="423" w:lineRule="exact"/>
              <w:ind w:left="353"/>
              <w:rPr>
                <w:rFonts w:hint="default"/>
                <w:color w:val="auto"/>
                <w:sz w:val="21"/>
                <w:szCs w:val="21"/>
                <w:highlight w:val="none"/>
              </w:rPr>
            </w:pPr>
            <w:r>
              <w:rPr>
                <w:rFonts w:hint="default"/>
                <w:color w:val="auto"/>
                <w:spacing w:val="-4"/>
                <w:position w:val="16"/>
                <w:sz w:val="21"/>
                <w:szCs w:val="21"/>
                <w:highlight w:val="none"/>
              </w:rPr>
              <w:t>资格</w:t>
            </w:r>
          </w:p>
          <w:p w14:paraId="1206052B">
            <w:pPr>
              <w:pStyle w:val="11"/>
              <w:spacing w:beforeLines="0" w:afterLines="0" w:line="221" w:lineRule="auto"/>
              <w:ind w:left="343"/>
              <w:rPr>
                <w:rFonts w:hint="default"/>
                <w:color w:val="auto"/>
                <w:sz w:val="21"/>
                <w:szCs w:val="21"/>
                <w:highlight w:val="none"/>
              </w:rPr>
            </w:pPr>
            <w:r>
              <w:rPr>
                <w:rFonts w:hint="default"/>
                <w:color w:val="auto"/>
                <w:spacing w:val="-2"/>
                <w:sz w:val="21"/>
                <w:szCs w:val="21"/>
                <w:highlight w:val="none"/>
              </w:rPr>
              <w:t>评审</w:t>
            </w:r>
          </w:p>
          <w:p w14:paraId="70F626AB">
            <w:pPr>
              <w:pStyle w:val="11"/>
              <w:spacing w:before="166" w:beforeLines="0" w:afterLines="0" w:line="221" w:lineRule="auto"/>
              <w:ind w:left="345"/>
              <w:rPr>
                <w:rFonts w:hint="default"/>
                <w:color w:val="auto"/>
                <w:sz w:val="21"/>
                <w:szCs w:val="21"/>
                <w:highlight w:val="none"/>
              </w:rPr>
            </w:pPr>
            <w:r>
              <w:rPr>
                <w:rFonts w:hint="default"/>
                <w:color w:val="auto"/>
                <w:spacing w:val="-2"/>
                <w:sz w:val="21"/>
                <w:szCs w:val="21"/>
                <w:highlight w:val="none"/>
              </w:rPr>
              <w:t>标准</w:t>
            </w: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AAFB753">
            <w:pPr>
              <w:pStyle w:val="11"/>
              <w:spacing w:before="177" w:beforeLines="0" w:afterLines="0" w:line="221" w:lineRule="auto"/>
              <w:ind w:left="740"/>
              <w:rPr>
                <w:rFonts w:hint="default"/>
                <w:color w:val="auto"/>
                <w:sz w:val="21"/>
                <w:szCs w:val="21"/>
                <w:highlight w:val="none"/>
              </w:rPr>
            </w:pPr>
            <w:r>
              <w:rPr>
                <w:rFonts w:hint="default"/>
                <w:color w:val="auto"/>
                <w:spacing w:val="-2"/>
                <w:sz w:val="21"/>
                <w:szCs w:val="21"/>
                <w:highlight w:val="none"/>
              </w:rPr>
              <w:t>营业执照</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6C234C9">
            <w:pPr>
              <w:pStyle w:val="11"/>
              <w:spacing w:before="177" w:beforeLines="0" w:afterLines="0" w:line="221" w:lineRule="auto"/>
              <w:ind w:left="116"/>
              <w:rPr>
                <w:rFonts w:hint="default"/>
                <w:color w:val="auto"/>
                <w:sz w:val="21"/>
                <w:szCs w:val="21"/>
                <w:highlight w:val="none"/>
              </w:rPr>
            </w:pPr>
            <w:r>
              <w:rPr>
                <w:rFonts w:hint="default"/>
                <w:color w:val="auto"/>
                <w:spacing w:val="-1"/>
                <w:sz w:val="21"/>
                <w:szCs w:val="21"/>
                <w:highlight w:val="none"/>
              </w:rPr>
              <w:t>具备有效的营业执照</w:t>
            </w:r>
          </w:p>
        </w:tc>
      </w:tr>
      <w:tr w14:paraId="1B23E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612A2373">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2615E246">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38665817">
            <w:pPr>
              <w:pStyle w:val="11"/>
              <w:spacing w:before="177" w:beforeLines="0" w:afterLines="0" w:line="221" w:lineRule="auto"/>
              <w:ind w:left="421"/>
              <w:rPr>
                <w:rFonts w:hint="default"/>
                <w:color w:val="auto"/>
                <w:sz w:val="21"/>
                <w:szCs w:val="21"/>
                <w:highlight w:val="none"/>
              </w:rPr>
            </w:pPr>
            <w:r>
              <w:rPr>
                <w:rFonts w:hint="default"/>
                <w:color w:val="auto"/>
                <w:spacing w:val="-2"/>
                <w:sz w:val="21"/>
                <w:szCs w:val="21"/>
                <w:highlight w:val="none"/>
              </w:rPr>
              <w:t>安全生产许可证</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D73FB34">
            <w:pPr>
              <w:pStyle w:val="11"/>
              <w:spacing w:before="177" w:beforeLines="0" w:afterLines="0" w:line="221" w:lineRule="auto"/>
              <w:ind w:left="116"/>
              <w:rPr>
                <w:rFonts w:hint="default"/>
                <w:color w:val="auto"/>
                <w:sz w:val="21"/>
                <w:szCs w:val="21"/>
                <w:highlight w:val="none"/>
              </w:rPr>
            </w:pPr>
            <w:r>
              <w:rPr>
                <w:rFonts w:hint="default"/>
                <w:color w:val="auto"/>
                <w:spacing w:val="-1"/>
                <w:sz w:val="21"/>
                <w:szCs w:val="21"/>
                <w:highlight w:val="none"/>
              </w:rPr>
              <w:t>具备有效的安全生产许可证</w:t>
            </w:r>
          </w:p>
        </w:tc>
      </w:tr>
      <w:tr w14:paraId="77F1F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7B48C620">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3EDE4CEC">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373F603">
            <w:pPr>
              <w:pStyle w:val="11"/>
              <w:spacing w:before="176" w:beforeLines="0" w:afterLines="0" w:line="221" w:lineRule="auto"/>
              <w:ind w:left="743"/>
              <w:rPr>
                <w:rFonts w:hint="default"/>
                <w:color w:val="auto"/>
                <w:sz w:val="21"/>
                <w:szCs w:val="21"/>
                <w:highlight w:val="none"/>
              </w:rPr>
            </w:pPr>
            <w:r>
              <w:rPr>
                <w:rFonts w:hint="default"/>
                <w:color w:val="auto"/>
                <w:spacing w:val="-3"/>
                <w:sz w:val="21"/>
                <w:szCs w:val="21"/>
                <w:highlight w:val="none"/>
              </w:rPr>
              <w:t>资质等级</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3699C238">
            <w:pPr>
              <w:pStyle w:val="11"/>
              <w:spacing w:before="177" w:beforeLines="0" w:afterLines="0" w:line="220" w:lineRule="auto"/>
              <w:ind w:left="113"/>
              <w:rPr>
                <w:rFonts w:hint="default"/>
                <w:color w:val="auto"/>
                <w:sz w:val="21"/>
                <w:szCs w:val="21"/>
                <w:highlight w:val="none"/>
              </w:rPr>
            </w:pPr>
            <w:r>
              <w:rPr>
                <w:rFonts w:hint="default"/>
                <w:color w:val="auto"/>
                <w:spacing w:val="-2"/>
                <w:sz w:val="21"/>
                <w:szCs w:val="21"/>
                <w:highlight w:val="none"/>
              </w:rPr>
              <w:t>符合第二章“投标人须知”第</w:t>
            </w:r>
            <w:r>
              <w:rPr>
                <w:rFonts w:hint="default"/>
                <w:color w:val="auto"/>
                <w:spacing w:val="-24"/>
                <w:sz w:val="21"/>
                <w:szCs w:val="21"/>
                <w:highlight w:val="none"/>
              </w:rPr>
              <w:t xml:space="preserve"> </w:t>
            </w:r>
            <w:r>
              <w:rPr>
                <w:rFonts w:hint="eastAsia" w:ascii="Times New Roman" w:hAnsi="Times New Roman" w:eastAsia="Times New Roman" w:cs="Times New Roman"/>
                <w:color w:val="auto"/>
                <w:spacing w:val="-2"/>
                <w:sz w:val="21"/>
                <w:szCs w:val="21"/>
                <w:highlight w:val="none"/>
              </w:rPr>
              <w:t xml:space="preserve">1.4.1 </w:t>
            </w:r>
            <w:r>
              <w:rPr>
                <w:rFonts w:hint="default"/>
                <w:color w:val="auto"/>
                <w:spacing w:val="-2"/>
                <w:sz w:val="21"/>
                <w:szCs w:val="21"/>
                <w:highlight w:val="none"/>
              </w:rPr>
              <w:t>项规定</w:t>
            </w:r>
          </w:p>
        </w:tc>
      </w:tr>
      <w:tr w14:paraId="27D5C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44259EAA">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715F419D">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6CAB2DB">
            <w:pPr>
              <w:pStyle w:val="11"/>
              <w:spacing w:before="177" w:beforeLines="0" w:afterLines="0" w:line="220" w:lineRule="auto"/>
              <w:ind w:left="945"/>
              <w:rPr>
                <w:rFonts w:hint="default"/>
                <w:color w:val="auto"/>
                <w:sz w:val="21"/>
                <w:szCs w:val="21"/>
                <w:highlight w:val="none"/>
              </w:rPr>
            </w:pPr>
            <w:r>
              <w:rPr>
                <w:rFonts w:hint="default"/>
                <w:color w:val="auto"/>
                <w:spacing w:val="-2"/>
                <w:sz w:val="21"/>
                <w:szCs w:val="21"/>
                <w:highlight w:val="none"/>
              </w:rPr>
              <w:t>信誉</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02D403AF">
            <w:pPr>
              <w:pStyle w:val="11"/>
              <w:spacing w:before="177" w:beforeLines="0" w:afterLines="0" w:line="220" w:lineRule="auto"/>
              <w:ind w:left="113"/>
              <w:rPr>
                <w:rFonts w:hint="default"/>
                <w:color w:val="auto"/>
                <w:sz w:val="21"/>
                <w:szCs w:val="21"/>
                <w:highlight w:val="none"/>
              </w:rPr>
            </w:pPr>
            <w:r>
              <w:rPr>
                <w:rFonts w:hint="default"/>
                <w:color w:val="auto"/>
                <w:spacing w:val="-2"/>
                <w:sz w:val="21"/>
                <w:szCs w:val="21"/>
                <w:highlight w:val="none"/>
              </w:rPr>
              <w:t>符合第二章“投标人须知”第</w:t>
            </w:r>
            <w:r>
              <w:rPr>
                <w:rFonts w:hint="default"/>
                <w:color w:val="auto"/>
                <w:spacing w:val="-24"/>
                <w:sz w:val="21"/>
                <w:szCs w:val="21"/>
                <w:highlight w:val="none"/>
              </w:rPr>
              <w:t xml:space="preserve"> </w:t>
            </w:r>
            <w:r>
              <w:rPr>
                <w:rFonts w:hint="eastAsia" w:ascii="Times New Roman" w:hAnsi="Times New Roman" w:eastAsia="Times New Roman" w:cs="Times New Roman"/>
                <w:color w:val="auto"/>
                <w:spacing w:val="-2"/>
                <w:sz w:val="21"/>
                <w:szCs w:val="21"/>
                <w:highlight w:val="none"/>
              </w:rPr>
              <w:t xml:space="preserve">1.4.1 </w:t>
            </w:r>
            <w:r>
              <w:rPr>
                <w:rFonts w:hint="default"/>
                <w:color w:val="auto"/>
                <w:spacing w:val="-2"/>
                <w:sz w:val="21"/>
                <w:szCs w:val="21"/>
                <w:highlight w:val="none"/>
              </w:rPr>
              <w:t>项规定</w:t>
            </w:r>
          </w:p>
        </w:tc>
      </w:tr>
      <w:tr w14:paraId="0E01C6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7E0DBF59">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13A69F17">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43175116">
            <w:pPr>
              <w:pStyle w:val="11"/>
              <w:spacing w:before="177" w:beforeLines="0" w:afterLines="0" w:line="221" w:lineRule="auto"/>
              <w:ind w:left="526"/>
              <w:rPr>
                <w:rFonts w:hint="default"/>
                <w:color w:val="auto"/>
                <w:sz w:val="21"/>
                <w:szCs w:val="21"/>
                <w:highlight w:val="none"/>
              </w:rPr>
            </w:pPr>
            <w:r>
              <w:rPr>
                <w:rFonts w:hint="default"/>
                <w:color w:val="auto"/>
                <w:spacing w:val="-2"/>
                <w:sz w:val="21"/>
                <w:szCs w:val="21"/>
                <w:highlight w:val="none"/>
              </w:rPr>
              <w:t>项目经理资格</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5373B247">
            <w:pPr>
              <w:pStyle w:val="11"/>
              <w:spacing w:before="177" w:beforeLines="0" w:afterLines="0" w:line="220" w:lineRule="auto"/>
              <w:ind w:left="113"/>
              <w:rPr>
                <w:rFonts w:hint="default"/>
                <w:color w:val="auto"/>
                <w:sz w:val="21"/>
                <w:szCs w:val="21"/>
                <w:highlight w:val="none"/>
              </w:rPr>
            </w:pPr>
            <w:r>
              <w:rPr>
                <w:rFonts w:hint="default"/>
                <w:color w:val="auto"/>
                <w:spacing w:val="-2"/>
                <w:sz w:val="21"/>
                <w:szCs w:val="21"/>
                <w:highlight w:val="none"/>
              </w:rPr>
              <w:t>符合第二章“投标人须知”第</w:t>
            </w:r>
            <w:r>
              <w:rPr>
                <w:rFonts w:hint="default"/>
                <w:color w:val="auto"/>
                <w:spacing w:val="-24"/>
                <w:sz w:val="21"/>
                <w:szCs w:val="21"/>
                <w:highlight w:val="none"/>
              </w:rPr>
              <w:t xml:space="preserve"> </w:t>
            </w:r>
            <w:r>
              <w:rPr>
                <w:rFonts w:hint="eastAsia" w:ascii="Times New Roman" w:hAnsi="Times New Roman" w:eastAsia="Times New Roman" w:cs="Times New Roman"/>
                <w:color w:val="auto"/>
                <w:spacing w:val="-2"/>
                <w:sz w:val="21"/>
                <w:szCs w:val="21"/>
                <w:highlight w:val="none"/>
              </w:rPr>
              <w:t xml:space="preserve">1.4.1 </w:t>
            </w:r>
            <w:r>
              <w:rPr>
                <w:rFonts w:hint="default"/>
                <w:color w:val="auto"/>
                <w:spacing w:val="-2"/>
                <w:sz w:val="21"/>
                <w:szCs w:val="21"/>
                <w:highlight w:val="none"/>
              </w:rPr>
              <w:t>项规定</w:t>
            </w:r>
          </w:p>
        </w:tc>
      </w:tr>
      <w:tr w14:paraId="6310D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1210C408">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25725946">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52CA81A">
            <w:pPr>
              <w:pStyle w:val="11"/>
              <w:spacing w:before="177" w:beforeLines="0" w:afterLines="0" w:line="221" w:lineRule="auto"/>
              <w:ind w:left="944"/>
              <w:rPr>
                <w:rFonts w:hint="default"/>
                <w:color w:val="auto"/>
                <w:sz w:val="21"/>
                <w:szCs w:val="21"/>
                <w:highlight w:val="none"/>
              </w:rPr>
            </w:pPr>
            <w:r>
              <w:rPr>
                <w:rFonts w:hint="default"/>
                <w:color w:val="auto"/>
                <w:spacing w:val="-2"/>
                <w:sz w:val="21"/>
                <w:szCs w:val="21"/>
                <w:highlight w:val="none"/>
              </w:rPr>
              <w:t>业绩</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21F6D0F">
            <w:pPr>
              <w:pStyle w:val="11"/>
              <w:spacing w:before="177" w:beforeLines="0" w:afterLines="0" w:line="220" w:lineRule="auto"/>
              <w:ind w:left="113"/>
              <w:rPr>
                <w:rFonts w:hint="default"/>
                <w:color w:val="auto"/>
                <w:sz w:val="21"/>
                <w:szCs w:val="21"/>
                <w:highlight w:val="none"/>
              </w:rPr>
            </w:pPr>
            <w:r>
              <w:rPr>
                <w:rFonts w:hint="default"/>
                <w:color w:val="auto"/>
                <w:spacing w:val="-2"/>
                <w:sz w:val="21"/>
                <w:szCs w:val="21"/>
                <w:highlight w:val="none"/>
              </w:rPr>
              <w:t>符合第二章“投标人须知”第</w:t>
            </w:r>
            <w:r>
              <w:rPr>
                <w:rFonts w:hint="default"/>
                <w:color w:val="auto"/>
                <w:spacing w:val="-24"/>
                <w:sz w:val="21"/>
                <w:szCs w:val="21"/>
                <w:highlight w:val="none"/>
              </w:rPr>
              <w:t xml:space="preserve"> </w:t>
            </w:r>
            <w:r>
              <w:rPr>
                <w:rFonts w:hint="eastAsia" w:ascii="Times New Roman" w:hAnsi="Times New Roman" w:eastAsia="Times New Roman" w:cs="Times New Roman"/>
                <w:color w:val="auto"/>
                <w:spacing w:val="-2"/>
                <w:sz w:val="21"/>
                <w:szCs w:val="21"/>
                <w:highlight w:val="none"/>
              </w:rPr>
              <w:t xml:space="preserve">1.4.1 </w:t>
            </w:r>
            <w:r>
              <w:rPr>
                <w:rFonts w:hint="default"/>
                <w:color w:val="auto"/>
                <w:spacing w:val="-2"/>
                <w:sz w:val="21"/>
                <w:szCs w:val="21"/>
                <w:highlight w:val="none"/>
              </w:rPr>
              <w:t>项规定</w:t>
            </w:r>
          </w:p>
        </w:tc>
      </w:tr>
      <w:tr w14:paraId="0CEC06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44" w:type="dxa"/>
            <w:vMerge w:val="continue"/>
            <w:tcBorders>
              <w:top w:val="nil"/>
              <w:left w:val="single" w:color="000000" w:sz="2" w:space="0"/>
              <w:bottom w:val="single" w:color="000000" w:sz="2" w:space="0"/>
              <w:right w:val="single" w:color="000000" w:sz="2" w:space="0"/>
              <w:tl2br w:val="nil"/>
              <w:tr2bl w:val="nil"/>
            </w:tcBorders>
            <w:noWrap w:val="0"/>
            <w:vAlign w:val="top"/>
          </w:tcPr>
          <w:p w14:paraId="06D15A97">
            <w:pPr>
              <w:spacing w:beforeLines="0" w:afterLines="0"/>
              <w:rPr>
                <w:rFonts w:hint="default"/>
                <w:color w:val="auto"/>
                <w:sz w:val="21"/>
                <w:szCs w:val="21"/>
                <w:highlight w:val="none"/>
              </w:rPr>
            </w:pPr>
          </w:p>
        </w:tc>
        <w:tc>
          <w:tcPr>
            <w:tcW w:w="1099" w:type="dxa"/>
            <w:vMerge w:val="continue"/>
            <w:tcBorders>
              <w:top w:val="nil"/>
              <w:left w:val="single" w:color="000000" w:sz="2" w:space="0"/>
              <w:bottom w:val="single" w:color="000000" w:sz="2" w:space="0"/>
              <w:right w:val="single" w:color="000000" w:sz="2" w:space="0"/>
              <w:tl2br w:val="nil"/>
              <w:tr2bl w:val="nil"/>
            </w:tcBorders>
            <w:noWrap w:val="0"/>
            <w:vAlign w:val="top"/>
          </w:tcPr>
          <w:p w14:paraId="36B6DE99">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9A1C883">
            <w:pPr>
              <w:pStyle w:val="11"/>
              <w:spacing w:before="158" w:beforeLines="0" w:afterLines="0" w:line="423" w:lineRule="exact"/>
              <w:ind w:left="209"/>
              <w:rPr>
                <w:rFonts w:hint="default"/>
                <w:color w:val="auto"/>
                <w:sz w:val="21"/>
                <w:szCs w:val="21"/>
                <w:highlight w:val="none"/>
              </w:rPr>
            </w:pPr>
            <w:r>
              <w:rPr>
                <w:rFonts w:hint="default"/>
                <w:color w:val="auto"/>
                <w:spacing w:val="-1"/>
                <w:position w:val="16"/>
                <w:sz w:val="21"/>
                <w:szCs w:val="21"/>
                <w:highlight w:val="none"/>
              </w:rPr>
              <w:t>项目管理机构主要人</w:t>
            </w:r>
          </w:p>
          <w:p w14:paraId="5A9ECB67">
            <w:pPr>
              <w:pStyle w:val="11"/>
              <w:spacing w:beforeLines="0" w:afterLines="0" w:line="222" w:lineRule="auto"/>
              <w:ind w:left="847"/>
              <w:rPr>
                <w:rFonts w:hint="default"/>
                <w:color w:val="auto"/>
                <w:sz w:val="21"/>
                <w:szCs w:val="21"/>
                <w:highlight w:val="none"/>
              </w:rPr>
            </w:pPr>
            <w:r>
              <w:rPr>
                <w:rFonts w:hint="default"/>
                <w:color w:val="auto"/>
                <w:spacing w:val="-3"/>
                <w:sz w:val="21"/>
                <w:szCs w:val="21"/>
                <w:highlight w:val="none"/>
              </w:rPr>
              <w:t>员要求</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0451011">
            <w:pPr>
              <w:spacing w:beforeLines="0" w:afterLines="0" w:line="299" w:lineRule="auto"/>
              <w:rPr>
                <w:rFonts w:hint="default"/>
                <w:color w:val="auto"/>
                <w:sz w:val="21"/>
                <w:szCs w:val="21"/>
                <w:highlight w:val="none"/>
              </w:rPr>
            </w:pPr>
          </w:p>
          <w:p w14:paraId="6AF7EB9B">
            <w:pPr>
              <w:pStyle w:val="11"/>
              <w:spacing w:before="69" w:beforeLines="0" w:afterLines="0" w:line="220" w:lineRule="auto"/>
              <w:ind w:left="113"/>
              <w:rPr>
                <w:rFonts w:hint="default"/>
                <w:color w:val="auto"/>
                <w:sz w:val="21"/>
                <w:szCs w:val="21"/>
                <w:highlight w:val="none"/>
              </w:rPr>
            </w:pPr>
            <w:r>
              <w:rPr>
                <w:rFonts w:hint="default"/>
                <w:color w:val="auto"/>
                <w:spacing w:val="-2"/>
                <w:sz w:val="21"/>
                <w:szCs w:val="21"/>
                <w:highlight w:val="none"/>
              </w:rPr>
              <w:t>符合第二章“投标人须知”第</w:t>
            </w:r>
            <w:r>
              <w:rPr>
                <w:rFonts w:hint="default"/>
                <w:color w:val="auto"/>
                <w:spacing w:val="-24"/>
                <w:sz w:val="21"/>
                <w:szCs w:val="21"/>
                <w:highlight w:val="none"/>
              </w:rPr>
              <w:t xml:space="preserve"> </w:t>
            </w:r>
            <w:r>
              <w:rPr>
                <w:rFonts w:hint="eastAsia" w:ascii="Times New Roman" w:hAnsi="Times New Roman" w:eastAsia="Times New Roman" w:cs="Times New Roman"/>
                <w:color w:val="auto"/>
                <w:spacing w:val="-2"/>
                <w:sz w:val="21"/>
                <w:szCs w:val="21"/>
                <w:highlight w:val="none"/>
              </w:rPr>
              <w:t xml:space="preserve">1.4.1 </w:t>
            </w:r>
            <w:r>
              <w:rPr>
                <w:rFonts w:hint="default"/>
                <w:color w:val="auto"/>
                <w:spacing w:val="-2"/>
                <w:sz w:val="21"/>
                <w:szCs w:val="21"/>
                <w:highlight w:val="none"/>
              </w:rPr>
              <w:t>项规定</w:t>
            </w:r>
          </w:p>
        </w:tc>
      </w:tr>
    </w:tbl>
    <w:p w14:paraId="03E16470">
      <w:pPr>
        <w:pStyle w:val="3"/>
        <w:spacing w:beforeLines="0" w:afterLines="0"/>
        <w:rPr>
          <w:rFonts w:hint="default"/>
          <w:color w:val="auto"/>
          <w:sz w:val="21"/>
          <w:szCs w:val="21"/>
          <w:highlight w:val="none"/>
        </w:rPr>
      </w:pPr>
    </w:p>
    <w:p w14:paraId="466EDB77">
      <w:pPr>
        <w:spacing w:beforeLines="0" w:afterLines="0"/>
        <w:rPr>
          <w:rFonts w:hint="default"/>
          <w:color w:val="auto"/>
          <w:sz w:val="21"/>
          <w:szCs w:val="21"/>
          <w:highlight w:val="none"/>
        </w:rPr>
        <w:sectPr>
          <w:footerReference r:id="rId44" w:type="default"/>
          <w:pgSz w:w="11905" w:h="16839"/>
          <w:pgMar w:top="1421" w:right="1474" w:bottom="996" w:left="1483" w:header="0" w:footer="793" w:gutter="0"/>
          <w:lnNumType w:countBy="0" w:distance="360"/>
          <w:pgNumType w:fmt="decimal"/>
          <w:cols w:space="720" w:num="1"/>
        </w:sectPr>
      </w:pPr>
    </w:p>
    <w:p w14:paraId="794A7137">
      <w:pPr>
        <w:spacing w:beforeLines="0" w:afterLines="0" w:line="95" w:lineRule="auto"/>
        <w:rPr>
          <w:rFonts w:hint="default"/>
          <w:color w:val="auto"/>
          <w:sz w:val="2"/>
          <w:szCs w:val="21"/>
          <w:highlight w:val="none"/>
        </w:rPr>
      </w:pPr>
    </w:p>
    <w:tbl>
      <w:tblPr>
        <w:tblStyle w:val="6"/>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099"/>
        <w:gridCol w:w="2303"/>
        <w:gridCol w:w="4794"/>
      </w:tblGrid>
      <w:tr w14:paraId="003DC2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44" w:type="dxa"/>
            <w:vMerge w:val="restart"/>
            <w:tcBorders>
              <w:top w:val="single" w:color="000000" w:sz="2" w:space="0"/>
              <w:left w:val="single" w:color="000000" w:sz="2" w:space="0"/>
              <w:bottom w:val="nil"/>
              <w:right w:val="single" w:color="000000" w:sz="2" w:space="0"/>
              <w:tl2br w:val="nil"/>
              <w:tr2bl w:val="nil"/>
            </w:tcBorders>
            <w:noWrap w:val="0"/>
            <w:vAlign w:val="top"/>
          </w:tcPr>
          <w:p w14:paraId="4DA7047C">
            <w:pPr>
              <w:spacing w:beforeLines="0" w:afterLines="0"/>
              <w:rPr>
                <w:rFonts w:hint="default"/>
                <w:color w:val="auto"/>
                <w:sz w:val="21"/>
                <w:szCs w:val="21"/>
                <w:highlight w:val="none"/>
              </w:rPr>
            </w:pPr>
          </w:p>
        </w:tc>
        <w:tc>
          <w:tcPr>
            <w:tcW w:w="1099" w:type="dxa"/>
            <w:vMerge w:val="restart"/>
            <w:tcBorders>
              <w:top w:val="single" w:color="000000" w:sz="2" w:space="0"/>
              <w:left w:val="single" w:color="000000" w:sz="2" w:space="0"/>
              <w:bottom w:val="nil"/>
              <w:right w:val="single" w:color="000000" w:sz="2" w:space="0"/>
              <w:tl2br w:val="nil"/>
              <w:tr2bl w:val="nil"/>
            </w:tcBorders>
            <w:noWrap w:val="0"/>
            <w:vAlign w:val="top"/>
          </w:tcPr>
          <w:p w14:paraId="2A07FACE">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A47A709">
            <w:pPr>
              <w:pStyle w:val="11"/>
              <w:spacing w:before="178" w:beforeLines="0" w:afterLines="0" w:line="221" w:lineRule="auto"/>
              <w:ind w:left="734"/>
              <w:rPr>
                <w:rFonts w:hint="default"/>
                <w:color w:val="auto"/>
                <w:sz w:val="21"/>
                <w:szCs w:val="21"/>
                <w:highlight w:val="none"/>
              </w:rPr>
            </w:pPr>
            <w:bookmarkStart w:id="93" w:name="bookmark115"/>
            <w:bookmarkEnd w:id="93"/>
            <w:bookmarkStart w:id="94" w:name="bookmark114"/>
            <w:bookmarkEnd w:id="94"/>
            <w:bookmarkStart w:id="95" w:name="bookmark116"/>
            <w:bookmarkEnd w:id="95"/>
            <w:bookmarkStart w:id="96" w:name="bookmark113"/>
            <w:bookmarkEnd w:id="96"/>
            <w:bookmarkStart w:id="97" w:name="bookmark112"/>
            <w:bookmarkEnd w:id="97"/>
            <w:bookmarkStart w:id="98" w:name="bookmark117"/>
            <w:bookmarkEnd w:id="98"/>
            <w:r>
              <w:rPr>
                <w:rFonts w:hint="default"/>
                <w:color w:val="auto"/>
                <w:spacing w:val="-1"/>
                <w:sz w:val="21"/>
                <w:szCs w:val="21"/>
                <w:highlight w:val="none"/>
              </w:rPr>
              <w:t>其他要求</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008FE18A">
            <w:pPr>
              <w:pStyle w:val="11"/>
              <w:spacing w:before="178" w:beforeLines="0" w:afterLines="0" w:line="220" w:lineRule="auto"/>
              <w:ind w:left="113"/>
              <w:rPr>
                <w:rFonts w:hint="default"/>
                <w:color w:val="auto"/>
                <w:sz w:val="21"/>
                <w:szCs w:val="21"/>
                <w:highlight w:val="none"/>
              </w:rPr>
            </w:pPr>
            <w:r>
              <w:rPr>
                <w:rFonts w:hint="default"/>
                <w:color w:val="auto"/>
                <w:spacing w:val="-2"/>
                <w:sz w:val="21"/>
                <w:szCs w:val="21"/>
                <w:highlight w:val="none"/>
              </w:rPr>
              <w:t>符合第二章“投标人须知”第</w:t>
            </w:r>
            <w:r>
              <w:rPr>
                <w:rFonts w:hint="default"/>
                <w:color w:val="auto"/>
                <w:spacing w:val="-24"/>
                <w:sz w:val="21"/>
                <w:szCs w:val="21"/>
                <w:highlight w:val="none"/>
              </w:rPr>
              <w:t xml:space="preserve"> </w:t>
            </w:r>
            <w:r>
              <w:rPr>
                <w:rFonts w:hint="eastAsia" w:ascii="Times New Roman" w:hAnsi="Times New Roman" w:eastAsia="Times New Roman" w:cs="Times New Roman"/>
                <w:color w:val="auto"/>
                <w:spacing w:val="-2"/>
                <w:sz w:val="21"/>
                <w:szCs w:val="21"/>
                <w:highlight w:val="none"/>
              </w:rPr>
              <w:t xml:space="preserve">1.4.1 </w:t>
            </w:r>
            <w:r>
              <w:rPr>
                <w:rFonts w:hint="default"/>
                <w:color w:val="auto"/>
                <w:spacing w:val="-2"/>
                <w:sz w:val="21"/>
                <w:szCs w:val="21"/>
                <w:highlight w:val="none"/>
              </w:rPr>
              <w:t>项规定</w:t>
            </w:r>
          </w:p>
        </w:tc>
      </w:tr>
      <w:tr w14:paraId="29925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69A81CAF">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54319728">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312D9E8C">
            <w:pPr>
              <w:pStyle w:val="11"/>
              <w:spacing w:before="155" w:beforeLines="0" w:afterLines="0" w:line="221" w:lineRule="auto"/>
              <w:ind w:left="312"/>
              <w:rPr>
                <w:rFonts w:hint="default"/>
                <w:color w:val="auto"/>
                <w:sz w:val="21"/>
                <w:szCs w:val="21"/>
                <w:highlight w:val="none"/>
              </w:rPr>
            </w:pPr>
            <w:r>
              <w:rPr>
                <w:rFonts w:hint="default"/>
                <w:color w:val="auto"/>
                <w:spacing w:val="-2"/>
                <w:sz w:val="21"/>
                <w:szCs w:val="21"/>
                <w:highlight w:val="none"/>
              </w:rPr>
              <w:t>联合体投标人（如</w:t>
            </w:r>
          </w:p>
          <w:p w14:paraId="27A4973E">
            <w:pPr>
              <w:pStyle w:val="11"/>
              <w:spacing w:before="171" w:beforeLines="0" w:afterLines="0" w:line="221" w:lineRule="auto"/>
              <w:ind w:left="946"/>
              <w:rPr>
                <w:rFonts w:hint="default"/>
                <w:color w:val="auto"/>
                <w:sz w:val="21"/>
                <w:szCs w:val="21"/>
                <w:highlight w:val="none"/>
              </w:rPr>
            </w:pPr>
            <w:r>
              <w:rPr>
                <w:rFonts w:hint="default"/>
                <w:color w:val="auto"/>
                <w:spacing w:val="-6"/>
                <w:sz w:val="21"/>
                <w:szCs w:val="21"/>
                <w:highlight w:val="none"/>
              </w:rPr>
              <w:t>有）</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37D9F58">
            <w:pPr>
              <w:spacing w:beforeLines="0" w:afterLines="0" w:line="295" w:lineRule="auto"/>
              <w:rPr>
                <w:rFonts w:hint="default"/>
                <w:color w:val="auto"/>
                <w:sz w:val="21"/>
                <w:szCs w:val="21"/>
                <w:highlight w:val="none"/>
              </w:rPr>
            </w:pPr>
          </w:p>
          <w:p w14:paraId="4365DB52">
            <w:pPr>
              <w:pStyle w:val="11"/>
              <w:spacing w:before="68" w:beforeLines="0" w:afterLines="0" w:line="220" w:lineRule="auto"/>
              <w:ind w:left="113"/>
              <w:rPr>
                <w:rFonts w:hint="default"/>
                <w:color w:val="auto"/>
                <w:sz w:val="21"/>
                <w:szCs w:val="21"/>
                <w:highlight w:val="none"/>
              </w:rPr>
            </w:pPr>
            <w:r>
              <w:rPr>
                <w:rFonts w:hint="default"/>
                <w:color w:val="auto"/>
                <w:spacing w:val="-2"/>
                <w:sz w:val="21"/>
                <w:szCs w:val="21"/>
                <w:highlight w:val="none"/>
              </w:rPr>
              <w:t>符合第二章“投标人须知”第</w:t>
            </w:r>
            <w:r>
              <w:rPr>
                <w:rFonts w:hint="default"/>
                <w:color w:val="auto"/>
                <w:spacing w:val="-24"/>
                <w:sz w:val="21"/>
                <w:szCs w:val="21"/>
                <w:highlight w:val="none"/>
              </w:rPr>
              <w:t xml:space="preserve"> </w:t>
            </w:r>
            <w:r>
              <w:rPr>
                <w:rFonts w:hint="eastAsia" w:ascii="Times New Roman" w:hAnsi="Times New Roman" w:eastAsia="Times New Roman" w:cs="Times New Roman"/>
                <w:color w:val="auto"/>
                <w:spacing w:val="-2"/>
                <w:sz w:val="21"/>
                <w:szCs w:val="21"/>
                <w:highlight w:val="none"/>
              </w:rPr>
              <w:t xml:space="preserve">1.4.2 </w:t>
            </w:r>
            <w:r>
              <w:rPr>
                <w:rFonts w:hint="default"/>
                <w:color w:val="auto"/>
                <w:spacing w:val="-2"/>
                <w:sz w:val="21"/>
                <w:szCs w:val="21"/>
                <w:highlight w:val="none"/>
              </w:rPr>
              <w:t>项规定</w:t>
            </w:r>
          </w:p>
        </w:tc>
      </w:tr>
      <w:tr w14:paraId="3C441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23A48181">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3544B40B">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3E7EDFE1">
            <w:pPr>
              <w:pStyle w:val="11"/>
              <w:spacing w:before="154" w:beforeLines="0" w:afterLines="0" w:line="423" w:lineRule="exact"/>
              <w:ind w:left="209"/>
              <w:rPr>
                <w:rFonts w:hint="default"/>
                <w:color w:val="auto"/>
                <w:sz w:val="21"/>
                <w:szCs w:val="21"/>
                <w:highlight w:val="none"/>
              </w:rPr>
            </w:pPr>
            <w:r>
              <w:rPr>
                <w:rFonts w:hint="default"/>
                <w:color w:val="auto"/>
                <w:spacing w:val="-1"/>
                <w:position w:val="16"/>
                <w:sz w:val="21"/>
                <w:szCs w:val="21"/>
                <w:highlight w:val="none"/>
              </w:rPr>
              <w:t>不存在禁止投标的情</w:t>
            </w:r>
          </w:p>
          <w:p w14:paraId="3E09880C">
            <w:pPr>
              <w:pStyle w:val="11"/>
              <w:spacing w:beforeLines="0" w:afterLines="0" w:line="222" w:lineRule="auto"/>
              <w:ind w:left="1049"/>
              <w:rPr>
                <w:rFonts w:hint="default"/>
                <w:color w:val="auto"/>
                <w:sz w:val="21"/>
                <w:szCs w:val="21"/>
                <w:highlight w:val="none"/>
              </w:rPr>
            </w:pPr>
            <w:r>
              <w:rPr>
                <w:rFonts w:hint="default"/>
                <w:color w:val="auto"/>
                <w:sz w:val="21"/>
                <w:szCs w:val="21"/>
                <w:highlight w:val="none"/>
              </w:rPr>
              <w:t>形</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4EA248C4">
            <w:pPr>
              <w:pStyle w:val="11"/>
              <w:spacing w:before="154" w:beforeLines="0" w:afterLines="0" w:line="423" w:lineRule="exact"/>
              <w:ind w:left="115"/>
              <w:rPr>
                <w:rFonts w:hint="default"/>
                <w:color w:val="auto"/>
                <w:sz w:val="21"/>
                <w:szCs w:val="21"/>
                <w:highlight w:val="none"/>
              </w:rPr>
            </w:pPr>
            <w:r>
              <w:rPr>
                <w:rFonts w:hint="default"/>
                <w:color w:val="auto"/>
                <w:spacing w:val="-2"/>
                <w:position w:val="16"/>
                <w:sz w:val="21"/>
                <w:szCs w:val="21"/>
                <w:highlight w:val="none"/>
              </w:rPr>
              <w:t xml:space="preserve">不存在第二章“投标人须知”第 </w:t>
            </w:r>
            <w:r>
              <w:rPr>
                <w:rFonts w:hint="eastAsia" w:ascii="Times New Roman" w:hAnsi="Times New Roman" w:eastAsia="Times New Roman" w:cs="Times New Roman"/>
                <w:color w:val="auto"/>
                <w:spacing w:val="-2"/>
                <w:position w:val="16"/>
                <w:sz w:val="21"/>
                <w:szCs w:val="21"/>
                <w:highlight w:val="none"/>
              </w:rPr>
              <w:t>1.4.3</w:t>
            </w:r>
            <w:r>
              <w:rPr>
                <w:rFonts w:hint="eastAsia" w:ascii="Times New Roman" w:hAnsi="Times New Roman" w:eastAsia="Times New Roman" w:cs="Times New Roman"/>
                <w:color w:val="auto"/>
                <w:spacing w:val="50"/>
                <w:position w:val="16"/>
                <w:sz w:val="21"/>
                <w:szCs w:val="21"/>
                <w:highlight w:val="none"/>
              </w:rPr>
              <w:t xml:space="preserve"> </w:t>
            </w:r>
            <w:r>
              <w:rPr>
                <w:rFonts w:hint="default"/>
                <w:color w:val="auto"/>
                <w:spacing w:val="-2"/>
                <w:position w:val="16"/>
                <w:sz w:val="21"/>
                <w:szCs w:val="21"/>
                <w:highlight w:val="none"/>
              </w:rPr>
              <w:t>项规定的任</w:t>
            </w:r>
          </w:p>
          <w:p w14:paraId="4CD9105F">
            <w:pPr>
              <w:pStyle w:val="11"/>
              <w:spacing w:beforeLines="0" w:afterLines="0" w:line="221" w:lineRule="auto"/>
              <w:ind w:left="115"/>
              <w:rPr>
                <w:rFonts w:hint="default"/>
                <w:color w:val="auto"/>
                <w:sz w:val="21"/>
                <w:szCs w:val="21"/>
                <w:highlight w:val="none"/>
              </w:rPr>
            </w:pPr>
            <w:r>
              <w:rPr>
                <w:rFonts w:hint="default"/>
                <w:color w:val="auto"/>
                <w:spacing w:val="-2"/>
                <w:sz w:val="21"/>
                <w:szCs w:val="21"/>
                <w:highlight w:val="none"/>
              </w:rPr>
              <w:t>何一种情形</w:t>
            </w:r>
          </w:p>
        </w:tc>
      </w:tr>
      <w:tr w14:paraId="6FE3C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left w:val="single" w:color="000000" w:sz="2" w:space="0"/>
              <w:bottom w:val="single" w:color="000000" w:sz="2" w:space="0"/>
              <w:right w:val="single" w:color="000000" w:sz="2" w:space="0"/>
              <w:tl2br w:val="nil"/>
              <w:tr2bl w:val="nil"/>
            </w:tcBorders>
            <w:noWrap w:val="0"/>
            <w:vAlign w:val="top"/>
          </w:tcPr>
          <w:p w14:paraId="3AB9238C">
            <w:pPr>
              <w:spacing w:beforeLines="0" w:afterLines="0"/>
              <w:rPr>
                <w:rFonts w:hint="default"/>
                <w:color w:val="auto"/>
                <w:sz w:val="21"/>
                <w:szCs w:val="21"/>
                <w:highlight w:val="none"/>
              </w:rPr>
            </w:pPr>
          </w:p>
        </w:tc>
        <w:tc>
          <w:tcPr>
            <w:tcW w:w="1099" w:type="dxa"/>
            <w:vMerge w:val="continue"/>
            <w:tcBorders>
              <w:top w:val="nil"/>
              <w:left w:val="single" w:color="000000" w:sz="2" w:space="0"/>
              <w:bottom w:val="single" w:color="000000" w:sz="2" w:space="0"/>
              <w:right w:val="single" w:color="000000" w:sz="2" w:space="0"/>
              <w:tl2br w:val="nil"/>
              <w:tr2bl w:val="nil"/>
            </w:tcBorders>
            <w:noWrap w:val="0"/>
            <w:vAlign w:val="top"/>
          </w:tcPr>
          <w:p w14:paraId="3E815EB1">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B7541B2">
            <w:pPr>
              <w:pStyle w:val="11"/>
              <w:spacing w:before="175" w:beforeLines="0" w:afterLines="0" w:line="238" w:lineRule="auto"/>
              <w:ind w:left="958"/>
              <w:rPr>
                <w:rFonts w:hint="default"/>
                <w:color w:val="auto"/>
                <w:sz w:val="21"/>
                <w:szCs w:val="21"/>
                <w:highlight w:val="none"/>
              </w:rPr>
            </w:pPr>
            <w:r>
              <w:rPr>
                <w:rFonts w:hint="default"/>
                <w:color w:val="auto"/>
                <w:spacing w:val="-5"/>
                <w:sz w:val="21"/>
                <w:szCs w:val="21"/>
                <w:highlight w:val="none"/>
              </w:rPr>
              <w:t>……</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04F991F">
            <w:pPr>
              <w:pStyle w:val="11"/>
              <w:spacing w:before="175" w:beforeLines="0" w:afterLines="0" w:line="238" w:lineRule="auto"/>
              <w:ind w:left="125"/>
              <w:rPr>
                <w:rFonts w:hint="default"/>
                <w:color w:val="auto"/>
                <w:sz w:val="21"/>
                <w:szCs w:val="21"/>
                <w:highlight w:val="none"/>
              </w:rPr>
            </w:pPr>
            <w:r>
              <w:rPr>
                <w:rFonts w:hint="default"/>
                <w:color w:val="auto"/>
                <w:spacing w:val="-5"/>
                <w:sz w:val="21"/>
                <w:szCs w:val="21"/>
                <w:highlight w:val="none"/>
              </w:rPr>
              <w:t>……</w:t>
            </w:r>
          </w:p>
        </w:tc>
      </w:tr>
      <w:tr w14:paraId="1D0D6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44" w:type="dxa"/>
            <w:vMerge w:val="restart"/>
            <w:tcBorders>
              <w:top w:val="single" w:color="000000" w:sz="2" w:space="0"/>
              <w:left w:val="single" w:color="000000" w:sz="2" w:space="0"/>
              <w:bottom w:val="nil"/>
              <w:right w:val="single" w:color="000000" w:sz="2" w:space="0"/>
              <w:tl2br w:val="nil"/>
              <w:tr2bl w:val="nil"/>
            </w:tcBorders>
            <w:noWrap w:val="0"/>
            <w:vAlign w:val="top"/>
          </w:tcPr>
          <w:p w14:paraId="0446B893">
            <w:pPr>
              <w:spacing w:beforeLines="0" w:afterLines="0" w:line="248" w:lineRule="auto"/>
              <w:rPr>
                <w:rFonts w:hint="default"/>
                <w:color w:val="auto"/>
                <w:sz w:val="21"/>
                <w:szCs w:val="21"/>
                <w:highlight w:val="none"/>
              </w:rPr>
            </w:pPr>
          </w:p>
          <w:p w14:paraId="10FE6213">
            <w:pPr>
              <w:spacing w:beforeLines="0" w:afterLines="0" w:line="249" w:lineRule="auto"/>
              <w:rPr>
                <w:rFonts w:hint="default"/>
                <w:color w:val="auto"/>
                <w:sz w:val="21"/>
                <w:szCs w:val="21"/>
                <w:highlight w:val="none"/>
              </w:rPr>
            </w:pPr>
          </w:p>
          <w:p w14:paraId="10C4C00B">
            <w:pPr>
              <w:spacing w:beforeLines="0" w:afterLines="0" w:line="249" w:lineRule="auto"/>
              <w:rPr>
                <w:rFonts w:hint="default"/>
                <w:color w:val="auto"/>
                <w:sz w:val="21"/>
                <w:szCs w:val="21"/>
                <w:highlight w:val="none"/>
              </w:rPr>
            </w:pPr>
          </w:p>
          <w:p w14:paraId="34DD2D99">
            <w:pPr>
              <w:spacing w:beforeLines="0" w:afterLines="0" w:line="249" w:lineRule="auto"/>
              <w:rPr>
                <w:rFonts w:hint="default"/>
                <w:color w:val="auto"/>
                <w:sz w:val="21"/>
                <w:szCs w:val="21"/>
                <w:highlight w:val="none"/>
              </w:rPr>
            </w:pPr>
          </w:p>
          <w:p w14:paraId="4C86B06D">
            <w:pPr>
              <w:spacing w:beforeLines="0" w:afterLines="0" w:line="249" w:lineRule="auto"/>
              <w:rPr>
                <w:rFonts w:hint="default"/>
                <w:color w:val="auto"/>
                <w:sz w:val="21"/>
                <w:szCs w:val="21"/>
                <w:highlight w:val="none"/>
              </w:rPr>
            </w:pPr>
          </w:p>
          <w:p w14:paraId="47F7A83A">
            <w:pPr>
              <w:spacing w:beforeLines="0" w:afterLines="0" w:line="249" w:lineRule="auto"/>
              <w:rPr>
                <w:rFonts w:hint="default"/>
                <w:color w:val="auto"/>
                <w:sz w:val="21"/>
                <w:szCs w:val="21"/>
                <w:highlight w:val="none"/>
              </w:rPr>
            </w:pPr>
          </w:p>
          <w:p w14:paraId="3061C1A5">
            <w:pPr>
              <w:spacing w:beforeLines="0" w:afterLines="0" w:line="249" w:lineRule="auto"/>
              <w:rPr>
                <w:rFonts w:hint="default"/>
                <w:color w:val="auto"/>
                <w:sz w:val="21"/>
                <w:szCs w:val="21"/>
                <w:highlight w:val="none"/>
              </w:rPr>
            </w:pPr>
          </w:p>
          <w:p w14:paraId="5271CA5C">
            <w:pPr>
              <w:spacing w:beforeLines="0" w:afterLines="0" w:line="249" w:lineRule="auto"/>
              <w:rPr>
                <w:rFonts w:hint="default"/>
                <w:color w:val="auto"/>
                <w:sz w:val="21"/>
                <w:szCs w:val="21"/>
                <w:highlight w:val="none"/>
              </w:rPr>
            </w:pPr>
          </w:p>
          <w:p w14:paraId="4131EF2C">
            <w:pPr>
              <w:spacing w:beforeLines="0" w:afterLines="0" w:line="249" w:lineRule="auto"/>
              <w:rPr>
                <w:rFonts w:hint="default"/>
                <w:color w:val="auto"/>
                <w:sz w:val="21"/>
                <w:szCs w:val="21"/>
                <w:highlight w:val="none"/>
              </w:rPr>
            </w:pPr>
          </w:p>
          <w:p w14:paraId="5738E9EA">
            <w:pPr>
              <w:spacing w:beforeLines="0" w:afterLines="0" w:line="249" w:lineRule="auto"/>
              <w:rPr>
                <w:rFonts w:hint="default"/>
                <w:color w:val="auto"/>
                <w:sz w:val="21"/>
                <w:szCs w:val="21"/>
                <w:highlight w:val="none"/>
              </w:rPr>
            </w:pPr>
          </w:p>
          <w:p w14:paraId="6DAAE223">
            <w:pPr>
              <w:spacing w:beforeLines="0" w:afterLines="0" w:line="249" w:lineRule="auto"/>
              <w:rPr>
                <w:rFonts w:hint="default"/>
                <w:color w:val="auto"/>
                <w:sz w:val="21"/>
                <w:szCs w:val="21"/>
                <w:highlight w:val="none"/>
              </w:rPr>
            </w:pPr>
          </w:p>
          <w:p w14:paraId="219D6A6C">
            <w:pPr>
              <w:spacing w:beforeLines="0" w:afterLines="0" w:line="249" w:lineRule="auto"/>
              <w:rPr>
                <w:rFonts w:hint="default"/>
                <w:color w:val="auto"/>
                <w:sz w:val="21"/>
                <w:szCs w:val="21"/>
                <w:highlight w:val="none"/>
              </w:rPr>
            </w:pPr>
          </w:p>
          <w:p w14:paraId="043DFE9A">
            <w:pPr>
              <w:spacing w:beforeLines="0" w:afterLines="0" w:line="249" w:lineRule="auto"/>
              <w:rPr>
                <w:rFonts w:hint="default"/>
                <w:color w:val="auto"/>
                <w:sz w:val="21"/>
                <w:szCs w:val="21"/>
                <w:highlight w:val="none"/>
              </w:rPr>
            </w:pPr>
          </w:p>
          <w:p w14:paraId="091F54EB">
            <w:pPr>
              <w:spacing w:beforeLines="0" w:afterLines="0" w:line="249" w:lineRule="auto"/>
              <w:rPr>
                <w:rFonts w:hint="default"/>
                <w:color w:val="auto"/>
                <w:sz w:val="21"/>
                <w:szCs w:val="21"/>
                <w:highlight w:val="none"/>
              </w:rPr>
            </w:pPr>
          </w:p>
          <w:p w14:paraId="778CB586">
            <w:pPr>
              <w:spacing w:before="60" w:beforeLines="0" w:afterLines="0" w:line="189" w:lineRule="auto"/>
              <w:ind w:left="162"/>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pacing w:val="-1"/>
                <w:sz w:val="21"/>
                <w:szCs w:val="21"/>
                <w:highlight w:val="none"/>
              </w:rPr>
              <w:t>2.1.3</w:t>
            </w:r>
          </w:p>
        </w:tc>
        <w:tc>
          <w:tcPr>
            <w:tcW w:w="1099" w:type="dxa"/>
            <w:vMerge w:val="restart"/>
            <w:tcBorders>
              <w:top w:val="single" w:color="000000" w:sz="2" w:space="0"/>
              <w:left w:val="single" w:color="000000" w:sz="2" w:space="0"/>
              <w:bottom w:val="nil"/>
              <w:right w:val="single" w:color="000000" w:sz="2" w:space="0"/>
              <w:tl2br w:val="nil"/>
              <w:tr2bl w:val="nil"/>
            </w:tcBorders>
            <w:noWrap w:val="0"/>
            <w:vAlign w:val="top"/>
          </w:tcPr>
          <w:p w14:paraId="336B60A5">
            <w:pPr>
              <w:spacing w:beforeLines="0" w:afterLines="0" w:line="248" w:lineRule="auto"/>
              <w:rPr>
                <w:rFonts w:hint="default"/>
                <w:color w:val="auto"/>
                <w:sz w:val="21"/>
                <w:szCs w:val="21"/>
                <w:highlight w:val="none"/>
              </w:rPr>
            </w:pPr>
          </w:p>
          <w:p w14:paraId="1FCA5D3A">
            <w:pPr>
              <w:spacing w:beforeLines="0" w:afterLines="0" w:line="248" w:lineRule="auto"/>
              <w:rPr>
                <w:rFonts w:hint="default"/>
                <w:color w:val="auto"/>
                <w:sz w:val="21"/>
                <w:szCs w:val="21"/>
                <w:highlight w:val="none"/>
              </w:rPr>
            </w:pPr>
          </w:p>
          <w:p w14:paraId="61C97B7E">
            <w:pPr>
              <w:spacing w:beforeLines="0" w:afterLines="0" w:line="248" w:lineRule="auto"/>
              <w:rPr>
                <w:rFonts w:hint="default"/>
                <w:color w:val="auto"/>
                <w:sz w:val="21"/>
                <w:szCs w:val="21"/>
                <w:highlight w:val="none"/>
              </w:rPr>
            </w:pPr>
          </w:p>
          <w:p w14:paraId="64D3A985">
            <w:pPr>
              <w:spacing w:beforeLines="0" w:afterLines="0" w:line="248" w:lineRule="auto"/>
              <w:rPr>
                <w:rFonts w:hint="default"/>
                <w:color w:val="auto"/>
                <w:sz w:val="21"/>
                <w:szCs w:val="21"/>
                <w:highlight w:val="none"/>
              </w:rPr>
            </w:pPr>
          </w:p>
          <w:p w14:paraId="4D5258CB">
            <w:pPr>
              <w:spacing w:beforeLines="0" w:afterLines="0" w:line="248" w:lineRule="auto"/>
              <w:rPr>
                <w:rFonts w:hint="default"/>
                <w:color w:val="auto"/>
                <w:sz w:val="21"/>
                <w:szCs w:val="21"/>
                <w:highlight w:val="none"/>
              </w:rPr>
            </w:pPr>
          </w:p>
          <w:p w14:paraId="686DF8C7">
            <w:pPr>
              <w:spacing w:beforeLines="0" w:afterLines="0" w:line="248" w:lineRule="auto"/>
              <w:rPr>
                <w:rFonts w:hint="default"/>
                <w:color w:val="auto"/>
                <w:sz w:val="21"/>
                <w:szCs w:val="21"/>
                <w:highlight w:val="none"/>
              </w:rPr>
            </w:pPr>
          </w:p>
          <w:p w14:paraId="1E7352DC">
            <w:pPr>
              <w:spacing w:beforeLines="0" w:afterLines="0" w:line="249" w:lineRule="auto"/>
              <w:rPr>
                <w:rFonts w:hint="default"/>
                <w:color w:val="auto"/>
                <w:sz w:val="21"/>
                <w:szCs w:val="21"/>
                <w:highlight w:val="none"/>
              </w:rPr>
            </w:pPr>
          </w:p>
          <w:p w14:paraId="63BF2065">
            <w:pPr>
              <w:spacing w:beforeLines="0" w:afterLines="0" w:line="249" w:lineRule="auto"/>
              <w:rPr>
                <w:rFonts w:hint="default"/>
                <w:color w:val="auto"/>
                <w:sz w:val="21"/>
                <w:szCs w:val="21"/>
                <w:highlight w:val="none"/>
              </w:rPr>
            </w:pPr>
          </w:p>
          <w:p w14:paraId="71F2051D">
            <w:pPr>
              <w:spacing w:beforeLines="0" w:afterLines="0" w:line="249" w:lineRule="auto"/>
              <w:rPr>
                <w:rFonts w:hint="default"/>
                <w:color w:val="auto"/>
                <w:sz w:val="21"/>
                <w:szCs w:val="21"/>
                <w:highlight w:val="none"/>
              </w:rPr>
            </w:pPr>
          </w:p>
          <w:p w14:paraId="3ED28387">
            <w:pPr>
              <w:spacing w:beforeLines="0" w:afterLines="0" w:line="249" w:lineRule="auto"/>
              <w:rPr>
                <w:rFonts w:hint="default"/>
                <w:color w:val="auto"/>
                <w:sz w:val="21"/>
                <w:szCs w:val="21"/>
                <w:highlight w:val="none"/>
              </w:rPr>
            </w:pPr>
          </w:p>
          <w:p w14:paraId="069A7399">
            <w:pPr>
              <w:spacing w:beforeLines="0" w:afterLines="0" w:line="249" w:lineRule="auto"/>
              <w:rPr>
                <w:rFonts w:hint="default"/>
                <w:color w:val="auto"/>
                <w:sz w:val="21"/>
                <w:szCs w:val="21"/>
                <w:highlight w:val="none"/>
              </w:rPr>
            </w:pPr>
          </w:p>
          <w:p w14:paraId="3301147A">
            <w:pPr>
              <w:spacing w:beforeLines="0" w:afterLines="0" w:line="249" w:lineRule="auto"/>
              <w:rPr>
                <w:rFonts w:hint="default"/>
                <w:color w:val="auto"/>
                <w:sz w:val="21"/>
                <w:szCs w:val="21"/>
                <w:highlight w:val="none"/>
              </w:rPr>
            </w:pPr>
          </w:p>
          <w:p w14:paraId="78003338">
            <w:pPr>
              <w:spacing w:beforeLines="0" w:afterLines="0" w:line="249" w:lineRule="auto"/>
              <w:rPr>
                <w:rFonts w:hint="default"/>
                <w:color w:val="auto"/>
                <w:sz w:val="21"/>
                <w:szCs w:val="21"/>
                <w:highlight w:val="none"/>
              </w:rPr>
            </w:pPr>
          </w:p>
          <w:p w14:paraId="3583E5BB">
            <w:pPr>
              <w:pStyle w:val="11"/>
              <w:spacing w:before="68" w:beforeLines="0" w:afterLines="0" w:line="423" w:lineRule="exact"/>
              <w:ind w:left="249"/>
              <w:rPr>
                <w:rFonts w:hint="default"/>
                <w:color w:val="auto"/>
                <w:sz w:val="21"/>
                <w:szCs w:val="21"/>
                <w:highlight w:val="none"/>
              </w:rPr>
            </w:pPr>
            <w:r>
              <w:rPr>
                <w:rFonts w:hint="default"/>
                <w:color w:val="auto"/>
                <w:spacing w:val="-4"/>
                <w:position w:val="16"/>
                <w:sz w:val="21"/>
                <w:szCs w:val="21"/>
                <w:highlight w:val="none"/>
              </w:rPr>
              <w:t>响应性</w:t>
            </w:r>
          </w:p>
          <w:p w14:paraId="71F3EE32">
            <w:pPr>
              <w:pStyle w:val="11"/>
              <w:spacing w:beforeLines="0" w:afterLines="0" w:line="221" w:lineRule="auto"/>
              <w:ind w:left="132"/>
              <w:rPr>
                <w:rFonts w:hint="default"/>
                <w:color w:val="auto"/>
                <w:sz w:val="21"/>
                <w:szCs w:val="21"/>
                <w:highlight w:val="none"/>
              </w:rPr>
            </w:pPr>
            <w:r>
              <w:rPr>
                <w:rFonts w:hint="default"/>
                <w:color w:val="auto"/>
                <w:spacing w:val="-1"/>
                <w:sz w:val="21"/>
                <w:szCs w:val="21"/>
                <w:highlight w:val="none"/>
              </w:rPr>
              <w:t>评审标准</w:t>
            </w: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34CC51DA">
            <w:pPr>
              <w:pStyle w:val="11"/>
              <w:spacing w:before="179" w:beforeLines="0" w:afterLines="0" w:line="221" w:lineRule="auto"/>
              <w:ind w:left="736"/>
              <w:rPr>
                <w:rFonts w:hint="default"/>
                <w:color w:val="auto"/>
                <w:sz w:val="21"/>
                <w:szCs w:val="21"/>
                <w:highlight w:val="none"/>
              </w:rPr>
            </w:pPr>
            <w:r>
              <w:rPr>
                <w:rFonts w:hint="default"/>
                <w:color w:val="auto"/>
                <w:spacing w:val="-2"/>
                <w:sz w:val="21"/>
                <w:szCs w:val="21"/>
                <w:highlight w:val="none"/>
              </w:rPr>
              <w:t>投标内容</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291DA93">
            <w:pPr>
              <w:pStyle w:val="11"/>
              <w:spacing w:before="179" w:beforeLines="0" w:afterLines="0" w:line="220" w:lineRule="auto"/>
              <w:ind w:left="113"/>
              <w:rPr>
                <w:rFonts w:hint="default"/>
                <w:color w:val="auto"/>
                <w:sz w:val="21"/>
                <w:szCs w:val="21"/>
                <w:highlight w:val="none"/>
              </w:rPr>
            </w:pPr>
            <w:r>
              <w:rPr>
                <w:rFonts w:hint="default"/>
                <w:color w:val="auto"/>
                <w:spacing w:val="-2"/>
                <w:sz w:val="21"/>
                <w:szCs w:val="21"/>
                <w:highlight w:val="none"/>
              </w:rPr>
              <w:t>符合第二章“投标人须知”第</w:t>
            </w:r>
            <w:r>
              <w:rPr>
                <w:rFonts w:hint="default"/>
                <w:color w:val="auto"/>
                <w:spacing w:val="-24"/>
                <w:sz w:val="21"/>
                <w:szCs w:val="21"/>
                <w:highlight w:val="none"/>
              </w:rPr>
              <w:t xml:space="preserve"> </w:t>
            </w:r>
            <w:r>
              <w:rPr>
                <w:rFonts w:hint="eastAsia" w:ascii="Times New Roman" w:hAnsi="Times New Roman" w:eastAsia="Times New Roman" w:cs="Times New Roman"/>
                <w:color w:val="auto"/>
                <w:spacing w:val="-2"/>
                <w:sz w:val="21"/>
                <w:szCs w:val="21"/>
                <w:highlight w:val="none"/>
              </w:rPr>
              <w:t xml:space="preserve">1.3.1 </w:t>
            </w:r>
            <w:r>
              <w:rPr>
                <w:rFonts w:hint="default"/>
                <w:color w:val="auto"/>
                <w:spacing w:val="-2"/>
                <w:sz w:val="21"/>
                <w:szCs w:val="21"/>
                <w:highlight w:val="none"/>
              </w:rPr>
              <w:t>项规定</w:t>
            </w:r>
          </w:p>
        </w:tc>
      </w:tr>
      <w:tr w14:paraId="22F29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3A976458">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59437D21">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B11B506">
            <w:pPr>
              <w:pStyle w:val="11"/>
              <w:spacing w:before="174" w:beforeLines="0" w:afterLines="0" w:line="221" w:lineRule="auto"/>
              <w:ind w:left="733"/>
              <w:rPr>
                <w:rFonts w:hint="default"/>
                <w:color w:val="auto"/>
                <w:sz w:val="21"/>
                <w:szCs w:val="21"/>
                <w:highlight w:val="none"/>
              </w:rPr>
            </w:pPr>
            <w:r>
              <w:rPr>
                <w:rFonts w:hint="default"/>
                <w:color w:val="auto"/>
                <w:spacing w:val="-1"/>
                <w:sz w:val="21"/>
                <w:szCs w:val="21"/>
                <w:highlight w:val="none"/>
              </w:rPr>
              <w:t>计划工期</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0E3A0C64">
            <w:pPr>
              <w:pStyle w:val="11"/>
              <w:spacing w:before="174" w:beforeLines="0" w:afterLines="0" w:line="220" w:lineRule="auto"/>
              <w:ind w:left="113"/>
              <w:rPr>
                <w:rFonts w:hint="default"/>
                <w:color w:val="auto"/>
                <w:sz w:val="21"/>
                <w:szCs w:val="21"/>
                <w:highlight w:val="none"/>
              </w:rPr>
            </w:pPr>
            <w:r>
              <w:rPr>
                <w:rFonts w:hint="default"/>
                <w:color w:val="auto"/>
                <w:spacing w:val="-2"/>
                <w:sz w:val="21"/>
                <w:szCs w:val="21"/>
                <w:highlight w:val="none"/>
              </w:rPr>
              <w:t>符合第二章“投标人须知”第</w:t>
            </w:r>
            <w:r>
              <w:rPr>
                <w:rFonts w:hint="default"/>
                <w:color w:val="auto"/>
                <w:spacing w:val="-24"/>
                <w:sz w:val="21"/>
                <w:szCs w:val="21"/>
                <w:highlight w:val="none"/>
              </w:rPr>
              <w:t xml:space="preserve"> </w:t>
            </w:r>
            <w:r>
              <w:rPr>
                <w:rFonts w:hint="eastAsia" w:ascii="Times New Roman" w:hAnsi="Times New Roman" w:eastAsia="Times New Roman" w:cs="Times New Roman"/>
                <w:color w:val="auto"/>
                <w:spacing w:val="-2"/>
                <w:sz w:val="21"/>
                <w:szCs w:val="21"/>
                <w:highlight w:val="none"/>
              </w:rPr>
              <w:t xml:space="preserve">1.3.2 </w:t>
            </w:r>
            <w:r>
              <w:rPr>
                <w:rFonts w:hint="default"/>
                <w:color w:val="auto"/>
                <w:spacing w:val="-2"/>
                <w:sz w:val="21"/>
                <w:szCs w:val="21"/>
                <w:highlight w:val="none"/>
              </w:rPr>
              <w:t>项规定</w:t>
            </w:r>
          </w:p>
        </w:tc>
      </w:tr>
      <w:tr w14:paraId="29213E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07B5F1A9">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1865E2F9">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415A6BC">
            <w:pPr>
              <w:pStyle w:val="11"/>
              <w:spacing w:before="175" w:beforeLines="0" w:afterLines="0" w:line="221" w:lineRule="auto"/>
              <w:ind w:left="736"/>
              <w:rPr>
                <w:rFonts w:hint="default"/>
                <w:color w:val="auto"/>
                <w:sz w:val="21"/>
                <w:szCs w:val="21"/>
                <w:highlight w:val="none"/>
              </w:rPr>
            </w:pPr>
            <w:r>
              <w:rPr>
                <w:rFonts w:hint="default"/>
                <w:color w:val="auto"/>
                <w:spacing w:val="-2"/>
                <w:sz w:val="21"/>
                <w:szCs w:val="21"/>
                <w:highlight w:val="none"/>
              </w:rPr>
              <w:t>工程质量</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791F322">
            <w:pPr>
              <w:pStyle w:val="11"/>
              <w:spacing w:before="175" w:beforeLines="0" w:afterLines="0" w:line="220" w:lineRule="auto"/>
              <w:ind w:left="113"/>
              <w:rPr>
                <w:rFonts w:hint="default"/>
                <w:color w:val="auto"/>
                <w:sz w:val="21"/>
                <w:szCs w:val="21"/>
                <w:highlight w:val="none"/>
              </w:rPr>
            </w:pPr>
            <w:r>
              <w:rPr>
                <w:rFonts w:hint="default"/>
                <w:color w:val="auto"/>
                <w:spacing w:val="-2"/>
                <w:sz w:val="21"/>
                <w:szCs w:val="21"/>
                <w:highlight w:val="none"/>
              </w:rPr>
              <w:t>符合第二章“投标人须知”第</w:t>
            </w:r>
            <w:r>
              <w:rPr>
                <w:rFonts w:hint="default"/>
                <w:color w:val="auto"/>
                <w:spacing w:val="-24"/>
                <w:sz w:val="21"/>
                <w:szCs w:val="21"/>
                <w:highlight w:val="none"/>
              </w:rPr>
              <w:t xml:space="preserve"> </w:t>
            </w:r>
            <w:r>
              <w:rPr>
                <w:rFonts w:hint="eastAsia" w:ascii="Times New Roman" w:hAnsi="Times New Roman" w:eastAsia="Times New Roman" w:cs="Times New Roman"/>
                <w:color w:val="auto"/>
                <w:spacing w:val="-2"/>
                <w:sz w:val="21"/>
                <w:szCs w:val="21"/>
                <w:highlight w:val="none"/>
              </w:rPr>
              <w:t xml:space="preserve">1.3.3 </w:t>
            </w:r>
            <w:r>
              <w:rPr>
                <w:rFonts w:hint="default"/>
                <w:color w:val="auto"/>
                <w:spacing w:val="-2"/>
                <w:sz w:val="21"/>
                <w:szCs w:val="21"/>
                <w:highlight w:val="none"/>
              </w:rPr>
              <w:t>项规定</w:t>
            </w:r>
          </w:p>
        </w:tc>
      </w:tr>
      <w:tr w14:paraId="5A564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1D677E28">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792A045A">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471C74B8">
            <w:pPr>
              <w:pStyle w:val="11"/>
              <w:spacing w:before="180" w:beforeLines="0" w:afterLines="0" w:line="221" w:lineRule="auto"/>
              <w:ind w:left="630"/>
              <w:rPr>
                <w:rFonts w:hint="default"/>
                <w:color w:val="auto"/>
                <w:sz w:val="21"/>
                <w:szCs w:val="21"/>
                <w:highlight w:val="none"/>
              </w:rPr>
            </w:pPr>
            <w:r>
              <w:rPr>
                <w:rFonts w:hint="default"/>
                <w:color w:val="auto"/>
                <w:spacing w:val="-1"/>
                <w:sz w:val="21"/>
                <w:szCs w:val="21"/>
                <w:highlight w:val="none"/>
              </w:rPr>
              <w:t>投标有效期</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4F28EEB5">
            <w:pPr>
              <w:pStyle w:val="11"/>
              <w:spacing w:before="179" w:beforeLines="0" w:afterLines="0" w:line="220" w:lineRule="auto"/>
              <w:ind w:left="113"/>
              <w:rPr>
                <w:rFonts w:hint="default"/>
                <w:color w:val="auto"/>
                <w:sz w:val="21"/>
                <w:szCs w:val="21"/>
                <w:highlight w:val="none"/>
              </w:rPr>
            </w:pPr>
            <w:r>
              <w:rPr>
                <w:rFonts w:hint="default"/>
                <w:color w:val="auto"/>
                <w:spacing w:val="-1"/>
                <w:sz w:val="21"/>
                <w:szCs w:val="21"/>
                <w:highlight w:val="none"/>
              </w:rPr>
              <w:t>符合第二章“投标人须知”第</w:t>
            </w:r>
            <w:r>
              <w:rPr>
                <w:rFonts w:hint="default"/>
                <w:color w:val="auto"/>
                <w:spacing w:val="-46"/>
                <w:sz w:val="21"/>
                <w:szCs w:val="21"/>
                <w:highlight w:val="none"/>
              </w:rPr>
              <w:t xml:space="preserve"> </w:t>
            </w:r>
            <w:r>
              <w:rPr>
                <w:rFonts w:hint="eastAsia" w:ascii="Times New Roman" w:hAnsi="Times New Roman" w:eastAsia="Times New Roman" w:cs="Times New Roman"/>
                <w:color w:val="auto"/>
                <w:spacing w:val="-1"/>
                <w:sz w:val="21"/>
                <w:szCs w:val="21"/>
                <w:highlight w:val="none"/>
              </w:rPr>
              <w:t xml:space="preserve">3.3.1 </w:t>
            </w:r>
            <w:r>
              <w:rPr>
                <w:rFonts w:hint="default"/>
                <w:color w:val="auto"/>
                <w:spacing w:val="-1"/>
                <w:sz w:val="21"/>
                <w:szCs w:val="21"/>
                <w:highlight w:val="none"/>
              </w:rPr>
              <w:t>项规定</w:t>
            </w:r>
          </w:p>
        </w:tc>
      </w:tr>
      <w:tr w14:paraId="0476C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5DA24415">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7D7251B4">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ACDC10E">
            <w:pPr>
              <w:pStyle w:val="11"/>
              <w:spacing w:before="176" w:beforeLines="0" w:afterLines="0" w:line="221" w:lineRule="auto"/>
              <w:ind w:left="630"/>
              <w:rPr>
                <w:rFonts w:hint="default"/>
                <w:color w:val="auto"/>
                <w:sz w:val="21"/>
                <w:szCs w:val="21"/>
                <w:highlight w:val="none"/>
              </w:rPr>
            </w:pPr>
            <w:r>
              <w:rPr>
                <w:rFonts w:hint="default"/>
                <w:color w:val="auto"/>
                <w:spacing w:val="-1"/>
                <w:sz w:val="21"/>
                <w:szCs w:val="21"/>
                <w:highlight w:val="none"/>
              </w:rPr>
              <w:t>投标保证金</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43FF41E">
            <w:pPr>
              <w:pStyle w:val="11"/>
              <w:spacing w:before="176" w:beforeLines="0" w:afterLines="0" w:line="220" w:lineRule="auto"/>
              <w:ind w:left="113"/>
              <w:rPr>
                <w:rFonts w:hint="default"/>
                <w:color w:val="auto"/>
                <w:sz w:val="21"/>
                <w:szCs w:val="21"/>
                <w:highlight w:val="none"/>
              </w:rPr>
            </w:pPr>
            <w:r>
              <w:rPr>
                <w:rFonts w:hint="default"/>
                <w:color w:val="auto"/>
                <w:spacing w:val="-1"/>
                <w:sz w:val="21"/>
                <w:szCs w:val="21"/>
                <w:highlight w:val="none"/>
              </w:rPr>
              <w:t>符合第二章“投标人须知”第</w:t>
            </w:r>
            <w:r>
              <w:rPr>
                <w:rFonts w:hint="default"/>
                <w:color w:val="auto"/>
                <w:spacing w:val="-46"/>
                <w:sz w:val="21"/>
                <w:szCs w:val="21"/>
                <w:highlight w:val="none"/>
              </w:rPr>
              <w:t xml:space="preserve"> </w:t>
            </w:r>
            <w:r>
              <w:rPr>
                <w:rFonts w:hint="eastAsia" w:ascii="Times New Roman" w:hAnsi="Times New Roman" w:eastAsia="Times New Roman" w:cs="Times New Roman"/>
                <w:color w:val="auto"/>
                <w:spacing w:val="-1"/>
                <w:sz w:val="21"/>
                <w:szCs w:val="21"/>
                <w:highlight w:val="none"/>
              </w:rPr>
              <w:t xml:space="preserve">3.4.1 </w:t>
            </w:r>
            <w:r>
              <w:rPr>
                <w:rFonts w:hint="default"/>
                <w:color w:val="auto"/>
                <w:spacing w:val="-1"/>
                <w:sz w:val="21"/>
                <w:szCs w:val="21"/>
                <w:highlight w:val="none"/>
              </w:rPr>
              <w:t>项规定</w:t>
            </w:r>
          </w:p>
        </w:tc>
      </w:tr>
      <w:tr w14:paraId="6C8C0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64353BEB">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6D2FCBF7">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8606FFA">
            <w:pPr>
              <w:spacing w:beforeLines="0" w:afterLines="0" w:line="297" w:lineRule="auto"/>
              <w:rPr>
                <w:rFonts w:hint="default"/>
                <w:color w:val="auto"/>
                <w:sz w:val="21"/>
                <w:szCs w:val="21"/>
                <w:highlight w:val="none"/>
              </w:rPr>
            </w:pPr>
          </w:p>
          <w:p w14:paraId="65669D0A">
            <w:pPr>
              <w:pStyle w:val="11"/>
              <w:spacing w:before="68" w:beforeLines="0" w:afterLines="0" w:line="221" w:lineRule="auto"/>
              <w:ind w:left="733"/>
              <w:rPr>
                <w:rFonts w:hint="default"/>
                <w:color w:val="auto"/>
                <w:sz w:val="21"/>
                <w:szCs w:val="21"/>
                <w:highlight w:val="none"/>
              </w:rPr>
            </w:pPr>
            <w:r>
              <w:rPr>
                <w:rFonts w:hint="default"/>
                <w:color w:val="auto"/>
                <w:spacing w:val="-1"/>
                <w:sz w:val="21"/>
                <w:szCs w:val="21"/>
                <w:highlight w:val="none"/>
              </w:rPr>
              <w:t>权利义务</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751BF75">
            <w:pPr>
              <w:pStyle w:val="11"/>
              <w:spacing w:before="156" w:beforeLines="0" w:afterLines="0" w:line="422" w:lineRule="exact"/>
              <w:ind w:left="114"/>
              <w:rPr>
                <w:rFonts w:hint="default"/>
                <w:color w:val="auto"/>
                <w:sz w:val="21"/>
                <w:szCs w:val="21"/>
                <w:highlight w:val="none"/>
              </w:rPr>
            </w:pPr>
            <w:r>
              <w:rPr>
                <w:rFonts w:hint="default"/>
                <w:color w:val="auto"/>
                <w:spacing w:val="7"/>
                <w:position w:val="16"/>
                <w:sz w:val="21"/>
                <w:szCs w:val="21"/>
                <w:highlight w:val="none"/>
              </w:rPr>
              <w:t>投标函附录中的相关承诺符合或优于第四章“合</w:t>
            </w:r>
          </w:p>
          <w:p w14:paraId="4224FF6E">
            <w:pPr>
              <w:pStyle w:val="11"/>
              <w:spacing w:beforeLines="0" w:afterLines="0" w:line="220" w:lineRule="auto"/>
              <w:ind w:left="132"/>
              <w:rPr>
                <w:rFonts w:hint="default"/>
                <w:color w:val="auto"/>
                <w:sz w:val="21"/>
                <w:szCs w:val="21"/>
                <w:highlight w:val="none"/>
              </w:rPr>
            </w:pPr>
            <w:r>
              <w:rPr>
                <w:rFonts w:hint="default"/>
                <w:color w:val="auto"/>
                <w:spacing w:val="-2"/>
                <w:sz w:val="21"/>
                <w:szCs w:val="21"/>
                <w:highlight w:val="none"/>
              </w:rPr>
              <w:t>同条款及格式”的相关规定</w:t>
            </w:r>
          </w:p>
        </w:tc>
      </w:tr>
      <w:tr w14:paraId="7BCC8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5D30735C">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12AEF55C">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F387415">
            <w:pPr>
              <w:pStyle w:val="11"/>
              <w:spacing w:before="199" w:beforeLines="0" w:afterLines="0" w:line="221" w:lineRule="auto"/>
              <w:ind w:left="418"/>
              <w:rPr>
                <w:rFonts w:hint="default"/>
                <w:color w:val="auto"/>
                <w:sz w:val="21"/>
                <w:szCs w:val="21"/>
                <w:highlight w:val="none"/>
              </w:rPr>
            </w:pPr>
            <w:r>
              <w:rPr>
                <w:rFonts w:hint="default"/>
                <w:color w:val="auto"/>
                <w:spacing w:val="-1"/>
                <w:sz w:val="21"/>
                <w:szCs w:val="21"/>
                <w:highlight w:val="none"/>
              </w:rPr>
              <w:t>技术标准和要求</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35795BF">
            <w:pPr>
              <w:pStyle w:val="11"/>
              <w:spacing w:before="200" w:beforeLines="0" w:afterLines="0" w:line="220" w:lineRule="auto"/>
              <w:ind w:left="113"/>
              <w:rPr>
                <w:rFonts w:hint="default"/>
                <w:color w:val="auto"/>
                <w:sz w:val="21"/>
                <w:szCs w:val="21"/>
                <w:highlight w:val="none"/>
              </w:rPr>
            </w:pPr>
            <w:r>
              <w:rPr>
                <w:rFonts w:hint="default"/>
                <w:color w:val="auto"/>
                <w:spacing w:val="-1"/>
                <w:sz w:val="21"/>
                <w:szCs w:val="21"/>
                <w:highlight w:val="none"/>
              </w:rPr>
              <w:t>符合第七章“技术标准和要求”规定</w:t>
            </w:r>
          </w:p>
        </w:tc>
      </w:tr>
      <w:tr w14:paraId="58B42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45"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0694AC3E">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529FDB2B">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7F02783">
            <w:pPr>
              <w:spacing w:beforeLines="0" w:afterLines="0" w:line="298" w:lineRule="auto"/>
              <w:rPr>
                <w:rFonts w:hint="default"/>
                <w:color w:val="auto"/>
                <w:sz w:val="21"/>
                <w:szCs w:val="21"/>
                <w:highlight w:val="none"/>
              </w:rPr>
            </w:pPr>
          </w:p>
          <w:p w14:paraId="4143D94F">
            <w:pPr>
              <w:pStyle w:val="11"/>
              <w:spacing w:before="69" w:beforeLines="0" w:afterLines="0" w:line="221" w:lineRule="auto"/>
              <w:ind w:left="736"/>
              <w:rPr>
                <w:rFonts w:hint="default"/>
                <w:color w:val="auto"/>
                <w:sz w:val="21"/>
                <w:szCs w:val="21"/>
                <w:highlight w:val="none"/>
              </w:rPr>
            </w:pPr>
            <w:r>
              <w:rPr>
                <w:rFonts w:hint="default"/>
                <w:color w:val="auto"/>
                <w:spacing w:val="-2"/>
                <w:sz w:val="21"/>
                <w:szCs w:val="21"/>
                <w:highlight w:val="none"/>
              </w:rPr>
              <w:t>分包计划</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0FB6E281">
            <w:pPr>
              <w:pStyle w:val="11"/>
              <w:spacing w:before="162" w:beforeLines="0" w:afterLines="0" w:line="417" w:lineRule="exact"/>
              <w:ind w:left="113"/>
              <w:rPr>
                <w:rFonts w:hint="default"/>
                <w:color w:val="auto"/>
                <w:sz w:val="21"/>
                <w:szCs w:val="21"/>
                <w:highlight w:val="none"/>
              </w:rPr>
            </w:pPr>
            <w:r>
              <w:rPr>
                <w:rFonts w:hint="default"/>
                <w:color w:val="auto"/>
                <w:spacing w:val="5"/>
                <w:position w:val="15"/>
                <w:sz w:val="21"/>
                <w:szCs w:val="21"/>
                <w:highlight w:val="none"/>
              </w:rPr>
              <w:t>符合第二章“投标人须知”第</w:t>
            </w:r>
            <w:r>
              <w:rPr>
                <w:rFonts w:hint="default"/>
                <w:color w:val="auto"/>
                <w:spacing w:val="43"/>
                <w:position w:val="15"/>
                <w:sz w:val="21"/>
                <w:szCs w:val="21"/>
                <w:highlight w:val="none"/>
              </w:rPr>
              <w:t xml:space="preserve"> </w:t>
            </w:r>
            <w:r>
              <w:rPr>
                <w:rFonts w:hint="default"/>
                <w:color w:val="auto"/>
                <w:spacing w:val="5"/>
                <w:position w:val="15"/>
                <w:sz w:val="21"/>
                <w:szCs w:val="21"/>
                <w:highlight w:val="none"/>
              </w:rPr>
              <w:t>1.11 款规定（如</w:t>
            </w:r>
          </w:p>
          <w:p w14:paraId="624D33E8">
            <w:pPr>
              <w:pStyle w:val="11"/>
              <w:spacing w:beforeLines="0" w:afterLines="0" w:line="221" w:lineRule="auto"/>
              <w:ind w:left="112"/>
              <w:rPr>
                <w:rFonts w:hint="default"/>
                <w:color w:val="auto"/>
                <w:sz w:val="21"/>
                <w:szCs w:val="21"/>
                <w:highlight w:val="none"/>
              </w:rPr>
            </w:pPr>
            <w:r>
              <w:rPr>
                <w:rFonts w:hint="default"/>
                <w:color w:val="auto"/>
                <w:spacing w:val="-6"/>
                <w:sz w:val="21"/>
                <w:szCs w:val="21"/>
                <w:highlight w:val="none"/>
              </w:rPr>
              <w:t>有）</w:t>
            </w:r>
          </w:p>
        </w:tc>
      </w:tr>
      <w:tr w14:paraId="434C1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5089B508">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314D6B9A">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5E9EF5A">
            <w:pPr>
              <w:pStyle w:val="11"/>
              <w:spacing w:before="199" w:beforeLines="0" w:afterLines="0" w:line="221" w:lineRule="auto"/>
              <w:ind w:left="524"/>
              <w:rPr>
                <w:rFonts w:hint="default"/>
                <w:color w:val="auto"/>
                <w:sz w:val="21"/>
                <w:szCs w:val="21"/>
                <w:highlight w:val="none"/>
              </w:rPr>
            </w:pPr>
            <w:r>
              <w:rPr>
                <w:rFonts w:hint="default"/>
                <w:color w:val="auto"/>
                <w:spacing w:val="-1"/>
                <w:sz w:val="21"/>
                <w:szCs w:val="21"/>
                <w:highlight w:val="none"/>
              </w:rPr>
              <w:t>算术错误修正</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6E2F33F">
            <w:pPr>
              <w:pStyle w:val="11"/>
              <w:spacing w:before="200" w:beforeLines="0" w:afterLines="0" w:line="219" w:lineRule="auto"/>
              <w:ind w:left="114"/>
              <w:rPr>
                <w:rFonts w:hint="default"/>
                <w:color w:val="auto"/>
                <w:sz w:val="21"/>
                <w:szCs w:val="21"/>
                <w:highlight w:val="none"/>
              </w:rPr>
            </w:pPr>
            <w:r>
              <w:rPr>
                <w:rFonts w:hint="default"/>
                <w:color w:val="auto"/>
                <w:spacing w:val="-1"/>
                <w:sz w:val="21"/>
                <w:szCs w:val="21"/>
                <w:highlight w:val="none"/>
              </w:rPr>
              <w:t>投标人接受算术错误修正后的报价</w:t>
            </w:r>
          </w:p>
        </w:tc>
      </w:tr>
      <w:tr w14:paraId="4CABD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7B190649">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5D256FD0">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DA17525">
            <w:pPr>
              <w:spacing w:beforeLines="0" w:afterLines="0" w:line="302" w:lineRule="auto"/>
              <w:rPr>
                <w:rFonts w:hint="default"/>
                <w:color w:val="auto"/>
                <w:sz w:val="21"/>
                <w:szCs w:val="21"/>
                <w:highlight w:val="none"/>
              </w:rPr>
            </w:pPr>
          </w:p>
          <w:p w14:paraId="437A4401">
            <w:pPr>
              <w:pStyle w:val="11"/>
              <w:spacing w:before="69" w:beforeLines="0" w:afterLines="0" w:line="219" w:lineRule="auto"/>
              <w:ind w:left="736"/>
              <w:rPr>
                <w:rFonts w:hint="default"/>
                <w:color w:val="auto"/>
                <w:sz w:val="21"/>
                <w:szCs w:val="21"/>
                <w:highlight w:val="none"/>
              </w:rPr>
            </w:pPr>
            <w:r>
              <w:rPr>
                <w:rFonts w:hint="default"/>
                <w:color w:val="auto"/>
                <w:spacing w:val="-2"/>
                <w:sz w:val="21"/>
                <w:szCs w:val="21"/>
                <w:highlight w:val="none"/>
              </w:rPr>
              <w:t>投标价格</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757BB94">
            <w:pPr>
              <w:pStyle w:val="11"/>
              <w:spacing w:before="161" w:beforeLines="0" w:afterLines="0" w:line="423" w:lineRule="exact"/>
              <w:ind w:left="114"/>
              <w:rPr>
                <w:rFonts w:hint="default"/>
                <w:color w:val="auto"/>
                <w:sz w:val="21"/>
                <w:szCs w:val="21"/>
                <w:highlight w:val="none"/>
              </w:rPr>
            </w:pPr>
            <w:r>
              <w:rPr>
                <w:rFonts w:hint="default"/>
                <w:color w:val="auto"/>
                <w:spacing w:val="7"/>
                <w:position w:val="16"/>
                <w:sz w:val="21"/>
                <w:szCs w:val="21"/>
                <w:highlight w:val="none"/>
              </w:rPr>
              <w:t>投标报价（含修正后）不大于本标段最高投标限</w:t>
            </w:r>
          </w:p>
          <w:p w14:paraId="03A42BD1">
            <w:pPr>
              <w:pStyle w:val="11"/>
              <w:spacing w:beforeLines="0" w:afterLines="0" w:line="219" w:lineRule="auto"/>
              <w:ind w:left="112"/>
              <w:rPr>
                <w:rFonts w:hint="default"/>
                <w:color w:val="auto"/>
                <w:sz w:val="21"/>
                <w:szCs w:val="21"/>
                <w:highlight w:val="none"/>
              </w:rPr>
            </w:pPr>
            <w:r>
              <w:rPr>
                <w:rFonts w:hint="default"/>
                <w:color w:val="auto"/>
                <w:sz w:val="21"/>
                <w:szCs w:val="21"/>
                <w:highlight w:val="none"/>
              </w:rPr>
              <w:t>价</w:t>
            </w:r>
          </w:p>
        </w:tc>
      </w:tr>
      <w:tr w14:paraId="077974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0422615A">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76665B62">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33A58676">
            <w:pPr>
              <w:spacing w:beforeLines="0" w:afterLines="0" w:line="298" w:lineRule="auto"/>
              <w:rPr>
                <w:rFonts w:hint="default"/>
                <w:color w:val="auto"/>
                <w:sz w:val="21"/>
                <w:szCs w:val="21"/>
                <w:highlight w:val="none"/>
              </w:rPr>
            </w:pPr>
          </w:p>
          <w:p w14:paraId="5A5FDAB9">
            <w:pPr>
              <w:pStyle w:val="11"/>
              <w:spacing w:before="69" w:beforeLines="0" w:afterLines="0" w:line="219" w:lineRule="auto"/>
              <w:ind w:left="334"/>
              <w:rPr>
                <w:rFonts w:hint="default"/>
                <w:color w:val="auto"/>
                <w:sz w:val="21"/>
                <w:szCs w:val="21"/>
                <w:highlight w:val="none"/>
              </w:rPr>
            </w:pPr>
            <w:r>
              <w:rPr>
                <w:rFonts w:hint="default"/>
                <w:color w:val="auto"/>
                <w:spacing w:val="-4"/>
                <w:sz w:val="21"/>
                <w:szCs w:val="21"/>
                <w:highlight w:val="none"/>
              </w:rPr>
              <w:t>已标价工程量清单</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4A1BEE0">
            <w:pPr>
              <w:pStyle w:val="11"/>
              <w:spacing w:before="157" w:beforeLines="0" w:afterLines="0" w:line="422" w:lineRule="exact"/>
              <w:ind w:left="113"/>
              <w:rPr>
                <w:rFonts w:hint="default"/>
                <w:color w:val="auto"/>
                <w:sz w:val="21"/>
                <w:szCs w:val="21"/>
                <w:highlight w:val="none"/>
              </w:rPr>
            </w:pPr>
            <w:r>
              <w:rPr>
                <w:rFonts w:hint="default"/>
                <w:color w:val="auto"/>
                <w:spacing w:val="7"/>
                <w:position w:val="16"/>
                <w:sz w:val="21"/>
                <w:szCs w:val="21"/>
                <w:highlight w:val="none"/>
              </w:rPr>
              <w:t>按照招标人提供的工程量清单及其报价要求进行</w:t>
            </w:r>
          </w:p>
          <w:p w14:paraId="53860B65">
            <w:pPr>
              <w:pStyle w:val="11"/>
              <w:spacing w:beforeLines="0" w:afterLines="0" w:line="219" w:lineRule="auto"/>
              <w:ind w:left="111"/>
              <w:rPr>
                <w:rFonts w:hint="default"/>
                <w:color w:val="auto"/>
                <w:sz w:val="21"/>
                <w:szCs w:val="21"/>
                <w:highlight w:val="none"/>
              </w:rPr>
            </w:pPr>
            <w:r>
              <w:rPr>
                <w:rFonts w:hint="default"/>
                <w:color w:val="auto"/>
                <w:spacing w:val="-1"/>
                <w:sz w:val="21"/>
                <w:szCs w:val="21"/>
                <w:highlight w:val="none"/>
              </w:rPr>
              <w:t>全面准确的报价</w:t>
            </w:r>
          </w:p>
        </w:tc>
      </w:tr>
      <w:tr w14:paraId="2F037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44" w:type="dxa"/>
            <w:vMerge w:val="continue"/>
            <w:tcBorders>
              <w:top w:val="nil"/>
              <w:left w:val="single" w:color="000000" w:sz="2" w:space="0"/>
              <w:bottom w:val="single" w:color="000000" w:sz="2" w:space="0"/>
              <w:right w:val="single" w:color="000000" w:sz="2" w:space="0"/>
              <w:tl2br w:val="nil"/>
              <w:tr2bl w:val="nil"/>
            </w:tcBorders>
            <w:noWrap w:val="0"/>
            <w:vAlign w:val="top"/>
          </w:tcPr>
          <w:p w14:paraId="63B294D6">
            <w:pPr>
              <w:spacing w:beforeLines="0" w:afterLines="0"/>
              <w:rPr>
                <w:rFonts w:hint="default"/>
                <w:color w:val="auto"/>
                <w:sz w:val="21"/>
                <w:szCs w:val="21"/>
                <w:highlight w:val="none"/>
              </w:rPr>
            </w:pPr>
          </w:p>
        </w:tc>
        <w:tc>
          <w:tcPr>
            <w:tcW w:w="1099" w:type="dxa"/>
            <w:vMerge w:val="continue"/>
            <w:tcBorders>
              <w:top w:val="nil"/>
              <w:left w:val="single" w:color="000000" w:sz="2" w:space="0"/>
              <w:bottom w:val="single" w:color="000000" w:sz="2" w:space="0"/>
              <w:right w:val="single" w:color="000000" w:sz="2" w:space="0"/>
              <w:tl2br w:val="nil"/>
              <w:tr2bl w:val="nil"/>
            </w:tcBorders>
            <w:noWrap w:val="0"/>
            <w:vAlign w:val="top"/>
          </w:tcPr>
          <w:p w14:paraId="73492B68">
            <w:pPr>
              <w:spacing w:beforeLines="0" w:afterLines="0"/>
              <w:rPr>
                <w:rFonts w:hint="default"/>
                <w:color w:val="auto"/>
                <w:sz w:val="21"/>
                <w:szCs w:val="21"/>
                <w:highlight w:val="none"/>
              </w:rPr>
            </w:pPr>
          </w:p>
        </w:tc>
        <w:tc>
          <w:tcPr>
            <w:tcW w:w="230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BB51853">
            <w:pPr>
              <w:pStyle w:val="11"/>
              <w:spacing w:before="158" w:beforeLines="0" w:afterLines="0" w:line="223" w:lineRule="auto"/>
              <w:ind w:left="958"/>
              <w:rPr>
                <w:rFonts w:hint="default"/>
                <w:color w:val="auto"/>
                <w:sz w:val="21"/>
                <w:szCs w:val="21"/>
                <w:highlight w:val="none"/>
              </w:rPr>
            </w:pPr>
            <w:r>
              <w:rPr>
                <w:rFonts w:hint="default"/>
                <w:color w:val="auto"/>
                <w:spacing w:val="-5"/>
                <w:sz w:val="21"/>
                <w:szCs w:val="21"/>
                <w:highlight w:val="none"/>
              </w:rPr>
              <w:t>……</w:t>
            </w:r>
          </w:p>
        </w:tc>
        <w:tc>
          <w:tcPr>
            <w:tcW w:w="479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31C8F297">
            <w:pPr>
              <w:pStyle w:val="11"/>
              <w:spacing w:before="158" w:beforeLines="0" w:afterLines="0" w:line="223" w:lineRule="auto"/>
              <w:ind w:left="125"/>
              <w:rPr>
                <w:rFonts w:hint="default"/>
                <w:color w:val="auto"/>
                <w:sz w:val="21"/>
                <w:szCs w:val="21"/>
                <w:highlight w:val="none"/>
              </w:rPr>
            </w:pPr>
            <w:r>
              <w:rPr>
                <w:rFonts w:hint="default"/>
                <w:color w:val="auto"/>
                <w:spacing w:val="-5"/>
                <w:sz w:val="21"/>
                <w:szCs w:val="21"/>
                <w:highlight w:val="none"/>
              </w:rPr>
              <w:t>……</w:t>
            </w:r>
          </w:p>
        </w:tc>
      </w:tr>
      <w:tr w14:paraId="0C9B7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7" w:hRule="atLeast"/>
        </w:trPr>
        <w:tc>
          <w:tcPr>
            <w:tcW w:w="1843" w:type="dxa"/>
            <w:gridSpan w:val="2"/>
            <w:tcBorders>
              <w:top w:val="single" w:color="000000" w:sz="2" w:space="0"/>
              <w:left w:val="single" w:color="000000" w:sz="2" w:space="0"/>
              <w:bottom w:val="single" w:color="000000" w:sz="2" w:space="0"/>
              <w:right w:val="single" w:color="000000" w:sz="2" w:space="0"/>
              <w:tl2br w:val="nil"/>
              <w:tr2bl w:val="nil"/>
            </w:tcBorders>
            <w:noWrap w:val="0"/>
            <w:vAlign w:val="top"/>
          </w:tcPr>
          <w:p w14:paraId="2D95147A">
            <w:pPr>
              <w:spacing w:beforeLines="0" w:afterLines="0" w:line="277" w:lineRule="auto"/>
              <w:rPr>
                <w:rFonts w:hint="default"/>
                <w:color w:val="auto"/>
                <w:sz w:val="21"/>
                <w:szCs w:val="21"/>
                <w:highlight w:val="none"/>
              </w:rPr>
            </w:pPr>
          </w:p>
          <w:p w14:paraId="0709909C">
            <w:pPr>
              <w:spacing w:beforeLines="0" w:afterLines="0" w:line="277" w:lineRule="auto"/>
              <w:rPr>
                <w:rFonts w:hint="default"/>
                <w:color w:val="auto"/>
                <w:sz w:val="21"/>
                <w:szCs w:val="21"/>
                <w:highlight w:val="none"/>
              </w:rPr>
            </w:pPr>
          </w:p>
          <w:p w14:paraId="5612F258">
            <w:pPr>
              <w:spacing w:before="60" w:beforeLines="0" w:afterLines="0" w:line="189" w:lineRule="auto"/>
              <w:ind w:left="714"/>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pacing w:val="-2"/>
                <w:sz w:val="21"/>
                <w:szCs w:val="21"/>
                <w:highlight w:val="none"/>
              </w:rPr>
              <w:t>3.1.2</w:t>
            </w:r>
          </w:p>
        </w:tc>
        <w:tc>
          <w:tcPr>
            <w:tcW w:w="7097" w:type="dxa"/>
            <w:gridSpan w:val="2"/>
            <w:tcBorders>
              <w:top w:val="single" w:color="000000" w:sz="2" w:space="0"/>
              <w:left w:val="single" w:color="000000" w:sz="2" w:space="0"/>
              <w:bottom w:val="single" w:color="000000" w:sz="2" w:space="0"/>
              <w:right w:val="single" w:color="000000" w:sz="2" w:space="0"/>
              <w:tl2br w:val="nil"/>
              <w:tr2bl w:val="nil"/>
            </w:tcBorders>
            <w:noWrap w:val="0"/>
            <w:vAlign w:val="top"/>
          </w:tcPr>
          <w:p w14:paraId="79652235">
            <w:pPr>
              <w:pStyle w:val="11"/>
              <w:spacing w:before="163" w:beforeLines="0" w:afterLines="0" w:line="221" w:lineRule="auto"/>
              <w:ind w:left="112"/>
              <w:rPr>
                <w:rFonts w:hint="default"/>
                <w:color w:val="auto"/>
                <w:sz w:val="21"/>
                <w:szCs w:val="21"/>
                <w:highlight w:val="none"/>
              </w:rPr>
            </w:pPr>
            <w:r>
              <w:rPr>
                <w:rFonts w:hint="default"/>
                <w:color w:val="auto"/>
                <w:spacing w:val="-4"/>
                <w:sz w:val="21"/>
                <w:szCs w:val="21"/>
                <w:highlight w:val="none"/>
              </w:rPr>
              <w:t>投标人不得存在的其他情形：</w:t>
            </w:r>
          </w:p>
          <w:p w14:paraId="38F03640">
            <w:pPr>
              <w:pStyle w:val="11"/>
              <w:spacing w:before="166" w:beforeLines="0" w:afterLines="0" w:line="220" w:lineRule="auto"/>
              <w:ind w:left="116"/>
              <w:rPr>
                <w:rFonts w:hint="default"/>
                <w:color w:val="auto"/>
                <w:sz w:val="21"/>
                <w:szCs w:val="21"/>
                <w:highlight w:val="none"/>
              </w:rPr>
            </w:pPr>
            <w:r>
              <w:rPr>
                <w:rFonts w:hint="default"/>
                <w:color w:val="auto"/>
                <w:spacing w:val="-3"/>
                <w:sz w:val="21"/>
                <w:szCs w:val="21"/>
                <w:highlight w:val="none"/>
              </w:rPr>
              <w:t>（1）不按评标委员会要求澄清、说明或补正；</w:t>
            </w:r>
          </w:p>
          <w:p w14:paraId="4EBE06EA">
            <w:pPr>
              <w:pStyle w:val="11"/>
              <w:spacing w:before="172" w:beforeLines="0" w:afterLines="0" w:line="220" w:lineRule="auto"/>
              <w:ind w:left="116"/>
              <w:rPr>
                <w:rFonts w:hint="default"/>
                <w:color w:val="auto"/>
                <w:sz w:val="21"/>
                <w:szCs w:val="21"/>
                <w:highlight w:val="none"/>
              </w:rPr>
            </w:pPr>
            <w:r>
              <w:rPr>
                <w:rFonts w:hint="default"/>
                <w:color w:val="auto"/>
                <w:spacing w:val="-1"/>
                <w:sz w:val="21"/>
                <w:szCs w:val="21"/>
                <w:highlight w:val="none"/>
              </w:rPr>
              <w:t>（2）有串通投标、弄虚作假、行贿或有其他</w:t>
            </w:r>
            <w:r>
              <w:rPr>
                <w:rFonts w:hint="default"/>
                <w:color w:val="auto"/>
                <w:spacing w:val="-2"/>
                <w:sz w:val="21"/>
                <w:szCs w:val="21"/>
                <w:highlight w:val="none"/>
              </w:rPr>
              <w:t>违法行为。</w:t>
            </w:r>
          </w:p>
        </w:tc>
      </w:tr>
      <w:tr w14:paraId="1C9AB4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9" w:hRule="atLeast"/>
        </w:trPr>
        <w:tc>
          <w:tcPr>
            <w:tcW w:w="1843" w:type="dxa"/>
            <w:gridSpan w:val="2"/>
            <w:tcBorders>
              <w:top w:val="single" w:color="000000" w:sz="2" w:space="0"/>
              <w:left w:val="single" w:color="000000" w:sz="2" w:space="0"/>
              <w:bottom w:val="single" w:color="000000" w:sz="2" w:space="0"/>
              <w:right w:val="single" w:color="000000" w:sz="2" w:space="0"/>
              <w:tl2br w:val="nil"/>
              <w:tr2bl w:val="nil"/>
            </w:tcBorders>
            <w:noWrap w:val="0"/>
            <w:vAlign w:val="top"/>
          </w:tcPr>
          <w:p w14:paraId="2A3AF0D2">
            <w:pPr>
              <w:spacing w:beforeLines="0" w:afterLines="0" w:line="294" w:lineRule="auto"/>
              <w:rPr>
                <w:rFonts w:hint="default"/>
                <w:color w:val="auto"/>
                <w:sz w:val="21"/>
                <w:szCs w:val="21"/>
                <w:highlight w:val="none"/>
              </w:rPr>
            </w:pPr>
          </w:p>
          <w:p w14:paraId="48E130A5">
            <w:pPr>
              <w:spacing w:beforeLines="0" w:afterLines="0" w:line="295" w:lineRule="auto"/>
              <w:rPr>
                <w:rFonts w:hint="default"/>
                <w:color w:val="auto"/>
                <w:sz w:val="21"/>
                <w:szCs w:val="21"/>
                <w:highlight w:val="none"/>
              </w:rPr>
            </w:pPr>
          </w:p>
          <w:p w14:paraId="375225F6">
            <w:pPr>
              <w:spacing w:beforeLines="0" w:afterLines="0" w:line="295" w:lineRule="auto"/>
              <w:rPr>
                <w:rFonts w:hint="default"/>
                <w:color w:val="auto"/>
                <w:sz w:val="21"/>
                <w:szCs w:val="21"/>
                <w:highlight w:val="none"/>
              </w:rPr>
            </w:pPr>
          </w:p>
          <w:p w14:paraId="0B122F31">
            <w:pPr>
              <w:spacing w:beforeLines="0" w:afterLines="0" w:line="295" w:lineRule="auto"/>
              <w:rPr>
                <w:rFonts w:hint="default"/>
                <w:color w:val="auto"/>
                <w:sz w:val="21"/>
                <w:szCs w:val="21"/>
                <w:highlight w:val="none"/>
              </w:rPr>
            </w:pPr>
          </w:p>
          <w:p w14:paraId="484A4FA7">
            <w:pPr>
              <w:spacing w:before="60" w:beforeLines="0" w:afterLines="0" w:line="189" w:lineRule="auto"/>
              <w:ind w:left="714"/>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pacing w:val="-2"/>
                <w:sz w:val="21"/>
                <w:szCs w:val="21"/>
                <w:highlight w:val="none"/>
              </w:rPr>
              <w:t>3.1.4</w:t>
            </w:r>
          </w:p>
        </w:tc>
        <w:tc>
          <w:tcPr>
            <w:tcW w:w="7097" w:type="dxa"/>
            <w:gridSpan w:val="2"/>
            <w:tcBorders>
              <w:top w:val="single" w:color="000000" w:sz="2" w:space="0"/>
              <w:left w:val="single" w:color="000000" w:sz="2" w:space="0"/>
              <w:bottom w:val="single" w:color="000000" w:sz="2" w:space="0"/>
              <w:right w:val="single" w:color="000000" w:sz="2" w:space="0"/>
              <w:tl2br w:val="nil"/>
              <w:tr2bl w:val="nil"/>
            </w:tcBorders>
            <w:noWrap w:val="0"/>
            <w:vAlign w:val="top"/>
          </w:tcPr>
          <w:p w14:paraId="2A05F3A8">
            <w:pPr>
              <w:pStyle w:val="11"/>
              <w:spacing w:before="159" w:beforeLines="0" w:afterLines="0" w:line="219" w:lineRule="auto"/>
              <w:ind w:left="110"/>
              <w:rPr>
                <w:rFonts w:hint="default"/>
                <w:color w:val="auto"/>
                <w:sz w:val="21"/>
                <w:szCs w:val="21"/>
                <w:highlight w:val="none"/>
              </w:rPr>
            </w:pPr>
            <w:r>
              <w:rPr>
                <w:rFonts w:hint="default"/>
                <w:color w:val="auto"/>
                <w:spacing w:val="-1"/>
                <w:sz w:val="21"/>
                <w:szCs w:val="21"/>
                <w:highlight w:val="none"/>
              </w:rPr>
              <w:t>合理最低价：</w:t>
            </w:r>
          </w:p>
          <w:p w14:paraId="7F6F0659">
            <w:pPr>
              <w:pStyle w:val="11"/>
              <w:spacing w:before="173" w:beforeLines="0" w:afterLines="0" w:line="219" w:lineRule="auto"/>
              <w:ind w:left="116"/>
              <w:rPr>
                <w:rFonts w:hint="default"/>
                <w:color w:val="auto"/>
                <w:sz w:val="21"/>
                <w:szCs w:val="21"/>
                <w:highlight w:val="none"/>
              </w:rPr>
            </w:pPr>
            <w:r>
              <w:rPr>
                <w:rFonts w:hint="default"/>
                <w:color w:val="auto"/>
                <w:spacing w:val="-1"/>
                <w:sz w:val="21"/>
                <w:szCs w:val="21"/>
                <w:highlight w:val="none"/>
              </w:rPr>
              <w:t>（1）合同方式：</w:t>
            </w:r>
            <w:r>
              <w:rPr>
                <w:rFonts w:hint="default"/>
                <w:color w:val="auto"/>
                <w:spacing w:val="-1"/>
                <w:sz w:val="21"/>
                <w:szCs w:val="21"/>
                <w:highlight w:val="none"/>
              </w:rPr>
              <w:sym w:font="Wingdings 2" w:char="0052"/>
            </w:r>
            <w:r>
              <w:rPr>
                <w:rFonts w:hint="default"/>
                <w:color w:val="auto"/>
                <w:spacing w:val="-1"/>
                <w:sz w:val="21"/>
                <w:szCs w:val="21"/>
                <w:highlight w:val="none"/>
              </w:rPr>
              <w:t>固定单价合同   □固定总价合同</w:t>
            </w:r>
          </w:p>
          <w:p w14:paraId="3FE72840">
            <w:pPr>
              <w:pStyle w:val="11"/>
              <w:spacing w:before="168" w:beforeLines="0" w:afterLines="0" w:line="423" w:lineRule="exact"/>
              <w:ind w:left="116"/>
              <w:rPr>
                <w:rFonts w:hint="default"/>
                <w:color w:val="auto"/>
                <w:sz w:val="21"/>
                <w:szCs w:val="21"/>
                <w:highlight w:val="none"/>
              </w:rPr>
            </w:pPr>
            <w:r>
              <w:rPr>
                <w:rFonts w:hint="default"/>
                <w:color w:val="auto"/>
                <w:spacing w:val="-2"/>
                <w:position w:val="16"/>
                <w:sz w:val="21"/>
                <w:szCs w:val="21"/>
                <w:highlight w:val="none"/>
              </w:rPr>
              <w:t>（2）计算方法：依据辽住建发【2020】4</w:t>
            </w:r>
            <w:r>
              <w:rPr>
                <w:rFonts w:hint="default"/>
                <w:color w:val="auto"/>
                <w:spacing w:val="-27"/>
                <w:position w:val="16"/>
                <w:sz w:val="21"/>
                <w:szCs w:val="21"/>
                <w:highlight w:val="none"/>
              </w:rPr>
              <w:t xml:space="preserve"> </w:t>
            </w:r>
            <w:r>
              <w:rPr>
                <w:rFonts w:hint="default"/>
                <w:color w:val="auto"/>
                <w:spacing w:val="-2"/>
                <w:position w:val="16"/>
                <w:sz w:val="21"/>
                <w:szCs w:val="21"/>
                <w:highlight w:val="none"/>
              </w:rPr>
              <w:t>号文件第十七条。</w:t>
            </w:r>
          </w:p>
          <w:p w14:paraId="5894E993">
            <w:pPr>
              <w:pStyle w:val="11"/>
              <w:spacing w:beforeLines="0" w:afterLines="0" w:line="222" w:lineRule="auto"/>
              <w:ind w:left="116"/>
              <w:rPr>
                <w:rFonts w:hint="default"/>
                <w:color w:val="auto"/>
                <w:sz w:val="21"/>
                <w:szCs w:val="21"/>
                <w:highlight w:val="none"/>
              </w:rPr>
            </w:pPr>
            <w:r>
              <w:rPr>
                <w:rFonts w:hint="default"/>
                <w:color w:val="auto"/>
                <w:spacing w:val="-10"/>
                <w:sz w:val="21"/>
                <w:szCs w:val="21"/>
                <w:highlight w:val="none"/>
              </w:rPr>
              <w:t>（3）下浮比例：</w:t>
            </w:r>
            <w:r>
              <w:rPr>
                <w:rFonts w:hint="default"/>
                <w:color w:val="auto"/>
                <w:spacing w:val="-18"/>
                <w:sz w:val="21"/>
                <w:szCs w:val="21"/>
                <w:highlight w:val="none"/>
              </w:rPr>
              <w:t xml:space="preserve"> </w:t>
            </w:r>
            <w:r>
              <w:rPr>
                <w:rFonts w:hint="default"/>
                <w:color w:val="auto"/>
                <w:sz w:val="21"/>
                <w:szCs w:val="21"/>
                <w:highlight w:val="none"/>
                <w:u w:val="single" w:color="auto"/>
              </w:rPr>
              <w:t xml:space="preserve">  </w:t>
            </w:r>
            <w:r>
              <w:rPr>
                <w:rFonts w:hint="default"/>
                <w:color w:val="auto"/>
                <w:sz w:val="21"/>
                <w:szCs w:val="21"/>
                <w:highlight w:val="none"/>
                <w:u w:val="single" w:color="auto"/>
                <w:lang w:eastAsia="zh-CN"/>
              </w:rPr>
              <w:t>0</w:t>
            </w:r>
            <w:r>
              <w:rPr>
                <w:rFonts w:hint="default"/>
                <w:color w:val="auto"/>
                <w:sz w:val="21"/>
                <w:szCs w:val="21"/>
                <w:highlight w:val="none"/>
                <w:u w:val="single" w:color="auto"/>
              </w:rPr>
              <w:t xml:space="preserve">   </w:t>
            </w:r>
            <w:r>
              <w:rPr>
                <w:rFonts w:hint="default"/>
                <w:color w:val="auto"/>
                <w:spacing w:val="-100"/>
                <w:sz w:val="21"/>
                <w:szCs w:val="21"/>
                <w:highlight w:val="none"/>
              </w:rPr>
              <w:t xml:space="preserve"> </w:t>
            </w:r>
            <w:r>
              <w:rPr>
                <w:rFonts w:hint="default"/>
                <w:color w:val="auto"/>
                <w:spacing w:val="-10"/>
                <w:sz w:val="21"/>
                <w:szCs w:val="21"/>
                <w:highlight w:val="none"/>
              </w:rPr>
              <w:t>%。</w:t>
            </w:r>
          </w:p>
          <w:p w14:paraId="77D1EAF1">
            <w:pPr>
              <w:pStyle w:val="11"/>
              <w:spacing w:beforeLines="0" w:afterLines="0" w:line="220" w:lineRule="auto"/>
              <w:rPr>
                <w:rFonts w:hint="default"/>
                <w:color w:val="auto"/>
                <w:sz w:val="21"/>
                <w:szCs w:val="21"/>
                <w:highlight w:val="none"/>
              </w:rPr>
            </w:pPr>
          </w:p>
        </w:tc>
      </w:tr>
    </w:tbl>
    <w:p w14:paraId="16F8B587">
      <w:pPr>
        <w:pStyle w:val="3"/>
        <w:spacing w:beforeLines="0" w:afterLines="0"/>
        <w:rPr>
          <w:rFonts w:hint="default"/>
          <w:color w:val="auto"/>
          <w:sz w:val="21"/>
          <w:szCs w:val="21"/>
          <w:highlight w:val="none"/>
        </w:rPr>
      </w:pPr>
    </w:p>
    <w:p w14:paraId="69A81B1D">
      <w:pPr>
        <w:spacing w:beforeLines="0" w:afterLines="0"/>
        <w:rPr>
          <w:rFonts w:hint="default"/>
          <w:color w:val="auto"/>
          <w:sz w:val="21"/>
          <w:szCs w:val="21"/>
          <w:highlight w:val="none"/>
        </w:rPr>
        <w:sectPr>
          <w:footerReference r:id="rId45" w:type="default"/>
          <w:pgSz w:w="11905" w:h="16839"/>
          <w:pgMar w:top="1431" w:right="1474" w:bottom="996" w:left="1483" w:header="0" w:footer="793" w:gutter="0"/>
          <w:lnNumType w:countBy="0" w:distance="360"/>
          <w:pgNumType w:fmt="decimal"/>
          <w:cols w:space="720" w:num="1"/>
        </w:sectPr>
      </w:pPr>
    </w:p>
    <w:p w14:paraId="43811161">
      <w:pPr>
        <w:spacing w:beforeLines="0" w:afterLines="0" w:line="95" w:lineRule="auto"/>
        <w:rPr>
          <w:rFonts w:hint="default"/>
          <w:color w:val="auto"/>
          <w:sz w:val="2"/>
          <w:szCs w:val="21"/>
          <w:highlight w:val="none"/>
        </w:rPr>
      </w:pPr>
    </w:p>
    <w:tbl>
      <w:tblPr>
        <w:tblStyle w:val="6"/>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3"/>
        <w:gridCol w:w="7097"/>
      </w:tblGrid>
      <w:tr w14:paraId="77F2E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75" w:hRule="atLeast"/>
        </w:trPr>
        <w:tc>
          <w:tcPr>
            <w:tcW w:w="184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56C79649">
            <w:pPr>
              <w:spacing w:beforeLines="0" w:afterLines="0" w:line="243" w:lineRule="auto"/>
              <w:rPr>
                <w:rFonts w:hint="default"/>
                <w:color w:val="auto"/>
                <w:sz w:val="21"/>
                <w:szCs w:val="21"/>
                <w:highlight w:val="none"/>
              </w:rPr>
            </w:pPr>
          </w:p>
          <w:p w14:paraId="47E0051A">
            <w:pPr>
              <w:spacing w:beforeLines="0" w:afterLines="0" w:line="243" w:lineRule="auto"/>
              <w:rPr>
                <w:rFonts w:hint="default"/>
                <w:color w:val="auto"/>
                <w:sz w:val="21"/>
                <w:szCs w:val="21"/>
                <w:highlight w:val="none"/>
              </w:rPr>
            </w:pPr>
          </w:p>
          <w:p w14:paraId="04B7687C">
            <w:pPr>
              <w:spacing w:beforeLines="0" w:afterLines="0" w:line="243" w:lineRule="auto"/>
              <w:rPr>
                <w:rFonts w:hint="default"/>
                <w:color w:val="auto"/>
                <w:sz w:val="21"/>
                <w:szCs w:val="21"/>
                <w:highlight w:val="none"/>
              </w:rPr>
            </w:pPr>
          </w:p>
          <w:p w14:paraId="26468A9B">
            <w:pPr>
              <w:spacing w:beforeLines="0" w:afterLines="0" w:line="243" w:lineRule="auto"/>
              <w:rPr>
                <w:rFonts w:hint="default"/>
                <w:color w:val="auto"/>
                <w:sz w:val="21"/>
                <w:szCs w:val="21"/>
                <w:highlight w:val="none"/>
              </w:rPr>
            </w:pPr>
          </w:p>
          <w:p w14:paraId="31783B7F">
            <w:pPr>
              <w:spacing w:beforeLines="0" w:afterLines="0" w:line="243" w:lineRule="auto"/>
              <w:rPr>
                <w:rFonts w:hint="default"/>
                <w:color w:val="auto"/>
                <w:sz w:val="21"/>
                <w:szCs w:val="21"/>
                <w:highlight w:val="none"/>
              </w:rPr>
            </w:pPr>
          </w:p>
          <w:p w14:paraId="03350234">
            <w:pPr>
              <w:spacing w:beforeLines="0" w:afterLines="0" w:line="243" w:lineRule="auto"/>
              <w:rPr>
                <w:rFonts w:hint="default"/>
                <w:color w:val="auto"/>
                <w:sz w:val="21"/>
                <w:szCs w:val="21"/>
                <w:highlight w:val="none"/>
              </w:rPr>
            </w:pPr>
          </w:p>
          <w:p w14:paraId="554B7E27">
            <w:pPr>
              <w:spacing w:beforeLines="0" w:afterLines="0" w:line="243" w:lineRule="auto"/>
              <w:rPr>
                <w:rFonts w:hint="default"/>
                <w:color w:val="auto"/>
                <w:sz w:val="21"/>
                <w:szCs w:val="21"/>
                <w:highlight w:val="none"/>
              </w:rPr>
            </w:pPr>
          </w:p>
          <w:p w14:paraId="4C11FC0E">
            <w:pPr>
              <w:spacing w:beforeLines="0" w:afterLines="0" w:line="243" w:lineRule="auto"/>
              <w:rPr>
                <w:rFonts w:hint="default"/>
                <w:color w:val="auto"/>
                <w:sz w:val="21"/>
                <w:szCs w:val="21"/>
                <w:highlight w:val="none"/>
              </w:rPr>
            </w:pPr>
          </w:p>
          <w:p w14:paraId="588997DA">
            <w:pPr>
              <w:spacing w:beforeLines="0" w:afterLines="0" w:line="243" w:lineRule="auto"/>
              <w:rPr>
                <w:rFonts w:hint="default"/>
                <w:color w:val="auto"/>
                <w:sz w:val="21"/>
                <w:szCs w:val="21"/>
                <w:highlight w:val="none"/>
              </w:rPr>
            </w:pPr>
          </w:p>
          <w:p w14:paraId="695BDCB5">
            <w:pPr>
              <w:spacing w:beforeLines="0" w:afterLines="0" w:line="243" w:lineRule="auto"/>
              <w:rPr>
                <w:rFonts w:hint="default"/>
                <w:color w:val="auto"/>
                <w:sz w:val="21"/>
                <w:szCs w:val="21"/>
                <w:highlight w:val="none"/>
              </w:rPr>
            </w:pPr>
          </w:p>
          <w:p w14:paraId="6868AAA0">
            <w:pPr>
              <w:spacing w:beforeLines="0" w:afterLines="0" w:line="243" w:lineRule="auto"/>
              <w:rPr>
                <w:rFonts w:hint="default"/>
                <w:color w:val="auto"/>
                <w:sz w:val="21"/>
                <w:szCs w:val="21"/>
                <w:highlight w:val="none"/>
              </w:rPr>
            </w:pPr>
          </w:p>
          <w:p w14:paraId="5EFF0A7D">
            <w:pPr>
              <w:spacing w:beforeLines="0" w:afterLines="0" w:line="243" w:lineRule="auto"/>
              <w:rPr>
                <w:rFonts w:hint="default"/>
                <w:color w:val="auto"/>
                <w:sz w:val="21"/>
                <w:szCs w:val="21"/>
                <w:highlight w:val="none"/>
              </w:rPr>
            </w:pPr>
          </w:p>
          <w:p w14:paraId="70B479C3">
            <w:pPr>
              <w:spacing w:beforeLines="0" w:afterLines="0" w:line="244" w:lineRule="auto"/>
              <w:rPr>
                <w:rFonts w:hint="default"/>
                <w:color w:val="auto"/>
                <w:sz w:val="21"/>
                <w:szCs w:val="21"/>
                <w:highlight w:val="none"/>
              </w:rPr>
            </w:pPr>
          </w:p>
          <w:p w14:paraId="2A52DE4B">
            <w:pPr>
              <w:spacing w:beforeLines="0" w:afterLines="0" w:line="244" w:lineRule="auto"/>
              <w:rPr>
                <w:rFonts w:hint="default"/>
                <w:color w:val="auto"/>
                <w:sz w:val="21"/>
                <w:szCs w:val="21"/>
                <w:highlight w:val="none"/>
              </w:rPr>
            </w:pPr>
          </w:p>
          <w:p w14:paraId="2FFA710B">
            <w:pPr>
              <w:spacing w:beforeLines="0" w:afterLines="0" w:line="244" w:lineRule="auto"/>
              <w:rPr>
                <w:rFonts w:hint="default"/>
                <w:color w:val="auto"/>
                <w:sz w:val="21"/>
                <w:szCs w:val="21"/>
                <w:highlight w:val="none"/>
              </w:rPr>
            </w:pPr>
          </w:p>
          <w:p w14:paraId="2A6A98CA">
            <w:pPr>
              <w:spacing w:beforeLines="0" w:afterLines="0" w:line="244" w:lineRule="auto"/>
              <w:rPr>
                <w:rFonts w:hint="default"/>
                <w:color w:val="auto"/>
                <w:sz w:val="21"/>
                <w:szCs w:val="21"/>
                <w:highlight w:val="none"/>
              </w:rPr>
            </w:pPr>
          </w:p>
          <w:p w14:paraId="1A38313F">
            <w:pPr>
              <w:spacing w:beforeLines="0" w:afterLines="0" w:line="244" w:lineRule="auto"/>
              <w:rPr>
                <w:rFonts w:hint="default"/>
                <w:color w:val="auto"/>
                <w:sz w:val="21"/>
                <w:szCs w:val="21"/>
                <w:highlight w:val="none"/>
              </w:rPr>
            </w:pPr>
          </w:p>
          <w:p w14:paraId="4E718637">
            <w:pPr>
              <w:spacing w:beforeLines="0" w:afterLines="0" w:line="244" w:lineRule="auto"/>
              <w:rPr>
                <w:rFonts w:hint="default"/>
                <w:color w:val="auto"/>
                <w:sz w:val="21"/>
                <w:szCs w:val="21"/>
                <w:highlight w:val="none"/>
              </w:rPr>
            </w:pPr>
          </w:p>
          <w:p w14:paraId="24005DA8">
            <w:pPr>
              <w:spacing w:beforeLines="0" w:afterLines="0" w:line="244" w:lineRule="auto"/>
              <w:rPr>
                <w:rFonts w:hint="default"/>
                <w:color w:val="auto"/>
                <w:sz w:val="21"/>
                <w:szCs w:val="21"/>
                <w:highlight w:val="none"/>
              </w:rPr>
            </w:pPr>
          </w:p>
          <w:p w14:paraId="64861DC8">
            <w:pPr>
              <w:spacing w:beforeLines="0" w:afterLines="0" w:line="244" w:lineRule="auto"/>
              <w:rPr>
                <w:rFonts w:hint="default"/>
                <w:color w:val="auto"/>
                <w:sz w:val="21"/>
                <w:szCs w:val="21"/>
                <w:highlight w:val="none"/>
              </w:rPr>
            </w:pPr>
          </w:p>
          <w:p w14:paraId="72784FEF">
            <w:pPr>
              <w:spacing w:beforeLines="0" w:afterLines="0" w:line="244" w:lineRule="auto"/>
              <w:rPr>
                <w:rFonts w:hint="default"/>
                <w:color w:val="auto"/>
                <w:sz w:val="21"/>
                <w:szCs w:val="21"/>
                <w:highlight w:val="none"/>
              </w:rPr>
            </w:pPr>
          </w:p>
          <w:p w14:paraId="1B721945">
            <w:pPr>
              <w:spacing w:beforeLines="0" w:afterLines="0" w:line="244" w:lineRule="auto"/>
              <w:rPr>
                <w:rFonts w:hint="default"/>
                <w:color w:val="auto"/>
                <w:sz w:val="21"/>
                <w:szCs w:val="21"/>
                <w:highlight w:val="none"/>
              </w:rPr>
            </w:pPr>
          </w:p>
          <w:p w14:paraId="65E74E42">
            <w:pPr>
              <w:spacing w:beforeLines="0" w:afterLines="0" w:line="244" w:lineRule="auto"/>
              <w:rPr>
                <w:rFonts w:hint="default"/>
                <w:color w:val="auto"/>
                <w:sz w:val="21"/>
                <w:szCs w:val="21"/>
                <w:highlight w:val="none"/>
              </w:rPr>
            </w:pPr>
          </w:p>
          <w:p w14:paraId="7F489CCE">
            <w:pPr>
              <w:spacing w:beforeLines="0" w:afterLines="0" w:line="244" w:lineRule="auto"/>
              <w:rPr>
                <w:rFonts w:hint="default"/>
                <w:color w:val="auto"/>
                <w:sz w:val="21"/>
                <w:szCs w:val="21"/>
                <w:highlight w:val="none"/>
              </w:rPr>
            </w:pPr>
          </w:p>
          <w:p w14:paraId="5E4AFAE0">
            <w:pPr>
              <w:spacing w:beforeLines="0" w:afterLines="0" w:line="244" w:lineRule="auto"/>
              <w:rPr>
                <w:rFonts w:hint="default"/>
                <w:color w:val="auto"/>
                <w:sz w:val="21"/>
                <w:szCs w:val="21"/>
                <w:highlight w:val="none"/>
              </w:rPr>
            </w:pPr>
          </w:p>
          <w:p w14:paraId="2CFA75D3">
            <w:pPr>
              <w:spacing w:beforeLines="0" w:afterLines="0" w:line="244" w:lineRule="auto"/>
              <w:rPr>
                <w:rFonts w:hint="default"/>
                <w:color w:val="auto"/>
                <w:sz w:val="21"/>
                <w:szCs w:val="21"/>
                <w:highlight w:val="none"/>
              </w:rPr>
            </w:pPr>
          </w:p>
          <w:p w14:paraId="193FD395">
            <w:pPr>
              <w:spacing w:beforeLines="0" w:afterLines="0" w:line="244" w:lineRule="auto"/>
              <w:rPr>
                <w:rFonts w:hint="default"/>
                <w:color w:val="auto"/>
                <w:sz w:val="21"/>
                <w:szCs w:val="21"/>
                <w:highlight w:val="none"/>
              </w:rPr>
            </w:pPr>
          </w:p>
          <w:p w14:paraId="11E240F1">
            <w:pPr>
              <w:spacing w:beforeLines="0" w:afterLines="0" w:line="244" w:lineRule="auto"/>
              <w:rPr>
                <w:rFonts w:hint="default"/>
                <w:color w:val="auto"/>
                <w:sz w:val="21"/>
                <w:szCs w:val="21"/>
                <w:highlight w:val="none"/>
              </w:rPr>
            </w:pPr>
          </w:p>
          <w:p w14:paraId="7DEBF6B0">
            <w:pPr>
              <w:spacing w:before="60" w:beforeLines="0" w:afterLines="0" w:line="189" w:lineRule="auto"/>
              <w:ind w:left="714"/>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pacing w:val="-2"/>
                <w:sz w:val="21"/>
                <w:szCs w:val="21"/>
                <w:highlight w:val="none"/>
              </w:rPr>
              <w:t>3.2.1</w:t>
            </w:r>
          </w:p>
        </w:tc>
        <w:tc>
          <w:tcPr>
            <w:tcW w:w="709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3A849D7F">
            <w:pPr>
              <w:pStyle w:val="11"/>
              <w:spacing w:before="163" w:beforeLines="0" w:afterLines="0" w:line="220" w:lineRule="auto"/>
              <w:ind w:left="116"/>
              <w:rPr>
                <w:rFonts w:hint="default"/>
                <w:color w:val="auto"/>
                <w:sz w:val="21"/>
                <w:szCs w:val="21"/>
                <w:highlight w:val="none"/>
              </w:rPr>
            </w:pPr>
            <w:bookmarkStart w:id="99" w:name="bookmark120"/>
            <w:bookmarkEnd w:id="99"/>
            <w:bookmarkStart w:id="100" w:name="bookmark119"/>
            <w:bookmarkEnd w:id="100"/>
            <w:bookmarkStart w:id="101" w:name="bookmark118"/>
            <w:bookmarkEnd w:id="101"/>
            <w:r>
              <w:rPr>
                <w:rFonts w:hint="default"/>
                <w:color w:val="auto"/>
                <w:spacing w:val="-12"/>
                <w:sz w:val="21"/>
                <w:szCs w:val="21"/>
                <w:highlight w:val="none"/>
              </w:rPr>
              <w:t>（1）是否采用入围：</w:t>
            </w:r>
            <w:r>
              <w:rPr>
                <w:rFonts w:hint="default"/>
                <w:color w:val="auto"/>
                <w:spacing w:val="37"/>
                <w:sz w:val="21"/>
                <w:szCs w:val="21"/>
                <w:highlight w:val="none"/>
              </w:rPr>
              <w:t xml:space="preserve"> </w:t>
            </w:r>
            <w:r>
              <w:rPr>
                <w:rFonts w:hint="default"/>
                <w:color w:val="auto"/>
                <w:spacing w:val="-12"/>
                <w:sz w:val="21"/>
                <w:szCs w:val="21"/>
                <w:highlight w:val="none"/>
              </w:rPr>
              <w:sym w:font="Wingdings 2" w:char="00A3"/>
            </w:r>
            <w:r>
              <w:rPr>
                <w:rFonts w:hint="default"/>
                <w:color w:val="auto"/>
                <w:spacing w:val="-12"/>
                <w:sz w:val="21"/>
                <w:szCs w:val="21"/>
                <w:highlight w:val="none"/>
              </w:rPr>
              <w:t>是</w:t>
            </w:r>
            <w:r>
              <w:rPr>
                <w:rFonts w:hint="default"/>
                <w:color w:val="auto"/>
                <w:spacing w:val="9"/>
                <w:sz w:val="21"/>
                <w:szCs w:val="21"/>
                <w:highlight w:val="none"/>
              </w:rPr>
              <w:t xml:space="preserve">   </w:t>
            </w:r>
            <w:r>
              <w:rPr>
                <w:rFonts w:hint="default"/>
                <w:color w:val="auto"/>
                <w:spacing w:val="-12"/>
                <w:sz w:val="21"/>
                <w:szCs w:val="21"/>
                <w:highlight w:val="none"/>
                <w:lang w:eastAsia="zh-CN"/>
              </w:rPr>
              <w:t>☑</w:t>
            </w:r>
            <w:r>
              <w:rPr>
                <w:rFonts w:hint="default"/>
                <w:color w:val="auto"/>
                <w:spacing w:val="-12"/>
                <w:sz w:val="21"/>
                <w:szCs w:val="21"/>
                <w:highlight w:val="none"/>
              </w:rPr>
              <w:t>否</w:t>
            </w:r>
          </w:p>
          <w:p w14:paraId="3FB109BF">
            <w:pPr>
              <w:pStyle w:val="11"/>
              <w:spacing w:before="167" w:beforeLines="0" w:afterLines="0" w:line="219" w:lineRule="auto"/>
              <w:ind w:left="116"/>
              <w:rPr>
                <w:rFonts w:hint="default"/>
                <w:color w:val="auto"/>
                <w:sz w:val="21"/>
                <w:szCs w:val="21"/>
                <w:highlight w:val="none"/>
              </w:rPr>
            </w:pPr>
            <w:r>
              <w:rPr>
                <w:rFonts w:hint="default"/>
                <w:color w:val="auto"/>
                <w:spacing w:val="-1"/>
                <w:sz w:val="21"/>
                <w:szCs w:val="21"/>
                <w:highlight w:val="none"/>
              </w:rPr>
              <w:t>（2）入围方式：</w:t>
            </w:r>
            <w:r>
              <w:rPr>
                <w:rFonts w:hint="default"/>
                <w:color w:val="auto"/>
                <w:spacing w:val="-1"/>
                <w:sz w:val="21"/>
                <w:szCs w:val="21"/>
                <w:highlight w:val="none"/>
              </w:rPr>
              <w:sym w:font="Wingdings 2" w:char="00A3"/>
            </w:r>
            <w:r>
              <w:rPr>
                <w:rFonts w:hint="default"/>
                <w:color w:val="auto"/>
                <w:spacing w:val="-1"/>
                <w:sz w:val="21"/>
                <w:szCs w:val="21"/>
                <w:highlight w:val="none"/>
              </w:rPr>
              <w:t xml:space="preserve">投标报价入围  </w:t>
            </w:r>
            <w:r>
              <w:rPr>
                <w:rFonts w:hint="default"/>
                <w:color w:val="auto"/>
                <w:spacing w:val="-1"/>
                <w:sz w:val="21"/>
                <w:szCs w:val="21"/>
                <w:highlight w:val="none"/>
              </w:rPr>
              <w:sym w:font="Wingdings 2" w:char="00A3"/>
            </w:r>
            <w:r>
              <w:rPr>
                <w:rFonts w:hint="default"/>
                <w:color w:val="auto"/>
                <w:spacing w:val="-1"/>
                <w:sz w:val="21"/>
                <w:szCs w:val="21"/>
                <w:highlight w:val="none"/>
              </w:rPr>
              <w:t>技术标</w:t>
            </w:r>
            <w:r>
              <w:rPr>
                <w:rFonts w:hint="default"/>
                <w:color w:val="auto"/>
                <w:spacing w:val="-2"/>
                <w:sz w:val="21"/>
                <w:szCs w:val="21"/>
                <w:highlight w:val="none"/>
              </w:rPr>
              <w:t>入围</w:t>
            </w:r>
            <w:r>
              <w:rPr>
                <w:rFonts w:hint="default"/>
                <w:color w:val="auto"/>
                <w:spacing w:val="9"/>
                <w:sz w:val="21"/>
                <w:szCs w:val="21"/>
                <w:highlight w:val="none"/>
              </w:rPr>
              <w:t xml:space="preserve">   </w:t>
            </w:r>
            <w:r>
              <w:rPr>
                <w:rFonts w:hint="default"/>
                <w:color w:val="auto"/>
                <w:spacing w:val="-2"/>
                <w:sz w:val="21"/>
                <w:szCs w:val="21"/>
                <w:highlight w:val="none"/>
              </w:rPr>
              <w:sym w:font="Wingdings 2" w:char="00A3"/>
            </w:r>
            <w:r>
              <w:rPr>
                <w:rFonts w:hint="default"/>
                <w:color w:val="auto"/>
                <w:spacing w:val="-2"/>
                <w:sz w:val="21"/>
                <w:szCs w:val="21"/>
                <w:highlight w:val="none"/>
              </w:rPr>
              <w:t>综合性入围</w:t>
            </w:r>
          </w:p>
          <w:p w14:paraId="6FAADEF9">
            <w:pPr>
              <w:pStyle w:val="11"/>
              <w:spacing w:before="173" w:beforeLines="0" w:afterLines="0" w:line="221" w:lineRule="auto"/>
              <w:ind w:left="116"/>
              <w:rPr>
                <w:rFonts w:hint="default"/>
                <w:color w:val="auto"/>
                <w:sz w:val="21"/>
                <w:szCs w:val="21"/>
                <w:highlight w:val="none"/>
              </w:rPr>
            </w:pPr>
            <w:r>
              <w:rPr>
                <w:rFonts w:hint="default"/>
                <w:color w:val="auto"/>
                <w:spacing w:val="-1"/>
                <w:sz w:val="21"/>
                <w:szCs w:val="21"/>
                <w:highlight w:val="none"/>
              </w:rPr>
              <w:t>（3）入围数量：共计</w:t>
            </w:r>
            <w:r>
              <w:rPr>
                <w:rFonts w:hint="default"/>
                <w:color w:val="auto"/>
                <w:spacing w:val="-1"/>
                <w:sz w:val="21"/>
                <w:szCs w:val="21"/>
                <w:highlight w:val="none"/>
                <w:u w:val="single" w:color="auto"/>
                <w:lang w:eastAsia="zh-CN"/>
              </w:rPr>
              <w:t xml:space="preserve"> </w:t>
            </w:r>
            <w:r>
              <w:rPr>
                <w:rFonts w:hint="default"/>
                <w:color w:val="auto"/>
                <w:spacing w:val="-1"/>
                <w:sz w:val="21"/>
                <w:szCs w:val="21"/>
                <w:highlight w:val="none"/>
                <w:u w:val="single" w:color="auto"/>
              </w:rPr>
              <w:t xml:space="preserve"> </w:t>
            </w:r>
            <w:r>
              <w:rPr>
                <w:rFonts w:hint="default"/>
                <w:color w:val="auto"/>
                <w:spacing w:val="-89"/>
                <w:sz w:val="21"/>
                <w:szCs w:val="21"/>
                <w:highlight w:val="none"/>
              </w:rPr>
              <w:t xml:space="preserve"> </w:t>
            </w:r>
            <w:r>
              <w:rPr>
                <w:rFonts w:hint="default"/>
                <w:color w:val="auto"/>
                <w:spacing w:val="-1"/>
                <w:sz w:val="21"/>
                <w:szCs w:val="21"/>
                <w:highlight w:val="none"/>
              </w:rPr>
              <w:t>家</w:t>
            </w:r>
          </w:p>
          <w:p w14:paraId="719CC2C8">
            <w:pPr>
              <w:pStyle w:val="11"/>
              <w:spacing w:before="167" w:beforeLines="0" w:afterLines="0" w:line="369" w:lineRule="auto"/>
              <w:ind w:left="109" w:right="106" w:firstLine="544"/>
              <w:jc w:val="both"/>
              <w:rPr>
                <w:rFonts w:hint="default"/>
                <w:color w:val="auto"/>
                <w:sz w:val="21"/>
                <w:szCs w:val="21"/>
                <w:highlight w:val="none"/>
              </w:rPr>
            </w:pPr>
            <w:r>
              <w:rPr>
                <w:rFonts w:hint="default"/>
                <w:color w:val="auto"/>
                <w:spacing w:val="-5"/>
                <w:sz w:val="21"/>
                <w:szCs w:val="21"/>
                <w:highlight w:val="none"/>
              </w:rPr>
              <w:t>□报价入围基准值以上</w:t>
            </w:r>
            <w:r>
              <w:rPr>
                <w:rFonts w:hint="default"/>
                <w:color w:val="auto"/>
                <w:spacing w:val="-104"/>
                <w:sz w:val="21"/>
                <w:szCs w:val="21"/>
                <w:highlight w:val="none"/>
              </w:rPr>
              <w:t xml:space="preserve"> </w:t>
            </w:r>
            <w:r>
              <w:rPr>
                <w:rFonts w:hint="default"/>
                <w:color w:val="auto"/>
                <w:spacing w:val="5"/>
                <w:sz w:val="21"/>
                <w:szCs w:val="21"/>
                <w:highlight w:val="none"/>
                <w:u w:val="single" w:color="auto"/>
              </w:rPr>
              <w:t xml:space="preserve"> </w:t>
            </w:r>
            <w:r>
              <w:rPr>
                <w:rFonts w:hint="default"/>
                <w:color w:val="auto"/>
                <w:spacing w:val="-94"/>
                <w:sz w:val="21"/>
                <w:szCs w:val="21"/>
                <w:highlight w:val="none"/>
              </w:rPr>
              <w:t xml:space="preserve"> </w:t>
            </w:r>
            <w:r>
              <w:rPr>
                <w:rFonts w:hint="default"/>
                <w:color w:val="auto"/>
                <w:spacing w:val="-5"/>
                <w:sz w:val="21"/>
                <w:szCs w:val="21"/>
                <w:highlight w:val="none"/>
              </w:rPr>
              <w:t>家，</w:t>
            </w:r>
            <w:r>
              <w:rPr>
                <w:rFonts w:hint="default"/>
                <w:color w:val="auto"/>
                <w:spacing w:val="-29"/>
                <w:sz w:val="21"/>
                <w:szCs w:val="21"/>
                <w:highlight w:val="none"/>
              </w:rPr>
              <w:t xml:space="preserve"> </w:t>
            </w:r>
            <w:r>
              <w:rPr>
                <w:rFonts w:hint="default"/>
                <w:color w:val="auto"/>
                <w:spacing w:val="-5"/>
                <w:sz w:val="21"/>
                <w:szCs w:val="21"/>
                <w:highlight w:val="none"/>
              </w:rPr>
              <w:t>基准值以下</w:t>
            </w:r>
            <w:r>
              <w:rPr>
                <w:rFonts w:hint="default"/>
                <w:color w:val="auto"/>
                <w:spacing w:val="-104"/>
                <w:sz w:val="21"/>
                <w:szCs w:val="21"/>
                <w:highlight w:val="none"/>
              </w:rPr>
              <w:t xml:space="preserve"> </w:t>
            </w:r>
            <w:r>
              <w:rPr>
                <w:rFonts w:hint="default"/>
                <w:color w:val="auto"/>
                <w:spacing w:val="5"/>
                <w:sz w:val="21"/>
                <w:szCs w:val="21"/>
                <w:highlight w:val="none"/>
                <w:u w:val="single" w:color="auto"/>
              </w:rPr>
              <w:t xml:space="preserve">     </w:t>
            </w:r>
            <w:r>
              <w:rPr>
                <w:rFonts w:hint="default"/>
                <w:color w:val="auto"/>
                <w:spacing w:val="-93"/>
                <w:sz w:val="21"/>
                <w:szCs w:val="21"/>
                <w:highlight w:val="none"/>
              </w:rPr>
              <w:t xml:space="preserve"> </w:t>
            </w:r>
            <w:r>
              <w:rPr>
                <w:rFonts w:hint="default"/>
                <w:color w:val="auto"/>
                <w:spacing w:val="-5"/>
                <w:sz w:val="21"/>
                <w:szCs w:val="21"/>
                <w:highlight w:val="none"/>
              </w:rPr>
              <w:t>家，投标报价等于</w:t>
            </w:r>
            <w:r>
              <w:rPr>
                <w:rFonts w:hint="default"/>
                <w:color w:val="auto"/>
                <w:sz w:val="21"/>
                <w:szCs w:val="21"/>
                <w:highlight w:val="none"/>
              </w:rPr>
              <w:t xml:space="preserve"> </w:t>
            </w:r>
            <w:r>
              <w:rPr>
                <w:rFonts w:hint="default"/>
                <w:color w:val="auto"/>
                <w:spacing w:val="5"/>
                <w:sz w:val="21"/>
                <w:szCs w:val="21"/>
                <w:highlight w:val="none"/>
              </w:rPr>
              <w:t>基准值的或最后一名报价相同的，则同时入围，若基准值上</w:t>
            </w:r>
            <w:r>
              <w:rPr>
                <w:rFonts w:hint="default"/>
                <w:color w:val="auto"/>
                <w:spacing w:val="4"/>
                <w:sz w:val="21"/>
                <w:szCs w:val="21"/>
                <w:highlight w:val="none"/>
              </w:rPr>
              <w:t>下选取数量不</w:t>
            </w:r>
          </w:p>
          <w:p w14:paraId="5A4CEB74">
            <w:pPr>
              <w:pStyle w:val="11"/>
              <w:spacing w:beforeLines="0" w:afterLines="0" w:line="219" w:lineRule="auto"/>
              <w:ind w:left="113"/>
              <w:rPr>
                <w:rFonts w:hint="default"/>
                <w:color w:val="auto"/>
                <w:sz w:val="21"/>
                <w:szCs w:val="21"/>
                <w:highlight w:val="none"/>
              </w:rPr>
            </w:pPr>
            <w:r>
              <w:rPr>
                <w:rFonts w:hint="default"/>
                <w:color w:val="auto"/>
                <w:spacing w:val="-6"/>
                <w:sz w:val="21"/>
                <w:szCs w:val="21"/>
                <w:highlight w:val="none"/>
              </w:rPr>
              <w:t>足时， 按照与基准价离散度由小到大依次补齐。</w:t>
            </w:r>
          </w:p>
          <w:p w14:paraId="45304994">
            <w:pPr>
              <w:pStyle w:val="11"/>
              <w:spacing w:before="172" w:beforeLines="0" w:afterLines="0" w:line="221" w:lineRule="auto"/>
              <w:ind w:left="654"/>
              <w:rPr>
                <w:rFonts w:hint="default"/>
                <w:color w:val="auto"/>
                <w:sz w:val="21"/>
                <w:szCs w:val="21"/>
                <w:highlight w:val="none"/>
              </w:rPr>
            </w:pPr>
            <w:r>
              <w:rPr>
                <w:rFonts w:hint="default"/>
                <w:color w:val="auto"/>
                <w:spacing w:val="-3"/>
                <w:sz w:val="21"/>
                <w:szCs w:val="21"/>
                <w:highlight w:val="none"/>
              </w:rPr>
              <w:sym w:font="Wingdings 2" w:char="00A3"/>
            </w:r>
            <w:r>
              <w:rPr>
                <w:rFonts w:hint="default"/>
                <w:color w:val="auto"/>
                <w:spacing w:val="-3"/>
                <w:sz w:val="21"/>
                <w:szCs w:val="21"/>
                <w:highlight w:val="none"/>
              </w:rPr>
              <w:t>技术标入围按照得分高低排序取前</w:t>
            </w:r>
            <w:r>
              <w:rPr>
                <w:rFonts w:hint="default"/>
                <w:color w:val="auto"/>
                <w:spacing w:val="-104"/>
                <w:sz w:val="21"/>
                <w:szCs w:val="21"/>
                <w:highlight w:val="none"/>
              </w:rPr>
              <w:t xml:space="preserve"> </w:t>
            </w:r>
            <w:r>
              <w:rPr>
                <w:rFonts w:hint="default"/>
                <w:color w:val="auto"/>
                <w:spacing w:val="25"/>
                <w:sz w:val="21"/>
                <w:szCs w:val="21"/>
                <w:highlight w:val="none"/>
                <w:u w:val="single" w:color="auto"/>
              </w:rPr>
              <w:t xml:space="preserve">  </w:t>
            </w:r>
            <w:r>
              <w:rPr>
                <w:rFonts w:hint="default"/>
                <w:color w:val="auto"/>
                <w:spacing w:val="-3"/>
                <w:sz w:val="21"/>
                <w:szCs w:val="21"/>
                <w:highlight w:val="none"/>
              </w:rPr>
              <w:t>家；</w:t>
            </w:r>
          </w:p>
          <w:p w14:paraId="1C265D83">
            <w:pPr>
              <w:pStyle w:val="11"/>
              <w:spacing w:before="167" w:beforeLines="0" w:afterLines="0" w:line="221" w:lineRule="auto"/>
              <w:ind w:left="654"/>
              <w:rPr>
                <w:rFonts w:hint="default"/>
                <w:color w:val="auto"/>
                <w:sz w:val="21"/>
                <w:szCs w:val="21"/>
                <w:highlight w:val="none"/>
              </w:rPr>
            </w:pPr>
            <w:r>
              <w:rPr>
                <w:rFonts w:hint="default"/>
                <w:color w:val="auto"/>
                <w:spacing w:val="-5"/>
                <w:sz w:val="21"/>
                <w:szCs w:val="21"/>
                <w:highlight w:val="none"/>
              </w:rPr>
              <w:sym w:font="Wingdings 2" w:char="00A3"/>
            </w:r>
            <w:r>
              <w:rPr>
                <w:rFonts w:hint="default"/>
                <w:color w:val="auto"/>
                <w:spacing w:val="-5"/>
                <w:sz w:val="21"/>
                <w:szCs w:val="21"/>
                <w:highlight w:val="none"/>
              </w:rPr>
              <w:t>综合性入围（技术标+资信标+其他） 按照得分高低排序取前</w:t>
            </w:r>
            <w:r>
              <w:rPr>
                <w:rFonts w:hint="default"/>
                <w:color w:val="auto"/>
                <w:spacing w:val="2"/>
                <w:sz w:val="21"/>
                <w:szCs w:val="21"/>
                <w:highlight w:val="none"/>
                <w:u w:val="single" w:color="auto"/>
              </w:rPr>
              <w:t xml:space="preserve"> </w:t>
            </w:r>
            <w:r>
              <w:rPr>
                <w:rFonts w:hint="default"/>
                <w:color w:val="auto"/>
                <w:spacing w:val="2"/>
                <w:sz w:val="21"/>
                <w:szCs w:val="21"/>
                <w:highlight w:val="none"/>
                <w:u w:val="single" w:color="auto"/>
                <w:lang w:eastAsia="zh-CN"/>
              </w:rPr>
              <w:t xml:space="preserve"> </w:t>
            </w:r>
            <w:r>
              <w:rPr>
                <w:rFonts w:hint="default"/>
                <w:color w:val="auto"/>
                <w:spacing w:val="2"/>
                <w:sz w:val="21"/>
                <w:szCs w:val="21"/>
                <w:highlight w:val="none"/>
                <w:u w:val="single" w:color="auto"/>
              </w:rPr>
              <w:t xml:space="preserve"> </w:t>
            </w:r>
          </w:p>
          <w:p w14:paraId="01CB62C3">
            <w:pPr>
              <w:pStyle w:val="11"/>
              <w:spacing w:before="172" w:beforeLines="0" w:afterLines="0" w:line="221" w:lineRule="auto"/>
              <w:ind w:left="111"/>
              <w:rPr>
                <w:rFonts w:hint="default"/>
                <w:color w:val="auto"/>
                <w:sz w:val="21"/>
                <w:szCs w:val="21"/>
                <w:highlight w:val="none"/>
              </w:rPr>
            </w:pPr>
            <w:r>
              <w:rPr>
                <w:rFonts w:hint="default"/>
                <w:color w:val="auto"/>
                <w:spacing w:val="-10"/>
                <w:sz w:val="21"/>
                <w:szCs w:val="21"/>
                <w:highlight w:val="none"/>
              </w:rPr>
              <w:t>家。</w:t>
            </w:r>
          </w:p>
          <w:p w14:paraId="1351DF0D">
            <w:pPr>
              <w:pStyle w:val="11"/>
              <w:spacing w:before="166" w:beforeLines="0" w:afterLines="0" w:line="219" w:lineRule="auto"/>
              <w:ind w:left="116"/>
              <w:rPr>
                <w:rFonts w:hint="default"/>
                <w:color w:val="auto"/>
                <w:sz w:val="21"/>
                <w:szCs w:val="21"/>
                <w:highlight w:val="none"/>
              </w:rPr>
            </w:pPr>
            <w:r>
              <w:rPr>
                <w:rFonts w:hint="default"/>
                <w:color w:val="auto"/>
                <w:spacing w:val="-1"/>
                <w:sz w:val="21"/>
                <w:szCs w:val="21"/>
                <w:highlight w:val="none"/>
              </w:rPr>
              <w:t>（4）报价入围基准值计算方法：</w:t>
            </w:r>
          </w:p>
          <w:p w14:paraId="0FE14BDC">
            <w:pPr>
              <w:pStyle w:val="11"/>
              <w:spacing w:before="175" w:beforeLines="0" w:afterLines="0" w:line="369" w:lineRule="auto"/>
              <w:ind w:left="109" w:right="104" w:firstLine="443"/>
              <w:rPr>
                <w:rFonts w:hint="default"/>
                <w:color w:val="auto"/>
                <w:sz w:val="21"/>
                <w:szCs w:val="21"/>
                <w:highlight w:val="none"/>
              </w:rPr>
            </w:pPr>
            <w:r>
              <w:rPr>
                <w:rFonts w:hint="default"/>
                <w:color w:val="auto"/>
                <w:spacing w:val="-1"/>
                <w:sz w:val="21"/>
                <w:szCs w:val="21"/>
                <w:highlight w:val="none"/>
                <w:lang w:eastAsia="zh-CN"/>
              </w:rPr>
              <w:t>□</w:t>
            </w:r>
            <w:r>
              <w:rPr>
                <w:rFonts w:hint="default"/>
                <w:color w:val="auto"/>
                <w:spacing w:val="-1"/>
                <w:sz w:val="21"/>
                <w:szCs w:val="21"/>
                <w:highlight w:val="none"/>
              </w:rPr>
              <w:t>通过初步评审且投标报价不低于合理最低价的投</w:t>
            </w:r>
            <w:r>
              <w:rPr>
                <w:rFonts w:hint="default"/>
                <w:color w:val="auto"/>
                <w:spacing w:val="-2"/>
                <w:sz w:val="21"/>
                <w:szCs w:val="21"/>
                <w:highlight w:val="none"/>
              </w:rPr>
              <w:t>标人超过</w:t>
            </w:r>
            <w:r>
              <w:rPr>
                <w:rFonts w:hint="default"/>
                <w:color w:val="auto"/>
                <w:spacing w:val="-102"/>
                <w:sz w:val="21"/>
                <w:szCs w:val="21"/>
                <w:highlight w:val="none"/>
              </w:rPr>
              <w:t xml:space="preserve"> </w:t>
            </w:r>
            <w:r>
              <w:rPr>
                <w:rFonts w:hint="default"/>
                <w:color w:val="auto"/>
                <w:spacing w:val="16"/>
                <w:sz w:val="21"/>
                <w:szCs w:val="21"/>
                <w:highlight w:val="none"/>
                <w:u w:val="single" w:color="auto"/>
              </w:rPr>
              <w:t xml:space="preserve">   </w:t>
            </w:r>
            <w:r>
              <w:rPr>
                <w:rFonts w:hint="default"/>
                <w:color w:val="auto"/>
                <w:spacing w:val="-93"/>
                <w:sz w:val="21"/>
                <w:szCs w:val="21"/>
                <w:highlight w:val="none"/>
              </w:rPr>
              <w:t xml:space="preserve"> </w:t>
            </w:r>
            <w:r>
              <w:rPr>
                <w:rFonts w:hint="default"/>
                <w:color w:val="auto"/>
                <w:spacing w:val="-2"/>
                <w:sz w:val="21"/>
                <w:szCs w:val="21"/>
                <w:highlight w:val="none"/>
              </w:rPr>
              <w:t>家（包</w:t>
            </w:r>
            <w:r>
              <w:rPr>
                <w:rFonts w:hint="default"/>
                <w:color w:val="auto"/>
                <w:sz w:val="21"/>
                <w:szCs w:val="21"/>
                <w:highlight w:val="none"/>
              </w:rPr>
              <w:t xml:space="preserve"> </w:t>
            </w:r>
            <w:r>
              <w:rPr>
                <w:rFonts w:hint="default"/>
                <w:color w:val="auto"/>
                <w:spacing w:val="-3"/>
                <w:sz w:val="21"/>
                <w:szCs w:val="21"/>
                <w:highlight w:val="none"/>
              </w:rPr>
              <w:t>含</w:t>
            </w:r>
            <w:r>
              <w:rPr>
                <w:rFonts w:hint="default"/>
                <w:color w:val="auto"/>
                <w:spacing w:val="18"/>
                <w:sz w:val="21"/>
                <w:szCs w:val="21"/>
                <w:highlight w:val="none"/>
                <w:u w:val="single" w:color="auto"/>
              </w:rPr>
              <w:t xml:space="preserve">   </w:t>
            </w:r>
            <w:r>
              <w:rPr>
                <w:rFonts w:hint="default"/>
                <w:color w:val="auto"/>
                <w:spacing w:val="-94"/>
                <w:sz w:val="21"/>
                <w:szCs w:val="21"/>
                <w:highlight w:val="none"/>
              </w:rPr>
              <w:t xml:space="preserve"> </w:t>
            </w:r>
            <w:r>
              <w:rPr>
                <w:rFonts w:hint="default"/>
                <w:color w:val="auto"/>
                <w:spacing w:val="-3"/>
                <w:sz w:val="21"/>
                <w:szCs w:val="21"/>
                <w:highlight w:val="none"/>
              </w:rPr>
              <w:t>家</w:t>
            </w:r>
            <w:r>
              <w:rPr>
                <w:rFonts w:hint="default"/>
                <w:color w:val="auto"/>
                <w:spacing w:val="-21"/>
                <w:sz w:val="21"/>
                <w:szCs w:val="21"/>
                <w:highlight w:val="none"/>
              </w:rPr>
              <w:t>），</w:t>
            </w:r>
            <w:r>
              <w:rPr>
                <w:rFonts w:hint="default"/>
                <w:color w:val="auto"/>
                <w:spacing w:val="-3"/>
                <w:sz w:val="21"/>
                <w:szCs w:val="21"/>
                <w:highlight w:val="none"/>
              </w:rPr>
              <w:t>去掉报价最高</w:t>
            </w:r>
            <w:r>
              <w:rPr>
                <w:rFonts w:hint="default"/>
                <w:color w:val="auto"/>
                <w:spacing w:val="-40"/>
                <w:sz w:val="21"/>
                <w:szCs w:val="21"/>
                <w:highlight w:val="none"/>
              </w:rPr>
              <w:t xml:space="preserve"> </w:t>
            </w:r>
            <w:r>
              <w:rPr>
                <w:rFonts w:hint="default"/>
                <w:color w:val="auto"/>
                <w:spacing w:val="-3"/>
                <w:sz w:val="21"/>
                <w:szCs w:val="21"/>
                <w:highlight w:val="none"/>
              </w:rPr>
              <w:t>20%家和报价最低</w:t>
            </w:r>
            <w:r>
              <w:rPr>
                <w:rFonts w:hint="default"/>
                <w:color w:val="auto"/>
                <w:spacing w:val="-41"/>
                <w:sz w:val="21"/>
                <w:szCs w:val="21"/>
                <w:highlight w:val="none"/>
              </w:rPr>
              <w:t xml:space="preserve"> </w:t>
            </w:r>
            <w:r>
              <w:rPr>
                <w:rFonts w:hint="default"/>
                <w:color w:val="auto"/>
                <w:spacing w:val="-3"/>
                <w:sz w:val="21"/>
                <w:szCs w:val="21"/>
                <w:highlight w:val="none"/>
              </w:rPr>
              <w:t>20%家投</w:t>
            </w:r>
            <w:r>
              <w:rPr>
                <w:rFonts w:hint="default"/>
                <w:color w:val="auto"/>
                <w:spacing w:val="-4"/>
                <w:sz w:val="21"/>
                <w:szCs w:val="21"/>
                <w:highlight w:val="none"/>
              </w:rPr>
              <w:t>标报价（小数点后不保</w:t>
            </w:r>
            <w:r>
              <w:rPr>
                <w:rFonts w:hint="default"/>
                <w:color w:val="auto"/>
                <w:sz w:val="21"/>
                <w:szCs w:val="21"/>
                <w:highlight w:val="none"/>
              </w:rPr>
              <w:t xml:space="preserve"> </w:t>
            </w:r>
            <w:r>
              <w:rPr>
                <w:rFonts w:hint="default"/>
                <w:color w:val="auto"/>
                <w:spacing w:val="-7"/>
                <w:sz w:val="21"/>
                <w:szCs w:val="21"/>
                <w:highlight w:val="none"/>
              </w:rPr>
              <w:t>留有效数字，个位数向下取整</w:t>
            </w:r>
            <w:r>
              <w:rPr>
                <w:rFonts w:hint="default"/>
                <w:color w:val="auto"/>
                <w:spacing w:val="-11"/>
                <w:sz w:val="21"/>
                <w:szCs w:val="21"/>
                <w:highlight w:val="none"/>
              </w:rPr>
              <w:t>）；</w:t>
            </w:r>
            <w:r>
              <w:rPr>
                <w:rFonts w:hint="default"/>
                <w:color w:val="auto"/>
                <w:spacing w:val="-7"/>
                <w:sz w:val="21"/>
                <w:szCs w:val="21"/>
                <w:highlight w:val="none"/>
              </w:rPr>
              <w:t>若小于</w:t>
            </w:r>
            <w:r>
              <w:rPr>
                <w:rFonts w:hint="default"/>
                <w:color w:val="auto"/>
                <w:spacing w:val="-97"/>
                <w:sz w:val="21"/>
                <w:szCs w:val="21"/>
                <w:highlight w:val="none"/>
              </w:rPr>
              <w:t xml:space="preserve"> </w:t>
            </w:r>
            <w:r>
              <w:rPr>
                <w:rFonts w:hint="default"/>
                <w:color w:val="auto"/>
                <w:spacing w:val="14"/>
                <w:sz w:val="21"/>
                <w:szCs w:val="21"/>
                <w:highlight w:val="none"/>
                <w:u w:val="single" w:color="auto"/>
              </w:rPr>
              <w:t xml:space="preserve">    </w:t>
            </w:r>
            <w:r>
              <w:rPr>
                <w:rFonts w:hint="default"/>
                <w:color w:val="auto"/>
                <w:spacing w:val="-95"/>
                <w:sz w:val="21"/>
                <w:szCs w:val="21"/>
                <w:highlight w:val="none"/>
              </w:rPr>
              <w:t xml:space="preserve"> </w:t>
            </w:r>
            <w:r>
              <w:rPr>
                <w:rFonts w:hint="default"/>
                <w:color w:val="auto"/>
                <w:spacing w:val="-7"/>
                <w:sz w:val="21"/>
                <w:szCs w:val="21"/>
                <w:highlight w:val="none"/>
              </w:rPr>
              <w:t>家，则不去； 取</w:t>
            </w:r>
            <w:r>
              <w:rPr>
                <w:rFonts w:hint="default"/>
                <w:color w:val="auto"/>
                <w:spacing w:val="-8"/>
                <w:sz w:val="21"/>
                <w:szCs w:val="21"/>
                <w:highlight w:val="none"/>
              </w:rPr>
              <w:t>其投标报价算</w:t>
            </w:r>
            <w:r>
              <w:rPr>
                <w:rFonts w:hint="default"/>
                <w:color w:val="auto"/>
                <w:sz w:val="21"/>
                <w:szCs w:val="21"/>
                <w:highlight w:val="none"/>
              </w:rPr>
              <w:t xml:space="preserve"> </w:t>
            </w:r>
            <w:r>
              <w:rPr>
                <w:rFonts w:hint="default"/>
                <w:color w:val="auto"/>
                <w:spacing w:val="-2"/>
                <w:sz w:val="21"/>
                <w:szCs w:val="21"/>
                <w:highlight w:val="none"/>
              </w:rPr>
              <w:t>术平均值的</w:t>
            </w:r>
            <w:r>
              <w:rPr>
                <w:rFonts w:hint="default"/>
                <w:color w:val="auto"/>
                <w:spacing w:val="-105"/>
                <w:sz w:val="21"/>
                <w:szCs w:val="21"/>
                <w:highlight w:val="none"/>
              </w:rPr>
              <w:t xml:space="preserve"> </w:t>
            </w:r>
            <w:r>
              <w:rPr>
                <w:rFonts w:hint="default"/>
                <w:color w:val="auto"/>
                <w:spacing w:val="26"/>
                <w:sz w:val="21"/>
                <w:szCs w:val="21"/>
                <w:highlight w:val="none"/>
                <w:u w:val="single" w:color="auto"/>
              </w:rPr>
              <w:t xml:space="preserve">    </w:t>
            </w:r>
            <w:r>
              <w:rPr>
                <w:rFonts w:hint="default"/>
                <w:color w:val="auto"/>
                <w:spacing w:val="-103"/>
                <w:sz w:val="21"/>
                <w:szCs w:val="21"/>
                <w:highlight w:val="none"/>
              </w:rPr>
              <w:t xml:space="preserve"> </w:t>
            </w:r>
            <w:r>
              <w:rPr>
                <w:rFonts w:hint="default"/>
                <w:color w:val="auto"/>
                <w:spacing w:val="-2"/>
                <w:sz w:val="21"/>
                <w:szCs w:val="21"/>
                <w:highlight w:val="none"/>
              </w:rPr>
              <w:t>%与□最高投标限价</w:t>
            </w:r>
            <w:r>
              <w:rPr>
                <w:rFonts w:hint="default"/>
                <w:color w:val="auto"/>
                <w:spacing w:val="27"/>
                <w:sz w:val="21"/>
                <w:szCs w:val="21"/>
                <w:highlight w:val="none"/>
              </w:rPr>
              <w:t xml:space="preserve"> </w:t>
            </w:r>
            <w:r>
              <w:rPr>
                <w:rFonts w:hint="default"/>
                <w:color w:val="auto"/>
                <w:spacing w:val="-2"/>
                <w:sz w:val="21"/>
                <w:szCs w:val="21"/>
                <w:highlight w:val="none"/>
              </w:rPr>
              <w:t>□报价最高</w:t>
            </w:r>
            <w:r>
              <w:rPr>
                <w:rFonts w:hint="default"/>
                <w:color w:val="auto"/>
                <w:spacing w:val="-41"/>
                <w:sz w:val="21"/>
                <w:szCs w:val="21"/>
                <w:highlight w:val="none"/>
              </w:rPr>
              <w:t xml:space="preserve"> </w:t>
            </w:r>
            <w:r>
              <w:rPr>
                <w:rFonts w:hint="default"/>
                <w:color w:val="auto"/>
                <w:spacing w:val="-2"/>
                <w:sz w:val="21"/>
                <w:szCs w:val="21"/>
                <w:highlight w:val="none"/>
              </w:rPr>
              <w:t>20%家的平均</w:t>
            </w:r>
            <w:r>
              <w:rPr>
                <w:rFonts w:hint="default"/>
                <w:color w:val="auto"/>
                <w:spacing w:val="-3"/>
                <w:sz w:val="21"/>
                <w:szCs w:val="21"/>
                <w:highlight w:val="none"/>
              </w:rPr>
              <w:t>值</w:t>
            </w:r>
            <w:r>
              <w:rPr>
                <w:rFonts w:hint="default"/>
                <w:color w:val="auto"/>
                <w:spacing w:val="26"/>
                <w:sz w:val="21"/>
                <w:szCs w:val="21"/>
                <w:highlight w:val="none"/>
              </w:rPr>
              <w:t xml:space="preserve"> </w:t>
            </w:r>
            <w:r>
              <w:rPr>
                <w:rFonts w:hint="default"/>
                <w:color w:val="auto"/>
                <w:spacing w:val="-3"/>
                <w:sz w:val="21"/>
                <w:szCs w:val="21"/>
                <w:highlight w:val="none"/>
              </w:rPr>
              <w:t>□报价最</w:t>
            </w:r>
          </w:p>
          <w:p w14:paraId="598AFEEE">
            <w:pPr>
              <w:pStyle w:val="11"/>
              <w:spacing w:beforeLines="0" w:afterLines="0" w:line="220" w:lineRule="auto"/>
              <w:ind w:left="109"/>
              <w:rPr>
                <w:rFonts w:hint="default"/>
                <w:color w:val="auto"/>
                <w:sz w:val="21"/>
                <w:szCs w:val="21"/>
                <w:highlight w:val="none"/>
              </w:rPr>
            </w:pPr>
            <w:r>
              <w:rPr>
                <w:rFonts w:hint="default"/>
                <w:color w:val="auto"/>
                <w:spacing w:val="-1"/>
                <w:sz w:val="21"/>
                <w:szCs w:val="21"/>
                <w:highlight w:val="none"/>
              </w:rPr>
              <w:t>低</w:t>
            </w:r>
            <w:r>
              <w:rPr>
                <w:rFonts w:hint="default"/>
                <w:color w:val="auto"/>
                <w:spacing w:val="-42"/>
                <w:sz w:val="21"/>
                <w:szCs w:val="21"/>
                <w:highlight w:val="none"/>
              </w:rPr>
              <w:t xml:space="preserve"> </w:t>
            </w:r>
            <w:r>
              <w:rPr>
                <w:rFonts w:hint="default"/>
                <w:color w:val="auto"/>
                <w:spacing w:val="-1"/>
                <w:sz w:val="21"/>
                <w:szCs w:val="21"/>
                <w:highlight w:val="none"/>
              </w:rPr>
              <w:t>20%家的平均值的</w:t>
            </w:r>
            <w:r>
              <w:rPr>
                <w:rFonts w:hint="default"/>
                <w:color w:val="auto"/>
                <w:spacing w:val="-1"/>
                <w:sz w:val="21"/>
                <w:szCs w:val="21"/>
                <w:highlight w:val="none"/>
                <w:u w:val="single" w:color="auto"/>
              </w:rPr>
              <w:t xml:space="preserve">     </w:t>
            </w:r>
            <w:r>
              <w:rPr>
                <w:rFonts w:hint="default"/>
                <w:color w:val="auto"/>
                <w:spacing w:val="-102"/>
                <w:sz w:val="21"/>
                <w:szCs w:val="21"/>
                <w:highlight w:val="none"/>
              </w:rPr>
              <w:t xml:space="preserve"> </w:t>
            </w:r>
            <w:r>
              <w:rPr>
                <w:rFonts w:hint="default"/>
                <w:color w:val="auto"/>
                <w:spacing w:val="-1"/>
                <w:sz w:val="21"/>
                <w:szCs w:val="21"/>
                <w:highlight w:val="none"/>
              </w:rPr>
              <w:t>%之和。</w:t>
            </w:r>
          </w:p>
          <w:p w14:paraId="70C1A5CD">
            <w:pPr>
              <w:pStyle w:val="11"/>
              <w:spacing w:before="168" w:beforeLines="0" w:afterLines="0" w:line="369" w:lineRule="auto"/>
              <w:ind w:left="109" w:right="104" w:firstLine="443"/>
              <w:rPr>
                <w:rFonts w:hint="default"/>
                <w:color w:val="auto"/>
                <w:sz w:val="21"/>
                <w:szCs w:val="21"/>
                <w:highlight w:val="none"/>
              </w:rPr>
            </w:pPr>
            <w:r>
              <w:rPr>
                <w:rFonts w:hint="default"/>
                <w:color w:val="auto"/>
                <w:spacing w:val="-1"/>
                <w:sz w:val="21"/>
                <w:szCs w:val="21"/>
                <w:highlight w:val="none"/>
                <w:lang w:eastAsia="zh-CN"/>
              </w:rPr>
              <w:t>□</w:t>
            </w:r>
            <w:r>
              <w:rPr>
                <w:rFonts w:hint="default"/>
                <w:color w:val="auto"/>
                <w:spacing w:val="-1"/>
                <w:sz w:val="21"/>
                <w:szCs w:val="21"/>
                <w:highlight w:val="none"/>
              </w:rPr>
              <w:t>通过初步评审且投标报价不低于合理最低价的投</w:t>
            </w:r>
            <w:r>
              <w:rPr>
                <w:rFonts w:hint="default"/>
                <w:color w:val="auto"/>
                <w:spacing w:val="-2"/>
                <w:sz w:val="21"/>
                <w:szCs w:val="21"/>
                <w:highlight w:val="none"/>
              </w:rPr>
              <w:t>标人超过</w:t>
            </w:r>
            <w:r>
              <w:rPr>
                <w:rFonts w:hint="default"/>
                <w:color w:val="auto"/>
                <w:spacing w:val="-102"/>
                <w:sz w:val="21"/>
                <w:szCs w:val="21"/>
                <w:highlight w:val="none"/>
              </w:rPr>
              <w:t xml:space="preserve"> </w:t>
            </w:r>
            <w:r>
              <w:rPr>
                <w:rFonts w:hint="default"/>
                <w:color w:val="auto"/>
                <w:spacing w:val="16"/>
                <w:sz w:val="21"/>
                <w:szCs w:val="21"/>
                <w:highlight w:val="none"/>
                <w:u w:val="single" w:color="auto"/>
              </w:rPr>
              <w:t xml:space="preserve"> </w:t>
            </w:r>
            <w:r>
              <w:rPr>
                <w:rFonts w:hint="default"/>
                <w:color w:val="auto"/>
                <w:spacing w:val="16"/>
                <w:sz w:val="21"/>
                <w:szCs w:val="21"/>
                <w:highlight w:val="none"/>
                <w:u w:val="single" w:color="auto"/>
                <w:lang w:eastAsia="zh-CN"/>
              </w:rPr>
              <w:t xml:space="preserve"> </w:t>
            </w:r>
            <w:r>
              <w:rPr>
                <w:rFonts w:hint="default"/>
                <w:color w:val="auto"/>
                <w:spacing w:val="16"/>
                <w:sz w:val="21"/>
                <w:szCs w:val="21"/>
                <w:highlight w:val="none"/>
                <w:u w:val="single" w:color="auto"/>
              </w:rPr>
              <w:t xml:space="preserve">  </w:t>
            </w:r>
            <w:r>
              <w:rPr>
                <w:rFonts w:hint="default"/>
                <w:color w:val="auto"/>
                <w:spacing w:val="-93"/>
                <w:sz w:val="21"/>
                <w:szCs w:val="21"/>
                <w:highlight w:val="none"/>
              </w:rPr>
              <w:t xml:space="preserve"> </w:t>
            </w:r>
            <w:r>
              <w:rPr>
                <w:rFonts w:hint="default"/>
                <w:color w:val="auto"/>
                <w:spacing w:val="-2"/>
                <w:sz w:val="21"/>
                <w:szCs w:val="21"/>
                <w:highlight w:val="none"/>
              </w:rPr>
              <w:t>家（包</w:t>
            </w:r>
            <w:r>
              <w:rPr>
                <w:rFonts w:hint="default"/>
                <w:color w:val="auto"/>
                <w:sz w:val="21"/>
                <w:szCs w:val="21"/>
                <w:highlight w:val="none"/>
              </w:rPr>
              <w:t xml:space="preserve"> </w:t>
            </w:r>
            <w:r>
              <w:rPr>
                <w:rFonts w:hint="default"/>
                <w:color w:val="auto"/>
                <w:spacing w:val="-7"/>
                <w:sz w:val="21"/>
                <w:szCs w:val="21"/>
                <w:highlight w:val="none"/>
              </w:rPr>
              <w:t>含</w:t>
            </w:r>
            <w:r>
              <w:rPr>
                <w:rFonts w:hint="default"/>
                <w:color w:val="auto"/>
                <w:spacing w:val="32"/>
                <w:sz w:val="21"/>
                <w:szCs w:val="21"/>
                <w:highlight w:val="none"/>
                <w:u w:val="single" w:color="auto"/>
              </w:rPr>
              <w:t xml:space="preserve"> </w:t>
            </w:r>
            <w:r>
              <w:rPr>
                <w:rFonts w:hint="default"/>
                <w:color w:val="auto"/>
                <w:spacing w:val="32"/>
                <w:sz w:val="21"/>
                <w:szCs w:val="21"/>
                <w:highlight w:val="none"/>
                <w:u w:val="single" w:color="auto"/>
                <w:lang w:eastAsia="zh-CN"/>
              </w:rPr>
              <w:t xml:space="preserve"> </w:t>
            </w:r>
            <w:r>
              <w:rPr>
                <w:rFonts w:hint="default"/>
                <w:color w:val="auto"/>
                <w:spacing w:val="32"/>
                <w:sz w:val="21"/>
                <w:szCs w:val="21"/>
                <w:highlight w:val="none"/>
                <w:u w:val="single" w:color="auto"/>
              </w:rPr>
              <w:t xml:space="preserve"> </w:t>
            </w:r>
            <w:r>
              <w:rPr>
                <w:rFonts w:hint="default"/>
                <w:color w:val="auto"/>
                <w:spacing w:val="-95"/>
                <w:sz w:val="21"/>
                <w:szCs w:val="21"/>
                <w:highlight w:val="none"/>
              </w:rPr>
              <w:t xml:space="preserve"> </w:t>
            </w:r>
            <w:r>
              <w:rPr>
                <w:rFonts w:hint="default"/>
                <w:color w:val="auto"/>
                <w:spacing w:val="-7"/>
                <w:sz w:val="21"/>
                <w:szCs w:val="21"/>
                <w:highlight w:val="none"/>
              </w:rPr>
              <w:t>家</w:t>
            </w:r>
            <w:r>
              <w:rPr>
                <w:rFonts w:hint="default"/>
                <w:color w:val="auto"/>
                <w:spacing w:val="-31"/>
                <w:sz w:val="21"/>
                <w:szCs w:val="21"/>
                <w:highlight w:val="none"/>
              </w:rPr>
              <w:t>），</w:t>
            </w:r>
            <w:r>
              <w:rPr>
                <w:rFonts w:hint="default"/>
                <w:color w:val="auto"/>
                <w:spacing w:val="-7"/>
                <w:sz w:val="21"/>
                <w:szCs w:val="21"/>
                <w:highlight w:val="none"/>
              </w:rPr>
              <w:t>则去掉</w:t>
            </w:r>
            <w:r>
              <w:rPr>
                <w:rFonts w:hint="default"/>
                <w:color w:val="auto"/>
                <w:spacing w:val="-94"/>
                <w:sz w:val="21"/>
                <w:szCs w:val="21"/>
                <w:highlight w:val="none"/>
              </w:rPr>
              <w:t xml:space="preserve"> </w:t>
            </w:r>
            <w:r>
              <w:rPr>
                <w:rFonts w:hint="default"/>
                <w:color w:val="auto"/>
                <w:spacing w:val="31"/>
                <w:sz w:val="21"/>
                <w:szCs w:val="21"/>
                <w:highlight w:val="none"/>
                <w:u w:val="single" w:color="auto"/>
              </w:rPr>
              <w:t xml:space="preserve"> </w:t>
            </w:r>
            <w:r>
              <w:rPr>
                <w:rFonts w:hint="default"/>
                <w:color w:val="auto"/>
                <w:spacing w:val="31"/>
                <w:sz w:val="21"/>
                <w:szCs w:val="21"/>
                <w:highlight w:val="none"/>
                <w:u w:val="single" w:color="auto"/>
                <w:lang w:eastAsia="zh-CN"/>
              </w:rPr>
              <w:t xml:space="preserve"> </w:t>
            </w:r>
            <w:r>
              <w:rPr>
                <w:rFonts w:hint="default"/>
                <w:color w:val="auto"/>
                <w:spacing w:val="31"/>
                <w:sz w:val="21"/>
                <w:szCs w:val="21"/>
                <w:highlight w:val="none"/>
                <w:u w:val="single" w:color="auto"/>
              </w:rPr>
              <w:t xml:space="preserve"> </w:t>
            </w:r>
            <w:r>
              <w:rPr>
                <w:rFonts w:hint="default"/>
                <w:color w:val="auto"/>
                <w:spacing w:val="-96"/>
                <w:sz w:val="21"/>
                <w:szCs w:val="21"/>
                <w:highlight w:val="none"/>
              </w:rPr>
              <w:t xml:space="preserve"> </w:t>
            </w:r>
            <w:r>
              <w:rPr>
                <w:rFonts w:hint="default"/>
                <w:color w:val="auto"/>
                <w:spacing w:val="-7"/>
                <w:sz w:val="21"/>
                <w:szCs w:val="21"/>
                <w:highlight w:val="none"/>
              </w:rPr>
              <w:t>个最高投标报价，</w:t>
            </w:r>
            <w:r>
              <w:rPr>
                <w:rFonts w:hint="default"/>
                <w:color w:val="auto"/>
                <w:spacing w:val="-29"/>
                <w:sz w:val="21"/>
                <w:szCs w:val="21"/>
                <w:highlight w:val="none"/>
              </w:rPr>
              <w:t xml:space="preserve"> </w:t>
            </w:r>
            <w:r>
              <w:rPr>
                <w:rFonts w:hint="default"/>
                <w:color w:val="auto"/>
                <w:spacing w:val="32"/>
                <w:sz w:val="21"/>
                <w:szCs w:val="21"/>
                <w:highlight w:val="none"/>
                <w:u w:val="single" w:color="auto"/>
              </w:rPr>
              <w:t xml:space="preserve"> </w:t>
            </w:r>
            <w:r>
              <w:rPr>
                <w:rFonts w:hint="default"/>
                <w:color w:val="auto"/>
                <w:spacing w:val="32"/>
                <w:sz w:val="21"/>
                <w:szCs w:val="21"/>
                <w:highlight w:val="none"/>
                <w:u w:val="single" w:color="auto"/>
                <w:lang w:eastAsia="zh-CN"/>
              </w:rPr>
              <w:t xml:space="preserve"> </w:t>
            </w:r>
            <w:r>
              <w:rPr>
                <w:rFonts w:hint="default"/>
                <w:color w:val="auto"/>
                <w:spacing w:val="32"/>
                <w:sz w:val="21"/>
                <w:szCs w:val="21"/>
                <w:highlight w:val="none"/>
                <w:u w:val="single" w:color="auto"/>
              </w:rPr>
              <w:t xml:space="preserve"> </w:t>
            </w:r>
            <w:r>
              <w:rPr>
                <w:rFonts w:hint="default"/>
                <w:color w:val="auto"/>
                <w:spacing w:val="-97"/>
                <w:sz w:val="21"/>
                <w:szCs w:val="21"/>
                <w:highlight w:val="none"/>
              </w:rPr>
              <w:t xml:space="preserve"> </w:t>
            </w:r>
            <w:r>
              <w:rPr>
                <w:rFonts w:hint="default"/>
                <w:color w:val="auto"/>
                <w:spacing w:val="-7"/>
                <w:sz w:val="21"/>
                <w:szCs w:val="21"/>
                <w:highlight w:val="none"/>
              </w:rPr>
              <w:t>个最低投标报价；若</w:t>
            </w:r>
            <w:r>
              <w:rPr>
                <w:rFonts w:hint="default"/>
                <w:color w:val="auto"/>
                <w:spacing w:val="-8"/>
                <w:sz w:val="21"/>
                <w:szCs w:val="21"/>
                <w:highlight w:val="none"/>
              </w:rPr>
              <w:t>小于</w:t>
            </w:r>
            <w:r>
              <w:rPr>
                <w:rFonts w:hint="default"/>
                <w:color w:val="auto"/>
                <w:spacing w:val="-104"/>
                <w:sz w:val="21"/>
                <w:szCs w:val="21"/>
                <w:highlight w:val="none"/>
              </w:rPr>
              <w:t xml:space="preserve"> </w:t>
            </w:r>
            <w:r>
              <w:rPr>
                <w:rFonts w:hint="default"/>
                <w:color w:val="auto"/>
                <w:spacing w:val="32"/>
                <w:sz w:val="21"/>
                <w:szCs w:val="21"/>
                <w:highlight w:val="none"/>
                <w:u w:val="single" w:color="auto"/>
              </w:rPr>
              <w:t xml:space="preserve"> </w:t>
            </w:r>
            <w:r>
              <w:rPr>
                <w:rFonts w:hint="default"/>
                <w:color w:val="auto"/>
                <w:spacing w:val="32"/>
                <w:sz w:val="21"/>
                <w:szCs w:val="21"/>
                <w:highlight w:val="none"/>
                <w:u w:val="single" w:color="auto"/>
                <w:lang w:eastAsia="zh-CN"/>
              </w:rPr>
              <w:t xml:space="preserve"> </w:t>
            </w:r>
            <w:r>
              <w:rPr>
                <w:rFonts w:hint="default"/>
                <w:color w:val="auto"/>
                <w:spacing w:val="32"/>
                <w:sz w:val="21"/>
                <w:szCs w:val="21"/>
                <w:highlight w:val="none"/>
                <w:u w:val="single" w:color="auto"/>
              </w:rPr>
              <w:t xml:space="preserve"> </w:t>
            </w:r>
            <w:r>
              <w:rPr>
                <w:rFonts w:hint="default"/>
                <w:color w:val="auto"/>
                <w:spacing w:val="-95"/>
                <w:sz w:val="21"/>
                <w:szCs w:val="21"/>
                <w:highlight w:val="none"/>
              </w:rPr>
              <w:t xml:space="preserve"> </w:t>
            </w:r>
            <w:r>
              <w:rPr>
                <w:rFonts w:hint="default"/>
                <w:color w:val="auto"/>
                <w:spacing w:val="-8"/>
                <w:sz w:val="21"/>
                <w:szCs w:val="21"/>
                <w:highlight w:val="none"/>
              </w:rPr>
              <w:t>家，</w:t>
            </w:r>
            <w:r>
              <w:rPr>
                <w:rFonts w:hint="default"/>
                <w:color w:val="auto"/>
                <w:spacing w:val="-1"/>
                <w:sz w:val="21"/>
                <w:szCs w:val="21"/>
                <w:highlight w:val="none"/>
              </w:rPr>
              <w:t>则不去；将其投标报价取算术平均值下浮</w:t>
            </w:r>
            <w:r>
              <w:rPr>
                <w:rFonts w:hint="default"/>
                <w:color w:val="auto"/>
                <w:spacing w:val="-97"/>
                <w:sz w:val="21"/>
                <w:szCs w:val="21"/>
                <w:highlight w:val="none"/>
              </w:rPr>
              <w:t xml:space="preserve"> </w:t>
            </w:r>
            <w:r>
              <w:rPr>
                <w:rFonts w:hint="default"/>
                <w:color w:val="auto"/>
                <w:sz w:val="21"/>
                <w:szCs w:val="21"/>
                <w:highlight w:val="none"/>
                <w:u w:val="single" w:color="auto"/>
              </w:rPr>
              <w:t xml:space="preserve">  </w:t>
            </w:r>
            <w:r>
              <w:rPr>
                <w:rFonts w:hint="default"/>
                <w:color w:val="auto"/>
                <w:sz w:val="21"/>
                <w:szCs w:val="21"/>
                <w:highlight w:val="none"/>
                <w:u w:val="single" w:color="auto"/>
                <w:lang w:eastAsia="zh-CN"/>
              </w:rPr>
              <w:t xml:space="preserve"> </w:t>
            </w:r>
            <w:r>
              <w:rPr>
                <w:rFonts w:hint="default"/>
                <w:color w:val="auto"/>
                <w:sz w:val="21"/>
                <w:szCs w:val="21"/>
                <w:highlight w:val="none"/>
                <w:u w:val="single" w:color="auto"/>
              </w:rPr>
              <w:t xml:space="preserve">  </w:t>
            </w:r>
            <w:r>
              <w:rPr>
                <w:rFonts w:hint="default"/>
                <w:color w:val="auto"/>
                <w:spacing w:val="-100"/>
                <w:sz w:val="21"/>
                <w:szCs w:val="21"/>
                <w:highlight w:val="none"/>
              </w:rPr>
              <w:t xml:space="preserve"> </w:t>
            </w:r>
            <w:r>
              <w:rPr>
                <w:rFonts w:hint="default"/>
                <w:color w:val="auto"/>
                <w:spacing w:val="-1"/>
                <w:sz w:val="21"/>
                <w:szCs w:val="21"/>
                <w:highlight w:val="none"/>
              </w:rPr>
              <w:t>%。</w:t>
            </w:r>
          </w:p>
          <w:p w14:paraId="78C4E8D7">
            <w:pPr>
              <w:pStyle w:val="11"/>
              <w:spacing w:before="173" w:beforeLines="0" w:afterLines="0" w:line="418" w:lineRule="exact"/>
              <w:ind w:left="553"/>
              <w:rPr>
                <w:rFonts w:hint="default"/>
                <w:color w:val="auto"/>
                <w:sz w:val="21"/>
                <w:szCs w:val="21"/>
                <w:highlight w:val="none"/>
              </w:rPr>
            </w:pPr>
            <w:r>
              <w:rPr>
                <w:rFonts w:hint="default"/>
                <w:color w:val="auto"/>
                <w:spacing w:val="4"/>
                <w:position w:val="15"/>
                <w:sz w:val="21"/>
                <w:szCs w:val="21"/>
                <w:highlight w:val="none"/>
              </w:rPr>
              <w:t>□通过初步评审且投标报价不低于合理最低价的投标人投标报价的算</w:t>
            </w:r>
          </w:p>
          <w:p w14:paraId="514F6CBA">
            <w:pPr>
              <w:pStyle w:val="11"/>
              <w:spacing w:before="1" w:beforeLines="0" w:afterLines="0" w:line="220" w:lineRule="auto"/>
              <w:ind w:left="111"/>
              <w:rPr>
                <w:rFonts w:hint="default"/>
                <w:color w:val="auto"/>
                <w:sz w:val="21"/>
                <w:szCs w:val="21"/>
                <w:highlight w:val="none"/>
              </w:rPr>
            </w:pPr>
            <w:r>
              <w:rPr>
                <w:rFonts w:hint="default"/>
                <w:color w:val="auto"/>
                <w:spacing w:val="-2"/>
                <w:sz w:val="21"/>
                <w:szCs w:val="21"/>
                <w:highlight w:val="none"/>
              </w:rPr>
              <w:t>术平均值下浮</w:t>
            </w:r>
            <w:r>
              <w:rPr>
                <w:rFonts w:hint="default"/>
                <w:color w:val="auto"/>
                <w:spacing w:val="-99"/>
                <w:sz w:val="21"/>
                <w:szCs w:val="21"/>
                <w:highlight w:val="none"/>
              </w:rPr>
              <w:t xml:space="preserve"> </w:t>
            </w:r>
            <w:r>
              <w:rPr>
                <w:rFonts w:hint="default"/>
                <w:color w:val="auto"/>
                <w:sz w:val="21"/>
                <w:szCs w:val="21"/>
                <w:highlight w:val="none"/>
                <w:u w:val="single" w:color="auto"/>
              </w:rPr>
              <w:t xml:space="preserve">     </w:t>
            </w:r>
            <w:r>
              <w:rPr>
                <w:rFonts w:hint="default"/>
                <w:color w:val="auto"/>
                <w:spacing w:val="-100"/>
                <w:sz w:val="21"/>
                <w:szCs w:val="21"/>
                <w:highlight w:val="none"/>
              </w:rPr>
              <w:t xml:space="preserve"> </w:t>
            </w:r>
            <w:r>
              <w:rPr>
                <w:rFonts w:hint="default"/>
                <w:color w:val="auto"/>
                <w:spacing w:val="-2"/>
                <w:sz w:val="21"/>
                <w:szCs w:val="21"/>
                <w:highlight w:val="none"/>
              </w:rPr>
              <w:t>%。</w:t>
            </w:r>
          </w:p>
          <w:p w14:paraId="5DBDBB0B">
            <w:pPr>
              <w:pStyle w:val="11"/>
              <w:spacing w:before="171" w:beforeLines="0" w:afterLines="0" w:line="418" w:lineRule="exact"/>
              <w:ind w:left="553"/>
              <w:rPr>
                <w:rFonts w:hint="default"/>
                <w:color w:val="auto"/>
                <w:sz w:val="21"/>
                <w:szCs w:val="21"/>
                <w:highlight w:val="none"/>
              </w:rPr>
            </w:pPr>
            <w:r>
              <w:rPr>
                <w:rFonts w:hint="default"/>
                <w:color w:val="auto"/>
                <w:spacing w:val="4"/>
                <w:position w:val="15"/>
                <w:sz w:val="21"/>
                <w:szCs w:val="21"/>
                <w:highlight w:val="none"/>
              </w:rPr>
              <w:t>□通过初步评审且投标报价不低于合理最低价的投标人投标报价的算</w:t>
            </w:r>
          </w:p>
          <w:p w14:paraId="478A856F">
            <w:pPr>
              <w:pStyle w:val="11"/>
              <w:spacing w:beforeLines="0" w:afterLines="0" w:line="219" w:lineRule="auto"/>
              <w:ind w:left="111"/>
              <w:rPr>
                <w:rFonts w:hint="default"/>
                <w:color w:val="auto"/>
                <w:sz w:val="21"/>
                <w:szCs w:val="21"/>
                <w:highlight w:val="none"/>
              </w:rPr>
            </w:pPr>
            <w:r>
              <w:rPr>
                <w:rFonts w:hint="default"/>
                <w:color w:val="auto"/>
                <w:spacing w:val="-1"/>
                <w:sz w:val="21"/>
                <w:szCs w:val="21"/>
                <w:highlight w:val="none"/>
              </w:rPr>
              <w:t>术平均值的</w:t>
            </w:r>
            <w:r>
              <w:rPr>
                <w:rFonts w:hint="default"/>
                <w:color w:val="auto"/>
                <w:spacing w:val="-93"/>
                <w:sz w:val="21"/>
                <w:szCs w:val="21"/>
                <w:highlight w:val="none"/>
              </w:rPr>
              <w:t xml:space="preserve"> </w:t>
            </w:r>
            <w:r>
              <w:rPr>
                <w:rFonts w:hint="default"/>
                <w:color w:val="auto"/>
                <w:spacing w:val="25"/>
                <w:sz w:val="21"/>
                <w:szCs w:val="21"/>
                <w:highlight w:val="none"/>
                <w:u w:val="single" w:color="auto"/>
              </w:rPr>
              <w:t xml:space="preserve">    </w:t>
            </w:r>
            <w:r>
              <w:rPr>
                <w:rFonts w:hint="default"/>
                <w:color w:val="auto"/>
                <w:spacing w:val="-100"/>
                <w:sz w:val="21"/>
                <w:szCs w:val="21"/>
                <w:highlight w:val="none"/>
              </w:rPr>
              <w:t xml:space="preserve"> </w:t>
            </w:r>
            <w:r>
              <w:rPr>
                <w:rFonts w:hint="default"/>
                <w:color w:val="auto"/>
                <w:spacing w:val="-1"/>
                <w:sz w:val="21"/>
                <w:szCs w:val="21"/>
                <w:highlight w:val="none"/>
              </w:rPr>
              <w:t>%与最高投标限价的</w:t>
            </w:r>
            <w:r>
              <w:rPr>
                <w:rFonts w:hint="default"/>
                <w:color w:val="auto"/>
                <w:spacing w:val="-104"/>
                <w:sz w:val="21"/>
                <w:szCs w:val="21"/>
                <w:highlight w:val="none"/>
              </w:rPr>
              <w:t xml:space="preserve"> </w:t>
            </w:r>
            <w:r>
              <w:rPr>
                <w:rFonts w:hint="default"/>
                <w:color w:val="auto"/>
                <w:spacing w:val="25"/>
                <w:sz w:val="21"/>
                <w:szCs w:val="21"/>
                <w:highlight w:val="none"/>
                <w:u w:val="single" w:color="auto"/>
              </w:rPr>
              <w:t xml:space="preserve">    </w:t>
            </w:r>
            <w:r>
              <w:rPr>
                <w:rFonts w:hint="default"/>
                <w:color w:val="auto"/>
                <w:spacing w:val="-99"/>
                <w:sz w:val="21"/>
                <w:szCs w:val="21"/>
                <w:highlight w:val="none"/>
              </w:rPr>
              <w:t xml:space="preserve"> </w:t>
            </w:r>
            <w:r>
              <w:rPr>
                <w:rFonts w:hint="default"/>
                <w:color w:val="auto"/>
                <w:spacing w:val="-1"/>
                <w:sz w:val="21"/>
                <w:szCs w:val="21"/>
                <w:highlight w:val="none"/>
              </w:rPr>
              <w:t>%之和。</w:t>
            </w:r>
          </w:p>
          <w:p w14:paraId="475CD543">
            <w:pPr>
              <w:pStyle w:val="11"/>
              <w:spacing w:before="173" w:beforeLines="0" w:afterLines="0" w:line="418" w:lineRule="exact"/>
              <w:ind w:left="553"/>
              <w:rPr>
                <w:rFonts w:hint="default"/>
                <w:color w:val="auto"/>
                <w:sz w:val="21"/>
                <w:szCs w:val="21"/>
                <w:highlight w:val="none"/>
              </w:rPr>
            </w:pPr>
            <w:r>
              <w:rPr>
                <w:rFonts w:hint="default"/>
                <w:color w:val="auto"/>
                <w:spacing w:val="4"/>
                <w:position w:val="15"/>
                <w:sz w:val="21"/>
                <w:szCs w:val="21"/>
                <w:highlight w:val="none"/>
              </w:rPr>
              <w:t>□通过初步评审且投标报价不低于合理最低价的投标人投标报价由低</w:t>
            </w:r>
          </w:p>
          <w:p w14:paraId="3D5ACCEC">
            <w:pPr>
              <w:pStyle w:val="11"/>
              <w:spacing w:beforeLines="0" w:afterLines="0" w:line="219" w:lineRule="auto"/>
              <w:ind w:left="115"/>
              <w:rPr>
                <w:rFonts w:hint="default"/>
                <w:color w:val="auto"/>
                <w:sz w:val="21"/>
                <w:szCs w:val="21"/>
                <w:highlight w:val="none"/>
              </w:rPr>
            </w:pPr>
            <w:r>
              <w:rPr>
                <w:rFonts w:hint="default"/>
                <w:color w:val="auto"/>
                <w:spacing w:val="-7"/>
                <w:sz w:val="21"/>
                <w:szCs w:val="21"/>
                <w:highlight w:val="none"/>
              </w:rPr>
              <w:t xml:space="preserve">到高排序， </w:t>
            </w:r>
            <w:r>
              <w:rPr>
                <w:rFonts w:hint="default"/>
                <w:color w:val="auto"/>
                <w:spacing w:val="-7"/>
                <w:sz w:val="21"/>
                <w:szCs w:val="21"/>
                <w:highlight w:val="none"/>
                <w:u w:val="single" w:color="auto"/>
              </w:rPr>
              <w:t xml:space="preserve">奇数位（偶数位） </w:t>
            </w:r>
            <w:r>
              <w:rPr>
                <w:rFonts w:hint="default"/>
                <w:color w:val="auto"/>
                <w:spacing w:val="-7"/>
                <w:sz w:val="21"/>
                <w:szCs w:val="21"/>
                <w:highlight w:val="none"/>
              </w:rPr>
              <w:t>投标人的投标报价的算术平均值下浮</w:t>
            </w:r>
            <w:r>
              <w:rPr>
                <w:rFonts w:hint="default"/>
                <w:color w:val="auto"/>
                <w:spacing w:val="-98"/>
                <w:sz w:val="21"/>
                <w:szCs w:val="21"/>
                <w:highlight w:val="none"/>
              </w:rPr>
              <w:t xml:space="preserve"> </w:t>
            </w:r>
            <w:r>
              <w:rPr>
                <w:rFonts w:hint="default"/>
                <w:color w:val="auto"/>
                <w:sz w:val="21"/>
                <w:szCs w:val="21"/>
                <w:highlight w:val="none"/>
                <w:u w:val="single" w:color="auto"/>
              </w:rPr>
              <w:t xml:space="preserve">    </w:t>
            </w:r>
            <w:r>
              <w:rPr>
                <w:rFonts w:hint="default"/>
                <w:color w:val="auto"/>
                <w:spacing w:val="-100"/>
                <w:sz w:val="21"/>
                <w:szCs w:val="21"/>
                <w:highlight w:val="none"/>
              </w:rPr>
              <w:t xml:space="preserve"> </w:t>
            </w:r>
            <w:r>
              <w:rPr>
                <w:rFonts w:hint="default"/>
                <w:color w:val="auto"/>
                <w:spacing w:val="-7"/>
                <w:sz w:val="21"/>
                <w:szCs w:val="21"/>
                <w:highlight w:val="none"/>
              </w:rPr>
              <w:t>%。</w:t>
            </w:r>
          </w:p>
          <w:p w14:paraId="5C611782">
            <w:pPr>
              <w:pStyle w:val="11"/>
              <w:spacing w:before="174" w:beforeLines="0" w:afterLines="0" w:line="369" w:lineRule="auto"/>
              <w:ind w:left="116" w:right="105" w:firstLine="437"/>
              <w:rPr>
                <w:rFonts w:hint="default"/>
                <w:color w:val="auto"/>
                <w:sz w:val="21"/>
                <w:szCs w:val="21"/>
                <w:highlight w:val="none"/>
              </w:rPr>
            </w:pPr>
            <w:r>
              <w:rPr>
                <w:rFonts w:hint="default"/>
                <w:color w:val="auto"/>
                <w:spacing w:val="4"/>
                <w:sz w:val="21"/>
                <w:szCs w:val="21"/>
                <w:highlight w:val="none"/>
              </w:rPr>
              <w:t>□通过初步评审且投标报价不低于合理最低价的投标人投标报价去掉</w:t>
            </w:r>
            <w:r>
              <w:rPr>
                <w:rFonts w:hint="default"/>
                <w:color w:val="auto"/>
                <w:spacing w:val="9"/>
                <w:sz w:val="21"/>
                <w:szCs w:val="21"/>
                <w:highlight w:val="none"/>
              </w:rPr>
              <w:t xml:space="preserve"> </w:t>
            </w:r>
            <w:r>
              <w:rPr>
                <w:rFonts w:hint="default"/>
                <w:color w:val="auto"/>
                <w:spacing w:val="-2"/>
                <w:sz w:val="21"/>
                <w:szCs w:val="21"/>
                <w:highlight w:val="none"/>
              </w:rPr>
              <w:t>（最高投标限价-投标报价） /最高投标限价小于</w:t>
            </w:r>
            <w:r>
              <w:rPr>
                <w:rFonts w:hint="default"/>
                <w:color w:val="auto"/>
                <w:spacing w:val="-2"/>
                <w:sz w:val="21"/>
                <w:szCs w:val="21"/>
                <w:highlight w:val="none"/>
                <w:u w:val="single" w:color="auto"/>
              </w:rPr>
              <w:t xml:space="preserve">    </w:t>
            </w:r>
            <w:r>
              <w:rPr>
                <w:rFonts w:hint="default"/>
                <w:color w:val="auto"/>
                <w:spacing w:val="-92"/>
                <w:sz w:val="21"/>
                <w:szCs w:val="21"/>
                <w:highlight w:val="none"/>
              </w:rPr>
              <w:t xml:space="preserve"> </w:t>
            </w:r>
            <w:r>
              <w:rPr>
                <w:rFonts w:hint="default"/>
                <w:color w:val="auto"/>
                <w:spacing w:val="-2"/>
                <w:sz w:val="21"/>
                <w:szCs w:val="21"/>
                <w:highlight w:val="none"/>
              </w:rPr>
              <w:t>%的投标报价后算术平</w:t>
            </w:r>
          </w:p>
          <w:p w14:paraId="3DEEEE09">
            <w:pPr>
              <w:pStyle w:val="11"/>
              <w:spacing w:before="1" w:beforeLines="0" w:afterLines="0" w:line="220" w:lineRule="auto"/>
              <w:ind w:left="110"/>
              <w:rPr>
                <w:rFonts w:hint="default"/>
                <w:color w:val="auto"/>
                <w:sz w:val="21"/>
                <w:szCs w:val="21"/>
                <w:highlight w:val="none"/>
              </w:rPr>
            </w:pPr>
            <w:r>
              <w:rPr>
                <w:rFonts w:hint="default"/>
                <w:color w:val="auto"/>
                <w:spacing w:val="-1"/>
                <w:sz w:val="21"/>
                <w:szCs w:val="21"/>
                <w:highlight w:val="none"/>
              </w:rPr>
              <w:t>均值下浮</w:t>
            </w:r>
            <w:r>
              <w:rPr>
                <w:rFonts w:hint="default"/>
                <w:color w:val="auto"/>
                <w:spacing w:val="-1"/>
                <w:sz w:val="21"/>
                <w:szCs w:val="21"/>
                <w:highlight w:val="none"/>
                <w:u w:val="single" w:color="auto"/>
              </w:rPr>
              <w:t xml:space="preserve">     </w:t>
            </w:r>
            <w:r>
              <w:rPr>
                <w:rFonts w:hint="default"/>
                <w:color w:val="auto"/>
                <w:spacing w:val="-100"/>
                <w:sz w:val="21"/>
                <w:szCs w:val="21"/>
                <w:highlight w:val="none"/>
              </w:rPr>
              <w:t xml:space="preserve"> </w:t>
            </w:r>
            <w:r>
              <w:rPr>
                <w:rFonts w:hint="default"/>
                <w:color w:val="auto"/>
                <w:spacing w:val="-1"/>
                <w:sz w:val="21"/>
                <w:szCs w:val="21"/>
                <w:highlight w:val="none"/>
              </w:rPr>
              <w:t>%。</w:t>
            </w:r>
          </w:p>
          <w:p w14:paraId="362794B9">
            <w:pPr>
              <w:pStyle w:val="11"/>
              <w:spacing w:before="166" w:beforeLines="0" w:afterLines="0" w:line="423" w:lineRule="exact"/>
              <w:ind w:left="534"/>
              <w:rPr>
                <w:rFonts w:hint="default"/>
                <w:color w:val="auto"/>
                <w:sz w:val="21"/>
                <w:szCs w:val="21"/>
                <w:highlight w:val="none"/>
              </w:rPr>
            </w:pPr>
            <w:r>
              <w:rPr>
                <w:rFonts w:hint="default"/>
                <w:color w:val="auto"/>
                <w:spacing w:val="5"/>
                <w:position w:val="16"/>
                <w:sz w:val="21"/>
                <w:szCs w:val="21"/>
                <w:highlight w:val="none"/>
              </w:rPr>
              <w:t>说明：下浮比例也可开标现场随机抽取（明确抽取范围）产生或明确</w:t>
            </w:r>
          </w:p>
          <w:p w14:paraId="6EAAC2AC">
            <w:pPr>
              <w:pStyle w:val="11"/>
              <w:spacing w:before="1" w:beforeLines="0" w:afterLines="0" w:line="220" w:lineRule="auto"/>
              <w:ind w:left="116"/>
              <w:rPr>
                <w:rFonts w:hint="default"/>
                <w:color w:val="auto"/>
                <w:sz w:val="21"/>
                <w:szCs w:val="21"/>
                <w:highlight w:val="none"/>
              </w:rPr>
            </w:pPr>
            <w:r>
              <w:rPr>
                <w:rFonts w:hint="default"/>
                <w:color w:val="auto"/>
                <w:spacing w:val="-4"/>
                <w:sz w:val="21"/>
                <w:szCs w:val="21"/>
                <w:highlight w:val="none"/>
              </w:rPr>
              <w:t>下浮比例产生规则。</w:t>
            </w:r>
          </w:p>
          <w:p w14:paraId="2C62B603">
            <w:pPr>
              <w:pStyle w:val="11"/>
              <w:spacing w:before="166" w:beforeLines="0" w:afterLines="0" w:line="221" w:lineRule="auto"/>
              <w:ind w:left="116"/>
              <w:rPr>
                <w:rFonts w:hint="default"/>
                <w:color w:val="auto"/>
                <w:sz w:val="21"/>
                <w:szCs w:val="21"/>
                <w:highlight w:val="none"/>
              </w:rPr>
            </w:pPr>
            <w:r>
              <w:rPr>
                <w:rFonts w:hint="default"/>
                <w:color w:val="auto"/>
                <w:spacing w:val="-2"/>
                <w:sz w:val="21"/>
                <w:szCs w:val="21"/>
                <w:highlight w:val="none"/>
              </w:rPr>
              <w:t>（5）技术标入围最终得分计算或排序方法：</w:t>
            </w:r>
          </w:p>
          <w:p w14:paraId="1EA420C2">
            <w:pPr>
              <w:pStyle w:val="11"/>
              <w:spacing w:before="171" w:beforeLines="0" w:afterLines="0" w:line="221" w:lineRule="auto"/>
              <w:ind w:left="553"/>
              <w:rPr>
                <w:rFonts w:hint="default"/>
                <w:color w:val="auto"/>
                <w:sz w:val="21"/>
                <w:szCs w:val="21"/>
                <w:highlight w:val="none"/>
              </w:rPr>
            </w:pPr>
            <w:r>
              <w:rPr>
                <w:rFonts w:hint="default"/>
                <w:color w:val="auto"/>
                <w:spacing w:val="-1"/>
                <w:sz w:val="21"/>
                <w:szCs w:val="21"/>
                <w:highlight w:val="none"/>
              </w:rPr>
              <w:t>□最终得分=经济标+技术标+资信标+其</w:t>
            </w:r>
            <w:r>
              <w:rPr>
                <w:rFonts w:hint="default"/>
                <w:color w:val="auto"/>
                <w:spacing w:val="-2"/>
                <w:sz w:val="21"/>
                <w:szCs w:val="21"/>
                <w:highlight w:val="none"/>
              </w:rPr>
              <w:t>他（按照得分排序）</w:t>
            </w:r>
          </w:p>
          <w:p w14:paraId="38C0AFF0">
            <w:pPr>
              <w:pStyle w:val="11"/>
              <w:spacing w:before="166" w:beforeLines="0" w:afterLines="0" w:line="221" w:lineRule="auto"/>
              <w:ind w:left="553"/>
              <w:rPr>
                <w:rFonts w:hint="default"/>
                <w:color w:val="auto"/>
                <w:sz w:val="21"/>
                <w:szCs w:val="21"/>
                <w:highlight w:val="none"/>
              </w:rPr>
            </w:pPr>
            <w:r>
              <w:rPr>
                <w:rFonts w:hint="default"/>
                <w:color w:val="auto"/>
                <w:spacing w:val="-2"/>
                <w:sz w:val="21"/>
                <w:szCs w:val="21"/>
                <w:highlight w:val="none"/>
              </w:rPr>
              <w:t>□最终得分=经济标+资信标+其他（按照得分排序）</w:t>
            </w:r>
          </w:p>
          <w:p w14:paraId="7E5AC92F">
            <w:pPr>
              <w:pStyle w:val="11"/>
              <w:spacing w:before="172" w:beforeLines="0" w:afterLines="0" w:line="221" w:lineRule="auto"/>
              <w:ind w:left="553"/>
              <w:rPr>
                <w:rFonts w:hint="default"/>
                <w:color w:val="auto"/>
                <w:sz w:val="21"/>
                <w:szCs w:val="21"/>
                <w:highlight w:val="none"/>
              </w:rPr>
            </w:pPr>
            <w:r>
              <w:rPr>
                <w:rFonts w:hint="default"/>
                <w:color w:val="auto"/>
                <w:spacing w:val="-2"/>
                <w:sz w:val="21"/>
                <w:szCs w:val="21"/>
                <w:highlight w:val="none"/>
              </w:rPr>
              <w:t>□最终得分=经济标（按照得分排序）</w:t>
            </w:r>
          </w:p>
        </w:tc>
      </w:tr>
    </w:tbl>
    <w:p w14:paraId="5B2C12FD">
      <w:pPr>
        <w:pStyle w:val="3"/>
        <w:spacing w:beforeLines="0" w:afterLines="0"/>
        <w:rPr>
          <w:rFonts w:hint="default"/>
          <w:color w:val="auto"/>
          <w:sz w:val="21"/>
          <w:szCs w:val="21"/>
          <w:highlight w:val="none"/>
        </w:rPr>
      </w:pPr>
    </w:p>
    <w:p w14:paraId="1423E46E">
      <w:pPr>
        <w:spacing w:beforeLines="0" w:afterLines="0"/>
        <w:rPr>
          <w:rFonts w:hint="default"/>
          <w:color w:val="auto"/>
          <w:sz w:val="21"/>
          <w:szCs w:val="21"/>
          <w:highlight w:val="none"/>
        </w:rPr>
        <w:sectPr>
          <w:footerReference r:id="rId46" w:type="default"/>
          <w:pgSz w:w="11905" w:h="16839"/>
          <w:pgMar w:top="1431" w:right="1474" w:bottom="996" w:left="1483" w:header="0" w:footer="791" w:gutter="0"/>
          <w:lnNumType w:countBy="0" w:distance="360"/>
          <w:pgNumType w:fmt="decimal"/>
          <w:cols w:space="720" w:num="1"/>
        </w:sectPr>
      </w:pPr>
    </w:p>
    <w:p w14:paraId="47A8B6C3">
      <w:pPr>
        <w:spacing w:beforeLines="0" w:afterLines="0" w:line="95" w:lineRule="auto"/>
        <w:rPr>
          <w:rFonts w:hint="default"/>
          <w:color w:val="auto"/>
          <w:sz w:val="2"/>
          <w:szCs w:val="21"/>
          <w:highlight w:val="none"/>
        </w:rPr>
      </w:pPr>
    </w:p>
    <w:tbl>
      <w:tblPr>
        <w:tblStyle w:val="6"/>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3"/>
        <w:gridCol w:w="2044"/>
        <w:gridCol w:w="5053"/>
      </w:tblGrid>
      <w:tr w14:paraId="48B4C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9" w:hRule="atLeast"/>
        </w:trPr>
        <w:tc>
          <w:tcPr>
            <w:tcW w:w="184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44F7FEB0">
            <w:pPr>
              <w:spacing w:beforeLines="0" w:afterLines="0"/>
              <w:rPr>
                <w:rFonts w:hint="default"/>
                <w:color w:val="auto"/>
                <w:sz w:val="21"/>
                <w:szCs w:val="21"/>
                <w:highlight w:val="none"/>
              </w:rPr>
            </w:pPr>
          </w:p>
        </w:tc>
        <w:tc>
          <w:tcPr>
            <w:tcW w:w="7097" w:type="dxa"/>
            <w:gridSpan w:val="2"/>
            <w:tcBorders>
              <w:top w:val="single" w:color="000000" w:sz="2" w:space="0"/>
              <w:left w:val="single" w:color="000000" w:sz="2" w:space="0"/>
              <w:bottom w:val="single" w:color="000000" w:sz="2" w:space="0"/>
              <w:right w:val="single" w:color="000000" w:sz="2" w:space="0"/>
              <w:tl2br w:val="nil"/>
              <w:tr2bl w:val="nil"/>
            </w:tcBorders>
            <w:noWrap w:val="0"/>
            <w:vAlign w:val="top"/>
          </w:tcPr>
          <w:p w14:paraId="7B14A990">
            <w:pPr>
              <w:pStyle w:val="11"/>
              <w:spacing w:before="163" w:beforeLines="0" w:afterLines="0" w:line="418" w:lineRule="exact"/>
              <w:ind w:left="553"/>
              <w:rPr>
                <w:rFonts w:hint="default"/>
                <w:color w:val="auto"/>
                <w:sz w:val="21"/>
                <w:szCs w:val="21"/>
                <w:highlight w:val="none"/>
              </w:rPr>
            </w:pPr>
            <w:bookmarkStart w:id="102" w:name="bookmark121"/>
            <w:bookmarkEnd w:id="102"/>
            <w:bookmarkStart w:id="103" w:name="bookmark124"/>
            <w:bookmarkEnd w:id="103"/>
            <w:bookmarkStart w:id="104" w:name="bookmark126"/>
            <w:bookmarkEnd w:id="104"/>
            <w:bookmarkStart w:id="105" w:name="bookmark128"/>
            <w:bookmarkEnd w:id="105"/>
            <w:bookmarkStart w:id="106" w:name="bookmark123"/>
            <w:bookmarkEnd w:id="106"/>
            <w:bookmarkStart w:id="107" w:name="bookmark122"/>
            <w:bookmarkEnd w:id="107"/>
            <w:bookmarkStart w:id="108" w:name="bookmark127"/>
            <w:bookmarkEnd w:id="108"/>
            <w:bookmarkStart w:id="109" w:name="bookmark125"/>
            <w:bookmarkEnd w:id="109"/>
            <w:r>
              <w:rPr>
                <w:rFonts w:hint="default"/>
                <w:color w:val="auto"/>
                <w:spacing w:val="-1"/>
                <w:position w:val="15"/>
                <w:sz w:val="21"/>
                <w:szCs w:val="21"/>
                <w:highlight w:val="none"/>
              </w:rPr>
              <w:t>□最终排序=按照报价由低到高排序（按照报</w:t>
            </w:r>
            <w:r>
              <w:rPr>
                <w:rFonts w:hint="default"/>
                <w:color w:val="auto"/>
                <w:spacing w:val="-2"/>
                <w:position w:val="15"/>
                <w:sz w:val="21"/>
                <w:szCs w:val="21"/>
                <w:highlight w:val="none"/>
              </w:rPr>
              <w:t>价排序）</w:t>
            </w:r>
          </w:p>
          <w:p w14:paraId="4403B76C">
            <w:pPr>
              <w:pStyle w:val="11"/>
              <w:spacing w:beforeLines="0" w:afterLines="0" w:line="220" w:lineRule="auto"/>
              <w:ind w:left="116"/>
              <w:rPr>
                <w:rFonts w:hint="default"/>
                <w:color w:val="auto"/>
                <w:sz w:val="21"/>
                <w:szCs w:val="21"/>
                <w:highlight w:val="none"/>
              </w:rPr>
            </w:pPr>
            <w:r>
              <w:rPr>
                <w:rFonts w:hint="default"/>
                <w:color w:val="auto"/>
                <w:spacing w:val="-2"/>
                <w:sz w:val="21"/>
                <w:szCs w:val="21"/>
                <w:highlight w:val="none"/>
              </w:rPr>
              <w:t>（6）综合性入围最终得分计算或排序方法：</w:t>
            </w:r>
          </w:p>
          <w:p w14:paraId="39CDBD17">
            <w:pPr>
              <w:pStyle w:val="11"/>
              <w:spacing w:before="171" w:beforeLines="0" w:afterLines="0" w:line="221" w:lineRule="auto"/>
              <w:ind w:left="553"/>
              <w:rPr>
                <w:rFonts w:hint="default"/>
                <w:color w:val="auto"/>
                <w:sz w:val="21"/>
                <w:szCs w:val="21"/>
                <w:highlight w:val="none"/>
              </w:rPr>
            </w:pPr>
            <w:r>
              <w:rPr>
                <w:rFonts w:hint="default"/>
                <w:color w:val="auto"/>
                <w:spacing w:val="-1"/>
                <w:sz w:val="21"/>
                <w:szCs w:val="21"/>
                <w:highlight w:val="none"/>
              </w:rPr>
              <w:sym w:font="Wingdings 2" w:char="00A3"/>
            </w:r>
            <w:r>
              <w:rPr>
                <w:rFonts w:hint="default"/>
                <w:color w:val="auto"/>
                <w:spacing w:val="-1"/>
                <w:sz w:val="21"/>
                <w:szCs w:val="21"/>
                <w:highlight w:val="none"/>
              </w:rPr>
              <w:t>最终得分=经济标+技术标+资信标+其</w:t>
            </w:r>
            <w:r>
              <w:rPr>
                <w:rFonts w:hint="default"/>
                <w:color w:val="auto"/>
                <w:spacing w:val="-2"/>
                <w:sz w:val="21"/>
                <w:szCs w:val="21"/>
                <w:highlight w:val="none"/>
              </w:rPr>
              <w:t>他（按照得分排序）</w:t>
            </w:r>
          </w:p>
          <w:p w14:paraId="0EBF6ACD">
            <w:pPr>
              <w:pStyle w:val="11"/>
              <w:spacing w:before="166" w:beforeLines="0" w:afterLines="0" w:line="221" w:lineRule="auto"/>
              <w:ind w:left="553"/>
              <w:rPr>
                <w:rFonts w:hint="default"/>
                <w:color w:val="auto"/>
                <w:sz w:val="21"/>
                <w:szCs w:val="21"/>
                <w:highlight w:val="none"/>
              </w:rPr>
            </w:pPr>
            <w:r>
              <w:rPr>
                <w:rFonts w:hint="default"/>
                <w:color w:val="auto"/>
                <w:spacing w:val="-2"/>
                <w:sz w:val="21"/>
                <w:szCs w:val="21"/>
                <w:highlight w:val="none"/>
              </w:rPr>
              <w:t>□最终得分=经济标（按照得分排序）</w:t>
            </w:r>
          </w:p>
          <w:p w14:paraId="2F87F716">
            <w:pPr>
              <w:pStyle w:val="11"/>
              <w:spacing w:before="171" w:beforeLines="0" w:afterLines="0" w:line="219" w:lineRule="auto"/>
              <w:ind w:left="553"/>
              <w:rPr>
                <w:rFonts w:hint="default"/>
                <w:color w:val="auto"/>
                <w:sz w:val="21"/>
                <w:szCs w:val="21"/>
                <w:highlight w:val="none"/>
              </w:rPr>
            </w:pPr>
            <w:r>
              <w:rPr>
                <w:rFonts w:hint="default"/>
                <w:color w:val="auto"/>
                <w:spacing w:val="-1"/>
                <w:sz w:val="21"/>
                <w:szCs w:val="21"/>
                <w:highlight w:val="none"/>
              </w:rPr>
              <w:t>□最终排序=按照报价由低到高排序（按照报</w:t>
            </w:r>
            <w:r>
              <w:rPr>
                <w:rFonts w:hint="default"/>
                <w:color w:val="auto"/>
                <w:spacing w:val="-2"/>
                <w:sz w:val="21"/>
                <w:szCs w:val="21"/>
                <w:highlight w:val="none"/>
              </w:rPr>
              <w:t>价排序）</w:t>
            </w:r>
          </w:p>
          <w:p w14:paraId="621B578E">
            <w:pPr>
              <w:pStyle w:val="11"/>
              <w:spacing w:before="168" w:beforeLines="0" w:afterLines="0" w:line="221" w:lineRule="auto"/>
              <w:ind w:left="116"/>
              <w:rPr>
                <w:rFonts w:hint="default"/>
                <w:color w:val="auto"/>
                <w:sz w:val="21"/>
                <w:szCs w:val="21"/>
                <w:highlight w:val="none"/>
              </w:rPr>
            </w:pPr>
            <w:r>
              <w:rPr>
                <w:rFonts w:hint="default"/>
                <w:color w:val="auto"/>
                <w:spacing w:val="-1"/>
                <w:sz w:val="21"/>
                <w:szCs w:val="21"/>
                <w:highlight w:val="none"/>
              </w:rPr>
              <w:t>（7）当通过初步评审的投标人数量小于等于入围数量，则全部</w:t>
            </w:r>
            <w:r>
              <w:rPr>
                <w:rFonts w:hint="default"/>
                <w:color w:val="auto"/>
                <w:spacing w:val="-2"/>
                <w:sz w:val="21"/>
                <w:szCs w:val="21"/>
                <w:highlight w:val="none"/>
              </w:rPr>
              <w:t>入围。</w:t>
            </w:r>
          </w:p>
        </w:tc>
      </w:tr>
      <w:tr w14:paraId="011ADD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1" w:hRule="atLeast"/>
        </w:trPr>
        <w:tc>
          <w:tcPr>
            <w:tcW w:w="184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33D7B617">
            <w:pPr>
              <w:spacing w:beforeLines="0" w:afterLines="0" w:line="250" w:lineRule="auto"/>
              <w:rPr>
                <w:rFonts w:hint="default"/>
                <w:color w:val="auto"/>
                <w:sz w:val="21"/>
                <w:szCs w:val="21"/>
                <w:highlight w:val="none"/>
              </w:rPr>
            </w:pPr>
          </w:p>
          <w:p w14:paraId="0445EF8E">
            <w:pPr>
              <w:spacing w:beforeLines="0" w:afterLines="0" w:line="250" w:lineRule="auto"/>
              <w:rPr>
                <w:rFonts w:hint="default"/>
                <w:color w:val="auto"/>
                <w:sz w:val="21"/>
                <w:szCs w:val="21"/>
                <w:highlight w:val="none"/>
              </w:rPr>
            </w:pPr>
          </w:p>
          <w:p w14:paraId="11DFC27D">
            <w:pPr>
              <w:spacing w:beforeLines="0" w:afterLines="0" w:line="250" w:lineRule="auto"/>
              <w:rPr>
                <w:rFonts w:hint="default"/>
                <w:color w:val="auto"/>
                <w:sz w:val="21"/>
                <w:szCs w:val="21"/>
                <w:highlight w:val="none"/>
              </w:rPr>
            </w:pPr>
          </w:p>
          <w:p w14:paraId="722D51A6">
            <w:pPr>
              <w:spacing w:beforeLines="0" w:afterLines="0" w:line="250" w:lineRule="auto"/>
              <w:rPr>
                <w:rFonts w:hint="default"/>
                <w:color w:val="auto"/>
                <w:sz w:val="21"/>
                <w:szCs w:val="21"/>
                <w:highlight w:val="none"/>
              </w:rPr>
            </w:pPr>
          </w:p>
          <w:p w14:paraId="64736C0C">
            <w:pPr>
              <w:spacing w:beforeLines="0" w:afterLines="0" w:line="251" w:lineRule="auto"/>
              <w:rPr>
                <w:rFonts w:hint="default"/>
                <w:color w:val="auto"/>
                <w:sz w:val="21"/>
                <w:szCs w:val="21"/>
                <w:highlight w:val="none"/>
              </w:rPr>
            </w:pPr>
          </w:p>
          <w:p w14:paraId="6F3C78DF">
            <w:pPr>
              <w:spacing w:beforeLines="0" w:afterLines="0" w:line="251" w:lineRule="auto"/>
              <w:rPr>
                <w:rFonts w:hint="default"/>
                <w:color w:val="auto"/>
                <w:sz w:val="21"/>
                <w:szCs w:val="21"/>
                <w:highlight w:val="none"/>
              </w:rPr>
            </w:pPr>
          </w:p>
          <w:p w14:paraId="1E7AE4ED">
            <w:pPr>
              <w:spacing w:beforeLines="0" w:afterLines="0" w:line="251" w:lineRule="auto"/>
              <w:rPr>
                <w:rFonts w:hint="default"/>
                <w:color w:val="auto"/>
                <w:sz w:val="21"/>
                <w:szCs w:val="21"/>
                <w:highlight w:val="none"/>
              </w:rPr>
            </w:pPr>
          </w:p>
          <w:p w14:paraId="551D9940">
            <w:pPr>
              <w:spacing w:before="60" w:beforeLines="0" w:afterLines="0" w:line="189" w:lineRule="auto"/>
              <w:ind w:left="791"/>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pacing w:val="-2"/>
                <w:sz w:val="21"/>
                <w:szCs w:val="21"/>
                <w:highlight w:val="none"/>
              </w:rPr>
              <w:t>3.3</w:t>
            </w:r>
          </w:p>
        </w:tc>
        <w:tc>
          <w:tcPr>
            <w:tcW w:w="7097" w:type="dxa"/>
            <w:gridSpan w:val="2"/>
            <w:tcBorders>
              <w:top w:val="single" w:color="000000" w:sz="2" w:space="0"/>
              <w:left w:val="single" w:color="000000" w:sz="2" w:space="0"/>
              <w:bottom w:val="single" w:color="000000" w:sz="2" w:space="0"/>
              <w:right w:val="single" w:color="000000" w:sz="2" w:space="0"/>
              <w:tl2br w:val="nil"/>
              <w:tr2bl w:val="nil"/>
            </w:tcBorders>
            <w:noWrap w:val="0"/>
            <w:vAlign w:val="top"/>
          </w:tcPr>
          <w:p w14:paraId="6AA033F5">
            <w:pPr>
              <w:pStyle w:val="11"/>
              <w:spacing w:before="30" w:beforeLines="0" w:afterLines="0" w:line="359" w:lineRule="auto"/>
              <w:ind w:left="110" w:right="107" w:firstLine="420"/>
              <w:jc w:val="both"/>
              <w:rPr>
                <w:rFonts w:hint="default"/>
                <w:color w:val="auto"/>
                <w:sz w:val="21"/>
                <w:szCs w:val="21"/>
                <w:highlight w:val="none"/>
              </w:rPr>
            </w:pPr>
            <w:r>
              <w:rPr>
                <w:rFonts w:hint="default"/>
                <w:color w:val="auto"/>
                <w:spacing w:val="5"/>
                <w:sz w:val="21"/>
                <w:szCs w:val="21"/>
                <w:highlight w:val="none"/>
              </w:rPr>
              <w:t>评标委员会在评标过程中，如要求投标人澄清或说明的，评标委员会</w:t>
            </w:r>
            <w:r>
              <w:rPr>
                <w:rFonts w:hint="default"/>
                <w:color w:val="auto"/>
                <w:spacing w:val="2"/>
                <w:sz w:val="21"/>
                <w:szCs w:val="21"/>
                <w:highlight w:val="none"/>
              </w:rPr>
              <w:t xml:space="preserve"> </w:t>
            </w:r>
            <w:r>
              <w:rPr>
                <w:rFonts w:hint="default"/>
                <w:color w:val="auto"/>
                <w:spacing w:val="5"/>
                <w:sz w:val="21"/>
                <w:szCs w:val="21"/>
                <w:highlight w:val="none"/>
              </w:rPr>
              <w:t>要求投标人在线澄清或说明的时间距投标人收到</w:t>
            </w:r>
            <w:r>
              <w:rPr>
                <w:rFonts w:hint="default"/>
                <w:color w:val="auto"/>
                <w:spacing w:val="4"/>
                <w:sz w:val="21"/>
                <w:szCs w:val="21"/>
                <w:highlight w:val="none"/>
              </w:rPr>
              <w:t>评标委员会通知的时间不</w:t>
            </w:r>
          </w:p>
          <w:p w14:paraId="71ABD025">
            <w:pPr>
              <w:pStyle w:val="11"/>
              <w:spacing w:beforeLines="0" w:afterLines="0" w:line="220" w:lineRule="auto"/>
              <w:ind w:left="110"/>
              <w:rPr>
                <w:rFonts w:hint="default"/>
                <w:color w:val="auto"/>
                <w:sz w:val="21"/>
                <w:szCs w:val="21"/>
                <w:highlight w:val="none"/>
              </w:rPr>
            </w:pPr>
            <w:r>
              <w:rPr>
                <w:rFonts w:hint="default"/>
                <w:color w:val="auto"/>
                <w:spacing w:val="-4"/>
                <w:sz w:val="21"/>
                <w:szCs w:val="21"/>
                <w:highlight w:val="none"/>
              </w:rPr>
              <w:t>得少于</w:t>
            </w:r>
            <w:r>
              <w:rPr>
                <w:rFonts w:hint="default"/>
                <w:color w:val="auto"/>
                <w:spacing w:val="-4"/>
                <w:sz w:val="21"/>
                <w:szCs w:val="21"/>
                <w:highlight w:val="none"/>
                <w:u w:val="single" w:color="auto"/>
                <w:lang w:eastAsia="zh-CN"/>
              </w:rPr>
              <w:t>30</w:t>
            </w:r>
            <w:r>
              <w:rPr>
                <w:rFonts w:hint="default"/>
                <w:color w:val="auto"/>
                <w:spacing w:val="-4"/>
                <w:sz w:val="21"/>
                <w:szCs w:val="21"/>
                <w:highlight w:val="none"/>
              </w:rPr>
              <w:t>分钟。</w:t>
            </w:r>
          </w:p>
          <w:p w14:paraId="0B13597D">
            <w:pPr>
              <w:pStyle w:val="11"/>
              <w:spacing w:before="157" w:beforeLines="0" w:afterLines="0" w:line="361" w:lineRule="auto"/>
              <w:ind w:left="113" w:right="107" w:firstLine="418"/>
              <w:jc w:val="both"/>
              <w:rPr>
                <w:rFonts w:hint="default"/>
                <w:color w:val="auto"/>
                <w:sz w:val="21"/>
                <w:szCs w:val="21"/>
                <w:highlight w:val="none"/>
              </w:rPr>
            </w:pPr>
            <w:r>
              <w:rPr>
                <w:rFonts w:hint="default"/>
                <w:color w:val="auto"/>
                <w:spacing w:val="5"/>
                <w:sz w:val="21"/>
                <w:szCs w:val="21"/>
                <w:highlight w:val="none"/>
              </w:rPr>
              <w:t>评标委员会认为投标人的澄清或说明不够明确，应再次要求投标人对</w:t>
            </w:r>
            <w:r>
              <w:rPr>
                <w:rFonts w:hint="default"/>
                <w:color w:val="auto"/>
                <w:spacing w:val="2"/>
                <w:sz w:val="21"/>
                <w:szCs w:val="21"/>
                <w:highlight w:val="none"/>
              </w:rPr>
              <w:t xml:space="preserve"> </w:t>
            </w:r>
            <w:r>
              <w:rPr>
                <w:rFonts w:hint="default"/>
                <w:color w:val="auto"/>
                <w:spacing w:val="4"/>
                <w:sz w:val="21"/>
                <w:szCs w:val="21"/>
                <w:highlight w:val="none"/>
              </w:rPr>
              <w:t>不明确的内容进行澄清或说明，评标委员会要求投标人再次在线澄清或说</w:t>
            </w:r>
          </w:p>
          <w:p w14:paraId="7F658762">
            <w:pPr>
              <w:pStyle w:val="11"/>
              <w:spacing w:beforeLines="0" w:afterLines="0" w:line="219" w:lineRule="auto"/>
              <w:ind w:left="129"/>
              <w:rPr>
                <w:rFonts w:hint="default"/>
                <w:color w:val="auto"/>
                <w:sz w:val="21"/>
                <w:szCs w:val="21"/>
                <w:highlight w:val="none"/>
              </w:rPr>
            </w:pPr>
            <w:r>
              <w:rPr>
                <w:rFonts w:hint="default"/>
                <w:color w:val="auto"/>
                <w:spacing w:val="-2"/>
                <w:sz w:val="21"/>
                <w:szCs w:val="21"/>
                <w:highlight w:val="none"/>
              </w:rPr>
              <w:t>明的时间距投标人收到评标委员会通知的时间不得少于</w:t>
            </w:r>
            <w:r>
              <w:rPr>
                <w:rFonts w:hint="default"/>
                <w:color w:val="auto"/>
                <w:spacing w:val="-87"/>
                <w:sz w:val="21"/>
                <w:szCs w:val="21"/>
                <w:highlight w:val="none"/>
              </w:rPr>
              <w:t xml:space="preserve"> </w:t>
            </w:r>
            <w:r>
              <w:rPr>
                <w:rFonts w:hint="default"/>
                <w:color w:val="auto"/>
                <w:sz w:val="21"/>
                <w:szCs w:val="21"/>
                <w:highlight w:val="none"/>
                <w:u w:val="single" w:color="auto"/>
                <w:lang w:eastAsia="zh-CN"/>
              </w:rPr>
              <w:t>30</w:t>
            </w:r>
            <w:r>
              <w:rPr>
                <w:rFonts w:hint="default"/>
                <w:color w:val="auto"/>
                <w:spacing w:val="-92"/>
                <w:sz w:val="21"/>
                <w:szCs w:val="21"/>
                <w:highlight w:val="none"/>
              </w:rPr>
              <w:t xml:space="preserve"> </w:t>
            </w:r>
            <w:r>
              <w:rPr>
                <w:rFonts w:hint="default"/>
                <w:color w:val="auto"/>
                <w:spacing w:val="-2"/>
                <w:sz w:val="21"/>
                <w:szCs w:val="21"/>
                <w:highlight w:val="none"/>
              </w:rPr>
              <w:t>分钟。</w:t>
            </w:r>
          </w:p>
          <w:p w14:paraId="15B6DAA5">
            <w:pPr>
              <w:pStyle w:val="11"/>
              <w:spacing w:before="157" w:beforeLines="0" w:afterLines="0" w:line="359" w:lineRule="auto"/>
              <w:ind w:left="113" w:right="107" w:firstLine="421"/>
              <w:jc w:val="both"/>
              <w:rPr>
                <w:rFonts w:hint="default"/>
                <w:color w:val="auto"/>
                <w:sz w:val="21"/>
                <w:szCs w:val="21"/>
                <w:highlight w:val="none"/>
              </w:rPr>
            </w:pPr>
            <w:r>
              <w:rPr>
                <w:rFonts w:hint="default"/>
                <w:color w:val="auto"/>
                <w:spacing w:val="-1"/>
                <w:sz w:val="21"/>
                <w:szCs w:val="21"/>
                <w:highlight w:val="none"/>
              </w:rPr>
              <w:t>投标人未在规定时间内作出澄清或说明的，</w:t>
            </w:r>
            <w:r>
              <w:rPr>
                <w:rFonts w:hint="default"/>
                <w:color w:val="auto"/>
                <w:spacing w:val="73"/>
                <w:sz w:val="21"/>
                <w:szCs w:val="21"/>
                <w:highlight w:val="none"/>
              </w:rPr>
              <w:t xml:space="preserve"> </w:t>
            </w:r>
            <w:r>
              <w:rPr>
                <w:rFonts w:hint="default"/>
                <w:color w:val="auto"/>
                <w:spacing w:val="-1"/>
                <w:sz w:val="21"/>
                <w:szCs w:val="21"/>
                <w:highlight w:val="none"/>
              </w:rPr>
              <w:t>或者评标委员会成员认为</w:t>
            </w:r>
            <w:r>
              <w:rPr>
                <w:rFonts w:hint="default"/>
                <w:color w:val="auto"/>
                <w:sz w:val="21"/>
                <w:szCs w:val="21"/>
                <w:highlight w:val="none"/>
              </w:rPr>
              <w:t xml:space="preserve"> </w:t>
            </w:r>
            <w:r>
              <w:rPr>
                <w:rFonts w:hint="default"/>
                <w:color w:val="auto"/>
                <w:spacing w:val="11"/>
                <w:sz w:val="21"/>
                <w:szCs w:val="21"/>
                <w:highlight w:val="none"/>
              </w:rPr>
              <w:t>该投标人的澄清或说明始终都不符合评标委员会要求的，作否决投标处</w:t>
            </w:r>
          </w:p>
          <w:p w14:paraId="44B7BD20">
            <w:pPr>
              <w:pStyle w:val="11"/>
              <w:spacing w:before="1" w:beforeLines="0" w:afterLines="0" w:line="230" w:lineRule="auto"/>
              <w:ind w:left="112"/>
              <w:rPr>
                <w:rFonts w:hint="default"/>
                <w:color w:val="auto"/>
                <w:sz w:val="21"/>
                <w:szCs w:val="21"/>
                <w:highlight w:val="none"/>
              </w:rPr>
            </w:pPr>
            <w:r>
              <w:rPr>
                <w:rFonts w:hint="default"/>
                <w:color w:val="auto"/>
                <w:spacing w:val="-10"/>
                <w:sz w:val="21"/>
                <w:szCs w:val="21"/>
                <w:highlight w:val="none"/>
              </w:rPr>
              <w:t>理。</w:t>
            </w:r>
          </w:p>
        </w:tc>
      </w:tr>
      <w:tr w14:paraId="17DC8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84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5F7913DF">
            <w:pPr>
              <w:pStyle w:val="11"/>
              <w:spacing w:before="175" w:beforeLines="0" w:afterLines="0" w:line="221" w:lineRule="auto"/>
              <w:ind w:left="610"/>
              <w:rPr>
                <w:rFonts w:hint="default"/>
                <w:color w:val="auto"/>
                <w:sz w:val="21"/>
                <w:szCs w:val="21"/>
                <w:highlight w:val="none"/>
              </w:rPr>
            </w:pPr>
            <w:r>
              <w:rPr>
                <w:rFonts w:hint="default"/>
                <w:color w:val="auto"/>
                <w:spacing w:val="-2"/>
                <w:sz w:val="21"/>
                <w:szCs w:val="21"/>
                <w:highlight w:val="none"/>
              </w:rPr>
              <w:t>条款号</w:t>
            </w: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53580AE4">
            <w:pPr>
              <w:pStyle w:val="11"/>
              <w:spacing w:before="175" w:beforeLines="0" w:afterLines="0" w:line="221" w:lineRule="auto"/>
              <w:ind w:left="601"/>
              <w:rPr>
                <w:rFonts w:hint="default"/>
                <w:color w:val="auto"/>
                <w:sz w:val="21"/>
                <w:szCs w:val="21"/>
                <w:highlight w:val="none"/>
              </w:rPr>
            </w:pPr>
            <w:r>
              <w:rPr>
                <w:rFonts w:hint="default"/>
                <w:color w:val="auto"/>
                <w:spacing w:val="-1"/>
                <w:sz w:val="21"/>
                <w:szCs w:val="21"/>
                <w:highlight w:val="none"/>
              </w:rPr>
              <w:t>条款内容</w:t>
            </w:r>
          </w:p>
        </w:tc>
        <w:tc>
          <w:tcPr>
            <w:tcW w:w="505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4287D9C">
            <w:pPr>
              <w:pStyle w:val="11"/>
              <w:spacing w:before="175" w:beforeLines="0" w:afterLines="0" w:line="221" w:lineRule="auto"/>
              <w:ind w:left="2110"/>
              <w:rPr>
                <w:rFonts w:hint="default"/>
                <w:color w:val="auto"/>
                <w:sz w:val="21"/>
                <w:szCs w:val="21"/>
                <w:highlight w:val="none"/>
              </w:rPr>
            </w:pPr>
            <w:r>
              <w:rPr>
                <w:rFonts w:hint="default"/>
                <w:color w:val="auto"/>
                <w:spacing w:val="-1"/>
                <w:sz w:val="21"/>
                <w:szCs w:val="21"/>
                <w:highlight w:val="none"/>
              </w:rPr>
              <w:t>编列内容</w:t>
            </w:r>
          </w:p>
        </w:tc>
      </w:tr>
      <w:tr w14:paraId="7BC7A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184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121C762">
            <w:pPr>
              <w:spacing w:beforeLines="0" w:afterLines="0" w:line="254" w:lineRule="auto"/>
              <w:rPr>
                <w:rFonts w:hint="default"/>
                <w:color w:val="auto"/>
                <w:sz w:val="21"/>
                <w:szCs w:val="21"/>
                <w:highlight w:val="none"/>
              </w:rPr>
            </w:pPr>
          </w:p>
          <w:p w14:paraId="193E7E79">
            <w:pPr>
              <w:spacing w:beforeLines="0" w:afterLines="0" w:line="254" w:lineRule="auto"/>
              <w:rPr>
                <w:rFonts w:hint="default"/>
                <w:color w:val="auto"/>
                <w:sz w:val="21"/>
                <w:szCs w:val="21"/>
                <w:highlight w:val="none"/>
              </w:rPr>
            </w:pPr>
          </w:p>
          <w:p w14:paraId="413D6204">
            <w:pPr>
              <w:spacing w:beforeLines="0" w:afterLines="0" w:line="254" w:lineRule="auto"/>
              <w:rPr>
                <w:rFonts w:hint="default"/>
                <w:color w:val="auto"/>
                <w:sz w:val="21"/>
                <w:szCs w:val="21"/>
                <w:highlight w:val="none"/>
              </w:rPr>
            </w:pPr>
          </w:p>
          <w:p w14:paraId="1E76C9E4">
            <w:pPr>
              <w:spacing w:before="60" w:beforeLines="0" w:afterLines="0" w:line="189" w:lineRule="auto"/>
              <w:ind w:left="710"/>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pacing w:val="-1"/>
                <w:sz w:val="21"/>
                <w:szCs w:val="21"/>
                <w:highlight w:val="none"/>
              </w:rPr>
              <w:t>2.2.1</w:t>
            </w: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5C75D7E2">
            <w:pPr>
              <w:spacing w:beforeLines="0" w:afterLines="0" w:line="253" w:lineRule="auto"/>
              <w:rPr>
                <w:rFonts w:hint="default"/>
                <w:color w:val="auto"/>
                <w:sz w:val="21"/>
                <w:szCs w:val="21"/>
                <w:highlight w:val="none"/>
              </w:rPr>
            </w:pPr>
          </w:p>
          <w:p w14:paraId="314CC22C">
            <w:pPr>
              <w:spacing w:beforeLines="0" w:afterLines="0" w:line="254" w:lineRule="auto"/>
              <w:rPr>
                <w:rFonts w:hint="default"/>
                <w:color w:val="auto"/>
                <w:sz w:val="21"/>
                <w:szCs w:val="21"/>
                <w:highlight w:val="none"/>
              </w:rPr>
            </w:pPr>
          </w:p>
          <w:p w14:paraId="1FF8CA9D">
            <w:pPr>
              <w:pStyle w:val="11"/>
              <w:spacing w:before="68" w:beforeLines="0" w:afterLines="0" w:line="221" w:lineRule="auto"/>
              <w:ind w:left="606"/>
              <w:rPr>
                <w:rFonts w:hint="default"/>
                <w:color w:val="auto"/>
                <w:sz w:val="21"/>
                <w:szCs w:val="21"/>
                <w:highlight w:val="none"/>
              </w:rPr>
            </w:pPr>
            <w:r>
              <w:rPr>
                <w:rFonts w:hint="default"/>
                <w:color w:val="auto"/>
                <w:spacing w:val="-2"/>
                <w:sz w:val="21"/>
                <w:szCs w:val="21"/>
                <w:highlight w:val="none"/>
              </w:rPr>
              <w:t>分值构成</w:t>
            </w:r>
          </w:p>
          <w:p w14:paraId="3EEDDAC5">
            <w:pPr>
              <w:pStyle w:val="11"/>
              <w:spacing w:before="167" w:beforeLines="0" w:afterLines="0" w:line="221" w:lineRule="auto"/>
              <w:ind w:left="293"/>
              <w:rPr>
                <w:rFonts w:hint="default"/>
                <w:color w:val="auto"/>
                <w:sz w:val="21"/>
                <w:szCs w:val="21"/>
                <w:highlight w:val="none"/>
              </w:rPr>
            </w:pPr>
            <w:r>
              <w:rPr>
                <w:rFonts w:hint="default"/>
                <w:color w:val="auto"/>
                <w:spacing w:val="-7"/>
                <w:sz w:val="21"/>
                <w:szCs w:val="21"/>
                <w:highlight w:val="none"/>
              </w:rPr>
              <w:t>（总分</w:t>
            </w:r>
            <w:r>
              <w:rPr>
                <w:rFonts w:hint="default"/>
                <w:color w:val="auto"/>
                <w:spacing w:val="-18"/>
                <w:sz w:val="21"/>
                <w:szCs w:val="21"/>
                <w:highlight w:val="none"/>
              </w:rPr>
              <w:t xml:space="preserve"> </w:t>
            </w:r>
            <w:r>
              <w:rPr>
                <w:rFonts w:hint="default"/>
                <w:color w:val="auto"/>
                <w:spacing w:val="-7"/>
                <w:sz w:val="21"/>
                <w:szCs w:val="21"/>
                <w:highlight w:val="none"/>
              </w:rPr>
              <w:t>100</w:t>
            </w:r>
            <w:r>
              <w:rPr>
                <w:rFonts w:hint="default"/>
                <w:color w:val="auto"/>
                <w:spacing w:val="-46"/>
                <w:sz w:val="21"/>
                <w:szCs w:val="21"/>
                <w:highlight w:val="none"/>
              </w:rPr>
              <w:t xml:space="preserve"> </w:t>
            </w:r>
            <w:r>
              <w:rPr>
                <w:rFonts w:hint="default"/>
                <w:color w:val="auto"/>
                <w:spacing w:val="-7"/>
                <w:sz w:val="21"/>
                <w:szCs w:val="21"/>
                <w:highlight w:val="none"/>
              </w:rPr>
              <w:t>分）</w:t>
            </w:r>
          </w:p>
        </w:tc>
        <w:tc>
          <w:tcPr>
            <w:tcW w:w="505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FFC6B9C">
            <w:pPr>
              <w:pStyle w:val="11"/>
              <w:spacing w:before="157" w:beforeLines="0" w:afterLines="0" w:line="221" w:lineRule="auto"/>
              <w:ind w:left="117"/>
              <w:rPr>
                <w:rFonts w:hint="default"/>
                <w:color w:val="auto"/>
                <w:sz w:val="21"/>
                <w:szCs w:val="21"/>
                <w:highlight w:val="none"/>
              </w:rPr>
            </w:pPr>
            <w:r>
              <w:rPr>
                <w:rFonts w:hint="default"/>
                <w:color w:val="auto"/>
                <w:spacing w:val="-25"/>
                <w:sz w:val="21"/>
                <w:szCs w:val="21"/>
                <w:highlight w:val="none"/>
              </w:rPr>
              <w:t>经济标：</w:t>
            </w:r>
            <w:r>
              <w:rPr>
                <w:rFonts w:hint="default"/>
                <w:color w:val="auto"/>
                <w:spacing w:val="10"/>
                <w:sz w:val="21"/>
                <w:szCs w:val="21"/>
                <w:highlight w:val="none"/>
              </w:rPr>
              <w:t xml:space="preserve"> </w:t>
            </w:r>
            <w:r>
              <w:rPr>
                <w:rFonts w:hint="default"/>
                <w:color w:val="auto"/>
                <w:spacing w:val="11"/>
                <w:sz w:val="21"/>
                <w:szCs w:val="21"/>
                <w:highlight w:val="none"/>
                <w:u w:val="single" w:color="auto"/>
                <w:lang w:eastAsia="zh-CN"/>
              </w:rPr>
              <w:t>50</w:t>
            </w:r>
            <w:r>
              <w:rPr>
                <w:rFonts w:hint="default"/>
                <w:color w:val="auto"/>
                <w:spacing w:val="11"/>
                <w:sz w:val="21"/>
                <w:szCs w:val="21"/>
                <w:highlight w:val="none"/>
                <w:u w:val="single" w:color="auto"/>
              </w:rPr>
              <w:t xml:space="preserve"> </w:t>
            </w:r>
            <w:r>
              <w:rPr>
                <w:rFonts w:hint="default"/>
                <w:color w:val="auto"/>
                <w:spacing w:val="-92"/>
                <w:sz w:val="21"/>
                <w:szCs w:val="21"/>
                <w:highlight w:val="none"/>
              </w:rPr>
              <w:t xml:space="preserve"> </w:t>
            </w:r>
            <w:r>
              <w:rPr>
                <w:rFonts w:hint="default"/>
                <w:color w:val="auto"/>
                <w:spacing w:val="-25"/>
                <w:sz w:val="21"/>
                <w:szCs w:val="21"/>
                <w:highlight w:val="none"/>
              </w:rPr>
              <w:t>分；</w:t>
            </w:r>
          </w:p>
          <w:p w14:paraId="3D75FA5D">
            <w:pPr>
              <w:pStyle w:val="11"/>
              <w:spacing w:before="170" w:beforeLines="0" w:afterLines="0" w:line="221" w:lineRule="auto"/>
              <w:ind w:left="117"/>
              <w:rPr>
                <w:rFonts w:hint="default"/>
                <w:color w:val="auto"/>
                <w:sz w:val="21"/>
                <w:szCs w:val="21"/>
                <w:highlight w:val="none"/>
              </w:rPr>
            </w:pPr>
            <w:r>
              <w:rPr>
                <w:rFonts w:hint="default"/>
                <w:color w:val="auto"/>
                <w:spacing w:val="-25"/>
                <w:sz w:val="21"/>
                <w:szCs w:val="21"/>
                <w:highlight w:val="none"/>
              </w:rPr>
              <w:t>技术标：</w:t>
            </w:r>
            <w:r>
              <w:rPr>
                <w:rFonts w:hint="default"/>
                <w:color w:val="auto"/>
                <w:spacing w:val="10"/>
                <w:sz w:val="21"/>
                <w:szCs w:val="21"/>
                <w:highlight w:val="none"/>
              </w:rPr>
              <w:t xml:space="preserve"> </w:t>
            </w:r>
            <w:r>
              <w:rPr>
                <w:rFonts w:hint="default"/>
                <w:color w:val="auto"/>
                <w:spacing w:val="11"/>
                <w:sz w:val="21"/>
                <w:szCs w:val="21"/>
                <w:highlight w:val="none"/>
                <w:u w:val="single" w:color="auto"/>
                <w:lang w:eastAsia="zh-CN"/>
              </w:rPr>
              <w:t>40</w:t>
            </w:r>
            <w:r>
              <w:rPr>
                <w:rFonts w:hint="default"/>
                <w:color w:val="auto"/>
                <w:spacing w:val="11"/>
                <w:sz w:val="21"/>
                <w:szCs w:val="21"/>
                <w:highlight w:val="none"/>
                <w:u w:val="single" w:color="auto"/>
              </w:rPr>
              <w:t xml:space="preserve"> </w:t>
            </w:r>
            <w:r>
              <w:rPr>
                <w:rFonts w:hint="default"/>
                <w:color w:val="auto"/>
                <w:spacing w:val="-91"/>
                <w:sz w:val="21"/>
                <w:szCs w:val="21"/>
                <w:highlight w:val="none"/>
              </w:rPr>
              <w:t xml:space="preserve"> </w:t>
            </w:r>
            <w:r>
              <w:rPr>
                <w:rFonts w:hint="default"/>
                <w:color w:val="auto"/>
                <w:spacing w:val="-25"/>
                <w:sz w:val="21"/>
                <w:szCs w:val="21"/>
                <w:highlight w:val="none"/>
              </w:rPr>
              <w:t>分；</w:t>
            </w:r>
          </w:p>
          <w:p w14:paraId="4A639BCC">
            <w:pPr>
              <w:pStyle w:val="11"/>
              <w:spacing w:before="166" w:beforeLines="0" w:afterLines="0" w:line="221" w:lineRule="auto"/>
              <w:ind w:left="125"/>
              <w:rPr>
                <w:rFonts w:hint="default"/>
                <w:color w:val="auto"/>
                <w:sz w:val="21"/>
                <w:szCs w:val="21"/>
                <w:highlight w:val="none"/>
              </w:rPr>
            </w:pPr>
            <w:r>
              <w:rPr>
                <w:rFonts w:hint="default"/>
                <w:color w:val="auto"/>
                <w:spacing w:val="-20"/>
                <w:sz w:val="21"/>
                <w:szCs w:val="21"/>
                <w:highlight w:val="none"/>
              </w:rPr>
              <w:t>资信标：</w:t>
            </w:r>
            <w:r>
              <w:rPr>
                <w:rFonts w:hint="default"/>
                <w:color w:val="auto"/>
                <w:spacing w:val="-27"/>
                <w:sz w:val="21"/>
                <w:szCs w:val="21"/>
                <w:highlight w:val="none"/>
              </w:rPr>
              <w:t xml:space="preserve"> </w:t>
            </w:r>
            <w:r>
              <w:rPr>
                <w:rFonts w:hint="default"/>
                <w:color w:val="auto"/>
                <w:spacing w:val="11"/>
                <w:sz w:val="21"/>
                <w:szCs w:val="21"/>
                <w:highlight w:val="none"/>
                <w:u w:val="single" w:color="auto"/>
                <w:lang w:eastAsia="zh-CN"/>
              </w:rPr>
              <w:t>10</w:t>
            </w:r>
            <w:r>
              <w:rPr>
                <w:rFonts w:hint="default"/>
                <w:color w:val="auto"/>
                <w:spacing w:val="11"/>
                <w:sz w:val="21"/>
                <w:szCs w:val="21"/>
                <w:highlight w:val="none"/>
                <w:u w:val="single" w:color="auto"/>
              </w:rPr>
              <w:t xml:space="preserve">  </w:t>
            </w:r>
            <w:r>
              <w:rPr>
                <w:rFonts w:hint="default"/>
                <w:color w:val="auto"/>
                <w:spacing w:val="-92"/>
                <w:sz w:val="21"/>
                <w:szCs w:val="21"/>
                <w:highlight w:val="none"/>
              </w:rPr>
              <w:t xml:space="preserve"> </w:t>
            </w:r>
            <w:r>
              <w:rPr>
                <w:rFonts w:hint="default"/>
                <w:color w:val="auto"/>
                <w:spacing w:val="-20"/>
                <w:sz w:val="21"/>
                <w:szCs w:val="21"/>
                <w:highlight w:val="none"/>
              </w:rPr>
              <w:t>分；</w:t>
            </w:r>
          </w:p>
          <w:p w14:paraId="3657B439">
            <w:pPr>
              <w:pStyle w:val="11"/>
              <w:spacing w:before="171" w:beforeLines="0" w:afterLines="0" w:line="221" w:lineRule="auto"/>
              <w:ind w:left="117"/>
              <w:rPr>
                <w:rFonts w:hint="default"/>
                <w:color w:val="auto"/>
                <w:sz w:val="21"/>
                <w:szCs w:val="21"/>
                <w:highlight w:val="none"/>
              </w:rPr>
            </w:pPr>
            <w:r>
              <w:rPr>
                <w:rFonts w:hint="default"/>
                <w:color w:val="auto"/>
                <w:spacing w:val="-12"/>
                <w:sz w:val="21"/>
                <w:szCs w:val="21"/>
                <w:highlight w:val="none"/>
              </w:rPr>
              <w:t>其他评分因素：</w:t>
            </w:r>
            <w:r>
              <w:rPr>
                <w:rFonts w:hint="default"/>
                <w:color w:val="auto"/>
                <w:spacing w:val="-12"/>
                <w:sz w:val="21"/>
                <w:szCs w:val="21"/>
                <w:highlight w:val="none"/>
                <w:lang w:eastAsia="zh-CN"/>
              </w:rPr>
              <w:t>0</w:t>
            </w:r>
            <w:r>
              <w:rPr>
                <w:rFonts w:hint="default"/>
                <w:color w:val="auto"/>
                <w:spacing w:val="34"/>
                <w:sz w:val="21"/>
                <w:szCs w:val="21"/>
                <w:highlight w:val="none"/>
                <w:u w:val="single" w:color="auto"/>
              </w:rPr>
              <w:t xml:space="preserve"> </w:t>
            </w:r>
            <w:r>
              <w:rPr>
                <w:rFonts w:hint="default"/>
                <w:color w:val="auto"/>
                <w:spacing w:val="-94"/>
                <w:sz w:val="21"/>
                <w:szCs w:val="21"/>
                <w:highlight w:val="none"/>
              </w:rPr>
              <w:t xml:space="preserve"> </w:t>
            </w:r>
            <w:r>
              <w:rPr>
                <w:rFonts w:hint="default"/>
                <w:color w:val="auto"/>
                <w:spacing w:val="-12"/>
                <w:sz w:val="21"/>
                <w:szCs w:val="21"/>
                <w:highlight w:val="none"/>
              </w:rPr>
              <w:t>分。</w:t>
            </w:r>
          </w:p>
        </w:tc>
      </w:tr>
      <w:tr w14:paraId="6D3FC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184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62BB0B5">
            <w:pPr>
              <w:spacing w:before="194" w:beforeLines="0" w:afterLines="0" w:line="386" w:lineRule="exact"/>
              <w:ind w:left="710"/>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pacing w:val="-1"/>
                <w:position w:val="17"/>
                <w:sz w:val="21"/>
                <w:szCs w:val="21"/>
                <w:highlight w:val="none"/>
              </w:rPr>
              <w:t>2.2.2</w:t>
            </w:r>
          </w:p>
          <w:p w14:paraId="40BA8E11">
            <w:pPr>
              <w:pStyle w:val="11"/>
              <w:spacing w:before="1" w:beforeLines="0" w:afterLines="0" w:line="222" w:lineRule="auto"/>
              <w:ind w:left="667"/>
              <w:rPr>
                <w:rFonts w:hint="default"/>
                <w:color w:val="auto"/>
                <w:sz w:val="21"/>
                <w:szCs w:val="21"/>
                <w:highlight w:val="none"/>
              </w:rPr>
            </w:pPr>
            <w:r>
              <w:rPr>
                <w:rFonts w:hint="default"/>
                <w:color w:val="auto"/>
                <w:spacing w:val="-5"/>
                <w:sz w:val="21"/>
                <w:szCs w:val="21"/>
                <w:highlight w:val="none"/>
              </w:rPr>
              <w:t>（</w:t>
            </w:r>
            <w:r>
              <w:rPr>
                <w:rFonts w:hint="eastAsia" w:ascii="Times New Roman" w:hAnsi="Times New Roman" w:eastAsia="Times New Roman" w:cs="Times New Roman"/>
                <w:color w:val="auto"/>
                <w:spacing w:val="-5"/>
                <w:sz w:val="21"/>
                <w:szCs w:val="21"/>
                <w:highlight w:val="none"/>
              </w:rPr>
              <w:t>1</w:t>
            </w:r>
            <w:r>
              <w:rPr>
                <w:rFonts w:hint="default"/>
                <w:color w:val="auto"/>
                <w:spacing w:val="-5"/>
                <w:sz w:val="21"/>
                <w:szCs w:val="21"/>
                <w:highlight w:val="none"/>
              </w:rPr>
              <w:t>）</w:t>
            </w: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45301716">
            <w:pPr>
              <w:spacing w:beforeLines="0" w:afterLines="0" w:line="299" w:lineRule="auto"/>
              <w:rPr>
                <w:rFonts w:hint="default"/>
                <w:color w:val="auto"/>
                <w:sz w:val="21"/>
                <w:szCs w:val="21"/>
                <w:highlight w:val="none"/>
              </w:rPr>
            </w:pPr>
          </w:p>
          <w:p w14:paraId="6A29C9B2">
            <w:pPr>
              <w:pStyle w:val="11"/>
              <w:spacing w:before="68" w:beforeLines="0" w:afterLines="0" w:line="219" w:lineRule="auto"/>
              <w:ind w:left="286"/>
              <w:rPr>
                <w:rFonts w:hint="default"/>
                <w:color w:val="auto"/>
                <w:sz w:val="21"/>
                <w:szCs w:val="21"/>
                <w:highlight w:val="none"/>
              </w:rPr>
            </w:pPr>
            <w:r>
              <w:rPr>
                <w:rFonts w:hint="default"/>
                <w:color w:val="auto"/>
                <w:spacing w:val="-1"/>
                <w:sz w:val="21"/>
                <w:szCs w:val="21"/>
                <w:highlight w:val="none"/>
              </w:rPr>
              <w:t>评标价确定方法</w:t>
            </w:r>
          </w:p>
        </w:tc>
        <w:tc>
          <w:tcPr>
            <w:tcW w:w="505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6569405">
            <w:pPr>
              <w:pStyle w:val="11"/>
              <w:spacing w:before="157" w:beforeLines="0" w:afterLines="0" w:line="423" w:lineRule="exact"/>
              <w:ind w:left="115"/>
              <w:rPr>
                <w:rFonts w:hint="default"/>
                <w:color w:val="auto"/>
                <w:sz w:val="21"/>
                <w:szCs w:val="21"/>
                <w:highlight w:val="none"/>
              </w:rPr>
            </w:pPr>
            <w:r>
              <w:rPr>
                <w:rFonts w:hint="default"/>
                <w:color w:val="auto"/>
                <w:spacing w:val="4"/>
                <w:position w:val="16"/>
                <w:sz w:val="21"/>
                <w:szCs w:val="21"/>
                <w:highlight w:val="none"/>
              </w:rPr>
              <w:t>评标价＝投标函大写投标报价（或经投标人书面确</w:t>
            </w:r>
          </w:p>
          <w:p w14:paraId="089E7510">
            <w:pPr>
              <w:pStyle w:val="11"/>
              <w:spacing w:beforeLines="0" w:afterLines="0" w:line="219" w:lineRule="auto"/>
              <w:ind w:left="116"/>
              <w:rPr>
                <w:rFonts w:hint="default"/>
                <w:color w:val="auto"/>
                <w:sz w:val="21"/>
                <w:szCs w:val="21"/>
                <w:highlight w:val="none"/>
              </w:rPr>
            </w:pPr>
            <w:r>
              <w:rPr>
                <w:rFonts w:hint="default"/>
                <w:color w:val="auto"/>
                <w:spacing w:val="-8"/>
                <w:sz w:val="21"/>
                <w:szCs w:val="21"/>
                <w:highlight w:val="none"/>
              </w:rPr>
              <w:t>认的算术错误修正后的投标总报价）。</w:t>
            </w:r>
          </w:p>
        </w:tc>
      </w:tr>
      <w:tr w14:paraId="35D08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2" w:hRule="atLeast"/>
        </w:trPr>
        <w:tc>
          <w:tcPr>
            <w:tcW w:w="184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4E3B74CF">
            <w:pPr>
              <w:spacing w:beforeLines="0" w:afterLines="0" w:line="251" w:lineRule="auto"/>
              <w:rPr>
                <w:rFonts w:hint="default"/>
                <w:color w:val="auto"/>
                <w:sz w:val="21"/>
                <w:szCs w:val="21"/>
                <w:highlight w:val="none"/>
              </w:rPr>
            </w:pPr>
          </w:p>
          <w:p w14:paraId="256DC28A">
            <w:pPr>
              <w:spacing w:beforeLines="0" w:afterLines="0" w:line="251" w:lineRule="auto"/>
              <w:rPr>
                <w:rFonts w:hint="default"/>
                <w:color w:val="auto"/>
                <w:sz w:val="21"/>
                <w:szCs w:val="21"/>
                <w:highlight w:val="none"/>
              </w:rPr>
            </w:pPr>
          </w:p>
          <w:p w14:paraId="08768C04">
            <w:pPr>
              <w:spacing w:beforeLines="0" w:afterLines="0" w:line="252" w:lineRule="auto"/>
              <w:rPr>
                <w:rFonts w:hint="default"/>
                <w:color w:val="auto"/>
                <w:sz w:val="21"/>
                <w:szCs w:val="21"/>
                <w:highlight w:val="none"/>
              </w:rPr>
            </w:pPr>
          </w:p>
          <w:p w14:paraId="1059A0E9">
            <w:pPr>
              <w:spacing w:beforeLines="0" w:afterLines="0" w:line="252" w:lineRule="auto"/>
              <w:rPr>
                <w:rFonts w:hint="default"/>
                <w:color w:val="auto"/>
                <w:sz w:val="21"/>
                <w:szCs w:val="21"/>
                <w:highlight w:val="none"/>
              </w:rPr>
            </w:pPr>
          </w:p>
          <w:p w14:paraId="7E7B2154">
            <w:pPr>
              <w:spacing w:beforeLines="0" w:afterLines="0" w:line="252" w:lineRule="auto"/>
              <w:rPr>
                <w:rFonts w:hint="default"/>
                <w:color w:val="auto"/>
                <w:sz w:val="21"/>
                <w:szCs w:val="21"/>
                <w:highlight w:val="none"/>
              </w:rPr>
            </w:pPr>
          </w:p>
          <w:p w14:paraId="3201E046">
            <w:pPr>
              <w:spacing w:beforeLines="0" w:afterLines="0" w:line="252" w:lineRule="auto"/>
              <w:rPr>
                <w:rFonts w:hint="default"/>
                <w:color w:val="auto"/>
                <w:sz w:val="21"/>
                <w:szCs w:val="21"/>
                <w:highlight w:val="none"/>
              </w:rPr>
            </w:pPr>
          </w:p>
          <w:p w14:paraId="0D3CD21F">
            <w:pPr>
              <w:spacing w:beforeLines="0" w:afterLines="0" w:line="252" w:lineRule="auto"/>
              <w:rPr>
                <w:rFonts w:hint="default"/>
                <w:color w:val="auto"/>
                <w:sz w:val="21"/>
                <w:szCs w:val="21"/>
                <w:highlight w:val="none"/>
              </w:rPr>
            </w:pPr>
          </w:p>
          <w:p w14:paraId="46B5D960">
            <w:pPr>
              <w:spacing w:beforeLines="0" w:afterLines="0" w:line="252" w:lineRule="auto"/>
              <w:rPr>
                <w:rFonts w:hint="default"/>
                <w:color w:val="auto"/>
                <w:sz w:val="21"/>
                <w:szCs w:val="21"/>
                <w:highlight w:val="none"/>
              </w:rPr>
            </w:pPr>
          </w:p>
          <w:p w14:paraId="770E4A46">
            <w:pPr>
              <w:spacing w:before="60" w:beforeLines="0" w:afterLines="0" w:line="386" w:lineRule="exact"/>
              <w:ind w:left="710"/>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pacing w:val="-1"/>
                <w:position w:val="17"/>
                <w:sz w:val="21"/>
                <w:szCs w:val="21"/>
                <w:highlight w:val="none"/>
              </w:rPr>
              <w:t>2.2.2</w:t>
            </w:r>
          </w:p>
          <w:p w14:paraId="4D510AF5">
            <w:pPr>
              <w:pStyle w:val="11"/>
              <w:spacing w:beforeLines="0" w:afterLines="0" w:line="232" w:lineRule="auto"/>
              <w:ind w:left="667"/>
              <w:rPr>
                <w:rFonts w:hint="default"/>
                <w:color w:val="auto"/>
                <w:sz w:val="21"/>
                <w:szCs w:val="21"/>
                <w:highlight w:val="none"/>
              </w:rPr>
            </w:pPr>
            <w:r>
              <w:rPr>
                <w:rFonts w:hint="default"/>
                <w:color w:val="auto"/>
                <w:spacing w:val="-5"/>
                <w:sz w:val="21"/>
                <w:szCs w:val="21"/>
                <w:highlight w:val="none"/>
              </w:rPr>
              <w:t>（</w:t>
            </w:r>
            <w:r>
              <w:rPr>
                <w:rFonts w:hint="eastAsia" w:ascii="Times New Roman" w:hAnsi="Times New Roman" w:eastAsia="Times New Roman" w:cs="Times New Roman"/>
                <w:color w:val="auto"/>
                <w:spacing w:val="-5"/>
                <w:sz w:val="21"/>
                <w:szCs w:val="21"/>
                <w:highlight w:val="none"/>
              </w:rPr>
              <w:t>2</w:t>
            </w:r>
            <w:r>
              <w:rPr>
                <w:rFonts w:hint="default"/>
                <w:color w:val="auto"/>
                <w:spacing w:val="-5"/>
                <w:sz w:val="21"/>
                <w:szCs w:val="21"/>
                <w:highlight w:val="none"/>
              </w:rPr>
              <w:t>）</w:t>
            </w: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3D29422">
            <w:pPr>
              <w:spacing w:beforeLines="0" w:afterLines="0" w:line="246" w:lineRule="auto"/>
              <w:rPr>
                <w:rFonts w:hint="default"/>
                <w:color w:val="auto"/>
                <w:sz w:val="21"/>
                <w:szCs w:val="21"/>
                <w:highlight w:val="none"/>
              </w:rPr>
            </w:pPr>
          </w:p>
          <w:p w14:paraId="610F7D1E">
            <w:pPr>
              <w:spacing w:beforeLines="0" w:afterLines="0" w:line="246" w:lineRule="auto"/>
              <w:rPr>
                <w:rFonts w:hint="default"/>
                <w:color w:val="auto"/>
                <w:sz w:val="21"/>
                <w:szCs w:val="21"/>
                <w:highlight w:val="none"/>
              </w:rPr>
            </w:pPr>
          </w:p>
          <w:p w14:paraId="587262B3">
            <w:pPr>
              <w:spacing w:beforeLines="0" w:afterLines="0" w:line="246" w:lineRule="auto"/>
              <w:rPr>
                <w:rFonts w:hint="default"/>
                <w:color w:val="auto"/>
                <w:sz w:val="21"/>
                <w:szCs w:val="21"/>
                <w:highlight w:val="none"/>
              </w:rPr>
            </w:pPr>
          </w:p>
          <w:p w14:paraId="56A0217C">
            <w:pPr>
              <w:spacing w:beforeLines="0" w:afterLines="0" w:line="246" w:lineRule="auto"/>
              <w:rPr>
                <w:rFonts w:hint="default"/>
                <w:color w:val="auto"/>
                <w:sz w:val="21"/>
                <w:szCs w:val="21"/>
                <w:highlight w:val="none"/>
              </w:rPr>
            </w:pPr>
          </w:p>
          <w:p w14:paraId="3615298B">
            <w:pPr>
              <w:spacing w:beforeLines="0" w:afterLines="0" w:line="246" w:lineRule="auto"/>
              <w:rPr>
                <w:rFonts w:hint="default"/>
                <w:color w:val="auto"/>
                <w:sz w:val="21"/>
                <w:szCs w:val="21"/>
                <w:highlight w:val="none"/>
              </w:rPr>
            </w:pPr>
          </w:p>
          <w:p w14:paraId="668A040F">
            <w:pPr>
              <w:spacing w:beforeLines="0" w:afterLines="0" w:line="246" w:lineRule="auto"/>
              <w:rPr>
                <w:rFonts w:hint="default"/>
                <w:color w:val="auto"/>
                <w:sz w:val="21"/>
                <w:szCs w:val="21"/>
                <w:highlight w:val="none"/>
              </w:rPr>
            </w:pPr>
          </w:p>
          <w:p w14:paraId="71148CF1">
            <w:pPr>
              <w:spacing w:beforeLines="0" w:afterLines="0" w:line="246" w:lineRule="auto"/>
              <w:rPr>
                <w:rFonts w:hint="default"/>
                <w:color w:val="auto"/>
                <w:sz w:val="21"/>
                <w:szCs w:val="21"/>
                <w:highlight w:val="none"/>
              </w:rPr>
            </w:pPr>
          </w:p>
          <w:p w14:paraId="6AF8B8C1">
            <w:pPr>
              <w:spacing w:beforeLines="0" w:afterLines="0" w:line="247" w:lineRule="auto"/>
              <w:rPr>
                <w:rFonts w:hint="default"/>
                <w:color w:val="auto"/>
                <w:sz w:val="21"/>
                <w:szCs w:val="21"/>
                <w:highlight w:val="none"/>
              </w:rPr>
            </w:pPr>
          </w:p>
          <w:p w14:paraId="1383C496">
            <w:pPr>
              <w:pStyle w:val="11"/>
              <w:spacing w:before="69" w:beforeLines="0" w:afterLines="0" w:line="423" w:lineRule="exact"/>
              <w:ind w:left="286"/>
              <w:rPr>
                <w:rFonts w:hint="default"/>
                <w:color w:val="auto"/>
                <w:sz w:val="21"/>
                <w:szCs w:val="21"/>
                <w:highlight w:val="none"/>
              </w:rPr>
            </w:pPr>
            <w:r>
              <w:rPr>
                <w:rFonts w:hint="default"/>
                <w:color w:val="auto"/>
                <w:spacing w:val="-1"/>
                <w:position w:val="16"/>
                <w:sz w:val="21"/>
                <w:szCs w:val="21"/>
                <w:highlight w:val="none"/>
              </w:rPr>
              <w:t>评标基准价计算</w:t>
            </w:r>
          </w:p>
          <w:p w14:paraId="147822D6">
            <w:pPr>
              <w:pStyle w:val="11"/>
              <w:spacing w:beforeLines="0" w:afterLines="0" w:line="222" w:lineRule="auto"/>
              <w:ind w:left="816"/>
              <w:rPr>
                <w:rFonts w:hint="default"/>
                <w:color w:val="auto"/>
                <w:sz w:val="21"/>
                <w:szCs w:val="21"/>
                <w:highlight w:val="none"/>
              </w:rPr>
            </w:pPr>
            <w:r>
              <w:rPr>
                <w:rFonts w:hint="default"/>
                <w:color w:val="auto"/>
                <w:spacing w:val="-2"/>
                <w:sz w:val="21"/>
                <w:szCs w:val="21"/>
                <w:highlight w:val="none"/>
              </w:rPr>
              <w:t>方法</w:t>
            </w:r>
          </w:p>
        </w:tc>
        <w:tc>
          <w:tcPr>
            <w:tcW w:w="505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048F0FD0">
            <w:pPr>
              <w:pStyle w:val="11"/>
              <w:spacing w:before="163" w:beforeLines="0" w:afterLines="0" w:line="219" w:lineRule="auto"/>
              <w:ind w:left="116"/>
              <w:rPr>
                <w:rFonts w:hint="default"/>
                <w:color w:val="auto"/>
                <w:sz w:val="21"/>
                <w:szCs w:val="21"/>
                <w:highlight w:val="none"/>
              </w:rPr>
            </w:pPr>
            <w:r>
              <w:rPr>
                <w:rFonts w:hint="default"/>
                <w:color w:val="auto"/>
                <w:spacing w:val="-5"/>
                <w:sz w:val="21"/>
                <w:szCs w:val="21"/>
                <w:highlight w:val="none"/>
              </w:rPr>
              <w:t>基准价计算方法：</w:t>
            </w:r>
          </w:p>
          <w:p w14:paraId="3AAEE296">
            <w:pPr>
              <w:pStyle w:val="11"/>
              <w:spacing w:before="168" w:beforeLines="0" w:afterLines="0" w:line="219" w:lineRule="auto"/>
              <w:ind w:left="122"/>
              <w:rPr>
                <w:rFonts w:hint="default"/>
                <w:color w:val="auto"/>
                <w:sz w:val="21"/>
                <w:szCs w:val="21"/>
                <w:highlight w:val="none"/>
              </w:rPr>
            </w:pPr>
            <w:r>
              <w:rPr>
                <w:rFonts w:hint="default"/>
                <w:color w:val="auto"/>
                <w:spacing w:val="-1"/>
                <w:sz w:val="21"/>
                <w:szCs w:val="21"/>
                <w:highlight w:val="none"/>
              </w:rPr>
              <w:t>（1）最高投标限价是否参与基准价计算：</w:t>
            </w:r>
          </w:p>
          <w:p w14:paraId="1BEC1950">
            <w:pPr>
              <w:pStyle w:val="11"/>
              <w:spacing w:before="174" w:beforeLines="0" w:afterLines="0" w:line="221" w:lineRule="auto"/>
              <w:ind w:left="661"/>
              <w:rPr>
                <w:rFonts w:hint="default"/>
                <w:color w:val="auto"/>
                <w:sz w:val="21"/>
                <w:szCs w:val="21"/>
                <w:highlight w:val="none"/>
              </w:rPr>
            </w:pPr>
            <w:r>
              <w:rPr>
                <w:rFonts w:hint="default"/>
                <w:color w:val="auto"/>
                <w:spacing w:val="-11"/>
                <w:sz w:val="21"/>
                <w:szCs w:val="21"/>
                <w:highlight w:val="none"/>
              </w:rPr>
              <w:t>□是</w:t>
            </w:r>
            <w:r>
              <w:rPr>
                <w:rFonts w:hint="default"/>
                <w:color w:val="auto"/>
                <w:spacing w:val="16"/>
                <w:sz w:val="21"/>
                <w:szCs w:val="21"/>
                <w:highlight w:val="none"/>
              </w:rPr>
              <w:t xml:space="preserve">  </w:t>
            </w:r>
            <w:r>
              <w:rPr>
                <w:rFonts w:hint="default"/>
                <w:color w:val="auto"/>
                <w:spacing w:val="-11"/>
                <w:sz w:val="21"/>
                <w:szCs w:val="21"/>
                <w:highlight w:val="none"/>
              </w:rPr>
              <w:sym w:font="Wingdings 2" w:char="0052"/>
            </w:r>
            <w:r>
              <w:rPr>
                <w:rFonts w:hint="default"/>
                <w:color w:val="auto"/>
                <w:spacing w:val="-11"/>
                <w:sz w:val="21"/>
                <w:szCs w:val="21"/>
                <w:highlight w:val="none"/>
              </w:rPr>
              <w:t>否</w:t>
            </w:r>
          </w:p>
          <w:p w14:paraId="392FFF69">
            <w:pPr>
              <w:pStyle w:val="11"/>
              <w:spacing w:before="165" w:beforeLines="0" w:afterLines="0" w:line="220" w:lineRule="auto"/>
              <w:ind w:left="122"/>
              <w:rPr>
                <w:rFonts w:hint="default"/>
                <w:color w:val="auto"/>
                <w:sz w:val="21"/>
                <w:szCs w:val="21"/>
                <w:highlight w:val="none"/>
              </w:rPr>
            </w:pPr>
            <w:r>
              <w:rPr>
                <w:rFonts w:hint="default"/>
                <w:color w:val="auto"/>
                <w:spacing w:val="-1"/>
                <w:sz w:val="21"/>
                <w:szCs w:val="21"/>
                <w:highlight w:val="none"/>
              </w:rPr>
              <w:t>（2）采用入围方式的：</w:t>
            </w:r>
          </w:p>
          <w:p w14:paraId="4C3CCDA9">
            <w:pPr>
              <w:pStyle w:val="11"/>
              <w:spacing w:before="172" w:beforeLines="0" w:afterLines="0" w:line="417" w:lineRule="exact"/>
              <w:ind w:left="560"/>
              <w:rPr>
                <w:rFonts w:hint="default"/>
                <w:color w:val="auto"/>
                <w:sz w:val="21"/>
                <w:szCs w:val="21"/>
                <w:highlight w:val="none"/>
              </w:rPr>
            </w:pPr>
            <w:r>
              <w:rPr>
                <w:rFonts w:hint="default"/>
                <w:color w:val="auto"/>
                <w:spacing w:val="-2"/>
                <w:position w:val="15"/>
                <w:sz w:val="21"/>
                <w:szCs w:val="21"/>
                <w:highlight w:val="none"/>
              </w:rPr>
              <w:sym w:font="Wingdings 2" w:char="00A3"/>
            </w:r>
            <w:r>
              <w:rPr>
                <w:rFonts w:hint="default"/>
                <w:color w:val="auto"/>
                <w:spacing w:val="-2"/>
                <w:position w:val="15"/>
                <w:sz w:val="21"/>
                <w:szCs w:val="21"/>
                <w:highlight w:val="none"/>
              </w:rPr>
              <w:t>入围单位且投标报价不低于合理最低价的投标</w:t>
            </w:r>
          </w:p>
          <w:p w14:paraId="38CC22AD">
            <w:pPr>
              <w:pStyle w:val="11"/>
              <w:spacing w:beforeLines="0" w:afterLines="0" w:line="219" w:lineRule="auto"/>
              <w:ind w:left="114"/>
              <w:rPr>
                <w:rFonts w:hint="default"/>
                <w:color w:val="auto"/>
                <w:sz w:val="21"/>
                <w:szCs w:val="21"/>
                <w:highlight w:val="none"/>
              </w:rPr>
            </w:pPr>
            <w:r>
              <w:rPr>
                <w:rFonts w:hint="default"/>
                <w:color w:val="auto"/>
                <w:spacing w:val="-2"/>
                <w:sz w:val="21"/>
                <w:szCs w:val="21"/>
                <w:highlight w:val="none"/>
              </w:rPr>
              <w:t>报价参与基准价得分计算。</w:t>
            </w:r>
          </w:p>
          <w:p w14:paraId="547F71DC">
            <w:pPr>
              <w:pStyle w:val="11"/>
              <w:spacing w:before="174" w:beforeLines="0" w:afterLines="0" w:line="418" w:lineRule="exact"/>
              <w:ind w:left="560"/>
              <w:rPr>
                <w:rFonts w:hint="default"/>
                <w:color w:val="auto"/>
                <w:sz w:val="21"/>
                <w:szCs w:val="21"/>
                <w:highlight w:val="none"/>
              </w:rPr>
            </w:pPr>
            <w:r>
              <w:rPr>
                <w:rFonts w:hint="default"/>
                <w:color w:val="auto"/>
                <w:spacing w:val="-2"/>
                <w:position w:val="15"/>
                <w:sz w:val="21"/>
                <w:szCs w:val="21"/>
                <w:highlight w:val="none"/>
              </w:rPr>
              <w:sym w:font="Wingdings 2" w:char="00A3"/>
            </w:r>
            <w:r>
              <w:rPr>
                <w:rFonts w:hint="default"/>
                <w:color w:val="auto"/>
                <w:spacing w:val="-2"/>
                <w:position w:val="15"/>
                <w:sz w:val="21"/>
                <w:szCs w:val="21"/>
                <w:highlight w:val="none"/>
              </w:rPr>
              <w:t>通过初步评审且投标报价不低于合理最低价的</w:t>
            </w:r>
          </w:p>
          <w:p w14:paraId="462A7C35">
            <w:pPr>
              <w:pStyle w:val="11"/>
              <w:spacing w:beforeLines="0" w:afterLines="0" w:line="219" w:lineRule="auto"/>
              <w:ind w:left="118"/>
              <w:rPr>
                <w:rFonts w:hint="default"/>
                <w:color w:val="auto"/>
                <w:sz w:val="21"/>
                <w:szCs w:val="21"/>
                <w:highlight w:val="none"/>
              </w:rPr>
            </w:pPr>
            <w:r>
              <w:rPr>
                <w:rFonts w:hint="default"/>
                <w:color w:val="auto"/>
                <w:spacing w:val="-2"/>
                <w:sz w:val="21"/>
                <w:szCs w:val="21"/>
                <w:highlight w:val="none"/>
              </w:rPr>
              <w:t>投标人投标报价参与基准价得分计算。</w:t>
            </w:r>
          </w:p>
          <w:p w14:paraId="5B07E2BE">
            <w:pPr>
              <w:pStyle w:val="11"/>
              <w:spacing w:before="173" w:beforeLines="0" w:afterLines="0" w:line="219" w:lineRule="auto"/>
              <w:ind w:left="122"/>
              <w:rPr>
                <w:rFonts w:hint="default"/>
                <w:color w:val="auto"/>
                <w:sz w:val="21"/>
                <w:szCs w:val="21"/>
                <w:highlight w:val="none"/>
              </w:rPr>
            </w:pPr>
            <w:r>
              <w:rPr>
                <w:rFonts w:hint="default"/>
                <w:color w:val="auto"/>
                <w:spacing w:val="-1"/>
                <w:sz w:val="21"/>
                <w:szCs w:val="21"/>
                <w:highlight w:val="none"/>
              </w:rPr>
              <w:t>（3）基准价计算规则：</w:t>
            </w:r>
          </w:p>
          <w:p w14:paraId="4EB32D41">
            <w:pPr>
              <w:pStyle w:val="11"/>
              <w:spacing w:before="168" w:beforeLines="0" w:afterLines="0" w:line="423" w:lineRule="exact"/>
              <w:ind w:left="560"/>
              <w:rPr>
                <w:rFonts w:hint="default"/>
                <w:color w:val="auto"/>
                <w:sz w:val="21"/>
                <w:szCs w:val="21"/>
                <w:highlight w:val="none"/>
              </w:rPr>
            </w:pPr>
            <w:r>
              <w:rPr>
                <w:rFonts w:hint="default"/>
                <w:color w:val="auto"/>
                <w:spacing w:val="3"/>
                <w:position w:val="16"/>
                <w:sz w:val="21"/>
                <w:szCs w:val="21"/>
                <w:highlight w:val="none"/>
              </w:rPr>
              <w:sym w:font="Wingdings 2" w:char="0052"/>
            </w:r>
            <w:r>
              <w:rPr>
                <w:rFonts w:hint="default"/>
                <w:color w:val="auto"/>
                <w:spacing w:val="3"/>
                <w:position w:val="16"/>
                <w:sz w:val="21"/>
                <w:szCs w:val="21"/>
                <w:highlight w:val="none"/>
              </w:rPr>
              <w:t>通过初步评审（或入围单位）且投标报价不</w:t>
            </w:r>
          </w:p>
          <w:p w14:paraId="72FE2FE2">
            <w:pPr>
              <w:pStyle w:val="11"/>
              <w:spacing w:beforeLines="0" w:afterLines="0" w:line="219" w:lineRule="auto"/>
              <w:ind w:left="115"/>
              <w:rPr>
                <w:rFonts w:hint="default"/>
                <w:color w:val="auto"/>
                <w:sz w:val="21"/>
                <w:szCs w:val="21"/>
                <w:highlight w:val="none"/>
              </w:rPr>
            </w:pPr>
            <w:r>
              <w:rPr>
                <w:rFonts w:hint="default"/>
                <w:color w:val="auto"/>
                <w:spacing w:val="4"/>
                <w:sz w:val="21"/>
                <w:szCs w:val="21"/>
                <w:highlight w:val="none"/>
              </w:rPr>
              <w:t>低于合理最低价的投标人投标报价的算术平均值下</w:t>
            </w:r>
          </w:p>
        </w:tc>
      </w:tr>
    </w:tbl>
    <w:p w14:paraId="43EC6BAE">
      <w:pPr>
        <w:pStyle w:val="3"/>
        <w:spacing w:beforeLines="0" w:afterLines="0"/>
        <w:rPr>
          <w:rFonts w:hint="default"/>
          <w:color w:val="auto"/>
          <w:sz w:val="21"/>
          <w:szCs w:val="21"/>
          <w:highlight w:val="none"/>
        </w:rPr>
      </w:pPr>
    </w:p>
    <w:p w14:paraId="3BA1DDFA">
      <w:pPr>
        <w:spacing w:beforeLines="0" w:afterLines="0"/>
        <w:rPr>
          <w:rFonts w:hint="default"/>
          <w:color w:val="auto"/>
          <w:sz w:val="21"/>
          <w:szCs w:val="21"/>
          <w:highlight w:val="none"/>
        </w:rPr>
        <w:sectPr>
          <w:footerReference r:id="rId47" w:type="default"/>
          <w:pgSz w:w="11905" w:h="16839"/>
          <w:pgMar w:top="1431" w:right="1474" w:bottom="996" w:left="1483" w:header="0" w:footer="793" w:gutter="0"/>
          <w:lnNumType w:countBy="0" w:distance="360"/>
          <w:pgNumType w:fmt="decimal"/>
          <w:cols w:space="720" w:num="1"/>
        </w:sectPr>
      </w:pPr>
    </w:p>
    <w:p w14:paraId="35993A42">
      <w:pPr>
        <w:spacing w:beforeLines="0" w:afterLines="0" w:line="95" w:lineRule="auto"/>
        <w:rPr>
          <w:rFonts w:hint="default"/>
          <w:color w:val="auto"/>
          <w:sz w:val="2"/>
          <w:szCs w:val="21"/>
          <w:highlight w:val="none"/>
        </w:rPr>
      </w:pPr>
    </w:p>
    <w:tbl>
      <w:tblPr>
        <w:tblStyle w:val="6"/>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3"/>
        <w:gridCol w:w="2044"/>
        <w:gridCol w:w="936"/>
        <w:gridCol w:w="4117"/>
      </w:tblGrid>
      <w:tr w14:paraId="473AF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84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30FBEAD">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8E7B78D">
            <w:pPr>
              <w:spacing w:beforeLines="0" w:afterLines="0"/>
              <w:rPr>
                <w:rFonts w:hint="default"/>
                <w:color w:val="auto"/>
                <w:sz w:val="21"/>
                <w:szCs w:val="21"/>
                <w:highlight w:val="none"/>
              </w:rPr>
            </w:pPr>
          </w:p>
        </w:tc>
        <w:tc>
          <w:tcPr>
            <w:tcW w:w="5053" w:type="dxa"/>
            <w:gridSpan w:val="2"/>
            <w:tcBorders>
              <w:top w:val="single" w:color="000000" w:sz="2" w:space="0"/>
              <w:left w:val="single" w:color="000000" w:sz="2" w:space="0"/>
              <w:bottom w:val="single" w:color="000000" w:sz="2" w:space="0"/>
              <w:right w:val="single" w:color="000000" w:sz="2" w:space="0"/>
              <w:tl2br w:val="nil"/>
              <w:tr2bl w:val="nil"/>
            </w:tcBorders>
            <w:noWrap w:val="0"/>
            <w:vAlign w:val="top"/>
          </w:tcPr>
          <w:p w14:paraId="3DE3CDCE">
            <w:pPr>
              <w:pStyle w:val="11"/>
              <w:spacing w:before="163" w:beforeLines="0" w:afterLines="0" w:line="222" w:lineRule="auto"/>
              <w:ind w:left="117"/>
              <w:rPr>
                <w:rFonts w:hint="default"/>
                <w:color w:val="auto"/>
                <w:sz w:val="21"/>
                <w:szCs w:val="21"/>
                <w:highlight w:val="none"/>
              </w:rPr>
            </w:pPr>
            <w:bookmarkStart w:id="110" w:name="bookmark134"/>
            <w:bookmarkEnd w:id="110"/>
            <w:bookmarkStart w:id="111" w:name="bookmark135"/>
            <w:bookmarkEnd w:id="111"/>
            <w:bookmarkStart w:id="112" w:name="bookmark131"/>
            <w:bookmarkEnd w:id="112"/>
            <w:bookmarkStart w:id="113" w:name="bookmark132"/>
            <w:bookmarkEnd w:id="113"/>
            <w:bookmarkStart w:id="114" w:name="bookmark130"/>
            <w:bookmarkEnd w:id="114"/>
            <w:bookmarkStart w:id="115" w:name="bookmark133"/>
            <w:bookmarkEnd w:id="115"/>
            <w:bookmarkStart w:id="116" w:name="bookmark129"/>
            <w:bookmarkEnd w:id="116"/>
            <w:r>
              <w:rPr>
                <w:rFonts w:hint="default"/>
                <w:color w:val="auto"/>
                <w:spacing w:val="-4"/>
                <w:sz w:val="21"/>
                <w:szCs w:val="21"/>
                <w:highlight w:val="none"/>
              </w:rPr>
              <w:t>浮</w:t>
            </w:r>
            <w:r>
              <w:rPr>
                <w:rFonts w:hint="default"/>
                <w:color w:val="auto"/>
                <w:spacing w:val="-105"/>
                <w:sz w:val="21"/>
                <w:szCs w:val="21"/>
                <w:highlight w:val="none"/>
              </w:rPr>
              <w:t xml:space="preserve"> </w:t>
            </w:r>
            <w:r>
              <w:rPr>
                <w:rFonts w:hint="default"/>
                <w:color w:val="auto"/>
                <w:sz w:val="21"/>
                <w:szCs w:val="21"/>
                <w:highlight w:val="none"/>
                <w:u w:val="single" w:color="auto"/>
              </w:rPr>
              <w:t xml:space="preserve"> </w:t>
            </w:r>
            <w:r>
              <w:rPr>
                <w:rFonts w:hint="default"/>
                <w:color w:val="auto"/>
                <w:sz w:val="21"/>
                <w:szCs w:val="21"/>
                <w:highlight w:val="none"/>
                <w:u w:val="single" w:color="auto"/>
                <w:lang w:eastAsia="zh-CN"/>
              </w:rPr>
              <w:t>0</w:t>
            </w:r>
            <w:r>
              <w:rPr>
                <w:rFonts w:hint="default"/>
                <w:color w:val="auto"/>
                <w:sz w:val="21"/>
                <w:szCs w:val="21"/>
                <w:highlight w:val="none"/>
                <w:u w:val="single" w:color="auto"/>
              </w:rPr>
              <w:t xml:space="preserve"> </w:t>
            </w:r>
            <w:r>
              <w:rPr>
                <w:rFonts w:hint="default"/>
                <w:color w:val="auto"/>
                <w:spacing w:val="-99"/>
                <w:sz w:val="21"/>
                <w:szCs w:val="21"/>
                <w:highlight w:val="none"/>
              </w:rPr>
              <w:t xml:space="preserve"> </w:t>
            </w:r>
            <w:r>
              <w:rPr>
                <w:rFonts w:hint="default"/>
                <w:color w:val="auto"/>
                <w:spacing w:val="-4"/>
                <w:sz w:val="21"/>
                <w:szCs w:val="21"/>
                <w:highlight w:val="none"/>
              </w:rPr>
              <w:t>%。</w:t>
            </w:r>
          </w:p>
          <w:p w14:paraId="0727DDBE">
            <w:pPr>
              <w:pStyle w:val="11"/>
              <w:spacing w:beforeLines="0" w:afterLines="0" w:line="220" w:lineRule="auto"/>
              <w:ind w:left="118"/>
              <w:rPr>
                <w:rFonts w:hint="default"/>
                <w:color w:val="auto"/>
                <w:sz w:val="21"/>
                <w:szCs w:val="21"/>
                <w:highlight w:val="none"/>
              </w:rPr>
            </w:pPr>
          </w:p>
        </w:tc>
      </w:tr>
      <w:tr w14:paraId="19190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8" w:hRule="atLeast"/>
        </w:trPr>
        <w:tc>
          <w:tcPr>
            <w:tcW w:w="184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B75502C">
            <w:pPr>
              <w:spacing w:beforeLines="0" w:afterLines="0" w:line="265" w:lineRule="auto"/>
              <w:rPr>
                <w:rFonts w:hint="default"/>
                <w:color w:val="auto"/>
                <w:sz w:val="21"/>
                <w:szCs w:val="21"/>
                <w:highlight w:val="none"/>
              </w:rPr>
            </w:pPr>
          </w:p>
          <w:p w14:paraId="781EAF0A">
            <w:pPr>
              <w:spacing w:beforeLines="0" w:afterLines="0" w:line="266" w:lineRule="auto"/>
              <w:rPr>
                <w:rFonts w:hint="default"/>
                <w:color w:val="auto"/>
                <w:sz w:val="21"/>
                <w:szCs w:val="21"/>
                <w:highlight w:val="none"/>
              </w:rPr>
            </w:pPr>
          </w:p>
          <w:p w14:paraId="7186CFAF">
            <w:pPr>
              <w:spacing w:before="61" w:beforeLines="0" w:afterLines="0" w:line="189" w:lineRule="auto"/>
              <w:ind w:left="710"/>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pacing w:val="-1"/>
                <w:sz w:val="21"/>
                <w:szCs w:val="21"/>
                <w:highlight w:val="none"/>
              </w:rPr>
              <w:t>2.2.3</w:t>
            </w: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C4BEDBF">
            <w:pPr>
              <w:spacing w:beforeLines="0" w:afterLines="0" w:line="277" w:lineRule="auto"/>
              <w:rPr>
                <w:rFonts w:hint="default"/>
                <w:color w:val="auto"/>
                <w:sz w:val="21"/>
                <w:szCs w:val="21"/>
                <w:highlight w:val="none"/>
              </w:rPr>
            </w:pPr>
          </w:p>
          <w:p w14:paraId="15FF63E6">
            <w:pPr>
              <w:pStyle w:val="11"/>
              <w:spacing w:before="69" w:beforeLines="0" w:afterLines="0" w:line="417" w:lineRule="exact"/>
              <w:ind w:left="112"/>
              <w:rPr>
                <w:rFonts w:hint="default"/>
                <w:color w:val="auto"/>
                <w:sz w:val="21"/>
                <w:szCs w:val="21"/>
                <w:highlight w:val="none"/>
              </w:rPr>
            </w:pPr>
            <w:r>
              <w:rPr>
                <w:rFonts w:hint="default"/>
                <w:color w:val="auto"/>
                <w:spacing w:val="-1"/>
                <w:position w:val="15"/>
                <w:sz w:val="21"/>
                <w:szCs w:val="21"/>
                <w:highlight w:val="none"/>
              </w:rPr>
              <w:t>投标报价的偏差率</w:t>
            </w:r>
          </w:p>
          <w:p w14:paraId="123CCB36">
            <w:pPr>
              <w:pStyle w:val="11"/>
              <w:spacing w:beforeLines="0" w:afterLines="0" w:line="220" w:lineRule="auto"/>
              <w:ind w:left="604"/>
              <w:rPr>
                <w:rFonts w:hint="default"/>
                <w:color w:val="auto"/>
                <w:sz w:val="21"/>
                <w:szCs w:val="21"/>
                <w:highlight w:val="none"/>
              </w:rPr>
            </w:pPr>
            <w:r>
              <w:rPr>
                <w:rFonts w:hint="default"/>
                <w:color w:val="auto"/>
                <w:spacing w:val="-1"/>
                <w:sz w:val="21"/>
                <w:szCs w:val="21"/>
                <w:highlight w:val="none"/>
              </w:rPr>
              <w:t>计算公式</w:t>
            </w:r>
          </w:p>
        </w:tc>
        <w:tc>
          <w:tcPr>
            <w:tcW w:w="5053" w:type="dxa"/>
            <w:gridSpan w:val="2"/>
            <w:tcBorders>
              <w:top w:val="single" w:color="000000" w:sz="2" w:space="0"/>
              <w:left w:val="single" w:color="000000" w:sz="2" w:space="0"/>
              <w:bottom w:val="single" w:color="000000" w:sz="2" w:space="0"/>
              <w:right w:val="single" w:color="000000" w:sz="2" w:space="0"/>
              <w:tl2br w:val="nil"/>
              <w:tr2bl w:val="nil"/>
            </w:tcBorders>
            <w:noWrap w:val="0"/>
            <w:vAlign w:val="top"/>
          </w:tcPr>
          <w:p w14:paraId="66FE0F2A">
            <w:pPr>
              <w:pStyle w:val="11"/>
              <w:spacing w:before="167" w:beforeLines="0" w:afterLines="0" w:line="221" w:lineRule="auto"/>
              <w:ind w:left="119"/>
              <w:rPr>
                <w:rStyle w:val="8"/>
                <w:rFonts w:hint="default"/>
                <w:color w:val="auto"/>
                <w:sz w:val="21"/>
                <w:szCs w:val="24"/>
                <w:highlight w:val="none"/>
                <w:lang w:eastAsia="zh-CN"/>
              </w:rPr>
            </w:pPr>
            <w:r>
              <w:rPr>
                <w:rStyle w:val="8"/>
                <w:rFonts w:hint="default"/>
                <w:color w:val="auto"/>
                <w:sz w:val="21"/>
                <w:szCs w:val="24"/>
                <w:highlight w:val="none"/>
              </w:rPr>
              <w:t>以入围投标人的</w:t>
            </w:r>
            <w:r>
              <w:rPr>
                <w:rStyle w:val="8"/>
                <w:rFonts w:hint="default"/>
                <w:color w:val="auto"/>
                <w:sz w:val="21"/>
                <w:szCs w:val="24"/>
                <w:highlight w:val="none"/>
                <w:lang w:eastAsia="zh-CN"/>
              </w:rPr>
              <w:t>平均</w:t>
            </w:r>
            <w:r>
              <w:rPr>
                <w:rStyle w:val="8"/>
                <w:rFonts w:hint="default"/>
                <w:color w:val="auto"/>
                <w:sz w:val="21"/>
                <w:szCs w:val="24"/>
                <w:highlight w:val="none"/>
              </w:rPr>
              <w:t>价格做为基准值</w:t>
            </w:r>
            <w:r>
              <w:rPr>
                <w:rStyle w:val="8"/>
                <w:rFonts w:hint="default"/>
                <w:color w:val="auto"/>
                <w:sz w:val="21"/>
                <w:szCs w:val="24"/>
                <w:highlight w:val="none"/>
                <w:lang w:eastAsia="zh-CN"/>
              </w:rPr>
              <w:t>。</w:t>
            </w:r>
          </w:p>
          <w:p w14:paraId="7C472E88">
            <w:pPr>
              <w:pStyle w:val="11"/>
              <w:spacing w:before="167" w:beforeLines="0" w:afterLines="0" w:line="221" w:lineRule="auto"/>
              <w:ind w:left="119"/>
              <w:rPr>
                <w:rFonts w:hint="default"/>
                <w:color w:val="auto"/>
                <w:sz w:val="21"/>
                <w:szCs w:val="21"/>
                <w:highlight w:val="none"/>
                <w:lang w:eastAsia="zh-CN"/>
              </w:rPr>
            </w:pPr>
            <w:r>
              <w:rPr>
                <w:rStyle w:val="8"/>
                <w:rFonts w:hint="default"/>
                <w:color w:val="auto"/>
                <w:sz w:val="21"/>
                <w:szCs w:val="24"/>
                <w:highlight w:val="none"/>
                <w:lang w:eastAsia="zh-CN"/>
              </w:rPr>
              <w:t>偏差率=</w:t>
            </w:r>
            <w:r>
              <w:rPr>
                <w:rStyle w:val="8"/>
                <w:rFonts w:hint="default"/>
                <w:color w:val="auto"/>
                <w:sz w:val="21"/>
                <w:szCs w:val="24"/>
                <w:highlight w:val="none"/>
              </w:rPr>
              <w:t>（投标人评标价-评标基准价）÷评标基准价</w:t>
            </w:r>
          </w:p>
        </w:tc>
      </w:tr>
      <w:tr w14:paraId="73400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1843"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7C47E36">
            <w:pPr>
              <w:pStyle w:val="11"/>
              <w:spacing w:before="179" w:beforeLines="0" w:afterLines="0" w:line="221" w:lineRule="auto"/>
              <w:ind w:left="610"/>
              <w:rPr>
                <w:rFonts w:hint="default"/>
                <w:color w:val="auto"/>
                <w:sz w:val="21"/>
                <w:szCs w:val="21"/>
                <w:highlight w:val="none"/>
              </w:rPr>
            </w:pPr>
            <w:r>
              <w:rPr>
                <w:rFonts w:hint="default"/>
                <w:color w:val="auto"/>
                <w:spacing w:val="-2"/>
                <w:sz w:val="21"/>
                <w:szCs w:val="21"/>
                <w:highlight w:val="none"/>
              </w:rPr>
              <w:t>条款号</w:t>
            </w: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8F33791">
            <w:pPr>
              <w:pStyle w:val="11"/>
              <w:spacing w:before="179" w:beforeLines="0" w:afterLines="0" w:line="221" w:lineRule="auto"/>
              <w:ind w:left="598"/>
              <w:rPr>
                <w:rFonts w:hint="default"/>
                <w:color w:val="auto"/>
                <w:sz w:val="21"/>
                <w:szCs w:val="21"/>
                <w:highlight w:val="none"/>
              </w:rPr>
            </w:pPr>
            <w:r>
              <w:rPr>
                <w:rFonts w:hint="default"/>
                <w:color w:val="auto"/>
                <w:spacing w:val="-1"/>
                <w:sz w:val="21"/>
                <w:szCs w:val="21"/>
                <w:highlight w:val="none"/>
              </w:rPr>
              <w:t>评分因素</w:t>
            </w:r>
          </w:p>
        </w:tc>
        <w:tc>
          <w:tcPr>
            <w:tcW w:w="936"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DB5ECFB">
            <w:pPr>
              <w:pStyle w:val="11"/>
              <w:spacing w:before="180" w:beforeLines="0" w:afterLines="0" w:line="221" w:lineRule="auto"/>
              <w:ind w:left="160"/>
              <w:rPr>
                <w:rFonts w:hint="default"/>
                <w:color w:val="auto"/>
                <w:sz w:val="21"/>
                <w:szCs w:val="21"/>
                <w:highlight w:val="none"/>
              </w:rPr>
            </w:pPr>
            <w:r>
              <w:rPr>
                <w:rFonts w:hint="default"/>
                <w:color w:val="auto"/>
                <w:spacing w:val="-2"/>
                <w:sz w:val="21"/>
                <w:szCs w:val="21"/>
                <w:highlight w:val="none"/>
              </w:rPr>
              <w:t>标准分</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B33F891">
            <w:pPr>
              <w:pStyle w:val="11"/>
              <w:spacing w:before="180" w:beforeLines="0" w:afterLines="0" w:line="221" w:lineRule="auto"/>
              <w:ind w:left="1637"/>
              <w:rPr>
                <w:rFonts w:hint="default"/>
                <w:color w:val="auto"/>
                <w:sz w:val="21"/>
                <w:szCs w:val="21"/>
                <w:highlight w:val="none"/>
              </w:rPr>
            </w:pPr>
            <w:r>
              <w:rPr>
                <w:rFonts w:hint="default"/>
                <w:color w:val="auto"/>
                <w:spacing w:val="-1"/>
                <w:sz w:val="21"/>
                <w:szCs w:val="21"/>
                <w:highlight w:val="none"/>
              </w:rPr>
              <w:t>评分标准</w:t>
            </w:r>
          </w:p>
        </w:tc>
      </w:tr>
    </w:tbl>
    <w:p w14:paraId="49D49E00">
      <w:pPr>
        <w:spacing w:beforeLines="0" w:afterLines="0" w:line="95" w:lineRule="auto"/>
        <w:rPr>
          <w:rFonts w:hint="default"/>
          <w:color w:val="auto"/>
          <w:sz w:val="2"/>
          <w:szCs w:val="21"/>
          <w:highlight w:val="none"/>
        </w:rPr>
      </w:pPr>
    </w:p>
    <w:tbl>
      <w:tblPr>
        <w:tblStyle w:val="6"/>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099"/>
        <w:gridCol w:w="2044"/>
        <w:gridCol w:w="936"/>
        <w:gridCol w:w="4117"/>
      </w:tblGrid>
      <w:tr w14:paraId="6731B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9" w:hRule="atLeast"/>
        </w:trPr>
        <w:tc>
          <w:tcPr>
            <w:tcW w:w="744" w:type="dxa"/>
            <w:tcBorders>
              <w:top w:val="single" w:color="000000" w:sz="2" w:space="0"/>
              <w:left w:val="single" w:color="000000" w:sz="2" w:space="0"/>
              <w:bottom w:val="nil"/>
              <w:right w:val="single" w:color="000000" w:sz="2" w:space="0"/>
              <w:tl2br w:val="nil"/>
              <w:tr2bl w:val="nil"/>
            </w:tcBorders>
            <w:noWrap w:val="0"/>
            <w:vAlign w:val="top"/>
          </w:tcPr>
          <w:p w14:paraId="232E93D3">
            <w:pPr>
              <w:spacing w:beforeLines="0" w:afterLines="0" w:line="244" w:lineRule="auto"/>
              <w:rPr>
                <w:rFonts w:hint="default"/>
                <w:color w:val="auto"/>
                <w:sz w:val="21"/>
                <w:szCs w:val="21"/>
                <w:highlight w:val="none"/>
              </w:rPr>
            </w:pPr>
          </w:p>
          <w:p w14:paraId="0821FD3C">
            <w:pPr>
              <w:spacing w:beforeLines="0" w:afterLines="0" w:line="244" w:lineRule="auto"/>
              <w:rPr>
                <w:rFonts w:hint="default"/>
                <w:color w:val="auto"/>
                <w:sz w:val="21"/>
                <w:szCs w:val="21"/>
                <w:highlight w:val="none"/>
              </w:rPr>
            </w:pPr>
          </w:p>
          <w:p w14:paraId="22B9FC5A">
            <w:pPr>
              <w:spacing w:beforeLines="0" w:afterLines="0" w:line="244" w:lineRule="auto"/>
              <w:rPr>
                <w:rFonts w:hint="default"/>
                <w:color w:val="auto"/>
                <w:sz w:val="21"/>
                <w:szCs w:val="21"/>
                <w:highlight w:val="none"/>
              </w:rPr>
            </w:pPr>
          </w:p>
          <w:p w14:paraId="59BEC9CF">
            <w:pPr>
              <w:spacing w:beforeLines="0" w:afterLines="0" w:line="244" w:lineRule="auto"/>
              <w:rPr>
                <w:rFonts w:hint="default"/>
                <w:color w:val="auto"/>
                <w:sz w:val="21"/>
                <w:szCs w:val="21"/>
                <w:highlight w:val="none"/>
              </w:rPr>
            </w:pPr>
          </w:p>
          <w:p w14:paraId="153612F4">
            <w:pPr>
              <w:spacing w:beforeLines="0" w:afterLines="0" w:line="244" w:lineRule="auto"/>
              <w:rPr>
                <w:rFonts w:hint="default"/>
                <w:color w:val="auto"/>
                <w:sz w:val="21"/>
                <w:szCs w:val="21"/>
                <w:highlight w:val="none"/>
              </w:rPr>
            </w:pPr>
          </w:p>
          <w:p w14:paraId="5EAFA78E">
            <w:pPr>
              <w:spacing w:beforeLines="0" w:afterLines="0" w:line="244" w:lineRule="auto"/>
              <w:rPr>
                <w:rFonts w:hint="default"/>
                <w:color w:val="auto"/>
                <w:sz w:val="21"/>
                <w:szCs w:val="21"/>
                <w:highlight w:val="none"/>
              </w:rPr>
            </w:pPr>
          </w:p>
          <w:p w14:paraId="3818D1C7">
            <w:pPr>
              <w:spacing w:beforeLines="0" w:afterLines="0" w:line="244" w:lineRule="auto"/>
              <w:rPr>
                <w:rFonts w:hint="default"/>
                <w:color w:val="auto"/>
                <w:sz w:val="21"/>
                <w:szCs w:val="21"/>
                <w:highlight w:val="none"/>
              </w:rPr>
            </w:pPr>
          </w:p>
          <w:p w14:paraId="2A190DD0">
            <w:pPr>
              <w:spacing w:beforeLines="0" w:afterLines="0" w:line="244" w:lineRule="auto"/>
              <w:rPr>
                <w:rFonts w:hint="default"/>
                <w:color w:val="auto"/>
                <w:sz w:val="21"/>
                <w:szCs w:val="21"/>
                <w:highlight w:val="none"/>
              </w:rPr>
            </w:pPr>
          </w:p>
          <w:p w14:paraId="4182FF73">
            <w:pPr>
              <w:spacing w:beforeLines="0" w:afterLines="0" w:line="244" w:lineRule="auto"/>
              <w:rPr>
                <w:rFonts w:hint="default"/>
                <w:color w:val="auto"/>
                <w:sz w:val="21"/>
                <w:szCs w:val="21"/>
                <w:highlight w:val="none"/>
              </w:rPr>
            </w:pPr>
          </w:p>
          <w:p w14:paraId="558B600C">
            <w:pPr>
              <w:spacing w:beforeLines="0" w:afterLines="0" w:line="245" w:lineRule="auto"/>
              <w:rPr>
                <w:rFonts w:hint="default"/>
                <w:color w:val="auto"/>
                <w:sz w:val="21"/>
                <w:szCs w:val="21"/>
                <w:highlight w:val="none"/>
              </w:rPr>
            </w:pPr>
          </w:p>
          <w:p w14:paraId="0065476E">
            <w:pPr>
              <w:spacing w:beforeLines="0" w:afterLines="0" w:line="245" w:lineRule="auto"/>
              <w:rPr>
                <w:rFonts w:hint="default"/>
                <w:color w:val="auto"/>
                <w:sz w:val="21"/>
                <w:szCs w:val="21"/>
                <w:highlight w:val="none"/>
              </w:rPr>
            </w:pPr>
          </w:p>
          <w:p w14:paraId="54F1B5E7">
            <w:pPr>
              <w:spacing w:beforeLines="0" w:afterLines="0" w:line="245" w:lineRule="auto"/>
              <w:rPr>
                <w:rFonts w:hint="default"/>
                <w:color w:val="auto"/>
                <w:sz w:val="21"/>
                <w:szCs w:val="21"/>
                <w:highlight w:val="none"/>
              </w:rPr>
            </w:pPr>
          </w:p>
          <w:p w14:paraId="7507AA69">
            <w:pPr>
              <w:spacing w:before="60" w:beforeLines="0" w:afterLines="0" w:line="386" w:lineRule="exact"/>
              <w:ind w:left="162"/>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pacing w:val="-1"/>
                <w:position w:val="17"/>
                <w:sz w:val="21"/>
                <w:szCs w:val="21"/>
                <w:highlight w:val="none"/>
              </w:rPr>
              <w:t>2.2.4</w:t>
            </w:r>
          </w:p>
          <w:p w14:paraId="5DF1543B">
            <w:pPr>
              <w:pStyle w:val="11"/>
              <w:spacing w:beforeLines="0" w:afterLines="0" w:line="232" w:lineRule="auto"/>
              <w:ind w:left="119"/>
              <w:rPr>
                <w:rFonts w:hint="default"/>
                <w:color w:val="auto"/>
                <w:sz w:val="21"/>
                <w:szCs w:val="21"/>
                <w:highlight w:val="none"/>
              </w:rPr>
            </w:pPr>
            <w:r>
              <w:rPr>
                <w:rFonts w:hint="default"/>
                <w:color w:val="auto"/>
                <w:spacing w:val="-5"/>
                <w:sz w:val="21"/>
                <w:szCs w:val="21"/>
                <w:highlight w:val="none"/>
              </w:rPr>
              <w:t>（</w:t>
            </w:r>
            <w:r>
              <w:rPr>
                <w:rFonts w:hint="eastAsia" w:ascii="Times New Roman" w:hAnsi="Times New Roman" w:eastAsia="Times New Roman" w:cs="Times New Roman"/>
                <w:color w:val="auto"/>
                <w:spacing w:val="-5"/>
                <w:sz w:val="21"/>
                <w:szCs w:val="21"/>
                <w:highlight w:val="none"/>
              </w:rPr>
              <w:t>1</w:t>
            </w:r>
            <w:r>
              <w:rPr>
                <w:rFonts w:hint="default"/>
                <w:color w:val="auto"/>
                <w:spacing w:val="-5"/>
                <w:sz w:val="21"/>
                <w:szCs w:val="21"/>
                <w:highlight w:val="none"/>
              </w:rPr>
              <w:t>）</w:t>
            </w:r>
          </w:p>
        </w:tc>
        <w:tc>
          <w:tcPr>
            <w:tcW w:w="1099" w:type="dxa"/>
            <w:tcBorders>
              <w:top w:val="single" w:color="000000" w:sz="2" w:space="0"/>
              <w:left w:val="single" w:color="000000" w:sz="2" w:space="0"/>
              <w:bottom w:val="nil"/>
              <w:right w:val="single" w:color="000000" w:sz="2" w:space="0"/>
              <w:tl2br w:val="nil"/>
              <w:tr2bl w:val="nil"/>
            </w:tcBorders>
            <w:noWrap w:val="0"/>
            <w:vAlign w:val="top"/>
          </w:tcPr>
          <w:p w14:paraId="5F9B9EA6">
            <w:pPr>
              <w:spacing w:beforeLines="0" w:afterLines="0"/>
              <w:rPr>
                <w:rFonts w:hint="default"/>
                <w:color w:val="auto"/>
                <w:sz w:val="21"/>
                <w:szCs w:val="21"/>
                <w:highlight w:val="none"/>
              </w:rPr>
            </w:pPr>
          </w:p>
          <w:p w14:paraId="22A2FB52">
            <w:pPr>
              <w:spacing w:beforeLines="0" w:afterLines="0"/>
              <w:rPr>
                <w:rFonts w:hint="default"/>
                <w:color w:val="auto"/>
                <w:sz w:val="21"/>
                <w:szCs w:val="21"/>
                <w:highlight w:val="none"/>
              </w:rPr>
            </w:pPr>
          </w:p>
          <w:p w14:paraId="01BE5FB0">
            <w:pPr>
              <w:spacing w:beforeLines="0" w:afterLines="0"/>
              <w:rPr>
                <w:rFonts w:hint="default"/>
                <w:color w:val="auto"/>
                <w:sz w:val="21"/>
                <w:szCs w:val="21"/>
                <w:highlight w:val="none"/>
              </w:rPr>
            </w:pPr>
          </w:p>
          <w:p w14:paraId="3B0AA69E">
            <w:pPr>
              <w:spacing w:beforeLines="0" w:afterLines="0"/>
              <w:rPr>
                <w:rFonts w:hint="default"/>
                <w:color w:val="auto"/>
                <w:sz w:val="21"/>
                <w:szCs w:val="21"/>
                <w:highlight w:val="none"/>
              </w:rPr>
            </w:pPr>
          </w:p>
          <w:p w14:paraId="4A45ED48">
            <w:pPr>
              <w:spacing w:beforeLines="0" w:afterLines="0"/>
              <w:rPr>
                <w:rFonts w:hint="default"/>
                <w:color w:val="auto"/>
                <w:sz w:val="21"/>
                <w:szCs w:val="21"/>
                <w:highlight w:val="none"/>
              </w:rPr>
            </w:pPr>
          </w:p>
          <w:p w14:paraId="14EC3ABD">
            <w:pPr>
              <w:spacing w:beforeLines="0" w:afterLines="0" w:line="241" w:lineRule="auto"/>
              <w:rPr>
                <w:rFonts w:hint="default"/>
                <w:color w:val="auto"/>
                <w:sz w:val="21"/>
                <w:szCs w:val="21"/>
                <w:highlight w:val="none"/>
              </w:rPr>
            </w:pPr>
          </w:p>
          <w:p w14:paraId="5815D67C">
            <w:pPr>
              <w:spacing w:beforeLines="0" w:afterLines="0" w:line="241" w:lineRule="auto"/>
              <w:rPr>
                <w:rFonts w:hint="default"/>
                <w:color w:val="auto"/>
                <w:sz w:val="21"/>
                <w:szCs w:val="21"/>
                <w:highlight w:val="none"/>
              </w:rPr>
            </w:pPr>
          </w:p>
          <w:p w14:paraId="127E3723">
            <w:pPr>
              <w:spacing w:beforeLines="0" w:afterLines="0" w:line="241" w:lineRule="auto"/>
              <w:rPr>
                <w:rFonts w:hint="default"/>
                <w:color w:val="auto"/>
                <w:sz w:val="21"/>
                <w:szCs w:val="21"/>
                <w:highlight w:val="none"/>
              </w:rPr>
            </w:pPr>
          </w:p>
          <w:p w14:paraId="79BFC9DF">
            <w:pPr>
              <w:spacing w:beforeLines="0" w:afterLines="0" w:line="241" w:lineRule="auto"/>
              <w:rPr>
                <w:rFonts w:hint="default"/>
                <w:color w:val="auto"/>
                <w:sz w:val="21"/>
                <w:szCs w:val="21"/>
                <w:highlight w:val="none"/>
              </w:rPr>
            </w:pPr>
          </w:p>
          <w:p w14:paraId="4FCFC209">
            <w:pPr>
              <w:spacing w:beforeLines="0" w:afterLines="0" w:line="241" w:lineRule="auto"/>
              <w:rPr>
                <w:rFonts w:hint="default"/>
                <w:color w:val="auto"/>
                <w:sz w:val="21"/>
                <w:szCs w:val="21"/>
                <w:highlight w:val="none"/>
              </w:rPr>
            </w:pPr>
          </w:p>
          <w:p w14:paraId="5E982769">
            <w:pPr>
              <w:spacing w:beforeLines="0" w:afterLines="0" w:line="241" w:lineRule="auto"/>
              <w:rPr>
                <w:rFonts w:hint="default"/>
                <w:color w:val="auto"/>
                <w:sz w:val="21"/>
                <w:szCs w:val="21"/>
                <w:highlight w:val="none"/>
              </w:rPr>
            </w:pPr>
          </w:p>
          <w:p w14:paraId="04F4FF6F">
            <w:pPr>
              <w:spacing w:beforeLines="0" w:afterLines="0" w:line="241" w:lineRule="auto"/>
              <w:rPr>
                <w:rFonts w:hint="default"/>
                <w:color w:val="auto"/>
                <w:sz w:val="21"/>
                <w:szCs w:val="21"/>
                <w:highlight w:val="none"/>
              </w:rPr>
            </w:pPr>
          </w:p>
          <w:p w14:paraId="62CB5272">
            <w:pPr>
              <w:pStyle w:val="11"/>
              <w:spacing w:before="68" w:beforeLines="0" w:afterLines="0" w:line="221" w:lineRule="auto"/>
              <w:ind w:left="135"/>
              <w:rPr>
                <w:rFonts w:hint="default"/>
                <w:color w:val="auto"/>
                <w:sz w:val="21"/>
                <w:szCs w:val="21"/>
                <w:highlight w:val="none"/>
              </w:rPr>
            </w:pPr>
            <w:r>
              <w:rPr>
                <w:rFonts w:hint="default"/>
                <w:color w:val="auto"/>
                <w:spacing w:val="-1"/>
                <w:sz w:val="21"/>
                <w:szCs w:val="21"/>
                <w:highlight w:val="none"/>
              </w:rPr>
              <w:t>经济标评</w:t>
            </w:r>
          </w:p>
          <w:p w14:paraId="43A33213">
            <w:pPr>
              <w:pStyle w:val="11"/>
              <w:spacing w:before="171" w:beforeLines="0" w:afterLines="0" w:line="221" w:lineRule="auto"/>
              <w:ind w:left="241"/>
              <w:rPr>
                <w:rFonts w:hint="default"/>
                <w:color w:val="auto"/>
                <w:sz w:val="21"/>
                <w:szCs w:val="21"/>
                <w:highlight w:val="none"/>
                <w:lang w:eastAsia="zh-CN"/>
              </w:rPr>
            </w:pPr>
            <w:r>
              <w:rPr>
                <w:rFonts w:hint="default"/>
                <w:color w:val="auto"/>
                <w:spacing w:val="-2"/>
                <w:sz w:val="21"/>
                <w:szCs w:val="21"/>
                <w:highlight w:val="none"/>
              </w:rPr>
              <w:t>分标准</w:t>
            </w:r>
            <w:r>
              <w:rPr>
                <w:rFonts w:hint="default"/>
                <w:color w:val="auto"/>
                <w:spacing w:val="-2"/>
                <w:sz w:val="21"/>
                <w:szCs w:val="21"/>
                <w:highlight w:val="none"/>
                <w:lang w:eastAsia="zh-CN"/>
              </w:rPr>
              <w:t>(50分)</w:t>
            </w: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C5AF849">
            <w:pPr>
              <w:spacing w:beforeLines="0" w:afterLines="0" w:line="283" w:lineRule="auto"/>
              <w:rPr>
                <w:rFonts w:hint="default"/>
                <w:color w:val="auto"/>
                <w:sz w:val="21"/>
                <w:szCs w:val="21"/>
                <w:highlight w:val="none"/>
              </w:rPr>
            </w:pPr>
          </w:p>
          <w:p w14:paraId="3405CEFF">
            <w:pPr>
              <w:spacing w:beforeLines="0" w:afterLines="0" w:line="284" w:lineRule="auto"/>
              <w:rPr>
                <w:rFonts w:hint="default"/>
                <w:color w:val="auto"/>
                <w:sz w:val="21"/>
                <w:szCs w:val="21"/>
                <w:highlight w:val="none"/>
              </w:rPr>
            </w:pPr>
          </w:p>
          <w:p w14:paraId="16F72DA5">
            <w:pPr>
              <w:spacing w:beforeLines="0" w:afterLines="0" w:line="284" w:lineRule="auto"/>
              <w:rPr>
                <w:rFonts w:hint="default"/>
                <w:color w:val="auto"/>
                <w:sz w:val="21"/>
                <w:szCs w:val="21"/>
                <w:highlight w:val="none"/>
              </w:rPr>
            </w:pPr>
          </w:p>
          <w:p w14:paraId="4A0B19BE">
            <w:pPr>
              <w:spacing w:beforeLines="0" w:afterLines="0" w:line="284" w:lineRule="auto"/>
              <w:rPr>
                <w:rFonts w:hint="default"/>
                <w:color w:val="auto"/>
                <w:sz w:val="21"/>
                <w:szCs w:val="21"/>
                <w:highlight w:val="none"/>
              </w:rPr>
            </w:pPr>
          </w:p>
          <w:p w14:paraId="142C090E">
            <w:pPr>
              <w:pStyle w:val="11"/>
              <w:spacing w:before="69" w:beforeLines="0" w:afterLines="0" w:line="219" w:lineRule="auto"/>
              <w:ind w:left="606"/>
              <w:rPr>
                <w:rFonts w:hint="default"/>
                <w:color w:val="auto"/>
                <w:sz w:val="21"/>
                <w:szCs w:val="21"/>
                <w:highlight w:val="none"/>
                <w:lang w:eastAsia="zh-CN"/>
              </w:rPr>
            </w:pPr>
            <w:r>
              <w:rPr>
                <w:rFonts w:hint="default"/>
                <w:color w:val="auto"/>
                <w:spacing w:val="-2"/>
                <w:sz w:val="21"/>
                <w:szCs w:val="21"/>
                <w:highlight w:val="none"/>
              </w:rPr>
              <w:t>投标报价</w:t>
            </w:r>
            <w:r>
              <w:rPr>
                <w:rFonts w:hint="default"/>
                <w:color w:val="auto"/>
                <w:spacing w:val="-2"/>
                <w:sz w:val="21"/>
                <w:szCs w:val="21"/>
                <w:highlight w:val="none"/>
                <w:lang w:eastAsia="zh-CN"/>
              </w:rPr>
              <w:t>（50分）</w:t>
            </w:r>
          </w:p>
        </w:tc>
        <w:tc>
          <w:tcPr>
            <w:tcW w:w="936"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4EE97485">
            <w:pPr>
              <w:spacing w:beforeLines="0" w:afterLines="0" w:line="284" w:lineRule="auto"/>
              <w:rPr>
                <w:rFonts w:hint="default"/>
                <w:color w:val="auto"/>
                <w:sz w:val="21"/>
                <w:szCs w:val="21"/>
                <w:highlight w:val="none"/>
              </w:rPr>
            </w:pPr>
          </w:p>
          <w:p w14:paraId="33469A57">
            <w:pPr>
              <w:spacing w:beforeLines="0" w:afterLines="0" w:line="284" w:lineRule="auto"/>
              <w:rPr>
                <w:rFonts w:hint="default"/>
                <w:color w:val="auto"/>
                <w:sz w:val="21"/>
                <w:szCs w:val="21"/>
                <w:highlight w:val="none"/>
              </w:rPr>
            </w:pPr>
          </w:p>
          <w:p w14:paraId="7D8A934E">
            <w:pPr>
              <w:spacing w:beforeLines="0" w:afterLines="0" w:line="284" w:lineRule="auto"/>
              <w:rPr>
                <w:rFonts w:hint="default"/>
                <w:color w:val="auto"/>
                <w:sz w:val="21"/>
                <w:szCs w:val="21"/>
                <w:highlight w:val="none"/>
              </w:rPr>
            </w:pPr>
          </w:p>
          <w:p w14:paraId="487D334B">
            <w:pPr>
              <w:spacing w:beforeLines="0" w:afterLines="0" w:line="284" w:lineRule="auto"/>
              <w:rPr>
                <w:rFonts w:hint="default"/>
                <w:color w:val="auto"/>
                <w:sz w:val="21"/>
                <w:szCs w:val="21"/>
                <w:highlight w:val="none"/>
              </w:rPr>
            </w:pPr>
          </w:p>
          <w:p w14:paraId="687FF797">
            <w:pPr>
              <w:pStyle w:val="11"/>
              <w:spacing w:before="68" w:beforeLines="0" w:afterLines="0" w:line="221" w:lineRule="auto"/>
              <w:ind w:left="234"/>
              <w:rPr>
                <w:rFonts w:hint="default"/>
                <w:color w:val="auto"/>
                <w:sz w:val="21"/>
                <w:szCs w:val="21"/>
                <w:highlight w:val="none"/>
              </w:rPr>
            </w:pPr>
            <w:r>
              <w:rPr>
                <w:rFonts w:hint="default"/>
                <w:color w:val="auto"/>
                <w:spacing w:val="-1"/>
                <w:sz w:val="21"/>
                <w:szCs w:val="21"/>
                <w:highlight w:val="none"/>
              </w:rPr>
              <w:t>A</w:t>
            </w:r>
            <w:r>
              <w:rPr>
                <w:rFonts w:hint="default"/>
                <w:color w:val="auto"/>
                <w:spacing w:val="-40"/>
                <w:sz w:val="21"/>
                <w:szCs w:val="21"/>
                <w:highlight w:val="none"/>
              </w:rPr>
              <w:t xml:space="preserve"> </w:t>
            </w:r>
            <w:r>
              <w:rPr>
                <w:rFonts w:hint="default"/>
                <w:color w:val="auto"/>
                <w:spacing w:val="-1"/>
                <w:sz w:val="21"/>
                <w:szCs w:val="21"/>
                <w:highlight w:val="none"/>
              </w:rPr>
              <w:t>分</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ADC8165">
            <w:pPr>
              <w:pStyle w:val="11"/>
              <w:spacing w:before="165" w:beforeLines="0" w:afterLines="0" w:line="369" w:lineRule="auto"/>
              <w:ind w:left="117" w:right="114" w:hanging="4"/>
              <w:jc w:val="both"/>
              <w:rPr>
                <w:rFonts w:hint="default"/>
                <w:color w:val="auto"/>
                <w:sz w:val="21"/>
                <w:szCs w:val="21"/>
                <w:highlight w:val="none"/>
              </w:rPr>
            </w:pPr>
            <w:bookmarkStart w:id="117" w:name="bookmark137"/>
            <w:bookmarkEnd w:id="117"/>
            <w:bookmarkStart w:id="118" w:name="bookmark140"/>
            <w:bookmarkEnd w:id="118"/>
            <w:bookmarkStart w:id="119" w:name="bookmark138"/>
            <w:bookmarkEnd w:id="119"/>
            <w:bookmarkStart w:id="120" w:name="bookmark139"/>
            <w:bookmarkEnd w:id="120"/>
            <w:bookmarkStart w:id="121" w:name="bookmark136"/>
            <w:bookmarkEnd w:id="121"/>
            <w:r>
              <w:rPr>
                <w:rFonts w:hint="default"/>
                <w:color w:val="auto"/>
                <w:spacing w:val="-3"/>
                <w:sz w:val="21"/>
                <w:szCs w:val="21"/>
                <w:highlight w:val="none"/>
              </w:rPr>
              <w:t>F＝A1-</w:t>
            </w:r>
            <w:r>
              <w:rPr>
                <w:rFonts w:hint="default"/>
                <w:color w:val="auto"/>
                <w:spacing w:val="-44"/>
                <w:sz w:val="21"/>
                <w:szCs w:val="21"/>
                <w:highlight w:val="none"/>
              </w:rPr>
              <w:t xml:space="preserve"> </w:t>
            </w:r>
            <w:r>
              <w:rPr>
                <w:rFonts w:hint="default"/>
                <w:color w:val="auto"/>
                <w:spacing w:val="-3"/>
                <w:sz w:val="21"/>
                <w:szCs w:val="21"/>
                <w:highlight w:val="none"/>
              </w:rPr>
              <w:t>（投标人评标价-评标基准价）÷评</w:t>
            </w:r>
            <w:r>
              <w:rPr>
                <w:rFonts w:hint="default"/>
                <w:color w:val="auto"/>
                <w:sz w:val="21"/>
                <w:szCs w:val="21"/>
                <w:highlight w:val="none"/>
              </w:rPr>
              <w:t xml:space="preserve"> </w:t>
            </w:r>
            <w:r>
              <w:rPr>
                <w:rFonts w:hint="default"/>
                <w:color w:val="auto"/>
                <w:spacing w:val="-4"/>
                <w:sz w:val="21"/>
                <w:szCs w:val="21"/>
                <w:highlight w:val="none"/>
              </w:rPr>
              <w:t>标基准价×100×</w:t>
            </w:r>
            <w:r>
              <w:rPr>
                <w:rFonts w:hint="default"/>
                <w:color w:val="auto"/>
                <w:spacing w:val="-104"/>
                <w:sz w:val="21"/>
                <w:szCs w:val="21"/>
                <w:highlight w:val="none"/>
              </w:rPr>
              <w:t xml:space="preserve"> </w:t>
            </w:r>
            <w:r>
              <w:rPr>
                <w:rFonts w:hint="default"/>
                <w:color w:val="auto"/>
                <w:spacing w:val="25"/>
                <w:sz w:val="21"/>
                <w:szCs w:val="21"/>
                <w:highlight w:val="none"/>
                <w:u w:val="single" w:color="auto"/>
              </w:rPr>
              <w:t xml:space="preserve">  </w:t>
            </w:r>
            <w:r>
              <w:rPr>
                <w:rFonts w:hint="eastAsia"/>
                <w:color w:val="auto"/>
                <w:spacing w:val="25"/>
                <w:sz w:val="21"/>
                <w:szCs w:val="21"/>
                <w:highlight w:val="none"/>
                <w:u w:val="single" w:color="auto"/>
                <w:lang w:val="en-US" w:eastAsia="zh-CN"/>
              </w:rPr>
              <w:t>0.</w:t>
            </w:r>
            <w:r>
              <w:rPr>
                <w:rFonts w:hint="default"/>
                <w:color w:val="auto"/>
                <w:spacing w:val="25"/>
                <w:sz w:val="21"/>
                <w:szCs w:val="21"/>
                <w:highlight w:val="none"/>
                <w:u w:val="single" w:color="auto"/>
                <w:lang w:eastAsia="zh-CN"/>
              </w:rPr>
              <w:t>2</w:t>
            </w:r>
            <w:r>
              <w:rPr>
                <w:rFonts w:hint="default"/>
                <w:color w:val="auto"/>
                <w:spacing w:val="25"/>
                <w:sz w:val="21"/>
                <w:szCs w:val="21"/>
                <w:highlight w:val="none"/>
                <w:u w:val="single" w:color="auto"/>
              </w:rPr>
              <w:t xml:space="preserve">  </w:t>
            </w:r>
            <w:r>
              <w:rPr>
                <w:rFonts w:hint="default"/>
                <w:color w:val="auto"/>
                <w:spacing w:val="-61"/>
                <w:sz w:val="21"/>
                <w:szCs w:val="21"/>
                <w:highlight w:val="none"/>
              </w:rPr>
              <w:t xml:space="preserve"> </w:t>
            </w:r>
            <w:r>
              <w:rPr>
                <w:rFonts w:hint="default"/>
                <w:color w:val="auto"/>
                <w:spacing w:val="-4"/>
                <w:sz w:val="21"/>
                <w:szCs w:val="21"/>
                <w:highlight w:val="none"/>
              </w:rPr>
              <w:t>（选</w:t>
            </w:r>
            <w:r>
              <w:rPr>
                <w:rFonts w:hint="default"/>
                <w:color w:val="auto"/>
                <w:spacing w:val="-44"/>
                <w:sz w:val="21"/>
                <w:szCs w:val="21"/>
                <w:highlight w:val="none"/>
              </w:rPr>
              <w:t>）（</w:t>
            </w:r>
            <w:r>
              <w:rPr>
                <w:rFonts w:hint="default"/>
                <w:color w:val="auto"/>
                <w:spacing w:val="-4"/>
                <w:sz w:val="21"/>
                <w:szCs w:val="21"/>
                <w:highlight w:val="none"/>
              </w:rPr>
              <w:t>评标价＞基准价时）</w:t>
            </w:r>
          </w:p>
          <w:p w14:paraId="46424D67">
            <w:pPr>
              <w:pStyle w:val="11"/>
              <w:spacing w:before="165" w:beforeLines="0" w:afterLines="0" w:line="369" w:lineRule="auto"/>
              <w:ind w:left="117" w:right="114" w:hanging="4"/>
              <w:jc w:val="both"/>
              <w:rPr>
                <w:rFonts w:hint="default"/>
                <w:color w:val="auto"/>
                <w:sz w:val="21"/>
                <w:szCs w:val="21"/>
                <w:highlight w:val="none"/>
              </w:rPr>
            </w:pPr>
            <w:r>
              <w:rPr>
                <w:rFonts w:hint="default"/>
                <w:color w:val="auto"/>
                <w:spacing w:val="-3"/>
                <w:sz w:val="21"/>
                <w:szCs w:val="21"/>
                <w:highlight w:val="none"/>
              </w:rPr>
              <w:t>F＝A1-</w:t>
            </w:r>
            <w:r>
              <w:rPr>
                <w:rFonts w:hint="default"/>
                <w:color w:val="auto"/>
                <w:spacing w:val="-44"/>
                <w:sz w:val="21"/>
                <w:szCs w:val="21"/>
                <w:highlight w:val="none"/>
              </w:rPr>
              <w:t xml:space="preserve"> </w:t>
            </w:r>
            <w:r>
              <w:rPr>
                <w:rFonts w:hint="default"/>
                <w:color w:val="auto"/>
                <w:spacing w:val="-3"/>
                <w:sz w:val="21"/>
                <w:szCs w:val="21"/>
                <w:highlight w:val="none"/>
              </w:rPr>
              <w:t>（评标基准价-投标人评标价）÷评</w:t>
            </w:r>
            <w:r>
              <w:rPr>
                <w:rFonts w:hint="default"/>
                <w:color w:val="auto"/>
                <w:sz w:val="21"/>
                <w:szCs w:val="21"/>
                <w:highlight w:val="none"/>
              </w:rPr>
              <w:t xml:space="preserve"> </w:t>
            </w:r>
            <w:r>
              <w:rPr>
                <w:rFonts w:hint="default"/>
                <w:color w:val="auto"/>
                <w:spacing w:val="-4"/>
                <w:sz w:val="21"/>
                <w:szCs w:val="21"/>
                <w:highlight w:val="none"/>
              </w:rPr>
              <w:t>标基准价×100×</w:t>
            </w:r>
            <w:r>
              <w:rPr>
                <w:rFonts w:hint="default"/>
                <w:color w:val="auto"/>
                <w:spacing w:val="-104"/>
                <w:sz w:val="21"/>
                <w:szCs w:val="21"/>
                <w:highlight w:val="none"/>
              </w:rPr>
              <w:t xml:space="preserve"> </w:t>
            </w:r>
            <w:r>
              <w:rPr>
                <w:rFonts w:hint="default"/>
                <w:color w:val="auto"/>
                <w:spacing w:val="25"/>
                <w:sz w:val="21"/>
                <w:szCs w:val="21"/>
                <w:highlight w:val="none"/>
                <w:u w:val="single" w:color="auto"/>
              </w:rPr>
              <w:t xml:space="preserve">  </w:t>
            </w:r>
            <w:r>
              <w:rPr>
                <w:rFonts w:hint="eastAsia"/>
                <w:color w:val="auto"/>
                <w:spacing w:val="25"/>
                <w:sz w:val="21"/>
                <w:szCs w:val="21"/>
                <w:highlight w:val="none"/>
                <w:u w:val="single" w:color="auto"/>
                <w:lang w:val="en-US" w:eastAsia="zh-CN"/>
              </w:rPr>
              <w:t>0.</w:t>
            </w:r>
            <w:r>
              <w:rPr>
                <w:rFonts w:hint="default"/>
                <w:color w:val="auto"/>
                <w:spacing w:val="25"/>
                <w:sz w:val="21"/>
                <w:szCs w:val="21"/>
                <w:highlight w:val="none"/>
                <w:u w:val="single" w:color="auto"/>
                <w:lang w:eastAsia="zh-CN"/>
              </w:rPr>
              <w:t>1</w:t>
            </w:r>
            <w:r>
              <w:rPr>
                <w:rFonts w:hint="default"/>
                <w:color w:val="auto"/>
                <w:spacing w:val="25"/>
                <w:sz w:val="21"/>
                <w:szCs w:val="21"/>
                <w:highlight w:val="none"/>
                <w:u w:val="single" w:color="auto"/>
              </w:rPr>
              <w:t xml:space="preserve">  </w:t>
            </w:r>
            <w:r>
              <w:rPr>
                <w:rFonts w:hint="default"/>
                <w:color w:val="auto"/>
                <w:spacing w:val="-61"/>
                <w:sz w:val="21"/>
                <w:szCs w:val="21"/>
                <w:highlight w:val="none"/>
              </w:rPr>
              <w:t xml:space="preserve"> </w:t>
            </w:r>
            <w:r>
              <w:rPr>
                <w:rFonts w:hint="default"/>
                <w:color w:val="auto"/>
                <w:spacing w:val="-4"/>
                <w:sz w:val="21"/>
                <w:szCs w:val="21"/>
                <w:highlight w:val="none"/>
              </w:rPr>
              <w:t>（选</w:t>
            </w:r>
            <w:r>
              <w:rPr>
                <w:rFonts w:hint="default"/>
                <w:color w:val="auto"/>
                <w:spacing w:val="-44"/>
                <w:sz w:val="21"/>
                <w:szCs w:val="21"/>
                <w:highlight w:val="none"/>
              </w:rPr>
              <w:t>）（</w:t>
            </w:r>
            <w:r>
              <w:rPr>
                <w:rFonts w:hint="default"/>
                <w:color w:val="auto"/>
                <w:spacing w:val="-4"/>
                <w:sz w:val="21"/>
                <w:szCs w:val="21"/>
                <w:highlight w:val="none"/>
              </w:rPr>
              <w:t>评标价</w:t>
            </w:r>
            <w:r>
              <w:rPr>
                <w:rFonts w:hint="default"/>
                <w:color w:val="auto"/>
                <w:spacing w:val="-4"/>
                <w:sz w:val="21"/>
                <w:szCs w:val="21"/>
                <w:highlight w:val="none"/>
                <w:lang w:eastAsia="zh-CN"/>
              </w:rPr>
              <w:t>≤</w:t>
            </w:r>
            <w:r>
              <w:rPr>
                <w:rFonts w:hint="default"/>
                <w:color w:val="auto"/>
                <w:spacing w:val="-4"/>
                <w:sz w:val="21"/>
                <w:szCs w:val="21"/>
                <w:highlight w:val="none"/>
              </w:rPr>
              <w:t>基准价时）</w:t>
            </w:r>
          </w:p>
        </w:tc>
      </w:tr>
      <w:tr w14:paraId="4DEC4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7" w:hRule="atLeast"/>
        </w:trPr>
        <w:tc>
          <w:tcPr>
            <w:tcW w:w="744" w:type="dxa"/>
            <w:vMerge w:val="restart"/>
            <w:tcBorders>
              <w:top w:val="single" w:color="000000" w:sz="2" w:space="0"/>
              <w:left w:val="single" w:color="000000" w:sz="2" w:space="0"/>
              <w:bottom w:val="nil"/>
              <w:right w:val="single" w:color="000000" w:sz="2" w:space="0"/>
              <w:tl2br w:val="nil"/>
              <w:tr2bl w:val="nil"/>
            </w:tcBorders>
            <w:noWrap w:val="0"/>
            <w:vAlign w:val="top"/>
          </w:tcPr>
          <w:p w14:paraId="726EA605">
            <w:pPr>
              <w:spacing w:beforeLines="0" w:afterLines="0" w:line="257" w:lineRule="auto"/>
              <w:rPr>
                <w:rFonts w:hint="default"/>
                <w:color w:val="auto"/>
                <w:sz w:val="21"/>
                <w:szCs w:val="21"/>
                <w:highlight w:val="none"/>
              </w:rPr>
            </w:pPr>
          </w:p>
          <w:p w14:paraId="6E5FDB2E">
            <w:pPr>
              <w:spacing w:beforeLines="0" w:afterLines="0" w:line="257" w:lineRule="auto"/>
              <w:rPr>
                <w:rFonts w:hint="default"/>
                <w:color w:val="auto"/>
                <w:sz w:val="21"/>
                <w:szCs w:val="21"/>
                <w:highlight w:val="none"/>
              </w:rPr>
            </w:pPr>
          </w:p>
          <w:p w14:paraId="4440A829">
            <w:pPr>
              <w:spacing w:beforeLines="0" w:afterLines="0" w:line="257" w:lineRule="auto"/>
              <w:rPr>
                <w:rFonts w:hint="default"/>
                <w:color w:val="auto"/>
                <w:sz w:val="21"/>
                <w:szCs w:val="21"/>
                <w:highlight w:val="none"/>
              </w:rPr>
            </w:pPr>
          </w:p>
          <w:p w14:paraId="3783A748">
            <w:pPr>
              <w:spacing w:beforeLines="0" w:afterLines="0" w:line="257" w:lineRule="auto"/>
              <w:rPr>
                <w:rFonts w:hint="default"/>
                <w:color w:val="auto"/>
                <w:sz w:val="21"/>
                <w:szCs w:val="21"/>
                <w:highlight w:val="none"/>
              </w:rPr>
            </w:pPr>
          </w:p>
          <w:p w14:paraId="77794151">
            <w:pPr>
              <w:spacing w:beforeLines="0" w:afterLines="0" w:line="257" w:lineRule="auto"/>
              <w:rPr>
                <w:rFonts w:hint="default"/>
                <w:color w:val="auto"/>
                <w:sz w:val="21"/>
                <w:szCs w:val="21"/>
                <w:highlight w:val="none"/>
              </w:rPr>
            </w:pPr>
          </w:p>
          <w:p w14:paraId="67871326">
            <w:pPr>
              <w:spacing w:beforeLines="0" w:afterLines="0" w:line="257" w:lineRule="auto"/>
              <w:rPr>
                <w:rFonts w:hint="default"/>
                <w:color w:val="auto"/>
                <w:sz w:val="21"/>
                <w:szCs w:val="21"/>
                <w:highlight w:val="none"/>
              </w:rPr>
            </w:pPr>
          </w:p>
          <w:p w14:paraId="4BE1560D">
            <w:pPr>
              <w:spacing w:beforeLines="0" w:afterLines="0" w:line="257" w:lineRule="auto"/>
              <w:rPr>
                <w:rFonts w:hint="default"/>
                <w:color w:val="auto"/>
                <w:sz w:val="21"/>
                <w:szCs w:val="21"/>
                <w:highlight w:val="none"/>
              </w:rPr>
            </w:pPr>
          </w:p>
          <w:p w14:paraId="0BA8FF38">
            <w:pPr>
              <w:spacing w:beforeLines="0" w:afterLines="0" w:line="257" w:lineRule="auto"/>
              <w:rPr>
                <w:rFonts w:hint="default"/>
                <w:color w:val="auto"/>
                <w:sz w:val="21"/>
                <w:szCs w:val="21"/>
                <w:highlight w:val="none"/>
              </w:rPr>
            </w:pPr>
          </w:p>
          <w:p w14:paraId="6F78D1E2">
            <w:pPr>
              <w:spacing w:beforeLines="0" w:afterLines="0" w:line="257" w:lineRule="auto"/>
              <w:rPr>
                <w:rFonts w:hint="default"/>
                <w:color w:val="auto"/>
                <w:sz w:val="21"/>
                <w:szCs w:val="21"/>
                <w:highlight w:val="none"/>
              </w:rPr>
            </w:pPr>
          </w:p>
          <w:p w14:paraId="598A79D5">
            <w:pPr>
              <w:spacing w:beforeLines="0" w:afterLines="0" w:line="257" w:lineRule="auto"/>
              <w:rPr>
                <w:rFonts w:hint="default"/>
                <w:color w:val="auto"/>
                <w:sz w:val="21"/>
                <w:szCs w:val="21"/>
                <w:highlight w:val="none"/>
              </w:rPr>
            </w:pPr>
          </w:p>
          <w:p w14:paraId="426F57E7">
            <w:pPr>
              <w:spacing w:beforeLines="0" w:afterLines="0" w:line="257" w:lineRule="auto"/>
              <w:rPr>
                <w:rFonts w:hint="default"/>
                <w:color w:val="auto"/>
                <w:sz w:val="21"/>
                <w:szCs w:val="21"/>
                <w:highlight w:val="none"/>
              </w:rPr>
            </w:pPr>
          </w:p>
          <w:p w14:paraId="526BC42E">
            <w:pPr>
              <w:spacing w:beforeLines="0" w:afterLines="0" w:line="258" w:lineRule="auto"/>
              <w:rPr>
                <w:rFonts w:hint="default"/>
                <w:color w:val="auto"/>
                <w:sz w:val="21"/>
                <w:szCs w:val="21"/>
                <w:highlight w:val="none"/>
              </w:rPr>
            </w:pPr>
          </w:p>
          <w:p w14:paraId="78E5041D">
            <w:pPr>
              <w:spacing w:beforeLines="0" w:afterLines="0" w:line="258" w:lineRule="auto"/>
              <w:rPr>
                <w:rFonts w:hint="default"/>
                <w:color w:val="auto"/>
                <w:sz w:val="21"/>
                <w:szCs w:val="21"/>
                <w:highlight w:val="none"/>
              </w:rPr>
            </w:pPr>
          </w:p>
          <w:p w14:paraId="3DF7817A">
            <w:pPr>
              <w:spacing w:before="61" w:beforeLines="0" w:afterLines="0" w:line="386" w:lineRule="exact"/>
              <w:ind w:left="162"/>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pacing w:val="-1"/>
                <w:position w:val="17"/>
                <w:sz w:val="21"/>
                <w:szCs w:val="21"/>
                <w:highlight w:val="none"/>
              </w:rPr>
              <w:t>2.2.4</w:t>
            </w:r>
          </w:p>
          <w:p w14:paraId="6572419B">
            <w:pPr>
              <w:pStyle w:val="11"/>
              <w:spacing w:beforeLines="0" w:afterLines="0" w:line="232" w:lineRule="auto"/>
              <w:ind w:left="119"/>
              <w:rPr>
                <w:rFonts w:hint="default"/>
                <w:color w:val="auto"/>
                <w:sz w:val="21"/>
                <w:szCs w:val="21"/>
                <w:highlight w:val="none"/>
              </w:rPr>
            </w:pPr>
            <w:r>
              <w:rPr>
                <w:rFonts w:hint="default"/>
                <w:color w:val="auto"/>
                <w:spacing w:val="-5"/>
                <w:sz w:val="21"/>
                <w:szCs w:val="21"/>
                <w:highlight w:val="none"/>
              </w:rPr>
              <w:t>（</w:t>
            </w:r>
            <w:r>
              <w:rPr>
                <w:rFonts w:hint="eastAsia" w:ascii="Times New Roman" w:hAnsi="Times New Roman" w:eastAsia="Times New Roman" w:cs="Times New Roman"/>
                <w:color w:val="auto"/>
                <w:spacing w:val="-5"/>
                <w:sz w:val="21"/>
                <w:szCs w:val="21"/>
                <w:highlight w:val="none"/>
              </w:rPr>
              <w:t>2</w:t>
            </w:r>
            <w:r>
              <w:rPr>
                <w:rFonts w:hint="default"/>
                <w:color w:val="auto"/>
                <w:spacing w:val="-5"/>
                <w:sz w:val="21"/>
                <w:szCs w:val="21"/>
                <w:highlight w:val="none"/>
              </w:rPr>
              <w:t>）</w:t>
            </w:r>
          </w:p>
        </w:tc>
        <w:tc>
          <w:tcPr>
            <w:tcW w:w="1099" w:type="dxa"/>
            <w:vMerge w:val="restart"/>
            <w:tcBorders>
              <w:top w:val="single" w:color="000000" w:sz="2" w:space="0"/>
              <w:left w:val="single" w:color="000000" w:sz="2" w:space="0"/>
              <w:bottom w:val="nil"/>
              <w:right w:val="single" w:color="000000" w:sz="2" w:space="0"/>
              <w:tl2br w:val="nil"/>
              <w:tr2bl w:val="nil"/>
            </w:tcBorders>
            <w:noWrap w:val="0"/>
            <w:vAlign w:val="top"/>
          </w:tcPr>
          <w:p w14:paraId="032C3D60">
            <w:pPr>
              <w:spacing w:beforeLines="0" w:afterLines="0"/>
              <w:rPr>
                <w:rFonts w:hint="default"/>
                <w:color w:val="auto"/>
                <w:sz w:val="21"/>
                <w:szCs w:val="21"/>
                <w:highlight w:val="none"/>
              </w:rPr>
            </w:pPr>
          </w:p>
          <w:p w14:paraId="20D6BA41">
            <w:pPr>
              <w:spacing w:beforeLines="0" w:afterLines="0"/>
              <w:rPr>
                <w:rFonts w:hint="default"/>
                <w:color w:val="auto"/>
                <w:sz w:val="21"/>
                <w:szCs w:val="21"/>
                <w:highlight w:val="none"/>
              </w:rPr>
            </w:pPr>
          </w:p>
          <w:p w14:paraId="774415D3">
            <w:pPr>
              <w:spacing w:beforeLines="0" w:afterLines="0"/>
              <w:rPr>
                <w:rFonts w:hint="default"/>
                <w:color w:val="auto"/>
                <w:sz w:val="21"/>
                <w:szCs w:val="21"/>
                <w:highlight w:val="none"/>
              </w:rPr>
            </w:pPr>
          </w:p>
          <w:p w14:paraId="5C94B2F6">
            <w:pPr>
              <w:spacing w:beforeLines="0" w:afterLines="0"/>
              <w:rPr>
                <w:rFonts w:hint="default"/>
                <w:color w:val="auto"/>
                <w:sz w:val="21"/>
                <w:szCs w:val="21"/>
                <w:highlight w:val="none"/>
              </w:rPr>
            </w:pPr>
          </w:p>
          <w:p w14:paraId="2FD1847F">
            <w:pPr>
              <w:spacing w:beforeLines="0" w:afterLines="0"/>
              <w:rPr>
                <w:rFonts w:hint="default"/>
                <w:color w:val="auto"/>
                <w:sz w:val="21"/>
                <w:szCs w:val="21"/>
                <w:highlight w:val="none"/>
              </w:rPr>
            </w:pPr>
          </w:p>
          <w:p w14:paraId="629E13A8">
            <w:pPr>
              <w:spacing w:beforeLines="0" w:afterLines="0"/>
              <w:rPr>
                <w:rFonts w:hint="default"/>
                <w:color w:val="auto"/>
                <w:sz w:val="21"/>
                <w:szCs w:val="21"/>
                <w:highlight w:val="none"/>
              </w:rPr>
            </w:pPr>
          </w:p>
          <w:p w14:paraId="6ED3F394">
            <w:pPr>
              <w:spacing w:beforeLines="0" w:afterLines="0"/>
              <w:rPr>
                <w:rFonts w:hint="default"/>
                <w:color w:val="auto"/>
                <w:sz w:val="21"/>
                <w:szCs w:val="21"/>
                <w:highlight w:val="none"/>
              </w:rPr>
            </w:pPr>
          </w:p>
          <w:p w14:paraId="62976392">
            <w:pPr>
              <w:spacing w:beforeLines="0" w:afterLines="0"/>
              <w:rPr>
                <w:rFonts w:hint="default"/>
                <w:color w:val="auto"/>
                <w:sz w:val="21"/>
                <w:szCs w:val="21"/>
                <w:highlight w:val="none"/>
              </w:rPr>
            </w:pPr>
          </w:p>
          <w:p w14:paraId="10431DFF">
            <w:pPr>
              <w:spacing w:beforeLines="0" w:afterLines="0"/>
              <w:rPr>
                <w:rFonts w:hint="default"/>
                <w:color w:val="auto"/>
                <w:sz w:val="21"/>
                <w:szCs w:val="21"/>
                <w:highlight w:val="none"/>
              </w:rPr>
            </w:pPr>
          </w:p>
          <w:p w14:paraId="30D175CD">
            <w:pPr>
              <w:spacing w:beforeLines="0" w:afterLines="0" w:line="241" w:lineRule="auto"/>
              <w:rPr>
                <w:rFonts w:hint="default"/>
                <w:color w:val="auto"/>
                <w:sz w:val="21"/>
                <w:szCs w:val="21"/>
                <w:highlight w:val="none"/>
              </w:rPr>
            </w:pPr>
          </w:p>
          <w:p w14:paraId="73786158">
            <w:pPr>
              <w:spacing w:beforeLines="0" w:afterLines="0" w:line="241" w:lineRule="auto"/>
              <w:rPr>
                <w:rFonts w:hint="default"/>
                <w:color w:val="auto"/>
                <w:sz w:val="21"/>
                <w:szCs w:val="21"/>
                <w:highlight w:val="none"/>
              </w:rPr>
            </w:pPr>
          </w:p>
          <w:p w14:paraId="7D6B432D">
            <w:pPr>
              <w:spacing w:beforeLines="0" w:afterLines="0" w:line="241" w:lineRule="auto"/>
              <w:rPr>
                <w:rFonts w:hint="default"/>
                <w:color w:val="auto"/>
                <w:sz w:val="21"/>
                <w:szCs w:val="21"/>
                <w:highlight w:val="none"/>
              </w:rPr>
            </w:pPr>
          </w:p>
          <w:p w14:paraId="202B0ADB">
            <w:pPr>
              <w:pStyle w:val="11"/>
              <w:spacing w:before="68" w:beforeLines="0" w:afterLines="0" w:line="369" w:lineRule="auto"/>
              <w:ind w:left="136" w:right="124" w:firstLine="103"/>
              <w:rPr>
                <w:rFonts w:hint="default"/>
                <w:color w:val="auto"/>
                <w:sz w:val="21"/>
                <w:szCs w:val="21"/>
                <w:highlight w:val="none"/>
              </w:rPr>
            </w:pPr>
            <w:r>
              <w:rPr>
                <w:rFonts w:hint="default"/>
                <w:color w:val="auto"/>
                <w:spacing w:val="-2"/>
                <w:sz w:val="21"/>
                <w:szCs w:val="21"/>
                <w:highlight w:val="none"/>
              </w:rPr>
              <w:t>技术标</w:t>
            </w:r>
            <w:r>
              <w:rPr>
                <w:rFonts w:hint="default"/>
                <w:color w:val="auto"/>
                <w:sz w:val="21"/>
                <w:szCs w:val="21"/>
                <w:highlight w:val="none"/>
              </w:rPr>
              <w:t xml:space="preserve">  </w:t>
            </w:r>
            <w:r>
              <w:rPr>
                <w:rFonts w:hint="default"/>
                <w:color w:val="auto"/>
                <w:spacing w:val="-2"/>
                <w:sz w:val="21"/>
                <w:szCs w:val="21"/>
                <w:highlight w:val="none"/>
              </w:rPr>
              <w:t>（施工组</w:t>
            </w:r>
            <w:r>
              <w:rPr>
                <w:rFonts w:hint="default"/>
                <w:color w:val="auto"/>
                <w:sz w:val="21"/>
                <w:szCs w:val="21"/>
                <w:highlight w:val="none"/>
              </w:rPr>
              <w:t xml:space="preserve"> </w:t>
            </w:r>
            <w:r>
              <w:rPr>
                <w:rFonts w:hint="default"/>
                <w:color w:val="auto"/>
                <w:spacing w:val="-3"/>
                <w:sz w:val="21"/>
                <w:szCs w:val="21"/>
                <w:highlight w:val="none"/>
              </w:rPr>
              <w:t>织设计）</w:t>
            </w:r>
          </w:p>
          <w:p w14:paraId="6CC24145">
            <w:pPr>
              <w:pStyle w:val="11"/>
              <w:spacing w:beforeLines="0" w:afterLines="0" w:line="221" w:lineRule="auto"/>
              <w:ind w:left="132"/>
              <w:rPr>
                <w:rFonts w:hint="default"/>
                <w:color w:val="auto"/>
                <w:sz w:val="21"/>
                <w:szCs w:val="21"/>
                <w:highlight w:val="none"/>
                <w:lang w:eastAsia="zh-CN"/>
              </w:rPr>
            </w:pPr>
            <w:r>
              <w:rPr>
                <w:rFonts w:hint="default"/>
                <w:color w:val="auto"/>
                <w:spacing w:val="-1"/>
                <w:sz w:val="21"/>
                <w:szCs w:val="21"/>
                <w:highlight w:val="none"/>
              </w:rPr>
              <w:t>评分标准</w:t>
            </w:r>
            <w:r>
              <w:rPr>
                <w:rFonts w:hint="default"/>
                <w:color w:val="auto"/>
                <w:spacing w:val="-1"/>
                <w:sz w:val="21"/>
                <w:szCs w:val="21"/>
                <w:highlight w:val="none"/>
                <w:lang w:eastAsia="zh-CN"/>
              </w:rPr>
              <w:t>（40分）</w:t>
            </w:r>
          </w:p>
        </w:tc>
        <w:tc>
          <w:tcPr>
            <w:tcW w:w="2044" w:type="dxa"/>
            <w:tcBorders>
              <w:top w:val="single" w:color="000000" w:sz="2" w:space="0"/>
              <w:left w:val="single" w:color="000000" w:sz="2" w:space="0"/>
              <w:bottom w:val="nil"/>
              <w:right w:val="single" w:color="000000" w:sz="2" w:space="0"/>
              <w:tl2br w:val="nil"/>
              <w:tr2bl w:val="nil"/>
            </w:tcBorders>
            <w:noWrap w:val="0"/>
            <w:vAlign w:val="center"/>
          </w:tcPr>
          <w:p w14:paraId="0913882C">
            <w:pPr>
              <w:pStyle w:val="12"/>
              <w:spacing w:beforeLines="0" w:afterLines="0"/>
              <w:rPr>
                <w:rFonts w:hint="eastAsia"/>
                <w:color w:val="auto"/>
                <w:sz w:val="24"/>
                <w:szCs w:val="24"/>
                <w:highlight w:val="none"/>
              </w:rPr>
            </w:pPr>
            <w:r>
              <w:rPr>
                <w:rStyle w:val="8"/>
                <w:rFonts w:hint="default" w:ascii="宋体" w:hAnsi="宋体" w:eastAsia="宋体" w:cs="宋体"/>
                <w:color w:val="auto"/>
                <w:sz w:val="21"/>
                <w:szCs w:val="24"/>
                <w:highlight w:val="none"/>
              </w:rPr>
              <w:t>1、项目总体概述(2.0分)</w:t>
            </w:r>
          </w:p>
        </w:tc>
        <w:tc>
          <w:tcPr>
            <w:tcW w:w="936" w:type="dxa"/>
            <w:tcBorders>
              <w:top w:val="single" w:color="000000" w:sz="2" w:space="0"/>
              <w:left w:val="single" w:color="000000" w:sz="2" w:space="0"/>
              <w:bottom w:val="nil"/>
              <w:right w:val="single" w:color="000000" w:sz="2" w:space="0"/>
              <w:tl2br w:val="nil"/>
              <w:tr2bl w:val="nil"/>
            </w:tcBorders>
            <w:noWrap w:val="0"/>
            <w:vAlign w:val="center"/>
          </w:tcPr>
          <w:p w14:paraId="141CB3D2">
            <w:pPr>
              <w:spacing w:beforeLines="0" w:afterLines="0"/>
              <w:jc w:val="center"/>
              <w:rPr>
                <w:rFonts w:hint="default" w:eastAsia="宋体"/>
                <w:color w:val="auto"/>
                <w:sz w:val="21"/>
                <w:szCs w:val="21"/>
                <w:highlight w:val="none"/>
                <w:lang w:eastAsia="zh-CN"/>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3B429E0E">
            <w:pPr>
              <w:pStyle w:val="11"/>
              <w:spacing w:before="156" w:beforeLines="0" w:afterLines="0" w:line="221" w:lineRule="auto"/>
              <w:ind w:left="115"/>
              <w:rPr>
                <w:rFonts w:hint="default"/>
                <w:color w:val="auto"/>
                <w:sz w:val="21"/>
                <w:szCs w:val="21"/>
                <w:highlight w:val="none"/>
                <w:lang w:eastAsia="zh-CN"/>
              </w:rPr>
            </w:pPr>
            <w:r>
              <w:rPr>
                <w:rStyle w:val="8"/>
                <w:rFonts w:hint="default"/>
                <w:color w:val="auto"/>
                <w:sz w:val="21"/>
                <w:szCs w:val="24"/>
                <w:highlight w:val="none"/>
              </w:rPr>
              <w:t>对项目总体全面认识深刻，论述完整，逻辑关系清晰，总体组织符合实际，总体组织设计符合规范，总体计划合理，综合措施科学、总体目标满足招标文件要求。最佳1.6-2.0分；良好1.0-1.5分；一般0.5-0.9分；较差0-0.4分。</w:t>
            </w:r>
            <w:r>
              <w:rPr>
                <w:rStyle w:val="8"/>
                <w:rFonts w:hint="default"/>
                <w:color w:val="auto"/>
                <w:sz w:val="21"/>
                <w:szCs w:val="24"/>
                <w:highlight w:val="none"/>
                <w:lang w:eastAsia="zh-CN"/>
              </w:rPr>
              <w:t>（单项评审得分为0或者2分时需现场提交书面说明）</w:t>
            </w:r>
          </w:p>
        </w:tc>
      </w:tr>
      <w:tr w14:paraId="2ACBA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68B6D780">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2D1A1B50">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nil"/>
              <w:right w:val="single" w:color="000000" w:sz="2" w:space="0"/>
              <w:tl2br w:val="nil"/>
              <w:tr2bl w:val="nil"/>
            </w:tcBorders>
            <w:noWrap w:val="0"/>
            <w:vAlign w:val="center"/>
          </w:tcPr>
          <w:p w14:paraId="0879F824">
            <w:pPr>
              <w:pStyle w:val="12"/>
              <w:spacing w:beforeLines="0" w:afterLines="0"/>
              <w:rPr>
                <w:rFonts w:hint="eastAsia"/>
                <w:color w:val="auto"/>
                <w:sz w:val="24"/>
                <w:szCs w:val="24"/>
                <w:highlight w:val="none"/>
              </w:rPr>
            </w:pPr>
            <w:r>
              <w:rPr>
                <w:rStyle w:val="8"/>
                <w:rFonts w:hint="default" w:ascii="宋体" w:hAnsi="宋体" w:eastAsia="宋体" w:cs="宋体"/>
                <w:color w:val="auto"/>
                <w:sz w:val="21"/>
                <w:szCs w:val="24"/>
                <w:highlight w:val="none"/>
              </w:rPr>
              <w:t>2、施工技术方案(2.0分)</w:t>
            </w:r>
          </w:p>
        </w:tc>
        <w:tc>
          <w:tcPr>
            <w:tcW w:w="936" w:type="dxa"/>
            <w:tcBorders>
              <w:top w:val="single" w:color="000000" w:sz="2" w:space="0"/>
              <w:left w:val="single" w:color="000000" w:sz="2" w:space="0"/>
              <w:bottom w:val="nil"/>
              <w:right w:val="single" w:color="000000" w:sz="2" w:space="0"/>
              <w:tl2br w:val="nil"/>
              <w:tr2bl w:val="nil"/>
            </w:tcBorders>
            <w:noWrap w:val="0"/>
            <w:vAlign w:val="center"/>
          </w:tcPr>
          <w:p w14:paraId="043C6C65">
            <w:pPr>
              <w:spacing w:beforeLines="0" w:afterLines="0"/>
              <w:jc w:val="center"/>
              <w:rPr>
                <w:rFonts w:hint="default" w:eastAsia="宋体"/>
                <w:color w:val="auto"/>
                <w:sz w:val="21"/>
                <w:szCs w:val="21"/>
                <w:highlight w:val="none"/>
                <w:lang w:eastAsia="zh-CN"/>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A33C4A9">
            <w:pPr>
              <w:pStyle w:val="11"/>
              <w:spacing w:before="157" w:beforeLines="0" w:afterLines="0" w:line="221" w:lineRule="auto"/>
              <w:ind w:left="115"/>
              <w:rPr>
                <w:rFonts w:hint="default"/>
                <w:color w:val="auto"/>
                <w:sz w:val="21"/>
                <w:szCs w:val="21"/>
                <w:highlight w:val="none"/>
              </w:rPr>
            </w:pPr>
            <w:r>
              <w:rPr>
                <w:rStyle w:val="8"/>
                <w:rFonts w:hint="default"/>
                <w:color w:val="auto"/>
                <w:sz w:val="21"/>
                <w:szCs w:val="24"/>
                <w:highlight w:val="none"/>
              </w:rPr>
              <w:t>各分项工程的施工方法、施工工艺科学、合理、描述详细、可行，思路清晰、准确、完整、可操作性强，最佳1.6-2.0分；良好1.0-1.5分；一般0.5-0.9分；较差0-0.4分。</w:t>
            </w:r>
          </w:p>
        </w:tc>
      </w:tr>
      <w:tr w14:paraId="2DE15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205BAAEE">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1367E4C9">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nil"/>
              <w:right w:val="single" w:color="000000" w:sz="2" w:space="0"/>
              <w:tl2br w:val="nil"/>
              <w:tr2bl w:val="nil"/>
            </w:tcBorders>
            <w:noWrap w:val="0"/>
            <w:vAlign w:val="center"/>
          </w:tcPr>
          <w:p w14:paraId="22495AA6">
            <w:pPr>
              <w:pStyle w:val="12"/>
              <w:spacing w:beforeLines="0" w:afterLines="0"/>
              <w:rPr>
                <w:rFonts w:hint="eastAsia"/>
                <w:color w:val="auto"/>
                <w:sz w:val="24"/>
                <w:szCs w:val="24"/>
                <w:highlight w:val="none"/>
              </w:rPr>
            </w:pPr>
            <w:r>
              <w:rPr>
                <w:rStyle w:val="8"/>
                <w:rFonts w:hint="default" w:ascii="宋体" w:hAnsi="宋体" w:eastAsia="宋体" w:cs="宋体"/>
                <w:color w:val="auto"/>
                <w:sz w:val="21"/>
                <w:szCs w:val="24"/>
                <w:highlight w:val="none"/>
              </w:rPr>
              <w:t>3、技术难点、重点部位及相应解决方案(2.0分)</w:t>
            </w:r>
          </w:p>
        </w:tc>
        <w:tc>
          <w:tcPr>
            <w:tcW w:w="936" w:type="dxa"/>
            <w:tcBorders>
              <w:top w:val="single" w:color="000000" w:sz="2" w:space="0"/>
              <w:left w:val="single" w:color="000000" w:sz="2" w:space="0"/>
              <w:bottom w:val="nil"/>
              <w:right w:val="single" w:color="000000" w:sz="2" w:space="0"/>
              <w:tl2br w:val="nil"/>
              <w:tr2bl w:val="nil"/>
            </w:tcBorders>
            <w:noWrap w:val="0"/>
            <w:vAlign w:val="center"/>
          </w:tcPr>
          <w:p w14:paraId="7806CCB0">
            <w:pPr>
              <w:spacing w:beforeLines="0" w:afterLines="0"/>
              <w:jc w:val="center"/>
              <w:rPr>
                <w:rFonts w:hint="default" w:ascii="宋体" w:eastAsia="宋体"/>
                <w:color w:val="auto"/>
                <w:sz w:val="21"/>
                <w:szCs w:val="21"/>
                <w:highlight w:val="none"/>
                <w:lang w:eastAsia="zh-CN"/>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38766A90">
            <w:pPr>
              <w:pStyle w:val="11"/>
              <w:spacing w:before="157" w:beforeLines="0" w:afterLines="0" w:line="221" w:lineRule="auto"/>
              <w:ind w:left="115"/>
              <w:rPr>
                <w:rFonts w:hint="default"/>
                <w:color w:val="auto"/>
                <w:sz w:val="21"/>
                <w:szCs w:val="21"/>
                <w:highlight w:val="none"/>
              </w:rPr>
            </w:pPr>
            <w:r>
              <w:rPr>
                <w:rStyle w:val="8"/>
                <w:rFonts w:hint="default"/>
                <w:color w:val="auto"/>
                <w:sz w:val="21"/>
                <w:szCs w:val="24"/>
                <w:highlight w:val="none"/>
              </w:rPr>
              <w:t>对工程重点、难点认识深刻、表述全面准确，解决方案科学、系统、安全、经济，可操作性强，保障措施得力，对施工关键技术、工艺把握准确，应用到位，阐释清晰，最佳1.6-2.0分；良好1.0-1.5分；一般0.5-0.9分；较差0-0.4分。</w:t>
            </w:r>
          </w:p>
        </w:tc>
      </w:tr>
      <w:tr w14:paraId="200B4E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172CFC8C">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4AFDD368">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nil"/>
              <w:right w:val="single" w:color="000000" w:sz="2" w:space="0"/>
              <w:tl2br w:val="nil"/>
              <w:tr2bl w:val="nil"/>
            </w:tcBorders>
            <w:noWrap w:val="0"/>
            <w:vAlign w:val="center"/>
          </w:tcPr>
          <w:p w14:paraId="29AC3E09">
            <w:pPr>
              <w:pStyle w:val="12"/>
              <w:spacing w:beforeLines="0" w:afterLines="0"/>
              <w:rPr>
                <w:rFonts w:hint="eastAsia"/>
                <w:color w:val="auto"/>
                <w:sz w:val="24"/>
                <w:szCs w:val="24"/>
                <w:highlight w:val="none"/>
              </w:rPr>
            </w:pPr>
            <w:r>
              <w:rPr>
                <w:rStyle w:val="8"/>
                <w:rFonts w:hint="default" w:ascii="宋体" w:hAnsi="宋体" w:eastAsia="宋体" w:cs="宋体"/>
                <w:color w:val="auto"/>
                <w:sz w:val="21"/>
                <w:szCs w:val="24"/>
                <w:highlight w:val="none"/>
              </w:rPr>
              <w:t>4、施工总平面布置(2.0分)</w:t>
            </w:r>
          </w:p>
        </w:tc>
        <w:tc>
          <w:tcPr>
            <w:tcW w:w="936" w:type="dxa"/>
            <w:tcBorders>
              <w:top w:val="single" w:color="000000" w:sz="2" w:space="0"/>
              <w:left w:val="single" w:color="000000" w:sz="2" w:space="0"/>
              <w:bottom w:val="nil"/>
              <w:right w:val="single" w:color="000000" w:sz="2" w:space="0"/>
              <w:tl2br w:val="nil"/>
              <w:tr2bl w:val="nil"/>
            </w:tcBorders>
            <w:noWrap w:val="0"/>
            <w:vAlign w:val="center"/>
          </w:tcPr>
          <w:p w14:paraId="21B7EC48">
            <w:pPr>
              <w:spacing w:beforeLines="0" w:afterLines="0"/>
              <w:jc w:val="center"/>
              <w:rPr>
                <w:rFonts w:hint="default" w:ascii="宋体" w:eastAsia="宋体"/>
                <w:color w:val="auto"/>
                <w:sz w:val="21"/>
                <w:szCs w:val="21"/>
                <w:highlight w:val="none"/>
                <w:lang w:eastAsia="zh-CN"/>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00168176">
            <w:pPr>
              <w:pStyle w:val="11"/>
              <w:spacing w:before="162" w:beforeLines="0" w:afterLines="0" w:line="221" w:lineRule="auto"/>
              <w:ind w:left="115"/>
              <w:rPr>
                <w:rFonts w:hint="default"/>
                <w:color w:val="auto"/>
                <w:sz w:val="21"/>
                <w:szCs w:val="21"/>
                <w:highlight w:val="none"/>
              </w:rPr>
            </w:pPr>
            <w:r>
              <w:rPr>
                <w:rStyle w:val="8"/>
                <w:rFonts w:hint="default"/>
                <w:color w:val="auto"/>
                <w:sz w:val="21"/>
                <w:szCs w:val="24"/>
                <w:highlight w:val="none"/>
              </w:rPr>
              <w:t>布置科学、合理，符合现场实际情况及地方的相关规定，最佳1.6-2.0分；良好1.0-1.5分；一般0.5-0.9分；较差0-0.4分</w:t>
            </w:r>
          </w:p>
        </w:tc>
      </w:tr>
      <w:tr w14:paraId="042B62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2D16495A">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5F01779B">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nil"/>
              <w:right w:val="single" w:color="000000" w:sz="2" w:space="0"/>
              <w:tl2br w:val="nil"/>
              <w:tr2bl w:val="nil"/>
            </w:tcBorders>
            <w:noWrap w:val="0"/>
            <w:vAlign w:val="center"/>
          </w:tcPr>
          <w:p w14:paraId="6880AC9F">
            <w:pPr>
              <w:pStyle w:val="12"/>
              <w:spacing w:beforeLines="0" w:afterLines="0"/>
              <w:rPr>
                <w:rStyle w:val="8"/>
                <w:rFonts w:hint="default" w:ascii="宋体" w:hAnsi="宋体" w:eastAsia="宋体" w:cs="宋体"/>
                <w:color w:val="auto"/>
                <w:sz w:val="21"/>
                <w:szCs w:val="24"/>
                <w:highlight w:val="none"/>
              </w:rPr>
            </w:pPr>
            <w:r>
              <w:rPr>
                <w:rStyle w:val="8"/>
                <w:rFonts w:hint="default" w:ascii="宋体" w:hAnsi="宋体" w:eastAsia="宋体" w:cs="宋体"/>
                <w:color w:val="auto"/>
                <w:sz w:val="21"/>
                <w:szCs w:val="24"/>
                <w:highlight w:val="none"/>
                <w:lang w:val="en-US" w:eastAsia="zh-CN"/>
              </w:rPr>
              <w:t>5</w:t>
            </w:r>
            <w:r>
              <w:rPr>
                <w:rStyle w:val="8"/>
                <w:rFonts w:hint="default" w:ascii="宋体" w:hAnsi="宋体" w:eastAsia="宋体" w:cs="宋体"/>
                <w:color w:val="auto"/>
                <w:sz w:val="21"/>
                <w:szCs w:val="24"/>
                <w:highlight w:val="none"/>
              </w:rPr>
              <w:t>、</w:t>
            </w:r>
            <w:r>
              <w:rPr>
                <w:rStyle w:val="8"/>
                <w:rFonts w:hint="default" w:ascii="宋体" w:hAnsi="宋体" w:eastAsia="宋体" w:cs="宋体"/>
                <w:color w:val="auto"/>
                <w:sz w:val="21"/>
                <w:szCs w:val="24"/>
                <w:highlight w:val="none"/>
                <w:lang w:val="en-US" w:eastAsia="zh-CN"/>
              </w:rPr>
              <w:t>施工工艺优化与创新措施(2.0分)</w:t>
            </w:r>
          </w:p>
          <w:p w14:paraId="144AB0D5">
            <w:pPr>
              <w:pStyle w:val="12"/>
              <w:spacing w:beforeLines="0" w:afterLines="0"/>
              <w:rPr>
                <w:rFonts w:hint="eastAsia"/>
                <w:color w:val="auto"/>
                <w:sz w:val="24"/>
                <w:szCs w:val="24"/>
                <w:highlight w:val="none"/>
              </w:rPr>
            </w:pPr>
          </w:p>
        </w:tc>
        <w:tc>
          <w:tcPr>
            <w:tcW w:w="936" w:type="dxa"/>
            <w:tcBorders>
              <w:top w:val="single" w:color="000000" w:sz="2" w:space="0"/>
              <w:left w:val="single" w:color="000000" w:sz="2" w:space="0"/>
              <w:bottom w:val="nil"/>
              <w:right w:val="single" w:color="000000" w:sz="2" w:space="0"/>
              <w:tl2br w:val="nil"/>
              <w:tr2bl w:val="nil"/>
            </w:tcBorders>
            <w:noWrap w:val="0"/>
            <w:vAlign w:val="center"/>
          </w:tcPr>
          <w:p w14:paraId="70E9DEC8">
            <w:pPr>
              <w:spacing w:beforeLines="0" w:afterLines="0" w:line="420" w:lineRule="exact"/>
              <w:jc w:val="center"/>
              <w:rPr>
                <w:rFonts w:hint="default" w:ascii="宋体" w:eastAsia="宋体"/>
                <w:color w:val="auto"/>
                <w:sz w:val="21"/>
                <w:szCs w:val="21"/>
                <w:highlight w:val="none"/>
                <w:lang w:eastAsia="zh-CN"/>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1F031099">
            <w:pPr>
              <w:spacing w:beforeLines="0" w:afterLines="0" w:line="420" w:lineRule="exact"/>
              <w:rPr>
                <w:rFonts w:hint="default"/>
                <w:color w:val="auto"/>
                <w:sz w:val="21"/>
                <w:szCs w:val="21"/>
                <w:highlight w:val="none"/>
              </w:rPr>
            </w:pPr>
            <w:r>
              <w:rPr>
                <w:rStyle w:val="8"/>
                <w:rFonts w:hint="default" w:ascii="宋体" w:hAnsi="宋体" w:eastAsia="宋体" w:cs="宋体"/>
                <w:color w:val="auto"/>
                <w:sz w:val="21"/>
                <w:szCs w:val="24"/>
                <w:highlight w:val="none"/>
                <w:lang w:val="en-US" w:eastAsia="zh-CN"/>
              </w:rPr>
              <w:t>结合本装修项目特点，制定详细的施工工艺优化方案，明确各装修环节的工艺改进措施，融入合理创新技术，可有效提升施工质量、缩短工期、降低施工成本，方案针对性和可落地性极强</w:t>
            </w:r>
            <w:r>
              <w:rPr>
                <w:rStyle w:val="8"/>
                <w:rFonts w:hint="default" w:ascii="宋体" w:hAnsi="宋体" w:eastAsia="宋体" w:cs="宋体"/>
                <w:color w:val="auto"/>
                <w:sz w:val="21"/>
                <w:szCs w:val="24"/>
                <w:highlight w:val="none"/>
              </w:rPr>
              <w:t>，最佳1.6-2.0分；良好1.0-1.5分；一般0.5-0.9分；较差0-0.4分。</w:t>
            </w:r>
          </w:p>
        </w:tc>
      </w:tr>
      <w:tr w14:paraId="5A6F4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67F288D7">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5504C978">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nil"/>
              <w:right w:val="single" w:color="000000" w:sz="2" w:space="0"/>
              <w:tl2br w:val="nil"/>
              <w:tr2bl w:val="nil"/>
            </w:tcBorders>
            <w:noWrap w:val="0"/>
            <w:vAlign w:val="center"/>
          </w:tcPr>
          <w:p w14:paraId="29173F9B">
            <w:pPr>
              <w:pStyle w:val="12"/>
              <w:spacing w:beforeLines="0" w:afterLines="0"/>
              <w:rPr>
                <w:rFonts w:hint="default" w:ascii="宋体" w:hAnsi="宋体" w:eastAsia="宋体" w:cs="宋体"/>
                <w:color w:val="auto"/>
                <w:sz w:val="24"/>
                <w:szCs w:val="24"/>
                <w:highlight w:val="none"/>
                <w:u w:val="none" w:color="auto"/>
              </w:rPr>
            </w:pPr>
            <w:r>
              <w:rPr>
                <w:rStyle w:val="8"/>
                <w:rFonts w:hint="default" w:ascii="宋体" w:hAnsi="宋体" w:eastAsia="宋体" w:cs="宋体"/>
                <w:color w:val="auto"/>
                <w:sz w:val="21"/>
                <w:szCs w:val="24"/>
                <w:highlight w:val="none"/>
                <w:lang w:val="en-US" w:eastAsia="zh-CN"/>
              </w:rPr>
              <w:t>6</w:t>
            </w:r>
            <w:r>
              <w:rPr>
                <w:rStyle w:val="8"/>
                <w:rFonts w:hint="default" w:ascii="宋体" w:hAnsi="宋体" w:eastAsia="宋体" w:cs="宋体"/>
                <w:color w:val="auto"/>
                <w:sz w:val="21"/>
                <w:szCs w:val="24"/>
                <w:highlight w:val="none"/>
              </w:rPr>
              <w:t>、质量管理体系与措施(2.0分)</w:t>
            </w:r>
          </w:p>
        </w:tc>
        <w:tc>
          <w:tcPr>
            <w:tcW w:w="936" w:type="dxa"/>
            <w:tcBorders>
              <w:top w:val="single" w:color="000000" w:sz="2" w:space="0"/>
              <w:left w:val="single" w:color="000000" w:sz="2" w:space="0"/>
              <w:bottom w:val="nil"/>
              <w:right w:val="single" w:color="000000" w:sz="2" w:space="0"/>
              <w:tl2br w:val="nil"/>
              <w:tr2bl w:val="nil"/>
            </w:tcBorders>
            <w:noWrap w:val="0"/>
            <w:vAlign w:val="center"/>
          </w:tcPr>
          <w:p w14:paraId="0787F06A">
            <w:pPr>
              <w:spacing w:beforeLines="0" w:afterLines="0" w:line="420" w:lineRule="exact"/>
              <w:jc w:val="center"/>
              <w:rPr>
                <w:rFonts w:hint="default" w:ascii="宋体" w:hAnsi="宋体" w:eastAsia="宋体" w:cs="宋体"/>
                <w:color w:val="auto"/>
                <w:sz w:val="21"/>
                <w:szCs w:val="21"/>
                <w:highlight w:val="none"/>
                <w:u w:val="none" w:color="auto"/>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7AEE338C">
            <w:pPr>
              <w:spacing w:beforeLines="0" w:afterLines="0" w:line="420" w:lineRule="exact"/>
              <w:rPr>
                <w:rFonts w:hint="default" w:ascii="宋体" w:hAnsi="宋体" w:eastAsia="宋体" w:cs="宋体"/>
                <w:color w:val="auto"/>
                <w:sz w:val="21"/>
                <w:szCs w:val="21"/>
                <w:highlight w:val="none"/>
                <w:u w:val="none" w:color="auto"/>
              </w:rPr>
            </w:pPr>
            <w:r>
              <w:rPr>
                <w:rStyle w:val="8"/>
                <w:rFonts w:hint="default" w:ascii="宋体" w:hAnsi="宋体" w:eastAsia="宋体" w:cs="宋体"/>
                <w:color w:val="auto"/>
                <w:sz w:val="21"/>
                <w:szCs w:val="24"/>
                <w:highlight w:val="none"/>
              </w:rPr>
              <w:t>质量管理体系科学、合理，控制质量的措施得力、针对性强，对工程质量的保障作用强，最佳1.6-2.0分；良好1.0-1.5分；一般0.5-0.9分；较差0-0.4分。</w:t>
            </w:r>
          </w:p>
        </w:tc>
      </w:tr>
      <w:tr w14:paraId="5BDD2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3C1F4576">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5C9CD636">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nil"/>
              <w:right w:val="single" w:color="000000" w:sz="2" w:space="0"/>
              <w:tl2br w:val="nil"/>
              <w:tr2bl w:val="nil"/>
            </w:tcBorders>
            <w:noWrap w:val="0"/>
            <w:vAlign w:val="center"/>
          </w:tcPr>
          <w:p w14:paraId="3E79F715">
            <w:pPr>
              <w:pStyle w:val="12"/>
              <w:spacing w:beforeLines="0" w:afterLines="0"/>
              <w:rPr>
                <w:rFonts w:hint="default" w:ascii="宋体" w:hAnsi="宋体" w:eastAsia="宋体" w:cs="宋体"/>
                <w:color w:val="auto"/>
                <w:sz w:val="24"/>
                <w:szCs w:val="24"/>
                <w:highlight w:val="none"/>
                <w:u w:val="none" w:color="auto"/>
              </w:rPr>
            </w:pPr>
            <w:r>
              <w:rPr>
                <w:rStyle w:val="8"/>
                <w:rFonts w:hint="default" w:ascii="宋体" w:hAnsi="宋体" w:eastAsia="宋体" w:cs="宋体"/>
                <w:color w:val="auto"/>
                <w:sz w:val="21"/>
                <w:szCs w:val="24"/>
                <w:highlight w:val="none"/>
                <w:lang w:val="en-US" w:eastAsia="zh-CN"/>
              </w:rPr>
              <w:t>7</w:t>
            </w:r>
            <w:r>
              <w:rPr>
                <w:rStyle w:val="8"/>
                <w:rFonts w:hint="default" w:ascii="宋体" w:hAnsi="宋体" w:eastAsia="宋体" w:cs="宋体"/>
                <w:color w:val="auto"/>
                <w:sz w:val="21"/>
                <w:szCs w:val="24"/>
                <w:highlight w:val="none"/>
              </w:rPr>
              <w:t>、工程进度计划与措施(2.0分)</w:t>
            </w:r>
          </w:p>
        </w:tc>
        <w:tc>
          <w:tcPr>
            <w:tcW w:w="936" w:type="dxa"/>
            <w:tcBorders>
              <w:top w:val="single" w:color="000000" w:sz="2" w:space="0"/>
              <w:left w:val="single" w:color="000000" w:sz="2" w:space="0"/>
              <w:bottom w:val="nil"/>
              <w:right w:val="single" w:color="000000" w:sz="2" w:space="0"/>
              <w:tl2br w:val="nil"/>
              <w:tr2bl w:val="nil"/>
            </w:tcBorders>
            <w:noWrap w:val="0"/>
            <w:vAlign w:val="center"/>
          </w:tcPr>
          <w:p w14:paraId="0F441DF9">
            <w:pPr>
              <w:spacing w:beforeLines="0" w:afterLines="0" w:line="420" w:lineRule="exact"/>
              <w:jc w:val="center"/>
              <w:rPr>
                <w:rFonts w:hint="default" w:ascii="宋体" w:hAnsi="宋体" w:eastAsia="宋体" w:cs="宋体"/>
                <w:color w:val="auto"/>
                <w:sz w:val="21"/>
                <w:szCs w:val="21"/>
                <w:highlight w:val="none"/>
                <w:u w:val="none" w:color="auto"/>
                <w:lang w:eastAsia="zh-CN"/>
              </w:rPr>
            </w:pPr>
            <w:r>
              <w:rPr>
                <w:rFonts w:hint="default" w:ascii="宋体" w:hAnsi="宋体" w:eastAsia="宋体" w:cs="宋体"/>
                <w:color w:val="auto"/>
                <w:sz w:val="21"/>
                <w:szCs w:val="21"/>
                <w:highlight w:val="none"/>
                <w:u w:val="none" w:color="auto"/>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48A08120">
            <w:pPr>
              <w:spacing w:beforeLines="0" w:afterLines="0" w:line="420" w:lineRule="exact"/>
              <w:rPr>
                <w:rFonts w:hint="default" w:ascii="宋体" w:hAnsi="宋体" w:eastAsia="宋体" w:cs="宋体"/>
                <w:color w:val="auto"/>
                <w:sz w:val="21"/>
                <w:szCs w:val="21"/>
                <w:highlight w:val="none"/>
                <w:u w:val="none" w:color="auto"/>
              </w:rPr>
            </w:pPr>
            <w:r>
              <w:rPr>
                <w:rStyle w:val="8"/>
                <w:rFonts w:hint="default" w:ascii="宋体" w:hAnsi="宋体" w:eastAsia="宋体" w:cs="宋体"/>
                <w:color w:val="auto"/>
                <w:sz w:val="21"/>
                <w:szCs w:val="24"/>
                <w:highlight w:val="none"/>
              </w:rPr>
              <w:t>编制了完善的施工总体进度网络图或横道图，工程进度计划科学、合理，保证工程进度措施得力，最佳1.6-2.0分；良好1.0-1.5分；一般0.5-0.9分；较差0-0.4分。</w:t>
            </w:r>
          </w:p>
        </w:tc>
      </w:tr>
      <w:tr w14:paraId="6FCF1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1877F49D">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7A4A70B7">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nil"/>
              <w:right w:val="single" w:color="000000" w:sz="2" w:space="0"/>
              <w:tl2br w:val="nil"/>
              <w:tr2bl w:val="nil"/>
            </w:tcBorders>
            <w:noWrap w:val="0"/>
            <w:vAlign w:val="center"/>
          </w:tcPr>
          <w:p w14:paraId="0D0DA105">
            <w:pPr>
              <w:pStyle w:val="12"/>
              <w:spacing w:beforeLines="0" w:afterLines="0"/>
              <w:rPr>
                <w:rFonts w:hint="eastAsia"/>
                <w:color w:val="auto"/>
                <w:sz w:val="24"/>
                <w:szCs w:val="24"/>
                <w:highlight w:val="none"/>
              </w:rPr>
            </w:pPr>
            <w:r>
              <w:rPr>
                <w:rStyle w:val="8"/>
                <w:rFonts w:hint="default" w:ascii="宋体" w:hAnsi="宋体" w:eastAsia="宋体" w:cs="宋体"/>
                <w:color w:val="auto"/>
                <w:sz w:val="21"/>
                <w:szCs w:val="24"/>
                <w:highlight w:val="none"/>
                <w:lang w:val="en-US" w:eastAsia="zh-CN"/>
              </w:rPr>
              <w:t>8</w:t>
            </w:r>
            <w:r>
              <w:rPr>
                <w:rStyle w:val="8"/>
                <w:rFonts w:hint="default" w:ascii="宋体" w:hAnsi="宋体" w:eastAsia="宋体" w:cs="宋体"/>
                <w:color w:val="auto"/>
                <w:sz w:val="21"/>
                <w:szCs w:val="24"/>
                <w:highlight w:val="none"/>
              </w:rPr>
              <w:t>、安全管理体系与措施(2.0分)</w:t>
            </w:r>
          </w:p>
        </w:tc>
        <w:tc>
          <w:tcPr>
            <w:tcW w:w="936" w:type="dxa"/>
            <w:tcBorders>
              <w:top w:val="single" w:color="000000" w:sz="2" w:space="0"/>
              <w:left w:val="single" w:color="000000" w:sz="2" w:space="0"/>
              <w:bottom w:val="nil"/>
              <w:right w:val="single" w:color="000000" w:sz="2" w:space="0"/>
              <w:tl2br w:val="nil"/>
              <w:tr2bl w:val="nil"/>
            </w:tcBorders>
            <w:noWrap w:val="0"/>
            <w:vAlign w:val="center"/>
          </w:tcPr>
          <w:p w14:paraId="63BD5213">
            <w:pPr>
              <w:spacing w:beforeLines="0" w:afterLines="0"/>
              <w:jc w:val="center"/>
              <w:rPr>
                <w:rFonts w:hint="default"/>
                <w:color w:val="auto"/>
                <w:sz w:val="21"/>
                <w:szCs w:val="21"/>
                <w:highlight w:val="none"/>
                <w:lang w:eastAsia="zh-CN"/>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2A6B975">
            <w:pPr>
              <w:spacing w:beforeLines="0" w:afterLines="0"/>
              <w:rPr>
                <w:rFonts w:hint="default"/>
                <w:color w:val="auto"/>
                <w:sz w:val="21"/>
                <w:szCs w:val="21"/>
                <w:highlight w:val="none"/>
              </w:rPr>
            </w:pPr>
            <w:r>
              <w:rPr>
                <w:rStyle w:val="8"/>
                <w:rFonts w:hint="default" w:ascii="宋体" w:hAnsi="宋体" w:eastAsia="宋体" w:cs="宋体"/>
                <w:color w:val="auto"/>
                <w:sz w:val="21"/>
                <w:szCs w:val="24"/>
                <w:highlight w:val="none"/>
              </w:rPr>
              <w:t>安全管理体系科学、合理，控制安全的措施得力、针对性强，对工程安全的保障作用强，最佳1.6-2.0分；良好1.0-1.5分；一般0.5-0.9分；较差0-0.4分。</w:t>
            </w:r>
          </w:p>
        </w:tc>
      </w:tr>
      <w:tr w14:paraId="11513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4FAB37AD">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1A0AB029">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30D20AB0">
            <w:pPr>
              <w:pStyle w:val="12"/>
              <w:spacing w:beforeLines="0" w:afterLines="0"/>
              <w:rPr>
                <w:rFonts w:hint="eastAsia"/>
                <w:color w:val="auto"/>
                <w:sz w:val="24"/>
                <w:szCs w:val="24"/>
                <w:highlight w:val="none"/>
              </w:rPr>
            </w:pPr>
            <w:r>
              <w:rPr>
                <w:rStyle w:val="8"/>
                <w:rFonts w:hint="default" w:ascii="宋体" w:hAnsi="宋体" w:eastAsia="宋体" w:cs="宋体"/>
                <w:color w:val="auto"/>
                <w:sz w:val="21"/>
                <w:szCs w:val="24"/>
                <w:highlight w:val="none"/>
                <w:lang w:val="en-US" w:eastAsia="zh-CN"/>
              </w:rPr>
              <w:t>9</w:t>
            </w:r>
            <w:r>
              <w:rPr>
                <w:rStyle w:val="8"/>
                <w:rFonts w:hint="default" w:ascii="宋体" w:hAnsi="宋体" w:eastAsia="宋体" w:cs="宋体"/>
                <w:color w:val="auto"/>
                <w:sz w:val="21"/>
                <w:szCs w:val="24"/>
                <w:highlight w:val="none"/>
              </w:rPr>
              <w:t>、扬尘污染治理及卫生防疫管理体系与措施(2.0分)</w:t>
            </w:r>
          </w:p>
        </w:tc>
        <w:tc>
          <w:tcPr>
            <w:tcW w:w="93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7E4CD7B9">
            <w:pPr>
              <w:spacing w:beforeLines="0" w:afterLines="0"/>
              <w:jc w:val="center"/>
              <w:rPr>
                <w:rFonts w:hint="default"/>
                <w:color w:val="auto"/>
                <w:sz w:val="21"/>
                <w:szCs w:val="21"/>
                <w:highlight w:val="none"/>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3371A27">
            <w:pPr>
              <w:pStyle w:val="11"/>
              <w:spacing w:before="159" w:beforeLines="0" w:afterLines="0" w:line="221" w:lineRule="auto"/>
              <w:ind w:left="115"/>
              <w:rPr>
                <w:rFonts w:hint="default"/>
                <w:color w:val="auto"/>
                <w:sz w:val="21"/>
                <w:szCs w:val="21"/>
                <w:highlight w:val="none"/>
              </w:rPr>
            </w:pPr>
            <w:r>
              <w:rPr>
                <w:rStyle w:val="8"/>
                <w:rFonts w:hint="default"/>
                <w:color w:val="auto"/>
                <w:sz w:val="21"/>
                <w:szCs w:val="24"/>
                <w:highlight w:val="none"/>
              </w:rPr>
              <w:t>扬尘污染治理及卫生防疫方案满足相关规定，内容全面具体、科学有效、措施可靠，最佳1.6-2.0分；良好1.0-1.5分；一般0.5-0.9分；较差0-0.4分。</w:t>
            </w:r>
          </w:p>
        </w:tc>
      </w:tr>
      <w:tr w14:paraId="369C0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left w:val="single" w:color="000000" w:sz="2" w:space="0"/>
              <w:bottom w:val="nil"/>
              <w:right w:val="single" w:color="000000" w:sz="2" w:space="0"/>
              <w:tl2br w:val="nil"/>
              <w:tr2bl w:val="nil"/>
            </w:tcBorders>
            <w:noWrap w:val="0"/>
            <w:vAlign w:val="top"/>
          </w:tcPr>
          <w:p w14:paraId="3CCB63E2">
            <w:pPr>
              <w:spacing w:beforeLines="0" w:afterLines="0"/>
              <w:rPr>
                <w:rFonts w:hint="default"/>
                <w:color w:val="auto"/>
                <w:sz w:val="21"/>
                <w:szCs w:val="21"/>
                <w:highlight w:val="none"/>
              </w:rPr>
            </w:pPr>
          </w:p>
        </w:tc>
        <w:tc>
          <w:tcPr>
            <w:tcW w:w="1099" w:type="dxa"/>
            <w:tcBorders>
              <w:top w:val="nil"/>
              <w:left w:val="single" w:color="000000" w:sz="2" w:space="0"/>
              <w:bottom w:val="nil"/>
              <w:right w:val="single" w:color="000000" w:sz="2" w:space="0"/>
              <w:tl2br w:val="nil"/>
              <w:tr2bl w:val="nil"/>
            </w:tcBorders>
            <w:noWrap w:val="0"/>
            <w:vAlign w:val="top"/>
          </w:tcPr>
          <w:p w14:paraId="7700FF7B">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16B4730E">
            <w:pPr>
              <w:pStyle w:val="12"/>
              <w:spacing w:beforeLines="0" w:afterLines="0"/>
              <w:rPr>
                <w:rStyle w:val="8"/>
                <w:rFonts w:hint="default" w:ascii="宋体" w:hAnsi="宋体" w:eastAsia="宋体" w:cs="宋体"/>
                <w:color w:val="auto"/>
                <w:sz w:val="21"/>
                <w:szCs w:val="24"/>
                <w:highlight w:val="none"/>
              </w:rPr>
            </w:pPr>
            <w:r>
              <w:rPr>
                <w:rStyle w:val="8"/>
                <w:rFonts w:hint="default" w:ascii="宋体" w:hAnsi="宋体" w:eastAsia="宋体" w:cs="宋体"/>
                <w:color w:val="auto"/>
                <w:sz w:val="21"/>
                <w:szCs w:val="24"/>
                <w:highlight w:val="none"/>
              </w:rPr>
              <w:t>1</w:t>
            </w:r>
            <w:r>
              <w:rPr>
                <w:rStyle w:val="8"/>
                <w:rFonts w:hint="default" w:ascii="宋体" w:hAnsi="宋体" w:eastAsia="宋体" w:cs="宋体"/>
                <w:color w:val="auto"/>
                <w:sz w:val="21"/>
                <w:szCs w:val="24"/>
                <w:highlight w:val="none"/>
                <w:lang w:val="en-US" w:eastAsia="zh-CN"/>
              </w:rPr>
              <w:t>0</w:t>
            </w:r>
            <w:r>
              <w:rPr>
                <w:rStyle w:val="8"/>
                <w:rFonts w:hint="default" w:ascii="宋体" w:hAnsi="宋体" w:eastAsia="宋体" w:cs="宋体"/>
                <w:color w:val="auto"/>
                <w:sz w:val="21"/>
                <w:szCs w:val="24"/>
                <w:highlight w:val="none"/>
              </w:rPr>
              <w:t>、文明施工管理体系与措施(2.0分)</w:t>
            </w:r>
          </w:p>
        </w:tc>
        <w:tc>
          <w:tcPr>
            <w:tcW w:w="93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6D8B7CB9">
            <w:pPr>
              <w:spacing w:beforeLines="0" w:afterLines="0"/>
              <w:jc w:val="center"/>
              <w:rPr>
                <w:rFonts w:hint="default"/>
                <w:color w:val="auto"/>
                <w:sz w:val="21"/>
                <w:szCs w:val="21"/>
                <w:highlight w:val="none"/>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5D08732">
            <w:pPr>
              <w:pStyle w:val="12"/>
              <w:spacing w:beforeLines="0" w:afterLines="0"/>
              <w:rPr>
                <w:rStyle w:val="8"/>
                <w:rFonts w:hint="default" w:ascii="宋体" w:hAnsi="宋体" w:eastAsia="宋体" w:cs="宋体"/>
                <w:color w:val="auto"/>
                <w:sz w:val="21"/>
                <w:szCs w:val="24"/>
                <w:highlight w:val="none"/>
              </w:rPr>
            </w:pPr>
            <w:r>
              <w:rPr>
                <w:rStyle w:val="8"/>
                <w:rFonts w:hint="default" w:ascii="宋体" w:hAnsi="宋体" w:eastAsia="宋体" w:cs="宋体"/>
                <w:color w:val="auto"/>
                <w:sz w:val="21"/>
                <w:szCs w:val="24"/>
                <w:highlight w:val="none"/>
              </w:rPr>
              <w:t xml:space="preserve">1、承诺无条件免费清理施工现场范围内因施工所产生垃圾，保证现场及现场附近清洁卫生，得1分； </w:t>
            </w:r>
          </w:p>
          <w:p w14:paraId="05C36ED6">
            <w:pPr>
              <w:pStyle w:val="11"/>
              <w:spacing w:before="159" w:beforeLines="0" w:afterLines="0" w:line="221" w:lineRule="auto"/>
              <w:ind w:left="115"/>
              <w:rPr>
                <w:rFonts w:hint="default"/>
                <w:color w:val="auto"/>
                <w:sz w:val="21"/>
                <w:szCs w:val="21"/>
                <w:highlight w:val="none"/>
              </w:rPr>
            </w:pPr>
            <w:r>
              <w:rPr>
                <w:rStyle w:val="8"/>
                <w:rFonts w:hint="default"/>
                <w:color w:val="auto"/>
                <w:sz w:val="21"/>
                <w:szCs w:val="24"/>
                <w:highlight w:val="none"/>
              </w:rPr>
              <w:t>2、文明施工管理体系科学、合理，措施得力，针对性强，最佳0.7-1.0分；良好0.3-0.6分；一般及较差0-0.2 分。</w:t>
            </w:r>
          </w:p>
        </w:tc>
      </w:tr>
      <w:tr w14:paraId="18D19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left w:val="single" w:color="000000" w:sz="2" w:space="0"/>
              <w:bottom w:val="nil"/>
              <w:right w:val="single" w:color="000000" w:sz="2" w:space="0"/>
              <w:tl2br w:val="nil"/>
              <w:tr2bl w:val="nil"/>
            </w:tcBorders>
            <w:noWrap w:val="0"/>
            <w:vAlign w:val="top"/>
          </w:tcPr>
          <w:p w14:paraId="3D5CCED1">
            <w:pPr>
              <w:spacing w:beforeLines="0" w:afterLines="0"/>
              <w:rPr>
                <w:rFonts w:hint="default"/>
                <w:color w:val="auto"/>
                <w:sz w:val="21"/>
                <w:szCs w:val="21"/>
                <w:highlight w:val="none"/>
              </w:rPr>
            </w:pPr>
          </w:p>
        </w:tc>
        <w:tc>
          <w:tcPr>
            <w:tcW w:w="1099" w:type="dxa"/>
            <w:tcBorders>
              <w:top w:val="nil"/>
              <w:left w:val="single" w:color="000000" w:sz="2" w:space="0"/>
              <w:bottom w:val="nil"/>
              <w:right w:val="single" w:color="000000" w:sz="2" w:space="0"/>
              <w:tl2br w:val="nil"/>
              <w:tr2bl w:val="nil"/>
            </w:tcBorders>
            <w:noWrap w:val="0"/>
            <w:vAlign w:val="top"/>
          </w:tcPr>
          <w:p w14:paraId="22B9D3E3">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21344A5F">
            <w:pPr>
              <w:pStyle w:val="12"/>
              <w:spacing w:beforeLines="0" w:afterLines="0"/>
              <w:rPr>
                <w:rStyle w:val="8"/>
                <w:rFonts w:hint="default" w:ascii="宋体" w:hAnsi="宋体" w:eastAsia="宋体" w:cs="宋体"/>
                <w:color w:val="auto"/>
                <w:sz w:val="21"/>
                <w:szCs w:val="24"/>
                <w:highlight w:val="none"/>
              </w:rPr>
            </w:pPr>
            <w:r>
              <w:rPr>
                <w:rStyle w:val="8"/>
                <w:rFonts w:hint="default" w:ascii="宋体" w:hAnsi="宋体" w:eastAsia="宋体" w:cs="宋体"/>
                <w:color w:val="auto"/>
                <w:sz w:val="21"/>
                <w:szCs w:val="24"/>
                <w:highlight w:val="none"/>
              </w:rPr>
              <w:t>1</w:t>
            </w:r>
            <w:r>
              <w:rPr>
                <w:rStyle w:val="8"/>
                <w:rFonts w:hint="default" w:ascii="宋体" w:hAnsi="宋体" w:eastAsia="宋体" w:cs="宋体"/>
                <w:color w:val="auto"/>
                <w:sz w:val="21"/>
                <w:szCs w:val="24"/>
                <w:highlight w:val="none"/>
                <w:lang w:val="en-US" w:eastAsia="zh-CN"/>
              </w:rPr>
              <w:t>1</w:t>
            </w:r>
            <w:r>
              <w:rPr>
                <w:rStyle w:val="8"/>
                <w:rFonts w:hint="default" w:ascii="宋体" w:hAnsi="宋体" w:eastAsia="宋体" w:cs="宋体"/>
                <w:color w:val="auto"/>
                <w:sz w:val="21"/>
                <w:szCs w:val="24"/>
                <w:highlight w:val="none"/>
              </w:rPr>
              <w:t>、劳动力安排计划(2.0分)</w:t>
            </w:r>
          </w:p>
        </w:tc>
        <w:tc>
          <w:tcPr>
            <w:tcW w:w="93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076B0258">
            <w:pPr>
              <w:spacing w:beforeLines="0" w:afterLines="0"/>
              <w:jc w:val="center"/>
              <w:rPr>
                <w:rFonts w:hint="default"/>
                <w:color w:val="auto"/>
                <w:sz w:val="21"/>
                <w:szCs w:val="21"/>
                <w:highlight w:val="none"/>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0DE89CF8">
            <w:pPr>
              <w:pStyle w:val="11"/>
              <w:spacing w:before="159" w:beforeLines="0" w:afterLines="0" w:line="221" w:lineRule="auto"/>
              <w:ind w:left="115"/>
              <w:rPr>
                <w:rFonts w:hint="default"/>
                <w:color w:val="auto"/>
                <w:sz w:val="21"/>
                <w:szCs w:val="21"/>
                <w:highlight w:val="none"/>
              </w:rPr>
            </w:pPr>
            <w:r>
              <w:rPr>
                <w:rStyle w:val="8"/>
                <w:rFonts w:hint="default"/>
                <w:color w:val="auto"/>
                <w:sz w:val="21"/>
                <w:szCs w:val="24"/>
                <w:highlight w:val="none"/>
              </w:rPr>
              <w:t>劳动力资源配备齐全、合理，数量充足，进场计划时间明确，与进度计划及施工程序相符，最佳1.6-2.0分；良好1.0-1.5分；一般0.5-0.9分；较差0-0.4分。</w:t>
            </w:r>
          </w:p>
        </w:tc>
      </w:tr>
      <w:tr w14:paraId="7FD4B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left w:val="single" w:color="000000" w:sz="2" w:space="0"/>
              <w:bottom w:val="nil"/>
              <w:right w:val="single" w:color="000000" w:sz="2" w:space="0"/>
              <w:tl2br w:val="nil"/>
              <w:tr2bl w:val="nil"/>
            </w:tcBorders>
            <w:noWrap w:val="0"/>
            <w:vAlign w:val="top"/>
          </w:tcPr>
          <w:p w14:paraId="508FD75B">
            <w:pPr>
              <w:spacing w:beforeLines="0" w:afterLines="0"/>
              <w:rPr>
                <w:rFonts w:hint="default"/>
                <w:color w:val="auto"/>
                <w:sz w:val="21"/>
                <w:szCs w:val="21"/>
                <w:highlight w:val="none"/>
              </w:rPr>
            </w:pPr>
          </w:p>
        </w:tc>
        <w:tc>
          <w:tcPr>
            <w:tcW w:w="1099" w:type="dxa"/>
            <w:tcBorders>
              <w:top w:val="nil"/>
              <w:left w:val="single" w:color="000000" w:sz="2" w:space="0"/>
              <w:bottom w:val="nil"/>
              <w:right w:val="single" w:color="000000" w:sz="2" w:space="0"/>
              <w:tl2br w:val="nil"/>
              <w:tr2bl w:val="nil"/>
            </w:tcBorders>
            <w:noWrap w:val="0"/>
            <w:vAlign w:val="top"/>
          </w:tcPr>
          <w:p w14:paraId="6AE86C56">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3B7147BD">
            <w:pPr>
              <w:pStyle w:val="12"/>
              <w:spacing w:beforeLines="0" w:afterLines="0"/>
              <w:rPr>
                <w:rStyle w:val="8"/>
                <w:rFonts w:hint="default" w:ascii="宋体" w:hAnsi="宋体" w:eastAsia="宋体" w:cs="宋体"/>
                <w:color w:val="auto"/>
                <w:sz w:val="21"/>
                <w:szCs w:val="24"/>
                <w:highlight w:val="none"/>
              </w:rPr>
            </w:pPr>
            <w:r>
              <w:rPr>
                <w:rStyle w:val="8"/>
                <w:rFonts w:hint="default" w:ascii="宋体" w:hAnsi="宋体" w:eastAsia="宋体" w:cs="宋体"/>
                <w:color w:val="auto"/>
                <w:sz w:val="21"/>
                <w:szCs w:val="24"/>
                <w:highlight w:val="none"/>
              </w:rPr>
              <w:t>1</w:t>
            </w:r>
            <w:r>
              <w:rPr>
                <w:rStyle w:val="8"/>
                <w:rFonts w:hint="default" w:ascii="宋体" w:hAnsi="宋体" w:eastAsia="宋体" w:cs="宋体"/>
                <w:color w:val="auto"/>
                <w:sz w:val="21"/>
                <w:szCs w:val="24"/>
                <w:highlight w:val="none"/>
                <w:lang w:val="en-US" w:eastAsia="zh-CN"/>
              </w:rPr>
              <w:t>2</w:t>
            </w:r>
            <w:r>
              <w:rPr>
                <w:rStyle w:val="8"/>
                <w:rFonts w:hint="default" w:ascii="宋体" w:hAnsi="宋体" w:eastAsia="宋体" w:cs="宋体"/>
                <w:color w:val="auto"/>
                <w:sz w:val="21"/>
                <w:szCs w:val="24"/>
                <w:highlight w:val="none"/>
              </w:rPr>
              <w:t>、材料（周转和非周转材料）投入计划(2.0分)</w:t>
            </w:r>
          </w:p>
        </w:tc>
        <w:tc>
          <w:tcPr>
            <w:tcW w:w="93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324454E3">
            <w:pPr>
              <w:spacing w:beforeLines="0" w:afterLines="0"/>
              <w:jc w:val="center"/>
              <w:rPr>
                <w:rFonts w:hint="default"/>
                <w:color w:val="auto"/>
                <w:sz w:val="21"/>
                <w:szCs w:val="21"/>
                <w:highlight w:val="none"/>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496AD287">
            <w:pPr>
              <w:pStyle w:val="11"/>
              <w:spacing w:before="159" w:beforeLines="0" w:afterLines="0" w:line="221" w:lineRule="auto"/>
              <w:ind w:left="115"/>
              <w:rPr>
                <w:rFonts w:hint="default"/>
                <w:color w:val="auto"/>
                <w:sz w:val="21"/>
                <w:szCs w:val="21"/>
                <w:highlight w:val="none"/>
              </w:rPr>
            </w:pPr>
            <w:r>
              <w:rPr>
                <w:rStyle w:val="8"/>
                <w:rFonts w:hint="default"/>
                <w:color w:val="auto"/>
                <w:sz w:val="21"/>
                <w:szCs w:val="24"/>
                <w:highlight w:val="none"/>
              </w:rPr>
              <w:t>施工材料资源配备齐全、合理，数量充足，进场计划时间明确，与进度计划及施工程序相符，最佳1.6-2.0分；良好1.0-1.5分；一般0.5-0.9分；较差0-0.4分。</w:t>
            </w:r>
          </w:p>
        </w:tc>
      </w:tr>
      <w:tr w14:paraId="0967A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left w:val="single" w:color="000000" w:sz="2" w:space="0"/>
              <w:bottom w:val="nil"/>
              <w:right w:val="single" w:color="000000" w:sz="2" w:space="0"/>
              <w:tl2br w:val="nil"/>
              <w:tr2bl w:val="nil"/>
            </w:tcBorders>
            <w:noWrap w:val="0"/>
            <w:vAlign w:val="top"/>
          </w:tcPr>
          <w:p w14:paraId="63CEEFF3">
            <w:pPr>
              <w:spacing w:beforeLines="0" w:afterLines="0"/>
              <w:rPr>
                <w:rFonts w:hint="default"/>
                <w:color w:val="auto"/>
                <w:sz w:val="21"/>
                <w:szCs w:val="21"/>
                <w:highlight w:val="none"/>
              </w:rPr>
            </w:pPr>
          </w:p>
        </w:tc>
        <w:tc>
          <w:tcPr>
            <w:tcW w:w="1099" w:type="dxa"/>
            <w:tcBorders>
              <w:top w:val="nil"/>
              <w:left w:val="single" w:color="000000" w:sz="2" w:space="0"/>
              <w:bottom w:val="nil"/>
              <w:right w:val="single" w:color="000000" w:sz="2" w:space="0"/>
              <w:tl2br w:val="nil"/>
              <w:tr2bl w:val="nil"/>
            </w:tcBorders>
            <w:noWrap w:val="0"/>
            <w:vAlign w:val="top"/>
          </w:tcPr>
          <w:p w14:paraId="487462F4">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100CFE42">
            <w:pPr>
              <w:pStyle w:val="12"/>
              <w:spacing w:beforeLines="0" w:afterLines="0"/>
              <w:rPr>
                <w:rStyle w:val="8"/>
                <w:rFonts w:hint="default" w:ascii="宋体" w:hAnsi="宋体" w:eastAsia="宋体" w:cs="宋体"/>
                <w:color w:val="auto"/>
                <w:sz w:val="21"/>
                <w:szCs w:val="24"/>
                <w:highlight w:val="none"/>
              </w:rPr>
            </w:pPr>
            <w:r>
              <w:rPr>
                <w:rStyle w:val="8"/>
                <w:rFonts w:hint="default" w:ascii="宋体" w:hAnsi="宋体" w:eastAsia="宋体" w:cs="宋体"/>
                <w:color w:val="auto"/>
                <w:sz w:val="21"/>
                <w:szCs w:val="24"/>
                <w:highlight w:val="none"/>
              </w:rPr>
              <w:t>1</w:t>
            </w:r>
            <w:r>
              <w:rPr>
                <w:rStyle w:val="8"/>
                <w:rFonts w:hint="default" w:ascii="宋体" w:hAnsi="宋体" w:eastAsia="宋体" w:cs="宋体"/>
                <w:color w:val="auto"/>
                <w:sz w:val="21"/>
                <w:szCs w:val="24"/>
                <w:highlight w:val="none"/>
                <w:lang w:val="en-US" w:eastAsia="zh-CN"/>
              </w:rPr>
              <w:t>3</w:t>
            </w:r>
            <w:r>
              <w:rPr>
                <w:rStyle w:val="8"/>
                <w:rFonts w:hint="default" w:ascii="宋体" w:hAnsi="宋体" w:eastAsia="宋体" w:cs="宋体"/>
                <w:color w:val="auto"/>
                <w:sz w:val="21"/>
                <w:szCs w:val="24"/>
                <w:highlight w:val="none"/>
              </w:rPr>
              <w:t>、施工机械设备投入计划(2.0分)</w:t>
            </w:r>
          </w:p>
        </w:tc>
        <w:tc>
          <w:tcPr>
            <w:tcW w:w="93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21824A18">
            <w:pPr>
              <w:spacing w:beforeLines="0" w:afterLines="0"/>
              <w:jc w:val="center"/>
              <w:rPr>
                <w:rFonts w:hint="default" w:ascii="宋体" w:eastAsia="宋体"/>
                <w:color w:val="auto"/>
                <w:sz w:val="21"/>
                <w:szCs w:val="21"/>
                <w:highlight w:val="none"/>
                <w:lang w:eastAsia="zh-CN"/>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4CFF420">
            <w:pPr>
              <w:pStyle w:val="11"/>
              <w:spacing w:before="159" w:beforeLines="0" w:afterLines="0" w:line="221" w:lineRule="auto"/>
              <w:ind w:left="115"/>
              <w:rPr>
                <w:rFonts w:hint="default"/>
                <w:color w:val="auto"/>
                <w:sz w:val="21"/>
                <w:szCs w:val="21"/>
                <w:highlight w:val="none"/>
              </w:rPr>
            </w:pPr>
            <w:r>
              <w:rPr>
                <w:rStyle w:val="8"/>
                <w:rFonts w:hint="default"/>
                <w:color w:val="auto"/>
                <w:sz w:val="21"/>
                <w:szCs w:val="24"/>
                <w:highlight w:val="none"/>
              </w:rPr>
              <w:t>施工机械设备资源配备齐全、合理，数量充足，进场计划时间明确，与进度计划及施工程序完全相符，最佳1.6-2.0分；良好1.0-1.5分；一般0.5-0.9分；较差0-0.4分。</w:t>
            </w:r>
          </w:p>
        </w:tc>
      </w:tr>
      <w:tr w14:paraId="72244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left w:val="single" w:color="000000" w:sz="2" w:space="0"/>
              <w:bottom w:val="nil"/>
              <w:right w:val="single" w:color="000000" w:sz="2" w:space="0"/>
              <w:tl2br w:val="nil"/>
              <w:tr2bl w:val="nil"/>
            </w:tcBorders>
            <w:noWrap w:val="0"/>
            <w:vAlign w:val="top"/>
          </w:tcPr>
          <w:p w14:paraId="241C9087">
            <w:pPr>
              <w:spacing w:beforeLines="0" w:afterLines="0"/>
              <w:rPr>
                <w:rFonts w:hint="default"/>
                <w:color w:val="auto"/>
                <w:sz w:val="21"/>
                <w:szCs w:val="21"/>
                <w:highlight w:val="none"/>
              </w:rPr>
            </w:pPr>
          </w:p>
          <w:p w14:paraId="489F8648">
            <w:pPr>
              <w:spacing w:beforeLines="0" w:afterLines="0"/>
              <w:rPr>
                <w:rFonts w:hint="default"/>
                <w:color w:val="auto"/>
                <w:sz w:val="21"/>
                <w:szCs w:val="21"/>
                <w:highlight w:val="none"/>
              </w:rPr>
            </w:pPr>
          </w:p>
        </w:tc>
        <w:tc>
          <w:tcPr>
            <w:tcW w:w="1099" w:type="dxa"/>
            <w:tcBorders>
              <w:top w:val="nil"/>
              <w:left w:val="single" w:color="000000" w:sz="2" w:space="0"/>
              <w:bottom w:val="nil"/>
              <w:right w:val="single" w:color="000000" w:sz="2" w:space="0"/>
              <w:tl2br w:val="nil"/>
              <w:tr2bl w:val="nil"/>
            </w:tcBorders>
            <w:noWrap w:val="0"/>
            <w:vAlign w:val="top"/>
          </w:tcPr>
          <w:p w14:paraId="5DF148A2">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12B9C3BB">
            <w:pPr>
              <w:pStyle w:val="12"/>
              <w:spacing w:beforeLines="0" w:afterLines="0"/>
              <w:rPr>
                <w:rStyle w:val="8"/>
                <w:rFonts w:hint="default" w:ascii="宋体" w:hAnsi="宋体" w:eastAsia="宋体" w:cs="宋体"/>
                <w:color w:val="auto"/>
                <w:sz w:val="21"/>
                <w:szCs w:val="24"/>
                <w:highlight w:val="none"/>
              </w:rPr>
            </w:pPr>
            <w:r>
              <w:rPr>
                <w:rStyle w:val="8"/>
                <w:rFonts w:hint="default" w:ascii="宋体" w:hAnsi="宋体" w:eastAsia="宋体" w:cs="宋体"/>
                <w:color w:val="auto"/>
                <w:sz w:val="21"/>
                <w:szCs w:val="24"/>
                <w:highlight w:val="none"/>
              </w:rPr>
              <w:t>1</w:t>
            </w:r>
            <w:r>
              <w:rPr>
                <w:rStyle w:val="8"/>
                <w:rFonts w:hint="default" w:ascii="宋体" w:hAnsi="宋体" w:eastAsia="宋体" w:cs="宋体"/>
                <w:color w:val="auto"/>
                <w:sz w:val="21"/>
                <w:szCs w:val="24"/>
                <w:highlight w:val="none"/>
                <w:lang w:val="en-US" w:eastAsia="zh-CN"/>
              </w:rPr>
              <w:t>4</w:t>
            </w:r>
            <w:r>
              <w:rPr>
                <w:rStyle w:val="8"/>
                <w:rFonts w:hint="default" w:ascii="宋体" w:hAnsi="宋体" w:eastAsia="宋体" w:cs="宋体"/>
                <w:color w:val="auto"/>
                <w:sz w:val="21"/>
                <w:szCs w:val="24"/>
                <w:highlight w:val="none"/>
              </w:rPr>
              <w:t>、工程半成品及成品保护措施(2.0分)</w:t>
            </w:r>
          </w:p>
        </w:tc>
        <w:tc>
          <w:tcPr>
            <w:tcW w:w="93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39B4E9FF">
            <w:pPr>
              <w:spacing w:beforeLines="0" w:afterLines="0"/>
              <w:jc w:val="center"/>
              <w:rPr>
                <w:rFonts w:hint="default"/>
                <w:color w:val="auto"/>
                <w:sz w:val="21"/>
                <w:szCs w:val="21"/>
                <w:highlight w:val="none"/>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80FDEDF">
            <w:pPr>
              <w:pStyle w:val="11"/>
              <w:spacing w:before="159" w:beforeLines="0" w:afterLines="0" w:line="221" w:lineRule="auto"/>
              <w:ind w:left="115"/>
              <w:rPr>
                <w:rFonts w:hint="default"/>
                <w:color w:val="auto"/>
                <w:sz w:val="21"/>
                <w:szCs w:val="21"/>
                <w:highlight w:val="none"/>
              </w:rPr>
            </w:pPr>
            <w:r>
              <w:rPr>
                <w:rStyle w:val="8"/>
                <w:rFonts w:hint="default"/>
                <w:color w:val="auto"/>
                <w:sz w:val="21"/>
                <w:szCs w:val="24"/>
                <w:highlight w:val="none"/>
              </w:rPr>
              <w:t>各项措施完整可行，与进度计划及施工程序完全相符，最佳1.6-2.0分；良好1.0-1.5分；一般0.5-0.9分；较差0-0.4分。</w:t>
            </w:r>
          </w:p>
        </w:tc>
      </w:tr>
      <w:tr w14:paraId="3F830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left w:val="single" w:color="000000" w:sz="2" w:space="0"/>
              <w:bottom w:val="nil"/>
              <w:right w:val="single" w:color="000000" w:sz="2" w:space="0"/>
              <w:tl2br w:val="nil"/>
              <w:tr2bl w:val="nil"/>
            </w:tcBorders>
            <w:noWrap w:val="0"/>
            <w:vAlign w:val="top"/>
          </w:tcPr>
          <w:p w14:paraId="185C4564">
            <w:pPr>
              <w:spacing w:beforeLines="0" w:afterLines="0"/>
              <w:rPr>
                <w:rFonts w:hint="default"/>
                <w:color w:val="auto"/>
                <w:sz w:val="21"/>
                <w:szCs w:val="21"/>
                <w:highlight w:val="none"/>
              </w:rPr>
            </w:pPr>
          </w:p>
        </w:tc>
        <w:tc>
          <w:tcPr>
            <w:tcW w:w="1099" w:type="dxa"/>
            <w:tcBorders>
              <w:top w:val="nil"/>
              <w:left w:val="single" w:color="000000" w:sz="2" w:space="0"/>
              <w:bottom w:val="nil"/>
              <w:right w:val="single" w:color="000000" w:sz="2" w:space="0"/>
              <w:tl2br w:val="nil"/>
              <w:tr2bl w:val="nil"/>
            </w:tcBorders>
            <w:noWrap w:val="0"/>
            <w:vAlign w:val="top"/>
          </w:tcPr>
          <w:p w14:paraId="528C47FF">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0848D5A0">
            <w:pPr>
              <w:pStyle w:val="12"/>
              <w:spacing w:beforeLines="0" w:afterLines="0"/>
              <w:rPr>
                <w:rStyle w:val="8"/>
                <w:rFonts w:hint="default" w:ascii="宋体" w:hAnsi="宋体" w:eastAsia="宋体" w:cs="宋体"/>
                <w:color w:val="auto"/>
                <w:sz w:val="21"/>
                <w:szCs w:val="24"/>
                <w:highlight w:val="none"/>
                <w:lang w:eastAsia="zh-CN"/>
              </w:rPr>
            </w:pPr>
            <w:r>
              <w:rPr>
                <w:rStyle w:val="8"/>
                <w:rFonts w:hint="default" w:ascii="宋体" w:hAnsi="宋体" w:eastAsia="宋体" w:cs="宋体"/>
                <w:color w:val="auto"/>
                <w:sz w:val="21"/>
                <w:szCs w:val="24"/>
                <w:highlight w:val="none"/>
                <w:lang w:val="en-US" w:eastAsia="zh-CN"/>
              </w:rPr>
              <w:t>15、</w:t>
            </w:r>
            <w:r>
              <w:rPr>
                <w:rStyle w:val="8"/>
                <w:rFonts w:hint="default" w:ascii="宋体" w:hAnsi="宋体" w:eastAsia="宋体" w:cs="宋体"/>
                <w:color w:val="auto"/>
                <w:sz w:val="21"/>
                <w:szCs w:val="24"/>
                <w:highlight w:val="none"/>
              </w:rPr>
              <w:t>应急预案与保障措施</w:t>
            </w:r>
            <w:r>
              <w:rPr>
                <w:rStyle w:val="8"/>
                <w:rFonts w:hint="default" w:ascii="宋体" w:hAnsi="宋体" w:eastAsia="宋体" w:cs="宋体"/>
                <w:color w:val="auto"/>
                <w:sz w:val="21"/>
                <w:szCs w:val="24"/>
                <w:highlight w:val="none"/>
                <w:lang w:eastAsia="zh-CN"/>
              </w:rPr>
              <w:t>（</w:t>
            </w:r>
            <w:r>
              <w:rPr>
                <w:rStyle w:val="8"/>
                <w:rFonts w:hint="default" w:ascii="宋体" w:hAnsi="宋体" w:eastAsia="宋体" w:cs="宋体"/>
                <w:color w:val="auto"/>
                <w:sz w:val="21"/>
                <w:szCs w:val="24"/>
                <w:highlight w:val="none"/>
                <w:lang w:val="en-US" w:eastAsia="zh-CN"/>
              </w:rPr>
              <w:t>2.0分</w:t>
            </w:r>
            <w:r>
              <w:rPr>
                <w:rStyle w:val="8"/>
                <w:rFonts w:hint="default" w:ascii="宋体" w:hAnsi="宋体" w:eastAsia="宋体" w:cs="宋体"/>
                <w:color w:val="auto"/>
                <w:sz w:val="21"/>
                <w:szCs w:val="24"/>
                <w:highlight w:val="none"/>
                <w:lang w:eastAsia="zh-CN"/>
              </w:rPr>
              <w:t>）</w:t>
            </w:r>
          </w:p>
        </w:tc>
        <w:tc>
          <w:tcPr>
            <w:tcW w:w="93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166B0906">
            <w:pPr>
              <w:spacing w:beforeLines="0" w:afterLines="0"/>
              <w:jc w:val="center"/>
              <w:rPr>
                <w:rFonts w:hint="default" w:eastAsia="宋体"/>
                <w:color w:val="auto"/>
                <w:sz w:val="21"/>
                <w:szCs w:val="21"/>
                <w:highlight w:val="none"/>
                <w:lang w:eastAsia="zh-CN"/>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3AD60B2">
            <w:pPr>
              <w:pStyle w:val="11"/>
              <w:spacing w:before="159" w:beforeLines="0" w:afterLines="0" w:line="221" w:lineRule="auto"/>
              <w:ind w:left="115"/>
              <w:rPr>
                <w:rStyle w:val="8"/>
                <w:rFonts w:hint="default"/>
                <w:color w:val="auto"/>
                <w:sz w:val="21"/>
                <w:szCs w:val="24"/>
                <w:highlight w:val="none"/>
              </w:rPr>
            </w:pPr>
            <w:r>
              <w:rPr>
                <w:rStyle w:val="8"/>
                <w:rFonts w:hint="default"/>
                <w:color w:val="auto"/>
                <w:sz w:val="21"/>
                <w:szCs w:val="24"/>
                <w:highlight w:val="none"/>
              </w:rPr>
              <w:t>质量、安全、工期、突发事件应急预案完善可行</w:t>
            </w:r>
            <w:r>
              <w:rPr>
                <w:rStyle w:val="8"/>
                <w:rFonts w:hint="default"/>
                <w:color w:val="auto"/>
                <w:sz w:val="21"/>
                <w:szCs w:val="24"/>
                <w:highlight w:val="none"/>
                <w:lang w:eastAsia="zh-CN"/>
              </w:rPr>
              <w:t>，1.1-</w:t>
            </w:r>
            <w:r>
              <w:rPr>
                <w:rStyle w:val="8"/>
                <w:rFonts w:hint="default"/>
                <w:color w:val="auto"/>
                <w:sz w:val="21"/>
                <w:szCs w:val="24"/>
                <w:highlight w:val="none"/>
              </w:rPr>
              <w:t>2 分</w:t>
            </w:r>
            <w:r>
              <w:rPr>
                <w:rStyle w:val="8"/>
                <w:rFonts w:hint="default"/>
                <w:color w:val="auto"/>
                <w:sz w:val="21"/>
                <w:szCs w:val="24"/>
                <w:highlight w:val="none"/>
                <w:lang w:eastAsia="zh-CN"/>
              </w:rPr>
              <w:t>，</w:t>
            </w:r>
            <w:r>
              <w:rPr>
                <w:rStyle w:val="8"/>
                <w:rFonts w:hint="default"/>
                <w:color w:val="auto"/>
                <w:sz w:val="21"/>
                <w:szCs w:val="24"/>
                <w:highlight w:val="none"/>
              </w:rPr>
              <w:t>预案基本可行</w:t>
            </w:r>
            <w:r>
              <w:rPr>
                <w:rStyle w:val="8"/>
                <w:rFonts w:hint="default"/>
                <w:color w:val="auto"/>
                <w:sz w:val="21"/>
                <w:szCs w:val="24"/>
                <w:highlight w:val="none"/>
                <w:lang w:eastAsia="zh-CN"/>
              </w:rPr>
              <w:t>，0.1-1</w:t>
            </w:r>
            <w:r>
              <w:rPr>
                <w:rStyle w:val="8"/>
                <w:rFonts w:hint="default"/>
                <w:color w:val="auto"/>
                <w:sz w:val="21"/>
                <w:szCs w:val="24"/>
                <w:highlight w:val="none"/>
              </w:rPr>
              <w:t>分</w:t>
            </w:r>
            <w:r>
              <w:rPr>
                <w:rStyle w:val="8"/>
                <w:rFonts w:hint="default"/>
                <w:color w:val="auto"/>
                <w:sz w:val="21"/>
                <w:szCs w:val="24"/>
                <w:highlight w:val="none"/>
                <w:lang w:eastAsia="zh-CN"/>
              </w:rPr>
              <w:t>，</w:t>
            </w:r>
            <w:r>
              <w:rPr>
                <w:rStyle w:val="8"/>
                <w:rFonts w:hint="default"/>
                <w:color w:val="auto"/>
                <w:sz w:val="21"/>
                <w:szCs w:val="24"/>
                <w:highlight w:val="none"/>
              </w:rPr>
              <w:t>无预案或预案不可行</w:t>
            </w:r>
            <w:r>
              <w:rPr>
                <w:rStyle w:val="8"/>
                <w:rFonts w:hint="default"/>
                <w:color w:val="auto"/>
                <w:sz w:val="21"/>
                <w:szCs w:val="24"/>
                <w:highlight w:val="none"/>
                <w:lang w:eastAsia="zh-CN"/>
              </w:rPr>
              <w:t>，</w:t>
            </w:r>
            <w:r>
              <w:rPr>
                <w:rStyle w:val="8"/>
                <w:rFonts w:hint="default"/>
                <w:color w:val="auto"/>
                <w:sz w:val="21"/>
                <w:szCs w:val="24"/>
                <w:highlight w:val="none"/>
              </w:rPr>
              <w:t>0 分</w:t>
            </w:r>
          </w:p>
          <w:p w14:paraId="2D73ADCA">
            <w:pPr>
              <w:pStyle w:val="11"/>
              <w:spacing w:before="159" w:beforeLines="0" w:afterLines="0" w:line="221" w:lineRule="auto"/>
              <w:rPr>
                <w:rStyle w:val="8"/>
                <w:rFonts w:hint="default"/>
                <w:color w:val="auto"/>
                <w:sz w:val="21"/>
                <w:szCs w:val="24"/>
                <w:highlight w:val="none"/>
              </w:rPr>
            </w:pPr>
          </w:p>
        </w:tc>
      </w:tr>
      <w:tr w14:paraId="3315C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left w:val="single" w:color="000000" w:sz="2" w:space="0"/>
              <w:bottom w:val="nil"/>
              <w:right w:val="single" w:color="000000" w:sz="2" w:space="0"/>
              <w:tl2br w:val="nil"/>
              <w:tr2bl w:val="nil"/>
            </w:tcBorders>
            <w:noWrap w:val="0"/>
            <w:vAlign w:val="top"/>
          </w:tcPr>
          <w:p w14:paraId="0E0D2494">
            <w:pPr>
              <w:spacing w:beforeLines="0" w:afterLines="0"/>
              <w:rPr>
                <w:rFonts w:hint="default"/>
                <w:color w:val="auto"/>
                <w:sz w:val="21"/>
                <w:szCs w:val="21"/>
                <w:highlight w:val="none"/>
              </w:rPr>
            </w:pPr>
          </w:p>
        </w:tc>
        <w:tc>
          <w:tcPr>
            <w:tcW w:w="1099" w:type="dxa"/>
            <w:tcBorders>
              <w:top w:val="nil"/>
              <w:left w:val="single" w:color="000000" w:sz="2" w:space="0"/>
              <w:bottom w:val="nil"/>
              <w:right w:val="single" w:color="000000" w:sz="2" w:space="0"/>
              <w:tl2br w:val="nil"/>
              <w:tr2bl w:val="nil"/>
            </w:tcBorders>
            <w:noWrap w:val="0"/>
            <w:vAlign w:val="top"/>
          </w:tcPr>
          <w:p w14:paraId="6E73F3EA">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25CD882D">
            <w:pPr>
              <w:pStyle w:val="12"/>
              <w:spacing w:beforeLines="0" w:afterLines="0"/>
              <w:rPr>
                <w:rStyle w:val="8"/>
                <w:rFonts w:hint="default" w:ascii="宋体" w:hAnsi="宋体" w:eastAsia="宋体" w:cs="宋体"/>
                <w:color w:val="auto"/>
                <w:sz w:val="21"/>
                <w:szCs w:val="24"/>
                <w:highlight w:val="none"/>
              </w:rPr>
            </w:pPr>
            <w:r>
              <w:rPr>
                <w:rStyle w:val="8"/>
                <w:rFonts w:hint="default" w:ascii="宋体" w:hAnsi="宋体" w:eastAsia="宋体" w:cs="宋体"/>
                <w:color w:val="auto"/>
                <w:sz w:val="21"/>
                <w:szCs w:val="24"/>
                <w:highlight w:val="none"/>
              </w:rPr>
              <w:t>1</w:t>
            </w:r>
            <w:r>
              <w:rPr>
                <w:rStyle w:val="8"/>
                <w:rFonts w:hint="default" w:ascii="宋体" w:hAnsi="宋体" w:eastAsia="宋体" w:cs="宋体"/>
                <w:color w:val="auto"/>
                <w:sz w:val="21"/>
                <w:szCs w:val="24"/>
                <w:highlight w:val="none"/>
                <w:lang w:val="en-US" w:eastAsia="zh-CN"/>
              </w:rPr>
              <w:t>6</w:t>
            </w:r>
            <w:r>
              <w:rPr>
                <w:rStyle w:val="8"/>
                <w:rFonts w:hint="default" w:ascii="宋体" w:hAnsi="宋体" w:eastAsia="宋体" w:cs="宋体"/>
                <w:color w:val="auto"/>
                <w:sz w:val="21"/>
                <w:szCs w:val="24"/>
                <w:highlight w:val="none"/>
              </w:rPr>
              <w:t>、实名制及确保农民工工资(2.0分)</w:t>
            </w:r>
          </w:p>
        </w:tc>
        <w:tc>
          <w:tcPr>
            <w:tcW w:w="93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35AA6A37">
            <w:pPr>
              <w:spacing w:beforeLines="0" w:afterLines="0"/>
              <w:jc w:val="center"/>
              <w:rPr>
                <w:rFonts w:hint="default"/>
                <w:color w:val="auto"/>
                <w:sz w:val="21"/>
                <w:szCs w:val="21"/>
                <w:highlight w:val="none"/>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EC653B5">
            <w:pPr>
              <w:pStyle w:val="11"/>
              <w:spacing w:before="159" w:beforeLines="0" w:afterLines="0" w:line="221" w:lineRule="auto"/>
              <w:ind w:left="115"/>
              <w:rPr>
                <w:rFonts w:hint="default"/>
                <w:color w:val="auto"/>
                <w:sz w:val="21"/>
                <w:szCs w:val="21"/>
                <w:highlight w:val="none"/>
              </w:rPr>
            </w:pPr>
            <w:r>
              <w:rPr>
                <w:rStyle w:val="8"/>
                <w:rFonts w:hint="default"/>
                <w:color w:val="auto"/>
                <w:sz w:val="21"/>
                <w:szCs w:val="24"/>
                <w:highlight w:val="none"/>
              </w:rPr>
              <w:t>措施科学、具体、可行、可靠，对国家、省、市规定进行了响应，最佳1.6-2.0分；良好1.0-1.5分；一般0.5-0.9分；较差0-0.4分。</w:t>
            </w:r>
          </w:p>
        </w:tc>
      </w:tr>
      <w:tr w14:paraId="3C8F8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left w:val="single" w:color="000000" w:sz="2" w:space="0"/>
              <w:bottom w:val="nil"/>
              <w:right w:val="single" w:color="000000" w:sz="2" w:space="0"/>
              <w:tl2br w:val="nil"/>
              <w:tr2bl w:val="nil"/>
            </w:tcBorders>
            <w:noWrap w:val="0"/>
            <w:vAlign w:val="top"/>
          </w:tcPr>
          <w:p w14:paraId="742FC11D">
            <w:pPr>
              <w:spacing w:beforeLines="0" w:afterLines="0"/>
              <w:rPr>
                <w:rFonts w:hint="default"/>
                <w:color w:val="auto"/>
                <w:sz w:val="21"/>
                <w:szCs w:val="21"/>
                <w:highlight w:val="none"/>
              </w:rPr>
            </w:pPr>
          </w:p>
        </w:tc>
        <w:tc>
          <w:tcPr>
            <w:tcW w:w="1099" w:type="dxa"/>
            <w:tcBorders>
              <w:top w:val="nil"/>
              <w:left w:val="single" w:color="000000" w:sz="2" w:space="0"/>
              <w:bottom w:val="nil"/>
              <w:right w:val="single" w:color="000000" w:sz="2" w:space="0"/>
              <w:tl2br w:val="nil"/>
              <w:tr2bl w:val="nil"/>
            </w:tcBorders>
            <w:noWrap w:val="0"/>
            <w:vAlign w:val="top"/>
          </w:tcPr>
          <w:p w14:paraId="642789AE">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2A7E5B1D">
            <w:pPr>
              <w:pStyle w:val="12"/>
              <w:spacing w:beforeLines="0" w:afterLines="0"/>
              <w:rPr>
                <w:rStyle w:val="8"/>
                <w:rFonts w:hint="default" w:ascii="宋体" w:hAnsi="宋体" w:eastAsia="宋体" w:cs="宋体"/>
                <w:color w:val="auto"/>
                <w:sz w:val="21"/>
                <w:szCs w:val="24"/>
                <w:highlight w:val="none"/>
              </w:rPr>
            </w:pPr>
            <w:r>
              <w:rPr>
                <w:rStyle w:val="8"/>
                <w:rFonts w:hint="default" w:ascii="宋体" w:hAnsi="宋体" w:eastAsia="宋体" w:cs="宋体"/>
                <w:color w:val="auto"/>
                <w:sz w:val="21"/>
                <w:szCs w:val="24"/>
                <w:highlight w:val="none"/>
              </w:rPr>
              <w:t>1</w:t>
            </w:r>
            <w:r>
              <w:rPr>
                <w:rStyle w:val="8"/>
                <w:rFonts w:hint="default" w:ascii="宋体" w:hAnsi="宋体" w:eastAsia="宋体" w:cs="宋体"/>
                <w:color w:val="auto"/>
                <w:sz w:val="21"/>
                <w:szCs w:val="24"/>
                <w:highlight w:val="none"/>
                <w:lang w:val="en-US" w:eastAsia="zh-CN"/>
              </w:rPr>
              <w:t>7</w:t>
            </w:r>
            <w:r>
              <w:rPr>
                <w:rStyle w:val="8"/>
                <w:rFonts w:hint="default" w:ascii="宋体" w:hAnsi="宋体" w:eastAsia="宋体" w:cs="宋体"/>
                <w:color w:val="auto"/>
                <w:sz w:val="21"/>
                <w:szCs w:val="24"/>
                <w:highlight w:val="none"/>
              </w:rPr>
              <w:t>、工程档案(2.0分)</w:t>
            </w:r>
          </w:p>
        </w:tc>
        <w:tc>
          <w:tcPr>
            <w:tcW w:w="93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49BA4DFF">
            <w:pPr>
              <w:spacing w:beforeLines="0" w:afterLines="0"/>
              <w:jc w:val="center"/>
              <w:rPr>
                <w:rFonts w:hint="default"/>
                <w:color w:val="auto"/>
                <w:sz w:val="21"/>
                <w:szCs w:val="21"/>
                <w:highlight w:val="none"/>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024AA290">
            <w:pPr>
              <w:pStyle w:val="11"/>
              <w:spacing w:before="159" w:beforeLines="0" w:afterLines="0" w:line="221" w:lineRule="auto"/>
              <w:ind w:left="115"/>
              <w:rPr>
                <w:rFonts w:hint="default"/>
                <w:color w:val="auto"/>
                <w:sz w:val="21"/>
                <w:szCs w:val="21"/>
                <w:highlight w:val="none"/>
              </w:rPr>
            </w:pPr>
            <w:r>
              <w:rPr>
                <w:rStyle w:val="8"/>
                <w:rFonts w:hint="default"/>
                <w:color w:val="auto"/>
                <w:sz w:val="21"/>
                <w:szCs w:val="24"/>
                <w:highlight w:val="none"/>
              </w:rPr>
              <w:t>工程档案材料收集及整理措施科学、规范、严密，手段先进，最佳1.6-2.0分；良好1.0-1.5分；一般0.5-0.9分；较差0-0.4分。</w:t>
            </w:r>
          </w:p>
        </w:tc>
      </w:tr>
      <w:tr w14:paraId="63D06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left w:val="single" w:color="000000" w:sz="2" w:space="0"/>
              <w:bottom w:val="nil"/>
              <w:right w:val="single" w:color="000000" w:sz="2" w:space="0"/>
              <w:tl2br w:val="nil"/>
              <w:tr2bl w:val="nil"/>
            </w:tcBorders>
            <w:noWrap w:val="0"/>
            <w:vAlign w:val="top"/>
          </w:tcPr>
          <w:p w14:paraId="56E066D1">
            <w:pPr>
              <w:spacing w:beforeLines="0" w:afterLines="0"/>
              <w:rPr>
                <w:rFonts w:hint="default"/>
                <w:color w:val="auto"/>
                <w:sz w:val="21"/>
                <w:szCs w:val="21"/>
                <w:highlight w:val="none"/>
              </w:rPr>
            </w:pPr>
          </w:p>
        </w:tc>
        <w:tc>
          <w:tcPr>
            <w:tcW w:w="1099" w:type="dxa"/>
            <w:tcBorders>
              <w:top w:val="nil"/>
              <w:left w:val="single" w:color="000000" w:sz="2" w:space="0"/>
              <w:bottom w:val="nil"/>
              <w:right w:val="single" w:color="000000" w:sz="2" w:space="0"/>
              <w:tl2br w:val="nil"/>
              <w:tr2bl w:val="nil"/>
            </w:tcBorders>
            <w:noWrap w:val="0"/>
            <w:vAlign w:val="top"/>
          </w:tcPr>
          <w:p w14:paraId="3BE1100B">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1D9B8F8F">
            <w:pPr>
              <w:pStyle w:val="12"/>
              <w:spacing w:beforeLines="0" w:afterLines="0"/>
              <w:rPr>
                <w:rStyle w:val="8"/>
                <w:rFonts w:hint="default" w:ascii="宋体" w:hAnsi="宋体" w:eastAsia="宋体" w:cs="宋体"/>
                <w:color w:val="auto"/>
                <w:sz w:val="21"/>
                <w:szCs w:val="24"/>
                <w:highlight w:val="none"/>
              </w:rPr>
            </w:pPr>
            <w:r>
              <w:rPr>
                <w:rStyle w:val="8"/>
                <w:rFonts w:hint="default" w:ascii="宋体" w:hAnsi="宋体" w:eastAsia="宋体" w:cs="宋体"/>
                <w:color w:val="auto"/>
                <w:sz w:val="21"/>
                <w:szCs w:val="24"/>
                <w:highlight w:val="none"/>
              </w:rPr>
              <w:t>1</w:t>
            </w:r>
            <w:r>
              <w:rPr>
                <w:rStyle w:val="8"/>
                <w:rFonts w:hint="default" w:ascii="宋体" w:hAnsi="宋体" w:eastAsia="宋体" w:cs="宋体"/>
                <w:color w:val="auto"/>
                <w:sz w:val="21"/>
                <w:szCs w:val="24"/>
                <w:highlight w:val="none"/>
                <w:lang w:val="en-US" w:eastAsia="zh-CN"/>
              </w:rPr>
              <w:t>8</w:t>
            </w:r>
            <w:r>
              <w:rPr>
                <w:rStyle w:val="8"/>
                <w:rFonts w:hint="default" w:ascii="宋体" w:hAnsi="宋体" w:eastAsia="宋体" w:cs="宋体"/>
                <w:color w:val="auto"/>
                <w:sz w:val="21"/>
                <w:szCs w:val="24"/>
                <w:highlight w:val="none"/>
              </w:rPr>
              <w:t>、质量保修(2.0分)</w:t>
            </w:r>
          </w:p>
        </w:tc>
        <w:tc>
          <w:tcPr>
            <w:tcW w:w="93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0E20C2EF">
            <w:pPr>
              <w:spacing w:beforeLines="0" w:afterLines="0"/>
              <w:jc w:val="center"/>
              <w:rPr>
                <w:rFonts w:hint="default"/>
                <w:color w:val="auto"/>
                <w:sz w:val="21"/>
                <w:szCs w:val="21"/>
                <w:highlight w:val="none"/>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A053B02">
            <w:pPr>
              <w:pStyle w:val="11"/>
              <w:spacing w:before="159" w:beforeLines="0" w:afterLines="0" w:line="221" w:lineRule="auto"/>
              <w:ind w:left="115"/>
              <w:rPr>
                <w:rFonts w:hint="default"/>
                <w:color w:val="auto"/>
                <w:sz w:val="21"/>
                <w:szCs w:val="21"/>
                <w:highlight w:val="none"/>
              </w:rPr>
            </w:pPr>
            <w:r>
              <w:rPr>
                <w:rStyle w:val="8"/>
                <w:rFonts w:hint="default"/>
                <w:color w:val="auto"/>
                <w:sz w:val="21"/>
                <w:szCs w:val="24"/>
                <w:highlight w:val="none"/>
              </w:rPr>
              <w:t>质量保修方案科学、合理、可行，建设单位权益能得到有效保障，最佳1.6-2.0分；良好1.0-1.5分；一般0.5-0.9分；较差0-0.4分。</w:t>
            </w:r>
          </w:p>
        </w:tc>
      </w:tr>
      <w:tr w14:paraId="26925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2" w:hRule="atLeast"/>
        </w:trPr>
        <w:tc>
          <w:tcPr>
            <w:tcW w:w="744" w:type="dxa"/>
            <w:tcBorders>
              <w:top w:val="nil"/>
              <w:left w:val="single" w:color="000000" w:sz="2" w:space="0"/>
              <w:bottom w:val="nil"/>
              <w:right w:val="single" w:color="000000" w:sz="2" w:space="0"/>
              <w:tl2br w:val="nil"/>
              <w:tr2bl w:val="nil"/>
            </w:tcBorders>
            <w:noWrap w:val="0"/>
            <w:vAlign w:val="top"/>
          </w:tcPr>
          <w:p w14:paraId="2D725B81">
            <w:pPr>
              <w:spacing w:beforeLines="0" w:afterLines="0"/>
              <w:rPr>
                <w:rFonts w:hint="default"/>
                <w:color w:val="auto"/>
                <w:sz w:val="21"/>
                <w:szCs w:val="21"/>
                <w:highlight w:val="none"/>
              </w:rPr>
            </w:pPr>
          </w:p>
        </w:tc>
        <w:tc>
          <w:tcPr>
            <w:tcW w:w="1099" w:type="dxa"/>
            <w:tcBorders>
              <w:top w:val="nil"/>
              <w:left w:val="single" w:color="000000" w:sz="2" w:space="0"/>
              <w:bottom w:val="nil"/>
              <w:right w:val="single" w:color="000000" w:sz="2" w:space="0"/>
              <w:tl2br w:val="nil"/>
              <w:tr2bl w:val="nil"/>
            </w:tcBorders>
            <w:noWrap w:val="0"/>
            <w:vAlign w:val="top"/>
          </w:tcPr>
          <w:p w14:paraId="12AFA75B">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1071FE6A">
            <w:pPr>
              <w:pStyle w:val="12"/>
              <w:spacing w:beforeLines="0" w:afterLines="0"/>
              <w:rPr>
                <w:rStyle w:val="8"/>
                <w:rFonts w:hint="default" w:ascii="宋体" w:hAnsi="宋体" w:eastAsia="宋体" w:cs="宋体"/>
                <w:color w:val="auto"/>
                <w:sz w:val="21"/>
                <w:szCs w:val="24"/>
                <w:highlight w:val="none"/>
              </w:rPr>
            </w:pPr>
            <w:r>
              <w:rPr>
                <w:rStyle w:val="8"/>
                <w:rFonts w:hint="default" w:ascii="宋体" w:hAnsi="宋体" w:eastAsia="宋体" w:cs="宋体"/>
                <w:color w:val="auto"/>
                <w:sz w:val="21"/>
                <w:szCs w:val="24"/>
                <w:highlight w:val="none"/>
              </w:rPr>
              <w:t>1</w:t>
            </w:r>
            <w:r>
              <w:rPr>
                <w:rStyle w:val="8"/>
                <w:rFonts w:hint="default" w:ascii="宋体" w:hAnsi="宋体" w:eastAsia="宋体" w:cs="宋体"/>
                <w:color w:val="auto"/>
                <w:sz w:val="21"/>
                <w:szCs w:val="24"/>
                <w:highlight w:val="none"/>
                <w:lang w:val="en-US" w:eastAsia="zh-CN"/>
              </w:rPr>
              <w:t>9</w:t>
            </w:r>
            <w:r>
              <w:rPr>
                <w:rStyle w:val="8"/>
                <w:rFonts w:hint="default" w:ascii="宋体" w:hAnsi="宋体" w:eastAsia="宋体" w:cs="宋体"/>
                <w:color w:val="auto"/>
                <w:sz w:val="21"/>
                <w:szCs w:val="24"/>
                <w:highlight w:val="none"/>
              </w:rPr>
              <w:t>、与业主、设计单位及其它相关单位的配合(2.0分)</w:t>
            </w:r>
          </w:p>
        </w:tc>
        <w:tc>
          <w:tcPr>
            <w:tcW w:w="93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409E4F3F">
            <w:pPr>
              <w:spacing w:beforeLines="0" w:afterLines="0"/>
              <w:jc w:val="center"/>
              <w:rPr>
                <w:rFonts w:hint="default" w:ascii="宋体" w:eastAsia="宋体"/>
                <w:color w:val="auto"/>
                <w:sz w:val="21"/>
                <w:szCs w:val="21"/>
                <w:highlight w:val="none"/>
                <w:lang w:eastAsia="zh-CN"/>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5F887F64">
            <w:pPr>
              <w:pStyle w:val="11"/>
              <w:spacing w:before="159" w:beforeLines="0" w:afterLines="0" w:line="221" w:lineRule="auto"/>
              <w:ind w:left="115"/>
              <w:rPr>
                <w:rFonts w:hint="default"/>
                <w:color w:val="auto"/>
                <w:sz w:val="21"/>
                <w:szCs w:val="21"/>
                <w:highlight w:val="none"/>
              </w:rPr>
            </w:pPr>
            <w:r>
              <w:rPr>
                <w:rStyle w:val="8"/>
                <w:rFonts w:hint="default"/>
                <w:color w:val="auto"/>
                <w:sz w:val="21"/>
                <w:szCs w:val="24"/>
                <w:highlight w:val="none"/>
              </w:rPr>
              <w:t>配合协调方案措施可行、可靠、合理、针对性好，承诺具体，最佳1.6-2.0分；良好1.0-1.5分；一般0.5-0.9分；较差0-0.4分。</w:t>
            </w:r>
          </w:p>
        </w:tc>
      </w:tr>
      <w:tr w14:paraId="52323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left w:val="single" w:color="000000" w:sz="2" w:space="0"/>
              <w:bottom w:val="single" w:color="000000" w:sz="2" w:space="0"/>
              <w:right w:val="single" w:color="000000" w:sz="2" w:space="0"/>
              <w:tl2br w:val="nil"/>
              <w:tr2bl w:val="nil"/>
            </w:tcBorders>
            <w:noWrap w:val="0"/>
            <w:vAlign w:val="top"/>
          </w:tcPr>
          <w:p w14:paraId="4C641AC4">
            <w:pPr>
              <w:spacing w:beforeLines="0" w:afterLines="0"/>
              <w:rPr>
                <w:rFonts w:hint="default"/>
                <w:color w:val="auto"/>
                <w:sz w:val="21"/>
                <w:szCs w:val="21"/>
                <w:highlight w:val="none"/>
              </w:rPr>
            </w:pPr>
          </w:p>
        </w:tc>
        <w:tc>
          <w:tcPr>
            <w:tcW w:w="1099" w:type="dxa"/>
            <w:tcBorders>
              <w:top w:val="nil"/>
              <w:left w:val="single" w:color="000000" w:sz="2" w:space="0"/>
              <w:bottom w:val="single" w:color="000000" w:sz="2" w:space="0"/>
              <w:right w:val="single" w:color="000000" w:sz="2" w:space="0"/>
              <w:tl2br w:val="nil"/>
              <w:tr2bl w:val="nil"/>
            </w:tcBorders>
            <w:noWrap w:val="0"/>
            <w:vAlign w:val="top"/>
          </w:tcPr>
          <w:p w14:paraId="67579458">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060EC5A6">
            <w:pPr>
              <w:pStyle w:val="12"/>
              <w:spacing w:beforeLines="0" w:afterLines="0"/>
              <w:rPr>
                <w:rStyle w:val="8"/>
                <w:rFonts w:hint="default" w:ascii="宋体" w:hAnsi="宋体" w:eastAsia="宋体" w:cs="宋体"/>
                <w:color w:val="auto"/>
                <w:sz w:val="21"/>
                <w:szCs w:val="24"/>
                <w:highlight w:val="none"/>
              </w:rPr>
            </w:pPr>
            <w:r>
              <w:rPr>
                <w:rStyle w:val="8"/>
                <w:rFonts w:hint="default" w:ascii="宋体" w:hAnsi="宋体" w:eastAsia="宋体" w:cs="宋体"/>
                <w:color w:val="auto"/>
                <w:sz w:val="21"/>
                <w:szCs w:val="24"/>
                <w:highlight w:val="none"/>
              </w:rPr>
              <w:t>20、合理化建议及降低成本措施(2.0分)</w:t>
            </w:r>
          </w:p>
        </w:tc>
        <w:tc>
          <w:tcPr>
            <w:tcW w:w="93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58BBF569">
            <w:pPr>
              <w:spacing w:beforeLines="0" w:afterLines="0"/>
              <w:jc w:val="center"/>
              <w:rPr>
                <w:rFonts w:hint="default"/>
                <w:color w:val="auto"/>
                <w:sz w:val="21"/>
                <w:szCs w:val="21"/>
                <w:highlight w:val="none"/>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0286D1F4">
            <w:pPr>
              <w:pStyle w:val="11"/>
              <w:spacing w:before="159" w:beforeLines="0" w:afterLines="0" w:line="221" w:lineRule="auto"/>
              <w:ind w:left="115"/>
              <w:rPr>
                <w:rFonts w:hint="default"/>
                <w:color w:val="auto"/>
                <w:sz w:val="21"/>
                <w:szCs w:val="21"/>
                <w:highlight w:val="none"/>
              </w:rPr>
            </w:pPr>
            <w:r>
              <w:rPr>
                <w:rStyle w:val="8"/>
                <w:rFonts w:hint="default"/>
                <w:color w:val="auto"/>
                <w:sz w:val="21"/>
                <w:szCs w:val="24"/>
                <w:highlight w:val="none"/>
              </w:rPr>
              <w:t>提出了符合本工程特点的合理化建议并具备可行性，降低成本措施适合本项目并具备可行性，最佳1.6-2.0分；良好1.0-1.5分；一般0.5-0.9分；较差0-0.4分。</w:t>
            </w:r>
          </w:p>
        </w:tc>
      </w:tr>
    </w:tbl>
    <w:p w14:paraId="5CD0B714">
      <w:pPr>
        <w:spacing w:beforeLines="0" w:afterLines="0" w:line="95" w:lineRule="auto"/>
        <w:rPr>
          <w:rFonts w:hint="default"/>
          <w:color w:val="auto"/>
          <w:sz w:val="2"/>
          <w:szCs w:val="21"/>
          <w:highlight w:val="none"/>
        </w:rPr>
      </w:pPr>
    </w:p>
    <w:tbl>
      <w:tblPr>
        <w:tblStyle w:val="6"/>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099"/>
        <w:gridCol w:w="2044"/>
        <w:gridCol w:w="936"/>
        <w:gridCol w:w="4117"/>
      </w:tblGrid>
      <w:tr w14:paraId="43111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9" w:hRule="atLeast"/>
        </w:trPr>
        <w:tc>
          <w:tcPr>
            <w:tcW w:w="744" w:type="dxa"/>
            <w:vMerge w:val="restart"/>
            <w:tcBorders>
              <w:top w:val="single" w:color="000000" w:sz="2" w:space="0"/>
              <w:left w:val="single" w:color="000000" w:sz="2" w:space="0"/>
              <w:bottom w:val="nil"/>
              <w:right w:val="single" w:color="000000" w:sz="2" w:space="0"/>
              <w:tl2br w:val="nil"/>
              <w:tr2bl w:val="nil"/>
            </w:tcBorders>
            <w:noWrap w:val="0"/>
            <w:vAlign w:val="top"/>
          </w:tcPr>
          <w:p w14:paraId="0DE790DB">
            <w:pPr>
              <w:spacing w:beforeLines="0" w:afterLines="0" w:line="246" w:lineRule="auto"/>
              <w:rPr>
                <w:rFonts w:hint="default"/>
                <w:color w:val="auto"/>
                <w:sz w:val="21"/>
                <w:szCs w:val="21"/>
                <w:highlight w:val="none"/>
              </w:rPr>
            </w:pPr>
          </w:p>
          <w:p w14:paraId="4CCFB505">
            <w:pPr>
              <w:spacing w:beforeLines="0" w:afterLines="0" w:line="246" w:lineRule="auto"/>
              <w:rPr>
                <w:rFonts w:hint="default"/>
                <w:color w:val="auto"/>
                <w:sz w:val="21"/>
                <w:szCs w:val="21"/>
                <w:highlight w:val="none"/>
              </w:rPr>
            </w:pPr>
          </w:p>
          <w:p w14:paraId="2BDFE53B">
            <w:pPr>
              <w:spacing w:beforeLines="0" w:afterLines="0" w:line="246" w:lineRule="auto"/>
              <w:rPr>
                <w:rFonts w:hint="default"/>
                <w:color w:val="auto"/>
                <w:sz w:val="21"/>
                <w:szCs w:val="21"/>
                <w:highlight w:val="none"/>
              </w:rPr>
            </w:pPr>
          </w:p>
          <w:p w14:paraId="0238937A">
            <w:pPr>
              <w:spacing w:beforeLines="0" w:afterLines="0" w:line="246" w:lineRule="auto"/>
              <w:rPr>
                <w:rFonts w:hint="default"/>
                <w:color w:val="auto"/>
                <w:sz w:val="21"/>
                <w:szCs w:val="21"/>
                <w:highlight w:val="none"/>
              </w:rPr>
            </w:pPr>
          </w:p>
          <w:p w14:paraId="73E53CED">
            <w:pPr>
              <w:spacing w:beforeLines="0" w:afterLines="0" w:line="246" w:lineRule="auto"/>
              <w:rPr>
                <w:rFonts w:hint="default"/>
                <w:color w:val="auto"/>
                <w:sz w:val="21"/>
                <w:szCs w:val="21"/>
                <w:highlight w:val="none"/>
              </w:rPr>
            </w:pPr>
          </w:p>
          <w:p w14:paraId="351B0155">
            <w:pPr>
              <w:spacing w:beforeLines="0" w:afterLines="0" w:line="246" w:lineRule="auto"/>
              <w:rPr>
                <w:rFonts w:hint="default"/>
                <w:color w:val="auto"/>
                <w:sz w:val="21"/>
                <w:szCs w:val="21"/>
                <w:highlight w:val="none"/>
              </w:rPr>
            </w:pPr>
          </w:p>
          <w:p w14:paraId="2D950140">
            <w:pPr>
              <w:spacing w:beforeLines="0" w:afterLines="0" w:line="246" w:lineRule="auto"/>
              <w:rPr>
                <w:rFonts w:hint="default"/>
                <w:color w:val="auto"/>
                <w:sz w:val="21"/>
                <w:szCs w:val="21"/>
                <w:highlight w:val="none"/>
              </w:rPr>
            </w:pPr>
          </w:p>
          <w:p w14:paraId="6B0726A2">
            <w:pPr>
              <w:spacing w:beforeLines="0" w:afterLines="0" w:line="246" w:lineRule="auto"/>
              <w:rPr>
                <w:rFonts w:hint="default"/>
                <w:color w:val="auto"/>
                <w:sz w:val="21"/>
                <w:szCs w:val="21"/>
                <w:highlight w:val="none"/>
              </w:rPr>
            </w:pPr>
          </w:p>
          <w:p w14:paraId="7D566DAC">
            <w:pPr>
              <w:spacing w:beforeLines="0" w:afterLines="0" w:line="246" w:lineRule="auto"/>
              <w:rPr>
                <w:rFonts w:hint="default"/>
                <w:color w:val="auto"/>
                <w:sz w:val="21"/>
                <w:szCs w:val="21"/>
                <w:highlight w:val="none"/>
              </w:rPr>
            </w:pPr>
          </w:p>
          <w:p w14:paraId="49BF253F">
            <w:pPr>
              <w:spacing w:beforeLines="0" w:afterLines="0" w:line="247" w:lineRule="auto"/>
              <w:rPr>
                <w:rFonts w:hint="default"/>
                <w:color w:val="auto"/>
                <w:sz w:val="21"/>
                <w:szCs w:val="21"/>
                <w:highlight w:val="none"/>
              </w:rPr>
            </w:pPr>
          </w:p>
          <w:p w14:paraId="16412332">
            <w:pPr>
              <w:spacing w:beforeLines="0" w:afterLines="0" w:line="247" w:lineRule="auto"/>
              <w:rPr>
                <w:rFonts w:hint="default"/>
                <w:color w:val="auto"/>
                <w:sz w:val="21"/>
                <w:szCs w:val="21"/>
                <w:highlight w:val="none"/>
              </w:rPr>
            </w:pPr>
          </w:p>
          <w:p w14:paraId="053F7103">
            <w:pPr>
              <w:spacing w:beforeLines="0" w:afterLines="0" w:line="247" w:lineRule="auto"/>
              <w:rPr>
                <w:rFonts w:hint="default"/>
                <w:color w:val="auto"/>
                <w:sz w:val="21"/>
                <w:szCs w:val="21"/>
                <w:highlight w:val="none"/>
              </w:rPr>
            </w:pPr>
          </w:p>
          <w:p w14:paraId="099FAE36">
            <w:pPr>
              <w:spacing w:beforeLines="0" w:afterLines="0" w:line="247" w:lineRule="auto"/>
              <w:rPr>
                <w:rFonts w:hint="default"/>
                <w:color w:val="auto"/>
                <w:sz w:val="21"/>
                <w:szCs w:val="21"/>
                <w:highlight w:val="none"/>
              </w:rPr>
            </w:pPr>
          </w:p>
          <w:p w14:paraId="2BA9A3D4">
            <w:pPr>
              <w:spacing w:beforeLines="0" w:afterLines="0" w:line="247" w:lineRule="auto"/>
              <w:rPr>
                <w:rFonts w:hint="default"/>
                <w:color w:val="auto"/>
                <w:sz w:val="21"/>
                <w:szCs w:val="21"/>
                <w:highlight w:val="none"/>
              </w:rPr>
            </w:pPr>
          </w:p>
          <w:p w14:paraId="51B60CA3">
            <w:pPr>
              <w:spacing w:beforeLines="0" w:afterLines="0" w:line="247" w:lineRule="auto"/>
              <w:rPr>
                <w:rFonts w:hint="default"/>
                <w:color w:val="auto"/>
                <w:sz w:val="21"/>
                <w:szCs w:val="21"/>
                <w:highlight w:val="none"/>
              </w:rPr>
            </w:pPr>
          </w:p>
          <w:p w14:paraId="486A177B">
            <w:pPr>
              <w:spacing w:beforeLines="0" w:afterLines="0" w:line="247" w:lineRule="auto"/>
              <w:rPr>
                <w:rFonts w:hint="default"/>
                <w:color w:val="auto"/>
                <w:sz w:val="21"/>
                <w:szCs w:val="21"/>
                <w:highlight w:val="none"/>
              </w:rPr>
            </w:pPr>
          </w:p>
          <w:p w14:paraId="38938FBD">
            <w:pPr>
              <w:spacing w:beforeLines="0" w:afterLines="0" w:line="247" w:lineRule="auto"/>
              <w:rPr>
                <w:rFonts w:hint="default"/>
                <w:color w:val="auto"/>
                <w:sz w:val="21"/>
                <w:szCs w:val="21"/>
                <w:highlight w:val="none"/>
              </w:rPr>
            </w:pPr>
          </w:p>
          <w:p w14:paraId="72795FB9">
            <w:pPr>
              <w:spacing w:beforeLines="0" w:afterLines="0" w:line="247" w:lineRule="auto"/>
              <w:rPr>
                <w:rFonts w:hint="default"/>
                <w:color w:val="auto"/>
                <w:sz w:val="21"/>
                <w:szCs w:val="21"/>
                <w:highlight w:val="none"/>
              </w:rPr>
            </w:pPr>
          </w:p>
          <w:p w14:paraId="208DCC93">
            <w:pPr>
              <w:spacing w:beforeLines="0" w:afterLines="0" w:line="247" w:lineRule="auto"/>
              <w:rPr>
                <w:rFonts w:hint="default"/>
                <w:color w:val="auto"/>
                <w:sz w:val="21"/>
                <w:szCs w:val="21"/>
                <w:highlight w:val="none"/>
              </w:rPr>
            </w:pPr>
          </w:p>
          <w:p w14:paraId="6E2127E1">
            <w:pPr>
              <w:spacing w:beforeLines="0" w:afterLines="0" w:line="247" w:lineRule="auto"/>
              <w:rPr>
                <w:rFonts w:hint="default"/>
                <w:color w:val="auto"/>
                <w:sz w:val="21"/>
                <w:szCs w:val="21"/>
                <w:highlight w:val="none"/>
              </w:rPr>
            </w:pPr>
          </w:p>
          <w:p w14:paraId="0060D4F7">
            <w:pPr>
              <w:spacing w:beforeLines="0" w:afterLines="0" w:line="247" w:lineRule="auto"/>
              <w:rPr>
                <w:rFonts w:hint="default"/>
                <w:color w:val="auto"/>
                <w:sz w:val="21"/>
                <w:szCs w:val="21"/>
                <w:highlight w:val="none"/>
              </w:rPr>
            </w:pPr>
          </w:p>
          <w:p w14:paraId="586BFB8E">
            <w:pPr>
              <w:spacing w:beforeLines="0" w:afterLines="0" w:line="247" w:lineRule="auto"/>
              <w:rPr>
                <w:rFonts w:hint="default"/>
                <w:color w:val="auto"/>
                <w:sz w:val="21"/>
                <w:szCs w:val="21"/>
                <w:highlight w:val="none"/>
              </w:rPr>
            </w:pPr>
          </w:p>
          <w:p w14:paraId="3CBAA092">
            <w:pPr>
              <w:spacing w:beforeLines="0" w:afterLines="0" w:line="247" w:lineRule="auto"/>
              <w:rPr>
                <w:rFonts w:hint="default"/>
                <w:color w:val="auto"/>
                <w:sz w:val="21"/>
                <w:szCs w:val="21"/>
                <w:highlight w:val="none"/>
              </w:rPr>
            </w:pPr>
          </w:p>
          <w:p w14:paraId="0E33D421">
            <w:pPr>
              <w:spacing w:beforeLines="0" w:afterLines="0" w:line="247" w:lineRule="auto"/>
              <w:rPr>
                <w:rFonts w:hint="default"/>
                <w:color w:val="auto"/>
                <w:sz w:val="21"/>
                <w:szCs w:val="21"/>
                <w:highlight w:val="none"/>
              </w:rPr>
            </w:pPr>
          </w:p>
          <w:p w14:paraId="04864AFE">
            <w:pPr>
              <w:spacing w:beforeLines="0" w:afterLines="0" w:line="247" w:lineRule="auto"/>
              <w:rPr>
                <w:rFonts w:hint="default"/>
                <w:color w:val="auto"/>
                <w:sz w:val="21"/>
                <w:szCs w:val="21"/>
                <w:highlight w:val="none"/>
              </w:rPr>
            </w:pPr>
          </w:p>
          <w:p w14:paraId="7315BB45">
            <w:pPr>
              <w:spacing w:before="61" w:beforeLines="0" w:afterLines="0" w:line="381" w:lineRule="exact"/>
              <w:ind w:left="162"/>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pacing w:val="-1"/>
                <w:position w:val="16"/>
                <w:sz w:val="21"/>
                <w:szCs w:val="21"/>
                <w:highlight w:val="none"/>
              </w:rPr>
              <w:t>2.2.4</w:t>
            </w:r>
          </w:p>
          <w:p w14:paraId="6FE934F1">
            <w:pPr>
              <w:pStyle w:val="11"/>
              <w:spacing w:beforeLines="0" w:afterLines="0" w:line="232" w:lineRule="auto"/>
              <w:ind w:left="119"/>
              <w:rPr>
                <w:rFonts w:hint="default"/>
                <w:color w:val="auto"/>
                <w:sz w:val="21"/>
                <w:szCs w:val="21"/>
                <w:highlight w:val="none"/>
              </w:rPr>
            </w:pPr>
            <w:r>
              <w:rPr>
                <w:rFonts w:hint="default"/>
                <w:color w:val="auto"/>
                <w:spacing w:val="-5"/>
                <w:sz w:val="21"/>
                <w:szCs w:val="21"/>
                <w:highlight w:val="none"/>
              </w:rPr>
              <w:t>（</w:t>
            </w:r>
            <w:r>
              <w:rPr>
                <w:rFonts w:hint="eastAsia" w:ascii="Times New Roman" w:hAnsi="Times New Roman" w:eastAsia="Times New Roman" w:cs="Times New Roman"/>
                <w:color w:val="auto"/>
                <w:spacing w:val="-5"/>
                <w:sz w:val="21"/>
                <w:szCs w:val="21"/>
                <w:highlight w:val="none"/>
              </w:rPr>
              <w:t>3</w:t>
            </w:r>
            <w:r>
              <w:rPr>
                <w:rFonts w:hint="default"/>
                <w:color w:val="auto"/>
                <w:spacing w:val="-5"/>
                <w:sz w:val="21"/>
                <w:szCs w:val="21"/>
                <w:highlight w:val="none"/>
              </w:rPr>
              <w:t>）</w:t>
            </w:r>
          </w:p>
        </w:tc>
        <w:tc>
          <w:tcPr>
            <w:tcW w:w="1099" w:type="dxa"/>
            <w:vMerge w:val="restart"/>
            <w:tcBorders>
              <w:top w:val="single" w:color="000000" w:sz="2" w:space="0"/>
              <w:left w:val="single" w:color="000000" w:sz="2" w:space="0"/>
              <w:bottom w:val="nil"/>
              <w:right w:val="single" w:color="000000" w:sz="2" w:space="0"/>
              <w:tl2br w:val="nil"/>
              <w:tr2bl w:val="nil"/>
            </w:tcBorders>
            <w:noWrap w:val="0"/>
            <w:vAlign w:val="top"/>
          </w:tcPr>
          <w:p w14:paraId="37B3948C">
            <w:pPr>
              <w:spacing w:beforeLines="0" w:afterLines="0" w:line="244" w:lineRule="auto"/>
              <w:rPr>
                <w:rFonts w:hint="default"/>
                <w:color w:val="auto"/>
                <w:sz w:val="21"/>
                <w:szCs w:val="21"/>
                <w:highlight w:val="none"/>
              </w:rPr>
            </w:pPr>
          </w:p>
          <w:p w14:paraId="6F5B6BE0">
            <w:pPr>
              <w:spacing w:beforeLines="0" w:afterLines="0" w:line="244" w:lineRule="auto"/>
              <w:rPr>
                <w:rFonts w:hint="default"/>
                <w:color w:val="auto"/>
                <w:sz w:val="21"/>
                <w:szCs w:val="21"/>
                <w:highlight w:val="none"/>
              </w:rPr>
            </w:pPr>
          </w:p>
          <w:p w14:paraId="0E6A12B8">
            <w:pPr>
              <w:spacing w:beforeLines="0" w:afterLines="0" w:line="244" w:lineRule="auto"/>
              <w:rPr>
                <w:rFonts w:hint="default"/>
                <w:color w:val="auto"/>
                <w:sz w:val="21"/>
                <w:szCs w:val="21"/>
                <w:highlight w:val="none"/>
              </w:rPr>
            </w:pPr>
          </w:p>
          <w:p w14:paraId="3ADB2E4D">
            <w:pPr>
              <w:spacing w:beforeLines="0" w:afterLines="0" w:line="245" w:lineRule="auto"/>
              <w:rPr>
                <w:rFonts w:hint="default"/>
                <w:color w:val="auto"/>
                <w:sz w:val="21"/>
                <w:szCs w:val="21"/>
                <w:highlight w:val="none"/>
              </w:rPr>
            </w:pPr>
          </w:p>
          <w:p w14:paraId="2985260C">
            <w:pPr>
              <w:spacing w:beforeLines="0" w:afterLines="0" w:line="245" w:lineRule="auto"/>
              <w:rPr>
                <w:rFonts w:hint="default"/>
                <w:color w:val="auto"/>
                <w:sz w:val="21"/>
                <w:szCs w:val="21"/>
                <w:highlight w:val="none"/>
              </w:rPr>
            </w:pPr>
          </w:p>
          <w:p w14:paraId="65927178">
            <w:pPr>
              <w:spacing w:beforeLines="0" w:afterLines="0" w:line="245" w:lineRule="auto"/>
              <w:rPr>
                <w:rFonts w:hint="default"/>
                <w:color w:val="auto"/>
                <w:sz w:val="21"/>
                <w:szCs w:val="21"/>
                <w:highlight w:val="none"/>
              </w:rPr>
            </w:pPr>
          </w:p>
          <w:p w14:paraId="4D995321">
            <w:pPr>
              <w:spacing w:beforeLines="0" w:afterLines="0" w:line="245" w:lineRule="auto"/>
              <w:rPr>
                <w:rFonts w:hint="default"/>
                <w:color w:val="auto"/>
                <w:sz w:val="21"/>
                <w:szCs w:val="21"/>
                <w:highlight w:val="none"/>
              </w:rPr>
            </w:pPr>
          </w:p>
          <w:p w14:paraId="1A8DFEB5">
            <w:pPr>
              <w:spacing w:beforeLines="0" w:afterLines="0" w:line="245" w:lineRule="auto"/>
              <w:rPr>
                <w:rFonts w:hint="default"/>
                <w:color w:val="auto"/>
                <w:sz w:val="21"/>
                <w:szCs w:val="21"/>
                <w:highlight w:val="none"/>
              </w:rPr>
            </w:pPr>
          </w:p>
          <w:p w14:paraId="581413BF">
            <w:pPr>
              <w:spacing w:beforeLines="0" w:afterLines="0" w:line="245" w:lineRule="auto"/>
              <w:rPr>
                <w:rFonts w:hint="default"/>
                <w:color w:val="auto"/>
                <w:sz w:val="21"/>
                <w:szCs w:val="21"/>
                <w:highlight w:val="none"/>
              </w:rPr>
            </w:pPr>
          </w:p>
          <w:p w14:paraId="37650932">
            <w:pPr>
              <w:spacing w:beforeLines="0" w:afterLines="0" w:line="245" w:lineRule="auto"/>
              <w:rPr>
                <w:rFonts w:hint="default"/>
                <w:color w:val="auto"/>
                <w:sz w:val="21"/>
                <w:szCs w:val="21"/>
                <w:highlight w:val="none"/>
              </w:rPr>
            </w:pPr>
          </w:p>
          <w:p w14:paraId="5FE24822">
            <w:pPr>
              <w:spacing w:beforeLines="0" w:afterLines="0" w:line="245" w:lineRule="auto"/>
              <w:rPr>
                <w:rFonts w:hint="default"/>
                <w:color w:val="auto"/>
                <w:sz w:val="21"/>
                <w:szCs w:val="21"/>
                <w:highlight w:val="none"/>
              </w:rPr>
            </w:pPr>
          </w:p>
          <w:p w14:paraId="65E120D5">
            <w:pPr>
              <w:spacing w:beforeLines="0" w:afterLines="0" w:line="245" w:lineRule="auto"/>
              <w:rPr>
                <w:rFonts w:hint="default"/>
                <w:color w:val="auto"/>
                <w:sz w:val="21"/>
                <w:szCs w:val="21"/>
                <w:highlight w:val="none"/>
              </w:rPr>
            </w:pPr>
          </w:p>
          <w:p w14:paraId="53840AAA">
            <w:pPr>
              <w:spacing w:beforeLines="0" w:afterLines="0" w:line="245" w:lineRule="auto"/>
              <w:rPr>
                <w:rFonts w:hint="default"/>
                <w:color w:val="auto"/>
                <w:sz w:val="21"/>
                <w:szCs w:val="21"/>
                <w:highlight w:val="none"/>
              </w:rPr>
            </w:pPr>
          </w:p>
          <w:p w14:paraId="58B2B388">
            <w:pPr>
              <w:spacing w:beforeLines="0" w:afterLines="0" w:line="245" w:lineRule="auto"/>
              <w:rPr>
                <w:rFonts w:hint="default"/>
                <w:color w:val="auto"/>
                <w:sz w:val="21"/>
                <w:szCs w:val="21"/>
                <w:highlight w:val="none"/>
              </w:rPr>
            </w:pPr>
          </w:p>
          <w:p w14:paraId="25C39C2D">
            <w:pPr>
              <w:spacing w:beforeLines="0" w:afterLines="0" w:line="245" w:lineRule="auto"/>
              <w:rPr>
                <w:rFonts w:hint="default"/>
                <w:color w:val="auto"/>
                <w:sz w:val="21"/>
                <w:szCs w:val="21"/>
                <w:highlight w:val="none"/>
              </w:rPr>
            </w:pPr>
          </w:p>
          <w:p w14:paraId="10E7AC82">
            <w:pPr>
              <w:spacing w:beforeLines="0" w:afterLines="0" w:line="245" w:lineRule="auto"/>
              <w:rPr>
                <w:rFonts w:hint="default"/>
                <w:color w:val="auto"/>
                <w:sz w:val="21"/>
                <w:szCs w:val="21"/>
                <w:highlight w:val="none"/>
              </w:rPr>
            </w:pPr>
          </w:p>
          <w:p w14:paraId="085A76E6">
            <w:pPr>
              <w:spacing w:beforeLines="0" w:afterLines="0" w:line="245" w:lineRule="auto"/>
              <w:rPr>
                <w:rFonts w:hint="default"/>
                <w:color w:val="auto"/>
                <w:sz w:val="21"/>
                <w:szCs w:val="21"/>
                <w:highlight w:val="none"/>
              </w:rPr>
            </w:pPr>
          </w:p>
          <w:p w14:paraId="5206F7CD">
            <w:pPr>
              <w:spacing w:beforeLines="0" w:afterLines="0" w:line="245" w:lineRule="auto"/>
              <w:rPr>
                <w:rFonts w:hint="default"/>
                <w:color w:val="auto"/>
                <w:sz w:val="21"/>
                <w:szCs w:val="21"/>
                <w:highlight w:val="none"/>
              </w:rPr>
            </w:pPr>
          </w:p>
          <w:p w14:paraId="43FD8222">
            <w:pPr>
              <w:spacing w:beforeLines="0" w:afterLines="0" w:line="245" w:lineRule="auto"/>
              <w:rPr>
                <w:rFonts w:hint="default"/>
                <w:color w:val="auto"/>
                <w:sz w:val="21"/>
                <w:szCs w:val="21"/>
                <w:highlight w:val="none"/>
              </w:rPr>
            </w:pPr>
          </w:p>
          <w:p w14:paraId="19FF385D">
            <w:pPr>
              <w:spacing w:beforeLines="0" w:afterLines="0" w:line="245" w:lineRule="auto"/>
              <w:rPr>
                <w:rFonts w:hint="default"/>
                <w:color w:val="auto"/>
                <w:sz w:val="21"/>
                <w:szCs w:val="21"/>
                <w:highlight w:val="none"/>
              </w:rPr>
            </w:pPr>
          </w:p>
          <w:p w14:paraId="74BAAF75">
            <w:pPr>
              <w:spacing w:beforeLines="0" w:afterLines="0" w:line="245" w:lineRule="auto"/>
              <w:rPr>
                <w:rFonts w:hint="default"/>
                <w:color w:val="auto"/>
                <w:sz w:val="21"/>
                <w:szCs w:val="21"/>
                <w:highlight w:val="none"/>
              </w:rPr>
            </w:pPr>
          </w:p>
          <w:p w14:paraId="3DD47DF0">
            <w:pPr>
              <w:spacing w:beforeLines="0" w:afterLines="0" w:line="245" w:lineRule="auto"/>
              <w:rPr>
                <w:rFonts w:hint="default"/>
                <w:color w:val="auto"/>
                <w:sz w:val="21"/>
                <w:szCs w:val="21"/>
                <w:highlight w:val="none"/>
              </w:rPr>
            </w:pPr>
          </w:p>
          <w:p w14:paraId="06F900DF">
            <w:pPr>
              <w:spacing w:beforeLines="0" w:afterLines="0" w:line="245" w:lineRule="auto"/>
              <w:rPr>
                <w:rFonts w:hint="default"/>
                <w:color w:val="auto"/>
                <w:sz w:val="21"/>
                <w:szCs w:val="21"/>
                <w:highlight w:val="none"/>
              </w:rPr>
            </w:pPr>
          </w:p>
          <w:p w14:paraId="60F3835A">
            <w:pPr>
              <w:spacing w:beforeLines="0" w:afterLines="0" w:line="245" w:lineRule="auto"/>
              <w:rPr>
                <w:rFonts w:hint="default"/>
                <w:color w:val="auto"/>
                <w:sz w:val="21"/>
                <w:szCs w:val="21"/>
                <w:highlight w:val="none"/>
              </w:rPr>
            </w:pPr>
          </w:p>
          <w:p w14:paraId="4DD8885D">
            <w:pPr>
              <w:spacing w:beforeLines="0" w:afterLines="0" w:line="245" w:lineRule="auto"/>
              <w:rPr>
                <w:rFonts w:hint="default"/>
                <w:color w:val="auto"/>
                <w:sz w:val="21"/>
                <w:szCs w:val="21"/>
                <w:highlight w:val="none"/>
              </w:rPr>
            </w:pPr>
          </w:p>
          <w:p w14:paraId="578C5D25">
            <w:pPr>
              <w:pStyle w:val="11"/>
              <w:spacing w:before="68" w:beforeLines="0" w:afterLines="0" w:line="418" w:lineRule="exact"/>
              <w:ind w:left="142"/>
              <w:rPr>
                <w:rFonts w:hint="default"/>
                <w:color w:val="auto"/>
                <w:sz w:val="21"/>
                <w:szCs w:val="21"/>
                <w:highlight w:val="none"/>
              </w:rPr>
            </w:pPr>
            <w:r>
              <w:rPr>
                <w:rFonts w:hint="default"/>
                <w:color w:val="auto"/>
                <w:spacing w:val="-3"/>
                <w:position w:val="15"/>
                <w:sz w:val="21"/>
                <w:szCs w:val="21"/>
                <w:highlight w:val="none"/>
              </w:rPr>
              <w:t>资信业绩</w:t>
            </w:r>
          </w:p>
          <w:p w14:paraId="2C3C68F1">
            <w:pPr>
              <w:pStyle w:val="11"/>
              <w:spacing w:beforeLines="0" w:afterLines="0" w:line="221" w:lineRule="auto"/>
              <w:ind w:left="132"/>
              <w:rPr>
                <w:rFonts w:hint="default"/>
                <w:color w:val="auto"/>
                <w:sz w:val="21"/>
                <w:szCs w:val="21"/>
                <w:highlight w:val="none"/>
              </w:rPr>
            </w:pPr>
            <w:r>
              <w:rPr>
                <w:rFonts w:hint="default"/>
                <w:color w:val="auto"/>
                <w:spacing w:val="-1"/>
                <w:sz w:val="21"/>
                <w:szCs w:val="21"/>
                <w:highlight w:val="none"/>
              </w:rPr>
              <w:t>评分标准</w:t>
            </w: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5CA1251B">
            <w:pPr>
              <w:spacing w:beforeLines="0" w:afterLines="0" w:line="319" w:lineRule="auto"/>
              <w:jc w:val="center"/>
              <w:rPr>
                <w:rFonts w:hint="default"/>
                <w:color w:val="auto"/>
                <w:sz w:val="21"/>
                <w:szCs w:val="21"/>
                <w:highlight w:val="none"/>
              </w:rPr>
            </w:pPr>
          </w:p>
          <w:p w14:paraId="3A5368BF">
            <w:pPr>
              <w:pStyle w:val="11"/>
              <w:spacing w:before="69" w:beforeLines="0" w:afterLines="0" w:line="221" w:lineRule="auto"/>
              <w:ind w:firstLine="412" w:firstLineChars="200"/>
              <w:jc w:val="both"/>
              <w:rPr>
                <w:rFonts w:hint="default"/>
                <w:color w:val="auto"/>
                <w:sz w:val="21"/>
                <w:szCs w:val="21"/>
                <w:highlight w:val="none"/>
              </w:rPr>
            </w:pPr>
            <w:r>
              <w:rPr>
                <w:rFonts w:hint="default"/>
                <w:color w:val="auto"/>
                <w:spacing w:val="-2"/>
                <w:sz w:val="21"/>
                <w:szCs w:val="21"/>
                <w:highlight w:val="none"/>
              </w:rPr>
              <w:t>企业业绩</w:t>
            </w:r>
          </w:p>
        </w:tc>
        <w:tc>
          <w:tcPr>
            <w:tcW w:w="93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283380B1">
            <w:pPr>
              <w:spacing w:beforeLines="0" w:afterLines="0"/>
              <w:jc w:val="center"/>
              <w:rPr>
                <w:rFonts w:hint="default" w:ascii="宋体" w:eastAsia="宋体"/>
                <w:color w:val="auto"/>
                <w:sz w:val="21"/>
                <w:szCs w:val="21"/>
                <w:highlight w:val="none"/>
                <w:lang w:eastAsia="zh-CN"/>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06B58B06">
            <w:pPr>
              <w:pStyle w:val="11"/>
              <w:spacing w:before="24" w:beforeLines="0" w:afterLines="0" w:line="231" w:lineRule="auto"/>
              <w:ind w:left="115" w:right="104"/>
              <w:rPr>
                <w:rFonts w:hint="default"/>
                <w:color w:val="auto"/>
                <w:sz w:val="21"/>
                <w:szCs w:val="21"/>
                <w:highlight w:val="none"/>
              </w:rPr>
            </w:pPr>
            <w:r>
              <w:rPr>
                <w:rFonts w:hint="default"/>
                <w:color w:val="auto"/>
                <w:spacing w:val="-14"/>
                <w:sz w:val="21"/>
                <w:szCs w:val="21"/>
                <w:highlight w:val="none"/>
              </w:rPr>
              <w:t>业绩类别及专业：</w:t>
            </w:r>
            <w:r>
              <w:rPr>
                <w:rFonts w:hint="default"/>
                <w:color w:val="auto"/>
                <w:spacing w:val="75"/>
                <w:sz w:val="21"/>
                <w:szCs w:val="21"/>
                <w:highlight w:val="none"/>
              </w:rPr>
              <w:t xml:space="preserve"> </w:t>
            </w:r>
            <w:r>
              <w:rPr>
                <w:rFonts w:hint="default"/>
                <w:color w:val="auto"/>
                <w:spacing w:val="-14"/>
                <w:sz w:val="21"/>
                <w:szCs w:val="21"/>
                <w:highlight w:val="none"/>
                <w:u w:val="single" w:color="auto"/>
              </w:rPr>
              <w:t>施工类-</w:t>
            </w:r>
            <w:r>
              <w:rPr>
                <w:rFonts w:hint="default"/>
                <w:color w:val="auto"/>
                <w:spacing w:val="-5"/>
                <w:sz w:val="21"/>
                <w:szCs w:val="21"/>
                <w:highlight w:val="none"/>
                <w:u w:val="single" w:color="auto"/>
              </w:rPr>
              <w:t xml:space="preserve"> </w:t>
            </w:r>
            <w:r>
              <w:rPr>
                <w:rFonts w:hint="default"/>
                <w:color w:val="auto"/>
                <w:spacing w:val="-5"/>
                <w:sz w:val="21"/>
                <w:szCs w:val="21"/>
                <w:highlight w:val="none"/>
                <w:u w:val="single" w:color="auto"/>
                <w:lang w:eastAsia="zh-CN"/>
              </w:rPr>
              <w:t>装饰装修</w:t>
            </w:r>
            <w:r>
              <w:rPr>
                <w:rFonts w:hint="default"/>
                <w:color w:val="auto"/>
                <w:spacing w:val="-5"/>
                <w:sz w:val="21"/>
                <w:szCs w:val="21"/>
                <w:highlight w:val="none"/>
                <w:u w:val="single" w:color="auto"/>
              </w:rPr>
              <w:t>（新建/改造/新建或改造）</w:t>
            </w:r>
            <w:r>
              <w:rPr>
                <w:rFonts w:hint="default"/>
                <w:color w:val="auto"/>
                <w:spacing w:val="17"/>
                <w:sz w:val="21"/>
                <w:szCs w:val="21"/>
                <w:highlight w:val="none"/>
                <w:u w:val="single" w:color="auto"/>
              </w:rPr>
              <w:t xml:space="preserve"> </w:t>
            </w:r>
          </w:p>
          <w:p w14:paraId="0B7F796B">
            <w:pPr>
              <w:pStyle w:val="11"/>
              <w:spacing w:before="22" w:beforeLines="0" w:afterLines="0" w:line="221" w:lineRule="auto"/>
              <w:ind w:left="117"/>
              <w:rPr>
                <w:rFonts w:hint="default"/>
                <w:color w:val="auto"/>
                <w:sz w:val="21"/>
                <w:szCs w:val="21"/>
                <w:highlight w:val="none"/>
              </w:rPr>
            </w:pPr>
            <w:r>
              <w:rPr>
                <w:rFonts w:hint="default"/>
                <w:color w:val="auto"/>
                <w:spacing w:val="-15"/>
                <w:sz w:val="21"/>
                <w:szCs w:val="21"/>
                <w:highlight w:val="none"/>
              </w:rPr>
              <w:t>年份</w:t>
            </w:r>
            <w:r>
              <w:rPr>
                <w:rFonts w:hint="default"/>
                <w:color w:val="auto"/>
                <w:spacing w:val="-13"/>
                <w:sz w:val="21"/>
                <w:szCs w:val="21"/>
                <w:highlight w:val="none"/>
              </w:rPr>
              <w:t>：</w:t>
            </w:r>
            <w:r>
              <w:rPr>
                <w:rFonts w:hint="default"/>
                <w:color w:val="auto"/>
                <w:spacing w:val="-3"/>
                <w:sz w:val="21"/>
                <w:szCs w:val="21"/>
                <w:highlight w:val="none"/>
              </w:rPr>
              <w:t xml:space="preserve"> </w:t>
            </w:r>
            <w:r>
              <w:rPr>
                <w:rFonts w:hint="default"/>
                <w:color w:val="auto"/>
                <w:spacing w:val="2"/>
                <w:sz w:val="21"/>
                <w:szCs w:val="21"/>
                <w:highlight w:val="none"/>
                <w:u w:val="single" w:color="auto"/>
                <w:lang w:eastAsia="zh-CN"/>
              </w:rPr>
              <w:t>2021年1月1日</w:t>
            </w:r>
            <w:r>
              <w:rPr>
                <w:rFonts w:hint="default"/>
                <w:color w:val="auto"/>
                <w:spacing w:val="18"/>
                <w:sz w:val="21"/>
                <w:szCs w:val="21"/>
                <w:highlight w:val="none"/>
                <w:u w:val="single" w:color="auto"/>
              </w:rPr>
              <w:t xml:space="preserve"> </w:t>
            </w:r>
            <w:r>
              <w:rPr>
                <w:rFonts w:hint="default"/>
                <w:color w:val="auto"/>
                <w:spacing w:val="-94"/>
                <w:sz w:val="21"/>
                <w:szCs w:val="21"/>
                <w:highlight w:val="none"/>
              </w:rPr>
              <w:t xml:space="preserve"> </w:t>
            </w:r>
            <w:r>
              <w:rPr>
                <w:rFonts w:hint="default"/>
                <w:color w:val="auto"/>
                <w:spacing w:val="-15"/>
                <w:sz w:val="21"/>
                <w:szCs w:val="21"/>
                <w:highlight w:val="none"/>
              </w:rPr>
              <w:t>至投标截止时间</w:t>
            </w:r>
          </w:p>
          <w:p w14:paraId="6436E6B7">
            <w:pPr>
              <w:pStyle w:val="11"/>
              <w:spacing w:before="17" w:beforeLines="0" w:afterLines="0" w:line="221" w:lineRule="auto"/>
              <w:ind w:left="119"/>
              <w:rPr>
                <w:rFonts w:hint="default"/>
                <w:color w:val="auto"/>
                <w:sz w:val="21"/>
                <w:szCs w:val="21"/>
                <w:highlight w:val="none"/>
              </w:rPr>
            </w:pPr>
            <w:r>
              <w:rPr>
                <w:rFonts w:hint="default"/>
                <w:color w:val="auto"/>
                <w:spacing w:val="-10"/>
                <w:sz w:val="21"/>
                <w:szCs w:val="21"/>
                <w:highlight w:val="none"/>
              </w:rPr>
              <w:t xml:space="preserve">分值： </w:t>
            </w:r>
            <w:r>
              <w:rPr>
                <w:rFonts w:hint="default"/>
                <w:color w:val="auto"/>
                <w:spacing w:val="-10"/>
                <w:sz w:val="21"/>
                <w:szCs w:val="21"/>
                <w:highlight w:val="none"/>
                <w:u w:val="single" w:color="auto"/>
                <w:lang w:eastAsia="zh-CN"/>
              </w:rPr>
              <w:t>1</w:t>
            </w:r>
            <w:r>
              <w:rPr>
                <w:rFonts w:hint="default"/>
                <w:color w:val="auto"/>
                <w:spacing w:val="-10"/>
                <w:sz w:val="21"/>
                <w:szCs w:val="21"/>
                <w:highlight w:val="none"/>
              </w:rPr>
              <w:t>分/个，最多得</w:t>
            </w:r>
            <w:r>
              <w:rPr>
                <w:rFonts w:hint="default"/>
                <w:color w:val="auto"/>
                <w:spacing w:val="-104"/>
                <w:sz w:val="21"/>
                <w:szCs w:val="21"/>
                <w:highlight w:val="none"/>
              </w:rPr>
              <w:t xml:space="preserve"> </w:t>
            </w:r>
            <w:r>
              <w:rPr>
                <w:rFonts w:hint="default"/>
                <w:color w:val="auto"/>
                <w:sz w:val="21"/>
                <w:szCs w:val="21"/>
                <w:highlight w:val="none"/>
                <w:u w:val="single" w:color="auto"/>
              </w:rPr>
              <w:t xml:space="preserve"> </w:t>
            </w:r>
            <w:r>
              <w:rPr>
                <w:rFonts w:hint="default"/>
                <w:color w:val="auto"/>
                <w:sz w:val="21"/>
                <w:szCs w:val="21"/>
                <w:highlight w:val="none"/>
                <w:u w:val="single" w:color="auto"/>
                <w:lang w:eastAsia="zh-CN"/>
              </w:rPr>
              <w:t>2</w:t>
            </w:r>
            <w:r>
              <w:rPr>
                <w:rFonts w:hint="default"/>
                <w:color w:val="auto"/>
                <w:spacing w:val="-92"/>
                <w:sz w:val="21"/>
                <w:szCs w:val="21"/>
                <w:highlight w:val="none"/>
              </w:rPr>
              <w:t xml:space="preserve"> </w:t>
            </w:r>
            <w:r>
              <w:rPr>
                <w:rFonts w:hint="default"/>
                <w:color w:val="auto"/>
                <w:spacing w:val="-10"/>
                <w:sz w:val="21"/>
                <w:szCs w:val="21"/>
                <w:highlight w:val="none"/>
              </w:rPr>
              <w:t>分。</w:t>
            </w:r>
          </w:p>
          <w:p w14:paraId="42F8989E">
            <w:pPr>
              <w:pStyle w:val="11"/>
              <w:spacing w:before="21" w:beforeLines="0" w:afterLines="0" w:line="229" w:lineRule="auto"/>
              <w:ind w:left="118" w:right="110" w:hanging="2"/>
              <w:rPr>
                <w:rFonts w:hint="default"/>
                <w:color w:val="auto"/>
                <w:sz w:val="21"/>
                <w:szCs w:val="21"/>
                <w:highlight w:val="none"/>
              </w:rPr>
            </w:pPr>
            <w:r>
              <w:rPr>
                <w:rFonts w:hint="default"/>
                <w:color w:val="auto"/>
                <w:spacing w:val="-1"/>
                <w:sz w:val="21"/>
                <w:szCs w:val="21"/>
                <w:highlight w:val="none"/>
              </w:rPr>
              <w:t>注： 业绩以住建领域主体信息库入库信息</w:t>
            </w:r>
            <w:r>
              <w:rPr>
                <w:rFonts w:hint="default"/>
                <w:color w:val="auto"/>
                <w:spacing w:val="16"/>
                <w:sz w:val="21"/>
                <w:szCs w:val="21"/>
                <w:highlight w:val="none"/>
              </w:rPr>
              <w:t xml:space="preserve"> </w:t>
            </w:r>
            <w:r>
              <w:rPr>
                <w:rFonts w:hint="default"/>
                <w:color w:val="auto"/>
                <w:spacing w:val="5"/>
                <w:sz w:val="21"/>
                <w:szCs w:val="21"/>
                <w:highlight w:val="none"/>
              </w:rPr>
              <w:t>为准，时间以竣工验收时</w:t>
            </w:r>
            <w:r>
              <w:rPr>
                <w:rFonts w:hint="default"/>
                <w:color w:val="auto"/>
                <w:spacing w:val="-2"/>
                <w:sz w:val="21"/>
                <w:szCs w:val="21"/>
                <w:highlight w:val="none"/>
              </w:rPr>
              <w:t>间为准</w:t>
            </w:r>
          </w:p>
        </w:tc>
      </w:tr>
      <w:tr w14:paraId="17A89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1"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1216F5EE">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616DE830">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ACF9180">
            <w:pPr>
              <w:spacing w:beforeLines="0" w:afterLines="0" w:line="347" w:lineRule="auto"/>
              <w:rPr>
                <w:rFonts w:hint="default"/>
                <w:color w:val="auto"/>
                <w:sz w:val="21"/>
                <w:szCs w:val="21"/>
                <w:highlight w:val="none"/>
              </w:rPr>
            </w:pPr>
          </w:p>
          <w:p w14:paraId="776660FD">
            <w:pPr>
              <w:spacing w:beforeLines="0" w:afterLines="0" w:line="347" w:lineRule="auto"/>
              <w:rPr>
                <w:rFonts w:hint="default"/>
                <w:color w:val="auto"/>
                <w:sz w:val="21"/>
                <w:szCs w:val="21"/>
                <w:highlight w:val="none"/>
              </w:rPr>
            </w:pPr>
          </w:p>
          <w:p w14:paraId="6E8538D9">
            <w:pPr>
              <w:pStyle w:val="11"/>
              <w:spacing w:before="68" w:beforeLines="0" w:afterLines="0" w:line="222" w:lineRule="auto"/>
              <w:ind w:left="607"/>
              <w:rPr>
                <w:rFonts w:hint="default"/>
                <w:color w:val="auto"/>
                <w:sz w:val="21"/>
                <w:szCs w:val="21"/>
                <w:highlight w:val="none"/>
              </w:rPr>
            </w:pPr>
            <w:r>
              <w:rPr>
                <w:rFonts w:hint="default"/>
                <w:color w:val="auto"/>
                <w:spacing w:val="-2"/>
                <w:sz w:val="21"/>
                <w:szCs w:val="21"/>
                <w:highlight w:val="none"/>
              </w:rPr>
              <w:t>企业认证</w:t>
            </w:r>
          </w:p>
        </w:tc>
        <w:tc>
          <w:tcPr>
            <w:tcW w:w="93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147F4ACE">
            <w:pPr>
              <w:spacing w:beforeLines="0" w:afterLines="0"/>
              <w:jc w:val="center"/>
              <w:rPr>
                <w:rFonts w:hint="default" w:ascii="宋体" w:eastAsia="宋体"/>
                <w:color w:val="auto"/>
                <w:sz w:val="21"/>
                <w:szCs w:val="21"/>
                <w:highlight w:val="none"/>
                <w:lang w:eastAsia="zh-CN"/>
              </w:rPr>
            </w:pPr>
            <w:r>
              <w:rPr>
                <w:rFonts w:hint="default" w:ascii="宋体" w:eastAsia="宋体"/>
                <w:color w:val="auto"/>
                <w:sz w:val="21"/>
                <w:szCs w:val="21"/>
                <w:highlight w:val="none"/>
                <w:lang w:eastAsia="zh-CN"/>
              </w:rPr>
              <w:t>3</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317A91B5">
            <w:pPr>
              <w:pStyle w:val="11"/>
              <w:spacing w:before="31" w:beforeLines="0" w:afterLines="0" w:line="221" w:lineRule="auto"/>
              <w:ind w:left="115"/>
              <w:rPr>
                <w:rFonts w:hint="default"/>
                <w:color w:val="auto"/>
                <w:sz w:val="21"/>
                <w:szCs w:val="21"/>
                <w:highlight w:val="none"/>
              </w:rPr>
            </w:pPr>
            <w:r>
              <w:rPr>
                <w:rFonts w:hint="default"/>
                <w:color w:val="auto"/>
                <w:spacing w:val="-9"/>
                <w:sz w:val="21"/>
                <w:szCs w:val="21"/>
                <w:highlight w:val="none"/>
              </w:rPr>
              <w:t>评审内容：</w:t>
            </w:r>
          </w:p>
          <w:p w14:paraId="4DB8368E">
            <w:pPr>
              <w:pStyle w:val="11"/>
              <w:spacing w:before="22" w:beforeLines="0" w:afterLines="0" w:line="241" w:lineRule="auto"/>
              <w:ind w:left="122"/>
              <w:rPr>
                <w:rFonts w:hint="default"/>
                <w:color w:val="auto"/>
                <w:sz w:val="21"/>
                <w:szCs w:val="21"/>
                <w:highlight w:val="none"/>
              </w:rPr>
            </w:pPr>
            <w:r>
              <w:rPr>
                <w:rFonts w:hint="default"/>
                <w:color w:val="auto"/>
                <w:spacing w:val="-10"/>
                <w:sz w:val="21"/>
                <w:szCs w:val="21"/>
                <w:highlight w:val="none"/>
              </w:rPr>
              <w:t>（1）</w:t>
            </w:r>
            <w:r>
              <w:rPr>
                <w:rStyle w:val="8"/>
                <w:rFonts w:hint="default"/>
                <w:color w:val="auto"/>
                <w:sz w:val="21"/>
                <w:szCs w:val="24"/>
                <w:highlight w:val="none"/>
              </w:rPr>
              <w:t>质量管理体系</w:t>
            </w:r>
            <w:r>
              <w:rPr>
                <w:rFonts w:hint="default"/>
                <w:color w:val="auto"/>
                <w:spacing w:val="-10"/>
                <w:sz w:val="21"/>
                <w:szCs w:val="21"/>
                <w:highlight w:val="none"/>
                <w:u w:val="single" w:color="auto"/>
              </w:rPr>
              <w:t xml:space="preserve">认证证书 </w:t>
            </w:r>
            <w:r>
              <w:rPr>
                <w:rFonts w:hint="default"/>
                <w:color w:val="auto"/>
                <w:spacing w:val="-10"/>
                <w:sz w:val="21"/>
                <w:szCs w:val="21"/>
                <w:highlight w:val="none"/>
              </w:rPr>
              <w:t>分值：</w:t>
            </w:r>
            <w:r>
              <w:rPr>
                <w:rFonts w:hint="default"/>
                <w:color w:val="auto"/>
                <w:spacing w:val="-10"/>
                <w:sz w:val="21"/>
                <w:szCs w:val="21"/>
                <w:highlight w:val="none"/>
                <w:lang w:eastAsia="zh-CN"/>
              </w:rPr>
              <w:t>1</w:t>
            </w:r>
            <w:r>
              <w:rPr>
                <w:rFonts w:hint="default"/>
                <w:color w:val="auto"/>
                <w:spacing w:val="-10"/>
                <w:sz w:val="21"/>
                <w:szCs w:val="21"/>
                <w:highlight w:val="none"/>
              </w:rPr>
              <w:t>分</w:t>
            </w:r>
          </w:p>
          <w:p w14:paraId="754CBE86">
            <w:pPr>
              <w:pStyle w:val="11"/>
              <w:spacing w:beforeLines="0" w:afterLines="0" w:line="219" w:lineRule="auto"/>
              <w:ind w:left="122"/>
              <w:rPr>
                <w:rFonts w:hint="default"/>
                <w:color w:val="auto"/>
                <w:sz w:val="21"/>
                <w:szCs w:val="21"/>
                <w:highlight w:val="none"/>
              </w:rPr>
            </w:pPr>
            <w:r>
              <w:rPr>
                <w:rFonts w:hint="default"/>
                <w:color w:val="auto"/>
                <w:spacing w:val="-10"/>
                <w:sz w:val="21"/>
                <w:szCs w:val="21"/>
                <w:highlight w:val="none"/>
              </w:rPr>
              <w:t>（2）</w:t>
            </w:r>
            <w:r>
              <w:rPr>
                <w:rStyle w:val="8"/>
                <w:rFonts w:hint="default"/>
                <w:color w:val="auto"/>
                <w:sz w:val="21"/>
                <w:szCs w:val="24"/>
                <w:highlight w:val="none"/>
              </w:rPr>
              <w:t>环境管理体系</w:t>
            </w:r>
            <w:r>
              <w:rPr>
                <w:rFonts w:hint="default"/>
                <w:color w:val="auto"/>
                <w:spacing w:val="-10"/>
                <w:sz w:val="21"/>
                <w:szCs w:val="21"/>
                <w:highlight w:val="none"/>
                <w:u w:val="single" w:color="auto"/>
              </w:rPr>
              <w:t xml:space="preserve">认证证书 </w:t>
            </w:r>
            <w:r>
              <w:rPr>
                <w:rFonts w:hint="default"/>
                <w:color w:val="auto"/>
                <w:spacing w:val="-10"/>
                <w:sz w:val="21"/>
                <w:szCs w:val="21"/>
                <w:highlight w:val="none"/>
              </w:rPr>
              <w:t xml:space="preserve">分值： </w:t>
            </w:r>
            <w:r>
              <w:rPr>
                <w:rFonts w:hint="default"/>
                <w:color w:val="auto"/>
                <w:spacing w:val="51"/>
                <w:sz w:val="21"/>
                <w:szCs w:val="21"/>
                <w:highlight w:val="none"/>
                <w:u w:val="single" w:color="auto"/>
                <w:lang w:eastAsia="zh-CN"/>
              </w:rPr>
              <w:t>1</w:t>
            </w:r>
            <w:r>
              <w:rPr>
                <w:rFonts w:hint="default"/>
                <w:color w:val="auto"/>
                <w:spacing w:val="-93"/>
                <w:sz w:val="21"/>
                <w:szCs w:val="21"/>
                <w:highlight w:val="none"/>
              </w:rPr>
              <w:t xml:space="preserve"> </w:t>
            </w:r>
            <w:r>
              <w:rPr>
                <w:rFonts w:hint="default"/>
                <w:color w:val="auto"/>
                <w:spacing w:val="-10"/>
                <w:sz w:val="21"/>
                <w:szCs w:val="21"/>
                <w:highlight w:val="none"/>
              </w:rPr>
              <w:t>分</w:t>
            </w:r>
          </w:p>
          <w:p w14:paraId="5553FB47">
            <w:pPr>
              <w:pStyle w:val="11"/>
              <w:spacing w:before="18" w:beforeLines="0" w:afterLines="0" w:line="220" w:lineRule="auto"/>
              <w:ind w:left="122"/>
              <w:rPr>
                <w:rFonts w:hint="default"/>
                <w:color w:val="auto"/>
                <w:sz w:val="21"/>
                <w:szCs w:val="21"/>
                <w:highlight w:val="none"/>
              </w:rPr>
            </w:pPr>
            <w:r>
              <w:rPr>
                <w:rFonts w:hint="default"/>
                <w:color w:val="auto"/>
                <w:spacing w:val="-10"/>
                <w:sz w:val="21"/>
                <w:szCs w:val="21"/>
                <w:highlight w:val="none"/>
              </w:rPr>
              <w:t>（3）</w:t>
            </w:r>
            <w:r>
              <w:rPr>
                <w:rStyle w:val="8"/>
                <w:rFonts w:hint="default"/>
                <w:color w:val="auto"/>
                <w:sz w:val="21"/>
                <w:szCs w:val="24"/>
                <w:highlight w:val="none"/>
              </w:rPr>
              <w:t>职业健康安全管理体系</w:t>
            </w:r>
            <w:r>
              <w:rPr>
                <w:rFonts w:hint="default"/>
                <w:color w:val="auto"/>
                <w:spacing w:val="-10"/>
                <w:sz w:val="21"/>
                <w:szCs w:val="21"/>
                <w:highlight w:val="none"/>
                <w:u w:val="single" w:color="auto"/>
              </w:rPr>
              <w:t xml:space="preserve">认证证书 </w:t>
            </w:r>
            <w:r>
              <w:rPr>
                <w:rFonts w:hint="default"/>
                <w:color w:val="auto"/>
                <w:spacing w:val="-10"/>
                <w:sz w:val="21"/>
                <w:szCs w:val="21"/>
                <w:highlight w:val="none"/>
              </w:rPr>
              <w:t>分值：</w:t>
            </w:r>
            <w:r>
              <w:rPr>
                <w:rFonts w:hint="default"/>
                <w:color w:val="auto"/>
                <w:spacing w:val="-10"/>
                <w:sz w:val="21"/>
                <w:szCs w:val="21"/>
                <w:highlight w:val="none"/>
                <w:lang w:eastAsia="zh-CN"/>
              </w:rPr>
              <w:t>1</w:t>
            </w:r>
            <w:r>
              <w:rPr>
                <w:rFonts w:hint="default"/>
                <w:color w:val="auto"/>
                <w:spacing w:val="-93"/>
                <w:sz w:val="21"/>
                <w:szCs w:val="21"/>
                <w:highlight w:val="none"/>
              </w:rPr>
              <w:t xml:space="preserve"> </w:t>
            </w:r>
            <w:r>
              <w:rPr>
                <w:rFonts w:hint="default"/>
                <w:color w:val="auto"/>
                <w:spacing w:val="-10"/>
                <w:sz w:val="21"/>
                <w:szCs w:val="21"/>
                <w:highlight w:val="none"/>
              </w:rPr>
              <w:t>分</w:t>
            </w:r>
          </w:p>
          <w:p w14:paraId="4946AE32">
            <w:pPr>
              <w:pStyle w:val="11"/>
              <w:spacing w:before="23" w:beforeLines="0" w:afterLines="0" w:line="224" w:lineRule="auto"/>
              <w:ind w:left="141" w:right="110" w:hanging="25"/>
              <w:rPr>
                <w:rFonts w:hint="default"/>
                <w:color w:val="auto"/>
                <w:sz w:val="21"/>
                <w:szCs w:val="21"/>
                <w:highlight w:val="none"/>
              </w:rPr>
            </w:pPr>
            <w:r>
              <w:rPr>
                <w:rFonts w:hint="default"/>
                <w:color w:val="auto"/>
                <w:sz w:val="21"/>
                <w:szCs w:val="21"/>
                <w:highlight w:val="none"/>
              </w:rPr>
              <w:t xml:space="preserve">注： 以住建领域主体信息库入库的有效期 </w:t>
            </w:r>
            <w:r>
              <w:rPr>
                <w:rFonts w:hint="default"/>
                <w:color w:val="auto"/>
                <w:spacing w:val="-4"/>
                <w:sz w:val="21"/>
                <w:szCs w:val="21"/>
                <w:highlight w:val="none"/>
              </w:rPr>
              <w:t>内的认证证书为准</w:t>
            </w:r>
          </w:p>
        </w:tc>
      </w:tr>
      <w:tr w14:paraId="5F63E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8"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5A190A03">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2876317B">
            <w:pPr>
              <w:spacing w:beforeLines="0" w:afterLines="0"/>
              <w:rPr>
                <w:rFonts w:hint="default"/>
                <w:color w:val="auto"/>
                <w:sz w:val="21"/>
                <w:szCs w:val="21"/>
                <w:highlight w:val="none"/>
              </w:rPr>
            </w:pPr>
          </w:p>
        </w:tc>
        <w:tc>
          <w:tcPr>
            <w:tcW w:w="2044" w:type="dxa"/>
            <w:vMerge w:val="restart"/>
            <w:tcBorders>
              <w:top w:val="single" w:color="000000" w:sz="2" w:space="0"/>
              <w:left w:val="single" w:color="000000" w:sz="2" w:space="0"/>
              <w:bottom w:val="nil"/>
              <w:right w:val="single" w:color="000000" w:sz="2" w:space="0"/>
              <w:tl2br w:val="nil"/>
              <w:tr2bl w:val="nil"/>
            </w:tcBorders>
            <w:noWrap w:val="0"/>
            <w:vAlign w:val="center"/>
          </w:tcPr>
          <w:p w14:paraId="36B2819E">
            <w:pPr>
              <w:spacing w:beforeLines="0" w:afterLines="0" w:line="347" w:lineRule="auto"/>
              <w:jc w:val="center"/>
              <w:rPr>
                <w:rFonts w:hint="default"/>
                <w:color w:val="auto"/>
                <w:sz w:val="21"/>
                <w:szCs w:val="21"/>
                <w:highlight w:val="none"/>
              </w:rPr>
            </w:pPr>
          </w:p>
          <w:p w14:paraId="46E37275">
            <w:pPr>
              <w:spacing w:beforeLines="0" w:afterLines="0" w:line="347" w:lineRule="auto"/>
              <w:jc w:val="center"/>
              <w:rPr>
                <w:rFonts w:hint="default"/>
                <w:color w:val="auto"/>
                <w:sz w:val="21"/>
                <w:szCs w:val="21"/>
                <w:highlight w:val="none"/>
              </w:rPr>
            </w:pPr>
          </w:p>
          <w:p w14:paraId="22245D04">
            <w:pPr>
              <w:spacing w:beforeLines="0" w:afterLines="0" w:line="347" w:lineRule="auto"/>
              <w:jc w:val="center"/>
              <w:rPr>
                <w:rFonts w:hint="default"/>
                <w:color w:val="auto"/>
                <w:sz w:val="21"/>
                <w:szCs w:val="21"/>
                <w:highlight w:val="none"/>
              </w:rPr>
            </w:pPr>
          </w:p>
          <w:p w14:paraId="2DA7D621">
            <w:pPr>
              <w:spacing w:beforeLines="0" w:afterLines="0" w:line="347" w:lineRule="auto"/>
              <w:jc w:val="center"/>
              <w:rPr>
                <w:rFonts w:hint="default"/>
                <w:color w:val="auto"/>
                <w:sz w:val="21"/>
                <w:szCs w:val="21"/>
                <w:highlight w:val="none"/>
              </w:rPr>
            </w:pPr>
          </w:p>
          <w:p w14:paraId="2F66EF89">
            <w:pPr>
              <w:spacing w:beforeLines="0" w:afterLines="0" w:line="347" w:lineRule="auto"/>
              <w:jc w:val="center"/>
              <w:rPr>
                <w:rFonts w:hint="default"/>
                <w:color w:val="auto"/>
                <w:sz w:val="21"/>
                <w:szCs w:val="21"/>
                <w:highlight w:val="none"/>
              </w:rPr>
            </w:pPr>
            <w:r>
              <w:rPr>
                <w:rStyle w:val="8"/>
                <w:rFonts w:hint="default" w:ascii="宋体" w:hAnsi="宋体" w:eastAsia="宋体" w:cs="宋体"/>
                <w:color w:val="auto"/>
                <w:sz w:val="21"/>
                <w:szCs w:val="24"/>
                <w:highlight w:val="none"/>
              </w:rPr>
              <w:t>项目经理及技术负责人(2.0分)</w:t>
            </w:r>
          </w:p>
        </w:tc>
        <w:tc>
          <w:tcPr>
            <w:tcW w:w="936" w:type="dxa"/>
            <w:vMerge w:val="restart"/>
            <w:tcBorders>
              <w:top w:val="single" w:color="000000" w:sz="2" w:space="0"/>
              <w:left w:val="single" w:color="000000" w:sz="2" w:space="0"/>
              <w:bottom w:val="nil"/>
              <w:right w:val="single" w:color="000000" w:sz="2" w:space="0"/>
              <w:tl2br w:val="nil"/>
              <w:tr2bl w:val="nil"/>
            </w:tcBorders>
            <w:noWrap w:val="0"/>
            <w:vAlign w:val="center"/>
          </w:tcPr>
          <w:p w14:paraId="2940E2F4">
            <w:pPr>
              <w:spacing w:beforeLines="0" w:afterLines="0"/>
              <w:jc w:val="center"/>
              <w:rPr>
                <w:rFonts w:hint="default" w:ascii="宋体" w:eastAsia="宋体"/>
                <w:color w:val="auto"/>
                <w:sz w:val="21"/>
                <w:szCs w:val="21"/>
                <w:highlight w:val="none"/>
                <w:lang w:eastAsia="zh-CN"/>
              </w:rPr>
            </w:pPr>
            <w:r>
              <w:rPr>
                <w:rFonts w:hint="default" w:ascii="宋体" w:eastAsia="宋体"/>
                <w:color w:val="auto"/>
                <w:sz w:val="21"/>
                <w:szCs w:val="21"/>
                <w:highlight w:val="none"/>
                <w:lang w:eastAsia="zh-CN"/>
              </w:rPr>
              <w:t>2</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5E634C80">
            <w:pPr>
              <w:pStyle w:val="11"/>
              <w:spacing w:before="33" w:beforeLines="0" w:afterLines="0" w:line="220" w:lineRule="auto"/>
              <w:ind w:left="115"/>
              <w:rPr>
                <w:rFonts w:hint="default"/>
                <w:color w:val="auto"/>
                <w:sz w:val="21"/>
                <w:szCs w:val="21"/>
                <w:highlight w:val="none"/>
              </w:rPr>
            </w:pPr>
            <w:r>
              <w:rPr>
                <w:rFonts w:hint="default"/>
                <w:color w:val="auto"/>
                <w:spacing w:val="-18"/>
                <w:sz w:val="21"/>
                <w:szCs w:val="21"/>
                <w:highlight w:val="none"/>
              </w:rPr>
              <w:t>评审内容：</w:t>
            </w:r>
            <w:r>
              <w:rPr>
                <w:rFonts w:hint="default"/>
                <w:color w:val="auto"/>
                <w:spacing w:val="55"/>
                <w:sz w:val="21"/>
                <w:szCs w:val="21"/>
                <w:highlight w:val="none"/>
              </w:rPr>
              <w:t xml:space="preserve"> </w:t>
            </w:r>
            <w:r>
              <w:rPr>
                <w:rFonts w:hint="default"/>
                <w:color w:val="auto"/>
                <w:sz w:val="21"/>
                <w:szCs w:val="21"/>
                <w:highlight w:val="none"/>
                <w:u w:val="none" w:color="auto"/>
              </w:rPr>
              <w:t>项目经理资历</w:t>
            </w:r>
            <w:r>
              <w:rPr>
                <w:rFonts w:hint="default"/>
                <w:color w:val="auto"/>
                <w:sz w:val="21"/>
                <w:szCs w:val="21"/>
                <w:highlight w:val="none"/>
                <w:u w:val="single" w:color="auto"/>
              </w:rPr>
              <w:t xml:space="preserve"> </w:t>
            </w:r>
          </w:p>
          <w:p w14:paraId="7FA65B1C">
            <w:pPr>
              <w:pStyle w:val="11"/>
              <w:spacing w:before="17" w:beforeLines="0" w:afterLines="0" w:line="231" w:lineRule="auto"/>
              <w:ind w:left="119" w:right="104" w:hanging="4"/>
              <w:rPr>
                <w:rFonts w:hint="default"/>
                <w:color w:val="auto"/>
                <w:sz w:val="21"/>
                <w:szCs w:val="21"/>
                <w:highlight w:val="none"/>
              </w:rPr>
            </w:pPr>
            <w:r>
              <w:rPr>
                <w:rFonts w:hint="default"/>
                <w:color w:val="auto"/>
                <w:spacing w:val="-15"/>
                <w:sz w:val="21"/>
                <w:szCs w:val="21"/>
                <w:highlight w:val="none"/>
              </w:rPr>
              <w:t>评审标准：</w:t>
            </w:r>
            <w:r>
              <w:rPr>
                <w:rFonts w:hint="default"/>
                <w:color w:val="auto"/>
                <w:spacing w:val="55"/>
                <w:sz w:val="21"/>
                <w:szCs w:val="21"/>
                <w:highlight w:val="none"/>
              </w:rPr>
              <w:t xml:space="preserve"> </w:t>
            </w:r>
            <w:r>
              <w:rPr>
                <w:rStyle w:val="8"/>
                <w:rFonts w:hint="default"/>
                <w:color w:val="auto"/>
                <w:sz w:val="21"/>
                <w:szCs w:val="24"/>
                <w:highlight w:val="none"/>
                <w:lang w:eastAsia="zh-CN"/>
              </w:rPr>
              <w:t>建筑</w:t>
            </w:r>
            <w:r>
              <w:rPr>
                <w:rStyle w:val="8"/>
                <w:rFonts w:hint="default"/>
                <w:color w:val="auto"/>
                <w:sz w:val="21"/>
                <w:szCs w:val="24"/>
                <w:highlight w:val="none"/>
              </w:rPr>
              <w:t>工程相关专业中级及以上工程师职称</w:t>
            </w:r>
          </w:p>
          <w:p w14:paraId="2107F4EC">
            <w:pPr>
              <w:pStyle w:val="11"/>
              <w:spacing w:before="22" w:beforeLines="0" w:afterLines="0" w:line="221" w:lineRule="auto"/>
              <w:ind w:left="119"/>
              <w:rPr>
                <w:rFonts w:hint="default"/>
                <w:color w:val="auto"/>
                <w:sz w:val="21"/>
                <w:szCs w:val="21"/>
                <w:highlight w:val="none"/>
              </w:rPr>
            </w:pPr>
            <w:r>
              <w:rPr>
                <w:rFonts w:hint="default"/>
                <w:color w:val="auto"/>
                <w:spacing w:val="-12"/>
                <w:sz w:val="21"/>
                <w:szCs w:val="21"/>
                <w:highlight w:val="none"/>
              </w:rPr>
              <w:t xml:space="preserve">分值： </w:t>
            </w:r>
            <w:r>
              <w:rPr>
                <w:rFonts w:hint="default"/>
                <w:color w:val="auto"/>
                <w:spacing w:val="-12"/>
                <w:sz w:val="21"/>
                <w:szCs w:val="21"/>
                <w:highlight w:val="none"/>
                <w:u w:val="single" w:color="auto"/>
                <w:lang w:eastAsia="zh-CN"/>
              </w:rPr>
              <w:t>1</w:t>
            </w:r>
            <w:r>
              <w:rPr>
                <w:rFonts w:hint="default"/>
                <w:color w:val="auto"/>
                <w:spacing w:val="-12"/>
                <w:sz w:val="21"/>
                <w:szCs w:val="21"/>
                <w:highlight w:val="none"/>
              </w:rPr>
              <w:t>分，最多得</w:t>
            </w:r>
            <w:r>
              <w:rPr>
                <w:rFonts w:hint="default"/>
                <w:color w:val="auto"/>
                <w:spacing w:val="-96"/>
                <w:sz w:val="21"/>
                <w:szCs w:val="21"/>
                <w:highlight w:val="none"/>
                <w:lang w:eastAsia="zh-CN"/>
              </w:rPr>
              <w:t>1    1</w:t>
            </w:r>
            <w:r>
              <w:rPr>
                <w:rFonts w:hint="default"/>
                <w:color w:val="auto"/>
                <w:spacing w:val="-12"/>
                <w:sz w:val="21"/>
                <w:szCs w:val="21"/>
                <w:highlight w:val="none"/>
              </w:rPr>
              <w:t>分。</w:t>
            </w:r>
          </w:p>
          <w:p w14:paraId="46345EE5">
            <w:pPr>
              <w:pStyle w:val="11"/>
              <w:spacing w:before="23" w:beforeLines="0" w:afterLines="0" w:line="206" w:lineRule="auto"/>
              <w:ind w:left="116"/>
              <w:rPr>
                <w:rFonts w:hint="default"/>
                <w:color w:val="auto"/>
                <w:sz w:val="21"/>
                <w:szCs w:val="21"/>
                <w:highlight w:val="none"/>
              </w:rPr>
            </w:pPr>
            <w:r>
              <w:rPr>
                <w:rFonts w:hint="default"/>
                <w:color w:val="auto"/>
                <w:spacing w:val="-6"/>
                <w:sz w:val="21"/>
                <w:szCs w:val="21"/>
                <w:highlight w:val="none"/>
              </w:rPr>
              <w:t>注： 以住建领域主体信息库入库信息为准</w:t>
            </w:r>
          </w:p>
        </w:tc>
      </w:tr>
      <w:tr w14:paraId="1BF1A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3359DECA">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35E8AEE4">
            <w:pPr>
              <w:spacing w:beforeLines="0" w:afterLines="0"/>
              <w:rPr>
                <w:rFonts w:hint="default"/>
                <w:color w:val="auto"/>
                <w:sz w:val="21"/>
                <w:szCs w:val="21"/>
                <w:highlight w:val="none"/>
              </w:rPr>
            </w:pPr>
          </w:p>
        </w:tc>
        <w:tc>
          <w:tcPr>
            <w:tcW w:w="2044" w:type="dxa"/>
            <w:vMerge w:val="continue"/>
            <w:tcBorders>
              <w:top w:val="nil"/>
              <w:left w:val="single" w:color="000000" w:sz="2" w:space="0"/>
              <w:bottom w:val="nil"/>
              <w:right w:val="single" w:color="000000" w:sz="2" w:space="0"/>
              <w:tl2br w:val="nil"/>
              <w:tr2bl w:val="nil"/>
            </w:tcBorders>
            <w:noWrap w:val="0"/>
            <w:vAlign w:val="center"/>
          </w:tcPr>
          <w:p w14:paraId="14641017">
            <w:pPr>
              <w:spacing w:beforeLines="0" w:afterLines="0" w:line="347" w:lineRule="auto"/>
              <w:jc w:val="center"/>
              <w:rPr>
                <w:rFonts w:hint="default"/>
                <w:color w:val="auto"/>
                <w:sz w:val="21"/>
                <w:szCs w:val="21"/>
                <w:highlight w:val="none"/>
              </w:rPr>
            </w:pPr>
          </w:p>
        </w:tc>
        <w:tc>
          <w:tcPr>
            <w:tcW w:w="936" w:type="dxa"/>
            <w:vMerge w:val="continue"/>
            <w:tcBorders>
              <w:top w:val="nil"/>
              <w:left w:val="single" w:color="000000" w:sz="2" w:space="0"/>
              <w:bottom w:val="nil"/>
              <w:right w:val="single" w:color="000000" w:sz="2" w:space="0"/>
              <w:tl2br w:val="nil"/>
              <w:tr2bl w:val="nil"/>
            </w:tcBorders>
            <w:noWrap w:val="0"/>
            <w:vAlign w:val="center"/>
          </w:tcPr>
          <w:p w14:paraId="77F1487B">
            <w:pPr>
              <w:spacing w:beforeLines="0" w:afterLines="0"/>
              <w:jc w:val="center"/>
              <w:rPr>
                <w:rFonts w:hint="default" w:ascii="宋体" w:eastAsia="宋体"/>
                <w:color w:val="auto"/>
                <w:sz w:val="21"/>
                <w:szCs w:val="21"/>
                <w:highlight w:val="none"/>
                <w:lang w:eastAsia="zh-CN"/>
              </w:rPr>
            </w:pP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DE0020E">
            <w:pPr>
              <w:pStyle w:val="11"/>
              <w:spacing w:before="33" w:beforeLines="0" w:afterLines="0" w:line="220" w:lineRule="auto"/>
              <w:ind w:left="115"/>
              <w:rPr>
                <w:rFonts w:hint="default"/>
                <w:color w:val="auto"/>
                <w:sz w:val="21"/>
                <w:szCs w:val="21"/>
                <w:highlight w:val="none"/>
              </w:rPr>
            </w:pPr>
            <w:r>
              <w:rPr>
                <w:rFonts w:hint="default"/>
                <w:color w:val="auto"/>
                <w:spacing w:val="-18"/>
                <w:sz w:val="21"/>
                <w:szCs w:val="21"/>
                <w:highlight w:val="none"/>
              </w:rPr>
              <w:t>评审内容：</w:t>
            </w:r>
            <w:r>
              <w:rPr>
                <w:rFonts w:hint="default"/>
                <w:color w:val="auto"/>
                <w:spacing w:val="55"/>
                <w:sz w:val="21"/>
                <w:szCs w:val="21"/>
                <w:highlight w:val="none"/>
              </w:rPr>
              <w:t xml:space="preserve"> </w:t>
            </w:r>
            <w:r>
              <w:rPr>
                <w:rStyle w:val="8"/>
                <w:rFonts w:hint="default"/>
                <w:color w:val="auto"/>
                <w:sz w:val="21"/>
                <w:szCs w:val="24"/>
                <w:highlight w:val="none"/>
              </w:rPr>
              <w:t>技术负责人</w:t>
            </w:r>
            <w:r>
              <w:rPr>
                <w:rFonts w:hint="default"/>
                <w:color w:val="auto"/>
                <w:sz w:val="21"/>
                <w:szCs w:val="21"/>
                <w:highlight w:val="none"/>
                <w:u w:val="none" w:color="auto"/>
              </w:rPr>
              <w:t>资历</w:t>
            </w:r>
            <w:r>
              <w:rPr>
                <w:rFonts w:hint="default"/>
                <w:color w:val="auto"/>
                <w:sz w:val="21"/>
                <w:szCs w:val="21"/>
                <w:highlight w:val="none"/>
                <w:u w:val="single" w:color="auto"/>
              </w:rPr>
              <w:t xml:space="preserve"> </w:t>
            </w:r>
          </w:p>
          <w:p w14:paraId="62137C85">
            <w:pPr>
              <w:pStyle w:val="11"/>
              <w:spacing w:before="17" w:beforeLines="0" w:afterLines="0" w:line="231" w:lineRule="auto"/>
              <w:ind w:left="119" w:right="104" w:hanging="4"/>
              <w:rPr>
                <w:rFonts w:hint="default"/>
                <w:color w:val="auto"/>
                <w:sz w:val="21"/>
                <w:szCs w:val="21"/>
                <w:highlight w:val="none"/>
              </w:rPr>
            </w:pPr>
            <w:r>
              <w:rPr>
                <w:rFonts w:hint="default"/>
                <w:color w:val="auto"/>
                <w:spacing w:val="-15"/>
                <w:sz w:val="21"/>
                <w:szCs w:val="21"/>
                <w:highlight w:val="none"/>
              </w:rPr>
              <w:t>评审标准：</w:t>
            </w:r>
            <w:r>
              <w:rPr>
                <w:rFonts w:hint="default"/>
                <w:color w:val="auto"/>
                <w:spacing w:val="55"/>
                <w:sz w:val="21"/>
                <w:szCs w:val="21"/>
                <w:highlight w:val="none"/>
              </w:rPr>
              <w:t xml:space="preserve"> </w:t>
            </w:r>
            <w:r>
              <w:rPr>
                <w:rFonts w:hint="default"/>
                <w:color w:val="auto"/>
                <w:spacing w:val="55"/>
                <w:sz w:val="21"/>
                <w:szCs w:val="21"/>
                <w:highlight w:val="none"/>
                <w:lang w:eastAsia="zh-CN"/>
              </w:rPr>
              <w:t>建筑</w:t>
            </w:r>
            <w:r>
              <w:rPr>
                <w:rStyle w:val="8"/>
                <w:rFonts w:hint="default"/>
                <w:color w:val="auto"/>
                <w:sz w:val="21"/>
                <w:szCs w:val="24"/>
                <w:highlight w:val="none"/>
              </w:rPr>
              <w:t>工程相关专业中级及以上工程师职称</w:t>
            </w:r>
          </w:p>
          <w:p w14:paraId="6B560F34">
            <w:pPr>
              <w:pStyle w:val="11"/>
              <w:spacing w:before="22" w:beforeLines="0" w:afterLines="0" w:line="221" w:lineRule="auto"/>
              <w:ind w:left="119"/>
              <w:rPr>
                <w:rFonts w:hint="default"/>
                <w:color w:val="auto"/>
                <w:sz w:val="21"/>
                <w:szCs w:val="21"/>
                <w:highlight w:val="none"/>
              </w:rPr>
            </w:pPr>
            <w:r>
              <w:rPr>
                <w:rFonts w:hint="default"/>
                <w:color w:val="auto"/>
                <w:spacing w:val="-12"/>
                <w:sz w:val="21"/>
                <w:szCs w:val="21"/>
                <w:highlight w:val="none"/>
              </w:rPr>
              <w:t xml:space="preserve">分值： </w:t>
            </w:r>
            <w:r>
              <w:rPr>
                <w:rFonts w:hint="default"/>
                <w:color w:val="auto"/>
                <w:spacing w:val="-12"/>
                <w:sz w:val="21"/>
                <w:szCs w:val="21"/>
                <w:highlight w:val="none"/>
                <w:u w:val="single" w:color="auto"/>
                <w:lang w:eastAsia="zh-CN"/>
              </w:rPr>
              <w:t>1</w:t>
            </w:r>
            <w:r>
              <w:rPr>
                <w:rFonts w:hint="default"/>
                <w:color w:val="auto"/>
                <w:spacing w:val="-12"/>
                <w:sz w:val="21"/>
                <w:szCs w:val="21"/>
                <w:highlight w:val="none"/>
              </w:rPr>
              <w:t>分，最多得</w:t>
            </w:r>
            <w:r>
              <w:rPr>
                <w:rFonts w:hint="default"/>
                <w:color w:val="auto"/>
                <w:spacing w:val="-96"/>
                <w:sz w:val="21"/>
                <w:szCs w:val="21"/>
                <w:highlight w:val="none"/>
                <w:lang w:eastAsia="zh-CN"/>
              </w:rPr>
              <w:t>1    1</w:t>
            </w:r>
            <w:r>
              <w:rPr>
                <w:rFonts w:hint="default"/>
                <w:color w:val="auto"/>
                <w:spacing w:val="-12"/>
                <w:sz w:val="21"/>
                <w:szCs w:val="21"/>
                <w:highlight w:val="none"/>
              </w:rPr>
              <w:t>分。</w:t>
            </w:r>
          </w:p>
          <w:p w14:paraId="18F8770A">
            <w:pPr>
              <w:pStyle w:val="11"/>
              <w:spacing w:before="18" w:beforeLines="0" w:afterLines="0" w:line="205" w:lineRule="auto"/>
              <w:ind w:left="116"/>
              <w:rPr>
                <w:rFonts w:hint="default"/>
                <w:color w:val="auto"/>
                <w:sz w:val="21"/>
                <w:szCs w:val="21"/>
                <w:highlight w:val="none"/>
              </w:rPr>
            </w:pPr>
            <w:r>
              <w:rPr>
                <w:rFonts w:hint="default"/>
                <w:color w:val="auto"/>
                <w:spacing w:val="-6"/>
                <w:sz w:val="21"/>
                <w:szCs w:val="21"/>
                <w:highlight w:val="none"/>
              </w:rPr>
              <w:t>注： 以住建领域主体信息库入库信息为准</w:t>
            </w:r>
          </w:p>
        </w:tc>
      </w:tr>
      <w:tr w14:paraId="382DA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744" w:type="dxa"/>
            <w:vMerge w:val="continue"/>
            <w:tcBorders>
              <w:top w:val="nil"/>
              <w:left w:val="single" w:color="000000" w:sz="2" w:space="0"/>
              <w:bottom w:val="nil"/>
              <w:right w:val="single" w:color="000000" w:sz="2" w:space="0"/>
              <w:tl2br w:val="nil"/>
              <w:tr2bl w:val="nil"/>
            </w:tcBorders>
            <w:noWrap w:val="0"/>
            <w:vAlign w:val="top"/>
          </w:tcPr>
          <w:p w14:paraId="5089722E">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4528D716">
            <w:pPr>
              <w:spacing w:beforeLines="0" w:afterLines="0"/>
              <w:rPr>
                <w:rFonts w:hint="default"/>
                <w:color w:val="auto"/>
                <w:sz w:val="21"/>
                <w:szCs w:val="21"/>
                <w:highlight w:val="none"/>
              </w:rPr>
            </w:pPr>
          </w:p>
        </w:tc>
        <w:tc>
          <w:tcPr>
            <w:tcW w:w="2044" w:type="dxa"/>
            <w:vMerge w:val="continue"/>
            <w:tcBorders>
              <w:top w:val="nil"/>
              <w:left w:val="single" w:color="000000" w:sz="2" w:space="0"/>
              <w:bottom w:val="single" w:color="000000" w:sz="2" w:space="0"/>
              <w:right w:val="single" w:color="000000" w:sz="2" w:space="0"/>
              <w:tl2br w:val="nil"/>
              <w:tr2bl w:val="nil"/>
            </w:tcBorders>
            <w:noWrap w:val="0"/>
            <w:vAlign w:val="center"/>
          </w:tcPr>
          <w:p w14:paraId="5AB6C46F">
            <w:pPr>
              <w:spacing w:beforeLines="0" w:afterLines="0" w:line="347" w:lineRule="auto"/>
              <w:jc w:val="center"/>
              <w:rPr>
                <w:rFonts w:hint="default"/>
                <w:color w:val="auto"/>
                <w:sz w:val="21"/>
                <w:szCs w:val="21"/>
                <w:highlight w:val="none"/>
              </w:rPr>
            </w:pPr>
          </w:p>
        </w:tc>
        <w:tc>
          <w:tcPr>
            <w:tcW w:w="936" w:type="dxa"/>
            <w:vMerge w:val="continue"/>
            <w:tcBorders>
              <w:top w:val="nil"/>
              <w:left w:val="single" w:color="000000" w:sz="2" w:space="0"/>
              <w:bottom w:val="single" w:color="000000" w:sz="2" w:space="0"/>
              <w:right w:val="single" w:color="000000" w:sz="2" w:space="0"/>
              <w:tl2br w:val="nil"/>
              <w:tr2bl w:val="nil"/>
            </w:tcBorders>
            <w:noWrap w:val="0"/>
            <w:vAlign w:val="center"/>
          </w:tcPr>
          <w:p w14:paraId="76D18AC7">
            <w:pPr>
              <w:spacing w:beforeLines="0" w:afterLines="0"/>
              <w:jc w:val="center"/>
              <w:rPr>
                <w:rFonts w:hint="default" w:ascii="宋体" w:eastAsia="宋体"/>
                <w:color w:val="auto"/>
                <w:sz w:val="21"/>
                <w:szCs w:val="21"/>
                <w:highlight w:val="none"/>
                <w:lang w:eastAsia="zh-CN"/>
              </w:rPr>
            </w:pP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13E14D41">
            <w:pPr>
              <w:pStyle w:val="11"/>
              <w:spacing w:before="87" w:beforeLines="0" w:afterLines="0" w:line="286" w:lineRule="exact"/>
              <w:ind w:left="129"/>
              <w:rPr>
                <w:rFonts w:hint="default"/>
                <w:color w:val="auto"/>
                <w:sz w:val="21"/>
                <w:szCs w:val="21"/>
                <w:highlight w:val="none"/>
              </w:rPr>
            </w:pPr>
            <w:r>
              <w:rPr>
                <w:rFonts w:hint="default"/>
                <w:color w:val="auto"/>
                <w:spacing w:val="-5"/>
                <w:position w:val="1"/>
                <w:sz w:val="21"/>
                <w:szCs w:val="21"/>
                <w:highlight w:val="none"/>
              </w:rPr>
              <w:t>……</w:t>
            </w:r>
          </w:p>
        </w:tc>
      </w:tr>
      <w:tr w14:paraId="2E41F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8" w:hRule="atLeast"/>
        </w:trPr>
        <w:tc>
          <w:tcPr>
            <w:tcW w:w="744" w:type="dxa"/>
            <w:vMerge w:val="continue"/>
            <w:tcBorders>
              <w:top w:val="nil"/>
              <w:left w:val="single" w:color="000000" w:sz="2" w:space="0"/>
              <w:bottom w:val="single" w:color="000000" w:sz="2" w:space="0"/>
              <w:right w:val="single" w:color="000000" w:sz="2" w:space="0"/>
              <w:tl2br w:val="nil"/>
              <w:tr2bl w:val="nil"/>
            </w:tcBorders>
            <w:noWrap w:val="0"/>
            <w:vAlign w:val="top"/>
          </w:tcPr>
          <w:p w14:paraId="6F59DA02">
            <w:pPr>
              <w:spacing w:beforeLines="0" w:afterLines="0"/>
              <w:rPr>
                <w:rFonts w:hint="default"/>
                <w:color w:val="auto"/>
                <w:sz w:val="21"/>
                <w:szCs w:val="21"/>
                <w:highlight w:val="none"/>
              </w:rPr>
            </w:pPr>
          </w:p>
        </w:tc>
        <w:tc>
          <w:tcPr>
            <w:tcW w:w="1099" w:type="dxa"/>
            <w:vMerge w:val="continue"/>
            <w:tcBorders>
              <w:top w:val="nil"/>
              <w:left w:val="single" w:color="000000" w:sz="2" w:space="0"/>
              <w:bottom w:val="single" w:color="000000" w:sz="2" w:space="0"/>
              <w:right w:val="single" w:color="000000" w:sz="2" w:space="0"/>
              <w:tl2br w:val="nil"/>
              <w:tr2bl w:val="nil"/>
            </w:tcBorders>
            <w:noWrap w:val="0"/>
            <w:vAlign w:val="top"/>
          </w:tcPr>
          <w:p w14:paraId="091ADF9A">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2BB75819">
            <w:pPr>
              <w:spacing w:beforeLines="0" w:afterLines="0" w:line="347" w:lineRule="auto"/>
              <w:jc w:val="center"/>
              <w:rPr>
                <w:rFonts w:hint="default"/>
                <w:color w:val="auto"/>
                <w:sz w:val="21"/>
                <w:szCs w:val="21"/>
                <w:highlight w:val="none"/>
              </w:rPr>
            </w:pPr>
          </w:p>
          <w:p w14:paraId="2A95E5AF">
            <w:pPr>
              <w:spacing w:beforeLines="0" w:afterLines="0" w:line="347" w:lineRule="auto"/>
              <w:jc w:val="center"/>
              <w:rPr>
                <w:rFonts w:hint="default"/>
                <w:color w:val="auto"/>
                <w:sz w:val="21"/>
                <w:szCs w:val="21"/>
                <w:highlight w:val="none"/>
              </w:rPr>
            </w:pPr>
            <w:r>
              <w:rPr>
                <w:rFonts w:hint="default"/>
                <w:color w:val="auto"/>
                <w:sz w:val="21"/>
                <w:szCs w:val="21"/>
                <w:highlight w:val="none"/>
              </w:rPr>
              <w:t>拟派项目管理班子资历（施工现场专业人员职业培训合格证）</w:t>
            </w:r>
          </w:p>
        </w:tc>
        <w:tc>
          <w:tcPr>
            <w:tcW w:w="936" w:type="dxa"/>
            <w:tcBorders>
              <w:top w:val="single" w:color="000000" w:sz="2" w:space="0"/>
              <w:left w:val="single" w:color="000000" w:sz="2" w:space="0"/>
              <w:bottom w:val="single" w:color="000000" w:sz="2" w:space="0"/>
              <w:right w:val="single" w:color="000000" w:sz="2" w:space="0"/>
              <w:tl2br w:val="nil"/>
              <w:tr2bl w:val="nil"/>
            </w:tcBorders>
            <w:noWrap w:val="0"/>
            <w:vAlign w:val="center"/>
          </w:tcPr>
          <w:p w14:paraId="42B5C699">
            <w:pPr>
              <w:spacing w:beforeLines="0" w:afterLines="0"/>
              <w:jc w:val="center"/>
              <w:rPr>
                <w:rFonts w:hint="default" w:ascii="宋体" w:eastAsia="宋体"/>
                <w:color w:val="auto"/>
                <w:sz w:val="21"/>
                <w:szCs w:val="21"/>
                <w:highlight w:val="none"/>
                <w:lang w:eastAsia="zh-CN"/>
              </w:rPr>
            </w:pPr>
            <w:r>
              <w:rPr>
                <w:rFonts w:hint="default" w:ascii="宋体" w:eastAsia="宋体"/>
                <w:color w:val="auto"/>
                <w:sz w:val="21"/>
                <w:szCs w:val="21"/>
                <w:highlight w:val="none"/>
                <w:lang w:eastAsia="zh-CN"/>
              </w:rPr>
              <w:t>3</w:t>
            </w: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347E9C1B">
            <w:pPr>
              <w:pStyle w:val="11"/>
              <w:spacing w:before="18" w:beforeLines="0" w:afterLines="0" w:line="209" w:lineRule="auto"/>
              <w:ind w:left="119"/>
              <w:rPr>
                <w:rFonts w:hint="default"/>
                <w:color w:val="auto"/>
                <w:sz w:val="21"/>
                <w:szCs w:val="21"/>
                <w:highlight w:val="none"/>
                <w:u w:val="none" w:color="auto"/>
              </w:rPr>
            </w:pPr>
            <w:r>
              <w:rPr>
                <w:rFonts w:hint="default"/>
                <w:color w:val="auto"/>
                <w:sz w:val="21"/>
                <w:szCs w:val="21"/>
                <w:highlight w:val="none"/>
                <w:u w:val="none" w:color="auto"/>
              </w:rPr>
              <w:t>评审内容：施工现场专业人员职业培训合格证</w:t>
            </w:r>
            <w:r>
              <w:rPr>
                <w:rFonts w:hint="default"/>
                <w:color w:val="auto"/>
                <w:sz w:val="21"/>
                <w:szCs w:val="21"/>
                <w:highlight w:val="none"/>
                <w:u w:val="none" w:color="auto"/>
              </w:rPr>
              <w:br w:type="textWrapping"/>
            </w:r>
            <w:r>
              <w:rPr>
                <w:rFonts w:hint="default"/>
                <w:color w:val="auto"/>
                <w:sz w:val="21"/>
                <w:szCs w:val="21"/>
                <w:highlight w:val="none"/>
                <w:u w:val="none" w:color="auto"/>
              </w:rPr>
              <w:t>（1）造价员 分值：0.</w:t>
            </w:r>
            <w:r>
              <w:rPr>
                <w:rFonts w:hint="default"/>
                <w:color w:val="auto"/>
                <w:sz w:val="21"/>
                <w:szCs w:val="21"/>
                <w:highlight w:val="none"/>
                <w:u w:val="none" w:color="auto"/>
                <w:lang w:eastAsia="zh-CN"/>
              </w:rPr>
              <w:t>5</w:t>
            </w:r>
            <w:r>
              <w:rPr>
                <w:rFonts w:hint="default"/>
                <w:color w:val="auto"/>
                <w:sz w:val="21"/>
                <w:szCs w:val="21"/>
                <w:highlight w:val="none"/>
                <w:u w:val="none" w:color="auto"/>
              </w:rPr>
              <w:t>分/个，最多得：0.</w:t>
            </w:r>
            <w:r>
              <w:rPr>
                <w:rFonts w:hint="default"/>
                <w:color w:val="auto"/>
                <w:sz w:val="21"/>
                <w:szCs w:val="21"/>
                <w:highlight w:val="none"/>
                <w:u w:val="none" w:color="auto"/>
                <w:lang w:eastAsia="zh-CN"/>
              </w:rPr>
              <w:t>5</w:t>
            </w:r>
            <w:r>
              <w:rPr>
                <w:rFonts w:hint="default"/>
                <w:color w:val="auto"/>
                <w:sz w:val="21"/>
                <w:szCs w:val="21"/>
                <w:highlight w:val="none"/>
                <w:u w:val="none" w:color="auto"/>
              </w:rPr>
              <w:t>分</w:t>
            </w:r>
            <w:r>
              <w:rPr>
                <w:rFonts w:hint="default"/>
                <w:color w:val="auto"/>
                <w:sz w:val="21"/>
                <w:szCs w:val="21"/>
                <w:highlight w:val="none"/>
                <w:u w:val="none" w:color="auto"/>
              </w:rPr>
              <w:br w:type="textWrapping"/>
            </w:r>
            <w:r>
              <w:rPr>
                <w:rFonts w:hint="default"/>
                <w:color w:val="auto"/>
                <w:sz w:val="21"/>
                <w:szCs w:val="21"/>
                <w:highlight w:val="none"/>
                <w:u w:val="none" w:color="auto"/>
              </w:rPr>
              <w:t>（2）施工员 分值：0.</w:t>
            </w:r>
            <w:r>
              <w:rPr>
                <w:rFonts w:hint="default"/>
                <w:color w:val="auto"/>
                <w:sz w:val="21"/>
                <w:szCs w:val="21"/>
                <w:highlight w:val="none"/>
                <w:u w:val="none" w:color="auto"/>
                <w:lang w:eastAsia="zh-CN"/>
              </w:rPr>
              <w:t>5</w:t>
            </w:r>
            <w:r>
              <w:rPr>
                <w:rFonts w:hint="default"/>
                <w:color w:val="auto"/>
                <w:sz w:val="21"/>
                <w:szCs w:val="21"/>
                <w:highlight w:val="none"/>
                <w:u w:val="none" w:color="auto"/>
              </w:rPr>
              <w:t>分/个，最多得：0.</w:t>
            </w:r>
            <w:r>
              <w:rPr>
                <w:rFonts w:hint="default"/>
                <w:color w:val="auto"/>
                <w:sz w:val="21"/>
                <w:szCs w:val="21"/>
                <w:highlight w:val="none"/>
                <w:u w:val="none" w:color="auto"/>
                <w:lang w:eastAsia="zh-CN"/>
              </w:rPr>
              <w:t>5</w:t>
            </w:r>
            <w:r>
              <w:rPr>
                <w:rFonts w:hint="default"/>
                <w:color w:val="auto"/>
                <w:sz w:val="21"/>
                <w:szCs w:val="21"/>
                <w:highlight w:val="none"/>
                <w:u w:val="none" w:color="auto"/>
              </w:rPr>
              <w:t>分</w:t>
            </w:r>
            <w:r>
              <w:rPr>
                <w:rFonts w:hint="default"/>
                <w:color w:val="auto"/>
                <w:sz w:val="21"/>
                <w:szCs w:val="21"/>
                <w:highlight w:val="none"/>
                <w:u w:val="none" w:color="auto"/>
              </w:rPr>
              <w:br w:type="textWrapping"/>
            </w:r>
            <w:r>
              <w:rPr>
                <w:rFonts w:hint="default"/>
                <w:color w:val="auto"/>
                <w:sz w:val="21"/>
                <w:szCs w:val="21"/>
                <w:highlight w:val="none"/>
                <w:u w:val="none" w:color="auto"/>
              </w:rPr>
              <w:t>（3）材料员 分值：0.</w:t>
            </w:r>
            <w:r>
              <w:rPr>
                <w:rFonts w:hint="default"/>
                <w:color w:val="auto"/>
                <w:sz w:val="21"/>
                <w:szCs w:val="21"/>
                <w:highlight w:val="none"/>
                <w:u w:val="none" w:color="auto"/>
                <w:lang w:eastAsia="zh-CN"/>
              </w:rPr>
              <w:t>5</w:t>
            </w:r>
            <w:r>
              <w:rPr>
                <w:rFonts w:hint="default"/>
                <w:color w:val="auto"/>
                <w:sz w:val="21"/>
                <w:szCs w:val="21"/>
                <w:highlight w:val="none"/>
                <w:u w:val="none" w:color="auto"/>
              </w:rPr>
              <w:t>分/个，最多得：0.</w:t>
            </w:r>
            <w:r>
              <w:rPr>
                <w:rFonts w:hint="default"/>
                <w:color w:val="auto"/>
                <w:sz w:val="21"/>
                <w:szCs w:val="21"/>
                <w:highlight w:val="none"/>
                <w:u w:val="none" w:color="auto"/>
                <w:lang w:eastAsia="zh-CN"/>
              </w:rPr>
              <w:t>5</w:t>
            </w:r>
            <w:r>
              <w:rPr>
                <w:rFonts w:hint="default"/>
                <w:color w:val="auto"/>
                <w:sz w:val="21"/>
                <w:szCs w:val="21"/>
                <w:highlight w:val="none"/>
                <w:u w:val="none" w:color="auto"/>
              </w:rPr>
              <w:t>分</w:t>
            </w:r>
            <w:r>
              <w:rPr>
                <w:rFonts w:hint="default"/>
                <w:color w:val="auto"/>
                <w:sz w:val="21"/>
                <w:szCs w:val="21"/>
                <w:highlight w:val="none"/>
                <w:u w:val="none" w:color="auto"/>
              </w:rPr>
              <w:br w:type="textWrapping"/>
            </w:r>
            <w:r>
              <w:rPr>
                <w:rFonts w:hint="default"/>
                <w:color w:val="auto"/>
                <w:sz w:val="21"/>
                <w:szCs w:val="21"/>
                <w:highlight w:val="none"/>
                <w:u w:val="none" w:color="auto"/>
              </w:rPr>
              <w:t>（4）安全员 分值：0.</w:t>
            </w:r>
            <w:r>
              <w:rPr>
                <w:rFonts w:hint="default"/>
                <w:color w:val="auto"/>
                <w:sz w:val="21"/>
                <w:szCs w:val="21"/>
                <w:highlight w:val="none"/>
                <w:u w:val="none" w:color="auto"/>
                <w:lang w:eastAsia="zh-CN"/>
              </w:rPr>
              <w:t>5</w:t>
            </w:r>
            <w:r>
              <w:rPr>
                <w:rFonts w:hint="default"/>
                <w:color w:val="auto"/>
                <w:sz w:val="21"/>
                <w:szCs w:val="21"/>
                <w:highlight w:val="none"/>
                <w:u w:val="none" w:color="auto"/>
              </w:rPr>
              <w:t>分/个，最多得：0.</w:t>
            </w:r>
            <w:r>
              <w:rPr>
                <w:rFonts w:hint="default"/>
                <w:color w:val="auto"/>
                <w:sz w:val="21"/>
                <w:szCs w:val="21"/>
                <w:highlight w:val="none"/>
                <w:u w:val="none" w:color="auto"/>
                <w:lang w:eastAsia="zh-CN"/>
              </w:rPr>
              <w:t>5</w:t>
            </w:r>
            <w:r>
              <w:rPr>
                <w:rFonts w:hint="default"/>
                <w:color w:val="auto"/>
                <w:sz w:val="21"/>
                <w:szCs w:val="21"/>
                <w:highlight w:val="none"/>
                <w:u w:val="none" w:color="auto"/>
              </w:rPr>
              <w:t>分</w:t>
            </w:r>
            <w:r>
              <w:rPr>
                <w:rFonts w:hint="default"/>
                <w:color w:val="auto"/>
                <w:sz w:val="21"/>
                <w:szCs w:val="21"/>
                <w:highlight w:val="none"/>
                <w:u w:val="none" w:color="auto"/>
              </w:rPr>
              <w:br w:type="textWrapping"/>
            </w:r>
            <w:r>
              <w:rPr>
                <w:rFonts w:hint="default"/>
                <w:color w:val="auto"/>
                <w:sz w:val="21"/>
                <w:szCs w:val="21"/>
                <w:highlight w:val="none"/>
                <w:u w:val="none" w:color="auto"/>
              </w:rPr>
              <w:t>（5）资料员 分值：0.</w:t>
            </w:r>
            <w:r>
              <w:rPr>
                <w:rFonts w:hint="default"/>
                <w:color w:val="auto"/>
                <w:sz w:val="21"/>
                <w:szCs w:val="21"/>
                <w:highlight w:val="none"/>
                <w:u w:val="none" w:color="auto"/>
                <w:lang w:eastAsia="zh-CN"/>
              </w:rPr>
              <w:t>5</w:t>
            </w:r>
            <w:r>
              <w:rPr>
                <w:rFonts w:hint="default"/>
                <w:color w:val="auto"/>
                <w:sz w:val="21"/>
                <w:szCs w:val="21"/>
                <w:highlight w:val="none"/>
                <w:u w:val="none" w:color="auto"/>
              </w:rPr>
              <w:t>分/个，最多得：0.</w:t>
            </w:r>
            <w:r>
              <w:rPr>
                <w:rFonts w:hint="default"/>
                <w:color w:val="auto"/>
                <w:sz w:val="21"/>
                <w:szCs w:val="21"/>
                <w:highlight w:val="none"/>
                <w:u w:val="none" w:color="auto"/>
                <w:lang w:eastAsia="zh-CN"/>
              </w:rPr>
              <w:t>5</w:t>
            </w:r>
            <w:r>
              <w:rPr>
                <w:rFonts w:hint="default"/>
                <w:color w:val="auto"/>
                <w:sz w:val="21"/>
                <w:szCs w:val="21"/>
                <w:highlight w:val="none"/>
                <w:u w:val="none" w:color="auto"/>
              </w:rPr>
              <w:t>分</w:t>
            </w:r>
          </w:p>
          <w:p w14:paraId="1879A545">
            <w:pPr>
              <w:pStyle w:val="11"/>
              <w:numPr>
                <w:ilvl w:val="0"/>
                <w:numId w:val="2"/>
              </w:numPr>
              <w:spacing w:before="18" w:beforeLines="0" w:afterLines="0" w:line="209" w:lineRule="auto"/>
              <w:ind w:left="119"/>
              <w:rPr>
                <w:rFonts w:hint="default"/>
                <w:color w:val="auto"/>
                <w:sz w:val="21"/>
                <w:szCs w:val="21"/>
                <w:highlight w:val="none"/>
                <w:u w:val="none" w:color="auto"/>
              </w:rPr>
            </w:pPr>
            <w:r>
              <w:rPr>
                <w:rStyle w:val="8"/>
                <w:rFonts w:hint="default"/>
                <w:color w:val="auto"/>
                <w:sz w:val="21"/>
                <w:szCs w:val="24"/>
                <w:highlight w:val="none"/>
              </w:rPr>
              <w:t>质量员</w:t>
            </w:r>
            <w:r>
              <w:rPr>
                <w:rFonts w:hint="default"/>
                <w:color w:val="auto"/>
                <w:sz w:val="21"/>
                <w:szCs w:val="21"/>
                <w:highlight w:val="none"/>
                <w:u w:val="none" w:color="auto"/>
              </w:rPr>
              <w:t>分值：0.</w:t>
            </w:r>
            <w:r>
              <w:rPr>
                <w:rFonts w:hint="default"/>
                <w:color w:val="auto"/>
                <w:sz w:val="21"/>
                <w:szCs w:val="21"/>
                <w:highlight w:val="none"/>
                <w:u w:val="none" w:color="auto"/>
                <w:lang w:eastAsia="zh-CN"/>
              </w:rPr>
              <w:t>5</w:t>
            </w:r>
            <w:r>
              <w:rPr>
                <w:rFonts w:hint="default"/>
                <w:color w:val="auto"/>
                <w:sz w:val="21"/>
                <w:szCs w:val="21"/>
                <w:highlight w:val="none"/>
                <w:u w:val="none" w:color="auto"/>
              </w:rPr>
              <w:t>分/个，最多得：</w:t>
            </w:r>
          </w:p>
          <w:p w14:paraId="0D8D2269">
            <w:pPr>
              <w:pStyle w:val="11"/>
              <w:numPr>
                <w:ilvl w:val="0"/>
                <w:numId w:val="0"/>
              </w:numPr>
              <w:spacing w:before="18" w:beforeLines="0" w:afterLines="0" w:line="209" w:lineRule="auto"/>
              <w:rPr>
                <w:rFonts w:hint="default"/>
                <w:color w:val="auto"/>
                <w:sz w:val="21"/>
                <w:szCs w:val="21"/>
                <w:highlight w:val="none"/>
                <w:u w:val="none" w:color="auto"/>
              </w:rPr>
            </w:pPr>
            <w:r>
              <w:rPr>
                <w:rFonts w:hint="default"/>
                <w:color w:val="auto"/>
                <w:sz w:val="21"/>
                <w:szCs w:val="21"/>
                <w:highlight w:val="none"/>
                <w:u w:val="none" w:color="auto"/>
              </w:rPr>
              <w:t>0.</w:t>
            </w:r>
            <w:r>
              <w:rPr>
                <w:rFonts w:hint="default"/>
                <w:color w:val="auto"/>
                <w:sz w:val="21"/>
                <w:szCs w:val="21"/>
                <w:highlight w:val="none"/>
                <w:u w:val="none" w:color="auto"/>
                <w:lang w:eastAsia="zh-CN"/>
              </w:rPr>
              <w:t>5</w:t>
            </w:r>
            <w:r>
              <w:rPr>
                <w:rFonts w:hint="default"/>
                <w:color w:val="auto"/>
                <w:sz w:val="21"/>
                <w:szCs w:val="21"/>
                <w:highlight w:val="none"/>
                <w:u w:val="none" w:color="auto"/>
              </w:rPr>
              <w:t>分</w:t>
            </w:r>
          </w:p>
          <w:p w14:paraId="26EDEC8A">
            <w:pPr>
              <w:pStyle w:val="11"/>
              <w:spacing w:before="18" w:beforeLines="0" w:afterLines="0" w:line="209" w:lineRule="auto"/>
              <w:ind w:left="119"/>
              <w:rPr>
                <w:rFonts w:hint="default"/>
                <w:color w:val="auto"/>
                <w:sz w:val="21"/>
                <w:szCs w:val="21"/>
                <w:highlight w:val="none"/>
              </w:rPr>
            </w:pPr>
            <w:r>
              <w:rPr>
                <w:rFonts w:hint="default"/>
                <w:color w:val="auto"/>
                <w:sz w:val="21"/>
                <w:szCs w:val="21"/>
                <w:highlight w:val="none"/>
                <w:u w:val="none" w:color="auto"/>
              </w:rPr>
              <w:br w:type="textWrapping"/>
            </w:r>
            <w:r>
              <w:rPr>
                <w:rFonts w:hint="default"/>
                <w:color w:val="auto"/>
                <w:sz w:val="21"/>
                <w:szCs w:val="21"/>
                <w:highlight w:val="none"/>
                <w:u w:val="none" w:color="auto"/>
              </w:rPr>
              <w:t>满分：3分。</w:t>
            </w:r>
            <w:r>
              <w:rPr>
                <w:rFonts w:hint="default"/>
                <w:color w:val="auto"/>
                <w:sz w:val="21"/>
                <w:szCs w:val="21"/>
                <w:highlight w:val="none"/>
                <w:u w:val="none" w:color="auto"/>
              </w:rPr>
              <w:br w:type="textWrapping"/>
            </w:r>
            <w:r>
              <w:rPr>
                <w:rFonts w:hint="default"/>
                <w:color w:val="auto"/>
                <w:sz w:val="21"/>
                <w:szCs w:val="21"/>
                <w:highlight w:val="none"/>
                <w:u w:val="none" w:color="auto"/>
              </w:rPr>
              <w:t>注：以住建领域主体信息库入库的有效证书为准。</w:t>
            </w:r>
          </w:p>
        </w:tc>
      </w:tr>
    </w:tbl>
    <w:p w14:paraId="22986B84">
      <w:pPr>
        <w:pStyle w:val="3"/>
        <w:spacing w:beforeLines="0" w:afterLines="0"/>
        <w:rPr>
          <w:rFonts w:hint="default"/>
          <w:color w:val="auto"/>
          <w:sz w:val="21"/>
          <w:szCs w:val="21"/>
          <w:highlight w:val="none"/>
        </w:rPr>
      </w:pPr>
    </w:p>
    <w:p w14:paraId="1E930515">
      <w:pPr>
        <w:spacing w:beforeLines="0" w:afterLines="0" w:line="95" w:lineRule="auto"/>
        <w:rPr>
          <w:rFonts w:hint="default"/>
          <w:color w:val="auto"/>
          <w:sz w:val="2"/>
          <w:szCs w:val="21"/>
          <w:highlight w:val="none"/>
        </w:rPr>
      </w:pPr>
    </w:p>
    <w:tbl>
      <w:tblPr>
        <w:tblStyle w:val="6"/>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4"/>
        <w:gridCol w:w="1099"/>
        <w:gridCol w:w="2044"/>
        <w:gridCol w:w="936"/>
        <w:gridCol w:w="4117"/>
      </w:tblGrid>
      <w:tr w14:paraId="4F461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gridSpan w:val="2"/>
            <w:tcBorders>
              <w:top w:val="nil"/>
              <w:left w:val="single" w:color="000000" w:sz="2" w:space="0"/>
              <w:bottom w:val="single" w:color="000000" w:sz="2" w:space="0"/>
              <w:right w:val="single" w:color="000000" w:sz="2" w:space="0"/>
              <w:tl2br w:val="nil"/>
              <w:tr2bl w:val="nil"/>
            </w:tcBorders>
            <w:noWrap w:val="0"/>
            <w:vAlign w:val="top"/>
          </w:tcPr>
          <w:p w14:paraId="0A47C900">
            <w:pPr>
              <w:spacing w:beforeLines="0" w:afterLines="0"/>
              <w:rPr>
                <w:rFonts w:hint="default"/>
                <w:color w:val="auto"/>
                <w:sz w:val="21"/>
                <w:szCs w:val="21"/>
                <w:highlight w:val="none"/>
              </w:rPr>
            </w:pPr>
          </w:p>
        </w:tc>
        <w:tc>
          <w:tcPr>
            <w:tcW w:w="1099" w:type="dxa"/>
            <w:tcBorders>
              <w:top w:val="nil"/>
              <w:left w:val="single" w:color="000000" w:sz="2" w:space="0"/>
              <w:bottom w:val="single" w:color="000000" w:sz="2" w:space="0"/>
              <w:right w:val="single" w:color="000000" w:sz="2" w:space="0"/>
              <w:tl2br w:val="nil"/>
              <w:tr2bl w:val="nil"/>
            </w:tcBorders>
            <w:noWrap w:val="0"/>
            <w:vAlign w:val="top"/>
          </w:tcPr>
          <w:p w14:paraId="4F3FAC93">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5C7C59FB">
            <w:pPr>
              <w:pStyle w:val="11"/>
              <w:spacing w:before="159" w:beforeLines="0" w:afterLines="0" w:line="226" w:lineRule="auto"/>
              <w:ind w:left="828"/>
              <w:rPr>
                <w:rFonts w:hint="default"/>
                <w:color w:val="auto"/>
                <w:sz w:val="21"/>
                <w:szCs w:val="21"/>
                <w:highlight w:val="none"/>
              </w:rPr>
            </w:pPr>
            <w:r>
              <w:rPr>
                <w:rFonts w:hint="default"/>
                <w:color w:val="auto"/>
                <w:spacing w:val="-5"/>
                <w:sz w:val="21"/>
                <w:szCs w:val="21"/>
                <w:highlight w:val="none"/>
              </w:rPr>
              <w:t>……</w:t>
            </w:r>
          </w:p>
        </w:tc>
        <w:tc>
          <w:tcPr>
            <w:tcW w:w="936"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5D7B7ADA">
            <w:pPr>
              <w:spacing w:beforeLines="0" w:afterLines="0"/>
              <w:rPr>
                <w:rFonts w:hint="default"/>
                <w:color w:val="auto"/>
                <w:sz w:val="21"/>
                <w:szCs w:val="21"/>
                <w:highlight w:val="none"/>
              </w:rPr>
            </w:pP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0E931002">
            <w:pPr>
              <w:spacing w:beforeLines="0" w:afterLines="0"/>
              <w:rPr>
                <w:rFonts w:hint="default"/>
                <w:color w:val="auto"/>
                <w:sz w:val="21"/>
                <w:szCs w:val="21"/>
                <w:highlight w:val="none"/>
              </w:rPr>
            </w:pPr>
          </w:p>
        </w:tc>
      </w:tr>
      <w:tr w14:paraId="5D8495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44" w:type="dxa"/>
            <w:gridSpan w:val="2"/>
            <w:vMerge w:val="restart"/>
            <w:tcBorders>
              <w:top w:val="single" w:color="000000" w:sz="2" w:space="0"/>
              <w:left w:val="single" w:color="000000" w:sz="2" w:space="0"/>
              <w:bottom w:val="nil"/>
              <w:right w:val="single" w:color="000000" w:sz="2" w:space="0"/>
              <w:tl2br w:val="nil"/>
              <w:tr2bl w:val="nil"/>
            </w:tcBorders>
            <w:noWrap w:val="0"/>
            <w:vAlign w:val="top"/>
          </w:tcPr>
          <w:p w14:paraId="05D982B8">
            <w:pPr>
              <w:spacing w:beforeLines="0" w:afterLines="0" w:line="349" w:lineRule="auto"/>
              <w:rPr>
                <w:rFonts w:hint="default"/>
                <w:color w:val="auto"/>
                <w:sz w:val="21"/>
                <w:szCs w:val="21"/>
                <w:highlight w:val="none"/>
              </w:rPr>
            </w:pPr>
          </w:p>
          <w:p w14:paraId="217EECD4">
            <w:pPr>
              <w:spacing w:before="61" w:beforeLines="0" w:afterLines="0" w:line="386" w:lineRule="exact"/>
              <w:ind w:left="162"/>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pacing w:val="-1"/>
                <w:position w:val="17"/>
                <w:sz w:val="21"/>
                <w:szCs w:val="21"/>
                <w:highlight w:val="none"/>
              </w:rPr>
              <w:t>2.2.4</w:t>
            </w:r>
          </w:p>
          <w:p w14:paraId="58C1DC68">
            <w:pPr>
              <w:pStyle w:val="11"/>
              <w:spacing w:beforeLines="0" w:afterLines="0" w:line="232" w:lineRule="auto"/>
              <w:ind w:left="119"/>
              <w:rPr>
                <w:rFonts w:hint="default"/>
                <w:color w:val="auto"/>
                <w:sz w:val="21"/>
                <w:szCs w:val="21"/>
                <w:highlight w:val="none"/>
              </w:rPr>
            </w:pPr>
            <w:r>
              <w:rPr>
                <w:rFonts w:hint="default"/>
                <w:color w:val="auto"/>
                <w:spacing w:val="-5"/>
                <w:sz w:val="21"/>
                <w:szCs w:val="21"/>
                <w:highlight w:val="none"/>
              </w:rPr>
              <w:t>（</w:t>
            </w:r>
            <w:r>
              <w:rPr>
                <w:rFonts w:hint="eastAsia" w:ascii="Times New Roman" w:hAnsi="Times New Roman" w:eastAsia="Times New Roman" w:cs="Times New Roman"/>
                <w:color w:val="auto"/>
                <w:spacing w:val="-5"/>
                <w:sz w:val="21"/>
                <w:szCs w:val="21"/>
                <w:highlight w:val="none"/>
              </w:rPr>
              <w:t>4</w:t>
            </w:r>
            <w:r>
              <w:rPr>
                <w:rFonts w:hint="default"/>
                <w:color w:val="auto"/>
                <w:spacing w:val="-5"/>
                <w:sz w:val="21"/>
                <w:szCs w:val="21"/>
                <w:highlight w:val="none"/>
              </w:rPr>
              <w:t>）</w:t>
            </w:r>
          </w:p>
        </w:tc>
        <w:tc>
          <w:tcPr>
            <w:tcW w:w="1099" w:type="dxa"/>
            <w:vMerge w:val="restart"/>
            <w:tcBorders>
              <w:top w:val="single" w:color="000000" w:sz="2" w:space="0"/>
              <w:left w:val="single" w:color="000000" w:sz="2" w:space="0"/>
              <w:bottom w:val="nil"/>
              <w:right w:val="single" w:color="000000" w:sz="2" w:space="0"/>
              <w:tl2br w:val="nil"/>
              <w:tr2bl w:val="nil"/>
            </w:tcBorders>
            <w:noWrap w:val="0"/>
            <w:vAlign w:val="top"/>
          </w:tcPr>
          <w:p w14:paraId="387DA7A8">
            <w:pPr>
              <w:spacing w:beforeLines="0" w:afterLines="0" w:line="305" w:lineRule="auto"/>
              <w:rPr>
                <w:rFonts w:hint="default"/>
                <w:color w:val="auto"/>
                <w:sz w:val="21"/>
                <w:szCs w:val="21"/>
                <w:highlight w:val="none"/>
              </w:rPr>
            </w:pPr>
          </w:p>
          <w:p w14:paraId="7E09BDB9">
            <w:pPr>
              <w:pStyle w:val="11"/>
              <w:spacing w:before="68" w:beforeLines="0" w:afterLines="0" w:line="423" w:lineRule="exact"/>
              <w:ind w:left="134"/>
              <w:rPr>
                <w:rFonts w:hint="default"/>
                <w:color w:val="auto"/>
                <w:sz w:val="21"/>
                <w:szCs w:val="21"/>
                <w:highlight w:val="none"/>
              </w:rPr>
            </w:pPr>
            <w:r>
              <w:rPr>
                <w:rFonts w:hint="default"/>
                <w:color w:val="auto"/>
                <w:spacing w:val="-1"/>
                <w:position w:val="16"/>
                <w:sz w:val="21"/>
                <w:szCs w:val="21"/>
                <w:highlight w:val="none"/>
              </w:rPr>
              <w:t>其他因素</w:t>
            </w:r>
          </w:p>
          <w:p w14:paraId="3039833D">
            <w:pPr>
              <w:pStyle w:val="11"/>
              <w:spacing w:beforeLines="0" w:afterLines="0" w:line="221" w:lineRule="auto"/>
              <w:ind w:left="132"/>
              <w:rPr>
                <w:rFonts w:hint="default"/>
                <w:color w:val="auto"/>
                <w:sz w:val="21"/>
                <w:szCs w:val="21"/>
                <w:highlight w:val="none"/>
              </w:rPr>
            </w:pPr>
            <w:r>
              <w:rPr>
                <w:rFonts w:hint="default"/>
                <w:color w:val="auto"/>
                <w:spacing w:val="-1"/>
                <w:sz w:val="21"/>
                <w:szCs w:val="21"/>
                <w:highlight w:val="none"/>
              </w:rPr>
              <w:t>评分标准</w:t>
            </w:r>
          </w:p>
        </w:tc>
        <w:tc>
          <w:tcPr>
            <w:tcW w:w="2044" w:type="dxa"/>
            <w:vMerge w:val="restart"/>
            <w:tcBorders>
              <w:top w:val="single" w:color="000000" w:sz="2" w:space="0"/>
              <w:left w:val="single" w:color="000000" w:sz="2" w:space="0"/>
              <w:bottom w:val="nil"/>
              <w:right w:val="single" w:color="000000" w:sz="2" w:space="0"/>
              <w:tl2br w:val="nil"/>
              <w:tr2bl w:val="nil"/>
            </w:tcBorders>
            <w:noWrap w:val="0"/>
            <w:vAlign w:val="top"/>
          </w:tcPr>
          <w:p w14:paraId="78FA27FD">
            <w:pPr>
              <w:spacing w:beforeLines="0" w:afterLines="0" w:line="300" w:lineRule="auto"/>
              <w:rPr>
                <w:rFonts w:hint="default"/>
                <w:color w:val="auto"/>
                <w:sz w:val="21"/>
                <w:szCs w:val="21"/>
                <w:highlight w:val="none"/>
              </w:rPr>
            </w:pPr>
          </w:p>
          <w:p w14:paraId="44A09447">
            <w:pPr>
              <w:pStyle w:val="11"/>
              <w:spacing w:before="68" w:beforeLines="0" w:afterLines="0" w:line="221" w:lineRule="auto"/>
              <w:ind w:left="290"/>
              <w:rPr>
                <w:rFonts w:hint="default"/>
                <w:color w:val="auto"/>
                <w:sz w:val="21"/>
                <w:szCs w:val="21"/>
                <w:highlight w:val="none"/>
              </w:rPr>
            </w:pPr>
            <w:r>
              <w:rPr>
                <w:rFonts w:hint="default"/>
                <w:color w:val="auto"/>
                <w:spacing w:val="-1"/>
                <w:sz w:val="21"/>
                <w:szCs w:val="21"/>
                <w:highlight w:val="none"/>
              </w:rPr>
              <w:t>项目负责人答辩</w:t>
            </w:r>
          </w:p>
        </w:tc>
        <w:tc>
          <w:tcPr>
            <w:tcW w:w="936" w:type="dxa"/>
            <w:vMerge w:val="restart"/>
            <w:tcBorders>
              <w:top w:val="single" w:color="000000" w:sz="2" w:space="0"/>
              <w:left w:val="single" w:color="000000" w:sz="2" w:space="0"/>
              <w:bottom w:val="nil"/>
              <w:right w:val="single" w:color="000000" w:sz="2" w:space="0"/>
              <w:tl2br w:val="nil"/>
              <w:tr2bl w:val="nil"/>
            </w:tcBorders>
            <w:noWrap w:val="0"/>
            <w:vAlign w:val="top"/>
          </w:tcPr>
          <w:p w14:paraId="45B47DF6">
            <w:pPr>
              <w:spacing w:beforeLines="0" w:afterLines="0"/>
              <w:rPr>
                <w:rFonts w:hint="default"/>
                <w:color w:val="auto"/>
                <w:sz w:val="21"/>
                <w:szCs w:val="21"/>
                <w:highlight w:val="none"/>
              </w:rPr>
            </w:pP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FCDFD9C">
            <w:pPr>
              <w:pStyle w:val="11"/>
              <w:spacing w:before="154" w:beforeLines="0" w:afterLines="0" w:line="221" w:lineRule="auto"/>
              <w:ind w:left="115"/>
              <w:rPr>
                <w:rFonts w:hint="default"/>
                <w:color w:val="auto"/>
                <w:sz w:val="21"/>
                <w:szCs w:val="21"/>
                <w:highlight w:val="none"/>
              </w:rPr>
            </w:pPr>
            <w:r>
              <w:rPr>
                <w:rFonts w:hint="default"/>
                <w:color w:val="auto"/>
                <w:spacing w:val="-9"/>
                <w:sz w:val="21"/>
                <w:szCs w:val="21"/>
                <w:highlight w:val="none"/>
              </w:rPr>
              <w:t>评审内容：</w:t>
            </w:r>
          </w:p>
        </w:tc>
      </w:tr>
      <w:tr w14:paraId="682AFB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gridSpan w:val="2"/>
            <w:vMerge w:val="continue"/>
            <w:tcBorders>
              <w:top w:val="nil"/>
              <w:left w:val="single" w:color="000000" w:sz="2" w:space="0"/>
              <w:bottom w:val="nil"/>
              <w:right w:val="single" w:color="000000" w:sz="2" w:space="0"/>
              <w:tl2br w:val="nil"/>
              <w:tr2bl w:val="nil"/>
            </w:tcBorders>
            <w:noWrap w:val="0"/>
            <w:vAlign w:val="top"/>
          </w:tcPr>
          <w:p w14:paraId="07423DE8">
            <w:pPr>
              <w:spacing w:beforeLines="0" w:afterLines="0"/>
              <w:rPr>
                <w:rFonts w:hint="default"/>
                <w:color w:val="auto"/>
                <w:sz w:val="21"/>
                <w:szCs w:val="21"/>
                <w:highlight w:val="none"/>
              </w:rPr>
            </w:pPr>
          </w:p>
        </w:tc>
        <w:tc>
          <w:tcPr>
            <w:tcW w:w="1099" w:type="dxa"/>
            <w:vMerge w:val="continue"/>
            <w:tcBorders>
              <w:top w:val="nil"/>
              <w:left w:val="single" w:color="000000" w:sz="2" w:space="0"/>
              <w:bottom w:val="nil"/>
              <w:right w:val="single" w:color="000000" w:sz="2" w:space="0"/>
              <w:tl2br w:val="nil"/>
              <w:tr2bl w:val="nil"/>
            </w:tcBorders>
            <w:noWrap w:val="0"/>
            <w:vAlign w:val="top"/>
          </w:tcPr>
          <w:p w14:paraId="22F28197">
            <w:pPr>
              <w:spacing w:beforeLines="0" w:afterLines="0"/>
              <w:rPr>
                <w:rFonts w:hint="default"/>
                <w:color w:val="auto"/>
                <w:sz w:val="21"/>
                <w:szCs w:val="21"/>
                <w:highlight w:val="none"/>
              </w:rPr>
            </w:pPr>
          </w:p>
        </w:tc>
        <w:tc>
          <w:tcPr>
            <w:tcW w:w="2044" w:type="dxa"/>
            <w:vMerge w:val="continue"/>
            <w:tcBorders>
              <w:top w:val="nil"/>
              <w:left w:val="single" w:color="000000" w:sz="2" w:space="0"/>
              <w:bottom w:val="single" w:color="000000" w:sz="2" w:space="0"/>
              <w:right w:val="single" w:color="000000" w:sz="2" w:space="0"/>
              <w:tl2br w:val="nil"/>
              <w:tr2bl w:val="nil"/>
            </w:tcBorders>
            <w:noWrap w:val="0"/>
            <w:vAlign w:val="top"/>
          </w:tcPr>
          <w:p w14:paraId="5467769A">
            <w:pPr>
              <w:spacing w:beforeLines="0" w:afterLines="0"/>
              <w:rPr>
                <w:rFonts w:hint="default"/>
                <w:color w:val="auto"/>
                <w:sz w:val="21"/>
                <w:szCs w:val="21"/>
                <w:highlight w:val="none"/>
              </w:rPr>
            </w:pPr>
          </w:p>
        </w:tc>
        <w:tc>
          <w:tcPr>
            <w:tcW w:w="936" w:type="dxa"/>
            <w:vMerge w:val="continue"/>
            <w:tcBorders>
              <w:top w:val="nil"/>
              <w:left w:val="single" w:color="000000" w:sz="2" w:space="0"/>
              <w:bottom w:val="single" w:color="000000" w:sz="2" w:space="0"/>
              <w:right w:val="single" w:color="000000" w:sz="2" w:space="0"/>
              <w:tl2br w:val="nil"/>
              <w:tr2bl w:val="nil"/>
            </w:tcBorders>
            <w:noWrap w:val="0"/>
            <w:vAlign w:val="top"/>
          </w:tcPr>
          <w:p w14:paraId="5DE7F2CA">
            <w:pPr>
              <w:spacing w:beforeLines="0" w:afterLines="0"/>
              <w:rPr>
                <w:rFonts w:hint="default"/>
                <w:color w:val="auto"/>
                <w:sz w:val="21"/>
                <w:szCs w:val="21"/>
                <w:highlight w:val="none"/>
              </w:rPr>
            </w:pP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274FA6A2">
            <w:pPr>
              <w:pStyle w:val="11"/>
              <w:spacing w:before="159" w:beforeLines="0" w:afterLines="0" w:line="221" w:lineRule="auto"/>
              <w:ind w:left="119"/>
              <w:rPr>
                <w:rFonts w:hint="default"/>
                <w:color w:val="auto"/>
                <w:sz w:val="21"/>
                <w:szCs w:val="21"/>
                <w:highlight w:val="none"/>
              </w:rPr>
            </w:pPr>
            <w:r>
              <w:rPr>
                <w:rFonts w:hint="default"/>
                <w:color w:val="auto"/>
                <w:spacing w:val="-13"/>
                <w:sz w:val="21"/>
                <w:szCs w:val="21"/>
                <w:highlight w:val="none"/>
              </w:rPr>
              <w:t>分值：</w:t>
            </w:r>
          </w:p>
        </w:tc>
      </w:tr>
      <w:tr w14:paraId="6ED5D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gridSpan w:val="2"/>
            <w:vMerge w:val="continue"/>
            <w:tcBorders>
              <w:top w:val="nil"/>
              <w:left w:val="single" w:color="000000" w:sz="2" w:space="0"/>
              <w:bottom w:val="single" w:color="000000" w:sz="2" w:space="0"/>
              <w:right w:val="single" w:color="000000" w:sz="2" w:space="0"/>
              <w:tl2br w:val="nil"/>
              <w:tr2bl w:val="nil"/>
            </w:tcBorders>
            <w:noWrap w:val="0"/>
            <w:vAlign w:val="top"/>
          </w:tcPr>
          <w:p w14:paraId="365FF997">
            <w:pPr>
              <w:spacing w:beforeLines="0" w:afterLines="0"/>
              <w:rPr>
                <w:rFonts w:hint="default"/>
                <w:color w:val="auto"/>
                <w:sz w:val="21"/>
                <w:szCs w:val="21"/>
                <w:highlight w:val="none"/>
              </w:rPr>
            </w:pPr>
          </w:p>
        </w:tc>
        <w:tc>
          <w:tcPr>
            <w:tcW w:w="1099" w:type="dxa"/>
            <w:vMerge w:val="continue"/>
            <w:tcBorders>
              <w:top w:val="nil"/>
              <w:left w:val="single" w:color="000000" w:sz="2" w:space="0"/>
              <w:bottom w:val="single" w:color="000000" w:sz="2" w:space="0"/>
              <w:right w:val="single" w:color="000000" w:sz="2" w:space="0"/>
              <w:tl2br w:val="nil"/>
              <w:tr2bl w:val="nil"/>
            </w:tcBorders>
            <w:noWrap w:val="0"/>
            <w:vAlign w:val="top"/>
          </w:tcPr>
          <w:p w14:paraId="73F33182">
            <w:pPr>
              <w:spacing w:beforeLines="0" w:afterLines="0"/>
              <w:rPr>
                <w:rFonts w:hint="default"/>
                <w:color w:val="auto"/>
                <w:sz w:val="21"/>
                <w:szCs w:val="21"/>
                <w:highlight w:val="none"/>
              </w:rPr>
            </w:pPr>
          </w:p>
        </w:tc>
        <w:tc>
          <w:tcPr>
            <w:tcW w:w="2044"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7934A972">
            <w:pPr>
              <w:pStyle w:val="11"/>
              <w:spacing w:before="159" w:beforeLines="0" w:afterLines="0" w:line="226" w:lineRule="auto"/>
              <w:ind w:left="828"/>
              <w:rPr>
                <w:rFonts w:hint="default"/>
                <w:color w:val="auto"/>
                <w:sz w:val="21"/>
                <w:szCs w:val="21"/>
                <w:highlight w:val="none"/>
              </w:rPr>
            </w:pPr>
            <w:r>
              <w:rPr>
                <w:rFonts w:hint="default"/>
                <w:color w:val="auto"/>
                <w:spacing w:val="-5"/>
                <w:sz w:val="21"/>
                <w:szCs w:val="21"/>
                <w:highlight w:val="none"/>
              </w:rPr>
              <w:t>……</w:t>
            </w:r>
          </w:p>
        </w:tc>
        <w:tc>
          <w:tcPr>
            <w:tcW w:w="936"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3D95272A">
            <w:pPr>
              <w:spacing w:beforeLines="0" w:afterLines="0"/>
              <w:rPr>
                <w:rFonts w:hint="default"/>
                <w:color w:val="auto"/>
                <w:sz w:val="21"/>
                <w:szCs w:val="21"/>
                <w:highlight w:val="none"/>
              </w:rPr>
            </w:pPr>
          </w:p>
        </w:tc>
        <w:tc>
          <w:tcPr>
            <w:tcW w:w="4117"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1407B64">
            <w:pPr>
              <w:spacing w:beforeLines="0" w:afterLines="0"/>
              <w:rPr>
                <w:rFonts w:hint="default"/>
                <w:color w:val="auto"/>
                <w:sz w:val="21"/>
                <w:szCs w:val="21"/>
                <w:highlight w:val="none"/>
              </w:rPr>
            </w:pPr>
          </w:p>
        </w:tc>
      </w:tr>
      <w:tr w14:paraId="49CE5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1843" w:type="dxa"/>
            <w:gridSpan w:val="3"/>
            <w:tcBorders>
              <w:top w:val="single" w:color="000000" w:sz="2" w:space="0"/>
              <w:left w:val="single" w:color="000000" w:sz="2" w:space="0"/>
              <w:bottom w:val="single" w:color="000000" w:sz="2" w:space="0"/>
              <w:right w:val="single" w:color="000000" w:sz="2" w:space="0"/>
              <w:tl2br w:val="nil"/>
              <w:tr2bl w:val="nil"/>
            </w:tcBorders>
            <w:noWrap w:val="0"/>
            <w:vAlign w:val="top"/>
          </w:tcPr>
          <w:p w14:paraId="1D956B96">
            <w:pPr>
              <w:pStyle w:val="11"/>
              <w:spacing w:before="164" w:beforeLines="0" w:afterLines="0" w:line="221" w:lineRule="auto"/>
              <w:ind w:left="610"/>
              <w:rPr>
                <w:rFonts w:hint="default"/>
                <w:color w:val="auto"/>
                <w:sz w:val="21"/>
                <w:szCs w:val="21"/>
                <w:highlight w:val="none"/>
              </w:rPr>
            </w:pPr>
            <w:r>
              <w:rPr>
                <w:rFonts w:hint="default"/>
                <w:color w:val="auto"/>
                <w:spacing w:val="-2"/>
                <w:sz w:val="21"/>
                <w:szCs w:val="21"/>
                <w:highlight w:val="none"/>
              </w:rPr>
              <w:t>条款号</w:t>
            </w:r>
          </w:p>
        </w:tc>
        <w:tc>
          <w:tcPr>
            <w:tcW w:w="7097" w:type="dxa"/>
            <w:gridSpan w:val="3"/>
            <w:tcBorders>
              <w:top w:val="single" w:color="000000" w:sz="2" w:space="0"/>
              <w:left w:val="single" w:color="000000" w:sz="2" w:space="0"/>
              <w:bottom w:val="single" w:color="000000" w:sz="2" w:space="0"/>
              <w:right w:val="single" w:color="000000" w:sz="2" w:space="0"/>
              <w:tl2br w:val="nil"/>
              <w:tr2bl w:val="nil"/>
            </w:tcBorders>
            <w:noWrap w:val="0"/>
            <w:vAlign w:val="top"/>
          </w:tcPr>
          <w:p w14:paraId="2099C185">
            <w:pPr>
              <w:pStyle w:val="11"/>
              <w:spacing w:before="164" w:beforeLines="0" w:afterLines="0" w:line="221" w:lineRule="auto"/>
              <w:ind w:left="3129"/>
              <w:rPr>
                <w:rFonts w:hint="default"/>
                <w:color w:val="auto"/>
                <w:sz w:val="21"/>
                <w:szCs w:val="21"/>
                <w:highlight w:val="none"/>
              </w:rPr>
            </w:pPr>
            <w:r>
              <w:rPr>
                <w:rFonts w:hint="default"/>
                <w:color w:val="auto"/>
                <w:spacing w:val="-2"/>
                <w:sz w:val="21"/>
                <w:szCs w:val="21"/>
                <w:highlight w:val="none"/>
              </w:rPr>
              <w:t>具体内容</w:t>
            </w:r>
          </w:p>
        </w:tc>
      </w:tr>
      <w:tr w14:paraId="6A3445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3" w:hRule="atLeast"/>
        </w:trPr>
        <w:tc>
          <w:tcPr>
            <w:tcW w:w="710"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66DF6D00">
            <w:pPr>
              <w:spacing w:beforeLines="0" w:afterLines="0" w:line="359" w:lineRule="auto"/>
              <w:rPr>
                <w:rFonts w:hint="default"/>
                <w:color w:val="auto"/>
                <w:sz w:val="21"/>
                <w:szCs w:val="21"/>
                <w:highlight w:val="none"/>
              </w:rPr>
            </w:pPr>
          </w:p>
          <w:p w14:paraId="15FD8112">
            <w:pPr>
              <w:spacing w:beforeLines="0" w:afterLines="0" w:line="359" w:lineRule="auto"/>
              <w:rPr>
                <w:rFonts w:hint="default"/>
                <w:color w:val="auto"/>
                <w:sz w:val="21"/>
                <w:szCs w:val="21"/>
                <w:highlight w:val="none"/>
              </w:rPr>
            </w:pPr>
          </w:p>
          <w:p w14:paraId="7A59BAA1">
            <w:pPr>
              <w:spacing w:before="61" w:beforeLines="0" w:afterLines="0" w:line="189" w:lineRule="auto"/>
              <w:ind w:left="147"/>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pacing w:val="-1"/>
                <w:sz w:val="21"/>
                <w:szCs w:val="21"/>
                <w:highlight w:val="none"/>
              </w:rPr>
              <w:t>3.2.5</w:t>
            </w:r>
          </w:p>
        </w:tc>
        <w:tc>
          <w:tcPr>
            <w:tcW w:w="1133" w:type="dxa"/>
            <w:gridSpan w:val="2"/>
            <w:tcBorders>
              <w:top w:val="single" w:color="000000" w:sz="2" w:space="0"/>
              <w:left w:val="single" w:color="000000" w:sz="2" w:space="0"/>
              <w:bottom w:val="single" w:color="000000" w:sz="2" w:space="0"/>
              <w:right w:val="single" w:color="000000" w:sz="2" w:space="0"/>
              <w:tl2br w:val="nil"/>
              <w:tr2bl w:val="nil"/>
            </w:tcBorders>
            <w:noWrap w:val="0"/>
            <w:vAlign w:val="top"/>
          </w:tcPr>
          <w:p w14:paraId="69E365EB">
            <w:pPr>
              <w:spacing w:beforeLines="0" w:afterLines="0" w:line="464" w:lineRule="auto"/>
              <w:rPr>
                <w:rFonts w:hint="default"/>
                <w:color w:val="auto"/>
                <w:sz w:val="21"/>
                <w:szCs w:val="21"/>
                <w:highlight w:val="none"/>
              </w:rPr>
            </w:pPr>
          </w:p>
          <w:p w14:paraId="76D0DFC4">
            <w:pPr>
              <w:pStyle w:val="11"/>
              <w:spacing w:before="68" w:beforeLines="0" w:afterLines="0" w:line="423" w:lineRule="exact"/>
              <w:ind w:left="147"/>
              <w:rPr>
                <w:rFonts w:hint="default"/>
                <w:color w:val="auto"/>
                <w:sz w:val="21"/>
                <w:szCs w:val="21"/>
                <w:highlight w:val="none"/>
              </w:rPr>
            </w:pPr>
            <w:r>
              <w:rPr>
                <w:rFonts w:hint="default"/>
                <w:color w:val="auto"/>
                <w:spacing w:val="-1"/>
                <w:position w:val="16"/>
                <w:sz w:val="21"/>
                <w:szCs w:val="21"/>
                <w:highlight w:val="none"/>
              </w:rPr>
              <w:t>评分结果</w:t>
            </w:r>
          </w:p>
          <w:p w14:paraId="0D400F0F">
            <w:pPr>
              <w:pStyle w:val="11"/>
              <w:spacing w:beforeLines="0" w:afterLines="0" w:line="226" w:lineRule="auto"/>
              <w:ind w:left="359"/>
              <w:rPr>
                <w:rFonts w:hint="default"/>
                <w:color w:val="auto"/>
                <w:sz w:val="21"/>
                <w:szCs w:val="21"/>
                <w:highlight w:val="none"/>
              </w:rPr>
            </w:pPr>
            <w:r>
              <w:rPr>
                <w:rFonts w:hint="default"/>
                <w:color w:val="auto"/>
                <w:spacing w:val="-2"/>
                <w:sz w:val="21"/>
                <w:szCs w:val="21"/>
                <w:highlight w:val="none"/>
              </w:rPr>
              <w:t>汇总</w:t>
            </w:r>
          </w:p>
        </w:tc>
        <w:tc>
          <w:tcPr>
            <w:tcW w:w="7097" w:type="dxa"/>
            <w:gridSpan w:val="3"/>
            <w:tcBorders>
              <w:top w:val="single" w:color="000000" w:sz="2" w:space="0"/>
              <w:left w:val="single" w:color="000000" w:sz="2" w:space="0"/>
              <w:bottom w:val="single" w:color="000000" w:sz="2" w:space="0"/>
              <w:right w:val="single" w:color="000000" w:sz="2" w:space="0"/>
              <w:tl2br w:val="nil"/>
              <w:tr2bl w:val="nil"/>
            </w:tcBorders>
            <w:noWrap w:val="0"/>
            <w:vAlign w:val="top"/>
          </w:tcPr>
          <w:p w14:paraId="32C8CE66">
            <w:pPr>
              <w:pStyle w:val="11"/>
              <w:spacing w:before="155" w:beforeLines="0" w:afterLines="0" w:line="221" w:lineRule="auto"/>
              <w:ind w:left="112"/>
              <w:rPr>
                <w:rFonts w:hint="default"/>
                <w:color w:val="auto"/>
                <w:sz w:val="21"/>
                <w:szCs w:val="21"/>
                <w:highlight w:val="none"/>
              </w:rPr>
            </w:pPr>
            <w:r>
              <w:rPr>
                <w:rFonts w:hint="default"/>
                <w:color w:val="auto"/>
                <w:spacing w:val="-4"/>
                <w:sz w:val="21"/>
                <w:szCs w:val="21"/>
                <w:highlight w:val="none"/>
              </w:rPr>
              <w:t>最终（含分项）</w:t>
            </w:r>
            <w:r>
              <w:rPr>
                <w:rFonts w:hint="default"/>
                <w:color w:val="auto"/>
                <w:spacing w:val="-39"/>
                <w:sz w:val="21"/>
                <w:szCs w:val="21"/>
                <w:highlight w:val="none"/>
              </w:rPr>
              <w:t xml:space="preserve"> </w:t>
            </w:r>
            <w:r>
              <w:rPr>
                <w:rFonts w:hint="default"/>
                <w:color w:val="auto"/>
                <w:spacing w:val="-4"/>
                <w:sz w:val="21"/>
                <w:szCs w:val="21"/>
                <w:highlight w:val="none"/>
              </w:rPr>
              <w:t>评分结果汇总确定办法：</w:t>
            </w:r>
          </w:p>
          <w:p w14:paraId="2B635262">
            <w:pPr>
              <w:pStyle w:val="11"/>
              <w:spacing w:before="171" w:beforeLines="0" w:afterLines="0" w:line="220" w:lineRule="auto"/>
              <w:ind w:left="553"/>
              <w:rPr>
                <w:rFonts w:hint="default"/>
                <w:color w:val="auto"/>
                <w:sz w:val="21"/>
                <w:szCs w:val="21"/>
                <w:highlight w:val="none"/>
              </w:rPr>
            </w:pPr>
            <w:r>
              <w:rPr>
                <w:rFonts w:hint="default"/>
                <w:color w:val="auto"/>
                <w:spacing w:val="-2"/>
                <w:sz w:val="21"/>
                <w:szCs w:val="21"/>
                <w:highlight w:val="none"/>
              </w:rPr>
              <w:t>□所有评标委员会成员评分的算术平均值。</w:t>
            </w:r>
          </w:p>
          <w:p w14:paraId="60E2841C">
            <w:pPr>
              <w:pStyle w:val="11"/>
              <w:spacing w:before="133" w:beforeLines="0" w:afterLines="0" w:line="380" w:lineRule="exact"/>
              <w:ind w:left="553"/>
              <w:rPr>
                <w:rFonts w:hint="default"/>
                <w:color w:val="auto"/>
                <w:sz w:val="21"/>
                <w:szCs w:val="21"/>
                <w:highlight w:val="none"/>
              </w:rPr>
            </w:pPr>
            <w:r>
              <w:rPr>
                <w:rFonts w:hint="default"/>
                <w:color w:val="auto"/>
                <w:spacing w:val="4"/>
                <w:position w:val="12"/>
                <w:sz w:val="21"/>
                <w:szCs w:val="21"/>
                <w:highlight w:val="none"/>
                <w:lang w:eastAsia="zh-CN"/>
              </w:rPr>
              <w:t>☑</w:t>
            </w:r>
            <w:r>
              <w:rPr>
                <w:rFonts w:hint="default"/>
                <w:color w:val="auto"/>
                <w:spacing w:val="4"/>
                <w:position w:val="12"/>
                <w:sz w:val="21"/>
                <w:szCs w:val="21"/>
                <w:highlight w:val="none"/>
              </w:rPr>
              <w:t>所有评标委员会成员评分去掉一个最高分和一个最低分后计算平均</w:t>
            </w:r>
          </w:p>
          <w:p w14:paraId="737FA5AD">
            <w:pPr>
              <w:pStyle w:val="11"/>
              <w:spacing w:beforeLines="0" w:afterLines="0" w:line="220" w:lineRule="auto"/>
              <w:ind w:left="109"/>
              <w:rPr>
                <w:rFonts w:hint="default"/>
                <w:color w:val="auto"/>
                <w:sz w:val="21"/>
                <w:szCs w:val="21"/>
                <w:highlight w:val="none"/>
              </w:rPr>
            </w:pPr>
            <w:r>
              <w:rPr>
                <w:rFonts w:hint="default"/>
                <w:color w:val="auto"/>
                <w:spacing w:val="-4"/>
                <w:sz w:val="21"/>
                <w:szCs w:val="21"/>
                <w:highlight w:val="none"/>
              </w:rPr>
              <w:t>值（分项评审成员</w:t>
            </w:r>
            <w:r>
              <w:rPr>
                <w:rFonts w:hint="default"/>
                <w:color w:val="auto"/>
                <w:spacing w:val="-31"/>
                <w:sz w:val="21"/>
                <w:szCs w:val="21"/>
                <w:highlight w:val="none"/>
              </w:rPr>
              <w:t xml:space="preserve"> </w:t>
            </w:r>
            <w:r>
              <w:rPr>
                <w:rFonts w:hint="default"/>
                <w:color w:val="auto"/>
                <w:spacing w:val="-4"/>
                <w:sz w:val="21"/>
                <w:szCs w:val="21"/>
                <w:highlight w:val="none"/>
              </w:rPr>
              <w:t>3</w:t>
            </w:r>
            <w:r>
              <w:rPr>
                <w:rFonts w:hint="default"/>
                <w:color w:val="auto"/>
                <w:spacing w:val="-46"/>
                <w:sz w:val="21"/>
                <w:szCs w:val="21"/>
                <w:highlight w:val="none"/>
              </w:rPr>
              <w:t xml:space="preserve"> </w:t>
            </w:r>
            <w:r>
              <w:rPr>
                <w:rFonts w:hint="default"/>
                <w:color w:val="auto"/>
                <w:spacing w:val="-4"/>
                <w:sz w:val="21"/>
                <w:szCs w:val="21"/>
                <w:highlight w:val="none"/>
              </w:rPr>
              <w:t>名（含</w:t>
            </w:r>
            <w:r>
              <w:rPr>
                <w:rFonts w:hint="default"/>
                <w:color w:val="auto"/>
                <w:spacing w:val="-39"/>
                <w:sz w:val="21"/>
                <w:szCs w:val="21"/>
                <w:highlight w:val="none"/>
              </w:rPr>
              <w:t xml:space="preserve"> </w:t>
            </w:r>
            <w:r>
              <w:rPr>
                <w:rFonts w:hint="default"/>
                <w:color w:val="auto"/>
                <w:spacing w:val="-4"/>
                <w:sz w:val="21"/>
                <w:szCs w:val="21"/>
                <w:highlight w:val="none"/>
              </w:rPr>
              <w:t>3</w:t>
            </w:r>
            <w:r>
              <w:rPr>
                <w:rFonts w:hint="default"/>
                <w:color w:val="auto"/>
                <w:spacing w:val="-46"/>
                <w:sz w:val="21"/>
                <w:szCs w:val="21"/>
                <w:highlight w:val="none"/>
              </w:rPr>
              <w:t xml:space="preserve"> </w:t>
            </w:r>
            <w:r>
              <w:rPr>
                <w:rFonts w:hint="default"/>
                <w:color w:val="auto"/>
                <w:spacing w:val="-4"/>
                <w:sz w:val="21"/>
                <w:szCs w:val="21"/>
                <w:highlight w:val="none"/>
              </w:rPr>
              <w:t>名）以下时，按照算术平均值进行计算）。</w:t>
            </w:r>
          </w:p>
        </w:tc>
      </w:tr>
      <w:tr w14:paraId="3CE92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6" w:hRule="atLeast"/>
        </w:trPr>
        <w:tc>
          <w:tcPr>
            <w:tcW w:w="710" w:type="dxa"/>
            <w:tcBorders>
              <w:top w:val="single" w:color="000000" w:sz="2" w:space="0"/>
              <w:left w:val="single" w:color="000000" w:sz="2" w:space="0"/>
              <w:bottom w:val="single" w:color="000000" w:sz="2" w:space="0"/>
              <w:right w:val="single" w:color="000000" w:sz="2" w:space="0"/>
              <w:tl2br w:val="nil"/>
              <w:tr2bl w:val="nil"/>
            </w:tcBorders>
            <w:noWrap w:val="0"/>
            <w:vAlign w:val="top"/>
          </w:tcPr>
          <w:p w14:paraId="416A6031">
            <w:pPr>
              <w:spacing w:beforeLines="0" w:afterLines="0" w:line="246" w:lineRule="auto"/>
              <w:rPr>
                <w:rFonts w:hint="default"/>
                <w:color w:val="auto"/>
                <w:sz w:val="21"/>
                <w:szCs w:val="21"/>
                <w:highlight w:val="none"/>
              </w:rPr>
            </w:pPr>
          </w:p>
          <w:p w14:paraId="54460784">
            <w:pPr>
              <w:spacing w:beforeLines="0" w:afterLines="0" w:line="246" w:lineRule="auto"/>
              <w:rPr>
                <w:rFonts w:hint="default"/>
                <w:color w:val="auto"/>
                <w:sz w:val="21"/>
                <w:szCs w:val="21"/>
                <w:highlight w:val="none"/>
              </w:rPr>
            </w:pPr>
          </w:p>
          <w:p w14:paraId="25E8AB34">
            <w:pPr>
              <w:spacing w:beforeLines="0" w:afterLines="0" w:line="247" w:lineRule="auto"/>
              <w:rPr>
                <w:rFonts w:hint="default"/>
                <w:color w:val="auto"/>
                <w:sz w:val="21"/>
                <w:szCs w:val="21"/>
                <w:highlight w:val="none"/>
              </w:rPr>
            </w:pPr>
          </w:p>
          <w:p w14:paraId="78B7061E">
            <w:pPr>
              <w:spacing w:beforeLines="0" w:afterLines="0" w:line="247" w:lineRule="auto"/>
              <w:rPr>
                <w:rFonts w:hint="default"/>
                <w:color w:val="auto"/>
                <w:sz w:val="21"/>
                <w:szCs w:val="21"/>
                <w:highlight w:val="none"/>
              </w:rPr>
            </w:pPr>
          </w:p>
          <w:p w14:paraId="316ECF36">
            <w:pPr>
              <w:spacing w:beforeLines="0" w:afterLines="0" w:line="247" w:lineRule="auto"/>
              <w:rPr>
                <w:rFonts w:hint="default"/>
                <w:color w:val="auto"/>
                <w:sz w:val="21"/>
                <w:szCs w:val="21"/>
                <w:highlight w:val="none"/>
              </w:rPr>
            </w:pPr>
          </w:p>
          <w:p w14:paraId="105971D2">
            <w:pPr>
              <w:spacing w:beforeLines="0" w:afterLines="0" w:line="247" w:lineRule="auto"/>
              <w:rPr>
                <w:rFonts w:hint="default"/>
                <w:color w:val="auto"/>
                <w:sz w:val="21"/>
                <w:szCs w:val="21"/>
                <w:highlight w:val="none"/>
              </w:rPr>
            </w:pPr>
          </w:p>
          <w:p w14:paraId="1583CFAF">
            <w:pPr>
              <w:spacing w:beforeLines="0" w:afterLines="0" w:line="247" w:lineRule="auto"/>
              <w:rPr>
                <w:rFonts w:hint="default"/>
                <w:color w:val="auto"/>
                <w:sz w:val="21"/>
                <w:szCs w:val="21"/>
                <w:highlight w:val="none"/>
              </w:rPr>
            </w:pPr>
          </w:p>
          <w:p w14:paraId="3B014994">
            <w:pPr>
              <w:spacing w:beforeLines="0" w:afterLines="0" w:line="247" w:lineRule="auto"/>
              <w:rPr>
                <w:rFonts w:hint="default"/>
                <w:color w:val="auto"/>
                <w:sz w:val="21"/>
                <w:szCs w:val="21"/>
                <w:highlight w:val="none"/>
              </w:rPr>
            </w:pPr>
          </w:p>
          <w:p w14:paraId="61B985CD">
            <w:pPr>
              <w:spacing w:beforeLines="0" w:afterLines="0" w:line="247" w:lineRule="auto"/>
              <w:rPr>
                <w:rFonts w:hint="default"/>
                <w:color w:val="auto"/>
                <w:sz w:val="21"/>
                <w:szCs w:val="21"/>
                <w:highlight w:val="none"/>
              </w:rPr>
            </w:pPr>
          </w:p>
          <w:p w14:paraId="3458EB2A">
            <w:pPr>
              <w:spacing w:before="61" w:beforeLines="0" w:afterLines="0" w:line="189" w:lineRule="auto"/>
              <w:ind w:left="147"/>
              <w:rPr>
                <w:rFonts w:hint="eastAsia"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pacing w:val="-2"/>
                <w:sz w:val="21"/>
                <w:szCs w:val="21"/>
                <w:highlight w:val="none"/>
              </w:rPr>
              <w:t>3.4.1</w:t>
            </w:r>
          </w:p>
        </w:tc>
        <w:tc>
          <w:tcPr>
            <w:tcW w:w="1133" w:type="dxa"/>
            <w:gridSpan w:val="2"/>
            <w:tcBorders>
              <w:top w:val="single" w:color="000000" w:sz="2" w:space="0"/>
              <w:left w:val="single" w:color="000000" w:sz="2" w:space="0"/>
              <w:bottom w:val="single" w:color="000000" w:sz="2" w:space="0"/>
              <w:right w:val="single" w:color="000000" w:sz="2" w:space="0"/>
              <w:tl2br w:val="nil"/>
              <w:tr2bl w:val="nil"/>
            </w:tcBorders>
            <w:noWrap w:val="0"/>
            <w:vAlign w:val="top"/>
          </w:tcPr>
          <w:p w14:paraId="31F26464">
            <w:pPr>
              <w:spacing w:beforeLines="0" w:afterLines="0" w:line="245" w:lineRule="auto"/>
              <w:rPr>
                <w:rFonts w:hint="default"/>
                <w:color w:val="auto"/>
                <w:sz w:val="21"/>
                <w:szCs w:val="21"/>
                <w:highlight w:val="none"/>
              </w:rPr>
            </w:pPr>
          </w:p>
          <w:p w14:paraId="7AC0CF2D">
            <w:pPr>
              <w:spacing w:beforeLines="0" w:afterLines="0" w:line="246" w:lineRule="auto"/>
              <w:rPr>
                <w:rFonts w:hint="default"/>
                <w:color w:val="auto"/>
                <w:sz w:val="21"/>
                <w:szCs w:val="21"/>
                <w:highlight w:val="none"/>
              </w:rPr>
            </w:pPr>
          </w:p>
          <w:p w14:paraId="5EEFCE79">
            <w:pPr>
              <w:spacing w:beforeLines="0" w:afterLines="0" w:line="246" w:lineRule="auto"/>
              <w:rPr>
                <w:rFonts w:hint="default"/>
                <w:color w:val="auto"/>
                <w:sz w:val="21"/>
                <w:szCs w:val="21"/>
                <w:highlight w:val="none"/>
              </w:rPr>
            </w:pPr>
          </w:p>
          <w:p w14:paraId="4E9800D1">
            <w:pPr>
              <w:spacing w:beforeLines="0" w:afterLines="0" w:line="246" w:lineRule="auto"/>
              <w:rPr>
                <w:rFonts w:hint="default"/>
                <w:color w:val="auto"/>
                <w:sz w:val="21"/>
                <w:szCs w:val="21"/>
                <w:highlight w:val="none"/>
              </w:rPr>
            </w:pPr>
          </w:p>
          <w:p w14:paraId="302C2E93">
            <w:pPr>
              <w:spacing w:beforeLines="0" w:afterLines="0" w:line="246" w:lineRule="auto"/>
              <w:rPr>
                <w:rFonts w:hint="default"/>
                <w:color w:val="auto"/>
                <w:sz w:val="21"/>
                <w:szCs w:val="21"/>
                <w:highlight w:val="none"/>
              </w:rPr>
            </w:pPr>
          </w:p>
          <w:p w14:paraId="1FD641E0">
            <w:pPr>
              <w:spacing w:beforeLines="0" w:afterLines="0" w:line="246" w:lineRule="auto"/>
              <w:rPr>
                <w:rFonts w:hint="default"/>
                <w:color w:val="auto"/>
                <w:sz w:val="21"/>
                <w:szCs w:val="21"/>
                <w:highlight w:val="none"/>
              </w:rPr>
            </w:pPr>
          </w:p>
          <w:p w14:paraId="74B61A6A">
            <w:pPr>
              <w:spacing w:beforeLines="0" w:afterLines="0" w:line="246" w:lineRule="auto"/>
              <w:rPr>
                <w:rFonts w:hint="default"/>
                <w:color w:val="auto"/>
                <w:sz w:val="21"/>
                <w:szCs w:val="21"/>
                <w:highlight w:val="none"/>
              </w:rPr>
            </w:pPr>
          </w:p>
          <w:p w14:paraId="7FCAC5CC">
            <w:pPr>
              <w:spacing w:beforeLines="0" w:afterLines="0" w:line="246" w:lineRule="auto"/>
              <w:rPr>
                <w:rFonts w:hint="default"/>
                <w:color w:val="auto"/>
                <w:sz w:val="21"/>
                <w:szCs w:val="21"/>
                <w:highlight w:val="none"/>
              </w:rPr>
            </w:pPr>
          </w:p>
          <w:p w14:paraId="66D88296">
            <w:pPr>
              <w:pStyle w:val="11"/>
              <w:spacing w:before="68" w:beforeLines="0" w:afterLines="0" w:line="220" w:lineRule="auto"/>
              <w:ind w:left="148"/>
              <w:rPr>
                <w:rFonts w:hint="default"/>
                <w:color w:val="auto"/>
                <w:sz w:val="21"/>
                <w:szCs w:val="21"/>
                <w:highlight w:val="none"/>
              </w:rPr>
            </w:pPr>
            <w:r>
              <w:rPr>
                <w:rFonts w:hint="default"/>
                <w:color w:val="auto"/>
                <w:spacing w:val="-1"/>
                <w:sz w:val="21"/>
                <w:szCs w:val="21"/>
                <w:highlight w:val="none"/>
              </w:rPr>
              <w:t>推荐中标</w:t>
            </w:r>
          </w:p>
          <w:p w14:paraId="073DDD93">
            <w:pPr>
              <w:pStyle w:val="11"/>
              <w:spacing w:before="172" w:beforeLines="0" w:afterLines="0" w:line="221" w:lineRule="auto"/>
              <w:ind w:left="254"/>
              <w:rPr>
                <w:rFonts w:hint="default"/>
                <w:color w:val="auto"/>
                <w:sz w:val="21"/>
                <w:szCs w:val="21"/>
                <w:highlight w:val="none"/>
              </w:rPr>
            </w:pPr>
            <w:r>
              <w:rPr>
                <w:rFonts w:hint="default"/>
                <w:color w:val="auto"/>
                <w:spacing w:val="-2"/>
                <w:sz w:val="21"/>
                <w:szCs w:val="21"/>
                <w:highlight w:val="none"/>
              </w:rPr>
              <w:t>候选人</w:t>
            </w:r>
          </w:p>
        </w:tc>
        <w:tc>
          <w:tcPr>
            <w:tcW w:w="7097" w:type="dxa"/>
            <w:gridSpan w:val="3"/>
            <w:tcBorders>
              <w:top w:val="single" w:color="000000" w:sz="2" w:space="0"/>
              <w:left w:val="single" w:color="000000" w:sz="2" w:space="0"/>
              <w:bottom w:val="single" w:color="000000" w:sz="2" w:space="0"/>
              <w:right w:val="single" w:color="000000" w:sz="2" w:space="0"/>
              <w:tl2br w:val="nil"/>
              <w:tr2bl w:val="nil"/>
            </w:tcBorders>
            <w:noWrap w:val="0"/>
            <w:vAlign w:val="top"/>
          </w:tcPr>
          <w:p w14:paraId="207F7C21">
            <w:pPr>
              <w:pStyle w:val="11"/>
              <w:spacing w:before="162" w:beforeLines="0" w:afterLines="0" w:line="369" w:lineRule="auto"/>
              <w:ind w:left="109" w:right="111" w:firstLine="428"/>
              <w:rPr>
                <w:rFonts w:hint="default"/>
                <w:color w:val="auto"/>
                <w:sz w:val="21"/>
                <w:szCs w:val="21"/>
                <w:highlight w:val="none"/>
              </w:rPr>
            </w:pPr>
            <w:r>
              <w:rPr>
                <w:rFonts w:hint="default"/>
                <w:color w:val="auto"/>
                <w:spacing w:val="-1"/>
                <w:sz w:val="21"/>
                <w:szCs w:val="21"/>
                <w:highlight w:val="none"/>
              </w:rPr>
              <w:t>（</w:t>
            </w:r>
            <w:r>
              <w:rPr>
                <w:rFonts w:hint="eastAsia" w:ascii="Times New Roman" w:hAnsi="Times New Roman" w:eastAsia="Times New Roman" w:cs="Times New Roman"/>
                <w:color w:val="auto"/>
                <w:spacing w:val="-1"/>
                <w:sz w:val="21"/>
                <w:szCs w:val="21"/>
                <w:highlight w:val="none"/>
              </w:rPr>
              <w:t>1</w:t>
            </w:r>
            <w:r>
              <w:rPr>
                <w:rFonts w:hint="default"/>
                <w:color w:val="auto"/>
                <w:spacing w:val="-1"/>
                <w:sz w:val="21"/>
                <w:szCs w:val="21"/>
                <w:highlight w:val="none"/>
              </w:rPr>
              <w:t>）评标委员会向招标人推荐不超过</w:t>
            </w:r>
            <w:r>
              <w:rPr>
                <w:rFonts w:hint="default"/>
                <w:color w:val="auto"/>
                <w:spacing w:val="-104"/>
                <w:sz w:val="21"/>
                <w:szCs w:val="21"/>
                <w:highlight w:val="none"/>
              </w:rPr>
              <w:t xml:space="preserve"> </w:t>
            </w:r>
            <w:r>
              <w:rPr>
                <w:rFonts w:hint="default"/>
                <w:color w:val="auto"/>
                <w:spacing w:val="12"/>
                <w:sz w:val="21"/>
                <w:szCs w:val="21"/>
                <w:highlight w:val="none"/>
                <w:u w:val="single" w:color="auto"/>
              </w:rPr>
              <w:t xml:space="preserve"> </w:t>
            </w:r>
            <w:r>
              <w:rPr>
                <w:rFonts w:hint="default"/>
                <w:color w:val="auto"/>
                <w:spacing w:val="12"/>
                <w:sz w:val="21"/>
                <w:szCs w:val="21"/>
                <w:highlight w:val="none"/>
                <w:u w:val="single" w:color="auto"/>
                <w:lang w:eastAsia="zh-CN"/>
              </w:rPr>
              <w:t>3</w:t>
            </w:r>
            <w:r>
              <w:rPr>
                <w:rFonts w:hint="default"/>
                <w:color w:val="auto"/>
                <w:spacing w:val="-1"/>
                <w:sz w:val="21"/>
                <w:szCs w:val="21"/>
                <w:highlight w:val="none"/>
              </w:rPr>
              <w:t>家合格的中标候选人，且对</w:t>
            </w:r>
            <w:r>
              <w:rPr>
                <w:rFonts w:hint="default"/>
                <w:color w:val="auto"/>
                <w:sz w:val="21"/>
                <w:szCs w:val="21"/>
                <w:highlight w:val="none"/>
              </w:rPr>
              <w:t xml:space="preserve"> </w:t>
            </w:r>
            <w:r>
              <w:rPr>
                <w:rFonts w:hint="default"/>
                <w:color w:val="auto"/>
                <w:spacing w:val="5"/>
                <w:sz w:val="21"/>
                <w:szCs w:val="21"/>
                <w:highlight w:val="none"/>
              </w:rPr>
              <w:t>每个中标候选人的技术咨询建议、优势、不足、</w:t>
            </w:r>
            <w:r>
              <w:rPr>
                <w:rFonts w:hint="default"/>
                <w:color w:val="auto"/>
                <w:spacing w:val="4"/>
                <w:sz w:val="21"/>
                <w:szCs w:val="21"/>
                <w:highlight w:val="none"/>
              </w:rPr>
              <w:t>风险等情况进行说明，提</w:t>
            </w:r>
          </w:p>
          <w:p w14:paraId="157F7ABD">
            <w:pPr>
              <w:pStyle w:val="11"/>
              <w:spacing w:beforeLines="0" w:afterLines="0" w:line="219" w:lineRule="auto"/>
              <w:ind w:left="128"/>
              <w:rPr>
                <w:rFonts w:hint="default"/>
                <w:color w:val="auto"/>
                <w:sz w:val="21"/>
                <w:szCs w:val="21"/>
                <w:highlight w:val="none"/>
              </w:rPr>
            </w:pPr>
            <w:r>
              <w:rPr>
                <w:rFonts w:hint="default"/>
                <w:color w:val="auto"/>
                <w:spacing w:val="-5"/>
                <w:sz w:val="21"/>
                <w:szCs w:val="21"/>
                <w:highlight w:val="none"/>
              </w:rPr>
              <w:t>出推荐意见和建议。</w:t>
            </w:r>
          </w:p>
          <w:p w14:paraId="010C3767">
            <w:pPr>
              <w:pStyle w:val="11"/>
              <w:spacing w:before="164" w:beforeLines="0" w:afterLines="0" w:line="370" w:lineRule="auto"/>
              <w:ind w:left="109" w:right="104" w:firstLine="429"/>
              <w:rPr>
                <w:rFonts w:hint="default"/>
                <w:color w:val="auto"/>
                <w:sz w:val="21"/>
                <w:szCs w:val="21"/>
                <w:highlight w:val="none"/>
              </w:rPr>
            </w:pPr>
            <w:r>
              <w:rPr>
                <w:rFonts w:hint="default"/>
                <w:color w:val="auto"/>
                <w:spacing w:val="1"/>
                <w:sz w:val="21"/>
                <w:szCs w:val="21"/>
                <w:highlight w:val="none"/>
              </w:rPr>
              <w:t>（</w:t>
            </w:r>
            <w:r>
              <w:rPr>
                <w:rFonts w:hint="eastAsia" w:ascii="Times New Roman" w:hAnsi="Times New Roman" w:eastAsia="Times New Roman" w:cs="Times New Roman"/>
                <w:color w:val="auto"/>
                <w:spacing w:val="1"/>
                <w:sz w:val="21"/>
                <w:szCs w:val="21"/>
                <w:highlight w:val="none"/>
              </w:rPr>
              <w:t>2</w:t>
            </w:r>
            <w:r>
              <w:rPr>
                <w:rFonts w:hint="default"/>
                <w:color w:val="auto"/>
                <w:spacing w:val="1"/>
                <w:sz w:val="21"/>
                <w:szCs w:val="21"/>
                <w:highlight w:val="none"/>
              </w:rPr>
              <w:t>）除评标办法前附表规定采用技术标或综合性入围方式的（按前附</w:t>
            </w:r>
            <w:r>
              <w:rPr>
                <w:rFonts w:hint="default"/>
                <w:color w:val="auto"/>
                <w:sz w:val="21"/>
                <w:szCs w:val="21"/>
                <w:highlight w:val="none"/>
              </w:rPr>
              <w:t xml:space="preserve"> </w:t>
            </w:r>
            <w:r>
              <w:rPr>
                <w:rFonts w:hint="default"/>
                <w:color w:val="auto"/>
                <w:spacing w:val="4"/>
                <w:sz w:val="21"/>
                <w:szCs w:val="21"/>
                <w:highlight w:val="none"/>
              </w:rPr>
              <w:t>表设定规则计算最终得分和排序</w:t>
            </w:r>
            <w:r>
              <w:rPr>
                <w:rFonts w:hint="default"/>
                <w:color w:val="auto"/>
                <w:spacing w:val="-36"/>
                <w:sz w:val="21"/>
                <w:szCs w:val="21"/>
                <w:highlight w:val="none"/>
              </w:rPr>
              <w:t>），</w:t>
            </w:r>
            <w:r>
              <w:rPr>
                <w:rFonts w:hint="default"/>
                <w:color w:val="auto"/>
                <w:spacing w:val="4"/>
                <w:sz w:val="21"/>
                <w:szCs w:val="21"/>
                <w:highlight w:val="none"/>
              </w:rPr>
              <w:t>最终得分计算和排序方法按照经济标+</w:t>
            </w:r>
            <w:r>
              <w:rPr>
                <w:rFonts w:hint="default"/>
                <w:color w:val="auto"/>
                <w:sz w:val="21"/>
                <w:szCs w:val="21"/>
                <w:highlight w:val="none"/>
              </w:rPr>
              <w:t xml:space="preserve"> </w:t>
            </w:r>
            <w:r>
              <w:rPr>
                <w:rFonts w:hint="default"/>
                <w:color w:val="auto"/>
                <w:spacing w:val="5"/>
                <w:sz w:val="21"/>
                <w:szCs w:val="21"/>
                <w:highlight w:val="none"/>
              </w:rPr>
              <w:t>技术标+资信标+其他评审汇总得分排序，并按得</w:t>
            </w:r>
            <w:r>
              <w:rPr>
                <w:rFonts w:hint="default"/>
                <w:color w:val="auto"/>
                <w:spacing w:val="4"/>
                <w:sz w:val="21"/>
                <w:szCs w:val="21"/>
                <w:highlight w:val="none"/>
              </w:rPr>
              <w:t>分由高到低顺序推荐中标</w:t>
            </w:r>
            <w:r>
              <w:rPr>
                <w:rFonts w:hint="default"/>
                <w:color w:val="auto"/>
                <w:sz w:val="21"/>
                <w:szCs w:val="21"/>
                <w:highlight w:val="none"/>
              </w:rPr>
              <w:t xml:space="preserve"> </w:t>
            </w:r>
            <w:r>
              <w:rPr>
                <w:rFonts w:hint="default"/>
                <w:color w:val="auto"/>
                <w:spacing w:val="5"/>
                <w:sz w:val="21"/>
                <w:szCs w:val="21"/>
                <w:highlight w:val="none"/>
              </w:rPr>
              <w:t>候选人，或根据招标人授权直接确定中标人，但投</w:t>
            </w:r>
            <w:r>
              <w:rPr>
                <w:rFonts w:hint="default"/>
                <w:color w:val="auto"/>
                <w:spacing w:val="4"/>
                <w:sz w:val="21"/>
                <w:szCs w:val="21"/>
                <w:highlight w:val="none"/>
              </w:rPr>
              <w:t>标报价低于其成本的除</w:t>
            </w:r>
            <w:r>
              <w:rPr>
                <w:rFonts w:hint="default"/>
                <w:color w:val="auto"/>
                <w:sz w:val="21"/>
                <w:szCs w:val="21"/>
                <w:highlight w:val="none"/>
              </w:rPr>
              <w:t xml:space="preserve"> </w:t>
            </w:r>
            <w:r>
              <w:rPr>
                <w:rFonts w:hint="default"/>
                <w:color w:val="auto"/>
                <w:spacing w:val="-4"/>
                <w:sz w:val="21"/>
                <w:szCs w:val="21"/>
                <w:highlight w:val="none"/>
              </w:rPr>
              <w:t>外。综合评分相等时，</w:t>
            </w:r>
            <w:r>
              <w:rPr>
                <w:rFonts w:hint="default"/>
                <w:color w:val="auto"/>
                <w:spacing w:val="60"/>
                <w:sz w:val="21"/>
                <w:szCs w:val="21"/>
                <w:highlight w:val="none"/>
              </w:rPr>
              <w:t xml:space="preserve"> </w:t>
            </w:r>
            <w:r>
              <w:rPr>
                <w:rFonts w:hint="default"/>
                <w:color w:val="auto"/>
                <w:spacing w:val="-4"/>
                <w:sz w:val="21"/>
                <w:szCs w:val="21"/>
                <w:highlight w:val="none"/>
              </w:rPr>
              <w:t>依次按下列因素排序</w:t>
            </w:r>
            <w:r>
              <w:rPr>
                <w:rFonts w:hint="default"/>
                <w:color w:val="auto"/>
                <w:spacing w:val="-57"/>
                <w:sz w:val="21"/>
                <w:szCs w:val="21"/>
                <w:highlight w:val="none"/>
              </w:rPr>
              <w:t>：（</w:t>
            </w:r>
            <w:r>
              <w:rPr>
                <w:rFonts w:hint="default"/>
                <w:color w:val="auto"/>
                <w:spacing w:val="-4"/>
                <w:sz w:val="21"/>
                <w:szCs w:val="21"/>
                <w:highlight w:val="none"/>
              </w:rPr>
              <w:t>1）投标报价由低到高（2）</w:t>
            </w:r>
            <w:r>
              <w:rPr>
                <w:rFonts w:hint="default"/>
                <w:color w:val="auto"/>
                <w:sz w:val="21"/>
                <w:szCs w:val="21"/>
                <w:highlight w:val="none"/>
              </w:rPr>
              <w:t xml:space="preserve"> </w:t>
            </w:r>
            <w:r>
              <w:rPr>
                <w:rFonts w:hint="default"/>
                <w:color w:val="auto"/>
                <w:spacing w:val="5"/>
                <w:sz w:val="21"/>
                <w:szCs w:val="21"/>
                <w:highlight w:val="none"/>
              </w:rPr>
              <w:t>施工组织设计得分由高到低（3）资信业绩得分由高到</w:t>
            </w:r>
            <w:r>
              <w:rPr>
                <w:rFonts w:hint="default"/>
                <w:color w:val="auto"/>
                <w:spacing w:val="4"/>
                <w:sz w:val="21"/>
                <w:szCs w:val="21"/>
                <w:highlight w:val="none"/>
              </w:rPr>
              <w:t>低（4）其他因素得</w:t>
            </w:r>
            <w:r>
              <w:rPr>
                <w:rFonts w:hint="default"/>
                <w:color w:val="auto"/>
                <w:sz w:val="21"/>
                <w:szCs w:val="21"/>
                <w:highlight w:val="none"/>
              </w:rPr>
              <w:t xml:space="preserve"> </w:t>
            </w:r>
            <w:r>
              <w:rPr>
                <w:rFonts w:hint="default"/>
                <w:color w:val="auto"/>
                <w:spacing w:val="3"/>
                <w:sz w:val="21"/>
                <w:szCs w:val="21"/>
                <w:highlight w:val="none"/>
              </w:rPr>
              <w:t>分由高到低；上述因素仍不能排定顺序的，</w:t>
            </w:r>
            <w:r>
              <w:rPr>
                <w:rFonts w:hint="default"/>
                <w:color w:val="auto"/>
                <w:spacing w:val="-51"/>
                <w:sz w:val="21"/>
                <w:szCs w:val="21"/>
                <w:highlight w:val="none"/>
              </w:rPr>
              <w:t xml:space="preserve"> </w:t>
            </w:r>
            <w:r>
              <w:rPr>
                <w:rFonts w:hint="default"/>
                <w:color w:val="auto"/>
                <w:spacing w:val="3"/>
                <w:sz w:val="21"/>
                <w:szCs w:val="21"/>
                <w:highlight w:val="none"/>
              </w:rPr>
              <w:t>由招标人或者招标人授权的评</w:t>
            </w:r>
          </w:p>
          <w:p w14:paraId="3A2D77DD">
            <w:pPr>
              <w:pStyle w:val="11"/>
              <w:spacing w:before="1" w:beforeLines="0" w:afterLines="0" w:line="219" w:lineRule="auto"/>
              <w:ind w:left="110"/>
              <w:rPr>
                <w:rFonts w:hint="default"/>
                <w:color w:val="auto"/>
                <w:sz w:val="21"/>
                <w:szCs w:val="21"/>
                <w:highlight w:val="none"/>
              </w:rPr>
            </w:pPr>
            <w:r>
              <w:rPr>
                <w:rFonts w:hint="default"/>
                <w:color w:val="auto"/>
                <w:spacing w:val="-3"/>
                <w:sz w:val="21"/>
                <w:szCs w:val="21"/>
                <w:highlight w:val="none"/>
              </w:rPr>
              <w:t>标委员会自行确定。</w:t>
            </w:r>
          </w:p>
        </w:tc>
      </w:tr>
    </w:tbl>
    <w:p w14:paraId="00907347">
      <w:pPr>
        <w:spacing w:beforeLines="0" w:afterLines="0"/>
        <w:rPr>
          <w:rFonts w:hint="default"/>
          <w:color w:val="auto"/>
          <w:sz w:val="21"/>
          <w:szCs w:val="21"/>
          <w:highlight w:val="none"/>
        </w:rPr>
        <w:sectPr>
          <w:footerReference r:id="rId48" w:type="default"/>
          <w:pgSz w:w="11905" w:h="16839"/>
          <w:pgMar w:top="1431" w:right="1474" w:bottom="996" w:left="1483" w:header="0" w:footer="791" w:gutter="0"/>
          <w:lnNumType w:countBy="0" w:distance="360"/>
          <w:pgNumType w:fmt="decimal"/>
          <w:cols w:space="720" w:num="1"/>
        </w:sectPr>
      </w:pPr>
    </w:p>
    <w:p w14:paraId="3C2DA6F2">
      <w:pPr>
        <w:spacing w:before="86" w:line="499" w:lineRule="exact"/>
        <w:ind w:left="19"/>
        <w:outlineLvl w:val="1"/>
        <w:rPr>
          <w:rFonts w:ascii="黑体" w:hAnsi="黑体" w:eastAsia="黑体" w:cs="黑体"/>
          <w:color w:val="auto"/>
          <w:sz w:val="27"/>
          <w:szCs w:val="27"/>
          <w:highlight w:val="none"/>
        </w:rPr>
      </w:pPr>
      <w:r>
        <w:rPr>
          <w:rFonts w:ascii="黑体" w:hAnsi="黑体" w:eastAsia="黑体" w:cs="黑体"/>
          <w:color w:val="auto"/>
          <w:spacing w:val="8"/>
          <w:position w:val="16"/>
          <w:sz w:val="27"/>
          <w:szCs w:val="27"/>
          <w:highlight w:val="none"/>
        </w:rPr>
        <w:t>评标办法正文部分</w:t>
      </w:r>
    </w:p>
    <w:p w14:paraId="3B889E03">
      <w:pPr>
        <w:spacing w:before="1" w:line="223" w:lineRule="auto"/>
        <w:ind w:left="42"/>
        <w:rPr>
          <w:rFonts w:ascii="黑体" w:hAnsi="黑体" w:eastAsia="黑体" w:cs="黑体"/>
          <w:color w:val="auto"/>
          <w:sz w:val="27"/>
          <w:szCs w:val="27"/>
          <w:highlight w:val="none"/>
        </w:rPr>
      </w:pPr>
      <w:r>
        <w:rPr>
          <w:rFonts w:ascii="Times New Roman" w:hAnsi="Times New Roman" w:eastAsia="Times New Roman" w:cs="Times New Roman"/>
          <w:color w:val="auto"/>
          <w:spacing w:val="-1"/>
          <w:sz w:val="27"/>
          <w:szCs w:val="27"/>
          <w:highlight w:val="none"/>
        </w:rPr>
        <w:t>1.</w:t>
      </w:r>
      <w:r>
        <w:rPr>
          <w:rFonts w:ascii="Times New Roman" w:hAnsi="Times New Roman" w:eastAsia="Times New Roman" w:cs="Times New Roman"/>
          <w:color w:val="auto"/>
          <w:spacing w:val="19"/>
          <w:w w:val="101"/>
          <w:sz w:val="27"/>
          <w:szCs w:val="27"/>
          <w:highlight w:val="none"/>
        </w:rPr>
        <w:t xml:space="preserve"> </w:t>
      </w:r>
      <w:r>
        <w:rPr>
          <w:rFonts w:ascii="黑体" w:hAnsi="黑体" w:eastAsia="黑体" w:cs="黑体"/>
          <w:color w:val="auto"/>
          <w:spacing w:val="-1"/>
          <w:sz w:val="27"/>
          <w:szCs w:val="27"/>
          <w:highlight w:val="none"/>
        </w:rPr>
        <w:t>评标方法</w:t>
      </w:r>
    </w:p>
    <w:p w14:paraId="1728CF41">
      <w:pPr>
        <w:spacing w:before="119" w:line="379" w:lineRule="exact"/>
        <w:ind w:right="6"/>
        <w:jc w:val="right"/>
        <w:rPr>
          <w:rFonts w:ascii="宋体" w:hAnsi="宋体" w:eastAsia="宋体" w:cs="宋体"/>
          <w:color w:val="auto"/>
          <w:sz w:val="21"/>
          <w:szCs w:val="21"/>
          <w:highlight w:val="none"/>
        </w:rPr>
      </w:pPr>
      <w:r>
        <w:rPr>
          <w:rFonts w:ascii="宋体" w:hAnsi="宋体" w:eastAsia="宋体" w:cs="宋体"/>
          <w:color w:val="auto"/>
          <w:position w:val="12"/>
          <w:sz w:val="21"/>
          <w:szCs w:val="21"/>
          <w:highlight w:val="none"/>
        </w:rPr>
        <w:t>本次评标采用综合评估法。评标委员会对满足招标文件实质性要求的投标文件， 按照</w:t>
      </w:r>
    </w:p>
    <w:p w14:paraId="0407758D">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本章第</w:t>
      </w:r>
      <w:r>
        <w:rPr>
          <w:rFonts w:ascii="宋体" w:hAnsi="宋体" w:eastAsia="宋体" w:cs="宋体"/>
          <w:color w:val="auto"/>
          <w:spacing w:val="-29"/>
          <w:sz w:val="21"/>
          <w:szCs w:val="21"/>
          <w:highlight w:val="none"/>
        </w:rPr>
        <w:t xml:space="preserve"> </w:t>
      </w:r>
      <w:r>
        <w:rPr>
          <w:rFonts w:ascii="Times New Roman" w:hAnsi="Times New Roman" w:eastAsia="Times New Roman" w:cs="Times New Roman"/>
          <w:color w:val="auto"/>
          <w:spacing w:val="-1"/>
          <w:sz w:val="21"/>
          <w:szCs w:val="21"/>
          <w:highlight w:val="none"/>
        </w:rPr>
        <w:t xml:space="preserve">2.2 </w:t>
      </w:r>
      <w:r>
        <w:rPr>
          <w:rFonts w:ascii="宋体" w:hAnsi="宋体" w:eastAsia="宋体" w:cs="宋体"/>
          <w:color w:val="auto"/>
          <w:spacing w:val="-1"/>
          <w:sz w:val="21"/>
          <w:szCs w:val="21"/>
          <w:highlight w:val="none"/>
        </w:rPr>
        <w:t>款规定的评分标准进行打分，并按评标办法前附表的规定推荐中标候选人。</w:t>
      </w:r>
    </w:p>
    <w:p w14:paraId="5DC5700E">
      <w:pPr>
        <w:spacing w:before="186" w:line="225" w:lineRule="auto"/>
        <w:ind w:left="15"/>
        <w:rPr>
          <w:rFonts w:ascii="黑体" w:hAnsi="黑体" w:eastAsia="黑体" w:cs="黑体"/>
          <w:color w:val="auto"/>
          <w:sz w:val="27"/>
          <w:szCs w:val="27"/>
          <w:highlight w:val="none"/>
        </w:rPr>
      </w:pPr>
      <w:r>
        <w:rPr>
          <w:rFonts w:ascii="Times New Roman" w:hAnsi="Times New Roman" w:eastAsia="Times New Roman" w:cs="Times New Roman"/>
          <w:color w:val="auto"/>
          <w:spacing w:val="4"/>
          <w:sz w:val="27"/>
          <w:szCs w:val="27"/>
          <w:highlight w:val="none"/>
        </w:rPr>
        <w:t>2.</w:t>
      </w:r>
      <w:r>
        <w:rPr>
          <w:rFonts w:ascii="Times New Roman" w:hAnsi="Times New Roman" w:eastAsia="Times New Roman" w:cs="Times New Roman"/>
          <w:color w:val="auto"/>
          <w:spacing w:val="17"/>
          <w:sz w:val="27"/>
          <w:szCs w:val="27"/>
          <w:highlight w:val="none"/>
        </w:rPr>
        <w:t xml:space="preserve"> </w:t>
      </w:r>
      <w:r>
        <w:rPr>
          <w:rFonts w:ascii="黑体" w:hAnsi="黑体" w:eastAsia="黑体" w:cs="黑体"/>
          <w:color w:val="auto"/>
          <w:spacing w:val="4"/>
          <w:sz w:val="27"/>
          <w:szCs w:val="27"/>
          <w:highlight w:val="none"/>
        </w:rPr>
        <w:t>评审标准</w:t>
      </w:r>
    </w:p>
    <w:p w14:paraId="5FD50535">
      <w:pPr>
        <w:spacing w:before="107" w:line="219" w:lineRule="auto"/>
        <w:ind w:left="15"/>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 xml:space="preserve">2.1 </w:t>
      </w:r>
      <w:r>
        <w:rPr>
          <w:rFonts w:ascii="黑体" w:hAnsi="黑体" w:eastAsia="黑体" w:cs="黑体"/>
          <w:color w:val="auto"/>
          <w:sz w:val="24"/>
          <w:szCs w:val="24"/>
          <w:highlight w:val="none"/>
        </w:rPr>
        <w:t>初步评审标准</w:t>
      </w:r>
    </w:p>
    <w:p w14:paraId="6005B42D">
      <w:pPr>
        <w:spacing w:before="119" w:line="220"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2.1.1</w:t>
      </w:r>
      <w:r>
        <w:rPr>
          <w:rFonts w:ascii="Times New Roman" w:hAnsi="Times New Roman" w:eastAsia="Times New Roman" w:cs="Times New Roman"/>
          <w:color w:val="auto"/>
          <w:spacing w:val="27"/>
          <w:w w:val="101"/>
          <w:sz w:val="21"/>
          <w:szCs w:val="21"/>
          <w:highlight w:val="none"/>
        </w:rPr>
        <w:t xml:space="preserve"> </w:t>
      </w:r>
      <w:r>
        <w:rPr>
          <w:rFonts w:ascii="宋体" w:hAnsi="宋体" w:eastAsia="宋体" w:cs="宋体"/>
          <w:color w:val="auto"/>
          <w:spacing w:val="-6"/>
          <w:sz w:val="21"/>
          <w:szCs w:val="21"/>
          <w:highlight w:val="none"/>
        </w:rPr>
        <w:t>形式评审标准： 见评标办法前附表。</w:t>
      </w:r>
    </w:p>
    <w:p w14:paraId="5CF86142">
      <w:pPr>
        <w:spacing w:before="135" w:line="220"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2.1.2</w:t>
      </w:r>
      <w:r>
        <w:rPr>
          <w:rFonts w:ascii="Times New Roman" w:hAnsi="Times New Roman" w:eastAsia="Times New Roman" w:cs="Times New Roman"/>
          <w:color w:val="auto"/>
          <w:spacing w:val="27"/>
          <w:w w:val="101"/>
          <w:sz w:val="21"/>
          <w:szCs w:val="21"/>
          <w:highlight w:val="none"/>
        </w:rPr>
        <w:t xml:space="preserve"> </w:t>
      </w:r>
      <w:r>
        <w:rPr>
          <w:rFonts w:ascii="宋体" w:hAnsi="宋体" w:eastAsia="宋体" w:cs="宋体"/>
          <w:color w:val="auto"/>
          <w:spacing w:val="-6"/>
          <w:sz w:val="21"/>
          <w:szCs w:val="21"/>
          <w:highlight w:val="none"/>
        </w:rPr>
        <w:t>资格评审标准： 见评标办法前附表。</w:t>
      </w:r>
    </w:p>
    <w:p w14:paraId="393F87A3">
      <w:pPr>
        <w:spacing w:before="129" w:line="220"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2.1.3</w:t>
      </w:r>
      <w:r>
        <w:rPr>
          <w:rFonts w:ascii="Times New Roman" w:hAnsi="Times New Roman" w:eastAsia="Times New Roman" w:cs="Times New Roman"/>
          <w:color w:val="auto"/>
          <w:spacing w:val="27"/>
          <w:w w:val="101"/>
          <w:sz w:val="21"/>
          <w:szCs w:val="21"/>
          <w:highlight w:val="none"/>
        </w:rPr>
        <w:t xml:space="preserve"> </w:t>
      </w:r>
      <w:r>
        <w:rPr>
          <w:rFonts w:ascii="宋体" w:hAnsi="宋体" w:eastAsia="宋体" w:cs="宋体"/>
          <w:color w:val="auto"/>
          <w:spacing w:val="-2"/>
          <w:sz w:val="21"/>
          <w:szCs w:val="21"/>
          <w:highlight w:val="none"/>
        </w:rPr>
        <w:t>响应性评审标准：见评标办法前附表。</w:t>
      </w:r>
    </w:p>
    <w:p w14:paraId="340F10A0">
      <w:pPr>
        <w:spacing w:before="123" w:line="219" w:lineRule="auto"/>
        <w:ind w:left="15"/>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2.2</w:t>
      </w:r>
      <w:r>
        <w:rPr>
          <w:rFonts w:ascii="Times New Roman" w:hAnsi="Times New Roman" w:eastAsia="Times New Roman" w:cs="Times New Roman"/>
          <w:color w:val="auto"/>
          <w:spacing w:val="24"/>
          <w:w w:val="101"/>
          <w:sz w:val="24"/>
          <w:szCs w:val="24"/>
          <w:highlight w:val="none"/>
        </w:rPr>
        <w:t xml:space="preserve"> </w:t>
      </w:r>
      <w:r>
        <w:rPr>
          <w:rFonts w:ascii="黑体" w:hAnsi="黑体" w:eastAsia="黑体" w:cs="黑体"/>
          <w:color w:val="auto"/>
          <w:spacing w:val="-2"/>
          <w:sz w:val="24"/>
          <w:szCs w:val="24"/>
          <w:highlight w:val="none"/>
        </w:rPr>
        <w:t>分值构成与评分标准</w:t>
      </w:r>
    </w:p>
    <w:p w14:paraId="0FE7AFDB">
      <w:pPr>
        <w:spacing w:before="138" w:line="221" w:lineRule="auto"/>
        <w:ind w:left="437"/>
        <w:rPr>
          <w:rFonts w:ascii="黑体" w:hAnsi="黑体" w:eastAsia="黑体" w:cs="黑体"/>
          <w:color w:val="auto"/>
          <w:sz w:val="21"/>
          <w:szCs w:val="21"/>
          <w:highlight w:val="none"/>
        </w:rPr>
      </w:pPr>
      <w:r>
        <w:rPr>
          <w:rFonts w:ascii="Times New Roman" w:hAnsi="Times New Roman" w:eastAsia="Times New Roman" w:cs="Times New Roman"/>
          <w:color w:val="auto"/>
          <w:spacing w:val="-2"/>
          <w:sz w:val="21"/>
          <w:szCs w:val="21"/>
          <w:highlight w:val="none"/>
        </w:rPr>
        <w:t>2.2.1</w:t>
      </w:r>
      <w:r>
        <w:rPr>
          <w:rFonts w:ascii="Times New Roman" w:hAnsi="Times New Roman" w:eastAsia="Times New Roman" w:cs="Times New Roman"/>
          <w:color w:val="auto"/>
          <w:spacing w:val="18"/>
          <w:w w:val="101"/>
          <w:sz w:val="21"/>
          <w:szCs w:val="21"/>
          <w:highlight w:val="none"/>
        </w:rPr>
        <w:t xml:space="preserve"> </w:t>
      </w:r>
      <w:r>
        <w:rPr>
          <w:rFonts w:ascii="黑体" w:hAnsi="黑体" w:eastAsia="黑体" w:cs="黑体"/>
          <w:color w:val="auto"/>
          <w:spacing w:val="-2"/>
          <w:sz w:val="21"/>
          <w:szCs w:val="21"/>
          <w:highlight w:val="none"/>
        </w:rPr>
        <w:t>分值构成</w:t>
      </w:r>
    </w:p>
    <w:p w14:paraId="2253859B">
      <w:pPr>
        <w:spacing w:before="134" w:line="219"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1</w:t>
      </w:r>
      <w:r>
        <w:rPr>
          <w:rFonts w:ascii="宋体" w:hAnsi="宋体" w:eastAsia="宋体" w:cs="宋体"/>
          <w:color w:val="auto"/>
          <w:spacing w:val="-5"/>
          <w:sz w:val="21"/>
          <w:szCs w:val="21"/>
          <w:highlight w:val="none"/>
        </w:rPr>
        <w:t>）投标报价（经济标</w:t>
      </w:r>
      <w:r>
        <w:rPr>
          <w:rFonts w:ascii="宋体" w:hAnsi="宋体" w:eastAsia="宋体" w:cs="宋体"/>
          <w:color w:val="auto"/>
          <w:spacing w:val="-27"/>
          <w:sz w:val="21"/>
          <w:szCs w:val="21"/>
          <w:highlight w:val="none"/>
        </w:rPr>
        <w:t>）：</w:t>
      </w:r>
      <w:r>
        <w:rPr>
          <w:rFonts w:ascii="宋体" w:hAnsi="宋体" w:eastAsia="宋体" w:cs="宋体"/>
          <w:color w:val="auto"/>
          <w:spacing w:val="-5"/>
          <w:sz w:val="21"/>
          <w:szCs w:val="21"/>
          <w:highlight w:val="none"/>
        </w:rPr>
        <w:t>见评标办法前附表；</w:t>
      </w:r>
    </w:p>
    <w:p w14:paraId="55E903EC">
      <w:pPr>
        <w:spacing w:before="129" w:line="277" w:lineRule="auto"/>
        <w:ind w:left="447" w:right="3116"/>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w:t>
      </w:r>
      <w:r>
        <w:rPr>
          <w:rFonts w:ascii="Times New Roman" w:hAnsi="Times New Roman" w:eastAsia="Times New Roman" w:cs="Times New Roman"/>
          <w:color w:val="auto"/>
          <w:spacing w:val="-7"/>
          <w:sz w:val="21"/>
          <w:szCs w:val="21"/>
          <w:highlight w:val="none"/>
        </w:rPr>
        <w:t>2</w:t>
      </w:r>
      <w:r>
        <w:rPr>
          <w:rFonts w:ascii="宋体" w:hAnsi="宋体" w:eastAsia="宋体" w:cs="宋体"/>
          <w:color w:val="auto"/>
          <w:spacing w:val="-7"/>
          <w:sz w:val="21"/>
          <w:szCs w:val="21"/>
          <w:highlight w:val="none"/>
        </w:rPr>
        <w:t>）施工组织设计（技术标）：见评标办法前附表；</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3</w:t>
      </w:r>
      <w:r>
        <w:rPr>
          <w:rFonts w:ascii="宋体" w:hAnsi="宋体" w:eastAsia="宋体" w:cs="宋体"/>
          <w:color w:val="auto"/>
          <w:spacing w:val="-3"/>
          <w:sz w:val="21"/>
          <w:szCs w:val="21"/>
          <w:highlight w:val="none"/>
        </w:rPr>
        <w:t>）资信业绩：见评标办法前附表；</w:t>
      </w:r>
    </w:p>
    <w:p w14:paraId="70A21C19">
      <w:pPr>
        <w:spacing w:before="129"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4</w:t>
      </w:r>
      <w:r>
        <w:rPr>
          <w:rFonts w:ascii="宋体" w:hAnsi="宋体" w:eastAsia="宋体" w:cs="宋体"/>
          <w:color w:val="auto"/>
          <w:spacing w:val="-2"/>
          <w:sz w:val="21"/>
          <w:szCs w:val="21"/>
          <w:highlight w:val="none"/>
        </w:rPr>
        <w:t>）其他因素：见评标办法前附表。</w:t>
      </w:r>
    </w:p>
    <w:p w14:paraId="58A583DC">
      <w:pPr>
        <w:spacing w:before="148" w:line="220" w:lineRule="auto"/>
        <w:ind w:left="437"/>
        <w:rPr>
          <w:rFonts w:ascii="黑体" w:hAnsi="黑体" w:eastAsia="黑体" w:cs="黑体"/>
          <w:color w:val="auto"/>
          <w:sz w:val="21"/>
          <w:szCs w:val="21"/>
          <w:highlight w:val="none"/>
        </w:rPr>
      </w:pPr>
      <w:r>
        <w:rPr>
          <w:rFonts w:ascii="Times New Roman" w:hAnsi="Times New Roman" w:eastAsia="Times New Roman" w:cs="Times New Roman"/>
          <w:color w:val="auto"/>
          <w:sz w:val="21"/>
          <w:szCs w:val="21"/>
          <w:highlight w:val="none"/>
        </w:rPr>
        <w:t xml:space="preserve">2.2.2 </w:t>
      </w:r>
      <w:r>
        <w:rPr>
          <w:rFonts w:ascii="黑体" w:hAnsi="黑体" w:eastAsia="黑体" w:cs="黑体"/>
          <w:color w:val="auto"/>
          <w:sz w:val="21"/>
          <w:szCs w:val="21"/>
          <w:highlight w:val="none"/>
        </w:rPr>
        <w:t>评标基准价计算</w:t>
      </w:r>
    </w:p>
    <w:p w14:paraId="27392A4C">
      <w:pPr>
        <w:spacing w:before="135" w:line="219"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）评标价确定方法：见评标办法前附表；</w:t>
      </w:r>
    </w:p>
    <w:p w14:paraId="6FCFE214">
      <w:pPr>
        <w:spacing w:before="130" w:line="219"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）评标基准价计算方法：见评标办法前附表。</w:t>
      </w:r>
    </w:p>
    <w:p w14:paraId="65EBFA9F">
      <w:pPr>
        <w:spacing w:before="149" w:line="220" w:lineRule="auto"/>
        <w:ind w:left="437"/>
        <w:rPr>
          <w:rFonts w:ascii="黑体" w:hAnsi="黑体" w:eastAsia="黑体" w:cs="黑体"/>
          <w:color w:val="auto"/>
          <w:sz w:val="21"/>
          <w:szCs w:val="21"/>
          <w:highlight w:val="none"/>
        </w:rPr>
      </w:pPr>
      <w:r>
        <w:rPr>
          <w:rFonts w:ascii="Times New Roman" w:hAnsi="Times New Roman" w:eastAsia="Times New Roman" w:cs="Times New Roman"/>
          <w:color w:val="auto"/>
          <w:sz w:val="21"/>
          <w:szCs w:val="21"/>
          <w:highlight w:val="none"/>
        </w:rPr>
        <w:t xml:space="preserve">2.2.3 </w:t>
      </w:r>
      <w:r>
        <w:rPr>
          <w:rFonts w:ascii="黑体" w:hAnsi="黑体" w:eastAsia="黑体" w:cs="黑体"/>
          <w:color w:val="auto"/>
          <w:sz w:val="21"/>
          <w:szCs w:val="21"/>
          <w:highlight w:val="none"/>
        </w:rPr>
        <w:t>投标报价的偏差率计算</w:t>
      </w:r>
    </w:p>
    <w:p w14:paraId="4BFAE381">
      <w:pPr>
        <w:spacing w:before="129" w:line="398" w:lineRule="exact"/>
        <w:ind w:left="443"/>
        <w:rPr>
          <w:rFonts w:ascii="宋体" w:hAnsi="宋体" w:eastAsia="宋体" w:cs="宋体"/>
          <w:color w:val="auto"/>
          <w:sz w:val="21"/>
          <w:szCs w:val="21"/>
          <w:highlight w:val="none"/>
        </w:rPr>
      </w:pPr>
      <w:r>
        <w:rPr>
          <w:rFonts w:ascii="宋体" w:hAnsi="宋体" w:eastAsia="宋体" w:cs="宋体"/>
          <w:color w:val="auto"/>
          <w:spacing w:val="-5"/>
          <w:position w:val="14"/>
          <w:sz w:val="21"/>
          <w:szCs w:val="21"/>
          <w:highlight w:val="none"/>
        </w:rPr>
        <w:t>投标报价的偏差率计算公式： 见评标办法前附表。</w:t>
      </w:r>
    </w:p>
    <w:p w14:paraId="434389B2">
      <w:pPr>
        <w:spacing w:before="1" w:line="219" w:lineRule="auto"/>
        <w:ind w:left="437"/>
        <w:rPr>
          <w:rFonts w:ascii="黑体" w:hAnsi="黑体" w:eastAsia="黑体" w:cs="黑体"/>
          <w:color w:val="auto"/>
          <w:sz w:val="21"/>
          <w:szCs w:val="21"/>
          <w:highlight w:val="none"/>
        </w:rPr>
      </w:pPr>
      <w:r>
        <w:rPr>
          <w:rFonts w:ascii="Times New Roman" w:hAnsi="Times New Roman" w:eastAsia="Times New Roman" w:cs="Times New Roman"/>
          <w:color w:val="auto"/>
          <w:sz w:val="21"/>
          <w:szCs w:val="21"/>
          <w:highlight w:val="none"/>
        </w:rPr>
        <w:t xml:space="preserve">2.2.4 </w:t>
      </w:r>
      <w:r>
        <w:rPr>
          <w:rFonts w:ascii="黑体" w:hAnsi="黑体" w:eastAsia="黑体" w:cs="黑体"/>
          <w:color w:val="auto"/>
          <w:sz w:val="21"/>
          <w:szCs w:val="21"/>
          <w:highlight w:val="none"/>
        </w:rPr>
        <w:t>评分标准</w:t>
      </w:r>
    </w:p>
    <w:p w14:paraId="5C3C344B">
      <w:pPr>
        <w:spacing w:before="134"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）经济标评分标准：见评标办法前附表；</w:t>
      </w:r>
    </w:p>
    <w:p w14:paraId="2C4E2409">
      <w:pPr>
        <w:spacing w:before="129"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）技术标评分标准：见评标办法前附表；</w:t>
      </w:r>
    </w:p>
    <w:p w14:paraId="26825C1F">
      <w:pPr>
        <w:spacing w:before="129"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）资信标评分标准：见评标办法前附表；</w:t>
      </w:r>
    </w:p>
    <w:p w14:paraId="472CFEED">
      <w:pPr>
        <w:spacing w:before="129"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4</w:t>
      </w:r>
      <w:r>
        <w:rPr>
          <w:rFonts w:ascii="宋体" w:hAnsi="宋体" w:eastAsia="宋体" w:cs="宋体"/>
          <w:color w:val="auto"/>
          <w:spacing w:val="-2"/>
          <w:sz w:val="21"/>
          <w:szCs w:val="21"/>
          <w:highlight w:val="none"/>
        </w:rPr>
        <w:t>）其他因素评分标准：见评标办法前附表。</w:t>
      </w:r>
    </w:p>
    <w:p w14:paraId="2BC8DD25">
      <w:pPr>
        <w:spacing w:before="187" w:line="441" w:lineRule="exact"/>
        <w:ind w:left="21"/>
        <w:rPr>
          <w:rFonts w:ascii="黑体" w:hAnsi="黑体" w:eastAsia="黑体" w:cs="黑体"/>
          <w:color w:val="auto"/>
          <w:sz w:val="27"/>
          <w:szCs w:val="27"/>
          <w:highlight w:val="none"/>
        </w:rPr>
      </w:pPr>
      <w:r>
        <w:rPr>
          <w:rFonts w:ascii="Times New Roman" w:hAnsi="Times New Roman" w:eastAsia="Times New Roman" w:cs="Times New Roman"/>
          <w:color w:val="auto"/>
          <w:spacing w:val="3"/>
          <w:position w:val="12"/>
          <w:sz w:val="27"/>
          <w:szCs w:val="27"/>
          <w:highlight w:val="none"/>
        </w:rPr>
        <w:t>3.</w:t>
      </w:r>
      <w:r>
        <w:rPr>
          <w:rFonts w:ascii="Times New Roman" w:hAnsi="Times New Roman" w:eastAsia="Times New Roman" w:cs="Times New Roman"/>
          <w:color w:val="auto"/>
          <w:spacing w:val="17"/>
          <w:position w:val="12"/>
          <w:sz w:val="27"/>
          <w:szCs w:val="27"/>
          <w:highlight w:val="none"/>
        </w:rPr>
        <w:t xml:space="preserve"> </w:t>
      </w:r>
      <w:r>
        <w:rPr>
          <w:rFonts w:ascii="黑体" w:hAnsi="黑体" w:eastAsia="黑体" w:cs="黑体"/>
          <w:color w:val="auto"/>
          <w:spacing w:val="3"/>
          <w:position w:val="12"/>
          <w:sz w:val="27"/>
          <w:szCs w:val="27"/>
          <w:highlight w:val="none"/>
        </w:rPr>
        <w:t>评标程序</w:t>
      </w:r>
    </w:p>
    <w:p w14:paraId="4369CAA7">
      <w:pPr>
        <w:spacing w:before="1" w:line="218"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3.1 </w:t>
      </w:r>
      <w:r>
        <w:rPr>
          <w:rFonts w:ascii="黑体" w:hAnsi="黑体" w:eastAsia="黑体" w:cs="黑体"/>
          <w:color w:val="auto"/>
          <w:spacing w:val="-1"/>
          <w:sz w:val="24"/>
          <w:szCs w:val="24"/>
          <w:highlight w:val="none"/>
        </w:rPr>
        <w:t>初步评审</w:t>
      </w:r>
    </w:p>
    <w:p w14:paraId="171E701E">
      <w:pPr>
        <w:spacing w:before="120" w:line="379" w:lineRule="exact"/>
        <w:ind w:right="3"/>
        <w:jc w:val="right"/>
        <w:rPr>
          <w:rFonts w:ascii="宋体" w:hAnsi="宋体" w:eastAsia="宋体" w:cs="宋体"/>
          <w:color w:val="auto"/>
          <w:sz w:val="21"/>
          <w:szCs w:val="21"/>
          <w:highlight w:val="none"/>
        </w:rPr>
      </w:pPr>
      <w:r>
        <w:rPr>
          <w:rFonts w:ascii="Times New Roman" w:hAnsi="Times New Roman" w:eastAsia="Times New Roman" w:cs="Times New Roman"/>
          <w:color w:val="auto"/>
          <w:position w:val="12"/>
          <w:sz w:val="21"/>
          <w:szCs w:val="21"/>
          <w:highlight w:val="none"/>
        </w:rPr>
        <w:t>3.1.1</w:t>
      </w:r>
      <w:r>
        <w:rPr>
          <w:rFonts w:ascii="Times New Roman" w:hAnsi="Times New Roman" w:eastAsia="Times New Roman" w:cs="Times New Roman"/>
          <w:color w:val="auto"/>
          <w:spacing w:val="41"/>
          <w:position w:val="12"/>
          <w:sz w:val="21"/>
          <w:szCs w:val="21"/>
          <w:highlight w:val="none"/>
        </w:rPr>
        <w:t xml:space="preserve"> </w:t>
      </w:r>
      <w:r>
        <w:rPr>
          <w:rFonts w:ascii="宋体" w:hAnsi="宋体" w:eastAsia="宋体" w:cs="宋体"/>
          <w:color w:val="auto"/>
          <w:position w:val="12"/>
          <w:sz w:val="21"/>
          <w:szCs w:val="21"/>
          <w:highlight w:val="none"/>
        </w:rPr>
        <w:t xml:space="preserve">评标委员会依据本章第 </w:t>
      </w:r>
      <w:r>
        <w:rPr>
          <w:rFonts w:ascii="Times New Roman" w:hAnsi="Times New Roman" w:eastAsia="Times New Roman" w:cs="Times New Roman"/>
          <w:color w:val="auto"/>
          <w:position w:val="12"/>
          <w:sz w:val="21"/>
          <w:szCs w:val="21"/>
          <w:highlight w:val="none"/>
        </w:rPr>
        <w:t>2.1</w:t>
      </w:r>
      <w:r>
        <w:rPr>
          <w:rFonts w:ascii="Times New Roman" w:hAnsi="Times New Roman" w:eastAsia="Times New Roman" w:cs="Times New Roman"/>
          <w:color w:val="auto"/>
          <w:spacing w:val="43"/>
          <w:w w:val="101"/>
          <w:position w:val="12"/>
          <w:sz w:val="21"/>
          <w:szCs w:val="21"/>
          <w:highlight w:val="none"/>
        </w:rPr>
        <w:t xml:space="preserve"> </w:t>
      </w:r>
      <w:r>
        <w:rPr>
          <w:rFonts w:ascii="宋体" w:hAnsi="宋体" w:eastAsia="宋体" w:cs="宋体"/>
          <w:color w:val="auto"/>
          <w:position w:val="12"/>
          <w:sz w:val="21"/>
          <w:szCs w:val="21"/>
          <w:highlight w:val="none"/>
        </w:rPr>
        <w:t>款规定</w:t>
      </w:r>
      <w:r>
        <w:rPr>
          <w:rFonts w:ascii="宋体" w:hAnsi="宋体" w:eastAsia="宋体" w:cs="宋体"/>
          <w:color w:val="auto"/>
          <w:spacing w:val="-1"/>
          <w:position w:val="12"/>
          <w:sz w:val="21"/>
          <w:szCs w:val="21"/>
          <w:highlight w:val="none"/>
        </w:rPr>
        <w:t>的标准对投标文件进行初步评审。有一项不符</w:t>
      </w:r>
    </w:p>
    <w:p w14:paraId="536B1FBA">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合评审标准的，评标委员会应当否决其投标。</w:t>
      </w:r>
    </w:p>
    <w:p w14:paraId="74DF03DD">
      <w:pPr>
        <w:spacing w:before="129" w:line="380" w:lineRule="exact"/>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2"/>
          <w:sz w:val="21"/>
          <w:szCs w:val="21"/>
          <w:highlight w:val="none"/>
        </w:rPr>
        <w:t xml:space="preserve">3.1.2 </w:t>
      </w:r>
      <w:r>
        <w:rPr>
          <w:rFonts w:ascii="宋体" w:hAnsi="宋体" w:eastAsia="宋体" w:cs="宋体"/>
          <w:color w:val="auto"/>
          <w:spacing w:val="-1"/>
          <w:position w:val="12"/>
          <w:sz w:val="21"/>
          <w:szCs w:val="21"/>
          <w:highlight w:val="none"/>
        </w:rPr>
        <w:t>投标人有以下情形之一的，评</w:t>
      </w:r>
      <w:r>
        <w:rPr>
          <w:rFonts w:ascii="宋体" w:hAnsi="宋体" w:eastAsia="宋体" w:cs="宋体"/>
          <w:color w:val="auto"/>
          <w:spacing w:val="-2"/>
          <w:position w:val="12"/>
          <w:sz w:val="21"/>
          <w:szCs w:val="21"/>
          <w:highlight w:val="none"/>
        </w:rPr>
        <w:t>标委员会应当否决其投标：</w:t>
      </w:r>
    </w:p>
    <w:p w14:paraId="039AFF8D">
      <w:pPr>
        <w:spacing w:before="1" w:line="219"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）不按评标委员会要求澄清、说明或补正。</w:t>
      </w:r>
    </w:p>
    <w:p w14:paraId="5AD8876F">
      <w:pPr>
        <w:spacing w:before="133"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）有串通投标、弄虚作假、行贿或有其他违法行为；</w:t>
      </w:r>
    </w:p>
    <w:p w14:paraId="60438E8E">
      <w:pPr>
        <w:spacing w:before="130" w:line="379" w:lineRule="exact"/>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2"/>
          <w:sz w:val="21"/>
          <w:szCs w:val="21"/>
          <w:highlight w:val="none"/>
        </w:rPr>
        <w:t>1</w:t>
      </w:r>
      <w:r>
        <w:rPr>
          <w:rFonts w:ascii="宋体" w:hAnsi="宋体" w:eastAsia="宋体" w:cs="宋体"/>
          <w:color w:val="auto"/>
          <w:spacing w:val="-2"/>
          <w:position w:val="12"/>
          <w:sz w:val="21"/>
          <w:szCs w:val="21"/>
          <w:highlight w:val="none"/>
        </w:rPr>
        <w:t>）有下列情形之一的，视为投标人相互串通投标：</w:t>
      </w:r>
    </w:p>
    <w:p w14:paraId="1EEE8B29">
      <w:pPr>
        <w:spacing w:line="218" w:lineRule="auto"/>
        <w:ind w:left="44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①</w:t>
      </w:r>
      <w:r>
        <w:rPr>
          <w:rFonts w:ascii="宋体" w:hAnsi="宋体" w:eastAsia="宋体" w:cs="宋体"/>
          <w:color w:val="auto"/>
          <w:spacing w:val="-36"/>
          <w:sz w:val="21"/>
          <w:szCs w:val="21"/>
          <w:highlight w:val="none"/>
        </w:rPr>
        <w:t xml:space="preserve"> </w:t>
      </w:r>
      <w:r>
        <w:rPr>
          <w:rFonts w:ascii="宋体" w:hAnsi="宋体" w:eastAsia="宋体" w:cs="宋体"/>
          <w:color w:val="auto"/>
          <w:spacing w:val="-2"/>
          <w:sz w:val="21"/>
          <w:szCs w:val="21"/>
          <w:highlight w:val="none"/>
        </w:rPr>
        <w:t>不同投标人的投标文件由同一单位或者个人编制；</w:t>
      </w:r>
    </w:p>
    <w:p w14:paraId="3263DDA8">
      <w:pPr>
        <w:spacing w:before="132" w:line="218" w:lineRule="auto"/>
        <w:ind w:left="43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②</w:t>
      </w:r>
      <w:r>
        <w:rPr>
          <w:rFonts w:ascii="宋体" w:hAnsi="宋体" w:eastAsia="宋体" w:cs="宋体"/>
          <w:color w:val="auto"/>
          <w:spacing w:val="-35"/>
          <w:sz w:val="21"/>
          <w:szCs w:val="21"/>
          <w:highlight w:val="none"/>
        </w:rPr>
        <w:t xml:space="preserve"> </w:t>
      </w:r>
      <w:r>
        <w:rPr>
          <w:rFonts w:ascii="宋体" w:hAnsi="宋体" w:eastAsia="宋体" w:cs="宋体"/>
          <w:color w:val="auto"/>
          <w:spacing w:val="-2"/>
          <w:sz w:val="21"/>
          <w:szCs w:val="21"/>
          <w:highlight w:val="none"/>
        </w:rPr>
        <w:t>不同投标人委托同一单位或者个人办理投标事宜；</w:t>
      </w:r>
    </w:p>
    <w:p w14:paraId="2D643693">
      <w:pPr>
        <w:spacing w:line="218" w:lineRule="auto"/>
        <w:rPr>
          <w:rFonts w:ascii="宋体" w:hAnsi="宋体" w:eastAsia="宋体" w:cs="宋体"/>
          <w:color w:val="auto"/>
          <w:sz w:val="21"/>
          <w:szCs w:val="21"/>
          <w:highlight w:val="none"/>
        </w:rPr>
        <w:sectPr>
          <w:pgSz w:w="11905" w:h="16839"/>
          <w:pgMar w:top="1431" w:right="1785" w:bottom="996" w:left="1785" w:header="0" w:footer="791" w:gutter="0"/>
          <w:pgNumType w:fmt="decimal"/>
          <w:cols w:space="720" w:num="1"/>
        </w:sectPr>
      </w:pPr>
    </w:p>
    <w:p w14:paraId="63251A00">
      <w:pPr>
        <w:spacing w:before="130" w:line="379" w:lineRule="exact"/>
        <w:jc w:val="right"/>
        <w:rPr>
          <w:rFonts w:ascii="宋体" w:hAnsi="宋体" w:eastAsia="宋体" w:cs="宋体"/>
          <w:color w:val="auto"/>
          <w:sz w:val="21"/>
          <w:szCs w:val="21"/>
          <w:highlight w:val="none"/>
        </w:rPr>
      </w:pPr>
      <w:r>
        <w:rPr>
          <w:rFonts w:ascii="宋体" w:hAnsi="宋体" w:eastAsia="宋体" w:cs="宋体"/>
          <w:color w:val="auto"/>
          <w:spacing w:val="-1"/>
          <w:position w:val="12"/>
          <w:sz w:val="21"/>
          <w:szCs w:val="21"/>
          <w:highlight w:val="none"/>
        </w:rPr>
        <w:t>③ 不同投标人使用同一电脑等电子设备办理投标事宜（下载招标文件、上传投标文件、</w:t>
      </w:r>
    </w:p>
    <w:p w14:paraId="686949F7">
      <w:pPr>
        <w:spacing w:line="220" w:lineRule="auto"/>
        <w:ind w:left="1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授权委托人或项目经理实名认证等关键环节</w:t>
      </w:r>
      <w:r>
        <w:rPr>
          <w:rFonts w:ascii="宋体" w:hAnsi="宋体" w:eastAsia="宋体" w:cs="宋体"/>
          <w:color w:val="auto"/>
          <w:spacing w:val="-15"/>
          <w:sz w:val="21"/>
          <w:szCs w:val="21"/>
          <w:highlight w:val="none"/>
        </w:rPr>
        <w:t>）；</w:t>
      </w:r>
    </w:p>
    <w:p w14:paraId="70A37005">
      <w:pPr>
        <w:spacing w:before="128" w:line="218" w:lineRule="auto"/>
        <w:ind w:left="43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④</w:t>
      </w:r>
      <w:r>
        <w:rPr>
          <w:rFonts w:ascii="宋体" w:hAnsi="宋体" w:eastAsia="宋体" w:cs="宋体"/>
          <w:color w:val="auto"/>
          <w:spacing w:val="-33"/>
          <w:sz w:val="21"/>
          <w:szCs w:val="21"/>
          <w:highlight w:val="none"/>
        </w:rPr>
        <w:t xml:space="preserve"> </w:t>
      </w:r>
      <w:r>
        <w:rPr>
          <w:rFonts w:ascii="宋体" w:hAnsi="宋体" w:eastAsia="宋体" w:cs="宋体"/>
          <w:color w:val="auto"/>
          <w:spacing w:val="-2"/>
          <w:sz w:val="21"/>
          <w:szCs w:val="21"/>
          <w:highlight w:val="none"/>
        </w:rPr>
        <w:t>不同投标人的投标文件载明的项目管理成员为同一人；</w:t>
      </w:r>
    </w:p>
    <w:p w14:paraId="3E4C067F">
      <w:pPr>
        <w:spacing w:before="136" w:line="218" w:lineRule="auto"/>
        <w:ind w:left="43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⑤</w:t>
      </w:r>
      <w:r>
        <w:rPr>
          <w:rFonts w:ascii="宋体" w:hAnsi="宋体" w:eastAsia="宋体" w:cs="宋体"/>
          <w:color w:val="auto"/>
          <w:spacing w:val="-27"/>
          <w:sz w:val="21"/>
          <w:szCs w:val="21"/>
          <w:highlight w:val="none"/>
        </w:rPr>
        <w:t xml:space="preserve"> </w:t>
      </w:r>
      <w:r>
        <w:rPr>
          <w:rFonts w:ascii="宋体" w:hAnsi="宋体" w:eastAsia="宋体" w:cs="宋体"/>
          <w:color w:val="auto"/>
          <w:spacing w:val="-1"/>
          <w:sz w:val="21"/>
          <w:szCs w:val="21"/>
          <w:highlight w:val="none"/>
        </w:rPr>
        <w:t>不同投标人的投标文件非典型一致或者投标报价呈规律性差异；</w:t>
      </w:r>
    </w:p>
    <w:p w14:paraId="5C7879FA">
      <w:pPr>
        <w:spacing w:before="131" w:line="218" w:lineRule="auto"/>
        <w:ind w:left="43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⑥</w:t>
      </w:r>
      <w:r>
        <w:rPr>
          <w:rFonts w:ascii="宋体" w:hAnsi="宋体" w:eastAsia="宋体" w:cs="宋体"/>
          <w:color w:val="auto"/>
          <w:spacing w:val="-41"/>
          <w:sz w:val="21"/>
          <w:szCs w:val="21"/>
          <w:highlight w:val="none"/>
        </w:rPr>
        <w:t xml:space="preserve"> </w:t>
      </w:r>
      <w:r>
        <w:rPr>
          <w:rFonts w:ascii="宋体" w:hAnsi="宋体" w:eastAsia="宋体" w:cs="宋体"/>
          <w:color w:val="auto"/>
          <w:spacing w:val="-3"/>
          <w:sz w:val="21"/>
          <w:szCs w:val="21"/>
          <w:highlight w:val="none"/>
        </w:rPr>
        <w:t>不同投标人的投标文件相互混装；</w:t>
      </w:r>
    </w:p>
    <w:p w14:paraId="0F7B3CBF">
      <w:pPr>
        <w:spacing w:before="131" w:line="218" w:lineRule="auto"/>
        <w:ind w:right="15"/>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⑦ 不同投标人的投标保证金或保函（保险）财务费用从同一单位或者个人的账户转出；</w:t>
      </w:r>
    </w:p>
    <w:p w14:paraId="00D85320">
      <w:pPr>
        <w:spacing w:before="131" w:line="380" w:lineRule="exact"/>
        <w:ind w:left="439"/>
        <w:rPr>
          <w:rFonts w:ascii="宋体" w:hAnsi="宋体" w:eastAsia="宋体" w:cs="宋体"/>
          <w:color w:val="auto"/>
          <w:sz w:val="21"/>
          <w:szCs w:val="21"/>
          <w:highlight w:val="none"/>
        </w:rPr>
      </w:pPr>
      <w:r>
        <w:rPr>
          <w:rFonts w:ascii="宋体" w:hAnsi="宋体" w:eastAsia="宋体" w:cs="宋体"/>
          <w:color w:val="auto"/>
          <w:spacing w:val="-8"/>
          <w:position w:val="12"/>
          <w:sz w:val="21"/>
          <w:szCs w:val="21"/>
          <w:highlight w:val="none"/>
        </w:rPr>
        <w:t>⑧</w:t>
      </w:r>
      <w:r>
        <w:rPr>
          <w:rFonts w:ascii="宋体" w:hAnsi="宋体" w:eastAsia="宋体" w:cs="宋体"/>
          <w:color w:val="auto"/>
          <w:spacing w:val="-54"/>
          <w:position w:val="12"/>
          <w:sz w:val="21"/>
          <w:szCs w:val="21"/>
          <w:highlight w:val="none"/>
        </w:rPr>
        <w:t xml:space="preserve"> </w:t>
      </w:r>
      <w:r>
        <w:rPr>
          <w:rFonts w:ascii="宋体" w:hAnsi="宋体" w:eastAsia="宋体" w:cs="宋体"/>
          <w:color w:val="auto"/>
          <w:spacing w:val="-8"/>
          <w:position w:val="12"/>
          <w:sz w:val="21"/>
          <w:szCs w:val="21"/>
          <w:highlight w:val="none"/>
        </w:rPr>
        <w:t>不同投标人的投标文件存在“</w:t>
      </w:r>
      <w:r>
        <w:rPr>
          <w:rFonts w:ascii="Times New Roman" w:hAnsi="Times New Roman" w:eastAsia="Times New Roman" w:cs="Times New Roman"/>
          <w:color w:val="auto"/>
          <w:spacing w:val="-8"/>
          <w:position w:val="12"/>
          <w:sz w:val="21"/>
          <w:szCs w:val="21"/>
          <w:highlight w:val="none"/>
        </w:rPr>
        <w:t>MAC</w:t>
      </w:r>
      <w:r>
        <w:rPr>
          <w:rFonts w:ascii="Times New Roman" w:hAnsi="Times New Roman" w:eastAsia="Times New Roman" w:cs="Times New Roman"/>
          <w:color w:val="auto"/>
          <w:spacing w:val="-22"/>
          <w:position w:val="12"/>
          <w:sz w:val="21"/>
          <w:szCs w:val="21"/>
          <w:highlight w:val="none"/>
        </w:rPr>
        <w:t xml:space="preserve"> </w:t>
      </w:r>
      <w:r>
        <w:rPr>
          <w:rFonts w:ascii="宋体" w:hAnsi="宋体" w:eastAsia="宋体" w:cs="宋体"/>
          <w:color w:val="auto"/>
          <w:spacing w:val="-8"/>
          <w:position w:val="12"/>
          <w:sz w:val="21"/>
          <w:szCs w:val="21"/>
          <w:highlight w:val="none"/>
        </w:rPr>
        <w:t>地址”、“文件</w:t>
      </w:r>
      <w:r>
        <w:rPr>
          <w:rFonts w:ascii="宋体" w:hAnsi="宋体" w:eastAsia="宋体" w:cs="宋体"/>
          <w:color w:val="auto"/>
          <w:spacing w:val="-9"/>
          <w:position w:val="12"/>
          <w:sz w:val="21"/>
          <w:szCs w:val="21"/>
          <w:highlight w:val="none"/>
        </w:rPr>
        <w:t>创建标识码”、“文件制作机器码”</w:t>
      </w:r>
    </w:p>
    <w:p w14:paraId="1A98FF7B">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等唯一性标识一致等情形。</w:t>
      </w:r>
    </w:p>
    <w:p w14:paraId="35D6A7D8">
      <w:pPr>
        <w:spacing w:before="128" w:line="220"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）有下列情形之一的，属于弄虚作假行为：</w:t>
      </w:r>
    </w:p>
    <w:p w14:paraId="4FEC11E5">
      <w:pPr>
        <w:spacing w:before="135" w:line="218" w:lineRule="auto"/>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①</w:t>
      </w:r>
      <w:r>
        <w:rPr>
          <w:rFonts w:ascii="宋体" w:hAnsi="宋体" w:eastAsia="宋体" w:cs="宋体"/>
          <w:color w:val="auto"/>
          <w:spacing w:val="-19"/>
          <w:sz w:val="21"/>
          <w:szCs w:val="21"/>
          <w:highlight w:val="none"/>
        </w:rPr>
        <w:t xml:space="preserve"> </w:t>
      </w:r>
      <w:r>
        <w:rPr>
          <w:rFonts w:ascii="宋体" w:hAnsi="宋体" w:eastAsia="宋体" w:cs="宋体"/>
          <w:color w:val="auto"/>
          <w:sz w:val="21"/>
          <w:szCs w:val="21"/>
          <w:highlight w:val="none"/>
        </w:rPr>
        <w:t>使用通过受让或者租借等方式获取的资格、资质证书投标的，即以他人名义</w:t>
      </w:r>
      <w:r>
        <w:rPr>
          <w:rFonts w:ascii="宋体" w:hAnsi="宋体" w:eastAsia="宋体" w:cs="宋体"/>
          <w:color w:val="auto"/>
          <w:spacing w:val="-1"/>
          <w:sz w:val="21"/>
          <w:szCs w:val="21"/>
          <w:highlight w:val="none"/>
        </w:rPr>
        <w:t>投标的。</w:t>
      </w:r>
    </w:p>
    <w:p w14:paraId="57371F49">
      <w:pPr>
        <w:spacing w:before="131" w:line="218" w:lineRule="auto"/>
        <w:ind w:left="43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②</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使用伪造、变造的许可证件；</w:t>
      </w:r>
    </w:p>
    <w:p w14:paraId="7FB67AE8">
      <w:pPr>
        <w:spacing w:before="131" w:line="218" w:lineRule="auto"/>
        <w:ind w:left="43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③</w:t>
      </w:r>
      <w:r>
        <w:rPr>
          <w:rFonts w:ascii="宋体" w:hAnsi="宋体" w:eastAsia="宋体" w:cs="宋体"/>
          <w:color w:val="auto"/>
          <w:spacing w:val="-36"/>
          <w:sz w:val="21"/>
          <w:szCs w:val="21"/>
          <w:highlight w:val="none"/>
        </w:rPr>
        <w:t xml:space="preserve"> </w:t>
      </w:r>
      <w:r>
        <w:rPr>
          <w:rFonts w:ascii="宋体" w:hAnsi="宋体" w:eastAsia="宋体" w:cs="宋体"/>
          <w:color w:val="auto"/>
          <w:spacing w:val="-3"/>
          <w:sz w:val="21"/>
          <w:szCs w:val="21"/>
          <w:highlight w:val="none"/>
        </w:rPr>
        <w:t>提供虚假的财务状况或者业绩；</w:t>
      </w:r>
    </w:p>
    <w:p w14:paraId="3796AA21">
      <w:pPr>
        <w:spacing w:before="132" w:line="218" w:lineRule="auto"/>
        <w:ind w:left="43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④</w:t>
      </w:r>
      <w:r>
        <w:rPr>
          <w:rFonts w:ascii="宋体" w:hAnsi="宋体" w:eastAsia="宋体" w:cs="宋体"/>
          <w:color w:val="auto"/>
          <w:spacing w:val="-27"/>
          <w:sz w:val="21"/>
          <w:szCs w:val="21"/>
          <w:highlight w:val="none"/>
        </w:rPr>
        <w:t xml:space="preserve"> </w:t>
      </w:r>
      <w:r>
        <w:rPr>
          <w:rFonts w:ascii="宋体" w:hAnsi="宋体" w:eastAsia="宋体" w:cs="宋体"/>
          <w:color w:val="auto"/>
          <w:spacing w:val="-1"/>
          <w:sz w:val="21"/>
          <w:szCs w:val="21"/>
          <w:highlight w:val="none"/>
        </w:rPr>
        <w:t>提供虚假的项目负责人或者主要技术人员简历、社会保险证明；</w:t>
      </w:r>
    </w:p>
    <w:p w14:paraId="05F56A34">
      <w:pPr>
        <w:spacing w:before="131" w:line="218" w:lineRule="auto"/>
        <w:ind w:left="43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⑤</w:t>
      </w:r>
      <w:r>
        <w:rPr>
          <w:rFonts w:ascii="宋体" w:hAnsi="宋体" w:eastAsia="宋体" w:cs="宋体"/>
          <w:color w:val="auto"/>
          <w:spacing w:val="-37"/>
          <w:sz w:val="21"/>
          <w:szCs w:val="21"/>
          <w:highlight w:val="none"/>
        </w:rPr>
        <w:t xml:space="preserve"> </w:t>
      </w:r>
      <w:r>
        <w:rPr>
          <w:rFonts w:ascii="宋体" w:hAnsi="宋体" w:eastAsia="宋体" w:cs="宋体"/>
          <w:color w:val="auto"/>
          <w:spacing w:val="-4"/>
          <w:sz w:val="21"/>
          <w:szCs w:val="21"/>
          <w:highlight w:val="none"/>
        </w:rPr>
        <w:t>提供虚假的信用状况；</w:t>
      </w:r>
    </w:p>
    <w:p w14:paraId="3A7F3563">
      <w:pPr>
        <w:spacing w:before="132" w:line="218" w:lineRule="auto"/>
        <w:ind w:left="43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⑥</w:t>
      </w:r>
      <w:r>
        <w:rPr>
          <w:rFonts w:ascii="宋体" w:hAnsi="宋体" w:eastAsia="宋体" w:cs="宋体"/>
          <w:color w:val="auto"/>
          <w:spacing w:val="-38"/>
          <w:sz w:val="21"/>
          <w:szCs w:val="21"/>
          <w:highlight w:val="none"/>
        </w:rPr>
        <w:t xml:space="preserve"> </w:t>
      </w:r>
      <w:r>
        <w:rPr>
          <w:rFonts w:ascii="宋体" w:hAnsi="宋体" w:eastAsia="宋体" w:cs="宋体"/>
          <w:color w:val="auto"/>
          <w:spacing w:val="-3"/>
          <w:sz w:val="21"/>
          <w:szCs w:val="21"/>
          <w:highlight w:val="none"/>
        </w:rPr>
        <w:t>其他弄虚作假的行为。</w:t>
      </w:r>
    </w:p>
    <w:p w14:paraId="645212A6">
      <w:pPr>
        <w:spacing w:before="134" w:line="334" w:lineRule="auto"/>
        <w:ind w:left="18" w:right="175"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3.1.3</w:t>
      </w:r>
      <w:r>
        <w:rPr>
          <w:rFonts w:ascii="Times New Roman" w:hAnsi="Times New Roman" w:eastAsia="Times New Roman" w:cs="Times New Roman"/>
          <w:color w:val="auto"/>
          <w:spacing w:val="44"/>
          <w:w w:val="101"/>
          <w:sz w:val="21"/>
          <w:szCs w:val="21"/>
          <w:highlight w:val="none"/>
        </w:rPr>
        <w:t xml:space="preserve"> </w:t>
      </w:r>
      <w:r>
        <w:rPr>
          <w:rFonts w:ascii="宋体" w:hAnsi="宋体" w:eastAsia="宋体" w:cs="宋体"/>
          <w:color w:val="auto"/>
          <w:spacing w:val="1"/>
          <w:sz w:val="21"/>
          <w:szCs w:val="21"/>
          <w:highlight w:val="none"/>
        </w:rPr>
        <w:t>投标报价有算术错误的，评标委</w:t>
      </w:r>
      <w:r>
        <w:rPr>
          <w:rFonts w:ascii="宋体" w:hAnsi="宋体" w:eastAsia="宋体" w:cs="宋体"/>
          <w:color w:val="auto"/>
          <w:sz w:val="21"/>
          <w:szCs w:val="21"/>
          <w:highlight w:val="none"/>
        </w:rPr>
        <w:t xml:space="preserve">员会按以下原则对投标报价进行修正，修正的价 </w:t>
      </w:r>
      <w:r>
        <w:rPr>
          <w:rFonts w:ascii="宋体" w:hAnsi="宋体" w:eastAsia="宋体" w:cs="宋体"/>
          <w:color w:val="auto"/>
          <w:spacing w:val="3"/>
          <w:sz w:val="21"/>
          <w:szCs w:val="21"/>
          <w:highlight w:val="none"/>
        </w:rPr>
        <w:t>格经投标人书面确认后具有约束力。投标人不接受修正价格的，或者修正后</w:t>
      </w:r>
      <w:r>
        <w:rPr>
          <w:rFonts w:ascii="宋体" w:hAnsi="宋体" w:eastAsia="宋体" w:cs="宋体"/>
          <w:color w:val="auto"/>
          <w:spacing w:val="2"/>
          <w:sz w:val="21"/>
          <w:szCs w:val="21"/>
          <w:highlight w:val="none"/>
        </w:rPr>
        <w:t>的投标报价超</w:t>
      </w:r>
    </w:p>
    <w:p w14:paraId="41EDB163">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过最高投标限价的（如有</w:t>
      </w:r>
      <w:r>
        <w:rPr>
          <w:rFonts w:ascii="宋体" w:hAnsi="宋体" w:eastAsia="宋体" w:cs="宋体"/>
          <w:color w:val="auto"/>
          <w:spacing w:val="-7"/>
          <w:sz w:val="21"/>
          <w:szCs w:val="21"/>
          <w:highlight w:val="none"/>
        </w:rPr>
        <w:t>），</w:t>
      </w:r>
      <w:r>
        <w:rPr>
          <w:rFonts w:ascii="宋体" w:hAnsi="宋体" w:eastAsia="宋体" w:cs="宋体"/>
          <w:color w:val="auto"/>
          <w:spacing w:val="-5"/>
          <w:sz w:val="21"/>
          <w:szCs w:val="21"/>
          <w:highlight w:val="none"/>
        </w:rPr>
        <w:t>评标委员会应当否决其投标。</w:t>
      </w:r>
    </w:p>
    <w:p w14:paraId="0B42A4B9">
      <w:pPr>
        <w:spacing w:before="130" w:line="221"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1</w:t>
      </w:r>
      <w:r>
        <w:rPr>
          <w:rFonts w:ascii="宋体" w:hAnsi="宋体" w:eastAsia="宋体" w:cs="宋体"/>
          <w:color w:val="auto"/>
          <w:spacing w:val="-5"/>
          <w:sz w:val="21"/>
          <w:szCs w:val="21"/>
          <w:highlight w:val="none"/>
        </w:rPr>
        <w:t>）投标文件中的大写金额与小写金额不一致的， 以大写金额为准；</w:t>
      </w:r>
    </w:p>
    <w:p w14:paraId="4BAB0668">
      <w:pPr>
        <w:spacing w:before="128" w:line="379" w:lineRule="exact"/>
        <w:ind w:left="447"/>
        <w:rPr>
          <w:rFonts w:ascii="宋体" w:hAnsi="宋体" w:eastAsia="宋体" w:cs="宋体"/>
          <w:color w:val="auto"/>
          <w:sz w:val="21"/>
          <w:szCs w:val="21"/>
          <w:highlight w:val="none"/>
        </w:rPr>
      </w:pPr>
      <w:r>
        <w:rPr>
          <w:rFonts w:ascii="宋体" w:hAnsi="宋体" w:eastAsia="宋体" w:cs="宋体"/>
          <w:color w:val="auto"/>
          <w:position w:val="12"/>
          <w:sz w:val="21"/>
          <w:szCs w:val="21"/>
          <w:highlight w:val="none"/>
        </w:rPr>
        <w:t>（</w:t>
      </w:r>
      <w:r>
        <w:rPr>
          <w:rFonts w:ascii="Times New Roman" w:hAnsi="Times New Roman" w:eastAsia="Times New Roman" w:cs="Times New Roman"/>
          <w:color w:val="auto"/>
          <w:position w:val="12"/>
          <w:sz w:val="21"/>
          <w:szCs w:val="21"/>
          <w:highlight w:val="none"/>
        </w:rPr>
        <w:t>2</w:t>
      </w:r>
      <w:r>
        <w:rPr>
          <w:rFonts w:ascii="宋体" w:hAnsi="宋体" w:eastAsia="宋体" w:cs="宋体"/>
          <w:color w:val="auto"/>
          <w:position w:val="12"/>
          <w:sz w:val="21"/>
          <w:szCs w:val="21"/>
          <w:highlight w:val="none"/>
        </w:rPr>
        <w:t>）总价金额与依据单价计算出的结果不一致的，以单价金额为准修正总价，但单价</w:t>
      </w:r>
    </w:p>
    <w:p w14:paraId="5144E3E4">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金额小数点有明显错误的除外。</w:t>
      </w:r>
    </w:p>
    <w:p w14:paraId="07AC72C3">
      <w:pPr>
        <w:spacing w:before="135" w:line="333" w:lineRule="auto"/>
        <w:ind w:left="28" w:right="179" w:firstLine="41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3.1.4</w:t>
      </w:r>
      <w:r>
        <w:rPr>
          <w:rFonts w:ascii="Times New Roman" w:hAnsi="Times New Roman" w:eastAsia="Times New Roman" w:cs="Times New Roman"/>
          <w:color w:val="auto"/>
          <w:spacing w:val="32"/>
          <w:sz w:val="21"/>
          <w:szCs w:val="21"/>
          <w:highlight w:val="none"/>
        </w:rPr>
        <w:t xml:space="preserve"> </w:t>
      </w:r>
      <w:r>
        <w:rPr>
          <w:rFonts w:ascii="宋体" w:hAnsi="宋体" w:eastAsia="宋体" w:cs="宋体"/>
          <w:color w:val="auto"/>
          <w:spacing w:val="1"/>
          <w:sz w:val="21"/>
          <w:szCs w:val="21"/>
          <w:highlight w:val="none"/>
        </w:rPr>
        <w:t>评标委员会发现投标人的报价明显低于其他投标报</w:t>
      </w:r>
      <w:r>
        <w:rPr>
          <w:rFonts w:ascii="宋体" w:hAnsi="宋体" w:eastAsia="宋体" w:cs="宋体"/>
          <w:color w:val="auto"/>
          <w:sz w:val="21"/>
          <w:szCs w:val="21"/>
          <w:highlight w:val="none"/>
        </w:rPr>
        <w:t xml:space="preserve">价，或者在设有最高投标限价 </w:t>
      </w:r>
      <w:r>
        <w:rPr>
          <w:rFonts w:ascii="宋体" w:hAnsi="宋体" w:eastAsia="宋体" w:cs="宋体"/>
          <w:color w:val="auto"/>
          <w:spacing w:val="3"/>
          <w:sz w:val="21"/>
          <w:szCs w:val="21"/>
          <w:highlight w:val="none"/>
        </w:rPr>
        <w:t>时明显低于最高投标限价，使得其投标报价可能低于</w:t>
      </w:r>
      <w:r>
        <w:rPr>
          <w:rFonts w:ascii="宋体" w:hAnsi="宋体" w:eastAsia="宋体" w:cs="宋体"/>
          <w:color w:val="auto"/>
          <w:spacing w:val="2"/>
          <w:sz w:val="21"/>
          <w:szCs w:val="21"/>
          <w:highlight w:val="none"/>
        </w:rPr>
        <w:t>其个别成本的，应当要求该投标人作</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出书面说明并提供相应的证明材料。投标人不能合理说明或者不能提供相应证明材料的，</w:t>
      </w:r>
    </w:p>
    <w:p w14:paraId="545A9546">
      <w:pPr>
        <w:spacing w:line="219" w:lineRule="auto"/>
        <w:ind w:left="4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由评标委员会认定该投标人以低于成本报价竞标，否决其</w:t>
      </w:r>
      <w:r>
        <w:rPr>
          <w:rFonts w:ascii="宋体" w:hAnsi="宋体" w:eastAsia="宋体" w:cs="宋体"/>
          <w:color w:val="auto"/>
          <w:spacing w:val="-3"/>
          <w:sz w:val="21"/>
          <w:szCs w:val="21"/>
          <w:highlight w:val="none"/>
        </w:rPr>
        <w:t>投标。</w:t>
      </w:r>
    </w:p>
    <w:p w14:paraId="4D329385">
      <w:pPr>
        <w:spacing w:before="130" w:line="379" w:lineRule="exact"/>
        <w:ind w:left="441"/>
        <w:rPr>
          <w:rFonts w:ascii="宋体" w:hAnsi="宋体" w:eastAsia="宋体" w:cs="宋体"/>
          <w:color w:val="auto"/>
          <w:sz w:val="21"/>
          <w:szCs w:val="21"/>
          <w:highlight w:val="none"/>
        </w:rPr>
      </w:pPr>
      <w:r>
        <w:rPr>
          <w:rFonts w:ascii="Times New Roman" w:hAnsi="Times New Roman" w:eastAsia="Times New Roman" w:cs="Times New Roman"/>
          <w:color w:val="auto"/>
          <w:position w:val="12"/>
          <w:sz w:val="21"/>
          <w:szCs w:val="21"/>
          <w:highlight w:val="none"/>
        </w:rPr>
        <w:t>3.1.5</w:t>
      </w:r>
      <w:r>
        <w:rPr>
          <w:rFonts w:ascii="Times New Roman" w:hAnsi="Times New Roman" w:eastAsia="Times New Roman" w:cs="Times New Roman"/>
          <w:color w:val="auto"/>
          <w:spacing w:val="31"/>
          <w:w w:val="101"/>
          <w:position w:val="12"/>
          <w:sz w:val="21"/>
          <w:szCs w:val="21"/>
          <w:highlight w:val="none"/>
        </w:rPr>
        <w:t xml:space="preserve"> </w:t>
      </w:r>
      <w:r>
        <w:rPr>
          <w:rFonts w:ascii="宋体" w:hAnsi="宋体" w:eastAsia="宋体" w:cs="宋体"/>
          <w:color w:val="auto"/>
          <w:position w:val="12"/>
          <w:sz w:val="21"/>
          <w:szCs w:val="21"/>
          <w:highlight w:val="none"/>
        </w:rPr>
        <w:t>评标委员会否决不合格投标后，因</w:t>
      </w:r>
      <w:r>
        <w:rPr>
          <w:rFonts w:ascii="宋体" w:hAnsi="宋体" w:eastAsia="宋体" w:cs="宋体"/>
          <w:color w:val="auto"/>
          <w:spacing w:val="-1"/>
          <w:position w:val="12"/>
          <w:sz w:val="21"/>
          <w:szCs w:val="21"/>
          <w:highlight w:val="none"/>
        </w:rPr>
        <w:t>有效投标不足三个使得投标明显缺乏竞争的，</w:t>
      </w:r>
    </w:p>
    <w:p w14:paraId="3B3D90AC">
      <w:pPr>
        <w:spacing w:before="1" w:line="219"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评标委员会可以否决全部投标。</w:t>
      </w:r>
    </w:p>
    <w:p w14:paraId="0151A4AB">
      <w:pPr>
        <w:spacing w:before="129" w:line="219"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3.2</w:t>
      </w:r>
      <w:r>
        <w:rPr>
          <w:rFonts w:ascii="Times New Roman" w:hAnsi="Times New Roman" w:eastAsia="Times New Roman" w:cs="Times New Roman"/>
          <w:color w:val="auto"/>
          <w:spacing w:val="11"/>
          <w:sz w:val="24"/>
          <w:szCs w:val="24"/>
          <w:highlight w:val="none"/>
        </w:rPr>
        <w:t xml:space="preserve"> </w:t>
      </w:r>
      <w:r>
        <w:rPr>
          <w:rFonts w:ascii="黑体" w:hAnsi="黑体" w:eastAsia="黑体" w:cs="黑体"/>
          <w:color w:val="auto"/>
          <w:spacing w:val="-2"/>
          <w:sz w:val="24"/>
          <w:szCs w:val="24"/>
          <w:highlight w:val="none"/>
        </w:rPr>
        <w:t>详细评审</w:t>
      </w:r>
    </w:p>
    <w:p w14:paraId="2C7538E7">
      <w:pPr>
        <w:spacing w:before="119" w:line="379" w:lineRule="exact"/>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2"/>
          <w:sz w:val="21"/>
          <w:szCs w:val="21"/>
          <w:highlight w:val="none"/>
        </w:rPr>
        <w:t>3.2.1</w:t>
      </w:r>
      <w:r>
        <w:rPr>
          <w:rFonts w:ascii="Times New Roman" w:hAnsi="Times New Roman" w:eastAsia="Times New Roman" w:cs="Times New Roman"/>
          <w:color w:val="auto"/>
          <w:spacing w:val="32"/>
          <w:position w:val="12"/>
          <w:sz w:val="21"/>
          <w:szCs w:val="21"/>
          <w:highlight w:val="none"/>
        </w:rPr>
        <w:t xml:space="preserve"> </w:t>
      </w:r>
      <w:r>
        <w:rPr>
          <w:rFonts w:ascii="宋体" w:hAnsi="宋体" w:eastAsia="宋体" w:cs="宋体"/>
          <w:color w:val="auto"/>
          <w:spacing w:val="1"/>
          <w:position w:val="12"/>
          <w:sz w:val="21"/>
          <w:szCs w:val="21"/>
          <w:highlight w:val="none"/>
        </w:rPr>
        <w:t>评标委员会对通过了初步评审的投标文件进行详细</w:t>
      </w:r>
      <w:r>
        <w:rPr>
          <w:rFonts w:ascii="宋体" w:hAnsi="宋体" w:eastAsia="宋体" w:cs="宋体"/>
          <w:color w:val="auto"/>
          <w:position w:val="12"/>
          <w:sz w:val="21"/>
          <w:szCs w:val="21"/>
          <w:highlight w:val="none"/>
        </w:rPr>
        <w:t>评审。如采用入围方式的，则</w:t>
      </w:r>
    </w:p>
    <w:p w14:paraId="21668AB4">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按照评标办法前附表规定的方式进行入围。</w:t>
      </w:r>
    </w:p>
    <w:p w14:paraId="31E2E7D0">
      <w:pPr>
        <w:spacing w:before="129" w:line="380" w:lineRule="exact"/>
        <w:ind w:left="441"/>
        <w:rPr>
          <w:rFonts w:ascii="宋体" w:hAnsi="宋体" w:eastAsia="宋体" w:cs="宋体"/>
          <w:color w:val="auto"/>
          <w:sz w:val="21"/>
          <w:szCs w:val="21"/>
          <w:highlight w:val="none"/>
        </w:rPr>
      </w:pPr>
      <w:r>
        <w:rPr>
          <w:rFonts w:ascii="Times New Roman" w:hAnsi="Times New Roman" w:eastAsia="Times New Roman" w:cs="Times New Roman"/>
          <w:color w:val="auto"/>
          <w:position w:val="12"/>
          <w:sz w:val="21"/>
          <w:szCs w:val="21"/>
          <w:highlight w:val="none"/>
        </w:rPr>
        <w:t>3.2.2</w:t>
      </w:r>
      <w:r>
        <w:rPr>
          <w:rFonts w:ascii="Times New Roman" w:hAnsi="Times New Roman" w:eastAsia="Times New Roman" w:cs="Times New Roman"/>
          <w:color w:val="auto"/>
          <w:spacing w:val="31"/>
          <w:w w:val="101"/>
          <w:position w:val="12"/>
          <w:sz w:val="21"/>
          <w:szCs w:val="21"/>
          <w:highlight w:val="none"/>
        </w:rPr>
        <w:t xml:space="preserve"> </w:t>
      </w:r>
      <w:r>
        <w:rPr>
          <w:rFonts w:ascii="宋体" w:hAnsi="宋体" w:eastAsia="宋体" w:cs="宋体"/>
          <w:color w:val="auto"/>
          <w:position w:val="12"/>
          <w:sz w:val="21"/>
          <w:szCs w:val="21"/>
          <w:highlight w:val="none"/>
        </w:rPr>
        <w:t xml:space="preserve">评标委员会按本章第 </w:t>
      </w:r>
      <w:r>
        <w:rPr>
          <w:rFonts w:ascii="Times New Roman" w:hAnsi="Times New Roman" w:eastAsia="Times New Roman" w:cs="Times New Roman"/>
          <w:color w:val="auto"/>
          <w:position w:val="12"/>
          <w:sz w:val="21"/>
          <w:szCs w:val="21"/>
          <w:highlight w:val="none"/>
        </w:rPr>
        <w:t>2.2</w:t>
      </w:r>
      <w:r>
        <w:rPr>
          <w:rFonts w:ascii="Times New Roman" w:hAnsi="Times New Roman" w:eastAsia="Times New Roman" w:cs="Times New Roman"/>
          <w:color w:val="auto"/>
          <w:spacing w:val="43"/>
          <w:position w:val="12"/>
          <w:sz w:val="21"/>
          <w:szCs w:val="21"/>
          <w:highlight w:val="none"/>
        </w:rPr>
        <w:t xml:space="preserve"> </w:t>
      </w:r>
      <w:r>
        <w:rPr>
          <w:rFonts w:ascii="宋体" w:hAnsi="宋体" w:eastAsia="宋体" w:cs="宋体"/>
          <w:color w:val="auto"/>
          <w:position w:val="12"/>
          <w:sz w:val="21"/>
          <w:szCs w:val="21"/>
          <w:highlight w:val="none"/>
        </w:rPr>
        <w:t>款规定的量化因素和分值进行打分</w:t>
      </w:r>
      <w:r>
        <w:rPr>
          <w:rFonts w:ascii="宋体" w:hAnsi="宋体" w:eastAsia="宋体" w:cs="宋体"/>
          <w:color w:val="auto"/>
          <w:spacing w:val="-1"/>
          <w:position w:val="12"/>
          <w:sz w:val="21"/>
          <w:szCs w:val="21"/>
          <w:highlight w:val="none"/>
        </w:rPr>
        <w:t>，并计算出综合评估</w:t>
      </w:r>
    </w:p>
    <w:p w14:paraId="4B09AED7">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得分。</w:t>
      </w:r>
    </w:p>
    <w:p w14:paraId="7262F643">
      <w:pPr>
        <w:spacing w:before="132" w:line="220" w:lineRule="auto"/>
        <w:ind w:left="447"/>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）按本章第</w:t>
      </w:r>
      <w:r>
        <w:rPr>
          <w:rFonts w:ascii="宋体" w:hAnsi="宋体" w:eastAsia="宋体" w:cs="宋体"/>
          <w:color w:val="auto"/>
          <w:spacing w:val="-48"/>
          <w:sz w:val="21"/>
          <w:szCs w:val="21"/>
          <w:highlight w:val="none"/>
        </w:rPr>
        <w:t xml:space="preserve"> </w:t>
      </w:r>
      <w:r>
        <w:rPr>
          <w:rFonts w:ascii="Times New Roman" w:hAnsi="Times New Roman" w:eastAsia="Times New Roman" w:cs="Times New Roman"/>
          <w:color w:val="auto"/>
          <w:sz w:val="21"/>
          <w:szCs w:val="21"/>
          <w:highlight w:val="none"/>
        </w:rPr>
        <w:t>2.2.4</w:t>
      </w: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）目规定的评</w:t>
      </w:r>
      <w:r>
        <w:rPr>
          <w:rFonts w:ascii="宋体" w:hAnsi="宋体" w:eastAsia="宋体" w:cs="宋体"/>
          <w:color w:val="auto"/>
          <w:spacing w:val="-1"/>
          <w:sz w:val="21"/>
          <w:szCs w:val="21"/>
          <w:highlight w:val="none"/>
        </w:rPr>
        <w:t>审因素和分值对经济标计算出得分</w:t>
      </w:r>
      <w:r>
        <w:rPr>
          <w:rFonts w:ascii="宋体" w:hAnsi="宋体" w:eastAsia="宋体" w:cs="宋体"/>
          <w:color w:val="auto"/>
          <w:spacing w:val="-53"/>
          <w:sz w:val="21"/>
          <w:szCs w:val="21"/>
          <w:highlight w:val="none"/>
        </w:rPr>
        <w:t xml:space="preserve"> </w:t>
      </w:r>
      <w:r>
        <w:rPr>
          <w:rFonts w:ascii="Times New Roman" w:hAnsi="Times New Roman" w:eastAsia="Times New Roman" w:cs="Times New Roman"/>
          <w:color w:val="auto"/>
          <w:spacing w:val="-1"/>
          <w:sz w:val="21"/>
          <w:szCs w:val="21"/>
          <w:highlight w:val="none"/>
        </w:rPr>
        <w:t>A</w:t>
      </w:r>
      <w:r>
        <w:rPr>
          <w:rFonts w:ascii="宋体" w:hAnsi="宋体" w:eastAsia="宋体" w:cs="宋体"/>
          <w:color w:val="auto"/>
          <w:spacing w:val="-1"/>
          <w:sz w:val="21"/>
          <w:szCs w:val="21"/>
          <w:highlight w:val="none"/>
        </w:rPr>
        <w:t>；</w:t>
      </w:r>
    </w:p>
    <w:p w14:paraId="0E6D4083">
      <w:pPr>
        <w:spacing w:before="129"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）按本章第</w:t>
      </w:r>
      <w:r>
        <w:rPr>
          <w:rFonts w:ascii="宋体" w:hAnsi="宋体" w:eastAsia="宋体" w:cs="宋体"/>
          <w:color w:val="auto"/>
          <w:spacing w:val="-30"/>
          <w:sz w:val="21"/>
          <w:szCs w:val="21"/>
          <w:highlight w:val="none"/>
        </w:rPr>
        <w:t xml:space="preserve"> </w:t>
      </w:r>
      <w:r>
        <w:rPr>
          <w:rFonts w:ascii="Times New Roman" w:hAnsi="Times New Roman" w:eastAsia="Times New Roman" w:cs="Times New Roman"/>
          <w:color w:val="auto"/>
          <w:spacing w:val="-1"/>
          <w:sz w:val="21"/>
          <w:szCs w:val="21"/>
          <w:highlight w:val="none"/>
        </w:rPr>
        <w:t>2.2.4</w:t>
      </w: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）目规定的评审因素和分值对技术标计算出得分</w:t>
      </w:r>
      <w:r>
        <w:rPr>
          <w:rFonts w:ascii="宋体" w:hAnsi="宋体" w:eastAsia="宋体" w:cs="宋体"/>
          <w:color w:val="auto"/>
          <w:spacing w:val="-47"/>
          <w:sz w:val="21"/>
          <w:szCs w:val="21"/>
          <w:highlight w:val="none"/>
        </w:rPr>
        <w:t xml:space="preserve"> </w:t>
      </w:r>
      <w:r>
        <w:rPr>
          <w:rFonts w:ascii="Times New Roman" w:hAnsi="Times New Roman" w:eastAsia="Times New Roman" w:cs="Times New Roman"/>
          <w:color w:val="auto"/>
          <w:spacing w:val="-1"/>
          <w:sz w:val="21"/>
          <w:szCs w:val="21"/>
          <w:highlight w:val="none"/>
        </w:rPr>
        <w:t>B</w:t>
      </w:r>
      <w:r>
        <w:rPr>
          <w:rFonts w:ascii="宋体" w:hAnsi="宋体" w:eastAsia="宋体" w:cs="宋体"/>
          <w:color w:val="auto"/>
          <w:spacing w:val="-1"/>
          <w:sz w:val="21"/>
          <w:szCs w:val="21"/>
          <w:highlight w:val="none"/>
        </w:rPr>
        <w:t>；</w:t>
      </w:r>
    </w:p>
    <w:p w14:paraId="739C86F0">
      <w:pPr>
        <w:spacing w:before="129"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）按本章第</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pacing w:val="-1"/>
          <w:sz w:val="21"/>
          <w:szCs w:val="21"/>
          <w:highlight w:val="none"/>
        </w:rPr>
        <w:t>2.2.4</w:t>
      </w: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）目规定的评审因素和分值对资信标计算出得分</w:t>
      </w:r>
      <w:r>
        <w:rPr>
          <w:rFonts w:ascii="宋体" w:hAnsi="宋体" w:eastAsia="宋体" w:cs="宋体"/>
          <w:color w:val="auto"/>
          <w:spacing w:val="-44"/>
          <w:sz w:val="21"/>
          <w:szCs w:val="21"/>
          <w:highlight w:val="none"/>
        </w:rPr>
        <w:t xml:space="preserve"> </w:t>
      </w:r>
      <w:r>
        <w:rPr>
          <w:rFonts w:ascii="Times New Roman" w:hAnsi="Times New Roman" w:eastAsia="Times New Roman" w:cs="Times New Roman"/>
          <w:color w:val="auto"/>
          <w:spacing w:val="-1"/>
          <w:sz w:val="21"/>
          <w:szCs w:val="21"/>
          <w:highlight w:val="none"/>
        </w:rPr>
        <w:t>C</w:t>
      </w:r>
      <w:r>
        <w:rPr>
          <w:rFonts w:ascii="宋体" w:hAnsi="宋体" w:eastAsia="宋体" w:cs="宋体"/>
          <w:color w:val="auto"/>
          <w:spacing w:val="-1"/>
          <w:sz w:val="21"/>
          <w:szCs w:val="21"/>
          <w:highlight w:val="none"/>
        </w:rPr>
        <w:t>；</w:t>
      </w:r>
    </w:p>
    <w:p w14:paraId="060F07B1">
      <w:pPr>
        <w:spacing w:before="129" w:line="220" w:lineRule="auto"/>
        <w:ind w:left="447"/>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4</w:t>
      </w:r>
      <w:r>
        <w:rPr>
          <w:rFonts w:ascii="宋体" w:hAnsi="宋体" w:eastAsia="宋体" w:cs="宋体"/>
          <w:color w:val="auto"/>
          <w:sz w:val="21"/>
          <w:szCs w:val="21"/>
          <w:highlight w:val="none"/>
        </w:rPr>
        <w:t>）按本章第</w:t>
      </w:r>
      <w:r>
        <w:rPr>
          <w:rFonts w:ascii="宋体" w:hAnsi="宋体" w:eastAsia="宋体" w:cs="宋体"/>
          <w:color w:val="auto"/>
          <w:spacing w:val="-47"/>
          <w:sz w:val="21"/>
          <w:szCs w:val="21"/>
          <w:highlight w:val="none"/>
        </w:rPr>
        <w:t xml:space="preserve"> </w:t>
      </w:r>
      <w:r>
        <w:rPr>
          <w:rFonts w:ascii="Times New Roman" w:hAnsi="Times New Roman" w:eastAsia="Times New Roman" w:cs="Times New Roman"/>
          <w:color w:val="auto"/>
          <w:sz w:val="21"/>
          <w:szCs w:val="21"/>
          <w:highlight w:val="none"/>
        </w:rPr>
        <w:t>2.2.4</w:t>
      </w: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4</w:t>
      </w:r>
      <w:r>
        <w:rPr>
          <w:rFonts w:ascii="宋体" w:hAnsi="宋体" w:eastAsia="宋体" w:cs="宋体"/>
          <w:color w:val="auto"/>
          <w:sz w:val="21"/>
          <w:szCs w:val="21"/>
          <w:highlight w:val="none"/>
        </w:rPr>
        <w:t>）目规定的评审</w:t>
      </w:r>
      <w:r>
        <w:rPr>
          <w:rFonts w:ascii="宋体" w:hAnsi="宋体" w:eastAsia="宋体" w:cs="宋体"/>
          <w:color w:val="auto"/>
          <w:spacing w:val="-1"/>
          <w:sz w:val="21"/>
          <w:szCs w:val="21"/>
          <w:highlight w:val="none"/>
        </w:rPr>
        <w:t>因素和分值对其他因素计算出得分</w:t>
      </w:r>
      <w:r>
        <w:rPr>
          <w:rFonts w:ascii="宋体" w:hAnsi="宋体" w:eastAsia="宋体" w:cs="宋体"/>
          <w:color w:val="auto"/>
          <w:spacing w:val="-53"/>
          <w:sz w:val="21"/>
          <w:szCs w:val="21"/>
          <w:highlight w:val="none"/>
        </w:rPr>
        <w:t xml:space="preserve"> </w:t>
      </w:r>
      <w:r>
        <w:rPr>
          <w:rFonts w:ascii="Times New Roman" w:hAnsi="Times New Roman" w:eastAsia="Times New Roman" w:cs="Times New Roman"/>
          <w:color w:val="auto"/>
          <w:spacing w:val="-1"/>
          <w:sz w:val="21"/>
          <w:szCs w:val="21"/>
          <w:highlight w:val="none"/>
        </w:rPr>
        <w:t>D</w:t>
      </w:r>
      <w:r>
        <w:rPr>
          <w:rFonts w:ascii="宋体" w:hAnsi="宋体" w:eastAsia="宋体" w:cs="宋体"/>
          <w:color w:val="auto"/>
          <w:spacing w:val="-1"/>
          <w:sz w:val="21"/>
          <w:szCs w:val="21"/>
          <w:highlight w:val="none"/>
        </w:rPr>
        <w:t>。</w:t>
      </w:r>
    </w:p>
    <w:p w14:paraId="19650CB7">
      <w:pPr>
        <w:spacing w:line="220" w:lineRule="auto"/>
        <w:rPr>
          <w:rFonts w:ascii="宋体" w:hAnsi="宋体" w:eastAsia="宋体" w:cs="宋体"/>
          <w:color w:val="auto"/>
          <w:sz w:val="21"/>
          <w:szCs w:val="21"/>
          <w:highlight w:val="none"/>
        </w:rPr>
        <w:sectPr>
          <w:footerReference r:id="rId49" w:type="default"/>
          <w:pgSz w:w="11905" w:h="16839"/>
          <w:pgMar w:top="1431" w:right="1614" w:bottom="996" w:left="1785" w:header="0" w:footer="791" w:gutter="0"/>
          <w:pgNumType w:fmt="decimal"/>
          <w:cols w:space="720" w:num="1"/>
        </w:sectPr>
      </w:pPr>
    </w:p>
    <w:p w14:paraId="178FDE0F">
      <w:pPr>
        <w:spacing w:before="129" w:line="221" w:lineRule="auto"/>
        <w:ind w:left="441"/>
        <w:rPr>
          <w:rFonts w:ascii="宋体" w:hAnsi="宋体" w:eastAsia="宋体" w:cs="宋体"/>
          <w:color w:val="auto"/>
          <w:sz w:val="21"/>
          <w:szCs w:val="21"/>
          <w:highlight w:val="none"/>
        </w:rPr>
      </w:pPr>
      <w:bookmarkStart w:id="122" w:name="bookmark151"/>
      <w:bookmarkEnd w:id="122"/>
      <w:bookmarkStart w:id="123" w:name="bookmark150"/>
      <w:bookmarkEnd w:id="123"/>
      <w:r>
        <w:rPr>
          <w:rFonts w:ascii="Times New Roman" w:hAnsi="Times New Roman" w:eastAsia="Times New Roman" w:cs="Times New Roman"/>
          <w:color w:val="auto"/>
          <w:spacing w:val="-3"/>
          <w:sz w:val="21"/>
          <w:szCs w:val="21"/>
          <w:highlight w:val="none"/>
        </w:rPr>
        <w:t xml:space="preserve">3.2.3 </w:t>
      </w:r>
      <w:r>
        <w:rPr>
          <w:rFonts w:ascii="宋体" w:hAnsi="宋体" w:eastAsia="宋体" w:cs="宋体"/>
          <w:color w:val="auto"/>
          <w:spacing w:val="-3"/>
          <w:sz w:val="21"/>
          <w:szCs w:val="21"/>
          <w:highlight w:val="none"/>
        </w:rPr>
        <w:t>评分分值计算保留小数点后两位， 小数点后第三位“四</w:t>
      </w:r>
      <w:r>
        <w:rPr>
          <w:rFonts w:ascii="宋体" w:hAnsi="宋体" w:eastAsia="宋体" w:cs="宋体"/>
          <w:color w:val="auto"/>
          <w:spacing w:val="-4"/>
          <w:sz w:val="21"/>
          <w:szCs w:val="21"/>
          <w:highlight w:val="none"/>
        </w:rPr>
        <w:t>舍五入”。</w:t>
      </w:r>
    </w:p>
    <w:p w14:paraId="596E18E7">
      <w:pPr>
        <w:spacing w:before="127" w:line="221"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3.2.4 </w:t>
      </w:r>
      <w:r>
        <w:rPr>
          <w:rFonts w:ascii="宋体" w:hAnsi="宋体" w:eastAsia="宋体" w:cs="宋体"/>
          <w:color w:val="auto"/>
          <w:spacing w:val="-1"/>
          <w:sz w:val="21"/>
          <w:szCs w:val="21"/>
          <w:highlight w:val="none"/>
        </w:rPr>
        <w:t>投标人得分</w:t>
      </w:r>
      <w:r>
        <w:rPr>
          <w:rFonts w:ascii="Times New Roman" w:hAnsi="Times New Roman" w:eastAsia="Times New Roman" w:cs="Times New Roman"/>
          <w:color w:val="auto"/>
          <w:spacing w:val="-1"/>
          <w:sz w:val="21"/>
          <w:szCs w:val="21"/>
          <w:highlight w:val="none"/>
        </w:rPr>
        <w:t>=A+B+C+D</w:t>
      </w:r>
      <w:r>
        <w:rPr>
          <w:rFonts w:ascii="宋体" w:hAnsi="宋体" w:eastAsia="宋体" w:cs="宋体"/>
          <w:color w:val="auto"/>
          <w:spacing w:val="-1"/>
          <w:sz w:val="21"/>
          <w:szCs w:val="21"/>
          <w:highlight w:val="none"/>
        </w:rPr>
        <w:t>。</w:t>
      </w:r>
    </w:p>
    <w:p w14:paraId="012C4206">
      <w:pPr>
        <w:spacing w:before="128" w:line="220"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3.2.5 </w:t>
      </w:r>
      <w:r>
        <w:rPr>
          <w:rFonts w:ascii="宋体" w:hAnsi="宋体" w:eastAsia="宋体" w:cs="宋体"/>
          <w:color w:val="auto"/>
          <w:sz w:val="21"/>
          <w:szCs w:val="21"/>
          <w:highlight w:val="none"/>
        </w:rPr>
        <w:t>各投标人评分结果汇总确定办法详见评</w:t>
      </w:r>
      <w:r>
        <w:rPr>
          <w:rFonts w:ascii="宋体" w:hAnsi="宋体" w:eastAsia="宋体" w:cs="宋体"/>
          <w:color w:val="auto"/>
          <w:spacing w:val="-1"/>
          <w:sz w:val="21"/>
          <w:szCs w:val="21"/>
          <w:highlight w:val="none"/>
        </w:rPr>
        <w:t>标办法前附表。</w:t>
      </w:r>
    </w:p>
    <w:p w14:paraId="014BD98B">
      <w:pPr>
        <w:spacing w:before="128" w:line="219"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3.3 </w:t>
      </w:r>
      <w:r>
        <w:rPr>
          <w:rFonts w:ascii="黑体" w:hAnsi="黑体" w:eastAsia="黑体" w:cs="黑体"/>
          <w:color w:val="auto"/>
          <w:spacing w:val="-1"/>
          <w:sz w:val="24"/>
          <w:szCs w:val="24"/>
          <w:highlight w:val="none"/>
        </w:rPr>
        <w:t>投标文件的澄清和补正</w:t>
      </w:r>
    </w:p>
    <w:p w14:paraId="69C7B800">
      <w:pPr>
        <w:spacing w:before="121" w:line="333" w:lineRule="auto"/>
        <w:ind w:left="17" w:right="11" w:firstLine="424"/>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3.3.1</w:t>
      </w:r>
      <w:r>
        <w:rPr>
          <w:rFonts w:ascii="Times New Roman" w:hAnsi="Times New Roman" w:eastAsia="Times New Roman" w:cs="Times New Roman"/>
          <w:color w:val="auto"/>
          <w:spacing w:val="41"/>
          <w:w w:val="101"/>
          <w:sz w:val="21"/>
          <w:szCs w:val="21"/>
          <w:highlight w:val="none"/>
        </w:rPr>
        <w:t xml:space="preserve"> </w:t>
      </w:r>
      <w:r>
        <w:rPr>
          <w:rFonts w:ascii="宋体" w:hAnsi="宋体" w:eastAsia="宋体" w:cs="宋体"/>
          <w:color w:val="auto"/>
          <w:sz w:val="21"/>
          <w:szCs w:val="21"/>
          <w:highlight w:val="none"/>
        </w:rPr>
        <w:t>在评标过程中，评标委员会可以书面形式要求投标人对投标</w:t>
      </w:r>
      <w:r>
        <w:rPr>
          <w:rFonts w:ascii="宋体" w:hAnsi="宋体" w:eastAsia="宋体" w:cs="宋体"/>
          <w:color w:val="auto"/>
          <w:spacing w:val="-1"/>
          <w:sz w:val="21"/>
          <w:szCs w:val="21"/>
          <w:highlight w:val="none"/>
        </w:rPr>
        <w:t>文件中含义不明确、</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对同类问题表述不一致或者有明显文字和计算错误的内容作必要的澄清、说明</w:t>
      </w:r>
      <w:r>
        <w:rPr>
          <w:rFonts w:ascii="宋体" w:hAnsi="宋体" w:eastAsia="宋体" w:cs="宋体"/>
          <w:color w:val="auto"/>
          <w:spacing w:val="2"/>
          <w:sz w:val="21"/>
          <w:szCs w:val="21"/>
          <w:highlight w:val="none"/>
        </w:rPr>
        <w:t>或补正。澄</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清、说明或补正应以书面方式进行。评标委员会不接受投标人主动提出的澄清</w:t>
      </w:r>
      <w:r>
        <w:rPr>
          <w:rFonts w:ascii="宋体" w:hAnsi="宋体" w:eastAsia="宋体" w:cs="宋体"/>
          <w:color w:val="auto"/>
          <w:spacing w:val="2"/>
          <w:sz w:val="21"/>
          <w:szCs w:val="21"/>
          <w:highlight w:val="none"/>
        </w:rPr>
        <w:t>、说明或补</w:t>
      </w:r>
    </w:p>
    <w:p w14:paraId="3CFD4467">
      <w:pPr>
        <w:spacing w:before="1" w:line="233" w:lineRule="auto"/>
        <w:ind w:left="22"/>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正。</w:t>
      </w:r>
    </w:p>
    <w:p w14:paraId="6CDD206D">
      <w:pPr>
        <w:spacing w:before="118" w:line="379" w:lineRule="exact"/>
        <w:ind w:right="10"/>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6"/>
          <w:position w:val="12"/>
          <w:sz w:val="21"/>
          <w:szCs w:val="21"/>
          <w:highlight w:val="none"/>
        </w:rPr>
        <w:t>3.3.2</w:t>
      </w:r>
      <w:r>
        <w:rPr>
          <w:rFonts w:ascii="Times New Roman" w:hAnsi="Times New Roman" w:eastAsia="Times New Roman" w:cs="Times New Roman"/>
          <w:color w:val="auto"/>
          <w:spacing w:val="38"/>
          <w:position w:val="12"/>
          <w:sz w:val="21"/>
          <w:szCs w:val="21"/>
          <w:highlight w:val="none"/>
        </w:rPr>
        <w:t xml:space="preserve"> </w:t>
      </w:r>
      <w:r>
        <w:rPr>
          <w:rFonts w:ascii="宋体" w:hAnsi="宋体" w:eastAsia="宋体" w:cs="宋体"/>
          <w:color w:val="auto"/>
          <w:spacing w:val="6"/>
          <w:position w:val="12"/>
          <w:sz w:val="21"/>
          <w:szCs w:val="21"/>
          <w:highlight w:val="none"/>
        </w:rPr>
        <w:t>澄清、说明和补正不得超出投标文件的范围且不得改变投标文件的</w:t>
      </w:r>
      <w:r>
        <w:rPr>
          <w:rFonts w:ascii="宋体" w:hAnsi="宋体" w:eastAsia="宋体" w:cs="宋体"/>
          <w:color w:val="auto"/>
          <w:spacing w:val="5"/>
          <w:position w:val="12"/>
          <w:sz w:val="21"/>
          <w:szCs w:val="21"/>
          <w:highlight w:val="none"/>
        </w:rPr>
        <w:t>实质性内容</w:t>
      </w:r>
    </w:p>
    <w:p w14:paraId="439D3DB2">
      <w:pPr>
        <w:spacing w:before="1" w:line="219" w:lineRule="auto"/>
        <w:ind w:left="2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（算术错误修正的除外）。投标人的书面澄清、说明和补正属于投标文件的组成部分。</w:t>
      </w:r>
    </w:p>
    <w:p w14:paraId="3EC86271">
      <w:pPr>
        <w:spacing w:before="129" w:line="379" w:lineRule="exact"/>
        <w:ind w:right="8"/>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2"/>
          <w:sz w:val="21"/>
          <w:szCs w:val="21"/>
          <w:highlight w:val="none"/>
        </w:rPr>
        <w:t>3.3.3</w:t>
      </w:r>
      <w:r>
        <w:rPr>
          <w:rFonts w:ascii="Times New Roman" w:hAnsi="Times New Roman" w:eastAsia="Times New Roman" w:cs="Times New Roman"/>
          <w:color w:val="auto"/>
          <w:spacing w:val="32"/>
          <w:position w:val="12"/>
          <w:sz w:val="21"/>
          <w:szCs w:val="21"/>
          <w:highlight w:val="none"/>
        </w:rPr>
        <w:t xml:space="preserve"> </w:t>
      </w:r>
      <w:r>
        <w:rPr>
          <w:rFonts w:ascii="宋体" w:hAnsi="宋体" w:eastAsia="宋体" w:cs="宋体"/>
          <w:color w:val="auto"/>
          <w:spacing w:val="1"/>
          <w:position w:val="12"/>
          <w:sz w:val="21"/>
          <w:szCs w:val="21"/>
          <w:highlight w:val="none"/>
        </w:rPr>
        <w:t>评标委员会对投标人提交的澄清、说明或补正有疑</w:t>
      </w:r>
      <w:r>
        <w:rPr>
          <w:rFonts w:ascii="宋体" w:hAnsi="宋体" w:eastAsia="宋体" w:cs="宋体"/>
          <w:color w:val="auto"/>
          <w:position w:val="12"/>
          <w:sz w:val="21"/>
          <w:szCs w:val="21"/>
          <w:highlight w:val="none"/>
        </w:rPr>
        <w:t>问的，可以要求投标人进一步</w:t>
      </w:r>
    </w:p>
    <w:p w14:paraId="10406457">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澄清、说明或补正， 直至满足评标委员会的要求。</w:t>
      </w:r>
    </w:p>
    <w:p w14:paraId="0240BB8A">
      <w:pPr>
        <w:spacing w:before="129" w:line="335" w:lineRule="auto"/>
        <w:ind w:left="18" w:right="3"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3.3.4</w:t>
      </w:r>
      <w:r>
        <w:rPr>
          <w:rFonts w:ascii="Times New Roman" w:hAnsi="Times New Roman" w:eastAsia="Times New Roman" w:cs="Times New Roman"/>
          <w:color w:val="auto"/>
          <w:spacing w:val="41"/>
          <w:w w:val="101"/>
          <w:sz w:val="21"/>
          <w:szCs w:val="21"/>
          <w:highlight w:val="none"/>
        </w:rPr>
        <w:t xml:space="preserve"> </w:t>
      </w:r>
      <w:r>
        <w:rPr>
          <w:rFonts w:ascii="宋体" w:hAnsi="宋体" w:eastAsia="宋体" w:cs="宋体"/>
          <w:color w:val="auto"/>
          <w:spacing w:val="1"/>
          <w:sz w:val="21"/>
          <w:szCs w:val="21"/>
          <w:highlight w:val="none"/>
        </w:rPr>
        <w:t>评标委员会要求投标人对投标文件问题</w:t>
      </w:r>
      <w:r>
        <w:rPr>
          <w:rFonts w:ascii="宋体" w:hAnsi="宋体" w:eastAsia="宋体" w:cs="宋体"/>
          <w:color w:val="auto"/>
          <w:sz w:val="21"/>
          <w:szCs w:val="21"/>
          <w:highlight w:val="none"/>
        </w:rPr>
        <w:t>澄清的通知，以及投标人对投标文件的澄 清通过电子招标投标系统（辽宁省工程建设项</w:t>
      </w:r>
      <w:r>
        <w:rPr>
          <w:rFonts w:ascii="宋体" w:hAnsi="宋体" w:eastAsia="宋体" w:cs="宋体"/>
          <w:color w:val="auto"/>
          <w:spacing w:val="-1"/>
          <w:sz w:val="21"/>
          <w:szCs w:val="21"/>
          <w:highlight w:val="none"/>
        </w:rPr>
        <w:t>目数字化开标评标系统） 以书面形式进行。</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投标人的澄清、说明或补正应在评标办法前附表通知规定的时间要求内提交，否则评标委</w:t>
      </w:r>
    </w:p>
    <w:p w14:paraId="5B9B7DE2">
      <w:pPr>
        <w:spacing w:before="1" w:line="219" w:lineRule="auto"/>
        <w:ind w:left="2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员会（电子招标投标系统）将拒绝接收。</w:t>
      </w:r>
    </w:p>
    <w:p w14:paraId="347E1C6C">
      <w:pPr>
        <w:spacing w:before="124" w:line="219"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3.4</w:t>
      </w:r>
      <w:r>
        <w:rPr>
          <w:rFonts w:ascii="Times New Roman" w:hAnsi="Times New Roman" w:eastAsia="Times New Roman" w:cs="Times New Roman"/>
          <w:color w:val="auto"/>
          <w:spacing w:val="11"/>
          <w:sz w:val="24"/>
          <w:szCs w:val="24"/>
          <w:highlight w:val="none"/>
        </w:rPr>
        <w:t xml:space="preserve"> </w:t>
      </w:r>
      <w:r>
        <w:rPr>
          <w:rFonts w:ascii="黑体" w:hAnsi="黑体" w:eastAsia="黑体" w:cs="黑体"/>
          <w:color w:val="auto"/>
          <w:spacing w:val="-2"/>
          <w:sz w:val="24"/>
          <w:szCs w:val="24"/>
          <w:highlight w:val="none"/>
        </w:rPr>
        <w:t>评标结果</w:t>
      </w:r>
    </w:p>
    <w:p w14:paraId="2DA67C9A">
      <w:pPr>
        <w:spacing w:before="119" w:line="380" w:lineRule="exact"/>
        <w:ind w:right="3"/>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2"/>
          <w:sz w:val="21"/>
          <w:szCs w:val="21"/>
          <w:highlight w:val="none"/>
        </w:rPr>
        <w:t>3.4.1</w:t>
      </w:r>
      <w:r>
        <w:rPr>
          <w:rFonts w:ascii="Times New Roman" w:hAnsi="Times New Roman" w:eastAsia="Times New Roman" w:cs="Times New Roman"/>
          <w:color w:val="auto"/>
          <w:spacing w:val="41"/>
          <w:w w:val="101"/>
          <w:position w:val="12"/>
          <w:sz w:val="21"/>
          <w:szCs w:val="21"/>
          <w:highlight w:val="none"/>
        </w:rPr>
        <w:t xml:space="preserve"> </w:t>
      </w:r>
      <w:r>
        <w:rPr>
          <w:rFonts w:ascii="宋体" w:hAnsi="宋体" w:eastAsia="宋体" w:cs="宋体"/>
          <w:color w:val="auto"/>
          <w:spacing w:val="1"/>
          <w:position w:val="12"/>
          <w:sz w:val="21"/>
          <w:szCs w:val="21"/>
          <w:highlight w:val="none"/>
        </w:rPr>
        <w:t>评标委员会按照本章评标办法前附表规</w:t>
      </w:r>
      <w:r>
        <w:rPr>
          <w:rFonts w:ascii="宋体" w:hAnsi="宋体" w:eastAsia="宋体" w:cs="宋体"/>
          <w:color w:val="auto"/>
          <w:position w:val="12"/>
          <w:sz w:val="21"/>
          <w:szCs w:val="21"/>
          <w:highlight w:val="none"/>
        </w:rPr>
        <w:t>定的推荐方法和第二章“投标人须知”前</w:t>
      </w:r>
    </w:p>
    <w:p w14:paraId="36F20398">
      <w:pPr>
        <w:spacing w:before="1" w:line="219" w:lineRule="auto"/>
        <w:ind w:left="3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附表第</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pacing w:val="-2"/>
          <w:sz w:val="21"/>
          <w:szCs w:val="21"/>
          <w:highlight w:val="none"/>
        </w:rPr>
        <w:t xml:space="preserve">7.1 </w:t>
      </w:r>
      <w:r>
        <w:rPr>
          <w:rFonts w:ascii="宋体" w:hAnsi="宋体" w:eastAsia="宋体" w:cs="宋体"/>
          <w:color w:val="auto"/>
          <w:spacing w:val="-2"/>
          <w:sz w:val="21"/>
          <w:szCs w:val="21"/>
          <w:highlight w:val="none"/>
        </w:rPr>
        <w:t>款推荐的中标候选人数量推荐中标候选人。</w:t>
      </w:r>
    </w:p>
    <w:p w14:paraId="3AB9204A">
      <w:pPr>
        <w:spacing w:before="134" w:line="219"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3.4.2 </w:t>
      </w:r>
      <w:r>
        <w:rPr>
          <w:rFonts w:ascii="宋体" w:hAnsi="宋体" w:eastAsia="宋体" w:cs="宋体"/>
          <w:color w:val="auto"/>
          <w:spacing w:val="-1"/>
          <w:sz w:val="21"/>
          <w:szCs w:val="21"/>
          <w:highlight w:val="none"/>
        </w:rPr>
        <w:t>评标委员会完成评标后，应当向招标人提</w:t>
      </w:r>
      <w:r>
        <w:rPr>
          <w:rFonts w:ascii="宋体" w:hAnsi="宋体" w:eastAsia="宋体" w:cs="宋体"/>
          <w:color w:val="auto"/>
          <w:spacing w:val="-2"/>
          <w:sz w:val="21"/>
          <w:szCs w:val="21"/>
          <w:highlight w:val="none"/>
        </w:rPr>
        <w:t>交书面评标报告。</w:t>
      </w:r>
    </w:p>
    <w:p w14:paraId="09B2F590">
      <w:pPr>
        <w:spacing w:before="132" w:line="333" w:lineRule="auto"/>
        <w:ind w:left="18" w:right="11"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3.4.3</w:t>
      </w:r>
      <w:r>
        <w:rPr>
          <w:rFonts w:ascii="Times New Roman" w:hAnsi="Times New Roman" w:eastAsia="Times New Roman" w:cs="Times New Roman"/>
          <w:color w:val="auto"/>
          <w:spacing w:val="56"/>
          <w:sz w:val="21"/>
          <w:szCs w:val="21"/>
          <w:highlight w:val="none"/>
        </w:rPr>
        <w:t xml:space="preserve"> </w:t>
      </w:r>
      <w:r>
        <w:rPr>
          <w:rFonts w:ascii="宋体" w:hAnsi="宋体" w:eastAsia="宋体" w:cs="宋体"/>
          <w:color w:val="auto"/>
          <w:spacing w:val="-1"/>
          <w:sz w:val="21"/>
          <w:szCs w:val="21"/>
          <w:highlight w:val="none"/>
        </w:rPr>
        <w:t>投标人串通投标或弄虚作假或有其他违法行为，评标委员会在评标过程中发现，</w:t>
      </w:r>
      <w:r>
        <w:rPr>
          <w:rFonts w:ascii="宋体" w:hAnsi="宋体" w:eastAsia="宋体" w:cs="宋体"/>
          <w:color w:val="auto"/>
          <w:sz w:val="21"/>
          <w:szCs w:val="21"/>
          <w:highlight w:val="none"/>
        </w:rPr>
        <w:t xml:space="preserve"> 证据确凿的， 经评标委员会成员三分之二以上同意，其投标作否决投标处理；证据不够确</w:t>
      </w:r>
      <w:r>
        <w:rPr>
          <w:rFonts w:ascii="宋体" w:hAnsi="宋体" w:eastAsia="宋体" w:cs="宋体"/>
          <w:color w:val="auto"/>
          <w:spacing w:val="6"/>
          <w:sz w:val="21"/>
          <w:szCs w:val="21"/>
          <w:highlight w:val="none"/>
        </w:rPr>
        <w:t xml:space="preserve"> </w:t>
      </w:r>
      <w:r>
        <w:rPr>
          <w:rFonts w:ascii="宋体" w:hAnsi="宋体" w:eastAsia="宋体" w:cs="宋体"/>
          <w:color w:val="auto"/>
          <w:sz w:val="21"/>
          <w:szCs w:val="21"/>
          <w:highlight w:val="none"/>
        </w:rPr>
        <w:t>凿的， 其投标不能作否决投标处理，但评标委员会在向招标人提交书面评标报告时，应予</w:t>
      </w:r>
      <w:r>
        <w:rPr>
          <w:rFonts w:ascii="宋体" w:hAnsi="宋体" w:eastAsia="宋体" w:cs="宋体"/>
          <w:color w:val="auto"/>
          <w:spacing w:val="6"/>
          <w:sz w:val="21"/>
          <w:szCs w:val="21"/>
          <w:highlight w:val="none"/>
        </w:rPr>
        <w:t xml:space="preserve"> </w:t>
      </w:r>
      <w:r>
        <w:rPr>
          <w:rFonts w:ascii="宋体" w:hAnsi="宋体" w:eastAsia="宋体" w:cs="宋体"/>
          <w:color w:val="auto"/>
          <w:sz w:val="21"/>
          <w:szCs w:val="21"/>
          <w:highlight w:val="none"/>
        </w:rPr>
        <w:t>说明。在评标结束后发现投标人串通投标或弄虚作假或有其他违法行为，查证属实的， 取</w:t>
      </w:r>
    </w:p>
    <w:p w14:paraId="08923A9D">
      <w:pPr>
        <w:spacing w:line="220" w:lineRule="auto"/>
        <w:ind w:left="2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消其中标资格。</w:t>
      </w:r>
    </w:p>
    <w:p w14:paraId="383BD626">
      <w:pPr>
        <w:spacing w:line="220" w:lineRule="auto"/>
        <w:rPr>
          <w:rFonts w:ascii="宋体" w:hAnsi="宋体" w:eastAsia="宋体" w:cs="宋体"/>
          <w:color w:val="auto"/>
          <w:sz w:val="21"/>
          <w:szCs w:val="21"/>
          <w:highlight w:val="none"/>
        </w:rPr>
        <w:sectPr>
          <w:footerReference r:id="rId50" w:type="default"/>
          <w:pgSz w:w="11905" w:h="16839"/>
          <w:pgMar w:top="1431" w:right="1785" w:bottom="996" w:left="1785" w:header="0" w:footer="791" w:gutter="0"/>
          <w:pgNumType w:fmt="decimal"/>
          <w:cols w:space="720" w:num="1"/>
        </w:sectPr>
      </w:pPr>
    </w:p>
    <w:p w14:paraId="4EC6CCC4">
      <w:pPr>
        <w:pStyle w:val="3"/>
        <w:spacing w:before="306" w:line="219" w:lineRule="auto"/>
        <w:ind w:left="3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附件</w:t>
      </w:r>
      <w:r>
        <w:rPr>
          <w:rFonts w:ascii="黑体" w:hAnsi="黑体" w:eastAsia="黑体" w:cs="黑体"/>
          <w:color w:val="auto"/>
          <w:spacing w:val="-56"/>
          <w:sz w:val="24"/>
          <w:szCs w:val="24"/>
          <w:highlight w:val="none"/>
        </w:rPr>
        <w:t xml:space="preserve"> </w:t>
      </w:r>
      <w:r>
        <w:rPr>
          <w:color w:val="auto"/>
          <w:spacing w:val="-3"/>
          <w:sz w:val="24"/>
          <w:szCs w:val="24"/>
          <w:highlight w:val="none"/>
        </w:rPr>
        <w:t>A</w:t>
      </w:r>
      <w:r>
        <w:rPr>
          <w:rFonts w:ascii="黑体" w:hAnsi="黑体" w:eastAsia="黑体" w:cs="黑体"/>
          <w:color w:val="auto"/>
          <w:spacing w:val="-3"/>
          <w:sz w:val="24"/>
          <w:szCs w:val="24"/>
          <w:highlight w:val="none"/>
        </w:rPr>
        <w:t>：评标详细程序</w:t>
      </w:r>
    </w:p>
    <w:p w14:paraId="0B88C92F">
      <w:pPr>
        <w:pStyle w:val="3"/>
        <w:spacing w:line="427" w:lineRule="auto"/>
        <w:rPr>
          <w:color w:val="auto"/>
          <w:highlight w:val="none"/>
        </w:rPr>
      </w:pPr>
    </w:p>
    <w:p w14:paraId="206FB091">
      <w:pPr>
        <w:spacing w:before="88" w:line="225" w:lineRule="auto"/>
        <w:ind w:left="3333"/>
        <w:rPr>
          <w:rFonts w:ascii="黑体" w:hAnsi="黑体" w:eastAsia="黑体" w:cs="黑体"/>
          <w:color w:val="auto"/>
          <w:sz w:val="27"/>
          <w:szCs w:val="27"/>
          <w:highlight w:val="none"/>
        </w:rPr>
      </w:pPr>
      <w:bookmarkStart w:id="124" w:name="bookmark154"/>
      <w:bookmarkEnd w:id="124"/>
      <w:bookmarkStart w:id="125" w:name="bookmark156"/>
      <w:bookmarkEnd w:id="125"/>
      <w:bookmarkStart w:id="126" w:name="bookmark157"/>
      <w:bookmarkEnd w:id="126"/>
      <w:bookmarkStart w:id="127" w:name="bookmark153"/>
      <w:bookmarkEnd w:id="127"/>
      <w:bookmarkStart w:id="128" w:name="bookmark152"/>
      <w:bookmarkEnd w:id="128"/>
      <w:bookmarkStart w:id="129" w:name="bookmark155"/>
      <w:bookmarkEnd w:id="129"/>
      <w:r>
        <w:rPr>
          <w:rFonts w:ascii="黑体" w:hAnsi="黑体" w:eastAsia="黑体" w:cs="黑体"/>
          <w:color w:val="auto"/>
          <w:spacing w:val="9"/>
          <w:sz w:val="27"/>
          <w:szCs w:val="27"/>
          <w:highlight w:val="none"/>
          <w14:textOutline w14:w="5050" w14:cap="flat" w14:cmpd="sng">
            <w14:solidFill>
              <w14:srgbClr w14:val="000000"/>
            </w14:solidFill>
            <w14:prstDash w14:val="solid"/>
            <w14:miter w14:val="0"/>
          </w14:textOutline>
        </w:rPr>
        <w:t>评标详细程序</w:t>
      </w:r>
    </w:p>
    <w:p w14:paraId="2FDE6AF1">
      <w:pPr>
        <w:spacing w:before="107" w:line="219" w:lineRule="auto"/>
        <w:ind w:left="11"/>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A0.</w:t>
      </w:r>
      <w:r>
        <w:rPr>
          <w:rFonts w:ascii="黑体" w:hAnsi="黑体" w:eastAsia="黑体" w:cs="黑体"/>
          <w:color w:val="auto"/>
          <w:sz w:val="24"/>
          <w:szCs w:val="24"/>
          <w:highlight w:val="none"/>
        </w:rPr>
        <w:t>总</w:t>
      </w:r>
      <w:r>
        <w:rPr>
          <w:rFonts w:ascii="黑体" w:hAnsi="黑体" w:eastAsia="黑体" w:cs="黑体"/>
          <w:color w:val="auto"/>
          <w:spacing w:val="13"/>
          <w:sz w:val="24"/>
          <w:szCs w:val="24"/>
          <w:highlight w:val="none"/>
        </w:rPr>
        <w:t xml:space="preserve"> </w:t>
      </w:r>
      <w:r>
        <w:rPr>
          <w:rFonts w:ascii="黑体" w:hAnsi="黑体" w:eastAsia="黑体" w:cs="黑体"/>
          <w:color w:val="auto"/>
          <w:sz w:val="24"/>
          <w:szCs w:val="24"/>
          <w:highlight w:val="none"/>
        </w:rPr>
        <w:t>则</w:t>
      </w:r>
    </w:p>
    <w:p w14:paraId="6F00E7B7">
      <w:pPr>
        <w:spacing w:before="143" w:line="398" w:lineRule="exact"/>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本附件是本章“评标办法”的组成部分，是对本章第 3 条所规定的评标程序的进一步</w:t>
      </w:r>
    </w:p>
    <w:p w14:paraId="6488511A">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z w:val="21"/>
          <w:szCs w:val="21"/>
          <w:highlight w:val="none"/>
        </w:rPr>
        <w:t>细化，评标委员会应当按照本附件所规定的详细程序开展并完成评</w:t>
      </w:r>
      <w:r>
        <w:rPr>
          <w:rFonts w:ascii="宋体" w:hAnsi="宋体" w:eastAsia="宋体" w:cs="宋体"/>
          <w:color w:val="auto"/>
          <w:spacing w:val="-1"/>
          <w:sz w:val="21"/>
          <w:szCs w:val="21"/>
          <w:highlight w:val="none"/>
        </w:rPr>
        <w:t>标工作。</w:t>
      </w:r>
    </w:p>
    <w:p w14:paraId="20A3F95C">
      <w:pPr>
        <w:spacing w:before="123" w:line="219" w:lineRule="auto"/>
        <w:ind w:left="11"/>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A1.</w:t>
      </w:r>
      <w:r>
        <w:rPr>
          <w:rFonts w:ascii="黑体" w:hAnsi="黑体" w:eastAsia="黑体" w:cs="黑体"/>
          <w:color w:val="auto"/>
          <w:sz w:val="24"/>
          <w:szCs w:val="24"/>
          <w:highlight w:val="none"/>
        </w:rPr>
        <w:t>基本程序</w:t>
      </w:r>
    </w:p>
    <w:p w14:paraId="4D1F2761">
      <w:pPr>
        <w:spacing w:before="144" w:line="398" w:lineRule="exact"/>
        <w:ind w:left="440"/>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评标活动将按以下五个步骤进行：</w:t>
      </w:r>
    </w:p>
    <w:p w14:paraId="760EF497">
      <w:pPr>
        <w:spacing w:before="1" w:line="221"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（1）评标准备；</w:t>
      </w:r>
    </w:p>
    <w:p w14:paraId="6FA3DB3B">
      <w:pPr>
        <w:spacing w:before="146" w:line="221"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（2）初步评审；</w:t>
      </w:r>
    </w:p>
    <w:p w14:paraId="1797CDE5">
      <w:pPr>
        <w:spacing w:before="152" w:line="221"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（3）详细评审；</w:t>
      </w:r>
    </w:p>
    <w:p w14:paraId="6AAFBA94">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（4）澄清、说明或补正；</w:t>
      </w:r>
    </w:p>
    <w:p w14:paraId="4A424C33">
      <w:pPr>
        <w:spacing w:before="148" w:line="378" w:lineRule="exact"/>
        <w:ind w:left="447"/>
        <w:rPr>
          <w:rFonts w:ascii="宋体" w:hAnsi="宋体" w:eastAsia="宋体" w:cs="宋体"/>
          <w:color w:val="auto"/>
          <w:sz w:val="21"/>
          <w:szCs w:val="21"/>
          <w:highlight w:val="none"/>
        </w:rPr>
      </w:pPr>
      <w:r>
        <w:rPr>
          <w:rFonts w:ascii="宋体" w:hAnsi="宋体" w:eastAsia="宋体" w:cs="宋体"/>
          <w:color w:val="auto"/>
          <w:spacing w:val="-2"/>
          <w:position w:val="12"/>
          <w:sz w:val="21"/>
          <w:szCs w:val="21"/>
          <w:highlight w:val="none"/>
        </w:rPr>
        <w:t>（5）推荐中标候选人或者直接确定中标人及提交评标报告。</w:t>
      </w:r>
    </w:p>
    <w:p w14:paraId="2968EFD3">
      <w:pPr>
        <w:spacing w:before="1" w:line="218" w:lineRule="auto"/>
        <w:ind w:left="11"/>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A2.</w:t>
      </w:r>
      <w:r>
        <w:rPr>
          <w:rFonts w:ascii="黑体" w:hAnsi="黑体" w:eastAsia="黑体" w:cs="黑体"/>
          <w:color w:val="auto"/>
          <w:sz w:val="24"/>
          <w:szCs w:val="24"/>
          <w:highlight w:val="none"/>
        </w:rPr>
        <w:t>评标准备</w:t>
      </w:r>
    </w:p>
    <w:p w14:paraId="0F4A75BA">
      <w:pPr>
        <w:spacing w:before="139"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A2.1 </w:t>
      </w:r>
      <w:r>
        <w:rPr>
          <w:rFonts w:ascii="黑体" w:hAnsi="黑体" w:eastAsia="黑体" w:cs="黑体"/>
          <w:color w:val="auto"/>
          <w:spacing w:val="-1"/>
          <w:sz w:val="21"/>
          <w:szCs w:val="21"/>
          <w:highlight w:val="none"/>
        </w:rPr>
        <w:t>评标委员会成员签到</w:t>
      </w:r>
    </w:p>
    <w:p w14:paraId="3FB19267">
      <w:pPr>
        <w:spacing w:before="150" w:line="403" w:lineRule="exact"/>
        <w:ind w:right="3"/>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评标委员会成员到达评标现场时应在签到表上签到以证明其出席。评标委员会签到表</w:t>
      </w:r>
    </w:p>
    <w:p w14:paraId="684D36EE">
      <w:pPr>
        <w:spacing w:before="1" w:line="219"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见</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36"/>
          <w:sz w:val="21"/>
          <w:szCs w:val="21"/>
          <w:highlight w:val="none"/>
        </w:rPr>
        <w:t xml:space="preserve">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A-1</w:t>
      </w:r>
      <w:r>
        <w:rPr>
          <w:rFonts w:ascii="宋体" w:hAnsi="宋体" w:eastAsia="宋体" w:cs="宋体"/>
          <w:color w:val="auto"/>
          <w:spacing w:val="-1"/>
          <w:sz w:val="21"/>
          <w:szCs w:val="21"/>
          <w:highlight w:val="none"/>
        </w:rPr>
        <w:t>。并按照要求阅读评标纪律。</w:t>
      </w:r>
    </w:p>
    <w:p w14:paraId="19C41219">
      <w:pPr>
        <w:spacing w:before="147" w:line="352" w:lineRule="auto"/>
        <w:ind w:left="18" w:right="6" w:firstLine="422"/>
        <w:rPr>
          <w:rFonts w:ascii="宋体" w:hAnsi="宋体" w:eastAsia="宋体" w:cs="宋体"/>
          <w:color w:val="auto"/>
          <w:sz w:val="21"/>
          <w:szCs w:val="21"/>
          <w:highlight w:val="none"/>
        </w:rPr>
      </w:pPr>
      <w:r>
        <w:rPr>
          <w:rFonts w:ascii="宋体" w:hAnsi="宋体" w:eastAsia="宋体" w:cs="宋体"/>
          <w:color w:val="auto"/>
          <w:sz w:val="21"/>
          <w:szCs w:val="21"/>
          <w:highlight w:val="none"/>
        </w:rPr>
        <w:t>评标委员会成员在评标前， 应当签订签署评标专家告知承诺函。评标专家告知承诺函</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见</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A-2。</w:t>
      </w:r>
      <w:r>
        <w:rPr>
          <w:rFonts w:ascii="宋体" w:hAnsi="宋体" w:eastAsia="宋体" w:cs="宋体"/>
          <w:color w:val="auto"/>
          <w:sz w:val="21"/>
          <w:szCs w:val="21"/>
          <w:highlight w:val="none"/>
        </w:rPr>
        <w:t>评标委员会成员对尽职、回避、保密、廉洁， 不参与串通投标等进行承诺，</w:t>
      </w:r>
      <w:r>
        <w:rPr>
          <w:rFonts w:ascii="宋体" w:hAnsi="宋体" w:eastAsia="宋体" w:cs="宋体"/>
          <w:color w:val="auto"/>
          <w:spacing w:val="2"/>
          <w:sz w:val="21"/>
          <w:szCs w:val="21"/>
          <w:highlight w:val="none"/>
        </w:rPr>
        <w:t xml:space="preserve"> </w:t>
      </w:r>
      <w:r>
        <w:rPr>
          <w:rFonts w:ascii="宋体" w:hAnsi="宋体" w:eastAsia="宋体" w:cs="宋体"/>
          <w:color w:val="auto"/>
          <w:spacing w:val="3"/>
          <w:sz w:val="21"/>
          <w:szCs w:val="21"/>
          <w:highlight w:val="none"/>
        </w:rPr>
        <w:t>承诺遵守有关评标管理规定以及评标纪律，客观、公正地进行评标，并接受</w:t>
      </w:r>
      <w:r>
        <w:rPr>
          <w:rFonts w:ascii="宋体" w:hAnsi="宋体" w:eastAsia="宋体" w:cs="宋体"/>
          <w:color w:val="auto"/>
          <w:spacing w:val="2"/>
          <w:sz w:val="21"/>
          <w:szCs w:val="21"/>
          <w:highlight w:val="none"/>
        </w:rPr>
        <w:t>招投标监管部</w:t>
      </w:r>
    </w:p>
    <w:p w14:paraId="60FDC650">
      <w:pPr>
        <w:spacing w:line="222" w:lineRule="auto"/>
        <w:ind w:left="42"/>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门的监督。</w:t>
      </w:r>
    </w:p>
    <w:p w14:paraId="0DA47EB1">
      <w:pPr>
        <w:spacing w:before="146"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A2.2 </w:t>
      </w:r>
      <w:r>
        <w:rPr>
          <w:rFonts w:ascii="黑体" w:hAnsi="黑体" w:eastAsia="黑体" w:cs="黑体"/>
          <w:color w:val="auto"/>
          <w:spacing w:val="-1"/>
          <w:sz w:val="21"/>
          <w:szCs w:val="21"/>
          <w:highlight w:val="none"/>
        </w:rPr>
        <w:t>评标委员会的分工</w:t>
      </w:r>
    </w:p>
    <w:p w14:paraId="46667FA6">
      <w:pPr>
        <w:spacing w:before="169" w:line="422" w:lineRule="exact"/>
        <w:ind w:right="4"/>
        <w:jc w:val="right"/>
        <w:rPr>
          <w:rFonts w:ascii="宋体" w:hAnsi="宋体" w:eastAsia="宋体" w:cs="宋体"/>
          <w:color w:val="auto"/>
          <w:sz w:val="21"/>
          <w:szCs w:val="21"/>
          <w:highlight w:val="none"/>
        </w:rPr>
      </w:pPr>
      <w:r>
        <w:rPr>
          <w:rFonts w:ascii="宋体" w:hAnsi="宋体" w:eastAsia="宋体" w:cs="宋体"/>
          <w:color w:val="auto"/>
          <w:position w:val="16"/>
          <w:sz w:val="21"/>
          <w:szCs w:val="21"/>
          <w:highlight w:val="none"/>
        </w:rPr>
        <w:t>A2.2.1 评标委员会首先推选一名评标委员会主任。评标委员会主任负责评标活动的组</w:t>
      </w:r>
    </w:p>
    <w:p w14:paraId="144A0EB9">
      <w:pPr>
        <w:spacing w:line="221" w:lineRule="auto"/>
        <w:ind w:left="21"/>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织工作。</w:t>
      </w:r>
    </w:p>
    <w:p w14:paraId="32ADE2EF">
      <w:pPr>
        <w:spacing w:before="153" w:line="398" w:lineRule="exact"/>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A2.2.2 评标委员会主任除履行自己作为</w:t>
      </w:r>
      <w:r>
        <w:rPr>
          <w:rFonts w:ascii="宋体" w:hAnsi="宋体" w:eastAsia="宋体" w:cs="宋体"/>
          <w:color w:val="auto"/>
          <w:position w:val="14"/>
          <w:sz w:val="21"/>
          <w:szCs w:val="21"/>
          <w:highlight w:val="none"/>
        </w:rPr>
        <w:t>评标委员会成员独立评标的职责外，主要负责</w:t>
      </w:r>
    </w:p>
    <w:p w14:paraId="79E25F13">
      <w:pPr>
        <w:spacing w:line="221" w:lineRule="auto"/>
        <w:ind w:left="42"/>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以下工作：</w:t>
      </w:r>
    </w:p>
    <w:p w14:paraId="21E0FD62">
      <w:pPr>
        <w:spacing w:before="147"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（1）组织评标委员会成员学习招标文件中载明的评</w:t>
      </w:r>
      <w:r>
        <w:rPr>
          <w:rFonts w:ascii="宋体" w:hAnsi="宋体" w:eastAsia="宋体" w:cs="宋体"/>
          <w:color w:val="auto"/>
          <w:spacing w:val="-2"/>
          <w:sz w:val="21"/>
          <w:szCs w:val="21"/>
          <w:highlight w:val="none"/>
        </w:rPr>
        <w:t>标标准和方法；</w:t>
      </w:r>
    </w:p>
    <w:p w14:paraId="79BA8B27">
      <w:pPr>
        <w:spacing w:before="172"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（2）提醒招标人做好评标准备工作，包括提供所需的评标基础资料；</w:t>
      </w:r>
    </w:p>
    <w:p w14:paraId="0380F50F">
      <w:pPr>
        <w:spacing w:before="158" w:line="220" w:lineRule="auto"/>
        <w:ind w:right="7"/>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（3）汇总各评标委员会成员认为需要投标人澄清、说明或者补正的问题，组织评标委</w:t>
      </w:r>
    </w:p>
    <w:p w14:paraId="1E5E590A">
      <w:pPr>
        <w:spacing w:before="153" w:line="220" w:lineRule="auto"/>
        <w:ind w:left="2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员会对投标人质询并对投标人的答复进行评审；</w:t>
      </w:r>
    </w:p>
    <w:p w14:paraId="03025B4D">
      <w:pPr>
        <w:spacing w:before="148"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（4）对出现较大争议的事项进行书面记录；</w:t>
      </w:r>
    </w:p>
    <w:p w14:paraId="43F987C3">
      <w:pPr>
        <w:spacing w:before="148" w:line="404"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（5）查验评标用表格和评标记录的完整性及有效性；</w:t>
      </w:r>
    </w:p>
    <w:p w14:paraId="043D0EC3">
      <w:pPr>
        <w:spacing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（6）组织对评标结论进行复核确认；</w:t>
      </w:r>
    </w:p>
    <w:p w14:paraId="238309D6">
      <w:pPr>
        <w:spacing w:before="147" w:line="219"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（7）组织编写评标报告，推荐中标候选人。</w:t>
      </w:r>
    </w:p>
    <w:p w14:paraId="721E3148">
      <w:pPr>
        <w:spacing w:line="219" w:lineRule="auto"/>
        <w:rPr>
          <w:rFonts w:ascii="宋体" w:hAnsi="宋体" w:eastAsia="宋体" w:cs="宋体"/>
          <w:color w:val="auto"/>
          <w:sz w:val="21"/>
          <w:szCs w:val="21"/>
          <w:highlight w:val="none"/>
        </w:rPr>
        <w:sectPr>
          <w:footerReference r:id="rId51" w:type="default"/>
          <w:pgSz w:w="11905" w:h="16839"/>
          <w:pgMar w:top="1431" w:right="1785" w:bottom="996" w:left="1785" w:header="0" w:footer="791" w:gutter="0"/>
          <w:pgNumType w:fmt="decimal"/>
          <w:cols w:space="720" w:num="1"/>
        </w:sectPr>
      </w:pPr>
    </w:p>
    <w:p w14:paraId="41BDAB24">
      <w:pPr>
        <w:spacing w:before="168" w:line="418" w:lineRule="exact"/>
        <w:ind w:right="4"/>
        <w:jc w:val="right"/>
        <w:rPr>
          <w:rFonts w:ascii="宋体" w:hAnsi="宋体" w:eastAsia="宋体" w:cs="宋体"/>
          <w:color w:val="auto"/>
          <w:sz w:val="21"/>
          <w:szCs w:val="21"/>
          <w:highlight w:val="none"/>
        </w:rPr>
      </w:pPr>
      <w:bookmarkStart w:id="130" w:name="bookmark158"/>
      <w:bookmarkEnd w:id="130"/>
      <w:bookmarkStart w:id="131" w:name="bookmark159"/>
      <w:bookmarkEnd w:id="131"/>
      <w:r>
        <w:rPr>
          <w:rFonts w:ascii="宋体" w:hAnsi="宋体" w:eastAsia="宋体" w:cs="宋体"/>
          <w:color w:val="auto"/>
          <w:position w:val="15"/>
          <w:sz w:val="21"/>
          <w:szCs w:val="21"/>
          <w:highlight w:val="none"/>
        </w:rPr>
        <w:t>A2.2.3 评标委员会主任在与其他评标委员会成员商议的基础上可以将评标委员会按照</w:t>
      </w:r>
    </w:p>
    <w:p w14:paraId="2CB1D565">
      <w:pPr>
        <w:spacing w:line="220"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评标专家抽取专业划分为技术组和经济组。</w:t>
      </w:r>
    </w:p>
    <w:p w14:paraId="7ECEE1E0">
      <w:pPr>
        <w:spacing w:before="152"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A2.3 </w:t>
      </w:r>
      <w:r>
        <w:rPr>
          <w:rFonts w:ascii="黑体" w:hAnsi="黑体" w:eastAsia="黑体" w:cs="黑体"/>
          <w:color w:val="auto"/>
          <w:spacing w:val="-1"/>
          <w:sz w:val="21"/>
          <w:szCs w:val="21"/>
          <w:highlight w:val="none"/>
        </w:rPr>
        <w:t>熟悉文件资料</w:t>
      </w:r>
    </w:p>
    <w:p w14:paraId="1A65619D">
      <w:pPr>
        <w:spacing w:before="151" w:line="352" w:lineRule="auto"/>
        <w:ind w:left="19" w:right="4" w:firstLine="415"/>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A2.3.1 评标委员会主任应组织评标委员会成员认真研究招标文件，了解和熟悉招标目</w:t>
      </w:r>
      <w:r>
        <w:rPr>
          <w:rFonts w:ascii="宋体" w:hAnsi="宋体" w:eastAsia="宋体" w:cs="宋体"/>
          <w:color w:val="auto"/>
          <w:spacing w:val="18"/>
          <w:sz w:val="21"/>
          <w:szCs w:val="21"/>
          <w:highlight w:val="none"/>
        </w:rPr>
        <w:t xml:space="preserve"> </w:t>
      </w:r>
      <w:r>
        <w:rPr>
          <w:rFonts w:ascii="宋体" w:hAnsi="宋体" w:eastAsia="宋体" w:cs="宋体"/>
          <w:color w:val="auto"/>
          <w:spacing w:val="3"/>
          <w:sz w:val="21"/>
          <w:szCs w:val="21"/>
          <w:highlight w:val="none"/>
        </w:rPr>
        <w:t>的、招标范围、主要合同条件、技术标准和要求、质量标准和工期要求，掌</w:t>
      </w:r>
      <w:r>
        <w:rPr>
          <w:rFonts w:ascii="宋体" w:hAnsi="宋体" w:eastAsia="宋体" w:cs="宋体"/>
          <w:color w:val="auto"/>
          <w:spacing w:val="2"/>
          <w:sz w:val="21"/>
          <w:szCs w:val="21"/>
          <w:highlight w:val="none"/>
        </w:rPr>
        <w:t>握评标标准和</w:t>
      </w:r>
      <w:r>
        <w:rPr>
          <w:rFonts w:ascii="宋体" w:hAnsi="宋体" w:eastAsia="宋体" w:cs="宋体"/>
          <w:color w:val="auto"/>
          <w:sz w:val="21"/>
          <w:szCs w:val="21"/>
          <w:highlight w:val="none"/>
        </w:rPr>
        <w:t xml:space="preserve"> 方法， 熟悉本章及附件中包括的评标表格的使用，如果本章及附件所附的表格不能满足评</w:t>
      </w:r>
      <w:r>
        <w:rPr>
          <w:rFonts w:ascii="宋体" w:hAnsi="宋体" w:eastAsia="宋体" w:cs="宋体"/>
          <w:color w:val="auto"/>
          <w:spacing w:val="6"/>
          <w:sz w:val="21"/>
          <w:szCs w:val="21"/>
          <w:highlight w:val="none"/>
        </w:rPr>
        <w:t xml:space="preserve"> </w:t>
      </w:r>
      <w:r>
        <w:rPr>
          <w:rFonts w:ascii="宋体" w:hAnsi="宋体" w:eastAsia="宋体" w:cs="宋体"/>
          <w:color w:val="auto"/>
          <w:spacing w:val="3"/>
          <w:sz w:val="21"/>
          <w:szCs w:val="21"/>
          <w:highlight w:val="none"/>
        </w:rPr>
        <w:t>标所需时，评标委员会应补充编制评标所需的表格。未在招标文件中规定的</w:t>
      </w:r>
      <w:r>
        <w:rPr>
          <w:rFonts w:ascii="宋体" w:hAnsi="宋体" w:eastAsia="宋体" w:cs="宋体"/>
          <w:color w:val="auto"/>
          <w:spacing w:val="2"/>
          <w:sz w:val="21"/>
          <w:szCs w:val="21"/>
          <w:highlight w:val="none"/>
        </w:rPr>
        <w:t>标准和方法不</w:t>
      </w:r>
    </w:p>
    <w:p w14:paraId="1F1EADCF">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得作为评标的依据。</w:t>
      </w:r>
    </w:p>
    <w:p w14:paraId="6EDE4B0F">
      <w:pPr>
        <w:spacing w:before="173" w:line="408" w:lineRule="exact"/>
        <w:ind w:left="434"/>
        <w:rPr>
          <w:rFonts w:ascii="宋体" w:hAnsi="宋体" w:eastAsia="宋体" w:cs="宋体"/>
          <w:color w:val="auto"/>
          <w:sz w:val="21"/>
          <w:szCs w:val="21"/>
          <w:highlight w:val="none"/>
        </w:rPr>
      </w:pPr>
      <w:r>
        <w:rPr>
          <w:rFonts w:ascii="宋体" w:hAnsi="宋体" w:eastAsia="宋体" w:cs="宋体"/>
          <w:color w:val="auto"/>
          <w:spacing w:val="-1"/>
          <w:position w:val="15"/>
          <w:sz w:val="21"/>
          <w:szCs w:val="21"/>
          <w:highlight w:val="none"/>
        </w:rPr>
        <w:t>A2.3.2</w:t>
      </w:r>
      <w:r>
        <w:rPr>
          <w:rFonts w:ascii="宋体" w:hAnsi="宋体" w:eastAsia="宋体" w:cs="宋体"/>
          <w:color w:val="auto"/>
          <w:spacing w:val="-43"/>
          <w:position w:val="15"/>
          <w:sz w:val="21"/>
          <w:szCs w:val="21"/>
          <w:highlight w:val="none"/>
        </w:rPr>
        <w:t xml:space="preserve"> </w:t>
      </w:r>
      <w:r>
        <w:rPr>
          <w:rFonts w:ascii="宋体" w:hAnsi="宋体" w:eastAsia="宋体" w:cs="宋体"/>
          <w:color w:val="auto"/>
          <w:spacing w:val="-1"/>
          <w:position w:val="15"/>
          <w:sz w:val="21"/>
          <w:szCs w:val="21"/>
          <w:highlight w:val="none"/>
        </w:rPr>
        <w:t>招标人或招标代理机构应向评标委员会提供评标所需的信息和</w:t>
      </w:r>
      <w:r>
        <w:rPr>
          <w:rFonts w:ascii="宋体" w:hAnsi="宋体" w:eastAsia="宋体" w:cs="宋体"/>
          <w:color w:val="auto"/>
          <w:spacing w:val="-2"/>
          <w:position w:val="15"/>
          <w:sz w:val="21"/>
          <w:szCs w:val="21"/>
          <w:highlight w:val="none"/>
        </w:rPr>
        <w:t>数据，包括：</w:t>
      </w:r>
    </w:p>
    <w:p w14:paraId="28BFC503">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（1）招标文件及其澄清、修改文件；</w:t>
      </w:r>
    </w:p>
    <w:p w14:paraId="3B8DE953">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（2）投标人的投标文件；</w:t>
      </w:r>
    </w:p>
    <w:p w14:paraId="40F8FDAC">
      <w:pPr>
        <w:spacing w:before="172"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（3）开标记录表以及二次刷卡、保证金缴纳等信息；</w:t>
      </w:r>
    </w:p>
    <w:p w14:paraId="3BE4D486">
      <w:pPr>
        <w:spacing w:before="157" w:line="399" w:lineRule="exact"/>
        <w:ind w:left="447"/>
        <w:rPr>
          <w:rFonts w:ascii="宋体" w:hAnsi="宋体" w:eastAsia="宋体" w:cs="宋体"/>
          <w:color w:val="auto"/>
          <w:sz w:val="21"/>
          <w:szCs w:val="21"/>
          <w:highlight w:val="none"/>
        </w:rPr>
      </w:pPr>
      <w:r>
        <w:rPr>
          <w:rFonts w:ascii="宋体" w:hAnsi="宋体" w:eastAsia="宋体" w:cs="宋体"/>
          <w:color w:val="auto"/>
          <w:spacing w:val="-5"/>
          <w:position w:val="14"/>
          <w:sz w:val="21"/>
          <w:szCs w:val="21"/>
          <w:highlight w:val="none"/>
        </w:rPr>
        <w:t>（4）最高投标限价；</w:t>
      </w:r>
    </w:p>
    <w:p w14:paraId="02E381C7">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（5）评标表格；</w:t>
      </w:r>
    </w:p>
    <w:p w14:paraId="3E99AF78">
      <w:pPr>
        <w:spacing w:before="152" w:line="399" w:lineRule="exact"/>
        <w:ind w:right="5"/>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（6）有关的法律、法规、规章、国家标准以及招标人或评标委员会认为必要的其他信</w:t>
      </w:r>
    </w:p>
    <w:p w14:paraId="24B3C007">
      <w:pPr>
        <w:spacing w:before="1" w:line="220" w:lineRule="auto"/>
        <w:ind w:left="27"/>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息和数据。</w:t>
      </w:r>
    </w:p>
    <w:p w14:paraId="16B16DC3">
      <w:pPr>
        <w:spacing w:before="148"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A2.4 </w:t>
      </w:r>
      <w:r>
        <w:rPr>
          <w:rFonts w:ascii="黑体" w:hAnsi="黑体" w:eastAsia="黑体" w:cs="黑体"/>
          <w:color w:val="auto"/>
          <w:spacing w:val="-1"/>
          <w:sz w:val="21"/>
          <w:szCs w:val="21"/>
          <w:highlight w:val="none"/>
        </w:rPr>
        <w:t>暗标编号</w:t>
      </w:r>
    </w:p>
    <w:p w14:paraId="38E66584">
      <w:pPr>
        <w:spacing w:before="155" w:line="351" w:lineRule="auto"/>
        <w:ind w:left="18" w:right="1" w:firstLine="42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第二章“投标人须知”前附表第 3.7.4 款要求对技术标采用“模块化暗标”评审方式</w:t>
      </w:r>
      <w:r>
        <w:rPr>
          <w:rFonts w:ascii="宋体" w:hAnsi="宋体" w:eastAsia="宋体" w:cs="宋体"/>
          <w:color w:val="auto"/>
          <w:spacing w:val="13"/>
          <w:sz w:val="21"/>
          <w:szCs w:val="21"/>
          <w:highlight w:val="none"/>
        </w:rPr>
        <w:t xml:space="preserve"> </w:t>
      </w:r>
      <w:r>
        <w:rPr>
          <w:rFonts w:ascii="宋体" w:hAnsi="宋体" w:eastAsia="宋体" w:cs="宋体"/>
          <w:color w:val="auto"/>
          <w:spacing w:val="3"/>
          <w:sz w:val="21"/>
          <w:szCs w:val="21"/>
          <w:highlight w:val="none"/>
        </w:rPr>
        <w:t>且编制有模块化暗标要求的，则在评标工作开始前，就暗标模块编号与投标人的对应关系</w:t>
      </w:r>
      <w:r>
        <w:rPr>
          <w:rFonts w:ascii="宋体" w:hAnsi="宋体" w:eastAsia="宋体" w:cs="宋体"/>
          <w:color w:val="auto"/>
          <w:sz w:val="21"/>
          <w:szCs w:val="21"/>
          <w:highlight w:val="none"/>
        </w:rPr>
        <w:t xml:space="preserve"> 使用</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A-3</w:t>
      </w:r>
      <w:r>
        <w:rPr>
          <w:rFonts w:ascii="宋体" w:hAnsi="宋体" w:eastAsia="宋体" w:cs="宋体"/>
          <w:color w:val="auto"/>
          <w:sz w:val="21"/>
          <w:szCs w:val="21"/>
          <w:highlight w:val="none"/>
        </w:rPr>
        <w:t xml:space="preserve"> 做好暗标编号记录，暗标模块编号按随机方式编排。在评标委员会技术标成</w:t>
      </w:r>
      <w:r>
        <w:rPr>
          <w:rFonts w:ascii="宋体" w:hAnsi="宋体" w:eastAsia="宋体" w:cs="宋体"/>
          <w:color w:val="auto"/>
          <w:spacing w:val="17"/>
          <w:sz w:val="21"/>
          <w:szCs w:val="21"/>
          <w:highlight w:val="none"/>
        </w:rPr>
        <w:t xml:space="preserve"> </w:t>
      </w:r>
      <w:r>
        <w:rPr>
          <w:rFonts w:ascii="宋体" w:hAnsi="宋体" w:eastAsia="宋体" w:cs="宋体"/>
          <w:color w:val="auto"/>
          <w:spacing w:val="3"/>
          <w:sz w:val="21"/>
          <w:szCs w:val="21"/>
          <w:highlight w:val="none"/>
        </w:rPr>
        <w:t>员均完成暗标部分评审并对评审结果签字确认和汇总后，招标人方可向评标委员会公</w:t>
      </w:r>
      <w:r>
        <w:rPr>
          <w:rFonts w:ascii="宋体" w:hAnsi="宋体" w:eastAsia="宋体" w:cs="宋体"/>
          <w:color w:val="auto"/>
          <w:spacing w:val="2"/>
          <w:sz w:val="21"/>
          <w:szCs w:val="21"/>
          <w:highlight w:val="none"/>
        </w:rPr>
        <w:t>布暗</w:t>
      </w:r>
    </w:p>
    <w:p w14:paraId="443CA6D6">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标编号。</w:t>
      </w:r>
    </w:p>
    <w:p w14:paraId="0FE3747C">
      <w:pPr>
        <w:spacing w:before="148"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A2.5 </w:t>
      </w:r>
      <w:r>
        <w:rPr>
          <w:rFonts w:ascii="黑体" w:hAnsi="黑体" w:eastAsia="黑体" w:cs="黑体"/>
          <w:color w:val="auto"/>
          <w:spacing w:val="-1"/>
          <w:sz w:val="21"/>
          <w:szCs w:val="21"/>
          <w:highlight w:val="none"/>
        </w:rPr>
        <w:t>对投标文件进行基础性数据分析和整理工作</w:t>
      </w:r>
    </w:p>
    <w:p w14:paraId="400A35CC">
      <w:pPr>
        <w:spacing w:before="155" w:line="351" w:lineRule="auto"/>
        <w:ind w:left="18" w:right="1" w:firstLine="416"/>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A2.5.1 在不改变投标人投标文件实质性</w:t>
      </w:r>
      <w:r>
        <w:rPr>
          <w:rFonts w:ascii="宋体" w:hAnsi="宋体" w:eastAsia="宋体" w:cs="宋体"/>
          <w:color w:val="auto"/>
          <w:sz w:val="21"/>
          <w:szCs w:val="21"/>
          <w:highlight w:val="none"/>
        </w:rPr>
        <w:t xml:space="preserve">内容的前提下，评标委员会应当借助计算机辅 </w:t>
      </w:r>
      <w:r>
        <w:rPr>
          <w:rFonts w:ascii="宋体" w:hAnsi="宋体" w:eastAsia="宋体" w:cs="宋体"/>
          <w:color w:val="auto"/>
          <w:spacing w:val="3"/>
          <w:sz w:val="21"/>
          <w:szCs w:val="21"/>
          <w:highlight w:val="none"/>
        </w:rPr>
        <w:t>助评标系统对投标文件进行基础性数据分析和整理，评标委员会对分析成果审</w:t>
      </w:r>
      <w:r>
        <w:rPr>
          <w:rFonts w:ascii="宋体" w:hAnsi="宋体" w:eastAsia="宋体" w:cs="宋体"/>
          <w:color w:val="auto"/>
          <w:spacing w:val="2"/>
          <w:sz w:val="21"/>
          <w:szCs w:val="21"/>
          <w:highlight w:val="none"/>
        </w:rPr>
        <w:t>议后，决定</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需要投标人进行书面澄清、说明或补正的，通过电子招标投标系统（辽宁省工程建设项目</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数字化开标评标系统）向投标人发出投标文件澄清通知。《投标</w:t>
      </w:r>
      <w:r>
        <w:rPr>
          <w:rFonts w:ascii="宋体" w:hAnsi="宋体" w:eastAsia="宋体" w:cs="宋体"/>
          <w:color w:val="auto"/>
          <w:spacing w:val="-3"/>
          <w:sz w:val="21"/>
          <w:szCs w:val="21"/>
          <w:highlight w:val="none"/>
        </w:rPr>
        <w:t>文件问题澄清通知》采用投</w:t>
      </w:r>
    </w:p>
    <w:p w14:paraId="7F8A16B3">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标人须知附表六所提供的格式。</w:t>
      </w:r>
    </w:p>
    <w:p w14:paraId="1F0577E9">
      <w:pPr>
        <w:spacing w:before="148" w:line="352" w:lineRule="auto"/>
        <w:ind w:left="19" w:right="2" w:firstLine="415"/>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A2.5.2 投标人接到评标委员会发出的投标文件澄清通知后，</w:t>
      </w:r>
      <w:r>
        <w:rPr>
          <w:rFonts w:ascii="宋体" w:hAnsi="宋体" w:eastAsia="宋体" w:cs="宋体"/>
          <w:color w:val="auto"/>
          <w:spacing w:val="-3"/>
          <w:sz w:val="21"/>
          <w:szCs w:val="21"/>
          <w:highlight w:val="none"/>
        </w:rPr>
        <w:t xml:space="preserve"> </w:t>
      </w:r>
      <w:r>
        <w:rPr>
          <w:rFonts w:ascii="宋体" w:hAnsi="宋体" w:eastAsia="宋体" w:cs="宋体"/>
          <w:color w:val="auto"/>
          <w:spacing w:val="-2"/>
          <w:sz w:val="21"/>
          <w:szCs w:val="21"/>
          <w:highlight w:val="none"/>
        </w:rPr>
        <w:t>应按评标委员会的要求在</w:t>
      </w:r>
      <w:r>
        <w:rPr>
          <w:rFonts w:ascii="宋体" w:hAnsi="宋体" w:eastAsia="宋体" w:cs="宋体"/>
          <w:color w:val="auto"/>
          <w:sz w:val="21"/>
          <w:szCs w:val="21"/>
          <w:highlight w:val="none"/>
        </w:rPr>
        <w:t xml:space="preserve"> 规定的时间内， 通过电子招标投标系统（辽宁省工程建设项目数字化开标评标系统）提交</w:t>
      </w:r>
      <w:r>
        <w:rPr>
          <w:rFonts w:ascii="宋体" w:hAnsi="宋体" w:eastAsia="宋体" w:cs="宋体"/>
          <w:color w:val="auto"/>
          <w:spacing w:val="11"/>
          <w:sz w:val="21"/>
          <w:szCs w:val="21"/>
          <w:highlight w:val="none"/>
        </w:rPr>
        <w:t xml:space="preserve"> </w:t>
      </w:r>
      <w:r>
        <w:rPr>
          <w:rFonts w:ascii="宋体" w:hAnsi="宋体" w:eastAsia="宋体" w:cs="宋体"/>
          <w:color w:val="auto"/>
          <w:spacing w:val="-3"/>
          <w:sz w:val="21"/>
          <w:szCs w:val="21"/>
          <w:highlight w:val="none"/>
        </w:rPr>
        <w:t>投标文件的澄清和相关资料（如有）</w:t>
      </w:r>
      <w:r>
        <w:rPr>
          <w:rFonts w:ascii="宋体" w:hAnsi="宋体" w:eastAsia="宋体" w:cs="宋体"/>
          <w:color w:val="auto"/>
          <w:spacing w:val="-56"/>
          <w:sz w:val="21"/>
          <w:szCs w:val="21"/>
          <w:highlight w:val="none"/>
        </w:rPr>
        <w:t xml:space="preserve"> </w:t>
      </w:r>
      <w:r>
        <w:rPr>
          <w:rFonts w:ascii="宋体" w:hAnsi="宋体" w:eastAsia="宋体" w:cs="宋体"/>
          <w:color w:val="auto"/>
          <w:spacing w:val="-3"/>
          <w:sz w:val="21"/>
          <w:szCs w:val="21"/>
          <w:highlight w:val="none"/>
        </w:rPr>
        <w:t>。《投标</w:t>
      </w:r>
      <w:r>
        <w:rPr>
          <w:rFonts w:ascii="宋体" w:hAnsi="宋体" w:eastAsia="宋体" w:cs="宋体"/>
          <w:color w:val="auto"/>
          <w:spacing w:val="-4"/>
          <w:sz w:val="21"/>
          <w:szCs w:val="21"/>
          <w:highlight w:val="none"/>
        </w:rPr>
        <w:t>文件问题的澄清》采用投标人须知附表七所提</w:t>
      </w:r>
    </w:p>
    <w:p w14:paraId="628750C2">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供的格式。</w:t>
      </w:r>
    </w:p>
    <w:p w14:paraId="18ABEDBD">
      <w:pPr>
        <w:spacing w:line="219" w:lineRule="auto"/>
        <w:rPr>
          <w:rFonts w:ascii="宋体" w:hAnsi="宋体" w:eastAsia="宋体" w:cs="宋体"/>
          <w:color w:val="auto"/>
          <w:sz w:val="21"/>
          <w:szCs w:val="21"/>
          <w:highlight w:val="none"/>
        </w:rPr>
        <w:sectPr>
          <w:footerReference r:id="rId52" w:type="default"/>
          <w:pgSz w:w="11905" w:h="16839"/>
          <w:pgMar w:top="1431" w:right="1785" w:bottom="996" w:left="1785" w:header="0" w:footer="791" w:gutter="0"/>
          <w:pgNumType w:fmt="decimal"/>
          <w:cols w:space="720" w:num="1"/>
        </w:sectPr>
      </w:pPr>
    </w:p>
    <w:p w14:paraId="04CCF555">
      <w:pPr>
        <w:spacing w:before="124" w:line="423" w:lineRule="exact"/>
        <w:ind w:left="11"/>
        <w:rPr>
          <w:rFonts w:ascii="黑体" w:hAnsi="黑体" w:eastAsia="黑体" w:cs="黑体"/>
          <w:color w:val="auto"/>
          <w:sz w:val="24"/>
          <w:szCs w:val="24"/>
          <w:highlight w:val="none"/>
        </w:rPr>
      </w:pPr>
      <w:bookmarkStart w:id="132" w:name="bookmark160"/>
      <w:bookmarkEnd w:id="132"/>
      <w:r>
        <w:rPr>
          <w:rFonts w:ascii="Times New Roman" w:hAnsi="Times New Roman" w:eastAsia="Times New Roman" w:cs="Times New Roman"/>
          <w:color w:val="auto"/>
          <w:position w:val="13"/>
          <w:sz w:val="24"/>
          <w:szCs w:val="24"/>
          <w:highlight w:val="none"/>
        </w:rPr>
        <w:t>A3.</w:t>
      </w:r>
      <w:r>
        <w:rPr>
          <w:rFonts w:ascii="黑体" w:hAnsi="黑体" w:eastAsia="黑体" w:cs="黑体"/>
          <w:color w:val="auto"/>
          <w:position w:val="13"/>
          <w:sz w:val="24"/>
          <w:szCs w:val="24"/>
          <w:highlight w:val="none"/>
        </w:rPr>
        <w:t>初步评审</w:t>
      </w:r>
    </w:p>
    <w:p w14:paraId="445989D6">
      <w:pPr>
        <w:spacing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A3.1 </w:t>
      </w:r>
      <w:r>
        <w:rPr>
          <w:rFonts w:ascii="黑体" w:hAnsi="黑体" w:eastAsia="黑体" w:cs="黑体"/>
          <w:color w:val="auto"/>
          <w:spacing w:val="-1"/>
          <w:sz w:val="21"/>
          <w:szCs w:val="21"/>
          <w:highlight w:val="none"/>
        </w:rPr>
        <w:t>形式评审</w:t>
      </w:r>
    </w:p>
    <w:p w14:paraId="714667BD">
      <w:pPr>
        <w:spacing w:before="153" w:line="399" w:lineRule="exact"/>
        <w:ind w:right="6"/>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评标委员会根据评标办法前附表中规定的评审因素和评审标准， 对投标人的投标文件</w:t>
      </w:r>
    </w:p>
    <w:p w14:paraId="67C841EA">
      <w:pPr>
        <w:spacing w:line="219" w:lineRule="auto"/>
        <w:ind w:left="1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进行形式评审，并使用</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A-4</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rPr>
        <w:t>记录评审结果。</w:t>
      </w:r>
    </w:p>
    <w:p w14:paraId="2D85B661">
      <w:pPr>
        <w:spacing w:before="148"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A3.2 </w:t>
      </w:r>
      <w:r>
        <w:rPr>
          <w:rFonts w:ascii="黑体" w:hAnsi="黑体" w:eastAsia="黑体" w:cs="黑体"/>
          <w:color w:val="auto"/>
          <w:spacing w:val="-1"/>
          <w:sz w:val="21"/>
          <w:szCs w:val="21"/>
          <w:highlight w:val="none"/>
        </w:rPr>
        <w:t>资格评审</w:t>
      </w:r>
    </w:p>
    <w:p w14:paraId="69FFA919">
      <w:pPr>
        <w:spacing w:before="154" w:line="398" w:lineRule="exact"/>
        <w:ind w:right="6"/>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评标委员会根据评标办法前附表中规定的评审因素和评审标准， 对投标人的投标文件</w:t>
      </w:r>
    </w:p>
    <w:p w14:paraId="689C9129">
      <w:pPr>
        <w:spacing w:before="1" w:line="219" w:lineRule="auto"/>
        <w:ind w:left="1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进行资格评审，并使用</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A-5</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rPr>
        <w:t>记录评审结果。</w:t>
      </w:r>
    </w:p>
    <w:p w14:paraId="60A31FD0">
      <w:pPr>
        <w:spacing w:before="148"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A3.3 </w:t>
      </w:r>
      <w:r>
        <w:rPr>
          <w:rFonts w:ascii="黑体" w:hAnsi="黑体" w:eastAsia="黑体" w:cs="黑体"/>
          <w:color w:val="auto"/>
          <w:spacing w:val="-1"/>
          <w:sz w:val="21"/>
          <w:szCs w:val="21"/>
          <w:highlight w:val="none"/>
        </w:rPr>
        <w:t>响应性评审</w:t>
      </w:r>
    </w:p>
    <w:p w14:paraId="4BBE265E">
      <w:pPr>
        <w:spacing w:before="154" w:line="398" w:lineRule="exact"/>
        <w:ind w:right="4"/>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A3.3.1 评标委员会根据评标办法前附表中规定的评审因素和评审标准，对投标人的投</w:t>
      </w:r>
    </w:p>
    <w:p w14:paraId="06EAB685">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标文件进行响应性评审，并使用</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51"/>
          <w:sz w:val="21"/>
          <w:szCs w:val="21"/>
          <w:highlight w:val="none"/>
        </w:rPr>
        <w:t xml:space="preserve">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A-6</w:t>
      </w:r>
      <w:r>
        <w:rPr>
          <w:rFonts w:ascii="宋体" w:hAnsi="宋体" w:eastAsia="宋体" w:cs="宋体"/>
          <w:color w:val="auto"/>
          <w:spacing w:val="-39"/>
          <w:sz w:val="21"/>
          <w:szCs w:val="21"/>
          <w:highlight w:val="none"/>
        </w:rPr>
        <w:t xml:space="preserve"> </w:t>
      </w:r>
      <w:r>
        <w:rPr>
          <w:rFonts w:ascii="宋体" w:hAnsi="宋体" w:eastAsia="宋体" w:cs="宋体"/>
          <w:color w:val="auto"/>
          <w:spacing w:val="-1"/>
          <w:sz w:val="21"/>
          <w:szCs w:val="21"/>
          <w:highlight w:val="none"/>
        </w:rPr>
        <w:t>记</w:t>
      </w:r>
      <w:r>
        <w:rPr>
          <w:rFonts w:ascii="宋体" w:hAnsi="宋体" w:eastAsia="宋体" w:cs="宋体"/>
          <w:color w:val="auto"/>
          <w:spacing w:val="-2"/>
          <w:sz w:val="21"/>
          <w:szCs w:val="21"/>
          <w:highlight w:val="none"/>
        </w:rPr>
        <w:t>录评审结果。</w:t>
      </w:r>
    </w:p>
    <w:p w14:paraId="5671A3F8">
      <w:pPr>
        <w:spacing w:before="148" w:line="352" w:lineRule="auto"/>
        <w:ind w:left="22" w:right="2" w:firstLine="41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A3.3.2 投标人投标价格不得超出（</w:t>
      </w:r>
      <w:r>
        <w:rPr>
          <w:rFonts w:ascii="宋体" w:hAnsi="宋体" w:eastAsia="宋体" w:cs="宋体"/>
          <w:color w:val="auto"/>
          <w:sz w:val="21"/>
          <w:szCs w:val="21"/>
          <w:highlight w:val="none"/>
        </w:rPr>
        <w:t xml:space="preserve">不含等于）按照第二章“投标人须知”前附表载明 </w:t>
      </w:r>
      <w:r>
        <w:rPr>
          <w:rFonts w:ascii="宋体" w:hAnsi="宋体" w:eastAsia="宋体" w:cs="宋体"/>
          <w:color w:val="auto"/>
          <w:spacing w:val="3"/>
          <w:sz w:val="21"/>
          <w:szCs w:val="21"/>
          <w:highlight w:val="none"/>
        </w:rPr>
        <w:t>的最高投标限价（投标人投标价格是指投标函中的大写报价或经投标人</w:t>
      </w:r>
      <w:r>
        <w:rPr>
          <w:rFonts w:ascii="宋体" w:hAnsi="宋体" w:eastAsia="宋体" w:cs="宋体"/>
          <w:color w:val="auto"/>
          <w:spacing w:val="2"/>
          <w:sz w:val="21"/>
          <w:szCs w:val="21"/>
          <w:highlight w:val="none"/>
        </w:rPr>
        <w:t>确认的算术错误修</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正后的价格不超过本项目最高投标限价</w:t>
      </w:r>
      <w:r>
        <w:rPr>
          <w:rFonts w:ascii="宋体" w:hAnsi="宋体" w:eastAsia="宋体" w:cs="宋体"/>
          <w:color w:val="auto"/>
          <w:spacing w:val="-14"/>
          <w:sz w:val="21"/>
          <w:szCs w:val="21"/>
          <w:highlight w:val="none"/>
        </w:rPr>
        <w:t>），</w:t>
      </w:r>
      <w:r>
        <w:rPr>
          <w:rFonts w:ascii="宋体" w:hAnsi="宋体" w:eastAsia="宋体" w:cs="宋体"/>
          <w:color w:val="auto"/>
          <w:spacing w:val="-6"/>
          <w:sz w:val="21"/>
          <w:szCs w:val="21"/>
          <w:highlight w:val="none"/>
        </w:rPr>
        <w:t>凡投标人的投标价格超出最高投标限价的，</w:t>
      </w:r>
      <w:r>
        <w:rPr>
          <w:rFonts w:ascii="宋体" w:hAnsi="宋体" w:eastAsia="宋体" w:cs="宋体"/>
          <w:color w:val="auto"/>
          <w:spacing w:val="55"/>
          <w:sz w:val="21"/>
          <w:szCs w:val="21"/>
          <w:highlight w:val="none"/>
        </w:rPr>
        <w:t xml:space="preserve"> </w:t>
      </w:r>
      <w:r>
        <w:rPr>
          <w:rFonts w:ascii="宋体" w:hAnsi="宋体" w:eastAsia="宋体" w:cs="宋体"/>
          <w:color w:val="auto"/>
          <w:spacing w:val="-6"/>
          <w:sz w:val="21"/>
          <w:szCs w:val="21"/>
          <w:highlight w:val="none"/>
        </w:rPr>
        <w:t>该投</w:t>
      </w:r>
    </w:p>
    <w:p w14:paraId="37981EE1">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标人的投标文件不能通过响应性评审。</w:t>
      </w:r>
    </w:p>
    <w:p w14:paraId="4A35D366">
      <w:pPr>
        <w:spacing w:before="152"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A3.4 </w:t>
      </w:r>
      <w:r>
        <w:rPr>
          <w:rFonts w:ascii="黑体" w:hAnsi="黑体" w:eastAsia="黑体" w:cs="黑体"/>
          <w:color w:val="auto"/>
          <w:spacing w:val="-1"/>
          <w:sz w:val="21"/>
          <w:szCs w:val="21"/>
          <w:highlight w:val="none"/>
        </w:rPr>
        <w:t>算术错误修正</w:t>
      </w:r>
    </w:p>
    <w:p w14:paraId="7DF58514">
      <w:pPr>
        <w:spacing w:before="148" w:line="353" w:lineRule="auto"/>
        <w:ind w:left="35" w:right="6" w:firstLine="404"/>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评标委员会依据本章中规定的相关原则对投标报价中存在的算术错误进行修正， 修正</w:t>
      </w:r>
      <w:r>
        <w:rPr>
          <w:rFonts w:ascii="宋体" w:hAnsi="宋体" w:eastAsia="宋体" w:cs="宋体"/>
          <w:color w:val="auto"/>
          <w:spacing w:val="9"/>
          <w:sz w:val="21"/>
          <w:szCs w:val="21"/>
          <w:highlight w:val="none"/>
        </w:rPr>
        <w:t xml:space="preserve"> </w:t>
      </w:r>
      <w:r>
        <w:rPr>
          <w:rFonts w:ascii="宋体" w:hAnsi="宋体" w:eastAsia="宋体" w:cs="宋体"/>
          <w:color w:val="auto"/>
          <w:spacing w:val="2"/>
          <w:sz w:val="21"/>
          <w:szCs w:val="21"/>
          <w:highlight w:val="none"/>
        </w:rPr>
        <w:t>的价格经投标人书面确认后具有约束力。投标人不接受修正价格的，或者修正后的投标价</w:t>
      </w:r>
    </w:p>
    <w:p w14:paraId="4039ACDC">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格超过最高投标限价的（如有</w:t>
      </w:r>
      <w:r>
        <w:rPr>
          <w:rFonts w:ascii="宋体" w:hAnsi="宋体" w:eastAsia="宋体" w:cs="宋体"/>
          <w:color w:val="auto"/>
          <w:spacing w:val="-12"/>
          <w:sz w:val="21"/>
          <w:szCs w:val="21"/>
          <w:highlight w:val="none"/>
        </w:rPr>
        <w:t>），</w:t>
      </w:r>
      <w:r>
        <w:rPr>
          <w:rFonts w:ascii="宋体" w:hAnsi="宋体" w:eastAsia="宋体" w:cs="宋体"/>
          <w:color w:val="auto"/>
          <w:spacing w:val="-4"/>
          <w:sz w:val="21"/>
          <w:szCs w:val="21"/>
          <w:highlight w:val="none"/>
        </w:rPr>
        <w:t>其投标应当被否决。</w:t>
      </w:r>
    </w:p>
    <w:p w14:paraId="0BDA7978">
      <w:pPr>
        <w:spacing w:before="149"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A3.5 </w:t>
      </w:r>
      <w:r>
        <w:rPr>
          <w:rFonts w:ascii="黑体" w:hAnsi="黑体" w:eastAsia="黑体" w:cs="黑体"/>
          <w:color w:val="auto"/>
          <w:spacing w:val="-1"/>
          <w:sz w:val="21"/>
          <w:szCs w:val="21"/>
          <w:highlight w:val="none"/>
        </w:rPr>
        <w:t>判断投标报价是否低于成本</w:t>
      </w:r>
    </w:p>
    <w:p w14:paraId="2A29D69C">
      <w:pPr>
        <w:spacing w:before="147" w:line="353" w:lineRule="auto"/>
        <w:ind w:left="21" w:right="2" w:firstLine="419"/>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根据本章第 3.1.4 项的规定， 评标委员会根据评审程序、标准和方</w:t>
      </w:r>
      <w:r>
        <w:rPr>
          <w:rFonts w:ascii="宋体" w:hAnsi="宋体" w:eastAsia="宋体" w:cs="宋体"/>
          <w:color w:val="auto"/>
          <w:spacing w:val="-3"/>
          <w:sz w:val="21"/>
          <w:szCs w:val="21"/>
          <w:highlight w:val="none"/>
        </w:rPr>
        <w:t>法，判断投标报价</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是否低于其成本。评标委员会认定投标人以低于成本竞标的，其投标</w:t>
      </w:r>
      <w:r>
        <w:rPr>
          <w:rFonts w:ascii="宋体" w:hAnsi="宋体" w:eastAsia="宋体" w:cs="宋体"/>
          <w:color w:val="auto"/>
          <w:spacing w:val="2"/>
          <w:sz w:val="21"/>
          <w:szCs w:val="21"/>
          <w:highlight w:val="none"/>
        </w:rPr>
        <w:t>应当被否决。并使用</w:t>
      </w:r>
    </w:p>
    <w:p w14:paraId="1B74D876">
      <w:pPr>
        <w:spacing w:before="1" w:line="219" w:lineRule="auto"/>
        <w:ind w:left="3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36"/>
          <w:sz w:val="21"/>
          <w:szCs w:val="21"/>
          <w:highlight w:val="none"/>
        </w:rPr>
        <w:t xml:space="preserve"> </w:t>
      </w:r>
      <w:r>
        <w:rPr>
          <w:rFonts w:ascii="宋体" w:hAnsi="宋体" w:eastAsia="宋体" w:cs="宋体"/>
          <w:color w:val="auto"/>
          <w:spacing w:val="-4"/>
          <w:sz w:val="21"/>
          <w:szCs w:val="21"/>
          <w:highlight w:val="none"/>
          <w14:textOutline w14:w="3831" w14:cap="flat" w14:cmpd="sng">
            <w14:solidFill>
              <w14:srgbClr w14:val="000000"/>
            </w14:solidFill>
            <w14:prstDash w14:val="solid"/>
            <w14:miter w14:val="0"/>
          </w14:textOutline>
        </w:rPr>
        <w:t>C-1</w:t>
      </w:r>
      <w:r>
        <w:rPr>
          <w:rFonts w:ascii="宋体" w:hAnsi="宋体" w:eastAsia="宋体" w:cs="宋体"/>
          <w:color w:val="auto"/>
          <w:spacing w:val="-40"/>
          <w:sz w:val="21"/>
          <w:szCs w:val="21"/>
          <w:highlight w:val="none"/>
        </w:rPr>
        <w:t xml:space="preserve"> </w:t>
      </w:r>
      <w:r>
        <w:rPr>
          <w:rFonts w:ascii="宋体" w:hAnsi="宋体" w:eastAsia="宋体" w:cs="宋体"/>
          <w:color w:val="auto"/>
          <w:spacing w:val="-4"/>
          <w:sz w:val="21"/>
          <w:szCs w:val="21"/>
          <w:highlight w:val="none"/>
        </w:rPr>
        <w:t>记录评审结果</w:t>
      </w:r>
    </w:p>
    <w:p w14:paraId="73532E83">
      <w:pPr>
        <w:spacing w:before="148" w:line="221"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z w:val="21"/>
          <w:szCs w:val="21"/>
          <w:highlight w:val="none"/>
        </w:rPr>
        <w:t xml:space="preserve">A3.6 </w:t>
      </w:r>
      <w:r>
        <w:rPr>
          <w:rFonts w:ascii="黑体" w:hAnsi="黑体" w:eastAsia="黑体" w:cs="黑体"/>
          <w:color w:val="auto"/>
          <w:sz w:val="21"/>
          <w:szCs w:val="21"/>
          <w:highlight w:val="none"/>
        </w:rPr>
        <w:t>判断投标是否为应当被否决</w:t>
      </w:r>
    </w:p>
    <w:p w14:paraId="53F384FD">
      <w:pPr>
        <w:spacing w:before="152" w:line="399" w:lineRule="exact"/>
        <w:ind w:right="1"/>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A3.6.1判断投标人的投标是否应当被否决的全部条件（包括本章第3.1</w:t>
      </w:r>
      <w:r>
        <w:rPr>
          <w:rFonts w:ascii="宋体" w:hAnsi="宋体" w:eastAsia="宋体" w:cs="宋体"/>
          <w:color w:val="auto"/>
          <w:spacing w:val="2"/>
          <w:position w:val="14"/>
          <w:sz w:val="21"/>
          <w:szCs w:val="21"/>
          <w:highlight w:val="none"/>
        </w:rPr>
        <w:t>.2项、第3.1.3</w:t>
      </w:r>
    </w:p>
    <w:p w14:paraId="2D825185">
      <w:pPr>
        <w:spacing w:before="1" w:line="219"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项中规定的条件</w:t>
      </w:r>
      <w:r>
        <w:rPr>
          <w:rFonts w:ascii="宋体" w:hAnsi="宋体" w:eastAsia="宋体" w:cs="宋体"/>
          <w:color w:val="auto"/>
          <w:spacing w:val="-53"/>
          <w:sz w:val="21"/>
          <w:szCs w:val="21"/>
          <w:highlight w:val="none"/>
        </w:rPr>
        <w:t>），</w:t>
      </w:r>
      <w:r>
        <w:rPr>
          <w:rFonts w:ascii="宋体" w:hAnsi="宋体" w:eastAsia="宋体" w:cs="宋体"/>
          <w:color w:val="auto"/>
          <w:spacing w:val="-1"/>
          <w:sz w:val="21"/>
          <w:szCs w:val="21"/>
          <w:highlight w:val="none"/>
        </w:rPr>
        <w:t>在本章前附表中集中列示。并使用</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49"/>
          <w:sz w:val="21"/>
          <w:szCs w:val="21"/>
          <w:highlight w:val="none"/>
        </w:rPr>
        <w:t xml:space="preserve">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A-9</w:t>
      </w:r>
      <w:r>
        <w:rPr>
          <w:rFonts w:ascii="宋体" w:hAnsi="宋体" w:eastAsia="宋体" w:cs="宋体"/>
          <w:color w:val="auto"/>
          <w:spacing w:val="-44"/>
          <w:sz w:val="21"/>
          <w:szCs w:val="21"/>
          <w:highlight w:val="none"/>
        </w:rPr>
        <w:t xml:space="preserve"> </w:t>
      </w:r>
      <w:r>
        <w:rPr>
          <w:rFonts w:ascii="宋体" w:hAnsi="宋体" w:eastAsia="宋体" w:cs="宋体"/>
          <w:color w:val="auto"/>
          <w:spacing w:val="-1"/>
          <w:sz w:val="21"/>
          <w:szCs w:val="21"/>
          <w:highlight w:val="none"/>
        </w:rPr>
        <w:t>记录评审结果。</w:t>
      </w:r>
    </w:p>
    <w:p w14:paraId="47A07119">
      <w:pPr>
        <w:spacing w:before="149" w:line="352" w:lineRule="auto"/>
        <w:ind w:left="34" w:right="3" w:firstLine="39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A3.6.2</w:t>
      </w:r>
      <w:r>
        <w:rPr>
          <w:rFonts w:ascii="宋体" w:hAnsi="宋体" w:eastAsia="宋体" w:cs="宋体"/>
          <w:color w:val="auto"/>
          <w:spacing w:val="-2"/>
          <w:sz w:val="21"/>
          <w:szCs w:val="21"/>
          <w:highlight w:val="none"/>
        </w:rPr>
        <w:t xml:space="preserve"> </w:t>
      </w:r>
      <w:r>
        <w:rPr>
          <w:rFonts w:ascii="宋体" w:hAnsi="宋体" w:eastAsia="宋体" w:cs="宋体"/>
          <w:color w:val="auto"/>
          <w:spacing w:val="-1"/>
          <w:sz w:val="21"/>
          <w:szCs w:val="21"/>
          <w:highlight w:val="none"/>
        </w:rPr>
        <w:t>本章</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附件</w:t>
      </w:r>
      <w:r>
        <w:rPr>
          <w:rFonts w:ascii="宋体" w:hAnsi="宋体" w:eastAsia="宋体" w:cs="宋体"/>
          <w:color w:val="auto"/>
          <w:spacing w:val="-25"/>
          <w:sz w:val="21"/>
          <w:szCs w:val="21"/>
          <w:highlight w:val="none"/>
        </w:rPr>
        <w:t xml:space="preserve">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B</w:t>
      </w:r>
      <w:r>
        <w:rPr>
          <w:rFonts w:ascii="宋体" w:hAnsi="宋体" w:eastAsia="宋体" w:cs="宋体"/>
          <w:color w:val="auto"/>
          <w:spacing w:val="-20"/>
          <w:sz w:val="21"/>
          <w:szCs w:val="21"/>
          <w:highlight w:val="none"/>
        </w:rPr>
        <w:t xml:space="preserve"> </w:t>
      </w:r>
      <w:r>
        <w:rPr>
          <w:rFonts w:ascii="宋体" w:hAnsi="宋体" w:eastAsia="宋体" w:cs="宋体"/>
          <w:color w:val="auto"/>
          <w:spacing w:val="-1"/>
          <w:sz w:val="21"/>
          <w:szCs w:val="21"/>
          <w:highlight w:val="none"/>
        </w:rPr>
        <w:t>集中列示的否决投标的条件不应与第二章“投标人须知”和本章前</w:t>
      </w:r>
      <w:r>
        <w:rPr>
          <w:rFonts w:ascii="宋体" w:hAnsi="宋体" w:eastAsia="宋体" w:cs="宋体"/>
          <w:color w:val="auto"/>
          <w:sz w:val="21"/>
          <w:szCs w:val="21"/>
          <w:highlight w:val="none"/>
        </w:rPr>
        <w:t xml:space="preserve"> 附表和正文部分包括的否决投标的条件抵触， 如果出现相互矛盾的情况，</w:t>
      </w:r>
      <w:r>
        <w:rPr>
          <w:rFonts w:ascii="宋体" w:hAnsi="宋体" w:eastAsia="宋体" w:cs="宋体"/>
          <w:color w:val="auto"/>
          <w:spacing w:val="-1"/>
          <w:sz w:val="21"/>
          <w:szCs w:val="21"/>
          <w:highlight w:val="none"/>
        </w:rPr>
        <w:t>以本章前附表和</w:t>
      </w:r>
    </w:p>
    <w:p w14:paraId="79B768C1">
      <w:pPr>
        <w:spacing w:before="1" w:line="220" w:lineRule="auto"/>
        <w:ind w:left="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正文部分的规定为准。</w:t>
      </w:r>
    </w:p>
    <w:p w14:paraId="625C9F40">
      <w:pPr>
        <w:spacing w:before="147" w:line="404" w:lineRule="exact"/>
        <w:ind w:right="2"/>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A3.6.3 评标委员会在评标（包括初步</w:t>
      </w:r>
      <w:r>
        <w:rPr>
          <w:rFonts w:ascii="宋体" w:hAnsi="宋体" w:eastAsia="宋体" w:cs="宋体"/>
          <w:color w:val="auto"/>
          <w:position w:val="14"/>
          <w:sz w:val="21"/>
          <w:szCs w:val="21"/>
          <w:highlight w:val="none"/>
        </w:rPr>
        <w:t>评审和详细评审）过程中，依据本章前附表和正</w:t>
      </w:r>
    </w:p>
    <w:p w14:paraId="37FDA6D5">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文部分中规定的否决投标的条件判断投标人的投标是否为应当被否决。</w:t>
      </w:r>
    </w:p>
    <w:p w14:paraId="2A265696">
      <w:pPr>
        <w:spacing w:before="147"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z w:val="21"/>
          <w:szCs w:val="21"/>
          <w:highlight w:val="none"/>
        </w:rPr>
        <w:t xml:space="preserve">A3.7 </w:t>
      </w:r>
      <w:r>
        <w:rPr>
          <w:rFonts w:ascii="黑体" w:hAnsi="黑体" w:eastAsia="黑体" w:cs="黑体"/>
          <w:color w:val="auto"/>
          <w:sz w:val="21"/>
          <w:szCs w:val="21"/>
          <w:highlight w:val="none"/>
        </w:rPr>
        <w:t>澄清、说明或补正</w:t>
      </w:r>
    </w:p>
    <w:p w14:paraId="0852354A">
      <w:pPr>
        <w:spacing w:before="150" w:line="352" w:lineRule="auto"/>
        <w:ind w:left="18" w:right="3" w:firstLine="422"/>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在初步评审过程中，评标委员会应当就投标文件中含义不明确、对同类问题表述不一</w:t>
      </w:r>
      <w:r>
        <w:rPr>
          <w:rFonts w:ascii="宋体" w:hAnsi="宋体" w:eastAsia="宋体" w:cs="宋体"/>
          <w:color w:val="auto"/>
          <w:spacing w:val="7"/>
          <w:sz w:val="21"/>
          <w:szCs w:val="21"/>
          <w:highlight w:val="none"/>
        </w:rPr>
        <w:t xml:space="preserve"> </w:t>
      </w:r>
      <w:r>
        <w:rPr>
          <w:rFonts w:ascii="宋体" w:hAnsi="宋体" w:eastAsia="宋体" w:cs="宋体"/>
          <w:color w:val="auto"/>
          <w:spacing w:val="3"/>
          <w:sz w:val="21"/>
          <w:szCs w:val="21"/>
          <w:highlight w:val="none"/>
        </w:rPr>
        <w:t>致或者有明显文字和计算错误的内容要求投标人进行澄清、说明或者补正。投标人</w:t>
      </w:r>
      <w:r>
        <w:rPr>
          <w:rFonts w:ascii="宋体" w:hAnsi="宋体" w:eastAsia="宋体" w:cs="宋体"/>
          <w:color w:val="auto"/>
          <w:spacing w:val="2"/>
          <w:sz w:val="21"/>
          <w:szCs w:val="21"/>
          <w:highlight w:val="none"/>
        </w:rPr>
        <w:t>对此以</w:t>
      </w:r>
    </w:p>
    <w:p w14:paraId="3E5DD42F">
      <w:pPr>
        <w:spacing w:before="1" w:line="219" w:lineRule="auto"/>
        <w:jc w:val="right"/>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书面形式予以澄清、说明或者补正。澄清、说明或补正根据本章第</w:t>
      </w:r>
      <w:r>
        <w:rPr>
          <w:rFonts w:ascii="宋体" w:hAnsi="宋体" w:eastAsia="宋体" w:cs="宋体"/>
          <w:color w:val="auto"/>
          <w:spacing w:val="-22"/>
          <w:sz w:val="21"/>
          <w:szCs w:val="21"/>
          <w:highlight w:val="none"/>
        </w:rPr>
        <w:t xml:space="preserve"> </w:t>
      </w:r>
      <w:r>
        <w:rPr>
          <w:rFonts w:ascii="宋体" w:hAnsi="宋体" w:eastAsia="宋体" w:cs="宋体"/>
          <w:color w:val="auto"/>
          <w:spacing w:val="-5"/>
          <w:sz w:val="21"/>
          <w:szCs w:val="21"/>
          <w:highlight w:val="none"/>
        </w:rPr>
        <w:t>3.3</w:t>
      </w:r>
      <w:r>
        <w:rPr>
          <w:rFonts w:ascii="宋体" w:hAnsi="宋体" w:eastAsia="宋体" w:cs="宋体"/>
          <w:color w:val="auto"/>
          <w:spacing w:val="-33"/>
          <w:sz w:val="21"/>
          <w:szCs w:val="21"/>
          <w:highlight w:val="none"/>
        </w:rPr>
        <w:t xml:space="preserve"> </w:t>
      </w:r>
      <w:r>
        <w:rPr>
          <w:rFonts w:ascii="宋体" w:hAnsi="宋体" w:eastAsia="宋体" w:cs="宋体"/>
          <w:color w:val="auto"/>
          <w:spacing w:val="-5"/>
          <w:sz w:val="21"/>
          <w:szCs w:val="21"/>
          <w:highlight w:val="none"/>
        </w:rPr>
        <w:t>款的规定执行。</w:t>
      </w:r>
      <w:r>
        <w:rPr>
          <w:rFonts w:ascii="宋体" w:hAnsi="宋体" w:eastAsia="宋体" w:cs="宋体"/>
          <w:color w:val="auto"/>
          <w:spacing w:val="-56"/>
          <w:sz w:val="21"/>
          <w:szCs w:val="21"/>
          <w:highlight w:val="none"/>
        </w:rPr>
        <w:t xml:space="preserve"> </w:t>
      </w:r>
      <w:r>
        <w:rPr>
          <w:rFonts w:ascii="宋体" w:hAnsi="宋体" w:eastAsia="宋体" w:cs="宋体"/>
          <w:color w:val="auto"/>
          <w:spacing w:val="-5"/>
          <w:sz w:val="21"/>
          <w:szCs w:val="21"/>
          <w:highlight w:val="none"/>
        </w:rPr>
        <w:t>《投</w:t>
      </w:r>
    </w:p>
    <w:p w14:paraId="6DDE63F7">
      <w:pPr>
        <w:spacing w:line="219" w:lineRule="auto"/>
        <w:rPr>
          <w:rFonts w:ascii="宋体" w:hAnsi="宋体" w:eastAsia="宋体" w:cs="宋体"/>
          <w:color w:val="auto"/>
          <w:sz w:val="21"/>
          <w:szCs w:val="21"/>
          <w:highlight w:val="none"/>
        </w:rPr>
        <w:sectPr>
          <w:footerReference r:id="rId53" w:type="default"/>
          <w:pgSz w:w="11905" w:h="16839"/>
          <w:pgMar w:top="1431" w:right="1785" w:bottom="992" w:left="1785" w:header="0" w:footer="791" w:gutter="0"/>
          <w:pgNumType w:fmt="decimal"/>
          <w:cols w:space="720" w:num="1"/>
        </w:sectPr>
      </w:pPr>
    </w:p>
    <w:p w14:paraId="4D24101A">
      <w:pPr>
        <w:spacing w:before="150" w:line="352" w:lineRule="auto"/>
        <w:ind w:left="17" w:firstLine="1"/>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标文件问题澄清通知》</w:t>
      </w:r>
      <w:r>
        <w:rPr>
          <w:rFonts w:ascii="宋体" w:hAnsi="宋体" w:eastAsia="宋体" w:cs="宋体"/>
          <w:color w:val="auto"/>
          <w:spacing w:val="-30"/>
          <w:sz w:val="21"/>
          <w:szCs w:val="21"/>
          <w:highlight w:val="none"/>
        </w:rPr>
        <w:t xml:space="preserve"> </w:t>
      </w:r>
      <w:r>
        <w:rPr>
          <w:rFonts w:ascii="宋体" w:hAnsi="宋体" w:eastAsia="宋体" w:cs="宋体"/>
          <w:color w:val="auto"/>
          <w:spacing w:val="1"/>
          <w:sz w:val="21"/>
          <w:szCs w:val="21"/>
          <w:highlight w:val="none"/>
        </w:rPr>
        <w:t>及《投标文件问题的澄清》采用投标人须知附表六与投标人须知附</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表七所提供的格式，并通过电子招标投标系统（辽</w:t>
      </w:r>
      <w:r>
        <w:rPr>
          <w:rFonts w:ascii="宋体" w:hAnsi="宋体" w:eastAsia="宋体" w:cs="宋体"/>
          <w:color w:val="auto"/>
          <w:spacing w:val="2"/>
          <w:sz w:val="21"/>
          <w:szCs w:val="21"/>
          <w:highlight w:val="none"/>
        </w:rPr>
        <w:t>宁省工程建设项目数字化开标评标系统）</w:t>
      </w:r>
    </w:p>
    <w:p w14:paraId="2FEF441B">
      <w:pPr>
        <w:spacing w:line="219" w:lineRule="auto"/>
        <w:ind w:left="42"/>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以书面形式进行。</w:t>
      </w:r>
    </w:p>
    <w:p w14:paraId="53E763B5">
      <w:pPr>
        <w:spacing w:before="123" w:line="219" w:lineRule="auto"/>
        <w:ind w:left="11"/>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A4.</w:t>
      </w:r>
      <w:r>
        <w:rPr>
          <w:rFonts w:ascii="黑体" w:hAnsi="黑体" w:eastAsia="黑体" w:cs="黑体"/>
          <w:color w:val="auto"/>
          <w:sz w:val="24"/>
          <w:szCs w:val="24"/>
          <w:highlight w:val="none"/>
        </w:rPr>
        <w:t>详细评审</w:t>
      </w:r>
    </w:p>
    <w:p w14:paraId="357FE0AF">
      <w:pPr>
        <w:spacing w:before="138" w:line="403" w:lineRule="exact"/>
        <w:ind w:left="453"/>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只有通过了初步评审、被判定为合格的投标方可进入详细评审。初步评审通过后</w:t>
      </w:r>
      <w:r>
        <w:rPr>
          <w:rFonts w:ascii="宋体" w:hAnsi="宋体" w:eastAsia="宋体" w:cs="宋体"/>
          <w:color w:val="auto"/>
          <w:spacing w:val="2"/>
          <w:position w:val="14"/>
          <w:sz w:val="21"/>
          <w:szCs w:val="21"/>
          <w:highlight w:val="none"/>
        </w:rPr>
        <w:t>，使</w:t>
      </w:r>
    </w:p>
    <w:p w14:paraId="7C50CE6F">
      <w:pPr>
        <w:spacing w:before="1" w:line="219" w:lineRule="auto"/>
        <w:ind w:left="20"/>
        <w:rPr>
          <w:rFonts w:ascii="黑体" w:hAnsi="黑体" w:eastAsia="黑体" w:cs="黑体"/>
          <w:color w:val="auto"/>
          <w:sz w:val="21"/>
          <w:szCs w:val="21"/>
          <w:highlight w:val="none"/>
        </w:rPr>
      </w:pPr>
      <w:r>
        <w:rPr>
          <w:rFonts w:ascii="宋体" w:hAnsi="宋体" w:eastAsia="宋体" w:cs="宋体"/>
          <w:color w:val="auto"/>
          <w:spacing w:val="-1"/>
          <w:sz w:val="21"/>
          <w:szCs w:val="21"/>
          <w:highlight w:val="none"/>
        </w:rPr>
        <w:t>用</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45"/>
          <w:sz w:val="21"/>
          <w:szCs w:val="21"/>
          <w:highlight w:val="none"/>
        </w:rPr>
        <w:t xml:space="preserve">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A-8</w:t>
      </w:r>
      <w:r>
        <w:rPr>
          <w:rFonts w:ascii="宋体" w:hAnsi="宋体" w:eastAsia="宋体" w:cs="宋体"/>
          <w:color w:val="auto"/>
          <w:spacing w:val="-45"/>
          <w:sz w:val="21"/>
          <w:szCs w:val="21"/>
          <w:highlight w:val="none"/>
        </w:rPr>
        <w:t xml:space="preserve"> </w:t>
      </w:r>
      <w:r>
        <w:rPr>
          <w:rFonts w:ascii="宋体" w:hAnsi="宋体" w:eastAsia="宋体" w:cs="宋体"/>
          <w:color w:val="auto"/>
          <w:spacing w:val="-1"/>
          <w:sz w:val="21"/>
          <w:szCs w:val="21"/>
          <w:highlight w:val="none"/>
        </w:rPr>
        <w:t>记录初步评审结果</w:t>
      </w:r>
      <w:r>
        <w:rPr>
          <w:rFonts w:ascii="黑体" w:hAnsi="黑体" w:eastAsia="黑体" w:cs="黑体"/>
          <w:color w:val="auto"/>
          <w:spacing w:val="-1"/>
          <w:sz w:val="21"/>
          <w:szCs w:val="21"/>
          <w:highlight w:val="none"/>
        </w:rPr>
        <w:t>。</w:t>
      </w:r>
    </w:p>
    <w:p w14:paraId="232E7648">
      <w:pPr>
        <w:spacing w:before="149"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A4.1 </w:t>
      </w:r>
      <w:r>
        <w:rPr>
          <w:rFonts w:ascii="黑体" w:hAnsi="黑体" w:eastAsia="黑体" w:cs="黑体"/>
          <w:color w:val="auto"/>
          <w:spacing w:val="-1"/>
          <w:sz w:val="21"/>
          <w:szCs w:val="21"/>
          <w:highlight w:val="none"/>
        </w:rPr>
        <w:t>详细评审的程序</w:t>
      </w:r>
    </w:p>
    <w:p w14:paraId="0EE1546D">
      <w:pPr>
        <w:spacing w:before="148" w:line="403" w:lineRule="exact"/>
        <w:ind w:left="440"/>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评标委员会按照本章第</w:t>
      </w:r>
      <w:r>
        <w:rPr>
          <w:rFonts w:ascii="宋体" w:hAnsi="宋体" w:eastAsia="宋体" w:cs="宋体"/>
          <w:color w:val="auto"/>
          <w:spacing w:val="-39"/>
          <w:position w:val="14"/>
          <w:sz w:val="21"/>
          <w:szCs w:val="21"/>
          <w:highlight w:val="none"/>
        </w:rPr>
        <w:t xml:space="preserve"> </w:t>
      </w:r>
      <w:r>
        <w:rPr>
          <w:rFonts w:ascii="宋体" w:hAnsi="宋体" w:eastAsia="宋体" w:cs="宋体"/>
          <w:color w:val="auto"/>
          <w:spacing w:val="-2"/>
          <w:position w:val="14"/>
          <w:sz w:val="21"/>
          <w:szCs w:val="21"/>
          <w:highlight w:val="none"/>
        </w:rPr>
        <w:t>3.2</w:t>
      </w:r>
      <w:r>
        <w:rPr>
          <w:rFonts w:ascii="宋体" w:hAnsi="宋体" w:eastAsia="宋体" w:cs="宋体"/>
          <w:color w:val="auto"/>
          <w:spacing w:val="-43"/>
          <w:position w:val="14"/>
          <w:sz w:val="21"/>
          <w:szCs w:val="21"/>
          <w:highlight w:val="none"/>
        </w:rPr>
        <w:t xml:space="preserve"> </w:t>
      </w:r>
      <w:r>
        <w:rPr>
          <w:rFonts w:ascii="宋体" w:hAnsi="宋体" w:eastAsia="宋体" w:cs="宋体"/>
          <w:color w:val="auto"/>
          <w:spacing w:val="-2"/>
          <w:position w:val="14"/>
          <w:sz w:val="21"/>
          <w:szCs w:val="21"/>
          <w:highlight w:val="none"/>
        </w:rPr>
        <w:t>款中规定的程序</w:t>
      </w:r>
      <w:r>
        <w:rPr>
          <w:rFonts w:ascii="宋体" w:hAnsi="宋体" w:eastAsia="宋体" w:cs="宋体"/>
          <w:color w:val="auto"/>
          <w:spacing w:val="-3"/>
          <w:position w:val="14"/>
          <w:sz w:val="21"/>
          <w:szCs w:val="21"/>
          <w:highlight w:val="none"/>
        </w:rPr>
        <w:t>进行详细评审：</w:t>
      </w:r>
    </w:p>
    <w:p w14:paraId="0E824F2D">
      <w:pPr>
        <w:spacing w:before="1"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（1）经济标评审和评分；</w:t>
      </w:r>
    </w:p>
    <w:p w14:paraId="06546E39">
      <w:pPr>
        <w:spacing w:before="146"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（2）技术标评审和评分；</w:t>
      </w:r>
    </w:p>
    <w:p w14:paraId="69D3A2D7">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（3）资信标评审和评分；</w:t>
      </w:r>
    </w:p>
    <w:p w14:paraId="5F437B6F">
      <w:pPr>
        <w:spacing w:before="152" w:line="399"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（4）其他因素评审和评分；</w:t>
      </w:r>
    </w:p>
    <w:p w14:paraId="6FC2C6B2">
      <w:pPr>
        <w:spacing w:before="1" w:line="221"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（5）汇总评分结果。</w:t>
      </w:r>
    </w:p>
    <w:p w14:paraId="584E77DC">
      <w:pPr>
        <w:spacing w:before="146"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A4.2 </w:t>
      </w:r>
      <w:r>
        <w:rPr>
          <w:rFonts w:ascii="黑体" w:hAnsi="黑体" w:eastAsia="黑体" w:cs="黑体"/>
          <w:color w:val="auto"/>
          <w:spacing w:val="-1"/>
          <w:sz w:val="21"/>
          <w:szCs w:val="21"/>
          <w:highlight w:val="none"/>
        </w:rPr>
        <w:t>经济标评审和评分</w:t>
      </w:r>
    </w:p>
    <w:p w14:paraId="7B692844">
      <w:pPr>
        <w:spacing w:before="153" w:line="399" w:lineRule="exact"/>
        <w:ind w:left="434"/>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A4.2.1</w:t>
      </w:r>
      <w:r>
        <w:rPr>
          <w:rFonts w:ascii="宋体" w:hAnsi="宋体" w:eastAsia="宋体" w:cs="宋体"/>
          <w:color w:val="auto"/>
          <w:spacing w:val="-42"/>
          <w:position w:val="14"/>
          <w:sz w:val="21"/>
          <w:szCs w:val="21"/>
          <w:highlight w:val="none"/>
        </w:rPr>
        <w:t xml:space="preserve"> </w:t>
      </w:r>
      <w:r>
        <w:rPr>
          <w:rFonts w:ascii="宋体" w:hAnsi="宋体" w:eastAsia="宋体" w:cs="宋体"/>
          <w:color w:val="auto"/>
          <w:position w:val="14"/>
          <w:sz w:val="21"/>
          <w:szCs w:val="21"/>
          <w:highlight w:val="none"/>
        </w:rPr>
        <w:t>按照评标办法前附表中规定的方法计算</w:t>
      </w:r>
      <w:r>
        <w:rPr>
          <w:rFonts w:ascii="宋体" w:hAnsi="宋体" w:eastAsia="宋体" w:cs="宋体"/>
          <w:color w:val="auto"/>
          <w:spacing w:val="-1"/>
          <w:position w:val="14"/>
          <w:sz w:val="21"/>
          <w:szCs w:val="21"/>
          <w:highlight w:val="none"/>
        </w:rPr>
        <w:t>各投标人的“评标价”。</w:t>
      </w:r>
    </w:p>
    <w:p w14:paraId="35B09A5D">
      <w:pPr>
        <w:spacing w:line="219" w:lineRule="auto"/>
        <w:ind w:left="434"/>
        <w:rPr>
          <w:rFonts w:ascii="宋体" w:hAnsi="宋体" w:eastAsia="宋体" w:cs="宋体"/>
          <w:color w:val="auto"/>
          <w:sz w:val="21"/>
          <w:szCs w:val="21"/>
          <w:highlight w:val="none"/>
        </w:rPr>
      </w:pPr>
      <w:r>
        <w:rPr>
          <w:rFonts w:ascii="宋体" w:hAnsi="宋体" w:eastAsia="宋体" w:cs="宋体"/>
          <w:color w:val="auto"/>
          <w:sz w:val="21"/>
          <w:szCs w:val="21"/>
          <w:highlight w:val="none"/>
        </w:rPr>
        <w:t>A4.2.2</w:t>
      </w:r>
      <w:r>
        <w:rPr>
          <w:rFonts w:ascii="宋体" w:hAnsi="宋体" w:eastAsia="宋体" w:cs="宋体"/>
          <w:color w:val="auto"/>
          <w:spacing w:val="-42"/>
          <w:sz w:val="21"/>
          <w:szCs w:val="21"/>
          <w:highlight w:val="none"/>
        </w:rPr>
        <w:t xml:space="preserve"> </w:t>
      </w:r>
      <w:r>
        <w:rPr>
          <w:rFonts w:ascii="宋体" w:hAnsi="宋体" w:eastAsia="宋体" w:cs="宋体"/>
          <w:color w:val="auto"/>
          <w:sz w:val="21"/>
          <w:szCs w:val="21"/>
          <w:highlight w:val="none"/>
        </w:rPr>
        <w:t>按照评标办法前附表中规定的方法计</w:t>
      </w:r>
      <w:r>
        <w:rPr>
          <w:rFonts w:ascii="宋体" w:hAnsi="宋体" w:eastAsia="宋体" w:cs="宋体"/>
          <w:color w:val="auto"/>
          <w:spacing w:val="-1"/>
          <w:sz w:val="21"/>
          <w:szCs w:val="21"/>
          <w:highlight w:val="none"/>
        </w:rPr>
        <w:t>算“评标基准价”。</w:t>
      </w:r>
    </w:p>
    <w:p w14:paraId="1EB08CD1">
      <w:pPr>
        <w:spacing w:before="149" w:line="404" w:lineRule="exact"/>
        <w:ind w:left="434"/>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A4.2.3 按照评标办法前附表中规定</w:t>
      </w:r>
      <w:r>
        <w:rPr>
          <w:rFonts w:ascii="宋体" w:hAnsi="宋体" w:eastAsia="宋体" w:cs="宋体"/>
          <w:color w:val="auto"/>
          <w:position w:val="14"/>
          <w:sz w:val="21"/>
          <w:szCs w:val="21"/>
          <w:highlight w:val="none"/>
        </w:rPr>
        <w:t>的方法，计算各个已通过了初步评审的投标报价的</w:t>
      </w:r>
    </w:p>
    <w:p w14:paraId="68B03447">
      <w:pPr>
        <w:spacing w:line="220" w:lineRule="auto"/>
        <w:ind w:left="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“偏差率”。</w:t>
      </w:r>
    </w:p>
    <w:p w14:paraId="4C857282">
      <w:pPr>
        <w:spacing w:before="148" w:line="398" w:lineRule="exact"/>
        <w:ind w:left="434"/>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A4.2.4 按照评标办法前附表中规定的评分标准</w:t>
      </w:r>
      <w:r>
        <w:rPr>
          <w:rFonts w:ascii="宋体" w:hAnsi="宋体" w:eastAsia="宋体" w:cs="宋体"/>
          <w:color w:val="auto"/>
          <w:spacing w:val="-4"/>
          <w:position w:val="14"/>
          <w:sz w:val="21"/>
          <w:szCs w:val="21"/>
          <w:highlight w:val="none"/>
        </w:rPr>
        <w:t>，对照投标报价的偏差率，</w:t>
      </w:r>
      <w:r>
        <w:rPr>
          <w:rFonts w:ascii="宋体" w:hAnsi="宋体" w:eastAsia="宋体" w:cs="宋体"/>
          <w:color w:val="auto"/>
          <w:spacing w:val="53"/>
          <w:position w:val="14"/>
          <w:sz w:val="21"/>
          <w:szCs w:val="21"/>
          <w:highlight w:val="none"/>
        </w:rPr>
        <w:t xml:space="preserve"> </w:t>
      </w:r>
      <w:r>
        <w:rPr>
          <w:rFonts w:ascii="宋体" w:hAnsi="宋体" w:eastAsia="宋体" w:cs="宋体"/>
          <w:color w:val="auto"/>
          <w:spacing w:val="-4"/>
          <w:position w:val="14"/>
          <w:sz w:val="21"/>
          <w:szCs w:val="21"/>
          <w:highlight w:val="none"/>
        </w:rPr>
        <w:t>分别对各个</w:t>
      </w:r>
    </w:p>
    <w:p w14:paraId="6DB8F305">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投标报价进行评分， 使用</w:t>
      </w:r>
      <w:r>
        <w:rPr>
          <w:rFonts w:ascii="宋体" w:hAnsi="宋体" w:eastAsia="宋体" w:cs="宋体"/>
          <w:color w:val="auto"/>
          <w:spacing w:val="-7"/>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48"/>
          <w:sz w:val="21"/>
          <w:szCs w:val="21"/>
          <w:highlight w:val="none"/>
        </w:rPr>
        <w:t xml:space="preserve"> </w:t>
      </w:r>
      <w:r>
        <w:rPr>
          <w:rFonts w:ascii="宋体" w:hAnsi="宋体" w:eastAsia="宋体" w:cs="宋体"/>
          <w:color w:val="auto"/>
          <w:spacing w:val="-7"/>
          <w:sz w:val="21"/>
          <w:szCs w:val="21"/>
          <w:highlight w:val="none"/>
          <w14:textOutline w14:w="3831" w14:cap="flat" w14:cmpd="sng">
            <w14:solidFill>
              <w14:srgbClr w14:val="000000"/>
            </w14:solidFill>
            <w14:prstDash w14:val="solid"/>
            <w14:miter w14:val="0"/>
          </w14:textOutline>
        </w:rPr>
        <w:t>A-10</w:t>
      </w:r>
      <w:r>
        <w:rPr>
          <w:rFonts w:ascii="宋体" w:hAnsi="宋体" w:eastAsia="宋体" w:cs="宋体"/>
          <w:color w:val="auto"/>
          <w:spacing w:val="-40"/>
          <w:sz w:val="21"/>
          <w:szCs w:val="21"/>
          <w:highlight w:val="none"/>
        </w:rPr>
        <w:t xml:space="preserve"> </w:t>
      </w:r>
      <w:r>
        <w:rPr>
          <w:rFonts w:ascii="宋体" w:hAnsi="宋体" w:eastAsia="宋体" w:cs="宋体"/>
          <w:color w:val="auto"/>
          <w:spacing w:val="-7"/>
          <w:sz w:val="21"/>
          <w:szCs w:val="21"/>
          <w:highlight w:val="none"/>
        </w:rPr>
        <w:t>记录对经济标的评分结果，</w:t>
      </w:r>
      <w:r>
        <w:rPr>
          <w:rFonts w:ascii="宋体" w:hAnsi="宋体" w:eastAsia="宋体" w:cs="宋体"/>
          <w:color w:val="auto"/>
          <w:spacing w:val="53"/>
          <w:sz w:val="21"/>
          <w:szCs w:val="21"/>
          <w:highlight w:val="none"/>
        </w:rPr>
        <w:t xml:space="preserve"> </w:t>
      </w:r>
      <w:r>
        <w:rPr>
          <w:rFonts w:ascii="宋体" w:hAnsi="宋体" w:eastAsia="宋体" w:cs="宋体"/>
          <w:color w:val="auto"/>
          <w:spacing w:val="-7"/>
          <w:sz w:val="21"/>
          <w:szCs w:val="21"/>
          <w:highlight w:val="none"/>
        </w:rPr>
        <w:t>经济标的得分记录为</w:t>
      </w:r>
      <w:r>
        <w:rPr>
          <w:rFonts w:ascii="宋体" w:hAnsi="宋体" w:eastAsia="宋体" w:cs="宋体"/>
          <w:color w:val="auto"/>
          <w:spacing w:val="-53"/>
          <w:sz w:val="21"/>
          <w:szCs w:val="21"/>
          <w:highlight w:val="none"/>
        </w:rPr>
        <w:t xml:space="preserve"> </w:t>
      </w:r>
      <w:r>
        <w:rPr>
          <w:rFonts w:ascii="宋体" w:hAnsi="宋体" w:eastAsia="宋体" w:cs="宋体"/>
          <w:color w:val="auto"/>
          <w:spacing w:val="-7"/>
          <w:sz w:val="21"/>
          <w:szCs w:val="21"/>
          <w:highlight w:val="none"/>
          <w14:textOutline w14:w="3831" w14:cap="flat" w14:cmpd="sng">
            <w14:solidFill>
              <w14:srgbClr w14:val="000000"/>
            </w14:solidFill>
            <w14:prstDash w14:val="solid"/>
            <w14:miter w14:val="0"/>
          </w14:textOutline>
        </w:rPr>
        <w:t>A</w:t>
      </w:r>
      <w:r>
        <w:rPr>
          <w:rFonts w:ascii="宋体" w:hAnsi="宋体" w:eastAsia="宋体" w:cs="宋体"/>
          <w:color w:val="auto"/>
          <w:spacing w:val="-7"/>
          <w:sz w:val="21"/>
          <w:szCs w:val="21"/>
          <w:highlight w:val="none"/>
        </w:rPr>
        <w:t>。</w:t>
      </w:r>
    </w:p>
    <w:p w14:paraId="5D08D7C0">
      <w:pPr>
        <w:spacing w:before="154"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z w:val="21"/>
          <w:szCs w:val="21"/>
          <w:highlight w:val="none"/>
        </w:rPr>
        <w:t xml:space="preserve">A4.3 </w:t>
      </w:r>
      <w:r>
        <w:rPr>
          <w:rFonts w:ascii="黑体" w:hAnsi="黑体" w:eastAsia="黑体" w:cs="黑体"/>
          <w:color w:val="auto"/>
          <w:sz w:val="21"/>
          <w:szCs w:val="21"/>
          <w:highlight w:val="none"/>
        </w:rPr>
        <w:t>技术标评审和评分</w:t>
      </w:r>
    </w:p>
    <w:p w14:paraId="1957FC1C">
      <w:pPr>
        <w:spacing w:before="149" w:line="398" w:lineRule="exact"/>
        <w:ind w:left="442"/>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按照评标办法前附表中规定的分值设定、各项评分因素、评分标准， 对施工组织设计</w:t>
      </w:r>
    </w:p>
    <w:p w14:paraId="47C99401">
      <w:pPr>
        <w:spacing w:before="1" w:line="219" w:lineRule="auto"/>
        <w:ind w:left="16"/>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进行评审和评分，并使用</w:t>
      </w:r>
      <w:r>
        <w:rPr>
          <w:rFonts w:ascii="宋体" w:hAnsi="宋体" w:eastAsia="宋体" w:cs="宋体"/>
          <w:color w:val="auto"/>
          <w:spacing w:val="-4"/>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50"/>
          <w:sz w:val="21"/>
          <w:szCs w:val="21"/>
          <w:highlight w:val="none"/>
        </w:rPr>
        <w:t xml:space="preserve"> </w:t>
      </w:r>
      <w:r>
        <w:rPr>
          <w:rFonts w:ascii="宋体" w:hAnsi="宋体" w:eastAsia="宋体" w:cs="宋体"/>
          <w:color w:val="auto"/>
          <w:spacing w:val="-4"/>
          <w:sz w:val="21"/>
          <w:szCs w:val="21"/>
          <w:highlight w:val="none"/>
          <w14:textOutline w14:w="3831" w14:cap="flat" w14:cmpd="sng">
            <w14:solidFill>
              <w14:srgbClr w14:val="000000"/>
            </w14:solidFill>
            <w14:prstDash w14:val="solid"/>
            <w14:miter w14:val="0"/>
          </w14:textOutline>
        </w:rPr>
        <w:t>A-11</w:t>
      </w:r>
      <w:r>
        <w:rPr>
          <w:rFonts w:ascii="宋体" w:hAnsi="宋体" w:eastAsia="宋体" w:cs="宋体"/>
          <w:color w:val="auto"/>
          <w:spacing w:val="-40"/>
          <w:sz w:val="21"/>
          <w:szCs w:val="21"/>
          <w:highlight w:val="none"/>
        </w:rPr>
        <w:t xml:space="preserve"> </w:t>
      </w:r>
      <w:r>
        <w:rPr>
          <w:rFonts w:ascii="宋体" w:hAnsi="宋体" w:eastAsia="宋体" w:cs="宋体"/>
          <w:color w:val="auto"/>
          <w:spacing w:val="-4"/>
          <w:sz w:val="21"/>
          <w:szCs w:val="21"/>
          <w:highlight w:val="none"/>
        </w:rPr>
        <w:t>记录对技术标的</w:t>
      </w:r>
      <w:r>
        <w:rPr>
          <w:rFonts w:ascii="宋体" w:hAnsi="宋体" w:eastAsia="宋体" w:cs="宋体"/>
          <w:color w:val="auto"/>
          <w:spacing w:val="-5"/>
          <w:sz w:val="21"/>
          <w:szCs w:val="21"/>
          <w:highlight w:val="none"/>
        </w:rPr>
        <w:t>评分结果，</w:t>
      </w:r>
      <w:r>
        <w:rPr>
          <w:rFonts w:ascii="宋体" w:hAnsi="宋体" w:eastAsia="宋体" w:cs="宋体"/>
          <w:color w:val="auto"/>
          <w:spacing w:val="52"/>
          <w:sz w:val="21"/>
          <w:szCs w:val="21"/>
          <w:highlight w:val="none"/>
        </w:rPr>
        <w:t xml:space="preserve"> </w:t>
      </w:r>
      <w:r>
        <w:rPr>
          <w:rFonts w:ascii="宋体" w:hAnsi="宋体" w:eastAsia="宋体" w:cs="宋体"/>
          <w:color w:val="auto"/>
          <w:spacing w:val="-5"/>
          <w:sz w:val="21"/>
          <w:szCs w:val="21"/>
          <w:highlight w:val="none"/>
        </w:rPr>
        <w:t>技术标的得分记录为</w:t>
      </w:r>
      <w:r>
        <w:rPr>
          <w:rFonts w:ascii="宋体" w:hAnsi="宋体" w:eastAsia="宋体" w:cs="宋体"/>
          <w:color w:val="auto"/>
          <w:spacing w:val="-52"/>
          <w:sz w:val="21"/>
          <w:szCs w:val="21"/>
          <w:highlight w:val="none"/>
        </w:rPr>
        <w:t xml:space="preserve"> </w:t>
      </w:r>
      <w:r>
        <w:rPr>
          <w:rFonts w:ascii="宋体" w:hAnsi="宋体" w:eastAsia="宋体" w:cs="宋体"/>
          <w:color w:val="auto"/>
          <w:spacing w:val="-5"/>
          <w:sz w:val="21"/>
          <w:szCs w:val="21"/>
          <w:highlight w:val="none"/>
          <w14:textOutline w14:w="3831" w14:cap="flat" w14:cmpd="sng">
            <w14:solidFill>
              <w14:srgbClr w14:val="000000"/>
            </w14:solidFill>
            <w14:prstDash w14:val="solid"/>
            <w14:miter w14:val="0"/>
          </w14:textOutline>
        </w:rPr>
        <w:t>B</w:t>
      </w:r>
      <w:r>
        <w:rPr>
          <w:rFonts w:ascii="宋体" w:hAnsi="宋体" w:eastAsia="宋体" w:cs="宋体"/>
          <w:color w:val="auto"/>
          <w:spacing w:val="-5"/>
          <w:sz w:val="21"/>
          <w:szCs w:val="21"/>
          <w:highlight w:val="none"/>
        </w:rPr>
        <w:t>。</w:t>
      </w:r>
    </w:p>
    <w:p w14:paraId="6EE52673">
      <w:pPr>
        <w:spacing w:before="153"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A4.4 </w:t>
      </w:r>
      <w:r>
        <w:rPr>
          <w:rFonts w:ascii="黑体" w:hAnsi="黑体" w:eastAsia="黑体" w:cs="黑体"/>
          <w:color w:val="auto"/>
          <w:spacing w:val="-1"/>
          <w:sz w:val="21"/>
          <w:szCs w:val="21"/>
          <w:highlight w:val="none"/>
        </w:rPr>
        <w:t>资信标评审和评分</w:t>
      </w:r>
    </w:p>
    <w:p w14:paraId="661B35CC">
      <w:pPr>
        <w:spacing w:before="147" w:line="353" w:lineRule="auto"/>
        <w:ind w:left="18" w:right="194" w:firstLine="424"/>
        <w:rPr>
          <w:rFonts w:ascii="宋体" w:hAnsi="宋体" w:eastAsia="宋体" w:cs="宋体"/>
          <w:color w:val="auto"/>
          <w:sz w:val="21"/>
          <w:szCs w:val="21"/>
          <w:highlight w:val="none"/>
        </w:rPr>
      </w:pPr>
      <w:r>
        <w:rPr>
          <w:rFonts w:ascii="宋体" w:hAnsi="宋体" w:eastAsia="宋体" w:cs="宋体"/>
          <w:color w:val="auto"/>
          <w:sz w:val="21"/>
          <w:szCs w:val="21"/>
          <w:highlight w:val="none"/>
        </w:rPr>
        <w:t>按照评标办法前附表中规定的分值设定、各项评分因素、评分标准， 对企业业绩、资</w:t>
      </w:r>
      <w:r>
        <w:rPr>
          <w:rFonts w:ascii="宋体" w:hAnsi="宋体" w:eastAsia="宋体" w:cs="宋体"/>
          <w:color w:val="auto"/>
          <w:spacing w:val="7"/>
          <w:sz w:val="21"/>
          <w:szCs w:val="21"/>
          <w:highlight w:val="none"/>
        </w:rPr>
        <w:t xml:space="preserve"> </w:t>
      </w:r>
      <w:r>
        <w:rPr>
          <w:rFonts w:ascii="宋体" w:hAnsi="宋体" w:eastAsia="宋体" w:cs="宋体"/>
          <w:color w:val="auto"/>
          <w:spacing w:val="-5"/>
          <w:sz w:val="21"/>
          <w:szCs w:val="21"/>
          <w:highlight w:val="none"/>
        </w:rPr>
        <w:t>信和项目管理机构等进行评审和评分， 并使用</w:t>
      </w:r>
      <w:r>
        <w:rPr>
          <w:rFonts w:ascii="宋体" w:hAnsi="宋体" w:eastAsia="宋体" w:cs="宋体"/>
          <w:color w:val="auto"/>
          <w:spacing w:val="-5"/>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46"/>
          <w:sz w:val="21"/>
          <w:szCs w:val="21"/>
          <w:highlight w:val="none"/>
        </w:rPr>
        <w:t xml:space="preserve"> </w:t>
      </w:r>
      <w:r>
        <w:rPr>
          <w:rFonts w:ascii="宋体" w:hAnsi="宋体" w:eastAsia="宋体" w:cs="宋体"/>
          <w:color w:val="auto"/>
          <w:spacing w:val="-5"/>
          <w:sz w:val="21"/>
          <w:szCs w:val="21"/>
          <w:highlight w:val="none"/>
          <w14:textOutline w14:w="3831" w14:cap="flat" w14:cmpd="sng">
            <w14:solidFill>
              <w14:srgbClr w14:val="000000"/>
            </w14:solidFill>
            <w14:prstDash w14:val="solid"/>
            <w14:miter w14:val="0"/>
          </w14:textOutline>
        </w:rPr>
        <w:t>A-13</w:t>
      </w:r>
      <w:r>
        <w:rPr>
          <w:rFonts w:ascii="宋体" w:hAnsi="宋体" w:eastAsia="宋体" w:cs="宋体"/>
          <w:color w:val="auto"/>
          <w:spacing w:val="-35"/>
          <w:sz w:val="21"/>
          <w:szCs w:val="21"/>
          <w:highlight w:val="none"/>
        </w:rPr>
        <w:t xml:space="preserve"> </w:t>
      </w:r>
      <w:r>
        <w:rPr>
          <w:rFonts w:ascii="宋体" w:hAnsi="宋体" w:eastAsia="宋体" w:cs="宋体"/>
          <w:color w:val="auto"/>
          <w:spacing w:val="-5"/>
          <w:sz w:val="21"/>
          <w:szCs w:val="21"/>
          <w:highlight w:val="none"/>
        </w:rPr>
        <w:t>记录对资信标的评分</w:t>
      </w:r>
      <w:r>
        <w:rPr>
          <w:rFonts w:ascii="宋体" w:hAnsi="宋体" w:eastAsia="宋体" w:cs="宋体"/>
          <w:color w:val="auto"/>
          <w:spacing w:val="-6"/>
          <w:sz w:val="21"/>
          <w:szCs w:val="21"/>
          <w:highlight w:val="none"/>
        </w:rPr>
        <w:t>结果， 资信标</w:t>
      </w:r>
    </w:p>
    <w:p w14:paraId="4C649029">
      <w:pPr>
        <w:spacing w:before="1" w:line="220" w:lineRule="auto"/>
        <w:ind w:left="3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的得分记录为</w:t>
      </w:r>
      <w:r>
        <w:rPr>
          <w:rFonts w:ascii="宋体" w:hAnsi="宋体" w:eastAsia="宋体" w:cs="宋体"/>
          <w:color w:val="auto"/>
          <w:spacing w:val="-48"/>
          <w:sz w:val="21"/>
          <w:szCs w:val="21"/>
          <w:highlight w:val="none"/>
        </w:rPr>
        <w:t xml:space="preserve"> </w:t>
      </w:r>
      <w:r>
        <w:rPr>
          <w:rFonts w:ascii="宋体" w:hAnsi="宋体" w:eastAsia="宋体" w:cs="宋体"/>
          <w:color w:val="auto"/>
          <w:spacing w:val="-4"/>
          <w:sz w:val="21"/>
          <w:szCs w:val="21"/>
          <w:highlight w:val="none"/>
          <w14:textOutline w14:w="3831" w14:cap="flat" w14:cmpd="sng">
            <w14:solidFill>
              <w14:srgbClr w14:val="000000"/>
            </w14:solidFill>
            <w14:prstDash w14:val="solid"/>
            <w14:miter w14:val="0"/>
          </w14:textOutline>
        </w:rPr>
        <w:t>C</w:t>
      </w:r>
      <w:r>
        <w:rPr>
          <w:rFonts w:ascii="宋体" w:hAnsi="宋体" w:eastAsia="宋体" w:cs="宋体"/>
          <w:color w:val="auto"/>
          <w:spacing w:val="-4"/>
          <w:sz w:val="21"/>
          <w:szCs w:val="21"/>
          <w:highlight w:val="none"/>
        </w:rPr>
        <w:t>。</w:t>
      </w:r>
    </w:p>
    <w:p w14:paraId="0AA9741F">
      <w:pPr>
        <w:spacing w:before="147"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z w:val="21"/>
          <w:szCs w:val="21"/>
          <w:highlight w:val="none"/>
        </w:rPr>
        <w:t xml:space="preserve">A4.5 </w:t>
      </w:r>
      <w:r>
        <w:rPr>
          <w:rFonts w:ascii="黑体" w:hAnsi="黑体" w:eastAsia="黑体" w:cs="黑体"/>
          <w:color w:val="auto"/>
          <w:sz w:val="21"/>
          <w:szCs w:val="21"/>
          <w:highlight w:val="none"/>
        </w:rPr>
        <w:t>其他因素的评审和评分</w:t>
      </w:r>
    </w:p>
    <w:p w14:paraId="3C0D3DF4">
      <w:pPr>
        <w:spacing w:before="148" w:line="353" w:lineRule="auto"/>
        <w:ind w:left="20" w:right="190" w:firstLine="420"/>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根据评标办法前附表中规定的分值设定、各项评分因素和相应的评分标准， 对其他因</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素（如果有）进行评审和评分，并使用</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45"/>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A-14</w:t>
      </w:r>
      <w:r>
        <w:rPr>
          <w:rFonts w:ascii="宋体" w:hAnsi="宋体" w:eastAsia="宋体" w:cs="宋体"/>
          <w:color w:val="auto"/>
          <w:spacing w:val="-36"/>
          <w:sz w:val="21"/>
          <w:szCs w:val="21"/>
          <w:highlight w:val="none"/>
        </w:rPr>
        <w:t xml:space="preserve"> </w:t>
      </w:r>
      <w:r>
        <w:rPr>
          <w:rFonts w:ascii="宋体" w:hAnsi="宋体" w:eastAsia="宋体" w:cs="宋体"/>
          <w:color w:val="auto"/>
          <w:sz w:val="21"/>
          <w:szCs w:val="21"/>
          <w:highlight w:val="none"/>
        </w:rPr>
        <w:t>记录对其他因素</w:t>
      </w:r>
      <w:r>
        <w:rPr>
          <w:rFonts w:ascii="宋体" w:hAnsi="宋体" w:eastAsia="宋体" w:cs="宋体"/>
          <w:color w:val="auto"/>
          <w:spacing w:val="-1"/>
          <w:sz w:val="21"/>
          <w:szCs w:val="21"/>
          <w:highlight w:val="none"/>
        </w:rPr>
        <w:t>的评分结果，其他因素的</w:t>
      </w:r>
    </w:p>
    <w:p w14:paraId="4A98C065">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得分记录为</w:t>
      </w:r>
      <w:r>
        <w:rPr>
          <w:rFonts w:ascii="宋体" w:hAnsi="宋体" w:eastAsia="宋体" w:cs="宋体"/>
          <w:color w:val="auto"/>
          <w:spacing w:val="-53"/>
          <w:sz w:val="21"/>
          <w:szCs w:val="21"/>
          <w:highlight w:val="none"/>
        </w:rPr>
        <w:t xml:space="preserve">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D</w:t>
      </w:r>
      <w:r>
        <w:rPr>
          <w:rFonts w:ascii="宋体" w:hAnsi="宋体" w:eastAsia="宋体" w:cs="宋体"/>
          <w:color w:val="auto"/>
          <w:spacing w:val="-1"/>
          <w:sz w:val="21"/>
          <w:szCs w:val="21"/>
          <w:highlight w:val="none"/>
        </w:rPr>
        <w:t>。</w:t>
      </w:r>
    </w:p>
    <w:p w14:paraId="11889E9B">
      <w:pPr>
        <w:spacing w:before="148"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z w:val="21"/>
          <w:szCs w:val="21"/>
          <w:highlight w:val="none"/>
        </w:rPr>
        <w:t xml:space="preserve">A4.6 </w:t>
      </w:r>
      <w:r>
        <w:rPr>
          <w:rFonts w:ascii="黑体" w:hAnsi="黑体" w:eastAsia="黑体" w:cs="黑体"/>
          <w:color w:val="auto"/>
          <w:sz w:val="21"/>
          <w:szCs w:val="21"/>
          <w:highlight w:val="none"/>
        </w:rPr>
        <w:t>澄清、说明或补正</w:t>
      </w:r>
    </w:p>
    <w:p w14:paraId="77EFF333">
      <w:pPr>
        <w:spacing w:before="154" w:line="398" w:lineRule="exact"/>
        <w:ind w:left="440"/>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在详细评审过程中，评标委员会应当就投标文件中含义不明确、对同类问题表述不一</w:t>
      </w:r>
    </w:p>
    <w:p w14:paraId="2420B467">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致或者有明显文字和计算错误的内容要求投标人进行澄清、说明或者补正。投标人</w:t>
      </w:r>
      <w:r>
        <w:rPr>
          <w:rFonts w:ascii="宋体" w:hAnsi="宋体" w:eastAsia="宋体" w:cs="宋体"/>
          <w:color w:val="auto"/>
          <w:spacing w:val="2"/>
          <w:sz w:val="21"/>
          <w:szCs w:val="21"/>
          <w:highlight w:val="none"/>
        </w:rPr>
        <w:t>对此以</w:t>
      </w:r>
    </w:p>
    <w:p w14:paraId="3EAD67A7">
      <w:pPr>
        <w:spacing w:line="220" w:lineRule="auto"/>
        <w:rPr>
          <w:rFonts w:ascii="宋体" w:hAnsi="宋体" w:eastAsia="宋体" w:cs="宋体"/>
          <w:color w:val="auto"/>
          <w:sz w:val="21"/>
          <w:szCs w:val="21"/>
          <w:highlight w:val="none"/>
        </w:rPr>
        <w:sectPr>
          <w:footerReference r:id="rId54" w:type="default"/>
          <w:pgSz w:w="11905" w:h="16839"/>
          <w:pgMar w:top="1431" w:right="1597" w:bottom="996" w:left="1785" w:header="0" w:footer="791" w:gutter="0"/>
          <w:pgNumType w:fmt="decimal"/>
          <w:cols w:space="720" w:num="1"/>
        </w:sectPr>
      </w:pPr>
    </w:p>
    <w:p w14:paraId="181A20B8">
      <w:pPr>
        <w:spacing w:before="148" w:line="352" w:lineRule="auto"/>
        <w:ind w:left="17" w:firstLine="5"/>
        <w:jc w:val="both"/>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书面形式予以澄清、说明或者补正。澄清、说明或补正根据本章第</w:t>
      </w:r>
      <w:r>
        <w:rPr>
          <w:rFonts w:ascii="宋体" w:hAnsi="宋体" w:eastAsia="宋体" w:cs="宋体"/>
          <w:color w:val="auto"/>
          <w:spacing w:val="-22"/>
          <w:sz w:val="21"/>
          <w:szCs w:val="21"/>
          <w:highlight w:val="none"/>
        </w:rPr>
        <w:t xml:space="preserve"> </w:t>
      </w:r>
      <w:r>
        <w:rPr>
          <w:rFonts w:ascii="宋体" w:hAnsi="宋体" w:eastAsia="宋体" w:cs="宋体"/>
          <w:color w:val="auto"/>
          <w:spacing w:val="-5"/>
          <w:sz w:val="21"/>
          <w:szCs w:val="21"/>
          <w:highlight w:val="none"/>
        </w:rPr>
        <w:t>3.3</w:t>
      </w:r>
      <w:r>
        <w:rPr>
          <w:rFonts w:ascii="宋体" w:hAnsi="宋体" w:eastAsia="宋体" w:cs="宋体"/>
          <w:color w:val="auto"/>
          <w:spacing w:val="-33"/>
          <w:sz w:val="21"/>
          <w:szCs w:val="21"/>
          <w:highlight w:val="none"/>
        </w:rPr>
        <w:t xml:space="preserve"> </w:t>
      </w:r>
      <w:r>
        <w:rPr>
          <w:rFonts w:ascii="宋体" w:hAnsi="宋体" w:eastAsia="宋体" w:cs="宋体"/>
          <w:color w:val="auto"/>
          <w:spacing w:val="-5"/>
          <w:sz w:val="21"/>
          <w:szCs w:val="21"/>
          <w:highlight w:val="none"/>
        </w:rPr>
        <w:t>款的规定执行。</w:t>
      </w:r>
      <w:r>
        <w:rPr>
          <w:rFonts w:ascii="宋体" w:hAnsi="宋体" w:eastAsia="宋体" w:cs="宋体"/>
          <w:color w:val="auto"/>
          <w:spacing w:val="-56"/>
          <w:sz w:val="21"/>
          <w:szCs w:val="21"/>
          <w:highlight w:val="none"/>
        </w:rPr>
        <w:t xml:space="preserve"> </w:t>
      </w:r>
      <w:r>
        <w:rPr>
          <w:rFonts w:ascii="宋体" w:hAnsi="宋体" w:eastAsia="宋体" w:cs="宋体"/>
          <w:color w:val="auto"/>
          <w:spacing w:val="-5"/>
          <w:sz w:val="21"/>
          <w:szCs w:val="21"/>
          <w:highlight w:val="none"/>
        </w:rPr>
        <w:t>《投</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标文件问题澄清通知》</w:t>
      </w:r>
      <w:r>
        <w:rPr>
          <w:rFonts w:ascii="宋体" w:hAnsi="宋体" w:eastAsia="宋体" w:cs="宋体"/>
          <w:color w:val="auto"/>
          <w:spacing w:val="-27"/>
          <w:sz w:val="21"/>
          <w:szCs w:val="21"/>
          <w:highlight w:val="none"/>
        </w:rPr>
        <w:t xml:space="preserve"> </w:t>
      </w:r>
      <w:r>
        <w:rPr>
          <w:rFonts w:ascii="宋体" w:hAnsi="宋体" w:eastAsia="宋体" w:cs="宋体"/>
          <w:color w:val="auto"/>
          <w:spacing w:val="1"/>
          <w:sz w:val="21"/>
          <w:szCs w:val="21"/>
          <w:highlight w:val="none"/>
        </w:rPr>
        <w:t>及《投标文件问题的澄清》采用投标人须知附表六与投标人须知附</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表七所提供的格式，并通过电子招标投标系统</w:t>
      </w:r>
      <w:r>
        <w:rPr>
          <w:rFonts w:ascii="宋体" w:hAnsi="宋体" w:eastAsia="宋体" w:cs="宋体"/>
          <w:color w:val="auto"/>
          <w:spacing w:val="2"/>
          <w:sz w:val="21"/>
          <w:szCs w:val="21"/>
          <w:highlight w:val="none"/>
        </w:rPr>
        <w:t>（辽宁省工程建设项目数字化开标评标系统）</w:t>
      </w:r>
    </w:p>
    <w:p w14:paraId="7D8FD903">
      <w:pPr>
        <w:spacing w:line="219" w:lineRule="auto"/>
        <w:ind w:left="4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以书面形式进行。</w:t>
      </w:r>
    </w:p>
    <w:p w14:paraId="3CC8CF40">
      <w:pPr>
        <w:spacing w:before="148"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A4.7 </w:t>
      </w:r>
      <w:r>
        <w:rPr>
          <w:rFonts w:ascii="黑体" w:hAnsi="黑体" w:eastAsia="黑体" w:cs="黑体"/>
          <w:color w:val="auto"/>
          <w:spacing w:val="-1"/>
          <w:sz w:val="21"/>
          <w:szCs w:val="21"/>
          <w:highlight w:val="none"/>
        </w:rPr>
        <w:t>汇总评分（评审）结果</w:t>
      </w:r>
    </w:p>
    <w:p w14:paraId="6B358E1A">
      <w:pPr>
        <w:spacing w:before="153" w:line="398" w:lineRule="exact"/>
        <w:ind w:right="9"/>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评标委员会成员应按照</w:t>
      </w:r>
      <w:r>
        <w:rPr>
          <w:rFonts w:ascii="宋体" w:hAnsi="宋体" w:eastAsia="宋体" w:cs="宋体"/>
          <w:color w:val="auto"/>
          <w:spacing w:val="-2"/>
          <w:position w:val="14"/>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40"/>
          <w:position w:val="14"/>
          <w:sz w:val="21"/>
          <w:szCs w:val="21"/>
          <w:highlight w:val="none"/>
        </w:rPr>
        <w:t xml:space="preserve"> </w:t>
      </w:r>
      <w:r>
        <w:rPr>
          <w:rFonts w:ascii="宋体" w:hAnsi="宋体" w:eastAsia="宋体" w:cs="宋体"/>
          <w:color w:val="auto"/>
          <w:spacing w:val="-2"/>
          <w:position w:val="14"/>
          <w:sz w:val="21"/>
          <w:szCs w:val="21"/>
          <w:highlight w:val="none"/>
          <w14:textOutline w14:w="3831" w14:cap="flat" w14:cmpd="sng">
            <w14:solidFill>
              <w14:srgbClr w14:val="000000"/>
            </w14:solidFill>
            <w14:prstDash w14:val="solid"/>
            <w14:miter w14:val="0"/>
          </w14:textOutline>
        </w:rPr>
        <w:t>A-15</w:t>
      </w:r>
      <w:r>
        <w:rPr>
          <w:rFonts w:ascii="宋体" w:hAnsi="宋体" w:eastAsia="宋体" w:cs="宋体"/>
          <w:color w:val="auto"/>
          <w:spacing w:val="-2"/>
          <w:position w:val="14"/>
          <w:sz w:val="21"/>
          <w:szCs w:val="21"/>
          <w:highlight w:val="none"/>
        </w:rPr>
        <w:t xml:space="preserve"> 的格式汇总各个评标委员会成员的详细评审评分结果，</w:t>
      </w:r>
    </w:p>
    <w:p w14:paraId="66835E85">
      <w:pPr>
        <w:spacing w:before="1" w:line="220" w:lineRule="auto"/>
        <w:ind w:left="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并按照详细评审最终得分由高至低的次序对</w:t>
      </w:r>
      <w:r>
        <w:rPr>
          <w:rFonts w:ascii="宋体" w:hAnsi="宋体" w:eastAsia="宋体" w:cs="宋体"/>
          <w:color w:val="auto"/>
          <w:spacing w:val="-2"/>
          <w:sz w:val="21"/>
          <w:szCs w:val="21"/>
          <w:highlight w:val="none"/>
        </w:rPr>
        <w:t>投标人进行排序。</w:t>
      </w:r>
    </w:p>
    <w:p w14:paraId="1EBA25FB">
      <w:pPr>
        <w:spacing w:before="123" w:line="428" w:lineRule="exact"/>
        <w:ind w:left="11"/>
        <w:rPr>
          <w:rFonts w:ascii="黑体" w:hAnsi="黑体" w:eastAsia="黑体" w:cs="黑体"/>
          <w:color w:val="auto"/>
          <w:sz w:val="24"/>
          <w:szCs w:val="24"/>
          <w:highlight w:val="none"/>
        </w:rPr>
      </w:pPr>
      <w:r>
        <w:rPr>
          <w:rFonts w:ascii="Times New Roman" w:hAnsi="Times New Roman" w:eastAsia="Times New Roman" w:cs="Times New Roman"/>
          <w:color w:val="auto"/>
          <w:position w:val="14"/>
          <w:sz w:val="24"/>
          <w:szCs w:val="24"/>
          <w:highlight w:val="none"/>
        </w:rPr>
        <w:t>A5.</w:t>
      </w:r>
      <w:r>
        <w:rPr>
          <w:rFonts w:ascii="黑体" w:hAnsi="黑体" w:eastAsia="黑体" w:cs="黑体"/>
          <w:color w:val="auto"/>
          <w:position w:val="14"/>
          <w:sz w:val="24"/>
          <w:szCs w:val="24"/>
          <w:highlight w:val="none"/>
        </w:rPr>
        <w:t>推荐中标候选人或者直接确定中标人</w:t>
      </w:r>
    </w:p>
    <w:p w14:paraId="45D84F47">
      <w:pPr>
        <w:spacing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A5.1 </w:t>
      </w:r>
      <w:r>
        <w:rPr>
          <w:rFonts w:ascii="黑体" w:hAnsi="黑体" w:eastAsia="黑体" w:cs="黑体"/>
          <w:color w:val="auto"/>
          <w:spacing w:val="-1"/>
          <w:sz w:val="21"/>
          <w:szCs w:val="21"/>
          <w:highlight w:val="none"/>
        </w:rPr>
        <w:t>推荐中标候选人</w:t>
      </w:r>
    </w:p>
    <w:p w14:paraId="43F33BAD">
      <w:pPr>
        <w:spacing w:before="149" w:line="352" w:lineRule="auto"/>
        <w:ind w:left="21" w:right="85" w:firstLine="41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A5.1.1 评标委员会按照本章评标办法前附表规定的推荐方法和第二章“投标人须知”</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前附表第</w:t>
      </w:r>
      <w:r>
        <w:rPr>
          <w:rFonts w:ascii="宋体" w:hAnsi="宋体" w:eastAsia="宋体" w:cs="宋体"/>
          <w:color w:val="auto"/>
          <w:spacing w:val="-15"/>
          <w:sz w:val="21"/>
          <w:szCs w:val="21"/>
          <w:highlight w:val="none"/>
        </w:rPr>
        <w:t xml:space="preserve"> </w:t>
      </w:r>
      <w:r>
        <w:rPr>
          <w:rFonts w:ascii="Times New Roman" w:hAnsi="Times New Roman" w:eastAsia="Times New Roman" w:cs="Times New Roman"/>
          <w:color w:val="auto"/>
          <w:spacing w:val="-3"/>
          <w:sz w:val="21"/>
          <w:szCs w:val="21"/>
          <w:highlight w:val="none"/>
        </w:rPr>
        <w:t xml:space="preserve">7.1 </w:t>
      </w:r>
      <w:r>
        <w:rPr>
          <w:rFonts w:ascii="宋体" w:hAnsi="宋体" w:eastAsia="宋体" w:cs="宋体"/>
          <w:color w:val="auto"/>
          <w:spacing w:val="-3"/>
          <w:sz w:val="21"/>
          <w:szCs w:val="21"/>
          <w:highlight w:val="none"/>
        </w:rPr>
        <w:t>款推荐的中标候选人数量，按照</w:t>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31"/>
          <w:sz w:val="21"/>
          <w:szCs w:val="21"/>
          <w:highlight w:val="none"/>
        </w:rPr>
        <w:t xml:space="preserve"> </w:t>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A-17</w:t>
      </w:r>
      <w:r>
        <w:rPr>
          <w:rFonts w:ascii="宋体" w:hAnsi="宋体" w:eastAsia="宋体" w:cs="宋体"/>
          <w:color w:val="auto"/>
          <w:spacing w:val="-20"/>
          <w:sz w:val="21"/>
          <w:szCs w:val="21"/>
          <w:highlight w:val="none"/>
        </w:rPr>
        <w:t xml:space="preserve"> </w:t>
      </w:r>
      <w:r>
        <w:rPr>
          <w:rFonts w:ascii="宋体" w:hAnsi="宋体" w:eastAsia="宋体" w:cs="宋体"/>
          <w:color w:val="auto"/>
          <w:spacing w:val="-3"/>
          <w:sz w:val="21"/>
          <w:szCs w:val="21"/>
          <w:highlight w:val="none"/>
        </w:rPr>
        <w:t>格式推荐中标候选人。 评标委员会</w:t>
      </w:r>
    </w:p>
    <w:p w14:paraId="32919C22">
      <w:pPr>
        <w:spacing w:before="1" w:line="219" w:lineRule="auto"/>
        <w:ind w:left="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在推荐中标候选人时，应遵照以下原则:</w:t>
      </w:r>
    </w:p>
    <w:p w14:paraId="37A3A0FE">
      <w:pPr>
        <w:spacing w:before="149" w:line="352" w:lineRule="auto"/>
        <w:ind w:left="28" w:right="192"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（1）评标委员会按照本章评标办法前附表规定的方法推荐中标候选人。招标文件允许</w:t>
      </w:r>
      <w:r>
        <w:rPr>
          <w:rFonts w:ascii="宋体" w:hAnsi="宋体" w:eastAsia="宋体" w:cs="宋体"/>
          <w:color w:val="auto"/>
          <w:spacing w:val="3"/>
          <w:sz w:val="21"/>
          <w:szCs w:val="21"/>
          <w:highlight w:val="none"/>
        </w:rPr>
        <w:t xml:space="preserve"> </w:t>
      </w:r>
      <w:r>
        <w:rPr>
          <w:rFonts w:ascii="宋体" w:hAnsi="宋体" w:eastAsia="宋体" w:cs="宋体"/>
          <w:color w:val="auto"/>
          <w:sz w:val="21"/>
          <w:szCs w:val="21"/>
          <w:highlight w:val="none"/>
        </w:rPr>
        <w:t>多标段投标、多标段中标的， 各标段中标候选人的推荐按规定执行，对某些标段</w:t>
      </w:r>
      <w:r>
        <w:rPr>
          <w:rFonts w:ascii="宋体" w:hAnsi="宋体" w:eastAsia="宋体" w:cs="宋体"/>
          <w:color w:val="auto"/>
          <w:spacing w:val="-1"/>
          <w:sz w:val="21"/>
          <w:szCs w:val="21"/>
          <w:highlight w:val="none"/>
        </w:rPr>
        <w:t>由此产生</w:t>
      </w:r>
    </w:p>
    <w:p w14:paraId="40142DC0">
      <w:pPr>
        <w:spacing w:before="1" w:line="219" w:lineRule="auto"/>
        <w:ind w:left="3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的空缺由排序在后的投标人依次替补。</w:t>
      </w:r>
    </w:p>
    <w:p w14:paraId="2C02A575">
      <w:pPr>
        <w:spacing w:before="148" w:line="352" w:lineRule="auto"/>
        <w:ind w:left="19" w:right="195" w:firstLine="428"/>
        <w:rPr>
          <w:rFonts w:ascii="宋体" w:hAnsi="宋体" w:eastAsia="宋体" w:cs="宋体"/>
          <w:color w:val="auto"/>
          <w:sz w:val="21"/>
          <w:szCs w:val="21"/>
          <w:highlight w:val="none"/>
        </w:rPr>
      </w:pPr>
      <w:r>
        <w:rPr>
          <w:rFonts w:ascii="宋体" w:hAnsi="宋体" w:eastAsia="宋体" w:cs="宋体"/>
          <w:color w:val="auto"/>
          <w:sz w:val="21"/>
          <w:szCs w:val="21"/>
          <w:highlight w:val="none"/>
        </w:rPr>
        <w:t>（2）如果评标委员会根据本章的规定否决有关投标后，有效投标不足三个，且少于第 二章“投标人须知”前附表第 7.1 款规定的中标候选人数量的，则评标委员会可以将所有</w:t>
      </w:r>
      <w:r>
        <w:rPr>
          <w:rFonts w:ascii="宋体" w:hAnsi="宋体" w:eastAsia="宋体" w:cs="宋体"/>
          <w:color w:val="auto"/>
          <w:spacing w:val="9"/>
          <w:sz w:val="21"/>
          <w:szCs w:val="21"/>
          <w:highlight w:val="none"/>
        </w:rPr>
        <w:t xml:space="preserve"> </w:t>
      </w:r>
      <w:r>
        <w:rPr>
          <w:rFonts w:ascii="宋体" w:hAnsi="宋体" w:eastAsia="宋体" w:cs="宋体"/>
          <w:color w:val="auto"/>
          <w:spacing w:val="3"/>
          <w:sz w:val="21"/>
          <w:szCs w:val="21"/>
          <w:highlight w:val="none"/>
        </w:rPr>
        <w:t>有效投标人作为中标候选人向招标人推荐。如果因有效投标不足三个使得投标明显</w:t>
      </w:r>
      <w:r>
        <w:rPr>
          <w:rFonts w:ascii="宋体" w:hAnsi="宋体" w:eastAsia="宋体" w:cs="宋体"/>
          <w:color w:val="auto"/>
          <w:spacing w:val="2"/>
          <w:sz w:val="21"/>
          <w:szCs w:val="21"/>
          <w:highlight w:val="none"/>
        </w:rPr>
        <w:t>缺乏竞</w:t>
      </w:r>
    </w:p>
    <w:p w14:paraId="53896A0A">
      <w:pPr>
        <w:spacing w:before="1" w:line="219" w:lineRule="auto"/>
        <w:ind w:left="2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争的，评标委员会可以否决所有投标， 并建议招标人重新招标。</w:t>
      </w:r>
    </w:p>
    <w:p w14:paraId="06B96CAA">
      <w:pPr>
        <w:spacing w:before="148" w:line="404" w:lineRule="exact"/>
        <w:ind w:left="434"/>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A5.1.2</w:t>
      </w:r>
      <w:r>
        <w:rPr>
          <w:rFonts w:ascii="宋体" w:hAnsi="宋体" w:eastAsia="宋体" w:cs="宋体"/>
          <w:color w:val="auto"/>
          <w:spacing w:val="-38"/>
          <w:position w:val="14"/>
          <w:sz w:val="21"/>
          <w:szCs w:val="21"/>
          <w:highlight w:val="none"/>
        </w:rPr>
        <w:t xml:space="preserve"> </w:t>
      </w:r>
      <w:r>
        <w:rPr>
          <w:rFonts w:ascii="宋体" w:hAnsi="宋体" w:eastAsia="宋体" w:cs="宋体"/>
          <w:color w:val="auto"/>
          <w:spacing w:val="-3"/>
          <w:position w:val="14"/>
          <w:sz w:val="21"/>
          <w:szCs w:val="21"/>
          <w:highlight w:val="none"/>
        </w:rPr>
        <w:t>投标人数量少于三个或者所有投标被否决的，</w:t>
      </w:r>
      <w:r>
        <w:rPr>
          <w:rFonts w:ascii="宋体" w:hAnsi="宋体" w:eastAsia="宋体" w:cs="宋体"/>
          <w:color w:val="auto"/>
          <w:spacing w:val="-26"/>
          <w:position w:val="14"/>
          <w:sz w:val="21"/>
          <w:szCs w:val="21"/>
          <w:highlight w:val="none"/>
        </w:rPr>
        <w:t xml:space="preserve"> </w:t>
      </w:r>
      <w:r>
        <w:rPr>
          <w:rFonts w:ascii="宋体" w:hAnsi="宋体" w:eastAsia="宋体" w:cs="宋体"/>
          <w:color w:val="auto"/>
          <w:spacing w:val="-3"/>
          <w:position w:val="14"/>
          <w:sz w:val="21"/>
          <w:szCs w:val="21"/>
          <w:highlight w:val="none"/>
        </w:rPr>
        <w:t>招标人应当依法重新招标。</w:t>
      </w:r>
    </w:p>
    <w:p w14:paraId="195DC860">
      <w:pPr>
        <w:spacing w:before="1"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A5.2 </w:t>
      </w:r>
      <w:r>
        <w:rPr>
          <w:rFonts w:ascii="黑体" w:hAnsi="黑体" w:eastAsia="黑体" w:cs="黑体"/>
          <w:color w:val="auto"/>
          <w:spacing w:val="-1"/>
          <w:sz w:val="21"/>
          <w:szCs w:val="21"/>
          <w:highlight w:val="none"/>
        </w:rPr>
        <w:t>直接确定中标人</w:t>
      </w:r>
    </w:p>
    <w:p w14:paraId="434AF9C6">
      <w:pPr>
        <w:spacing w:before="148" w:line="398" w:lineRule="exact"/>
        <w:ind w:left="441"/>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第二章“投标人须知”前附表授权评标委员会直接确定中标人的，评标委员会按照最</w:t>
      </w:r>
    </w:p>
    <w:p w14:paraId="1AE10058">
      <w:pPr>
        <w:spacing w:before="1" w:line="220" w:lineRule="auto"/>
        <w:ind w:left="2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终得分由高至低的次序排列。</w:t>
      </w:r>
    </w:p>
    <w:p w14:paraId="2B86A576">
      <w:pPr>
        <w:spacing w:before="152"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A5.3 </w:t>
      </w:r>
      <w:r>
        <w:rPr>
          <w:rFonts w:ascii="黑体" w:hAnsi="黑体" w:eastAsia="黑体" w:cs="黑体"/>
          <w:color w:val="auto"/>
          <w:spacing w:val="-1"/>
          <w:sz w:val="21"/>
          <w:szCs w:val="21"/>
          <w:highlight w:val="none"/>
        </w:rPr>
        <w:t>编制评标报告</w:t>
      </w:r>
    </w:p>
    <w:p w14:paraId="17D1888C">
      <w:pPr>
        <w:spacing w:before="149" w:line="353" w:lineRule="auto"/>
        <w:ind w:left="17" w:right="189" w:firstLine="42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评标委员会根据本章第 3.4.2 项的规定向招标人提交评标报告。评标报告应当由全体</w:t>
      </w:r>
      <w:r>
        <w:rPr>
          <w:rFonts w:ascii="宋体" w:hAnsi="宋体" w:eastAsia="宋体" w:cs="宋体"/>
          <w:color w:val="auto"/>
          <w:spacing w:val="13"/>
          <w:sz w:val="21"/>
          <w:szCs w:val="21"/>
          <w:highlight w:val="none"/>
        </w:rPr>
        <w:t xml:space="preserve"> </w:t>
      </w:r>
      <w:r>
        <w:rPr>
          <w:rFonts w:ascii="宋体" w:hAnsi="宋体" w:eastAsia="宋体" w:cs="宋体"/>
          <w:color w:val="auto"/>
          <w:sz w:val="21"/>
          <w:szCs w:val="21"/>
          <w:highlight w:val="none"/>
        </w:rPr>
        <w:t>评标委员会成员签字， 并于评标结束时抄送有关行政监督部门。评标报告应当包括以下内</w:t>
      </w:r>
    </w:p>
    <w:p w14:paraId="65229740">
      <w:pPr>
        <w:spacing w:line="221" w:lineRule="auto"/>
        <w:ind w:left="20"/>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容：</w:t>
      </w:r>
    </w:p>
    <w:p w14:paraId="6ABAF7C2">
      <w:pPr>
        <w:spacing w:before="147" w:line="220"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（1）基本情况和数据表；</w:t>
      </w:r>
    </w:p>
    <w:p w14:paraId="15E858D8">
      <w:pPr>
        <w:spacing w:before="148" w:line="403" w:lineRule="exact"/>
        <w:ind w:left="447"/>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（2）评标委员会成员名单；</w:t>
      </w:r>
    </w:p>
    <w:p w14:paraId="55DE7BCB">
      <w:pPr>
        <w:spacing w:before="1" w:line="221"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（3）开标记录；</w:t>
      </w:r>
    </w:p>
    <w:p w14:paraId="01EA303C">
      <w:pPr>
        <w:spacing w:before="146" w:line="399" w:lineRule="exact"/>
        <w:ind w:left="447"/>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（4）通过初步评审的投标人一览表；</w:t>
      </w:r>
    </w:p>
    <w:p w14:paraId="27B80389">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（5）被否决投标的情况说明；</w:t>
      </w:r>
    </w:p>
    <w:p w14:paraId="02A61523">
      <w:pPr>
        <w:spacing w:before="152"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（6）评标标准、评标方法或者评标因素一览表；</w:t>
      </w:r>
    </w:p>
    <w:p w14:paraId="78435048">
      <w:pPr>
        <w:spacing w:before="148" w:line="219" w:lineRule="auto"/>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（7）经评审的价格一览表（包括评标委员会在评标过程中所形成的所有记载评标结果、</w:t>
      </w:r>
    </w:p>
    <w:p w14:paraId="312C34F8">
      <w:pPr>
        <w:spacing w:line="219" w:lineRule="auto"/>
        <w:rPr>
          <w:rFonts w:ascii="宋体" w:hAnsi="宋体" w:eastAsia="宋体" w:cs="宋体"/>
          <w:color w:val="auto"/>
          <w:sz w:val="21"/>
          <w:szCs w:val="21"/>
          <w:highlight w:val="none"/>
        </w:rPr>
        <w:sectPr>
          <w:footerReference r:id="rId55" w:type="default"/>
          <w:pgSz w:w="11905" w:h="16839"/>
          <w:pgMar w:top="1431" w:right="1598" w:bottom="992" w:left="1785" w:header="0" w:footer="791" w:gutter="0"/>
          <w:pgNumType w:fmt="decimal"/>
          <w:cols w:space="720" w:num="1"/>
        </w:sectPr>
      </w:pPr>
    </w:p>
    <w:p w14:paraId="2EEE1B52">
      <w:pPr>
        <w:spacing w:before="149" w:line="398" w:lineRule="exact"/>
        <w:ind w:left="23"/>
        <w:rPr>
          <w:rFonts w:ascii="宋体" w:hAnsi="宋体" w:eastAsia="宋体" w:cs="宋体"/>
          <w:color w:val="auto"/>
          <w:sz w:val="21"/>
          <w:szCs w:val="21"/>
          <w:highlight w:val="none"/>
        </w:rPr>
      </w:pPr>
      <w:bookmarkStart w:id="133" w:name="bookmark161"/>
      <w:bookmarkEnd w:id="133"/>
      <w:bookmarkStart w:id="134" w:name="bookmark163"/>
      <w:bookmarkEnd w:id="134"/>
      <w:bookmarkStart w:id="135" w:name="bookmark164"/>
      <w:bookmarkEnd w:id="135"/>
      <w:bookmarkStart w:id="136" w:name="bookmark162"/>
      <w:bookmarkEnd w:id="136"/>
      <w:bookmarkStart w:id="137" w:name="bookmark165"/>
      <w:bookmarkEnd w:id="137"/>
      <w:bookmarkStart w:id="138" w:name="bookmark167"/>
      <w:bookmarkEnd w:id="138"/>
      <w:bookmarkStart w:id="139" w:name="bookmark166"/>
      <w:bookmarkEnd w:id="139"/>
      <w:r>
        <w:rPr>
          <w:rFonts w:ascii="宋体" w:hAnsi="宋体" w:eastAsia="宋体" w:cs="宋体"/>
          <w:color w:val="auto"/>
          <w:spacing w:val="-1"/>
          <w:position w:val="14"/>
          <w:sz w:val="21"/>
          <w:szCs w:val="21"/>
          <w:highlight w:val="none"/>
        </w:rPr>
        <w:t>结论的表格、说明、记录等文件</w:t>
      </w:r>
      <w:r>
        <w:rPr>
          <w:rFonts w:ascii="宋体" w:hAnsi="宋体" w:eastAsia="宋体" w:cs="宋体"/>
          <w:color w:val="auto"/>
          <w:spacing w:val="-55"/>
          <w:w w:val="98"/>
          <w:position w:val="14"/>
          <w:sz w:val="21"/>
          <w:szCs w:val="21"/>
          <w:highlight w:val="none"/>
        </w:rPr>
        <w:t>）；</w:t>
      </w:r>
    </w:p>
    <w:p w14:paraId="26522643">
      <w:pPr>
        <w:spacing w:line="221"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（8）经评审的投标人排序；</w:t>
      </w:r>
    </w:p>
    <w:p w14:paraId="386DB757">
      <w:pPr>
        <w:spacing w:before="151" w:line="399"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（9）推荐的中标候选人名单（如果第二章“投标人须知”前附表授权评标委员会直接</w:t>
      </w:r>
    </w:p>
    <w:p w14:paraId="2762D166">
      <w:pPr>
        <w:spacing w:line="221" w:lineRule="auto"/>
        <w:ind w:left="1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确定中标人，则为“确定的中标人”）与签订合同前要处理的事宜；</w:t>
      </w:r>
    </w:p>
    <w:p w14:paraId="38F9667C">
      <w:pPr>
        <w:spacing w:before="146" w:line="379" w:lineRule="exact"/>
        <w:ind w:left="447"/>
        <w:rPr>
          <w:rFonts w:ascii="宋体" w:hAnsi="宋体" w:eastAsia="宋体" w:cs="宋体"/>
          <w:color w:val="auto"/>
          <w:sz w:val="21"/>
          <w:szCs w:val="21"/>
          <w:highlight w:val="none"/>
        </w:rPr>
      </w:pPr>
      <w:r>
        <w:rPr>
          <w:rFonts w:ascii="宋体" w:hAnsi="宋体" w:eastAsia="宋体" w:cs="宋体"/>
          <w:color w:val="auto"/>
          <w:spacing w:val="-2"/>
          <w:position w:val="12"/>
          <w:sz w:val="21"/>
          <w:szCs w:val="21"/>
          <w:highlight w:val="none"/>
        </w:rPr>
        <w:t>（10）澄清、说明、补正事项纪要。</w:t>
      </w:r>
    </w:p>
    <w:p w14:paraId="35400D59">
      <w:pPr>
        <w:spacing w:before="1" w:line="218" w:lineRule="auto"/>
        <w:ind w:left="11"/>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A6.</w:t>
      </w:r>
      <w:r>
        <w:rPr>
          <w:rFonts w:ascii="黑体" w:hAnsi="黑体" w:eastAsia="黑体" w:cs="黑体"/>
          <w:color w:val="auto"/>
          <w:sz w:val="24"/>
          <w:szCs w:val="24"/>
          <w:highlight w:val="none"/>
        </w:rPr>
        <w:t>特殊情况的处置程序</w:t>
      </w:r>
    </w:p>
    <w:p w14:paraId="57C2BFBF">
      <w:pPr>
        <w:spacing w:before="138"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z w:val="21"/>
          <w:szCs w:val="21"/>
          <w:highlight w:val="none"/>
        </w:rPr>
        <w:t xml:space="preserve">A6.1 </w:t>
      </w:r>
      <w:r>
        <w:rPr>
          <w:rFonts w:ascii="黑体" w:hAnsi="黑体" w:eastAsia="黑体" w:cs="黑体"/>
          <w:color w:val="auto"/>
          <w:sz w:val="21"/>
          <w:szCs w:val="21"/>
          <w:highlight w:val="none"/>
        </w:rPr>
        <w:t>暗标评审的评审程序规定（适用于对技术标进行暗</w:t>
      </w:r>
      <w:r>
        <w:rPr>
          <w:rFonts w:ascii="黑体" w:hAnsi="黑体" w:eastAsia="黑体" w:cs="黑体"/>
          <w:color w:val="auto"/>
          <w:spacing w:val="-1"/>
          <w:sz w:val="21"/>
          <w:szCs w:val="21"/>
          <w:highlight w:val="none"/>
        </w:rPr>
        <w:t>标评审的）</w:t>
      </w:r>
    </w:p>
    <w:p w14:paraId="359664C2">
      <w:pPr>
        <w:spacing w:before="150" w:line="352" w:lineRule="auto"/>
        <w:ind w:left="17" w:right="174" w:firstLine="427"/>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如果第二章“投标人须知”前附表第</w:t>
      </w:r>
      <w:r>
        <w:rPr>
          <w:rFonts w:ascii="宋体" w:hAnsi="宋体" w:eastAsia="宋体" w:cs="宋体"/>
          <w:color w:val="auto"/>
          <w:spacing w:val="-22"/>
          <w:sz w:val="21"/>
          <w:szCs w:val="21"/>
          <w:highlight w:val="none"/>
        </w:rPr>
        <w:t xml:space="preserve"> </w:t>
      </w:r>
      <w:r>
        <w:rPr>
          <w:rFonts w:ascii="Times New Roman" w:hAnsi="Times New Roman" w:eastAsia="Times New Roman" w:cs="Times New Roman"/>
          <w:color w:val="auto"/>
          <w:spacing w:val="-3"/>
          <w:sz w:val="21"/>
          <w:szCs w:val="21"/>
          <w:highlight w:val="none"/>
        </w:rPr>
        <w:t xml:space="preserve">3.7.4 </w:t>
      </w:r>
      <w:r>
        <w:rPr>
          <w:rFonts w:ascii="宋体" w:hAnsi="宋体" w:eastAsia="宋体" w:cs="宋体"/>
          <w:color w:val="auto"/>
          <w:spacing w:val="-3"/>
          <w:sz w:val="21"/>
          <w:szCs w:val="21"/>
          <w:highlight w:val="none"/>
        </w:rPr>
        <w:t>项要求对技术标采用模块化暗标方式， 如果</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技术标是详细评审阶段的评审内容的，则评标委员会需将技术标（暗标）的格式类评审在</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初步评审阶段完成，详细评审阶段发现某个模块存在出现投标人的名称和其它可识别投标</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人身份的字符、徽标、人员名称等以及雷同性标记内容，仍可对投标人的投标</w:t>
      </w:r>
      <w:r>
        <w:rPr>
          <w:rFonts w:ascii="宋体" w:hAnsi="宋体" w:eastAsia="宋体" w:cs="宋体"/>
          <w:color w:val="auto"/>
          <w:spacing w:val="2"/>
          <w:sz w:val="21"/>
          <w:szCs w:val="21"/>
          <w:highlight w:val="none"/>
        </w:rPr>
        <w:t>文件进行否</w:t>
      </w:r>
      <w:r>
        <w:rPr>
          <w:rFonts w:ascii="宋体" w:hAnsi="宋体" w:eastAsia="宋体" w:cs="宋体"/>
          <w:color w:val="auto"/>
          <w:sz w:val="21"/>
          <w:szCs w:val="21"/>
          <w:highlight w:val="none"/>
        </w:rPr>
        <w:t xml:space="preserve"> 决，否决任一模块代表着本投标人的投标文件全部被否决。 电子招标投标系统（辽宁省工</w:t>
      </w:r>
      <w:r>
        <w:rPr>
          <w:rFonts w:ascii="宋体" w:hAnsi="宋体" w:eastAsia="宋体" w:cs="宋体"/>
          <w:color w:val="auto"/>
          <w:spacing w:val="12"/>
          <w:sz w:val="21"/>
          <w:szCs w:val="21"/>
          <w:highlight w:val="none"/>
        </w:rPr>
        <w:t xml:space="preserve"> </w:t>
      </w:r>
      <w:r>
        <w:rPr>
          <w:rFonts w:ascii="宋体" w:hAnsi="宋体" w:eastAsia="宋体" w:cs="宋体"/>
          <w:color w:val="auto"/>
          <w:spacing w:val="1"/>
          <w:sz w:val="21"/>
          <w:szCs w:val="21"/>
          <w:highlight w:val="none"/>
        </w:rPr>
        <w:t>程建设项目数字化开标评标系统）</w:t>
      </w:r>
      <w:r>
        <w:rPr>
          <w:rFonts w:ascii="宋体" w:hAnsi="宋体" w:eastAsia="宋体" w:cs="宋体"/>
          <w:color w:val="auto"/>
          <w:spacing w:val="-27"/>
          <w:sz w:val="21"/>
          <w:szCs w:val="21"/>
          <w:highlight w:val="none"/>
        </w:rPr>
        <w:t xml:space="preserve"> </w:t>
      </w:r>
      <w:r>
        <w:rPr>
          <w:rFonts w:ascii="宋体" w:hAnsi="宋体" w:eastAsia="宋体" w:cs="宋体"/>
          <w:color w:val="auto"/>
          <w:spacing w:val="1"/>
          <w:sz w:val="21"/>
          <w:szCs w:val="21"/>
          <w:highlight w:val="none"/>
        </w:rPr>
        <w:t>应采取措施，在经济标、技术标、资信标、其他因素的</w:t>
      </w:r>
      <w:r>
        <w:rPr>
          <w:rFonts w:ascii="宋体" w:hAnsi="宋体" w:eastAsia="宋体" w:cs="宋体"/>
          <w:color w:val="auto"/>
          <w:sz w:val="21"/>
          <w:szCs w:val="21"/>
          <w:highlight w:val="none"/>
        </w:rPr>
        <w:t xml:space="preserve"> 评审完成后， 再公开相应暗标编号与投标人名称之间的对应关系。初步评审被否决的投标</w:t>
      </w:r>
    </w:p>
    <w:p w14:paraId="02C1363D">
      <w:pPr>
        <w:spacing w:line="221" w:lineRule="auto"/>
        <w:ind w:left="2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不再进入详细评审阶段。</w:t>
      </w:r>
    </w:p>
    <w:p w14:paraId="3B9B0007">
      <w:pPr>
        <w:spacing w:before="147"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A6.2 </w:t>
      </w:r>
      <w:r>
        <w:rPr>
          <w:rFonts w:ascii="黑体" w:hAnsi="黑体" w:eastAsia="黑体" w:cs="黑体"/>
          <w:color w:val="auto"/>
          <w:spacing w:val="-1"/>
          <w:sz w:val="21"/>
          <w:szCs w:val="21"/>
          <w:highlight w:val="none"/>
        </w:rPr>
        <w:t>关于评标活动暂停</w:t>
      </w:r>
    </w:p>
    <w:p w14:paraId="4539C835">
      <w:pPr>
        <w:spacing w:before="148" w:line="404" w:lineRule="exact"/>
        <w:jc w:val="right"/>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A6.2.1 评标委员会应当执行连续评标的原则，</w:t>
      </w:r>
      <w:r>
        <w:rPr>
          <w:rFonts w:ascii="宋体" w:hAnsi="宋体" w:eastAsia="宋体" w:cs="宋体"/>
          <w:color w:val="auto"/>
          <w:spacing w:val="53"/>
          <w:position w:val="14"/>
          <w:sz w:val="21"/>
          <w:szCs w:val="21"/>
          <w:highlight w:val="none"/>
        </w:rPr>
        <w:t xml:space="preserve"> </w:t>
      </w:r>
      <w:r>
        <w:rPr>
          <w:rFonts w:ascii="宋体" w:hAnsi="宋体" w:eastAsia="宋体" w:cs="宋体"/>
          <w:color w:val="auto"/>
          <w:spacing w:val="-4"/>
          <w:position w:val="14"/>
          <w:sz w:val="21"/>
          <w:szCs w:val="21"/>
          <w:highlight w:val="none"/>
        </w:rPr>
        <w:t>按评标办法中规定的程序</w:t>
      </w:r>
      <w:r>
        <w:rPr>
          <w:rFonts w:ascii="宋体" w:hAnsi="宋体" w:eastAsia="宋体" w:cs="宋体"/>
          <w:color w:val="auto"/>
          <w:spacing w:val="-5"/>
          <w:position w:val="14"/>
          <w:sz w:val="21"/>
          <w:szCs w:val="21"/>
          <w:highlight w:val="none"/>
        </w:rPr>
        <w:t>、内容、方法、</w:t>
      </w:r>
    </w:p>
    <w:p w14:paraId="6E3F5696">
      <w:pPr>
        <w:spacing w:line="220" w:lineRule="auto"/>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标准完成全部评标工作。只有发生不可抗力导</w:t>
      </w:r>
      <w:r>
        <w:rPr>
          <w:rFonts w:ascii="宋体" w:hAnsi="宋体" w:eastAsia="宋体" w:cs="宋体"/>
          <w:color w:val="auto"/>
          <w:spacing w:val="-1"/>
          <w:sz w:val="21"/>
          <w:szCs w:val="21"/>
          <w:highlight w:val="none"/>
        </w:rPr>
        <w:t>致评标工作无法继续时， 评标活动方可暂停。</w:t>
      </w:r>
    </w:p>
    <w:p w14:paraId="37F5A038">
      <w:pPr>
        <w:spacing w:before="148" w:line="398" w:lineRule="exact"/>
        <w:ind w:left="434"/>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A6.2.2 发生评标暂停情况时，</w:t>
      </w:r>
      <w:r>
        <w:rPr>
          <w:rFonts w:ascii="宋体" w:hAnsi="宋体" w:eastAsia="宋体" w:cs="宋体"/>
          <w:color w:val="auto"/>
          <w:spacing w:val="51"/>
          <w:position w:val="14"/>
          <w:sz w:val="21"/>
          <w:szCs w:val="21"/>
          <w:highlight w:val="none"/>
        </w:rPr>
        <w:t xml:space="preserve"> </w:t>
      </w:r>
      <w:r>
        <w:rPr>
          <w:rFonts w:ascii="宋体" w:hAnsi="宋体" w:eastAsia="宋体" w:cs="宋体"/>
          <w:color w:val="auto"/>
          <w:spacing w:val="-3"/>
          <w:position w:val="14"/>
          <w:sz w:val="21"/>
          <w:szCs w:val="21"/>
          <w:highlight w:val="none"/>
        </w:rPr>
        <w:t>评标委员会应当封存</w:t>
      </w:r>
      <w:r>
        <w:rPr>
          <w:rFonts w:ascii="宋体" w:hAnsi="宋体" w:eastAsia="宋体" w:cs="宋体"/>
          <w:color w:val="auto"/>
          <w:spacing w:val="-4"/>
          <w:position w:val="14"/>
          <w:sz w:val="21"/>
          <w:szCs w:val="21"/>
          <w:highlight w:val="none"/>
        </w:rPr>
        <w:t>全部投标文件和评标记录，待不可</w:t>
      </w:r>
    </w:p>
    <w:p w14:paraId="3385D713">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抗力的影响结束且具备继续评标的条件时，由原评标委员会继续评标。</w:t>
      </w:r>
    </w:p>
    <w:p w14:paraId="39E5F060">
      <w:pPr>
        <w:spacing w:before="154"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A6.3 </w:t>
      </w:r>
      <w:r>
        <w:rPr>
          <w:rFonts w:ascii="黑体" w:hAnsi="黑体" w:eastAsia="黑体" w:cs="黑体"/>
          <w:color w:val="auto"/>
          <w:spacing w:val="-1"/>
          <w:sz w:val="21"/>
          <w:szCs w:val="21"/>
          <w:highlight w:val="none"/>
        </w:rPr>
        <w:t>关于评标中途更换评标委员会成员</w:t>
      </w:r>
    </w:p>
    <w:p w14:paraId="45F4274F">
      <w:pPr>
        <w:spacing w:before="150" w:line="352" w:lineRule="auto"/>
        <w:ind w:left="446" w:right="1482" w:hanging="12"/>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A6.3.1</w:t>
      </w:r>
      <w:r>
        <w:rPr>
          <w:rFonts w:ascii="宋体" w:hAnsi="宋体" w:eastAsia="宋体" w:cs="宋体"/>
          <w:color w:val="auto"/>
          <w:spacing w:val="-31"/>
          <w:sz w:val="21"/>
          <w:szCs w:val="21"/>
          <w:highlight w:val="none"/>
        </w:rPr>
        <w:t xml:space="preserve"> </w:t>
      </w:r>
      <w:r>
        <w:rPr>
          <w:rFonts w:ascii="宋体" w:hAnsi="宋体" w:eastAsia="宋体" w:cs="宋体"/>
          <w:color w:val="auto"/>
          <w:spacing w:val="-2"/>
          <w:sz w:val="21"/>
          <w:szCs w:val="21"/>
          <w:highlight w:val="none"/>
        </w:rPr>
        <w:t>除非发生下列情况之一，评标委员会成</w:t>
      </w:r>
      <w:r>
        <w:rPr>
          <w:rFonts w:ascii="宋体" w:hAnsi="宋体" w:eastAsia="宋体" w:cs="宋体"/>
          <w:color w:val="auto"/>
          <w:spacing w:val="-3"/>
          <w:sz w:val="21"/>
          <w:szCs w:val="21"/>
          <w:highlight w:val="none"/>
        </w:rPr>
        <w:t xml:space="preserve">员不得在评标中途更换： </w:t>
      </w:r>
      <w:r>
        <w:rPr>
          <w:rFonts w:ascii="宋体" w:hAnsi="宋体" w:eastAsia="宋体" w:cs="宋体"/>
          <w:color w:val="auto"/>
          <w:spacing w:val="-4"/>
          <w:sz w:val="21"/>
          <w:szCs w:val="21"/>
          <w:highlight w:val="none"/>
        </w:rPr>
        <w:t>（1）因不可抗拒的客观原因， 不能到场</w:t>
      </w:r>
      <w:r>
        <w:rPr>
          <w:rFonts w:ascii="宋体" w:hAnsi="宋体" w:eastAsia="宋体" w:cs="宋体"/>
          <w:color w:val="auto"/>
          <w:spacing w:val="-5"/>
          <w:sz w:val="21"/>
          <w:szCs w:val="21"/>
          <w:highlight w:val="none"/>
        </w:rPr>
        <w:t>或需在评标中途退出评标活动。</w:t>
      </w:r>
    </w:p>
    <w:p w14:paraId="452C02A6">
      <w:pPr>
        <w:spacing w:before="1" w:line="219"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（2）根据法律法规规定，某个或某几个评标委员会成员需要回避。</w:t>
      </w:r>
    </w:p>
    <w:p w14:paraId="267EE39D">
      <w:pPr>
        <w:spacing w:before="148" w:line="399" w:lineRule="exact"/>
        <w:ind w:left="434"/>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A6.3.2 退出评标的评标委员会成员，</w:t>
      </w:r>
      <w:r>
        <w:rPr>
          <w:rFonts w:ascii="宋体" w:hAnsi="宋体" w:eastAsia="宋体" w:cs="宋体"/>
          <w:color w:val="auto"/>
          <w:position w:val="14"/>
          <w:sz w:val="21"/>
          <w:szCs w:val="21"/>
          <w:highlight w:val="none"/>
        </w:rPr>
        <w:t>其已完成的评标行为无效。由招标人根据本招标</w:t>
      </w:r>
    </w:p>
    <w:p w14:paraId="3E302879">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文件规定的评标委员会成员生产方式另行确定替代者进</w:t>
      </w:r>
      <w:r>
        <w:rPr>
          <w:rFonts w:ascii="宋体" w:hAnsi="宋体" w:eastAsia="宋体" w:cs="宋体"/>
          <w:color w:val="auto"/>
          <w:spacing w:val="-2"/>
          <w:sz w:val="21"/>
          <w:szCs w:val="21"/>
          <w:highlight w:val="none"/>
        </w:rPr>
        <w:t>行评标。</w:t>
      </w:r>
    </w:p>
    <w:p w14:paraId="5958DD52">
      <w:pPr>
        <w:spacing w:before="153"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z w:val="21"/>
          <w:szCs w:val="21"/>
          <w:highlight w:val="none"/>
        </w:rPr>
        <w:t xml:space="preserve">A6.4 </w:t>
      </w:r>
      <w:r>
        <w:rPr>
          <w:rFonts w:ascii="黑体" w:hAnsi="黑体" w:eastAsia="黑体" w:cs="黑体"/>
          <w:color w:val="auto"/>
          <w:sz w:val="21"/>
          <w:szCs w:val="21"/>
          <w:highlight w:val="none"/>
        </w:rPr>
        <w:t>评标争议处理</w:t>
      </w:r>
    </w:p>
    <w:p w14:paraId="0C584CE3">
      <w:pPr>
        <w:spacing w:before="148" w:line="220" w:lineRule="auto"/>
        <w:ind w:left="43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A6.4.1</w:t>
      </w:r>
      <w:r>
        <w:rPr>
          <w:rFonts w:ascii="宋体" w:hAnsi="宋体" w:eastAsia="宋体" w:cs="宋体"/>
          <w:color w:val="auto"/>
          <w:spacing w:val="-29"/>
          <w:sz w:val="21"/>
          <w:szCs w:val="21"/>
          <w:highlight w:val="none"/>
        </w:rPr>
        <w:t xml:space="preserve"> </w:t>
      </w:r>
      <w:r>
        <w:rPr>
          <w:rFonts w:ascii="宋体" w:hAnsi="宋体" w:eastAsia="宋体" w:cs="宋体"/>
          <w:color w:val="auto"/>
          <w:spacing w:val="-1"/>
          <w:sz w:val="21"/>
          <w:szCs w:val="21"/>
          <w:highlight w:val="none"/>
        </w:rPr>
        <w:t>评标委员会全体成员应独立评审，对所提出的评审意见承担个人责任。</w:t>
      </w:r>
    </w:p>
    <w:p w14:paraId="3EBC01F2">
      <w:pPr>
        <w:spacing w:before="147" w:line="353" w:lineRule="auto"/>
        <w:ind w:left="17" w:right="174" w:firstLine="4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A6.4.2 在任何评标环节中，需评标委</w:t>
      </w:r>
      <w:r>
        <w:rPr>
          <w:rFonts w:ascii="宋体" w:hAnsi="宋体" w:eastAsia="宋体" w:cs="宋体"/>
          <w:color w:val="auto"/>
          <w:sz w:val="21"/>
          <w:szCs w:val="21"/>
          <w:highlight w:val="none"/>
        </w:rPr>
        <w:t xml:space="preserve">员会就某项定性的评审结论做出表决的，由评标 </w:t>
      </w:r>
      <w:r>
        <w:rPr>
          <w:rFonts w:ascii="宋体" w:hAnsi="宋体" w:eastAsia="宋体" w:cs="宋体"/>
          <w:color w:val="auto"/>
          <w:spacing w:val="3"/>
          <w:sz w:val="21"/>
          <w:szCs w:val="21"/>
          <w:highlight w:val="none"/>
        </w:rPr>
        <w:t>委员会全体成员按照少数服从多数的原则，以记名投票方式表决。表决不得违</w:t>
      </w:r>
      <w:r>
        <w:rPr>
          <w:rFonts w:ascii="宋体" w:hAnsi="宋体" w:eastAsia="宋体" w:cs="宋体"/>
          <w:color w:val="auto"/>
          <w:spacing w:val="2"/>
          <w:sz w:val="21"/>
          <w:szCs w:val="21"/>
          <w:highlight w:val="none"/>
        </w:rPr>
        <w:t>背法律、法</w:t>
      </w:r>
    </w:p>
    <w:p w14:paraId="5007A153">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规、规章和招标文件的规定。</w:t>
      </w:r>
    </w:p>
    <w:p w14:paraId="0E717FD0">
      <w:pPr>
        <w:spacing w:before="149" w:line="352" w:lineRule="auto"/>
        <w:ind w:left="19" w:right="173" w:firstLine="41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A6.4.3 评标委员会成员对书面决议或评审结论持有异议的， 可以书面阐述其不同意见</w:t>
      </w:r>
      <w:r>
        <w:rPr>
          <w:rFonts w:ascii="宋体" w:hAnsi="宋体" w:eastAsia="宋体" w:cs="宋体"/>
          <w:color w:val="auto"/>
          <w:sz w:val="21"/>
          <w:szCs w:val="21"/>
          <w:highlight w:val="none"/>
        </w:rPr>
        <w:t xml:space="preserve"> 和理由。拒绝在书面决议或评标报告上签名， 且不陈述其不同意见和理由的，视为同意书</w:t>
      </w:r>
    </w:p>
    <w:p w14:paraId="290A8A56">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面决议或评标结论， 评标委员会应当对此在评标报告中做出书面</w:t>
      </w:r>
      <w:r>
        <w:rPr>
          <w:rFonts w:ascii="宋体" w:hAnsi="宋体" w:eastAsia="宋体" w:cs="宋体"/>
          <w:color w:val="auto"/>
          <w:spacing w:val="-5"/>
          <w:sz w:val="21"/>
          <w:szCs w:val="21"/>
          <w:highlight w:val="none"/>
        </w:rPr>
        <w:t>说明。</w:t>
      </w:r>
    </w:p>
    <w:p w14:paraId="1C5E951B">
      <w:pPr>
        <w:spacing w:line="219" w:lineRule="auto"/>
        <w:rPr>
          <w:rFonts w:ascii="宋体" w:hAnsi="宋体" w:eastAsia="宋体" w:cs="宋体"/>
          <w:color w:val="auto"/>
          <w:sz w:val="21"/>
          <w:szCs w:val="21"/>
          <w:highlight w:val="none"/>
        </w:rPr>
        <w:sectPr>
          <w:footerReference r:id="rId56" w:type="default"/>
          <w:pgSz w:w="11905" w:h="16839"/>
          <w:pgMar w:top="1431" w:right="1613" w:bottom="996" w:left="1785" w:header="0" w:footer="791" w:gutter="0"/>
          <w:pgNumType w:fmt="decimal"/>
          <w:cols w:space="720" w:num="1"/>
        </w:sectPr>
      </w:pPr>
    </w:p>
    <w:p w14:paraId="056EC7A2">
      <w:pPr>
        <w:spacing w:before="123" w:line="220" w:lineRule="auto"/>
        <w:ind w:left="11"/>
        <w:rPr>
          <w:rFonts w:ascii="黑体" w:hAnsi="黑体" w:eastAsia="黑体" w:cs="黑体"/>
          <w:color w:val="auto"/>
          <w:sz w:val="24"/>
          <w:szCs w:val="24"/>
          <w:highlight w:val="none"/>
        </w:rPr>
      </w:pPr>
      <w:bookmarkStart w:id="140" w:name="bookmark169"/>
      <w:bookmarkEnd w:id="140"/>
      <w:bookmarkStart w:id="141" w:name="bookmark168"/>
      <w:bookmarkEnd w:id="141"/>
      <w:bookmarkStart w:id="142" w:name="bookmark170"/>
      <w:bookmarkEnd w:id="142"/>
      <w:r>
        <w:rPr>
          <w:rFonts w:ascii="Times New Roman" w:hAnsi="Times New Roman" w:eastAsia="Times New Roman" w:cs="Times New Roman"/>
          <w:color w:val="auto"/>
          <w:sz w:val="24"/>
          <w:szCs w:val="24"/>
          <w:highlight w:val="none"/>
        </w:rPr>
        <w:t>A7.</w:t>
      </w:r>
      <w:r>
        <w:rPr>
          <w:rFonts w:ascii="黑体" w:hAnsi="黑体" w:eastAsia="黑体" w:cs="黑体"/>
          <w:color w:val="auto"/>
          <w:sz w:val="24"/>
          <w:szCs w:val="24"/>
          <w:highlight w:val="none"/>
        </w:rPr>
        <w:t>补充条款</w:t>
      </w:r>
    </w:p>
    <w:p w14:paraId="4B598FB5">
      <w:pPr>
        <w:pStyle w:val="3"/>
        <w:spacing w:line="257" w:lineRule="auto"/>
        <w:rPr>
          <w:color w:val="auto"/>
          <w:highlight w:val="none"/>
        </w:rPr>
      </w:pPr>
    </w:p>
    <w:p w14:paraId="45871CD9">
      <w:pPr>
        <w:spacing w:line="35" w:lineRule="exact"/>
        <w:ind w:firstLine="454"/>
        <w:rPr>
          <w:color w:val="auto"/>
          <w:highlight w:val="none"/>
        </w:rPr>
      </w:pPr>
      <w:r>
        <w:rPr>
          <w:color w:val="auto"/>
          <w:highlight w:val="none"/>
        </w:rPr>
        <w:drawing>
          <wp:inline distT="0" distB="0" distL="0" distR="0">
            <wp:extent cx="229870" cy="2222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55"/>
                    <a:stretch>
                      <a:fillRect/>
                    </a:stretch>
                  </pic:blipFill>
                  <pic:spPr>
                    <a:xfrm>
                      <a:off x="0" y="0"/>
                      <a:ext cx="230302" cy="22352"/>
                    </a:xfrm>
                    <a:prstGeom prst="rect">
                      <a:avLst/>
                    </a:prstGeom>
                  </pic:spPr>
                </pic:pic>
              </a:graphicData>
            </a:graphic>
          </wp:inline>
        </w:drawing>
      </w:r>
    </w:p>
    <w:p w14:paraId="6ADA221B">
      <w:pPr>
        <w:spacing w:line="35" w:lineRule="exact"/>
        <w:rPr>
          <w:color w:val="auto"/>
          <w:highlight w:val="none"/>
        </w:rPr>
        <w:sectPr>
          <w:footerReference r:id="rId57" w:type="default"/>
          <w:pgSz w:w="11905" w:h="16839"/>
          <w:pgMar w:top="1431" w:right="1785" w:bottom="996" w:left="1785" w:header="0" w:footer="791" w:gutter="0"/>
          <w:pgNumType w:fmt="decimal"/>
          <w:cols w:space="720" w:num="1"/>
        </w:sectPr>
      </w:pPr>
    </w:p>
    <w:p w14:paraId="7CDF2F9A">
      <w:pPr>
        <w:pStyle w:val="3"/>
        <w:spacing w:before="306" w:line="220" w:lineRule="auto"/>
        <w:ind w:left="32"/>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附件</w:t>
      </w:r>
      <w:r>
        <w:rPr>
          <w:rFonts w:ascii="黑体" w:hAnsi="黑体" w:eastAsia="黑体" w:cs="黑体"/>
          <w:color w:val="auto"/>
          <w:spacing w:val="-42"/>
          <w:sz w:val="24"/>
          <w:szCs w:val="24"/>
          <w:highlight w:val="none"/>
        </w:rPr>
        <w:t xml:space="preserve"> </w:t>
      </w:r>
      <w:r>
        <w:rPr>
          <w:color w:val="auto"/>
          <w:spacing w:val="-5"/>
          <w:sz w:val="24"/>
          <w:szCs w:val="24"/>
          <w:highlight w:val="none"/>
        </w:rPr>
        <w:t>B</w:t>
      </w:r>
      <w:r>
        <w:rPr>
          <w:rFonts w:ascii="黑体" w:hAnsi="黑体" w:eastAsia="黑体" w:cs="黑体"/>
          <w:color w:val="auto"/>
          <w:spacing w:val="-5"/>
          <w:sz w:val="24"/>
          <w:szCs w:val="24"/>
          <w:highlight w:val="none"/>
        </w:rPr>
        <w:t>：否决投标的条件</w:t>
      </w:r>
    </w:p>
    <w:p w14:paraId="48444495">
      <w:pPr>
        <w:pStyle w:val="3"/>
        <w:spacing w:line="427" w:lineRule="auto"/>
        <w:rPr>
          <w:color w:val="auto"/>
          <w:highlight w:val="none"/>
        </w:rPr>
      </w:pPr>
    </w:p>
    <w:p w14:paraId="22EB660C">
      <w:pPr>
        <w:spacing w:before="88" w:line="225" w:lineRule="auto"/>
        <w:ind w:left="3195"/>
        <w:rPr>
          <w:rFonts w:ascii="黑体" w:hAnsi="黑体" w:eastAsia="黑体" w:cs="黑体"/>
          <w:color w:val="auto"/>
          <w:sz w:val="27"/>
          <w:szCs w:val="27"/>
          <w:highlight w:val="none"/>
        </w:rPr>
      </w:pPr>
      <w:r>
        <w:rPr>
          <w:rFonts w:ascii="黑体" w:hAnsi="黑体" w:eastAsia="黑体" w:cs="黑体"/>
          <w:color w:val="auto"/>
          <w:spacing w:val="9"/>
          <w:sz w:val="27"/>
          <w:szCs w:val="27"/>
          <w:highlight w:val="none"/>
          <w14:textOutline w14:w="5050" w14:cap="flat" w14:cmpd="sng">
            <w14:solidFill>
              <w14:srgbClr w14:val="000000"/>
            </w14:solidFill>
            <w14:prstDash w14:val="solid"/>
            <w14:miter w14:val="0"/>
          </w14:textOutline>
        </w:rPr>
        <w:t>否决投标的条件</w:t>
      </w:r>
    </w:p>
    <w:p w14:paraId="77A8DA77">
      <w:pPr>
        <w:spacing w:before="106" w:line="219" w:lineRule="auto"/>
        <w:ind w:left="14"/>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B0.</w:t>
      </w:r>
      <w:r>
        <w:rPr>
          <w:rFonts w:ascii="黑体" w:hAnsi="黑体" w:eastAsia="黑体" w:cs="黑体"/>
          <w:color w:val="auto"/>
          <w:spacing w:val="-1"/>
          <w:sz w:val="24"/>
          <w:szCs w:val="24"/>
          <w:highlight w:val="none"/>
        </w:rPr>
        <w:t>总</w:t>
      </w:r>
      <w:r>
        <w:rPr>
          <w:rFonts w:ascii="黑体" w:hAnsi="黑体" w:eastAsia="黑体" w:cs="黑体"/>
          <w:color w:val="auto"/>
          <w:spacing w:val="14"/>
          <w:sz w:val="24"/>
          <w:szCs w:val="24"/>
          <w:highlight w:val="none"/>
        </w:rPr>
        <w:t xml:space="preserve"> </w:t>
      </w:r>
      <w:r>
        <w:rPr>
          <w:rFonts w:ascii="黑体" w:hAnsi="黑体" w:eastAsia="黑体" w:cs="黑体"/>
          <w:color w:val="auto"/>
          <w:spacing w:val="-1"/>
          <w:sz w:val="24"/>
          <w:szCs w:val="24"/>
          <w:highlight w:val="none"/>
        </w:rPr>
        <w:t>则</w:t>
      </w:r>
    </w:p>
    <w:p w14:paraId="1912C354">
      <w:pPr>
        <w:spacing w:before="162" w:line="432" w:lineRule="exact"/>
        <w:ind w:left="442"/>
        <w:rPr>
          <w:rFonts w:ascii="宋体" w:hAnsi="宋体" w:eastAsia="宋体" w:cs="宋体"/>
          <w:color w:val="auto"/>
          <w:sz w:val="21"/>
          <w:szCs w:val="21"/>
          <w:highlight w:val="none"/>
        </w:rPr>
      </w:pPr>
      <w:r>
        <w:rPr>
          <w:rFonts w:ascii="宋体" w:hAnsi="宋体" w:eastAsia="宋体" w:cs="宋体"/>
          <w:color w:val="auto"/>
          <w:spacing w:val="3"/>
          <w:position w:val="16"/>
          <w:sz w:val="21"/>
          <w:szCs w:val="21"/>
          <w:highlight w:val="none"/>
        </w:rPr>
        <w:t>本附件所集中列示的否决投标的条件，是本章“评标办法”的组成部分，是对第二章</w:t>
      </w:r>
    </w:p>
    <w:p w14:paraId="7AA19D3F">
      <w:pPr>
        <w:spacing w:line="219" w:lineRule="auto"/>
        <w:ind w:left="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“投标人须知”和本章正文部分所规定的否决投标的条件的总结和补充，如果出现不一致</w:t>
      </w:r>
    </w:p>
    <w:p w14:paraId="5874A764">
      <w:pPr>
        <w:spacing w:before="178" w:line="383" w:lineRule="exact"/>
        <w:ind w:left="35"/>
        <w:rPr>
          <w:rFonts w:ascii="宋体" w:hAnsi="宋体" w:eastAsia="宋体" w:cs="宋体"/>
          <w:color w:val="auto"/>
          <w:sz w:val="21"/>
          <w:szCs w:val="21"/>
          <w:highlight w:val="none"/>
        </w:rPr>
      </w:pPr>
      <w:r>
        <w:rPr>
          <w:rFonts w:ascii="宋体" w:hAnsi="宋体" w:eastAsia="宋体" w:cs="宋体"/>
          <w:color w:val="auto"/>
          <w:spacing w:val="-9"/>
          <w:position w:val="13"/>
          <w:sz w:val="21"/>
          <w:szCs w:val="21"/>
          <w:highlight w:val="none"/>
        </w:rPr>
        <w:t>的情况，</w:t>
      </w:r>
      <w:r>
        <w:rPr>
          <w:rFonts w:ascii="宋体" w:hAnsi="宋体" w:eastAsia="宋体" w:cs="宋体"/>
          <w:color w:val="auto"/>
          <w:spacing w:val="40"/>
          <w:position w:val="13"/>
          <w:sz w:val="21"/>
          <w:szCs w:val="21"/>
          <w:highlight w:val="none"/>
        </w:rPr>
        <w:t xml:space="preserve"> </w:t>
      </w:r>
      <w:r>
        <w:rPr>
          <w:rFonts w:ascii="宋体" w:hAnsi="宋体" w:eastAsia="宋体" w:cs="宋体"/>
          <w:color w:val="auto"/>
          <w:spacing w:val="-9"/>
          <w:position w:val="13"/>
          <w:sz w:val="21"/>
          <w:szCs w:val="21"/>
          <w:highlight w:val="none"/>
        </w:rPr>
        <w:t>以本章前附表和正文部分的规定为准。</w:t>
      </w:r>
    </w:p>
    <w:p w14:paraId="3E32F346">
      <w:pPr>
        <w:spacing w:before="1" w:line="219" w:lineRule="auto"/>
        <w:ind w:left="14"/>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B1.</w:t>
      </w:r>
      <w:r>
        <w:rPr>
          <w:rFonts w:ascii="黑体" w:hAnsi="黑体" w:eastAsia="黑体" w:cs="黑体"/>
          <w:color w:val="auto"/>
          <w:spacing w:val="-1"/>
          <w:sz w:val="24"/>
          <w:szCs w:val="24"/>
          <w:highlight w:val="none"/>
        </w:rPr>
        <w:t>否决投标的条件</w:t>
      </w:r>
    </w:p>
    <w:p w14:paraId="2D6FAB16">
      <w:pPr>
        <w:spacing w:before="161" w:line="220" w:lineRule="auto"/>
        <w:ind w:left="443"/>
        <w:rPr>
          <w:rFonts w:ascii="宋体" w:hAnsi="宋体" w:eastAsia="宋体" w:cs="宋体"/>
          <w:color w:val="auto"/>
          <w:sz w:val="21"/>
          <w:szCs w:val="21"/>
          <w:highlight w:val="none"/>
        </w:rPr>
      </w:pPr>
      <w:r>
        <w:rPr>
          <w:rFonts w:ascii="宋体" w:hAnsi="宋体" w:eastAsia="宋体" w:cs="宋体"/>
          <w:color w:val="auto"/>
          <w:sz w:val="21"/>
          <w:szCs w:val="21"/>
          <w:highlight w:val="none"/>
        </w:rPr>
        <w:t>投标人或其投标文件有下列情形之一的，评标委员</w:t>
      </w:r>
      <w:r>
        <w:rPr>
          <w:rFonts w:ascii="宋体" w:hAnsi="宋体" w:eastAsia="宋体" w:cs="宋体"/>
          <w:color w:val="auto"/>
          <w:spacing w:val="-1"/>
          <w:sz w:val="21"/>
          <w:szCs w:val="21"/>
          <w:highlight w:val="none"/>
        </w:rPr>
        <w:t>会应当否决其投标：</w:t>
      </w:r>
    </w:p>
    <w:p w14:paraId="1EEF990A">
      <w:pPr>
        <w:spacing w:before="182" w:line="432" w:lineRule="exact"/>
        <w:ind w:left="436"/>
        <w:rPr>
          <w:rFonts w:ascii="宋体" w:hAnsi="宋体" w:eastAsia="宋体" w:cs="宋体"/>
          <w:color w:val="auto"/>
          <w:sz w:val="21"/>
          <w:szCs w:val="21"/>
          <w:highlight w:val="none"/>
        </w:rPr>
      </w:pPr>
      <w:r>
        <w:rPr>
          <w:rFonts w:ascii="宋体" w:hAnsi="宋体" w:eastAsia="宋体" w:cs="宋体"/>
          <w:color w:val="auto"/>
          <w:spacing w:val="-3"/>
          <w:position w:val="16"/>
          <w:sz w:val="21"/>
          <w:szCs w:val="21"/>
          <w:highlight w:val="none"/>
        </w:rPr>
        <w:t>B1.1 在形式评审、资格评审、响应性评审</w:t>
      </w:r>
      <w:r>
        <w:rPr>
          <w:rFonts w:ascii="宋体" w:hAnsi="宋体" w:eastAsia="宋体" w:cs="宋体"/>
          <w:color w:val="auto"/>
          <w:spacing w:val="-4"/>
          <w:position w:val="16"/>
          <w:sz w:val="21"/>
          <w:szCs w:val="21"/>
          <w:highlight w:val="none"/>
        </w:rPr>
        <w:t>中，</w:t>
      </w:r>
      <w:r>
        <w:rPr>
          <w:rFonts w:ascii="宋体" w:hAnsi="宋体" w:eastAsia="宋体" w:cs="宋体"/>
          <w:color w:val="auto"/>
          <w:spacing w:val="50"/>
          <w:position w:val="16"/>
          <w:sz w:val="21"/>
          <w:szCs w:val="21"/>
          <w:highlight w:val="none"/>
        </w:rPr>
        <w:t xml:space="preserve"> </w:t>
      </w:r>
      <w:r>
        <w:rPr>
          <w:rFonts w:ascii="宋体" w:hAnsi="宋体" w:eastAsia="宋体" w:cs="宋体"/>
          <w:color w:val="auto"/>
          <w:spacing w:val="-4"/>
          <w:position w:val="16"/>
          <w:sz w:val="21"/>
          <w:szCs w:val="21"/>
          <w:highlight w:val="none"/>
        </w:rPr>
        <w:t>评标委员会认定投标人的投标文件不符</w:t>
      </w:r>
    </w:p>
    <w:p w14:paraId="691EC649">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合评标办法前附表中规定的任何一项评审标准的。</w:t>
      </w:r>
      <w:r>
        <w:rPr>
          <w:rFonts w:ascii="宋体" w:hAnsi="宋体" w:eastAsia="宋体" w:cs="宋体"/>
          <w:color w:val="auto"/>
          <w:spacing w:val="-2"/>
          <w:sz w:val="21"/>
          <w:szCs w:val="21"/>
          <w:highlight w:val="none"/>
        </w:rPr>
        <w:t>主要包括以下内容：</w:t>
      </w:r>
    </w:p>
    <w:p w14:paraId="2029D64C">
      <w:pPr>
        <w:spacing w:before="178" w:line="432" w:lineRule="exact"/>
        <w:ind w:left="447"/>
        <w:rPr>
          <w:rFonts w:ascii="宋体" w:hAnsi="宋体" w:eastAsia="宋体" w:cs="宋体"/>
          <w:color w:val="auto"/>
          <w:sz w:val="21"/>
          <w:szCs w:val="21"/>
          <w:highlight w:val="none"/>
        </w:rPr>
      </w:pPr>
      <w:r>
        <w:rPr>
          <w:rFonts w:ascii="宋体" w:hAnsi="宋体" w:eastAsia="宋体" w:cs="宋体"/>
          <w:color w:val="auto"/>
          <w:position w:val="16"/>
          <w:sz w:val="21"/>
          <w:szCs w:val="21"/>
          <w:highlight w:val="none"/>
        </w:rPr>
        <w:t>（</w:t>
      </w:r>
      <w:r>
        <w:rPr>
          <w:rFonts w:ascii="Times New Roman" w:hAnsi="Times New Roman" w:eastAsia="Times New Roman" w:cs="Times New Roman"/>
          <w:color w:val="auto"/>
          <w:position w:val="16"/>
          <w:sz w:val="21"/>
          <w:szCs w:val="21"/>
          <w:highlight w:val="none"/>
        </w:rPr>
        <w:t>1</w:t>
      </w:r>
      <w:r>
        <w:rPr>
          <w:rFonts w:ascii="宋体" w:hAnsi="宋体" w:eastAsia="宋体" w:cs="宋体"/>
          <w:color w:val="auto"/>
          <w:position w:val="16"/>
          <w:sz w:val="21"/>
          <w:szCs w:val="21"/>
          <w:highlight w:val="none"/>
        </w:rPr>
        <w:t>）投标人名称与营业执照、资质证书、安全生产许可证不一致；或提供无效的营业</w:t>
      </w:r>
    </w:p>
    <w:p w14:paraId="3D48BF69">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执照、资质证书、安全生产许可证的；</w:t>
      </w:r>
    </w:p>
    <w:p w14:paraId="32FF5312">
      <w:pPr>
        <w:spacing w:before="177" w:line="432" w:lineRule="exact"/>
        <w:ind w:left="447"/>
        <w:rPr>
          <w:rFonts w:ascii="宋体" w:hAnsi="宋体" w:eastAsia="宋体" w:cs="宋体"/>
          <w:color w:val="auto"/>
          <w:sz w:val="21"/>
          <w:szCs w:val="21"/>
          <w:highlight w:val="none"/>
        </w:rPr>
      </w:pPr>
      <w:r>
        <w:rPr>
          <w:rFonts w:ascii="宋体" w:hAnsi="宋体" w:eastAsia="宋体" w:cs="宋体"/>
          <w:color w:val="auto"/>
          <w:spacing w:val="-1"/>
          <w:position w:val="16"/>
          <w:sz w:val="21"/>
          <w:szCs w:val="21"/>
          <w:highlight w:val="none"/>
        </w:rPr>
        <w:t>（</w:t>
      </w:r>
      <w:r>
        <w:rPr>
          <w:rFonts w:ascii="Times New Roman" w:hAnsi="Times New Roman" w:eastAsia="Times New Roman" w:cs="Times New Roman"/>
          <w:color w:val="auto"/>
          <w:spacing w:val="-1"/>
          <w:position w:val="16"/>
          <w:sz w:val="21"/>
          <w:szCs w:val="21"/>
          <w:highlight w:val="none"/>
        </w:rPr>
        <w:t>2</w:t>
      </w:r>
      <w:r>
        <w:rPr>
          <w:rFonts w:ascii="宋体" w:hAnsi="宋体" w:eastAsia="宋体" w:cs="宋体"/>
          <w:color w:val="auto"/>
          <w:spacing w:val="-1"/>
          <w:position w:val="16"/>
          <w:sz w:val="21"/>
          <w:szCs w:val="21"/>
          <w:highlight w:val="none"/>
        </w:rPr>
        <w:t xml:space="preserve">）未按照第二章“投标人须知”第 </w:t>
      </w:r>
      <w:r>
        <w:rPr>
          <w:rFonts w:ascii="Times New Roman" w:hAnsi="Times New Roman" w:eastAsia="Times New Roman" w:cs="Times New Roman"/>
          <w:color w:val="auto"/>
          <w:spacing w:val="-1"/>
          <w:position w:val="16"/>
          <w:sz w:val="21"/>
          <w:szCs w:val="21"/>
          <w:highlight w:val="none"/>
        </w:rPr>
        <w:t>3.7.3</w:t>
      </w:r>
      <w:r>
        <w:rPr>
          <w:rFonts w:ascii="宋体" w:hAnsi="宋体" w:eastAsia="宋体" w:cs="宋体"/>
          <w:color w:val="auto"/>
          <w:spacing w:val="-1"/>
          <w:position w:val="16"/>
          <w:sz w:val="21"/>
          <w:szCs w:val="21"/>
          <w:highlight w:val="none"/>
        </w:rPr>
        <w:t>（</w:t>
      </w:r>
      <w:r>
        <w:rPr>
          <w:rFonts w:ascii="Times New Roman" w:hAnsi="Times New Roman" w:eastAsia="Times New Roman" w:cs="Times New Roman"/>
          <w:color w:val="auto"/>
          <w:spacing w:val="-1"/>
          <w:position w:val="16"/>
          <w:sz w:val="21"/>
          <w:szCs w:val="21"/>
          <w:highlight w:val="none"/>
        </w:rPr>
        <w:t>4</w:t>
      </w:r>
      <w:r>
        <w:rPr>
          <w:rFonts w:ascii="宋体" w:hAnsi="宋体" w:eastAsia="宋体" w:cs="宋体"/>
          <w:color w:val="auto"/>
          <w:spacing w:val="-1"/>
          <w:position w:val="16"/>
          <w:sz w:val="21"/>
          <w:szCs w:val="21"/>
          <w:highlight w:val="none"/>
        </w:rPr>
        <w:t>）</w:t>
      </w:r>
      <w:r>
        <w:rPr>
          <w:rFonts w:ascii="宋体" w:hAnsi="宋体" w:eastAsia="宋体" w:cs="宋体"/>
          <w:color w:val="auto"/>
          <w:spacing w:val="-55"/>
          <w:position w:val="16"/>
          <w:sz w:val="21"/>
          <w:szCs w:val="21"/>
          <w:highlight w:val="none"/>
        </w:rPr>
        <w:t xml:space="preserve"> </w:t>
      </w:r>
      <w:r>
        <w:rPr>
          <w:rFonts w:ascii="宋体" w:hAnsi="宋体" w:eastAsia="宋体" w:cs="宋体"/>
          <w:color w:val="auto"/>
          <w:spacing w:val="-1"/>
          <w:position w:val="16"/>
          <w:sz w:val="21"/>
          <w:szCs w:val="21"/>
          <w:highlight w:val="none"/>
        </w:rPr>
        <w:t>目规定和第八章“投标文件格式</w:t>
      </w:r>
      <w:r>
        <w:rPr>
          <w:rFonts w:ascii="宋体" w:hAnsi="宋体" w:eastAsia="宋体" w:cs="宋体"/>
          <w:color w:val="auto"/>
          <w:spacing w:val="-2"/>
          <w:position w:val="16"/>
          <w:sz w:val="21"/>
          <w:szCs w:val="21"/>
          <w:highlight w:val="none"/>
        </w:rPr>
        <w:t>”的</w:t>
      </w:r>
    </w:p>
    <w:p w14:paraId="76B2A1E5">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要求进行电子签章的；</w:t>
      </w:r>
    </w:p>
    <w:p w14:paraId="52B7E589">
      <w:pPr>
        <w:spacing w:before="177" w:line="380" w:lineRule="auto"/>
        <w:ind w:left="19" w:firstLine="42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）联合体投标没有提交共同投标协议或共同投标协议未按招标文件提供的格式签署、</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提交， 未明确联合体牵头人和各方权利与义务，未承诺就中标项目向招标人承担连带责任</w:t>
      </w:r>
    </w:p>
    <w:p w14:paraId="02412D01">
      <w:pPr>
        <w:spacing w:line="221" w:lineRule="auto"/>
        <w:ind w:left="35"/>
        <w:rPr>
          <w:rFonts w:ascii="宋体" w:hAnsi="宋体" w:eastAsia="宋体" w:cs="宋体"/>
          <w:color w:val="auto"/>
          <w:sz w:val="21"/>
          <w:szCs w:val="21"/>
          <w:highlight w:val="none"/>
        </w:rPr>
      </w:pPr>
      <w:r>
        <w:rPr>
          <w:rFonts w:ascii="宋体" w:hAnsi="宋体" w:eastAsia="宋体" w:cs="宋体"/>
          <w:color w:val="auto"/>
          <w:spacing w:val="-28"/>
          <w:sz w:val="21"/>
          <w:szCs w:val="21"/>
          <w:highlight w:val="none"/>
        </w:rPr>
        <w:t>的（如有</w:t>
      </w:r>
      <w:r>
        <w:rPr>
          <w:rFonts w:ascii="宋体" w:hAnsi="宋体" w:eastAsia="宋体" w:cs="宋体"/>
          <w:color w:val="auto"/>
          <w:spacing w:val="-14"/>
          <w:sz w:val="21"/>
          <w:szCs w:val="21"/>
          <w:highlight w:val="none"/>
        </w:rPr>
        <w:t>）；</w:t>
      </w:r>
    </w:p>
    <w:p w14:paraId="058B6421">
      <w:pPr>
        <w:spacing w:before="176" w:line="432" w:lineRule="exact"/>
        <w:ind w:left="447"/>
        <w:rPr>
          <w:rFonts w:ascii="宋体" w:hAnsi="宋体" w:eastAsia="宋体" w:cs="宋体"/>
          <w:color w:val="auto"/>
          <w:sz w:val="21"/>
          <w:szCs w:val="21"/>
          <w:highlight w:val="none"/>
        </w:rPr>
      </w:pPr>
      <w:r>
        <w:rPr>
          <w:rFonts w:ascii="宋体" w:hAnsi="宋体" w:eastAsia="宋体" w:cs="宋体"/>
          <w:color w:val="auto"/>
          <w:position w:val="17"/>
          <w:sz w:val="21"/>
          <w:szCs w:val="21"/>
          <w:highlight w:val="none"/>
        </w:rPr>
        <w:t>（</w:t>
      </w:r>
      <w:r>
        <w:rPr>
          <w:rFonts w:ascii="Times New Roman" w:hAnsi="Times New Roman" w:eastAsia="Times New Roman" w:cs="Times New Roman"/>
          <w:color w:val="auto"/>
          <w:position w:val="17"/>
          <w:sz w:val="21"/>
          <w:szCs w:val="21"/>
          <w:highlight w:val="none"/>
        </w:rPr>
        <w:t>4</w:t>
      </w:r>
      <w:r>
        <w:rPr>
          <w:rFonts w:ascii="宋体" w:hAnsi="宋体" w:eastAsia="宋体" w:cs="宋体"/>
          <w:color w:val="auto"/>
          <w:position w:val="17"/>
          <w:sz w:val="21"/>
          <w:szCs w:val="21"/>
          <w:highlight w:val="none"/>
        </w:rPr>
        <w:t>）同一投标人提交两个以上不同的投标文件或者投标报价的（但招标文件要求提交</w:t>
      </w:r>
    </w:p>
    <w:p w14:paraId="76BFCFF8">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备选投标的除外</w:t>
      </w:r>
      <w:r>
        <w:rPr>
          <w:rFonts w:ascii="宋体" w:hAnsi="宋体" w:eastAsia="宋体" w:cs="宋体"/>
          <w:color w:val="auto"/>
          <w:spacing w:val="-18"/>
          <w:sz w:val="21"/>
          <w:szCs w:val="21"/>
          <w:highlight w:val="none"/>
        </w:rPr>
        <w:t>）；</w:t>
      </w:r>
    </w:p>
    <w:p w14:paraId="69EA3669">
      <w:pPr>
        <w:spacing w:before="176" w:line="219"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5</w:t>
      </w:r>
      <w:r>
        <w:rPr>
          <w:rFonts w:ascii="宋体" w:hAnsi="宋体" w:eastAsia="宋体" w:cs="宋体"/>
          <w:color w:val="auto"/>
          <w:spacing w:val="-2"/>
          <w:sz w:val="21"/>
          <w:szCs w:val="21"/>
          <w:highlight w:val="none"/>
        </w:rPr>
        <w:t>）未按照招标文件的要求报送应有的投标报价表格的；</w:t>
      </w:r>
    </w:p>
    <w:p w14:paraId="6CD54194">
      <w:pPr>
        <w:spacing w:before="182"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6</w:t>
      </w:r>
      <w:r>
        <w:rPr>
          <w:rFonts w:ascii="宋体" w:hAnsi="宋体" w:eastAsia="宋体" w:cs="宋体"/>
          <w:color w:val="auto"/>
          <w:spacing w:val="-2"/>
          <w:sz w:val="21"/>
          <w:szCs w:val="21"/>
          <w:highlight w:val="none"/>
        </w:rPr>
        <w:t>）项目经理二次刷卡实名认证未通过的；</w:t>
      </w:r>
    </w:p>
    <w:p w14:paraId="3D139612">
      <w:pPr>
        <w:spacing w:before="181"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7</w:t>
      </w:r>
      <w:r>
        <w:rPr>
          <w:rFonts w:ascii="宋体" w:hAnsi="宋体" w:eastAsia="宋体" w:cs="宋体"/>
          <w:color w:val="auto"/>
          <w:spacing w:val="-2"/>
          <w:sz w:val="21"/>
          <w:szCs w:val="21"/>
          <w:highlight w:val="none"/>
        </w:rPr>
        <w:t>）法定代表人或授权委托人未完成实名认证的；</w:t>
      </w:r>
    </w:p>
    <w:p w14:paraId="4FA084BC">
      <w:pPr>
        <w:spacing w:before="177"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8</w:t>
      </w:r>
      <w:r>
        <w:rPr>
          <w:rFonts w:ascii="宋体" w:hAnsi="宋体" w:eastAsia="宋体" w:cs="宋体"/>
          <w:color w:val="auto"/>
          <w:spacing w:val="-2"/>
          <w:sz w:val="21"/>
          <w:szCs w:val="21"/>
          <w:highlight w:val="none"/>
        </w:rPr>
        <w:t>）未按招标文件要求编制技术标（暗标）投标文件的；</w:t>
      </w:r>
    </w:p>
    <w:p w14:paraId="2A1EC315">
      <w:pPr>
        <w:spacing w:before="180"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9</w:t>
      </w:r>
      <w:r>
        <w:rPr>
          <w:rFonts w:ascii="宋体" w:hAnsi="宋体" w:eastAsia="宋体" w:cs="宋体"/>
          <w:color w:val="auto"/>
          <w:spacing w:val="-2"/>
          <w:sz w:val="21"/>
          <w:szCs w:val="21"/>
          <w:highlight w:val="none"/>
        </w:rPr>
        <w:t>）投标人资质条件不符合国家规定和招标文件要求的；</w:t>
      </w:r>
    </w:p>
    <w:p w14:paraId="35803B2F">
      <w:pPr>
        <w:spacing w:before="176" w:line="432" w:lineRule="exact"/>
        <w:ind w:left="447"/>
        <w:rPr>
          <w:rFonts w:ascii="宋体" w:hAnsi="宋体" w:eastAsia="宋体" w:cs="宋体"/>
          <w:color w:val="auto"/>
          <w:sz w:val="21"/>
          <w:szCs w:val="21"/>
          <w:highlight w:val="none"/>
        </w:rPr>
      </w:pPr>
      <w:r>
        <w:rPr>
          <w:rFonts w:ascii="宋体" w:hAnsi="宋体" w:eastAsia="宋体" w:cs="宋体"/>
          <w:color w:val="auto"/>
          <w:spacing w:val="3"/>
          <w:position w:val="16"/>
          <w:sz w:val="21"/>
          <w:szCs w:val="21"/>
          <w:highlight w:val="none"/>
        </w:rPr>
        <w:t>（</w:t>
      </w:r>
      <w:r>
        <w:rPr>
          <w:rFonts w:ascii="Times New Roman" w:hAnsi="Times New Roman" w:eastAsia="Times New Roman" w:cs="Times New Roman"/>
          <w:color w:val="auto"/>
          <w:spacing w:val="3"/>
          <w:position w:val="16"/>
          <w:sz w:val="21"/>
          <w:szCs w:val="21"/>
          <w:highlight w:val="none"/>
        </w:rPr>
        <w:t>10</w:t>
      </w:r>
      <w:r>
        <w:rPr>
          <w:rFonts w:ascii="宋体" w:hAnsi="宋体" w:eastAsia="宋体" w:cs="宋体"/>
          <w:color w:val="auto"/>
          <w:spacing w:val="3"/>
          <w:position w:val="16"/>
          <w:sz w:val="21"/>
          <w:szCs w:val="21"/>
          <w:highlight w:val="none"/>
        </w:rPr>
        <w:t>）项目负责人资格不符合招标文件规定的专业等级要</w:t>
      </w:r>
      <w:r>
        <w:rPr>
          <w:rFonts w:ascii="宋体" w:hAnsi="宋体" w:eastAsia="宋体" w:cs="宋体"/>
          <w:color w:val="auto"/>
          <w:spacing w:val="2"/>
          <w:position w:val="16"/>
          <w:sz w:val="21"/>
          <w:szCs w:val="21"/>
          <w:highlight w:val="none"/>
        </w:rPr>
        <w:t>求，或已在其他在建工程担</w:t>
      </w:r>
    </w:p>
    <w:p w14:paraId="2CCB23D5">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任项目经理（同一工程相邻分段发包或者分期施工的除外</w:t>
      </w:r>
      <w:r>
        <w:rPr>
          <w:rFonts w:ascii="宋体" w:hAnsi="宋体" w:eastAsia="宋体" w:cs="宋体"/>
          <w:color w:val="auto"/>
          <w:spacing w:val="-13"/>
          <w:sz w:val="21"/>
          <w:szCs w:val="21"/>
          <w:highlight w:val="none"/>
        </w:rPr>
        <w:t>）；</w:t>
      </w:r>
    </w:p>
    <w:p w14:paraId="62171F38">
      <w:pPr>
        <w:spacing w:before="176"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11</w:t>
      </w:r>
      <w:r>
        <w:rPr>
          <w:rFonts w:ascii="宋体" w:hAnsi="宋体" w:eastAsia="宋体" w:cs="宋体"/>
          <w:color w:val="auto"/>
          <w:spacing w:val="-1"/>
          <w:sz w:val="21"/>
          <w:szCs w:val="21"/>
          <w:highlight w:val="none"/>
        </w:rPr>
        <w:t>）具有投标人须知第</w:t>
      </w:r>
      <w:r>
        <w:rPr>
          <w:rFonts w:ascii="宋体" w:hAnsi="宋体" w:eastAsia="宋体" w:cs="宋体"/>
          <w:color w:val="auto"/>
          <w:spacing w:val="-26"/>
          <w:sz w:val="21"/>
          <w:szCs w:val="21"/>
          <w:highlight w:val="none"/>
        </w:rPr>
        <w:t xml:space="preserve"> </w:t>
      </w:r>
      <w:r>
        <w:rPr>
          <w:rFonts w:ascii="Times New Roman" w:hAnsi="Times New Roman" w:eastAsia="Times New Roman" w:cs="Times New Roman"/>
          <w:color w:val="auto"/>
          <w:spacing w:val="-1"/>
          <w:sz w:val="21"/>
          <w:szCs w:val="21"/>
          <w:highlight w:val="none"/>
        </w:rPr>
        <w:t>1.4.3</w:t>
      </w: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10</w:t>
      </w:r>
      <w:r>
        <w:rPr>
          <w:rFonts w:ascii="宋体" w:hAnsi="宋体" w:eastAsia="宋体" w:cs="宋体"/>
          <w:color w:val="auto"/>
          <w:spacing w:val="-1"/>
          <w:sz w:val="21"/>
          <w:szCs w:val="21"/>
          <w:highlight w:val="none"/>
        </w:rPr>
        <w:t>）</w:t>
      </w:r>
      <w:r>
        <w:rPr>
          <w:rFonts w:ascii="宋体" w:hAnsi="宋体" w:eastAsia="宋体" w:cs="宋体"/>
          <w:color w:val="auto"/>
          <w:spacing w:val="-2"/>
          <w:sz w:val="21"/>
          <w:szCs w:val="21"/>
          <w:highlight w:val="none"/>
        </w:rPr>
        <w:t>至（</w:t>
      </w:r>
      <w:r>
        <w:rPr>
          <w:rFonts w:ascii="Times New Roman" w:hAnsi="Times New Roman" w:eastAsia="Times New Roman" w:cs="Times New Roman"/>
          <w:color w:val="auto"/>
          <w:spacing w:val="-2"/>
          <w:sz w:val="21"/>
          <w:szCs w:val="21"/>
          <w:highlight w:val="none"/>
        </w:rPr>
        <w:t>17</w:t>
      </w:r>
      <w:r>
        <w:rPr>
          <w:rFonts w:ascii="宋体" w:hAnsi="宋体" w:eastAsia="宋体" w:cs="宋体"/>
          <w:color w:val="auto"/>
          <w:spacing w:val="-2"/>
          <w:sz w:val="21"/>
          <w:szCs w:val="21"/>
          <w:highlight w:val="none"/>
        </w:rPr>
        <w:t>）条目规定的情形；</w:t>
      </w:r>
    </w:p>
    <w:p w14:paraId="46B1EEC7">
      <w:pPr>
        <w:spacing w:before="181"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12</w:t>
      </w:r>
      <w:r>
        <w:rPr>
          <w:rFonts w:ascii="宋体" w:hAnsi="宋体" w:eastAsia="宋体" w:cs="宋体"/>
          <w:color w:val="auto"/>
          <w:spacing w:val="-2"/>
          <w:sz w:val="21"/>
          <w:szCs w:val="21"/>
          <w:highlight w:val="none"/>
        </w:rPr>
        <w:t>）未按招标文件要求提交投标保证金</w:t>
      </w:r>
      <w:r>
        <w:rPr>
          <w:rFonts w:ascii="宋体" w:hAnsi="宋体" w:eastAsia="宋体" w:cs="宋体"/>
          <w:color w:val="auto"/>
          <w:spacing w:val="-3"/>
          <w:sz w:val="21"/>
          <w:szCs w:val="21"/>
          <w:highlight w:val="none"/>
        </w:rPr>
        <w:t>的；</w:t>
      </w:r>
    </w:p>
    <w:p w14:paraId="195FC4CA">
      <w:pPr>
        <w:spacing w:before="181" w:line="427" w:lineRule="exact"/>
        <w:ind w:left="447"/>
        <w:rPr>
          <w:rFonts w:ascii="宋体" w:hAnsi="宋体" w:eastAsia="宋体" w:cs="宋体"/>
          <w:color w:val="auto"/>
          <w:sz w:val="21"/>
          <w:szCs w:val="21"/>
          <w:highlight w:val="none"/>
        </w:rPr>
      </w:pPr>
      <w:r>
        <w:rPr>
          <w:rFonts w:ascii="宋体" w:hAnsi="宋体" w:eastAsia="宋体" w:cs="宋体"/>
          <w:color w:val="auto"/>
          <w:spacing w:val="3"/>
          <w:position w:val="16"/>
          <w:sz w:val="21"/>
          <w:szCs w:val="21"/>
          <w:highlight w:val="none"/>
        </w:rPr>
        <w:t>（</w:t>
      </w:r>
      <w:r>
        <w:rPr>
          <w:rFonts w:ascii="Times New Roman" w:hAnsi="Times New Roman" w:eastAsia="Times New Roman" w:cs="Times New Roman"/>
          <w:color w:val="auto"/>
          <w:spacing w:val="3"/>
          <w:position w:val="16"/>
          <w:sz w:val="21"/>
          <w:szCs w:val="21"/>
          <w:highlight w:val="none"/>
        </w:rPr>
        <w:t>13</w:t>
      </w:r>
      <w:r>
        <w:rPr>
          <w:rFonts w:ascii="宋体" w:hAnsi="宋体" w:eastAsia="宋体" w:cs="宋体"/>
          <w:color w:val="auto"/>
          <w:spacing w:val="3"/>
          <w:position w:val="16"/>
          <w:sz w:val="21"/>
          <w:szCs w:val="21"/>
          <w:highlight w:val="none"/>
        </w:rPr>
        <w:t>）投标人填写的清单编码、清单名称、项目特征、计</w:t>
      </w:r>
      <w:r>
        <w:rPr>
          <w:rFonts w:ascii="宋体" w:hAnsi="宋体" w:eastAsia="宋体" w:cs="宋体"/>
          <w:color w:val="auto"/>
          <w:spacing w:val="2"/>
          <w:position w:val="16"/>
          <w:sz w:val="21"/>
          <w:szCs w:val="21"/>
          <w:highlight w:val="none"/>
        </w:rPr>
        <w:t>量单位、工程量与招标文件</w:t>
      </w:r>
    </w:p>
    <w:p w14:paraId="1C029EC9">
      <w:pPr>
        <w:spacing w:before="1" w:line="221"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给定的工程量清单不一致的；</w:t>
      </w:r>
    </w:p>
    <w:p w14:paraId="60340AF8">
      <w:pPr>
        <w:spacing w:before="180" w:line="219"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14</w:t>
      </w:r>
      <w:r>
        <w:rPr>
          <w:rFonts w:ascii="宋体" w:hAnsi="宋体" w:eastAsia="宋体" w:cs="宋体"/>
          <w:color w:val="auto"/>
          <w:spacing w:val="3"/>
          <w:sz w:val="21"/>
          <w:szCs w:val="21"/>
          <w:highlight w:val="none"/>
        </w:rPr>
        <w:t>）投标人修改招标文件给定的工程量清单中所列价格</w:t>
      </w:r>
      <w:r>
        <w:rPr>
          <w:rFonts w:ascii="宋体" w:hAnsi="宋体" w:eastAsia="宋体" w:cs="宋体"/>
          <w:color w:val="auto"/>
          <w:spacing w:val="2"/>
          <w:sz w:val="21"/>
          <w:szCs w:val="21"/>
          <w:highlight w:val="none"/>
        </w:rPr>
        <w:t>（包括暂列金额、材料暂估</w:t>
      </w:r>
    </w:p>
    <w:p w14:paraId="3C6F092E">
      <w:pPr>
        <w:spacing w:line="219" w:lineRule="auto"/>
        <w:rPr>
          <w:rFonts w:ascii="宋体" w:hAnsi="宋体" w:eastAsia="宋体" w:cs="宋体"/>
          <w:color w:val="auto"/>
          <w:sz w:val="21"/>
          <w:szCs w:val="21"/>
          <w:highlight w:val="none"/>
        </w:rPr>
        <w:sectPr>
          <w:footerReference r:id="rId58" w:type="default"/>
          <w:pgSz w:w="11905" w:h="16839"/>
          <w:pgMar w:top="1431" w:right="1614" w:bottom="996" w:left="1785" w:header="0" w:footer="791" w:gutter="0"/>
          <w:pgNumType w:fmt="decimal"/>
          <w:cols w:space="720" w:num="1"/>
        </w:sectPr>
      </w:pPr>
    </w:p>
    <w:p w14:paraId="609EFAC4">
      <w:pPr>
        <w:spacing w:before="173" w:line="219" w:lineRule="auto"/>
        <w:ind w:left="19"/>
        <w:rPr>
          <w:rFonts w:ascii="宋体" w:hAnsi="宋体" w:eastAsia="宋体" w:cs="宋体"/>
          <w:color w:val="auto"/>
          <w:sz w:val="21"/>
          <w:szCs w:val="21"/>
          <w:highlight w:val="none"/>
        </w:rPr>
      </w:pPr>
      <w:bookmarkStart w:id="143" w:name="bookmark175"/>
      <w:bookmarkEnd w:id="143"/>
      <w:bookmarkStart w:id="144" w:name="bookmark172"/>
      <w:bookmarkEnd w:id="144"/>
      <w:bookmarkStart w:id="145" w:name="bookmark173"/>
      <w:bookmarkEnd w:id="145"/>
      <w:bookmarkStart w:id="146" w:name="bookmark176"/>
      <w:bookmarkEnd w:id="146"/>
      <w:bookmarkStart w:id="147" w:name="bookmark171"/>
      <w:bookmarkEnd w:id="147"/>
      <w:bookmarkStart w:id="148" w:name="bookmark174"/>
      <w:bookmarkEnd w:id="148"/>
      <w:r>
        <w:rPr>
          <w:rFonts w:ascii="宋体" w:hAnsi="宋体" w:eastAsia="宋体" w:cs="宋体"/>
          <w:color w:val="auto"/>
          <w:spacing w:val="-4"/>
          <w:sz w:val="21"/>
          <w:szCs w:val="21"/>
          <w:highlight w:val="none"/>
        </w:rPr>
        <w:t>价、专业工程暂估价等）的；</w:t>
      </w:r>
    </w:p>
    <w:p w14:paraId="1561169C">
      <w:pPr>
        <w:spacing w:before="177"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15</w:t>
      </w:r>
      <w:r>
        <w:rPr>
          <w:rFonts w:ascii="宋体" w:hAnsi="宋体" w:eastAsia="宋体" w:cs="宋体"/>
          <w:color w:val="auto"/>
          <w:spacing w:val="-3"/>
          <w:sz w:val="21"/>
          <w:szCs w:val="21"/>
          <w:highlight w:val="none"/>
        </w:rPr>
        <w:t>）工期未响应招标文件规定的；</w:t>
      </w:r>
    </w:p>
    <w:p w14:paraId="0A5F81AA">
      <w:pPr>
        <w:spacing w:before="181" w:line="219"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16</w:t>
      </w:r>
      <w:r>
        <w:rPr>
          <w:rFonts w:ascii="宋体" w:hAnsi="宋体" w:eastAsia="宋体" w:cs="宋体"/>
          <w:color w:val="auto"/>
          <w:spacing w:val="-2"/>
          <w:sz w:val="21"/>
          <w:szCs w:val="21"/>
          <w:highlight w:val="none"/>
        </w:rPr>
        <w:t>）投标人不接受算术错误修正后的报</w:t>
      </w:r>
      <w:r>
        <w:rPr>
          <w:rFonts w:ascii="宋体" w:hAnsi="宋体" w:eastAsia="宋体" w:cs="宋体"/>
          <w:color w:val="auto"/>
          <w:spacing w:val="-3"/>
          <w:sz w:val="21"/>
          <w:szCs w:val="21"/>
          <w:highlight w:val="none"/>
        </w:rPr>
        <w:t>价；</w:t>
      </w:r>
    </w:p>
    <w:p w14:paraId="7BA5DC0C">
      <w:pPr>
        <w:spacing w:before="177" w:line="432" w:lineRule="exact"/>
        <w:ind w:left="447"/>
        <w:rPr>
          <w:rFonts w:ascii="宋体" w:hAnsi="宋体" w:eastAsia="宋体" w:cs="宋体"/>
          <w:color w:val="auto"/>
          <w:sz w:val="21"/>
          <w:szCs w:val="21"/>
          <w:highlight w:val="none"/>
        </w:rPr>
      </w:pPr>
      <w:r>
        <w:rPr>
          <w:rFonts w:ascii="宋体" w:hAnsi="宋体" w:eastAsia="宋体" w:cs="宋体"/>
          <w:color w:val="auto"/>
          <w:spacing w:val="-4"/>
          <w:position w:val="16"/>
          <w:sz w:val="21"/>
          <w:szCs w:val="21"/>
          <w:highlight w:val="none"/>
        </w:rPr>
        <w:t>（</w:t>
      </w:r>
      <w:r>
        <w:rPr>
          <w:rFonts w:ascii="Times New Roman" w:hAnsi="Times New Roman" w:eastAsia="Times New Roman" w:cs="Times New Roman"/>
          <w:color w:val="auto"/>
          <w:spacing w:val="-4"/>
          <w:position w:val="16"/>
          <w:sz w:val="21"/>
          <w:szCs w:val="21"/>
          <w:highlight w:val="none"/>
        </w:rPr>
        <w:t>17</w:t>
      </w:r>
      <w:r>
        <w:rPr>
          <w:rFonts w:ascii="宋体" w:hAnsi="宋体" w:eastAsia="宋体" w:cs="宋体"/>
          <w:color w:val="auto"/>
          <w:spacing w:val="-4"/>
          <w:position w:val="16"/>
          <w:sz w:val="21"/>
          <w:szCs w:val="21"/>
          <w:highlight w:val="none"/>
        </w:rPr>
        <w:t>）投标报价（含修正后） 高于招标文件设定的最高投标限价的；</w:t>
      </w:r>
    </w:p>
    <w:p w14:paraId="2CE25A8B">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18</w:t>
      </w:r>
      <w:r>
        <w:rPr>
          <w:rFonts w:ascii="宋体" w:hAnsi="宋体" w:eastAsia="宋体" w:cs="宋体"/>
          <w:color w:val="auto"/>
          <w:spacing w:val="-3"/>
          <w:sz w:val="21"/>
          <w:szCs w:val="21"/>
          <w:highlight w:val="none"/>
        </w:rPr>
        <w:t>）质量不满足招标文件规定的；</w:t>
      </w:r>
    </w:p>
    <w:p w14:paraId="42B60AF4">
      <w:pPr>
        <w:spacing w:before="180"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19</w:t>
      </w:r>
      <w:r>
        <w:rPr>
          <w:rFonts w:ascii="宋体" w:hAnsi="宋体" w:eastAsia="宋体" w:cs="宋体"/>
          <w:color w:val="auto"/>
          <w:spacing w:val="-2"/>
          <w:sz w:val="21"/>
          <w:szCs w:val="21"/>
          <w:highlight w:val="none"/>
        </w:rPr>
        <w:t>）投标有效期不符合招标文件规定的；</w:t>
      </w:r>
    </w:p>
    <w:p w14:paraId="7EAD1417">
      <w:pPr>
        <w:spacing w:before="177" w:line="432" w:lineRule="exact"/>
        <w:ind w:left="447"/>
        <w:rPr>
          <w:rFonts w:ascii="宋体" w:hAnsi="宋体" w:eastAsia="宋体" w:cs="宋体"/>
          <w:color w:val="auto"/>
          <w:sz w:val="21"/>
          <w:szCs w:val="21"/>
          <w:highlight w:val="none"/>
        </w:rPr>
      </w:pPr>
      <w:r>
        <w:rPr>
          <w:rFonts w:ascii="宋体" w:hAnsi="宋体" w:eastAsia="宋体" w:cs="宋体"/>
          <w:color w:val="auto"/>
          <w:spacing w:val="-2"/>
          <w:position w:val="16"/>
          <w:sz w:val="21"/>
          <w:szCs w:val="21"/>
          <w:highlight w:val="none"/>
        </w:rPr>
        <w:t>（</w:t>
      </w:r>
      <w:r>
        <w:rPr>
          <w:rFonts w:ascii="Times New Roman" w:hAnsi="Times New Roman" w:eastAsia="Times New Roman" w:cs="Times New Roman"/>
          <w:color w:val="auto"/>
          <w:spacing w:val="-2"/>
          <w:position w:val="16"/>
          <w:sz w:val="21"/>
          <w:szCs w:val="21"/>
          <w:highlight w:val="none"/>
        </w:rPr>
        <w:t>20</w:t>
      </w:r>
      <w:r>
        <w:rPr>
          <w:rFonts w:ascii="宋体" w:hAnsi="宋体" w:eastAsia="宋体" w:cs="宋体"/>
          <w:color w:val="auto"/>
          <w:spacing w:val="-2"/>
          <w:position w:val="16"/>
          <w:sz w:val="21"/>
          <w:szCs w:val="21"/>
          <w:highlight w:val="none"/>
        </w:rPr>
        <w:t>）权利义务承诺不符合或低于招标文件规定的；</w:t>
      </w:r>
    </w:p>
    <w:p w14:paraId="04C8965F">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21</w:t>
      </w:r>
      <w:r>
        <w:rPr>
          <w:rFonts w:ascii="宋体" w:hAnsi="宋体" w:eastAsia="宋体" w:cs="宋体"/>
          <w:color w:val="auto"/>
          <w:spacing w:val="-3"/>
          <w:sz w:val="21"/>
          <w:szCs w:val="21"/>
          <w:highlight w:val="none"/>
        </w:rPr>
        <w:t>）技术标准和要求不符合招标文件规定的；</w:t>
      </w:r>
    </w:p>
    <w:p w14:paraId="4FCF61ED">
      <w:pPr>
        <w:spacing w:before="176"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22</w:t>
      </w:r>
      <w:r>
        <w:rPr>
          <w:rFonts w:ascii="宋体" w:hAnsi="宋体" w:eastAsia="宋体" w:cs="宋体"/>
          <w:color w:val="auto"/>
          <w:spacing w:val="-1"/>
          <w:sz w:val="21"/>
          <w:szCs w:val="21"/>
          <w:highlight w:val="none"/>
        </w:rPr>
        <w:t>）分包计划不符合招标文件规定的。</w:t>
      </w:r>
    </w:p>
    <w:p w14:paraId="239FC189">
      <w:pPr>
        <w:spacing w:before="181" w:line="220" w:lineRule="auto"/>
        <w:ind w:left="43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B1.2</w:t>
      </w:r>
      <w:r>
        <w:rPr>
          <w:rFonts w:ascii="宋体" w:hAnsi="宋体" w:eastAsia="宋体" w:cs="宋体"/>
          <w:color w:val="auto"/>
          <w:spacing w:val="-31"/>
          <w:sz w:val="21"/>
          <w:szCs w:val="21"/>
          <w:highlight w:val="none"/>
        </w:rPr>
        <w:t xml:space="preserve"> </w:t>
      </w:r>
      <w:r>
        <w:rPr>
          <w:rFonts w:ascii="宋体" w:hAnsi="宋体" w:eastAsia="宋体" w:cs="宋体"/>
          <w:color w:val="auto"/>
          <w:spacing w:val="-2"/>
          <w:sz w:val="21"/>
          <w:szCs w:val="21"/>
          <w:highlight w:val="none"/>
        </w:rPr>
        <w:t>不按评标委员会要求澄清、说明或补正的。</w:t>
      </w:r>
    </w:p>
    <w:p w14:paraId="434BFEB9">
      <w:pPr>
        <w:spacing w:before="177" w:line="220" w:lineRule="auto"/>
        <w:ind w:left="436"/>
        <w:rPr>
          <w:rFonts w:ascii="宋体" w:hAnsi="宋体" w:eastAsia="宋体" w:cs="宋体"/>
          <w:color w:val="auto"/>
          <w:sz w:val="21"/>
          <w:szCs w:val="21"/>
          <w:highlight w:val="none"/>
        </w:rPr>
      </w:pPr>
      <w:r>
        <w:rPr>
          <w:rFonts w:ascii="宋体" w:hAnsi="宋体" w:eastAsia="宋体" w:cs="宋体"/>
          <w:color w:val="auto"/>
          <w:sz w:val="21"/>
          <w:szCs w:val="21"/>
          <w:highlight w:val="none"/>
        </w:rPr>
        <w:t>B1.3</w:t>
      </w:r>
      <w:r>
        <w:rPr>
          <w:rFonts w:ascii="宋体" w:hAnsi="宋体" w:eastAsia="宋体" w:cs="宋体"/>
          <w:color w:val="auto"/>
          <w:spacing w:val="-43"/>
          <w:sz w:val="21"/>
          <w:szCs w:val="21"/>
          <w:highlight w:val="none"/>
        </w:rPr>
        <w:t xml:space="preserve"> </w:t>
      </w:r>
      <w:r>
        <w:rPr>
          <w:rFonts w:ascii="宋体" w:hAnsi="宋体" w:eastAsia="宋体" w:cs="宋体"/>
          <w:color w:val="auto"/>
          <w:sz w:val="21"/>
          <w:szCs w:val="21"/>
          <w:highlight w:val="none"/>
        </w:rPr>
        <w:t>有串通投标、弄虚作假或有其他违法行为的</w:t>
      </w:r>
      <w:r>
        <w:rPr>
          <w:rFonts w:ascii="宋体" w:hAnsi="宋体" w:eastAsia="宋体" w:cs="宋体"/>
          <w:color w:val="auto"/>
          <w:spacing w:val="-1"/>
          <w:sz w:val="21"/>
          <w:szCs w:val="21"/>
          <w:highlight w:val="none"/>
        </w:rPr>
        <w:t>。包括以下内容：</w:t>
      </w:r>
    </w:p>
    <w:p w14:paraId="0CB27D1A">
      <w:pPr>
        <w:spacing w:before="139" w:line="384" w:lineRule="exact"/>
        <w:ind w:left="447"/>
        <w:rPr>
          <w:rFonts w:ascii="宋体" w:hAnsi="宋体" w:eastAsia="宋体" w:cs="宋体"/>
          <w:color w:val="auto"/>
          <w:sz w:val="21"/>
          <w:szCs w:val="21"/>
          <w:highlight w:val="none"/>
        </w:rPr>
      </w:pPr>
      <w:r>
        <w:rPr>
          <w:rFonts w:ascii="宋体" w:hAnsi="宋体" w:eastAsia="宋体" w:cs="宋体"/>
          <w:color w:val="auto"/>
          <w:spacing w:val="-1"/>
          <w:position w:val="13"/>
          <w:sz w:val="21"/>
          <w:szCs w:val="21"/>
          <w:highlight w:val="none"/>
        </w:rPr>
        <w:t>（</w:t>
      </w:r>
      <w:r>
        <w:rPr>
          <w:rFonts w:ascii="Times New Roman" w:hAnsi="Times New Roman" w:eastAsia="Times New Roman" w:cs="Times New Roman"/>
          <w:color w:val="auto"/>
          <w:spacing w:val="-1"/>
          <w:position w:val="13"/>
          <w:sz w:val="21"/>
          <w:szCs w:val="21"/>
          <w:highlight w:val="none"/>
        </w:rPr>
        <w:t>1</w:t>
      </w:r>
      <w:r>
        <w:rPr>
          <w:rFonts w:ascii="宋体" w:hAnsi="宋体" w:eastAsia="宋体" w:cs="宋体"/>
          <w:color w:val="auto"/>
          <w:spacing w:val="-1"/>
          <w:position w:val="13"/>
          <w:sz w:val="21"/>
          <w:szCs w:val="21"/>
          <w:highlight w:val="none"/>
        </w:rPr>
        <w:t>）有下列情形之一的，视为投标人相互串通投标：</w:t>
      </w:r>
    </w:p>
    <w:p w14:paraId="1DDD96CF">
      <w:pPr>
        <w:spacing w:line="218" w:lineRule="auto"/>
        <w:ind w:left="44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①</w:t>
      </w:r>
      <w:r>
        <w:rPr>
          <w:rFonts w:ascii="宋体" w:hAnsi="宋体" w:eastAsia="宋体" w:cs="宋体"/>
          <w:color w:val="auto"/>
          <w:spacing w:val="-36"/>
          <w:sz w:val="21"/>
          <w:szCs w:val="21"/>
          <w:highlight w:val="none"/>
        </w:rPr>
        <w:t xml:space="preserve"> </w:t>
      </w:r>
      <w:r>
        <w:rPr>
          <w:rFonts w:ascii="宋体" w:hAnsi="宋体" w:eastAsia="宋体" w:cs="宋体"/>
          <w:color w:val="auto"/>
          <w:spacing w:val="-2"/>
          <w:sz w:val="21"/>
          <w:szCs w:val="21"/>
          <w:highlight w:val="none"/>
        </w:rPr>
        <w:t>不同投标人的投标文件由同一单位或者个人编制；</w:t>
      </w:r>
    </w:p>
    <w:p w14:paraId="26BE8689">
      <w:pPr>
        <w:spacing w:before="132" w:line="218" w:lineRule="auto"/>
        <w:ind w:left="43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②</w:t>
      </w:r>
      <w:r>
        <w:rPr>
          <w:rFonts w:ascii="宋体" w:hAnsi="宋体" w:eastAsia="宋体" w:cs="宋体"/>
          <w:color w:val="auto"/>
          <w:spacing w:val="-35"/>
          <w:sz w:val="21"/>
          <w:szCs w:val="21"/>
          <w:highlight w:val="none"/>
        </w:rPr>
        <w:t xml:space="preserve"> </w:t>
      </w:r>
      <w:r>
        <w:rPr>
          <w:rFonts w:ascii="宋体" w:hAnsi="宋体" w:eastAsia="宋体" w:cs="宋体"/>
          <w:color w:val="auto"/>
          <w:spacing w:val="-2"/>
          <w:sz w:val="21"/>
          <w:szCs w:val="21"/>
          <w:highlight w:val="none"/>
        </w:rPr>
        <w:t>不同投标人委托同一单位或者个人办理投标事宜；</w:t>
      </w:r>
    </w:p>
    <w:p w14:paraId="1ED21F1A">
      <w:pPr>
        <w:spacing w:before="130" w:line="380" w:lineRule="exact"/>
        <w:jc w:val="right"/>
        <w:rPr>
          <w:rFonts w:ascii="宋体" w:hAnsi="宋体" w:eastAsia="宋体" w:cs="宋体"/>
          <w:color w:val="auto"/>
          <w:sz w:val="21"/>
          <w:szCs w:val="21"/>
          <w:highlight w:val="none"/>
        </w:rPr>
      </w:pPr>
      <w:r>
        <w:rPr>
          <w:rFonts w:ascii="宋体" w:hAnsi="宋体" w:eastAsia="宋体" w:cs="宋体"/>
          <w:color w:val="auto"/>
          <w:spacing w:val="-1"/>
          <w:position w:val="12"/>
          <w:sz w:val="21"/>
          <w:szCs w:val="21"/>
          <w:highlight w:val="none"/>
        </w:rPr>
        <w:t>③ 不同投标人使用同一电脑等电子设备办理投标事宜（下载招标文件、上传投标文件、</w:t>
      </w:r>
    </w:p>
    <w:p w14:paraId="290B040E">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授权委托人或项目经理实名认证等关键环节</w:t>
      </w:r>
      <w:r>
        <w:rPr>
          <w:rFonts w:ascii="宋体" w:hAnsi="宋体" w:eastAsia="宋体" w:cs="宋体"/>
          <w:color w:val="auto"/>
          <w:spacing w:val="-15"/>
          <w:sz w:val="21"/>
          <w:szCs w:val="21"/>
          <w:highlight w:val="none"/>
        </w:rPr>
        <w:t>）；</w:t>
      </w:r>
    </w:p>
    <w:p w14:paraId="78EF22A1">
      <w:pPr>
        <w:spacing w:before="128" w:line="218" w:lineRule="auto"/>
        <w:ind w:left="43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④</w:t>
      </w:r>
      <w:r>
        <w:rPr>
          <w:rFonts w:ascii="宋体" w:hAnsi="宋体" w:eastAsia="宋体" w:cs="宋体"/>
          <w:color w:val="auto"/>
          <w:spacing w:val="-33"/>
          <w:sz w:val="21"/>
          <w:szCs w:val="21"/>
          <w:highlight w:val="none"/>
        </w:rPr>
        <w:t xml:space="preserve"> </w:t>
      </w:r>
      <w:r>
        <w:rPr>
          <w:rFonts w:ascii="宋体" w:hAnsi="宋体" w:eastAsia="宋体" w:cs="宋体"/>
          <w:color w:val="auto"/>
          <w:spacing w:val="-2"/>
          <w:sz w:val="21"/>
          <w:szCs w:val="21"/>
          <w:highlight w:val="none"/>
        </w:rPr>
        <w:t>不同投标人的投标文件载明的项目管理成员为同一人；</w:t>
      </w:r>
    </w:p>
    <w:p w14:paraId="1C6B54C1">
      <w:pPr>
        <w:spacing w:before="131" w:line="384" w:lineRule="exact"/>
        <w:ind w:left="439"/>
        <w:rPr>
          <w:rFonts w:ascii="宋体" w:hAnsi="宋体" w:eastAsia="宋体" w:cs="宋体"/>
          <w:color w:val="auto"/>
          <w:sz w:val="21"/>
          <w:szCs w:val="21"/>
          <w:highlight w:val="none"/>
        </w:rPr>
      </w:pPr>
      <w:r>
        <w:rPr>
          <w:rFonts w:ascii="宋体" w:hAnsi="宋体" w:eastAsia="宋体" w:cs="宋体"/>
          <w:color w:val="auto"/>
          <w:spacing w:val="-1"/>
          <w:position w:val="13"/>
          <w:sz w:val="21"/>
          <w:szCs w:val="21"/>
          <w:highlight w:val="none"/>
        </w:rPr>
        <w:t>⑤</w:t>
      </w:r>
      <w:r>
        <w:rPr>
          <w:rFonts w:ascii="宋体" w:hAnsi="宋体" w:eastAsia="宋体" w:cs="宋体"/>
          <w:color w:val="auto"/>
          <w:spacing w:val="-27"/>
          <w:position w:val="13"/>
          <w:sz w:val="21"/>
          <w:szCs w:val="21"/>
          <w:highlight w:val="none"/>
        </w:rPr>
        <w:t xml:space="preserve"> </w:t>
      </w:r>
      <w:r>
        <w:rPr>
          <w:rFonts w:ascii="宋体" w:hAnsi="宋体" w:eastAsia="宋体" w:cs="宋体"/>
          <w:color w:val="auto"/>
          <w:spacing w:val="-1"/>
          <w:position w:val="13"/>
          <w:sz w:val="21"/>
          <w:szCs w:val="21"/>
          <w:highlight w:val="none"/>
        </w:rPr>
        <w:t>不同投标人的投标文件非典型一致或者投标报价呈规律性差异；</w:t>
      </w:r>
    </w:p>
    <w:p w14:paraId="668848F9">
      <w:pPr>
        <w:spacing w:before="1" w:line="218" w:lineRule="auto"/>
        <w:ind w:left="43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⑥</w:t>
      </w:r>
      <w:r>
        <w:rPr>
          <w:rFonts w:ascii="宋体" w:hAnsi="宋体" w:eastAsia="宋体" w:cs="宋体"/>
          <w:color w:val="auto"/>
          <w:spacing w:val="-41"/>
          <w:sz w:val="21"/>
          <w:szCs w:val="21"/>
          <w:highlight w:val="none"/>
        </w:rPr>
        <w:t xml:space="preserve"> </w:t>
      </w:r>
      <w:r>
        <w:rPr>
          <w:rFonts w:ascii="宋体" w:hAnsi="宋体" w:eastAsia="宋体" w:cs="宋体"/>
          <w:color w:val="auto"/>
          <w:spacing w:val="-3"/>
          <w:sz w:val="21"/>
          <w:szCs w:val="21"/>
          <w:highlight w:val="none"/>
        </w:rPr>
        <w:t>不同投标人的投标文件相互混装；</w:t>
      </w:r>
    </w:p>
    <w:p w14:paraId="2003DA76">
      <w:pPr>
        <w:spacing w:before="130" w:line="380" w:lineRule="exact"/>
        <w:ind w:right="15"/>
        <w:jc w:val="right"/>
        <w:rPr>
          <w:rFonts w:ascii="宋体" w:hAnsi="宋体" w:eastAsia="宋体" w:cs="宋体"/>
          <w:color w:val="auto"/>
          <w:sz w:val="21"/>
          <w:szCs w:val="21"/>
          <w:highlight w:val="none"/>
        </w:rPr>
      </w:pPr>
      <w:r>
        <w:rPr>
          <w:rFonts w:ascii="宋体" w:hAnsi="宋体" w:eastAsia="宋体" w:cs="宋体"/>
          <w:color w:val="auto"/>
          <w:spacing w:val="-1"/>
          <w:position w:val="12"/>
          <w:sz w:val="21"/>
          <w:szCs w:val="21"/>
          <w:highlight w:val="none"/>
        </w:rPr>
        <w:t>⑦ 不同投标人的投标保证金或保函（保险）财务费用从同一单位或者个人的账户转出；</w:t>
      </w:r>
    </w:p>
    <w:p w14:paraId="644A85EC">
      <w:pPr>
        <w:spacing w:line="218" w:lineRule="auto"/>
        <w:ind w:left="439"/>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⑧</w:t>
      </w:r>
      <w:r>
        <w:rPr>
          <w:rFonts w:ascii="宋体" w:hAnsi="宋体" w:eastAsia="宋体" w:cs="宋体"/>
          <w:color w:val="auto"/>
          <w:spacing w:val="-54"/>
          <w:sz w:val="21"/>
          <w:szCs w:val="21"/>
          <w:highlight w:val="none"/>
        </w:rPr>
        <w:t xml:space="preserve"> </w:t>
      </w:r>
      <w:r>
        <w:rPr>
          <w:rFonts w:ascii="宋体" w:hAnsi="宋体" w:eastAsia="宋体" w:cs="宋体"/>
          <w:color w:val="auto"/>
          <w:spacing w:val="-8"/>
          <w:sz w:val="21"/>
          <w:szCs w:val="21"/>
          <w:highlight w:val="none"/>
        </w:rPr>
        <w:t>不同投标人的投标文件存在“</w:t>
      </w:r>
      <w:r>
        <w:rPr>
          <w:rFonts w:ascii="Times New Roman" w:hAnsi="Times New Roman" w:eastAsia="Times New Roman" w:cs="Times New Roman"/>
          <w:color w:val="auto"/>
          <w:spacing w:val="-8"/>
          <w:sz w:val="21"/>
          <w:szCs w:val="21"/>
          <w:highlight w:val="none"/>
        </w:rPr>
        <w:t>MAC</w:t>
      </w:r>
      <w:r>
        <w:rPr>
          <w:rFonts w:ascii="Times New Roman" w:hAnsi="Times New Roman" w:eastAsia="Times New Roman" w:cs="Times New Roman"/>
          <w:color w:val="auto"/>
          <w:spacing w:val="-22"/>
          <w:sz w:val="21"/>
          <w:szCs w:val="21"/>
          <w:highlight w:val="none"/>
        </w:rPr>
        <w:t xml:space="preserve"> </w:t>
      </w:r>
      <w:r>
        <w:rPr>
          <w:rFonts w:ascii="宋体" w:hAnsi="宋体" w:eastAsia="宋体" w:cs="宋体"/>
          <w:color w:val="auto"/>
          <w:spacing w:val="-8"/>
          <w:sz w:val="21"/>
          <w:szCs w:val="21"/>
          <w:highlight w:val="none"/>
        </w:rPr>
        <w:t>地址”、“文件</w:t>
      </w:r>
      <w:r>
        <w:rPr>
          <w:rFonts w:ascii="宋体" w:hAnsi="宋体" w:eastAsia="宋体" w:cs="宋体"/>
          <w:color w:val="auto"/>
          <w:spacing w:val="-9"/>
          <w:sz w:val="21"/>
          <w:szCs w:val="21"/>
          <w:highlight w:val="none"/>
        </w:rPr>
        <w:t>创建标识码”、“文件制作机器码”</w:t>
      </w:r>
    </w:p>
    <w:p w14:paraId="6AE05C35">
      <w:pPr>
        <w:spacing w:before="131" w:line="221"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等唯一性标识一致等情形。</w:t>
      </w:r>
    </w:p>
    <w:p w14:paraId="659783D9">
      <w:pPr>
        <w:spacing w:before="128"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）有下列情形之一的，属于弄虚作假行为：</w:t>
      </w:r>
    </w:p>
    <w:p w14:paraId="47F78139">
      <w:pPr>
        <w:spacing w:before="129" w:line="384" w:lineRule="exact"/>
        <w:jc w:val="right"/>
        <w:rPr>
          <w:rFonts w:ascii="宋体" w:hAnsi="宋体" w:eastAsia="宋体" w:cs="宋体"/>
          <w:color w:val="auto"/>
          <w:sz w:val="21"/>
          <w:szCs w:val="21"/>
          <w:highlight w:val="none"/>
        </w:rPr>
      </w:pPr>
      <w:r>
        <w:rPr>
          <w:rFonts w:ascii="宋体" w:hAnsi="宋体" w:eastAsia="宋体" w:cs="宋体"/>
          <w:color w:val="auto"/>
          <w:position w:val="13"/>
          <w:sz w:val="21"/>
          <w:szCs w:val="21"/>
          <w:highlight w:val="none"/>
        </w:rPr>
        <w:t>①</w:t>
      </w:r>
      <w:r>
        <w:rPr>
          <w:rFonts w:ascii="宋体" w:hAnsi="宋体" w:eastAsia="宋体" w:cs="宋体"/>
          <w:color w:val="auto"/>
          <w:spacing w:val="-19"/>
          <w:position w:val="13"/>
          <w:sz w:val="21"/>
          <w:szCs w:val="21"/>
          <w:highlight w:val="none"/>
        </w:rPr>
        <w:t xml:space="preserve"> </w:t>
      </w:r>
      <w:r>
        <w:rPr>
          <w:rFonts w:ascii="宋体" w:hAnsi="宋体" w:eastAsia="宋体" w:cs="宋体"/>
          <w:color w:val="auto"/>
          <w:position w:val="13"/>
          <w:sz w:val="21"/>
          <w:szCs w:val="21"/>
          <w:highlight w:val="none"/>
        </w:rPr>
        <w:t>使用通过受让或者租借等方式获取的资格、资质证书投标的，即以他人名义</w:t>
      </w:r>
      <w:r>
        <w:rPr>
          <w:rFonts w:ascii="宋体" w:hAnsi="宋体" w:eastAsia="宋体" w:cs="宋体"/>
          <w:color w:val="auto"/>
          <w:spacing w:val="-1"/>
          <w:position w:val="13"/>
          <w:sz w:val="21"/>
          <w:szCs w:val="21"/>
          <w:highlight w:val="none"/>
        </w:rPr>
        <w:t>投标的。</w:t>
      </w:r>
    </w:p>
    <w:p w14:paraId="1F02DA46">
      <w:pPr>
        <w:spacing w:line="218" w:lineRule="auto"/>
        <w:ind w:left="43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②</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使用伪造、变造的许可证件；</w:t>
      </w:r>
    </w:p>
    <w:p w14:paraId="2ADFF6ED">
      <w:pPr>
        <w:spacing w:before="132" w:line="218" w:lineRule="auto"/>
        <w:ind w:left="43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③</w:t>
      </w:r>
      <w:r>
        <w:rPr>
          <w:rFonts w:ascii="宋体" w:hAnsi="宋体" w:eastAsia="宋体" w:cs="宋体"/>
          <w:color w:val="auto"/>
          <w:spacing w:val="-36"/>
          <w:sz w:val="21"/>
          <w:szCs w:val="21"/>
          <w:highlight w:val="none"/>
        </w:rPr>
        <w:t xml:space="preserve"> </w:t>
      </w:r>
      <w:r>
        <w:rPr>
          <w:rFonts w:ascii="宋体" w:hAnsi="宋体" w:eastAsia="宋体" w:cs="宋体"/>
          <w:color w:val="auto"/>
          <w:spacing w:val="-3"/>
          <w:sz w:val="21"/>
          <w:szCs w:val="21"/>
          <w:highlight w:val="none"/>
        </w:rPr>
        <w:t>提供虚假的财务状况或者业绩；</w:t>
      </w:r>
    </w:p>
    <w:p w14:paraId="74AC9BD9">
      <w:pPr>
        <w:spacing w:before="131" w:line="218" w:lineRule="auto"/>
        <w:ind w:left="43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④</w:t>
      </w:r>
      <w:r>
        <w:rPr>
          <w:rFonts w:ascii="宋体" w:hAnsi="宋体" w:eastAsia="宋体" w:cs="宋体"/>
          <w:color w:val="auto"/>
          <w:spacing w:val="-27"/>
          <w:sz w:val="21"/>
          <w:szCs w:val="21"/>
          <w:highlight w:val="none"/>
        </w:rPr>
        <w:t xml:space="preserve"> </w:t>
      </w:r>
      <w:r>
        <w:rPr>
          <w:rFonts w:ascii="宋体" w:hAnsi="宋体" w:eastAsia="宋体" w:cs="宋体"/>
          <w:color w:val="auto"/>
          <w:spacing w:val="-1"/>
          <w:sz w:val="21"/>
          <w:szCs w:val="21"/>
          <w:highlight w:val="none"/>
        </w:rPr>
        <w:t>提供虚假的项目负责人或者主要技术人员简历、社会保险证明；</w:t>
      </w:r>
    </w:p>
    <w:p w14:paraId="6F8E77F4">
      <w:pPr>
        <w:spacing w:before="131" w:line="379" w:lineRule="exact"/>
        <w:ind w:left="439"/>
        <w:rPr>
          <w:rFonts w:ascii="宋体" w:hAnsi="宋体" w:eastAsia="宋体" w:cs="宋体"/>
          <w:color w:val="auto"/>
          <w:sz w:val="21"/>
          <w:szCs w:val="21"/>
          <w:highlight w:val="none"/>
        </w:rPr>
      </w:pPr>
      <w:r>
        <w:rPr>
          <w:rFonts w:ascii="宋体" w:hAnsi="宋体" w:eastAsia="宋体" w:cs="宋体"/>
          <w:color w:val="auto"/>
          <w:spacing w:val="-4"/>
          <w:position w:val="12"/>
          <w:sz w:val="21"/>
          <w:szCs w:val="21"/>
          <w:highlight w:val="none"/>
        </w:rPr>
        <w:t>⑤</w:t>
      </w:r>
      <w:r>
        <w:rPr>
          <w:rFonts w:ascii="宋体" w:hAnsi="宋体" w:eastAsia="宋体" w:cs="宋体"/>
          <w:color w:val="auto"/>
          <w:spacing w:val="-37"/>
          <w:position w:val="12"/>
          <w:sz w:val="21"/>
          <w:szCs w:val="21"/>
          <w:highlight w:val="none"/>
        </w:rPr>
        <w:t xml:space="preserve"> </w:t>
      </w:r>
      <w:r>
        <w:rPr>
          <w:rFonts w:ascii="宋体" w:hAnsi="宋体" w:eastAsia="宋体" w:cs="宋体"/>
          <w:color w:val="auto"/>
          <w:spacing w:val="-4"/>
          <w:position w:val="12"/>
          <w:sz w:val="21"/>
          <w:szCs w:val="21"/>
          <w:highlight w:val="none"/>
        </w:rPr>
        <w:t>提供虚假的信用状况；</w:t>
      </w:r>
    </w:p>
    <w:p w14:paraId="169AB9A2">
      <w:pPr>
        <w:spacing w:before="1" w:line="218" w:lineRule="auto"/>
        <w:ind w:left="43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⑥</w:t>
      </w:r>
      <w:r>
        <w:rPr>
          <w:rFonts w:ascii="宋体" w:hAnsi="宋体" w:eastAsia="宋体" w:cs="宋体"/>
          <w:color w:val="auto"/>
          <w:spacing w:val="-38"/>
          <w:sz w:val="21"/>
          <w:szCs w:val="21"/>
          <w:highlight w:val="none"/>
        </w:rPr>
        <w:t xml:space="preserve"> </w:t>
      </w:r>
      <w:r>
        <w:rPr>
          <w:rFonts w:ascii="宋体" w:hAnsi="宋体" w:eastAsia="宋体" w:cs="宋体"/>
          <w:color w:val="auto"/>
          <w:spacing w:val="-3"/>
          <w:sz w:val="21"/>
          <w:szCs w:val="21"/>
          <w:highlight w:val="none"/>
        </w:rPr>
        <w:t>其他弄虚作假的行为。</w:t>
      </w:r>
    </w:p>
    <w:p w14:paraId="24A3ABED">
      <w:pPr>
        <w:spacing w:before="174" w:line="375" w:lineRule="exact"/>
        <w:ind w:left="436"/>
        <w:rPr>
          <w:rFonts w:ascii="宋体" w:hAnsi="宋体" w:eastAsia="宋体" w:cs="宋体"/>
          <w:color w:val="auto"/>
          <w:sz w:val="21"/>
          <w:szCs w:val="21"/>
          <w:highlight w:val="none"/>
        </w:rPr>
      </w:pPr>
      <w:r>
        <w:rPr>
          <w:rFonts w:ascii="宋体" w:hAnsi="宋体" w:eastAsia="宋体" w:cs="宋体"/>
          <w:color w:val="auto"/>
          <w:spacing w:val="-2"/>
          <w:position w:val="12"/>
          <w:sz w:val="21"/>
          <w:szCs w:val="21"/>
          <w:highlight w:val="none"/>
        </w:rPr>
        <w:t>B1.4</w:t>
      </w:r>
      <w:r>
        <w:rPr>
          <w:rFonts w:ascii="宋体" w:hAnsi="宋体" w:eastAsia="宋体" w:cs="宋体"/>
          <w:color w:val="auto"/>
          <w:spacing w:val="-40"/>
          <w:position w:val="12"/>
          <w:sz w:val="21"/>
          <w:szCs w:val="21"/>
          <w:highlight w:val="none"/>
        </w:rPr>
        <w:t xml:space="preserve"> </w:t>
      </w:r>
      <w:r>
        <w:rPr>
          <w:rFonts w:ascii="宋体" w:hAnsi="宋体" w:eastAsia="宋体" w:cs="宋体"/>
          <w:color w:val="auto"/>
          <w:spacing w:val="-2"/>
          <w:position w:val="12"/>
          <w:sz w:val="21"/>
          <w:szCs w:val="21"/>
          <w:highlight w:val="none"/>
        </w:rPr>
        <w:t>有第二章“投标人须知”第</w:t>
      </w:r>
      <w:r>
        <w:rPr>
          <w:rFonts w:ascii="宋体" w:hAnsi="宋体" w:eastAsia="宋体" w:cs="宋体"/>
          <w:color w:val="auto"/>
          <w:spacing w:val="-27"/>
          <w:position w:val="12"/>
          <w:sz w:val="21"/>
          <w:szCs w:val="21"/>
          <w:highlight w:val="none"/>
        </w:rPr>
        <w:t xml:space="preserve"> </w:t>
      </w:r>
      <w:r>
        <w:rPr>
          <w:rFonts w:ascii="宋体" w:hAnsi="宋体" w:eastAsia="宋体" w:cs="宋体"/>
          <w:color w:val="auto"/>
          <w:spacing w:val="-2"/>
          <w:position w:val="12"/>
          <w:sz w:val="21"/>
          <w:szCs w:val="21"/>
          <w:highlight w:val="none"/>
        </w:rPr>
        <w:t>1.4.3</w:t>
      </w:r>
      <w:r>
        <w:rPr>
          <w:rFonts w:ascii="宋体" w:hAnsi="宋体" w:eastAsia="宋体" w:cs="宋体"/>
          <w:color w:val="auto"/>
          <w:spacing w:val="-45"/>
          <w:position w:val="12"/>
          <w:sz w:val="21"/>
          <w:szCs w:val="21"/>
          <w:highlight w:val="none"/>
        </w:rPr>
        <w:t xml:space="preserve"> </w:t>
      </w:r>
      <w:r>
        <w:rPr>
          <w:rFonts w:ascii="宋体" w:hAnsi="宋体" w:eastAsia="宋体" w:cs="宋体"/>
          <w:color w:val="auto"/>
          <w:spacing w:val="-2"/>
          <w:position w:val="12"/>
          <w:sz w:val="21"/>
          <w:szCs w:val="21"/>
          <w:highlight w:val="none"/>
        </w:rPr>
        <w:t>项规定的任何一种情形。包括以下内容：</w:t>
      </w:r>
    </w:p>
    <w:p w14:paraId="2E9CB825">
      <w:pPr>
        <w:spacing w:before="1" w:line="219"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1</w:t>
      </w:r>
      <w:r>
        <w:rPr>
          <w:rFonts w:ascii="宋体" w:hAnsi="宋体" w:eastAsia="宋体" w:cs="宋体"/>
          <w:color w:val="auto"/>
          <w:spacing w:val="-4"/>
          <w:sz w:val="21"/>
          <w:szCs w:val="21"/>
          <w:highlight w:val="none"/>
        </w:rPr>
        <w:t>）为招标人不具有独立法人资格的附属机构（单位</w:t>
      </w:r>
      <w:r>
        <w:rPr>
          <w:rFonts w:ascii="宋体" w:hAnsi="宋体" w:eastAsia="宋体" w:cs="宋体"/>
          <w:color w:val="auto"/>
          <w:spacing w:val="-20"/>
          <w:sz w:val="21"/>
          <w:szCs w:val="21"/>
          <w:highlight w:val="none"/>
        </w:rPr>
        <w:t>）；</w:t>
      </w:r>
    </w:p>
    <w:p w14:paraId="0113D4B7">
      <w:pPr>
        <w:spacing w:before="110" w:line="268" w:lineRule="auto"/>
        <w:ind w:left="447" w:right="108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）为本标段前期准备提供设计或咨询服务的，但设计施工总承包的除外；</w:t>
      </w:r>
      <w:r>
        <w:rPr>
          <w:rFonts w:ascii="宋体" w:hAnsi="宋体" w:eastAsia="宋体" w:cs="宋体"/>
          <w:color w:val="auto"/>
          <w:spacing w:val="3"/>
          <w:sz w:val="21"/>
          <w:szCs w:val="21"/>
          <w:highlight w:val="none"/>
        </w:rPr>
        <w:t xml:space="preserve"> </w:t>
      </w: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3</w:t>
      </w:r>
      <w:r>
        <w:rPr>
          <w:rFonts w:ascii="宋体" w:hAnsi="宋体" w:eastAsia="宋体" w:cs="宋体"/>
          <w:color w:val="auto"/>
          <w:spacing w:val="-3"/>
          <w:sz w:val="21"/>
          <w:szCs w:val="21"/>
          <w:highlight w:val="none"/>
        </w:rPr>
        <w:t>）为本标段的监理人；</w:t>
      </w:r>
    </w:p>
    <w:p w14:paraId="27C19D65">
      <w:pPr>
        <w:spacing w:before="110" w:line="220"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4</w:t>
      </w:r>
      <w:r>
        <w:rPr>
          <w:rFonts w:ascii="宋体" w:hAnsi="宋体" w:eastAsia="宋体" w:cs="宋体"/>
          <w:color w:val="auto"/>
          <w:spacing w:val="-3"/>
          <w:sz w:val="21"/>
          <w:szCs w:val="21"/>
          <w:highlight w:val="none"/>
        </w:rPr>
        <w:t>）为本标段的代建人；</w:t>
      </w:r>
    </w:p>
    <w:p w14:paraId="18D43E71">
      <w:pPr>
        <w:spacing w:before="110" w:line="220"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5</w:t>
      </w:r>
      <w:r>
        <w:rPr>
          <w:rFonts w:ascii="宋体" w:hAnsi="宋体" w:eastAsia="宋体" w:cs="宋体"/>
          <w:color w:val="auto"/>
          <w:spacing w:val="-3"/>
          <w:sz w:val="21"/>
          <w:szCs w:val="21"/>
          <w:highlight w:val="none"/>
        </w:rPr>
        <w:t>）为本标段提供招标代理服务；</w:t>
      </w:r>
    </w:p>
    <w:p w14:paraId="6A46EE69">
      <w:pPr>
        <w:spacing w:line="220" w:lineRule="auto"/>
        <w:rPr>
          <w:rFonts w:ascii="宋体" w:hAnsi="宋体" w:eastAsia="宋体" w:cs="宋体"/>
          <w:color w:val="auto"/>
          <w:sz w:val="21"/>
          <w:szCs w:val="21"/>
          <w:highlight w:val="none"/>
        </w:rPr>
        <w:sectPr>
          <w:footerReference r:id="rId59" w:type="default"/>
          <w:pgSz w:w="11905" w:h="16839"/>
          <w:pgMar w:top="1431" w:right="1614" w:bottom="996" w:left="1785" w:header="0" w:footer="791" w:gutter="0"/>
          <w:pgNumType w:fmt="decimal"/>
          <w:cols w:space="720" w:num="1"/>
        </w:sectPr>
      </w:pPr>
    </w:p>
    <w:p w14:paraId="42E60038">
      <w:pPr>
        <w:spacing w:before="116" w:line="268" w:lineRule="auto"/>
        <w:ind w:left="447" w:right="173"/>
        <w:rPr>
          <w:rFonts w:ascii="宋体" w:hAnsi="宋体" w:eastAsia="宋体" w:cs="宋体"/>
          <w:color w:val="auto"/>
          <w:sz w:val="21"/>
          <w:szCs w:val="21"/>
          <w:highlight w:val="none"/>
        </w:rPr>
      </w:pPr>
      <w:bookmarkStart w:id="149" w:name="bookmark178"/>
      <w:bookmarkEnd w:id="149"/>
      <w:bookmarkStart w:id="150" w:name="bookmark177"/>
      <w:bookmarkEnd w:id="150"/>
      <w:bookmarkStart w:id="151" w:name="bookmark179"/>
      <w:bookmarkEnd w:id="151"/>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6</w:t>
      </w:r>
      <w:r>
        <w:rPr>
          <w:rFonts w:ascii="宋体" w:hAnsi="宋体" w:eastAsia="宋体" w:cs="宋体"/>
          <w:color w:val="auto"/>
          <w:spacing w:val="-2"/>
          <w:sz w:val="21"/>
          <w:szCs w:val="21"/>
          <w:highlight w:val="none"/>
        </w:rPr>
        <w:t>）与本标段的监理人或代建人或招标代理机构同为一个法定代表人或单位负责人；</w:t>
      </w:r>
      <w:r>
        <w:rPr>
          <w:rFonts w:ascii="宋体" w:hAnsi="宋体" w:eastAsia="宋体" w:cs="宋体"/>
          <w:color w:val="auto"/>
          <w:spacing w:val="11"/>
          <w:sz w:val="21"/>
          <w:szCs w:val="21"/>
          <w:highlight w:val="none"/>
        </w:rPr>
        <w:t xml:space="preserve"> </w:t>
      </w: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7</w:t>
      </w:r>
      <w:r>
        <w:rPr>
          <w:rFonts w:ascii="宋体" w:hAnsi="宋体" w:eastAsia="宋体" w:cs="宋体"/>
          <w:color w:val="auto"/>
          <w:spacing w:val="-1"/>
          <w:sz w:val="21"/>
          <w:szCs w:val="21"/>
          <w:highlight w:val="none"/>
        </w:rPr>
        <w:t>）与本标段的监理人或代建人或招标代理机构</w:t>
      </w:r>
      <w:r>
        <w:rPr>
          <w:rFonts w:ascii="宋体" w:hAnsi="宋体" w:eastAsia="宋体" w:cs="宋体"/>
          <w:color w:val="auto"/>
          <w:spacing w:val="-2"/>
          <w:sz w:val="21"/>
          <w:szCs w:val="21"/>
          <w:highlight w:val="none"/>
        </w:rPr>
        <w:t>相互控股或参股；</w:t>
      </w:r>
    </w:p>
    <w:p w14:paraId="67A2AE0D">
      <w:pPr>
        <w:spacing w:before="110" w:line="269" w:lineRule="auto"/>
        <w:ind w:left="20" w:right="116" w:firstLine="426"/>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8</w:t>
      </w:r>
      <w:r>
        <w:rPr>
          <w:rFonts w:ascii="宋体" w:hAnsi="宋体" w:eastAsia="宋体" w:cs="宋体"/>
          <w:color w:val="auto"/>
          <w:sz w:val="21"/>
          <w:szCs w:val="21"/>
          <w:highlight w:val="none"/>
        </w:rPr>
        <w:t>）与本标段的监理人或代建人或招标代理机构的法定代表人或单位</w:t>
      </w:r>
      <w:r>
        <w:rPr>
          <w:rFonts w:ascii="宋体" w:hAnsi="宋体" w:eastAsia="宋体" w:cs="宋体"/>
          <w:color w:val="auto"/>
          <w:spacing w:val="-1"/>
          <w:sz w:val="21"/>
          <w:szCs w:val="21"/>
          <w:highlight w:val="none"/>
        </w:rPr>
        <w:t>负责人相互任职</w:t>
      </w:r>
      <w:r>
        <w:rPr>
          <w:rFonts w:ascii="宋体" w:hAnsi="宋体" w:eastAsia="宋体" w:cs="宋体"/>
          <w:color w:val="auto"/>
          <w:sz w:val="21"/>
          <w:szCs w:val="21"/>
          <w:highlight w:val="none"/>
        </w:rPr>
        <w:t xml:space="preserve"> </w:t>
      </w:r>
      <w:r>
        <w:rPr>
          <w:rFonts w:ascii="宋体" w:hAnsi="宋体" w:eastAsia="宋体" w:cs="宋体"/>
          <w:color w:val="auto"/>
          <w:spacing w:val="-11"/>
          <w:sz w:val="21"/>
          <w:szCs w:val="21"/>
          <w:highlight w:val="none"/>
        </w:rPr>
        <w:t>或工作；</w:t>
      </w:r>
    </w:p>
    <w:p w14:paraId="7639CF98">
      <w:pPr>
        <w:spacing w:before="107" w:line="270" w:lineRule="auto"/>
        <w:ind w:left="35" w:right="104" w:firstLine="411"/>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9</w:t>
      </w:r>
      <w:r>
        <w:rPr>
          <w:rFonts w:ascii="宋体" w:hAnsi="宋体" w:eastAsia="宋体" w:cs="宋体"/>
          <w:color w:val="auto"/>
          <w:sz w:val="21"/>
          <w:szCs w:val="21"/>
          <w:highlight w:val="none"/>
        </w:rPr>
        <w:t>）单位负责人为同一人或者存在控股、管理关系的不同单位，同时参加本标段投标</w:t>
      </w:r>
      <w:r>
        <w:rPr>
          <w:rFonts w:ascii="宋体" w:hAnsi="宋体" w:eastAsia="宋体" w:cs="宋体"/>
          <w:color w:val="auto"/>
          <w:spacing w:val="5"/>
          <w:sz w:val="21"/>
          <w:szCs w:val="21"/>
          <w:highlight w:val="none"/>
        </w:rPr>
        <w:t xml:space="preserve"> </w:t>
      </w:r>
      <w:r>
        <w:rPr>
          <w:rFonts w:ascii="宋体" w:hAnsi="宋体" w:eastAsia="宋体" w:cs="宋体"/>
          <w:color w:val="auto"/>
          <w:spacing w:val="-19"/>
          <w:sz w:val="21"/>
          <w:szCs w:val="21"/>
          <w:highlight w:val="none"/>
        </w:rPr>
        <w:t>的；</w:t>
      </w:r>
    </w:p>
    <w:p w14:paraId="26225197">
      <w:pPr>
        <w:spacing w:before="105" w:line="285" w:lineRule="auto"/>
        <w:ind w:left="20" w:right="111" w:firstLine="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10</w:t>
      </w:r>
      <w:r>
        <w:rPr>
          <w:rFonts w:ascii="宋体" w:hAnsi="宋体" w:eastAsia="宋体" w:cs="宋体"/>
          <w:color w:val="auto"/>
          <w:spacing w:val="3"/>
          <w:sz w:val="21"/>
          <w:szCs w:val="21"/>
          <w:highlight w:val="none"/>
        </w:rPr>
        <w:t>）被依法暂停或取消投标资格（指被本招标项目所在</w:t>
      </w:r>
      <w:r>
        <w:rPr>
          <w:rFonts w:ascii="宋体" w:hAnsi="宋体" w:eastAsia="宋体" w:cs="宋体"/>
          <w:color w:val="auto"/>
          <w:spacing w:val="2"/>
          <w:sz w:val="21"/>
          <w:szCs w:val="21"/>
          <w:highlight w:val="none"/>
        </w:rPr>
        <w:t>地县级及以上住房城乡建设</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主管部门或其他行政主管部门暂停或取消投标资格或禁止进入该区域建设</w:t>
      </w:r>
      <w:r>
        <w:rPr>
          <w:rFonts w:ascii="宋体" w:hAnsi="宋体" w:eastAsia="宋体" w:cs="宋体"/>
          <w:color w:val="auto"/>
          <w:spacing w:val="2"/>
          <w:sz w:val="21"/>
          <w:szCs w:val="21"/>
          <w:highlight w:val="none"/>
        </w:rPr>
        <w:t>市场且处于有效</w:t>
      </w:r>
      <w:r>
        <w:rPr>
          <w:rFonts w:ascii="宋体" w:hAnsi="宋体" w:eastAsia="宋体" w:cs="宋体"/>
          <w:color w:val="auto"/>
          <w:sz w:val="21"/>
          <w:szCs w:val="21"/>
          <w:highlight w:val="none"/>
        </w:rPr>
        <w:t xml:space="preserve"> </w:t>
      </w:r>
      <w:r>
        <w:rPr>
          <w:rFonts w:ascii="宋体" w:hAnsi="宋体" w:eastAsia="宋体" w:cs="宋体"/>
          <w:color w:val="auto"/>
          <w:spacing w:val="-38"/>
          <w:w w:val="98"/>
          <w:sz w:val="21"/>
          <w:szCs w:val="21"/>
          <w:highlight w:val="none"/>
        </w:rPr>
        <w:t>期内</w:t>
      </w:r>
      <w:r>
        <w:rPr>
          <w:rFonts w:ascii="宋体" w:hAnsi="宋体" w:eastAsia="宋体" w:cs="宋体"/>
          <w:color w:val="auto"/>
          <w:spacing w:val="-21"/>
          <w:sz w:val="21"/>
          <w:szCs w:val="21"/>
          <w:highlight w:val="none"/>
        </w:rPr>
        <w:t>）；</w:t>
      </w:r>
    </w:p>
    <w:p w14:paraId="653FC447">
      <w:pPr>
        <w:spacing w:before="108"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11</w:t>
      </w:r>
      <w:r>
        <w:rPr>
          <w:rFonts w:ascii="宋体" w:hAnsi="宋体" w:eastAsia="宋体" w:cs="宋体"/>
          <w:color w:val="auto"/>
          <w:spacing w:val="-2"/>
          <w:sz w:val="21"/>
          <w:szCs w:val="21"/>
          <w:highlight w:val="none"/>
        </w:rPr>
        <w:t>）被责令停产停业、暂扣或者吊销许可证、暂扣或者吊销执照；</w:t>
      </w:r>
    </w:p>
    <w:p w14:paraId="33332EA5">
      <w:pPr>
        <w:spacing w:before="110" w:line="219"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12</w:t>
      </w:r>
      <w:r>
        <w:rPr>
          <w:rFonts w:ascii="宋体" w:hAnsi="宋体" w:eastAsia="宋体" w:cs="宋体"/>
          <w:color w:val="auto"/>
          <w:spacing w:val="-4"/>
          <w:sz w:val="21"/>
          <w:szCs w:val="21"/>
          <w:highlight w:val="none"/>
        </w:rPr>
        <w:t>）进入清算程序，或被宣告破产， 或其他丧失履约能力的情形；</w:t>
      </w:r>
    </w:p>
    <w:p w14:paraId="7A298B8F">
      <w:pPr>
        <w:spacing w:before="111" w:line="268" w:lineRule="auto"/>
        <w:ind w:left="20" w:right="101" w:firstLine="42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13</w:t>
      </w:r>
      <w:r>
        <w:rPr>
          <w:rFonts w:ascii="宋体" w:hAnsi="宋体" w:eastAsia="宋体" w:cs="宋体"/>
          <w:color w:val="auto"/>
          <w:spacing w:val="-2"/>
          <w:sz w:val="21"/>
          <w:szCs w:val="21"/>
          <w:highlight w:val="none"/>
        </w:rPr>
        <w:t>）在最近三年内有骗取中标或严重违约或重大工程质量问题的 （以相关行业主</w:t>
      </w:r>
      <w:r>
        <w:rPr>
          <w:rFonts w:ascii="宋体" w:hAnsi="宋体" w:eastAsia="宋体" w:cs="宋体"/>
          <w:color w:val="auto"/>
          <w:spacing w:val="-19"/>
          <w:sz w:val="21"/>
          <w:szCs w:val="21"/>
          <w:highlight w:val="none"/>
        </w:rPr>
        <w:t xml:space="preserve"> </w:t>
      </w:r>
      <w:r>
        <w:rPr>
          <w:rFonts w:ascii="宋体" w:hAnsi="宋体" w:eastAsia="宋体" w:cs="宋体"/>
          <w:color w:val="auto"/>
          <w:spacing w:val="-2"/>
          <w:sz w:val="21"/>
          <w:szCs w:val="21"/>
          <w:highlight w:val="none"/>
        </w:rPr>
        <w:t>管</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部门的行政处罚决定或司法机关出具的有关法律文书为准</w:t>
      </w:r>
      <w:r>
        <w:rPr>
          <w:rFonts w:ascii="宋体" w:hAnsi="宋体" w:eastAsia="宋体" w:cs="宋体"/>
          <w:color w:val="auto"/>
          <w:spacing w:val="-15"/>
          <w:sz w:val="21"/>
          <w:szCs w:val="21"/>
          <w:highlight w:val="none"/>
        </w:rPr>
        <w:t>）；</w:t>
      </w:r>
    </w:p>
    <w:p w14:paraId="643EDB29">
      <w:pPr>
        <w:spacing w:before="110" w:line="269" w:lineRule="auto"/>
        <w:ind w:left="21" w:right="106" w:firstLine="425"/>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14</w:t>
      </w:r>
      <w:r>
        <w:rPr>
          <w:rFonts w:ascii="宋体" w:hAnsi="宋体" w:eastAsia="宋体" w:cs="宋体"/>
          <w:color w:val="auto"/>
          <w:sz w:val="21"/>
          <w:szCs w:val="21"/>
          <w:highlight w:val="none"/>
        </w:rPr>
        <w:t>）在“国家企业信用信息公示系统”（</w:t>
      </w:r>
      <w:r>
        <w:rPr>
          <w:rFonts w:ascii="Times New Roman" w:hAnsi="Times New Roman" w:eastAsia="Times New Roman" w:cs="Times New Roman"/>
          <w:color w:val="auto"/>
          <w:sz w:val="21"/>
          <w:szCs w:val="21"/>
          <w:highlight w:val="none"/>
        </w:rPr>
        <w:t>www.gsxt.gov.cn</w:t>
      </w:r>
      <w:r>
        <w:rPr>
          <w:rFonts w:ascii="宋体" w:hAnsi="宋体" w:eastAsia="宋体" w:cs="宋体"/>
          <w:color w:val="auto"/>
          <w:sz w:val="21"/>
          <w:szCs w:val="21"/>
          <w:highlight w:val="none"/>
        </w:rPr>
        <w:t>）中被列入严重违法</w:t>
      </w:r>
      <w:r>
        <w:rPr>
          <w:rFonts w:ascii="宋体" w:hAnsi="宋体" w:eastAsia="宋体" w:cs="宋体"/>
          <w:color w:val="auto"/>
          <w:spacing w:val="-1"/>
          <w:sz w:val="21"/>
          <w:szCs w:val="21"/>
          <w:highlight w:val="none"/>
        </w:rPr>
        <w:t>失 信</w:t>
      </w:r>
      <w:r>
        <w:rPr>
          <w:rFonts w:ascii="宋体" w:hAnsi="宋体" w:eastAsia="宋体" w:cs="宋体"/>
          <w:color w:val="auto"/>
          <w:sz w:val="21"/>
          <w:szCs w:val="21"/>
          <w:highlight w:val="none"/>
        </w:rPr>
        <w:t xml:space="preserve"> </w:t>
      </w:r>
      <w:r>
        <w:rPr>
          <w:rFonts w:ascii="宋体" w:hAnsi="宋体" w:eastAsia="宋体" w:cs="宋体"/>
          <w:color w:val="auto"/>
          <w:spacing w:val="-9"/>
          <w:sz w:val="21"/>
          <w:szCs w:val="21"/>
          <w:highlight w:val="none"/>
        </w:rPr>
        <w:t>企业名单；</w:t>
      </w:r>
    </w:p>
    <w:p w14:paraId="6BD6E0D1">
      <w:pPr>
        <w:spacing w:before="108" w:line="265" w:lineRule="auto"/>
        <w:ind w:left="24" w:firstLine="422"/>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w:t>
      </w:r>
      <w:r>
        <w:rPr>
          <w:rFonts w:ascii="Times New Roman" w:hAnsi="Times New Roman" w:eastAsia="Times New Roman" w:cs="Times New Roman"/>
          <w:color w:val="auto"/>
          <w:spacing w:val="15"/>
          <w:sz w:val="21"/>
          <w:szCs w:val="21"/>
          <w:highlight w:val="none"/>
        </w:rPr>
        <w:t>15</w:t>
      </w:r>
      <w:r>
        <w:rPr>
          <w:rFonts w:ascii="宋体" w:hAnsi="宋体" w:eastAsia="宋体" w:cs="宋体"/>
          <w:color w:val="auto"/>
          <w:spacing w:val="15"/>
          <w:sz w:val="21"/>
          <w:szCs w:val="21"/>
          <w:highlight w:val="none"/>
        </w:rPr>
        <w:t>）在“信用中国”网站（</w:t>
      </w:r>
      <w:r>
        <w:rPr>
          <w:rFonts w:ascii="Times New Roman" w:hAnsi="Times New Roman" w:eastAsia="Times New Roman" w:cs="Times New Roman"/>
          <w:color w:val="auto"/>
          <w:sz w:val="21"/>
          <w:szCs w:val="21"/>
          <w:highlight w:val="none"/>
        </w:rPr>
        <w:t>www</w:t>
      </w:r>
      <w:r>
        <w:rPr>
          <w:rFonts w:ascii="Times New Roman" w:hAnsi="Times New Roman" w:eastAsia="Times New Roman" w:cs="Times New Roman"/>
          <w:color w:val="auto"/>
          <w:spacing w:val="15"/>
          <w:sz w:val="21"/>
          <w:szCs w:val="21"/>
          <w:highlight w:val="none"/>
        </w:rPr>
        <w:t>.</w:t>
      </w:r>
      <w:r>
        <w:rPr>
          <w:rFonts w:ascii="Times New Roman" w:hAnsi="Times New Roman" w:eastAsia="Times New Roman" w:cs="Times New Roman"/>
          <w:color w:val="auto"/>
          <w:sz w:val="21"/>
          <w:szCs w:val="21"/>
          <w:highlight w:val="none"/>
        </w:rPr>
        <w:t>creditchina</w:t>
      </w:r>
      <w:r>
        <w:rPr>
          <w:rFonts w:ascii="Times New Roman" w:hAnsi="Times New Roman" w:eastAsia="Times New Roman" w:cs="Times New Roman"/>
          <w:color w:val="auto"/>
          <w:spacing w:val="15"/>
          <w:sz w:val="21"/>
          <w:szCs w:val="21"/>
          <w:highlight w:val="none"/>
        </w:rPr>
        <w:t>.</w:t>
      </w:r>
      <w:r>
        <w:rPr>
          <w:rFonts w:ascii="Times New Roman" w:hAnsi="Times New Roman" w:eastAsia="Times New Roman" w:cs="Times New Roman"/>
          <w:color w:val="auto"/>
          <w:sz w:val="21"/>
          <w:szCs w:val="21"/>
          <w:highlight w:val="none"/>
        </w:rPr>
        <w:t>gov</w:t>
      </w:r>
      <w:r>
        <w:rPr>
          <w:rFonts w:ascii="Times New Roman" w:hAnsi="Times New Roman" w:eastAsia="Times New Roman" w:cs="Times New Roman"/>
          <w:color w:val="auto"/>
          <w:spacing w:val="15"/>
          <w:sz w:val="21"/>
          <w:szCs w:val="21"/>
          <w:highlight w:val="none"/>
        </w:rPr>
        <w:t>.</w:t>
      </w:r>
      <w:r>
        <w:rPr>
          <w:rFonts w:ascii="Times New Roman" w:hAnsi="Times New Roman" w:eastAsia="Times New Roman" w:cs="Times New Roman"/>
          <w:color w:val="auto"/>
          <w:sz w:val="21"/>
          <w:szCs w:val="21"/>
          <w:highlight w:val="none"/>
        </w:rPr>
        <w:t>cn</w:t>
      </w:r>
      <w:r>
        <w:rPr>
          <w:rFonts w:ascii="宋体" w:hAnsi="宋体" w:eastAsia="宋体" w:cs="宋体"/>
          <w:color w:val="auto"/>
          <w:spacing w:val="15"/>
          <w:sz w:val="21"/>
          <w:szCs w:val="21"/>
          <w:highlight w:val="none"/>
        </w:rPr>
        <w:t>）或“中国执行信息公开网”</w:t>
      </w:r>
      <w:r>
        <w:rPr>
          <w:rFonts w:ascii="宋体" w:hAnsi="宋体" w:eastAsia="宋体" w:cs="宋体"/>
          <w:color w:val="auto"/>
          <w:spacing w:val="16"/>
          <w:sz w:val="21"/>
          <w:szCs w:val="21"/>
          <w:highlight w:val="none"/>
        </w:rPr>
        <w:t xml:space="preserve"> </w:t>
      </w:r>
      <w:r>
        <w:rPr>
          <w:rFonts w:ascii="宋体" w:hAnsi="宋体" w:eastAsia="宋体" w:cs="宋体"/>
          <w:color w:val="auto"/>
          <w:spacing w:val="-2"/>
          <w:sz w:val="21"/>
          <w:szCs w:val="21"/>
          <w:highlight w:val="none"/>
        </w:rPr>
        <w:t>（</w:t>
      </w:r>
      <w:r>
        <w:rPr>
          <w:color w:val="auto"/>
          <w:highlight w:val="none"/>
        </w:rPr>
        <w:fldChar w:fldCharType="begin"/>
      </w:r>
      <w:r>
        <w:rPr>
          <w:color w:val="auto"/>
          <w:highlight w:val="none"/>
        </w:rPr>
        <w:instrText xml:space="preserve"> HYPERLINK "http://zxgk.court.gov.cn/shixin/" </w:instrText>
      </w:r>
      <w:r>
        <w:rPr>
          <w:color w:val="auto"/>
          <w:highlight w:val="none"/>
        </w:rPr>
        <w:fldChar w:fldCharType="separate"/>
      </w:r>
      <w:r>
        <w:rPr>
          <w:rFonts w:ascii="Times New Roman" w:hAnsi="Times New Roman" w:eastAsia="Times New Roman" w:cs="Times New Roman"/>
          <w:color w:val="auto"/>
          <w:spacing w:val="-2"/>
          <w:sz w:val="21"/>
          <w:szCs w:val="21"/>
          <w:highlight w:val="none"/>
        </w:rPr>
        <w:t>http://zxgk.court.gov.cn/shixin/</w:t>
      </w:r>
      <w:r>
        <w:rPr>
          <w:rFonts w:ascii="Times New Roman" w:hAnsi="Times New Roman" w:eastAsia="Times New Roman" w:cs="Times New Roman"/>
          <w:color w:val="auto"/>
          <w:spacing w:val="-2"/>
          <w:sz w:val="21"/>
          <w:szCs w:val="21"/>
          <w:highlight w:val="none"/>
        </w:rPr>
        <w:fldChar w:fldCharType="end"/>
      </w:r>
      <w:r>
        <w:rPr>
          <w:rFonts w:ascii="Times New Roman" w:hAnsi="Times New Roman" w:eastAsia="Times New Roman" w:cs="Times New Roman"/>
          <w:color w:val="auto"/>
          <w:spacing w:val="-22"/>
          <w:sz w:val="21"/>
          <w:szCs w:val="21"/>
          <w:highlight w:val="none"/>
        </w:rPr>
        <w:t xml:space="preserve"> </w:t>
      </w:r>
      <w:r>
        <w:rPr>
          <w:rFonts w:ascii="宋体" w:hAnsi="宋体" w:eastAsia="宋体" w:cs="宋体"/>
          <w:color w:val="auto"/>
          <w:spacing w:val="-2"/>
          <w:sz w:val="21"/>
          <w:szCs w:val="21"/>
          <w:highlight w:val="none"/>
        </w:rPr>
        <w:t>）</w:t>
      </w:r>
      <w:r>
        <w:rPr>
          <w:rFonts w:ascii="宋体" w:hAnsi="宋体" w:eastAsia="宋体" w:cs="宋体"/>
          <w:color w:val="auto"/>
          <w:spacing w:val="-43"/>
          <w:sz w:val="21"/>
          <w:szCs w:val="21"/>
          <w:highlight w:val="none"/>
        </w:rPr>
        <w:t xml:space="preserve"> </w:t>
      </w:r>
      <w:r>
        <w:rPr>
          <w:rFonts w:ascii="宋体" w:hAnsi="宋体" w:eastAsia="宋体" w:cs="宋体"/>
          <w:color w:val="auto"/>
          <w:spacing w:val="-2"/>
          <w:sz w:val="21"/>
          <w:szCs w:val="21"/>
          <w:highlight w:val="none"/>
        </w:rPr>
        <w:t>被列入</w:t>
      </w:r>
      <w:r>
        <w:rPr>
          <w:rFonts w:ascii="宋体" w:hAnsi="宋体" w:eastAsia="宋体" w:cs="宋体"/>
          <w:color w:val="auto"/>
          <w:spacing w:val="-3"/>
          <w:sz w:val="21"/>
          <w:szCs w:val="21"/>
          <w:highlight w:val="none"/>
        </w:rPr>
        <w:t>失信被执行人名单；</w:t>
      </w:r>
    </w:p>
    <w:p w14:paraId="78ABE55F">
      <w:pPr>
        <w:spacing w:before="118" w:line="268" w:lineRule="auto"/>
        <w:ind w:left="18" w:right="112" w:firstLine="42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16</w:t>
      </w:r>
      <w:r>
        <w:rPr>
          <w:rFonts w:ascii="宋体" w:hAnsi="宋体" w:eastAsia="宋体" w:cs="宋体"/>
          <w:color w:val="auto"/>
          <w:spacing w:val="1"/>
          <w:sz w:val="21"/>
          <w:szCs w:val="21"/>
          <w:highlight w:val="none"/>
        </w:rPr>
        <w:t>）在辽宁省建设工程招投标监督平台</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辽宁建设工程信息网上被列</w:t>
      </w:r>
      <w:r>
        <w:rPr>
          <w:rFonts w:ascii="宋体" w:hAnsi="宋体" w:eastAsia="宋体" w:cs="宋体"/>
          <w:color w:val="auto"/>
          <w:sz w:val="21"/>
          <w:szCs w:val="21"/>
          <w:highlight w:val="none"/>
        </w:rPr>
        <w:t xml:space="preserve">入不良行为记录 </w:t>
      </w:r>
      <w:r>
        <w:rPr>
          <w:rFonts w:ascii="宋体" w:hAnsi="宋体" w:eastAsia="宋体" w:cs="宋体"/>
          <w:color w:val="auto"/>
          <w:spacing w:val="-5"/>
          <w:sz w:val="21"/>
          <w:szCs w:val="21"/>
          <w:highlight w:val="none"/>
        </w:rPr>
        <w:t>且在公布期内的；</w:t>
      </w:r>
    </w:p>
    <w:p w14:paraId="380FD046">
      <w:pPr>
        <w:spacing w:before="110"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17</w:t>
      </w:r>
      <w:r>
        <w:rPr>
          <w:rFonts w:ascii="宋体" w:hAnsi="宋体" w:eastAsia="宋体" w:cs="宋体"/>
          <w:color w:val="auto"/>
          <w:spacing w:val="-2"/>
          <w:sz w:val="21"/>
          <w:szCs w:val="21"/>
          <w:highlight w:val="none"/>
        </w:rPr>
        <w:t>）法律法规规定的其他情形。</w:t>
      </w:r>
    </w:p>
    <w:p w14:paraId="6AEC4379">
      <w:pPr>
        <w:spacing w:before="108" w:line="221" w:lineRule="auto"/>
        <w:ind w:left="43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B1.5</w:t>
      </w:r>
      <w:r>
        <w:rPr>
          <w:rFonts w:ascii="宋体" w:hAnsi="宋体" w:eastAsia="宋体" w:cs="宋体"/>
          <w:color w:val="auto"/>
          <w:spacing w:val="-41"/>
          <w:sz w:val="21"/>
          <w:szCs w:val="21"/>
          <w:highlight w:val="none"/>
        </w:rPr>
        <w:t xml:space="preserve"> </w:t>
      </w:r>
      <w:r>
        <w:rPr>
          <w:rFonts w:ascii="宋体" w:hAnsi="宋体" w:eastAsia="宋体" w:cs="宋体"/>
          <w:color w:val="auto"/>
          <w:spacing w:val="-1"/>
          <w:sz w:val="21"/>
          <w:szCs w:val="21"/>
          <w:highlight w:val="none"/>
        </w:rPr>
        <w:t>未如实填写近年发生的诉讼及仲裁情况，隐</w:t>
      </w:r>
      <w:r>
        <w:rPr>
          <w:rFonts w:ascii="宋体" w:hAnsi="宋体" w:eastAsia="宋体" w:cs="宋体"/>
          <w:color w:val="auto"/>
          <w:spacing w:val="-2"/>
          <w:sz w:val="21"/>
          <w:szCs w:val="21"/>
          <w:highlight w:val="none"/>
        </w:rPr>
        <w:t>瞒真实情况的。</w:t>
      </w:r>
    </w:p>
    <w:p w14:paraId="5C3711B0">
      <w:pPr>
        <w:spacing w:before="167" w:line="428" w:lineRule="exact"/>
        <w:ind w:left="436"/>
        <w:rPr>
          <w:rFonts w:ascii="宋体" w:hAnsi="宋体" w:eastAsia="宋体" w:cs="宋体"/>
          <w:color w:val="auto"/>
          <w:sz w:val="21"/>
          <w:szCs w:val="21"/>
          <w:highlight w:val="none"/>
        </w:rPr>
      </w:pPr>
      <w:r>
        <w:rPr>
          <w:rFonts w:ascii="宋体" w:hAnsi="宋体" w:eastAsia="宋体" w:cs="宋体"/>
          <w:color w:val="auto"/>
          <w:position w:val="16"/>
          <w:sz w:val="21"/>
          <w:szCs w:val="21"/>
          <w:highlight w:val="none"/>
        </w:rPr>
        <w:t>B1.6 未按招标文件要求进行实名身份认证的或同一标段实名身份认证中存在不同投标</w:t>
      </w:r>
    </w:p>
    <w:p w14:paraId="1584F65A">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人之间身份证识别器码一致的。</w:t>
      </w:r>
    </w:p>
    <w:p w14:paraId="542E4CCE">
      <w:pPr>
        <w:spacing w:before="181" w:line="219" w:lineRule="auto"/>
        <w:ind w:left="43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B1.7</w:t>
      </w:r>
      <w:r>
        <w:rPr>
          <w:rFonts w:ascii="宋体" w:hAnsi="宋体" w:eastAsia="宋体" w:cs="宋体"/>
          <w:color w:val="auto"/>
          <w:spacing w:val="-27"/>
          <w:sz w:val="21"/>
          <w:szCs w:val="21"/>
          <w:highlight w:val="none"/>
        </w:rPr>
        <w:t xml:space="preserve"> </w:t>
      </w:r>
      <w:r>
        <w:rPr>
          <w:rFonts w:ascii="宋体" w:hAnsi="宋体" w:eastAsia="宋体" w:cs="宋体"/>
          <w:color w:val="auto"/>
          <w:spacing w:val="-1"/>
          <w:sz w:val="21"/>
          <w:szCs w:val="21"/>
          <w:highlight w:val="none"/>
        </w:rPr>
        <w:t>投标报价明显低于企业成本可能影响履约的。</w:t>
      </w:r>
    </w:p>
    <w:p w14:paraId="141A88B3">
      <w:pPr>
        <w:spacing w:before="178" w:line="220" w:lineRule="auto"/>
        <w:ind w:left="436"/>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B1.8</w:t>
      </w:r>
      <w:r>
        <w:rPr>
          <w:rFonts w:ascii="宋体" w:hAnsi="宋体" w:eastAsia="宋体" w:cs="宋体"/>
          <w:color w:val="auto"/>
          <w:spacing w:val="-36"/>
          <w:sz w:val="21"/>
          <w:szCs w:val="21"/>
          <w:highlight w:val="none"/>
        </w:rPr>
        <w:t xml:space="preserve"> </w:t>
      </w:r>
      <w:r>
        <w:rPr>
          <w:rFonts w:ascii="宋体" w:hAnsi="宋体" w:eastAsia="宋体" w:cs="宋体"/>
          <w:color w:val="auto"/>
          <w:spacing w:val="-5"/>
          <w:sz w:val="21"/>
          <w:szCs w:val="21"/>
          <w:highlight w:val="none"/>
        </w:rPr>
        <w:t>未按招标文件要求采用建筑信息模型技术的（如有）。</w:t>
      </w:r>
    </w:p>
    <w:p w14:paraId="0216BD80">
      <w:pPr>
        <w:spacing w:before="182" w:line="221" w:lineRule="auto"/>
        <w:ind w:left="43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B1.9</w:t>
      </w:r>
      <w:r>
        <w:rPr>
          <w:rFonts w:ascii="宋体" w:hAnsi="宋体" w:eastAsia="宋体" w:cs="宋体"/>
          <w:color w:val="auto"/>
          <w:spacing w:val="-38"/>
          <w:sz w:val="21"/>
          <w:szCs w:val="21"/>
          <w:highlight w:val="none"/>
        </w:rPr>
        <w:t xml:space="preserve"> </w:t>
      </w:r>
      <w:r>
        <w:rPr>
          <w:rFonts w:ascii="宋体" w:hAnsi="宋体" w:eastAsia="宋体" w:cs="宋体"/>
          <w:color w:val="auto"/>
          <w:spacing w:val="-1"/>
          <w:sz w:val="21"/>
          <w:szCs w:val="21"/>
          <w:highlight w:val="none"/>
        </w:rPr>
        <w:t>技术标不同模块赋分点之间多个模块固定位置存在内容表述非必要性雷同的。</w:t>
      </w:r>
    </w:p>
    <w:p w14:paraId="2BA16B4A">
      <w:pPr>
        <w:pStyle w:val="3"/>
        <w:spacing w:line="245" w:lineRule="auto"/>
        <w:rPr>
          <w:color w:val="auto"/>
          <w:highlight w:val="none"/>
        </w:rPr>
      </w:pPr>
    </w:p>
    <w:p w14:paraId="6CA44BB6">
      <w:pPr>
        <w:spacing w:before="68" w:line="147" w:lineRule="exact"/>
        <w:ind w:left="467"/>
        <w:rPr>
          <w:rFonts w:ascii="仿宋" w:hAnsi="仿宋" w:eastAsia="仿宋" w:cs="仿宋"/>
          <w:color w:val="auto"/>
          <w:sz w:val="21"/>
          <w:szCs w:val="21"/>
          <w:highlight w:val="none"/>
        </w:rPr>
      </w:pPr>
      <w:r>
        <w:rPr>
          <w:rFonts w:ascii="仿宋" w:hAnsi="仿宋" w:eastAsia="仿宋" w:cs="仿宋"/>
          <w:color w:val="auto"/>
          <w:spacing w:val="-9"/>
          <w:position w:val="-3"/>
          <w:sz w:val="21"/>
          <w:szCs w:val="21"/>
          <w:highlight w:val="none"/>
        </w:rPr>
        <w:t>……</w:t>
      </w:r>
    </w:p>
    <w:p w14:paraId="0CE41FBC">
      <w:pPr>
        <w:spacing w:line="147" w:lineRule="exact"/>
        <w:rPr>
          <w:rFonts w:ascii="仿宋" w:hAnsi="仿宋" w:eastAsia="仿宋" w:cs="仿宋"/>
          <w:color w:val="auto"/>
          <w:sz w:val="21"/>
          <w:szCs w:val="21"/>
          <w:highlight w:val="none"/>
        </w:rPr>
        <w:sectPr>
          <w:footerReference r:id="rId60" w:type="default"/>
          <w:pgSz w:w="11905" w:h="16839"/>
          <w:pgMar w:top="1431" w:right="1685" w:bottom="996" w:left="1785" w:header="0" w:footer="791" w:gutter="0"/>
          <w:pgNumType w:fmt="decimal"/>
          <w:cols w:space="720" w:num="1"/>
        </w:sectPr>
      </w:pPr>
    </w:p>
    <w:p w14:paraId="166B5181">
      <w:pPr>
        <w:pStyle w:val="3"/>
        <w:spacing w:before="307" w:line="218" w:lineRule="auto"/>
        <w:ind w:left="262"/>
        <w:rPr>
          <w:rFonts w:ascii="黑体" w:hAnsi="黑体" w:eastAsia="黑体" w:cs="黑体"/>
          <w:color w:val="auto"/>
          <w:sz w:val="24"/>
          <w:szCs w:val="24"/>
          <w:highlight w:val="none"/>
        </w:rPr>
      </w:pPr>
      <w:r>
        <w:rPr>
          <w:rFonts w:ascii="黑体" w:hAnsi="黑体" w:eastAsia="黑体" w:cs="黑体"/>
          <w:color w:val="auto"/>
          <w:spacing w:val="-6"/>
          <w:sz w:val="24"/>
          <w:szCs w:val="24"/>
          <w:highlight w:val="none"/>
        </w:rPr>
        <w:t>附件</w:t>
      </w:r>
      <w:r>
        <w:rPr>
          <w:rFonts w:ascii="黑体" w:hAnsi="黑体" w:eastAsia="黑体" w:cs="黑体"/>
          <w:color w:val="auto"/>
          <w:spacing w:val="-48"/>
          <w:sz w:val="24"/>
          <w:szCs w:val="24"/>
          <w:highlight w:val="none"/>
        </w:rPr>
        <w:t xml:space="preserve"> </w:t>
      </w:r>
      <w:r>
        <w:rPr>
          <w:color w:val="auto"/>
          <w:spacing w:val="-6"/>
          <w:sz w:val="24"/>
          <w:szCs w:val="24"/>
          <w:highlight w:val="none"/>
        </w:rPr>
        <w:t>C</w:t>
      </w:r>
      <w:r>
        <w:rPr>
          <w:rFonts w:ascii="黑体" w:hAnsi="黑体" w:eastAsia="黑体" w:cs="黑体"/>
          <w:color w:val="auto"/>
          <w:spacing w:val="-6"/>
          <w:sz w:val="24"/>
          <w:szCs w:val="24"/>
          <w:highlight w:val="none"/>
        </w:rPr>
        <w:t>：定标办法</w:t>
      </w:r>
    </w:p>
    <w:p w14:paraId="6F531A31">
      <w:pPr>
        <w:pStyle w:val="3"/>
        <w:spacing w:line="471" w:lineRule="auto"/>
        <w:rPr>
          <w:color w:val="auto"/>
          <w:highlight w:val="none"/>
        </w:rPr>
      </w:pPr>
    </w:p>
    <w:p w14:paraId="753F0204">
      <w:pPr>
        <w:spacing w:before="88" w:line="216" w:lineRule="auto"/>
        <w:ind w:left="3426"/>
        <w:rPr>
          <w:rFonts w:ascii="黑体" w:hAnsi="黑体" w:eastAsia="黑体" w:cs="黑体"/>
          <w:color w:val="auto"/>
          <w:sz w:val="27"/>
          <w:szCs w:val="27"/>
          <w:highlight w:val="none"/>
        </w:rPr>
      </w:pPr>
      <w:bookmarkStart w:id="152" w:name="bookmark182"/>
      <w:bookmarkEnd w:id="152"/>
      <w:bookmarkStart w:id="153" w:name="bookmark181"/>
      <w:bookmarkEnd w:id="153"/>
      <w:bookmarkStart w:id="154" w:name="bookmark180"/>
      <w:bookmarkEnd w:id="154"/>
      <w:bookmarkStart w:id="155" w:name="bookmark183"/>
      <w:bookmarkEnd w:id="155"/>
      <w:bookmarkStart w:id="156" w:name="bookmark184"/>
      <w:bookmarkEnd w:id="156"/>
      <w:bookmarkStart w:id="157" w:name="bookmark186"/>
      <w:bookmarkEnd w:id="157"/>
      <w:bookmarkStart w:id="158" w:name="bookmark185"/>
      <w:bookmarkEnd w:id="158"/>
      <w:bookmarkStart w:id="159" w:name="bookmark187"/>
      <w:bookmarkEnd w:id="159"/>
      <w:r>
        <w:rPr>
          <w:rFonts w:ascii="黑体" w:hAnsi="黑体" w:eastAsia="黑体" w:cs="黑体"/>
          <w:color w:val="auto"/>
          <w:spacing w:val="7"/>
          <w:sz w:val="27"/>
          <w:szCs w:val="27"/>
          <w:highlight w:val="none"/>
        </w:rPr>
        <w:t>定标办法前附表</w:t>
      </w:r>
    </w:p>
    <w:tbl>
      <w:tblPr>
        <w:tblStyle w:val="10"/>
        <w:tblW w:w="8791"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3"/>
        <w:gridCol w:w="707"/>
        <w:gridCol w:w="2030"/>
        <w:gridCol w:w="3827"/>
        <w:gridCol w:w="1564"/>
      </w:tblGrid>
      <w:tr w14:paraId="4BA7C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1370" w:type="dxa"/>
            <w:gridSpan w:val="2"/>
            <w:tcBorders>
              <w:top w:val="single" w:color="000000" w:sz="2" w:space="0"/>
              <w:left w:val="single" w:color="000000" w:sz="2" w:space="0"/>
            </w:tcBorders>
            <w:vAlign w:val="top"/>
          </w:tcPr>
          <w:p w14:paraId="5B7D030B">
            <w:pPr>
              <w:pStyle w:val="11"/>
              <w:spacing w:before="34" w:line="212" w:lineRule="auto"/>
              <w:ind w:left="379"/>
              <w:rPr>
                <w:color w:val="auto"/>
                <w:highlight w:val="none"/>
              </w:rPr>
            </w:pPr>
            <w:r>
              <w:rPr>
                <w:color w:val="auto"/>
                <w:spacing w:val="-2"/>
                <w:highlight w:val="none"/>
                <w14:textOutline w14:w="3831" w14:cap="flat" w14:cmpd="sng">
                  <w14:solidFill>
                    <w14:srgbClr w14:val="000000"/>
                  </w14:solidFill>
                  <w14:prstDash w14:val="solid"/>
                  <w14:miter w14:val="0"/>
                </w14:textOutline>
              </w:rPr>
              <w:t>条款号</w:t>
            </w:r>
          </w:p>
        </w:tc>
        <w:tc>
          <w:tcPr>
            <w:tcW w:w="2030" w:type="dxa"/>
            <w:tcBorders>
              <w:top w:val="single" w:color="000000" w:sz="2" w:space="0"/>
            </w:tcBorders>
            <w:vAlign w:val="top"/>
          </w:tcPr>
          <w:p w14:paraId="1CAA38A8">
            <w:pPr>
              <w:pStyle w:val="11"/>
              <w:spacing w:before="34" w:line="212" w:lineRule="auto"/>
              <w:ind w:left="601"/>
              <w:rPr>
                <w:color w:val="auto"/>
                <w:highlight w:val="none"/>
              </w:rPr>
            </w:pPr>
            <w:r>
              <w:rPr>
                <w:color w:val="auto"/>
                <w:spacing w:val="-1"/>
                <w:highlight w:val="none"/>
                <w14:textOutline w14:w="3831" w14:cap="flat" w14:cmpd="sng">
                  <w14:solidFill>
                    <w14:srgbClr w14:val="000000"/>
                  </w14:solidFill>
                  <w14:prstDash w14:val="solid"/>
                  <w14:miter w14:val="0"/>
                </w14:textOutline>
              </w:rPr>
              <w:t>条款内容</w:t>
            </w:r>
          </w:p>
        </w:tc>
        <w:tc>
          <w:tcPr>
            <w:tcW w:w="5391" w:type="dxa"/>
            <w:gridSpan w:val="2"/>
            <w:tcBorders>
              <w:top w:val="single" w:color="000000" w:sz="2" w:space="0"/>
              <w:right w:val="single" w:color="000000" w:sz="2" w:space="0"/>
            </w:tcBorders>
            <w:vAlign w:val="top"/>
          </w:tcPr>
          <w:p w14:paraId="63BCA221">
            <w:pPr>
              <w:pStyle w:val="11"/>
              <w:spacing w:before="34" w:line="212" w:lineRule="auto"/>
              <w:ind w:left="2451"/>
              <w:rPr>
                <w:color w:val="auto"/>
                <w:highlight w:val="none"/>
              </w:rPr>
            </w:pPr>
            <w:r>
              <w:rPr>
                <w:color w:val="auto"/>
                <w:spacing w:val="-1"/>
                <w:highlight w:val="none"/>
                <w14:textOutline w14:w="3831" w14:cap="flat" w14:cmpd="sng">
                  <w14:solidFill>
                    <w14:srgbClr w14:val="000000"/>
                  </w14:solidFill>
                  <w14:prstDash w14:val="solid"/>
                  <w14:miter w14:val="0"/>
                </w14:textOutline>
              </w:rPr>
              <w:t>编列内容</w:t>
            </w:r>
          </w:p>
        </w:tc>
      </w:tr>
      <w:tr w14:paraId="68E75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663" w:type="dxa"/>
            <w:vMerge w:val="restart"/>
            <w:tcBorders>
              <w:left w:val="single" w:color="000000" w:sz="2" w:space="0"/>
              <w:bottom w:val="nil"/>
              <w:right w:val="single" w:color="000000" w:sz="2" w:space="0"/>
            </w:tcBorders>
            <w:vAlign w:val="top"/>
          </w:tcPr>
          <w:p w14:paraId="73EA0697">
            <w:pPr>
              <w:spacing w:line="270" w:lineRule="auto"/>
              <w:rPr>
                <w:rFonts w:ascii="Arial"/>
                <w:color w:val="auto"/>
                <w:sz w:val="21"/>
                <w:highlight w:val="none"/>
              </w:rPr>
            </w:pPr>
          </w:p>
          <w:p w14:paraId="0DB0B907">
            <w:pPr>
              <w:spacing w:line="271" w:lineRule="auto"/>
              <w:rPr>
                <w:rFonts w:ascii="Arial"/>
                <w:color w:val="auto"/>
                <w:sz w:val="21"/>
                <w:highlight w:val="none"/>
              </w:rPr>
            </w:pPr>
          </w:p>
          <w:p w14:paraId="3DF05E81">
            <w:pPr>
              <w:pStyle w:val="11"/>
              <w:spacing w:before="68" w:line="183" w:lineRule="auto"/>
              <w:ind w:left="183"/>
              <w:rPr>
                <w:color w:val="auto"/>
                <w:highlight w:val="none"/>
              </w:rPr>
            </w:pPr>
            <w:r>
              <w:rPr>
                <w:color w:val="auto"/>
                <w:spacing w:val="-2"/>
                <w:highlight w:val="none"/>
              </w:rPr>
              <w:t>2.1</w:t>
            </w:r>
          </w:p>
        </w:tc>
        <w:tc>
          <w:tcPr>
            <w:tcW w:w="707" w:type="dxa"/>
            <w:vMerge w:val="restart"/>
            <w:tcBorders>
              <w:left w:val="single" w:color="000000" w:sz="2" w:space="0"/>
              <w:bottom w:val="nil"/>
            </w:tcBorders>
            <w:vAlign w:val="top"/>
          </w:tcPr>
          <w:p w14:paraId="69DF2C08">
            <w:pPr>
              <w:spacing w:line="369" w:lineRule="auto"/>
              <w:rPr>
                <w:rFonts w:ascii="Arial"/>
                <w:color w:val="auto"/>
                <w:sz w:val="21"/>
                <w:highlight w:val="none"/>
              </w:rPr>
            </w:pPr>
          </w:p>
          <w:p w14:paraId="01314DD9">
            <w:pPr>
              <w:pStyle w:val="11"/>
              <w:spacing w:before="68" w:line="231" w:lineRule="auto"/>
              <w:ind w:left="148" w:right="138" w:firstLine="3"/>
              <w:rPr>
                <w:color w:val="auto"/>
                <w:highlight w:val="none"/>
              </w:rPr>
            </w:pPr>
            <w:r>
              <w:rPr>
                <w:color w:val="auto"/>
                <w:spacing w:val="-6"/>
                <w:highlight w:val="none"/>
              </w:rPr>
              <w:t>定标</w:t>
            </w:r>
            <w:r>
              <w:rPr>
                <w:color w:val="auto"/>
                <w:highlight w:val="none"/>
              </w:rPr>
              <w:t xml:space="preserve"> </w:t>
            </w:r>
            <w:r>
              <w:rPr>
                <w:color w:val="auto"/>
                <w:spacing w:val="-4"/>
                <w:highlight w:val="none"/>
              </w:rPr>
              <w:t>准备</w:t>
            </w:r>
          </w:p>
        </w:tc>
        <w:tc>
          <w:tcPr>
            <w:tcW w:w="2030" w:type="dxa"/>
            <w:vAlign w:val="top"/>
          </w:tcPr>
          <w:p w14:paraId="1D0777FC">
            <w:pPr>
              <w:pStyle w:val="11"/>
              <w:spacing w:before="160" w:line="220" w:lineRule="auto"/>
              <w:ind w:left="292"/>
              <w:rPr>
                <w:color w:val="auto"/>
                <w:highlight w:val="none"/>
              </w:rPr>
            </w:pPr>
            <w:r>
              <w:rPr>
                <w:color w:val="auto"/>
                <w:spacing w:val="-2"/>
                <w:highlight w:val="none"/>
              </w:rPr>
              <w:t>定标委员会组成</w:t>
            </w:r>
          </w:p>
        </w:tc>
        <w:tc>
          <w:tcPr>
            <w:tcW w:w="5391" w:type="dxa"/>
            <w:gridSpan w:val="2"/>
            <w:tcBorders>
              <w:right w:val="single" w:color="000000" w:sz="2" w:space="0"/>
            </w:tcBorders>
            <w:vAlign w:val="top"/>
          </w:tcPr>
          <w:p w14:paraId="32768C5C">
            <w:pPr>
              <w:pStyle w:val="11"/>
              <w:spacing w:before="25" w:line="213" w:lineRule="auto"/>
              <w:ind w:left="115" w:right="101" w:firstLine="346"/>
              <w:rPr>
                <w:color w:val="auto"/>
                <w:highlight w:val="none"/>
              </w:rPr>
            </w:pPr>
            <w:r>
              <w:rPr>
                <w:color w:val="auto"/>
                <w:spacing w:val="-1"/>
                <w:highlight w:val="none"/>
              </w:rPr>
              <w:t>定标委员会由本单位或本系统在职人员或邀请外部专</w:t>
            </w:r>
            <w:r>
              <w:rPr>
                <w:color w:val="auto"/>
                <w:spacing w:val="12"/>
                <w:highlight w:val="none"/>
              </w:rPr>
              <w:t xml:space="preserve"> </w:t>
            </w:r>
            <w:r>
              <w:rPr>
                <w:color w:val="auto"/>
                <w:spacing w:val="-4"/>
                <w:highlight w:val="none"/>
              </w:rPr>
              <w:t>业技术人员共</w:t>
            </w:r>
            <w:r>
              <w:rPr>
                <w:color w:val="auto"/>
                <w:spacing w:val="22"/>
                <w:highlight w:val="none"/>
              </w:rPr>
              <w:t xml:space="preserve">   </w:t>
            </w:r>
            <w:r>
              <w:rPr>
                <w:color w:val="auto"/>
                <w:spacing w:val="-4"/>
                <w:highlight w:val="none"/>
              </w:rPr>
              <w:t>人组成。</w:t>
            </w:r>
          </w:p>
        </w:tc>
      </w:tr>
      <w:tr w14:paraId="6BB37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663" w:type="dxa"/>
            <w:vMerge w:val="continue"/>
            <w:tcBorders>
              <w:top w:val="nil"/>
              <w:left w:val="single" w:color="000000" w:sz="2" w:space="0"/>
              <w:right w:val="single" w:color="000000" w:sz="2" w:space="0"/>
            </w:tcBorders>
            <w:vAlign w:val="top"/>
          </w:tcPr>
          <w:p w14:paraId="129466F4">
            <w:pPr>
              <w:rPr>
                <w:rFonts w:ascii="Arial"/>
                <w:color w:val="auto"/>
                <w:sz w:val="21"/>
                <w:highlight w:val="none"/>
              </w:rPr>
            </w:pPr>
          </w:p>
        </w:tc>
        <w:tc>
          <w:tcPr>
            <w:tcW w:w="707" w:type="dxa"/>
            <w:vMerge w:val="continue"/>
            <w:tcBorders>
              <w:top w:val="nil"/>
              <w:left w:val="single" w:color="000000" w:sz="2" w:space="0"/>
            </w:tcBorders>
            <w:vAlign w:val="top"/>
          </w:tcPr>
          <w:p w14:paraId="0A708F83">
            <w:pPr>
              <w:rPr>
                <w:rFonts w:ascii="Arial"/>
                <w:color w:val="auto"/>
                <w:sz w:val="21"/>
                <w:highlight w:val="none"/>
              </w:rPr>
            </w:pPr>
          </w:p>
        </w:tc>
        <w:tc>
          <w:tcPr>
            <w:tcW w:w="2030" w:type="dxa"/>
            <w:vAlign w:val="top"/>
          </w:tcPr>
          <w:p w14:paraId="3E61F4F8">
            <w:pPr>
              <w:spacing w:line="257" w:lineRule="auto"/>
              <w:rPr>
                <w:rFonts w:ascii="Arial"/>
                <w:color w:val="auto"/>
                <w:sz w:val="21"/>
                <w:highlight w:val="none"/>
              </w:rPr>
            </w:pPr>
          </w:p>
          <w:p w14:paraId="69E01C6E">
            <w:pPr>
              <w:pStyle w:val="11"/>
              <w:spacing w:before="68" w:line="221" w:lineRule="auto"/>
              <w:ind w:left="604"/>
              <w:rPr>
                <w:color w:val="auto"/>
                <w:highlight w:val="none"/>
              </w:rPr>
            </w:pPr>
            <w:r>
              <w:rPr>
                <w:color w:val="auto"/>
                <w:spacing w:val="-2"/>
                <w:highlight w:val="none"/>
              </w:rPr>
              <w:t>定标原则</w:t>
            </w:r>
          </w:p>
        </w:tc>
        <w:tc>
          <w:tcPr>
            <w:tcW w:w="5391" w:type="dxa"/>
            <w:gridSpan w:val="2"/>
            <w:tcBorders>
              <w:right w:val="single" w:color="000000" w:sz="2" w:space="0"/>
            </w:tcBorders>
            <w:vAlign w:val="top"/>
          </w:tcPr>
          <w:p w14:paraId="67CFB9E9">
            <w:pPr>
              <w:pStyle w:val="11"/>
              <w:spacing w:before="52" w:line="227" w:lineRule="auto"/>
              <w:ind w:left="115" w:right="101" w:firstLine="345"/>
              <w:jc w:val="both"/>
              <w:rPr>
                <w:color w:val="auto"/>
                <w:highlight w:val="none"/>
              </w:rPr>
            </w:pPr>
            <w:r>
              <w:rPr>
                <w:color w:val="auto"/>
                <w:spacing w:val="-1"/>
                <w:highlight w:val="none"/>
              </w:rPr>
              <w:t>定标工作由招标人组建的定标委员会负责。招标人应</w:t>
            </w:r>
            <w:r>
              <w:rPr>
                <w:color w:val="auto"/>
                <w:spacing w:val="12"/>
                <w:highlight w:val="none"/>
              </w:rPr>
              <w:t xml:space="preserve"> </w:t>
            </w:r>
            <w:r>
              <w:rPr>
                <w:color w:val="auto"/>
                <w:spacing w:val="5"/>
                <w:highlight w:val="none"/>
              </w:rPr>
              <w:t>当根据招标项目类型、项目具体特点和实现履约需要分</w:t>
            </w:r>
            <w:r>
              <w:rPr>
                <w:color w:val="auto"/>
                <w:highlight w:val="none"/>
              </w:rPr>
              <w:t xml:space="preserve"> </w:t>
            </w:r>
            <w:r>
              <w:rPr>
                <w:color w:val="auto"/>
                <w:spacing w:val="-2"/>
                <w:highlight w:val="none"/>
              </w:rPr>
              <w:t>类确定单一或若干定标因素。</w:t>
            </w:r>
          </w:p>
        </w:tc>
      </w:tr>
      <w:tr w14:paraId="74D4BD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tcBorders>
              <w:left w:val="single" w:color="000000" w:sz="2" w:space="0"/>
            </w:tcBorders>
            <w:vAlign w:val="top"/>
          </w:tcPr>
          <w:p w14:paraId="7FB54640">
            <w:pPr>
              <w:pStyle w:val="11"/>
              <w:spacing w:before="41" w:line="199" w:lineRule="auto"/>
              <w:ind w:left="379"/>
              <w:rPr>
                <w:color w:val="auto"/>
                <w:highlight w:val="none"/>
              </w:rPr>
            </w:pPr>
            <w:r>
              <w:rPr>
                <w:color w:val="auto"/>
                <w:spacing w:val="-2"/>
                <w:highlight w:val="none"/>
                <w14:textOutline w14:w="3831" w14:cap="flat" w14:cmpd="sng">
                  <w14:solidFill>
                    <w14:srgbClr w14:val="000000"/>
                  </w14:solidFill>
                  <w14:prstDash w14:val="solid"/>
                  <w14:miter w14:val="0"/>
                </w14:textOutline>
              </w:rPr>
              <w:t>条款号</w:t>
            </w:r>
          </w:p>
        </w:tc>
        <w:tc>
          <w:tcPr>
            <w:tcW w:w="2030" w:type="dxa"/>
            <w:vAlign w:val="top"/>
          </w:tcPr>
          <w:p w14:paraId="1BCDAB2D">
            <w:pPr>
              <w:pStyle w:val="11"/>
              <w:spacing w:before="41" w:line="199" w:lineRule="auto"/>
              <w:ind w:left="604"/>
              <w:rPr>
                <w:color w:val="auto"/>
                <w:highlight w:val="none"/>
              </w:rPr>
            </w:pPr>
            <w:r>
              <w:rPr>
                <w:color w:val="auto"/>
                <w:spacing w:val="-2"/>
                <w:highlight w:val="none"/>
                <w14:textOutline w14:w="3831" w14:cap="flat" w14:cmpd="sng">
                  <w14:solidFill>
                    <w14:srgbClr w14:val="000000"/>
                  </w14:solidFill>
                  <w14:prstDash w14:val="solid"/>
                  <w14:miter w14:val="0"/>
                </w14:textOutline>
              </w:rPr>
              <w:t>定标因素</w:t>
            </w:r>
          </w:p>
        </w:tc>
        <w:tc>
          <w:tcPr>
            <w:tcW w:w="3827" w:type="dxa"/>
            <w:tcBorders>
              <w:right w:val="single" w:color="000000" w:sz="2" w:space="0"/>
            </w:tcBorders>
            <w:vAlign w:val="top"/>
          </w:tcPr>
          <w:p w14:paraId="6CE548A0">
            <w:pPr>
              <w:pStyle w:val="11"/>
              <w:spacing w:before="41" w:line="199" w:lineRule="auto"/>
              <w:ind w:left="1671"/>
              <w:rPr>
                <w:color w:val="auto"/>
                <w:highlight w:val="none"/>
              </w:rPr>
            </w:pPr>
            <w:r>
              <w:rPr>
                <w:color w:val="auto"/>
                <w:spacing w:val="-2"/>
                <w:highlight w:val="none"/>
                <w14:textOutline w14:w="3831" w14:cap="flat" w14:cmpd="sng">
                  <w14:solidFill>
                    <w14:srgbClr w14:val="000000"/>
                  </w14:solidFill>
                  <w14:prstDash w14:val="solid"/>
                  <w14:miter w14:val="0"/>
                </w14:textOutline>
              </w:rPr>
              <w:t>定标规则</w:t>
            </w:r>
          </w:p>
        </w:tc>
        <w:tc>
          <w:tcPr>
            <w:tcW w:w="1564" w:type="dxa"/>
            <w:tcBorders>
              <w:left w:val="single" w:color="000000" w:sz="2" w:space="0"/>
              <w:right w:val="single" w:color="000000" w:sz="2" w:space="0"/>
            </w:tcBorders>
            <w:vAlign w:val="top"/>
          </w:tcPr>
          <w:p w14:paraId="4D58BBA5">
            <w:pPr>
              <w:pStyle w:val="11"/>
              <w:spacing w:before="41" w:line="199" w:lineRule="auto"/>
              <w:ind w:left="314"/>
              <w:rPr>
                <w:color w:val="auto"/>
                <w:highlight w:val="none"/>
              </w:rPr>
            </w:pPr>
            <w:r>
              <w:rPr>
                <w:color w:val="auto"/>
                <w:spacing w:val="-1"/>
                <w:highlight w:val="none"/>
                <w14:textOutline w14:w="3831" w14:cap="flat" w14:cmpd="sng">
                  <w14:solidFill>
                    <w14:srgbClr w14:val="000000"/>
                  </w14:solidFill>
                  <w14:prstDash w14:val="solid"/>
                  <w14:miter w14:val="0"/>
                </w14:textOutline>
              </w:rPr>
              <w:t>权重（%）</w:t>
            </w:r>
          </w:p>
        </w:tc>
      </w:tr>
      <w:tr w14:paraId="4ED16E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restart"/>
            <w:tcBorders>
              <w:left w:val="single" w:color="000000" w:sz="2" w:space="0"/>
              <w:bottom w:val="nil"/>
            </w:tcBorders>
            <w:vAlign w:val="top"/>
          </w:tcPr>
          <w:p w14:paraId="4A24BE68">
            <w:pPr>
              <w:spacing w:line="252" w:lineRule="auto"/>
              <w:rPr>
                <w:rFonts w:ascii="Arial"/>
                <w:color w:val="auto"/>
                <w:sz w:val="21"/>
                <w:highlight w:val="none"/>
              </w:rPr>
            </w:pPr>
          </w:p>
          <w:p w14:paraId="2757039B">
            <w:pPr>
              <w:spacing w:line="252" w:lineRule="auto"/>
              <w:rPr>
                <w:rFonts w:ascii="Arial"/>
                <w:color w:val="auto"/>
                <w:sz w:val="21"/>
                <w:highlight w:val="none"/>
              </w:rPr>
            </w:pPr>
          </w:p>
          <w:p w14:paraId="6E65F261">
            <w:pPr>
              <w:spacing w:line="253" w:lineRule="auto"/>
              <w:rPr>
                <w:rFonts w:ascii="Arial"/>
                <w:color w:val="auto"/>
                <w:sz w:val="21"/>
                <w:highlight w:val="none"/>
              </w:rPr>
            </w:pPr>
          </w:p>
          <w:p w14:paraId="0D5F6445">
            <w:pPr>
              <w:spacing w:line="253" w:lineRule="auto"/>
              <w:rPr>
                <w:rFonts w:ascii="Arial"/>
                <w:color w:val="auto"/>
                <w:sz w:val="21"/>
                <w:highlight w:val="none"/>
              </w:rPr>
            </w:pPr>
          </w:p>
          <w:p w14:paraId="69BDB7E9">
            <w:pPr>
              <w:spacing w:line="253" w:lineRule="auto"/>
              <w:rPr>
                <w:rFonts w:ascii="Arial"/>
                <w:color w:val="auto"/>
                <w:sz w:val="21"/>
                <w:highlight w:val="none"/>
              </w:rPr>
            </w:pPr>
          </w:p>
          <w:p w14:paraId="5E20C68F">
            <w:pPr>
              <w:spacing w:line="253" w:lineRule="auto"/>
              <w:rPr>
                <w:rFonts w:ascii="Arial"/>
                <w:color w:val="auto"/>
                <w:sz w:val="21"/>
                <w:highlight w:val="none"/>
              </w:rPr>
            </w:pPr>
          </w:p>
          <w:p w14:paraId="51641BB7">
            <w:pPr>
              <w:spacing w:line="253" w:lineRule="auto"/>
              <w:rPr>
                <w:rFonts w:ascii="Arial"/>
                <w:color w:val="auto"/>
                <w:sz w:val="21"/>
                <w:highlight w:val="none"/>
              </w:rPr>
            </w:pPr>
          </w:p>
          <w:p w14:paraId="1C5A84DA">
            <w:pPr>
              <w:spacing w:line="253" w:lineRule="auto"/>
              <w:rPr>
                <w:rFonts w:ascii="Arial"/>
                <w:color w:val="auto"/>
                <w:sz w:val="21"/>
                <w:highlight w:val="none"/>
              </w:rPr>
            </w:pPr>
          </w:p>
          <w:p w14:paraId="2BE56A9E">
            <w:pPr>
              <w:spacing w:line="253" w:lineRule="auto"/>
              <w:rPr>
                <w:rFonts w:ascii="Arial"/>
                <w:color w:val="auto"/>
                <w:sz w:val="21"/>
                <w:highlight w:val="none"/>
              </w:rPr>
            </w:pPr>
          </w:p>
          <w:p w14:paraId="62ECC6F3">
            <w:pPr>
              <w:spacing w:line="253" w:lineRule="auto"/>
              <w:rPr>
                <w:rFonts w:ascii="Arial"/>
                <w:color w:val="auto"/>
                <w:sz w:val="21"/>
                <w:highlight w:val="none"/>
              </w:rPr>
            </w:pPr>
          </w:p>
          <w:p w14:paraId="4C6858F9">
            <w:pPr>
              <w:spacing w:line="253" w:lineRule="auto"/>
              <w:rPr>
                <w:rFonts w:ascii="Arial"/>
                <w:color w:val="auto"/>
                <w:sz w:val="21"/>
                <w:highlight w:val="none"/>
              </w:rPr>
            </w:pPr>
          </w:p>
          <w:p w14:paraId="6D29FA52">
            <w:pPr>
              <w:pStyle w:val="11"/>
              <w:spacing w:before="68" w:line="182" w:lineRule="auto"/>
              <w:ind w:left="539"/>
              <w:rPr>
                <w:color w:val="auto"/>
                <w:highlight w:val="none"/>
              </w:rPr>
            </w:pPr>
            <w:r>
              <w:rPr>
                <w:color w:val="auto"/>
                <w:spacing w:val="-2"/>
                <w:highlight w:val="none"/>
              </w:rPr>
              <w:t>2.2</w:t>
            </w:r>
          </w:p>
        </w:tc>
        <w:tc>
          <w:tcPr>
            <w:tcW w:w="2030" w:type="dxa"/>
            <w:vAlign w:val="top"/>
          </w:tcPr>
          <w:p w14:paraId="187EB9C9">
            <w:pPr>
              <w:pStyle w:val="11"/>
              <w:spacing w:before="41" w:line="199" w:lineRule="auto"/>
              <w:ind w:left="181"/>
              <w:rPr>
                <w:color w:val="auto"/>
                <w:highlight w:val="none"/>
              </w:rPr>
            </w:pPr>
            <w:r>
              <w:rPr>
                <w:color w:val="auto"/>
                <w:spacing w:val="-1"/>
                <w:highlight w:val="none"/>
              </w:rPr>
              <w:t>评标报告审核报告</w:t>
            </w:r>
          </w:p>
        </w:tc>
        <w:tc>
          <w:tcPr>
            <w:tcW w:w="3827" w:type="dxa"/>
            <w:tcBorders>
              <w:right w:val="single" w:color="000000" w:sz="2" w:space="0"/>
            </w:tcBorders>
            <w:vAlign w:val="top"/>
          </w:tcPr>
          <w:p w14:paraId="72E46E2B">
            <w:pPr>
              <w:rPr>
                <w:rFonts w:ascii="Arial"/>
                <w:color w:val="auto"/>
                <w:sz w:val="21"/>
                <w:highlight w:val="none"/>
              </w:rPr>
            </w:pPr>
          </w:p>
        </w:tc>
        <w:tc>
          <w:tcPr>
            <w:tcW w:w="1564" w:type="dxa"/>
            <w:tcBorders>
              <w:left w:val="single" w:color="000000" w:sz="2" w:space="0"/>
              <w:right w:val="single" w:color="000000" w:sz="2" w:space="0"/>
            </w:tcBorders>
            <w:vAlign w:val="top"/>
          </w:tcPr>
          <w:p w14:paraId="08EAB2E9">
            <w:pPr>
              <w:pStyle w:val="11"/>
              <w:spacing w:before="41" w:line="199" w:lineRule="auto"/>
              <w:ind w:left="160"/>
              <w:rPr>
                <w:color w:val="auto"/>
                <w:highlight w:val="none"/>
              </w:rPr>
            </w:pPr>
            <w:r>
              <w:rPr>
                <w:color w:val="auto"/>
                <w:spacing w:val="-1"/>
                <w:highlight w:val="none"/>
                <w14:textOutline w14:w="3831" w14:cap="flat" w14:cmpd="sng">
                  <w14:solidFill>
                    <w14:srgbClr w14:val="000000"/>
                  </w14:solidFill>
                  <w14:prstDash w14:val="solid"/>
                  <w14:miter w14:val="0"/>
                </w14:textOutline>
              </w:rPr>
              <w:t>非必须设定项</w:t>
            </w:r>
          </w:p>
        </w:tc>
      </w:tr>
      <w:tr w14:paraId="442FF3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370" w:type="dxa"/>
            <w:gridSpan w:val="2"/>
            <w:vMerge w:val="continue"/>
            <w:tcBorders>
              <w:top w:val="nil"/>
              <w:left w:val="single" w:color="000000" w:sz="2" w:space="0"/>
              <w:bottom w:val="nil"/>
            </w:tcBorders>
            <w:vAlign w:val="top"/>
          </w:tcPr>
          <w:p w14:paraId="1078DAAA">
            <w:pPr>
              <w:rPr>
                <w:rFonts w:ascii="Arial"/>
                <w:color w:val="auto"/>
                <w:sz w:val="21"/>
                <w:highlight w:val="none"/>
              </w:rPr>
            </w:pPr>
          </w:p>
        </w:tc>
        <w:tc>
          <w:tcPr>
            <w:tcW w:w="2030" w:type="dxa"/>
            <w:vAlign w:val="top"/>
          </w:tcPr>
          <w:p w14:paraId="68AA563C">
            <w:pPr>
              <w:pStyle w:val="11"/>
              <w:spacing w:before="36" w:line="200" w:lineRule="auto"/>
              <w:ind w:left="185"/>
              <w:rPr>
                <w:color w:val="auto"/>
                <w:highlight w:val="none"/>
              </w:rPr>
            </w:pPr>
            <w:r>
              <w:rPr>
                <w:color w:val="auto"/>
                <w:spacing w:val="-1"/>
                <w:highlight w:val="none"/>
              </w:rPr>
              <w:t>履约能力核查报告</w:t>
            </w:r>
          </w:p>
        </w:tc>
        <w:tc>
          <w:tcPr>
            <w:tcW w:w="3827" w:type="dxa"/>
            <w:tcBorders>
              <w:right w:val="single" w:color="000000" w:sz="2" w:space="0"/>
            </w:tcBorders>
            <w:vAlign w:val="top"/>
          </w:tcPr>
          <w:p w14:paraId="5285D6D3">
            <w:pPr>
              <w:rPr>
                <w:rFonts w:ascii="Arial"/>
                <w:color w:val="auto"/>
                <w:sz w:val="21"/>
                <w:highlight w:val="none"/>
              </w:rPr>
            </w:pPr>
          </w:p>
        </w:tc>
        <w:tc>
          <w:tcPr>
            <w:tcW w:w="1564" w:type="dxa"/>
            <w:tcBorders>
              <w:left w:val="single" w:color="000000" w:sz="2" w:space="0"/>
              <w:right w:val="single" w:color="000000" w:sz="2" w:space="0"/>
            </w:tcBorders>
            <w:vAlign w:val="top"/>
          </w:tcPr>
          <w:p w14:paraId="53D6357D">
            <w:pPr>
              <w:rPr>
                <w:rFonts w:ascii="Arial"/>
                <w:color w:val="auto"/>
                <w:sz w:val="21"/>
                <w:highlight w:val="none"/>
              </w:rPr>
            </w:pPr>
          </w:p>
        </w:tc>
      </w:tr>
      <w:tr w14:paraId="3B9E2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4A7038AA">
            <w:pPr>
              <w:rPr>
                <w:rFonts w:ascii="Arial"/>
                <w:color w:val="auto"/>
                <w:sz w:val="21"/>
                <w:highlight w:val="none"/>
              </w:rPr>
            </w:pPr>
          </w:p>
        </w:tc>
        <w:tc>
          <w:tcPr>
            <w:tcW w:w="2030" w:type="dxa"/>
            <w:vAlign w:val="top"/>
          </w:tcPr>
          <w:p w14:paraId="7362B3C8">
            <w:pPr>
              <w:pStyle w:val="11"/>
              <w:spacing w:before="40" w:line="200" w:lineRule="auto"/>
              <w:ind w:left="602"/>
              <w:rPr>
                <w:color w:val="auto"/>
                <w:highlight w:val="none"/>
              </w:rPr>
            </w:pPr>
            <w:r>
              <w:rPr>
                <w:color w:val="auto"/>
                <w:spacing w:val="-2"/>
                <w:highlight w:val="none"/>
              </w:rPr>
              <w:t>投标报价</w:t>
            </w:r>
          </w:p>
        </w:tc>
        <w:tc>
          <w:tcPr>
            <w:tcW w:w="3827" w:type="dxa"/>
            <w:tcBorders>
              <w:right w:val="single" w:color="000000" w:sz="2" w:space="0"/>
            </w:tcBorders>
            <w:vAlign w:val="top"/>
          </w:tcPr>
          <w:p w14:paraId="5DD4319F">
            <w:pPr>
              <w:rPr>
                <w:rFonts w:ascii="Arial"/>
                <w:color w:val="auto"/>
                <w:sz w:val="21"/>
                <w:highlight w:val="none"/>
              </w:rPr>
            </w:pPr>
          </w:p>
        </w:tc>
        <w:tc>
          <w:tcPr>
            <w:tcW w:w="1564" w:type="dxa"/>
            <w:tcBorders>
              <w:left w:val="single" w:color="000000" w:sz="2" w:space="0"/>
              <w:right w:val="single" w:color="000000" w:sz="2" w:space="0"/>
            </w:tcBorders>
            <w:vAlign w:val="top"/>
          </w:tcPr>
          <w:p w14:paraId="23F8F386">
            <w:pPr>
              <w:rPr>
                <w:rFonts w:ascii="Arial"/>
                <w:color w:val="auto"/>
                <w:sz w:val="21"/>
                <w:highlight w:val="none"/>
              </w:rPr>
            </w:pPr>
          </w:p>
        </w:tc>
      </w:tr>
      <w:tr w14:paraId="158E0F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1754AAFC">
            <w:pPr>
              <w:rPr>
                <w:rFonts w:ascii="Arial"/>
                <w:color w:val="auto"/>
                <w:sz w:val="21"/>
                <w:highlight w:val="none"/>
              </w:rPr>
            </w:pPr>
          </w:p>
        </w:tc>
        <w:tc>
          <w:tcPr>
            <w:tcW w:w="2030" w:type="dxa"/>
            <w:vAlign w:val="top"/>
          </w:tcPr>
          <w:p w14:paraId="1E746573">
            <w:pPr>
              <w:pStyle w:val="11"/>
              <w:spacing w:before="40" w:line="200" w:lineRule="auto"/>
              <w:ind w:left="618"/>
              <w:rPr>
                <w:color w:val="auto"/>
                <w:highlight w:val="none"/>
              </w:rPr>
            </w:pPr>
            <w:r>
              <w:rPr>
                <w:color w:val="auto"/>
                <w:spacing w:val="-5"/>
                <w:highlight w:val="none"/>
              </w:rPr>
              <w:t>团队实力</w:t>
            </w:r>
          </w:p>
        </w:tc>
        <w:tc>
          <w:tcPr>
            <w:tcW w:w="3827" w:type="dxa"/>
            <w:tcBorders>
              <w:right w:val="single" w:color="000000" w:sz="2" w:space="0"/>
            </w:tcBorders>
            <w:vAlign w:val="top"/>
          </w:tcPr>
          <w:p w14:paraId="30864E52">
            <w:pPr>
              <w:rPr>
                <w:rFonts w:ascii="Arial"/>
                <w:color w:val="auto"/>
                <w:sz w:val="21"/>
                <w:highlight w:val="none"/>
              </w:rPr>
            </w:pPr>
          </w:p>
        </w:tc>
        <w:tc>
          <w:tcPr>
            <w:tcW w:w="1564" w:type="dxa"/>
            <w:tcBorders>
              <w:left w:val="single" w:color="000000" w:sz="2" w:space="0"/>
              <w:right w:val="single" w:color="000000" w:sz="2" w:space="0"/>
            </w:tcBorders>
            <w:vAlign w:val="top"/>
          </w:tcPr>
          <w:p w14:paraId="1AA04918">
            <w:pPr>
              <w:rPr>
                <w:rFonts w:ascii="Arial"/>
                <w:color w:val="auto"/>
                <w:sz w:val="21"/>
                <w:highlight w:val="none"/>
              </w:rPr>
            </w:pPr>
          </w:p>
        </w:tc>
      </w:tr>
      <w:tr w14:paraId="5286D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370" w:type="dxa"/>
            <w:gridSpan w:val="2"/>
            <w:vMerge w:val="continue"/>
            <w:tcBorders>
              <w:top w:val="nil"/>
              <w:left w:val="single" w:color="000000" w:sz="2" w:space="0"/>
              <w:bottom w:val="nil"/>
            </w:tcBorders>
            <w:vAlign w:val="top"/>
          </w:tcPr>
          <w:p w14:paraId="559CC22C">
            <w:pPr>
              <w:rPr>
                <w:rFonts w:ascii="Arial"/>
                <w:color w:val="auto"/>
                <w:sz w:val="21"/>
                <w:highlight w:val="none"/>
              </w:rPr>
            </w:pPr>
          </w:p>
        </w:tc>
        <w:tc>
          <w:tcPr>
            <w:tcW w:w="2030" w:type="dxa"/>
            <w:vAlign w:val="top"/>
          </w:tcPr>
          <w:p w14:paraId="630EE98D">
            <w:pPr>
              <w:pStyle w:val="11"/>
              <w:spacing w:before="41" w:line="200" w:lineRule="auto"/>
              <w:ind w:left="604"/>
              <w:rPr>
                <w:color w:val="auto"/>
                <w:highlight w:val="none"/>
              </w:rPr>
            </w:pPr>
            <w:r>
              <w:rPr>
                <w:color w:val="auto"/>
                <w:spacing w:val="-2"/>
                <w:highlight w:val="none"/>
              </w:rPr>
              <w:t>实施方案</w:t>
            </w:r>
          </w:p>
        </w:tc>
        <w:tc>
          <w:tcPr>
            <w:tcW w:w="3827" w:type="dxa"/>
            <w:tcBorders>
              <w:right w:val="single" w:color="000000" w:sz="2" w:space="0"/>
            </w:tcBorders>
            <w:vAlign w:val="top"/>
          </w:tcPr>
          <w:p w14:paraId="456D7A30">
            <w:pPr>
              <w:rPr>
                <w:rFonts w:ascii="Arial"/>
                <w:color w:val="auto"/>
                <w:sz w:val="21"/>
                <w:highlight w:val="none"/>
              </w:rPr>
            </w:pPr>
          </w:p>
        </w:tc>
        <w:tc>
          <w:tcPr>
            <w:tcW w:w="1564" w:type="dxa"/>
            <w:tcBorders>
              <w:left w:val="single" w:color="000000" w:sz="2" w:space="0"/>
              <w:right w:val="single" w:color="000000" w:sz="2" w:space="0"/>
            </w:tcBorders>
            <w:vAlign w:val="top"/>
          </w:tcPr>
          <w:p w14:paraId="25161547">
            <w:pPr>
              <w:rPr>
                <w:rFonts w:ascii="Arial"/>
                <w:color w:val="auto"/>
                <w:sz w:val="21"/>
                <w:highlight w:val="none"/>
              </w:rPr>
            </w:pPr>
          </w:p>
        </w:tc>
      </w:tr>
      <w:tr w14:paraId="3337D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8" w:hRule="atLeast"/>
        </w:trPr>
        <w:tc>
          <w:tcPr>
            <w:tcW w:w="1370" w:type="dxa"/>
            <w:gridSpan w:val="2"/>
            <w:vMerge w:val="continue"/>
            <w:tcBorders>
              <w:top w:val="nil"/>
              <w:left w:val="single" w:color="000000" w:sz="2" w:space="0"/>
              <w:bottom w:val="nil"/>
            </w:tcBorders>
            <w:vAlign w:val="top"/>
          </w:tcPr>
          <w:p w14:paraId="0ED703E3">
            <w:pPr>
              <w:rPr>
                <w:rFonts w:ascii="Arial"/>
                <w:color w:val="auto"/>
                <w:sz w:val="21"/>
                <w:highlight w:val="none"/>
              </w:rPr>
            </w:pPr>
          </w:p>
        </w:tc>
        <w:tc>
          <w:tcPr>
            <w:tcW w:w="2030" w:type="dxa"/>
            <w:vAlign w:val="top"/>
          </w:tcPr>
          <w:p w14:paraId="3510B364">
            <w:pPr>
              <w:pStyle w:val="11"/>
              <w:spacing w:before="40" w:line="200" w:lineRule="auto"/>
              <w:ind w:left="182"/>
              <w:rPr>
                <w:color w:val="auto"/>
                <w:highlight w:val="none"/>
              </w:rPr>
            </w:pPr>
            <w:r>
              <w:rPr>
                <w:color w:val="auto"/>
                <w:spacing w:val="-1"/>
                <w:highlight w:val="none"/>
              </w:rPr>
              <w:t>相匹配的履约能力</w:t>
            </w:r>
          </w:p>
        </w:tc>
        <w:tc>
          <w:tcPr>
            <w:tcW w:w="3827" w:type="dxa"/>
            <w:tcBorders>
              <w:right w:val="single" w:color="000000" w:sz="2" w:space="0"/>
            </w:tcBorders>
            <w:vAlign w:val="top"/>
          </w:tcPr>
          <w:p w14:paraId="39173E56">
            <w:pPr>
              <w:rPr>
                <w:rFonts w:ascii="Arial"/>
                <w:color w:val="auto"/>
                <w:sz w:val="21"/>
                <w:highlight w:val="none"/>
              </w:rPr>
            </w:pPr>
          </w:p>
        </w:tc>
        <w:tc>
          <w:tcPr>
            <w:tcW w:w="1564" w:type="dxa"/>
            <w:tcBorders>
              <w:left w:val="single" w:color="000000" w:sz="2" w:space="0"/>
              <w:right w:val="single" w:color="000000" w:sz="2" w:space="0"/>
            </w:tcBorders>
            <w:vAlign w:val="top"/>
          </w:tcPr>
          <w:p w14:paraId="2092F758">
            <w:pPr>
              <w:rPr>
                <w:rFonts w:ascii="Arial"/>
                <w:color w:val="auto"/>
                <w:sz w:val="21"/>
                <w:highlight w:val="none"/>
              </w:rPr>
            </w:pPr>
          </w:p>
        </w:tc>
      </w:tr>
      <w:tr w14:paraId="0FE44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498299C2">
            <w:pPr>
              <w:rPr>
                <w:rFonts w:ascii="Arial"/>
                <w:color w:val="auto"/>
                <w:sz w:val="21"/>
                <w:highlight w:val="none"/>
              </w:rPr>
            </w:pPr>
          </w:p>
        </w:tc>
        <w:tc>
          <w:tcPr>
            <w:tcW w:w="2030" w:type="dxa"/>
            <w:vAlign w:val="top"/>
          </w:tcPr>
          <w:p w14:paraId="1C262D5F">
            <w:pPr>
              <w:pStyle w:val="11"/>
              <w:spacing w:before="40" w:line="200" w:lineRule="auto"/>
              <w:ind w:left="603"/>
              <w:rPr>
                <w:color w:val="auto"/>
                <w:highlight w:val="none"/>
              </w:rPr>
            </w:pPr>
            <w:r>
              <w:rPr>
                <w:color w:val="auto"/>
                <w:spacing w:val="-2"/>
                <w:highlight w:val="none"/>
              </w:rPr>
              <w:t>履约评价</w:t>
            </w:r>
          </w:p>
        </w:tc>
        <w:tc>
          <w:tcPr>
            <w:tcW w:w="3827" w:type="dxa"/>
            <w:tcBorders>
              <w:right w:val="single" w:color="000000" w:sz="2" w:space="0"/>
            </w:tcBorders>
            <w:vAlign w:val="top"/>
          </w:tcPr>
          <w:p w14:paraId="3C3333C2">
            <w:pPr>
              <w:rPr>
                <w:rFonts w:ascii="Arial"/>
                <w:color w:val="auto"/>
                <w:sz w:val="21"/>
                <w:highlight w:val="none"/>
              </w:rPr>
            </w:pPr>
          </w:p>
        </w:tc>
        <w:tc>
          <w:tcPr>
            <w:tcW w:w="1564" w:type="dxa"/>
            <w:tcBorders>
              <w:left w:val="single" w:color="000000" w:sz="2" w:space="0"/>
              <w:right w:val="single" w:color="000000" w:sz="2" w:space="0"/>
            </w:tcBorders>
            <w:vAlign w:val="top"/>
          </w:tcPr>
          <w:p w14:paraId="0327060F">
            <w:pPr>
              <w:rPr>
                <w:rFonts w:ascii="Arial"/>
                <w:color w:val="auto"/>
                <w:sz w:val="21"/>
                <w:highlight w:val="none"/>
              </w:rPr>
            </w:pPr>
          </w:p>
        </w:tc>
      </w:tr>
      <w:tr w14:paraId="3FBB1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32D730FC">
            <w:pPr>
              <w:rPr>
                <w:rFonts w:ascii="Arial"/>
                <w:color w:val="auto"/>
                <w:sz w:val="21"/>
                <w:highlight w:val="none"/>
              </w:rPr>
            </w:pPr>
          </w:p>
        </w:tc>
        <w:tc>
          <w:tcPr>
            <w:tcW w:w="2030" w:type="dxa"/>
            <w:vAlign w:val="top"/>
          </w:tcPr>
          <w:p w14:paraId="21427F06">
            <w:pPr>
              <w:pStyle w:val="11"/>
              <w:spacing w:before="40" w:line="200" w:lineRule="auto"/>
              <w:ind w:left="810"/>
              <w:rPr>
                <w:color w:val="auto"/>
                <w:highlight w:val="none"/>
              </w:rPr>
            </w:pPr>
            <w:r>
              <w:rPr>
                <w:color w:val="auto"/>
                <w:spacing w:val="-2"/>
                <w:highlight w:val="none"/>
              </w:rPr>
              <w:t>信用</w:t>
            </w:r>
          </w:p>
        </w:tc>
        <w:tc>
          <w:tcPr>
            <w:tcW w:w="3827" w:type="dxa"/>
            <w:tcBorders>
              <w:right w:val="single" w:color="000000" w:sz="2" w:space="0"/>
            </w:tcBorders>
            <w:vAlign w:val="top"/>
          </w:tcPr>
          <w:p w14:paraId="31522244">
            <w:pPr>
              <w:rPr>
                <w:rFonts w:ascii="Arial"/>
                <w:color w:val="auto"/>
                <w:sz w:val="21"/>
                <w:highlight w:val="none"/>
              </w:rPr>
            </w:pPr>
          </w:p>
        </w:tc>
        <w:tc>
          <w:tcPr>
            <w:tcW w:w="1564" w:type="dxa"/>
            <w:tcBorders>
              <w:left w:val="single" w:color="000000" w:sz="2" w:space="0"/>
              <w:right w:val="single" w:color="000000" w:sz="2" w:space="0"/>
            </w:tcBorders>
            <w:vAlign w:val="top"/>
          </w:tcPr>
          <w:p w14:paraId="7CDB6D4B">
            <w:pPr>
              <w:rPr>
                <w:rFonts w:ascii="Arial"/>
                <w:color w:val="auto"/>
                <w:sz w:val="21"/>
                <w:highlight w:val="none"/>
              </w:rPr>
            </w:pPr>
          </w:p>
        </w:tc>
      </w:tr>
      <w:tr w14:paraId="114D68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4" w:hRule="atLeast"/>
        </w:trPr>
        <w:tc>
          <w:tcPr>
            <w:tcW w:w="1370" w:type="dxa"/>
            <w:gridSpan w:val="2"/>
            <w:vMerge w:val="continue"/>
            <w:tcBorders>
              <w:top w:val="nil"/>
              <w:left w:val="single" w:color="000000" w:sz="2" w:space="0"/>
              <w:bottom w:val="nil"/>
            </w:tcBorders>
            <w:vAlign w:val="top"/>
          </w:tcPr>
          <w:p w14:paraId="5CD9711E">
            <w:pPr>
              <w:rPr>
                <w:rFonts w:ascii="Arial"/>
                <w:color w:val="auto"/>
                <w:sz w:val="21"/>
                <w:highlight w:val="none"/>
              </w:rPr>
            </w:pPr>
          </w:p>
        </w:tc>
        <w:tc>
          <w:tcPr>
            <w:tcW w:w="2030" w:type="dxa"/>
            <w:vAlign w:val="top"/>
          </w:tcPr>
          <w:p w14:paraId="6F43E971">
            <w:pPr>
              <w:pStyle w:val="11"/>
              <w:spacing w:before="35" w:line="201" w:lineRule="auto"/>
              <w:ind w:left="602"/>
              <w:rPr>
                <w:color w:val="auto"/>
                <w:highlight w:val="none"/>
              </w:rPr>
            </w:pPr>
            <w:r>
              <w:rPr>
                <w:color w:val="auto"/>
                <w:spacing w:val="-2"/>
                <w:highlight w:val="none"/>
              </w:rPr>
              <w:t>综合实力</w:t>
            </w:r>
          </w:p>
        </w:tc>
        <w:tc>
          <w:tcPr>
            <w:tcW w:w="3827" w:type="dxa"/>
            <w:tcBorders>
              <w:right w:val="single" w:color="000000" w:sz="2" w:space="0"/>
            </w:tcBorders>
            <w:vAlign w:val="top"/>
          </w:tcPr>
          <w:p w14:paraId="7339DB60">
            <w:pPr>
              <w:rPr>
                <w:rFonts w:ascii="Arial"/>
                <w:color w:val="auto"/>
                <w:sz w:val="21"/>
                <w:highlight w:val="none"/>
              </w:rPr>
            </w:pPr>
          </w:p>
        </w:tc>
        <w:tc>
          <w:tcPr>
            <w:tcW w:w="1564" w:type="dxa"/>
            <w:tcBorders>
              <w:left w:val="single" w:color="000000" w:sz="2" w:space="0"/>
              <w:right w:val="single" w:color="000000" w:sz="2" w:space="0"/>
            </w:tcBorders>
            <w:vAlign w:val="top"/>
          </w:tcPr>
          <w:p w14:paraId="00A3EEA5">
            <w:pPr>
              <w:rPr>
                <w:rFonts w:ascii="Arial"/>
                <w:color w:val="auto"/>
                <w:sz w:val="21"/>
                <w:highlight w:val="none"/>
              </w:rPr>
            </w:pPr>
          </w:p>
        </w:tc>
      </w:tr>
      <w:tr w14:paraId="64241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8" w:hRule="atLeast"/>
        </w:trPr>
        <w:tc>
          <w:tcPr>
            <w:tcW w:w="1370" w:type="dxa"/>
            <w:gridSpan w:val="2"/>
            <w:vMerge w:val="continue"/>
            <w:tcBorders>
              <w:top w:val="nil"/>
              <w:left w:val="single" w:color="000000" w:sz="2" w:space="0"/>
              <w:bottom w:val="nil"/>
            </w:tcBorders>
            <w:vAlign w:val="top"/>
          </w:tcPr>
          <w:p w14:paraId="321049C5">
            <w:pPr>
              <w:rPr>
                <w:rFonts w:ascii="Arial"/>
                <w:color w:val="auto"/>
                <w:sz w:val="21"/>
                <w:highlight w:val="none"/>
              </w:rPr>
            </w:pPr>
          </w:p>
        </w:tc>
        <w:tc>
          <w:tcPr>
            <w:tcW w:w="2030" w:type="dxa"/>
            <w:vAlign w:val="top"/>
          </w:tcPr>
          <w:p w14:paraId="7D7AE3DA">
            <w:pPr>
              <w:pStyle w:val="11"/>
              <w:spacing w:before="39" w:line="201" w:lineRule="auto"/>
              <w:ind w:left="393"/>
              <w:rPr>
                <w:color w:val="auto"/>
                <w:highlight w:val="none"/>
              </w:rPr>
            </w:pPr>
            <w:r>
              <w:rPr>
                <w:color w:val="auto"/>
                <w:spacing w:val="-1"/>
                <w:highlight w:val="none"/>
              </w:rPr>
              <w:t>产品性能指标</w:t>
            </w:r>
          </w:p>
        </w:tc>
        <w:tc>
          <w:tcPr>
            <w:tcW w:w="3827" w:type="dxa"/>
            <w:tcBorders>
              <w:right w:val="single" w:color="000000" w:sz="2" w:space="0"/>
            </w:tcBorders>
            <w:vAlign w:val="top"/>
          </w:tcPr>
          <w:p w14:paraId="6D2A343D">
            <w:pPr>
              <w:rPr>
                <w:rFonts w:ascii="Arial"/>
                <w:color w:val="auto"/>
                <w:sz w:val="21"/>
                <w:highlight w:val="none"/>
              </w:rPr>
            </w:pPr>
          </w:p>
        </w:tc>
        <w:tc>
          <w:tcPr>
            <w:tcW w:w="1564" w:type="dxa"/>
            <w:tcBorders>
              <w:left w:val="single" w:color="000000" w:sz="2" w:space="0"/>
              <w:right w:val="single" w:color="000000" w:sz="2" w:space="0"/>
            </w:tcBorders>
            <w:vAlign w:val="top"/>
          </w:tcPr>
          <w:p w14:paraId="7BA35CB2">
            <w:pPr>
              <w:rPr>
                <w:rFonts w:ascii="Arial"/>
                <w:color w:val="auto"/>
                <w:sz w:val="21"/>
                <w:highlight w:val="none"/>
              </w:rPr>
            </w:pPr>
          </w:p>
        </w:tc>
      </w:tr>
      <w:tr w14:paraId="5A75A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370" w:type="dxa"/>
            <w:gridSpan w:val="2"/>
            <w:vMerge w:val="continue"/>
            <w:tcBorders>
              <w:top w:val="nil"/>
              <w:left w:val="single" w:color="000000" w:sz="2" w:space="0"/>
              <w:bottom w:val="nil"/>
            </w:tcBorders>
            <w:vAlign w:val="top"/>
          </w:tcPr>
          <w:p w14:paraId="3D54579F">
            <w:pPr>
              <w:rPr>
                <w:rFonts w:ascii="Arial"/>
                <w:color w:val="auto"/>
                <w:sz w:val="21"/>
                <w:highlight w:val="none"/>
              </w:rPr>
            </w:pPr>
          </w:p>
        </w:tc>
        <w:tc>
          <w:tcPr>
            <w:tcW w:w="2030" w:type="dxa"/>
            <w:vAlign w:val="top"/>
          </w:tcPr>
          <w:p w14:paraId="79520B7D">
            <w:pPr>
              <w:pStyle w:val="11"/>
              <w:spacing w:before="39" w:line="202" w:lineRule="auto"/>
              <w:ind w:left="494"/>
              <w:rPr>
                <w:color w:val="auto"/>
                <w:highlight w:val="none"/>
              </w:rPr>
            </w:pPr>
            <w:r>
              <w:rPr>
                <w:color w:val="auto"/>
                <w:spacing w:val="-1"/>
                <w:highlight w:val="none"/>
              </w:rPr>
              <w:t>产品性价比</w:t>
            </w:r>
          </w:p>
        </w:tc>
        <w:tc>
          <w:tcPr>
            <w:tcW w:w="3827" w:type="dxa"/>
            <w:tcBorders>
              <w:right w:val="single" w:color="000000" w:sz="2" w:space="0"/>
            </w:tcBorders>
            <w:vAlign w:val="top"/>
          </w:tcPr>
          <w:p w14:paraId="236B533E">
            <w:pPr>
              <w:rPr>
                <w:rFonts w:ascii="Arial"/>
                <w:color w:val="auto"/>
                <w:sz w:val="21"/>
                <w:highlight w:val="none"/>
              </w:rPr>
            </w:pPr>
          </w:p>
        </w:tc>
        <w:tc>
          <w:tcPr>
            <w:tcW w:w="1564" w:type="dxa"/>
            <w:tcBorders>
              <w:left w:val="single" w:color="000000" w:sz="2" w:space="0"/>
              <w:right w:val="single" w:color="000000" w:sz="2" w:space="0"/>
            </w:tcBorders>
            <w:vAlign w:val="top"/>
          </w:tcPr>
          <w:p w14:paraId="736C3242">
            <w:pPr>
              <w:rPr>
                <w:rFonts w:ascii="Arial"/>
                <w:color w:val="auto"/>
                <w:sz w:val="21"/>
                <w:highlight w:val="none"/>
              </w:rPr>
            </w:pPr>
          </w:p>
        </w:tc>
      </w:tr>
      <w:tr w14:paraId="024CB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0C793EF0">
            <w:pPr>
              <w:rPr>
                <w:rFonts w:ascii="Arial"/>
                <w:color w:val="auto"/>
                <w:sz w:val="21"/>
                <w:highlight w:val="none"/>
              </w:rPr>
            </w:pPr>
          </w:p>
        </w:tc>
        <w:tc>
          <w:tcPr>
            <w:tcW w:w="2030" w:type="dxa"/>
            <w:vAlign w:val="top"/>
          </w:tcPr>
          <w:p w14:paraId="3D3CCD7F">
            <w:pPr>
              <w:pStyle w:val="11"/>
              <w:spacing w:before="39" w:line="201" w:lineRule="auto"/>
              <w:ind w:left="291"/>
              <w:rPr>
                <w:color w:val="auto"/>
                <w:highlight w:val="none"/>
              </w:rPr>
            </w:pPr>
            <w:r>
              <w:rPr>
                <w:color w:val="auto"/>
                <w:spacing w:val="-2"/>
                <w:highlight w:val="none"/>
              </w:rPr>
              <w:t>商务条款响应度</w:t>
            </w:r>
          </w:p>
        </w:tc>
        <w:tc>
          <w:tcPr>
            <w:tcW w:w="3827" w:type="dxa"/>
            <w:tcBorders>
              <w:right w:val="single" w:color="000000" w:sz="2" w:space="0"/>
            </w:tcBorders>
            <w:vAlign w:val="top"/>
          </w:tcPr>
          <w:p w14:paraId="644BF6F6">
            <w:pPr>
              <w:rPr>
                <w:rFonts w:ascii="Arial"/>
                <w:color w:val="auto"/>
                <w:sz w:val="21"/>
                <w:highlight w:val="none"/>
              </w:rPr>
            </w:pPr>
          </w:p>
        </w:tc>
        <w:tc>
          <w:tcPr>
            <w:tcW w:w="1564" w:type="dxa"/>
            <w:tcBorders>
              <w:left w:val="single" w:color="000000" w:sz="2" w:space="0"/>
              <w:right w:val="single" w:color="000000" w:sz="2" w:space="0"/>
            </w:tcBorders>
            <w:vAlign w:val="top"/>
          </w:tcPr>
          <w:p w14:paraId="7A4ED4C2">
            <w:pPr>
              <w:rPr>
                <w:rFonts w:ascii="Arial"/>
                <w:color w:val="auto"/>
                <w:sz w:val="21"/>
                <w:highlight w:val="none"/>
              </w:rPr>
            </w:pPr>
          </w:p>
        </w:tc>
      </w:tr>
      <w:tr w14:paraId="07D56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7BD10EA4">
            <w:pPr>
              <w:rPr>
                <w:rFonts w:ascii="Arial"/>
                <w:color w:val="auto"/>
                <w:sz w:val="21"/>
                <w:highlight w:val="none"/>
              </w:rPr>
            </w:pPr>
          </w:p>
        </w:tc>
        <w:tc>
          <w:tcPr>
            <w:tcW w:w="2030" w:type="dxa"/>
            <w:vAlign w:val="top"/>
          </w:tcPr>
          <w:p w14:paraId="3794AC98">
            <w:pPr>
              <w:pStyle w:val="11"/>
              <w:spacing w:before="39" w:line="201" w:lineRule="auto"/>
              <w:ind w:left="600"/>
              <w:rPr>
                <w:color w:val="auto"/>
                <w:highlight w:val="none"/>
              </w:rPr>
            </w:pPr>
            <w:r>
              <w:rPr>
                <w:color w:val="auto"/>
                <w:spacing w:val="-1"/>
                <w:highlight w:val="none"/>
              </w:rPr>
              <w:t>质保服务</w:t>
            </w:r>
          </w:p>
        </w:tc>
        <w:tc>
          <w:tcPr>
            <w:tcW w:w="3827" w:type="dxa"/>
            <w:tcBorders>
              <w:right w:val="single" w:color="000000" w:sz="2" w:space="0"/>
            </w:tcBorders>
            <w:vAlign w:val="top"/>
          </w:tcPr>
          <w:p w14:paraId="00087C17">
            <w:pPr>
              <w:rPr>
                <w:rFonts w:ascii="Arial"/>
                <w:color w:val="auto"/>
                <w:sz w:val="21"/>
                <w:highlight w:val="none"/>
              </w:rPr>
            </w:pPr>
          </w:p>
        </w:tc>
        <w:tc>
          <w:tcPr>
            <w:tcW w:w="1564" w:type="dxa"/>
            <w:tcBorders>
              <w:left w:val="single" w:color="000000" w:sz="2" w:space="0"/>
              <w:right w:val="single" w:color="000000" w:sz="2" w:space="0"/>
            </w:tcBorders>
            <w:vAlign w:val="top"/>
          </w:tcPr>
          <w:p w14:paraId="54012429">
            <w:pPr>
              <w:rPr>
                <w:rFonts w:ascii="Arial"/>
                <w:color w:val="auto"/>
                <w:sz w:val="21"/>
                <w:highlight w:val="none"/>
              </w:rPr>
            </w:pPr>
          </w:p>
        </w:tc>
      </w:tr>
      <w:tr w14:paraId="5BCD9B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370" w:type="dxa"/>
            <w:gridSpan w:val="2"/>
            <w:vMerge w:val="continue"/>
            <w:tcBorders>
              <w:top w:val="nil"/>
              <w:left w:val="single" w:color="000000" w:sz="2" w:space="0"/>
              <w:bottom w:val="nil"/>
            </w:tcBorders>
            <w:vAlign w:val="top"/>
          </w:tcPr>
          <w:p w14:paraId="24EFDB21">
            <w:pPr>
              <w:rPr>
                <w:rFonts w:ascii="Arial"/>
                <w:color w:val="auto"/>
                <w:sz w:val="21"/>
                <w:highlight w:val="none"/>
              </w:rPr>
            </w:pPr>
          </w:p>
        </w:tc>
        <w:tc>
          <w:tcPr>
            <w:tcW w:w="2030" w:type="dxa"/>
            <w:vAlign w:val="top"/>
          </w:tcPr>
          <w:p w14:paraId="3549D8F9">
            <w:pPr>
              <w:pStyle w:val="11"/>
              <w:spacing w:before="39" w:line="221" w:lineRule="auto"/>
              <w:ind w:left="812" w:right="161" w:hanging="630"/>
              <w:rPr>
                <w:color w:val="auto"/>
                <w:highlight w:val="none"/>
              </w:rPr>
            </w:pPr>
            <w:r>
              <w:rPr>
                <w:color w:val="auto"/>
                <w:spacing w:val="-1"/>
                <w:highlight w:val="none"/>
              </w:rPr>
              <w:t>科技创新（四新技</w:t>
            </w:r>
            <w:r>
              <w:rPr>
                <w:color w:val="auto"/>
                <w:spacing w:val="3"/>
                <w:highlight w:val="none"/>
              </w:rPr>
              <w:t xml:space="preserve"> </w:t>
            </w:r>
            <w:r>
              <w:rPr>
                <w:color w:val="auto"/>
                <w:spacing w:val="-6"/>
                <w:highlight w:val="none"/>
              </w:rPr>
              <w:t>术）</w:t>
            </w:r>
          </w:p>
        </w:tc>
        <w:tc>
          <w:tcPr>
            <w:tcW w:w="3827" w:type="dxa"/>
            <w:tcBorders>
              <w:right w:val="single" w:color="000000" w:sz="2" w:space="0"/>
            </w:tcBorders>
            <w:vAlign w:val="top"/>
          </w:tcPr>
          <w:p w14:paraId="3AB38B85">
            <w:pPr>
              <w:rPr>
                <w:rFonts w:ascii="Arial"/>
                <w:color w:val="auto"/>
                <w:sz w:val="21"/>
                <w:highlight w:val="none"/>
              </w:rPr>
            </w:pPr>
          </w:p>
        </w:tc>
        <w:tc>
          <w:tcPr>
            <w:tcW w:w="1564" w:type="dxa"/>
            <w:tcBorders>
              <w:left w:val="single" w:color="000000" w:sz="2" w:space="0"/>
              <w:right w:val="single" w:color="000000" w:sz="2" w:space="0"/>
            </w:tcBorders>
            <w:vAlign w:val="top"/>
          </w:tcPr>
          <w:p w14:paraId="2F0FDF4B">
            <w:pPr>
              <w:rPr>
                <w:rFonts w:ascii="Arial"/>
                <w:color w:val="auto"/>
                <w:sz w:val="21"/>
                <w:highlight w:val="none"/>
              </w:rPr>
            </w:pPr>
          </w:p>
        </w:tc>
      </w:tr>
      <w:tr w14:paraId="25531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370" w:type="dxa"/>
            <w:gridSpan w:val="2"/>
            <w:vMerge w:val="continue"/>
            <w:tcBorders>
              <w:top w:val="nil"/>
              <w:left w:val="single" w:color="000000" w:sz="2" w:space="0"/>
              <w:bottom w:val="nil"/>
            </w:tcBorders>
            <w:vAlign w:val="top"/>
          </w:tcPr>
          <w:p w14:paraId="303F307F">
            <w:pPr>
              <w:rPr>
                <w:rFonts w:ascii="Arial"/>
                <w:color w:val="auto"/>
                <w:sz w:val="21"/>
                <w:highlight w:val="none"/>
              </w:rPr>
            </w:pPr>
          </w:p>
        </w:tc>
        <w:tc>
          <w:tcPr>
            <w:tcW w:w="2030" w:type="dxa"/>
            <w:vAlign w:val="top"/>
          </w:tcPr>
          <w:p w14:paraId="43A1E85E">
            <w:pPr>
              <w:pStyle w:val="11"/>
              <w:spacing w:before="34" w:line="202" w:lineRule="auto"/>
              <w:ind w:left="601"/>
              <w:rPr>
                <w:color w:val="auto"/>
                <w:highlight w:val="none"/>
              </w:rPr>
            </w:pPr>
            <w:r>
              <w:rPr>
                <w:color w:val="auto"/>
                <w:spacing w:val="-1"/>
                <w:highlight w:val="none"/>
              </w:rPr>
              <w:t>绿色低碳</w:t>
            </w:r>
          </w:p>
        </w:tc>
        <w:tc>
          <w:tcPr>
            <w:tcW w:w="3827" w:type="dxa"/>
            <w:tcBorders>
              <w:right w:val="single" w:color="000000" w:sz="2" w:space="0"/>
            </w:tcBorders>
            <w:vAlign w:val="top"/>
          </w:tcPr>
          <w:p w14:paraId="6B12051D">
            <w:pPr>
              <w:rPr>
                <w:rFonts w:ascii="Arial"/>
                <w:color w:val="auto"/>
                <w:sz w:val="21"/>
                <w:highlight w:val="none"/>
              </w:rPr>
            </w:pPr>
          </w:p>
        </w:tc>
        <w:tc>
          <w:tcPr>
            <w:tcW w:w="1564" w:type="dxa"/>
            <w:tcBorders>
              <w:left w:val="single" w:color="000000" w:sz="2" w:space="0"/>
              <w:right w:val="single" w:color="000000" w:sz="2" w:space="0"/>
            </w:tcBorders>
            <w:vAlign w:val="top"/>
          </w:tcPr>
          <w:p w14:paraId="368E7989">
            <w:pPr>
              <w:rPr>
                <w:rFonts w:ascii="Arial"/>
                <w:color w:val="auto"/>
                <w:sz w:val="21"/>
                <w:highlight w:val="none"/>
              </w:rPr>
            </w:pPr>
          </w:p>
        </w:tc>
      </w:tr>
      <w:tr w14:paraId="00CA6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370" w:type="dxa"/>
            <w:gridSpan w:val="2"/>
            <w:vMerge w:val="continue"/>
            <w:tcBorders>
              <w:top w:val="nil"/>
              <w:left w:val="single" w:color="000000" w:sz="2" w:space="0"/>
              <w:bottom w:val="nil"/>
            </w:tcBorders>
            <w:vAlign w:val="top"/>
          </w:tcPr>
          <w:p w14:paraId="5968D9ED">
            <w:pPr>
              <w:rPr>
                <w:rFonts w:ascii="Arial"/>
                <w:color w:val="auto"/>
                <w:sz w:val="21"/>
                <w:highlight w:val="none"/>
              </w:rPr>
            </w:pPr>
          </w:p>
        </w:tc>
        <w:tc>
          <w:tcPr>
            <w:tcW w:w="2030" w:type="dxa"/>
            <w:vAlign w:val="top"/>
          </w:tcPr>
          <w:p w14:paraId="014DE0B6">
            <w:pPr>
              <w:pStyle w:val="11"/>
              <w:spacing w:before="38" w:line="203" w:lineRule="auto"/>
              <w:ind w:left="604"/>
              <w:rPr>
                <w:color w:val="auto"/>
                <w:highlight w:val="none"/>
              </w:rPr>
            </w:pPr>
            <w:r>
              <w:rPr>
                <w:color w:val="auto"/>
                <w:spacing w:val="-2"/>
                <w:highlight w:val="none"/>
              </w:rPr>
              <w:t>智能建造</w:t>
            </w:r>
          </w:p>
        </w:tc>
        <w:tc>
          <w:tcPr>
            <w:tcW w:w="3827" w:type="dxa"/>
            <w:tcBorders>
              <w:right w:val="single" w:color="000000" w:sz="2" w:space="0"/>
            </w:tcBorders>
            <w:vAlign w:val="top"/>
          </w:tcPr>
          <w:p w14:paraId="0E98A222">
            <w:pPr>
              <w:rPr>
                <w:rFonts w:ascii="Arial"/>
                <w:color w:val="auto"/>
                <w:sz w:val="21"/>
                <w:highlight w:val="none"/>
              </w:rPr>
            </w:pPr>
          </w:p>
        </w:tc>
        <w:tc>
          <w:tcPr>
            <w:tcW w:w="1564" w:type="dxa"/>
            <w:tcBorders>
              <w:left w:val="single" w:color="000000" w:sz="2" w:space="0"/>
              <w:right w:val="single" w:color="000000" w:sz="2" w:space="0"/>
            </w:tcBorders>
            <w:vAlign w:val="top"/>
          </w:tcPr>
          <w:p w14:paraId="4B667E52">
            <w:pPr>
              <w:rPr>
                <w:rFonts w:ascii="Arial"/>
                <w:color w:val="auto"/>
                <w:sz w:val="21"/>
                <w:highlight w:val="none"/>
              </w:rPr>
            </w:pPr>
          </w:p>
        </w:tc>
      </w:tr>
      <w:tr w14:paraId="3DDB8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370" w:type="dxa"/>
            <w:gridSpan w:val="2"/>
            <w:vMerge w:val="continue"/>
            <w:tcBorders>
              <w:top w:val="nil"/>
              <w:left w:val="single" w:color="000000" w:sz="2" w:space="0"/>
              <w:bottom w:val="nil"/>
            </w:tcBorders>
            <w:vAlign w:val="top"/>
          </w:tcPr>
          <w:p w14:paraId="762E9C8F">
            <w:pPr>
              <w:rPr>
                <w:rFonts w:ascii="Arial"/>
                <w:color w:val="auto"/>
                <w:sz w:val="21"/>
                <w:highlight w:val="none"/>
              </w:rPr>
            </w:pPr>
          </w:p>
        </w:tc>
        <w:tc>
          <w:tcPr>
            <w:tcW w:w="2030" w:type="dxa"/>
            <w:vAlign w:val="top"/>
          </w:tcPr>
          <w:p w14:paraId="455B8445">
            <w:pPr>
              <w:pStyle w:val="11"/>
              <w:spacing w:before="36" w:line="222" w:lineRule="auto"/>
              <w:ind w:left="391" w:right="161" w:hanging="207"/>
              <w:rPr>
                <w:color w:val="auto"/>
                <w:highlight w:val="none"/>
              </w:rPr>
            </w:pPr>
            <w:r>
              <w:rPr>
                <w:color w:val="auto"/>
                <w:spacing w:val="-1"/>
                <w:highlight w:val="none"/>
              </w:rPr>
              <w:t>大型企业与中小企</w:t>
            </w:r>
            <w:r>
              <w:rPr>
                <w:color w:val="auto"/>
                <w:highlight w:val="none"/>
              </w:rPr>
              <w:t xml:space="preserve"> </w:t>
            </w:r>
            <w:r>
              <w:rPr>
                <w:color w:val="auto"/>
                <w:spacing w:val="-1"/>
                <w:highlight w:val="none"/>
              </w:rPr>
              <w:t>业组成联合体</w:t>
            </w:r>
          </w:p>
        </w:tc>
        <w:tc>
          <w:tcPr>
            <w:tcW w:w="3827" w:type="dxa"/>
            <w:tcBorders>
              <w:right w:val="single" w:color="000000" w:sz="2" w:space="0"/>
            </w:tcBorders>
            <w:vAlign w:val="top"/>
          </w:tcPr>
          <w:p w14:paraId="0492831B">
            <w:pPr>
              <w:rPr>
                <w:rFonts w:ascii="Arial"/>
                <w:color w:val="auto"/>
                <w:sz w:val="21"/>
                <w:highlight w:val="none"/>
              </w:rPr>
            </w:pPr>
          </w:p>
        </w:tc>
        <w:tc>
          <w:tcPr>
            <w:tcW w:w="1564" w:type="dxa"/>
            <w:tcBorders>
              <w:left w:val="single" w:color="000000" w:sz="2" w:space="0"/>
              <w:right w:val="single" w:color="000000" w:sz="2" w:space="0"/>
            </w:tcBorders>
            <w:vAlign w:val="top"/>
          </w:tcPr>
          <w:p w14:paraId="5258E200">
            <w:pPr>
              <w:rPr>
                <w:rFonts w:ascii="Arial"/>
                <w:color w:val="auto"/>
                <w:sz w:val="21"/>
                <w:highlight w:val="none"/>
              </w:rPr>
            </w:pPr>
          </w:p>
        </w:tc>
      </w:tr>
      <w:tr w14:paraId="22CAF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1370" w:type="dxa"/>
            <w:gridSpan w:val="2"/>
            <w:vMerge w:val="continue"/>
            <w:tcBorders>
              <w:top w:val="nil"/>
              <w:left w:val="single" w:color="000000" w:sz="2" w:space="0"/>
            </w:tcBorders>
            <w:vAlign w:val="top"/>
          </w:tcPr>
          <w:p w14:paraId="72015FAB">
            <w:pPr>
              <w:rPr>
                <w:rFonts w:ascii="Arial"/>
                <w:color w:val="auto"/>
                <w:sz w:val="21"/>
                <w:highlight w:val="none"/>
              </w:rPr>
            </w:pPr>
          </w:p>
        </w:tc>
        <w:tc>
          <w:tcPr>
            <w:tcW w:w="2030" w:type="dxa"/>
            <w:vAlign w:val="top"/>
          </w:tcPr>
          <w:p w14:paraId="3642D901">
            <w:pPr>
              <w:pStyle w:val="11"/>
              <w:spacing w:before="161" w:line="221" w:lineRule="auto"/>
              <w:ind w:left="824"/>
              <w:rPr>
                <w:color w:val="auto"/>
                <w:highlight w:val="none"/>
              </w:rPr>
            </w:pPr>
            <w:r>
              <w:rPr>
                <w:color w:val="auto"/>
                <w:spacing w:val="-5"/>
                <w:highlight w:val="none"/>
              </w:rPr>
              <w:t>……</w:t>
            </w:r>
          </w:p>
        </w:tc>
        <w:tc>
          <w:tcPr>
            <w:tcW w:w="3827" w:type="dxa"/>
            <w:tcBorders>
              <w:right w:val="single" w:color="000000" w:sz="2" w:space="0"/>
            </w:tcBorders>
            <w:vAlign w:val="top"/>
          </w:tcPr>
          <w:p w14:paraId="4A079EA4">
            <w:pPr>
              <w:rPr>
                <w:rFonts w:ascii="Arial"/>
                <w:color w:val="auto"/>
                <w:sz w:val="21"/>
                <w:highlight w:val="none"/>
              </w:rPr>
            </w:pPr>
          </w:p>
        </w:tc>
        <w:tc>
          <w:tcPr>
            <w:tcW w:w="1564" w:type="dxa"/>
            <w:tcBorders>
              <w:left w:val="single" w:color="000000" w:sz="2" w:space="0"/>
              <w:right w:val="single" w:color="000000" w:sz="2" w:space="0"/>
            </w:tcBorders>
            <w:vAlign w:val="top"/>
          </w:tcPr>
          <w:p w14:paraId="51448FFA">
            <w:pPr>
              <w:rPr>
                <w:rFonts w:ascii="Arial"/>
                <w:color w:val="auto"/>
                <w:sz w:val="21"/>
                <w:highlight w:val="none"/>
              </w:rPr>
            </w:pPr>
          </w:p>
        </w:tc>
      </w:tr>
      <w:tr w14:paraId="558EE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8" w:hRule="atLeast"/>
        </w:trPr>
        <w:tc>
          <w:tcPr>
            <w:tcW w:w="1370" w:type="dxa"/>
            <w:gridSpan w:val="2"/>
            <w:tcBorders>
              <w:left w:val="single" w:color="000000" w:sz="2" w:space="0"/>
            </w:tcBorders>
            <w:vAlign w:val="top"/>
          </w:tcPr>
          <w:p w14:paraId="1CCAE44F">
            <w:pPr>
              <w:pStyle w:val="11"/>
              <w:spacing w:before="35" w:line="204" w:lineRule="auto"/>
              <w:ind w:left="379"/>
              <w:rPr>
                <w:color w:val="auto"/>
                <w:highlight w:val="none"/>
              </w:rPr>
            </w:pPr>
            <w:r>
              <w:rPr>
                <w:color w:val="auto"/>
                <w:spacing w:val="-2"/>
                <w:highlight w:val="none"/>
                <w14:textOutline w14:w="3831" w14:cap="flat" w14:cmpd="sng">
                  <w14:solidFill>
                    <w14:srgbClr w14:val="000000"/>
                  </w14:solidFill>
                  <w14:prstDash w14:val="solid"/>
                  <w14:miter w14:val="0"/>
                </w14:textOutline>
              </w:rPr>
              <w:t>条款号</w:t>
            </w:r>
          </w:p>
        </w:tc>
        <w:tc>
          <w:tcPr>
            <w:tcW w:w="2030" w:type="dxa"/>
            <w:vAlign w:val="top"/>
          </w:tcPr>
          <w:p w14:paraId="52DA71F7">
            <w:pPr>
              <w:pStyle w:val="11"/>
              <w:spacing w:before="35" w:line="204" w:lineRule="auto"/>
              <w:ind w:left="601"/>
              <w:rPr>
                <w:color w:val="auto"/>
                <w:highlight w:val="none"/>
              </w:rPr>
            </w:pPr>
            <w:r>
              <w:rPr>
                <w:color w:val="auto"/>
                <w:spacing w:val="-1"/>
                <w:highlight w:val="none"/>
                <w14:textOutline w14:w="3831" w14:cap="flat" w14:cmpd="sng">
                  <w14:solidFill>
                    <w14:srgbClr w14:val="000000"/>
                  </w14:solidFill>
                  <w14:prstDash w14:val="solid"/>
                  <w14:miter w14:val="0"/>
                </w14:textOutline>
              </w:rPr>
              <w:t>条款内容</w:t>
            </w:r>
          </w:p>
        </w:tc>
        <w:tc>
          <w:tcPr>
            <w:tcW w:w="5391" w:type="dxa"/>
            <w:gridSpan w:val="2"/>
            <w:tcBorders>
              <w:right w:val="single" w:color="000000" w:sz="2" w:space="0"/>
            </w:tcBorders>
            <w:vAlign w:val="top"/>
          </w:tcPr>
          <w:p w14:paraId="0ADD52C1">
            <w:pPr>
              <w:pStyle w:val="11"/>
              <w:spacing w:before="35" w:line="204" w:lineRule="auto"/>
              <w:ind w:left="2451"/>
              <w:rPr>
                <w:color w:val="auto"/>
                <w:highlight w:val="none"/>
              </w:rPr>
            </w:pPr>
            <w:r>
              <w:rPr>
                <w:color w:val="auto"/>
                <w:spacing w:val="-1"/>
                <w:highlight w:val="none"/>
                <w14:textOutline w14:w="3831" w14:cap="flat" w14:cmpd="sng">
                  <w14:solidFill>
                    <w14:srgbClr w14:val="000000"/>
                  </w14:solidFill>
                  <w14:prstDash w14:val="solid"/>
                  <w14:miter w14:val="0"/>
                </w14:textOutline>
              </w:rPr>
              <w:t>编列内容</w:t>
            </w:r>
          </w:p>
        </w:tc>
      </w:tr>
      <w:tr w14:paraId="6CFE1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6" w:hRule="atLeast"/>
        </w:trPr>
        <w:tc>
          <w:tcPr>
            <w:tcW w:w="1370" w:type="dxa"/>
            <w:gridSpan w:val="2"/>
            <w:tcBorders>
              <w:left w:val="single" w:color="000000" w:sz="2" w:space="0"/>
              <w:bottom w:val="single" w:color="000000" w:sz="2" w:space="0"/>
            </w:tcBorders>
            <w:vAlign w:val="top"/>
          </w:tcPr>
          <w:p w14:paraId="67897EB0">
            <w:pPr>
              <w:spacing w:line="261" w:lineRule="auto"/>
              <w:rPr>
                <w:rFonts w:ascii="Arial"/>
                <w:color w:val="auto"/>
                <w:sz w:val="21"/>
                <w:highlight w:val="none"/>
              </w:rPr>
            </w:pPr>
          </w:p>
          <w:p w14:paraId="7A9EF3BE">
            <w:pPr>
              <w:spacing w:line="261" w:lineRule="auto"/>
              <w:rPr>
                <w:rFonts w:ascii="Arial"/>
                <w:color w:val="auto"/>
                <w:sz w:val="21"/>
                <w:highlight w:val="none"/>
              </w:rPr>
            </w:pPr>
          </w:p>
          <w:p w14:paraId="2CEE5C8B">
            <w:pPr>
              <w:spacing w:line="261" w:lineRule="auto"/>
              <w:rPr>
                <w:rFonts w:ascii="Arial"/>
                <w:color w:val="auto"/>
                <w:sz w:val="21"/>
                <w:highlight w:val="none"/>
              </w:rPr>
            </w:pPr>
          </w:p>
          <w:p w14:paraId="76608091">
            <w:pPr>
              <w:spacing w:line="261" w:lineRule="auto"/>
              <w:rPr>
                <w:rFonts w:ascii="Arial"/>
                <w:color w:val="auto"/>
                <w:sz w:val="21"/>
                <w:highlight w:val="none"/>
              </w:rPr>
            </w:pPr>
          </w:p>
          <w:p w14:paraId="6EE78C42">
            <w:pPr>
              <w:spacing w:line="262" w:lineRule="auto"/>
              <w:rPr>
                <w:rFonts w:ascii="Arial"/>
                <w:color w:val="auto"/>
                <w:sz w:val="21"/>
                <w:highlight w:val="none"/>
              </w:rPr>
            </w:pPr>
          </w:p>
          <w:p w14:paraId="2FD8CD6B">
            <w:pPr>
              <w:spacing w:line="262" w:lineRule="auto"/>
              <w:rPr>
                <w:rFonts w:ascii="Arial"/>
                <w:color w:val="auto"/>
                <w:sz w:val="21"/>
                <w:highlight w:val="none"/>
              </w:rPr>
            </w:pPr>
          </w:p>
          <w:p w14:paraId="7DB9DA7C">
            <w:pPr>
              <w:spacing w:line="262" w:lineRule="auto"/>
              <w:rPr>
                <w:rFonts w:ascii="Arial"/>
                <w:color w:val="auto"/>
                <w:sz w:val="21"/>
                <w:highlight w:val="none"/>
              </w:rPr>
            </w:pPr>
          </w:p>
          <w:p w14:paraId="5FC3117A">
            <w:pPr>
              <w:pStyle w:val="11"/>
              <w:spacing w:before="69" w:line="182" w:lineRule="auto"/>
              <w:ind w:left="539"/>
              <w:rPr>
                <w:color w:val="auto"/>
                <w:highlight w:val="none"/>
              </w:rPr>
            </w:pPr>
            <w:r>
              <w:rPr>
                <w:color w:val="auto"/>
                <w:spacing w:val="-2"/>
                <w:highlight w:val="none"/>
              </w:rPr>
              <w:t>2.3</w:t>
            </w:r>
          </w:p>
        </w:tc>
        <w:tc>
          <w:tcPr>
            <w:tcW w:w="2030" w:type="dxa"/>
            <w:tcBorders>
              <w:bottom w:val="single" w:color="000000" w:sz="2" w:space="0"/>
            </w:tcBorders>
            <w:vAlign w:val="top"/>
          </w:tcPr>
          <w:p w14:paraId="76B4BF16">
            <w:pPr>
              <w:spacing w:line="256" w:lineRule="auto"/>
              <w:rPr>
                <w:rFonts w:ascii="Arial"/>
                <w:color w:val="auto"/>
                <w:sz w:val="21"/>
                <w:highlight w:val="none"/>
              </w:rPr>
            </w:pPr>
          </w:p>
          <w:p w14:paraId="7C63D2BD">
            <w:pPr>
              <w:spacing w:line="256" w:lineRule="auto"/>
              <w:rPr>
                <w:rFonts w:ascii="Arial"/>
                <w:color w:val="auto"/>
                <w:sz w:val="21"/>
                <w:highlight w:val="none"/>
              </w:rPr>
            </w:pPr>
          </w:p>
          <w:p w14:paraId="1EBFEF87">
            <w:pPr>
              <w:spacing w:line="256" w:lineRule="auto"/>
              <w:rPr>
                <w:rFonts w:ascii="Arial"/>
                <w:color w:val="auto"/>
                <w:sz w:val="21"/>
                <w:highlight w:val="none"/>
              </w:rPr>
            </w:pPr>
          </w:p>
          <w:p w14:paraId="0418C03C">
            <w:pPr>
              <w:spacing w:line="256" w:lineRule="auto"/>
              <w:rPr>
                <w:rFonts w:ascii="Arial"/>
                <w:color w:val="auto"/>
                <w:sz w:val="21"/>
                <w:highlight w:val="none"/>
              </w:rPr>
            </w:pPr>
          </w:p>
          <w:p w14:paraId="27444484">
            <w:pPr>
              <w:spacing w:line="257" w:lineRule="auto"/>
              <w:rPr>
                <w:rFonts w:ascii="Arial"/>
                <w:color w:val="auto"/>
                <w:sz w:val="21"/>
                <w:highlight w:val="none"/>
              </w:rPr>
            </w:pPr>
          </w:p>
          <w:p w14:paraId="215BB564">
            <w:pPr>
              <w:spacing w:line="257" w:lineRule="auto"/>
              <w:rPr>
                <w:rFonts w:ascii="Arial"/>
                <w:color w:val="auto"/>
                <w:sz w:val="21"/>
                <w:highlight w:val="none"/>
              </w:rPr>
            </w:pPr>
          </w:p>
          <w:p w14:paraId="31E6B973">
            <w:pPr>
              <w:spacing w:line="257" w:lineRule="auto"/>
              <w:rPr>
                <w:rFonts w:ascii="Arial"/>
                <w:color w:val="auto"/>
                <w:sz w:val="21"/>
                <w:highlight w:val="none"/>
              </w:rPr>
            </w:pPr>
          </w:p>
          <w:p w14:paraId="3C8EE7FD">
            <w:pPr>
              <w:pStyle w:val="11"/>
              <w:spacing w:before="68" w:line="221" w:lineRule="auto"/>
              <w:ind w:left="604"/>
              <w:rPr>
                <w:color w:val="auto"/>
                <w:highlight w:val="none"/>
              </w:rPr>
            </w:pPr>
            <w:r>
              <w:rPr>
                <w:color w:val="auto"/>
                <w:spacing w:val="-2"/>
                <w:highlight w:val="none"/>
              </w:rPr>
              <w:t>定标办法</w:t>
            </w:r>
          </w:p>
        </w:tc>
        <w:tc>
          <w:tcPr>
            <w:tcW w:w="5391" w:type="dxa"/>
            <w:gridSpan w:val="2"/>
            <w:tcBorders>
              <w:bottom w:val="single" w:color="000000" w:sz="2" w:space="0"/>
              <w:right w:val="single" w:color="000000" w:sz="2" w:space="0"/>
            </w:tcBorders>
            <w:vAlign w:val="top"/>
          </w:tcPr>
          <w:p w14:paraId="3E11CCFB">
            <w:pPr>
              <w:pStyle w:val="11"/>
              <w:spacing w:before="126" w:line="221" w:lineRule="auto"/>
              <w:ind w:left="137"/>
              <w:rPr>
                <w:color w:val="auto"/>
                <w:highlight w:val="none"/>
              </w:rPr>
            </w:pPr>
            <w:r>
              <w:rPr>
                <w:color w:val="auto"/>
                <w:spacing w:val="-4"/>
                <w:highlight w:val="none"/>
                <w14:textOutline w14:w="3831" w14:cap="flat" w14:cmpd="sng">
                  <w14:solidFill>
                    <w14:srgbClr w14:val="000000"/>
                  </w14:solidFill>
                  <w14:prstDash w14:val="solid"/>
                  <w14:miter w14:val="0"/>
                </w14:textOutline>
              </w:rPr>
              <w:t>□集中票决法</w:t>
            </w:r>
          </w:p>
          <w:p w14:paraId="7D13A225">
            <w:pPr>
              <w:pStyle w:val="11"/>
              <w:spacing w:before="133" w:line="221" w:lineRule="auto"/>
              <w:ind w:left="559"/>
              <w:rPr>
                <w:color w:val="auto"/>
                <w:highlight w:val="none"/>
              </w:rPr>
            </w:pPr>
            <w:r>
              <w:rPr>
                <w:color w:val="auto"/>
                <w:spacing w:val="-4"/>
                <w:highlight w:val="none"/>
              </w:rPr>
              <w:t>□直接票决定标法</w:t>
            </w:r>
          </w:p>
          <w:p w14:paraId="0BD877C8">
            <w:pPr>
              <w:pStyle w:val="11"/>
              <w:spacing w:before="127" w:line="221" w:lineRule="auto"/>
              <w:ind w:left="559"/>
              <w:rPr>
                <w:color w:val="auto"/>
                <w:highlight w:val="none"/>
              </w:rPr>
            </w:pPr>
            <w:r>
              <w:rPr>
                <w:color w:val="auto"/>
                <w:spacing w:val="-4"/>
                <w:highlight w:val="none"/>
              </w:rPr>
              <w:t>□逐轮票决定标法</w:t>
            </w:r>
          </w:p>
          <w:p w14:paraId="684BD5C0">
            <w:pPr>
              <w:pStyle w:val="11"/>
              <w:spacing w:before="128" w:line="219" w:lineRule="auto"/>
              <w:ind w:left="559"/>
              <w:rPr>
                <w:color w:val="auto"/>
                <w:highlight w:val="none"/>
              </w:rPr>
            </w:pPr>
            <w:r>
              <w:rPr>
                <w:color w:val="auto"/>
                <w:spacing w:val="-4"/>
                <w:highlight w:val="none"/>
              </w:rPr>
              <w:t>□票决低价定标法</w:t>
            </w:r>
          </w:p>
          <w:p w14:paraId="4796D5BD">
            <w:pPr>
              <w:pStyle w:val="11"/>
              <w:spacing w:before="129" w:line="221" w:lineRule="auto"/>
              <w:ind w:left="559"/>
              <w:rPr>
                <w:color w:val="auto"/>
                <w:highlight w:val="none"/>
              </w:rPr>
            </w:pPr>
            <w:r>
              <w:rPr>
                <w:color w:val="auto"/>
                <w:spacing w:val="-4"/>
                <w:highlight w:val="none"/>
              </w:rPr>
              <w:t>□票决抽签定标法</w:t>
            </w:r>
          </w:p>
          <w:p w14:paraId="1BC4BBD0">
            <w:pPr>
              <w:pStyle w:val="11"/>
              <w:spacing w:before="128" w:line="336" w:lineRule="auto"/>
              <w:ind w:left="115" w:right="106" w:firstLine="428"/>
              <w:jc w:val="both"/>
              <w:rPr>
                <w:color w:val="auto"/>
                <w:highlight w:val="none"/>
              </w:rPr>
            </w:pPr>
            <w:r>
              <w:rPr>
                <w:color w:val="auto"/>
                <w:spacing w:val="5"/>
                <w:highlight w:val="none"/>
              </w:rPr>
              <w:t>定标委员会成员按照票决方法、规则独立行使投票</w:t>
            </w:r>
            <w:r>
              <w:rPr>
                <w:color w:val="auto"/>
                <w:spacing w:val="2"/>
                <w:highlight w:val="none"/>
              </w:rPr>
              <w:t xml:space="preserve"> </w:t>
            </w:r>
            <w:r>
              <w:rPr>
                <w:color w:val="auto"/>
                <w:spacing w:val="5"/>
                <w:highlight w:val="none"/>
              </w:rPr>
              <w:t>权，不得弃权或产生废票。投票采用实名方式，定标委</w:t>
            </w:r>
          </w:p>
          <w:p w14:paraId="113C7D7F">
            <w:pPr>
              <w:pStyle w:val="11"/>
              <w:spacing w:before="1" w:line="219" w:lineRule="auto"/>
              <w:ind w:left="124"/>
              <w:rPr>
                <w:color w:val="auto"/>
                <w:highlight w:val="none"/>
              </w:rPr>
            </w:pPr>
            <w:r>
              <w:rPr>
                <w:color w:val="auto"/>
                <w:spacing w:val="-2"/>
                <w:highlight w:val="none"/>
              </w:rPr>
              <w:t>员会在投票时应当写明投票理由。</w:t>
            </w:r>
          </w:p>
          <w:p w14:paraId="17182752">
            <w:pPr>
              <w:pStyle w:val="11"/>
              <w:spacing w:before="128" w:line="221" w:lineRule="auto"/>
              <w:ind w:left="137"/>
              <w:rPr>
                <w:color w:val="auto"/>
                <w:highlight w:val="none"/>
              </w:rPr>
            </w:pPr>
            <w:r>
              <w:rPr>
                <w:color w:val="auto"/>
                <w:spacing w:val="-26"/>
                <w:highlight w:val="none"/>
                <w14:textOutline w14:w="3831" w14:cap="flat" w14:cmpd="sng">
                  <w14:solidFill>
                    <w14:srgbClr w14:val="000000"/>
                  </w14:solidFill>
                  <w14:prstDash w14:val="solid"/>
                  <w14:miter w14:val="0"/>
                </w14:textOutline>
              </w:rPr>
              <w:t>□集体议事法：</w:t>
            </w:r>
            <w:r>
              <w:rPr>
                <w:color w:val="auto"/>
                <w:spacing w:val="55"/>
                <w:highlight w:val="none"/>
              </w:rPr>
              <w:t xml:space="preserve"> </w:t>
            </w:r>
            <w:r>
              <w:rPr>
                <w:color w:val="auto"/>
                <w:highlight w:val="none"/>
                <w:u w:val="single" w:color="auto"/>
              </w:rPr>
              <w:t xml:space="preserve">            </w:t>
            </w:r>
          </w:p>
          <w:p w14:paraId="7009CDB2">
            <w:pPr>
              <w:pStyle w:val="11"/>
              <w:spacing w:before="162" w:line="221" w:lineRule="auto"/>
              <w:ind w:left="137"/>
              <w:rPr>
                <w:color w:val="auto"/>
                <w:highlight w:val="none"/>
              </w:rPr>
            </w:pPr>
            <w:r>
              <w:rPr>
                <w:color w:val="auto"/>
                <w:spacing w:val="-3"/>
                <w:highlight w:val="none"/>
                <w14:textOutline w14:w="3831" w14:cap="flat" w14:cmpd="sng">
                  <w14:solidFill>
                    <w14:srgbClr w14:val="000000"/>
                  </w14:solidFill>
                  <w14:prstDash w14:val="solid"/>
                  <w14:miter w14:val="0"/>
                </w14:textOutline>
              </w:rPr>
              <w:t>□其他定标法：</w:t>
            </w:r>
            <w:r>
              <w:rPr>
                <w:color w:val="auto"/>
                <w:highlight w:val="none"/>
                <w:u w:val="single" w:color="auto"/>
              </w:rPr>
              <w:t xml:space="preserve">            </w:t>
            </w:r>
          </w:p>
        </w:tc>
      </w:tr>
    </w:tbl>
    <w:p w14:paraId="2A35073D">
      <w:pPr>
        <w:pStyle w:val="3"/>
        <w:rPr>
          <w:color w:val="auto"/>
          <w:highlight w:val="none"/>
        </w:rPr>
      </w:pPr>
    </w:p>
    <w:p w14:paraId="607C0A95">
      <w:pPr>
        <w:rPr>
          <w:color w:val="auto"/>
          <w:highlight w:val="none"/>
        </w:rPr>
        <w:sectPr>
          <w:footerReference r:id="rId61" w:type="default"/>
          <w:pgSz w:w="11905" w:h="16839"/>
          <w:pgMar w:top="1431" w:right="1551" w:bottom="996" w:left="1555" w:header="0" w:footer="791" w:gutter="0"/>
          <w:pgNumType w:fmt="decimal"/>
          <w:cols w:space="720" w:num="1"/>
        </w:sectPr>
      </w:pPr>
    </w:p>
    <w:p w14:paraId="323E387B">
      <w:pPr>
        <w:spacing w:before="86" w:line="499" w:lineRule="exact"/>
        <w:ind w:left="17"/>
        <w:rPr>
          <w:rFonts w:ascii="黑体" w:hAnsi="黑体" w:eastAsia="黑体" w:cs="黑体"/>
          <w:color w:val="auto"/>
          <w:sz w:val="27"/>
          <w:szCs w:val="27"/>
          <w:highlight w:val="none"/>
        </w:rPr>
      </w:pPr>
      <w:bookmarkStart w:id="160" w:name="bookmark190"/>
      <w:bookmarkEnd w:id="160"/>
      <w:bookmarkStart w:id="161" w:name="bookmark189"/>
      <w:bookmarkEnd w:id="161"/>
      <w:bookmarkStart w:id="162" w:name="bookmark194"/>
      <w:bookmarkEnd w:id="162"/>
      <w:bookmarkStart w:id="163" w:name="bookmark188"/>
      <w:bookmarkEnd w:id="163"/>
      <w:bookmarkStart w:id="164" w:name="bookmark193"/>
      <w:bookmarkEnd w:id="164"/>
      <w:bookmarkStart w:id="165" w:name="bookmark191"/>
      <w:bookmarkEnd w:id="165"/>
      <w:bookmarkStart w:id="166" w:name="bookmark192"/>
      <w:bookmarkEnd w:id="166"/>
      <w:r>
        <w:rPr>
          <w:rFonts w:ascii="黑体" w:hAnsi="黑体" w:eastAsia="黑体" w:cs="黑体"/>
          <w:color w:val="auto"/>
          <w:spacing w:val="7"/>
          <w:position w:val="16"/>
          <w:sz w:val="27"/>
          <w:szCs w:val="27"/>
          <w:highlight w:val="none"/>
        </w:rPr>
        <w:t>定标办法正文</w:t>
      </w:r>
    </w:p>
    <w:p w14:paraId="5819C126">
      <w:pPr>
        <w:spacing w:before="1" w:line="223" w:lineRule="auto"/>
        <w:ind w:left="42"/>
        <w:rPr>
          <w:rFonts w:ascii="黑体" w:hAnsi="黑体" w:eastAsia="黑体" w:cs="黑体"/>
          <w:color w:val="auto"/>
          <w:sz w:val="27"/>
          <w:szCs w:val="27"/>
          <w:highlight w:val="none"/>
        </w:rPr>
      </w:pPr>
      <w:r>
        <w:rPr>
          <w:rFonts w:ascii="Times New Roman" w:hAnsi="Times New Roman" w:eastAsia="Times New Roman" w:cs="Times New Roman"/>
          <w:color w:val="auto"/>
          <w:spacing w:val="1"/>
          <w:sz w:val="27"/>
          <w:szCs w:val="27"/>
          <w:highlight w:val="none"/>
        </w:rPr>
        <w:t>1.</w:t>
      </w:r>
      <w:r>
        <w:rPr>
          <w:rFonts w:ascii="黑体" w:hAnsi="黑体" w:eastAsia="黑体" w:cs="黑体"/>
          <w:color w:val="auto"/>
          <w:spacing w:val="1"/>
          <w:sz w:val="27"/>
          <w:szCs w:val="27"/>
          <w:highlight w:val="none"/>
        </w:rPr>
        <w:t>定标方法</w:t>
      </w:r>
    </w:p>
    <w:p w14:paraId="7BFBB834">
      <w:pPr>
        <w:spacing w:before="119" w:line="379" w:lineRule="exact"/>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5"/>
          <w:position w:val="12"/>
          <w:sz w:val="21"/>
          <w:szCs w:val="21"/>
          <w:highlight w:val="none"/>
        </w:rPr>
        <w:t>1.1</w:t>
      </w:r>
      <w:r>
        <w:rPr>
          <w:rFonts w:ascii="Times New Roman" w:hAnsi="Times New Roman" w:eastAsia="Times New Roman" w:cs="Times New Roman"/>
          <w:color w:val="auto"/>
          <w:spacing w:val="31"/>
          <w:w w:val="101"/>
          <w:position w:val="12"/>
          <w:sz w:val="21"/>
          <w:szCs w:val="21"/>
          <w:highlight w:val="none"/>
        </w:rPr>
        <w:t xml:space="preserve"> </w:t>
      </w:r>
      <w:r>
        <w:rPr>
          <w:rFonts w:ascii="宋体" w:hAnsi="宋体" w:eastAsia="宋体" w:cs="宋体"/>
          <w:color w:val="auto"/>
          <w:spacing w:val="-5"/>
          <w:position w:val="12"/>
          <w:sz w:val="21"/>
          <w:szCs w:val="21"/>
          <w:highlight w:val="none"/>
        </w:rPr>
        <w:t>定标委员会应严格按照评定分离操作规程及相关规定执行，</w:t>
      </w:r>
      <w:r>
        <w:rPr>
          <w:rFonts w:ascii="宋体" w:hAnsi="宋体" w:eastAsia="宋体" w:cs="宋体"/>
          <w:color w:val="auto"/>
          <w:spacing w:val="54"/>
          <w:position w:val="12"/>
          <w:sz w:val="21"/>
          <w:szCs w:val="21"/>
          <w:highlight w:val="none"/>
        </w:rPr>
        <w:t xml:space="preserve"> </w:t>
      </w:r>
      <w:r>
        <w:rPr>
          <w:rFonts w:ascii="宋体" w:hAnsi="宋体" w:eastAsia="宋体" w:cs="宋体"/>
          <w:color w:val="auto"/>
          <w:spacing w:val="-5"/>
          <w:position w:val="12"/>
          <w:sz w:val="21"/>
          <w:szCs w:val="21"/>
          <w:highlight w:val="none"/>
        </w:rPr>
        <w:t>不得随意改变已确定且</w:t>
      </w:r>
    </w:p>
    <w:p w14:paraId="00077E9C">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备案登记的定标程序、定标因素和规则、定</w:t>
      </w:r>
      <w:r>
        <w:rPr>
          <w:rFonts w:ascii="宋体" w:hAnsi="宋体" w:eastAsia="宋体" w:cs="宋体"/>
          <w:color w:val="auto"/>
          <w:spacing w:val="-2"/>
          <w:sz w:val="21"/>
          <w:szCs w:val="21"/>
          <w:highlight w:val="none"/>
        </w:rPr>
        <w:t>标方法。</w:t>
      </w:r>
    </w:p>
    <w:p w14:paraId="0362990B">
      <w:pPr>
        <w:spacing w:before="128" w:line="220" w:lineRule="auto"/>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1.2</w:t>
      </w:r>
      <w:r>
        <w:rPr>
          <w:rFonts w:ascii="Times New Roman" w:hAnsi="Times New Roman" w:eastAsia="Times New Roman" w:cs="Times New Roman"/>
          <w:color w:val="auto"/>
          <w:spacing w:val="23"/>
          <w:w w:val="101"/>
          <w:sz w:val="21"/>
          <w:szCs w:val="21"/>
          <w:highlight w:val="none"/>
        </w:rPr>
        <w:t xml:space="preserve"> </w:t>
      </w:r>
      <w:r>
        <w:rPr>
          <w:rFonts w:ascii="宋体" w:hAnsi="宋体" w:eastAsia="宋体" w:cs="宋体"/>
          <w:color w:val="auto"/>
          <w:spacing w:val="-1"/>
          <w:sz w:val="21"/>
          <w:szCs w:val="21"/>
          <w:highlight w:val="none"/>
        </w:rPr>
        <w:t>招标人根据招标项目类型、项目具体特点</w:t>
      </w:r>
      <w:r>
        <w:rPr>
          <w:rFonts w:ascii="宋体" w:hAnsi="宋体" w:eastAsia="宋体" w:cs="宋体"/>
          <w:color w:val="auto"/>
          <w:spacing w:val="-2"/>
          <w:sz w:val="21"/>
          <w:szCs w:val="21"/>
          <w:highlight w:val="none"/>
        </w:rPr>
        <w:t>和实现履约确定的定标因素作为定标依据。</w:t>
      </w:r>
    </w:p>
    <w:p w14:paraId="119066BE">
      <w:pPr>
        <w:spacing w:before="130" w:line="379" w:lineRule="exact"/>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2"/>
          <w:sz w:val="21"/>
          <w:szCs w:val="21"/>
          <w:highlight w:val="none"/>
        </w:rPr>
        <w:t>1.3</w:t>
      </w:r>
      <w:r>
        <w:rPr>
          <w:rFonts w:ascii="Times New Roman" w:hAnsi="Times New Roman" w:eastAsia="Times New Roman" w:cs="Times New Roman"/>
          <w:color w:val="auto"/>
          <w:spacing w:val="28"/>
          <w:w w:val="101"/>
          <w:position w:val="12"/>
          <w:sz w:val="21"/>
          <w:szCs w:val="21"/>
          <w:highlight w:val="none"/>
        </w:rPr>
        <w:t xml:space="preserve"> </w:t>
      </w:r>
      <w:r>
        <w:rPr>
          <w:rFonts w:ascii="宋体" w:hAnsi="宋体" w:eastAsia="宋体" w:cs="宋体"/>
          <w:color w:val="auto"/>
          <w:spacing w:val="-1"/>
          <w:position w:val="12"/>
          <w:sz w:val="21"/>
          <w:szCs w:val="21"/>
          <w:highlight w:val="none"/>
        </w:rPr>
        <w:t>定标委员会按照招标文件明确规定的定标因素、定标规则和定标方法进行定标</w:t>
      </w:r>
      <w:r>
        <w:rPr>
          <w:rFonts w:ascii="宋体" w:hAnsi="宋体" w:eastAsia="宋体" w:cs="宋体"/>
          <w:color w:val="auto"/>
          <w:spacing w:val="-2"/>
          <w:position w:val="12"/>
          <w:sz w:val="21"/>
          <w:szCs w:val="21"/>
          <w:highlight w:val="none"/>
        </w:rPr>
        <w:t>，确</w:t>
      </w:r>
    </w:p>
    <w:p w14:paraId="3E45ABAA">
      <w:pPr>
        <w:spacing w:line="221" w:lineRule="auto"/>
        <w:ind w:left="23"/>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定中标人。</w:t>
      </w:r>
    </w:p>
    <w:p w14:paraId="6C0908EA">
      <w:pPr>
        <w:spacing w:before="185" w:line="441" w:lineRule="exact"/>
        <w:ind w:left="15"/>
        <w:rPr>
          <w:rFonts w:ascii="黑体" w:hAnsi="黑体" w:eastAsia="黑体" w:cs="黑体"/>
          <w:color w:val="auto"/>
          <w:sz w:val="27"/>
          <w:szCs w:val="27"/>
          <w:highlight w:val="none"/>
        </w:rPr>
      </w:pPr>
      <w:r>
        <w:rPr>
          <w:rFonts w:ascii="Times New Roman" w:hAnsi="Times New Roman" w:eastAsia="Times New Roman" w:cs="Times New Roman"/>
          <w:color w:val="auto"/>
          <w:spacing w:val="7"/>
          <w:position w:val="12"/>
          <w:sz w:val="27"/>
          <w:szCs w:val="27"/>
          <w:highlight w:val="none"/>
        </w:rPr>
        <w:t>2.</w:t>
      </w:r>
      <w:r>
        <w:rPr>
          <w:rFonts w:ascii="黑体" w:hAnsi="黑体" w:eastAsia="黑体" w:cs="黑体"/>
          <w:color w:val="auto"/>
          <w:spacing w:val="7"/>
          <w:position w:val="12"/>
          <w:sz w:val="27"/>
          <w:szCs w:val="27"/>
          <w:highlight w:val="none"/>
        </w:rPr>
        <w:t>定标流程及规则</w:t>
      </w:r>
    </w:p>
    <w:p w14:paraId="0C37F460">
      <w:pPr>
        <w:spacing w:before="1" w:line="218" w:lineRule="auto"/>
        <w:ind w:left="15"/>
        <w:rPr>
          <w:rFonts w:ascii="黑体" w:hAnsi="黑体" w:eastAsia="黑体" w:cs="黑体"/>
          <w:color w:val="auto"/>
          <w:sz w:val="24"/>
          <w:szCs w:val="24"/>
          <w:highlight w:val="none"/>
        </w:rPr>
      </w:pPr>
      <w:r>
        <w:rPr>
          <w:rFonts w:ascii="Times New Roman" w:hAnsi="Times New Roman" w:eastAsia="Times New Roman" w:cs="Times New Roman"/>
          <w:color w:val="auto"/>
          <w:spacing w:val="-4"/>
          <w:sz w:val="24"/>
          <w:szCs w:val="24"/>
          <w:highlight w:val="none"/>
        </w:rPr>
        <w:t>2.</w:t>
      </w:r>
      <w:r>
        <w:rPr>
          <w:rFonts w:ascii="Times New Roman" w:hAnsi="Times New Roman" w:eastAsia="Times New Roman" w:cs="Times New Roman"/>
          <w:color w:val="auto"/>
          <w:spacing w:val="-30"/>
          <w:sz w:val="24"/>
          <w:szCs w:val="24"/>
          <w:highlight w:val="none"/>
        </w:rPr>
        <w:t xml:space="preserve"> </w:t>
      </w:r>
      <w:r>
        <w:rPr>
          <w:rFonts w:ascii="Times New Roman" w:hAnsi="Times New Roman" w:eastAsia="Times New Roman" w:cs="Times New Roman"/>
          <w:color w:val="auto"/>
          <w:spacing w:val="-4"/>
          <w:sz w:val="24"/>
          <w:szCs w:val="24"/>
          <w:highlight w:val="none"/>
        </w:rPr>
        <w:t xml:space="preserve">1 </w:t>
      </w:r>
      <w:r>
        <w:rPr>
          <w:rFonts w:ascii="黑体" w:hAnsi="黑体" w:eastAsia="黑体" w:cs="黑体"/>
          <w:color w:val="auto"/>
          <w:spacing w:val="-4"/>
          <w:sz w:val="24"/>
          <w:szCs w:val="24"/>
          <w:highlight w:val="none"/>
        </w:rPr>
        <w:t>组建定标委员会</w:t>
      </w:r>
    </w:p>
    <w:p w14:paraId="03C23DD6">
      <w:pPr>
        <w:spacing w:before="29" w:line="247" w:lineRule="auto"/>
        <w:ind w:left="22" w:right="182" w:firstLine="42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定标前，招标人负责组建定标委员会，负责定标工作。定标委员会人员组成详见</w:t>
      </w:r>
      <w:r>
        <w:rPr>
          <w:rFonts w:ascii="宋体" w:hAnsi="宋体" w:eastAsia="宋体" w:cs="宋体"/>
          <w:color w:val="auto"/>
          <w:spacing w:val="2"/>
          <w:sz w:val="21"/>
          <w:szCs w:val="21"/>
          <w:highlight w:val="none"/>
        </w:rPr>
        <w:t>定标</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办法前附表。</w:t>
      </w:r>
    </w:p>
    <w:p w14:paraId="6EEE94AF">
      <w:pPr>
        <w:spacing w:before="147" w:line="219" w:lineRule="auto"/>
        <w:ind w:left="15"/>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 xml:space="preserve">2.2 </w:t>
      </w:r>
      <w:r>
        <w:rPr>
          <w:rFonts w:ascii="黑体" w:hAnsi="黑体" w:eastAsia="黑体" w:cs="黑体"/>
          <w:color w:val="auto"/>
          <w:spacing w:val="-2"/>
          <w:sz w:val="24"/>
          <w:szCs w:val="24"/>
          <w:highlight w:val="none"/>
        </w:rPr>
        <w:t>定标因素及规则</w:t>
      </w:r>
    </w:p>
    <w:p w14:paraId="15B61CCB">
      <w:pPr>
        <w:spacing w:before="125" w:line="379" w:lineRule="exact"/>
        <w:ind w:left="447"/>
        <w:rPr>
          <w:rFonts w:ascii="宋体" w:hAnsi="宋体" w:eastAsia="宋体" w:cs="宋体"/>
          <w:color w:val="auto"/>
          <w:sz w:val="21"/>
          <w:szCs w:val="21"/>
          <w:highlight w:val="none"/>
        </w:rPr>
      </w:pPr>
      <w:r>
        <w:rPr>
          <w:rFonts w:ascii="宋体" w:hAnsi="宋体" w:eastAsia="宋体" w:cs="宋体"/>
          <w:color w:val="auto"/>
          <w:spacing w:val="-9"/>
          <w:position w:val="12"/>
          <w:sz w:val="21"/>
          <w:szCs w:val="21"/>
          <w:highlight w:val="none"/>
        </w:rPr>
        <w:t>（</w:t>
      </w:r>
      <w:r>
        <w:rPr>
          <w:rFonts w:ascii="Times New Roman" w:hAnsi="Times New Roman" w:eastAsia="Times New Roman" w:cs="Times New Roman"/>
          <w:color w:val="auto"/>
          <w:spacing w:val="-9"/>
          <w:position w:val="12"/>
          <w:sz w:val="21"/>
          <w:szCs w:val="21"/>
          <w:highlight w:val="none"/>
        </w:rPr>
        <w:t>1</w:t>
      </w:r>
      <w:r>
        <w:rPr>
          <w:rFonts w:ascii="宋体" w:hAnsi="宋体" w:eastAsia="宋体" w:cs="宋体"/>
          <w:color w:val="auto"/>
          <w:spacing w:val="-9"/>
          <w:position w:val="12"/>
          <w:sz w:val="21"/>
          <w:szCs w:val="21"/>
          <w:highlight w:val="none"/>
        </w:rPr>
        <w:t>）定标因素： 见定标办法前附表；</w:t>
      </w:r>
    </w:p>
    <w:p w14:paraId="739C690F">
      <w:pPr>
        <w:spacing w:before="1" w:line="219" w:lineRule="auto"/>
        <w:ind w:left="447"/>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w:t>
      </w:r>
      <w:r>
        <w:rPr>
          <w:rFonts w:ascii="Times New Roman" w:hAnsi="Times New Roman" w:eastAsia="Times New Roman" w:cs="Times New Roman"/>
          <w:color w:val="auto"/>
          <w:spacing w:val="-8"/>
          <w:sz w:val="21"/>
          <w:szCs w:val="21"/>
          <w:highlight w:val="none"/>
        </w:rPr>
        <w:t>2</w:t>
      </w:r>
      <w:r>
        <w:rPr>
          <w:rFonts w:ascii="宋体" w:hAnsi="宋体" w:eastAsia="宋体" w:cs="宋体"/>
          <w:color w:val="auto"/>
          <w:spacing w:val="-8"/>
          <w:sz w:val="21"/>
          <w:szCs w:val="21"/>
          <w:highlight w:val="none"/>
        </w:rPr>
        <w:t>）定标规则： 见定标办法前附表。</w:t>
      </w:r>
    </w:p>
    <w:p w14:paraId="4E89EE62">
      <w:pPr>
        <w:spacing w:before="124" w:line="218" w:lineRule="auto"/>
        <w:ind w:left="15"/>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 xml:space="preserve">2.3 </w:t>
      </w:r>
      <w:r>
        <w:rPr>
          <w:rFonts w:ascii="黑体" w:hAnsi="黑体" w:eastAsia="黑体" w:cs="黑体"/>
          <w:color w:val="auto"/>
          <w:spacing w:val="-2"/>
          <w:sz w:val="24"/>
          <w:szCs w:val="24"/>
          <w:highlight w:val="none"/>
        </w:rPr>
        <w:t>定标办法</w:t>
      </w:r>
    </w:p>
    <w:p w14:paraId="1FE85562">
      <w:pPr>
        <w:spacing w:before="120" w:line="380" w:lineRule="exact"/>
        <w:ind w:left="446"/>
        <w:rPr>
          <w:rFonts w:ascii="宋体" w:hAnsi="宋体" w:eastAsia="宋体" w:cs="宋体"/>
          <w:color w:val="auto"/>
          <w:sz w:val="21"/>
          <w:szCs w:val="21"/>
          <w:highlight w:val="none"/>
        </w:rPr>
      </w:pPr>
      <w:r>
        <w:rPr>
          <w:rFonts w:ascii="宋体" w:hAnsi="宋体" w:eastAsia="宋体" w:cs="宋体"/>
          <w:color w:val="auto"/>
          <w:spacing w:val="3"/>
          <w:position w:val="12"/>
          <w:sz w:val="21"/>
          <w:szCs w:val="21"/>
          <w:highlight w:val="none"/>
        </w:rPr>
        <w:t>定标办法包括集中票决法、集体议事法或招标人结合项目具体特点和实际情况制</w:t>
      </w:r>
      <w:r>
        <w:rPr>
          <w:rFonts w:ascii="宋体" w:hAnsi="宋体" w:eastAsia="宋体" w:cs="宋体"/>
          <w:color w:val="auto"/>
          <w:spacing w:val="2"/>
          <w:position w:val="12"/>
          <w:sz w:val="21"/>
          <w:szCs w:val="21"/>
          <w:highlight w:val="none"/>
        </w:rPr>
        <w:t>定的</w:t>
      </w:r>
    </w:p>
    <w:p w14:paraId="582273BA">
      <w:pPr>
        <w:spacing w:line="221"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其他定标法。</w:t>
      </w:r>
    </w:p>
    <w:p w14:paraId="796D82BB">
      <w:pPr>
        <w:spacing w:before="133" w:line="379" w:lineRule="exact"/>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2"/>
          <w:sz w:val="21"/>
          <w:szCs w:val="21"/>
          <w:highlight w:val="none"/>
        </w:rPr>
        <w:t>2.3.1</w:t>
      </w:r>
      <w:r>
        <w:rPr>
          <w:rFonts w:ascii="Times New Roman" w:hAnsi="Times New Roman" w:eastAsia="Times New Roman" w:cs="Times New Roman"/>
          <w:color w:val="auto"/>
          <w:spacing w:val="43"/>
          <w:position w:val="12"/>
          <w:sz w:val="21"/>
          <w:szCs w:val="21"/>
          <w:highlight w:val="none"/>
        </w:rPr>
        <w:t xml:space="preserve"> </w:t>
      </w:r>
      <w:r>
        <w:rPr>
          <w:rFonts w:ascii="宋体" w:hAnsi="宋体" w:eastAsia="宋体" w:cs="宋体"/>
          <w:color w:val="auto"/>
          <w:spacing w:val="1"/>
          <w:position w:val="12"/>
          <w:sz w:val="21"/>
          <w:szCs w:val="21"/>
          <w:highlight w:val="none"/>
        </w:rPr>
        <w:t>集中票决法包括直接票决定标法、逐轮票决定</w:t>
      </w:r>
      <w:r>
        <w:rPr>
          <w:rFonts w:ascii="宋体" w:hAnsi="宋体" w:eastAsia="宋体" w:cs="宋体"/>
          <w:color w:val="auto"/>
          <w:position w:val="12"/>
          <w:sz w:val="21"/>
          <w:szCs w:val="21"/>
          <w:highlight w:val="none"/>
        </w:rPr>
        <w:t>标法、票决低价定标法、票决抽签</w:t>
      </w:r>
    </w:p>
    <w:p w14:paraId="689AA347">
      <w:pPr>
        <w:spacing w:line="221" w:lineRule="auto"/>
        <w:ind w:left="23"/>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定标法。</w:t>
      </w:r>
    </w:p>
    <w:p w14:paraId="7AD57ADC">
      <w:pPr>
        <w:spacing w:before="127" w:line="334" w:lineRule="auto"/>
        <w:ind w:left="20" w:right="181" w:firstLine="41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"2.3.1.1" </w:instrText>
      </w:r>
      <w:r>
        <w:rPr>
          <w:color w:val="auto"/>
          <w:highlight w:val="none"/>
        </w:rPr>
        <w:fldChar w:fldCharType="separate"/>
      </w:r>
      <w:r>
        <w:rPr>
          <w:rFonts w:ascii="Times New Roman" w:hAnsi="Times New Roman" w:eastAsia="Times New Roman" w:cs="Times New Roman"/>
          <w:color w:val="auto"/>
          <w:spacing w:val="2"/>
          <w:sz w:val="21"/>
          <w:szCs w:val="21"/>
          <w:highlight w:val="none"/>
        </w:rPr>
        <w:t>2.3.1.1</w:t>
      </w:r>
      <w:r>
        <w:rPr>
          <w:rFonts w:ascii="Times New Roman" w:hAnsi="Times New Roman" w:eastAsia="Times New Roman" w:cs="Times New Roman"/>
          <w:color w:val="auto"/>
          <w:spacing w:val="2"/>
          <w:sz w:val="21"/>
          <w:szCs w:val="21"/>
          <w:highlight w:val="none"/>
        </w:rPr>
        <w:fldChar w:fldCharType="end"/>
      </w:r>
      <w:r>
        <w:rPr>
          <w:rFonts w:ascii="Times New Roman" w:hAnsi="Times New Roman" w:eastAsia="Times New Roman" w:cs="Times New Roman"/>
          <w:color w:val="auto"/>
          <w:spacing w:val="39"/>
          <w:w w:val="101"/>
          <w:sz w:val="21"/>
          <w:szCs w:val="21"/>
          <w:highlight w:val="none"/>
        </w:rPr>
        <w:t xml:space="preserve"> </w:t>
      </w:r>
      <w:r>
        <w:rPr>
          <w:rFonts w:ascii="宋体" w:hAnsi="宋体" w:eastAsia="宋体" w:cs="宋体"/>
          <w:color w:val="auto"/>
          <w:spacing w:val="2"/>
          <w:sz w:val="21"/>
          <w:szCs w:val="21"/>
          <w:highlight w:val="none"/>
        </w:rPr>
        <w:t>直接票决定标法。通过投票，取票数最多且超过半数的为中标人。若中</w:t>
      </w:r>
      <w:r>
        <w:rPr>
          <w:rFonts w:ascii="宋体" w:hAnsi="宋体" w:eastAsia="宋体" w:cs="宋体"/>
          <w:color w:val="auto"/>
          <w:spacing w:val="1"/>
          <w:sz w:val="21"/>
          <w:szCs w:val="21"/>
          <w:highlight w:val="none"/>
        </w:rPr>
        <w:t>标候选</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 xml:space="preserve">人票数均未超过半数的，取票数前 </w:t>
      </w:r>
      <w:r>
        <w:rPr>
          <w:rFonts w:ascii="Times New Roman" w:hAnsi="Times New Roman" w:eastAsia="Times New Roman" w:cs="Times New Roman"/>
          <w:color w:val="auto"/>
          <w:spacing w:val="-2"/>
          <w:sz w:val="21"/>
          <w:szCs w:val="21"/>
          <w:highlight w:val="none"/>
        </w:rPr>
        <w:t>2</w:t>
      </w:r>
      <w:r>
        <w:rPr>
          <w:rFonts w:ascii="Times New Roman" w:hAnsi="Times New Roman" w:eastAsia="Times New Roman" w:cs="Times New Roman"/>
          <w:color w:val="auto"/>
          <w:spacing w:val="38"/>
          <w:sz w:val="21"/>
          <w:szCs w:val="21"/>
          <w:highlight w:val="none"/>
        </w:rPr>
        <w:t xml:space="preserve"> </w:t>
      </w:r>
      <w:r>
        <w:rPr>
          <w:rFonts w:ascii="宋体" w:hAnsi="宋体" w:eastAsia="宋体" w:cs="宋体"/>
          <w:color w:val="auto"/>
          <w:spacing w:val="-2"/>
          <w:sz w:val="21"/>
          <w:szCs w:val="21"/>
          <w:highlight w:val="none"/>
        </w:rPr>
        <w:t xml:space="preserve">名再次票决确定中标人。因并列无法确定前 </w:t>
      </w:r>
      <w:r>
        <w:rPr>
          <w:rFonts w:ascii="Times New Roman" w:hAnsi="Times New Roman" w:eastAsia="Times New Roman" w:cs="Times New Roman"/>
          <w:color w:val="auto"/>
          <w:spacing w:val="-2"/>
          <w:sz w:val="21"/>
          <w:szCs w:val="21"/>
          <w:highlight w:val="none"/>
        </w:rPr>
        <w:t>2</w:t>
      </w:r>
      <w:r>
        <w:rPr>
          <w:rFonts w:ascii="Times New Roman" w:hAnsi="Times New Roman" w:eastAsia="Times New Roman" w:cs="Times New Roman"/>
          <w:color w:val="auto"/>
          <w:spacing w:val="30"/>
          <w:sz w:val="21"/>
          <w:szCs w:val="21"/>
          <w:highlight w:val="none"/>
        </w:rPr>
        <w:t xml:space="preserve"> </w:t>
      </w:r>
      <w:r>
        <w:rPr>
          <w:rFonts w:ascii="宋体" w:hAnsi="宋体" w:eastAsia="宋体" w:cs="宋体"/>
          <w:color w:val="auto"/>
          <w:spacing w:val="-2"/>
          <w:sz w:val="21"/>
          <w:szCs w:val="21"/>
          <w:highlight w:val="none"/>
        </w:rPr>
        <w:t>名时，</w:t>
      </w:r>
    </w:p>
    <w:p w14:paraId="7AFCAA4D">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按价格由低到高选取前</w:t>
      </w:r>
      <w:r>
        <w:rPr>
          <w:rFonts w:ascii="宋体" w:hAnsi="宋体" w:eastAsia="宋体" w:cs="宋体"/>
          <w:color w:val="auto"/>
          <w:spacing w:val="-38"/>
          <w:sz w:val="21"/>
          <w:szCs w:val="21"/>
          <w:highlight w:val="none"/>
        </w:rPr>
        <w:t xml:space="preserve"> </w:t>
      </w:r>
      <w:r>
        <w:rPr>
          <w:rFonts w:ascii="Times New Roman" w:hAnsi="Times New Roman" w:eastAsia="Times New Roman" w:cs="Times New Roman"/>
          <w:color w:val="auto"/>
          <w:spacing w:val="-3"/>
          <w:sz w:val="21"/>
          <w:szCs w:val="21"/>
          <w:highlight w:val="none"/>
        </w:rPr>
        <w:t xml:space="preserve">2 </w:t>
      </w:r>
      <w:r>
        <w:rPr>
          <w:rFonts w:ascii="宋体" w:hAnsi="宋体" w:eastAsia="宋体" w:cs="宋体"/>
          <w:color w:val="auto"/>
          <w:spacing w:val="-3"/>
          <w:sz w:val="21"/>
          <w:szCs w:val="21"/>
          <w:highlight w:val="none"/>
        </w:rPr>
        <w:t>名。</w:t>
      </w:r>
    </w:p>
    <w:p w14:paraId="13704E9C">
      <w:pPr>
        <w:spacing w:before="130" w:line="384" w:lineRule="exact"/>
        <w:ind w:left="43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"2.3.1.2" </w:instrText>
      </w:r>
      <w:r>
        <w:rPr>
          <w:color w:val="auto"/>
          <w:highlight w:val="none"/>
        </w:rPr>
        <w:fldChar w:fldCharType="separate"/>
      </w:r>
      <w:r>
        <w:rPr>
          <w:rFonts w:ascii="Times New Roman" w:hAnsi="Times New Roman" w:eastAsia="Times New Roman" w:cs="Times New Roman"/>
          <w:color w:val="auto"/>
          <w:spacing w:val="-4"/>
          <w:position w:val="13"/>
          <w:sz w:val="21"/>
          <w:szCs w:val="21"/>
          <w:highlight w:val="none"/>
        </w:rPr>
        <w:t>2.3.1.2</w:t>
      </w:r>
      <w:r>
        <w:rPr>
          <w:rFonts w:ascii="Times New Roman" w:hAnsi="Times New Roman" w:eastAsia="Times New Roman" w:cs="Times New Roman"/>
          <w:color w:val="auto"/>
          <w:spacing w:val="-4"/>
          <w:position w:val="13"/>
          <w:sz w:val="21"/>
          <w:szCs w:val="21"/>
          <w:highlight w:val="none"/>
        </w:rPr>
        <w:fldChar w:fldCharType="end"/>
      </w:r>
      <w:r>
        <w:rPr>
          <w:rFonts w:ascii="Times New Roman" w:hAnsi="Times New Roman" w:eastAsia="Times New Roman" w:cs="Times New Roman"/>
          <w:color w:val="auto"/>
          <w:spacing w:val="43"/>
          <w:w w:val="101"/>
          <w:position w:val="13"/>
          <w:sz w:val="21"/>
          <w:szCs w:val="21"/>
          <w:highlight w:val="none"/>
        </w:rPr>
        <w:t xml:space="preserve"> </w:t>
      </w:r>
      <w:r>
        <w:rPr>
          <w:rFonts w:ascii="宋体" w:hAnsi="宋体" w:eastAsia="宋体" w:cs="宋体"/>
          <w:color w:val="auto"/>
          <w:spacing w:val="-4"/>
          <w:position w:val="13"/>
          <w:sz w:val="21"/>
          <w:szCs w:val="21"/>
          <w:highlight w:val="none"/>
        </w:rPr>
        <w:t xml:space="preserve">逐轮票决定标法。通过投票，每轮淘汰 </w:t>
      </w:r>
      <w:r>
        <w:rPr>
          <w:rFonts w:ascii="Times New Roman" w:hAnsi="Times New Roman" w:eastAsia="Times New Roman" w:cs="Times New Roman"/>
          <w:color w:val="auto"/>
          <w:spacing w:val="-4"/>
          <w:position w:val="13"/>
          <w:sz w:val="21"/>
          <w:szCs w:val="21"/>
          <w:highlight w:val="none"/>
        </w:rPr>
        <w:t xml:space="preserve">1  </w:t>
      </w:r>
      <w:r>
        <w:rPr>
          <w:rFonts w:ascii="宋体" w:hAnsi="宋体" w:eastAsia="宋体" w:cs="宋体"/>
          <w:color w:val="auto"/>
          <w:spacing w:val="-4"/>
          <w:position w:val="13"/>
          <w:sz w:val="21"/>
          <w:szCs w:val="21"/>
          <w:highlight w:val="none"/>
        </w:rPr>
        <w:t>名票数最少的中标</w:t>
      </w:r>
      <w:r>
        <w:rPr>
          <w:rFonts w:ascii="宋体" w:hAnsi="宋体" w:eastAsia="宋体" w:cs="宋体"/>
          <w:color w:val="auto"/>
          <w:spacing w:val="-5"/>
          <w:position w:val="13"/>
          <w:sz w:val="21"/>
          <w:szCs w:val="21"/>
          <w:highlight w:val="none"/>
        </w:rPr>
        <w:t>候选人，</w:t>
      </w:r>
      <w:r>
        <w:rPr>
          <w:rFonts w:ascii="宋体" w:hAnsi="宋体" w:eastAsia="宋体" w:cs="宋体"/>
          <w:color w:val="auto"/>
          <w:spacing w:val="53"/>
          <w:position w:val="13"/>
          <w:sz w:val="21"/>
          <w:szCs w:val="21"/>
          <w:highlight w:val="none"/>
        </w:rPr>
        <w:t xml:space="preserve"> </w:t>
      </w:r>
      <w:r>
        <w:rPr>
          <w:rFonts w:ascii="宋体" w:hAnsi="宋体" w:eastAsia="宋体" w:cs="宋体"/>
          <w:color w:val="auto"/>
          <w:spacing w:val="-5"/>
          <w:position w:val="13"/>
          <w:sz w:val="21"/>
          <w:szCs w:val="21"/>
          <w:highlight w:val="none"/>
        </w:rPr>
        <w:t>最终确定</w:t>
      </w:r>
    </w:p>
    <w:p w14:paraId="347F67E7">
      <w:pPr>
        <w:spacing w:line="219" w:lineRule="auto"/>
        <w:ind w:left="3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中标人。票数最少中标候选人出现并列时，淘汰报价高者。</w:t>
      </w:r>
    </w:p>
    <w:p w14:paraId="2711F3DE">
      <w:pPr>
        <w:spacing w:before="130" w:line="379" w:lineRule="exact"/>
        <w:ind w:left="43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"2.3.1.3" </w:instrText>
      </w:r>
      <w:r>
        <w:rPr>
          <w:color w:val="auto"/>
          <w:highlight w:val="none"/>
        </w:rPr>
        <w:fldChar w:fldCharType="separate"/>
      </w:r>
      <w:r>
        <w:rPr>
          <w:rFonts w:ascii="Times New Roman" w:hAnsi="Times New Roman" w:eastAsia="Times New Roman" w:cs="Times New Roman"/>
          <w:color w:val="auto"/>
          <w:spacing w:val="2"/>
          <w:position w:val="12"/>
          <w:sz w:val="21"/>
          <w:szCs w:val="21"/>
          <w:highlight w:val="none"/>
        </w:rPr>
        <w:t>2.3.1.3</w:t>
      </w:r>
      <w:r>
        <w:rPr>
          <w:rFonts w:ascii="Times New Roman" w:hAnsi="Times New Roman" w:eastAsia="Times New Roman" w:cs="Times New Roman"/>
          <w:color w:val="auto"/>
          <w:spacing w:val="2"/>
          <w:position w:val="12"/>
          <w:sz w:val="21"/>
          <w:szCs w:val="21"/>
          <w:highlight w:val="none"/>
        </w:rPr>
        <w:fldChar w:fldCharType="end"/>
      </w:r>
      <w:r>
        <w:rPr>
          <w:rFonts w:ascii="Times New Roman" w:hAnsi="Times New Roman" w:eastAsia="Times New Roman" w:cs="Times New Roman"/>
          <w:color w:val="auto"/>
          <w:spacing w:val="39"/>
          <w:w w:val="101"/>
          <w:position w:val="12"/>
          <w:sz w:val="21"/>
          <w:szCs w:val="21"/>
          <w:highlight w:val="none"/>
        </w:rPr>
        <w:t xml:space="preserve"> </w:t>
      </w:r>
      <w:r>
        <w:rPr>
          <w:rFonts w:ascii="宋体" w:hAnsi="宋体" w:eastAsia="宋体" w:cs="宋体"/>
          <w:color w:val="auto"/>
          <w:spacing w:val="2"/>
          <w:position w:val="12"/>
          <w:sz w:val="21"/>
          <w:szCs w:val="21"/>
          <w:highlight w:val="none"/>
        </w:rPr>
        <w:t>票决低价定标法。由定标委员会从进入票决定标的投标人中，以投票表</w:t>
      </w:r>
      <w:r>
        <w:rPr>
          <w:rFonts w:ascii="宋体" w:hAnsi="宋体" w:eastAsia="宋体" w:cs="宋体"/>
          <w:color w:val="auto"/>
          <w:spacing w:val="1"/>
          <w:position w:val="12"/>
          <w:sz w:val="21"/>
          <w:szCs w:val="21"/>
          <w:highlight w:val="none"/>
        </w:rPr>
        <w:t>决方式</w:t>
      </w:r>
    </w:p>
    <w:p w14:paraId="40FD7E74">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确定不少于</w:t>
      </w:r>
      <w:r>
        <w:rPr>
          <w:rFonts w:ascii="宋体" w:hAnsi="宋体" w:eastAsia="宋体" w:cs="宋体"/>
          <w:color w:val="auto"/>
          <w:spacing w:val="-34"/>
          <w:sz w:val="21"/>
          <w:szCs w:val="21"/>
          <w:highlight w:val="none"/>
        </w:rPr>
        <w:t xml:space="preserve"> </w:t>
      </w:r>
      <w:r>
        <w:rPr>
          <w:rFonts w:ascii="Times New Roman" w:hAnsi="Times New Roman" w:eastAsia="Times New Roman" w:cs="Times New Roman"/>
          <w:color w:val="auto"/>
          <w:spacing w:val="-2"/>
          <w:sz w:val="21"/>
          <w:szCs w:val="21"/>
          <w:highlight w:val="none"/>
        </w:rPr>
        <w:t xml:space="preserve">3 </w:t>
      </w:r>
      <w:r>
        <w:rPr>
          <w:rFonts w:ascii="宋体" w:hAnsi="宋体" w:eastAsia="宋体" w:cs="宋体"/>
          <w:color w:val="auto"/>
          <w:spacing w:val="-2"/>
          <w:sz w:val="21"/>
          <w:szCs w:val="21"/>
          <w:highlight w:val="none"/>
        </w:rPr>
        <w:t>名投标人，以投标报价最低投标人确定为中标人。</w:t>
      </w:r>
    </w:p>
    <w:p w14:paraId="7159D3AD">
      <w:pPr>
        <w:spacing w:before="131" w:line="379" w:lineRule="exact"/>
        <w:ind w:left="43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"2.3.1.4" </w:instrText>
      </w:r>
      <w:r>
        <w:rPr>
          <w:color w:val="auto"/>
          <w:highlight w:val="none"/>
        </w:rPr>
        <w:fldChar w:fldCharType="separate"/>
      </w:r>
      <w:r>
        <w:rPr>
          <w:rFonts w:ascii="Times New Roman" w:hAnsi="Times New Roman" w:eastAsia="Times New Roman" w:cs="Times New Roman"/>
          <w:color w:val="auto"/>
          <w:spacing w:val="2"/>
          <w:position w:val="12"/>
          <w:sz w:val="21"/>
          <w:szCs w:val="21"/>
          <w:highlight w:val="none"/>
        </w:rPr>
        <w:t>2.3.1.4</w:t>
      </w:r>
      <w:r>
        <w:rPr>
          <w:rFonts w:ascii="Times New Roman" w:hAnsi="Times New Roman" w:eastAsia="Times New Roman" w:cs="Times New Roman"/>
          <w:color w:val="auto"/>
          <w:spacing w:val="2"/>
          <w:position w:val="12"/>
          <w:sz w:val="21"/>
          <w:szCs w:val="21"/>
          <w:highlight w:val="none"/>
        </w:rPr>
        <w:fldChar w:fldCharType="end"/>
      </w:r>
      <w:r>
        <w:rPr>
          <w:rFonts w:ascii="Times New Roman" w:hAnsi="Times New Roman" w:eastAsia="Times New Roman" w:cs="Times New Roman"/>
          <w:color w:val="auto"/>
          <w:spacing w:val="39"/>
          <w:w w:val="101"/>
          <w:position w:val="12"/>
          <w:sz w:val="21"/>
          <w:szCs w:val="21"/>
          <w:highlight w:val="none"/>
        </w:rPr>
        <w:t xml:space="preserve"> </w:t>
      </w:r>
      <w:r>
        <w:rPr>
          <w:rFonts w:ascii="宋体" w:hAnsi="宋体" w:eastAsia="宋体" w:cs="宋体"/>
          <w:color w:val="auto"/>
          <w:spacing w:val="2"/>
          <w:position w:val="12"/>
          <w:sz w:val="21"/>
          <w:szCs w:val="21"/>
          <w:highlight w:val="none"/>
        </w:rPr>
        <w:t>票决抽签定标法。由定标委员会从进入票决定标的投标人中，以投票表</w:t>
      </w:r>
      <w:r>
        <w:rPr>
          <w:rFonts w:ascii="宋体" w:hAnsi="宋体" w:eastAsia="宋体" w:cs="宋体"/>
          <w:color w:val="auto"/>
          <w:spacing w:val="1"/>
          <w:position w:val="12"/>
          <w:sz w:val="21"/>
          <w:szCs w:val="21"/>
          <w:highlight w:val="none"/>
        </w:rPr>
        <w:t>决方式</w:t>
      </w:r>
    </w:p>
    <w:p w14:paraId="273FE103">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确定不少于</w:t>
      </w:r>
      <w:r>
        <w:rPr>
          <w:rFonts w:ascii="宋体" w:hAnsi="宋体" w:eastAsia="宋体" w:cs="宋体"/>
          <w:color w:val="auto"/>
          <w:spacing w:val="-43"/>
          <w:sz w:val="21"/>
          <w:szCs w:val="21"/>
          <w:highlight w:val="none"/>
        </w:rPr>
        <w:t xml:space="preserve"> </w:t>
      </w:r>
      <w:r>
        <w:rPr>
          <w:rFonts w:ascii="Times New Roman" w:hAnsi="Times New Roman" w:eastAsia="Times New Roman" w:cs="Times New Roman"/>
          <w:color w:val="auto"/>
          <w:spacing w:val="-1"/>
          <w:sz w:val="21"/>
          <w:szCs w:val="21"/>
          <w:highlight w:val="none"/>
        </w:rPr>
        <w:t xml:space="preserve">3 </w:t>
      </w:r>
      <w:r>
        <w:rPr>
          <w:rFonts w:ascii="宋体" w:hAnsi="宋体" w:eastAsia="宋体" w:cs="宋体"/>
          <w:color w:val="auto"/>
          <w:spacing w:val="-1"/>
          <w:sz w:val="21"/>
          <w:szCs w:val="21"/>
          <w:highlight w:val="none"/>
        </w:rPr>
        <w:t>名投标人，以随机抽签方式确定中标人。</w:t>
      </w:r>
    </w:p>
    <w:p w14:paraId="019A2DE9">
      <w:pPr>
        <w:spacing w:before="128" w:line="221"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2.3.2 </w:t>
      </w:r>
      <w:r>
        <w:rPr>
          <w:rFonts w:ascii="宋体" w:hAnsi="宋体" w:eastAsia="宋体" w:cs="宋体"/>
          <w:color w:val="auto"/>
          <w:spacing w:val="-1"/>
          <w:sz w:val="21"/>
          <w:szCs w:val="21"/>
          <w:highlight w:val="none"/>
        </w:rPr>
        <w:t>集体议事法</w:t>
      </w:r>
    </w:p>
    <w:p w14:paraId="27F10C3B">
      <w:pPr>
        <w:spacing w:before="134" w:line="379" w:lineRule="exact"/>
        <w:ind w:left="443"/>
        <w:rPr>
          <w:rFonts w:ascii="宋体" w:hAnsi="宋体" w:eastAsia="宋体" w:cs="宋体"/>
          <w:color w:val="auto"/>
          <w:sz w:val="21"/>
          <w:szCs w:val="21"/>
          <w:highlight w:val="none"/>
        </w:rPr>
      </w:pPr>
      <w:r>
        <w:rPr>
          <w:rFonts w:ascii="宋体" w:hAnsi="宋体" w:eastAsia="宋体" w:cs="宋体"/>
          <w:color w:val="auto"/>
          <w:position w:val="12"/>
          <w:sz w:val="21"/>
          <w:szCs w:val="21"/>
          <w:highlight w:val="none"/>
        </w:rPr>
        <w:t>指定标委员会进行集体商议，定标委员各自发表意见， 最终由定标委员会组长确定中</w:t>
      </w:r>
    </w:p>
    <w:p w14:paraId="557FEEAE">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标人的定标方法，具体方法见定标办法前附表。</w:t>
      </w:r>
    </w:p>
    <w:p w14:paraId="54D06ABA">
      <w:pPr>
        <w:spacing w:before="130" w:line="221"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2.3.3 </w:t>
      </w:r>
      <w:r>
        <w:rPr>
          <w:rFonts w:ascii="宋体" w:hAnsi="宋体" w:eastAsia="宋体" w:cs="宋体"/>
          <w:color w:val="auto"/>
          <w:spacing w:val="-1"/>
          <w:sz w:val="21"/>
          <w:szCs w:val="21"/>
          <w:highlight w:val="none"/>
        </w:rPr>
        <w:t>其他定标法</w:t>
      </w:r>
    </w:p>
    <w:p w14:paraId="467D9075">
      <w:pPr>
        <w:spacing w:before="127" w:line="379" w:lineRule="exact"/>
        <w:ind w:left="442"/>
        <w:rPr>
          <w:rFonts w:ascii="宋体" w:hAnsi="宋体" w:eastAsia="宋体" w:cs="宋体"/>
          <w:color w:val="auto"/>
          <w:sz w:val="21"/>
          <w:szCs w:val="21"/>
          <w:highlight w:val="none"/>
        </w:rPr>
      </w:pPr>
      <w:r>
        <w:rPr>
          <w:rFonts w:ascii="宋体" w:hAnsi="宋体" w:eastAsia="宋体" w:cs="宋体"/>
          <w:color w:val="auto"/>
          <w:spacing w:val="3"/>
          <w:position w:val="12"/>
          <w:sz w:val="21"/>
          <w:szCs w:val="21"/>
          <w:highlight w:val="none"/>
        </w:rPr>
        <w:t>招标人结合项目具体特点和实际情况制定的合理且规则明确的定标办法，具体方法见</w:t>
      </w:r>
    </w:p>
    <w:p w14:paraId="0A6A1658">
      <w:pPr>
        <w:spacing w:before="1" w:line="219" w:lineRule="auto"/>
        <w:ind w:left="2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定标办法前附表。</w:t>
      </w:r>
    </w:p>
    <w:p w14:paraId="5DCCB887">
      <w:pPr>
        <w:spacing w:line="219" w:lineRule="auto"/>
        <w:rPr>
          <w:rFonts w:ascii="宋体" w:hAnsi="宋体" w:eastAsia="宋体" w:cs="宋体"/>
          <w:color w:val="auto"/>
          <w:sz w:val="21"/>
          <w:szCs w:val="21"/>
          <w:highlight w:val="none"/>
        </w:rPr>
        <w:sectPr>
          <w:footerReference r:id="rId62" w:type="default"/>
          <w:pgSz w:w="11905" w:h="16839"/>
          <w:pgMar w:top="1431" w:right="1609" w:bottom="996" w:left="1785" w:header="0" w:footer="791" w:gutter="0"/>
          <w:pgNumType w:fmt="decimal"/>
          <w:cols w:space="720" w:num="1"/>
        </w:sectPr>
      </w:pPr>
    </w:p>
    <w:p w14:paraId="6D97140D">
      <w:pPr>
        <w:spacing w:before="86" w:line="224" w:lineRule="auto"/>
        <w:ind w:left="21"/>
        <w:rPr>
          <w:rFonts w:ascii="黑体" w:hAnsi="黑体" w:eastAsia="黑体" w:cs="黑体"/>
          <w:color w:val="auto"/>
          <w:sz w:val="27"/>
          <w:szCs w:val="27"/>
          <w:highlight w:val="none"/>
        </w:rPr>
      </w:pPr>
      <w:bookmarkStart w:id="167" w:name="bookmark196"/>
      <w:bookmarkEnd w:id="167"/>
      <w:bookmarkStart w:id="168" w:name="bookmark199"/>
      <w:bookmarkEnd w:id="168"/>
      <w:bookmarkStart w:id="169" w:name="bookmark197"/>
      <w:bookmarkEnd w:id="169"/>
      <w:bookmarkStart w:id="170" w:name="bookmark195"/>
      <w:bookmarkEnd w:id="170"/>
      <w:bookmarkStart w:id="171" w:name="bookmark198"/>
      <w:bookmarkEnd w:id="171"/>
      <w:r>
        <w:rPr>
          <w:rFonts w:ascii="Times New Roman" w:hAnsi="Times New Roman" w:eastAsia="Times New Roman" w:cs="Times New Roman"/>
          <w:color w:val="auto"/>
          <w:spacing w:val="5"/>
          <w:sz w:val="27"/>
          <w:szCs w:val="27"/>
          <w:highlight w:val="none"/>
        </w:rPr>
        <w:t>3.</w:t>
      </w:r>
      <w:r>
        <w:rPr>
          <w:rFonts w:ascii="黑体" w:hAnsi="黑体" w:eastAsia="黑体" w:cs="黑体"/>
          <w:color w:val="auto"/>
          <w:spacing w:val="5"/>
          <w:sz w:val="27"/>
          <w:szCs w:val="27"/>
          <w:highlight w:val="none"/>
        </w:rPr>
        <w:t>重新定标</w:t>
      </w:r>
    </w:p>
    <w:p w14:paraId="6E847731">
      <w:pPr>
        <w:spacing w:before="114" w:line="384" w:lineRule="exact"/>
        <w:ind w:right="6"/>
        <w:jc w:val="right"/>
        <w:rPr>
          <w:rFonts w:ascii="宋体" w:hAnsi="宋体" w:eastAsia="宋体" w:cs="宋体"/>
          <w:color w:val="auto"/>
          <w:sz w:val="21"/>
          <w:szCs w:val="21"/>
          <w:highlight w:val="none"/>
        </w:rPr>
      </w:pPr>
      <w:r>
        <w:rPr>
          <w:rFonts w:ascii="宋体" w:hAnsi="宋体" w:eastAsia="宋体" w:cs="宋体"/>
          <w:color w:val="auto"/>
          <w:position w:val="13"/>
          <w:sz w:val="21"/>
          <w:szCs w:val="21"/>
          <w:highlight w:val="none"/>
        </w:rPr>
        <w:t>定标后有下列情形之一的， 招标人可从其他定标候选人中采用原定标方办法，由原定</w:t>
      </w:r>
    </w:p>
    <w:p w14:paraId="21EC016F">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标委员会重新确定中标人：</w:t>
      </w:r>
    </w:p>
    <w:p w14:paraId="01370207">
      <w:pPr>
        <w:spacing w:before="129" w:line="221"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3.1</w:t>
      </w:r>
      <w:r>
        <w:rPr>
          <w:rFonts w:ascii="Times New Roman" w:hAnsi="Times New Roman" w:eastAsia="Times New Roman" w:cs="Times New Roman"/>
          <w:color w:val="auto"/>
          <w:spacing w:val="19"/>
          <w:w w:val="101"/>
          <w:sz w:val="21"/>
          <w:szCs w:val="21"/>
          <w:highlight w:val="none"/>
        </w:rPr>
        <w:t xml:space="preserve"> </w:t>
      </w:r>
      <w:r>
        <w:rPr>
          <w:rFonts w:ascii="宋体" w:hAnsi="宋体" w:eastAsia="宋体" w:cs="宋体"/>
          <w:color w:val="auto"/>
          <w:spacing w:val="-3"/>
          <w:sz w:val="21"/>
          <w:szCs w:val="21"/>
          <w:highlight w:val="none"/>
        </w:rPr>
        <w:t>中标人放弃中标或者拒不签订合同的；</w:t>
      </w:r>
    </w:p>
    <w:p w14:paraId="79FC2941">
      <w:pPr>
        <w:spacing w:before="127" w:line="221"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3.2</w:t>
      </w:r>
      <w:r>
        <w:rPr>
          <w:rFonts w:ascii="Times New Roman" w:hAnsi="Times New Roman" w:eastAsia="Times New Roman" w:cs="Times New Roman"/>
          <w:color w:val="auto"/>
          <w:spacing w:val="31"/>
          <w:w w:val="101"/>
          <w:sz w:val="21"/>
          <w:szCs w:val="21"/>
          <w:highlight w:val="none"/>
        </w:rPr>
        <w:t xml:space="preserve"> </w:t>
      </w:r>
      <w:r>
        <w:rPr>
          <w:rFonts w:ascii="宋体" w:hAnsi="宋体" w:eastAsia="宋体" w:cs="宋体"/>
          <w:color w:val="auto"/>
          <w:spacing w:val="-2"/>
          <w:sz w:val="21"/>
          <w:szCs w:val="21"/>
          <w:highlight w:val="none"/>
        </w:rPr>
        <w:t>中标人不按照招标文件要求提交履约担保的；</w:t>
      </w:r>
    </w:p>
    <w:p w14:paraId="6E9C615E">
      <w:pPr>
        <w:spacing w:before="128" w:line="221"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3.3 </w:t>
      </w:r>
      <w:r>
        <w:rPr>
          <w:rFonts w:ascii="宋体" w:hAnsi="宋体" w:eastAsia="宋体" w:cs="宋体"/>
          <w:color w:val="auto"/>
          <w:spacing w:val="-3"/>
          <w:sz w:val="21"/>
          <w:szCs w:val="21"/>
          <w:highlight w:val="none"/>
        </w:rPr>
        <w:t>被查实存在影响中标结果的违法行为的；</w:t>
      </w:r>
    </w:p>
    <w:p w14:paraId="34BF3952">
      <w:pPr>
        <w:spacing w:before="128" w:line="221"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3.4 </w:t>
      </w:r>
      <w:r>
        <w:rPr>
          <w:rFonts w:ascii="宋体" w:hAnsi="宋体" w:eastAsia="宋体" w:cs="宋体"/>
          <w:color w:val="auto"/>
          <w:spacing w:val="-1"/>
          <w:sz w:val="21"/>
          <w:szCs w:val="21"/>
          <w:highlight w:val="none"/>
        </w:rPr>
        <w:t>法律法规规定的其他情形。</w:t>
      </w:r>
    </w:p>
    <w:p w14:paraId="0E97345A">
      <w:pPr>
        <w:spacing w:before="186" w:line="224" w:lineRule="auto"/>
        <w:ind w:left="14"/>
        <w:rPr>
          <w:rFonts w:ascii="黑体" w:hAnsi="黑体" w:eastAsia="黑体" w:cs="黑体"/>
          <w:color w:val="auto"/>
          <w:sz w:val="27"/>
          <w:szCs w:val="27"/>
          <w:highlight w:val="none"/>
        </w:rPr>
      </w:pPr>
      <w:r>
        <w:rPr>
          <w:rFonts w:ascii="Times New Roman" w:hAnsi="Times New Roman" w:eastAsia="Times New Roman" w:cs="Times New Roman"/>
          <w:color w:val="auto"/>
          <w:spacing w:val="5"/>
          <w:sz w:val="27"/>
          <w:szCs w:val="27"/>
          <w:highlight w:val="none"/>
        </w:rPr>
        <w:t>4.</w:t>
      </w:r>
      <w:r>
        <w:rPr>
          <w:rFonts w:ascii="黑体" w:hAnsi="黑体" w:eastAsia="黑体" w:cs="黑体"/>
          <w:color w:val="auto"/>
          <w:spacing w:val="5"/>
          <w:sz w:val="27"/>
          <w:szCs w:val="27"/>
          <w:highlight w:val="none"/>
        </w:rPr>
        <w:t>监督</w:t>
      </w:r>
    </w:p>
    <w:p w14:paraId="033C477B">
      <w:pPr>
        <w:spacing w:before="119" w:line="379" w:lineRule="exact"/>
        <w:ind w:right="6"/>
        <w:jc w:val="right"/>
        <w:rPr>
          <w:rFonts w:ascii="宋体" w:hAnsi="宋体" w:eastAsia="宋体" w:cs="宋体"/>
          <w:color w:val="auto"/>
          <w:sz w:val="21"/>
          <w:szCs w:val="21"/>
          <w:highlight w:val="none"/>
        </w:rPr>
      </w:pPr>
      <w:r>
        <w:rPr>
          <w:rFonts w:ascii="宋体" w:hAnsi="宋体" w:eastAsia="宋体" w:cs="宋体"/>
          <w:color w:val="auto"/>
          <w:position w:val="12"/>
          <w:sz w:val="21"/>
          <w:szCs w:val="21"/>
          <w:highlight w:val="none"/>
        </w:rPr>
        <w:t>招标人负责组建监督小组， 对“评定分离”招投标活动全过程进行监督，重点监督招</w:t>
      </w:r>
    </w:p>
    <w:p w14:paraId="6693DD67">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标人是否按照确定的定标办法定标。</w:t>
      </w:r>
    </w:p>
    <w:p w14:paraId="5285A2FC">
      <w:pPr>
        <w:spacing w:line="220" w:lineRule="auto"/>
        <w:rPr>
          <w:rFonts w:ascii="宋体" w:hAnsi="宋体" w:eastAsia="宋体" w:cs="宋体"/>
          <w:color w:val="auto"/>
          <w:sz w:val="21"/>
          <w:szCs w:val="21"/>
          <w:highlight w:val="none"/>
        </w:rPr>
        <w:sectPr>
          <w:footerReference r:id="rId63" w:type="default"/>
          <w:pgSz w:w="11905" w:h="16839"/>
          <w:pgMar w:top="1431" w:right="1785" w:bottom="996" w:left="1785" w:header="0" w:footer="791" w:gutter="0"/>
          <w:pgNumType w:fmt="decimal"/>
          <w:cols w:space="720" w:num="1"/>
        </w:sectPr>
      </w:pPr>
    </w:p>
    <w:p w14:paraId="701BAED1">
      <w:pPr>
        <w:spacing w:before="86" w:line="224" w:lineRule="auto"/>
        <w:ind w:left="1796"/>
        <w:rPr>
          <w:rFonts w:ascii="黑体" w:hAnsi="黑体" w:eastAsia="黑体" w:cs="黑体"/>
          <w:color w:val="auto"/>
          <w:sz w:val="27"/>
          <w:szCs w:val="27"/>
          <w:highlight w:val="none"/>
        </w:rPr>
      </w:pPr>
      <w:bookmarkStart w:id="172" w:name="bookmark201"/>
      <w:bookmarkEnd w:id="172"/>
      <w:bookmarkStart w:id="173" w:name="bookmark202"/>
      <w:bookmarkEnd w:id="173"/>
      <w:bookmarkStart w:id="174" w:name="bookmark200"/>
      <w:bookmarkEnd w:id="174"/>
      <w:r>
        <w:rPr>
          <w:rFonts w:ascii="黑体" w:hAnsi="黑体" w:eastAsia="黑体" w:cs="黑体"/>
          <w:color w:val="auto"/>
          <w:spacing w:val="8"/>
          <w:sz w:val="27"/>
          <w:szCs w:val="27"/>
          <w:highlight w:val="none"/>
        </w:rPr>
        <w:t>评标办法前附表（经评审的最低投标价法）</w:t>
      </w:r>
    </w:p>
    <w:p w14:paraId="0FABA04C">
      <w:pPr>
        <w:spacing w:before="155"/>
        <w:rPr>
          <w:color w:val="auto"/>
          <w:highlight w:val="none"/>
        </w:rPr>
      </w:pPr>
    </w:p>
    <w:tbl>
      <w:tblPr>
        <w:tblStyle w:val="10"/>
        <w:tblW w:w="89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9"/>
        <w:gridCol w:w="1060"/>
        <w:gridCol w:w="2328"/>
        <w:gridCol w:w="4775"/>
      </w:tblGrid>
      <w:tr w14:paraId="5BAD1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7" w:hRule="atLeast"/>
        </w:trPr>
        <w:tc>
          <w:tcPr>
            <w:tcW w:w="1799" w:type="dxa"/>
            <w:gridSpan w:val="2"/>
            <w:vAlign w:val="top"/>
          </w:tcPr>
          <w:p w14:paraId="414ED403">
            <w:pPr>
              <w:pStyle w:val="11"/>
              <w:spacing w:before="158" w:line="221" w:lineRule="auto"/>
              <w:ind w:left="586"/>
              <w:rPr>
                <w:color w:val="auto"/>
                <w:highlight w:val="none"/>
              </w:rPr>
            </w:pPr>
            <w:r>
              <w:rPr>
                <w:color w:val="auto"/>
                <w:spacing w:val="-2"/>
                <w:highlight w:val="none"/>
                <w14:textOutline w14:w="3831" w14:cap="flat" w14:cmpd="sng">
                  <w14:solidFill>
                    <w14:srgbClr w14:val="000000"/>
                  </w14:solidFill>
                  <w14:prstDash w14:val="solid"/>
                  <w14:miter w14:val="0"/>
                </w14:textOutline>
              </w:rPr>
              <w:t>条款号</w:t>
            </w:r>
          </w:p>
        </w:tc>
        <w:tc>
          <w:tcPr>
            <w:tcW w:w="2328" w:type="dxa"/>
            <w:vAlign w:val="top"/>
          </w:tcPr>
          <w:p w14:paraId="718B9820">
            <w:pPr>
              <w:pStyle w:val="11"/>
              <w:spacing w:before="158" w:line="221" w:lineRule="auto"/>
              <w:ind w:left="743"/>
              <w:rPr>
                <w:color w:val="auto"/>
                <w:highlight w:val="none"/>
              </w:rPr>
            </w:pPr>
            <w:r>
              <w:rPr>
                <w:color w:val="auto"/>
                <w:spacing w:val="-1"/>
                <w:highlight w:val="none"/>
                <w14:textOutline w14:w="3831" w14:cap="flat" w14:cmpd="sng">
                  <w14:solidFill>
                    <w14:srgbClr w14:val="000000"/>
                  </w14:solidFill>
                  <w14:prstDash w14:val="solid"/>
                  <w14:miter w14:val="0"/>
                </w14:textOutline>
              </w:rPr>
              <w:t>评审因素</w:t>
            </w:r>
          </w:p>
        </w:tc>
        <w:tc>
          <w:tcPr>
            <w:tcW w:w="4775" w:type="dxa"/>
            <w:vAlign w:val="top"/>
          </w:tcPr>
          <w:p w14:paraId="445E5E6A">
            <w:pPr>
              <w:pStyle w:val="11"/>
              <w:spacing w:before="159" w:line="221" w:lineRule="auto"/>
              <w:ind w:left="1896"/>
              <w:rPr>
                <w:color w:val="auto"/>
                <w:highlight w:val="none"/>
              </w:rPr>
            </w:pPr>
            <w:r>
              <w:rPr>
                <w:color w:val="auto"/>
                <w:spacing w:val="-1"/>
                <w:highlight w:val="none"/>
                <w14:textOutline w14:w="3831" w14:cap="flat" w14:cmpd="sng">
                  <w14:solidFill>
                    <w14:srgbClr w14:val="000000"/>
                  </w14:solidFill>
                  <w14:prstDash w14:val="solid"/>
                  <w14:miter w14:val="0"/>
                </w14:textOutline>
              </w:rPr>
              <w:t>评审标准</w:t>
            </w:r>
          </w:p>
        </w:tc>
      </w:tr>
      <w:tr w14:paraId="0AFFE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restart"/>
            <w:tcBorders>
              <w:bottom w:val="nil"/>
            </w:tcBorders>
            <w:vAlign w:val="top"/>
          </w:tcPr>
          <w:p w14:paraId="33897D18">
            <w:pPr>
              <w:spacing w:line="249" w:lineRule="auto"/>
              <w:rPr>
                <w:rFonts w:ascii="Arial"/>
                <w:color w:val="auto"/>
                <w:sz w:val="21"/>
                <w:highlight w:val="none"/>
              </w:rPr>
            </w:pPr>
          </w:p>
          <w:p w14:paraId="653C2B80">
            <w:pPr>
              <w:spacing w:line="249" w:lineRule="auto"/>
              <w:rPr>
                <w:rFonts w:ascii="Arial"/>
                <w:color w:val="auto"/>
                <w:sz w:val="21"/>
                <w:highlight w:val="none"/>
              </w:rPr>
            </w:pPr>
          </w:p>
          <w:p w14:paraId="6A13115A">
            <w:pPr>
              <w:spacing w:line="249" w:lineRule="auto"/>
              <w:rPr>
                <w:rFonts w:ascii="Arial"/>
                <w:color w:val="auto"/>
                <w:sz w:val="21"/>
                <w:highlight w:val="none"/>
              </w:rPr>
            </w:pPr>
          </w:p>
          <w:p w14:paraId="45187766">
            <w:pPr>
              <w:spacing w:line="249" w:lineRule="auto"/>
              <w:rPr>
                <w:rFonts w:ascii="Arial"/>
                <w:color w:val="auto"/>
                <w:sz w:val="21"/>
                <w:highlight w:val="none"/>
              </w:rPr>
            </w:pPr>
          </w:p>
          <w:p w14:paraId="6152567A">
            <w:pPr>
              <w:spacing w:line="249" w:lineRule="auto"/>
              <w:rPr>
                <w:rFonts w:ascii="Arial"/>
                <w:color w:val="auto"/>
                <w:sz w:val="21"/>
                <w:highlight w:val="none"/>
              </w:rPr>
            </w:pPr>
          </w:p>
          <w:p w14:paraId="3FC69D1E">
            <w:pPr>
              <w:spacing w:line="249" w:lineRule="auto"/>
              <w:rPr>
                <w:rFonts w:ascii="Arial"/>
                <w:color w:val="auto"/>
                <w:sz w:val="21"/>
                <w:highlight w:val="none"/>
              </w:rPr>
            </w:pPr>
          </w:p>
          <w:p w14:paraId="3DF8E083">
            <w:pPr>
              <w:spacing w:line="249" w:lineRule="auto"/>
              <w:rPr>
                <w:rFonts w:ascii="Arial"/>
                <w:color w:val="auto"/>
                <w:sz w:val="21"/>
                <w:highlight w:val="none"/>
              </w:rPr>
            </w:pPr>
          </w:p>
          <w:p w14:paraId="5A181B6D">
            <w:pPr>
              <w:spacing w:line="249" w:lineRule="auto"/>
              <w:rPr>
                <w:rFonts w:ascii="Arial"/>
                <w:color w:val="auto"/>
                <w:sz w:val="21"/>
                <w:highlight w:val="none"/>
              </w:rPr>
            </w:pPr>
          </w:p>
          <w:p w14:paraId="519FF778">
            <w:pPr>
              <w:spacing w:line="249" w:lineRule="auto"/>
              <w:rPr>
                <w:rFonts w:ascii="Arial"/>
                <w:color w:val="auto"/>
                <w:sz w:val="21"/>
                <w:highlight w:val="none"/>
              </w:rPr>
            </w:pPr>
          </w:p>
          <w:p w14:paraId="26BB9A3D">
            <w:pPr>
              <w:spacing w:line="249" w:lineRule="auto"/>
              <w:rPr>
                <w:rFonts w:ascii="Arial"/>
                <w:color w:val="auto"/>
                <w:sz w:val="21"/>
                <w:highlight w:val="none"/>
              </w:rPr>
            </w:pPr>
          </w:p>
          <w:p w14:paraId="5C206AF7">
            <w:pPr>
              <w:spacing w:line="249" w:lineRule="auto"/>
              <w:rPr>
                <w:rFonts w:ascii="Arial"/>
                <w:color w:val="auto"/>
                <w:sz w:val="21"/>
                <w:highlight w:val="none"/>
              </w:rPr>
            </w:pPr>
          </w:p>
          <w:p w14:paraId="27459382">
            <w:pPr>
              <w:spacing w:line="249" w:lineRule="auto"/>
              <w:rPr>
                <w:rFonts w:ascii="Arial"/>
                <w:color w:val="auto"/>
                <w:sz w:val="21"/>
                <w:highlight w:val="none"/>
              </w:rPr>
            </w:pPr>
          </w:p>
          <w:p w14:paraId="75C8B8C2">
            <w:pPr>
              <w:spacing w:line="249" w:lineRule="auto"/>
              <w:rPr>
                <w:rFonts w:ascii="Arial"/>
                <w:color w:val="auto"/>
                <w:sz w:val="21"/>
                <w:highlight w:val="none"/>
              </w:rPr>
            </w:pPr>
          </w:p>
          <w:p w14:paraId="5B9D84C2">
            <w:pPr>
              <w:spacing w:line="250" w:lineRule="auto"/>
              <w:rPr>
                <w:rFonts w:ascii="Arial"/>
                <w:color w:val="auto"/>
                <w:sz w:val="21"/>
                <w:highlight w:val="none"/>
              </w:rPr>
            </w:pPr>
          </w:p>
          <w:p w14:paraId="0EAA6C75">
            <w:pPr>
              <w:spacing w:line="250" w:lineRule="auto"/>
              <w:rPr>
                <w:rFonts w:ascii="Arial"/>
                <w:color w:val="auto"/>
                <w:sz w:val="21"/>
                <w:highlight w:val="none"/>
              </w:rPr>
            </w:pPr>
          </w:p>
          <w:p w14:paraId="4AD3B4C5">
            <w:pPr>
              <w:spacing w:before="61" w:line="189" w:lineRule="auto"/>
              <w:ind w:left="157"/>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2.1.1</w:t>
            </w:r>
          </w:p>
        </w:tc>
        <w:tc>
          <w:tcPr>
            <w:tcW w:w="1060" w:type="dxa"/>
            <w:vMerge w:val="restart"/>
            <w:tcBorders>
              <w:bottom w:val="nil"/>
            </w:tcBorders>
            <w:vAlign w:val="top"/>
          </w:tcPr>
          <w:p w14:paraId="72EAFF98">
            <w:pPr>
              <w:spacing w:line="252" w:lineRule="auto"/>
              <w:rPr>
                <w:rFonts w:ascii="Arial"/>
                <w:color w:val="auto"/>
                <w:sz w:val="21"/>
                <w:highlight w:val="none"/>
              </w:rPr>
            </w:pPr>
          </w:p>
          <w:p w14:paraId="6D38049C">
            <w:pPr>
              <w:spacing w:line="252" w:lineRule="auto"/>
              <w:rPr>
                <w:rFonts w:ascii="Arial"/>
                <w:color w:val="auto"/>
                <w:sz w:val="21"/>
                <w:highlight w:val="none"/>
              </w:rPr>
            </w:pPr>
          </w:p>
          <w:p w14:paraId="55848974">
            <w:pPr>
              <w:spacing w:line="252" w:lineRule="auto"/>
              <w:rPr>
                <w:rFonts w:ascii="Arial"/>
                <w:color w:val="auto"/>
                <w:sz w:val="21"/>
                <w:highlight w:val="none"/>
              </w:rPr>
            </w:pPr>
          </w:p>
          <w:p w14:paraId="27DBF5D3">
            <w:pPr>
              <w:spacing w:line="252" w:lineRule="auto"/>
              <w:rPr>
                <w:rFonts w:ascii="Arial"/>
                <w:color w:val="auto"/>
                <w:sz w:val="21"/>
                <w:highlight w:val="none"/>
              </w:rPr>
            </w:pPr>
          </w:p>
          <w:p w14:paraId="2C3383F4">
            <w:pPr>
              <w:spacing w:line="252" w:lineRule="auto"/>
              <w:rPr>
                <w:rFonts w:ascii="Arial"/>
                <w:color w:val="auto"/>
                <w:sz w:val="21"/>
                <w:highlight w:val="none"/>
              </w:rPr>
            </w:pPr>
          </w:p>
          <w:p w14:paraId="6FD0ACAF">
            <w:pPr>
              <w:spacing w:line="252" w:lineRule="auto"/>
              <w:rPr>
                <w:rFonts w:ascii="Arial"/>
                <w:color w:val="auto"/>
                <w:sz w:val="21"/>
                <w:highlight w:val="none"/>
              </w:rPr>
            </w:pPr>
          </w:p>
          <w:p w14:paraId="526B466F">
            <w:pPr>
              <w:spacing w:line="252" w:lineRule="auto"/>
              <w:rPr>
                <w:rFonts w:ascii="Arial"/>
                <w:color w:val="auto"/>
                <w:sz w:val="21"/>
                <w:highlight w:val="none"/>
              </w:rPr>
            </w:pPr>
          </w:p>
          <w:p w14:paraId="6F720AFB">
            <w:pPr>
              <w:spacing w:line="252" w:lineRule="auto"/>
              <w:rPr>
                <w:rFonts w:ascii="Arial"/>
                <w:color w:val="auto"/>
                <w:sz w:val="21"/>
                <w:highlight w:val="none"/>
              </w:rPr>
            </w:pPr>
          </w:p>
          <w:p w14:paraId="0363B1F6">
            <w:pPr>
              <w:spacing w:line="252" w:lineRule="auto"/>
              <w:rPr>
                <w:rFonts w:ascii="Arial"/>
                <w:color w:val="auto"/>
                <w:sz w:val="21"/>
                <w:highlight w:val="none"/>
              </w:rPr>
            </w:pPr>
          </w:p>
          <w:p w14:paraId="6FB0C39B">
            <w:pPr>
              <w:spacing w:line="252" w:lineRule="auto"/>
              <w:rPr>
                <w:rFonts w:ascii="Arial"/>
                <w:color w:val="auto"/>
                <w:sz w:val="21"/>
                <w:highlight w:val="none"/>
              </w:rPr>
            </w:pPr>
          </w:p>
          <w:p w14:paraId="16C99150">
            <w:pPr>
              <w:spacing w:line="252" w:lineRule="auto"/>
              <w:rPr>
                <w:rFonts w:ascii="Arial"/>
                <w:color w:val="auto"/>
                <w:sz w:val="21"/>
                <w:highlight w:val="none"/>
              </w:rPr>
            </w:pPr>
          </w:p>
          <w:p w14:paraId="0E6020B7">
            <w:pPr>
              <w:spacing w:line="253" w:lineRule="auto"/>
              <w:rPr>
                <w:rFonts w:ascii="Arial"/>
                <w:color w:val="auto"/>
                <w:sz w:val="21"/>
                <w:highlight w:val="none"/>
              </w:rPr>
            </w:pPr>
          </w:p>
          <w:p w14:paraId="07F1C2DC">
            <w:pPr>
              <w:spacing w:line="253" w:lineRule="auto"/>
              <w:rPr>
                <w:rFonts w:ascii="Arial"/>
                <w:color w:val="auto"/>
                <w:sz w:val="21"/>
                <w:highlight w:val="none"/>
              </w:rPr>
            </w:pPr>
          </w:p>
          <w:p w14:paraId="7CD69509">
            <w:pPr>
              <w:pStyle w:val="11"/>
              <w:spacing w:before="68" w:line="418" w:lineRule="exact"/>
              <w:ind w:left="323"/>
              <w:rPr>
                <w:color w:val="auto"/>
                <w:highlight w:val="none"/>
              </w:rPr>
            </w:pPr>
            <w:r>
              <w:rPr>
                <w:color w:val="auto"/>
                <w:spacing w:val="-3"/>
                <w:position w:val="15"/>
                <w:highlight w:val="none"/>
              </w:rPr>
              <w:t>形式</w:t>
            </w:r>
          </w:p>
          <w:p w14:paraId="412CC605">
            <w:pPr>
              <w:pStyle w:val="11"/>
              <w:spacing w:line="221" w:lineRule="auto"/>
              <w:ind w:left="319"/>
              <w:rPr>
                <w:color w:val="auto"/>
                <w:highlight w:val="none"/>
              </w:rPr>
            </w:pPr>
            <w:r>
              <w:rPr>
                <w:color w:val="auto"/>
                <w:spacing w:val="-2"/>
                <w:highlight w:val="none"/>
              </w:rPr>
              <w:t>评审</w:t>
            </w:r>
          </w:p>
          <w:p w14:paraId="09B16C6F">
            <w:pPr>
              <w:pStyle w:val="11"/>
              <w:spacing w:before="171" w:line="221" w:lineRule="auto"/>
              <w:ind w:left="321"/>
              <w:rPr>
                <w:color w:val="auto"/>
                <w:highlight w:val="none"/>
              </w:rPr>
            </w:pPr>
            <w:r>
              <w:rPr>
                <w:color w:val="auto"/>
                <w:spacing w:val="-2"/>
                <w:highlight w:val="none"/>
              </w:rPr>
              <w:t>标准</w:t>
            </w:r>
          </w:p>
        </w:tc>
        <w:tc>
          <w:tcPr>
            <w:tcW w:w="2328" w:type="dxa"/>
            <w:vAlign w:val="top"/>
          </w:tcPr>
          <w:p w14:paraId="74C4B937">
            <w:pPr>
              <w:pStyle w:val="11"/>
              <w:spacing w:before="160" w:line="221" w:lineRule="auto"/>
              <w:ind w:left="646"/>
              <w:rPr>
                <w:color w:val="auto"/>
                <w:highlight w:val="none"/>
              </w:rPr>
            </w:pPr>
            <w:r>
              <w:rPr>
                <w:color w:val="auto"/>
                <w:spacing w:val="-1"/>
                <w:highlight w:val="none"/>
              </w:rPr>
              <w:t>投标人名称</w:t>
            </w:r>
          </w:p>
        </w:tc>
        <w:tc>
          <w:tcPr>
            <w:tcW w:w="4775" w:type="dxa"/>
            <w:vAlign w:val="top"/>
          </w:tcPr>
          <w:p w14:paraId="7D588096">
            <w:pPr>
              <w:pStyle w:val="11"/>
              <w:spacing w:before="159" w:line="220" w:lineRule="auto"/>
              <w:ind w:left="115"/>
              <w:rPr>
                <w:color w:val="auto"/>
                <w:highlight w:val="none"/>
              </w:rPr>
            </w:pPr>
            <w:r>
              <w:rPr>
                <w:color w:val="auto"/>
                <w:spacing w:val="-1"/>
                <w:highlight w:val="none"/>
              </w:rPr>
              <w:t>与营业执照、资质证书、安全生产许可证一致</w:t>
            </w:r>
          </w:p>
        </w:tc>
      </w:tr>
      <w:tr w14:paraId="2364A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7101DCB3">
            <w:pPr>
              <w:rPr>
                <w:rFonts w:ascii="Arial"/>
                <w:color w:val="auto"/>
                <w:sz w:val="21"/>
                <w:highlight w:val="none"/>
              </w:rPr>
            </w:pPr>
          </w:p>
        </w:tc>
        <w:tc>
          <w:tcPr>
            <w:tcW w:w="1060" w:type="dxa"/>
            <w:vMerge w:val="continue"/>
            <w:tcBorders>
              <w:top w:val="nil"/>
              <w:bottom w:val="nil"/>
            </w:tcBorders>
            <w:vAlign w:val="top"/>
          </w:tcPr>
          <w:p w14:paraId="0D1D033C">
            <w:pPr>
              <w:rPr>
                <w:rFonts w:ascii="Arial"/>
                <w:color w:val="auto"/>
                <w:sz w:val="21"/>
                <w:highlight w:val="none"/>
              </w:rPr>
            </w:pPr>
          </w:p>
        </w:tc>
        <w:tc>
          <w:tcPr>
            <w:tcW w:w="2328" w:type="dxa"/>
            <w:vAlign w:val="top"/>
          </w:tcPr>
          <w:p w14:paraId="78CF9C01">
            <w:pPr>
              <w:pStyle w:val="11"/>
              <w:spacing w:before="154" w:line="220" w:lineRule="auto"/>
              <w:ind w:left="329"/>
              <w:rPr>
                <w:color w:val="auto"/>
                <w:highlight w:val="none"/>
              </w:rPr>
            </w:pPr>
            <w:r>
              <w:rPr>
                <w:color w:val="auto"/>
                <w:spacing w:val="-1"/>
                <w:highlight w:val="none"/>
              </w:rPr>
              <w:t>投标文件签字盖章</w:t>
            </w:r>
          </w:p>
        </w:tc>
        <w:tc>
          <w:tcPr>
            <w:tcW w:w="4775" w:type="dxa"/>
            <w:vAlign w:val="top"/>
          </w:tcPr>
          <w:p w14:paraId="57C51A21">
            <w:pPr>
              <w:pStyle w:val="11"/>
              <w:spacing w:before="154" w:line="220" w:lineRule="auto"/>
              <w:ind w:left="113"/>
              <w:rPr>
                <w:color w:val="auto"/>
                <w:highlight w:val="none"/>
              </w:rPr>
            </w:pPr>
            <w:r>
              <w:rPr>
                <w:color w:val="auto"/>
                <w:spacing w:val="-1"/>
                <w:highlight w:val="none"/>
              </w:rPr>
              <w:t>符合第二章“投标人须知”第</w:t>
            </w:r>
            <w:r>
              <w:rPr>
                <w:color w:val="auto"/>
                <w:spacing w:val="-43"/>
                <w:highlight w:val="none"/>
              </w:rPr>
              <w:t xml:space="preserve"> </w:t>
            </w:r>
            <w:r>
              <w:rPr>
                <w:color w:val="auto"/>
                <w:spacing w:val="-1"/>
                <w:highlight w:val="none"/>
              </w:rPr>
              <w:t>3.7.3（4）目规定</w:t>
            </w:r>
          </w:p>
        </w:tc>
      </w:tr>
      <w:tr w14:paraId="44172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39" w:type="dxa"/>
            <w:vMerge w:val="continue"/>
            <w:tcBorders>
              <w:top w:val="nil"/>
              <w:bottom w:val="nil"/>
            </w:tcBorders>
            <w:vAlign w:val="top"/>
          </w:tcPr>
          <w:p w14:paraId="1BD0F9C2">
            <w:pPr>
              <w:rPr>
                <w:rFonts w:ascii="Arial"/>
                <w:color w:val="auto"/>
                <w:sz w:val="21"/>
                <w:highlight w:val="none"/>
              </w:rPr>
            </w:pPr>
          </w:p>
        </w:tc>
        <w:tc>
          <w:tcPr>
            <w:tcW w:w="1060" w:type="dxa"/>
            <w:vMerge w:val="continue"/>
            <w:tcBorders>
              <w:top w:val="nil"/>
              <w:bottom w:val="nil"/>
            </w:tcBorders>
            <w:vAlign w:val="top"/>
          </w:tcPr>
          <w:p w14:paraId="7BAA6D1A">
            <w:pPr>
              <w:rPr>
                <w:rFonts w:ascii="Arial"/>
                <w:color w:val="auto"/>
                <w:sz w:val="21"/>
                <w:highlight w:val="none"/>
              </w:rPr>
            </w:pPr>
          </w:p>
        </w:tc>
        <w:tc>
          <w:tcPr>
            <w:tcW w:w="2328" w:type="dxa"/>
            <w:vAlign w:val="top"/>
          </w:tcPr>
          <w:p w14:paraId="659A5557">
            <w:pPr>
              <w:spacing w:line="300" w:lineRule="auto"/>
              <w:rPr>
                <w:rFonts w:ascii="Arial"/>
                <w:color w:val="auto"/>
                <w:sz w:val="21"/>
                <w:highlight w:val="none"/>
              </w:rPr>
            </w:pPr>
          </w:p>
          <w:p w14:paraId="2D476970">
            <w:pPr>
              <w:pStyle w:val="11"/>
              <w:spacing w:before="68" w:line="221" w:lineRule="auto"/>
              <w:ind w:left="223"/>
              <w:rPr>
                <w:color w:val="auto"/>
                <w:highlight w:val="none"/>
              </w:rPr>
            </w:pPr>
            <w:r>
              <w:rPr>
                <w:color w:val="auto"/>
                <w:spacing w:val="-1"/>
                <w:highlight w:val="none"/>
              </w:rPr>
              <w:t>投标文件格式、内容</w:t>
            </w:r>
          </w:p>
        </w:tc>
        <w:tc>
          <w:tcPr>
            <w:tcW w:w="4775" w:type="dxa"/>
            <w:vAlign w:val="top"/>
          </w:tcPr>
          <w:p w14:paraId="1F7CC2A3">
            <w:pPr>
              <w:pStyle w:val="11"/>
              <w:spacing w:before="159" w:line="423" w:lineRule="exact"/>
              <w:ind w:left="113"/>
              <w:rPr>
                <w:color w:val="auto"/>
                <w:highlight w:val="none"/>
              </w:rPr>
            </w:pPr>
            <w:r>
              <w:rPr>
                <w:color w:val="auto"/>
                <w:spacing w:val="6"/>
                <w:position w:val="16"/>
                <w:highlight w:val="none"/>
              </w:rPr>
              <w:t>符合第八章“投标文件格式”的要求且实质性内</w:t>
            </w:r>
          </w:p>
          <w:p w14:paraId="0DB1C95C">
            <w:pPr>
              <w:pStyle w:val="11"/>
              <w:spacing w:line="220" w:lineRule="auto"/>
              <w:ind w:left="114"/>
              <w:rPr>
                <w:color w:val="auto"/>
                <w:highlight w:val="none"/>
              </w:rPr>
            </w:pPr>
            <w:r>
              <w:rPr>
                <w:color w:val="auto"/>
                <w:spacing w:val="-2"/>
                <w:highlight w:val="none"/>
              </w:rPr>
              <w:t>容齐全</w:t>
            </w:r>
          </w:p>
        </w:tc>
      </w:tr>
      <w:tr w14:paraId="13819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continue"/>
            <w:tcBorders>
              <w:top w:val="nil"/>
              <w:bottom w:val="nil"/>
            </w:tcBorders>
            <w:vAlign w:val="top"/>
          </w:tcPr>
          <w:p w14:paraId="1821C2F8">
            <w:pPr>
              <w:rPr>
                <w:rFonts w:ascii="Arial"/>
                <w:color w:val="auto"/>
                <w:sz w:val="21"/>
                <w:highlight w:val="none"/>
              </w:rPr>
            </w:pPr>
          </w:p>
        </w:tc>
        <w:tc>
          <w:tcPr>
            <w:tcW w:w="1060" w:type="dxa"/>
            <w:vMerge w:val="continue"/>
            <w:tcBorders>
              <w:top w:val="nil"/>
              <w:bottom w:val="nil"/>
            </w:tcBorders>
            <w:vAlign w:val="top"/>
          </w:tcPr>
          <w:p w14:paraId="57F67B9B">
            <w:pPr>
              <w:rPr>
                <w:rFonts w:ascii="Arial"/>
                <w:color w:val="auto"/>
                <w:sz w:val="21"/>
                <w:highlight w:val="none"/>
              </w:rPr>
            </w:pPr>
          </w:p>
        </w:tc>
        <w:tc>
          <w:tcPr>
            <w:tcW w:w="2328" w:type="dxa"/>
            <w:vAlign w:val="top"/>
          </w:tcPr>
          <w:p w14:paraId="44013D74">
            <w:pPr>
              <w:spacing w:line="297" w:lineRule="auto"/>
              <w:rPr>
                <w:rFonts w:ascii="Arial"/>
                <w:color w:val="auto"/>
                <w:sz w:val="21"/>
                <w:highlight w:val="none"/>
              </w:rPr>
            </w:pPr>
          </w:p>
          <w:p w14:paraId="7571A451">
            <w:pPr>
              <w:pStyle w:val="11"/>
              <w:spacing w:before="68" w:line="221" w:lineRule="auto"/>
              <w:ind w:left="121"/>
              <w:rPr>
                <w:color w:val="auto"/>
                <w:highlight w:val="none"/>
              </w:rPr>
            </w:pPr>
            <w:r>
              <w:rPr>
                <w:color w:val="auto"/>
                <w:spacing w:val="-1"/>
                <w:highlight w:val="none"/>
              </w:rPr>
              <w:t>联合体投标人（如有）</w:t>
            </w:r>
          </w:p>
        </w:tc>
        <w:tc>
          <w:tcPr>
            <w:tcW w:w="4775" w:type="dxa"/>
            <w:vAlign w:val="top"/>
          </w:tcPr>
          <w:p w14:paraId="361478AB">
            <w:pPr>
              <w:pStyle w:val="11"/>
              <w:spacing w:before="155" w:line="423" w:lineRule="exact"/>
              <w:ind w:left="112"/>
              <w:rPr>
                <w:color w:val="auto"/>
                <w:highlight w:val="none"/>
              </w:rPr>
            </w:pPr>
            <w:r>
              <w:rPr>
                <w:color w:val="auto"/>
                <w:spacing w:val="6"/>
                <w:position w:val="16"/>
                <w:highlight w:val="none"/>
              </w:rPr>
              <w:t>提交联合体协议书，并明确联合体牵头人和各方</w:t>
            </w:r>
          </w:p>
          <w:p w14:paraId="0D634336">
            <w:pPr>
              <w:pStyle w:val="11"/>
              <w:spacing w:line="220" w:lineRule="auto"/>
              <w:ind w:left="129"/>
              <w:rPr>
                <w:color w:val="auto"/>
                <w:highlight w:val="none"/>
              </w:rPr>
            </w:pPr>
            <w:r>
              <w:rPr>
                <w:color w:val="auto"/>
                <w:spacing w:val="-4"/>
                <w:highlight w:val="none"/>
              </w:rPr>
              <w:t>的权利义务</w:t>
            </w:r>
          </w:p>
        </w:tc>
      </w:tr>
      <w:tr w14:paraId="52486B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39" w:type="dxa"/>
            <w:vMerge w:val="continue"/>
            <w:tcBorders>
              <w:top w:val="nil"/>
              <w:bottom w:val="nil"/>
            </w:tcBorders>
            <w:vAlign w:val="top"/>
          </w:tcPr>
          <w:p w14:paraId="1163C038">
            <w:pPr>
              <w:rPr>
                <w:rFonts w:ascii="Arial"/>
                <w:color w:val="auto"/>
                <w:sz w:val="21"/>
                <w:highlight w:val="none"/>
              </w:rPr>
            </w:pPr>
          </w:p>
        </w:tc>
        <w:tc>
          <w:tcPr>
            <w:tcW w:w="1060" w:type="dxa"/>
            <w:vMerge w:val="continue"/>
            <w:tcBorders>
              <w:top w:val="nil"/>
              <w:bottom w:val="nil"/>
            </w:tcBorders>
            <w:vAlign w:val="top"/>
          </w:tcPr>
          <w:p w14:paraId="46108F34">
            <w:pPr>
              <w:rPr>
                <w:rFonts w:ascii="Arial"/>
                <w:color w:val="auto"/>
                <w:sz w:val="21"/>
                <w:highlight w:val="none"/>
              </w:rPr>
            </w:pPr>
          </w:p>
        </w:tc>
        <w:tc>
          <w:tcPr>
            <w:tcW w:w="2328" w:type="dxa"/>
            <w:vAlign w:val="top"/>
          </w:tcPr>
          <w:p w14:paraId="0262F233">
            <w:pPr>
              <w:spacing w:line="296" w:lineRule="auto"/>
              <w:rPr>
                <w:rFonts w:ascii="Arial"/>
                <w:color w:val="auto"/>
                <w:sz w:val="21"/>
                <w:highlight w:val="none"/>
              </w:rPr>
            </w:pPr>
          </w:p>
          <w:p w14:paraId="1746FE13">
            <w:pPr>
              <w:pStyle w:val="11"/>
              <w:spacing w:before="69" w:line="219" w:lineRule="auto"/>
              <w:ind w:left="747"/>
              <w:rPr>
                <w:color w:val="auto"/>
                <w:highlight w:val="none"/>
              </w:rPr>
            </w:pPr>
            <w:r>
              <w:rPr>
                <w:color w:val="auto"/>
                <w:spacing w:val="2"/>
                <w:highlight w:val="none"/>
              </w:rPr>
              <w:t>报价唯一</w:t>
            </w:r>
          </w:p>
        </w:tc>
        <w:tc>
          <w:tcPr>
            <w:tcW w:w="4775" w:type="dxa"/>
            <w:vAlign w:val="top"/>
          </w:tcPr>
          <w:p w14:paraId="3298A960">
            <w:pPr>
              <w:pStyle w:val="11"/>
              <w:spacing w:before="155" w:line="422" w:lineRule="exact"/>
              <w:ind w:left="114"/>
              <w:rPr>
                <w:color w:val="auto"/>
                <w:highlight w:val="none"/>
              </w:rPr>
            </w:pPr>
            <w:r>
              <w:rPr>
                <w:color w:val="auto"/>
                <w:spacing w:val="4"/>
                <w:position w:val="16"/>
                <w:highlight w:val="none"/>
              </w:rPr>
              <w:t>投标报价文件（包括投标函）</w:t>
            </w:r>
            <w:r>
              <w:rPr>
                <w:color w:val="auto"/>
                <w:spacing w:val="-55"/>
                <w:position w:val="16"/>
                <w:highlight w:val="none"/>
              </w:rPr>
              <w:t xml:space="preserve"> </w:t>
            </w:r>
            <w:r>
              <w:rPr>
                <w:color w:val="auto"/>
                <w:spacing w:val="4"/>
                <w:position w:val="16"/>
                <w:highlight w:val="none"/>
              </w:rPr>
              <w:t>中的任何单价、合</w:t>
            </w:r>
          </w:p>
          <w:p w14:paraId="01229CC6">
            <w:pPr>
              <w:pStyle w:val="11"/>
              <w:spacing w:line="219" w:lineRule="auto"/>
              <w:ind w:left="112"/>
              <w:rPr>
                <w:color w:val="auto"/>
                <w:highlight w:val="none"/>
              </w:rPr>
            </w:pPr>
            <w:r>
              <w:rPr>
                <w:color w:val="auto"/>
                <w:spacing w:val="-1"/>
                <w:highlight w:val="none"/>
              </w:rPr>
              <w:t>价或总价只能有一个有效报价</w:t>
            </w:r>
          </w:p>
        </w:tc>
      </w:tr>
      <w:tr w14:paraId="10E34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51B12073">
            <w:pPr>
              <w:rPr>
                <w:rFonts w:ascii="Arial"/>
                <w:color w:val="auto"/>
                <w:sz w:val="21"/>
                <w:highlight w:val="none"/>
              </w:rPr>
            </w:pPr>
          </w:p>
        </w:tc>
        <w:tc>
          <w:tcPr>
            <w:tcW w:w="1060" w:type="dxa"/>
            <w:vMerge w:val="continue"/>
            <w:tcBorders>
              <w:top w:val="nil"/>
              <w:bottom w:val="nil"/>
            </w:tcBorders>
            <w:vAlign w:val="top"/>
          </w:tcPr>
          <w:p w14:paraId="7FEE43C0">
            <w:pPr>
              <w:rPr>
                <w:rFonts w:ascii="Arial"/>
                <w:color w:val="auto"/>
                <w:sz w:val="21"/>
                <w:highlight w:val="none"/>
              </w:rPr>
            </w:pPr>
          </w:p>
        </w:tc>
        <w:tc>
          <w:tcPr>
            <w:tcW w:w="2328" w:type="dxa"/>
            <w:vAlign w:val="top"/>
          </w:tcPr>
          <w:p w14:paraId="75078694">
            <w:pPr>
              <w:pStyle w:val="11"/>
              <w:spacing w:before="156" w:line="219" w:lineRule="auto"/>
              <w:ind w:left="325"/>
              <w:rPr>
                <w:color w:val="auto"/>
                <w:highlight w:val="none"/>
              </w:rPr>
            </w:pPr>
            <w:r>
              <w:rPr>
                <w:color w:val="auto"/>
                <w:spacing w:val="-1"/>
                <w:highlight w:val="none"/>
              </w:rPr>
              <w:t>报价表格的完整性</w:t>
            </w:r>
          </w:p>
        </w:tc>
        <w:tc>
          <w:tcPr>
            <w:tcW w:w="4775" w:type="dxa"/>
            <w:vAlign w:val="top"/>
          </w:tcPr>
          <w:p w14:paraId="6C37B5C5">
            <w:pPr>
              <w:pStyle w:val="11"/>
              <w:spacing w:before="156" w:line="219" w:lineRule="auto"/>
              <w:ind w:left="111"/>
              <w:rPr>
                <w:color w:val="auto"/>
                <w:highlight w:val="none"/>
              </w:rPr>
            </w:pPr>
            <w:r>
              <w:rPr>
                <w:color w:val="auto"/>
                <w:spacing w:val="-1"/>
                <w:highlight w:val="none"/>
              </w:rPr>
              <w:t>应按招标文件的要求完整报送投标报价应有表格</w:t>
            </w:r>
          </w:p>
        </w:tc>
      </w:tr>
      <w:tr w14:paraId="791931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39" w:type="dxa"/>
            <w:vMerge w:val="continue"/>
            <w:tcBorders>
              <w:top w:val="nil"/>
              <w:bottom w:val="nil"/>
            </w:tcBorders>
            <w:vAlign w:val="top"/>
          </w:tcPr>
          <w:p w14:paraId="13D5C9D4">
            <w:pPr>
              <w:rPr>
                <w:rFonts w:ascii="Arial"/>
                <w:color w:val="auto"/>
                <w:sz w:val="21"/>
                <w:highlight w:val="none"/>
              </w:rPr>
            </w:pPr>
          </w:p>
        </w:tc>
        <w:tc>
          <w:tcPr>
            <w:tcW w:w="1060" w:type="dxa"/>
            <w:vMerge w:val="continue"/>
            <w:tcBorders>
              <w:top w:val="nil"/>
              <w:bottom w:val="nil"/>
            </w:tcBorders>
            <w:vAlign w:val="top"/>
          </w:tcPr>
          <w:p w14:paraId="68AADF34">
            <w:pPr>
              <w:rPr>
                <w:rFonts w:ascii="Arial"/>
                <w:color w:val="auto"/>
                <w:sz w:val="21"/>
                <w:highlight w:val="none"/>
              </w:rPr>
            </w:pPr>
          </w:p>
        </w:tc>
        <w:tc>
          <w:tcPr>
            <w:tcW w:w="2328" w:type="dxa"/>
            <w:vAlign w:val="top"/>
          </w:tcPr>
          <w:p w14:paraId="5DF7C33B">
            <w:pPr>
              <w:spacing w:line="303" w:lineRule="auto"/>
              <w:rPr>
                <w:rFonts w:ascii="Arial"/>
                <w:color w:val="auto"/>
                <w:sz w:val="21"/>
                <w:highlight w:val="none"/>
              </w:rPr>
            </w:pPr>
          </w:p>
          <w:p w14:paraId="4EA29C89">
            <w:pPr>
              <w:pStyle w:val="11"/>
              <w:spacing w:before="68" w:line="221" w:lineRule="auto"/>
              <w:ind w:left="330"/>
              <w:rPr>
                <w:color w:val="auto"/>
                <w:highlight w:val="none"/>
              </w:rPr>
            </w:pPr>
            <w:r>
              <w:rPr>
                <w:color w:val="auto"/>
                <w:spacing w:val="-1"/>
                <w:highlight w:val="none"/>
              </w:rPr>
              <w:t>项目经理实名认证</w:t>
            </w:r>
          </w:p>
        </w:tc>
        <w:tc>
          <w:tcPr>
            <w:tcW w:w="4775" w:type="dxa"/>
            <w:vAlign w:val="top"/>
          </w:tcPr>
          <w:p w14:paraId="391A4D48">
            <w:pPr>
              <w:pStyle w:val="11"/>
              <w:spacing w:before="161" w:line="418" w:lineRule="exact"/>
              <w:ind w:left="115"/>
              <w:rPr>
                <w:color w:val="auto"/>
                <w:highlight w:val="none"/>
              </w:rPr>
            </w:pPr>
            <w:r>
              <w:rPr>
                <w:color w:val="auto"/>
                <w:spacing w:val="6"/>
                <w:position w:val="15"/>
                <w:highlight w:val="none"/>
              </w:rPr>
              <w:t>项目经理通过二次刷卡实名认证（无在建工程和</w:t>
            </w:r>
          </w:p>
          <w:p w14:paraId="71686637">
            <w:pPr>
              <w:pStyle w:val="11"/>
              <w:spacing w:line="221" w:lineRule="auto"/>
              <w:ind w:left="115"/>
              <w:rPr>
                <w:color w:val="auto"/>
                <w:highlight w:val="none"/>
              </w:rPr>
            </w:pPr>
            <w:r>
              <w:rPr>
                <w:color w:val="auto"/>
                <w:spacing w:val="-4"/>
                <w:highlight w:val="none"/>
              </w:rPr>
              <w:t>不良行为）</w:t>
            </w:r>
          </w:p>
        </w:tc>
      </w:tr>
      <w:tr w14:paraId="7DC77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continue"/>
            <w:tcBorders>
              <w:top w:val="nil"/>
              <w:bottom w:val="nil"/>
            </w:tcBorders>
            <w:vAlign w:val="top"/>
          </w:tcPr>
          <w:p w14:paraId="14A08C85">
            <w:pPr>
              <w:rPr>
                <w:rFonts w:ascii="Arial"/>
                <w:color w:val="auto"/>
                <w:sz w:val="21"/>
                <w:highlight w:val="none"/>
              </w:rPr>
            </w:pPr>
          </w:p>
        </w:tc>
        <w:tc>
          <w:tcPr>
            <w:tcW w:w="1060" w:type="dxa"/>
            <w:vMerge w:val="continue"/>
            <w:tcBorders>
              <w:top w:val="nil"/>
              <w:bottom w:val="nil"/>
            </w:tcBorders>
            <w:vAlign w:val="top"/>
          </w:tcPr>
          <w:p w14:paraId="4EE7C68F">
            <w:pPr>
              <w:rPr>
                <w:rFonts w:ascii="Arial"/>
                <w:color w:val="auto"/>
                <w:sz w:val="21"/>
                <w:highlight w:val="none"/>
              </w:rPr>
            </w:pPr>
          </w:p>
        </w:tc>
        <w:tc>
          <w:tcPr>
            <w:tcW w:w="2328" w:type="dxa"/>
            <w:vAlign w:val="top"/>
          </w:tcPr>
          <w:p w14:paraId="729BBF7E">
            <w:pPr>
              <w:spacing w:line="303" w:lineRule="auto"/>
              <w:rPr>
                <w:rFonts w:ascii="Arial"/>
                <w:color w:val="auto"/>
                <w:sz w:val="21"/>
                <w:highlight w:val="none"/>
              </w:rPr>
            </w:pPr>
          </w:p>
          <w:p w14:paraId="4CD3ECB3">
            <w:pPr>
              <w:pStyle w:val="11"/>
              <w:spacing w:before="69" w:line="221" w:lineRule="auto"/>
              <w:ind w:left="540"/>
              <w:rPr>
                <w:color w:val="auto"/>
                <w:highlight w:val="none"/>
              </w:rPr>
            </w:pPr>
            <w:r>
              <w:rPr>
                <w:color w:val="auto"/>
                <w:spacing w:val="-1"/>
                <w:highlight w:val="none"/>
              </w:rPr>
              <w:t>备选投标方案</w:t>
            </w:r>
          </w:p>
        </w:tc>
        <w:tc>
          <w:tcPr>
            <w:tcW w:w="4775" w:type="dxa"/>
            <w:vAlign w:val="top"/>
          </w:tcPr>
          <w:p w14:paraId="019F09DB">
            <w:pPr>
              <w:pStyle w:val="11"/>
              <w:spacing w:before="162" w:line="418" w:lineRule="exact"/>
              <w:ind w:left="124"/>
              <w:rPr>
                <w:color w:val="auto"/>
                <w:highlight w:val="none"/>
              </w:rPr>
            </w:pPr>
            <w:r>
              <w:rPr>
                <w:color w:val="auto"/>
                <w:spacing w:val="6"/>
                <w:position w:val="15"/>
                <w:highlight w:val="none"/>
              </w:rPr>
              <w:t>除招标文件明确允许提交备选投标方案外，</w:t>
            </w:r>
            <w:r>
              <w:rPr>
                <w:color w:val="auto"/>
                <w:spacing w:val="5"/>
                <w:position w:val="15"/>
                <w:highlight w:val="none"/>
              </w:rPr>
              <w:t>投标</w:t>
            </w:r>
          </w:p>
          <w:p w14:paraId="67D73361">
            <w:pPr>
              <w:pStyle w:val="11"/>
              <w:spacing w:line="220" w:lineRule="auto"/>
              <w:ind w:left="113"/>
              <w:rPr>
                <w:color w:val="auto"/>
                <w:highlight w:val="none"/>
              </w:rPr>
            </w:pPr>
            <w:r>
              <w:rPr>
                <w:color w:val="auto"/>
                <w:spacing w:val="-1"/>
                <w:highlight w:val="none"/>
              </w:rPr>
              <w:t>人不得提交备选投标方案</w:t>
            </w:r>
          </w:p>
        </w:tc>
      </w:tr>
      <w:tr w14:paraId="57171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39" w:type="dxa"/>
            <w:vMerge w:val="continue"/>
            <w:tcBorders>
              <w:top w:val="nil"/>
              <w:bottom w:val="nil"/>
            </w:tcBorders>
            <w:vAlign w:val="top"/>
          </w:tcPr>
          <w:p w14:paraId="4400B649">
            <w:pPr>
              <w:rPr>
                <w:rFonts w:ascii="Arial"/>
                <w:color w:val="auto"/>
                <w:sz w:val="21"/>
                <w:highlight w:val="none"/>
              </w:rPr>
            </w:pPr>
          </w:p>
        </w:tc>
        <w:tc>
          <w:tcPr>
            <w:tcW w:w="1060" w:type="dxa"/>
            <w:vMerge w:val="continue"/>
            <w:tcBorders>
              <w:top w:val="nil"/>
              <w:bottom w:val="nil"/>
            </w:tcBorders>
            <w:vAlign w:val="top"/>
          </w:tcPr>
          <w:p w14:paraId="7089B07A">
            <w:pPr>
              <w:rPr>
                <w:rFonts w:ascii="Arial"/>
                <w:color w:val="auto"/>
                <w:sz w:val="21"/>
                <w:highlight w:val="none"/>
              </w:rPr>
            </w:pPr>
          </w:p>
        </w:tc>
        <w:tc>
          <w:tcPr>
            <w:tcW w:w="2328" w:type="dxa"/>
            <w:vAlign w:val="top"/>
          </w:tcPr>
          <w:p w14:paraId="0661AE45">
            <w:pPr>
              <w:pStyle w:val="11"/>
              <w:spacing w:before="162" w:line="422" w:lineRule="exact"/>
              <w:ind w:left="121"/>
              <w:rPr>
                <w:color w:val="auto"/>
                <w:highlight w:val="none"/>
              </w:rPr>
            </w:pPr>
            <w:r>
              <w:rPr>
                <w:color w:val="auto"/>
                <w:spacing w:val="-1"/>
                <w:position w:val="16"/>
                <w:highlight w:val="none"/>
              </w:rPr>
              <w:t>法定代表人或授权委托</w:t>
            </w:r>
          </w:p>
          <w:p w14:paraId="4EF6D9E0">
            <w:pPr>
              <w:pStyle w:val="11"/>
              <w:spacing w:line="221" w:lineRule="auto"/>
              <w:ind w:left="645"/>
              <w:rPr>
                <w:color w:val="auto"/>
                <w:highlight w:val="none"/>
              </w:rPr>
            </w:pPr>
            <w:r>
              <w:rPr>
                <w:color w:val="auto"/>
                <w:spacing w:val="-1"/>
                <w:highlight w:val="none"/>
              </w:rPr>
              <w:t>人实名认证</w:t>
            </w:r>
          </w:p>
        </w:tc>
        <w:tc>
          <w:tcPr>
            <w:tcW w:w="4775" w:type="dxa"/>
            <w:vAlign w:val="top"/>
          </w:tcPr>
          <w:p w14:paraId="40AF922B">
            <w:pPr>
              <w:spacing w:line="302" w:lineRule="auto"/>
              <w:rPr>
                <w:rFonts w:ascii="Arial"/>
                <w:color w:val="auto"/>
                <w:sz w:val="21"/>
                <w:highlight w:val="none"/>
              </w:rPr>
            </w:pPr>
          </w:p>
          <w:p w14:paraId="5FD9A3B5">
            <w:pPr>
              <w:pStyle w:val="11"/>
              <w:spacing w:before="69" w:line="221" w:lineRule="auto"/>
              <w:ind w:left="112"/>
              <w:rPr>
                <w:color w:val="auto"/>
                <w:highlight w:val="none"/>
              </w:rPr>
            </w:pPr>
            <w:r>
              <w:rPr>
                <w:color w:val="auto"/>
                <w:spacing w:val="-1"/>
                <w:highlight w:val="none"/>
              </w:rPr>
              <w:t>法定代表人或授权委托人完成实名认证</w:t>
            </w:r>
          </w:p>
        </w:tc>
      </w:tr>
      <w:tr w14:paraId="1242B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5046F6A6">
            <w:pPr>
              <w:rPr>
                <w:rFonts w:ascii="Arial"/>
                <w:color w:val="auto"/>
                <w:sz w:val="21"/>
                <w:highlight w:val="none"/>
              </w:rPr>
            </w:pPr>
          </w:p>
        </w:tc>
        <w:tc>
          <w:tcPr>
            <w:tcW w:w="1060" w:type="dxa"/>
            <w:vMerge w:val="continue"/>
            <w:tcBorders>
              <w:top w:val="nil"/>
              <w:bottom w:val="nil"/>
            </w:tcBorders>
            <w:vAlign w:val="top"/>
          </w:tcPr>
          <w:p w14:paraId="1C7F8BBA">
            <w:pPr>
              <w:rPr>
                <w:rFonts w:ascii="Arial"/>
                <w:color w:val="auto"/>
                <w:sz w:val="21"/>
                <w:highlight w:val="none"/>
              </w:rPr>
            </w:pPr>
          </w:p>
        </w:tc>
        <w:tc>
          <w:tcPr>
            <w:tcW w:w="2328" w:type="dxa"/>
            <w:vAlign w:val="top"/>
          </w:tcPr>
          <w:p w14:paraId="30916176">
            <w:pPr>
              <w:pStyle w:val="11"/>
              <w:spacing w:before="157" w:line="221" w:lineRule="auto"/>
              <w:ind w:left="642"/>
              <w:rPr>
                <w:color w:val="auto"/>
                <w:highlight w:val="none"/>
              </w:rPr>
            </w:pPr>
            <w:r>
              <w:rPr>
                <w:color w:val="auto"/>
                <w:spacing w:val="-1"/>
                <w:highlight w:val="none"/>
              </w:rPr>
              <w:t>模块化暗标</w:t>
            </w:r>
          </w:p>
        </w:tc>
        <w:tc>
          <w:tcPr>
            <w:tcW w:w="4775" w:type="dxa"/>
            <w:vAlign w:val="top"/>
          </w:tcPr>
          <w:p w14:paraId="12B2141B">
            <w:pPr>
              <w:pStyle w:val="11"/>
              <w:spacing w:before="157" w:line="220" w:lineRule="auto"/>
              <w:ind w:left="113"/>
              <w:rPr>
                <w:color w:val="auto"/>
                <w:highlight w:val="none"/>
              </w:rPr>
            </w:pPr>
            <w:r>
              <w:rPr>
                <w:color w:val="auto"/>
                <w:spacing w:val="-2"/>
                <w:highlight w:val="none"/>
              </w:rPr>
              <w:t>符合第二章“投标人须知”第</w:t>
            </w:r>
            <w:r>
              <w:rPr>
                <w:color w:val="auto"/>
                <w:spacing w:val="-28"/>
                <w:highlight w:val="none"/>
              </w:rPr>
              <w:t xml:space="preserve"> </w:t>
            </w:r>
            <w:r>
              <w:rPr>
                <w:color w:val="auto"/>
                <w:spacing w:val="-2"/>
                <w:highlight w:val="none"/>
              </w:rPr>
              <w:t>3.7.4</w:t>
            </w:r>
            <w:r>
              <w:rPr>
                <w:color w:val="auto"/>
                <w:spacing w:val="-41"/>
                <w:highlight w:val="none"/>
              </w:rPr>
              <w:t xml:space="preserve"> </w:t>
            </w:r>
            <w:r>
              <w:rPr>
                <w:color w:val="auto"/>
                <w:spacing w:val="-2"/>
                <w:highlight w:val="none"/>
              </w:rPr>
              <w:t>项规定</w:t>
            </w:r>
          </w:p>
        </w:tc>
      </w:tr>
      <w:tr w14:paraId="1C1E9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5581E2AE">
            <w:pPr>
              <w:rPr>
                <w:rFonts w:ascii="Arial"/>
                <w:color w:val="auto"/>
                <w:sz w:val="21"/>
                <w:highlight w:val="none"/>
              </w:rPr>
            </w:pPr>
          </w:p>
        </w:tc>
        <w:tc>
          <w:tcPr>
            <w:tcW w:w="1060" w:type="dxa"/>
            <w:vMerge w:val="continue"/>
            <w:tcBorders>
              <w:top w:val="nil"/>
              <w:bottom w:val="nil"/>
            </w:tcBorders>
            <w:vAlign w:val="top"/>
          </w:tcPr>
          <w:p w14:paraId="58EA8AEB">
            <w:pPr>
              <w:rPr>
                <w:rFonts w:ascii="Arial"/>
                <w:color w:val="auto"/>
                <w:sz w:val="21"/>
                <w:highlight w:val="none"/>
              </w:rPr>
            </w:pPr>
          </w:p>
        </w:tc>
        <w:tc>
          <w:tcPr>
            <w:tcW w:w="2328" w:type="dxa"/>
            <w:vAlign w:val="top"/>
          </w:tcPr>
          <w:p w14:paraId="56DFBF35">
            <w:pPr>
              <w:pStyle w:val="11"/>
              <w:spacing w:before="163" w:line="221" w:lineRule="auto"/>
              <w:ind w:left="541"/>
              <w:rPr>
                <w:color w:val="auto"/>
                <w:highlight w:val="none"/>
              </w:rPr>
            </w:pPr>
            <w:r>
              <w:rPr>
                <w:color w:val="auto"/>
                <w:spacing w:val="-1"/>
                <w:highlight w:val="none"/>
              </w:rPr>
              <w:t>行为雷同分析</w:t>
            </w:r>
          </w:p>
        </w:tc>
        <w:tc>
          <w:tcPr>
            <w:tcW w:w="4775" w:type="dxa"/>
            <w:vAlign w:val="top"/>
          </w:tcPr>
          <w:p w14:paraId="4BC52EAC">
            <w:pPr>
              <w:pStyle w:val="11"/>
              <w:spacing w:before="162" w:line="221" w:lineRule="auto"/>
              <w:ind w:left="115"/>
              <w:rPr>
                <w:color w:val="auto"/>
                <w:highlight w:val="none"/>
              </w:rPr>
            </w:pPr>
            <w:r>
              <w:rPr>
                <w:color w:val="auto"/>
                <w:spacing w:val="-1"/>
                <w:highlight w:val="none"/>
              </w:rPr>
              <w:t>不存在投标行为雷同情形</w:t>
            </w:r>
          </w:p>
        </w:tc>
      </w:tr>
      <w:tr w14:paraId="74697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tcBorders>
            <w:vAlign w:val="top"/>
          </w:tcPr>
          <w:p w14:paraId="5DDA7E1E">
            <w:pPr>
              <w:rPr>
                <w:rFonts w:ascii="Arial"/>
                <w:color w:val="auto"/>
                <w:sz w:val="21"/>
                <w:highlight w:val="none"/>
              </w:rPr>
            </w:pPr>
          </w:p>
        </w:tc>
        <w:tc>
          <w:tcPr>
            <w:tcW w:w="1060" w:type="dxa"/>
            <w:vMerge w:val="continue"/>
            <w:tcBorders>
              <w:top w:val="nil"/>
            </w:tcBorders>
            <w:vAlign w:val="top"/>
          </w:tcPr>
          <w:p w14:paraId="5DEF8FFE">
            <w:pPr>
              <w:rPr>
                <w:rFonts w:ascii="Arial"/>
                <w:color w:val="auto"/>
                <w:sz w:val="21"/>
                <w:highlight w:val="none"/>
              </w:rPr>
            </w:pPr>
          </w:p>
        </w:tc>
        <w:tc>
          <w:tcPr>
            <w:tcW w:w="2328" w:type="dxa"/>
            <w:vAlign w:val="top"/>
          </w:tcPr>
          <w:p w14:paraId="425D6877">
            <w:pPr>
              <w:pStyle w:val="11"/>
              <w:spacing w:before="158" w:line="223" w:lineRule="auto"/>
              <w:ind w:left="973"/>
              <w:rPr>
                <w:color w:val="auto"/>
                <w:highlight w:val="none"/>
              </w:rPr>
            </w:pPr>
            <w:r>
              <w:rPr>
                <w:color w:val="auto"/>
                <w:spacing w:val="-5"/>
                <w:highlight w:val="none"/>
              </w:rPr>
              <w:t>……</w:t>
            </w:r>
          </w:p>
        </w:tc>
        <w:tc>
          <w:tcPr>
            <w:tcW w:w="4775" w:type="dxa"/>
            <w:vAlign w:val="top"/>
          </w:tcPr>
          <w:p w14:paraId="6F4149C8">
            <w:pPr>
              <w:pStyle w:val="11"/>
              <w:spacing w:before="158" w:line="223" w:lineRule="auto"/>
              <w:ind w:left="125"/>
              <w:rPr>
                <w:color w:val="auto"/>
                <w:highlight w:val="none"/>
              </w:rPr>
            </w:pPr>
            <w:r>
              <w:rPr>
                <w:color w:val="auto"/>
                <w:spacing w:val="-5"/>
                <w:highlight w:val="none"/>
              </w:rPr>
              <w:t>……</w:t>
            </w:r>
          </w:p>
        </w:tc>
      </w:tr>
      <w:tr w14:paraId="74646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restart"/>
            <w:tcBorders>
              <w:bottom w:val="nil"/>
            </w:tcBorders>
            <w:vAlign w:val="top"/>
          </w:tcPr>
          <w:p w14:paraId="05384887">
            <w:pPr>
              <w:spacing w:line="252" w:lineRule="auto"/>
              <w:rPr>
                <w:rFonts w:ascii="Arial"/>
                <w:color w:val="auto"/>
                <w:sz w:val="21"/>
                <w:highlight w:val="none"/>
              </w:rPr>
            </w:pPr>
          </w:p>
          <w:p w14:paraId="730F85A2">
            <w:pPr>
              <w:spacing w:line="252" w:lineRule="auto"/>
              <w:rPr>
                <w:rFonts w:ascii="Arial"/>
                <w:color w:val="auto"/>
                <w:sz w:val="21"/>
                <w:highlight w:val="none"/>
              </w:rPr>
            </w:pPr>
          </w:p>
          <w:p w14:paraId="0F75C680">
            <w:pPr>
              <w:spacing w:line="252" w:lineRule="auto"/>
              <w:rPr>
                <w:rFonts w:ascii="Arial"/>
                <w:color w:val="auto"/>
                <w:sz w:val="21"/>
                <w:highlight w:val="none"/>
              </w:rPr>
            </w:pPr>
          </w:p>
          <w:p w14:paraId="2EB13CD2">
            <w:pPr>
              <w:spacing w:line="252" w:lineRule="auto"/>
              <w:rPr>
                <w:rFonts w:ascii="Arial"/>
                <w:color w:val="auto"/>
                <w:sz w:val="21"/>
                <w:highlight w:val="none"/>
              </w:rPr>
            </w:pPr>
          </w:p>
          <w:p w14:paraId="66EBED19">
            <w:pPr>
              <w:spacing w:line="252" w:lineRule="auto"/>
              <w:rPr>
                <w:rFonts w:ascii="Arial"/>
                <w:color w:val="auto"/>
                <w:sz w:val="21"/>
                <w:highlight w:val="none"/>
              </w:rPr>
            </w:pPr>
          </w:p>
          <w:p w14:paraId="5EE4A2F4">
            <w:pPr>
              <w:spacing w:line="252" w:lineRule="auto"/>
              <w:rPr>
                <w:rFonts w:ascii="Arial"/>
                <w:color w:val="auto"/>
                <w:sz w:val="21"/>
                <w:highlight w:val="none"/>
              </w:rPr>
            </w:pPr>
          </w:p>
          <w:p w14:paraId="175CAA36">
            <w:pPr>
              <w:spacing w:line="253" w:lineRule="auto"/>
              <w:rPr>
                <w:rFonts w:ascii="Arial"/>
                <w:color w:val="auto"/>
                <w:sz w:val="21"/>
                <w:highlight w:val="none"/>
              </w:rPr>
            </w:pPr>
          </w:p>
          <w:p w14:paraId="4F60FCEE">
            <w:pPr>
              <w:spacing w:line="253" w:lineRule="auto"/>
              <w:rPr>
                <w:rFonts w:ascii="Arial"/>
                <w:color w:val="auto"/>
                <w:sz w:val="21"/>
                <w:highlight w:val="none"/>
              </w:rPr>
            </w:pPr>
          </w:p>
          <w:p w14:paraId="71DED0F8">
            <w:pPr>
              <w:spacing w:line="253" w:lineRule="auto"/>
              <w:rPr>
                <w:rFonts w:ascii="Arial"/>
                <w:color w:val="auto"/>
                <w:sz w:val="21"/>
                <w:highlight w:val="none"/>
              </w:rPr>
            </w:pPr>
          </w:p>
          <w:p w14:paraId="5CA44D31">
            <w:pPr>
              <w:spacing w:before="61" w:line="189" w:lineRule="auto"/>
              <w:ind w:left="157"/>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2.1.2</w:t>
            </w:r>
          </w:p>
        </w:tc>
        <w:tc>
          <w:tcPr>
            <w:tcW w:w="1060" w:type="dxa"/>
            <w:vMerge w:val="restart"/>
            <w:tcBorders>
              <w:bottom w:val="nil"/>
            </w:tcBorders>
            <w:vAlign w:val="top"/>
          </w:tcPr>
          <w:p w14:paraId="582F707E">
            <w:pPr>
              <w:spacing w:line="258" w:lineRule="auto"/>
              <w:rPr>
                <w:rFonts w:ascii="Arial"/>
                <w:color w:val="auto"/>
                <w:sz w:val="21"/>
                <w:highlight w:val="none"/>
              </w:rPr>
            </w:pPr>
          </w:p>
          <w:p w14:paraId="59D3D321">
            <w:pPr>
              <w:spacing w:line="258" w:lineRule="auto"/>
              <w:rPr>
                <w:rFonts w:ascii="Arial"/>
                <w:color w:val="auto"/>
                <w:sz w:val="21"/>
                <w:highlight w:val="none"/>
              </w:rPr>
            </w:pPr>
          </w:p>
          <w:p w14:paraId="31391B7C">
            <w:pPr>
              <w:spacing w:line="258" w:lineRule="auto"/>
              <w:rPr>
                <w:rFonts w:ascii="Arial"/>
                <w:color w:val="auto"/>
                <w:sz w:val="21"/>
                <w:highlight w:val="none"/>
              </w:rPr>
            </w:pPr>
          </w:p>
          <w:p w14:paraId="5F003673">
            <w:pPr>
              <w:spacing w:line="258" w:lineRule="auto"/>
              <w:rPr>
                <w:rFonts w:ascii="Arial"/>
                <w:color w:val="auto"/>
                <w:sz w:val="21"/>
                <w:highlight w:val="none"/>
              </w:rPr>
            </w:pPr>
          </w:p>
          <w:p w14:paraId="01D8E2D5">
            <w:pPr>
              <w:spacing w:line="258" w:lineRule="auto"/>
              <w:rPr>
                <w:rFonts w:ascii="Arial"/>
                <w:color w:val="auto"/>
                <w:sz w:val="21"/>
                <w:highlight w:val="none"/>
              </w:rPr>
            </w:pPr>
          </w:p>
          <w:p w14:paraId="7154D7A8">
            <w:pPr>
              <w:spacing w:line="258" w:lineRule="auto"/>
              <w:rPr>
                <w:rFonts w:ascii="Arial"/>
                <w:color w:val="auto"/>
                <w:sz w:val="21"/>
                <w:highlight w:val="none"/>
              </w:rPr>
            </w:pPr>
          </w:p>
          <w:p w14:paraId="23A26FA3">
            <w:pPr>
              <w:spacing w:line="259" w:lineRule="auto"/>
              <w:rPr>
                <w:rFonts w:ascii="Arial"/>
                <w:color w:val="auto"/>
                <w:sz w:val="21"/>
                <w:highlight w:val="none"/>
              </w:rPr>
            </w:pPr>
          </w:p>
          <w:p w14:paraId="43A86ED2">
            <w:pPr>
              <w:pStyle w:val="11"/>
              <w:spacing w:before="69" w:line="422" w:lineRule="exact"/>
              <w:ind w:left="329"/>
              <w:rPr>
                <w:color w:val="auto"/>
                <w:highlight w:val="none"/>
              </w:rPr>
            </w:pPr>
            <w:r>
              <w:rPr>
                <w:color w:val="auto"/>
                <w:spacing w:val="-4"/>
                <w:position w:val="16"/>
                <w:highlight w:val="none"/>
              </w:rPr>
              <w:t>资格</w:t>
            </w:r>
          </w:p>
          <w:p w14:paraId="285030A3">
            <w:pPr>
              <w:pStyle w:val="11"/>
              <w:spacing w:line="221" w:lineRule="auto"/>
              <w:ind w:left="319"/>
              <w:rPr>
                <w:color w:val="auto"/>
                <w:highlight w:val="none"/>
              </w:rPr>
            </w:pPr>
            <w:r>
              <w:rPr>
                <w:color w:val="auto"/>
                <w:spacing w:val="-2"/>
                <w:highlight w:val="none"/>
              </w:rPr>
              <w:t>评审</w:t>
            </w:r>
          </w:p>
          <w:p w14:paraId="5155D3AF">
            <w:pPr>
              <w:pStyle w:val="11"/>
              <w:spacing w:before="166" w:line="221" w:lineRule="auto"/>
              <w:ind w:left="321"/>
              <w:rPr>
                <w:color w:val="auto"/>
                <w:highlight w:val="none"/>
              </w:rPr>
            </w:pPr>
            <w:r>
              <w:rPr>
                <w:color w:val="auto"/>
                <w:spacing w:val="-2"/>
                <w:highlight w:val="none"/>
              </w:rPr>
              <w:t>标准</w:t>
            </w:r>
          </w:p>
        </w:tc>
        <w:tc>
          <w:tcPr>
            <w:tcW w:w="2328" w:type="dxa"/>
            <w:vAlign w:val="top"/>
          </w:tcPr>
          <w:p w14:paraId="52378C7A">
            <w:pPr>
              <w:pStyle w:val="11"/>
              <w:spacing w:before="163" w:line="221" w:lineRule="auto"/>
              <w:ind w:left="755"/>
              <w:rPr>
                <w:color w:val="auto"/>
                <w:highlight w:val="none"/>
              </w:rPr>
            </w:pPr>
            <w:r>
              <w:rPr>
                <w:color w:val="auto"/>
                <w:spacing w:val="-2"/>
                <w:highlight w:val="none"/>
              </w:rPr>
              <w:t>营业执照</w:t>
            </w:r>
          </w:p>
        </w:tc>
        <w:tc>
          <w:tcPr>
            <w:tcW w:w="4775" w:type="dxa"/>
            <w:vAlign w:val="top"/>
          </w:tcPr>
          <w:p w14:paraId="674035CD">
            <w:pPr>
              <w:pStyle w:val="11"/>
              <w:spacing w:before="163" w:line="221" w:lineRule="auto"/>
              <w:ind w:left="115"/>
              <w:rPr>
                <w:color w:val="auto"/>
                <w:highlight w:val="none"/>
              </w:rPr>
            </w:pPr>
            <w:r>
              <w:rPr>
                <w:color w:val="auto"/>
                <w:spacing w:val="-1"/>
                <w:highlight w:val="none"/>
              </w:rPr>
              <w:t>具备有效的营业执照</w:t>
            </w:r>
          </w:p>
        </w:tc>
      </w:tr>
      <w:tr w14:paraId="4EA50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1FC40B13">
            <w:pPr>
              <w:rPr>
                <w:rFonts w:ascii="Arial"/>
                <w:color w:val="auto"/>
                <w:sz w:val="21"/>
                <w:highlight w:val="none"/>
              </w:rPr>
            </w:pPr>
          </w:p>
        </w:tc>
        <w:tc>
          <w:tcPr>
            <w:tcW w:w="1060" w:type="dxa"/>
            <w:vMerge w:val="continue"/>
            <w:tcBorders>
              <w:top w:val="nil"/>
              <w:bottom w:val="nil"/>
            </w:tcBorders>
            <w:vAlign w:val="top"/>
          </w:tcPr>
          <w:p w14:paraId="051148B1">
            <w:pPr>
              <w:rPr>
                <w:rFonts w:ascii="Arial"/>
                <w:color w:val="auto"/>
                <w:sz w:val="21"/>
                <w:highlight w:val="none"/>
              </w:rPr>
            </w:pPr>
          </w:p>
        </w:tc>
        <w:tc>
          <w:tcPr>
            <w:tcW w:w="2328" w:type="dxa"/>
            <w:vAlign w:val="top"/>
          </w:tcPr>
          <w:p w14:paraId="4EAEABE4">
            <w:pPr>
              <w:pStyle w:val="11"/>
              <w:spacing w:before="158" w:line="221" w:lineRule="auto"/>
              <w:ind w:left="436"/>
              <w:rPr>
                <w:color w:val="auto"/>
                <w:highlight w:val="none"/>
              </w:rPr>
            </w:pPr>
            <w:r>
              <w:rPr>
                <w:color w:val="auto"/>
                <w:spacing w:val="-2"/>
                <w:highlight w:val="none"/>
              </w:rPr>
              <w:t>安全生产许可证</w:t>
            </w:r>
          </w:p>
        </w:tc>
        <w:tc>
          <w:tcPr>
            <w:tcW w:w="4775" w:type="dxa"/>
            <w:vAlign w:val="top"/>
          </w:tcPr>
          <w:p w14:paraId="3B5B7DDB">
            <w:pPr>
              <w:pStyle w:val="11"/>
              <w:spacing w:before="158" w:line="221" w:lineRule="auto"/>
              <w:ind w:left="115"/>
              <w:rPr>
                <w:color w:val="auto"/>
                <w:highlight w:val="none"/>
              </w:rPr>
            </w:pPr>
            <w:r>
              <w:rPr>
                <w:color w:val="auto"/>
                <w:spacing w:val="-1"/>
                <w:highlight w:val="none"/>
              </w:rPr>
              <w:t>具备有效的安全生产许可证</w:t>
            </w:r>
          </w:p>
        </w:tc>
      </w:tr>
      <w:tr w14:paraId="3B965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41E1EAD9">
            <w:pPr>
              <w:rPr>
                <w:rFonts w:ascii="Arial"/>
                <w:color w:val="auto"/>
                <w:sz w:val="21"/>
                <w:highlight w:val="none"/>
              </w:rPr>
            </w:pPr>
          </w:p>
        </w:tc>
        <w:tc>
          <w:tcPr>
            <w:tcW w:w="1060" w:type="dxa"/>
            <w:vMerge w:val="continue"/>
            <w:tcBorders>
              <w:top w:val="nil"/>
              <w:bottom w:val="nil"/>
            </w:tcBorders>
            <w:vAlign w:val="top"/>
          </w:tcPr>
          <w:p w14:paraId="016F25AB">
            <w:pPr>
              <w:rPr>
                <w:rFonts w:ascii="Arial"/>
                <w:color w:val="auto"/>
                <w:sz w:val="21"/>
                <w:highlight w:val="none"/>
              </w:rPr>
            </w:pPr>
          </w:p>
        </w:tc>
        <w:tc>
          <w:tcPr>
            <w:tcW w:w="2328" w:type="dxa"/>
            <w:vAlign w:val="top"/>
          </w:tcPr>
          <w:p w14:paraId="7915DB79">
            <w:pPr>
              <w:pStyle w:val="11"/>
              <w:spacing w:before="163" w:line="221" w:lineRule="auto"/>
              <w:ind w:left="758"/>
              <w:rPr>
                <w:color w:val="auto"/>
                <w:highlight w:val="none"/>
              </w:rPr>
            </w:pPr>
            <w:r>
              <w:rPr>
                <w:color w:val="auto"/>
                <w:spacing w:val="-3"/>
                <w:highlight w:val="none"/>
              </w:rPr>
              <w:t>资质等级</w:t>
            </w:r>
          </w:p>
        </w:tc>
        <w:tc>
          <w:tcPr>
            <w:tcW w:w="4775" w:type="dxa"/>
            <w:vAlign w:val="top"/>
          </w:tcPr>
          <w:p w14:paraId="582221D5">
            <w:pPr>
              <w:pStyle w:val="11"/>
              <w:spacing w:before="164" w:line="220" w:lineRule="auto"/>
              <w:ind w:left="113"/>
              <w:rPr>
                <w:color w:val="auto"/>
                <w:highlight w:val="none"/>
              </w:rPr>
            </w:pPr>
            <w:r>
              <w:rPr>
                <w:color w:val="auto"/>
                <w:spacing w:val="-2"/>
                <w:highlight w:val="none"/>
              </w:rPr>
              <w:t>符合第二章“投标人须知”第</w:t>
            </w:r>
            <w:r>
              <w:rPr>
                <w:color w:val="auto"/>
                <w:spacing w:val="-24"/>
                <w:highlight w:val="none"/>
              </w:rPr>
              <w:t xml:space="preserve"> </w:t>
            </w:r>
            <w:r>
              <w:rPr>
                <w:rFonts w:ascii="Times New Roman" w:hAnsi="Times New Roman" w:eastAsia="Times New Roman" w:cs="Times New Roman"/>
                <w:color w:val="auto"/>
                <w:spacing w:val="-2"/>
                <w:highlight w:val="none"/>
              </w:rPr>
              <w:t xml:space="preserve">1.4.1 </w:t>
            </w:r>
            <w:r>
              <w:rPr>
                <w:color w:val="auto"/>
                <w:spacing w:val="-2"/>
                <w:highlight w:val="none"/>
              </w:rPr>
              <w:t>项规定</w:t>
            </w:r>
          </w:p>
        </w:tc>
      </w:tr>
      <w:tr w14:paraId="1E9D9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174B30A9">
            <w:pPr>
              <w:rPr>
                <w:rFonts w:ascii="Arial"/>
                <w:color w:val="auto"/>
                <w:sz w:val="21"/>
                <w:highlight w:val="none"/>
              </w:rPr>
            </w:pPr>
          </w:p>
        </w:tc>
        <w:tc>
          <w:tcPr>
            <w:tcW w:w="1060" w:type="dxa"/>
            <w:vMerge w:val="continue"/>
            <w:tcBorders>
              <w:top w:val="nil"/>
              <w:bottom w:val="nil"/>
            </w:tcBorders>
            <w:vAlign w:val="top"/>
          </w:tcPr>
          <w:p w14:paraId="23E0C2FE">
            <w:pPr>
              <w:rPr>
                <w:rFonts w:ascii="Arial"/>
                <w:color w:val="auto"/>
                <w:sz w:val="21"/>
                <w:highlight w:val="none"/>
              </w:rPr>
            </w:pPr>
          </w:p>
        </w:tc>
        <w:tc>
          <w:tcPr>
            <w:tcW w:w="2328" w:type="dxa"/>
            <w:vAlign w:val="top"/>
          </w:tcPr>
          <w:p w14:paraId="7E2ED0B8">
            <w:pPr>
              <w:pStyle w:val="11"/>
              <w:spacing w:before="164" w:line="220" w:lineRule="auto"/>
              <w:ind w:left="960"/>
              <w:rPr>
                <w:color w:val="auto"/>
                <w:highlight w:val="none"/>
              </w:rPr>
            </w:pPr>
            <w:r>
              <w:rPr>
                <w:color w:val="auto"/>
                <w:spacing w:val="-2"/>
                <w:highlight w:val="none"/>
              </w:rPr>
              <w:t>信誉</w:t>
            </w:r>
          </w:p>
        </w:tc>
        <w:tc>
          <w:tcPr>
            <w:tcW w:w="4775" w:type="dxa"/>
            <w:vAlign w:val="top"/>
          </w:tcPr>
          <w:p w14:paraId="778F5FBA">
            <w:pPr>
              <w:pStyle w:val="11"/>
              <w:spacing w:before="164" w:line="220" w:lineRule="auto"/>
              <w:ind w:left="113"/>
              <w:rPr>
                <w:color w:val="auto"/>
                <w:highlight w:val="none"/>
              </w:rPr>
            </w:pPr>
            <w:r>
              <w:rPr>
                <w:color w:val="auto"/>
                <w:spacing w:val="-2"/>
                <w:highlight w:val="none"/>
              </w:rPr>
              <w:t>符合第二章“投标人须知”第</w:t>
            </w:r>
            <w:r>
              <w:rPr>
                <w:color w:val="auto"/>
                <w:spacing w:val="-24"/>
                <w:highlight w:val="none"/>
              </w:rPr>
              <w:t xml:space="preserve"> </w:t>
            </w:r>
            <w:r>
              <w:rPr>
                <w:rFonts w:ascii="Times New Roman" w:hAnsi="Times New Roman" w:eastAsia="Times New Roman" w:cs="Times New Roman"/>
                <w:color w:val="auto"/>
                <w:spacing w:val="-2"/>
                <w:highlight w:val="none"/>
              </w:rPr>
              <w:t xml:space="preserve">1.4.1 </w:t>
            </w:r>
            <w:r>
              <w:rPr>
                <w:color w:val="auto"/>
                <w:spacing w:val="-2"/>
                <w:highlight w:val="none"/>
              </w:rPr>
              <w:t>项规定</w:t>
            </w:r>
          </w:p>
        </w:tc>
      </w:tr>
      <w:tr w14:paraId="66A1F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41D0B5DC">
            <w:pPr>
              <w:rPr>
                <w:rFonts w:ascii="Arial"/>
                <w:color w:val="auto"/>
                <w:sz w:val="21"/>
                <w:highlight w:val="none"/>
              </w:rPr>
            </w:pPr>
          </w:p>
        </w:tc>
        <w:tc>
          <w:tcPr>
            <w:tcW w:w="1060" w:type="dxa"/>
            <w:vMerge w:val="continue"/>
            <w:tcBorders>
              <w:top w:val="nil"/>
              <w:bottom w:val="nil"/>
            </w:tcBorders>
            <w:vAlign w:val="top"/>
          </w:tcPr>
          <w:p w14:paraId="0324D4BE">
            <w:pPr>
              <w:rPr>
                <w:rFonts w:ascii="Arial"/>
                <w:color w:val="auto"/>
                <w:sz w:val="21"/>
                <w:highlight w:val="none"/>
              </w:rPr>
            </w:pPr>
          </w:p>
        </w:tc>
        <w:tc>
          <w:tcPr>
            <w:tcW w:w="2328" w:type="dxa"/>
            <w:vAlign w:val="top"/>
          </w:tcPr>
          <w:p w14:paraId="706C00F9">
            <w:pPr>
              <w:pStyle w:val="11"/>
              <w:spacing w:before="159" w:line="221" w:lineRule="auto"/>
              <w:ind w:left="541"/>
              <w:rPr>
                <w:color w:val="auto"/>
                <w:highlight w:val="none"/>
              </w:rPr>
            </w:pPr>
            <w:r>
              <w:rPr>
                <w:color w:val="auto"/>
                <w:spacing w:val="-2"/>
                <w:highlight w:val="none"/>
              </w:rPr>
              <w:t>项目经理资格</w:t>
            </w:r>
          </w:p>
        </w:tc>
        <w:tc>
          <w:tcPr>
            <w:tcW w:w="4775" w:type="dxa"/>
            <w:vAlign w:val="top"/>
          </w:tcPr>
          <w:p w14:paraId="3E8022E4">
            <w:pPr>
              <w:pStyle w:val="11"/>
              <w:spacing w:before="159" w:line="220" w:lineRule="auto"/>
              <w:ind w:left="113"/>
              <w:rPr>
                <w:color w:val="auto"/>
                <w:highlight w:val="none"/>
              </w:rPr>
            </w:pPr>
            <w:r>
              <w:rPr>
                <w:color w:val="auto"/>
                <w:spacing w:val="-2"/>
                <w:highlight w:val="none"/>
              </w:rPr>
              <w:t>符合第二章“投标人须知”第</w:t>
            </w:r>
            <w:r>
              <w:rPr>
                <w:color w:val="auto"/>
                <w:spacing w:val="-24"/>
                <w:highlight w:val="none"/>
              </w:rPr>
              <w:t xml:space="preserve"> </w:t>
            </w:r>
            <w:r>
              <w:rPr>
                <w:rFonts w:ascii="Times New Roman" w:hAnsi="Times New Roman" w:eastAsia="Times New Roman" w:cs="Times New Roman"/>
                <w:color w:val="auto"/>
                <w:spacing w:val="-2"/>
                <w:highlight w:val="none"/>
              </w:rPr>
              <w:t xml:space="preserve">1.4.1 </w:t>
            </w:r>
            <w:r>
              <w:rPr>
                <w:color w:val="auto"/>
                <w:spacing w:val="-2"/>
                <w:highlight w:val="none"/>
              </w:rPr>
              <w:t>项规定</w:t>
            </w:r>
          </w:p>
        </w:tc>
      </w:tr>
      <w:tr w14:paraId="21155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685BA220">
            <w:pPr>
              <w:rPr>
                <w:rFonts w:ascii="Arial"/>
                <w:color w:val="auto"/>
                <w:sz w:val="21"/>
                <w:highlight w:val="none"/>
              </w:rPr>
            </w:pPr>
          </w:p>
        </w:tc>
        <w:tc>
          <w:tcPr>
            <w:tcW w:w="1060" w:type="dxa"/>
            <w:vMerge w:val="continue"/>
            <w:tcBorders>
              <w:top w:val="nil"/>
              <w:bottom w:val="nil"/>
            </w:tcBorders>
            <w:vAlign w:val="top"/>
          </w:tcPr>
          <w:p w14:paraId="6D17806B">
            <w:pPr>
              <w:rPr>
                <w:rFonts w:ascii="Arial"/>
                <w:color w:val="auto"/>
                <w:sz w:val="21"/>
                <w:highlight w:val="none"/>
              </w:rPr>
            </w:pPr>
          </w:p>
        </w:tc>
        <w:tc>
          <w:tcPr>
            <w:tcW w:w="2328" w:type="dxa"/>
            <w:vAlign w:val="top"/>
          </w:tcPr>
          <w:p w14:paraId="1FDDBC53">
            <w:pPr>
              <w:pStyle w:val="11"/>
              <w:spacing w:before="164" w:line="221" w:lineRule="auto"/>
              <w:ind w:left="959"/>
              <w:rPr>
                <w:color w:val="auto"/>
                <w:highlight w:val="none"/>
              </w:rPr>
            </w:pPr>
            <w:r>
              <w:rPr>
                <w:color w:val="auto"/>
                <w:spacing w:val="-2"/>
                <w:highlight w:val="none"/>
              </w:rPr>
              <w:t>业绩</w:t>
            </w:r>
          </w:p>
        </w:tc>
        <w:tc>
          <w:tcPr>
            <w:tcW w:w="4775" w:type="dxa"/>
            <w:vAlign w:val="top"/>
          </w:tcPr>
          <w:p w14:paraId="51C46349">
            <w:pPr>
              <w:pStyle w:val="11"/>
              <w:spacing w:before="164" w:line="220" w:lineRule="auto"/>
              <w:ind w:left="113"/>
              <w:rPr>
                <w:color w:val="auto"/>
                <w:highlight w:val="none"/>
              </w:rPr>
            </w:pPr>
            <w:r>
              <w:rPr>
                <w:color w:val="auto"/>
                <w:spacing w:val="-2"/>
                <w:highlight w:val="none"/>
              </w:rPr>
              <w:t>符合第二章“投标人须知”第</w:t>
            </w:r>
            <w:r>
              <w:rPr>
                <w:color w:val="auto"/>
                <w:spacing w:val="-24"/>
                <w:highlight w:val="none"/>
              </w:rPr>
              <w:t xml:space="preserve"> </w:t>
            </w:r>
            <w:r>
              <w:rPr>
                <w:rFonts w:ascii="Times New Roman" w:hAnsi="Times New Roman" w:eastAsia="Times New Roman" w:cs="Times New Roman"/>
                <w:color w:val="auto"/>
                <w:spacing w:val="-2"/>
                <w:highlight w:val="none"/>
              </w:rPr>
              <w:t xml:space="preserve">1.4.1 </w:t>
            </w:r>
            <w:r>
              <w:rPr>
                <w:color w:val="auto"/>
                <w:spacing w:val="-2"/>
                <w:highlight w:val="none"/>
              </w:rPr>
              <w:t>项规定</w:t>
            </w:r>
          </w:p>
        </w:tc>
      </w:tr>
      <w:tr w14:paraId="1CAE1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continue"/>
            <w:tcBorders>
              <w:top w:val="nil"/>
              <w:bottom w:val="nil"/>
            </w:tcBorders>
            <w:vAlign w:val="top"/>
          </w:tcPr>
          <w:p w14:paraId="47B9CD72">
            <w:pPr>
              <w:rPr>
                <w:rFonts w:ascii="Arial"/>
                <w:color w:val="auto"/>
                <w:sz w:val="21"/>
                <w:highlight w:val="none"/>
              </w:rPr>
            </w:pPr>
          </w:p>
        </w:tc>
        <w:tc>
          <w:tcPr>
            <w:tcW w:w="1060" w:type="dxa"/>
            <w:vMerge w:val="continue"/>
            <w:tcBorders>
              <w:top w:val="nil"/>
              <w:bottom w:val="nil"/>
            </w:tcBorders>
            <w:vAlign w:val="top"/>
          </w:tcPr>
          <w:p w14:paraId="30AAC7D0">
            <w:pPr>
              <w:rPr>
                <w:rFonts w:ascii="Arial"/>
                <w:color w:val="auto"/>
                <w:sz w:val="21"/>
                <w:highlight w:val="none"/>
              </w:rPr>
            </w:pPr>
          </w:p>
        </w:tc>
        <w:tc>
          <w:tcPr>
            <w:tcW w:w="2328" w:type="dxa"/>
            <w:vAlign w:val="top"/>
          </w:tcPr>
          <w:p w14:paraId="5200C434">
            <w:pPr>
              <w:pStyle w:val="11"/>
              <w:spacing w:before="159" w:line="423" w:lineRule="exact"/>
              <w:ind w:left="123"/>
              <w:rPr>
                <w:color w:val="auto"/>
                <w:highlight w:val="none"/>
              </w:rPr>
            </w:pPr>
            <w:r>
              <w:rPr>
                <w:color w:val="auto"/>
                <w:spacing w:val="-1"/>
                <w:position w:val="16"/>
                <w:highlight w:val="none"/>
              </w:rPr>
              <w:t>项目管理机构主要人员</w:t>
            </w:r>
          </w:p>
          <w:p w14:paraId="13AE8960">
            <w:pPr>
              <w:pStyle w:val="11"/>
              <w:spacing w:before="1" w:line="221" w:lineRule="auto"/>
              <w:ind w:left="961"/>
              <w:rPr>
                <w:color w:val="auto"/>
                <w:highlight w:val="none"/>
              </w:rPr>
            </w:pPr>
            <w:r>
              <w:rPr>
                <w:color w:val="auto"/>
                <w:spacing w:val="-2"/>
                <w:highlight w:val="none"/>
              </w:rPr>
              <w:t>要求</w:t>
            </w:r>
          </w:p>
        </w:tc>
        <w:tc>
          <w:tcPr>
            <w:tcW w:w="4775" w:type="dxa"/>
            <w:vAlign w:val="top"/>
          </w:tcPr>
          <w:p w14:paraId="325167EC">
            <w:pPr>
              <w:spacing w:line="301" w:lineRule="auto"/>
              <w:rPr>
                <w:rFonts w:ascii="Arial"/>
                <w:color w:val="auto"/>
                <w:sz w:val="21"/>
                <w:highlight w:val="none"/>
              </w:rPr>
            </w:pPr>
          </w:p>
          <w:p w14:paraId="2431D8B2">
            <w:pPr>
              <w:pStyle w:val="11"/>
              <w:spacing w:before="68" w:line="220" w:lineRule="auto"/>
              <w:ind w:left="113"/>
              <w:rPr>
                <w:color w:val="auto"/>
                <w:highlight w:val="none"/>
              </w:rPr>
            </w:pPr>
            <w:r>
              <w:rPr>
                <w:color w:val="auto"/>
                <w:spacing w:val="-2"/>
                <w:highlight w:val="none"/>
              </w:rPr>
              <w:t>符合第二章“投标人须知”第</w:t>
            </w:r>
            <w:r>
              <w:rPr>
                <w:color w:val="auto"/>
                <w:spacing w:val="-24"/>
                <w:highlight w:val="none"/>
              </w:rPr>
              <w:t xml:space="preserve"> </w:t>
            </w:r>
            <w:r>
              <w:rPr>
                <w:rFonts w:ascii="Times New Roman" w:hAnsi="Times New Roman" w:eastAsia="Times New Roman" w:cs="Times New Roman"/>
                <w:color w:val="auto"/>
                <w:spacing w:val="-2"/>
                <w:highlight w:val="none"/>
              </w:rPr>
              <w:t xml:space="preserve">1.4.1 </w:t>
            </w:r>
            <w:r>
              <w:rPr>
                <w:color w:val="auto"/>
                <w:spacing w:val="-2"/>
                <w:highlight w:val="none"/>
              </w:rPr>
              <w:t>项规定</w:t>
            </w:r>
          </w:p>
        </w:tc>
      </w:tr>
      <w:tr w14:paraId="2DA71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6C7BB72F">
            <w:pPr>
              <w:rPr>
                <w:rFonts w:ascii="Arial"/>
                <w:color w:val="auto"/>
                <w:sz w:val="21"/>
                <w:highlight w:val="none"/>
              </w:rPr>
            </w:pPr>
          </w:p>
        </w:tc>
        <w:tc>
          <w:tcPr>
            <w:tcW w:w="1060" w:type="dxa"/>
            <w:vMerge w:val="continue"/>
            <w:tcBorders>
              <w:top w:val="nil"/>
              <w:bottom w:val="nil"/>
            </w:tcBorders>
            <w:vAlign w:val="top"/>
          </w:tcPr>
          <w:p w14:paraId="22313ED9">
            <w:pPr>
              <w:rPr>
                <w:rFonts w:ascii="Arial"/>
                <w:color w:val="auto"/>
                <w:sz w:val="21"/>
                <w:highlight w:val="none"/>
              </w:rPr>
            </w:pPr>
          </w:p>
        </w:tc>
        <w:tc>
          <w:tcPr>
            <w:tcW w:w="2328" w:type="dxa"/>
            <w:vAlign w:val="top"/>
          </w:tcPr>
          <w:p w14:paraId="2A27C2CA">
            <w:pPr>
              <w:pStyle w:val="11"/>
              <w:spacing w:before="160" w:line="221" w:lineRule="auto"/>
              <w:ind w:left="750"/>
              <w:rPr>
                <w:color w:val="auto"/>
                <w:highlight w:val="none"/>
              </w:rPr>
            </w:pPr>
            <w:r>
              <w:rPr>
                <w:color w:val="auto"/>
                <w:spacing w:val="-1"/>
                <w:highlight w:val="none"/>
              </w:rPr>
              <w:t>其他要求</w:t>
            </w:r>
          </w:p>
        </w:tc>
        <w:tc>
          <w:tcPr>
            <w:tcW w:w="4775" w:type="dxa"/>
            <w:vAlign w:val="top"/>
          </w:tcPr>
          <w:p w14:paraId="29A20277">
            <w:pPr>
              <w:pStyle w:val="11"/>
              <w:spacing w:before="159" w:line="220" w:lineRule="auto"/>
              <w:ind w:left="113"/>
              <w:rPr>
                <w:color w:val="auto"/>
                <w:highlight w:val="none"/>
              </w:rPr>
            </w:pPr>
            <w:r>
              <w:rPr>
                <w:color w:val="auto"/>
                <w:spacing w:val="-2"/>
                <w:highlight w:val="none"/>
              </w:rPr>
              <w:t>符合第二章“投标人须知”第</w:t>
            </w:r>
            <w:r>
              <w:rPr>
                <w:color w:val="auto"/>
                <w:spacing w:val="-24"/>
                <w:highlight w:val="none"/>
              </w:rPr>
              <w:t xml:space="preserve"> </w:t>
            </w:r>
            <w:r>
              <w:rPr>
                <w:rFonts w:ascii="Times New Roman" w:hAnsi="Times New Roman" w:eastAsia="Times New Roman" w:cs="Times New Roman"/>
                <w:color w:val="auto"/>
                <w:spacing w:val="-2"/>
                <w:highlight w:val="none"/>
              </w:rPr>
              <w:t xml:space="preserve">1.4.1 </w:t>
            </w:r>
            <w:r>
              <w:rPr>
                <w:color w:val="auto"/>
                <w:spacing w:val="-2"/>
                <w:highlight w:val="none"/>
              </w:rPr>
              <w:t>项规定</w:t>
            </w:r>
          </w:p>
        </w:tc>
      </w:tr>
      <w:tr w14:paraId="5CDE6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482582C3">
            <w:pPr>
              <w:rPr>
                <w:rFonts w:ascii="Arial"/>
                <w:color w:val="auto"/>
                <w:sz w:val="21"/>
                <w:highlight w:val="none"/>
              </w:rPr>
            </w:pPr>
          </w:p>
        </w:tc>
        <w:tc>
          <w:tcPr>
            <w:tcW w:w="1060" w:type="dxa"/>
            <w:vMerge w:val="continue"/>
            <w:tcBorders>
              <w:top w:val="nil"/>
              <w:bottom w:val="nil"/>
            </w:tcBorders>
            <w:vAlign w:val="top"/>
          </w:tcPr>
          <w:p w14:paraId="3768B73D">
            <w:pPr>
              <w:rPr>
                <w:rFonts w:ascii="Arial"/>
                <w:color w:val="auto"/>
                <w:sz w:val="21"/>
                <w:highlight w:val="none"/>
              </w:rPr>
            </w:pPr>
          </w:p>
        </w:tc>
        <w:tc>
          <w:tcPr>
            <w:tcW w:w="2328" w:type="dxa"/>
            <w:vAlign w:val="top"/>
          </w:tcPr>
          <w:p w14:paraId="019BFB41">
            <w:pPr>
              <w:pStyle w:val="11"/>
              <w:spacing w:before="165" w:line="221" w:lineRule="auto"/>
              <w:ind w:left="121"/>
              <w:rPr>
                <w:color w:val="auto"/>
                <w:highlight w:val="none"/>
              </w:rPr>
            </w:pPr>
            <w:r>
              <w:rPr>
                <w:color w:val="auto"/>
                <w:spacing w:val="-2"/>
                <w:highlight w:val="none"/>
              </w:rPr>
              <w:t>联合体投标人（如有）</w:t>
            </w:r>
          </w:p>
        </w:tc>
        <w:tc>
          <w:tcPr>
            <w:tcW w:w="4775" w:type="dxa"/>
            <w:vAlign w:val="top"/>
          </w:tcPr>
          <w:p w14:paraId="610C4EE0">
            <w:pPr>
              <w:pStyle w:val="11"/>
              <w:spacing w:before="164" w:line="220" w:lineRule="auto"/>
              <w:ind w:left="113"/>
              <w:rPr>
                <w:color w:val="auto"/>
                <w:highlight w:val="none"/>
              </w:rPr>
            </w:pPr>
            <w:r>
              <w:rPr>
                <w:color w:val="auto"/>
                <w:spacing w:val="-2"/>
                <w:highlight w:val="none"/>
              </w:rPr>
              <w:t>符合第二章“投标人须知”第</w:t>
            </w:r>
            <w:r>
              <w:rPr>
                <w:color w:val="auto"/>
                <w:spacing w:val="-24"/>
                <w:highlight w:val="none"/>
              </w:rPr>
              <w:t xml:space="preserve"> </w:t>
            </w:r>
            <w:r>
              <w:rPr>
                <w:rFonts w:ascii="Times New Roman" w:hAnsi="Times New Roman" w:eastAsia="Times New Roman" w:cs="Times New Roman"/>
                <w:color w:val="auto"/>
                <w:spacing w:val="-2"/>
                <w:highlight w:val="none"/>
              </w:rPr>
              <w:t xml:space="preserve">1.4.2 </w:t>
            </w:r>
            <w:r>
              <w:rPr>
                <w:color w:val="auto"/>
                <w:spacing w:val="-2"/>
                <w:highlight w:val="none"/>
              </w:rPr>
              <w:t>项规定</w:t>
            </w:r>
          </w:p>
        </w:tc>
      </w:tr>
      <w:tr w14:paraId="7E287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39" w:type="dxa"/>
            <w:vMerge w:val="continue"/>
            <w:tcBorders>
              <w:top w:val="nil"/>
            </w:tcBorders>
            <w:vAlign w:val="top"/>
          </w:tcPr>
          <w:p w14:paraId="6746B3D6">
            <w:pPr>
              <w:rPr>
                <w:rFonts w:ascii="Arial"/>
                <w:color w:val="auto"/>
                <w:sz w:val="21"/>
                <w:highlight w:val="none"/>
              </w:rPr>
            </w:pPr>
          </w:p>
        </w:tc>
        <w:tc>
          <w:tcPr>
            <w:tcW w:w="1060" w:type="dxa"/>
            <w:vMerge w:val="continue"/>
            <w:tcBorders>
              <w:top w:val="nil"/>
            </w:tcBorders>
            <w:vAlign w:val="top"/>
          </w:tcPr>
          <w:p w14:paraId="594574B9">
            <w:pPr>
              <w:rPr>
                <w:rFonts w:ascii="Arial"/>
                <w:color w:val="auto"/>
                <w:sz w:val="21"/>
                <w:highlight w:val="none"/>
              </w:rPr>
            </w:pPr>
          </w:p>
        </w:tc>
        <w:tc>
          <w:tcPr>
            <w:tcW w:w="2328" w:type="dxa"/>
            <w:vAlign w:val="top"/>
          </w:tcPr>
          <w:p w14:paraId="6CE5F591">
            <w:pPr>
              <w:pStyle w:val="11"/>
              <w:spacing w:before="164" w:line="221" w:lineRule="auto"/>
              <w:ind w:left="123"/>
              <w:rPr>
                <w:color w:val="auto"/>
                <w:highlight w:val="none"/>
              </w:rPr>
            </w:pPr>
            <w:r>
              <w:rPr>
                <w:color w:val="auto"/>
                <w:spacing w:val="-1"/>
                <w:highlight w:val="none"/>
              </w:rPr>
              <w:t>不存在禁止投标的情形</w:t>
            </w:r>
          </w:p>
        </w:tc>
        <w:tc>
          <w:tcPr>
            <w:tcW w:w="4775" w:type="dxa"/>
            <w:vAlign w:val="top"/>
          </w:tcPr>
          <w:p w14:paraId="7D4E2D2B">
            <w:pPr>
              <w:pStyle w:val="11"/>
              <w:spacing w:before="164" w:line="220" w:lineRule="auto"/>
              <w:ind w:left="115"/>
              <w:rPr>
                <w:color w:val="auto"/>
                <w:highlight w:val="none"/>
              </w:rPr>
            </w:pPr>
            <w:r>
              <w:rPr>
                <w:color w:val="auto"/>
                <w:spacing w:val="-2"/>
                <w:highlight w:val="none"/>
              </w:rPr>
              <w:t xml:space="preserve">不存在第二章“投标人须知”第 </w:t>
            </w:r>
            <w:r>
              <w:rPr>
                <w:rFonts w:ascii="Times New Roman" w:hAnsi="Times New Roman" w:eastAsia="Times New Roman" w:cs="Times New Roman"/>
                <w:color w:val="auto"/>
                <w:spacing w:val="-2"/>
                <w:highlight w:val="none"/>
              </w:rPr>
              <w:t>1.4.3</w:t>
            </w:r>
            <w:r>
              <w:rPr>
                <w:rFonts w:ascii="Times New Roman" w:hAnsi="Times New Roman" w:eastAsia="Times New Roman" w:cs="Times New Roman"/>
                <w:color w:val="auto"/>
                <w:spacing w:val="31"/>
                <w:highlight w:val="none"/>
              </w:rPr>
              <w:t xml:space="preserve"> </w:t>
            </w:r>
            <w:r>
              <w:rPr>
                <w:color w:val="auto"/>
                <w:spacing w:val="-2"/>
                <w:highlight w:val="none"/>
              </w:rPr>
              <w:t>项规定的任</w:t>
            </w:r>
          </w:p>
        </w:tc>
      </w:tr>
    </w:tbl>
    <w:p w14:paraId="55957CC7">
      <w:pPr>
        <w:pStyle w:val="3"/>
        <w:rPr>
          <w:color w:val="auto"/>
          <w:highlight w:val="none"/>
        </w:rPr>
      </w:pPr>
    </w:p>
    <w:p w14:paraId="15E8ADDC">
      <w:pPr>
        <w:rPr>
          <w:color w:val="auto"/>
          <w:highlight w:val="none"/>
        </w:rPr>
        <w:sectPr>
          <w:footerReference r:id="rId64" w:type="default"/>
          <w:pgSz w:w="11905" w:h="16839"/>
          <w:pgMar w:top="1431" w:right="1493" w:bottom="996" w:left="1502" w:header="0" w:footer="791" w:gutter="0"/>
          <w:pgNumType w:fmt="decimal"/>
          <w:cols w:space="720" w:num="1"/>
        </w:sectPr>
      </w:pPr>
    </w:p>
    <w:p w14:paraId="18A84363">
      <w:pPr>
        <w:spacing w:line="95" w:lineRule="auto"/>
        <w:rPr>
          <w:rFonts w:ascii="Arial"/>
          <w:color w:val="auto"/>
          <w:sz w:val="2"/>
          <w:highlight w:val="none"/>
        </w:rPr>
      </w:pPr>
    </w:p>
    <w:tbl>
      <w:tblPr>
        <w:tblStyle w:val="10"/>
        <w:tblW w:w="89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9"/>
        <w:gridCol w:w="1060"/>
        <w:gridCol w:w="2328"/>
        <w:gridCol w:w="4775"/>
      </w:tblGrid>
      <w:tr w14:paraId="52CF8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39" w:type="dxa"/>
            <w:vMerge w:val="restart"/>
            <w:tcBorders>
              <w:bottom w:val="nil"/>
            </w:tcBorders>
            <w:vAlign w:val="top"/>
          </w:tcPr>
          <w:p w14:paraId="1F43AC13">
            <w:pPr>
              <w:rPr>
                <w:rFonts w:ascii="Arial"/>
                <w:color w:val="auto"/>
                <w:sz w:val="21"/>
                <w:highlight w:val="none"/>
              </w:rPr>
            </w:pPr>
          </w:p>
        </w:tc>
        <w:tc>
          <w:tcPr>
            <w:tcW w:w="1060" w:type="dxa"/>
            <w:vMerge w:val="restart"/>
            <w:tcBorders>
              <w:bottom w:val="nil"/>
            </w:tcBorders>
            <w:vAlign w:val="top"/>
          </w:tcPr>
          <w:p w14:paraId="102D29F1">
            <w:pPr>
              <w:rPr>
                <w:rFonts w:ascii="Arial"/>
                <w:color w:val="auto"/>
                <w:sz w:val="21"/>
                <w:highlight w:val="none"/>
              </w:rPr>
            </w:pPr>
          </w:p>
        </w:tc>
        <w:tc>
          <w:tcPr>
            <w:tcW w:w="2328" w:type="dxa"/>
            <w:vAlign w:val="top"/>
          </w:tcPr>
          <w:p w14:paraId="47F01761">
            <w:pPr>
              <w:rPr>
                <w:rFonts w:ascii="Arial"/>
                <w:color w:val="auto"/>
                <w:sz w:val="21"/>
                <w:highlight w:val="none"/>
              </w:rPr>
            </w:pPr>
          </w:p>
        </w:tc>
        <w:tc>
          <w:tcPr>
            <w:tcW w:w="4775" w:type="dxa"/>
            <w:vAlign w:val="top"/>
          </w:tcPr>
          <w:p w14:paraId="35C99FB7">
            <w:pPr>
              <w:pStyle w:val="11"/>
              <w:spacing w:before="164" w:line="221" w:lineRule="auto"/>
              <w:ind w:left="115"/>
              <w:rPr>
                <w:color w:val="auto"/>
                <w:highlight w:val="none"/>
              </w:rPr>
            </w:pPr>
            <w:bookmarkStart w:id="175" w:name="bookmark205"/>
            <w:bookmarkEnd w:id="175"/>
            <w:bookmarkStart w:id="176" w:name="bookmark203"/>
            <w:bookmarkEnd w:id="176"/>
            <w:bookmarkStart w:id="177" w:name="bookmark204"/>
            <w:bookmarkEnd w:id="177"/>
            <w:r>
              <w:rPr>
                <w:color w:val="auto"/>
                <w:spacing w:val="-2"/>
                <w:highlight w:val="none"/>
              </w:rPr>
              <w:t>何一种情形</w:t>
            </w:r>
          </w:p>
        </w:tc>
      </w:tr>
      <w:tr w14:paraId="7345E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tcBorders>
            <w:vAlign w:val="top"/>
          </w:tcPr>
          <w:p w14:paraId="1D6D259B">
            <w:pPr>
              <w:rPr>
                <w:rFonts w:ascii="Arial"/>
                <w:color w:val="auto"/>
                <w:sz w:val="21"/>
                <w:highlight w:val="none"/>
              </w:rPr>
            </w:pPr>
          </w:p>
        </w:tc>
        <w:tc>
          <w:tcPr>
            <w:tcW w:w="1060" w:type="dxa"/>
            <w:vMerge w:val="continue"/>
            <w:tcBorders>
              <w:top w:val="nil"/>
            </w:tcBorders>
            <w:vAlign w:val="top"/>
          </w:tcPr>
          <w:p w14:paraId="7290340D">
            <w:pPr>
              <w:rPr>
                <w:rFonts w:ascii="Arial"/>
                <w:color w:val="auto"/>
                <w:sz w:val="21"/>
                <w:highlight w:val="none"/>
              </w:rPr>
            </w:pPr>
          </w:p>
        </w:tc>
        <w:tc>
          <w:tcPr>
            <w:tcW w:w="2328" w:type="dxa"/>
            <w:vAlign w:val="top"/>
          </w:tcPr>
          <w:p w14:paraId="39DF8BAF">
            <w:pPr>
              <w:pStyle w:val="11"/>
              <w:spacing w:before="153" w:line="227" w:lineRule="auto"/>
              <w:ind w:left="973"/>
              <w:rPr>
                <w:color w:val="auto"/>
                <w:highlight w:val="none"/>
              </w:rPr>
            </w:pPr>
            <w:r>
              <w:rPr>
                <w:color w:val="auto"/>
                <w:spacing w:val="-5"/>
                <w:highlight w:val="none"/>
              </w:rPr>
              <w:t>……</w:t>
            </w:r>
          </w:p>
        </w:tc>
        <w:tc>
          <w:tcPr>
            <w:tcW w:w="4775" w:type="dxa"/>
            <w:vAlign w:val="top"/>
          </w:tcPr>
          <w:p w14:paraId="4A1AA24E">
            <w:pPr>
              <w:pStyle w:val="11"/>
              <w:spacing w:before="153" w:line="227" w:lineRule="auto"/>
              <w:ind w:left="125"/>
              <w:rPr>
                <w:color w:val="auto"/>
                <w:highlight w:val="none"/>
              </w:rPr>
            </w:pPr>
            <w:r>
              <w:rPr>
                <w:color w:val="auto"/>
                <w:spacing w:val="-5"/>
                <w:highlight w:val="none"/>
              </w:rPr>
              <w:t>……</w:t>
            </w:r>
          </w:p>
        </w:tc>
      </w:tr>
      <w:tr w14:paraId="0585F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restart"/>
            <w:tcBorders>
              <w:bottom w:val="nil"/>
            </w:tcBorders>
            <w:vAlign w:val="top"/>
          </w:tcPr>
          <w:p w14:paraId="3D1A554A">
            <w:pPr>
              <w:spacing w:line="255" w:lineRule="auto"/>
              <w:rPr>
                <w:rFonts w:ascii="Arial"/>
                <w:color w:val="auto"/>
                <w:sz w:val="21"/>
                <w:highlight w:val="none"/>
              </w:rPr>
            </w:pPr>
          </w:p>
          <w:p w14:paraId="60DB17A0">
            <w:pPr>
              <w:spacing w:line="255" w:lineRule="auto"/>
              <w:rPr>
                <w:rFonts w:ascii="Arial"/>
                <w:color w:val="auto"/>
                <w:sz w:val="21"/>
                <w:highlight w:val="none"/>
              </w:rPr>
            </w:pPr>
          </w:p>
          <w:p w14:paraId="6EBF95DB">
            <w:pPr>
              <w:spacing w:line="255" w:lineRule="auto"/>
              <w:rPr>
                <w:rFonts w:ascii="Arial"/>
                <w:color w:val="auto"/>
                <w:sz w:val="21"/>
                <w:highlight w:val="none"/>
              </w:rPr>
            </w:pPr>
          </w:p>
          <w:p w14:paraId="6F09F7EC">
            <w:pPr>
              <w:spacing w:line="255" w:lineRule="auto"/>
              <w:rPr>
                <w:rFonts w:ascii="Arial"/>
                <w:color w:val="auto"/>
                <w:sz w:val="21"/>
                <w:highlight w:val="none"/>
              </w:rPr>
            </w:pPr>
          </w:p>
          <w:p w14:paraId="5C3D95F9">
            <w:pPr>
              <w:spacing w:line="255" w:lineRule="auto"/>
              <w:rPr>
                <w:rFonts w:ascii="Arial"/>
                <w:color w:val="auto"/>
                <w:sz w:val="21"/>
                <w:highlight w:val="none"/>
              </w:rPr>
            </w:pPr>
          </w:p>
          <w:p w14:paraId="255652A2">
            <w:pPr>
              <w:spacing w:line="255" w:lineRule="auto"/>
              <w:rPr>
                <w:rFonts w:ascii="Arial"/>
                <w:color w:val="auto"/>
                <w:sz w:val="21"/>
                <w:highlight w:val="none"/>
              </w:rPr>
            </w:pPr>
          </w:p>
          <w:p w14:paraId="6F78CA05">
            <w:pPr>
              <w:spacing w:line="255" w:lineRule="auto"/>
              <w:rPr>
                <w:rFonts w:ascii="Arial"/>
                <w:color w:val="auto"/>
                <w:sz w:val="21"/>
                <w:highlight w:val="none"/>
              </w:rPr>
            </w:pPr>
          </w:p>
          <w:p w14:paraId="0AD9C9CA">
            <w:pPr>
              <w:spacing w:line="255" w:lineRule="auto"/>
              <w:rPr>
                <w:rFonts w:ascii="Arial"/>
                <w:color w:val="auto"/>
                <w:sz w:val="21"/>
                <w:highlight w:val="none"/>
              </w:rPr>
            </w:pPr>
          </w:p>
          <w:p w14:paraId="136CA6AB">
            <w:pPr>
              <w:spacing w:line="255" w:lineRule="auto"/>
              <w:rPr>
                <w:rFonts w:ascii="Arial"/>
                <w:color w:val="auto"/>
                <w:sz w:val="21"/>
                <w:highlight w:val="none"/>
              </w:rPr>
            </w:pPr>
          </w:p>
          <w:p w14:paraId="43BA0DD9">
            <w:pPr>
              <w:spacing w:line="255" w:lineRule="auto"/>
              <w:rPr>
                <w:rFonts w:ascii="Arial"/>
                <w:color w:val="auto"/>
                <w:sz w:val="21"/>
                <w:highlight w:val="none"/>
              </w:rPr>
            </w:pPr>
          </w:p>
          <w:p w14:paraId="1F335C3F">
            <w:pPr>
              <w:spacing w:line="255" w:lineRule="auto"/>
              <w:rPr>
                <w:rFonts w:ascii="Arial"/>
                <w:color w:val="auto"/>
                <w:sz w:val="21"/>
                <w:highlight w:val="none"/>
              </w:rPr>
            </w:pPr>
          </w:p>
          <w:p w14:paraId="10ED4216">
            <w:pPr>
              <w:spacing w:line="256" w:lineRule="auto"/>
              <w:rPr>
                <w:rFonts w:ascii="Arial"/>
                <w:color w:val="auto"/>
                <w:sz w:val="21"/>
                <w:highlight w:val="none"/>
              </w:rPr>
            </w:pPr>
          </w:p>
          <w:p w14:paraId="1692988C">
            <w:pPr>
              <w:spacing w:line="256" w:lineRule="auto"/>
              <w:rPr>
                <w:rFonts w:ascii="Arial"/>
                <w:color w:val="auto"/>
                <w:sz w:val="21"/>
                <w:highlight w:val="none"/>
              </w:rPr>
            </w:pPr>
          </w:p>
          <w:p w14:paraId="2B04B034">
            <w:pPr>
              <w:spacing w:before="60" w:line="189" w:lineRule="auto"/>
              <w:ind w:left="157"/>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2.1.3</w:t>
            </w:r>
          </w:p>
        </w:tc>
        <w:tc>
          <w:tcPr>
            <w:tcW w:w="1060" w:type="dxa"/>
            <w:vMerge w:val="restart"/>
            <w:tcBorders>
              <w:bottom w:val="nil"/>
            </w:tcBorders>
            <w:vAlign w:val="top"/>
          </w:tcPr>
          <w:p w14:paraId="36FF975C">
            <w:pPr>
              <w:spacing w:line="255" w:lineRule="auto"/>
              <w:rPr>
                <w:rFonts w:ascii="Arial"/>
                <w:color w:val="auto"/>
                <w:sz w:val="21"/>
                <w:highlight w:val="none"/>
              </w:rPr>
            </w:pPr>
          </w:p>
          <w:p w14:paraId="55F94795">
            <w:pPr>
              <w:spacing w:line="255" w:lineRule="auto"/>
              <w:rPr>
                <w:rFonts w:ascii="Arial"/>
                <w:color w:val="auto"/>
                <w:sz w:val="21"/>
                <w:highlight w:val="none"/>
              </w:rPr>
            </w:pPr>
          </w:p>
          <w:p w14:paraId="2E3986C0">
            <w:pPr>
              <w:spacing w:line="255" w:lineRule="auto"/>
              <w:rPr>
                <w:rFonts w:ascii="Arial"/>
                <w:color w:val="auto"/>
                <w:sz w:val="21"/>
                <w:highlight w:val="none"/>
              </w:rPr>
            </w:pPr>
          </w:p>
          <w:p w14:paraId="2D7E634F">
            <w:pPr>
              <w:spacing w:line="255" w:lineRule="auto"/>
              <w:rPr>
                <w:rFonts w:ascii="Arial"/>
                <w:color w:val="auto"/>
                <w:sz w:val="21"/>
                <w:highlight w:val="none"/>
              </w:rPr>
            </w:pPr>
          </w:p>
          <w:p w14:paraId="07EA3636">
            <w:pPr>
              <w:spacing w:line="256" w:lineRule="auto"/>
              <w:rPr>
                <w:rFonts w:ascii="Arial"/>
                <w:color w:val="auto"/>
                <w:sz w:val="21"/>
                <w:highlight w:val="none"/>
              </w:rPr>
            </w:pPr>
          </w:p>
          <w:p w14:paraId="72031BFD">
            <w:pPr>
              <w:spacing w:line="256" w:lineRule="auto"/>
              <w:rPr>
                <w:rFonts w:ascii="Arial"/>
                <w:color w:val="auto"/>
                <w:sz w:val="21"/>
                <w:highlight w:val="none"/>
              </w:rPr>
            </w:pPr>
          </w:p>
          <w:p w14:paraId="3F6A3D6E">
            <w:pPr>
              <w:spacing w:line="256" w:lineRule="auto"/>
              <w:rPr>
                <w:rFonts w:ascii="Arial"/>
                <w:color w:val="auto"/>
                <w:sz w:val="21"/>
                <w:highlight w:val="none"/>
              </w:rPr>
            </w:pPr>
          </w:p>
          <w:p w14:paraId="11180B0A">
            <w:pPr>
              <w:spacing w:line="256" w:lineRule="auto"/>
              <w:rPr>
                <w:rFonts w:ascii="Arial"/>
                <w:color w:val="auto"/>
                <w:sz w:val="21"/>
                <w:highlight w:val="none"/>
              </w:rPr>
            </w:pPr>
          </w:p>
          <w:p w14:paraId="67FAF9CE">
            <w:pPr>
              <w:spacing w:line="256" w:lineRule="auto"/>
              <w:rPr>
                <w:rFonts w:ascii="Arial"/>
                <w:color w:val="auto"/>
                <w:sz w:val="21"/>
                <w:highlight w:val="none"/>
              </w:rPr>
            </w:pPr>
          </w:p>
          <w:p w14:paraId="07FBC644">
            <w:pPr>
              <w:spacing w:line="256" w:lineRule="auto"/>
              <w:rPr>
                <w:rFonts w:ascii="Arial"/>
                <w:color w:val="auto"/>
                <w:sz w:val="21"/>
                <w:highlight w:val="none"/>
              </w:rPr>
            </w:pPr>
          </w:p>
          <w:p w14:paraId="221D9341">
            <w:pPr>
              <w:spacing w:line="256" w:lineRule="auto"/>
              <w:rPr>
                <w:rFonts w:ascii="Arial"/>
                <w:color w:val="auto"/>
                <w:sz w:val="21"/>
                <w:highlight w:val="none"/>
              </w:rPr>
            </w:pPr>
          </w:p>
          <w:p w14:paraId="7269ABC0">
            <w:pPr>
              <w:spacing w:line="256" w:lineRule="auto"/>
              <w:rPr>
                <w:rFonts w:ascii="Arial"/>
                <w:color w:val="auto"/>
                <w:sz w:val="21"/>
                <w:highlight w:val="none"/>
              </w:rPr>
            </w:pPr>
          </w:p>
          <w:p w14:paraId="51AEF387">
            <w:pPr>
              <w:pStyle w:val="11"/>
              <w:spacing w:before="68" w:line="418" w:lineRule="exact"/>
              <w:ind w:left="120"/>
              <w:rPr>
                <w:color w:val="auto"/>
                <w:highlight w:val="none"/>
              </w:rPr>
            </w:pPr>
            <w:r>
              <w:rPr>
                <w:color w:val="auto"/>
                <w:spacing w:val="-9"/>
                <w:position w:val="15"/>
                <w:highlight w:val="none"/>
              </w:rPr>
              <w:t>响</w:t>
            </w:r>
            <w:r>
              <w:rPr>
                <w:color w:val="auto"/>
                <w:spacing w:val="9"/>
                <w:position w:val="15"/>
                <w:highlight w:val="none"/>
              </w:rPr>
              <w:t xml:space="preserve"> </w:t>
            </w:r>
            <w:r>
              <w:rPr>
                <w:color w:val="auto"/>
                <w:spacing w:val="-9"/>
                <w:position w:val="15"/>
                <w:highlight w:val="none"/>
              </w:rPr>
              <w:t>应</w:t>
            </w:r>
            <w:r>
              <w:rPr>
                <w:color w:val="auto"/>
                <w:spacing w:val="12"/>
                <w:position w:val="15"/>
                <w:highlight w:val="none"/>
              </w:rPr>
              <w:t xml:space="preserve"> </w:t>
            </w:r>
            <w:r>
              <w:rPr>
                <w:color w:val="auto"/>
                <w:spacing w:val="-9"/>
                <w:position w:val="15"/>
                <w:highlight w:val="none"/>
              </w:rPr>
              <w:t>性</w:t>
            </w:r>
          </w:p>
          <w:p w14:paraId="5ECC68F5">
            <w:pPr>
              <w:pStyle w:val="11"/>
              <w:spacing w:line="221" w:lineRule="auto"/>
              <w:ind w:left="108"/>
              <w:rPr>
                <w:color w:val="auto"/>
                <w:highlight w:val="none"/>
              </w:rPr>
            </w:pPr>
            <w:r>
              <w:rPr>
                <w:color w:val="auto"/>
                <w:spacing w:val="-1"/>
                <w:highlight w:val="none"/>
              </w:rPr>
              <w:t>评审标准</w:t>
            </w:r>
          </w:p>
        </w:tc>
        <w:tc>
          <w:tcPr>
            <w:tcW w:w="2328" w:type="dxa"/>
            <w:vAlign w:val="top"/>
          </w:tcPr>
          <w:p w14:paraId="6EBF413D">
            <w:pPr>
              <w:pStyle w:val="11"/>
              <w:spacing w:before="159" w:line="221" w:lineRule="auto"/>
              <w:ind w:left="751"/>
              <w:rPr>
                <w:color w:val="auto"/>
                <w:highlight w:val="none"/>
              </w:rPr>
            </w:pPr>
            <w:r>
              <w:rPr>
                <w:color w:val="auto"/>
                <w:spacing w:val="-2"/>
                <w:highlight w:val="none"/>
              </w:rPr>
              <w:t>投标内容</w:t>
            </w:r>
          </w:p>
        </w:tc>
        <w:tc>
          <w:tcPr>
            <w:tcW w:w="4775" w:type="dxa"/>
            <w:vAlign w:val="top"/>
          </w:tcPr>
          <w:p w14:paraId="34D414CB">
            <w:pPr>
              <w:pStyle w:val="11"/>
              <w:spacing w:before="159" w:line="220" w:lineRule="auto"/>
              <w:ind w:left="113"/>
              <w:rPr>
                <w:color w:val="auto"/>
                <w:highlight w:val="none"/>
              </w:rPr>
            </w:pPr>
            <w:r>
              <w:rPr>
                <w:color w:val="auto"/>
                <w:spacing w:val="-2"/>
                <w:highlight w:val="none"/>
              </w:rPr>
              <w:t>符合第二章“投标人须知”第</w:t>
            </w:r>
            <w:r>
              <w:rPr>
                <w:color w:val="auto"/>
                <w:spacing w:val="-24"/>
                <w:highlight w:val="none"/>
              </w:rPr>
              <w:t xml:space="preserve"> </w:t>
            </w:r>
            <w:r>
              <w:rPr>
                <w:rFonts w:ascii="Times New Roman" w:hAnsi="Times New Roman" w:eastAsia="Times New Roman" w:cs="Times New Roman"/>
                <w:color w:val="auto"/>
                <w:spacing w:val="-2"/>
                <w:highlight w:val="none"/>
              </w:rPr>
              <w:t xml:space="preserve">1.3.1 </w:t>
            </w:r>
            <w:r>
              <w:rPr>
                <w:color w:val="auto"/>
                <w:spacing w:val="-2"/>
                <w:highlight w:val="none"/>
              </w:rPr>
              <w:t>项规定</w:t>
            </w:r>
          </w:p>
        </w:tc>
      </w:tr>
      <w:tr w14:paraId="70ED1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0BEA513A">
            <w:pPr>
              <w:rPr>
                <w:rFonts w:ascii="Arial"/>
                <w:color w:val="auto"/>
                <w:sz w:val="21"/>
                <w:highlight w:val="none"/>
              </w:rPr>
            </w:pPr>
          </w:p>
        </w:tc>
        <w:tc>
          <w:tcPr>
            <w:tcW w:w="1060" w:type="dxa"/>
            <w:vMerge w:val="continue"/>
            <w:tcBorders>
              <w:top w:val="nil"/>
              <w:bottom w:val="nil"/>
            </w:tcBorders>
            <w:vAlign w:val="top"/>
          </w:tcPr>
          <w:p w14:paraId="08DC6457">
            <w:pPr>
              <w:rPr>
                <w:rFonts w:ascii="Arial"/>
                <w:color w:val="auto"/>
                <w:sz w:val="21"/>
                <w:highlight w:val="none"/>
              </w:rPr>
            </w:pPr>
          </w:p>
        </w:tc>
        <w:tc>
          <w:tcPr>
            <w:tcW w:w="2328" w:type="dxa"/>
            <w:vAlign w:val="top"/>
          </w:tcPr>
          <w:p w14:paraId="438EBF16">
            <w:pPr>
              <w:pStyle w:val="11"/>
              <w:spacing w:before="155" w:line="221" w:lineRule="auto"/>
              <w:ind w:left="749"/>
              <w:rPr>
                <w:color w:val="auto"/>
                <w:highlight w:val="none"/>
              </w:rPr>
            </w:pPr>
            <w:r>
              <w:rPr>
                <w:color w:val="auto"/>
                <w:spacing w:val="-1"/>
                <w:highlight w:val="none"/>
              </w:rPr>
              <w:t>计划工期</w:t>
            </w:r>
          </w:p>
        </w:tc>
        <w:tc>
          <w:tcPr>
            <w:tcW w:w="4775" w:type="dxa"/>
            <w:vAlign w:val="top"/>
          </w:tcPr>
          <w:p w14:paraId="5212B740">
            <w:pPr>
              <w:pStyle w:val="11"/>
              <w:spacing w:before="154" w:line="220" w:lineRule="auto"/>
              <w:ind w:left="113"/>
              <w:rPr>
                <w:color w:val="auto"/>
                <w:highlight w:val="none"/>
              </w:rPr>
            </w:pPr>
            <w:r>
              <w:rPr>
                <w:color w:val="auto"/>
                <w:spacing w:val="-2"/>
                <w:highlight w:val="none"/>
              </w:rPr>
              <w:t>符合第二章“投标人须知”第</w:t>
            </w:r>
            <w:r>
              <w:rPr>
                <w:color w:val="auto"/>
                <w:spacing w:val="-24"/>
                <w:highlight w:val="none"/>
              </w:rPr>
              <w:t xml:space="preserve"> </w:t>
            </w:r>
            <w:r>
              <w:rPr>
                <w:rFonts w:ascii="Times New Roman" w:hAnsi="Times New Roman" w:eastAsia="Times New Roman" w:cs="Times New Roman"/>
                <w:color w:val="auto"/>
                <w:spacing w:val="-2"/>
                <w:highlight w:val="none"/>
              </w:rPr>
              <w:t xml:space="preserve">1.3.2 </w:t>
            </w:r>
            <w:r>
              <w:rPr>
                <w:color w:val="auto"/>
                <w:spacing w:val="-2"/>
                <w:highlight w:val="none"/>
              </w:rPr>
              <w:t>项规定</w:t>
            </w:r>
          </w:p>
        </w:tc>
      </w:tr>
      <w:tr w14:paraId="43CE7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50BEE62B">
            <w:pPr>
              <w:rPr>
                <w:rFonts w:ascii="Arial"/>
                <w:color w:val="auto"/>
                <w:sz w:val="21"/>
                <w:highlight w:val="none"/>
              </w:rPr>
            </w:pPr>
          </w:p>
        </w:tc>
        <w:tc>
          <w:tcPr>
            <w:tcW w:w="1060" w:type="dxa"/>
            <w:vMerge w:val="continue"/>
            <w:tcBorders>
              <w:top w:val="nil"/>
              <w:bottom w:val="nil"/>
            </w:tcBorders>
            <w:vAlign w:val="top"/>
          </w:tcPr>
          <w:p w14:paraId="56BA1132">
            <w:pPr>
              <w:rPr>
                <w:rFonts w:ascii="Arial"/>
                <w:color w:val="auto"/>
                <w:sz w:val="21"/>
                <w:highlight w:val="none"/>
              </w:rPr>
            </w:pPr>
          </w:p>
        </w:tc>
        <w:tc>
          <w:tcPr>
            <w:tcW w:w="2328" w:type="dxa"/>
            <w:vAlign w:val="top"/>
          </w:tcPr>
          <w:p w14:paraId="54DB3479">
            <w:pPr>
              <w:pStyle w:val="11"/>
              <w:spacing w:before="160" w:line="221" w:lineRule="auto"/>
              <w:ind w:left="751"/>
              <w:rPr>
                <w:color w:val="auto"/>
                <w:highlight w:val="none"/>
              </w:rPr>
            </w:pPr>
            <w:r>
              <w:rPr>
                <w:color w:val="auto"/>
                <w:spacing w:val="-2"/>
                <w:highlight w:val="none"/>
              </w:rPr>
              <w:t>工程质量</w:t>
            </w:r>
          </w:p>
        </w:tc>
        <w:tc>
          <w:tcPr>
            <w:tcW w:w="4775" w:type="dxa"/>
            <w:vAlign w:val="top"/>
          </w:tcPr>
          <w:p w14:paraId="1EAACA1A">
            <w:pPr>
              <w:pStyle w:val="11"/>
              <w:spacing w:before="159" w:line="220" w:lineRule="auto"/>
              <w:ind w:left="113"/>
              <w:rPr>
                <w:color w:val="auto"/>
                <w:highlight w:val="none"/>
              </w:rPr>
            </w:pPr>
            <w:r>
              <w:rPr>
                <w:color w:val="auto"/>
                <w:spacing w:val="-2"/>
                <w:highlight w:val="none"/>
              </w:rPr>
              <w:t>符合第二章“投标人须知”第</w:t>
            </w:r>
            <w:r>
              <w:rPr>
                <w:color w:val="auto"/>
                <w:spacing w:val="-24"/>
                <w:highlight w:val="none"/>
              </w:rPr>
              <w:t xml:space="preserve"> </w:t>
            </w:r>
            <w:r>
              <w:rPr>
                <w:rFonts w:ascii="Times New Roman" w:hAnsi="Times New Roman" w:eastAsia="Times New Roman" w:cs="Times New Roman"/>
                <w:color w:val="auto"/>
                <w:spacing w:val="-2"/>
                <w:highlight w:val="none"/>
              </w:rPr>
              <w:t xml:space="preserve">1.3.3 </w:t>
            </w:r>
            <w:r>
              <w:rPr>
                <w:color w:val="auto"/>
                <w:spacing w:val="-2"/>
                <w:highlight w:val="none"/>
              </w:rPr>
              <w:t>项规定</w:t>
            </w:r>
          </w:p>
        </w:tc>
      </w:tr>
      <w:tr w14:paraId="68EC8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02597F47">
            <w:pPr>
              <w:rPr>
                <w:rFonts w:ascii="Arial"/>
                <w:color w:val="auto"/>
                <w:sz w:val="21"/>
                <w:highlight w:val="none"/>
              </w:rPr>
            </w:pPr>
          </w:p>
        </w:tc>
        <w:tc>
          <w:tcPr>
            <w:tcW w:w="1060" w:type="dxa"/>
            <w:vMerge w:val="continue"/>
            <w:tcBorders>
              <w:top w:val="nil"/>
              <w:bottom w:val="nil"/>
            </w:tcBorders>
            <w:vAlign w:val="top"/>
          </w:tcPr>
          <w:p w14:paraId="152C6E3C">
            <w:pPr>
              <w:rPr>
                <w:rFonts w:ascii="Arial"/>
                <w:color w:val="auto"/>
                <w:sz w:val="21"/>
                <w:highlight w:val="none"/>
              </w:rPr>
            </w:pPr>
          </w:p>
        </w:tc>
        <w:tc>
          <w:tcPr>
            <w:tcW w:w="2328" w:type="dxa"/>
            <w:vAlign w:val="top"/>
          </w:tcPr>
          <w:p w14:paraId="2137683F">
            <w:pPr>
              <w:pStyle w:val="11"/>
              <w:spacing w:before="160" w:line="221" w:lineRule="auto"/>
              <w:ind w:left="646"/>
              <w:rPr>
                <w:color w:val="auto"/>
                <w:highlight w:val="none"/>
              </w:rPr>
            </w:pPr>
            <w:r>
              <w:rPr>
                <w:color w:val="auto"/>
                <w:spacing w:val="-1"/>
                <w:highlight w:val="none"/>
              </w:rPr>
              <w:t>投标有效期</w:t>
            </w:r>
          </w:p>
        </w:tc>
        <w:tc>
          <w:tcPr>
            <w:tcW w:w="4775" w:type="dxa"/>
            <w:vAlign w:val="top"/>
          </w:tcPr>
          <w:p w14:paraId="67F0C203">
            <w:pPr>
              <w:pStyle w:val="11"/>
              <w:spacing w:before="159" w:line="220" w:lineRule="auto"/>
              <w:ind w:left="113"/>
              <w:rPr>
                <w:color w:val="auto"/>
                <w:highlight w:val="none"/>
              </w:rPr>
            </w:pPr>
            <w:r>
              <w:rPr>
                <w:color w:val="auto"/>
                <w:spacing w:val="-1"/>
                <w:highlight w:val="none"/>
              </w:rPr>
              <w:t>符合第二章“投标人须知”第</w:t>
            </w:r>
            <w:r>
              <w:rPr>
                <w:color w:val="auto"/>
                <w:spacing w:val="-46"/>
                <w:highlight w:val="none"/>
              </w:rPr>
              <w:t xml:space="preserve"> </w:t>
            </w:r>
            <w:r>
              <w:rPr>
                <w:rFonts w:ascii="Times New Roman" w:hAnsi="Times New Roman" w:eastAsia="Times New Roman" w:cs="Times New Roman"/>
                <w:color w:val="auto"/>
                <w:spacing w:val="-1"/>
                <w:highlight w:val="none"/>
              </w:rPr>
              <w:t xml:space="preserve">3.3.1 </w:t>
            </w:r>
            <w:r>
              <w:rPr>
                <w:color w:val="auto"/>
                <w:spacing w:val="-1"/>
                <w:highlight w:val="none"/>
              </w:rPr>
              <w:t>项规定</w:t>
            </w:r>
          </w:p>
        </w:tc>
      </w:tr>
      <w:tr w14:paraId="31E24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598BFF69">
            <w:pPr>
              <w:rPr>
                <w:rFonts w:ascii="Arial"/>
                <w:color w:val="auto"/>
                <w:sz w:val="21"/>
                <w:highlight w:val="none"/>
              </w:rPr>
            </w:pPr>
          </w:p>
        </w:tc>
        <w:tc>
          <w:tcPr>
            <w:tcW w:w="1060" w:type="dxa"/>
            <w:vMerge w:val="continue"/>
            <w:tcBorders>
              <w:top w:val="nil"/>
              <w:bottom w:val="nil"/>
            </w:tcBorders>
            <w:vAlign w:val="top"/>
          </w:tcPr>
          <w:p w14:paraId="0B131202">
            <w:pPr>
              <w:rPr>
                <w:rFonts w:ascii="Arial"/>
                <w:color w:val="auto"/>
                <w:sz w:val="21"/>
                <w:highlight w:val="none"/>
              </w:rPr>
            </w:pPr>
          </w:p>
        </w:tc>
        <w:tc>
          <w:tcPr>
            <w:tcW w:w="2328" w:type="dxa"/>
            <w:vAlign w:val="top"/>
          </w:tcPr>
          <w:p w14:paraId="02E81CD8">
            <w:pPr>
              <w:pStyle w:val="11"/>
              <w:spacing w:before="155" w:line="221" w:lineRule="auto"/>
              <w:ind w:left="646"/>
              <w:rPr>
                <w:color w:val="auto"/>
                <w:highlight w:val="none"/>
              </w:rPr>
            </w:pPr>
            <w:r>
              <w:rPr>
                <w:color w:val="auto"/>
                <w:spacing w:val="-1"/>
                <w:highlight w:val="none"/>
              </w:rPr>
              <w:t>投标保证金</w:t>
            </w:r>
          </w:p>
        </w:tc>
        <w:tc>
          <w:tcPr>
            <w:tcW w:w="4775" w:type="dxa"/>
            <w:vAlign w:val="top"/>
          </w:tcPr>
          <w:p w14:paraId="307CABFA">
            <w:pPr>
              <w:pStyle w:val="11"/>
              <w:spacing w:before="155" w:line="220" w:lineRule="auto"/>
              <w:ind w:left="113"/>
              <w:rPr>
                <w:color w:val="auto"/>
                <w:highlight w:val="none"/>
              </w:rPr>
            </w:pPr>
            <w:r>
              <w:rPr>
                <w:color w:val="auto"/>
                <w:spacing w:val="-1"/>
                <w:highlight w:val="none"/>
              </w:rPr>
              <w:t>符合第二章“投标人须知”第</w:t>
            </w:r>
            <w:r>
              <w:rPr>
                <w:color w:val="auto"/>
                <w:spacing w:val="-46"/>
                <w:highlight w:val="none"/>
              </w:rPr>
              <w:t xml:space="preserve"> </w:t>
            </w:r>
            <w:r>
              <w:rPr>
                <w:rFonts w:ascii="Times New Roman" w:hAnsi="Times New Roman" w:eastAsia="Times New Roman" w:cs="Times New Roman"/>
                <w:color w:val="auto"/>
                <w:spacing w:val="-1"/>
                <w:highlight w:val="none"/>
              </w:rPr>
              <w:t xml:space="preserve">3.4.1 </w:t>
            </w:r>
            <w:r>
              <w:rPr>
                <w:color w:val="auto"/>
                <w:spacing w:val="-1"/>
                <w:highlight w:val="none"/>
              </w:rPr>
              <w:t>项规定</w:t>
            </w:r>
          </w:p>
        </w:tc>
      </w:tr>
      <w:tr w14:paraId="6AFDD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39" w:type="dxa"/>
            <w:vMerge w:val="continue"/>
            <w:tcBorders>
              <w:top w:val="nil"/>
              <w:bottom w:val="nil"/>
            </w:tcBorders>
            <w:vAlign w:val="top"/>
          </w:tcPr>
          <w:p w14:paraId="51FD5F15">
            <w:pPr>
              <w:rPr>
                <w:rFonts w:ascii="Arial"/>
                <w:color w:val="auto"/>
                <w:sz w:val="21"/>
                <w:highlight w:val="none"/>
              </w:rPr>
            </w:pPr>
          </w:p>
        </w:tc>
        <w:tc>
          <w:tcPr>
            <w:tcW w:w="1060" w:type="dxa"/>
            <w:vMerge w:val="continue"/>
            <w:tcBorders>
              <w:top w:val="nil"/>
              <w:bottom w:val="nil"/>
            </w:tcBorders>
            <w:vAlign w:val="top"/>
          </w:tcPr>
          <w:p w14:paraId="5DEFAD7B">
            <w:pPr>
              <w:rPr>
                <w:rFonts w:ascii="Arial"/>
                <w:color w:val="auto"/>
                <w:sz w:val="21"/>
                <w:highlight w:val="none"/>
              </w:rPr>
            </w:pPr>
          </w:p>
        </w:tc>
        <w:tc>
          <w:tcPr>
            <w:tcW w:w="2328" w:type="dxa"/>
            <w:vAlign w:val="top"/>
          </w:tcPr>
          <w:p w14:paraId="37CF236E">
            <w:pPr>
              <w:spacing w:line="296" w:lineRule="auto"/>
              <w:rPr>
                <w:rFonts w:ascii="Arial"/>
                <w:color w:val="auto"/>
                <w:sz w:val="21"/>
                <w:highlight w:val="none"/>
              </w:rPr>
            </w:pPr>
          </w:p>
          <w:p w14:paraId="02AD4FAC">
            <w:pPr>
              <w:pStyle w:val="11"/>
              <w:spacing w:before="68" w:line="221" w:lineRule="auto"/>
              <w:ind w:left="748"/>
              <w:rPr>
                <w:color w:val="auto"/>
                <w:highlight w:val="none"/>
              </w:rPr>
            </w:pPr>
            <w:r>
              <w:rPr>
                <w:color w:val="auto"/>
                <w:spacing w:val="-1"/>
                <w:highlight w:val="none"/>
              </w:rPr>
              <w:t>权利义务</w:t>
            </w:r>
          </w:p>
        </w:tc>
        <w:tc>
          <w:tcPr>
            <w:tcW w:w="4775" w:type="dxa"/>
            <w:vAlign w:val="top"/>
          </w:tcPr>
          <w:p w14:paraId="5C2DFEBF">
            <w:pPr>
              <w:pStyle w:val="11"/>
              <w:spacing w:before="160" w:line="418" w:lineRule="exact"/>
              <w:ind w:left="114"/>
              <w:rPr>
                <w:color w:val="auto"/>
                <w:highlight w:val="none"/>
              </w:rPr>
            </w:pPr>
            <w:r>
              <w:rPr>
                <w:color w:val="auto"/>
                <w:spacing w:val="6"/>
                <w:position w:val="15"/>
                <w:highlight w:val="none"/>
              </w:rPr>
              <w:t>投标函附录中的相关承诺符合或优于第四章“合</w:t>
            </w:r>
          </w:p>
          <w:p w14:paraId="55D6DB6D">
            <w:pPr>
              <w:pStyle w:val="11"/>
              <w:spacing w:line="220" w:lineRule="auto"/>
              <w:ind w:left="132"/>
              <w:rPr>
                <w:color w:val="auto"/>
                <w:highlight w:val="none"/>
              </w:rPr>
            </w:pPr>
            <w:r>
              <w:rPr>
                <w:color w:val="auto"/>
                <w:spacing w:val="-2"/>
                <w:highlight w:val="none"/>
              </w:rPr>
              <w:t>同条款及格式”的相关规定</w:t>
            </w:r>
          </w:p>
        </w:tc>
      </w:tr>
      <w:tr w14:paraId="5E3EC8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026808FE">
            <w:pPr>
              <w:rPr>
                <w:rFonts w:ascii="Arial"/>
                <w:color w:val="auto"/>
                <w:sz w:val="21"/>
                <w:highlight w:val="none"/>
              </w:rPr>
            </w:pPr>
          </w:p>
        </w:tc>
        <w:tc>
          <w:tcPr>
            <w:tcW w:w="1060" w:type="dxa"/>
            <w:vMerge w:val="continue"/>
            <w:tcBorders>
              <w:top w:val="nil"/>
              <w:bottom w:val="nil"/>
            </w:tcBorders>
            <w:vAlign w:val="top"/>
          </w:tcPr>
          <w:p w14:paraId="50DCA2A1">
            <w:pPr>
              <w:rPr>
                <w:rFonts w:ascii="Arial"/>
                <w:color w:val="auto"/>
                <w:sz w:val="21"/>
                <w:highlight w:val="none"/>
              </w:rPr>
            </w:pPr>
          </w:p>
        </w:tc>
        <w:tc>
          <w:tcPr>
            <w:tcW w:w="2328" w:type="dxa"/>
            <w:vAlign w:val="top"/>
          </w:tcPr>
          <w:p w14:paraId="06B2686D">
            <w:pPr>
              <w:pStyle w:val="11"/>
              <w:spacing w:before="160" w:line="221" w:lineRule="auto"/>
              <w:ind w:left="433"/>
              <w:rPr>
                <w:color w:val="auto"/>
                <w:highlight w:val="none"/>
              </w:rPr>
            </w:pPr>
            <w:r>
              <w:rPr>
                <w:color w:val="auto"/>
                <w:spacing w:val="-1"/>
                <w:highlight w:val="none"/>
              </w:rPr>
              <w:t>技术标准和要求</w:t>
            </w:r>
          </w:p>
        </w:tc>
        <w:tc>
          <w:tcPr>
            <w:tcW w:w="4775" w:type="dxa"/>
            <w:vAlign w:val="top"/>
          </w:tcPr>
          <w:p w14:paraId="11CFEE03">
            <w:pPr>
              <w:pStyle w:val="11"/>
              <w:spacing w:before="161" w:line="220" w:lineRule="auto"/>
              <w:ind w:left="113"/>
              <w:rPr>
                <w:color w:val="auto"/>
                <w:highlight w:val="none"/>
              </w:rPr>
            </w:pPr>
            <w:r>
              <w:rPr>
                <w:color w:val="auto"/>
                <w:spacing w:val="-1"/>
                <w:highlight w:val="none"/>
              </w:rPr>
              <w:t>符合第七章“技术标准和要求”规定</w:t>
            </w:r>
          </w:p>
        </w:tc>
      </w:tr>
      <w:tr w14:paraId="23F12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continue"/>
            <w:tcBorders>
              <w:top w:val="nil"/>
              <w:bottom w:val="nil"/>
            </w:tcBorders>
            <w:vAlign w:val="top"/>
          </w:tcPr>
          <w:p w14:paraId="5373AECF">
            <w:pPr>
              <w:rPr>
                <w:rFonts w:ascii="Arial"/>
                <w:color w:val="auto"/>
                <w:sz w:val="21"/>
                <w:highlight w:val="none"/>
              </w:rPr>
            </w:pPr>
          </w:p>
        </w:tc>
        <w:tc>
          <w:tcPr>
            <w:tcW w:w="1060" w:type="dxa"/>
            <w:vMerge w:val="continue"/>
            <w:tcBorders>
              <w:top w:val="nil"/>
              <w:bottom w:val="nil"/>
            </w:tcBorders>
            <w:vAlign w:val="top"/>
          </w:tcPr>
          <w:p w14:paraId="35E0F024">
            <w:pPr>
              <w:rPr>
                <w:rFonts w:ascii="Arial"/>
                <w:color w:val="auto"/>
                <w:sz w:val="21"/>
                <w:highlight w:val="none"/>
              </w:rPr>
            </w:pPr>
          </w:p>
        </w:tc>
        <w:tc>
          <w:tcPr>
            <w:tcW w:w="2328" w:type="dxa"/>
            <w:vAlign w:val="top"/>
          </w:tcPr>
          <w:p w14:paraId="2F891086">
            <w:pPr>
              <w:spacing w:line="298" w:lineRule="auto"/>
              <w:rPr>
                <w:rFonts w:ascii="Arial"/>
                <w:color w:val="auto"/>
                <w:sz w:val="21"/>
                <w:highlight w:val="none"/>
              </w:rPr>
            </w:pPr>
          </w:p>
          <w:p w14:paraId="6043D205">
            <w:pPr>
              <w:pStyle w:val="11"/>
              <w:spacing w:before="68" w:line="221" w:lineRule="auto"/>
              <w:ind w:left="751"/>
              <w:rPr>
                <w:color w:val="auto"/>
                <w:highlight w:val="none"/>
              </w:rPr>
            </w:pPr>
            <w:r>
              <w:rPr>
                <w:color w:val="auto"/>
                <w:spacing w:val="-2"/>
                <w:highlight w:val="none"/>
              </w:rPr>
              <w:t>分包计划</w:t>
            </w:r>
          </w:p>
        </w:tc>
        <w:tc>
          <w:tcPr>
            <w:tcW w:w="4775" w:type="dxa"/>
            <w:vAlign w:val="top"/>
          </w:tcPr>
          <w:p w14:paraId="4851F6DD">
            <w:pPr>
              <w:pStyle w:val="11"/>
              <w:spacing w:before="156" w:line="423" w:lineRule="exact"/>
              <w:ind w:left="113"/>
              <w:rPr>
                <w:color w:val="auto"/>
                <w:highlight w:val="none"/>
              </w:rPr>
            </w:pPr>
            <w:r>
              <w:rPr>
                <w:color w:val="auto"/>
                <w:spacing w:val="4"/>
                <w:position w:val="16"/>
                <w:highlight w:val="none"/>
              </w:rPr>
              <w:t>符合第二章“投标人须知”第</w:t>
            </w:r>
            <w:r>
              <w:rPr>
                <w:color w:val="auto"/>
                <w:spacing w:val="47"/>
                <w:position w:val="16"/>
                <w:highlight w:val="none"/>
              </w:rPr>
              <w:t xml:space="preserve"> </w:t>
            </w:r>
            <w:r>
              <w:rPr>
                <w:color w:val="auto"/>
                <w:spacing w:val="4"/>
                <w:position w:val="16"/>
                <w:highlight w:val="none"/>
              </w:rPr>
              <w:t>1.11 款规定（如</w:t>
            </w:r>
          </w:p>
          <w:p w14:paraId="5411F502">
            <w:pPr>
              <w:pStyle w:val="11"/>
              <w:spacing w:line="221" w:lineRule="auto"/>
              <w:ind w:left="112"/>
              <w:rPr>
                <w:color w:val="auto"/>
                <w:highlight w:val="none"/>
              </w:rPr>
            </w:pPr>
            <w:r>
              <w:rPr>
                <w:color w:val="auto"/>
                <w:spacing w:val="-6"/>
                <w:highlight w:val="none"/>
              </w:rPr>
              <w:t>有）</w:t>
            </w:r>
          </w:p>
        </w:tc>
      </w:tr>
      <w:tr w14:paraId="5347A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0795FC82">
            <w:pPr>
              <w:rPr>
                <w:rFonts w:ascii="Arial"/>
                <w:color w:val="auto"/>
                <w:sz w:val="21"/>
                <w:highlight w:val="none"/>
              </w:rPr>
            </w:pPr>
          </w:p>
        </w:tc>
        <w:tc>
          <w:tcPr>
            <w:tcW w:w="1060" w:type="dxa"/>
            <w:vMerge w:val="continue"/>
            <w:tcBorders>
              <w:top w:val="nil"/>
              <w:bottom w:val="nil"/>
            </w:tcBorders>
            <w:vAlign w:val="top"/>
          </w:tcPr>
          <w:p w14:paraId="3E1626A0">
            <w:pPr>
              <w:rPr>
                <w:rFonts w:ascii="Arial"/>
                <w:color w:val="auto"/>
                <w:sz w:val="21"/>
                <w:highlight w:val="none"/>
              </w:rPr>
            </w:pPr>
          </w:p>
        </w:tc>
        <w:tc>
          <w:tcPr>
            <w:tcW w:w="2328" w:type="dxa"/>
            <w:vAlign w:val="top"/>
          </w:tcPr>
          <w:p w14:paraId="1598392D">
            <w:pPr>
              <w:pStyle w:val="11"/>
              <w:spacing w:before="156" w:line="221" w:lineRule="auto"/>
              <w:ind w:left="539"/>
              <w:rPr>
                <w:color w:val="auto"/>
                <w:highlight w:val="none"/>
              </w:rPr>
            </w:pPr>
            <w:r>
              <w:rPr>
                <w:color w:val="auto"/>
                <w:spacing w:val="-1"/>
                <w:highlight w:val="none"/>
              </w:rPr>
              <w:t>算术错误修正</w:t>
            </w:r>
          </w:p>
        </w:tc>
        <w:tc>
          <w:tcPr>
            <w:tcW w:w="4775" w:type="dxa"/>
            <w:vAlign w:val="top"/>
          </w:tcPr>
          <w:p w14:paraId="1BCE4CDD">
            <w:pPr>
              <w:pStyle w:val="11"/>
              <w:spacing w:before="156" w:line="219" w:lineRule="auto"/>
              <w:ind w:left="114"/>
              <w:rPr>
                <w:color w:val="auto"/>
                <w:highlight w:val="none"/>
              </w:rPr>
            </w:pPr>
            <w:r>
              <w:rPr>
                <w:color w:val="auto"/>
                <w:spacing w:val="-1"/>
                <w:highlight w:val="none"/>
              </w:rPr>
              <w:t>投标人接受算术错误修正后的报价</w:t>
            </w:r>
          </w:p>
        </w:tc>
      </w:tr>
      <w:tr w14:paraId="7B2E1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39" w:type="dxa"/>
            <w:vMerge w:val="continue"/>
            <w:tcBorders>
              <w:top w:val="nil"/>
              <w:bottom w:val="nil"/>
            </w:tcBorders>
            <w:vAlign w:val="top"/>
          </w:tcPr>
          <w:p w14:paraId="3D5B68E9">
            <w:pPr>
              <w:rPr>
                <w:rFonts w:ascii="Arial"/>
                <w:color w:val="auto"/>
                <w:sz w:val="21"/>
                <w:highlight w:val="none"/>
              </w:rPr>
            </w:pPr>
          </w:p>
        </w:tc>
        <w:tc>
          <w:tcPr>
            <w:tcW w:w="1060" w:type="dxa"/>
            <w:vMerge w:val="continue"/>
            <w:tcBorders>
              <w:top w:val="nil"/>
              <w:bottom w:val="nil"/>
            </w:tcBorders>
            <w:vAlign w:val="top"/>
          </w:tcPr>
          <w:p w14:paraId="31F4A6F4">
            <w:pPr>
              <w:rPr>
                <w:rFonts w:ascii="Arial"/>
                <w:color w:val="auto"/>
                <w:sz w:val="21"/>
                <w:highlight w:val="none"/>
              </w:rPr>
            </w:pPr>
          </w:p>
        </w:tc>
        <w:tc>
          <w:tcPr>
            <w:tcW w:w="2328" w:type="dxa"/>
            <w:vAlign w:val="top"/>
          </w:tcPr>
          <w:p w14:paraId="40533ACD">
            <w:pPr>
              <w:spacing w:line="302" w:lineRule="auto"/>
              <w:rPr>
                <w:rFonts w:ascii="Arial"/>
                <w:color w:val="auto"/>
                <w:sz w:val="21"/>
                <w:highlight w:val="none"/>
              </w:rPr>
            </w:pPr>
          </w:p>
          <w:p w14:paraId="092DC18F">
            <w:pPr>
              <w:pStyle w:val="11"/>
              <w:spacing w:before="69" w:line="219" w:lineRule="auto"/>
              <w:ind w:left="751"/>
              <w:rPr>
                <w:color w:val="auto"/>
                <w:highlight w:val="none"/>
              </w:rPr>
            </w:pPr>
            <w:r>
              <w:rPr>
                <w:color w:val="auto"/>
                <w:spacing w:val="-2"/>
                <w:highlight w:val="none"/>
              </w:rPr>
              <w:t>投标价格</w:t>
            </w:r>
          </w:p>
        </w:tc>
        <w:tc>
          <w:tcPr>
            <w:tcW w:w="4775" w:type="dxa"/>
            <w:vAlign w:val="top"/>
          </w:tcPr>
          <w:p w14:paraId="4CB2A35C">
            <w:pPr>
              <w:pStyle w:val="11"/>
              <w:spacing w:before="161" w:line="422" w:lineRule="exact"/>
              <w:ind w:left="114"/>
              <w:rPr>
                <w:color w:val="auto"/>
                <w:highlight w:val="none"/>
              </w:rPr>
            </w:pPr>
            <w:r>
              <w:rPr>
                <w:color w:val="auto"/>
                <w:spacing w:val="6"/>
                <w:position w:val="16"/>
                <w:highlight w:val="none"/>
              </w:rPr>
              <w:t>投标报价（含修正后）不大于本标段最高投标限</w:t>
            </w:r>
          </w:p>
          <w:p w14:paraId="29EAD2FC">
            <w:pPr>
              <w:pStyle w:val="11"/>
              <w:spacing w:line="219" w:lineRule="auto"/>
              <w:ind w:left="112"/>
              <w:rPr>
                <w:color w:val="auto"/>
                <w:highlight w:val="none"/>
              </w:rPr>
            </w:pPr>
            <w:r>
              <w:rPr>
                <w:color w:val="auto"/>
                <w:highlight w:val="none"/>
              </w:rPr>
              <w:t>价</w:t>
            </w:r>
          </w:p>
        </w:tc>
      </w:tr>
      <w:tr w14:paraId="6A8CFC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39" w:type="dxa"/>
            <w:vMerge w:val="continue"/>
            <w:tcBorders>
              <w:top w:val="nil"/>
              <w:bottom w:val="nil"/>
            </w:tcBorders>
            <w:vAlign w:val="top"/>
          </w:tcPr>
          <w:p w14:paraId="18D895E1">
            <w:pPr>
              <w:rPr>
                <w:rFonts w:ascii="Arial"/>
                <w:color w:val="auto"/>
                <w:sz w:val="21"/>
                <w:highlight w:val="none"/>
              </w:rPr>
            </w:pPr>
          </w:p>
        </w:tc>
        <w:tc>
          <w:tcPr>
            <w:tcW w:w="1060" w:type="dxa"/>
            <w:vMerge w:val="continue"/>
            <w:tcBorders>
              <w:top w:val="nil"/>
              <w:bottom w:val="nil"/>
            </w:tcBorders>
            <w:vAlign w:val="top"/>
          </w:tcPr>
          <w:p w14:paraId="7FC5B14B">
            <w:pPr>
              <w:rPr>
                <w:rFonts w:ascii="Arial"/>
                <w:color w:val="auto"/>
                <w:sz w:val="21"/>
                <w:highlight w:val="none"/>
              </w:rPr>
            </w:pPr>
          </w:p>
        </w:tc>
        <w:tc>
          <w:tcPr>
            <w:tcW w:w="2328" w:type="dxa"/>
            <w:vAlign w:val="top"/>
          </w:tcPr>
          <w:p w14:paraId="45DF19BE">
            <w:pPr>
              <w:spacing w:line="298" w:lineRule="auto"/>
              <w:rPr>
                <w:rFonts w:ascii="Arial"/>
                <w:color w:val="auto"/>
                <w:sz w:val="21"/>
                <w:highlight w:val="none"/>
              </w:rPr>
            </w:pPr>
          </w:p>
          <w:p w14:paraId="7CFD4098">
            <w:pPr>
              <w:pStyle w:val="11"/>
              <w:spacing w:before="69" w:line="219" w:lineRule="auto"/>
              <w:ind w:left="349"/>
              <w:rPr>
                <w:color w:val="auto"/>
                <w:highlight w:val="none"/>
              </w:rPr>
            </w:pPr>
            <w:r>
              <w:rPr>
                <w:color w:val="auto"/>
                <w:spacing w:val="-4"/>
                <w:highlight w:val="none"/>
              </w:rPr>
              <w:t>已标价工程量清单</w:t>
            </w:r>
          </w:p>
        </w:tc>
        <w:tc>
          <w:tcPr>
            <w:tcW w:w="4775" w:type="dxa"/>
            <w:vAlign w:val="top"/>
          </w:tcPr>
          <w:p w14:paraId="2E1736AC">
            <w:pPr>
              <w:pStyle w:val="11"/>
              <w:spacing w:before="157" w:line="422" w:lineRule="exact"/>
              <w:ind w:left="113"/>
              <w:rPr>
                <w:color w:val="auto"/>
                <w:highlight w:val="none"/>
              </w:rPr>
            </w:pPr>
            <w:r>
              <w:rPr>
                <w:color w:val="auto"/>
                <w:spacing w:val="6"/>
                <w:position w:val="16"/>
                <w:highlight w:val="none"/>
              </w:rPr>
              <w:t>按照招标人提供的工程量清单及其报价要求进行</w:t>
            </w:r>
          </w:p>
          <w:p w14:paraId="38A5810E">
            <w:pPr>
              <w:pStyle w:val="11"/>
              <w:spacing w:line="219" w:lineRule="auto"/>
              <w:ind w:left="111"/>
              <w:rPr>
                <w:color w:val="auto"/>
                <w:highlight w:val="none"/>
              </w:rPr>
            </w:pPr>
            <w:r>
              <w:rPr>
                <w:color w:val="auto"/>
                <w:spacing w:val="-1"/>
                <w:highlight w:val="none"/>
              </w:rPr>
              <w:t>全面准确的报价</w:t>
            </w:r>
          </w:p>
        </w:tc>
      </w:tr>
      <w:tr w14:paraId="421B7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tcBorders>
            <w:vAlign w:val="top"/>
          </w:tcPr>
          <w:p w14:paraId="21F86EB7">
            <w:pPr>
              <w:rPr>
                <w:rFonts w:ascii="Arial"/>
                <w:color w:val="auto"/>
                <w:sz w:val="21"/>
                <w:highlight w:val="none"/>
              </w:rPr>
            </w:pPr>
          </w:p>
        </w:tc>
        <w:tc>
          <w:tcPr>
            <w:tcW w:w="1060" w:type="dxa"/>
            <w:vMerge w:val="continue"/>
            <w:tcBorders>
              <w:top w:val="nil"/>
            </w:tcBorders>
            <w:vAlign w:val="top"/>
          </w:tcPr>
          <w:p w14:paraId="466DF301">
            <w:pPr>
              <w:rPr>
                <w:rFonts w:ascii="Arial"/>
                <w:color w:val="auto"/>
                <w:sz w:val="21"/>
                <w:highlight w:val="none"/>
              </w:rPr>
            </w:pPr>
          </w:p>
        </w:tc>
        <w:tc>
          <w:tcPr>
            <w:tcW w:w="2328" w:type="dxa"/>
            <w:vAlign w:val="top"/>
          </w:tcPr>
          <w:p w14:paraId="55989502">
            <w:pPr>
              <w:pStyle w:val="11"/>
              <w:spacing w:before="157" w:line="224" w:lineRule="auto"/>
              <w:ind w:left="973"/>
              <w:rPr>
                <w:color w:val="auto"/>
                <w:highlight w:val="none"/>
              </w:rPr>
            </w:pPr>
            <w:r>
              <w:rPr>
                <w:color w:val="auto"/>
                <w:spacing w:val="-5"/>
                <w:highlight w:val="none"/>
              </w:rPr>
              <w:t>……</w:t>
            </w:r>
          </w:p>
        </w:tc>
        <w:tc>
          <w:tcPr>
            <w:tcW w:w="4775" w:type="dxa"/>
            <w:vAlign w:val="top"/>
          </w:tcPr>
          <w:p w14:paraId="213CD018">
            <w:pPr>
              <w:pStyle w:val="11"/>
              <w:spacing w:before="157" w:line="224" w:lineRule="auto"/>
              <w:ind w:left="125"/>
              <w:rPr>
                <w:color w:val="auto"/>
                <w:highlight w:val="none"/>
              </w:rPr>
            </w:pPr>
            <w:r>
              <w:rPr>
                <w:color w:val="auto"/>
                <w:spacing w:val="-5"/>
                <w:highlight w:val="none"/>
              </w:rPr>
              <w:t>……</w:t>
            </w:r>
          </w:p>
        </w:tc>
      </w:tr>
      <w:tr w14:paraId="2C8749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restart"/>
            <w:tcBorders>
              <w:bottom w:val="nil"/>
            </w:tcBorders>
            <w:vAlign w:val="top"/>
          </w:tcPr>
          <w:p w14:paraId="658F2B86">
            <w:pPr>
              <w:spacing w:line="248" w:lineRule="auto"/>
              <w:rPr>
                <w:rFonts w:ascii="Arial"/>
                <w:color w:val="auto"/>
                <w:sz w:val="21"/>
                <w:highlight w:val="none"/>
              </w:rPr>
            </w:pPr>
          </w:p>
          <w:p w14:paraId="0F7B1320">
            <w:pPr>
              <w:spacing w:line="248" w:lineRule="auto"/>
              <w:rPr>
                <w:rFonts w:ascii="Arial"/>
                <w:color w:val="auto"/>
                <w:sz w:val="21"/>
                <w:highlight w:val="none"/>
              </w:rPr>
            </w:pPr>
          </w:p>
          <w:p w14:paraId="780E7E97">
            <w:pPr>
              <w:spacing w:line="248" w:lineRule="auto"/>
              <w:rPr>
                <w:rFonts w:ascii="Arial"/>
                <w:color w:val="auto"/>
                <w:sz w:val="21"/>
                <w:highlight w:val="none"/>
              </w:rPr>
            </w:pPr>
          </w:p>
          <w:p w14:paraId="342457C4">
            <w:pPr>
              <w:spacing w:line="248" w:lineRule="auto"/>
              <w:rPr>
                <w:rFonts w:ascii="Arial"/>
                <w:color w:val="auto"/>
                <w:sz w:val="21"/>
                <w:highlight w:val="none"/>
              </w:rPr>
            </w:pPr>
          </w:p>
          <w:p w14:paraId="4B0F5AF7">
            <w:pPr>
              <w:spacing w:line="248" w:lineRule="auto"/>
              <w:rPr>
                <w:rFonts w:ascii="Arial"/>
                <w:color w:val="auto"/>
                <w:sz w:val="21"/>
                <w:highlight w:val="none"/>
              </w:rPr>
            </w:pPr>
          </w:p>
          <w:p w14:paraId="628C1716">
            <w:pPr>
              <w:spacing w:line="248" w:lineRule="auto"/>
              <w:rPr>
                <w:rFonts w:ascii="Arial"/>
                <w:color w:val="auto"/>
                <w:sz w:val="21"/>
                <w:highlight w:val="none"/>
              </w:rPr>
            </w:pPr>
          </w:p>
          <w:p w14:paraId="5A77C2C6">
            <w:pPr>
              <w:spacing w:line="248" w:lineRule="auto"/>
              <w:rPr>
                <w:rFonts w:ascii="Arial"/>
                <w:color w:val="auto"/>
                <w:sz w:val="21"/>
                <w:highlight w:val="none"/>
              </w:rPr>
            </w:pPr>
          </w:p>
          <w:p w14:paraId="1DD40E8B">
            <w:pPr>
              <w:spacing w:line="248" w:lineRule="auto"/>
              <w:rPr>
                <w:rFonts w:ascii="Arial"/>
                <w:color w:val="auto"/>
                <w:sz w:val="21"/>
                <w:highlight w:val="none"/>
              </w:rPr>
            </w:pPr>
          </w:p>
          <w:p w14:paraId="6507B41E">
            <w:pPr>
              <w:spacing w:line="248" w:lineRule="auto"/>
              <w:rPr>
                <w:rFonts w:ascii="Arial"/>
                <w:color w:val="auto"/>
                <w:sz w:val="21"/>
                <w:highlight w:val="none"/>
              </w:rPr>
            </w:pPr>
          </w:p>
          <w:p w14:paraId="2A307205">
            <w:pPr>
              <w:spacing w:line="248" w:lineRule="auto"/>
              <w:rPr>
                <w:rFonts w:ascii="Arial"/>
                <w:color w:val="auto"/>
                <w:sz w:val="21"/>
                <w:highlight w:val="none"/>
              </w:rPr>
            </w:pPr>
          </w:p>
          <w:p w14:paraId="745F88FF">
            <w:pPr>
              <w:spacing w:before="61" w:line="189" w:lineRule="auto"/>
              <w:ind w:left="157"/>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2.1.4</w:t>
            </w:r>
          </w:p>
        </w:tc>
        <w:tc>
          <w:tcPr>
            <w:tcW w:w="1060" w:type="dxa"/>
            <w:vMerge w:val="restart"/>
            <w:tcBorders>
              <w:bottom w:val="nil"/>
            </w:tcBorders>
            <w:vAlign w:val="top"/>
          </w:tcPr>
          <w:p w14:paraId="20003F92">
            <w:pPr>
              <w:spacing w:line="252" w:lineRule="auto"/>
              <w:rPr>
                <w:rFonts w:ascii="Arial"/>
                <w:color w:val="auto"/>
                <w:sz w:val="21"/>
                <w:highlight w:val="none"/>
              </w:rPr>
            </w:pPr>
          </w:p>
          <w:p w14:paraId="047F0B45">
            <w:pPr>
              <w:spacing w:line="252" w:lineRule="auto"/>
              <w:rPr>
                <w:rFonts w:ascii="Arial"/>
                <w:color w:val="auto"/>
                <w:sz w:val="21"/>
                <w:highlight w:val="none"/>
              </w:rPr>
            </w:pPr>
          </w:p>
          <w:p w14:paraId="4EC5755A">
            <w:pPr>
              <w:spacing w:line="252" w:lineRule="auto"/>
              <w:rPr>
                <w:rFonts w:ascii="Arial"/>
                <w:color w:val="auto"/>
                <w:sz w:val="21"/>
                <w:highlight w:val="none"/>
              </w:rPr>
            </w:pPr>
          </w:p>
          <w:p w14:paraId="6263BDC8">
            <w:pPr>
              <w:spacing w:line="253" w:lineRule="auto"/>
              <w:rPr>
                <w:rFonts w:ascii="Arial"/>
                <w:color w:val="auto"/>
                <w:sz w:val="21"/>
                <w:highlight w:val="none"/>
              </w:rPr>
            </w:pPr>
          </w:p>
          <w:p w14:paraId="3D907108">
            <w:pPr>
              <w:spacing w:line="253" w:lineRule="auto"/>
              <w:rPr>
                <w:rFonts w:ascii="Arial"/>
                <w:color w:val="auto"/>
                <w:sz w:val="21"/>
                <w:highlight w:val="none"/>
              </w:rPr>
            </w:pPr>
          </w:p>
          <w:p w14:paraId="6ED4DD83">
            <w:pPr>
              <w:spacing w:line="253" w:lineRule="auto"/>
              <w:rPr>
                <w:rFonts w:ascii="Arial"/>
                <w:color w:val="auto"/>
                <w:sz w:val="21"/>
                <w:highlight w:val="none"/>
              </w:rPr>
            </w:pPr>
          </w:p>
          <w:p w14:paraId="0D3C83EF">
            <w:pPr>
              <w:spacing w:line="253" w:lineRule="auto"/>
              <w:rPr>
                <w:rFonts w:ascii="Arial"/>
                <w:color w:val="auto"/>
                <w:sz w:val="21"/>
                <w:highlight w:val="none"/>
              </w:rPr>
            </w:pPr>
          </w:p>
          <w:p w14:paraId="345DAB33">
            <w:pPr>
              <w:spacing w:line="253" w:lineRule="auto"/>
              <w:rPr>
                <w:rFonts w:ascii="Arial"/>
                <w:color w:val="auto"/>
                <w:sz w:val="21"/>
                <w:highlight w:val="none"/>
              </w:rPr>
            </w:pPr>
          </w:p>
          <w:p w14:paraId="4DD80EA5">
            <w:pPr>
              <w:pStyle w:val="11"/>
              <w:spacing w:before="68" w:line="223" w:lineRule="auto"/>
              <w:ind w:left="108"/>
              <w:rPr>
                <w:color w:val="auto"/>
                <w:highlight w:val="none"/>
              </w:rPr>
            </w:pPr>
            <w:r>
              <w:rPr>
                <w:color w:val="auto"/>
                <w:spacing w:val="-1"/>
                <w:highlight w:val="none"/>
              </w:rPr>
              <w:t>施工组织</w:t>
            </w:r>
          </w:p>
          <w:p w14:paraId="70163853">
            <w:pPr>
              <w:pStyle w:val="11"/>
              <w:spacing w:before="164" w:line="221" w:lineRule="auto"/>
              <w:ind w:left="112"/>
              <w:rPr>
                <w:color w:val="auto"/>
                <w:highlight w:val="none"/>
              </w:rPr>
            </w:pPr>
            <w:r>
              <w:rPr>
                <w:color w:val="auto"/>
                <w:spacing w:val="-2"/>
                <w:highlight w:val="none"/>
              </w:rPr>
              <w:t>设计评审</w:t>
            </w:r>
          </w:p>
          <w:p w14:paraId="0395977B">
            <w:pPr>
              <w:pStyle w:val="11"/>
              <w:spacing w:before="171" w:line="221" w:lineRule="auto"/>
              <w:ind w:left="321"/>
              <w:rPr>
                <w:color w:val="auto"/>
                <w:highlight w:val="none"/>
              </w:rPr>
            </w:pPr>
            <w:r>
              <w:rPr>
                <w:color w:val="auto"/>
                <w:spacing w:val="-2"/>
                <w:highlight w:val="none"/>
              </w:rPr>
              <w:t>标准</w:t>
            </w:r>
          </w:p>
        </w:tc>
        <w:tc>
          <w:tcPr>
            <w:tcW w:w="2328" w:type="dxa"/>
            <w:vAlign w:val="top"/>
          </w:tcPr>
          <w:p w14:paraId="1807DFE6">
            <w:pPr>
              <w:pStyle w:val="11"/>
              <w:spacing w:before="161" w:line="221" w:lineRule="auto"/>
              <w:ind w:left="543"/>
              <w:rPr>
                <w:color w:val="auto"/>
                <w:highlight w:val="none"/>
              </w:rPr>
            </w:pPr>
            <w:r>
              <w:rPr>
                <w:color w:val="auto"/>
                <w:spacing w:val="-2"/>
                <w:highlight w:val="none"/>
              </w:rPr>
              <w:t>管理组织架构</w:t>
            </w:r>
          </w:p>
        </w:tc>
        <w:tc>
          <w:tcPr>
            <w:tcW w:w="4775" w:type="dxa"/>
            <w:vAlign w:val="top"/>
          </w:tcPr>
          <w:p w14:paraId="37DD2DFB">
            <w:pPr>
              <w:rPr>
                <w:rFonts w:ascii="Arial"/>
                <w:color w:val="auto"/>
                <w:sz w:val="21"/>
                <w:highlight w:val="none"/>
              </w:rPr>
            </w:pPr>
          </w:p>
        </w:tc>
      </w:tr>
      <w:tr w14:paraId="73BFA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67A3C8F2">
            <w:pPr>
              <w:rPr>
                <w:rFonts w:ascii="Arial"/>
                <w:color w:val="auto"/>
                <w:sz w:val="21"/>
                <w:highlight w:val="none"/>
              </w:rPr>
            </w:pPr>
          </w:p>
        </w:tc>
        <w:tc>
          <w:tcPr>
            <w:tcW w:w="1060" w:type="dxa"/>
            <w:vMerge w:val="continue"/>
            <w:tcBorders>
              <w:top w:val="nil"/>
              <w:bottom w:val="nil"/>
            </w:tcBorders>
            <w:vAlign w:val="top"/>
          </w:tcPr>
          <w:p w14:paraId="68B33709">
            <w:pPr>
              <w:rPr>
                <w:rFonts w:ascii="Arial"/>
                <w:color w:val="auto"/>
                <w:sz w:val="21"/>
                <w:highlight w:val="none"/>
              </w:rPr>
            </w:pPr>
          </w:p>
        </w:tc>
        <w:tc>
          <w:tcPr>
            <w:tcW w:w="2328" w:type="dxa"/>
            <w:vAlign w:val="top"/>
          </w:tcPr>
          <w:p w14:paraId="77EDF93B">
            <w:pPr>
              <w:pStyle w:val="11"/>
              <w:spacing w:before="157" w:line="220" w:lineRule="auto"/>
              <w:ind w:left="431"/>
              <w:rPr>
                <w:color w:val="auto"/>
                <w:highlight w:val="none"/>
              </w:rPr>
            </w:pPr>
            <w:r>
              <w:rPr>
                <w:color w:val="auto"/>
                <w:spacing w:val="-1"/>
                <w:highlight w:val="none"/>
              </w:rPr>
              <w:t>施工总平面布置</w:t>
            </w:r>
          </w:p>
        </w:tc>
        <w:tc>
          <w:tcPr>
            <w:tcW w:w="4775" w:type="dxa"/>
            <w:vAlign w:val="top"/>
          </w:tcPr>
          <w:p w14:paraId="7A4C6DE1">
            <w:pPr>
              <w:rPr>
                <w:rFonts w:ascii="Arial"/>
                <w:color w:val="auto"/>
                <w:sz w:val="21"/>
                <w:highlight w:val="none"/>
              </w:rPr>
            </w:pPr>
          </w:p>
        </w:tc>
      </w:tr>
      <w:tr w14:paraId="70D3E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2A811FA7">
            <w:pPr>
              <w:rPr>
                <w:rFonts w:ascii="Arial"/>
                <w:color w:val="auto"/>
                <w:sz w:val="21"/>
                <w:highlight w:val="none"/>
              </w:rPr>
            </w:pPr>
          </w:p>
        </w:tc>
        <w:tc>
          <w:tcPr>
            <w:tcW w:w="1060" w:type="dxa"/>
            <w:vMerge w:val="continue"/>
            <w:tcBorders>
              <w:top w:val="nil"/>
              <w:bottom w:val="nil"/>
            </w:tcBorders>
            <w:vAlign w:val="top"/>
          </w:tcPr>
          <w:p w14:paraId="1CC06801">
            <w:pPr>
              <w:rPr>
                <w:rFonts w:ascii="Arial"/>
                <w:color w:val="auto"/>
                <w:sz w:val="21"/>
                <w:highlight w:val="none"/>
              </w:rPr>
            </w:pPr>
          </w:p>
        </w:tc>
        <w:tc>
          <w:tcPr>
            <w:tcW w:w="2328" w:type="dxa"/>
            <w:vAlign w:val="top"/>
          </w:tcPr>
          <w:p w14:paraId="033F5668">
            <w:pPr>
              <w:pStyle w:val="11"/>
              <w:spacing w:before="162" w:line="220" w:lineRule="auto"/>
              <w:ind w:left="325"/>
              <w:rPr>
                <w:color w:val="auto"/>
                <w:highlight w:val="none"/>
              </w:rPr>
            </w:pPr>
            <w:r>
              <w:rPr>
                <w:color w:val="auto"/>
                <w:spacing w:val="-1"/>
                <w:highlight w:val="none"/>
              </w:rPr>
              <w:t>施工机械设备投入</w:t>
            </w:r>
          </w:p>
        </w:tc>
        <w:tc>
          <w:tcPr>
            <w:tcW w:w="4775" w:type="dxa"/>
            <w:vAlign w:val="top"/>
          </w:tcPr>
          <w:p w14:paraId="78C34EA0">
            <w:pPr>
              <w:rPr>
                <w:rFonts w:ascii="Arial"/>
                <w:color w:val="auto"/>
                <w:sz w:val="21"/>
                <w:highlight w:val="none"/>
              </w:rPr>
            </w:pPr>
          </w:p>
        </w:tc>
      </w:tr>
      <w:tr w14:paraId="728F0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666B022A">
            <w:pPr>
              <w:rPr>
                <w:rFonts w:ascii="Arial"/>
                <w:color w:val="auto"/>
                <w:sz w:val="21"/>
                <w:highlight w:val="none"/>
              </w:rPr>
            </w:pPr>
          </w:p>
        </w:tc>
        <w:tc>
          <w:tcPr>
            <w:tcW w:w="1060" w:type="dxa"/>
            <w:vMerge w:val="continue"/>
            <w:tcBorders>
              <w:top w:val="nil"/>
              <w:bottom w:val="nil"/>
            </w:tcBorders>
            <w:vAlign w:val="top"/>
          </w:tcPr>
          <w:p w14:paraId="179793C8">
            <w:pPr>
              <w:rPr>
                <w:rFonts w:ascii="Arial"/>
                <w:color w:val="auto"/>
                <w:sz w:val="21"/>
                <w:highlight w:val="none"/>
              </w:rPr>
            </w:pPr>
          </w:p>
        </w:tc>
        <w:tc>
          <w:tcPr>
            <w:tcW w:w="2328" w:type="dxa"/>
            <w:vAlign w:val="top"/>
          </w:tcPr>
          <w:p w14:paraId="06E9ADF3">
            <w:pPr>
              <w:pStyle w:val="11"/>
              <w:spacing w:before="162" w:line="221" w:lineRule="auto"/>
              <w:ind w:left="437"/>
              <w:rPr>
                <w:color w:val="auto"/>
                <w:highlight w:val="none"/>
              </w:rPr>
            </w:pPr>
            <w:r>
              <w:rPr>
                <w:color w:val="auto"/>
                <w:spacing w:val="-2"/>
                <w:highlight w:val="none"/>
              </w:rPr>
              <w:t>劳动力安排计划</w:t>
            </w:r>
          </w:p>
        </w:tc>
        <w:tc>
          <w:tcPr>
            <w:tcW w:w="4775" w:type="dxa"/>
            <w:vAlign w:val="top"/>
          </w:tcPr>
          <w:p w14:paraId="2EFFEF7B">
            <w:pPr>
              <w:rPr>
                <w:rFonts w:ascii="Arial"/>
                <w:color w:val="auto"/>
                <w:sz w:val="21"/>
                <w:highlight w:val="none"/>
              </w:rPr>
            </w:pPr>
          </w:p>
        </w:tc>
      </w:tr>
      <w:tr w14:paraId="53BD1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4D47E90C">
            <w:pPr>
              <w:rPr>
                <w:rFonts w:ascii="Arial"/>
                <w:color w:val="auto"/>
                <w:sz w:val="21"/>
                <w:highlight w:val="none"/>
              </w:rPr>
            </w:pPr>
          </w:p>
        </w:tc>
        <w:tc>
          <w:tcPr>
            <w:tcW w:w="1060" w:type="dxa"/>
            <w:vMerge w:val="continue"/>
            <w:tcBorders>
              <w:top w:val="nil"/>
              <w:bottom w:val="nil"/>
            </w:tcBorders>
            <w:vAlign w:val="top"/>
          </w:tcPr>
          <w:p w14:paraId="000F7521">
            <w:pPr>
              <w:rPr>
                <w:rFonts w:ascii="Arial"/>
                <w:color w:val="auto"/>
                <w:sz w:val="21"/>
                <w:highlight w:val="none"/>
              </w:rPr>
            </w:pPr>
          </w:p>
        </w:tc>
        <w:tc>
          <w:tcPr>
            <w:tcW w:w="2328" w:type="dxa"/>
            <w:vAlign w:val="top"/>
          </w:tcPr>
          <w:p w14:paraId="60AF47BB">
            <w:pPr>
              <w:pStyle w:val="11"/>
              <w:spacing w:before="157" w:line="220" w:lineRule="auto"/>
              <w:ind w:left="537"/>
              <w:rPr>
                <w:color w:val="auto"/>
                <w:highlight w:val="none"/>
              </w:rPr>
            </w:pPr>
            <w:r>
              <w:rPr>
                <w:color w:val="auto"/>
                <w:spacing w:val="-1"/>
                <w:highlight w:val="none"/>
              </w:rPr>
              <w:t>材料投入计划</w:t>
            </w:r>
          </w:p>
        </w:tc>
        <w:tc>
          <w:tcPr>
            <w:tcW w:w="4775" w:type="dxa"/>
            <w:vAlign w:val="top"/>
          </w:tcPr>
          <w:p w14:paraId="4C6BC849">
            <w:pPr>
              <w:rPr>
                <w:rFonts w:ascii="Arial"/>
                <w:color w:val="auto"/>
                <w:sz w:val="21"/>
                <w:highlight w:val="none"/>
              </w:rPr>
            </w:pPr>
          </w:p>
        </w:tc>
      </w:tr>
      <w:tr w14:paraId="6A0BA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748E6061">
            <w:pPr>
              <w:rPr>
                <w:rFonts w:ascii="Arial"/>
                <w:color w:val="auto"/>
                <w:sz w:val="21"/>
                <w:highlight w:val="none"/>
              </w:rPr>
            </w:pPr>
          </w:p>
        </w:tc>
        <w:tc>
          <w:tcPr>
            <w:tcW w:w="1060" w:type="dxa"/>
            <w:vMerge w:val="continue"/>
            <w:tcBorders>
              <w:top w:val="nil"/>
              <w:bottom w:val="nil"/>
            </w:tcBorders>
            <w:vAlign w:val="top"/>
          </w:tcPr>
          <w:p w14:paraId="5D828EF4">
            <w:pPr>
              <w:rPr>
                <w:rFonts w:ascii="Arial"/>
                <w:color w:val="auto"/>
                <w:sz w:val="21"/>
                <w:highlight w:val="none"/>
              </w:rPr>
            </w:pPr>
          </w:p>
        </w:tc>
        <w:tc>
          <w:tcPr>
            <w:tcW w:w="2328" w:type="dxa"/>
            <w:vAlign w:val="top"/>
          </w:tcPr>
          <w:p w14:paraId="7CE9498D">
            <w:pPr>
              <w:pStyle w:val="11"/>
              <w:spacing w:before="163" w:line="221" w:lineRule="auto"/>
              <w:ind w:left="537"/>
              <w:rPr>
                <w:color w:val="auto"/>
                <w:highlight w:val="none"/>
              </w:rPr>
            </w:pPr>
            <w:r>
              <w:rPr>
                <w:color w:val="auto"/>
                <w:spacing w:val="-1"/>
                <w:highlight w:val="none"/>
              </w:rPr>
              <w:t>施工技术方案</w:t>
            </w:r>
          </w:p>
        </w:tc>
        <w:tc>
          <w:tcPr>
            <w:tcW w:w="4775" w:type="dxa"/>
            <w:vAlign w:val="top"/>
          </w:tcPr>
          <w:p w14:paraId="0F181403">
            <w:pPr>
              <w:rPr>
                <w:rFonts w:ascii="Arial"/>
                <w:color w:val="auto"/>
                <w:sz w:val="21"/>
                <w:highlight w:val="none"/>
              </w:rPr>
            </w:pPr>
          </w:p>
        </w:tc>
      </w:tr>
      <w:tr w14:paraId="41CE3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3A6DC836">
            <w:pPr>
              <w:rPr>
                <w:rFonts w:ascii="Arial"/>
                <w:color w:val="auto"/>
                <w:sz w:val="21"/>
                <w:highlight w:val="none"/>
              </w:rPr>
            </w:pPr>
          </w:p>
        </w:tc>
        <w:tc>
          <w:tcPr>
            <w:tcW w:w="1060" w:type="dxa"/>
            <w:vMerge w:val="continue"/>
            <w:tcBorders>
              <w:top w:val="nil"/>
              <w:bottom w:val="nil"/>
            </w:tcBorders>
            <w:vAlign w:val="top"/>
          </w:tcPr>
          <w:p w14:paraId="15A67A80">
            <w:pPr>
              <w:rPr>
                <w:rFonts w:ascii="Arial"/>
                <w:color w:val="auto"/>
                <w:sz w:val="21"/>
                <w:highlight w:val="none"/>
              </w:rPr>
            </w:pPr>
          </w:p>
        </w:tc>
        <w:tc>
          <w:tcPr>
            <w:tcW w:w="2328" w:type="dxa"/>
            <w:vAlign w:val="top"/>
          </w:tcPr>
          <w:p w14:paraId="652D57FE">
            <w:pPr>
              <w:pStyle w:val="11"/>
              <w:spacing w:before="159" w:line="221" w:lineRule="auto"/>
              <w:ind w:left="537"/>
              <w:rPr>
                <w:color w:val="auto"/>
                <w:highlight w:val="none"/>
              </w:rPr>
            </w:pPr>
            <w:r>
              <w:rPr>
                <w:color w:val="auto"/>
                <w:spacing w:val="-1"/>
                <w:highlight w:val="none"/>
              </w:rPr>
              <w:t>施工进度计划</w:t>
            </w:r>
          </w:p>
        </w:tc>
        <w:tc>
          <w:tcPr>
            <w:tcW w:w="4775" w:type="dxa"/>
            <w:vAlign w:val="top"/>
          </w:tcPr>
          <w:p w14:paraId="299C625C">
            <w:pPr>
              <w:rPr>
                <w:rFonts w:ascii="Arial"/>
                <w:color w:val="auto"/>
                <w:sz w:val="21"/>
                <w:highlight w:val="none"/>
              </w:rPr>
            </w:pPr>
          </w:p>
        </w:tc>
      </w:tr>
      <w:tr w14:paraId="0F63F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68B8C7C8">
            <w:pPr>
              <w:rPr>
                <w:rFonts w:ascii="Arial"/>
                <w:color w:val="auto"/>
                <w:sz w:val="21"/>
                <w:highlight w:val="none"/>
              </w:rPr>
            </w:pPr>
          </w:p>
        </w:tc>
        <w:tc>
          <w:tcPr>
            <w:tcW w:w="1060" w:type="dxa"/>
            <w:vMerge w:val="continue"/>
            <w:tcBorders>
              <w:top w:val="nil"/>
              <w:bottom w:val="nil"/>
            </w:tcBorders>
            <w:vAlign w:val="top"/>
          </w:tcPr>
          <w:p w14:paraId="296DCD6C">
            <w:pPr>
              <w:rPr>
                <w:rFonts w:ascii="Arial"/>
                <w:color w:val="auto"/>
                <w:sz w:val="21"/>
                <w:highlight w:val="none"/>
              </w:rPr>
            </w:pPr>
          </w:p>
        </w:tc>
        <w:tc>
          <w:tcPr>
            <w:tcW w:w="2328" w:type="dxa"/>
            <w:vAlign w:val="top"/>
          </w:tcPr>
          <w:p w14:paraId="1F2EB9D4">
            <w:pPr>
              <w:pStyle w:val="11"/>
              <w:spacing w:before="164" w:line="221" w:lineRule="auto"/>
              <w:ind w:left="537"/>
              <w:rPr>
                <w:color w:val="auto"/>
                <w:highlight w:val="none"/>
              </w:rPr>
            </w:pPr>
            <w:r>
              <w:rPr>
                <w:color w:val="auto"/>
                <w:spacing w:val="-1"/>
                <w:highlight w:val="none"/>
              </w:rPr>
              <w:t>施工保证措施</w:t>
            </w:r>
          </w:p>
        </w:tc>
        <w:tc>
          <w:tcPr>
            <w:tcW w:w="4775" w:type="dxa"/>
            <w:vAlign w:val="top"/>
          </w:tcPr>
          <w:p w14:paraId="0C54B4B0">
            <w:pPr>
              <w:rPr>
                <w:rFonts w:ascii="Arial"/>
                <w:color w:val="auto"/>
                <w:sz w:val="21"/>
                <w:highlight w:val="none"/>
              </w:rPr>
            </w:pPr>
          </w:p>
        </w:tc>
      </w:tr>
      <w:tr w14:paraId="68793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39" w:type="dxa"/>
            <w:vMerge w:val="continue"/>
            <w:tcBorders>
              <w:top w:val="nil"/>
              <w:bottom w:val="nil"/>
            </w:tcBorders>
            <w:vAlign w:val="top"/>
          </w:tcPr>
          <w:p w14:paraId="3D19E580">
            <w:pPr>
              <w:rPr>
                <w:rFonts w:ascii="Arial"/>
                <w:color w:val="auto"/>
                <w:sz w:val="21"/>
                <w:highlight w:val="none"/>
              </w:rPr>
            </w:pPr>
          </w:p>
        </w:tc>
        <w:tc>
          <w:tcPr>
            <w:tcW w:w="1060" w:type="dxa"/>
            <w:vMerge w:val="continue"/>
            <w:tcBorders>
              <w:top w:val="nil"/>
              <w:bottom w:val="nil"/>
            </w:tcBorders>
            <w:vAlign w:val="top"/>
          </w:tcPr>
          <w:p w14:paraId="12A6FC18">
            <w:pPr>
              <w:rPr>
                <w:rFonts w:ascii="Arial"/>
                <w:color w:val="auto"/>
                <w:sz w:val="21"/>
                <w:highlight w:val="none"/>
              </w:rPr>
            </w:pPr>
          </w:p>
        </w:tc>
        <w:tc>
          <w:tcPr>
            <w:tcW w:w="2328" w:type="dxa"/>
            <w:vAlign w:val="top"/>
          </w:tcPr>
          <w:p w14:paraId="479F79B6">
            <w:pPr>
              <w:pStyle w:val="11"/>
              <w:spacing w:before="158" w:line="221" w:lineRule="auto"/>
              <w:ind w:left="222"/>
              <w:rPr>
                <w:color w:val="auto"/>
                <w:highlight w:val="none"/>
              </w:rPr>
            </w:pPr>
            <w:r>
              <w:rPr>
                <w:color w:val="auto"/>
                <w:spacing w:val="-1"/>
                <w:highlight w:val="none"/>
              </w:rPr>
              <w:t>技术创新、绿色节能</w:t>
            </w:r>
          </w:p>
        </w:tc>
        <w:tc>
          <w:tcPr>
            <w:tcW w:w="4775" w:type="dxa"/>
            <w:vAlign w:val="top"/>
          </w:tcPr>
          <w:p w14:paraId="27C60E3B">
            <w:pPr>
              <w:rPr>
                <w:rFonts w:ascii="Arial"/>
                <w:color w:val="auto"/>
                <w:sz w:val="21"/>
                <w:highlight w:val="none"/>
              </w:rPr>
            </w:pPr>
          </w:p>
        </w:tc>
      </w:tr>
      <w:tr w14:paraId="3E8CE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39" w:type="dxa"/>
            <w:vMerge w:val="continue"/>
            <w:tcBorders>
              <w:top w:val="nil"/>
              <w:bottom w:val="nil"/>
            </w:tcBorders>
            <w:vAlign w:val="top"/>
          </w:tcPr>
          <w:p w14:paraId="3CEC303A">
            <w:pPr>
              <w:rPr>
                <w:rFonts w:ascii="Arial"/>
                <w:color w:val="auto"/>
                <w:sz w:val="21"/>
                <w:highlight w:val="none"/>
              </w:rPr>
            </w:pPr>
          </w:p>
        </w:tc>
        <w:tc>
          <w:tcPr>
            <w:tcW w:w="1060" w:type="dxa"/>
            <w:vMerge w:val="continue"/>
            <w:tcBorders>
              <w:top w:val="nil"/>
              <w:bottom w:val="nil"/>
            </w:tcBorders>
            <w:vAlign w:val="top"/>
          </w:tcPr>
          <w:p w14:paraId="79F2798D">
            <w:pPr>
              <w:rPr>
                <w:rFonts w:ascii="Arial"/>
                <w:color w:val="auto"/>
                <w:sz w:val="21"/>
                <w:highlight w:val="none"/>
              </w:rPr>
            </w:pPr>
          </w:p>
        </w:tc>
        <w:tc>
          <w:tcPr>
            <w:tcW w:w="2328" w:type="dxa"/>
            <w:vAlign w:val="top"/>
          </w:tcPr>
          <w:p w14:paraId="47C24CF7">
            <w:pPr>
              <w:pStyle w:val="11"/>
              <w:spacing w:before="164" w:line="222" w:lineRule="auto"/>
              <w:ind w:left="973"/>
              <w:rPr>
                <w:color w:val="auto"/>
                <w:highlight w:val="none"/>
              </w:rPr>
            </w:pPr>
            <w:r>
              <w:rPr>
                <w:color w:val="auto"/>
                <w:spacing w:val="-5"/>
                <w:highlight w:val="none"/>
              </w:rPr>
              <w:t>……</w:t>
            </w:r>
          </w:p>
        </w:tc>
        <w:tc>
          <w:tcPr>
            <w:tcW w:w="4775" w:type="dxa"/>
            <w:vAlign w:val="top"/>
          </w:tcPr>
          <w:p w14:paraId="1E4DC552">
            <w:pPr>
              <w:rPr>
                <w:rFonts w:ascii="Arial"/>
                <w:color w:val="auto"/>
                <w:sz w:val="21"/>
                <w:highlight w:val="none"/>
              </w:rPr>
            </w:pPr>
          </w:p>
        </w:tc>
      </w:tr>
      <w:tr w14:paraId="10163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44" w:hRule="atLeast"/>
        </w:trPr>
        <w:tc>
          <w:tcPr>
            <w:tcW w:w="739" w:type="dxa"/>
            <w:vMerge w:val="continue"/>
            <w:tcBorders>
              <w:top w:val="nil"/>
            </w:tcBorders>
            <w:vAlign w:val="top"/>
          </w:tcPr>
          <w:p w14:paraId="066B6CF8">
            <w:pPr>
              <w:rPr>
                <w:rFonts w:ascii="Arial"/>
                <w:color w:val="auto"/>
                <w:sz w:val="21"/>
                <w:highlight w:val="none"/>
              </w:rPr>
            </w:pPr>
          </w:p>
        </w:tc>
        <w:tc>
          <w:tcPr>
            <w:tcW w:w="1060" w:type="dxa"/>
            <w:vMerge w:val="continue"/>
            <w:tcBorders>
              <w:top w:val="nil"/>
            </w:tcBorders>
            <w:vAlign w:val="top"/>
          </w:tcPr>
          <w:p w14:paraId="04D7A756">
            <w:pPr>
              <w:rPr>
                <w:rFonts w:ascii="Arial"/>
                <w:color w:val="auto"/>
                <w:sz w:val="21"/>
                <w:highlight w:val="none"/>
              </w:rPr>
            </w:pPr>
          </w:p>
        </w:tc>
        <w:tc>
          <w:tcPr>
            <w:tcW w:w="7103" w:type="dxa"/>
            <w:gridSpan w:val="2"/>
            <w:vAlign w:val="top"/>
          </w:tcPr>
          <w:p w14:paraId="3868DD0F">
            <w:pPr>
              <w:pStyle w:val="11"/>
              <w:spacing w:before="164" w:line="417" w:lineRule="exact"/>
              <w:ind w:left="109"/>
              <w:rPr>
                <w:color w:val="auto"/>
                <w:highlight w:val="none"/>
              </w:rPr>
            </w:pPr>
            <w:r>
              <w:rPr>
                <w:color w:val="auto"/>
                <w:spacing w:val="5"/>
                <w:position w:val="15"/>
                <w:highlight w:val="none"/>
              </w:rPr>
              <w:t>评标委员会根据施工组织设计评审标准作定性评审，即作“</w:t>
            </w:r>
            <w:r>
              <w:rPr>
                <w:color w:val="auto"/>
                <w:spacing w:val="4"/>
                <w:position w:val="15"/>
                <w:highlight w:val="none"/>
              </w:rPr>
              <w:t>合格”与“不</w:t>
            </w:r>
          </w:p>
          <w:p w14:paraId="3B515255">
            <w:pPr>
              <w:pStyle w:val="11"/>
              <w:spacing w:line="220" w:lineRule="auto"/>
              <w:ind w:left="111"/>
              <w:rPr>
                <w:color w:val="auto"/>
                <w:highlight w:val="none"/>
              </w:rPr>
            </w:pPr>
            <w:r>
              <w:rPr>
                <w:color w:val="auto"/>
                <w:spacing w:val="-3"/>
                <w:highlight w:val="none"/>
              </w:rPr>
              <w:t>合格”的评审。</w:t>
            </w:r>
          </w:p>
        </w:tc>
      </w:tr>
      <w:tr w14:paraId="7386F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1799" w:type="dxa"/>
            <w:gridSpan w:val="2"/>
            <w:vAlign w:val="top"/>
          </w:tcPr>
          <w:p w14:paraId="193B2A43">
            <w:pPr>
              <w:spacing w:line="345" w:lineRule="auto"/>
              <w:rPr>
                <w:rFonts w:ascii="Arial"/>
                <w:color w:val="auto"/>
                <w:sz w:val="21"/>
                <w:highlight w:val="none"/>
              </w:rPr>
            </w:pPr>
          </w:p>
          <w:p w14:paraId="117B0867">
            <w:pPr>
              <w:spacing w:before="60" w:line="189" w:lineRule="auto"/>
              <w:ind w:left="695"/>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3.1.2</w:t>
            </w:r>
          </w:p>
        </w:tc>
        <w:tc>
          <w:tcPr>
            <w:tcW w:w="7103" w:type="dxa"/>
            <w:gridSpan w:val="2"/>
            <w:vAlign w:val="top"/>
          </w:tcPr>
          <w:p w14:paraId="6509AB47">
            <w:pPr>
              <w:pStyle w:val="11"/>
              <w:spacing w:before="164" w:line="221" w:lineRule="auto"/>
              <w:ind w:left="113"/>
              <w:rPr>
                <w:color w:val="auto"/>
                <w:highlight w:val="none"/>
              </w:rPr>
            </w:pPr>
            <w:r>
              <w:rPr>
                <w:color w:val="auto"/>
                <w:spacing w:val="-4"/>
                <w:highlight w:val="none"/>
              </w:rPr>
              <w:t>投标人不得存在的其他情形：</w:t>
            </w:r>
          </w:p>
          <w:p w14:paraId="5B83E457">
            <w:pPr>
              <w:pStyle w:val="11"/>
              <w:spacing w:before="166" w:line="220" w:lineRule="auto"/>
              <w:ind w:left="433"/>
              <w:rPr>
                <w:color w:val="auto"/>
                <w:highlight w:val="none"/>
              </w:rPr>
            </w:pPr>
            <w:r>
              <w:rPr>
                <w:color w:val="auto"/>
                <w:spacing w:val="-3"/>
                <w:highlight w:val="none"/>
              </w:rPr>
              <w:t>（1）不按评标委员会要求澄清、说明或补正；</w:t>
            </w:r>
          </w:p>
        </w:tc>
      </w:tr>
    </w:tbl>
    <w:p w14:paraId="022E78E6">
      <w:pPr>
        <w:pStyle w:val="3"/>
        <w:rPr>
          <w:color w:val="auto"/>
          <w:highlight w:val="none"/>
        </w:rPr>
      </w:pPr>
    </w:p>
    <w:p w14:paraId="516F8F94">
      <w:pPr>
        <w:rPr>
          <w:color w:val="auto"/>
          <w:highlight w:val="none"/>
        </w:rPr>
        <w:sectPr>
          <w:footerReference r:id="rId65" w:type="default"/>
          <w:pgSz w:w="11905" w:h="16839"/>
          <w:pgMar w:top="1431" w:right="1493" w:bottom="996" w:left="1502" w:header="0" w:footer="791" w:gutter="0"/>
          <w:pgNumType w:fmt="decimal"/>
          <w:cols w:space="720" w:num="1"/>
        </w:sectPr>
      </w:pPr>
    </w:p>
    <w:p w14:paraId="5A922535">
      <w:pPr>
        <w:spacing w:line="95" w:lineRule="auto"/>
        <w:rPr>
          <w:rFonts w:ascii="Arial"/>
          <w:color w:val="auto"/>
          <w:sz w:val="2"/>
          <w:highlight w:val="none"/>
        </w:rPr>
      </w:pPr>
    </w:p>
    <w:tbl>
      <w:tblPr>
        <w:tblStyle w:val="10"/>
        <w:tblW w:w="89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9"/>
        <w:gridCol w:w="1061"/>
        <w:gridCol w:w="2183"/>
        <w:gridCol w:w="4919"/>
      </w:tblGrid>
      <w:tr w14:paraId="44BA85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1800" w:type="dxa"/>
            <w:gridSpan w:val="2"/>
            <w:vAlign w:val="top"/>
          </w:tcPr>
          <w:p w14:paraId="5EC55762">
            <w:pPr>
              <w:rPr>
                <w:rFonts w:ascii="Arial"/>
                <w:color w:val="auto"/>
                <w:sz w:val="21"/>
                <w:highlight w:val="none"/>
              </w:rPr>
            </w:pPr>
          </w:p>
        </w:tc>
        <w:tc>
          <w:tcPr>
            <w:tcW w:w="7102" w:type="dxa"/>
            <w:gridSpan w:val="2"/>
            <w:vAlign w:val="top"/>
          </w:tcPr>
          <w:p w14:paraId="7090E21D">
            <w:pPr>
              <w:pStyle w:val="11"/>
              <w:spacing w:before="163" w:line="220" w:lineRule="auto"/>
              <w:ind w:left="432"/>
              <w:rPr>
                <w:color w:val="auto"/>
                <w:highlight w:val="none"/>
              </w:rPr>
            </w:pPr>
            <w:r>
              <w:rPr>
                <w:color w:val="auto"/>
                <w:spacing w:val="-1"/>
                <w:highlight w:val="none"/>
              </w:rPr>
              <w:t>（2）有串通投标、弄虚作假、行贿或有其他</w:t>
            </w:r>
            <w:r>
              <w:rPr>
                <w:color w:val="auto"/>
                <w:spacing w:val="-2"/>
                <w:highlight w:val="none"/>
              </w:rPr>
              <w:t>违法行为。</w:t>
            </w:r>
          </w:p>
        </w:tc>
      </w:tr>
      <w:tr w14:paraId="2E2DF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4" w:hRule="atLeast"/>
        </w:trPr>
        <w:tc>
          <w:tcPr>
            <w:tcW w:w="1800" w:type="dxa"/>
            <w:gridSpan w:val="2"/>
            <w:vAlign w:val="top"/>
          </w:tcPr>
          <w:p w14:paraId="2912AC17">
            <w:pPr>
              <w:spacing w:line="294" w:lineRule="auto"/>
              <w:rPr>
                <w:rFonts w:ascii="Arial"/>
                <w:color w:val="auto"/>
                <w:sz w:val="21"/>
                <w:highlight w:val="none"/>
              </w:rPr>
            </w:pPr>
          </w:p>
          <w:p w14:paraId="4E9802E7">
            <w:pPr>
              <w:spacing w:line="295" w:lineRule="auto"/>
              <w:rPr>
                <w:rFonts w:ascii="Arial"/>
                <w:color w:val="auto"/>
                <w:sz w:val="21"/>
                <w:highlight w:val="none"/>
              </w:rPr>
            </w:pPr>
          </w:p>
          <w:p w14:paraId="67C7D5A6">
            <w:pPr>
              <w:spacing w:line="295" w:lineRule="auto"/>
              <w:rPr>
                <w:rFonts w:ascii="Arial"/>
                <w:color w:val="auto"/>
                <w:sz w:val="21"/>
                <w:highlight w:val="none"/>
              </w:rPr>
            </w:pPr>
          </w:p>
          <w:p w14:paraId="6BA91440">
            <w:pPr>
              <w:spacing w:line="295" w:lineRule="auto"/>
              <w:rPr>
                <w:rFonts w:ascii="Arial"/>
                <w:color w:val="auto"/>
                <w:sz w:val="21"/>
                <w:highlight w:val="none"/>
              </w:rPr>
            </w:pPr>
          </w:p>
          <w:p w14:paraId="4231D52F">
            <w:pPr>
              <w:spacing w:before="61" w:line="189" w:lineRule="auto"/>
              <w:ind w:left="695"/>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3.1.4</w:t>
            </w:r>
          </w:p>
        </w:tc>
        <w:tc>
          <w:tcPr>
            <w:tcW w:w="7102" w:type="dxa"/>
            <w:gridSpan w:val="2"/>
            <w:vAlign w:val="top"/>
          </w:tcPr>
          <w:p w14:paraId="12CB9802">
            <w:pPr>
              <w:pStyle w:val="11"/>
              <w:spacing w:before="159" w:line="219" w:lineRule="auto"/>
              <w:ind w:left="110"/>
              <w:rPr>
                <w:color w:val="auto"/>
                <w:highlight w:val="none"/>
              </w:rPr>
            </w:pPr>
            <w:r>
              <w:rPr>
                <w:color w:val="auto"/>
                <w:spacing w:val="-1"/>
                <w:highlight w:val="none"/>
              </w:rPr>
              <w:t>合理最低价：</w:t>
            </w:r>
          </w:p>
          <w:p w14:paraId="2B1398ED">
            <w:pPr>
              <w:pStyle w:val="11"/>
              <w:spacing w:before="169" w:line="219" w:lineRule="auto"/>
              <w:ind w:left="116"/>
              <w:rPr>
                <w:color w:val="auto"/>
                <w:highlight w:val="none"/>
              </w:rPr>
            </w:pPr>
            <w:r>
              <w:rPr>
                <w:color w:val="auto"/>
                <w:spacing w:val="-1"/>
                <w:highlight w:val="none"/>
              </w:rPr>
              <w:t>（1）合同方式：</w:t>
            </w:r>
            <w:r>
              <w:rPr>
                <w:rFonts w:hint="eastAsia"/>
                <w:color w:val="auto"/>
                <w:spacing w:val="-1"/>
                <w:highlight w:val="none"/>
                <w:lang w:eastAsia="zh-CN"/>
              </w:rPr>
              <w:t>□</w:t>
            </w:r>
            <w:r>
              <w:rPr>
                <w:color w:val="auto"/>
                <w:spacing w:val="-1"/>
                <w:highlight w:val="none"/>
              </w:rPr>
              <w:t>固定单价合同   □固定总价合同</w:t>
            </w:r>
          </w:p>
          <w:p w14:paraId="39B03E8A">
            <w:pPr>
              <w:pStyle w:val="11"/>
              <w:spacing w:before="173" w:line="417" w:lineRule="exact"/>
              <w:ind w:left="116"/>
              <w:rPr>
                <w:color w:val="auto"/>
                <w:highlight w:val="none"/>
              </w:rPr>
            </w:pPr>
            <w:r>
              <w:rPr>
                <w:color w:val="auto"/>
                <w:spacing w:val="-2"/>
                <w:position w:val="15"/>
                <w:highlight w:val="none"/>
              </w:rPr>
              <w:t>（2）计算方法：依据辽住建发【2020】4</w:t>
            </w:r>
            <w:r>
              <w:rPr>
                <w:color w:val="auto"/>
                <w:spacing w:val="-27"/>
                <w:position w:val="15"/>
                <w:highlight w:val="none"/>
              </w:rPr>
              <w:t xml:space="preserve"> </w:t>
            </w:r>
            <w:r>
              <w:rPr>
                <w:color w:val="auto"/>
                <w:spacing w:val="-2"/>
                <w:position w:val="15"/>
                <w:highlight w:val="none"/>
              </w:rPr>
              <w:t>号文件第十七条。</w:t>
            </w:r>
          </w:p>
          <w:p w14:paraId="00D51038">
            <w:pPr>
              <w:pStyle w:val="11"/>
              <w:spacing w:line="222" w:lineRule="auto"/>
              <w:ind w:left="116"/>
              <w:rPr>
                <w:color w:val="auto"/>
                <w:highlight w:val="none"/>
              </w:rPr>
            </w:pPr>
            <w:r>
              <w:rPr>
                <w:color w:val="auto"/>
                <w:spacing w:val="-10"/>
                <w:highlight w:val="none"/>
              </w:rPr>
              <w:t>（3）下浮比例：</w:t>
            </w:r>
            <w:r>
              <w:rPr>
                <w:color w:val="auto"/>
                <w:spacing w:val="-18"/>
                <w:highlight w:val="none"/>
              </w:rPr>
              <w:t xml:space="preserve"> </w:t>
            </w:r>
            <w:r>
              <w:rPr>
                <w:color w:val="auto"/>
                <w:highlight w:val="none"/>
                <w:u w:val="single" w:color="auto"/>
              </w:rPr>
              <w:t xml:space="preserve">           </w:t>
            </w:r>
            <w:r>
              <w:rPr>
                <w:color w:val="auto"/>
                <w:spacing w:val="-100"/>
                <w:highlight w:val="none"/>
              </w:rPr>
              <w:t xml:space="preserve"> </w:t>
            </w:r>
            <w:r>
              <w:rPr>
                <w:color w:val="auto"/>
                <w:spacing w:val="-10"/>
                <w:highlight w:val="none"/>
              </w:rPr>
              <w:t>%。</w:t>
            </w:r>
          </w:p>
          <w:p w14:paraId="0B62002D">
            <w:pPr>
              <w:pStyle w:val="11"/>
              <w:spacing w:before="169" w:line="418" w:lineRule="exact"/>
              <w:ind w:left="534"/>
              <w:rPr>
                <w:color w:val="auto"/>
                <w:highlight w:val="none"/>
              </w:rPr>
            </w:pPr>
            <w:r>
              <w:rPr>
                <w:color w:val="auto"/>
                <w:spacing w:val="5"/>
                <w:position w:val="15"/>
                <w:highlight w:val="none"/>
              </w:rPr>
              <w:t>说明：下浮比例也可开标现场随机抽取（明确抽取范围）产生或明确</w:t>
            </w:r>
          </w:p>
          <w:p w14:paraId="4D368060">
            <w:pPr>
              <w:pStyle w:val="11"/>
              <w:spacing w:line="220" w:lineRule="auto"/>
              <w:ind w:left="116"/>
              <w:rPr>
                <w:color w:val="auto"/>
                <w:highlight w:val="none"/>
              </w:rPr>
            </w:pPr>
            <w:r>
              <w:rPr>
                <w:color w:val="auto"/>
                <w:spacing w:val="-4"/>
                <w:highlight w:val="none"/>
              </w:rPr>
              <w:t>下浮比例产生规则。</w:t>
            </w:r>
          </w:p>
        </w:tc>
      </w:tr>
      <w:tr w14:paraId="5ED62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0" w:hRule="atLeast"/>
        </w:trPr>
        <w:tc>
          <w:tcPr>
            <w:tcW w:w="1800" w:type="dxa"/>
            <w:gridSpan w:val="2"/>
            <w:vAlign w:val="top"/>
          </w:tcPr>
          <w:p w14:paraId="1C8ECD17">
            <w:pPr>
              <w:spacing w:line="250" w:lineRule="auto"/>
              <w:rPr>
                <w:rFonts w:ascii="Arial"/>
                <w:color w:val="auto"/>
                <w:sz w:val="21"/>
                <w:highlight w:val="none"/>
              </w:rPr>
            </w:pPr>
          </w:p>
          <w:p w14:paraId="06A868C4">
            <w:pPr>
              <w:spacing w:line="250" w:lineRule="auto"/>
              <w:rPr>
                <w:rFonts w:ascii="Arial"/>
                <w:color w:val="auto"/>
                <w:sz w:val="21"/>
                <w:highlight w:val="none"/>
              </w:rPr>
            </w:pPr>
          </w:p>
          <w:p w14:paraId="03A0F69C">
            <w:pPr>
              <w:spacing w:line="250" w:lineRule="auto"/>
              <w:rPr>
                <w:rFonts w:ascii="Arial"/>
                <w:color w:val="auto"/>
                <w:sz w:val="21"/>
                <w:highlight w:val="none"/>
              </w:rPr>
            </w:pPr>
          </w:p>
          <w:p w14:paraId="5983C818">
            <w:pPr>
              <w:spacing w:line="250" w:lineRule="auto"/>
              <w:rPr>
                <w:rFonts w:ascii="Arial"/>
                <w:color w:val="auto"/>
                <w:sz w:val="21"/>
                <w:highlight w:val="none"/>
              </w:rPr>
            </w:pPr>
          </w:p>
          <w:p w14:paraId="0326C489">
            <w:pPr>
              <w:spacing w:line="251" w:lineRule="auto"/>
              <w:rPr>
                <w:rFonts w:ascii="Arial"/>
                <w:color w:val="auto"/>
                <w:sz w:val="21"/>
                <w:highlight w:val="none"/>
              </w:rPr>
            </w:pPr>
          </w:p>
          <w:p w14:paraId="19E9309D">
            <w:pPr>
              <w:spacing w:line="251" w:lineRule="auto"/>
              <w:rPr>
                <w:rFonts w:ascii="Arial"/>
                <w:color w:val="auto"/>
                <w:sz w:val="21"/>
                <w:highlight w:val="none"/>
              </w:rPr>
            </w:pPr>
          </w:p>
          <w:p w14:paraId="7809A80F">
            <w:pPr>
              <w:spacing w:line="251" w:lineRule="auto"/>
              <w:rPr>
                <w:rFonts w:ascii="Arial"/>
                <w:color w:val="auto"/>
                <w:sz w:val="21"/>
                <w:highlight w:val="none"/>
              </w:rPr>
            </w:pPr>
          </w:p>
          <w:p w14:paraId="70F5399E">
            <w:pPr>
              <w:spacing w:before="61" w:line="189" w:lineRule="auto"/>
              <w:ind w:left="772"/>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3.3</w:t>
            </w:r>
          </w:p>
        </w:tc>
        <w:tc>
          <w:tcPr>
            <w:tcW w:w="7102" w:type="dxa"/>
            <w:gridSpan w:val="2"/>
            <w:vAlign w:val="top"/>
          </w:tcPr>
          <w:p w14:paraId="4B1655D2">
            <w:pPr>
              <w:pStyle w:val="11"/>
              <w:spacing w:before="30" w:line="361" w:lineRule="auto"/>
              <w:ind w:left="110" w:right="102" w:firstLine="420"/>
              <w:jc w:val="both"/>
              <w:rPr>
                <w:color w:val="auto"/>
                <w:highlight w:val="none"/>
              </w:rPr>
            </w:pPr>
            <w:r>
              <w:rPr>
                <w:color w:val="auto"/>
                <w:spacing w:val="5"/>
                <w:highlight w:val="none"/>
              </w:rPr>
              <w:t>评标委员会在评标过程中，如要求投标人澄清或说明的，评标委员会</w:t>
            </w:r>
            <w:r>
              <w:rPr>
                <w:color w:val="auto"/>
                <w:spacing w:val="11"/>
                <w:highlight w:val="none"/>
              </w:rPr>
              <w:t xml:space="preserve"> </w:t>
            </w:r>
            <w:r>
              <w:rPr>
                <w:color w:val="auto"/>
                <w:spacing w:val="5"/>
                <w:highlight w:val="none"/>
              </w:rPr>
              <w:t>要求投标人在线澄清或说明的时间距投标人收到评标委员会通知的时间不</w:t>
            </w:r>
          </w:p>
          <w:p w14:paraId="4ED396C8">
            <w:pPr>
              <w:pStyle w:val="11"/>
              <w:spacing w:line="220" w:lineRule="auto"/>
              <w:ind w:left="110"/>
              <w:rPr>
                <w:color w:val="auto"/>
                <w:highlight w:val="none"/>
              </w:rPr>
            </w:pPr>
            <w:r>
              <w:rPr>
                <w:color w:val="auto"/>
                <w:spacing w:val="-6"/>
                <w:highlight w:val="none"/>
              </w:rPr>
              <w:t>得少于</w:t>
            </w:r>
            <w:r>
              <w:rPr>
                <w:color w:val="auto"/>
                <w:spacing w:val="-102"/>
                <w:highlight w:val="none"/>
              </w:rPr>
              <w:t xml:space="preserve"> </w:t>
            </w:r>
            <w:r>
              <w:rPr>
                <w:color w:val="auto"/>
                <w:spacing w:val="34"/>
                <w:highlight w:val="none"/>
                <w:u w:val="single" w:color="auto"/>
              </w:rPr>
              <w:t xml:space="preserve">   </w:t>
            </w:r>
            <w:r>
              <w:rPr>
                <w:color w:val="auto"/>
                <w:spacing w:val="-93"/>
                <w:highlight w:val="none"/>
              </w:rPr>
              <w:t xml:space="preserve"> </w:t>
            </w:r>
            <w:r>
              <w:rPr>
                <w:color w:val="auto"/>
                <w:spacing w:val="-6"/>
                <w:highlight w:val="none"/>
              </w:rPr>
              <w:t>分钟。</w:t>
            </w:r>
          </w:p>
          <w:p w14:paraId="2ED9440C">
            <w:pPr>
              <w:pStyle w:val="11"/>
              <w:spacing w:before="156" w:line="359" w:lineRule="auto"/>
              <w:ind w:left="113" w:right="102" w:firstLine="418"/>
              <w:jc w:val="both"/>
              <w:rPr>
                <w:color w:val="auto"/>
                <w:highlight w:val="none"/>
              </w:rPr>
            </w:pPr>
            <w:r>
              <w:rPr>
                <w:color w:val="auto"/>
                <w:spacing w:val="5"/>
                <w:highlight w:val="none"/>
              </w:rPr>
              <w:t>评标委员会认为投标人的澄清或说明不够明确，应再次要求投标人对</w:t>
            </w:r>
            <w:r>
              <w:rPr>
                <w:color w:val="auto"/>
                <w:spacing w:val="11"/>
                <w:highlight w:val="none"/>
              </w:rPr>
              <w:t xml:space="preserve"> </w:t>
            </w:r>
            <w:r>
              <w:rPr>
                <w:color w:val="auto"/>
                <w:spacing w:val="5"/>
                <w:highlight w:val="none"/>
              </w:rPr>
              <w:t>不明确的内容进行澄清或说明，评标委员会要求投标人再次在线澄清或说</w:t>
            </w:r>
          </w:p>
          <w:p w14:paraId="2FC3091D">
            <w:pPr>
              <w:pStyle w:val="11"/>
              <w:spacing w:before="1" w:line="219" w:lineRule="auto"/>
              <w:ind w:left="129"/>
              <w:rPr>
                <w:color w:val="auto"/>
                <w:highlight w:val="none"/>
              </w:rPr>
            </w:pPr>
            <w:r>
              <w:rPr>
                <w:color w:val="auto"/>
                <w:spacing w:val="-2"/>
                <w:highlight w:val="none"/>
              </w:rPr>
              <w:t>明的时间距投标人收到评标委员会通知的时间不得少于</w:t>
            </w:r>
            <w:r>
              <w:rPr>
                <w:color w:val="auto"/>
                <w:spacing w:val="-87"/>
                <w:highlight w:val="none"/>
              </w:rPr>
              <w:t xml:space="preserve"> </w:t>
            </w:r>
            <w:r>
              <w:rPr>
                <w:color w:val="auto"/>
                <w:highlight w:val="none"/>
                <w:u w:val="single" w:color="auto"/>
              </w:rPr>
              <w:t xml:space="preserve">    </w:t>
            </w:r>
            <w:r>
              <w:rPr>
                <w:color w:val="auto"/>
                <w:spacing w:val="-92"/>
                <w:highlight w:val="none"/>
              </w:rPr>
              <w:t xml:space="preserve"> </w:t>
            </w:r>
            <w:r>
              <w:rPr>
                <w:color w:val="auto"/>
                <w:spacing w:val="-2"/>
                <w:highlight w:val="none"/>
              </w:rPr>
              <w:t>分钟。</w:t>
            </w:r>
          </w:p>
          <w:p w14:paraId="680CDF55">
            <w:pPr>
              <w:pStyle w:val="11"/>
              <w:spacing w:before="157" w:line="359" w:lineRule="auto"/>
              <w:ind w:left="113" w:right="102" w:firstLine="421"/>
              <w:jc w:val="both"/>
              <w:rPr>
                <w:color w:val="auto"/>
                <w:highlight w:val="none"/>
              </w:rPr>
            </w:pPr>
            <w:r>
              <w:rPr>
                <w:color w:val="auto"/>
                <w:spacing w:val="5"/>
                <w:highlight w:val="none"/>
              </w:rPr>
              <w:t>投标人未在规定时间内作出澄清或说明的，或者评标委员会成员认为</w:t>
            </w:r>
            <w:r>
              <w:rPr>
                <w:color w:val="auto"/>
                <w:spacing w:val="8"/>
                <w:highlight w:val="none"/>
              </w:rPr>
              <w:t xml:space="preserve"> </w:t>
            </w:r>
            <w:r>
              <w:rPr>
                <w:color w:val="auto"/>
                <w:spacing w:val="12"/>
                <w:highlight w:val="none"/>
              </w:rPr>
              <w:t>该投标人的澄清或说明始终都不符合评标委员</w:t>
            </w:r>
            <w:r>
              <w:rPr>
                <w:color w:val="auto"/>
                <w:spacing w:val="11"/>
                <w:highlight w:val="none"/>
              </w:rPr>
              <w:t>会要求的，作否决投标处</w:t>
            </w:r>
          </w:p>
          <w:p w14:paraId="51BDACD1">
            <w:pPr>
              <w:pStyle w:val="11"/>
              <w:spacing w:before="1" w:line="230" w:lineRule="auto"/>
              <w:ind w:left="112"/>
              <w:rPr>
                <w:color w:val="auto"/>
                <w:highlight w:val="none"/>
              </w:rPr>
            </w:pPr>
            <w:r>
              <w:rPr>
                <w:color w:val="auto"/>
                <w:spacing w:val="-10"/>
                <w:highlight w:val="none"/>
              </w:rPr>
              <w:t>理。</w:t>
            </w:r>
          </w:p>
        </w:tc>
      </w:tr>
      <w:tr w14:paraId="5D9C8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1800" w:type="dxa"/>
            <w:gridSpan w:val="2"/>
            <w:vAlign w:val="top"/>
          </w:tcPr>
          <w:p w14:paraId="70B29AAE">
            <w:pPr>
              <w:pStyle w:val="11"/>
              <w:spacing w:before="162" w:line="221" w:lineRule="auto"/>
              <w:ind w:left="586"/>
              <w:rPr>
                <w:color w:val="auto"/>
                <w:highlight w:val="none"/>
              </w:rPr>
            </w:pPr>
            <w:r>
              <w:rPr>
                <w:color w:val="auto"/>
                <w:spacing w:val="-2"/>
                <w:highlight w:val="none"/>
                <w14:textOutline w14:w="3831" w14:cap="flat" w14:cmpd="sng">
                  <w14:solidFill>
                    <w14:srgbClr w14:val="000000"/>
                  </w14:solidFill>
                  <w14:prstDash w14:val="solid"/>
                  <w14:miter w14:val="0"/>
                </w14:textOutline>
              </w:rPr>
              <w:t>条款号</w:t>
            </w:r>
          </w:p>
        </w:tc>
        <w:tc>
          <w:tcPr>
            <w:tcW w:w="2183" w:type="dxa"/>
            <w:vAlign w:val="top"/>
          </w:tcPr>
          <w:p w14:paraId="5A3425D6">
            <w:pPr>
              <w:pStyle w:val="11"/>
              <w:spacing w:before="162" w:line="221" w:lineRule="auto"/>
              <w:ind w:left="673"/>
              <w:rPr>
                <w:color w:val="auto"/>
                <w:highlight w:val="none"/>
              </w:rPr>
            </w:pPr>
            <w:r>
              <w:rPr>
                <w:color w:val="auto"/>
                <w:spacing w:val="-1"/>
                <w:highlight w:val="none"/>
                <w14:textOutline w14:w="3831" w14:cap="flat" w14:cmpd="sng">
                  <w14:solidFill>
                    <w14:srgbClr w14:val="000000"/>
                  </w14:solidFill>
                  <w14:prstDash w14:val="solid"/>
                  <w14:miter w14:val="0"/>
                </w14:textOutline>
              </w:rPr>
              <w:t>条款内容</w:t>
            </w:r>
          </w:p>
        </w:tc>
        <w:tc>
          <w:tcPr>
            <w:tcW w:w="4919" w:type="dxa"/>
            <w:vAlign w:val="top"/>
          </w:tcPr>
          <w:p w14:paraId="05559E3A">
            <w:pPr>
              <w:pStyle w:val="11"/>
              <w:spacing w:before="162" w:line="221" w:lineRule="auto"/>
              <w:ind w:left="2038"/>
              <w:rPr>
                <w:color w:val="auto"/>
                <w:highlight w:val="none"/>
              </w:rPr>
            </w:pPr>
            <w:r>
              <w:rPr>
                <w:color w:val="auto"/>
                <w:spacing w:val="-1"/>
                <w:highlight w:val="none"/>
                <w14:textOutline w14:w="3831" w14:cap="flat" w14:cmpd="sng">
                  <w14:solidFill>
                    <w14:srgbClr w14:val="000000"/>
                  </w14:solidFill>
                  <w14:prstDash w14:val="solid"/>
                  <w14:miter w14:val="0"/>
                </w14:textOutline>
              </w:rPr>
              <w:t>编列内容</w:t>
            </w:r>
          </w:p>
        </w:tc>
      </w:tr>
      <w:tr w14:paraId="4F001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39" w:type="dxa"/>
            <w:vMerge w:val="restart"/>
            <w:tcBorders>
              <w:bottom w:val="nil"/>
            </w:tcBorders>
            <w:vAlign w:val="top"/>
          </w:tcPr>
          <w:p w14:paraId="238C3485">
            <w:pPr>
              <w:spacing w:line="256" w:lineRule="auto"/>
              <w:rPr>
                <w:rFonts w:ascii="Arial"/>
                <w:color w:val="auto"/>
                <w:sz w:val="21"/>
                <w:highlight w:val="none"/>
              </w:rPr>
            </w:pPr>
          </w:p>
          <w:p w14:paraId="471CE94E">
            <w:pPr>
              <w:spacing w:line="256" w:lineRule="auto"/>
              <w:rPr>
                <w:rFonts w:ascii="Arial"/>
                <w:color w:val="auto"/>
                <w:sz w:val="21"/>
                <w:highlight w:val="none"/>
              </w:rPr>
            </w:pPr>
          </w:p>
          <w:p w14:paraId="58E6D323">
            <w:pPr>
              <w:spacing w:line="256" w:lineRule="auto"/>
              <w:rPr>
                <w:rFonts w:ascii="Arial"/>
                <w:color w:val="auto"/>
                <w:sz w:val="21"/>
                <w:highlight w:val="none"/>
              </w:rPr>
            </w:pPr>
          </w:p>
          <w:p w14:paraId="720C7301">
            <w:pPr>
              <w:spacing w:before="60" w:line="189" w:lineRule="auto"/>
              <w:ind w:left="234"/>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1"/>
                <w:sz w:val="21"/>
                <w:szCs w:val="21"/>
                <w:highlight w:val="none"/>
              </w:rPr>
              <w:t>2.2</w:t>
            </w:r>
          </w:p>
        </w:tc>
        <w:tc>
          <w:tcPr>
            <w:tcW w:w="1061" w:type="dxa"/>
            <w:vMerge w:val="restart"/>
            <w:tcBorders>
              <w:bottom w:val="nil"/>
            </w:tcBorders>
            <w:vAlign w:val="top"/>
          </w:tcPr>
          <w:p w14:paraId="68E51CFC">
            <w:pPr>
              <w:spacing w:line="241" w:lineRule="auto"/>
              <w:rPr>
                <w:rFonts w:ascii="Arial"/>
                <w:color w:val="auto"/>
                <w:sz w:val="21"/>
                <w:highlight w:val="none"/>
              </w:rPr>
            </w:pPr>
          </w:p>
          <w:p w14:paraId="03D2D4AE">
            <w:pPr>
              <w:spacing w:line="241" w:lineRule="auto"/>
              <w:rPr>
                <w:rFonts w:ascii="Arial"/>
                <w:color w:val="auto"/>
                <w:sz w:val="21"/>
                <w:highlight w:val="none"/>
              </w:rPr>
            </w:pPr>
          </w:p>
          <w:p w14:paraId="34DC3ECD">
            <w:pPr>
              <w:spacing w:line="242" w:lineRule="auto"/>
              <w:rPr>
                <w:rFonts w:ascii="Arial"/>
                <w:color w:val="auto"/>
                <w:sz w:val="21"/>
                <w:highlight w:val="none"/>
              </w:rPr>
            </w:pPr>
          </w:p>
          <w:p w14:paraId="32006E47">
            <w:pPr>
              <w:pStyle w:val="11"/>
              <w:spacing w:before="68" w:line="221" w:lineRule="auto"/>
              <w:ind w:left="112"/>
              <w:rPr>
                <w:color w:val="auto"/>
                <w:highlight w:val="none"/>
              </w:rPr>
            </w:pPr>
            <w:r>
              <w:rPr>
                <w:color w:val="auto"/>
                <w:spacing w:val="-2"/>
                <w:highlight w:val="none"/>
              </w:rPr>
              <w:t>详细评审</w:t>
            </w:r>
          </w:p>
        </w:tc>
        <w:tc>
          <w:tcPr>
            <w:tcW w:w="2183" w:type="dxa"/>
            <w:vAlign w:val="top"/>
          </w:tcPr>
          <w:p w14:paraId="0FE8640A">
            <w:pPr>
              <w:spacing w:line="299" w:lineRule="auto"/>
              <w:rPr>
                <w:rFonts w:ascii="Arial"/>
                <w:color w:val="auto"/>
                <w:sz w:val="21"/>
                <w:highlight w:val="none"/>
              </w:rPr>
            </w:pPr>
          </w:p>
          <w:p w14:paraId="536F0EA7">
            <w:pPr>
              <w:pStyle w:val="11"/>
              <w:spacing w:before="68" w:line="219" w:lineRule="auto"/>
              <w:ind w:left="358"/>
              <w:rPr>
                <w:color w:val="auto"/>
                <w:highlight w:val="none"/>
              </w:rPr>
            </w:pPr>
            <w:r>
              <w:rPr>
                <w:color w:val="auto"/>
                <w:spacing w:val="-1"/>
                <w:highlight w:val="none"/>
              </w:rPr>
              <w:t>评标价确定方法</w:t>
            </w:r>
          </w:p>
        </w:tc>
        <w:tc>
          <w:tcPr>
            <w:tcW w:w="4919" w:type="dxa"/>
            <w:vAlign w:val="top"/>
          </w:tcPr>
          <w:p w14:paraId="282F54CD">
            <w:pPr>
              <w:pStyle w:val="11"/>
              <w:spacing w:before="162" w:line="418" w:lineRule="exact"/>
              <w:ind w:left="110"/>
              <w:rPr>
                <w:color w:val="auto"/>
                <w:highlight w:val="none"/>
              </w:rPr>
            </w:pPr>
            <w:r>
              <w:rPr>
                <w:color w:val="auto"/>
                <w:spacing w:val="8"/>
                <w:position w:val="15"/>
                <w:highlight w:val="none"/>
              </w:rPr>
              <w:t>评标价＝投标函大写投标报价（或经投标人书面</w:t>
            </w:r>
          </w:p>
          <w:p w14:paraId="13FE2C9E">
            <w:pPr>
              <w:pStyle w:val="11"/>
              <w:spacing w:line="219" w:lineRule="auto"/>
              <w:ind w:left="111"/>
              <w:rPr>
                <w:color w:val="auto"/>
                <w:highlight w:val="none"/>
              </w:rPr>
            </w:pPr>
            <w:r>
              <w:rPr>
                <w:color w:val="auto"/>
                <w:spacing w:val="-7"/>
                <w:highlight w:val="none"/>
              </w:rPr>
              <w:t>确认的算术错误修正后的投标总报价）。</w:t>
            </w:r>
          </w:p>
        </w:tc>
      </w:tr>
      <w:tr w14:paraId="686B8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39" w:type="dxa"/>
            <w:vMerge w:val="continue"/>
            <w:tcBorders>
              <w:top w:val="nil"/>
            </w:tcBorders>
            <w:vAlign w:val="top"/>
          </w:tcPr>
          <w:p w14:paraId="353FC371">
            <w:pPr>
              <w:rPr>
                <w:rFonts w:ascii="Arial"/>
                <w:color w:val="auto"/>
                <w:sz w:val="21"/>
                <w:highlight w:val="none"/>
              </w:rPr>
            </w:pPr>
          </w:p>
        </w:tc>
        <w:tc>
          <w:tcPr>
            <w:tcW w:w="1061" w:type="dxa"/>
            <w:vMerge w:val="continue"/>
            <w:tcBorders>
              <w:top w:val="nil"/>
            </w:tcBorders>
            <w:vAlign w:val="top"/>
          </w:tcPr>
          <w:p w14:paraId="5C936B15">
            <w:pPr>
              <w:rPr>
                <w:rFonts w:ascii="Arial"/>
                <w:color w:val="auto"/>
                <w:sz w:val="21"/>
                <w:highlight w:val="none"/>
              </w:rPr>
            </w:pPr>
          </w:p>
        </w:tc>
        <w:tc>
          <w:tcPr>
            <w:tcW w:w="2183" w:type="dxa"/>
            <w:vAlign w:val="top"/>
          </w:tcPr>
          <w:p w14:paraId="72F626FD">
            <w:pPr>
              <w:spacing w:line="300" w:lineRule="auto"/>
              <w:rPr>
                <w:rFonts w:ascii="Arial"/>
                <w:color w:val="auto"/>
                <w:sz w:val="21"/>
                <w:highlight w:val="none"/>
              </w:rPr>
            </w:pPr>
          </w:p>
          <w:p w14:paraId="543EEC32">
            <w:pPr>
              <w:pStyle w:val="11"/>
              <w:spacing w:before="68" w:line="222" w:lineRule="auto"/>
              <w:ind w:left="676"/>
              <w:rPr>
                <w:color w:val="auto"/>
                <w:highlight w:val="none"/>
              </w:rPr>
            </w:pPr>
            <w:r>
              <w:rPr>
                <w:color w:val="auto"/>
                <w:spacing w:val="-1"/>
                <w:highlight w:val="none"/>
              </w:rPr>
              <w:t>排序方法</w:t>
            </w:r>
          </w:p>
        </w:tc>
        <w:tc>
          <w:tcPr>
            <w:tcW w:w="4919" w:type="dxa"/>
            <w:vAlign w:val="top"/>
          </w:tcPr>
          <w:p w14:paraId="034C0798">
            <w:pPr>
              <w:pStyle w:val="11"/>
              <w:spacing w:before="163" w:line="418" w:lineRule="exact"/>
              <w:ind w:left="112"/>
              <w:rPr>
                <w:color w:val="auto"/>
                <w:highlight w:val="none"/>
              </w:rPr>
            </w:pPr>
            <w:r>
              <w:rPr>
                <w:color w:val="auto"/>
                <w:spacing w:val="5"/>
                <w:position w:val="15"/>
                <w:highlight w:val="none"/>
              </w:rPr>
              <w:t>有效评标价（不低于合理最低价）</w:t>
            </w:r>
            <w:r>
              <w:rPr>
                <w:color w:val="auto"/>
                <w:spacing w:val="-42"/>
                <w:position w:val="15"/>
                <w:highlight w:val="none"/>
              </w:rPr>
              <w:t xml:space="preserve"> </w:t>
            </w:r>
            <w:r>
              <w:rPr>
                <w:color w:val="auto"/>
                <w:spacing w:val="5"/>
                <w:position w:val="15"/>
                <w:highlight w:val="none"/>
              </w:rPr>
              <w:t>由低到高的顺</w:t>
            </w:r>
          </w:p>
          <w:p w14:paraId="114AC46D">
            <w:pPr>
              <w:pStyle w:val="11"/>
              <w:spacing w:line="222" w:lineRule="auto"/>
              <w:ind w:left="110"/>
              <w:rPr>
                <w:color w:val="auto"/>
                <w:highlight w:val="none"/>
              </w:rPr>
            </w:pPr>
            <w:r>
              <w:rPr>
                <w:color w:val="auto"/>
                <w:spacing w:val="-7"/>
                <w:highlight w:val="none"/>
              </w:rPr>
              <w:t>序排序。</w:t>
            </w:r>
          </w:p>
        </w:tc>
      </w:tr>
    </w:tbl>
    <w:p w14:paraId="6ED398C1">
      <w:pPr>
        <w:pStyle w:val="3"/>
        <w:rPr>
          <w:color w:val="auto"/>
          <w:highlight w:val="none"/>
        </w:rPr>
      </w:pPr>
    </w:p>
    <w:p w14:paraId="20386EDB">
      <w:pPr>
        <w:rPr>
          <w:color w:val="auto"/>
          <w:highlight w:val="none"/>
        </w:rPr>
        <w:sectPr>
          <w:footerReference r:id="rId66" w:type="default"/>
          <w:pgSz w:w="11905" w:h="16839"/>
          <w:pgMar w:top="1431" w:right="1493" w:bottom="996" w:left="1502" w:header="0" w:footer="791" w:gutter="0"/>
          <w:pgNumType w:fmt="decimal"/>
          <w:cols w:space="720" w:num="1"/>
        </w:sectPr>
      </w:pPr>
    </w:p>
    <w:p w14:paraId="67DC2683">
      <w:pPr>
        <w:spacing w:before="86" w:line="499" w:lineRule="exact"/>
        <w:ind w:left="19"/>
        <w:rPr>
          <w:rFonts w:ascii="黑体" w:hAnsi="黑体" w:eastAsia="黑体" w:cs="黑体"/>
          <w:color w:val="auto"/>
          <w:sz w:val="27"/>
          <w:szCs w:val="27"/>
          <w:highlight w:val="none"/>
        </w:rPr>
      </w:pPr>
      <w:r>
        <w:rPr>
          <w:rFonts w:ascii="黑体" w:hAnsi="黑体" w:eastAsia="黑体" w:cs="黑体"/>
          <w:color w:val="auto"/>
          <w:spacing w:val="8"/>
          <w:position w:val="16"/>
          <w:sz w:val="27"/>
          <w:szCs w:val="27"/>
          <w:highlight w:val="none"/>
        </w:rPr>
        <w:t>评标办法正文部分</w:t>
      </w:r>
    </w:p>
    <w:p w14:paraId="042C200E">
      <w:pPr>
        <w:spacing w:before="1" w:line="223" w:lineRule="auto"/>
        <w:ind w:left="42"/>
        <w:rPr>
          <w:rFonts w:ascii="黑体" w:hAnsi="黑体" w:eastAsia="黑体" w:cs="黑体"/>
          <w:color w:val="auto"/>
          <w:sz w:val="27"/>
          <w:szCs w:val="27"/>
          <w:highlight w:val="none"/>
        </w:rPr>
      </w:pPr>
      <w:r>
        <w:rPr>
          <w:rFonts w:ascii="Times New Roman" w:hAnsi="Times New Roman" w:eastAsia="Times New Roman" w:cs="Times New Roman"/>
          <w:color w:val="auto"/>
          <w:spacing w:val="1"/>
          <w:sz w:val="27"/>
          <w:szCs w:val="27"/>
          <w:highlight w:val="none"/>
        </w:rPr>
        <w:t>1.</w:t>
      </w:r>
      <w:r>
        <w:rPr>
          <w:rFonts w:ascii="黑体" w:hAnsi="黑体" w:eastAsia="黑体" w:cs="黑体"/>
          <w:color w:val="auto"/>
          <w:spacing w:val="1"/>
          <w:sz w:val="27"/>
          <w:szCs w:val="27"/>
          <w:highlight w:val="none"/>
        </w:rPr>
        <w:t>评标方法</w:t>
      </w:r>
    </w:p>
    <w:p w14:paraId="4ADF8CB2">
      <w:pPr>
        <w:spacing w:before="121" w:line="333" w:lineRule="auto"/>
        <w:ind w:left="19" w:right="172" w:firstLine="422"/>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本次评标采用经评审的最低投标价法。评标委员会对满足招标文件实质性要求的投标</w:t>
      </w:r>
      <w:r>
        <w:rPr>
          <w:rFonts w:ascii="宋体" w:hAnsi="宋体" w:eastAsia="宋体" w:cs="宋体"/>
          <w:color w:val="auto"/>
          <w:spacing w:val="4"/>
          <w:sz w:val="21"/>
          <w:szCs w:val="21"/>
          <w:highlight w:val="none"/>
        </w:rPr>
        <w:t xml:space="preserve"> </w:t>
      </w:r>
      <w:r>
        <w:rPr>
          <w:rFonts w:ascii="宋体" w:hAnsi="宋体" w:eastAsia="宋体" w:cs="宋体"/>
          <w:color w:val="auto"/>
          <w:spacing w:val="-3"/>
          <w:sz w:val="21"/>
          <w:szCs w:val="21"/>
          <w:highlight w:val="none"/>
        </w:rPr>
        <w:t>文件，按照本章第</w:t>
      </w:r>
      <w:r>
        <w:rPr>
          <w:rFonts w:ascii="宋体" w:hAnsi="宋体" w:eastAsia="宋体" w:cs="宋体"/>
          <w:color w:val="auto"/>
          <w:spacing w:val="-53"/>
          <w:sz w:val="21"/>
          <w:szCs w:val="21"/>
          <w:highlight w:val="none"/>
        </w:rPr>
        <w:t xml:space="preserve"> </w:t>
      </w:r>
      <w:r>
        <w:rPr>
          <w:rFonts w:ascii="Times New Roman" w:hAnsi="Times New Roman" w:eastAsia="Times New Roman" w:cs="Times New Roman"/>
          <w:color w:val="auto"/>
          <w:spacing w:val="-3"/>
          <w:sz w:val="21"/>
          <w:szCs w:val="21"/>
          <w:highlight w:val="none"/>
        </w:rPr>
        <w:t>2.2</w:t>
      </w:r>
      <w:r>
        <w:rPr>
          <w:rFonts w:ascii="Times New Roman" w:hAnsi="Times New Roman" w:eastAsia="Times New Roman" w:cs="Times New Roman"/>
          <w:color w:val="auto"/>
          <w:spacing w:val="-15"/>
          <w:sz w:val="21"/>
          <w:szCs w:val="21"/>
          <w:highlight w:val="none"/>
        </w:rPr>
        <w:t xml:space="preserve"> </w:t>
      </w:r>
      <w:r>
        <w:rPr>
          <w:rFonts w:ascii="宋体" w:hAnsi="宋体" w:eastAsia="宋体" w:cs="宋体"/>
          <w:color w:val="auto"/>
          <w:spacing w:val="-3"/>
          <w:sz w:val="21"/>
          <w:szCs w:val="21"/>
          <w:highlight w:val="none"/>
        </w:rPr>
        <w:t>款规定的评分标准进行评审， 并按有效评标价由低到高的顺序推荐中</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标候选人，或根据招标人授权直接确定中标人，但投标报价低于其成</w:t>
      </w:r>
      <w:r>
        <w:rPr>
          <w:rFonts w:ascii="宋体" w:hAnsi="宋体" w:eastAsia="宋体" w:cs="宋体"/>
          <w:color w:val="auto"/>
          <w:sz w:val="21"/>
          <w:szCs w:val="21"/>
          <w:highlight w:val="none"/>
        </w:rPr>
        <w:t>本的除外。</w:t>
      </w:r>
      <w:r>
        <w:rPr>
          <w:rFonts w:ascii="宋体" w:hAnsi="宋体" w:eastAsia="宋体" w:cs="宋体"/>
          <w:color w:val="auto"/>
          <w:spacing w:val="-19"/>
          <w:sz w:val="21"/>
          <w:szCs w:val="21"/>
          <w:highlight w:val="none"/>
        </w:rPr>
        <w:t xml:space="preserve"> </w:t>
      </w:r>
      <w:r>
        <w:rPr>
          <w:rFonts w:ascii="宋体" w:hAnsi="宋体" w:eastAsia="宋体" w:cs="宋体"/>
          <w:color w:val="auto"/>
          <w:sz w:val="21"/>
          <w:szCs w:val="21"/>
          <w:highlight w:val="none"/>
        </w:rPr>
        <w:t>有效评标</w:t>
      </w:r>
    </w:p>
    <w:p w14:paraId="7D107120">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价相等时，</w:t>
      </w:r>
      <w:r>
        <w:rPr>
          <w:rFonts w:ascii="宋体" w:hAnsi="宋体" w:eastAsia="宋体" w:cs="宋体"/>
          <w:color w:val="auto"/>
          <w:spacing w:val="54"/>
          <w:sz w:val="21"/>
          <w:szCs w:val="21"/>
          <w:highlight w:val="none"/>
        </w:rPr>
        <w:t xml:space="preserve"> </w:t>
      </w:r>
      <w:r>
        <w:rPr>
          <w:rFonts w:ascii="宋体" w:hAnsi="宋体" w:eastAsia="宋体" w:cs="宋体"/>
          <w:color w:val="auto"/>
          <w:spacing w:val="-7"/>
          <w:sz w:val="21"/>
          <w:szCs w:val="21"/>
          <w:highlight w:val="none"/>
        </w:rPr>
        <w:t>由招标人或者招标人授权的评标委员会自行确定。</w:t>
      </w:r>
    </w:p>
    <w:p w14:paraId="6D241AE0">
      <w:pPr>
        <w:spacing w:before="186" w:line="225" w:lineRule="auto"/>
        <w:ind w:left="15"/>
        <w:rPr>
          <w:rFonts w:ascii="黑体" w:hAnsi="黑体" w:eastAsia="黑体" w:cs="黑体"/>
          <w:color w:val="auto"/>
          <w:sz w:val="27"/>
          <w:szCs w:val="27"/>
          <w:highlight w:val="none"/>
        </w:rPr>
      </w:pPr>
      <w:r>
        <w:rPr>
          <w:rFonts w:ascii="Times New Roman" w:hAnsi="Times New Roman" w:eastAsia="Times New Roman" w:cs="Times New Roman"/>
          <w:color w:val="auto"/>
          <w:spacing w:val="6"/>
          <w:sz w:val="27"/>
          <w:szCs w:val="27"/>
          <w:highlight w:val="none"/>
        </w:rPr>
        <w:t>2.</w:t>
      </w:r>
      <w:r>
        <w:rPr>
          <w:rFonts w:ascii="黑体" w:hAnsi="黑体" w:eastAsia="黑体" w:cs="黑体"/>
          <w:color w:val="auto"/>
          <w:spacing w:val="6"/>
          <w:sz w:val="27"/>
          <w:szCs w:val="27"/>
          <w:highlight w:val="none"/>
        </w:rPr>
        <w:t>评审标准</w:t>
      </w:r>
    </w:p>
    <w:p w14:paraId="7E0EC642">
      <w:pPr>
        <w:spacing w:before="108" w:line="219" w:lineRule="auto"/>
        <w:ind w:left="15"/>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 xml:space="preserve">2.1 </w:t>
      </w:r>
      <w:r>
        <w:rPr>
          <w:rFonts w:ascii="黑体" w:hAnsi="黑体" w:eastAsia="黑体" w:cs="黑体"/>
          <w:color w:val="auto"/>
          <w:spacing w:val="-2"/>
          <w:sz w:val="24"/>
          <w:szCs w:val="24"/>
          <w:highlight w:val="none"/>
        </w:rPr>
        <w:t>初步评审标准</w:t>
      </w:r>
    </w:p>
    <w:p w14:paraId="6BA19515">
      <w:pPr>
        <w:spacing w:before="124" w:line="220"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2.1.1</w:t>
      </w:r>
      <w:r>
        <w:rPr>
          <w:rFonts w:ascii="Times New Roman" w:hAnsi="Times New Roman" w:eastAsia="Times New Roman" w:cs="Times New Roman"/>
          <w:color w:val="auto"/>
          <w:spacing w:val="27"/>
          <w:w w:val="101"/>
          <w:sz w:val="21"/>
          <w:szCs w:val="21"/>
          <w:highlight w:val="none"/>
        </w:rPr>
        <w:t xml:space="preserve"> </w:t>
      </w:r>
      <w:r>
        <w:rPr>
          <w:rFonts w:ascii="宋体" w:hAnsi="宋体" w:eastAsia="宋体" w:cs="宋体"/>
          <w:color w:val="auto"/>
          <w:spacing w:val="-6"/>
          <w:sz w:val="21"/>
          <w:szCs w:val="21"/>
          <w:highlight w:val="none"/>
        </w:rPr>
        <w:t>形式评审标准： 见评标办法前附表。</w:t>
      </w:r>
    </w:p>
    <w:p w14:paraId="7CA86105">
      <w:pPr>
        <w:spacing w:before="129" w:line="220"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2.1.2</w:t>
      </w:r>
      <w:r>
        <w:rPr>
          <w:rFonts w:ascii="Times New Roman" w:hAnsi="Times New Roman" w:eastAsia="Times New Roman" w:cs="Times New Roman"/>
          <w:color w:val="auto"/>
          <w:spacing w:val="27"/>
          <w:w w:val="101"/>
          <w:sz w:val="21"/>
          <w:szCs w:val="21"/>
          <w:highlight w:val="none"/>
        </w:rPr>
        <w:t xml:space="preserve"> </w:t>
      </w:r>
      <w:r>
        <w:rPr>
          <w:rFonts w:ascii="宋体" w:hAnsi="宋体" w:eastAsia="宋体" w:cs="宋体"/>
          <w:color w:val="auto"/>
          <w:spacing w:val="-6"/>
          <w:sz w:val="21"/>
          <w:szCs w:val="21"/>
          <w:highlight w:val="none"/>
        </w:rPr>
        <w:t>资格评审标准： 见评标办法前附表。</w:t>
      </w:r>
    </w:p>
    <w:p w14:paraId="680E9BCC">
      <w:pPr>
        <w:spacing w:before="129" w:line="220"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2.1.3</w:t>
      </w:r>
      <w:r>
        <w:rPr>
          <w:rFonts w:ascii="Times New Roman" w:hAnsi="Times New Roman" w:eastAsia="Times New Roman" w:cs="Times New Roman"/>
          <w:color w:val="auto"/>
          <w:spacing w:val="27"/>
          <w:w w:val="101"/>
          <w:sz w:val="21"/>
          <w:szCs w:val="21"/>
          <w:highlight w:val="none"/>
        </w:rPr>
        <w:t xml:space="preserve"> </w:t>
      </w:r>
      <w:r>
        <w:rPr>
          <w:rFonts w:ascii="宋体" w:hAnsi="宋体" w:eastAsia="宋体" w:cs="宋体"/>
          <w:color w:val="auto"/>
          <w:spacing w:val="-2"/>
          <w:sz w:val="21"/>
          <w:szCs w:val="21"/>
          <w:highlight w:val="none"/>
        </w:rPr>
        <w:t>响应性评审标准：见评标办法前附表。</w:t>
      </w:r>
    </w:p>
    <w:p w14:paraId="3220D580">
      <w:pPr>
        <w:spacing w:before="129" w:line="220"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 xml:space="preserve">2.1.4 </w:t>
      </w:r>
      <w:r>
        <w:rPr>
          <w:rFonts w:ascii="宋体" w:hAnsi="宋体" w:eastAsia="宋体" w:cs="宋体"/>
          <w:color w:val="auto"/>
          <w:spacing w:val="-4"/>
          <w:sz w:val="21"/>
          <w:szCs w:val="21"/>
          <w:highlight w:val="none"/>
        </w:rPr>
        <w:t>施工组织设计评审标准： 见评标办法前附表。</w:t>
      </w:r>
    </w:p>
    <w:p w14:paraId="2831D753">
      <w:pPr>
        <w:spacing w:before="123" w:line="219" w:lineRule="auto"/>
        <w:ind w:left="15"/>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 xml:space="preserve">2.2 </w:t>
      </w:r>
      <w:r>
        <w:rPr>
          <w:rFonts w:ascii="黑体" w:hAnsi="黑体" w:eastAsia="黑体" w:cs="黑体"/>
          <w:color w:val="auto"/>
          <w:sz w:val="24"/>
          <w:szCs w:val="24"/>
          <w:highlight w:val="none"/>
        </w:rPr>
        <w:t>详细评审标准</w:t>
      </w:r>
    </w:p>
    <w:p w14:paraId="6E541D49">
      <w:pPr>
        <w:spacing w:before="144" w:line="220" w:lineRule="auto"/>
        <w:ind w:left="44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详细评审标准：见评标办法前附表。</w:t>
      </w:r>
    </w:p>
    <w:p w14:paraId="4FCD6182">
      <w:pPr>
        <w:spacing w:before="186" w:line="437" w:lineRule="exact"/>
        <w:ind w:left="21"/>
        <w:rPr>
          <w:rFonts w:ascii="黑体" w:hAnsi="黑体" w:eastAsia="黑体" w:cs="黑体"/>
          <w:color w:val="auto"/>
          <w:sz w:val="27"/>
          <w:szCs w:val="27"/>
          <w:highlight w:val="none"/>
        </w:rPr>
      </w:pPr>
      <w:r>
        <w:rPr>
          <w:rFonts w:ascii="Times New Roman" w:hAnsi="Times New Roman" w:eastAsia="Times New Roman" w:cs="Times New Roman"/>
          <w:color w:val="auto"/>
          <w:spacing w:val="5"/>
          <w:position w:val="11"/>
          <w:sz w:val="27"/>
          <w:szCs w:val="27"/>
          <w:highlight w:val="none"/>
        </w:rPr>
        <w:t>3.</w:t>
      </w:r>
      <w:r>
        <w:rPr>
          <w:rFonts w:ascii="黑体" w:hAnsi="黑体" w:eastAsia="黑体" w:cs="黑体"/>
          <w:color w:val="auto"/>
          <w:spacing w:val="5"/>
          <w:position w:val="11"/>
          <w:sz w:val="27"/>
          <w:szCs w:val="27"/>
          <w:highlight w:val="none"/>
        </w:rPr>
        <w:t>评标程序</w:t>
      </w:r>
    </w:p>
    <w:p w14:paraId="3DA4B4D2">
      <w:pPr>
        <w:spacing w:before="1" w:line="218"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 xml:space="preserve">3.1 </w:t>
      </w:r>
      <w:r>
        <w:rPr>
          <w:rFonts w:ascii="黑体" w:hAnsi="黑体" w:eastAsia="黑体" w:cs="黑体"/>
          <w:color w:val="auto"/>
          <w:spacing w:val="-3"/>
          <w:sz w:val="24"/>
          <w:szCs w:val="24"/>
          <w:highlight w:val="none"/>
        </w:rPr>
        <w:t>初步评审</w:t>
      </w:r>
    </w:p>
    <w:p w14:paraId="2E029780">
      <w:pPr>
        <w:spacing w:before="124" w:line="379" w:lineRule="exact"/>
        <w:ind w:left="441"/>
        <w:rPr>
          <w:rFonts w:ascii="宋体" w:hAnsi="宋体" w:eastAsia="宋体" w:cs="宋体"/>
          <w:color w:val="auto"/>
          <w:sz w:val="21"/>
          <w:szCs w:val="21"/>
          <w:highlight w:val="none"/>
        </w:rPr>
      </w:pPr>
      <w:r>
        <w:rPr>
          <w:rFonts w:ascii="Times New Roman" w:hAnsi="Times New Roman" w:eastAsia="Times New Roman" w:cs="Times New Roman"/>
          <w:color w:val="auto"/>
          <w:position w:val="12"/>
          <w:sz w:val="21"/>
          <w:szCs w:val="21"/>
          <w:highlight w:val="none"/>
        </w:rPr>
        <w:t>3.1.1</w:t>
      </w:r>
      <w:r>
        <w:rPr>
          <w:rFonts w:ascii="Times New Roman" w:hAnsi="Times New Roman" w:eastAsia="Times New Roman" w:cs="Times New Roman"/>
          <w:color w:val="auto"/>
          <w:spacing w:val="41"/>
          <w:position w:val="12"/>
          <w:sz w:val="21"/>
          <w:szCs w:val="21"/>
          <w:highlight w:val="none"/>
        </w:rPr>
        <w:t xml:space="preserve"> </w:t>
      </w:r>
      <w:r>
        <w:rPr>
          <w:rFonts w:ascii="宋体" w:hAnsi="宋体" w:eastAsia="宋体" w:cs="宋体"/>
          <w:color w:val="auto"/>
          <w:position w:val="12"/>
          <w:sz w:val="21"/>
          <w:szCs w:val="21"/>
          <w:highlight w:val="none"/>
        </w:rPr>
        <w:t xml:space="preserve">评标委员会依据本章第 </w:t>
      </w:r>
      <w:r>
        <w:rPr>
          <w:rFonts w:ascii="Times New Roman" w:hAnsi="Times New Roman" w:eastAsia="Times New Roman" w:cs="Times New Roman"/>
          <w:color w:val="auto"/>
          <w:position w:val="12"/>
          <w:sz w:val="21"/>
          <w:szCs w:val="21"/>
          <w:highlight w:val="none"/>
        </w:rPr>
        <w:t>2.1</w:t>
      </w:r>
      <w:r>
        <w:rPr>
          <w:rFonts w:ascii="Times New Roman" w:hAnsi="Times New Roman" w:eastAsia="Times New Roman" w:cs="Times New Roman"/>
          <w:color w:val="auto"/>
          <w:spacing w:val="43"/>
          <w:w w:val="101"/>
          <w:position w:val="12"/>
          <w:sz w:val="21"/>
          <w:szCs w:val="21"/>
          <w:highlight w:val="none"/>
        </w:rPr>
        <w:t xml:space="preserve"> </w:t>
      </w:r>
      <w:r>
        <w:rPr>
          <w:rFonts w:ascii="宋体" w:hAnsi="宋体" w:eastAsia="宋体" w:cs="宋体"/>
          <w:color w:val="auto"/>
          <w:position w:val="12"/>
          <w:sz w:val="21"/>
          <w:szCs w:val="21"/>
          <w:highlight w:val="none"/>
        </w:rPr>
        <w:t>款规定</w:t>
      </w:r>
      <w:r>
        <w:rPr>
          <w:rFonts w:ascii="宋体" w:hAnsi="宋体" w:eastAsia="宋体" w:cs="宋体"/>
          <w:color w:val="auto"/>
          <w:spacing w:val="-1"/>
          <w:position w:val="12"/>
          <w:sz w:val="21"/>
          <w:szCs w:val="21"/>
          <w:highlight w:val="none"/>
        </w:rPr>
        <w:t>的标准对投标文件进行初步评审。有一项不符</w:t>
      </w:r>
    </w:p>
    <w:p w14:paraId="1EBEA5F4">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合评审标准的，评标委员会应当否决其投标。</w:t>
      </w:r>
    </w:p>
    <w:p w14:paraId="3D245298">
      <w:pPr>
        <w:spacing w:before="130" w:line="379" w:lineRule="exact"/>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2"/>
          <w:sz w:val="21"/>
          <w:szCs w:val="21"/>
          <w:highlight w:val="none"/>
        </w:rPr>
        <w:t xml:space="preserve">3.1.2 </w:t>
      </w:r>
      <w:r>
        <w:rPr>
          <w:rFonts w:ascii="宋体" w:hAnsi="宋体" w:eastAsia="宋体" w:cs="宋体"/>
          <w:color w:val="auto"/>
          <w:spacing w:val="-1"/>
          <w:position w:val="12"/>
          <w:sz w:val="21"/>
          <w:szCs w:val="21"/>
          <w:highlight w:val="none"/>
        </w:rPr>
        <w:t>投标人有以下情形之一的，评</w:t>
      </w:r>
      <w:r>
        <w:rPr>
          <w:rFonts w:ascii="宋体" w:hAnsi="宋体" w:eastAsia="宋体" w:cs="宋体"/>
          <w:color w:val="auto"/>
          <w:spacing w:val="-2"/>
          <w:position w:val="12"/>
          <w:sz w:val="21"/>
          <w:szCs w:val="21"/>
          <w:highlight w:val="none"/>
        </w:rPr>
        <w:t>标委员会应当否决其投标：</w:t>
      </w:r>
    </w:p>
    <w:p w14:paraId="658B07F4">
      <w:pPr>
        <w:spacing w:before="1" w:line="219"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）不按评标委员会要求澄清、说明或补正。</w:t>
      </w:r>
    </w:p>
    <w:p w14:paraId="0ECC279E">
      <w:pPr>
        <w:spacing w:before="129"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）有串通投标、弄虚作假、行贿或有其他违法行为；</w:t>
      </w:r>
    </w:p>
    <w:p w14:paraId="6F29E5E5">
      <w:pPr>
        <w:spacing w:before="129" w:line="384" w:lineRule="exact"/>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3"/>
          <w:sz w:val="21"/>
          <w:szCs w:val="21"/>
          <w:highlight w:val="none"/>
        </w:rPr>
        <w:t>1</w:t>
      </w:r>
      <w:r>
        <w:rPr>
          <w:rFonts w:ascii="宋体" w:hAnsi="宋体" w:eastAsia="宋体" w:cs="宋体"/>
          <w:color w:val="auto"/>
          <w:spacing w:val="-2"/>
          <w:position w:val="13"/>
          <w:sz w:val="21"/>
          <w:szCs w:val="21"/>
          <w:highlight w:val="none"/>
        </w:rPr>
        <w:t>）有下列情形之一的，视为投标人相互串通投标：</w:t>
      </w:r>
    </w:p>
    <w:p w14:paraId="34399DAF">
      <w:pPr>
        <w:spacing w:before="1" w:line="218" w:lineRule="auto"/>
        <w:ind w:left="44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①</w:t>
      </w:r>
      <w:r>
        <w:rPr>
          <w:rFonts w:ascii="宋体" w:hAnsi="宋体" w:eastAsia="宋体" w:cs="宋体"/>
          <w:color w:val="auto"/>
          <w:spacing w:val="-36"/>
          <w:sz w:val="21"/>
          <w:szCs w:val="21"/>
          <w:highlight w:val="none"/>
        </w:rPr>
        <w:t xml:space="preserve"> </w:t>
      </w:r>
      <w:r>
        <w:rPr>
          <w:rFonts w:ascii="宋体" w:hAnsi="宋体" w:eastAsia="宋体" w:cs="宋体"/>
          <w:color w:val="auto"/>
          <w:spacing w:val="-2"/>
          <w:sz w:val="21"/>
          <w:szCs w:val="21"/>
          <w:highlight w:val="none"/>
        </w:rPr>
        <w:t>不同投标人的投标文件由同一单位或者个人编制；</w:t>
      </w:r>
    </w:p>
    <w:p w14:paraId="2D7229A1">
      <w:pPr>
        <w:spacing w:before="131" w:line="218" w:lineRule="auto"/>
        <w:ind w:left="43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②</w:t>
      </w:r>
      <w:r>
        <w:rPr>
          <w:rFonts w:ascii="宋体" w:hAnsi="宋体" w:eastAsia="宋体" w:cs="宋体"/>
          <w:color w:val="auto"/>
          <w:spacing w:val="-35"/>
          <w:sz w:val="21"/>
          <w:szCs w:val="21"/>
          <w:highlight w:val="none"/>
        </w:rPr>
        <w:t xml:space="preserve"> </w:t>
      </w:r>
      <w:r>
        <w:rPr>
          <w:rFonts w:ascii="宋体" w:hAnsi="宋体" w:eastAsia="宋体" w:cs="宋体"/>
          <w:color w:val="auto"/>
          <w:spacing w:val="-2"/>
          <w:sz w:val="21"/>
          <w:szCs w:val="21"/>
          <w:highlight w:val="none"/>
        </w:rPr>
        <w:t>不同投标人委托同一单位或者个人办理投标事宜；</w:t>
      </w:r>
    </w:p>
    <w:p w14:paraId="085EE785">
      <w:pPr>
        <w:spacing w:before="131" w:line="379" w:lineRule="exact"/>
        <w:jc w:val="right"/>
        <w:rPr>
          <w:rFonts w:ascii="宋体" w:hAnsi="宋体" w:eastAsia="宋体" w:cs="宋体"/>
          <w:color w:val="auto"/>
          <w:sz w:val="21"/>
          <w:szCs w:val="21"/>
          <w:highlight w:val="none"/>
        </w:rPr>
      </w:pPr>
      <w:r>
        <w:rPr>
          <w:rFonts w:ascii="宋体" w:hAnsi="宋体" w:eastAsia="宋体" w:cs="宋体"/>
          <w:color w:val="auto"/>
          <w:spacing w:val="-1"/>
          <w:position w:val="12"/>
          <w:sz w:val="21"/>
          <w:szCs w:val="21"/>
          <w:highlight w:val="none"/>
        </w:rPr>
        <w:t>③ 不同投标人使用同一电脑等电子设备办理投标事宜（下载招标文件、上传投标文件、</w:t>
      </w:r>
    </w:p>
    <w:p w14:paraId="07E55B8A">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授权委托人或项目经理实名认证等关键环节</w:t>
      </w:r>
      <w:r>
        <w:rPr>
          <w:rFonts w:ascii="宋体" w:hAnsi="宋体" w:eastAsia="宋体" w:cs="宋体"/>
          <w:color w:val="auto"/>
          <w:spacing w:val="-15"/>
          <w:sz w:val="21"/>
          <w:szCs w:val="21"/>
          <w:highlight w:val="none"/>
        </w:rPr>
        <w:t>）；</w:t>
      </w:r>
    </w:p>
    <w:p w14:paraId="1C5E739F">
      <w:pPr>
        <w:spacing w:before="129" w:line="218" w:lineRule="auto"/>
        <w:ind w:left="43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④</w:t>
      </w:r>
      <w:r>
        <w:rPr>
          <w:rFonts w:ascii="宋体" w:hAnsi="宋体" w:eastAsia="宋体" w:cs="宋体"/>
          <w:color w:val="auto"/>
          <w:spacing w:val="-33"/>
          <w:sz w:val="21"/>
          <w:szCs w:val="21"/>
          <w:highlight w:val="none"/>
        </w:rPr>
        <w:t xml:space="preserve"> </w:t>
      </w:r>
      <w:r>
        <w:rPr>
          <w:rFonts w:ascii="宋体" w:hAnsi="宋体" w:eastAsia="宋体" w:cs="宋体"/>
          <w:color w:val="auto"/>
          <w:spacing w:val="-2"/>
          <w:sz w:val="21"/>
          <w:szCs w:val="21"/>
          <w:highlight w:val="none"/>
        </w:rPr>
        <w:t>不同投标人的投标文件载明的项目管理成员为同一人；</w:t>
      </w:r>
    </w:p>
    <w:p w14:paraId="26B7A300">
      <w:pPr>
        <w:spacing w:before="131" w:line="384" w:lineRule="exact"/>
        <w:ind w:left="439"/>
        <w:rPr>
          <w:rFonts w:ascii="宋体" w:hAnsi="宋体" w:eastAsia="宋体" w:cs="宋体"/>
          <w:color w:val="auto"/>
          <w:sz w:val="21"/>
          <w:szCs w:val="21"/>
          <w:highlight w:val="none"/>
        </w:rPr>
      </w:pPr>
      <w:r>
        <w:rPr>
          <w:rFonts w:ascii="宋体" w:hAnsi="宋体" w:eastAsia="宋体" w:cs="宋体"/>
          <w:color w:val="auto"/>
          <w:spacing w:val="-1"/>
          <w:position w:val="13"/>
          <w:sz w:val="21"/>
          <w:szCs w:val="21"/>
          <w:highlight w:val="none"/>
        </w:rPr>
        <w:t>⑤</w:t>
      </w:r>
      <w:r>
        <w:rPr>
          <w:rFonts w:ascii="宋体" w:hAnsi="宋体" w:eastAsia="宋体" w:cs="宋体"/>
          <w:color w:val="auto"/>
          <w:spacing w:val="-27"/>
          <w:position w:val="13"/>
          <w:sz w:val="21"/>
          <w:szCs w:val="21"/>
          <w:highlight w:val="none"/>
        </w:rPr>
        <w:t xml:space="preserve"> </w:t>
      </w:r>
      <w:r>
        <w:rPr>
          <w:rFonts w:ascii="宋体" w:hAnsi="宋体" w:eastAsia="宋体" w:cs="宋体"/>
          <w:color w:val="auto"/>
          <w:spacing w:val="-1"/>
          <w:position w:val="13"/>
          <w:sz w:val="21"/>
          <w:szCs w:val="21"/>
          <w:highlight w:val="none"/>
        </w:rPr>
        <w:t>不同投标人的投标文件非典型一致或者投标报价呈规律性差异；</w:t>
      </w:r>
    </w:p>
    <w:p w14:paraId="61238C7E">
      <w:pPr>
        <w:spacing w:line="218" w:lineRule="auto"/>
        <w:ind w:left="43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⑥</w:t>
      </w:r>
      <w:r>
        <w:rPr>
          <w:rFonts w:ascii="宋体" w:hAnsi="宋体" w:eastAsia="宋体" w:cs="宋体"/>
          <w:color w:val="auto"/>
          <w:spacing w:val="-41"/>
          <w:sz w:val="21"/>
          <w:szCs w:val="21"/>
          <w:highlight w:val="none"/>
        </w:rPr>
        <w:t xml:space="preserve"> </w:t>
      </w:r>
      <w:r>
        <w:rPr>
          <w:rFonts w:ascii="宋体" w:hAnsi="宋体" w:eastAsia="宋体" w:cs="宋体"/>
          <w:color w:val="auto"/>
          <w:spacing w:val="-3"/>
          <w:sz w:val="21"/>
          <w:szCs w:val="21"/>
          <w:highlight w:val="none"/>
        </w:rPr>
        <w:t>不同投标人的投标文件相互混装；</w:t>
      </w:r>
    </w:p>
    <w:p w14:paraId="6202714A">
      <w:pPr>
        <w:spacing w:before="131" w:line="379" w:lineRule="exact"/>
        <w:ind w:right="15"/>
        <w:jc w:val="right"/>
        <w:rPr>
          <w:rFonts w:ascii="宋体" w:hAnsi="宋体" w:eastAsia="宋体" w:cs="宋体"/>
          <w:color w:val="auto"/>
          <w:sz w:val="21"/>
          <w:szCs w:val="21"/>
          <w:highlight w:val="none"/>
        </w:rPr>
      </w:pPr>
      <w:r>
        <w:rPr>
          <w:rFonts w:ascii="宋体" w:hAnsi="宋体" w:eastAsia="宋体" w:cs="宋体"/>
          <w:color w:val="auto"/>
          <w:spacing w:val="-1"/>
          <w:position w:val="12"/>
          <w:sz w:val="21"/>
          <w:szCs w:val="21"/>
          <w:highlight w:val="none"/>
        </w:rPr>
        <w:t>⑦ 不同投标人的投标保证金或保函（保险）财务费用从同一单位或者个人的账户转出；</w:t>
      </w:r>
    </w:p>
    <w:p w14:paraId="34CFD2AC">
      <w:pPr>
        <w:spacing w:before="1" w:line="218" w:lineRule="auto"/>
        <w:ind w:left="439"/>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⑧</w:t>
      </w:r>
      <w:r>
        <w:rPr>
          <w:rFonts w:ascii="宋体" w:hAnsi="宋体" w:eastAsia="宋体" w:cs="宋体"/>
          <w:color w:val="auto"/>
          <w:spacing w:val="-54"/>
          <w:sz w:val="21"/>
          <w:szCs w:val="21"/>
          <w:highlight w:val="none"/>
        </w:rPr>
        <w:t xml:space="preserve"> </w:t>
      </w:r>
      <w:r>
        <w:rPr>
          <w:rFonts w:ascii="宋体" w:hAnsi="宋体" w:eastAsia="宋体" w:cs="宋体"/>
          <w:color w:val="auto"/>
          <w:spacing w:val="-8"/>
          <w:sz w:val="21"/>
          <w:szCs w:val="21"/>
          <w:highlight w:val="none"/>
        </w:rPr>
        <w:t>不同投标人的投标文件存在“</w:t>
      </w:r>
      <w:r>
        <w:rPr>
          <w:rFonts w:ascii="Times New Roman" w:hAnsi="Times New Roman" w:eastAsia="Times New Roman" w:cs="Times New Roman"/>
          <w:color w:val="auto"/>
          <w:spacing w:val="-8"/>
          <w:sz w:val="21"/>
          <w:szCs w:val="21"/>
          <w:highlight w:val="none"/>
        </w:rPr>
        <w:t>MAC</w:t>
      </w:r>
      <w:r>
        <w:rPr>
          <w:rFonts w:ascii="Times New Roman" w:hAnsi="Times New Roman" w:eastAsia="Times New Roman" w:cs="Times New Roman"/>
          <w:color w:val="auto"/>
          <w:spacing w:val="-22"/>
          <w:sz w:val="21"/>
          <w:szCs w:val="21"/>
          <w:highlight w:val="none"/>
        </w:rPr>
        <w:t xml:space="preserve"> </w:t>
      </w:r>
      <w:r>
        <w:rPr>
          <w:rFonts w:ascii="宋体" w:hAnsi="宋体" w:eastAsia="宋体" w:cs="宋体"/>
          <w:color w:val="auto"/>
          <w:spacing w:val="-8"/>
          <w:sz w:val="21"/>
          <w:szCs w:val="21"/>
          <w:highlight w:val="none"/>
        </w:rPr>
        <w:t>地址”、“文件</w:t>
      </w:r>
      <w:r>
        <w:rPr>
          <w:rFonts w:ascii="宋体" w:hAnsi="宋体" w:eastAsia="宋体" w:cs="宋体"/>
          <w:color w:val="auto"/>
          <w:spacing w:val="-9"/>
          <w:sz w:val="21"/>
          <w:szCs w:val="21"/>
          <w:highlight w:val="none"/>
        </w:rPr>
        <w:t>创建标识码”、“文件制作机器码”</w:t>
      </w:r>
    </w:p>
    <w:p w14:paraId="3353E7E5">
      <w:pPr>
        <w:spacing w:before="130" w:line="221"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等唯一性标识一致等情形。</w:t>
      </w:r>
    </w:p>
    <w:p w14:paraId="540DBB5F">
      <w:pPr>
        <w:spacing w:before="128" w:line="220"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）有下列情形之一的，属于弄虚作假行为：</w:t>
      </w:r>
    </w:p>
    <w:p w14:paraId="49739F7F">
      <w:pPr>
        <w:spacing w:before="129" w:line="385" w:lineRule="exact"/>
        <w:jc w:val="right"/>
        <w:rPr>
          <w:rFonts w:ascii="宋体" w:hAnsi="宋体" w:eastAsia="宋体" w:cs="宋体"/>
          <w:color w:val="auto"/>
          <w:sz w:val="21"/>
          <w:szCs w:val="21"/>
          <w:highlight w:val="none"/>
        </w:rPr>
      </w:pPr>
      <w:r>
        <w:rPr>
          <w:rFonts w:ascii="宋体" w:hAnsi="宋体" w:eastAsia="宋体" w:cs="宋体"/>
          <w:color w:val="auto"/>
          <w:position w:val="13"/>
          <w:sz w:val="21"/>
          <w:szCs w:val="21"/>
          <w:highlight w:val="none"/>
        </w:rPr>
        <w:t>①</w:t>
      </w:r>
      <w:r>
        <w:rPr>
          <w:rFonts w:ascii="宋体" w:hAnsi="宋体" w:eastAsia="宋体" w:cs="宋体"/>
          <w:color w:val="auto"/>
          <w:spacing w:val="-19"/>
          <w:position w:val="13"/>
          <w:sz w:val="21"/>
          <w:szCs w:val="21"/>
          <w:highlight w:val="none"/>
        </w:rPr>
        <w:t xml:space="preserve"> </w:t>
      </w:r>
      <w:r>
        <w:rPr>
          <w:rFonts w:ascii="宋体" w:hAnsi="宋体" w:eastAsia="宋体" w:cs="宋体"/>
          <w:color w:val="auto"/>
          <w:position w:val="13"/>
          <w:sz w:val="21"/>
          <w:szCs w:val="21"/>
          <w:highlight w:val="none"/>
        </w:rPr>
        <w:t>使用通过受让或者租借等方式获取的资格、资质证书投标的，即以他人名义</w:t>
      </w:r>
      <w:r>
        <w:rPr>
          <w:rFonts w:ascii="宋体" w:hAnsi="宋体" w:eastAsia="宋体" w:cs="宋体"/>
          <w:color w:val="auto"/>
          <w:spacing w:val="-1"/>
          <w:position w:val="13"/>
          <w:sz w:val="21"/>
          <w:szCs w:val="21"/>
          <w:highlight w:val="none"/>
        </w:rPr>
        <w:t>投标的。</w:t>
      </w:r>
    </w:p>
    <w:p w14:paraId="5C1187AB">
      <w:pPr>
        <w:spacing w:line="218" w:lineRule="auto"/>
        <w:ind w:left="43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②</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使用伪造、变造的许可证件；</w:t>
      </w:r>
    </w:p>
    <w:p w14:paraId="40BD727E">
      <w:pPr>
        <w:spacing w:line="218" w:lineRule="auto"/>
        <w:rPr>
          <w:rFonts w:ascii="宋体" w:hAnsi="宋体" w:eastAsia="宋体" w:cs="宋体"/>
          <w:color w:val="auto"/>
          <w:sz w:val="21"/>
          <w:szCs w:val="21"/>
          <w:highlight w:val="none"/>
        </w:rPr>
        <w:sectPr>
          <w:footerReference r:id="rId67" w:type="default"/>
          <w:pgSz w:w="11905" w:h="16839"/>
          <w:pgMar w:top="1431" w:right="1614" w:bottom="996" w:left="1785" w:header="0" w:footer="791" w:gutter="0"/>
          <w:pgNumType w:fmt="decimal"/>
          <w:cols w:space="720" w:num="1"/>
        </w:sectPr>
      </w:pPr>
    </w:p>
    <w:p w14:paraId="4F2A6444">
      <w:pPr>
        <w:spacing w:before="130" w:line="218" w:lineRule="auto"/>
        <w:ind w:left="439"/>
        <w:rPr>
          <w:rFonts w:ascii="宋体" w:hAnsi="宋体" w:eastAsia="宋体" w:cs="宋体"/>
          <w:color w:val="auto"/>
          <w:sz w:val="21"/>
          <w:szCs w:val="21"/>
          <w:highlight w:val="none"/>
        </w:rPr>
      </w:pPr>
      <w:bookmarkStart w:id="178" w:name="bookmark206"/>
      <w:bookmarkEnd w:id="178"/>
      <w:r>
        <w:rPr>
          <w:rFonts w:ascii="宋体" w:hAnsi="宋体" w:eastAsia="宋体" w:cs="宋体"/>
          <w:color w:val="auto"/>
          <w:spacing w:val="-3"/>
          <w:sz w:val="21"/>
          <w:szCs w:val="21"/>
          <w:highlight w:val="none"/>
        </w:rPr>
        <w:t>③</w:t>
      </w:r>
      <w:r>
        <w:rPr>
          <w:rFonts w:ascii="宋体" w:hAnsi="宋体" w:eastAsia="宋体" w:cs="宋体"/>
          <w:color w:val="auto"/>
          <w:spacing w:val="-36"/>
          <w:sz w:val="21"/>
          <w:szCs w:val="21"/>
          <w:highlight w:val="none"/>
        </w:rPr>
        <w:t xml:space="preserve"> </w:t>
      </w:r>
      <w:r>
        <w:rPr>
          <w:rFonts w:ascii="宋体" w:hAnsi="宋体" w:eastAsia="宋体" w:cs="宋体"/>
          <w:color w:val="auto"/>
          <w:spacing w:val="-3"/>
          <w:sz w:val="21"/>
          <w:szCs w:val="21"/>
          <w:highlight w:val="none"/>
        </w:rPr>
        <w:t>提供虚假的财务状况或者业绩；</w:t>
      </w:r>
    </w:p>
    <w:p w14:paraId="21D7AB5C">
      <w:pPr>
        <w:spacing w:before="130" w:line="379" w:lineRule="exact"/>
        <w:ind w:left="439"/>
        <w:rPr>
          <w:rFonts w:ascii="宋体" w:hAnsi="宋体" w:eastAsia="宋体" w:cs="宋体"/>
          <w:color w:val="auto"/>
          <w:sz w:val="21"/>
          <w:szCs w:val="21"/>
          <w:highlight w:val="none"/>
        </w:rPr>
      </w:pPr>
      <w:r>
        <w:rPr>
          <w:rFonts w:ascii="宋体" w:hAnsi="宋体" w:eastAsia="宋体" w:cs="宋体"/>
          <w:color w:val="auto"/>
          <w:spacing w:val="-1"/>
          <w:position w:val="12"/>
          <w:sz w:val="21"/>
          <w:szCs w:val="21"/>
          <w:highlight w:val="none"/>
        </w:rPr>
        <w:t>④</w:t>
      </w:r>
      <w:r>
        <w:rPr>
          <w:rFonts w:ascii="宋体" w:hAnsi="宋体" w:eastAsia="宋体" w:cs="宋体"/>
          <w:color w:val="auto"/>
          <w:spacing w:val="-27"/>
          <w:position w:val="12"/>
          <w:sz w:val="21"/>
          <w:szCs w:val="21"/>
          <w:highlight w:val="none"/>
        </w:rPr>
        <w:t xml:space="preserve"> </w:t>
      </w:r>
      <w:r>
        <w:rPr>
          <w:rFonts w:ascii="宋体" w:hAnsi="宋体" w:eastAsia="宋体" w:cs="宋体"/>
          <w:color w:val="auto"/>
          <w:spacing w:val="-1"/>
          <w:position w:val="12"/>
          <w:sz w:val="21"/>
          <w:szCs w:val="21"/>
          <w:highlight w:val="none"/>
        </w:rPr>
        <w:t>提供虚假的项目负责人或者主要技术人员简历、社会保险证明；</w:t>
      </w:r>
    </w:p>
    <w:p w14:paraId="18C31930">
      <w:pPr>
        <w:spacing w:line="218" w:lineRule="auto"/>
        <w:ind w:left="43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⑤</w:t>
      </w:r>
      <w:r>
        <w:rPr>
          <w:rFonts w:ascii="宋体" w:hAnsi="宋体" w:eastAsia="宋体" w:cs="宋体"/>
          <w:color w:val="auto"/>
          <w:spacing w:val="-37"/>
          <w:sz w:val="21"/>
          <w:szCs w:val="21"/>
          <w:highlight w:val="none"/>
        </w:rPr>
        <w:t xml:space="preserve"> </w:t>
      </w:r>
      <w:r>
        <w:rPr>
          <w:rFonts w:ascii="宋体" w:hAnsi="宋体" w:eastAsia="宋体" w:cs="宋体"/>
          <w:color w:val="auto"/>
          <w:spacing w:val="-4"/>
          <w:sz w:val="21"/>
          <w:szCs w:val="21"/>
          <w:highlight w:val="none"/>
        </w:rPr>
        <w:t>提供虚假的信用状况；</w:t>
      </w:r>
    </w:p>
    <w:p w14:paraId="56BD995E">
      <w:pPr>
        <w:spacing w:before="136" w:line="218" w:lineRule="auto"/>
        <w:ind w:left="43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⑥</w:t>
      </w:r>
      <w:r>
        <w:rPr>
          <w:rFonts w:ascii="宋体" w:hAnsi="宋体" w:eastAsia="宋体" w:cs="宋体"/>
          <w:color w:val="auto"/>
          <w:spacing w:val="-38"/>
          <w:sz w:val="21"/>
          <w:szCs w:val="21"/>
          <w:highlight w:val="none"/>
        </w:rPr>
        <w:t xml:space="preserve"> </w:t>
      </w:r>
      <w:r>
        <w:rPr>
          <w:rFonts w:ascii="宋体" w:hAnsi="宋体" w:eastAsia="宋体" w:cs="宋体"/>
          <w:color w:val="auto"/>
          <w:spacing w:val="-3"/>
          <w:sz w:val="21"/>
          <w:szCs w:val="21"/>
          <w:highlight w:val="none"/>
        </w:rPr>
        <w:t>其他弄虚作假的行为。</w:t>
      </w:r>
    </w:p>
    <w:p w14:paraId="0D0DCE56">
      <w:pPr>
        <w:spacing w:before="132" w:line="333" w:lineRule="auto"/>
        <w:ind w:left="18" w:right="3"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3.1.3</w:t>
      </w:r>
      <w:r>
        <w:rPr>
          <w:rFonts w:ascii="Times New Roman" w:hAnsi="Times New Roman" w:eastAsia="Times New Roman" w:cs="Times New Roman"/>
          <w:color w:val="auto"/>
          <w:spacing w:val="44"/>
          <w:w w:val="101"/>
          <w:sz w:val="21"/>
          <w:szCs w:val="21"/>
          <w:highlight w:val="none"/>
        </w:rPr>
        <w:t xml:space="preserve"> </w:t>
      </w:r>
      <w:r>
        <w:rPr>
          <w:rFonts w:ascii="宋体" w:hAnsi="宋体" w:eastAsia="宋体" w:cs="宋体"/>
          <w:color w:val="auto"/>
          <w:spacing w:val="1"/>
          <w:sz w:val="21"/>
          <w:szCs w:val="21"/>
          <w:highlight w:val="none"/>
        </w:rPr>
        <w:t>投标报价有算术错误的，评标委</w:t>
      </w:r>
      <w:r>
        <w:rPr>
          <w:rFonts w:ascii="宋体" w:hAnsi="宋体" w:eastAsia="宋体" w:cs="宋体"/>
          <w:color w:val="auto"/>
          <w:sz w:val="21"/>
          <w:szCs w:val="21"/>
          <w:highlight w:val="none"/>
        </w:rPr>
        <w:t xml:space="preserve">员会按以下原则对投标报价进行修正，修正的价 </w:t>
      </w:r>
      <w:r>
        <w:rPr>
          <w:rFonts w:ascii="宋体" w:hAnsi="宋体" w:eastAsia="宋体" w:cs="宋体"/>
          <w:color w:val="auto"/>
          <w:spacing w:val="3"/>
          <w:sz w:val="21"/>
          <w:szCs w:val="21"/>
          <w:highlight w:val="none"/>
        </w:rPr>
        <w:t>格经投标人书面确认后具有约束力。投标人不接受修正价格的，或者修正后</w:t>
      </w:r>
      <w:r>
        <w:rPr>
          <w:rFonts w:ascii="宋体" w:hAnsi="宋体" w:eastAsia="宋体" w:cs="宋体"/>
          <w:color w:val="auto"/>
          <w:spacing w:val="2"/>
          <w:sz w:val="21"/>
          <w:szCs w:val="21"/>
          <w:highlight w:val="none"/>
        </w:rPr>
        <w:t>的投标报价超</w:t>
      </w:r>
    </w:p>
    <w:p w14:paraId="0B656D02">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过最高投标限价的（如有</w:t>
      </w:r>
      <w:r>
        <w:rPr>
          <w:rFonts w:ascii="宋体" w:hAnsi="宋体" w:eastAsia="宋体" w:cs="宋体"/>
          <w:color w:val="auto"/>
          <w:spacing w:val="-7"/>
          <w:sz w:val="21"/>
          <w:szCs w:val="21"/>
          <w:highlight w:val="none"/>
        </w:rPr>
        <w:t>），</w:t>
      </w:r>
      <w:r>
        <w:rPr>
          <w:rFonts w:ascii="宋体" w:hAnsi="宋体" w:eastAsia="宋体" w:cs="宋体"/>
          <w:color w:val="auto"/>
          <w:spacing w:val="-5"/>
          <w:sz w:val="21"/>
          <w:szCs w:val="21"/>
          <w:highlight w:val="none"/>
        </w:rPr>
        <w:t>评标委员会应当否决其投标。</w:t>
      </w:r>
    </w:p>
    <w:p w14:paraId="355703D1">
      <w:pPr>
        <w:spacing w:before="130" w:line="221"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1</w:t>
      </w:r>
      <w:r>
        <w:rPr>
          <w:rFonts w:ascii="宋体" w:hAnsi="宋体" w:eastAsia="宋体" w:cs="宋体"/>
          <w:color w:val="auto"/>
          <w:spacing w:val="-5"/>
          <w:sz w:val="21"/>
          <w:szCs w:val="21"/>
          <w:highlight w:val="none"/>
        </w:rPr>
        <w:t>）投标文件中的大写金额与小写金额不一致的， 以大写金额为准；</w:t>
      </w:r>
    </w:p>
    <w:p w14:paraId="4B3382D7">
      <w:pPr>
        <w:spacing w:before="128" w:line="384" w:lineRule="exact"/>
        <w:ind w:right="4"/>
        <w:jc w:val="right"/>
        <w:rPr>
          <w:rFonts w:ascii="宋体" w:hAnsi="宋体" w:eastAsia="宋体" w:cs="宋体"/>
          <w:color w:val="auto"/>
          <w:sz w:val="21"/>
          <w:szCs w:val="21"/>
          <w:highlight w:val="none"/>
        </w:rPr>
      </w:pPr>
      <w:r>
        <w:rPr>
          <w:rFonts w:ascii="宋体" w:hAnsi="宋体" w:eastAsia="宋体" w:cs="宋体"/>
          <w:color w:val="auto"/>
          <w:position w:val="13"/>
          <w:sz w:val="21"/>
          <w:szCs w:val="21"/>
          <w:highlight w:val="none"/>
        </w:rPr>
        <w:t>（</w:t>
      </w:r>
      <w:r>
        <w:rPr>
          <w:rFonts w:ascii="Times New Roman" w:hAnsi="Times New Roman" w:eastAsia="Times New Roman" w:cs="Times New Roman"/>
          <w:color w:val="auto"/>
          <w:position w:val="13"/>
          <w:sz w:val="21"/>
          <w:szCs w:val="21"/>
          <w:highlight w:val="none"/>
        </w:rPr>
        <w:t>2</w:t>
      </w:r>
      <w:r>
        <w:rPr>
          <w:rFonts w:ascii="宋体" w:hAnsi="宋体" w:eastAsia="宋体" w:cs="宋体"/>
          <w:color w:val="auto"/>
          <w:position w:val="13"/>
          <w:sz w:val="21"/>
          <w:szCs w:val="21"/>
          <w:highlight w:val="none"/>
        </w:rPr>
        <w:t>）总价金额与依据单价计算出的结果不一致的，以单价金额为准修正总价，但单价</w:t>
      </w:r>
    </w:p>
    <w:p w14:paraId="2B7C6787">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金额小数点有明显错误的除外。</w:t>
      </w:r>
    </w:p>
    <w:p w14:paraId="0A77E15A">
      <w:pPr>
        <w:spacing w:before="126" w:line="334" w:lineRule="auto"/>
        <w:ind w:left="28" w:right="8" w:firstLine="41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3.1.4</w:t>
      </w:r>
      <w:r>
        <w:rPr>
          <w:rFonts w:ascii="Times New Roman" w:hAnsi="Times New Roman" w:eastAsia="Times New Roman" w:cs="Times New Roman"/>
          <w:color w:val="auto"/>
          <w:spacing w:val="32"/>
          <w:sz w:val="21"/>
          <w:szCs w:val="21"/>
          <w:highlight w:val="none"/>
        </w:rPr>
        <w:t xml:space="preserve"> </w:t>
      </w:r>
      <w:r>
        <w:rPr>
          <w:rFonts w:ascii="宋体" w:hAnsi="宋体" w:eastAsia="宋体" w:cs="宋体"/>
          <w:color w:val="auto"/>
          <w:spacing w:val="1"/>
          <w:sz w:val="21"/>
          <w:szCs w:val="21"/>
          <w:highlight w:val="none"/>
        </w:rPr>
        <w:t>评标委员会发现投标人的报价明显低于其他投标报</w:t>
      </w:r>
      <w:r>
        <w:rPr>
          <w:rFonts w:ascii="宋体" w:hAnsi="宋体" w:eastAsia="宋体" w:cs="宋体"/>
          <w:color w:val="auto"/>
          <w:sz w:val="21"/>
          <w:szCs w:val="21"/>
          <w:highlight w:val="none"/>
        </w:rPr>
        <w:t xml:space="preserve">价，或者在设有最高投标限价 </w:t>
      </w:r>
      <w:r>
        <w:rPr>
          <w:rFonts w:ascii="宋体" w:hAnsi="宋体" w:eastAsia="宋体" w:cs="宋体"/>
          <w:color w:val="auto"/>
          <w:spacing w:val="3"/>
          <w:sz w:val="21"/>
          <w:szCs w:val="21"/>
          <w:highlight w:val="none"/>
        </w:rPr>
        <w:t>时明显低于最高投标限价，使得其投标报价可能低于</w:t>
      </w:r>
      <w:r>
        <w:rPr>
          <w:rFonts w:ascii="宋体" w:hAnsi="宋体" w:eastAsia="宋体" w:cs="宋体"/>
          <w:color w:val="auto"/>
          <w:spacing w:val="2"/>
          <w:sz w:val="21"/>
          <w:szCs w:val="21"/>
          <w:highlight w:val="none"/>
        </w:rPr>
        <w:t>其个别成本的，应当要求该投标人作</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出书面说明并提供相应的证明材料。投标人不能合理说明或者不能提供相应证明材料的，</w:t>
      </w:r>
    </w:p>
    <w:p w14:paraId="24F53CE0">
      <w:pPr>
        <w:spacing w:before="1" w:line="219" w:lineRule="auto"/>
        <w:ind w:left="4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由评标委员会认定该投标人以低于成本报价竞标，否决其</w:t>
      </w:r>
      <w:r>
        <w:rPr>
          <w:rFonts w:ascii="宋体" w:hAnsi="宋体" w:eastAsia="宋体" w:cs="宋体"/>
          <w:color w:val="auto"/>
          <w:spacing w:val="-3"/>
          <w:sz w:val="21"/>
          <w:szCs w:val="21"/>
          <w:highlight w:val="none"/>
        </w:rPr>
        <w:t>投标。</w:t>
      </w:r>
    </w:p>
    <w:p w14:paraId="35B09797">
      <w:pPr>
        <w:spacing w:before="129" w:line="384" w:lineRule="exact"/>
        <w:ind w:right="55"/>
        <w:jc w:val="right"/>
        <w:rPr>
          <w:rFonts w:ascii="宋体" w:hAnsi="宋体" w:eastAsia="宋体" w:cs="宋体"/>
          <w:color w:val="auto"/>
          <w:sz w:val="21"/>
          <w:szCs w:val="21"/>
          <w:highlight w:val="none"/>
        </w:rPr>
      </w:pPr>
      <w:r>
        <w:rPr>
          <w:rFonts w:ascii="Times New Roman" w:hAnsi="Times New Roman" w:eastAsia="Times New Roman" w:cs="Times New Roman"/>
          <w:color w:val="auto"/>
          <w:position w:val="13"/>
          <w:sz w:val="21"/>
          <w:szCs w:val="21"/>
          <w:highlight w:val="none"/>
        </w:rPr>
        <w:t>3.1.5</w:t>
      </w:r>
      <w:r>
        <w:rPr>
          <w:rFonts w:ascii="Times New Roman" w:hAnsi="Times New Roman" w:eastAsia="Times New Roman" w:cs="Times New Roman"/>
          <w:color w:val="auto"/>
          <w:spacing w:val="31"/>
          <w:w w:val="101"/>
          <w:position w:val="13"/>
          <w:sz w:val="21"/>
          <w:szCs w:val="21"/>
          <w:highlight w:val="none"/>
        </w:rPr>
        <w:t xml:space="preserve"> </w:t>
      </w:r>
      <w:r>
        <w:rPr>
          <w:rFonts w:ascii="宋体" w:hAnsi="宋体" w:eastAsia="宋体" w:cs="宋体"/>
          <w:color w:val="auto"/>
          <w:position w:val="13"/>
          <w:sz w:val="21"/>
          <w:szCs w:val="21"/>
          <w:highlight w:val="none"/>
        </w:rPr>
        <w:t>评标委员会否决不合格投标后，因</w:t>
      </w:r>
      <w:r>
        <w:rPr>
          <w:rFonts w:ascii="宋体" w:hAnsi="宋体" w:eastAsia="宋体" w:cs="宋体"/>
          <w:color w:val="auto"/>
          <w:spacing w:val="-1"/>
          <w:position w:val="13"/>
          <w:sz w:val="21"/>
          <w:szCs w:val="21"/>
          <w:highlight w:val="none"/>
        </w:rPr>
        <w:t>有效投标不足三个使得投标明显缺乏竞争的，</w:t>
      </w:r>
    </w:p>
    <w:p w14:paraId="4107BA05">
      <w:pPr>
        <w:spacing w:before="1" w:line="219"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评标委员会可以否决全部投标。</w:t>
      </w:r>
    </w:p>
    <w:p w14:paraId="7F21F84C">
      <w:pPr>
        <w:spacing w:before="124" w:line="219"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 xml:space="preserve">3.2 </w:t>
      </w:r>
      <w:r>
        <w:rPr>
          <w:rFonts w:ascii="黑体" w:hAnsi="黑体" w:eastAsia="黑体" w:cs="黑体"/>
          <w:color w:val="auto"/>
          <w:spacing w:val="-3"/>
          <w:sz w:val="24"/>
          <w:szCs w:val="24"/>
          <w:highlight w:val="none"/>
        </w:rPr>
        <w:t>详细评审</w:t>
      </w:r>
    </w:p>
    <w:p w14:paraId="349C71B5">
      <w:pPr>
        <w:spacing w:before="119" w:line="220"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3.2.1 </w:t>
      </w:r>
      <w:r>
        <w:rPr>
          <w:rFonts w:ascii="宋体" w:hAnsi="宋体" w:eastAsia="宋体" w:cs="宋体"/>
          <w:color w:val="auto"/>
          <w:spacing w:val="-1"/>
          <w:sz w:val="21"/>
          <w:szCs w:val="21"/>
          <w:highlight w:val="none"/>
        </w:rPr>
        <w:t>评标委员会对通过了初步评审的投标文件进行详细评审。</w:t>
      </w:r>
    </w:p>
    <w:p w14:paraId="0DBCAE47">
      <w:pPr>
        <w:spacing w:before="130" w:line="379" w:lineRule="exact"/>
        <w:ind w:right="1"/>
        <w:jc w:val="right"/>
        <w:rPr>
          <w:rFonts w:ascii="宋体" w:hAnsi="宋体" w:eastAsia="宋体" w:cs="宋体"/>
          <w:color w:val="auto"/>
          <w:sz w:val="21"/>
          <w:szCs w:val="21"/>
          <w:highlight w:val="none"/>
        </w:rPr>
      </w:pPr>
      <w:r>
        <w:rPr>
          <w:rFonts w:ascii="Times New Roman" w:hAnsi="Times New Roman" w:eastAsia="Times New Roman" w:cs="Times New Roman"/>
          <w:color w:val="auto"/>
          <w:position w:val="12"/>
          <w:sz w:val="21"/>
          <w:szCs w:val="21"/>
          <w:highlight w:val="none"/>
        </w:rPr>
        <w:t>3.2.2</w:t>
      </w:r>
      <w:r>
        <w:rPr>
          <w:rFonts w:ascii="Times New Roman" w:hAnsi="Times New Roman" w:eastAsia="Times New Roman" w:cs="Times New Roman"/>
          <w:color w:val="auto"/>
          <w:spacing w:val="31"/>
          <w:w w:val="101"/>
          <w:position w:val="12"/>
          <w:sz w:val="21"/>
          <w:szCs w:val="21"/>
          <w:highlight w:val="none"/>
        </w:rPr>
        <w:t xml:space="preserve"> </w:t>
      </w:r>
      <w:r>
        <w:rPr>
          <w:rFonts w:ascii="宋体" w:hAnsi="宋体" w:eastAsia="宋体" w:cs="宋体"/>
          <w:color w:val="auto"/>
          <w:position w:val="12"/>
          <w:sz w:val="21"/>
          <w:szCs w:val="21"/>
          <w:highlight w:val="none"/>
        </w:rPr>
        <w:t xml:space="preserve">评标委员会按本章第 </w:t>
      </w:r>
      <w:r>
        <w:rPr>
          <w:rFonts w:ascii="Times New Roman" w:hAnsi="Times New Roman" w:eastAsia="Times New Roman" w:cs="Times New Roman"/>
          <w:color w:val="auto"/>
          <w:position w:val="12"/>
          <w:sz w:val="21"/>
          <w:szCs w:val="21"/>
          <w:highlight w:val="none"/>
        </w:rPr>
        <w:t>2.2</w:t>
      </w:r>
      <w:r>
        <w:rPr>
          <w:rFonts w:ascii="Times New Roman" w:hAnsi="Times New Roman" w:eastAsia="Times New Roman" w:cs="Times New Roman"/>
          <w:color w:val="auto"/>
          <w:spacing w:val="43"/>
          <w:position w:val="12"/>
          <w:sz w:val="21"/>
          <w:szCs w:val="21"/>
          <w:highlight w:val="none"/>
        </w:rPr>
        <w:t xml:space="preserve"> </w:t>
      </w:r>
      <w:r>
        <w:rPr>
          <w:rFonts w:ascii="宋体" w:hAnsi="宋体" w:eastAsia="宋体" w:cs="宋体"/>
          <w:color w:val="auto"/>
          <w:position w:val="12"/>
          <w:sz w:val="21"/>
          <w:szCs w:val="21"/>
          <w:highlight w:val="none"/>
        </w:rPr>
        <w:t>款规定的量化因素和评审标准对投</w:t>
      </w:r>
      <w:r>
        <w:rPr>
          <w:rFonts w:ascii="宋体" w:hAnsi="宋体" w:eastAsia="宋体" w:cs="宋体"/>
          <w:color w:val="auto"/>
          <w:spacing w:val="-1"/>
          <w:position w:val="12"/>
          <w:sz w:val="21"/>
          <w:szCs w:val="21"/>
          <w:highlight w:val="none"/>
        </w:rPr>
        <w:t>标报价评审，确认有</w:t>
      </w:r>
    </w:p>
    <w:p w14:paraId="3ABC22E3">
      <w:pPr>
        <w:spacing w:line="219" w:lineRule="auto"/>
        <w:ind w:left="2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效评标价。（适用于经评审的最低投标价法）</w:t>
      </w:r>
    </w:p>
    <w:p w14:paraId="0CE879F1">
      <w:pPr>
        <w:spacing w:before="135" w:line="374" w:lineRule="exact"/>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2"/>
          <w:sz w:val="21"/>
          <w:szCs w:val="21"/>
          <w:highlight w:val="none"/>
        </w:rPr>
        <w:t xml:space="preserve">3.2.3 </w:t>
      </w:r>
      <w:r>
        <w:rPr>
          <w:rFonts w:ascii="宋体" w:hAnsi="宋体" w:eastAsia="宋体" w:cs="宋体"/>
          <w:color w:val="auto"/>
          <w:spacing w:val="-1"/>
          <w:position w:val="12"/>
          <w:sz w:val="21"/>
          <w:szCs w:val="21"/>
          <w:highlight w:val="none"/>
        </w:rPr>
        <w:t>将有效评标价（不低于合理最低价）由低到高的顺序排序。</w:t>
      </w:r>
    </w:p>
    <w:p w14:paraId="489B2638">
      <w:pPr>
        <w:spacing w:before="1" w:line="218"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 xml:space="preserve">3.3 </w:t>
      </w:r>
      <w:r>
        <w:rPr>
          <w:rFonts w:ascii="黑体" w:hAnsi="黑体" w:eastAsia="黑体" w:cs="黑体"/>
          <w:color w:val="auto"/>
          <w:spacing w:val="-2"/>
          <w:sz w:val="24"/>
          <w:szCs w:val="24"/>
          <w:highlight w:val="none"/>
        </w:rPr>
        <w:t>投标文件的澄清和补正</w:t>
      </w:r>
    </w:p>
    <w:p w14:paraId="17656A28">
      <w:pPr>
        <w:spacing w:before="119" w:line="335" w:lineRule="auto"/>
        <w:ind w:left="17" w:right="11" w:firstLine="424"/>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3.3.1</w:t>
      </w:r>
      <w:r>
        <w:rPr>
          <w:rFonts w:ascii="Times New Roman" w:hAnsi="Times New Roman" w:eastAsia="Times New Roman" w:cs="Times New Roman"/>
          <w:color w:val="auto"/>
          <w:spacing w:val="41"/>
          <w:w w:val="101"/>
          <w:sz w:val="21"/>
          <w:szCs w:val="21"/>
          <w:highlight w:val="none"/>
        </w:rPr>
        <w:t xml:space="preserve"> </w:t>
      </w:r>
      <w:r>
        <w:rPr>
          <w:rFonts w:ascii="宋体" w:hAnsi="宋体" w:eastAsia="宋体" w:cs="宋体"/>
          <w:color w:val="auto"/>
          <w:sz w:val="21"/>
          <w:szCs w:val="21"/>
          <w:highlight w:val="none"/>
        </w:rPr>
        <w:t>在评标过程中，评标委员会可以书面形式要求投标人对投标</w:t>
      </w:r>
      <w:r>
        <w:rPr>
          <w:rFonts w:ascii="宋体" w:hAnsi="宋体" w:eastAsia="宋体" w:cs="宋体"/>
          <w:color w:val="auto"/>
          <w:spacing w:val="-1"/>
          <w:sz w:val="21"/>
          <w:szCs w:val="21"/>
          <w:highlight w:val="none"/>
        </w:rPr>
        <w:t>文件中含义不明确、</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对同类问题表述不一致或者有明显文字和计算错误的内容作必要的澄清、说明</w:t>
      </w:r>
      <w:r>
        <w:rPr>
          <w:rFonts w:ascii="宋体" w:hAnsi="宋体" w:eastAsia="宋体" w:cs="宋体"/>
          <w:color w:val="auto"/>
          <w:spacing w:val="2"/>
          <w:sz w:val="21"/>
          <w:szCs w:val="21"/>
          <w:highlight w:val="none"/>
        </w:rPr>
        <w:t>或补正。澄</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清、说明或补正应以书面方式进行。评标委员会不接受投标人主动提出的澄清</w:t>
      </w:r>
      <w:r>
        <w:rPr>
          <w:rFonts w:ascii="宋体" w:hAnsi="宋体" w:eastAsia="宋体" w:cs="宋体"/>
          <w:color w:val="auto"/>
          <w:spacing w:val="2"/>
          <w:sz w:val="21"/>
          <w:szCs w:val="21"/>
          <w:highlight w:val="none"/>
        </w:rPr>
        <w:t>、说明或补</w:t>
      </w:r>
    </w:p>
    <w:p w14:paraId="3E8AC3E8">
      <w:pPr>
        <w:spacing w:line="233" w:lineRule="auto"/>
        <w:ind w:left="22"/>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正。</w:t>
      </w:r>
    </w:p>
    <w:p w14:paraId="08F8FE09">
      <w:pPr>
        <w:spacing w:before="114" w:line="379" w:lineRule="exact"/>
        <w:ind w:right="10"/>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6"/>
          <w:position w:val="12"/>
          <w:sz w:val="21"/>
          <w:szCs w:val="21"/>
          <w:highlight w:val="none"/>
        </w:rPr>
        <w:t>3.3.2</w:t>
      </w:r>
      <w:r>
        <w:rPr>
          <w:rFonts w:ascii="Times New Roman" w:hAnsi="Times New Roman" w:eastAsia="Times New Roman" w:cs="Times New Roman"/>
          <w:color w:val="auto"/>
          <w:spacing w:val="38"/>
          <w:position w:val="12"/>
          <w:sz w:val="21"/>
          <w:szCs w:val="21"/>
          <w:highlight w:val="none"/>
        </w:rPr>
        <w:t xml:space="preserve"> </w:t>
      </w:r>
      <w:r>
        <w:rPr>
          <w:rFonts w:ascii="宋体" w:hAnsi="宋体" w:eastAsia="宋体" w:cs="宋体"/>
          <w:color w:val="auto"/>
          <w:spacing w:val="6"/>
          <w:position w:val="12"/>
          <w:sz w:val="21"/>
          <w:szCs w:val="21"/>
          <w:highlight w:val="none"/>
        </w:rPr>
        <w:t>澄清、说明和补正不得超出投标文件的范围且不得改变投标文件的</w:t>
      </w:r>
      <w:r>
        <w:rPr>
          <w:rFonts w:ascii="宋体" w:hAnsi="宋体" w:eastAsia="宋体" w:cs="宋体"/>
          <w:color w:val="auto"/>
          <w:spacing w:val="5"/>
          <w:position w:val="12"/>
          <w:sz w:val="21"/>
          <w:szCs w:val="21"/>
          <w:highlight w:val="none"/>
        </w:rPr>
        <w:t>实质性内容</w:t>
      </w:r>
    </w:p>
    <w:p w14:paraId="277A7A60">
      <w:pPr>
        <w:spacing w:before="1" w:line="219" w:lineRule="auto"/>
        <w:ind w:left="2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（算术错误修正的除外）。投标人的书面澄清、说明和补正属于投标文件的组成部分。</w:t>
      </w:r>
    </w:p>
    <w:p w14:paraId="341E3394">
      <w:pPr>
        <w:spacing w:before="130" w:line="379" w:lineRule="exact"/>
        <w:ind w:right="8"/>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2"/>
          <w:sz w:val="21"/>
          <w:szCs w:val="21"/>
          <w:highlight w:val="none"/>
        </w:rPr>
        <w:t>3.3.3</w:t>
      </w:r>
      <w:r>
        <w:rPr>
          <w:rFonts w:ascii="Times New Roman" w:hAnsi="Times New Roman" w:eastAsia="Times New Roman" w:cs="Times New Roman"/>
          <w:color w:val="auto"/>
          <w:spacing w:val="32"/>
          <w:position w:val="12"/>
          <w:sz w:val="21"/>
          <w:szCs w:val="21"/>
          <w:highlight w:val="none"/>
        </w:rPr>
        <w:t xml:space="preserve"> </w:t>
      </w:r>
      <w:r>
        <w:rPr>
          <w:rFonts w:ascii="宋体" w:hAnsi="宋体" w:eastAsia="宋体" w:cs="宋体"/>
          <w:color w:val="auto"/>
          <w:spacing w:val="1"/>
          <w:position w:val="12"/>
          <w:sz w:val="21"/>
          <w:szCs w:val="21"/>
          <w:highlight w:val="none"/>
        </w:rPr>
        <w:t>评标委员会对投标人提交的澄清、说明或补正有疑</w:t>
      </w:r>
      <w:r>
        <w:rPr>
          <w:rFonts w:ascii="宋体" w:hAnsi="宋体" w:eastAsia="宋体" w:cs="宋体"/>
          <w:color w:val="auto"/>
          <w:position w:val="12"/>
          <w:sz w:val="21"/>
          <w:szCs w:val="21"/>
          <w:highlight w:val="none"/>
        </w:rPr>
        <w:t>问的，可以要求投标人进一步</w:t>
      </w:r>
    </w:p>
    <w:p w14:paraId="013C08C7">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澄清、说明或补正， 直至满足评标委员会的要求。</w:t>
      </w:r>
    </w:p>
    <w:p w14:paraId="4FE81CF9">
      <w:pPr>
        <w:spacing w:before="128" w:line="335" w:lineRule="auto"/>
        <w:ind w:left="18" w:right="3"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3.3.4</w:t>
      </w:r>
      <w:r>
        <w:rPr>
          <w:rFonts w:ascii="Times New Roman" w:hAnsi="Times New Roman" w:eastAsia="Times New Roman" w:cs="Times New Roman"/>
          <w:color w:val="auto"/>
          <w:spacing w:val="41"/>
          <w:w w:val="101"/>
          <w:sz w:val="21"/>
          <w:szCs w:val="21"/>
          <w:highlight w:val="none"/>
        </w:rPr>
        <w:t xml:space="preserve"> </w:t>
      </w:r>
      <w:r>
        <w:rPr>
          <w:rFonts w:ascii="宋体" w:hAnsi="宋体" w:eastAsia="宋体" w:cs="宋体"/>
          <w:color w:val="auto"/>
          <w:spacing w:val="1"/>
          <w:sz w:val="21"/>
          <w:szCs w:val="21"/>
          <w:highlight w:val="none"/>
        </w:rPr>
        <w:t>评标委员会要求投标人对投标文件问题</w:t>
      </w:r>
      <w:r>
        <w:rPr>
          <w:rFonts w:ascii="宋体" w:hAnsi="宋体" w:eastAsia="宋体" w:cs="宋体"/>
          <w:color w:val="auto"/>
          <w:sz w:val="21"/>
          <w:szCs w:val="21"/>
          <w:highlight w:val="none"/>
        </w:rPr>
        <w:t>澄清的通知，以及投标人对投标文件的澄 清通过电子招标投标系统（辽宁省工程建设项</w:t>
      </w:r>
      <w:r>
        <w:rPr>
          <w:rFonts w:ascii="宋体" w:hAnsi="宋体" w:eastAsia="宋体" w:cs="宋体"/>
          <w:color w:val="auto"/>
          <w:spacing w:val="-1"/>
          <w:sz w:val="21"/>
          <w:szCs w:val="21"/>
          <w:highlight w:val="none"/>
        </w:rPr>
        <w:t>目数字化开标评标系统） 以书面形式进行。</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投标人的澄清、说明或补正应在评标办法前附表通知规定的时间要求内提交，否则评标委</w:t>
      </w:r>
    </w:p>
    <w:p w14:paraId="412F33F6">
      <w:pPr>
        <w:spacing w:before="1" w:line="219" w:lineRule="auto"/>
        <w:ind w:left="2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员会（电子招标投标系统）将拒绝接收。</w:t>
      </w:r>
    </w:p>
    <w:p w14:paraId="05F9B746">
      <w:pPr>
        <w:spacing w:before="124" w:line="219" w:lineRule="auto"/>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 xml:space="preserve">3.4 </w:t>
      </w:r>
      <w:r>
        <w:rPr>
          <w:rFonts w:ascii="黑体" w:hAnsi="黑体" w:eastAsia="黑体" w:cs="黑体"/>
          <w:color w:val="auto"/>
          <w:spacing w:val="-3"/>
          <w:sz w:val="24"/>
          <w:szCs w:val="24"/>
          <w:highlight w:val="none"/>
        </w:rPr>
        <w:t>评标结果</w:t>
      </w:r>
    </w:p>
    <w:p w14:paraId="15DF3B27">
      <w:pPr>
        <w:spacing w:before="120" w:line="220" w:lineRule="auto"/>
        <w:ind w:right="2"/>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3.4.1  </w:t>
      </w:r>
      <w:r>
        <w:rPr>
          <w:rFonts w:ascii="宋体" w:hAnsi="宋体" w:eastAsia="宋体" w:cs="宋体"/>
          <w:color w:val="auto"/>
          <w:spacing w:val="-1"/>
          <w:sz w:val="21"/>
          <w:szCs w:val="21"/>
          <w:highlight w:val="none"/>
        </w:rPr>
        <w:t xml:space="preserve">除第二章“投标人须知”前附表第 </w:t>
      </w:r>
      <w:r>
        <w:rPr>
          <w:rFonts w:ascii="Times New Roman" w:hAnsi="Times New Roman" w:eastAsia="Times New Roman" w:cs="Times New Roman"/>
          <w:color w:val="auto"/>
          <w:spacing w:val="-1"/>
          <w:sz w:val="21"/>
          <w:szCs w:val="21"/>
          <w:highlight w:val="none"/>
        </w:rPr>
        <w:t>7.1</w:t>
      </w:r>
      <w:r>
        <w:rPr>
          <w:rFonts w:ascii="Times New Roman" w:hAnsi="Times New Roman" w:eastAsia="Times New Roman" w:cs="Times New Roman"/>
          <w:color w:val="auto"/>
          <w:spacing w:val="56"/>
          <w:sz w:val="21"/>
          <w:szCs w:val="21"/>
          <w:highlight w:val="none"/>
        </w:rPr>
        <w:t xml:space="preserve"> </w:t>
      </w:r>
      <w:r>
        <w:rPr>
          <w:rFonts w:ascii="宋体" w:hAnsi="宋体" w:eastAsia="宋体" w:cs="宋体"/>
          <w:color w:val="auto"/>
          <w:spacing w:val="-1"/>
          <w:sz w:val="21"/>
          <w:szCs w:val="21"/>
          <w:highlight w:val="none"/>
        </w:rPr>
        <w:t>款授权直接确定中标人外，评标委员会按</w:t>
      </w:r>
    </w:p>
    <w:p w14:paraId="2BB1253F">
      <w:pPr>
        <w:spacing w:line="220" w:lineRule="auto"/>
        <w:rPr>
          <w:rFonts w:ascii="宋体" w:hAnsi="宋体" w:eastAsia="宋体" w:cs="宋体"/>
          <w:color w:val="auto"/>
          <w:sz w:val="21"/>
          <w:szCs w:val="21"/>
          <w:highlight w:val="none"/>
        </w:rPr>
        <w:sectPr>
          <w:footerReference r:id="rId68" w:type="default"/>
          <w:pgSz w:w="11905" w:h="16839"/>
          <w:pgMar w:top="1431" w:right="1785" w:bottom="996" w:left="1785" w:header="0" w:footer="791" w:gutter="0"/>
          <w:pgNumType w:fmt="decimal"/>
          <w:cols w:space="720" w:num="1"/>
        </w:sectPr>
      </w:pPr>
    </w:p>
    <w:p w14:paraId="72C78AA5">
      <w:pPr>
        <w:spacing w:before="130" w:line="219" w:lineRule="auto"/>
        <w:ind w:left="24"/>
        <w:rPr>
          <w:rFonts w:ascii="宋体" w:hAnsi="宋体" w:eastAsia="宋体" w:cs="宋体"/>
          <w:color w:val="auto"/>
          <w:sz w:val="21"/>
          <w:szCs w:val="21"/>
          <w:highlight w:val="none"/>
        </w:rPr>
      </w:pPr>
      <w:bookmarkStart w:id="179" w:name="bookmark207"/>
      <w:bookmarkEnd w:id="179"/>
      <w:r>
        <w:rPr>
          <w:rFonts w:ascii="宋体" w:hAnsi="宋体" w:eastAsia="宋体" w:cs="宋体"/>
          <w:color w:val="auto"/>
          <w:spacing w:val="-2"/>
          <w:sz w:val="21"/>
          <w:szCs w:val="21"/>
          <w:highlight w:val="none"/>
        </w:rPr>
        <w:t>照有效评标价由低到高的顺序推荐中标候选人。</w:t>
      </w:r>
    </w:p>
    <w:p w14:paraId="4CE4D093">
      <w:pPr>
        <w:spacing w:before="130" w:line="219"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3.4.2 </w:t>
      </w:r>
      <w:r>
        <w:rPr>
          <w:rFonts w:ascii="宋体" w:hAnsi="宋体" w:eastAsia="宋体" w:cs="宋体"/>
          <w:color w:val="auto"/>
          <w:spacing w:val="-1"/>
          <w:sz w:val="21"/>
          <w:szCs w:val="21"/>
          <w:highlight w:val="none"/>
        </w:rPr>
        <w:t>评标委员会完成评标后，应当向招标人提</w:t>
      </w:r>
      <w:r>
        <w:rPr>
          <w:rFonts w:ascii="宋体" w:hAnsi="宋体" w:eastAsia="宋体" w:cs="宋体"/>
          <w:color w:val="auto"/>
          <w:spacing w:val="-2"/>
          <w:sz w:val="21"/>
          <w:szCs w:val="21"/>
          <w:highlight w:val="none"/>
        </w:rPr>
        <w:t>交书面评标报告。</w:t>
      </w:r>
    </w:p>
    <w:p w14:paraId="40780298">
      <w:pPr>
        <w:spacing w:before="127" w:line="335" w:lineRule="auto"/>
        <w:ind w:left="18" w:right="11"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3.4.3</w:t>
      </w:r>
      <w:r>
        <w:rPr>
          <w:rFonts w:ascii="Times New Roman" w:hAnsi="Times New Roman" w:eastAsia="Times New Roman" w:cs="Times New Roman"/>
          <w:color w:val="auto"/>
          <w:spacing w:val="51"/>
          <w:sz w:val="21"/>
          <w:szCs w:val="21"/>
          <w:highlight w:val="none"/>
        </w:rPr>
        <w:t xml:space="preserve"> </w:t>
      </w:r>
      <w:r>
        <w:rPr>
          <w:rFonts w:ascii="宋体" w:hAnsi="宋体" w:eastAsia="宋体" w:cs="宋体"/>
          <w:color w:val="auto"/>
          <w:spacing w:val="-1"/>
          <w:sz w:val="21"/>
          <w:szCs w:val="21"/>
          <w:highlight w:val="none"/>
        </w:rPr>
        <w:t>投标人串通投标或弄虚作假或有其他违法行为，评标委员会在评标过程中发现，</w:t>
      </w:r>
      <w:r>
        <w:rPr>
          <w:rFonts w:ascii="宋体" w:hAnsi="宋体" w:eastAsia="宋体" w:cs="宋体"/>
          <w:color w:val="auto"/>
          <w:sz w:val="21"/>
          <w:szCs w:val="21"/>
          <w:highlight w:val="none"/>
        </w:rPr>
        <w:t xml:space="preserve"> 证据确凿的， 经评标委员会成员三分之二以上同意，其投标作否决投标处理；证据不够确</w:t>
      </w:r>
      <w:r>
        <w:rPr>
          <w:rFonts w:ascii="宋体" w:hAnsi="宋体" w:eastAsia="宋体" w:cs="宋体"/>
          <w:color w:val="auto"/>
          <w:spacing w:val="6"/>
          <w:sz w:val="21"/>
          <w:szCs w:val="21"/>
          <w:highlight w:val="none"/>
        </w:rPr>
        <w:t xml:space="preserve"> </w:t>
      </w:r>
      <w:r>
        <w:rPr>
          <w:rFonts w:ascii="宋体" w:hAnsi="宋体" w:eastAsia="宋体" w:cs="宋体"/>
          <w:color w:val="auto"/>
          <w:sz w:val="21"/>
          <w:szCs w:val="21"/>
          <w:highlight w:val="none"/>
        </w:rPr>
        <w:t>凿的， 其投标不能作否决投标处理，但评标委员会在向招标人提交书面评标报告时，应予</w:t>
      </w:r>
      <w:r>
        <w:rPr>
          <w:rFonts w:ascii="宋体" w:hAnsi="宋体" w:eastAsia="宋体" w:cs="宋体"/>
          <w:color w:val="auto"/>
          <w:spacing w:val="6"/>
          <w:sz w:val="21"/>
          <w:szCs w:val="21"/>
          <w:highlight w:val="none"/>
        </w:rPr>
        <w:t xml:space="preserve"> </w:t>
      </w:r>
      <w:r>
        <w:rPr>
          <w:rFonts w:ascii="宋体" w:hAnsi="宋体" w:eastAsia="宋体" w:cs="宋体"/>
          <w:color w:val="auto"/>
          <w:sz w:val="21"/>
          <w:szCs w:val="21"/>
          <w:highlight w:val="none"/>
        </w:rPr>
        <w:t>说明。在评标结束后发现投标人串通投标或弄虚作假或有其他违法行为，查证属实的， 取</w:t>
      </w:r>
    </w:p>
    <w:p w14:paraId="1D4B9B24">
      <w:pPr>
        <w:spacing w:line="220" w:lineRule="auto"/>
        <w:ind w:left="2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消其中标资格。</w:t>
      </w:r>
    </w:p>
    <w:p w14:paraId="2A3EB544">
      <w:pPr>
        <w:spacing w:line="220" w:lineRule="auto"/>
        <w:rPr>
          <w:rFonts w:ascii="宋体" w:hAnsi="宋体" w:eastAsia="宋体" w:cs="宋体"/>
          <w:color w:val="auto"/>
          <w:sz w:val="21"/>
          <w:szCs w:val="21"/>
          <w:highlight w:val="none"/>
        </w:rPr>
        <w:sectPr>
          <w:footerReference r:id="rId69" w:type="default"/>
          <w:pgSz w:w="11905" w:h="16839"/>
          <w:pgMar w:top="1431" w:right="1785" w:bottom="996" w:left="1785" w:header="0" w:footer="791" w:gutter="0"/>
          <w:pgNumType w:fmt="decimal"/>
          <w:cols w:space="720" w:num="1"/>
        </w:sectPr>
      </w:pPr>
    </w:p>
    <w:p w14:paraId="3B1A7CD0">
      <w:pPr>
        <w:pStyle w:val="3"/>
        <w:spacing w:before="306" w:line="219" w:lineRule="auto"/>
        <w:ind w:left="3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附件</w:t>
      </w:r>
      <w:r>
        <w:rPr>
          <w:rFonts w:ascii="黑体" w:hAnsi="黑体" w:eastAsia="黑体" w:cs="黑体"/>
          <w:color w:val="auto"/>
          <w:spacing w:val="-56"/>
          <w:sz w:val="24"/>
          <w:szCs w:val="24"/>
          <w:highlight w:val="none"/>
        </w:rPr>
        <w:t xml:space="preserve"> </w:t>
      </w:r>
      <w:r>
        <w:rPr>
          <w:color w:val="auto"/>
          <w:spacing w:val="-3"/>
          <w:sz w:val="24"/>
          <w:szCs w:val="24"/>
          <w:highlight w:val="none"/>
        </w:rPr>
        <w:t>A</w:t>
      </w:r>
      <w:r>
        <w:rPr>
          <w:rFonts w:ascii="黑体" w:hAnsi="黑体" w:eastAsia="黑体" w:cs="黑体"/>
          <w:color w:val="auto"/>
          <w:spacing w:val="-3"/>
          <w:sz w:val="24"/>
          <w:szCs w:val="24"/>
          <w:highlight w:val="none"/>
        </w:rPr>
        <w:t>：评标详细程序</w:t>
      </w:r>
    </w:p>
    <w:p w14:paraId="34B5B955">
      <w:pPr>
        <w:pStyle w:val="3"/>
        <w:spacing w:line="427" w:lineRule="auto"/>
        <w:rPr>
          <w:color w:val="auto"/>
          <w:highlight w:val="none"/>
        </w:rPr>
      </w:pPr>
    </w:p>
    <w:p w14:paraId="45DC4992">
      <w:pPr>
        <w:spacing w:before="88" w:line="225" w:lineRule="auto"/>
        <w:ind w:left="3333"/>
        <w:rPr>
          <w:rFonts w:ascii="黑体" w:hAnsi="黑体" w:eastAsia="黑体" w:cs="黑体"/>
          <w:color w:val="auto"/>
          <w:sz w:val="27"/>
          <w:szCs w:val="27"/>
          <w:highlight w:val="none"/>
        </w:rPr>
      </w:pPr>
      <w:r>
        <w:rPr>
          <w:rFonts w:ascii="黑体" w:hAnsi="黑体" w:eastAsia="黑体" w:cs="黑体"/>
          <w:color w:val="auto"/>
          <w:spacing w:val="9"/>
          <w:sz w:val="27"/>
          <w:szCs w:val="27"/>
          <w:highlight w:val="none"/>
          <w14:textOutline w14:w="5050" w14:cap="flat" w14:cmpd="sng">
            <w14:solidFill>
              <w14:srgbClr w14:val="000000"/>
            </w14:solidFill>
            <w14:prstDash w14:val="solid"/>
            <w14:miter w14:val="0"/>
          </w14:textOutline>
        </w:rPr>
        <w:t>评标详细程序</w:t>
      </w:r>
    </w:p>
    <w:p w14:paraId="0007E0C2">
      <w:pPr>
        <w:spacing w:before="107" w:line="219" w:lineRule="auto"/>
        <w:ind w:left="11"/>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A0.</w:t>
      </w:r>
      <w:r>
        <w:rPr>
          <w:rFonts w:ascii="黑体" w:hAnsi="黑体" w:eastAsia="黑体" w:cs="黑体"/>
          <w:color w:val="auto"/>
          <w:sz w:val="24"/>
          <w:szCs w:val="24"/>
          <w:highlight w:val="none"/>
        </w:rPr>
        <w:t>总</w:t>
      </w:r>
      <w:r>
        <w:rPr>
          <w:rFonts w:ascii="黑体" w:hAnsi="黑体" w:eastAsia="黑体" w:cs="黑体"/>
          <w:color w:val="auto"/>
          <w:spacing w:val="13"/>
          <w:sz w:val="24"/>
          <w:szCs w:val="24"/>
          <w:highlight w:val="none"/>
        </w:rPr>
        <w:t xml:space="preserve"> </w:t>
      </w:r>
      <w:r>
        <w:rPr>
          <w:rFonts w:ascii="黑体" w:hAnsi="黑体" w:eastAsia="黑体" w:cs="黑体"/>
          <w:color w:val="auto"/>
          <w:sz w:val="24"/>
          <w:szCs w:val="24"/>
          <w:highlight w:val="none"/>
        </w:rPr>
        <w:t>则</w:t>
      </w:r>
    </w:p>
    <w:p w14:paraId="6F34B7CD">
      <w:pPr>
        <w:spacing w:before="143" w:line="398" w:lineRule="exact"/>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本附件是本章“评标办法”的组成部分，是对本章第 3 条所规定的评标程序的进一步</w:t>
      </w:r>
    </w:p>
    <w:p w14:paraId="19C218BD">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z w:val="21"/>
          <w:szCs w:val="21"/>
          <w:highlight w:val="none"/>
        </w:rPr>
        <w:t>细化，评标委员会应当按照本附件所规定的详细程序开展并完成评</w:t>
      </w:r>
      <w:r>
        <w:rPr>
          <w:rFonts w:ascii="宋体" w:hAnsi="宋体" w:eastAsia="宋体" w:cs="宋体"/>
          <w:color w:val="auto"/>
          <w:spacing w:val="-1"/>
          <w:sz w:val="21"/>
          <w:szCs w:val="21"/>
          <w:highlight w:val="none"/>
        </w:rPr>
        <w:t>标工作。</w:t>
      </w:r>
    </w:p>
    <w:p w14:paraId="1020078C">
      <w:pPr>
        <w:spacing w:before="123" w:line="219" w:lineRule="auto"/>
        <w:ind w:left="11"/>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A1.</w:t>
      </w:r>
      <w:r>
        <w:rPr>
          <w:rFonts w:ascii="黑体" w:hAnsi="黑体" w:eastAsia="黑体" w:cs="黑体"/>
          <w:color w:val="auto"/>
          <w:sz w:val="24"/>
          <w:szCs w:val="24"/>
          <w:highlight w:val="none"/>
        </w:rPr>
        <w:t>基本程序</w:t>
      </w:r>
    </w:p>
    <w:p w14:paraId="629AFFAF">
      <w:pPr>
        <w:spacing w:before="144" w:line="398" w:lineRule="exact"/>
        <w:ind w:left="440"/>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评标活动将按以下五个步骤进行：</w:t>
      </w:r>
    </w:p>
    <w:p w14:paraId="3CDBE5A4">
      <w:pPr>
        <w:spacing w:before="1" w:line="221"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（1）评标准备；</w:t>
      </w:r>
    </w:p>
    <w:p w14:paraId="71AC1618">
      <w:pPr>
        <w:spacing w:before="146" w:line="221"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（2）初步评审；</w:t>
      </w:r>
    </w:p>
    <w:p w14:paraId="3D38A29F">
      <w:pPr>
        <w:spacing w:before="152" w:line="221"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（3）详细评审；</w:t>
      </w:r>
    </w:p>
    <w:p w14:paraId="46C649E2">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（4）澄清、说明或补正；</w:t>
      </w:r>
    </w:p>
    <w:p w14:paraId="6FA21B11">
      <w:pPr>
        <w:spacing w:before="148" w:line="378" w:lineRule="exact"/>
        <w:ind w:left="447"/>
        <w:rPr>
          <w:rFonts w:ascii="宋体" w:hAnsi="宋体" w:eastAsia="宋体" w:cs="宋体"/>
          <w:color w:val="auto"/>
          <w:sz w:val="21"/>
          <w:szCs w:val="21"/>
          <w:highlight w:val="none"/>
        </w:rPr>
      </w:pPr>
      <w:r>
        <w:rPr>
          <w:rFonts w:ascii="宋体" w:hAnsi="宋体" w:eastAsia="宋体" w:cs="宋体"/>
          <w:color w:val="auto"/>
          <w:spacing w:val="-2"/>
          <w:position w:val="12"/>
          <w:sz w:val="21"/>
          <w:szCs w:val="21"/>
          <w:highlight w:val="none"/>
        </w:rPr>
        <w:t>（5）推荐中标候选人或者直接确定中标人及提交评标报告。</w:t>
      </w:r>
    </w:p>
    <w:p w14:paraId="6B4FFF43">
      <w:pPr>
        <w:spacing w:before="1" w:line="218" w:lineRule="auto"/>
        <w:ind w:left="11"/>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A2.</w:t>
      </w:r>
      <w:r>
        <w:rPr>
          <w:rFonts w:ascii="黑体" w:hAnsi="黑体" w:eastAsia="黑体" w:cs="黑体"/>
          <w:color w:val="auto"/>
          <w:sz w:val="24"/>
          <w:szCs w:val="24"/>
          <w:highlight w:val="none"/>
        </w:rPr>
        <w:t>评标准备</w:t>
      </w:r>
    </w:p>
    <w:p w14:paraId="1AAB061B">
      <w:pPr>
        <w:spacing w:before="139"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A2.1 </w:t>
      </w:r>
      <w:r>
        <w:rPr>
          <w:rFonts w:ascii="黑体" w:hAnsi="黑体" w:eastAsia="黑体" w:cs="黑体"/>
          <w:color w:val="auto"/>
          <w:spacing w:val="-1"/>
          <w:sz w:val="21"/>
          <w:szCs w:val="21"/>
          <w:highlight w:val="none"/>
        </w:rPr>
        <w:t>评标委员会成员签到</w:t>
      </w:r>
    </w:p>
    <w:p w14:paraId="3B4073CD">
      <w:pPr>
        <w:spacing w:before="150" w:line="403" w:lineRule="exact"/>
        <w:ind w:right="3"/>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评标委员会成员到达评标现场时应在签到表上签到以证明其出席。评标委员会签到表</w:t>
      </w:r>
    </w:p>
    <w:p w14:paraId="186CF8BE">
      <w:pPr>
        <w:spacing w:before="1" w:line="219"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见</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36"/>
          <w:sz w:val="21"/>
          <w:szCs w:val="21"/>
          <w:highlight w:val="none"/>
        </w:rPr>
        <w:t xml:space="preserve">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A-1</w:t>
      </w:r>
      <w:r>
        <w:rPr>
          <w:rFonts w:ascii="宋体" w:hAnsi="宋体" w:eastAsia="宋体" w:cs="宋体"/>
          <w:color w:val="auto"/>
          <w:spacing w:val="-1"/>
          <w:sz w:val="21"/>
          <w:szCs w:val="21"/>
          <w:highlight w:val="none"/>
        </w:rPr>
        <w:t>。并按照要求阅读评标纪律。</w:t>
      </w:r>
    </w:p>
    <w:p w14:paraId="4F74E133">
      <w:pPr>
        <w:spacing w:before="147" w:line="352" w:lineRule="auto"/>
        <w:ind w:left="18" w:right="6" w:firstLine="422"/>
        <w:rPr>
          <w:rFonts w:ascii="宋体" w:hAnsi="宋体" w:eastAsia="宋体" w:cs="宋体"/>
          <w:color w:val="auto"/>
          <w:sz w:val="21"/>
          <w:szCs w:val="21"/>
          <w:highlight w:val="none"/>
        </w:rPr>
      </w:pPr>
      <w:r>
        <w:rPr>
          <w:rFonts w:ascii="宋体" w:hAnsi="宋体" w:eastAsia="宋体" w:cs="宋体"/>
          <w:color w:val="auto"/>
          <w:sz w:val="21"/>
          <w:szCs w:val="21"/>
          <w:highlight w:val="none"/>
        </w:rPr>
        <w:t>评标委员会成员在评标前， 应当签订签署评标专家告知承诺函。评标专家告知承诺函</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见</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A-2。</w:t>
      </w:r>
      <w:r>
        <w:rPr>
          <w:rFonts w:ascii="宋体" w:hAnsi="宋体" w:eastAsia="宋体" w:cs="宋体"/>
          <w:color w:val="auto"/>
          <w:sz w:val="21"/>
          <w:szCs w:val="21"/>
          <w:highlight w:val="none"/>
        </w:rPr>
        <w:t>评标委员会成员对尽职、回避、保密、廉洁， 不参与串通投标等进行承诺，</w:t>
      </w:r>
      <w:r>
        <w:rPr>
          <w:rFonts w:ascii="宋体" w:hAnsi="宋体" w:eastAsia="宋体" w:cs="宋体"/>
          <w:color w:val="auto"/>
          <w:spacing w:val="2"/>
          <w:sz w:val="21"/>
          <w:szCs w:val="21"/>
          <w:highlight w:val="none"/>
        </w:rPr>
        <w:t xml:space="preserve"> </w:t>
      </w:r>
      <w:r>
        <w:rPr>
          <w:rFonts w:ascii="宋体" w:hAnsi="宋体" w:eastAsia="宋体" w:cs="宋体"/>
          <w:color w:val="auto"/>
          <w:spacing w:val="3"/>
          <w:sz w:val="21"/>
          <w:szCs w:val="21"/>
          <w:highlight w:val="none"/>
        </w:rPr>
        <w:t>承诺遵守有关评标管理规定以及评标纪律，客观、公正地进行评标，并接受</w:t>
      </w:r>
      <w:r>
        <w:rPr>
          <w:rFonts w:ascii="宋体" w:hAnsi="宋体" w:eastAsia="宋体" w:cs="宋体"/>
          <w:color w:val="auto"/>
          <w:spacing w:val="2"/>
          <w:sz w:val="21"/>
          <w:szCs w:val="21"/>
          <w:highlight w:val="none"/>
        </w:rPr>
        <w:t>招投标监管部</w:t>
      </w:r>
    </w:p>
    <w:p w14:paraId="6F986B6E">
      <w:pPr>
        <w:spacing w:line="222" w:lineRule="auto"/>
        <w:ind w:left="42"/>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门的监督。</w:t>
      </w:r>
    </w:p>
    <w:p w14:paraId="5807AD0C">
      <w:pPr>
        <w:spacing w:before="146"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A2.2 </w:t>
      </w:r>
      <w:r>
        <w:rPr>
          <w:rFonts w:ascii="黑体" w:hAnsi="黑体" w:eastAsia="黑体" w:cs="黑体"/>
          <w:color w:val="auto"/>
          <w:spacing w:val="-1"/>
          <w:sz w:val="21"/>
          <w:szCs w:val="21"/>
          <w:highlight w:val="none"/>
        </w:rPr>
        <w:t>评标委员会的分工</w:t>
      </w:r>
    </w:p>
    <w:p w14:paraId="79F61C1B">
      <w:pPr>
        <w:spacing w:before="169" w:line="422" w:lineRule="exact"/>
        <w:ind w:right="4"/>
        <w:jc w:val="right"/>
        <w:rPr>
          <w:rFonts w:ascii="宋体" w:hAnsi="宋体" w:eastAsia="宋体" w:cs="宋体"/>
          <w:color w:val="auto"/>
          <w:sz w:val="21"/>
          <w:szCs w:val="21"/>
          <w:highlight w:val="none"/>
        </w:rPr>
      </w:pPr>
      <w:r>
        <w:rPr>
          <w:rFonts w:ascii="宋体" w:hAnsi="宋体" w:eastAsia="宋体" w:cs="宋体"/>
          <w:color w:val="auto"/>
          <w:position w:val="16"/>
          <w:sz w:val="21"/>
          <w:szCs w:val="21"/>
          <w:highlight w:val="none"/>
        </w:rPr>
        <w:t>A2.2.1 评标委员会首先推选一名评标委员会主任。评标委员会主任负责评标活动的组</w:t>
      </w:r>
    </w:p>
    <w:p w14:paraId="7365C694">
      <w:pPr>
        <w:spacing w:line="221" w:lineRule="auto"/>
        <w:ind w:left="21"/>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织工作。</w:t>
      </w:r>
    </w:p>
    <w:p w14:paraId="7E6B9F79">
      <w:pPr>
        <w:spacing w:before="153" w:line="398" w:lineRule="exact"/>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A2.2.2 评标委员会主任除履行自己作为</w:t>
      </w:r>
      <w:r>
        <w:rPr>
          <w:rFonts w:ascii="宋体" w:hAnsi="宋体" w:eastAsia="宋体" w:cs="宋体"/>
          <w:color w:val="auto"/>
          <w:position w:val="14"/>
          <w:sz w:val="21"/>
          <w:szCs w:val="21"/>
          <w:highlight w:val="none"/>
        </w:rPr>
        <w:t>评标委员会成员独立评标的职责外，主要负责</w:t>
      </w:r>
    </w:p>
    <w:p w14:paraId="0FAA7DE0">
      <w:pPr>
        <w:spacing w:line="221" w:lineRule="auto"/>
        <w:ind w:left="42"/>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以下工作：</w:t>
      </w:r>
    </w:p>
    <w:p w14:paraId="594DD56F">
      <w:pPr>
        <w:spacing w:before="147"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（1）组织评标委员会成员学习招标文件中载明的评</w:t>
      </w:r>
      <w:r>
        <w:rPr>
          <w:rFonts w:ascii="宋体" w:hAnsi="宋体" w:eastAsia="宋体" w:cs="宋体"/>
          <w:color w:val="auto"/>
          <w:spacing w:val="-2"/>
          <w:sz w:val="21"/>
          <w:szCs w:val="21"/>
          <w:highlight w:val="none"/>
        </w:rPr>
        <w:t>标标准和方法；</w:t>
      </w:r>
    </w:p>
    <w:p w14:paraId="4B573B88">
      <w:pPr>
        <w:spacing w:before="172"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（2）提醒招标人做好评标准备工作，包括提供所需的评标基础资料；</w:t>
      </w:r>
    </w:p>
    <w:p w14:paraId="3F336F64">
      <w:pPr>
        <w:spacing w:before="158" w:line="220" w:lineRule="auto"/>
        <w:ind w:right="7"/>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（3）汇总各评标委员会成员认为需要投标人澄清、说明或者补正的问题，组织评标委</w:t>
      </w:r>
    </w:p>
    <w:p w14:paraId="3BBBB174">
      <w:pPr>
        <w:spacing w:before="153" w:line="220" w:lineRule="auto"/>
        <w:ind w:left="2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员会对投标人质询并对投标人的答复进行评审；</w:t>
      </w:r>
    </w:p>
    <w:p w14:paraId="35AAA33C">
      <w:pPr>
        <w:spacing w:before="148"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（4）对出现较大争议的事项进行书面记录；</w:t>
      </w:r>
    </w:p>
    <w:p w14:paraId="1A3317AC">
      <w:pPr>
        <w:spacing w:before="148" w:line="404"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（5）查验评标用表格和评标记录的完整性及有效性；</w:t>
      </w:r>
    </w:p>
    <w:p w14:paraId="13401408">
      <w:pPr>
        <w:spacing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（6）组织对评标结论进行复核确认；</w:t>
      </w:r>
    </w:p>
    <w:p w14:paraId="7D36A75B">
      <w:pPr>
        <w:spacing w:before="147" w:line="219"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（7）组织编写评标报告，推荐中标候选人。</w:t>
      </w:r>
    </w:p>
    <w:p w14:paraId="30AF9575">
      <w:pPr>
        <w:spacing w:line="219" w:lineRule="auto"/>
        <w:rPr>
          <w:rFonts w:ascii="宋体" w:hAnsi="宋体" w:eastAsia="宋体" w:cs="宋体"/>
          <w:color w:val="auto"/>
          <w:sz w:val="21"/>
          <w:szCs w:val="21"/>
          <w:highlight w:val="none"/>
        </w:rPr>
        <w:sectPr>
          <w:footerReference r:id="rId70" w:type="default"/>
          <w:pgSz w:w="11905" w:h="16839"/>
          <w:pgMar w:top="1431" w:right="1785" w:bottom="996" w:left="1785" w:header="0" w:footer="791" w:gutter="0"/>
          <w:pgNumType w:fmt="decimal"/>
          <w:cols w:space="720" w:num="1"/>
        </w:sectPr>
      </w:pPr>
    </w:p>
    <w:p w14:paraId="29AE4211">
      <w:pPr>
        <w:spacing w:before="168" w:line="418" w:lineRule="exact"/>
        <w:ind w:right="4"/>
        <w:jc w:val="right"/>
        <w:rPr>
          <w:rFonts w:ascii="宋体" w:hAnsi="宋体" w:eastAsia="宋体" w:cs="宋体"/>
          <w:color w:val="auto"/>
          <w:sz w:val="21"/>
          <w:szCs w:val="21"/>
          <w:highlight w:val="none"/>
        </w:rPr>
      </w:pPr>
      <w:bookmarkStart w:id="180" w:name="bookmark208"/>
      <w:bookmarkEnd w:id="180"/>
      <w:r>
        <w:rPr>
          <w:rFonts w:ascii="宋体" w:hAnsi="宋体" w:eastAsia="宋体" w:cs="宋体"/>
          <w:color w:val="auto"/>
          <w:position w:val="15"/>
          <w:sz w:val="21"/>
          <w:szCs w:val="21"/>
          <w:highlight w:val="none"/>
        </w:rPr>
        <w:t>A2.2.3 评标委员会主任在与其他评标委员会成员商议的基础上可以将评标委员会按照</w:t>
      </w:r>
    </w:p>
    <w:p w14:paraId="7E9701C4">
      <w:pPr>
        <w:spacing w:line="220"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评标专家抽取专业划分为技术组和经济组。</w:t>
      </w:r>
    </w:p>
    <w:p w14:paraId="402C8469">
      <w:pPr>
        <w:spacing w:before="152"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A2.3 </w:t>
      </w:r>
      <w:r>
        <w:rPr>
          <w:rFonts w:ascii="黑体" w:hAnsi="黑体" w:eastAsia="黑体" w:cs="黑体"/>
          <w:color w:val="auto"/>
          <w:spacing w:val="-1"/>
          <w:sz w:val="21"/>
          <w:szCs w:val="21"/>
          <w:highlight w:val="none"/>
        </w:rPr>
        <w:t>熟悉文件资料</w:t>
      </w:r>
    </w:p>
    <w:p w14:paraId="73607D1F">
      <w:pPr>
        <w:spacing w:before="151" w:line="352" w:lineRule="auto"/>
        <w:ind w:left="19" w:right="4" w:firstLine="415"/>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A2.3.1 评标委员会主任应组织评标委员会成员认真研究招标文件，了解和熟悉招标目</w:t>
      </w:r>
      <w:r>
        <w:rPr>
          <w:rFonts w:ascii="宋体" w:hAnsi="宋体" w:eastAsia="宋体" w:cs="宋体"/>
          <w:color w:val="auto"/>
          <w:spacing w:val="18"/>
          <w:sz w:val="21"/>
          <w:szCs w:val="21"/>
          <w:highlight w:val="none"/>
        </w:rPr>
        <w:t xml:space="preserve"> </w:t>
      </w:r>
      <w:r>
        <w:rPr>
          <w:rFonts w:ascii="宋体" w:hAnsi="宋体" w:eastAsia="宋体" w:cs="宋体"/>
          <w:color w:val="auto"/>
          <w:spacing w:val="3"/>
          <w:sz w:val="21"/>
          <w:szCs w:val="21"/>
          <w:highlight w:val="none"/>
        </w:rPr>
        <w:t>的、招标范围、主要合同条件、技术标准和要求、质量标准和工期要求，掌</w:t>
      </w:r>
      <w:r>
        <w:rPr>
          <w:rFonts w:ascii="宋体" w:hAnsi="宋体" w:eastAsia="宋体" w:cs="宋体"/>
          <w:color w:val="auto"/>
          <w:spacing w:val="2"/>
          <w:sz w:val="21"/>
          <w:szCs w:val="21"/>
          <w:highlight w:val="none"/>
        </w:rPr>
        <w:t>握评标标准和</w:t>
      </w:r>
      <w:r>
        <w:rPr>
          <w:rFonts w:ascii="宋体" w:hAnsi="宋体" w:eastAsia="宋体" w:cs="宋体"/>
          <w:color w:val="auto"/>
          <w:sz w:val="21"/>
          <w:szCs w:val="21"/>
          <w:highlight w:val="none"/>
        </w:rPr>
        <w:t xml:space="preserve"> 方法， 熟悉本章及附件中包括的评标表格的使用，如果本章及附件所附的表格不能满足评</w:t>
      </w:r>
      <w:r>
        <w:rPr>
          <w:rFonts w:ascii="宋体" w:hAnsi="宋体" w:eastAsia="宋体" w:cs="宋体"/>
          <w:color w:val="auto"/>
          <w:spacing w:val="6"/>
          <w:sz w:val="21"/>
          <w:szCs w:val="21"/>
          <w:highlight w:val="none"/>
        </w:rPr>
        <w:t xml:space="preserve"> </w:t>
      </w:r>
      <w:r>
        <w:rPr>
          <w:rFonts w:ascii="宋体" w:hAnsi="宋体" w:eastAsia="宋体" w:cs="宋体"/>
          <w:color w:val="auto"/>
          <w:spacing w:val="3"/>
          <w:sz w:val="21"/>
          <w:szCs w:val="21"/>
          <w:highlight w:val="none"/>
        </w:rPr>
        <w:t>标所需时，评标委员会应补充编制评标所需的表格。未在招标文件中规定的</w:t>
      </w:r>
      <w:r>
        <w:rPr>
          <w:rFonts w:ascii="宋体" w:hAnsi="宋体" w:eastAsia="宋体" w:cs="宋体"/>
          <w:color w:val="auto"/>
          <w:spacing w:val="2"/>
          <w:sz w:val="21"/>
          <w:szCs w:val="21"/>
          <w:highlight w:val="none"/>
        </w:rPr>
        <w:t>标准和方法不</w:t>
      </w:r>
    </w:p>
    <w:p w14:paraId="7E7A5CCB">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得作为评标的依据。</w:t>
      </w:r>
    </w:p>
    <w:p w14:paraId="1AD6B24D">
      <w:pPr>
        <w:spacing w:before="173" w:line="408" w:lineRule="exact"/>
        <w:ind w:left="434"/>
        <w:rPr>
          <w:rFonts w:ascii="宋体" w:hAnsi="宋体" w:eastAsia="宋体" w:cs="宋体"/>
          <w:color w:val="auto"/>
          <w:sz w:val="21"/>
          <w:szCs w:val="21"/>
          <w:highlight w:val="none"/>
        </w:rPr>
      </w:pPr>
      <w:r>
        <w:rPr>
          <w:rFonts w:ascii="宋体" w:hAnsi="宋体" w:eastAsia="宋体" w:cs="宋体"/>
          <w:color w:val="auto"/>
          <w:spacing w:val="-1"/>
          <w:position w:val="15"/>
          <w:sz w:val="21"/>
          <w:szCs w:val="21"/>
          <w:highlight w:val="none"/>
        </w:rPr>
        <w:t>A2.3.2</w:t>
      </w:r>
      <w:r>
        <w:rPr>
          <w:rFonts w:ascii="宋体" w:hAnsi="宋体" w:eastAsia="宋体" w:cs="宋体"/>
          <w:color w:val="auto"/>
          <w:spacing w:val="-43"/>
          <w:position w:val="15"/>
          <w:sz w:val="21"/>
          <w:szCs w:val="21"/>
          <w:highlight w:val="none"/>
        </w:rPr>
        <w:t xml:space="preserve"> </w:t>
      </w:r>
      <w:r>
        <w:rPr>
          <w:rFonts w:ascii="宋体" w:hAnsi="宋体" w:eastAsia="宋体" w:cs="宋体"/>
          <w:color w:val="auto"/>
          <w:spacing w:val="-1"/>
          <w:position w:val="15"/>
          <w:sz w:val="21"/>
          <w:szCs w:val="21"/>
          <w:highlight w:val="none"/>
        </w:rPr>
        <w:t>招标人或招标代理机构应向评标委员会提供评标所需的信息和</w:t>
      </w:r>
      <w:r>
        <w:rPr>
          <w:rFonts w:ascii="宋体" w:hAnsi="宋体" w:eastAsia="宋体" w:cs="宋体"/>
          <w:color w:val="auto"/>
          <w:spacing w:val="-2"/>
          <w:position w:val="15"/>
          <w:sz w:val="21"/>
          <w:szCs w:val="21"/>
          <w:highlight w:val="none"/>
        </w:rPr>
        <w:t>数据，包括：</w:t>
      </w:r>
    </w:p>
    <w:p w14:paraId="746A7DD0">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（1）招标文件及其澄清、修改文件；</w:t>
      </w:r>
    </w:p>
    <w:p w14:paraId="5E4E675C">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（2）投标人的投标文件；</w:t>
      </w:r>
    </w:p>
    <w:p w14:paraId="10E82E2E">
      <w:pPr>
        <w:spacing w:before="172"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（3）开标记录表以及二次刷卡、保证金缴纳等信息；</w:t>
      </w:r>
    </w:p>
    <w:p w14:paraId="4D53DC0A">
      <w:pPr>
        <w:spacing w:before="157" w:line="399" w:lineRule="exact"/>
        <w:ind w:left="447"/>
        <w:rPr>
          <w:rFonts w:ascii="宋体" w:hAnsi="宋体" w:eastAsia="宋体" w:cs="宋体"/>
          <w:color w:val="auto"/>
          <w:sz w:val="21"/>
          <w:szCs w:val="21"/>
          <w:highlight w:val="none"/>
        </w:rPr>
      </w:pPr>
      <w:r>
        <w:rPr>
          <w:rFonts w:ascii="宋体" w:hAnsi="宋体" w:eastAsia="宋体" w:cs="宋体"/>
          <w:color w:val="auto"/>
          <w:spacing w:val="-5"/>
          <w:position w:val="14"/>
          <w:sz w:val="21"/>
          <w:szCs w:val="21"/>
          <w:highlight w:val="none"/>
        </w:rPr>
        <w:t>（4）最高投标限价；</w:t>
      </w:r>
    </w:p>
    <w:p w14:paraId="557E2F4B">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（5）评标表格；</w:t>
      </w:r>
    </w:p>
    <w:p w14:paraId="6380F669">
      <w:pPr>
        <w:spacing w:before="152" w:line="399" w:lineRule="exact"/>
        <w:ind w:right="5"/>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（6）有关的法律、法规、规章、国家标准以及招标人或评标委员会认为必要的其他信</w:t>
      </w:r>
    </w:p>
    <w:p w14:paraId="14E0A5E3">
      <w:pPr>
        <w:spacing w:before="1" w:line="220" w:lineRule="auto"/>
        <w:ind w:left="27"/>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息和数据。</w:t>
      </w:r>
    </w:p>
    <w:p w14:paraId="2B2B2C09">
      <w:pPr>
        <w:spacing w:before="148"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A2.4 </w:t>
      </w:r>
      <w:r>
        <w:rPr>
          <w:rFonts w:ascii="黑体" w:hAnsi="黑体" w:eastAsia="黑体" w:cs="黑体"/>
          <w:color w:val="auto"/>
          <w:spacing w:val="-1"/>
          <w:sz w:val="21"/>
          <w:szCs w:val="21"/>
          <w:highlight w:val="none"/>
        </w:rPr>
        <w:t>暗标编号</w:t>
      </w:r>
    </w:p>
    <w:p w14:paraId="661C8EF8">
      <w:pPr>
        <w:spacing w:before="155" w:line="351" w:lineRule="auto"/>
        <w:ind w:left="18" w:right="2" w:firstLine="42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第二章“投标人须知”前附表第 3.7.4 款要求对技术标采用“模块化暗标”评审方式</w:t>
      </w:r>
      <w:r>
        <w:rPr>
          <w:rFonts w:ascii="宋体" w:hAnsi="宋体" w:eastAsia="宋体" w:cs="宋体"/>
          <w:color w:val="auto"/>
          <w:spacing w:val="12"/>
          <w:sz w:val="21"/>
          <w:szCs w:val="21"/>
          <w:highlight w:val="none"/>
        </w:rPr>
        <w:t xml:space="preserve"> </w:t>
      </w:r>
      <w:r>
        <w:rPr>
          <w:rFonts w:ascii="宋体" w:hAnsi="宋体" w:eastAsia="宋体" w:cs="宋体"/>
          <w:color w:val="auto"/>
          <w:sz w:val="21"/>
          <w:szCs w:val="21"/>
          <w:highlight w:val="none"/>
        </w:rPr>
        <w:t>且编制有模块化暗标要求的， 则在评标工作开始前，就暗标模块编号与投标人的对应关系</w:t>
      </w:r>
      <w:r>
        <w:rPr>
          <w:rFonts w:ascii="宋体" w:hAnsi="宋体" w:eastAsia="宋体" w:cs="宋体"/>
          <w:color w:val="auto"/>
          <w:spacing w:val="8"/>
          <w:sz w:val="21"/>
          <w:szCs w:val="21"/>
          <w:highlight w:val="none"/>
        </w:rPr>
        <w:t xml:space="preserve"> </w:t>
      </w:r>
      <w:r>
        <w:rPr>
          <w:rFonts w:ascii="宋体" w:hAnsi="宋体" w:eastAsia="宋体" w:cs="宋体"/>
          <w:color w:val="auto"/>
          <w:sz w:val="21"/>
          <w:szCs w:val="21"/>
          <w:highlight w:val="none"/>
        </w:rPr>
        <w:t>使用</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z w:val="21"/>
          <w:szCs w:val="21"/>
          <w:highlight w:val="none"/>
        </w:rPr>
        <w:t xml:space="preserve">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A-3</w:t>
      </w:r>
      <w:r>
        <w:rPr>
          <w:rFonts w:ascii="宋体" w:hAnsi="宋体" w:eastAsia="宋体" w:cs="宋体"/>
          <w:color w:val="auto"/>
          <w:sz w:val="21"/>
          <w:szCs w:val="21"/>
          <w:highlight w:val="none"/>
        </w:rPr>
        <w:t xml:space="preserve"> 做好暗标编号记录，暗标模块编号按随机方式编排。在评标委员会技术标成</w:t>
      </w:r>
      <w:r>
        <w:rPr>
          <w:rFonts w:ascii="宋体" w:hAnsi="宋体" w:eastAsia="宋体" w:cs="宋体"/>
          <w:color w:val="auto"/>
          <w:spacing w:val="14"/>
          <w:sz w:val="21"/>
          <w:szCs w:val="21"/>
          <w:highlight w:val="none"/>
        </w:rPr>
        <w:t xml:space="preserve"> </w:t>
      </w:r>
      <w:r>
        <w:rPr>
          <w:rFonts w:ascii="宋体" w:hAnsi="宋体" w:eastAsia="宋体" w:cs="宋体"/>
          <w:color w:val="auto"/>
          <w:spacing w:val="3"/>
          <w:sz w:val="21"/>
          <w:szCs w:val="21"/>
          <w:highlight w:val="none"/>
        </w:rPr>
        <w:t>员均完成暗标部分评审并对评审结果签字确认和汇总后，招标人方可向评标</w:t>
      </w:r>
      <w:r>
        <w:rPr>
          <w:rFonts w:ascii="宋体" w:hAnsi="宋体" w:eastAsia="宋体" w:cs="宋体"/>
          <w:color w:val="auto"/>
          <w:spacing w:val="2"/>
          <w:sz w:val="21"/>
          <w:szCs w:val="21"/>
          <w:highlight w:val="none"/>
        </w:rPr>
        <w:t>委员会公布暗</w:t>
      </w:r>
    </w:p>
    <w:p w14:paraId="2BB33C0F">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标编号。</w:t>
      </w:r>
    </w:p>
    <w:p w14:paraId="323B9FAC">
      <w:pPr>
        <w:spacing w:before="148"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A2.5 </w:t>
      </w:r>
      <w:r>
        <w:rPr>
          <w:rFonts w:ascii="黑体" w:hAnsi="黑体" w:eastAsia="黑体" w:cs="黑体"/>
          <w:color w:val="auto"/>
          <w:spacing w:val="-1"/>
          <w:sz w:val="21"/>
          <w:szCs w:val="21"/>
          <w:highlight w:val="none"/>
        </w:rPr>
        <w:t>对投标文件进行基础性数据分析和整理工作</w:t>
      </w:r>
    </w:p>
    <w:p w14:paraId="2B7B1630">
      <w:pPr>
        <w:spacing w:before="155" w:line="351" w:lineRule="auto"/>
        <w:ind w:left="18" w:right="1" w:firstLine="416"/>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A2.5.1 在不改变投标人投标文件实质性</w:t>
      </w:r>
      <w:r>
        <w:rPr>
          <w:rFonts w:ascii="宋体" w:hAnsi="宋体" w:eastAsia="宋体" w:cs="宋体"/>
          <w:color w:val="auto"/>
          <w:sz w:val="21"/>
          <w:szCs w:val="21"/>
          <w:highlight w:val="none"/>
        </w:rPr>
        <w:t xml:space="preserve">内容的前提下，评标委员会应当借助计算机辅 </w:t>
      </w:r>
      <w:r>
        <w:rPr>
          <w:rFonts w:ascii="宋体" w:hAnsi="宋体" w:eastAsia="宋体" w:cs="宋体"/>
          <w:color w:val="auto"/>
          <w:spacing w:val="3"/>
          <w:sz w:val="21"/>
          <w:szCs w:val="21"/>
          <w:highlight w:val="none"/>
        </w:rPr>
        <w:t>助评标系统对投标文件进行基础性数据分析和整理，评标委员会对分析成果审</w:t>
      </w:r>
      <w:r>
        <w:rPr>
          <w:rFonts w:ascii="宋体" w:hAnsi="宋体" w:eastAsia="宋体" w:cs="宋体"/>
          <w:color w:val="auto"/>
          <w:spacing w:val="2"/>
          <w:sz w:val="21"/>
          <w:szCs w:val="21"/>
          <w:highlight w:val="none"/>
        </w:rPr>
        <w:t>议后，决定</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需要投标人进行书面澄清、说明或补正的，通过电子招标投标系统（辽宁省工程建设</w:t>
      </w:r>
      <w:r>
        <w:rPr>
          <w:rFonts w:ascii="宋体" w:hAnsi="宋体" w:eastAsia="宋体" w:cs="宋体"/>
          <w:color w:val="auto"/>
          <w:spacing w:val="2"/>
          <w:sz w:val="21"/>
          <w:szCs w:val="21"/>
          <w:highlight w:val="none"/>
        </w:rPr>
        <w:t>项目</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数字化开标评标系统）向投标人发出投标文件澄清通知。《投标</w:t>
      </w:r>
      <w:r>
        <w:rPr>
          <w:rFonts w:ascii="宋体" w:hAnsi="宋体" w:eastAsia="宋体" w:cs="宋体"/>
          <w:color w:val="auto"/>
          <w:spacing w:val="-3"/>
          <w:sz w:val="21"/>
          <w:szCs w:val="21"/>
          <w:highlight w:val="none"/>
        </w:rPr>
        <w:t>文件问题澄清通知》采用投</w:t>
      </w:r>
    </w:p>
    <w:p w14:paraId="24240A66">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标人须知附表六所提供的格式。</w:t>
      </w:r>
    </w:p>
    <w:p w14:paraId="18CDFA0D">
      <w:pPr>
        <w:spacing w:before="148" w:line="352" w:lineRule="auto"/>
        <w:ind w:left="19" w:right="1" w:firstLine="415"/>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A2.5.2 投标人接到评标委员会发出的投标文件澄清通知后，</w:t>
      </w:r>
      <w:r>
        <w:rPr>
          <w:rFonts w:ascii="宋体" w:hAnsi="宋体" w:eastAsia="宋体" w:cs="宋体"/>
          <w:color w:val="auto"/>
          <w:spacing w:val="-3"/>
          <w:sz w:val="21"/>
          <w:szCs w:val="21"/>
          <w:highlight w:val="none"/>
        </w:rPr>
        <w:t xml:space="preserve"> </w:t>
      </w:r>
      <w:r>
        <w:rPr>
          <w:rFonts w:ascii="宋体" w:hAnsi="宋体" w:eastAsia="宋体" w:cs="宋体"/>
          <w:color w:val="auto"/>
          <w:spacing w:val="-2"/>
          <w:sz w:val="21"/>
          <w:szCs w:val="21"/>
          <w:highlight w:val="none"/>
        </w:rPr>
        <w:t>应按评标委员会的要求在</w:t>
      </w:r>
      <w:r>
        <w:rPr>
          <w:rFonts w:ascii="宋体" w:hAnsi="宋体" w:eastAsia="宋体" w:cs="宋体"/>
          <w:color w:val="auto"/>
          <w:sz w:val="21"/>
          <w:szCs w:val="21"/>
          <w:highlight w:val="none"/>
        </w:rPr>
        <w:t xml:space="preserve"> 规定的时间内， 通过电子招标投标系统（辽宁省工程建设项目数字化开标评标系统）提交</w:t>
      </w:r>
      <w:r>
        <w:rPr>
          <w:rFonts w:ascii="宋体" w:hAnsi="宋体" w:eastAsia="宋体" w:cs="宋体"/>
          <w:color w:val="auto"/>
          <w:spacing w:val="7"/>
          <w:sz w:val="21"/>
          <w:szCs w:val="21"/>
          <w:highlight w:val="none"/>
        </w:rPr>
        <w:t xml:space="preserve"> </w:t>
      </w:r>
      <w:r>
        <w:rPr>
          <w:rFonts w:ascii="宋体" w:hAnsi="宋体" w:eastAsia="宋体" w:cs="宋体"/>
          <w:color w:val="auto"/>
          <w:spacing w:val="-3"/>
          <w:sz w:val="21"/>
          <w:szCs w:val="21"/>
          <w:highlight w:val="none"/>
        </w:rPr>
        <w:t>投标文件的澄清和相关资料（如有）</w:t>
      </w:r>
      <w:r>
        <w:rPr>
          <w:rFonts w:ascii="宋体" w:hAnsi="宋体" w:eastAsia="宋体" w:cs="宋体"/>
          <w:color w:val="auto"/>
          <w:spacing w:val="-56"/>
          <w:sz w:val="21"/>
          <w:szCs w:val="21"/>
          <w:highlight w:val="none"/>
        </w:rPr>
        <w:t xml:space="preserve"> </w:t>
      </w:r>
      <w:r>
        <w:rPr>
          <w:rFonts w:ascii="宋体" w:hAnsi="宋体" w:eastAsia="宋体" w:cs="宋体"/>
          <w:color w:val="auto"/>
          <w:spacing w:val="-3"/>
          <w:sz w:val="21"/>
          <w:szCs w:val="21"/>
          <w:highlight w:val="none"/>
        </w:rPr>
        <w:t>。《投标文件</w:t>
      </w:r>
      <w:r>
        <w:rPr>
          <w:rFonts w:ascii="宋体" w:hAnsi="宋体" w:eastAsia="宋体" w:cs="宋体"/>
          <w:color w:val="auto"/>
          <w:spacing w:val="-4"/>
          <w:sz w:val="21"/>
          <w:szCs w:val="21"/>
          <w:highlight w:val="none"/>
        </w:rPr>
        <w:t>问题的澄清》采用投标人须知附表七所提</w:t>
      </w:r>
    </w:p>
    <w:p w14:paraId="2BB4C235">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供的格式。</w:t>
      </w:r>
    </w:p>
    <w:p w14:paraId="4BB79448">
      <w:pPr>
        <w:spacing w:line="219" w:lineRule="auto"/>
        <w:rPr>
          <w:rFonts w:ascii="宋体" w:hAnsi="宋体" w:eastAsia="宋体" w:cs="宋体"/>
          <w:color w:val="auto"/>
          <w:sz w:val="21"/>
          <w:szCs w:val="21"/>
          <w:highlight w:val="none"/>
        </w:rPr>
        <w:sectPr>
          <w:footerReference r:id="rId71" w:type="default"/>
          <w:pgSz w:w="11905" w:h="16839"/>
          <w:pgMar w:top="1431" w:right="1785" w:bottom="996" w:left="1785" w:header="0" w:footer="791" w:gutter="0"/>
          <w:pgNumType w:fmt="decimal"/>
          <w:cols w:space="720" w:num="1"/>
        </w:sectPr>
      </w:pPr>
    </w:p>
    <w:p w14:paraId="5B54E5B3">
      <w:pPr>
        <w:spacing w:before="124" w:line="423" w:lineRule="exact"/>
        <w:ind w:left="11"/>
        <w:rPr>
          <w:rFonts w:ascii="黑体" w:hAnsi="黑体" w:eastAsia="黑体" w:cs="黑体"/>
          <w:color w:val="auto"/>
          <w:sz w:val="24"/>
          <w:szCs w:val="24"/>
          <w:highlight w:val="none"/>
        </w:rPr>
      </w:pPr>
      <w:bookmarkStart w:id="181" w:name="bookmark209"/>
      <w:bookmarkEnd w:id="181"/>
      <w:r>
        <w:rPr>
          <w:rFonts w:ascii="Times New Roman" w:hAnsi="Times New Roman" w:eastAsia="Times New Roman" w:cs="Times New Roman"/>
          <w:color w:val="auto"/>
          <w:position w:val="13"/>
          <w:sz w:val="24"/>
          <w:szCs w:val="24"/>
          <w:highlight w:val="none"/>
        </w:rPr>
        <w:t>A3.</w:t>
      </w:r>
      <w:r>
        <w:rPr>
          <w:rFonts w:ascii="黑体" w:hAnsi="黑体" w:eastAsia="黑体" w:cs="黑体"/>
          <w:color w:val="auto"/>
          <w:position w:val="13"/>
          <w:sz w:val="24"/>
          <w:szCs w:val="24"/>
          <w:highlight w:val="none"/>
        </w:rPr>
        <w:t>初步评审</w:t>
      </w:r>
    </w:p>
    <w:p w14:paraId="521F5C56">
      <w:pPr>
        <w:spacing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A3.1 </w:t>
      </w:r>
      <w:r>
        <w:rPr>
          <w:rFonts w:ascii="黑体" w:hAnsi="黑体" w:eastAsia="黑体" w:cs="黑体"/>
          <w:color w:val="auto"/>
          <w:spacing w:val="-1"/>
          <w:sz w:val="21"/>
          <w:szCs w:val="21"/>
          <w:highlight w:val="none"/>
        </w:rPr>
        <w:t>形式评审</w:t>
      </w:r>
    </w:p>
    <w:p w14:paraId="6C6FCD9B">
      <w:pPr>
        <w:spacing w:before="153" w:line="399" w:lineRule="exact"/>
        <w:ind w:left="440"/>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评标委员会根据评标办法前附表中规定的评审因素和评审标准， 对投标人的投标文件</w:t>
      </w:r>
    </w:p>
    <w:p w14:paraId="04AED9E0">
      <w:pPr>
        <w:spacing w:line="219" w:lineRule="auto"/>
        <w:ind w:left="1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进行形式评审，并使用</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A-4</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rPr>
        <w:t>记录评审结果。</w:t>
      </w:r>
    </w:p>
    <w:p w14:paraId="0EC910FB">
      <w:pPr>
        <w:spacing w:before="148"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A3.2 </w:t>
      </w:r>
      <w:r>
        <w:rPr>
          <w:rFonts w:ascii="黑体" w:hAnsi="黑体" w:eastAsia="黑体" w:cs="黑体"/>
          <w:color w:val="auto"/>
          <w:spacing w:val="-1"/>
          <w:sz w:val="21"/>
          <w:szCs w:val="21"/>
          <w:highlight w:val="none"/>
        </w:rPr>
        <w:t>资格评审</w:t>
      </w:r>
    </w:p>
    <w:p w14:paraId="2BFFB43B">
      <w:pPr>
        <w:spacing w:before="154" w:line="398" w:lineRule="exact"/>
        <w:ind w:left="440"/>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评标委员会根据评标办法前附表中规定的评审因素和评审标准， 对投标人的投标文件</w:t>
      </w:r>
    </w:p>
    <w:p w14:paraId="54F914A0">
      <w:pPr>
        <w:spacing w:before="1" w:line="219" w:lineRule="auto"/>
        <w:ind w:left="1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进行资格评审，并使用</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A-5</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rPr>
        <w:t>记录评审结果。</w:t>
      </w:r>
    </w:p>
    <w:p w14:paraId="20D8B8FA">
      <w:pPr>
        <w:spacing w:before="148"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A3.3 </w:t>
      </w:r>
      <w:r>
        <w:rPr>
          <w:rFonts w:ascii="黑体" w:hAnsi="黑体" w:eastAsia="黑体" w:cs="黑体"/>
          <w:color w:val="auto"/>
          <w:spacing w:val="-1"/>
          <w:sz w:val="21"/>
          <w:szCs w:val="21"/>
          <w:highlight w:val="none"/>
        </w:rPr>
        <w:t>响应性评审</w:t>
      </w:r>
    </w:p>
    <w:p w14:paraId="54A598B8">
      <w:pPr>
        <w:spacing w:before="154" w:line="398" w:lineRule="exact"/>
        <w:ind w:left="434"/>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A3.3.1 评标委员会根据评标办法前附表中规定的评审因素和评审标准，对投标人的投</w:t>
      </w:r>
    </w:p>
    <w:p w14:paraId="317177A9">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标文件进行响应性评审，并使用</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51"/>
          <w:sz w:val="21"/>
          <w:szCs w:val="21"/>
          <w:highlight w:val="none"/>
        </w:rPr>
        <w:t xml:space="preserve">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A-6</w:t>
      </w:r>
      <w:r>
        <w:rPr>
          <w:rFonts w:ascii="宋体" w:hAnsi="宋体" w:eastAsia="宋体" w:cs="宋体"/>
          <w:color w:val="auto"/>
          <w:spacing w:val="-39"/>
          <w:sz w:val="21"/>
          <w:szCs w:val="21"/>
          <w:highlight w:val="none"/>
        </w:rPr>
        <w:t xml:space="preserve"> </w:t>
      </w:r>
      <w:r>
        <w:rPr>
          <w:rFonts w:ascii="宋体" w:hAnsi="宋体" w:eastAsia="宋体" w:cs="宋体"/>
          <w:color w:val="auto"/>
          <w:spacing w:val="-1"/>
          <w:sz w:val="21"/>
          <w:szCs w:val="21"/>
          <w:highlight w:val="none"/>
        </w:rPr>
        <w:t>记</w:t>
      </w:r>
      <w:r>
        <w:rPr>
          <w:rFonts w:ascii="宋体" w:hAnsi="宋体" w:eastAsia="宋体" w:cs="宋体"/>
          <w:color w:val="auto"/>
          <w:spacing w:val="-2"/>
          <w:sz w:val="21"/>
          <w:szCs w:val="21"/>
          <w:highlight w:val="none"/>
        </w:rPr>
        <w:t>录评审结果。</w:t>
      </w:r>
    </w:p>
    <w:p w14:paraId="7FC4D4FF">
      <w:pPr>
        <w:spacing w:before="148" w:line="352" w:lineRule="auto"/>
        <w:ind w:left="22" w:right="198" w:firstLine="41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A3.3.2 投标人投标价格不得超出（</w:t>
      </w:r>
      <w:r>
        <w:rPr>
          <w:rFonts w:ascii="宋体" w:hAnsi="宋体" w:eastAsia="宋体" w:cs="宋体"/>
          <w:color w:val="auto"/>
          <w:sz w:val="21"/>
          <w:szCs w:val="21"/>
          <w:highlight w:val="none"/>
        </w:rPr>
        <w:t xml:space="preserve">不含等于）按照第二章“投标人须知”前附表载明 </w:t>
      </w:r>
      <w:r>
        <w:rPr>
          <w:rFonts w:ascii="宋体" w:hAnsi="宋体" w:eastAsia="宋体" w:cs="宋体"/>
          <w:color w:val="auto"/>
          <w:spacing w:val="3"/>
          <w:sz w:val="21"/>
          <w:szCs w:val="21"/>
          <w:highlight w:val="none"/>
        </w:rPr>
        <w:t>的最高投标限价（投标人投标价格是指投标函中的大写报价或经投标人</w:t>
      </w:r>
      <w:r>
        <w:rPr>
          <w:rFonts w:ascii="宋体" w:hAnsi="宋体" w:eastAsia="宋体" w:cs="宋体"/>
          <w:color w:val="auto"/>
          <w:spacing w:val="2"/>
          <w:sz w:val="21"/>
          <w:szCs w:val="21"/>
          <w:highlight w:val="none"/>
        </w:rPr>
        <w:t>确认的算术错误修</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正后的价格不超过本项目最高投标限价</w:t>
      </w:r>
      <w:r>
        <w:rPr>
          <w:rFonts w:ascii="宋体" w:hAnsi="宋体" w:eastAsia="宋体" w:cs="宋体"/>
          <w:color w:val="auto"/>
          <w:spacing w:val="-14"/>
          <w:sz w:val="21"/>
          <w:szCs w:val="21"/>
          <w:highlight w:val="none"/>
        </w:rPr>
        <w:t>），</w:t>
      </w:r>
      <w:r>
        <w:rPr>
          <w:rFonts w:ascii="宋体" w:hAnsi="宋体" w:eastAsia="宋体" w:cs="宋体"/>
          <w:color w:val="auto"/>
          <w:spacing w:val="-6"/>
          <w:sz w:val="21"/>
          <w:szCs w:val="21"/>
          <w:highlight w:val="none"/>
        </w:rPr>
        <w:t>凡投标人的投标价格超出最高投标限价的，</w:t>
      </w:r>
      <w:r>
        <w:rPr>
          <w:rFonts w:ascii="宋体" w:hAnsi="宋体" w:eastAsia="宋体" w:cs="宋体"/>
          <w:color w:val="auto"/>
          <w:spacing w:val="55"/>
          <w:sz w:val="21"/>
          <w:szCs w:val="21"/>
          <w:highlight w:val="none"/>
        </w:rPr>
        <w:t xml:space="preserve"> </w:t>
      </w:r>
      <w:r>
        <w:rPr>
          <w:rFonts w:ascii="宋体" w:hAnsi="宋体" w:eastAsia="宋体" w:cs="宋体"/>
          <w:color w:val="auto"/>
          <w:spacing w:val="-6"/>
          <w:sz w:val="21"/>
          <w:szCs w:val="21"/>
          <w:highlight w:val="none"/>
        </w:rPr>
        <w:t>该投</w:t>
      </w:r>
    </w:p>
    <w:p w14:paraId="0B074410">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标人的投标文件不能通过响应性评审。</w:t>
      </w:r>
    </w:p>
    <w:p w14:paraId="4C0AF374">
      <w:pPr>
        <w:spacing w:before="152"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A3.4 </w:t>
      </w:r>
      <w:r>
        <w:rPr>
          <w:rFonts w:ascii="黑体" w:hAnsi="黑体" w:eastAsia="黑体" w:cs="黑体"/>
          <w:color w:val="auto"/>
          <w:spacing w:val="-1"/>
          <w:sz w:val="21"/>
          <w:szCs w:val="21"/>
          <w:highlight w:val="none"/>
        </w:rPr>
        <w:t>技术标评审</w:t>
      </w:r>
    </w:p>
    <w:p w14:paraId="02C59ACD">
      <w:pPr>
        <w:spacing w:before="148" w:line="353" w:lineRule="auto"/>
        <w:ind w:left="35" w:firstLine="404"/>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评标委员会根据评标办法前附表中规定的评审因素和评审标准， 对投标人的投标文件</w:t>
      </w:r>
      <w:r>
        <w:rPr>
          <w:rFonts w:ascii="宋体" w:hAnsi="宋体" w:eastAsia="宋体" w:cs="宋体"/>
          <w:color w:val="auto"/>
          <w:spacing w:val="3"/>
          <w:sz w:val="21"/>
          <w:szCs w:val="21"/>
          <w:highlight w:val="none"/>
        </w:rPr>
        <w:t xml:space="preserve">   </w:t>
      </w:r>
      <w:r>
        <w:rPr>
          <w:rFonts w:ascii="宋体" w:hAnsi="宋体" w:eastAsia="宋体" w:cs="宋体"/>
          <w:color w:val="auto"/>
          <w:spacing w:val="-3"/>
          <w:sz w:val="21"/>
          <w:szCs w:val="21"/>
          <w:highlight w:val="none"/>
        </w:rPr>
        <w:t>的技术标进行合格性评审，并使用</w:t>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46"/>
          <w:sz w:val="21"/>
          <w:szCs w:val="21"/>
          <w:highlight w:val="none"/>
        </w:rPr>
        <w:t xml:space="preserve"> </w:t>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A-7</w:t>
      </w:r>
      <w:r>
        <w:rPr>
          <w:rFonts w:ascii="宋体" w:hAnsi="宋体" w:eastAsia="宋体" w:cs="宋体"/>
          <w:color w:val="auto"/>
          <w:spacing w:val="-40"/>
          <w:sz w:val="21"/>
          <w:szCs w:val="21"/>
          <w:highlight w:val="none"/>
        </w:rPr>
        <w:t xml:space="preserve"> </w:t>
      </w:r>
      <w:r>
        <w:rPr>
          <w:rFonts w:ascii="宋体" w:hAnsi="宋体" w:eastAsia="宋体" w:cs="宋体"/>
          <w:color w:val="auto"/>
          <w:spacing w:val="-3"/>
          <w:sz w:val="21"/>
          <w:szCs w:val="21"/>
          <w:highlight w:val="none"/>
        </w:rPr>
        <w:t>记录评审结</w:t>
      </w:r>
      <w:r>
        <w:rPr>
          <w:rFonts w:ascii="黑体" w:hAnsi="黑体" w:eastAsia="黑体" w:cs="黑体"/>
          <w:color w:val="auto"/>
          <w:spacing w:val="-3"/>
          <w:sz w:val="21"/>
          <w:szCs w:val="21"/>
          <w:highlight w:val="none"/>
        </w:rPr>
        <w:t>果</w:t>
      </w:r>
      <w:r>
        <w:rPr>
          <w:rFonts w:ascii="宋体" w:hAnsi="宋体" w:eastAsia="宋体" w:cs="宋体"/>
          <w:color w:val="auto"/>
          <w:spacing w:val="-3"/>
          <w:sz w:val="21"/>
          <w:szCs w:val="21"/>
          <w:highlight w:val="none"/>
        </w:rPr>
        <w:t>。（适用</w:t>
      </w:r>
      <w:r>
        <w:rPr>
          <w:rFonts w:ascii="宋体" w:hAnsi="宋体" w:eastAsia="宋体" w:cs="宋体"/>
          <w:color w:val="auto"/>
          <w:spacing w:val="-4"/>
          <w:sz w:val="21"/>
          <w:szCs w:val="21"/>
          <w:highlight w:val="none"/>
        </w:rPr>
        <w:t>于经评审的最低投标价法）</w:t>
      </w:r>
    </w:p>
    <w:p w14:paraId="450D30A9">
      <w:pPr>
        <w:spacing w:before="1"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A3.5 </w:t>
      </w:r>
      <w:r>
        <w:rPr>
          <w:rFonts w:ascii="黑体" w:hAnsi="黑体" w:eastAsia="黑体" w:cs="黑体"/>
          <w:color w:val="auto"/>
          <w:spacing w:val="-1"/>
          <w:sz w:val="21"/>
          <w:szCs w:val="21"/>
          <w:highlight w:val="none"/>
        </w:rPr>
        <w:t>算术错误修正</w:t>
      </w:r>
    </w:p>
    <w:p w14:paraId="650F3591">
      <w:pPr>
        <w:spacing w:before="147" w:line="353" w:lineRule="auto"/>
        <w:ind w:left="35" w:right="202" w:firstLine="404"/>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评标委员会依据本章中规定的相关原则对投标报价中存在的算术错误进行修正， 修正</w:t>
      </w:r>
      <w:r>
        <w:rPr>
          <w:rFonts w:ascii="宋体" w:hAnsi="宋体" w:eastAsia="宋体" w:cs="宋体"/>
          <w:color w:val="auto"/>
          <w:spacing w:val="9"/>
          <w:sz w:val="21"/>
          <w:szCs w:val="21"/>
          <w:highlight w:val="none"/>
        </w:rPr>
        <w:t xml:space="preserve"> </w:t>
      </w:r>
      <w:r>
        <w:rPr>
          <w:rFonts w:ascii="宋体" w:hAnsi="宋体" w:eastAsia="宋体" w:cs="宋体"/>
          <w:color w:val="auto"/>
          <w:spacing w:val="2"/>
          <w:sz w:val="21"/>
          <w:szCs w:val="21"/>
          <w:highlight w:val="none"/>
        </w:rPr>
        <w:t>的价格经投标人书面确认后具有约束力。投标人不接受修正价格的，或者修正后的投标价</w:t>
      </w:r>
    </w:p>
    <w:p w14:paraId="58A278A3">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格超过最高投标限价的（如有</w:t>
      </w:r>
      <w:r>
        <w:rPr>
          <w:rFonts w:ascii="宋体" w:hAnsi="宋体" w:eastAsia="宋体" w:cs="宋体"/>
          <w:color w:val="auto"/>
          <w:spacing w:val="-12"/>
          <w:sz w:val="21"/>
          <w:szCs w:val="21"/>
          <w:highlight w:val="none"/>
        </w:rPr>
        <w:t>），</w:t>
      </w:r>
      <w:r>
        <w:rPr>
          <w:rFonts w:ascii="宋体" w:hAnsi="宋体" w:eastAsia="宋体" w:cs="宋体"/>
          <w:color w:val="auto"/>
          <w:spacing w:val="-4"/>
          <w:sz w:val="21"/>
          <w:szCs w:val="21"/>
          <w:highlight w:val="none"/>
        </w:rPr>
        <w:t>其投标应当被否决。</w:t>
      </w:r>
    </w:p>
    <w:p w14:paraId="1FE3D79B">
      <w:pPr>
        <w:spacing w:before="149"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z w:val="21"/>
          <w:szCs w:val="21"/>
          <w:highlight w:val="none"/>
        </w:rPr>
        <w:t xml:space="preserve">A3.6 </w:t>
      </w:r>
      <w:r>
        <w:rPr>
          <w:rFonts w:ascii="黑体" w:hAnsi="黑体" w:eastAsia="黑体" w:cs="黑体"/>
          <w:color w:val="auto"/>
          <w:sz w:val="21"/>
          <w:szCs w:val="21"/>
          <w:highlight w:val="none"/>
        </w:rPr>
        <w:t>判断投标报价是否低于成本</w:t>
      </w:r>
    </w:p>
    <w:p w14:paraId="2AFE291E">
      <w:pPr>
        <w:spacing w:before="149" w:line="352" w:lineRule="auto"/>
        <w:ind w:left="21" w:right="197" w:firstLine="419"/>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根据本章第 3.1.4 项的规定， 评标委员会根据评审程序、标准和方</w:t>
      </w:r>
      <w:r>
        <w:rPr>
          <w:rFonts w:ascii="宋体" w:hAnsi="宋体" w:eastAsia="宋体" w:cs="宋体"/>
          <w:color w:val="auto"/>
          <w:spacing w:val="-3"/>
          <w:sz w:val="21"/>
          <w:szCs w:val="21"/>
          <w:highlight w:val="none"/>
        </w:rPr>
        <w:t>法，判断投标报价</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是否低于其成本。评标委员会认定投标人以低于成本竞标的，其投标</w:t>
      </w:r>
      <w:r>
        <w:rPr>
          <w:rFonts w:ascii="宋体" w:hAnsi="宋体" w:eastAsia="宋体" w:cs="宋体"/>
          <w:color w:val="auto"/>
          <w:spacing w:val="2"/>
          <w:sz w:val="21"/>
          <w:szCs w:val="21"/>
          <w:highlight w:val="none"/>
        </w:rPr>
        <w:t>应当被否决。并使用</w:t>
      </w:r>
    </w:p>
    <w:p w14:paraId="4C8D3F14">
      <w:pPr>
        <w:spacing w:before="1" w:line="219" w:lineRule="auto"/>
        <w:ind w:left="3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36"/>
          <w:sz w:val="21"/>
          <w:szCs w:val="21"/>
          <w:highlight w:val="none"/>
        </w:rPr>
        <w:t xml:space="preserve"> </w:t>
      </w:r>
      <w:r>
        <w:rPr>
          <w:rFonts w:ascii="宋体" w:hAnsi="宋体" w:eastAsia="宋体" w:cs="宋体"/>
          <w:color w:val="auto"/>
          <w:spacing w:val="-4"/>
          <w:sz w:val="21"/>
          <w:szCs w:val="21"/>
          <w:highlight w:val="none"/>
          <w14:textOutline w14:w="3831" w14:cap="flat" w14:cmpd="sng">
            <w14:solidFill>
              <w14:srgbClr w14:val="000000"/>
            </w14:solidFill>
            <w14:prstDash w14:val="solid"/>
            <w14:miter w14:val="0"/>
          </w14:textOutline>
        </w:rPr>
        <w:t>C-1</w:t>
      </w:r>
      <w:r>
        <w:rPr>
          <w:rFonts w:ascii="宋体" w:hAnsi="宋体" w:eastAsia="宋体" w:cs="宋体"/>
          <w:color w:val="auto"/>
          <w:spacing w:val="-40"/>
          <w:sz w:val="21"/>
          <w:szCs w:val="21"/>
          <w:highlight w:val="none"/>
        </w:rPr>
        <w:t xml:space="preserve"> </w:t>
      </w:r>
      <w:r>
        <w:rPr>
          <w:rFonts w:ascii="宋体" w:hAnsi="宋体" w:eastAsia="宋体" w:cs="宋体"/>
          <w:color w:val="auto"/>
          <w:spacing w:val="-4"/>
          <w:sz w:val="21"/>
          <w:szCs w:val="21"/>
          <w:highlight w:val="none"/>
        </w:rPr>
        <w:t>记录评审结果</w:t>
      </w:r>
    </w:p>
    <w:p w14:paraId="3B1E098E">
      <w:pPr>
        <w:spacing w:before="149" w:line="221"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z w:val="21"/>
          <w:szCs w:val="21"/>
          <w:highlight w:val="none"/>
        </w:rPr>
        <w:t xml:space="preserve">A3.7 </w:t>
      </w:r>
      <w:r>
        <w:rPr>
          <w:rFonts w:ascii="黑体" w:hAnsi="黑体" w:eastAsia="黑体" w:cs="黑体"/>
          <w:color w:val="auto"/>
          <w:sz w:val="21"/>
          <w:szCs w:val="21"/>
          <w:highlight w:val="none"/>
        </w:rPr>
        <w:t>判断投标是否为应当被否决</w:t>
      </w:r>
    </w:p>
    <w:p w14:paraId="63A060EF">
      <w:pPr>
        <w:spacing w:before="152" w:line="398" w:lineRule="exact"/>
        <w:ind w:left="434"/>
        <w:rPr>
          <w:rFonts w:ascii="宋体" w:hAnsi="宋体" w:eastAsia="宋体" w:cs="宋体"/>
          <w:color w:val="auto"/>
          <w:sz w:val="21"/>
          <w:szCs w:val="21"/>
          <w:highlight w:val="none"/>
        </w:rPr>
      </w:pPr>
      <w:r>
        <w:rPr>
          <w:rFonts w:ascii="宋体" w:hAnsi="宋体" w:eastAsia="宋体" w:cs="宋体"/>
          <w:color w:val="auto"/>
          <w:spacing w:val="6"/>
          <w:position w:val="14"/>
          <w:sz w:val="21"/>
          <w:szCs w:val="21"/>
          <w:highlight w:val="none"/>
        </w:rPr>
        <w:t>A3.7.1</w:t>
      </w:r>
      <w:r>
        <w:rPr>
          <w:rFonts w:ascii="宋体" w:hAnsi="宋体" w:eastAsia="宋体" w:cs="宋体"/>
          <w:color w:val="auto"/>
          <w:spacing w:val="83"/>
          <w:position w:val="14"/>
          <w:sz w:val="21"/>
          <w:szCs w:val="21"/>
          <w:highlight w:val="none"/>
        </w:rPr>
        <w:t xml:space="preserve"> </w:t>
      </w:r>
      <w:r>
        <w:rPr>
          <w:rFonts w:ascii="宋体" w:hAnsi="宋体" w:eastAsia="宋体" w:cs="宋体"/>
          <w:color w:val="auto"/>
          <w:spacing w:val="6"/>
          <w:position w:val="14"/>
          <w:sz w:val="21"/>
          <w:szCs w:val="21"/>
          <w:highlight w:val="none"/>
        </w:rPr>
        <w:t>判断投标人的投标是否应当被否决的全部条件（包括本章第 3.1.2 项、第</w:t>
      </w:r>
    </w:p>
    <w:p w14:paraId="40C4B96E">
      <w:pPr>
        <w:spacing w:before="1" w:line="219" w:lineRule="auto"/>
        <w:ind w:left="22"/>
        <w:rPr>
          <w:rFonts w:ascii="宋体" w:hAnsi="宋体" w:eastAsia="宋体" w:cs="宋体"/>
          <w:color w:val="auto"/>
          <w:sz w:val="21"/>
          <w:szCs w:val="21"/>
          <w:highlight w:val="none"/>
        </w:rPr>
      </w:pPr>
      <w:r>
        <w:rPr>
          <w:rFonts w:ascii="宋体" w:hAnsi="宋体" w:eastAsia="宋体" w:cs="宋体"/>
          <w:color w:val="auto"/>
          <w:sz w:val="21"/>
          <w:szCs w:val="21"/>
          <w:highlight w:val="none"/>
        </w:rPr>
        <w:t>3.1.3</w:t>
      </w:r>
      <w:r>
        <w:rPr>
          <w:rFonts w:ascii="宋体" w:hAnsi="宋体" w:eastAsia="宋体" w:cs="宋体"/>
          <w:color w:val="auto"/>
          <w:spacing w:val="-37"/>
          <w:sz w:val="21"/>
          <w:szCs w:val="21"/>
          <w:highlight w:val="none"/>
        </w:rPr>
        <w:t xml:space="preserve"> </w:t>
      </w:r>
      <w:r>
        <w:rPr>
          <w:rFonts w:ascii="宋体" w:hAnsi="宋体" w:eastAsia="宋体" w:cs="宋体"/>
          <w:color w:val="auto"/>
          <w:sz w:val="21"/>
          <w:szCs w:val="21"/>
          <w:highlight w:val="none"/>
        </w:rPr>
        <w:t>项中规定的条件</w:t>
      </w:r>
      <w:r>
        <w:rPr>
          <w:rFonts w:ascii="宋体" w:hAnsi="宋体" w:eastAsia="宋体" w:cs="宋体"/>
          <w:color w:val="auto"/>
          <w:spacing w:val="-53"/>
          <w:w w:val="97"/>
          <w:sz w:val="21"/>
          <w:szCs w:val="21"/>
          <w:highlight w:val="none"/>
        </w:rPr>
        <w:t>），</w:t>
      </w:r>
      <w:r>
        <w:rPr>
          <w:rFonts w:ascii="宋体" w:hAnsi="宋体" w:eastAsia="宋体" w:cs="宋体"/>
          <w:color w:val="auto"/>
          <w:sz w:val="21"/>
          <w:szCs w:val="21"/>
          <w:highlight w:val="none"/>
        </w:rPr>
        <w:t>在本章前附表中集中</w:t>
      </w:r>
      <w:r>
        <w:rPr>
          <w:rFonts w:ascii="宋体" w:hAnsi="宋体" w:eastAsia="宋体" w:cs="宋体"/>
          <w:color w:val="auto"/>
          <w:spacing w:val="-1"/>
          <w:sz w:val="21"/>
          <w:szCs w:val="21"/>
          <w:highlight w:val="none"/>
        </w:rPr>
        <w:t>列示。并使用</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51"/>
          <w:sz w:val="21"/>
          <w:szCs w:val="21"/>
          <w:highlight w:val="none"/>
        </w:rPr>
        <w:t xml:space="preserve">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A-9</w:t>
      </w:r>
      <w:r>
        <w:rPr>
          <w:rFonts w:ascii="宋体" w:hAnsi="宋体" w:eastAsia="宋体" w:cs="宋体"/>
          <w:color w:val="auto"/>
          <w:spacing w:val="-39"/>
          <w:sz w:val="21"/>
          <w:szCs w:val="21"/>
          <w:highlight w:val="none"/>
        </w:rPr>
        <w:t xml:space="preserve"> </w:t>
      </w:r>
      <w:r>
        <w:rPr>
          <w:rFonts w:ascii="宋体" w:hAnsi="宋体" w:eastAsia="宋体" w:cs="宋体"/>
          <w:color w:val="auto"/>
          <w:spacing w:val="-1"/>
          <w:sz w:val="21"/>
          <w:szCs w:val="21"/>
          <w:highlight w:val="none"/>
        </w:rPr>
        <w:t>记录评审结果。</w:t>
      </w:r>
    </w:p>
    <w:p w14:paraId="68589917">
      <w:pPr>
        <w:spacing w:before="147" w:line="353" w:lineRule="auto"/>
        <w:ind w:left="34" w:right="199" w:firstLine="39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A3.7.2</w:t>
      </w:r>
      <w:r>
        <w:rPr>
          <w:rFonts w:ascii="宋体" w:hAnsi="宋体" w:eastAsia="宋体" w:cs="宋体"/>
          <w:color w:val="auto"/>
          <w:spacing w:val="-2"/>
          <w:sz w:val="21"/>
          <w:szCs w:val="21"/>
          <w:highlight w:val="none"/>
        </w:rPr>
        <w:t xml:space="preserve"> </w:t>
      </w:r>
      <w:r>
        <w:rPr>
          <w:rFonts w:ascii="宋体" w:hAnsi="宋体" w:eastAsia="宋体" w:cs="宋体"/>
          <w:color w:val="auto"/>
          <w:spacing w:val="-1"/>
          <w:sz w:val="21"/>
          <w:szCs w:val="21"/>
          <w:highlight w:val="none"/>
        </w:rPr>
        <w:t>本章</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附件</w:t>
      </w:r>
      <w:r>
        <w:rPr>
          <w:rFonts w:ascii="宋体" w:hAnsi="宋体" w:eastAsia="宋体" w:cs="宋体"/>
          <w:color w:val="auto"/>
          <w:spacing w:val="-25"/>
          <w:sz w:val="21"/>
          <w:szCs w:val="21"/>
          <w:highlight w:val="none"/>
        </w:rPr>
        <w:t xml:space="preserve">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B</w:t>
      </w:r>
      <w:r>
        <w:rPr>
          <w:rFonts w:ascii="宋体" w:hAnsi="宋体" w:eastAsia="宋体" w:cs="宋体"/>
          <w:color w:val="auto"/>
          <w:spacing w:val="-20"/>
          <w:sz w:val="21"/>
          <w:szCs w:val="21"/>
          <w:highlight w:val="none"/>
        </w:rPr>
        <w:t xml:space="preserve"> </w:t>
      </w:r>
      <w:r>
        <w:rPr>
          <w:rFonts w:ascii="宋体" w:hAnsi="宋体" w:eastAsia="宋体" w:cs="宋体"/>
          <w:color w:val="auto"/>
          <w:spacing w:val="-1"/>
          <w:sz w:val="21"/>
          <w:szCs w:val="21"/>
          <w:highlight w:val="none"/>
        </w:rPr>
        <w:t>集中列示的否决投标的条件不应与第二章“投标人须知”和本章前</w:t>
      </w:r>
      <w:r>
        <w:rPr>
          <w:rFonts w:ascii="宋体" w:hAnsi="宋体" w:eastAsia="宋体" w:cs="宋体"/>
          <w:color w:val="auto"/>
          <w:sz w:val="21"/>
          <w:szCs w:val="21"/>
          <w:highlight w:val="none"/>
        </w:rPr>
        <w:t xml:space="preserve"> 附表和正文部分包括的否决投标的条件抵触， 如果出现相互矛盾的情况，</w:t>
      </w:r>
      <w:r>
        <w:rPr>
          <w:rFonts w:ascii="宋体" w:hAnsi="宋体" w:eastAsia="宋体" w:cs="宋体"/>
          <w:color w:val="auto"/>
          <w:spacing w:val="-1"/>
          <w:sz w:val="21"/>
          <w:szCs w:val="21"/>
          <w:highlight w:val="none"/>
        </w:rPr>
        <w:t>以本章前附表和</w:t>
      </w:r>
    </w:p>
    <w:p w14:paraId="1016B705">
      <w:pPr>
        <w:spacing w:before="1" w:line="220" w:lineRule="auto"/>
        <w:ind w:left="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正文部分的规定为准。</w:t>
      </w:r>
    </w:p>
    <w:p w14:paraId="33F83D5E">
      <w:pPr>
        <w:spacing w:before="148" w:line="403" w:lineRule="exact"/>
        <w:ind w:left="434"/>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A3.7.3 评标委员会在评标（包括初步</w:t>
      </w:r>
      <w:r>
        <w:rPr>
          <w:rFonts w:ascii="宋体" w:hAnsi="宋体" w:eastAsia="宋体" w:cs="宋体"/>
          <w:color w:val="auto"/>
          <w:position w:val="14"/>
          <w:sz w:val="21"/>
          <w:szCs w:val="21"/>
          <w:highlight w:val="none"/>
        </w:rPr>
        <w:t>评审和详细评审）过程中，依据本章前附表和正</w:t>
      </w:r>
    </w:p>
    <w:p w14:paraId="2DA2C6B5">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文部分中规定的否决投标的条件判断投标人的投标是否为应当被否决。</w:t>
      </w:r>
    </w:p>
    <w:p w14:paraId="6D666EF9">
      <w:pPr>
        <w:spacing w:line="220" w:lineRule="auto"/>
        <w:rPr>
          <w:rFonts w:ascii="宋体" w:hAnsi="宋体" w:eastAsia="宋体" w:cs="宋体"/>
          <w:color w:val="auto"/>
          <w:sz w:val="21"/>
          <w:szCs w:val="21"/>
          <w:highlight w:val="none"/>
        </w:rPr>
        <w:sectPr>
          <w:footerReference r:id="rId72" w:type="default"/>
          <w:pgSz w:w="11905" w:h="16839"/>
          <w:pgMar w:top="1431" w:right="1589" w:bottom="996" w:left="1785" w:header="0" w:footer="791" w:gutter="0"/>
          <w:pgNumType w:fmt="decimal"/>
          <w:cols w:space="720" w:num="1"/>
        </w:sectPr>
      </w:pPr>
    </w:p>
    <w:p w14:paraId="50B8B7AA">
      <w:pPr>
        <w:spacing w:before="149" w:line="219" w:lineRule="auto"/>
        <w:ind w:left="11"/>
        <w:rPr>
          <w:rFonts w:ascii="黑体" w:hAnsi="黑体" w:eastAsia="黑体" w:cs="黑体"/>
          <w:color w:val="auto"/>
          <w:sz w:val="21"/>
          <w:szCs w:val="21"/>
          <w:highlight w:val="none"/>
        </w:rPr>
      </w:pPr>
      <w:bookmarkStart w:id="182" w:name="bookmark210"/>
      <w:bookmarkEnd w:id="182"/>
      <w:r>
        <w:rPr>
          <w:rFonts w:ascii="Times New Roman" w:hAnsi="Times New Roman" w:eastAsia="Times New Roman" w:cs="Times New Roman"/>
          <w:color w:val="auto"/>
          <w:sz w:val="21"/>
          <w:szCs w:val="21"/>
          <w:highlight w:val="none"/>
        </w:rPr>
        <w:t xml:space="preserve">A3.8 </w:t>
      </w:r>
      <w:r>
        <w:rPr>
          <w:rFonts w:ascii="黑体" w:hAnsi="黑体" w:eastAsia="黑体" w:cs="黑体"/>
          <w:color w:val="auto"/>
          <w:sz w:val="21"/>
          <w:szCs w:val="21"/>
          <w:highlight w:val="none"/>
        </w:rPr>
        <w:t>澄清、说明或补正</w:t>
      </w:r>
    </w:p>
    <w:p w14:paraId="4D698A41">
      <w:pPr>
        <w:spacing w:before="149" w:line="352" w:lineRule="auto"/>
        <w:ind w:left="17" w:firstLine="422"/>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在初步评审过程中，评标委员会应当就投标文件中含义不明确、对同类问题表述不一  致或者有明显文字和计算错误的内容要求投标人进行澄清、说明或者补正。投标人对</w:t>
      </w:r>
      <w:r>
        <w:rPr>
          <w:rFonts w:ascii="宋体" w:hAnsi="宋体" w:eastAsia="宋体" w:cs="宋体"/>
          <w:color w:val="auto"/>
          <w:spacing w:val="2"/>
          <w:sz w:val="21"/>
          <w:szCs w:val="21"/>
          <w:highlight w:val="none"/>
        </w:rPr>
        <w:t>此以</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书面形式予以澄清、说明或者补正。澄清、说明或补正根据本章第</w:t>
      </w:r>
      <w:r>
        <w:rPr>
          <w:rFonts w:ascii="宋体" w:hAnsi="宋体" w:eastAsia="宋体" w:cs="宋体"/>
          <w:color w:val="auto"/>
          <w:spacing w:val="-17"/>
          <w:sz w:val="21"/>
          <w:szCs w:val="21"/>
          <w:highlight w:val="none"/>
        </w:rPr>
        <w:t xml:space="preserve"> </w:t>
      </w:r>
      <w:r>
        <w:rPr>
          <w:rFonts w:ascii="宋体" w:hAnsi="宋体" w:eastAsia="宋体" w:cs="宋体"/>
          <w:color w:val="auto"/>
          <w:spacing w:val="-5"/>
          <w:sz w:val="21"/>
          <w:szCs w:val="21"/>
          <w:highlight w:val="none"/>
        </w:rPr>
        <w:t>3.3</w:t>
      </w:r>
      <w:r>
        <w:rPr>
          <w:rFonts w:ascii="宋体" w:hAnsi="宋体" w:eastAsia="宋体" w:cs="宋体"/>
          <w:color w:val="auto"/>
          <w:spacing w:val="-33"/>
          <w:sz w:val="21"/>
          <w:szCs w:val="21"/>
          <w:highlight w:val="none"/>
        </w:rPr>
        <w:t xml:space="preserve"> </w:t>
      </w:r>
      <w:r>
        <w:rPr>
          <w:rFonts w:ascii="宋体" w:hAnsi="宋体" w:eastAsia="宋体" w:cs="宋体"/>
          <w:color w:val="auto"/>
          <w:spacing w:val="-5"/>
          <w:sz w:val="21"/>
          <w:szCs w:val="21"/>
          <w:highlight w:val="none"/>
        </w:rPr>
        <w:t>款的规定执行。</w:t>
      </w:r>
      <w:r>
        <w:rPr>
          <w:rFonts w:ascii="宋体" w:hAnsi="宋体" w:eastAsia="宋体" w:cs="宋体"/>
          <w:color w:val="auto"/>
          <w:spacing w:val="-56"/>
          <w:sz w:val="21"/>
          <w:szCs w:val="21"/>
          <w:highlight w:val="none"/>
        </w:rPr>
        <w:t xml:space="preserve"> </w:t>
      </w:r>
      <w:r>
        <w:rPr>
          <w:rFonts w:ascii="宋体" w:hAnsi="宋体" w:eastAsia="宋体" w:cs="宋体"/>
          <w:color w:val="auto"/>
          <w:spacing w:val="-5"/>
          <w:sz w:val="21"/>
          <w:szCs w:val="21"/>
          <w:highlight w:val="none"/>
        </w:rPr>
        <w:t>《投</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标文件问题澄清通知》</w:t>
      </w:r>
      <w:r>
        <w:rPr>
          <w:rFonts w:ascii="宋体" w:hAnsi="宋体" w:eastAsia="宋体" w:cs="宋体"/>
          <w:color w:val="auto"/>
          <w:spacing w:val="-28"/>
          <w:sz w:val="21"/>
          <w:szCs w:val="21"/>
          <w:highlight w:val="none"/>
        </w:rPr>
        <w:t xml:space="preserve"> </w:t>
      </w:r>
      <w:r>
        <w:rPr>
          <w:rFonts w:ascii="宋体" w:hAnsi="宋体" w:eastAsia="宋体" w:cs="宋体"/>
          <w:color w:val="auto"/>
          <w:spacing w:val="1"/>
          <w:sz w:val="21"/>
          <w:szCs w:val="21"/>
          <w:highlight w:val="none"/>
        </w:rPr>
        <w:t>及《投标文件问题的澄清》采用投标人须知附表六与投标人须知附</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表七所提供的格式，并通过电子招标投标系统</w:t>
      </w:r>
      <w:r>
        <w:rPr>
          <w:rFonts w:ascii="宋体" w:hAnsi="宋体" w:eastAsia="宋体" w:cs="宋体"/>
          <w:color w:val="auto"/>
          <w:spacing w:val="2"/>
          <w:sz w:val="21"/>
          <w:szCs w:val="21"/>
          <w:highlight w:val="none"/>
        </w:rPr>
        <w:t>（辽宁省工程建设项目数字化开标评标系统）</w:t>
      </w:r>
    </w:p>
    <w:p w14:paraId="288824B9">
      <w:pPr>
        <w:spacing w:line="219" w:lineRule="auto"/>
        <w:ind w:left="4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以书面形式进行。</w:t>
      </w:r>
    </w:p>
    <w:p w14:paraId="5E92DEE7">
      <w:pPr>
        <w:spacing w:before="123" w:line="219" w:lineRule="auto"/>
        <w:ind w:left="11"/>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A4.</w:t>
      </w:r>
      <w:r>
        <w:rPr>
          <w:rFonts w:ascii="黑体" w:hAnsi="黑体" w:eastAsia="黑体" w:cs="黑体"/>
          <w:color w:val="auto"/>
          <w:sz w:val="24"/>
          <w:szCs w:val="24"/>
          <w:highlight w:val="none"/>
        </w:rPr>
        <w:t>详细评审</w:t>
      </w:r>
    </w:p>
    <w:p w14:paraId="0F6EAFE3">
      <w:pPr>
        <w:spacing w:before="143" w:line="399" w:lineRule="exact"/>
        <w:ind w:left="453"/>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只有通过了初步评审、被判定为合格的投标方可进入详细评审。初步评审通过后</w:t>
      </w:r>
      <w:r>
        <w:rPr>
          <w:rFonts w:ascii="宋体" w:hAnsi="宋体" w:eastAsia="宋体" w:cs="宋体"/>
          <w:color w:val="auto"/>
          <w:spacing w:val="2"/>
          <w:position w:val="14"/>
          <w:sz w:val="21"/>
          <w:szCs w:val="21"/>
          <w:highlight w:val="none"/>
        </w:rPr>
        <w:t>，使</w:t>
      </w:r>
    </w:p>
    <w:p w14:paraId="3096CC5B">
      <w:pPr>
        <w:spacing w:before="1" w:line="219" w:lineRule="auto"/>
        <w:ind w:left="20"/>
        <w:rPr>
          <w:rFonts w:ascii="黑体" w:hAnsi="黑体" w:eastAsia="黑体" w:cs="黑体"/>
          <w:color w:val="auto"/>
          <w:sz w:val="21"/>
          <w:szCs w:val="21"/>
          <w:highlight w:val="none"/>
        </w:rPr>
      </w:pPr>
      <w:r>
        <w:rPr>
          <w:rFonts w:ascii="宋体" w:hAnsi="宋体" w:eastAsia="宋体" w:cs="宋体"/>
          <w:color w:val="auto"/>
          <w:spacing w:val="-1"/>
          <w:sz w:val="21"/>
          <w:szCs w:val="21"/>
          <w:highlight w:val="none"/>
        </w:rPr>
        <w:t>用</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45"/>
          <w:sz w:val="21"/>
          <w:szCs w:val="21"/>
          <w:highlight w:val="none"/>
        </w:rPr>
        <w:t xml:space="preserve">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A-8</w:t>
      </w:r>
      <w:r>
        <w:rPr>
          <w:rFonts w:ascii="宋体" w:hAnsi="宋体" w:eastAsia="宋体" w:cs="宋体"/>
          <w:color w:val="auto"/>
          <w:spacing w:val="-45"/>
          <w:sz w:val="21"/>
          <w:szCs w:val="21"/>
          <w:highlight w:val="none"/>
        </w:rPr>
        <w:t xml:space="preserve"> </w:t>
      </w:r>
      <w:r>
        <w:rPr>
          <w:rFonts w:ascii="宋体" w:hAnsi="宋体" w:eastAsia="宋体" w:cs="宋体"/>
          <w:color w:val="auto"/>
          <w:spacing w:val="-1"/>
          <w:sz w:val="21"/>
          <w:szCs w:val="21"/>
          <w:highlight w:val="none"/>
        </w:rPr>
        <w:t>记录初步评审结果</w:t>
      </w:r>
      <w:r>
        <w:rPr>
          <w:rFonts w:ascii="黑体" w:hAnsi="黑体" w:eastAsia="黑体" w:cs="黑体"/>
          <w:color w:val="auto"/>
          <w:spacing w:val="-1"/>
          <w:sz w:val="21"/>
          <w:szCs w:val="21"/>
          <w:highlight w:val="none"/>
        </w:rPr>
        <w:t>。</w:t>
      </w:r>
    </w:p>
    <w:p w14:paraId="4D77C563">
      <w:pPr>
        <w:spacing w:before="148"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A4.1 </w:t>
      </w:r>
      <w:r>
        <w:rPr>
          <w:rFonts w:ascii="黑体" w:hAnsi="黑体" w:eastAsia="黑体" w:cs="黑体"/>
          <w:color w:val="auto"/>
          <w:spacing w:val="-1"/>
          <w:sz w:val="21"/>
          <w:szCs w:val="21"/>
          <w:highlight w:val="none"/>
        </w:rPr>
        <w:t>详细评审的程序</w:t>
      </w:r>
    </w:p>
    <w:p w14:paraId="101F33E4">
      <w:pPr>
        <w:spacing w:before="153" w:line="399" w:lineRule="exact"/>
        <w:ind w:left="440"/>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评标委员会按照本章第</w:t>
      </w:r>
      <w:r>
        <w:rPr>
          <w:rFonts w:ascii="宋体" w:hAnsi="宋体" w:eastAsia="宋体" w:cs="宋体"/>
          <w:color w:val="auto"/>
          <w:spacing w:val="-39"/>
          <w:position w:val="14"/>
          <w:sz w:val="21"/>
          <w:szCs w:val="21"/>
          <w:highlight w:val="none"/>
        </w:rPr>
        <w:t xml:space="preserve"> </w:t>
      </w:r>
      <w:r>
        <w:rPr>
          <w:rFonts w:ascii="宋体" w:hAnsi="宋体" w:eastAsia="宋体" w:cs="宋体"/>
          <w:color w:val="auto"/>
          <w:spacing w:val="-2"/>
          <w:position w:val="14"/>
          <w:sz w:val="21"/>
          <w:szCs w:val="21"/>
          <w:highlight w:val="none"/>
        </w:rPr>
        <w:t>3.2</w:t>
      </w:r>
      <w:r>
        <w:rPr>
          <w:rFonts w:ascii="宋体" w:hAnsi="宋体" w:eastAsia="宋体" w:cs="宋体"/>
          <w:color w:val="auto"/>
          <w:spacing w:val="-43"/>
          <w:position w:val="14"/>
          <w:sz w:val="21"/>
          <w:szCs w:val="21"/>
          <w:highlight w:val="none"/>
        </w:rPr>
        <w:t xml:space="preserve"> </w:t>
      </w:r>
      <w:r>
        <w:rPr>
          <w:rFonts w:ascii="宋体" w:hAnsi="宋体" w:eastAsia="宋体" w:cs="宋体"/>
          <w:color w:val="auto"/>
          <w:spacing w:val="-2"/>
          <w:position w:val="14"/>
          <w:sz w:val="21"/>
          <w:szCs w:val="21"/>
          <w:highlight w:val="none"/>
        </w:rPr>
        <w:t>款中规定的程序</w:t>
      </w:r>
      <w:r>
        <w:rPr>
          <w:rFonts w:ascii="宋体" w:hAnsi="宋体" w:eastAsia="宋体" w:cs="宋体"/>
          <w:color w:val="auto"/>
          <w:spacing w:val="-3"/>
          <w:position w:val="14"/>
          <w:sz w:val="21"/>
          <w:szCs w:val="21"/>
          <w:highlight w:val="none"/>
        </w:rPr>
        <w:t>进行详细评审：</w:t>
      </w:r>
    </w:p>
    <w:p w14:paraId="5CE037D6">
      <w:pPr>
        <w:spacing w:line="219"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（1）确认有效评标价；</w:t>
      </w:r>
    </w:p>
    <w:p w14:paraId="48EBF2A6">
      <w:pPr>
        <w:spacing w:before="149" w:line="404"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（2）将有效评标价（不低于合理最低价）由低到高的顺序排序。</w:t>
      </w:r>
    </w:p>
    <w:p w14:paraId="22DED6A1">
      <w:pPr>
        <w:spacing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A4.2 </w:t>
      </w:r>
      <w:r>
        <w:rPr>
          <w:rFonts w:ascii="黑体" w:hAnsi="黑体" w:eastAsia="黑体" w:cs="黑体"/>
          <w:color w:val="auto"/>
          <w:spacing w:val="-1"/>
          <w:sz w:val="21"/>
          <w:szCs w:val="21"/>
          <w:highlight w:val="none"/>
        </w:rPr>
        <w:t>澄清、说明或补正</w:t>
      </w:r>
    </w:p>
    <w:p w14:paraId="2E79CE4D">
      <w:pPr>
        <w:spacing w:before="149" w:line="352" w:lineRule="auto"/>
        <w:ind w:left="17" w:firstLine="422"/>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在详细评审过程中，评标委员会应当就投标文件中含义不明确、对同类问题表述不一  致或者有明显文字和计算错误的内容要求投标人进行澄清、说明或者补正。投标人对</w:t>
      </w:r>
      <w:r>
        <w:rPr>
          <w:rFonts w:ascii="宋体" w:hAnsi="宋体" w:eastAsia="宋体" w:cs="宋体"/>
          <w:color w:val="auto"/>
          <w:spacing w:val="2"/>
          <w:sz w:val="21"/>
          <w:szCs w:val="21"/>
          <w:highlight w:val="none"/>
        </w:rPr>
        <w:t>此以</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书面形式予以澄清、说明或者补正。澄清、说明或补正根据本章第</w:t>
      </w:r>
      <w:r>
        <w:rPr>
          <w:rFonts w:ascii="宋体" w:hAnsi="宋体" w:eastAsia="宋体" w:cs="宋体"/>
          <w:color w:val="auto"/>
          <w:spacing w:val="-17"/>
          <w:sz w:val="21"/>
          <w:szCs w:val="21"/>
          <w:highlight w:val="none"/>
        </w:rPr>
        <w:t xml:space="preserve"> </w:t>
      </w:r>
      <w:r>
        <w:rPr>
          <w:rFonts w:ascii="宋体" w:hAnsi="宋体" w:eastAsia="宋体" w:cs="宋体"/>
          <w:color w:val="auto"/>
          <w:spacing w:val="-5"/>
          <w:sz w:val="21"/>
          <w:szCs w:val="21"/>
          <w:highlight w:val="none"/>
        </w:rPr>
        <w:t>3.3</w:t>
      </w:r>
      <w:r>
        <w:rPr>
          <w:rFonts w:ascii="宋体" w:hAnsi="宋体" w:eastAsia="宋体" w:cs="宋体"/>
          <w:color w:val="auto"/>
          <w:spacing w:val="-33"/>
          <w:sz w:val="21"/>
          <w:szCs w:val="21"/>
          <w:highlight w:val="none"/>
        </w:rPr>
        <w:t xml:space="preserve"> </w:t>
      </w:r>
      <w:r>
        <w:rPr>
          <w:rFonts w:ascii="宋体" w:hAnsi="宋体" w:eastAsia="宋体" w:cs="宋体"/>
          <w:color w:val="auto"/>
          <w:spacing w:val="-5"/>
          <w:sz w:val="21"/>
          <w:szCs w:val="21"/>
          <w:highlight w:val="none"/>
        </w:rPr>
        <w:t>款的规定执行。</w:t>
      </w:r>
      <w:r>
        <w:rPr>
          <w:rFonts w:ascii="宋体" w:hAnsi="宋体" w:eastAsia="宋体" w:cs="宋体"/>
          <w:color w:val="auto"/>
          <w:spacing w:val="-56"/>
          <w:sz w:val="21"/>
          <w:szCs w:val="21"/>
          <w:highlight w:val="none"/>
        </w:rPr>
        <w:t xml:space="preserve"> </w:t>
      </w:r>
      <w:r>
        <w:rPr>
          <w:rFonts w:ascii="宋体" w:hAnsi="宋体" w:eastAsia="宋体" w:cs="宋体"/>
          <w:color w:val="auto"/>
          <w:spacing w:val="-5"/>
          <w:sz w:val="21"/>
          <w:szCs w:val="21"/>
          <w:highlight w:val="none"/>
        </w:rPr>
        <w:t>《投</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标文件问题澄清通知》</w:t>
      </w:r>
      <w:r>
        <w:rPr>
          <w:rFonts w:ascii="宋体" w:hAnsi="宋体" w:eastAsia="宋体" w:cs="宋体"/>
          <w:color w:val="auto"/>
          <w:spacing w:val="-27"/>
          <w:sz w:val="21"/>
          <w:szCs w:val="21"/>
          <w:highlight w:val="none"/>
        </w:rPr>
        <w:t xml:space="preserve"> </w:t>
      </w:r>
      <w:r>
        <w:rPr>
          <w:rFonts w:ascii="宋体" w:hAnsi="宋体" w:eastAsia="宋体" w:cs="宋体"/>
          <w:color w:val="auto"/>
          <w:spacing w:val="1"/>
          <w:sz w:val="21"/>
          <w:szCs w:val="21"/>
          <w:highlight w:val="none"/>
        </w:rPr>
        <w:t>及《投标文件问题的澄清》采用投标人须知附表六与投标人须知附</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表七所提供的格式，并通过电子招标投标系统</w:t>
      </w:r>
      <w:r>
        <w:rPr>
          <w:rFonts w:ascii="宋体" w:hAnsi="宋体" w:eastAsia="宋体" w:cs="宋体"/>
          <w:color w:val="auto"/>
          <w:spacing w:val="2"/>
          <w:sz w:val="21"/>
          <w:szCs w:val="21"/>
          <w:highlight w:val="none"/>
        </w:rPr>
        <w:t>（辽宁省工程建设项目数字化开标评标系统）</w:t>
      </w:r>
    </w:p>
    <w:p w14:paraId="6CBD55F6">
      <w:pPr>
        <w:spacing w:before="1" w:line="219" w:lineRule="auto"/>
        <w:ind w:left="4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以书面形式进行。</w:t>
      </w:r>
    </w:p>
    <w:p w14:paraId="69669173">
      <w:pPr>
        <w:spacing w:before="148"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A4.3 </w:t>
      </w:r>
      <w:r>
        <w:rPr>
          <w:rFonts w:ascii="黑体" w:hAnsi="黑体" w:eastAsia="黑体" w:cs="黑体"/>
          <w:color w:val="auto"/>
          <w:spacing w:val="-1"/>
          <w:sz w:val="21"/>
          <w:szCs w:val="21"/>
          <w:highlight w:val="none"/>
        </w:rPr>
        <w:t>汇总评分（评审）结果</w:t>
      </w:r>
    </w:p>
    <w:p w14:paraId="09BE87A4">
      <w:pPr>
        <w:spacing w:before="149" w:line="403" w:lineRule="exact"/>
        <w:ind w:left="440"/>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评标委员会应按照</w:t>
      </w:r>
      <w:r>
        <w:rPr>
          <w:rFonts w:ascii="宋体" w:hAnsi="宋体" w:eastAsia="宋体" w:cs="宋体"/>
          <w:color w:val="auto"/>
          <w:spacing w:val="-1"/>
          <w:position w:val="14"/>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45"/>
          <w:position w:val="14"/>
          <w:sz w:val="21"/>
          <w:szCs w:val="21"/>
          <w:highlight w:val="none"/>
        </w:rPr>
        <w:t xml:space="preserve"> </w:t>
      </w:r>
      <w:r>
        <w:rPr>
          <w:rFonts w:ascii="宋体" w:hAnsi="宋体" w:eastAsia="宋体" w:cs="宋体"/>
          <w:color w:val="auto"/>
          <w:spacing w:val="-1"/>
          <w:position w:val="14"/>
          <w:sz w:val="21"/>
          <w:szCs w:val="21"/>
          <w:highlight w:val="none"/>
          <w14:textOutline w14:w="3831" w14:cap="flat" w14:cmpd="sng">
            <w14:solidFill>
              <w14:srgbClr w14:val="000000"/>
            </w14:solidFill>
            <w14:prstDash w14:val="solid"/>
            <w14:miter w14:val="0"/>
          </w14:textOutline>
        </w:rPr>
        <w:t>A-16</w:t>
      </w:r>
      <w:r>
        <w:rPr>
          <w:rFonts w:ascii="宋体" w:hAnsi="宋体" w:eastAsia="宋体" w:cs="宋体"/>
          <w:color w:val="auto"/>
          <w:spacing w:val="-1"/>
          <w:position w:val="14"/>
          <w:sz w:val="21"/>
          <w:szCs w:val="21"/>
          <w:highlight w:val="none"/>
        </w:rPr>
        <w:t xml:space="preserve"> 的格式记录对投标报价的评审结果，并按有效</w:t>
      </w:r>
      <w:r>
        <w:rPr>
          <w:rFonts w:ascii="宋体" w:hAnsi="宋体" w:eastAsia="宋体" w:cs="宋体"/>
          <w:color w:val="auto"/>
          <w:spacing w:val="-2"/>
          <w:position w:val="14"/>
          <w:sz w:val="21"/>
          <w:szCs w:val="21"/>
          <w:highlight w:val="none"/>
        </w:rPr>
        <w:t>评标价由低</w:t>
      </w:r>
    </w:p>
    <w:p w14:paraId="504EDCF1">
      <w:pPr>
        <w:spacing w:line="219" w:lineRule="auto"/>
        <w:ind w:left="2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到高的顺序对投标人进行排序。（适用于经评审的最低投标价法）</w:t>
      </w:r>
    </w:p>
    <w:p w14:paraId="1148D3BB">
      <w:pPr>
        <w:spacing w:before="124" w:line="424" w:lineRule="exact"/>
        <w:ind w:left="11"/>
        <w:rPr>
          <w:rFonts w:ascii="黑体" w:hAnsi="黑体" w:eastAsia="黑体" w:cs="黑体"/>
          <w:color w:val="auto"/>
          <w:sz w:val="24"/>
          <w:szCs w:val="24"/>
          <w:highlight w:val="none"/>
        </w:rPr>
      </w:pPr>
      <w:r>
        <w:rPr>
          <w:rFonts w:ascii="Times New Roman" w:hAnsi="Times New Roman" w:eastAsia="Times New Roman" w:cs="Times New Roman"/>
          <w:color w:val="auto"/>
          <w:position w:val="13"/>
          <w:sz w:val="24"/>
          <w:szCs w:val="24"/>
          <w:highlight w:val="none"/>
        </w:rPr>
        <w:t>A5.</w:t>
      </w:r>
      <w:r>
        <w:rPr>
          <w:rFonts w:ascii="黑体" w:hAnsi="黑体" w:eastAsia="黑体" w:cs="黑体"/>
          <w:color w:val="auto"/>
          <w:position w:val="13"/>
          <w:sz w:val="24"/>
          <w:szCs w:val="24"/>
          <w:highlight w:val="none"/>
        </w:rPr>
        <w:t>推荐中标候选人或者直接确定中标人</w:t>
      </w:r>
    </w:p>
    <w:p w14:paraId="26C88B78">
      <w:pPr>
        <w:spacing w:before="1"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A5.1 </w:t>
      </w:r>
      <w:r>
        <w:rPr>
          <w:rFonts w:ascii="黑体" w:hAnsi="黑体" w:eastAsia="黑体" w:cs="黑体"/>
          <w:color w:val="auto"/>
          <w:spacing w:val="-1"/>
          <w:sz w:val="21"/>
          <w:szCs w:val="21"/>
          <w:highlight w:val="none"/>
        </w:rPr>
        <w:t>推荐中标候选人</w:t>
      </w:r>
    </w:p>
    <w:p w14:paraId="08B0F081">
      <w:pPr>
        <w:spacing w:before="152" w:line="399" w:lineRule="exact"/>
        <w:ind w:left="434"/>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A5.1.1</w:t>
      </w:r>
      <w:r>
        <w:rPr>
          <w:rFonts w:ascii="宋体" w:hAnsi="宋体" w:eastAsia="宋体" w:cs="宋体"/>
          <w:color w:val="auto"/>
          <w:spacing w:val="-11"/>
          <w:position w:val="14"/>
          <w:sz w:val="21"/>
          <w:szCs w:val="21"/>
          <w:highlight w:val="none"/>
        </w:rPr>
        <w:t xml:space="preserve"> </w:t>
      </w:r>
      <w:r>
        <w:rPr>
          <w:rFonts w:ascii="宋体" w:hAnsi="宋体" w:eastAsia="宋体" w:cs="宋体"/>
          <w:color w:val="auto"/>
          <w:spacing w:val="-4"/>
          <w:position w:val="14"/>
          <w:sz w:val="21"/>
          <w:szCs w:val="21"/>
          <w:highlight w:val="none"/>
        </w:rPr>
        <w:t>除第二章“投标人须知”前附表第</w:t>
      </w:r>
      <w:r>
        <w:rPr>
          <w:rFonts w:ascii="宋体" w:hAnsi="宋体" w:eastAsia="宋体" w:cs="宋体"/>
          <w:color w:val="auto"/>
          <w:spacing w:val="-32"/>
          <w:position w:val="14"/>
          <w:sz w:val="21"/>
          <w:szCs w:val="21"/>
          <w:highlight w:val="none"/>
        </w:rPr>
        <w:t xml:space="preserve"> </w:t>
      </w:r>
      <w:r>
        <w:rPr>
          <w:rFonts w:ascii="宋体" w:hAnsi="宋体" w:eastAsia="宋体" w:cs="宋体"/>
          <w:color w:val="auto"/>
          <w:spacing w:val="-4"/>
          <w:position w:val="14"/>
          <w:sz w:val="21"/>
          <w:szCs w:val="21"/>
          <w:highlight w:val="none"/>
        </w:rPr>
        <w:t>7.1</w:t>
      </w:r>
      <w:r>
        <w:rPr>
          <w:rFonts w:ascii="宋体" w:hAnsi="宋体" w:eastAsia="宋体" w:cs="宋体"/>
          <w:color w:val="auto"/>
          <w:spacing w:val="-38"/>
          <w:position w:val="14"/>
          <w:sz w:val="21"/>
          <w:szCs w:val="21"/>
          <w:highlight w:val="none"/>
        </w:rPr>
        <w:t xml:space="preserve"> </w:t>
      </w:r>
      <w:r>
        <w:rPr>
          <w:rFonts w:ascii="宋体" w:hAnsi="宋体" w:eastAsia="宋体" w:cs="宋体"/>
          <w:color w:val="auto"/>
          <w:spacing w:val="-4"/>
          <w:position w:val="14"/>
          <w:sz w:val="21"/>
          <w:szCs w:val="21"/>
          <w:highlight w:val="none"/>
        </w:rPr>
        <w:t>款授权直接确定中标人外， 按照</w:t>
      </w:r>
      <w:r>
        <w:rPr>
          <w:rFonts w:ascii="宋体" w:hAnsi="宋体" w:eastAsia="宋体" w:cs="宋体"/>
          <w:color w:val="auto"/>
          <w:spacing w:val="-4"/>
          <w:position w:val="14"/>
          <w:sz w:val="21"/>
          <w:szCs w:val="21"/>
          <w:highlight w:val="none"/>
          <w14:textOutline w14:w="3831" w14:cap="flat" w14:cmpd="sng">
            <w14:solidFill>
              <w14:srgbClr w14:val="000000"/>
            </w14:solidFill>
            <w14:prstDash w14:val="solid"/>
            <w14:miter w14:val="0"/>
          </w14:textOutline>
        </w:rPr>
        <w:t>附表</w:t>
      </w:r>
      <w:r>
        <w:rPr>
          <w:rFonts w:ascii="宋体" w:hAnsi="宋体" w:eastAsia="宋体" w:cs="宋体"/>
          <w:color w:val="auto"/>
          <w:spacing w:val="-46"/>
          <w:position w:val="14"/>
          <w:sz w:val="21"/>
          <w:szCs w:val="21"/>
          <w:highlight w:val="none"/>
        </w:rPr>
        <w:t xml:space="preserve"> </w:t>
      </w:r>
      <w:r>
        <w:rPr>
          <w:rFonts w:ascii="宋体" w:hAnsi="宋体" w:eastAsia="宋体" w:cs="宋体"/>
          <w:color w:val="auto"/>
          <w:spacing w:val="-4"/>
          <w:position w:val="14"/>
          <w:sz w:val="21"/>
          <w:szCs w:val="21"/>
          <w:highlight w:val="none"/>
          <w14:textOutline w14:w="3831" w14:cap="flat" w14:cmpd="sng">
            <w14:solidFill>
              <w14:srgbClr w14:val="000000"/>
            </w14:solidFill>
            <w14:prstDash w14:val="solid"/>
            <w14:miter w14:val="0"/>
          </w14:textOutline>
        </w:rPr>
        <w:t>A-</w:t>
      </w:r>
    </w:p>
    <w:p w14:paraId="45E31842">
      <w:pPr>
        <w:spacing w:before="1" w:line="219" w:lineRule="auto"/>
        <w:ind w:left="3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17</w:t>
      </w:r>
      <w:r>
        <w:rPr>
          <w:rFonts w:ascii="宋体" w:hAnsi="宋体" w:eastAsia="宋体" w:cs="宋体"/>
          <w:color w:val="auto"/>
          <w:spacing w:val="-39"/>
          <w:sz w:val="21"/>
          <w:szCs w:val="21"/>
          <w:highlight w:val="none"/>
        </w:rPr>
        <w:t xml:space="preserve"> </w:t>
      </w:r>
      <w:r>
        <w:rPr>
          <w:rFonts w:ascii="宋体" w:hAnsi="宋体" w:eastAsia="宋体" w:cs="宋体"/>
          <w:color w:val="auto"/>
          <w:spacing w:val="-1"/>
          <w:sz w:val="21"/>
          <w:szCs w:val="21"/>
          <w:highlight w:val="none"/>
        </w:rPr>
        <w:t>格式推荐中标候选人。评标委员会在推荐中标候选人时，应遵照以下原</w:t>
      </w:r>
      <w:r>
        <w:rPr>
          <w:rFonts w:ascii="宋体" w:hAnsi="宋体" w:eastAsia="宋体" w:cs="宋体"/>
          <w:color w:val="auto"/>
          <w:spacing w:val="-2"/>
          <w:sz w:val="21"/>
          <w:szCs w:val="21"/>
          <w:highlight w:val="none"/>
        </w:rPr>
        <w:t>则</w:t>
      </w:r>
      <w:r>
        <w:rPr>
          <w:rFonts w:ascii="宋体" w:hAnsi="宋体" w:eastAsia="宋体" w:cs="宋体"/>
          <w:color w:val="auto"/>
          <w:spacing w:val="-63"/>
          <w:sz w:val="21"/>
          <w:szCs w:val="21"/>
          <w:highlight w:val="none"/>
        </w:rPr>
        <w:t xml:space="preserve"> </w:t>
      </w:r>
      <w:r>
        <w:rPr>
          <w:rFonts w:ascii="宋体" w:hAnsi="宋体" w:eastAsia="宋体" w:cs="宋体"/>
          <w:color w:val="auto"/>
          <w:spacing w:val="-2"/>
          <w:sz w:val="21"/>
          <w:szCs w:val="21"/>
          <w:highlight w:val="none"/>
        </w:rPr>
        <w:t>:</w:t>
      </w:r>
    </w:p>
    <w:p w14:paraId="084F83BF">
      <w:pPr>
        <w:spacing w:before="147" w:line="352" w:lineRule="auto"/>
        <w:ind w:left="17" w:right="90" w:firstLine="43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（1）评标委员会按照有效评标价由低到高的次序排列，并根据第</w:t>
      </w:r>
      <w:r>
        <w:rPr>
          <w:rFonts w:ascii="宋体" w:hAnsi="宋体" w:eastAsia="宋体" w:cs="宋体"/>
          <w:color w:val="auto"/>
          <w:spacing w:val="2"/>
          <w:sz w:val="21"/>
          <w:szCs w:val="21"/>
          <w:highlight w:val="none"/>
        </w:rPr>
        <w:t>二章“投标人须知”</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前附表第 7.1 款规定的中标候选人数量，将排序在前的投标人推荐为</w:t>
      </w:r>
      <w:r>
        <w:rPr>
          <w:rFonts w:ascii="宋体" w:hAnsi="宋体" w:eastAsia="宋体" w:cs="宋体"/>
          <w:color w:val="auto"/>
          <w:spacing w:val="-4"/>
          <w:sz w:val="21"/>
          <w:szCs w:val="21"/>
          <w:highlight w:val="none"/>
        </w:rPr>
        <w:t>中标候选人。</w:t>
      </w:r>
      <w:r>
        <w:rPr>
          <w:rFonts w:ascii="宋体" w:hAnsi="宋体" w:eastAsia="宋体" w:cs="宋体"/>
          <w:color w:val="auto"/>
          <w:spacing w:val="43"/>
          <w:sz w:val="21"/>
          <w:szCs w:val="21"/>
          <w:highlight w:val="none"/>
        </w:rPr>
        <w:t xml:space="preserve"> </w:t>
      </w:r>
      <w:r>
        <w:rPr>
          <w:rFonts w:ascii="宋体" w:hAnsi="宋体" w:eastAsia="宋体" w:cs="宋体"/>
          <w:color w:val="auto"/>
          <w:spacing w:val="-4"/>
          <w:sz w:val="21"/>
          <w:szCs w:val="21"/>
          <w:highlight w:val="none"/>
        </w:rPr>
        <w:t>招标文</w:t>
      </w:r>
      <w:r>
        <w:rPr>
          <w:rFonts w:ascii="宋体" w:hAnsi="宋体" w:eastAsia="宋体" w:cs="宋体"/>
          <w:color w:val="auto"/>
          <w:sz w:val="21"/>
          <w:szCs w:val="21"/>
          <w:highlight w:val="none"/>
        </w:rPr>
        <w:t xml:space="preserve">  件允许多标段投标、多标段中标的，各标段中标候选人的推荐按规定执行， 对某些标段由</w:t>
      </w:r>
    </w:p>
    <w:p w14:paraId="48BE9377">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此产生的空缺由排序在后的投标人依次替补。</w:t>
      </w:r>
    </w:p>
    <w:p w14:paraId="4F951CC4">
      <w:pPr>
        <w:spacing w:before="153" w:line="399"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（2）如果评标委员会根据本章的规定否决有关投标后，有效投标不足三个，且少于第</w:t>
      </w:r>
    </w:p>
    <w:p w14:paraId="5A581395">
      <w:pPr>
        <w:spacing w:before="1" w:line="219" w:lineRule="auto"/>
        <w:ind w:left="21"/>
        <w:rPr>
          <w:rFonts w:ascii="宋体" w:hAnsi="宋体" w:eastAsia="宋体" w:cs="宋体"/>
          <w:color w:val="auto"/>
          <w:sz w:val="21"/>
          <w:szCs w:val="21"/>
          <w:highlight w:val="none"/>
        </w:rPr>
      </w:pPr>
      <w:r>
        <w:rPr>
          <w:rFonts w:ascii="宋体" w:hAnsi="宋体" w:eastAsia="宋体" w:cs="宋体"/>
          <w:color w:val="auto"/>
          <w:sz w:val="21"/>
          <w:szCs w:val="21"/>
          <w:highlight w:val="none"/>
        </w:rPr>
        <w:t>二章“投标人须知”前附表第 7.1 款规定的中标候选人数量的，则评标委员会可以将所有</w:t>
      </w:r>
    </w:p>
    <w:p w14:paraId="3C5B61D3">
      <w:pPr>
        <w:spacing w:line="219" w:lineRule="auto"/>
        <w:rPr>
          <w:rFonts w:ascii="宋体" w:hAnsi="宋体" w:eastAsia="宋体" w:cs="宋体"/>
          <w:color w:val="auto"/>
          <w:sz w:val="21"/>
          <w:szCs w:val="21"/>
          <w:highlight w:val="none"/>
        </w:rPr>
        <w:sectPr>
          <w:footerReference r:id="rId73" w:type="default"/>
          <w:pgSz w:w="11905" w:h="16839"/>
          <w:pgMar w:top="1431" w:right="1598" w:bottom="992" w:left="1785" w:header="0" w:footer="791" w:gutter="0"/>
          <w:pgNumType w:fmt="decimal"/>
          <w:cols w:space="720" w:num="1"/>
        </w:sectPr>
      </w:pPr>
    </w:p>
    <w:p w14:paraId="7011E63F">
      <w:pPr>
        <w:spacing w:before="149" w:line="398" w:lineRule="exact"/>
        <w:ind w:left="19"/>
        <w:rPr>
          <w:rFonts w:ascii="宋体" w:hAnsi="宋体" w:eastAsia="宋体" w:cs="宋体"/>
          <w:color w:val="auto"/>
          <w:sz w:val="21"/>
          <w:szCs w:val="21"/>
          <w:highlight w:val="none"/>
        </w:rPr>
      </w:pPr>
      <w:bookmarkStart w:id="183" w:name="bookmark211"/>
      <w:bookmarkEnd w:id="183"/>
      <w:r>
        <w:rPr>
          <w:rFonts w:ascii="宋体" w:hAnsi="宋体" w:eastAsia="宋体" w:cs="宋体"/>
          <w:color w:val="auto"/>
          <w:spacing w:val="3"/>
          <w:position w:val="14"/>
          <w:sz w:val="21"/>
          <w:szCs w:val="21"/>
          <w:highlight w:val="none"/>
        </w:rPr>
        <w:t>有效评标价由低到高的次序作为中标候选人向招标人推荐。如果因有效投标</w:t>
      </w:r>
      <w:r>
        <w:rPr>
          <w:rFonts w:ascii="宋体" w:hAnsi="宋体" w:eastAsia="宋体" w:cs="宋体"/>
          <w:color w:val="auto"/>
          <w:spacing w:val="2"/>
          <w:position w:val="14"/>
          <w:sz w:val="21"/>
          <w:szCs w:val="21"/>
          <w:highlight w:val="none"/>
        </w:rPr>
        <w:t>不足三个使得</w:t>
      </w:r>
    </w:p>
    <w:p w14:paraId="2084F5CF">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投标明显缺乏竞争的，评标委员会可以否决所有投标，并建议招标人重新招标。</w:t>
      </w:r>
    </w:p>
    <w:p w14:paraId="3E2A9ADA">
      <w:pPr>
        <w:spacing w:before="153" w:line="399" w:lineRule="exact"/>
        <w:ind w:left="434"/>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A5.1.2</w:t>
      </w:r>
      <w:r>
        <w:rPr>
          <w:rFonts w:ascii="宋体" w:hAnsi="宋体" w:eastAsia="宋体" w:cs="宋体"/>
          <w:color w:val="auto"/>
          <w:spacing w:val="-38"/>
          <w:position w:val="14"/>
          <w:sz w:val="21"/>
          <w:szCs w:val="21"/>
          <w:highlight w:val="none"/>
        </w:rPr>
        <w:t xml:space="preserve"> </w:t>
      </w:r>
      <w:r>
        <w:rPr>
          <w:rFonts w:ascii="宋体" w:hAnsi="宋体" w:eastAsia="宋体" w:cs="宋体"/>
          <w:color w:val="auto"/>
          <w:spacing w:val="-3"/>
          <w:position w:val="14"/>
          <w:sz w:val="21"/>
          <w:szCs w:val="21"/>
          <w:highlight w:val="none"/>
        </w:rPr>
        <w:t>投标人数量少于三个或者所有投标被否决的，</w:t>
      </w:r>
      <w:r>
        <w:rPr>
          <w:rFonts w:ascii="宋体" w:hAnsi="宋体" w:eastAsia="宋体" w:cs="宋体"/>
          <w:color w:val="auto"/>
          <w:spacing w:val="-26"/>
          <w:position w:val="14"/>
          <w:sz w:val="21"/>
          <w:szCs w:val="21"/>
          <w:highlight w:val="none"/>
        </w:rPr>
        <w:t xml:space="preserve"> </w:t>
      </w:r>
      <w:r>
        <w:rPr>
          <w:rFonts w:ascii="宋体" w:hAnsi="宋体" w:eastAsia="宋体" w:cs="宋体"/>
          <w:color w:val="auto"/>
          <w:spacing w:val="-3"/>
          <w:position w:val="14"/>
          <w:sz w:val="21"/>
          <w:szCs w:val="21"/>
          <w:highlight w:val="none"/>
        </w:rPr>
        <w:t>招标人应当依法重新招标。</w:t>
      </w:r>
    </w:p>
    <w:p w14:paraId="0CD25C47">
      <w:pPr>
        <w:spacing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A5.2 </w:t>
      </w:r>
      <w:r>
        <w:rPr>
          <w:rFonts w:ascii="黑体" w:hAnsi="黑体" w:eastAsia="黑体" w:cs="黑体"/>
          <w:color w:val="auto"/>
          <w:spacing w:val="-1"/>
          <w:sz w:val="21"/>
          <w:szCs w:val="21"/>
          <w:highlight w:val="none"/>
        </w:rPr>
        <w:t>直接确定中标人</w:t>
      </w:r>
    </w:p>
    <w:p w14:paraId="1217CB1E">
      <w:pPr>
        <w:spacing w:before="149" w:line="403" w:lineRule="exact"/>
        <w:ind w:left="441"/>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第二章“投标人须知”前附表授权评标委员会直接确定中标人的，评标委员会按照有</w:t>
      </w:r>
    </w:p>
    <w:p w14:paraId="7AA41C87">
      <w:pPr>
        <w:spacing w:line="219" w:lineRule="auto"/>
        <w:ind w:left="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效评标价由低到高的次序排列，并依法确定中</w:t>
      </w:r>
      <w:r>
        <w:rPr>
          <w:rFonts w:ascii="宋体" w:hAnsi="宋体" w:eastAsia="宋体" w:cs="宋体"/>
          <w:color w:val="auto"/>
          <w:spacing w:val="-2"/>
          <w:sz w:val="21"/>
          <w:szCs w:val="21"/>
          <w:highlight w:val="none"/>
        </w:rPr>
        <w:t>标人。</w:t>
      </w:r>
    </w:p>
    <w:p w14:paraId="7929F0E4">
      <w:pPr>
        <w:spacing w:before="149" w:line="219"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A5.3 </w:t>
      </w:r>
      <w:r>
        <w:rPr>
          <w:rFonts w:ascii="黑体" w:hAnsi="黑体" w:eastAsia="黑体" w:cs="黑体"/>
          <w:color w:val="auto"/>
          <w:spacing w:val="-1"/>
          <w:sz w:val="21"/>
          <w:szCs w:val="21"/>
          <w:highlight w:val="none"/>
        </w:rPr>
        <w:t>编制评标报告</w:t>
      </w:r>
    </w:p>
    <w:p w14:paraId="296BBBDB">
      <w:pPr>
        <w:spacing w:before="151" w:line="352" w:lineRule="auto"/>
        <w:ind w:left="17" w:right="174" w:firstLine="42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评标委员会根据本章第 3.4.2 项的规定向招标人提交评标报告。评标报告应当由全体</w:t>
      </w:r>
      <w:r>
        <w:rPr>
          <w:rFonts w:ascii="宋体" w:hAnsi="宋体" w:eastAsia="宋体" w:cs="宋体"/>
          <w:color w:val="auto"/>
          <w:spacing w:val="13"/>
          <w:sz w:val="21"/>
          <w:szCs w:val="21"/>
          <w:highlight w:val="none"/>
        </w:rPr>
        <w:t xml:space="preserve"> </w:t>
      </w:r>
      <w:r>
        <w:rPr>
          <w:rFonts w:ascii="宋体" w:hAnsi="宋体" w:eastAsia="宋体" w:cs="宋体"/>
          <w:color w:val="auto"/>
          <w:sz w:val="21"/>
          <w:szCs w:val="21"/>
          <w:highlight w:val="none"/>
        </w:rPr>
        <w:t>评标委员会成员签字， 并于评标结束时抄送有关行政监督部门。评标报告应当包括以下内</w:t>
      </w:r>
    </w:p>
    <w:p w14:paraId="5638FF24">
      <w:pPr>
        <w:spacing w:line="221" w:lineRule="auto"/>
        <w:ind w:left="20"/>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容：</w:t>
      </w:r>
    </w:p>
    <w:p w14:paraId="15D7DA2E">
      <w:pPr>
        <w:spacing w:before="146" w:line="220"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（1）基本情况和数据表；</w:t>
      </w:r>
    </w:p>
    <w:p w14:paraId="45DB9F9F">
      <w:pPr>
        <w:spacing w:before="154" w:line="399" w:lineRule="exact"/>
        <w:ind w:left="447"/>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（2）评标委员会成员名单；</w:t>
      </w:r>
    </w:p>
    <w:p w14:paraId="7963A250">
      <w:pPr>
        <w:spacing w:line="221"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（3）开标记录；</w:t>
      </w:r>
    </w:p>
    <w:p w14:paraId="05105B3B">
      <w:pPr>
        <w:spacing w:before="147" w:line="403" w:lineRule="exact"/>
        <w:ind w:left="447"/>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（4）通过初步评审的投标人一览表；</w:t>
      </w:r>
    </w:p>
    <w:p w14:paraId="44908BB1">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（5）被否决投标的情况说明；</w:t>
      </w:r>
    </w:p>
    <w:p w14:paraId="4041B7EE">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（6）评标标准、评标方法或者评标因素一览表；</w:t>
      </w:r>
    </w:p>
    <w:p w14:paraId="0DEDA7E0">
      <w:pPr>
        <w:spacing w:before="148" w:line="404" w:lineRule="exact"/>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（7）经评审的价格一览表（包括评标委员会在评标过程中所形成的所有记载评标结果、</w:t>
      </w:r>
    </w:p>
    <w:p w14:paraId="6C2C5D8B">
      <w:pPr>
        <w:spacing w:line="220" w:lineRule="auto"/>
        <w:ind w:left="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结论的表格、说明、记录等文件</w:t>
      </w:r>
      <w:r>
        <w:rPr>
          <w:rFonts w:ascii="宋体" w:hAnsi="宋体" w:eastAsia="宋体" w:cs="宋体"/>
          <w:color w:val="auto"/>
          <w:spacing w:val="-55"/>
          <w:w w:val="98"/>
          <w:sz w:val="21"/>
          <w:szCs w:val="21"/>
          <w:highlight w:val="none"/>
        </w:rPr>
        <w:t>）；</w:t>
      </w:r>
    </w:p>
    <w:p w14:paraId="3A8EA858">
      <w:pPr>
        <w:spacing w:before="148" w:line="221"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（8）经评审的投标人排序；</w:t>
      </w:r>
    </w:p>
    <w:p w14:paraId="7D4E08E8">
      <w:pPr>
        <w:spacing w:before="147" w:line="403"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（9）推荐的中标候选人名单（如果第二章“投标人须知”前附表授权评标委员会直接</w:t>
      </w:r>
    </w:p>
    <w:p w14:paraId="5805F3CA">
      <w:pPr>
        <w:spacing w:before="1" w:line="221" w:lineRule="auto"/>
        <w:ind w:left="1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确定中标人，则为“确定的中标人”）与签订合同前要处理的事宜；</w:t>
      </w:r>
    </w:p>
    <w:p w14:paraId="6266CD89">
      <w:pPr>
        <w:spacing w:before="146" w:line="374" w:lineRule="exact"/>
        <w:ind w:left="447"/>
        <w:rPr>
          <w:rFonts w:ascii="宋体" w:hAnsi="宋体" w:eastAsia="宋体" w:cs="宋体"/>
          <w:color w:val="auto"/>
          <w:sz w:val="21"/>
          <w:szCs w:val="21"/>
          <w:highlight w:val="none"/>
        </w:rPr>
      </w:pPr>
      <w:r>
        <w:rPr>
          <w:rFonts w:ascii="宋体" w:hAnsi="宋体" w:eastAsia="宋体" w:cs="宋体"/>
          <w:color w:val="auto"/>
          <w:spacing w:val="-2"/>
          <w:position w:val="12"/>
          <w:sz w:val="21"/>
          <w:szCs w:val="21"/>
          <w:highlight w:val="none"/>
        </w:rPr>
        <w:t>（10）澄清、说明、补正事项纪要。</w:t>
      </w:r>
    </w:p>
    <w:p w14:paraId="72E6A210">
      <w:pPr>
        <w:spacing w:before="1" w:line="218" w:lineRule="auto"/>
        <w:ind w:left="11"/>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A6.</w:t>
      </w:r>
      <w:r>
        <w:rPr>
          <w:rFonts w:ascii="黑体" w:hAnsi="黑体" w:eastAsia="黑体" w:cs="黑体"/>
          <w:color w:val="auto"/>
          <w:sz w:val="24"/>
          <w:szCs w:val="24"/>
          <w:highlight w:val="none"/>
        </w:rPr>
        <w:t>特殊情况的处置程序</w:t>
      </w:r>
    </w:p>
    <w:p w14:paraId="37A4A2C3">
      <w:pPr>
        <w:spacing w:before="143"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z w:val="21"/>
          <w:szCs w:val="21"/>
          <w:highlight w:val="none"/>
        </w:rPr>
        <w:t xml:space="preserve">A6.1 </w:t>
      </w:r>
      <w:r>
        <w:rPr>
          <w:rFonts w:ascii="黑体" w:hAnsi="黑体" w:eastAsia="黑体" w:cs="黑体"/>
          <w:color w:val="auto"/>
          <w:sz w:val="21"/>
          <w:szCs w:val="21"/>
          <w:highlight w:val="none"/>
        </w:rPr>
        <w:t>暗标评审的评审程序规定（适用于对技术标进行暗</w:t>
      </w:r>
      <w:r>
        <w:rPr>
          <w:rFonts w:ascii="黑体" w:hAnsi="黑体" w:eastAsia="黑体" w:cs="黑体"/>
          <w:color w:val="auto"/>
          <w:spacing w:val="-1"/>
          <w:sz w:val="21"/>
          <w:szCs w:val="21"/>
          <w:highlight w:val="none"/>
        </w:rPr>
        <w:t>标评审的）</w:t>
      </w:r>
    </w:p>
    <w:p w14:paraId="7054CA6E">
      <w:pPr>
        <w:spacing w:before="148" w:line="352" w:lineRule="auto"/>
        <w:ind w:left="19" w:right="174" w:firstLine="425"/>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如果第二章“投标人须知”前附表第</w:t>
      </w:r>
      <w:r>
        <w:rPr>
          <w:rFonts w:ascii="宋体" w:hAnsi="宋体" w:eastAsia="宋体" w:cs="宋体"/>
          <w:color w:val="auto"/>
          <w:spacing w:val="-22"/>
          <w:sz w:val="21"/>
          <w:szCs w:val="21"/>
          <w:highlight w:val="none"/>
        </w:rPr>
        <w:t xml:space="preserve"> </w:t>
      </w:r>
      <w:r>
        <w:rPr>
          <w:rFonts w:ascii="Times New Roman" w:hAnsi="Times New Roman" w:eastAsia="Times New Roman" w:cs="Times New Roman"/>
          <w:color w:val="auto"/>
          <w:spacing w:val="-3"/>
          <w:sz w:val="21"/>
          <w:szCs w:val="21"/>
          <w:highlight w:val="none"/>
        </w:rPr>
        <w:t xml:space="preserve">3.7.4 </w:t>
      </w:r>
      <w:r>
        <w:rPr>
          <w:rFonts w:ascii="宋体" w:hAnsi="宋体" w:eastAsia="宋体" w:cs="宋体"/>
          <w:color w:val="auto"/>
          <w:spacing w:val="-3"/>
          <w:sz w:val="21"/>
          <w:szCs w:val="21"/>
          <w:highlight w:val="none"/>
        </w:rPr>
        <w:t>项要求对技术标采用模块化暗标方式， 如果</w:t>
      </w:r>
      <w:r>
        <w:rPr>
          <w:rFonts w:ascii="宋体" w:hAnsi="宋体" w:eastAsia="宋体" w:cs="宋体"/>
          <w:color w:val="auto"/>
          <w:sz w:val="21"/>
          <w:szCs w:val="21"/>
          <w:highlight w:val="none"/>
        </w:rPr>
        <w:t xml:space="preserve"> 技术标只进行合格性审查的， 也应在初步评审阶段完成。所有被否决的投标，在上述评审</w:t>
      </w:r>
      <w:r>
        <w:rPr>
          <w:rFonts w:ascii="宋体" w:hAnsi="宋体" w:eastAsia="宋体" w:cs="宋体"/>
          <w:color w:val="auto"/>
          <w:spacing w:val="10"/>
          <w:sz w:val="21"/>
          <w:szCs w:val="21"/>
          <w:highlight w:val="none"/>
        </w:rPr>
        <w:t xml:space="preserve"> </w:t>
      </w:r>
      <w:r>
        <w:rPr>
          <w:rFonts w:ascii="宋体" w:hAnsi="宋体" w:eastAsia="宋体" w:cs="宋体"/>
          <w:color w:val="auto"/>
          <w:spacing w:val="3"/>
          <w:sz w:val="21"/>
          <w:szCs w:val="21"/>
          <w:highlight w:val="none"/>
        </w:rPr>
        <w:t>完成后再公开其暗标编号与投标人名称之间的对应关系。被否决的投标不再进</w:t>
      </w:r>
      <w:r>
        <w:rPr>
          <w:rFonts w:ascii="宋体" w:hAnsi="宋体" w:eastAsia="宋体" w:cs="宋体"/>
          <w:color w:val="auto"/>
          <w:spacing w:val="2"/>
          <w:sz w:val="21"/>
          <w:szCs w:val="21"/>
          <w:highlight w:val="none"/>
        </w:rPr>
        <w:t>入详细评审</w:t>
      </w:r>
    </w:p>
    <w:p w14:paraId="6612C3D5">
      <w:pPr>
        <w:spacing w:line="222" w:lineRule="auto"/>
        <w:ind w:left="27"/>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阶段。</w:t>
      </w:r>
    </w:p>
    <w:p w14:paraId="4B9205DC">
      <w:pPr>
        <w:spacing w:before="146"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pacing w:val="-1"/>
          <w:sz w:val="21"/>
          <w:szCs w:val="21"/>
          <w:highlight w:val="none"/>
        </w:rPr>
        <w:t xml:space="preserve">A6.2 </w:t>
      </w:r>
      <w:r>
        <w:rPr>
          <w:rFonts w:ascii="黑体" w:hAnsi="黑体" w:eastAsia="黑体" w:cs="黑体"/>
          <w:color w:val="auto"/>
          <w:spacing w:val="-1"/>
          <w:sz w:val="21"/>
          <w:szCs w:val="21"/>
          <w:highlight w:val="none"/>
        </w:rPr>
        <w:t>关于评标活动暂停</w:t>
      </w:r>
    </w:p>
    <w:p w14:paraId="25D82006">
      <w:pPr>
        <w:spacing w:before="153" w:line="399" w:lineRule="exact"/>
        <w:jc w:val="right"/>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A6.2.1 评标委员会应当执行连续评标的原则，</w:t>
      </w:r>
      <w:r>
        <w:rPr>
          <w:rFonts w:ascii="宋体" w:hAnsi="宋体" w:eastAsia="宋体" w:cs="宋体"/>
          <w:color w:val="auto"/>
          <w:spacing w:val="53"/>
          <w:position w:val="14"/>
          <w:sz w:val="21"/>
          <w:szCs w:val="21"/>
          <w:highlight w:val="none"/>
        </w:rPr>
        <w:t xml:space="preserve"> </w:t>
      </w:r>
      <w:r>
        <w:rPr>
          <w:rFonts w:ascii="宋体" w:hAnsi="宋体" w:eastAsia="宋体" w:cs="宋体"/>
          <w:color w:val="auto"/>
          <w:spacing w:val="-4"/>
          <w:position w:val="14"/>
          <w:sz w:val="21"/>
          <w:szCs w:val="21"/>
          <w:highlight w:val="none"/>
        </w:rPr>
        <w:t>按评标办法中规定的程序</w:t>
      </w:r>
      <w:r>
        <w:rPr>
          <w:rFonts w:ascii="宋体" w:hAnsi="宋体" w:eastAsia="宋体" w:cs="宋体"/>
          <w:color w:val="auto"/>
          <w:spacing w:val="-5"/>
          <w:position w:val="14"/>
          <w:sz w:val="21"/>
          <w:szCs w:val="21"/>
          <w:highlight w:val="none"/>
        </w:rPr>
        <w:t>、内容、方法、</w:t>
      </w:r>
    </w:p>
    <w:p w14:paraId="1DB4EA08">
      <w:pPr>
        <w:spacing w:line="220" w:lineRule="auto"/>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标准完成全部评标工作。只有发生不可抗力导</w:t>
      </w:r>
      <w:r>
        <w:rPr>
          <w:rFonts w:ascii="宋体" w:hAnsi="宋体" w:eastAsia="宋体" w:cs="宋体"/>
          <w:color w:val="auto"/>
          <w:spacing w:val="-1"/>
          <w:sz w:val="21"/>
          <w:szCs w:val="21"/>
          <w:highlight w:val="none"/>
        </w:rPr>
        <w:t>致评标工作无法继续时， 评标活动方可暂停。</w:t>
      </w:r>
    </w:p>
    <w:p w14:paraId="07F149DE">
      <w:pPr>
        <w:spacing w:before="148" w:line="403" w:lineRule="exact"/>
        <w:ind w:left="434"/>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A6.2.2 发生评标暂停情况时，</w:t>
      </w:r>
      <w:r>
        <w:rPr>
          <w:rFonts w:ascii="宋体" w:hAnsi="宋体" w:eastAsia="宋体" w:cs="宋体"/>
          <w:color w:val="auto"/>
          <w:spacing w:val="51"/>
          <w:position w:val="14"/>
          <w:sz w:val="21"/>
          <w:szCs w:val="21"/>
          <w:highlight w:val="none"/>
        </w:rPr>
        <w:t xml:space="preserve"> </w:t>
      </w:r>
      <w:r>
        <w:rPr>
          <w:rFonts w:ascii="宋体" w:hAnsi="宋体" w:eastAsia="宋体" w:cs="宋体"/>
          <w:color w:val="auto"/>
          <w:spacing w:val="-3"/>
          <w:position w:val="14"/>
          <w:sz w:val="21"/>
          <w:szCs w:val="21"/>
          <w:highlight w:val="none"/>
        </w:rPr>
        <w:t>评标委员会应当封存</w:t>
      </w:r>
      <w:r>
        <w:rPr>
          <w:rFonts w:ascii="宋体" w:hAnsi="宋体" w:eastAsia="宋体" w:cs="宋体"/>
          <w:color w:val="auto"/>
          <w:spacing w:val="-4"/>
          <w:position w:val="14"/>
          <w:sz w:val="21"/>
          <w:szCs w:val="21"/>
          <w:highlight w:val="none"/>
        </w:rPr>
        <w:t>全部投标文件和评标记录，待不可</w:t>
      </w:r>
    </w:p>
    <w:p w14:paraId="2E5821E7">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抗力的影响结束且具备继续评标的条件时，由原评标委员会继续评标。</w:t>
      </w:r>
    </w:p>
    <w:p w14:paraId="0E638C4F">
      <w:pPr>
        <w:spacing w:line="219" w:lineRule="auto"/>
        <w:rPr>
          <w:rFonts w:ascii="宋体" w:hAnsi="宋体" w:eastAsia="宋体" w:cs="宋体"/>
          <w:color w:val="auto"/>
          <w:sz w:val="21"/>
          <w:szCs w:val="21"/>
          <w:highlight w:val="none"/>
        </w:rPr>
        <w:sectPr>
          <w:footerReference r:id="rId74" w:type="default"/>
          <w:pgSz w:w="11905" w:h="16839"/>
          <w:pgMar w:top="1431" w:right="1613" w:bottom="996" w:left="1785" w:header="0" w:footer="791" w:gutter="0"/>
          <w:pgNumType w:fmt="decimal"/>
          <w:cols w:space="720" w:num="1"/>
        </w:sectPr>
      </w:pPr>
    </w:p>
    <w:p w14:paraId="3260E490">
      <w:pPr>
        <w:spacing w:before="149" w:line="219" w:lineRule="auto"/>
        <w:ind w:left="11"/>
        <w:rPr>
          <w:rFonts w:ascii="黑体" w:hAnsi="黑体" w:eastAsia="黑体" w:cs="黑体"/>
          <w:color w:val="auto"/>
          <w:sz w:val="21"/>
          <w:szCs w:val="21"/>
          <w:highlight w:val="none"/>
        </w:rPr>
      </w:pPr>
      <w:bookmarkStart w:id="184" w:name="bookmark212"/>
      <w:bookmarkEnd w:id="184"/>
      <w:r>
        <w:rPr>
          <w:rFonts w:ascii="Times New Roman" w:hAnsi="Times New Roman" w:eastAsia="Times New Roman" w:cs="Times New Roman"/>
          <w:color w:val="auto"/>
          <w:spacing w:val="-1"/>
          <w:sz w:val="21"/>
          <w:szCs w:val="21"/>
          <w:highlight w:val="none"/>
        </w:rPr>
        <w:t xml:space="preserve">A6.3 </w:t>
      </w:r>
      <w:r>
        <w:rPr>
          <w:rFonts w:ascii="黑体" w:hAnsi="黑体" w:eastAsia="黑体" w:cs="黑体"/>
          <w:color w:val="auto"/>
          <w:spacing w:val="-1"/>
          <w:sz w:val="21"/>
          <w:szCs w:val="21"/>
          <w:highlight w:val="none"/>
        </w:rPr>
        <w:t>关于评标中途更换评标委员会成员</w:t>
      </w:r>
    </w:p>
    <w:p w14:paraId="7993885F">
      <w:pPr>
        <w:spacing w:before="148" w:line="353" w:lineRule="auto"/>
        <w:ind w:left="446" w:right="1310" w:hanging="12"/>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A6.3.1</w:t>
      </w:r>
      <w:r>
        <w:rPr>
          <w:rFonts w:ascii="宋体" w:hAnsi="宋体" w:eastAsia="宋体" w:cs="宋体"/>
          <w:color w:val="auto"/>
          <w:spacing w:val="-31"/>
          <w:sz w:val="21"/>
          <w:szCs w:val="21"/>
          <w:highlight w:val="none"/>
        </w:rPr>
        <w:t xml:space="preserve"> </w:t>
      </w:r>
      <w:r>
        <w:rPr>
          <w:rFonts w:ascii="宋体" w:hAnsi="宋体" w:eastAsia="宋体" w:cs="宋体"/>
          <w:color w:val="auto"/>
          <w:spacing w:val="-2"/>
          <w:sz w:val="21"/>
          <w:szCs w:val="21"/>
          <w:highlight w:val="none"/>
        </w:rPr>
        <w:t>除非发生下列情况之一，评标委员会成</w:t>
      </w:r>
      <w:r>
        <w:rPr>
          <w:rFonts w:ascii="宋体" w:hAnsi="宋体" w:eastAsia="宋体" w:cs="宋体"/>
          <w:color w:val="auto"/>
          <w:spacing w:val="-3"/>
          <w:sz w:val="21"/>
          <w:szCs w:val="21"/>
          <w:highlight w:val="none"/>
        </w:rPr>
        <w:t xml:space="preserve">员不得在评标中途更换： </w:t>
      </w:r>
      <w:r>
        <w:rPr>
          <w:rFonts w:ascii="宋体" w:hAnsi="宋体" w:eastAsia="宋体" w:cs="宋体"/>
          <w:color w:val="auto"/>
          <w:spacing w:val="-4"/>
          <w:sz w:val="21"/>
          <w:szCs w:val="21"/>
          <w:highlight w:val="none"/>
        </w:rPr>
        <w:t>（1）因不可抗拒的客观原因， 不能到场</w:t>
      </w:r>
      <w:r>
        <w:rPr>
          <w:rFonts w:ascii="宋体" w:hAnsi="宋体" w:eastAsia="宋体" w:cs="宋体"/>
          <w:color w:val="auto"/>
          <w:spacing w:val="-5"/>
          <w:sz w:val="21"/>
          <w:szCs w:val="21"/>
          <w:highlight w:val="none"/>
        </w:rPr>
        <w:t>或需在评标中途退出评标活动。</w:t>
      </w:r>
    </w:p>
    <w:p w14:paraId="35221C6A">
      <w:pPr>
        <w:spacing w:line="219"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（2）根据法律法规规定，某个或某几个评标委员会成员需要回避。</w:t>
      </w:r>
    </w:p>
    <w:p w14:paraId="3B24E3EE">
      <w:pPr>
        <w:spacing w:before="148" w:line="403" w:lineRule="exact"/>
        <w:ind w:right="2"/>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A6.3.2 退出评标的评标委员会成员，</w:t>
      </w:r>
      <w:r>
        <w:rPr>
          <w:rFonts w:ascii="宋体" w:hAnsi="宋体" w:eastAsia="宋体" w:cs="宋体"/>
          <w:color w:val="auto"/>
          <w:position w:val="14"/>
          <w:sz w:val="21"/>
          <w:szCs w:val="21"/>
          <w:highlight w:val="none"/>
        </w:rPr>
        <w:t>其已完成的评标行为无效。由招标人根据本招标</w:t>
      </w:r>
    </w:p>
    <w:p w14:paraId="1928A0F2">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文件规定的评标委员会成员生产方式另行确定替代者进</w:t>
      </w:r>
      <w:r>
        <w:rPr>
          <w:rFonts w:ascii="宋体" w:hAnsi="宋体" w:eastAsia="宋体" w:cs="宋体"/>
          <w:color w:val="auto"/>
          <w:spacing w:val="-2"/>
          <w:sz w:val="21"/>
          <w:szCs w:val="21"/>
          <w:highlight w:val="none"/>
        </w:rPr>
        <w:t>行评标。</w:t>
      </w:r>
    </w:p>
    <w:p w14:paraId="1567EDD9">
      <w:pPr>
        <w:spacing w:before="148" w:line="220" w:lineRule="auto"/>
        <w:ind w:left="11"/>
        <w:rPr>
          <w:rFonts w:ascii="黑体" w:hAnsi="黑体" w:eastAsia="黑体" w:cs="黑体"/>
          <w:color w:val="auto"/>
          <w:sz w:val="21"/>
          <w:szCs w:val="21"/>
          <w:highlight w:val="none"/>
        </w:rPr>
      </w:pPr>
      <w:r>
        <w:rPr>
          <w:rFonts w:ascii="Times New Roman" w:hAnsi="Times New Roman" w:eastAsia="Times New Roman" w:cs="Times New Roman"/>
          <w:color w:val="auto"/>
          <w:sz w:val="21"/>
          <w:szCs w:val="21"/>
          <w:highlight w:val="none"/>
        </w:rPr>
        <w:t xml:space="preserve">A6.4 </w:t>
      </w:r>
      <w:r>
        <w:rPr>
          <w:rFonts w:ascii="黑体" w:hAnsi="黑体" w:eastAsia="黑体" w:cs="黑体"/>
          <w:color w:val="auto"/>
          <w:sz w:val="21"/>
          <w:szCs w:val="21"/>
          <w:highlight w:val="none"/>
        </w:rPr>
        <w:t>评标争议处理</w:t>
      </w:r>
    </w:p>
    <w:p w14:paraId="370D8952">
      <w:pPr>
        <w:spacing w:before="148" w:line="220" w:lineRule="auto"/>
        <w:ind w:left="43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A6.4.1</w:t>
      </w:r>
      <w:r>
        <w:rPr>
          <w:rFonts w:ascii="宋体" w:hAnsi="宋体" w:eastAsia="宋体" w:cs="宋体"/>
          <w:color w:val="auto"/>
          <w:spacing w:val="-29"/>
          <w:sz w:val="21"/>
          <w:szCs w:val="21"/>
          <w:highlight w:val="none"/>
        </w:rPr>
        <w:t xml:space="preserve"> </w:t>
      </w:r>
      <w:r>
        <w:rPr>
          <w:rFonts w:ascii="宋体" w:hAnsi="宋体" w:eastAsia="宋体" w:cs="宋体"/>
          <w:color w:val="auto"/>
          <w:spacing w:val="-1"/>
          <w:sz w:val="21"/>
          <w:szCs w:val="21"/>
          <w:highlight w:val="none"/>
        </w:rPr>
        <w:t>评标委员会全体成员应独立评审，对所提出的评审意见承担个人责任。</w:t>
      </w:r>
    </w:p>
    <w:p w14:paraId="0964F3C6">
      <w:pPr>
        <w:spacing w:before="154" w:line="350" w:lineRule="auto"/>
        <w:ind w:left="17" w:right="2" w:firstLine="4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A6.4.2 在任何评标环节中，需评标委</w:t>
      </w:r>
      <w:r>
        <w:rPr>
          <w:rFonts w:ascii="宋体" w:hAnsi="宋体" w:eastAsia="宋体" w:cs="宋体"/>
          <w:color w:val="auto"/>
          <w:sz w:val="21"/>
          <w:szCs w:val="21"/>
          <w:highlight w:val="none"/>
        </w:rPr>
        <w:t xml:space="preserve">员会就某项定性的评审结论做出表决的，由评标 </w:t>
      </w:r>
      <w:r>
        <w:rPr>
          <w:rFonts w:ascii="宋体" w:hAnsi="宋体" w:eastAsia="宋体" w:cs="宋体"/>
          <w:color w:val="auto"/>
          <w:spacing w:val="3"/>
          <w:sz w:val="21"/>
          <w:szCs w:val="21"/>
          <w:highlight w:val="none"/>
        </w:rPr>
        <w:t>委员会全体成员按照少数服从多数的原则，以记名投票方式表决。表决不得违</w:t>
      </w:r>
      <w:r>
        <w:rPr>
          <w:rFonts w:ascii="宋体" w:hAnsi="宋体" w:eastAsia="宋体" w:cs="宋体"/>
          <w:color w:val="auto"/>
          <w:spacing w:val="2"/>
          <w:sz w:val="21"/>
          <w:szCs w:val="21"/>
          <w:highlight w:val="none"/>
        </w:rPr>
        <w:t>背法律、法</w:t>
      </w:r>
    </w:p>
    <w:p w14:paraId="5247CBF3">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规、规章和招标文件的规定。</w:t>
      </w:r>
    </w:p>
    <w:p w14:paraId="1B6E1152">
      <w:pPr>
        <w:spacing w:before="152" w:line="351" w:lineRule="auto"/>
        <w:ind w:left="19" w:right="1" w:firstLine="41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A6.4.3 评标委员会成员对书面决议或评审结论持有异议的， 可以书面阐述其不同意见</w:t>
      </w:r>
      <w:r>
        <w:rPr>
          <w:rFonts w:ascii="宋体" w:hAnsi="宋体" w:eastAsia="宋体" w:cs="宋体"/>
          <w:color w:val="auto"/>
          <w:sz w:val="21"/>
          <w:szCs w:val="21"/>
          <w:highlight w:val="none"/>
        </w:rPr>
        <w:t xml:space="preserve"> 和理由。拒绝在书面决议或评标报告上签名， 且不陈述其不同意见和理由的，视为同意书</w:t>
      </w:r>
    </w:p>
    <w:p w14:paraId="65C572C4">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面决议或评标结论， 评标委员会应当对此在评标报告中做出书面</w:t>
      </w:r>
      <w:r>
        <w:rPr>
          <w:rFonts w:ascii="宋体" w:hAnsi="宋体" w:eastAsia="宋体" w:cs="宋体"/>
          <w:color w:val="auto"/>
          <w:spacing w:val="-5"/>
          <w:sz w:val="21"/>
          <w:szCs w:val="21"/>
          <w:highlight w:val="none"/>
        </w:rPr>
        <w:t>说明。</w:t>
      </w:r>
    </w:p>
    <w:p w14:paraId="3E4F07AB">
      <w:pPr>
        <w:spacing w:before="129" w:line="220" w:lineRule="auto"/>
        <w:ind w:left="11"/>
        <w:rPr>
          <w:rFonts w:ascii="黑体" w:hAnsi="黑体" w:eastAsia="黑体" w:cs="黑体"/>
          <w:color w:val="auto"/>
          <w:sz w:val="24"/>
          <w:szCs w:val="24"/>
          <w:highlight w:val="none"/>
        </w:rPr>
      </w:pPr>
      <w:r>
        <w:rPr>
          <w:rFonts w:ascii="Times New Roman" w:hAnsi="Times New Roman" w:eastAsia="Times New Roman" w:cs="Times New Roman"/>
          <w:color w:val="auto"/>
          <w:sz w:val="24"/>
          <w:szCs w:val="24"/>
          <w:highlight w:val="none"/>
        </w:rPr>
        <w:t>A7.</w:t>
      </w:r>
      <w:r>
        <w:rPr>
          <w:rFonts w:ascii="黑体" w:hAnsi="黑体" w:eastAsia="黑体" w:cs="黑体"/>
          <w:color w:val="auto"/>
          <w:sz w:val="24"/>
          <w:szCs w:val="24"/>
          <w:highlight w:val="none"/>
        </w:rPr>
        <w:t>补充条款</w:t>
      </w:r>
    </w:p>
    <w:p w14:paraId="7182DC71">
      <w:pPr>
        <w:spacing w:before="171" w:line="332" w:lineRule="exact"/>
        <w:ind w:left="454"/>
        <w:rPr>
          <w:rFonts w:ascii="宋体" w:hAnsi="宋体" w:eastAsia="宋体" w:cs="宋体"/>
          <w:color w:val="auto"/>
          <w:sz w:val="21"/>
          <w:szCs w:val="21"/>
          <w:highlight w:val="none"/>
        </w:rPr>
      </w:pPr>
      <w:r>
        <w:rPr>
          <w:rFonts w:ascii="宋体" w:hAnsi="宋体" w:eastAsia="宋体" w:cs="宋体"/>
          <w:color w:val="auto"/>
          <w:spacing w:val="-5"/>
          <w:position w:val="2"/>
          <w:sz w:val="21"/>
          <w:szCs w:val="21"/>
          <w:highlight w:val="none"/>
        </w:rPr>
        <w:t>……</w:t>
      </w:r>
    </w:p>
    <w:p w14:paraId="37966E9C">
      <w:pPr>
        <w:spacing w:line="332" w:lineRule="exact"/>
        <w:rPr>
          <w:rFonts w:ascii="宋体" w:hAnsi="宋体" w:eastAsia="宋体" w:cs="宋体"/>
          <w:color w:val="auto"/>
          <w:sz w:val="21"/>
          <w:szCs w:val="21"/>
          <w:highlight w:val="none"/>
        </w:rPr>
        <w:sectPr>
          <w:footerReference r:id="rId75" w:type="default"/>
          <w:pgSz w:w="11905" w:h="16839"/>
          <w:pgMar w:top="1431" w:right="1785" w:bottom="992" w:left="1785" w:header="0" w:footer="791" w:gutter="0"/>
          <w:pgNumType w:fmt="decimal"/>
          <w:cols w:space="720" w:num="1"/>
        </w:sectPr>
      </w:pPr>
    </w:p>
    <w:p w14:paraId="762EAB74">
      <w:pPr>
        <w:pStyle w:val="3"/>
        <w:spacing w:before="306" w:line="220" w:lineRule="auto"/>
        <w:ind w:left="32"/>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附件</w:t>
      </w:r>
      <w:r>
        <w:rPr>
          <w:rFonts w:ascii="黑体" w:hAnsi="黑体" w:eastAsia="黑体" w:cs="黑体"/>
          <w:color w:val="auto"/>
          <w:spacing w:val="-42"/>
          <w:sz w:val="24"/>
          <w:szCs w:val="24"/>
          <w:highlight w:val="none"/>
        </w:rPr>
        <w:t xml:space="preserve"> </w:t>
      </w:r>
      <w:r>
        <w:rPr>
          <w:color w:val="auto"/>
          <w:spacing w:val="-5"/>
          <w:sz w:val="24"/>
          <w:szCs w:val="24"/>
          <w:highlight w:val="none"/>
        </w:rPr>
        <w:t>B</w:t>
      </w:r>
      <w:r>
        <w:rPr>
          <w:rFonts w:ascii="黑体" w:hAnsi="黑体" w:eastAsia="黑体" w:cs="黑体"/>
          <w:color w:val="auto"/>
          <w:spacing w:val="-5"/>
          <w:sz w:val="24"/>
          <w:szCs w:val="24"/>
          <w:highlight w:val="none"/>
        </w:rPr>
        <w:t>：否决投标的条件</w:t>
      </w:r>
    </w:p>
    <w:p w14:paraId="0B5800E4">
      <w:pPr>
        <w:pStyle w:val="3"/>
        <w:spacing w:line="427" w:lineRule="auto"/>
        <w:rPr>
          <w:color w:val="auto"/>
          <w:highlight w:val="none"/>
        </w:rPr>
      </w:pPr>
    </w:p>
    <w:p w14:paraId="62A3F042">
      <w:pPr>
        <w:spacing w:before="88" w:line="225" w:lineRule="auto"/>
        <w:ind w:left="3195"/>
        <w:rPr>
          <w:rFonts w:ascii="黑体" w:hAnsi="黑体" w:eastAsia="黑体" w:cs="黑体"/>
          <w:color w:val="auto"/>
          <w:sz w:val="27"/>
          <w:szCs w:val="27"/>
          <w:highlight w:val="none"/>
        </w:rPr>
      </w:pPr>
      <w:bookmarkStart w:id="185" w:name="bookmark213"/>
      <w:bookmarkEnd w:id="185"/>
      <w:r>
        <w:rPr>
          <w:rFonts w:ascii="黑体" w:hAnsi="黑体" w:eastAsia="黑体" w:cs="黑体"/>
          <w:color w:val="auto"/>
          <w:spacing w:val="9"/>
          <w:sz w:val="27"/>
          <w:szCs w:val="27"/>
          <w:highlight w:val="none"/>
          <w14:textOutline w14:w="5050" w14:cap="flat" w14:cmpd="sng">
            <w14:solidFill>
              <w14:srgbClr w14:val="000000"/>
            </w14:solidFill>
            <w14:prstDash w14:val="solid"/>
            <w14:miter w14:val="0"/>
          </w14:textOutline>
        </w:rPr>
        <w:t>否决投标的条件</w:t>
      </w:r>
    </w:p>
    <w:p w14:paraId="6D6BC347">
      <w:pPr>
        <w:spacing w:before="106" w:line="219" w:lineRule="auto"/>
        <w:ind w:left="14"/>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B0.</w:t>
      </w:r>
      <w:r>
        <w:rPr>
          <w:rFonts w:ascii="黑体" w:hAnsi="黑体" w:eastAsia="黑体" w:cs="黑体"/>
          <w:color w:val="auto"/>
          <w:spacing w:val="-1"/>
          <w:sz w:val="24"/>
          <w:szCs w:val="24"/>
          <w:highlight w:val="none"/>
        </w:rPr>
        <w:t>总</w:t>
      </w:r>
      <w:r>
        <w:rPr>
          <w:rFonts w:ascii="黑体" w:hAnsi="黑体" w:eastAsia="黑体" w:cs="黑体"/>
          <w:color w:val="auto"/>
          <w:spacing w:val="14"/>
          <w:sz w:val="24"/>
          <w:szCs w:val="24"/>
          <w:highlight w:val="none"/>
        </w:rPr>
        <w:t xml:space="preserve"> </w:t>
      </w:r>
      <w:r>
        <w:rPr>
          <w:rFonts w:ascii="黑体" w:hAnsi="黑体" w:eastAsia="黑体" w:cs="黑体"/>
          <w:color w:val="auto"/>
          <w:spacing w:val="-1"/>
          <w:sz w:val="24"/>
          <w:szCs w:val="24"/>
          <w:highlight w:val="none"/>
        </w:rPr>
        <w:t>则</w:t>
      </w:r>
    </w:p>
    <w:p w14:paraId="34FB237E">
      <w:pPr>
        <w:spacing w:before="162" w:line="432" w:lineRule="exact"/>
        <w:ind w:left="442"/>
        <w:rPr>
          <w:rFonts w:ascii="宋体" w:hAnsi="宋体" w:eastAsia="宋体" w:cs="宋体"/>
          <w:color w:val="auto"/>
          <w:sz w:val="21"/>
          <w:szCs w:val="21"/>
          <w:highlight w:val="none"/>
        </w:rPr>
      </w:pPr>
      <w:r>
        <w:rPr>
          <w:rFonts w:ascii="宋体" w:hAnsi="宋体" w:eastAsia="宋体" w:cs="宋体"/>
          <w:color w:val="auto"/>
          <w:spacing w:val="3"/>
          <w:position w:val="16"/>
          <w:sz w:val="21"/>
          <w:szCs w:val="21"/>
          <w:highlight w:val="none"/>
        </w:rPr>
        <w:t>本附件所集中列示的否决投标的条件，是本章“评标办法”的组成部分，是对第二章</w:t>
      </w:r>
    </w:p>
    <w:p w14:paraId="24D7244C">
      <w:pPr>
        <w:spacing w:line="219" w:lineRule="auto"/>
        <w:ind w:left="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“投标人须知”和本章正文部分所规定的否决投标的条件的总结和补充，如果出现不一致</w:t>
      </w:r>
    </w:p>
    <w:p w14:paraId="51E1AEAD">
      <w:pPr>
        <w:spacing w:before="178" w:line="383" w:lineRule="exact"/>
        <w:ind w:left="35"/>
        <w:rPr>
          <w:rFonts w:ascii="宋体" w:hAnsi="宋体" w:eastAsia="宋体" w:cs="宋体"/>
          <w:color w:val="auto"/>
          <w:sz w:val="21"/>
          <w:szCs w:val="21"/>
          <w:highlight w:val="none"/>
        </w:rPr>
      </w:pPr>
      <w:r>
        <w:rPr>
          <w:rFonts w:ascii="宋体" w:hAnsi="宋体" w:eastAsia="宋体" w:cs="宋体"/>
          <w:color w:val="auto"/>
          <w:spacing w:val="-9"/>
          <w:position w:val="13"/>
          <w:sz w:val="21"/>
          <w:szCs w:val="21"/>
          <w:highlight w:val="none"/>
        </w:rPr>
        <w:t>的情况，</w:t>
      </w:r>
      <w:r>
        <w:rPr>
          <w:rFonts w:ascii="宋体" w:hAnsi="宋体" w:eastAsia="宋体" w:cs="宋体"/>
          <w:color w:val="auto"/>
          <w:spacing w:val="40"/>
          <w:position w:val="13"/>
          <w:sz w:val="21"/>
          <w:szCs w:val="21"/>
          <w:highlight w:val="none"/>
        </w:rPr>
        <w:t xml:space="preserve"> </w:t>
      </w:r>
      <w:r>
        <w:rPr>
          <w:rFonts w:ascii="宋体" w:hAnsi="宋体" w:eastAsia="宋体" w:cs="宋体"/>
          <w:color w:val="auto"/>
          <w:spacing w:val="-9"/>
          <w:position w:val="13"/>
          <w:sz w:val="21"/>
          <w:szCs w:val="21"/>
          <w:highlight w:val="none"/>
        </w:rPr>
        <w:t>以本章前附表和正文部分的规定为准。</w:t>
      </w:r>
    </w:p>
    <w:p w14:paraId="0D32DEDF">
      <w:pPr>
        <w:spacing w:before="1" w:line="219" w:lineRule="auto"/>
        <w:ind w:left="14"/>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B1.</w:t>
      </w:r>
      <w:r>
        <w:rPr>
          <w:rFonts w:ascii="黑体" w:hAnsi="黑体" w:eastAsia="黑体" w:cs="黑体"/>
          <w:color w:val="auto"/>
          <w:spacing w:val="-1"/>
          <w:sz w:val="24"/>
          <w:szCs w:val="24"/>
          <w:highlight w:val="none"/>
        </w:rPr>
        <w:t>否决投标的条件</w:t>
      </w:r>
    </w:p>
    <w:p w14:paraId="4C22E3DD">
      <w:pPr>
        <w:spacing w:before="161" w:line="220" w:lineRule="auto"/>
        <w:ind w:left="443"/>
        <w:rPr>
          <w:rFonts w:ascii="宋体" w:hAnsi="宋体" w:eastAsia="宋体" w:cs="宋体"/>
          <w:color w:val="auto"/>
          <w:sz w:val="21"/>
          <w:szCs w:val="21"/>
          <w:highlight w:val="none"/>
        </w:rPr>
      </w:pPr>
      <w:r>
        <w:rPr>
          <w:rFonts w:ascii="宋体" w:hAnsi="宋体" w:eastAsia="宋体" w:cs="宋体"/>
          <w:color w:val="auto"/>
          <w:sz w:val="21"/>
          <w:szCs w:val="21"/>
          <w:highlight w:val="none"/>
        </w:rPr>
        <w:t>投标人或其投标文件有下列情形之一的，评标委员</w:t>
      </w:r>
      <w:r>
        <w:rPr>
          <w:rFonts w:ascii="宋体" w:hAnsi="宋体" w:eastAsia="宋体" w:cs="宋体"/>
          <w:color w:val="auto"/>
          <w:spacing w:val="-1"/>
          <w:sz w:val="21"/>
          <w:szCs w:val="21"/>
          <w:highlight w:val="none"/>
        </w:rPr>
        <w:t>会应当否决其投标：</w:t>
      </w:r>
    </w:p>
    <w:p w14:paraId="2F42D747">
      <w:pPr>
        <w:spacing w:before="182" w:line="432" w:lineRule="exact"/>
        <w:ind w:left="436"/>
        <w:rPr>
          <w:rFonts w:ascii="宋体" w:hAnsi="宋体" w:eastAsia="宋体" w:cs="宋体"/>
          <w:color w:val="auto"/>
          <w:sz w:val="21"/>
          <w:szCs w:val="21"/>
          <w:highlight w:val="none"/>
        </w:rPr>
      </w:pPr>
      <w:r>
        <w:rPr>
          <w:rFonts w:ascii="宋体" w:hAnsi="宋体" w:eastAsia="宋体" w:cs="宋体"/>
          <w:color w:val="auto"/>
          <w:spacing w:val="-3"/>
          <w:position w:val="16"/>
          <w:sz w:val="21"/>
          <w:szCs w:val="21"/>
          <w:highlight w:val="none"/>
        </w:rPr>
        <w:t>B1.1 在形式评审、资格评审、响应性评审</w:t>
      </w:r>
      <w:r>
        <w:rPr>
          <w:rFonts w:ascii="宋体" w:hAnsi="宋体" w:eastAsia="宋体" w:cs="宋体"/>
          <w:color w:val="auto"/>
          <w:spacing w:val="-4"/>
          <w:position w:val="16"/>
          <w:sz w:val="21"/>
          <w:szCs w:val="21"/>
          <w:highlight w:val="none"/>
        </w:rPr>
        <w:t>中，</w:t>
      </w:r>
      <w:r>
        <w:rPr>
          <w:rFonts w:ascii="宋体" w:hAnsi="宋体" w:eastAsia="宋体" w:cs="宋体"/>
          <w:color w:val="auto"/>
          <w:spacing w:val="50"/>
          <w:position w:val="16"/>
          <w:sz w:val="21"/>
          <w:szCs w:val="21"/>
          <w:highlight w:val="none"/>
        </w:rPr>
        <w:t xml:space="preserve"> </w:t>
      </w:r>
      <w:r>
        <w:rPr>
          <w:rFonts w:ascii="宋体" w:hAnsi="宋体" w:eastAsia="宋体" w:cs="宋体"/>
          <w:color w:val="auto"/>
          <w:spacing w:val="-4"/>
          <w:position w:val="16"/>
          <w:sz w:val="21"/>
          <w:szCs w:val="21"/>
          <w:highlight w:val="none"/>
        </w:rPr>
        <w:t>评标委员会认定投标人的投标文件不符</w:t>
      </w:r>
    </w:p>
    <w:p w14:paraId="68E19574">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合评标办法前附表中规定的任何一项评审标准的。</w:t>
      </w:r>
      <w:r>
        <w:rPr>
          <w:rFonts w:ascii="宋体" w:hAnsi="宋体" w:eastAsia="宋体" w:cs="宋体"/>
          <w:color w:val="auto"/>
          <w:spacing w:val="-2"/>
          <w:sz w:val="21"/>
          <w:szCs w:val="21"/>
          <w:highlight w:val="none"/>
        </w:rPr>
        <w:t>主要包括以下内容：</w:t>
      </w:r>
    </w:p>
    <w:p w14:paraId="5D031934">
      <w:pPr>
        <w:spacing w:before="178" w:line="432" w:lineRule="exact"/>
        <w:ind w:left="447"/>
        <w:rPr>
          <w:rFonts w:ascii="宋体" w:hAnsi="宋体" w:eastAsia="宋体" w:cs="宋体"/>
          <w:color w:val="auto"/>
          <w:sz w:val="21"/>
          <w:szCs w:val="21"/>
          <w:highlight w:val="none"/>
        </w:rPr>
      </w:pPr>
      <w:r>
        <w:rPr>
          <w:rFonts w:ascii="宋体" w:hAnsi="宋体" w:eastAsia="宋体" w:cs="宋体"/>
          <w:color w:val="auto"/>
          <w:position w:val="16"/>
          <w:sz w:val="21"/>
          <w:szCs w:val="21"/>
          <w:highlight w:val="none"/>
        </w:rPr>
        <w:t>（</w:t>
      </w:r>
      <w:r>
        <w:rPr>
          <w:rFonts w:ascii="Times New Roman" w:hAnsi="Times New Roman" w:eastAsia="Times New Roman" w:cs="Times New Roman"/>
          <w:color w:val="auto"/>
          <w:position w:val="16"/>
          <w:sz w:val="21"/>
          <w:szCs w:val="21"/>
          <w:highlight w:val="none"/>
        </w:rPr>
        <w:t>1</w:t>
      </w:r>
      <w:r>
        <w:rPr>
          <w:rFonts w:ascii="宋体" w:hAnsi="宋体" w:eastAsia="宋体" w:cs="宋体"/>
          <w:color w:val="auto"/>
          <w:position w:val="16"/>
          <w:sz w:val="21"/>
          <w:szCs w:val="21"/>
          <w:highlight w:val="none"/>
        </w:rPr>
        <w:t>）投标人名称与营业执照、资质证书、安全生产许可证不一致；或提供无效的营业</w:t>
      </w:r>
    </w:p>
    <w:p w14:paraId="06F17BC4">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执照、资质证书、安全生产许可证的；</w:t>
      </w:r>
    </w:p>
    <w:p w14:paraId="12C345B9">
      <w:pPr>
        <w:spacing w:before="177" w:line="432" w:lineRule="exact"/>
        <w:ind w:left="447"/>
        <w:rPr>
          <w:rFonts w:ascii="宋体" w:hAnsi="宋体" w:eastAsia="宋体" w:cs="宋体"/>
          <w:color w:val="auto"/>
          <w:sz w:val="21"/>
          <w:szCs w:val="21"/>
          <w:highlight w:val="none"/>
        </w:rPr>
      </w:pPr>
      <w:r>
        <w:rPr>
          <w:rFonts w:ascii="宋体" w:hAnsi="宋体" w:eastAsia="宋体" w:cs="宋体"/>
          <w:color w:val="auto"/>
          <w:spacing w:val="-1"/>
          <w:position w:val="16"/>
          <w:sz w:val="21"/>
          <w:szCs w:val="21"/>
          <w:highlight w:val="none"/>
        </w:rPr>
        <w:t>（</w:t>
      </w:r>
      <w:r>
        <w:rPr>
          <w:rFonts w:ascii="Times New Roman" w:hAnsi="Times New Roman" w:eastAsia="Times New Roman" w:cs="Times New Roman"/>
          <w:color w:val="auto"/>
          <w:spacing w:val="-1"/>
          <w:position w:val="16"/>
          <w:sz w:val="21"/>
          <w:szCs w:val="21"/>
          <w:highlight w:val="none"/>
        </w:rPr>
        <w:t>2</w:t>
      </w:r>
      <w:r>
        <w:rPr>
          <w:rFonts w:ascii="宋体" w:hAnsi="宋体" w:eastAsia="宋体" w:cs="宋体"/>
          <w:color w:val="auto"/>
          <w:spacing w:val="-1"/>
          <w:position w:val="16"/>
          <w:sz w:val="21"/>
          <w:szCs w:val="21"/>
          <w:highlight w:val="none"/>
        </w:rPr>
        <w:t xml:space="preserve">）未按照第二章“投标人须知”第 </w:t>
      </w:r>
      <w:r>
        <w:rPr>
          <w:rFonts w:ascii="Times New Roman" w:hAnsi="Times New Roman" w:eastAsia="Times New Roman" w:cs="Times New Roman"/>
          <w:color w:val="auto"/>
          <w:spacing w:val="-1"/>
          <w:position w:val="16"/>
          <w:sz w:val="21"/>
          <w:szCs w:val="21"/>
          <w:highlight w:val="none"/>
        </w:rPr>
        <w:t>3.7.3</w:t>
      </w:r>
      <w:r>
        <w:rPr>
          <w:rFonts w:ascii="宋体" w:hAnsi="宋体" w:eastAsia="宋体" w:cs="宋体"/>
          <w:color w:val="auto"/>
          <w:spacing w:val="-1"/>
          <w:position w:val="16"/>
          <w:sz w:val="21"/>
          <w:szCs w:val="21"/>
          <w:highlight w:val="none"/>
        </w:rPr>
        <w:t>（</w:t>
      </w:r>
      <w:r>
        <w:rPr>
          <w:rFonts w:ascii="Times New Roman" w:hAnsi="Times New Roman" w:eastAsia="Times New Roman" w:cs="Times New Roman"/>
          <w:color w:val="auto"/>
          <w:spacing w:val="-1"/>
          <w:position w:val="16"/>
          <w:sz w:val="21"/>
          <w:szCs w:val="21"/>
          <w:highlight w:val="none"/>
        </w:rPr>
        <w:t>4</w:t>
      </w:r>
      <w:r>
        <w:rPr>
          <w:rFonts w:ascii="宋体" w:hAnsi="宋体" w:eastAsia="宋体" w:cs="宋体"/>
          <w:color w:val="auto"/>
          <w:spacing w:val="-1"/>
          <w:position w:val="16"/>
          <w:sz w:val="21"/>
          <w:szCs w:val="21"/>
          <w:highlight w:val="none"/>
        </w:rPr>
        <w:t>）</w:t>
      </w:r>
      <w:r>
        <w:rPr>
          <w:rFonts w:ascii="宋体" w:hAnsi="宋体" w:eastAsia="宋体" w:cs="宋体"/>
          <w:color w:val="auto"/>
          <w:spacing w:val="-55"/>
          <w:position w:val="16"/>
          <w:sz w:val="21"/>
          <w:szCs w:val="21"/>
          <w:highlight w:val="none"/>
        </w:rPr>
        <w:t xml:space="preserve"> </w:t>
      </w:r>
      <w:r>
        <w:rPr>
          <w:rFonts w:ascii="宋体" w:hAnsi="宋体" w:eastAsia="宋体" w:cs="宋体"/>
          <w:color w:val="auto"/>
          <w:spacing w:val="-1"/>
          <w:position w:val="16"/>
          <w:sz w:val="21"/>
          <w:szCs w:val="21"/>
          <w:highlight w:val="none"/>
        </w:rPr>
        <w:t>目规定和第八章“投标文件格式</w:t>
      </w:r>
      <w:r>
        <w:rPr>
          <w:rFonts w:ascii="宋体" w:hAnsi="宋体" w:eastAsia="宋体" w:cs="宋体"/>
          <w:color w:val="auto"/>
          <w:spacing w:val="-2"/>
          <w:position w:val="16"/>
          <w:sz w:val="21"/>
          <w:szCs w:val="21"/>
          <w:highlight w:val="none"/>
        </w:rPr>
        <w:t>”的</w:t>
      </w:r>
    </w:p>
    <w:p w14:paraId="29063601">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要求进行电子签章的；</w:t>
      </w:r>
    </w:p>
    <w:p w14:paraId="2F0EAE2C">
      <w:pPr>
        <w:spacing w:before="177" w:line="380" w:lineRule="auto"/>
        <w:ind w:left="19" w:firstLine="42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）联合体投标没有提交共同投标协议或共同投标协议未按招标文件提供的格式签署、</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提交， 未明确联合体牵头人和各方权利与义务，未承诺就中标项目向招标人承担连带责任</w:t>
      </w:r>
    </w:p>
    <w:p w14:paraId="0E988AFC">
      <w:pPr>
        <w:spacing w:line="221" w:lineRule="auto"/>
        <w:ind w:left="35"/>
        <w:rPr>
          <w:rFonts w:ascii="宋体" w:hAnsi="宋体" w:eastAsia="宋体" w:cs="宋体"/>
          <w:color w:val="auto"/>
          <w:sz w:val="21"/>
          <w:szCs w:val="21"/>
          <w:highlight w:val="none"/>
        </w:rPr>
      </w:pPr>
      <w:r>
        <w:rPr>
          <w:rFonts w:ascii="宋体" w:hAnsi="宋体" w:eastAsia="宋体" w:cs="宋体"/>
          <w:color w:val="auto"/>
          <w:spacing w:val="-28"/>
          <w:sz w:val="21"/>
          <w:szCs w:val="21"/>
          <w:highlight w:val="none"/>
        </w:rPr>
        <w:t>的（如有</w:t>
      </w:r>
      <w:r>
        <w:rPr>
          <w:rFonts w:ascii="宋体" w:hAnsi="宋体" w:eastAsia="宋体" w:cs="宋体"/>
          <w:color w:val="auto"/>
          <w:spacing w:val="-14"/>
          <w:sz w:val="21"/>
          <w:szCs w:val="21"/>
          <w:highlight w:val="none"/>
        </w:rPr>
        <w:t>）；</w:t>
      </w:r>
    </w:p>
    <w:p w14:paraId="411B4C6D">
      <w:pPr>
        <w:spacing w:before="176" w:line="432" w:lineRule="exact"/>
        <w:ind w:left="447"/>
        <w:rPr>
          <w:rFonts w:ascii="宋体" w:hAnsi="宋体" w:eastAsia="宋体" w:cs="宋体"/>
          <w:color w:val="auto"/>
          <w:sz w:val="21"/>
          <w:szCs w:val="21"/>
          <w:highlight w:val="none"/>
        </w:rPr>
      </w:pPr>
      <w:r>
        <w:rPr>
          <w:rFonts w:ascii="宋体" w:hAnsi="宋体" w:eastAsia="宋体" w:cs="宋体"/>
          <w:color w:val="auto"/>
          <w:position w:val="17"/>
          <w:sz w:val="21"/>
          <w:szCs w:val="21"/>
          <w:highlight w:val="none"/>
        </w:rPr>
        <w:t>（</w:t>
      </w:r>
      <w:r>
        <w:rPr>
          <w:rFonts w:ascii="Times New Roman" w:hAnsi="Times New Roman" w:eastAsia="Times New Roman" w:cs="Times New Roman"/>
          <w:color w:val="auto"/>
          <w:position w:val="17"/>
          <w:sz w:val="21"/>
          <w:szCs w:val="21"/>
          <w:highlight w:val="none"/>
        </w:rPr>
        <w:t>4</w:t>
      </w:r>
      <w:r>
        <w:rPr>
          <w:rFonts w:ascii="宋体" w:hAnsi="宋体" w:eastAsia="宋体" w:cs="宋体"/>
          <w:color w:val="auto"/>
          <w:position w:val="17"/>
          <w:sz w:val="21"/>
          <w:szCs w:val="21"/>
          <w:highlight w:val="none"/>
        </w:rPr>
        <w:t>）同一投标人提交两个以上不同的投标文件或者投标报价的（但招标文件要求提交</w:t>
      </w:r>
    </w:p>
    <w:p w14:paraId="385E44D1">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备选投标的除外</w:t>
      </w:r>
      <w:r>
        <w:rPr>
          <w:rFonts w:ascii="宋体" w:hAnsi="宋体" w:eastAsia="宋体" w:cs="宋体"/>
          <w:color w:val="auto"/>
          <w:spacing w:val="-18"/>
          <w:sz w:val="21"/>
          <w:szCs w:val="21"/>
          <w:highlight w:val="none"/>
        </w:rPr>
        <w:t>）；</w:t>
      </w:r>
    </w:p>
    <w:p w14:paraId="18082439">
      <w:pPr>
        <w:spacing w:before="176" w:line="219"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5</w:t>
      </w:r>
      <w:r>
        <w:rPr>
          <w:rFonts w:ascii="宋体" w:hAnsi="宋体" w:eastAsia="宋体" w:cs="宋体"/>
          <w:color w:val="auto"/>
          <w:spacing w:val="-2"/>
          <w:sz w:val="21"/>
          <w:szCs w:val="21"/>
          <w:highlight w:val="none"/>
        </w:rPr>
        <w:t>）未按照招标文件的要求报送应有的投标报价表格的；</w:t>
      </w:r>
    </w:p>
    <w:p w14:paraId="7A4F5964">
      <w:pPr>
        <w:spacing w:before="182"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6</w:t>
      </w:r>
      <w:r>
        <w:rPr>
          <w:rFonts w:ascii="宋体" w:hAnsi="宋体" w:eastAsia="宋体" w:cs="宋体"/>
          <w:color w:val="auto"/>
          <w:spacing w:val="-2"/>
          <w:sz w:val="21"/>
          <w:szCs w:val="21"/>
          <w:highlight w:val="none"/>
        </w:rPr>
        <w:t>）项目经理二次刷卡实名认证未通过的；</w:t>
      </w:r>
    </w:p>
    <w:p w14:paraId="77BF7637">
      <w:pPr>
        <w:spacing w:before="181"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7</w:t>
      </w:r>
      <w:r>
        <w:rPr>
          <w:rFonts w:ascii="宋体" w:hAnsi="宋体" w:eastAsia="宋体" w:cs="宋体"/>
          <w:color w:val="auto"/>
          <w:spacing w:val="-2"/>
          <w:sz w:val="21"/>
          <w:szCs w:val="21"/>
          <w:highlight w:val="none"/>
        </w:rPr>
        <w:t>）法定代表人或授权委托人未完成实名认证的；</w:t>
      </w:r>
    </w:p>
    <w:p w14:paraId="25A4094A">
      <w:pPr>
        <w:spacing w:before="177"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8</w:t>
      </w:r>
      <w:r>
        <w:rPr>
          <w:rFonts w:ascii="宋体" w:hAnsi="宋体" w:eastAsia="宋体" w:cs="宋体"/>
          <w:color w:val="auto"/>
          <w:spacing w:val="-2"/>
          <w:sz w:val="21"/>
          <w:szCs w:val="21"/>
          <w:highlight w:val="none"/>
        </w:rPr>
        <w:t>）未按招标文件要求编制技术标（暗标）投标文件的；</w:t>
      </w:r>
    </w:p>
    <w:p w14:paraId="393369B3">
      <w:pPr>
        <w:spacing w:before="180"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9</w:t>
      </w:r>
      <w:r>
        <w:rPr>
          <w:rFonts w:ascii="宋体" w:hAnsi="宋体" w:eastAsia="宋体" w:cs="宋体"/>
          <w:color w:val="auto"/>
          <w:spacing w:val="-2"/>
          <w:sz w:val="21"/>
          <w:szCs w:val="21"/>
          <w:highlight w:val="none"/>
        </w:rPr>
        <w:t>）投标人资质条件不符合国家规定和招标文件要求的；</w:t>
      </w:r>
    </w:p>
    <w:p w14:paraId="3468AA88">
      <w:pPr>
        <w:spacing w:before="176" w:line="432" w:lineRule="exact"/>
        <w:ind w:left="447"/>
        <w:rPr>
          <w:rFonts w:ascii="宋体" w:hAnsi="宋体" w:eastAsia="宋体" w:cs="宋体"/>
          <w:color w:val="auto"/>
          <w:sz w:val="21"/>
          <w:szCs w:val="21"/>
          <w:highlight w:val="none"/>
        </w:rPr>
      </w:pPr>
      <w:r>
        <w:rPr>
          <w:rFonts w:ascii="宋体" w:hAnsi="宋体" w:eastAsia="宋体" w:cs="宋体"/>
          <w:color w:val="auto"/>
          <w:spacing w:val="3"/>
          <w:position w:val="16"/>
          <w:sz w:val="21"/>
          <w:szCs w:val="21"/>
          <w:highlight w:val="none"/>
        </w:rPr>
        <w:t>（</w:t>
      </w:r>
      <w:r>
        <w:rPr>
          <w:rFonts w:ascii="Times New Roman" w:hAnsi="Times New Roman" w:eastAsia="Times New Roman" w:cs="Times New Roman"/>
          <w:color w:val="auto"/>
          <w:spacing w:val="3"/>
          <w:position w:val="16"/>
          <w:sz w:val="21"/>
          <w:szCs w:val="21"/>
          <w:highlight w:val="none"/>
        </w:rPr>
        <w:t>10</w:t>
      </w:r>
      <w:r>
        <w:rPr>
          <w:rFonts w:ascii="宋体" w:hAnsi="宋体" w:eastAsia="宋体" w:cs="宋体"/>
          <w:color w:val="auto"/>
          <w:spacing w:val="3"/>
          <w:position w:val="16"/>
          <w:sz w:val="21"/>
          <w:szCs w:val="21"/>
          <w:highlight w:val="none"/>
        </w:rPr>
        <w:t>）项目负责人资格不符合招标文件规定的专业等级要求，或已在</w:t>
      </w:r>
      <w:r>
        <w:rPr>
          <w:rFonts w:ascii="宋体" w:hAnsi="宋体" w:eastAsia="宋体" w:cs="宋体"/>
          <w:color w:val="auto"/>
          <w:spacing w:val="2"/>
          <w:position w:val="16"/>
          <w:sz w:val="21"/>
          <w:szCs w:val="21"/>
          <w:highlight w:val="none"/>
        </w:rPr>
        <w:t>其他在建工程担</w:t>
      </w:r>
    </w:p>
    <w:p w14:paraId="50411892">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任项目经理（同一工程相邻分段发包或者分期施工的除外</w:t>
      </w:r>
      <w:r>
        <w:rPr>
          <w:rFonts w:ascii="宋体" w:hAnsi="宋体" w:eastAsia="宋体" w:cs="宋体"/>
          <w:color w:val="auto"/>
          <w:spacing w:val="-13"/>
          <w:sz w:val="21"/>
          <w:szCs w:val="21"/>
          <w:highlight w:val="none"/>
        </w:rPr>
        <w:t>）；</w:t>
      </w:r>
    </w:p>
    <w:p w14:paraId="7E5AFD05">
      <w:pPr>
        <w:spacing w:before="176"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11</w:t>
      </w:r>
      <w:r>
        <w:rPr>
          <w:rFonts w:ascii="宋体" w:hAnsi="宋体" w:eastAsia="宋体" w:cs="宋体"/>
          <w:color w:val="auto"/>
          <w:spacing w:val="-1"/>
          <w:sz w:val="21"/>
          <w:szCs w:val="21"/>
          <w:highlight w:val="none"/>
        </w:rPr>
        <w:t>）具有投标人须知第</w:t>
      </w:r>
      <w:r>
        <w:rPr>
          <w:rFonts w:ascii="宋体" w:hAnsi="宋体" w:eastAsia="宋体" w:cs="宋体"/>
          <w:color w:val="auto"/>
          <w:spacing w:val="-26"/>
          <w:sz w:val="21"/>
          <w:szCs w:val="21"/>
          <w:highlight w:val="none"/>
        </w:rPr>
        <w:t xml:space="preserve"> </w:t>
      </w:r>
      <w:r>
        <w:rPr>
          <w:rFonts w:ascii="Times New Roman" w:hAnsi="Times New Roman" w:eastAsia="Times New Roman" w:cs="Times New Roman"/>
          <w:color w:val="auto"/>
          <w:spacing w:val="-1"/>
          <w:sz w:val="21"/>
          <w:szCs w:val="21"/>
          <w:highlight w:val="none"/>
        </w:rPr>
        <w:t>1.4.3</w:t>
      </w: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10</w:t>
      </w:r>
      <w:r>
        <w:rPr>
          <w:rFonts w:ascii="宋体" w:hAnsi="宋体" w:eastAsia="宋体" w:cs="宋体"/>
          <w:color w:val="auto"/>
          <w:spacing w:val="-1"/>
          <w:sz w:val="21"/>
          <w:szCs w:val="21"/>
          <w:highlight w:val="none"/>
        </w:rPr>
        <w:t>）</w:t>
      </w:r>
      <w:r>
        <w:rPr>
          <w:rFonts w:ascii="宋体" w:hAnsi="宋体" w:eastAsia="宋体" w:cs="宋体"/>
          <w:color w:val="auto"/>
          <w:spacing w:val="-2"/>
          <w:sz w:val="21"/>
          <w:szCs w:val="21"/>
          <w:highlight w:val="none"/>
        </w:rPr>
        <w:t>至（</w:t>
      </w:r>
      <w:r>
        <w:rPr>
          <w:rFonts w:ascii="Times New Roman" w:hAnsi="Times New Roman" w:eastAsia="Times New Roman" w:cs="Times New Roman"/>
          <w:color w:val="auto"/>
          <w:spacing w:val="-2"/>
          <w:sz w:val="21"/>
          <w:szCs w:val="21"/>
          <w:highlight w:val="none"/>
        </w:rPr>
        <w:t>17</w:t>
      </w:r>
      <w:r>
        <w:rPr>
          <w:rFonts w:ascii="宋体" w:hAnsi="宋体" w:eastAsia="宋体" w:cs="宋体"/>
          <w:color w:val="auto"/>
          <w:spacing w:val="-2"/>
          <w:sz w:val="21"/>
          <w:szCs w:val="21"/>
          <w:highlight w:val="none"/>
        </w:rPr>
        <w:t>）条目规定的情形；</w:t>
      </w:r>
    </w:p>
    <w:p w14:paraId="0C6B1DA1">
      <w:pPr>
        <w:spacing w:before="181"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12</w:t>
      </w:r>
      <w:r>
        <w:rPr>
          <w:rFonts w:ascii="宋体" w:hAnsi="宋体" w:eastAsia="宋体" w:cs="宋体"/>
          <w:color w:val="auto"/>
          <w:spacing w:val="-2"/>
          <w:sz w:val="21"/>
          <w:szCs w:val="21"/>
          <w:highlight w:val="none"/>
        </w:rPr>
        <w:t>）未按招标文件要求提交投标保证金</w:t>
      </w:r>
      <w:r>
        <w:rPr>
          <w:rFonts w:ascii="宋体" w:hAnsi="宋体" w:eastAsia="宋体" w:cs="宋体"/>
          <w:color w:val="auto"/>
          <w:spacing w:val="-3"/>
          <w:sz w:val="21"/>
          <w:szCs w:val="21"/>
          <w:highlight w:val="none"/>
        </w:rPr>
        <w:t>的；</w:t>
      </w:r>
    </w:p>
    <w:p w14:paraId="2357C39F">
      <w:pPr>
        <w:spacing w:before="181" w:line="427" w:lineRule="exact"/>
        <w:ind w:left="447"/>
        <w:rPr>
          <w:rFonts w:ascii="宋体" w:hAnsi="宋体" w:eastAsia="宋体" w:cs="宋体"/>
          <w:color w:val="auto"/>
          <w:sz w:val="21"/>
          <w:szCs w:val="21"/>
          <w:highlight w:val="none"/>
        </w:rPr>
      </w:pPr>
      <w:r>
        <w:rPr>
          <w:rFonts w:ascii="宋体" w:hAnsi="宋体" w:eastAsia="宋体" w:cs="宋体"/>
          <w:color w:val="auto"/>
          <w:spacing w:val="3"/>
          <w:position w:val="16"/>
          <w:sz w:val="21"/>
          <w:szCs w:val="21"/>
          <w:highlight w:val="none"/>
        </w:rPr>
        <w:t>（</w:t>
      </w:r>
      <w:r>
        <w:rPr>
          <w:rFonts w:ascii="Times New Roman" w:hAnsi="Times New Roman" w:eastAsia="Times New Roman" w:cs="Times New Roman"/>
          <w:color w:val="auto"/>
          <w:spacing w:val="3"/>
          <w:position w:val="16"/>
          <w:sz w:val="21"/>
          <w:szCs w:val="21"/>
          <w:highlight w:val="none"/>
        </w:rPr>
        <w:t>13</w:t>
      </w:r>
      <w:r>
        <w:rPr>
          <w:rFonts w:ascii="宋体" w:hAnsi="宋体" w:eastAsia="宋体" w:cs="宋体"/>
          <w:color w:val="auto"/>
          <w:spacing w:val="3"/>
          <w:position w:val="16"/>
          <w:sz w:val="21"/>
          <w:szCs w:val="21"/>
          <w:highlight w:val="none"/>
        </w:rPr>
        <w:t>）投标人填写的清单编码、清单名称、项目特征、计</w:t>
      </w:r>
      <w:r>
        <w:rPr>
          <w:rFonts w:ascii="宋体" w:hAnsi="宋体" w:eastAsia="宋体" w:cs="宋体"/>
          <w:color w:val="auto"/>
          <w:spacing w:val="2"/>
          <w:position w:val="16"/>
          <w:sz w:val="21"/>
          <w:szCs w:val="21"/>
          <w:highlight w:val="none"/>
        </w:rPr>
        <w:t>量单位、工程量与招标文件</w:t>
      </w:r>
    </w:p>
    <w:p w14:paraId="3E4AC6C1">
      <w:pPr>
        <w:spacing w:before="1" w:line="221"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给定的工程量清单不一致的；</w:t>
      </w:r>
    </w:p>
    <w:p w14:paraId="28CFFC7F">
      <w:pPr>
        <w:spacing w:before="180" w:line="219"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14</w:t>
      </w:r>
      <w:r>
        <w:rPr>
          <w:rFonts w:ascii="宋体" w:hAnsi="宋体" w:eastAsia="宋体" w:cs="宋体"/>
          <w:color w:val="auto"/>
          <w:spacing w:val="3"/>
          <w:sz w:val="21"/>
          <w:szCs w:val="21"/>
          <w:highlight w:val="none"/>
        </w:rPr>
        <w:t>）投标人修改招标文件给定的工程量清单中所列价格</w:t>
      </w:r>
      <w:r>
        <w:rPr>
          <w:rFonts w:ascii="宋体" w:hAnsi="宋体" w:eastAsia="宋体" w:cs="宋体"/>
          <w:color w:val="auto"/>
          <w:spacing w:val="2"/>
          <w:sz w:val="21"/>
          <w:szCs w:val="21"/>
          <w:highlight w:val="none"/>
        </w:rPr>
        <w:t>（包括暂列金额、材料暂估</w:t>
      </w:r>
    </w:p>
    <w:p w14:paraId="763D15D2">
      <w:pPr>
        <w:spacing w:line="219" w:lineRule="auto"/>
        <w:rPr>
          <w:rFonts w:ascii="宋体" w:hAnsi="宋体" w:eastAsia="宋体" w:cs="宋体"/>
          <w:color w:val="auto"/>
          <w:sz w:val="21"/>
          <w:szCs w:val="21"/>
          <w:highlight w:val="none"/>
        </w:rPr>
        <w:sectPr>
          <w:footerReference r:id="rId76" w:type="default"/>
          <w:pgSz w:w="11905" w:h="16839"/>
          <w:pgMar w:top="1431" w:right="1614" w:bottom="996" w:left="1785" w:header="0" w:footer="791" w:gutter="0"/>
          <w:pgNumType w:fmt="decimal"/>
          <w:cols w:space="720" w:num="1"/>
        </w:sectPr>
      </w:pPr>
    </w:p>
    <w:p w14:paraId="270D6864">
      <w:pPr>
        <w:spacing w:before="173" w:line="219" w:lineRule="auto"/>
        <w:ind w:left="19"/>
        <w:rPr>
          <w:rFonts w:ascii="宋体" w:hAnsi="宋体" w:eastAsia="宋体" w:cs="宋体"/>
          <w:color w:val="auto"/>
          <w:sz w:val="21"/>
          <w:szCs w:val="21"/>
          <w:highlight w:val="none"/>
        </w:rPr>
      </w:pPr>
      <w:bookmarkStart w:id="186" w:name="bookmark214"/>
      <w:bookmarkEnd w:id="186"/>
      <w:r>
        <w:rPr>
          <w:rFonts w:ascii="宋体" w:hAnsi="宋体" w:eastAsia="宋体" w:cs="宋体"/>
          <w:color w:val="auto"/>
          <w:spacing w:val="-4"/>
          <w:sz w:val="21"/>
          <w:szCs w:val="21"/>
          <w:highlight w:val="none"/>
        </w:rPr>
        <w:t>价、专业工程暂估价等）的；</w:t>
      </w:r>
    </w:p>
    <w:p w14:paraId="75655078">
      <w:pPr>
        <w:spacing w:before="177"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15</w:t>
      </w:r>
      <w:r>
        <w:rPr>
          <w:rFonts w:ascii="宋体" w:hAnsi="宋体" w:eastAsia="宋体" w:cs="宋体"/>
          <w:color w:val="auto"/>
          <w:spacing w:val="-3"/>
          <w:sz w:val="21"/>
          <w:szCs w:val="21"/>
          <w:highlight w:val="none"/>
        </w:rPr>
        <w:t>）工期未响应招标文件规定的；</w:t>
      </w:r>
    </w:p>
    <w:p w14:paraId="646FE9B8">
      <w:pPr>
        <w:spacing w:before="181" w:line="219"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16</w:t>
      </w:r>
      <w:r>
        <w:rPr>
          <w:rFonts w:ascii="宋体" w:hAnsi="宋体" w:eastAsia="宋体" w:cs="宋体"/>
          <w:color w:val="auto"/>
          <w:spacing w:val="-2"/>
          <w:sz w:val="21"/>
          <w:szCs w:val="21"/>
          <w:highlight w:val="none"/>
        </w:rPr>
        <w:t>）投标人不接受算术错误修正后的报</w:t>
      </w:r>
      <w:r>
        <w:rPr>
          <w:rFonts w:ascii="宋体" w:hAnsi="宋体" w:eastAsia="宋体" w:cs="宋体"/>
          <w:color w:val="auto"/>
          <w:spacing w:val="-3"/>
          <w:sz w:val="21"/>
          <w:szCs w:val="21"/>
          <w:highlight w:val="none"/>
        </w:rPr>
        <w:t>价；</w:t>
      </w:r>
    </w:p>
    <w:p w14:paraId="02418F38">
      <w:pPr>
        <w:spacing w:before="177" w:line="432" w:lineRule="exact"/>
        <w:ind w:left="447"/>
        <w:rPr>
          <w:rFonts w:ascii="宋体" w:hAnsi="宋体" w:eastAsia="宋体" w:cs="宋体"/>
          <w:color w:val="auto"/>
          <w:sz w:val="21"/>
          <w:szCs w:val="21"/>
          <w:highlight w:val="none"/>
        </w:rPr>
      </w:pPr>
      <w:r>
        <w:rPr>
          <w:rFonts w:ascii="宋体" w:hAnsi="宋体" w:eastAsia="宋体" w:cs="宋体"/>
          <w:color w:val="auto"/>
          <w:spacing w:val="-4"/>
          <w:position w:val="16"/>
          <w:sz w:val="21"/>
          <w:szCs w:val="21"/>
          <w:highlight w:val="none"/>
        </w:rPr>
        <w:t>（</w:t>
      </w:r>
      <w:r>
        <w:rPr>
          <w:rFonts w:ascii="Times New Roman" w:hAnsi="Times New Roman" w:eastAsia="Times New Roman" w:cs="Times New Roman"/>
          <w:color w:val="auto"/>
          <w:spacing w:val="-4"/>
          <w:position w:val="16"/>
          <w:sz w:val="21"/>
          <w:szCs w:val="21"/>
          <w:highlight w:val="none"/>
        </w:rPr>
        <w:t>17</w:t>
      </w:r>
      <w:r>
        <w:rPr>
          <w:rFonts w:ascii="宋体" w:hAnsi="宋体" w:eastAsia="宋体" w:cs="宋体"/>
          <w:color w:val="auto"/>
          <w:spacing w:val="-4"/>
          <w:position w:val="16"/>
          <w:sz w:val="21"/>
          <w:szCs w:val="21"/>
          <w:highlight w:val="none"/>
        </w:rPr>
        <w:t>）投标报价（含修正后） 高于招标文件设定的最高投标限价的；</w:t>
      </w:r>
    </w:p>
    <w:p w14:paraId="1C9D9A25">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18</w:t>
      </w:r>
      <w:r>
        <w:rPr>
          <w:rFonts w:ascii="宋体" w:hAnsi="宋体" w:eastAsia="宋体" w:cs="宋体"/>
          <w:color w:val="auto"/>
          <w:spacing w:val="-3"/>
          <w:sz w:val="21"/>
          <w:szCs w:val="21"/>
          <w:highlight w:val="none"/>
        </w:rPr>
        <w:t>）质量不满足招标文件规定的；</w:t>
      </w:r>
    </w:p>
    <w:p w14:paraId="67806F6F">
      <w:pPr>
        <w:spacing w:before="180"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19</w:t>
      </w:r>
      <w:r>
        <w:rPr>
          <w:rFonts w:ascii="宋体" w:hAnsi="宋体" w:eastAsia="宋体" w:cs="宋体"/>
          <w:color w:val="auto"/>
          <w:spacing w:val="-2"/>
          <w:sz w:val="21"/>
          <w:szCs w:val="21"/>
          <w:highlight w:val="none"/>
        </w:rPr>
        <w:t>）投标有效期不符合招标文件规定的；</w:t>
      </w:r>
    </w:p>
    <w:p w14:paraId="2DC72AF5">
      <w:pPr>
        <w:spacing w:before="177" w:line="432" w:lineRule="exact"/>
        <w:ind w:left="447"/>
        <w:rPr>
          <w:rFonts w:ascii="宋体" w:hAnsi="宋体" w:eastAsia="宋体" w:cs="宋体"/>
          <w:color w:val="auto"/>
          <w:sz w:val="21"/>
          <w:szCs w:val="21"/>
          <w:highlight w:val="none"/>
        </w:rPr>
      </w:pPr>
      <w:r>
        <w:rPr>
          <w:rFonts w:ascii="宋体" w:hAnsi="宋体" w:eastAsia="宋体" w:cs="宋体"/>
          <w:color w:val="auto"/>
          <w:spacing w:val="-2"/>
          <w:position w:val="16"/>
          <w:sz w:val="21"/>
          <w:szCs w:val="21"/>
          <w:highlight w:val="none"/>
        </w:rPr>
        <w:t>（</w:t>
      </w:r>
      <w:r>
        <w:rPr>
          <w:rFonts w:ascii="Times New Roman" w:hAnsi="Times New Roman" w:eastAsia="Times New Roman" w:cs="Times New Roman"/>
          <w:color w:val="auto"/>
          <w:spacing w:val="-2"/>
          <w:position w:val="16"/>
          <w:sz w:val="21"/>
          <w:szCs w:val="21"/>
          <w:highlight w:val="none"/>
        </w:rPr>
        <w:t>20</w:t>
      </w:r>
      <w:r>
        <w:rPr>
          <w:rFonts w:ascii="宋体" w:hAnsi="宋体" w:eastAsia="宋体" w:cs="宋体"/>
          <w:color w:val="auto"/>
          <w:spacing w:val="-2"/>
          <w:position w:val="16"/>
          <w:sz w:val="21"/>
          <w:szCs w:val="21"/>
          <w:highlight w:val="none"/>
        </w:rPr>
        <w:t>）权利义务承诺不符合或低于招标文件规定的；</w:t>
      </w:r>
    </w:p>
    <w:p w14:paraId="52697102">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21</w:t>
      </w:r>
      <w:r>
        <w:rPr>
          <w:rFonts w:ascii="宋体" w:hAnsi="宋体" w:eastAsia="宋体" w:cs="宋体"/>
          <w:color w:val="auto"/>
          <w:spacing w:val="-3"/>
          <w:sz w:val="21"/>
          <w:szCs w:val="21"/>
          <w:highlight w:val="none"/>
        </w:rPr>
        <w:t>）技术标准和要求不符合招标文件规定的；</w:t>
      </w:r>
    </w:p>
    <w:p w14:paraId="0ED026F1">
      <w:pPr>
        <w:spacing w:before="176"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22</w:t>
      </w:r>
      <w:r>
        <w:rPr>
          <w:rFonts w:ascii="宋体" w:hAnsi="宋体" w:eastAsia="宋体" w:cs="宋体"/>
          <w:color w:val="auto"/>
          <w:spacing w:val="-1"/>
          <w:sz w:val="21"/>
          <w:szCs w:val="21"/>
          <w:highlight w:val="none"/>
        </w:rPr>
        <w:t>）分包计划不符合招标文件规定的。</w:t>
      </w:r>
    </w:p>
    <w:p w14:paraId="6EB63437">
      <w:pPr>
        <w:spacing w:before="181" w:line="220" w:lineRule="auto"/>
        <w:ind w:left="43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B1.2</w:t>
      </w:r>
      <w:r>
        <w:rPr>
          <w:rFonts w:ascii="宋体" w:hAnsi="宋体" w:eastAsia="宋体" w:cs="宋体"/>
          <w:color w:val="auto"/>
          <w:spacing w:val="-31"/>
          <w:sz w:val="21"/>
          <w:szCs w:val="21"/>
          <w:highlight w:val="none"/>
        </w:rPr>
        <w:t xml:space="preserve"> </w:t>
      </w:r>
      <w:r>
        <w:rPr>
          <w:rFonts w:ascii="宋体" w:hAnsi="宋体" w:eastAsia="宋体" w:cs="宋体"/>
          <w:color w:val="auto"/>
          <w:spacing w:val="-2"/>
          <w:sz w:val="21"/>
          <w:szCs w:val="21"/>
          <w:highlight w:val="none"/>
        </w:rPr>
        <w:t>不按评标委员会要求澄清、说明或补正的。</w:t>
      </w:r>
    </w:p>
    <w:p w14:paraId="0FCF559D">
      <w:pPr>
        <w:spacing w:before="177" w:line="220" w:lineRule="auto"/>
        <w:ind w:left="436"/>
        <w:rPr>
          <w:rFonts w:ascii="宋体" w:hAnsi="宋体" w:eastAsia="宋体" w:cs="宋体"/>
          <w:color w:val="auto"/>
          <w:sz w:val="21"/>
          <w:szCs w:val="21"/>
          <w:highlight w:val="none"/>
        </w:rPr>
      </w:pPr>
      <w:r>
        <w:rPr>
          <w:rFonts w:ascii="宋体" w:hAnsi="宋体" w:eastAsia="宋体" w:cs="宋体"/>
          <w:color w:val="auto"/>
          <w:sz w:val="21"/>
          <w:szCs w:val="21"/>
          <w:highlight w:val="none"/>
        </w:rPr>
        <w:t>B1.3</w:t>
      </w:r>
      <w:r>
        <w:rPr>
          <w:rFonts w:ascii="宋体" w:hAnsi="宋体" w:eastAsia="宋体" w:cs="宋体"/>
          <w:color w:val="auto"/>
          <w:spacing w:val="-43"/>
          <w:sz w:val="21"/>
          <w:szCs w:val="21"/>
          <w:highlight w:val="none"/>
        </w:rPr>
        <w:t xml:space="preserve"> </w:t>
      </w:r>
      <w:r>
        <w:rPr>
          <w:rFonts w:ascii="宋体" w:hAnsi="宋体" w:eastAsia="宋体" w:cs="宋体"/>
          <w:color w:val="auto"/>
          <w:sz w:val="21"/>
          <w:szCs w:val="21"/>
          <w:highlight w:val="none"/>
        </w:rPr>
        <w:t>有串通投标、弄虚作假或有其他违法行为的</w:t>
      </w:r>
      <w:r>
        <w:rPr>
          <w:rFonts w:ascii="宋体" w:hAnsi="宋体" w:eastAsia="宋体" w:cs="宋体"/>
          <w:color w:val="auto"/>
          <w:spacing w:val="-1"/>
          <w:sz w:val="21"/>
          <w:szCs w:val="21"/>
          <w:highlight w:val="none"/>
        </w:rPr>
        <w:t>。包括以下内容：</w:t>
      </w:r>
    </w:p>
    <w:p w14:paraId="357A904C">
      <w:pPr>
        <w:spacing w:before="182" w:line="432" w:lineRule="exact"/>
        <w:ind w:left="447"/>
        <w:rPr>
          <w:rFonts w:ascii="宋体" w:hAnsi="宋体" w:eastAsia="宋体" w:cs="宋体"/>
          <w:color w:val="auto"/>
          <w:sz w:val="21"/>
          <w:szCs w:val="21"/>
          <w:highlight w:val="none"/>
        </w:rPr>
      </w:pPr>
      <w:r>
        <w:rPr>
          <w:rFonts w:ascii="宋体" w:hAnsi="宋体" w:eastAsia="宋体" w:cs="宋体"/>
          <w:color w:val="auto"/>
          <w:spacing w:val="-1"/>
          <w:position w:val="16"/>
          <w:sz w:val="21"/>
          <w:szCs w:val="21"/>
          <w:highlight w:val="none"/>
        </w:rPr>
        <w:t>（</w:t>
      </w:r>
      <w:r>
        <w:rPr>
          <w:rFonts w:ascii="Times New Roman" w:hAnsi="Times New Roman" w:eastAsia="Times New Roman" w:cs="Times New Roman"/>
          <w:color w:val="auto"/>
          <w:spacing w:val="-1"/>
          <w:position w:val="16"/>
          <w:sz w:val="21"/>
          <w:szCs w:val="21"/>
          <w:highlight w:val="none"/>
        </w:rPr>
        <w:t>1</w:t>
      </w:r>
      <w:r>
        <w:rPr>
          <w:rFonts w:ascii="宋体" w:hAnsi="宋体" w:eastAsia="宋体" w:cs="宋体"/>
          <w:color w:val="auto"/>
          <w:spacing w:val="-1"/>
          <w:position w:val="16"/>
          <w:sz w:val="21"/>
          <w:szCs w:val="21"/>
          <w:highlight w:val="none"/>
        </w:rPr>
        <w:t>）有下列情形之一的，视为投标人相互串通投标：</w:t>
      </w:r>
    </w:p>
    <w:p w14:paraId="52C5A2C6">
      <w:pPr>
        <w:spacing w:line="218" w:lineRule="auto"/>
        <w:ind w:left="44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①</w:t>
      </w:r>
      <w:r>
        <w:rPr>
          <w:rFonts w:ascii="宋体" w:hAnsi="宋体" w:eastAsia="宋体" w:cs="宋体"/>
          <w:color w:val="auto"/>
          <w:spacing w:val="-36"/>
          <w:sz w:val="21"/>
          <w:szCs w:val="21"/>
          <w:highlight w:val="none"/>
        </w:rPr>
        <w:t xml:space="preserve"> </w:t>
      </w:r>
      <w:r>
        <w:rPr>
          <w:rFonts w:ascii="宋体" w:hAnsi="宋体" w:eastAsia="宋体" w:cs="宋体"/>
          <w:color w:val="auto"/>
          <w:spacing w:val="-2"/>
          <w:sz w:val="21"/>
          <w:szCs w:val="21"/>
          <w:highlight w:val="none"/>
        </w:rPr>
        <w:t>不同投标人的投标文件由同一单位或者个人编制；</w:t>
      </w:r>
    </w:p>
    <w:p w14:paraId="617325EF">
      <w:pPr>
        <w:spacing w:before="180" w:line="218" w:lineRule="auto"/>
        <w:ind w:left="43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②</w:t>
      </w:r>
      <w:r>
        <w:rPr>
          <w:rFonts w:ascii="宋体" w:hAnsi="宋体" w:eastAsia="宋体" w:cs="宋体"/>
          <w:color w:val="auto"/>
          <w:spacing w:val="-35"/>
          <w:sz w:val="21"/>
          <w:szCs w:val="21"/>
          <w:highlight w:val="none"/>
        </w:rPr>
        <w:t xml:space="preserve"> </w:t>
      </w:r>
      <w:r>
        <w:rPr>
          <w:rFonts w:ascii="宋体" w:hAnsi="宋体" w:eastAsia="宋体" w:cs="宋体"/>
          <w:color w:val="auto"/>
          <w:spacing w:val="-2"/>
          <w:sz w:val="21"/>
          <w:szCs w:val="21"/>
          <w:highlight w:val="none"/>
        </w:rPr>
        <w:t>不同投标人委托同一单位或者个人办理投标事宜；</w:t>
      </w:r>
    </w:p>
    <w:p w14:paraId="2BAE7714">
      <w:pPr>
        <w:spacing w:before="183" w:line="428" w:lineRule="exact"/>
        <w:jc w:val="right"/>
        <w:rPr>
          <w:rFonts w:ascii="宋体" w:hAnsi="宋体" w:eastAsia="宋体" w:cs="宋体"/>
          <w:color w:val="auto"/>
          <w:sz w:val="21"/>
          <w:szCs w:val="21"/>
          <w:highlight w:val="none"/>
        </w:rPr>
      </w:pPr>
      <w:r>
        <w:rPr>
          <w:rFonts w:ascii="宋体" w:hAnsi="宋体" w:eastAsia="宋体" w:cs="宋体"/>
          <w:color w:val="auto"/>
          <w:spacing w:val="-1"/>
          <w:position w:val="16"/>
          <w:sz w:val="21"/>
          <w:szCs w:val="21"/>
          <w:highlight w:val="none"/>
        </w:rPr>
        <w:t>③ 不同投标人使用同一电脑等电子设备办理投标事宜（下载招标文件、上传投标文件、</w:t>
      </w:r>
    </w:p>
    <w:p w14:paraId="75CCA921">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授权委托人或项目经理实名认证等关键环节</w:t>
      </w:r>
      <w:r>
        <w:rPr>
          <w:rFonts w:ascii="宋体" w:hAnsi="宋体" w:eastAsia="宋体" w:cs="宋体"/>
          <w:color w:val="auto"/>
          <w:spacing w:val="-15"/>
          <w:sz w:val="21"/>
          <w:szCs w:val="21"/>
          <w:highlight w:val="none"/>
        </w:rPr>
        <w:t>）；</w:t>
      </w:r>
    </w:p>
    <w:p w14:paraId="1890C7CA">
      <w:pPr>
        <w:spacing w:before="181" w:line="218" w:lineRule="auto"/>
        <w:ind w:left="43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④</w:t>
      </w:r>
      <w:r>
        <w:rPr>
          <w:rFonts w:ascii="宋体" w:hAnsi="宋体" w:eastAsia="宋体" w:cs="宋体"/>
          <w:color w:val="auto"/>
          <w:spacing w:val="-33"/>
          <w:sz w:val="21"/>
          <w:szCs w:val="21"/>
          <w:highlight w:val="none"/>
        </w:rPr>
        <w:t xml:space="preserve"> </w:t>
      </w:r>
      <w:r>
        <w:rPr>
          <w:rFonts w:ascii="宋体" w:hAnsi="宋体" w:eastAsia="宋体" w:cs="宋体"/>
          <w:color w:val="auto"/>
          <w:spacing w:val="-2"/>
          <w:sz w:val="21"/>
          <w:szCs w:val="21"/>
          <w:highlight w:val="none"/>
        </w:rPr>
        <w:t>不同投标人的投标文件载明的项目管理成员为同一人；</w:t>
      </w:r>
    </w:p>
    <w:p w14:paraId="65A1E1A5">
      <w:pPr>
        <w:spacing w:before="184" w:line="427" w:lineRule="exact"/>
        <w:ind w:left="439"/>
        <w:rPr>
          <w:rFonts w:ascii="宋体" w:hAnsi="宋体" w:eastAsia="宋体" w:cs="宋体"/>
          <w:color w:val="auto"/>
          <w:sz w:val="21"/>
          <w:szCs w:val="21"/>
          <w:highlight w:val="none"/>
        </w:rPr>
      </w:pPr>
      <w:r>
        <w:rPr>
          <w:rFonts w:ascii="宋体" w:hAnsi="宋体" w:eastAsia="宋体" w:cs="宋体"/>
          <w:color w:val="auto"/>
          <w:spacing w:val="-1"/>
          <w:position w:val="16"/>
          <w:sz w:val="21"/>
          <w:szCs w:val="21"/>
          <w:highlight w:val="none"/>
        </w:rPr>
        <w:t>⑤</w:t>
      </w:r>
      <w:r>
        <w:rPr>
          <w:rFonts w:ascii="宋体" w:hAnsi="宋体" w:eastAsia="宋体" w:cs="宋体"/>
          <w:color w:val="auto"/>
          <w:spacing w:val="-27"/>
          <w:position w:val="16"/>
          <w:sz w:val="21"/>
          <w:szCs w:val="21"/>
          <w:highlight w:val="none"/>
        </w:rPr>
        <w:t xml:space="preserve"> </w:t>
      </w:r>
      <w:r>
        <w:rPr>
          <w:rFonts w:ascii="宋体" w:hAnsi="宋体" w:eastAsia="宋体" w:cs="宋体"/>
          <w:color w:val="auto"/>
          <w:spacing w:val="-1"/>
          <w:position w:val="16"/>
          <w:sz w:val="21"/>
          <w:szCs w:val="21"/>
          <w:highlight w:val="none"/>
        </w:rPr>
        <w:t>不同投标人的投标文件非典型一致或者投标报价呈规律性差异；</w:t>
      </w:r>
    </w:p>
    <w:p w14:paraId="5143C185">
      <w:pPr>
        <w:spacing w:line="218" w:lineRule="auto"/>
        <w:ind w:left="43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⑥</w:t>
      </w:r>
      <w:r>
        <w:rPr>
          <w:rFonts w:ascii="宋体" w:hAnsi="宋体" w:eastAsia="宋体" w:cs="宋体"/>
          <w:color w:val="auto"/>
          <w:spacing w:val="-41"/>
          <w:sz w:val="21"/>
          <w:szCs w:val="21"/>
          <w:highlight w:val="none"/>
        </w:rPr>
        <w:t xml:space="preserve"> </w:t>
      </w:r>
      <w:r>
        <w:rPr>
          <w:rFonts w:ascii="宋体" w:hAnsi="宋体" w:eastAsia="宋体" w:cs="宋体"/>
          <w:color w:val="auto"/>
          <w:spacing w:val="-3"/>
          <w:sz w:val="21"/>
          <w:szCs w:val="21"/>
          <w:highlight w:val="none"/>
        </w:rPr>
        <w:t>不同投标人的投标文件相互混装；</w:t>
      </w:r>
    </w:p>
    <w:p w14:paraId="73C4EB77">
      <w:pPr>
        <w:spacing w:before="184" w:line="427" w:lineRule="exact"/>
        <w:ind w:right="15"/>
        <w:jc w:val="right"/>
        <w:rPr>
          <w:rFonts w:ascii="宋体" w:hAnsi="宋体" w:eastAsia="宋体" w:cs="宋体"/>
          <w:color w:val="auto"/>
          <w:sz w:val="21"/>
          <w:szCs w:val="21"/>
          <w:highlight w:val="none"/>
        </w:rPr>
      </w:pPr>
      <w:r>
        <w:rPr>
          <w:rFonts w:ascii="宋体" w:hAnsi="宋体" w:eastAsia="宋体" w:cs="宋体"/>
          <w:color w:val="auto"/>
          <w:spacing w:val="-1"/>
          <w:position w:val="16"/>
          <w:sz w:val="21"/>
          <w:szCs w:val="21"/>
          <w:highlight w:val="none"/>
        </w:rPr>
        <w:t>⑦ 不同投标人的投标保证金或保函（保险）财务费用从同一单位或者个人的账户转出；</w:t>
      </w:r>
    </w:p>
    <w:p w14:paraId="010C3048">
      <w:pPr>
        <w:spacing w:before="1" w:line="218" w:lineRule="auto"/>
        <w:ind w:left="439"/>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⑧</w:t>
      </w:r>
      <w:r>
        <w:rPr>
          <w:rFonts w:ascii="宋体" w:hAnsi="宋体" w:eastAsia="宋体" w:cs="宋体"/>
          <w:color w:val="auto"/>
          <w:spacing w:val="-55"/>
          <w:sz w:val="21"/>
          <w:szCs w:val="21"/>
          <w:highlight w:val="none"/>
        </w:rPr>
        <w:t xml:space="preserve"> </w:t>
      </w:r>
      <w:r>
        <w:rPr>
          <w:rFonts w:ascii="宋体" w:hAnsi="宋体" w:eastAsia="宋体" w:cs="宋体"/>
          <w:color w:val="auto"/>
          <w:spacing w:val="-8"/>
          <w:sz w:val="21"/>
          <w:szCs w:val="21"/>
          <w:highlight w:val="none"/>
        </w:rPr>
        <w:t>不同投标人的投标文件存在“</w:t>
      </w:r>
      <w:r>
        <w:rPr>
          <w:rFonts w:ascii="Times New Roman" w:hAnsi="Times New Roman" w:eastAsia="Times New Roman" w:cs="Times New Roman"/>
          <w:color w:val="auto"/>
          <w:spacing w:val="-8"/>
          <w:sz w:val="21"/>
          <w:szCs w:val="21"/>
          <w:highlight w:val="none"/>
        </w:rPr>
        <w:t>MAC</w:t>
      </w:r>
      <w:r>
        <w:rPr>
          <w:rFonts w:ascii="Times New Roman" w:hAnsi="Times New Roman" w:eastAsia="Times New Roman" w:cs="Times New Roman"/>
          <w:color w:val="auto"/>
          <w:spacing w:val="-22"/>
          <w:sz w:val="21"/>
          <w:szCs w:val="21"/>
          <w:highlight w:val="none"/>
        </w:rPr>
        <w:t xml:space="preserve"> </w:t>
      </w:r>
      <w:r>
        <w:rPr>
          <w:rFonts w:ascii="宋体" w:hAnsi="宋体" w:eastAsia="宋体" w:cs="宋体"/>
          <w:color w:val="auto"/>
          <w:spacing w:val="-8"/>
          <w:sz w:val="21"/>
          <w:szCs w:val="21"/>
          <w:highlight w:val="none"/>
        </w:rPr>
        <w:t>地址”、“文件创</w:t>
      </w:r>
      <w:r>
        <w:rPr>
          <w:rFonts w:ascii="宋体" w:hAnsi="宋体" w:eastAsia="宋体" w:cs="宋体"/>
          <w:color w:val="auto"/>
          <w:spacing w:val="-9"/>
          <w:sz w:val="21"/>
          <w:szCs w:val="21"/>
          <w:highlight w:val="none"/>
        </w:rPr>
        <w:t>建标识码”、“文件制作机器码”</w:t>
      </w:r>
    </w:p>
    <w:p w14:paraId="54AACC05">
      <w:pPr>
        <w:spacing w:before="183" w:line="221"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等唯一性标识一致等情形。</w:t>
      </w:r>
    </w:p>
    <w:p w14:paraId="3CCDA5F4">
      <w:pPr>
        <w:spacing w:before="176"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）有下列情形之一的，属于弄虚作假行为：</w:t>
      </w:r>
    </w:p>
    <w:p w14:paraId="6B7D85EC">
      <w:pPr>
        <w:spacing w:before="183" w:line="432" w:lineRule="exact"/>
        <w:jc w:val="right"/>
        <w:rPr>
          <w:rFonts w:ascii="宋体" w:hAnsi="宋体" w:eastAsia="宋体" w:cs="宋体"/>
          <w:color w:val="auto"/>
          <w:sz w:val="21"/>
          <w:szCs w:val="21"/>
          <w:highlight w:val="none"/>
        </w:rPr>
      </w:pPr>
      <w:r>
        <w:rPr>
          <w:rFonts w:ascii="宋体" w:hAnsi="宋体" w:eastAsia="宋体" w:cs="宋体"/>
          <w:color w:val="auto"/>
          <w:position w:val="17"/>
          <w:sz w:val="21"/>
          <w:szCs w:val="21"/>
          <w:highlight w:val="none"/>
        </w:rPr>
        <w:t>①</w:t>
      </w:r>
      <w:r>
        <w:rPr>
          <w:rFonts w:ascii="宋体" w:hAnsi="宋体" w:eastAsia="宋体" w:cs="宋体"/>
          <w:color w:val="auto"/>
          <w:spacing w:val="-19"/>
          <w:position w:val="17"/>
          <w:sz w:val="21"/>
          <w:szCs w:val="21"/>
          <w:highlight w:val="none"/>
        </w:rPr>
        <w:t xml:space="preserve"> </w:t>
      </w:r>
      <w:r>
        <w:rPr>
          <w:rFonts w:ascii="宋体" w:hAnsi="宋体" w:eastAsia="宋体" w:cs="宋体"/>
          <w:color w:val="auto"/>
          <w:position w:val="17"/>
          <w:sz w:val="21"/>
          <w:szCs w:val="21"/>
          <w:highlight w:val="none"/>
        </w:rPr>
        <w:t>使用通过受让或者租借等方式获取的资格、资质证书投标的，即以他人名义</w:t>
      </w:r>
      <w:r>
        <w:rPr>
          <w:rFonts w:ascii="宋体" w:hAnsi="宋体" w:eastAsia="宋体" w:cs="宋体"/>
          <w:color w:val="auto"/>
          <w:spacing w:val="-1"/>
          <w:position w:val="17"/>
          <w:sz w:val="21"/>
          <w:szCs w:val="21"/>
          <w:highlight w:val="none"/>
        </w:rPr>
        <w:t>投标的。</w:t>
      </w:r>
    </w:p>
    <w:p w14:paraId="0AA7F991">
      <w:pPr>
        <w:spacing w:line="218" w:lineRule="auto"/>
        <w:ind w:left="43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②</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使用伪造、变造的许可证件；</w:t>
      </w:r>
    </w:p>
    <w:p w14:paraId="7E4ACC3F">
      <w:pPr>
        <w:spacing w:before="179" w:line="218" w:lineRule="auto"/>
        <w:ind w:left="43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③</w:t>
      </w:r>
      <w:r>
        <w:rPr>
          <w:rFonts w:ascii="宋体" w:hAnsi="宋体" w:eastAsia="宋体" w:cs="宋体"/>
          <w:color w:val="auto"/>
          <w:spacing w:val="-36"/>
          <w:sz w:val="21"/>
          <w:szCs w:val="21"/>
          <w:highlight w:val="none"/>
        </w:rPr>
        <w:t xml:space="preserve"> </w:t>
      </w:r>
      <w:r>
        <w:rPr>
          <w:rFonts w:ascii="宋体" w:hAnsi="宋体" w:eastAsia="宋体" w:cs="宋体"/>
          <w:color w:val="auto"/>
          <w:spacing w:val="-3"/>
          <w:sz w:val="21"/>
          <w:szCs w:val="21"/>
          <w:highlight w:val="none"/>
        </w:rPr>
        <w:t>提供虚假的财务状况或者业绩；</w:t>
      </w:r>
    </w:p>
    <w:p w14:paraId="017F5D64">
      <w:pPr>
        <w:spacing w:before="184" w:line="218" w:lineRule="auto"/>
        <w:ind w:left="43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④</w:t>
      </w:r>
      <w:r>
        <w:rPr>
          <w:rFonts w:ascii="宋体" w:hAnsi="宋体" w:eastAsia="宋体" w:cs="宋体"/>
          <w:color w:val="auto"/>
          <w:spacing w:val="-27"/>
          <w:sz w:val="21"/>
          <w:szCs w:val="21"/>
          <w:highlight w:val="none"/>
        </w:rPr>
        <w:t xml:space="preserve"> </w:t>
      </w:r>
      <w:r>
        <w:rPr>
          <w:rFonts w:ascii="宋体" w:hAnsi="宋体" w:eastAsia="宋体" w:cs="宋体"/>
          <w:color w:val="auto"/>
          <w:spacing w:val="-1"/>
          <w:sz w:val="21"/>
          <w:szCs w:val="21"/>
          <w:highlight w:val="none"/>
        </w:rPr>
        <w:t>提供虚假的项目负责人或者主要技术人员简历、社会保险证明；</w:t>
      </w:r>
    </w:p>
    <w:p w14:paraId="729CDFCE">
      <w:pPr>
        <w:spacing w:before="180" w:line="218" w:lineRule="auto"/>
        <w:ind w:left="43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⑤</w:t>
      </w:r>
      <w:r>
        <w:rPr>
          <w:rFonts w:ascii="宋体" w:hAnsi="宋体" w:eastAsia="宋体" w:cs="宋体"/>
          <w:color w:val="auto"/>
          <w:spacing w:val="-37"/>
          <w:sz w:val="21"/>
          <w:szCs w:val="21"/>
          <w:highlight w:val="none"/>
        </w:rPr>
        <w:t xml:space="preserve"> </w:t>
      </w:r>
      <w:r>
        <w:rPr>
          <w:rFonts w:ascii="宋体" w:hAnsi="宋体" w:eastAsia="宋体" w:cs="宋体"/>
          <w:color w:val="auto"/>
          <w:spacing w:val="-4"/>
          <w:sz w:val="21"/>
          <w:szCs w:val="21"/>
          <w:highlight w:val="none"/>
        </w:rPr>
        <w:t>提供虚假的信用状况；</w:t>
      </w:r>
    </w:p>
    <w:p w14:paraId="2B6DE072">
      <w:pPr>
        <w:spacing w:before="184" w:line="218" w:lineRule="auto"/>
        <w:ind w:left="43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⑥</w:t>
      </w:r>
      <w:r>
        <w:rPr>
          <w:rFonts w:ascii="宋体" w:hAnsi="宋体" w:eastAsia="宋体" w:cs="宋体"/>
          <w:color w:val="auto"/>
          <w:spacing w:val="-38"/>
          <w:sz w:val="21"/>
          <w:szCs w:val="21"/>
          <w:highlight w:val="none"/>
        </w:rPr>
        <w:t xml:space="preserve"> </w:t>
      </w:r>
      <w:r>
        <w:rPr>
          <w:rFonts w:ascii="宋体" w:hAnsi="宋体" w:eastAsia="宋体" w:cs="宋体"/>
          <w:color w:val="auto"/>
          <w:spacing w:val="-3"/>
          <w:sz w:val="21"/>
          <w:szCs w:val="21"/>
          <w:highlight w:val="none"/>
        </w:rPr>
        <w:t>其他弄虚作假的行为。</w:t>
      </w:r>
    </w:p>
    <w:p w14:paraId="65CED303">
      <w:pPr>
        <w:spacing w:before="184" w:line="374" w:lineRule="exact"/>
        <w:ind w:left="436"/>
        <w:rPr>
          <w:rFonts w:ascii="宋体" w:hAnsi="宋体" w:eastAsia="宋体" w:cs="宋体"/>
          <w:color w:val="auto"/>
          <w:sz w:val="21"/>
          <w:szCs w:val="21"/>
          <w:highlight w:val="none"/>
        </w:rPr>
      </w:pPr>
      <w:r>
        <w:rPr>
          <w:rFonts w:ascii="宋体" w:hAnsi="宋体" w:eastAsia="宋体" w:cs="宋体"/>
          <w:color w:val="auto"/>
          <w:spacing w:val="-2"/>
          <w:position w:val="12"/>
          <w:sz w:val="21"/>
          <w:szCs w:val="21"/>
          <w:highlight w:val="none"/>
        </w:rPr>
        <w:t>B1.4</w:t>
      </w:r>
      <w:r>
        <w:rPr>
          <w:rFonts w:ascii="宋体" w:hAnsi="宋体" w:eastAsia="宋体" w:cs="宋体"/>
          <w:color w:val="auto"/>
          <w:spacing w:val="-40"/>
          <w:position w:val="12"/>
          <w:sz w:val="21"/>
          <w:szCs w:val="21"/>
          <w:highlight w:val="none"/>
        </w:rPr>
        <w:t xml:space="preserve"> </w:t>
      </w:r>
      <w:r>
        <w:rPr>
          <w:rFonts w:ascii="宋体" w:hAnsi="宋体" w:eastAsia="宋体" w:cs="宋体"/>
          <w:color w:val="auto"/>
          <w:spacing w:val="-2"/>
          <w:position w:val="12"/>
          <w:sz w:val="21"/>
          <w:szCs w:val="21"/>
          <w:highlight w:val="none"/>
        </w:rPr>
        <w:t>有第二章“投标人须知”第</w:t>
      </w:r>
      <w:r>
        <w:rPr>
          <w:rFonts w:ascii="宋体" w:hAnsi="宋体" w:eastAsia="宋体" w:cs="宋体"/>
          <w:color w:val="auto"/>
          <w:spacing w:val="-27"/>
          <w:position w:val="12"/>
          <w:sz w:val="21"/>
          <w:szCs w:val="21"/>
          <w:highlight w:val="none"/>
        </w:rPr>
        <w:t xml:space="preserve"> </w:t>
      </w:r>
      <w:r>
        <w:rPr>
          <w:rFonts w:ascii="宋体" w:hAnsi="宋体" w:eastAsia="宋体" w:cs="宋体"/>
          <w:color w:val="auto"/>
          <w:spacing w:val="-2"/>
          <w:position w:val="12"/>
          <w:sz w:val="21"/>
          <w:szCs w:val="21"/>
          <w:highlight w:val="none"/>
        </w:rPr>
        <w:t>1.4.3</w:t>
      </w:r>
      <w:r>
        <w:rPr>
          <w:rFonts w:ascii="宋体" w:hAnsi="宋体" w:eastAsia="宋体" w:cs="宋体"/>
          <w:color w:val="auto"/>
          <w:spacing w:val="-45"/>
          <w:position w:val="12"/>
          <w:sz w:val="21"/>
          <w:szCs w:val="21"/>
          <w:highlight w:val="none"/>
        </w:rPr>
        <w:t xml:space="preserve"> </w:t>
      </w:r>
      <w:r>
        <w:rPr>
          <w:rFonts w:ascii="宋体" w:hAnsi="宋体" w:eastAsia="宋体" w:cs="宋体"/>
          <w:color w:val="auto"/>
          <w:spacing w:val="-2"/>
          <w:position w:val="12"/>
          <w:sz w:val="21"/>
          <w:szCs w:val="21"/>
          <w:highlight w:val="none"/>
        </w:rPr>
        <w:t>项规定的任何一种情形。包括以下内容：</w:t>
      </w:r>
    </w:p>
    <w:p w14:paraId="22A77C87">
      <w:pPr>
        <w:spacing w:before="1" w:line="219"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1</w:t>
      </w:r>
      <w:r>
        <w:rPr>
          <w:rFonts w:ascii="宋体" w:hAnsi="宋体" w:eastAsia="宋体" w:cs="宋体"/>
          <w:color w:val="auto"/>
          <w:spacing w:val="-4"/>
          <w:sz w:val="21"/>
          <w:szCs w:val="21"/>
          <w:highlight w:val="none"/>
        </w:rPr>
        <w:t>）为招标人不具有独立法人资格的附属机构（单位</w:t>
      </w:r>
      <w:r>
        <w:rPr>
          <w:rFonts w:ascii="宋体" w:hAnsi="宋体" w:eastAsia="宋体" w:cs="宋体"/>
          <w:color w:val="auto"/>
          <w:spacing w:val="-20"/>
          <w:sz w:val="21"/>
          <w:szCs w:val="21"/>
          <w:highlight w:val="none"/>
        </w:rPr>
        <w:t>）；</w:t>
      </w:r>
    </w:p>
    <w:p w14:paraId="51CC5C44">
      <w:pPr>
        <w:spacing w:before="110"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）为本标段前期准备提供设计或咨询服务的，但设计施工总承包</w:t>
      </w:r>
      <w:r>
        <w:rPr>
          <w:rFonts w:ascii="宋体" w:hAnsi="宋体" w:eastAsia="宋体" w:cs="宋体"/>
          <w:color w:val="auto"/>
          <w:spacing w:val="-2"/>
          <w:sz w:val="21"/>
          <w:szCs w:val="21"/>
          <w:highlight w:val="none"/>
        </w:rPr>
        <w:t>的除外；</w:t>
      </w:r>
    </w:p>
    <w:p w14:paraId="5C445337">
      <w:pPr>
        <w:spacing w:line="220" w:lineRule="auto"/>
        <w:rPr>
          <w:rFonts w:ascii="宋体" w:hAnsi="宋体" w:eastAsia="宋体" w:cs="宋体"/>
          <w:color w:val="auto"/>
          <w:sz w:val="21"/>
          <w:szCs w:val="21"/>
          <w:highlight w:val="none"/>
        </w:rPr>
        <w:sectPr>
          <w:footerReference r:id="rId77" w:type="default"/>
          <w:pgSz w:w="11905" w:h="16839"/>
          <w:pgMar w:top="1431" w:right="1614" w:bottom="996" w:left="1785" w:header="0" w:footer="791" w:gutter="0"/>
          <w:pgNumType w:fmt="decimal"/>
          <w:cols w:space="720" w:num="1"/>
        </w:sectPr>
      </w:pPr>
    </w:p>
    <w:p w14:paraId="078DB45C">
      <w:pPr>
        <w:spacing w:before="115" w:line="360" w:lineRule="exact"/>
        <w:ind w:left="447"/>
        <w:rPr>
          <w:rFonts w:ascii="宋体" w:hAnsi="宋体" w:eastAsia="宋体" w:cs="宋体"/>
          <w:color w:val="auto"/>
          <w:sz w:val="21"/>
          <w:szCs w:val="21"/>
          <w:highlight w:val="none"/>
        </w:rPr>
      </w:pPr>
      <w:bookmarkStart w:id="187" w:name="bookmark215"/>
      <w:bookmarkEnd w:id="187"/>
      <w:r>
        <w:rPr>
          <w:rFonts w:ascii="宋体" w:hAnsi="宋体" w:eastAsia="宋体" w:cs="宋体"/>
          <w:color w:val="auto"/>
          <w:spacing w:val="-3"/>
          <w:position w:val="11"/>
          <w:sz w:val="21"/>
          <w:szCs w:val="21"/>
          <w:highlight w:val="none"/>
        </w:rPr>
        <w:t>（</w:t>
      </w:r>
      <w:r>
        <w:rPr>
          <w:rFonts w:ascii="Times New Roman" w:hAnsi="Times New Roman" w:eastAsia="Times New Roman" w:cs="Times New Roman"/>
          <w:color w:val="auto"/>
          <w:spacing w:val="-3"/>
          <w:position w:val="11"/>
          <w:sz w:val="21"/>
          <w:szCs w:val="21"/>
          <w:highlight w:val="none"/>
        </w:rPr>
        <w:t>3</w:t>
      </w:r>
      <w:r>
        <w:rPr>
          <w:rFonts w:ascii="宋体" w:hAnsi="宋体" w:eastAsia="宋体" w:cs="宋体"/>
          <w:color w:val="auto"/>
          <w:spacing w:val="-3"/>
          <w:position w:val="11"/>
          <w:sz w:val="21"/>
          <w:szCs w:val="21"/>
          <w:highlight w:val="none"/>
        </w:rPr>
        <w:t>）为本标段的监理人；</w:t>
      </w:r>
    </w:p>
    <w:p w14:paraId="14DCB8BF">
      <w:pPr>
        <w:spacing w:line="219"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4</w:t>
      </w:r>
      <w:r>
        <w:rPr>
          <w:rFonts w:ascii="宋体" w:hAnsi="宋体" w:eastAsia="宋体" w:cs="宋体"/>
          <w:color w:val="auto"/>
          <w:spacing w:val="-3"/>
          <w:sz w:val="21"/>
          <w:szCs w:val="21"/>
          <w:highlight w:val="none"/>
        </w:rPr>
        <w:t>）为本标段的代建人；</w:t>
      </w:r>
    </w:p>
    <w:p w14:paraId="7696A161">
      <w:pPr>
        <w:spacing w:before="109" w:line="220"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5</w:t>
      </w:r>
      <w:r>
        <w:rPr>
          <w:rFonts w:ascii="宋体" w:hAnsi="宋体" w:eastAsia="宋体" w:cs="宋体"/>
          <w:color w:val="auto"/>
          <w:spacing w:val="-3"/>
          <w:sz w:val="21"/>
          <w:szCs w:val="21"/>
          <w:highlight w:val="none"/>
        </w:rPr>
        <w:t>）为本标段提供招标代理服务；</w:t>
      </w:r>
    </w:p>
    <w:p w14:paraId="2995F059">
      <w:pPr>
        <w:spacing w:before="110"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6</w:t>
      </w:r>
      <w:r>
        <w:rPr>
          <w:rFonts w:ascii="宋体" w:hAnsi="宋体" w:eastAsia="宋体" w:cs="宋体"/>
          <w:color w:val="auto"/>
          <w:spacing w:val="-1"/>
          <w:sz w:val="21"/>
          <w:szCs w:val="21"/>
          <w:highlight w:val="none"/>
        </w:rPr>
        <w:t>）与本标段的监理人或代建人或招标代理机构同为一个法定代表人或单位负责人；</w:t>
      </w:r>
    </w:p>
    <w:p w14:paraId="36EB6289">
      <w:pPr>
        <w:spacing w:before="110"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7</w:t>
      </w:r>
      <w:r>
        <w:rPr>
          <w:rFonts w:ascii="宋体" w:hAnsi="宋体" w:eastAsia="宋体" w:cs="宋体"/>
          <w:color w:val="auto"/>
          <w:spacing w:val="-1"/>
          <w:sz w:val="21"/>
          <w:szCs w:val="21"/>
          <w:highlight w:val="none"/>
        </w:rPr>
        <w:t>）与本标段的监理人或代建人或招标代理机构</w:t>
      </w:r>
      <w:r>
        <w:rPr>
          <w:rFonts w:ascii="宋体" w:hAnsi="宋体" w:eastAsia="宋体" w:cs="宋体"/>
          <w:color w:val="auto"/>
          <w:spacing w:val="-2"/>
          <w:sz w:val="21"/>
          <w:szCs w:val="21"/>
          <w:highlight w:val="none"/>
        </w:rPr>
        <w:t>相互控股或参股；</w:t>
      </w:r>
    </w:p>
    <w:p w14:paraId="6C188214">
      <w:pPr>
        <w:spacing w:before="110" w:line="269" w:lineRule="auto"/>
        <w:ind w:left="20" w:right="116" w:firstLine="426"/>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8</w:t>
      </w:r>
      <w:r>
        <w:rPr>
          <w:rFonts w:ascii="宋体" w:hAnsi="宋体" w:eastAsia="宋体" w:cs="宋体"/>
          <w:color w:val="auto"/>
          <w:sz w:val="21"/>
          <w:szCs w:val="21"/>
          <w:highlight w:val="none"/>
        </w:rPr>
        <w:t>）与本标段的监理人或代建人或招标代理机构的法定代表人或单位</w:t>
      </w:r>
      <w:r>
        <w:rPr>
          <w:rFonts w:ascii="宋体" w:hAnsi="宋体" w:eastAsia="宋体" w:cs="宋体"/>
          <w:color w:val="auto"/>
          <w:spacing w:val="-1"/>
          <w:sz w:val="21"/>
          <w:szCs w:val="21"/>
          <w:highlight w:val="none"/>
        </w:rPr>
        <w:t>负责人相互任职</w:t>
      </w:r>
      <w:r>
        <w:rPr>
          <w:rFonts w:ascii="宋体" w:hAnsi="宋体" w:eastAsia="宋体" w:cs="宋体"/>
          <w:color w:val="auto"/>
          <w:sz w:val="21"/>
          <w:szCs w:val="21"/>
          <w:highlight w:val="none"/>
        </w:rPr>
        <w:t xml:space="preserve"> </w:t>
      </w:r>
      <w:r>
        <w:rPr>
          <w:rFonts w:ascii="宋体" w:hAnsi="宋体" w:eastAsia="宋体" w:cs="宋体"/>
          <w:color w:val="auto"/>
          <w:spacing w:val="-11"/>
          <w:sz w:val="21"/>
          <w:szCs w:val="21"/>
          <w:highlight w:val="none"/>
        </w:rPr>
        <w:t>或工作；</w:t>
      </w:r>
    </w:p>
    <w:p w14:paraId="3CD8E4B5">
      <w:pPr>
        <w:spacing w:before="107" w:line="270" w:lineRule="auto"/>
        <w:ind w:left="35" w:right="104" w:firstLine="411"/>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9</w:t>
      </w:r>
      <w:r>
        <w:rPr>
          <w:rFonts w:ascii="宋体" w:hAnsi="宋体" w:eastAsia="宋体" w:cs="宋体"/>
          <w:color w:val="auto"/>
          <w:sz w:val="21"/>
          <w:szCs w:val="21"/>
          <w:highlight w:val="none"/>
        </w:rPr>
        <w:t>）单位负责人为同一人或者存在控股、管理关系的不同单位，同时参加本标段投标</w:t>
      </w:r>
      <w:r>
        <w:rPr>
          <w:rFonts w:ascii="宋体" w:hAnsi="宋体" w:eastAsia="宋体" w:cs="宋体"/>
          <w:color w:val="auto"/>
          <w:spacing w:val="5"/>
          <w:sz w:val="21"/>
          <w:szCs w:val="21"/>
          <w:highlight w:val="none"/>
        </w:rPr>
        <w:t xml:space="preserve"> </w:t>
      </w:r>
      <w:r>
        <w:rPr>
          <w:rFonts w:ascii="宋体" w:hAnsi="宋体" w:eastAsia="宋体" w:cs="宋体"/>
          <w:color w:val="auto"/>
          <w:spacing w:val="-19"/>
          <w:sz w:val="21"/>
          <w:szCs w:val="21"/>
          <w:highlight w:val="none"/>
        </w:rPr>
        <w:t>的；</w:t>
      </w:r>
    </w:p>
    <w:p w14:paraId="3E6DEEE4">
      <w:pPr>
        <w:spacing w:before="105" w:line="285" w:lineRule="auto"/>
        <w:ind w:left="20" w:right="111" w:firstLine="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10</w:t>
      </w:r>
      <w:r>
        <w:rPr>
          <w:rFonts w:ascii="宋体" w:hAnsi="宋体" w:eastAsia="宋体" w:cs="宋体"/>
          <w:color w:val="auto"/>
          <w:spacing w:val="3"/>
          <w:sz w:val="21"/>
          <w:szCs w:val="21"/>
          <w:highlight w:val="none"/>
        </w:rPr>
        <w:t>）被依法暂停或取消投标资格（指被本招标项目所在</w:t>
      </w:r>
      <w:r>
        <w:rPr>
          <w:rFonts w:ascii="宋体" w:hAnsi="宋体" w:eastAsia="宋体" w:cs="宋体"/>
          <w:color w:val="auto"/>
          <w:spacing w:val="2"/>
          <w:sz w:val="21"/>
          <w:szCs w:val="21"/>
          <w:highlight w:val="none"/>
        </w:rPr>
        <w:t>地县级及以上住房城乡建设</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主管部门或其他行政主管部门暂停或取消投标资格或禁止进入该区域建设</w:t>
      </w:r>
      <w:r>
        <w:rPr>
          <w:rFonts w:ascii="宋体" w:hAnsi="宋体" w:eastAsia="宋体" w:cs="宋体"/>
          <w:color w:val="auto"/>
          <w:spacing w:val="2"/>
          <w:sz w:val="21"/>
          <w:szCs w:val="21"/>
          <w:highlight w:val="none"/>
        </w:rPr>
        <w:t>市场且处于有效</w:t>
      </w:r>
      <w:r>
        <w:rPr>
          <w:rFonts w:ascii="宋体" w:hAnsi="宋体" w:eastAsia="宋体" w:cs="宋体"/>
          <w:color w:val="auto"/>
          <w:sz w:val="21"/>
          <w:szCs w:val="21"/>
          <w:highlight w:val="none"/>
        </w:rPr>
        <w:t xml:space="preserve"> </w:t>
      </w:r>
      <w:r>
        <w:rPr>
          <w:rFonts w:ascii="宋体" w:hAnsi="宋体" w:eastAsia="宋体" w:cs="宋体"/>
          <w:color w:val="auto"/>
          <w:spacing w:val="-38"/>
          <w:w w:val="98"/>
          <w:sz w:val="21"/>
          <w:szCs w:val="21"/>
          <w:highlight w:val="none"/>
        </w:rPr>
        <w:t>期内</w:t>
      </w:r>
      <w:r>
        <w:rPr>
          <w:rFonts w:ascii="宋体" w:hAnsi="宋体" w:eastAsia="宋体" w:cs="宋体"/>
          <w:color w:val="auto"/>
          <w:spacing w:val="-21"/>
          <w:sz w:val="21"/>
          <w:szCs w:val="21"/>
          <w:highlight w:val="none"/>
        </w:rPr>
        <w:t>）；</w:t>
      </w:r>
    </w:p>
    <w:p w14:paraId="08FF44C9">
      <w:pPr>
        <w:spacing w:before="109"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11</w:t>
      </w:r>
      <w:r>
        <w:rPr>
          <w:rFonts w:ascii="宋体" w:hAnsi="宋体" w:eastAsia="宋体" w:cs="宋体"/>
          <w:color w:val="auto"/>
          <w:spacing w:val="-2"/>
          <w:sz w:val="21"/>
          <w:szCs w:val="21"/>
          <w:highlight w:val="none"/>
        </w:rPr>
        <w:t>）被责令停产停业、暂扣或者吊销许可证、暂扣或者吊销执照；</w:t>
      </w:r>
    </w:p>
    <w:p w14:paraId="449B80AC">
      <w:pPr>
        <w:spacing w:before="111" w:line="219"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12</w:t>
      </w:r>
      <w:r>
        <w:rPr>
          <w:rFonts w:ascii="宋体" w:hAnsi="宋体" w:eastAsia="宋体" w:cs="宋体"/>
          <w:color w:val="auto"/>
          <w:spacing w:val="-4"/>
          <w:sz w:val="21"/>
          <w:szCs w:val="21"/>
          <w:highlight w:val="none"/>
        </w:rPr>
        <w:t>）进入清算程序，或被宣告破产， 或其他丧失履约能力的情形；</w:t>
      </w:r>
    </w:p>
    <w:p w14:paraId="55903FB6">
      <w:pPr>
        <w:spacing w:before="111" w:line="268" w:lineRule="auto"/>
        <w:ind w:left="20" w:right="101" w:firstLine="42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13</w:t>
      </w:r>
      <w:r>
        <w:rPr>
          <w:rFonts w:ascii="宋体" w:hAnsi="宋体" w:eastAsia="宋体" w:cs="宋体"/>
          <w:color w:val="auto"/>
          <w:spacing w:val="-2"/>
          <w:sz w:val="21"/>
          <w:szCs w:val="21"/>
          <w:highlight w:val="none"/>
        </w:rPr>
        <w:t>）在最近三年内有骗取中标或严重违约或重大工程质量问题的 （以相关行业主</w:t>
      </w:r>
      <w:r>
        <w:rPr>
          <w:rFonts w:ascii="宋体" w:hAnsi="宋体" w:eastAsia="宋体" w:cs="宋体"/>
          <w:color w:val="auto"/>
          <w:spacing w:val="-19"/>
          <w:sz w:val="21"/>
          <w:szCs w:val="21"/>
          <w:highlight w:val="none"/>
        </w:rPr>
        <w:t xml:space="preserve"> </w:t>
      </w:r>
      <w:r>
        <w:rPr>
          <w:rFonts w:ascii="宋体" w:hAnsi="宋体" w:eastAsia="宋体" w:cs="宋体"/>
          <w:color w:val="auto"/>
          <w:spacing w:val="-2"/>
          <w:sz w:val="21"/>
          <w:szCs w:val="21"/>
          <w:highlight w:val="none"/>
        </w:rPr>
        <w:t>管</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部门的行政处罚决定或司法机关出具的有关法律文书为准</w:t>
      </w:r>
      <w:r>
        <w:rPr>
          <w:rFonts w:ascii="宋体" w:hAnsi="宋体" w:eastAsia="宋体" w:cs="宋体"/>
          <w:color w:val="auto"/>
          <w:spacing w:val="-15"/>
          <w:sz w:val="21"/>
          <w:szCs w:val="21"/>
          <w:highlight w:val="none"/>
        </w:rPr>
        <w:t>）；</w:t>
      </w:r>
    </w:p>
    <w:p w14:paraId="07B4C755">
      <w:pPr>
        <w:spacing w:before="110" w:line="269" w:lineRule="auto"/>
        <w:ind w:left="21" w:right="106" w:firstLine="425"/>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14</w:t>
      </w:r>
      <w:r>
        <w:rPr>
          <w:rFonts w:ascii="宋体" w:hAnsi="宋体" w:eastAsia="宋体" w:cs="宋体"/>
          <w:color w:val="auto"/>
          <w:sz w:val="21"/>
          <w:szCs w:val="21"/>
          <w:highlight w:val="none"/>
        </w:rPr>
        <w:t>）在“国家企业信用信息公示系统”（</w:t>
      </w:r>
      <w:r>
        <w:rPr>
          <w:rFonts w:ascii="Times New Roman" w:hAnsi="Times New Roman" w:eastAsia="Times New Roman" w:cs="Times New Roman"/>
          <w:color w:val="auto"/>
          <w:sz w:val="21"/>
          <w:szCs w:val="21"/>
          <w:highlight w:val="none"/>
        </w:rPr>
        <w:t>www.gsxt.gov.cn</w:t>
      </w:r>
      <w:r>
        <w:rPr>
          <w:rFonts w:ascii="宋体" w:hAnsi="宋体" w:eastAsia="宋体" w:cs="宋体"/>
          <w:color w:val="auto"/>
          <w:sz w:val="21"/>
          <w:szCs w:val="21"/>
          <w:highlight w:val="none"/>
        </w:rPr>
        <w:t>）中被列入严重违法</w:t>
      </w:r>
      <w:r>
        <w:rPr>
          <w:rFonts w:ascii="宋体" w:hAnsi="宋体" w:eastAsia="宋体" w:cs="宋体"/>
          <w:color w:val="auto"/>
          <w:spacing w:val="-1"/>
          <w:sz w:val="21"/>
          <w:szCs w:val="21"/>
          <w:highlight w:val="none"/>
        </w:rPr>
        <w:t>失 信</w:t>
      </w:r>
      <w:r>
        <w:rPr>
          <w:rFonts w:ascii="宋体" w:hAnsi="宋体" w:eastAsia="宋体" w:cs="宋体"/>
          <w:color w:val="auto"/>
          <w:sz w:val="21"/>
          <w:szCs w:val="21"/>
          <w:highlight w:val="none"/>
        </w:rPr>
        <w:t xml:space="preserve"> </w:t>
      </w:r>
      <w:r>
        <w:rPr>
          <w:rFonts w:ascii="宋体" w:hAnsi="宋体" w:eastAsia="宋体" w:cs="宋体"/>
          <w:color w:val="auto"/>
          <w:spacing w:val="-9"/>
          <w:sz w:val="21"/>
          <w:szCs w:val="21"/>
          <w:highlight w:val="none"/>
        </w:rPr>
        <w:t>企业名单；</w:t>
      </w:r>
    </w:p>
    <w:p w14:paraId="4FC88EFA">
      <w:pPr>
        <w:spacing w:before="108" w:line="265" w:lineRule="auto"/>
        <w:ind w:left="24" w:firstLine="422"/>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w:t>
      </w:r>
      <w:r>
        <w:rPr>
          <w:rFonts w:ascii="Times New Roman" w:hAnsi="Times New Roman" w:eastAsia="Times New Roman" w:cs="Times New Roman"/>
          <w:color w:val="auto"/>
          <w:spacing w:val="15"/>
          <w:sz w:val="21"/>
          <w:szCs w:val="21"/>
          <w:highlight w:val="none"/>
        </w:rPr>
        <w:t>15</w:t>
      </w:r>
      <w:r>
        <w:rPr>
          <w:rFonts w:ascii="宋体" w:hAnsi="宋体" w:eastAsia="宋体" w:cs="宋体"/>
          <w:color w:val="auto"/>
          <w:spacing w:val="15"/>
          <w:sz w:val="21"/>
          <w:szCs w:val="21"/>
          <w:highlight w:val="none"/>
        </w:rPr>
        <w:t>）在“信用中国”网站（</w:t>
      </w:r>
      <w:r>
        <w:rPr>
          <w:rFonts w:ascii="Times New Roman" w:hAnsi="Times New Roman" w:eastAsia="Times New Roman" w:cs="Times New Roman"/>
          <w:color w:val="auto"/>
          <w:sz w:val="21"/>
          <w:szCs w:val="21"/>
          <w:highlight w:val="none"/>
        </w:rPr>
        <w:t>www</w:t>
      </w:r>
      <w:r>
        <w:rPr>
          <w:rFonts w:ascii="Times New Roman" w:hAnsi="Times New Roman" w:eastAsia="Times New Roman" w:cs="Times New Roman"/>
          <w:color w:val="auto"/>
          <w:spacing w:val="15"/>
          <w:sz w:val="21"/>
          <w:szCs w:val="21"/>
          <w:highlight w:val="none"/>
        </w:rPr>
        <w:t>.</w:t>
      </w:r>
      <w:r>
        <w:rPr>
          <w:rFonts w:ascii="Times New Roman" w:hAnsi="Times New Roman" w:eastAsia="Times New Roman" w:cs="Times New Roman"/>
          <w:color w:val="auto"/>
          <w:sz w:val="21"/>
          <w:szCs w:val="21"/>
          <w:highlight w:val="none"/>
        </w:rPr>
        <w:t>creditchina</w:t>
      </w:r>
      <w:r>
        <w:rPr>
          <w:rFonts w:ascii="Times New Roman" w:hAnsi="Times New Roman" w:eastAsia="Times New Roman" w:cs="Times New Roman"/>
          <w:color w:val="auto"/>
          <w:spacing w:val="15"/>
          <w:sz w:val="21"/>
          <w:szCs w:val="21"/>
          <w:highlight w:val="none"/>
        </w:rPr>
        <w:t>.</w:t>
      </w:r>
      <w:r>
        <w:rPr>
          <w:rFonts w:ascii="Times New Roman" w:hAnsi="Times New Roman" w:eastAsia="Times New Roman" w:cs="Times New Roman"/>
          <w:color w:val="auto"/>
          <w:sz w:val="21"/>
          <w:szCs w:val="21"/>
          <w:highlight w:val="none"/>
        </w:rPr>
        <w:t>gov</w:t>
      </w:r>
      <w:r>
        <w:rPr>
          <w:rFonts w:ascii="Times New Roman" w:hAnsi="Times New Roman" w:eastAsia="Times New Roman" w:cs="Times New Roman"/>
          <w:color w:val="auto"/>
          <w:spacing w:val="15"/>
          <w:sz w:val="21"/>
          <w:szCs w:val="21"/>
          <w:highlight w:val="none"/>
        </w:rPr>
        <w:t>.</w:t>
      </w:r>
      <w:r>
        <w:rPr>
          <w:rFonts w:ascii="Times New Roman" w:hAnsi="Times New Roman" w:eastAsia="Times New Roman" w:cs="Times New Roman"/>
          <w:color w:val="auto"/>
          <w:sz w:val="21"/>
          <w:szCs w:val="21"/>
          <w:highlight w:val="none"/>
        </w:rPr>
        <w:t>cn</w:t>
      </w:r>
      <w:r>
        <w:rPr>
          <w:rFonts w:ascii="宋体" w:hAnsi="宋体" w:eastAsia="宋体" w:cs="宋体"/>
          <w:color w:val="auto"/>
          <w:spacing w:val="15"/>
          <w:sz w:val="21"/>
          <w:szCs w:val="21"/>
          <w:highlight w:val="none"/>
        </w:rPr>
        <w:t>）或“中国执行信息公开网”</w:t>
      </w:r>
      <w:r>
        <w:rPr>
          <w:rFonts w:ascii="宋体" w:hAnsi="宋体" w:eastAsia="宋体" w:cs="宋体"/>
          <w:color w:val="auto"/>
          <w:spacing w:val="16"/>
          <w:sz w:val="21"/>
          <w:szCs w:val="21"/>
          <w:highlight w:val="none"/>
        </w:rPr>
        <w:t xml:space="preserve"> </w:t>
      </w:r>
      <w:r>
        <w:rPr>
          <w:rFonts w:ascii="宋体" w:hAnsi="宋体" w:eastAsia="宋体" w:cs="宋体"/>
          <w:color w:val="auto"/>
          <w:spacing w:val="-2"/>
          <w:sz w:val="21"/>
          <w:szCs w:val="21"/>
          <w:highlight w:val="none"/>
        </w:rPr>
        <w:t>（</w:t>
      </w:r>
      <w:r>
        <w:rPr>
          <w:color w:val="auto"/>
          <w:highlight w:val="none"/>
        </w:rPr>
        <w:fldChar w:fldCharType="begin"/>
      </w:r>
      <w:r>
        <w:rPr>
          <w:color w:val="auto"/>
          <w:highlight w:val="none"/>
        </w:rPr>
        <w:instrText xml:space="preserve"> HYPERLINK "http://zxgk.court.gov.cn/shixin/" </w:instrText>
      </w:r>
      <w:r>
        <w:rPr>
          <w:color w:val="auto"/>
          <w:highlight w:val="none"/>
        </w:rPr>
        <w:fldChar w:fldCharType="separate"/>
      </w:r>
      <w:r>
        <w:rPr>
          <w:rFonts w:ascii="Times New Roman" w:hAnsi="Times New Roman" w:eastAsia="Times New Roman" w:cs="Times New Roman"/>
          <w:color w:val="auto"/>
          <w:spacing w:val="-2"/>
          <w:sz w:val="21"/>
          <w:szCs w:val="21"/>
          <w:highlight w:val="none"/>
        </w:rPr>
        <w:t>http://zxgk.court.gov.cn/shixin/</w:t>
      </w:r>
      <w:r>
        <w:rPr>
          <w:rFonts w:ascii="Times New Roman" w:hAnsi="Times New Roman" w:eastAsia="Times New Roman" w:cs="Times New Roman"/>
          <w:color w:val="auto"/>
          <w:spacing w:val="-2"/>
          <w:sz w:val="21"/>
          <w:szCs w:val="21"/>
          <w:highlight w:val="none"/>
        </w:rPr>
        <w:fldChar w:fldCharType="end"/>
      </w:r>
      <w:r>
        <w:rPr>
          <w:rFonts w:ascii="Times New Roman" w:hAnsi="Times New Roman" w:eastAsia="Times New Roman" w:cs="Times New Roman"/>
          <w:color w:val="auto"/>
          <w:spacing w:val="-22"/>
          <w:sz w:val="21"/>
          <w:szCs w:val="21"/>
          <w:highlight w:val="none"/>
        </w:rPr>
        <w:t xml:space="preserve"> </w:t>
      </w:r>
      <w:r>
        <w:rPr>
          <w:rFonts w:ascii="宋体" w:hAnsi="宋体" w:eastAsia="宋体" w:cs="宋体"/>
          <w:color w:val="auto"/>
          <w:spacing w:val="-2"/>
          <w:sz w:val="21"/>
          <w:szCs w:val="21"/>
          <w:highlight w:val="none"/>
        </w:rPr>
        <w:t>）</w:t>
      </w:r>
      <w:r>
        <w:rPr>
          <w:rFonts w:ascii="宋体" w:hAnsi="宋体" w:eastAsia="宋体" w:cs="宋体"/>
          <w:color w:val="auto"/>
          <w:spacing w:val="-43"/>
          <w:sz w:val="21"/>
          <w:szCs w:val="21"/>
          <w:highlight w:val="none"/>
        </w:rPr>
        <w:t xml:space="preserve"> </w:t>
      </w:r>
      <w:r>
        <w:rPr>
          <w:rFonts w:ascii="宋体" w:hAnsi="宋体" w:eastAsia="宋体" w:cs="宋体"/>
          <w:color w:val="auto"/>
          <w:spacing w:val="-2"/>
          <w:sz w:val="21"/>
          <w:szCs w:val="21"/>
          <w:highlight w:val="none"/>
        </w:rPr>
        <w:t>被列入</w:t>
      </w:r>
      <w:r>
        <w:rPr>
          <w:rFonts w:ascii="宋体" w:hAnsi="宋体" w:eastAsia="宋体" w:cs="宋体"/>
          <w:color w:val="auto"/>
          <w:spacing w:val="-3"/>
          <w:sz w:val="21"/>
          <w:szCs w:val="21"/>
          <w:highlight w:val="none"/>
        </w:rPr>
        <w:t>失信被执行人名单；</w:t>
      </w:r>
    </w:p>
    <w:p w14:paraId="7B99C218">
      <w:pPr>
        <w:spacing w:before="118" w:line="268" w:lineRule="auto"/>
        <w:ind w:left="18" w:right="112" w:firstLine="42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16</w:t>
      </w:r>
      <w:r>
        <w:rPr>
          <w:rFonts w:ascii="宋体" w:hAnsi="宋体" w:eastAsia="宋体" w:cs="宋体"/>
          <w:color w:val="auto"/>
          <w:spacing w:val="1"/>
          <w:sz w:val="21"/>
          <w:szCs w:val="21"/>
          <w:highlight w:val="none"/>
        </w:rPr>
        <w:t>）在辽宁省建设工程招投标监督平台</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辽宁建设工程信息网上被列</w:t>
      </w:r>
      <w:r>
        <w:rPr>
          <w:rFonts w:ascii="宋体" w:hAnsi="宋体" w:eastAsia="宋体" w:cs="宋体"/>
          <w:color w:val="auto"/>
          <w:sz w:val="21"/>
          <w:szCs w:val="21"/>
          <w:highlight w:val="none"/>
        </w:rPr>
        <w:t xml:space="preserve">入不良行为记录 </w:t>
      </w:r>
      <w:r>
        <w:rPr>
          <w:rFonts w:ascii="宋体" w:hAnsi="宋体" w:eastAsia="宋体" w:cs="宋体"/>
          <w:color w:val="auto"/>
          <w:spacing w:val="-5"/>
          <w:sz w:val="21"/>
          <w:szCs w:val="21"/>
          <w:highlight w:val="none"/>
        </w:rPr>
        <w:t>且在公布期内的；</w:t>
      </w:r>
    </w:p>
    <w:p w14:paraId="19081DC2">
      <w:pPr>
        <w:spacing w:before="167"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17</w:t>
      </w:r>
      <w:r>
        <w:rPr>
          <w:rFonts w:ascii="宋体" w:hAnsi="宋体" w:eastAsia="宋体" w:cs="宋体"/>
          <w:color w:val="auto"/>
          <w:spacing w:val="-2"/>
          <w:sz w:val="21"/>
          <w:szCs w:val="21"/>
          <w:highlight w:val="none"/>
        </w:rPr>
        <w:t>）法律法规规定的其他情形。</w:t>
      </w:r>
    </w:p>
    <w:p w14:paraId="517DAA74">
      <w:pPr>
        <w:spacing w:before="123" w:line="221" w:lineRule="auto"/>
        <w:ind w:left="43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B1.5</w:t>
      </w:r>
      <w:r>
        <w:rPr>
          <w:rFonts w:ascii="宋体" w:hAnsi="宋体" w:eastAsia="宋体" w:cs="宋体"/>
          <w:color w:val="auto"/>
          <w:spacing w:val="-41"/>
          <w:sz w:val="21"/>
          <w:szCs w:val="21"/>
          <w:highlight w:val="none"/>
        </w:rPr>
        <w:t xml:space="preserve"> </w:t>
      </w:r>
      <w:r>
        <w:rPr>
          <w:rFonts w:ascii="宋体" w:hAnsi="宋体" w:eastAsia="宋体" w:cs="宋体"/>
          <w:color w:val="auto"/>
          <w:spacing w:val="-1"/>
          <w:sz w:val="21"/>
          <w:szCs w:val="21"/>
          <w:highlight w:val="none"/>
        </w:rPr>
        <w:t>未如实填写近年发生的诉讼及仲裁情况，隐</w:t>
      </w:r>
      <w:r>
        <w:rPr>
          <w:rFonts w:ascii="宋体" w:hAnsi="宋体" w:eastAsia="宋体" w:cs="宋体"/>
          <w:color w:val="auto"/>
          <w:spacing w:val="-2"/>
          <w:sz w:val="21"/>
          <w:szCs w:val="21"/>
          <w:highlight w:val="none"/>
        </w:rPr>
        <w:t>瞒真实情况的。</w:t>
      </w:r>
    </w:p>
    <w:p w14:paraId="135C4253">
      <w:pPr>
        <w:spacing w:before="162" w:line="432" w:lineRule="exact"/>
        <w:ind w:left="436"/>
        <w:rPr>
          <w:rFonts w:ascii="宋体" w:hAnsi="宋体" w:eastAsia="宋体" w:cs="宋体"/>
          <w:color w:val="auto"/>
          <w:sz w:val="21"/>
          <w:szCs w:val="21"/>
          <w:highlight w:val="none"/>
        </w:rPr>
      </w:pPr>
      <w:r>
        <w:rPr>
          <w:rFonts w:ascii="宋体" w:hAnsi="宋体" w:eastAsia="宋体" w:cs="宋体"/>
          <w:color w:val="auto"/>
          <w:position w:val="16"/>
          <w:sz w:val="21"/>
          <w:szCs w:val="21"/>
          <w:highlight w:val="none"/>
        </w:rPr>
        <w:t>B1.6 未按招标文件要求进行实名身份认证的或同一标段实名身份认证中存在不同投标</w:t>
      </w:r>
    </w:p>
    <w:p w14:paraId="234CEA78">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人之间身份证识别器码一致的。</w:t>
      </w:r>
    </w:p>
    <w:p w14:paraId="41844D09">
      <w:pPr>
        <w:spacing w:before="176" w:line="219" w:lineRule="auto"/>
        <w:ind w:left="43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B1.7</w:t>
      </w:r>
      <w:r>
        <w:rPr>
          <w:rFonts w:ascii="宋体" w:hAnsi="宋体" w:eastAsia="宋体" w:cs="宋体"/>
          <w:color w:val="auto"/>
          <w:spacing w:val="-27"/>
          <w:sz w:val="21"/>
          <w:szCs w:val="21"/>
          <w:highlight w:val="none"/>
        </w:rPr>
        <w:t xml:space="preserve"> </w:t>
      </w:r>
      <w:r>
        <w:rPr>
          <w:rFonts w:ascii="宋体" w:hAnsi="宋体" w:eastAsia="宋体" w:cs="宋体"/>
          <w:color w:val="auto"/>
          <w:spacing w:val="-1"/>
          <w:sz w:val="21"/>
          <w:szCs w:val="21"/>
          <w:highlight w:val="none"/>
        </w:rPr>
        <w:t>投标报价明显低于企业成本可能影响履约的。</w:t>
      </w:r>
    </w:p>
    <w:p w14:paraId="7E73AD0C">
      <w:pPr>
        <w:spacing w:before="184" w:line="220" w:lineRule="auto"/>
        <w:ind w:left="436"/>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B1.8</w:t>
      </w:r>
      <w:r>
        <w:rPr>
          <w:rFonts w:ascii="宋体" w:hAnsi="宋体" w:eastAsia="宋体" w:cs="宋体"/>
          <w:color w:val="auto"/>
          <w:spacing w:val="-36"/>
          <w:sz w:val="21"/>
          <w:szCs w:val="21"/>
          <w:highlight w:val="none"/>
        </w:rPr>
        <w:t xml:space="preserve"> </w:t>
      </w:r>
      <w:r>
        <w:rPr>
          <w:rFonts w:ascii="宋体" w:hAnsi="宋体" w:eastAsia="宋体" w:cs="宋体"/>
          <w:color w:val="auto"/>
          <w:spacing w:val="-5"/>
          <w:sz w:val="21"/>
          <w:szCs w:val="21"/>
          <w:highlight w:val="none"/>
        </w:rPr>
        <w:t>未按招标文件要求采用建筑信息模型技术的（如有）。</w:t>
      </w:r>
    </w:p>
    <w:p w14:paraId="35516FB6">
      <w:pPr>
        <w:spacing w:before="181" w:line="221" w:lineRule="auto"/>
        <w:ind w:left="43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B1.9</w:t>
      </w:r>
      <w:r>
        <w:rPr>
          <w:rFonts w:ascii="宋体" w:hAnsi="宋体" w:eastAsia="宋体" w:cs="宋体"/>
          <w:color w:val="auto"/>
          <w:spacing w:val="-38"/>
          <w:sz w:val="21"/>
          <w:szCs w:val="21"/>
          <w:highlight w:val="none"/>
        </w:rPr>
        <w:t xml:space="preserve"> </w:t>
      </w:r>
      <w:r>
        <w:rPr>
          <w:rFonts w:ascii="宋体" w:hAnsi="宋体" w:eastAsia="宋体" w:cs="宋体"/>
          <w:color w:val="auto"/>
          <w:spacing w:val="-1"/>
          <w:sz w:val="21"/>
          <w:szCs w:val="21"/>
          <w:highlight w:val="none"/>
        </w:rPr>
        <w:t>技术标不同模块赋分点之间多个模块固定位置存在内容表述非必要性雷同的。</w:t>
      </w:r>
    </w:p>
    <w:p w14:paraId="2CA9E350">
      <w:pPr>
        <w:pStyle w:val="3"/>
        <w:rPr>
          <w:color w:val="auto"/>
          <w:highlight w:val="none"/>
        </w:rPr>
      </w:pPr>
    </w:p>
    <w:p w14:paraId="3F093955">
      <w:pPr>
        <w:spacing w:before="69" w:line="147" w:lineRule="exact"/>
        <w:ind w:left="467"/>
        <w:rPr>
          <w:rFonts w:ascii="仿宋" w:hAnsi="仿宋" w:eastAsia="仿宋" w:cs="仿宋"/>
          <w:color w:val="auto"/>
          <w:sz w:val="21"/>
          <w:szCs w:val="21"/>
          <w:highlight w:val="none"/>
        </w:rPr>
      </w:pPr>
      <w:r>
        <w:rPr>
          <w:rFonts w:ascii="仿宋" w:hAnsi="仿宋" w:eastAsia="仿宋" w:cs="仿宋"/>
          <w:color w:val="auto"/>
          <w:spacing w:val="-9"/>
          <w:position w:val="-3"/>
          <w:sz w:val="21"/>
          <w:szCs w:val="21"/>
          <w:highlight w:val="none"/>
        </w:rPr>
        <w:t>……</w:t>
      </w:r>
    </w:p>
    <w:p w14:paraId="1F50B6FF">
      <w:pPr>
        <w:spacing w:line="147" w:lineRule="exact"/>
        <w:rPr>
          <w:rFonts w:ascii="仿宋" w:hAnsi="仿宋" w:eastAsia="仿宋" w:cs="仿宋"/>
          <w:color w:val="auto"/>
          <w:sz w:val="21"/>
          <w:szCs w:val="21"/>
          <w:highlight w:val="none"/>
        </w:rPr>
        <w:sectPr>
          <w:footerReference r:id="rId78" w:type="default"/>
          <w:pgSz w:w="11905" w:h="16839"/>
          <w:pgMar w:top="1431" w:right="1685" w:bottom="996" w:left="1785" w:header="0" w:footer="791" w:gutter="0"/>
          <w:pgNumType w:fmt="decimal"/>
          <w:cols w:space="720" w:num="1"/>
        </w:sectPr>
      </w:pPr>
    </w:p>
    <w:p w14:paraId="0AC27AFF">
      <w:pPr>
        <w:spacing w:before="43"/>
        <w:rPr>
          <w:color w:val="auto"/>
          <w:highlight w:val="none"/>
        </w:rPr>
      </w:pPr>
    </w:p>
    <w:p w14:paraId="05CCCDE7">
      <w:pPr>
        <w:spacing w:before="42"/>
        <w:rPr>
          <w:color w:val="auto"/>
          <w:highlight w:val="none"/>
        </w:rPr>
      </w:pPr>
    </w:p>
    <w:p w14:paraId="61CD598B">
      <w:pPr>
        <w:spacing w:before="42"/>
        <w:rPr>
          <w:color w:val="auto"/>
          <w:highlight w:val="none"/>
        </w:rPr>
      </w:pPr>
    </w:p>
    <w:p w14:paraId="1C8E58FB">
      <w:pPr>
        <w:rPr>
          <w:color w:val="auto"/>
          <w:highlight w:val="none"/>
        </w:rPr>
        <w:sectPr>
          <w:footerReference r:id="rId79" w:type="default"/>
          <w:pgSz w:w="16839" w:h="11905"/>
          <w:pgMar w:top="1011" w:right="1483" w:bottom="991" w:left="1449" w:header="0" w:footer="786" w:gutter="0"/>
          <w:pgNumType w:fmt="decimal"/>
          <w:cols w:equalWidth="0" w:num="1">
            <w:col w:w="13906"/>
          </w:cols>
        </w:sectPr>
      </w:pPr>
    </w:p>
    <w:p w14:paraId="74AE45E7">
      <w:pPr>
        <w:spacing w:before="48" w:line="218" w:lineRule="auto"/>
        <w:ind w:left="13"/>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附表</w:t>
      </w:r>
      <w:r>
        <w:rPr>
          <w:rFonts w:ascii="黑体" w:hAnsi="黑体" w:eastAsia="黑体" w:cs="黑体"/>
          <w:color w:val="auto"/>
          <w:spacing w:val="-53"/>
          <w:sz w:val="24"/>
          <w:szCs w:val="24"/>
          <w:highlight w:val="none"/>
        </w:rPr>
        <w:t xml:space="preserve"> </w:t>
      </w:r>
      <w:r>
        <w:rPr>
          <w:rFonts w:ascii="Times New Roman" w:hAnsi="Times New Roman" w:eastAsia="Times New Roman" w:cs="Times New Roman"/>
          <w:color w:val="auto"/>
          <w:spacing w:val="-5"/>
          <w:sz w:val="24"/>
          <w:szCs w:val="24"/>
          <w:highlight w:val="none"/>
        </w:rPr>
        <w:t>A-</w:t>
      </w:r>
      <w:r>
        <w:rPr>
          <w:rFonts w:ascii="Times New Roman" w:hAnsi="Times New Roman" w:eastAsia="Times New Roman" w:cs="Times New Roman"/>
          <w:color w:val="auto"/>
          <w:spacing w:val="-31"/>
          <w:sz w:val="24"/>
          <w:szCs w:val="24"/>
          <w:highlight w:val="none"/>
        </w:rPr>
        <w:t xml:space="preserve"> </w:t>
      </w:r>
      <w:r>
        <w:rPr>
          <w:rFonts w:ascii="Times New Roman" w:hAnsi="Times New Roman" w:eastAsia="Times New Roman" w:cs="Times New Roman"/>
          <w:color w:val="auto"/>
          <w:spacing w:val="-5"/>
          <w:sz w:val="24"/>
          <w:szCs w:val="24"/>
          <w:highlight w:val="none"/>
        </w:rPr>
        <w:t>1</w:t>
      </w:r>
      <w:r>
        <w:rPr>
          <w:rFonts w:ascii="黑体" w:hAnsi="黑体" w:eastAsia="黑体" w:cs="黑体"/>
          <w:color w:val="auto"/>
          <w:spacing w:val="-5"/>
          <w:sz w:val="24"/>
          <w:szCs w:val="24"/>
          <w:highlight w:val="none"/>
        </w:rPr>
        <w:t>：评标委员会签到表</w:t>
      </w:r>
    </w:p>
    <w:p w14:paraId="2B95EAD8">
      <w:pPr>
        <w:spacing w:before="290" w:line="218" w:lineRule="auto"/>
        <w:ind w:left="5544"/>
        <w:rPr>
          <w:rFonts w:ascii="黑体" w:hAnsi="黑体" w:eastAsia="黑体" w:cs="黑体"/>
          <w:color w:val="auto"/>
          <w:sz w:val="36"/>
          <w:szCs w:val="36"/>
          <w:highlight w:val="none"/>
        </w:rPr>
      </w:pPr>
      <w:bookmarkStart w:id="188" w:name="bookmark216"/>
      <w:bookmarkEnd w:id="188"/>
      <w:r>
        <w:rPr>
          <w:rFonts w:ascii="黑体" w:hAnsi="黑体" w:eastAsia="黑体" w:cs="黑体"/>
          <w:color w:val="auto"/>
          <w:spacing w:val="-2"/>
          <w:sz w:val="36"/>
          <w:szCs w:val="36"/>
          <w:highlight w:val="none"/>
        </w:rPr>
        <w:t>评标委员会签到表</w:t>
      </w:r>
    </w:p>
    <w:p w14:paraId="7B8B1EC3">
      <w:pPr>
        <w:spacing w:before="236" w:line="221" w:lineRule="auto"/>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标段名称：</w:t>
      </w:r>
    </w:p>
    <w:p w14:paraId="45068B4E">
      <w:pPr>
        <w:spacing w:before="21" w:line="186" w:lineRule="auto"/>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标段唯一标识码</w:t>
      </w:r>
    </w:p>
    <w:p w14:paraId="3E607A7F">
      <w:pPr>
        <w:pStyle w:val="3"/>
        <w:spacing w:line="14" w:lineRule="auto"/>
        <w:rPr>
          <w:color w:val="auto"/>
          <w:sz w:val="2"/>
          <w:highlight w:val="none"/>
        </w:rPr>
      </w:pPr>
      <w:r>
        <w:rPr>
          <w:color w:val="auto"/>
          <w:sz w:val="2"/>
          <w:szCs w:val="2"/>
          <w:highlight w:val="none"/>
        </w:rPr>
        <w:br w:type="column"/>
      </w:r>
    </w:p>
    <w:p w14:paraId="047A2131">
      <w:pPr>
        <w:pStyle w:val="3"/>
        <w:spacing w:line="246" w:lineRule="auto"/>
        <w:rPr>
          <w:color w:val="auto"/>
          <w:highlight w:val="none"/>
        </w:rPr>
      </w:pPr>
    </w:p>
    <w:p w14:paraId="627596CD">
      <w:pPr>
        <w:pStyle w:val="3"/>
        <w:spacing w:line="246" w:lineRule="auto"/>
        <w:rPr>
          <w:color w:val="auto"/>
          <w:highlight w:val="none"/>
        </w:rPr>
      </w:pPr>
    </w:p>
    <w:p w14:paraId="083F497B">
      <w:pPr>
        <w:pStyle w:val="3"/>
        <w:spacing w:line="246" w:lineRule="auto"/>
        <w:rPr>
          <w:color w:val="auto"/>
          <w:highlight w:val="none"/>
        </w:rPr>
      </w:pPr>
    </w:p>
    <w:p w14:paraId="25B982B6">
      <w:pPr>
        <w:pStyle w:val="3"/>
        <w:spacing w:line="246" w:lineRule="auto"/>
        <w:rPr>
          <w:color w:val="auto"/>
          <w:highlight w:val="none"/>
        </w:rPr>
      </w:pPr>
    </w:p>
    <w:p w14:paraId="04A2CB76">
      <w:pPr>
        <w:pStyle w:val="3"/>
        <w:spacing w:line="246" w:lineRule="auto"/>
        <w:rPr>
          <w:color w:val="auto"/>
          <w:highlight w:val="none"/>
        </w:rPr>
      </w:pPr>
    </w:p>
    <w:p w14:paraId="361FEEE5">
      <w:pPr>
        <w:pStyle w:val="3"/>
        <w:spacing w:line="247" w:lineRule="auto"/>
        <w:rPr>
          <w:color w:val="auto"/>
          <w:highlight w:val="none"/>
        </w:rPr>
      </w:pPr>
    </w:p>
    <w:p w14:paraId="6FF3B69E">
      <w:pPr>
        <w:spacing w:before="68" w:line="186" w:lineRule="auto"/>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评标时间：      年</w:t>
      </w:r>
      <w:r>
        <w:rPr>
          <w:rFonts w:ascii="宋体" w:hAnsi="宋体" w:eastAsia="宋体" w:cs="宋体"/>
          <w:color w:val="auto"/>
          <w:spacing w:val="7"/>
          <w:sz w:val="21"/>
          <w:szCs w:val="21"/>
          <w:highlight w:val="none"/>
        </w:rPr>
        <w:t xml:space="preserve">  </w:t>
      </w:r>
      <w:r>
        <w:rPr>
          <w:rFonts w:ascii="宋体" w:hAnsi="宋体" w:eastAsia="宋体" w:cs="宋体"/>
          <w:color w:val="auto"/>
          <w:spacing w:val="-13"/>
          <w:sz w:val="21"/>
          <w:szCs w:val="21"/>
          <w:highlight w:val="none"/>
        </w:rPr>
        <w:t>月</w:t>
      </w:r>
      <w:r>
        <w:rPr>
          <w:rFonts w:ascii="宋体" w:hAnsi="宋体" w:eastAsia="宋体" w:cs="宋体"/>
          <w:color w:val="auto"/>
          <w:spacing w:val="23"/>
          <w:sz w:val="21"/>
          <w:szCs w:val="21"/>
          <w:highlight w:val="none"/>
        </w:rPr>
        <w:t xml:space="preserve">  </w:t>
      </w:r>
      <w:r>
        <w:rPr>
          <w:rFonts w:ascii="宋体" w:hAnsi="宋体" w:eastAsia="宋体" w:cs="宋体"/>
          <w:color w:val="auto"/>
          <w:spacing w:val="-13"/>
          <w:sz w:val="21"/>
          <w:szCs w:val="21"/>
          <w:highlight w:val="none"/>
        </w:rPr>
        <w:t>日</w:t>
      </w:r>
    </w:p>
    <w:p w14:paraId="5FFE8BBF">
      <w:pPr>
        <w:spacing w:line="186" w:lineRule="auto"/>
        <w:rPr>
          <w:rFonts w:ascii="宋体" w:hAnsi="宋体" w:eastAsia="宋体" w:cs="宋体"/>
          <w:color w:val="auto"/>
          <w:sz w:val="21"/>
          <w:szCs w:val="21"/>
          <w:highlight w:val="none"/>
        </w:rPr>
        <w:sectPr>
          <w:type w:val="continuous"/>
          <w:pgSz w:w="16839" w:h="11905"/>
          <w:pgMar w:top="1011" w:right="1483" w:bottom="991" w:left="1449" w:header="0" w:footer="786" w:gutter="0"/>
          <w:pgNumType w:fmt="decimal"/>
          <w:cols w:equalWidth="0" w:num="2">
            <w:col w:w="10563" w:space="100"/>
            <w:col w:w="3244"/>
          </w:cols>
        </w:sectPr>
      </w:pPr>
    </w:p>
    <w:p w14:paraId="77032F9B">
      <w:pPr>
        <w:spacing w:line="32" w:lineRule="exact"/>
        <w:rPr>
          <w:color w:val="auto"/>
          <w:highlight w:val="none"/>
        </w:rPr>
      </w:pPr>
    </w:p>
    <w:tbl>
      <w:tblPr>
        <w:tblStyle w:val="10"/>
        <w:tblW w:w="13856" w:type="dxa"/>
        <w:tblInd w:w="4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1"/>
        <w:gridCol w:w="1166"/>
        <w:gridCol w:w="1795"/>
        <w:gridCol w:w="1934"/>
        <w:gridCol w:w="1790"/>
        <w:gridCol w:w="1430"/>
        <w:gridCol w:w="1522"/>
        <w:gridCol w:w="1704"/>
        <w:gridCol w:w="1704"/>
      </w:tblGrid>
      <w:tr w14:paraId="018A0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11" w:type="dxa"/>
            <w:tcBorders>
              <w:bottom w:val="single" w:color="000000" w:sz="4" w:space="0"/>
            </w:tcBorders>
            <w:vAlign w:val="top"/>
          </w:tcPr>
          <w:p w14:paraId="16EAB26A">
            <w:pPr>
              <w:pStyle w:val="11"/>
              <w:spacing w:before="255" w:line="222" w:lineRule="auto"/>
              <w:ind w:left="194"/>
              <w:rPr>
                <w:color w:val="auto"/>
                <w:highlight w:val="none"/>
              </w:rPr>
            </w:pPr>
            <w:r>
              <w:rPr>
                <w:color w:val="auto"/>
                <w:spacing w:val="-2"/>
                <w:highlight w:val="none"/>
                <w14:textOutline w14:w="3831" w14:cap="flat" w14:cmpd="sng">
                  <w14:solidFill>
                    <w14:srgbClr w14:val="000000"/>
                  </w14:solidFill>
                  <w14:prstDash w14:val="solid"/>
                  <w14:miter w14:val="0"/>
                </w14:textOutline>
              </w:rPr>
              <w:t>序号</w:t>
            </w:r>
          </w:p>
        </w:tc>
        <w:tc>
          <w:tcPr>
            <w:tcW w:w="1166" w:type="dxa"/>
            <w:tcBorders>
              <w:bottom w:val="single" w:color="000000" w:sz="4" w:space="0"/>
            </w:tcBorders>
            <w:vAlign w:val="top"/>
          </w:tcPr>
          <w:p w14:paraId="50E360BF">
            <w:pPr>
              <w:pStyle w:val="11"/>
              <w:spacing w:before="254" w:line="221" w:lineRule="auto"/>
              <w:ind w:left="373"/>
              <w:rPr>
                <w:color w:val="auto"/>
                <w:highlight w:val="none"/>
              </w:rPr>
            </w:pPr>
            <w:r>
              <w:rPr>
                <w:color w:val="auto"/>
                <w:spacing w:val="-2"/>
                <w:highlight w:val="none"/>
                <w14:textOutline w14:w="3831" w14:cap="flat" w14:cmpd="sng">
                  <w14:solidFill>
                    <w14:srgbClr w14:val="000000"/>
                  </w14:solidFill>
                  <w14:prstDash w14:val="solid"/>
                  <w14:miter w14:val="0"/>
                </w14:textOutline>
              </w:rPr>
              <w:t>姓名</w:t>
            </w:r>
          </w:p>
        </w:tc>
        <w:tc>
          <w:tcPr>
            <w:tcW w:w="1795" w:type="dxa"/>
            <w:tcBorders>
              <w:bottom w:val="single" w:color="000000" w:sz="4" w:space="0"/>
            </w:tcBorders>
            <w:vAlign w:val="top"/>
          </w:tcPr>
          <w:p w14:paraId="747F90FE">
            <w:pPr>
              <w:pStyle w:val="11"/>
              <w:spacing w:before="255" w:line="221" w:lineRule="auto"/>
              <w:ind w:left="474"/>
              <w:rPr>
                <w:color w:val="auto"/>
                <w:highlight w:val="none"/>
              </w:rPr>
            </w:pPr>
            <w:r>
              <w:rPr>
                <w:color w:val="auto"/>
                <w:spacing w:val="-1"/>
                <w:highlight w:val="none"/>
                <w14:textOutline w14:w="3831" w14:cap="flat" w14:cmpd="sng">
                  <w14:solidFill>
                    <w14:srgbClr w14:val="000000"/>
                  </w14:solidFill>
                  <w14:prstDash w14:val="solid"/>
                  <w14:miter w14:val="0"/>
                </w14:textOutline>
              </w:rPr>
              <w:t>所在单位</w:t>
            </w:r>
          </w:p>
        </w:tc>
        <w:tc>
          <w:tcPr>
            <w:tcW w:w="1934" w:type="dxa"/>
            <w:tcBorders>
              <w:bottom w:val="single" w:color="000000" w:sz="4" w:space="0"/>
            </w:tcBorders>
            <w:vAlign w:val="top"/>
          </w:tcPr>
          <w:p w14:paraId="61049628">
            <w:pPr>
              <w:pStyle w:val="11"/>
              <w:spacing w:before="254" w:line="221" w:lineRule="auto"/>
              <w:ind w:left="548"/>
              <w:rPr>
                <w:color w:val="auto"/>
                <w:highlight w:val="none"/>
              </w:rPr>
            </w:pPr>
            <w:r>
              <w:rPr>
                <w:color w:val="auto"/>
                <w:spacing w:val="-2"/>
                <w:highlight w:val="none"/>
                <w14:textOutline w14:w="3831" w14:cap="flat" w14:cmpd="sng">
                  <w14:solidFill>
                    <w14:srgbClr w14:val="000000"/>
                  </w14:solidFill>
                  <w14:prstDash w14:val="solid"/>
                  <w14:miter w14:val="0"/>
                </w14:textOutline>
              </w:rPr>
              <w:t>身份证号</w:t>
            </w:r>
          </w:p>
        </w:tc>
        <w:tc>
          <w:tcPr>
            <w:tcW w:w="1790" w:type="dxa"/>
            <w:tcBorders>
              <w:bottom w:val="single" w:color="000000" w:sz="4" w:space="0"/>
            </w:tcBorders>
            <w:vAlign w:val="top"/>
          </w:tcPr>
          <w:p w14:paraId="39473677">
            <w:pPr>
              <w:pStyle w:val="11"/>
              <w:spacing w:before="255" w:line="222" w:lineRule="auto"/>
              <w:ind w:left="477"/>
              <w:rPr>
                <w:color w:val="auto"/>
                <w:highlight w:val="none"/>
              </w:rPr>
            </w:pPr>
            <w:r>
              <w:rPr>
                <w:color w:val="auto"/>
                <w:spacing w:val="-1"/>
                <w:highlight w:val="none"/>
                <w14:textOutline w14:w="3831" w14:cap="flat" w14:cmpd="sng">
                  <w14:solidFill>
                    <w14:srgbClr w14:val="000000"/>
                  </w14:solidFill>
                  <w14:prstDash w14:val="solid"/>
                  <w14:miter w14:val="0"/>
                </w14:textOutline>
              </w:rPr>
              <w:t>联系方式</w:t>
            </w:r>
          </w:p>
        </w:tc>
        <w:tc>
          <w:tcPr>
            <w:tcW w:w="1430" w:type="dxa"/>
            <w:tcBorders>
              <w:bottom w:val="single" w:color="000000" w:sz="4" w:space="0"/>
            </w:tcBorders>
            <w:vAlign w:val="top"/>
          </w:tcPr>
          <w:p w14:paraId="3491D1E7">
            <w:pPr>
              <w:pStyle w:val="11"/>
              <w:spacing w:before="254" w:line="221" w:lineRule="auto"/>
              <w:ind w:left="293"/>
              <w:rPr>
                <w:color w:val="auto"/>
                <w:highlight w:val="none"/>
              </w:rPr>
            </w:pPr>
            <w:r>
              <w:rPr>
                <w:color w:val="auto"/>
                <w:spacing w:val="-1"/>
                <w:highlight w:val="none"/>
                <w14:textOutline w14:w="3831" w14:cap="flat" w14:cmpd="sng">
                  <w14:solidFill>
                    <w14:srgbClr w14:val="000000"/>
                  </w14:solidFill>
                  <w14:prstDash w14:val="solid"/>
                  <w14:miter w14:val="0"/>
                </w14:textOutline>
              </w:rPr>
              <w:t>评审内容</w:t>
            </w:r>
          </w:p>
        </w:tc>
        <w:tc>
          <w:tcPr>
            <w:tcW w:w="1522" w:type="dxa"/>
            <w:tcBorders>
              <w:bottom w:val="single" w:color="000000" w:sz="4" w:space="0"/>
            </w:tcBorders>
            <w:vAlign w:val="top"/>
          </w:tcPr>
          <w:p w14:paraId="55EBEC38">
            <w:pPr>
              <w:pStyle w:val="11"/>
              <w:spacing w:before="255" w:line="220" w:lineRule="auto"/>
              <w:ind w:left="342"/>
              <w:rPr>
                <w:color w:val="auto"/>
                <w:highlight w:val="none"/>
              </w:rPr>
            </w:pPr>
            <w:r>
              <w:rPr>
                <w:color w:val="auto"/>
                <w:spacing w:val="-1"/>
                <w:highlight w:val="none"/>
                <w14:textOutline w14:w="3831" w14:cap="flat" w14:cmpd="sng">
                  <w14:solidFill>
                    <w14:srgbClr w14:val="000000"/>
                  </w14:solidFill>
                  <w14:prstDash w14:val="solid"/>
                  <w14:miter w14:val="0"/>
                </w14:textOutline>
              </w:rPr>
              <w:t>评审角色</w:t>
            </w:r>
          </w:p>
        </w:tc>
        <w:tc>
          <w:tcPr>
            <w:tcW w:w="1704" w:type="dxa"/>
            <w:tcBorders>
              <w:bottom w:val="single" w:color="000000" w:sz="4" w:space="0"/>
            </w:tcBorders>
            <w:vAlign w:val="top"/>
          </w:tcPr>
          <w:p w14:paraId="0BC048C1">
            <w:pPr>
              <w:pStyle w:val="11"/>
              <w:spacing w:before="255" w:line="221" w:lineRule="auto"/>
              <w:ind w:left="222"/>
              <w:rPr>
                <w:color w:val="auto"/>
                <w:highlight w:val="none"/>
              </w:rPr>
            </w:pPr>
            <w:r>
              <w:rPr>
                <w:color w:val="auto"/>
                <w:spacing w:val="-1"/>
                <w:highlight w:val="none"/>
                <w14:textOutline w14:w="3831" w14:cap="flat" w14:cmpd="sng">
                  <w14:solidFill>
                    <w14:srgbClr w14:val="000000"/>
                  </w14:solidFill>
                  <w14:prstDash w14:val="solid"/>
                  <w14:miter w14:val="0"/>
                </w14:textOutline>
              </w:rPr>
              <w:t>评标签到时间</w:t>
            </w:r>
          </w:p>
        </w:tc>
        <w:tc>
          <w:tcPr>
            <w:tcW w:w="1704" w:type="dxa"/>
            <w:tcBorders>
              <w:bottom w:val="single" w:color="000000" w:sz="4" w:space="0"/>
            </w:tcBorders>
            <w:vAlign w:val="top"/>
          </w:tcPr>
          <w:p w14:paraId="24FC4FBE">
            <w:pPr>
              <w:pStyle w:val="11"/>
              <w:spacing w:before="255" w:line="224" w:lineRule="auto"/>
              <w:ind w:left="641"/>
              <w:rPr>
                <w:color w:val="auto"/>
                <w:highlight w:val="none"/>
              </w:rPr>
            </w:pPr>
            <w:r>
              <w:rPr>
                <w:color w:val="auto"/>
                <w:spacing w:val="-2"/>
                <w:highlight w:val="none"/>
                <w14:textOutline w14:w="3831" w14:cap="flat" w14:cmpd="sng">
                  <w14:solidFill>
                    <w14:srgbClr w14:val="000000"/>
                  </w14:solidFill>
                  <w14:prstDash w14:val="solid"/>
                  <w14:miter w14:val="0"/>
                </w14:textOutline>
              </w:rPr>
              <w:t>签名</w:t>
            </w:r>
          </w:p>
        </w:tc>
      </w:tr>
      <w:tr w14:paraId="1EE5E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811" w:type="dxa"/>
            <w:tcBorders>
              <w:top w:val="single" w:color="000000" w:sz="4" w:space="0"/>
            </w:tcBorders>
            <w:vAlign w:val="top"/>
          </w:tcPr>
          <w:p w14:paraId="116234C2">
            <w:pPr>
              <w:pStyle w:val="11"/>
              <w:spacing w:before="281" w:line="183" w:lineRule="auto"/>
              <w:ind w:left="369"/>
              <w:rPr>
                <w:color w:val="auto"/>
                <w:highlight w:val="none"/>
              </w:rPr>
            </w:pPr>
            <w:r>
              <w:rPr>
                <w:color w:val="auto"/>
                <w:highlight w:val="none"/>
              </w:rPr>
              <w:t>1</w:t>
            </w:r>
          </w:p>
        </w:tc>
        <w:tc>
          <w:tcPr>
            <w:tcW w:w="1166" w:type="dxa"/>
            <w:tcBorders>
              <w:top w:val="single" w:color="000000" w:sz="4" w:space="0"/>
            </w:tcBorders>
            <w:vAlign w:val="top"/>
          </w:tcPr>
          <w:p w14:paraId="72276F99">
            <w:pPr>
              <w:rPr>
                <w:rFonts w:ascii="Arial"/>
                <w:color w:val="auto"/>
                <w:sz w:val="21"/>
                <w:highlight w:val="none"/>
              </w:rPr>
            </w:pPr>
          </w:p>
        </w:tc>
        <w:tc>
          <w:tcPr>
            <w:tcW w:w="1795" w:type="dxa"/>
            <w:tcBorders>
              <w:top w:val="single" w:color="000000" w:sz="4" w:space="0"/>
            </w:tcBorders>
            <w:vAlign w:val="top"/>
          </w:tcPr>
          <w:p w14:paraId="14923AAA">
            <w:pPr>
              <w:rPr>
                <w:rFonts w:ascii="Arial"/>
                <w:color w:val="auto"/>
                <w:sz w:val="21"/>
                <w:highlight w:val="none"/>
              </w:rPr>
            </w:pPr>
          </w:p>
        </w:tc>
        <w:tc>
          <w:tcPr>
            <w:tcW w:w="1934" w:type="dxa"/>
            <w:tcBorders>
              <w:top w:val="single" w:color="000000" w:sz="4" w:space="0"/>
            </w:tcBorders>
            <w:vAlign w:val="top"/>
          </w:tcPr>
          <w:p w14:paraId="011DD59E">
            <w:pPr>
              <w:rPr>
                <w:rFonts w:ascii="Arial"/>
                <w:color w:val="auto"/>
                <w:sz w:val="21"/>
                <w:highlight w:val="none"/>
              </w:rPr>
            </w:pPr>
          </w:p>
        </w:tc>
        <w:tc>
          <w:tcPr>
            <w:tcW w:w="1790" w:type="dxa"/>
            <w:tcBorders>
              <w:top w:val="single" w:color="000000" w:sz="4" w:space="0"/>
            </w:tcBorders>
            <w:vAlign w:val="top"/>
          </w:tcPr>
          <w:p w14:paraId="74288AE3">
            <w:pPr>
              <w:rPr>
                <w:rFonts w:ascii="Arial"/>
                <w:color w:val="auto"/>
                <w:sz w:val="21"/>
                <w:highlight w:val="none"/>
              </w:rPr>
            </w:pPr>
          </w:p>
        </w:tc>
        <w:tc>
          <w:tcPr>
            <w:tcW w:w="1430" w:type="dxa"/>
            <w:tcBorders>
              <w:top w:val="single" w:color="000000" w:sz="4" w:space="0"/>
            </w:tcBorders>
            <w:vAlign w:val="top"/>
          </w:tcPr>
          <w:p w14:paraId="0BB684CD">
            <w:pPr>
              <w:rPr>
                <w:rFonts w:ascii="Arial"/>
                <w:color w:val="auto"/>
                <w:sz w:val="21"/>
                <w:highlight w:val="none"/>
              </w:rPr>
            </w:pPr>
          </w:p>
        </w:tc>
        <w:tc>
          <w:tcPr>
            <w:tcW w:w="1522" w:type="dxa"/>
            <w:tcBorders>
              <w:top w:val="single" w:color="000000" w:sz="4" w:space="0"/>
            </w:tcBorders>
            <w:vAlign w:val="top"/>
          </w:tcPr>
          <w:p w14:paraId="714B12FA">
            <w:pPr>
              <w:rPr>
                <w:rFonts w:ascii="Arial"/>
                <w:color w:val="auto"/>
                <w:sz w:val="21"/>
                <w:highlight w:val="none"/>
              </w:rPr>
            </w:pPr>
          </w:p>
        </w:tc>
        <w:tc>
          <w:tcPr>
            <w:tcW w:w="1704" w:type="dxa"/>
            <w:tcBorders>
              <w:top w:val="single" w:color="000000" w:sz="4" w:space="0"/>
            </w:tcBorders>
            <w:vAlign w:val="top"/>
          </w:tcPr>
          <w:p w14:paraId="7FBC5BA2">
            <w:pPr>
              <w:rPr>
                <w:rFonts w:ascii="Arial"/>
                <w:color w:val="auto"/>
                <w:sz w:val="21"/>
                <w:highlight w:val="none"/>
              </w:rPr>
            </w:pPr>
          </w:p>
        </w:tc>
        <w:tc>
          <w:tcPr>
            <w:tcW w:w="1704" w:type="dxa"/>
            <w:tcBorders>
              <w:top w:val="single" w:color="000000" w:sz="4" w:space="0"/>
            </w:tcBorders>
            <w:vAlign w:val="top"/>
          </w:tcPr>
          <w:p w14:paraId="4B3B0BF0">
            <w:pPr>
              <w:rPr>
                <w:rFonts w:ascii="Arial"/>
                <w:color w:val="auto"/>
                <w:sz w:val="21"/>
                <w:highlight w:val="none"/>
              </w:rPr>
            </w:pPr>
          </w:p>
        </w:tc>
      </w:tr>
      <w:tr w14:paraId="53907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811" w:type="dxa"/>
            <w:tcBorders>
              <w:bottom w:val="single" w:color="000000" w:sz="4" w:space="0"/>
            </w:tcBorders>
            <w:vAlign w:val="top"/>
          </w:tcPr>
          <w:p w14:paraId="1103965C">
            <w:pPr>
              <w:pStyle w:val="11"/>
              <w:spacing w:before="287" w:line="182" w:lineRule="auto"/>
              <w:ind w:left="356"/>
              <w:rPr>
                <w:color w:val="auto"/>
                <w:highlight w:val="none"/>
              </w:rPr>
            </w:pPr>
            <w:r>
              <w:rPr>
                <w:color w:val="auto"/>
                <w:highlight w:val="none"/>
              </w:rPr>
              <w:t>2</w:t>
            </w:r>
          </w:p>
        </w:tc>
        <w:tc>
          <w:tcPr>
            <w:tcW w:w="1166" w:type="dxa"/>
            <w:tcBorders>
              <w:bottom w:val="single" w:color="000000" w:sz="4" w:space="0"/>
            </w:tcBorders>
            <w:vAlign w:val="top"/>
          </w:tcPr>
          <w:p w14:paraId="1620046F">
            <w:pPr>
              <w:rPr>
                <w:rFonts w:ascii="Arial"/>
                <w:color w:val="auto"/>
                <w:sz w:val="21"/>
                <w:highlight w:val="none"/>
              </w:rPr>
            </w:pPr>
          </w:p>
        </w:tc>
        <w:tc>
          <w:tcPr>
            <w:tcW w:w="1795" w:type="dxa"/>
            <w:tcBorders>
              <w:bottom w:val="single" w:color="000000" w:sz="4" w:space="0"/>
            </w:tcBorders>
            <w:vAlign w:val="top"/>
          </w:tcPr>
          <w:p w14:paraId="0B34E21C">
            <w:pPr>
              <w:rPr>
                <w:rFonts w:ascii="Arial"/>
                <w:color w:val="auto"/>
                <w:sz w:val="21"/>
                <w:highlight w:val="none"/>
              </w:rPr>
            </w:pPr>
          </w:p>
        </w:tc>
        <w:tc>
          <w:tcPr>
            <w:tcW w:w="1934" w:type="dxa"/>
            <w:tcBorders>
              <w:bottom w:val="single" w:color="000000" w:sz="4" w:space="0"/>
            </w:tcBorders>
            <w:vAlign w:val="top"/>
          </w:tcPr>
          <w:p w14:paraId="09B8F00B">
            <w:pPr>
              <w:rPr>
                <w:rFonts w:ascii="Arial"/>
                <w:color w:val="auto"/>
                <w:sz w:val="21"/>
                <w:highlight w:val="none"/>
              </w:rPr>
            </w:pPr>
          </w:p>
        </w:tc>
        <w:tc>
          <w:tcPr>
            <w:tcW w:w="1790" w:type="dxa"/>
            <w:tcBorders>
              <w:bottom w:val="single" w:color="000000" w:sz="4" w:space="0"/>
            </w:tcBorders>
            <w:vAlign w:val="top"/>
          </w:tcPr>
          <w:p w14:paraId="56192BC9">
            <w:pPr>
              <w:rPr>
                <w:rFonts w:ascii="Arial"/>
                <w:color w:val="auto"/>
                <w:sz w:val="21"/>
                <w:highlight w:val="none"/>
              </w:rPr>
            </w:pPr>
          </w:p>
        </w:tc>
        <w:tc>
          <w:tcPr>
            <w:tcW w:w="1430" w:type="dxa"/>
            <w:tcBorders>
              <w:bottom w:val="single" w:color="000000" w:sz="4" w:space="0"/>
            </w:tcBorders>
            <w:vAlign w:val="top"/>
          </w:tcPr>
          <w:p w14:paraId="38CB27E7">
            <w:pPr>
              <w:rPr>
                <w:rFonts w:ascii="Arial"/>
                <w:color w:val="auto"/>
                <w:sz w:val="21"/>
                <w:highlight w:val="none"/>
              </w:rPr>
            </w:pPr>
          </w:p>
        </w:tc>
        <w:tc>
          <w:tcPr>
            <w:tcW w:w="1522" w:type="dxa"/>
            <w:tcBorders>
              <w:bottom w:val="single" w:color="000000" w:sz="4" w:space="0"/>
            </w:tcBorders>
            <w:vAlign w:val="top"/>
          </w:tcPr>
          <w:p w14:paraId="0EC00C1A">
            <w:pPr>
              <w:rPr>
                <w:rFonts w:ascii="Arial"/>
                <w:color w:val="auto"/>
                <w:sz w:val="21"/>
                <w:highlight w:val="none"/>
              </w:rPr>
            </w:pPr>
          </w:p>
        </w:tc>
        <w:tc>
          <w:tcPr>
            <w:tcW w:w="1704" w:type="dxa"/>
            <w:tcBorders>
              <w:bottom w:val="single" w:color="000000" w:sz="4" w:space="0"/>
            </w:tcBorders>
            <w:vAlign w:val="top"/>
          </w:tcPr>
          <w:p w14:paraId="6300909D">
            <w:pPr>
              <w:rPr>
                <w:rFonts w:ascii="Arial"/>
                <w:color w:val="auto"/>
                <w:sz w:val="21"/>
                <w:highlight w:val="none"/>
              </w:rPr>
            </w:pPr>
          </w:p>
        </w:tc>
        <w:tc>
          <w:tcPr>
            <w:tcW w:w="1704" w:type="dxa"/>
            <w:tcBorders>
              <w:bottom w:val="single" w:color="000000" w:sz="4" w:space="0"/>
            </w:tcBorders>
            <w:vAlign w:val="top"/>
          </w:tcPr>
          <w:p w14:paraId="47B7B395">
            <w:pPr>
              <w:rPr>
                <w:rFonts w:ascii="Arial"/>
                <w:color w:val="auto"/>
                <w:sz w:val="21"/>
                <w:highlight w:val="none"/>
              </w:rPr>
            </w:pPr>
          </w:p>
        </w:tc>
      </w:tr>
      <w:tr w14:paraId="0B1EBB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811" w:type="dxa"/>
            <w:tcBorders>
              <w:top w:val="single" w:color="000000" w:sz="4" w:space="0"/>
            </w:tcBorders>
            <w:vAlign w:val="top"/>
          </w:tcPr>
          <w:p w14:paraId="6E39968D">
            <w:pPr>
              <w:pStyle w:val="11"/>
              <w:spacing w:before="284" w:line="182" w:lineRule="auto"/>
              <w:ind w:left="357"/>
              <w:rPr>
                <w:color w:val="auto"/>
                <w:highlight w:val="none"/>
              </w:rPr>
            </w:pPr>
            <w:r>
              <w:rPr>
                <w:color w:val="auto"/>
                <w:highlight w:val="none"/>
              </w:rPr>
              <w:t>3</w:t>
            </w:r>
          </w:p>
        </w:tc>
        <w:tc>
          <w:tcPr>
            <w:tcW w:w="1166" w:type="dxa"/>
            <w:tcBorders>
              <w:top w:val="single" w:color="000000" w:sz="4" w:space="0"/>
            </w:tcBorders>
            <w:vAlign w:val="top"/>
          </w:tcPr>
          <w:p w14:paraId="65F7D710">
            <w:pPr>
              <w:rPr>
                <w:rFonts w:ascii="Arial"/>
                <w:color w:val="auto"/>
                <w:sz w:val="21"/>
                <w:highlight w:val="none"/>
              </w:rPr>
            </w:pPr>
          </w:p>
        </w:tc>
        <w:tc>
          <w:tcPr>
            <w:tcW w:w="1795" w:type="dxa"/>
            <w:tcBorders>
              <w:top w:val="single" w:color="000000" w:sz="4" w:space="0"/>
            </w:tcBorders>
            <w:vAlign w:val="top"/>
          </w:tcPr>
          <w:p w14:paraId="66CA12FE">
            <w:pPr>
              <w:rPr>
                <w:rFonts w:ascii="Arial"/>
                <w:color w:val="auto"/>
                <w:sz w:val="21"/>
                <w:highlight w:val="none"/>
              </w:rPr>
            </w:pPr>
          </w:p>
        </w:tc>
        <w:tc>
          <w:tcPr>
            <w:tcW w:w="1934" w:type="dxa"/>
            <w:tcBorders>
              <w:top w:val="single" w:color="000000" w:sz="4" w:space="0"/>
            </w:tcBorders>
            <w:vAlign w:val="top"/>
          </w:tcPr>
          <w:p w14:paraId="45E24DE4">
            <w:pPr>
              <w:rPr>
                <w:rFonts w:ascii="Arial"/>
                <w:color w:val="auto"/>
                <w:sz w:val="21"/>
                <w:highlight w:val="none"/>
              </w:rPr>
            </w:pPr>
          </w:p>
        </w:tc>
        <w:tc>
          <w:tcPr>
            <w:tcW w:w="1790" w:type="dxa"/>
            <w:tcBorders>
              <w:top w:val="single" w:color="000000" w:sz="4" w:space="0"/>
            </w:tcBorders>
            <w:vAlign w:val="top"/>
          </w:tcPr>
          <w:p w14:paraId="0FD53F9F">
            <w:pPr>
              <w:rPr>
                <w:rFonts w:ascii="Arial"/>
                <w:color w:val="auto"/>
                <w:sz w:val="21"/>
                <w:highlight w:val="none"/>
              </w:rPr>
            </w:pPr>
          </w:p>
        </w:tc>
        <w:tc>
          <w:tcPr>
            <w:tcW w:w="1430" w:type="dxa"/>
            <w:tcBorders>
              <w:top w:val="single" w:color="000000" w:sz="4" w:space="0"/>
            </w:tcBorders>
            <w:vAlign w:val="top"/>
          </w:tcPr>
          <w:p w14:paraId="26490140">
            <w:pPr>
              <w:rPr>
                <w:rFonts w:ascii="Arial"/>
                <w:color w:val="auto"/>
                <w:sz w:val="21"/>
                <w:highlight w:val="none"/>
              </w:rPr>
            </w:pPr>
          </w:p>
        </w:tc>
        <w:tc>
          <w:tcPr>
            <w:tcW w:w="1522" w:type="dxa"/>
            <w:tcBorders>
              <w:top w:val="single" w:color="000000" w:sz="4" w:space="0"/>
            </w:tcBorders>
            <w:vAlign w:val="top"/>
          </w:tcPr>
          <w:p w14:paraId="25EF923F">
            <w:pPr>
              <w:rPr>
                <w:rFonts w:ascii="Arial"/>
                <w:color w:val="auto"/>
                <w:sz w:val="21"/>
                <w:highlight w:val="none"/>
              </w:rPr>
            </w:pPr>
          </w:p>
        </w:tc>
        <w:tc>
          <w:tcPr>
            <w:tcW w:w="1704" w:type="dxa"/>
            <w:tcBorders>
              <w:top w:val="single" w:color="000000" w:sz="4" w:space="0"/>
            </w:tcBorders>
            <w:vAlign w:val="top"/>
          </w:tcPr>
          <w:p w14:paraId="3504929A">
            <w:pPr>
              <w:rPr>
                <w:rFonts w:ascii="Arial"/>
                <w:color w:val="auto"/>
                <w:sz w:val="21"/>
                <w:highlight w:val="none"/>
              </w:rPr>
            </w:pPr>
          </w:p>
        </w:tc>
        <w:tc>
          <w:tcPr>
            <w:tcW w:w="1704" w:type="dxa"/>
            <w:tcBorders>
              <w:top w:val="single" w:color="000000" w:sz="4" w:space="0"/>
            </w:tcBorders>
            <w:vAlign w:val="top"/>
          </w:tcPr>
          <w:p w14:paraId="4D1D1864">
            <w:pPr>
              <w:rPr>
                <w:rFonts w:ascii="Arial"/>
                <w:color w:val="auto"/>
                <w:sz w:val="21"/>
                <w:highlight w:val="none"/>
              </w:rPr>
            </w:pPr>
          </w:p>
        </w:tc>
      </w:tr>
      <w:tr w14:paraId="0EDA8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811" w:type="dxa"/>
            <w:vAlign w:val="top"/>
          </w:tcPr>
          <w:p w14:paraId="19990B51">
            <w:pPr>
              <w:pStyle w:val="11"/>
              <w:spacing w:before="289" w:line="182" w:lineRule="auto"/>
              <w:ind w:left="352"/>
              <w:rPr>
                <w:color w:val="auto"/>
                <w:highlight w:val="none"/>
              </w:rPr>
            </w:pPr>
            <w:r>
              <w:rPr>
                <w:color w:val="auto"/>
                <w:highlight w:val="none"/>
              </w:rPr>
              <w:t>4</w:t>
            </w:r>
          </w:p>
        </w:tc>
        <w:tc>
          <w:tcPr>
            <w:tcW w:w="1166" w:type="dxa"/>
            <w:vAlign w:val="top"/>
          </w:tcPr>
          <w:p w14:paraId="436034C6">
            <w:pPr>
              <w:rPr>
                <w:rFonts w:ascii="Arial"/>
                <w:color w:val="auto"/>
                <w:sz w:val="21"/>
                <w:highlight w:val="none"/>
              </w:rPr>
            </w:pPr>
          </w:p>
        </w:tc>
        <w:tc>
          <w:tcPr>
            <w:tcW w:w="1795" w:type="dxa"/>
            <w:vAlign w:val="top"/>
          </w:tcPr>
          <w:p w14:paraId="317E6B6D">
            <w:pPr>
              <w:rPr>
                <w:rFonts w:ascii="Arial"/>
                <w:color w:val="auto"/>
                <w:sz w:val="21"/>
                <w:highlight w:val="none"/>
              </w:rPr>
            </w:pPr>
          </w:p>
        </w:tc>
        <w:tc>
          <w:tcPr>
            <w:tcW w:w="1934" w:type="dxa"/>
            <w:vAlign w:val="top"/>
          </w:tcPr>
          <w:p w14:paraId="479C8EB7">
            <w:pPr>
              <w:rPr>
                <w:rFonts w:ascii="Arial"/>
                <w:color w:val="auto"/>
                <w:sz w:val="21"/>
                <w:highlight w:val="none"/>
              </w:rPr>
            </w:pPr>
          </w:p>
        </w:tc>
        <w:tc>
          <w:tcPr>
            <w:tcW w:w="1790" w:type="dxa"/>
            <w:vAlign w:val="top"/>
          </w:tcPr>
          <w:p w14:paraId="77EA57F8">
            <w:pPr>
              <w:rPr>
                <w:rFonts w:ascii="Arial"/>
                <w:color w:val="auto"/>
                <w:sz w:val="21"/>
                <w:highlight w:val="none"/>
              </w:rPr>
            </w:pPr>
          </w:p>
        </w:tc>
        <w:tc>
          <w:tcPr>
            <w:tcW w:w="1430" w:type="dxa"/>
            <w:vAlign w:val="top"/>
          </w:tcPr>
          <w:p w14:paraId="30A0D5A0">
            <w:pPr>
              <w:rPr>
                <w:rFonts w:ascii="Arial"/>
                <w:color w:val="auto"/>
                <w:sz w:val="21"/>
                <w:highlight w:val="none"/>
              </w:rPr>
            </w:pPr>
          </w:p>
        </w:tc>
        <w:tc>
          <w:tcPr>
            <w:tcW w:w="1522" w:type="dxa"/>
            <w:vAlign w:val="top"/>
          </w:tcPr>
          <w:p w14:paraId="18067AE8">
            <w:pPr>
              <w:rPr>
                <w:rFonts w:ascii="Arial"/>
                <w:color w:val="auto"/>
                <w:sz w:val="21"/>
                <w:highlight w:val="none"/>
              </w:rPr>
            </w:pPr>
          </w:p>
        </w:tc>
        <w:tc>
          <w:tcPr>
            <w:tcW w:w="1704" w:type="dxa"/>
            <w:vAlign w:val="top"/>
          </w:tcPr>
          <w:p w14:paraId="2B6BF5BD">
            <w:pPr>
              <w:rPr>
                <w:rFonts w:ascii="Arial"/>
                <w:color w:val="auto"/>
                <w:sz w:val="21"/>
                <w:highlight w:val="none"/>
              </w:rPr>
            </w:pPr>
          </w:p>
        </w:tc>
        <w:tc>
          <w:tcPr>
            <w:tcW w:w="1704" w:type="dxa"/>
            <w:vAlign w:val="top"/>
          </w:tcPr>
          <w:p w14:paraId="09410288">
            <w:pPr>
              <w:rPr>
                <w:rFonts w:ascii="Arial"/>
                <w:color w:val="auto"/>
                <w:sz w:val="21"/>
                <w:highlight w:val="none"/>
              </w:rPr>
            </w:pPr>
          </w:p>
        </w:tc>
      </w:tr>
      <w:tr w14:paraId="1D180E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811" w:type="dxa"/>
            <w:vAlign w:val="top"/>
          </w:tcPr>
          <w:p w14:paraId="2ED35DD6">
            <w:pPr>
              <w:pStyle w:val="11"/>
              <w:spacing w:before="291" w:line="181" w:lineRule="auto"/>
              <w:ind w:left="357"/>
              <w:rPr>
                <w:color w:val="auto"/>
                <w:highlight w:val="none"/>
              </w:rPr>
            </w:pPr>
            <w:r>
              <w:rPr>
                <w:color w:val="auto"/>
                <w:highlight w:val="none"/>
              </w:rPr>
              <w:t>5</w:t>
            </w:r>
          </w:p>
        </w:tc>
        <w:tc>
          <w:tcPr>
            <w:tcW w:w="1166" w:type="dxa"/>
            <w:vAlign w:val="top"/>
          </w:tcPr>
          <w:p w14:paraId="0F78EAC7">
            <w:pPr>
              <w:rPr>
                <w:rFonts w:ascii="Arial"/>
                <w:color w:val="auto"/>
                <w:sz w:val="21"/>
                <w:highlight w:val="none"/>
              </w:rPr>
            </w:pPr>
          </w:p>
        </w:tc>
        <w:tc>
          <w:tcPr>
            <w:tcW w:w="1795" w:type="dxa"/>
            <w:vAlign w:val="top"/>
          </w:tcPr>
          <w:p w14:paraId="72F571F8">
            <w:pPr>
              <w:rPr>
                <w:rFonts w:ascii="Arial"/>
                <w:color w:val="auto"/>
                <w:sz w:val="21"/>
                <w:highlight w:val="none"/>
              </w:rPr>
            </w:pPr>
          </w:p>
        </w:tc>
        <w:tc>
          <w:tcPr>
            <w:tcW w:w="1934" w:type="dxa"/>
            <w:vAlign w:val="top"/>
          </w:tcPr>
          <w:p w14:paraId="4ACD6182">
            <w:pPr>
              <w:rPr>
                <w:rFonts w:ascii="Arial"/>
                <w:color w:val="auto"/>
                <w:sz w:val="21"/>
                <w:highlight w:val="none"/>
              </w:rPr>
            </w:pPr>
          </w:p>
        </w:tc>
        <w:tc>
          <w:tcPr>
            <w:tcW w:w="1790" w:type="dxa"/>
            <w:vAlign w:val="top"/>
          </w:tcPr>
          <w:p w14:paraId="7DD5C3DD">
            <w:pPr>
              <w:rPr>
                <w:rFonts w:ascii="Arial"/>
                <w:color w:val="auto"/>
                <w:sz w:val="21"/>
                <w:highlight w:val="none"/>
              </w:rPr>
            </w:pPr>
          </w:p>
        </w:tc>
        <w:tc>
          <w:tcPr>
            <w:tcW w:w="1430" w:type="dxa"/>
            <w:vAlign w:val="top"/>
          </w:tcPr>
          <w:p w14:paraId="22BBF7AA">
            <w:pPr>
              <w:rPr>
                <w:rFonts w:ascii="Arial"/>
                <w:color w:val="auto"/>
                <w:sz w:val="21"/>
                <w:highlight w:val="none"/>
              </w:rPr>
            </w:pPr>
          </w:p>
        </w:tc>
        <w:tc>
          <w:tcPr>
            <w:tcW w:w="1522" w:type="dxa"/>
            <w:vAlign w:val="top"/>
          </w:tcPr>
          <w:p w14:paraId="5C26BD5A">
            <w:pPr>
              <w:rPr>
                <w:rFonts w:ascii="Arial"/>
                <w:color w:val="auto"/>
                <w:sz w:val="21"/>
                <w:highlight w:val="none"/>
              </w:rPr>
            </w:pPr>
          </w:p>
        </w:tc>
        <w:tc>
          <w:tcPr>
            <w:tcW w:w="1704" w:type="dxa"/>
            <w:vAlign w:val="top"/>
          </w:tcPr>
          <w:p w14:paraId="4A98996E">
            <w:pPr>
              <w:rPr>
                <w:rFonts w:ascii="Arial"/>
                <w:color w:val="auto"/>
                <w:sz w:val="21"/>
                <w:highlight w:val="none"/>
              </w:rPr>
            </w:pPr>
          </w:p>
        </w:tc>
        <w:tc>
          <w:tcPr>
            <w:tcW w:w="1704" w:type="dxa"/>
            <w:vAlign w:val="top"/>
          </w:tcPr>
          <w:p w14:paraId="50968387">
            <w:pPr>
              <w:rPr>
                <w:rFonts w:ascii="Arial"/>
                <w:color w:val="auto"/>
                <w:sz w:val="21"/>
                <w:highlight w:val="none"/>
              </w:rPr>
            </w:pPr>
          </w:p>
        </w:tc>
      </w:tr>
      <w:tr w14:paraId="2F512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811" w:type="dxa"/>
            <w:vAlign w:val="top"/>
          </w:tcPr>
          <w:p w14:paraId="6C1DDC17">
            <w:pPr>
              <w:pStyle w:val="11"/>
              <w:spacing w:before="291" w:line="182" w:lineRule="auto"/>
              <w:ind w:left="355"/>
              <w:rPr>
                <w:color w:val="auto"/>
                <w:highlight w:val="none"/>
              </w:rPr>
            </w:pPr>
            <w:r>
              <w:rPr>
                <w:color w:val="auto"/>
                <w:highlight w:val="none"/>
              </w:rPr>
              <w:t>6</w:t>
            </w:r>
          </w:p>
        </w:tc>
        <w:tc>
          <w:tcPr>
            <w:tcW w:w="1166" w:type="dxa"/>
            <w:vAlign w:val="top"/>
          </w:tcPr>
          <w:p w14:paraId="55ED2107">
            <w:pPr>
              <w:rPr>
                <w:rFonts w:ascii="Arial"/>
                <w:color w:val="auto"/>
                <w:sz w:val="21"/>
                <w:highlight w:val="none"/>
              </w:rPr>
            </w:pPr>
          </w:p>
        </w:tc>
        <w:tc>
          <w:tcPr>
            <w:tcW w:w="1795" w:type="dxa"/>
            <w:vAlign w:val="top"/>
          </w:tcPr>
          <w:p w14:paraId="1256B10F">
            <w:pPr>
              <w:rPr>
                <w:rFonts w:ascii="Arial"/>
                <w:color w:val="auto"/>
                <w:sz w:val="21"/>
                <w:highlight w:val="none"/>
              </w:rPr>
            </w:pPr>
          </w:p>
        </w:tc>
        <w:tc>
          <w:tcPr>
            <w:tcW w:w="1934" w:type="dxa"/>
            <w:vAlign w:val="top"/>
          </w:tcPr>
          <w:p w14:paraId="6A63D117">
            <w:pPr>
              <w:rPr>
                <w:rFonts w:ascii="Arial"/>
                <w:color w:val="auto"/>
                <w:sz w:val="21"/>
                <w:highlight w:val="none"/>
              </w:rPr>
            </w:pPr>
          </w:p>
        </w:tc>
        <w:tc>
          <w:tcPr>
            <w:tcW w:w="1790" w:type="dxa"/>
            <w:vAlign w:val="top"/>
          </w:tcPr>
          <w:p w14:paraId="034D6DDB">
            <w:pPr>
              <w:rPr>
                <w:rFonts w:ascii="Arial"/>
                <w:color w:val="auto"/>
                <w:sz w:val="21"/>
                <w:highlight w:val="none"/>
              </w:rPr>
            </w:pPr>
          </w:p>
        </w:tc>
        <w:tc>
          <w:tcPr>
            <w:tcW w:w="1430" w:type="dxa"/>
            <w:vAlign w:val="top"/>
          </w:tcPr>
          <w:p w14:paraId="67696A8F">
            <w:pPr>
              <w:rPr>
                <w:rFonts w:ascii="Arial"/>
                <w:color w:val="auto"/>
                <w:sz w:val="21"/>
                <w:highlight w:val="none"/>
              </w:rPr>
            </w:pPr>
          </w:p>
        </w:tc>
        <w:tc>
          <w:tcPr>
            <w:tcW w:w="1522" w:type="dxa"/>
            <w:vAlign w:val="top"/>
          </w:tcPr>
          <w:p w14:paraId="3C7E091A">
            <w:pPr>
              <w:rPr>
                <w:rFonts w:ascii="Arial"/>
                <w:color w:val="auto"/>
                <w:sz w:val="21"/>
                <w:highlight w:val="none"/>
              </w:rPr>
            </w:pPr>
          </w:p>
        </w:tc>
        <w:tc>
          <w:tcPr>
            <w:tcW w:w="1704" w:type="dxa"/>
            <w:vAlign w:val="top"/>
          </w:tcPr>
          <w:p w14:paraId="6D77ECD3">
            <w:pPr>
              <w:rPr>
                <w:rFonts w:ascii="Arial"/>
                <w:color w:val="auto"/>
                <w:sz w:val="21"/>
                <w:highlight w:val="none"/>
              </w:rPr>
            </w:pPr>
          </w:p>
        </w:tc>
        <w:tc>
          <w:tcPr>
            <w:tcW w:w="1704" w:type="dxa"/>
            <w:vAlign w:val="top"/>
          </w:tcPr>
          <w:p w14:paraId="284B8472">
            <w:pPr>
              <w:rPr>
                <w:rFonts w:ascii="Arial"/>
                <w:color w:val="auto"/>
                <w:sz w:val="21"/>
                <w:highlight w:val="none"/>
              </w:rPr>
            </w:pPr>
          </w:p>
        </w:tc>
      </w:tr>
      <w:tr w14:paraId="4C956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11" w:type="dxa"/>
            <w:vAlign w:val="top"/>
          </w:tcPr>
          <w:p w14:paraId="186A98E9">
            <w:pPr>
              <w:pStyle w:val="11"/>
              <w:spacing w:before="297" w:line="181" w:lineRule="auto"/>
              <w:ind w:left="358"/>
              <w:rPr>
                <w:color w:val="auto"/>
                <w:highlight w:val="none"/>
              </w:rPr>
            </w:pPr>
            <w:r>
              <w:rPr>
                <w:color w:val="auto"/>
                <w:highlight w:val="none"/>
              </w:rPr>
              <w:t>7</w:t>
            </w:r>
          </w:p>
        </w:tc>
        <w:tc>
          <w:tcPr>
            <w:tcW w:w="1166" w:type="dxa"/>
            <w:vAlign w:val="top"/>
          </w:tcPr>
          <w:p w14:paraId="276093CA">
            <w:pPr>
              <w:rPr>
                <w:rFonts w:ascii="Arial"/>
                <w:color w:val="auto"/>
                <w:sz w:val="21"/>
                <w:highlight w:val="none"/>
              </w:rPr>
            </w:pPr>
          </w:p>
        </w:tc>
        <w:tc>
          <w:tcPr>
            <w:tcW w:w="1795" w:type="dxa"/>
            <w:vAlign w:val="top"/>
          </w:tcPr>
          <w:p w14:paraId="4D24939B">
            <w:pPr>
              <w:rPr>
                <w:rFonts w:ascii="Arial"/>
                <w:color w:val="auto"/>
                <w:sz w:val="21"/>
                <w:highlight w:val="none"/>
              </w:rPr>
            </w:pPr>
          </w:p>
        </w:tc>
        <w:tc>
          <w:tcPr>
            <w:tcW w:w="1934" w:type="dxa"/>
            <w:vAlign w:val="top"/>
          </w:tcPr>
          <w:p w14:paraId="4943FF00">
            <w:pPr>
              <w:rPr>
                <w:rFonts w:ascii="Arial"/>
                <w:color w:val="auto"/>
                <w:sz w:val="21"/>
                <w:highlight w:val="none"/>
              </w:rPr>
            </w:pPr>
          </w:p>
        </w:tc>
        <w:tc>
          <w:tcPr>
            <w:tcW w:w="1790" w:type="dxa"/>
            <w:vAlign w:val="top"/>
          </w:tcPr>
          <w:p w14:paraId="6A050D60">
            <w:pPr>
              <w:rPr>
                <w:rFonts w:ascii="Arial"/>
                <w:color w:val="auto"/>
                <w:sz w:val="21"/>
                <w:highlight w:val="none"/>
              </w:rPr>
            </w:pPr>
          </w:p>
        </w:tc>
        <w:tc>
          <w:tcPr>
            <w:tcW w:w="1430" w:type="dxa"/>
            <w:vAlign w:val="top"/>
          </w:tcPr>
          <w:p w14:paraId="3316F3B4">
            <w:pPr>
              <w:rPr>
                <w:rFonts w:ascii="Arial"/>
                <w:color w:val="auto"/>
                <w:sz w:val="21"/>
                <w:highlight w:val="none"/>
              </w:rPr>
            </w:pPr>
          </w:p>
        </w:tc>
        <w:tc>
          <w:tcPr>
            <w:tcW w:w="1522" w:type="dxa"/>
            <w:vAlign w:val="top"/>
          </w:tcPr>
          <w:p w14:paraId="4643AC1E">
            <w:pPr>
              <w:rPr>
                <w:rFonts w:ascii="Arial"/>
                <w:color w:val="auto"/>
                <w:sz w:val="21"/>
                <w:highlight w:val="none"/>
              </w:rPr>
            </w:pPr>
          </w:p>
        </w:tc>
        <w:tc>
          <w:tcPr>
            <w:tcW w:w="1704" w:type="dxa"/>
            <w:vAlign w:val="top"/>
          </w:tcPr>
          <w:p w14:paraId="5B1D1BBA">
            <w:pPr>
              <w:rPr>
                <w:rFonts w:ascii="Arial"/>
                <w:color w:val="auto"/>
                <w:sz w:val="21"/>
                <w:highlight w:val="none"/>
              </w:rPr>
            </w:pPr>
          </w:p>
        </w:tc>
        <w:tc>
          <w:tcPr>
            <w:tcW w:w="1704" w:type="dxa"/>
            <w:vAlign w:val="top"/>
          </w:tcPr>
          <w:p w14:paraId="7001A236">
            <w:pPr>
              <w:rPr>
                <w:rFonts w:ascii="Arial"/>
                <w:color w:val="auto"/>
                <w:sz w:val="21"/>
                <w:highlight w:val="none"/>
              </w:rPr>
            </w:pPr>
          </w:p>
        </w:tc>
      </w:tr>
    </w:tbl>
    <w:p w14:paraId="4269BDD2">
      <w:pPr>
        <w:pStyle w:val="3"/>
        <w:spacing w:line="14" w:lineRule="auto"/>
        <w:rPr>
          <w:color w:val="auto"/>
          <w:sz w:val="2"/>
          <w:highlight w:val="none"/>
        </w:rPr>
      </w:pPr>
    </w:p>
    <w:p w14:paraId="31B966A9">
      <w:pPr>
        <w:spacing w:line="14" w:lineRule="auto"/>
        <w:rPr>
          <w:color w:val="auto"/>
          <w:sz w:val="2"/>
          <w:szCs w:val="2"/>
          <w:highlight w:val="none"/>
        </w:rPr>
        <w:sectPr>
          <w:type w:val="continuous"/>
          <w:pgSz w:w="16839" w:h="11905"/>
          <w:pgMar w:top="1011" w:right="1483" w:bottom="991" w:left="1449" w:header="0" w:footer="786" w:gutter="0"/>
          <w:pgNumType w:fmt="decimal"/>
          <w:cols w:equalWidth="0" w:num="1">
            <w:col w:w="13906"/>
          </w:cols>
        </w:sectPr>
      </w:pPr>
    </w:p>
    <w:p w14:paraId="61A498F3">
      <w:pPr>
        <w:spacing w:before="124" w:line="219" w:lineRule="auto"/>
        <w:ind w:left="3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附表</w:t>
      </w:r>
      <w:r>
        <w:rPr>
          <w:rFonts w:ascii="黑体" w:hAnsi="黑体" w:eastAsia="黑体" w:cs="黑体"/>
          <w:color w:val="auto"/>
          <w:spacing w:val="-54"/>
          <w:sz w:val="24"/>
          <w:szCs w:val="24"/>
          <w:highlight w:val="none"/>
        </w:rPr>
        <w:t xml:space="preserve"> </w:t>
      </w:r>
      <w:r>
        <w:rPr>
          <w:rFonts w:ascii="Times New Roman" w:hAnsi="Times New Roman" w:eastAsia="Times New Roman" w:cs="Times New Roman"/>
          <w:color w:val="auto"/>
          <w:spacing w:val="-2"/>
          <w:sz w:val="24"/>
          <w:szCs w:val="24"/>
          <w:highlight w:val="none"/>
        </w:rPr>
        <w:t>A-2</w:t>
      </w:r>
      <w:r>
        <w:rPr>
          <w:rFonts w:ascii="黑体" w:hAnsi="黑体" w:eastAsia="黑体" w:cs="黑体"/>
          <w:color w:val="auto"/>
          <w:spacing w:val="-2"/>
          <w:sz w:val="24"/>
          <w:szCs w:val="24"/>
          <w:highlight w:val="none"/>
        </w:rPr>
        <w:t>：评标专家告知承诺函</w:t>
      </w:r>
    </w:p>
    <w:p w14:paraId="41C3DF4F">
      <w:pPr>
        <w:pStyle w:val="3"/>
        <w:spacing w:line="302" w:lineRule="auto"/>
        <w:rPr>
          <w:color w:val="auto"/>
          <w:highlight w:val="none"/>
        </w:rPr>
      </w:pPr>
    </w:p>
    <w:p w14:paraId="73939B74">
      <w:pPr>
        <w:pStyle w:val="3"/>
        <w:spacing w:line="303" w:lineRule="auto"/>
        <w:rPr>
          <w:color w:val="auto"/>
          <w:highlight w:val="none"/>
        </w:rPr>
      </w:pPr>
    </w:p>
    <w:p w14:paraId="31D70078">
      <w:pPr>
        <w:spacing w:before="117" w:line="219" w:lineRule="auto"/>
        <w:ind w:left="2558"/>
        <w:rPr>
          <w:rFonts w:ascii="黑体" w:hAnsi="黑体" w:eastAsia="黑体" w:cs="黑体"/>
          <w:color w:val="auto"/>
          <w:sz w:val="36"/>
          <w:szCs w:val="36"/>
          <w:highlight w:val="none"/>
        </w:rPr>
      </w:pPr>
      <w:bookmarkStart w:id="189" w:name="bookmark217"/>
      <w:bookmarkEnd w:id="189"/>
      <w:r>
        <w:rPr>
          <w:rFonts w:ascii="黑体" w:hAnsi="黑体" w:eastAsia="黑体" w:cs="黑体"/>
          <w:color w:val="auto"/>
          <w:spacing w:val="-2"/>
          <w:sz w:val="36"/>
          <w:szCs w:val="36"/>
          <w:highlight w:val="none"/>
        </w:rPr>
        <w:t>评标专家告知承诺函</w:t>
      </w:r>
    </w:p>
    <w:p w14:paraId="1670F300">
      <w:pPr>
        <w:pStyle w:val="3"/>
        <w:spacing w:line="263" w:lineRule="auto"/>
        <w:rPr>
          <w:color w:val="auto"/>
          <w:highlight w:val="none"/>
        </w:rPr>
      </w:pPr>
    </w:p>
    <w:p w14:paraId="40759E3A">
      <w:pPr>
        <w:pStyle w:val="3"/>
        <w:spacing w:line="264" w:lineRule="auto"/>
        <w:rPr>
          <w:color w:val="auto"/>
          <w:highlight w:val="none"/>
        </w:rPr>
      </w:pPr>
    </w:p>
    <w:p w14:paraId="7603324A">
      <w:pPr>
        <w:spacing w:before="68" w:line="220" w:lineRule="auto"/>
        <w:ind w:left="442"/>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本人接受招标人邀请，担任</w:t>
      </w:r>
      <w:r>
        <w:rPr>
          <w:rFonts w:ascii="宋体" w:hAnsi="宋体" w:eastAsia="宋体" w:cs="宋体"/>
          <w:color w:val="auto"/>
          <w:spacing w:val="-42"/>
          <w:sz w:val="21"/>
          <w:szCs w:val="21"/>
          <w:highlight w:val="none"/>
        </w:rPr>
        <w:t xml:space="preserve"> </w:t>
      </w:r>
      <w:r>
        <w:rPr>
          <w:rFonts w:ascii="宋体" w:hAnsi="宋体" w:eastAsia="宋体" w:cs="宋体"/>
          <w:color w:val="auto"/>
          <w:spacing w:val="12"/>
          <w:sz w:val="21"/>
          <w:szCs w:val="21"/>
          <w:highlight w:val="none"/>
          <w:u w:val="single" w:color="auto"/>
        </w:rPr>
        <w:t xml:space="preserve">        </w:t>
      </w:r>
      <w:r>
        <w:rPr>
          <w:rFonts w:ascii="宋体" w:hAnsi="宋体" w:eastAsia="宋体" w:cs="宋体"/>
          <w:color w:val="auto"/>
          <w:spacing w:val="-16"/>
          <w:sz w:val="21"/>
          <w:szCs w:val="21"/>
          <w:highlight w:val="none"/>
        </w:rPr>
        <w:t xml:space="preserve"> </w:t>
      </w:r>
      <w:r>
        <w:rPr>
          <w:rFonts w:ascii="宋体" w:hAnsi="宋体" w:eastAsia="宋体" w:cs="宋体"/>
          <w:color w:val="auto"/>
          <w:spacing w:val="-6"/>
          <w:sz w:val="21"/>
          <w:szCs w:val="21"/>
          <w:highlight w:val="none"/>
        </w:rPr>
        <w:t>（标段名称）</w:t>
      </w:r>
      <w:r>
        <w:rPr>
          <w:rFonts w:ascii="宋体" w:hAnsi="宋体" w:eastAsia="宋体" w:cs="宋体"/>
          <w:color w:val="auto"/>
          <w:spacing w:val="-26"/>
          <w:sz w:val="21"/>
          <w:szCs w:val="21"/>
          <w:highlight w:val="none"/>
        </w:rPr>
        <w:t xml:space="preserve"> </w:t>
      </w:r>
      <w:r>
        <w:rPr>
          <w:rFonts w:ascii="宋体" w:hAnsi="宋体" w:eastAsia="宋体" w:cs="宋体"/>
          <w:color w:val="auto"/>
          <w:spacing w:val="-6"/>
          <w:sz w:val="21"/>
          <w:szCs w:val="21"/>
          <w:highlight w:val="none"/>
        </w:rPr>
        <w:t>项目招标</w:t>
      </w:r>
      <w:r>
        <w:rPr>
          <w:rFonts w:ascii="宋体" w:hAnsi="宋体" w:eastAsia="宋体" w:cs="宋体"/>
          <w:color w:val="auto"/>
          <w:spacing w:val="-7"/>
          <w:sz w:val="21"/>
          <w:szCs w:val="21"/>
          <w:highlight w:val="none"/>
        </w:rPr>
        <w:t>的评标专家。</w:t>
      </w:r>
    </w:p>
    <w:p w14:paraId="1FD6C9AF">
      <w:pPr>
        <w:spacing w:before="157" w:line="409" w:lineRule="exact"/>
        <w:jc w:val="right"/>
        <w:rPr>
          <w:rFonts w:ascii="宋体" w:hAnsi="宋体" w:eastAsia="宋体" w:cs="宋体"/>
          <w:color w:val="auto"/>
          <w:sz w:val="21"/>
          <w:szCs w:val="21"/>
          <w:highlight w:val="none"/>
        </w:rPr>
      </w:pPr>
      <w:r>
        <w:rPr>
          <w:rFonts w:ascii="宋体" w:hAnsi="宋体" w:eastAsia="宋体" w:cs="宋体"/>
          <w:color w:val="auto"/>
          <w:spacing w:val="-1"/>
          <w:position w:val="15"/>
          <w:sz w:val="21"/>
          <w:szCs w:val="21"/>
          <w:highlight w:val="none"/>
        </w:rPr>
        <w:t>本人作为辽宁省评标专家库评标专家， 已知悉相关权利义务，已熟知告知承诺函内容，</w:t>
      </w:r>
    </w:p>
    <w:p w14:paraId="4DB5DFCA">
      <w:pPr>
        <w:spacing w:line="220" w:lineRule="auto"/>
        <w:ind w:left="2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并在此郑重承诺:</w:t>
      </w:r>
    </w:p>
    <w:p w14:paraId="39B5327A">
      <w:pPr>
        <w:spacing w:before="156" w:line="221" w:lineRule="auto"/>
        <w:ind w:left="44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一、尽职承诺</w:t>
      </w:r>
    </w:p>
    <w:p w14:paraId="2C349BB5">
      <w:pPr>
        <w:spacing w:before="162" w:line="408"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（一）客观、公正地履行职务， 严格按照法律法规规定、评标办法独立完成该</w:t>
      </w:r>
      <w:r>
        <w:rPr>
          <w:rFonts w:ascii="宋体" w:hAnsi="宋体" w:eastAsia="宋体" w:cs="宋体"/>
          <w:color w:val="auto"/>
          <w:spacing w:val="-1"/>
          <w:position w:val="14"/>
          <w:sz w:val="21"/>
          <w:szCs w:val="21"/>
          <w:highlight w:val="none"/>
        </w:rPr>
        <w:t>项目的</w:t>
      </w:r>
    </w:p>
    <w:p w14:paraId="13607D91">
      <w:pPr>
        <w:spacing w:before="1" w:line="221" w:lineRule="auto"/>
        <w:ind w:left="17"/>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评标工作。</w:t>
      </w:r>
    </w:p>
    <w:p w14:paraId="46210E9F">
      <w:pPr>
        <w:spacing w:before="156" w:line="408" w:lineRule="exact"/>
        <w:ind w:left="447"/>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（二） 严格遵守评标纪律， 保证评标过程中不发表任何涉及实质性内容的倾向性、引</w:t>
      </w:r>
    </w:p>
    <w:p w14:paraId="39CD8111">
      <w:pPr>
        <w:spacing w:before="1" w:line="221" w:lineRule="auto"/>
        <w:ind w:left="24"/>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导性言论，</w:t>
      </w:r>
      <w:r>
        <w:rPr>
          <w:rFonts w:ascii="宋体" w:hAnsi="宋体" w:eastAsia="宋体" w:cs="宋体"/>
          <w:color w:val="auto"/>
          <w:spacing w:val="23"/>
          <w:sz w:val="21"/>
          <w:szCs w:val="21"/>
          <w:highlight w:val="none"/>
        </w:rPr>
        <w:t xml:space="preserve"> </w:t>
      </w:r>
      <w:r>
        <w:rPr>
          <w:rFonts w:ascii="宋体" w:hAnsi="宋体" w:eastAsia="宋体" w:cs="宋体"/>
          <w:color w:val="auto"/>
          <w:spacing w:val="-14"/>
          <w:sz w:val="21"/>
          <w:szCs w:val="21"/>
          <w:highlight w:val="none"/>
        </w:rPr>
        <w:t>不擅离职守。</w:t>
      </w:r>
    </w:p>
    <w:p w14:paraId="2BCCA499">
      <w:pPr>
        <w:spacing w:before="155" w:line="359" w:lineRule="auto"/>
        <w:ind w:left="19" w:right="193" w:firstLine="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（三）严格遵守《中华人民共和国招标投标法</w:t>
      </w:r>
      <w:r>
        <w:rPr>
          <w:rFonts w:ascii="宋体" w:hAnsi="宋体" w:eastAsia="宋体" w:cs="宋体"/>
          <w:color w:val="auto"/>
          <w:spacing w:val="2"/>
          <w:sz w:val="21"/>
          <w:szCs w:val="21"/>
          <w:highlight w:val="none"/>
        </w:rPr>
        <w:t>》《中华人民共和国保守国家秘密法》</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《中华人民共和国招标投标法实施条例》相关规定，遵守职</w:t>
      </w:r>
      <w:r>
        <w:rPr>
          <w:rFonts w:ascii="宋体" w:hAnsi="宋体" w:eastAsia="宋体" w:cs="宋体"/>
          <w:color w:val="auto"/>
          <w:spacing w:val="2"/>
          <w:sz w:val="21"/>
          <w:szCs w:val="21"/>
          <w:highlight w:val="none"/>
        </w:rPr>
        <w:t>业道德，对所提出的评审意见</w:t>
      </w:r>
    </w:p>
    <w:p w14:paraId="6CD4C18B">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承担个人责任，自觉维护国家利益、社会公共利益。</w:t>
      </w:r>
    </w:p>
    <w:p w14:paraId="0E5DAE61">
      <w:pPr>
        <w:spacing w:before="158"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（四）对依法应当否决的投标提出否决意见。</w:t>
      </w:r>
    </w:p>
    <w:p w14:paraId="21B126DA">
      <w:pPr>
        <w:spacing w:before="158" w:line="221" w:lineRule="auto"/>
        <w:ind w:left="4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二、回避承诺</w:t>
      </w:r>
    </w:p>
    <w:p w14:paraId="37780807">
      <w:pPr>
        <w:spacing w:before="161"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（一）与招标人或投标人的主要负责人不存在近亲属关系。</w:t>
      </w:r>
    </w:p>
    <w:p w14:paraId="31D3BBF0">
      <w:pPr>
        <w:spacing w:before="157"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（二）非项目主管部门或者行政监督部门的人员。</w:t>
      </w:r>
    </w:p>
    <w:p w14:paraId="015E828B">
      <w:pPr>
        <w:spacing w:before="157"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（三）近</w:t>
      </w:r>
      <w:r>
        <w:rPr>
          <w:rFonts w:ascii="宋体" w:hAnsi="宋体" w:eastAsia="宋体" w:cs="宋体"/>
          <w:color w:val="auto"/>
          <w:spacing w:val="-31"/>
          <w:sz w:val="21"/>
          <w:szCs w:val="21"/>
          <w:highlight w:val="none"/>
        </w:rPr>
        <w:t xml:space="preserve"> </w:t>
      </w:r>
      <w:r>
        <w:rPr>
          <w:rFonts w:ascii="宋体" w:hAnsi="宋体" w:eastAsia="宋体" w:cs="宋体"/>
          <w:color w:val="auto"/>
          <w:spacing w:val="-1"/>
          <w:sz w:val="21"/>
          <w:szCs w:val="21"/>
          <w:highlight w:val="none"/>
        </w:rPr>
        <w:t>5</w:t>
      </w:r>
      <w:r>
        <w:rPr>
          <w:rFonts w:ascii="宋体" w:hAnsi="宋体" w:eastAsia="宋体" w:cs="宋体"/>
          <w:color w:val="auto"/>
          <w:spacing w:val="-48"/>
          <w:sz w:val="21"/>
          <w:szCs w:val="21"/>
          <w:highlight w:val="none"/>
        </w:rPr>
        <w:t xml:space="preserve"> </w:t>
      </w:r>
      <w:r>
        <w:rPr>
          <w:rFonts w:ascii="宋体" w:hAnsi="宋体" w:eastAsia="宋体" w:cs="宋体"/>
          <w:color w:val="auto"/>
          <w:spacing w:val="-1"/>
          <w:sz w:val="21"/>
          <w:szCs w:val="21"/>
          <w:highlight w:val="none"/>
        </w:rPr>
        <w:t>年未与投标人或者投标人主要负责人有其他社会关系或者经济利益关系。</w:t>
      </w:r>
    </w:p>
    <w:p w14:paraId="6D2620F9">
      <w:pPr>
        <w:spacing w:before="158" w:line="408"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（四） 未曾因在招标、评标以及其他与招标投标有关活动中从事违法行为而受</w:t>
      </w:r>
      <w:r>
        <w:rPr>
          <w:rFonts w:ascii="宋体" w:hAnsi="宋体" w:eastAsia="宋体" w:cs="宋体"/>
          <w:color w:val="auto"/>
          <w:spacing w:val="-1"/>
          <w:position w:val="14"/>
          <w:sz w:val="21"/>
          <w:szCs w:val="21"/>
          <w:highlight w:val="none"/>
        </w:rPr>
        <w:t>过行政</w:t>
      </w:r>
    </w:p>
    <w:p w14:paraId="427C1B19">
      <w:pPr>
        <w:spacing w:line="221" w:lineRule="auto"/>
        <w:ind w:left="2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处罚或刑事处罚的。</w:t>
      </w:r>
    </w:p>
    <w:p w14:paraId="1C13089D">
      <w:pPr>
        <w:spacing w:before="156" w:line="221"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三、保密承诺</w:t>
      </w:r>
    </w:p>
    <w:p w14:paraId="38AF17DC">
      <w:pPr>
        <w:spacing w:before="158" w:line="408" w:lineRule="exact"/>
        <w:ind w:left="447"/>
        <w:rPr>
          <w:rFonts w:ascii="宋体" w:hAnsi="宋体" w:eastAsia="宋体" w:cs="宋体"/>
          <w:color w:val="auto"/>
          <w:sz w:val="21"/>
          <w:szCs w:val="21"/>
          <w:highlight w:val="none"/>
        </w:rPr>
      </w:pPr>
      <w:r>
        <w:rPr>
          <w:rFonts w:ascii="宋体" w:hAnsi="宋体" w:eastAsia="宋体" w:cs="宋体"/>
          <w:color w:val="auto"/>
          <w:spacing w:val="-4"/>
          <w:position w:val="15"/>
          <w:sz w:val="21"/>
          <w:szCs w:val="21"/>
          <w:highlight w:val="none"/>
        </w:rPr>
        <w:t>（一）不在公共社交网站、媒体、平台，如微信群、QQ 群、朋友圈、个人微博等，</w:t>
      </w:r>
      <w:r>
        <w:rPr>
          <w:rFonts w:ascii="宋体" w:hAnsi="宋体" w:eastAsia="宋体" w:cs="宋体"/>
          <w:color w:val="auto"/>
          <w:spacing w:val="60"/>
          <w:position w:val="15"/>
          <w:sz w:val="21"/>
          <w:szCs w:val="21"/>
          <w:highlight w:val="none"/>
        </w:rPr>
        <w:t xml:space="preserve"> </w:t>
      </w:r>
      <w:r>
        <w:rPr>
          <w:rFonts w:ascii="宋体" w:hAnsi="宋体" w:eastAsia="宋体" w:cs="宋体"/>
          <w:color w:val="auto"/>
          <w:spacing w:val="-4"/>
          <w:position w:val="15"/>
          <w:sz w:val="21"/>
          <w:szCs w:val="21"/>
          <w:highlight w:val="none"/>
        </w:rPr>
        <w:t>通</w:t>
      </w:r>
    </w:p>
    <w:p w14:paraId="7E9CAE89">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过视频、图片、暗语等方式泄露评标任务。</w:t>
      </w:r>
    </w:p>
    <w:p w14:paraId="003619C5">
      <w:pPr>
        <w:spacing w:before="157" w:line="408" w:lineRule="exact"/>
        <w:ind w:left="447"/>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（二） 评审结束时，全部清退不应由个人持有的评审项目所有文件和资料， 不向任何</w:t>
      </w:r>
    </w:p>
    <w:p w14:paraId="519629B6">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人透露投标文件的评审和比较情况、中标候选人推荐情况以及与评审有关的其他情况。</w:t>
      </w:r>
    </w:p>
    <w:p w14:paraId="603E0CD4">
      <w:pPr>
        <w:spacing w:before="162" w:line="221" w:lineRule="auto"/>
        <w:ind w:left="46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四、廉洁承诺</w:t>
      </w:r>
    </w:p>
    <w:p w14:paraId="0D7A6D7D">
      <w:pPr>
        <w:spacing w:before="157" w:line="408"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（一）严格履行廉政自律责任， 遵守评标廉政纪律，没有私下接触招标人、招</w:t>
      </w:r>
      <w:r>
        <w:rPr>
          <w:rFonts w:ascii="宋体" w:hAnsi="宋体" w:eastAsia="宋体" w:cs="宋体"/>
          <w:color w:val="auto"/>
          <w:spacing w:val="-1"/>
          <w:position w:val="14"/>
          <w:sz w:val="21"/>
          <w:szCs w:val="21"/>
          <w:highlight w:val="none"/>
        </w:rPr>
        <w:t>标代理</w:t>
      </w:r>
    </w:p>
    <w:p w14:paraId="7C81B7DE">
      <w:pPr>
        <w:spacing w:before="1" w:line="219" w:lineRule="auto"/>
        <w:ind w:left="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机构、投标人，没有收受利益相关人或企业的财物、好处。</w:t>
      </w:r>
    </w:p>
    <w:p w14:paraId="70CC9383">
      <w:pPr>
        <w:spacing w:before="158" w:line="408"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（二） 不向招标人征询确定中标人的意向或者接受任何单位、个人明示暗示特</w:t>
      </w:r>
      <w:r>
        <w:rPr>
          <w:rFonts w:ascii="宋体" w:hAnsi="宋体" w:eastAsia="宋体" w:cs="宋体"/>
          <w:color w:val="auto"/>
          <w:spacing w:val="-1"/>
          <w:position w:val="14"/>
          <w:sz w:val="21"/>
          <w:szCs w:val="21"/>
          <w:highlight w:val="none"/>
        </w:rPr>
        <w:t>定投标</w:t>
      </w:r>
    </w:p>
    <w:p w14:paraId="43DC8010">
      <w:pPr>
        <w:spacing w:line="222" w:lineRule="auto"/>
        <w:ind w:left="20"/>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人的要求。</w:t>
      </w:r>
    </w:p>
    <w:p w14:paraId="40B0E220">
      <w:pPr>
        <w:spacing w:before="156" w:line="221" w:lineRule="auto"/>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（三） 不暗示或者诱导投标人作出澄清、说明或者接受投标人主动提出的澄清、说明。</w:t>
      </w:r>
    </w:p>
    <w:p w14:paraId="59ECD53C">
      <w:pPr>
        <w:spacing w:line="221" w:lineRule="auto"/>
        <w:rPr>
          <w:rFonts w:ascii="宋体" w:hAnsi="宋体" w:eastAsia="宋体" w:cs="宋体"/>
          <w:color w:val="auto"/>
          <w:sz w:val="21"/>
          <w:szCs w:val="21"/>
          <w:highlight w:val="none"/>
        </w:rPr>
        <w:sectPr>
          <w:footerReference r:id="rId80" w:type="default"/>
          <w:pgSz w:w="11905" w:h="16839"/>
          <w:pgMar w:top="1431" w:right="1612" w:bottom="996" w:left="1785" w:header="0" w:footer="791" w:gutter="0"/>
          <w:pgNumType w:fmt="decimal"/>
          <w:cols w:space="720" w:num="1"/>
        </w:sectPr>
      </w:pPr>
    </w:p>
    <w:p w14:paraId="372424A6">
      <w:pPr>
        <w:spacing w:before="42" w:line="408" w:lineRule="exact"/>
        <w:ind w:right="12"/>
        <w:jc w:val="right"/>
        <w:rPr>
          <w:rFonts w:ascii="宋体" w:hAnsi="宋体" w:eastAsia="宋体" w:cs="宋体"/>
          <w:color w:val="auto"/>
          <w:sz w:val="21"/>
          <w:szCs w:val="21"/>
          <w:highlight w:val="none"/>
        </w:rPr>
      </w:pPr>
      <w:bookmarkStart w:id="190" w:name="bookmark218"/>
      <w:bookmarkEnd w:id="190"/>
      <w:r>
        <w:rPr>
          <w:rFonts w:ascii="宋体" w:hAnsi="宋体" w:eastAsia="宋体" w:cs="宋体"/>
          <w:color w:val="auto"/>
          <w:position w:val="14"/>
          <w:sz w:val="21"/>
          <w:szCs w:val="21"/>
          <w:highlight w:val="none"/>
        </w:rPr>
        <w:t>（四） 自觉抵制招标投标活动中的违法违规行为，积极配合协助行政监督部门</w:t>
      </w:r>
      <w:r>
        <w:rPr>
          <w:rFonts w:ascii="宋体" w:hAnsi="宋体" w:eastAsia="宋体" w:cs="宋体"/>
          <w:color w:val="auto"/>
          <w:spacing w:val="-1"/>
          <w:position w:val="14"/>
          <w:sz w:val="21"/>
          <w:szCs w:val="21"/>
          <w:highlight w:val="none"/>
        </w:rPr>
        <w:t>、纪检</w:t>
      </w:r>
    </w:p>
    <w:p w14:paraId="3546F328">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监察部门、公安部门、检察机关等依法进行监督。</w:t>
      </w:r>
    </w:p>
    <w:p w14:paraId="7B66EB74">
      <w:pPr>
        <w:spacing w:before="157" w:line="221" w:lineRule="auto"/>
        <w:ind w:left="4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五、不参与串通投标承诺</w:t>
      </w:r>
    </w:p>
    <w:p w14:paraId="5CADD3C5">
      <w:pPr>
        <w:spacing w:before="157"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（一）依法依规参加本招标项目的评标工作</w:t>
      </w:r>
      <w:r>
        <w:rPr>
          <w:rFonts w:ascii="宋体" w:hAnsi="宋体" w:eastAsia="宋体" w:cs="宋体"/>
          <w:color w:val="auto"/>
          <w:spacing w:val="-2"/>
          <w:sz w:val="21"/>
          <w:szCs w:val="21"/>
          <w:highlight w:val="none"/>
        </w:rPr>
        <w:t>，不参与串通投标。</w:t>
      </w:r>
    </w:p>
    <w:p w14:paraId="717F2456">
      <w:pPr>
        <w:spacing w:before="157" w:line="360" w:lineRule="auto"/>
        <w:ind w:left="18" w:right="1" w:firstLine="42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（二） 清楚并知晓《中华人民共和国刑法</w:t>
      </w:r>
      <w:r>
        <w:rPr>
          <w:rFonts w:ascii="宋体" w:hAnsi="宋体" w:eastAsia="宋体" w:cs="宋体"/>
          <w:color w:val="auto"/>
          <w:spacing w:val="-3"/>
          <w:sz w:val="21"/>
          <w:szCs w:val="21"/>
          <w:highlight w:val="none"/>
        </w:rPr>
        <w:t>》第一百六十三条“公司、 企业或者其他单</w:t>
      </w:r>
      <w:r>
        <w:rPr>
          <w:rFonts w:ascii="宋体" w:hAnsi="宋体" w:eastAsia="宋体" w:cs="宋体"/>
          <w:color w:val="auto"/>
          <w:sz w:val="21"/>
          <w:szCs w:val="21"/>
          <w:highlight w:val="none"/>
        </w:rPr>
        <w:t xml:space="preserve"> 位的工作人员，利用职务上的便利，索取他人财物或者非法收受他人财物， 为他人谋取利</w:t>
      </w:r>
      <w:r>
        <w:rPr>
          <w:rFonts w:ascii="宋体" w:hAnsi="宋体" w:eastAsia="宋体" w:cs="宋体"/>
          <w:color w:val="auto"/>
          <w:spacing w:val="11"/>
          <w:sz w:val="21"/>
          <w:szCs w:val="21"/>
          <w:highlight w:val="none"/>
        </w:rPr>
        <w:t xml:space="preserve"> </w:t>
      </w:r>
      <w:r>
        <w:rPr>
          <w:rFonts w:ascii="宋体" w:hAnsi="宋体" w:eastAsia="宋体" w:cs="宋体"/>
          <w:color w:val="auto"/>
          <w:spacing w:val="3"/>
          <w:sz w:val="21"/>
          <w:szCs w:val="21"/>
          <w:highlight w:val="none"/>
        </w:rPr>
        <w:t>益，数额较大的，处三年以下有期徒刑或者拘役，并处罚金；数额巨大或者有其</w:t>
      </w:r>
      <w:r>
        <w:rPr>
          <w:rFonts w:ascii="宋体" w:hAnsi="宋体" w:eastAsia="宋体" w:cs="宋体"/>
          <w:color w:val="auto"/>
          <w:spacing w:val="2"/>
          <w:sz w:val="21"/>
          <w:szCs w:val="21"/>
          <w:highlight w:val="none"/>
        </w:rPr>
        <w:t>他严重情</w:t>
      </w:r>
      <w:r>
        <w:rPr>
          <w:rFonts w:ascii="宋体" w:hAnsi="宋体" w:eastAsia="宋体" w:cs="宋体"/>
          <w:color w:val="auto"/>
          <w:sz w:val="21"/>
          <w:szCs w:val="21"/>
          <w:highlight w:val="none"/>
        </w:rPr>
        <w:t xml:space="preserve"> 节的， 处三年以上十年以下有期徒刑，并处罚金；数额特别巨大或者有其他特别严重情节</w:t>
      </w:r>
    </w:p>
    <w:p w14:paraId="4E09C4DD">
      <w:pPr>
        <w:spacing w:line="220" w:lineRule="auto"/>
        <w:ind w:left="3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的，处十年以上有期徒刑或者无期徒刑，并处罚金”的规定。</w:t>
      </w:r>
    </w:p>
    <w:p w14:paraId="084A0F0F">
      <w:pPr>
        <w:spacing w:before="158" w:line="408" w:lineRule="exact"/>
        <w:ind w:right="12"/>
        <w:jc w:val="right"/>
        <w:rPr>
          <w:rFonts w:ascii="宋体" w:hAnsi="宋体" w:eastAsia="宋体" w:cs="宋体"/>
          <w:color w:val="auto"/>
          <w:sz w:val="21"/>
          <w:szCs w:val="21"/>
          <w:highlight w:val="none"/>
        </w:rPr>
      </w:pPr>
      <w:r>
        <w:rPr>
          <w:rFonts w:ascii="宋体" w:hAnsi="宋体" w:eastAsia="宋体" w:cs="宋体"/>
          <w:color w:val="auto"/>
          <w:spacing w:val="-3"/>
          <w:position w:val="15"/>
          <w:sz w:val="21"/>
          <w:szCs w:val="21"/>
          <w:highlight w:val="none"/>
        </w:rPr>
        <w:t>（三） 本人如被查实在本招标项目评标工作中参与串通投标的， 自愿承担相应法律责</w:t>
      </w:r>
    </w:p>
    <w:p w14:paraId="455A78D9">
      <w:pPr>
        <w:spacing w:line="220"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任，接受相应刑事和纪律、行政处罚以及失信惩戒。</w:t>
      </w:r>
    </w:p>
    <w:p w14:paraId="42898F53">
      <w:pPr>
        <w:spacing w:before="157" w:line="220" w:lineRule="auto"/>
        <w:ind w:left="44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六、本承诺函由我本人亲自签字确认。</w:t>
      </w:r>
    </w:p>
    <w:p w14:paraId="53EA6EE6">
      <w:pPr>
        <w:pStyle w:val="3"/>
        <w:spacing w:line="301" w:lineRule="auto"/>
        <w:rPr>
          <w:color w:val="auto"/>
          <w:highlight w:val="none"/>
        </w:rPr>
      </w:pPr>
    </w:p>
    <w:p w14:paraId="33F1ED31">
      <w:pPr>
        <w:pStyle w:val="3"/>
        <w:spacing w:line="302" w:lineRule="auto"/>
        <w:rPr>
          <w:color w:val="auto"/>
          <w:highlight w:val="none"/>
        </w:rPr>
      </w:pPr>
    </w:p>
    <w:p w14:paraId="72BE97F6">
      <w:pPr>
        <w:pStyle w:val="3"/>
        <w:spacing w:line="302" w:lineRule="auto"/>
        <w:rPr>
          <w:color w:val="auto"/>
          <w:highlight w:val="none"/>
        </w:rPr>
      </w:pPr>
    </w:p>
    <w:p w14:paraId="4C191640">
      <w:pPr>
        <w:spacing w:before="69" w:line="220" w:lineRule="auto"/>
        <w:ind w:left="44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本人是□ 否□</w:t>
      </w:r>
      <w:r>
        <w:rPr>
          <w:rFonts w:ascii="宋体" w:hAnsi="宋体" w:eastAsia="宋体" w:cs="宋体"/>
          <w:color w:val="auto"/>
          <w:spacing w:val="19"/>
          <w:sz w:val="21"/>
          <w:szCs w:val="21"/>
          <w:highlight w:val="none"/>
        </w:rPr>
        <w:t xml:space="preserve"> </w:t>
      </w:r>
      <w:r>
        <w:rPr>
          <w:rFonts w:ascii="宋体" w:hAnsi="宋体" w:eastAsia="宋体" w:cs="宋体"/>
          <w:color w:val="auto"/>
          <w:spacing w:val="-2"/>
          <w:sz w:val="21"/>
          <w:szCs w:val="21"/>
          <w:highlight w:val="none"/>
        </w:rPr>
        <w:t>为中共党员</w:t>
      </w:r>
    </w:p>
    <w:p w14:paraId="7F3FC717">
      <w:pPr>
        <w:spacing w:before="157" w:line="221" w:lineRule="auto"/>
        <w:ind w:left="1705"/>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（应单选，</w:t>
      </w:r>
      <w:r>
        <w:rPr>
          <w:rFonts w:ascii="宋体" w:hAnsi="宋体" w:eastAsia="宋体" w:cs="宋体"/>
          <w:color w:val="auto"/>
          <w:spacing w:val="28"/>
          <w:sz w:val="21"/>
          <w:szCs w:val="21"/>
          <w:highlight w:val="none"/>
        </w:rPr>
        <w:t xml:space="preserve"> </w:t>
      </w:r>
      <w:r>
        <w:rPr>
          <w:rFonts w:ascii="宋体" w:hAnsi="宋体" w:eastAsia="宋体" w:cs="宋体"/>
          <w:color w:val="auto"/>
          <w:spacing w:val="-15"/>
          <w:sz w:val="21"/>
          <w:szCs w:val="21"/>
          <w:highlight w:val="none"/>
          <w14:textOutline w14:w="3831" w14:cap="flat" w14:cmpd="sng">
            <w14:solidFill>
              <w14:srgbClr w14:val="000000"/>
            </w14:solidFill>
            <w14:prstDash w14:val="solid"/>
            <w14:miter w14:val="0"/>
          </w14:textOutline>
        </w:rPr>
        <w:t>并在方框内打“</w:t>
      </w:r>
      <w:r>
        <w:rPr>
          <w:rFonts w:ascii="宋体" w:hAnsi="宋体" w:eastAsia="宋体" w:cs="宋体"/>
          <w:color w:val="auto"/>
          <w:spacing w:val="-45"/>
          <w:sz w:val="21"/>
          <w:szCs w:val="21"/>
          <w:highlight w:val="none"/>
        </w:rPr>
        <w:t xml:space="preserve"> </w:t>
      </w:r>
      <w:r>
        <w:rPr>
          <w:rFonts w:ascii="宋体" w:hAnsi="宋体" w:eastAsia="宋体" w:cs="宋体"/>
          <w:color w:val="auto"/>
          <w:spacing w:val="-15"/>
          <w:sz w:val="21"/>
          <w:szCs w:val="21"/>
          <w:highlight w:val="none"/>
          <w14:textOutline w14:w="3831" w14:cap="flat" w14:cmpd="sng">
            <w14:solidFill>
              <w14:srgbClr w14:val="000000"/>
            </w14:solidFill>
            <w14:prstDash w14:val="solid"/>
            <w14:miter w14:val="0"/>
          </w14:textOutline>
        </w:rPr>
        <w:t>√</w:t>
      </w:r>
      <w:r>
        <w:rPr>
          <w:rFonts w:ascii="宋体" w:hAnsi="宋体" w:eastAsia="宋体" w:cs="宋体"/>
          <w:color w:val="auto"/>
          <w:spacing w:val="-76"/>
          <w:sz w:val="21"/>
          <w:szCs w:val="21"/>
          <w:highlight w:val="none"/>
        </w:rPr>
        <w:t xml:space="preserve"> </w:t>
      </w:r>
      <w:r>
        <w:rPr>
          <w:rFonts w:ascii="宋体" w:hAnsi="宋体" w:eastAsia="宋体" w:cs="宋体"/>
          <w:color w:val="auto"/>
          <w:spacing w:val="-15"/>
          <w:sz w:val="21"/>
          <w:szCs w:val="21"/>
          <w:highlight w:val="none"/>
          <w14:textOutline w14:w="3831" w14:cap="flat" w14:cmpd="sng">
            <w14:solidFill>
              <w14:srgbClr w14:val="000000"/>
            </w14:solidFill>
            <w14:prstDash w14:val="solid"/>
            <w14:miter w14:val="0"/>
          </w14:textOutline>
        </w:rPr>
        <w:t>”</w:t>
      </w:r>
      <w:r>
        <w:rPr>
          <w:rFonts w:ascii="宋体" w:hAnsi="宋体" w:eastAsia="宋体" w:cs="宋体"/>
          <w:color w:val="auto"/>
          <w:spacing w:val="-15"/>
          <w:sz w:val="21"/>
          <w:szCs w:val="21"/>
          <w:highlight w:val="none"/>
        </w:rPr>
        <w:t>)</w:t>
      </w:r>
    </w:p>
    <w:p w14:paraId="35B4A114">
      <w:pPr>
        <w:pStyle w:val="3"/>
        <w:spacing w:line="260" w:lineRule="auto"/>
        <w:rPr>
          <w:color w:val="auto"/>
          <w:highlight w:val="none"/>
        </w:rPr>
      </w:pPr>
    </w:p>
    <w:p w14:paraId="671FB583">
      <w:pPr>
        <w:pStyle w:val="3"/>
        <w:spacing w:line="261" w:lineRule="auto"/>
        <w:rPr>
          <w:color w:val="auto"/>
          <w:highlight w:val="none"/>
        </w:rPr>
      </w:pPr>
    </w:p>
    <w:p w14:paraId="41BE8B91">
      <w:pPr>
        <w:pStyle w:val="3"/>
        <w:spacing w:line="261" w:lineRule="auto"/>
        <w:rPr>
          <w:color w:val="auto"/>
          <w:highlight w:val="none"/>
        </w:rPr>
      </w:pPr>
    </w:p>
    <w:p w14:paraId="341B1DB7">
      <w:pPr>
        <w:pStyle w:val="3"/>
        <w:spacing w:line="261" w:lineRule="auto"/>
        <w:rPr>
          <w:color w:val="auto"/>
          <w:highlight w:val="none"/>
        </w:rPr>
      </w:pPr>
    </w:p>
    <w:p w14:paraId="00BF5242">
      <w:pPr>
        <w:pStyle w:val="3"/>
        <w:spacing w:line="261" w:lineRule="auto"/>
        <w:rPr>
          <w:color w:val="auto"/>
          <w:highlight w:val="none"/>
        </w:rPr>
      </w:pPr>
    </w:p>
    <w:p w14:paraId="2B9EDC33">
      <w:pPr>
        <w:spacing w:before="69" w:line="221" w:lineRule="auto"/>
        <w:ind w:left="4810"/>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承 诺</w:t>
      </w:r>
      <w:r>
        <w:rPr>
          <w:rFonts w:ascii="宋体" w:hAnsi="宋体" w:eastAsia="宋体" w:cs="宋体"/>
          <w:color w:val="auto"/>
          <w:spacing w:val="6"/>
          <w:sz w:val="21"/>
          <w:szCs w:val="21"/>
          <w:highlight w:val="none"/>
        </w:rPr>
        <w:t xml:space="preserve"> </w:t>
      </w:r>
      <w:r>
        <w:rPr>
          <w:rFonts w:ascii="宋体" w:hAnsi="宋体" w:eastAsia="宋体" w:cs="宋体"/>
          <w:color w:val="auto"/>
          <w:spacing w:val="-11"/>
          <w:sz w:val="21"/>
          <w:szCs w:val="21"/>
          <w:highlight w:val="none"/>
        </w:rPr>
        <w:t>人</w:t>
      </w:r>
      <w:r>
        <w:rPr>
          <w:rFonts w:ascii="宋体" w:hAnsi="宋体" w:eastAsia="宋体" w:cs="宋体"/>
          <w:color w:val="auto"/>
          <w:spacing w:val="-15"/>
          <w:sz w:val="21"/>
          <w:szCs w:val="21"/>
          <w:highlight w:val="none"/>
        </w:rPr>
        <w:t>：</w:t>
      </w:r>
      <w:r>
        <w:rPr>
          <w:rFonts w:ascii="宋体" w:hAnsi="宋体" w:eastAsia="宋体" w:cs="宋体"/>
          <w:color w:val="auto"/>
          <w:spacing w:val="5"/>
          <w:sz w:val="21"/>
          <w:szCs w:val="21"/>
          <w:highlight w:val="none"/>
        </w:rPr>
        <w:t xml:space="preserve">             </w:t>
      </w:r>
      <w:r>
        <w:rPr>
          <w:rFonts w:ascii="宋体" w:hAnsi="宋体" w:eastAsia="宋体" w:cs="宋体"/>
          <w:color w:val="auto"/>
          <w:spacing w:val="-15"/>
          <w:sz w:val="21"/>
          <w:szCs w:val="21"/>
          <w:highlight w:val="none"/>
        </w:rPr>
        <w:t>（</w:t>
      </w:r>
      <w:r>
        <w:rPr>
          <w:rFonts w:ascii="宋体" w:hAnsi="宋体" w:eastAsia="宋体" w:cs="宋体"/>
          <w:color w:val="auto"/>
          <w:spacing w:val="-11"/>
          <w:sz w:val="21"/>
          <w:szCs w:val="21"/>
          <w:highlight w:val="none"/>
        </w:rPr>
        <w:t>签字）</w:t>
      </w:r>
    </w:p>
    <w:p w14:paraId="44DE0A0F">
      <w:pPr>
        <w:pStyle w:val="3"/>
        <w:spacing w:line="246" w:lineRule="auto"/>
        <w:rPr>
          <w:color w:val="auto"/>
          <w:highlight w:val="none"/>
        </w:rPr>
      </w:pPr>
    </w:p>
    <w:p w14:paraId="7BBB778B">
      <w:pPr>
        <w:pStyle w:val="3"/>
        <w:spacing w:line="247" w:lineRule="auto"/>
        <w:rPr>
          <w:color w:val="auto"/>
          <w:highlight w:val="none"/>
        </w:rPr>
      </w:pPr>
    </w:p>
    <w:p w14:paraId="0811D307">
      <w:pPr>
        <w:spacing w:before="69" w:line="221" w:lineRule="auto"/>
        <w:ind w:left="4705"/>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承诺时间：     年</w:t>
      </w:r>
      <w:r>
        <w:rPr>
          <w:rFonts w:ascii="宋体" w:hAnsi="宋体" w:eastAsia="宋体" w:cs="宋体"/>
          <w:color w:val="auto"/>
          <w:spacing w:val="4"/>
          <w:sz w:val="21"/>
          <w:szCs w:val="21"/>
          <w:highlight w:val="none"/>
        </w:rPr>
        <w:t xml:space="preserve">   </w:t>
      </w:r>
      <w:r>
        <w:rPr>
          <w:rFonts w:ascii="宋体" w:hAnsi="宋体" w:eastAsia="宋体" w:cs="宋体"/>
          <w:color w:val="auto"/>
          <w:spacing w:val="-10"/>
          <w:sz w:val="21"/>
          <w:szCs w:val="21"/>
          <w:highlight w:val="none"/>
        </w:rPr>
        <w:t>月</w:t>
      </w:r>
      <w:r>
        <w:rPr>
          <w:rFonts w:ascii="宋体" w:hAnsi="宋体" w:eastAsia="宋体" w:cs="宋体"/>
          <w:color w:val="auto"/>
          <w:spacing w:val="24"/>
          <w:sz w:val="21"/>
          <w:szCs w:val="21"/>
          <w:highlight w:val="none"/>
        </w:rPr>
        <w:t xml:space="preserve">  </w:t>
      </w:r>
      <w:r>
        <w:rPr>
          <w:rFonts w:ascii="宋体" w:hAnsi="宋体" w:eastAsia="宋体" w:cs="宋体"/>
          <w:color w:val="auto"/>
          <w:spacing w:val="-10"/>
          <w:sz w:val="21"/>
          <w:szCs w:val="21"/>
          <w:highlight w:val="none"/>
        </w:rPr>
        <w:t>日</w:t>
      </w:r>
    </w:p>
    <w:p w14:paraId="2E228ADD">
      <w:pPr>
        <w:spacing w:line="221" w:lineRule="auto"/>
        <w:rPr>
          <w:rFonts w:ascii="宋体" w:hAnsi="宋体" w:eastAsia="宋体" w:cs="宋体"/>
          <w:color w:val="auto"/>
          <w:sz w:val="21"/>
          <w:szCs w:val="21"/>
          <w:highlight w:val="none"/>
        </w:rPr>
        <w:sectPr>
          <w:footerReference r:id="rId81" w:type="default"/>
          <w:pgSz w:w="11905" w:h="16839"/>
          <w:pgMar w:top="1427" w:right="1785" w:bottom="996" w:left="1785" w:header="0" w:footer="791" w:gutter="0"/>
          <w:pgNumType w:fmt="decimal"/>
          <w:cols w:space="720" w:num="1"/>
        </w:sectPr>
      </w:pPr>
    </w:p>
    <w:p w14:paraId="12ABEC6E">
      <w:pPr>
        <w:spacing w:before="124" w:line="218" w:lineRule="auto"/>
        <w:ind w:left="5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w:t>
      </w:r>
      <w:r>
        <w:rPr>
          <w:rFonts w:ascii="黑体" w:hAnsi="黑体" w:eastAsia="黑体" w:cs="黑体"/>
          <w:color w:val="auto"/>
          <w:spacing w:val="-49"/>
          <w:sz w:val="24"/>
          <w:szCs w:val="24"/>
          <w:highlight w:val="none"/>
        </w:rPr>
        <w:t xml:space="preserve"> </w:t>
      </w:r>
      <w:r>
        <w:rPr>
          <w:rFonts w:ascii="Times New Roman" w:hAnsi="Times New Roman" w:eastAsia="Times New Roman" w:cs="Times New Roman"/>
          <w:color w:val="auto"/>
          <w:spacing w:val="-3"/>
          <w:sz w:val="24"/>
          <w:szCs w:val="24"/>
          <w:highlight w:val="none"/>
        </w:rPr>
        <w:t>A-3</w:t>
      </w:r>
      <w:r>
        <w:rPr>
          <w:rFonts w:ascii="黑体" w:hAnsi="黑体" w:eastAsia="黑体" w:cs="黑体"/>
          <w:color w:val="auto"/>
          <w:spacing w:val="-3"/>
          <w:sz w:val="24"/>
          <w:szCs w:val="24"/>
          <w:highlight w:val="none"/>
        </w:rPr>
        <w:t>：技术暗标编号确认表</w:t>
      </w:r>
    </w:p>
    <w:p w14:paraId="246C8C07">
      <w:pPr>
        <w:pStyle w:val="3"/>
        <w:spacing w:line="411" w:lineRule="auto"/>
        <w:rPr>
          <w:color w:val="auto"/>
          <w:highlight w:val="none"/>
        </w:rPr>
      </w:pPr>
    </w:p>
    <w:p w14:paraId="3CFA703E">
      <w:pPr>
        <w:spacing w:before="117" w:line="218" w:lineRule="auto"/>
        <w:ind w:left="2938"/>
        <w:rPr>
          <w:rFonts w:ascii="黑体" w:hAnsi="黑体" w:eastAsia="黑体" w:cs="黑体"/>
          <w:color w:val="auto"/>
          <w:sz w:val="36"/>
          <w:szCs w:val="36"/>
          <w:highlight w:val="none"/>
        </w:rPr>
      </w:pPr>
      <w:bookmarkStart w:id="191" w:name="bookmark219"/>
      <w:bookmarkEnd w:id="191"/>
      <w:r>
        <w:rPr>
          <w:rFonts w:ascii="黑体" w:hAnsi="黑体" w:eastAsia="黑体" w:cs="黑体"/>
          <w:color w:val="auto"/>
          <w:spacing w:val="-2"/>
          <w:sz w:val="36"/>
          <w:szCs w:val="36"/>
          <w:highlight w:val="none"/>
        </w:rPr>
        <w:t>技术暗标编号确认表</w:t>
      </w:r>
    </w:p>
    <w:p w14:paraId="3EB7C3D6">
      <w:pPr>
        <w:spacing w:before="235" w:line="221" w:lineRule="auto"/>
        <w:ind w:left="397"/>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标段名称：</w:t>
      </w:r>
    </w:p>
    <w:p w14:paraId="31D46C6E">
      <w:pPr>
        <w:spacing w:before="22" w:line="214" w:lineRule="auto"/>
        <w:ind w:left="39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标段唯一标识码：</w:t>
      </w:r>
    </w:p>
    <w:tbl>
      <w:tblPr>
        <w:tblStyle w:val="10"/>
        <w:tblW w:w="90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4"/>
        <w:gridCol w:w="1938"/>
        <w:gridCol w:w="754"/>
        <w:gridCol w:w="748"/>
        <w:gridCol w:w="749"/>
        <w:gridCol w:w="754"/>
        <w:gridCol w:w="748"/>
        <w:gridCol w:w="754"/>
        <w:gridCol w:w="748"/>
        <w:gridCol w:w="754"/>
        <w:gridCol w:w="629"/>
      </w:tblGrid>
      <w:tr w14:paraId="3BDBA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514" w:type="dxa"/>
            <w:vMerge w:val="restart"/>
            <w:tcBorders>
              <w:bottom w:val="nil"/>
            </w:tcBorders>
            <w:textDirection w:val="tbRlV"/>
            <w:vAlign w:val="top"/>
          </w:tcPr>
          <w:p w14:paraId="085F5B30">
            <w:pPr>
              <w:pStyle w:val="11"/>
              <w:spacing w:before="149" w:line="211" w:lineRule="auto"/>
              <w:ind w:left="207"/>
              <w:rPr>
                <w:color w:val="auto"/>
                <w:highlight w:val="none"/>
              </w:rPr>
            </w:pPr>
            <w:r>
              <w:rPr>
                <w:color w:val="auto"/>
                <w:spacing w:val="1"/>
                <w:highlight w:val="none"/>
                <w14:textOutline w14:w="3831" w14:cap="flat" w14:cmpd="sng">
                  <w14:solidFill>
                    <w14:srgbClr w14:val="000000"/>
                  </w14:solidFill>
                  <w14:prstDash w14:val="solid"/>
                  <w14:miter w14:val="0"/>
                </w14:textOutline>
              </w:rPr>
              <w:t>序</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号</w:t>
            </w:r>
          </w:p>
        </w:tc>
        <w:tc>
          <w:tcPr>
            <w:tcW w:w="1938" w:type="dxa"/>
            <w:vMerge w:val="restart"/>
            <w:tcBorders>
              <w:bottom w:val="nil"/>
            </w:tcBorders>
            <w:vAlign w:val="top"/>
          </w:tcPr>
          <w:p w14:paraId="4A28C691">
            <w:pPr>
              <w:spacing w:line="271" w:lineRule="auto"/>
              <w:rPr>
                <w:rFonts w:ascii="Arial"/>
                <w:color w:val="auto"/>
                <w:sz w:val="21"/>
                <w:highlight w:val="none"/>
              </w:rPr>
            </w:pPr>
          </w:p>
          <w:p w14:paraId="26B46B00">
            <w:pPr>
              <w:pStyle w:val="11"/>
              <w:spacing w:before="69" w:line="221" w:lineRule="auto"/>
              <w:ind w:left="452"/>
              <w:rPr>
                <w:color w:val="auto"/>
                <w:highlight w:val="none"/>
              </w:rPr>
            </w:pPr>
            <w:r>
              <w:rPr>
                <w:color w:val="auto"/>
                <w:spacing w:val="-1"/>
                <w:highlight w:val="none"/>
                <w14:textOutline w14:w="3831" w14:cap="flat" w14:cmpd="sng">
                  <w14:solidFill>
                    <w14:srgbClr w14:val="000000"/>
                  </w14:solidFill>
                  <w14:prstDash w14:val="solid"/>
                  <w14:miter w14:val="0"/>
                </w14:textOutline>
              </w:rPr>
              <w:t>投标人名称</w:t>
            </w:r>
          </w:p>
        </w:tc>
        <w:tc>
          <w:tcPr>
            <w:tcW w:w="6638" w:type="dxa"/>
            <w:gridSpan w:val="9"/>
            <w:vAlign w:val="top"/>
          </w:tcPr>
          <w:p w14:paraId="707EE4D1">
            <w:pPr>
              <w:pStyle w:val="11"/>
              <w:spacing w:before="33" w:line="221" w:lineRule="auto"/>
              <w:ind w:left="2371"/>
              <w:rPr>
                <w:color w:val="auto"/>
                <w:highlight w:val="none"/>
              </w:rPr>
            </w:pPr>
            <w:r>
              <w:rPr>
                <w:color w:val="auto"/>
                <w:highlight w:val="none"/>
                <w14:textOutline w14:w="3831" w14:cap="flat" w14:cmpd="sng">
                  <w14:solidFill>
                    <w14:srgbClr w14:val="000000"/>
                  </w14:solidFill>
                  <w14:prstDash w14:val="solid"/>
                  <w14:miter w14:val="0"/>
                </w14:textOutline>
              </w:rPr>
              <w:t>评审因素及暗标编号</w:t>
            </w:r>
          </w:p>
        </w:tc>
      </w:tr>
      <w:tr w14:paraId="36C74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14" w:type="dxa"/>
            <w:vMerge w:val="continue"/>
            <w:tcBorders>
              <w:top w:val="nil"/>
            </w:tcBorders>
            <w:textDirection w:val="tbRlV"/>
            <w:vAlign w:val="top"/>
          </w:tcPr>
          <w:p w14:paraId="2790409F">
            <w:pPr>
              <w:rPr>
                <w:rFonts w:ascii="Arial"/>
                <w:color w:val="auto"/>
                <w:sz w:val="21"/>
                <w:highlight w:val="none"/>
              </w:rPr>
            </w:pPr>
          </w:p>
        </w:tc>
        <w:tc>
          <w:tcPr>
            <w:tcW w:w="1938" w:type="dxa"/>
            <w:vMerge w:val="continue"/>
            <w:tcBorders>
              <w:top w:val="nil"/>
            </w:tcBorders>
            <w:vAlign w:val="top"/>
          </w:tcPr>
          <w:p w14:paraId="48E801F3">
            <w:pPr>
              <w:rPr>
                <w:rFonts w:ascii="Arial"/>
                <w:color w:val="auto"/>
                <w:sz w:val="21"/>
                <w:highlight w:val="none"/>
              </w:rPr>
            </w:pPr>
          </w:p>
        </w:tc>
        <w:tc>
          <w:tcPr>
            <w:tcW w:w="754" w:type="dxa"/>
            <w:vAlign w:val="top"/>
          </w:tcPr>
          <w:p w14:paraId="636721AF">
            <w:pPr>
              <w:rPr>
                <w:rFonts w:ascii="Arial"/>
                <w:color w:val="auto"/>
                <w:sz w:val="21"/>
                <w:highlight w:val="none"/>
              </w:rPr>
            </w:pPr>
          </w:p>
        </w:tc>
        <w:tc>
          <w:tcPr>
            <w:tcW w:w="748" w:type="dxa"/>
            <w:vAlign w:val="top"/>
          </w:tcPr>
          <w:p w14:paraId="19A1FA89">
            <w:pPr>
              <w:rPr>
                <w:rFonts w:ascii="Arial"/>
                <w:color w:val="auto"/>
                <w:sz w:val="21"/>
                <w:highlight w:val="none"/>
              </w:rPr>
            </w:pPr>
          </w:p>
        </w:tc>
        <w:tc>
          <w:tcPr>
            <w:tcW w:w="749" w:type="dxa"/>
            <w:vAlign w:val="top"/>
          </w:tcPr>
          <w:p w14:paraId="18A84E6B">
            <w:pPr>
              <w:rPr>
                <w:rFonts w:ascii="Arial"/>
                <w:color w:val="auto"/>
                <w:sz w:val="21"/>
                <w:highlight w:val="none"/>
              </w:rPr>
            </w:pPr>
          </w:p>
        </w:tc>
        <w:tc>
          <w:tcPr>
            <w:tcW w:w="754" w:type="dxa"/>
            <w:vAlign w:val="top"/>
          </w:tcPr>
          <w:p w14:paraId="3F202862">
            <w:pPr>
              <w:rPr>
                <w:rFonts w:ascii="Arial"/>
                <w:color w:val="auto"/>
                <w:sz w:val="21"/>
                <w:highlight w:val="none"/>
              </w:rPr>
            </w:pPr>
          </w:p>
        </w:tc>
        <w:tc>
          <w:tcPr>
            <w:tcW w:w="748" w:type="dxa"/>
            <w:vAlign w:val="top"/>
          </w:tcPr>
          <w:p w14:paraId="5C3C2D8E">
            <w:pPr>
              <w:rPr>
                <w:rFonts w:ascii="Arial"/>
                <w:color w:val="auto"/>
                <w:sz w:val="21"/>
                <w:highlight w:val="none"/>
              </w:rPr>
            </w:pPr>
          </w:p>
        </w:tc>
        <w:tc>
          <w:tcPr>
            <w:tcW w:w="754" w:type="dxa"/>
            <w:vAlign w:val="top"/>
          </w:tcPr>
          <w:p w14:paraId="51E934D3">
            <w:pPr>
              <w:rPr>
                <w:rFonts w:ascii="Arial"/>
                <w:color w:val="auto"/>
                <w:sz w:val="21"/>
                <w:highlight w:val="none"/>
              </w:rPr>
            </w:pPr>
          </w:p>
        </w:tc>
        <w:tc>
          <w:tcPr>
            <w:tcW w:w="748" w:type="dxa"/>
            <w:vAlign w:val="top"/>
          </w:tcPr>
          <w:p w14:paraId="206B305C">
            <w:pPr>
              <w:rPr>
                <w:rFonts w:ascii="Arial"/>
                <w:color w:val="auto"/>
                <w:sz w:val="21"/>
                <w:highlight w:val="none"/>
              </w:rPr>
            </w:pPr>
          </w:p>
        </w:tc>
        <w:tc>
          <w:tcPr>
            <w:tcW w:w="754" w:type="dxa"/>
            <w:vAlign w:val="top"/>
          </w:tcPr>
          <w:p w14:paraId="3220989E">
            <w:pPr>
              <w:rPr>
                <w:rFonts w:ascii="Arial"/>
                <w:color w:val="auto"/>
                <w:sz w:val="21"/>
                <w:highlight w:val="none"/>
              </w:rPr>
            </w:pPr>
          </w:p>
        </w:tc>
        <w:tc>
          <w:tcPr>
            <w:tcW w:w="629" w:type="dxa"/>
            <w:vAlign w:val="top"/>
          </w:tcPr>
          <w:p w14:paraId="27D9BD08">
            <w:pPr>
              <w:rPr>
                <w:rFonts w:ascii="Arial"/>
                <w:color w:val="auto"/>
                <w:sz w:val="21"/>
                <w:highlight w:val="none"/>
              </w:rPr>
            </w:pPr>
          </w:p>
        </w:tc>
      </w:tr>
      <w:tr w14:paraId="5E687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14" w:type="dxa"/>
            <w:vAlign w:val="top"/>
          </w:tcPr>
          <w:p w14:paraId="5C0C26A1">
            <w:pPr>
              <w:pStyle w:val="11"/>
              <w:spacing w:before="222" w:line="183" w:lineRule="auto"/>
              <w:ind w:left="225"/>
              <w:rPr>
                <w:color w:val="auto"/>
                <w:highlight w:val="none"/>
              </w:rPr>
            </w:pPr>
            <w:r>
              <w:rPr>
                <w:color w:val="auto"/>
                <w:highlight w:val="none"/>
              </w:rPr>
              <w:t>1</w:t>
            </w:r>
          </w:p>
        </w:tc>
        <w:tc>
          <w:tcPr>
            <w:tcW w:w="1938" w:type="dxa"/>
            <w:vAlign w:val="top"/>
          </w:tcPr>
          <w:p w14:paraId="35216E08">
            <w:pPr>
              <w:rPr>
                <w:rFonts w:ascii="Arial"/>
                <w:color w:val="auto"/>
                <w:sz w:val="21"/>
                <w:highlight w:val="none"/>
              </w:rPr>
            </w:pPr>
          </w:p>
        </w:tc>
        <w:tc>
          <w:tcPr>
            <w:tcW w:w="754" w:type="dxa"/>
            <w:vAlign w:val="top"/>
          </w:tcPr>
          <w:p w14:paraId="6D8A5F4D">
            <w:pPr>
              <w:rPr>
                <w:rFonts w:ascii="Arial"/>
                <w:color w:val="auto"/>
                <w:sz w:val="21"/>
                <w:highlight w:val="none"/>
              </w:rPr>
            </w:pPr>
          </w:p>
        </w:tc>
        <w:tc>
          <w:tcPr>
            <w:tcW w:w="748" w:type="dxa"/>
            <w:vAlign w:val="top"/>
          </w:tcPr>
          <w:p w14:paraId="6F1E82B0">
            <w:pPr>
              <w:rPr>
                <w:rFonts w:ascii="Arial"/>
                <w:color w:val="auto"/>
                <w:sz w:val="21"/>
                <w:highlight w:val="none"/>
              </w:rPr>
            </w:pPr>
          </w:p>
        </w:tc>
        <w:tc>
          <w:tcPr>
            <w:tcW w:w="749" w:type="dxa"/>
            <w:vAlign w:val="top"/>
          </w:tcPr>
          <w:p w14:paraId="494291F5">
            <w:pPr>
              <w:rPr>
                <w:rFonts w:ascii="Arial"/>
                <w:color w:val="auto"/>
                <w:sz w:val="21"/>
                <w:highlight w:val="none"/>
              </w:rPr>
            </w:pPr>
          </w:p>
        </w:tc>
        <w:tc>
          <w:tcPr>
            <w:tcW w:w="754" w:type="dxa"/>
            <w:vAlign w:val="top"/>
          </w:tcPr>
          <w:p w14:paraId="5E48726C">
            <w:pPr>
              <w:rPr>
                <w:rFonts w:ascii="Arial"/>
                <w:color w:val="auto"/>
                <w:sz w:val="21"/>
                <w:highlight w:val="none"/>
              </w:rPr>
            </w:pPr>
          </w:p>
        </w:tc>
        <w:tc>
          <w:tcPr>
            <w:tcW w:w="748" w:type="dxa"/>
            <w:vAlign w:val="top"/>
          </w:tcPr>
          <w:p w14:paraId="4CF85E23">
            <w:pPr>
              <w:rPr>
                <w:rFonts w:ascii="Arial"/>
                <w:color w:val="auto"/>
                <w:sz w:val="21"/>
                <w:highlight w:val="none"/>
              </w:rPr>
            </w:pPr>
          </w:p>
        </w:tc>
        <w:tc>
          <w:tcPr>
            <w:tcW w:w="754" w:type="dxa"/>
            <w:vAlign w:val="top"/>
          </w:tcPr>
          <w:p w14:paraId="2EEF43C7">
            <w:pPr>
              <w:rPr>
                <w:rFonts w:ascii="Arial"/>
                <w:color w:val="auto"/>
                <w:sz w:val="21"/>
                <w:highlight w:val="none"/>
              </w:rPr>
            </w:pPr>
          </w:p>
        </w:tc>
        <w:tc>
          <w:tcPr>
            <w:tcW w:w="748" w:type="dxa"/>
            <w:vAlign w:val="top"/>
          </w:tcPr>
          <w:p w14:paraId="129CDC07">
            <w:pPr>
              <w:rPr>
                <w:rFonts w:ascii="Arial"/>
                <w:color w:val="auto"/>
                <w:sz w:val="21"/>
                <w:highlight w:val="none"/>
              </w:rPr>
            </w:pPr>
          </w:p>
        </w:tc>
        <w:tc>
          <w:tcPr>
            <w:tcW w:w="754" w:type="dxa"/>
            <w:vAlign w:val="top"/>
          </w:tcPr>
          <w:p w14:paraId="175AEC78">
            <w:pPr>
              <w:rPr>
                <w:rFonts w:ascii="Arial"/>
                <w:color w:val="auto"/>
                <w:sz w:val="21"/>
                <w:highlight w:val="none"/>
              </w:rPr>
            </w:pPr>
          </w:p>
        </w:tc>
        <w:tc>
          <w:tcPr>
            <w:tcW w:w="629" w:type="dxa"/>
            <w:vAlign w:val="top"/>
          </w:tcPr>
          <w:p w14:paraId="6B1C3619">
            <w:pPr>
              <w:rPr>
                <w:rFonts w:ascii="Arial"/>
                <w:color w:val="auto"/>
                <w:sz w:val="21"/>
                <w:highlight w:val="none"/>
              </w:rPr>
            </w:pPr>
          </w:p>
        </w:tc>
      </w:tr>
      <w:tr w14:paraId="1A674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514" w:type="dxa"/>
            <w:vAlign w:val="top"/>
          </w:tcPr>
          <w:p w14:paraId="5582D74E">
            <w:pPr>
              <w:pStyle w:val="11"/>
              <w:spacing w:before="224" w:line="182" w:lineRule="auto"/>
              <w:ind w:left="212"/>
              <w:rPr>
                <w:color w:val="auto"/>
                <w:highlight w:val="none"/>
              </w:rPr>
            </w:pPr>
            <w:r>
              <w:rPr>
                <w:color w:val="auto"/>
                <w:highlight w:val="none"/>
              </w:rPr>
              <w:t>2</w:t>
            </w:r>
          </w:p>
        </w:tc>
        <w:tc>
          <w:tcPr>
            <w:tcW w:w="1938" w:type="dxa"/>
            <w:vAlign w:val="top"/>
          </w:tcPr>
          <w:p w14:paraId="6DD073C2">
            <w:pPr>
              <w:rPr>
                <w:rFonts w:ascii="Arial"/>
                <w:color w:val="auto"/>
                <w:sz w:val="21"/>
                <w:highlight w:val="none"/>
              </w:rPr>
            </w:pPr>
          </w:p>
        </w:tc>
        <w:tc>
          <w:tcPr>
            <w:tcW w:w="754" w:type="dxa"/>
            <w:vAlign w:val="top"/>
          </w:tcPr>
          <w:p w14:paraId="65FC18D8">
            <w:pPr>
              <w:rPr>
                <w:rFonts w:ascii="Arial"/>
                <w:color w:val="auto"/>
                <w:sz w:val="21"/>
                <w:highlight w:val="none"/>
              </w:rPr>
            </w:pPr>
          </w:p>
        </w:tc>
        <w:tc>
          <w:tcPr>
            <w:tcW w:w="748" w:type="dxa"/>
            <w:vAlign w:val="top"/>
          </w:tcPr>
          <w:p w14:paraId="6E6568C7">
            <w:pPr>
              <w:rPr>
                <w:rFonts w:ascii="Arial"/>
                <w:color w:val="auto"/>
                <w:sz w:val="21"/>
                <w:highlight w:val="none"/>
              </w:rPr>
            </w:pPr>
          </w:p>
        </w:tc>
        <w:tc>
          <w:tcPr>
            <w:tcW w:w="749" w:type="dxa"/>
            <w:vAlign w:val="top"/>
          </w:tcPr>
          <w:p w14:paraId="3771F6A8">
            <w:pPr>
              <w:rPr>
                <w:rFonts w:ascii="Arial"/>
                <w:color w:val="auto"/>
                <w:sz w:val="21"/>
                <w:highlight w:val="none"/>
              </w:rPr>
            </w:pPr>
          </w:p>
        </w:tc>
        <w:tc>
          <w:tcPr>
            <w:tcW w:w="754" w:type="dxa"/>
            <w:vAlign w:val="top"/>
          </w:tcPr>
          <w:p w14:paraId="72A5D417">
            <w:pPr>
              <w:rPr>
                <w:rFonts w:ascii="Arial"/>
                <w:color w:val="auto"/>
                <w:sz w:val="21"/>
                <w:highlight w:val="none"/>
              </w:rPr>
            </w:pPr>
          </w:p>
        </w:tc>
        <w:tc>
          <w:tcPr>
            <w:tcW w:w="748" w:type="dxa"/>
            <w:vAlign w:val="top"/>
          </w:tcPr>
          <w:p w14:paraId="611C50D3">
            <w:pPr>
              <w:rPr>
                <w:rFonts w:ascii="Arial"/>
                <w:color w:val="auto"/>
                <w:sz w:val="21"/>
                <w:highlight w:val="none"/>
              </w:rPr>
            </w:pPr>
          </w:p>
        </w:tc>
        <w:tc>
          <w:tcPr>
            <w:tcW w:w="754" w:type="dxa"/>
            <w:vAlign w:val="top"/>
          </w:tcPr>
          <w:p w14:paraId="5F92B5B9">
            <w:pPr>
              <w:rPr>
                <w:rFonts w:ascii="Arial"/>
                <w:color w:val="auto"/>
                <w:sz w:val="21"/>
                <w:highlight w:val="none"/>
              </w:rPr>
            </w:pPr>
          </w:p>
        </w:tc>
        <w:tc>
          <w:tcPr>
            <w:tcW w:w="748" w:type="dxa"/>
            <w:vAlign w:val="top"/>
          </w:tcPr>
          <w:p w14:paraId="79D04FFA">
            <w:pPr>
              <w:rPr>
                <w:rFonts w:ascii="Arial"/>
                <w:color w:val="auto"/>
                <w:sz w:val="21"/>
                <w:highlight w:val="none"/>
              </w:rPr>
            </w:pPr>
          </w:p>
        </w:tc>
        <w:tc>
          <w:tcPr>
            <w:tcW w:w="754" w:type="dxa"/>
            <w:vAlign w:val="top"/>
          </w:tcPr>
          <w:p w14:paraId="1B2D8655">
            <w:pPr>
              <w:rPr>
                <w:rFonts w:ascii="Arial"/>
                <w:color w:val="auto"/>
                <w:sz w:val="21"/>
                <w:highlight w:val="none"/>
              </w:rPr>
            </w:pPr>
          </w:p>
        </w:tc>
        <w:tc>
          <w:tcPr>
            <w:tcW w:w="629" w:type="dxa"/>
            <w:vAlign w:val="top"/>
          </w:tcPr>
          <w:p w14:paraId="48A79A6C">
            <w:pPr>
              <w:rPr>
                <w:rFonts w:ascii="Arial"/>
                <w:color w:val="auto"/>
                <w:sz w:val="21"/>
                <w:highlight w:val="none"/>
              </w:rPr>
            </w:pPr>
          </w:p>
        </w:tc>
      </w:tr>
      <w:tr w14:paraId="091A6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514" w:type="dxa"/>
            <w:vAlign w:val="top"/>
          </w:tcPr>
          <w:p w14:paraId="26BC2393">
            <w:pPr>
              <w:pStyle w:val="11"/>
              <w:spacing w:before="226" w:line="182" w:lineRule="auto"/>
              <w:ind w:left="213"/>
              <w:rPr>
                <w:color w:val="auto"/>
                <w:highlight w:val="none"/>
              </w:rPr>
            </w:pPr>
            <w:r>
              <w:rPr>
                <w:color w:val="auto"/>
                <w:highlight w:val="none"/>
              </w:rPr>
              <w:t>3</w:t>
            </w:r>
          </w:p>
        </w:tc>
        <w:tc>
          <w:tcPr>
            <w:tcW w:w="1938" w:type="dxa"/>
            <w:vAlign w:val="top"/>
          </w:tcPr>
          <w:p w14:paraId="1CA60BF1">
            <w:pPr>
              <w:rPr>
                <w:rFonts w:ascii="Arial"/>
                <w:color w:val="auto"/>
                <w:sz w:val="21"/>
                <w:highlight w:val="none"/>
              </w:rPr>
            </w:pPr>
          </w:p>
        </w:tc>
        <w:tc>
          <w:tcPr>
            <w:tcW w:w="754" w:type="dxa"/>
            <w:vAlign w:val="top"/>
          </w:tcPr>
          <w:p w14:paraId="5DEE408B">
            <w:pPr>
              <w:rPr>
                <w:rFonts w:ascii="Arial"/>
                <w:color w:val="auto"/>
                <w:sz w:val="21"/>
                <w:highlight w:val="none"/>
              </w:rPr>
            </w:pPr>
          </w:p>
        </w:tc>
        <w:tc>
          <w:tcPr>
            <w:tcW w:w="748" w:type="dxa"/>
            <w:vAlign w:val="top"/>
          </w:tcPr>
          <w:p w14:paraId="522E504A">
            <w:pPr>
              <w:rPr>
                <w:rFonts w:ascii="Arial"/>
                <w:color w:val="auto"/>
                <w:sz w:val="21"/>
                <w:highlight w:val="none"/>
              </w:rPr>
            </w:pPr>
          </w:p>
        </w:tc>
        <w:tc>
          <w:tcPr>
            <w:tcW w:w="749" w:type="dxa"/>
            <w:vAlign w:val="top"/>
          </w:tcPr>
          <w:p w14:paraId="068DE328">
            <w:pPr>
              <w:rPr>
                <w:rFonts w:ascii="Arial"/>
                <w:color w:val="auto"/>
                <w:sz w:val="21"/>
                <w:highlight w:val="none"/>
              </w:rPr>
            </w:pPr>
          </w:p>
        </w:tc>
        <w:tc>
          <w:tcPr>
            <w:tcW w:w="754" w:type="dxa"/>
            <w:vAlign w:val="top"/>
          </w:tcPr>
          <w:p w14:paraId="099967F7">
            <w:pPr>
              <w:rPr>
                <w:rFonts w:ascii="Arial"/>
                <w:color w:val="auto"/>
                <w:sz w:val="21"/>
                <w:highlight w:val="none"/>
              </w:rPr>
            </w:pPr>
          </w:p>
        </w:tc>
        <w:tc>
          <w:tcPr>
            <w:tcW w:w="748" w:type="dxa"/>
            <w:vAlign w:val="top"/>
          </w:tcPr>
          <w:p w14:paraId="4F9B8BB8">
            <w:pPr>
              <w:rPr>
                <w:rFonts w:ascii="Arial"/>
                <w:color w:val="auto"/>
                <w:sz w:val="21"/>
                <w:highlight w:val="none"/>
              </w:rPr>
            </w:pPr>
          </w:p>
        </w:tc>
        <w:tc>
          <w:tcPr>
            <w:tcW w:w="754" w:type="dxa"/>
            <w:vAlign w:val="top"/>
          </w:tcPr>
          <w:p w14:paraId="2F84A149">
            <w:pPr>
              <w:rPr>
                <w:rFonts w:ascii="Arial"/>
                <w:color w:val="auto"/>
                <w:sz w:val="21"/>
                <w:highlight w:val="none"/>
              </w:rPr>
            </w:pPr>
          </w:p>
        </w:tc>
        <w:tc>
          <w:tcPr>
            <w:tcW w:w="748" w:type="dxa"/>
            <w:vAlign w:val="top"/>
          </w:tcPr>
          <w:p w14:paraId="726DD550">
            <w:pPr>
              <w:rPr>
                <w:rFonts w:ascii="Arial"/>
                <w:color w:val="auto"/>
                <w:sz w:val="21"/>
                <w:highlight w:val="none"/>
              </w:rPr>
            </w:pPr>
          </w:p>
        </w:tc>
        <w:tc>
          <w:tcPr>
            <w:tcW w:w="754" w:type="dxa"/>
            <w:vAlign w:val="top"/>
          </w:tcPr>
          <w:p w14:paraId="28BE91DD">
            <w:pPr>
              <w:rPr>
                <w:rFonts w:ascii="Arial"/>
                <w:color w:val="auto"/>
                <w:sz w:val="21"/>
                <w:highlight w:val="none"/>
              </w:rPr>
            </w:pPr>
          </w:p>
        </w:tc>
        <w:tc>
          <w:tcPr>
            <w:tcW w:w="629" w:type="dxa"/>
            <w:vAlign w:val="top"/>
          </w:tcPr>
          <w:p w14:paraId="1E597C5F">
            <w:pPr>
              <w:rPr>
                <w:rFonts w:ascii="Arial"/>
                <w:color w:val="auto"/>
                <w:sz w:val="21"/>
                <w:highlight w:val="none"/>
              </w:rPr>
            </w:pPr>
          </w:p>
        </w:tc>
      </w:tr>
      <w:tr w14:paraId="16291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14" w:type="dxa"/>
            <w:vAlign w:val="top"/>
          </w:tcPr>
          <w:p w14:paraId="4BD0E76F">
            <w:pPr>
              <w:pStyle w:val="11"/>
              <w:spacing w:before="226" w:line="182" w:lineRule="auto"/>
              <w:ind w:left="208"/>
              <w:rPr>
                <w:color w:val="auto"/>
                <w:highlight w:val="none"/>
              </w:rPr>
            </w:pPr>
            <w:r>
              <w:rPr>
                <w:color w:val="auto"/>
                <w:highlight w:val="none"/>
              </w:rPr>
              <w:t>4</w:t>
            </w:r>
          </w:p>
        </w:tc>
        <w:tc>
          <w:tcPr>
            <w:tcW w:w="1938" w:type="dxa"/>
            <w:vAlign w:val="top"/>
          </w:tcPr>
          <w:p w14:paraId="03E0E66F">
            <w:pPr>
              <w:rPr>
                <w:rFonts w:ascii="Arial"/>
                <w:color w:val="auto"/>
                <w:sz w:val="21"/>
                <w:highlight w:val="none"/>
              </w:rPr>
            </w:pPr>
          </w:p>
        </w:tc>
        <w:tc>
          <w:tcPr>
            <w:tcW w:w="754" w:type="dxa"/>
            <w:vAlign w:val="top"/>
          </w:tcPr>
          <w:p w14:paraId="3220269D">
            <w:pPr>
              <w:rPr>
                <w:rFonts w:ascii="Arial"/>
                <w:color w:val="auto"/>
                <w:sz w:val="21"/>
                <w:highlight w:val="none"/>
              </w:rPr>
            </w:pPr>
          </w:p>
        </w:tc>
        <w:tc>
          <w:tcPr>
            <w:tcW w:w="748" w:type="dxa"/>
            <w:vAlign w:val="top"/>
          </w:tcPr>
          <w:p w14:paraId="43BC6CF8">
            <w:pPr>
              <w:rPr>
                <w:rFonts w:ascii="Arial"/>
                <w:color w:val="auto"/>
                <w:sz w:val="21"/>
                <w:highlight w:val="none"/>
              </w:rPr>
            </w:pPr>
          </w:p>
        </w:tc>
        <w:tc>
          <w:tcPr>
            <w:tcW w:w="749" w:type="dxa"/>
            <w:vAlign w:val="top"/>
          </w:tcPr>
          <w:p w14:paraId="0A674A7E">
            <w:pPr>
              <w:rPr>
                <w:rFonts w:ascii="Arial"/>
                <w:color w:val="auto"/>
                <w:sz w:val="21"/>
                <w:highlight w:val="none"/>
              </w:rPr>
            </w:pPr>
          </w:p>
        </w:tc>
        <w:tc>
          <w:tcPr>
            <w:tcW w:w="754" w:type="dxa"/>
            <w:vAlign w:val="top"/>
          </w:tcPr>
          <w:p w14:paraId="522F233B">
            <w:pPr>
              <w:rPr>
                <w:rFonts w:ascii="Arial"/>
                <w:color w:val="auto"/>
                <w:sz w:val="21"/>
                <w:highlight w:val="none"/>
              </w:rPr>
            </w:pPr>
          </w:p>
        </w:tc>
        <w:tc>
          <w:tcPr>
            <w:tcW w:w="748" w:type="dxa"/>
            <w:vAlign w:val="top"/>
          </w:tcPr>
          <w:p w14:paraId="7E89931E">
            <w:pPr>
              <w:rPr>
                <w:rFonts w:ascii="Arial"/>
                <w:color w:val="auto"/>
                <w:sz w:val="21"/>
                <w:highlight w:val="none"/>
              </w:rPr>
            </w:pPr>
          </w:p>
        </w:tc>
        <w:tc>
          <w:tcPr>
            <w:tcW w:w="754" w:type="dxa"/>
            <w:vAlign w:val="top"/>
          </w:tcPr>
          <w:p w14:paraId="640343EB">
            <w:pPr>
              <w:rPr>
                <w:rFonts w:ascii="Arial"/>
                <w:color w:val="auto"/>
                <w:sz w:val="21"/>
                <w:highlight w:val="none"/>
              </w:rPr>
            </w:pPr>
          </w:p>
        </w:tc>
        <w:tc>
          <w:tcPr>
            <w:tcW w:w="748" w:type="dxa"/>
            <w:vAlign w:val="top"/>
          </w:tcPr>
          <w:p w14:paraId="56BAEE3D">
            <w:pPr>
              <w:rPr>
                <w:rFonts w:ascii="Arial"/>
                <w:color w:val="auto"/>
                <w:sz w:val="21"/>
                <w:highlight w:val="none"/>
              </w:rPr>
            </w:pPr>
          </w:p>
        </w:tc>
        <w:tc>
          <w:tcPr>
            <w:tcW w:w="754" w:type="dxa"/>
            <w:vAlign w:val="top"/>
          </w:tcPr>
          <w:p w14:paraId="465B7A4A">
            <w:pPr>
              <w:rPr>
                <w:rFonts w:ascii="Arial"/>
                <w:color w:val="auto"/>
                <w:sz w:val="21"/>
                <w:highlight w:val="none"/>
              </w:rPr>
            </w:pPr>
          </w:p>
        </w:tc>
        <w:tc>
          <w:tcPr>
            <w:tcW w:w="629" w:type="dxa"/>
            <w:vAlign w:val="top"/>
          </w:tcPr>
          <w:p w14:paraId="12EF2333">
            <w:pPr>
              <w:rPr>
                <w:rFonts w:ascii="Arial"/>
                <w:color w:val="auto"/>
                <w:sz w:val="21"/>
                <w:highlight w:val="none"/>
              </w:rPr>
            </w:pPr>
          </w:p>
        </w:tc>
      </w:tr>
      <w:tr w14:paraId="76E2F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514" w:type="dxa"/>
            <w:vAlign w:val="top"/>
          </w:tcPr>
          <w:p w14:paraId="50D8F347">
            <w:pPr>
              <w:pStyle w:val="11"/>
              <w:spacing w:before="224" w:line="181" w:lineRule="auto"/>
              <w:ind w:left="213"/>
              <w:rPr>
                <w:color w:val="auto"/>
                <w:highlight w:val="none"/>
              </w:rPr>
            </w:pPr>
            <w:r>
              <w:rPr>
                <w:color w:val="auto"/>
                <w:highlight w:val="none"/>
              </w:rPr>
              <w:t>5</w:t>
            </w:r>
          </w:p>
        </w:tc>
        <w:tc>
          <w:tcPr>
            <w:tcW w:w="1938" w:type="dxa"/>
            <w:vAlign w:val="top"/>
          </w:tcPr>
          <w:p w14:paraId="220EE5D3">
            <w:pPr>
              <w:rPr>
                <w:rFonts w:ascii="Arial"/>
                <w:color w:val="auto"/>
                <w:sz w:val="21"/>
                <w:highlight w:val="none"/>
              </w:rPr>
            </w:pPr>
          </w:p>
        </w:tc>
        <w:tc>
          <w:tcPr>
            <w:tcW w:w="754" w:type="dxa"/>
            <w:vAlign w:val="top"/>
          </w:tcPr>
          <w:p w14:paraId="1A7B4C6E">
            <w:pPr>
              <w:rPr>
                <w:rFonts w:ascii="Arial"/>
                <w:color w:val="auto"/>
                <w:sz w:val="21"/>
                <w:highlight w:val="none"/>
              </w:rPr>
            </w:pPr>
          </w:p>
        </w:tc>
        <w:tc>
          <w:tcPr>
            <w:tcW w:w="748" w:type="dxa"/>
            <w:vAlign w:val="top"/>
          </w:tcPr>
          <w:p w14:paraId="32259318">
            <w:pPr>
              <w:rPr>
                <w:rFonts w:ascii="Arial"/>
                <w:color w:val="auto"/>
                <w:sz w:val="21"/>
                <w:highlight w:val="none"/>
              </w:rPr>
            </w:pPr>
          </w:p>
        </w:tc>
        <w:tc>
          <w:tcPr>
            <w:tcW w:w="749" w:type="dxa"/>
            <w:vAlign w:val="top"/>
          </w:tcPr>
          <w:p w14:paraId="0E9B4AA9">
            <w:pPr>
              <w:rPr>
                <w:rFonts w:ascii="Arial"/>
                <w:color w:val="auto"/>
                <w:sz w:val="21"/>
                <w:highlight w:val="none"/>
              </w:rPr>
            </w:pPr>
          </w:p>
        </w:tc>
        <w:tc>
          <w:tcPr>
            <w:tcW w:w="754" w:type="dxa"/>
            <w:vAlign w:val="top"/>
          </w:tcPr>
          <w:p w14:paraId="09E12B25">
            <w:pPr>
              <w:rPr>
                <w:rFonts w:ascii="Arial"/>
                <w:color w:val="auto"/>
                <w:sz w:val="21"/>
                <w:highlight w:val="none"/>
              </w:rPr>
            </w:pPr>
          </w:p>
        </w:tc>
        <w:tc>
          <w:tcPr>
            <w:tcW w:w="748" w:type="dxa"/>
            <w:vAlign w:val="top"/>
          </w:tcPr>
          <w:p w14:paraId="0EB3824C">
            <w:pPr>
              <w:rPr>
                <w:rFonts w:ascii="Arial"/>
                <w:color w:val="auto"/>
                <w:sz w:val="21"/>
                <w:highlight w:val="none"/>
              </w:rPr>
            </w:pPr>
          </w:p>
        </w:tc>
        <w:tc>
          <w:tcPr>
            <w:tcW w:w="754" w:type="dxa"/>
            <w:vAlign w:val="top"/>
          </w:tcPr>
          <w:p w14:paraId="5DA40294">
            <w:pPr>
              <w:rPr>
                <w:rFonts w:ascii="Arial"/>
                <w:color w:val="auto"/>
                <w:sz w:val="21"/>
                <w:highlight w:val="none"/>
              </w:rPr>
            </w:pPr>
          </w:p>
        </w:tc>
        <w:tc>
          <w:tcPr>
            <w:tcW w:w="748" w:type="dxa"/>
            <w:vAlign w:val="top"/>
          </w:tcPr>
          <w:p w14:paraId="3E9DCC92">
            <w:pPr>
              <w:rPr>
                <w:rFonts w:ascii="Arial"/>
                <w:color w:val="auto"/>
                <w:sz w:val="21"/>
                <w:highlight w:val="none"/>
              </w:rPr>
            </w:pPr>
          </w:p>
        </w:tc>
        <w:tc>
          <w:tcPr>
            <w:tcW w:w="754" w:type="dxa"/>
            <w:vAlign w:val="top"/>
          </w:tcPr>
          <w:p w14:paraId="5B128FB4">
            <w:pPr>
              <w:rPr>
                <w:rFonts w:ascii="Arial"/>
                <w:color w:val="auto"/>
                <w:sz w:val="21"/>
                <w:highlight w:val="none"/>
              </w:rPr>
            </w:pPr>
          </w:p>
        </w:tc>
        <w:tc>
          <w:tcPr>
            <w:tcW w:w="629" w:type="dxa"/>
            <w:vAlign w:val="top"/>
          </w:tcPr>
          <w:p w14:paraId="18753125">
            <w:pPr>
              <w:rPr>
                <w:rFonts w:ascii="Arial"/>
                <w:color w:val="auto"/>
                <w:sz w:val="21"/>
                <w:highlight w:val="none"/>
              </w:rPr>
            </w:pPr>
          </w:p>
        </w:tc>
      </w:tr>
      <w:tr w14:paraId="72535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514" w:type="dxa"/>
            <w:vAlign w:val="top"/>
          </w:tcPr>
          <w:p w14:paraId="7A5EFE0B">
            <w:pPr>
              <w:spacing w:before="192" w:line="332" w:lineRule="exact"/>
              <w:ind w:left="168"/>
              <w:rPr>
                <w:rFonts w:ascii="黑体" w:hAnsi="黑体" w:eastAsia="黑体" w:cs="黑体"/>
                <w:color w:val="auto"/>
                <w:sz w:val="21"/>
                <w:szCs w:val="21"/>
                <w:highlight w:val="none"/>
              </w:rPr>
            </w:pPr>
            <w:r>
              <w:rPr>
                <w:rFonts w:ascii="黑体" w:hAnsi="黑体" w:eastAsia="黑体" w:cs="黑体"/>
                <w:color w:val="auto"/>
                <w:position w:val="2"/>
                <w:sz w:val="21"/>
                <w:szCs w:val="21"/>
                <w:highlight w:val="none"/>
              </w:rPr>
              <w:t>…</w:t>
            </w:r>
          </w:p>
        </w:tc>
        <w:tc>
          <w:tcPr>
            <w:tcW w:w="1938" w:type="dxa"/>
            <w:vAlign w:val="top"/>
          </w:tcPr>
          <w:p w14:paraId="4BD5212C">
            <w:pPr>
              <w:rPr>
                <w:rFonts w:ascii="Arial"/>
                <w:color w:val="auto"/>
                <w:sz w:val="21"/>
                <w:highlight w:val="none"/>
              </w:rPr>
            </w:pPr>
          </w:p>
        </w:tc>
        <w:tc>
          <w:tcPr>
            <w:tcW w:w="754" w:type="dxa"/>
            <w:vAlign w:val="top"/>
          </w:tcPr>
          <w:p w14:paraId="49508C2C">
            <w:pPr>
              <w:rPr>
                <w:rFonts w:ascii="Arial"/>
                <w:color w:val="auto"/>
                <w:sz w:val="21"/>
                <w:highlight w:val="none"/>
              </w:rPr>
            </w:pPr>
          </w:p>
        </w:tc>
        <w:tc>
          <w:tcPr>
            <w:tcW w:w="748" w:type="dxa"/>
            <w:vAlign w:val="top"/>
          </w:tcPr>
          <w:p w14:paraId="41A8A909">
            <w:pPr>
              <w:rPr>
                <w:rFonts w:ascii="Arial"/>
                <w:color w:val="auto"/>
                <w:sz w:val="21"/>
                <w:highlight w:val="none"/>
              </w:rPr>
            </w:pPr>
          </w:p>
        </w:tc>
        <w:tc>
          <w:tcPr>
            <w:tcW w:w="749" w:type="dxa"/>
            <w:vAlign w:val="top"/>
          </w:tcPr>
          <w:p w14:paraId="5B57FC1E">
            <w:pPr>
              <w:rPr>
                <w:rFonts w:ascii="Arial"/>
                <w:color w:val="auto"/>
                <w:sz w:val="21"/>
                <w:highlight w:val="none"/>
              </w:rPr>
            </w:pPr>
          </w:p>
        </w:tc>
        <w:tc>
          <w:tcPr>
            <w:tcW w:w="754" w:type="dxa"/>
            <w:vAlign w:val="top"/>
          </w:tcPr>
          <w:p w14:paraId="7B54284D">
            <w:pPr>
              <w:rPr>
                <w:rFonts w:ascii="Arial"/>
                <w:color w:val="auto"/>
                <w:sz w:val="21"/>
                <w:highlight w:val="none"/>
              </w:rPr>
            </w:pPr>
          </w:p>
        </w:tc>
        <w:tc>
          <w:tcPr>
            <w:tcW w:w="748" w:type="dxa"/>
            <w:vAlign w:val="top"/>
          </w:tcPr>
          <w:p w14:paraId="6AED80B9">
            <w:pPr>
              <w:rPr>
                <w:rFonts w:ascii="Arial"/>
                <w:color w:val="auto"/>
                <w:sz w:val="21"/>
                <w:highlight w:val="none"/>
              </w:rPr>
            </w:pPr>
          </w:p>
        </w:tc>
        <w:tc>
          <w:tcPr>
            <w:tcW w:w="754" w:type="dxa"/>
            <w:vAlign w:val="top"/>
          </w:tcPr>
          <w:p w14:paraId="69F1E051">
            <w:pPr>
              <w:rPr>
                <w:rFonts w:ascii="Arial"/>
                <w:color w:val="auto"/>
                <w:sz w:val="21"/>
                <w:highlight w:val="none"/>
              </w:rPr>
            </w:pPr>
          </w:p>
        </w:tc>
        <w:tc>
          <w:tcPr>
            <w:tcW w:w="748" w:type="dxa"/>
            <w:vAlign w:val="top"/>
          </w:tcPr>
          <w:p w14:paraId="732692C6">
            <w:pPr>
              <w:rPr>
                <w:rFonts w:ascii="Arial"/>
                <w:color w:val="auto"/>
                <w:sz w:val="21"/>
                <w:highlight w:val="none"/>
              </w:rPr>
            </w:pPr>
          </w:p>
        </w:tc>
        <w:tc>
          <w:tcPr>
            <w:tcW w:w="754" w:type="dxa"/>
            <w:vAlign w:val="top"/>
          </w:tcPr>
          <w:p w14:paraId="2B3BE1B4">
            <w:pPr>
              <w:rPr>
                <w:rFonts w:ascii="Arial"/>
                <w:color w:val="auto"/>
                <w:sz w:val="21"/>
                <w:highlight w:val="none"/>
              </w:rPr>
            </w:pPr>
          </w:p>
        </w:tc>
        <w:tc>
          <w:tcPr>
            <w:tcW w:w="629" w:type="dxa"/>
            <w:vAlign w:val="top"/>
          </w:tcPr>
          <w:p w14:paraId="2C216353">
            <w:pPr>
              <w:rPr>
                <w:rFonts w:ascii="Arial"/>
                <w:color w:val="auto"/>
                <w:sz w:val="21"/>
                <w:highlight w:val="none"/>
              </w:rPr>
            </w:pPr>
          </w:p>
        </w:tc>
      </w:tr>
    </w:tbl>
    <w:p w14:paraId="678CC87F">
      <w:pPr>
        <w:spacing w:before="269" w:line="221" w:lineRule="auto"/>
        <w:ind w:left="6805"/>
        <w:rPr>
          <w:rFonts w:ascii="宋体" w:hAnsi="宋体" w:eastAsia="宋体" w:cs="宋体"/>
          <w:color w:val="auto"/>
          <w:sz w:val="21"/>
          <w:szCs w:val="21"/>
          <w:highlight w:val="none"/>
        </w:rPr>
      </w:pPr>
      <w:r>
        <w:rPr>
          <w:rFonts w:ascii="宋体" w:hAnsi="宋体" w:eastAsia="宋体" w:cs="宋体"/>
          <w:color w:val="auto"/>
          <w:spacing w:val="-26"/>
          <w:sz w:val="21"/>
          <w:szCs w:val="21"/>
          <w:highlight w:val="none"/>
        </w:rPr>
        <w:t>日期：</w:t>
      </w:r>
      <w:r>
        <w:rPr>
          <w:rFonts w:ascii="宋体" w:hAnsi="宋体" w:eastAsia="宋体" w:cs="宋体"/>
          <w:color w:val="auto"/>
          <w:spacing w:val="34"/>
          <w:sz w:val="21"/>
          <w:szCs w:val="21"/>
          <w:highlight w:val="none"/>
        </w:rPr>
        <w:t xml:space="preserve">   </w:t>
      </w:r>
      <w:r>
        <w:rPr>
          <w:rFonts w:ascii="宋体" w:hAnsi="宋体" w:eastAsia="宋体" w:cs="宋体"/>
          <w:color w:val="auto"/>
          <w:spacing w:val="-26"/>
          <w:sz w:val="21"/>
          <w:szCs w:val="21"/>
          <w:highlight w:val="none"/>
        </w:rPr>
        <w:t>年</w:t>
      </w:r>
      <w:r>
        <w:rPr>
          <w:rFonts w:ascii="宋体" w:hAnsi="宋体" w:eastAsia="宋体" w:cs="宋体"/>
          <w:color w:val="auto"/>
          <w:spacing w:val="6"/>
          <w:sz w:val="21"/>
          <w:szCs w:val="21"/>
          <w:highlight w:val="none"/>
        </w:rPr>
        <w:t xml:space="preserve">  </w:t>
      </w:r>
      <w:r>
        <w:rPr>
          <w:rFonts w:ascii="宋体" w:hAnsi="宋体" w:eastAsia="宋体" w:cs="宋体"/>
          <w:color w:val="auto"/>
          <w:spacing w:val="-26"/>
          <w:sz w:val="21"/>
          <w:szCs w:val="21"/>
          <w:highlight w:val="none"/>
        </w:rPr>
        <w:t>月</w:t>
      </w:r>
      <w:r>
        <w:rPr>
          <w:rFonts w:ascii="宋体" w:hAnsi="宋体" w:eastAsia="宋体" w:cs="宋体"/>
          <w:color w:val="auto"/>
          <w:spacing w:val="98"/>
          <w:sz w:val="21"/>
          <w:szCs w:val="21"/>
          <w:highlight w:val="none"/>
        </w:rPr>
        <w:t xml:space="preserve"> </w:t>
      </w:r>
      <w:r>
        <w:rPr>
          <w:rFonts w:ascii="宋体" w:hAnsi="宋体" w:eastAsia="宋体" w:cs="宋体"/>
          <w:color w:val="auto"/>
          <w:spacing w:val="-26"/>
          <w:sz w:val="21"/>
          <w:szCs w:val="21"/>
          <w:highlight w:val="none"/>
        </w:rPr>
        <w:t>日</w:t>
      </w:r>
    </w:p>
    <w:p w14:paraId="3CDA72DB">
      <w:pPr>
        <w:spacing w:line="221" w:lineRule="auto"/>
        <w:rPr>
          <w:rFonts w:ascii="宋体" w:hAnsi="宋体" w:eastAsia="宋体" w:cs="宋体"/>
          <w:color w:val="auto"/>
          <w:sz w:val="21"/>
          <w:szCs w:val="21"/>
          <w:highlight w:val="none"/>
        </w:rPr>
        <w:sectPr>
          <w:footerReference r:id="rId82" w:type="default"/>
          <w:pgSz w:w="11905" w:h="16839"/>
          <w:pgMar w:top="1431" w:right="1402" w:bottom="996" w:left="1406" w:header="0" w:footer="791" w:gutter="0"/>
          <w:pgNumType w:fmt="decimal"/>
          <w:cols w:space="720" w:num="1"/>
        </w:sectPr>
      </w:pPr>
    </w:p>
    <w:p w14:paraId="01CA0369">
      <w:pPr>
        <w:pStyle w:val="3"/>
        <w:spacing w:line="297" w:lineRule="auto"/>
        <w:rPr>
          <w:color w:val="auto"/>
          <w:highlight w:val="none"/>
        </w:rPr>
      </w:pPr>
    </w:p>
    <w:p w14:paraId="480AFA34">
      <w:pPr>
        <w:pStyle w:val="3"/>
        <w:spacing w:line="297" w:lineRule="auto"/>
        <w:rPr>
          <w:color w:val="auto"/>
          <w:highlight w:val="none"/>
        </w:rPr>
      </w:pPr>
    </w:p>
    <w:p w14:paraId="4D1EF1B8">
      <w:pPr>
        <w:spacing w:before="78" w:line="219" w:lineRule="auto"/>
        <w:ind w:left="3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w:t>
      </w:r>
      <w:r>
        <w:rPr>
          <w:rFonts w:ascii="黑体" w:hAnsi="黑体" w:eastAsia="黑体" w:cs="黑体"/>
          <w:color w:val="auto"/>
          <w:spacing w:val="-54"/>
          <w:sz w:val="24"/>
          <w:szCs w:val="24"/>
          <w:highlight w:val="none"/>
        </w:rPr>
        <w:t xml:space="preserve"> </w:t>
      </w:r>
      <w:r>
        <w:rPr>
          <w:rFonts w:ascii="Times New Roman" w:hAnsi="Times New Roman" w:eastAsia="Times New Roman" w:cs="Times New Roman"/>
          <w:color w:val="auto"/>
          <w:spacing w:val="-3"/>
          <w:sz w:val="24"/>
          <w:szCs w:val="24"/>
          <w:highlight w:val="none"/>
        </w:rPr>
        <w:t>A-4</w:t>
      </w:r>
      <w:r>
        <w:rPr>
          <w:rFonts w:ascii="黑体" w:hAnsi="黑体" w:eastAsia="黑体" w:cs="黑体"/>
          <w:color w:val="auto"/>
          <w:spacing w:val="-3"/>
          <w:sz w:val="24"/>
          <w:szCs w:val="24"/>
          <w:highlight w:val="none"/>
        </w:rPr>
        <w:t>：形式评审记录表</w:t>
      </w:r>
    </w:p>
    <w:p w14:paraId="42971D61">
      <w:pPr>
        <w:pStyle w:val="3"/>
        <w:spacing w:line="405" w:lineRule="auto"/>
        <w:rPr>
          <w:color w:val="auto"/>
          <w:highlight w:val="none"/>
        </w:rPr>
      </w:pPr>
    </w:p>
    <w:p w14:paraId="669026F4">
      <w:pPr>
        <w:spacing w:before="117" w:line="219" w:lineRule="auto"/>
        <w:ind w:left="2922"/>
        <w:rPr>
          <w:rFonts w:ascii="黑体" w:hAnsi="黑体" w:eastAsia="黑体" w:cs="黑体"/>
          <w:color w:val="auto"/>
          <w:sz w:val="36"/>
          <w:szCs w:val="36"/>
          <w:highlight w:val="none"/>
        </w:rPr>
      </w:pPr>
      <w:bookmarkStart w:id="192" w:name="bookmark220"/>
      <w:bookmarkEnd w:id="192"/>
      <w:r>
        <w:rPr>
          <w:rFonts w:ascii="黑体" w:hAnsi="黑体" w:eastAsia="黑体" w:cs="黑体"/>
          <w:color w:val="auto"/>
          <w:spacing w:val="-3"/>
          <w:sz w:val="36"/>
          <w:szCs w:val="36"/>
          <w:highlight w:val="none"/>
        </w:rPr>
        <w:t>形式评审记录表</w:t>
      </w:r>
    </w:p>
    <w:p w14:paraId="12CD86A6">
      <w:pPr>
        <w:spacing w:before="239" w:line="221" w:lineRule="auto"/>
        <w:ind w:left="19"/>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标段名称：</w:t>
      </w:r>
    </w:p>
    <w:p w14:paraId="7A7F523C">
      <w:pPr>
        <w:spacing w:before="22" w:line="214" w:lineRule="auto"/>
        <w:ind w:left="1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标段唯一标识码：</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1286"/>
        <w:gridCol w:w="615"/>
        <w:gridCol w:w="614"/>
        <w:gridCol w:w="619"/>
        <w:gridCol w:w="614"/>
        <w:gridCol w:w="614"/>
        <w:gridCol w:w="619"/>
        <w:gridCol w:w="615"/>
        <w:gridCol w:w="614"/>
        <w:gridCol w:w="619"/>
        <w:gridCol w:w="791"/>
      </w:tblGrid>
      <w:tr w14:paraId="57DA5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1" w:type="dxa"/>
            <w:vMerge w:val="restart"/>
            <w:tcBorders>
              <w:bottom w:val="nil"/>
            </w:tcBorders>
            <w:vAlign w:val="top"/>
          </w:tcPr>
          <w:p w14:paraId="49EC041E">
            <w:pPr>
              <w:spacing w:line="252" w:lineRule="auto"/>
              <w:rPr>
                <w:rFonts w:ascii="Arial"/>
                <w:color w:val="auto"/>
                <w:sz w:val="21"/>
                <w:highlight w:val="none"/>
              </w:rPr>
            </w:pPr>
          </w:p>
          <w:p w14:paraId="4034FF7B">
            <w:pPr>
              <w:pStyle w:val="11"/>
              <w:spacing w:before="69" w:line="222" w:lineRule="auto"/>
              <w:ind w:left="142"/>
              <w:rPr>
                <w:color w:val="auto"/>
                <w:highlight w:val="none"/>
              </w:rPr>
            </w:pPr>
            <w:r>
              <w:rPr>
                <w:color w:val="auto"/>
                <w:spacing w:val="-2"/>
                <w:highlight w:val="none"/>
                <w14:textOutline w14:w="3831" w14:cap="flat" w14:cmpd="sng">
                  <w14:solidFill>
                    <w14:srgbClr w14:val="000000"/>
                  </w14:solidFill>
                  <w14:prstDash w14:val="solid"/>
                  <w14:miter w14:val="0"/>
                </w14:textOutline>
              </w:rPr>
              <w:t>序号</w:t>
            </w:r>
          </w:p>
        </w:tc>
        <w:tc>
          <w:tcPr>
            <w:tcW w:w="1286" w:type="dxa"/>
            <w:vMerge w:val="restart"/>
            <w:tcBorders>
              <w:bottom w:val="nil"/>
            </w:tcBorders>
            <w:vAlign w:val="top"/>
          </w:tcPr>
          <w:p w14:paraId="6B9DF783">
            <w:pPr>
              <w:spacing w:line="253" w:lineRule="auto"/>
              <w:rPr>
                <w:rFonts w:ascii="Arial"/>
                <w:color w:val="auto"/>
                <w:sz w:val="21"/>
                <w:highlight w:val="none"/>
              </w:rPr>
            </w:pPr>
          </w:p>
          <w:p w14:paraId="2A04B269">
            <w:pPr>
              <w:pStyle w:val="11"/>
              <w:spacing w:before="68" w:line="221" w:lineRule="auto"/>
              <w:ind w:left="121"/>
              <w:rPr>
                <w:color w:val="auto"/>
                <w:highlight w:val="none"/>
              </w:rPr>
            </w:pPr>
            <w:r>
              <w:rPr>
                <w:color w:val="auto"/>
                <w:spacing w:val="-1"/>
                <w:highlight w:val="none"/>
                <w14:textOutline w14:w="3831" w14:cap="flat" w14:cmpd="sng">
                  <w14:solidFill>
                    <w14:srgbClr w14:val="000000"/>
                  </w14:solidFill>
                  <w14:prstDash w14:val="solid"/>
                  <w14:miter w14:val="0"/>
                </w14:textOutline>
              </w:rPr>
              <w:t>投标人名称</w:t>
            </w:r>
          </w:p>
        </w:tc>
        <w:tc>
          <w:tcPr>
            <w:tcW w:w="5543" w:type="dxa"/>
            <w:gridSpan w:val="9"/>
            <w:vAlign w:val="top"/>
          </w:tcPr>
          <w:p w14:paraId="4A76B7F0">
            <w:pPr>
              <w:pStyle w:val="11"/>
              <w:spacing w:before="105" w:line="221" w:lineRule="auto"/>
              <w:ind w:left="1828"/>
              <w:rPr>
                <w:color w:val="auto"/>
                <w:highlight w:val="none"/>
              </w:rPr>
            </w:pPr>
            <w:r>
              <w:rPr>
                <w:color w:val="auto"/>
                <w:highlight w:val="none"/>
                <w14:textOutline w14:w="3831" w14:cap="flat" w14:cmpd="sng">
                  <w14:solidFill>
                    <w14:srgbClr w14:val="000000"/>
                  </w14:solidFill>
                  <w14:prstDash w14:val="solid"/>
                  <w14:miter w14:val="0"/>
                </w14:textOutline>
              </w:rPr>
              <w:t>评审标准及评审意见</w:t>
            </w:r>
          </w:p>
        </w:tc>
        <w:tc>
          <w:tcPr>
            <w:tcW w:w="791" w:type="dxa"/>
            <w:vMerge w:val="restart"/>
            <w:tcBorders>
              <w:bottom w:val="nil"/>
            </w:tcBorders>
            <w:vAlign w:val="top"/>
          </w:tcPr>
          <w:p w14:paraId="27F80C9C">
            <w:pPr>
              <w:pStyle w:val="11"/>
              <w:spacing w:before="183" w:line="241" w:lineRule="auto"/>
              <w:ind w:left="189"/>
              <w:rPr>
                <w:color w:val="auto"/>
                <w:highlight w:val="none"/>
              </w:rPr>
            </w:pPr>
            <w:r>
              <w:rPr>
                <w:color w:val="auto"/>
                <w:spacing w:val="-2"/>
                <w:highlight w:val="none"/>
                <w14:textOutline w14:w="3831" w14:cap="flat" w14:cmpd="sng">
                  <w14:solidFill>
                    <w14:srgbClr w14:val="000000"/>
                  </w14:solidFill>
                  <w14:prstDash w14:val="solid"/>
                  <w14:miter w14:val="0"/>
                </w14:textOutline>
              </w:rPr>
              <w:t>评审</w:t>
            </w:r>
          </w:p>
          <w:p w14:paraId="4EBA9A09">
            <w:pPr>
              <w:pStyle w:val="11"/>
              <w:spacing w:line="222" w:lineRule="auto"/>
              <w:ind w:left="195"/>
              <w:rPr>
                <w:color w:val="auto"/>
                <w:highlight w:val="none"/>
              </w:rPr>
            </w:pPr>
            <w:r>
              <w:rPr>
                <w:color w:val="auto"/>
                <w:spacing w:val="-3"/>
                <w:highlight w:val="none"/>
                <w14:textOutline w14:w="3831" w14:cap="flat" w14:cmpd="sng">
                  <w14:solidFill>
                    <w14:srgbClr w14:val="000000"/>
                  </w14:solidFill>
                  <w14:prstDash w14:val="solid"/>
                  <w14:miter w14:val="0"/>
                </w14:textOutline>
              </w:rPr>
              <w:t>结论</w:t>
            </w:r>
          </w:p>
        </w:tc>
      </w:tr>
      <w:tr w14:paraId="4C3DF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1" w:type="dxa"/>
            <w:vMerge w:val="continue"/>
            <w:tcBorders>
              <w:top w:val="nil"/>
            </w:tcBorders>
            <w:vAlign w:val="top"/>
          </w:tcPr>
          <w:p w14:paraId="52D3831E">
            <w:pPr>
              <w:rPr>
                <w:rFonts w:ascii="Arial"/>
                <w:color w:val="auto"/>
                <w:sz w:val="21"/>
                <w:highlight w:val="none"/>
              </w:rPr>
            </w:pPr>
          </w:p>
        </w:tc>
        <w:tc>
          <w:tcPr>
            <w:tcW w:w="1286" w:type="dxa"/>
            <w:vMerge w:val="continue"/>
            <w:tcBorders>
              <w:top w:val="nil"/>
            </w:tcBorders>
            <w:vAlign w:val="top"/>
          </w:tcPr>
          <w:p w14:paraId="76FAD9C9">
            <w:pPr>
              <w:rPr>
                <w:rFonts w:ascii="Arial"/>
                <w:color w:val="auto"/>
                <w:sz w:val="21"/>
                <w:highlight w:val="none"/>
              </w:rPr>
            </w:pPr>
          </w:p>
        </w:tc>
        <w:tc>
          <w:tcPr>
            <w:tcW w:w="615" w:type="dxa"/>
            <w:vAlign w:val="top"/>
          </w:tcPr>
          <w:p w14:paraId="425F9A95">
            <w:pPr>
              <w:rPr>
                <w:rFonts w:ascii="Arial"/>
                <w:color w:val="auto"/>
                <w:sz w:val="21"/>
                <w:highlight w:val="none"/>
              </w:rPr>
            </w:pPr>
          </w:p>
        </w:tc>
        <w:tc>
          <w:tcPr>
            <w:tcW w:w="614" w:type="dxa"/>
            <w:vAlign w:val="top"/>
          </w:tcPr>
          <w:p w14:paraId="7E62B8F8">
            <w:pPr>
              <w:rPr>
                <w:rFonts w:ascii="Arial"/>
                <w:color w:val="auto"/>
                <w:sz w:val="21"/>
                <w:highlight w:val="none"/>
              </w:rPr>
            </w:pPr>
          </w:p>
        </w:tc>
        <w:tc>
          <w:tcPr>
            <w:tcW w:w="619" w:type="dxa"/>
            <w:vAlign w:val="top"/>
          </w:tcPr>
          <w:p w14:paraId="75155925">
            <w:pPr>
              <w:rPr>
                <w:rFonts w:ascii="Arial"/>
                <w:color w:val="auto"/>
                <w:sz w:val="21"/>
                <w:highlight w:val="none"/>
              </w:rPr>
            </w:pPr>
          </w:p>
        </w:tc>
        <w:tc>
          <w:tcPr>
            <w:tcW w:w="614" w:type="dxa"/>
            <w:vAlign w:val="top"/>
          </w:tcPr>
          <w:p w14:paraId="48C38BF4">
            <w:pPr>
              <w:rPr>
                <w:rFonts w:ascii="Arial"/>
                <w:color w:val="auto"/>
                <w:sz w:val="21"/>
                <w:highlight w:val="none"/>
              </w:rPr>
            </w:pPr>
          </w:p>
        </w:tc>
        <w:tc>
          <w:tcPr>
            <w:tcW w:w="614" w:type="dxa"/>
            <w:vAlign w:val="top"/>
          </w:tcPr>
          <w:p w14:paraId="7F19EF84">
            <w:pPr>
              <w:rPr>
                <w:rFonts w:ascii="Arial"/>
                <w:color w:val="auto"/>
                <w:sz w:val="21"/>
                <w:highlight w:val="none"/>
              </w:rPr>
            </w:pPr>
          </w:p>
        </w:tc>
        <w:tc>
          <w:tcPr>
            <w:tcW w:w="619" w:type="dxa"/>
            <w:vAlign w:val="top"/>
          </w:tcPr>
          <w:p w14:paraId="11F5B6F8">
            <w:pPr>
              <w:rPr>
                <w:rFonts w:ascii="Arial"/>
                <w:color w:val="auto"/>
                <w:sz w:val="21"/>
                <w:highlight w:val="none"/>
              </w:rPr>
            </w:pPr>
          </w:p>
        </w:tc>
        <w:tc>
          <w:tcPr>
            <w:tcW w:w="615" w:type="dxa"/>
            <w:vAlign w:val="top"/>
          </w:tcPr>
          <w:p w14:paraId="1DA119B4">
            <w:pPr>
              <w:rPr>
                <w:rFonts w:ascii="Arial"/>
                <w:color w:val="auto"/>
                <w:sz w:val="21"/>
                <w:highlight w:val="none"/>
              </w:rPr>
            </w:pPr>
          </w:p>
        </w:tc>
        <w:tc>
          <w:tcPr>
            <w:tcW w:w="614" w:type="dxa"/>
            <w:vAlign w:val="top"/>
          </w:tcPr>
          <w:p w14:paraId="7BA87BA5">
            <w:pPr>
              <w:rPr>
                <w:rFonts w:ascii="Arial"/>
                <w:color w:val="auto"/>
                <w:sz w:val="21"/>
                <w:highlight w:val="none"/>
              </w:rPr>
            </w:pPr>
          </w:p>
        </w:tc>
        <w:tc>
          <w:tcPr>
            <w:tcW w:w="619" w:type="dxa"/>
            <w:vAlign w:val="top"/>
          </w:tcPr>
          <w:p w14:paraId="5434B2CB">
            <w:pPr>
              <w:rPr>
                <w:rFonts w:ascii="Arial"/>
                <w:color w:val="auto"/>
                <w:sz w:val="21"/>
                <w:highlight w:val="none"/>
              </w:rPr>
            </w:pPr>
          </w:p>
        </w:tc>
        <w:tc>
          <w:tcPr>
            <w:tcW w:w="791" w:type="dxa"/>
            <w:vMerge w:val="continue"/>
            <w:tcBorders>
              <w:top w:val="nil"/>
            </w:tcBorders>
            <w:vAlign w:val="top"/>
          </w:tcPr>
          <w:p w14:paraId="64772F0C">
            <w:pPr>
              <w:rPr>
                <w:rFonts w:ascii="Arial"/>
                <w:color w:val="auto"/>
                <w:sz w:val="21"/>
                <w:highlight w:val="none"/>
              </w:rPr>
            </w:pPr>
          </w:p>
        </w:tc>
      </w:tr>
      <w:tr w14:paraId="7174D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91" w:type="dxa"/>
            <w:vAlign w:val="top"/>
          </w:tcPr>
          <w:p w14:paraId="2942BFE8">
            <w:pPr>
              <w:pStyle w:val="11"/>
              <w:spacing w:before="208" w:line="183" w:lineRule="auto"/>
              <w:ind w:left="316"/>
              <w:rPr>
                <w:color w:val="auto"/>
                <w:highlight w:val="none"/>
              </w:rPr>
            </w:pPr>
            <w:r>
              <w:rPr>
                <w:color w:val="auto"/>
                <w:highlight w:val="none"/>
              </w:rPr>
              <w:t>1</w:t>
            </w:r>
          </w:p>
        </w:tc>
        <w:tc>
          <w:tcPr>
            <w:tcW w:w="1286" w:type="dxa"/>
            <w:vAlign w:val="top"/>
          </w:tcPr>
          <w:p w14:paraId="32F21DA0">
            <w:pPr>
              <w:rPr>
                <w:rFonts w:ascii="Arial"/>
                <w:color w:val="auto"/>
                <w:sz w:val="21"/>
                <w:highlight w:val="none"/>
              </w:rPr>
            </w:pPr>
          </w:p>
        </w:tc>
        <w:tc>
          <w:tcPr>
            <w:tcW w:w="615" w:type="dxa"/>
            <w:vAlign w:val="top"/>
          </w:tcPr>
          <w:p w14:paraId="14111456">
            <w:pPr>
              <w:rPr>
                <w:rFonts w:ascii="Arial"/>
                <w:color w:val="auto"/>
                <w:sz w:val="21"/>
                <w:highlight w:val="none"/>
              </w:rPr>
            </w:pPr>
          </w:p>
        </w:tc>
        <w:tc>
          <w:tcPr>
            <w:tcW w:w="614" w:type="dxa"/>
            <w:vAlign w:val="top"/>
          </w:tcPr>
          <w:p w14:paraId="4E7AFF65">
            <w:pPr>
              <w:rPr>
                <w:rFonts w:ascii="Arial"/>
                <w:color w:val="auto"/>
                <w:sz w:val="21"/>
                <w:highlight w:val="none"/>
              </w:rPr>
            </w:pPr>
          </w:p>
        </w:tc>
        <w:tc>
          <w:tcPr>
            <w:tcW w:w="619" w:type="dxa"/>
            <w:vAlign w:val="top"/>
          </w:tcPr>
          <w:p w14:paraId="034F589C">
            <w:pPr>
              <w:rPr>
                <w:rFonts w:ascii="Arial"/>
                <w:color w:val="auto"/>
                <w:sz w:val="21"/>
                <w:highlight w:val="none"/>
              </w:rPr>
            </w:pPr>
          </w:p>
        </w:tc>
        <w:tc>
          <w:tcPr>
            <w:tcW w:w="614" w:type="dxa"/>
            <w:vAlign w:val="top"/>
          </w:tcPr>
          <w:p w14:paraId="3A63C375">
            <w:pPr>
              <w:rPr>
                <w:rFonts w:ascii="Arial"/>
                <w:color w:val="auto"/>
                <w:sz w:val="21"/>
                <w:highlight w:val="none"/>
              </w:rPr>
            </w:pPr>
          </w:p>
        </w:tc>
        <w:tc>
          <w:tcPr>
            <w:tcW w:w="614" w:type="dxa"/>
            <w:vAlign w:val="top"/>
          </w:tcPr>
          <w:p w14:paraId="535D0928">
            <w:pPr>
              <w:rPr>
                <w:rFonts w:ascii="Arial"/>
                <w:color w:val="auto"/>
                <w:sz w:val="21"/>
                <w:highlight w:val="none"/>
              </w:rPr>
            </w:pPr>
          </w:p>
        </w:tc>
        <w:tc>
          <w:tcPr>
            <w:tcW w:w="619" w:type="dxa"/>
            <w:vAlign w:val="top"/>
          </w:tcPr>
          <w:p w14:paraId="3758AFA9">
            <w:pPr>
              <w:rPr>
                <w:rFonts w:ascii="Arial"/>
                <w:color w:val="auto"/>
                <w:sz w:val="21"/>
                <w:highlight w:val="none"/>
              </w:rPr>
            </w:pPr>
          </w:p>
        </w:tc>
        <w:tc>
          <w:tcPr>
            <w:tcW w:w="615" w:type="dxa"/>
            <w:vAlign w:val="top"/>
          </w:tcPr>
          <w:p w14:paraId="4F68BF34">
            <w:pPr>
              <w:rPr>
                <w:rFonts w:ascii="Arial"/>
                <w:color w:val="auto"/>
                <w:sz w:val="21"/>
                <w:highlight w:val="none"/>
              </w:rPr>
            </w:pPr>
          </w:p>
        </w:tc>
        <w:tc>
          <w:tcPr>
            <w:tcW w:w="614" w:type="dxa"/>
            <w:vAlign w:val="top"/>
          </w:tcPr>
          <w:p w14:paraId="7CC143EB">
            <w:pPr>
              <w:rPr>
                <w:rFonts w:ascii="Arial"/>
                <w:color w:val="auto"/>
                <w:sz w:val="21"/>
                <w:highlight w:val="none"/>
              </w:rPr>
            </w:pPr>
          </w:p>
        </w:tc>
        <w:tc>
          <w:tcPr>
            <w:tcW w:w="619" w:type="dxa"/>
            <w:vAlign w:val="top"/>
          </w:tcPr>
          <w:p w14:paraId="0FF76059">
            <w:pPr>
              <w:rPr>
                <w:rFonts w:ascii="Arial"/>
                <w:color w:val="auto"/>
                <w:sz w:val="21"/>
                <w:highlight w:val="none"/>
              </w:rPr>
            </w:pPr>
          </w:p>
        </w:tc>
        <w:tc>
          <w:tcPr>
            <w:tcW w:w="791" w:type="dxa"/>
            <w:vAlign w:val="top"/>
          </w:tcPr>
          <w:p w14:paraId="5377BE52">
            <w:pPr>
              <w:rPr>
                <w:rFonts w:ascii="Arial"/>
                <w:color w:val="auto"/>
                <w:sz w:val="21"/>
                <w:highlight w:val="none"/>
              </w:rPr>
            </w:pPr>
          </w:p>
        </w:tc>
      </w:tr>
      <w:tr w14:paraId="1A3BA8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0" w:hRule="atLeast"/>
        </w:trPr>
        <w:tc>
          <w:tcPr>
            <w:tcW w:w="691" w:type="dxa"/>
            <w:vAlign w:val="top"/>
          </w:tcPr>
          <w:p w14:paraId="6315E290">
            <w:pPr>
              <w:pStyle w:val="11"/>
              <w:spacing w:before="214" w:line="182" w:lineRule="auto"/>
              <w:ind w:left="303"/>
              <w:rPr>
                <w:color w:val="auto"/>
                <w:highlight w:val="none"/>
              </w:rPr>
            </w:pPr>
            <w:r>
              <w:rPr>
                <w:color w:val="auto"/>
                <w:highlight w:val="none"/>
              </w:rPr>
              <w:t>2</w:t>
            </w:r>
          </w:p>
        </w:tc>
        <w:tc>
          <w:tcPr>
            <w:tcW w:w="1286" w:type="dxa"/>
            <w:vAlign w:val="top"/>
          </w:tcPr>
          <w:p w14:paraId="37DBDAAB">
            <w:pPr>
              <w:rPr>
                <w:rFonts w:ascii="Arial"/>
                <w:color w:val="auto"/>
                <w:sz w:val="21"/>
                <w:highlight w:val="none"/>
              </w:rPr>
            </w:pPr>
          </w:p>
        </w:tc>
        <w:tc>
          <w:tcPr>
            <w:tcW w:w="615" w:type="dxa"/>
            <w:vAlign w:val="top"/>
          </w:tcPr>
          <w:p w14:paraId="51977848">
            <w:pPr>
              <w:rPr>
                <w:rFonts w:ascii="Arial"/>
                <w:color w:val="auto"/>
                <w:sz w:val="21"/>
                <w:highlight w:val="none"/>
              </w:rPr>
            </w:pPr>
          </w:p>
        </w:tc>
        <w:tc>
          <w:tcPr>
            <w:tcW w:w="614" w:type="dxa"/>
            <w:vAlign w:val="top"/>
          </w:tcPr>
          <w:p w14:paraId="2CB3DB5A">
            <w:pPr>
              <w:rPr>
                <w:rFonts w:ascii="Arial"/>
                <w:color w:val="auto"/>
                <w:sz w:val="21"/>
                <w:highlight w:val="none"/>
              </w:rPr>
            </w:pPr>
          </w:p>
        </w:tc>
        <w:tc>
          <w:tcPr>
            <w:tcW w:w="619" w:type="dxa"/>
            <w:vAlign w:val="top"/>
          </w:tcPr>
          <w:p w14:paraId="1ABE7234">
            <w:pPr>
              <w:rPr>
                <w:rFonts w:ascii="Arial"/>
                <w:color w:val="auto"/>
                <w:sz w:val="21"/>
                <w:highlight w:val="none"/>
              </w:rPr>
            </w:pPr>
          </w:p>
        </w:tc>
        <w:tc>
          <w:tcPr>
            <w:tcW w:w="614" w:type="dxa"/>
            <w:vAlign w:val="top"/>
          </w:tcPr>
          <w:p w14:paraId="789EF138">
            <w:pPr>
              <w:rPr>
                <w:rFonts w:ascii="Arial"/>
                <w:color w:val="auto"/>
                <w:sz w:val="21"/>
                <w:highlight w:val="none"/>
              </w:rPr>
            </w:pPr>
          </w:p>
        </w:tc>
        <w:tc>
          <w:tcPr>
            <w:tcW w:w="614" w:type="dxa"/>
            <w:vAlign w:val="top"/>
          </w:tcPr>
          <w:p w14:paraId="5AB587ED">
            <w:pPr>
              <w:rPr>
                <w:rFonts w:ascii="Arial"/>
                <w:color w:val="auto"/>
                <w:sz w:val="21"/>
                <w:highlight w:val="none"/>
              </w:rPr>
            </w:pPr>
          </w:p>
        </w:tc>
        <w:tc>
          <w:tcPr>
            <w:tcW w:w="619" w:type="dxa"/>
            <w:vAlign w:val="top"/>
          </w:tcPr>
          <w:p w14:paraId="14880280">
            <w:pPr>
              <w:rPr>
                <w:rFonts w:ascii="Arial"/>
                <w:color w:val="auto"/>
                <w:sz w:val="21"/>
                <w:highlight w:val="none"/>
              </w:rPr>
            </w:pPr>
          </w:p>
        </w:tc>
        <w:tc>
          <w:tcPr>
            <w:tcW w:w="615" w:type="dxa"/>
            <w:vAlign w:val="top"/>
          </w:tcPr>
          <w:p w14:paraId="646C824D">
            <w:pPr>
              <w:rPr>
                <w:rFonts w:ascii="Arial"/>
                <w:color w:val="auto"/>
                <w:sz w:val="21"/>
                <w:highlight w:val="none"/>
              </w:rPr>
            </w:pPr>
          </w:p>
        </w:tc>
        <w:tc>
          <w:tcPr>
            <w:tcW w:w="614" w:type="dxa"/>
            <w:vAlign w:val="top"/>
          </w:tcPr>
          <w:p w14:paraId="130DDFF8">
            <w:pPr>
              <w:rPr>
                <w:rFonts w:ascii="Arial"/>
                <w:color w:val="auto"/>
                <w:sz w:val="21"/>
                <w:highlight w:val="none"/>
              </w:rPr>
            </w:pPr>
          </w:p>
        </w:tc>
        <w:tc>
          <w:tcPr>
            <w:tcW w:w="619" w:type="dxa"/>
            <w:vAlign w:val="top"/>
          </w:tcPr>
          <w:p w14:paraId="2128A5D2">
            <w:pPr>
              <w:rPr>
                <w:rFonts w:ascii="Arial"/>
                <w:color w:val="auto"/>
                <w:sz w:val="21"/>
                <w:highlight w:val="none"/>
              </w:rPr>
            </w:pPr>
          </w:p>
        </w:tc>
        <w:tc>
          <w:tcPr>
            <w:tcW w:w="791" w:type="dxa"/>
            <w:vAlign w:val="top"/>
          </w:tcPr>
          <w:p w14:paraId="57796DF6">
            <w:pPr>
              <w:rPr>
                <w:rFonts w:ascii="Arial"/>
                <w:color w:val="auto"/>
                <w:sz w:val="21"/>
                <w:highlight w:val="none"/>
              </w:rPr>
            </w:pPr>
          </w:p>
        </w:tc>
      </w:tr>
      <w:tr w14:paraId="6CD6C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691" w:type="dxa"/>
            <w:vAlign w:val="top"/>
          </w:tcPr>
          <w:p w14:paraId="59196B9E">
            <w:pPr>
              <w:pStyle w:val="11"/>
              <w:spacing w:before="215" w:line="182" w:lineRule="auto"/>
              <w:ind w:left="305"/>
              <w:rPr>
                <w:color w:val="auto"/>
                <w:highlight w:val="none"/>
              </w:rPr>
            </w:pPr>
            <w:r>
              <w:rPr>
                <w:color w:val="auto"/>
                <w:highlight w:val="none"/>
              </w:rPr>
              <w:t>3</w:t>
            </w:r>
          </w:p>
        </w:tc>
        <w:tc>
          <w:tcPr>
            <w:tcW w:w="1286" w:type="dxa"/>
            <w:vAlign w:val="top"/>
          </w:tcPr>
          <w:p w14:paraId="47D0E574">
            <w:pPr>
              <w:rPr>
                <w:rFonts w:ascii="Arial"/>
                <w:color w:val="auto"/>
                <w:sz w:val="21"/>
                <w:highlight w:val="none"/>
              </w:rPr>
            </w:pPr>
          </w:p>
        </w:tc>
        <w:tc>
          <w:tcPr>
            <w:tcW w:w="615" w:type="dxa"/>
            <w:vAlign w:val="top"/>
          </w:tcPr>
          <w:p w14:paraId="5B4822BA">
            <w:pPr>
              <w:rPr>
                <w:rFonts w:ascii="Arial"/>
                <w:color w:val="auto"/>
                <w:sz w:val="21"/>
                <w:highlight w:val="none"/>
              </w:rPr>
            </w:pPr>
          </w:p>
        </w:tc>
        <w:tc>
          <w:tcPr>
            <w:tcW w:w="614" w:type="dxa"/>
            <w:vAlign w:val="top"/>
          </w:tcPr>
          <w:p w14:paraId="73CDCB1E">
            <w:pPr>
              <w:rPr>
                <w:rFonts w:ascii="Arial"/>
                <w:color w:val="auto"/>
                <w:sz w:val="21"/>
                <w:highlight w:val="none"/>
              </w:rPr>
            </w:pPr>
          </w:p>
        </w:tc>
        <w:tc>
          <w:tcPr>
            <w:tcW w:w="619" w:type="dxa"/>
            <w:vAlign w:val="top"/>
          </w:tcPr>
          <w:p w14:paraId="18D40B85">
            <w:pPr>
              <w:rPr>
                <w:rFonts w:ascii="Arial"/>
                <w:color w:val="auto"/>
                <w:sz w:val="21"/>
                <w:highlight w:val="none"/>
              </w:rPr>
            </w:pPr>
          </w:p>
        </w:tc>
        <w:tc>
          <w:tcPr>
            <w:tcW w:w="614" w:type="dxa"/>
            <w:vAlign w:val="top"/>
          </w:tcPr>
          <w:p w14:paraId="02E6C267">
            <w:pPr>
              <w:rPr>
                <w:rFonts w:ascii="Arial"/>
                <w:color w:val="auto"/>
                <w:sz w:val="21"/>
                <w:highlight w:val="none"/>
              </w:rPr>
            </w:pPr>
          </w:p>
        </w:tc>
        <w:tc>
          <w:tcPr>
            <w:tcW w:w="614" w:type="dxa"/>
            <w:vAlign w:val="top"/>
          </w:tcPr>
          <w:p w14:paraId="6985727B">
            <w:pPr>
              <w:rPr>
                <w:rFonts w:ascii="Arial"/>
                <w:color w:val="auto"/>
                <w:sz w:val="21"/>
                <w:highlight w:val="none"/>
              </w:rPr>
            </w:pPr>
          </w:p>
        </w:tc>
        <w:tc>
          <w:tcPr>
            <w:tcW w:w="619" w:type="dxa"/>
            <w:vAlign w:val="top"/>
          </w:tcPr>
          <w:p w14:paraId="0042ECD2">
            <w:pPr>
              <w:rPr>
                <w:rFonts w:ascii="Arial"/>
                <w:color w:val="auto"/>
                <w:sz w:val="21"/>
                <w:highlight w:val="none"/>
              </w:rPr>
            </w:pPr>
          </w:p>
        </w:tc>
        <w:tc>
          <w:tcPr>
            <w:tcW w:w="615" w:type="dxa"/>
            <w:vAlign w:val="top"/>
          </w:tcPr>
          <w:p w14:paraId="1823E7AA">
            <w:pPr>
              <w:rPr>
                <w:rFonts w:ascii="Arial"/>
                <w:color w:val="auto"/>
                <w:sz w:val="21"/>
                <w:highlight w:val="none"/>
              </w:rPr>
            </w:pPr>
          </w:p>
        </w:tc>
        <w:tc>
          <w:tcPr>
            <w:tcW w:w="614" w:type="dxa"/>
            <w:vAlign w:val="top"/>
          </w:tcPr>
          <w:p w14:paraId="31805135">
            <w:pPr>
              <w:rPr>
                <w:rFonts w:ascii="Arial"/>
                <w:color w:val="auto"/>
                <w:sz w:val="21"/>
                <w:highlight w:val="none"/>
              </w:rPr>
            </w:pPr>
          </w:p>
        </w:tc>
        <w:tc>
          <w:tcPr>
            <w:tcW w:w="619" w:type="dxa"/>
            <w:vAlign w:val="top"/>
          </w:tcPr>
          <w:p w14:paraId="08DADE57">
            <w:pPr>
              <w:rPr>
                <w:rFonts w:ascii="Arial"/>
                <w:color w:val="auto"/>
                <w:sz w:val="21"/>
                <w:highlight w:val="none"/>
              </w:rPr>
            </w:pPr>
          </w:p>
        </w:tc>
        <w:tc>
          <w:tcPr>
            <w:tcW w:w="791" w:type="dxa"/>
            <w:vAlign w:val="top"/>
          </w:tcPr>
          <w:p w14:paraId="16D4D25A">
            <w:pPr>
              <w:rPr>
                <w:rFonts w:ascii="Arial"/>
                <w:color w:val="auto"/>
                <w:sz w:val="21"/>
                <w:highlight w:val="none"/>
              </w:rPr>
            </w:pPr>
          </w:p>
        </w:tc>
      </w:tr>
      <w:tr w14:paraId="24AEA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691" w:type="dxa"/>
            <w:vAlign w:val="top"/>
          </w:tcPr>
          <w:p w14:paraId="5581D3A6">
            <w:pPr>
              <w:pStyle w:val="11"/>
              <w:spacing w:before="215" w:line="182" w:lineRule="auto"/>
              <w:ind w:left="300"/>
              <w:rPr>
                <w:color w:val="auto"/>
                <w:highlight w:val="none"/>
              </w:rPr>
            </w:pPr>
            <w:r>
              <w:rPr>
                <w:color w:val="auto"/>
                <w:highlight w:val="none"/>
              </w:rPr>
              <w:t>4</w:t>
            </w:r>
          </w:p>
        </w:tc>
        <w:tc>
          <w:tcPr>
            <w:tcW w:w="1286" w:type="dxa"/>
            <w:vAlign w:val="top"/>
          </w:tcPr>
          <w:p w14:paraId="72FE2B7E">
            <w:pPr>
              <w:rPr>
                <w:rFonts w:ascii="Arial"/>
                <w:color w:val="auto"/>
                <w:sz w:val="21"/>
                <w:highlight w:val="none"/>
              </w:rPr>
            </w:pPr>
          </w:p>
        </w:tc>
        <w:tc>
          <w:tcPr>
            <w:tcW w:w="615" w:type="dxa"/>
            <w:vAlign w:val="top"/>
          </w:tcPr>
          <w:p w14:paraId="4C7A6DC8">
            <w:pPr>
              <w:rPr>
                <w:rFonts w:ascii="Arial"/>
                <w:color w:val="auto"/>
                <w:sz w:val="21"/>
                <w:highlight w:val="none"/>
              </w:rPr>
            </w:pPr>
          </w:p>
        </w:tc>
        <w:tc>
          <w:tcPr>
            <w:tcW w:w="614" w:type="dxa"/>
            <w:vAlign w:val="top"/>
          </w:tcPr>
          <w:p w14:paraId="4DBD1A02">
            <w:pPr>
              <w:rPr>
                <w:rFonts w:ascii="Arial"/>
                <w:color w:val="auto"/>
                <w:sz w:val="21"/>
                <w:highlight w:val="none"/>
              </w:rPr>
            </w:pPr>
          </w:p>
        </w:tc>
        <w:tc>
          <w:tcPr>
            <w:tcW w:w="619" w:type="dxa"/>
            <w:vAlign w:val="top"/>
          </w:tcPr>
          <w:p w14:paraId="0CA1E78A">
            <w:pPr>
              <w:rPr>
                <w:rFonts w:ascii="Arial"/>
                <w:color w:val="auto"/>
                <w:sz w:val="21"/>
                <w:highlight w:val="none"/>
              </w:rPr>
            </w:pPr>
          </w:p>
        </w:tc>
        <w:tc>
          <w:tcPr>
            <w:tcW w:w="614" w:type="dxa"/>
            <w:vAlign w:val="top"/>
          </w:tcPr>
          <w:p w14:paraId="429EB231">
            <w:pPr>
              <w:rPr>
                <w:rFonts w:ascii="Arial"/>
                <w:color w:val="auto"/>
                <w:sz w:val="21"/>
                <w:highlight w:val="none"/>
              </w:rPr>
            </w:pPr>
          </w:p>
        </w:tc>
        <w:tc>
          <w:tcPr>
            <w:tcW w:w="614" w:type="dxa"/>
            <w:vAlign w:val="top"/>
          </w:tcPr>
          <w:p w14:paraId="041F8718">
            <w:pPr>
              <w:rPr>
                <w:rFonts w:ascii="Arial"/>
                <w:color w:val="auto"/>
                <w:sz w:val="21"/>
                <w:highlight w:val="none"/>
              </w:rPr>
            </w:pPr>
          </w:p>
        </w:tc>
        <w:tc>
          <w:tcPr>
            <w:tcW w:w="619" w:type="dxa"/>
            <w:vAlign w:val="top"/>
          </w:tcPr>
          <w:p w14:paraId="0A460684">
            <w:pPr>
              <w:rPr>
                <w:rFonts w:ascii="Arial"/>
                <w:color w:val="auto"/>
                <w:sz w:val="21"/>
                <w:highlight w:val="none"/>
              </w:rPr>
            </w:pPr>
          </w:p>
        </w:tc>
        <w:tc>
          <w:tcPr>
            <w:tcW w:w="615" w:type="dxa"/>
            <w:vAlign w:val="top"/>
          </w:tcPr>
          <w:p w14:paraId="498A09B9">
            <w:pPr>
              <w:rPr>
                <w:rFonts w:ascii="Arial"/>
                <w:color w:val="auto"/>
                <w:sz w:val="21"/>
                <w:highlight w:val="none"/>
              </w:rPr>
            </w:pPr>
          </w:p>
        </w:tc>
        <w:tc>
          <w:tcPr>
            <w:tcW w:w="614" w:type="dxa"/>
            <w:vAlign w:val="top"/>
          </w:tcPr>
          <w:p w14:paraId="30C114B6">
            <w:pPr>
              <w:rPr>
                <w:rFonts w:ascii="Arial"/>
                <w:color w:val="auto"/>
                <w:sz w:val="21"/>
                <w:highlight w:val="none"/>
              </w:rPr>
            </w:pPr>
          </w:p>
        </w:tc>
        <w:tc>
          <w:tcPr>
            <w:tcW w:w="619" w:type="dxa"/>
            <w:vAlign w:val="top"/>
          </w:tcPr>
          <w:p w14:paraId="1DEDF88C">
            <w:pPr>
              <w:rPr>
                <w:rFonts w:ascii="Arial"/>
                <w:color w:val="auto"/>
                <w:sz w:val="21"/>
                <w:highlight w:val="none"/>
              </w:rPr>
            </w:pPr>
          </w:p>
        </w:tc>
        <w:tc>
          <w:tcPr>
            <w:tcW w:w="791" w:type="dxa"/>
            <w:vAlign w:val="top"/>
          </w:tcPr>
          <w:p w14:paraId="742993C3">
            <w:pPr>
              <w:rPr>
                <w:rFonts w:ascii="Arial"/>
                <w:color w:val="auto"/>
                <w:sz w:val="21"/>
                <w:highlight w:val="none"/>
              </w:rPr>
            </w:pPr>
          </w:p>
        </w:tc>
      </w:tr>
      <w:tr w14:paraId="15237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91" w:type="dxa"/>
            <w:vAlign w:val="top"/>
          </w:tcPr>
          <w:p w14:paraId="4A00164C">
            <w:pPr>
              <w:pStyle w:val="11"/>
              <w:spacing w:before="212" w:line="181" w:lineRule="auto"/>
              <w:ind w:left="305"/>
              <w:rPr>
                <w:color w:val="auto"/>
                <w:highlight w:val="none"/>
              </w:rPr>
            </w:pPr>
            <w:r>
              <w:rPr>
                <w:color w:val="auto"/>
                <w:highlight w:val="none"/>
              </w:rPr>
              <w:t>5</w:t>
            </w:r>
          </w:p>
        </w:tc>
        <w:tc>
          <w:tcPr>
            <w:tcW w:w="1286" w:type="dxa"/>
            <w:vAlign w:val="top"/>
          </w:tcPr>
          <w:p w14:paraId="5383895B">
            <w:pPr>
              <w:rPr>
                <w:rFonts w:ascii="Arial"/>
                <w:color w:val="auto"/>
                <w:sz w:val="21"/>
                <w:highlight w:val="none"/>
              </w:rPr>
            </w:pPr>
          </w:p>
        </w:tc>
        <w:tc>
          <w:tcPr>
            <w:tcW w:w="615" w:type="dxa"/>
            <w:vAlign w:val="top"/>
          </w:tcPr>
          <w:p w14:paraId="1096DA3E">
            <w:pPr>
              <w:rPr>
                <w:rFonts w:ascii="Arial"/>
                <w:color w:val="auto"/>
                <w:sz w:val="21"/>
                <w:highlight w:val="none"/>
              </w:rPr>
            </w:pPr>
          </w:p>
        </w:tc>
        <w:tc>
          <w:tcPr>
            <w:tcW w:w="614" w:type="dxa"/>
            <w:vAlign w:val="top"/>
          </w:tcPr>
          <w:p w14:paraId="7D9A0A88">
            <w:pPr>
              <w:rPr>
                <w:rFonts w:ascii="Arial"/>
                <w:color w:val="auto"/>
                <w:sz w:val="21"/>
                <w:highlight w:val="none"/>
              </w:rPr>
            </w:pPr>
          </w:p>
        </w:tc>
        <w:tc>
          <w:tcPr>
            <w:tcW w:w="619" w:type="dxa"/>
            <w:vAlign w:val="top"/>
          </w:tcPr>
          <w:p w14:paraId="2236D21F">
            <w:pPr>
              <w:rPr>
                <w:rFonts w:ascii="Arial"/>
                <w:color w:val="auto"/>
                <w:sz w:val="21"/>
                <w:highlight w:val="none"/>
              </w:rPr>
            </w:pPr>
          </w:p>
        </w:tc>
        <w:tc>
          <w:tcPr>
            <w:tcW w:w="614" w:type="dxa"/>
            <w:vAlign w:val="top"/>
          </w:tcPr>
          <w:p w14:paraId="72ACF3B7">
            <w:pPr>
              <w:rPr>
                <w:rFonts w:ascii="Arial"/>
                <w:color w:val="auto"/>
                <w:sz w:val="21"/>
                <w:highlight w:val="none"/>
              </w:rPr>
            </w:pPr>
          </w:p>
        </w:tc>
        <w:tc>
          <w:tcPr>
            <w:tcW w:w="614" w:type="dxa"/>
            <w:vAlign w:val="top"/>
          </w:tcPr>
          <w:p w14:paraId="561C474B">
            <w:pPr>
              <w:rPr>
                <w:rFonts w:ascii="Arial"/>
                <w:color w:val="auto"/>
                <w:sz w:val="21"/>
                <w:highlight w:val="none"/>
              </w:rPr>
            </w:pPr>
          </w:p>
        </w:tc>
        <w:tc>
          <w:tcPr>
            <w:tcW w:w="619" w:type="dxa"/>
            <w:vAlign w:val="top"/>
          </w:tcPr>
          <w:p w14:paraId="61744F44">
            <w:pPr>
              <w:rPr>
                <w:rFonts w:ascii="Arial"/>
                <w:color w:val="auto"/>
                <w:sz w:val="21"/>
                <w:highlight w:val="none"/>
              </w:rPr>
            </w:pPr>
          </w:p>
        </w:tc>
        <w:tc>
          <w:tcPr>
            <w:tcW w:w="615" w:type="dxa"/>
            <w:vAlign w:val="top"/>
          </w:tcPr>
          <w:p w14:paraId="5EDC2BC7">
            <w:pPr>
              <w:rPr>
                <w:rFonts w:ascii="Arial"/>
                <w:color w:val="auto"/>
                <w:sz w:val="21"/>
                <w:highlight w:val="none"/>
              </w:rPr>
            </w:pPr>
          </w:p>
        </w:tc>
        <w:tc>
          <w:tcPr>
            <w:tcW w:w="614" w:type="dxa"/>
            <w:vAlign w:val="top"/>
          </w:tcPr>
          <w:p w14:paraId="51432D6D">
            <w:pPr>
              <w:rPr>
                <w:rFonts w:ascii="Arial"/>
                <w:color w:val="auto"/>
                <w:sz w:val="21"/>
                <w:highlight w:val="none"/>
              </w:rPr>
            </w:pPr>
          </w:p>
        </w:tc>
        <w:tc>
          <w:tcPr>
            <w:tcW w:w="619" w:type="dxa"/>
            <w:vAlign w:val="top"/>
          </w:tcPr>
          <w:p w14:paraId="3EDD9C2D">
            <w:pPr>
              <w:rPr>
                <w:rFonts w:ascii="Arial"/>
                <w:color w:val="auto"/>
                <w:sz w:val="21"/>
                <w:highlight w:val="none"/>
              </w:rPr>
            </w:pPr>
          </w:p>
        </w:tc>
        <w:tc>
          <w:tcPr>
            <w:tcW w:w="791" w:type="dxa"/>
            <w:vAlign w:val="top"/>
          </w:tcPr>
          <w:p w14:paraId="7964F180">
            <w:pPr>
              <w:rPr>
                <w:rFonts w:ascii="Arial"/>
                <w:color w:val="auto"/>
                <w:sz w:val="21"/>
                <w:highlight w:val="none"/>
              </w:rPr>
            </w:pPr>
          </w:p>
        </w:tc>
      </w:tr>
      <w:tr w14:paraId="53BC5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91" w:type="dxa"/>
            <w:vAlign w:val="top"/>
          </w:tcPr>
          <w:p w14:paraId="001DEFC4">
            <w:pPr>
              <w:pStyle w:val="11"/>
              <w:spacing w:before="213" w:line="182" w:lineRule="auto"/>
              <w:ind w:left="303"/>
              <w:rPr>
                <w:color w:val="auto"/>
                <w:highlight w:val="none"/>
              </w:rPr>
            </w:pPr>
            <w:r>
              <w:rPr>
                <w:color w:val="auto"/>
                <w:highlight w:val="none"/>
              </w:rPr>
              <w:t>6</w:t>
            </w:r>
          </w:p>
        </w:tc>
        <w:tc>
          <w:tcPr>
            <w:tcW w:w="1286" w:type="dxa"/>
            <w:vAlign w:val="top"/>
          </w:tcPr>
          <w:p w14:paraId="37F0BCFB">
            <w:pPr>
              <w:rPr>
                <w:rFonts w:ascii="Arial"/>
                <w:color w:val="auto"/>
                <w:sz w:val="21"/>
                <w:highlight w:val="none"/>
              </w:rPr>
            </w:pPr>
          </w:p>
        </w:tc>
        <w:tc>
          <w:tcPr>
            <w:tcW w:w="615" w:type="dxa"/>
            <w:vAlign w:val="top"/>
          </w:tcPr>
          <w:p w14:paraId="0854CF8E">
            <w:pPr>
              <w:rPr>
                <w:rFonts w:ascii="Arial"/>
                <w:color w:val="auto"/>
                <w:sz w:val="21"/>
                <w:highlight w:val="none"/>
              </w:rPr>
            </w:pPr>
          </w:p>
        </w:tc>
        <w:tc>
          <w:tcPr>
            <w:tcW w:w="614" w:type="dxa"/>
            <w:vAlign w:val="top"/>
          </w:tcPr>
          <w:p w14:paraId="4C1028C6">
            <w:pPr>
              <w:rPr>
                <w:rFonts w:ascii="Arial"/>
                <w:color w:val="auto"/>
                <w:sz w:val="21"/>
                <w:highlight w:val="none"/>
              </w:rPr>
            </w:pPr>
          </w:p>
        </w:tc>
        <w:tc>
          <w:tcPr>
            <w:tcW w:w="619" w:type="dxa"/>
            <w:vAlign w:val="top"/>
          </w:tcPr>
          <w:p w14:paraId="7818F97D">
            <w:pPr>
              <w:rPr>
                <w:rFonts w:ascii="Arial"/>
                <w:color w:val="auto"/>
                <w:sz w:val="21"/>
                <w:highlight w:val="none"/>
              </w:rPr>
            </w:pPr>
          </w:p>
        </w:tc>
        <w:tc>
          <w:tcPr>
            <w:tcW w:w="614" w:type="dxa"/>
            <w:vAlign w:val="top"/>
          </w:tcPr>
          <w:p w14:paraId="5218B35C">
            <w:pPr>
              <w:rPr>
                <w:rFonts w:ascii="Arial"/>
                <w:color w:val="auto"/>
                <w:sz w:val="21"/>
                <w:highlight w:val="none"/>
              </w:rPr>
            </w:pPr>
          </w:p>
        </w:tc>
        <w:tc>
          <w:tcPr>
            <w:tcW w:w="614" w:type="dxa"/>
            <w:vAlign w:val="top"/>
          </w:tcPr>
          <w:p w14:paraId="6DD2395A">
            <w:pPr>
              <w:rPr>
                <w:rFonts w:ascii="Arial"/>
                <w:color w:val="auto"/>
                <w:sz w:val="21"/>
                <w:highlight w:val="none"/>
              </w:rPr>
            </w:pPr>
          </w:p>
        </w:tc>
        <w:tc>
          <w:tcPr>
            <w:tcW w:w="619" w:type="dxa"/>
            <w:vAlign w:val="top"/>
          </w:tcPr>
          <w:p w14:paraId="1FDC498A">
            <w:pPr>
              <w:rPr>
                <w:rFonts w:ascii="Arial"/>
                <w:color w:val="auto"/>
                <w:sz w:val="21"/>
                <w:highlight w:val="none"/>
              </w:rPr>
            </w:pPr>
          </w:p>
        </w:tc>
        <w:tc>
          <w:tcPr>
            <w:tcW w:w="615" w:type="dxa"/>
            <w:vAlign w:val="top"/>
          </w:tcPr>
          <w:p w14:paraId="5F01DEB5">
            <w:pPr>
              <w:rPr>
                <w:rFonts w:ascii="Arial"/>
                <w:color w:val="auto"/>
                <w:sz w:val="21"/>
                <w:highlight w:val="none"/>
              </w:rPr>
            </w:pPr>
          </w:p>
        </w:tc>
        <w:tc>
          <w:tcPr>
            <w:tcW w:w="614" w:type="dxa"/>
            <w:vAlign w:val="top"/>
          </w:tcPr>
          <w:p w14:paraId="572C73AB">
            <w:pPr>
              <w:rPr>
                <w:rFonts w:ascii="Arial"/>
                <w:color w:val="auto"/>
                <w:sz w:val="21"/>
                <w:highlight w:val="none"/>
              </w:rPr>
            </w:pPr>
          </w:p>
        </w:tc>
        <w:tc>
          <w:tcPr>
            <w:tcW w:w="619" w:type="dxa"/>
            <w:vAlign w:val="top"/>
          </w:tcPr>
          <w:p w14:paraId="1C65ECC9">
            <w:pPr>
              <w:rPr>
                <w:rFonts w:ascii="Arial"/>
                <w:color w:val="auto"/>
                <w:sz w:val="21"/>
                <w:highlight w:val="none"/>
              </w:rPr>
            </w:pPr>
          </w:p>
        </w:tc>
        <w:tc>
          <w:tcPr>
            <w:tcW w:w="791" w:type="dxa"/>
            <w:vAlign w:val="top"/>
          </w:tcPr>
          <w:p w14:paraId="52FAC0DB">
            <w:pPr>
              <w:rPr>
                <w:rFonts w:ascii="Arial"/>
                <w:color w:val="auto"/>
                <w:sz w:val="21"/>
                <w:highlight w:val="none"/>
              </w:rPr>
            </w:pPr>
          </w:p>
        </w:tc>
      </w:tr>
      <w:tr w14:paraId="1300F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91" w:type="dxa"/>
            <w:vAlign w:val="top"/>
          </w:tcPr>
          <w:p w14:paraId="222B98AE">
            <w:pPr>
              <w:pStyle w:val="11"/>
              <w:spacing w:before="182" w:line="332" w:lineRule="exact"/>
              <w:ind w:left="261"/>
              <w:rPr>
                <w:color w:val="auto"/>
                <w:highlight w:val="none"/>
              </w:rPr>
            </w:pPr>
            <w:r>
              <w:rPr>
                <w:color w:val="auto"/>
                <w:position w:val="2"/>
                <w:highlight w:val="none"/>
              </w:rPr>
              <w:t>…</w:t>
            </w:r>
          </w:p>
        </w:tc>
        <w:tc>
          <w:tcPr>
            <w:tcW w:w="1286" w:type="dxa"/>
            <w:vAlign w:val="top"/>
          </w:tcPr>
          <w:p w14:paraId="75AC94FA">
            <w:pPr>
              <w:rPr>
                <w:rFonts w:ascii="Arial"/>
                <w:color w:val="auto"/>
                <w:sz w:val="21"/>
                <w:highlight w:val="none"/>
              </w:rPr>
            </w:pPr>
          </w:p>
        </w:tc>
        <w:tc>
          <w:tcPr>
            <w:tcW w:w="615" w:type="dxa"/>
            <w:vAlign w:val="top"/>
          </w:tcPr>
          <w:p w14:paraId="662589B2">
            <w:pPr>
              <w:rPr>
                <w:rFonts w:ascii="Arial"/>
                <w:color w:val="auto"/>
                <w:sz w:val="21"/>
                <w:highlight w:val="none"/>
              </w:rPr>
            </w:pPr>
          </w:p>
        </w:tc>
        <w:tc>
          <w:tcPr>
            <w:tcW w:w="614" w:type="dxa"/>
            <w:vAlign w:val="top"/>
          </w:tcPr>
          <w:p w14:paraId="785A2F13">
            <w:pPr>
              <w:rPr>
                <w:rFonts w:ascii="Arial"/>
                <w:color w:val="auto"/>
                <w:sz w:val="21"/>
                <w:highlight w:val="none"/>
              </w:rPr>
            </w:pPr>
          </w:p>
        </w:tc>
        <w:tc>
          <w:tcPr>
            <w:tcW w:w="619" w:type="dxa"/>
            <w:vAlign w:val="top"/>
          </w:tcPr>
          <w:p w14:paraId="52C7427B">
            <w:pPr>
              <w:rPr>
                <w:rFonts w:ascii="Arial"/>
                <w:color w:val="auto"/>
                <w:sz w:val="21"/>
                <w:highlight w:val="none"/>
              </w:rPr>
            </w:pPr>
          </w:p>
        </w:tc>
        <w:tc>
          <w:tcPr>
            <w:tcW w:w="614" w:type="dxa"/>
            <w:vAlign w:val="top"/>
          </w:tcPr>
          <w:p w14:paraId="365604C2">
            <w:pPr>
              <w:rPr>
                <w:rFonts w:ascii="Arial"/>
                <w:color w:val="auto"/>
                <w:sz w:val="21"/>
                <w:highlight w:val="none"/>
              </w:rPr>
            </w:pPr>
          </w:p>
        </w:tc>
        <w:tc>
          <w:tcPr>
            <w:tcW w:w="614" w:type="dxa"/>
            <w:vAlign w:val="top"/>
          </w:tcPr>
          <w:p w14:paraId="45A0F5E1">
            <w:pPr>
              <w:rPr>
                <w:rFonts w:ascii="Arial"/>
                <w:color w:val="auto"/>
                <w:sz w:val="21"/>
                <w:highlight w:val="none"/>
              </w:rPr>
            </w:pPr>
          </w:p>
        </w:tc>
        <w:tc>
          <w:tcPr>
            <w:tcW w:w="619" w:type="dxa"/>
            <w:vAlign w:val="top"/>
          </w:tcPr>
          <w:p w14:paraId="5AD008C3">
            <w:pPr>
              <w:rPr>
                <w:rFonts w:ascii="Arial"/>
                <w:color w:val="auto"/>
                <w:sz w:val="21"/>
                <w:highlight w:val="none"/>
              </w:rPr>
            </w:pPr>
          </w:p>
        </w:tc>
        <w:tc>
          <w:tcPr>
            <w:tcW w:w="615" w:type="dxa"/>
            <w:vAlign w:val="top"/>
          </w:tcPr>
          <w:p w14:paraId="47D6DCE8">
            <w:pPr>
              <w:rPr>
                <w:rFonts w:ascii="Arial"/>
                <w:color w:val="auto"/>
                <w:sz w:val="21"/>
                <w:highlight w:val="none"/>
              </w:rPr>
            </w:pPr>
          </w:p>
        </w:tc>
        <w:tc>
          <w:tcPr>
            <w:tcW w:w="614" w:type="dxa"/>
            <w:vAlign w:val="top"/>
          </w:tcPr>
          <w:p w14:paraId="2DAB377A">
            <w:pPr>
              <w:rPr>
                <w:rFonts w:ascii="Arial"/>
                <w:color w:val="auto"/>
                <w:sz w:val="21"/>
                <w:highlight w:val="none"/>
              </w:rPr>
            </w:pPr>
          </w:p>
        </w:tc>
        <w:tc>
          <w:tcPr>
            <w:tcW w:w="619" w:type="dxa"/>
            <w:vAlign w:val="top"/>
          </w:tcPr>
          <w:p w14:paraId="567382D4">
            <w:pPr>
              <w:rPr>
                <w:rFonts w:ascii="Arial"/>
                <w:color w:val="auto"/>
                <w:sz w:val="21"/>
                <w:highlight w:val="none"/>
              </w:rPr>
            </w:pPr>
          </w:p>
        </w:tc>
        <w:tc>
          <w:tcPr>
            <w:tcW w:w="791" w:type="dxa"/>
            <w:vAlign w:val="top"/>
          </w:tcPr>
          <w:p w14:paraId="3B07870C">
            <w:pPr>
              <w:rPr>
                <w:rFonts w:ascii="Arial"/>
                <w:color w:val="auto"/>
                <w:sz w:val="21"/>
                <w:highlight w:val="none"/>
              </w:rPr>
            </w:pPr>
          </w:p>
        </w:tc>
      </w:tr>
      <w:tr w14:paraId="7E881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4" w:hRule="atLeast"/>
        </w:trPr>
        <w:tc>
          <w:tcPr>
            <w:tcW w:w="8311" w:type="dxa"/>
            <w:gridSpan w:val="12"/>
            <w:vAlign w:val="top"/>
          </w:tcPr>
          <w:p w14:paraId="599B254E">
            <w:pPr>
              <w:pStyle w:val="11"/>
              <w:spacing w:before="288" w:line="220" w:lineRule="auto"/>
              <w:ind w:left="118"/>
              <w:rPr>
                <w:color w:val="auto"/>
                <w:highlight w:val="none"/>
              </w:rPr>
            </w:pPr>
            <w:r>
              <w:rPr>
                <w:color w:val="auto"/>
                <w:spacing w:val="-3"/>
                <w:highlight w:val="none"/>
              </w:rPr>
              <w:t>评标委员会全体成员签名：</w:t>
            </w:r>
          </w:p>
        </w:tc>
      </w:tr>
    </w:tbl>
    <w:p w14:paraId="31A09A46">
      <w:pPr>
        <w:spacing w:before="139" w:line="221" w:lineRule="auto"/>
        <w:ind w:left="5730"/>
        <w:rPr>
          <w:rFonts w:ascii="宋体" w:hAnsi="宋体" w:eastAsia="宋体" w:cs="宋体"/>
          <w:color w:val="auto"/>
          <w:sz w:val="21"/>
          <w:szCs w:val="21"/>
          <w:highlight w:val="none"/>
        </w:rPr>
      </w:pPr>
      <w:r>
        <w:rPr>
          <w:rFonts w:ascii="宋体" w:hAnsi="宋体" w:eastAsia="宋体" w:cs="宋体"/>
          <w:color w:val="auto"/>
          <w:spacing w:val="-19"/>
          <w:sz w:val="21"/>
          <w:szCs w:val="21"/>
          <w:highlight w:val="none"/>
        </w:rPr>
        <w:t>日期：</w:t>
      </w:r>
      <w:r>
        <w:rPr>
          <w:rFonts w:ascii="宋体" w:hAnsi="宋体" w:eastAsia="宋体" w:cs="宋体"/>
          <w:color w:val="auto"/>
          <w:spacing w:val="24"/>
          <w:sz w:val="21"/>
          <w:szCs w:val="21"/>
          <w:highlight w:val="none"/>
        </w:rPr>
        <w:t xml:space="preserve">    </w:t>
      </w:r>
      <w:r>
        <w:rPr>
          <w:rFonts w:ascii="宋体" w:hAnsi="宋体" w:eastAsia="宋体" w:cs="宋体"/>
          <w:color w:val="auto"/>
          <w:spacing w:val="-19"/>
          <w:sz w:val="21"/>
          <w:szCs w:val="21"/>
          <w:highlight w:val="none"/>
        </w:rPr>
        <w:t>年</w:t>
      </w:r>
      <w:r>
        <w:rPr>
          <w:rFonts w:ascii="宋体" w:hAnsi="宋体" w:eastAsia="宋体" w:cs="宋体"/>
          <w:color w:val="auto"/>
          <w:spacing w:val="2"/>
          <w:sz w:val="21"/>
          <w:szCs w:val="21"/>
          <w:highlight w:val="none"/>
        </w:rPr>
        <w:t xml:space="preserve">    </w:t>
      </w:r>
      <w:r>
        <w:rPr>
          <w:rFonts w:ascii="宋体" w:hAnsi="宋体" w:eastAsia="宋体" w:cs="宋体"/>
          <w:color w:val="auto"/>
          <w:spacing w:val="-19"/>
          <w:sz w:val="21"/>
          <w:szCs w:val="21"/>
          <w:highlight w:val="none"/>
        </w:rPr>
        <w:t>月     日</w:t>
      </w:r>
    </w:p>
    <w:p w14:paraId="60412CCE">
      <w:pPr>
        <w:spacing w:line="221" w:lineRule="auto"/>
        <w:rPr>
          <w:rFonts w:ascii="宋体" w:hAnsi="宋体" w:eastAsia="宋体" w:cs="宋体"/>
          <w:color w:val="auto"/>
          <w:sz w:val="21"/>
          <w:szCs w:val="21"/>
          <w:highlight w:val="none"/>
        </w:rPr>
        <w:sectPr>
          <w:footerReference r:id="rId83" w:type="default"/>
          <w:pgSz w:w="11905" w:h="16839"/>
          <w:pgMar w:top="1431" w:right="1785" w:bottom="996" w:left="1785" w:header="0" w:footer="791" w:gutter="0"/>
          <w:pgNumType w:fmt="decimal"/>
          <w:cols w:space="720" w:num="1"/>
        </w:sectPr>
      </w:pPr>
    </w:p>
    <w:p w14:paraId="0D77D62E">
      <w:pPr>
        <w:spacing w:before="124" w:line="219" w:lineRule="auto"/>
        <w:ind w:left="3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w:t>
      </w:r>
      <w:r>
        <w:rPr>
          <w:rFonts w:ascii="黑体" w:hAnsi="黑体" w:eastAsia="黑体" w:cs="黑体"/>
          <w:color w:val="auto"/>
          <w:spacing w:val="-54"/>
          <w:sz w:val="24"/>
          <w:szCs w:val="24"/>
          <w:highlight w:val="none"/>
        </w:rPr>
        <w:t xml:space="preserve"> </w:t>
      </w:r>
      <w:r>
        <w:rPr>
          <w:rFonts w:ascii="Times New Roman" w:hAnsi="Times New Roman" w:eastAsia="Times New Roman" w:cs="Times New Roman"/>
          <w:color w:val="auto"/>
          <w:spacing w:val="-3"/>
          <w:sz w:val="24"/>
          <w:szCs w:val="24"/>
          <w:highlight w:val="none"/>
        </w:rPr>
        <w:t>A-5</w:t>
      </w:r>
      <w:r>
        <w:rPr>
          <w:rFonts w:ascii="黑体" w:hAnsi="黑体" w:eastAsia="黑体" w:cs="黑体"/>
          <w:color w:val="auto"/>
          <w:spacing w:val="-3"/>
          <w:sz w:val="24"/>
          <w:szCs w:val="24"/>
          <w:highlight w:val="none"/>
        </w:rPr>
        <w:t>：资格评审记录表</w:t>
      </w:r>
    </w:p>
    <w:p w14:paraId="2A1EDA93">
      <w:pPr>
        <w:pStyle w:val="3"/>
        <w:spacing w:line="317" w:lineRule="auto"/>
        <w:rPr>
          <w:color w:val="auto"/>
          <w:highlight w:val="none"/>
        </w:rPr>
      </w:pPr>
    </w:p>
    <w:p w14:paraId="0ED17C90">
      <w:pPr>
        <w:pStyle w:val="3"/>
        <w:spacing w:line="317" w:lineRule="auto"/>
        <w:rPr>
          <w:color w:val="auto"/>
          <w:highlight w:val="none"/>
        </w:rPr>
      </w:pPr>
    </w:p>
    <w:p w14:paraId="161FDD0A">
      <w:pPr>
        <w:spacing w:before="117" w:line="219" w:lineRule="auto"/>
        <w:ind w:left="2932"/>
        <w:rPr>
          <w:rFonts w:ascii="黑体" w:hAnsi="黑体" w:eastAsia="黑体" w:cs="黑体"/>
          <w:color w:val="auto"/>
          <w:sz w:val="36"/>
          <w:szCs w:val="36"/>
          <w:highlight w:val="none"/>
        </w:rPr>
      </w:pPr>
      <w:bookmarkStart w:id="193" w:name="bookmark221"/>
      <w:bookmarkEnd w:id="193"/>
      <w:r>
        <w:rPr>
          <w:rFonts w:ascii="黑体" w:hAnsi="黑体" w:eastAsia="黑体" w:cs="黑体"/>
          <w:color w:val="auto"/>
          <w:spacing w:val="-4"/>
          <w:sz w:val="36"/>
          <w:szCs w:val="36"/>
          <w:highlight w:val="none"/>
        </w:rPr>
        <w:t>资格评审记录表</w:t>
      </w:r>
    </w:p>
    <w:p w14:paraId="054C3A8D">
      <w:pPr>
        <w:spacing w:before="234" w:line="221" w:lineRule="auto"/>
        <w:ind w:left="19"/>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标段名称：</w:t>
      </w:r>
    </w:p>
    <w:p w14:paraId="225AAB18">
      <w:pPr>
        <w:spacing w:before="22" w:line="214" w:lineRule="auto"/>
        <w:ind w:left="1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标段唯一标识码：</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9"/>
        <w:gridCol w:w="1348"/>
        <w:gridCol w:w="615"/>
        <w:gridCol w:w="614"/>
        <w:gridCol w:w="619"/>
        <w:gridCol w:w="614"/>
        <w:gridCol w:w="614"/>
        <w:gridCol w:w="619"/>
        <w:gridCol w:w="615"/>
        <w:gridCol w:w="614"/>
        <w:gridCol w:w="619"/>
        <w:gridCol w:w="791"/>
      </w:tblGrid>
      <w:tr w14:paraId="47B11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29" w:type="dxa"/>
            <w:vMerge w:val="restart"/>
            <w:tcBorders>
              <w:bottom w:val="nil"/>
            </w:tcBorders>
            <w:textDirection w:val="tbRlV"/>
            <w:vAlign w:val="top"/>
          </w:tcPr>
          <w:p w14:paraId="0D5D6CFE">
            <w:pPr>
              <w:pStyle w:val="11"/>
              <w:spacing w:before="205" w:line="211" w:lineRule="auto"/>
              <w:ind w:left="183"/>
              <w:rPr>
                <w:color w:val="auto"/>
                <w:highlight w:val="none"/>
              </w:rPr>
            </w:pPr>
            <w:r>
              <w:rPr>
                <w:color w:val="auto"/>
                <w:spacing w:val="1"/>
                <w:highlight w:val="none"/>
                <w14:textOutline w14:w="3831" w14:cap="flat" w14:cmpd="sng">
                  <w14:solidFill>
                    <w14:srgbClr w14:val="000000"/>
                  </w14:solidFill>
                  <w14:prstDash w14:val="solid"/>
                  <w14:miter w14:val="0"/>
                </w14:textOutline>
              </w:rPr>
              <w:t>序</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号</w:t>
            </w:r>
          </w:p>
        </w:tc>
        <w:tc>
          <w:tcPr>
            <w:tcW w:w="1348" w:type="dxa"/>
            <w:vMerge w:val="restart"/>
            <w:tcBorders>
              <w:bottom w:val="nil"/>
            </w:tcBorders>
            <w:vAlign w:val="top"/>
          </w:tcPr>
          <w:p w14:paraId="15D4AE46">
            <w:pPr>
              <w:spacing w:line="252" w:lineRule="auto"/>
              <w:rPr>
                <w:rFonts w:ascii="Arial"/>
                <w:color w:val="auto"/>
                <w:sz w:val="21"/>
                <w:highlight w:val="none"/>
              </w:rPr>
            </w:pPr>
          </w:p>
          <w:p w14:paraId="7D04B728">
            <w:pPr>
              <w:pStyle w:val="11"/>
              <w:spacing w:before="69" w:line="221" w:lineRule="auto"/>
              <w:ind w:left="154"/>
              <w:rPr>
                <w:color w:val="auto"/>
                <w:highlight w:val="none"/>
              </w:rPr>
            </w:pPr>
            <w:r>
              <w:rPr>
                <w:color w:val="auto"/>
                <w:spacing w:val="-1"/>
                <w:highlight w:val="none"/>
                <w14:textOutline w14:w="3831" w14:cap="flat" w14:cmpd="sng">
                  <w14:solidFill>
                    <w14:srgbClr w14:val="000000"/>
                  </w14:solidFill>
                  <w14:prstDash w14:val="solid"/>
                  <w14:miter w14:val="0"/>
                </w14:textOutline>
              </w:rPr>
              <w:t>投标人名称</w:t>
            </w:r>
          </w:p>
        </w:tc>
        <w:tc>
          <w:tcPr>
            <w:tcW w:w="5543" w:type="dxa"/>
            <w:gridSpan w:val="9"/>
            <w:vAlign w:val="top"/>
          </w:tcPr>
          <w:p w14:paraId="7C8E8BC3">
            <w:pPr>
              <w:pStyle w:val="11"/>
              <w:spacing w:before="105" w:line="221" w:lineRule="auto"/>
              <w:ind w:left="1828"/>
              <w:rPr>
                <w:color w:val="auto"/>
                <w:highlight w:val="none"/>
              </w:rPr>
            </w:pPr>
            <w:r>
              <w:rPr>
                <w:color w:val="auto"/>
                <w:highlight w:val="none"/>
                <w14:textOutline w14:w="3831" w14:cap="flat" w14:cmpd="sng">
                  <w14:solidFill>
                    <w14:srgbClr w14:val="000000"/>
                  </w14:solidFill>
                  <w14:prstDash w14:val="solid"/>
                  <w14:miter w14:val="0"/>
                </w14:textOutline>
              </w:rPr>
              <w:t>评审标准及评审意见</w:t>
            </w:r>
          </w:p>
        </w:tc>
        <w:tc>
          <w:tcPr>
            <w:tcW w:w="791" w:type="dxa"/>
            <w:vMerge w:val="restart"/>
            <w:tcBorders>
              <w:bottom w:val="nil"/>
            </w:tcBorders>
            <w:vAlign w:val="top"/>
          </w:tcPr>
          <w:p w14:paraId="1D135669">
            <w:pPr>
              <w:pStyle w:val="11"/>
              <w:spacing w:before="183" w:line="241" w:lineRule="auto"/>
              <w:ind w:left="189"/>
              <w:rPr>
                <w:color w:val="auto"/>
                <w:highlight w:val="none"/>
              </w:rPr>
            </w:pPr>
            <w:r>
              <w:rPr>
                <w:color w:val="auto"/>
                <w:spacing w:val="-2"/>
                <w:highlight w:val="none"/>
                <w14:textOutline w14:w="3831" w14:cap="flat" w14:cmpd="sng">
                  <w14:solidFill>
                    <w14:srgbClr w14:val="000000"/>
                  </w14:solidFill>
                  <w14:prstDash w14:val="solid"/>
                  <w14:miter w14:val="0"/>
                </w14:textOutline>
              </w:rPr>
              <w:t>评审</w:t>
            </w:r>
          </w:p>
          <w:p w14:paraId="24A2EE22">
            <w:pPr>
              <w:pStyle w:val="11"/>
              <w:spacing w:line="222" w:lineRule="auto"/>
              <w:ind w:left="195"/>
              <w:rPr>
                <w:color w:val="auto"/>
                <w:highlight w:val="none"/>
              </w:rPr>
            </w:pPr>
            <w:r>
              <w:rPr>
                <w:color w:val="auto"/>
                <w:spacing w:val="-3"/>
                <w:highlight w:val="none"/>
                <w14:textOutline w14:w="3831" w14:cap="flat" w14:cmpd="sng">
                  <w14:solidFill>
                    <w14:srgbClr w14:val="000000"/>
                  </w14:solidFill>
                  <w14:prstDash w14:val="solid"/>
                  <w14:miter w14:val="0"/>
                </w14:textOutline>
              </w:rPr>
              <w:t>结论</w:t>
            </w:r>
          </w:p>
        </w:tc>
      </w:tr>
      <w:tr w14:paraId="367B3D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29" w:type="dxa"/>
            <w:vMerge w:val="continue"/>
            <w:tcBorders>
              <w:top w:val="nil"/>
            </w:tcBorders>
            <w:textDirection w:val="tbRlV"/>
            <w:vAlign w:val="top"/>
          </w:tcPr>
          <w:p w14:paraId="35645841">
            <w:pPr>
              <w:rPr>
                <w:rFonts w:ascii="Arial"/>
                <w:color w:val="auto"/>
                <w:sz w:val="21"/>
                <w:highlight w:val="none"/>
              </w:rPr>
            </w:pPr>
          </w:p>
        </w:tc>
        <w:tc>
          <w:tcPr>
            <w:tcW w:w="1348" w:type="dxa"/>
            <w:vMerge w:val="continue"/>
            <w:tcBorders>
              <w:top w:val="nil"/>
            </w:tcBorders>
            <w:vAlign w:val="top"/>
          </w:tcPr>
          <w:p w14:paraId="4F68D0A9">
            <w:pPr>
              <w:rPr>
                <w:rFonts w:ascii="Arial"/>
                <w:color w:val="auto"/>
                <w:sz w:val="21"/>
                <w:highlight w:val="none"/>
              </w:rPr>
            </w:pPr>
          </w:p>
        </w:tc>
        <w:tc>
          <w:tcPr>
            <w:tcW w:w="615" w:type="dxa"/>
            <w:vAlign w:val="top"/>
          </w:tcPr>
          <w:p w14:paraId="08E84ED1">
            <w:pPr>
              <w:rPr>
                <w:rFonts w:ascii="Arial"/>
                <w:color w:val="auto"/>
                <w:sz w:val="21"/>
                <w:highlight w:val="none"/>
              </w:rPr>
            </w:pPr>
          </w:p>
        </w:tc>
        <w:tc>
          <w:tcPr>
            <w:tcW w:w="614" w:type="dxa"/>
            <w:vAlign w:val="top"/>
          </w:tcPr>
          <w:p w14:paraId="3801FB38">
            <w:pPr>
              <w:rPr>
                <w:rFonts w:ascii="Arial"/>
                <w:color w:val="auto"/>
                <w:sz w:val="21"/>
                <w:highlight w:val="none"/>
              </w:rPr>
            </w:pPr>
          </w:p>
        </w:tc>
        <w:tc>
          <w:tcPr>
            <w:tcW w:w="619" w:type="dxa"/>
            <w:vAlign w:val="top"/>
          </w:tcPr>
          <w:p w14:paraId="00A44EA8">
            <w:pPr>
              <w:rPr>
                <w:rFonts w:ascii="Arial"/>
                <w:color w:val="auto"/>
                <w:sz w:val="21"/>
                <w:highlight w:val="none"/>
              </w:rPr>
            </w:pPr>
          </w:p>
        </w:tc>
        <w:tc>
          <w:tcPr>
            <w:tcW w:w="614" w:type="dxa"/>
            <w:vAlign w:val="top"/>
          </w:tcPr>
          <w:p w14:paraId="499B54F5">
            <w:pPr>
              <w:rPr>
                <w:rFonts w:ascii="Arial"/>
                <w:color w:val="auto"/>
                <w:sz w:val="21"/>
                <w:highlight w:val="none"/>
              </w:rPr>
            </w:pPr>
          </w:p>
        </w:tc>
        <w:tc>
          <w:tcPr>
            <w:tcW w:w="614" w:type="dxa"/>
            <w:vAlign w:val="top"/>
          </w:tcPr>
          <w:p w14:paraId="1C2C1E84">
            <w:pPr>
              <w:rPr>
                <w:rFonts w:ascii="Arial"/>
                <w:color w:val="auto"/>
                <w:sz w:val="21"/>
                <w:highlight w:val="none"/>
              </w:rPr>
            </w:pPr>
          </w:p>
        </w:tc>
        <w:tc>
          <w:tcPr>
            <w:tcW w:w="619" w:type="dxa"/>
            <w:vAlign w:val="top"/>
          </w:tcPr>
          <w:p w14:paraId="6D60E69B">
            <w:pPr>
              <w:rPr>
                <w:rFonts w:ascii="Arial"/>
                <w:color w:val="auto"/>
                <w:sz w:val="21"/>
                <w:highlight w:val="none"/>
              </w:rPr>
            </w:pPr>
          </w:p>
        </w:tc>
        <w:tc>
          <w:tcPr>
            <w:tcW w:w="615" w:type="dxa"/>
            <w:vAlign w:val="top"/>
          </w:tcPr>
          <w:p w14:paraId="0532E522">
            <w:pPr>
              <w:rPr>
                <w:rFonts w:ascii="Arial"/>
                <w:color w:val="auto"/>
                <w:sz w:val="21"/>
                <w:highlight w:val="none"/>
              </w:rPr>
            </w:pPr>
          </w:p>
        </w:tc>
        <w:tc>
          <w:tcPr>
            <w:tcW w:w="614" w:type="dxa"/>
            <w:vAlign w:val="top"/>
          </w:tcPr>
          <w:p w14:paraId="0CD53F6E">
            <w:pPr>
              <w:rPr>
                <w:rFonts w:ascii="Arial"/>
                <w:color w:val="auto"/>
                <w:sz w:val="21"/>
                <w:highlight w:val="none"/>
              </w:rPr>
            </w:pPr>
          </w:p>
        </w:tc>
        <w:tc>
          <w:tcPr>
            <w:tcW w:w="619" w:type="dxa"/>
            <w:vAlign w:val="top"/>
          </w:tcPr>
          <w:p w14:paraId="1943BBA0">
            <w:pPr>
              <w:rPr>
                <w:rFonts w:ascii="Arial"/>
                <w:color w:val="auto"/>
                <w:sz w:val="21"/>
                <w:highlight w:val="none"/>
              </w:rPr>
            </w:pPr>
          </w:p>
        </w:tc>
        <w:tc>
          <w:tcPr>
            <w:tcW w:w="791" w:type="dxa"/>
            <w:vMerge w:val="continue"/>
            <w:tcBorders>
              <w:top w:val="nil"/>
            </w:tcBorders>
            <w:vAlign w:val="top"/>
          </w:tcPr>
          <w:p w14:paraId="60189D2F">
            <w:pPr>
              <w:rPr>
                <w:rFonts w:ascii="Arial"/>
                <w:color w:val="auto"/>
                <w:sz w:val="21"/>
                <w:highlight w:val="none"/>
              </w:rPr>
            </w:pPr>
          </w:p>
        </w:tc>
      </w:tr>
      <w:tr w14:paraId="2F7E4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0" w:hRule="atLeast"/>
        </w:trPr>
        <w:tc>
          <w:tcPr>
            <w:tcW w:w="629" w:type="dxa"/>
            <w:vAlign w:val="top"/>
          </w:tcPr>
          <w:p w14:paraId="1F8A78E7">
            <w:pPr>
              <w:pStyle w:val="11"/>
              <w:spacing w:before="208" w:line="183" w:lineRule="auto"/>
              <w:ind w:left="283"/>
              <w:rPr>
                <w:color w:val="auto"/>
                <w:highlight w:val="none"/>
              </w:rPr>
            </w:pPr>
            <w:r>
              <w:rPr>
                <w:color w:val="auto"/>
                <w:highlight w:val="none"/>
              </w:rPr>
              <w:t>1</w:t>
            </w:r>
          </w:p>
        </w:tc>
        <w:tc>
          <w:tcPr>
            <w:tcW w:w="1348" w:type="dxa"/>
            <w:vAlign w:val="top"/>
          </w:tcPr>
          <w:p w14:paraId="118F5D21">
            <w:pPr>
              <w:rPr>
                <w:rFonts w:ascii="Arial"/>
                <w:color w:val="auto"/>
                <w:sz w:val="21"/>
                <w:highlight w:val="none"/>
              </w:rPr>
            </w:pPr>
          </w:p>
        </w:tc>
        <w:tc>
          <w:tcPr>
            <w:tcW w:w="615" w:type="dxa"/>
            <w:vAlign w:val="top"/>
          </w:tcPr>
          <w:p w14:paraId="24B2F433">
            <w:pPr>
              <w:rPr>
                <w:rFonts w:ascii="Arial"/>
                <w:color w:val="auto"/>
                <w:sz w:val="21"/>
                <w:highlight w:val="none"/>
              </w:rPr>
            </w:pPr>
          </w:p>
        </w:tc>
        <w:tc>
          <w:tcPr>
            <w:tcW w:w="614" w:type="dxa"/>
            <w:vAlign w:val="top"/>
          </w:tcPr>
          <w:p w14:paraId="3CD30A9E">
            <w:pPr>
              <w:rPr>
                <w:rFonts w:ascii="Arial"/>
                <w:color w:val="auto"/>
                <w:sz w:val="21"/>
                <w:highlight w:val="none"/>
              </w:rPr>
            </w:pPr>
          </w:p>
        </w:tc>
        <w:tc>
          <w:tcPr>
            <w:tcW w:w="619" w:type="dxa"/>
            <w:vAlign w:val="top"/>
          </w:tcPr>
          <w:p w14:paraId="26DAF3C5">
            <w:pPr>
              <w:rPr>
                <w:rFonts w:ascii="Arial"/>
                <w:color w:val="auto"/>
                <w:sz w:val="21"/>
                <w:highlight w:val="none"/>
              </w:rPr>
            </w:pPr>
          </w:p>
        </w:tc>
        <w:tc>
          <w:tcPr>
            <w:tcW w:w="614" w:type="dxa"/>
            <w:vAlign w:val="top"/>
          </w:tcPr>
          <w:p w14:paraId="5035910D">
            <w:pPr>
              <w:rPr>
                <w:rFonts w:ascii="Arial"/>
                <w:color w:val="auto"/>
                <w:sz w:val="21"/>
                <w:highlight w:val="none"/>
              </w:rPr>
            </w:pPr>
          </w:p>
        </w:tc>
        <w:tc>
          <w:tcPr>
            <w:tcW w:w="614" w:type="dxa"/>
            <w:vAlign w:val="top"/>
          </w:tcPr>
          <w:p w14:paraId="35A689F9">
            <w:pPr>
              <w:rPr>
                <w:rFonts w:ascii="Arial"/>
                <w:color w:val="auto"/>
                <w:sz w:val="21"/>
                <w:highlight w:val="none"/>
              </w:rPr>
            </w:pPr>
          </w:p>
        </w:tc>
        <w:tc>
          <w:tcPr>
            <w:tcW w:w="619" w:type="dxa"/>
            <w:vAlign w:val="top"/>
          </w:tcPr>
          <w:p w14:paraId="1A1C8849">
            <w:pPr>
              <w:rPr>
                <w:rFonts w:ascii="Arial"/>
                <w:color w:val="auto"/>
                <w:sz w:val="21"/>
                <w:highlight w:val="none"/>
              </w:rPr>
            </w:pPr>
          </w:p>
        </w:tc>
        <w:tc>
          <w:tcPr>
            <w:tcW w:w="615" w:type="dxa"/>
            <w:vAlign w:val="top"/>
          </w:tcPr>
          <w:p w14:paraId="0E715F3A">
            <w:pPr>
              <w:rPr>
                <w:rFonts w:ascii="Arial"/>
                <w:color w:val="auto"/>
                <w:sz w:val="21"/>
                <w:highlight w:val="none"/>
              </w:rPr>
            </w:pPr>
          </w:p>
        </w:tc>
        <w:tc>
          <w:tcPr>
            <w:tcW w:w="614" w:type="dxa"/>
            <w:vAlign w:val="top"/>
          </w:tcPr>
          <w:p w14:paraId="07D7BA08">
            <w:pPr>
              <w:rPr>
                <w:rFonts w:ascii="Arial"/>
                <w:color w:val="auto"/>
                <w:sz w:val="21"/>
                <w:highlight w:val="none"/>
              </w:rPr>
            </w:pPr>
          </w:p>
        </w:tc>
        <w:tc>
          <w:tcPr>
            <w:tcW w:w="619" w:type="dxa"/>
            <w:vAlign w:val="top"/>
          </w:tcPr>
          <w:p w14:paraId="0382E353">
            <w:pPr>
              <w:rPr>
                <w:rFonts w:ascii="Arial"/>
                <w:color w:val="auto"/>
                <w:sz w:val="21"/>
                <w:highlight w:val="none"/>
              </w:rPr>
            </w:pPr>
          </w:p>
        </w:tc>
        <w:tc>
          <w:tcPr>
            <w:tcW w:w="791" w:type="dxa"/>
            <w:vAlign w:val="top"/>
          </w:tcPr>
          <w:p w14:paraId="0457B7F2">
            <w:pPr>
              <w:rPr>
                <w:rFonts w:ascii="Arial"/>
                <w:color w:val="auto"/>
                <w:sz w:val="21"/>
                <w:highlight w:val="none"/>
              </w:rPr>
            </w:pPr>
          </w:p>
        </w:tc>
      </w:tr>
      <w:tr w14:paraId="747A6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29" w:type="dxa"/>
            <w:vAlign w:val="top"/>
          </w:tcPr>
          <w:p w14:paraId="01C42531">
            <w:pPr>
              <w:pStyle w:val="11"/>
              <w:spacing w:before="215" w:line="182" w:lineRule="auto"/>
              <w:ind w:left="270"/>
              <w:rPr>
                <w:color w:val="auto"/>
                <w:highlight w:val="none"/>
              </w:rPr>
            </w:pPr>
            <w:r>
              <w:rPr>
                <w:color w:val="auto"/>
                <w:highlight w:val="none"/>
              </w:rPr>
              <w:t>2</w:t>
            </w:r>
          </w:p>
        </w:tc>
        <w:tc>
          <w:tcPr>
            <w:tcW w:w="1348" w:type="dxa"/>
            <w:vAlign w:val="top"/>
          </w:tcPr>
          <w:p w14:paraId="68147FC6">
            <w:pPr>
              <w:rPr>
                <w:rFonts w:ascii="Arial"/>
                <w:color w:val="auto"/>
                <w:sz w:val="21"/>
                <w:highlight w:val="none"/>
              </w:rPr>
            </w:pPr>
          </w:p>
        </w:tc>
        <w:tc>
          <w:tcPr>
            <w:tcW w:w="615" w:type="dxa"/>
            <w:vAlign w:val="top"/>
          </w:tcPr>
          <w:p w14:paraId="2C43CF9A">
            <w:pPr>
              <w:rPr>
                <w:rFonts w:ascii="Arial"/>
                <w:color w:val="auto"/>
                <w:sz w:val="21"/>
                <w:highlight w:val="none"/>
              </w:rPr>
            </w:pPr>
          </w:p>
        </w:tc>
        <w:tc>
          <w:tcPr>
            <w:tcW w:w="614" w:type="dxa"/>
            <w:vAlign w:val="top"/>
          </w:tcPr>
          <w:p w14:paraId="78E40363">
            <w:pPr>
              <w:rPr>
                <w:rFonts w:ascii="Arial"/>
                <w:color w:val="auto"/>
                <w:sz w:val="21"/>
                <w:highlight w:val="none"/>
              </w:rPr>
            </w:pPr>
          </w:p>
        </w:tc>
        <w:tc>
          <w:tcPr>
            <w:tcW w:w="619" w:type="dxa"/>
            <w:vAlign w:val="top"/>
          </w:tcPr>
          <w:p w14:paraId="2F611917">
            <w:pPr>
              <w:rPr>
                <w:rFonts w:ascii="Arial"/>
                <w:color w:val="auto"/>
                <w:sz w:val="21"/>
                <w:highlight w:val="none"/>
              </w:rPr>
            </w:pPr>
          </w:p>
        </w:tc>
        <w:tc>
          <w:tcPr>
            <w:tcW w:w="614" w:type="dxa"/>
            <w:vAlign w:val="top"/>
          </w:tcPr>
          <w:p w14:paraId="797AB092">
            <w:pPr>
              <w:rPr>
                <w:rFonts w:ascii="Arial"/>
                <w:color w:val="auto"/>
                <w:sz w:val="21"/>
                <w:highlight w:val="none"/>
              </w:rPr>
            </w:pPr>
          </w:p>
        </w:tc>
        <w:tc>
          <w:tcPr>
            <w:tcW w:w="614" w:type="dxa"/>
            <w:vAlign w:val="top"/>
          </w:tcPr>
          <w:p w14:paraId="4E496FDB">
            <w:pPr>
              <w:rPr>
                <w:rFonts w:ascii="Arial"/>
                <w:color w:val="auto"/>
                <w:sz w:val="21"/>
                <w:highlight w:val="none"/>
              </w:rPr>
            </w:pPr>
          </w:p>
        </w:tc>
        <w:tc>
          <w:tcPr>
            <w:tcW w:w="619" w:type="dxa"/>
            <w:vAlign w:val="top"/>
          </w:tcPr>
          <w:p w14:paraId="515C2EF3">
            <w:pPr>
              <w:rPr>
                <w:rFonts w:ascii="Arial"/>
                <w:color w:val="auto"/>
                <w:sz w:val="21"/>
                <w:highlight w:val="none"/>
              </w:rPr>
            </w:pPr>
          </w:p>
        </w:tc>
        <w:tc>
          <w:tcPr>
            <w:tcW w:w="615" w:type="dxa"/>
            <w:vAlign w:val="top"/>
          </w:tcPr>
          <w:p w14:paraId="24D32C91">
            <w:pPr>
              <w:rPr>
                <w:rFonts w:ascii="Arial"/>
                <w:color w:val="auto"/>
                <w:sz w:val="21"/>
                <w:highlight w:val="none"/>
              </w:rPr>
            </w:pPr>
          </w:p>
        </w:tc>
        <w:tc>
          <w:tcPr>
            <w:tcW w:w="614" w:type="dxa"/>
            <w:vAlign w:val="top"/>
          </w:tcPr>
          <w:p w14:paraId="7CC7F417">
            <w:pPr>
              <w:rPr>
                <w:rFonts w:ascii="Arial"/>
                <w:color w:val="auto"/>
                <w:sz w:val="21"/>
                <w:highlight w:val="none"/>
              </w:rPr>
            </w:pPr>
          </w:p>
        </w:tc>
        <w:tc>
          <w:tcPr>
            <w:tcW w:w="619" w:type="dxa"/>
            <w:vAlign w:val="top"/>
          </w:tcPr>
          <w:p w14:paraId="55EFF13E">
            <w:pPr>
              <w:rPr>
                <w:rFonts w:ascii="Arial"/>
                <w:color w:val="auto"/>
                <w:sz w:val="21"/>
                <w:highlight w:val="none"/>
              </w:rPr>
            </w:pPr>
          </w:p>
        </w:tc>
        <w:tc>
          <w:tcPr>
            <w:tcW w:w="791" w:type="dxa"/>
            <w:vAlign w:val="top"/>
          </w:tcPr>
          <w:p w14:paraId="1A5D697E">
            <w:pPr>
              <w:rPr>
                <w:rFonts w:ascii="Arial"/>
                <w:color w:val="auto"/>
                <w:sz w:val="21"/>
                <w:highlight w:val="none"/>
              </w:rPr>
            </w:pPr>
          </w:p>
        </w:tc>
      </w:tr>
      <w:tr w14:paraId="7AC21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629" w:type="dxa"/>
            <w:vAlign w:val="top"/>
          </w:tcPr>
          <w:p w14:paraId="31D10A76">
            <w:pPr>
              <w:pStyle w:val="11"/>
              <w:spacing w:before="215" w:line="182" w:lineRule="auto"/>
              <w:ind w:left="271"/>
              <w:rPr>
                <w:color w:val="auto"/>
                <w:highlight w:val="none"/>
              </w:rPr>
            </w:pPr>
            <w:r>
              <w:rPr>
                <w:color w:val="auto"/>
                <w:highlight w:val="none"/>
              </w:rPr>
              <w:t>3</w:t>
            </w:r>
          </w:p>
        </w:tc>
        <w:tc>
          <w:tcPr>
            <w:tcW w:w="1348" w:type="dxa"/>
            <w:vAlign w:val="top"/>
          </w:tcPr>
          <w:p w14:paraId="117323E4">
            <w:pPr>
              <w:rPr>
                <w:rFonts w:ascii="Arial"/>
                <w:color w:val="auto"/>
                <w:sz w:val="21"/>
                <w:highlight w:val="none"/>
              </w:rPr>
            </w:pPr>
          </w:p>
        </w:tc>
        <w:tc>
          <w:tcPr>
            <w:tcW w:w="615" w:type="dxa"/>
            <w:vAlign w:val="top"/>
          </w:tcPr>
          <w:p w14:paraId="741BAF1D">
            <w:pPr>
              <w:rPr>
                <w:rFonts w:ascii="Arial"/>
                <w:color w:val="auto"/>
                <w:sz w:val="21"/>
                <w:highlight w:val="none"/>
              </w:rPr>
            </w:pPr>
          </w:p>
        </w:tc>
        <w:tc>
          <w:tcPr>
            <w:tcW w:w="614" w:type="dxa"/>
            <w:vAlign w:val="top"/>
          </w:tcPr>
          <w:p w14:paraId="26152B73">
            <w:pPr>
              <w:rPr>
                <w:rFonts w:ascii="Arial"/>
                <w:color w:val="auto"/>
                <w:sz w:val="21"/>
                <w:highlight w:val="none"/>
              </w:rPr>
            </w:pPr>
          </w:p>
        </w:tc>
        <w:tc>
          <w:tcPr>
            <w:tcW w:w="619" w:type="dxa"/>
            <w:vAlign w:val="top"/>
          </w:tcPr>
          <w:p w14:paraId="23DB1A02">
            <w:pPr>
              <w:rPr>
                <w:rFonts w:ascii="Arial"/>
                <w:color w:val="auto"/>
                <w:sz w:val="21"/>
                <w:highlight w:val="none"/>
              </w:rPr>
            </w:pPr>
          </w:p>
        </w:tc>
        <w:tc>
          <w:tcPr>
            <w:tcW w:w="614" w:type="dxa"/>
            <w:vAlign w:val="top"/>
          </w:tcPr>
          <w:p w14:paraId="082FDD94">
            <w:pPr>
              <w:rPr>
                <w:rFonts w:ascii="Arial"/>
                <w:color w:val="auto"/>
                <w:sz w:val="21"/>
                <w:highlight w:val="none"/>
              </w:rPr>
            </w:pPr>
          </w:p>
        </w:tc>
        <w:tc>
          <w:tcPr>
            <w:tcW w:w="614" w:type="dxa"/>
            <w:vAlign w:val="top"/>
          </w:tcPr>
          <w:p w14:paraId="3BF4F481">
            <w:pPr>
              <w:rPr>
                <w:rFonts w:ascii="Arial"/>
                <w:color w:val="auto"/>
                <w:sz w:val="21"/>
                <w:highlight w:val="none"/>
              </w:rPr>
            </w:pPr>
          </w:p>
        </w:tc>
        <w:tc>
          <w:tcPr>
            <w:tcW w:w="619" w:type="dxa"/>
            <w:vAlign w:val="top"/>
          </w:tcPr>
          <w:p w14:paraId="2EFF484D">
            <w:pPr>
              <w:rPr>
                <w:rFonts w:ascii="Arial"/>
                <w:color w:val="auto"/>
                <w:sz w:val="21"/>
                <w:highlight w:val="none"/>
              </w:rPr>
            </w:pPr>
          </w:p>
        </w:tc>
        <w:tc>
          <w:tcPr>
            <w:tcW w:w="615" w:type="dxa"/>
            <w:vAlign w:val="top"/>
          </w:tcPr>
          <w:p w14:paraId="64C7EF8F">
            <w:pPr>
              <w:rPr>
                <w:rFonts w:ascii="Arial"/>
                <w:color w:val="auto"/>
                <w:sz w:val="21"/>
                <w:highlight w:val="none"/>
              </w:rPr>
            </w:pPr>
          </w:p>
        </w:tc>
        <w:tc>
          <w:tcPr>
            <w:tcW w:w="614" w:type="dxa"/>
            <w:vAlign w:val="top"/>
          </w:tcPr>
          <w:p w14:paraId="44CA93DE">
            <w:pPr>
              <w:rPr>
                <w:rFonts w:ascii="Arial"/>
                <w:color w:val="auto"/>
                <w:sz w:val="21"/>
                <w:highlight w:val="none"/>
              </w:rPr>
            </w:pPr>
          </w:p>
        </w:tc>
        <w:tc>
          <w:tcPr>
            <w:tcW w:w="619" w:type="dxa"/>
            <w:vAlign w:val="top"/>
          </w:tcPr>
          <w:p w14:paraId="1BDF62E4">
            <w:pPr>
              <w:rPr>
                <w:rFonts w:ascii="Arial"/>
                <w:color w:val="auto"/>
                <w:sz w:val="21"/>
                <w:highlight w:val="none"/>
              </w:rPr>
            </w:pPr>
          </w:p>
        </w:tc>
        <w:tc>
          <w:tcPr>
            <w:tcW w:w="791" w:type="dxa"/>
            <w:vAlign w:val="top"/>
          </w:tcPr>
          <w:p w14:paraId="0B9DEBAE">
            <w:pPr>
              <w:rPr>
                <w:rFonts w:ascii="Arial"/>
                <w:color w:val="auto"/>
                <w:sz w:val="21"/>
                <w:highlight w:val="none"/>
              </w:rPr>
            </w:pPr>
          </w:p>
        </w:tc>
      </w:tr>
      <w:tr w14:paraId="59987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29" w:type="dxa"/>
            <w:vAlign w:val="top"/>
          </w:tcPr>
          <w:p w14:paraId="19EC35EC">
            <w:pPr>
              <w:pStyle w:val="11"/>
              <w:spacing w:before="210" w:line="182" w:lineRule="auto"/>
              <w:ind w:left="266"/>
              <w:rPr>
                <w:color w:val="auto"/>
                <w:highlight w:val="none"/>
              </w:rPr>
            </w:pPr>
            <w:r>
              <w:rPr>
                <w:color w:val="auto"/>
                <w:highlight w:val="none"/>
              </w:rPr>
              <w:t>4</w:t>
            </w:r>
          </w:p>
        </w:tc>
        <w:tc>
          <w:tcPr>
            <w:tcW w:w="1348" w:type="dxa"/>
            <w:vAlign w:val="top"/>
          </w:tcPr>
          <w:p w14:paraId="589D9D48">
            <w:pPr>
              <w:rPr>
                <w:rFonts w:ascii="Arial"/>
                <w:color w:val="auto"/>
                <w:sz w:val="21"/>
                <w:highlight w:val="none"/>
              </w:rPr>
            </w:pPr>
          </w:p>
        </w:tc>
        <w:tc>
          <w:tcPr>
            <w:tcW w:w="615" w:type="dxa"/>
            <w:vAlign w:val="top"/>
          </w:tcPr>
          <w:p w14:paraId="1D4DABD2">
            <w:pPr>
              <w:rPr>
                <w:rFonts w:ascii="Arial"/>
                <w:color w:val="auto"/>
                <w:sz w:val="21"/>
                <w:highlight w:val="none"/>
              </w:rPr>
            </w:pPr>
          </w:p>
        </w:tc>
        <w:tc>
          <w:tcPr>
            <w:tcW w:w="614" w:type="dxa"/>
            <w:vAlign w:val="top"/>
          </w:tcPr>
          <w:p w14:paraId="79C06D47">
            <w:pPr>
              <w:rPr>
                <w:rFonts w:ascii="Arial"/>
                <w:color w:val="auto"/>
                <w:sz w:val="21"/>
                <w:highlight w:val="none"/>
              </w:rPr>
            </w:pPr>
          </w:p>
        </w:tc>
        <w:tc>
          <w:tcPr>
            <w:tcW w:w="619" w:type="dxa"/>
            <w:vAlign w:val="top"/>
          </w:tcPr>
          <w:p w14:paraId="5C39F0C5">
            <w:pPr>
              <w:rPr>
                <w:rFonts w:ascii="Arial"/>
                <w:color w:val="auto"/>
                <w:sz w:val="21"/>
                <w:highlight w:val="none"/>
              </w:rPr>
            </w:pPr>
          </w:p>
        </w:tc>
        <w:tc>
          <w:tcPr>
            <w:tcW w:w="614" w:type="dxa"/>
            <w:vAlign w:val="top"/>
          </w:tcPr>
          <w:p w14:paraId="1D9C7049">
            <w:pPr>
              <w:rPr>
                <w:rFonts w:ascii="Arial"/>
                <w:color w:val="auto"/>
                <w:sz w:val="21"/>
                <w:highlight w:val="none"/>
              </w:rPr>
            </w:pPr>
          </w:p>
        </w:tc>
        <w:tc>
          <w:tcPr>
            <w:tcW w:w="614" w:type="dxa"/>
            <w:vAlign w:val="top"/>
          </w:tcPr>
          <w:p w14:paraId="012394E4">
            <w:pPr>
              <w:rPr>
                <w:rFonts w:ascii="Arial"/>
                <w:color w:val="auto"/>
                <w:sz w:val="21"/>
                <w:highlight w:val="none"/>
              </w:rPr>
            </w:pPr>
          </w:p>
        </w:tc>
        <w:tc>
          <w:tcPr>
            <w:tcW w:w="619" w:type="dxa"/>
            <w:vAlign w:val="top"/>
          </w:tcPr>
          <w:p w14:paraId="4D2DB247">
            <w:pPr>
              <w:rPr>
                <w:rFonts w:ascii="Arial"/>
                <w:color w:val="auto"/>
                <w:sz w:val="21"/>
                <w:highlight w:val="none"/>
              </w:rPr>
            </w:pPr>
          </w:p>
        </w:tc>
        <w:tc>
          <w:tcPr>
            <w:tcW w:w="615" w:type="dxa"/>
            <w:vAlign w:val="top"/>
          </w:tcPr>
          <w:p w14:paraId="3AF958E8">
            <w:pPr>
              <w:rPr>
                <w:rFonts w:ascii="Arial"/>
                <w:color w:val="auto"/>
                <w:sz w:val="21"/>
                <w:highlight w:val="none"/>
              </w:rPr>
            </w:pPr>
          </w:p>
        </w:tc>
        <w:tc>
          <w:tcPr>
            <w:tcW w:w="614" w:type="dxa"/>
            <w:vAlign w:val="top"/>
          </w:tcPr>
          <w:p w14:paraId="33543BE9">
            <w:pPr>
              <w:rPr>
                <w:rFonts w:ascii="Arial"/>
                <w:color w:val="auto"/>
                <w:sz w:val="21"/>
                <w:highlight w:val="none"/>
              </w:rPr>
            </w:pPr>
          </w:p>
        </w:tc>
        <w:tc>
          <w:tcPr>
            <w:tcW w:w="619" w:type="dxa"/>
            <w:vAlign w:val="top"/>
          </w:tcPr>
          <w:p w14:paraId="450A6B43">
            <w:pPr>
              <w:rPr>
                <w:rFonts w:ascii="Arial"/>
                <w:color w:val="auto"/>
                <w:sz w:val="21"/>
                <w:highlight w:val="none"/>
              </w:rPr>
            </w:pPr>
          </w:p>
        </w:tc>
        <w:tc>
          <w:tcPr>
            <w:tcW w:w="791" w:type="dxa"/>
            <w:vAlign w:val="top"/>
          </w:tcPr>
          <w:p w14:paraId="1742B346">
            <w:pPr>
              <w:rPr>
                <w:rFonts w:ascii="Arial"/>
                <w:color w:val="auto"/>
                <w:sz w:val="21"/>
                <w:highlight w:val="none"/>
              </w:rPr>
            </w:pPr>
          </w:p>
        </w:tc>
      </w:tr>
      <w:tr w14:paraId="3F26D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29" w:type="dxa"/>
            <w:vAlign w:val="top"/>
          </w:tcPr>
          <w:p w14:paraId="73EF2C1D">
            <w:pPr>
              <w:pStyle w:val="11"/>
              <w:spacing w:before="212" w:line="181" w:lineRule="auto"/>
              <w:ind w:left="271"/>
              <w:rPr>
                <w:color w:val="auto"/>
                <w:highlight w:val="none"/>
              </w:rPr>
            </w:pPr>
            <w:r>
              <w:rPr>
                <w:color w:val="auto"/>
                <w:highlight w:val="none"/>
              </w:rPr>
              <w:t>5</w:t>
            </w:r>
          </w:p>
        </w:tc>
        <w:tc>
          <w:tcPr>
            <w:tcW w:w="1348" w:type="dxa"/>
            <w:vAlign w:val="top"/>
          </w:tcPr>
          <w:p w14:paraId="328B85D0">
            <w:pPr>
              <w:rPr>
                <w:rFonts w:ascii="Arial"/>
                <w:color w:val="auto"/>
                <w:sz w:val="21"/>
                <w:highlight w:val="none"/>
              </w:rPr>
            </w:pPr>
          </w:p>
        </w:tc>
        <w:tc>
          <w:tcPr>
            <w:tcW w:w="615" w:type="dxa"/>
            <w:vAlign w:val="top"/>
          </w:tcPr>
          <w:p w14:paraId="3F3B9A2F">
            <w:pPr>
              <w:rPr>
                <w:rFonts w:ascii="Arial"/>
                <w:color w:val="auto"/>
                <w:sz w:val="21"/>
                <w:highlight w:val="none"/>
              </w:rPr>
            </w:pPr>
          </w:p>
        </w:tc>
        <w:tc>
          <w:tcPr>
            <w:tcW w:w="614" w:type="dxa"/>
            <w:vAlign w:val="top"/>
          </w:tcPr>
          <w:p w14:paraId="2824346E">
            <w:pPr>
              <w:rPr>
                <w:rFonts w:ascii="Arial"/>
                <w:color w:val="auto"/>
                <w:sz w:val="21"/>
                <w:highlight w:val="none"/>
              </w:rPr>
            </w:pPr>
          </w:p>
        </w:tc>
        <w:tc>
          <w:tcPr>
            <w:tcW w:w="619" w:type="dxa"/>
            <w:vAlign w:val="top"/>
          </w:tcPr>
          <w:p w14:paraId="5A536DEA">
            <w:pPr>
              <w:rPr>
                <w:rFonts w:ascii="Arial"/>
                <w:color w:val="auto"/>
                <w:sz w:val="21"/>
                <w:highlight w:val="none"/>
              </w:rPr>
            </w:pPr>
          </w:p>
        </w:tc>
        <w:tc>
          <w:tcPr>
            <w:tcW w:w="614" w:type="dxa"/>
            <w:vAlign w:val="top"/>
          </w:tcPr>
          <w:p w14:paraId="59F88BCB">
            <w:pPr>
              <w:rPr>
                <w:rFonts w:ascii="Arial"/>
                <w:color w:val="auto"/>
                <w:sz w:val="21"/>
                <w:highlight w:val="none"/>
              </w:rPr>
            </w:pPr>
          </w:p>
        </w:tc>
        <w:tc>
          <w:tcPr>
            <w:tcW w:w="614" w:type="dxa"/>
            <w:vAlign w:val="top"/>
          </w:tcPr>
          <w:p w14:paraId="2F97AE90">
            <w:pPr>
              <w:rPr>
                <w:rFonts w:ascii="Arial"/>
                <w:color w:val="auto"/>
                <w:sz w:val="21"/>
                <w:highlight w:val="none"/>
              </w:rPr>
            </w:pPr>
          </w:p>
        </w:tc>
        <w:tc>
          <w:tcPr>
            <w:tcW w:w="619" w:type="dxa"/>
            <w:vAlign w:val="top"/>
          </w:tcPr>
          <w:p w14:paraId="230391F8">
            <w:pPr>
              <w:rPr>
                <w:rFonts w:ascii="Arial"/>
                <w:color w:val="auto"/>
                <w:sz w:val="21"/>
                <w:highlight w:val="none"/>
              </w:rPr>
            </w:pPr>
          </w:p>
        </w:tc>
        <w:tc>
          <w:tcPr>
            <w:tcW w:w="615" w:type="dxa"/>
            <w:vAlign w:val="top"/>
          </w:tcPr>
          <w:p w14:paraId="0825C349">
            <w:pPr>
              <w:rPr>
                <w:rFonts w:ascii="Arial"/>
                <w:color w:val="auto"/>
                <w:sz w:val="21"/>
                <w:highlight w:val="none"/>
              </w:rPr>
            </w:pPr>
          </w:p>
        </w:tc>
        <w:tc>
          <w:tcPr>
            <w:tcW w:w="614" w:type="dxa"/>
            <w:vAlign w:val="top"/>
          </w:tcPr>
          <w:p w14:paraId="263A8AB7">
            <w:pPr>
              <w:rPr>
                <w:rFonts w:ascii="Arial"/>
                <w:color w:val="auto"/>
                <w:sz w:val="21"/>
                <w:highlight w:val="none"/>
              </w:rPr>
            </w:pPr>
          </w:p>
        </w:tc>
        <w:tc>
          <w:tcPr>
            <w:tcW w:w="619" w:type="dxa"/>
            <w:vAlign w:val="top"/>
          </w:tcPr>
          <w:p w14:paraId="3559F4B1">
            <w:pPr>
              <w:rPr>
                <w:rFonts w:ascii="Arial"/>
                <w:color w:val="auto"/>
                <w:sz w:val="21"/>
                <w:highlight w:val="none"/>
              </w:rPr>
            </w:pPr>
          </w:p>
        </w:tc>
        <w:tc>
          <w:tcPr>
            <w:tcW w:w="791" w:type="dxa"/>
            <w:vAlign w:val="top"/>
          </w:tcPr>
          <w:p w14:paraId="1BFBAB7B">
            <w:pPr>
              <w:rPr>
                <w:rFonts w:ascii="Arial"/>
                <w:color w:val="auto"/>
                <w:sz w:val="21"/>
                <w:highlight w:val="none"/>
              </w:rPr>
            </w:pPr>
          </w:p>
        </w:tc>
      </w:tr>
      <w:tr w14:paraId="70FD5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29" w:type="dxa"/>
            <w:vAlign w:val="top"/>
          </w:tcPr>
          <w:p w14:paraId="49375EDC">
            <w:pPr>
              <w:pStyle w:val="11"/>
              <w:spacing w:before="212" w:line="182" w:lineRule="auto"/>
              <w:ind w:left="269"/>
              <w:rPr>
                <w:color w:val="auto"/>
                <w:highlight w:val="none"/>
              </w:rPr>
            </w:pPr>
            <w:r>
              <w:rPr>
                <w:color w:val="auto"/>
                <w:highlight w:val="none"/>
              </w:rPr>
              <w:t>6</w:t>
            </w:r>
          </w:p>
        </w:tc>
        <w:tc>
          <w:tcPr>
            <w:tcW w:w="1348" w:type="dxa"/>
            <w:vAlign w:val="top"/>
          </w:tcPr>
          <w:p w14:paraId="58556AD5">
            <w:pPr>
              <w:rPr>
                <w:rFonts w:ascii="Arial"/>
                <w:color w:val="auto"/>
                <w:sz w:val="21"/>
                <w:highlight w:val="none"/>
              </w:rPr>
            </w:pPr>
          </w:p>
        </w:tc>
        <w:tc>
          <w:tcPr>
            <w:tcW w:w="615" w:type="dxa"/>
            <w:vAlign w:val="top"/>
          </w:tcPr>
          <w:p w14:paraId="4D1C3FF4">
            <w:pPr>
              <w:rPr>
                <w:rFonts w:ascii="Arial"/>
                <w:color w:val="auto"/>
                <w:sz w:val="21"/>
                <w:highlight w:val="none"/>
              </w:rPr>
            </w:pPr>
          </w:p>
        </w:tc>
        <w:tc>
          <w:tcPr>
            <w:tcW w:w="614" w:type="dxa"/>
            <w:vAlign w:val="top"/>
          </w:tcPr>
          <w:p w14:paraId="779B4F41">
            <w:pPr>
              <w:rPr>
                <w:rFonts w:ascii="Arial"/>
                <w:color w:val="auto"/>
                <w:sz w:val="21"/>
                <w:highlight w:val="none"/>
              </w:rPr>
            </w:pPr>
          </w:p>
        </w:tc>
        <w:tc>
          <w:tcPr>
            <w:tcW w:w="619" w:type="dxa"/>
            <w:vAlign w:val="top"/>
          </w:tcPr>
          <w:p w14:paraId="364760A9">
            <w:pPr>
              <w:rPr>
                <w:rFonts w:ascii="Arial"/>
                <w:color w:val="auto"/>
                <w:sz w:val="21"/>
                <w:highlight w:val="none"/>
              </w:rPr>
            </w:pPr>
          </w:p>
        </w:tc>
        <w:tc>
          <w:tcPr>
            <w:tcW w:w="614" w:type="dxa"/>
            <w:vAlign w:val="top"/>
          </w:tcPr>
          <w:p w14:paraId="5D8CD33F">
            <w:pPr>
              <w:rPr>
                <w:rFonts w:ascii="Arial"/>
                <w:color w:val="auto"/>
                <w:sz w:val="21"/>
                <w:highlight w:val="none"/>
              </w:rPr>
            </w:pPr>
          </w:p>
        </w:tc>
        <w:tc>
          <w:tcPr>
            <w:tcW w:w="614" w:type="dxa"/>
            <w:vAlign w:val="top"/>
          </w:tcPr>
          <w:p w14:paraId="44125E0F">
            <w:pPr>
              <w:rPr>
                <w:rFonts w:ascii="Arial"/>
                <w:color w:val="auto"/>
                <w:sz w:val="21"/>
                <w:highlight w:val="none"/>
              </w:rPr>
            </w:pPr>
          </w:p>
        </w:tc>
        <w:tc>
          <w:tcPr>
            <w:tcW w:w="619" w:type="dxa"/>
            <w:vAlign w:val="top"/>
          </w:tcPr>
          <w:p w14:paraId="216F7850">
            <w:pPr>
              <w:rPr>
                <w:rFonts w:ascii="Arial"/>
                <w:color w:val="auto"/>
                <w:sz w:val="21"/>
                <w:highlight w:val="none"/>
              </w:rPr>
            </w:pPr>
          </w:p>
        </w:tc>
        <w:tc>
          <w:tcPr>
            <w:tcW w:w="615" w:type="dxa"/>
            <w:vAlign w:val="top"/>
          </w:tcPr>
          <w:p w14:paraId="6A84FA70">
            <w:pPr>
              <w:rPr>
                <w:rFonts w:ascii="Arial"/>
                <w:color w:val="auto"/>
                <w:sz w:val="21"/>
                <w:highlight w:val="none"/>
              </w:rPr>
            </w:pPr>
          </w:p>
        </w:tc>
        <w:tc>
          <w:tcPr>
            <w:tcW w:w="614" w:type="dxa"/>
            <w:vAlign w:val="top"/>
          </w:tcPr>
          <w:p w14:paraId="48EC50FD">
            <w:pPr>
              <w:rPr>
                <w:rFonts w:ascii="Arial"/>
                <w:color w:val="auto"/>
                <w:sz w:val="21"/>
                <w:highlight w:val="none"/>
              </w:rPr>
            </w:pPr>
          </w:p>
        </w:tc>
        <w:tc>
          <w:tcPr>
            <w:tcW w:w="619" w:type="dxa"/>
            <w:vAlign w:val="top"/>
          </w:tcPr>
          <w:p w14:paraId="0077FFEF">
            <w:pPr>
              <w:rPr>
                <w:rFonts w:ascii="Arial"/>
                <w:color w:val="auto"/>
                <w:sz w:val="21"/>
                <w:highlight w:val="none"/>
              </w:rPr>
            </w:pPr>
          </w:p>
        </w:tc>
        <w:tc>
          <w:tcPr>
            <w:tcW w:w="791" w:type="dxa"/>
            <w:vAlign w:val="top"/>
          </w:tcPr>
          <w:p w14:paraId="58E2ACC6">
            <w:pPr>
              <w:rPr>
                <w:rFonts w:ascii="Arial"/>
                <w:color w:val="auto"/>
                <w:sz w:val="21"/>
                <w:highlight w:val="none"/>
              </w:rPr>
            </w:pPr>
          </w:p>
        </w:tc>
      </w:tr>
      <w:tr w14:paraId="4A90C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29" w:type="dxa"/>
            <w:vAlign w:val="top"/>
          </w:tcPr>
          <w:p w14:paraId="29843C82">
            <w:pPr>
              <w:pStyle w:val="11"/>
              <w:spacing w:before="182" w:line="332" w:lineRule="exact"/>
              <w:ind w:left="228"/>
              <w:rPr>
                <w:color w:val="auto"/>
                <w:highlight w:val="none"/>
              </w:rPr>
            </w:pPr>
            <w:r>
              <w:rPr>
                <w:color w:val="auto"/>
                <w:position w:val="2"/>
                <w:highlight w:val="none"/>
              </w:rPr>
              <w:t>…</w:t>
            </w:r>
          </w:p>
        </w:tc>
        <w:tc>
          <w:tcPr>
            <w:tcW w:w="1348" w:type="dxa"/>
            <w:vAlign w:val="top"/>
          </w:tcPr>
          <w:p w14:paraId="3BD16742">
            <w:pPr>
              <w:rPr>
                <w:rFonts w:ascii="Arial"/>
                <w:color w:val="auto"/>
                <w:sz w:val="21"/>
                <w:highlight w:val="none"/>
              </w:rPr>
            </w:pPr>
          </w:p>
        </w:tc>
        <w:tc>
          <w:tcPr>
            <w:tcW w:w="615" w:type="dxa"/>
            <w:vAlign w:val="top"/>
          </w:tcPr>
          <w:p w14:paraId="089AB5BB">
            <w:pPr>
              <w:rPr>
                <w:rFonts w:ascii="Arial"/>
                <w:color w:val="auto"/>
                <w:sz w:val="21"/>
                <w:highlight w:val="none"/>
              </w:rPr>
            </w:pPr>
          </w:p>
        </w:tc>
        <w:tc>
          <w:tcPr>
            <w:tcW w:w="614" w:type="dxa"/>
            <w:vAlign w:val="top"/>
          </w:tcPr>
          <w:p w14:paraId="770F0094">
            <w:pPr>
              <w:rPr>
                <w:rFonts w:ascii="Arial"/>
                <w:color w:val="auto"/>
                <w:sz w:val="21"/>
                <w:highlight w:val="none"/>
              </w:rPr>
            </w:pPr>
          </w:p>
        </w:tc>
        <w:tc>
          <w:tcPr>
            <w:tcW w:w="619" w:type="dxa"/>
            <w:vAlign w:val="top"/>
          </w:tcPr>
          <w:p w14:paraId="49CD4CB1">
            <w:pPr>
              <w:rPr>
                <w:rFonts w:ascii="Arial"/>
                <w:color w:val="auto"/>
                <w:sz w:val="21"/>
                <w:highlight w:val="none"/>
              </w:rPr>
            </w:pPr>
          </w:p>
        </w:tc>
        <w:tc>
          <w:tcPr>
            <w:tcW w:w="614" w:type="dxa"/>
            <w:vAlign w:val="top"/>
          </w:tcPr>
          <w:p w14:paraId="2F5FC54C">
            <w:pPr>
              <w:rPr>
                <w:rFonts w:ascii="Arial"/>
                <w:color w:val="auto"/>
                <w:sz w:val="21"/>
                <w:highlight w:val="none"/>
              </w:rPr>
            </w:pPr>
          </w:p>
        </w:tc>
        <w:tc>
          <w:tcPr>
            <w:tcW w:w="614" w:type="dxa"/>
            <w:vAlign w:val="top"/>
          </w:tcPr>
          <w:p w14:paraId="35B7DB6A">
            <w:pPr>
              <w:rPr>
                <w:rFonts w:ascii="Arial"/>
                <w:color w:val="auto"/>
                <w:sz w:val="21"/>
                <w:highlight w:val="none"/>
              </w:rPr>
            </w:pPr>
          </w:p>
        </w:tc>
        <w:tc>
          <w:tcPr>
            <w:tcW w:w="619" w:type="dxa"/>
            <w:vAlign w:val="top"/>
          </w:tcPr>
          <w:p w14:paraId="69255044">
            <w:pPr>
              <w:rPr>
                <w:rFonts w:ascii="Arial"/>
                <w:color w:val="auto"/>
                <w:sz w:val="21"/>
                <w:highlight w:val="none"/>
              </w:rPr>
            </w:pPr>
          </w:p>
        </w:tc>
        <w:tc>
          <w:tcPr>
            <w:tcW w:w="615" w:type="dxa"/>
            <w:vAlign w:val="top"/>
          </w:tcPr>
          <w:p w14:paraId="319D0082">
            <w:pPr>
              <w:rPr>
                <w:rFonts w:ascii="Arial"/>
                <w:color w:val="auto"/>
                <w:sz w:val="21"/>
                <w:highlight w:val="none"/>
              </w:rPr>
            </w:pPr>
          </w:p>
        </w:tc>
        <w:tc>
          <w:tcPr>
            <w:tcW w:w="614" w:type="dxa"/>
            <w:vAlign w:val="top"/>
          </w:tcPr>
          <w:p w14:paraId="435053D2">
            <w:pPr>
              <w:rPr>
                <w:rFonts w:ascii="Arial"/>
                <w:color w:val="auto"/>
                <w:sz w:val="21"/>
                <w:highlight w:val="none"/>
              </w:rPr>
            </w:pPr>
          </w:p>
        </w:tc>
        <w:tc>
          <w:tcPr>
            <w:tcW w:w="619" w:type="dxa"/>
            <w:vAlign w:val="top"/>
          </w:tcPr>
          <w:p w14:paraId="3093B7DD">
            <w:pPr>
              <w:rPr>
                <w:rFonts w:ascii="Arial"/>
                <w:color w:val="auto"/>
                <w:sz w:val="21"/>
                <w:highlight w:val="none"/>
              </w:rPr>
            </w:pPr>
          </w:p>
        </w:tc>
        <w:tc>
          <w:tcPr>
            <w:tcW w:w="791" w:type="dxa"/>
            <w:vAlign w:val="top"/>
          </w:tcPr>
          <w:p w14:paraId="063D8786">
            <w:pPr>
              <w:rPr>
                <w:rFonts w:ascii="Arial"/>
                <w:color w:val="auto"/>
                <w:sz w:val="21"/>
                <w:highlight w:val="none"/>
              </w:rPr>
            </w:pPr>
          </w:p>
        </w:tc>
      </w:tr>
      <w:tr w14:paraId="75782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5" w:hRule="atLeast"/>
        </w:trPr>
        <w:tc>
          <w:tcPr>
            <w:tcW w:w="8311" w:type="dxa"/>
            <w:gridSpan w:val="12"/>
            <w:vAlign w:val="top"/>
          </w:tcPr>
          <w:p w14:paraId="6845F678">
            <w:pPr>
              <w:spacing w:line="285" w:lineRule="auto"/>
              <w:rPr>
                <w:rFonts w:ascii="Arial"/>
                <w:color w:val="auto"/>
                <w:sz w:val="21"/>
                <w:highlight w:val="none"/>
              </w:rPr>
            </w:pPr>
          </w:p>
          <w:p w14:paraId="6C3A6660">
            <w:pPr>
              <w:pStyle w:val="11"/>
              <w:spacing w:before="68" w:line="220" w:lineRule="auto"/>
              <w:ind w:left="118"/>
              <w:rPr>
                <w:color w:val="auto"/>
                <w:highlight w:val="none"/>
              </w:rPr>
            </w:pPr>
            <w:r>
              <w:rPr>
                <w:color w:val="auto"/>
                <w:spacing w:val="-3"/>
                <w:highlight w:val="none"/>
              </w:rPr>
              <w:t>评标委员会全体成员签名：</w:t>
            </w:r>
          </w:p>
        </w:tc>
      </w:tr>
    </w:tbl>
    <w:p w14:paraId="4DAAC7AA">
      <w:pPr>
        <w:spacing w:before="24" w:line="221" w:lineRule="auto"/>
        <w:ind w:left="5730"/>
        <w:rPr>
          <w:rFonts w:ascii="宋体" w:hAnsi="宋体" w:eastAsia="宋体" w:cs="宋体"/>
          <w:color w:val="auto"/>
          <w:sz w:val="21"/>
          <w:szCs w:val="21"/>
          <w:highlight w:val="none"/>
        </w:rPr>
      </w:pPr>
      <w:r>
        <w:rPr>
          <w:rFonts w:ascii="宋体" w:hAnsi="宋体" w:eastAsia="宋体" w:cs="宋体"/>
          <w:color w:val="auto"/>
          <w:spacing w:val="-24"/>
          <w:sz w:val="21"/>
          <w:szCs w:val="21"/>
          <w:highlight w:val="none"/>
        </w:rPr>
        <w:t>日期：</w:t>
      </w:r>
      <w:r>
        <w:rPr>
          <w:rFonts w:ascii="宋体" w:hAnsi="宋体" w:eastAsia="宋体" w:cs="宋体"/>
          <w:color w:val="auto"/>
          <w:spacing w:val="21"/>
          <w:sz w:val="21"/>
          <w:szCs w:val="21"/>
          <w:highlight w:val="none"/>
        </w:rPr>
        <w:t xml:space="preserve">    </w:t>
      </w:r>
      <w:r>
        <w:rPr>
          <w:rFonts w:ascii="宋体" w:hAnsi="宋体" w:eastAsia="宋体" w:cs="宋体"/>
          <w:color w:val="auto"/>
          <w:spacing w:val="-24"/>
          <w:sz w:val="21"/>
          <w:szCs w:val="21"/>
          <w:highlight w:val="none"/>
        </w:rPr>
        <w:t>年</w:t>
      </w:r>
      <w:r>
        <w:rPr>
          <w:rFonts w:ascii="宋体" w:hAnsi="宋体" w:eastAsia="宋体" w:cs="宋体"/>
          <w:color w:val="auto"/>
          <w:spacing w:val="4"/>
          <w:sz w:val="21"/>
          <w:szCs w:val="21"/>
          <w:highlight w:val="none"/>
        </w:rPr>
        <w:t xml:space="preserve">    </w:t>
      </w:r>
      <w:r>
        <w:rPr>
          <w:rFonts w:ascii="宋体" w:hAnsi="宋体" w:eastAsia="宋体" w:cs="宋体"/>
          <w:color w:val="auto"/>
          <w:spacing w:val="-24"/>
          <w:sz w:val="21"/>
          <w:szCs w:val="21"/>
          <w:highlight w:val="none"/>
        </w:rPr>
        <w:t>月</w:t>
      </w:r>
      <w:r>
        <w:rPr>
          <w:rFonts w:ascii="宋体" w:hAnsi="宋体" w:eastAsia="宋体" w:cs="宋体"/>
          <w:color w:val="auto"/>
          <w:spacing w:val="10"/>
          <w:sz w:val="21"/>
          <w:szCs w:val="21"/>
          <w:highlight w:val="none"/>
        </w:rPr>
        <w:t xml:space="preserve">    </w:t>
      </w:r>
      <w:r>
        <w:rPr>
          <w:rFonts w:ascii="宋体" w:hAnsi="宋体" w:eastAsia="宋体" w:cs="宋体"/>
          <w:color w:val="auto"/>
          <w:spacing w:val="-24"/>
          <w:sz w:val="21"/>
          <w:szCs w:val="21"/>
          <w:highlight w:val="none"/>
        </w:rPr>
        <w:t>日</w:t>
      </w:r>
    </w:p>
    <w:p w14:paraId="0A088040">
      <w:pPr>
        <w:spacing w:line="221" w:lineRule="auto"/>
        <w:rPr>
          <w:rFonts w:ascii="宋体" w:hAnsi="宋体" w:eastAsia="宋体" w:cs="宋体"/>
          <w:color w:val="auto"/>
          <w:sz w:val="21"/>
          <w:szCs w:val="21"/>
          <w:highlight w:val="none"/>
        </w:rPr>
        <w:sectPr>
          <w:footerReference r:id="rId84" w:type="default"/>
          <w:pgSz w:w="11905" w:h="16839"/>
          <w:pgMar w:top="1431" w:right="1785" w:bottom="996" w:left="1785" w:header="0" w:footer="791" w:gutter="0"/>
          <w:pgNumType w:fmt="decimal"/>
          <w:cols w:space="720" w:num="1"/>
        </w:sectPr>
      </w:pPr>
    </w:p>
    <w:p w14:paraId="756EDF31">
      <w:pPr>
        <w:spacing w:before="124" w:line="219" w:lineRule="auto"/>
        <w:ind w:left="3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w:t>
      </w:r>
      <w:r>
        <w:rPr>
          <w:rFonts w:ascii="黑体" w:hAnsi="黑体" w:eastAsia="黑体" w:cs="黑体"/>
          <w:color w:val="auto"/>
          <w:spacing w:val="-51"/>
          <w:sz w:val="24"/>
          <w:szCs w:val="24"/>
          <w:highlight w:val="none"/>
        </w:rPr>
        <w:t xml:space="preserve"> </w:t>
      </w:r>
      <w:r>
        <w:rPr>
          <w:rFonts w:ascii="Times New Roman" w:hAnsi="Times New Roman" w:eastAsia="Times New Roman" w:cs="Times New Roman"/>
          <w:color w:val="auto"/>
          <w:spacing w:val="-3"/>
          <w:sz w:val="24"/>
          <w:szCs w:val="24"/>
          <w:highlight w:val="none"/>
        </w:rPr>
        <w:t>A-6</w:t>
      </w:r>
      <w:r>
        <w:rPr>
          <w:rFonts w:ascii="黑体" w:hAnsi="黑体" w:eastAsia="黑体" w:cs="黑体"/>
          <w:color w:val="auto"/>
          <w:spacing w:val="-3"/>
          <w:sz w:val="24"/>
          <w:szCs w:val="24"/>
          <w:highlight w:val="none"/>
        </w:rPr>
        <w:t>：响应性评审记录表</w:t>
      </w:r>
    </w:p>
    <w:p w14:paraId="3E606CAA">
      <w:pPr>
        <w:pStyle w:val="3"/>
        <w:spacing w:line="317" w:lineRule="auto"/>
        <w:rPr>
          <w:color w:val="auto"/>
          <w:highlight w:val="none"/>
        </w:rPr>
      </w:pPr>
    </w:p>
    <w:p w14:paraId="3FCE5015">
      <w:pPr>
        <w:pStyle w:val="3"/>
        <w:spacing w:line="317" w:lineRule="auto"/>
        <w:rPr>
          <w:color w:val="auto"/>
          <w:highlight w:val="none"/>
        </w:rPr>
      </w:pPr>
    </w:p>
    <w:p w14:paraId="3F845F5B">
      <w:pPr>
        <w:spacing w:before="117" w:line="219" w:lineRule="auto"/>
        <w:ind w:left="2756"/>
        <w:rPr>
          <w:rFonts w:ascii="黑体" w:hAnsi="黑体" w:eastAsia="黑体" w:cs="黑体"/>
          <w:color w:val="auto"/>
          <w:sz w:val="36"/>
          <w:szCs w:val="36"/>
          <w:highlight w:val="none"/>
        </w:rPr>
      </w:pPr>
      <w:bookmarkStart w:id="194" w:name="bookmark222"/>
      <w:bookmarkEnd w:id="194"/>
      <w:r>
        <w:rPr>
          <w:rFonts w:ascii="黑体" w:hAnsi="黑体" w:eastAsia="黑体" w:cs="黑体"/>
          <w:color w:val="auto"/>
          <w:spacing w:val="-4"/>
          <w:sz w:val="36"/>
          <w:szCs w:val="36"/>
          <w:highlight w:val="none"/>
        </w:rPr>
        <w:t>响应性评审记录表</w:t>
      </w:r>
    </w:p>
    <w:p w14:paraId="5F6B4A09">
      <w:pPr>
        <w:spacing w:before="234" w:line="221" w:lineRule="auto"/>
        <w:ind w:left="19"/>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标段名称：</w:t>
      </w:r>
    </w:p>
    <w:p w14:paraId="42AF790E">
      <w:pPr>
        <w:spacing w:before="22" w:line="214" w:lineRule="auto"/>
        <w:ind w:left="1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标段唯一标识码：</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3"/>
        <w:gridCol w:w="1224"/>
        <w:gridCol w:w="615"/>
        <w:gridCol w:w="614"/>
        <w:gridCol w:w="614"/>
        <w:gridCol w:w="614"/>
        <w:gridCol w:w="614"/>
        <w:gridCol w:w="614"/>
        <w:gridCol w:w="615"/>
        <w:gridCol w:w="619"/>
        <w:gridCol w:w="614"/>
        <w:gridCol w:w="791"/>
      </w:tblGrid>
      <w:tr w14:paraId="6E9EC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63" w:type="dxa"/>
            <w:vMerge w:val="restart"/>
            <w:tcBorders>
              <w:bottom w:val="nil"/>
            </w:tcBorders>
            <w:vAlign w:val="top"/>
          </w:tcPr>
          <w:p w14:paraId="275A947A">
            <w:pPr>
              <w:spacing w:line="252" w:lineRule="auto"/>
              <w:rPr>
                <w:rFonts w:ascii="Arial"/>
                <w:color w:val="auto"/>
                <w:sz w:val="21"/>
                <w:highlight w:val="none"/>
              </w:rPr>
            </w:pPr>
          </w:p>
          <w:p w14:paraId="1141D281">
            <w:pPr>
              <w:pStyle w:val="11"/>
              <w:spacing w:before="68" w:line="222" w:lineRule="auto"/>
              <w:ind w:left="175"/>
              <w:rPr>
                <w:color w:val="auto"/>
                <w:highlight w:val="none"/>
              </w:rPr>
            </w:pPr>
            <w:r>
              <w:rPr>
                <w:color w:val="auto"/>
                <w:spacing w:val="-2"/>
                <w:highlight w:val="none"/>
                <w14:textOutline w14:w="3831" w14:cap="flat" w14:cmpd="sng">
                  <w14:solidFill>
                    <w14:srgbClr w14:val="000000"/>
                  </w14:solidFill>
                  <w14:prstDash w14:val="solid"/>
                  <w14:miter w14:val="0"/>
                </w14:textOutline>
              </w:rPr>
              <w:t>序号</w:t>
            </w:r>
          </w:p>
        </w:tc>
        <w:tc>
          <w:tcPr>
            <w:tcW w:w="1224" w:type="dxa"/>
            <w:vMerge w:val="restart"/>
            <w:tcBorders>
              <w:bottom w:val="nil"/>
            </w:tcBorders>
            <w:vAlign w:val="top"/>
          </w:tcPr>
          <w:p w14:paraId="3C522FCF">
            <w:pPr>
              <w:pStyle w:val="11"/>
              <w:spacing w:before="182" w:line="232" w:lineRule="auto"/>
              <w:ind w:left="511" w:right="186" w:hanging="313"/>
              <w:rPr>
                <w:color w:val="auto"/>
                <w:highlight w:val="none"/>
              </w:rPr>
            </w:pPr>
            <w:r>
              <w:rPr>
                <w:color w:val="auto"/>
                <w:spacing w:val="-2"/>
                <w:highlight w:val="none"/>
                <w14:textOutline w14:w="3831" w14:cap="flat" w14:cmpd="sng">
                  <w14:solidFill>
                    <w14:srgbClr w14:val="000000"/>
                  </w14:solidFill>
                  <w14:prstDash w14:val="solid"/>
                  <w14:miter w14:val="0"/>
                </w14:textOutline>
              </w:rPr>
              <w:t>投标人名</w:t>
            </w:r>
            <w:r>
              <w:rPr>
                <w:color w:val="auto"/>
                <w:spacing w:val="1"/>
                <w:highlight w:val="none"/>
              </w:rPr>
              <w:t xml:space="preserve"> </w:t>
            </w:r>
            <w:r>
              <w:rPr>
                <w:color w:val="auto"/>
                <w:highlight w:val="none"/>
                <w14:textOutline w14:w="3831" w14:cap="flat" w14:cmpd="sng">
                  <w14:solidFill>
                    <w14:srgbClr w14:val="000000"/>
                  </w14:solidFill>
                  <w14:prstDash w14:val="solid"/>
                  <w14:miter w14:val="0"/>
                </w14:textOutline>
              </w:rPr>
              <w:t>称</w:t>
            </w:r>
          </w:p>
        </w:tc>
        <w:tc>
          <w:tcPr>
            <w:tcW w:w="5533" w:type="dxa"/>
            <w:gridSpan w:val="9"/>
            <w:vAlign w:val="top"/>
          </w:tcPr>
          <w:p w14:paraId="5B04787A">
            <w:pPr>
              <w:pStyle w:val="11"/>
              <w:spacing w:before="105" w:line="221" w:lineRule="auto"/>
              <w:ind w:left="1818"/>
              <w:rPr>
                <w:color w:val="auto"/>
                <w:highlight w:val="none"/>
              </w:rPr>
            </w:pPr>
            <w:r>
              <w:rPr>
                <w:color w:val="auto"/>
                <w:highlight w:val="none"/>
                <w14:textOutline w14:w="3831" w14:cap="flat" w14:cmpd="sng">
                  <w14:solidFill>
                    <w14:srgbClr w14:val="000000"/>
                  </w14:solidFill>
                  <w14:prstDash w14:val="solid"/>
                  <w14:miter w14:val="0"/>
                </w14:textOutline>
              </w:rPr>
              <w:t>评审标准及评审意见</w:t>
            </w:r>
          </w:p>
        </w:tc>
        <w:tc>
          <w:tcPr>
            <w:tcW w:w="791" w:type="dxa"/>
            <w:vMerge w:val="restart"/>
            <w:tcBorders>
              <w:bottom w:val="nil"/>
            </w:tcBorders>
            <w:vAlign w:val="top"/>
          </w:tcPr>
          <w:p w14:paraId="6C292246">
            <w:pPr>
              <w:pStyle w:val="11"/>
              <w:spacing w:before="183" w:line="241" w:lineRule="auto"/>
              <w:ind w:left="189"/>
              <w:rPr>
                <w:color w:val="auto"/>
                <w:highlight w:val="none"/>
              </w:rPr>
            </w:pPr>
            <w:r>
              <w:rPr>
                <w:color w:val="auto"/>
                <w:spacing w:val="-2"/>
                <w:highlight w:val="none"/>
                <w14:textOutline w14:w="3831" w14:cap="flat" w14:cmpd="sng">
                  <w14:solidFill>
                    <w14:srgbClr w14:val="000000"/>
                  </w14:solidFill>
                  <w14:prstDash w14:val="solid"/>
                  <w14:miter w14:val="0"/>
                </w14:textOutline>
              </w:rPr>
              <w:t>评审</w:t>
            </w:r>
          </w:p>
          <w:p w14:paraId="7564BBCF">
            <w:pPr>
              <w:pStyle w:val="11"/>
              <w:spacing w:line="222" w:lineRule="auto"/>
              <w:ind w:left="195"/>
              <w:rPr>
                <w:color w:val="auto"/>
                <w:highlight w:val="none"/>
              </w:rPr>
            </w:pPr>
            <w:r>
              <w:rPr>
                <w:color w:val="auto"/>
                <w:spacing w:val="-3"/>
                <w:highlight w:val="none"/>
                <w14:textOutline w14:w="3831" w14:cap="flat" w14:cmpd="sng">
                  <w14:solidFill>
                    <w14:srgbClr w14:val="000000"/>
                  </w14:solidFill>
                  <w14:prstDash w14:val="solid"/>
                  <w14:miter w14:val="0"/>
                </w14:textOutline>
              </w:rPr>
              <w:t>结论</w:t>
            </w:r>
          </w:p>
        </w:tc>
      </w:tr>
      <w:tr w14:paraId="0EFEC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63" w:type="dxa"/>
            <w:vMerge w:val="continue"/>
            <w:tcBorders>
              <w:top w:val="nil"/>
            </w:tcBorders>
            <w:vAlign w:val="top"/>
          </w:tcPr>
          <w:p w14:paraId="46EE7A69">
            <w:pPr>
              <w:rPr>
                <w:rFonts w:ascii="Arial"/>
                <w:color w:val="auto"/>
                <w:sz w:val="21"/>
                <w:highlight w:val="none"/>
              </w:rPr>
            </w:pPr>
          </w:p>
        </w:tc>
        <w:tc>
          <w:tcPr>
            <w:tcW w:w="1224" w:type="dxa"/>
            <w:vMerge w:val="continue"/>
            <w:tcBorders>
              <w:top w:val="nil"/>
            </w:tcBorders>
            <w:vAlign w:val="top"/>
          </w:tcPr>
          <w:p w14:paraId="4A544FFF">
            <w:pPr>
              <w:rPr>
                <w:rFonts w:ascii="Arial"/>
                <w:color w:val="auto"/>
                <w:sz w:val="21"/>
                <w:highlight w:val="none"/>
              </w:rPr>
            </w:pPr>
          </w:p>
        </w:tc>
        <w:tc>
          <w:tcPr>
            <w:tcW w:w="615" w:type="dxa"/>
            <w:vAlign w:val="top"/>
          </w:tcPr>
          <w:p w14:paraId="5384C838">
            <w:pPr>
              <w:rPr>
                <w:rFonts w:ascii="Arial"/>
                <w:color w:val="auto"/>
                <w:sz w:val="21"/>
                <w:highlight w:val="none"/>
              </w:rPr>
            </w:pPr>
          </w:p>
        </w:tc>
        <w:tc>
          <w:tcPr>
            <w:tcW w:w="614" w:type="dxa"/>
            <w:vAlign w:val="top"/>
          </w:tcPr>
          <w:p w14:paraId="69CE883B">
            <w:pPr>
              <w:rPr>
                <w:rFonts w:ascii="Arial"/>
                <w:color w:val="auto"/>
                <w:sz w:val="21"/>
                <w:highlight w:val="none"/>
              </w:rPr>
            </w:pPr>
          </w:p>
        </w:tc>
        <w:tc>
          <w:tcPr>
            <w:tcW w:w="614" w:type="dxa"/>
            <w:vAlign w:val="top"/>
          </w:tcPr>
          <w:p w14:paraId="1DDEC9F3">
            <w:pPr>
              <w:rPr>
                <w:rFonts w:ascii="Arial"/>
                <w:color w:val="auto"/>
                <w:sz w:val="21"/>
                <w:highlight w:val="none"/>
              </w:rPr>
            </w:pPr>
          </w:p>
        </w:tc>
        <w:tc>
          <w:tcPr>
            <w:tcW w:w="614" w:type="dxa"/>
            <w:vAlign w:val="top"/>
          </w:tcPr>
          <w:p w14:paraId="7AA7A054">
            <w:pPr>
              <w:rPr>
                <w:rFonts w:ascii="Arial"/>
                <w:color w:val="auto"/>
                <w:sz w:val="21"/>
                <w:highlight w:val="none"/>
              </w:rPr>
            </w:pPr>
          </w:p>
        </w:tc>
        <w:tc>
          <w:tcPr>
            <w:tcW w:w="614" w:type="dxa"/>
            <w:vAlign w:val="top"/>
          </w:tcPr>
          <w:p w14:paraId="07FD33BF">
            <w:pPr>
              <w:rPr>
                <w:rFonts w:ascii="Arial"/>
                <w:color w:val="auto"/>
                <w:sz w:val="21"/>
                <w:highlight w:val="none"/>
              </w:rPr>
            </w:pPr>
          </w:p>
        </w:tc>
        <w:tc>
          <w:tcPr>
            <w:tcW w:w="614" w:type="dxa"/>
            <w:vAlign w:val="top"/>
          </w:tcPr>
          <w:p w14:paraId="2F870F59">
            <w:pPr>
              <w:rPr>
                <w:rFonts w:ascii="Arial"/>
                <w:color w:val="auto"/>
                <w:sz w:val="21"/>
                <w:highlight w:val="none"/>
              </w:rPr>
            </w:pPr>
          </w:p>
        </w:tc>
        <w:tc>
          <w:tcPr>
            <w:tcW w:w="615" w:type="dxa"/>
            <w:vAlign w:val="top"/>
          </w:tcPr>
          <w:p w14:paraId="12FE2455">
            <w:pPr>
              <w:rPr>
                <w:rFonts w:ascii="Arial"/>
                <w:color w:val="auto"/>
                <w:sz w:val="21"/>
                <w:highlight w:val="none"/>
              </w:rPr>
            </w:pPr>
          </w:p>
        </w:tc>
        <w:tc>
          <w:tcPr>
            <w:tcW w:w="619" w:type="dxa"/>
            <w:vAlign w:val="top"/>
          </w:tcPr>
          <w:p w14:paraId="2525C67E">
            <w:pPr>
              <w:rPr>
                <w:rFonts w:ascii="Arial"/>
                <w:color w:val="auto"/>
                <w:sz w:val="21"/>
                <w:highlight w:val="none"/>
              </w:rPr>
            </w:pPr>
          </w:p>
        </w:tc>
        <w:tc>
          <w:tcPr>
            <w:tcW w:w="614" w:type="dxa"/>
            <w:vAlign w:val="top"/>
          </w:tcPr>
          <w:p w14:paraId="387DC36F">
            <w:pPr>
              <w:rPr>
                <w:rFonts w:ascii="Arial"/>
                <w:color w:val="auto"/>
                <w:sz w:val="21"/>
                <w:highlight w:val="none"/>
              </w:rPr>
            </w:pPr>
          </w:p>
        </w:tc>
        <w:tc>
          <w:tcPr>
            <w:tcW w:w="791" w:type="dxa"/>
            <w:vMerge w:val="continue"/>
            <w:tcBorders>
              <w:top w:val="nil"/>
            </w:tcBorders>
            <w:vAlign w:val="top"/>
          </w:tcPr>
          <w:p w14:paraId="20B71C94">
            <w:pPr>
              <w:rPr>
                <w:rFonts w:ascii="Arial"/>
                <w:color w:val="auto"/>
                <w:sz w:val="21"/>
                <w:highlight w:val="none"/>
              </w:rPr>
            </w:pPr>
          </w:p>
        </w:tc>
      </w:tr>
      <w:tr w14:paraId="1E180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63" w:type="dxa"/>
            <w:vAlign w:val="top"/>
          </w:tcPr>
          <w:p w14:paraId="2F9219D6">
            <w:pPr>
              <w:pStyle w:val="11"/>
              <w:spacing w:before="208" w:line="183" w:lineRule="auto"/>
              <w:ind w:left="350"/>
              <w:rPr>
                <w:color w:val="auto"/>
                <w:highlight w:val="none"/>
              </w:rPr>
            </w:pPr>
            <w:r>
              <w:rPr>
                <w:color w:val="auto"/>
                <w:highlight w:val="none"/>
              </w:rPr>
              <w:t>1</w:t>
            </w:r>
          </w:p>
        </w:tc>
        <w:tc>
          <w:tcPr>
            <w:tcW w:w="1224" w:type="dxa"/>
            <w:vAlign w:val="top"/>
          </w:tcPr>
          <w:p w14:paraId="5D529481">
            <w:pPr>
              <w:rPr>
                <w:rFonts w:ascii="Arial"/>
                <w:color w:val="auto"/>
                <w:sz w:val="21"/>
                <w:highlight w:val="none"/>
              </w:rPr>
            </w:pPr>
          </w:p>
        </w:tc>
        <w:tc>
          <w:tcPr>
            <w:tcW w:w="615" w:type="dxa"/>
            <w:vAlign w:val="top"/>
          </w:tcPr>
          <w:p w14:paraId="1C73F613">
            <w:pPr>
              <w:rPr>
                <w:rFonts w:ascii="Arial"/>
                <w:color w:val="auto"/>
                <w:sz w:val="21"/>
                <w:highlight w:val="none"/>
              </w:rPr>
            </w:pPr>
          </w:p>
        </w:tc>
        <w:tc>
          <w:tcPr>
            <w:tcW w:w="614" w:type="dxa"/>
            <w:vAlign w:val="top"/>
          </w:tcPr>
          <w:p w14:paraId="39983E31">
            <w:pPr>
              <w:rPr>
                <w:rFonts w:ascii="Arial"/>
                <w:color w:val="auto"/>
                <w:sz w:val="21"/>
                <w:highlight w:val="none"/>
              </w:rPr>
            </w:pPr>
          </w:p>
        </w:tc>
        <w:tc>
          <w:tcPr>
            <w:tcW w:w="614" w:type="dxa"/>
            <w:vAlign w:val="top"/>
          </w:tcPr>
          <w:p w14:paraId="09294108">
            <w:pPr>
              <w:rPr>
                <w:rFonts w:ascii="Arial"/>
                <w:color w:val="auto"/>
                <w:sz w:val="21"/>
                <w:highlight w:val="none"/>
              </w:rPr>
            </w:pPr>
          </w:p>
        </w:tc>
        <w:tc>
          <w:tcPr>
            <w:tcW w:w="614" w:type="dxa"/>
            <w:vAlign w:val="top"/>
          </w:tcPr>
          <w:p w14:paraId="259FCAFE">
            <w:pPr>
              <w:rPr>
                <w:rFonts w:ascii="Arial"/>
                <w:color w:val="auto"/>
                <w:sz w:val="21"/>
                <w:highlight w:val="none"/>
              </w:rPr>
            </w:pPr>
          </w:p>
        </w:tc>
        <w:tc>
          <w:tcPr>
            <w:tcW w:w="614" w:type="dxa"/>
            <w:vAlign w:val="top"/>
          </w:tcPr>
          <w:p w14:paraId="1E97EA57">
            <w:pPr>
              <w:rPr>
                <w:rFonts w:ascii="Arial"/>
                <w:color w:val="auto"/>
                <w:sz w:val="21"/>
                <w:highlight w:val="none"/>
              </w:rPr>
            </w:pPr>
          </w:p>
        </w:tc>
        <w:tc>
          <w:tcPr>
            <w:tcW w:w="614" w:type="dxa"/>
            <w:vAlign w:val="top"/>
          </w:tcPr>
          <w:p w14:paraId="66B0E076">
            <w:pPr>
              <w:rPr>
                <w:rFonts w:ascii="Arial"/>
                <w:color w:val="auto"/>
                <w:sz w:val="21"/>
                <w:highlight w:val="none"/>
              </w:rPr>
            </w:pPr>
          </w:p>
        </w:tc>
        <w:tc>
          <w:tcPr>
            <w:tcW w:w="615" w:type="dxa"/>
            <w:vAlign w:val="top"/>
          </w:tcPr>
          <w:p w14:paraId="3068E261">
            <w:pPr>
              <w:rPr>
                <w:rFonts w:ascii="Arial"/>
                <w:color w:val="auto"/>
                <w:sz w:val="21"/>
                <w:highlight w:val="none"/>
              </w:rPr>
            </w:pPr>
          </w:p>
        </w:tc>
        <w:tc>
          <w:tcPr>
            <w:tcW w:w="619" w:type="dxa"/>
            <w:vAlign w:val="top"/>
          </w:tcPr>
          <w:p w14:paraId="5B17E1EF">
            <w:pPr>
              <w:rPr>
                <w:rFonts w:ascii="Arial"/>
                <w:color w:val="auto"/>
                <w:sz w:val="21"/>
                <w:highlight w:val="none"/>
              </w:rPr>
            </w:pPr>
          </w:p>
        </w:tc>
        <w:tc>
          <w:tcPr>
            <w:tcW w:w="614" w:type="dxa"/>
            <w:vAlign w:val="top"/>
          </w:tcPr>
          <w:p w14:paraId="73BDFC08">
            <w:pPr>
              <w:rPr>
                <w:rFonts w:ascii="Arial"/>
                <w:color w:val="auto"/>
                <w:sz w:val="21"/>
                <w:highlight w:val="none"/>
              </w:rPr>
            </w:pPr>
          </w:p>
        </w:tc>
        <w:tc>
          <w:tcPr>
            <w:tcW w:w="791" w:type="dxa"/>
            <w:vAlign w:val="top"/>
          </w:tcPr>
          <w:p w14:paraId="74A3B5F1">
            <w:pPr>
              <w:rPr>
                <w:rFonts w:ascii="Arial"/>
                <w:color w:val="auto"/>
                <w:sz w:val="21"/>
                <w:highlight w:val="none"/>
              </w:rPr>
            </w:pPr>
          </w:p>
        </w:tc>
      </w:tr>
      <w:tr w14:paraId="1834D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3" w:type="dxa"/>
            <w:vAlign w:val="top"/>
          </w:tcPr>
          <w:p w14:paraId="3D7FDA1E">
            <w:pPr>
              <w:pStyle w:val="11"/>
              <w:spacing w:before="215" w:line="182" w:lineRule="auto"/>
              <w:ind w:left="337"/>
              <w:rPr>
                <w:color w:val="auto"/>
                <w:highlight w:val="none"/>
              </w:rPr>
            </w:pPr>
            <w:r>
              <w:rPr>
                <w:color w:val="auto"/>
                <w:highlight w:val="none"/>
              </w:rPr>
              <w:t>2</w:t>
            </w:r>
          </w:p>
        </w:tc>
        <w:tc>
          <w:tcPr>
            <w:tcW w:w="1224" w:type="dxa"/>
            <w:vAlign w:val="top"/>
          </w:tcPr>
          <w:p w14:paraId="0DA02193">
            <w:pPr>
              <w:rPr>
                <w:rFonts w:ascii="Arial"/>
                <w:color w:val="auto"/>
                <w:sz w:val="21"/>
                <w:highlight w:val="none"/>
              </w:rPr>
            </w:pPr>
          </w:p>
        </w:tc>
        <w:tc>
          <w:tcPr>
            <w:tcW w:w="615" w:type="dxa"/>
            <w:vAlign w:val="top"/>
          </w:tcPr>
          <w:p w14:paraId="708F13C6">
            <w:pPr>
              <w:rPr>
                <w:rFonts w:ascii="Arial"/>
                <w:color w:val="auto"/>
                <w:sz w:val="21"/>
                <w:highlight w:val="none"/>
              </w:rPr>
            </w:pPr>
          </w:p>
        </w:tc>
        <w:tc>
          <w:tcPr>
            <w:tcW w:w="614" w:type="dxa"/>
            <w:vAlign w:val="top"/>
          </w:tcPr>
          <w:p w14:paraId="1698066A">
            <w:pPr>
              <w:rPr>
                <w:rFonts w:ascii="Arial"/>
                <w:color w:val="auto"/>
                <w:sz w:val="21"/>
                <w:highlight w:val="none"/>
              </w:rPr>
            </w:pPr>
          </w:p>
        </w:tc>
        <w:tc>
          <w:tcPr>
            <w:tcW w:w="614" w:type="dxa"/>
            <w:vAlign w:val="top"/>
          </w:tcPr>
          <w:p w14:paraId="6D59E9BB">
            <w:pPr>
              <w:rPr>
                <w:rFonts w:ascii="Arial"/>
                <w:color w:val="auto"/>
                <w:sz w:val="21"/>
                <w:highlight w:val="none"/>
              </w:rPr>
            </w:pPr>
          </w:p>
        </w:tc>
        <w:tc>
          <w:tcPr>
            <w:tcW w:w="614" w:type="dxa"/>
            <w:vAlign w:val="top"/>
          </w:tcPr>
          <w:p w14:paraId="245814AF">
            <w:pPr>
              <w:rPr>
                <w:rFonts w:ascii="Arial"/>
                <w:color w:val="auto"/>
                <w:sz w:val="21"/>
                <w:highlight w:val="none"/>
              </w:rPr>
            </w:pPr>
          </w:p>
        </w:tc>
        <w:tc>
          <w:tcPr>
            <w:tcW w:w="614" w:type="dxa"/>
            <w:vAlign w:val="top"/>
          </w:tcPr>
          <w:p w14:paraId="26820180">
            <w:pPr>
              <w:rPr>
                <w:rFonts w:ascii="Arial"/>
                <w:color w:val="auto"/>
                <w:sz w:val="21"/>
                <w:highlight w:val="none"/>
              </w:rPr>
            </w:pPr>
          </w:p>
        </w:tc>
        <w:tc>
          <w:tcPr>
            <w:tcW w:w="614" w:type="dxa"/>
            <w:vAlign w:val="top"/>
          </w:tcPr>
          <w:p w14:paraId="4A7C26D3">
            <w:pPr>
              <w:rPr>
                <w:rFonts w:ascii="Arial"/>
                <w:color w:val="auto"/>
                <w:sz w:val="21"/>
                <w:highlight w:val="none"/>
              </w:rPr>
            </w:pPr>
          </w:p>
        </w:tc>
        <w:tc>
          <w:tcPr>
            <w:tcW w:w="615" w:type="dxa"/>
            <w:vAlign w:val="top"/>
          </w:tcPr>
          <w:p w14:paraId="16BBE96C">
            <w:pPr>
              <w:rPr>
                <w:rFonts w:ascii="Arial"/>
                <w:color w:val="auto"/>
                <w:sz w:val="21"/>
                <w:highlight w:val="none"/>
              </w:rPr>
            </w:pPr>
          </w:p>
        </w:tc>
        <w:tc>
          <w:tcPr>
            <w:tcW w:w="619" w:type="dxa"/>
            <w:vAlign w:val="top"/>
          </w:tcPr>
          <w:p w14:paraId="78A4C960">
            <w:pPr>
              <w:rPr>
                <w:rFonts w:ascii="Arial"/>
                <w:color w:val="auto"/>
                <w:sz w:val="21"/>
                <w:highlight w:val="none"/>
              </w:rPr>
            </w:pPr>
          </w:p>
        </w:tc>
        <w:tc>
          <w:tcPr>
            <w:tcW w:w="614" w:type="dxa"/>
            <w:vAlign w:val="top"/>
          </w:tcPr>
          <w:p w14:paraId="57FF71A9">
            <w:pPr>
              <w:rPr>
                <w:rFonts w:ascii="Arial"/>
                <w:color w:val="auto"/>
                <w:sz w:val="21"/>
                <w:highlight w:val="none"/>
              </w:rPr>
            </w:pPr>
          </w:p>
        </w:tc>
        <w:tc>
          <w:tcPr>
            <w:tcW w:w="791" w:type="dxa"/>
            <w:vAlign w:val="top"/>
          </w:tcPr>
          <w:p w14:paraId="0A3D7A1B">
            <w:pPr>
              <w:rPr>
                <w:rFonts w:ascii="Arial"/>
                <w:color w:val="auto"/>
                <w:sz w:val="21"/>
                <w:highlight w:val="none"/>
              </w:rPr>
            </w:pPr>
          </w:p>
        </w:tc>
      </w:tr>
      <w:tr w14:paraId="1B02F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63" w:type="dxa"/>
            <w:vAlign w:val="top"/>
          </w:tcPr>
          <w:p w14:paraId="4CA4E81E">
            <w:pPr>
              <w:pStyle w:val="11"/>
              <w:spacing w:before="215" w:line="182" w:lineRule="auto"/>
              <w:ind w:left="339"/>
              <w:rPr>
                <w:color w:val="auto"/>
                <w:highlight w:val="none"/>
              </w:rPr>
            </w:pPr>
            <w:r>
              <w:rPr>
                <w:color w:val="auto"/>
                <w:highlight w:val="none"/>
              </w:rPr>
              <w:t>3</w:t>
            </w:r>
          </w:p>
        </w:tc>
        <w:tc>
          <w:tcPr>
            <w:tcW w:w="1224" w:type="dxa"/>
            <w:vAlign w:val="top"/>
          </w:tcPr>
          <w:p w14:paraId="365C4113">
            <w:pPr>
              <w:rPr>
                <w:rFonts w:ascii="Arial"/>
                <w:color w:val="auto"/>
                <w:sz w:val="21"/>
                <w:highlight w:val="none"/>
              </w:rPr>
            </w:pPr>
          </w:p>
        </w:tc>
        <w:tc>
          <w:tcPr>
            <w:tcW w:w="615" w:type="dxa"/>
            <w:vAlign w:val="top"/>
          </w:tcPr>
          <w:p w14:paraId="447AACE9">
            <w:pPr>
              <w:rPr>
                <w:rFonts w:ascii="Arial"/>
                <w:color w:val="auto"/>
                <w:sz w:val="21"/>
                <w:highlight w:val="none"/>
              </w:rPr>
            </w:pPr>
          </w:p>
        </w:tc>
        <w:tc>
          <w:tcPr>
            <w:tcW w:w="614" w:type="dxa"/>
            <w:vAlign w:val="top"/>
          </w:tcPr>
          <w:p w14:paraId="42CFC7FF">
            <w:pPr>
              <w:rPr>
                <w:rFonts w:ascii="Arial"/>
                <w:color w:val="auto"/>
                <w:sz w:val="21"/>
                <w:highlight w:val="none"/>
              </w:rPr>
            </w:pPr>
          </w:p>
        </w:tc>
        <w:tc>
          <w:tcPr>
            <w:tcW w:w="614" w:type="dxa"/>
            <w:vAlign w:val="top"/>
          </w:tcPr>
          <w:p w14:paraId="6E1E1A5F">
            <w:pPr>
              <w:rPr>
                <w:rFonts w:ascii="Arial"/>
                <w:color w:val="auto"/>
                <w:sz w:val="21"/>
                <w:highlight w:val="none"/>
              </w:rPr>
            </w:pPr>
          </w:p>
        </w:tc>
        <w:tc>
          <w:tcPr>
            <w:tcW w:w="614" w:type="dxa"/>
            <w:vAlign w:val="top"/>
          </w:tcPr>
          <w:p w14:paraId="02083842">
            <w:pPr>
              <w:rPr>
                <w:rFonts w:ascii="Arial"/>
                <w:color w:val="auto"/>
                <w:sz w:val="21"/>
                <w:highlight w:val="none"/>
              </w:rPr>
            </w:pPr>
          </w:p>
        </w:tc>
        <w:tc>
          <w:tcPr>
            <w:tcW w:w="614" w:type="dxa"/>
            <w:vAlign w:val="top"/>
          </w:tcPr>
          <w:p w14:paraId="6BF26010">
            <w:pPr>
              <w:rPr>
                <w:rFonts w:ascii="Arial"/>
                <w:color w:val="auto"/>
                <w:sz w:val="21"/>
                <w:highlight w:val="none"/>
              </w:rPr>
            </w:pPr>
          </w:p>
        </w:tc>
        <w:tc>
          <w:tcPr>
            <w:tcW w:w="614" w:type="dxa"/>
            <w:vAlign w:val="top"/>
          </w:tcPr>
          <w:p w14:paraId="5439013D">
            <w:pPr>
              <w:rPr>
                <w:rFonts w:ascii="Arial"/>
                <w:color w:val="auto"/>
                <w:sz w:val="21"/>
                <w:highlight w:val="none"/>
              </w:rPr>
            </w:pPr>
          </w:p>
        </w:tc>
        <w:tc>
          <w:tcPr>
            <w:tcW w:w="615" w:type="dxa"/>
            <w:vAlign w:val="top"/>
          </w:tcPr>
          <w:p w14:paraId="4A130A28">
            <w:pPr>
              <w:rPr>
                <w:rFonts w:ascii="Arial"/>
                <w:color w:val="auto"/>
                <w:sz w:val="21"/>
                <w:highlight w:val="none"/>
              </w:rPr>
            </w:pPr>
          </w:p>
        </w:tc>
        <w:tc>
          <w:tcPr>
            <w:tcW w:w="619" w:type="dxa"/>
            <w:vAlign w:val="top"/>
          </w:tcPr>
          <w:p w14:paraId="2E4B081A">
            <w:pPr>
              <w:rPr>
                <w:rFonts w:ascii="Arial"/>
                <w:color w:val="auto"/>
                <w:sz w:val="21"/>
                <w:highlight w:val="none"/>
              </w:rPr>
            </w:pPr>
          </w:p>
        </w:tc>
        <w:tc>
          <w:tcPr>
            <w:tcW w:w="614" w:type="dxa"/>
            <w:vAlign w:val="top"/>
          </w:tcPr>
          <w:p w14:paraId="72A71D96">
            <w:pPr>
              <w:rPr>
                <w:rFonts w:ascii="Arial"/>
                <w:color w:val="auto"/>
                <w:sz w:val="21"/>
                <w:highlight w:val="none"/>
              </w:rPr>
            </w:pPr>
          </w:p>
        </w:tc>
        <w:tc>
          <w:tcPr>
            <w:tcW w:w="791" w:type="dxa"/>
            <w:vAlign w:val="top"/>
          </w:tcPr>
          <w:p w14:paraId="385CDC2E">
            <w:pPr>
              <w:rPr>
                <w:rFonts w:ascii="Arial"/>
                <w:color w:val="auto"/>
                <w:sz w:val="21"/>
                <w:highlight w:val="none"/>
              </w:rPr>
            </w:pPr>
          </w:p>
        </w:tc>
      </w:tr>
      <w:tr w14:paraId="4017C9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63" w:type="dxa"/>
            <w:vAlign w:val="top"/>
          </w:tcPr>
          <w:p w14:paraId="1F2C02C9">
            <w:pPr>
              <w:pStyle w:val="11"/>
              <w:spacing w:before="210" w:line="182" w:lineRule="auto"/>
              <w:ind w:left="334"/>
              <w:rPr>
                <w:color w:val="auto"/>
                <w:highlight w:val="none"/>
              </w:rPr>
            </w:pPr>
            <w:r>
              <w:rPr>
                <w:color w:val="auto"/>
                <w:highlight w:val="none"/>
              </w:rPr>
              <w:t>4</w:t>
            </w:r>
          </w:p>
        </w:tc>
        <w:tc>
          <w:tcPr>
            <w:tcW w:w="1224" w:type="dxa"/>
            <w:vAlign w:val="top"/>
          </w:tcPr>
          <w:p w14:paraId="2E34AA52">
            <w:pPr>
              <w:rPr>
                <w:rFonts w:ascii="Arial"/>
                <w:color w:val="auto"/>
                <w:sz w:val="21"/>
                <w:highlight w:val="none"/>
              </w:rPr>
            </w:pPr>
          </w:p>
        </w:tc>
        <w:tc>
          <w:tcPr>
            <w:tcW w:w="615" w:type="dxa"/>
            <w:vAlign w:val="top"/>
          </w:tcPr>
          <w:p w14:paraId="2AA00E9D">
            <w:pPr>
              <w:rPr>
                <w:rFonts w:ascii="Arial"/>
                <w:color w:val="auto"/>
                <w:sz w:val="21"/>
                <w:highlight w:val="none"/>
              </w:rPr>
            </w:pPr>
          </w:p>
        </w:tc>
        <w:tc>
          <w:tcPr>
            <w:tcW w:w="614" w:type="dxa"/>
            <w:vAlign w:val="top"/>
          </w:tcPr>
          <w:p w14:paraId="692A6B56">
            <w:pPr>
              <w:rPr>
                <w:rFonts w:ascii="Arial"/>
                <w:color w:val="auto"/>
                <w:sz w:val="21"/>
                <w:highlight w:val="none"/>
              </w:rPr>
            </w:pPr>
          </w:p>
        </w:tc>
        <w:tc>
          <w:tcPr>
            <w:tcW w:w="614" w:type="dxa"/>
            <w:vAlign w:val="top"/>
          </w:tcPr>
          <w:p w14:paraId="52693BE6">
            <w:pPr>
              <w:rPr>
                <w:rFonts w:ascii="Arial"/>
                <w:color w:val="auto"/>
                <w:sz w:val="21"/>
                <w:highlight w:val="none"/>
              </w:rPr>
            </w:pPr>
          </w:p>
        </w:tc>
        <w:tc>
          <w:tcPr>
            <w:tcW w:w="614" w:type="dxa"/>
            <w:vAlign w:val="top"/>
          </w:tcPr>
          <w:p w14:paraId="32A56AB7">
            <w:pPr>
              <w:rPr>
                <w:rFonts w:ascii="Arial"/>
                <w:color w:val="auto"/>
                <w:sz w:val="21"/>
                <w:highlight w:val="none"/>
              </w:rPr>
            </w:pPr>
          </w:p>
        </w:tc>
        <w:tc>
          <w:tcPr>
            <w:tcW w:w="614" w:type="dxa"/>
            <w:vAlign w:val="top"/>
          </w:tcPr>
          <w:p w14:paraId="59A4A9B3">
            <w:pPr>
              <w:rPr>
                <w:rFonts w:ascii="Arial"/>
                <w:color w:val="auto"/>
                <w:sz w:val="21"/>
                <w:highlight w:val="none"/>
              </w:rPr>
            </w:pPr>
          </w:p>
        </w:tc>
        <w:tc>
          <w:tcPr>
            <w:tcW w:w="614" w:type="dxa"/>
            <w:vAlign w:val="top"/>
          </w:tcPr>
          <w:p w14:paraId="5C4DA9D8">
            <w:pPr>
              <w:rPr>
                <w:rFonts w:ascii="Arial"/>
                <w:color w:val="auto"/>
                <w:sz w:val="21"/>
                <w:highlight w:val="none"/>
              </w:rPr>
            </w:pPr>
          </w:p>
        </w:tc>
        <w:tc>
          <w:tcPr>
            <w:tcW w:w="615" w:type="dxa"/>
            <w:vAlign w:val="top"/>
          </w:tcPr>
          <w:p w14:paraId="14C4D23E">
            <w:pPr>
              <w:rPr>
                <w:rFonts w:ascii="Arial"/>
                <w:color w:val="auto"/>
                <w:sz w:val="21"/>
                <w:highlight w:val="none"/>
              </w:rPr>
            </w:pPr>
          </w:p>
        </w:tc>
        <w:tc>
          <w:tcPr>
            <w:tcW w:w="619" w:type="dxa"/>
            <w:vAlign w:val="top"/>
          </w:tcPr>
          <w:p w14:paraId="081E2873">
            <w:pPr>
              <w:rPr>
                <w:rFonts w:ascii="Arial"/>
                <w:color w:val="auto"/>
                <w:sz w:val="21"/>
                <w:highlight w:val="none"/>
              </w:rPr>
            </w:pPr>
          </w:p>
        </w:tc>
        <w:tc>
          <w:tcPr>
            <w:tcW w:w="614" w:type="dxa"/>
            <w:vAlign w:val="top"/>
          </w:tcPr>
          <w:p w14:paraId="65E5FFCF">
            <w:pPr>
              <w:rPr>
                <w:rFonts w:ascii="Arial"/>
                <w:color w:val="auto"/>
                <w:sz w:val="21"/>
                <w:highlight w:val="none"/>
              </w:rPr>
            </w:pPr>
          </w:p>
        </w:tc>
        <w:tc>
          <w:tcPr>
            <w:tcW w:w="791" w:type="dxa"/>
            <w:vAlign w:val="top"/>
          </w:tcPr>
          <w:p w14:paraId="4ECCC1D9">
            <w:pPr>
              <w:rPr>
                <w:rFonts w:ascii="Arial"/>
                <w:color w:val="auto"/>
                <w:sz w:val="21"/>
                <w:highlight w:val="none"/>
              </w:rPr>
            </w:pPr>
          </w:p>
        </w:tc>
      </w:tr>
      <w:tr w14:paraId="7BF42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763" w:type="dxa"/>
            <w:vAlign w:val="top"/>
          </w:tcPr>
          <w:p w14:paraId="318EE938">
            <w:pPr>
              <w:pStyle w:val="11"/>
              <w:spacing w:before="212" w:line="181" w:lineRule="auto"/>
              <w:ind w:left="339"/>
              <w:rPr>
                <w:color w:val="auto"/>
                <w:highlight w:val="none"/>
              </w:rPr>
            </w:pPr>
            <w:r>
              <w:rPr>
                <w:color w:val="auto"/>
                <w:highlight w:val="none"/>
              </w:rPr>
              <w:t>5</w:t>
            </w:r>
          </w:p>
        </w:tc>
        <w:tc>
          <w:tcPr>
            <w:tcW w:w="1224" w:type="dxa"/>
            <w:vAlign w:val="top"/>
          </w:tcPr>
          <w:p w14:paraId="13D3235B">
            <w:pPr>
              <w:rPr>
                <w:rFonts w:ascii="Arial"/>
                <w:color w:val="auto"/>
                <w:sz w:val="21"/>
                <w:highlight w:val="none"/>
              </w:rPr>
            </w:pPr>
          </w:p>
        </w:tc>
        <w:tc>
          <w:tcPr>
            <w:tcW w:w="615" w:type="dxa"/>
            <w:vAlign w:val="top"/>
          </w:tcPr>
          <w:p w14:paraId="64B5F9FE">
            <w:pPr>
              <w:rPr>
                <w:rFonts w:ascii="Arial"/>
                <w:color w:val="auto"/>
                <w:sz w:val="21"/>
                <w:highlight w:val="none"/>
              </w:rPr>
            </w:pPr>
          </w:p>
        </w:tc>
        <w:tc>
          <w:tcPr>
            <w:tcW w:w="614" w:type="dxa"/>
            <w:vAlign w:val="top"/>
          </w:tcPr>
          <w:p w14:paraId="0FEEB93C">
            <w:pPr>
              <w:rPr>
                <w:rFonts w:ascii="Arial"/>
                <w:color w:val="auto"/>
                <w:sz w:val="21"/>
                <w:highlight w:val="none"/>
              </w:rPr>
            </w:pPr>
          </w:p>
        </w:tc>
        <w:tc>
          <w:tcPr>
            <w:tcW w:w="614" w:type="dxa"/>
            <w:vAlign w:val="top"/>
          </w:tcPr>
          <w:p w14:paraId="3626E243">
            <w:pPr>
              <w:rPr>
                <w:rFonts w:ascii="Arial"/>
                <w:color w:val="auto"/>
                <w:sz w:val="21"/>
                <w:highlight w:val="none"/>
              </w:rPr>
            </w:pPr>
          </w:p>
        </w:tc>
        <w:tc>
          <w:tcPr>
            <w:tcW w:w="614" w:type="dxa"/>
            <w:vAlign w:val="top"/>
          </w:tcPr>
          <w:p w14:paraId="5F02DED8">
            <w:pPr>
              <w:rPr>
                <w:rFonts w:ascii="Arial"/>
                <w:color w:val="auto"/>
                <w:sz w:val="21"/>
                <w:highlight w:val="none"/>
              </w:rPr>
            </w:pPr>
          </w:p>
        </w:tc>
        <w:tc>
          <w:tcPr>
            <w:tcW w:w="614" w:type="dxa"/>
            <w:vAlign w:val="top"/>
          </w:tcPr>
          <w:p w14:paraId="0177692A">
            <w:pPr>
              <w:rPr>
                <w:rFonts w:ascii="Arial"/>
                <w:color w:val="auto"/>
                <w:sz w:val="21"/>
                <w:highlight w:val="none"/>
              </w:rPr>
            </w:pPr>
          </w:p>
        </w:tc>
        <w:tc>
          <w:tcPr>
            <w:tcW w:w="614" w:type="dxa"/>
            <w:vAlign w:val="top"/>
          </w:tcPr>
          <w:p w14:paraId="6A3A5A44">
            <w:pPr>
              <w:rPr>
                <w:rFonts w:ascii="Arial"/>
                <w:color w:val="auto"/>
                <w:sz w:val="21"/>
                <w:highlight w:val="none"/>
              </w:rPr>
            </w:pPr>
          </w:p>
        </w:tc>
        <w:tc>
          <w:tcPr>
            <w:tcW w:w="615" w:type="dxa"/>
            <w:vAlign w:val="top"/>
          </w:tcPr>
          <w:p w14:paraId="23AEBC99">
            <w:pPr>
              <w:rPr>
                <w:rFonts w:ascii="Arial"/>
                <w:color w:val="auto"/>
                <w:sz w:val="21"/>
                <w:highlight w:val="none"/>
              </w:rPr>
            </w:pPr>
          </w:p>
        </w:tc>
        <w:tc>
          <w:tcPr>
            <w:tcW w:w="619" w:type="dxa"/>
            <w:vAlign w:val="top"/>
          </w:tcPr>
          <w:p w14:paraId="74CBB4DD">
            <w:pPr>
              <w:rPr>
                <w:rFonts w:ascii="Arial"/>
                <w:color w:val="auto"/>
                <w:sz w:val="21"/>
                <w:highlight w:val="none"/>
              </w:rPr>
            </w:pPr>
          </w:p>
        </w:tc>
        <w:tc>
          <w:tcPr>
            <w:tcW w:w="614" w:type="dxa"/>
            <w:vAlign w:val="top"/>
          </w:tcPr>
          <w:p w14:paraId="1E3B60A6">
            <w:pPr>
              <w:rPr>
                <w:rFonts w:ascii="Arial"/>
                <w:color w:val="auto"/>
                <w:sz w:val="21"/>
                <w:highlight w:val="none"/>
              </w:rPr>
            </w:pPr>
          </w:p>
        </w:tc>
        <w:tc>
          <w:tcPr>
            <w:tcW w:w="791" w:type="dxa"/>
            <w:vAlign w:val="top"/>
          </w:tcPr>
          <w:p w14:paraId="3179B03C">
            <w:pPr>
              <w:rPr>
                <w:rFonts w:ascii="Arial"/>
                <w:color w:val="auto"/>
                <w:sz w:val="21"/>
                <w:highlight w:val="none"/>
              </w:rPr>
            </w:pPr>
          </w:p>
        </w:tc>
      </w:tr>
      <w:tr w14:paraId="12A68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3" w:type="dxa"/>
            <w:vAlign w:val="top"/>
          </w:tcPr>
          <w:p w14:paraId="2F3094CE">
            <w:pPr>
              <w:pStyle w:val="11"/>
              <w:spacing w:before="211" w:line="182" w:lineRule="auto"/>
              <w:ind w:left="336"/>
              <w:rPr>
                <w:color w:val="auto"/>
                <w:highlight w:val="none"/>
              </w:rPr>
            </w:pPr>
            <w:r>
              <w:rPr>
                <w:color w:val="auto"/>
                <w:highlight w:val="none"/>
              </w:rPr>
              <w:t>6</w:t>
            </w:r>
          </w:p>
        </w:tc>
        <w:tc>
          <w:tcPr>
            <w:tcW w:w="1224" w:type="dxa"/>
            <w:vAlign w:val="top"/>
          </w:tcPr>
          <w:p w14:paraId="6529177A">
            <w:pPr>
              <w:rPr>
                <w:rFonts w:ascii="Arial"/>
                <w:color w:val="auto"/>
                <w:sz w:val="21"/>
                <w:highlight w:val="none"/>
              </w:rPr>
            </w:pPr>
          </w:p>
        </w:tc>
        <w:tc>
          <w:tcPr>
            <w:tcW w:w="615" w:type="dxa"/>
            <w:vAlign w:val="top"/>
          </w:tcPr>
          <w:p w14:paraId="3AFDE361">
            <w:pPr>
              <w:rPr>
                <w:rFonts w:ascii="Arial"/>
                <w:color w:val="auto"/>
                <w:sz w:val="21"/>
                <w:highlight w:val="none"/>
              </w:rPr>
            </w:pPr>
          </w:p>
        </w:tc>
        <w:tc>
          <w:tcPr>
            <w:tcW w:w="614" w:type="dxa"/>
            <w:vAlign w:val="top"/>
          </w:tcPr>
          <w:p w14:paraId="5F3AAA56">
            <w:pPr>
              <w:rPr>
                <w:rFonts w:ascii="Arial"/>
                <w:color w:val="auto"/>
                <w:sz w:val="21"/>
                <w:highlight w:val="none"/>
              </w:rPr>
            </w:pPr>
          </w:p>
        </w:tc>
        <w:tc>
          <w:tcPr>
            <w:tcW w:w="614" w:type="dxa"/>
            <w:vAlign w:val="top"/>
          </w:tcPr>
          <w:p w14:paraId="5A03706A">
            <w:pPr>
              <w:rPr>
                <w:rFonts w:ascii="Arial"/>
                <w:color w:val="auto"/>
                <w:sz w:val="21"/>
                <w:highlight w:val="none"/>
              </w:rPr>
            </w:pPr>
          </w:p>
        </w:tc>
        <w:tc>
          <w:tcPr>
            <w:tcW w:w="614" w:type="dxa"/>
            <w:vAlign w:val="top"/>
          </w:tcPr>
          <w:p w14:paraId="44117F7E">
            <w:pPr>
              <w:rPr>
                <w:rFonts w:ascii="Arial"/>
                <w:color w:val="auto"/>
                <w:sz w:val="21"/>
                <w:highlight w:val="none"/>
              </w:rPr>
            </w:pPr>
          </w:p>
        </w:tc>
        <w:tc>
          <w:tcPr>
            <w:tcW w:w="614" w:type="dxa"/>
            <w:vAlign w:val="top"/>
          </w:tcPr>
          <w:p w14:paraId="537D5EE6">
            <w:pPr>
              <w:rPr>
                <w:rFonts w:ascii="Arial"/>
                <w:color w:val="auto"/>
                <w:sz w:val="21"/>
                <w:highlight w:val="none"/>
              </w:rPr>
            </w:pPr>
          </w:p>
        </w:tc>
        <w:tc>
          <w:tcPr>
            <w:tcW w:w="614" w:type="dxa"/>
            <w:vAlign w:val="top"/>
          </w:tcPr>
          <w:p w14:paraId="091C8CEE">
            <w:pPr>
              <w:rPr>
                <w:rFonts w:ascii="Arial"/>
                <w:color w:val="auto"/>
                <w:sz w:val="21"/>
                <w:highlight w:val="none"/>
              </w:rPr>
            </w:pPr>
          </w:p>
        </w:tc>
        <w:tc>
          <w:tcPr>
            <w:tcW w:w="615" w:type="dxa"/>
            <w:vAlign w:val="top"/>
          </w:tcPr>
          <w:p w14:paraId="701F0A47">
            <w:pPr>
              <w:rPr>
                <w:rFonts w:ascii="Arial"/>
                <w:color w:val="auto"/>
                <w:sz w:val="21"/>
                <w:highlight w:val="none"/>
              </w:rPr>
            </w:pPr>
          </w:p>
        </w:tc>
        <w:tc>
          <w:tcPr>
            <w:tcW w:w="619" w:type="dxa"/>
            <w:vAlign w:val="top"/>
          </w:tcPr>
          <w:p w14:paraId="66A5EC7E">
            <w:pPr>
              <w:rPr>
                <w:rFonts w:ascii="Arial"/>
                <w:color w:val="auto"/>
                <w:sz w:val="21"/>
                <w:highlight w:val="none"/>
              </w:rPr>
            </w:pPr>
          </w:p>
        </w:tc>
        <w:tc>
          <w:tcPr>
            <w:tcW w:w="614" w:type="dxa"/>
            <w:vAlign w:val="top"/>
          </w:tcPr>
          <w:p w14:paraId="4566818D">
            <w:pPr>
              <w:rPr>
                <w:rFonts w:ascii="Arial"/>
                <w:color w:val="auto"/>
                <w:sz w:val="21"/>
                <w:highlight w:val="none"/>
              </w:rPr>
            </w:pPr>
          </w:p>
        </w:tc>
        <w:tc>
          <w:tcPr>
            <w:tcW w:w="791" w:type="dxa"/>
            <w:vAlign w:val="top"/>
          </w:tcPr>
          <w:p w14:paraId="684EAA57">
            <w:pPr>
              <w:rPr>
                <w:rFonts w:ascii="Arial"/>
                <w:color w:val="auto"/>
                <w:sz w:val="21"/>
                <w:highlight w:val="none"/>
              </w:rPr>
            </w:pPr>
          </w:p>
        </w:tc>
      </w:tr>
      <w:tr w14:paraId="3195C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3" w:type="dxa"/>
            <w:vAlign w:val="top"/>
          </w:tcPr>
          <w:p w14:paraId="07040539">
            <w:pPr>
              <w:pStyle w:val="11"/>
              <w:spacing w:before="181" w:line="332" w:lineRule="exact"/>
              <w:ind w:left="295"/>
              <w:rPr>
                <w:color w:val="auto"/>
                <w:highlight w:val="none"/>
              </w:rPr>
            </w:pPr>
            <w:r>
              <w:rPr>
                <w:color w:val="auto"/>
                <w:position w:val="2"/>
                <w:highlight w:val="none"/>
              </w:rPr>
              <w:t>…</w:t>
            </w:r>
          </w:p>
        </w:tc>
        <w:tc>
          <w:tcPr>
            <w:tcW w:w="1224" w:type="dxa"/>
            <w:vAlign w:val="top"/>
          </w:tcPr>
          <w:p w14:paraId="0705B02E">
            <w:pPr>
              <w:rPr>
                <w:rFonts w:ascii="Arial"/>
                <w:color w:val="auto"/>
                <w:sz w:val="21"/>
                <w:highlight w:val="none"/>
              </w:rPr>
            </w:pPr>
          </w:p>
        </w:tc>
        <w:tc>
          <w:tcPr>
            <w:tcW w:w="615" w:type="dxa"/>
            <w:vAlign w:val="top"/>
          </w:tcPr>
          <w:p w14:paraId="292FE3BA">
            <w:pPr>
              <w:rPr>
                <w:rFonts w:ascii="Arial"/>
                <w:color w:val="auto"/>
                <w:sz w:val="21"/>
                <w:highlight w:val="none"/>
              </w:rPr>
            </w:pPr>
          </w:p>
        </w:tc>
        <w:tc>
          <w:tcPr>
            <w:tcW w:w="614" w:type="dxa"/>
            <w:vAlign w:val="top"/>
          </w:tcPr>
          <w:p w14:paraId="027742F8">
            <w:pPr>
              <w:rPr>
                <w:rFonts w:ascii="Arial"/>
                <w:color w:val="auto"/>
                <w:sz w:val="21"/>
                <w:highlight w:val="none"/>
              </w:rPr>
            </w:pPr>
          </w:p>
        </w:tc>
        <w:tc>
          <w:tcPr>
            <w:tcW w:w="614" w:type="dxa"/>
            <w:vAlign w:val="top"/>
          </w:tcPr>
          <w:p w14:paraId="26B2078F">
            <w:pPr>
              <w:rPr>
                <w:rFonts w:ascii="Arial"/>
                <w:color w:val="auto"/>
                <w:sz w:val="21"/>
                <w:highlight w:val="none"/>
              </w:rPr>
            </w:pPr>
          </w:p>
        </w:tc>
        <w:tc>
          <w:tcPr>
            <w:tcW w:w="614" w:type="dxa"/>
            <w:vAlign w:val="top"/>
          </w:tcPr>
          <w:p w14:paraId="618AED8E">
            <w:pPr>
              <w:rPr>
                <w:rFonts w:ascii="Arial"/>
                <w:color w:val="auto"/>
                <w:sz w:val="21"/>
                <w:highlight w:val="none"/>
              </w:rPr>
            </w:pPr>
          </w:p>
        </w:tc>
        <w:tc>
          <w:tcPr>
            <w:tcW w:w="614" w:type="dxa"/>
            <w:vAlign w:val="top"/>
          </w:tcPr>
          <w:p w14:paraId="61177160">
            <w:pPr>
              <w:rPr>
                <w:rFonts w:ascii="Arial"/>
                <w:color w:val="auto"/>
                <w:sz w:val="21"/>
                <w:highlight w:val="none"/>
              </w:rPr>
            </w:pPr>
          </w:p>
        </w:tc>
        <w:tc>
          <w:tcPr>
            <w:tcW w:w="614" w:type="dxa"/>
            <w:vAlign w:val="top"/>
          </w:tcPr>
          <w:p w14:paraId="124D112E">
            <w:pPr>
              <w:rPr>
                <w:rFonts w:ascii="Arial"/>
                <w:color w:val="auto"/>
                <w:sz w:val="21"/>
                <w:highlight w:val="none"/>
              </w:rPr>
            </w:pPr>
          </w:p>
        </w:tc>
        <w:tc>
          <w:tcPr>
            <w:tcW w:w="615" w:type="dxa"/>
            <w:vAlign w:val="top"/>
          </w:tcPr>
          <w:p w14:paraId="34568DCF">
            <w:pPr>
              <w:rPr>
                <w:rFonts w:ascii="Arial"/>
                <w:color w:val="auto"/>
                <w:sz w:val="21"/>
                <w:highlight w:val="none"/>
              </w:rPr>
            </w:pPr>
          </w:p>
        </w:tc>
        <w:tc>
          <w:tcPr>
            <w:tcW w:w="619" w:type="dxa"/>
            <w:vAlign w:val="top"/>
          </w:tcPr>
          <w:p w14:paraId="66CB2941">
            <w:pPr>
              <w:rPr>
                <w:rFonts w:ascii="Arial"/>
                <w:color w:val="auto"/>
                <w:sz w:val="21"/>
                <w:highlight w:val="none"/>
              </w:rPr>
            </w:pPr>
          </w:p>
        </w:tc>
        <w:tc>
          <w:tcPr>
            <w:tcW w:w="614" w:type="dxa"/>
            <w:vAlign w:val="top"/>
          </w:tcPr>
          <w:p w14:paraId="73D56267">
            <w:pPr>
              <w:rPr>
                <w:rFonts w:ascii="Arial"/>
                <w:color w:val="auto"/>
                <w:sz w:val="21"/>
                <w:highlight w:val="none"/>
              </w:rPr>
            </w:pPr>
          </w:p>
        </w:tc>
        <w:tc>
          <w:tcPr>
            <w:tcW w:w="791" w:type="dxa"/>
            <w:vAlign w:val="top"/>
          </w:tcPr>
          <w:p w14:paraId="38849818">
            <w:pPr>
              <w:rPr>
                <w:rFonts w:ascii="Arial"/>
                <w:color w:val="auto"/>
                <w:sz w:val="21"/>
                <w:highlight w:val="none"/>
              </w:rPr>
            </w:pPr>
          </w:p>
        </w:tc>
      </w:tr>
      <w:tr w14:paraId="4CBBB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8311" w:type="dxa"/>
            <w:gridSpan w:val="12"/>
            <w:vAlign w:val="top"/>
          </w:tcPr>
          <w:p w14:paraId="566874BE">
            <w:pPr>
              <w:pStyle w:val="11"/>
              <w:spacing w:before="32" w:line="220" w:lineRule="auto"/>
              <w:ind w:left="118"/>
              <w:rPr>
                <w:color w:val="auto"/>
                <w:highlight w:val="none"/>
              </w:rPr>
            </w:pPr>
            <w:r>
              <w:rPr>
                <w:color w:val="auto"/>
                <w:spacing w:val="-3"/>
                <w:highlight w:val="none"/>
              </w:rPr>
              <w:t>评标委员会全体成员签名：</w:t>
            </w:r>
          </w:p>
        </w:tc>
      </w:tr>
    </w:tbl>
    <w:p w14:paraId="73FA30DE">
      <w:pPr>
        <w:spacing w:before="29" w:line="221" w:lineRule="auto"/>
        <w:ind w:left="5730"/>
        <w:rPr>
          <w:rFonts w:ascii="宋体" w:hAnsi="宋体" w:eastAsia="宋体" w:cs="宋体"/>
          <w:color w:val="auto"/>
          <w:sz w:val="21"/>
          <w:szCs w:val="21"/>
          <w:highlight w:val="none"/>
        </w:rPr>
      </w:pPr>
      <w:r>
        <w:rPr>
          <w:rFonts w:ascii="宋体" w:hAnsi="宋体" w:eastAsia="宋体" w:cs="宋体"/>
          <w:color w:val="auto"/>
          <w:spacing w:val="-24"/>
          <w:sz w:val="21"/>
          <w:szCs w:val="21"/>
          <w:highlight w:val="none"/>
        </w:rPr>
        <w:t>日期：</w:t>
      </w:r>
      <w:r>
        <w:rPr>
          <w:rFonts w:ascii="宋体" w:hAnsi="宋体" w:eastAsia="宋体" w:cs="宋体"/>
          <w:color w:val="auto"/>
          <w:spacing w:val="21"/>
          <w:sz w:val="21"/>
          <w:szCs w:val="21"/>
          <w:highlight w:val="none"/>
        </w:rPr>
        <w:t xml:space="preserve">    </w:t>
      </w:r>
      <w:r>
        <w:rPr>
          <w:rFonts w:ascii="宋体" w:hAnsi="宋体" w:eastAsia="宋体" w:cs="宋体"/>
          <w:color w:val="auto"/>
          <w:spacing w:val="-24"/>
          <w:sz w:val="21"/>
          <w:szCs w:val="21"/>
          <w:highlight w:val="none"/>
        </w:rPr>
        <w:t>年</w:t>
      </w:r>
      <w:r>
        <w:rPr>
          <w:rFonts w:ascii="宋体" w:hAnsi="宋体" w:eastAsia="宋体" w:cs="宋体"/>
          <w:color w:val="auto"/>
          <w:spacing w:val="4"/>
          <w:sz w:val="21"/>
          <w:szCs w:val="21"/>
          <w:highlight w:val="none"/>
        </w:rPr>
        <w:t xml:space="preserve">    </w:t>
      </w:r>
      <w:r>
        <w:rPr>
          <w:rFonts w:ascii="宋体" w:hAnsi="宋体" w:eastAsia="宋体" w:cs="宋体"/>
          <w:color w:val="auto"/>
          <w:spacing w:val="-24"/>
          <w:sz w:val="21"/>
          <w:szCs w:val="21"/>
          <w:highlight w:val="none"/>
        </w:rPr>
        <w:t>月</w:t>
      </w:r>
      <w:r>
        <w:rPr>
          <w:rFonts w:ascii="宋体" w:hAnsi="宋体" w:eastAsia="宋体" w:cs="宋体"/>
          <w:color w:val="auto"/>
          <w:spacing w:val="10"/>
          <w:sz w:val="21"/>
          <w:szCs w:val="21"/>
          <w:highlight w:val="none"/>
        </w:rPr>
        <w:t xml:space="preserve">    </w:t>
      </w:r>
      <w:r>
        <w:rPr>
          <w:rFonts w:ascii="宋体" w:hAnsi="宋体" w:eastAsia="宋体" w:cs="宋体"/>
          <w:color w:val="auto"/>
          <w:spacing w:val="-24"/>
          <w:sz w:val="21"/>
          <w:szCs w:val="21"/>
          <w:highlight w:val="none"/>
        </w:rPr>
        <w:t>日</w:t>
      </w:r>
    </w:p>
    <w:p w14:paraId="0DF2C174">
      <w:pPr>
        <w:spacing w:line="221" w:lineRule="auto"/>
        <w:rPr>
          <w:rFonts w:ascii="宋体" w:hAnsi="宋体" w:eastAsia="宋体" w:cs="宋体"/>
          <w:color w:val="auto"/>
          <w:sz w:val="21"/>
          <w:szCs w:val="21"/>
          <w:highlight w:val="none"/>
        </w:rPr>
        <w:sectPr>
          <w:footerReference r:id="rId85" w:type="default"/>
          <w:pgSz w:w="11905" w:h="16839"/>
          <w:pgMar w:top="1431" w:right="1785" w:bottom="996" w:left="1785" w:header="0" w:footer="791" w:gutter="0"/>
          <w:pgNumType w:fmt="decimal"/>
          <w:cols w:space="720" w:num="1"/>
        </w:sectPr>
      </w:pPr>
    </w:p>
    <w:p w14:paraId="2334D388">
      <w:pPr>
        <w:spacing w:before="124" w:line="219" w:lineRule="auto"/>
        <w:ind w:left="3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w:t>
      </w:r>
      <w:r>
        <w:rPr>
          <w:rFonts w:ascii="黑体" w:hAnsi="黑体" w:eastAsia="黑体" w:cs="黑体"/>
          <w:color w:val="auto"/>
          <w:spacing w:val="-49"/>
          <w:sz w:val="24"/>
          <w:szCs w:val="24"/>
          <w:highlight w:val="none"/>
        </w:rPr>
        <w:t xml:space="preserve"> </w:t>
      </w:r>
      <w:r>
        <w:rPr>
          <w:rFonts w:ascii="Times New Roman" w:hAnsi="Times New Roman" w:eastAsia="Times New Roman" w:cs="Times New Roman"/>
          <w:color w:val="auto"/>
          <w:spacing w:val="-3"/>
          <w:sz w:val="24"/>
          <w:szCs w:val="24"/>
          <w:highlight w:val="none"/>
        </w:rPr>
        <w:t>A-7</w:t>
      </w:r>
      <w:r>
        <w:rPr>
          <w:rFonts w:ascii="黑体" w:hAnsi="黑体" w:eastAsia="黑体" w:cs="黑体"/>
          <w:color w:val="auto"/>
          <w:spacing w:val="-3"/>
          <w:sz w:val="24"/>
          <w:szCs w:val="24"/>
          <w:highlight w:val="none"/>
        </w:rPr>
        <w:t>：技术标评审记录表（合格性）</w:t>
      </w:r>
    </w:p>
    <w:p w14:paraId="4462E749">
      <w:pPr>
        <w:pStyle w:val="3"/>
        <w:spacing w:line="317" w:lineRule="auto"/>
        <w:rPr>
          <w:color w:val="auto"/>
          <w:highlight w:val="none"/>
        </w:rPr>
      </w:pPr>
    </w:p>
    <w:p w14:paraId="4BBCD4D5">
      <w:pPr>
        <w:pStyle w:val="3"/>
        <w:spacing w:line="317" w:lineRule="auto"/>
        <w:rPr>
          <w:color w:val="auto"/>
          <w:highlight w:val="none"/>
        </w:rPr>
      </w:pPr>
    </w:p>
    <w:p w14:paraId="478223BF">
      <w:pPr>
        <w:spacing w:before="117" w:line="219" w:lineRule="auto"/>
        <w:ind w:left="2742"/>
        <w:rPr>
          <w:rFonts w:ascii="黑体" w:hAnsi="黑体" w:eastAsia="黑体" w:cs="黑体"/>
          <w:color w:val="auto"/>
          <w:sz w:val="36"/>
          <w:szCs w:val="36"/>
          <w:highlight w:val="none"/>
        </w:rPr>
      </w:pPr>
      <w:bookmarkStart w:id="195" w:name="bookmark223"/>
      <w:bookmarkEnd w:id="195"/>
      <w:r>
        <w:rPr>
          <w:rFonts w:ascii="黑体" w:hAnsi="黑体" w:eastAsia="黑体" w:cs="黑体"/>
          <w:color w:val="auto"/>
          <w:spacing w:val="-2"/>
          <w:sz w:val="36"/>
          <w:szCs w:val="36"/>
          <w:highlight w:val="none"/>
        </w:rPr>
        <w:t>技术标评审记录表</w:t>
      </w:r>
    </w:p>
    <w:p w14:paraId="4BFD0AA1">
      <w:pPr>
        <w:spacing w:before="217" w:line="213" w:lineRule="auto"/>
        <w:ind w:left="1503"/>
        <w:rPr>
          <w:rFonts w:ascii="黑体" w:hAnsi="黑体" w:eastAsia="黑体" w:cs="黑体"/>
          <w:color w:val="auto"/>
          <w:sz w:val="36"/>
          <w:szCs w:val="36"/>
          <w:highlight w:val="none"/>
        </w:rPr>
      </w:pPr>
      <w:r>
        <w:rPr>
          <w:rFonts w:ascii="黑体" w:hAnsi="黑体" w:eastAsia="黑体" w:cs="黑体"/>
          <w:color w:val="auto"/>
          <w:spacing w:val="-5"/>
          <w:sz w:val="36"/>
          <w:szCs w:val="36"/>
          <w:highlight w:val="none"/>
        </w:rPr>
        <w:t>（适用于经评审的最低投标价法）</w:t>
      </w:r>
    </w:p>
    <w:p w14:paraId="01351811">
      <w:pPr>
        <w:spacing w:line="221" w:lineRule="auto"/>
        <w:ind w:left="19"/>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标段名称：</w:t>
      </w:r>
    </w:p>
    <w:p w14:paraId="73F11771">
      <w:pPr>
        <w:spacing w:before="22" w:line="214" w:lineRule="auto"/>
        <w:ind w:left="1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标段唯一标识码：</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7"/>
        <w:gridCol w:w="1252"/>
        <w:gridCol w:w="605"/>
        <w:gridCol w:w="609"/>
        <w:gridCol w:w="609"/>
        <w:gridCol w:w="609"/>
        <w:gridCol w:w="610"/>
        <w:gridCol w:w="609"/>
        <w:gridCol w:w="605"/>
        <w:gridCol w:w="609"/>
        <w:gridCol w:w="610"/>
        <w:gridCol w:w="787"/>
      </w:tblGrid>
      <w:tr w14:paraId="0DFA60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97" w:type="dxa"/>
            <w:vMerge w:val="restart"/>
            <w:tcBorders>
              <w:bottom w:val="nil"/>
            </w:tcBorders>
            <w:vAlign w:val="top"/>
          </w:tcPr>
          <w:p w14:paraId="755A3FC2">
            <w:pPr>
              <w:spacing w:line="252" w:lineRule="auto"/>
              <w:rPr>
                <w:rFonts w:ascii="Arial"/>
                <w:color w:val="auto"/>
                <w:sz w:val="21"/>
                <w:highlight w:val="none"/>
              </w:rPr>
            </w:pPr>
          </w:p>
          <w:p w14:paraId="59E88A20">
            <w:pPr>
              <w:pStyle w:val="11"/>
              <w:spacing w:before="69" w:line="222" w:lineRule="auto"/>
              <w:ind w:left="194"/>
              <w:rPr>
                <w:color w:val="auto"/>
                <w:highlight w:val="none"/>
              </w:rPr>
            </w:pPr>
            <w:r>
              <w:rPr>
                <w:color w:val="auto"/>
                <w:spacing w:val="-2"/>
                <w:highlight w:val="none"/>
                <w14:textOutline w14:w="3831" w14:cap="flat" w14:cmpd="sng">
                  <w14:solidFill>
                    <w14:srgbClr w14:val="000000"/>
                  </w14:solidFill>
                  <w14:prstDash w14:val="solid"/>
                  <w14:miter w14:val="0"/>
                </w14:textOutline>
              </w:rPr>
              <w:t>序号</w:t>
            </w:r>
          </w:p>
        </w:tc>
        <w:tc>
          <w:tcPr>
            <w:tcW w:w="1252" w:type="dxa"/>
            <w:vMerge w:val="restart"/>
            <w:tcBorders>
              <w:bottom w:val="nil"/>
            </w:tcBorders>
            <w:vAlign w:val="top"/>
          </w:tcPr>
          <w:p w14:paraId="716D0946">
            <w:pPr>
              <w:pStyle w:val="11"/>
              <w:spacing w:before="187" w:line="230" w:lineRule="auto"/>
              <w:ind w:left="525" w:right="200" w:hanging="313"/>
              <w:rPr>
                <w:color w:val="auto"/>
                <w:highlight w:val="none"/>
              </w:rPr>
            </w:pPr>
            <w:r>
              <w:rPr>
                <w:color w:val="auto"/>
                <w:spacing w:val="-2"/>
                <w:highlight w:val="none"/>
                <w14:textOutline w14:w="3831" w14:cap="flat" w14:cmpd="sng">
                  <w14:solidFill>
                    <w14:srgbClr w14:val="000000"/>
                  </w14:solidFill>
                  <w14:prstDash w14:val="solid"/>
                  <w14:miter w14:val="0"/>
                </w14:textOutline>
              </w:rPr>
              <w:t>投标人名</w:t>
            </w:r>
            <w:r>
              <w:rPr>
                <w:color w:val="auto"/>
                <w:spacing w:val="1"/>
                <w:highlight w:val="none"/>
              </w:rPr>
              <w:t xml:space="preserve"> </w:t>
            </w:r>
            <w:r>
              <w:rPr>
                <w:color w:val="auto"/>
                <w:highlight w:val="none"/>
                <w14:textOutline w14:w="3831" w14:cap="flat" w14:cmpd="sng">
                  <w14:solidFill>
                    <w14:srgbClr w14:val="000000"/>
                  </w14:solidFill>
                  <w14:prstDash w14:val="solid"/>
                  <w14:miter w14:val="0"/>
                </w14:textOutline>
              </w:rPr>
              <w:t>称</w:t>
            </w:r>
          </w:p>
        </w:tc>
        <w:tc>
          <w:tcPr>
            <w:tcW w:w="5475" w:type="dxa"/>
            <w:gridSpan w:val="9"/>
            <w:vAlign w:val="top"/>
          </w:tcPr>
          <w:p w14:paraId="4968703C">
            <w:pPr>
              <w:pStyle w:val="11"/>
              <w:spacing w:before="106" w:line="221" w:lineRule="auto"/>
              <w:ind w:left="1795"/>
              <w:rPr>
                <w:color w:val="auto"/>
                <w:highlight w:val="none"/>
              </w:rPr>
            </w:pPr>
            <w:r>
              <w:rPr>
                <w:color w:val="auto"/>
                <w:highlight w:val="none"/>
                <w14:textOutline w14:w="3831" w14:cap="flat" w14:cmpd="sng">
                  <w14:solidFill>
                    <w14:srgbClr w14:val="000000"/>
                  </w14:solidFill>
                  <w14:prstDash w14:val="solid"/>
                  <w14:miter w14:val="0"/>
                </w14:textOutline>
              </w:rPr>
              <w:t>评审标准及评审意见</w:t>
            </w:r>
          </w:p>
        </w:tc>
        <w:tc>
          <w:tcPr>
            <w:tcW w:w="787" w:type="dxa"/>
            <w:vMerge w:val="restart"/>
            <w:tcBorders>
              <w:bottom w:val="nil"/>
            </w:tcBorders>
            <w:vAlign w:val="top"/>
          </w:tcPr>
          <w:p w14:paraId="2F2FCF7A">
            <w:pPr>
              <w:pStyle w:val="11"/>
              <w:spacing w:before="188" w:line="236" w:lineRule="auto"/>
              <w:ind w:left="185"/>
              <w:rPr>
                <w:color w:val="auto"/>
                <w:highlight w:val="none"/>
              </w:rPr>
            </w:pPr>
            <w:r>
              <w:rPr>
                <w:color w:val="auto"/>
                <w:spacing w:val="-2"/>
                <w:highlight w:val="none"/>
                <w14:textOutline w14:w="3831" w14:cap="flat" w14:cmpd="sng">
                  <w14:solidFill>
                    <w14:srgbClr w14:val="000000"/>
                  </w14:solidFill>
                  <w14:prstDash w14:val="solid"/>
                  <w14:miter w14:val="0"/>
                </w14:textOutline>
              </w:rPr>
              <w:t>评审</w:t>
            </w:r>
          </w:p>
          <w:p w14:paraId="14F5753B">
            <w:pPr>
              <w:pStyle w:val="11"/>
              <w:spacing w:line="222" w:lineRule="auto"/>
              <w:ind w:left="191"/>
              <w:rPr>
                <w:color w:val="auto"/>
                <w:highlight w:val="none"/>
              </w:rPr>
            </w:pPr>
            <w:r>
              <w:rPr>
                <w:color w:val="auto"/>
                <w:spacing w:val="-3"/>
                <w:highlight w:val="none"/>
                <w14:textOutline w14:w="3831" w14:cap="flat" w14:cmpd="sng">
                  <w14:solidFill>
                    <w14:srgbClr w14:val="000000"/>
                  </w14:solidFill>
                  <w14:prstDash w14:val="solid"/>
                  <w14:miter w14:val="0"/>
                </w14:textOutline>
              </w:rPr>
              <w:t>结论</w:t>
            </w:r>
          </w:p>
        </w:tc>
      </w:tr>
      <w:tr w14:paraId="17DE8F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97" w:type="dxa"/>
            <w:vMerge w:val="continue"/>
            <w:tcBorders>
              <w:top w:val="nil"/>
            </w:tcBorders>
            <w:vAlign w:val="top"/>
          </w:tcPr>
          <w:p w14:paraId="2779CFE1">
            <w:pPr>
              <w:rPr>
                <w:rFonts w:ascii="Arial"/>
                <w:color w:val="auto"/>
                <w:sz w:val="21"/>
                <w:highlight w:val="none"/>
              </w:rPr>
            </w:pPr>
          </w:p>
        </w:tc>
        <w:tc>
          <w:tcPr>
            <w:tcW w:w="1252" w:type="dxa"/>
            <w:vMerge w:val="continue"/>
            <w:tcBorders>
              <w:top w:val="nil"/>
            </w:tcBorders>
            <w:vAlign w:val="top"/>
          </w:tcPr>
          <w:p w14:paraId="2BCD38FA">
            <w:pPr>
              <w:rPr>
                <w:rFonts w:ascii="Arial"/>
                <w:color w:val="auto"/>
                <w:sz w:val="21"/>
                <w:highlight w:val="none"/>
              </w:rPr>
            </w:pPr>
          </w:p>
        </w:tc>
        <w:tc>
          <w:tcPr>
            <w:tcW w:w="605" w:type="dxa"/>
            <w:vAlign w:val="top"/>
          </w:tcPr>
          <w:p w14:paraId="288C23D1">
            <w:pPr>
              <w:rPr>
                <w:rFonts w:ascii="Arial"/>
                <w:color w:val="auto"/>
                <w:sz w:val="21"/>
                <w:highlight w:val="none"/>
              </w:rPr>
            </w:pPr>
          </w:p>
        </w:tc>
        <w:tc>
          <w:tcPr>
            <w:tcW w:w="609" w:type="dxa"/>
            <w:vAlign w:val="top"/>
          </w:tcPr>
          <w:p w14:paraId="0EEEBACE">
            <w:pPr>
              <w:rPr>
                <w:rFonts w:ascii="Arial"/>
                <w:color w:val="auto"/>
                <w:sz w:val="21"/>
                <w:highlight w:val="none"/>
              </w:rPr>
            </w:pPr>
          </w:p>
        </w:tc>
        <w:tc>
          <w:tcPr>
            <w:tcW w:w="609" w:type="dxa"/>
            <w:vAlign w:val="top"/>
          </w:tcPr>
          <w:p w14:paraId="5F7C3777">
            <w:pPr>
              <w:rPr>
                <w:rFonts w:ascii="Arial"/>
                <w:color w:val="auto"/>
                <w:sz w:val="21"/>
                <w:highlight w:val="none"/>
              </w:rPr>
            </w:pPr>
          </w:p>
        </w:tc>
        <w:tc>
          <w:tcPr>
            <w:tcW w:w="609" w:type="dxa"/>
            <w:vAlign w:val="top"/>
          </w:tcPr>
          <w:p w14:paraId="3FD13EA1">
            <w:pPr>
              <w:rPr>
                <w:rFonts w:ascii="Arial"/>
                <w:color w:val="auto"/>
                <w:sz w:val="21"/>
                <w:highlight w:val="none"/>
              </w:rPr>
            </w:pPr>
          </w:p>
        </w:tc>
        <w:tc>
          <w:tcPr>
            <w:tcW w:w="610" w:type="dxa"/>
            <w:vAlign w:val="top"/>
          </w:tcPr>
          <w:p w14:paraId="687B21E4">
            <w:pPr>
              <w:rPr>
                <w:rFonts w:ascii="Arial"/>
                <w:color w:val="auto"/>
                <w:sz w:val="21"/>
                <w:highlight w:val="none"/>
              </w:rPr>
            </w:pPr>
          </w:p>
        </w:tc>
        <w:tc>
          <w:tcPr>
            <w:tcW w:w="609" w:type="dxa"/>
            <w:vAlign w:val="top"/>
          </w:tcPr>
          <w:p w14:paraId="33570FF2">
            <w:pPr>
              <w:rPr>
                <w:rFonts w:ascii="Arial"/>
                <w:color w:val="auto"/>
                <w:sz w:val="21"/>
                <w:highlight w:val="none"/>
              </w:rPr>
            </w:pPr>
          </w:p>
        </w:tc>
        <w:tc>
          <w:tcPr>
            <w:tcW w:w="605" w:type="dxa"/>
            <w:vAlign w:val="top"/>
          </w:tcPr>
          <w:p w14:paraId="1FC63B8F">
            <w:pPr>
              <w:rPr>
                <w:rFonts w:ascii="Arial"/>
                <w:color w:val="auto"/>
                <w:sz w:val="21"/>
                <w:highlight w:val="none"/>
              </w:rPr>
            </w:pPr>
          </w:p>
        </w:tc>
        <w:tc>
          <w:tcPr>
            <w:tcW w:w="609" w:type="dxa"/>
            <w:vAlign w:val="top"/>
          </w:tcPr>
          <w:p w14:paraId="3DB0EE9E">
            <w:pPr>
              <w:rPr>
                <w:rFonts w:ascii="Arial"/>
                <w:color w:val="auto"/>
                <w:sz w:val="21"/>
                <w:highlight w:val="none"/>
              </w:rPr>
            </w:pPr>
          </w:p>
        </w:tc>
        <w:tc>
          <w:tcPr>
            <w:tcW w:w="610" w:type="dxa"/>
            <w:vAlign w:val="top"/>
          </w:tcPr>
          <w:p w14:paraId="4177EB7D">
            <w:pPr>
              <w:rPr>
                <w:rFonts w:ascii="Arial"/>
                <w:color w:val="auto"/>
                <w:sz w:val="21"/>
                <w:highlight w:val="none"/>
              </w:rPr>
            </w:pPr>
          </w:p>
        </w:tc>
        <w:tc>
          <w:tcPr>
            <w:tcW w:w="787" w:type="dxa"/>
            <w:vMerge w:val="continue"/>
            <w:tcBorders>
              <w:top w:val="nil"/>
            </w:tcBorders>
            <w:vAlign w:val="top"/>
          </w:tcPr>
          <w:p w14:paraId="0C9B2AFC">
            <w:pPr>
              <w:rPr>
                <w:rFonts w:ascii="Arial"/>
                <w:color w:val="auto"/>
                <w:sz w:val="21"/>
                <w:highlight w:val="none"/>
              </w:rPr>
            </w:pPr>
          </w:p>
        </w:tc>
      </w:tr>
      <w:tr w14:paraId="11FB9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97" w:type="dxa"/>
            <w:vAlign w:val="top"/>
          </w:tcPr>
          <w:p w14:paraId="038D0A71">
            <w:pPr>
              <w:pStyle w:val="11"/>
              <w:spacing w:before="212" w:line="183" w:lineRule="auto"/>
              <w:ind w:left="369"/>
              <w:rPr>
                <w:color w:val="auto"/>
                <w:highlight w:val="none"/>
              </w:rPr>
            </w:pPr>
            <w:r>
              <w:rPr>
                <w:color w:val="auto"/>
                <w:highlight w:val="none"/>
              </w:rPr>
              <w:t>1</w:t>
            </w:r>
          </w:p>
        </w:tc>
        <w:tc>
          <w:tcPr>
            <w:tcW w:w="1252" w:type="dxa"/>
            <w:vAlign w:val="top"/>
          </w:tcPr>
          <w:p w14:paraId="23833CB4">
            <w:pPr>
              <w:rPr>
                <w:rFonts w:ascii="Arial"/>
                <w:color w:val="auto"/>
                <w:sz w:val="21"/>
                <w:highlight w:val="none"/>
              </w:rPr>
            </w:pPr>
          </w:p>
        </w:tc>
        <w:tc>
          <w:tcPr>
            <w:tcW w:w="605" w:type="dxa"/>
            <w:vAlign w:val="top"/>
          </w:tcPr>
          <w:p w14:paraId="7B737160">
            <w:pPr>
              <w:rPr>
                <w:rFonts w:ascii="Arial"/>
                <w:color w:val="auto"/>
                <w:sz w:val="21"/>
                <w:highlight w:val="none"/>
              </w:rPr>
            </w:pPr>
          </w:p>
        </w:tc>
        <w:tc>
          <w:tcPr>
            <w:tcW w:w="609" w:type="dxa"/>
            <w:vAlign w:val="top"/>
          </w:tcPr>
          <w:p w14:paraId="0DE117FC">
            <w:pPr>
              <w:rPr>
                <w:rFonts w:ascii="Arial"/>
                <w:color w:val="auto"/>
                <w:sz w:val="21"/>
                <w:highlight w:val="none"/>
              </w:rPr>
            </w:pPr>
          </w:p>
        </w:tc>
        <w:tc>
          <w:tcPr>
            <w:tcW w:w="609" w:type="dxa"/>
            <w:vAlign w:val="top"/>
          </w:tcPr>
          <w:p w14:paraId="2B7FBFDA">
            <w:pPr>
              <w:rPr>
                <w:rFonts w:ascii="Arial"/>
                <w:color w:val="auto"/>
                <w:sz w:val="21"/>
                <w:highlight w:val="none"/>
              </w:rPr>
            </w:pPr>
          </w:p>
        </w:tc>
        <w:tc>
          <w:tcPr>
            <w:tcW w:w="609" w:type="dxa"/>
            <w:vAlign w:val="top"/>
          </w:tcPr>
          <w:p w14:paraId="609001F1">
            <w:pPr>
              <w:rPr>
                <w:rFonts w:ascii="Arial"/>
                <w:color w:val="auto"/>
                <w:sz w:val="21"/>
                <w:highlight w:val="none"/>
              </w:rPr>
            </w:pPr>
          </w:p>
        </w:tc>
        <w:tc>
          <w:tcPr>
            <w:tcW w:w="610" w:type="dxa"/>
            <w:vAlign w:val="top"/>
          </w:tcPr>
          <w:p w14:paraId="62EFAD79">
            <w:pPr>
              <w:rPr>
                <w:rFonts w:ascii="Arial"/>
                <w:color w:val="auto"/>
                <w:sz w:val="21"/>
                <w:highlight w:val="none"/>
              </w:rPr>
            </w:pPr>
          </w:p>
        </w:tc>
        <w:tc>
          <w:tcPr>
            <w:tcW w:w="609" w:type="dxa"/>
            <w:vAlign w:val="top"/>
          </w:tcPr>
          <w:p w14:paraId="6310F441">
            <w:pPr>
              <w:rPr>
                <w:rFonts w:ascii="Arial"/>
                <w:color w:val="auto"/>
                <w:sz w:val="21"/>
                <w:highlight w:val="none"/>
              </w:rPr>
            </w:pPr>
          </w:p>
        </w:tc>
        <w:tc>
          <w:tcPr>
            <w:tcW w:w="605" w:type="dxa"/>
            <w:vAlign w:val="top"/>
          </w:tcPr>
          <w:p w14:paraId="3DFC2579">
            <w:pPr>
              <w:rPr>
                <w:rFonts w:ascii="Arial"/>
                <w:color w:val="auto"/>
                <w:sz w:val="21"/>
                <w:highlight w:val="none"/>
              </w:rPr>
            </w:pPr>
          </w:p>
        </w:tc>
        <w:tc>
          <w:tcPr>
            <w:tcW w:w="609" w:type="dxa"/>
            <w:vAlign w:val="top"/>
          </w:tcPr>
          <w:p w14:paraId="4803DB1F">
            <w:pPr>
              <w:rPr>
                <w:rFonts w:ascii="Arial"/>
                <w:color w:val="auto"/>
                <w:sz w:val="21"/>
                <w:highlight w:val="none"/>
              </w:rPr>
            </w:pPr>
          </w:p>
        </w:tc>
        <w:tc>
          <w:tcPr>
            <w:tcW w:w="610" w:type="dxa"/>
            <w:vAlign w:val="top"/>
          </w:tcPr>
          <w:p w14:paraId="178FCA6B">
            <w:pPr>
              <w:rPr>
                <w:rFonts w:ascii="Arial"/>
                <w:color w:val="auto"/>
                <w:sz w:val="21"/>
                <w:highlight w:val="none"/>
              </w:rPr>
            </w:pPr>
          </w:p>
        </w:tc>
        <w:tc>
          <w:tcPr>
            <w:tcW w:w="787" w:type="dxa"/>
            <w:vAlign w:val="top"/>
          </w:tcPr>
          <w:p w14:paraId="0BFAB851">
            <w:pPr>
              <w:rPr>
                <w:rFonts w:ascii="Arial"/>
                <w:color w:val="auto"/>
                <w:sz w:val="21"/>
                <w:highlight w:val="none"/>
              </w:rPr>
            </w:pPr>
          </w:p>
        </w:tc>
      </w:tr>
      <w:tr w14:paraId="0FDDF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97" w:type="dxa"/>
            <w:vAlign w:val="top"/>
          </w:tcPr>
          <w:p w14:paraId="400AB80D">
            <w:pPr>
              <w:pStyle w:val="11"/>
              <w:spacing w:before="215" w:line="182" w:lineRule="auto"/>
              <w:ind w:left="356"/>
              <w:rPr>
                <w:color w:val="auto"/>
                <w:highlight w:val="none"/>
              </w:rPr>
            </w:pPr>
            <w:r>
              <w:rPr>
                <w:color w:val="auto"/>
                <w:highlight w:val="none"/>
              </w:rPr>
              <w:t>2</w:t>
            </w:r>
          </w:p>
        </w:tc>
        <w:tc>
          <w:tcPr>
            <w:tcW w:w="1252" w:type="dxa"/>
            <w:vAlign w:val="top"/>
          </w:tcPr>
          <w:p w14:paraId="32BDA8AF">
            <w:pPr>
              <w:rPr>
                <w:rFonts w:ascii="Arial"/>
                <w:color w:val="auto"/>
                <w:sz w:val="21"/>
                <w:highlight w:val="none"/>
              </w:rPr>
            </w:pPr>
          </w:p>
        </w:tc>
        <w:tc>
          <w:tcPr>
            <w:tcW w:w="605" w:type="dxa"/>
            <w:vAlign w:val="top"/>
          </w:tcPr>
          <w:p w14:paraId="66430051">
            <w:pPr>
              <w:rPr>
                <w:rFonts w:ascii="Arial"/>
                <w:color w:val="auto"/>
                <w:sz w:val="21"/>
                <w:highlight w:val="none"/>
              </w:rPr>
            </w:pPr>
          </w:p>
        </w:tc>
        <w:tc>
          <w:tcPr>
            <w:tcW w:w="609" w:type="dxa"/>
            <w:vAlign w:val="top"/>
          </w:tcPr>
          <w:p w14:paraId="600E1DF1">
            <w:pPr>
              <w:rPr>
                <w:rFonts w:ascii="Arial"/>
                <w:color w:val="auto"/>
                <w:sz w:val="21"/>
                <w:highlight w:val="none"/>
              </w:rPr>
            </w:pPr>
          </w:p>
        </w:tc>
        <w:tc>
          <w:tcPr>
            <w:tcW w:w="609" w:type="dxa"/>
            <w:vAlign w:val="top"/>
          </w:tcPr>
          <w:p w14:paraId="2F9D7340">
            <w:pPr>
              <w:rPr>
                <w:rFonts w:ascii="Arial"/>
                <w:color w:val="auto"/>
                <w:sz w:val="21"/>
                <w:highlight w:val="none"/>
              </w:rPr>
            </w:pPr>
          </w:p>
        </w:tc>
        <w:tc>
          <w:tcPr>
            <w:tcW w:w="609" w:type="dxa"/>
            <w:vAlign w:val="top"/>
          </w:tcPr>
          <w:p w14:paraId="67933CEC">
            <w:pPr>
              <w:rPr>
                <w:rFonts w:ascii="Arial"/>
                <w:color w:val="auto"/>
                <w:sz w:val="21"/>
                <w:highlight w:val="none"/>
              </w:rPr>
            </w:pPr>
          </w:p>
        </w:tc>
        <w:tc>
          <w:tcPr>
            <w:tcW w:w="610" w:type="dxa"/>
            <w:vAlign w:val="top"/>
          </w:tcPr>
          <w:p w14:paraId="4BCCD863">
            <w:pPr>
              <w:rPr>
                <w:rFonts w:ascii="Arial"/>
                <w:color w:val="auto"/>
                <w:sz w:val="21"/>
                <w:highlight w:val="none"/>
              </w:rPr>
            </w:pPr>
          </w:p>
        </w:tc>
        <w:tc>
          <w:tcPr>
            <w:tcW w:w="609" w:type="dxa"/>
            <w:vAlign w:val="top"/>
          </w:tcPr>
          <w:p w14:paraId="74F95CC9">
            <w:pPr>
              <w:rPr>
                <w:rFonts w:ascii="Arial"/>
                <w:color w:val="auto"/>
                <w:sz w:val="21"/>
                <w:highlight w:val="none"/>
              </w:rPr>
            </w:pPr>
          </w:p>
        </w:tc>
        <w:tc>
          <w:tcPr>
            <w:tcW w:w="605" w:type="dxa"/>
            <w:vAlign w:val="top"/>
          </w:tcPr>
          <w:p w14:paraId="36B6DD89">
            <w:pPr>
              <w:rPr>
                <w:rFonts w:ascii="Arial"/>
                <w:color w:val="auto"/>
                <w:sz w:val="21"/>
                <w:highlight w:val="none"/>
              </w:rPr>
            </w:pPr>
          </w:p>
        </w:tc>
        <w:tc>
          <w:tcPr>
            <w:tcW w:w="609" w:type="dxa"/>
            <w:vAlign w:val="top"/>
          </w:tcPr>
          <w:p w14:paraId="00AEC753">
            <w:pPr>
              <w:rPr>
                <w:rFonts w:ascii="Arial"/>
                <w:color w:val="auto"/>
                <w:sz w:val="21"/>
                <w:highlight w:val="none"/>
              </w:rPr>
            </w:pPr>
          </w:p>
        </w:tc>
        <w:tc>
          <w:tcPr>
            <w:tcW w:w="610" w:type="dxa"/>
            <w:vAlign w:val="top"/>
          </w:tcPr>
          <w:p w14:paraId="11441AB1">
            <w:pPr>
              <w:rPr>
                <w:rFonts w:ascii="Arial"/>
                <w:color w:val="auto"/>
                <w:sz w:val="21"/>
                <w:highlight w:val="none"/>
              </w:rPr>
            </w:pPr>
          </w:p>
        </w:tc>
        <w:tc>
          <w:tcPr>
            <w:tcW w:w="787" w:type="dxa"/>
            <w:vAlign w:val="top"/>
          </w:tcPr>
          <w:p w14:paraId="1E84C8E5">
            <w:pPr>
              <w:rPr>
                <w:rFonts w:ascii="Arial"/>
                <w:color w:val="auto"/>
                <w:sz w:val="21"/>
                <w:highlight w:val="none"/>
              </w:rPr>
            </w:pPr>
          </w:p>
        </w:tc>
      </w:tr>
      <w:tr w14:paraId="10A4B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97" w:type="dxa"/>
            <w:vAlign w:val="top"/>
          </w:tcPr>
          <w:p w14:paraId="201F4C7C">
            <w:pPr>
              <w:pStyle w:val="11"/>
              <w:spacing w:before="210" w:line="182" w:lineRule="auto"/>
              <w:ind w:left="358"/>
              <w:rPr>
                <w:color w:val="auto"/>
                <w:highlight w:val="none"/>
              </w:rPr>
            </w:pPr>
            <w:r>
              <w:rPr>
                <w:color w:val="auto"/>
                <w:highlight w:val="none"/>
              </w:rPr>
              <w:t>3</w:t>
            </w:r>
          </w:p>
        </w:tc>
        <w:tc>
          <w:tcPr>
            <w:tcW w:w="1252" w:type="dxa"/>
            <w:vAlign w:val="top"/>
          </w:tcPr>
          <w:p w14:paraId="1B715DBB">
            <w:pPr>
              <w:rPr>
                <w:rFonts w:ascii="Arial"/>
                <w:color w:val="auto"/>
                <w:sz w:val="21"/>
                <w:highlight w:val="none"/>
              </w:rPr>
            </w:pPr>
          </w:p>
        </w:tc>
        <w:tc>
          <w:tcPr>
            <w:tcW w:w="605" w:type="dxa"/>
            <w:vAlign w:val="top"/>
          </w:tcPr>
          <w:p w14:paraId="59582AAC">
            <w:pPr>
              <w:rPr>
                <w:rFonts w:ascii="Arial"/>
                <w:color w:val="auto"/>
                <w:sz w:val="21"/>
                <w:highlight w:val="none"/>
              </w:rPr>
            </w:pPr>
          </w:p>
        </w:tc>
        <w:tc>
          <w:tcPr>
            <w:tcW w:w="609" w:type="dxa"/>
            <w:vAlign w:val="top"/>
          </w:tcPr>
          <w:p w14:paraId="52B87DB6">
            <w:pPr>
              <w:rPr>
                <w:rFonts w:ascii="Arial"/>
                <w:color w:val="auto"/>
                <w:sz w:val="21"/>
                <w:highlight w:val="none"/>
              </w:rPr>
            </w:pPr>
          </w:p>
        </w:tc>
        <w:tc>
          <w:tcPr>
            <w:tcW w:w="609" w:type="dxa"/>
            <w:vAlign w:val="top"/>
          </w:tcPr>
          <w:p w14:paraId="04880264">
            <w:pPr>
              <w:rPr>
                <w:rFonts w:ascii="Arial"/>
                <w:color w:val="auto"/>
                <w:sz w:val="21"/>
                <w:highlight w:val="none"/>
              </w:rPr>
            </w:pPr>
          </w:p>
        </w:tc>
        <w:tc>
          <w:tcPr>
            <w:tcW w:w="609" w:type="dxa"/>
            <w:vAlign w:val="top"/>
          </w:tcPr>
          <w:p w14:paraId="7A31F695">
            <w:pPr>
              <w:rPr>
                <w:rFonts w:ascii="Arial"/>
                <w:color w:val="auto"/>
                <w:sz w:val="21"/>
                <w:highlight w:val="none"/>
              </w:rPr>
            </w:pPr>
          </w:p>
        </w:tc>
        <w:tc>
          <w:tcPr>
            <w:tcW w:w="610" w:type="dxa"/>
            <w:vAlign w:val="top"/>
          </w:tcPr>
          <w:p w14:paraId="7306FD1F">
            <w:pPr>
              <w:rPr>
                <w:rFonts w:ascii="Arial"/>
                <w:color w:val="auto"/>
                <w:sz w:val="21"/>
                <w:highlight w:val="none"/>
              </w:rPr>
            </w:pPr>
          </w:p>
        </w:tc>
        <w:tc>
          <w:tcPr>
            <w:tcW w:w="609" w:type="dxa"/>
            <w:vAlign w:val="top"/>
          </w:tcPr>
          <w:p w14:paraId="44474D47">
            <w:pPr>
              <w:rPr>
                <w:rFonts w:ascii="Arial"/>
                <w:color w:val="auto"/>
                <w:sz w:val="21"/>
                <w:highlight w:val="none"/>
              </w:rPr>
            </w:pPr>
          </w:p>
        </w:tc>
        <w:tc>
          <w:tcPr>
            <w:tcW w:w="605" w:type="dxa"/>
            <w:vAlign w:val="top"/>
          </w:tcPr>
          <w:p w14:paraId="341A00A8">
            <w:pPr>
              <w:rPr>
                <w:rFonts w:ascii="Arial"/>
                <w:color w:val="auto"/>
                <w:sz w:val="21"/>
                <w:highlight w:val="none"/>
              </w:rPr>
            </w:pPr>
          </w:p>
        </w:tc>
        <w:tc>
          <w:tcPr>
            <w:tcW w:w="609" w:type="dxa"/>
            <w:vAlign w:val="top"/>
          </w:tcPr>
          <w:p w14:paraId="3DD3F6A3">
            <w:pPr>
              <w:rPr>
                <w:rFonts w:ascii="Arial"/>
                <w:color w:val="auto"/>
                <w:sz w:val="21"/>
                <w:highlight w:val="none"/>
              </w:rPr>
            </w:pPr>
          </w:p>
        </w:tc>
        <w:tc>
          <w:tcPr>
            <w:tcW w:w="610" w:type="dxa"/>
            <w:vAlign w:val="top"/>
          </w:tcPr>
          <w:p w14:paraId="7820DBEB">
            <w:pPr>
              <w:rPr>
                <w:rFonts w:ascii="Arial"/>
                <w:color w:val="auto"/>
                <w:sz w:val="21"/>
                <w:highlight w:val="none"/>
              </w:rPr>
            </w:pPr>
          </w:p>
        </w:tc>
        <w:tc>
          <w:tcPr>
            <w:tcW w:w="787" w:type="dxa"/>
            <w:vAlign w:val="top"/>
          </w:tcPr>
          <w:p w14:paraId="6CF9367D">
            <w:pPr>
              <w:rPr>
                <w:rFonts w:ascii="Arial"/>
                <w:color w:val="auto"/>
                <w:sz w:val="21"/>
                <w:highlight w:val="none"/>
              </w:rPr>
            </w:pPr>
          </w:p>
        </w:tc>
      </w:tr>
      <w:tr w14:paraId="66D47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97" w:type="dxa"/>
            <w:vAlign w:val="top"/>
          </w:tcPr>
          <w:p w14:paraId="6B9C8AFD">
            <w:pPr>
              <w:pStyle w:val="11"/>
              <w:spacing w:before="210" w:line="182" w:lineRule="auto"/>
              <w:ind w:left="353"/>
              <w:rPr>
                <w:color w:val="auto"/>
                <w:highlight w:val="none"/>
              </w:rPr>
            </w:pPr>
            <w:r>
              <w:rPr>
                <w:color w:val="auto"/>
                <w:highlight w:val="none"/>
              </w:rPr>
              <w:t>4</w:t>
            </w:r>
          </w:p>
        </w:tc>
        <w:tc>
          <w:tcPr>
            <w:tcW w:w="1252" w:type="dxa"/>
            <w:vAlign w:val="top"/>
          </w:tcPr>
          <w:p w14:paraId="0C502688">
            <w:pPr>
              <w:rPr>
                <w:rFonts w:ascii="Arial"/>
                <w:color w:val="auto"/>
                <w:sz w:val="21"/>
                <w:highlight w:val="none"/>
              </w:rPr>
            </w:pPr>
          </w:p>
        </w:tc>
        <w:tc>
          <w:tcPr>
            <w:tcW w:w="605" w:type="dxa"/>
            <w:vAlign w:val="top"/>
          </w:tcPr>
          <w:p w14:paraId="0B6551DE">
            <w:pPr>
              <w:rPr>
                <w:rFonts w:ascii="Arial"/>
                <w:color w:val="auto"/>
                <w:sz w:val="21"/>
                <w:highlight w:val="none"/>
              </w:rPr>
            </w:pPr>
          </w:p>
        </w:tc>
        <w:tc>
          <w:tcPr>
            <w:tcW w:w="609" w:type="dxa"/>
            <w:vAlign w:val="top"/>
          </w:tcPr>
          <w:p w14:paraId="15AA9E91">
            <w:pPr>
              <w:rPr>
                <w:rFonts w:ascii="Arial"/>
                <w:color w:val="auto"/>
                <w:sz w:val="21"/>
                <w:highlight w:val="none"/>
              </w:rPr>
            </w:pPr>
          </w:p>
        </w:tc>
        <w:tc>
          <w:tcPr>
            <w:tcW w:w="609" w:type="dxa"/>
            <w:vAlign w:val="top"/>
          </w:tcPr>
          <w:p w14:paraId="5E19AA47">
            <w:pPr>
              <w:rPr>
                <w:rFonts w:ascii="Arial"/>
                <w:color w:val="auto"/>
                <w:sz w:val="21"/>
                <w:highlight w:val="none"/>
              </w:rPr>
            </w:pPr>
          </w:p>
        </w:tc>
        <w:tc>
          <w:tcPr>
            <w:tcW w:w="609" w:type="dxa"/>
            <w:vAlign w:val="top"/>
          </w:tcPr>
          <w:p w14:paraId="7D60AE0B">
            <w:pPr>
              <w:rPr>
                <w:rFonts w:ascii="Arial"/>
                <w:color w:val="auto"/>
                <w:sz w:val="21"/>
                <w:highlight w:val="none"/>
              </w:rPr>
            </w:pPr>
          </w:p>
        </w:tc>
        <w:tc>
          <w:tcPr>
            <w:tcW w:w="610" w:type="dxa"/>
            <w:vAlign w:val="top"/>
          </w:tcPr>
          <w:p w14:paraId="12FC977B">
            <w:pPr>
              <w:rPr>
                <w:rFonts w:ascii="Arial"/>
                <w:color w:val="auto"/>
                <w:sz w:val="21"/>
                <w:highlight w:val="none"/>
              </w:rPr>
            </w:pPr>
          </w:p>
        </w:tc>
        <w:tc>
          <w:tcPr>
            <w:tcW w:w="609" w:type="dxa"/>
            <w:vAlign w:val="top"/>
          </w:tcPr>
          <w:p w14:paraId="3EF1992F">
            <w:pPr>
              <w:rPr>
                <w:rFonts w:ascii="Arial"/>
                <w:color w:val="auto"/>
                <w:sz w:val="21"/>
                <w:highlight w:val="none"/>
              </w:rPr>
            </w:pPr>
          </w:p>
        </w:tc>
        <w:tc>
          <w:tcPr>
            <w:tcW w:w="605" w:type="dxa"/>
            <w:vAlign w:val="top"/>
          </w:tcPr>
          <w:p w14:paraId="2F7DF622">
            <w:pPr>
              <w:rPr>
                <w:rFonts w:ascii="Arial"/>
                <w:color w:val="auto"/>
                <w:sz w:val="21"/>
                <w:highlight w:val="none"/>
              </w:rPr>
            </w:pPr>
          </w:p>
        </w:tc>
        <w:tc>
          <w:tcPr>
            <w:tcW w:w="609" w:type="dxa"/>
            <w:vAlign w:val="top"/>
          </w:tcPr>
          <w:p w14:paraId="767E01B9">
            <w:pPr>
              <w:rPr>
                <w:rFonts w:ascii="Arial"/>
                <w:color w:val="auto"/>
                <w:sz w:val="21"/>
                <w:highlight w:val="none"/>
              </w:rPr>
            </w:pPr>
          </w:p>
        </w:tc>
        <w:tc>
          <w:tcPr>
            <w:tcW w:w="610" w:type="dxa"/>
            <w:vAlign w:val="top"/>
          </w:tcPr>
          <w:p w14:paraId="5CE61271">
            <w:pPr>
              <w:rPr>
                <w:rFonts w:ascii="Arial"/>
                <w:color w:val="auto"/>
                <w:sz w:val="21"/>
                <w:highlight w:val="none"/>
              </w:rPr>
            </w:pPr>
          </w:p>
        </w:tc>
        <w:tc>
          <w:tcPr>
            <w:tcW w:w="787" w:type="dxa"/>
            <w:vAlign w:val="top"/>
          </w:tcPr>
          <w:p w14:paraId="3727D7EF">
            <w:pPr>
              <w:rPr>
                <w:rFonts w:ascii="Arial"/>
                <w:color w:val="auto"/>
                <w:sz w:val="21"/>
                <w:highlight w:val="none"/>
              </w:rPr>
            </w:pPr>
          </w:p>
        </w:tc>
      </w:tr>
      <w:tr w14:paraId="74AE7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97" w:type="dxa"/>
            <w:vAlign w:val="top"/>
          </w:tcPr>
          <w:p w14:paraId="418444B1">
            <w:pPr>
              <w:pStyle w:val="11"/>
              <w:spacing w:before="217" w:line="181" w:lineRule="auto"/>
              <w:ind w:left="358"/>
              <w:rPr>
                <w:color w:val="auto"/>
                <w:highlight w:val="none"/>
              </w:rPr>
            </w:pPr>
            <w:r>
              <w:rPr>
                <w:color w:val="auto"/>
                <w:highlight w:val="none"/>
              </w:rPr>
              <w:t>5</w:t>
            </w:r>
          </w:p>
        </w:tc>
        <w:tc>
          <w:tcPr>
            <w:tcW w:w="1252" w:type="dxa"/>
            <w:vAlign w:val="top"/>
          </w:tcPr>
          <w:p w14:paraId="7EEB0C7D">
            <w:pPr>
              <w:rPr>
                <w:rFonts w:ascii="Arial"/>
                <w:color w:val="auto"/>
                <w:sz w:val="21"/>
                <w:highlight w:val="none"/>
              </w:rPr>
            </w:pPr>
          </w:p>
        </w:tc>
        <w:tc>
          <w:tcPr>
            <w:tcW w:w="605" w:type="dxa"/>
            <w:vAlign w:val="top"/>
          </w:tcPr>
          <w:p w14:paraId="52C9575C">
            <w:pPr>
              <w:rPr>
                <w:rFonts w:ascii="Arial"/>
                <w:color w:val="auto"/>
                <w:sz w:val="21"/>
                <w:highlight w:val="none"/>
              </w:rPr>
            </w:pPr>
          </w:p>
        </w:tc>
        <w:tc>
          <w:tcPr>
            <w:tcW w:w="609" w:type="dxa"/>
            <w:vAlign w:val="top"/>
          </w:tcPr>
          <w:p w14:paraId="46FBC77A">
            <w:pPr>
              <w:rPr>
                <w:rFonts w:ascii="Arial"/>
                <w:color w:val="auto"/>
                <w:sz w:val="21"/>
                <w:highlight w:val="none"/>
              </w:rPr>
            </w:pPr>
          </w:p>
        </w:tc>
        <w:tc>
          <w:tcPr>
            <w:tcW w:w="609" w:type="dxa"/>
            <w:vAlign w:val="top"/>
          </w:tcPr>
          <w:p w14:paraId="25044B78">
            <w:pPr>
              <w:rPr>
                <w:rFonts w:ascii="Arial"/>
                <w:color w:val="auto"/>
                <w:sz w:val="21"/>
                <w:highlight w:val="none"/>
              </w:rPr>
            </w:pPr>
          </w:p>
        </w:tc>
        <w:tc>
          <w:tcPr>
            <w:tcW w:w="609" w:type="dxa"/>
            <w:vAlign w:val="top"/>
          </w:tcPr>
          <w:p w14:paraId="239FF128">
            <w:pPr>
              <w:rPr>
                <w:rFonts w:ascii="Arial"/>
                <w:color w:val="auto"/>
                <w:sz w:val="21"/>
                <w:highlight w:val="none"/>
              </w:rPr>
            </w:pPr>
          </w:p>
        </w:tc>
        <w:tc>
          <w:tcPr>
            <w:tcW w:w="610" w:type="dxa"/>
            <w:vAlign w:val="top"/>
          </w:tcPr>
          <w:p w14:paraId="1C871629">
            <w:pPr>
              <w:rPr>
                <w:rFonts w:ascii="Arial"/>
                <w:color w:val="auto"/>
                <w:sz w:val="21"/>
                <w:highlight w:val="none"/>
              </w:rPr>
            </w:pPr>
          </w:p>
        </w:tc>
        <w:tc>
          <w:tcPr>
            <w:tcW w:w="609" w:type="dxa"/>
            <w:vAlign w:val="top"/>
          </w:tcPr>
          <w:p w14:paraId="28AD8199">
            <w:pPr>
              <w:rPr>
                <w:rFonts w:ascii="Arial"/>
                <w:color w:val="auto"/>
                <w:sz w:val="21"/>
                <w:highlight w:val="none"/>
              </w:rPr>
            </w:pPr>
          </w:p>
        </w:tc>
        <w:tc>
          <w:tcPr>
            <w:tcW w:w="605" w:type="dxa"/>
            <w:vAlign w:val="top"/>
          </w:tcPr>
          <w:p w14:paraId="2F9366D7">
            <w:pPr>
              <w:rPr>
                <w:rFonts w:ascii="Arial"/>
                <w:color w:val="auto"/>
                <w:sz w:val="21"/>
                <w:highlight w:val="none"/>
              </w:rPr>
            </w:pPr>
          </w:p>
        </w:tc>
        <w:tc>
          <w:tcPr>
            <w:tcW w:w="609" w:type="dxa"/>
            <w:vAlign w:val="top"/>
          </w:tcPr>
          <w:p w14:paraId="14771EA7">
            <w:pPr>
              <w:rPr>
                <w:rFonts w:ascii="Arial"/>
                <w:color w:val="auto"/>
                <w:sz w:val="21"/>
                <w:highlight w:val="none"/>
              </w:rPr>
            </w:pPr>
          </w:p>
        </w:tc>
        <w:tc>
          <w:tcPr>
            <w:tcW w:w="610" w:type="dxa"/>
            <w:vAlign w:val="top"/>
          </w:tcPr>
          <w:p w14:paraId="650F69E4">
            <w:pPr>
              <w:rPr>
                <w:rFonts w:ascii="Arial"/>
                <w:color w:val="auto"/>
                <w:sz w:val="21"/>
                <w:highlight w:val="none"/>
              </w:rPr>
            </w:pPr>
          </w:p>
        </w:tc>
        <w:tc>
          <w:tcPr>
            <w:tcW w:w="787" w:type="dxa"/>
            <w:vAlign w:val="top"/>
          </w:tcPr>
          <w:p w14:paraId="39F6C118">
            <w:pPr>
              <w:rPr>
                <w:rFonts w:ascii="Arial"/>
                <w:color w:val="auto"/>
                <w:sz w:val="21"/>
                <w:highlight w:val="none"/>
              </w:rPr>
            </w:pPr>
          </w:p>
        </w:tc>
      </w:tr>
      <w:tr w14:paraId="6DC1F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97" w:type="dxa"/>
            <w:vAlign w:val="top"/>
          </w:tcPr>
          <w:p w14:paraId="279B1826">
            <w:pPr>
              <w:pStyle w:val="11"/>
              <w:spacing w:before="216" w:line="182" w:lineRule="auto"/>
              <w:ind w:left="355"/>
              <w:rPr>
                <w:color w:val="auto"/>
                <w:highlight w:val="none"/>
              </w:rPr>
            </w:pPr>
            <w:r>
              <w:rPr>
                <w:color w:val="auto"/>
                <w:highlight w:val="none"/>
              </w:rPr>
              <w:t>6</w:t>
            </w:r>
          </w:p>
        </w:tc>
        <w:tc>
          <w:tcPr>
            <w:tcW w:w="1252" w:type="dxa"/>
            <w:vAlign w:val="top"/>
          </w:tcPr>
          <w:p w14:paraId="0ED4C48A">
            <w:pPr>
              <w:rPr>
                <w:rFonts w:ascii="Arial"/>
                <w:color w:val="auto"/>
                <w:sz w:val="21"/>
                <w:highlight w:val="none"/>
              </w:rPr>
            </w:pPr>
          </w:p>
        </w:tc>
        <w:tc>
          <w:tcPr>
            <w:tcW w:w="605" w:type="dxa"/>
            <w:vAlign w:val="top"/>
          </w:tcPr>
          <w:p w14:paraId="3DFAF7B4">
            <w:pPr>
              <w:rPr>
                <w:rFonts w:ascii="Arial"/>
                <w:color w:val="auto"/>
                <w:sz w:val="21"/>
                <w:highlight w:val="none"/>
              </w:rPr>
            </w:pPr>
          </w:p>
        </w:tc>
        <w:tc>
          <w:tcPr>
            <w:tcW w:w="609" w:type="dxa"/>
            <w:vAlign w:val="top"/>
          </w:tcPr>
          <w:p w14:paraId="49A95427">
            <w:pPr>
              <w:rPr>
                <w:rFonts w:ascii="Arial"/>
                <w:color w:val="auto"/>
                <w:sz w:val="21"/>
                <w:highlight w:val="none"/>
              </w:rPr>
            </w:pPr>
          </w:p>
        </w:tc>
        <w:tc>
          <w:tcPr>
            <w:tcW w:w="609" w:type="dxa"/>
            <w:vAlign w:val="top"/>
          </w:tcPr>
          <w:p w14:paraId="2F2B134F">
            <w:pPr>
              <w:rPr>
                <w:rFonts w:ascii="Arial"/>
                <w:color w:val="auto"/>
                <w:sz w:val="21"/>
                <w:highlight w:val="none"/>
              </w:rPr>
            </w:pPr>
          </w:p>
        </w:tc>
        <w:tc>
          <w:tcPr>
            <w:tcW w:w="609" w:type="dxa"/>
            <w:vAlign w:val="top"/>
          </w:tcPr>
          <w:p w14:paraId="37EFE9CA">
            <w:pPr>
              <w:rPr>
                <w:rFonts w:ascii="Arial"/>
                <w:color w:val="auto"/>
                <w:sz w:val="21"/>
                <w:highlight w:val="none"/>
              </w:rPr>
            </w:pPr>
          </w:p>
        </w:tc>
        <w:tc>
          <w:tcPr>
            <w:tcW w:w="610" w:type="dxa"/>
            <w:vAlign w:val="top"/>
          </w:tcPr>
          <w:p w14:paraId="794EEFFF">
            <w:pPr>
              <w:rPr>
                <w:rFonts w:ascii="Arial"/>
                <w:color w:val="auto"/>
                <w:sz w:val="21"/>
                <w:highlight w:val="none"/>
              </w:rPr>
            </w:pPr>
          </w:p>
        </w:tc>
        <w:tc>
          <w:tcPr>
            <w:tcW w:w="609" w:type="dxa"/>
            <w:vAlign w:val="top"/>
          </w:tcPr>
          <w:p w14:paraId="7E0AFBB3">
            <w:pPr>
              <w:rPr>
                <w:rFonts w:ascii="Arial"/>
                <w:color w:val="auto"/>
                <w:sz w:val="21"/>
                <w:highlight w:val="none"/>
              </w:rPr>
            </w:pPr>
          </w:p>
        </w:tc>
        <w:tc>
          <w:tcPr>
            <w:tcW w:w="605" w:type="dxa"/>
            <w:vAlign w:val="top"/>
          </w:tcPr>
          <w:p w14:paraId="7691AA54">
            <w:pPr>
              <w:rPr>
                <w:rFonts w:ascii="Arial"/>
                <w:color w:val="auto"/>
                <w:sz w:val="21"/>
                <w:highlight w:val="none"/>
              </w:rPr>
            </w:pPr>
          </w:p>
        </w:tc>
        <w:tc>
          <w:tcPr>
            <w:tcW w:w="609" w:type="dxa"/>
            <w:vAlign w:val="top"/>
          </w:tcPr>
          <w:p w14:paraId="0DADD343">
            <w:pPr>
              <w:rPr>
                <w:rFonts w:ascii="Arial"/>
                <w:color w:val="auto"/>
                <w:sz w:val="21"/>
                <w:highlight w:val="none"/>
              </w:rPr>
            </w:pPr>
          </w:p>
        </w:tc>
        <w:tc>
          <w:tcPr>
            <w:tcW w:w="610" w:type="dxa"/>
            <w:vAlign w:val="top"/>
          </w:tcPr>
          <w:p w14:paraId="74EEE6B1">
            <w:pPr>
              <w:rPr>
                <w:rFonts w:ascii="Arial"/>
                <w:color w:val="auto"/>
                <w:sz w:val="21"/>
                <w:highlight w:val="none"/>
              </w:rPr>
            </w:pPr>
          </w:p>
        </w:tc>
        <w:tc>
          <w:tcPr>
            <w:tcW w:w="787" w:type="dxa"/>
            <w:vAlign w:val="top"/>
          </w:tcPr>
          <w:p w14:paraId="330682D9">
            <w:pPr>
              <w:rPr>
                <w:rFonts w:ascii="Arial"/>
                <w:color w:val="auto"/>
                <w:sz w:val="21"/>
                <w:highlight w:val="none"/>
              </w:rPr>
            </w:pPr>
          </w:p>
        </w:tc>
      </w:tr>
      <w:tr w14:paraId="0DF64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97" w:type="dxa"/>
            <w:vAlign w:val="top"/>
          </w:tcPr>
          <w:p w14:paraId="4F04789B">
            <w:pPr>
              <w:pStyle w:val="11"/>
              <w:spacing w:before="181" w:line="332" w:lineRule="exact"/>
              <w:ind w:left="314"/>
              <w:rPr>
                <w:color w:val="auto"/>
                <w:highlight w:val="none"/>
              </w:rPr>
            </w:pPr>
            <w:r>
              <w:rPr>
                <w:color w:val="auto"/>
                <w:position w:val="2"/>
                <w:highlight w:val="none"/>
              </w:rPr>
              <w:t>…</w:t>
            </w:r>
          </w:p>
        </w:tc>
        <w:tc>
          <w:tcPr>
            <w:tcW w:w="1252" w:type="dxa"/>
            <w:vAlign w:val="top"/>
          </w:tcPr>
          <w:p w14:paraId="7F845F9D">
            <w:pPr>
              <w:rPr>
                <w:rFonts w:ascii="Arial"/>
                <w:color w:val="auto"/>
                <w:sz w:val="21"/>
                <w:highlight w:val="none"/>
              </w:rPr>
            </w:pPr>
          </w:p>
        </w:tc>
        <w:tc>
          <w:tcPr>
            <w:tcW w:w="605" w:type="dxa"/>
            <w:vAlign w:val="top"/>
          </w:tcPr>
          <w:p w14:paraId="7C2A6D09">
            <w:pPr>
              <w:rPr>
                <w:rFonts w:ascii="Arial"/>
                <w:color w:val="auto"/>
                <w:sz w:val="21"/>
                <w:highlight w:val="none"/>
              </w:rPr>
            </w:pPr>
          </w:p>
        </w:tc>
        <w:tc>
          <w:tcPr>
            <w:tcW w:w="609" w:type="dxa"/>
            <w:vAlign w:val="top"/>
          </w:tcPr>
          <w:p w14:paraId="33C89A66">
            <w:pPr>
              <w:rPr>
                <w:rFonts w:ascii="Arial"/>
                <w:color w:val="auto"/>
                <w:sz w:val="21"/>
                <w:highlight w:val="none"/>
              </w:rPr>
            </w:pPr>
          </w:p>
        </w:tc>
        <w:tc>
          <w:tcPr>
            <w:tcW w:w="609" w:type="dxa"/>
            <w:vAlign w:val="top"/>
          </w:tcPr>
          <w:p w14:paraId="369914F1">
            <w:pPr>
              <w:rPr>
                <w:rFonts w:ascii="Arial"/>
                <w:color w:val="auto"/>
                <w:sz w:val="21"/>
                <w:highlight w:val="none"/>
              </w:rPr>
            </w:pPr>
          </w:p>
        </w:tc>
        <w:tc>
          <w:tcPr>
            <w:tcW w:w="609" w:type="dxa"/>
            <w:vAlign w:val="top"/>
          </w:tcPr>
          <w:p w14:paraId="053604CA">
            <w:pPr>
              <w:rPr>
                <w:rFonts w:ascii="Arial"/>
                <w:color w:val="auto"/>
                <w:sz w:val="21"/>
                <w:highlight w:val="none"/>
              </w:rPr>
            </w:pPr>
          </w:p>
        </w:tc>
        <w:tc>
          <w:tcPr>
            <w:tcW w:w="610" w:type="dxa"/>
            <w:vAlign w:val="top"/>
          </w:tcPr>
          <w:p w14:paraId="1CBA3D34">
            <w:pPr>
              <w:rPr>
                <w:rFonts w:ascii="Arial"/>
                <w:color w:val="auto"/>
                <w:sz w:val="21"/>
                <w:highlight w:val="none"/>
              </w:rPr>
            </w:pPr>
          </w:p>
        </w:tc>
        <w:tc>
          <w:tcPr>
            <w:tcW w:w="609" w:type="dxa"/>
            <w:vAlign w:val="top"/>
          </w:tcPr>
          <w:p w14:paraId="14993828">
            <w:pPr>
              <w:rPr>
                <w:rFonts w:ascii="Arial"/>
                <w:color w:val="auto"/>
                <w:sz w:val="21"/>
                <w:highlight w:val="none"/>
              </w:rPr>
            </w:pPr>
          </w:p>
        </w:tc>
        <w:tc>
          <w:tcPr>
            <w:tcW w:w="605" w:type="dxa"/>
            <w:vAlign w:val="top"/>
          </w:tcPr>
          <w:p w14:paraId="03C4CF01">
            <w:pPr>
              <w:rPr>
                <w:rFonts w:ascii="Arial"/>
                <w:color w:val="auto"/>
                <w:sz w:val="21"/>
                <w:highlight w:val="none"/>
              </w:rPr>
            </w:pPr>
          </w:p>
        </w:tc>
        <w:tc>
          <w:tcPr>
            <w:tcW w:w="609" w:type="dxa"/>
            <w:vAlign w:val="top"/>
          </w:tcPr>
          <w:p w14:paraId="57263D38">
            <w:pPr>
              <w:rPr>
                <w:rFonts w:ascii="Arial"/>
                <w:color w:val="auto"/>
                <w:sz w:val="21"/>
                <w:highlight w:val="none"/>
              </w:rPr>
            </w:pPr>
          </w:p>
        </w:tc>
        <w:tc>
          <w:tcPr>
            <w:tcW w:w="610" w:type="dxa"/>
            <w:vAlign w:val="top"/>
          </w:tcPr>
          <w:p w14:paraId="52AE832B">
            <w:pPr>
              <w:rPr>
                <w:rFonts w:ascii="Arial"/>
                <w:color w:val="auto"/>
                <w:sz w:val="21"/>
                <w:highlight w:val="none"/>
              </w:rPr>
            </w:pPr>
          </w:p>
        </w:tc>
        <w:tc>
          <w:tcPr>
            <w:tcW w:w="787" w:type="dxa"/>
            <w:vAlign w:val="top"/>
          </w:tcPr>
          <w:p w14:paraId="3A016D20">
            <w:pPr>
              <w:rPr>
                <w:rFonts w:ascii="Arial"/>
                <w:color w:val="auto"/>
                <w:sz w:val="21"/>
                <w:highlight w:val="none"/>
              </w:rPr>
            </w:pPr>
          </w:p>
        </w:tc>
      </w:tr>
      <w:tr w14:paraId="739A9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8311" w:type="dxa"/>
            <w:gridSpan w:val="12"/>
            <w:vAlign w:val="top"/>
          </w:tcPr>
          <w:p w14:paraId="6A853CAA">
            <w:pPr>
              <w:pStyle w:val="11"/>
              <w:spacing w:before="33" w:line="220" w:lineRule="auto"/>
              <w:ind w:left="118"/>
              <w:rPr>
                <w:color w:val="auto"/>
                <w:highlight w:val="none"/>
              </w:rPr>
            </w:pPr>
            <w:r>
              <w:rPr>
                <w:color w:val="auto"/>
                <w:spacing w:val="-3"/>
                <w:highlight w:val="none"/>
              </w:rPr>
              <w:t>评标委员会全体成员签名：</w:t>
            </w:r>
          </w:p>
        </w:tc>
      </w:tr>
    </w:tbl>
    <w:p w14:paraId="550AE6AF">
      <w:pPr>
        <w:spacing w:before="140" w:line="221" w:lineRule="auto"/>
        <w:ind w:left="5624"/>
        <w:rPr>
          <w:rFonts w:ascii="宋体" w:hAnsi="宋体" w:eastAsia="宋体" w:cs="宋体"/>
          <w:color w:val="auto"/>
          <w:sz w:val="21"/>
          <w:szCs w:val="21"/>
          <w:highlight w:val="none"/>
        </w:rPr>
      </w:pPr>
      <w:r>
        <w:rPr>
          <w:rFonts w:ascii="宋体" w:hAnsi="宋体" w:eastAsia="宋体" w:cs="宋体"/>
          <w:color w:val="auto"/>
          <w:spacing w:val="-19"/>
          <w:sz w:val="21"/>
          <w:szCs w:val="21"/>
          <w:highlight w:val="none"/>
        </w:rPr>
        <w:t>日期：</w:t>
      </w:r>
      <w:r>
        <w:rPr>
          <w:rFonts w:ascii="宋体" w:hAnsi="宋体" w:eastAsia="宋体" w:cs="宋体"/>
          <w:color w:val="auto"/>
          <w:spacing w:val="24"/>
          <w:sz w:val="21"/>
          <w:szCs w:val="21"/>
          <w:highlight w:val="none"/>
        </w:rPr>
        <w:t xml:space="preserve">    </w:t>
      </w:r>
      <w:r>
        <w:rPr>
          <w:rFonts w:ascii="宋体" w:hAnsi="宋体" w:eastAsia="宋体" w:cs="宋体"/>
          <w:color w:val="auto"/>
          <w:spacing w:val="-19"/>
          <w:sz w:val="21"/>
          <w:szCs w:val="21"/>
          <w:highlight w:val="none"/>
        </w:rPr>
        <w:t>年</w:t>
      </w:r>
      <w:r>
        <w:rPr>
          <w:rFonts w:ascii="宋体" w:hAnsi="宋体" w:eastAsia="宋体" w:cs="宋体"/>
          <w:color w:val="auto"/>
          <w:spacing w:val="2"/>
          <w:sz w:val="21"/>
          <w:szCs w:val="21"/>
          <w:highlight w:val="none"/>
        </w:rPr>
        <w:t xml:space="preserve">    </w:t>
      </w:r>
      <w:r>
        <w:rPr>
          <w:rFonts w:ascii="宋体" w:hAnsi="宋体" w:eastAsia="宋体" w:cs="宋体"/>
          <w:color w:val="auto"/>
          <w:spacing w:val="-19"/>
          <w:sz w:val="21"/>
          <w:szCs w:val="21"/>
          <w:highlight w:val="none"/>
        </w:rPr>
        <w:t>月     日</w:t>
      </w:r>
    </w:p>
    <w:p w14:paraId="7BA1B333">
      <w:pPr>
        <w:spacing w:line="221" w:lineRule="auto"/>
        <w:rPr>
          <w:rFonts w:ascii="宋体" w:hAnsi="宋体" w:eastAsia="宋体" w:cs="宋体"/>
          <w:color w:val="auto"/>
          <w:sz w:val="21"/>
          <w:szCs w:val="21"/>
          <w:highlight w:val="none"/>
        </w:rPr>
        <w:sectPr>
          <w:footerReference r:id="rId86" w:type="default"/>
          <w:pgSz w:w="11905" w:h="16839"/>
          <w:pgMar w:top="1431" w:right="1785" w:bottom="996" w:left="1785" w:header="0" w:footer="791" w:gutter="0"/>
          <w:pgNumType w:fmt="decimal"/>
          <w:cols w:space="720" w:num="1"/>
        </w:sectPr>
      </w:pPr>
    </w:p>
    <w:p w14:paraId="78B0388B">
      <w:pPr>
        <w:spacing w:before="124" w:line="219" w:lineRule="auto"/>
        <w:ind w:left="137"/>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w:t>
      </w:r>
      <w:r>
        <w:rPr>
          <w:rFonts w:ascii="黑体" w:hAnsi="黑体" w:eastAsia="黑体" w:cs="黑体"/>
          <w:color w:val="auto"/>
          <w:spacing w:val="-48"/>
          <w:sz w:val="24"/>
          <w:szCs w:val="24"/>
          <w:highlight w:val="none"/>
        </w:rPr>
        <w:t xml:space="preserve"> </w:t>
      </w:r>
      <w:r>
        <w:rPr>
          <w:rFonts w:ascii="Times New Roman" w:hAnsi="Times New Roman" w:eastAsia="Times New Roman" w:cs="Times New Roman"/>
          <w:color w:val="auto"/>
          <w:spacing w:val="-3"/>
          <w:sz w:val="24"/>
          <w:szCs w:val="24"/>
          <w:highlight w:val="none"/>
        </w:rPr>
        <w:t>A-8</w:t>
      </w:r>
      <w:r>
        <w:rPr>
          <w:rFonts w:ascii="黑体" w:hAnsi="黑体" w:eastAsia="黑体" w:cs="黑体"/>
          <w:color w:val="auto"/>
          <w:spacing w:val="-3"/>
          <w:sz w:val="24"/>
          <w:szCs w:val="24"/>
          <w:highlight w:val="none"/>
        </w:rPr>
        <w:t>：初步评审汇总记录表</w:t>
      </w:r>
    </w:p>
    <w:p w14:paraId="68E212B7">
      <w:pPr>
        <w:pStyle w:val="3"/>
        <w:spacing w:line="317" w:lineRule="auto"/>
        <w:rPr>
          <w:color w:val="auto"/>
          <w:highlight w:val="none"/>
        </w:rPr>
      </w:pPr>
    </w:p>
    <w:p w14:paraId="27ECC8FE">
      <w:pPr>
        <w:pStyle w:val="3"/>
        <w:spacing w:line="317" w:lineRule="auto"/>
        <w:rPr>
          <w:color w:val="auto"/>
          <w:highlight w:val="none"/>
        </w:rPr>
      </w:pPr>
    </w:p>
    <w:p w14:paraId="4DD00542">
      <w:pPr>
        <w:spacing w:before="117" w:line="219" w:lineRule="auto"/>
        <w:ind w:left="2662"/>
        <w:rPr>
          <w:rFonts w:ascii="黑体" w:hAnsi="黑体" w:eastAsia="黑体" w:cs="黑体"/>
          <w:color w:val="auto"/>
          <w:sz w:val="36"/>
          <w:szCs w:val="36"/>
          <w:highlight w:val="none"/>
        </w:rPr>
      </w:pPr>
      <w:bookmarkStart w:id="196" w:name="bookmark224"/>
      <w:bookmarkEnd w:id="196"/>
      <w:r>
        <w:rPr>
          <w:rFonts w:ascii="黑体" w:hAnsi="黑体" w:eastAsia="黑体" w:cs="黑体"/>
          <w:color w:val="auto"/>
          <w:spacing w:val="-2"/>
          <w:sz w:val="36"/>
          <w:szCs w:val="36"/>
          <w:highlight w:val="none"/>
        </w:rPr>
        <w:t>初步评审汇总记录表</w:t>
      </w:r>
    </w:p>
    <w:p w14:paraId="1A1494F2">
      <w:pPr>
        <w:spacing w:line="191" w:lineRule="exact"/>
        <w:rPr>
          <w:color w:val="auto"/>
          <w:highlight w:val="none"/>
        </w:rPr>
      </w:pPr>
    </w:p>
    <w:p w14:paraId="5187F6E5">
      <w:pPr>
        <w:spacing w:line="191" w:lineRule="exact"/>
        <w:rPr>
          <w:color w:val="auto"/>
          <w:highlight w:val="none"/>
        </w:rPr>
        <w:sectPr>
          <w:footerReference r:id="rId87" w:type="default"/>
          <w:pgSz w:w="11905" w:h="16839"/>
          <w:pgMar w:top="1431" w:right="1785" w:bottom="996" w:left="1680" w:header="0" w:footer="791" w:gutter="0"/>
          <w:pgNumType w:fmt="decimal"/>
          <w:cols w:equalWidth="0" w:num="1">
            <w:col w:w="8438"/>
          </w:cols>
        </w:sectPr>
      </w:pPr>
    </w:p>
    <w:p w14:paraId="30C0B1E9">
      <w:pPr>
        <w:spacing w:before="42" w:line="221" w:lineRule="auto"/>
        <w:ind w:left="124"/>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标段名称：</w:t>
      </w:r>
    </w:p>
    <w:p w14:paraId="2B88B5DA">
      <w:pPr>
        <w:spacing w:before="21" w:line="186" w:lineRule="auto"/>
        <w:ind w:left="124"/>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标段唯一标识码：</w:t>
      </w:r>
    </w:p>
    <w:p w14:paraId="649148F8">
      <w:pPr>
        <w:pStyle w:val="3"/>
        <w:spacing w:line="14" w:lineRule="auto"/>
        <w:rPr>
          <w:color w:val="auto"/>
          <w:sz w:val="2"/>
          <w:highlight w:val="none"/>
        </w:rPr>
      </w:pPr>
      <w:r>
        <w:rPr>
          <w:color w:val="auto"/>
          <w:sz w:val="2"/>
          <w:szCs w:val="2"/>
          <w:highlight w:val="none"/>
        </w:rPr>
        <w:br w:type="column"/>
      </w:r>
    </w:p>
    <w:p w14:paraId="0B97AF5A">
      <w:pPr>
        <w:pStyle w:val="3"/>
        <w:spacing w:line="244" w:lineRule="auto"/>
        <w:rPr>
          <w:color w:val="auto"/>
          <w:highlight w:val="none"/>
        </w:rPr>
      </w:pPr>
    </w:p>
    <w:p w14:paraId="4518C3D0">
      <w:pPr>
        <w:spacing w:before="68" w:line="186" w:lineRule="auto"/>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单位： 人民币元</w:t>
      </w:r>
    </w:p>
    <w:p w14:paraId="5D88AF4F">
      <w:pPr>
        <w:spacing w:line="186" w:lineRule="auto"/>
        <w:rPr>
          <w:rFonts w:ascii="宋体" w:hAnsi="宋体" w:eastAsia="宋体" w:cs="宋体"/>
          <w:color w:val="auto"/>
          <w:sz w:val="21"/>
          <w:szCs w:val="21"/>
          <w:highlight w:val="none"/>
        </w:rPr>
        <w:sectPr>
          <w:type w:val="continuous"/>
          <w:pgSz w:w="11905" w:h="16839"/>
          <w:pgMar w:top="1431" w:right="1785" w:bottom="996" w:left="1680" w:header="0" w:footer="791" w:gutter="0"/>
          <w:pgNumType w:fmt="decimal"/>
          <w:cols w:equalWidth="0" w:num="2">
            <w:col w:w="6119" w:space="100"/>
            <w:col w:w="2220"/>
          </w:cols>
        </w:sectPr>
      </w:pPr>
    </w:p>
    <w:p w14:paraId="2053F895">
      <w:pPr>
        <w:spacing w:line="32" w:lineRule="exact"/>
        <w:rPr>
          <w:color w:val="auto"/>
          <w:highlight w:val="none"/>
        </w:rPr>
      </w:pPr>
    </w:p>
    <w:tbl>
      <w:tblPr>
        <w:tblStyle w:val="10"/>
        <w:tblW w:w="84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9"/>
        <w:gridCol w:w="998"/>
        <w:gridCol w:w="994"/>
        <w:gridCol w:w="998"/>
        <w:gridCol w:w="1080"/>
        <w:gridCol w:w="1992"/>
        <w:gridCol w:w="873"/>
        <w:gridCol w:w="863"/>
      </w:tblGrid>
      <w:tr w14:paraId="5C581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629" w:type="dxa"/>
            <w:textDirection w:val="tbRlV"/>
            <w:vAlign w:val="top"/>
          </w:tcPr>
          <w:p w14:paraId="45B44683">
            <w:pPr>
              <w:pStyle w:val="11"/>
              <w:spacing w:before="206" w:line="211" w:lineRule="auto"/>
              <w:ind w:left="34"/>
              <w:rPr>
                <w:color w:val="auto"/>
                <w:highlight w:val="none"/>
              </w:rPr>
            </w:pPr>
            <w:r>
              <w:rPr>
                <w:color w:val="auto"/>
                <w:spacing w:val="30"/>
                <w:highlight w:val="none"/>
                <w14:textOutline w14:w="3831" w14:cap="flat" w14:cmpd="sng">
                  <w14:solidFill>
                    <w14:srgbClr w14:val="000000"/>
                  </w14:solidFill>
                  <w14:prstDash w14:val="solid"/>
                  <w14:miter w14:val="0"/>
                </w14:textOutline>
              </w:rPr>
              <w:t>序号</w:t>
            </w:r>
          </w:p>
        </w:tc>
        <w:tc>
          <w:tcPr>
            <w:tcW w:w="998" w:type="dxa"/>
            <w:vAlign w:val="top"/>
          </w:tcPr>
          <w:p w14:paraId="0CAB8EFA">
            <w:pPr>
              <w:pStyle w:val="11"/>
              <w:spacing w:before="33" w:line="223" w:lineRule="auto"/>
              <w:ind w:left="293" w:right="181" w:hanging="105"/>
              <w:rPr>
                <w:color w:val="auto"/>
                <w:highlight w:val="none"/>
              </w:rPr>
            </w:pPr>
            <w:r>
              <w:rPr>
                <w:color w:val="auto"/>
                <w:spacing w:val="-3"/>
                <w:highlight w:val="none"/>
                <w14:textOutline w14:w="3831" w14:cap="flat" w14:cmpd="sng">
                  <w14:solidFill>
                    <w14:srgbClr w14:val="000000"/>
                  </w14:solidFill>
                  <w14:prstDash w14:val="solid"/>
                  <w14:miter w14:val="0"/>
                </w14:textOutline>
              </w:rPr>
              <w:t>投标人</w:t>
            </w:r>
            <w:r>
              <w:rPr>
                <w:color w:val="auto"/>
                <w:highlight w:val="none"/>
              </w:rPr>
              <w:t xml:space="preserve"> </w:t>
            </w:r>
            <w:r>
              <w:rPr>
                <w:color w:val="auto"/>
                <w:spacing w:val="-3"/>
                <w:highlight w:val="none"/>
                <w14:textOutline w14:w="3831" w14:cap="flat" w14:cmpd="sng">
                  <w14:solidFill>
                    <w14:srgbClr w14:val="000000"/>
                  </w14:solidFill>
                  <w14:prstDash w14:val="solid"/>
                  <w14:miter w14:val="0"/>
                </w14:textOutline>
              </w:rPr>
              <w:t>名称</w:t>
            </w:r>
          </w:p>
        </w:tc>
        <w:tc>
          <w:tcPr>
            <w:tcW w:w="994" w:type="dxa"/>
            <w:vAlign w:val="top"/>
          </w:tcPr>
          <w:p w14:paraId="17498176">
            <w:pPr>
              <w:pStyle w:val="11"/>
              <w:spacing w:before="33" w:line="223" w:lineRule="auto"/>
              <w:ind w:left="192" w:right="181" w:hanging="8"/>
              <w:rPr>
                <w:color w:val="auto"/>
                <w:highlight w:val="none"/>
              </w:rPr>
            </w:pPr>
            <w:r>
              <w:rPr>
                <w:color w:val="auto"/>
                <w:spacing w:val="-3"/>
                <w:highlight w:val="none"/>
                <w14:textOutline w14:w="3831" w14:cap="flat" w14:cmpd="sng">
                  <w14:solidFill>
                    <w14:srgbClr w14:val="000000"/>
                  </w14:solidFill>
                  <w14:prstDash w14:val="solid"/>
                  <w14:miter w14:val="0"/>
                </w14:textOutline>
              </w:rPr>
              <w:t>形式评</w:t>
            </w:r>
            <w:r>
              <w:rPr>
                <w:color w:val="auto"/>
                <w:highlight w:val="none"/>
              </w:rPr>
              <w:t xml:space="preserve"> </w:t>
            </w:r>
            <w:r>
              <w:rPr>
                <w:color w:val="auto"/>
                <w:spacing w:val="-6"/>
                <w:highlight w:val="none"/>
                <w14:textOutline w14:w="3831" w14:cap="flat" w14:cmpd="sng">
                  <w14:solidFill>
                    <w14:srgbClr w14:val="000000"/>
                  </w14:solidFill>
                  <w14:prstDash w14:val="solid"/>
                  <w14:miter w14:val="0"/>
                </w14:textOutline>
              </w:rPr>
              <w:t>审结果</w:t>
            </w:r>
          </w:p>
        </w:tc>
        <w:tc>
          <w:tcPr>
            <w:tcW w:w="998" w:type="dxa"/>
            <w:vAlign w:val="top"/>
          </w:tcPr>
          <w:p w14:paraId="48F3DDEF">
            <w:pPr>
              <w:pStyle w:val="11"/>
              <w:spacing w:before="33" w:line="223" w:lineRule="auto"/>
              <w:ind w:left="197" w:right="180" w:hanging="1"/>
              <w:rPr>
                <w:color w:val="auto"/>
                <w:highlight w:val="none"/>
              </w:rPr>
            </w:pPr>
            <w:r>
              <w:rPr>
                <w:color w:val="auto"/>
                <w:spacing w:val="-5"/>
                <w:highlight w:val="none"/>
                <w14:textOutline w14:w="3831" w14:cap="flat" w14:cmpd="sng">
                  <w14:solidFill>
                    <w14:srgbClr w14:val="000000"/>
                  </w14:solidFill>
                  <w14:prstDash w14:val="solid"/>
                  <w14:miter w14:val="0"/>
                </w14:textOutline>
              </w:rPr>
              <w:t>资格评</w:t>
            </w:r>
            <w:r>
              <w:rPr>
                <w:color w:val="auto"/>
                <w:highlight w:val="none"/>
              </w:rPr>
              <w:t xml:space="preserve"> </w:t>
            </w:r>
            <w:r>
              <w:rPr>
                <w:color w:val="auto"/>
                <w:spacing w:val="-6"/>
                <w:highlight w:val="none"/>
                <w14:textOutline w14:w="3831" w14:cap="flat" w14:cmpd="sng">
                  <w14:solidFill>
                    <w14:srgbClr w14:val="000000"/>
                  </w14:solidFill>
                  <w14:prstDash w14:val="solid"/>
                  <w14:miter w14:val="0"/>
                </w14:textOutline>
              </w:rPr>
              <w:t>审结果</w:t>
            </w:r>
          </w:p>
        </w:tc>
        <w:tc>
          <w:tcPr>
            <w:tcW w:w="1080" w:type="dxa"/>
            <w:vAlign w:val="top"/>
          </w:tcPr>
          <w:p w14:paraId="5108E2F7">
            <w:pPr>
              <w:pStyle w:val="11"/>
              <w:spacing w:before="34" w:line="221" w:lineRule="auto"/>
              <w:ind w:left="135"/>
              <w:rPr>
                <w:color w:val="auto"/>
                <w:highlight w:val="none"/>
              </w:rPr>
            </w:pPr>
            <w:r>
              <w:rPr>
                <w:color w:val="auto"/>
                <w:spacing w:val="-3"/>
                <w:highlight w:val="none"/>
                <w14:textOutline w14:w="3831" w14:cap="flat" w14:cmpd="sng">
                  <w14:solidFill>
                    <w14:srgbClr w14:val="000000"/>
                  </w14:solidFill>
                  <w14:prstDash w14:val="solid"/>
                  <w14:miter w14:val="0"/>
                </w14:textOutline>
              </w:rPr>
              <w:t>响应性评</w:t>
            </w:r>
          </w:p>
          <w:p w14:paraId="650F75F6">
            <w:pPr>
              <w:pStyle w:val="11"/>
              <w:spacing w:before="17" w:line="209" w:lineRule="auto"/>
              <w:ind w:left="241"/>
              <w:rPr>
                <w:color w:val="auto"/>
                <w:highlight w:val="none"/>
              </w:rPr>
            </w:pPr>
            <w:r>
              <w:rPr>
                <w:color w:val="auto"/>
                <w:spacing w:val="-4"/>
                <w:highlight w:val="none"/>
                <w14:textOutline w14:w="3831" w14:cap="flat" w14:cmpd="sng">
                  <w14:solidFill>
                    <w14:srgbClr w14:val="000000"/>
                  </w14:solidFill>
                  <w14:prstDash w14:val="solid"/>
                  <w14:miter w14:val="0"/>
                </w14:textOutline>
              </w:rPr>
              <w:t>审结果</w:t>
            </w:r>
          </w:p>
        </w:tc>
        <w:tc>
          <w:tcPr>
            <w:tcW w:w="1992" w:type="dxa"/>
            <w:vAlign w:val="top"/>
          </w:tcPr>
          <w:p w14:paraId="3CDBD4BB">
            <w:pPr>
              <w:pStyle w:val="11"/>
              <w:spacing w:before="33" w:line="221" w:lineRule="auto"/>
              <w:ind w:left="265"/>
              <w:rPr>
                <w:color w:val="auto"/>
                <w:highlight w:val="none"/>
              </w:rPr>
            </w:pPr>
            <w:r>
              <w:rPr>
                <w:color w:val="auto"/>
                <w:spacing w:val="-1"/>
                <w:highlight w:val="none"/>
                <w14:textOutline w14:w="3831" w14:cap="flat" w14:cmpd="sng">
                  <w14:solidFill>
                    <w14:srgbClr w14:val="000000"/>
                  </w14:solidFill>
                  <w14:prstDash w14:val="solid"/>
                  <w14:miter w14:val="0"/>
                </w14:textOutline>
              </w:rPr>
              <w:t>技术标评审结果</w:t>
            </w:r>
          </w:p>
          <w:p w14:paraId="476369AA">
            <w:pPr>
              <w:pStyle w:val="11"/>
              <w:spacing w:before="17" w:line="209" w:lineRule="auto"/>
              <w:ind w:left="588"/>
              <w:rPr>
                <w:color w:val="auto"/>
                <w:highlight w:val="none"/>
              </w:rPr>
            </w:pPr>
            <w:r>
              <w:rPr>
                <w:color w:val="auto"/>
                <w:spacing w:val="-5"/>
                <w:highlight w:val="none"/>
                <w14:textOutline w14:w="3831" w14:cap="flat" w14:cmpd="sng">
                  <w14:solidFill>
                    <w14:srgbClr w14:val="000000"/>
                  </w14:solidFill>
                  <w14:prstDash w14:val="solid"/>
                  <w14:miter w14:val="0"/>
                </w14:textOutline>
              </w:rPr>
              <w:t>（如有）</w:t>
            </w:r>
          </w:p>
        </w:tc>
        <w:tc>
          <w:tcPr>
            <w:tcW w:w="873" w:type="dxa"/>
            <w:vAlign w:val="top"/>
          </w:tcPr>
          <w:p w14:paraId="4DAF782F">
            <w:pPr>
              <w:pStyle w:val="11"/>
              <w:spacing w:before="33" w:line="223" w:lineRule="auto"/>
              <w:ind w:left="390" w:right="63" w:hanging="209"/>
              <w:rPr>
                <w:color w:val="auto"/>
                <w:highlight w:val="none"/>
              </w:rPr>
            </w:pPr>
            <w:r>
              <w:rPr>
                <w:color w:val="auto"/>
                <w:spacing w:val="-3"/>
                <w:highlight w:val="none"/>
                <w14:textOutline w14:w="3831" w14:cap="flat" w14:cmpd="sng">
                  <w14:solidFill>
                    <w14:srgbClr w14:val="000000"/>
                  </w14:solidFill>
                  <w14:prstDash w14:val="solid"/>
                  <w14:miter w14:val="0"/>
                </w14:textOutline>
              </w:rPr>
              <w:t>投标报</w:t>
            </w:r>
            <w:r>
              <w:rPr>
                <w:color w:val="auto"/>
                <w:highlight w:val="none"/>
              </w:rPr>
              <w:t xml:space="preserve"> </w:t>
            </w:r>
            <w:r>
              <w:rPr>
                <w:color w:val="auto"/>
                <w:highlight w:val="none"/>
                <w14:textOutline w14:w="3831" w14:cap="flat" w14:cmpd="sng">
                  <w14:solidFill>
                    <w14:srgbClr w14:val="000000"/>
                  </w14:solidFill>
                  <w14:prstDash w14:val="solid"/>
                  <w14:miter w14:val="0"/>
                </w14:textOutline>
              </w:rPr>
              <w:t>价</w:t>
            </w:r>
          </w:p>
        </w:tc>
        <w:tc>
          <w:tcPr>
            <w:tcW w:w="863" w:type="dxa"/>
            <w:vAlign w:val="top"/>
          </w:tcPr>
          <w:p w14:paraId="0701E756">
            <w:pPr>
              <w:pStyle w:val="11"/>
              <w:spacing w:before="33" w:line="223" w:lineRule="auto"/>
              <w:ind w:left="387" w:right="57" w:hanging="213"/>
              <w:rPr>
                <w:color w:val="auto"/>
                <w:highlight w:val="none"/>
              </w:rPr>
            </w:pPr>
            <w:r>
              <w:rPr>
                <w:color w:val="auto"/>
                <w:spacing w:val="-2"/>
                <w:highlight w:val="none"/>
                <w14:textOutline w14:w="3831" w14:cap="flat" w14:cmpd="sng">
                  <w14:solidFill>
                    <w14:srgbClr w14:val="000000"/>
                  </w14:solidFill>
                  <w14:prstDash w14:val="solid"/>
                  <w14:miter w14:val="0"/>
                </w14:textOutline>
              </w:rPr>
              <w:t>评审结</w:t>
            </w:r>
            <w:r>
              <w:rPr>
                <w:color w:val="auto"/>
                <w:spacing w:val="1"/>
                <w:highlight w:val="none"/>
              </w:rPr>
              <w:t xml:space="preserve"> </w:t>
            </w:r>
            <w:r>
              <w:rPr>
                <w:color w:val="auto"/>
                <w:highlight w:val="none"/>
                <w14:textOutline w14:w="3831" w14:cap="flat" w14:cmpd="sng">
                  <w14:solidFill>
                    <w14:srgbClr w14:val="000000"/>
                  </w14:solidFill>
                  <w14:prstDash w14:val="solid"/>
                  <w14:miter w14:val="0"/>
                </w14:textOutline>
              </w:rPr>
              <w:t>论</w:t>
            </w:r>
          </w:p>
        </w:tc>
      </w:tr>
      <w:tr w14:paraId="3EC31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629" w:type="dxa"/>
            <w:vAlign w:val="top"/>
          </w:tcPr>
          <w:p w14:paraId="64ACE580">
            <w:pPr>
              <w:spacing w:before="165" w:line="183" w:lineRule="auto"/>
              <w:ind w:left="278"/>
              <w:rPr>
                <w:rFonts w:ascii="黑体" w:hAnsi="黑体" w:eastAsia="黑体" w:cs="黑体"/>
                <w:color w:val="auto"/>
                <w:sz w:val="21"/>
                <w:szCs w:val="21"/>
                <w:highlight w:val="none"/>
              </w:rPr>
            </w:pPr>
            <w:r>
              <w:rPr>
                <w:rFonts w:ascii="黑体" w:hAnsi="黑体" w:eastAsia="黑体" w:cs="黑体"/>
                <w:color w:val="auto"/>
                <w:sz w:val="21"/>
                <w:szCs w:val="21"/>
                <w:highlight w:val="none"/>
              </w:rPr>
              <w:t>1</w:t>
            </w:r>
          </w:p>
        </w:tc>
        <w:tc>
          <w:tcPr>
            <w:tcW w:w="998" w:type="dxa"/>
            <w:vAlign w:val="top"/>
          </w:tcPr>
          <w:p w14:paraId="6897CB0C">
            <w:pPr>
              <w:rPr>
                <w:rFonts w:ascii="Arial"/>
                <w:color w:val="auto"/>
                <w:sz w:val="21"/>
                <w:highlight w:val="none"/>
              </w:rPr>
            </w:pPr>
          </w:p>
        </w:tc>
        <w:tc>
          <w:tcPr>
            <w:tcW w:w="994" w:type="dxa"/>
            <w:vAlign w:val="top"/>
          </w:tcPr>
          <w:p w14:paraId="370E617E">
            <w:pPr>
              <w:rPr>
                <w:rFonts w:ascii="Arial"/>
                <w:color w:val="auto"/>
                <w:sz w:val="21"/>
                <w:highlight w:val="none"/>
              </w:rPr>
            </w:pPr>
          </w:p>
        </w:tc>
        <w:tc>
          <w:tcPr>
            <w:tcW w:w="998" w:type="dxa"/>
            <w:vAlign w:val="top"/>
          </w:tcPr>
          <w:p w14:paraId="2DD60BE7">
            <w:pPr>
              <w:rPr>
                <w:rFonts w:ascii="Arial"/>
                <w:color w:val="auto"/>
                <w:sz w:val="21"/>
                <w:highlight w:val="none"/>
              </w:rPr>
            </w:pPr>
          </w:p>
        </w:tc>
        <w:tc>
          <w:tcPr>
            <w:tcW w:w="1080" w:type="dxa"/>
            <w:vAlign w:val="top"/>
          </w:tcPr>
          <w:p w14:paraId="65205A29">
            <w:pPr>
              <w:rPr>
                <w:rFonts w:ascii="Arial"/>
                <w:color w:val="auto"/>
                <w:sz w:val="21"/>
                <w:highlight w:val="none"/>
              </w:rPr>
            </w:pPr>
          </w:p>
        </w:tc>
        <w:tc>
          <w:tcPr>
            <w:tcW w:w="1992" w:type="dxa"/>
            <w:vAlign w:val="top"/>
          </w:tcPr>
          <w:p w14:paraId="584D736A">
            <w:pPr>
              <w:rPr>
                <w:rFonts w:ascii="Arial"/>
                <w:color w:val="auto"/>
                <w:sz w:val="21"/>
                <w:highlight w:val="none"/>
              </w:rPr>
            </w:pPr>
          </w:p>
        </w:tc>
        <w:tc>
          <w:tcPr>
            <w:tcW w:w="873" w:type="dxa"/>
            <w:vAlign w:val="top"/>
          </w:tcPr>
          <w:p w14:paraId="3AB6A223">
            <w:pPr>
              <w:rPr>
                <w:rFonts w:ascii="Arial"/>
                <w:color w:val="auto"/>
                <w:sz w:val="21"/>
                <w:highlight w:val="none"/>
              </w:rPr>
            </w:pPr>
          </w:p>
        </w:tc>
        <w:tc>
          <w:tcPr>
            <w:tcW w:w="863" w:type="dxa"/>
            <w:vAlign w:val="top"/>
          </w:tcPr>
          <w:p w14:paraId="6CAA5A54">
            <w:pPr>
              <w:rPr>
                <w:rFonts w:ascii="Arial"/>
                <w:color w:val="auto"/>
                <w:sz w:val="21"/>
                <w:highlight w:val="none"/>
              </w:rPr>
            </w:pPr>
          </w:p>
        </w:tc>
      </w:tr>
      <w:tr w14:paraId="305C1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629" w:type="dxa"/>
            <w:vAlign w:val="top"/>
          </w:tcPr>
          <w:p w14:paraId="6CEDC192">
            <w:pPr>
              <w:spacing w:before="164" w:line="184" w:lineRule="auto"/>
              <w:ind w:left="266"/>
              <w:rPr>
                <w:rFonts w:ascii="黑体" w:hAnsi="黑体" w:eastAsia="黑体" w:cs="黑体"/>
                <w:color w:val="auto"/>
                <w:sz w:val="21"/>
                <w:szCs w:val="21"/>
                <w:highlight w:val="none"/>
              </w:rPr>
            </w:pPr>
            <w:r>
              <w:rPr>
                <w:rFonts w:ascii="黑体" w:hAnsi="黑体" w:eastAsia="黑体" w:cs="黑体"/>
                <w:color w:val="auto"/>
                <w:sz w:val="21"/>
                <w:szCs w:val="21"/>
                <w:highlight w:val="none"/>
              </w:rPr>
              <w:t>2</w:t>
            </w:r>
          </w:p>
        </w:tc>
        <w:tc>
          <w:tcPr>
            <w:tcW w:w="998" w:type="dxa"/>
            <w:vAlign w:val="top"/>
          </w:tcPr>
          <w:p w14:paraId="16857D3D">
            <w:pPr>
              <w:rPr>
                <w:rFonts w:ascii="Arial"/>
                <w:color w:val="auto"/>
                <w:sz w:val="21"/>
                <w:highlight w:val="none"/>
              </w:rPr>
            </w:pPr>
          </w:p>
        </w:tc>
        <w:tc>
          <w:tcPr>
            <w:tcW w:w="994" w:type="dxa"/>
            <w:vAlign w:val="top"/>
          </w:tcPr>
          <w:p w14:paraId="2FDBC3D9">
            <w:pPr>
              <w:rPr>
                <w:rFonts w:ascii="Arial"/>
                <w:color w:val="auto"/>
                <w:sz w:val="21"/>
                <w:highlight w:val="none"/>
              </w:rPr>
            </w:pPr>
          </w:p>
        </w:tc>
        <w:tc>
          <w:tcPr>
            <w:tcW w:w="998" w:type="dxa"/>
            <w:vAlign w:val="top"/>
          </w:tcPr>
          <w:p w14:paraId="160DC1BD">
            <w:pPr>
              <w:rPr>
                <w:rFonts w:ascii="Arial"/>
                <w:color w:val="auto"/>
                <w:sz w:val="21"/>
                <w:highlight w:val="none"/>
              </w:rPr>
            </w:pPr>
          </w:p>
        </w:tc>
        <w:tc>
          <w:tcPr>
            <w:tcW w:w="1080" w:type="dxa"/>
            <w:vAlign w:val="top"/>
          </w:tcPr>
          <w:p w14:paraId="25C14018">
            <w:pPr>
              <w:rPr>
                <w:rFonts w:ascii="Arial"/>
                <w:color w:val="auto"/>
                <w:sz w:val="21"/>
                <w:highlight w:val="none"/>
              </w:rPr>
            </w:pPr>
          </w:p>
        </w:tc>
        <w:tc>
          <w:tcPr>
            <w:tcW w:w="1992" w:type="dxa"/>
            <w:vAlign w:val="top"/>
          </w:tcPr>
          <w:p w14:paraId="55C6A015">
            <w:pPr>
              <w:rPr>
                <w:rFonts w:ascii="Arial"/>
                <w:color w:val="auto"/>
                <w:sz w:val="21"/>
                <w:highlight w:val="none"/>
              </w:rPr>
            </w:pPr>
          </w:p>
        </w:tc>
        <w:tc>
          <w:tcPr>
            <w:tcW w:w="873" w:type="dxa"/>
            <w:vAlign w:val="top"/>
          </w:tcPr>
          <w:p w14:paraId="5FB69275">
            <w:pPr>
              <w:rPr>
                <w:rFonts w:ascii="Arial"/>
                <w:color w:val="auto"/>
                <w:sz w:val="21"/>
                <w:highlight w:val="none"/>
              </w:rPr>
            </w:pPr>
          </w:p>
        </w:tc>
        <w:tc>
          <w:tcPr>
            <w:tcW w:w="863" w:type="dxa"/>
            <w:vAlign w:val="top"/>
          </w:tcPr>
          <w:p w14:paraId="72000353">
            <w:pPr>
              <w:rPr>
                <w:rFonts w:ascii="Arial"/>
                <w:color w:val="auto"/>
                <w:sz w:val="21"/>
                <w:highlight w:val="none"/>
              </w:rPr>
            </w:pPr>
          </w:p>
        </w:tc>
      </w:tr>
      <w:tr w14:paraId="60882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629" w:type="dxa"/>
            <w:vAlign w:val="top"/>
          </w:tcPr>
          <w:p w14:paraId="19A1F0D7">
            <w:pPr>
              <w:spacing w:before="165" w:line="184" w:lineRule="auto"/>
              <w:ind w:left="267"/>
              <w:rPr>
                <w:rFonts w:ascii="黑体" w:hAnsi="黑体" w:eastAsia="黑体" w:cs="黑体"/>
                <w:color w:val="auto"/>
                <w:sz w:val="21"/>
                <w:szCs w:val="21"/>
                <w:highlight w:val="none"/>
              </w:rPr>
            </w:pPr>
            <w:r>
              <w:rPr>
                <w:rFonts w:ascii="黑体" w:hAnsi="黑体" w:eastAsia="黑体" w:cs="黑体"/>
                <w:color w:val="auto"/>
                <w:sz w:val="21"/>
                <w:szCs w:val="21"/>
                <w:highlight w:val="none"/>
              </w:rPr>
              <w:t>3</w:t>
            </w:r>
          </w:p>
        </w:tc>
        <w:tc>
          <w:tcPr>
            <w:tcW w:w="998" w:type="dxa"/>
            <w:vAlign w:val="top"/>
          </w:tcPr>
          <w:p w14:paraId="501D8FBA">
            <w:pPr>
              <w:rPr>
                <w:rFonts w:ascii="Arial"/>
                <w:color w:val="auto"/>
                <w:sz w:val="21"/>
                <w:highlight w:val="none"/>
              </w:rPr>
            </w:pPr>
          </w:p>
        </w:tc>
        <w:tc>
          <w:tcPr>
            <w:tcW w:w="994" w:type="dxa"/>
            <w:vAlign w:val="top"/>
          </w:tcPr>
          <w:p w14:paraId="76182E56">
            <w:pPr>
              <w:rPr>
                <w:rFonts w:ascii="Arial"/>
                <w:color w:val="auto"/>
                <w:sz w:val="21"/>
                <w:highlight w:val="none"/>
              </w:rPr>
            </w:pPr>
          </w:p>
        </w:tc>
        <w:tc>
          <w:tcPr>
            <w:tcW w:w="998" w:type="dxa"/>
            <w:vAlign w:val="top"/>
          </w:tcPr>
          <w:p w14:paraId="13348C68">
            <w:pPr>
              <w:rPr>
                <w:rFonts w:ascii="Arial"/>
                <w:color w:val="auto"/>
                <w:sz w:val="21"/>
                <w:highlight w:val="none"/>
              </w:rPr>
            </w:pPr>
          </w:p>
        </w:tc>
        <w:tc>
          <w:tcPr>
            <w:tcW w:w="1080" w:type="dxa"/>
            <w:vAlign w:val="top"/>
          </w:tcPr>
          <w:p w14:paraId="78C1CA7D">
            <w:pPr>
              <w:rPr>
                <w:rFonts w:ascii="Arial"/>
                <w:color w:val="auto"/>
                <w:sz w:val="21"/>
                <w:highlight w:val="none"/>
              </w:rPr>
            </w:pPr>
          </w:p>
        </w:tc>
        <w:tc>
          <w:tcPr>
            <w:tcW w:w="1992" w:type="dxa"/>
            <w:vAlign w:val="top"/>
          </w:tcPr>
          <w:p w14:paraId="73EC58F5">
            <w:pPr>
              <w:rPr>
                <w:rFonts w:ascii="Arial"/>
                <w:color w:val="auto"/>
                <w:sz w:val="21"/>
                <w:highlight w:val="none"/>
              </w:rPr>
            </w:pPr>
          </w:p>
        </w:tc>
        <w:tc>
          <w:tcPr>
            <w:tcW w:w="873" w:type="dxa"/>
            <w:vAlign w:val="top"/>
          </w:tcPr>
          <w:p w14:paraId="4F2A6E7E">
            <w:pPr>
              <w:rPr>
                <w:rFonts w:ascii="Arial"/>
                <w:color w:val="auto"/>
                <w:sz w:val="21"/>
                <w:highlight w:val="none"/>
              </w:rPr>
            </w:pPr>
          </w:p>
        </w:tc>
        <w:tc>
          <w:tcPr>
            <w:tcW w:w="863" w:type="dxa"/>
            <w:vAlign w:val="top"/>
          </w:tcPr>
          <w:p w14:paraId="551234E4">
            <w:pPr>
              <w:rPr>
                <w:rFonts w:ascii="Arial"/>
                <w:color w:val="auto"/>
                <w:sz w:val="21"/>
                <w:highlight w:val="none"/>
              </w:rPr>
            </w:pPr>
          </w:p>
        </w:tc>
      </w:tr>
      <w:tr w14:paraId="4C48F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629" w:type="dxa"/>
            <w:vAlign w:val="top"/>
          </w:tcPr>
          <w:p w14:paraId="5601638A">
            <w:pPr>
              <w:spacing w:before="167" w:line="183" w:lineRule="auto"/>
              <w:ind w:left="262"/>
              <w:rPr>
                <w:rFonts w:ascii="黑体" w:hAnsi="黑体" w:eastAsia="黑体" w:cs="黑体"/>
                <w:color w:val="auto"/>
                <w:sz w:val="21"/>
                <w:szCs w:val="21"/>
                <w:highlight w:val="none"/>
              </w:rPr>
            </w:pPr>
            <w:r>
              <w:rPr>
                <w:rFonts w:ascii="黑体" w:hAnsi="黑体" w:eastAsia="黑体" w:cs="黑体"/>
                <w:color w:val="auto"/>
                <w:sz w:val="21"/>
                <w:szCs w:val="21"/>
                <w:highlight w:val="none"/>
              </w:rPr>
              <w:t>4</w:t>
            </w:r>
          </w:p>
        </w:tc>
        <w:tc>
          <w:tcPr>
            <w:tcW w:w="998" w:type="dxa"/>
            <w:vAlign w:val="top"/>
          </w:tcPr>
          <w:p w14:paraId="5DAE3E82">
            <w:pPr>
              <w:rPr>
                <w:rFonts w:ascii="Arial"/>
                <w:color w:val="auto"/>
                <w:sz w:val="21"/>
                <w:highlight w:val="none"/>
              </w:rPr>
            </w:pPr>
          </w:p>
        </w:tc>
        <w:tc>
          <w:tcPr>
            <w:tcW w:w="994" w:type="dxa"/>
            <w:vAlign w:val="top"/>
          </w:tcPr>
          <w:p w14:paraId="74D22452">
            <w:pPr>
              <w:rPr>
                <w:rFonts w:ascii="Arial"/>
                <w:color w:val="auto"/>
                <w:sz w:val="21"/>
                <w:highlight w:val="none"/>
              </w:rPr>
            </w:pPr>
          </w:p>
        </w:tc>
        <w:tc>
          <w:tcPr>
            <w:tcW w:w="998" w:type="dxa"/>
            <w:vAlign w:val="top"/>
          </w:tcPr>
          <w:p w14:paraId="29536D89">
            <w:pPr>
              <w:rPr>
                <w:rFonts w:ascii="Arial"/>
                <w:color w:val="auto"/>
                <w:sz w:val="21"/>
                <w:highlight w:val="none"/>
              </w:rPr>
            </w:pPr>
          </w:p>
        </w:tc>
        <w:tc>
          <w:tcPr>
            <w:tcW w:w="1080" w:type="dxa"/>
            <w:vAlign w:val="top"/>
          </w:tcPr>
          <w:p w14:paraId="451D3819">
            <w:pPr>
              <w:rPr>
                <w:rFonts w:ascii="Arial"/>
                <w:color w:val="auto"/>
                <w:sz w:val="21"/>
                <w:highlight w:val="none"/>
              </w:rPr>
            </w:pPr>
          </w:p>
        </w:tc>
        <w:tc>
          <w:tcPr>
            <w:tcW w:w="1992" w:type="dxa"/>
            <w:vAlign w:val="top"/>
          </w:tcPr>
          <w:p w14:paraId="6C6014E0">
            <w:pPr>
              <w:rPr>
                <w:rFonts w:ascii="Arial"/>
                <w:color w:val="auto"/>
                <w:sz w:val="21"/>
                <w:highlight w:val="none"/>
              </w:rPr>
            </w:pPr>
          </w:p>
        </w:tc>
        <w:tc>
          <w:tcPr>
            <w:tcW w:w="873" w:type="dxa"/>
            <w:vAlign w:val="top"/>
          </w:tcPr>
          <w:p w14:paraId="735EA08B">
            <w:pPr>
              <w:rPr>
                <w:rFonts w:ascii="Arial"/>
                <w:color w:val="auto"/>
                <w:sz w:val="21"/>
                <w:highlight w:val="none"/>
              </w:rPr>
            </w:pPr>
          </w:p>
        </w:tc>
        <w:tc>
          <w:tcPr>
            <w:tcW w:w="863" w:type="dxa"/>
            <w:vAlign w:val="top"/>
          </w:tcPr>
          <w:p w14:paraId="6B2D9E37">
            <w:pPr>
              <w:rPr>
                <w:rFonts w:ascii="Arial"/>
                <w:color w:val="auto"/>
                <w:sz w:val="21"/>
                <w:highlight w:val="none"/>
              </w:rPr>
            </w:pPr>
          </w:p>
        </w:tc>
      </w:tr>
      <w:tr w14:paraId="5F3A77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29" w:type="dxa"/>
            <w:vAlign w:val="top"/>
          </w:tcPr>
          <w:p w14:paraId="3AA31E4E">
            <w:pPr>
              <w:spacing w:before="169" w:line="181" w:lineRule="auto"/>
              <w:ind w:left="262"/>
              <w:rPr>
                <w:rFonts w:ascii="黑体" w:hAnsi="黑体" w:eastAsia="黑体" w:cs="黑体"/>
                <w:color w:val="auto"/>
                <w:sz w:val="21"/>
                <w:szCs w:val="21"/>
                <w:highlight w:val="none"/>
              </w:rPr>
            </w:pPr>
            <w:r>
              <w:rPr>
                <w:rFonts w:ascii="黑体" w:hAnsi="黑体" w:eastAsia="黑体" w:cs="黑体"/>
                <w:color w:val="auto"/>
                <w:sz w:val="21"/>
                <w:szCs w:val="21"/>
                <w:highlight w:val="none"/>
              </w:rPr>
              <w:t>5</w:t>
            </w:r>
          </w:p>
        </w:tc>
        <w:tc>
          <w:tcPr>
            <w:tcW w:w="998" w:type="dxa"/>
            <w:vAlign w:val="top"/>
          </w:tcPr>
          <w:p w14:paraId="0773306D">
            <w:pPr>
              <w:rPr>
                <w:rFonts w:ascii="Arial"/>
                <w:color w:val="auto"/>
                <w:sz w:val="21"/>
                <w:highlight w:val="none"/>
              </w:rPr>
            </w:pPr>
          </w:p>
        </w:tc>
        <w:tc>
          <w:tcPr>
            <w:tcW w:w="994" w:type="dxa"/>
            <w:vAlign w:val="top"/>
          </w:tcPr>
          <w:p w14:paraId="1FDFC26A">
            <w:pPr>
              <w:rPr>
                <w:rFonts w:ascii="Arial"/>
                <w:color w:val="auto"/>
                <w:sz w:val="21"/>
                <w:highlight w:val="none"/>
              </w:rPr>
            </w:pPr>
          </w:p>
        </w:tc>
        <w:tc>
          <w:tcPr>
            <w:tcW w:w="998" w:type="dxa"/>
            <w:vAlign w:val="top"/>
          </w:tcPr>
          <w:p w14:paraId="7FC305F9">
            <w:pPr>
              <w:rPr>
                <w:rFonts w:ascii="Arial"/>
                <w:color w:val="auto"/>
                <w:sz w:val="21"/>
                <w:highlight w:val="none"/>
              </w:rPr>
            </w:pPr>
          </w:p>
        </w:tc>
        <w:tc>
          <w:tcPr>
            <w:tcW w:w="1080" w:type="dxa"/>
            <w:vAlign w:val="top"/>
          </w:tcPr>
          <w:p w14:paraId="2E7BC428">
            <w:pPr>
              <w:rPr>
                <w:rFonts w:ascii="Arial"/>
                <w:color w:val="auto"/>
                <w:sz w:val="21"/>
                <w:highlight w:val="none"/>
              </w:rPr>
            </w:pPr>
          </w:p>
        </w:tc>
        <w:tc>
          <w:tcPr>
            <w:tcW w:w="1992" w:type="dxa"/>
            <w:vAlign w:val="top"/>
          </w:tcPr>
          <w:p w14:paraId="3BE67FAF">
            <w:pPr>
              <w:rPr>
                <w:rFonts w:ascii="Arial"/>
                <w:color w:val="auto"/>
                <w:sz w:val="21"/>
                <w:highlight w:val="none"/>
              </w:rPr>
            </w:pPr>
          </w:p>
        </w:tc>
        <w:tc>
          <w:tcPr>
            <w:tcW w:w="873" w:type="dxa"/>
            <w:vAlign w:val="top"/>
          </w:tcPr>
          <w:p w14:paraId="3B646EF8">
            <w:pPr>
              <w:rPr>
                <w:rFonts w:ascii="Arial"/>
                <w:color w:val="auto"/>
                <w:sz w:val="21"/>
                <w:highlight w:val="none"/>
              </w:rPr>
            </w:pPr>
          </w:p>
        </w:tc>
        <w:tc>
          <w:tcPr>
            <w:tcW w:w="863" w:type="dxa"/>
            <w:vAlign w:val="top"/>
          </w:tcPr>
          <w:p w14:paraId="5CD7B501">
            <w:pPr>
              <w:rPr>
                <w:rFonts w:ascii="Arial"/>
                <w:color w:val="auto"/>
                <w:sz w:val="21"/>
                <w:highlight w:val="none"/>
              </w:rPr>
            </w:pPr>
          </w:p>
        </w:tc>
      </w:tr>
      <w:tr w14:paraId="316B6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629" w:type="dxa"/>
            <w:vAlign w:val="top"/>
          </w:tcPr>
          <w:p w14:paraId="3E79B1DF">
            <w:pPr>
              <w:spacing w:before="129" w:line="332" w:lineRule="exact"/>
              <w:ind w:left="226"/>
              <w:rPr>
                <w:rFonts w:ascii="黑体" w:hAnsi="黑体" w:eastAsia="黑体" w:cs="黑体"/>
                <w:color w:val="auto"/>
                <w:sz w:val="21"/>
                <w:szCs w:val="21"/>
                <w:highlight w:val="none"/>
              </w:rPr>
            </w:pPr>
            <w:r>
              <w:rPr>
                <w:rFonts w:ascii="黑体" w:hAnsi="黑体" w:eastAsia="黑体" w:cs="黑体"/>
                <w:color w:val="auto"/>
                <w:position w:val="2"/>
                <w:sz w:val="21"/>
                <w:szCs w:val="21"/>
                <w:highlight w:val="none"/>
              </w:rPr>
              <w:t>…</w:t>
            </w:r>
          </w:p>
        </w:tc>
        <w:tc>
          <w:tcPr>
            <w:tcW w:w="998" w:type="dxa"/>
            <w:vAlign w:val="top"/>
          </w:tcPr>
          <w:p w14:paraId="310F4A79">
            <w:pPr>
              <w:rPr>
                <w:rFonts w:ascii="Arial"/>
                <w:color w:val="auto"/>
                <w:sz w:val="21"/>
                <w:highlight w:val="none"/>
              </w:rPr>
            </w:pPr>
          </w:p>
        </w:tc>
        <w:tc>
          <w:tcPr>
            <w:tcW w:w="994" w:type="dxa"/>
            <w:vAlign w:val="top"/>
          </w:tcPr>
          <w:p w14:paraId="06D03579">
            <w:pPr>
              <w:rPr>
                <w:rFonts w:ascii="Arial"/>
                <w:color w:val="auto"/>
                <w:sz w:val="21"/>
                <w:highlight w:val="none"/>
              </w:rPr>
            </w:pPr>
          </w:p>
        </w:tc>
        <w:tc>
          <w:tcPr>
            <w:tcW w:w="998" w:type="dxa"/>
            <w:vAlign w:val="top"/>
          </w:tcPr>
          <w:p w14:paraId="20BEE719">
            <w:pPr>
              <w:rPr>
                <w:rFonts w:ascii="Arial"/>
                <w:color w:val="auto"/>
                <w:sz w:val="21"/>
                <w:highlight w:val="none"/>
              </w:rPr>
            </w:pPr>
          </w:p>
        </w:tc>
        <w:tc>
          <w:tcPr>
            <w:tcW w:w="1080" w:type="dxa"/>
            <w:vAlign w:val="top"/>
          </w:tcPr>
          <w:p w14:paraId="4EAA9AC0">
            <w:pPr>
              <w:rPr>
                <w:rFonts w:ascii="Arial"/>
                <w:color w:val="auto"/>
                <w:sz w:val="21"/>
                <w:highlight w:val="none"/>
              </w:rPr>
            </w:pPr>
          </w:p>
        </w:tc>
        <w:tc>
          <w:tcPr>
            <w:tcW w:w="1992" w:type="dxa"/>
            <w:vAlign w:val="top"/>
          </w:tcPr>
          <w:p w14:paraId="4C08399C">
            <w:pPr>
              <w:rPr>
                <w:rFonts w:ascii="Arial"/>
                <w:color w:val="auto"/>
                <w:sz w:val="21"/>
                <w:highlight w:val="none"/>
              </w:rPr>
            </w:pPr>
          </w:p>
        </w:tc>
        <w:tc>
          <w:tcPr>
            <w:tcW w:w="873" w:type="dxa"/>
            <w:vAlign w:val="top"/>
          </w:tcPr>
          <w:p w14:paraId="226F608B">
            <w:pPr>
              <w:rPr>
                <w:rFonts w:ascii="Arial"/>
                <w:color w:val="auto"/>
                <w:sz w:val="21"/>
                <w:highlight w:val="none"/>
              </w:rPr>
            </w:pPr>
          </w:p>
        </w:tc>
        <w:tc>
          <w:tcPr>
            <w:tcW w:w="863" w:type="dxa"/>
            <w:vAlign w:val="top"/>
          </w:tcPr>
          <w:p w14:paraId="170C6FDD">
            <w:pPr>
              <w:rPr>
                <w:rFonts w:ascii="Arial"/>
                <w:color w:val="auto"/>
                <w:sz w:val="21"/>
                <w:highlight w:val="none"/>
              </w:rPr>
            </w:pPr>
          </w:p>
        </w:tc>
      </w:tr>
      <w:tr w14:paraId="42DE3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8427" w:type="dxa"/>
            <w:gridSpan w:val="8"/>
            <w:vAlign w:val="top"/>
          </w:tcPr>
          <w:p w14:paraId="2E00D4D1">
            <w:pPr>
              <w:pStyle w:val="11"/>
              <w:spacing w:before="28" w:line="220" w:lineRule="auto"/>
              <w:ind w:left="117"/>
              <w:rPr>
                <w:color w:val="auto"/>
                <w:highlight w:val="none"/>
              </w:rPr>
            </w:pPr>
            <w:r>
              <w:rPr>
                <w:color w:val="auto"/>
                <w:spacing w:val="-3"/>
                <w:highlight w:val="none"/>
              </w:rPr>
              <w:t>评标委员会全体成员签名：</w:t>
            </w:r>
          </w:p>
        </w:tc>
      </w:tr>
    </w:tbl>
    <w:p w14:paraId="2321C976">
      <w:pPr>
        <w:spacing w:before="299" w:line="186" w:lineRule="auto"/>
        <w:ind w:left="5624"/>
        <w:rPr>
          <w:rFonts w:ascii="宋体" w:hAnsi="宋体" w:eastAsia="宋体" w:cs="宋体"/>
          <w:color w:val="auto"/>
          <w:sz w:val="21"/>
          <w:szCs w:val="21"/>
          <w:highlight w:val="none"/>
        </w:rPr>
      </w:pPr>
      <w:r>
        <w:rPr>
          <w:rFonts w:ascii="宋体" w:hAnsi="宋体" w:eastAsia="宋体" w:cs="宋体"/>
          <w:color w:val="auto"/>
          <w:spacing w:val="-20"/>
          <w:sz w:val="21"/>
          <w:szCs w:val="21"/>
          <w:highlight w:val="none"/>
        </w:rPr>
        <w:t>日期：</w:t>
      </w:r>
      <w:r>
        <w:rPr>
          <w:rFonts w:ascii="宋体" w:hAnsi="宋体" w:eastAsia="宋体" w:cs="宋体"/>
          <w:color w:val="auto"/>
          <w:spacing w:val="25"/>
          <w:sz w:val="21"/>
          <w:szCs w:val="21"/>
          <w:highlight w:val="none"/>
        </w:rPr>
        <w:t xml:space="preserve">    </w:t>
      </w:r>
      <w:r>
        <w:rPr>
          <w:rFonts w:ascii="宋体" w:hAnsi="宋体" w:eastAsia="宋体" w:cs="宋体"/>
          <w:color w:val="auto"/>
          <w:spacing w:val="-20"/>
          <w:sz w:val="21"/>
          <w:szCs w:val="21"/>
          <w:highlight w:val="none"/>
        </w:rPr>
        <w:t>年</w:t>
      </w:r>
      <w:r>
        <w:rPr>
          <w:rFonts w:ascii="宋体" w:hAnsi="宋体" w:eastAsia="宋体" w:cs="宋体"/>
          <w:color w:val="auto"/>
          <w:spacing w:val="4"/>
          <w:sz w:val="21"/>
          <w:szCs w:val="21"/>
          <w:highlight w:val="none"/>
        </w:rPr>
        <w:t xml:space="preserve">    </w:t>
      </w:r>
      <w:r>
        <w:rPr>
          <w:rFonts w:ascii="宋体" w:hAnsi="宋体" w:eastAsia="宋体" w:cs="宋体"/>
          <w:color w:val="auto"/>
          <w:spacing w:val="-20"/>
          <w:sz w:val="21"/>
          <w:szCs w:val="21"/>
          <w:highlight w:val="none"/>
        </w:rPr>
        <w:t>月     日</w:t>
      </w:r>
    </w:p>
    <w:p w14:paraId="261ECBA4">
      <w:pPr>
        <w:spacing w:line="186" w:lineRule="auto"/>
        <w:rPr>
          <w:rFonts w:ascii="宋体" w:hAnsi="宋体" w:eastAsia="宋体" w:cs="宋体"/>
          <w:color w:val="auto"/>
          <w:sz w:val="21"/>
          <w:szCs w:val="21"/>
          <w:highlight w:val="none"/>
        </w:rPr>
        <w:sectPr>
          <w:type w:val="continuous"/>
          <w:pgSz w:w="11905" w:h="16839"/>
          <w:pgMar w:top="1431" w:right="1785" w:bottom="996" w:left="1680" w:header="0" w:footer="791" w:gutter="0"/>
          <w:pgNumType w:fmt="decimal"/>
          <w:cols w:equalWidth="0" w:num="1">
            <w:col w:w="8438"/>
          </w:cols>
        </w:sectPr>
      </w:pPr>
    </w:p>
    <w:p w14:paraId="7A80C5A6">
      <w:pPr>
        <w:spacing w:before="124" w:line="218" w:lineRule="auto"/>
        <w:ind w:left="238"/>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w:t>
      </w:r>
      <w:r>
        <w:rPr>
          <w:rFonts w:ascii="黑体" w:hAnsi="黑体" w:eastAsia="黑体" w:cs="黑体"/>
          <w:color w:val="auto"/>
          <w:spacing w:val="-60"/>
          <w:sz w:val="24"/>
          <w:szCs w:val="24"/>
          <w:highlight w:val="none"/>
        </w:rPr>
        <w:t xml:space="preserve"> </w:t>
      </w:r>
      <w:r>
        <w:rPr>
          <w:rFonts w:ascii="Times New Roman" w:hAnsi="Times New Roman" w:eastAsia="Times New Roman" w:cs="Times New Roman"/>
          <w:color w:val="auto"/>
          <w:spacing w:val="-3"/>
          <w:sz w:val="24"/>
          <w:szCs w:val="24"/>
          <w:highlight w:val="none"/>
        </w:rPr>
        <w:t>A-9</w:t>
      </w:r>
      <w:r>
        <w:rPr>
          <w:rFonts w:ascii="黑体" w:hAnsi="黑体" w:eastAsia="黑体" w:cs="黑体"/>
          <w:color w:val="auto"/>
          <w:spacing w:val="-3"/>
          <w:sz w:val="24"/>
          <w:szCs w:val="24"/>
          <w:highlight w:val="none"/>
        </w:rPr>
        <w:t>：否决投标的情况说明</w:t>
      </w:r>
    </w:p>
    <w:p w14:paraId="3E4B1825">
      <w:pPr>
        <w:pStyle w:val="3"/>
        <w:spacing w:line="317" w:lineRule="auto"/>
        <w:rPr>
          <w:color w:val="auto"/>
          <w:highlight w:val="none"/>
        </w:rPr>
      </w:pPr>
    </w:p>
    <w:p w14:paraId="179CBED6">
      <w:pPr>
        <w:pStyle w:val="3"/>
        <w:spacing w:line="318" w:lineRule="auto"/>
        <w:rPr>
          <w:color w:val="auto"/>
          <w:highlight w:val="none"/>
        </w:rPr>
      </w:pPr>
    </w:p>
    <w:p w14:paraId="6A473AE5">
      <w:pPr>
        <w:spacing w:before="117" w:line="218" w:lineRule="auto"/>
        <w:ind w:left="2765"/>
        <w:rPr>
          <w:rFonts w:ascii="黑体" w:hAnsi="黑体" w:eastAsia="黑体" w:cs="黑体"/>
          <w:color w:val="auto"/>
          <w:sz w:val="36"/>
          <w:szCs w:val="36"/>
          <w:highlight w:val="none"/>
        </w:rPr>
      </w:pPr>
      <w:bookmarkStart w:id="197" w:name="bookmark225"/>
      <w:bookmarkEnd w:id="197"/>
      <w:r>
        <w:rPr>
          <w:rFonts w:ascii="黑体" w:hAnsi="黑体" w:eastAsia="黑体" w:cs="黑体"/>
          <w:color w:val="auto"/>
          <w:spacing w:val="-2"/>
          <w:sz w:val="36"/>
          <w:szCs w:val="36"/>
          <w:highlight w:val="none"/>
        </w:rPr>
        <w:t>否决投标的情况说明</w:t>
      </w:r>
    </w:p>
    <w:p w14:paraId="716BB81F">
      <w:pPr>
        <w:spacing w:before="235" w:line="221" w:lineRule="auto"/>
        <w:ind w:left="225"/>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标段名称：</w:t>
      </w:r>
    </w:p>
    <w:p w14:paraId="2957AAF3">
      <w:pPr>
        <w:spacing w:before="22" w:line="214" w:lineRule="auto"/>
        <w:ind w:left="22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标段唯一标识码：</w:t>
      </w:r>
    </w:p>
    <w:tbl>
      <w:tblPr>
        <w:tblStyle w:val="10"/>
        <w:tblW w:w="87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1545"/>
        <w:gridCol w:w="1781"/>
        <w:gridCol w:w="4731"/>
      </w:tblGrid>
      <w:tr w14:paraId="6B2E5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91" w:type="dxa"/>
            <w:vAlign w:val="top"/>
          </w:tcPr>
          <w:p w14:paraId="71A0E356">
            <w:pPr>
              <w:pStyle w:val="11"/>
              <w:spacing w:before="135" w:line="222" w:lineRule="auto"/>
              <w:ind w:left="136"/>
              <w:rPr>
                <w:color w:val="auto"/>
                <w:highlight w:val="none"/>
              </w:rPr>
            </w:pPr>
            <w:r>
              <w:rPr>
                <w:color w:val="auto"/>
                <w:spacing w:val="-2"/>
                <w:highlight w:val="none"/>
                <w14:textOutline w14:w="3831" w14:cap="flat" w14:cmpd="sng">
                  <w14:solidFill>
                    <w14:srgbClr w14:val="000000"/>
                  </w14:solidFill>
                  <w14:prstDash w14:val="solid"/>
                  <w14:miter w14:val="0"/>
                </w14:textOutline>
              </w:rPr>
              <w:t>序号</w:t>
            </w:r>
          </w:p>
        </w:tc>
        <w:tc>
          <w:tcPr>
            <w:tcW w:w="1545" w:type="dxa"/>
            <w:vAlign w:val="top"/>
          </w:tcPr>
          <w:p w14:paraId="68634C04">
            <w:pPr>
              <w:pStyle w:val="11"/>
              <w:spacing w:before="135" w:line="221" w:lineRule="auto"/>
              <w:ind w:left="251"/>
              <w:rPr>
                <w:color w:val="auto"/>
                <w:highlight w:val="none"/>
              </w:rPr>
            </w:pPr>
            <w:r>
              <w:rPr>
                <w:color w:val="auto"/>
                <w:spacing w:val="-1"/>
                <w:highlight w:val="none"/>
                <w14:textOutline w14:w="3831" w14:cap="flat" w14:cmpd="sng">
                  <w14:solidFill>
                    <w14:srgbClr w14:val="000000"/>
                  </w14:solidFill>
                  <w14:prstDash w14:val="solid"/>
                  <w14:miter w14:val="0"/>
                </w14:textOutline>
              </w:rPr>
              <w:t>投标人名称</w:t>
            </w:r>
          </w:p>
        </w:tc>
        <w:tc>
          <w:tcPr>
            <w:tcW w:w="1781" w:type="dxa"/>
            <w:vAlign w:val="top"/>
          </w:tcPr>
          <w:p w14:paraId="09A04DE2">
            <w:pPr>
              <w:pStyle w:val="11"/>
              <w:spacing w:before="135" w:line="220" w:lineRule="auto"/>
              <w:ind w:left="160"/>
              <w:rPr>
                <w:color w:val="auto"/>
                <w:highlight w:val="none"/>
              </w:rPr>
            </w:pPr>
            <w:r>
              <w:rPr>
                <w:color w:val="auto"/>
                <w:spacing w:val="-1"/>
                <w:highlight w:val="none"/>
                <w14:textOutline w14:w="3831" w14:cap="flat" w14:cmpd="sng">
                  <w14:solidFill>
                    <w14:srgbClr w14:val="000000"/>
                  </w14:solidFill>
                  <w14:prstDash w14:val="solid"/>
                  <w14:miter w14:val="0"/>
                </w14:textOutline>
              </w:rPr>
              <w:t>否决投标的依据</w:t>
            </w:r>
          </w:p>
        </w:tc>
        <w:tc>
          <w:tcPr>
            <w:tcW w:w="4731" w:type="dxa"/>
            <w:vAlign w:val="top"/>
          </w:tcPr>
          <w:p w14:paraId="29F19F2B">
            <w:pPr>
              <w:pStyle w:val="11"/>
              <w:spacing w:before="134" w:line="221" w:lineRule="auto"/>
              <w:ind w:left="997"/>
              <w:rPr>
                <w:color w:val="auto"/>
                <w:highlight w:val="none"/>
              </w:rPr>
            </w:pPr>
            <w:r>
              <w:rPr>
                <w:color w:val="auto"/>
                <w:highlight w:val="none"/>
                <w14:textOutline w14:w="3831" w14:cap="flat" w14:cmpd="sng">
                  <w14:solidFill>
                    <w14:srgbClr w14:val="000000"/>
                  </w14:solidFill>
                  <w14:prstDash w14:val="solid"/>
                  <w14:miter w14:val="0"/>
                </w14:textOutline>
              </w:rPr>
              <w:t>投标文件存在的具体问题描述</w:t>
            </w:r>
          </w:p>
        </w:tc>
      </w:tr>
      <w:tr w14:paraId="630B4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91" w:type="dxa"/>
            <w:vAlign w:val="top"/>
          </w:tcPr>
          <w:p w14:paraId="4F1A4836">
            <w:pPr>
              <w:pStyle w:val="11"/>
              <w:spacing w:before="160" w:line="182" w:lineRule="auto"/>
              <w:ind w:left="305"/>
              <w:rPr>
                <w:color w:val="auto"/>
                <w:sz w:val="24"/>
                <w:szCs w:val="24"/>
                <w:highlight w:val="none"/>
              </w:rPr>
            </w:pPr>
            <w:r>
              <w:rPr>
                <w:color w:val="auto"/>
                <w:sz w:val="24"/>
                <w:szCs w:val="24"/>
                <w:highlight w:val="none"/>
              </w:rPr>
              <w:t>1</w:t>
            </w:r>
          </w:p>
        </w:tc>
        <w:tc>
          <w:tcPr>
            <w:tcW w:w="1545" w:type="dxa"/>
            <w:vAlign w:val="top"/>
          </w:tcPr>
          <w:p w14:paraId="1EEB1FC9">
            <w:pPr>
              <w:rPr>
                <w:rFonts w:ascii="Arial"/>
                <w:color w:val="auto"/>
                <w:sz w:val="21"/>
                <w:highlight w:val="none"/>
              </w:rPr>
            </w:pPr>
          </w:p>
        </w:tc>
        <w:tc>
          <w:tcPr>
            <w:tcW w:w="1781" w:type="dxa"/>
            <w:vAlign w:val="top"/>
          </w:tcPr>
          <w:p w14:paraId="01DE218E">
            <w:pPr>
              <w:rPr>
                <w:rFonts w:ascii="Arial"/>
                <w:color w:val="auto"/>
                <w:sz w:val="21"/>
                <w:highlight w:val="none"/>
              </w:rPr>
            </w:pPr>
          </w:p>
        </w:tc>
        <w:tc>
          <w:tcPr>
            <w:tcW w:w="4731" w:type="dxa"/>
            <w:vAlign w:val="top"/>
          </w:tcPr>
          <w:p w14:paraId="7F1F959A">
            <w:pPr>
              <w:rPr>
                <w:rFonts w:ascii="Arial"/>
                <w:color w:val="auto"/>
                <w:sz w:val="21"/>
                <w:highlight w:val="none"/>
              </w:rPr>
            </w:pPr>
          </w:p>
        </w:tc>
      </w:tr>
      <w:tr w14:paraId="56122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14:paraId="58C8BCB6">
            <w:pPr>
              <w:pStyle w:val="11"/>
              <w:spacing w:before="160" w:line="181" w:lineRule="auto"/>
              <w:ind w:left="290"/>
              <w:rPr>
                <w:color w:val="auto"/>
                <w:sz w:val="24"/>
                <w:szCs w:val="24"/>
                <w:highlight w:val="none"/>
              </w:rPr>
            </w:pPr>
            <w:r>
              <w:rPr>
                <w:color w:val="auto"/>
                <w:sz w:val="24"/>
                <w:szCs w:val="24"/>
                <w:highlight w:val="none"/>
              </w:rPr>
              <w:t>2</w:t>
            </w:r>
          </w:p>
        </w:tc>
        <w:tc>
          <w:tcPr>
            <w:tcW w:w="1545" w:type="dxa"/>
            <w:vAlign w:val="top"/>
          </w:tcPr>
          <w:p w14:paraId="04CDD7EC">
            <w:pPr>
              <w:rPr>
                <w:rFonts w:ascii="Arial"/>
                <w:color w:val="auto"/>
                <w:sz w:val="21"/>
                <w:highlight w:val="none"/>
              </w:rPr>
            </w:pPr>
          </w:p>
        </w:tc>
        <w:tc>
          <w:tcPr>
            <w:tcW w:w="1781" w:type="dxa"/>
            <w:vAlign w:val="top"/>
          </w:tcPr>
          <w:p w14:paraId="64C4AE1F">
            <w:pPr>
              <w:rPr>
                <w:rFonts w:ascii="Arial"/>
                <w:color w:val="auto"/>
                <w:sz w:val="21"/>
                <w:highlight w:val="none"/>
              </w:rPr>
            </w:pPr>
          </w:p>
        </w:tc>
        <w:tc>
          <w:tcPr>
            <w:tcW w:w="4731" w:type="dxa"/>
            <w:vAlign w:val="top"/>
          </w:tcPr>
          <w:p w14:paraId="6302EB4E">
            <w:pPr>
              <w:rPr>
                <w:rFonts w:ascii="Arial"/>
                <w:color w:val="auto"/>
                <w:sz w:val="21"/>
                <w:highlight w:val="none"/>
              </w:rPr>
            </w:pPr>
          </w:p>
        </w:tc>
      </w:tr>
      <w:tr w14:paraId="243F9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691" w:type="dxa"/>
            <w:vAlign w:val="top"/>
          </w:tcPr>
          <w:p w14:paraId="63D0A763">
            <w:pPr>
              <w:pStyle w:val="11"/>
              <w:spacing w:before="233" w:line="181" w:lineRule="auto"/>
              <w:ind w:left="292"/>
              <w:rPr>
                <w:color w:val="auto"/>
                <w:sz w:val="24"/>
                <w:szCs w:val="24"/>
                <w:highlight w:val="none"/>
              </w:rPr>
            </w:pPr>
            <w:r>
              <w:rPr>
                <w:color w:val="auto"/>
                <w:sz w:val="24"/>
                <w:szCs w:val="24"/>
                <w:highlight w:val="none"/>
              </w:rPr>
              <w:t>3</w:t>
            </w:r>
          </w:p>
        </w:tc>
        <w:tc>
          <w:tcPr>
            <w:tcW w:w="1545" w:type="dxa"/>
            <w:vAlign w:val="top"/>
          </w:tcPr>
          <w:p w14:paraId="649286E7">
            <w:pPr>
              <w:rPr>
                <w:rFonts w:ascii="Arial"/>
                <w:color w:val="auto"/>
                <w:sz w:val="21"/>
                <w:highlight w:val="none"/>
              </w:rPr>
            </w:pPr>
          </w:p>
        </w:tc>
        <w:tc>
          <w:tcPr>
            <w:tcW w:w="1781" w:type="dxa"/>
            <w:vAlign w:val="top"/>
          </w:tcPr>
          <w:p w14:paraId="13B6B1DB">
            <w:pPr>
              <w:rPr>
                <w:rFonts w:ascii="Arial"/>
                <w:color w:val="auto"/>
                <w:sz w:val="21"/>
                <w:highlight w:val="none"/>
              </w:rPr>
            </w:pPr>
          </w:p>
        </w:tc>
        <w:tc>
          <w:tcPr>
            <w:tcW w:w="4731" w:type="dxa"/>
            <w:vAlign w:val="top"/>
          </w:tcPr>
          <w:p w14:paraId="315C514C">
            <w:pPr>
              <w:rPr>
                <w:rFonts w:ascii="Arial"/>
                <w:color w:val="auto"/>
                <w:sz w:val="21"/>
                <w:highlight w:val="none"/>
              </w:rPr>
            </w:pPr>
          </w:p>
        </w:tc>
      </w:tr>
      <w:tr w14:paraId="12419D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91" w:type="dxa"/>
            <w:vAlign w:val="top"/>
          </w:tcPr>
          <w:p w14:paraId="1D53E16E">
            <w:pPr>
              <w:pStyle w:val="11"/>
              <w:spacing w:before="162" w:line="181" w:lineRule="auto"/>
              <w:ind w:left="287"/>
              <w:rPr>
                <w:color w:val="auto"/>
                <w:sz w:val="24"/>
                <w:szCs w:val="24"/>
                <w:highlight w:val="none"/>
              </w:rPr>
            </w:pPr>
            <w:r>
              <w:rPr>
                <w:color w:val="auto"/>
                <w:sz w:val="24"/>
                <w:szCs w:val="24"/>
                <w:highlight w:val="none"/>
              </w:rPr>
              <w:t>4</w:t>
            </w:r>
          </w:p>
        </w:tc>
        <w:tc>
          <w:tcPr>
            <w:tcW w:w="1545" w:type="dxa"/>
            <w:vAlign w:val="top"/>
          </w:tcPr>
          <w:p w14:paraId="5A7DEB17">
            <w:pPr>
              <w:rPr>
                <w:rFonts w:ascii="Arial"/>
                <w:color w:val="auto"/>
                <w:sz w:val="21"/>
                <w:highlight w:val="none"/>
              </w:rPr>
            </w:pPr>
          </w:p>
        </w:tc>
        <w:tc>
          <w:tcPr>
            <w:tcW w:w="1781" w:type="dxa"/>
            <w:vAlign w:val="top"/>
          </w:tcPr>
          <w:p w14:paraId="583103D7">
            <w:pPr>
              <w:rPr>
                <w:rFonts w:ascii="Arial"/>
                <w:color w:val="auto"/>
                <w:sz w:val="21"/>
                <w:highlight w:val="none"/>
              </w:rPr>
            </w:pPr>
          </w:p>
        </w:tc>
        <w:tc>
          <w:tcPr>
            <w:tcW w:w="4731" w:type="dxa"/>
            <w:vAlign w:val="top"/>
          </w:tcPr>
          <w:p w14:paraId="559A75D5">
            <w:pPr>
              <w:rPr>
                <w:rFonts w:ascii="Arial"/>
                <w:color w:val="auto"/>
                <w:sz w:val="21"/>
                <w:highlight w:val="none"/>
              </w:rPr>
            </w:pPr>
          </w:p>
        </w:tc>
      </w:tr>
      <w:tr w14:paraId="13B6B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4" w:hRule="atLeast"/>
        </w:trPr>
        <w:tc>
          <w:tcPr>
            <w:tcW w:w="691" w:type="dxa"/>
            <w:vAlign w:val="top"/>
          </w:tcPr>
          <w:p w14:paraId="555BA5B5">
            <w:pPr>
              <w:pStyle w:val="11"/>
              <w:spacing w:before="163" w:line="180" w:lineRule="auto"/>
              <w:ind w:left="292"/>
              <w:rPr>
                <w:color w:val="auto"/>
                <w:sz w:val="24"/>
                <w:szCs w:val="24"/>
                <w:highlight w:val="none"/>
              </w:rPr>
            </w:pPr>
            <w:r>
              <w:rPr>
                <w:color w:val="auto"/>
                <w:sz w:val="24"/>
                <w:szCs w:val="24"/>
                <w:highlight w:val="none"/>
              </w:rPr>
              <w:t>5</w:t>
            </w:r>
          </w:p>
        </w:tc>
        <w:tc>
          <w:tcPr>
            <w:tcW w:w="1545" w:type="dxa"/>
            <w:vAlign w:val="top"/>
          </w:tcPr>
          <w:p w14:paraId="60F6BB4A">
            <w:pPr>
              <w:rPr>
                <w:rFonts w:ascii="Arial"/>
                <w:color w:val="auto"/>
                <w:sz w:val="21"/>
                <w:highlight w:val="none"/>
              </w:rPr>
            </w:pPr>
          </w:p>
        </w:tc>
        <w:tc>
          <w:tcPr>
            <w:tcW w:w="1781" w:type="dxa"/>
            <w:vAlign w:val="top"/>
          </w:tcPr>
          <w:p w14:paraId="18AB68D0">
            <w:pPr>
              <w:rPr>
                <w:rFonts w:ascii="Arial"/>
                <w:color w:val="auto"/>
                <w:sz w:val="21"/>
                <w:highlight w:val="none"/>
              </w:rPr>
            </w:pPr>
          </w:p>
        </w:tc>
        <w:tc>
          <w:tcPr>
            <w:tcW w:w="4731" w:type="dxa"/>
            <w:vAlign w:val="top"/>
          </w:tcPr>
          <w:p w14:paraId="50D8352D">
            <w:pPr>
              <w:rPr>
                <w:rFonts w:ascii="Arial"/>
                <w:color w:val="auto"/>
                <w:sz w:val="21"/>
                <w:highlight w:val="none"/>
              </w:rPr>
            </w:pPr>
          </w:p>
        </w:tc>
      </w:tr>
      <w:tr w14:paraId="38BB3E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14:paraId="7030C6F0">
            <w:pPr>
              <w:pStyle w:val="11"/>
              <w:spacing w:before="163" w:line="181" w:lineRule="auto"/>
              <w:ind w:left="289"/>
              <w:rPr>
                <w:color w:val="auto"/>
                <w:sz w:val="24"/>
                <w:szCs w:val="24"/>
                <w:highlight w:val="none"/>
              </w:rPr>
            </w:pPr>
            <w:r>
              <w:rPr>
                <w:color w:val="auto"/>
                <w:sz w:val="24"/>
                <w:szCs w:val="24"/>
                <w:highlight w:val="none"/>
              </w:rPr>
              <w:t>6</w:t>
            </w:r>
          </w:p>
        </w:tc>
        <w:tc>
          <w:tcPr>
            <w:tcW w:w="1545" w:type="dxa"/>
            <w:vAlign w:val="top"/>
          </w:tcPr>
          <w:p w14:paraId="525A4BE3">
            <w:pPr>
              <w:rPr>
                <w:rFonts w:ascii="Arial"/>
                <w:color w:val="auto"/>
                <w:sz w:val="21"/>
                <w:highlight w:val="none"/>
              </w:rPr>
            </w:pPr>
          </w:p>
        </w:tc>
        <w:tc>
          <w:tcPr>
            <w:tcW w:w="1781" w:type="dxa"/>
            <w:vAlign w:val="top"/>
          </w:tcPr>
          <w:p w14:paraId="31BBB8D4">
            <w:pPr>
              <w:rPr>
                <w:rFonts w:ascii="Arial"/>
                <w:color w:val="auto"/>
                <w:sz w:val="21"/>
                <w:highlight w:val="none"/>
              </w:rPr>
            </w:pPr>
          </w:p>
        </w:tc>
        <w:tc>
          <w:tcPr>
            <w:tcW w:w="4731" w:type="dxa"/>
            <w:vAlign w:val="top"/>
          </w:tcPr>
          <w:p w14:paraId="4E8E1DC2">
            <w:pPr>
              <w:rPr>
                <w:rFonts w:ascii="Arial"/>
                <w:color w:val="auto"/>
                <w:sz w:val="21"/>
                <w:highlight w:val="none"/>
              </w:rPr>
            </w:pPr>
          </w:p>
        </w:tc>
      </w:tr>
      <w:tr w14:paraId="3B3C9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14:paraId="46B9C8AB">
            <w:pPr>
              <w:pStyle w:val="11"/>
              <w:spacing w:before="169" w:line="180" w:lineRule="auto"/>
              <w:ind w:left="293"/>
              <w:rPr>
                <w:color w:val="auto"/>
                <w:sz w:val="24"/>
                <w:szCs w:val="24"/>
                <w:highlight w:val="none"/>
              </w:rPr>
            </w:pPr>
            <w:r>
              <w:rPr>
                <w:color w:val="auto"/>
                <w:sz w:val="24"/>
                <w:szCs w:val="24"/>
                <w:highlight w:val="none"/>
              </w:rPr>
              <w:t>7</w:t>
            </w:r>
          </w:p>
        </w:tc>
        <w:tc>
          <w:tcPr>
            <w:tcW w:w="1545" w:type="dxa"/>
            <w:vAlign w:val="top"/>
          </w:tcPr>
          <w:p w14:paraId="356EAF1D">
            <w:pPr>
              <w:rPr>
                <w:rFonts w:ascii="Arial"/>
                <w:color w:val="auto"/>
                <w:sz w:val="21"/>
                <w:highlight w:val="none"/>
              </w:rPr>
            </w:pPr>
          </w:p>
        </w:tc>
        <w:tc>
          <w:tcPr>
            <w:tcW w:w="1781" w:type="dxa"/>
            <w:vAlign w:val="top"/>
          </w:tcPr>
          <w:p w14:paraId="59B7BFCF">
            <w:pPr>
              <w:rPr>
                <w:rFonts w:ascii="Arial"/>
                <w:color w:val="auto"/>
                <w:sz w:val="21"/>
                <w:highlight w:val="none"/>
              </w:rPr>
            </w:pPr>
          </w:p>
        </w:tc>
        <w:tc>
          <w:tcPr>
            <w:tcW w:w="4731" w:type="dxa"/>
            <w:vAlign w:val="top"/>
          </w:tcPr>
          <w:p w14:paraId="7ECF2226">
            <w:pPr>
              <w:rPr>
                <w:rFonts w:ascii="Arial"/>
                <w:color w:val="auto"/>
                <w:sz w:val="21"/>
                <w:highlight w:val="none"/>
              </w:rPr>
            </w:pPr>
          </w:p>
        </w:tc>
      </w:tr>
      <w:tr w14:paraId="201B7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91" w:type="dxa"/>
            <w:vAlign w:val="top"/>
          </w:tcPr>
          <w:p w14:paraId="7D44A5CB">
            <w:pPr>
              <w:pStyle w:val="11"/>
              <w:spacing w:before="169" w:line="181" w:lineRule="auto"/>
              <w:ind w:left="288"/>
              <w:rPr>
                <w:color w:val="auto"/>
                <w:sz w:val="24"/>
                <w:szCs w:val="24"/>
                <w:highlight w:val="none"/>
              </w:rPr>
            </w:pPr>
            <w:r>
              <w:rPr>
                <w:color w:val="auto"/>
                <w:sz w:val="24"/>
                <w:szCs w:val="24"/>
                <w:highlight w:val="none"/>
              </w:rPr>
              <w:t>8</w:t>
            </w:r>
          </w:p>
        </w:tc>
        <w:tc>
          <w:tcPr>
            <w:tcW w:w="1545" w:type="dxa"/>
            <w:vAlign w:val="top"/>
          </w:tcPr>
          <w:p w14:paraId="304CED5D">
            <w:pPr>
              <w:rPr>
                <w:rFonts w:ascii="Arial"/>
                <w:color w:val="auto"/>
                <w:sz w:val="21"/>
                <w:highlight w:val="none"/>
              </w:rPr>
            </w:pPr>
          </w:p>
        </w:tc>
        <w:tc>
          <w:tcPr>
            <w:tcW w:w="1781" w:type="dxa"/>
            <w:vAlign w:val="top"/>
          </w:tcPr>
          <w:p w14:paraId="2F6C10C5">
            <w:pPr>
              <w:rPr>
                <w:rFonts w:ascii="Arial"/>
                <w:color w:val="auto"/>
                <w:sz w:val="21"/>
                <w:highlight w:val="none"/>
              </w:rPr>
            </w:pPr>
          </w:p>
        </w:tc>
        <w:tc>
          <w:tcPr>
            <w:tcW w:w="4731" w:type="dxa"/>
            <w:vAlign w:val="top"/>
          </w:tcPr>
          <w:p w14:paraId="229F5D8E">
            <w:pPr>
              <w:rPr>
                <w:rFonts w:ascii="Arial"/>
                <w:color w:val="auto"/>
                <w:sz w:val="21"/>
                <w:highlight w:val="none"/>
              </w:rPr>
            </w:pPr>
          </w:p>
        </w:tc>
      </w:tr>
      <w:tr w14:paraId="5E4CC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14:paraId="5FEC0C91">
            <w:pPr>
              <w:pStyle w:val="11"/>
              <w:spacing w:before="138" w:line="333" w:lineRule="exact"/>
              <w:ind w:left="257"/>
              <w:rPr>
                <w:color w:val="auto"/>
                <w:highlight w:val="none"/>
              </w:rPr>
            </w:pPr>
            <w:r>
              <w:rPr>
                <w:color w:val="auto"/>
                <w:position w:val="2"/>
                <w:highlight w:val="none"/>
              </w:rPr>
              <w:t>…</w:t>
            </w:r>
          </w:p>
        </w:tc>
        <w:tc>
          <w:tcPr>
            <w:tcW w:w="1545" w:type="dxa"/>
            <w:vAlign w:val="top"/>
          </w:tcPr>
          <w:p w14:paraId="76E101EF">
            <w:pPr>
              <w:rPr>
                <w:rFonts w:ascii="Arial"/>
                <w:color w:val="auto"/>
                <w:sz w:val="21"/>
                <w:highlight w:val="none"/>
              </w:rPr>
            </w:pPr>
          </w:p>
        </w:tc>
        <w:tc>
          <w:tcPr>
            <w:tcW w:w="1781" w:type="dxa"/>
            <w:vAlign w:val="top"/>
          </w:tcPr>
          <w:p w14:paraId="515F8840">
            <w:pPr>
              <w:rPr>
                <w:rFonts w:ascii="Arial"/>
                <w:color w:val="auto"/>
                <w:sz w:val="21"/>
                <w:highlight w:val="none"/>
              </w:rPr>
            </w:pPr>
          </w:p>
        </w:tc>
        <w:tc>
          <w:tcPr>
            <w:tcW w:w="4731" w:type="dxa"/>
            <w:vAlign w:val="top"/>
          </w:tcPr>
          <w:p w14:paraId="7BAAFB60">
            <w:pPr>
              <w:rPr>
                <w:rFonts w:ascii="Arial"/>
                <w:color w:val="auto"/>
                <w:sz w:val="21"/>
                <w:highlight w:val="none"/>
              </w:rPr>
            </w:pPr>
          </w:p>
        </w:tc>
      </w:tr>
      <w:tr w14:paraId="4E28B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8748" w:type="dxa"/>
            <w:gridSpan w:val="4"/>
            <w:vAlign w:val="top"/>
          </w:tcPr>
          <w:p w14:paraId="455CF4C3">
            <w:pPr>
              <w:pStyle w:val="11"/>
              <w:spacing w:before="33" w:line="220" w:lineRule="auto"/>
              <w:ind w:left="112"/>
              <w:rPr>
                <w:color w:val="auto"/>
                <w:highlight w:val="none"/>
              </w:rPr>
            </w:pPr>
            <w:r>
              <w:rPr>
                <w:color w:val="auto"/>
                <w:spacing w:val="-3"/>
                <w:highlight w:val="none"/>
              </w:rPr>
              <w:t>评标委员会全体成员签名：</w:t>
            </w:r>
          </w:p>
        </w:tc>
      </w:tr>
    </w:tbl>
    <w:p w14:paraId="11386691">
      <w:pPr>
        <w:spacing w:before="29" w:line="221" w:lineRule="auto"/>
        <w:ind w:left="5936"/>
        <w:rPr>
          <w:rFonts w:ascii="宋体" w:hAnsi="宋体" w:eastAsia="宋体" w:cs="宋体"/>
          <w:color w:val="auto"/>
          <w:sz w:val="21"/>
          <w:szCs w:val="21"/>
          <w:highlight w:val="none"/>
        </w:rPr>
      </w:pPr>
      <w:r>
        <w:rPr>
          <w:rFonts w:ascii="宋体" w:hAnsi="宋体" w:eastAsia="宋体" w:cs="宋体"/>
          <w:color w:val="auto"/>
          <w:spacing w:val="-24"/>
          <w:sz w:val="21"/>
          <w:szCs w:val="21"/>
          <w:highlight w:val="none"/>
        </w:rPr>
        <w:t>日期：</w:t>
      </w:r>
      <w:r>
        <w:rPr>
          <w:rFonts w:ascii="宋体" w:hAnsi="宋体" w:eastAsia="宋体" w:cs="宋体"/>
          <w:color w:val="auto"/>
          <w:spacing w:val="21"/>
          <w:sz w:val="21"/>
          <w:szCs w:val="21"/>
          <w:highlight w:val="none"/>
        </w:rPr>
        <w:t xml:space="preserve">    </w:t>
      </w:r>
      <w:r>
        <w:rPr>
          <w:rFonts w:ascii="宋体" w:hAnsi="宋体" w:eastAsia="宋体" w:cs="宋体"/>
          <w:color w:val="auto"/>
          <w:spacing w:val="-24"/>
          <w:sz w:val="21"/>
          <w:szCs w:val="21"/>
          <w:highlight w:val="none"/>
        </w:rPr>
        <w:t>年</w:t>
      </w:r>
      <w:r>
        <w:rPr>
          <w:rFonts w:ascii="宋体" w:hAnsi="宋体" w:eastAsia="宋体" w:cs="宋体"/>
          <w:color w:val="auto"/>
          <w:spacing w:val="4"/>
          <w:sz w:val="21"/>
          <w:szCs w:val="21"/>
          <w:highlight w:val="none"/>
        </w:rPr>
        <w:t xml:space="preserve">    </w:t>
      </w:r>
      <w:r>
        <w:rPr>
          <w:rFonts w:ascii="宋体" w:hAnsi="宋体" w:eastAsia="宋体" w:cs="宋体"/>
          <w:color w:val="auto"/>
          <w:spacing w:val="-24"/>
          <w:sz w:val="21"/>
          <w:szCs w:val="21"/>
          <w:highlight w:val="none"/>
        </w:rPr>
        <w:t>月</w:t>
      </w:r>
      <w:r>
        <w:rPr>
          <w:rFonts w:ascii="宋体" w:hAnsi="宋体" w:eastAsia="宋体" w:cs="宋体"/>
          <w:color w:val="auto"/>
          <w:spacing w:val="10"/>
          <w:sz w:val="21"/>
          <w:szCs w:val="21"/>
          <w:highlight w:val="none"/>
        </w:rPr>
        <w:t xml:space="preserve">    </w:t>
      </w:r>
      <w:r>
        <w:rPr>
          <w:rFonts w:ascii="宋体" w:hAnsi="宋体" w:eastAsia="宋体" w:cs="宋体"/>
          <w:color w:val="auto"/>
          <w:spacing w:val="-24"/>
          <w:sz w:val="21"/>
          <w:szCs w:val="21"/>
          <w:highlight w:val="none"/>
        </w:rPr>
        <w:t>日</w:t>
      </w:r>
    </w:p>
    <w:p w14:paraId="66F5373E">
      <w:pPr>
        <w:spacing w:line="221" w:lineRule="auto"/>
        <w:rPr>
          <w:rFonts w:ascii="宋体" w:hAnsi="宋体" w:eastAsia="宋体" w:cs="宋体"/>
          <w:color w:val="auto"/>
          <w:sz w:val="21"/>
          <w:szCs w:val="21"/>
          <w:highlight w:val="none"/>
        </w:rPr>
        <w:sectPr>
          <w:footerReference r:id="rId88" w:type="default"/>
          <w:pgSz w:w="11905" w:h="16839"/>
          <w:pgMar w:top="1431" w:right="1570" w:bottom="996" w:left="1579" w:header="0" w:footer="791" w:gutter="0"/>
          <w:pgNumType w:fmt="decimal"/>
          <w:cols w:space="720" w:num="1"/>
        </w:sectPr>
      </w:pPr>
    </w:p>
    <w:p w14:paraId="6DBEFAA0">
      <w:pPr>
        <w:spacing w:before="124" w:line="219" w:lineRule="auto"/>
        <w:ind w:left="118"/>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附表</w:t>
      </w:r>
      <w:r>
        <w:rPr>
          <w:rFonts w:ascii="黑体" w:hAnsi="黑体" w:eastAsia="黑体" w:cs="黑体"/>
          <w:color w:val="auto"/>
          <w:spacing w:val="-48"/>
          <w:sz w:val="24"/>
          <w:szCs w:val="24"/>
          <w:highlight w:val="none"/>
        </w:rPr>
        <w:t xml:space="preserve"> </w:t>
      </w:r>
      <w:r>
        <w:rPr>
          <w:rFonts w:ascii="Times New Roman" w:hAnsi="Times New Roman" w:eastAsia="Times New Roman" w:cs="Times New Roman"/>
          <w:color w:val="auto"/>
          <w:spacing w:val="-5"/>
          <w:sz w:val="24"/>
          <w:szCs w:val="24"/>
          <w:highlight w:val="none"/>
        </w:rPr>
        <w:t>A-</w:t>
      </w:r>
      <w:r>
        <w:rPr>
          <w:rFonts w:ascii="Times New Roman" w:hAnsi="Times New Roman" w:eastAsia="Times New Roman" w:cs="Times New Roman"/>
          <w:color w:val="auto"/>
          <w:spacing w:val="-30"/>
          <w:sz w:val="24"/>
          <w:szCs w:val="24"/>
          <w:highlight w:val="none"/>
        </w:rPr>
        <w:t xml:space="preserve"> </w:t>
      </w:r>
      <w:r>
        <w:rPr>
          <w:rFonts w:ascii="Times New Roman" w:hAnsi="Times New Roman" w:eastAsia="Times New Roman" w:cs="Times New Roman"/>
          <w:color w:val="auto"/>
          <w:spacing w:val="-5"/>
          <w:sz w:val="24"/>
          <w:szCs w:val="24"/>
          <w:highlight w:val="none"/>
        </w:rPr>
        <w:t>10</w:t>
      </w:r>
      <w:r>
        <w:rPr>
          <w:rFonts w:ascii="黑体" w:hAnsi="黑体" w:eastAsia="黑体" w:cs="黑体"/>
          <w:color w:val="auto"/>
          <w:spacing w:val="-5"/>
          <w:sz w:val="24"/>
          <w:szCs w:val="24"/>
          <w:highlight w:val="none"/>
        </w:rPr>
        <w:t>：经济标评分记录表</w:t>
      </w:r>
    </w:p>
    <w:p w14:paraId="423E42A8">
      <w:pPr>
        <w:spacing w:before="100"/>
        <w:rPr>
          <w:color w:val="auto"/>
          <w:highlight w:val="none"/>
        </w:rPr>
      </w:pPr>
    </w:p>
    <w:p w14:paraId="443D4B88">
      <w:pPr>
        <w:spacing w:before="100"/>
        <w:rPr>
          <w:color w:val="auto"/>
          <w:highlight w:val="none"/>
        </w:rPr>
      </w:pPr>
    </w:p>
    <w:p w14:paraId="66C04242">
      <w:pPr>
        <w:rPr>
          <w:color w:val="auto"/>
          <w:highlight w:val="none"/>
        </w:rPr>
        <w:sectPr>
          <w:footerReference r:id="rId89" w:type="default"/>
          <w:pgSz w:w="11905" w:h="16839"/>
          <w:pgMar w:top="1431" w:right="1690" w:bottom="996" w:left="1699" w:header="0" w:footer="791" w:gutter="0"/>
          <w:pgNumType w:fmt="decimal"/>
          <w:cols w:equalWidth="0" w:num="1">
            <w:col w:w="8514"/>
          </w:cols>
        </w:sectPr>
      </w:pPr>
    </w:p>
    <w:p w14:paraId="3D9CD56D">
      <w:pPr>
        <w:spacing w:before="71" w:line="219" w:lineRule="auto"/>
        <w:ind w:left="2832"/>
        <w:rPr>
          <w:rFonts w:ascii="黑体" w:hAnsi="黑体" w:eastAsia="黑体" w:cs="黑体"/>
          <w:color w:val="auto"/>
          <w:sz w:val="36"/>
          <w:szCs w:val="36"/>
          <w:highlight w:val="none"/>
        </w:rPr>
      </w:pPr>
      <w:r>
        <w:rPr>
          <w:rFonts w:ascii="黑体" w:hAnsi="黑体" w:eastAsia="黑体" w:cs="黑体"/>
          <w:color w:val="auto"/>
          <w:spacing w:val="-3"/>
          <w:sz w:val="36"/>
          <w:szCs w:val="36"/>
          <w:highlight w:val="none"/>
        </w:rPr>
        <w:t>经济标评分记录表</w:t>
      </w:r>
    </w:p>
    <w:p w14:paraId="05FB8BBF">
      <w:pPr>
        <w:spacing w:before="234" w:line="221" w:lineRule="auto"/>
        <w:ind w:left="105"/>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标段名称：</w:t>
      </w:r>
    </w:p>
    <w:p w14:paraId="21EF15D1">
      <w:pPr>
        <w:spacing w:before="21" w:line="186" w:lineRule="auto"/>
        <w:ind w:left="10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标段唯一标识码：</w:t>
      </w:r>
    </w:p>
    <w:p w14:paraId="220648DB">
      <w:pPr>
        <w:pStyle w:val="3"/>
        <w:spacing w:line="14" w:lineRule="auto"/>
        <w:rPr>
          <w:color w:val="auto"/>
          <w:sz w:val="2"/>
          <w:highlight w:val="none"/>
        </w:rPr>
      </w:pPr>
      <w:r>
        <w:rPr>
          <w:color w:val="auto"/>
          <w:sz w:val="2"/>
          <w:szCs w:val="2"/>
          <w:highlight w:val="none"/>
        </w:rPr>
        <w:br w:type="column"/>
      </w:r>
    </w:p>
    <w:p w14:paraId="6454E998">
      <w:pPr>
        <w:pStyle w:val="3"/>
        <w:spacing w:line="310" w:lineRule="auto"/>
        <w:rPr>
          <w:color w:val="auto"/>
          <w:highlight w:val="none"/>
        </w:rPr>
      </w:pPr>
    </w:p>
    <w:p w14:paraId="1EC3F39F">
      <w:pPr>
        <w:pStyle w:val="3"/>
        <w:spacing w:line="310" w:lineRule="auto"/>
        <w:rPr>
          <w:color w:val="auto"/>
          <w:highlight w:val="none"/>
        </w:rPr>
      </w:pPr>
    </w:p>
    <w:p w14:paraId="392F8807">
      <w:pPr>
        <w:pStyle w:val="3"/>
        <w:spacing w:line="310" w:lineRule="auto"/>
        <w:rPr>
          <w:color w:val="auto"/>
          <w:highlight w:val="none"/>
        </w:rPr>
      </w:pPr>
    </w:p>
    <w:p w14:paraId="29990DFA">
      <w:pPr>
        <w:spacing w:before="68" w:line="186" w:lineRule="auto"/>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单位：人民币元</w:t>
      </w:r>
    </w:p>
    <w:p w14:paraId="0038A5A8">
      <w:pPr>
        <w:spacing w:line="186" w:lineRule="auto"/>
        <w:rPr>
          <w:rFonts w:ascii="宋体" w:hAnsi="宋体" w:eastAsia="宋体" w:cs="宋体"/>
          <w:color w:val="auto"/>
          <w:sz w:val="21"/>
          <w:szCs w:val="21"/>
          <w:highlight w:val="none"/>
        </w:rPr>
        <w:sectPr>
          <w:type w:val="continuous"/>
          <w:pgSz w:w="11905" w:h="16839"/>
          <w:pgMar w:top="1431" w:right="1690" w:bottom="996" w:left="1699" w:header="0" w:footer="791" w:gutter="0"/>
          <w:pgNumType w:fmt="decimal"/>
          <w:cols w:equalWidth="0" w:num="2">
            <w:col w:w="6312" w:space="100"/>
            <w:col w:w="2103"/>
          </w:cols>
        </w:sectPr>
      </w:pPr>
    </w:p>
    <w:p w14:paraId="3C13DC82">
      <w:pPr>
        <w:spacing w:line="32" w:lineRule="exact"/>
        <w:rPr>
          <w:color w:val="auto"/>
          <w:highlight w:val="none"/>
        </w:rPr>
      </w:pPr>
    </w:p>
    <w:tbl>
      <w:tblPr>
        <w:tblStyle w:val="10"/>
        <w:tblW w:w="85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1"/>
        <w:gridCol w:w="1334"/>
        <w:gridCol w:w="701"/>
        <w:gridCol w:w="993"/>
        <w:gridCol w:w="739"/>
        <w:gridCol w:w="945"/>
        <w:gridCol w:w="839"/>
        <w:gridCol w:w="845"/>
        <w:gridCol w:w="1531"/>
      </w:tblGrid>
      <w:tr w14:paraId="6EB38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581" w:type="dxa"/>
            <w:vMerge w:val="restart"/>
            <w:tcBorders>
              <w:bottom w:val="nil"/>
            </w:tcBorders>
            <w:textDirection w:val="tbRlV"/>
            <w:vAlign w:val="top"/>
          </w:tcPr>
          <w:p w14:paraId="1C7DEC50">
            <w:pPr>
              <w:pStyle w:val="11"/>
              <w:spacing w:before="186" w:line="211" w:lineRule="auto"/>
              <w:ind w:left="557"/>
              <w:rPr>
                <w:color w:val="auto"/>
                <w:highlight w:val="none"/>
              </w:rPr>
            </w:pPr>
            <w:r>
              <w:rPr>
                <w:color w:val="auto"/>
                <w:spacing w:val="1"/>
                <w:highlight w:val="none"/>
                <w14:textOutline w14:w="3831" w14:cap="flat" w14:cmpd="sng">
                  <w14:solidFill>
                    <w14:srgbClr w14:val="000000"/>
                  </w14:solidFill>
                  <w14:prstDash w14:val="solid"/>
                  <w14:miter w14:val="0"/>
                </w14:textOutline>
              </w:rPr>
              <w:t>序</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号</w:t>
            </w:r>
          </w:p>
        </w:tc>
        <w:tc>
          <w:tcPr>
            <w:tcW w:w="1334" w:type="dxa"/>
            <w:vMerge w:val="restart"/>
            <w:tcBorders>
              <w:bottom w:val="nil"/>
            </w:tcBorders>
            <w:vAlign w:val="top"/>
          </w:tcPr>
          <w:p w14:paraId="5942395E">
            <w:pPr>
              <w:spacing w:line="312" w:lineRule="auto"/>
              <w:rPr>
                <w:rFonts w:ascii="Arial"/>
                <w:color w:val="auto"/>
                <w:sz w:val="21"/>
                <w:highlight w:val="none"/>
              </w:rPr>
            </w:pPr>
          </w:p>
          <w:p w14:paraId="06E28852">
            <w:pPr>
              <w:spacing w:line="313" w:lineRule="auto"/>
              <w:rPr>
                <w:rFonts w:ascii="Arial"/>
                <w:color w:val="auto"/>
                <w:sz w:val="21"/>
                <w:highlight w:val="none"/>
              </w:rPr>
            </w:pPr>
          </w:p>
          <w:p w14:paraId="218309AD">
            <w:pPr>
              <w:pStyle w:val="11"/>
              <w:spacing w:before="68" w:line="221" w:lineRule="auto"/>
              <w:ind w:left="145"/>
              <w:rPr>
                <w:color w:val="auto"/>
                <w:highlight w:val="none"/>
              </w:rPr>
            </w:pPr>
            <w:r>
              <w:rPr>
                <w:color w:val="auto"/>
                <w:spacing w:val="-1"/>
                <w:highlight w:val="none"/>
                <w14:textOutline w14:w="3831" w14:cap="flat" w14:cmpd="sng">
                  <w14:solidFill>
                    <w14:srgbClr w14:val="000000"/>
                  </w14:solidFill>
                  <w14:prstDash w14:val="solid"/>
                  <w14:miter w14:val="0"/>
                </w14:textOutline>
              </w:rPr>
              <w:t>投标人名称</w:t>
            </w:r>
          </w:p>
        </w:tc>
        <w:tc>
          <w:tcPr>
            <w:tcW w:w="6593" w:type="dxa"/>
            <w:gridSpan w:val="7"/>
            <w:vAlign w:val="top"/>
          </w:tcPr>
          <w:p w14:paraId="4D6EEF05">
            <w:pPr>
              <w:pStyle w:val="11"/>
              <w:spacing w:before="145" w:line="221" w:lineRule="auto"/>
              <w:ind w:left="2874"/>
              <w:rPr>
                <w:color w:val="auto"/>
                <w:highlight w:val="none"/>
              </w:rPr>
            </w:pPr>
            <w:r>
              <w:rPr>
                <w:color w:val="auto"/>
                <w:spacing w:val="-1"/>
                <w:highlight w:val="none"/>
                <w14:textOutline w14:w="3831" w14:cap="flat" w14:cmpd="sng">
                  <w14:solidFill>
                    <w14:srgbClr w14:val="000000"/>
                  </w14:solidFill>
                  <w14:prstDash w14:val="solid"/>
                  <w14:miter w14:val="0"/>
                </w14:textOutline>
              </w:rPr>
              <w:t>评审项目</w:t>
            </w:r>
          </w:p>
        </w:tc>
      </w:tr>
      <w:tr w14:paraId="2DA04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581" w:type="dxa"/>
            <w:vMerge w:val="continue"/>
            <w:tcBorders>
              <w:top w:val="nil"/>
            </w:tcBorders>
            <w:textDirection w:val="tbRlV"/>
            <w:vAlign w:val="top"/>
          </w:tcPr>
          <w:p w14:paraId="0C6C5549">
            <w:pPr>
              <w:rPr>
                <w:rFonts w:ascii="Arial"/>
                <w:color w:val="auto"/>
                <w:sz w:val="21"/>
                <w:highlight w:val="none"/>
              </w:rPr>
            </w:pPr>
          </w:p>
        </w:tc>
        <w:tc>
          <w:tcPr>
            <w:tcW w:w="1334" w:type="dxa"/>
            <w:vMerge w:val="continue"/>
            <w:tcBorders>
              <w:top w:val="nil"/>
            </w:tcBorders>
            <w:vAlign w:val="top"/>
          </w:tcPr>
          <w:p w14:paraId="285DD18A">
            <w:pPr>
              <w:rPr>
                <w:rFonts w:ascii="Arial"/>
                <w:color w:val="auto"/>
                <w:sz w:val="21"/>
                <w:highlight w:val="none"/>
              </w:rPr>
            </w:pPr>
          </w:p>
        </w:tc>
        <w:tc>
          <w:tcPr>
            <w:tcW w:w="701" w:type="dxa"/>
            <w:vAlign w:val="top"/>
          </w:tcPr>
          <w:p w14:paraId="0653FF96">
            <w:pPr>
              <w:pStyle w:val="11"/>
              <w:spacing w:before="304" w:line="236" w:lineRule="auto"/>
              <w:ind w:left="141"/>
              <w:rPr>
                <w:color w:val="auto"/>
                <w:highlight w:val="none"/>
              </w:rPr>
            </w:pPr>
            <w:r>
              <w:rPr>
                <w:color w:val="auto"/>
                <w:spacing w:val="-3"/>
                <w:highlight w:val="none"/>
                <w14:textOutline w14:w="3831" w14:cap="flat" w14:cmpd="sng">
                  <w14:solidFill>
                    <w14:srgbClr w14:val="000000"/>
                  </w14:solidFill>
                  <w14:prstDash w14:val="solid"/>
                  <w14:miter w14:val="0"/>
                </w14:textOutline>
              </w:rPr>
              <w:t>投标</w:t>
            </w:r>
          </w:p>
          <w:p w14:paraId="12150974">
            <w:pPr>
              <w:pStyle w:val="11"/>
              <w:spacing w:line="219" w:lineRule="auto"/>
              <w:ind w:left="137"/>
              <w:rPr>
                <w:color w:val="auto"/>
                <w:highlight w:val="none"/>
              </w:rPr>
            </w:pPr>
            <w:r>
              <w:rPr>
                <w:color w:val="auto"/>
                <w:spacing w:val="-2"/>
                <w:highlight w:val="none"/>
                <w14:textOutline w14:w="3831" w14:cap="flat" w14:cmpd="sng">
                  <w14:solidFill>
                    <w14:srgbClr w14:val="000000"/>
                  </w14:solidFill>
                  <w14:prstDash w14:val="solid"/>
                  <w14:miter w14:val="0"/>
                </w14:textOutline>
              </w:rPr>
              <w:t>报价</w:t>
            </w:r>
          </w:p>
        </w:tc>
        <w:tc>
          <w:tcPr>
            <w:tcW w:w="993" w:type="dxa"/>
            <w:vAlign w:val="top"/>
          </w:tcPr>
          <w:p w14:paraId="22DE1D49">
            <w:pPr>
              <w:pStyle w:val="11"/>
              <w:spacing w:before="30" w:line="232" w:lineRule="auto"/>
              <w:ind w:left="182" w:right="180"/>
              <w:jc w:val="both"/>
              <w:rPr>
                <w:color w:val="auto"/>
                <w:highlight w:val="none"/>
              </w:rPr>
            </w:pPr>
            <w:r>
              <w:rPr>
                <w:color w:val="auto"/>
                <w:spacing w:val="-2"/>
                <w:highlight w:val="none"/>
                <w14:textOutline w14:w="3831" w14:cap="flat" w14:cmpd="sng">
                  <w14:solidFill>
                    <w14:srgbClr w14:val="000000"/>
                  </w14:solidFill>
                  <w14:prstDash w14:val="solid"/>
                  <w14:miter w14:val="0"/>
                </w14:textOutline>
              </w:rPr>
              <w:t>修正后</w:t>
            </w:r>
            <w:r>
              <w:rPr>
                <w:color w:val="auto"/>
                <w:highlight w:val="none"/>
              </w:rPr>
              <w:t xml:space="preserve"> </w:t>
            </w:r>
            <w:r>
              <w:rPr>
                <w:color w:val="auto"/>
                <w:spacing w:val="-2"/>
                <w:highlight w:val="none"/>
                <w14:textOutline w14:w="3831" w14:cap="flat" w14:cmpd="sng">
                  <w14:solidFill>
                    <w14:srgbClr w14:val="000000"/>
                  </w14:solidFill>
                  <w14:prstDash w14:val="solid"/>
                  <w14:miter w14:val="0"/>
                </w14:textOutline>
              </w:rPr>
              <w:t>投标报</w:t>
            </w:r>
            <w:r>
              <w:rPr>
                <w:color w:val="auto"/>
                <w:highlight w:val="none"/>
              </w:rPr>
              <w:t xml:space="preserve"> </w:t>
            </w:r>
            <w:r>
              <w:rPr>
                <w:color w:val="auto"/>
                <w:spacing w:val="-2"/>
                <w:highlight w:val="none"/>
                <w14:textOutline w14:w="3831" w14:cap="flat" w14:cmpd="sng">
                  <w14:solidFill>
                    <w14:srgbClr w14:val="000000"/>
                  </w14:solidFill>
                  <w14:prstDash w14:val="solid"/>
                  <w14:miter w14:val="0"/>
                </w14:textOutline>
              </w:rPr>
              <w:t>价（如</w:t>
            </w:r>
          </w:p>
          <w:p w14:paraId="47524F75">
            <w:pPr>
              <w:pStyle w:val="11"/>
              <w:spacing w:before="24" w:line="209" w:lineRule="auto"/>
              <w:ind w:left="288"/>
              <w:rPr>
                <w:color w:val="auto"/>
                <w:highlight w:val="none"/>
              </w:rPr>
            </w:pPr>
            <w:r>
              <w:rPr>
                <w:color w:val="auto"/>
                <w:spacing w:val="-6"/>
                <w:highlight w:val="none"/>
                <w14:textOutline w14:w="3831" w14:cap="flat" w14:cmpd="sng">
                  <w14:solidFill>
                    <w14:srgbClr w14:val="000000"/>
                  </w14:solidFill>
                  <w14:prstDash w14:val="solid"/>
                  <w14:miter w14:val="0"/>
                </w14:textOutline>
              </w:rPr>
              <w:t>有）</w:t>
            </w:r>
          </w:p>
        </w:tc>
        <w:tc>
          <w:tcPr>
            <w:tcW w:w="739" w:type="dxa"/>
            <w:vAlign w:val="top"/>
          </w:tcPr>
          <w:p w14:paraId="6D7BF923">
            <w:pPr>
              <w:pStyle w:val="11"/>
              <w:spacing w:before="304" w:line="221" w:lineRule="auto"/>
              <w:ind w:left="162"/>
              <w:rPr>
                <w:color w:val="auto"/>
                <w:highlight w:val="none"/>
              </w:rPr>
            </w:pPr>
            <w:r>
              <w:rPr>
                <w:color w:val="auto"/>
                <w:spacing w:val="-2"/>
                <w:highlight w:val="none"/>
                <w14:textOutline w14:w="3831" w14:cap="flat" w14:cmpd="sng">
                  <w14:solidFill>
                    <w14:srgbClr w14:val="000000"/>
                  </w14:solidFill>
                  <w14:prstDash w14:val="solid"/>
                  <w14:miter w14:val="0"/>
                </w14:textOutline>
              </w:rPr>
              <w:t>评标</w:t>
            </w:r>
          </w:p>
          <w:p w14:paraId="641F6169">
            <w:pPr>
              <w:pStyle w:val="11"/>
              <w:spacing w:before="17" w:line="219" w:lineRule="auto"/>
              <w:ind w:left="270"/>
              <w:rPr>
                <w:color w:val="auto"/>
                <w:highlight w:val="none"/>
              </w:rPr>
            </w:pPr>
            <w:r>
              <w:rPr>
                <w:color w:val="auto"/>
                <w:highlight w:val="none"/>
                <w14:textOutline w14:w="3831" w14:cap="flat" w14:cmpd="sng">
                  <w14:solidFill>
                    <w14:srgbClr w14:val="000000"/>
                  </w14:solidFill>
                  <w14:prstDash w14:val="solid"/>
                  <w14:miter w14:val="0"/>
                </w14:textOutline>
              </w:rPr>
              <w:t>价</w:t>
            </w:r>
          </w:p>
        </w:tc>
        <w:tc>
          <w:tcPr>
            <w:tcW w:w="945" w:type="dxa"/>
            <w:vAlign w:val="top"/>
          </w:tcPr>
          <w:p w14:paraId="2079DADF">
            <w:pPr>
              <w:pStyle w:val="11"/>
              <w:spacing w:before="304" w:line="221" w:lineRule="auto"/>
              <w:ind w:left="158"/>
              <w:rPr>
                <w:color w:val="auto"/>
                <w:highlight w:val="none"/>
              </w:rPr>
            </w:pPr>
            <w:r>
              <w:rPr>
                <w:color w:val="auto"/>
                <w:spacing w:val="-1"/>
                <w:highlight w:val="none"/>
                <w14:textOutline w14:w="3831" w14:cap="flat" w14:cmpd="sng">
                  <w14:solidFill>
                    <w14:srgbClr w14:val="000000"/>
                  </w14:solidFill>
                  <w14:prstDash w14:val="solid"/>
                  <w14:miter w14:val="0"/>
                </w14:textOutline>
              </w:rPr>
              <w:t>评标基</w:t>
            </w:r>
          </w:p>
          <w:p w14:paraId="30C38C7B">
            <w:pPr>
              <w:pStyle w:val="11"/>
              <w:spacing w:before="17" w:line="219" w:lineRule="auto"/>
              <w:ind w:left="266"/>
              <w:rPr>
                <w:color w:val="auto"/>
                <w:highlight w:val="none"/>
              </w:rPr>
            </w:pPr>
            <w:r>
              <w:rPr>
                <w:color w:val="auto"/>
                <w:spacing w:val="-2"/>
                <w:highlight w:val="none"/>
                <w14:textOutline w14:w="3831" w14:cap="flat" w14:cmpd="sng">
                  <w14:solidFill>
                    <w14:srgbClr w14:val="000000"/>
                  </w14:solidFill>
                  <w14:prstDash w14:val="solid"/>
                  <w14:miter w14:val="0"/>
                </w14:textOutline>
              </w:rPr>
              <w:t>准价</w:t>
            </w:r>
          </w:p>
        </w:tc>
        <w:tc>
          <w:tcPr>
            <w:tcW w:w="839" w:type="dxa"/>
            <w:vAlign w:val="top"/>
          </w:tcPr>
          <w:p w14:paraId="6BECE10D">
            <w:pPr>
              <w:pStyle w:val="11"/>
              <w:spacing w:before="303" w:line="221" w:lineRule="auto"/>
              <w:ind w:left="213"/>
              <w:rPr>
                <w:color w:val="auto"/>
                <w:highlight w:val="none"/>
              </w:rPr>
            </w:pPr>
            <w:r>
              <w:rPr>
                <w:color w:val="auto"/>
                <w:spacing w:val="-2"/>
                <w:highlight w:val="none"/>
                <w14:textOutline w14:w="3831" w14:cap="flat" w14:cmpd="sng">
                  <w14:solidFill>
                    <w14:srgbClr w14:val="000000"/>
                  </w14:solidFill>
                  <w14:prstDash w14:val="solid"/>
                  <w14:miter w14:val="0"/>
                </w14:textOutline>
              </w:rPr>
              <w:t>偏差</w:t>
            </w:r>
          </w:p>
          <w:p w14:paraId="5E1D0B8F">
            <w:pPr>
              <w:pStyle w:val="11"/>
              <w:spacing w:before="17" w:line="221" w:lineRule="auto"/>
              <w:ind w:left="320"/>
              <w:rPr>
                <w:color w:val="auto"/>
                <w:highlight w:val="none"/>
              </w:rPr>
            </w:pPr>
            <w:r>
              <w:rPr>
                <w:color w:val="auto"/>
                <w:highlight w:val="none"/>
                <w14:textOutline w14:w="3831" w14:cap="flat" w14:cmpd="sng">
                  <w14:solidFill>
                    <w14:srgbClr w14:val="000000"/>
                  </w14:solidFill>
                  <w14:prstDash w14:val="solid"/>
                  <w14:miter w14:val="0"/>
                </w14:textOutline>
              </w:rPr>
              <w:t>率</w:t>
            </w:r>
          </w:p>
        </w:tc>
        <w:tc>
          <w:tcPr>
            <w:tcW w:w="845" w:type="dxa"/>
            <w:vAlign w:val="top"/>
          </w:tcPr>
          <w:p w14:paraId="259B6D42">
            <w:pPr>
              <w:pStyle w:val="11"/>
              <w:spacing w:before="30" w:line="241" w:lineRule="auto"/>
              <w:ind w:left="219"/>
              <w:rPr>
                <w:color w:val="auto"/>
                <w:highlight w:val="none"/>
              </w:rPr>
            </w:pPr>
            <w:r>
              <w:rPr>
                <w:color w:val="auto"/>
                <w:spacing w:val="-2"/>
                <w:highlight w:val="none"/>
                <w14:textOutline w14:w="3831" w14:cap="flat" w14:cmpd="sng">
                  <w14:solidFill>
                    <w14:srgbClr w14:val="000000"/>
                  </w14:solidFill>
                  <w14:prstDash w14:val="solid"/>
                  <w14:miter w14:val="0"/>
                </w14:textOutline>
              </w:rPr>
              <w:t>计算</w:t>
            </w:r>
          </w:p>
          <w:p w14:paraId="783E2755">
            <w:pPr>
              <w:pStyle w:val="11"/>
              <w:spacing w:line="221" w:lineRule="auto"/>
              <w:ind w:left="222"/>
              <w:rPr>
                <w:color w:val="auto"/>
                <w:highlight w:val="none"/>
              </w:rPr>
            </w:pPr>
            <w:r>
              <w:rPr>
                <w:color w:val="auto"/>
                <w:spacing w:val="-3"/>
                <w:highlight w:val="none"/>
                <w14:textOutline w14:w="3831" w14:cap="flat" w14:cmpd="sng">
                  <w14:solidFill>
                    <w14:srgbClr w14:val="000000"/>
                  </w14:solidFill>
                  <w14:prstDash w14:val="solid"/>
                  <w14:miter w14:val="0"/>
                </w14:textOutline>
              </w:rPr>
              <w:t>投标</w:t>
            </w:r>
          </w:p>
          <w:p w14:paraId="19E6E75C">
            <w:pPr>
              <w:pStyle w:val="11"/>
              <w:spacing w:before="17" w:line="219" w:lineRule="auto"/>
              <w:ind w:left="218"/>
              <w:rPr>
                <w:color w:val="auto"/>
                <w:highlight w:val="none"/>
              </w:rPr>
            </w:pPr>
            <w:r>
              <w:rPr>
                <w:color w:val="auto"/>
                <w:spacing w:val="-2"/>
                <w:highlight w:val="none"/>
                <w14:textOutline w14:w="3831" w14:cap="flat" w14:cmpd="sng">
                  <w14:solidFill>
                    <w14:srgbClr w14:val="000000"/>
                  </w14:solidFill>
                  <w14:prstDash w14:val="solid"/>
                  <w14:miter w14:val="0"/>
                </w14:textOutline>
              </w:rPr>
              <w:t>报价</w:t>
            </w:r>
          </w:p>
          <w:p w14:paraId="090F0779">
            <w:pPr>
              <w:pStyle w:val="11"/>
              <w:spacing w:before="24" w:line="209" w:lineRule="auto"/>
              <w:ind w:left="220"/>
              <w:rPr>
                <w:color w:val="auto"/>
                <w:highlight w:val="none"/>
              </w:rPr>
            </w:pPr>
            <w:r>
              <w:rPr>
                <w:color w:val="auto"/>
                <w:spacing w:val="-2"/>
                <w:highlight w:val="none"/>
                <w14:textOutline w14:w="3831" w14:cap="flat" w14:cmpd="sng">
                  <w14:solidFill>
                    <w14:srgbClr w14:val="000000"/>
                  </w14:solidFill>
                  <w14:prstDash w14:val="solid"/>
                  <w14:miter w14:val="0"/>
                </w14:textOutline>
              </w:rPr>
              <w:t>得分</w:t>
            </w:r>
          </w:p>
        </w:tc>
        <w:tc>
          <w:tcPr>
            <w:tcW w:w="1531" w:type="dxa"/>
            <w:vAlign w:val="top"/>
          </w:tcPr>
          <w:p w14:paraId="0DDDAA2E">
            <w:pPr>
              <w:pStyle w:val="11"/>
              <w:spacing w:before="163" w:line="231" w:lineRule="auto"/>
              <w:ind w:left="555" w:right="129" w:hanging="415"/>
              <w:rPr>
                <w:color w:val="auto"/>
                <w:highlight w:val="none"/>
              </w:rPr>
            </w:pPr>
            <w:r>
              <w:rPr>
                <w:color w:val="auto"/>
                <w:spacing w:val="-1"/>
                <w:highlight w:val="none"/>
                <w14:textOutline w14:w="3831" w14:cap="flat" w14:cmpd="sng">
                  <w14:solidFill>
                    <w14:srgbClr w14:val="000000"/>
                  </w14:solidFill>
                  <w14:prstDash w14:val="solid"/>
                  <w14:miter w14:val="0"/>
                </w14:textOutline>
              </w:rPr>
              <w:t>投标报价最终</w:t>
            </w:r>
            <w:r>
              <w:rPr>
                <w:color w:val="auto"/>
                <w:spacing w:val="1"/>
                <w:highlight w:val="none"/>
              </w:rPr>
              <w:t xml:space="preserve"> </w:t>
            </w:r>
            <w:r>
              <w:rPr>
                <w:color w:val="auto"/>
                <w:spacing w:val="-2"/>
                <w:highlight w:val="none"/>
                <w14:textOutline w14:w="3831" w14:cap="flat" w14:cmpd="sng">
                  <w14:solidFill>
                    <w14:srgbClr w14:val="000000"/>
                  </w14:solidFill>
                  <w14:prstDash w14:val="solid"/>
                  <w14:miter w14:val="0"/>
                </w14:textOutline>
              </w:rPr>
              <w:t>得分</w:t>
            </w:r>
          </w:p>
          <w:p w14:paraId="3135B76E">
            <w:pPr>
              <w:pStyle w:val="11"/>
              <w:spacing w:before="22" w:line="221" w:lineRule="auto"/>
              <w:ind w:left="139"/>
              <w:rPr>
                <w:color w:val="auto"/>
                <w:highlight w:val="none"/>
              </w:rPr>
            </w:pPr>
            <w:r>
              <w:rPr>
                <w:color w:val="auto"/>
                <w:spacing w:val="-6"/>
                <w:highlight w:val="none"/>
                <w14:textOutline w14:w="3831" w14:cap="flat" w14:cmpd="sng">
                  <w14:solidFill>
                    <w14:srgbClr w14:val="000000"/>
                  </w14:solidFill>
                  <w14:prstDash w14:val="solid"/>
                  <w14:miter w14:val="0"/>
                </w14:textOutline>
              </w:rPr>
              <w:t>（满分</w:t>
            </w:r>
            <w:r>
              <w:rPr>
                <w:color w:val="auto"/>
                <w:spacing w:val="10"/>
                <w:highlight w:val="none"/>
              </w:rPr>
              <w:t xml:space="preserve">  </w:t>
            </w:r>
            <w:r>
              <w:rPr>
                <w:color w:val="auto"/>
                <w:spacing w:val="-6"/>
                <w:highlight w:val="none"/>
                <w14:textOutline w14:w="3831" w14:cap="flat" w14:cmpd="sng">
                  <w14:solidFill>
                    <w14:srgbClr w14:val="000000"/>
                  </w14:solidFill>
                  <w14:prstDash w14:val="solid"/>
                  <w14:miter w14:val="0"/>
                </w14:textOutline>
              </w:rPr>
              <w:t>分）</w:t>
            </w:r>
          </w:p>
        </w:tc>
      </w:tr>
      <w:tr w14:paraId="25635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81" w:type="dxa"/>
            <w:vAlign w:val="top"/>
          </w:tcPr>
          <w:p w14:paraId="6A61E281">
            <w:pPr>
              <w:spacing w:before="158" w:line="189" w:lineRule="auto"/>
              <w:ind w:left="255"/>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1</w:t>
            </w:r>
          </w:p>
        </w:tc>
        <w:tc>
          <w:tcPr>
            <w:tcW w:w="1334" w:type="dxa"/>
            <w:vAlign w:val="top"/>
          </w:tcPr>
          <w:p w14:paraId="52604B2D">
            <w:pPr>
              <w:rPr>
                <w:rFonts w:ascii="Arial"/>
                <w:color w:val="auto"/>
                <w:sz w:val="21"/>
                <w:highlight w:val="none"/>
              </w:rPr>
            </w:pPr>
          </w:p>
        </w:tc>
        <w:tc>
          <w:tcPr>
            <w:tcW w:w="701" w:type="dxa"/>
            <w:vAlign w:val="top"/>
          </w:tcPr>
          <w:p w14:paraId="72C459E2">
            <w:pPr>
              <w:rPr>
                <w:rFonts w:ascii="Arial"/>
                <w:color w:val="auto"/>
                <w:sz w:val="21"/>
                <w:highlight w:val="none"/>
              </w:rPr>
            </w:pPr>
          </w:p>
        </w:tc>
        <w:tc>
          <w:tcPr>
            <w:tcW w:w="993" w:type="dxa"/>
            <w:vAlign w:val="top"/>
          </w:tcPr>
          <w:p w14:paraId="74537934">
            <w:pPr>
              <w:rPr>
                <w:rFonts w:ascii="Arial"/>
                <w:color w:val="auto"/>
                <w:sz w:val="21"/>
                <w:highlight w:val="none"/>
              </w:rPr>
            </w:pPr>
          </w:p>
        </w:tc>
        <w:tc>
          <w:tcPr>
            <w:tcW w:w="739" w:type="dxa"/>
            <w:vAlign w:val="top"/>
          </w:tcPr>
          <w:p w14:paraId="1D22C218">
            <w:pPr>
              <w:rPr>
                <w:rFonts w:ascii="Arial"/>
                <w:color w:val="auto"/>
                <w:sz w:val="21"/>
                <w:highlight w:val="none"/>
              </w:rPr>
            </w:pPr>
          </w:p>
        </w:tc>
        <w:tc>
          <w:tcPr>
            <w:tcW w:w="945" w:type="dxa"/>
            <w:vMerge w:val="restart"/>
            <w:tcBorders>
              <w:bottom w:val="nil"/>
            </w:tcBorders>
            <w:vAlign w:val="top"/>
          </w:tcPr>
          <w:p w14:paraId="2643DB3F">
            <w:pPr>
              <w:rPr>
                <w:rFonts w:ascii="Arial"/>
                <w:color w:val="auto"/>
                <w:sz w:val="21"/>
                <w:highlight w:val="none"/>
              </w:rPr>
            </w:pPr>
          </w:p>
        </w:tc>
        <w:tc>
          <w:tcPr>
            <w:tcW w:w="839" w:type="dxa"/>
            <w:vAlign w:val="top"/>
          </w:tcPr>
          <w:p w14:paraId="614CA519">
            <w:pPr>
              <w:rPr>
                <w:rFonts w:ascii="Arial"/>
                <w:color w:val="auto"/>
                <w:sz w:val="21"/>
                <w:highlight w:val="none"/>
              </w:rPr>
            </w:pPr>
          </w:p>
        </w:tc>
        <w:tc>
          <w:tcPr>
            <w:tcW w:w="845" w:type="dxa"/>
            <w:vAlign w:val="top"/>
          </w:tcPr>
          <w:p w14:paraId="15A4E632">
            <w:pPr>
              <w:rPr>
                <w:rFonts w:ascii="Arial"/>
                <w:color w:val="auto"/>
                <w:sz w:val="21"/>
                <w:highlight w:val="none"/>
              </w:rPr>
            </w:pPr>
          </w:p>
        </w:tc>
        <w:tc>
          <w:tcPr>
            <w:tcW w:w="1531" w:type="dxa"/>
            <w:vAlign w:val="top"/>
          </w:tcPr>
          <w:p w14:paraId="4D5BDD5D">
            <w:pPr>
              <w:rPr>
                <w:rFonts w:ascii="Arial"/>
                <w:color w:val="auto"/>
                <w:sz w:val="21"/>
                <w:highlight w:val="none"/>
              </w:rPr>
            </w:pPr>
          </w:p>
        </w:tc>
      </w:tr>
      <w:tr w14:paraId="7BF02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581" w:type="dxa"/>
            <w:vAlign w:val="top"/>
          </w:tcPr>
          <w:p w14:paraId="07E02AAB">
            <w:pPr>
              <w:pStyle w:val="11"/>
              <w:spacing w:before="95" w:line="182" w:lineRule="auto"/>
              <w:ind w:left="241"/>
              <w:rPr>
                <w:color w:val="auto"/>
                <w:highlight w:val="none"/>
              </w:rPr>
            </w:pPr>
            <w:r>
              <w:rPr>
                <w:color w:val="auto"/>
                <w:highlight w:val="none"/>
              </w:rPr>
              <w:t>2</w:t>
            </w:r>
          </w:p>
        </w:tc>
        <w:tc>
          <w:tcPr>
            <w:tcW w:w="1334" w:type="dxa"/>
            <w:vAlign w:val="top"/>
          </w:tcPr>
          <w:p w14:paraId="605AA00E">
            <w:pPr>
              <w:rPr>
                <w:rFonts w:ascii="Arial"/>
                <w:color w:val="auto"/>
                <w:sz w:val="21"/>
                <w:highlight w:val="none"/>
              </w:rPr>
            </w:pPr>
          </w:p>
        </w:tc>
        <w:tc>
          <w:tcPr>
            <w:tcW w:w="701" w:type="dxa"/>
            <w:vAlign w:val="top"/>
          </w:tcPr>
          <w:p w14:paraId="006C2A7B">
            <w:pPr>
              <w:rPr>
                <w:rFonts w:ascii="Arial"/>
                <w:color w:val="auto"/>
                <w:sz w:val="21"/>
                <w:highlight w:val="none"/>
              </w:rPr>
            </w:pPr>
          </w:p>
        </w:tc>
        <w:tc>
          <w:tcPr>
            <w:tcW w:w="993" w:type="dxa"/>
            <w:vAlign w:val="top"/>
          </w:tcPr>
          <w:p w14:paraId="46D1C887">
            <w:pPr>
              <w:rPr>
                <w:rFonts w:ascii="Arial"/>
                <w:color w:val="auto"/>
                <w:sz w:val="21"/>
                <w:highlight w:val="none"/>
              </w:rPr>
            </w:pPr>
          </w:p>
        </w:tc>
        <w:tc>
          <w:tcPr>
            <w:tcW w:w="739" w:type="dxa"/>
            <w:vAlign w:val="top"/>
          </w:tcPr>
          <w:p w14:paraId="3FDB10FE">
            <w:pPr>
              <w:rPr>
                <w:rFonts w:ascii="Arial"/>
                <w:color w:val="auto"/>
                <w:sz w:val="21"/>
                <w:highlight w:val="none"/>
              </w:rPr>
            </w:pPr>
          </w:p>
        </w:tc>
        <w:tc>
          <w:tcPr>
            <w:tcW w:w="945" w:type="dxa"/>
            <w:vMerge w:val="continue"/>
            <w:tcBorders>
              <w:top w:val="nil"/>
              <w:bottom w:val="nil"/>
            </w:tcBorders>
            <w:vAlign w:val="top"/>
          </w:tcPr>
          <w:p w14:paraId="2EDAD957">
            <w:pPr>
              <w:rPr>
                <w:rFonts w:ascii="Arial"/>
                <w:color w:val="auto"/>
                <w:sz w:val="21"/>
                <w:highlight w:val="none"/>
              </w:rPr>
            </w:pPr>
          </w:p>
        </w:tc>
        <w:tc>
          <w:tcPr>
            <w:tcW w:w="839" w:type="dxa"/>
            <w:vAlign w:val="top"/>
          </w:tcPr>
          <w:p w14:paraId="03C05E6B">
            <w:pPr>
              <w:rPr>
                <w:rFonts w:ascii="Arial"/>
                <w:color w:val="auto"/>
                <w:sz w:val="21"/>
                <w:highlight w:val="none"/>
              </w:rPr>
            </w:pPr>
          </w:p>
        </w:tc>
        <w:tc>
          <w:tcPr>
            <w:tcW w:w="845" w:type="dxa"/>
            <w:vAlign w:val="top"/>
          </w:tcPr>
          <w:p w14:paraId="2A96FE90">
            <w:pPr>
              <w:rPr>
                <w:rFonts w:ascii="Arial"/>
                <w:color w:val="auto"/>
                <w:sz w:val="21"/>
                <w:highlight w:val="none"/>
              </w:rPr>
            </w:pPr>
          </w:p>
        </w:tc>
        <w:tc>
          <w:tcPr>
            <w:tcW w:w="1531" w:type="dxa"/>
            <w:vAlign w:val="top"/>
          </w:tcPr>
          <w:p w14:paraId="781EC667">
            <w:pPr>
              <w:rPr>
                <w:rFonts w:ascii="Arial"/>
                <w:color w:val="auto"/>
                <w:sz w:val="21"/>
                <w:highlight w:val="none"/>
              </w:rPr>
            </w:pPr>
          </w:p>
        </w:tc>
      </w:tr>
      <w:tr w14:paraId="4D1A7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581" w:type="dxa"/>
            <w:vAlign w:val="top"/>
          </w:tcPr>
          <w:p w14:paraId="43D822C9">
            <w:pPr>
              <w:spacing w:before="169" w:line="189" w:lineRule="auto"/>
              <w:ind w:left="239"/>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3</w:t>
            </w:r>
          </w:p>
        </w:tc>
        <w:tc>
          <w:tcPr>
            <w:tcW w:w="1334" w:type="dxa"/>
            <w:vAlign w:val="top"/>
          </w:tcPr>
          <w:p w14:paraId="575DD9FB">
            <w:pPr>
              <w:rPr>
                <w:rFonts w:ascii="Arial"/>
                <w:color w:val="auto"/>
                <w:sz w:val="21"/>
                <w:highlight w:val="none"/>
              </w:rPr>
            </w:pPr>
          </w:p>
        </w:tc>
        <w:tc>
          <w:tcPr>
            <w:tcW w:w="701" w:type="dxa"/>
            <w:vAlign w:val="top"/>
          </w:tcPr>
          <w:p w14:paraId="53EF2C98">
            <w:pPr>
              <w:rPr>
                <w:rFonts w:ascii="Arial"/>
                <w:color w:val="auto"/>
                <w:sz w:val="21"/>
                <w:highlight w:val="none"/>
              </w:rPr>
            </w:pPr>
          </w:p>
        </w:tc>
        <w:tc>
          <w:tcPr>
            <w:tcW w:w="993" w:type="dxa"/>
            <w:vAlign w:val="top"/>
          </w:tcPr>
          <w:p w14:paraId="3A3A01BD">
            <w:pPr>
              <w:rPr>
                <w:rFonts w:ascii="Arial"/>
                <w:color w:val="auto"/>
                <w:sz w:val="21"/>
                <w:highlight w:val="none"/>
              </w:rPr>
            </w:pPr>
          </w:p>
        </w:tc>
        <w:tc>
          <w:tcPr>
            <w:tcW w:w="739" w:type="dxa"/>
            <w:vAlign w:val="top"/>
          </w:tcPr>
          <w:p w14:paraId="1BD21CAC">
            <w:pPr>
              <w:rPr>
                <w:rFonts w:ascii="Arial"/>
                <w:color w:val="auto"/>
                <w:sz w:val="21"/>
                <w:highlight w:val="none"/>
              </w:rPr>
            </w:pPr>
          </w:p>
        </w:tc>
        <w:tc>
          <w:tcPr>
            <w:tcW w:w="945" w:type="dxa"/>
            <w:vMerge w:val="continue"/>
            <w:tcBorders>
              <w:top w:val="nil"/>
              <w:bottom w:val="nil"/>
            </w:tcBorders>
            <w:vAlign w:val="top"/>
          </w:tcPr>
          <w:p w14:paraId="46AED258">
            <w:pPr>
              <w:rPr>
                <w:rFonts w:ascii="Arial"/>
                <w:color w:val="auto"/>
                <w:sz w:val="21"/>
                <w:highlight w:val="none"/>
              </w:rPr>
            </w:pPr>
          </w:p>
        </w:tc>
        <w:tc>
          <w:tcPr>
            <w:tcW w:w="839" w:type="dxa"/>
            <w:vAlign w:val="top"/>
          </w:tcPr>
          <w:p w14:paraId="75DFDF63">
            <w:pPr>
              <w:rPr>
                <w:rFonts w:ascii="Arial"/>
                <w:color w:val="auto"/>
                <w:sz w:val="21"/>
                <w:highlight w:val="none"/>
              </w:rPr>
            </w:pPr>
          </w:p>
        </w:tc>
        <w:tc>
          <w:tcPr>
            <w:tcW w:w="845" w:type="dxa"/>
            <w:vAlign w:val="top"/>
          </w:tcPr>
          <w:p w14:paraId="30DE202A">
            <w:pPr>
              <w:rPr>
                <w:rFonts w:ascii="Arial"/>
                <w:color w:val="auto"/>
                <w:sz w:val="21"/>
                <w:highlight w:val="none"/>
              </w:rPr>
            </w:pPr>
          </w:p>
        </w:tc>
        <w:tc>
          <w:tcPr>
            <w:tcW w:w="1531" w:type="dxa"/>
            <w:vAlign w:val="top"/>
          </w:tcPr>
          <w:p w14:paraId="76C6A475">
            <w:pPr>
              <w:rPr>
                <w:rFonts w:ascii="Arial"/>
                <w:color w:val="auto"/>
                <w:sz w:val="21"/>
                <w:highlight w:val="none"/>
              </w:rPr>
            </w:pPr>
          </w:p>
        </w:tc>
      </w:tr>
      <w:tr w14:paraId="5CA3F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581" w:type="dxa"/>
            <w:vAlign w:val="top"/>
          </w:tcPr>
          <w:p w14:paraId="0CADAE65">
            <w:pPr>
              <w:pStyle w:val="11"/>
              <w:spacing w:before="168" w:line="182" w:lineRule="auto"/>
              <w:ind w:left="238"/>
              <w:rPr>
                <w:color w:val="auto"/>
                <w:highlight w:val="none"/>
              </w:rPr>
            </w:pPr>
            <w:r>
              <w:rPr>
                <w:color w:val="auto"/>
                <w:highlight w:val="none"/>
              </w:rPr>
              <w:t>4</w:t>
            </w:r>
          </w:p>
        </w:tc>
        <w:tc>
          <w:tcPr>
            <w:tcW w:w="1334" w:type="dxa"/>
            <w:vAlign w:val="top"/>
          </w:tcPr>
          <w:p w14:paraId="0598482B">
            <w:pPr>
              <w:rPr>
                <w:rFonts w:ascii="Arial"/>
                <w:color w:val="auto"/>
                <w:sz w:val="21"/>
                <w:highlight w:val="none"/>
              </w:rPr>
            </w:pPr>
          </w:p>
        </w:tc>
        <w:tc>
          <w:tcPr>
            <w:tcW w:w="701" w:type="dxa"/>
            <w:vAlign w:val="top"/>
          </w:tcPr>
          <w:p w14:paraId="0B410235">
            <w:pPr>
              <w:rPr>
                <w:rFonts w:ascii="Arial"/>
                <w:color w:val="auto"/>
                <w:sz w:val="21"/>
                <w:highlight w:val="none"/>
              </w:rPr>
            </w:pPr>
          </w:p>
        </w:tc>
        <w:tc>
          <w:tcPr>
            <w:tcW w:w="993" w:type="dxa"/>
            <w:vAlign w:val="top"/>
          </w:tcPr>
          <w:p w14:paraId="2362C1B3">
            <w:pPr>
              <w:rPr>
                <w:rFonts w:ascii="Arial"/>
                <w:color w:val="auto"/>
                <w:sz w:val="21"/>
                <w:highlight w:val="none"/>
              </w:rPr>
            </w:pPr>
          </w:p>
        </w:tc>
        <w:tc>
          <w:tcPr>
            <w:tcW w:w="739" w:type="dxa"/>
            <w:vAlign w:val="top"/>
          </w:tcPr>
          <w:p w14:paraId="0292822E">
            <w:pPr>
              <w:rPr>
                <w:rFonts w:ascii="Arial"/>
                <w:color w:val="auto"/>
                <w:sz w:val="21"/>
                <w:highlight w:val="none"/>
              </w:rPr>
            </w:pPr>
          </w:p>
        </w:tc>
        <w:tc>
          <w:tcPr>
            <w:tcW w:w="945" w:type="dxa"/>
            <w:vMerge w:val="continue"/>
            <w:tcBorders>
              <w:top w:val="nil"/>
              <w:bottom w:val="nil"/>
            </w:tcBorders>
            <w:vAlign w:val="top"/>
          </w:tcPr>
          <w:p w14:paraId="5413F949">
            <w:pPr>
              <w:rPr>
                <w:rFonts w:ascii="Arial"/>
                <w:color w:val="auto"/>
                <w:sz w:val="21"/>
                <w:highlight w:val="none"/>
              </w:rPr>
            </w:pPr>
          </w:p>
        </w:tc>
        <w:tc>
          <w:tcPr>
            <w:tcW w:w="839" w:type="dxa"/>
            <w:vAlign w:val="top"/>
          </w:tcPr>
          <w:p w14:paraId="183F72F8">
            <w:pPr>
              <w:rPr>
                <w:rFonts w:ascii="Arial"/>
                <w:color w:val="auto"/>
                <w:sz w:val="21"/>
                <w:highlight w:val="none"/>
              </w:rPr>
            </w:pPr>
          </w:p>
        </w:tc>
        <w:tc>
          <w:tcPr>
            <w:tcW w:w="845" w:type="dxa"/>
            <w:vAlign w:val="top"/>
          </w:tcPr>
          <w:p w14:paraId="03B54CEE">
            <w:pPr>
              <w:rPr>
                <w:rFonts w:ascii="Arial"/>
                <w:color w:val="auto"/>
                <w:sz w:val="21"/>
                <w:highlight w:val="none"/>
              </w:rPr>
            </w:pPr>
          </w:p>
        </w:tc>
        <w:tc>
          <w:tcPr>
            <w:tcW w:w="1531" w:type="dxa"/>
            <w:vAlign w:val="top"/>
          </w:tcPr>
          <w:p w14:paraId="7F3743FC">
            <w:pPr>
              <w:rPr>
                <w:rFonts w:ascii="Arial"/>
                <w:color w:val="auto"/>
                <w:sz w:val="21"/>
                <w:highlight w:val="none"/>
              </w:rPr>
            </w:pPr>
          </w:p>
        </w:tc>
      </w:tr>
      <w:tr w14:paraId="04B68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581" w:type="dxa"/>
            <w:vAlign w:val="top"/>
          </w:tcPr>
          <w:p w14:paraId="59ACFD93">
            <w:pPr>
              <w:spacing w:before="167" w:line="186" w:lineRule="auto"/>
              <w:ind w:left="24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w:t>
            </w:r>
          </w:p>
        </w:tc>
        <w:tc>
          <w:tcPr>
            <w:tcW w:w="1334" w:type="dxa"/>
            <w:vAlign w:val="top"/>
          </w:tcPr>
          <w:p w14:paraId="12791315">
            <w:pPr>
              <w:rPr>
                <w:rFonts w:ascii="Arial"/>
                <w:color w:val="auto"/>
                <w:sz w:val="21"/>
                <w:highlight w:val="none"/>
              </w:rPr>
            </w:pPr>
          </w:p>
        </w:tc>
        <w:tc>
          <w:tcPr>
            <w:tcW w:w="701" w:type="dxa"/>
            <w:vAlign w:val="top"/>
          </w:tcPr>
          <w:p w14:paraId="6F2023C9">
            <w:pPr>
              <w:rPr>
                <w:rFonts w:ascii="Arial"/>
                <w:color w:val="auto"/>
                <w:sz w:val="21"/>
                <w:highlight w:val="none"/>
              </w:rPr>
            </w:pPr>
          </w:p>
        </w:tc>
        <w:tc>
          <w:tcPr>
            <w:tcW w:w="993" w:type="dxa"/>
            <w:vAlign w:val="top"/>
          </w:tcPr>
          <w:p w14:paraId="2B1C2620">
            <w:pPr>
              <w:rPr>
                <w:rFonts w:ascii="Arial"/>
                <w:color w:val="auto"/>
                <w:sz w:val="21"/>
                <w:highlight w:val="none"/>
              </w:rPr>
            </w:pPr>
          </w:p>
        </w:tc>
        <w:tc>
          <w:tcPr>
            <w:tcW w:w="739" w:type="dxa"/>
            <w:vAlign w:val="top"/>
          </w:tcPr>
          <w:p w14:paraId="270EA9B3">
            <w:pPr>
              <w:rPr>
                <w:rFonts w:ascii="Arial"/>
                <w:color w:val="auto"/>
                <w:sz w:val="21"/>
                <w:highlight w:val="none"/>
              </w:rPr>
            </w:pPr>
          </w:p>
        </w:tc>
        <w:tc>
          <w:tcPr>
            <w:tcW w:w="945" w:type="dxa"/>
            <w:vMerge w:val="continue"/>
            <w:tcBorders>
              <w:top w:val="nil"/>
              <w:bottom w:val="nil"/>
            </w:tcBorders>
            <w:vAlign w:val="top"/>
          </w:tcPr>
          <w:p w14:paraId="4FA54861">
            <w:pPr>
              <w:rPr>
                <w:rFonts w:ascii="Arial"/>
                <w:color w:val="auto"/>
                <w:sz w:val="21"/>
                <w:highlight w:val="none"/>
              </w:rPr>
            </w:pPr>
          </w:p>
        </w:tc>
        <w:tc>
          <w:tcPr>
            <w:tcW w:w="839" w:type="dxa"/>
            <w:vAlign w:val="top"/>
          </w:tcPr>
          <w:p w14:paraId="59B0460F">
            <w:pPr>
              <w:rPr>
                <w:rFonts w:ascii="Arial"/>
                <w:color w:val="auto"/>
                <w:sz w:val="21"/>
                <w:highlight w:val="none"/>
              </w:rPr>
            </w:pPr>
          </w:p>
        </w:tc>
        <w:tc>
          <w:tcPr>
            <w:tcW w:w="845" w:type="dxa"/>
            <w:vAlign w:val="top"/>
          </w:tcPr>
          <w:p w14:paraId="1C4ED4B6">
            <w:pPr>
              <w:rPr>
                <w:rFonts w:ascii="Arial"/>
                <w:color w:val="auto"/>
                <w:sz w:val="21"/>
                <w:highlight w:val="none"/>
              </w:rPr>
            </w:pPr>
          </w:p>
        </w:tc>
        <w:tc>
          <w:tcPr>
            <w:tcW w:w="1531" w:type="dxa"/>
            <w:vAlign w:val="top"/>
          </w:tcPr>
          <w:p w14:paraId="2C82C09A">
            <w:pPr>
              <w:rPr>
                <w:rFonts w:ascii="Arial"/>
                <w:color w:val="auto"/>
                <w:sz w:val="21"/>
                <w:highlight w:val="none"/>
              </w:rPr>
            </w:pPr>
          </w:p>
        </w:tc>
      </w:tr>
      <w:tr w14:paraId="313BA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581" w:type="dxa"/>
            <w:vAlign w:val="top"/>
          </w:tcPr>
          <w:p w14:paraId="4B10B644">
            <w:pPr>
              <w:spacing w:before="165" w:line="189" w:lineRule="auto"/>
              <w:ind w:left="239"/>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w:t>
            </w:r>
          </w:p>
        </w:tc>
        <w:tc>
          <w:tcPr>
            <w:tcW w:w="1334" w:type="dxa"/>
            <w:vAlign w:val="top"/>
          </w:tcPr>
          <w:p w14:paraId="4891DABC">
            <w:pPr>
              <w:rPr>
                <w:rFonts w:ascii="Arial"/>
                <w:color w:val="auto"/>
                <w:sz w:val="21"/>
                <w:highlight w:val="none"/>
              </w:rPr>
            </w:pPr>
          </w:p>
        </w:tc>
        <w:tc>
          <w:tcPr>
            <w:tcW w:w="701" w:type="dxa"/>
            <w:vAlign w:val="top"/>
          </w:tcPr>
          <w:p w14:paraId="27D5DB92">
            <w:pPr>
              <w:rPr>
                <w:rFonts w:ascii="Arial"/>
                <w:color w:val="auto"/>
                <w:sz w:val="21"/>
                <w:highlight w:val="none"/>
              </w:rPr>
            </w:pPr>
          </w:p>
        </w:tc>
        <w:tc>
          <w:tcPr>
            <w:tcW w:w="993" w:type="dxa"/>
            <w:vAlign w:val="top"/>
          </w:tcPr>
          <w:p w14:paraId="59D31D17">
            <w:pPr>
              <w:rPr>
                <w:rFonts w:ascii="Arial"/>
                <w:color w:val="auto"/>
                <w:sz w:val="21"/>
                <w:highlight w:val="none"/>
              </w:rPr>
            </w:pPr>
          </w:p>
        </w:tc>
        <w:tc>
          <w:tcPr>
            <w:tcW w:w="739" w:type="dxa"/>
            <w:vAlign w:val="top"/>
          </w:tcPr>
          <w:p w14:paraId="7DA31E27">
            <w:pPr>
              <w:rPr>
                <w:rFonts w:ascii="Arial"/>
                <w:color w:val="auto"/>
                <w:sz w:val="21"/>
                <w:highlight w:val="none"/>
              </w:rPr>
            </w:pPr>
          </w:p>
        </w:tc>
        <w:tc>
          <w:tcPr>
            <w:tcW w:w="945" w:type="dxa"/>
            <w:vMerge w:val="continue"/>
            <w:tcBorders>
              <w:top w:val="nil"/>
              <w:bottom w:val="nil"/>
            </w:tcBorders>
            <w:vAlign w:val="top"/>
          </w:tcPr>
          <w:p w14:paraId="0A67894F">
            <w:pPr>
              <w:rPr>
                <w:rFonts w:ascii="Arial"/>
                <w:color w:val="auto"/>
                <w:sz w:val="21"/>
                <w:highlight w:val="none"/>
              </w:rPr>
            </w:pPr>
          </w:p>
        </w:tc>
        <w:tc>
          <w:tcPr>
            <w:tcW w:w="839" w:type="dxa"/>
            <w:vAlign w:val="top"/>
          </w:tcPr>
          <w:p w14:paraId="520DC90A">
            <w:pPr>
              <w:rPr>
                <w:rFonts w:ascii="Arial"/>
                <w:color w:val="auto"/>
                <w:sz w:val="21"/>
                <w:highlight w:val="none"/>
              </w:rPr>
            </w:pPr>
          </w:p>
        </w:tc>
        <w:tc>
          <w:tcPr>
            <w:tcW w:w="845" w:type="dxa"/>
            <w:vAlign w:val="top"/>
          </w:tcPr>
          <w:p w14:paraId="51A5BAF4">
            <w:pPr>
              <w:rPr>
                <w:rFonts w:ascii="Arial"/>
                <w:color w:val="auto"/>
                <w:sz w:val="21"/>
                <w:highlight w:val="none"/>
              </w:rPr>
            </w:pPr>
          </w:p>
        </w:tc>
        <w:tc>
          <w:tcPr>
            <w:tcW w:w="1531" w:type="dxa"/>
            <w:vAlign w:val="top"/>
          </w:tcPr>
          <w:p w14:paraId="0057B9D6">
            <w:pPr>
              <w:rPr>
                <w:rFonts w:ascii="Arial"/>
                <w:color w:val="auto"/>
                <w:sz w:val="21"/>
                <w:highlight w:val="none"/>
              </w:rPr>
            </w:pPr>
          </w:p>
        </w:tc>
      </w:tr>
      <w:tr w14:paraId="4EB76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581" w:type="dxa"/>
            <w:vAlign w:val="top"/>
          </w:tcPr>
          <w:p w14:paraId="2EF4CD74">
            <w:pPr>
              <w:pStyle w:val="11"/>
              <w:spacing w:before="129" w:line="332" w:lineRule="exact"/>
              <w:ind w:left="199"/>
              <w:rPr>
                <w:color w:val="auto"/>
                <w:highlight w:val="none"/>
              </w:rPr>
            </w:pPr>
            <w:r>
              <w:rPr>
                <w:color w:val="auto"/>
                <w:position w:val="2"/>
                <w:highlight w:val="none"/>
              </w:rPr>
              <w:t>…</w:t>
            </w:r>
          </w:p>
        </w:tc>
        <w:tc>
          <w:tcPr>
            <w:tcW w:w="1334" w:type="dxa"/>
            <w:vAlign w:val="top"/>
          </w:tcPr>
          <w:p w14:paraId="11CF6BFB">
            <w:pPr>
              <w:rPr>
                <w:rFonts w:ascii="Arial"/>
                <w:color w:val="auto"/>
                <w:sz w:val="21"/>
                <w:highlight w:val="none"/>
              </w:rPr>
            </w:pPr>
          </w:p>
        </w:tc>
        <w:tc>
          <w:tcPr>
            <w:tcW w:w="701" w:type="dxa"/>
            <w:vAlign w:val="top"/>
          </w:tcPr>
          <w:p w14:paraId="27C79A12">
            <w:pPr>
              <w:rPr>
                <w:rFonts w:ascii="Arial"/>
                <w:color w:val="auto"/>
                <w:sz w:val="21"/>
                <w:highlight w:val="none"/>
              </w:rPr>
            </w:pPr>
          </w:p>
        </w:tc>
        <w:tc>
          <w:tcPr>
            <w:tcW w:w="993" w:type="dxa"/>
            <w:vAlign w:val="top"/>
          </w:tcPr>
          <w:p w14:paraId="0E6A856F">
            <w:pPr>
              <w:rPr>
                <w:rFonts w:ascii="Arial"/>
                <w:color w:val="auto"/>
                <w:sz w:val="21"/>
                <w:highlight w:val="none"/>
              </w:rPr>
            </w:pPr>
          </w:p>
        </w:tc>
        <w:tc>
          <w:tcPr>
            <w:tcW w:w="739" w:type="dxa"/>
            <w:vAlign w:val="top"/>
          </w:tcPr>
          <w:p w14:paraId="3B2D958C">
            <w:pPr>
              <w:rPr>
                <w:rFonts w:ascii="Arial"/>
                <w:color w:val="auto"/>
                <w:sz w:val="21"/>
                <w:highlight w:val="none"/>
              </w:rPr>
            </w:pPr>
          </w:p>
        </w:tc>
        <w:tc>
          <w:tcPr>
            <w:tcW w:w="945" w:type="dxa"/>
            <w:vMerge w:val="continue"/>
            <w:tcBorders>
              <w:top w:val="nil"/>
            </w:tcBorders>
            <w:vAlign w:val="top"/>
          </w:tcPr>
          <w:p w14:paraId="224D8927">
            <w:pPr>
              <w:rPr>
                <w:rFonts w:ascii="Arial"/>
                <w:color w:val="auto"/>
                <w:sz w:val="21"/>
                <w:highlight w:val="none"/>
              </w:rPr>
            </w:pPr>
          </w:p>
        </w:tc>
        <w:tc>
          <w:tcPr>
            <w:tcW w:w="839" w:type="dxa"/>
            <w:vAlign w:val="top"/>
          </w:tcPr>
          <w:p w14:paraId="33F56E2E">
            <w:pPr>
              <w:rPr>
                <w:rFonts w:ascii="Arial"/>
                <w:color w:val="auto"/>
                <w:sz w:val="21"/>
                <w:highlight w:val="none"/>
              </w:rPr>
            </w:pPr>
          </w:p>
        </w:tc>
        <w:tc>
          <w:tcPr>
            <w:tcW w:w="845" w:type="dxa"/>
            <w:vAlign w:val="top"/>
          </w:tcPr>
          <w:p w14:paraId="748D0353">
            <w:pPr>
              <w:rPr>
                <w:rFonts w:ascii="Arial"/>
                <w:color w:val="auto"/>
                <w:sz w:val="21"/>
                <w:highlight w:val="none"/>
              </w:rPr>
            </w:pPr>
          </w:p>
        </w:tc>
        <w:tc>
          <w:tcPr>
            <w:tcW w:w="1531" w:type="dxa"/>
            <w:vAlign w:val="top"/>
          </w:tcPr>
          <w:p w14:paraId="3B0FA185">
            <w:pPr>
              <w:rPr>
                <w:rFonts w:ascii="Arial"/>
                <w:color w:val="auto"/>
                <w:sz w:val="21"/>
                <w:highlight w:val="none"/>
              </w:rPr>
            </w:pPr>
          </w:p>
        </w:tc>
      </w:tr>
      <w:tr w14:paraId="51FF1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1" w:hRule="atLeast"/>
        </w:trPr>
        <w:tc>
          <w:tcPr>
            <w:tcW w:w="8508" w:type="dxa"/>
            <w:gridSpan w:val="9"/>
            <w:vAlign w:val="top"/>
          </w:tcPr>
          <w:p w14:paraId="5673936D">
            <w:pPr>
              <w:pStyle w:val="11"/>
              <w:spacing w:before="273" w:line="221" w:lineRule="auto"/>
              <w:ind w:left="115"/>
              <w:rPr>
                <w:color w:val="auto"/>
                <w:highlight w:val="none"/>
              </w:rPr>
            </w:pPr>
            <w:r>
              <w:rPr>
                <w:color w:val="auto"/>
                <w:spacing w:val="-5"/>
                <w:highlight w:val="none"/>
              </w:rPr>
              <w:t>经济标评委签名：</w:t>
            </w:r>
          </w:p>
        </w:tc>
      </w:tr>
    </w:tbl>
    <w:p w14:paraId="21A08605">
      <w:pPr>
        <w:spacing w:before="29" w:line="186" w:lineRule="auto"/>
        <w:ind w:left="5394"/>
        <w:rPr>
          <w:rFonts w:ascii="宋体" w:hAnsi="宋体" w:eastAsia="宋体" w:cs="宋体"/>
          <w:color w:val="auto"/>
          <w:sz w:val="21"/>
          <w:szCs w:val="21"/>
          <w:highlight w:val="none"/>
        </w:rPr>
      </w:pPr>
      <w:r>
        <w:rPr>
          <w:rFonts w:ascii="宋体" w:hAnsi="宋体" w:eastAsia="宋体" w:cs="宋体"/>
          <w:color w:val="auto"/>
          <w:spacing w:val="-20"/>
          <w:sz w:val="21"/>
          <w:szCs w:val="21"/>
          <w:highlight w:val="none"/>
        </w:rPr>
        <w:t>日期：</w:t>
      </w:r>
      <w:r>
        <w:rPr>
          <w:rFonts w:ascii="宋体" w:hAnsi="宋体" w:eastAsia="宋体" w:cs="宋体"/>
          <w:color w:val="auto"/>
          <w:spacing w:val="25"/>
          <w:sz w:val="21"/>
          <w:szCs w:val="21"/>
          <w:highlight w:val="none"/>
        </w:rPr>
        <w:t xml:space="preserve">    </w:t>
      </w:r>
      <w:r>
        <w:rPr>
          <w:rFonts w:ascii="宋体" w:hAnsi="宋体" w:eastAsia="宋体" w:cs="宋体"/>
          <w:color w:val="auto"/>
          <w:spacing w:val="-20"/>
          <w:sz w:val="21"/>
          <w:szCs w:val="21"/>
          <w:highlight w:val="none"/>
        </w:rPr>
        <w:t>年</w:t>
      </w:r>
      <w:r>
        <w:rPr>
          <w:rFonts w:ascii="宋体" w:hAnsi="宋体" w:eastAsia="宋体" w:cs="宋体"/>
          <w:color w:val="auto"/>
          <w:spacing w:val="3"/>
          <w:sz w:val="21"/>
          <w:szCs w:val="21"/>
          <w:highlight w:val="none"/>
        </w:rPr>
        <w:t xml:space="preserve">    </w:t>
      </w:r>
      <w:r>
        <w:rPr>
          <w:rFonts w:ascii="宋体" w:hAnsi="宋体" w:eastAsia="宋体" w:cs="宋体"/>
          <w:color w:val="auto"/>
          <w:spacing w:val="-20"/>
          <w:sz w:val="21"/>
          <w:szCs w:val="21"/>
          <w:highlight w:val="none"/>
        </w:rPr>
        <w:t>月     日</w:t>
      </w:r>
    </w:p>
    <w:p w14:paraId="5C0D380C">
      <w:pPr>
        <w:spacing w:line="186" w:lineRule="auto"/>
        <w:rPr>
          <w:rFonts w:ascii="宋体" w:hAnsi="宋体" w:eastAsia="宋体" w:cs="宋体"/>
          <w:color w:val="auto"/>
          <w:sz w:val="21"/>
          <w:szCs w:val="21"/>
          <w:highlight w:val="none"/>
        </w:rPr>
        <w:sectPr>
          <w:type w:val="continuous"/>
          <w:pgSz w:w="11905" w:h="16839"/>
          <w:pgMar w:top="1431" w:right="1690" w:bottom="996" w:left="1699" w:header="0" w:footer="791" w:gutter="0"/>
          <w:pgNumType w:fmt="decimal"/>
          <w:cols w:equalWidth="0" w:num="1">
            <w:col w:w="8514"/>
          </w:cols>
        </w:sectPr>
      </w:pPr>
    </w:p>
    <w:p w14:paraId="4E66E0F0">
      <w:pPr>
        <w:pStyle w:val="3"/>
        <w:spacing w:line="272" w:lineRule="auto"/>
        <w:rPr>
          <w:color w:val="auto"/>
          <w:highlight w:val="none"/>
        </w:rPr>
      </w:pPr>
    </w:p>
    <w:p w14:paraId="1C509C0C">
      <w:pPr>
        <w:pStyle w:val="3"/>
        <w:spacing w:line="272" w:lineRule="auto"/>
        <w:rPr>
          <w:color w:val="auto"/>
          <w:highlight w:val="none"/>
        </w:rPr>
      </w:pPr>
    </w:p>
    <w:p w14:paraId="515D5E57">
      <w:pPr>
        <w:pStyle w:val="3"/>
        <w:spacing w:line="272" w:lineRule="auto"/>
        <w:rPr>
          <w:color w:val="auto"/>
          <w:highlight w:val="none"/>
        </w:rPr>
      </w:pPr>
    </w:p>
    <w:p w14:paraId="0107F970">
      <w:pPr>
        <w:spacing w:before="78" w:line="219" w:lineRule="auto"/>
        <w:ind w:left="13"/>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附表</w:t>
      </w:r>
      <w:r>
        <w:rPr>
          <w:rFonts w:ascii="黑体" w:hAnsi="黑体" w:eastAsia="黑体" w:cs="黑体"/>
          <w:color w:val="auto"/>
          <w:spacing w:val="-52"/>
          <w:sz w:val="24"/>
          <w:szCs w:val="24"/>
          <w:highlight w:val="none"/>
        </w:rPr>
        <w:t xml:space="preserve"> </w:t>
      </w:r>
      <w:r>
        <w:rPr>
          <w:rFonts w:ascii="Times New Roman" w:hAnsi="Times New Roman" w:eastAsia="Times New Roman" w:cs="Times New Roman"/>
          <w:color w:val="auto"/>
          <w:spacing w:val="-5"/>
          <w:sz w:val="24"/>
          <w:szCs w:val="24"/>
          <w:highlight w:val="none"/>
        </w:rPr>
        <w:t>A-</w:t>
      </w:r>
      <w:r>
        <w:rPr>
          <w:rFonts w:ascii="Times New Roman" w:hAnsi="Times New Roman" w:eastAsia="Times New Roman" w:cs="Times New Roman"/>
          <w:color w:val="auto"/>
          <w:spacing w:val="-31"/>
          <w:sz w:val="24"/>
          <w:szCs w:val="24"/>
          <w:highlight w:val="none"/>
        </w:rPr>
        <w:t xml:space="preserve"> </w:t>
      </w:r>
      <w:r>
        <w:rPr>
          <w:rFonts w:ascii="Times New Roman" w:hAnsi="Times New Roman" w:eastAsia="Times New Roman" w:cs="Times New Roman"/>
          <w:color w:val="auto"/>
          <w:spacing w:val="-5"/>
          <w:sz w:val="24"/>
          <w:szCs w:val="24"/>
          <w:highlight w:val="none"/>
        </w:rPr>
        <w:t>11</w:t>
      </w:r>
      <w:r>
        <w:rPr>
          <w:rFonts w:ascii="黑体" w:hAnsi="黑体" w:eastAsia="黑体" w:cs="黑体"/>
          <w:color w:val="auto"/>
          <w:spacing w:val="-5"/>
          <w:sz w:val="24"/>
          <w:szCs w:val="24"/>
          <w:highlight w:val="none"/>
        </w:rPr>
        <w:t>：技术标评审记录表（评分）</w:t>
      </w:r>
    </w:p>
    <w:p w14:paraId="6455D667">
      <w:pPr>
        <w:spacing w:before="288" w:line="219" w:lineRule="auto"/>
        <w:ind w:left="5545"/>
        <w:rPr>
          <w:rFonts w:ascii="黑体" w:hAnsi="黑体" w:eastAsia="黑体" w:cs="黑体"/>
          <w:color w:val="auto"/>
          <w:sz w:val="36"/>
          <w:szCs w:val="36"/>
          <w:highlight w:val="none"/>
        </w:rPr>
      </w:pPr>
      <w:r>
        <w:rPr>
          <w:rFonts w:ascii="黑体" w:hAnsi="黑体" w:eastAsia="黑体" w:cs="黑体"/>
          <w:color w:val="auto"/>
          <w:spacing w:val="-2"/>
          <w:sz w:val="36"/>
          <w:szCs w:val="36"/>
          <w:highlight w:val="none"/>
        </w:rPr>
        <w:t>技术标评审记录表</w:t>
      </w:r>
    </w:p>
    <w:p w14:paraId="50CBE547">
      <w:pPr>
        <w:spacing w:before="234" w:line="221" w:lineRule="auto"/>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标段名称：</w:t>
      </w:r>
    </w:p>
    <w:p w14:paraId="57A57918">
      <w:pPr>
        <w:spacing w:before="22" w:line="214" w:lineRule="auto"/>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标段唯一标识码：</w:t>
      </w:r>
    </w:p>
    <w:tbl>
      <w:tblPr>
        <w:tblStyle w:val="10"/>
        <w:tblW w:w="13760" w:type="dxa"/>
        <w:tblInd w:w="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1"/>
        <w:gridCol w:w="1790"/>
        <w:gridCol w:w="1339"/>
        <w:gridCol w:w="1339"/>
        <w:gridCol w:w="1344"/>
        <w:gridCol w:w="1339"/>
        <w:gridCol w:w="1344"/>
        <w:gridCol w:w="1344"/>
        <w:gridCol w:w="1349"/>
        <w:gridCol w:w="1781"/>
      </w:tblGrid>
      <w:tr w14:paraId="10B68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91" w:type="dxa"/>
            <w:vMerge w:val="restart"/>
            <w:tcBorders>
              <w:bottom w:val="nil"/>
            </w:tcBorders>
            <w:vAlign w:val="top"/>
          </w:tcPr>
          <w:p w14:paraId="3DC72D51">
            <w:pPr>
              <w:spacing w:line="243" w:lineRule="auto"/>
              <w:rPr>
                <w:rFonts w:ascii="Arial"/>
                <w:color w:val="auto"/>
                <w:sz w:val="21"/>
                <w:highlight w:val="none"/>
              </w:rPr>
            </w:pPr>
          </w:p>
          <w:p w14:paraId="55A05387">
            <w:pPr>
              <w:pStyle w:val="11"/>
              <w:spacing w:before="68" w:line="222" w:lineRule="auto"/>
              <w:ind w:left="184"/>
              <w:rPr>
                <w:color w:val="auto"/>
                <w:highlight w:val="none"/>
              </w:rPr>
            </w:pPr>
            <w:r>
              <w:rPr>
                <w:color w:val="auto"/>
                <w:spacing w:val="-2"/>
                <w:highlight w:val="none"/>
                <w14:textOutline w14:w="3831" w14:cap="flat" w14:cmpd="sng">
                  <w14:solidFill>
                    <w14:srgbClr w14:val="000000"/>
                  </w14:solidFill>
                  <w14:prstDash w14:val="solid"/>
                  <w14:miter w14:val="0"/>
                </w14:textOutline>
              </w:rPr>
              <w:t>序号</w:t>
            </w:r>
          </w:p>
        </w:tc>
        <w:tc>
          <w:tcPr>
            <w:tcW w:w="1790" w:type="dxa"/>
            <w:vMerge w:val="restart"/>
            <w:tcBorders>
              <w:bottom w:val="nil"/>
            </w:tcBorders>
            <w:vAlign w:val="top"/>
          </w:tcPr>
          <w:p w14:paraId="752D34EA">
            <w:pPr>
              <w:spacing w:line="243" w:lineRule="auto"/>
              <w:rPr>
                <w:rFonts w:ascii="Arial"/>
                <w:color w:val="auto"/>
                <w:sz w:val="21"/>
                <w:highlight w:val="none"/>
              </w:rPr>
            </w:pPr>
          </w:p>
          <w:p w14:paraId="4F063AF5">
            <w:pPr>
              <w:pStyle w:val="11"/>
              <w:spacing w:before="68" w:line="221" w:lineRule="auto"/>
              <w:ind w:left="372"/>
              <w:rPr>
                <w:color w:val="auto"/>
                <w:highlight w:val="none"/>
              </w:rPr>
            </w:pPr>
            <w:r>
              <w:rPr>
                <w:color w:val="auto"/>
                <w:spacing w:val="-1"/>
                <w:highlight w:val="none"/>
                <w14:textOutline w14:w="3831" w14:cap="flat" w14:cmpd="sng">
                  <w14:solidFill>
                    <w14:srgbClr w14:val="000000"/>
                  </w14:solidFill>
                  <w14:prstDash w14:val="solid"/>
                  <w14:miter w14:val="0"/>
                </w14:textOutline>
              </w:rPr>
              <w:t>投标人名称</w:t>
            </w:r>
          </w:p>
        </w:tc>
        <w:tc>
          <w:tcPr>
            <w:tcW w:w="9398" w:type="dxa"/>
            <w:gridSpan w:val="7"/>
            <w:vAlign w:val="top"/>
          </w:tcPr>
          <w:p w14:paraId="22DC2C5C">
            <w:pPr>
              <w:pStyle w:val="11"/>
              <w:spacing w:before="101" w:line="221" w:lineRule="auto"/>
              <w:ind w:left="3965"/>
              <w:rPr>
                <w:color w:val="auto"/>
                <w:highlight w:val="none"/>
              </w:rPr>
            </w:pPr>
            <w:r>
              <w:rPr>
                <w:color w:val="auto"/>
                <w:highlight w:val="none"/>
                <w14:textOutline w14:w="3831" w14:cap="flat" w14:cmpd="sng">
                  <w14:solidFill>
                    <w14:srgbClr w14:val="000000"/>
                  </w14:solidFill>
                  <w14:prstDash w14:val="solid"/>
                  <w14:miter w14:val="0"/>
                </w14:textOutline>
              </w:rPr>
              <w:t>评委姓名及得分</w:t>
            </w:r>
          </w:p>
        </w:tc>
        <w:tc>
          <w:tcPr>
            <w:tcW w:w="1781" w:type="dxa"/>
            <w:vMerge w:val="restart"/>
            <w:tcBorders>
              <w:bottom w:val="nil"/>
            </w:tcBorders>
            <w:vAlign w:val="top"/>
          </w:tcPr>
          <w:p w14:paraId="75AC3FA0">
            <w:pPr>
              <w:pStyle w:val="11"/>
              <w:spacing w:before="177" w:line="229" w:lineRule="auto"/>
              <w:ind w:left="211" w:right="148" w:hanging="53"/>
              <w:rPr>
                <w:color w:val="auto"/>
                <w:highlight w:val="none"/>
              </w:rPr>
            </w:pPr>
            <w:r>
              <w:rPr>
                <w:color w:val="auto"/>
                <w:spacing w:val="-1"/>
                <w:highlight w:val="none"/>
                <w14:textOutline w14:w="3831" w14:cap="flat" w14:cmpd="sng">
                  <w14:solidFill>
                    <w14:srgbClr w14:val="000000"/>
                  </w14:solidFill>
                  <w14:prstDash w14:val="solid"/>
                  <w14:miter w14:val="0"/>
                </w14:textOutline>
              </w:rPr>
              <w:t>技术标最终得分</w:t>
            </w:r>
            <w:r>
              <w:rPr>
                <w:color w:val="auto"/>
                <w:spacing w:val="5"/>
                <w:highlight w:val="none"/>
              </w:rPr>
              <w:t xml:space="preserve"> </w:t>
            </w:r>
            <w:r>
              <w:rPr>
                <w:color w:val="auto"/>
                <w:spacing w:val="-7"/>
                <w:highlight w:val="none"/>
                <w14:textOutline w14:w="3831" w14:cap="flat" w14:cmpd="sng">
                  <w14:solidFill>
                    <w14:srgbClr w14:val="000000"/>
                  </w14:solidFill>
                  <w14:prstDash w14:val="solid"/>
                  <w14:miter w14:val="0"/>
                </w14:textOutline>
              </w:rPr>
              <w:t>（满分</w:t>
            </w:r>
            <w:r>
              <w:rPr>
                <w:color w:val="auto"/>
                <w:spacing w:val="8"/>
                <w:highlight w:val="none"/>
              </w:rPr>
              <w:t xml:space="preserve">   </w:t>
            </w:r>
            <w:r>
              <w:rPr>
                <w:color w:val="auto"/>
                <w:spacing w:val="-7"/>
                <w:highlight w:val="none"/>
                <w14:textOutline w14:w="3831" w14:cap="flat" w14:cmpd="sng">
                  <w14:solidFill>
                    <w14:srgbClr w14:val="000000"/>
                  </w14:solidFill>
                  <w14:prstDash w14:val="solid"/>
                  <w14:miter w14:val="0"/>
                </w14:textOutline>
              </w:rPr>
              <w:t>分）</w:t>
            </w:r>
          </w:p>
        </w:tc>
      </w:tr>
      <w:tr w14:paraId="0F9A9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791" w:type="dxa"/>
            <w:vMerge w:val="continue"/>
            <w:tcBorders>
              <w:top w:val="nil"/>
            </w:tcBorders>
            <w:vAlign w:val="top"/>
          </w:tcPr>
          <w:p w14:paraId="75CCFD38">
            <w:pPr>
              <w:rPr>
                <w:rFonts w:ascii="Arial"/>
                <w:color w:val="auto"/>
                <w:sz w:val="21"/>
                <w:highlight w:val="none"/>
              </w:rPr>
            </w:pPr>
          </w:p>
        </w:tc>
        <w:tc>
          <w:tcPr>
            <w:tcW w:w="1790" w:type="dxa"/>
            <w:vMerge w:val="continue"/>
            <w:tcBorders>
              <w:top w:val="nil"/>
            </w:tcBorders>
            <w:vAlign w:val="top"/>
          </w:tcPr>
          <w:p w14:paraId="3914A29E">
            <w:pPr>
              <w:rPr>
                <w:rFonts w:ascii="Arial"/>
                <w:color w:val="auto"/>
                <w:sz w:val="21"/>
                <w:highlight w:val="none"/>
              </w:rPr>
            </w:pPr>
          </w:p>
        </w:tc>
        <w:tc>
          <w:tcPr>
            <w:tcW w:w="1339" w:type="dxa"/>
            <w:vAlign w:val="top"/>
          </w:tcPr>
          <w:p w14:paraId="4D8CCED7">
            <w:pPr>
              <w:pStyle w:val="11"/>
              <w:spacing w:before="97" w:line="221" w:lineRule="auto"/>
              <w:ind w:left="379"/>
              <w:rPr>
                <w:color w:val="auto"/>
                <w:highlight w:val="none"/>
              </w:rPr>
            </w:pPr>
            <w:r>
              <w:rPr>
                <w:color w:val="auto"/>
                <w:spacing w:val="-2"/>
                <w:highlight w:val="none"/>
                <w14:textOutline w14:w="3831" w14:cap="flat" w14:cmpd="sng">
                  <w14:solidFill>
                    <w14:srgbClr w14:val="000000"/>
                  </w14:solidFill>
                  <w14:prstDash w14:val="solid"/>
                  <w14:miter w14:val="0"/>
                </w14:textOutline>
              </w:rPr>
              <w:t>评委</w:t>
            </w:r>
            <w:r>
              <w:rPr>
                <w:color w:val="auto"/>
                <w:spacing w:val="-29"/>
                <w:highlight w:val="none"/>
              </w:rPr>
              <w:t xml:space="preserve"> </w:t>
            </w:r>
            <w:r>
              <w:rPr>
                <w:color w:val="auto"/>
                <w:spacing w:val="-2"/>
                <w:highlight w:val="none"/>
                <w14:textOutline w14:w="3831" w14:cap="flat" w14:cmpd="sng">
                  <w14:solidFill>
                    <w14:srgbClr w14:val="000000"/>
                  </w14:solidFill>
                  <w14:prstDash w14:val="solid"/>
                  <w14:miter w14:val="0"/>
                </w14:textOutline>
              </w:rPr>
              <w:t>1</w:t>
            </w:r>
          </w:p>
        </w:tc>
        <w:tc>
          <w:tcPr>
            <w:tcW w:w="1339" w:type="dxa"/>
            <w:vAlign w:val="top"/>
          </w:tcPr>
          <w:p w14:paraId="38845240">
            <w:pPr>
              <w:pStyle w:val="11"/>
              <w:spacing w:before="97" w:line="221" w:lineRule="auto"/>
              <w:ind w:left="384"/>
              <w:rPr>
                <w:color w:val="auto"/>
                <w:highlight w:val="none"/>
              </w:rPr>
            </w:pPr>
            <w:r>
              <w:rPr>
                <w:color w:val="auto"/>
                <w:spacing w:val="-2"/>
                <w:highlight w:val="none"/>
                <w14:textOutline w14:w="3831" w14:cap="flat" w14:cmpd="sng">
                  <w14:solidFill>
                    <w14:srgbClr w14:val="000000"/>
                  </w14:solidFill>
                  <w14:prstDash w14:val="solid"/>
                  <w14:miter w14:val="0"/>
                </w14:textOutline>
              </w:rPr>
              <w:t>评委</w:t>
            </w:r>
            <w:r>
              <w:rPr>
                <w:color w:val="auto"/>
                <w:spacing w:val="-41"/>
                <w:highlight w:val="none"/>
              </w:rPr>
              <w:t xml:space="preserve"> </w:t>
            </w:r>
            <w:r>
              <w:rPr>
                <w:color w:val="auto"/>
                <w:spacing w:val="-2"/>
                <w:highlight w:val="none"/>
                <w14:textOutline w14:w="3831" w14:cap="flat" w14:cmpd="sng">
                  <w14:solidFill>
                    <w14:srgbClr w14:val="000000"/>
                  </w14:solidFill>
                  <w14:prstDash w14:val="solid"/>
                  <w14:miter w14:val="0"/>
                </w14:textOutline>
              </w:rPr>
              <w:t>2</w:t>
            </w:r>
          </w:p>
        </w:tc>
        <w:tc>
          <w:tcPr>
            <w:tcW w:w="1344" w:type="dxa"/>
            <w:vAlign w:val="top"/>
          </w:tcPr>
          <w:p w14:paraId="37DB1BA4">
            <w:pPr>
              <w:pStyle w:val="11"/>
              <w:spacing w:before="97" w:line="305" w:lineRule="exact"/>
              <w:ind w:left="480"/>
              <w:rPr>
                <w:color w:val="auto"/>
                <w:highlight w:val="none"/>
              </w:rPr>
            </w:pPr>
            <w:r>
              <w:rPr>
                <w:color w:val="auto"/>
                <w:spacing w:val="-5"/>
                <w:position w:val="2"/>
                <w:highlight w:val="none"/>
                <w14:textOutline w14:w="3831" w14:cap="flat" w14:cmpd="sng">
                  <w14:solidFill>
                    <w14:srgbClr w14:val="000000"/>
                  </w14:solidFill>
                  <w14:prstDash w14:val="solid"/>
                  <w14:miter w14:val="0"/>
                </w14:textOutline>
              </w:rPr>
              <w:t>……</w:t>
            </w:r>
          </w:p>
        </w:tc>
        <w:tc>
          <w:tcPr>
            <w:tcW w:w="1339" w:type="dxa"/>
            <w:vAlign w:val="top"/>
          </w:tcPr>
          <w:p w14:paraId="57EAD3A4">
            <w:pPr>
              <w:rPr>
                <w:rFonts w:ascii="Arial"/>
                <w:color w:val="auto"/>
                <w:sz w:val="21"/>
                <w:highlight w:val="none"/>
              </w:rPr>
            </w:pPr>
          </w:p>
        </w:tc>
        <w:tc>
          <w:tcPr>
            <w:tcW w:w="1344" w:type="dxa"/>
            <w:vAlign w:val="top"/>
          </w:tcPr>
          <w:p w14:paraId="51608028">
            <w:pPr>
              <w:rPr>
                <w:rFonts w:ascii="Arial"/>
                <w:color w:val="auto"/>
                <w:sz w:val="21"/>
                <w:highlight w:val="none"/>
              </w:rPr>
            </w:pPr>
          </w:p>
        </w:tc>
        <w:tc>
          <w:tcPr>
            <w:tcW w:w="1344" w:type="dxa"/>
            <w:vAlign w:val="top"/>
          </w:tcPr>
          <w:p w14:paraId="60683D57">
            <w:pPr>
              <w:rPr>
                <w:rFonts w:ascii="Arial"/>
                <w:color w:val="auto"/>
                <w:sz w:val="21"/>
                <w:highlight w:val="none"/>
              </w:rPr>
            </w:pPr>
          </w:p>
        </w:tc>
        <w:tc>
          <w:tcPr>
            <w:tcW w:w="1349" w:type="dxa"/>
            <w:vAlign w:val="top"/>
          </w:tcPr>
          <w:p w14:paraId="5499EBF9">
            <w:pPr>
              <w:rPr>
                <w:rFonts w:ascii="Arial"/>
                <w:color w:val="auto"/>
                <w:sz w:val="21"/>
                <w:highlight w:val="none"/>
              </w:rPr>
            </w:pPr>
          </w:p>
        </w:tc>
        <w:tc>
          <w:tcPr>
            <w:tcW w:w="1781" w:type="dxa"/>
            <w:vMerge w:val="continue"/>
            <w:tcBorders>
              <w:top w:val="nil"/>
            </w:tcBorders>
            <w:vAlign w:val="top"/>
          </w:tcPr>
          <w:p w14:paraId="29E964C1">
            <w:pPr>
              <w:rPr>
                <w:rFonts w:ascii="Arial"/>
                <w:color w:val="auto"/>
                <w:sz w:val="21"/>
                <w:highlight w:val="none"/>
              </w:rPr>
            </w:pPr>
          </w:p>
        </w:tc>
      </w:tr>
      <w:tr w14:paraId="54CCA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14:paraId="71EE3683">
            <w:pPr>
              <w:pStyle w:val="11"/>
              <w:spacing w:before="208" w:line="183" w:lineRule="auto"/>
              <w:ind w:left="359"/>
              <w:rPr>
                <w:color w:val="auto"/>
                <w:highlight w:val="none"/>
              </w:rPr>
            </w:pPr>
            <w:r>
              <w:rPr>
                <w:color w:val="auto"/>
                <w:highlight w:val="none"/>
              </w:rPr>
              <w:t>1</w:t>
            </w:r>
          </w:p>
        </w:tc>
        <w:tc>
          <w:tcPr>
            <w:tcW w:w="1790" w:type="dxa"/>
            <w:vAlign w:val="top"/>
          </w:tcPr>
          <w:p w14:paraId="506EF54B">
            <w:pPr>
              <w:rPr>
                <w:rFonts w:ascii="Arial"/>
                <w:color w:val="auto"/>
                <w:sz w:val="21"/>
                <w:highlight w:val="none"/>
              </w:rPr>
            </w:pPr>
          </w:p>
        </w:tc>
        <w:tc>
          <w:tcPr>
            <w:tcW w:w="1339" w:type="dxa"/>
            <w:vAlign w:val="top"/>
          </w:tcPr>
          <w:p w14:paraId="1B58960F">
            <w:pPr>
              <w:rPr>
                <w:rFonts w:ascii="Arial"/>
                <w:color w:val="auto"/>
                <w:sz w:val="21"/>
                <w:highlight w:val="none"/>
              </w:rPr>
            </w:pPr>
          </w:p>
        </w:tc>
        <w:tc>
          <w:tcPr>
            <w:tcW w:w="1339" w:type="dxa"/>
            <w:vAlign w:val="top"/>
          </w:tcPr>
          <w:p w14:paraId="4AD982B3">
            <w:pPr>
              <w:rPr>
                <w:rFonts w:ascii="Arial"/>
                <w:color w:val="auto"/>
                <w:sz w:val="21"/>
                <w:highlight w:val="none"/>
              </w:rPr>
            </w:pPr>
          </w:p>
        </w:tc>
        <w:tc>
          <w:tcPr>
            <w:tcW w:w="1344" w:type="dxa"/>
            <w:vAlign w:val="top"/>
          </w:tcPr>
          <w:p w14:paraId="74FAB931">
            <w:pPr>
              <w:rPr>
                <w:rFonts w:ascii="Arial"/>
                <w:color w:val="auto"/>
                <w:sz w:val="21"/>
                <w:highlight w:val="none"/>
              </w:rPr>
            </w:pPr>
          </w:p>
        </w:tc>
        <w:tc>
          <w:tcPr>
            <w:tcW w:w="1339" w:type="dxa"/>
            <w:vAlign w:val="top"/>
          </w:tcPr>
          <w:p w14:paraId="6B83CC91">
            <w:pPr>
              <w:rPr>
                <w:rFonts w:ascii="Arial"/>
                <w:color w:val="auto"/>
                <w:sz w:val="21"/>
                <w:highlight w:val="none"/>
              </w:rPr>
            </w:pPr>
          </w:p>
        </w:tc>
        <w:tc>
          <w:tcPr>
            <w:tcW w:w="1344" w:type="dxa"/>
            <w:vAlign w:val="top"/>
          </w:tcPr>
          <w:p w14:paraId="295D13BB">
            <w:pPr>
              <w:rPr>
                <w:rFonts w:ascii="Arial"/>
                <w:color w:val="auto"/>
                <w:sz w:val="21"/>
                <w:highlight w:val="none"/>
              </w:rPr>
            </w:pPr>
          </w:p>
        </w:tc>
        <w:tc>
          <w:tcPr>
            <w:tcW w:w="1344" w:type="dxa"/>
            <w:vAlign w:val="top"/>
          </w:tcPr>
          <w:p w14:paraId="5A6AC64A">
            <w:pPr>
              <w:rPr>
                <w:rFonts w:ascii="Arial"/>
                <w:color w:val="auto"/>
                <w:sz w:val="21"/>
                <w:highlight w:val="none"/>
              </w:rPr>
            </w:pPr>
          </w:p>
        </w:tc>
        <w:tc>
          <w:tcPr>
            <w:tcW w:w="1349" w:type="dxa"/>
            <w:vAlign w:val="top"/>
          </w:tcPr>
          <w:p w14:paraId="2AC43715">
            <w:pPr>
              <w:rPr>
                <w:rFonts w:ascii="Arial"/>
                <w:color w:val="auto"/>
                <w:sz w:val="21"/>
                <w:highlight w:val="none"/>
              </w:rPr>
            </w:pPr>
          </w:p>
        </w:tc>
        <w:tc>
          <w:tcPr>
            <w:tcW w:w="1781" w:type="dxa"/>
            <w:vAlign w:val="top"/>
          </w:tcPr>
          <w:p w14:paraId="2C7FAB47">
            <w:pPr>
              <w:rPr>
                <w:rFonts w:ascii="Arial"/>
                <w:color w:val="auto"/>
                <w:sz w:val="21"/>
                <w:highlight w:val="none"/>
              </w:rPr>
            </w:pPr>
          </w:p>
        </w:tc>
      </w:tr>
      <w:tr w14:paraId="33CCFE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14:paraId="1EE07698">
            <w:pPr>
              <w:pStyle w:val="11"/>
              <w:spacing w:before="209" w:line="182" w:lineRule="auto"/>
              <w:ind w:left="346"/>
              <w:rPr>
                <w:color w:val="auto"/>
                <w:highlight w:val="none"/>
              </w:rPr>
            </w:pPr>
            <w:r>
              <w:rPr>
                <w:color w:val="auto"/>
                <w:highlight w:val="none"/>
              </w:rPr>
              <w:t>2</w:t>
            </w:r>
          </w:p>
        </w:tc>
        <w:tc>
          <w:tcPr>
            <w:tcW w:w="1790" w:type="dxa"/>
            <w:vAlign w:val="top"/>
          </w:tcPr>
          <w:p w14:paraId="77A7B59E">
            <w:pPr>
              <w:rPr>
                <w:rFonts w:ascii="Arial"/>
                <w:color w:val="auto"/>
                <w:sz w:val="21"/>
                <w:highlight w:val="none"/>
              </w:rPr>
            </w:pPr>
          </w:p>
        </w:tc>
        <w:tc>
          <w:tcPr>
            <w:tcW w:w="1339" w:type="dxa"/>
            <w:vAlign w:val="top"/>
          </w:tcPr>
          <w:p w14:paraId="07E7E738">
            <w:pPr>
              <w:rPr>
                <w:rFonts w:ascii="Arial"/>
                <w:color w:val="auto"/>
                <w:sz w:val="21"/>
                <w:highlight w:val="none"/>
              </w:rPr>
            </w:pPr>
          </w:p>
        </w:tc>
        <w:tc>
          <w:tcPr>
            <w:tcW w:w="1339" w:type="dxa"/>
            <w:vAlign w:val="top"/>
          </w:tcPr>
          <w:p w14:paraId="53A11B98">
            <w:pPr>
              <w:rPr>
                <w:rFonts w:ascii="Arial"/>
                <w:color w:val="auto"/>
                <w:sz w:val="21"/>
                <w:highlight w:val="none"/>
              </w:rPr>
            </w:pPr>
          </w:p>
        </w:tc>
        <w:tc>
          <w:tcPr>
            <w:tcW w:w="1344" w:type="dxa"/>
            <w:vAlign w:val="top"/>
          </w:tcPr>
          <w:p w14:paraId="2DD40FEB">
            <w:pPr>
              <w:rPr>
                <w:rFonts w:ascii="Arial"/>
                <w:color w:val="auto"/>
                <w:sz w:val="21"/>
                <w:highlight w:val="none"/>
              </w:rPr>
            </w:pPr>
          </w:p>
        </w:tc>
        <w:tc>
          <w:tcPr>
            <w:tcW w:w="1339" w:type="dxa"/>
            <w:vAlign w:val="top"/>
          </w:tcPr>
          <w:p w14:paraId="1EBC9DB3">
            <w:pPr>
              <w:rPr>
                <w:rFonts w:ascii="Arial"/>
                <w:color w:val="auto"/>
                <w:sz w:val="21"/>
                <w:highlight w:val="none"/>
              </w:rPr>
            </w:pPr>
          </w:p>
        </w:tc>
        <w:tc>
          <w:tcPr>
            <w:tcW w:w="1344" w:type="dxa"/>
            <w:vAlign w:val="top"/>
          </w:tcPr>
          <w:p w14:paraId="726E2E17">
            <w:pPr>
              <w:rPr>
                <w:rFonts w:ascii="Arial"/>
                <w:color w:val="auto"/>
                <w:sz w:val="21"/>
                <w:highlight w:val="none"/>
              </w:rPr>
            </w:pPr>
          </w:p>
        </w:tc>
        <w:tc>
          <w:tcPr>
            <w:tcW w:w="1344" w:type="dxa"/>
            <w:vAlign w:val="top"/>
          </w:tcPr>
          <w:p w14:paraId="6EC32724">
            <w:pPr>
              <w:rPr>
                <w:rFonts w:ascii="Arial"/>
                <w:color w:val="auto"/>
                <w:sz w:val="21"/>
                <w:highlight w:val="none"/>
              </w:rPr>
            </w:pPr>
          </w:p>
        </w:tc>
        <w:tc>
          <w:tcPr>
            <w:tcW w:w="1349" w:type="dxa"/>
            <w:vAlign w:val="top"/>
          </w:tcPr>
          <w:p w14:paraId="192C651A">
            <w:pPr>
              <w:rPr>
                <w:rFonts w:ascii="Arial"/>
                <w:color w:val="auto"/>
                <w:sz w:val="21"/>
                <w:highlight w:val="none"/>
              </w:rPr>
            </w:pPr>
          </w:p>
        </w:tc>
        <w:tc>
          <w:tcPr>
            <w:tcW w:w="1781" w:type="dxa"/>
            <w:vAlign w:val="top"/>
          </w:tcPr>
          <w:p w14:paraId="723C2B60">
            <w:pPr>
              <w:rPr>
                <w:rFonts w:ascii="Arial"/>
                <w:color w:val="auto"/>
                <w:sz w:val="21"/>
                <w:highlight w:val="none"/>
              </w:rPr>
            </w:pPr>
          </w:p>
        </w:tc>
      </w:tr>
      <w:tr w14:paraId="6F44D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14:paraId="395DC8CD">
            <w:pPr>
              <w:pStyle w:val="11"/>
              <w:spacing w:before="205" w:line="182" w:lineRule="auto"/>
              <w:ind w:left="348"/>
              <w:rPr>
                <w:color w:val="auto"/>
                <w:highlight w:val="none"/>
              </w:rPr>
            </w:pPr>
            <w:r>
              <w:rPr>
                <w:color w:val="auto"/>
                <w:highlight w:val="none"/>
              </w:rPr>
              <w:t>3</w:t>
            </w:r>
          </w:p>
        </w:tc>
        <w:tc>
          <w:tcPr>
            <w:tcW w:w="1790" w:type="dxa"/>
            <w:vAlign w:val="top"/>
          </w:tcPr>
          <w:p w14:paraId="34C020DE">
            <w:pPr>
              <w:rPr>
                <w:rFonts w:ascii="Arial"/>
                <w:color w:val="auto"/>
                <w:sz w:val="21"/>
                <w:highlight w:val="none"/>
              </w:rPr>
            </w:pPr>
          </w:p>
        </w:tc>
        <w:tc>
          <w:tcPr>
            <w:tcW w:w="1339" w:type="dxa"/>
            <w:vAlign w:val="top"/>
          </w:tcPr>
          <w:p w14:paraId="32FEB94A">
            <w:pPr>
              <w:rPr>
                <w:rFonts w:ascii="Arial"/>
                <w:color w:val="auto"/>
                <w:sz w:val="21"/>
                <w:highlight w:val="none"/>
              </w:rPr>
            </w:pPr>
          </w:p>
        </w:tc>
        <w:tc>
          <w:tcPr>
            <w:tcW w:w="1339" w:type="dxa"/>
            <w:vAlign w:val="top"/>
          </w:tcPr>
          <w:p w14:paraId="21437EBB">
            <w:pPr>
              <w:rPr>
                <w:rFonts w:ascii="Arial"/>
                <w:color w:val="auto"/>
                <w:sz w:val="21"/>
                <w:highlight w:val="none"/>
              </w:rPr>
            </w:pPr>
          </w:p>
        </w:tc>
        <w:tc>
          <w:tcPr>
            <w:tcW w:w="1344" w:type="dxa"/>
            <w:vAlign w:val="top"/>
          </w:tcPr>
          <w:p w14:paraId="22F19BF5">
            <w:pPr>
              <w:rPr>
                <w:rFonts w:ascii="Arial"/>
                <w:color w:val="auto"/>
                <w:sz w:val="21"/>
                <w:highlight w:val="none"/>
              </w:rPr>
            </w:pPr>
          </w:p>
        </w:tc>
        <w:tc>
          <w:tcPr>
            <w:tcW w:w="1339" w:type="dxa"/>
            <w:vAlign w:val="top"/>
          </w:tcPr>
          <w:p w14:paraId="1791FC89">
            <w:pPr>
              <w:rPr>
                <w:rFonts w:ascii="Arial"/>
                <w:color w:val="auto"/>
                <w:sz w:val="21"/>
                <w:highlight w:val="none"/>
              </w:rPr>
            </w:pPr>
          </w:p>
        </w:tc>
        <w:tc>
          <w:tcPr>
            <w:tcW w:w="1344" w:type="dxa"/>
            <w:vAlign w:val="top"/>
          </w:tcPr>
          <w:p w14:paraId="4F70FAE4">
            <w:pPr>
              <w:rPr>
                <w:rFonts w:ascii="Arial"/>
                <w:color w:val="auto"/>
                <w:sz w:val="21"/>
                <w:highlight w:val="none"/>
              </w:rPr>
            </w:pPr>
          </w:p>
        </w:tc>
        <w:tc>
          <w:tcPr>
            <w:tcW w:w="1344" w:type="dxa"/>
            <w:vAlign w:val="top"/>
          </w:tcPr>
          <w:p w14:paraId="1CAE1632">
            <w:pPr>
              <w:rPr>
                <w:rFonts w:ascii="Arial"/>
                <w:color w:val="auto"/>
                <w:sz w:val="21"/>
                <w:highlight w:val="none"/>
              </w:rPr>
            </w:pPr>
          </w:p>
        </w:tc>
        <w:tc>
          <w:tcPr>
            <w:tcW w:w="1349" w:type="dxa"/>
            <w:vAlign w:val="top"/>
          </w:tcPr>
          <w:p w14:paraId="60A13D61">
            <w:pPr>
              <w:rPr>
                <w:rFonts w:ascii="Arial"/>
                <w:color w:val="auto"/>
                <w:sz w:val="21"/>
                <w:highlight w:val="none"/>
              </w:rPr>
            </w:pPr>
          </w:p>
        </w:tc>
        <w:tc>
          <w:tcPr>
            <w:tcW w:w="1781" w:type="dxa"/>
            <w:vAlign w:val="top"/>
          </w:tcPr>
          <w:p w14:paraId="11B55849">
            <w:pPr>
              <w:rPr>
                <w:rFonts w:ascii="Arial"/>
                <w:color w:val="auto"/>
                <w:sz w:val="21"/>
                <w:highlight w:val="none"/>
              </w:rPr>
            </w:pPr>
          </w:p>
        </w:tc>
      </w:tr>
      <w:tr w14:paraId="3F0B8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14:paraId="660D8E25">
            <w:pPr>
              <w:pStyle w:val="11"/>
              <w:spacing w:before="206" w:line="182" w:lineRule="auto"/>
              <w:ind w:left="343"/>
              <w:rPr>
                <w:color w:val="auto"/>
                <w:highlight w:val="none"/>
              </w:rPr>
            </w:pPr>
            <w:r>
              <w:rPr>
                <w:color w:val="auto"/>
                <w:highlight w:val="none"/>
              </w:rPr>
              <w:t>4</w:t>
            </w:r>
          </w:p>
        </w:tc>
        <w:tc>
          <w:tcPr>
            <w:tcW w:w="1790" w:type="dxa"/>
            <w:vAlign w:val="top"/>
          </w:tcPr>
          <w:p w14:paraId="07650DB0">
            <w:pPr>
              <w:rPr>
                <w:rFonts w:ascii="Arial"/>
                <w:color w:val="auto"/>
                <w:sz w:val="21"/>
                <w:highlight w:val="none"/>
              </w:rPr>
            </w:pPr>
          </w:p>
        </w:tc>
        <w:tc>
          <w:tcPr>
            <w:tcW w:w="1339" w:type="dxa"/>
            <w:vAlign w:val="top"/>
          </w:tcPr>
          <w:p w14:paraId="66CBB654">
            <w:pPr>
              <w:rPr>
                <w:rFonts w:ascii="Arial"/>
                <w:color w:val="auto"/>
                <w:sz w:val="21"/>
                <w:highlight w:val="none"/>
              </w:rPr>
            </w:pPr>
          </w:p>
        </w:tc>
        <w:tc>
          <w:tcPr>
            <w:tcW w:w="1339" w:type="dxa"/>
            <w:vAlign w:val="top"/>
          </w:tcPr>
          <w:p w14:paraId="14460AD4">
            <w:pPr>
              <w:rPr>
                <w:rFonts w:ascii="Arial"/>
                <w:color w:val="auto"/>
                <w:sz w:val="21"/>
                <w:highlight w:val="none"/>
              </w:rPr>
            </w:pPr>
          </w:p>
        </w:tc>
        <w:tc>
          <w:tcPr>
            <w:tcW w:w="1344" w:type="dxa"/>
            <w:vAlign w:val="top"/>
          </w:tcPr>
          <w:p w14:paraId="25344188">
            <w:pPr>
              <w:rPr>
                <w:rFonts w:ascii="Arial"/>
                <w:color w:val="auto"/>
                <w:sz w:val="21"/>
                <w:highlight w:val="none"/>
              </w:rPr>
            </w:pPr>
          </w:p>
        </w:tc>
        <w:tc>
          <w:tcPr>
            <w:tcW w:w="1339" w:type="dxa"/>
            <w:vAlign w:val="top"/>
          </w:tcPr>
          <w:p w14:paraId="097F13C8">
            <w:pPr>
              <w:rPr>
                <w:rFonts w:ascii="Arial"/>
                <w:color w:val="auto"/>
                <w:sz w:val="21"/>
                <w:highlight w:val="none"/>
              </w:rPr>
            </w:pPr>
          </w:p>
        </w:tc>
        <w:tc>
          <w:tcPr>
            <w:tcW w:w="1344" w:type="dxa"/>
            <w:vAlign w:val="top"/>
          </w:tcPr>
          <w:p w14:paraId="3DB78073">
            <w:pPr>
              <w:rPr>
                <w:rFonts w:ascii="Arial"/>
                <w:color w:val="auto"/>
                <w:sz w:val="21"/>
                <w:highlight w:val="none"/>
              </w:rPr>
            </w:pPr>
          </w:p>
        </w:tc>
        <w:tc>
          <w:tcPr>
            <w:tcW w:w="1344" w:type="dxa"/>
            <w:vAlign w:val="top"/>
          </w:tcPr>
          <w:p w14:paraId="7B84CD3B">
            <w:pPr>
              <w:rPr>
                <w:rFonts w:ascii="Arial"/>
                <w:color w:val="auto"/>
                <w:sz w:val="21"/>
                <w:highlight w:val="none"/>
              </w:rPr>
            </w:pPr>
          </w:p>
        </w:tc>
        <w:tc>
          <w:tcPr>
            <w:tcW w:w="1349" w:type="dxa"/>
            <w:vAlign w:val="top"/>
          </w:tcPr>
          <w:p w14:paraId="30F2ECDC">
            <w:pPr>
              <w:rPr>
                <w:rFonts w:ascii="Arial"/>
                <w:color w:val="auto"/>
                <w:sz w:val="21"/>
                <w:highlight w:val="none"/>
              </w:rPr>
            </w:pPr>
          </w:p>
        </w:tc>
        <w:tc>
          <w:tcPr>
            <w:tcW w:w="1781" w:type="dxa"/>
            <w:vAlign w:val="top"/>
          </w:tcPr>
          <w:p w14:paraId="2E537C86">
            <w:pPr>
              <w:rPr>
                <w:rFonts w:ascii="Arial"/>
                <w:color w:val="auto"/>
                <w:sz w:val="21"/>
                <w:highlight w:val="none"/>
              </w:rPr>
            </w:pPr>
          </w:p>
        </w:tc>
      </w:tr>
      <w:tr w14:paraId="0BF4B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14:paraId="0B60173F">
            <w:pPr>
              <w:pStyle w:val="11"/>
              <w:spacing w:before="208" w:line="181" w:lineRule="auto"/>
              <w:ind w:left="348"/>
              <w:rPr>
                <w:color w:val="auto"/>
                <w:highlight w:val="none"/>
              </w:rPr>
            </w:pPr>
            <w:r>
              <w:rPr>
                <w:color w:val="auto"/>
                <w:highlight w:val="none"/>
              </w:rPr>
              <w:t>5</w:t>
            </w:r>
          </w:p>
        </w:tc>
        <w:tc>
          <w:tcPr>
            <w:tcW w:w="1790" w:type="dxa"/>
            <w:vAlign w:val="top"/>
          </w:tcPr>
          <w:p w14:paraId="7DF805E8">
            <w:pPr>
              <w:rPr>
                <w:rFonts w:ascii="Arial"/>
                <w:color w:val="auto"/>
                <w:sz w:val="21"/>
                <w:highlight w:val="none"/>
              </w:rPr>
            </w:pPr>
          </w:p>
        </w:tc>
        <w:tc>
          <w:tcPr>
            <w:tcW w:w="1339" w:type="dxa"/>
            <w:vAlign w:val="top"/>
          </w:tcPr>
          <w:p w14:paraId="3DBE0506">
            <w:pPr>
              <w:rPr>
                <w:rFonts w:ascii="Arial"/>
                <w:color w:val="auto"/>
                <w:sz w:val="21"/>
                <w:highlight w:val="none"/>
              </w:rPr>
            </w:pPr>
          </w:p>
        </w:tc>
        <w:tc>
          <w:tcPr>
            <w:tcW w:w="1339" w:type="dxa"/>
            <w:vAlign w:val="top"/>
          </w:tcPr>
          <w:p w14:paraId="1AFE4CC2">
            <w:pPr>
              <w:rPr>
                <w:rFonts w:ascii="Arial"/>
                <w:color w:val="auto"/>
                <w:sz w:val="21"/>
                <w:highlight w:val="none"/>
              </w:rPr>
            </w:pPr>
          </w:p>
        </w:tc>
        <w:tc>
          <w:tcPr>
            <w:tcW w:w="1344" w:type="dxa"/>
            <w:vAlign w:val="top"/>
          </w:tcPr>
          <w:p w14:paraId="728221AE">
            <w:pPr>
              <w:rPr>
                <w:rFonts w:ascii="Arial"/>
                <w:color w:val="auto"/>
                <w:sz w:val="21"/>
                <w:highlight w:val="none"/>
              </w:rPr>
            </w:pPr>
          </w:p>
        </w:tc>
        <w:tc>
          <w:tcPr>
            <w:tcW w:w="1339" w:type="dxa"/>
            <w:vAlign w:val="top"/>
          </w:tcPr>
          <w:p w14:paraId="34057F80">
            <w:pPr>
              <w:rPr>
                <w:rFonts w:ascii="Arial"/>
                <w:color w:val="auto"/>
                <w:sz w:val="21"/>
                <w:highlight w:val="none"/>
              </w:rPr>
            </w:pPr>
          </w:p>
        </w:tc>
        <w:tc>
          <w:tcPr>
            <w:tcW w:w="1344" w:type="dxa"/>
            <w:vAlign w:val="top"/>
          </w:tcPr>
          <w:p w14:paraId="4FF65ED0">
            <w:pPr>
              <w:rPr>
                <w:rFonts w:ascii="Arial"/>
                <w:color w:val="auto"/>
                <w:sz w:val="21"/>
                <w:highlight w:val="none"/>
              </w:rPr>
            </w:pPr>
          </w:p>
        </w:tc>
        <w:tc>
          <w:tcPr>
            <w:tcW w:w="1344" w:type="dxa"/>
            <w:vAlign w:val="top"/>
          </w:tcPr>
          <w:p w14:paraId="3AE0EAF5">
            <w:pPr>
              <w:rPr>
                <w:rFonts w:ascii="Arial"/>
                <w:color w:val="auto"/>
                <w:sz w:val="21"/>
                <w:highlight w:val="none"/>
              </w:rPr>
            </w:pPr>
          </w:p>
        </w:tc>
        <w:tc>
          <w:tcPr>
            <w:tcW w:w="1349" w:type="dxa"/>
            <w:vAlign w:val="top"/>
          </w:tcPr>
          <w:p w14:paraId="632489B7">
            <w:pPr>
              <w:rPr>
                <w:rFonts w:ascii="Arial"/>
                <w:color w:val="auto"/>
                <w:sz w:val="21"/>
                <w:highlight w:val="none"/>
              </w:rPr>
            </w:pPr>
          </w:p>
        </w:tc>
        <w:tc>
          <w:tcPr>
            <w:tcW w:w="1781" w:type="dxa"/>
            <w:vAlign w:val="top"/>
          </w:tcPr>
          <w:p w14:paraId="7A3D5823">
            <w:pPr>
              <w:rPr>
                <w:rFonts w:ascii="Arial"/>
                <w:color w:val="auto"/>
                <w:sz w:val="21"/>
                <w:highlight w:val="none"/>
              </w:rPr>
            </w:pPr>
          </w:p>
        </w:tc>
      </w:tr>
      <w:tr w14:paraId="09A24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14:paraId="4A50096A">
            <w:pPr>
              <w:pStyle w:val="11"/>
              <w:spacing w:before="207" w:line="182" w:lineRule="auto"/>
              <w:ind w:left="345"/>
              <w:rPr>
                <w:color w:val="auto"/>
                <w:highlight w:val="none"/>
              </w:rPr>
            </w:pPr>
            <w:r>
              <w:rPr>
                <w:color w:val="auto"/>
                <w:highlight w:val="none"/>
              </w:rPr>
              <w:t>6</w:t>
            </w:r>
          </w:p>
        </w:tc>
        <w:tc>
          <w:tcPr>
            <w:tcW w:w="1790" w:type="dxa"/>
            <w:vAlign w:val="top"/>
          </w:tcPr>
          <w:p w14:paraId="361D3C14">
            <w:pPr>
              <w:rPr>
                <w:rFonts w:ascii="Arial"/>
                <w:color w:val="auto"/>
                <w:sz w:val="21"/>
                <w:highlight w:val="none"/>
              </w:rPr>
            </w:pPr>
          </w:p>
        </w:tc>
        <w:tc>
          <w:tcPr>
            <w:tcW w:w="1339" w:type="dxa"/>
            <w:vAlign w:val="top"/>
          </w:tcPr>
          <w:p w14:paraId="3521E4BB">
            <w:pPr>
              <w:rPr>
                <w:rFonts w:ascii="Arial"/>
                <w:color w:val="auto"/>
                <w:sz w:val="21"/>
                <w:highlight w:val="none"/>
              </w:rPr>
            </w:pPr>
          </w:p>
        </w:tc>
        <w:tc>
          <w:tcPr>
            <w:tcW w:w="1339" w:type="dxa"/>
            <w:vAlign w:val="top"/>
          </w:tcPr>
          <w:p w14:paraId="37AB7453">
            <w:pPr>
              <w:rPr>
                <w:rFonts w:ascii="Arial"/>
                <w:color w:val="auto"/>
                <w:sz w:val="21"/>
                <w:highlight w:val="none"/>
              </w:rPr>
            </w:pPr>
          </w:p>
        </w:tc>
        <w:tc>
          <w:tcPr>
            <w:tcW w:w="1344" w:type="dxa"/>
            <w:vAlign w:val="top"/>
          </w:tcPr>
          <w:p w14:paraId="2A54B7FC">
            <w:pPr>
              <w:rPr>
                <w:rFonts w:ascii="Arial"/>
                <w:color w:val="auto"/>
                <w:sz w:val="21"/>
                <w:highlight w:val="none"/>
              </w:rPr>
            </w:pPr>
          </w:p>
        </w:tc>
        <w:tc>
          <w:tcPr>
            <w:tcW w:w="1339" w:type="dxa"/>
            <w:vAlign w:val="top"/>
          </w:tcPr>
          <w:p w14:paraId="6105517A">
            <w:pPr>
              <w:rPr>
                <w:rFonts w:ascii="Arial"/>
                <w:color w:val="auto"/>
                <w:sz w:val="21"/>
                <w:highlight w:val="none"/>
              </w:rPr>
            </w:pPr>
          </w:p>
        </w:tc>
        <w:tc>
          <w:tcPr>
            <w:tcW w:w="1344" w:type="dxa"/>
            <w:vAlign w:val="top"/>
          </w:tcPr>
          <w:p w14:paraId="690F846A">
            <w:pPr>
              <w:rPr>
                <w:rFonts w:ascii="Arial"/>
                <w:color w:val="auto"/>
                <w:sz w:val="21"/>
                <w:highlight w:val="none"/>
              </w:rPr>
            </w:pPr>
          </w:p>
        </w:tc>
        <w:tc>
          <w:tcPr>
            <w:tcW w:w="1344" w:type="dxa"/>
            <w:vAlign w:val="top"/>
          </w:tcPr>
          <w:p w14:paraId="7EAA14E4">
            <w:pPr>
              <w:rPr>
                <w:rFonts w:ascii="Arial"/>
                <w:color w:val="auto"/>
                <w:sz w:val="21"/>
                <w:highlight w:val="none"/>
              </w:rPr>
            </w:pPr>
          </w:p>
        </w:tc>
        <w:tc>
          <w:tcPr>
            <w:tcW w:w="1349" w:type="dxa"/>
            <w:vAlign w:val="top"/>
          </w:tcPr>
          <w:p w14:paraId="084BE553">
            <w:pPr>
              <w:rPr>
                <w:rFonts w:ascii="Arial"/>
                <w:color w:val="auto"/>
                <w:sz w:val="21"/>
                <w:highlight w:val="none"/>
              </w:rPr>
            </w:pPr>
          </w:p>
        </w:tc>
        <w:tc>
          <w:tcPr>
            <w:tcW w:w="1781" w:type="dxa"/>
            <w:vAlign w:val="top"/>
          </w:tcPr>
          <w:p w14:paraId="65D0DDE9">
            <w:pPr>
              <w:rPr>
                <w:rFonts w:ascii="Arial"/>
                <w:color w:val="auto"/>
                <w:sz w:val="21"/>
                <w:highlight w:val="none"/>
              </w:rPr>
            </w:pPr>
          </w:p>
        </w:tc>
      </w:tr>
      <w:tr w14:paraId="451DF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791" w:type="dxa"/>
            <w:vAlign w:val="top"/>
          </w:tcPr>
          <w:p w14:paraId="02E19A76">
            <w:pPr>
              <w:pStyle w:val="11"/>
              <w:spacing w:before="172" w:line="333" w:lineRule="exact"/>
              <w:ind w:left="203"/>
              <w:rPr>
                <w:color w:val="auto"/>
                <w:highlight w:val="none"/>
              </w:rPr>
            </w:pPr>
            <w:r>
              <w:rPr>
                <w:color w:val="auto"/>
                <w:spacing w:val="-10"/>
                <w:position w:val="2"/>
                <w:highlight w:val="none"/>
              </w:rPr>
              <w:t>……</w:t>
            </w:r>
          </w:p>
        </w:tc>
        <w:tc>
          <w:tcPr>
            <w:tcW w:w="1790" w:type="dxa"/>
            <w:vAlign w:val="top"/>
          </w:tcPr>
          <w:p w14:paraId="2876B7CA">
            <w:pPr>
              <w:rPr>
                <w:rFonts w:ascii="Arial"/>
                <w:color w:val="auto"/>
                <w:sz w:val="21"/>
                <w:highlight w:val="none"/>
              </w:rPr>
            </w:pPr>
          </w:p>
        </w:tc>
        <w:tc>
          <w:tcPr>
            <w:tcW w:w="1339" w:type="dxa"/>
            <w:vAlign w:val="top"/>
          </w:tcPr>
          <w:p w14:paraId="2E02A72B">
            <w:pPr>
              <w:rPr>
                <w:rFonts w:ascii="Arial"/>
                <w:color w:val="auto"/>
                <w:sz w:val="21"/>
                <w:highlight w:val="none"/>
              </w:rPr>
            </w:pPr>
          </w:p>
        </w:tc>
        <w:tc>
          <w:tcPr>
            <w:tcW w:w="1339" w:type="dxa"/>
            <w:vAlign w:val="top"/>
          </w:tcPr>
          <w:p w14:paraId="5FC3CEFC">
            <w:pPr>
              <w:rPr>
                <w:rFonts w:ascii="Arial"/>
                <w:color w:val="auto"/>
                <w:sz w:val="21"/>
                <w:highlight w:val="none"/>
              </w:rPr>
            </w:pPr>
          </w:p>
        </w:tc>
        <w:tc>
          <w:tcPr>
            <w:tcW w:w="1344" w:type="dxa"/>
            <w:vAlign w:val="top"/>
          </w:tcPr>
          <w:p w14:paraId="0A0DCC6F">
            <w:pPr>
              <w:rPr>
                <w:rFonts w:ascii="Arial"/>
                <w:color w:val="auto"/>
                <w:sz w:val="21"/>
                <w:highlight w:val="none"/>
              </w:rPr>
            </w:pPr>
          </w:p>
        </w:tc>
        <w:tc>
          <w:tcPr>
            <w:tcW w:w="1339" w:type="dxa"/>
            <w:vAlign w:val="top"/>
          </w:tcPr>
          <w:p w14:paraId="796C1260">
            <w:pPr>
              <w:rPr>
                <w:rFonts w:ascii="Arial"/>
                <w:color w:val="auto"/>
                <w:sz w:val="21"/>
                <w:highlight w:val="none"/>
              </w:rPr>
            </w:pPr>
          </w:p>
        </w:tc>
        <w:tc>
          <w:tcPr>
            <w:tcW w:w="1344" w:type="dxa"/>
            <w:vAlign w:val="top"/>
          </w:tcPr>
          <w:p w14:paraId="75D400F8">
            <w:pPr>
              <w:rPr>
                <w:rFonts w:ascii="Arial"/>
                <w:color w:val="auto"/>
                <w:sz w:val="21"/>
                <w:highlight w:val="none"/>
              </w:rPr>
            </w:pPr>
          </w:p>
        </w:tc>
        <w:tc>
          <w:tcPr>
            <w:tcW w:w="1344" w:type="dxa"/>
            <w:vAlign w:val="top"/>
          </w:tcPr>
          <w:p w14:paraId="738F747D">
            <w:pPr>
              <w:rPr>
                <w:rFonts w:ascii="Arial"/>
                <w:color w:val="auto"/>
                <w:sz w:val="21"/>
                <w:highlight w:val="none"/>
              </w:rPr>
            </w:pPr>
          </w:p>
        </w:tc>
        <w:tc>
          <w:tcPr>
            <w:tcW w:w="1349" w:type="dxa"/>
            <w:vAlign w:val="top"/>
          </w:tcPr>
          <w:p w14:paraId="2B9A362B">
            <w:pPr>
              <w:rPr>
                <w:rFonts w:ascii="Arial"/>
                <w:color w:val="auto"/>
                <w:sz w:val="21"/>
                <w:highlight w:val="none"/>
              </w:rPr>
            </w:pPr>
          </w:p>
        </w:tc>
        <w:tc>
          <w:tcPr>
            <w:tcW w:w="1781" w:type="dxa"/>
            <w:vAlign w:val="top"/>
          </w:tcPr>
          <w:p w14:paraId="76D66D3B">
            <w:pPr>
              <w:rPr>
                <w:rFonts w:ascii="Arial"/>
                <w:color w:val="auto"/>
                <w:sz w:val="21"/>
                <w:highlight w:val="none"/>
              </w:rPr>
            </w:pPr>
          </w:p>
        </w:tc>
      </w:tr>
      <w:tr w14:paraId="58A442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13760" w:type="dxa"/>
            <w:gridSpan w:val="10"/>
            <w:vAlign w:val="top"/>
          </w:tcPr>
          <w:p w14:paraId="6F9243CD">
            <w:pPr>
              <w:pStyle w:val="11"/>
              <w:spacing w:before="32" w:line="221" w:lineRule="auto"/>
              <w:ind w:left="114"/>
              <w:rPr>
                <w:color w:val="auto"/>
                <w:highlight w:val="none"/>
              </w:rPr>
            </w:pPr>
            <w:r>
              <w:rPr>
                <w:color w:val="auto"/>
                <w:spacing w:val="-5"/>
                <w:highlight w:val="none"/>
              </w:rPr>
              <w:t>技术标评委签名：</w:t>
            </w:r>
          </w:p>
        </w:tc>
      </w:tr>
    </w:tbl>
    <w:p w14:paraId="4B5FB4DE">
      <w:pPr>
        <w:spacing w:before="29" w:line="221" w:lineRule="auto"/>
        <w:ind w:left="11630"/>
        <w:rPr>
          <w:rFonts w:ascii="宋体" w:hAnsi="宋体" w:eastAsia="宋体" w:cs="宋体"/>
          <w:color w:val="auto"/>
          <w:sz w:val="21"/>
          <w:szCs w:val="21"/>
          <w:highlight w:val="none"/>
        </w:rPr>
      </w:pPr>
      <w:r>
        <w:rPr>
          <w:rFonts w:ascii="宋体" w:hAnsi="宋体" w:eastAsia="宋体" w:cs="宋体"/>
          <w:color w:val="auto"/>
          <w:spacing w:val="-26"/>
          <w:sz w:val="21"/>
          <w:szCs w:val="21"/>
          <w:highlight w:val="none"/>
        </w:rPr>
        <w:t>日期：</w:t>
      </w:r>
      <w:r>
        <w:rPr>
          <w:rFonts w:ascii="宋体" w:hAnsi="宋体" w:eastAsia="宋体" w:cs="宋体"/>
          <w:color w:val="auto"/>
          <w:spacing w:val="52"/>
          <w:sz w:val="21"/>
          <w:szCs w:val="21"/>
          <w:highlight w:val="none"/>
        </w:rPr>
        <w:t xml:space="preserve">  </w:t>
      </w:r>
      <w:r>
        <w:rPr>
          <w:rFonts w:ascii="宋体" w:hAnsi="宋体" w:eastAsia="宋体" w:cs="宋体"/>
          <w:color w:val="auto"/>
          <w:spacing w:val="-26"/>
          <w:sz w:val="21"/>
          <w:szCs w:val="21"/>
          <w:highlight w:val="none"/>
        </w:rPr>
        <w:t>年</w:t>
      </w:r>
      <w:r>
        <w:rPr>
          <w:rFonts w:ascii="宋体" w:hAnsi="宋体" w:eastAsia="宋体" w:cs="宋体"/>
          <w:color w:val="auto"/>
          <w:spacing w:val="31"/>
          <w:sz w:val="21"/>
          <w:szCs w:val="21"/>
          <w:highlight w:val="none"/>
        </w:rPr>
        <w:t xml:space="preserve">  </w:t>
      </w:r>
      <w:r>
        <w:rPr>
          <w:rFonts w:ascii="宋体" w:hAnsi="宋体" w:eastAsia="宋体" w:cs="宋体"/>
          <w:color w:val="auto"/>
          <w:spacing w:val="-26"/>
          <w:sz w:val="21"/>
          <w:szCs w:val="21"/>
          <w:highlight w:val="none"/>
        </w:rPr>
        <w:t>月</w:t>
      </w:r>
      <w:r>
        <w:rPr>
          <w:rFonts w:ascii="宋体" w:hAnsi="宋体" w:eastAsia="宋体" w:cs="宋体"/>
          <w:color w:val="auto"/>
          <w:spacing w:val="23"/>
          <w:sz w:val="21"/>
          <w:szCs w:val="21"/>
          <w:highlight w:val="none"/>
        </w:rPr>
        <w:t xml:space="preserve">  </w:t>
      </w:r>
      <w:r>
        <w:rPr>
          <w:rFonts w:ascii="宋体" w:hAnsi="宋体" w:eastAsia="宋体" w:cs="宋体"/>
          <w:color w:val="auto"/>
          <w:spacing w:val="-26"/>
          <w:sz w:val="21"/>
          <w:szCs w:val="21"/>
          <w:highlight w:val="none"/>
        </w:rPr>
        <w:t>日</w:t>
      </w:r>
    </w:p>
    <w:p w14:paraId="0D9D3BAB">
      <w:pPr>
        <w:spacing w:line="221" w:lineRule="auto"/>
        <w:rPr>
          <w:rFonts w:ascii="宋体" w:hAnsi="宋体" w:eastAsia="宋体" w:cs="宋体"/>
          <w:color w:val="auto"/>
          <w:sz w:val="21"/>
          <w:szCs w:val="21"/>
          <w:highlight w:val="none"/>
        </w:rPr>
        <w:sectPr>
          <w:footerReference r:id="rId90" w:type="default"/>
          <w:pgSz w:w="16839" w:h="11905"/>
          <w:pgMar w:top="1011" w:right="1531" w:bottom="991" w:left="1449" w:header="0" w:footer="786" w:gutter="0"/>
          <w:pgNumType w:fmt="decimal"/>
          <w:cols w:space="720" w:num="1"/>
        </w:sectPr>
      </w:pPr>
    </w:p>
    <w:p w14:paraId="38F76118">
      <w:pPr>
        <w:pStyle w:val="3"/>
        <w:spacing w:line="272" w:lineRule="auto"/>
        <w:rPr>
          <w:color w:val="auto"/>
          <w:highlight w:val="none"/>
        </w:rPr>
      </w:pPr>
    </w:p>
    <w:p w14:paraId="427BAFA9">
      <w:pPr>
        <w:pStyle w:val="3"/>
        <w:spacing w:line="272" w:lineRule="auto"/>
        <w:rPr>
          <w:color w:val="auto"/>
          <w:highlight w:val="none"/>
        </w:rPr>
      </w:pPr>
    </w:p>
    <w:p w14:paraId="40306703">
      <w:pPr>
        <w:pStyle w:val="3"/>
        <w:spacing w:line="272" w:lineRule="auto"/>
        <w:rPr>
          <w:color w:val="auto"/>
          <w:highlight w:val="none"/>
        </w:rPr>
      </w:pPr>
    </w:p>
    <w:p w14:paraId="2CA515F0">
      <w:pPr>
        <w:spacing w:before="78" w:line="219" w:lineRule="auto"/>
        <w:ind w:left="27"/>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附表</w:t>
      </w:r>
      <w:r>
        <w:rPr>
          <w:rFonts w:ascii="黑体" w:hAnsi="黑体" w:eastAsia="黑体" w:cs="黑体"/>
          <w:color w:val="auto"/>
          <w:spacing w:val="-61"/>
          <w:sz w:val="24"/>
          <w:szCs w:val="24"/>
          <w:highlight w:val="none"/>
        </w:rPr>
        <w:t xml:space="preserve"> </w:t>
      </w:r>
      <w:r>
        <w:rPr>
          <w:rFonts w:ascii="Times New Roman" w:hAnsi="Times New Roman" w:eastAsia="Times New Roman" w:cs="Times New Roman"/>
          <w:color w:val="auto"/>
          <w:spacing w:val="-4"/>
          <w:sz w:val="24"/>
          <w:szCs w:val="24"/>
          <w:highlight w:val="none"/>
        </w:rPr>
        <w:t>A-</w:t>
      </w:r>
      <w:r>
        <w:rPr>
          <w:rFonts w:ascii="Times New Roman" w:hAnsi="Times New Roman" w:eastAsia="Times New Roman" w:cs="Times New Roman"/>
          <w:color w:val="auto"/>
          <w:spacing w:val="-31"/>
          <w:sz w:val="24"/>
          <w:szCs w:val="24"/>
          <w:highlight w:val="none"/>
        </w:rPr>
        <w:t xml:space="preserve"> </w:t>
      </w:r>
      <w:r>
        <w:rPr>
          <w:rFonts w:ascii="Times New Roman" w:hAnsi="Times New Roman" w:eastAsia="Times New Roman" w:cs="Times New Roman"/>
          <w:color w:val="auto"/>
          <w:spacing w:val="-4"/>
          <w:sz w:val="24"/>
          <w:szCs w:val="24"/>
          <w:highlight w:val="none"/>
        </w:rPr>
        <w:t>12</w:t>
      </w:r>
      <w:r>
        <w:rPr>
          <w:rFonts w:ascii="黑体" w:hAnsi="黑体" w:eastAsia="黑体" w:cs="黑体"/>
          <w:color w:val="auto"/>
          <w:spacing w:val="-4"/>
          <w:sz w:val="24"/>
          <w:szCs w:val="24"/>
          <w:highlight w:val="none"/>
        </w:rPr>
        <w:t>：技术标评审记录表（个人）</w:t>
      </w:r>
    </w:p>
    <w:p w14:paraId="668A04DD">
      <w:pPr>
        <w:spacing w:before="288" w:line="219" w:lineRule="auto"/>
        <w:ind w:left="4839"/>
        <w:rPr>
          <w:rFonts w:ascii="黑体" w:hAnsi="黑体" w:eastAsia="黑体" w:cs="黑体"/>
          <w:color w:val="auto"/>
          <w:sz w:val="36"/>
          <w:szCs w:val="36"/>
          <w:highlight w:val="none"/>
        </w:rPr>
      </w:pPr>
      <w:r>
        <w:rPr>
          <w:rFonts w:ascii="黑体" w:hAnsi="黑体" w:eastAsia="黑体" w:cs="黑体"/>
          <w:color w:val="auto"/>
          <w:spacing w:val="-4"/>
          <w:sz w:val="36"/>
          <w:szCs w:val="36"/>
          <w:highlight w:val="none"/>
        </w:rPr>
        <w:t>技术标评审记录表（个人）</w:t>
      </w:r>
    </w:p>
    <w:p w14:paraId="20535F05">
      <w:pPr>
        <w:spacing w:before="234" w:line="221" w:lineRule="auto"/>
        <w:ind w:left="13"/>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标段名称：</w:t>
      </w:r>
    </w:p>
    <w:p w14:paraId="48A3230D">
      <w:pPr>
        <w:spacing w:before="22" w:line="214" w:lineRule="auto"/>
        <w:ind w:left="13"/>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标段唯一标识码：</w:t>
      </w:r>
    </w:p>
    <w:tbl>
      <w:tblPr>
        <w:tblStyle w:val="10"/>
        <w:tblW w:w="139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8"/>
        <w:gridCol w:w="2203"/>
        <w:gridCol w:w="557"/>
        <w:gridCol w:w="556"/>
        <w:gridCol w:w="552"/>
        <w:gridCol w:w="557"/>
        <w:gridCol w:w="557"/>
        <w:gridCol w:w="556"/>
        <w:gridCol w:w="557"/>
        <w:gridCol w:w="557"/>
        <w:gridCol w:w="552"/>
        <w:gridCol w:w="557"/>
        <w:gridCol w:w="557"/>
        <w:gridCol w:w="557"/>
        <w:gridCol w:w="557"/>
        <w:gridCol w:w="552"/>
        <w:gridCol w:w="556"/>
        <w:gridCol w:w="557"/>
        <w:gridCol w:w="557"/>
        <w:gridCol w:w="470"/>
        <w:gridCol w:w="1200"/>
      </w:tblGrid>
      <w:tr w14:paraId="5E25F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Merge w:val="restart"/>
            <w:tcBorders>
              <w:bottom w:val="nil"/>
            </w:tcBorders>
            <w:textDirection w:val="tbRlV"/>
            <w:vAlign w:val="top"/>
          </w:tcPr>
          <w:p w14:paraId="7413E474">
            <w:pPr>
              <w:pStyle w:val="11"/>
              <w:spacing w:before="210" w:line="211" w:lineRule="auto"/>
              <w:ind w:left="663"/>
              <w:rPr>
                <w:color w:val="auto"/>
                <w:highlight w:val="none"/>
              </w:rPr>
            </w:pPr>
            <w:bookmarkStart w:id="198" w:name="bookmark226"/>
            <w:bookmarkEnd w:id="198"/>
            <w:r>
              <w:rPr>
                <w:color w:val="auto"/>
                <w:spacing w:val="1"/>
                <w:highlight w:val="none"/>
                <w14:textOutline w14:w="3831" w14:cap="flat" w14:cmpd="sng">
                  <w14:solidFill>
                    <w14:srgbClr w14:val="000000"/>
                  </w14:solidFill>
                  <w14:prstDash w14:val="solid"/>
                  <w14:miter w14:val="0"/>
                </w14:textOutline>
              </w:rPr>
              <w:t>序</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号</w:t>
            </w:r>
          </w:p>
        </w:tc>
        <w:tc>
          <w:tcPr>
            <w:tcW w:w="2203" w:type="dxa"/>
            <w:vMerge w:val="restart"/>
            <w:tcBorders>
              <w:bottom w:val="nil"/>
            </w:tcBorders>
            <w:vAlign w:val="top"/>
          </w:tcPr>
          <w:p w14:paraId="5A5126A9">
            <w:pPr>
              <w:spacing w:line="241" w:lineRule="auto"/>
              <w:rPr>
                <w:rFonts w:ascii="Arial"/>
                <w:color w:val="auto"/>
                <w:sz w:val="21"/>
                <w:highlight w:val="none"/>
              </w:rPr>
            </w:pPr>
          </w:p>
          <w:p w14:paraId="6C075211">
            <w:pPr>
              <w:spacing w:line="242" w:lineRule="auto"/>
              <w:rPr>
                <w:rFonts w:ascii="Arial"/>
                <w:color w:val="auto"/>
                <w:sz w:val="21"/>
                <w:highlight w:val="none"/>
              </w:rPr>
            </w:pPr>
          </w:p>
          <w:p w14:paraId="02AC9A94">
            <w:pPr>
              <w:spacing w:line="242" w:lineRule="auto"/>
              <w:rPr>
                <w:rFonts w:ascii="Arial"/>
                <w:color w:val="auto"/>
                <w:sz w:val="21"/>
                <w:highlight w:val="none"/>
              </w:rPr>
            </w:pPr>
          </w:p>
          <w:p w14:paraId="35F2634C">
            <w:pPr>
              <w:pStyle w:val="11"/>
              <w:spacing w:before="69" w:line="221" w:lineRule="auto"/>
              <w:ind w:left="582"/>
              <w:rPr>
                <w:color w:val="auto"/>
                <w:highlight w:val="none"/>
              </w:rPr>
            </w:pPr>
            <w:r>
              <w:rPr>
                <w:color w:val="auto"/>
                <w:spacing w:val="-1"/>
                <w:highlight w:val="none"/>
                <w14:textOutline w14:w="3831" w14:cap="flat" w14:cmpd="sng">
                  <w14:solidFill>
                    <w14:srgbClr w14:val="000000"/>
                  </w14:solidFill>
                  <w14:prstDash w14:val="solid"/>
                  <w14:miter w14:val="0"/>
                </w14:textOutline>
              </w:rPr>
              <w:t>投标人名称</w:t>
            </w:r>
          </w:p>
        </w:tc>
        <w:tc>
          <w:tcPr>
            <w:tcW w:w="9921" w:type="dxa"/>
            <w:gridSpan w:val="18"/>
            <w:vAlign w:val="top"/>
          </w:tcPr>
          <w:p w14:paraId="6A3CECB7">
            <w:pPr>
              <w:pStyle w:val="11"/>
              <w:spacing w:before="33" w:line="221" w:lineRule="auto"/>
              <w:ind w:left="4017"/>
              <w:rPr>
                <w:color w:val="auto"/>
                <w:highlight w:val="none"/>
              </w:rPr>
            </w:pPr>
            <w:r>
              <w:rPr>
                <w:color w:val="auto"/>
                <w:highlight w:val="none"/>
                <w14:textOutline w14:w="3831" w14:cap="flat" w14:cmpd="sng">
                  <w14:solidFill>
                    <w14:srgbClr w14:val="000000"/>
                  </w14:solidFill>
                  <w14:prstDash w14:val="solid"/>
                  <w14:miter w14:val="0"/>
                </w14:textOutline>
              </w:rPr>
              <w:t>评审因素及评审得分</w:t>
            </w:r>
          </w:p>
        </w:tc>
        <w:tc>
          <w:tcPr>
            <w:tcW w:w="1200" w:type="dxa"/>
            <w:vMerge w:val="restart"/>
            <w:tcBorders>
              <w:bottom w:val="nil"/>
            </w:tcBorders>
            <w:vAlign w:val="top"/>
          </w:tcPr>
          <w:p w14:paraId="5A365595">
            <w:pPr>
              <w:spacing w:line="241" w:lineRule="auto"/>
              <w:rPr>
                <w:rFonts w:ascii="Arial"/>
                <w:color w:val="auto"/>
                <w:sz w:val="21"/>
                <w:highlight w:val="none"/>
              </w:rPr>
            </w:pPr>
          </w:p>
          <w:p w14:paraId="7EE85E7F">
            <w:pPr>
              <w:spacing w:line="241" w:lineRule="auto"/>
              <w:rPr>
                <w:rFonts w:ascii="Arial"/>
                <w:color w:val="auto"/>
                <w:sz w:val="21"/>
                <w:highlight w:val="none"/>
              </w:rPr>
            </w:pPr>
          </w:p>
          <w:p w14:paraId="768702D9">
            <w:pPr>
              <w:spacing w:line="242" w:lineRule="auto"/>
              <w:rPr>
                <w:rFonts w:ascii="Arial"/>
                <w:color w:val="auto"/>
                <w:sz w:val="21"/>
                <w:highlight w:val="none"/>
              </w:rPr>
            </w:pPr>
          </w:p>
          <w:p w14:paraId="05910FF6">
            <w:pPr>
              <w:pStyle w:val="11"/>
              <w:spacing w:before="69" w:line="221" w:lineRule="auto"/>
              <w:ind w:left="397"/>
              <w:rPr>
                <w:color w:val="auto"/>
                <w:highlight w:val="none"/>
              </w:rPr>
            </w:pPr>
            <w:r>
              <w:rPr>
                <w:color w:val="auto"/>
                <w:spacing w:val="-2"/>
                <w:highlight w:val="none"/>
                <w14:textOutline w14:w="3831" w14:cap="flat" w14:cmpd="sng">
                  <w14:solidFill>
                    <w14:srgbClr w14:val="000000"/>
                  </w14:solidFill>
                  <w14:prstDash w14:val="solid"/>
                  <w14:miter w14:val="0"/>
                </w14:textOutline>
              </w:rPr>
              <w:t>得分</w:t>
            </w:r>
          </w:p>
        </w:tc>
      </w:tr>
      <w:tr w14:paraId="05D3A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38" w:type="dxa"/>
            <w:vMerge w:val="continue"/>
            <w:tcBorders>
              <w:top w:val="nil"/>
              <w:bottom w:val="nil"/>
            </w:tcBorders>
            <w:textDirection w:val="tbRlV"/>
            <w:vAlign w:val="top"/>
          </w:tcPr>
          <w:p w14:paraId="13F4B1D4">
            <w:pPr>
              <w:rPr>
                <w:rFonts w:ascii="Arial"/>
                <w:color w:val="auto"/>
                <w:sz w:val="21"/>
                <w:highlight w:val="none"/>
              </w:rPr>
            </w:pPr>
          </w:p>
        </w:tc>
        <w:tc>
          <w:tcPr>
            <w:tcW w:w="2203" w:type="dxa"/>
            <w:vMerge w:val="continue"/>
            <w:tcBorders>
              <w:top w:val="nil"/>
              <w:bottom w:val="nil"/>
            </w:tcBorders>
            <w:vAlign w:val="top"/>
          </w:tcPr>
          <w:p w14:paraId="2F4DE05B">
            <w:pPr>
              <w:rPr>
                <w:rFonts w:ascii="Arial"/>
                <w:color w:val="auto"/>
                <w:sz w:val="21"/>
                <w:highlight w:val="none"/>
              </w:rPr>
            </w:pPr>
          </w:p>
        </w:tc>
        <w:tc>
          <w:tcPr>
            <w:tcW w:w="1113" w:type="dxa"/>
            <w:gridSpan w:val="2"/>
            <w:vAlign w:val="top"/>
          </w:tcPr>
          <w:p w14:paraId="5145ABA2">
            <w:pPr>
              <w:rPr>
                <w:rFonts w:ascii="Arial"/>
                <w:color w:val="auto"/>
                <w:sz w:val="21"/>
                <w:highlight w:val="none"/>
              </w:rPr>
            </w:pPr>
          </w:p>
        </w:tc>
        <w:tc>
          <w:tcPr>
            <w:tcW w:w="1109" w:type="dxa"/>
            <w:gridSpan w:val="2"/>
            <w:vAlign w:val="top"/>
          </w:tcPr>
          <w:p w14:paraId="57D896E6">
            <w:pPr>
              <w:rPr>
                <w:rFonts w:ascii="Arial"/>
                <w:color w:val="auto"/>
                <w:sz w:val="21"/>
                <w:highlight w:val="none"/>
              </w:rPr>
            </w:pPr>
          </w:p>
        </w:tc>
        <w:tc>
          <w:tcPr>
            <w:tcW w:w="1113" w:type="dxa"/>
            <w:gridSpan w:val="2"/>
            <w:vAlign w:val="top"/>
          </w:tcPr>
          <w:p w14:paraId="05033DA8">
            <w:pPr>
              <w:rPr>
                <w:rFonts w:ascii="Arial"/>
                <w:color w:val="auto"/>
                <w:sz w:val="21"/>
                <w:highlight w:val="none"/>
              </w:rPr>
            </w:pPr>
          </w:p>
        </w:tc>
        <w:tc>
          <w:tcPr>
            <w:tcW w:w="1114" w:type="dxa"/>
            <w:gridSpan w:val="2"/>
            <w:vAlign w:val="top"/>
          </w:tcPr>
          <w:p w14:paraId="028F69F3">
            <w:pPr>
              <w:rPr>
                <w:rFonts w:ascii="Arial"/>
                <w:color w:val="auto"/>
                <w:sz w:val="21"/>
                <w:highlight w:val="none"/>
              </w:rPr>
            </w:pPr>
          </w:p>
        </w:tc>
        <w:tc>
          <w:tcPr>
            <w:tcW w:w="1109" w:type="dxa"/>
            <w:gridSpan w:val="2"/>
            <w:vAlign w:val="top"/>
          </w:tcPr>
          <w:p w14:paraId="383FF6F1">
            <w:pPr>
              <w:rPr>
                <w:rFonts w:ascii="Arial"/>
                <w:color w:val="auto"/>
                <w:sz w:val="21"/>
                <w:highlight w:val="none"/>
              </w:rPr>
            </w:pPr>
          </w:p>
        </w:tc>
        <w:tc>
          <w:tcPr>
            <w:tcW w:w="1114" w:type="dxa"/>
            <w:gridSpan w:val="2"/>
            <w:vAlign w:val="top"/>
          </w:tcPr>
          <w:p w14:paraId="1093587B">
            <w:pPr>
              <w:rPr>
                <w:rFonts w:ascii="Arial"/>
                <w:color w:val="auto"/>
                <w:sz w:val="21"/>
                <w:highlight w:val="none"/>
              </w:rPr>
            </w:pPr>
          </w:p>
        </w:tc>
        <w:tc>
          <w:tcPr>
            <w:tcW w:w="1109" w:type="dxa"/>
            <w:gridSpan w:val="2"/>
            <w:vAlign w:val="top"/>
          </w:tcPr>
          <w:p w14:paraId="7E90F5DF">
            <w:pPr>
              <w:rPr>
                <w:rFonts w:ascii="Arial"/>
                <w:color w:val="auto"/>
                <w:sz w:val="21"/>
                <w:highlight w:val="none"/>
              </w:rPr>
            </w:pPr>
          </w:p>
        </w:tc>
        <w:tc>
          <w:tcPr>
            <w:tcW w:w="1113" w:type="dxa"/>
            <w:gridSpan w:val="2"/>
            <w:vAlign w:val="top"/>
          </w:tcPr>
          <w:p w14:paraId="5B902A7E">
            <w:pPr>
              <w:rPr>
                <w:rFonts w:ascii="Arial"/>
                <w:color w:val="auto"/>
                <w:sz w:val="21"/>
                <w:highlight w:val="none"/>
              </w:rPr>
            </w:pPr>
          </w:p>
        </w:tc>
        <w:tc>
          <w:tcPr>
            <w:tcW w:w="1027" w:type="dxa"/>
            <w:gridSpan w:val="2"/>
            <w:vAlign w:val="top"/>
          </w:tcPr>
          <w:p w14:paraId="68DA6AF3">
            <w:pPr>
              <w:rPr>
                <w:rFonts w:ascii="Arial"/>
                <w:color w:val="auto"/>
                <w:sz w:val="21"/>
                <w:highlight w:val="none"/>
              </w:rPr>
            </w:pPr>
          </w:p>
        </w:tc>
        <w:tc>
          <w:tcPr>
            <w:tcW w:w="1200" w:type="dxa"/>
            <w:vMerge w:val="continue"/>
            <w:tcBorders>
              <w:top w:val="nil"/>
              <w:bottom w:val="nil"/>
            </w:tcBorders>
            <w:vAlign w:val="top"/>
          </w:tcPr>
          <w:p w14:paraId="253E66CF">
            <w:pPr>
              <w:rPr>
                <w:rFonts w:ascii="Arial"/>
                <w:color w:val="auto"/>
                <w:sz w:val="21"/>
                <w:highlight w:val="none"/>
              </w:rPr>
            </w:pPr>
          </w:p>
        </w:tc>
      </w:tr>
      <w:tr w14:paraId="4B2DA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638" w:type="dxa"/>
            <w:vMerge w:val="continue"/>
            <w:tcBorders>
              <w:top w:val="nil"/>
            </w:tcBorders>
            <w:textDirection w:val="tbRlV"/>
            <w:vAlign w:val="top"/>
          </w:tcPr>
          <w:p w14:paraId="4598E1CE">
            <w:pPr>
              <w:rPr>
                <w:rFonts w:ascii="Arial"/>
                <w:color w:val="auto"/>
                <w:sz w:val="21"/>
                <w:highlight w:val="none"/>
              </w:rPr>
            </w:pPr>
          </w:p>
        </w:tc>
        <w:tc>
          <w:tcPr>
            <w:tcW w:w="2203" w:type="dxa"/>
            <w:vMerge w:val="continue"/>
            <w:tcBorders>
              <w:top w:val="nil"/>
            </w:tcBorders>
            <w:vAlign w:val="top"/>
          </w:tcPr>
          <w:p w14:paraId="697C7DD1">
            <w:pPr>
              <w:rPr>
                <w:rFonts w:ascii="Arial"/>
                <w:color w:val="auto"/>
                <w:sz w:val="21"/>
                <w:highlight w:val="none"/>
              </w:rPr>
            </w:pPr>
          </w:p>
        </w:tc>
        <w:tc>
          <w:tcPr>
            <w:tcW w:w="557" w:type="dxa"/>
            <w:textDirection w:val="tbRlV"/>
            <w:vAlign w:val="top"/>
          </w:tcPr>
          <w:p w14:paraId="24959827">
            <w:pPr>
              <w:pStyle w:val="11"/>
              <w:spacing w:before="171" w:line="208" w:lineRule="auto"/>
              <w:ind w:left="30"/>
              <w:rPr>
                <w:color w:val="auto"/>
                <w:highlight w:val="none"/>
              </w:rPr>
            </w:pPr>
            <w:r>
              <w:rPr>
                <w:color w:val="auto"/>
                <w:spacing w:val="1"/>
                <w:highlight w:val="none"/>
                <w14:textOutline w14:w="3831" w14:cap="flat" w14:cmpd="sng">
                  <w14:solidFill>
                    <w14:srgbClr w14:val="000000"/>
                  </w14:solidFill>
                  <w14:prstDash w14:val="solid"/>
                  <w14:miter w14:val="0"/>
                </w14:textOutline>
              </w:rPr>
              <w:t>暗</w:t>
            </w:r>
            <w:r>
              <w:rPr>
                <w:color w:val="auto"/>
                <w:spacing w:val="-48"/>
                <w:highlight w:val="none"/>
              </w:rPr>
              <w:t xml:space="preserve"> </w:t>
            </w:r>
            <w:r>
              <w:rPr>
                <w:color w:val="auto"/>
                <w:spacing w:val="1"/>
                <w:highlight w:val="none"/>
                <w14:textOutline w14:w="3831" w14:cap="flat" w14:cmpd="sng">
                  <w14:solidFill>
                    <w14:srgbClr w14:val="000000"/>
                  </w14:solidFill>
                  <w14:prstDash w14:val="solid"/>
                  <w14:miter w14:val="0"/>
                </w14:textOutline>
              </w:rPr>
              <w:t>标</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编</w:t>
            </w:r>
            <w:r>
              <w:rPr>
                <w:color w:val="auto"/>
                <w:spacing w:val="-42"/>
                <w:highlight w:val="none"/>
              </w:rPr>
              <w:t xml:space="preserve"> </w:t>
            </w:r>
            <w:r>
              <w:rPr>
                <w:color w:val="auto"/>
                <w:spacing w:val="1"/>
                <w:highlight w:val="none"/>
                <w14:textOutline w14:w="3831" w14:cap="flat" w14:cmpd="sng">
                  <w14:solidFill>
                    <w14:srgbClr w14:val="000000"/>
                  </w14:solidFill>
                  <w14:prstDash w14:val="solid"/>
                  <w14:miter w14:val="0"/>
                </w14:textOutline>
              </w:rPr>
              <w:t>号</w:t>
            </w:r>
          </w:p>
        </w:tc>
        <w:tc>
          <w:tcPr>
            <w:tcW w:w="556" w:type="dxa"/>
            <w:textDirection w:val="tbRlV"/>
            <w:vAlign w:val="top"/>
          </w:tcPr>
          <w:p w14:paraId="08179AB5">
            <w:pPr>
              <w:pStyle w:val="11"/>
              <w:spacing w:before="175" w:line="208" w:lineRule="auto"/>
              <w:ind w:left="298"/>
              <w:rPr>
                <w:color w:val="auto"/>
                <w:highlight w:val="none"/>
              </w:rPr>
            </w:pPr>
            <w:r>
              <w:rPr>
                <w:color w:val="auto"/>
                <w:spacing w:val="1"/>
                <w:highlight w:val="none"/>
                <w14:textOutline w14:w="3831" w14:cap="flat" w14:cmpd="sng">
                  <w14:solidFill>
                    <w14:srgbClr w14:val="000000"/>
                  </w14:solidFill>
                  <w14:prstDash w14:val="solid"/>
                  <w14:miter w14:val="0"/>
                </w14:textOutline>
              </w:rPr>
              <w:t>得</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分</w:t>
            </w:r>
          </w:p>
        </w:tc>
        <w:tc>
          <w:tcPr>
            <w:tcW w:w="552" w:type="dxa"/>
            <w:textDirection w:val="tbRlV"/>
            <w:vAlign w:val="top"/>
          </w:tcPr>
          <w:p w14:paraId="15069A52">
            <w:pPr>
              <w:pStyle w:val="11"/>
              <w:spacing w:before="170" w:line="208" w:lineRule="auto"/>
              <w:ind w:left="30"/>
              <w:rPr>
                <w:color w:val="auto"/>
                <w:highlight w:val="none"/>
              </w:rPr>
            </w:pPr>
            <w:r>
              <w:rPr>
                <w:color w:val="auto"/>
                <w:spacing w:val="1"/>
                <w:highlight w:val="none"/>
                <w14:textOutline w14:w="3831" w14:cap="flat" w14:cmpd="sng">
                  <w14:solidFill>
                    <w14:srgbClr w14:val="000000"/>
                  </w14:solidFill>
                  <w14:prstDash w14:val="solid"/>
                  <w14:miter w14:val="0"/>
                </w14:textOutline>
              </w:rPr>
              <w:t>暗</w:t>
            </w:r>
            <w:r>
              <w:rPr>
                <w:color w:val="auto"/>
                <w:spacing w:val="-48"/>
                <w:highlight w:val="none"/>
              </w:rPr>
              <w:t xml:space="preserve"> </w:t>
            </w:r>
            <w:r>
              <w:rPr>
                <w:color w:val="auto"/>
                <w:spacing w:val="1"/>
                <w:highlight w:val="none"/>
                <w14:textOutline w14:w="3831" w14:cap="flat" w14:cmpd="sng">
                  <w14:solidFill>
                    <w14:srgbClr w14:val="000000"/>
                  </w14:solidFill>
                  <w14:prstDash w14:val="solid"/>
                  <w14:miter w14:val="0"/>
                </w14:textOutline>
              </w:rPr>
              <w:t>标</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编</w:t>
            </w:r>
            <w:r>
              <w:rPr>
                <w:color w:val="auto"/>
                <w:spacing w:val="-42"/>
                <w:highlight w:val="none"/>
              </w:rPr>
              <w:t xml:space="preserve"> </w:t>
            </w:r>
            <w:r>
              <w:rPr>
                <w:color w:val="auto"/>
                <w:spacing w:val="1"/>
                <w:highlight w:val="none"/>
                <w14:textOutline w14:w="3831" w14:cap="flat" w14:cmpd="sng">
                  <w14:solidFill>
                    <w14:srgbClr w14:val="000000"/>
                  </w14:solidFill>
                  <w14:prstDash w14:val="solid"/>
                  <w14:miter w14:val="0"/>
                </w14:textOutline>
              </w:rPr>
              <w:t>号</w:t>
            </w:r>
          </w:p>
        </w:tc>
        <w:tc>
          <w:tcPr>
            <w:tcW w:w="557" w:type="dxa"/>
            <w:textDirection w:val="tbRlV"/>
            <w:vAlign w:val="top"/>
          </w:tcPr>
          <w:p w14:paraId="766AD632">
            <w:pPr>
              <w:pStyle w:val="11"/>
              <w:spacing w:before="170" w:line="208" w:lineRule="auto"/>
              <w:ind w:left="298"/>
              <w:rPr>
                <w:color w:val="auto"/>
                <w:highlight w:val="none"/>
              </w:rPr>
            </w:pPr>
            <w:r>
              <w:rPr>
                <w:color w:val="auto"/>
                <w:spacing w:val="1"/>
                <w:highlight w:val="none"/>
                <w14:textOutline w14:w="3831" w14:cap="flat" w14:cmpd="sng">
                  <w14:solidFill>
                    <w14:srgbClr w14:val="000000"/>
                  </w14:solidFill>
                  <w14:prstDash w14:val="solid"/>
                  <w14:miter w14:val="0"/>
                </w14:textOutline>
              </w:rPr>
              <w:t>得</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分</w:t>
            </w:r>
          </w:p>
        </w:tc>
        <w:tc>
          <w:tcPr>
            <w:tcW w:w="557" w:type="dxa"/>
            <w:textDirection w:val="tbRlV"/>
            <w:vAlign w:val="top"/>
          </w:tcPr>
          <w:p w14:paraId="2D3D6ACC">
            <w:pPr>
              <w:pStyle w:val="11"/>
              <w:spacing w:before="170" w:line="208" w:lineRule="auto"/>
              <w:ind w:left="30"/>
              <w:rPr>
                <w:color w:val="auto"/>
                <w:highlight w:val="none"/>
              </w:rPr>
            </w:pPr>
            <w:r>
              <w:rPr>
                <w:color w:val="auto"/>
                <w:spacing w:val="1"/>
                <w:highlight w:val="none"/>
                <w14:textOutline w14:w="3831" w14:cap="flat" w14:cmpd="sng">
                  <w14:solidFill>
                    <w14:srgbClr w14:val="000000"/>
                  </w14:solidFill>
                  <w14:prstDash w14:val="solid"/>
                  <w14:miter w14:val="0"/>
                </w14:textOutline>
              </w:rPr>
              <w:t>暗</w:t>
            </w:r>
            <w:r>
              <w:rPr>
                <w:color w:val="auto"/>
                <w:spacing w:val="-48"/>
                <w:highlight w:val="none"/>
              </w:rPr>
              <w:t xml:space="preserve"> </w:t>
            </w:r>
            <w:r>
              <w:rPr>
                <w:color w:val="auto"/>
                <w:spacing w:val="1"/>
                <w:highlight w:val="none"/>
                <w14:textOutline w14:w="3831" w14:cap="flat" w14:cmpd="sng">
                  <w14:solidFill>
                    <w14:srgbClr w14:val="000000"/>
                  </w14:solidFill>
                  <w14:prstDash w14:val="solid"/>
                  <w14:miter w14:val="0"/>
                </w14:textOutline>
              </w:rPr>
              <w:t>标</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编</w:t>
            </w:r>
            <w:r>
              <w:rPr>
                <w:color w:val="auto"/>
                <w:spacing w:val="-42"/>
                <w:highlight w:val="none"/>
              </w:rPr>
              <w:t xml:space="preserve"> </w:t>
            </w:r>
            <w:r>
              <w:rPr>
                <w:color w:val="auto"/>
                <w:spacing w:val="1"/>
                <w:highlight w:val="none"/>
                <w14:textOutline w14:w="3831" w14:cap="flat" w14:cmpd="sng">
                  <w14:solidFill>
                    <w14:srgbClr w14:val="000000"/>
                  </w14:solidFill>
                  <w14:prstDash w14:val="solid"/>
                  <w14:miter w14:val="0"/>
                </w14:textOutline>
              </w:rPr>
              <w:t>号</w:t>
            </w:r>
          </w:p>
        </w:tc>
        <w:tc>
          <w:tcPr>
            <w:tcW w:w="556" w:type="dxa"/>
            <w:textDirection w:val="tbRlV"/>
            <w:vAlign w:val="top"/>
          </w:tcPr>
          <w:p w14:paraId="2FE06E98">
            <w:pPr>
              <w:pStyle w:val="11"/>
              <w:spacing w:before="169" w:line="208" w:lineRule="auto"/>
              <w:ind w:left="298"/>
              <w:rPr>
                <w:color w:val="auto"/>
                <w:highlight w:val="none"/>
              </w:rPr>
            </w:pPr>
            <w:r>
              <w:rPr>
                <w:color w:val="auto"/>
                <w:spacing w:val="1"/>
                <w:highlight w:val="none"/>
                <w14:textOutline w14:w="3831" w14:cap="flat" w14:cmpd="sng">
                  <w14:solidFill>
                    <w14:srgbClr w14:val="000000"/>
                  </w14:solidFill>
                  <w14:prstDash w14:val="solid"/>
                  <w14:miter w14:val="0"/>
                </w14:textOutline>
              </w:rPr>
              <w:t>得</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分</w:t>
            </w:r>
          </w:p>
        </w:tc>
        <w:tc>
          <w:tcPr>
            <w:tcW w:w="557" w:type="dxa"/>
            <w:textDirection w:val="tbRlV"/>
            <w:vAlign w:val="top"/>
          </w:tcPr>
          <w:p w14:paraId="65D51310">
            <w:pPr>
              <w:pStyle w:val="11"/>
              <w:spacing w:before="169" w:line="208" w:lineRule="auto"/>
              <w:ind w:left="30"/>
              <w:rPr>
                <w:color w:val="auto"/>
                <w:highlight w:val="none"/>
              </w:rPr>
            </w:pPr>
            <w:r>
              <w:rPr>
                <w:color w:val="auto"/>
                <w:spacing w:val="1"/>
                <w:highlight w:val="none"/>
                <w14:textOutline w14:w="3831" w14:cap="flat" w14:cmpd="sng">
                  <w14:solidFill>
                    <w14:srgbClr w14:val="000000"/>
                  </w14:solidFill>
                  <w14:prstDash w14:val="solid"/>
                  <w14:miter w14:val="0"/>
                </w14:textOutline>
              </w:rPr>
              <w:t>暗</w:t>
            </w:r>
            <w:r>
              <w:rPr>
                <w:color w:val="auto"/>
                <w:spacing w:val="-48"/>
                <w:highlight w:val="none"/>
              </w:rPr>
              <w:t xml:space="preserve"> </w:t>
            </w:r>
            <w:r>
              <w:rPr>
                <w:color w:val="auto"/>
                <w:spacing w:val="1"/>
                <w:highlight w:val="none"/>
                <w14:textOutline w14:w="3831" w14:cap="flat" w14:cmpd="sng">
                  <w14:solidFill>
                    <w14:srgbClr w14:val="000000"/>
                  </w14:solidFill>
                  <w14:prstDash w14:val="solid"/>
                  <w14:miter w14:val="0"/>
                </w14:textOutline>
              </w:rPr>
              <w:t>标</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编</w:t>
            </w:r>
            <w:r>
              <w:rPr>
                <w:color w:val="auto"/>
                <w:spacing w:val="-42"/>
                <w:highlight w:val="none"/>
              </w:rPr>
              <w:t xml:space="preserve"> </w:t>
            </w:r>
            <w:r>
              <w:rPr>
                <w:color w:val="auto"/>
                <w:spacing w:val="1"/>
                <w:highlight w:val="none"/>
                <w14:textOutline w14:w="3831" w14:cap="flat" w14:cmpd="sng">
                  <w14:solidFill>
                    <w14:srgbClr w14:val="000000"/>
                  </w14:solidFill>
                  <w14:prstDash w14:val="solid"/>
                  <w14:miter w14:val="0"/>
                </w14:textOutline>
              </w:rPr>
              <w:t>号</w:t>
            </w:r>
          </w:p>
        </w:tc>
        <w:tc>
          <w:tcPr>
            <w:tcW w:w="557" w:type="dxa"/>
            <w:textDirection w:val="tbRlV"/>
            <w:vAlign w:val="top"/>
          </w:tcPr>
          <w:p w14:paraId="55AD5FA8">
            <w:pPr>
              <w:pStyle w:val="11"/>
              <w:spacing w:before="174" w:line="208" w:lineRule="auto"/>
              <w:ind w:left="298"/>
              <w:rPr>
                <w:color w:val="auto"/>
                <w:highlight w:val="none"/>
              </w:rPr>
            </w:pPr>
            <w:r>
              <w:rPr>
                <w:color w:val="auto"/>
                <w:spacing w:val="1"/>
                <w:highlight w:val="none"/>
                <w14:textOutline w14:w="3831" w14:cap="flat" w14:cmpd="sng">
                  <w14:solidFill>
                    <w14:srgbClr w14:val="000000"/>
                  </w14:solidFill>
                  <w14:prstDash w14:val="solid"/>
                  <w14:miter w14:val="0"/>
                </w14:textOutline>
              </w:rPr>
              <w:t>得</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分</w:t>
            </w:r>
          </w:p>
        </w:tc>
        <w:tc>
          <w:tcPr>
            <w:tcW w:w="552" w:type="dxa"/>
            <w:textDirection w:val="tbRlV"/>
            <w:vAlign w:val="top"/>
          </w:tcPr>
          <w:p w14:paraId="342A64EB">
            <w:pPr>
              <w:pStyle w:val="11"/>
              <w:spacing w:before="169" w:line="208" w:lineRule="auto"/>
              <w:ind w:left="30"/>
              <w:rPr>
                <w:color w:val="auto"/>
                <w:highlight w:val="none"/>
              </w:rPr>
            </w:pPr>
            <w:r>
              <w:rPr>
                <w:color w:val="auto"/>
                <w:spacing w:val="1"/>
                <w:highlight w:val="none"/>
                <w14:textOutline w14:w="3831" w14:cap="flat" w14:cmpd="sng">
                  <w14:solidFill>
                    <w14:srgbClr w14:val="000000"/>
                  </w14:solidFill>
                  <w14:prstDash w14:val="solid"/>
                  <w14:miter w14:val="0"/>
                </w14:textOutline>
              </w:rPr>
              <w:t>暗</w:t>
            </w:r>
            <w:r>
              <w:rPr>
                <w:color w:val="auto"/>
                <w:spacing w:val="-48"/>
                <w:highlight w:val="none"/>
              </w:rPr>
              <w:t xml:space="preserve"> </w:t>
            </w:r>
            <w:r>
              <w:rPr>
                <w:color w:val="auto"/>
                <w:spacing w:val="1"/>
                <w:highlight w:val="none"/>
                <w14:textOutline w14:w="3831" w14:cap="flat" w14:cmpd="sng">
                  <w14:solidFill>
                    <w14:srgbClr w14:val="000000"/>
                  </w14:solidFill>
                  <w14:prstDash w14:val="solid"/>
                  <w14:miter w14:val="0"/>
                </w14:textOutline>
              </w:rPr>
              <w:t>标</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编</w:t>
            </w:r>
            <w:r>
              <w:rPr>
                <w:color w:val="auto"/>
                <w:spacing w:val="-42"/>
                <w:highlight w:val="none"/>
              </w:rPr>
              <w:t xml:space="preserve"> </w:t>
            </w:r>
            <w:r>
              <w:rPr>
                <w:color w:val="auto"/>
                <w:spacing w:val="1"/>
                <w:highlight w:val="none"/>
                <w14:textOutline w14:w="3831" w14:cap="flat" w14:cmpd="sng">
                  <w14:solidFill>
                    <w14:srgbClr w14:val="000000"/>
                  </w14:solidFill>
                  <w14:prstDash w14:val="solid"/>
                  <w14:miter w14:val="0"/>
                </w14:textOutline>
              </w:rPr>
              <w:t>号</w:t>
            </w:r>
          </w:p>
        </w:tc>
        <w:tc>
          <w:tcPr>
            <w:tcW w:w="557" w:type="dxa"/>
            <w:textDirection w:val="tbRlV"/>
            <w:vAlign w:val="top"/>
          </w:tcPr>
          <w:p w14:paraId="4EAB6725">
            <w:pPr>
              <w:pStyle w:val="11"/>
              <w:spacing w:before="169" w:line="208" w:lineRule="auto"/>
              <w:ind w:left="298"/>
              <w:rPr>
                <w:color w:val="auto"/>
                <w:highlight w:val="none"/>
              </w:rPr>
            </w:pPr>
            <w:r>
              <w:rPr>
                <w:color w:val="auto"/>
                <w:spacing w:val="1"/>
                <w:highlight w:val="none"/>
                <w14:textOutline w14:w="3831" w14:cap="flat" w14:cmpd="sng">
                  <w14:solidFill>
                    <w14:srgbClr w14:val="000000"/>
                  </w14:solidFill>
                  <w14:prstDash w14:val="solid"/>
                  <w14:miter w14:val="0"/>
                </w14:textOutline>
              </w:rPr>
              <w:t>得</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分</w:t>
            </w:r>
          </w:p>
        </w:tc>
        <w:tc>
          <w:tcPr>
            <w:tcW w:w="557" w:type="dxa"/>
            <w:textDirection w:val="tbRlV"/>
            <w:vAlign w:val="top"/>
          </w:tcPr>
          <w:p w14:paraId="5FA1BB78">
            <w:pPr>
              <w:pStyle w:val="11"/>
              <w:spacing w:before="169" w:line="208" w:lineRule="auto"/>
              <w:ind w:left="30"/>
              <w:rPr>
                <w:color w:val="auto"/>
                <w:highlight w:val="none"/>
              </w:rPr>
            </w:pPr>
            <w:r>
              <w:rPr>
                <w:color w:val="auto"/>
                <w:spacing w:val="1"/>
                <w:highlight w:val="none"/>
                <w14:textOutline w14:w="3831" w14:cap="flat" w14:cmpd="sng">
                  <w14:solidFill>
                    <w14:srgbClr w14:val="000000"/>
                  </w14:solidFill>
                  <w14:prstDash w14:val="solid"/>
                  <w14:miter w14:val="0"/>
                </w14:textOutline>
              </w:rPr>
              <w:t>暗</w:t>
            </w:r>
            <w:r>
              <w:rPr>
                <w:color w:val="auto"/>
                <w:spacing w:val="-48"/>
                <w:highlight w:val="none"/>
              </w:rPr>
              <w:t xml:space="preserve"> </w:t>
            </w:r>
            <w:r>
              <w:rPr>
                <w:color w:val="auto"/>
                <w:spacing w:val="1"/>
                <w:highlight w:val="none"/>
                <w14:textOutline w14:w="3831" w14:cap="flat" w14:cmpd="sng">
                  <w14:solidFill>
                    <w14:srgbClr w14:val="000000"/>
                  </w14:solidFill>
                  <w14:prstDash w14:val="solid"/>
                  <w14:miter w14:val="0"/>
                </w14:textOutline>
              </w:rPr>
              <w:t>标</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编</w:t>
            </w:r>
            <w:r>
              <w:rPr>
                <w:color w:val="auto"/>
                <w:spacing w:val="-42"/>
                <w:highlight w:val="none"/>
              </w:rPr>
              <w:t xml:space="preserve"> </w:t>
            </w:r>
            <w:r>
              <w:rPr>
                <w:color w:val="auto"/>
                <w:spacing w:val="1"/>
                <w:highlight w:val="none"/>
                <w14:textOutline w14:w="3831" w14:cap="flat" w14:cmpd="sng">
                  <w14:solidFill>
                    <w14:srgbClr w14:val="000000"/>
                  </w14:solidFill>
                  <w14:prstDash w14:val="solid"/>
                  <w14:miter w14:val="0"/>
                </w14:textOutline>
              </w:rPr>
              <w:t>号</w:t>
            </w:r>
          </w:p>
        </w:tc>
        <w:tc>
          <w:tcPr>
            <w:tcW w:w="557" w:type="dxa"/>
            <w:textDirection w:val="tbRlV"/>
            <w:vAlign w:val="top"/>
          </w:tcPr>
          <w:p w14:paraId="1890953F">
            <w:pPr>
              <w:pStyle w:val="11"/>
              <w:spacing w:before="169" w:line="208" w:lineRule="auto"/>
              <w:ind w:left="298"/>
              <w:rPr>
                <w:color w:val="auto"/>
                <w:highlight w:val="none"/>
              </w:rPr>
            </w:pPr>
            <w:r>
              <w:rPr>
                <w:color w:val="auto"/>
                <w:spacing w:val="1"/>
                <w:highlight w:val="none"/>
                <w14:textOutline w14:w="3831" w14:cap="flat" w14:cmpd="sng">
                  <w14:solidFill>
                    <w14:srgbClr w14:val="000000"/>
                  </w14:solidFill>
                  <w14:prstDash w14:val="solid"/>
                  <w14:miter w14:val="0"/>
                </w14:textOutline>
              </w:rPr>
              <w:t>得</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分</w:t>
            </w:r>
          </w:p>
        </w:tc>
        <w:tc>
          <w:tcPr>
            <w:tcW w:w="557" w:type="dxa"/>
            <w:textDirection w:val="tbRlV"/>
            <w:vAlign w:val="top"/>
          </w:tcPr>
          <w:p w14:paraId="152306B9">
            <w:pPr>
              <w:pStyle w:val="11"/>
              <w:spacing w:before="174" w:line="208" w:lineRule="auto"/>
              <w:ind w:left="30"/>
              <w:rPr>
                <w:color w:val="auto"/>
                <w:highlight w:val="none"/>
              </w:rPr>
            </w:pPr>
            <w:r>
              <w:rPr>
                <w:color w:val="auto"/>
                <w:spacing w:val="1"/>
                <w:highlight w:val="none"/>
                <w14:textOutline w14:w="3831" w14:cap="flat" w14:cmpd="sng">
                  <w14:solidFill>
                    <w14:srgbClr w14:val="000000"/>
                  </w14:solidFill>
                  <w14:prstDash w14:val="solid"/>
                  <w14:miter w14:val="0"/>
                </w14:textOutline>
              </w:rPr>
              <w:t>暗</w:t>
            </w:r>
            <w:r>
              <w:rPr>
                <w:color w:val="auto"/>
                <w:spacing w:val="-48"/>
                <w:highlight w:val="none"/>
              </w:rPr>
              <w:t xml:space="preserve"> </w:t>
            </w:r>
            <w:r>
              <w:rPr>
                <w:color w:val="auto"/>
                <w:spacing w:val="1"/>
                <w:highlight w:val="none"/>
                <w14:textOutline w14:w="3831" w14:cap="flat" w14:cmpd="sng">
                  <w14:solidFill>
                    <w14:srgbClr w14:val="000000"/>
                  </w14:solidFill>
                  <w14:prstDash w14:val="solid"/>
                  <w14:miter w14:val="0"/>
                </w14:textOutline>
              </w:rPr>
              <w:t>标</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编</w:t>
            </w:r>
            <w:r>
              <w:rPr>
                <w:color w:val="auto"/>
                <w:spacing w:val="-42"/>
                <w:highlight w:val="none"/>
              </w:rPr>
              <w:t xml:space="preserve"> </w:t>
            </w:r>
            <w:r>
              <w:rPr>
                <w:color w:val="auto"/>
                <w:spacing w:val="1"/>
                <w:highlight w:val="none"/>
                <w14:textOutline w14:w="3831" w14:cap="flat" w14:cmpd="sng">
                  <w14:solidFill>
                    <w14:srgbClr w14:val="000000"/>
                  </w14:solidFill>
                  <w14:prstDash w14:val="solid"/>
                  <w14:miter w14:val="0"/>
                </w14:textOutline>
              </w:rPr>
              <w:t>号</w:t>
            </w:r>
          </w:p>
        </w:tc>
        <w:tc>
          <w:tcPr>
            <w:tcW w:w="552" w:type="dxa"/>
            <w:textDirection w:val="tbRlV"/>
            <w:vAlign w:val="top"/>
          </w:tcPr>
          <w:p w14:paraId="33335988">
            <w:pPr>
              <w:pStyle w:val="11"/>
              <w:spacing w:before="169" w:line="208" w:lineRule="auto"/>
              <w:ind w:left="298"/>
              <w:rPr>
                <w:color w:val="auto"/>
                <w:highlight w:val="none"/>
              </w:rPr>
            </w:pPr>
            <w:r>
              <w:rPr>
                <w:color w:val="auto"/>
                <w:spacing w:val="1"/>
                <w:highlight w:val="none"/>
                <w14:textOutline w14:w="3831" w14:cap="flat" w14:cmpd="sng">
                  <w14:solidFill>
                    <w14:srgbClr w14:val="000000"/>
                  </w14:solidFill>
                  <w14:prstDash w14:val="solid"/>
                  <w14:miter w14:val="0"/>
                </w14:textOutline>
              </w:rPr>
              <w:t>得</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分</w:t>
            </w:r>
          </w:p>
        </w:tc>
        <w:tc>
          <w:tcPr>
            <w:tcW w:w="556" w:type="dxa"/>
            <w:textDirection w:val="tbRlV"/>
            <w:vAlign w:val="top"/>
          </w:tcPr>
          <w:p w14:paraId="2CE67361">
            <w:pPr>
              <w:pStyle w:val="11"/>
              <w:spacing w:before="168" w:line="208" w:lineRule="auto"/>
              <w:ind w:left="30"/>
              <w:rPr>
                <w:color w:val="auto"/>
                <w:highlight w:val="none"/>
              </w:rPr>
            </w:pPr>
            <w:r>
              <w:rPr>
                <w:color w:val="auto"/>
                <w:spacing w:val="1"/>
                <w:highlight w:val="none"/>
                <w14:textOutline w14:w="3831" w14:cap="flat" w14:cmpd="sng">
                  <w14:solidFill>
                    <w14:srgbClr w14:val="000000"/>
                  </w14:solidFill>
                  <w14:prstDash w14:val="solid"/>
                  <w14:miter w14:val="0"/>
                </w14:textOutline>
              </w:rPr>
              <w:t>暗</w:t>
            </w:r>
            <w:r>
              <w:rPr>
                <w:color w:val="auto"/>
                <w:spacing w:val="-48"/>
                <w:highlight w:val="none"/>
              </w:rPr>
              <w:t xml:space="preserve"> </w:t>
            </w:r>
            <w:r>
              <w:rPr>
                <w:color w:val="auto"/>
                <w:spacing w:val="1"/>
                <w:highlight w:val="none"/>
                <w14:textOutline w14:w="3831" w14:cap="flat" w14:cmpd="sng">
                  <w14:solidFill>
                    <w14:srgbClr w14:val="000000"/>
                  </w14:solidFill>
                  <w14:prstDash w14:val="solid"/>
                  <w14:miter w14:val="0"/>
                </w14:textOutline>
              </w:rPr>
              <w:t>标</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编</w:t>
            </w:r>
            <w:r>
              <w:rPr>
                <w:color w:val="auto"/>
                <w:spacing w:val="-42"/>
                <w:highlight w:val="none"/>
              </w:rPr>
              <w:t xml:space="preserve"> </w:t>
            </w:r>
            <w:r>
              <w:rPr>
                <w:color w:val="auto"/>
                <w:spacing w:val="1"/>
                <w:highlight w:val="none"/>
                <w14:textOutline w14:w="3831" w14:cap="flat" w14:cmpd="sng">
                  <w14:solidFill>
                    <w14:srgbClr w14:val="000000"/>
                  </w14:solidFill>
                  <w14:prstDash w14:val="solid"/>
                  <w14:miter w14:val="0"/>
                </w14:textOutline>
              </w:rPr>
              <w:t>号</w:t>
            </w:r>
          </w:p>
        </w:tc>
        <w:tc>
          <w:tcPr>
            <w:tcW w:w="557" w:type="dxa"/>
            <w:textDirection w:val="tbRlV"/>
            <w:vAlign w:val="top"/>
          </w:tcPr>
          <w:p w14:paraId="450DBBDD">
            <w:pPr>
              <w:pStyle w:val="11"/>
              <w:spacing w:before="168" w:line="208" w:lineRule="auto"/>
              <w:ind w:left="298"/>
              <w:rPr>
                <w:color w:val="auto"/>
                <w:highlight w:val="none"/>
              </w:rPr>
            </w:pPr>
            <w:r>
              <w:rPr>
                <w:color w:val="auto"/>
                <w:spacing w:val="1"/>
                <w:highlight w:val="none"/>
                <w14:textOutline w14:w="3831" w14:cap="flat" w14:cmpd="sng">
                  <w14:solidFill>
                    <w14:srgbClr w14:val="000000"/>
                  </w14:solidFill>
                  <w14:prstDash w14:val="solid"/>
                  <w14:miter w14:val="0"/>
                </w14:textOutline>
              </w:rPr>
              <w:t>得</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分</w:t>
            </w:r>
          </w:p>
        </w:tc>
        <w:tc>
          <w:tcPr>
            <w:tcW w:w="557" w:type="dxa"/>
            <w:textDirection w:val="tbRlV"/>
            <w:vAlign w:val="top"/>
          </w:tcPr>
          <w:p w14:paraId="6E33BC05">
            <w:pPr>
              <w:pStyle w:val="11"/>
              <w:spacing w:before="168" w:line="208" w:lineRule="auto"/>
              <w:ind w:left="30"/>
              <w:rPr>
                <w:color w:val="auto"/>
                <w:highlight w:val="none"/>
              </w:rPr>
            </w:pPr>
            <w:r>
              <w:rPr>
                <w:color w:val="auto"/>
                <w:spacing w:val="1"/>
                <w:highlight w:val="none"/>
                <w14:textOutline w14:w="3831" w14:cap="flat" w14:cmpd="sng">
                  <w14:solidFill>
                    <w14:srgbClr w14:val="000000"/>
                  </w14:solidFill>
                  <w14:prstDash w14:val="solid"/>
                  <w14:miter w14:val="0"/>
                </w14:textOutline>
              </w:rPr>
              <w:t>暗</w:t>
            </w:r>
            <w:r>
              <w:rPr>
                <w:color w:val="auto"/>
                <w:spacing w:val="-48"/>
                <w:highlight w:val="none"/>
              </w:rPr>
              <w:t xml:space="preserve"> </w:t>
            </w:r>
            <w:r>
              <w:rPr>
                <w:color w:val="auto"/>
                <w:spacing w:val="1"/>
                <w:highlight w:val="none"/>
                <w14:textOutline w14:w="3831" w14:cap="flat" w14:cmpd="sng">
                  <w14:solidFill>
                    <w14:srgbClr w14:val="000000"/>
                  </w14:solidFill>
                  <w14:prstDash w14:val="solid"/>
                  <w14:miter w14:val="0"/>
                </w14:textOutline>
              </w:rPr>
              <w:t>标</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编</w:t>
            </w:r>
            <w:r>
              <w:rPr>
                <w:color w:val="auto"/>
                <w:spacing w:val="-42"/>
                <w:highlight w:val="none"/>
              </w:rPr>
              <w:t xml:space="preserve"> </w:t>
            </w:r>
            <w:r>
              <w:rPr>
                <w:color w:val="auto"/>
                <w:spacing w:val="1"/>
                <w:highlight w:val="none"/>
                <w14:textOutline w14:w="3831" w14:cap="flat" w14:cmpd="sng">
                  <w14:solidFill>
                    <w14:srgbClr w14:val="000000"/>
                  </w14:solidFill>
                  <w14:prstDash w14:val="solid"/>
                  <w14:miter w14:val="0"/>
                </w14:textOutline>
              </w:rPr>
              <w:t>号</w:t>
            </w:r>
          </w:p>
        </w:tc>
        <w:tc>
          <w:tcPr>
            <w:tcW w:w="470" w:type="dxa"/>
            <w:textDirection w:val="tbRlV"/>
            <w:vAlign w:val="top"/>
          </w:tcPr>
          <w:p w14:paraId="4E896CA1">
            <w:pPr>
              <w:pStyle w:val="11"/>
              <w:spacing w:before="125" w:line="208" w:lineRule="auto"/>
              <w:ind w:left="298"/>
              <w:rPr>
                <w:color w:val="auto"/>
                <w:highlight w:val="none"/>
              </w:rPr>
            </w:pPr>
            <w:r>
              <w:rPr>
                <w:color w:val="auto"/>
                <w:spacing w:val="1"/>
                <w:highlight w:val="none"/>
                <w14:textOutline w14:w="3831" w14:cap="flat" w14:cmpd="sng">
                  <w14:solidFill>
                    <w14:srgbClr w14:val="000000"/>
                  </w14:solidFill>
                  <w14:prstDash w14:val="solid"/>
                  <w14:miter w14:val="0"/>
                </w14:textOutline>
              </w:rPr>
              <w:t>得</w:t>
            </w:r>
            <w:r>
              <w:rPr>
                <w:color w:val="auto"/>
                <w:spacing w:val="-43"/>
                <w:highlight w:val="none"/>
              </w:rPr>
              <w:t xml:space="preserve"> </w:t>
            </w:r>
            <w:r>
              <w:rPr>
                <w:color w:val="auto"/>
                <w:spacing w:val="1"/>
                <w:highlight w:val="none"/>
                <w14:textOutline w14:w="3831" w14:cap="flat" w14:cmpd="sng">
                  <w14:solidFill>
                    <w14:srgbClr w14:val="000000"/>
                  </w14:solidFill>
                  <w14:prstDash w14:val="solid"/>
                  <w14:miter w14:val="0"/>
                </w14:textOutline>
              </w:rPr>
              <w:t>分</w:t>
            </w:r>
          </w:p>
        </w:tc>
        <w:tc>
          <w:tcPr>
            <w:tcW w:w="1200" w:type="dxa"/>
            <w:vMerge w:val="continue"/>
            <w:tcBorders>
              <w:top w:val="nil"/>
            </w:tcBorders>
            <w:vAlign w:val="top"/>
          </w:tcPr>
          <w:p w14:paraId="660ECA7F">
            <w:pPr>
              <w:rPr>
                <w:rFonts w:ascii="Arial"/>
                <w:color w:val="auto"/>
                <w:sz w:val="21"/>
                <w:highlight w:val="none"/>
              </w:rPr>
            </w:pPr>
          </w:p>
        </w:tc>
      </w:tr>
      <w:tr w14:paraId="5373F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38" w:type="dxa"/>
            <w:vAlign w:val="top"/>
          </w:tcPr>
          <w:p w14:paraId="6C170D2D">
            <w:pPr>
              <w:pStyle w:val="11"/>
              <w:spacing w:before="209" w:line="183" w:lineRule="auto"/>
              <w:ind w:left="287"/>
              <w:rPr>
                <w:color w:val="auto"/>
                <w:highlight w:val="none"/>
              </w:rPr>
            </w:pPr>
            <w:r>
              <w:rPr>
                <w:color w:val="auto"/>
                <w:highlight w:val="none"/>
              </w:rPr>
              <w:t>1</w:t>
            </w:r>
          </w:p>
        </w:tc>
        <w:tc>
          <w:tcPr>
            <w:tcW w:w="2203" w:type="dxa"/>
            <w:vAlign w:val="top"/>
          </w:tcPr>
          <w:p w14:paraId="77A602CD">
            <w:pPr>
              <w:rPr>
                <w:rFonts w:ascii="Arial"/>
                <w:color w:val="auto"/>
                <w:sz w:val="21"/>
                <w:highlight w:val="none"/>
              </w:rPr>
            </w:pPr>
          </w:p>
        </w:tc>
        <w:tc>
          <w:tcPr>
            <w:tcW w:w="557" w:type="dxa"/>
            <w:vAlign w:val="top"/>
          </w:tcPr>
          <w:p w14:paraId="74F08078">
            <w:pPr>
              <w:rPr>
                <w:rFonts w:ascii="Arial"/>
                <w:color w:val="auto"/>
                <w:sz w:val="21"/>
                <w:highlight w:val="none"/>
              </w:rPr>
            </w:pPr>
          </w:p>
        </w:tc>
        <w:tc>
          <w:tcPr>
            <w:tcW w:w="556" w:type="dxa"/>
            <w:vAlign w:val="top"/>
          </w:tcPr>
          <w:p w14:paraId="6E27F159">
            <w:pPr>
              <w:rPr>
                <w:rFonts w:ascii="Arial"/>
                <w:color w:val="auto"/>
                <w:sz w:val="21"/>
                <w:highlight w:val="none"/>
              </w:rPr>
            </w:pPr>
          </w:p>
        </w:tc>
        <w:tc>
          <w:tcPr>
            <w:tcW w:w="552" w:type="dxa"/>
            <w:vAlign w:val="top"/>
          </w:tcPr>
          <w:p w14:paraId="3CDA7539">
            <w:pPr>
              <w:rPr>
                <w:rFonts w:ascii="Arial"/>
                <w:color w:val="auto"/>
                <w:sz w:val="21"/>
                <w:highlight w:val="none"/>
              </w:rPr>
            </w:pPr>
          </w:p>
        </w:tc>
        <w:tc>
          <w:tcPr>
            <w:tcW w:w="557" w:type="dxa"/>
            <w:vAlign w:val="top"/>
          </w:tcPr>
          <w:p w14:paraId="19C9BE12">
            <w:pPr>
              <w:rPr>
                <w:rFonts w:ascii="Arial"/>
                <w:color w:val="auto"/>
                <w:sz w:val="21"/>
                <w:highlight w:val="none"/>
              </w:rPr>
            </w:pPr>
          </w:p>
        </w:tc>
        <w:tc>
          <w:tcPr>
            <w:tcW w:w="557" w:type="dxa"/>
            <w:vAlign w:val="top"/>
          </w:tcPr>
          <w:p w14:paraId="568980C6">
            <w:pPr>
              <w:rPr>
                <w:rFonts w:ascii="Arial"/>
                <w:color w:val="auto"/>
                <w:sz w:val="21"/>
                <w:highlight w:val="none"/>
              </w:rPr>
            </w:pPr>
          </w:p>
        </w:tc>
        <w:tc>
          <w:tcPr>
            <w:tcW w:w="556" w:type="dxa"/>
            <w:vAlign w:val="top"/>
          </w:tcPr>
          <w:p w14:paraId="321A7490">
            <w:pPr>
              <w:rPr>
                <w:rFonts w:ascii="Arial"/>
                <w:color w:val="auto"/>
                <w:sz w:val="21"/>
                <w:highlight w:val="none"/>
              </w:rPr>
            </w:pPr>
          </w:p>
        </w:tc>
        <w:tc>
          <w:tcPr>
            <w:tcW w:w="557" w:type="dxa"/>
            <w:vAlign w:val="top"/>
          </w:tcPr>
          <w:p w14:paraId="27FA8F7C">
            <w:pPr>
              <w:rPr>
                <w:rFonts w:ascii="Arial"/>
                <w:color w:val="auto"/>
                <w:sz w:val="21"/>
                <w:highlight w:val="none"/>
              </w:rPr>
            </w:pPr>
          </w:p>
        </w:tc>
        <w:tc>
          <w:tcPr>
            <w:tcW w:w="557" w:type="dxa"/>
            <w:vAlign w:val="top"/>
          </w:tcPr>
          <w:p w14:paraId="56CE6618">
            <w:pPr>
              <w:rPr>
                <w:rFonts w:ascii="Arial"/>
                <w:color w:val="auto"/>
                <w:sz w:val="21"/>
                <w:highlight w:val="none"/>
              </w:rPr>
            </w:pPr>
          </w:p>
        </w:tc>
        <w:tc>
          <w:tcPr>
            <w:tcW w:w="552" w:type="dxa"/>
            <w:vAlign w:val="top"/>
          </w:tcPr>
          <w:p w14:paraId="1BA58EFD">
            <w:pPr>
              <w:rPr>
                <w:rFonts w:ascii="Arial"/>
                <w:color w:val="auto"/>
                <w:sz w:val="21"/>
                <w:highlight w:val="none"/>
              </w:rPr>
            </w:pPr>
          </w:p>
        </w:tc>
        <w:tc>
          <w:tcPr>
            <w:tcW w:w="557" w:type="dxa"/>
            <w:vAlign w:val="top"/>
          </w:tcPr>
          <w:p w14:paraId="70D7E317">
            <w:pPr>
              <w:rPr>
                <w:rFonts w:ascii="Arial"/>
                <w:color w:val="auto"/>
                <w:sz w:val="21"/>
                <w:highlight w:val="none"/>
              </w:rPr>
            </w:pPr>
          </w:p>
        </w:tc>
        <w:tc>
          <w:tcPr>
            <w:tcW w:w="557" w:type="dxa"/>
            <w:vAlign w:val="top"/>
          </w:tcPr>
          <w:p w14:paraId="323A52C1">
            <w:pPr>
              <w:rPr>
                <w:rFonts w:ascii="Arial"/>
                <w:color w:val="auto"/>
                <w:sz w:val="21"/>
                <w:highlight w:val="none"/>
              </w:rPr>
            </w:pPr>
          </w:p>
        </w:tc>
        <w:tc>
          <w:tcPr>
            <w:tcW w:w="557" w:type="dxa"/>
            <w:vAlign w:val="top"/>
          </w:tcPr>
          <w:p w14:paraId="34C67953">
            <w:pPr>
              <w:rPr>
                <w:rFonts w:ascii="Arial"/>
                <w:color w:val="auto"/>
                <w:sz w:val="21"/>
                <w:highlight w:val="none"/>
              </w:rPr>
            </w:pPr>
          </w:p>
        </w:tc>
        <w:tc>
          <w:tcPr>
            <w:tcW w:w="557" w:type="dxa"/>
            <w:vAlign w:val="top"/>
          </w:tcPr>
          <w:p w14:paraId="79138835">
            <w:pPr>
              <w:rPr>
                <w:rFonts w:ascii="Arial"/>
                <w:color w:val="auto"/>
                <w:sz w:val="21"/>
                <w:highlight w:val="none"/>
              </w:rPr>
            </w:pPr>
          </w:p>
        </w:tc>
        <w:tc>
          <w:tcPr>
            <w:tcW w:w="552" w:type="dxa"/>
            <w:vAlign w:val="top"/>
          </w:tcPr>
          <w:p w14:paraId="3E7B8DC4">
            <w:pPr>
              <w:rPr>
                <w:rFonts w:ascii="Arial"/>
                <w:color w:val="auto"/>
                <w:sz w:val="21"/>
                <w:highlight w:val="none"/>
              </w:rPr>
            </w:pPr>
          </w:p>
        </w:tc>
        <w:tc>
          <w:tcPr>
            <w:tcW w:w="556" w:type="dxa"/>
            <w:vAlign w:val="top"/>
          </w:tcPr>
          <w:p w14:paraId="4333F673">
            <w:pPr>
              <w:rPr>
                <w:rFonts w:ascii="Arial"/>
                <w:color w:val="auto"/>
                <w:sz w:val="21"/>
                <w:highlight w:val="none"/>
              </w:rPr>
            </w:pPr>
          </w:p>
        </w:tc>
        <w:tc>
          <w:tcPr>
            <w:tcW w:w="557" w:type="dxa"/>
            <w:vAlign w:val="top"/>
          </w:tcPr>
          <w:p w14:paraId="17BD2156">
            <w:pPr>
              <w:rPr>
                <w:rFonts w:ascii="Arial"/>
                <w:color w:val="auto"/>
                <w:sz w:val="21"/>
                <w:highlight w:val="none"/>
              </w:rPr>
            </w:pPr>
          </w:p>
        </w:tc>
        <w:tc>
          <w:tcPr>
            <w:tcW w:w="557" w:type="dxa"/>
            <w:vAlign w:val="top"/>
          </w:tcPr>
          <w:p w14:paraId="50106899">
            <w:pPr>
              <w:rPr>
                <w:rFonts w:ascii="Arial"/>
                <w:color w:val="auto"/>
                <w:sz w:val="21"/>
                <w:highlight w:val="none"/>
              </w:rPr>
            </w:pPr>
          </w:p>
        </w:tc>
        <w:tc>
          <w:tcPr>
            <w:tcW w:w="470" w:type="dxa"/>
            <w:vAlign w:val="top"/>
          </w:tcPr>
          <w:p w14:paraId="28305125">
            <w:pPr>
              <w:rPr>
                <w:rFonts w:ascii="Arial"/>
                <w:color w:val="auto"/>
                <w:sz w:val="21"/>
                <w:highlight w:val="none"/>
              </w:rPr>
            </w:pPr>
          </w:p>
        </w:tc>
        <w:tc>
          <w:tcPr>
            <w:tcW w:w="1200" w:type="dxa"/>
            <w:vAlign w:val="top"/>
          </w:tcPr>
          <w:p w14:paraId="10C54E2A">
            <w:pPr>
              <w:rPr>
                <w:rFonts w:ascii="Arial"/>
                <w:color w:val="auto"/>
                <w:sz w:val="21"/>
                <w:highlight w:val="none"/>
              </w:rPr>
            </w:pPr>
          </w:p>
        </w:tc>
      </w:tr>
      <w:tr w14:paraId="27B97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38" w:type="dxa"/>
            <w:vAlign w:val="top"/>
          </w:tcPr>
          <w:p w14:paraId="4D1542D7">
            <w:pPr>
              <w:pStyle w:val="11"/>
              <w:spacing w:before="215" w:line="182" w:lineRule="auto"/>
              <w:ind w:left="274"/>
              <w:rPr>
                <w:color w:val="auto"/>
                <w:highlight w:val="none"/>
              </w:rPr>
            </w:pPr>
            <w:r>
              <w:rPr>
                <w:color w:val="auto"/>
                <w:highlight w:val="none"/>
              </w:rPr>
              <w:t>2</w:t>
            </w:r>
          </w:p>
        </w:tc>
        <w:tc>
          <w:tcPr>
            <w:tcW w:w="2203" w:type="dxa"/>
            <w:vAlign w:val="top"/>
          </w:tcPr>
          <w:p w14:paraId="0AA26B91">
            <w:pPr>
              <w:rPr>
                <w:rFonts w:ascii="Arial"/>
                <w:color w:val="auto"/>
                <w:sz w:val="21"/>
                <w:highlight w:val="none"/>
              </w:rPr>
            </w:pPr>
          </w:p>
        </w:tc>
        <w:tc>
          <w:tcPr>
            <w:tcW w:w="557" w:type="dxa"/>
            <w:vAlign w:val="top"/>
          </w:tcPr>
          <w:p w14:paraId="7E40AEFF">
            <w:pPr>
              <w:rPr>
                <w:rFonts w:ascii="Arial"/>
                <w:color w:val="auto"/>
                <w:sz w:val="21"/>
                <w:highlight w:val="none"/>
              </w:rPr>
            </w:pPr>
          </w:p>
        </w:tc>
        <w:tc>
          <w:tcPr>
            <w:tcW w:w="556" w:type="dxa"/>
            <w:vAlign w:val="top"/>
          </w:tcPr>
          <w:p w14:paraId="6B067159">
            <w:pPr>
              <w:rPr>
                <w:rFonts w:ascii="Arial"/>
                <w:color w:val="auto"/>
                <w:sz w:val="21"/>
                <w:highlight w:val="none"/>
              </w:rPr>
            </w:pPr>
          </w:p>
        </w:tc>
        <w:tc>
          <w:tcPr>
            <w:tcW w:w="552" w:type="dxa"/>
            <w:vAlign w:val="top"/>
          </w:tcPr>
          <w:p w14:paraId="55E6B320">
            <w:pPr>
              <w:rPr>
                <w:rFonts w:ascii="Arial"/>
                <w:color w:val="auto"/>
                <w:sz w:val="21"/>
                <w:highlight w:val="none"/>
              </w:rPr>
            </w:pPr>
          </w:p>
        </w:tc>
        <w:tc>
          <w:tcPr>
            <w:tcW w:w="557" w:type="dxa"/>
            <w:vAlign w:val="top"/>
          </w:tcPr>
          <w:p w14:paraId="1D9D25F9">
            <w:pPr>
              <w:rPr>
                <w:rFonts w:ascii="Arial"/>
                <w:color w:val="auto"/>
                <w:sz w:val="21"/>
                <w:highlight w:val="none"/>
              </w:rPr>
            </w:pPr>
          </w:p>
        </w:tc>
        <w:tc>
          <w:tcPr>
            <w:tcW w:w="557" w:type="dxa"/>
            <w:vAlign w:val="top"/>
          </w:tcPr>
          <w:p w14:paraId="395CB61D">
            <w:pPr>
              <w:rPr>
                <w:rFonts w:ascii="Arial"/>
                <w:color w:val="auto"/>
                <w:sz w:val="21"/>
                <w:highlight w:val="none"/>
              </w:rPr>
            </w:pPr>
          </w:p>
        </w:tc>
        <w:tc>
          <w:tcPr>
            <w:tcW w:w="556" w:type="dxa"/>
            <w:vAlign w:val="top"/>
          </w:tcPr>
          <w:p w14:paraId="780984B4">
            <w:pPr>
              <w:rPr>
                <w:rFonts w:ascii="Arial"/>
                <w:color w:val="auto"/>
                <w:sz w:val="21"/>
                <w:highlight w:val="none"/>
              </w:rPr>
            </w:pPr>
          </w:p>
        </w:tc>
        <w:tc>
          <w:tcPr>
            <w:tcW w:w="557" w:type="dxa"/>
            <w:vAlign w:val="top"/>
          </w:tcPr>
          <w:p w14:paraId="1EF6BB92">
            <w:pPr>
              <w:rPr>
                <w:rFonts w:ascii="Arial"/>
                <w:color w:val="auto"/>
                <w:sz w:val="21"/>
                <w:highlight w:val="none"/>
              </w:rPr>
            </w:pPr>
          </w:p>
        </w:tc>
        <w:tc>
          <w:tcPr>
            <w:tcW w:w="557" w:type="dxa"/>
            <w:vAlign w:val="top"/>
          </w:tcPr>
          <w:p w14:paraId="64C21410">
            <w:pPr>
              <w:rPr>
                <w:rFonts w:ascii="Arial"/>
                <w:color w:val="auto"/>
                <w:sz w:val="21"/>
                <w:highlight w:val="none"/>
              </w:rPr>
            </w:pPr>
          </w:p>
        </w:tc>
        <w:tc>
          <w:tcPr>
            <w:tcW w:w="552" w:type="dxa"/>
            <w:vAlign w:val="top"/>
          </w:tcPr>
          <w:p w14:paraId="2BC2AC1C">
            <w:pPr>
              <w:rPr>
                <w:rFonts w:ascii="Arial"/>
                <w:color w:val="auto"/>
                <w:sz w:val="21"/>
                <w:highlight w:val="none"/>
              </w:rPr>
            </w:pPr>
          </w:p>
        </w:tc>
        <w:tc>
          <w:tcPr>
            <w:tcW w:w="557" w:type="dxa"/>
            <w:vAlign w:val="top"/>
          </w:tcPr>
          <w:p w14:paraId="7E144D6F">
            <w:pPr>
              <w:rPr>
                <w:rFonts w:ascii="Arial"/>
                <w:color w:val="auto"/>
                <w:sz w:val="21"/>
                <w:highlight w:val="none"/>
              </w:rPr>
            </w:pPr>
          </w:p>
        </w:tc>
        <w:tc>
          <w:tcPr>
            <w:tcW w:w="557" w:type="dxa"/>
            <w:vAlign w:val="top"/>
          </w:tcPr>
          <w:p w14:paraId="54EF8003">
            <w:pPr>
              <w:rPr>
                <w:rFonts w:ascii="Arial"/>
                <w:color w:val="auto"/>
                <w:sz w:val="21"/>
                <w:highlight w:val="none"/>
              </w:rPr>
            </w:pPr>
          </w:p>
        </w:tc>
        <w:tc>
          <w:tcPr>
            <w:tcW w:w="557" w:type="dxa"/>
            <w:vAlign w:val="top"/>
          </w:tcPr>
          <w:p w14:paraId="7D7C80F1">
            <w:pPr>
              <w:rPr>
                <w:rFonts w:ascii="Arial"/>
                <w:color w:val="auto"/>
                <w:sz w:val="21"/>
                <w:highlight w:val="none"/>
              </w:rPr>
            </w:pPr>
          </w:p>
        </w:tc>
        <w:tc>
          <w:tcPr>
            <w:tcW w:w="557" w:type="dxa"/>
            <w:vAlign w:val="top"/>
          </w:tcPr>
          <w:p w14:paraId="26849E07">
            <w:pPr>
              <w:rPr>
                <w:rFonts w:ascii="Arial"/>
                <w:color w:val="auto"/>
                <w:sz w:val="21"/>
                <w:highlight w:val="none"/>
              </w:rPr>
            </w:pPr>
          </w:p>
        </w:tc>
        <w:tc>
          <w:tcPr>
            <w:tcW w:w="552" w:type="dxa"/>
            <w:vAlign w:val="top"/>
          </w:tcPr>
          <w:p w14:paraId="161856A7">
            <w:pPr>
              <w:rPr>
                <w:rFonts w:ascii="Arial"/>
                <w:color w:val="auto"/>
                <w:sz w:val="21"/>
                <w:highlight w:val="none"/>
              </w:rPr>
            </w:pPr>
          </w:p>
        </w:tc>
        <w:tc>
          <w:tcPr>
            <w:tcW w:w="556" w:type="dxa"/>
            <w:vAlign w:val="top"/>
          </w:tcPr>
          <w:p w14:paraId="39B4F539">
            <w:pPr>
              <w:rPr>
                <w:rFonts w:ascii="Arial"/>
                <w:color w:val="auto"/>
                <w:sz w:val="21"/>
                <w:highlight w:val="none"/>
              </w:rPr>
            </w:pPr>
          </w:p>
        </w:tc>
        <w:tc>
          <w:tcPr>
            <w:tcW w:w="557" w:type="dxa"/>
            <w:vAlign w:val="top"/>
          </w:tcPr>
          <w:p w14:paraId="5BDCAB57">
            <w:pPr>
              <w:rPr>
                <w:rFonts w:ascii="Arial"/>
                <w:color w:val="auto"/>
                <w:sz w:val="21"/>
                <w:highlight w:val="none"/>
              </w:rPr>
            </w:pPr>
          </w:p>
        </w:tc>
        <w:tc>
          <w:tcPr>
            <w:tcW w:w="557" w:type="dxa"/>
            <w:vAlign w:val="top"/>
          </w:tcPr>
          <w:p w14:paraId="3C8D707F">
            <w:pPr>
              <w:rPr>
                <w:rFonts w:ascii="Arial"/>
                <w:color w:val="auto"/>
                <w:sz w:val="21"/>
                <w:highlight w:val="none"/>
              </w:rPr>
            </w:pPr>
          </w:p>
        </w:tc>
        <w:tc>
          <w:tcPr>
            <w:tcW w:w="470" w:type="dxa"/>
            <w:vAlign w:val="top"/>
          </w:tcPr>
          <w:p w14:paraId="0D4E4C86">
            <w:pPr>
              <w:rPr>
                <w:rFonts w:ascii="Arial"/>
                <w:color w:val="auto"/>
                <w:sz w:val="21"/>
                <w:highlight w:val="none"/>
              </w:rPr>
            </w:pPr>
          </w:p>
        </w:tc>
        <w:tc>
          <w:tcPr>
            <w:tcW w:w="1200" w:type="dxa"/>
            <w:vAlign w:val="top"/>
          </w:tcPr>
          <w:p w14:paraId="0CCDDF0B">
            <w:pPr>
              <w:rPr>
                <w:rFonts w:ascii="Arial"/>
                <w:color w:val="auto"/>
                <w:sz w:val="21"/>
                <w:highlight w:val="none"/>
              </w:rPr>
            </w:pPr>
          </w:p>
        </w:tc>
      </w:tr>
      <w:tr w14:paraId="01FB2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38" w:type="dxa"/>
            <w:vAlign w:val="top"/>
          </w:tcPr>
          <w:p w14:paraId="6DC0F5E0">
            <w:pPr>
              <w:pStyle w:val="11"/>
              <w:spacing w:before="217" w:line="182" w:lineRule="auto"/>
              <w:ind w:left="276"/>
              <w:rPr>
                <w:color w:val="auto"/>
                <w:highlight w:val="none"/>
              </w:rPr>
            </w:pPr>
            <w:r>
              <w:rPr>
                <w:color w:val="auto"/>
                <w:highlight w:val="none"/>
              </w:rPr>
              <w:t>3</w:t>
            </w:r>
          </w:p>
        </w:tc>
        <w:tc>
          <w:tcPr>
            <w:tcW w:w="2203" w:type="dxa"/>
            <w:vAlign w:val="top"/>
          </w:tcPr>
          <w:p w14:paraId="201B65C4">
            <w:pPr>
              <w:rPr>
                <w:rFonts w:ascii="Arial"/>
                <w:color w:val="auto"/>
                <w:sz w:val="21"/>
                <w:highlight w:val="none"/>
              </w:rPr>
            </w:pPr>
          </w:p>
        </w:tc>
        <w:tc>
          <w:tcPr>
            <w:tcW w:w="557" w:type="dxa"/>
            <w:vAlign w:val="top"/>
          </w:tcPr>
          <w:p w14:paraId="4393E523">
            <w:pPr>
              <w:rPr>
                <w:rFonts w:ascii="Arial"/>
                <w:color w:val="auto"/>
                <w:sz w:val="21"/>
                <w:highlight w:val="none"/>
              </w:rPr>
            </w:pPr>
          </w:p>
        </w:tc>
        <w:tc>
          <w:tcPr>
            <w:tcW w:w="556" w:type="dxa"/>
            <w:vAlign w:val="top"/>
          </w:tcPr>
          <w:p w14:paraId="5897DEF9">
            <w:pPr>
              <w:rPr>
                <w:rFonts w:ascii="Arial"/>
                <w:color w:val="auto"/>
                <w:sz w:val="21"/>
                <w:highlight w:val="none"/>
              </w:rPr>
            </w:pPr>
          </w:p>
        </w:tc>
        <w:tc>
          <w:tcPr>
            <w:tcW w:w="552" w:type="dxa"/>
            <w:vAlign w:val="top"/>
          </w:tcPr>
          <w:p w14:paraId="52ADB8D5">
            <w:pPr>
              <w:rPr>
                <w:rFonts w:ascii="Arial"/>
                <w:color w:val="auto"/>
                <w:sz w:val="21"/>
                <w:highlight w:val="none"/>
              </w:rPr>
            </w:pPr>
          </w:p>
        </w:tc>
        <w:tc>
          <w:tcPr>
            <w:tcW w:w="557" w:type="dxa"/>
            <w:vAlign w:val="top"/>
          </w:tcPr>
          <w:p w14:paraId="5B9614F1">
            <w:pPr>
              <w:rPr>
                <w:rFonts w:ascii="Arial"/>
                <w:color w:val="auto"/>
                <w:sz w:val="21"/>
                <w:highlight w:val="none"/>
              </w:rPr>
            </w:pPr>
          </w:p>
        </w:tc>
        <w:tc>
          <w:tcPr>
            <w:tcW w:w="557" w:type="dxa"/>
            <w:vAlign w:val="top"/>
          </w:tcPr>
          <w:p w14:paraId="1EAAFC57">
            <w:pPr>
              <w:rPr>
                <w:rFonts w:ascii="Arial"/>
                <w:color w:val="auto"/>
                <w:sz w:val="21"/>
                <w:highlight w:val="none"/>
              </w:rPr>
            </w:pPr>
          </w:p>
        </w:tc>
        <w:tc>
          <w:tcPr>
            <w:tcW w:w="556" w:type="dxa"/>
            <w:vAlign w:val="top"/>
          </w:tcPr>
          <w:p w14:paraId="4E1F0C57">
            <w:pPr>
              <w:rPr>
                <w:rFonts w:ascii="Arial"/>
                <w:color w:val="auto"/>
                <w:sz w:val="21"/>
                <w:highlight w:val="none"/>
              </w:rPr>
            </w:pPr>
          </w:p>
        </w:tc>
        <w:tc>
          <w:tcPr>
            <w:tcW w:w="557" w:type="dxa"/>
            <w:vAlign w:val="top"/>
          </w:tcPr>
          <w:p w14:paraId="2AAB0CCB">
            <w:pPr>
              <w:rPr>
                <w:rFonts w:ascii="Arial"/>
                <w:color w:val="auto"/>
                <w:sz w:val="21"/>
                <w:highlight w:val="none"/>
              </w:rPr>
            </w:pPr>
          </w:p>
        </w:tc>
        <w:tc>
          <w:tcPr>
            <w:tcW w:w="557" w:type="dxa"/>
            <w:vAlign w:val="top"/>
          </w:tcPr>
          <w:p w14:paraId="7CC88462">
            <w:pPr>
              <w:rPr>
                <w:rFonts w:ascii="Arial"/>
                <w:color w:val="auto"/>
                <w:sz w:val="21"/>
                <w:highlight w:val="none"/>
              </w:rPr>
            </w:pPr>
          </w:p>
        </w:tc>
        <w:tc>
          <w:tcPr>
            <w:tcW w:w="552" w:type="dxa"/>
            <w:vAlign w:val="top"/>
          </w:tcPr>
          <w:p w14:paraId="3583746C">
            <w:pPr>
              <w:rPr>
                <w:rFonts w:ascii="Arial"/>
                <w:color w:val="auto"/>
                <w:sz w:val="21"/>
                <w:highlight w:val="none"/>
              </w:rPr>
            </w:pPr>
          </w:p>
        </w:tc>
        <w:tc>
          <w:tcPr>
            <w:tcW w:w="557" w:type="dxa"/>
            <w:vAlign w:val="top"/>
          </w:tcPr>
          <w:p w14:paraId="50438FA8">
            <w:pPr>
              <w:rPr>
                <w:rFonts w:ascii="Arial"/>
                <w:color w:val="auto"/>
                <w:sz w:val="21"/>
                <w:highlight w:val="none"/>
              </w:rPr>
            </w:pPr>
          </w:p>
        </w:tc>
        <w:tc>
          <w:tcPr>
            <w:tcW w:w="557" w:type="dxa"/>
            <w:vAlign w:val="top"/>
          </w:tcPr>
          <w:p w14:paraId="4FE528C2">
            <w:pPr>
              <w:rPr>
                <w:rFonts w:ascii="Arial"/>
                <w:color w:val="auto"/>
                <w:sz w:val="21"/>
                <w:highlight w:val="none"/>
              </w:rPr>
            </w:pPr>
          </w:p>
        </w:tc>
        <w:tc>
          <w:tcPr>
            <w:tcW w:w="557" w:type="dxa"/>
            <w:vAlign w:val="top"/>
          </w:tcPr>
          <w:p w14:paraId="65D69AAD">
            <w:pPr>
              <w:rPr>
                <w:rFonts w:ascii="Arial"/>
                <w:color w:val="auto"/>
                <w:sz w:val="21"/>
                <w:highlight w:val="none"/>
              </w:rPr>
            </w:pPr>
          </w:p>
        </w:tc>
        <w:tc>
          <w:tcPr>
            <w:tcW w:w="557" w:type="dxa"/>
            <w:vAlign w:val="top"/>
          </w:tcPr>
          <w:p w14:paraId="65406908">
            <w:pPr>
              <w:rPr>
                <w:rFonts w:ascii="Arial"/>
                <w:color w:val="auto"/>
                <w:sz w:val="21"/>
                <w:highlight w:val="none"/>
              </w:rPr>
            </w:pPr>
          </w:p>
        </w:tc>
        <w:tc>
          <w:tcPr>
            <w:tcW w:w="552" w:type="dxa"/>
            <w:vAlign w:val="top"/>
          </w:tcPr>
          <w:p w14:paraId="15BCA2C1">
            <w:pPr>
              <w:rPr>
                <w:rFonts w:ascii="Arial"/>
                <w:color w:val="auto"/>
                <w:sz w:val="21"/>
                <w:highlight w:val="none"/>
              </w:rPr>
            </w:pPr>
          </w:p>
        </w:tc>
        <w:tc>
          <w:tcPr>
            <w:tcW w:w="556" w:type="dxa"/>
            <w:vAlign w:val="top"/>
          </w:tcPr>
          <w:p w14:paraId="5F0988E6">
            <w:pPr>
              <w:rPr>
                <w:rFonts w:ascii="Arial"/>
                <w:color w:val="auto"/>
                <w:sz w:val="21"/>
                <w:highlight w:val="none"/>
              </w:rPr>
            </w:pPr>
          </w:p>
        </w:tc>
        <w:tc>
          <w:tcPr>
            <w:tcW w:w="557" w:type="dxa"/>
            <w:vAlign w:val="top"/>
          </w:tcPr>
          <w:p w14:paraId="3BA0A54C">
            <w:pPr>
              <w:rPr>
                <w:rFonts w:ascii="Arial"/>
                <w:color w:val="auto"/>
                <w:sz w:val="21"/>
                <w:highlight w:val="none"/>
              </w:rPr>
            </w:pPr>
          </w:p>
        </w:tc>
        <w:tc>
          <w:tcPr>
            <w:tcW w:w="557" w:type="dxa"/>
            <w:vAlign w:val="top"/>
          </w:tcPr>
          <w:p w14:paraId="2F263C13">
            <w:pPr>
              <w:rPr>
                <w:rFonts w:ascii="Arial"/>
                <w:color w:val="auto"/>
                <w:sz w:val="21"/>
                <w:highlight w:val="none"/>
              </w:rPr>
            </w:pPr>
          </w:p>
        </w:tc>
        <w:tc>
          <w:tcPr>
            <w:tcW w:w="470" w:type="dxa"/>
            <w:vAlign w:val="top"/>
          </w:tcPr>
          <w:p w14:paraId="6290802B">
            <w:pPr>
              <w:rPr>
                <w:rFonts w:ascii="Arial"/>
                <w:color w:val="auto"/>
                <w:sz w:val="21"/>
                <w:highlight w:val="none"/>
              </w:rPr>
            </w:pPr>
          </w:p>
        </w:tc>
        <w:tc>
          <w:tcPr>
            <w:tcW w:w="1200" w:type="dxa"/>
            <w:vAlign w:val="top"/>
          </w:tcPr>
          <w:p w14:paraId="6038D1EF">
            <w:pPr>
              <w:rPr>
                <w:rFonts w:ascii="Arial"/>
                <w:color w:val="auto"/>
                <w:sz w:val="21"/>
                <w:highlight w:val="none"/>
              </w:rPr>
            </w:pPr>
          </w:p>
        </w:tc>
      </w:tr>
      <w:tr w14:paraId="7617A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638" w:type="dxa"/>
            <w:vAlign w:val="top"/>
          </w:tcPr>
          <w:p w14:paraId="4D02F025">
            <w:pPr>
              <w:pStyle w:val="11"/>
              <w:spacing w:before="217" w:line="182" w:lineRule="auto"/>
              <w:ind w:left="271"/>
              <w:rPr>
                <w:color w:val="auto"/>
                <w:highlight w:val="none"/>
              </w:rPr>
            </w:pPr>
            <w:r>
              <w:rPr>
                <w:color w:val="auto"/>
                <w:highlight w:val="none"/>
              </w:rPr>
              <w:t>4</w:t>
            </w:r>
          </w:p>
        </w:tc>
        <w:tc>
          <w:tcPr>
            <w:tcW w:w="2203" w:type="dxa"/>
            <w:vAlign w:val="top"/>
          </w:tcPr>
          <w:p w14:paraId="4053E4D6">
            <w:pPr>
              <w:rPr>
                <w:rFonts w:ascii="Arial"/>
                <w:color w:val="auto"/>
                <w:sz w:val="21"/>
                <w:highlight w:val="none"/>
              </w:rPr>
            </w:pPr>
          </w:p>
        </w:tc>
        <w:tc>
          <w:tcPr>
            <w:tcW w:w="557" w:type="dxa"/>
            <w:vAlign w:val="top"/>
          </w:tcPr>
          <w:p w14:paraId="509617C3">
            <w:pPr>
              <w:rPr>
                <w:rFonts w:ascii="Arial"/>
                <w:color w:val="auto"/>
                <w:sz w:val="21"/>
                <w:highlight w:val="none"/>
              </w:rPr>
            </w:pPr>
          </w:p>
        </w:tc>
        <w:tc>
          <w:tcPr>
            <w:tcW w:w="556" w:type="dxa"/>
            <w:vAlign w:val="top"/>
          </w:tcPr>
          <w:p w14:paraId="2C920769">
            <w:pPr>
              <w:rPr>
                <w:rFonts w:ascii="Arial"/>
                <w:color w:val="auto"/>
                <w:sz w:val="21"/>
                <w:highlight w:val="none"/>
              </w:rPr>
            </w:pPr>
          </w:p>
        </w:tc>
        <w:tc>
          <w:tcPr>
            <w:tcW w:w="552" w:type="dxa"/>
            <w:vAlign w:val="top"/>
          </w:tcPr>
          <w:p w14:paraId="5E208A00">
            <w:pPr>
              <w:rPr>
                <w:rFonts w:ascii="Arial"/>
                <w:color w:val="auto"/>
                <w:sz w:val="21"/>
                <w:highlight w:val="none"/>
              </w:rPr>
            </w:pPr>
          </w:p>
        </w:tc>
        <w:tc>
          <w:tcPr>
            <w:tcW w:w="557" w:type="dxa"/>
            <w:vAlign w:val="top"/>
          </w:tcPr>
          <w:p w14:paraId="3DBBB164">
            <w:pPr>
              <w:rPr>
                <w:rFonts w:ascii="Arial"/>
                <w:color w:val="auto"/>
                <w:sz w:val="21"/>
                <w:highlight w:val="none"/>
              </w:rPr>
            </w:pPr>
          </w:p>
        </w:tc>
        <w:tc>
          <w:tcPr>
            <w:tcW w:w="557" w:type="dxa"/>
            <w:vAlign w:val="top"/>
          </w:tcPr>
          <w:p w14:paraId="59CDA294">
            <w:pPr>
              <w:rPr>
                <w:rFonts w:ascii="Arial"/>
                <w:color w:val="auto"/>
                <w:sz w:val="21"/>
                <w:highlight w:val="none"/>
              </w:rPr>
            </w:pPr>
          </w:p>
        </w:tc>
        <w:tc>
          <w:tcPr>
            <w:tcW w:w="556" w:type="dxa"/>
            <w:vAlign w:val="top"/>
          </w:tcPr>
          <w:p w14:paraId="09B9A042">
            <w:pPr>
              <w:rPr>
                <w:rFonts w:ascii="Arial"/>
                <w:color w:val="auto"/>
                <w:sz w:val="21"/>
                <w:highlight w:val="none"/>
              </w:rPr>
            </w:pPr>
          </w:p>
        </w:tc>
        <w:tc>
          <w:tcPr>
            <w:tcW w:w="557" w:type="dxa"/>
            <w:vAlign w:val="top"/>
          </w:tcPr>
          <w:p w14:paraId="3ACFF0F3">
            <w:pPr>
              <w:rPr>
                <w:rFonts w:ascii="Arial"/>
                <w:color w:val="auto"/>
                <w:sz w:val="21"/>
                <w:highlight w:val="none"/>
              </w:rPr>
            </w:pPr>
          </w:p>
        </w:tc>
        <w:tc>
          <w:tcPr>
            <w:tcW w:w="557" w:type="dxa"/>
            <w:vAlign w:val="top"/>
          </w:tcPr>
          <w:p w14:paraId="13680834">
            <w:pPr>
              <w:rPr>
                <w:rFonts w:ascii="Arial"/>
                <w:color w:val="auto"/>
                <w:sz w:val="21"/>
                <w:highlight w:val="none"/>
              </w:rPr>
            </w:pPr>
          </w:p>
        </w:tc>
        <w:tc>
          <w:tcPr>
            <w:tcW w:w="552" w:type="dxa"/>
            <w:vAlign w:val="top"/>
          </w:tcPr>
          <w:p w14:paraId="7211B191">
            <w:pPr>
              <w:rPr>
                <w:rFonts w:ascii="Arial"/>
                <w:color w:val="auto"/>
                <w:sz w:val="21"/>
                <w:highlight w:val="none"/>
              </w:rPr>
            </w:pPr>
          </w:p>
        </w:tc>
        <w:tc>
          <w:tcPr>
            <w:tcW w:w="557" w:type="dxa"/>
            <w:vAlign w:val="top"/>
          </w:tcPr>
          <w:p w14:paraId="0E0D381B">
            <w:pPr>
              <w:rPr>
                <w:rFonts w:ascii="Arial"/>
                <w:color w:val="auto"/>
                <w:sz w:val="21"/>
                <w:highlight w:val="none"/>
              </w:rPr>
            </w:pPr>
          </w:p>
        </w:tc>
        <w:tc>
          <w:tcPr>
            <w:tcW w:w="557" w:type="dxa"/>
            <w:vAlign w:val="top"/>
          </w:tcPr>
          <w:p w14:paraId="4E9A2CAB">
            <w:pPr>
              <w:rPr>
                <w:rFonts w:ascii="Arial"/>
                <w:color w:val="auto"/>
                <w:sz w:val="21"/>
                <w:highlight w:val="none"/>
              </w:rPr>
            </w:pPr>
          </w:p>
        </w:tc>
        <w:tc>
          <w:tcPr>
            <w:tcW w:w="557" w:type="dxa"/>
            <w:vAlign w:val="top"/>
          </w:tcPr>
          <w:p w14:paraId="158F57ED">
            <w:pPr>
              <w:rPr>
                <w:rFonts w:ascii="Arial"/>
                <w:color w:val="auto"/>
                <w:sz w:val="21"/>
                <w:highlight w:val="none"/>
              </w:rPr>
            </w:pPr>
          </w:p>
        </w:tc>
        <w:tc>
          <w:tcPr>
            <w:tcW w:w="557" w:type="dxa"/>
            <w:vAlign w:val="top"/>
          </w:tcPr>
          <w:p w14:paraId="4EF95812">
            <w:pPr>
              <w:rPr>
                <w:rFonts w:ascii="Arial"/>
                <w:color w:val="auto"/>
                <w:sz w:val="21"/>
                <w:highlight w:val="none"/>
              </w:rPr>
            </w:pPr>
          </w:p>
        </w:tc>
        <w:tc>
          <w:tcPr>
            <w:tcW w:w="552" w:type="dxa"/>
            <w:vAlign w:val="top"/>
          </w:tcPr>
          <w:p w14:paraId="70524885">
            <w:pPr>
              <w:rPr>
                <w:rFonts w:ascii="Arial"/>
                <w:color w:val="auto"/>
                <w:sz w:val="21"/>
                <w:highlight w:val="none"/>
              </w:rPr>
            </w:pPr>
          </w:p>
        </w:tc>
        <w:tc>
          <w:tcPr>
            <w:tcW w:w="556" w:type="dxa"/>
            <w:vAlign w:val="top"/>
          </w:tcPr>
          <w:p w14:paraId="29B1F233">
            <w:pPr>
              <w:rPr>
                <w:rFonts w:ascii="Arial"/>
                <w:color w:val="auto"/>
                <w:sz w:val="21"/>
                <w:highlight w:val="none"/>
              </w:rPr>
            </w:pPr>
          </w:p>
        </w:tc>
        <w:tc>
          <w:tcPr>
            <w:tcW w:w="557" w:type="dxa"/>
            <w:vAlign w:val="top"/>
          </w:tcPr>
          <w:p w14:paraId="27966553">
            <w:pPr>
              <w:rPr>
                <w:rFonts w:ascii="Arial"/>
                <w:color w:val="auto"/>
                <w:sz w:val="21"/>
                <w:highlight w:val="none"/>
              </w:rPr>
            </w:pPr>
          </w:p>
        </w:tc>
        <w:tc>
          <w:tcPr>
            <w:tcW w:w="557" w:type="dxa"/>
            <w:vAlign w:val="top"/>
          </w:tcPr>
          <w:p w14:paraId="7C0A5C14">
            <w:pPr>
              <w:rPr>
                <w:rFonts w:ascii="Arial"/>
                <w:color w:val="auto"/>
                <w:sz w:val="21"/>
                <w:highlight w:val="none"/>
              </w:rPr>
            </w:pPr>
          </w:p>
        </w:tc>
        <w:tc>
          <w:tcPr>
            <w:tcW w:w="470" w:type="dxa"/>
            <w:vAlign w:val="top"/>
          </w:tcPr>
          <w:p w14:paraId="634403B2">
            <w:pPr>
              <w:rPr>
                <w:rFonts w:ascii="Arial"/>
                <w:color w:val="auto"/>
                <w:sz w:val="21"/>
                <w:highlight w:val="none"/>
              </w:rPr>
            </w:pPr>
          </w:p>
        </w:tc>
        <w:tc>
          <w:tcPr>
            <w:tcW w:w="1200" w:type="dxa"/>
            <w:vAlign w:val="top"/>
          </w:tcPr>
          <w:p w14:paraId="7811B4DF">
            <w:pPr>
              <w:rPr>
                <w:rFonts w:ascii="Arial"/>
                <w:color w:val="auto"/>
                <w:sz w:val="21"/>
                <w:highlight w:val="none"/>
              </w:rPr>
            </w:pPr>
          </w:p>
        </w:tc>
      </w:tr>
      <w:tr w14:paraId="711DC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38" w:type="dxa"/>
            <w:vAlign w:val="top"/>
          </w:tcPr>
          <w:p w14:paraId="2CEADE29">
            <w:pPr>
              <w:pStyle w:val="11"/>
              <w:spacing w:before="215" w:line="181" w:lineRule="auto"/>
              <w:ind w:left="276"/>
              <w:rPr>
                <w:color w:val="auto"/>
                <w:highlight w:val="none"/>
              </w:rPr>
            </w:pPr>
            <w:r>
              <w:rPr>
                <w:color w:val="auto"/>
                <w:highlight w:val="none"/>
              </w:rPr>
              <w:t>5</w:t>
            </w:r>
          </w:p>
        </w:tc>
        <w:tc>
          <w:tcPr>
            <w:tcW w:w="2203" w:type="dxa"/>
            <w:vAlign w:val="top"/>
          </w:tcPr>
          <w:p w14:paraId="2B6AFE38">
            <w:pPr>
              <w:rPr>
                <w:rFonts w:ascii="Arial"/>
                <w:color w:val="auto"/>
                <w:sz w:val="21"/>
                <w:highlight w:val="none"/>
              </w:rPr>
            </w:pPr>
          </w:p>
        </w:tc>
        <w:tc>
          <w:tcPr>
            <w:tcW w:w="557" w:type="dxa"/>
            <w:vAlign w:val="top"/>
          </w:tcPr>
          <w:p w14:paraId="249C97E9">
            <w:pPr>
              <w:rPr>
                <w:rFonts w:ascii="Arial"/>
                <w:color w:val="auto"/>
                <w:sz w:val="21"/>
                <w:highlight w:val="none"/>
              </w:rPr>
            </w:pPr>
          </w:p>
        </w:tc>
        <w:tc>
          <w:tcPr>
            <w:tcW w:w="556" w:type="dxa"/>
            <w:vAlign w:val="top"/>
          </w:tcPr>
          <w:p w14:paraId="30D5491C">
            <w:pPr>
              <w:rPr>
                <w:rFonts w:ascii="Arial"/>
                <w:color w:val="auto"/>
                <w:sz w:val="21"/>
                <w:highlight w:val="none"/>
              </w:rPr>
            </w:pPr>
          </w:p>
        </w:tc>
        <w:tc>
          <w:tcPr>
            <w:tcW w:w="552" w:type="dxa"/>
            <w:vAlign w:val="top"/>
          </w:tcPr>
          <w:p w14:paraId="60EDA42B">
            <w:pPr>
              <w:rPr>
                <w:rFonts w:ascii="Arial"/>
                <w:color w:val="auto"/>
                <w:sz w:val="21"/>
                <w:highlight w:val="none"/>
              </w:rPr>
            </w:pPr>
          </w:p>
        </w:tc>
        <w:tc>
          <w:tcPr>
            <w:tcW w:w="557" w:type="dxa"/>
            <w:vAlign w:val="top"/>
          </w:tcPr>
          <w:p w14:paraId="3C1C7458">
            <w:pPr>
              <w:rPr>
                <w:rFonts w:ascii="Arial"/>
                <w:color w:val="auto"/>
                <w:sz w:val="21"/>
                <w:highlight w:val="none"/>
              </w:rPr>
            </w:pPr>
          </w:p>
        </w:tc>
        <w:tc>
          <w:tcPr>
            <w:tcW w:w="557" w:type="dxa"/>
            <w:vAlign w:val="top"/>
          </w:tcPr>
          <w:p w14:paraId="2EC9BE24">
            <w:pPr>
              <w:rPr>
                <w:rFonts w:ascii="Arial"/>
                <w:color w:val="auto"/>
                <w:sz w:val="21"/>
                <w:highlight w:val="none"/>
              </w:rPr>
            </w:pPr>
          </w:p>
        </w:tc>
        <w:tc>
          <w:tcPr>
            <w:tcW w:w="556" w:type="dxa"/>
            <w:vAlign w:val="top"/>
          </w:tcPr>
          <w:p w14:paraId="0FB6D397">
            <w:pPr>
              <w:rPr>
                <w:rFonts w:ascii="Arial"/>
                <w:color w:val="auto"/>
                <w:sz w:val="21"/>
                <w:highlight w:val="none"/>
              </w:rPr>
            </w:pPr>
          </w:p>
        </w:tc>
        <w:tc>
          <w:tcPr>
            <w:tcW w:w="557" w:type="dxa"/>
            <w:vAlign w:val="top"/>
          </w:tcPr>
          <w:p w14:paraId="3568BB7C">
            <w:pPr>
              <w:rPr>
                <w:rFonts w:ascii="Arial"/>
                <w:color w:val="auto"/>
                <w:sz w:val="21"/>
                <w:highlight w:val="none"/>
              </w:rPr>
            </w:pPr>
          </w:p>
        </w:tc>
        <w:tc>
          <w:tcPr>
            <w:tcW w:w="557" w:type="dxa"/>
            <w:vAlign w:val="top"/>
          </w:tcPr>
          <w:p w14:paraId="0E948AB7">
            <w:pPr>
              <w:rPr>
                <w:rFonts w:ascii="Arial"/>
                <w:color w:val="auto"/>
                <w:sz w:val="21"/>
                <w:highlight w:val="none"/>
              </w:rPr>
            </w:pPr>
          </w:p>
        </w:tc>
        <w:tc>
          <w:tcPr>
            <w:tcW w:w="552" w:type="dxa"/>
            <w:vAlign w:val="top"/>
          </w:tcPr>
          <w:p w14:paraId="4620334A">
            <w:pPr>
              <w:rPr>
                <w:rFonts w:ascii="Arial"/>
                <w:color w:val="auto"/>
                <w:sz w:val="21"/>
                <w:highlight w:val="none"/>
              </w:rPr>
            </w:pPr>
          </w:p>
        </w:tc>
        <w:tc>
          <w:tcPr>
            <w:tcW w:w="557" w:type="dxa"/>
            <w:vAlign w:val="top"/>
          </w:tcPr>
          <w:p w14:paraId="2F7984B3">
            <w:pPr>
              <w:rPr>
                <w:rFonts w:ascii="Arial"/>
                <w:color w:val="auto"/>
                <w:sz w:val="21"/>
                <w:highlight w:val="none"/>
              </w:rPr>
            </w:pPr>
          </w:p>
        </w:tc>
        <w:tc>
          <w:tcPr>
            <w:tcW w:w="557" w:type="dxa"/>
            <w:vAlign w:val="top"/>
          </w:tcPr>
          <w:p w14:paraId="66EDCF48">
            <w:pPr>
              <w:rPr>
                <w:rFonts w:ascii="Arial"/>
                <w:color w:val="auto"/>
                <w:sz w:val="21"/>
                <w:highlight w:val="none"/>
              </w:rPr>
            </w:pPr>
          </w:p>
        </w:tc>
        <w:tc>
          <w:tcPr>
            <w:tcW w:w="557" w:type="dxa"/>
            <w:vAlign w:val="top"/>
          </w:tcPr>
          <w:p w14:paraId="4A551980">
            <w:pPr>
              <w:rPr>
                <w:rFonts w:ascii="Arial"/>
                <w:color w:val="auto"/>
                <w:sz w:val="21"/>
                <w:highlight w:val="none"/>
              </w:rPr>
            </w:pPr>
          </w:p>
        </w:tc>
        <w:tc>
          <w:tcPr>
            <w:tcW w:w="557" w:type="dxa"/>
            <w:vAlign w:val="top"/>
          </w:tcPr>
          <w:p w14:paraId="2651BC13">
            <w:pPr>
              <w:rPr>
                <w:rFonts w:ascii="Arial"/>
                <w:color w:val="auto"/>
                <w:sz w:val="21"/>
                <w:highlight w:val="none"/>
              </w:rPr>
            </w:pPr>
          </w:p>
        </w:tc>
        <w:tc>
          <w:tcPr>
            <w:tcW w:w="552" w:type="dxa"/>
            <w:vAlign w:val="top"/>
          </w:tcPr>
          <w:p w14:paraId="5B1AD45B">
            <w:pPr>
              <w:rPr>
                <w:rFonts w:ascii="Arial"/>
                <w:color w:val="auto"/>
                <w:sz w:val="21"/>
                <w:highlight w:val="none"/>
              </w:rPr>
            </w:pPr>
          </w:p>
        </w:tc>
        <w:tc>
          <w:tcPr>
            <w:tcW w:w="556" w:type="dxa"/>
            <w:vAlign w:val="top"/>
          </w:tcPr>
          <w:p w14:paraId="7381B7D1">
            <w:pPr>
              <w:rPr>
                <w:rFonts w:ascii="Arial"/>
                <w:color w:val="auto"/>
                <w:sz w:val="21"/>
                <w:highlight w:val="none"/>
              </w:rPr>
            </w:pPr>
          </w:p>
        </w:tc>
        <w:tc>
          <w:tcPr>
            <w:tcW w:w="557" w:type="dxa"/>
            <w:vAlign w:val="top"/>
          </w:tcPr>
          <w:p w14:paraId="3200B4A4">
            <w:pPr>
              <w:rPr>
                <w:rFonts w:ascii="Arial"/>
                <w:color w:val="auto"/>
                <w:sz w:val="21"/>
                <w:highlight w:val="none"/>
              </w:rPr>
            </w:pPr>
          </w:p>
        </w:tc>
        <w:tc>
          <w:tcPr>
            <w:tcW w:w="557" w:type="dxa"/>
            <w:vAlign w:val="top"/>
          </w:tcPr>
          <w:p w14:paraId="09391C50">
            <w:pPr>
              <w:rPr>
                <w:rFonts w:ascii="Arial"/>
                <w:color w:val="auto"/>
                <w:sz w:val="21"/>
                <w:highlight w:val="none"/>
              </w:rPr>
            </w:pPr>
          </w:p>
        </w:tc>
        <w:tc>
          <w:tcPr>
            <w:tcW w:w="470" w:type="dxa"/>
            <w:vAlign w:val="top"/>
          </w:tcPr>
          <w:p w14:paraId="2D170FD7">
            <w:pPr>
              <w:rPr>
                <w:rFonts w:ascii="Arial"/>
                <w:color w:val="auto"/>
                <w:sz w:val="21"/>
                <w:highlight w:val="none"/>
              </w:rPr>
            </w:pPr>
          </w:p>
        </w:tc>
        <w:tc>
          <w:tcPr>
            <w:tcW w:w="1200" w:type="dxa"/>
            <w:vAlign w:val="top"/>
          </w:tcPr>
          <w:p w14:paraId="2246DB32">
            <w:pPr>
              <w:rPr>
                <w:rFonts w:ascii="Arial"/>
                <w:color w:val="auto"/>
                <w:sz w:val="21"/>
                <w:highlight w:val="none"/>
              </w:rPr>
            </w:pPr>
          </w:p>
        </w:tc>
      </w:tr>
      <w:tr w14:paraId="1A370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638" w:type="dxa"/>
            <w:vAlign w:val="top"/>
          </w:tcPr>
          <w:p w14:paraId="1EB2DAFA">
            <w:pPr>
              <w:spacing w:before="178" w:line="332" w:lineRule="exact"/>
              <w:ind w:left="230"/>
              <w:rPr>
                <w:rFonts w:ascii="黑体" w:hAnsi="黑体" w:eastAsia="黑体" w:cs="黑体"/>
                <w:color w:val="auto"/>
                <w:sz w:val="21"/>
                <w:szCs w:val="21"/>
                <w:highlight w:val="none"/>
              </w:rPr>
            </w:pPr>
            <w:r>
              <w:rPr>
                <w:rFonts w:ascii="黑体" w:hAnsi="黑体" w:eastAsia="黑体" w:cs="黑体"/>
                <w:color w:val="auto"/>
                <w:position w:val="2"/>
                <w:sz w:val="21"/>
                <w:szCs w:val="21"/>
                <w:highlight w:val="none"/>
              </w:rPr>
              <w:t>…</w:t>
            </w:r>
          </w:p>
        </w:tc>
        <w:tc>
          <w:tcPr>
            <w:tcW w:w="2203" w:type="dxa"/>
            <w:vAlign w:val="top"/>
          </w:tcPr>
          <w:p w14:paraId="1E61DB9C">
            <w:pPr>
              <w:rPr>
                <w:rFonts w:ascii="Arial"/>
                <w:color w:val="auto"/>
                <w:sz w:val="21"/>
                <w:highlight w:val="none"/>
              </w:rPr>
            </w:pPr>
          </w:p>
        </w:tc>
        <w:tc>
          <w:tcPr>
            <w:tcW w:w="557" w:type="dxa"/>
            <w:vAlign w:val="top"/>
          </w:tcPr>
          <w:p w14:paraId="4FDB4052">
            <w:pPr>
              <w:rPr>
                <w:rFonts w:ascii="Arial"/>
                <w:color w:val="auto"/>
                <w:sz w:val="21"/>
                <w:highlight w:val="none"/>
              </w:rPr>
            </w:pPr>
          </w:p>
        </w:tc>
        <w:tc>
          <w:tcPr>
            <w:tcW w:w="556" w:type="dxa"/>
            <w:vAlign w:val="top"/>
          </w:tcPr>
          <w:p w14:paraId="7F13A748">
            <w:pPr>
              <w:rPr>
                <w:rFonts w:ascii="Arial"/>
                <w:color w:val="auto"/>
                <w:sz w:val="21"/>
                <w:highlight w:val="none"/>
              </w:rPr>
            </w:pPr>
          </w:p>
        </w:tc>
        <w:tc>
          <w:tcPr>
            <w:tcW w:w="552" w:type="dxa"/>
            <w:vAlign w:val="top"/>
          </w:tcPr>
          <w:p w14:paraId="4B301466">
            <w:pPr>
              <w:rPr>
                <w:rFonts w:ascii="Arial"/>
                <w:color w:val="auto"/>
                <w:sz w:val="21"/>
                <w:highlight w:val="none"/>
              </w:rPr>
            </w:pPr>
          </w:p>
        </w:tc>
        <w:tc>
          <w:tcPr>
            <w:tcW w:w="557" w:type="dxa"/>
            <w:vAlign w:val="top"/>
          </w:tcPr>
          <w:p w14:paraId="6FA7E11E">
            <w:pPr>
              <w:rPr>
                <w:rFonts w:ascii="Arial"/>
                <w:color w:val="auto"/>
                <w:sz w:val="21"/>
                <w:highlight w:val="none"/>
              </w:rPr>
            </w:pPr>
          </w:p>
        </w:tc>
        <w:tc>
          <w:tcPr>
            <w:tcW w:w="557" w:type="dxa"/>
            <w:vAlign w:val="top"/>
          </w:tcPr>
          <w:p w14:paraId="5DAD1A96">
            <w:pPr>
              <w:rPr>
                <w:rFonts w:ascii="Arial"/>
                <w:color w:val="auto"/>
                <w:sz w:val="21"/>
                <w:highlight w:val="none"/>
              </w:rPr>
            </w:pPr>
          </w:p>
        </w:tc>
        <w:tc>
          <w:tcPr>
            <w:tcW w:w="556" w:type="dxa"/>
            <w:vAlign w:val="top"/>
          </w:tcPr>
          <w:p w14:paraId="04F0D04B">
            <w:pPr>
              <w:rPr>
                <w:rFonts w:ascii="Arial"/>
                <w:color w:val="auto"/>
                <w:sz w:val="21"/>
                <w:highlight w:val="none"/>
              </w:rPr>
            </w:pPr>
          </w:p>
        </w:tc>
        <w:tc>
          <w:tcPr>
            <w:tcW w:w="557" w:type="dxa"/>
            <w:vAlign w:val="top"/>
          </w:tcPr>
          <w:p w14:paraId="37B7049D">
            <w:pPr>
              <w:rPr>
                <w:rFonts w:ascii="Arial"/>
                <w:color w:val="auto"/>
                <w:sz w:val="21"/>
                <w:highlight w:val="none"/>
              </w:rPr>
            </w:pPr>
          </w:p>
        </w:tc>
        <w:tc>
          <w:tcPr>
            <w:tcW w:w="557" w:type="dxa"/>
            <w:vAlign w:val="top"/>
          </w:tcPr>
          <w:p w14:paraId="05226807">
            <w:pPr>
              <w:rPr>
                <w:rFonts w:ascii="Arial"/>
                <w:color w:val="auto"/>
                <w:sz w:val="21"/>
                <w:highlight w:val="none"/>
              </w:rPr>
            </w:pPr>
          </w:p>
        </w:tc>
        <w:tc>
          <w:tcPr>
            <w:tcW w:w="552" w:type="dxa"/>
            <w:vAlign w:val="top"/>
          </w:tcPr>
          <w:p w14:paraId="5E800726">
            <w:pPr>
              <w:rPr>
                <w:rFonts w:ascii="Arial"/>
                <w:color w:val="auto"/>
                <w:sz w:val="21"/>
                <w:highlight w:val="none"/>
              </w:rPr>
            </w:pPr>
          </w:p>
        </w:tc>
        <w:tc>
          <w:tcPr>
            <w:tcW w:w="557" w:type="dxa"/>
            <w:vAlign w:val="top"/>
          </w:tcPr>
          <w:p w14:paraId="41F75E04">
            <w:pPr>
              <w:rPr>
                <w:rFonts w:ascii="Arial"/>
                <w:color w:val="auto"/>
                <w:sz w:val="21"/>
                <w:highlight w:val="none"/>
              </w:rPr>
            </w:pPr>
          </w:p>
        </w:tc>
        <w:tc>
          <w:tcPr>
            <w:tcW w:w="557" w:type="dxa"/>
            <w:vAlign w:val="top"/>
          </w:tcPr>
          <w:p w14:paraId="2EBDD734">
            <w:pPr>
              <w:rPr>
                <w:rFonts w:ascii="Arial"/>
                <w:color w:val="auto"/>
                <w:sz w:val="21"/>
                <w:highlight w:val="none"/>
              </w:rPr>
            </w:pPr>
          </w:p>
        </w:tc>
        <w:tc>
          <w:tcPr>
            <w:tcW w:w="557" w:type="dxa"/>
            <w:vAlign w:val="top"/>
          </w:tcPr>
          <w:p w14:paraId="53F45F4B">
            <w:pPr>
              <w:rPr>
                <w:rFonts w:ascii="Arial"/>
                <w:color w:val="auto"/>
                <w:sz w:val="21"/>
                <w:highlight w:val="none"/>
              </w:rPr>
            </w:pPr>
          </w:p>
        </w:tc>
        <w:tc>
          <w:tcPr>
            <w:tcW w:w="557" w:type="dxa"/>
            <w:vAlign w:val="top"/>
          </w:tcPr>
          <w:p w14:paraId="4D6354EA">
            <w:pPr>
              <w:rPr>
                <w:rFonts w:ascii="Arial"/>
                <w:color w:val="auto"/>
                <w:sz w:val="21"/>
                <w:highlight w:val="none"/>
              </w:rPr>
            </w:pPr>
          </w:p>
        </w:tc>
        <w:tc>
          <w:tcPr>
            <w:tcW w:w="552" w:type="dxa"/>
            <w:vAlign w:val="top"/>
          </w:tcPr>
          <w:p w14:paraId="3DD01056">
            <w:pPr>
              <w:rPr>
                <w:rFonts w:ascii="Arial"/>
                <w:color w:val="auto"/>
                <w:sz w:val="21"/>
                <w:highlight w:val="none"/>
              </w:rPr>
            </w:pPr>
          </w:p>
        </w:tc>
        <w:tc>
          <w:tcPr>
            <w:tcW w:w="556" w:type="dxa"/>
            <w:vAlign w:val="top"/>
          </w:tcPr>
          <w:p w14:paraId="7C12CF15">
            <w:pPr>
              <w:rPr>
                <w:rFonts w:ascii="Arial"/>
                <w:color w:val="auto"/>
                <w:sz w:val="21"/>
                <w:highlight w:val="none"/>
              </w:rPr>
            </w:pPr>
          </w:p>
        </w:tc>
        <w:tc>
          <w:tcPr>
            <w:tcW w:w="557" w:type="dxa"/>
            <w:vAlign w:val="top"/>
          </w:tcPr>
          <w:p w14:paraId="7EEAC436">
            <w:pPr>
              <w:rPr>
                <w:rFonts w:ascii="Arial"/>
                <w:color w:val="auto"/>
                <w:sz w:val="21"/>
                <w:highlight w:val="none"/>
              </w:rPr>
            </w:pPr>
          </w:p>
        </w:tc>
        <w:tc>
          <w:tcPr>
            <w:tcW w:w="557" w:type="dxa"/>
            <w:vAlign w:val="top"/>
          </w:tcPr>
          <w:p w14:paraId="207F873B">
            <w:pPr>
              <w:rPr>
                <w:rFonts w:ascii="Arial"/>
                <w:color w:val="auto"/>
                <w:sz w:val="21"/>
                <w:highlight w:val="none"/>
              </w:rPr>
            </w:pPr>
          </w:p>
        </w:tc>
        <w:tc>
          <w:tcPr>
            <w:tcW w:w="470" w:type="dxa"/>
            <w:vAlign w:val="top"/>
          </w:tcPr>
          <w:p w14:paraId="65EA1932">
            <w:pPr>
              <w:rPr>
                <w:rFonts w:ascii="Arial"/>
                <w:color w:val="auto"/>
                <w:sz w:val="21"/>
                <w:highlight w:val="none"/>
              </w:rPr>
            </w:pPr>
          </w:p>
        </w:tc>
        <w:tc>
          <w:tcPr>
            <w:tcW w:w="1200" w:type="dxa"/>
            <w:vAlign w:val="top"/>
          </w:tcPr>
          <w:p w14:paraId="61553084">
            <w:pPr>
              <w:rPr>
                <w:rFonts w:ascii="Arial"/>
                <w:color w:val="auto"/>
                <w:sz w:val="21"/>
                <w:highlight w:val="none"/>
              </w:rPr>
            </w:pPr>
          </w:p>
        </w:tc>
      </w:tr>
    </w:tbl>
    <w:p w14:paraId="7BA6F3AB">
      <w:pPr>
        <w:spacing w:before="270" w:line="221" w:lineRule="auto"/>
        <w:ind w:left="13"/>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技术标评委签名：</w:t>
      </w:r>
      <w:r>
        <w:rPr>
          <w:rFonts w:ascii="宋体" w:hAnsi="宋体" w:eastAsia="宋体" w:cs="宋体"/>
          <w:color w:val="auto"/>
          <w:spacing w:val="1"/>
          <w:sz w:val="21"/>
          <w:szCs w:val="21"/>
          <w:highlight w:val="none"/>
        </w:rPr>
        <w:t xml:space="preserve">                                                                                      </w:t>
      </w:r>
      <w:r>
        <w:rPr>
          <w:rFonts w:ascii="宋体" w:hAnsi="宋体" w:eastAsia="宋体" w:cs="宋体"/>
          <w:color w:val="auto"/>
          <w:spacing w:val="-14"/>
          <w:sz w:val="21"/>
          <w:szCs w:val="21"/>
          <w:highlight w:val="none"/>
        </w:rPr>
        <w:t>日期：    年</w:t>
      </w:r>
      <w:r>
        <w:rPr>
          <w:rFonts w:ascii="宋体" w:hAnsi="宋体" w:eastAsia="宋体" w:cs="宋体"/>
          <w:color w:val="auto"/>
          <w:spacing w:val="12"/>
          <w:sz w:val="21"/>
          <w:szCs w:val="21"/>
          <w:highlight w:val="none"/>
        </w:rPr>
        <w:t xml:space="preserve">  </w:t>
      </w:r>
      <w:r>
        <w:rPr>
          <w:rFonts w:ascii="宋体" w:hAnsi="宋体" w:eastAsia="宋体" w:cs="宋体"/>
          <w:color w:val="auto"/>
          <w:spacing w:val="-14"/>
          <w:sz w:val="21"/>
          <w:szCs w:val="21"/>
          <w:highlight w:val="none"/>
        </w:rPr>
        <w:t>月  日</w:t>
      </w:r>
    </w:p>
    <w:p w14:paraId="3AAAB93C">
      <w:pPr>
        <w:spacing w:line="221" w:lineRule="auto"/>
        <w:rPr>
          <w:rFonts w:ascii="宋体" w:hAnsi="宋体" w:eastAsia="宋体" w:cs="宋体"/>
          <w:color w:val="auto"/>
          <w:sz w:val="21"/>
          <w:szCs w:val="21"/>
          <w:highlight w:val="none"/>
        </w:rPr>
        <w:sectPr>
          <w:footerReference r:id="rId91" w:type="default"/>
          <w:pgSz w:w="16839" w:h="11905"/>
          <w:pgMar w:top="1011" w:right="1435" w:bottom="991" w:left="1435" w:header="0" w:footer="786" w:gutter="0"/>
          <w:pgNumType w:fmt="decimal"/>
          <w:cols w:space="720" w:num="1"/>
        </w:sectPr>
      </w:pPr>
    </w:p>
    <w:p w14:paraId="2D7AB405">
      <w:pPr>
        <w:pStyle w:val="3"/>
        <w:spacing w:line="272" w:lineRule="auto"/>
        <w:rPr>
          <w:color w:val="auto"/>
          <w:highlight w:val="none"/>
        </w:rPr>
      </w:pPr>
    </w:p>
    <w:p w14:paraId="71B19333">
      <w:pPr>
        <w:pStyle w:val="3"/>
        <w:spacing w:line="272" w:lineRule="auto"/>
        <w:rPr>
          <w:color w:val="auto"/>
          <w:highlight w:val="none"/>
        </w:rPr>
      </w:pPr>
    </w:p>
    <w:p w14:paraId="7097EDDB">
      <w:pPr>
        <w:pStyle w:val="3"/>
        <w:spacing w:line="272" w:lineRule="auto"/>
        <w:rPr>
          <w:color w:val="auto"/>
          <w:highlight w:val="none"/>
        </w:rPr>
      </w:pPr>
    </w:p>
    <w:p w14:paraId="792503B2">
      <w:pPr>
        <w:spacing w:before="78" w:line="219" w:lineRule="auto"/>
        <w:ind w:left="13"/>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附表</w:t>
      </w:r>
      <w:r>
        <w:rPr>
          <w:rFonts w:ascii="黑体" w:hAnsi="黑体" w:eastAsia="黑体" w:cs="黑体"/>
          <w:color w:val="auto"/>
          <w:spacing w:val="-55"/>
          <w:sz w:val="24"/>
          <w:szCs w:val="24"/>
          <w:highlight w:val="none"/>
        </w:rPr>
        <w:t xml:space="preserve"> </w:t>
      </w:r>
      <w:r>
        <w:rPr>
          <w:rFonts w:ascii="Times New Roman" w:hAnsi="Times New Roman" w:eastAsia="Times New Roman" w:cs="Times New Roman"/>
          <w:color w:val="auto"/>
          <w:spacing w:val="-4"/>
          <w:sz w:val="24"/>
          <w:szCs w:val="24"/>
          <w:highlight w:val="none"/>
        </w:rPr>
        <w:t>A-</w:t>
      </w:r>
      <w:r>
        <w:rPr>
          <w:rFonts w:ascii="Times New Roman" w:hAnsi="Times New Roman" w:eastAsia="Times New Roman" w:cs="Times New Roman"/>
          <w:color w:val="auto"/>
          <w:spacing w:val="-30"/>
          <w:sz w:val="24"/>
          <w:szCs w:val="24"/>
          <w:highlight w:val="none"/>
        </w:rPr>
        <w:t xml:space="preserve"> </w:t>
      </w:r>
      <w:r>
        <w:rPr>
          <w:rFonts w:ascii="Times New Roman" w:hAnsi="Times New Roman" w:eastAsia="Times New Roman" w:cs="Times New Roman"/>
          <w:color w:val="auto"/>
          <w:spacing w:val="-4"/>
          <w:sz w:val="24"/>
          <w:szCs w:val="24"/>
          <w:highlight w:val="none"/>
        </w:rPr>
        <w:t>13</w:t>
      </w:r>
      <w:r>
        <w:rPr>
          <w:rFonts w:ascii="黑体" w:hAnsi="黑体" w:eastAsia="黑体" w:cs="黑体"/>
          <w:color w:val="auto"/>
          <w:spacing w:val="-4"/>
          <w:sz w:val="24"/>
          <w:szCs w:val="24"/>
          <w:highlight w:val="none"/>
        </w:rPr>
        <w:t>：资信标评审记录表</w:t>
      </w:r>
    </w:p>
    <w:p w14:paraId="37112E89">
      <w:pPr>
        <w:spacing w:before="288" w:line="219" w:lineRule="auto"/>
        <w:ind w:left="5558"/>
        <w:rPr>
          <w:rFonts w:ascii="黑体" w:hAnsi="黑体" w:eastAsia="黑体" w:cs="黑体"/>
          <w:color w:val="auto"/>
          <w:sz w:val="36"/>
          <w:szCs w:val="36"/>
          <w:highlight w:val="none"/>
        </w:rPr>
      </w:pPr>
      <w:r>
        <w:rPr>
          <w:rFonts w:ascii="黑体" w:hAnsi="黑体" w:eastAsia="黑体" w:cs="黑体"/>
          <w:color w:val="auto"/>
          <w:spacing w:val="-4"/>
          <w:sz w:val="36"/>
          <w:szCs w:val="36"/>
          <w:highlight w:val="none"/>
        </w:rPr>
        <w:t>资信标评审记录表</w:t>
      </w:r>
    </w:p>
    <w:p w14:paraId="0D6CF0C2">
      <w:pPr>
        <w:spacing w:before="234" w:line="221" w:lineRule="auto"/>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标段名称：</w:t>
      </w:r>
    </w:p>
    <w:p w14:paraId="031B79BE">
      <w:pPr>
        <w:spacing w:before="22" w:line="214" w:lineRule="auto"/>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标段唯一标识码：</w:t>
      </w:r>
    </w:p>
    <w:tbl>
      <w:tblPr>
        <w:tblStyle w:val="10"/>
        <w:tblW w:w="13909"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6"/>
        <w:gridCol w:w="1810"/>
        <w:gridCol w:w="1358"/>
        <w:gridCol w:w="1358"/>
        <w:gridCol w:w="1353"/>
        <w:gridCol w:w="1358"/>
        <w:gridCol w:w="1354"/>
        <w:gridCol w:w="1359"/>
        <w:gridCol w:w="1363"/>
        <w:gridCol w:w="1800"/>
      </w:tblGrid>
      <w:tr w14:paraId="6CA0F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96" w:type="dxa"/>
            <w:vMerge w:val="restart"/>
            <w:tcBorders>
              <w:bottom w:val="nil"/>
            </w:tcBorders>
            <w:vAlign w:val="top"/>
          </w:tcPr>
          <w:p w14:paraId="77807D60">
            <w:pPr>
              <w:pStyle w:val="11"/>
              <w:spacing w:before="269" w:line="222" w:lineRule="auto"/>
              <w:ind w:left="194"/>
              <w:rPr>
                <w:color w:val="auto"/>
                <w:highlight w:val="none"/>
              </w:rPr>
            </w:pPr>
            <w:r>
              <w:rPr>
                <w:color w:val="auto"/>
                <w:spacing w:val="-2"/>
                <w:highlight w:val="none"/>
                <w14:textOutline w14:w="3831" w14:cap="flat" w14:cmpd="sng">
                  <w14:solidFill>
                    <w14:srgbClr w14:val="000000"/>
                  </w14:solidFill>
                  <w14:prstDash w14:val="solid"/>
                  <w14:miter w14:val="0"/>
                </w14:textOutline>
              </w:rPr>
              <w:t>序号</w:t>
            </w:r>
          </w:p>
        </w:tc>
        <w:tc>
          <w:tcPr>
            <w:tcW w:w="1810" w:type="dxa"/>
            <w:vMerge w:val="restart"/>
            <w:tcBorders>
              <w:bottom w:val="nil"/>
            </w:tcBorders>
            <w:vAlign w:val="top"/>
          </w:tcPr>
          <w:p w14:paraId="6CF5F783">
            <w:pPr>
              <w:pStyle w:val="11"/>
              <w:spacing w:before="269" w:line="221" w:lineRule="auto"/>
              <w:ind w:left="386"/>
              <w:rPr>
                <w:color w:val="auto"/>
                <w:highlight w:val="none"/>
              </w:rPr>
            </w:pPr>
            <w:r>
              <w:rPr>
                <w:color w:val="auto"/>
                <w:spacing w:val="-1"/>
                <w:highlight w:val="none"/>
                <w14:textOutline w14:w="3831" w14:cap="flat" w14:cmpd="sng">
                  <w14:solidFill>
                    <w14:srgbClr w14:val="000000"/>
                  </w14:solidFill>
                  <w14:prstDash w14:val="solid"/>
                  <w14:miter w14:val="0"/>
                </w14:textOutline>
              </w:rPr>
              <w:t>投标人名称</w:t>
            </w:r>
          </w:p>
        </w:tc>
        <w:tc>
          <w:tcPr>
            <w:tcW w:w="9503" w:type="dxa"/>
            <w:gridSpan w:val="7"/>
            <w:vAlign w:val="top"/>
          </w:tcPr>
          <w:p w14:paraId="0B16EC98">
            <w:pPr>
              <w:pStyle w:val="11"/>
              <w:spacing w:before="81" w:line="221" w:lineRule="auto"/>
              <w:ind w:left="4022"/>
              <w:rPr>
                <w:color w:val="auto"/>
                <w:highlight w:val="none"/>
              </w:rPr>
            </w:pPr>
            <w:r>
              <w:rPr>
                <w:color w:val="auto"/>
                <w:highlight w:val="none"/>
                <w14:textOutline w14:w="3831" w14:cap="flat" w14:cmpd="sng">
                  <w14:solidFill>
                    <w14:srgbClr w14:val="000000"/>
                  </w14:solidFill>
                  <w14:prstDash w14:val="solid"/>
                  <w14:miter w14:val="0"/>
                </w14:textOutline>
              </w:rPr>
              <w:t>评委姓名及得分</w:t>
            </w:r>
          </w:p>
        </w:tc>
        <w:tc>
          <w:tcPr>
            <w:tcW w:w="1800" w:type="dxa"/>
            <w:vMerge w:val="restart"/>
            <w:tcBorders>
              <w:bottom w:val="nil"/>
            </w:tcBorders>
            <w:vAlign w:val="top"/>
          </w:tcPr>
          <w:p w14:paraId="0ACD464B">
            <w:pPr>
              <w:pStyle w:val="11"/>
              <w:spacing w:before="269" w:line="221" w:lineRule="auto"/>
              <w:ind w:left="180"/>
              <w:rPr>
                <w:color w:val="auto"/>
                <w:highlight w:val="none"/>
              </w:rPr>
            </w:pPr>
            <w:r>
              <w:rPr>
                <w:color w:val="auto"/>
                <w:spacing w:val="-2"/>
                <w:highlight w:val="none"/>
                <w14:textOutline w14:w="3831" w14:cap="flat" w14:cmpd="sng">
                  <w14:solidFill>
                    <w14:srgbClr w14:val="000000"/>
                  </w14:solidFill>
                  <w14:prstDash w14:val="solid"/>
                  <w14:miter w14:val="0"/>
                </w14:textOutline>
              </w:rPr>
              <w:t>资信标最终得分</w:t>
            </w:r>
          </w:p>
        </w:tc>
      </w:tr>
      <w:tr w14:paraId="3BE43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96" w:type="dxa"/>
            <w:vMerge w:val="continue"/>
            <w:tcBorders>
              <w:top w:val="nil"/>
            </w:tcBorders>
            <w:vAlign w:val="top"/>
          </w:tcPr>
          <w:p w14:paraId="6139DAD2">
            <w:pPr>
              <w:rPr>
                <w:rFonts w:ascii="Arial"/>
                <w:color w:val="auto"/>
                <w:sz w:val="21"/>
                <w:highlight w:val="none"/>
              </w:rPr>
            </w:pPr>
          </w:p>
        </w:tc>
        <w:tc>
          <w:tcPr>
            <w:tcW w:w="1810" w:type="dxa"/>
            <w:vMerge w:val="continue"/>
            <w:tcBorders>
              <w:top w:val="nil"/>
            </w:tcBorders>
            <w:vAlign w:val="top"/>
          </w:tcPr>
          <w:p w14:paraId="4F6CB5F8">
            <w:pPr>
              <w:rPr>
                <w:rFonts w:ascii="Arial"/>
                <w:color w:val="auto"/>
                <w:sz w:val="21"/>
                <w:highlight w:val="none"/>
              </w:rPr>
            </w:pPr>
          </w:p>
        </w:tc>
        <w:tc>
          <w:tcPr>
            <w:tcW w:w="1358" w:type="dxa"/>
            <w:vAlign w:val="top"/>
          </w:tcPr>
          <w:p w14:paraId="5DEE9717">
            <w:pPr>
              <w:pStyle w:val="11"/>
              <w:spacing w:before="78" w:line="221" w:lineRule="auto"/>
              <w:ind w:left="392"/>
              <w:rPr>
                <w:color w:val="auto"/>
                <w:highlight w:val="none"/>
              </w:rPr>
            </w:pPr>
            <w:r>
              <w:rPr>
                <w:color w:val="auto"/>
                <w:spacing w:val="-2"/>
                <w:highlight w:val="none"/>
                <w14:textOutline w14:w="3831" w14:cap="flat" w14:cmpd="sng">
                  <w14:solidFill>
                    <w14:srgbClr w14:val="000000"/>
                  </w14:solidFill>
                  <w14:prstDash w14:val="solid"/>
                  <w14:miter w14:val="0"/>
                </w14:textOutline>
              </w:rPr>
              <w:t>评委</w:t>
            </w:r>
            <w:r>
              <w:rPr>
                <w:color w:val="auto"/>
                <w:spacing w:val="-29"/>
                <w:highlight w:val="none"/>
              </w:rPr>
              <w:t xml:space="preserve"> </w:t>
            </w:r>
            <w:r>
              <w:rPr>
                <w:color w:val="auto"/>
                <w:spacing w:val="-2"/>
                <w:highlight w:val="none"/>
                <w14:textOutline w14:w="3831" w14:cap="flat" w14:cmpd="sng">
                  <w14:solidFill>
                    <w14:srgbClr w14:val="000000"/>
                  </w14:solidFill>
                  <w14:prstDash w14:val="solid"/>
                  <w14:miter w14:val="0"/>
                </w14:textOutline>
              </w:rPr>
              <w:t>1</w:t>
            </w:r>
          </w:p>
        </w:tc>
        <w:tc>
          <w:tcPr>
            <w:tcW w:w="1358" w:type="dxa"/>
            <w:vAlign w:val="top"/>
          </w:tcPr>
          <w:p w14:paraId="5761CF93">
            <w:pPr>
              <w:pStyle w:val="11"/>
              <w:spacing w:before="78" w:line="221" w:lineRule="auto"/>
              <w:ind w:left="388"/>
              <w:rPr>
                <w:color w:val="auto"/>
                <w:highlight w:val="none"/>
              </w:rPr>
            </w:pPr>
            <w:r>
              <w:rPr>
                <w:color w:val="auto"/>
                <w:spacing w:val="-2"/>
                <w:highlight w:val="none"/>
                <w14:textOutline w14:w="3831" w14:cap="flat" w14:cmpd="sng">
                  <w14:solidFill>
                    <w14:srgbClr w14:val="000000"/>
                  </w14:solidFill>
                  <w14:prstDash w14:val="solid"/>
                  <w14:miter w14:val="0"/>
                </w14:textOutline>
              </w:rPr>
              <w:t>评委</w:t>
            </w:r>
            <w:r>
              <w:rPr>
                <w:color w:val="auto"/>
                <w:spacing w:val="-41"/>
                <w:highlight w:val="none"/>
              </w:rPr>
              <w:t xml:space="preserve"> </w:t>
            </w:r>
            <w:r>
              <w:rPr>
                <w:color w:val="auto"/>
                <w:spacing w:val="-2"/>
                <w:highlight w:val="none"/>
                <w14:textOutline w14:w="3831" w14:cap="flat" w14:cmpd="sng">
                  <w14:solidFill>
                    <w14:srgbClr w14:val="000000"/>
                  </w14:solidFill>
                  <w14:prstDash w14:val="solid"/>
                  <w14:miter w14:val="0"/>
                </w14:textOutline>
              </w:rPr>
              <w:t>2</w:t>
            </w:r>
          </w:p>
        </w:tc>
        <w:tc>
          <w:tcPr>
            <w:tcW w:w="1353" w:type="dxa"/>
            <w:vAlign w:val="top"/>
          </w:tcPr>
          <w:p w14:paraId="158C5E4D">
            <w:pPr>
              <w:pStyle w:val="11"/>
              <w:spacing w:before="78" w:line="286" w:lineRule="exact"/>
              <w:ind w:left="484"/>
              <w:rPr>
                <w:color w:val="auto"/>
                <w:highlight w:val="none"/>
              </w:rPr>
            </w:pPr>
            <w:r>
              <w:rPr>
                <w:color w:val="auto"/>
                <w:spacing w:val="-5"/>
                <w:position w:val="1"/>
                <w:highlight w:val="none"/>
                <w14:textOutline w14:w="3831" w14:cap="flat" w14:cmpd="sng">
                  <w14:solidFill>
                    <w14:srgbClr w14:val="000000"/>
                  </w14:solidFill>
                  <w14:prstDash w14:val="solid"/>
                  <w14:miter w14:val="0"/>
                </w14:textOutline>
              </w:rPr>
              <w:t>……</w:t>
            </w:r>
          </w:p>
        </w:tc>
        <w:tc>
          <w:tcPr>
            <w:tcW w:w="1358" w:type="dxa"/>
            <w:vAlign w:val="top"/>
          </w:tcPr>
          <w:p w14:paraId="3755FF33">
            <w:pPr>
              <w:rPr>
                <w:rFonts w:ascii="Arial"/>
                <w:color w:val="auto"/>
                <w:sz w:val="21"/>
                <w:highlight w:val="none"/>
              </w:rPr>
            </w:pPr>
          </w:p>
        </w:tc>
        <w:tc>
          <w:tcPr>
            <w:tcW w:w="1354" w:type="dxa"/>
            <w:vAlign w:val="top"/>
          </w:tcPr>
          <w:p w14:paraId="0FD3382C">
            <w:pPr>
              <w:rPr>
                <w:rFonts w:ascii="Arial"/>
                <w:color w:val="auto"/>
                <w:sz w:val="21"/>
                <w:highlight w:val="none"/>
              </w:rPr>
            </w:pPr>
          </w:p>
        </w:tc>
        <w:tc>
          <w:tcPr>
            <w:tcW w:w="1359" w:type="dxa"/>
            <w:vAlign w:val="top"/>
          </w:tcPr>
          <w:p w14:paraId="5E6E5397">
            <w:pPr>
              <w:rPr>
                <w:rFonts w:ascii="Arial"/>
                <w:color w:val="auto"/>
                <w:sz w:val="21"/>
                <w:highlight w:val="none"/>
              </w:rPr>
            </w:pPr>
          </w:p>
        </w:tc>
        <w:tc>
          <w:tcPr>
            <w:tcW w:w="1363" w:type="dxa"/>
            <w:vAlign w:val="top"/>
          </w:tcPr>
          <w:p w14:paraId="1E3337A5">
            <w:pPr>
              <w:rPr>
                <w:rFonts w:ascii="Arial"/>
                <w:color w:val="auto"/>
                <w:sz w:val="21"/>
                <w:highlight w:val="none"/>
              </w:rPr>
            </w:pPr>
          </w:p>
        </w:tc>
        <w:tc>
          <w:tcPr>
            <w:tcW w:w="1800" w:type="dxa"/>
            <w:vMerge w:val="continue"/>
            <w:tcBorders>
              <w:top w:val="nil"/>
            </w:tcBorders>
            <w:vAlign w:val="top"/>
          </w:tcPr>
          <w:p w14:paraId="1229C7D5">
            <w:pPr>
              <w:rPr>
                <w:rFonts w:ascii="Arial"/>
                <w:color w:val="auto"/>
                <w:sz w:val="21"/>
                <w:highlight w:val="none"/>
              </w:rPr>
            </w:pPr>
          </w:p>
        </w:tc>
      </w:tr>
      <w:tr w14:paraId="7EFEB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96" w:type="dxa"/>
            <w:vAlign w:val="top"/>
          </w:tcPr>
          <w:p w14:paraId="0139FA5C">
            <w:pPr>
              <w:pStyle w:val="11"/>
              <w:spacing w:before="175" w:line="183" w:lineRule="auto"/>
              <w:ind w:left="369"/>
              <w:rPr>
                <w:color w:val="auto"/>
                <w:highlight w:val="none"/>
              </w:rPr>
            </w:pPr>
            <w:r>
              <w:rPr>
                <w:color w:val="auto"/>
                <w:highlight w:val="none"/>
              </w:rPr>
              <w:t>1</w:t>
            </w:r>
          </w:p>
        </w:tc>
        <w:tc>
          <w:tcPr>
            <w:tcW w:w="1810" w:type="dxa"/>
            <w:vAlign w:val="top"/>
          </w:tcPr>
          <w:p w14:paraId="32B76989">
            <w:pPr>
              <w:rPr>
                <w:rFonts w:ascii="Arial"/>
                <w:color w:val="auto"/>
                <w:sz w:val="21"/>
                <w:highlight w:val="none"/>
              </w:rPr>
            </w:pPr>
          </w:p>
        </w:tc>
        <w:tc>
          <w:tcPr>
            <w:tcW w:w="1358" w:type="dxa"/>
            <w:vAlign w:val="top"/>
          </w:tcPr>
          <w:p w14:paraId="7A2AB78A">
            <w:pPr>
              <w:rPr>
                <w:rFonts w:ascii="Arial"/>
                <w:color w:val="auto"/>
                <w:sz w:val="21"/>
                <w:highlight w:val="none"/>
              </w:rPr>
            </w:pPr>
          </w:p>
        </w:tc>
        <w:tc>
          <w:tcPr>
            <w:tcW w:w="1358" w:type="dxa"/>
            <w:vAlign w:val="top"/>
          </w:tcPr>
          <w:p w14:paraId="7CAA6300">
            <w:pPr>
              <w:rPr>
                <w:rFonts w:ascii="Arial"/>
                <w:color w:val="auto"/>
                <w:sz w:val="21"/>
                <w:highlight w:val="none"/>
              </w:rPr>
            </w:pPr>
          </w:p>
        </w:tc>
        <w:tc>
          <w:tcPr>
            <w:tcW w:w="1353" w:type="dxa"/>
            <w:vAlign w:val="top"/>
          </w:tcPr>
          <w:p w14:paraId="3FCD890C">
            <w:pPr>
              <w:rPr>
                <w:rFonts w:ascii="Arial"/>
                <w:color w:val="auto"/>
                <w:sz w:val="21"/>
                <w:highlight w:val="none"/>
              </w:rPr>
            </w:pPr>
          </w:p>
        </w:tc>
        <w:tc>
          <w:tcPr>
            <w:tcW w:w="1358" w:type="dxa"/>
            <w:vAlign w:val="top"/>
          </w:tcPr>
          <w:p w14:paraId="3C3E698D">
            <w:pPr>
              <w:rPr>
                <w:rFonts w:ascii="Arial"/>
                <w:color w:val="auto"/>
                <w:sz w:val="21"/>
                <w:highlight w:val="none"/>
              </w:rPr>
            </w:pPr>
          </w:p>
        </w:tc>
        <w:tc>
          <w:tcPr>
            <w:tcW w:w="1354" w:type="dxa"/>
            <w:vAlign w:val="top"/>
          </w:tcPr>
          <w:p w14:paraId="6176D41B">
            <w:pPr>
              <w:rPr>
                <w:rFonts w:ascii="Arial"/>
                <w:color w:val="auto"/>
                <w:sz w:val="21"/>
                <w:highlight w:val="none"/>
              </w:rPr>
            </w:pPr>
          </w:p>
        </w:tc>
        <w:tc>
          <w:tcPr>
            <w:tcW w:w="1359" w:type="dxa"/>
            <w:vAlign w:val="top"/>
          </w:tcPr>
          <w:p w14:paraId="799E7032">
            <w:pPr>
              <w:rPr>
                <w:rFonts w:ascii="Arial"/>
                <w:color w:val="auto"/>
                <w:sz w:val="21"/>
                <w:highlight w:val="none"/>
              </w:rPr>
            </w:pPr>
          </w:p>
        </w:tc>
        <w:tc>
          <w:tcPr>
            <w:tcW w:w="1363" w:type="dxa"/>
            <w:vAlign w:val="top"/>
          </w:tcPr>
          <w:p w14:paraId="6C0B0AB3">
            <w:pPr>
              <w:rPr>
                <w:rFonts w:ascii="Arial"/>
                <w:color w:val="auto"/>
                <w:sz w:val="21"/>
                <w:highlight w:val="none"/>
              </w:rPr>
            </w:pPr>
          </w:p>
        </w:tc>
        <w:tc>
          <w:tcPr>
            <w:tcW w:w="1800" w:type="dxa"/>
            <w:vAlign w:val="top"/>
          </w:tcPr>
          <w:p w14:paraId="084B6AED">
            <w:pPr>
              <w:rPr>
                <w:rFonts w:ascii="Arial"/>
                <w:color w:val="auto"/>
                <w:sz w:val="21"/>
                <w:highlight w:val="none"/>
              </w:rPr>
            </w:pPr>
          </w:p>
        </w:tc>
      </w:tr>
      <w:tr w14:paraId="5BD56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96" w:type="dxa"/>
            <w:vAlign w:val="top"/>
          </w:tcPr>
          <w:p w14:paraId="60B29DDC">
            <w:pPr>
              <w:pStyle w:val="11"/>
              <w:spacing w:before="176" w:line="182" w:lineRule="auto"/>
              <w:ind w:left="356"/>
              <w:rPr>
                <w:color w:val="auto"/>
                <w:highlight w:val="none"/>
              </w:rPr>
            </w:pPr>
            <w:r>
              <w:rPr>
                <w:color w:val="auto"/>
                <w:highlight w:val="none"/>
              </w:rPr>
              <w:t>2</w:t>
            </w:r>
          </w:p>
        </w:tc>
        <w:tc>
          <w:tcPr>
            <w:tcW w:w="1810" w:type="dxa"/>
            <w:vAlign w:val="top"/>
          </w:tcPr>
          <w:p w14:paraId="27E89068">
            <w:pPr>
              <w:rPr>
                <w:rFonts w:ascii="Arial"/>
                <w:color w:val="auto"/>
                <w:sz w:val="21"/>
                <w:highlight w:val="none"/>
              </w:rPr>
            </w:pPr>
          </w:p>
        </w:tc>
        <w:tc>
          <w:tcPr>
            <w:tcW w:w="1358" w:type="dxa"/>
            <w:vAlign w:val="top"/>
          </w:tcPr>
          <w:p w14:paraId="2D97E76B">
            <w:pPr>
              <w:rPr>
                <w:rFonts w:ascii="Arial"/>
                <w:color w:val="auto"/>
                <w:sz w:val="21"/>
                <w:highlight w:val="none"/>
              </w:rPr>
            </w:pPr>
          </w:p>
        </w:tc>
        <w:tc>
          <w:tcPr>
            <w:tcW w:w="1358" w:type="dxa"/>
            <w:vAlign w:val="top"/>
          </w:tcPr>
          <w:p w14:paraId="30236D9A">
            <w:pPr>
              <w:rPr>
                <w:rFonts w:ascii="Arial"/>
                <w:color w:val="auto"/>
                <w:sz w:val="21"/>
                <w:highlight w:val="none"/>
              </w:rPr>
            </w:pPr>
          </w:p>
        </w:tc>
        <w:tc>
          <w:tcPr>
            <w:tcW w:w="1353" w:type="dxa"/>
            <w:vAlign w:val="top"/>
          </w:tcPr>
          <w:p w14:paraId="3F9DC2B3">
            <w:pPr>
              <w:rPr>
                <w:rFonts w:ascii="Arial"/>
                <w:color w:val="auto"/>
                <w:sz w:val="21"/>
                <w:highlight w:val="none"/>
              </w:rPr>
            </w:pPr>
          </w:p>
        </w:tc>
        <w:tc>
          <w:tcPr>
            <w:tcW w:w="1358" w:type="dxa"/>
            <w:vAlign w:val="top"/>
          </w:tcPr>
          <w:p w14:paraId="6B436E6C">
            <w:pPr>
              <w:rPr>
                <w:rFonts w:ascii="Arial"/>
                <w:color w:val="auto"/>
                <w:sz w:val="21"/>
                <w:highlight w:val="none"/>
              </w:rPr>
            </w:pPr>
          </w:p>
        </w:tc>
        <w:tc>
          <w:tcPr>
            <w:tcW w:w="1354" w:type="dxa"/>
            <w:vAlign w:val="top"/>
          </w:tcPr>
          <w:p w14:paraId="08A06A28">
            <w:pPr>
              <w:rPr>
                <w:rFonts w:ascii="Arial"/>
                <w:color w:val="auto"/>
                <w:sz w:val="21"/>
                <w:highlight w:val="none"/>
              </w:rPr>
            </w:pPr>
          </w:p>
        </w:tc>
        <w:tc>
          <w:tcPr>
            <w:tcW w:w="1359" w:type="dxa"/>
            <w:vAlign w:val="top"/>
          </w:tcPr>
          <w:p w14:paraId="7869D43B">
            <w:pPr>
              <w:rPr>
                <w:rFonts w:ascii="Arial"/>
                <w:color w:val="auto"/>
                <w:sz w:val="21"/>
                <w:highlight w:val="none"/>
              </w:rPr>
            </w:pPr>
          </w:p>
        </w:tc>
        <w:tc>
          <w:tcPr>
            <w:tcW w:w="1363" w:type="dxa"/>
            <w:vAlign w:val="top"/>
          </w:tcPr>
          <w:p w14:paraId="3BC11099">
            <w:pPr>
              <w:rPr>
                <w:rFonts w:ascii="Arial"/>
                <w:color w:val="auto"/>
                <w:sz w:val="21"/>
                <w:highlight w:val="none"/>
              </w:rPr>
            </w:pPr>
          </w:p>
        </w:tc>
        <w:tc>
          <w:tcPr>
            <w:tcW w:w="1800" w:type="dxa"/>
            <w:vAlign w:val="top"/>
          </w:tcPr>
          <w:p w14:paraId="76AD5049">
            <w:pPr>
              <w:rPr>
                <w:rFonts w:ascii="Arial"/>
                <w:color w:val="auto"/>
                <w:sz w:val="21"/>
                <w:highlight w:val="none"/>
              </w:rPr>
            </w:pPr>
          </w:p>
        </w:tc>
      </w:tr>
      <w:tr w14:paraId="6A7F0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96" w:type="dxa"/>
            <w:vAlign w:val="top"/>
          </w:tcPr>
          <w:p w14:paraId="775520BF">
            <w:pPr>
              <w:pStyle w:val="11"/>
              <w:spacing w:before="177" w:line="182" w:lineRule="auto"/>
              <w:ind w:left="357"/>
              <w:rPr>
                <w:color w:val="auto"/>
                <w:highlight w:val="none"/>
              </w:rPr>
            </w:pPr>
            <w:r>
              <w:rPr>
                <w:color w:val="auto"/>
                <w:highlight w:val="none"/>
              </w:rPr>
              <w:t>3</w:t>
            </w:r>
          </w:p>
        </w:tc>
        <w:tc>
          <w:tcPr>
            <w:tcW w:w="1810" w:type="dxa"/>
            <w:vAlign w:val="top"/>
          </w:tcPr>
          <w:p w14:paraId="102E5906">
            <w:pPr>
              <w:rPr>
                <w:rFonts w:ascii="Arial"/>
                <w:color w:val="auto"/>
                <w:sz w:val="21"/>
                <w:highlight w:val="none"/>
              </w:rPr>
            </w:pPr>
          </w:p>
        </w:tc>
        <w:tc>
          <w:tcPr>
            <w:tcW w:w="1358" w:type="dxa"/>
            <w:vAlign w:val="top"/>
          </w:tcPr>
          <w:p w14:paraId="14A94383">
            <w:pPr>
              <w:rPr>
                <w:rFonts w:ascii="Arial"/>
                <w:color w:val="auto"/>
                <w:sz w:val="21"/>
                <w:highlight w:val="none"/>
              </w:rPr>
            </w:pPr>
          </w:p>
        </w:tc>
        <w:tc>
          <w:tcPr>
            <w:tcW w:w="1358" w:type="dxa"/>
            <w:vAlign w:val="top"/>
          </w:tcPr>
          <w:p w14:paraId="69D7F7AE">
            <w:pPr>
              <w:rPr>
                <w:rFonts w:ascii="Arial"/>
                <w:color w:val="auto"/>
                <w:sz w:val="21"/>
                <w:highlight w:val="none"/>
              </w:rPr>
            </w:pPr>
          </w:p>
        </w:tc>
        <w:tc>
          <w:tcPr>
            <w:tcW w:w="1353" w:type="dxa"/>
            <w:vAlign w:val="top"/>
          </w:tcPr>
          <w:p w14:paraId="5ADCFC03">
            <w:pPr>
              <w:rPr>
                <w:rFonts w:ascii="Arial"/>
                <w:color w:val="auto"/>
                <w:sz w:val="21"/>
                <w:highlight w:val="none"/>
              </w:rPr>
            </w:pPr>
          </w:p>
        </w:tc>
        <w:tc>
          <w:tcPr>
            <w:tcW w:w="1358" w:type="dxa"/>
            <w:vAlign w:val="top"/>
          </w:tcPr>
          <w:p w14:paraId="6FA3A142">
            <w:pPr>
              <w:rPr>
                <w:rFonts w:ascii="Arial"/>
                <w:color w:val="auto"/>
                <w:sz w:val="21"/>
                <w:highlight w:val="none"/>
              </w:rPr>
            </w:pPr>
          </w:p>
        </w:tc>
        <w:tc>
          <w:tcPr>
            <w:tcW w:w="1354" w:type="dxa"/>
            <w:vAlign w:val="top"/>
          </w:tcPr>
          <w:p w14:paraId="36CC6E40">
            <w:pPr>
              <w:rPr>
                <w:rFonts w:ascii="Arial"/>
                <w:color w:val="auto"/>
                <w:sz w:val="21"/>
                <w:highlight w:val="none"/>
              </w:rPr>
            </w:pPr>
          </w:p>
        </w:tc>
        <w:tc>
          <w:tcPr>
            <w:tcW w:w="1359" w:type="dxa"/>
            <w:vAlign w:val="top"/>
          </w:tcPr>
          <w:p w14:paraId="758CB083">
            <w:pPr>
              <w:rPr>
                <w:rFonts w:ascii="Arial"/>
                <w:color w:val="auto"/>
                <w:sz w:val="21"/>
                <w:highlight w:val="none"/>
              </w:rPr>
            </w:pPr>
          </w:p>
        </w:tc>
        <w:tc>
          <w:tcPr>
            <w:tcW w:w="1363" w:type="dxa"/>
            <w:vAlign w:val="top"/>
          </w:tcPr>
          <w:p w14:paraId="518489B5">
            <w:pPr>
              <w:rPr>
                <w:rFonts w:ascii="Arial"/>
                <w:color w:val="auto"/>
                <w:sz w:val="21"/>
                <w:highlight w:val="none"/>
              </w:rPr>
            </w:pPr>
          </w:p>
        </w:tc>
        <w:tc>
          <w:tcPr>
            <w:tcW w:w="1800" w:type="dxa"/>
            <w:vAlign w:val="top"/>
          </w:tcPr>
          <w:p w14:paraId="1A0AD0E9">
            <w:pPr>
              <w:rPr>
                <w:rFonts w:ascii="Arial"/>
                <w:color w:val="auto"/>
                <w:sz w:val="21"/>
                <w:highlight w:val="none"/>
              </w:rPr>
            </w:pPr>
          </w:p>
        </w:tc>
      </w:tr>
      <w:tr w14:paraId="273B2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96" w:type="dxa"/>
            <w:vAlign w:val="top"/>
          </w:tcPr>
          <w:p w14:paraId="10CDA9EA">
            <w:pPr>
              <w:pStyle w:val="11"/>
              <w:spacing w:before="177" w:line="182" w:lineRule="auto"/>
              <w:ind w:left="352"/>
              <w:rPr>
                <w:color w:val="auto"/>
                <w:highlight w:val="none"/>
              </w:rPr>
            </w:pPr>
            <w:r>
              <w:rPr>
                <w:color w:val="auto"/>
                <w:highlight w:val="none"/>
              </w:rPr>
              <w:t>4</w:t>
            </w:r>
          </w:p>
        </w:tc>
        <w:tc>
          <w:tcPr>
            <w:tcW w:w="1810" w:type="dxa"/>
            <w:vAlign w:val="top"/>
          </w:tcPr>
          <w:p w14:paraId="0996D152">
            <w:pPr>
              <w:rPr>
                <w:rFonts w:ascii="Arial"/>
                <w:color w:val="auto"/>
                <w:sz w:val="21"/>
                <w:highlight w:val="none"/>
              </w:rPr>
            </w:pPr>
          </w:p>
        </w:tc>
        <w:tc>
          <w:tcPr>
            <w:tcW w:w="1358" w:type="dxa"/>
            <w:vAlign w:val="top"/>
          </w:tcPr>
          <w:p w14:paraId="2B8B93C8">
            <w:pPr>
              <w:rPr>
                <w:rFonts w:ascii="Arial"/>
                <w:color w:val="auto"/>
                <w:sz w:val="21"/>
                <w:highlight w:val="none"/>
              </w:rPr>
            </w:pPr>
          </w:p>
        </w:tc>
        <w:tc>
          <w:tcPr>
            <w:tcW w:w="1358" w:type="dxa"/>
            <w:vAlign w:val="top"/>
          </w:tcPr>
          <w:p w14:paraId="699E3BB2">
            <w:pPr>
              <w:rPr>
                <w:rFonts w:ascii="Arial"/>
                <w:color w:val="auto"/>
                <w:sz w:val="21"/>
                <w:highlight w:val="none"/>
              </w:rPr>
            </w:pPr>
          </w:p>
        </w:tc>
        <w:tc>
          <w:tcPr>
            <w:tcW w:w="1353" w:type="dxa"/>
            <w:vAlign w:val="top"/>
          </w:tcPr>
          <w:p w14:paraId="299E99F5">
            <w:pPr>
              <w:rPr>
                <w:rFonts w:ascii="Arial"/>
                <w:color w:val="auto"/>
                <w:sz w:val="21"/>
                <w:highlight w:val="none"/>
              </w:rPr>
            </w:pPr>
          </w:p>
        </w:tc>
        <w:tc>
          <w:tcPr>
            <w:tcW w:w="1358" w:type="dxa"/>
            <w:vAlign w:val="top"/>
          </w:tcPr>
          <w:p w14:paraId="42AED515">
            <w:pPr>
              <w:rPr>
                <w:rFonts w:ascii="Arial"/>
                <w:color w:val="auto"/>
                <w:sz w:val="21"/>
                <w:highlight w:val="none"/>
              </w:rPr>
            </w:pPr>
          </w:p>
        </w:tc>
        <w:tc>
          <w:tcPr>
            <w:tcW w:w="1354" w:type="dxa"/>
            <w:vAlign w:val="top"/>
          </w:tcPr>
          <w:p w14:paraId="7DE13FDA">
            <w:pPr>
              <w:rPr>
                <w:rFonts w:ascii="Arial"/>
                <w:color w:val="auto"/>
                <w:sz w:val="21"/>
                <w:highlight w:val="none"/>
              </w:rPr>
            </w:pPr>
          </w:p>
        </w:tc>
        <w:tc>
          <w:tcPr>
            <w:tcW w:w="1359" w:type="dxa"/>
            <w:vAlign w:val="top"/>
          </w:tcPr>
          <w:p w14:paraId="7BA098E7">
            <w:pPr>
              <w:rPr>
                <w:rFonts w:ascii="Arial"/>
                <w:color w:val="auto"/>
                <w:sz w:val="21"/>
                <w:highlight w:val="none"/>
              </w:rPr>
            </w:pPr>
          </w:p>
        </w:tc>
        <w:tc>
          <w:tcPr>
            <w:tcW w:w="1363" w:type="dxa"/>
            <w:vAlign w:val="top"/>
          </w:tcPr>
          <w:p w14:paraId="5DD5D615">
            <w:pPr>
              <w:rPr>
                <w:rFonts w:ascii="Arial"/>
                <w:color w:val="auto"/>
                <w:sz w:val="21"/>
                <w:highlight w:val="none"/>
              </w:rPr>
            </w:pPr>
          </w:p>
        </w:tc>
        <w:tc>
          <w:tcPr>
            <w:tcW w:w="1800" w:type="dxa"/>
            <w:vAlign w:val="top"/>
          </w:tcPr>
          <w:p w14:paraId="47B00991">
            <w:pPr>
              <w:rPr>
                <w:rFonts w:ascii="Arial"/>
                <w:color w:val="auto"/>
                <w:sz w:val="21"/>
                <w:highlight w:val="none"/>
              </w:rPr>
            </w:pPr>
          </w:p>
        </w:tc>
      </w:tr>
      <w:tr w14:paraId="35EAD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96" w:type="dxa"/>
            <w:vAlign w:val="top"/>
          </w:tcPr>
          <w:p w14:paraId="710DEE76">
            <w:pPr>
              <w:pStyle w:val="11"/>
              <w:spacing w:before="179" w:line="181" w:lineRule="auto"/>
              <w:ind w:left="357"/>
              <w:rPr>
                <w:color w:val="auto"/>
                <w:highlight w:val="none"/>
              </w:rPr>
            </w:pPr>
            <w:r>
              <w:rPr>
                <w:color w:val="auto"/>
                <w:highlight w:val="none"/>
              </w:rPr>
              <w:t>5</w:t>
            </w:r>
          </w:p>
        </w:tc>
        <w:tc>
          <w:tcPr>
            <w:tcW w:w="1810" w:type="dxa"/>
            <w:vAlign w:val="top"/>
          </w:tcPr>
          <w:p w14:paraId="7F7A39DE">
            <w:pPr>
              <w:rPr>
                <w:rFonts w:ascii="Arial"/>
                <w:color w:val="auto"/>
                <w:sz w:val="21"/>
                <w:highlight w:val="none"/>
              </w:rPr>
            </w:pPr>
          </w:p>
        </w:tc>
        <w:tc>
          <w:tcPr>
            <w:tcW w:w="1358" w:type="dxa"/>
            <w:vAlign w:val="top"/>
          </w:tcPr>
          <w:p w14:paraId="2D20DB42">
            <w:pPr>
              <w:rPr>
                <w:rFonts w:ascii="Arial"/>
                <w:color w:val="auto"/>
                <w:sz w:val="21"/>
                <w:highlight w:val="none"/>
              </w:rPr>
            </w:pPr>
          </w:p>
        </w:tc>
        <w:tc>
          <w:tcPr>
            <w:tcW w:w="1358" w:type="dxa"/>
            <w:vAlign w:val="top"/>
          </w:tcPr>
          <w:p w14:paraId="7FBD3BB7">
            <w:pPr>
              <w:rPr>
                <w:rFonts w:ascii="Arial"/>
                <w:color w:val="auto"/>
                <w:sz w:val="21"/>
                <w:highlight w:val="none"/>
              </w:rPr>
            </w:pPr>
          </w:p>
        </w:tc>
        <w:tc>
          <w:tcPr>
            <w:tcW w:w="1353" w:type="dxa"/>
            <w:vAlign w:val="top"/>
          </w:tcPr>
          <w:p w14:paraId="0C749639">
            <w:pPr>
              <w:rPr>
                <w:rFonts w:ascii="Arial"/>
                <w:color w:val="auto"/>
                <w:sz w:val="21"/>
                <w:highlight w:val="none"/>
              </w:rPr>
            </w:pPr>
          </w:p>
        </w:tc>
        <w:tc>
          <w:tcPr>
            <w:tcW w:w="1358" w:type="dxa"/>
            <w:vAlign w:val="top"/>
          </w:tcPr>
          <w:p w14:paraId="33A24344">
            <w:pPr>
              <w:rPr>
                <w:rFonts w:ascii="Arial"/>
                <w:color w:val="auto"/>
                <w:sz w:val="21"/>
                <w:highlight w:val="none"/>
              </w:rPr>
            </w:pPr>
          </w:p>
        </w:tc>
        <w:tc>
          <w:tcPr>
            <w:tcW w:w="1354" w:type="dxa"/>
            <w:vAlign w:val="top"/>
          </w:tcPr>
          <w:p w14:paraId="4B3DB81B">
            <w:pPr>
              <w:rPr>
                <w:rFonts w:ascii="Arial"/>
                <w:color w:val="auto"/>
                <w:sz w:val="21"/>
                <w:highlight w:val="none"/>
              </w:rPr>
            </w:pPr>
          </w:p>
        </w:tc>
        <w:tc>
          <w:tcPr>
            <w:tcW w:w="1359" w:type="dxa"/>
            <w:vAlign w:val="top"/>
          </w:tcPr>
          <w:p w14:paraId="1293A546">
            <w:pPr>
              <w:rPr>
                <w:rFonts w:ascii="Arial"/>
                <w:color w:val="auto"/>
                <w:sz w:val="21"/>
                <w:highlight w:val="none"/>
              </w:rPr>
            </w:pPr>
          </w:p>
        </w:tc>
        <w:tc>
          <w:tcPr>
            <w:tcW w:w="1363" w:type="dxa"/>
            <w:vAlign w:val="top"/>
          </w:tcPr>
          <w:p w14:paraId="14CDAF0D">
            <w:pPr>
              <w:rPr>
                <w:rFonts w:ascii="Arial"/>
                <w:color w:val="auto"/>
                <w:sz w:val="21"/>
                <w:highlight w:val="none"/>
              </w:rPr>
            </w:pPr>
          </w:p>
        </w:tc>
        <w:tc>
          <w:tcPr>
            <w:tcW w:w="1800" w:type="dxa"/>
            <w:vAlign w:val="top"/>
          </w:tcPr>
          <w:p w14:paraId="1DF1B3FC">
            <w:pPr>
              <w:rPr>
                <w:rFonts w:ascii="Arial"/>
                <w:color w:val="auto"/>
                <w:sz w:val="21"/>
                <w:highlight w:val="none"/>
              </w:rPr>
            </w:pPr>
          </w:p>
        </w:tc>
      </w:tr>
      <w:tr w14:paraId="74967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99" w:hRule="atLeast"/>
        </w:trPr>
        <w:tc>
          <w:tcPr>
            <w:tcW w:w="796" w:type="dxa"/>
            <w:vAlign w:val="top"/>
          </w:tcPr>
          <w:p w14:paraId="13D1529E">
            <w:pPr>
              <w:pStyle w:val="11"/>
              <w:spacing w:before="178" w:line="182" w:lineRule="auto"/>
              <w:ind w:left="355"/>
              <w:rPr>
                <w:color w:val="auto"/>
                <w:highlight w:val="none"/>
              </w:rPr>
            </w:pPr>
            <w:r>
              <w:rPr>
                <w:color w:val="auto"/>
                <w:highlight w:val="none"/>
              </w:rPr>
              <w:t>6</w:t>
            </w:r>
          </w:p>
        </w:tc>
        <w:tc>
          <w:tcPr>
            <w:tcW w:w="1810" w:type="dxa"/>
            <w:vAlign w:val="top"/>
          </w:tcPr>
          <w:p w14:paraId="18E9222F">
            <w:pPr>
              <w:rPr>
                <w:rFonts w:ascii="Arial"/>
                <w:color w:val="auto"/>
                <w:sz w:val="21"/>
                <w:highlight w:val="none"/>
              </w:rPr>
            </w:pPr>
          </w:p>
        </w:tc>
        <w:tc>
          <w:tcPr>
            <w:tcW w:w="1358" w:type="dxa"/>
            <w:vAlign w:val="top"/>
          </w:tcPr>
          <w:p w14:paraId="51D885B0">
            <w:pPr>
              <w:rPr>
                <w:rFonts w:ascii="Arial"/>
                <w:color w:val="auto"/>
                <w:sz w:val="21"/>
                <w:highlight w:val="none"/>
              </w:rPr>
            </w:pPr>
          </w:p>
        </w:tc>
        <w:tc>
          <w:tcPr>
            <w:tcW w:w="1358" w:type="dxa"/>
            <w:vAlign w:val="top"/>
          </w:tcPr>
          <w:p w14:paraId="52626BE3">
            <w:pPr>
              <w:rPr>
                <w:rFonts w:ascii="Arial"/>
                <w:color w:val="auto"/>
                <w:sz w:val="21"/>
                <w:highlight w:val="none"/>
              </w:rPr>
            </w:pPr>
          </w:p>
        </w:tc>
        <w:tc>
          <w:tcPr>
            <w:tcW w:w="1353" w:type="dxa"/>
            <w:vAlign w:val="top"/>
          </w:tcPr>
          <w:p w14:paraId="5B2F7A1F">
            <w:pPr>
              <w:rPr>
                <w:rFonts w:ascii="Arial"/>
                <w:color w:val="auto"/>
                <w:sz w:val="21"/>
                <w:highlight w:val="none"/>
              </w:rPr>
            </w:pPr>
          </w:p>
        </w:tc>
        <w:tc>
          <w:tcPr>
            <w:tcW w:w="1358" w:type="dxa"/>
            <w:vAlign w:val="top"/>
          </w:tcPr>
          <w:p w14:paraId="7608745A">
            <w:pPr>
              <w:rPr>
                <w:rFonts w:ascii="Arial"/>
                <w:color w:val="auto"/>
                <w:sz w:val="21"/>
                <w:highlight w:val="none"/>
              </w:rPr>
            </w:pPr>
          </w:p>
        </w:tc>
        <w:tc>
          <w:tcPr>
            <w:tcW w:w="1354" w:type="dxa"/>
            <w:vAlign w:val="top"/>
          </w:tcPr>
          <w:p w14:paraId="2D8FCBF9">
            <w:pPr>
              <w:rPr>
                <w:rFonts w:ascii="Arial"/>
                <w:color w:val="auto"/>
                <w:sz w:val="21"/>
                <w:highlight w:val="none"/>
              </w:rPr>
            </w:pPr>
          </w:p>
        </w:tc>
        <w:tc>
          <w:tcPr>
            <w:tcW w:w="1359" w:type="dxa"/>
            <w:vAlign w:val="top"/>
          </w:tcPr>
          <w:p w14:paraId="2B66F274">
            <w:pPr>
              <w:rPr>
                <w:rFonts w:ascii="Arial"/>
                <w:color w:val="auto"/>
                <w:sz w:val="21"/>
                <w:highlight w:val="none"/>
              </w:rPr>
            </w:pPr>
          </w:p>
        </w:tc>
        <w:tc>
          <w:tcPr>
            <w:tcW w:w="1363" w:type="dxa"/>
            <w:vAlign w:val="top"/>
          </w:tcPr>
          <w:p w14:paraId="12914A5E">
            <w:pPr>
              <w:rPr>
                <w:rFonts w:ascii="Arial"/>
                <w:color w:val="auto"/>
                <w:sz w:val="21"/>
                <w:highlight w:val="none"/>
              </w:rPr>
            </w:pPr>
          </w:p>
        </w:tc>
        <w:tc>
          <w:tcPr>
            <w:tcW w:w="1800" w:type="dxa"/>
            <w:vAlign w:val="top"/>
          </w:tcPr>
          <w:p w14:paraId="00FB130E">
            <w:pPr>
              <w:rPr>
                <w:rFonts w:ascii="Arial"/>
                <w:color w:val="auto"/>
                <w:sz w:val="21"/>
                <w:highlight w:val="none"/>
              </w:rPr>
            </w:pPr>
          </w:p>
        </w:tc>
      </w:tr>
      <w:tr w14:paraId="0580E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96" w:type="dxa"/>
            <w:vAlign w:val="top"/>
          </w:tcPr>
          <w:p w14:paraId="533DB2F0">
            <w:pPr>
              <w:pStyle w:val="11"/>
              <w:spacing w:before="148" w:line="332" w:lineRule="exact"/>
              <w:ind w:left="208"/>
              <w:rPr>
                <w:color w:val="auto"/>
                <w:highlight w:val="none"/>
              </w:rPr>
            </w:pPr>
            <w:r>
              <w:rPr>
                <w:color w:val="auto"/>
                <w:spacing w:val="-10"/>
                <w:position w:val="2"/>
                <w:highlight w:val="none"/>
              </w:rPr>
              <w:t>……</w:t>
            </w:r>
          </w:p>
        </w:tc>
        <w:tc>
          <w:tcPr>
            <w:tcW w:w="1810" w:type="dxa"/>
            <w:vAlign w:val="top"/>
          </w:tcPr>
          <w:p w14:paraId="30DABD48">
            <w:pPr>
              <w:rPr>
                <w:rFonts w:ascii="Arial"/>
                <w:color w:val="auto"/>
                <w:sz w:val="21"/>
                <w:highlight w:val="none"/>
              </w:rPr>
            </w:pPr>
          </w:p>
        </w:tc>
        <w:tc>
          <w:tcPr>
            <w:tcW w:w="1358" w:type="dxa"/>
            <w:vAlign w:val="top"/>
          </w:tcPr>
          <w:p w14:paraId="2AF75DDF">
            <w:pPr>
              <w:rPr>
                <w:rFonts w:ascii="Arial"/>
                <w:color w:val="auto"/>
                <w:sz w:val="21"/>
                <w:highlight w:val="none"/>
              </w:rPr>
            </w:pPr>
          </w:p>
        </w:tc>
        <w:tc>
          <w:tcPr>
            <w:tcW w:w="1358" w:type="dxa"/>
            <w:vAlign w:val="top"/>
          </w:tcPr>
          <w:p w14:paraId="64B0E07E">
            <w:pPr>
              <w:rPr>
                <w:rFonts w:ascii="Arial"/>
                <w:color w:val="auto"/>
                <w:sz w:val="21"/>
                <w:highlight w:val="none"/>
              </w:rPr>
            </w:pPr>
          </w:p>
        </w:tc>
        <w:tc>
          <w:tcPr>
            <w:tcW w:w="1353" w:type="dxa"/>
            <w:vAlign w:val="top"/>
          </w:tcPr>
          <w:p w14:paraId="23F9D893">
            <w:pPr>
              <w:rPr>
                <w:rFonts w:ascii="Arial"/>
                <w:color w:val="auto"/>
                <w:sz w:val="21"/>
                <w:highlight w:val="none"/>
              </w:rPr>
            </w:pPr>
          </w:p>
        </w:tc>
        <w:tc>
          <w:tcPr>
            <w:tcW w:w="1358" w:type="dxa"/>
            <w:vAlign w:val="top"/>
          </w:tcPr>
          <w:p w14:paraId="4EBFB171">
            <w:pPr>
              <w:rPr>
                <w:rFonts w:ascii="Arial"/>
                <w:color w:val="auto"/>
                <w:sz w:val="21"/>
                <w:highlight w:val="none"/>
              </w:rPr>
            </w:pPr>
          </w:p>
        </w:tc>
        <w:tc>
          <w:tcPr>
            <w:tcW w:w="1354" w:type="dxa"/>
            <w:vAlign w:val="top"/>
          </w:tcPr>
          <w:p w14:paraId="6DD13E95">
            <w:pPr>
              <w:rPr>
                <w:rFonts w:ascii="Arial"/>
                <w:color w:val="auto"/>
                <w:sz w:val="21"/>
                <w:highlight w:val="none"/>
              </w:rPr>
            </w:pPr>
          </w:p>
        </w:tc>
        <w:tc>
          <w:tcPr>
            <w:tcW w:w="1359" w:type="dxa"/>
            <w:vAlign w:val="top"/>
          </w:tcPr>
          <w:p w14:paraId="7EF38171">
            <w:pPr>
              <w:rPr>
                <w:rFonts w:ascii="Arial"/>
                <w:color w:val="auto"/>
                <w:sz w:val="21"/>
                <w:highlight w:val="none"/>
              </w:rPr>
            </w:pPr>
          </w:p>
        </w:tc>
        <w:tc>
          <w:tcPr>
            <w:tcW w:w="1363" w:type="dxa"/>
            <w:vAlign w:val="top"/>
          </w:tcPr>
          <w:p w14:paraId="0FF5F5F4">
            <w:pPr>
              <w:rPr>
                <w:rFonts w:ascii="Arial"/>
                <w:color w:val="auto"/>
                <w:sz w:val="21"/>
                <w:highlight w:val="none"/>
              </w:rPr>
            </w:pPr>
          </w:p>
        </w:tc>
        <w:tc>
          <w:tcPr>
            <w:tcW w:w="1800" w:type="dxa"/>
            <w:vAlign w:val="top"/>
          </w:tcPr>
          <w:p w14:paraId="36C0A4FD">
            <w:pPr>
              <w:rPr>
                <w:rFonts w:ascii="Arial"/>
                <w:color w:val="auto"/>
                <w:sz w:val="21"/>
                <w:highlight w:val="none"/>
              </w:rPr>
            </w:pPr>
          </w:p>
        </w:tc>
      </w:tr>
      <w:tr w14:paraId="59652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0" w:hRule="atLeast"/>
        </w:trPr>
        <w:tc>
          <w:tcPr>
            <w:tcW w:w="13909" w:type="dxa"/>
            <w:gridSpan w:val="10"/>
            <w:vAlign w:val="top"/>
          </w:tcPr>
          <w:p w14:paraId="437B9D19">
            <w:pPr>
              <w:pStyle w:val="11"/>
              <w:spacing w:before="33" w:line="221" w:lineRule="auto"/>
              <w:ind w:left="127"/>
              <w:rPr>
                <w:color w:val="auto"/>
                <w:highlight w:val="none"/>
              </w:rPr>
            </w:pPr>
            <w:r>
              <w:rPr>
                <w:color w:val="auto"/>
                <w:spacing w:val="-6"/>
                <w:highlight w:val="none"/>
              </w:rPr>
              <w:t>资信标评委签名：</w:t>
            </w:r>
          </w:p>
        </w:tc>
      </w:tr>
    </w:tbl>
    <w:p w14:paraId="36FDCBEC">
      <w:pPr>
        <w:spacing w:before="298" w:line="221" w:lineRule="auto"/>
        <w:jc w:val="right"/>
        <w:rPr>
          <w:rFonts w:ascii="宋体" w:hAnsi="宋体" w:eastAsia="宋体" w:cs="宋体"/>
          <w:color w:val="auto"/>
          <w:sz w:val="21"/>
          <w:szCs w:val="21"/>
          <w:highlight w:val="none"/>
        </w:rPr>
      </w:pPr>
      <w:r>
        <w:rPr>
          <w:rFonts w:ascii="宋体" w:hAnsi="宋体" w:eastAsia="宋体" w:cs="宋体"/>
          <w:color w:val="auto"/>
          <w:spacing w:val="-31"/>
          <w:sz w:val="21"/>
          <w:szCs w:val="21"/>
          <w:highlight w:val="none"/>
        </w:rPr>
        <w:t>日期：</w:t>
      </w:r>
      <w:r>
        <w:rPr>
          <w:rFonts w:ascii="宋体" w:hAnsi="宋体" w:eastAsia="宋体" w:cs="宋体"/>
          <w:color w:val="auto"/>
          <w:spacing w:val="27"/>
          <w:sz w:val="21"/>
          <w:szCs w:val="21"/>
          <w:highlight w:val="none"/>
        </w:rPr>
        <w:t xml:space="preserve">   </w:t>
      </w:r>
      <w:r>
        <w:rPr>
          <w:rFonts w:ascii="宋体" w:hAnsi="宋体" w:eastAsia="宋体" w:cs="宋体"/>
          <w:color w:val="auto"/>
          <w:spacing w:val="-31"/>
          <w:sz w:val="21"/>
          <w:szCs w:val="21"/>
          <w:highlight w:val="none"/>
        </w:rPr>
        <w:t>年</w:t>
      </w:r>
      <w:r>
        <w:rPr>
          <w:rFonts w:ascii="宋体" w:hAnsi="宋体" w:eastAsia="宋体" w:cs="宋体"/>
          <w:color w:val="auto"/>
          <w:spacing w:val="7"/>
          <w:sz w:val="21"/>
          <w:szCs w:val="21"/>
          <w:highlight w:val="none"/>
        </w:rPr>
        <w:t xml:space="preserve">  </w:t>
      </w:r>
      <w:r>
        <w:rPr>
          <w:rFonts w:ascii="宋体" w:hAnsi="宋体" w:eastAsia="宋体" w:cs="宋体"/>
          <w:color w:val="auto"/>
          <w:spacing w:val="-31"/>
          <w:sz w:val="21"/>
          <w:szCs w:val="21"/>
          <w:highlight w:val="none"/>
        </w:rPr>
        <w:t>月</w:t>
      </w:r>
      <w:r>
        <w:rPr>
          <w:rFonts w:ascii="宋体" w:hAnsi="宋体" w:eastAsia="宋体" w:cs="宋体"/>
          <w:color w:val="auto"/>
          <w:spacing w:val="95"/>
          <w:sz w:val="21"/>
          <w:szCs w:val="21"/>
          <w:highlight w:val="none"/>
        </w:rPr>
        <w:t xml:space="preserve"> </w:t>
      </w:r>
      <w:r>
        <w:rPr>
          <w:rFonts w:ascii="宋体" w:hAnsi="宋体" w:eastAsia="宋体" w:cs="宋体"/>
          <w:color w:val="auto"/>
          <w:spacing w:val="-31"/>
          <w:sz w:val="21"/>
          <w:szCs w:val="21"/>
          <w:highlight w:val="none"/>
        </w:rPr>
        <w:t>日</w:t>
      </w:r>
    </w:p>
    <w:p w14:paraId="15B13CC8">
      <w:pPr>
        <w:spacing w:line="221" w:lineRule="auto"/>
        <w:rPr>
          <w:rFonts w:ascii="宋体" w:hAnsi="宋体" w:eastAsia="宋体" w:cs="宋体"/>
          <w:color w:val="auto"/>
          <w:sz w:val="21"/>
          <w:szCs w:val="21"/>
          <w:highlight w:val="none"/>
        </w:rPr>
        <w:sectPr>
          <w:footerReference r:id="rId92" w:type="default"/>
          <w:pgSz w:w="16839" w:h="11905"/>
          <w:pgMar w:top="1011" w:right="1430" w:bottom="991" w:left="1449" w:header="0" w:footer="786" w:gutter="0"/>
          <w:pgNumType w:fmt="decimal"/>
          <w:cols w:space="720" w:num="1"/>
        </w:sectPr>
      </w:pPr>
    </w:p>
    <w:p w14:paraId="4483DDB7">
      <w:pPr>
        <w:pStyle w:val="3"/>
        <w:spacing w:line="272" w:lineRule="auto"/>
        <w:rPr>
          <w:color w:val="auto"/>
          <w:highlight w:val="none"/>
        </w:rPr>
      </w:pPr>
    </w:p>
    <w:p w14:paraId="1D7EA0D0">
      <w:pPr>
        <w:pStyle w:val="3"/>
        <w:spacing w:line="272" w:lineRule="auto"/>
        <w:rPr>
          <w:color w:val="auto"/>
          <w:highlight w:val="none"/>
        </w:rPr>
      </w:pPr>
    </w:p>
    <w:p w14:paraId="333865E6">
      <w:pPr>
        <w:pStyle w:val="3"/>
        <w:spacing w:line="272" w:lineRule="auto"/>
        <w:rPr>
          <w:color w:val="auto"/>
          <w:highlight w:val="none"/>
        </w:rPr>
      </w:pPr>
    </w:p>
    <w:p w14:paraId="1C0BE521">
      <w:pPr>
        <w:spacing w:before="78" w:line="219" w:lineRule="auto"/>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附表</w:t>
      </w:r>
      <w:r>
        <w:rPr>
          <w:rFonts w:ascii="黑体" w:hAnsi="黑体" w:eastAsia="黑体" w:cs="黑体"/>
          <w:color w:val="auto"/>
          <w:spacing w:val="-60"/>
          <w:sz w:val="24"/>
          <w:szCs w:val="24"/>
          <w:highlight w:val="none"/>
        </w:rPr>
        <w:t xml:space="preserve"> </w:t>
      </w:r>
      <w:r>
        <w:rPr>
          <w:rFonts w:ascii="Times New Roman" w:hAnsi="Times New Roman" w:eastAsia="Times New Roman" w:cs="Times New Roman"/>
          <w:color w:val="auto"/>
          <w:spacing w:val="-4"/>
          <w:sz w:val="24"/>
          <w:szCs w:val="24"/>
          <w:highlight w:val="none"/>
        </w:rPr>
        <w:t>A-</w:t>
      </w:r>
      <w:r>
        <w:rPr>
          <w:rFonts w:ascii="Times New Roman" w:hAnsi="Times New Roman" w:eastAsia="Times New Roman" w:cs="Times New Roman"/>
          <w:color w:val="auto"/>
          <w:spacing w:val="-30"/>
          <w:sz w:val="24"/>
          <w:szCs w:val="24"/>
          <w:highlight w:val="none"/>
        </w:rPr>
        <w:t xml:space="preserve"> </w:t>
      </w:r>
      <w:r>
        <w:rPr>
          <w:rFonts w:ascii="Times New Roman" w:hAnsi="Times New Roman" w:eastAsia="Times New Roman" w:cs="Times New Roman"/>
          <w:color w:val="auto"/>
          <w:spacing w:val="-4"/>
          <w:sz w:val="24"/>
          <w:szCs w:val="24"/>
          <w:highlight w:val="none"/>
        </w:rPr>
        <w:t>14</w:t>
      </w:r>
      <w:r>
        <w:rPr>
          <w:rFonts w:ascii="黑体" w:hAnsi="黑体" w:eastAsia="黑体" w:cs="黑体"/>
          <w:color w:val="auto"/>
          <w:spacing w:val="-4"/>
          <w:sz w:val="24"/>
          <w:szCs w:val="24"/>
          <w:highlight w:val="none"/>
        </w:rPr>
        <w:t>：其他因素评审记录表</w:t>
      </w:r>
    </w:p>
    <w:p w14:paraId="46DD1EC5">
      <w:pPr>
        <w:spacing w:before="288" w:line="219" w:lineRule="auto"/>
        <w:ind w:left="5354"/>
        <w:rPr>
          <w:rFonts w:ascii="黑体" w:hAnsi="黑体" w:eastAsia="黑体" w:cs="黑体"/>
          <w:color w:val="auto"/>
          <w:sz w:val="36"/>
          <w:szCs w:val="36"/>
          <w:highlight w:val="none"/>
        </w:rPr>
      </w:pPr>
      <w:r>
        <w:rPr>
          <w:rFonts w:ascii="黑体" w:hAnsi="黑体" w:eastAsia="黑体" w:cs="黑体"/>
          <w:color w:val="auto"/>
          <w:spacing w:val="-2"/>
          <w:sz w:val="36"/>
          <w:szCs w:val="36"/>
          <w:highlight w:val="none"/>
        </w:rPr>
        <w:t>其他因素评审记录表</w:t>
      </w:r>
    </w:p>
    <w:p w14:paraId="665E08B6">
      <w:pPr>
        <w:spacing w:before="234" w:line="221" w:lineRule="auto"/>
        <w:ind w:left="197"/>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标段名称：</w:t>
      </w:r>
    </w:p>
    <w:p w14:paraId="363319C3">
      <w:pPr>
        <w:spacing w:before="22" w:line="214" w:lineRule="auto"/>
        <w:ind w:left="19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标段唯一标识码：</w:t>
      </w:r>
    </w:p>
    <w:tbl>
      <w:tblPr>
        <w:tblStyle w:val="10"/>
        <w:tblW w:w="13327" w:type="dxa"/>
        <w:tblInd w:w="2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2"/>
        <w:gridCol w:w="1752"/>
        <w:gridCol w:w="1315"/>
        <w:gridCol w:w="1315"/>
        <w:gridCol w:w="1315"/>
        <w:gridCol w:w="1310"/>
        <w:gridCol w:w="1315"/>
        <w:gridCol w:w="1315"/>
        <w:gridCol w:w="1325"/>
        <w:gridCol w:w="1593"/>
      </w:tblGrid>
      <w:tr w14:paraId="5F1E7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772" w:type="dxa"/>
            <w:vMerge w:val="restart"/>
            <w:tcBorders>
              <w:bottom w:val="nil"/>
            </w:tcBorders>
            <w:vAlign w:val="top"/>
          </w:tcPr>
          <w:p w14:paraId="0D78A8A6">
            <w:pPr>
              <w:spacing w:line="266" w:lineRule="auto"/>
              <w:rPr>
                <w:rFonts w:ascii="Arial"/>
                <w:color w:val="auto"/>
                <w:sz w:val="21"/>
                <w:highlight w:val="none"/>
              </w:rPr>
            </w:pPr>
          </w:p>
          <w:p w14:paraId="0077380A">
            <w:pPr>
              <w:pStyle w:val="11"/>
              <w:spacing w:before="69" w:line="222" w:lineRule="auto"/>
              <w:ind w:left="179"/>
              <w:rPr>
                <w:color w:val="auto"/>
                <w:highlight w:val="none"/>
              </w:rPr>
            </w:pPr>
            <w:r>
              <w:rPr>
                <w:color w:val="auto"/>
                <w:spacing w:val="-2"/>
                <w:highlight w:val="none"/>
                <w14:textOutline w14:w="3831" w14:cap="flat" w14:cmpd="sng">
                  <w14:solidFill>
                    <w14:srgbClr w14:val="000000"/>
                  </w14:solidFill>
                  <w14:prstDash w14:val="solid"/>
                  <w14:miter w14:val="0"/>
                </w14:textOutline>
              </w:rPr>
              <w:t>序号</w:t>
            </w:r>
          </w:p>
        </w:tc>
        <w:tc>
          <w:tcPr>
            <w:tcW w:w="1752" w:type="dxa"/>
            <w:vMerge w:val="restart"/>
            <w:tcBorders>
              <w:bottom w:val="nil"/>
            </w:tcBorders>
            <w:vAlign w:val="top"/>
          </w:tcPr>
          <w:p w14:paraId="17C0D598">
            <w:pPr>
              <w:spacing w:line="267" w:lineRule="auto"/>
              <w:rPr>
                <w:rFonts w:ascii="Arial"/>
                <w:color w:val="auto"/>
                <w:sz w:val="21"/>
                <w:highlight w:val="none"/>
              </w:rPr>
            </w:pPr>
          </w:p>
          <w:p w14:paraId="24E30A9B">
            <w:pPr>
              <w:pStyle w:val="11"/>
              <w:spacing w:before="68" w:line="221" w:lineRule="auto"/>
              <w:ind w:left="357"/>
              <w:rPr>
                <w:color w:val="auto"/>
                <w:highlight w:val="none"/>
              </w:rPr>
            </w:pPr>
            <w:r>
              <w:rPr>
                <w:color w:val="auto"/>
                <w:spacing w:val="-1"/>
                <w:highlight w:val="none"/>
                <w14:textOutline w14:w="3831" w14:cap="flat" w14:cmpd="sng">
                  <w14:solidFill>
                    <w14:srgbClr w14:val="000000"/>
                  </w14:solidFill>
                  <w14:prstDash w14:val="solid"/>
                  <w14:miter w14:val="0"/>
                </w14:textOutline>
              </w:rPr>
              <w:t>投标人名称</w:t>
            </w:r>
          </w:p>
        </w:tc>
        <w:tc>
          <w:tcPr>
            <w:tcW w:w="9210" w:type="dxa"/>
            <w:gridSpan w:val="7"/>
            <w:vAlign w:val="top"/>
          </w:tcPr>
          <w:p w14:paraId="1E1B4590">
            <w:pPr>
              <w:pStyle w:val="11"/>
              <w:spacing w:before="110" w:line="221" w:lineRule="auto"/>
              <w:ind w:left="3873"/>
              <w:rPr>
                <w:color w:val="auto"/>
                <w:highlight w:val="none"/>
              </w:rPr>
            </w:pPr>
            <w:r>
              <w:rPr>
                <w:color w:val="auto"/>
                <w:highlight w:val="none"/>
                <w14:textOutline w14:w="3831" w14:cap="flat" w14:cmpd="sng">
                  <w14:solidFill>
                    <w14:srgbClr w14:val="000000"/>
                  </w14:solidFill>
                  <w14:prstDash w14:val="solid"/>
                  <w14:miter w14:val="0"/>
                </w14:textOutline>
              </w:rPr>
              <w:t>评委姓名及得分</w:t>
            </w:r>
          </w:p>
        </w:tc>
        <w:tc>
          <w:tcPr>
            <w:tcW w:w="1593" w:type="dxa"/>
            <w:vMerge w:val="restart"/>
            <w:tcBorders>
              <w:bottom w:val="nil"/>
            </w:tcBorders>
            <w:vAlign w:val="top"/>
          </w:tcPr>
          <w:p w14:paraId="0942B0D1">
            <w:pPr>
              <w:pStyle w:val="11"/>
              <w:spacing w:before="197" w:line="231" w:lineRule="auto"/>
              <w:ind w:left="589" w:right="162" w:hanging="422"/>
              <w:rPr>
                <w:color w:val="auto"/>
                <w:highlight w:val="none"/>
              </w:rPr>
            </w:pPr>
            <w:r>
              <w:rPr>
                <w:color w:val="auto"/>
                <w:spacing w:val="-1"/>
                <w:highlight w:val="none"/>
                <w14:textOutline w14:w="3831" w14:cap="flat" w14:cmpd="sng">
                  <w14:solidFill>
                    <w14:srgbClr w14:val="000000"/>
                  </w14:solidFill>
                  <w14:prstDash w14:val="solid"/>
                  <w14:miter w14:val="0"/>
                </w14:textOutline>
              </w:rPr>
              <w:t>其他因素最终</w:t>
            </w:r>
            <w:r>
              <w:rPr>
                <w:color w:val="auto"/>
                <w:spacing w:val="3"/>
                <w:highlight w:val="none"/>
              </w:rPr>
              <w:t xml:space="preserve"> </w:t>
            </w:r>
            <w:r>
              <w:rPr>
                <w:color w:val="auto"/>
                <w:spacing w:val="-2"/>
                <w:highlight w:val="none"/>
                <w14:textOutline w14:w="3831" w14:cap="flat" w14:cmpd="sng">
                  <w14:solidFill>
                    <w14:srgbClr w14:val="000000"/>
                  </w14:solidFill>
                  <w14:prstDash w14:val="solid"/>
                  <w14:miter w14:val="0"/>
                </w14:textOutline>
              </w:rPr>
              <w:t>得分</w:t>
            </w:r>
          </w:p>
        </w:tc>
      </w:tr>
      <w:tr w14:paraId="70814B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772" w:type="dxa"/>
            <w:vMerge w:val="continue"/>
            <w:tcBorders>
              <w:top w:val="nil"/>
            </w:tcBorders>
            <w:vAlign w:val="top"/>
          </w:tcPr>
          <w:p w14:paraId="545333C6">
            <w:pPr>
              <w:rPr>
                <w:rFonts w:ascii="Arial"/>
                <w:color w:val="auto"/>
                <w:sz w:val="21"/>
                <w:highlight w:val="none"/>
              </w:rPr>
            </w:pPr>
          </w:p>
        </w:tc>
        <w:tc>
          <w:tcPr>
            <w:tcW w:w="1752" w:type="dxa"/>
            <w:vMerge w:val="continue"/>
            <w:tcBorders>
              <w:top w:val="nil"/>
            </w:tcBorders>
            <w:vAlign w:val="top"/>
          </w:tcPr>
          <w:p w14:paraId="0007D408">
            <w:pPr>
              <w:rPr>
                <w:rFonts w:ascii="Arial"/>
                <w:color w:val="auto"/>
                <w:sz w:val="21"/>
                <w:highlight w:val="none"/>
              </w:rPr>
            </w:pPr>
          </w:p>
        </w:tc>
        <w:tc>
          <w:tcPr>
            <w:tcW w:w="1315" w:type="dxa"/>
            <w:vAlign w:val="top"/>
          </w:tcPr>
          <w:p w14:paraId="1FF5EF58">
            <w:pPr>
              <w:pStyle w:val="11"/>
              <w:spacing w:before="112" w:line="221" w:lineRule="auto"/>
              <w:ind w:left="373"/>
              <w:rPr>
                <w:color w:val="auto"/>
                <w:highlight w:val="none"/>
              </w:rPr>
            </w:pPr>
            <w:r>
              <w:rPr>
                <w:color w:val="auto"/>
                <w:spacing w:val="-2"/>
                <w:highlight w:val="none"/>
                <w14:textOutline w14:w="3831" w14:cap="flat" w14:cmpd="sng">
                  <w14:solidFill>
                    <w14:srgbClr w14:val="000000"/>
                  </w14:solidFill>
                  <w14:prstDash w14:val="solid"/>
                  <w14:miter w14:val="0"/>
                </w14:textOutline>
              </w:rPr>
              <w:t>评委</w:t>
            </w:r>
            <w:r>
              <w:rPr>
                <w:color w:val="auto"/>
                <w:spacing w:val="-29"/>
                <w:highlight w:val="none"/>
              </w:rPr>
              <w:t xml:space="preserve"> </w:t>
            </w:r>
            <w:r>
              <w:rPr>
                <w:color w:val="auto"/>
                <w:spacing w:val="-2"/>
                <w:highlight w:val="none"/>
                <w14:textOutline w14:w="3831" w14:cap="flat" w14:cmpd="sng">
                  <w14:solidFill>
                    <w14:srgbClr w14:val="000000"/>
                  </w14:solidFill>
                  <w14:prstDash w14:val="solid"/>
                  <w14:miter w14:val="0"/>
                </w14:textOutline>
              </w:rPr>
              <w:t>1</w:t>
            </w:r>
          </w:p>
        </w:tc>
        <w:tc>
          <w:tcPr>
            <w:tcW w:w="1315" w:type="dxa"/>
            <w:vAlign w:val="top"/>
          </w:tcPr>
          <w:p w14:paraId="3B733027">
            <w:pPr>
              <w:pStyle w:val="11"/>
              <w:spacing w:before="112" w:line="221" w:lineRule="auto"/>
              <w:ind w:left="373"/>
              <w:rPr>
                <w:color w:val="auto"/>
                <w:highlight w:val="none"/>
              </w:rPr>
            </w:pPr>
            <w:r>
              <w:rPr>
                <w:color w:val="auto"/>
                <w:spacing w:val="-2"/>
                <w:highlight w:val="none"/>
                <w14:textOutline w14:w="3831" w14:cap="flat" w14:cmpd="sng">
                  <w14:solidFill>
                    <w14:srgbClr w14:val="000000"/>
                  </w14:solidFill>
                  <w14:prstDash w14:val="solid"/>
                  <w14:miter w14:val="0"/>
                </w14:textOutline>
              </w:rPr>
              <w:t>评委</w:t>
            </w:r>
            <w:r>
              <w:rPr>
                <w:color w:val="auto"/>
                <w:spacing w:val="-41"/>
                <w:highlight w:val="none"/>
              </w:rPr>
              <w:t xml:space="preserve"> </w:t>
            </w:r>
            <w:r>
              <w:rPr>
                <w:color w:val="auto"/>
                <w:spacing w:val="-2"/>
                <w:highlight w:val="none"/>
                <w14:textOutline w14:w="3831" w14:cap="flat" w14:cmpd="sng">
                  <w14:solidFill>
                    <w14:srgbClr w14:val="000000"/>
                  </w14:solidFill>
                  <w14:prstDash w14:val="solid"/>
                  <w14:miter w14:val="0"/>
                </w14:textOutline>
              </w:rPr>
              <w:t>2</w:t>
            </w:r>
          </w:p>
        </w:tc>
        <w:tc>
          <w:tcPr>
            <w:tcW w:w="1315" w:type="dxa"/>
            <w:vAlign w:val="top"/>
          </w:tcPr>
          <w:p w14:paraId="4CAA46BF">
            <w:pPr>
              <w:pStyle w:val="11"/>
              <w:spacing w:before="112" w:line="315" w:lineRule="exact"/>
              <w:ind w:left="465"/>
              <w:rPr>
                <w:color w:val="auto"/>
                <w:highlight w:val="none"/>
              </w:rPr>
            </w:pPr>
            <w:r>
              <w:rPr>
                <w:color w:val="auto"/>
                <w:spacing w:val="-5"/>
                <w:position w:val="2"/>
                <w:highlight w:val="none"/>
                <w14:textOutline w14:w="3831" w14:cap="flat" w14:cmpd="sng">
                  <w14:solidFill>
                    <w14:srgbClr w14:val="000000"/>
                  </w14:solidFill>
                  <w14:prstDash w14:val="solid"/>
                  <w14:miter w14:val="0"/>
                </w14:textOutline>
              </w:rPr>
              <w:t>……</w:t>
            </w:r>
          </w:p>
        </w:tc>
        <w:tc>
          <w:tcPr>
            <w:tcW w:w="1310" w:type="dxa"/>
            <w:vAlign w:val="top"/>
          </w:tcPr>
          <w:p w14:paraId="23FDB1F1">
            <w:pPr>
              <w:rPr>
                <w:rFonts w:ascii="Arial"/>
                <w:color w:val="auto"/>
                <w:sz w:val="21"/>
                <w:highlight w:val="none"/>
              </w:rPr>
            </w:pPr>
          </w:p>
        </w:tc>
        <w:tc>
          <w:tcPr>
            <w:tcW w:w="1315" w:type="dxa"/>
            <w:vAlign w:val="top"/>
          </w:tcPr>
          <w:p w14:paraId="120D94AB">
            <w:pPr>
              <w:rPr>
                <w:rFonts w:ascii="Arial"/>
                <w:color w:val="auto"/>
                <w:sz w:val="21"/>
                <w:highlight w:val="none"/>
              </w:rPr>
            </w:pPr>
          </w:p>
        </w:tc>
        <w:tc>
          <w:tcPr>
            <w:tcW w:w="1315" w:type="dxa"/>
            <w:vAlign w:val="top"/>
          </w:tcPr>
          <w:p w14:paraId="236CA089">
            <w:pPr>
              <w:rPr>
                <w:rFonts w:ascii="Arial"/>
                <w:color w:val="auto"/>
                <w:sz w:val="21"/>
                <w:highlight w:val="none"/>
              </w:rPr>
            </w:pPr>
          </w:p>
        </w:tc>
        <w:tc>
          <w:tcPr>
            <w:tcW w:w="1325" w:type="dxa"/>
            <w:vAlign w:val="top"/>
          </w:tcPr>
          <w:p w14:paraId="21987589">
            <w:pPr>
              <w:rPr>
                <w:rFonts w:ascii="Arial"/>
                <w:color w:val="auto"/>
                <w:sz w:val="21"/>
                <w:highlight w:val="none"/>
              </w:rPr>
            </w:pPr>
          </w:p>
        </w:tc>
        <w:tc>
          <w:tcPr>
            <w:tcW w:w="1593" w:type="dxa"/>
            <w:vMerge w:val="continue"/>
            <w:tcBorders>
              <w:top w:val="nil"/>
            </w:tcBorders>
            <w:vAlign w:val="top"/>
          </w:tcPr>
          <w:p w14:paraId="3029C1A6">
            <w:pPr>
              <w:rPr>
                <w:rFonts w:ascii="Arial"/>
                <w:color w:val="auto"/>
                <w:sz w:val="21"/>
                <w:highlight w:val="none"/>
              </w:rPr>
            </w:pPr>
          </w:p>
        </w:tc>
      </w:tr>
      <w:tr w14:paraId="6FAD3D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2" w:type="dxa"/>
            <w:vAlign w:val="top"/>
          </w:tcPr>
          <w:p w14:paraId="26CCD77B">
            <w:pPr>
              <w:pStyle w:val="11"/>
              <w:spacing w:before="222" w:line="183" w:lineRule="auto"/>
              <w:ind w:left="354"/>
              <w:rPr>
                <w:color w:val="auto"/>
                <w:highlight w:val="none"/>
              </w:rPr>
            </w:pPr>
            <w:r>
              <w:rPr>
                <w:color w:val="auto"/>
                <w:highlight w:val="none"/>
              </w:rPr>
              <w:t>1</w:t>
            </w:r>
          </w:p>
        </w:tc>
        <w:tc>
          <w:tcPr>
            <w:tcW w:w="1752" w:type="dxa"/>
            <w:vAlign w:val="top"/>
          </w:tcPr>
          <w:p w14:paraId="6E9E19B1">
            <w:pPr>
              <w:rPr>
                <w:rFonts w:ascii="Arial"/>
                <w:color w:val="auto"/>
                <w:sz w:val="21"/>
                <w:highlight w:val="none"/>
              </w:rPr>
            </w:pPr>
          </w:p>
        </w:tc>
        <w:tc>
          <w:tcPr>
            <w:tcW w:w="1315" w:type="dxa"/>
            <w:vAlign w:val="top"/>
          </w:tcPr>
          <w:p w14:paraId="237C80EF">
            <w:pPr>
              <w:rPr>
                <w:rFonts w:ascii="Arial"/>
                <w:color w:val="auto"/>
                <w:sz w:val="21"/>
                <w:highlight w:val="none"/>
              </w:rPr>
            </w:pPr>
          </w:p>
        </w:tc>
        <w:tc>
          <w:tcPr>
            <w:tcW w:w="1315" w:type="dxa"/>
            <w:vAlign w:val="top"/>
          </w:tcPr>
          <w:p w14:paraId="432502EC">
            <w:pPr>
              <w:rPr>
                <w:rFonts w:ascii="Arial"/>
                <w:color w:val="auto"/>
                <w:sz w:val="21"/>
                <w:highlight w:val="none"/>
              </w:rPr>
            </w:pPr>
          </w:p>
        </w:tc>
        <w:tc>
          <w:tcPr>
            <w:tcW w:w="1315" w:type="dxa"/>
            <w:vAlign w:val="top"/>
          </w:tcPr>
          <w:p w14:paraId="200BD57A">
            <w:pPr>
              <w:rPr>
                <w:rFonts w:ascii="Arial"/>
                <w:color w:val="auto"/>
                <w:sz w:val="21"/>
                <w:highlight w:val="none"/>
              </w:rPr>
            </w:pPr>
          </w:p>
        </w:tc>
        <w:tc>
          <w:tcPr>
            <w:tcW w:w="1310" w:type="dxa"/>
            <w:vAlign w:val="top"/>
          </w:tcPr>
          <w:p w14:paraId="26F33BF8">
            <w:pPr>
              <w:rPr>
                <w:rFonts w:ascii="Arial"/>
                <w:color w:val="auto"/>
                <w:sz w:val="21"/>
                <w:highlight w:val="none"/>
              </w:rPr>
            </w:pPr>
          </w:p>
        </w:tc>
        <w:tc>
          <w:tcPr>
            <w:tcW w:w="1315" w:type="dxa"/>
            <w:vAlign w:val="top"/>
          </w:tcPr>
          <w:p w14:paraId="7F9F6B03">
            <w:pPr>
              <w:rPr>
                <w:rFonts w:ascii="Arial"/>
                <w:color w:val="auto"/>
                <w:sz w:val="21"/>
                <w:highlight w:val="none"/>
              </w:rPr>
            </w:pPr>
          </w:p>
        </w:tc>
        <w:tc>
          <w:tcPr>
            <w:tcW w:w="1315" w:type="dxa"/>
            <w:vAlign w:val="top"/>
          </w:tcPr>
          <w:p w14:paraId="1499BBC6">
            <w:pPr>
              <w:rPr>
                <w:rFonts w:ascii="Arial"/>
                <w:color w:val="auto"/>
                <w:sz w:val="21"/>
                <w:highlight w:val="none"/>
              </w:rPr>
            </w:pPr>
          </w:p>
        </w:tc>
        <w:tc>
          <w:tcPr>
            <w:tcW w:w="1325" w:type="dxa"/>
            <w:vAlign w:val="top"/>
          </w:tcPr>
          <w:p w14:paraId="5F9B7A59">
            <w:pPr>
              <w:rPr>
                <w:rFonts w:ascii="Arial"/>
                <w:color w:val="auto"/>
                <w:sz w:val="21"/>
                <w:highlight w:val="none"/>
              </w:rPr>
            </w:pPr>
          </w:p>
        </w:tc>
        <w:tc>
          <w:tcPr>
            <w:tcW w:w="1593" w:type="dxa"/>
            <w:vAlign w:val="top"/>
          </w:tcPr>
          <w:p w14:paraId="77339E0B">
            <w:pPr>
              <w:rPr>
                <w:rFonts w:ascii="Arial"/>
                <w:color w:val="auto"/>
                <w:sz w:val="21"/>
                <w:highlight w:val="none"/>
              </w:rPr>
            </w:pPr>
          </w:p>
        </w:tc>
      </w:tr>
      <w:tr w14:paraId="4CA3A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2" w:type="dxa"/>
            <w:vAlign w:val="top"/>
          </w:tcPr>
          <w:p w14:paraId="582C05AA">
            <w:pPr>
              <w:pStyle w:val="11"/>
              <w:spacing w:before="219" w:line="182" w:lineRule="auto"/>
              <w:ind w:left="341"/>
              <w:rPr>
                <w:color w:val="auto"/>
                <w:highlight w:val="none"/>
              </w:rPr>
            </w:pPr>
            <w:r>
              <w:rPr>
                <w:color w:val="auto"/>
                <w:highlight w:val="none"/>
              </w:rPr>
              <w:t>2</w:t>
            </w:r>
          </w:p>
        </w:tc>
        <w:tc>
          <w:tcPr>
            <w:tcW w:w="1752" w:type="dxa"/>
            <w:vAlign w:val="top"/>
          </w:tcPr>
          <w:p w14:paraId="45E1FD54">
            <w:pPr>
              <w:rPr>
                <w:rFonts w:ascii="Arial"/>
                <w:color w:val="auto"/>
                <w:sz w:val="21"/>
                <w:highlight w:val="none"/>
              </w:rPr>
            </w:pPr>
          </w:p>
        </w:tc>
        <w:tc>
          <w:tcPr>
            <w:tcW w:w="1315" w:type="dxa"/>
            <w:vAlign w:val="top"/>
          </w:tcPr>
          <w:p w14:paraId="7F07A46A">
            <w:pPr>
              <w:rPr>
                <w:rFonts w:ascii="Arial"/>
                <w:color w:val="auto"/>
                <w:sz w:val="21"/>
                <w:highlight w:val="none"/>
              </w:rPr>
            </w:pPr>
          </w:p>
        </w:tc>
        <w:tc>
          <w:tcPr>
            <w:tcW w:w="1315" w:type="dxa"/>
            <w:vAlign w:val="top"/>
          </w:tcPr>
          <w:p w14:paraId="68ABA7D1">
            <w:pPr>
              <w:rPr>
                <w:rFonts w:ascii="Arial"/>
                <w:color w:val="auto"/>
                <w:sz w:val="21"/>
                <w:highlight w:val="none"/>
              </w:rPr>
            </w:pPr>
          </w:p>
        </w:tc>
        <w:tc>
          <w:tcPr>
            <w:tcW w:w="1315" w:type="dxa"/>
            <w:vAlign w:val="top"/>
          </w:tcPr>
          <w:p w14:paraId="1DFCFCBE">
            <w:pPr>
              <w:rPr>
                <w:rFonts w:ascii="Arial"/>
                <w:color w:val="auto"/>
                <w:sz w:val="21"/>
                <w:highlight w:val="none"/>
              </w:rPr>
            </w:pPr>
          </w:p>
        </w:tc>
        <w:tc>
          <w:tcPr>
            <w:tcW w:w="1310" w:type="dxa"/>
            <w:vAlign w:val="top"/>
          </w:tcPr>
          <w:p w14:paraId="4A07602C">
            <w:pPr>
              <w:rPr>
                <w:rFonts w:ascii="Arial"/>
                <w:color w:val="auto"/>
                <w:sz w:val="21"/>
                <w:highlight w:val="none"/>
              </w:rPr>
            </w:pPr>
          </w:p>
        </w:tc>
        <w:tc>
          <w:tcPr>
            <w:tcW w:w="1315" w:type="dxa"/>
            <w:vAlign w:val="top"/>
          </w:tcPr>
          <w:p w14:paraId="0C238596">
            <w:pPr>
              <w:rPr>
                <w:rFonts w:ascii="Arial"/>
                <w:color w:val="auto"/>
                <w:sz w:val="21"/>
                <w:highlight w:val="none"/>
              </w:rPr>
            </w:pPr>
          </w:p>
        </w:tc>
        <w:tc>
          <w:tcPr>
            <w:tcW w:w="1315" w:type="dxa"/>
            <w:vAlign w:val="top"/>
          </w:tcPr>
          <w:p w14:paraId="30AB6BE6">
            <w:pPr>
              <w:rPr>
                <w:rFonts w:ascii="Arial"/>
                <w:color w:val="auto"/>
                <w:sz w:val="21"/>
                <w:highlight w:val="none"/>
              </w:rPr>
            </w:pPr>
          </w:p>
        </w:tc>
        <w:tc>
          <w:tcPr>
            <w:tcW w:w="1325" w:type="dxa"/>
            <w:vAlign w:val="top"/>
          </w:tcPr>
          <w:p w14:paraId="51EE8CCB">
            <w:pPr>
              <w:rPr>
                <w:rFonts w:ascii="Arial"/>
                <w:color w:val="auto"/>
                <w:sz w:val="21"/>
                <w:highlight w:val="none"/>
              </w:rPr>
            </w:pPr>
          </w:p>
        </w:tc>
        <w:tc>
          <w:tcPr>
            <w:tcW w:w="1593" w:type="dxa"/>
            <w:vAlign w:val="top"/>
          </w:tcPr>
          <w:p w14:paraId="0A03AD1D">
            <w:pPr>
              <w:rPr>
                <w:rFonts w:ascii="Arial"/>
                <w:color w:val="auto"/>
                <w:sz w:val="21"/>
                <w:highlight w:val="none"/>
              </w:rPr>
            </w:pPr>
          </w:p>
        </w:tc>
      </w:tr>
      <w:tr w14:paraId="71DA7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9" w:hRule="atLeast"/>
        </w:trPr>
        <w:tc>
          <w:tcPr>
            <w:tcW w:w="772" w:type="dxa"/>
            <w:vAlign w:val="top"/>
          </w:tcPr>
          <w:p w14:paraId="083E9435">
            <w:pPr>
              <w:pStyle w:val="11"/>
              <w:spacing w:before="219" w:line="182" w:lineRule="auto"/>
              <w:ind w:left="343"/>
              <w:rPr>
                <w:color w:val="auto"/>
                <w:highlight w:val="none"/>
              </w:rPr>
            </w:pPr>
            <w:r>
              <w:rPr>
                <w:color w:val="auto"/>
                <w:highlight w:val="none"/>
              </w:rPr>
              <w:t>3</w:t>
            </w:r>
          </w:p>
        </w:tc>
        <w:tc>
          <w:tcPr>
            <w:tcW w:w="1752" w:type="dxa"/>
            <w:vAlign w:val="top"/>
          </w:tcPr>
          <w:p w14:paraId="1671B62D">
            <w:pPr>
              <w:rPr>
                <w:rFonts w:ascii="Arial"/>
                <w:color w:val="auto"/>
                <w:sz w:val="21"/>
                <w:highlight w:val="none"/>
              </w:rPr>
            </w:pPr>
          </w:p>
        </w:tc>
        <w:tc>
          <w:tcPr>
            <w:tcW w:w="1315" w:type="dxa"/>
            <w:vAlign w:val="top"/>
          </w:tcPr>
          <w:p w14:paraId="48AC6CB3">
            <w:pPr>
              <w:rPr>
                <w:rFonts w:ascii="Arial"/>
                <w:color w:val="auto"/>
                <w:sz w:val="21"/>
                <w:highlight w:val="none"/>
              </w:rPr>
            </w:pPr>
          </w:p>
        </w:tc>
        <w:tc>
          <w:tcPr>
            <w:tcW w:w="1315" w:type="dxa"/>
            <w:vAlign w:val="top"/>
          </w:tcPr>
          <w:p w14:paraId="1CD00096">
            <w:pPr>
              <w:rPr>
                <w:rFonts w:ascii="Arial"/>
                <w:color w:val="auto"/>
                <w:sz w:val="21"/>
                <w:highlight w:val="none"/>
              </w:rPr>
            </w:pPr>
          </w:p>
        </w:tc>
        <w:tc>
          <w:tcPr>
            <w:tcW w:w="1315" w:type="dxa"/>
            <w:vAlign w:val="top"/>
          </w:tcPr>
          <w:p w14:paraId="2EDF668A">
            <w:pPr>
              <w:rPr>
                <w:rFonts w:ascii="Arial"/>
                <w:color w:val="auto"/>
                <w:sz w:val="21"/>
                <w:highlight w:val="none"/>
              </w:rPr>
            </w:pPr>
          </w:p>
        </w:tc>
        <w:tc>
          <w:tcPr>
            <w:tcW w:w="1310" w:type="dxa"/>
            <w:vAlign w:val="top"/>
          </w:tcPr>
          <w:p w14:paraId="65BB779A">
            <w:pPr>
              <w:rPr>
                <w:rFonts w:ascii="Arial"/>
                <w:color w:val="auto"/>
                <w:sz w:val="21"/>
                <w:highlight w:val="none"/>
              </w:rPr>
            </w:pPr>
          </w:p>
        </w:tc>
        <w:tc>
          <w:tcPr>
            <w:tcW w:w="1315" w:type="dxa"/>
            <w:vAlign w:val="top"/>
          </w:tcPr>
          <w:p w14:paraId="24E7CFC8">
            <w:pPr>
              <w:rPr>
                <w:rFonts w:ascii="Arial"/>
                <w:color w:val="auto"/>
                <w:sz w:val="21"/>
                <w:highlight w:val="none"/>
              </w:rPr>
            </w:pPr>
          </w:p>
        </w:tc>
        <w:tc>
          <w:tcPr>
            <w:tcW w:w="1315" w:type="dxa"/>
            <w:vAlign w:val="top"/>
          </w:tcPr>
          <w:p w14:paraId="2036B8FB">
            <w:pPr>
              <w:rPr>
                <w:rFonts w:ascii="Arial"/>
                <w:color w:val="auto"/>
                <w:sz w:val="21"/>
                <w:highlight w:val="none"/>
              </w:rPr>
            </w:pPr>
          </w:p>
        </w:tc>
        <w:tc>
          <w:tcPr>
            <w:tcW w:w="1325" w:type="dxa"/>
            <w:vAlign w:val="top"/>
          </w:tcPr>
          <w:p w14:paraId="1B384B02">
            <w:pPr>
              <w:rPr>
                <w:rFonts w:ascii="Arial"/>
                <w:color w:val="auto"/>
                <w:sz w:val="21"/>
                <w:highlight w:val="none"/>
              </w:rPr>
            </w:pPr>
          </w:p>
        </w:tc>
        <w:tc>
          <w:tcPr>
            <w:tcW w:w="1593" w:type="dxa"/>
            <w:vAlign w:val="top"/>
          </w:tcPr>
          <w:p w14:paraId="13AED27F">
            <w:pPr>
              <w:rPr>
                <w:rFonts w:ascii="Arial"/>
                <w:color w:val="auto"/>
                <w:sz w:val="21"/>
                <w:highlight w:val="none"/>
              </w:rPr>
            </w:pPr>
          </w:p>
        </w:tc>
      </w:tr>
      <w:tr w14:paraId="4BB34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72" w:type="dxa"/>
            <w:vAlign w:val="top"/>
          </w:tcPr>
          <w:p w14:paraId="1B645EE7">
            <w:pPr>
              <w:pStyle w:val="11"/>
              <w:spacing w:before="221" w:line="182" w:lineRule="auto"/>
              <w:ind w:left="338"/>
              <w:rPr>
                <w:color w:val="auto"/>
                <w:highlight w:val="none"/>
              </w:rPr>
            </w:pPr>
            <w:r>
              <w:rPr>
                <w:color w:val="auto"/>
                <w:highlight w:val="none"/>
              </w:rPr>
              <w:t>4</w:t>
            </w:r>
          </w:p>
        </w:tc>
        <w:tc>
          <w:tcPr>
            <w:tcW w:w="1752" w:type="dxa"/>
            <w:vAlign w:val="top"/>
          </w:tcPr>
          <w:p w14:paraId="05ADD090">
            <w:pPr>
              <w:rPr>
                <w:rFonts w:ascii="Arial"/>
                <w:color w:val="auto"/>
                <w:sz w:val="21"/>
                <w:highlight w:val="none"/>
              </w:rPr>
            </w:pPr>
          </w:p>
        </w:tc>
        <w:tc>
          <w:tcPr>
            <w:tcW w:w="1315" w:type="dxa"/>
            <w:vAlign w:val="top"/>
          </w:tcPr>
          <w:p w14:paraId="0A29912E">
            <w:pPr>
              <w:rPr>
                <w:rFonts w:ascii="Arial"/>
                <w:color w:val="auto"/>
                <w:sz w:val="21"/>
                <w:highlight w:val="none"/>
              </w:rPr>
            </w:pPr>
          </w:p>
        </w:tc>
        <w:tc>
          <w:tcPr>
            <w:tcW w:w="1315" w:type="dxa"/>
            <w:vAlign w:val="top"/>
          </w:tcPr>
          <w:p w14:paraId="0FFF5FBF">
            <w:pPr>
              <w:rPr>
                <w:rFonts w:ascii="Arial"/>
                <w:color w:val="auto"/>
                <w:sz w:val="21"/>
                <w:highlight w:val="none"/>
              </w:rPr>
            </w:pPr>
          </w:p>
        </w:tc>
        <w:tc>
          <w:tcPr>
            <w:tcW w:w="1315" w:type="dxa"/>
            <w:vAlign w:val="top"/>
          </w:tcPr>
          <w:p w14:paraId="75B2D0B1">
            <w:pPr>
              <w:rPr>
                <w:rFonts w:ascii="Arial"/>
                <w:color w:val="auto"/>
                <w:sz w:val="21"/>
                <w:highlight w:val="none"/>
              </w:rPr>
            </w:pPr>
          </w:p>
        </w:tc>
        <w:tc>
          <w:tcPr>
            <w:tcW w:w="1310" w:type="dxa"/>
            <w:vAlign w:val="top"/>
          </w:tcPr>
          <w:p w14:paraId="39DEE637">
            <w:pPr>
              <w:rPr>
                <w:rFonts w:ascii="Arial"/>
                <w:color w:val="auto"/>
                <w:sz w:val="21"/>
                <w:highlight w:val="none"/>
              </w:rPr>
            </w:pPr>
          </w:p>
        </w:tc>
        <w:tc>
          <w:tcPr>
            <w:tcW w:w="1315" w:type="dxa"/>
            <w:vAlign w:val="top"/>
          </w:tcPr>
          <w:p w14:paraId="03F363B8">
            <w:pPr>
              <w:rPr>
                <w:rFonts w:ascii="Arial"/>
                <w:color w:val="auto"/>
                <w:sz w:val="21"/>
                <w:highlight w:val="none"/>
              </w:rPr>
            </w:pPr>
          </w:p>
        </w:tc>
        <w:tc>
          <w:tcPr>
            <w:tcW w:w="1315" w:type="dxa"/>
            <w:vAlign w:val="top"/>
          </w:tcPr>
          <w:p w14:paraId="12F93E59">
            <w:pPr>
              <w:rPr>
                <w:rFonts w:ascii="Arial"/>
                <w:color w:val="auto"/>
                <w:sz w:val="21"/>
                <w:highlight w:val="none"/>
              </w:rPr>
            </w:pPr>
          </w:p>
        </w:tc>
        <w:tc>
          <w:tcPr>
            <w:tcW w:w="1325" w:type="dxa"/>
            <w:vAlign w:val="top"/>
          </w:tcPr>
          <w:p w14:paraId="4E153C9A">
            <w:pPr>
              <w:rPr>
                <w:rFonts w:ascii="Arial"/>
                <w:color w:val="auto"/>
                <w:sz w:val="21"/>
                <w:highlight w:val="none"/>
              </w:rPr>
            </w:pPr>
          </w:p>
        </w:tc>
        <w:tc>
          <w:tcPr>
            <w:tcW w:w="1593" w:type="dxa"/>
            <w:vAlign w:val="top"/>
          </w:tcPr>
          <w:p w14:paraId="70F94373">
            <w:pPr>
              <w:rPr>
                <w:rFonts w:ascii="Arial"/>
                <w:color w:val="auto"/>
                <w:sz w:val="21"/>
                <w:highlight w:val="none"/>
              </w:rPr>
            </w:pPr>
          </w:p>
        </w:tc>
      </w:tr>
      <w:tr w14:paraId="5C9E0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2" w:type="dxa"/>
            <w:vAlign w:val="top"/>
          </w:tcPr>
          <w:p w14:paraId="76689E51">
            <w:pPr>
              <w:pStyle w:val="11"/>
              <w:spacing w:before="227" w:line="181" w:lineRule="auto"/>
              <w:ind w:left="343"/>
              <w:rPr>
                <w:color w:val="auto"/>
                <w:highlight w:val="none"/>
              </w:rPr>
            </w:pPr>
            <w:r>
              <w:rPr>
                <w:color w:val="auto"/>
                <w:highlight w:val="none"/>
              </w:rPr>
              <w:t>5</w:t>
            </w:r>
          </w:p>
        </w:tc>
        <w:tc>
          <w:tcPr>
            <w:tcW w:w="1752" w:type="dxa"/>
            <w:vAlign w:val="top"/>
          </w:tcPr>
          <w:p w14:paraId="37CFD858">
            <w:pPr>
              <w:rPr>
                <w:rFonts w:ascii="Arial"/>
                <w:color w:val="auto"/>
                <w:sz w:val="21"/>
                <w:highlight w:val="none"/>
              </w:rPr>
            </w:pPr>
          </w:p>
        </w:tc>
        <w:tc>
          <w:tcPr>
            <w:tcW w:w="1315" w:type="dxa"/>
            <w:vAlign w:val="top"/>
          </w:tcPr>
          <w:p w14:paraId="4F1DE7DA">
            <w:pPr>
              <w:rPr>
                <w:rFonts w:ascii="Arial"/>
                <w:color w:val="auto"/>
                <w:sz w:val="21"/>
                <w:highlight w:val="none"/>
              </w:rPr>
            </w:pPr>
          </w:p>
        </w:tc>
        <w:tc>
          <w:tcPr>
            <w:tcW w:w="1315" w:type="dxa"/>
            <w:vAlign w:val="top"/>
          </w:tcPr>
          <w:p w14:paraId="500CEE13">
            <w:pPr>
              <w:rPr>
                <w:rFonts w:ascii="Arial"/>
                <w:color w:val="auto"/>
                <w:sz w:val="21"/>
                <w:highlight w:val="none"/>
              </w:rPr>
            </w:pPr>
          </w:p>
        </w:tc>
        <w:tc>
          <w:tcPr>
            <w:tcW w:w="1315" w:type="dxa"/>
            <w:vAlign w:val="top"/>
          </w:tcPr>
          <w:p w14:paraId="07F29953">
            <w:pPr>
              <w:rPr>
                <w:rFonts w:ascii="Arial"/>
                <w:color w:val="auto"/>
                <w:sz w:val="21"/>
                <w:highlight w:val="none"/>
              </w:rPr>
            </w:pPr>
          </w:p>
        </w:tc>
        <w:tc>
          <w:tcPr>
            <w:tcW w:w="1310" w:type="dxa"/>
            <w:vAlign w:val="top"/>
          </w:tcPr>
          <w:p w14:paraId="53F52D03">
            <w:pPr>
              <w:rPr>
                <w:rFonts w:ascii="Arial"/>
                <w:color w:val="auto"/>
                <w:sz w:val="21"/>
                <w:highlight w:val="none"/>
              </w:rPr>
            </w:pPr>
          </w:p>
        </w:tc>
        <w:tc>
          <w:tcPr>
            <w:tcW w:w="1315" w:type="dxa"/>
            <w:vAlign w:val="top"/>
          </w:tcPr>
          <w:p w14:paraId="2361CBC0">
            <w:pPr>
              <w:rPr>
                <w:rFonts w:ascii="Arial"/>
                <w:color w:val="auto"/>
                <w:sz w:val="21"/>
                <w:highlight w:val="none"/>
              </w:rPr>
            </w:pPr>
          </w:p>
        </w:tc>
        <w:tc>
          <w:tcPr>
            <w:tcW w:w="1315" w:type="dxa"/>
            <w:vAlign w:val="top"/>
          </w:tcPr>
          <w:p w14:paraId="5F7029C3">
            <w:pPr>
              <w:rPr>
                <w:rFonts w:ascii="Arial"/>
                <w:color w:val="auto"/>
                <w:sz w:val="21"/>
                <w:highlight w:val="none"/>
              </w:rPr>
            </w:pPr>
          </w:p>
        </w:tc>
        <w:tc>
          <w:tcPr>
            <w:tcW w:w="1325" w:type="dxa"/>
            <w:vAlign w:val="top"/>
          </w:tcPr>
          <w:p w14:paraId="083B9153">
            <w:pPr>
              <w:rPr>
                <w:rFonts w:ascii="Arial"/>
                <w:color w:val="auto"/>
                <w:sz w:val="21"/>
                <w:highlight w:val="none"/>
              </w:rPr>
            </w:pPr>
          </w:p>
        </w:tc>
        <w:tc>
          <w:tcPr>
            <w:tcW w:w="1593" w:type="dxa"/>
            <w:vAlign w:val="top"/>
          </w:tcPr>
          <w:p w14:paraId="080178EC">
            <w:pPr>
              <w:rPr>
                <w:rFonts w:ascii="Arial"/>
                <w:color w:val="auto"/>
                <w:sz w:val="21"/>
                <w:highlight w:val="none"/>
              </w:rPr>
            </w:pPr>
          </w:p>
        </w:tc>
      </w:tr>
      <w:tr w14:paraId="5F28D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0" w:hRule="atLeast"/>
        </w:trPr>
        <w:tc>
          <w:tcPr>
            <w:tcW w:w="772" w:type="dxa"/>
            <w:vAlign w:val="top"/>
          </w:tcPr>
          <w:p w14:paraId="4F09D344">
            <w:pPr>
              <w:pStyle w:val="11"/>
              <w:spacing w:before="186" w:line="332" w:lineRule="exact"/>
              <w:ind w:left="198"/>
              <w:rPr>
                <w:color w:val="auto"/>
                <w:highlight w:val="none"/>
              </w:rPr>
            </w:pPr>
            <w:r>
              <w:rPr>
                <w:color w:val="auto"/>
                <w:spacing w:val="-10"/>
                <w:position w:val="2"/>
                <w:highlight w:val="none"/>
              </w:rPr>
              <w:t>……</w:t>
            </w:r>
          </w:p>
        </w:tc>
        <w:tc>
          <w:tcPr>
            <w:tcW w:w="1752" w:type="dxa"/>
            <w:vAlign w:val="top"/>
          </w:tcPr>
          <w:p w14:paraId="617A75E8">
            <w:pPr>
              <w:rPr>
                <w:rFonts w:ascii="Arial"/>
                <w:color w:val="auto"/>
                <w:sz w:val="21"/>
                <w:highlight w:val="none"/>
              </w:rPr>
            </w:pPr>
          </w:p>
        </w:tc>
        <w:tc>
          <w:tcPr>
            <w:tcW w:w="1315" w:type="dxa"/>
            <w:vAlign w:val="top"/>
          </w:tcPr>
          <w:p w14:paraId="1BE5AACC">
            <w:pPr>
              <w:rPr>
                <w:rFonts w:ascii="Arial"/>
                <w:color w:val="auto"/>
                <w:sz w:val="21"/>
                <w:highlight w:val="none"/>
              </w:rPr>
            </w:pPr>
          </w:p>
        </w:tc>
        <w:tc>
          <w:tcPr>
            <w:tcW w:w="1315" w:type="dxa"/>
            <w:vAlign w:val="top"/>
          </w:tcPr>
          <w:p w14:paraId="28283B52">
            <w:pPr>
              <w:rPr>
                <w:rFonts w:ascii="Arial"/>
                <w:color w:val="auto"/>
                <w:sz w:val="21"/>
                <w:highlight w:val="none"/>
              </w:rPr>
            </w:pPr>
          </w:p>
        </w:tc>
        <w:tc>
          <w:tcPr>
            <w:tcW w:w="1315" w:type="dxa"/>
            <w:vAlign w:val="top"/>
          </w:tcPr>
          <w:p w14:paraId="5A78C3FE">
            <w:pPr>
              <w:rPr>
                <w:rFonts w:ascii="Arial"/>
                <w:color w:val="auto"/>
                <w:sz w:val="21"/>
                <w:highlight w:val="none"/>
              </w:rPr>
            </w:pPr>
          </w:p>
        </w:tc>
        <w:tc>
          <w:tcPr>
            <w:tcW w:w="1310" w:type="dxa"/>
            <w:vAlign w:val="top"/>
          </w:tcPr>
          <w:p w14:paraId="23078D03">
            <w:pPr>
              <w:rPr>
                <w:rFonts w:ascii="Arial"/>
                <w:color w:val="auto"/>
                <w:sz w:val="21"/>
                <w:highlight w:val="none"/>
              </w:rPr>
            </w:pPr>
          </w:p>
        </w:tc>
        <w:tc>
          <w:tcPr>
            <w:tcW w:w="1315" w:type="dxa"/>
            <w:vAlign w:val="top"/>
          </w:tcPr>
          <w:p w14:paraId="4567E006">
            <w:pPr>
              <w:rPr>
                <w:rFonts w:ascii="Arial"/>
                <w:color w:val="auto"/>
                <w:sz w:val="21"/>
                <w:highlight w:val="none"/>
              </w:rPr>
            </w:pPr>
          </w:p>
        </w:tc>
        <w:tc>
          <w:tcPr>
            <w:tcW w:w="1315" w:type="dxa"/>
            <w:vAlign w:val="top"/>
          </w:tcPr>
          <w:p w14:paraId="7AFC2D1B">
            <w:pPr>
              <w:rPr>
                <w:rFonts w:ascii="Arial"/>
                <w:color w:val="auto"/>
                <w:sz w:val="21"/>
                <w:highlight w:val="none"/>
              </w:rPr>
            </w:pPr>
          </w:p>
        </w:tc>
        <w:tc>
          <w:tcPr>
            <w:tcW w:w="1325" w:type="dxa"/>
            <w:vAlign w:val="top"/>
          </w:tcPr>
          <w:p w14:paraId="169E1D52">
            <w:pPr>
              <w:rPr>
                <w:rFonts w:ascii="Arial"/>
                <w:color w:val="auto"/>
                <w:sz w:val="21"/>
                <w:highlight w:val="none"/>
              </w:rPr>
            </w:pPr>
          </w:p>
        </w:tc>
        <w:tc>
          <w:tcPr>
            <w:tcW w:w="1593" w:type="dxa"/>
            <w:vAlign w:val="top"/>
          </w:tcPr>
          <w:p w14:paraId="0CB5A4C9">
            <w:pPr>
              <w:rPr>
                <w:rFonts w:ascii="Arial"/>
                <w:color w:val="auto"/>
                <w:sz w:val="21"/>
                <w:highlight w:val="none"/>
              </w:rPr>
            </w:pPr>
          </w:p>
        </w:tc>
      </w:tr>
      <w:tr w14:paraId="17ABF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13327" w:type="dxa"/>
            <w:gridSpan w:val="10"/>
            <w:vAlign w:val="top"/>
          </w:tcPr>
          <w:p w14:paraId="3DF4D803">
            <w:pPr>
              <w:pStyle w:val="11"/>
              <w:spacing w:before="33" w:line="220" w:lineRule="auto"/>
              <w:ind w:left="117"/>
              <w:rPr>
                <w:color w:val="auto"/>
                <w:highlight w:val="none"/>
              </w:rPr>
            </w:pPr>
            <w:r>
              <w:rPr>
                <w:color w:val="auto"/>
                <w:spacing w:val="-3"/>
                <w:highlight w:val="none"/>
              </w:rPr>
              <w:t>评标委员会全体成员签名：</w:t>
            </w:r>
          </w:p>
        </w:tc>
      </w:tr>
    </w:tbl>
    <w:p w14:paraId="2699C534">
      <w:pPr>
        <w:spacing w:before="30" w:line="221" w:lineRule="auto"/>
        <w:ind w:left="11621"/>
        <w:rPr>
          <w:rFonts w:ascii="宋体" w:hAnsi="宋体" w:eastAsia="宋体" w:cs="宋体"/>
          <w:color w:val="auto"/>
          <w:sz w:val="21"/>
          <w:szCs w:val="21"/>
          <w:highlight w:val="none"/>
        </w:rPr>
      </w:pPr>
      <w:r>
        <w:rPr>
          <w:rFonts w:ascii="宋体" w:hAnsi="宋体" w:eastAsia="宋体" w:cs="宋体"/>
          <w:color w:val="auto"/>
          <w:spacing w:val="-21"/>
          <w:sz w:val="21"/>
          <w:szCs w:val="21"/>
          <w:highlight w:val="none"/>
        </w:rPr>
        <w:t>日期：</w:t>
      </w:r>
      <w:r>
        <w:rPr>
          <w:rFonts w:ascii="宋体" w:hAnsi="宋体" w:eastAsia="宋体" w:cs="宋体"/>
          <w:color w:val="auto"/>
          <w:spacing w:val="33"/>
          <w:sz w:val="21"/>
          <w:szCs w:val="21"/>
          <w:highlight w:val="none"/>
        </w:rPr>
        <w:t xml:space="preserve">   </w:t>
      </w:r>
      <w:r>
        <w:rPr>
          <w:rFonts w:ascii="宋体" w:hAnsi="宋体" w:eastAsia="宋体" w:cs="宋体"/>
          <w:color w:val="auto"/>
          <w:spacing w:val="-21"/>
          <w:sz w:val="21"/>
          <w:szCs w:val="21"/>
          <w:highlight w:val="none"/>
        </w:rPr>
        <w:t>年</w:t>
      </w:r>
      <w:r>
        <w:rPr>
          <w:rFonts w:ascii="宋体" w:hAnsi="宋体" w:eastAsia="宋体" w:cs="宋体"/>
          <w:color w:val="auto"/>
          <w:spacing w:val="8"/>
          <w:sz w:val="21"/>
          <w:szCs w:val="21"/>
          <w:highlight w:val="none"/>
        </w:rPr>
        <w:t xml:space="preserve">  </w:t>
      </w:r>
      <w:r>
        <w:rPr>
          <w:rFonts w:ascii="宋体" w:hAnsi="宋体" w:eastAsia="宋体" w:cs="宋体"/>
          <w:color w:val="auto"/>
          <w:spacing w:val="-21"/>
          <w:sz w:val="21"/>
          <w:szCs w:val="21"/>
          <w:highlight w:val="none"/>
        </w:rPr>
        <w:t>月  日</w:t>
      </w:r>
    </w:p>
    <w:p w14:paraId="1E7236A0">
      <w:pPr>
        <w:spacing w:line="221" w:lineRule="auto"/>
        <w:rPr>
          <w:rFonts w:ascii="宋体" w:hAnsi="宋体" w:eastAsia="宋体" w:cs="宋体"/>
          <w:color w:val="auto"/>
          <w:sz w:val="21"/>
          <w:szCs w:val="21"/>
          <w:highlight w:val="none"/>
        </w:rPr>
        <w:sectPr>
          <w:footerReference r:id="rId93" w:type="default"/>
          <w:pgSz w:w="16839" w:h="11905"/>
          <w:pgMar w:top="1011" w:right="1752" w:bottom="991" w:left="1463" w:header="0" w:footer="786" w:gutter="0"/>
          <w:pgNumType w:fmt="decimal"/>
          <w:cols w:space="720" w:num="1"/>
        </w:sectPr>
      </w:pPr>
    </w:p>
    <w:p w14:paraId="6D22E7B9">
      <w:pPr>
        <w:pStyle w:val="3"/>
        <w:spacing w:line="272" w:lineRule="auto"/>
        <w:rPr>
          <w:color w:val="auto"/>
          <w:highlight w:val="none"/>
        </w:rPr>
      </w:pPr>
    </w:p>
    <w:p w14:paraId="490F3F12">
      <w:pPr>
        <w:pStyle w:val="3"/>
        <w:spacing w:line="272" w:lineRule="auto"/>
        <w:rPr>
          <w:color w:val="auto"/>
          <w:highlight w:val="none"/>
        </w:rPr>
      </w:pPr>
    </w:p>
    <w:p w14:paraId="6EC463C8">
      <w:pPr>
        <w:pStyle w:val="3"/>
        <w:spacing w:line="272" w:lineRule="auto"/>
        <w:rPr>
          <w:color w:val="auto"/>
          <w:highlight w:val="none"/>
        </w:rPr>
      </w:pPr>
    </w:p>
    <w:p w14:paraId="2200DECE">
      <w:pPr>
        <w:spacing w:before="78" w:line="219" w:lineRule="auto"/>
        <w:ind w:left="75"/>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附表</w:t>
      </w:r>
      <w:r>
        <w:rPr>
          <w:rFonts w:ascii="黑体" w:hAnsi="黑体" w:eastAsia="黑体" w:cs="黑体"/>
          <w:color w:val="auto"/>
          <w:spacing w:val="-60"/>
          <w:sz w:val="24"/>
          <w:szCs w:val="24"/>
          <w:highlight w:val="none"/>
        </w:rPr>
        <w:t xml:space="preserve"> </w:t>
      </w:r>
      <w:r>
        <w:rPr>
          <w:rFonts w:ascii="Times New Roman" w:hAnsi="Times New Roman" w:eastAsia="Times New Roman" w:cs="Times New Roman"/>
          <w:color w:val="auto"/>
          <w:spacing w:val="-4"/>
          <w:sz w:val="24"/>
          <w:szCs w:val="24"/>
          <w:highlight w:val="none"/>
        </w:rPr>
        <w:t>A-</w:t>
      </w:r>
      <w:r>
        <w:rPr>
          <w:rFonts w:ascii="Times New Roman" w:hAnsi="Times New Roman" w:eastAsia="Times New Roman" w:cs="Times New Roman"/>
          <w:color w:val="auto"/>
          <w:spacing w:val="-30"/>
          <w:sz w:val="24"/>
          <w:szCs w:val="24"/>
          <w:highlight w:val="none"/>
        </w:rPr>
        <w:t xml:space="preserve"> </w:t>
      </w:r>
      <w:r>
        <w:rPr>
          <w:rFonts w:ascii="Times New Roman" w:hAnsi="Times New Roman" w:eastAsia="Times New Roman" w:cs="Times New Roman"/>
          <w:color w:val="auto"/>
          <w:spacing w:val="-4"/>
          <w:sz w:val="24"/>
          <w:szCs w:val="24"/>
          <w:highlight w:val="none"/>
        </w:rPr>
        <w:t>15</w:t>
      </w:r>
      <w:r>
        <w:rPr>
          <w:rFonts w:ascii="黑体" w:hAnsi="黑体" w:eastAsia="黑体" w:cs="黑体"/>
          <w:color w:val="auto"/>
          <w:spacing w:val="-4"/>
          <w:sz w:val="24"/>
          <w:szCs w:val="24"/>
          <w:highlight w:val="none"/>
        </w:rPr>
        <w:t>：详细评审评分汇总表</w:t>
      </w:r>
    </w:p>
    <w:p w14:paraId="2CA53224">
      <w:pPr>
        <w:spacing w:before="288" w:line="219" w:lineRule="auto"/>
        <w:ind w:left="5423"/>
        <w:rPr>
          <w:rFonts w:ascii="黑体" w:hAnsi="黑体" w:eastAsia="黑体" w:cs="黑体"/>
          <w:color w:val="auto"/>
          <w:sz w:val="36"/>
          <w:szCs w:val="36"/>
          <w:highlight w:val="none"/>
        </w:rPr>
      </w:pPr>
      <w:r>
        <w:rPr>
          <w:rFonts w:ascii="黑体" w:hAnsi="黑体" w:eastAsia="黑体" w:cs="黑体"/>
          <w:color w:val="auto"/>
          <w:spacing w:val="-2"/>
          <w:sz w:val="36"/>
          <w:szCs w:val="36"/>
          <w:highlight w:val="none"/>
        </w:rPr>
        <w:t>详细评审评分汇总表</w:t>
      </w:r>
    </w:p>
    <w:p w14:paraId="0318F0F0">
      <w:pPr>
        <w:spacing w:before="234" w:line="221" w:lineRule="auto"/>
        <w:ind w:left="61"/>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标段名称：</w:t>
      </w:r>
    </w:p>
    <w:p w14:paraId="45003A13">
      <w:pPr>
        <w:spacing w:before="22" w:line="214" w:lineRule="auto"/>
        <w:ind w:left="61"/>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标段唯一标识码：</w:t>
      </w:r>
    </w:p>
    <w:tbl>
      <w:tblPr>
        <w:tblStyle w:val="10"/>
        <w:tblW w:w="140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8"/>
        <w:gridCol w:w="2961"/>
        <w:gridCol w:w="1891"/>
        <w:gridCol w:w="1891"/>
        <w:gridCol w:w="1891"/>
        <w:gridCol w:w="1896"/>
        <w:gridCol w:w="1219"/>
        <w:gridCol w:w="1301"/>
      </w:tblGrid>
      <w:tr w14:paraId="5B230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1008" w:type="dxa"/>
            <w:vMerge w:val="restart"/>
            <w:tcBorders>
              <w:bottom w:val="nil"/>
            </w:tcBorders>
            <w:vAlign w:val="top"/>
          </w:tcPr>
          <w:p w14:paraId="3F081C29">
            <w:pPr>
              <w:pStyle w:val="11"/>
              <w:spacing w:before="187" w:line="222" w:lineRule="auto"/>
              <w:ind w:left="299"/>
              <w:rPr>
                <w:color w:val="auto"/>
                <w:highlight w:val="none"/>
              </w:rPr>
            </w:pPr>
            <w:r>
              <w:rPr>
                <w:color w:val="auto"/>
                <w:spacing w:val="-2"/>
                <w:highlight w:val="none"/>
                <w14:textOutline w14:w="3831" w14:cap="flat" w14:cmpd="sng">
                  <w14:solidFill>
                    <w14:srgbClr w14:val="000000"/>
                  </w14:solidFill>
                  <w14:prstDash w14:val="solid"/>
                  <w14:miter w14:val="0"/>
                </w14:textOutline>
              </w:rPr>
              <w:t>序号</w:t>
            </w:r>
          </w:p>
        </w:tc>
        <w:tc>
          <w:tcPr>
            <w:tcW w:w="2961" w:type="dxa"/>
            <w:vMerge w:val="restart"/>
            <w:tcBorders>
              <w:bottom w:val="nil"/>
            </w:tcBorders>
            <w:vAlign w:val="top"/>
          </w:tcPr>
          <w:p w14:paraId="03038870">
            <w:pPr>
              <w:pStyle w:val="11"/>
              <w:spacing w:before="188" w:line="221" w:lineRule="auto"/>
              <w:ind w:left="956"/>
              <w:rPr>
                <w:color w:val="auto"/>
                <w:highlight w:val="none"/>
              </w:rPr>
            </w:pPr>
            <w:r>
              <w:rPr>
                <w:color w:val="auto"/>
                <w:spacing w:val="-1"/>
                <w:highlight w:val="none"/>
                <w14:textOutline w14:w="3831" w14:cap="flat" w14:cmpd="sng">
                  <w14:solidFill>
                    <w14:srgbClr w14:val="000000"/>
                  </w14:solidFill>
                  <w14:prstDash w14:val="solid"/>
                  <w14:miter w14:val="0"/>
                </w14:textOutline>
              </w:rPr>
              <w:t>投标人名称</w:t>
            </w:r>
          </w:p>
        </w:tc>
        <w:tc>
          <w:tcPr>
            <w:tcW w:w="7569" w:type="dxa"/>
            <w:gridSpan w:val="4"/>
            <w:vAlign w:val="top"/>
          </w:tcPr>
          <w:p w14:paraId="219AC0BA">
            <w:pPr>
              <w:pStyle w:val="11"/>
              <w:spacing w:before="39" w:line="218" w:lineRule="auto"/>
              <w:ind w:left="2947"/>
              <w:rPr>
                <w:color w:val="auto"/>
                <w:highlight w:val="none"/>
              </w:rPr>
            </w:pPr>
            <w:r>
              <w:rPr>
                <w:color w:val="auto"/>
                <w:highlight w:val="none"/>
                <w14:textOutline w14:w="3831" w14:cap="flat" w14:cmpd="sng">
                  <w14:solidFill>
                    <w14:srgbClr w14:val="000000"/>
                  </w14:solidFill>
                  <w14:prstDash w14:val="solid"/>
                  <w14:miter w14:val="0"/>
                </w14:textOutline>
              </w:rPr>
              <w:t>评审类别评审得分</w:t>
            </w:r>
          </w:p>
        </w:tc>
        <w:tc>
          <w:tcPr>
            <w:tcW w:w="1219" w:type="dxa"/>
            <w:vMerge w:val="restart"/>
            <w:tcBorders>
              <w:bottom w:val="nil"/>
            </w:tcBorders>
            <w:vAlign w:val="top"/>
          </w:tcPr>
          <w:p w14:paraId="4750548C">
            <w:pPr>
              <w:pStyle w:val="11"/>
              <w:spacing w:before="53" w:line="231" w:lineRule="auto"/>
              <w:ind w:left="400" w:right="187" w:hanging="212"/>
              <w:rPr>
                <w:color w:val="auto"/>
                <w:highlight w:val="none"/>
              </w:rPr>
            </w:pPr>
            <w:r>
              <w:rPr>
                <w:color w:val="auto"/>
                <w:spacing w:val="-1"/>
                <w:highlight w:val="none"/>
                <w14:textOutline w14:w="3831" w14:cap="flat" w14:cmpd="sng">
                  <w14:solidFill>
                    <w14:srgbClr w14:val="000000"/>
                  </w14:solidFill>
                  <w14:prstDash w14:val="solid"/>
                  <w14:miter w14:val="0"/>
                </w14:textOutline>
              </w:rPr>
              <w:t>评审得分</w:t>
            </w:r>
            <w:r>
              <w:rPr>
                <w:color w:val="auto"/>
                <w:highlight w:val="none"/>
              </w:rPr>
              <w:t xml:space="preserve"> </w:t>
            </w:r>
            <w:r>
              <w:rPr>
                <w:color w:val="auto"/>
                <w:spacing w:val="-2"/>
                <w:highlight w:val="none"/>
                <w14:textOutline w14:w="3831" w14:cap="flat" w14:cmpd="sng">
                  <w14:solidFill>
                    <w14:srgbClr w14:val="000000"/>
                  </w14:solidFill>
                  <w14:prstDash w14:val="solid"/>
                  <w14:miter w14:val="0"/>
                </w14:textOutline>
              </w:rPr>
              <w:t>汇总</w:t>
            </w:r>
          </w:p>
        </w:tc>
        <w:tc>
          <w:tcPr>
            <w:tcW w:w="1301" w:type="dxa"/>
            <w:vMerge w:val="restart"/>
            <w:tcBorders>
              <w:bottom w:val="nil"/>
            </w:tcBorders>
            <w:vAlign w:val="top"/>
          </w:tcPr>
          <w:p w14:paraId="0BA88373">
            <w:pPr>
              <w:pStyle w:val="11"/>
              <w:spacing w:before="188" w:line="221" w:lineRule="auto"/>
              <w:ind w:left="130"/>
              <w:rPr>
                <w:color w:val="auto"/>
                <w:highlight w:val="none"/>
              </w:rPr>
            </w:pPr>
            <w:r>
              <w:rPr>
                <w:color w:val="auto"/>
                <w:spacing w:val="-1"/>
                <w:highlight w:val="none"/>
                <w14:textOutline w14:w="3831" w14:cap="flat" w14:cmpd="sng">
                  <w14:solidFill>
                    <w14:srgbClr w14:val="000000"/>
                  </w14:solidFill>
                  <w14:prstDash w14:val="solid"/>
                  <w14:miter w14:val="0"/>
                </w14:textOutline>
              </w:rPr>
              <w:t>投标人排名</w:t>
            </w:r>
          </w:p>
        </w:tc>
      </w:tr>
      <w:tr w14:paraId="0D793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1008" w:type="dxa"/>
            <w:vMerge w:val="continue"/>
            <w:tcBorders>
              <w:top w:val="nil"/>
            </w:tcBorders>
            <w:vAlign w:val="top"/>
          </w:tcPr>
          <w:p w14:paraId="1014C636">
            <w:pPr>
              <w:rPr>
                <w:rFonts w:ascii="Arial"/>
                <w:color w:val="auto"/>
                <w:sz w:val="21"/>
                <w:highlight w:val="none"/>
              </w:rPr>
            </w:pPr>
          </w:p>
        </w:tc>
        <w:tc>
          <w:tcPr>
            <w:tcW w:w="2961" w:type="dxa"/>
            <w:vMerge w:val="continue"/>
            <w:tcBorders>
              <w:top w:val="nil"/>
            </w:tcBorders>
            <w:vAlign w:val="top"/>
          </w:tcPr>
          <w:p w14:paraId="7C480B83">
            <w:pPr>
              <w:rPr>
                <w:rFonts w:ascii="Arial"/>
                <w:color w:val="auto"/>
                <w:sz w:val="21"/>
                <w:highlight w:val="none"/>
              </w:rPr>
            </w:pPr>
          </w:p>
        </w:tc>
        <w:tc>
          <w:tcPr>
            <w:tcW w:w="1891" w:type="dxa"/>
            <w:vAlign w:val="top"/>
          </w:tcPr>
          <w:p w14:paraId="1107396F">
            <w:pPr>
              <w:pStyle w:val="11"/>
              <w:spacing w:before="34" w:line="213" w:lineRule="auto"/>
              <w:ind w:left="530"/>
              <w:rPr>
                <w:color w:val="auto"/>
                <w:highlight w:val="none"/>
              </w:rPr>
            </w:pPr>
            <w:r>
              <w:rPr>
                <w:color w:val="auto"/>
                <w:spacing w:val="-2"/>
                <w:highlight w:val="none"/>
                <w14:textOutline w14:w="3831" w14:cap="flat" w14:cmpd="sng">
                  <w14:solidFill>
                    <w14:srgbClr w14:val="000000"/>
                  </w14:solidFill>
                  <w14:prstDash w14:val="solid"/>
                  <w14:miter w14:val="0"/>
                </w14:textOutline>
              </w:rPr>
              <w:t>投标报价</w:t>
            </w:r>
          </w:p>
        </w:tc>
        <w:tc>
          <w:tcPr>
            <w:tcW w:w="1891" w:type="dxa"/>
            <w:vAlign w:val="top"/>
          </w:tcPr>
          <w:p w14:paraId="747D4BE5">
            <w:pPr>
              <w:pStyle w:val="11"/>
              <w:spacing w:before="34" w:line="213" w:lineRule="auto"/>
              <w:ind w:left="635"/>
              <w:rPr>
                <w:color w:val="auto"/>
                <w:highlight w:val="none"/>
              </w:rPr>
            </w:pPr>
            <w:r>
              <w:rPr>
                <w:color w:val="auto"/>
                <w:spacing w:val="-2"/>
                <w:highlight w:val="none"/>
                <w14:textOutline w14:w="3831" w14:cap="flat" w14:cmpd="sng">
                  <w14:solidFill>
                    <w14:srgbClr w14:val="000000"/>
                  </w14:solidFill>
                  <w14:prstDash w14:val="solid"/>
                  <w14:miter w14:val="0"/>
                </w14:textOutline>
              </w:rPr>
              <w:t>技术标</w:t>
            </w:r>
          </w:p>
        </w:tc>
        <w:tc>
          <w:tcPr>
            <w:tcW w:w="1891" w:type="dxa"/>
            <w:vAlign w:val="top"/>
          </w:tcPr>
          <w:p w14:paraId="4767309F">
            <w:pPr>
              <w:pStyle w:val="11"/>
              <w:spacing w:before="34" w:line="213" w:lineRule="auto"/>
              <w:ind w:left="644"/>
              <w:rPr>
                <w:color w:val="auto"/>
                <w:highlight w:val="none"/>
              </w:rPr>
            </w:pPr>
            <w:r>
              <w:rPr>
                <w:color w:val="auto"/>
                <w:spacing w:val="-4"/>
                <w:highlight w:val="none"/>
                <w14:textOutline w14:w="3831" w14:cap="flat" w14:cmpd="sng">
                  <w14:solidFill>
                    <w14:srgbClr w14:val="000000"/>
                  </w14:solidFill>
                  <w14:prstDash w14:val="solid"/>
                  <w14:miter w14:val="0"/>
                </w14:textOutline>
              </w:rPr>
              <w:t>资信标</w:t>
            </w:r>
          </w:p>
        </w:tc>
        <w:tc>
          <w:tcPr>
            <w:tcW w:w="1896" w:type="dxa"/>
            <w:vAlign w:val="top"/>
          </w:tcPr>
          <w:p w14:paraId="34440444">
            <w:pPr>
              <w:pStyle w:val="11"/>
              <w:spacing w:before="34" w:line="213" w:lineRule="auto"/>
              <w:ind w:left="531"/>
              <w:rPr>
                <w:color w:val="auto"/>
                <w:highlight w:val="none"/>
              </w:rPr>
            </w:pPr>
            <w:r>
              <w:rPr>
                <w:color w:val="auto"/>
                <w:spacing w:val="-1"/>
                <w:highlight w:val="none"/>
                <w14:textOutline w14:w="3831" w14:cap="flat" w14:cmpd="sng">
                  <w14:solidFill>
                    <w14:srgbClr w14:val="000000"/>
                  </w14:solidFill>
                  <w14:prstDash w14:val="solid"/>
                  <w14:miter w14:val="0"/>
                </w14:textOutline>
              </w:rPr>
              <w:t>其他因素</w:t>
            </w:r>
          </w:p>
        </w:tc>
        <w:tc>
          <w:tcPr>
            <w:tcW w:w="1219" w:type="dxa"/>
            <w:vMerge w:val="continue"/>
            <w:tcBorders>
              <w:top w:val="nil"/>
            </w:tcBorders>
            <w:vAlign w:val="top"/>
          </w:tcPr>
          <w:p w14:paraId="17890DCB">
            <w:pPr>
              <w:rPr>
                <w:rFonts w:ascii="Arial"/>
                <w:color w:val="auto"/>
                <w:sz w:val="21"/>
                <w:highlight w:val="none"/>
              </w:rPr>
            </w:pPr>
          </w:p>
        </w:tc>
        <w:tc>
          <w:tcPr>
            <w:tcW w:w="1301" w:type="dxa"/>
            <w:vMerge w:val="continue"/>
            <w:tcBorders>
              <w:top w:val="nil"/>
            </w:tcBorders>
            <w:vAlign w:val="top"/>
          </w:tcPr>
          <w:p w14:paraId="4B2D29BD">
            <w:pPr>
              <w:rPr>
                <w:rFonts w:ascii="Arial"/>
                <w:color w:val="auto"/>
                <w:sz w:val="21"/>
                <w:highlight w:val="none"/>
              </w:rPr>
            </w:pPr>
          </w:p>
        </w:tc>
      </w:tr>
      <w:tr w14:paraId="60232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008" w:type="dxa"/>
            <w:vAlign w:val="top"/>
          </w:tcPr>
          <w:p w14:paraId="4237E0CC">
            <w:pPr>
              <w:pStyle w:val="11"/>
              <w:spacing w:before="123" w:line="183" w:lineRule="auto"/>
              <w:ind w:left="474"/>
              <w:rPr>
                <w:color w:val="auto"/>
                <w:highlight w:val="none"/>
              </w:rPr>
            </w:pPr>
            <w:r>
              <w:rPr>
                <w:color w:val="auto"/>
                <w:highlight w:val="none"/>
              </w:rPr>
              <w:t>1</w:t>
            </w:r>
          </w:p>
        </w:tc>
        <w:tc>
          <w:tcPr>
            <w:tcW w:w="2961" w:type="dxa"/>
            <w:vAlign w:val="top"/>
          </w:tcPr>
          <w:p w14:paraId="211A6C1B">
            <w:pPr>
              <w:rPr>
                <w:rFonts w:ascii="Arial"/>
                <w:color w:val="auto"/>
                <w:sz w:val="21"/>
                <w:highlight w:val="none"/>
              </w:rPr>
            </w:pPr>
          </w:p>
        </w:tc>
        <w:tc>
          <w:tcPr>
            <w:tcW w:w="1891" w:type="dxa"/>
            <w:vAlign w:val="top"/>
          </w:tcPr>
          <w:p w14:paraId="6304A60D">
            <w:pPr>
              <w:rPr>
                <w:rFonts w:ascii="Arial"/>
                <w:color w:val="auto"/>
                <w:sz w:val="21"/>
                <w:highlight w:val="none"/>
              </w:rPr>
            </w:pPr>
          </w:p>
        </w:tc>
        <w:tc>
          <w:tcPr>
            <w:tcW w:w="1891" w:type="dxa"/>
            <w:vAlign w:val="top"/>
          </w:tcPr>
          <w:p w14:paraId="7E1CABE4">
            <w:pPr>
              <w:rPr>
                <w:rFonts w:ascii="Arial"/>
                <w:color w:val="auto"/>
                <w:sz w:val="21"/>
                <w:highlight w:val="none"/>
              </w:rPr>
            </w:pPr>
          </w:p>
        </w:tc>
        <w:tc>
          <w:tcPr>
            <w:tcW w:w="1891" w:type="dxa"/>
            <w:vAlign w:val="top"/>
          </w:tcPr>
          <w:p w14:paraId="1B3ED4E4">
            <w:pPr>
              <w:rPr>
                <w:rFonts w:ascii="Arial"/>
                <w:color w:val="auto"/>
                <w:sz w:val="21"/>
                <w:highlight w:val="none"/>
              </w:rPr>
            </w:pPr>
          </w:p>
        </w:tc>
        <w:tc>
          <w:tcPr>
            <w:tcW w:w="1896" w:type="dxa"/>
            <w:vAlign w:val="top"/>
          </w:tcPr>
          <w:p w14:paraId="0E142875">
            <w:pPr>
              <w:rPr>
                <w:rFonts w:ascii="Arial"/>
                <w:color w:val="auto"/>
                <w:sz w:val="21"/>
                <w:highlight w:val="none"/>
              </w:rPr>
            </w:pPr>
          </w:p>
        </w:tc>
        <w:tc>
          <w:tcPr>
            <w:tcW w:w="1219" w:type="dxa"/>
            <w:vAlign w:val="top"/>
          </w:tcPr>
          <w:p w14:paraId="43B1F6AD">
            <w:pPr>
              <w:rPr>
                <w:rFonts w:ascii="Arial"/>
                <w:color w:val="auto"/>
                <w:sz w:val="21"/>
                <w:highlight w:val="none"/>
              </w:rPr>
            </w:pPr>
          </w:p>
        </w:tc>
        <w:tc>
          <w:tcPr>
            <w:tcW w:w="1301" w:type="dxa"/>
            <w:vAlign w:val="top"/>
          </w:tcPr>
          <w:p w14:paraId="30EF7E88">
            <w:pPr>
              <w:rPr>
                <w:rFonts w:ascii="Arial"/>
                <w:color w:val="auto"/>
                <w:sz w:val="21"/>
                <w:highlight w:val="none"/>
              </w:rPr>
            </w:pPr>
          </w:p>
        </w:tc>
      </w:tr>
      <w:tr w14:paraId="6FED0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008" w:type="dxa"/>
            <w:vAlign w:val="top"/>
          </w:tcPr>
          <w:p w14:paraId="1DFC19E1">
            <w:pPr>
              <w:pStyle w:val="11"/>
              <w:spacing w:before="123" w:line="182" w:lineRule="auto"/>
              <w:ind w:left="461"/>
              <w:rPr>
                <w:color w:val="auto"/>
                <w:highlight w:val="none"/>
              </w:rPr>
            </w:pPr>
            <w:r>
              <w:rPr>
                <w:color w:val="auto"/>
                <w:highlight w:val="none"/>
              </w:rPr>
              <w:t>2</w:t>
            </w:r>
          </w:p>
        </w:tc>
        <w:tc>
          <w:tcPr>
            <w:tcW w:w="2961" w:type="dxa"/>
            <w:vAlign w:val="top"/>
          </w:tcPr>
          <w:p w14:paraId="040AC2B1">
            <w:pPr>
              <w:rPr>
                <w:rFonts w:ascii="Arial"/>
                <w:color w:val="auto"/>
                <w:sz w:val="21"/>
                <w:highlight w:val="none"/>
              </w:rPr>
            </w:pPr>
          </w:p>
        </w:tc>
        <w:tc>
          <w:tcPr>
            <w:tcW w:w="1891" w:type="dxa"/>
            <w:vAlign w:val="top"/>
          </w:tcPr>
          <w:p w14:paraId="69D396A3">
            <w:pPr>
              <w:rPr>
                <w:rFonts w:ascii="Arial"/>
                <w:color w:val="auto"/>
                <w:sz w:val="21"/>
                <w:highlight w:val="none"/>
              </w:rPr>
            </w:pPr>
          </w:p>
        </w:tc>
        <w:tc>
          <w:tcPr>
            <w:tcW w:w="1891" w:type="dxa"/>
            <w:vAlign w:val="top"/>
          </w:tcPr>
          <w:p w14:paraId="7B5AD8DE">
            <w:pPr>
              <w:rPr>
                <w:rFonts w:ascii="Arial"/>
                <w:color w:val="auto"/>
                <w:sz w:val="21"/>
                <w:highlight w:val="none"/>
              </w:rPr>
            </w:pPr>
          </w:p>
        </w:tc>
        <w:tc>
          <w:tcPr>
            <w:tcW w:w="1891" w:type="dxa"/>
            <w:vAlign w:val="top"/>
          </w:tcPr>
          <w:p w14:paraId="0B4910FE">
            <w:pPr>
              <w:rPr>
                <w:rFonts w:ascii="Arial"/>
                <w:color w:val="auto"/>
                <w:sz w:val="21"/>
                <w:highlight w:val="none"/>
              </w:rPr>
            </w:pPr>
          </w:p>
        </w:tc>
        <w:tc>
          <w:tcPr>
            <w:tcW w:w="1896" w:type="dxa"/>
            <w:vAlign w:val="top"/>
          </w:tcPr>
          <w:p w14:paraId="7472B900">
            <w:pPr>
              <w:rPr>
                <w:rFonts w:ascii="Arial"/>
                <w:color w:val="auto"/>
                <w:sz w:val="21"/>
                <w:highlight w:val="none"/>
              </w:rPr>
            </w:pPr>
          </w:p>
        </w:tc>
        <w:tc>
          <w:tcPr>
            <w:tcW w:w="1219" w:type="dxa"/>
            <w:vAlign w:val="top"/>
          </w:tcPr>
          <w:p w14:paraId="61AA8ECE">
            <w:pPr>
              <w:rPr>
                <w:rFonts w:ascii="Arial"/>
                <w:color w:val="auto"/>
                <w:sz w:val="21"/>
                <w:highlight w:val="none"/>
              </w:rPr>
            </w:pPr>
          </w:p>
        </w:tc>
        <w:tc>
          <w:tcPr>
            <w:tcW w:w="1301" w:type="dxa"/>
            <w:vAlign w:val="top"/>
          </w:tcPr>
          <w:p w14:paraId="4937ED35">
            <w:pPr>
              <w:rPr>
                <w:rFonts w:ascii="Arial"/>
                <w:color w:val="auto"/>
                <w:sz w:val="21"/>
                <w:highlight w:val="none"/>
              </w:rPr>
            </w:pPr>
          </w:p>
        </w:tc>
      </w:tr>
      <w:tr w14:paraId="592AE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1008" w:type="dxa"/>
            <w:vAlign w:val="top"/>
          </w:tcPr>
          <w:p w14:paraId="7915EDEF">
            <w:pPr>
              <w:pStyle w:val="11"/>
              <w:spacing w:before="119" w:line="182" w:lineRule="auto"/>
              <w:ind w:left="463"/>
              <w:rPr>
                <w:color w:val="auto"/>
                <w:highlight w:val="none"/>
              </w:rPr>
            </w:pPr>
            <w:r>
              <w:rPr>
                <w:color w:val="auto"/>
                <w:highlight w:val="none"/>
              </w:rPr>
              <w:t>3</w:t>
            </w:r>
          </w:p>
        </w:tc>
        <w:tc>
          <w:tcPr>
            <w:tcW w:w="2961" w:type="dxa"/>
            <w:vAlign w:val="top"/>
          </w:tcPr>
          <w:p w14:paraId="05C10651">
            <w:pPr>
              <w:rPr>
                <w:rFonts w:ascii="Arial"/>
                <w:color w:val="auto"/>
                <w:sz w:val="21"/>
                <w:highlight w:val="none"/>
              </w:rPr>
            </w:pPr>
          </w:p>
        </w:tc>
        <w:tc>
          <w:tcPr>
            <w:tcW w:w="1891" w:type="dxa"/>
            <w:vAlign w:val="top"/>
          </w:tcPr>
          <w:p w14:paraId="49A07884">
            <w:pPr>
              <w:rPr>
                <w:rFonts w:ascii="Arial"/>
                <w:color w:val="auto"/>
                <w:sz w:val="21"/>
                <w:highlight w:val="none"/>
              </w:rPr>
            </w:pPr>
          </w:p>
        </w:tc>
        <w:tc>
          <w:tcPr>
            <w:tcW w:w="1891" w:type="dxa"/>
            <w:vAlign w:val="top"/>
          </w:tcPr>
          <w:p w14:paraId="41F3B90C">
            <w:pPr>
              <w:rPr>
                <w:rFonts w:ascii="Arial"/>
                <w:color w:val="auto"/>
                <w:sz w:val="21"/>
                <w:highlight w:val="none"/>
              </w:rPr>
            </w:pPr>
          </w:p>
        </w:tc>
        <w:tc>
          <w:tcPr>
            <w:tcW w:w="1891" w:type="dxa"/>
            <w:vAlign w:val="top"/>
          </w:tcPr>
          <w:p w14:paraId="455789A9">
            <w:pPr>
              <w:rPr>
                <w:rFonts w:ascii="Arial"/>
                <w:color w:val="auto"/>
                <w:sz w:val="21"/>
                <w:highlight w:val="none"/>
              </w:rPr>
            </w:pPr>
          </w:p>
        </w:tc>
        <w:tc>
          <w:tcPr>
            <w:tcW w:w="1896" w:type="dxa"/>
            <w:vAlign w:val="top"/>
          </w:tcPr>
          <w:p w14:paraId="3B49CFB7">
            <w:pPr>
              <w:rPr>
                <w:rFonts w:ascii="Arial"/>
                <w:color w:val="auto"/>
                <w:sz w:val="21"/>
                <w:highlight w:val="none"/>
              </w:rPr>
            </w:pPr>
          </w:p>
        </w:tc>
        <w:tc>
          <w:tcPr>
            <w:tcW w:w="1219" w:type="dxa"/>
            <w:vAlign w:val="top"/>
          </w:tcPr>
          <w:p w14:paraId="26E21B77">
            <w:pPr>
              <w:rPr>
                <w:rFonts w:ascii="Arial"/>
                <w:color w:val="auto"/>
                <w:sz w:val="21"/>
                <w:highlight w:val="none"/>
              </w:rPr>
            </w:pPr>
          </w:p>
        </w:tc>
        <w:tc>
          <w:tcPr>
            <w:tcW w:w="1301" w:type="dxa"/>
            <w:vAlign w:val="top"/>
          </w:tcPr>
          <w:p w14:paraId="79608C3B">
            <w:pPr>
              <w:rPr>
                <w:rFonts w:ascii="Arial"/>
                <w:color w:val="auto"/>
                <w:sz w:val="21"/>
                <w:highlight w:val="none"/>
              </w:rPr>
            </w:pPr>
          </w:p>
        </w:tc>
      </w:tr>
      <w:tr w14:paraId="79D20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3" w:hRule="atLeast"/>
        </w:trPr>
        <w:tc>
          <w:tcPr>
            <w:tcW w:w="1008" w:type="dxa"/>
            <w:vAlign w:val="top"/>
          </w:tcPr>
          <w:p w14:paraId="13B63EB3">
            <w:pPr>
              <w:pStyle w:val="11"/>
              <w:spacing w:before="125" w:line="182" w:lineRule="auto"/>
              <w:ind w:left="458"/>
              <w:rPr>
                <w:color w:val="auto"/>
                <w:highlight w:val="none"/>
              </w:rPr>
            </w:pPr>
            <w:r>
              <w:rPr>
                <w:color w:val="auto"/>
                <w:highlight w:val="none"/>
              </w:rPr>
              <w:t>4</w:t>
            </w:r>
          </w:p>
        </w:tc>
        <w:tc>
          <w:tcPr>
            <w:tcW w:w="2961" w:type="dxa"/>
            <w:vAlign w:val="top"/>
          </w:tcPr>
          <w:p w14:paraId="5C0C4ABF">
            <w:pPr>
              <w:rPr>
                <w:rFonts w:ascii="Arial"/>
                <w:color w:val="auto"/>
                <w:sz w:val="21"/>
                <w:highlight w:val="none"/>
              </w:rPr>
            </w:pPr>
          </w:p>
        </w:tc>
        <w:tc>
          <w:tcPr>
            <w:tcW w:w="1891" w:type="dxa"/>
            <w:vAlign w:val="top"/>
          </w:tcPr>
          <w:p w14:paraId="0CFC9A2E">
            <w:pPr>
              <w:rPr>
                <w:rFonts w:ascii="Arial"/>
                <w:color w:val="auto"/>
                <w:sz w:val="21"/>
                <w:highlight w:val="none"/>
              </w:rPr>
            </w:pPr>
          </w:p>
        </w:tc>
        <w:tc>
          <w:tcPr>
            <w:tcW w:w="1891" w:type="dxa"/>
            <w:vAlign w:val="top"/>
          </w:tcPr>
          <w:p w14:paraId="73B6A5C5">
            <w:pPr>
              <w:rPr>
                <w:rFonts w:ascii="Arial"/>
                <w:color w:val="auto"/>
                <w:sz w:val="21"/>
                <w:highlight w:val="none"/>
              </w:rPr>
            </w:pPr>
          </w:p>
        </w:tc>
        <w:tc>
          <w:tcPr>
            <w:tcW w:w="1891" w:type="dxa"/>
            <w:vAlign w:val="top"/>
          </w:tcPr>
          <w:p w14:paraId="76EF2AB0">
            <w:pPr>
              <w:rPr>
                <w:rFonts w:ascii="Arial"/>
                <w:color w:val="auto"/>
                <w:sz w:val="21"/>
                <w:highlight w:val="none"/>
              </w:rPr>
            </w:pPr>
          </w:p>
        </w:tc>
        <w:tc>
          <w:tcPr>
            <w:tcW w:w="1896" w:type="dxa"/>
            <w:vAlign w:val="top"/>
          </w:tcPr>
          <w:p w14:paraId="1F3581D7">
            <w:pPr>
              <w:rPr>
                <w:rFonts w:ascii="Arial"/>
                <w:color w:val="auto"/>
                <w:sz w:val="21"/>
                <w:highlight w:val="none"/>
              </w:rPr>
            </w:pPr>
          </w:p>
        </w:tc>
        <w:tc>
          <w:tcPr>
            <w:tcW w:w="1219" w:type="dxa"/>
            <w:vAlign w:val="top"/>
          </w:tcPr>
          <w:p w14:paraId="15DCB235">
            <w:pPr>
              <w:rPr>
                <w:rFonts w:ascii="Arial"/>
                <w:color w:val="auto"/>
                <w:sz w:val="21"/>
                <w:highlight w:val="none"/>
              </w:rPr>
            </w:pPr>
          </w:p>
        </w:tc>
        <w:tc>
          <w:tcPr>
            <w:tcW w:w="1301" w:type="dxa"/>
            <w:vAlign w:val="top"/>
          </w:tcPr>
          <w:p w14:paraId="51B92E49">
            <w:pPr>
              <w:rPr>
                <w:rFonts w:ascii="Arial"/>
                <w:color w:val="auto"/>
                <w:sz w:val="21"/>
                <w:highlight w:val="none"/>
              </w:rPr>
            </w:pPr>
          </w:p>
        </w:tc>
      </w:tr>
      <w:tr w14:paraId="2A6BA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008" w:type="dxa"/>
            <w:vAlign w:val="top"/>
          </w:tcPr>
          <w:p w14:paraId="43DC1BCD">
            <w:pPr>
              <w:pStyle w:val="11"/>
              <w:spacing w:before="126" w:line="181" w:lineRule="auto"/>
              <w:ind w:left="463"/>
              <w:rPr>
                <w:color w:val="auto"/>
                <w:highlight w:val="none"/>
              </w:rPr>
            </w:pPr>
            <w:r>
              <w:rPr>
                <w:color w:val="auto"/>
                <w:highlight w:val="none"/>
              </w:rPr>
              <w:t>5</w:t>
            </w:r>
          </w:p>
        </w:tc>
        <w:tc>
          <w:tcPr>
            <w:tcW w:w="2961" w:type="dxa"/>
            <w:vAlign w:val="top"/>
          </w:tcPr>
          <w:p w14:paraId="485426C6">
            <w:pPr>
              <w:rPr>
                <w:rFonts w:ascii="Arial"/>
                <w:color w:val="auto"/>
                <w:sz w:val="21"/>
                <w:highlight w:val="none"/>
              </w:rPr>
            </w:pPr>
          </w:p>
        </w:tc>
        <w:tc>
          <w:tcPr>
            <w:tcW w:w="1891" w:type="dxa"/>
            <w:vAlign w:val="top"/>
          </w:tcPr>
          <w:p w14:paraId="1E1515B4">
            <w:pPr>
              <w:rPr>
                <w:rFonts w:ascii="Arial"/>
                <w:color w:val="auto"/>
                <w:sz w:val="21"/>
                <w:highlight w:val="none"/>
              </w:rPr>
            </w:pPr>
          </w:p>
        </w:tc>
        <w:tc>
          <w:tcPr>
            <w:tcW w:w="1891" w:type="dxa"/>
            <w:vAlign w:val="top"/>
          </w:tcPr>
          <w:p w14:paraId="539145C0">
            <w:pPr>
              <w:rPr>
                <w:rFonts w:ascii="Arial"/>
                <w:color w:val="auto"/>
                <w:sz w:val="21"/>
                <w:highlight w:val="none"/>
              </w:rPr>
            </w:pPr>
          </w:p>
        </w:tc>
        <w:tc>
          <w:tcPr>
            <w:tcW w:w="1891" w:type="dxa"/>
            <w:vAlign w:val="top"/>
          </w:tcPr>
          <w:p w14:paraId="074D7EE9">
            <w:pPr>
              <w:rPr>
                <w:rFonts w:ascii="Arial"/>
                <w:color w:val="auto"/>
                <w:sz w:val="21"/>
                <w:highlight w:val="none"/>
              </w:rPr>
            </w:pPr>
          </w:p>
        </w:tc>
        <w:tc>
          <w:tcPr>
            <w:tcW w:w="1896" w:type="dxa"/>
            <w:vAlign w:val="top"/>
          </w:tcPr>
          <w:p w14:paraId="210C53FC">
            <w:pPr>
              <w:rPr>
                <w:rFonts w:ascii="Arial"/>
                <w:color w:val="auto"/>
                <w:sz w:val="21"/>
                <w:highlight w:val="none"/>
              </w:rPr>
            </w:pPr>
          </w:p>
        </w:tc>
        <w:tc>
          <w:tcPr>
            <w:tcW w:w="1219" w:type="dxa"/>
            <w:vAlign w:val="top"/>
          </w:tcPr>
          <w:p w14:paraId="30F1B5ED">
            <w:pPr>
              <w:rPr>
                <w:rFonts w:ascii="Arial"/>
                <w:color w:val="auto"/>
                <w:sz w:val="21"/>
                <w:highlight w:val="none"/>
              </w:rPr>
            </w:pPr>
          </w:p>
        </w:tc>
        <w:tc>
          <w:tcPr>
            <w:tcW w:w="1301" w:type="dxa"/>
            <w:vAlign w:val="top"/>
          </w:tcPr>
          <w:p w14:paraId="21374E71">
            <w:pPr>
              <w:rPr>
                <w:rFonts w:ascii="Arial"/>
                <w:color w:val="auto"/>
                <w:sz w:val="21"/>
                <w:highlight w:val="none"/>
              </w:rPr>
            </w:pPr>
          </w:p>
        </w:tc>
      </w:tr>
      <w:tr w14:paraId="008F4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1008" w:type="dxa"/>
            <w:vAlign w:val="top"/>
          </w:tcPr>
          <w:p w14:paraId="3FC4A110">
            <w:pPr>
              <w:pStyle w:val="11"/>
              <w:spacing w:before="85" w:line="292" w:lineRule="exact"/>
              <w:ind w:left="419"/>
              <w:rPr>
                <w:color w:val="auto"/>
                <w:highlight w:val="none"/>
              </w:rPr>
            </w:pPr>
            <w:r>
              <w:rPr>
                <w:color w:val="auto"/>
                <w:position w:val="1"/>
                <w:highlight w:val="none"/>
              </w:rPr>
              <w:t>…</w:t>
            </w:r>
          </w:p>
        </w:tc>
        <w:tc>
          <w:tcPr>
            <w:tcW w:w="2961" w:type="dxa"/>
            <w:vAlign w:val="top"/>
          </w:tcPr>
          <w:p w14:paraId="7A561797">
            <w:pPr>
              <w:rPr>
                <w:rFonts w:ascii="Arial"/>
                <w:color w:val="auto"/>
                <w:sz w:val="21"/>
                <w:highlight w:val="none"/>
              </w:rPr>
            </w:pPr>
          </w:p>
        </w:tc>
        <w:tc>
          <w:tcPr>
            <w:tcW w:w="1891" w:type="dxa"/>
            <w:vAlign w:val="top"/>
          </w:tcPr>
          <w:p w14:paraId="1578B7FF">
            <w:pPr>
              <w:rPr>
                <w:rFonts w:ascii="Arial"/>
                <w:color w:val="auto"/>
                <w:sz w:val="21"/>
                <w:highlight w:val="none"/>
              </w:rPr>
            </w:pPr>
          </w:p>
        </w:tc>
        <w:tc>
          <w:tcPr>
            <w:tcW w:w="1891" w:type="dxa"/>
            <w:vAlign w:val="top"/>
          </w:tcPr>
          <w:p w14:paraId="7BDEBE7B">
            <w:pPr>
              <w:rPr>
                <w:rFonts w:ascii="Arial"/>
                <w:color w:val="auto"/>
                <w:sz w:val="21"/>
                <w:highlight w:val="none"/>
              </w:rPr>
            </w:pPr>
          </w:p>
        </w:tc>
        <w:tc>
          <w:tcPr>
            <w:tcW w:w="1891" w:type="dxa"/>
            <w:vAlign w:val="top"/>
          </w:tcPr>
          <w:p w14:paraId="4487196C">
            <w:pPr>
              <w:rPr>
                <w:rFonts w:ascii="Arial"/>
                <w:color w:val="auto"/>
                <w:sz w:val="21"/>
                <w:highlight w:val="none"/>
              </w:rPr>
            </w:pPr>
          </w:p>
        </w:tc>
        <w:tc>
          <w:tcPr>
            <w:tcW w:w="1896" w:type="dxa"/>
            <w:vAlign w:val="top"/>
          </w:tcPr>
          <w:p w14:paraId="6672C44E">
            <w:pPr>
              <w:rPr>
                <w:rFonts w:ascii="Arial"/>
                <w:color w:val="auto"/>
                <w:sz w:val="21"/>
                <w:highlight w:val="none"/>
              </w:rPr>
            </w:pPr>
          </w:p>
        </w:tc>
        <w:tc>
          <w:tcPr>
            <w:tcW w:w="1219" w:type="dxa"/>
            <w:vAlign w:val="top"/>
          </w:tcPr>
          <w:p w14:paraId="4C5B0804">
            <w:pPr>
              <w:rPr>
                <w:rFonts w:ascii="Arial"/>
                <w:color w:val="auto"/>
                <w:sz w:val="21"/>
                <w:highlight w:val="none"/>
              </w:rPr>
            </w:pPr>
          </w:p>
        </w:tc>
        <w:tc>
          <w:tcPr>
            <w:tcW w:w="1301" w:type="dxa"/>
            <w:vAlign w:val="top"/>
          </w:tcPr>
          <w:p w14:paraId="305662CC">
            <w:pPr>
              <w:rPr>
                <w:rFonts w:ascii="Arial"/>
                <w:color w:val="auto"/>
                <w:sz w:val="21"/>
                <w:highlight w:val="none"/>
              </w:rPr>
            </w:pPr>
          </w:p>
        </w:tc>
      </w:tr>
      <w:tr w14:paraId="6F9C9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9" w:hRule="atLeast"/>
        </w:trPr>
        <w:tc>
          <w:tcPr>
            <w:tcW w:w="14058" w:type="dxa"/>
            <w:gridSpan w:val="8"/>
            <w:vAlign w:val="top"/>
          </w:tcPr>
          <w:p w14:paraId="4E2E0D4D">
            <w:pPr>
              <w:pStyle w:val="11"/>
              <w:spacing w:before="33" w:line="220" w:lineRule="auto"/>
              <w:ind w:left="117"/>
              <w:rPr>
                <w:color w:val="auto"/>
                <w:highlight w:val="none"/>
              </w:rPr>
            </w:pPr>
            <w:r>
              <w:rPr>
                <w:color w:val="auto"/>
                <w:spacing w:val="-3"/>
                <w:highlight w:val="none"/>
              </w:rPr>
              <w:t>评标委员会全体成员签名：</w:t>
            </w:r>
          </w:p>
        </w:tc>
      </w:tr>
    </w:tbl>
    <w:p w14:paraId="7FF8E896">
      <w:pPr>
        <w:spacing w:before="270" w:line="221" w:lineRule="auto"/>
        <w:ind w:left="11442"/>
        <w:rPr>
          <w:rFonts w:ascii="宋体" w:hAnsi="宋体" w:eastAsia="宋体" w:cs="宋体"/>
          <w:color w:val="auto"/>
          <w:sz w:val="21"/>
          <w:szCs w:val="21"/>
          <w:highlight w:val="none"/>
        </w:rPr>
      </w:pPr>
      <w:r>
        <w:rPr>
          <w:rFonts w:ascii="宋体" w:hAnsi="宋体" w:eastAsia="宋体" w:cs="宋体"/>
          <w:color w:val="auto"/>
          <w:spacing w:val="-26"/>
          <w:sz w:val="21"/>
          <w:szCs w:val="21"/>
          <w:highlight w:val="none"/>
        </w:rPr>
        <w:t>日期：</w:t>
      </w:r>
      <w:r>
        <w:rPr>
          <w:rFonts w:ascii="宋体" w:hAnsi="宋体" w:eastAsia="宋体" w:cs="宋体"/>
          <w:color w:val="auto"/>
          <w:spacing w:val="15"/>
          <w:sz w:val="21"/>
          <w:szCs w:val="21"/>
          <w:highlight w:val="none"/>
        </w:rPr>
        <w:t xml:space="preserve">   </w:t>
      </w:r>
      <w:r>
        <w:rPr>
          <w:rFonts w:ascii="宋体" w:hAnsi="宋体" w:eastAsia="宋体" w:cs="宋体"/>
          <w:color w:val="auto"/>
          <w:spacing w:val="-26"/>
          <w:sz w:val="21"/>
          <w:szCs w:val="21"/>
          <w:highlight w:val="none"/>
        </w:rPr>
        <w:t>年</w:t>
      </w:r>
      <w:r>
        <w:rPr>
          <w:rFonts w:ascii="宋体" w:hAnsi="宋体" w:eastAsia="宋体" w:cs="宋体"/>
          <w:color w:val="auto"/>
          <w:spacing w:val="5"/>
          <w:sz w:val="21"/>
          <w:szCs w:val="21"/>
          <w:highlight w:val="none"/>
        </w:rPr>
        <w:t xml:space="preserve">   </w:t>
      </w:r>
      <w:r>
        <w:rPr>
          <w:rFonts w:ascii="宋体" w:hAnsi="宋体" w:eastAsia="宋体" w:cs="宋体"/>
          <w:color w:val="auto"/>
          <w:spacing w:val="-26"/>
          <w:sz w:val="21"/>
          <w:szCs w:val="21"/>
          <w:highlight w:val="none"/>
        </w:rPr>
        <w:t>月</w:t>
      </w:r>
      <w:r>
        <w:rPr>
          <w:rFonts w:ascii="宋体" w:hAnsi="宋体" w:eastAsia="宋体" w:cs="宋体"/>
          <w:color w:val="auto"/>
          <w:spacing w:val="48"/>
          <w:sz w:val="21"/>
          <w:szCs w:val="21"/>
          <w:highlight w:val="none"/>
        </w:rPr>
        <w:t xml:space="preserve">  </w:t>
      </w:r>
      <w:r>
        <w:rPr>
          <w:rFonts w:ascii="宋体" w:hAnsi="宋体" w:eastAsia="宋体" w:cs="宋体"/>
          <w:color w:val="auto"/>
          <w:spacing w:val="-26"/>
          <w:sz w:val="21"/>
          <w:szCs w:val="21"/>
          <w:highlight w:val="none"/>
        </w:rPr>
        <w:t>日</w:t>
      </w:r>
    </w:p>
    <w:p w14:paraId="25C65411">
      <w:pPr>
        <w:spacing w:line="221" w:lineRule="auto"/>
        <w:rPr>
          <w:rFonts w:ascii="宋体" w:hAnsi="宋体" w:eastAsia="宋体" w:cs="宋体"/>
          <w:color w:val="auto"/>
          <w:sz w:val="21"/>
          <w:szCs w:val="21"/>
          <w:highlight w:val="none"/>
        </w:rPr>
        <w:sectPr>
          <w:footerReference r:id="rId94" w:type="default"/>
          <w:pgSz w:w="16839" w:h="11905"/>
          <w:pgMar w:top="1011" w:right="1387" w:bottom="991" w:left="1387" w:header="0" w:footer="786" w:gutter="0"/>
          <w:pgNumType w:fmt="decimal"/>
          <w:cols w:space="720" w:num="1"/>
        </w:sectPr>
      </w:pPr>
    </w:p>
    <w:p w14:paraId="73EB0F13">
      <w:pPr>
        <w:pStyle w:val="3"/>
        <w:spacing w:line="263" w:lineRule="auto"/>
        <w:rPr>
          <w:color w:val="auto"/>
          <w:highlight w:val="none"/>
        </w:rPr>
      </w:pPr>
    </w:p>
    <w:p w14:paraId="75B904AD">
      <w:pPr>
        <w:pStyle w:val="3"/>
        <w:spacing w:line="264" w:lineRule="auto"/>
        <w:rPr>
          <w:color w:val="auto"/>
          <w:highlight w:val="none"/>
        </w:rPr>
      </w:pPr>
    </w:p>
    <w:p w14:paraId="478E13A6">
      <w:pPr>
        <w:spacing w:before="78" w:line="219" w:lineRule="auto"/>
        <w:ind w:left="40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附表</w:t>
      </w:r>
      <w:r>
        <w:rPr>
          <w:rFonts w:ascii="黑体" w:hAnsi="黑体" w:eastAsia="黑体" w:cs="黑体"/>
          <w:color w:val="auto"/>
          <w:spacing w:val="-53"/>
          <w:sz w:val="24"/>
          <w:szCs w:val="24"/>
          <w:highlight w:val="none"/>
        </w:rPr>
        <w:t xml:space="preserve"> </w:t>
      </w:r>
      <w:r>
        <w:rPr>
          <w:rFonts w:ascii="Times New Roman" w:hAnsi="Times New Roman" w:eastAsia="Times New Roman" w:cs="Times New Roman"/>
          <w:color w:val="auto"/>
          <w:spacing w:val="-5"/>
          <w:sz w:val="24"/>
          <w:szCs w:val="24"/>
          <w:highlight w:val="none"/>
        </w:rPr>
        <w:t>A-</w:t>
      </w:r>
      <w:r>
        <w:rPr>
          <w:rFonts w:ascii="Times New Roman" w:hAnsi="Times New Roman" w:eastAsia="Times New Roman" w:cs="Times New Roman"/>
          <w:color w:val="auto"/>
          <w:spacing w:val="-30"/>
          <w:sz w:val="24"/>
          <w:szCs w:val="24"/>
          <w:highlight w:val="none"/>
        </w:rPr>
        <w:t xml:space="preserve"> </w:t>
      </w:r>
      <w:r>
        <w:rPr>
          <w:rFonts w:ascii="Times New Roman" w:hAnsi="Times New Roman" w:eastAsia="Times New Roman" w:cs="Times New Roman"/>
          <w:color w:val="auto"/>
          <w:spacing w:val="-5"/>
          <w:sz w:val="24"/>
          <w:szCs w:val="24"/>
          <w:highlight w:val="none"/>
        </w:rPr>
        <w:t>16</w:t>
      </w:r>
      <w:r>
        <w:rPr>
          <w:rFonts w:ascii="黑体" w:hAnsi="黑体" w:eastAsia="黑体" w:cs="黑体"/>
          <w:color w:val="auto"/>
          <w:spacing w:val="-5"/>
          <w:sz w:val="24"/>
          <w:szCs w:val="24"/>
          <w:highlight w:val="none"/>
        </w:rPr>
        <w:t>：评标结果汇总表</w:t>
      </w:r>
    </w:p>
    <w:p w14:paraId="5C976908">
      <w:pPr>
        <w:pStyle w:val="3"/>
        <w:spacing w:line="314" w:lineRule="auto"/>
        <w:rPr>
          <w:color w:val="auto"/>
          <w:highlight w:val="none"/>
        </w:rPr>
      </w:pPr>
    </w:p>
    <w:p w14:paraId="001E7DF3">
      <w:pPr>
        <w:pStyle w:val="3"/>
        <w:spacing w:line="315" w:lineRule="auto"/>
        <w:rPr>
          <w:color w:val="auto"/>
          <w:highlight w:val="none"/>
        </w:rPr>
      </w:pPr>
    </w:p>
    <w:p w14:paraId="378A33EF">
      <w:pPr>
        <w:spacing w:before="117" w:line="219" w:lineRule="auto"/>
        <w:ind w:left="3287"/>
        <w:rPr>
          <w:rFonts w:ascii="黑体" w:hAnsi="黑体" w:eastAsia="黑体" w:cs="黑体"/>
          <w:color w:val="auto"/>
          <w:sz w:val="36"/>
          <w:szCs w:val="36"/>
          <w:highlight w:val="none"/>
        </w:rPr>
      </w:pPr>
      <w:r>
        <w:rPr>
          <w:rFonts w:ascii="黑体" w:hAnsi="黑体" w:eastAsia="黑体" w:cs="黑体"/>
          <w:color w:val="auto"/>
          <w:spacing w:val="-2"/>
          <w:sz w:val="36"/>
          <w:szCs w:val="36"/>
          <w:highlight w:val="none"/>
        </w:rPr>
        <w:t>评标结果汇总表</w:t>
      </w:r>
    </w:p>
    <w:p w14:paraId="442EC560">
      <w:pPr>
        <w:spacing w:before="221" w:line="213" w:lineRule="auto"/>
        <w:ind w:left="1872"/>
        <w:rPr>
          <w:rFonts w:ascii="黑体" w:hAnsi="黑体" w:eastAsia="黑体" w:cs="黑体"/>
          <w:color w:val="auto"/>
          <w:sz w:val="36"/>
          <w:szCs w:val="36"/>
          <w:highlight w:val="none"/>
        </w:rPr>
      </w:pPr>
      <w:r>
        <w:rPr>
          <w:rFonts w:ascii="黑体" w:hAnsi="黑体" w:eastAsia="黑体" w:cs="黑体"/>
          <w:color w:val="auto"/>
          <w:spacing w:val="-5"/>
          <w:sz w:val="36"/>
          <w:szCs w:val="36"/>
          <w:highlight w:val="none"/>
        </w:rPr>
        <w:t>（适用于经评审的最低投标价法）</w:t>
      </w:r>
    </w:p>
    <w:p w14:paraId="72EC7196">
      <w:pPr>
        <w:spacing w:line="221" w:lineRule="auto"/>
        <w:ind w:left="388"/>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标段名称：</w:t>
      </w:r>
    </w:p>
    <w:p w14:paraId="1BB1D1C8">
      <w:pPr>
        <w:spacing w:before="23" w:line="214" w:lineRule="auto"/>
        <w:ind w:left="388"/>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标段唯一标识码：</w:t>
      </w:r>
      <w:r>
        <w:rPr>
          <w:rFonts w:ascii="宋体" w:hAnsi="宋体" w:eastAsia="宋体" w:cs="宋体"/>
          <w:color w:val="auto"/>
          <w:sz w:val="21"/>
          <w:szCs w:val="21"/>
          <w:highlight w:val="none"/>
        </w:rPr>
        <w:t xml:space="preserve">                                              </w:t>
      </w:r>
      <w:r>
        <w:rPr>
          <w:rFonts w:ascii="宋体" w:hAnsi="宋体" w:eastAsia="宋体" w:cs="宋体"/>
          <w:color w:val="auto"/>
          <w:spacing w:val="-8"/>
          <w:sz w:val="21"/>
          <w:szCs w:val="21"/>
          <w:highlight w:val="none"/>
        </w:rPr>
        <w:t>单位：人民币元</w:t>
      </w:r>
    </w:p>
    <w:tbl>
      <w:tblPr>
        <w:tblStyle w:val="10"/>
        <w:tblW w:w="90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5"/>
        <w:gridCol w:w="974"/>
        <w:gridCol w:w="1560"/>
        <w:gridCol w:w="1276"/>
        <w:gridCol w:w="993"/>
        <w:gridCol w:w="1195"/>
        <w:gridCol w:w="1402"/>
      </w:tblGrid>
      <w:tr w14:paraId="14396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1675" w:type="dxa"/>
            <w:vMerge w:val="restart"/>
            <w:tcBorders>
              <w:bottom w:val="nil"/>
            </w:tcBorders>
            <w:vAlign w:val="top"/>
          </w:tcPr>
          <w:p w14:paraId="7056DEDD">
            <w:pPr>
              <w:spacing w:line="353" w:lineRule="auto"/>
              <w:rPr>
                <w:rFonts w:ascii="Arial"/>
                <w:color w:val="auto"/>
                <w:sz w:val="21"/>
                <w:highlight w:val="none"/>
              </w:rPr>
            </w:pPr>
          </w:p>
          <w:p w14:paraId="13651DF4">
            <w:pPr>
              <w:pStyle w:val="11"/>
              <w:spacing w:before="68" w:line="221" w:lineRule="auto"/>
              <w:ind w:left="312"/>
              <w:rPr>
                <w:color w:val="auto"/>
                <w:highlight w:val="none"/>
              </w:rPr>
            </w:pPr>
            <w:r>
              <w:rPr>
                <w:color w:val="auto"/>
                <w:spacing w:val="-1"/>
                <w:highlight w:val="none"/>
                <w14:textOutline w14:w="3831" w14:cap="flat" w14:cmpd="sng">
                  <w14:solidFill>
                    <w14:srgbClr w14:val="000000"/>
                  </w14:solidFill>
                  <w14:prstDash w14:val="solid"/>
                  <w14:miter w14:val="0"/>
                </w14:textOutline>
              </w:rPr>
              <w:t>投标人名称</w:t>
            </w:r>
          </w:p>
        </w:tc>
        <w:tc>
          <w:tcPr>
            <w:tcW w:w="7400" w:type="dxa"/>
            <w:gridSpan w:val="6"/>
            <w:vAlign w:val="top"/>
          </w:tcPr>
          <w:p w14:paraId="5FF88463">
            <w:pPr>
              <w:pStyle w:val="11"/>
              <w:spacing w:before="144" w:line="221" w:lineRule="auto"/>
              <w:ind w:left="3278"/>
              <w:rPr>
                <w:color w:val="auto"/>
                <w:highlight w:val="none"/>
              </w:rPr>
            </w:pPr>
            <w:r>
              <w:rPr>
                <w:color w:val="auto"/>
                <w:spacing w:val="-1"/>
                <w:highlight w:val="none"/>
                <w14:textOutline w14:w="3831" w14:cap="flat" w14:cmpd="sng">
                  <w14:solidFill>
                    <w14:srgbClr w14:val="000000"/>
                  </w14:solidFill>
                  <w14:prstDash w14:val="solid"/>
                  <w14:miter w14:val="0"/>
                </w14:textOutline>
              </w:rPr>
              <w:t>评审因素</w:t>
            </w:r>
          </w:p>
        </w:tc>
      </w:tr>
      <w:tr w14:paraId="02BCF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675" w:type="dxa"/>
            <w:vMerge w:val="continue"/>
            <w:tcBorders>
              <w:top w:val="nil"/>
            </w:tcBorders>
            <w:vAlign w:val="top"/>
          </w:tcPr>
          <w:p w14:paraId="2DA690D1">
            <w:pPr>
              <w:rPr>
                <w:rFonts w:ascii="Arial"/>
                <w:color w:val="auto"/>
                <w:sz w:val="21"/>
                <w:highlight w:val="none"/>
              </w:rPr>
            </w:pPr>
          </w:p>
        </w:tc>
        <w:tc>
          <w:tcPr>
            <w:tcW w:w="974" w:type="dxa"/>
            <w:vAlign w:val="top"/>
          </w:tcPr>
          <w:p w14:paraId="1DA42F91">
            <w:pPr>
              <w:pStyle w:val="11"/>
              <w:spacing w:before="29" w:line="225" w:lineRule="auto"/>
              <w:ind w:left="383" w:right="171" w:hanging="209"/>
              <w:rPr>
                <w:color w:val="auto"/>
                <w:highlight w:val="none"/>
              </w:rPr>
            </w:pPr>
            <w:r>
              <w:rPr>
                <w:color w:val="auto"/>
                <w:spacing w:val="-3"/>
                <w:highlight w:val="none"/>
                <w14:textOutline w14:w="3831" w14:cap="flat" w14:cmpd="sng">
                  <w14:solidFill>
                    <w14:srgbClr w14:val="000000"/>
                  </w14:solidFill>
                  <w14:prstDash w14:val="solid"/>
                  <w14:miter w14:val="0"/>
                </w14:textOutline>
              </w:rPr>
              <w:t>投标报</w:t>
            </w:r>
            <w:r>
              <w:rPr>
                <w:color w:val="auto"/>
                <w:highlight w:val="none"/>
              </w:rPr>
              <w:t xml:space="preserve"> </w:t>
            </w:r>
            <w:r>
              <w:rPr>
                <w:color w:val="auto"/>
                <w:highlight w:val="none"/>
                <w14:textOutline w14:w="3831" w14:cap="flat" w14:cmpd="sng">
                  <w14:solidFill>
                    <w14:srgbClr w14:val="000000"/>
                  </w14:solidFill>
                  <w14:prstDash w14:val="solid"/>
                  <w14:miter w14:val="0"/>
                </w14:textOutline>
              </w:rPr>
              <w:t>价</w:t>
            </w:r>
          </w:p>
        </w:tc>
        <w:tc>
          <w:tcPr>
            <w:tcW w:w="1560" w:type="dxa"/>
            <w:vAlign w:val="top"/>
          </w:tcPr>
          <w:p w14:paraId="58A57F98">
            <w:pPr>
              <w:pStyle w:val="11"/>
              <w:spacing w:before="29" w:line="221" w:lineRule="auto"/>
              <w:ind w:left="148"/>
              <w:rPr>
                <w:color w:val="auto"/>
                <w:highlight w:val="none"/>
              </w:rPr>
            </w:pPr>
            <w:r>
              <w:rPr>
                <w:color w:val="auto"/>
                <w:spacing w:val="-1"/>
                <w:highlight w:val="none"/>
                <w14:textOutline w14:w="3831" w14:cap="flat" w14:cmpd="sng">
                  <w14:solidFill>
                    <w14:srgbClr w14:val="000000"/>
                  </w14:solidFill>
                  <w14:prstDash w14:val="solid"/>
                  <w14:miter w14:val="0"/>
                </w14:textOutline>
              </w:rPr>
              <w:t>修正后投标报</w:t>
            </w:r>
          </w:p>
          <w:p w14:paraId="4EC851FF">
            <w:pPr>
              <w:pStyle w:val="11"/>
              <w:spacing w:before="22" w:line="209" w:lineRule="auto"/>
              <w:ind w:left="255"/>
              <w:rPr>
                <w:color w:val="auto"/>
                <w:highlight w:val="none"/>
              </w:rPr>
            </w:pPr>
            <w:r>
              <w:rPr>
                <w:color w:val="auto"/>
                <w:spacing w:val="-3"/>
                <w:highlight w:val="none"/>
                <w14:textOutline w14:w="3831" w14:cap="flat" w14:cmpd="sng">
                  <w14:solidFill>
                    <w14:srgbClr w14:val="000000"/>
                  </w14:solidFill>
                  <w14:prstDash w14:val="solid"/>
                  <w14:miter w14:val="0"/>
                </w14:textOutline>
              </w:rPr>
              <w:t>价（如有）</w:t>
            </w:r>
          </w:p>
        </w:tc>
        <w:tc>
          <w:tcPr>
            <w:tcW w:w="1276" w:type="dxa"/>
            <w:vAlign w:val="top"/>
          </w:tcPr>
          <w:p w14:paraId="1B8F647B">
            <w:pPr>
              <w:pStyle w:val="11"/>
              <w:spacing w:before="164" w:line="219" w:lineRule="auto"/>
              <w:ind w:left="112"/>
              <w:rPr>
                <w:color w:val="auto"/>
                <w:highlight w:val="none"/>
              </w:rPr>
            </w:pPr>
            <w:r>
              <w:rPr>
                <w:color w:val="auto"/>
                <w:spacing w:val="-1"/>
                <w:highlight w:val="none"/>
                <w14:textOutline w14:w="3831" w14:cap="flat" w14:cmpd="sng">
                  <w14:solidFill>
                    <w14:srgbClr w14:val="000000"/>
                  </w14:solidFill>
                  <w14:prstDash w14:val="solid"/>
                  <w14:miter w14:val="0"/>
                </w14:textOutline>
              </w:rPr>
              <w:t>有效评标价</w:t>
            </w:r>
          </w:p>
        </w:tc>
        <w:tc>
          <w:tcPr>
            <w:tcW w:w="993" w:type="dxa"/>
            <w:vAlign w:val="top"/>
          </w:tcPr>
          <w:p w14:paraId="48FF8434">
            <w:pPr>
              <w:pStyle w:val="11"/>
              <w:spacing w:before="29" w:line="225" w:lineRule="auto"/>
              <w:ind w:left="185" w:right="178" w:firstLine="1"/>
              <w:rPr>
                <w:color w:val="auto"/>
                <w:highlight w:val="none"/>
              </w:rPr>
            </w:pPr>
            <w:r>
              <w:rPr>
                <w:color w:val="auto"/>
                <w:spacing w:val="-3"/>
                <w:highlight w:val="none"/>
                <w14:textOutline w14:w="3831" w14:cap="flat" w14:cmpd="sng">
                  <w14:solidFill>
                    <w14:srgbClr w14:val="000000"/>
                  </w14:solidFill>
                  <w14:prstDash w14:val="solid"/>
                  <w14:miter w14:val="0"/>
                </w14:textOutline>
              </w:rPr>
              <w:t>最高投</w:t>
            </w:r>
            <w:r>
              <w:rPr>
                <w:color w:val="auto"/>
                <w:highlight w:val="none"/>
              </w:rPr>
              <w:t xml:space="preserve"> </w:t>
            </w:r>
            <w:r>
              <w:rPr>
                <w:color w:val="auto"/>
                <w:spacing w:val="-2"/>
                <w:highlight w:val="none"/>
                <w14:textOutline w14:w="3831" w14:cap="flat" w14:cmpd="sng">
                  <w14:solidFill>
                    <w14:srgbClr w14:val="000000"/>
                  </w14:solidFill>
                  <w14:prstDash w14:val="solid"/>
                  <w14:miter w14:val="0"/>
                </w14:textOutline>
              </w:rPr>
              <w:t>标限价</w:t>
            </w:r>
          </w:p>
        </w:tc>
        <w:tc>
          <w:tcPr>
            <w:tcW w:w="1195" w:type="dxa"/>
            <w:vAlign w:val="top"/>
          </w:tcPr>
          <w:p w14:paraId="5A5C975C">
            <w:pPr>
              <w:pStyle w:val="11"/>
              <w:spacing w:before="29" w:line="225" w:lineRule="auto"/>
              <w:ind w:left="284" w:right="172" w:hanging="104"/>
              <w:rPr>
                <w:color w:val="auto"/>
                <w:highlight w:val="none"/>
              </w:rPr>
            </w:pPr>
            <w:r>
              <w:rPr>
                <w:color w:val="auto"/>
                <w:spacing w:val="-1"/>
                <w:highlight w:val="none"/>
                <w14:textOutline w14:w="3831" w14:cap="flat" w14:cmpd="sng">
                  <w14:solidFill>
                    <w14:srgbClr w14:val="000000"/>
                  </w14:solidFill>
                  <w14:prstDash w14:val="solid"/>
                  <w14:miter w14:val="0"/>
                </w14:textOutline>
              </w:rPr>
              <w:t>确定有效</w:t>
            </w:r>
            <w:r>
              <w:rPr>
                <w:color w:val="auto"/>
                <w:highlight w:val="none"/>
              </w:rPr>
              <w:t xml:space="preserve"> </w:t>
            </w:r>
            <w:r>
              <w:rPr>
                <w:color w:val="auto"/>
                <w:spacing w:val="-1"/>
                <w:highlight w:val="none"/>
                <w14:textOutline w14:w="3831" w14:cap="flat" w14:cmpd="sng">
                  <w14:solidFill>
                    <w14:srgbClr w14:val="000000"/>
                  </w14:solidFill>
                  <w14:prstDash w14:val="solid"/>
                  <w14:miter w14:val="0"/>
                </w14:textOutline>
              </w:rPr>
              <w:t>评标价</w:t>
            </w:r>
          </w:p>
        </w:tc>
        <w:tc>
          <w:tcPr>
            <w:tcW w:w="1402" w:type="dxa"/>
            <w:vAlign w:val="top"/>
          </w:tcPr>
          <w:p w14:paraId="7AB5FB08">
            <w:pPr>
              <w:pStyle w:val="11"/>
              <w:spacing w:before="29" w:line="225" w:lineRule="auto"/>
              <w:ind w:left="492" w:right="172" w:hanging="315"/>
              <w:rPr>
                <w:color w:val="auto"/>
                <w:highlight w:val="none"/>
              </w:rPr>
            </w:pPr>
            <w:r>
              <w:rPr>
                <w:color w:val="auto"/>
                <w:spacing w:val="-1"/>
                <w:highlight w:val="none"/>
                <w14:textOutline w14:w="3831" w14:cap="flat" w14:cmpd="sng">
                  <w14:solidFill>
                    <w14:srgbClr w14:val="000000"/>
                  </w14:solidFill>
                  <w14:prstDash w14:val="solid"/>
                  <w14:miter w14:val="0"/>
                </w14:textOutline>
              </w:rPr>
              <w:t>有效评标价</w:t>
            </w:r>
            <w:r>
              <w:rPr>
                <w:color w:val="auto"/>
                <w:highlight w:val="none"/>
              </w:rPr>
              <w:t xml:space="preserve"> </w:t>
            </w:r>
            <w:r>
              <w:rPr>
                <w:color w:val="auto"/>
                <w:spacing w:val="-2"/>
                <w:highlight w:val="none"/>
                <w14:textOutline w14:w="3831" w14:cap="flat" w14:cmpd="sng">
                  <w14:solidFill>
                    <w14:srgbClr w14:val="000000"/>
                  </w14:solidFill>
                  <w14:prstDash w14:val="solid"/>
                  <w14:miter w14:val="0"/>
                </w14:textOutline>
              </w:rPr>
              <w:t>排序</w:t>
            </w:r>
          </w:p>
        </w:tc>
      </w:tr>
      <w:tr w14:paraId="64AE4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675" w:type="dxa"/>
            <w:vAlign w:val="top"/>
          </w:tcPr>
          <w:p w14:paraId="46489189">
            <w:pPr>
              <w:rPr>
                <w:rFonts w:ascii="Arial"/>
                <w:color w:val="auto"/>
                <w:sz w:val="21"/>
                <w:highlight w:val="none"/>
              </w:rPr>
            </w:pPr>
          </w:p>
        </w:tc>
        <w:tc>
          <w:tcPr>
            <w:tcW w:w="974" w:type="dxa"/>
            <w:vAlign w:val="top"/>
          </w:tcPr>
          <w:p w14:paraId="5CF1D8C9">
            <w:pPr>
              <w:rPr>
                <w:rFonts w:ascii="Arial"/>
                <w:color w:val="auto"/>
                <w:sz w:val="21"/>
                <w:highlight w:val="none"/>
              </w:rPr>
            </w:pPr>
          </w:p>
        </w:tc>
        <w:tc>
          <w:tcPr>
            <w:tcW w:w="1560" w:type="dxa"/>
            <w:vAlign w:val="top"/>
          </w:tcPr>
          <w:p w14:paraId="3BA06147">
            <w:pPr>
              <w:rPr>
                <w:rFonts w:ascii="Arial"/>
                <w:color w:val="auto"/>
                <w:sz w:val="21"/>
                <w:highlight w:val="none"/>
              </w:rPr>
            </w:pPr>
          </w:p>
        </w:tc>
        <w:tc>
          <w:tcPr>
            <w:tcW w:w="1276" w:type="dxa"/>
            <w:vAlign w:val="top"/>
          </w:tcPr>
          <w:p w14:paraId="697B5082">
            <w:pPr>
              <w:rPr>
                <w:rFonts w:ascii="Arial"/>
                <w:color w:val="auto"/>
                <w:sz w:val="21"/>
                <w:highlight w:val="none"/>
              </w:rPr>
            </w:pPr>
          </w:p>
        </w:tc>
        <w:tc>
          <w:tcPr>
            <w:tcW w:w="993" w:type="dxa"/>
            <w:vMerge w:val="restart"/>
            <w:tcBorders>
              <w:bottom w:val="nil"/>
            </w:tcBorders>
            <w:vAlign w:val="top"/>
          </w:tcPr>
          <w:p w14:paraId="5732A2BA">
            <w:pPr>
              <w:rPr>
                <w:rFonts w:ascii="Arial"/>
                <w:color w:val="auto"/>
                <w:sz w:val="21"/>
                <w:highlight w:val="none"/>
              </w:rPr>
            </w:pPr>
          </w:p>
        </w:tc>
        <w:tc>
          <w:tcPr>
            <w:tcW w:w="1195" w:type="dxa"/>
            <w:vAlign w:val="top"/>
          </w:tcPr>
          <w:p w14:paraId="2704F1B0">
            <w:pPr>
              <w:rPr>
                <w:rFonts w:ascii="Arial"/>
                <w:color w:val="auto"/>
                <w:sz w:val="21"/>
                <w:highlight w:val="none"/>
              </w:rPr>
            </w:pPr>
          </w:p>
        </w:tc>
        <w:tc>
          <w:tcPr>
            <w:tcW w:w="1402" w:type="dxa"/>
            <w:vAlign w:val="top"/>
          </w:tcPr>
          <w:p w14:paraId="3776CC04">
            <w:pPr>
              <w:rPr>
                <w:rFonts w:ascii="Arial"/>
                <w:color w:val="auto"/>
                <w:sz w:val="21"/>
                <w:highlight w:val="none"/>
              </w:rPr>
            </w:pPr>
          </w:p>
        </w:tc>
      </w:tr>
      <w:tr w14:paraId="4B18D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675" w:type="dxa"/>
            <w:vAlign w:val="top"/>
          </w:tcPr>
          <w:p w14:paraId="2306BE9C">
            <w:pPr>
              <w:rPr>
                <w:rFonts w:ascii="Arial"/>
                <w:color w:val="auto"/>
                <w:sz w:val="21"/>
                <w:highlight w:val="none"/>
              </w:rPr>
            </w:pPr>
          </w:p>
        </w:tc>
        <w:tc>
          <w:tcPr>
            <w:tcW w:w="974" w:type="dxa"/>
            <w:vAlign w:val="top"/>
          </w:tcPr>
          <w:p w14:paraId="675547EB">
            <w:pPr>
              <w:rPr>
                <w:rFonts w:ascii="Arial"/>
                <w:color w:val="auto"/>
                <w:sz w:val="21"/>
                <w:highlight w:val="none"/>
              </w:rPr>
            </w:pPr>
          </w:p>
        </w:tc>
        <w:tc>
          <w:tcPr>
            <w:tcW w:w="1560" w:type="dxa"/>
            <w:vAlign w:val="top"/>
          </w:tcPr>
          <w:p w14:paraId="76DC06AC">
            <w:pPr>
              <w:rPr>
                <w:rFonts w:ascii="Arial"/>
                <w:color w:val="auto"/>
                <w:sz w:val="21"/>
                <w:highlight w:val="none"/>
              </w:rPr>
            </w:pPr>
          </w:p>
        </w:tc>
        <w:tc>
          <w:tcPr>
            <w:tcW w:w="1276" w:type="dxa"/>
            <w:vAlign w:val="top"/>
          </w:tcPr>
          <w:p w14:paraId="60A8EDB9">
            <w:pPr>
              <w:rPr>
                <w:rFonts w:ascii="Arial"/>
                <w:color w:val="auto"/>
                <w:sz w:val="21"/>
                <w:highlight w:val="none"/>
              </w:rPr>
            </w:pPr>
          </w:p>
        </w:tc>
        <w:tc>
          <w:tcPr>
            <w:tcW w:w="993" w:type="dxa"/>
            <w:vMerge w:val="continue"/>
            <w:tcBorders>
              <w:top w:val="nil"/>
              <w:bottom w:val="nil"/>
            </w:tcBorders>
            <w:vAlign w:val="top"/>
          </w:tcPr>
          <w:p w14:paraId="1ED1F4DA">
            <w:pPr>
              <w:rPr>
                <w:rFonts w:ascii="Arial"/>
                <w:color w:val="auto"/>
                <w:sz w:val="21"/>
                <w:highlight w:val="none"/>
              </w:rPr>
            </w:pPr>
          </w:p>
        </w:tc>
        <w:tc>
          <w:tcPr>
            <w:tcW w:w="1195" w:type="dxa"/>
            <w:vAlign w:val="top"/>
          </w:tcPr>
          <w:p w14:paraId="5F6E40D5">
            <w:pPr>
              <w:rPr>
                <w:rFonts w:ascii="Arial"/>
                <w:color w:val="auto"/>
                <w:sz w:val="21"/>
                <w:highlight w:val="none"/>
              </w:rPr>
            </w:pPr>
          </w:p>
        </w:tc>
        <w:tc>
          <w:tcPr>
            <w:tcW w:w="1402" w:type="dxa"/>
            <w:vAlign w:val="top"/>
          </w:tcPr>
          <w:p w14:paraId="32DA92C6">
            <w:pPr>
              <w:rPr>
                <w:rFonts w:ascii="Arial"/>
                <w:color w:val="auto"/>
                <w:sz w:val="21"/>
                <w:highlight w:val="none"/>
              </w:rPr>
            </w:pPr>
          </w:p>
        </w:tc>
      </w:tr>
      <w:tr w14:paraId="46DDD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675" w:type="dxa"/>
            <w:vAlign w:val="top"/>
          </w:tcPr>
          <w:p w14:paraId="72B0800F">
            <w:pPr>
              <w:rPr>
                <w:rFonts w:ascii="Arial"/>
                <w:color w:val="auto"/>
                <w:sz w:val="21"/>
                <w:highlight w:val="none"/>
              </w:rPr>
            </w:pPr>
          </w:p>
        </w:tc>
        <w:tc>
          <w:tcPr>
            <w:tcW w:w="974" w:type="dxa"/>
            <w:vAlign w:val="top"/>
          </w:tcPr>
          <w:p w14:paraId="568CBD85">
            <w:pPr>
              <w:rPr>
                <w:rFonts w:ascii="Arial"/>
                <w:color w:val="auto"/>
                <w:sz w:val="21"/>
                <w:highlight w:val="none"/>
              </w:rPr>
            </w:pPr>
          </w:p>
        </w:tc>
        <w:tc>
          <w:tcPr>
            <w:tcW w:w="1560" w:type="dxa"/>
            <w:vAlign w:val="top"/>
          </w:tcPr>
          <w:p w14:paraId="240174AD">
            <w:pPr>
              <w:rPr>
                <w:rFonts w:ascii="Arial"/>
                <w:color w:val="auto"/>
                <w:sz w:val="21"/>
                <w:highlight w:val="none"/>
              </w:rPr>
            </w:pPr>
          </w:p>
        </w:tc>
        <w:tc>
          <w:tcPr>
            <w:tcW w:w="1276" w:type="dxa"/>
            <w:vAlign w:val="top"/>
          </w:tcPr>
          <w:p w14:paraId="07B11488">
            <w:pPr>
              <w:rPr>
                <w:rFonts w:ascii="Arial"/>
                <w:color w:val="auto"/>
                <w:sz w:val="21"/>
                <w:highlight w:val="none"/>
              </w:rPr>
            </w:pPr>
          </w:p>
        </w:tc>
        <w:tc>
          <w:tcPr>
            <w:tcW w:w="993" w:type="dxa"/>
            <w:vMerge w:val="continue"/>
            <w:tcBorders>
              <w:top w:val="nil"/>
              <w:bottom w:val="nil"/>
            </w:tcBorders>
            <w:vAlign w:val="top"/>
          </w:tcPr>
          <w:p w14:paraId="0F0CA9C4">
            <w:pPr>
              <w:rPr>
                <w:rFonts w:ascii="Arial"/>
                <w:color w:val="auto"/>
                <w:sz w:val="21"/>
                <w:highlight w:val="none"/>
              </w:rPr>
            </w:pPr>
          </w:p>
        </w:tc>
        <w:tc>
          <w:tcPr>
            <w:tcW w:w="1195" w:type="dxa"/>
            <w:vAlign w:val="top"/>
          </w:tcPr>
          <w:p w14:paraId="0A60EDA1">
            <w:pPr>
              <w:rPr>
                <w:rFonts w:ascii="Arial"/>
                <w:color w:val="auto"/>
                <w:sz w:val="21"/>
                <w:highlight w:val="none"/>
              </w:rPr>
            </w:pPr>
          </w:p>
        </w:tc>
        <w:tc>
          <w:tcPr>
            <w:tcW w:w="1402" w:type="dxa"/>
            <w:vAlign w:val="top"/>
          </w:tcPr>
          <w:p w14:paraId="21847683">
            <w:pPr>
              <w:rPr>
                <w:rFonts w:ascii="Arial"/>
                <w:color w:val="auto"/>
                <w:sz w:val="21"/>
                <w:highlight w:val="none"/>
              </w:rPr>
            </w:pPr>
          </w:p>
        </w:tc>
      </w:tr>
      <w:tr w14:paraId="034B7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675" w:type="dxa"/>
            <w:vAlign w:val="top"/>
          </w:tcPr>
          <w:p w14:paraId="25ADAA45">
            <w:pPr>
              <w:rPr>
                <w:rFonts w:ascii="Arial"/>
                <w:color w:val="auto"/>
                <w:sz w:val="21"/>
                <w:highlight w:val="none"/>
              </w:rPr>
            </w:pPr>
          </w:p>
        </w:tc>
        <w:tc>
          <w:tcPr>
            <w:tcW w:w="974" w:type="dxa"/>
            <w:vAlign w:val="top"/>
          </w:tcPr>
          <w:p w14:paraId="68313A35">
            <w:pPr>
              <w:rPr>
                <w:rFonts w:ascii="Arial"/>
                <w:color w:val="auto"/>
                <w:sz w:val="21"/>
                <w:highlight w:val="none"/>
              </w:rPr>
            </w:pPr>
          </w:p>
        </w:tc>
        <w:tc>
          <w:tcPr>
            <w:tcW w:w="1560" w:type="dxa"/>
            <w:vAlign w:val="top"/>
          </w:tcPr>
          <w:p w14:paraId="360BA811">
            <w:pPr>
              <w:rPr>
                <w:rFonts w:ascii="Arial"/>
                <w:color w:val="auto"/>
                <w:sz w:val="21"/>
                <w:highlight w:val="none"/>
              </w:rPr>
            </w:pPr>
          </w:p>
        </w:tc>
        <w:tc>
          <w:tcPr>
            <w:tcW w:w="1276" w:type="dxa"/>
            <w:vAlign w:val="top"/>
          </w:tcPr>
          <w:p w14:paraId="5CD20B16">
            <w:pPr>
              <w:rPr>
                <w:rFonts w:ascii="Arial"/>
                <w:color w:val="auto"/>
                <w:sz w:val="21"/>
                <w:highlight w:val="none"/>
              </w:rPr>
            </w:pPr>
          </w:p>
        </w:tc>
        <w:tc>
          <w:tcPr>
            <w:tcW w:w="993" w:type="dxa"/>
            <w:vMerge w:val="continue"/>
            <w:tcBorders>
              <w:top w:val="nil"/>
              <w:bottom w:val="nil"/>
            </w:tcBorders>
            <w:vAlign w:val="top"/>
          </w:tcPr>
          <w:p w14:paraId="7A3B34AA">
            <w:pPr>
              <w:rPr>
                <w:rFonts w:ascii="Arial"/>
                <w:color w:val="auto"/>
                <w:sz w:val="21"/>
                <w:highlight w:val="none"/>
              </w:rPr>
            </w:pPr>
          </w:p>
        </w:tc>
        <w:tc>
          <w:tcPr>
            <w:tcW w:w="1195" w:type="dxa"/>
            <w:vAlign w:val="top"/>
          </w:tcPr>
          <w:p w14:paraId="359D9E4B">
            <w:pPr>
              <w:rPr>
                <w:rFonts w:ascii="Arial"/>
                <w:color w:val="auto"/>
                <w:sz w:val="21"/>
                <w:highlight w:val="none"/>
              </w:rPr>
            </w:pPr>
          </w:p>
        </w:tc>
        <w:tc>
          <w:tcPr>
            <w:tcW w:w="1402" w:type="dxa"/>
            <w:vAlign w:val="top"/>
          </w:tcPr>
          <w:p w14:paraId="40B776FB">
            <w:pPr>
              <w:rPr>
                <w:rFonts w:ascii="Arial"/>
                <w:color w:val="auto"/>
                <w:sz w:val="21"/>
                <w:highlight w:val="none"/>
              </w:rPr>
            </w:pPr>
          </w:p>
        </w:tc>
      </w:tr>
      <w:tr w14:paraId="25305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675" w:type="dxa"/>
            <w:vAlign w:val="top"/>
          </w:tcPr>
          <w:p w14:paraId="5329166D">
            <w:pPr>
              <w:rPr>
                <w:rFonts w:ascii="Arial"/>
                <w:color w:val="auto"/>
                <w:sz w:val="21"/>
                <w:highlight w:val="none"/>
              </w:rPr>
            </w:pPr>
          </w:p>
        </w:tc>
        <w:tc>
          <w:tcPr>
            <w:tcW w:w="974" w:type="dxa"/>
            <w:vAlign w:val="top"/>
          </w:tcPr>
          <w:p w14:paraId="41521741">
            <w:pPr>
              <w:rPr>
                <w:rFonts w:ascii="Arial"/>
                <w:color w:val="auto"/>
                <w:sz w:val="21"/>
                <w:highlight w:val="none"/>
              </w:rPr>
            </w:pPr>
          </w:p>
        </w:tc>
        <w:tc>
          <w:tcPr>
            <w:tcW w:w="1560" w:type="dxa"/>
            <w:vAlign w:val="top"/>
          </w:tcPr>
          <w:p w14:paraId="5D0850C7">
            <w:pPr>
              <w:rPr>
                <w:rFonts w:ascii="Arial"/>
                <w:color w:val="auto"/>
                <w:sz w:val="21"/>
                <w:highlight w:val="none"/>
              </w:rPr>
            </w:pPr>
          </w:p>
        </w:tc>
        <w:tc>
          <w:tcPr>
            <w:tcW w:w="1276" w:type="dxa"/>
            <w:vAlign w:val="top"/>
          </w:tcPr>
          <w:p w14:paraId="6591D48F">
            <w:pPr>
              <w:rPr>
                <w:rFonts w:ascii="Arial"/>
                <w:color w:val="auto"/>
                <w:sz w:val="21"/>
                <w:highlight w:val="none"/>
              </w:rPr>
            </w:pPr>
          </w:p>
        </w:tc>
        <w:tc>
          <w:tcPr>
            <w:tcW w:w="993" w:type="dxa"/>
            <w:vMerge w:val="continue"/>
            <w:tcBorders>
              <w:top w:val="nil"/>
            </w:tcBorders>
            <w:vAlign w:val="top"/>
          </w:tcPr>
          <w:p w14:paraId="44A31A79">
            <w:pPr>
              <w:rPr>
                <w:rFonts w:ascii="Arial"/>
                <w:color w:val="auto"/>
                <w:sz w:val="21"/>
                <w:highlight w:val="none"/>
              </w:rPr>
            </w:pPr>
          </w:p>
        </w:tc>
        <w:tc>
          <w:tcPr>
            <w:tcW w:w="1195" w:type="dxa"/>
            <w:vAlign w:val="top"/>
          </w:tcPr>
          <w:p w14:paraId="316A44D6">
            <w:pPr>
              <w:rPr>
                <w:rFonts w:ascii="Arial"/>
                <w:color w:val="auto"/>
                <w:sz w:val="21"/>
                <w:highlight w:val="none"/>
              </w:rPr>
            </w:pPr>
          </w:p>
        </w:tc>
        <w:tc>
          <w:tcPr>
            <w:tcW w:w="1402" w:type="dxa"/>
            <w:vAlign w:val="top"/>
          </w:tcPr>
          <w:p w14:paraId="73B1D8DF">
            <w:pPr>
              <w:rPr>
                <w:rFonts w:ascii="Arial"/>
                <w:color w:val="auto"/>
                <w:sz w:val="21"/>
                <w:highlight w:val="none"/>
              </w:rPr>
            </w:pPr>
          </w:p>
        </w:tc>
      </w:tr>
      <w:tr w14:paraId="2ACB8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9075" w:type="dxa"/>
            <w:gridSpan w:val="7"/>
            <w:vAlign w:val="top"/>
          </w:tcPr>
          <w:p w14:paraId="5FC2953A">
            <w:pPr>
              <w:pStyle w:val="11"/>
              <w:spacing w:before="33" w:line="220" w:lineRule="auto"/>
              <w:ind w:left="112"/>
              <w:rPr>
                <w:color w:val="auto"/>
                <w:highlight w:val="none"/>
              </w:rPr>
            </w:pPr>
            <w:r>
              <w:rPr>
                <w:color w:val="auto"/>
                <w:spacing w:val="-1"/>
                <w:highlight w:val="none"/>
              </w:rPr>
              <w:t>评标委员会成员签名：</w:t>
            </w:r>
          </w:p>
        </w:tc>
      </w:tr>
    </w:tbl>
    <w:p w14:paraId="716B1C23">
      <w:pPr>
        <w:spacing w:before="29" w:line="221" w:lineRule="auto"/>
        <w:ind w:left="5273"/>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日期：          年        月</w:t>
      </w:r>
      <w:r>
        <w:rPr>
          <w:rFonts w:ascii="宋体" w:hAnsi="宋体" w:eastAsia="宋体" w:cs="宋体"/>
          <w:color w:val="auto"/>
          <w:spacing w:val="8"/>
          <w:sz w:val="21"/>
          <w:szCs w:val="21"/>
          <w:highlight w:val="none"/>
        </w:rPr>
        <w:t xml:space="preserve">      </w:t>
      </w:r>
      <w:r>
        <w:rPr>
          <w:rFonts w:ascii="宋体" w:hAnsi="宋体" w:eastAsia="宋体" w:cs="宋体"/>
          <w:color w:val="auto"/>
          <w:spacing w:val="-15"/>
          <w:sz w:val="21"/>
          <w:szCs w:val="21"/>
          <w:highlight w:val="none"/>
        </w:rPr>
        <w:t>日</w:t>
      </w:r>
    </w:p>
    <w:p w14:paraId="3119FDF2">
      <w:pPr>
        <w:spacing w:line="221" w:lineRule="auto"/>
        <w:rPr>
          <w:rFonts w:ascii="宋体" w:hAnsi="宋体" w:eastAsia="宋体" w:cs="宋体"/>
          <w:color w:val="auto"/>
          <w:sz w:val="21"/>
          <w:szCs w:val="21"/>
          <w:highlight w:val="none"/>
        </w:rPr>
        <w:sectPr>
          <w:footerReference r:id="rId95" w:type="default"/>
          <w:pgSz w:w="11905" w:h="16839"/>
          <w:pgMar w:top="1431" w:right="1406" w:bottom="996" w:left="1416" w:header="0" w:footer="791" w:gutter="0"/>
          <w:pgNumType w:fmt="decimal"/>
          <w:cols w:space="720" w:num="1"/>
        </w:sectPr>
      </w:pPr>
    </w:p>
    <w:p w14:paraId="56386B85">
      <w:pPr>
        <w:spacing w:before="123" w:line="220" w:lineRule="auto"/>
        <w:ind w:left="32"/>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附表</w:t>
      </w:r>
      <w:r>
        <w:rPr>
          <w:rFonts w:ascii="黑体" w:hAnsi="黑体" w:eastAsia="黑体" w:cs="黑体"/>
          <w:color w:val="auto"/>
          <w:spacing w:val="-47"/>
          <w:sz w:val="24"/>
          <w:szCs w:val="24"/>
          <w:highlight w:val="none"/>
        </w:rPr>
        <w:t xml:space="preserve"> </w:t>
      </w:r>
      <w:r>
        <w:rPr>
          <w:rFonts w:ascii="Times New Roman" w:hAnsi="Times New Roman" w:eastAsia="Times New Roman" w:cs="Times New Roman"/>
          <w:color w:val="auto"/>
          <w:spacing w:val="-4"/>
          <w:sz w:val="24"/>
          <w:szCs w:val="24"/>
          <w:highlight w:val="none"/>
        </w:rPr>
        <w:t>A-</w:t>
      </w:r>
      <w:r>
        <w:rPr>
          <w:rFonts w:ascii="Times New Roman" w:hAnsi="Times New Roman" w:eastAsia="Times New Roman" w:cs="Times New Roman"/>
          <w:color w:val="auto"/>
          <w:spacing w:val="-30"/>
          <w:sz w:val="24"/>
          <w:szCs w:val="24"/>
          <w:highlight w:val="none"/>
        </w:rPr>
        <w:t xml:space="preserve"> </w:t>
      </w:r>
      <w:r>
        <w:rPr>
          <w:rFonts w:ascii="Times New Roman" w:hAnsi="Times New Roman" w:eastAsia="Times New Roman" w:cs="Times New Roman"/>
          <w:color w:val="auto"/>
          <w:spacing w:val="-4"/>
          <w:sz w:val="24"/>
          <w:szCs w:val="24"/>
          <w:highlight w:val="none"/>
        </w:rPr>
        <w:t>17</w:t>
      </w:r>
      <w:r>
        <w:rPr>
          <w:rFonts w:ascii="黑体" w:hAnsi="黑体" w:eastAsia="黑体" w:cs="黑体"/>
          <w:color w:val="auto"/>
          <w:spacing w:val="-4"/>
          <w:sz w:val="24"/>
          <w:szCs w:val="24"/>
          <w:highlight w:val="none"/>
        </w:rPr>
        <w:t>：推荐中标候选人一览表</w:t>
      </w:r>
    </w:p>
    <w:p w14:paraId="6CCC45F4">
      <w:pPr>
        <w:pStyle w:val="3"/>
        <w:spacing w:line="316" w:lineRule="auto"/>
        <w:rPr>
          <w:color w:val="auto"/>
          <w:highlight w:val="none"/>
        </w:rPr>
      </w:pPr>
    </w:p>
    <w:p w14:paraId="4ECD0990">
      <w:pPr>
        <w:pStyle w:val="3"/>
        <w:spacing w:line="316" w:lineRule="auto"/>
        <w:rPr>
          <w:color w:val="auto"/>
          <w:highlight w:val="none"/>
        </w:rPr>
      </w:pPr>
    </w:p>
    <w:p w14:paraId="557EEAC1">
      <w:pPr>
        <w:spacing w:before="117" w:line="220" w:lineRule="auto"/>
        <w:ind w:left="2378"/>
        <w:rPr>
          <w:rFonts w:ascii="黑体" w:hAnsi="黑体" w:eastAsia="黑体" w:cs="黑体"/>
          <w:color w:val="auto"/>
          <w:sz w:val="36"/>
          <w:szCs w:val="36"/>
          <w:highlight w:val="none"/>
        </w:rPr>
      </w:pPr>
      <w:r>
        <w:rPr>
          <w:rFonts w:ascii="黑体" w:hAnsi="黑体" w:eastAsia="黑体" w:cs="黑体"/>
          <w:color w:val="auto"/>
          <w:spacing w:val="-2"/>
          <w:sz w:val="36"/>
          <w:szCs w:val="36"/>
          <w:highlight w:val="none"/>
        </w:rPr>
        <w:t>推荐中标候选人一览表</w:t>
      </w:r>
    </w:p>
    <w:p w14:paraId="6F73C21F">
      <w:pPr>
        <w:spacing w:before="232" w:line="221" w:lineRule="auto"/>
        <w:ind w:left="19"/>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标段名称：</w:t>
      </w:r>
    </w:p>
    <w:p w14:paraId="61C0AB3B">
      <w:pPr>
        <w:spacing w:before="22" w:line="214" w:lineRule="auto"/>
        <w:ind w:left="19"/>
        <w:rPr>
          <w:rFonts w:ascii="宋体" w:hAnsi="宋体" w:eastAsia="宋体" w:cs="宋体"/>
          <w:color w:val="auto"/>
          <w:sz w:val="21"/>
          <w:szCs w:val="21"/>
          <w:highlight w:val="none"/>
        </w:rPr>
      </w:pPr>
      <w:r>
        <w:rPr>
          <w:color w:val="auto"/>
          <w:highlight w:val="none"/>
        </w:rPr>
        <w:pict>
          <v:shape id="_x0000_s2050" o:spid="_x0000_s2050" o:spt="202" type="#_x0000_t202" style="position:absolute;left:0pt;margin-left:333.7pt;margin-top:0.1pt;height:14.55pt;width:74.95pt;z-index:251661312;mso-width-relative:page;mso-height-relative:page;" filled="f" stroked="f" coordsize="21600,21600">
            <v:path/>
            <v:fill on="f" focussize="0,0"/>
            <v:stroke on="f"/>
            <v:imagedata o:title=""/>
            <o:lock v:ext="edit" aspectratio="f"/>
            <v:textbox inset="0mm,0mm,0mm,0mm">
              <w:txbxContent>
                <w:p w14:paraId="08B1451C">
                  <w:pPr>
                    <w:spacing w:before="19" w:line="220" w:lineRule="auto"/>
                    <w:ind w:left="20"/>
                    <w:rPr>
                      <w:rFonts w:ascii="宋体" w:hAnsi="宋体" w:eastAsia="宋体" w:cs="宋体"/>
                      <w:sz w:val="21"/>
                      <w:szCs w:val="21"/>
                    </w:rPr>
                  </w:pPr>
                  <w:r>
                    <w:rPr>
                      <w:rFonts w:ascii="宋体" w:hAnsi="宋体" w:eastAsia="宋体" w:cs="宋体"/>
                      <w:spacing w:val="-2"/>
                      <w:sz w:val="21"/>
                      <w:szCs w:val="21"/>
                    </w:rPr>
                    <w:t>单位：人民币元</w:t>
                  </w:r>
                </w:p>
              </w:txbxContent>
            </v:textbox>
          </v:shape>
        </w:pict>
      </w:r>
      <w:r>
        <w:rPr>
          <w:rFonts w:ascii="宋体" w:hAnsi="宋体" w:eastAsia="宋体" w:cs="宋体"/>
          <w:color w:val="auto"/>
          <w:spacing w:val="-5"/>
          <w:sz w:val="21"/>
          <w:szCs w:val="21"/>
          <w:highlight w:val="none"/>
        </w:rPr>
        <w:t>标段唯一标识码：</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1535"/>
        <w:gridCol w:w="1392"/>
        <w:gridCol w:w="2030"/>
        <w:gridCol w:w="2500"/>
      </w:tblGrid>
      <w:tr w14:paraId="10AD9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854" w:type="dxa"/>
            <w:vAlign w:val="top"/>
          </w:tcPr>
          <w:p w14:paraId="3AAEC7F9">
            <w:pPr>
              <w:pStyle w:val="11"/>
              <w:spacing w:before="230" w:line="223" w:lineRule="auto"/>
              <w:ind w:left="224"/>
              <w:rPr>
                <w:color w:val="auto"/>
                <w:highlight w:val="none"/>
              </w:rPr>
            </w:pPr>
            <w:r>
              <w:rPr>
                <w:color w:val="auto"/>
                <w:spacing w:val="-2"/>
                <w:highlight w:val="none"/>
                <w14:textOutline w14:w="3831" w14:cap="flat" w14:cmpd="sng">
                  <w14:solidFill>
                    <w14:srgbClr w14:val="000000"/>
                  </w14:solidFill>
                  <w14:prstDash w14:val="solid"/>
                  <w14:miter w14:val="0"/>
                </w14:textOutline>
              </w:rPr>
              <w:t>排名</w:t>
            </w:r>
          </w:p>
        </w:tc>
        <w:tc>
          <w:tcPr>
            <w:tcW w:w="1535" w:type="dxa"/>
            <w:vAlign w:val="top"/>
          </w:tcPr>
          <w:p w14:paraId="6F6A8E47">
            <w:pPr>
              <w:pStyle w:val="11"/>
              <w:spacing w:before="231" w:line="221" w:lineRule="auto"/>
              <w:ind w:left="246"/>
              <w:rPr>
                <w:color w:val="auto"/>
                <w:highlight w:val="none"/>
              </w:rPr>
            </w:pPr>
            <w:r>
              <w:rPr>
                <w:color w:val="auto"/>
                <w:spacing w:val="-1"/>
                <w:highlight w:val="none"/>
                <w14:textOutline w14:w="3831" w14:cap="flat" w14:cmpd="sng">
                  <w14:solidFill>
                    <w14:srgbClr w14:val="000000"/>
                  </w14:solidFill>
                  <w14:prstDash w14:val="solid"/>
                  <w14:miter w14:val="0"/>
                </w14:textOutline>
              </w:rPr>
              <w:t>投标人名称</w:t>
            </w:r>
          </w:p>
        </w:tc>
        <w:tc>
          <w:tcPr>
            <w:tcW w:w="1392" w:type="dxa"/>
            <w:vAlign w:val="top"/>
          </w:tcPr>
          <w:p w14:paraId="42F51C6A">
            <w:pPr>
              <w:pStyle w:val="11"/>
              <w:spacing w:before="231" w:line="219" w:lineRule="auto"/>
              <w:ind w:left="282"/>
              <w:rPr>
                <w:color w:val="auto"/>
                <w:highlight w:val="none"/>
              </w:rPr>
            </w:pPr>
            <w:r>
              <w:rPr>
                <w:color w:val="auto"/>
                <w:spacing w:val="-2"/>
                <w:highlight w:val="none"/>
                <w14:textOutline w14:w="3831" w14:cap="flat" w14:cmpd="sng">
                  <w14:solidFill>
                    <w14:srgbClr w14:val="000000"/>
                  </w14:solidFill>
                  <w14:prstDash w14:val="solid"/>
                  <w14:miter w14:val="0"/>
                </w14:textOutline>
              </w:rPr>
              <w:t>投标报价</w:t>
            </w:r>
          </w:p>
        </w:tc>
        <w:tc>
          <w:tcPr>
            <w:tcW w:w="2030" w:type="dxa"/>
            <w:vAlign w:val="top"/>
          </w:tcPr>
          <w:p w14:paraId="17F5495D">
            <w:pPr>
              <w:pStyle w:val="11"/>
              <w:spacing w:before="96" w:line="221" w:lineRule="auto"/>
              <w:ind w:left="600"/>
              <w:rPr>
                <w:color w:val="auto"/>
                <w:highlight w:val="none"/>
              </w:rPr>
            </w:pPr>
            <w:r>
              <w:rPr>
                <w:color w:val="auto"/>
                <w:spacing w:val="-1"/>
                <w:highlight w:val="none"/>
                <w14:textOutline w14:w="3831" w14:cap="flat" w14:cmpd="sng">
                  <w14:solidFill>
                    <w14:srgbClr w14:val="000000"/>
                  </w14:solidFill>
                  <w14:prstDash w14:val="solid"/>
                  <w14:miter w14:val="0"/>
                </w14:textOutline>
              </w:rPr>
              <w:t>评审得分</w:t>
            </w:r>
          </w:p>
          <w:p w14:paraId="4D23CACF">
            <w:pPr>
              <w:pStyle w:val="11"/>
              <w:spacing w:before="22" w:line="219" w:lineRule="auto"/>
              <w:ind w:left="291"/>
              <w:rPr>
                <w:color w:val="auto"/>
                <w:highlight w:val="none"/>
              </w:rPr>
            </w:pPr>
            <w:r>
              <w:rPr>
                <w:color w:val="auto"/>
                <w:spacing w:val="-3"/>
                <w:highlight w:val="none"/>
                <w14:textOutline w14:w="3831" w14:cap="flat" w14:cmpd="sng">
                  <w14:solidFill>
                    <w14:srgbClr w14:val="000000"/>
                  </w14:solidFill>
                  <w14:prstDash w14:val="solid"/>
                  <w14:miter w14:val="0"/>
                </w14:textOutline>
              </w:rPr>
              <w:t>（有效评标价）</w:t>
            </w:r>
          </w:p>
        </w:tc>
        <w:tc>
          <w:tcPr>
            <w:tcW w:w="2500" w:type="dxa"/>
            <w:vAlign w:val="top"/>
          </w:tcPr>
          <w:p w14:paraId="5DF2D3DB">
            <w:pPr>
              <w:pStyle w:val="11"/>
              <w:spacing w:before="231" w:line="220" w:lineRule="auto"/>
              <w:ind w:left="521"/>
              <w:rPr>
                <w:color w:val="auto"/>
                <w:highlight w:val="none"/>
              </w:rPr>
            </w:pPr>
            <w:r>
              <w:rPr>
                <w:color w:val="auto"/>
                <w:highlight w:val="none"/>
                <w14:textOutline w14:w="3831" w14:cap="flat" w14:cmpd="sng">
                  <w14:solidFill>
                    <w14:srgbClr w14:val="000000"/>
                  </w14:solidFill>
                  <w14:prstDash w14:val="solid"/>
                  <w14:miter w14:val="0"/>
                </w14:textOutline>
              </w:rPr>
              <w:t>推荐意见和建议</w:t>
            </w:r>
          </w:p>
        </w:tc>
      </w:tr>
      <w:tr w14:paraId="5DCD7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854" w:type="dxa"/>
            <w:vAlign w:val="top"/>
          </w:tcPr>
          <w:p w14:paraId="2F32DE14">
            <w:pPr>
              <w:spacing w:before="268" w:line="189" w:lineRule="auto"/>
              <w:ind w:left="399"/>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1</w:t>
            </w:r>
          </w:p>
        </w:tc>
        <w:tc>
          <w:tcPr>
            <w:tcW w:w="1535" w:type="dxa"/>
            <w:vAlign w:val="top"/>
          </w:tcPr>
          <w:p w14:paraId="4F092ECD">
            <w:pPr>
              <w:rPr>
                <w:rFonts w:ascii="Arial"/>
                <w:color w:val="auto"/>
                <w:sz w:val="21"/>
                <w:highlight w:val="none"/>
              </w:rPr>
            </w:pPr>
          </w:p>
        </w:tc>
        <w:tc>
          <w:tcPr>
            <w:tcW w:w="1392" w:type="dxa"/>
            <w:vAlign w:val="top"/>
          </w:tcPr>
          <w:p w14:paraId="481E42FC">
            <w:pPr>
              <w:rPr>
                <w:rFonts w:ascii="Arial"/>
                <w:color w:val="auto"/>
                <w:sz w:val="21"/>
                <w:highlight w:val="none"/>
              </w:rPr>
            </w:pPr>
          </w:p>
        </w:tc>
        <w:tc>
          <w:tcPr>
            <w:tcW w:w="2030" w:type="dxa"/>
            <w:vAlign w:val="top"/>
          </w:tcPr>
          <w:p w14:paraId="0F101F95">
            <w:pPr>
              <w:rPr>
                <w:rFonts w:ascii="Arial"/>
                <w:color w:val="auto"/>
                <w:sz w:val="21"/>
                <w:highlight w:val="none"/>
              </w:rPr>
            </w:pPr>
          </w:p>
        </w:tc>
        <w:tc>
          <w:tcPr>
            <w:tcW w:w="2500" w:type="dxa"/>
            <w:vAlign w:val="top"/>
          </w:tcPr>
          <w:p w14:paraId="01D6EE1C">
            <w:pPr>
              <w:rPr>
                <w:rFonts w:ascii="Arial"/>
                <w:color w:val="auto"/>
                <w:sz w:val="21"/>
                <w:highlight w:val="none"/>
              </w:rPr>
            </w:pPr>
          </w:p>
        </w:tc>
      </w:tr>
      <w:tr w14:paraId="51396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854" w:type="dxa"/>
            <w:vAlign w:val="top"/>
          </w:tcPr>
          <w:p w14:paraId="017526FC">
            <w:pPr>
              <w:spacing w:before="269" w:line="189" w:lineRule="auto"/>
              <w:ind w:left="379"/>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2</w:t>
            </w:r>
          </w:p>
        </w:tc>
        <w:tc>
          <w:tcPr>
            <w:tcW w:w="1535" w:type="dxa"/>
            <w:vAlign w:val="top"/>
          </w:tcPr>
          <w:p w14:paraId="02F9CC4F">
            <w:pPr>
              <w:rPr>
                <w:rFonts w:ascii="Arial"/>
                <w:color w:val="auto"/>
                <w:sz w:val="21"/>
                <w:highlight w:val="none"/>
              </w:rPr>
            </w:pPr>
          </w:p>
        </w:tc>
        <w:tc>
          <w:tcPr>
            <w:tcW w:w="1392" w:type="dxa"/>
            <w:vAlign w:val="top"/>
          </w:tcPr>
          <w:p w14:paraId="2EC99774">
            <w:pPr>
              <w:rPr>
                <w:rFonts w:ascii="Arial"/>
                <w:color w:val="auto"/>
                <w:sz w:val="21"/>
                <w:highlight w:val="none"/>
              </w:rPr>
            </w:pPr>
          </w:p>
        </w:tc>
        <w:tc>
          <w:tcPr>
            <w:tcW w:w="2030" w:type="dxa"/>
            <w:vAlign w:val="top"/>
          </w:tcPr>
          <w:p w14:paraId="7A8DBB66">
            <w:pPr>
              <w:rPr>
                <w:rFonts w:ascii="Arial"/>
                <w:color w:val="auto"/>
                <w:sz w:val="21"/>
                <w:highlight w:val="none"/>
              </w:rPr>
            </w:pPr>
          </w:p>
        </w:tc>
        <w:tc>
          <w:tcPr>
            <w:tcW w:w="2500" w:type="dxa"/>
            <w:vAlign w:val="top"/>
          </w:tcPr>
          <w:p w14:paraId="63AC2A89">
            <w:pPr>
              <w:rPr>
                <w:rFonts w:ascii="Arial"/>
                <w:color w:val="auto"/>
                <w:sz w:val="21"/>
                <w:highlight w:val="none"/>
              </w:rPr>
            </w:pPr>
          </w:p>
        </w:tc>
      </w:tr>
      <w:tr w14:paraId="1AD9A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854" w:type="dxa"/>
            <w:vAlign w:val="top"/>
          </w:tcPr>
          <w:p w14:paraId="5B1209DF">
            <w:pPr>
              <w:spacing w:before="270" w:line="189" w:lineRule="auto"/>
              <w:ind w:left="383"/>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3</w:t>
            </w:r>
          </w:p>
        </w:tc>
        <w:tc>
          <w:tcPr>
            <w:tcW w:w="1535" w:type="dxa"/>
            <w:vAlign w:val="top"/>
          </w:tcPr>
          <w:p w14:paraId="1CBD38A2">
            <w:pPr>
              <w:rPr>
                <w:rFonts w:ascii="Arial"/>
                <w:color w:val="auto"/>
                <w:sz w:val="21"/>
                <w:highlight w:val="none"/>
              </w:rPr>
            </w:pPr>
          </w:p>
        </w:tc>
        <w:tc>
          <w:tcPr>
            <w:tcW w:w="1392" w:type="dxa"/>
            <w:vAlign w:val="top"/>
          </w:tcPr>
          <w:p w14:paraId="792FB124">
            <w:pPr>
              <w:rPr>
                <w:rFonts w:ascii="Arial"/>
                <w:color w:val="auto"/>
                <w:sz w:val="21"/>
                <w:highlight w:val="none"/>
              </w:rPr>
            </w:pPr>
          </w:p>
        </w:tc>
        <w:tc>
          <w:tcPr>
            <w:tcW w:w="2030" w:type="dxa"/>
            <w:vAlign w:val="top"/>
          </w:tcPr>
          <w:p w14:paraId="221FCC3B">
            <w:pPr>
              <w:rPr>
                <w:rFonts w:ascii="Arial"/>
                <w:color w:val="auto"/>
                <w:sz w:val="21"/>
                <w:highlight w:val="none"/>
              </w:rPr>
            </w:pPr>
          </w:p>
        </w:tc>
        <w:tc>
          <w:tcPr>
            <w:tcW w:w="2500" w:type="dxa"/>
            <w:vAlign w:val="top"/>
          </w:tcPr>
          <w:p w14:paraId="20F3362E">
            <w:pPr>
              <w:rPr>
                <w:rFonts w:ascii="Arial"/>
                <w:color w:val="auto"/>
                <w:sz w:val="21"/>
                <w:highlight w:val="none"/>
              </w:rPr>
            </w:pPr>
          </w:p>
        </w:tc>
      </w:tr>
      <w:tr w14:paraId="601F5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854" w:type="dxa"/>
            <w:vAlign w:val="top"/>
          </w:tcPr>
          <w:p w14:paraId="462759CA">
            <w:pPr>
              <w:spacing w:before="269" w:line="189" w:lineRule="auto"/>
              <w:ind w:left="378"/>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4</w:t>
            </w:r>
          </w:p>
        </w:tc>
        <w:tc>
          <w:tcPr>
            <w:tcW w:w="1535" w:type="dxa"/>
            <w:vAlign w:val="top"/>
          </w:tcPr>
          <w:p w14:paraId="3395CD2E">
            <w:pPr>
              <w:rPr>
                <w:rFonts w:ascii="Arial"/>
                <w:color w:val="auto"/>
                <w:sz w:val="21"/>
                <w:highlight w:val="none"/>
              </w:rPr>
            </w:pPr>
          </w:p>
        </w:tc>
        <w:tc>
          <w:tcPr>
            <w:tcW w:w="1392" w:type="dxa"/>
            <w:vAlign w:val="top"/>
          </w:tcPr>
          <w:p w14:paraId="58457A0E">
            <w:pPr>
              <w:rPr>
                <w:rFonts w:ascii="Arial"/>
                <w:color w:val="auto"/>
                <w:sz w:val="21"/>
                <w:highlight w:val="none"/>
              </w:rPr>
            </w:pPr>
          </w:p>
        </w:tc>
        <w:tc>
          <w:tcPr>
            <w:tcW w:w="2030" w:type="dxa"/>
            <w:vAlign w:val="top"/>
          </w:tcPr>
          <w:p w14:paraId="520ADA6F">
            <w:pPr>
              <w:rPr>
                <w:rFonts w:ascii="Arial"/>
                <w:color w:val="auto"/>
                <w:sz w:val="21"/>
                <w:highlight w:val="none"/>
              </w:rPr>
            </w:pPr>
          </w:p>
        </w:tc>
        <w:tc>
          <w:tcPr>
            <w:tcW w:w="2500" w:type="dxa"/>
            <w:vAlign w:val="top"/>
          </w:tcPr>
          <w:p w14:paraId="265EB260">
            <w:pPr>
              <w:rPr>
                <w:rFonts w:ascii="Arial"/>
                <w:color w:val="auto"/>
                <w:sz w:val="21"/>
                <w:highlight w:val="none"/>
              </w:rPr>
            </w:pPr>
          </w:p>
        </w:tc>
      </w:tr>
      <w:tr w14:paraId="3F583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854" w:type="dxa"/>
            <w:vAlign w:val="top"/>
          </w:tcPr>
          <w:p w14:paraId="43CBF613">
            <w:pPr>
              <w:spacing w:before="273" w:line="186" w:lineRule="auto"/>
              <w:ind w:left="384"/>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w:t>
            </w:r>
          </w:p>
        </w:tc>
        <w:tc>
          <w:tcPr>
            <w:tcW w:w="1535" w:type="dxa"/>
            <w:vAlign w:val="top"/>
          </w:tcPr>
          <w:p w14:paraId="66A5335E">
            <w:pPr>
              <w:rPr>
                <w:rFonts w:ascii="Arial"/>
                <w:color w:val="auto"/>
                <w:sz w:val="21"/>
                <w:highlight w:val="none"/>
              </w:rPr>
            </w:pPr>
          </w:p>
        </w:tc>
        <w:tc>
          <w:tcPr>
            <w:tcW w:w="1392" w:type="dxa"/>
            <w:vAlign w:val="top"/>
          </w:tcPr>
          <w:p w14:paraId="31E0A0A0">
            <w:pPr>
              <w:rPr>
                <w:rFonts w:ascii="Arial"/>
                <w:color w:val="auto"/>
                <w:sz w:val="21"/>
                <w:highlight w:val="none"/>
              </w:rPr>
            </w:pPr>
          </w:p>
        </w:tc>
        <w:tc>
          <w:tcPr>
            <w:tcW w:w="2030" w:type="dxa"/>
            <w:vAlign w:val="top"/>
          </w:tcPr>
          <w:p w14:paraId="5033D8DC">
            <w:pPr>
              <w:rPr>
                <w:rFonts w:ascii="Arial"/>
                <w:color w:val="auto"/>
                <w:sz w:val="21"/>
                <w:highlight w:val="none"/>
              </w:rPr>
            </w:pPr>
          </w:p>
        </w:tc>
        <w:tc>
          <w:tcPr>
            <w:tcW w:w="2500" w:type="dxa"/>
            <w:vAlign w:val="top"/>
          </w:tcPr>
          <w:p w14:paraId="3F793CD2">
            <w:pPr>
              <w:rPr>
                <w:rFonts w:ascii="Arial"/>
                <w:color w:val="auto"/>
                <w:sz w:val="21"/>
                <w:highlight w:val="none"/>
              </w:rPr>
            </w:pPr>
          </w:p>
        </w:tc>
      </w:tr>
      <w:tr w14:paraId="152DF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854" w:type="dxa"/>
            <w:vAlign w:val="top"/>
          </w:tcPr>
          <w:p w14:paraId="44CBA2DD">
            <w:pPr>
              <w:pStyle w:val="11"/>
              <w:spacing w:before="234" w:line="332" w:lineRule="exact"/>
              <w:ind w:left="343"/>
              <w:rPr>
                <w:color w:val="auto"/>
                <w:highlight w:val="none"/>
              </w:rPr>
            </w:pPr>
            <w:r>
              <w:rPr>
                <w:color w:val="auto"/>
                <w:position w:val="2"/>
                <w:highlight w:val="none"/>
              </w:rPr>
              <w:t>…</w:t>
            </w:r>
          </w:p>
        </w:tc>
        <w:tc>
          <w:tcPr>
            <w:tcW w:w="1535" w:type="dxa"/>
            <w:vAlign w:val="top"/>
          </w:tcPr>
          <w:p w14:paraId="70E9BD40">
            <w:pPr>
              <w:rPr>
                <w:rFonts w:ascii="Arial"/>
                <w:color w:val="auto"/>
                <w:sz w:val="21"/>
                <w:highlight w:val="none"/>
              </w:rPr>
            </w:pPr>
          </w:p>
        </w:tc>
        <w:tc>
          <w:tcPr>
            <w:tcW w:w="1392" w:type="dxa"/>
            <w:vAlign w:val="top"/>
          </w:tcPr>
          <w:p w14:paraId="2325C5DB">
            <w:pPr>
              <w:rPr>
                <w:rFonts w:ascii="Arial"/>
                <w:color w:val="auto"/>
                <w:sz w:val="21"/>
                <w:highlight w:val="none"/>
              </w:rPr>
            </w:pPr>
          </w:p>
        </w:tc>
        <w:tc>
          <w:tcPr>
            <w:tcW w:w="2030" w:type="dxa"/>
            <w:vAlign w:val="top"/>
          </w:tcPr>
          <w:p w14:paraId="36BBF107">
            <w:pPr>
              <w:rPr>
                <w:rFonts w:ascii="Arial"/>
                <w:color w:val="auto"/>
                <w:sz w:val="21"/>
                <w:highlight w:val="none"/>
              </w:rPr>
            </w:pPr>
          </w:p>
        </w:tc>
        <w:tc>
          <w:tcPr>
            <w:tcW w:w="2500" w:type="dxa"/>
            <w:vAlign w:val="top"/>
          </w:tcPr>
          <w:p w14:paraId="6E94CA6C">
            <w:pPr>
              <w:rPr>
                <w:rFonts w:ascii="Arial"/>
                <w:color w:val="auto"/>
                <w:sz w:val="21"/>
                <w:highlight w:val="none"/>
              </w:rPr>
            </w:pPr>
          </w:p>
        </w:tc>
      </w:tr>
      <w:tr w14:paraId="4B7FC7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5" w:hRule="atLeast"/>
        </w:trPr>
        <w:tc>
          <w:tcPr>
            <w:tcW w:w="8311" w:type="dxa"/>
            <w:gridSpan w:val="5"/>
            <w:vAlign w:val="top"/>
          </w:tcPr>
          <w:p w14:paraId="43421DE3">
            <w:pPr>
              <w:pStyle w:val="11"/>
              <w:spacing w:before="196" w:line="220" w:lineRule="auto"/>
              <w:ind w:left="118"/>
              <w:rPr>
                <w:color w:val="auto"/>
                <w:highlight w:val="none"/>
              </w:rPr>
            </w:pPr>
            <w:r>
              <w:rPr>
                <w:color w:val="auto"/>
                <w:spacing w:val="-3"/>
                <w:highlight w:val="none"/>
              </w:rPr>
              <w:t>评标委员会全体成员签名：</w:t>
            </w:r>
          </w:p>
        </w:tc>
      </w:tr>
    </w:tbl>
    <w:p w14:paraId="31DF11A2">
      <w:pPr>
        <w:spacing w:before="270" w:line="221" w:lineRule="auto"/>
        <w:ind w:left="6095"/>
        <w:rPr>
          <w:rFonts w:ascii="宋体" w:hAnsi="宋体" w:eastAsia="宋体" w:cs="宋体"/>
          <w:color w:val="auto"/>
          <w:sz w:val="21"/>
          <w:szCs w:val="21"/>
          <w:highlight w:val="none"/>
        </w:rPr>
      </w:pPr>
      <w:r>
        <w:rPr>
          <w:rFonts w:ascii="宋体" w:hAnsi="宋体" w:eastAsia="宋体" w:cs="宋体"/>
          <w:color w:val="auto"/>
          <w:spacing w:val="-26"/>
          <w:sz w:val="21"/>
          <w:szCs w:val="21"/>
          <w:highlight w:val="none"/>
        </w:rPr>
        <w:t>日期：</w:t>
      </w:r>
      <w:r>
        <w:rPr>
          <w:rFonts w:ascii="宋体" w:hAnsi="宋体" w:eastAsia="宋体" w:cs="宋体"/>
          <w:color w:val="auto"/>
          <w:spacing w:val="33"/>
          <w:sz w:val="21"/>
          <w:szCs w:val="21"/>
          <w:highlight w:val="none"/>
        </w:rPr>
        <w:t xml:space="preserve">   </w:t>
      </w:r>
      <w:r>
        <w:rPr>
          <w:rFonts w:ascii="宋体" w:hAnsi="宋体" w:eastAsia="宋体" w:cs="宋体"/>
          <w:color w:val="auto"/>
          <w:spacing w:val="-26"/>
          <w:sz w:val="21"/>
          <w:szCs w:val="21"/>
          <w:highlight w:val="none"/>
        </w:rPr>
        <w:t>年</w:t>
      </w:r>
      <w:r>
        <w:rPr>
          <w:rFonts w:ascii="宋体" w:hAnsi="宋体" w:eastAsia="宋体" w:cs="宋体"/>
          <w:color w:val="auto"/>
          <w:spacing w:val="68"/>
          <w:sz w:val="21"/>
          <w:szCs w:val="21"/>
          <w:highlight w:val="none"/>
        </w:rPr>
        <w:t xml:space="preserve"> </w:t>
      </w:r>
      <w:r>
        <w:rPr>
          <w:rFonts w:ascii="宋体" w:hAnsi="宋体" w:eastAsia="宋体" w:cs="宋体"/>
          <w:color w:val="auto"/>
          <w:spacing w:val="-26"/>
          <w:sz w:val="21"/>
          <w:szCs w:val="21"/>
          <w:highlight w:val="none"/>
        </w:rPr>
        <w:t>月</w:t>
      </w:r>
      <w:r>
        <w:rPr>
          <w:rFonts w:ascii="宋体" w:hAnsi="宋体" w:eastAsia="宋体" w:cs="宋体"/>
          <w:color w:val="auto"/>
          <w:spacing w:val="47"/>
          <w:sz w:val="21"/>
          <w:szCs w:val="21"/>
          <w:highlight w:val="none"/>
        </w:rPr>
        <w:t xml:space="preserve">  </w:t>
      </w:r>
      <w:r>
        <w:rPr>
          <w:rFonts w:ascii="宋体" w:hAnsi="宋体" w:eastAsia="宋体" w:cs="宋体"/>
          <w:color w:val="auto"/>
          <w:spacing w:val="-26"/>
          <w:sz w:val="21"/>
          <w:szCs w:val="21"/>
          <w:highlight w:val="none"/>
        </w:rPr>
        <w:t>日</w:t>
      </w:r>
    </w:p>
    <w:p w14:paraId="30BD8597">
      <w:pPr>
        <w:spacing w:line="221" w:lineRule="auto"/>
        <w:rPr>
          <w:rFonts w:ascii="宋体" w:hAnsi="宋体" w:eastAsia="宋体" w:cs="宋体"/>
          <w:color w:val="auto"/>
          <w:sz w:val="21"/>
          <w:szCs w:val="21"/>
          <w:highlight w:val="none"/>
        </w:rPr>
        <w:sectPr>
          <w:footerReference r:id="rId96" w:type="default"/>
          <w:pgSz w:w="11905" w:h="16839"/>
          <w:pgMar w:top="1431" w:right="1785" w:bottom="996" w:left="1785" w:header="0" w:footer="791" w:gutter="0"/>
          <w:pgNumType w:fmt="decimal"/>
          <w:cols w:space="720" w:num="1"/>
        </w:sectPr>
      </w:pPr>
    </w:p>
    <w:p w14:paraId="3498B713">
      <w:pPr>
        <w:spacing w:before="124" w:line="219" w:lineRule="auto"/>
        <w:ind w:left="32"/>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附表</w:t>
      </w:r>
      <w:r>
        <w:rPr>
          <w:rFonts w:ascii="黑体" w:hAnsi="黑体" w:eastAsia="黑体" w:cs="黑体"/>
          <w:color w:val="auto"/>
          <w:spacing w:val="-49"/>
          <w:sz w:val="24"/>
          <w:szCs w:val="24"/>
          <w:highlight w:val="none"/>
        </w:rPr>
        <w:t xml:space="preserve"> </w:t>
      </w:r>
      <w:r>
        <w:rPr>
          <w:rFonts w:ascii="Times New Roman" w:hAnsi="Times New Roman" w:eastAsia="Times New Roman" w:cs="Times New Roman"/>
          <w:color w:val="auto"/>
          <w:spacing w:val="-5"/>
          <w:sz w:val="24"/>
          <w:szCs w:val="24"/>
          <w:highlight w:val="none"/>
        </w:rPr>
        <w:t>C-</w:t>
      </w:r>
      <w:r>
        <w:rPr>
          <w:rFonts w:ascii="Times New Roman" w:hAnsi="Times New Roman" w:eastAsia="Times New Roman" w:cs="Times New Roman"/>
          <w:color w:val="auto"/>
          <w:spacing w:val="-30"/>
          <w:sz w:val="24"/>
          <w:szCs w:val="24"/>
          <w:highlight w:val="none"/>
        </w:rPr>
        <w:t xml:space="preserve"> </w:t>
      </w:r>
      <w:r>
        <w:rPr>
          <w:rFonts w:ascii="Times New Roman" w:hAnsi="Times New Roman" w:eastAsia="Times New Roman" w:cs="Times New Roman"/>
          <w:color w:val="auto"/>
          <w:spacing w:val="-5"/>
          <w:sz w:val="24"/>
          <w:szCs w:val="24"/>
          <w:highlight w:val="none"/>
        </w:rPr>
        <w:t>1</w:t>
      </w:r>
      <w:r>
        <w:rPr>
          <w:rFonts w:ascii="黑体" w:hAnsi="黑体" w:eastAsia="黑体" w:cs="黑体"/>
          <w:color w:val="auto"/>
          <w:spacing w:val="-5"/>
          <w:sz w:val="24"/>
          <w:szCs w:val="24"/>
          <w:highlight w:val="none"/>
        </w:rPr>
        <w:t>：成本评审结论记录表</w:t>
      </w:r>
    </w:p>
    <w:p w14:paraId="07C3B1FF">
      <w:pPr>
        <w:spacing w:before="283" w:line="220" w:lineRule="auto"/>
        <w:ind w:left="2738"/>
        <w:rPr>
          <w:rFonts w:ascii="黑体" w:hAnsi="黑体" w:eastAsia="黑体" w:cs="黑体"/>
          <w:color w:val="auto"/>
          <w:sz w:val="32"/>
          <w:szCs w:val="32"/>
          <w:highlight w:val="none"/>
        </w:rPr>
      </w:pPr>
      <w:r>
        <w:rPr>
          <w:rFonts w:ascii="黑体" w:hAnsi="黑体" w:eastAsia="黑体" w:cs="黑体"/>
          <w:color w:val="auto"/>
          <w:spacing w:val="-1"/>
          <w:sz w:val="32"/>
          <w:szCs w:val="32"/>
          <w:highlight w:val="none"/>
        </w:rPr>
        <w:t>成本评审结论记录表</w:t>
      </w:r>
    </w:p>
    <w:p w14:paraId="4F385950">
      <w:pPr>
        <w:spacing w:before="262" w:line="214"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投标人名称：</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1"/>
        <w:gridCol w:w="7160"/>
      </w:tblGrid>
      <w:tr w14:paraId="1212E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7" w:hRule="atLeast"/>
        </w:trPr>
        <w:tc>
          <w:tcPr>
            <w:tcW w:w="8311" w:type="dxa"/>
            <w:gridSpan w:val="2"/>
            <w:vAlign w:val="top"/>
          </w:tcPr>
          <w:p w14:paraId="7CAEE8D5">
            <w:pPr>
              <w:pStyle w:val="11"/>
              <w:spacing w:before="101" w:line="221" w:lineRule="auto"/>
              <w:ind w:left="130"/>
              <w:rPr>
                <w:color w:val="auto"/>
                <w:highlight w:val="none"/>
              </w:rPr>
            </w:pPr>
            <w:r>
              <w:rPr>
                <w:color w:val="auto"/>
                <w:spacing w:val="-3"/>
                <w:highlight w:val="none"/>
              </w:rPr>
              <w:t>需投标人澄清和说明的主要事项概要：</w:t>
            </w:r>
          </w:p>
        </w:tc>
      </w:tr>
      <w:tr w14:paraId="3D8DD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7" w:hRule="atLeast"/>
        </w:trPr>
        <w:tc>
          <w:tcPr>
            <w:tcW w:w="8311" w:type="dxa"/>
            <w:gridSpan w:val="2"/>
            <w:vAlign w:val="top"/>
          </w:tcPr>
          <w:p w14:paraId="3DF4EC53">
            <w:pPr>
              <w:pStyle w:val="11"/>
              <w:spacing w:before="102" w:line="220" w:lineRule="auto"/>
              <w:ind w:left="121"/>
              <w:rPr>
                <w:color w:val="auto"/>
                <w:highlight w:val="none"/>
              </w:rPr>
            </w:pPr>
            <w:r>
              <w:rPr>
                <w:color w:val="auto"/>
                <w:spacing w:val="-1"/>
                <w:highlight w:val="none"/>
              </w:rPr>
              <w:t>投标人澄清、说明、补正和提供证明材料的情况说明：</w:t>
            </w:r>
          </w:p>
        </w:tc>
      </w:tr>
      <w:tr w14:paraId="41D6B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trPr>
        <w:tc>
          <w:tcPr>
            <w:tcW w:w="1151" w:type="dxa"/>
            <w:vAlign w:val="top"/>
          </w:tcPr>
          <w:p w14:paraId="549258BA">
            <w:pPr>
              <w:pStyle w:val="11"/>
              <w:spacing w:before="276" w:line="221" w:lineRule="auto"/>
              <w:ind w:left="161"/>
              <w:rPr>
                <w:color w:val="auto"/>
                <w:highlight w:val="none"/>
              </w:rPr>
            </w:pPr>
            <w:r>
              <w:rPr>
                <w:color w:val="auto"/>
                <w:spacing w:val="-1"/>
                <w:highlight w:val="none"/>
              </w:rPr>
              <w:t>评审结论</w:t>
            </w:r>
          </w:p>
        </w:tc>
        <w:tc>
          <w:tcPr>
            <w:tcW w:w="7160" w:type="dxa"/>
            <w:vAlign w:val="top"/>
          </w:tcPr>
          <w:p w14:paraId="7A45AA5D">
            <w:pPr>
              <w:pStyle w:val="11"/>
              <w:spacing w:before="276" w:line="220" w:lineRule="auto"/>
              <w:ind w:left="453"/>
              <w:rPr>
                <w:color w:val="auto"/>
                <w:highlight w:val="none"/>
              </w:rPr>
            </w:pPr>
            <w:r>
              <w:rPr>
                <w:color w:val="auto"/>
                <w:spacing w:val="-5"/>
                <w:highlight w:val="none"/>
              </w:rPr>
              <w:t>□低于成本</w:t>
            </w:r>
            <w:r>
              <w:rPr>
                <w:color w:val="auto"/>
                <w:spacing w:val="6"/>
                <w:highlight w:val="none"/>
              </w:rPr>
              <w:t xml:space="preserve">     </w:t>
            </w:r>
            <w:r>
              <w:rPr>
                <w:color w:val="auto"/>
                <w:spacing w:val="-5"/>
                <w:highlight w:val="none"/>
              </w:rPr>
              <w:t>□不低于成本</w:t>
            </w:r>
          </w:p>
        </w:tc>
      </w:tr>
      <w:tr w14:paraId="22CD7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3" w:hRule="atLeast"/>
        </w:trPr>
        <w:tc>
          <w:tcPr>
            <w:tcW w:w="1151" w:type="dxa"/>
            <w:textDirection w:val="tbRlV"/>
            <w:vAlign w:val="top"/>
          </w:tcPr>
          <w:p w14:paraId="102C22F5">
            <w:pPr>
              <w:spacing w:line="381" w:lineRule="auto"/>
              <w:rPr>
                <w:rFonts w:ascii="Arial"/>
                <w:color w:val="auto"/>
                <w:sz w:val="21"/>
                <w:highlight w:val="none"/>
              </w:rPr>
            </w:pPr>
          </w:p>
          <w:p w14:paraId="112012CC">
            <w:pPr>
              <w:pStyle w:val="11"/>
              <w:spacing w:before="70" w:line="210" w:lineRule="auto"/>
              <w:ind w:left="1197"/>
              <w:rPr>
                <w:color w:val="auto"/>
                <w:highlight w:val="none"/>
              </w:rPr>
            </w:pPr>
            <w:r>
              <w:rPr>
                <w:color w:val="auto"/>
                <w:spacing w:val="1"/>
                <w:highlight w:val="none"/>
              </w:rPr>
              <w:t>评</w:t>
            </w:r>
            <w:r>
              <w:rPr>
                <w:color w:val="auto"/>
                <w:spacing w:val="-43"/>
                <w:highlight w:val="none"/>
              </w:rPr>
              <w:t xml:space="preserve"> </w:t>
            </w:r>
            <w:r>
              <w:rPr>
                <w:color w:val="auto"/>
                <w:spacing w:val="1"/>
                <w:highlight w:val="none"/>
              </w:rPr>
              <w:t>审</w:t>
            </w:r>
            <w:r>
              <w:rPr>
                <w:color w:val="auto"/>
                <w:spacing w:val="-47"/>
                <w:highlight w:val="none"/>
              </w:rPr>
              <w:t xml:space="preserve"> </w:t>
            </w:r>
            <w:r>
              <w:rPr>
                <w:color w:val="auto"/>
                <w:spacing w:val="1"/>
                <w:highlight w:val="none"/>
              </w:rPr>
              <w:t>意</w:t>
            </w:r>
            <w:r>
              <w:rPr>
                <w:color w:val="auto"/>
                <w:spacing w:val="-43"/>
                <w:highlight w:val="none"/>
              </w:rPr>
              <w:t xml:space="preserve"> </w:t>
            </w:r>
            <w:r>
              <w:rPr>
                <w:color w:val="auto"/>
                <w:spacing w:val="1"/>
                <w:highlight w:val="none"/>
              </w:rPr>
              <w:t>见</w:t>
            </w:r>
            <w:r>
              <w:rPr>
                <w:color w:val="auto"/>
                <w:spacing w:val="-43"/>
                <w:highlight w:val="none"/>
              </w:rPr>
              <w:t xml:space="preserve"> </w:t>
            </w:r>
            <w:r>
              <w:rPr>
                <w:color w:val="auto"/>
                <w:spacing w:val="1"/>
                <w:highlight w:val="none"/>
              </w:rPr>
              <w:t>概</w:t>
            </w:r>
            <w:r>
              <w:rPr>
                <w:color w:val="auto"/>
                <w:spacing w:val="-42"/>
                <w:highlight w:val="none"/>
              </w:rPr>
              <w:t xml:space="preserve"> </w:t>
            </w:r>
            <w:r>
              <w:rPr>
                <w:color w:val="auto"/>
                <w:spacing w:val="1"/>
                <w:highlight w:val="none"/>
              </w:rPr>
              <w:t>要</w:t>
            </w:r>
          </w:p>
        </w:tc>
        <w:tc>
          <w:tcPr>
            <w:tcW w:w="7160" w:type="dxa"/>
            <w:vAlign w:val="top"/>
          </w:tcPr>
          <w:p w14:paraId="7C17DBA8">
            <w:pPr>
              <w:rPr>
                <w:rFonts w:ascii="Arial"/>
                <w:color w:val="auto"/>
                <w:sz w:val="21"/>
                <w:highlight w:val="none"/>
              </w:rPr>
            </w:pPr>
          </w:p>
        </w:tc>
      </w:tr>
      <w:tr w14:paraId="40109B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0" w:hRule="atLeast"/>
        </w:trPr>
        <w:tc>
          <w:tcPr>
            <w:tcW w:w="1151" w:type="dxa"/>
            <w:textDirection w:val="tbRlV"/>
            <w:vAlign w:val="top"/>
          </w:tcPr>
          <w:p w14:paraId="7876B1DB">
            <w:pPr>
              <w:spacing w:line="381" w:lineRule="auto"/>
              <w:rPr>
                <w:rFonts w:ascii="Arial"/>
                <w:color w:val="auto"/>
                <w:sz w:val="21"/>
                <w:highlight w:val="none"/>
              </w:rPr>
            </w:pPr>
          </w:p>
          <w:p w14:paraId="21D2C978">
            <w:pPr>
              <w:pStyle w:val="11"/>
              <w:spacing w:before="71" w:line="209" w:lineRule="auto"/>
              <w:ind w:left="253"/>
              <w:rPr>
                <w:color w:val="auto"/>
                <w:highlight w:val="none"/>
              </w:rPr>
            </w:pPr>
            <w:r>
              <w:rPr>
                <w:color w:val="auto"/>
                <w:spacing w:val="1"/>
                <w:highlight w:val="none"/>
              </w:rPr>
              <w:t>评</w:t>
            </w:r>
            <w:r>
              <w:rPr>
                <w:color w:val="auto"/>
                <w:spacing w:val="-42"/>
                <w:highlight w:val="none"/>
              </w:rPr>
              <w:t xml:space="preserve"> </w:t>
            </w:r>
            <w:r>
              <w:rPr>
                <w:color w:val="auto"/>
                <w:spacing w:val="1"/>
                <w:highlight w:val="none"/>
              </w:rPr>
              <w:t>标</w:t>
            </w:r>
            <w:r>
              <w:rPr>
                <w:color w:val="auto"/>
                <w:spacing w:val="-42"/>
                <w:highlight w:val="none"/>
              </w:rPr>
              <w:t xml:space="preserve"> </w:t>
            </w:r>
            <w:r>
              <w:rPr>
                <w:color w:val="auto"/>
                <w:spacing w:val="1"/>
                <w:highlight w:val="none"/>
              </w:rPr>
              <w:t>委</w:t>
            </w:r>
            <w:r>
              <w:rPr>
                <w:color w:val="auto"/>
                <w:spacing w:val="-47"/>
                <w:highlight w:val="none"/>
              </w:rPr>
              <w:t xml:space="preserve"> </w:t>
            </w:r>
            <w:r>
              <w:rPr>
                <w:color w:val="auto"/>
                <w:spacing w:val="1"/>
                <w:highlight w:val="none"/>
              </w:rPr>
              <w:t>员</w:t>
            </w:r>
            <w:r>
              <w:rPr>
                <w:color w:val="auto"/>
                <w:spacing w:val="-43"/>
                <w:highlight w:val="none"/>
              </w:rPr>
              <w:t xml:space="preserve"> </w:t>
            </w:r>
            <w:r>
              <w:rPr>
                <w:color w:val="auto"/>
                <w:spacing w:val="1"/>
                <w:highlight w:val="none"/>
              </w:rPr>
              <w:t>会</w:t>
            </w:r>
            <w:r>
              <w:rPr>
                <w:color w:val="auto"/>
                <w:spacing w:val="-43"/>
                <w:highlight w:val="none"/>
              </w:rPr>
              <w:t xml:space="preserve"> </w:t>
            </w:r>
            <w:r>
              <w:rPr>
                <w:color w:val="auto"/>
                <w:spacing w:val="1"/>
                <w:highlight w:val="none"/>
              </w:rPr>
              <w:t>全</w:t>
            </w:r>
            <w:r>
              <w:rPr>
                <w:color w:val="auto"/>
                <w:spacing w:val="-42"/>
                <w:highlight w:val="none"/>
              </w:rPr>
              <w:t xml:space="preserve"> </w:t>
            </w:r>
            <w:r>
              <w:rPr>
                <w:color w:val="auto"/>
                <w:spacing w:val="1"/>
                <w:highlight w:val="none"/>
              </w:rPr>
              <w:t>体</w:t>
            </w:r>
            <w:r>
              <w:rPr>
                <w:color w:val="auto"/>
                <w:spacing w:val="-48"/>
                <w:highlight w:val="none"/>
              </w:rPr>
              <w:t xml:space="preserve"> </w:t>
            </w:r>
            <w:r>
              <w:rPr>
                <w:color w:val="auto"/>
                <w:spacing w:val="1"/>
                <w:highlight w:val="none"/>
              </w:rPr>
              <w:t>成</w:t>
            </w:r>
            <w:r>
              <w:rPr>
                <w:color w:val="auto"/>
                <w:spacing w:val="-42"/>
                <w:highlight w:val="none"/>
              </w:rPr>
              <w:t xml:space="preserve"> </w:t>
            </w:r>
            <w:r>
              <w:rPr>
                <w:color w:val="auto"/>
                <w:spacing w:val="1"/>
                <w:highlight w:val="none"/>
              </w:rPr>
              <w:t>员</w:t>
            </w:r>
            <w:r>
              <w:rPr>
                <w:color w:val="auto"/>
                <w:spacing w:val="-42"/>
                <w:highlight w:val="none"/>
              </w:rPr>
              <w:t xml:space="preserve"> </w:t>
            </w:r>
            <w:r>
              <w:rPr>
                <w:color w:val="auto"/>
                <w:spacing w:val="1"/>
                <w:highlight w:val="none"/>
              </w:rPr>
              <w:t>签</w:t>
            </w:r>
            <w:r>
              <w:rPr>
                <w:color w:val="auto"/>
                <w:spacing w:val="-43"/>
                <w:highlight w:val="none"/>
              </w:rPr>
              <w:t xml:space="preserve"> </w:t>
            </w:r>
            <w:r>
              <w:rPr>
                <w:color w:val="auto"/>
                <w:spacing w:val="1"/>
                <w:highlight w:val="none"/>
              </w:rPr>
              <w:t>名</w:t>
            </w:r>
          </w:p>
        </w:tc>
        <w:tc>
          <w:tcPr>
            <w:tcW w:w="7160" w:type="dxa"/>
            <w:vAlign w:val="top"/>
          </w:tcPr>
          <w:p w14:paraId="40B34BC5">
            <w:pPr>
              <w:spacing w:line="249" w:lineRule="auto"/>
              <w:rPr>
                <w:rFonts w:ascii="Arial"/>
                <w:color w:val="auto"/>
                <w:sz w:val="21"/>
                <w:highlight w:val="none"/>
              </w:rPr>
            </w:pPr>
          </w:p>
          <w:p w14:paraId="034BB64A">
            <w:pPr>
              <w:spacing w:line="250" w:lineRule="auto"/>
              <w:rPr>
                <w:rFonts w:ascii="Arial"/>
                <w:color w:val="auto"/>
                <w:sz w:val="21"/>
                <w:highlight w:val="none"/>
              </w:rPr>
            </w:pPr>
          </w:p>
          <w:p w14:paraId="3D11D2C9">
            <w:pPr>
              <w:spacing w:line="250" w:lineRule="auto"/>
              <w:rPr>
                <w:rFonts w:ascii="Arial"/>
                <w:color w:val="auto"/>
                <w:sz w:val="21"/>
                <w:highlight w:val="none"/>
              </w:rPr>
            </w:pPr>
          </w:p>
          <w:p w14:paraId="0A662CE6">
            <w:pPr>
              <w:spacing w:line="250" w:lineRule="auto"/>
              <w:rPr>
                <w:rFonts w:ascii="Arial"/>
                <w:color w:val="auto"/>
                <w:sz w:val="21"/>
                <w:highlight w:val="none"/>
              </w:rPr>
            </w:pPr>
          </w:p>
          <w:p w14:paraId="3C6BB5C4">
            <w:pPr>
              <w:spacing w:line="250" w:lineRule="auto"/>
              <w:rPr>
                <w:rFonts w:ascii="Arial"/>
                <w:color w:val="auto"/>
                <w:sz w:val="21"/>
                <w:highlight w:val="none"/>
              </w:rPr>
            </w:pPr>
          </w:p>
          <w:p w14:paraId="267FAFDC">
            <w:pPr>
              <w:spacing w:line="250" w:lineRule="auto"/>
              <w:rPr>
                <w:rFonts w:ascii="Arial"/>
                <w:color w:val="auto"/>
                <w:sz w:val="21"/>
                <w:highlight w:val="none"/>
              </w:rPr>
            </w:pPr>
          </w:p>
          <w:p w14:paraId="66BE77F8">
            <w:pPr>
              <w:spacing w:line="250" w:lineRule="auto"/>
              <w:rPr>
                <w:rFonts w:ascii="Arial"/>
                <w:color w:val="auto"/>
                <w:sz w:val="21"/>
                <w:highlight w:val="none"/>
              </w:rPr>
            </w:pPr>
          </w:p>
          <w:p w14:paraId="182730AC">
            <w:pPr>
              <w:spacing w:line="250" w:lineRule="auto"/>
              <w:rPr>
                <w:rFonts w:ascii="Arial"/>
                <w:color w:val="auto"/>
                <w:sz w:val="21"/>
                <w:highlight w:val="none"/>
              </w:rPr>
            </w:pPr>
          </w:p>
          <w:p w14:paraId="0A30A38D">
            <w:pPr>
              <w:spacing w:line="250" w:lineRule="auto"/>
              <w:rPr>
                <w:rFonts w:ascii="Arial"/>
                <w:color w:val="auto"/>
                <w:sz w:val="21"/>
                <w:highlight w:val="none"/>
              </w:rPr>
            </w:pPr>
          </w:p>
          <w:p w14:paraId="25F0A8A7">
            <w:pPr>
              <w:spacing w:line="250" w:lineRule="auto"/>
              <w:rPr>
                <w:rFonts w:ascii="Arial"/>
                <w:color w:val="auto"/>
                <w:sz w:val="21"/>
                <w:highlight w:val="none"/>
              </w:rPr>
            </w:pPr>
          </w:p>
          <w:p w14:paraId="14905A32">
            <w:pPr>
              <w:spacing w:line="250" w:lineRule="auto"/>
              <w:rPr>
                <w:rFonts w:ascii="Arial"/>
                <w:color w:val="auto"/>
                <w:sz w:val="21"/>
                <w:highlight w:val="none"/>
              </w:rPr>
            </w:pPr>
          </w:p>
          <w:p w14:paraId="2E87D345">
            <w:pPr>
              <w:spacing w:line="250" w:lineRule="auto"/>
              <w:rPr>
                <w:rFonts w:ascii="Arial"/>
                <w:color w:val="auto"/>
                <w:sz w:val="21"/>
                <w:highlight w:val="none"/>
              </w:rPr>
            </w:pPr>
          </w:p>
          <w:p w14:paraId="0D0BF861">
            <w:pPr>
              <w:pStyle w:val="11"/>
              <w:spacing w:before="69" w:line="221" w:lineRule="auto"/>
              <w:ind w:left="5057"/>
              <w:rPr>
                <w:color w:val="auto"/>
                <w:highlight w:val="none"/>
              </w:rPr>
            </w:pPr>
            <w:r>
              <w:rPr>
                <w:color w:val="auto"/>
                <w:spacing w:val="-7"/>
                <w:highlight w:val="none"/>
              </w:rPr>
              <w:t>年</w:t>
            </w:r>
            <w:r>
              <w:rPr>
                <w:color w:val="auto"/>
                <w:spacing w:val="5"/>
                <w:highlight w:val="none"/>
              </w:rPr>
              <w:t xml:space="preserve">   </w:t>
            </w:r>
            <w:r>
              <w:rPr>
                <w:color w:val="auto"/>
                <w:spacing w:val="-7"/>
                <w:highlight w:val="none"/>
              </w:rPr>
              <w:t>月</w:t>
            </w:r>
            <w:r>
              <w:rPr>
                <w:color w:val="auto"/>
                <w:spacing w:val="13"/>
                <w:highlight w:val="none"/>
              </w:rPr>
              <w:t xml:space="preserve">   </w:t>
            </w:r>
            <w:r>
              <w:rPr>
                <w:color w:val="auto"/>
                <w:spacing w:val="-7"/>
                <w:highlight w:val="none"/>
              </w:rPr>
              <w:t>日</w:t>
            </w:r>
          </w:p>
        </w:tc>
      </w:tr>
    </w:tbl>
    <w:p w14:paraId="42BA8129">
      <w:pPr>
        <w:pStyle w:val="3"/>
        <w:rPr>
          <w:color w:val="auto"/>
          <w:highlight w:val="none"/>
        </w:rPr>
      </w:pPr>
    </w:p>
    <w:p w14:paraId="73E77C00">
      <w:pPr>
        <w:rPr>
          <w:color w:val="auto"/>
          <w:highlight w:val="none"/>
        </w:rPr>
        <w:sectPr>
          <w:footerReference r:id="rId97" w:type="default"/>
          <w:pgSz w:w="11905" w:h="16839"/>
          <w:pgMar w:top="1431" w:right="1785" w:bottom="1004" w:left="1785" w:header="0" w:footer="828" w:gutter="0"/>
          <w:pgNumType w:fmt="decimal"/>
          <w:cols w:space="720" w:num="1"/>
        </w:sectPr>
      </w:pPr>
    </w:p>
    <w:p w14:paraId="53C5ECFC">
      <w:pPr>
        <w:pStyle w:val="3"/>
        <w:spacing w:line="255" w:lineRule="auto"/>
        <w:rPr>
          <w:color w:val="auto"/>
          <w:highlight w:val="none"/>
        </w:rPr>
      </w:pPr>
    </w:p>
    <w:p w14:paraId="3115D360">
      <w:pPr>
        <w:pStyle w:val="3"/>
        <w:spacing w:line="255" w:lineRule="auto"/>
        <w:rPr>
          <w:color w:val="auto"/>
          <w:highlight w:val="none"/>
        </w:rPr>
      </w:pPr>
    </w:p>
    <w:p w14:paraId="06AFBB6D">
      <w:pPr>
        <w:pStyle w:val="3"/>
        <w:spacing w:line="255" w:lineRule="auto"/>
        <w:rPr>
          <w:color w:val="auto"/>
          <w:highlight w:val="none"/>
        </w:rPr>
      </w:pPr>
    </w:p>
    <w:p w14:paraId="1E22B130">
      <w:pPr>
        <w:pStyle w:val="3"/>
        <w:spacing w:line="255" w:lineRule="auto"/>
        <w:rPr>
          <w:color w:val="auto"/>
          <w:highlight w:val="none"/>
        </w:rPr>
      </w:pPr>
    </w:p>
    <w:p w14:paraId="47692C75">
      <w:pPr>
        <w:pStyle w:val="3"/>
        <w:spacing w:line="255" w:lineRule="auto"/>
        <w:rPr>
          <w:color w:val="auto"/>
          <w:highlight w:val="none"/>
        </w:rPr>
      </w:pPr>
    </w:p>
    <w:p w14:paraId="5E5712A7">
      <w:pPr>
        <w:pStyle w:val="3"/>
        <w:spacing w:line="255" w:lineRule="auto"/>
        <w:rPr>
          <w:color w:val="auto"/>
          <w:highlight w:val="none"/>
        </w:rPr>
      </w:pPr>
    </w:p>
    <w:p w14:paraId="6C7E901D">
      <w:pPr>
        <w:pStyle w:val="3"/>
        <w:spacing w:line="255" w:lineRule="auto"/>
        <w:rPr>
          <w:color w:val="auto"/>
          <w:highlight w:val="none"/>
        </w:rPr>
      </w:pPr>
    </w:p>
    <w:p w14:paraId="60277C30">
      <w:pPr>
        <w:pStyle w:val="3"/>
        <w:spacing w:line="255" w:lineRule="auto"/>
        <w:rPr>
          <w:color w:val="auto"/>
          <w:highlight w:val="none"/>
        </w:rPr>
      </w:pPr>
    </w:p>
    <w:p w14:paraId="61282F3E">
      <w:pPr>
        <w:pStyle w:val="3"/>
        <w:spacing w:line="255" w:lineRule="auto"/>
        <w:rPr>
          <w:color w:val="auto"/>
          <w:highlight w:val="none"/>
        </w:rPr>
      </w:pPr>
    </w:p>
    <w:p w14:paraId="56C18704">
      <w:pPr>
        <w:pStyle w:val="3"/>
        <w:spacing w:line="255" w:lineRule="auto"/>
        <w:rPr>
          <w:color w:val="auto"/>
          <w:highlight w:val="none"/>
        </w:rPr>
      </w:pPr>
    </w:p>
    <w:p w14:paraId="06C9E76D">
      <w:pPr>
        <w:pStyle w:val="3"/>
        <w:spacing w:line="255" w:lineRule="auto"/>
        <w:rPr>
          <w:color w:val="auto"/>
          <w:highlight w:val="none"/>
        </w:rPr>
      </w:pPr>
    </w:p>
    <w:p w14:paraId="4D987A88">
      <w:pPr>
        <w:pStyle w:val="3"/>
        <w:spacing w:line="256" w:lineRule="auto"/>
        <w:rPr>
          <w:color w:val="auto"/>
          <w:highlight w:val="none"/>
        </w:rPr>
      </w:pPr>
    </w:p>
    <w:p w14:paraId="2595F1CB">
      <w:pPr>
        <w:pStyle w:val="3"/>
        <w:spacing w:line="256" w:lineRule="auto"/>
        <w:rPr>
          <w:color w:val="auto"/>
          <w:highlight w:val="none"/>
        </w:rPr>
      </w:pPr>
    </w:p>
    <w:p w14:paraId="5C5DE5D0">
      <w:pPr>
        <w:pStyle w:val="3"/>
        <w:spacing w:line="256" w:lineRule="auto"/>
        <w:rPr>
          <w:color w:val="auto"/>
          <w:highlight w:val="none"/>
        </w:rPr>
      </w:pPr>
    </w:p>
    <w:p w14:paraId="1260ED10">
      <w:pPr>
        <w:pStyle w:val="3"/>
        <w:spacing w:line="256" w:lineRule="auto"/>
        <w:rPr>
          <w:color w:val="auto"/>
          <w:highlight w:val="none"/>
        </w:rPr>
      </w:pPr>
    </w:p>
    <w:p w14:paraId="42391EAA">
      <w:pPr>
        <w:spacing w:before="104" w:line="220" w:lineRule="auto"/>
        <w:ind w:left="2418"/>
        <w:outlineLvl w:val="0"/>
        <w:rPr>
          <w:rFonts w:ascii="黑体" w:hAnsi="黑体" w:eastAsia="黑体" w:cs="黑体"/>
          <w:color w:val="auto"/>
          <w:sz w:val="32"/>
          <w:szCs w:val="32"/>
          <w:highlight w:val="none"/>
        </w:rPr>
      </w:pPr>
      <w:r>
        <w:rPr>
          <w:rFonts w:ascii="黑体" w:hAnsi="黑体" w:eastAsia="黑体" w:cs="黑体"/>
          <w:color w:val="auto"/>
          <w:spacing w:val="-1"/>
          <w:sz w:val="32"/>
          <w:szCs w:val="32"/>
          <w:highlight w:val="none"/>
        </w:rPr>
        <w:t>第四章  合同条款及格式</w:t>
      </w:r>
    </w:p>
    <w:p w14:paraId="6C69D735">
      <w:pPr>
        <w:spacing w:line="220" w:lineRule="auto"/>
        <w:rPr>
          <w:rFonts w:ascii="黑体" w:hAnsi="黑体" w:eastAsia="黑体" w:cs="黑体"/>
          <w:color w:val="auto"/>
          <w:sz w:val="32"/>
          <w:szCs w:val="32"/>
          <w:highlight w:val="none"/>
        </w:rPr>
        <w:sectPr>
          <w:footerReference r:id="rId98" w:type="default"/>
          <w:pgSz w:w="11905" w:h="16839"/>
          <w:pgMar w:top="1431" w:right="1785" w:bottom="1004" w:left="1785" w:header="0" w:footer="828" w:gutter="0"/>
          <w:pgNumType w:fmt="decimal"/>
          <w:cols w:space="720" w:num="1"/>
        </w:sectPr>
      </w:pPr>
    </w:p>
    <w:p w14:paraId="762ACB31">
      <w:pPr>
        <w:spacing w:before="71" w:line="219" w:lineRule="auto"/>
        <w:ind w:left="2516"/>
        <w:outlineLvl w:val="1"/>
        <w:rPr>
          <w:rFonts w:ascii="黑体" w:hAnsi="黑体" w:eastAsia="黑体" w:cs="黑体"/>
          <w:color w:val="auto"/>
          <w:sz w:val="36"/>
          <w:szCs w:val="36"/>
          <w:highlight w:val="none"/>
        </w:rPr>
      </w:pPr>
      <w:r>
        <w:rPr>
          <w:rFonts w:ascii="黑体" w:hAnsi="黑体" w:eastAsia="黑体" w:cs="黑体"/>
          <w:color w:val="auto"/>
          <w:spacing w:val="-3"/>
          <w:sz w:val="36"/>
          <w:szCs w:val="36"/>
          <w:highlight w:val="none"/>
        </w:rPr>
        <w:t>第一部分</w:t>
      </w:r>
      <w:r>
        <w:rPr>
          <w:rFonts w:ascii="黑体" w:hAnsi="黑体" w:eastAsia="黑体" w:cs="黑体"/>
          <w:color w:val="auto"/>
          <w:spacing w:val="-73"/>
          <w:sz w:val="36"/>
          <w:szCs w:val="36"/>
          <w:highlight w:val="none"/>
        </w:rPr>
        <w:t xml:space="preserve"> </w:t>
      </w:r>
      <w:r>
        <w:rPr>
          <w:rFonts w:ascii="黑体" w:hAnsi="黑体" w:eastAsia="黑体" w:cs="黑体"/>
          <w:color w:val="auto"/>
          <w:spacing w:val="-3"/>
          <w:sz w:val="36"/>
          <w:szCs w:val="36"/>
          <w:highlight w:val="none"/>
        </w:rPr>
        <w:t>合同协议书</w:t>
      </w:r>
    </w:p>
    <w:p w14:paraId="42DAF4C5">
      <w:pPr>
        <w:pStyle w:val="3"/>
        <w:spacing w:line="327" w:lineRule="auto"/>
        <w:rPr>
          <w:color w:val="auto"/>
          <w:highlight w:val="none"/>
        </w:rPr>
      </w:pPr>
    </w:p>
    <w:p w14:paraId="395DE273">
      <w:pPr>
        <w:spacing w:before="68" w:line="359" w:lineRule="auto"/>
        <w:ind w:left="444"/>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发包人（全称</w:t>
      </w:r>
      <w:r>
        <w:rPr>
          <w:rFonts w:ascii="宋体" w:hAnsi="宋体" w:eastAsia="宋体" w:cs="宋体"/>
          <w:color w:val="auto"/>
          <w:spacing w:val="-21"/>
          <w:sz w:val="21"/>
          <w:szCs w:val="21"/>
          <w:highlight w:val="none"/>
        </w:rPr>
        <w:t>）：</w:t>
      </w:r>
      <w:r>
        <w:rPr>
          <w:rFonts w:ascii="宋体" w:hAnsi="宋体" w:eastAsia="宋体" w:cs="宋体"/>
          <w:color w:val="auto"/>
          <w:sz w:val="21"/>
          <w:szCs w:val="21"/>
          <w:highlight w:val="none"/>
          <w:u w:val="single" w:color="auto"/>
        </w:rPr>
        <w:t xml:space="preserve">                                         </w:t>
      </w:r>
    </w:p>
    <w:p w14:paraId="4062B80F">
      <w:pPr>
        <w:spacing w:line="220" w:lineRule="auto"/>
        <w:ind w:left="441"/>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承包人（全称</w:t>
      </w:r>
      <w:r>
        <w:rPr>
          <w:rFonts w:ascii="宋体" w:hAnsi="宋体" w:eastAsia="宋体" w:cs="宋体"/>
          <w:color w:val="auto"/>
          <w:spacing w:val="-22"/>
          <w:sz w:val="21"/>
          <w:szCs w:val="21"/>
          <w:highlight w:val="none"/>
        </w:rPr>
        <w:t>）：</w:t>
      </w:r>
      <w:r>
        <w:rPr>
          <w:rFonts w:ascii="宋体" w:hAnsi="宋体" w:eastAsia="宋体" w:cs="宋体"/>
          <w:color w:val="auto"/>
          <w:sz w:val="21"/>
          <w:szCs w:val="21"/>
          <w:highlight w:val="none"/>
          <w:u w:val="single" w:color="auto"/>
        </w:rPr>
        <w:t xml:space="preserve">                                        </w:t>
      </w:r>
    </w:p>
    <w:p w14:paraId="23F53EEE">
      <w:pPr>
        <w:spacing w:before="156" w:line="359" w:lineRule="auto"/>
        <w:ind w:left="20" w:right="6" w:firstLine="421"/>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根据《中华人民共和国民法典》、《中华人民共和国建筑法》及有关法律规定，遵循平</w:t>
      </w:r>
      <w:r>
        <w:rPr>
          <w:rFonts w:ascii="宋体" w:hAnsi="宋体" w:eastAsia="宋体" w:cs="宋体"/>
          <w:color w:val="auto"/>
          <w:spacing w:val="18"/>
          <w:sz w:val="21"/>
          <w:szCs w:val="21"/>
          <w:highlight w:val="none"/>
        </w:rPr>
        <w:t xml:space="preserve"> </w:t>
      </w:r>
      <w:r>
        <w:rPr>
          <w:rFonts w:ascii="宋体" w:hAnsi="宋体" w:eastAsia="宋体" w:cs="宋体"/>
          <w:color w:val="auto"/>
          <w:spacing w:val="-1"/>
          <w:sz w:val="21"/>
          <w:szCs w:val="21"/>
          <w:highlight w:val="none"/>
        </w:rPr>
        <w:t>等、自愿、公平和诚实信用的原则，双方就</w:t>
      </w:r>
      <w:r>
        <w:rPr>
          <w:rFonts w:ascii="宋体" w:hAnsi="宋体" w:eastAsia="宋体" w:cs="宋体"/>
          <w:color w:val="auto"/>
          <w:spacing w:val="-86"/>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85"/>
          <w:sz w:val="21"/>
          <w:szCs w:val="21"/>
          <w:highlight w:val="none"/>
        </w:rPr>
        <w:t xml:space="preserve"> </w:t>
      </w:r>
      <w:r>
        <w:rPr>
          <w:rFonts w:ascii="宋体" w:hAnsi="宋体" w:eastAsia="宋体" w:cs="宋体"/>
          <w:color w:val="auto"/>
          <w:spacing w:val="-1"/>
          <w:sz w:val="21"/>
          <w:szCs w:val="21"/>
          <w:highlight w:val="none"/>
        </w:rPr>
        <w:t>工程施工及有关事项协</w:t>
      </w:r>
    </w:p>
    <w:p w14:paraId="7AA51A47">
      <w:pPr>
        <w:spacing w:line="220" w:lineRule="auto"/>
        <w:ind w:left="2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商一致，共同达成如下协议：</w:t>
      </w:r>
    </w:p>
    <w:p w14:paraId="02439095">
      <w:pPr>
        <w:spacing w:before="167" w:line="218" w:lineRule="auto"/>
        <w:ind w:left="23"/>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一、工程概况</w:t>
      </w:r>
    </w:p>
    <w:p w14:paraId="6D9B7B72">
      <w:pPr>
        <w:spacing w:before="173"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2"/>
          <w:sz w:val="21"/>
          <w:szCs w:val="21"/>
          <w:highlight w:val="none"/>
        </w:rPr>
        <w:t>1.</w:t>
      </w:r>
      <w:r>
        <w:rPr>
          <w:rFonts w:ascii="宋体" w:hAnsi="宋体" w:eastAsia="宋体" w:cs="宋体"/>
          <w:color w:val="auto"/>
          <w:spacing w:val="-22"/>
          <w:sz w:val="21"/>
          <w:szCs w:val="21"/>
          <w:highlight w:val="none"/>
        </w:rPr>
        <w:t>工程名称：</w:t>
      </w:r>
      <w:r>
        <w:rPr>
          <w:rFonts w:ascii="宋体" w:hAnsi="宋体" w:eastAsia="宋体" w:cs="宋体"/>
          <w:color w:val="auto"/>
          <w:spacing w:val="47"/>
          <w:sz w:val="21"/>
          <w:szCs w:val="21"/>
          <w:highlight w:val="none"/>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22"/>
          <w:sz w:val="21"/>
          <w:szCs w:val="21"/>
          <w:highlight w:val="none"/>
        </w:rPr>
        <w:t>。</w:t>
      </w:r>
    </w:p>
    <w:p w14:paraId="6D4E4F5B">
      <w:pPr>
        <w:spacing w:before="162" w:line="221"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19"/>
          <w:sz w:val="21"/>
          <w:szCs w:val="21"/>
          <w:highlight w:val="none"/>
        </w:rPr>
        <w:t>2.</w:t>
      </w:r>
      <w:r>
        <w:rPr>
          <w:rFonts w:ascii="宋体" w:hAnsi="宋体" w:eastAsia="宋体" w:cs="宋体"/>
          <w:color w:val="auto"/>
          <w:spacing w:val="-19"/>
          <w:sz w:val="21"/>
          <w:szCs w:val="21"/>
          <w:highlight w:val="none"/>
        </w:rPr>
        <w:t>工程地点：</w:t>
      </w:r>
      <w:r>
        <w:rPr>
          <w:rFonts w:ascii="宋体" w:hAnsi="宋体" w:eastAsia="宋体" w:cs="宋体"/>
          <w:color w:val="auto"/>
          <w:spacing w:val="44"/>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55"/>
          <w:sz w:val="21"/>
          <w:szCs w:val="21"/>
          <w:highlight w:val="none"/>
        </w:rPr>
        <w:t xml:space="preserve"> </w:t>
      </w:r>
      <w:r>
        <w:rPr>
          <w:rFonts w:ascii="宋体" w:hAnsi="宋体" w:eastAsia="宋体" w:cs="宋体"/>
          <w:color w:val="auto"/>
          <w:spacing w:val="-19"/>
          <w:sz w:val="21"/>
          <w:szCs w:val="21"/>
          <w:highlight w:val="none"/>
        </w:rPr>
        <w:t>。</w:t>
      </w:r>
    </w:p>
    <w:p w14:paraId="350758E2">
      <w:pPr>
        <w:spacing w:before="156" w:line="221"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工程立项批准文号：</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
          <w:sz w:val="21"/>
          <w:szCs w:val="21"/>
          <w:highlight w:val="none"/>
        </w:rPr>
        <w:t>。</w:t>
      </w:r>
    </w:p>
    <w:p w14:paraId="5278E284">
      <w:pPr>
        <w:spacing w:before="157" w:line="221"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19"/>
          <w:sz w:val="21"/>
          <w:szCs w:val="21"/>
          <w:highlight w:val="none"/>
        </w:rPr>
        <w:t>4.</w:t>
      </w:r>
      <w:r>
        <w:rPr>
          <w:rFonts w:ascii="宋体" w:hAnsi="宋体" w:eastAsia="宋体" w:cs="宋体"/>
          <w:color w:val="auto"/>
          <w:spacing w:val="-19"/>
          <w:sz w:val="21"/>
          <w:szCs w:val="21"/>
          <w:highlight w:val="none"/>
        </w:rPr>
        <w:t>资金来源：</w:t>
      </w:r>
      <w:r>
        <w:rPr>
          <w:rFonts w:ascii="宋体" w:hAnsi="宋体" w:eastAsia="宋体" w:cs="宋体"/>
          <w:color w:val="auto"/>
          <w:spacing w:val="45"/>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9"/>
          <w:sz w:val="21"/>
          <w:szCs w:val="21"/>
          <w:highlight w:val="none"/>
        </w:rPr>
        <w:t>。</w:t>
      </w:r>
    </w:p>
    <w:p w14:paraId="5D327821">
      <w:pPr>
        <w:spacing w:before="156" w:line="221" w:lineRule="auto"/>
        <w:ind w:left="443"/>
        <w:rPr>
          <w:rFonts w:ascii="宋体" w:hAnsi="宋体" w:eastAsia="宋体" w:cs="宋体"/>
          <w:color w:val="auto"/>
          <w:sz w:val="21"/>
          <w:szCs w:val="21"/>
          <w:highlight w:val="none"/>
        </w:rPr>
      </w:pPr>
      <w:r>
        <w:rPr>
          <w:rFonts w:ascii="Times New Roman" w:hAnsi="Times New Roman" w:eastAsia="Times New Roman" w:cs="Times New Roman"/>
          <w:color w:val="auto"/>
          <w:spacing w:val="-20"/>
          <w:sz w:val="21"/>
          <w:szCs w:val="21"/>
          <w:highlight w:val="none"/>
        </w:rPr>
        <w:t>5.</w:t>
      </w:r>
      <w:r>
        <w:rPr>
          <w:rFonts w:ascii="宋体" w:hAnsi="宋体" w:eastAsia="宋体" w:cs="宋体"/>
          <w:color w:val="auto"/>
          <w:spacing w:val="-20"/>
          <w:sz w:val="21"/>
          <w:szCs w:val="21"/>
          <w:highlight w:val="none"/>
        </w:rPr>
        <w:t>工程内容：</w:t>
      </w:r>
      <w:r>
        <w:rPr>
          <w:rFonts w:ascii="宋体" w:hAnsi="宋体" w:eastAsia="宋体" w:cs="宋体"/>
          <w:color w:val="auto"/>
          <w:spacing w:val="46"/>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20"/>
          <w:sz w:val="21"/>
          <w:szCs w:val="21"/>
          <w:highlight w:val="none"/>
        </w:rPr>
        <w:t>。</w:t>
      </w:r>
    </w:p>
    <w:p w14:paraId="28627EA8">
      <w:pPr>
        <w:spacing w:before="157" w:line="220" w:lineRule="auto"/>
        <w:ind w:left="441"/>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群体工程应附《承包人承揽工程项目一览表》（附件</w:t>
      </w:r>
      <w:r>
        <w:rPr>
          <w:rFonts w:ascii="宋体" w:hAnsi="宋体" w:eastAsia="宋体" w:cs="宋体"/>
          <w:color w:val="auto"/>
          <w:spacing w:val="-23"/>
          <w:sz w:val="21"/>
          <w:szCs w:val="21"/>
          <w:highlight w:val="none"/>
        </w:rPr>
        <w:t xml:space="preserve"> </w:t>
      </w:r>
      <w:r>
        <w:rPr>
          <w:rFonts w:ascii="Times New Roman" w:hAnsi="Times New Roman" w:eastAsia="Times New Roman" w:cs="Times New Roman"/>
          <w:color w:val="auto"/>
          <w:spacing w:val="-8"/>
          <w:sz w:val="21"/>
          <w:szCs w:val="21"/>
          <w:highlight w:val="none"/>
        </w:rPr>
        <w:t>1</w:t>
      </w:r>
      <w:r>
        <w:rPr>
          <w:rFonts w:ascii="宋体" w:hAnsi="宋体" w:eastAsia="宋体" w:cs="宋体"/>
          <w:color w:val="auto"/>
          <w:spacing w:val="-8"/>
          <w:sz w:val="21"/>
          <w:szCs w:val="21"/>
          <w:highlight w:val="none"/>
        </w:rPr>
        <w:t>）。</w:t>
      </w:r>
    </w:p>
    <w:p w14:paraId="57A17C00">
      <w:pPr>
        <w:spacing w:before="158" w:line="221"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9"/>
          <w:sz w:val="21"/>
          <w:szCs w:val="21"/>
          <w:highlight w:val="none"/>
        </w:rPr>
        <w:t>6.</w:t>
      </w:r>
      <w:r>
        <w:rPr>
          <w:rFonts w:ascii="宋体" w:hAnsi="宋体" w:eastAsia="宋体" w:cs="宋体"/>
          <w:color w:val="auto"/>
          <w:spacing w:val="-9"/>
          <w:sz w:val="21"/>
          <w:szCs w:val="21"/>
          <w:highlight w:val="none"/>
        </w:rPr>
        <w:t>工程承包范围：</w:t>
      </w:r>
      <w:r>
        <w:rPr>
          <w:rFonts w:ascii="宋体" w:hAnsi="宋体" w:eastAsia="宋体" w:cs="宋体"/>
          <w:color w:val="auto"/>
          <w:spacing w:val="-29"/>
          <w:sz w:val="21"/>
          <w:szCs w:val="21"/>
          <w:highlight w:val="none"/>
        </w:rPr>
        <w:t xml:space="preserve"> </w:t>
      </w:r>
      <w:r>
        <w:rPr>
          <w:rFonts w:ascii="宋体" w:hAnsi="宋体" w:eastAsia="宋体" w:cs="宋体"/>
          <w:color w:val="auto"/>
          <w:sz w:val="21"/>
          <w:szCs w:val="21"/>
          <w:highlight w:val="none"/>
          <w:u w:val="single" w:color="auto"/>
        </w:rPr>
        <w:t xml:space="preserve">                                                     </w:t>
      </w:r>
    </w:p>
    <w:p w14:paraId="72055E05">
      <w:pPr>
        <w:pStyle w:val="3"/>
        <w:tabs>
          <w:tab w:val="left" w:pos="7520"/>
        </w:tabs>
        <w:spacing w:before="170" w:line="241" w:lineRule="exact"/>
        <w:ind w:left="644"/>
        <w:rPr>
          <w:color w:val="auto"/>
          <w:highlight w:val="none"/>
        </w:rPr>
      </w:pPr>
      <w:r>
        <w:rPr>
          <w:color w:val="auto"/>
          <w:highlight w:val="none"/>
          <w:u w:val="single" w:color="auto"/>
        </w:rPr>
        <w:tab/>
      </w:r>
    </w:p>
    <w:p w14:paraId="45CC0CDC">
      <w:pPr>
        <w:spacing w:before="163" w:line="220" w:lineRule="auto"/>
        <w:ind w:left="23"/>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二、合同工期</w:t>
      </w:r>
    </w:p>
    <w:p w14:paraId="7277723C">
      <w:pPr>
        <w:spacing w:before="175" w:line="359" w:lineRule="auto"/>
        <w:ind w:left="441"/>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计划开工日期：</w:t>
      </w:r>
      <w:r>
        <w:rPr>
          <w:rFonts w:ascii="宋体" w:hAnsi="宋体" w:eastAsia="宋体" w:cs="宋体"/>
          <w:color w:val="auto"/>
          <w:spacing w:val="-24"/>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5"/>
          <w:sz w:val="21"/>
          <w:szCs w:val="21"/>
          <w:highlight w:val="none"/>
        </w:rPr>
        <w:t xml:space="preserve"> </w:t>
      </w:r>
      <w:r>
        <w:rPr>
          <w:rFonts w:ascii="宋体" w:hAnsi="宋体" w:eastAsia="宋体" w:cs="宋体"/>
          <w:color w:val="auto"/>
          <w:spacing w:val="-13"/>
          <w:sz w:val="21"/>
          <w:szCs w:val="21"/>
          <w:highlight w:val="none"/>
        </w:rPr>
        <w:t>年</w:t>
      </w:r>
      <w:r>
        <w:rPr>
          <w:rFonts w:ascii="宋体" w:hAnsi="宋体" w:eastAsia="宋体" w:cs="宋体"/>
          <w:color w:val="auto"/>
          <w:spacing w:val="11"/>
          <w:sz w:val="21"/>
          <w:szCs w:val="21"/>
          <w:highlight w:val="none"/>
          <w:u w:val="single" w:color="auto"/>
        </w:rPr>
        <w:t xml:space="preserve">         </w:t>
      </w:r>
      <w:r>
        <w:rPr>
          <w:rFonts w:ascii="宋体" w:hAnsi="宋体" w:eastAsia="宋体" w:cs="宋体"/>
          <w:color w:val="auto"/>
          <w:spacing w:val="-88"/>
          <w:sz w:val="21"/>
          <w:szCs w:val="21"/>
          <w:highlight w:val="none"/>
        </w:rPr>
        <w:t xml:space="preserve"> </w:t>
      </w:r>
      <w:r>
        <w:rPr>
          <w:rFonts w:ascii="宋体" w:hAnsi="宋体" w:eastAsia="宋体" w:cs="宋体"/>
          <w:color w:val="auto"/>
          <w:spacing w:val="-13"/>
          <w:sz w:val="21"/>
          <w:szCs w:val="21"/>
          <w:highlight w:val="none"/>
        </w:rPr>
        <w:t>月</w:t>
      </w:r>
      <w:r>
        <w:rPr>
          <w:rFonts w:ascii="宋体" w:hAnsi="宋体" w:eastAsia="宋体" w:cs="宋体"/>
          <w:color w:val="auto"/>
          <w:spacing w:val="11"/>
          <w:sz w:val="21"/>
          <w:szCs w:val="21"/>
          <w:highlight w:val="none"/>
          <w:u w:val="single" w:color="auto"/>
        </w:rPr>
        <w:t xml:space="preserve">         </w:t>
      </w:r>
      <w:r>
        <w:rPr>
          <w:rFonts w:ascii="宋体" w:hAnsi="宋体" w:eastAsia="宋体" w:cs="宋体"/>
          <w:color w:val="auto"/>
          <w:spacing w:val="-58"/>
          <w:sz w:val="21"/>
          <w:szCs w:val="21"/>
          <w:highlight w:val="none"/>
        </w:rPr>
        <w:t xml:space="preserve"> </w:t>
      </w:r>
      <w:r>
        <w:rPr>
          <w:rFonts w:ascii="宋体" w:hAnsi="宋体" w:eastAsia="宋体" w:cs="宋体"/>
          <w:color w:val="auto"/>
          <w:spacing w:val="-13"/>
          <w:sz w:val="21"/>
          <w:szCs w:val="21"/>
          <w:highlight w:val="none"/>
        </w:rPr>
        <w:t>日。</w:t>
      </w:r>
    </w:p>
    <w:p w14:paraId="3FB53680">
      <w:pPr>
        <w:spacing w:before="1" w:line="220" w:lineRule="auto"/>
        <w:ind w:left="441"/>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计划竣工日期：</w:t>
      </w:r>
      <w:r>
        <w:rPr>
          <w:rFonts w:ascii="宋体" w:hAnsi="宋体" w:eastAsia="宋体" w:cs="宋体"/>
          <w:color w:val="auto"/>
          <w:spacing w:val="-24"/>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5"/>
          <w:sz w:val="21"/>
          <w:szCs w:val="21"/>
          <w:highlight w:val="none"/>
        </w:rPr>
        <w:t xml:space="preserve"> </w:t>
      </w:r>
      <w:r>
        <w:rPr>
          <w:rFonts w:ascii="宋体" w:hAnsi="宋体" w:eastAsia="宋体" w:cs="宋体"/>
          <w:color w:val="auto"/>
          <w:spacing w:val="-13"/>
          <w:sz w:val="21"/>
          <w:szCs w:val="21"/>
          <w:highlight w:val="none"/>
        </w:rPr>
        <w:t>年</w:t>
      </w:r>
      <w:r>
        <w:rPr>
          <w:rFonts w:ascii="宋体" w:hAnsi="宋体" w:eastAsia="宋体" w:cs="宋体"/>
          <w:color w:val="auto"/>
          <w:spacing w:val="11"/>
          <w:sz w:val="21"/>
          <w:szCs w:val="21"/>
          <w:highlight w:val="none"/>
          <w:u w:val="single" w:color="auto"/>
        </w:rPr>
        <w:t xml:space="preserve">         </w:t>
      </w:r>
      <w:r>
        <w:rPr>
          <w:rFonts w:ascii="宋体" w:hAnsi="宋体" w:eastAsia="宋体" w:cs="宋体"/>
          <w:color w:val="auto"/>
          <w:spacing w:val="-88"/>
          <w:sz w:val="21"/>
          <w:szCs w:val="21"/>
          <w:highlight w:val="none"/>
        </w:rPr>
        <w:t xml:space="preserve"> </w:t>
      </w:r>
      <w:r>
        <w:rPr>
          <w:rFonts w:ascii="宋体" w:hAnsi="宋体" w:eastAsia="宋体" w:cs="宋体"/>
          <w:color w:val="auto"/>
          <w:spacing w:val="-13"/>
          <w:sz w:val="21"/>
          <w:szCs w:val="21"/>
          <w:highlight w:val="none"/>
        </w:rPr>
        <w:t>月</w:t>
      </w:r>
      <w:r>
        <w:rPr>
          <w:rFonts w:ascii="宋体" w:hAnsi="宋体" w:eastAsia="宋体" w:cs="宋体"/>
          <w:color w:val="auto"/>
          <w:spacing w:val="11"/>
          <w:sz w:val="21"/>
          <w:szCs w:val="21"/>
          <w:highlight w:val="none"/>
          <w:u w:val="single" w:color="auto"/>
        </w:rPr>
        <w:t xml:space="preserve">         </w:t>
      </w:r>
      <w:r>
        <w:rPr>
          <w:rFonts w:ascii="宋体" w:hAnsi="宋体" w:eastAsia="宋体" w:cs="宋体"/>
          <w:color w:val="auto"/>
          <w:spacing w:val="-58"/>
          <w:sz w:val="21"/>
          <w:szCs w:val="21"/>
          <w:highlight w:val="none"/>
        </w:rPr>
        <w:t xml:space="preserve"> </w:t>
      </w:r>
      <w:r>
        <w:rPr>
          <w:rFonts w:ascii="宋体" w:hAnsi="宋体" w:eastAsia="宋体" w:cs="宋体"/>
          <w:color w:val="auto"/>
          <w:spacing w:val="-13"/>
          <w:sz w:val="21"/>
          <w:szCs w:val="21"/>
          <w:highlight w:val="none"/>
        </w:rPr>
        <w:t>日。</w:t>
      </w:r>
    </w:p>
    <w:p w14:paraId="08A8EE08">
      <w:pPr>
        <w:spacing w:before="157" w:line="359" w:lineRule="auto"/>
        <w:ind w:right="4"/>
        <w:jc w:val="right"/>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工期总日历天数：</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76"/>
          <w:sz w:val="21"/>
          <w:szCs w:val="21"/>
          <w:highlight w:val="none"/>
        </w:rPr>
        <w:t xml:space="preserve"> </w:t>
      </w:r>
      <w:r>
        <w:rPr>
          <w:rFonts w:ascii="宋体" w:hAnsi="宋体" w:eastAsia="宋体" w:cs="宋体"/>
          <w:color w:val="auto"/>
          <w:spacing w:val="2"/>
          <w:sz w:val="21"/>
          <w:szCs w:val="21"/>
          <w:highlight w:val="none"/>
        </w:rPr>
        <w:t>天。工期总日历天数与根据前述计划开竣工日期计算的</w:t>
      </w:r>
    </w:p>
    <w:p w14:paraId="5B29B955">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工期天数不一致的，</w:t>
      </w:r>
      <w:r>
        <w:rPr>
          <w:rFonts w:ascii="宋体" w:hAnsi="宋体" w:eastAsia="宋体" w:cs="宋体"/>
          <w:color w:val="auto"/>
          <w:spacing w:val="27"/>
          <w:sz w:val="21"/>
          <w:szCs w:val="21"/>
          <w:highlight w:val="none"/>
        </w:rPr>
        <w:t xml:space="preserve"> </w:t>
      </w:r>
      <w:r>
        <w:rPr>
          <w:rFonts w:ascii="宋体" w:hAnsi="宋体" w:eastAsia="宋体" w:cs="宋体"/>
          <w:color w:val="auto"/>
          <w:spacing w:val="-8"/>
          <w:sz w:val="21"/>
          <w:szCs w:val="21"/>
          <w:highlight w:val="none"/>
        </w:rPr>
        <w:t>以工期总日历天数为准。</w:t>
      </w:r>
    </w:p>
    <w:p w14:paraId="7825B696">
      <w:pPr>
        <w:spacing w:before="165" w:line="220" w:lineRule="auto"/>
        <w:ind w:left="144"/>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三、质量标准</w:t>
      </w:r>
    </w:p>
    <w:p w14:paraId="40E95157">
      <w:pPr>
        <w:spacing w:before="172" w:line="366" w:lineRule="auto"/>
        <w:ind w:left="44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工程质量符合</w:t>
      </w:r>
      <w:r>
        <w:rPr>
          <w:rFonts w:ascii="宋体" w:hAnsi="宋体" w:eastAsia="宋体" w:cs="宋体"/>
          <w:color w:val="auto"/>
          <w:spacing w:val="-103"/>
          <w:sz w:val="21"/>
          <w:szCs w:val="21"/>
          <w:highlight w:val="none"/>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92"/>
          <w:sz w:val="21"/>
          <w:szCs w:val="21"/>
          <w:highlight w:val="none"/>
        </w:rPr>
        <w:t xml:space="preserve"> </w:t>
      </w:r>
      <w:r>
        <w:rPr>
          <w:rFonts w:ascii="宋体" w:hAnsi="宋体" w:eastAsia="宋体" w:cs="宋体"/>
          <w:color w:val="auto"/>
          <w:spacing w:val="-4"/>
          <w:sz w:val="21"/>
          <w:szCs w:val="21"/>
          <w:highlight w:val="none"/>
        </w:rPr>
        <w:t>标准。</w:t>
      </w:r>
    </w:p>
    <w:p w14:paraId="238C6F2B">
      <w:pPr>
        <w:spacing w:before="1" w:line="218" w:lineRule="auto"/>
        <w:ind w:left="154"/>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四、签约合同价与合同价格形式</w:t>
      </w:r>
    </w:p>
    <w:p w14:paraId="5FAC0289">
      <w:pPr>
        <w:spacing w:before="177" w:line="359"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11"/>
          <w:sz w:val="21"/>
          <w:szCs w:val="21"/>
          <w:highlight w:val="none"/>
        </w:rPr>
        <w:t>1.</w:t>
      </w:r>
      <w:r>
        <w:rPr>
          <w:rFonts w:ascii="宋体" w:hAnsi="宋体" w:eastAsia="宋体" w:cs="宋体"/>
          <w:color w:val="auto"/>
          <w:spacing w:val="-11"/>
          <w:sz w:val="21"/>
          <w:szCs w:val="21"/>
          <w:highlight w:val="none"/>
        </w:rPr>
        <w:t>签约合同价为：</w:t>
      </w:r>
      <w:r>
        <w:rPr>
          <w:rFonts w:ascii="宋体" w:hAnsi="宋体" w:eastAsia="宋体" w:cs="宋体"/>
          <w:color w:val="auto"/>
          <w:spacing w:val="-27"/>
          <w:sz w:val="21"/>
          <w:szCs w:val="21"/>
          <w:highlight w:val="none"/>
        </w:rPr>
        <w:t xml:space="preserve"> </w:t>
      </w:r>
      <w:r>
        <w:rPr>
          <w:rFonts w:ascii="宋体" w:hAnsi="宋体" w:eastAsia="宋体" w:cs="宋体"/>
          <w:color w:val="auto"/>
          <w:sz w:val="21"/>
          <w:szCs w:val="21"/>
          <w:highlight w:val="none"/>
          <w:u w:val="single" w:color="auto"/>
        </w:rPr>
        <w:t xml:space="preserve">                     </w:t>
      </w:r>
    </w:p>
    <w:p w14:paraId="29984CBE">
      <w:pPr>
        <w:spacing w:before="1" w:line="219" w:lineRule="auto"/>
        <w:ind w:left="442"/>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人民币（大写）</w:t>
      </w:r>
      <w:r>
        <w:rPr>
          <w:rFonts w:ascii="宋体" w:hAnsi="宋体" w:eastAsia="宋体" w:cs="宋体"/>
          <w:color w:val="auto"/>
          <w:spacing w:val="-46"/>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19"/>
          <w:sz w:val="21"/>
          <w:szCs w:val="21"/>
          <w:highlight w:val="none"/>
        </w:rPr>
        <w:t xml:space="preserve"> </w:t>
      </w:r>
      <w:r>
        <w:rPr>
          <w:rFonts w:ascii="宋体" w:hAnsi="宋体" w:eastAsia="宋体" w:cs="宋体"/>
          <w:color w:val="auto"/>
          <w:spacing w:val="-9"/>
          <w:sz w:val="21"/>
          <w:szCs w:val="21"/>
          <w:highlight w:val="none"/>
        </w:rPr>
        <w:t>(</w:t>
      </w:r>
      <w:r>
        <w:rPr>
          <w:rFonts w:ascii="Times New Roman" w:hAnsi="Times New Roman" w:eastAsia="Times New Roman" w:cs="Times New Roman"/>
          <w:color w:val="auto"/>
          <w:spacing w:val="-9"/>
          <w:sz w:val="21"/>
          <w:szCs w:val="21"/>
          <w:highlight w:val="none"/>
        </w:rPr>
        <w:t xml:space="preserve">¥ </w:t>
      </w:r>
      <w:r>
        <w:rPr>
          <w:rFonts w:ascii="Times New Roman" w:hAnsi="Times New Roman" w:eastAsia="Times New Roman" w:cs="Times New Roman"/>
          <w:color w:val="auto"/>
          <w:spacing w:val="5"/>
          <w:sz w:val="21"/>
          <w:szCs w:val="21"/>
          <w:highlight w:val="none"/>
          <w:u w:val="single" w:color="auto"/>
        </w:rPr>
        <w:t xml:space="preserve">          </w:t>
      </w:r>
      <w:r>
        <w:rPr>
          <w:rFonts w:ascii="Times New Roman" w:hAnsi="Times New Roman" w:eastAsia="Times New Roman" w:cs="Times New Roman"/>
          <w:color w:val="auto"/>
          <w:spacing w:val="-41"/>
          <w:sz w:val="21"/>
          <w:szCs w:val="21"/>
          <w:highlight w:val="none"/>
        </w:rPr>
        <w:t xml:space="preserve"> </w:t>
      </w:r>
      <w:r>
        <w:rPr>
          <w:rFonts w:ascii="宋体" w:hAnsi="宋体" w:eastAsia="宋体" w:cs="宋体"/>
          <w:color w:val="auto"/>
          <w:spacing w:val="-9"/>
          <w:sz w:val="21"/>
          <w:szCs w:val="21"/>
          <w:highlight w:val="none"/>
        </w:rPr>
        <w:t>元</w:t>
      </w:r>
      <w:r>
        <w:rPr>
          <w:rFonts w:ascii="宋体" w:hAnsi="宋体" w:eastAsia="宋体" w:cs="宋体"/>
          <w:color w:val="auto"/>
          <w:spacing w:val="-56"/>
          <w:sz w:val="21"/>
          <w:szCs w:val="21"/>
          <w:highlight w:val="none"/>
        </w:rPr>
        <w:t>）；</w:t>
      </w:r>
    </w:p>
    <w:p w14:paraId="2950EAE4">
      <w:pPr>
        <w:spacing w:before="158" w:line="221" w:lineRule="auto"/>
        <w:ind w:left="442"/>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其中：</w:t>
      </w:r>
    </w:p>
    <w:p w14:paraId="5EC60488">
      <w:pPr>
        <w:spacing w:before="156"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宋体" w:hAnsi="宋体" w:eastAsia="宋体" w:cs="宋体"/>
          <w:color w:val="auto"/>
          <w:spacing w:val="-1"/>
          <w:sz w:val="21"/>
          <w:szCs w:val="21"/>
          <w:highlight w:val="none"/>
        </w:rPr>
        <w:t>）安全文明施工费：</w:t>
      </w:r>
    </w:p>
    <w:p w14:paraId="375E97AB">
      <w:pPr>
        <w:spacing w:before="157" w:line="359" w:lineRule="auto"/>
        <w:ind w:left="44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 xml:space="preserve">人民币（大写）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5"/>
          <w:sz w:val="21"/>
          <w:szCs w:val="21"/>
          <w:highlight w:val="none"/>
        </w:rPr>
        <w:t xml:space="preserve"> (</w:t>
      </w:r>
      <w:r>
        <w:rPr>
          <w:rFonts w:ascii="Times New Roman" w:hAnsi="Times New Roman" w:eastAsia="Times New Roman" w:cs="Times New Roman"/>
          <w:color w:val="auto"/>
          <w:spacing w:val="-5"/>
          <w:sz w:val="21"/>
          <w:szCs w:val="21"/>
          <w:highlight w:val="none"/>
        </w:rPr>
        <w:t>¥</w:t>
      </w:r>
      <w:r>
        <w:rPr>
          <w:rFonts w:ascii="Times New Roman" w:hAnsi="Times New Roman" w:eastAsia="Times New Roman" w:cs="Times New Roman"/>
          <w:color w:val="auto"/>
          <w:spacing w:val="-5"/>
          <w:sz w:val="21"/>
          <w:szCs w:val="21"/>
          <w:highlight w:val="none"/>
          <w:u w:val="single" w:color="auto"/>
        </w:rPr>
        <w:t xml:space="preserve">             </w:t>
      </w:r>
      <w:r>
        <w:rPr>
          <w:rFonts w:ascii="Times New Roman" w:hAnsi="Times New Roman" w:eastAsia="Times New Roman" w:cs="Times New Roman"/>
          <w:color w:val="auto"/>
          <w:spacing w:val="-41"/>
          <w:sz w:val="21"/>
          <w:szCs w:val="21"/>
          <w:highlight w:val="none"/>
        </w:rPr>
        <w:t xml:space="preserve"> </w:t>
      </w:r>
      <w:r>
        <w:rPr>
          <w:rFonts w:ascii="宋体" w:hAnsi="宋体" w:eastAsia="宋体" w:cs="宋体"/>
          <w:color w:val="auto"/>
          <w:spacing w:val="-5"/>
          <w:sz w:val="21"/>
          <w:szCs w:val="21"/>
          <w:highlight w:val="none"/>
        </w:rPr>
        <w:t>元</w:t>
      </w:r>
      <w:r>
        <w:rPr>
          <w:rFonts w:ascii="宋体" w:hAnsi="宋体" w:eastAsia="宋体" w:cs="宋体"/>
          <w:color w:val="auto"/>
          <w:spacing w:val="-54"/>
          <w:w w:val="97"/>
          <w:sz w:val="21"/>
          <w:szCs w:val="21"/>
          <w:highlight w:val="none"/>
        </w:rPr>
        <w:t>）；</w:t>
      </w:r>
    </w:p>
    <w:p w14:paraId="774A2CF5">
      <w:pPr>
        <w:spacing w:line="219"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2</w:t>
      </w:r>
      <w:r>
        <w:rPr>
          <w:rFonts w:ascii="宋体" w:hAnsi="宋体" w:eastAsia="宋体" w:cs="宋体"/>
          <w:color w:val="auto"/>
          <w:spacing w:val="-3"/>
          <w:sz w:val="21"/>
          <w:szCs w:val="21"/>
          <w:highlight w:val="none"/>
        </w:rPr>
        <w:t>）材料和工程设备暂估价金额：</w:t>
      </w:r>
    </w:p>
    <w:p w14:paraId="74EF0235">
      <w:pPr>
        <w:spacing w:before="159" w:line="359" w:lineRule="auto"/>
        <w:ind w:left="442"/>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人民币（大写）</w:t>
      </w:r>
      <w:r>
        <w:rPr>
          <w:rFonts w:ascii="宋体" w:hAnsi="宋体" w:eastAsia="宋体" w:cs="宋体"/>
          <w:color w:val="auto"/>
          <w:spacing w:val="-43"/>
          <w:sz w:val="21"/>
          <w:szCs w:val="21"/>
          <w:highlight w:val="none"/>
        </w:rPr>
        <w:t xml:space="preserve"> </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15"/>
          <w:sz w:val="21"/>
          <w:szCs w:val="21"/>
          <w:highlight w:val="none"/>
        </w:rPr>
        <w:t xml:space="preserve"> </w:t>
      </w:r>
      <w:r>
        <w:rPr>
          <w:rFonts w:ascii="宋体" w:hAnsi="宋体" w:eastAsia="宋体" w:cs="宋体"/>
          <w:color w:val="auto"/>
          <w:spacing w:val="-7"/>
          <w:sz w:val="21"/>
          <w:szCs w:val="21"/>
          <w:highlight w:val="none"/>
        </w:rPr>
        <w:t>(</w:t>
      </w:r>
      <w:r>
        <w:rPr>
          <w:rFonts w:ascii="Times New Roman" w:hAnsi="Times New Roman" w:eastAsia="Times New Roman" w:cs="Times New Roman"/>
          <w:color w:val="auto"/>
          <w:spacing w:val="-7"/>
          <w:sz w:val="21"/>
          <w:szCs w:val="21"/>
          <w:highlight w:val="none"/>
        </w:rPr>
        <w:t xml:space="preserve">¥ </w:t>
      </w:r>
      <w:r>
        <w:rPr>
          <w:rFonts w:ascii="Times New Roman" w:hAnsi="Times New Roman" w:eastAsia="Times New Roman" w:cs="Times New Roman"/>
          <w:color w:val="auto"/>
          <w:sz w:val="21"/>
          <w:szCs w:val="21"/>
          <w:highlight w:val="none"/>
          <w:u w:val="single" w:color="auto"/>
        </w:rPr>
        <w:t xml:space="preserve">          </w:t>
      </w:r>
      <w:r>
        <w:rPr>
          <w:rFonts w:ascii="Times New Roman" w:hAnsi="Times New Roman" w:eastAsia="Times New Roman" w:cs="Times New Roman"/>
          <w:color w:val="auto"/>
          <w:spacing w:val="-7"/>
          <w:sz w:val="21"/>
          <w:szCs w:val="21"/>
          <w:highlight w:val="none"/>
        </w:rPr>
        <w:t xml:space="preserve"> </w:t>
      </w:r>
      <w:r>
        <w:rPr>
          <w:rFonts w:ascii="宋体" w:hAnsi="宋体" w:eastAsia="宋体" w:cs="宋体"/>
          <w:color w:val="auto"/>
          <w:spacing w:val="-7"/>
          <w:sz w:val="21"/>
          <w:szCs w:val="21"/>
          <w:highlight w:val="none"/>
        </w:rPr>
        <w:t>元</w:t>
      </w:r>
      <w:r>
        <w:rPr>
          <w:rFonts w:ascii="宋体" w:hAnsi="宋体" w:eastAsia="宋体" w:cs="宋体"/>
          <w:color w:val="auto"/>
          <w:spacing w:val="-54"/>
          <w:w w:val="96"/>
          <w:sz w:val="21"/>
          <w:szCs w:val="21"/>
          <w:highlight w:val="none"/>
        </w:rPr>
        <w:t>）；</w:t>
      </w:r>
    </w:p>
    <w:p w14:paraId="46E4399F">
      <w:pPr>
        <w:spacing w:line="219"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3</w:t>
      </w:r>
      <w:r>
        <w:rPr>
          <w:rFonts w:ascii="宋体" w:hAnsi="宋体" w:eastAsia="宋体" w:cs="宋体"/>
          <w:color w:val="auto"/>
          <w:spacing w:val="-4"/>
          <w:sz w:val="21"/>
          <w:szCs w:val="21"/>
          <w:highlight w:val="none"/>
        </w:rPr>
        <w:t>）专业工程暂估价金额：</w:t>
      </w:r>
    </w:p>
    <w:p w14:paraId="4DF649D4">
      <w:pPr>
        <w:spacing w:before="163" w:line="220" w:lineRule="auto"/>
        <w:ind w:left="442"/>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人民币（大写）</w:t>
      </w:r>
      <w:r>
        <w:rPr>
          <w:rFonts w:ascii="宋体" w:hAnsi="宋体" w:eastAsia="宋体" w:cs="宋体"/>
          <w:color w:val="auto"/>
          <w:spacing w:val="-44"/>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5"/>
          <w:sz w:val="21"/>
          <w:szCs w:val="21"/>
          <w:highlight w:val="none"/>
        </w:rPr>
        <w:t xml:space="preserve"> </w:t>
      </w:r>
      <w:r>
        <w:rPr>
          <w:rFonts w:ascii="宋体" w:hAnsi="宋体" w:eastAsia="宋体" w:cs="宋体"/>
          <w:color w:val="auto"/>
          <w:spacing w:val="-7"/>
          <w:sz w:val="21"/>
          <w:szCs w:val="21"/>
          <w:highlight w:val="none"/>
        </w:rPr>
        <w:t>(</w:t>
      </w:r>
      <w:r>
        <w:rPr>
          <w:rFonts w:ascii="Times New Roman" w:hAnsi="Times New Roman" w:eastAsia="Times New Roman" w:cs="Times New Roman"/>
          <w:color w:val="auto"/>
          <w:spacing w:val="-7"/>
          <w:sz w:val="21"/>
          <w:szCs w:val="21"/>
          <w:highlight w:val="none"/>
        </w:rPr>
        <w:t>¥</w:t>
      </w:r>
      <w:r>
        <w:rPr>
          <w:rFonts w:ascii="Times New Roman" w:hAnsi="Times New Roman" w:eastAsia="Times New Roman" w:cs="Times New Roman"/>
          <w:color w:val="auto"/>
          <w:spacing w:val="5"/>
          <w:sz w:val="21"/>
          <w:szCs w:val="21"/>
          <w:highlight w:val="none"/>
          <w:u w:val="single" w:color="auto"/>
        </w:rPr>
        <w:t xml:space="preserve">          </w:t>
      </w:r>
      <w:r>
        <w:rPr>
          <w:rFonts w:ascii="Times New Roman" w:hAnsi="Times New Roman" w:eastAsia="Times New Roman" w:cs="Times New Roman"/>
          <w:color w:val="auto"/>
          <w:spacing w:val="-7"/>
          <w:sz w:val="21"/>
          <w:szCs w:val="21"/>
          <w:highlight w:val="none"/>
        </w:rPr>
        <w:t xml:space="preserve"> </w:t>
      </w:r>
      <w:r>
        <w:rPr>
          <w:rFonts w:ascii="宋体" w:hAnsi="宋体" w:eastAsia="宋体" w:cs="宋体"/>
          <w:color w:val="auto"/>
          <w:spacing w:val="-7"/>
          <w:sz w:val="21"/>
          <w:szCs w:val="21"/>
          <w:highlight w:val="none"/>
        </w:rPr>
        <w:t>元</w:t>
      </w:r>
      <w:r>
        <w:rPr>
          <w:rFonts w:ascii="宋体" w:hAnsi="宋体" w:eastAsia="宋体" w:cs="宋体"/>
          <w:color w:val="auto"/>
          <w:spacing w:val="-54"/>
          <w:w w:val="97"/>
          <w:sz w:val="21"/>
          <w:szCs w:val="21"/>
          <w:highlight w:val="none"/>
        </w:rPr>
        <w:t>）；</w:t>
      </w:r>
    </w:p>
    <w:p w14:paraId="27E4553E">
      <w:pPr>
        <w:spacing w:line="220" w:lineRule="auto"/>
        <w:rPr>
          <w:rFonts w:ascii="宋体" w:hAnsi="宋体" w:eastAsia="宋体" w:cs="宋体"/>
          <w:color w:val="auto"/>
          <w:sz w:val="21"/>
          <w:szCs w:val="21"/>
          <w:highlight w:val="none"/>
        </w:rPr>
        <w:sectPr>
          <w:footerReference r:id="rId99" w:type="default"/>
          <w:pgSz w:w="11905" w:h="16839"/>
          <w:pgMar w:top="1375" w:right="1785" w:bottom="1004" w:left="1785" w:header="0" w:footer="828" w:gutter="0"/>
          <w:pgNumType w:fmt="decimal"/>
          <w:cols w:space="720" w:num="1"/>
        </w:sectPr>
      </w:pPr>
    </w:p>
    <w:p w14:paraId="26986A52">
      <w:pPr>
        <w:spacing w:before="41" w:line="221"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4</w:t>
      </w:r>
      <w:r>
        <w:rPr>
          <w:rFonts w:ascii="宋体" w:hAnsi="宋体" w:eastAsia="宋体" w:cs="宋体"/>
          <w:color w:val="auto"/>
          <w:spacing w:val="-5"/>
          <w:sz w:val="21"/>
          <w:szCs w:val="21"/>
          <w:highlight w:val="none"/>
        </w:rPr>
        <w:t>）暂列金额：</w:t>
      </w:r>
    </w:p>
    <w:p w14:paraId="1E9BAAFA">
      <w:pPr>
        <w:spacing w:before="156" w:line="220" w:lineRule="auto"/>
        <w:ind w:left="442"/>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人民币（大写）</w:t>
      </w:r>
      <w:r>
        <w:rPr>
          <w:rFonts w:ascii="宋体" w:hAnsi="宋体" w:eastAsia="宋体" w:cs="宋体"/>
          <w:color w:val="auto"/>
          <w:spacing w:val="-41"/>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20"/>
          <w:sz w:val="21"/>
          <w:szCs w:val="21"/>
          <w:highlight w:val="none"/>
        </w:rPr>
        <w:t xml:space="preserve"> </w:t>
      </w:r>
      <w:r>
        <w:rPr>
          <w:rFonts w:ascii="宋体" w:hAnsi="宋体" w:eastAsia="宋体" w:cs="宋体"/>
          <w:color w:val="auto"/>
          <w:spacing w:val="-12"/>
          <w:sz w:val="21"/>
          <w:szCs w:val="21"/>
          <w:highlight w:val="none"/>
        </w:rPr>
        <w:t>(</w:t>
      </w:r>
      <w:r>
        <w:rPr>
          <w:rFonts w:ascii="Times New Roman" w:hAnsi="Times New Roman" w:eastAsia="Times New Roman" w:cs="Times New Roman"/>
          <w:color w:val="auto"/>
          <w:spacing w:val="-12"/>
          <w:sz w:val="21"/>
          <w:szCs w:val="21"/>
          <w:highlight w:val="none"/>
        </w:rPr>
        <w:t xml:space="preserve">¥ </w:t>
      </w:r>
      <w:r>
        <w:rPr>
          <w:rFonts w:ascii="Times New Roman" w:hAnsi="Times New Roman" w:eastAsia="Times New Roman" w:cs="Times New Roman"/>
          <w:color w:val="auto"/>
          <w:sz w:val="21"/>
          <w:szCs w:val="21"/>
          <w:highlight w:val="none"/>
          <w:u w:val="single" w:color="auto"/>
        </w:rPr>
        <w:t xml:space="preserve">          </w:t>
      </w:r>
      <w:r>
        <w:rPr>
          <w:rFonts w:ascii="Times New Roman" w:hAnsi="Times New Roman" w:eastAsia="Times New Roman" w:cs="Times New Roman"/>
          <w:color w:val="auto"/>
          <w:spacing w:val="-12"/>
          <w:sz w:val="21"/>
          <w:szCs w:val="21"/>
          <w:highlight w:val="none"/>
        </w:rPr>
        <w:t xml:space="preserve"> </w:t>
      </w:r>
      <w:r>
        <w:rPr>
          <w:rFonts w:ascii="宋体" w:hAnsi="宋体" w:eastAsia="宋体" w:cs="宋体"/>
          <w:color w:val="auto"/>
          <w:spacing w:val="-12"/>
          <w:sz w:val="21"/>
          <w:szCs w:val="21"/>
          <w:highlight w:val="none"/>
        </w:rPr>
        <w:t>元）。</w:t>
      </w:r>
    </w:p>
    <w:p w14:paraId="03ADD80E">
      <w:pPr>
        <w:spacing w:before="157" w:line="367"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8"/>
          <w:sz w:val="21"/>
          <w:szCs w:val="21"/>
          <w:highlight w:val="none"/>
        </w:rPr>
        <w:t>2.</w:t>
      </w:r>
      <w:r>
        <w:rPr>
          <w:rFonts w:ascii="宋体" w:hAnsi="宋体" w:eastAsia="宋体" w:cs="宋体"/>
          <w:color w:val="auto"/>
          <w:spacing w:val="-8"/>
          <w:sz w:val="21"/>
          <w:szCs w:val="21"/>
          <w:highlight w:val="none"/>
        </w:rPr>
        <w:t>合同价格形式：</w:t>
      </w:r>
      <w:r>
        <w:rPr>
          <w:rFonts w:ascii="宋体" w:hAnsi="宋体" w:eastAsia="宋体" w:cs="宋体"/>
          <w:color w:val="auto"/>
          <w:spacing w:val="-26"/>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8"/>
          <w:sz w:val="21"/>
          <w:szCs w:val="21"/>
          <w:highlight w:val="none"/>
        </w:rPr>
        <w:t>。</w:t>
      </w:r>
    </w:p>
    <w:p w14:paraId="5C265D92">
      <w:pPr>
        <w:spacing w:before="1" w:line="218" w:lineRule="auto"/>
        <w:ind w:left="25"/>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五、项目经理</w:t>
      </w:r>
    </w:p>
    <w:p w14:paraId="3C182F48">
      <w:pPr>
        <w:spacing w:before="178" w:line="366" w:lineRule="auto"/>
        <w:ind w:left="441"/>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 xml:space="preserve">承包人项目经理：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1"/>
          <w:sz w:val="21"/>
          <w:szCs w:val="21"/>
          <w:highlight w:val="none"/>
        </w:rPr>
        <w:t>。</w:t>
      </w:r>
    </w:p>
    <w:p w14:paraId="487D0887">
      <w:pPr>
        <w:spacing w:before="1" w:line="218" w:lineRule="auto"/>
        <w:ind w:left="26"/>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六、合同文件构成</w:t>
      </w:r>
    </w:p>
    <w:p w14:paraId="53EE699E">
      <w:pPr>
        <w:spacing w:before="172" w:line="409" w:lineRule="exact"/>
        <w:ind w:left="442"/>
        <w:rPr>
          <w:rFonts w:ascii="宋体" w:hAnsi="宋体" w:eastAsia="宋体" w:cs="宋体"/>
          <w:color w:val="auto"/>
          <w:sz w:val="21"/>
          <w:szCs w:val="21"/>
          <w:highlight w:val="none"/>
        </w:rPr>
      </w:pPr>
      <w:r>
        <w:rPr>
          <w:rFonts w:ascii="宋体" w:hAnsi="宋体" w:eastAsia="宋体" w:cs="宋体"/>
          <w:color w:val="auto"/>
          <w:spacing w:val="-1"/>
          <w:position w:val="15"/>
          <w:sz w:val="21"/>
          <w:szCs w:val="21"/>
          <w:highlight w:val="none"/>
        </w:rPr>
        <w:t>本协议书与下列文件一起构成合同文件：</w:t>
      </w:r>
    </w:p>
    <w:p w14:paraId="71636688">
      <w:pPr>
        <w:spacing w:line="219" w:lineRule="auto"/>
        <w:ind w:left="447"/>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w:t>
      </w:r>
      <w:r>
        <w:rPr>
          <w:rFonts w:ascii="Times New Roman" w:hAnsi="Times New Roman" w:eastAsia="Times New Roman" w:cs="Times New Roman"/>
          <w:color w:val="auto"/>
          <w:spacing w:val="-8"/>
          <w:sz w:val="21"/>
          <w:szCs w:val="21"/>
          <w:highlight w:val="none"/>
        </w:rPr>
        <w:t>1</w:t>
      </w:r>
      <w:r>
        <w:rPr>
          <w:rFonts w:ascii="宋体" w:hAnsi="宋体" w:eastAsia="宋体" w:cs="宋体"/>
          <w:color w:val="auto"/>
          <w:spacing w:val="-8"/>
          <w:sz w:val="21"/>
          <w:szCs w:val="21"/>
          <w:highlight w:val="none"/>
        </w:rPr>
        <w:t>）中标通知书（如果有</w:t>
      </w:r>
      <w:r>
        <w:rPr>
          <w:rFonts w:ascii="宋体" w:hAnsi="宋体" w:eastAsia="宋体" w:cs="宋体"/>
          <w:color w:val="auto"/>
          <w:spacing w:val="-17"/>
          <w:sz w:val="21"/>
          <w:szCs w:val="21"/>
          <w:highlight w:val="none"/>
        </w:rPr>
        <w:t>）；</w:t>
      </w:r>
    </w:p>
    <w:p w14:paraId="495D8673">
      <w:pPr>
        <w:spacing w:before="158" w:line="408" w:lineRule="exact"/>
        <w:ind w:left="447"/>
        <w:rPr>
          <w:rFonts w:ascii="宋体" w:hAnsi="宋体" w:eastAsia="宋体" w:cs="宋体"/>
          <w:color w:val="auto"/>
          <w:sz w:val="21"/>
          <w:szCs w:val="21"/>
          <w:highlight w:val="none"/>
        </w:rPr>
      </w:pPr>
      <w:r>
        <w:rPr>
          <w:rFonts w:ascii="宋体" w:hAnsi="宋体" w:eastAsia="宋体" w:cs="宋体"/>
          <w:color w:val="auto"/>
          <w:spacing w:val="-2"/>
          <w:position w:val="15"/>
          <w:sz w:val="21"/>
          <w:szCs w:val="21"/>
          <w:highlight w:val="none"/>
        </w:rPr>
        <w:t>（</w:t>
      </w:r>
      <w:r>
        <w:rPr>
          <w:rFonts w:ascii="Times New Roman" w:hAnsi="Times New Roman" w:eastAsia="Times New Roman" w:cs="Times New Roman"/>
          <w:color w:val="auto"/>
          <w:spacing w:val="-2"/>
          <w:position w:val="15"/>
          <w:sz w:val="21"/>
          <w:szCs w:val="21"/>
          <w:highlight w:val="none"/>
        </w:rPr>
        <w:t>2</w:t>
      </w:r>
      <w:r>
        <w:rPr>
          <w:rFonts w:ascii="宋体" w:hAnsi="宋体" w:eastAsia="宋体" w:cs="宋体"/>
          <w:color w:val="auto"/>
          <w:spacing w:val="-2"/>
          <w:position w:val="15"/>
          <w:sz w:val="21"/>
          <w:szCs w:val="21"/>
          <w:highlight w:val="none"/>
        </w:rPr>
        <w:t>）投标函及其附录（如果有</w:t>
      </w:r>
      <w:r>
        <w:rPr>
          <w:rFonts w:ascii="宋体" w:hAnsi="宋体" w:eastAsia="宋体" w:cs="宋体"/>
          <w:color w:val="auto"/>
          <w:spacing w:val="-53"/>
          <w:position w:val="15"/>
          <w:sz w:val="21"/>
          <w:szCs w:val="21"/>
          <w:highlight w:val="none"/>
        </w:rPr>
        <w:t>）；</w:t>
      </w:r>
    </w:p>
    <w:p w14:paraId="3C6FFBC6">
      <w:pPr>
        <w:spacing w:before="1" w:line="219"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3</w:t>
      </w:r>
      <w:r>
        <w:rPr>
          <w:rFonts w:ascii="宋体" w:hAnsi="宋体" w:eastAsia="宋体" w:cs="宋体"/>
          <w:color w:val="auto"/>
          <w:spacing w:val="-4"/>
          <w:sz w:val="21"/>
          <w:szCs w:val="21"/>
          <w:highlight w:val="none"/>
        </w:rPr>
        <w:t>）专用合同条款及其附件；</w:t>
      </w:r>
    </w:p>
    <w:p w14:paraId="7C18FD19">
      <w:pPr>
        <w:spacing w:before="158" w:line="221"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4</w:t>
      </w:r>
      <w:r>
        <w:rPr>
          <w:rFonts w:ascii="宋体" w:hAnsi="宋体" w:eastAsia="宋体" w:cs="宋体"/>
          <w:color w:val="auto"/>
          <w:spacing w:val="-5"/>
          <w:sz w:val="21"/>
          <w:szCs w:val="21"/>
          <w:highlight w:val="none"/>
        </w:rPr>
        <w:t>）通用合同条款；</w:t>
      </w:r>
    </w:p>
    <w:p w14:paraId="506BC874">
      <w:pPr>
        <w:spacing w:before="157"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5</w:t>
      </w:r>
      <w:r>
        <w:rPr>
          <w:rFonts w:ascii="宋体" w:hAnsi="宋体" w:eastAsia="宋体" w:cs="宋体"/>
          <w:color w:val="auto"/>
          <w:spacing w:val="-1"/>
          <w:sz w:val="21"/>
          <w:szCs w:val="21"/>
          <w:highlight w:val="none"/>
        </w:rPr>
        <w:t>）技术标准和要求；</w:t>
      </w:r>
    </w:p>
    <w:p w14:paraId="634C03AE">
      <w:pPr>
        <w:spacing w:before="162" w:line="222" w:lineRule="auto"/>
        <w:ind w:left="447"/>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w:t>
      </w:r>
      <w:r>
        <w:rPr>
          <w:rFonts w:ascii="Times New Roman" w:hAnsi="Times New Roman" w:eastAsia="Times New Roman" w:cs="Times New Roman"/>
          <w:color w:val="auto"/>
          <w:spacing w:val="-8"/>
          <w:sz w:val="21"/>
          <w:szCs w:val="21"/>
          <w:highlight w:val="none"/>
        </w:rPr>
        <w:t>6</w:t>
      </w:r>
      <w:r>
        <w:rPr>
          <w:rFonts w:ascii="宋体" w:hAnsi="宋体" w:eastAsia="宋体" w:cs="宋体"/>
          <w:color w:val="auto"/>
          <w:spacing w:val="-8"/>
          <w:sz w:val="21"/>
          <w:szCs w:val="21"/>
          <w:highlight w:val="none"/>
        </w:rPr>
        <w:t>）图纸；</w:t>
      </w:r>
    </w:p>
    <w:p w14:paraId="42F2EA44">
      <w:pPr>
        <w:spacing w:before="155" w:line="408" w:lineRule="exact"/>
        <w:ind w:left="447"/>
        <w:rPr>
          <w:rFonts w:ascii="宋体" w:hAnsi="宋体" w:eastAsia="宋体" w:cs="宋体"/>
          <w:color w:val="auto"/>
          <w:sz w:val="21"/>
          <w:szCs w:val="21"/>
          <w:highlight w:val="none"/>
        </w:rPr>
      </w:pPr>
      <w:r>
        <w:rPr>
          <w:rFonts w:ascii="宋体" w:hAnsi="宋体" w:eastAsia="宋体" w:cs="宋体"/>
          <w:color w:val="auto"/>
          <w:spacing w:val="-3"/>
          <w:position w:val="15"/>
          <w:sz w:val="21"/>
          <w:szCs w:val="21"/>
          <w:highlight w:val="none"/>
        </w:rPr>
        <w:t>（</w:t>
      </w:r>
      <w:r>
        <w:rPr>
          <w:rFonts w:ascii="Times New Roman" w:hAnsi="Times New Roman" w:eastAsia="Times New Roman" w:cs="Times New Roman"/>
          <w:color w:val="auto"/>
          <w:spacing w:val="-3"/>
          <w:position w:val="15"/>
          <w:sz w:val="21"/>
          <w:szCs w:val="21"/>
          <w:highlight w:val="none"/>
        </w:rPr>
        <w:t>7</w:t>
      </w:r>
      <w:r>
        <w:rPr>
          <w:rFonts w:ascii="宋体" w:hAnsi="宋体" w:eastAsia="宋体" w:cs="宋体"/>
          <w:color w:val="auto"/>
          <w:spacing w:val="-3"/>
          <w:position w:val="15"/>
          <w:sz w:val="21"/>
          <w:szCs w:val="21"/>
          <w:highlight w:val="none"/>
        </w:rPr>
        <w:t>）已标价工程量清单或预算书；</w:t>
      </w:r>
    </w:p>
    <w:p w14:paraId="10348A96">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8</w:t>
      </w:r>
      <w:r>
        <w:rPr>
          <w:rFonts w:ascii="宋体" w:hAnsi="宋体" w:eastAsia="宋体" w:cs="宋体"/>
          <w:color w:val="auto"/>
          <w:spacing w:val="-4"/>
          <w:sz w:val="21"/>
          <w:szCs w:val="21"/>
          <w:highlight w:val="none"/>
        </w:rPr>
        <w:t>）其他合同文件。</w:t>
      </w:r>
    </w:p>
    <w:p w14:paraId="18C53B7B">
      <w:pPr>
        <w:spacing w:before="157" w:line="221" w:lineRule="auto"/>
        <w:ind w:left="44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在合同订立及履行过程中形成的与合同有关的文件均构成合同文件组成部分。</w:t>
      </w:r>
    </w:p>
    <w:p w14:paraId="47E40A6E">
      <w:pPr>
        <w:spacing w:before="157" w:line="408"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上述各项合同文件包括合同当事人就该项合同文件所作出的补充和修改，属于同一类</w:t>
      </w:r>
    </w:p>
    <w:p w14:paraId="4F9F3AFD">
      <w:pPr>
        <w:spacing w:before="1" w:line="219" w:lineRule="auto"/>
        <w:ind w:left="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内容的文件，应以最新签署的为准。专用合同条款及其附</w:t>
      </w:r>
      <w:r>
        <w:rPr>
          <w:rFonts w:ascii="宋体" w:hAnsi="宋体" w:eastAsia="宋体" w:cs="宋体"/>
          <w:color w:val="auto"/>
          <w:spacing w:val="-2"/>
          <w:sz w:val="21"/>
          <w:szCs w:val="21"/>
          <w:highlight w:val="none"/>
        </w:rPr>
        <w:t>件须经合同当事人签字或盖章。</w:t>
      </w:r>
    </w:p>
    <w:p w14:paraId="50A04386">
      <w:pPr>
        <w:spacing w:before="166" w:line="220" w:lineRule="auto"/>
        <w:ind w:left="18"/>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七、承诺</w:t>
      </w:r>
    </w:p>
    <w:p w14:paraId="17D73094">
      <w:pPr>
        <w:spacing w:before="176" w:line="409" w:lineRule="exact"/>
        <w:ind w:right="8"/>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4"/>
          <w:position w:val="15"/>
          <w:sz w:val="21"/>
          <w:szCs w:val="21"/>
          <w:highlight w:val="none"/>
        </w:rPr>
        <w:t>1.</w:t>
      </w:r>
      <w:r>
        <w:rPr>
          <w:rFonts w:ascii="宋体" w:hAnsi="宋体" w:eastAsia="宋体" w:cs="宋体"/>
          <w:color w:val="auto"/>
          <w:spacing w:val="4"/>
          <w:position w:val="15"/>
          <w:sz w:val="21"/>
          <w:szCs w:val="21"/>
          <w:highlight w:val="none"/>
        </w:rPr>
        <w:t>发包人承诺按照法律规定履行项目审批手续、筹集工程建设资金并按照合</w:t>
      </w:r>
      <w:r>
        <w:rPr>
          <w:rFonts w:ascii="宋体" w:hAnsi="宋体" w:eastAsia="宋体" w:cs="宋体"/>
          <w:color w:val="auto"/>
          <w:spacing w:val="3"/>
          <w:position w:val="15"/>
          <w:sz w:val="21"/>
          <w:szCs w:val="21"/>
          <w:highlight w:val="none"/>
        </w:rPr>
        <w:t>同约定的</w:t>
      </w:r>
    </w:p>
    <w:p w14:paraId="7E62AF27">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期限和方式支付合同价款。</w:t>
      </w:r>
    </w:p>
    <w:p w14:paraId="11424581">
      <w:pPr>
        <w:spacing w:before="159" w:line="408" w:lineRule="exact"/>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4"/>
          <w:position w:val="14"/>
          <w:sz w:val="21"/>
          <w:szCs w:val="21"/>
          <w:highlight w:val="none"/>
        </w:rPr>
        <w:t>2.</w:t>
      </w:r>
      <w:r>
        <w:rPr>
          <w:rFonts w:ascii="宋体" w:hAnsi="宋体" w:eastAsia="宋体" w:cs="宋体"/>
          <w:color w:val="auto"/>
          <w:spacing w:val="4"/>
          <w:position w:val="14"/>
          <w:sz w:val="21"/>
          <w:szCs w:val="21"/>
          <w:highlight w:val="none"/>
        </w:rPr>
        <w:t>承包人承诺按照法律规定及合同约定组织完成工程施工，确保工程质量和安全，不</w:t>
      </w:r>
    </w:p>
    <w:p w14:paraId="5C3B1A55">
      <w:pPr>
        <w:spacing w:line="220" w:lineRule="auto"/>
        <w:ind w:left="1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进行转包及违法分包，并在缺陷责任期及保修期内承担相应的工程维修责任。</w:t>
      </w:r>
    </w:p>
    <w:p w14:paraId="75DC96F1">
      <w:pPr>
        <w:spacing w:before="157" w:line="409" w:lineRule="exact"/>
        <w:ind w:right="8"/>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5"/>
          <w:sz w:val="21"/>
          <w:szCs w:val="21"/>
          <w:highlight w:val="none"/>
        </w:rPr>
        <w:t>3.</w:t>
      </w:r>
      <w:r>
        <w:rPr>
          <w:rFonts w:ascii="宋体" w:hAnsi="宋体" w:eastAsia="宋体" w:cs="宋体"/>
          <w:color w:val="auto"/>
          <w:spacing w:val="2"/>
          <w:position w:val="15"/>
          <w:sz w:val="21"/>
          <w:szCs w:val="21"/>
          <w:highlight w:val="none"/>
        </w:rPr>
        <w:t>发包人和承包人通过招投标形式签订合同</w:t>
      </w:r>
      <w:r>
        <w:rPr>
          <w:rFonts w:ascii="宋体" w:hAnsi="宋体" w:eastAsia="宋体" w:cs="宋体"/>
          <w:color w:val="auto"/>
          <w:spacing w:val="1"/>
          <w:position w:val="15"/>
          <w:sz w:val="21"/>
          <w:szCs w:val="21"/>
          <w:highlight w:val="none"/>
        </w:rPr>
        <w:t>的， 双方理解并承诺不再就同一工程另行</w:t>
      </w:r>
    </w:p>
    <w:p w14:paraId="067DB30E">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签订与合同实质性内容相背离的协议。</w:t>
      </w:r>
    </w:p>
    <w:p w14:paraId="1E018F99">
      <w:pPr>
        <w:spacing w:before="165" w:line="220" w:lineRule="auto"/>
        <w:ind w:left="19"/>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八、词语含义</w:t>
      </w:r>
    </w:p>
    <w:p w14:paraId="043DECF9">
      <w:pPr>
        <w:spacing w:before="171" w:line="422" w:lineRule="exact"/>
        <w:ind w:left="442"/>
        <w:rPr>
          <w:rFonts w:ascii="宋体" w:hAnsi="宋体" w:eastAsia="宋体" w:cs="宋体"/>
          <w:color w:val="auto"/>
          <w:sz w:val="21"/>
          <w:szCs w:val="21"/>
          <w:highlight w:val="none"/>
        </w:rPr>
      </w:pPr>
      <w:r>
        <w:rPr>
          <w:rFonts w:ascii="宋体" w:hAnsi="宋体" w:eastAsia="宋体" w:cs="宋体"/>
          <w:color w:val="auto"/>
          <w:position w:val="16"/>
          <w:sz w:val="21"/>
          <w:szCs w:val="21"/>
          <w:highlight w:val="none"/>
        </w:rPr>
        <w:t>本协议书中词语含义与第二部分通用合同条款中赋予</w:t>
      </w:r>
      <w:r>
        <w:rPr>
          <w:rFonts w:ascii="宋体" w:hAnsi="宋体" w:eastAsia="宋体" w:cs="宋体"/>
          <w:color w:val="auto"/>
          <w:spacing w:val="-1"/>
          <w:position w:val="16"/>
          <w:sz w:val="21"/>
          <w:szCs w:val="21"/>
          <w:highlight w:val="none"/>
        </w:rPr>
        <w:t>的含义相同。</w:t>
      </w:r>
    </w:p>
    <w:p w14:paraId="7DB45B17">
      <w:pPr>
        <w:spacing w:line="220" w:lineRule="auto"/>
        <w:ind w:left="25"/>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九、签订时间</w:t>
      </w:r>
    </w:p>
    <w:p w14:paraId="48218BBF">
      <w:pPr>
        <w:spacing w:before="172" w:line="366" w:lineRule="auto"/>
        <w:ind w:left="442"/>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本合同于</w:t>
      </w:r>
      <w:r>
        <w:rPr>
          <w:rFonts w:ascii="宋体" w:hAnsi="宋体" w:eastAsia="宋体" w:cs="宋体"/>
          <w:color w:val="auto"/>
          <w:spacing w:val="-52"/>
          <w:sz w:val="21"/>
          <w:szCs w:val="21"/>
          <w:highlight w:val="none"/>
        </w:rPr>
        <w:t xml:space="preserve"> </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96"/>
          <w:sz w:val="21"/>
          <w:szCs w:val="21"/>
          <w:highlight w:val="none"/>
        </w:rPr>
        <w:t xml:space="preserve"> </w:t>
      </w:r>
      <w:r>
        <w:rPr>
          <w:rFonts w:ascii="宋体" w:hAnsi="宋体" w:eastAsia="宋体" w:cs="宋体"/>
          <w:color w:val="auto"/>
          <w:spacing w:val="-9"/>
          <w:sz w:val="21"/>
          <w:szCs w:val="21"/>
          <w:highlight w:val="none"/>
        </w:rPr>
        <w:t>年</w:t>
      </w:r>
      <w:r>
        <w:rPr>
          <w:rFonts w:ascii="宋体" w:hAnsi="宋体" w:eastAsia="宋体" w:cs="宋体"/>
          <w:color w:val="auto"/>
          <w:spacing w:val="-105"/>
          <w:sz w:val="21"/>
          <w:szCs w:val="21"/>
          <w:highlight w:val="none"/>
        </w:rPr>
        <w:t xml:space="preserve"> </w:t>
      </w:r>
      <w:r>
        <w:rPr>
          <w:rFonts w:ascii="宋体" w:hAnsi="宋体" w:eastAsia="宋体" w:cs="宋体"/>
          <w:color w:val="auto"/>
          <w:spacing w:val="18"/>
          <w:sz w:val="21"/>
          <w:szCs w:val="21"/>
          <w:highlight w:val="none"/>
          <w:u w:val="single" w:color="auto"/>
        </w:rPr>
        <w:t xml:space="preserve">   </w:t>
      </w:r>
      <w:r>
        <w:rPr>
          <w:rFonts w:ascii="宋体" w:hAnsi="宋体" w:eastAsia="宋体" w:cs="宋体"/>
          <w:color w:val="auto"/>
          <w:spacing w:val="-43"/>
          <w:sz w:val="21"/>
          <w:szCs w:val="21"/>
          <w:highlight w:val="none"/>
        </w:rPr>
        <w:t xml:space="preserve"> </w:t>
      </w:r>
      <w:r>
        <w:rPr>
          <w:rFonts w:ascii="宋体" w:hAnsi="宋体" w:eastAsia="宋体" w:cs="宋体"/>
          <w:color w:val="auto"/>
          <w:spacing w:val="-9"/>
          <w:sz w:val="21"/>
          <w:szCs w:val="21"/>
          <w:highlight w:val="none"/>
        </w:rPr>
        <w:t>月</w:t>
      </w:r>
      <w:r>
        <w:rPr>
          <w:rFonts w:ascii="宋体" w:hAnsi="宋体" w:eastAsia="宋体" w:cs="宋体"/>
          <w:color w:val="auto"/>
          <w:spacing w:val="-104"/>
          <w:sz w:val="21"/>
          <w:szCs w:val="21"/>
          <w:highlight w:val="none"/>
        </w:rPr>
        <w:t xml:space="preserve"> </w:t>
      </w:r>
      <w:r>
        <w:rPr>
          <w:rFonts w:ascii="宋体" w:hAnsi="宋体" w:eastAsia="宋体" w:cs="宋体"/>
          <w:color w:val="auto"/>
          <w:spacing w:val="18"/>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9"/>
          <w:sz w:val="21"/>
          <w:szCs w:val="21"/>
          <w:highlight w:val="none"/>
        </w:rPr>
        <w:t>日签订。</w:t>
      </w:r>
    </w:p>
    <w:p w14:paraId="31EBEF8F">
      <w:pPr>
        <w:spacing w:line="220" w:lineRule="auto"/>
        <w:ind w:left="2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十、签订地点</w:t>
      </w:r>
    </w:p>
    <w:p w14:paraId="59200DE2">
      <w:pPr>
        <w:spacing w:before="171" w:line="366" w:lineRule="auto"/>
        <w:ind w:left="44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 xml:space="preserve">本合同在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40"/>
          <w:sz w:val="21"/>
          <w:szCs w:val="21"/>
          <w:highlight w:val="none"/>
        </w:rPr>
        <w:t xml:space="preserve"> </w:t>
      </w:r>
      <w:r>
        <w:rPr>
          <w:rFonts w:ascii="宋体" w:hAnsi="宋体" w:eastAsia="宋体" w:cs="宋体"/>
          <w:color w:val="auto"/>
          <w:spacing w:val="-4"/>
          <w:sz w:val="21"/>
          <w:szCs w:val="21"/>
          <w:highlight w:val="none"/>
        </w:rPr>
        <w:t>签订。</w:t>
      </w:r>
    </w:p>
    <w:p w14:paraId="08EAB686">
      <w:pPr>
        <w:spacing w:before="1" w:line="218" w:lineRule="auto"/>
        <w:ind w:left="2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十一、补充协议</w:t>
      </w:r>
    </w:p>
    <w:p w14:paraId="7BF4A727">
      <w:pPr>
        <w:spacing w:before="177" w:line="221" w:lineRule="auto"/>
        <w:ind w:left="44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合同未尽事宜，合同当事人另行签订补充协议， 补充协议是合同的组成部分。</w:t>
      </w:r>
    </w:p>
    <w:p w14:paraId="70D916B2">
      <w:pPr>
        <w:spacing w:line="221" w:lineRule="auto"/>
        <w:rPr>
          <w:rFonts w:ascii="宋体" w:hAnsi="宋体" w:eastAsia="宋体" w:cs="宋体"/>
          <w:color w:val="auto"/>
          <w:sz w:val="21"/>
          <w:szCs w:val="21"/>
          <w:highlight w:val="none"/>
        </w:rPr>
        <w:sectPr>
          <w:footerReference r:id="rId100" w:type="default"/>
          <w:pgSz w:w="11905" w:h="16839"/>
          <w:pgMar w:top="1427" w:right="1785" w:bottom="1004" w:left="1785" w:header="0" w:footer="828" w:gutter="0"/>
          <w:pgNumType w:fmt="decimal"/>
          <w:cols w:space="720" w:num="1"/>
        </w:sectPr>
      </w:pPr>
    </w:p>
    <w:p w14:paraId="75C2E536">
      <w:pPr>
        <w:spacing w:before="48" w:line="218" w:lineRule="auto"/>
        <w:ind w:left="2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十二、合同生效</w:t>
      </w:r>
    </w:p>
    <w:p w14:paraId="5DF7FE63">
      <w:pPr>
        <w:spacing w:before="173" w:line="366" w:lineRule="auto"/>
        <w:ind w:left="44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本合同自</w:t>
      </w:r>
      <w:r>
        <w:rPr>
          <w:rFonts w:ascii="宋体" w:hAnsi="宋体" w:eastAsia="宋体" w:cs="宋体"/>
          <w:color w:val="auto"/>
          <w:spacing w:val="-100"/>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46"/>
          <w:sz w:val="21"/>
          <w:szCs w:val="21"/>
          <w:highlight w:val="none"/>
        </w:rPr>
        <w:t xml:space="preserve"> </w:t>
      </w:r>
      <w:r>
        <w:rPr>
          <w:rFonts w:ascii="宋体" w:hAnsi="宋体" w:eastAsia="宋体" w:cs="宋体"/>
          <w:color w:val="auto"/>
          <w:spacing w:val="-5"/>
          <w:sz w:val="21"/>
          <w:szCs w:val="21"/>
          <w:highlight w:val="none"/>
        </w:rPr>
        <w:t>生效。</w:t>
      </w:r>
    </w:p>
    <w:p w14:paraId="3177899D">
      <w:pPr>
        <w:spacing w:line="219" w:lineRule="auto"/>
        <w:ind w:left="2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十三、合同份数</w:t>
      </w:r>
    </w:p>
    <w:p w14:paraId="509DA37A">
      <w:pPr>
        <w:spacing w:before="176" w:line="220" w:lineRule="auto"/>
        <w:ind w:left="44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本合同一式</w:t>
      </w:r>
      <w:r>
        <w:rPr>
          <w:rFonts w:ascii="宋体" w:hAnsi="宋体" w:eastAsia="宋体" w:cs="宋体"/>
          <w:color w:val="auto"/>
          <w:spacing w:val="-104"/>
          <w:sz w:val="21"/>
          <w:szCs w:val="21"/>
          <w:highlight w:val="none"/>
        </w:rPr>
        <w:t xml:space="preserve"> </w:t>
      </w:r>
      <w:r>
        <w:rPr>
          <w:rFonts w:ascii="宋体" w:hAnsi="宋体" w:eastAsia="宋体" w:cs="宋体"/>
          <w:color w:val="auto"/>
          <w:spacing w:val="16"/>
          <w:sz w:val="21"/>
          <w:szCs w:val="21"/>
          <w:highlight w:val="none"/>
          <w:u w:val="single" w:color="auto"/>
        </w:rPr>
        <w:t xml:space="preserve">   </w:t>
      </w:r>
      <w:r>
        <w:rPr>
          <w:rFonts w:ascii="宋体" w:hAnsi="宋体" w:eastAsia="宋体" w:cs="宋体"/>
          <w:color w:val="auto"/>
          <w:spacing w:val="-95"/>
          <w:sz w:val="21"/>
          <w:szCs w:val="21"/>
          <w:highlight w:val="none"/>
        </w:rPr>
        <w:t xml:space="preserve"> </w:t>
      </w:r>
      <w:r>
        <w:rPr>
          <w:rFonts w:ascii="宋体" w:hAnsi="宋体" w:eastAsia="宋体" w:cs="宋体"/>
          <w:color w:val="auto"/>
          <w:spacing w:val="-4"/>
          <w:sz w:val="21"/>
          <w:szCs w:val="21"/>
          <w:highlight w:val="none"/>
        </w:rPr>
        <w:t>份，</w:t>
      </w:r>
      <w:r>
        <w:rPr>
          <w:rFonts w:ascii="宋体" w:hAnsi="宋体" w:eastAsia="宋体" w:cs="宋体"/>
          <w:color w:val="auto"/>
          <w:spacing w:val="-27"/>
          <w:sz w:val="21"/>
          <w:szCs w:val="21"/>
          <w:highlight w:val="none"/>
        </w:rPr>
        <w:t xml:space="preserve"> </w:t>
      </w:r>
      <w:r>
        <w:rPr>
          <w:rFonts w:ascii="宋体" w:hAnsi="宋体" w:eastAsia="宋体" w:cs="宋体"/>
          <w:color w:val="auto"/>
          <w:spacing w:val="-4"/>
          <w:sz w:val="21"/>
          <w:szCs w:val="21"/>
          <w:highlight w:val="none"/>
        </w:rPr>
        <w:t>均具有同等法律效力，发包人执</w:t>
      </w:r>
      <w:r>
        <w:rPr>
          <w:rFonts w:ascii="宋体" w:hAnsi="宋体" w:eastAsia="宋体" w:cs="宋体"/>
          <w:color w:val="auto"/>
          <w:spacing w:val="-103"/>
          <w:sz w:val="21"/>
          <w:szCs w:val="21"/>
          <w:highlight w:val="none"/>
        </w:rPr>
        <w:t xml:space="preserve"> </w:t>
      </w:r>
      <w:r>
        <w:rPr>
          <w:rFonts w:ascii="宋体" w:hAnsi="宋体" w:eastAsia="宋体" w:cs="宋体"/>
          <w:color w:val="auto"/>
          <w:spacing w:val="51"/>
          <w:sz w:val="21"/>
          <w:szCs w:val="21"/>
          <w:highlight w:val="none"/>
          <w:u w:val="single" w:color="auto"/>
        </w:rPr>
        <w:t xml:space="preserve">  </w:t>
      </w:r>
      <w:r>
        <w:rPr>
          <w:rFonts w:ascii="宋体" w:hAnsi="宋体" w:eastAsia="宋体" w:cs="宋体"/>
          <w:color w:val="auto"/>
          <w:spacing w:val="-97"/>
          <w:sz w:val="21"/>
          <w:szCs w:val="21"/>
          <w:highlight w:val="none"/>
        </w:rPr>
        <w:t xml:space="preserve"> </w:t>
      </w:r>
      <w:r>
        <w:rPr>
          <w:rFonts w:ascii="宋体" w:hAnsi="宋体" w:eastAsia="宋体" w:cs="宋体"/>
          <w:color w:val="auto"/>
          <w:spacing w:val="-4"/>
          <w:sz w:val="21"/>
          <w:szCs w:val="21"/>
          <w:highlight w:val="none"/>
        </w:rPr>
        <w:t>份，承包人执</w:t>
      </w:r>
      <w:r>
        <w:rPr>
          <w:rFonts w:ascii="宋体" w:hAnsi="宋体" w:eastAsia="宋体" w:cs="宋体"/>
          <w:color w:val="auto"/>
          <w:spacing w:val="-105"/>
          <w:sz w:val="21"/>
          <w:szCs w:val="21"/>
          <w:highlight w:val="none"/>
        </w:rPr>
        <w:t xml:space="preserve"> </w:t>
      </w:r>
      <w:r>
        <w:rPr>
          <w:rFonts w:ascii="宋体" w:hAnsi="宋体" w:eastAsia="宋体" w:cs="宋体"/>
          <w:color w:val="auto"/>
          <w:spacing w:val="16"/>
          <w:sz w:val="21"/>
          <w:szCs w:val="21"/>
          <w:highlight w:val="none"/>
          <w:u w:val="single" w:color="auto"/>
        </w:rPr>
        <w:t xml:space="preserve">   </w:t>
      </w:r>
      <w:r>
        <w:rPr>
          <w:rFonts w:ascii="宋体" w:hAnsi="宋体" w:eastAsia="宋体" w:cs="宋体"/>
          <w:color w:val="auto"/>
          <w:spacing w:val="-94"/>
          <w:sz w:val="21"/>
          <w:szCs w:val="21"/>
          <w:highlight w:val="none"/>
        </w:rPr>
        <w:t xml:space="preserve"> </w:t>
      </w:r>
      <w:r>
        <w:rPr>
          <w:rFonts w:ascii="宋体" w:hAnsi="宋体" w:eastAsia="宋体" w:cs="宋体"/>
          <w:color w:val="auto"/>
          <w:spacing w:val="-4"/>
          <w:sz w:val="21"/>
          <w:szCs w:val="21"/>
          <w:highlight w:val="none"/>
        </w:rPr>
        <w:t>份。</w:t>
      </w:r>
    </w:p>
    <w:p w14:paraId="3852004E">
      <w:pPr>
        <w:pStyle w:val="3"/>
        <w:spacing w:line="256" w:lineRule="auto"/>
        <w:rPr>
          <w:color w:val="auto"/>
          <w:highlight w:val="none"/>
        </w:rPr>
      </w:pPr>
    </w:p>
    <w:p w14:paraId="461F8041">
      <w:pPr>
        <w:pStyle w:val="3"/>
        <w:spacing w:line="256" w:lineRule="auto"/>
        <w:rPr>
          <w:color w:val="auto"/>
          <w:highlight w:val="none"/>
        </w:rPr>
      </w:pPr>
    </w:p>
    <w:p w14:paraId="5AD16781">
      <w:pPr>
        <w:pStyle w:val="3"/>
        <w:spacing w:line="256" w:lineRule="auto"/>
        <w:rPr>
          <w:color w:val="auto"/>
          <w:highlight w:val="none"/>
        </w:rPr>
      </w:pPr>
    </w:p>
    <w:p w14:paraId="2B12152E">
      <w:pPr>
        <w:pStyle w:val="3"/>
        <w:spacing w:line="257" w:lineRule="auto"/>
        <w:rPr>
          <w:color w:val="auto"/>
          <w:highlight w:val="none"/>
        </w:rPr>
      </w:pPr>
    </w:p>
    <w:p w14:paraId="65165B24">
      <w:pPr>
        <w:pStyle w:val="3"/>
        <w:spacing w:line="257" w:lineRule="auto"/>
        <w:rPr>
          <w:color w:val="auto"/>
          <w:highlight w:val="none"/>
        </w:rPr>
      </w:pPr>
    </w:p>
    <w:p w14:paraId="0970CA9A">
      <w:pPr>
        <w:pStyle w:val="3"/>
        <w:spacing w:line="257" w:lineRule="auto"/>
        <w:rPr>
          <w:color w:val="auto"/>
          <w:highlight w:val="none"/>
        </w:rPr>
      </w:pPr>
    </w:p>
    <w:p w14:paraId="25F0C66C">
      <w:pPr>
        <w:pStyle w:val="3"/>
        <w:spacing w:line="257" w:lineRule="auto"/>
        <w:rPr>
          <w:color w:val="auto"/>
          <w:highlight w:val="none"/>
        </w:rPr>
      </w:pPr>
    </w:p>
    <w:p w14:paraId="3CAD13CE">
      <w:pPr>
        <w:pStyle w:val="3"/>
        <w:spacing w:line="257" w:lineRule="auto"/>
        <w:rPr>
          <w:color w:val="auto"/>
          <w:highlight w:val="none"/>
        </w:rPr>
      </w:pPr>
    </w:p>
    <w:p w14:paraId="20DF5DCF">
      <w:pPr>
        <w:pStyle w:val="3"/>
        <w:spacing w:line="257" w:lineRule="auto"/>
        <w:rPr>
          <w:color w:val="auto"/>
          <w:highlight w:val="none"/>
        </w:rPr>
      </w:pPr>
    </w:p>
    <w:p w14:paraId="43068052">
      <w:pPr>
        <w:pStyle w:val="3"/>
        <w:spacing w:line="257" w:lineRule="auto"/>
        <w:rPr>
          <w:color w:val="auto"/>
          <w:highlight w:val="none"/>
        </w:rPr>
      </w:pPr>
    </w:p>
    <w:p w14:paraId="40A22B35">
      <w:pPr>
        <w:pStyle w:val="3"/>
        <w:spacing w:line="257" w:lineRule="auto"/>
        <w:rPr>
          <w:color w:val="auto"/>
          <w:highlight w:val="none"/>
        </w:rPr>
      </w:pPr>
    </w:p>
    <w:p w14:paraId="1923F3B0">
      <w:pPr>
        <w:pStyle w:val="3"/>
        <w:spacing w:line="257" w:lineRule="auto"/>
        <w:rPr>
          <w:color w:val="auto"/>
          <w:highlight w:val="none"/>
        </w:rPr>
      </w:pPr>
    </w:p>
    <w:p w14:paraId="51B457ED">
      <w:pPr>
        <w:pStyle w:val="3"/>
        <w:spacing w:line="257" w:lineRule="auto"/>
        <w:rPr>
          <w:color w:val="auto"/>
          <w:highlight w:val="none"/>
        </w:rPr>
      </w:pPr>
    </w:p>
    <w:p w14:paraId="01635646">
      <w:pPr>
        <w:spacing w:before="69" w:line="220" w:lineRule="auto"/>
        <w:ind w:left="444"/>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发包人</w:t>
      </w:r>
      <w:r>
        <w:rPr>
          <w:rFonts w:ascii="宋体" w:hAnsi="宋体" w:eastAsia="宋体" w:cs="宋体"/>
          <w:color w:val="auto"/>
          <w:spacing w:val="-13"/>
          <w:sz w:val="21"/>
          <w:szCs w:val="21"/>
          <w:highlight w:val="none"/>
        </w:rPr>
        <w:t>：</w:t>
      </w:r>
      <w:r>
        <w:rPr>
          <w:rFonts w:ascii="宋体" w:hAnsi="宋体" w:eastAsia="宋体" w:cs="宋体"/>
          <w:color w:val="auto"/>
          <w:spacing w:val="2"/>
          <w:sz w:val="21"/>
          <w:szCs w:val="21"/>
          <w:highlight w:val="none"/>
        </w:rPr>
        <w:t xml:space="preserve">   </w:t>
      </w:r>
      <w:r>
        <w:rPr>
          <w:rFonts w:ascii="宋体" w:hAnsi="宋体" w:eastAsia="宋体" w:cs="宋体"/>
          <w:color w:val="auto"/>
          <w:spacing w:val="-13"/>
          <w:sz w:val="21"/>
          <w:szCs w:val="21"/>
          <w:highlight w:val="none"/>
        </w:rPr>
        <w:t>（</w:t>
      </w:r>
      <w:r>
        <w:rPr>
          <w:rFonts w:ascii="宋体" w:hAnsi="宋体" w:eastAsia="宋体" w:cs="宋体"/>
          <w:color w:val="auto"/>
          <w:spacing w:val="-15"/>
          <w:sz w:val="21"/>
          <w:szCs w:val="21"/>
          <w:highlight w:val="none"/>
        </w:rPr>
        <w:t>公章）</w:t>
      </w:r>
      <w:r>
        <w:rPr>
          <w:rFonts w:ascii="宋体" w:hAnsi="宋体" w:eastAsia="宋体" w:cs="宋体"/>
          <w:color w:val="auto"/>
          <w:sz w:val="21"/>
          <w:szCs w:val="21"/>
          <w:highlight w:val="none"/>
        </w:rPr>
        <w:t xml:space="preserve">                         </w:t>
      </w:r>
      <w:r>
        <w:rPr>
          <w:rFonts w:ascii="宋体" w:hAnsi="宋体" w:eastAsia="宋体" w:cs="宋体"/>
          <w:color w:val="auto"/>
          <w:spacing w:val="-15"/>
          <w:sz w:val="21"/>
          <w:szCs w:val="21"/>
          <w:highlight w:val="none"/>
        </w:rPr>
        <w:t>承包人</w:t>
      </w:r>
      <w:r>
        <w:rPr>
          <w:rFonts w:ascii="宋体" w:hAnsi="宋体" w:eastAsia="宋体" w:cs="宋体"/>
          <w:color w:val="auto"/>
          <w:spacing w:val="-13"/>
          <w:sz w:val="21"/>
          <w:szCs w:val="21"/>
          <w:highlight w:val="none"/>
        </w:rPr>
        <w:t>：</w:t>
      </w:r>
      <w:r>
        <w:rPr>
          <w:rFonts w:ascii="宋体" w:hAnsi="宋体" w:eastAsia="宋体" w:cs="宋体"/>
          <w:color w:val="auto"/>
          <w:spacing w:val="55"/>
          <w:sz w:val="21"/>
          <w:szCs w:val="21"/>
          <w:highlight w:val="none"/>
        </w:rPr>
        <w:t xml:space="preserve">  </w:t>
      </w:r>
      <w:r>
        <w:rPr>
          <w:rFonts w:ascii="宋体" w:hAnsi="宋体" w:eastAsia="宋体" w:cs="宋体"/>
          <w:color w:val="auto"/>
          <w:spacing w:val="-13"/>
          <w:sz w:val="21"/>
          <w:szCs w:val="21"/>
          <w:highlight w:val="none"/>
        </w:rPr>
        <w:t>（</w:t>
      </w:r>
      <w:r>
        <w:rPr>
          <w:rFonts w:ascii="宋体" w:hAnsi="宋体" w:eastAsia="宋体" w:cs="宋体"/>
          <w:color w:val="auto"/>
          <w:spacing w:val="-15"/>
          <w:sz w:val="21"/>
          <w:szCs w:val="21"/>
          <w:highlight w:val="none"/>
        </w:rPr>
        <w:t>公章）</w:t>
      </w:r>
    </w:p>
    <w:p w14:paraId="524CF8F2">
      <w:pPr>
        <w:spacing w:before="20"/>
        <w:rPr>
          <w:color w:val="auto"/>
          <w:highlight w:val="none"/>
        </w:rPr>
      </w:pPr>
    </w:p>
    <w:p w14:paraId="6E836AEF">
      <w:pPr>
        <w:spacing w:before="20"/>
        <w:rPr>
          <w:color w:val="auto"/>
          <w:highlight w:val="none"/>
        </w:rPr>
      </w:pPr>
    </w:p>
    <w:p w14:paraId="7C4A4816">
      <w:pPr>
        <w:rPr>
          <w:color w:val="auto"/>
          <w:highlight w:val="none"/>
        </w:rPr>
        <w:sectPr>
          <w:footerReference r:id="rId101" w:type="default"/>
          <w:pgSz w:w="11905" w:h="16839"/>
          <w:pgMar w:top="1431" w:right="1785" w:bottom="1004" w:left="1785" w:header="0" w:footer="828" w:gutter="0"/>
          <w:pgNumType w:fmt="decimal"/>
          <w:cols w:equalWidth="0" w:num="1">
            <w:col w:w="8333"/>
          </w:cols>
        </w:sectPr>
      </w:pPr>
    </w:p>
    <w:p w14:paraId="7FC26990">
      <w:pPr>
        <w:spacing w:before="43" w:line="408" w:lineRule="exact"/>
        <w:ind w:left="442"/>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法定代表人或其委托代理人：</w:t>
      </w:r>
    </w:p>
    <w:p w14:paraId="43EA6F64">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（签字）</w:t>
      </w:r>
    </w:p>
    <w:p w14:paraId="079D672A">
      <w:pPr>
        <w:pStyle w:val="3"/>
        <w:spacing w:line="446" w:lineRule="auto"/>
        <w:rPr>
          <w:color w:val="auto"/>
          <w:highlight w:val="none"/>
        </w:rPr>
      </w:pPr>
    </w:p>
    <w:p w14:paraId="3E974D4E">
      <w:pPr>
        <w:spacing w:before="69" w:line="413" w:lineRule="exact"/>
        <w:ind w:left="443"/>
        <w:rPr>
          <w:rFonts w:ascii="宋体" w:hAnsi="宋体" w:eastAsia="宋体" w:cs="宋体"/>
          <w:color w:val="auto"/>
          <w:sz w:val="21"/>
          <w:szCs w:val="21"/>
          <w:highlight w:val="none"/>
        </w:rPr>
      </w:pPr>
      <w:r>
        <w:rPr>
          <w:rFonts w:ascii="宋体" w:hAnsi="宋体" w:eastAsia="宋体" w:cs="宋体"/>
          <w:color w:val="auto"/>
          <w:spacing w:val="-5"/>
          <w:position w:val="15"/>
          <w:sz w:val="21"/>
          <w:szCs w:val="21"/>
          <w:highlight w:val="none"/>
        </w:rPr>
        <w:t>组织机构代码：</w:t>
      </w:r>
    </w:p>
    <w:p w14:paraId="51A70453">
      <w:pPr>
        <w:spacing w:before="1" w:line="229" w:lineRule="auto"/>
        <w:ind w:left="441"/>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地</w:t>
      </w:r>
      <w:r>
        <w:rPr>
          <w:rFonts w:ascii="宋体" w:hAnsi="宋体" w:eastAsia="宋体" w:cs="宋体"/>
          <w:color w:val="auto"/>
          <w:spacing w:val="9"/>
          <w:sz w:val="21"/>
          <w:szCs w:val="21"/>
          <w:highlight w:val="none"/>
        </w:rPr>
        <w:t xml:space="preserve"> </w:t>
      </w:r>
      <w:r>
        <w:rPr>
          <w:rFonts w:ascii="宋体" w:hAnsi="宋体" w:eastAsia="宋体" w:cs="宋体"/>
          <w:color w:val="auto"/>
          <w:spacing w:val="-12"/>
          <w:sz w:val="21"/>
          <w:szCs w:val="21"/>
          <w:highlight w:val="none"/>
        </w:rPr>
        <w:t>址：</w:t>
      </w:r>
    </w:p>
    <w:p w14:paraId="0647EC27">
      <w:pPr>
        <w:spacing w:before="146" w:line="221" w:lineRule="auto"/>
        <w:ind w:left="456"/>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邮政编码：</w:t>
      </w:r>
    </w:p>
    <w:p w14:paraId="7CE0B1FC">
      <w:pPr>
        <w:spacing w:before="157" w:line="408" w:lineRule="exact"/>
        <w:ind w:left="442"/>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法定代表人：</w:t>
      </w:r>
    </w:p>
    <w:p w14:paraId="0DAED001">
      <w:pPr>
        <w:spacing w:before="1" w:line="220" w:lineRule="auto"/>
        <w:ind w:left="44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委托代理人：</w:t>
      </w:r>
    </w:p>
    <w:p w14:paraId="2D2A666F">
      <w:pPr>
        <w:spacing w:before="157" w:line="223" w:lineRule="auto"/>
        <w:ind w:left="465"/>
        <w:rPr>
          <w:rFonts w:ascii="宋体" w:hAnsi="宋体" w:eastAsia="宋体" w:cs="宋体"/>
          <w:color w:val="auto"/>
          <w:sz w:val="21"/>
          <w:szCs w:val="21"/>
          <w:highlight w:val="none"/>
        </w:rPr>
      </w:pPr>
      <w:r>
        <w:rPr>
          <w:rFonts w:ascii="宋体" w:hAnsi="宋体" w:eastAsia="宋体" w:cs="宋体"/>
          <w:color w:val="auto"/>
          <w:spacing w:val="-20"/>
          <w:sz w:val="21"/>
          <w:szCs w:val="21"/>
          <w:highlight w:val="none"/>
        </w:rPr>
        <w:t>电</w:t>
      </w:r>
      <w:r>
        <w:rPr>
          <w:rFonts w:ascii="宋体" w:hAnsi="宋体" w:eastAsia="宋体" w:cs="宋体"/>
          <w:color w:val="auto"/>
          <w:spacing w:val="8"/>
          <w:sz w:val="21"/>
          <w:szCs w:val="21"/>
          <w:highlight w:val="none"/>
        </w:rPr>
        <w:t xml:space="preserve"> </w:t>
      </w:r>
      <w:r>
        <w:rPr>
          <w:rFonts w:ascii="宋体" w:hAnsi="宋体" w:eastAsia="宋体" w:cs="宋体"/>
          <w:color w:val="auto"/>
          <w:spacing w:val="-20"/>
          <w:sz w:val="21"/>
          <w:szCs w:val="21"/>
          <w:highlight w:val="none"/>
        </w:rPr>
        <w:t>话：</w:t>
      </w:r>
    </w:p>
    <w:p w14:paraId="1E81266B">
      <w:pPr>
        <w:spacing w:before="154" w:line="220" w:lineRule="auto"/>
        <w:ind w:left="439"/>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传</w:t>
      </w:r>
      <w:r>
        <w:rPr>
          <w:rFonts w:ascii="宋体" w:hAnsi="宋体" w:eastAsia="宋体" w:cs="宋体"/>
          <w:color w:val="auto"/>
          <w:spacing w:val="12"/>
          <w:sz w:val="21"/>
          <w:szCs w:val="21"/>
          <w:highlight w:val="none"/>
        </w:rPr>
        <w:t xml:space="preserve"> </w:t>
      </w:r>
      <w:r>
        <w:rPr>
          <w:rFonts w:ascii="宋体" w:hAnsi="宋体" w:eastAsia="宋体" w:cs="宋体"/>
          <w:color w:val="auto"/>
          <w:spacing w:val="-12"/>
          <w:sz w:val="21"/>
          <w:szCs w:val="21"/>
          <w:highlight w:val="none"/>
        </w:rPr>
        <w:t>真：</w:t>
      </w:r>
    </w:p>
    <w:p w14:paraId="18D7D64D">
      <w:pPr>
        <w:spacing w:before="159" w:line="408" w:lineRule="exact"/>
        <w:ind w:left="465"/>
        <w:rPr>
          <w:rFonts w:ascii="宋体" w:hAnsi="宋体" w:eastAsia="宋体" w:cs="宋体"/>
          <w:color w:val="auto"/>
          <w:sz w:val="21"/>
          <w:szCs w:val="21"/>
          <w:highlight w:val="none"/>
        </w:rPr>
      </w:pPr>
      <w:r>
        <w:rPr>
          <w:rFonts w:ascii="宋体" w:hAnsi="宋体" w:eastAsia="宋体" w:cs="宋体"/>
          <w:color w:val="auto"/>
          <w:spacing w:val="-13"/>
          <w:position w:val="15"/>
          <w:sz w:val="21"/>
          <w:szCs w:val="21"/>
          <w:highlight w:val="none"/>
        </w:rPr>
        <w:t>电子信箱：</w:t>
      </w:r>
    </w:p>
    <w:p w14:paraId="40178842">
      <w:pPr>
        <w:spacing w:line="221" w:lineRule="auto"/>
        <w:ind w:left="442"/>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开户银行：</w:t>
      </w:r>
    </w:p>
    <w:p w14:paraId="0F25AC4D">
      <w:pPr>
        <w:spacing w:before="156" w:line="186" w:lineRule="auto"/>
        <w:ind w:left="444"/>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账</w:t>
      </w:r>
      <w:r>
        <w:rPr>
          <w:rFonts w:ascii="宋体" w:hAnsi="宋体" w:eastAsia="宋体" w:cs="宋体"/>
          <w:color w:val="auto"/>
          <w:spacing w:val="14"/>
          <w:sz w:val="21"/>
          <w:szCs w:val="21"/>
          <w:highlight w:val="none"/>
        </w:rPr>
        <w:t xml:space="preserve"> </w:t>
      </w:r>
      <w:r>
        <w:rPr>
          <w:rFonts w:ascii="宋体" w:hAnsi="宋体" w:eastAsia="宋体" w:cs="宋体"/>
          <w:color w:val="auto"/>
          <w:spacing w:val="-14"/>
          <w:sz w:val="21"/>
          <w:szCs w:val="21"/>
          <w:highlight w:val="none"/>
        </w:rPr>
        <w:t>号：</w:t>
      </w:r>
    </w:p>
    <w:p w14:paraId="3D4A5EC7">
      <w:pPr>
        <w:pStyle w:val="3"/>
        <w:spacing w:line="14" w:lineRule="auto"/>
        <w:rPr>
          <w:color w:val="auto"/>
          <w:sz w:val="2"/>
          <w:highlight w:val="none"/>
        </w:rPr>
      </w:pPr>
      <w:r>
        <w:rPr>
          <w:color w:val="auto"/>
          <w:sz w:val="2"/>
          <w:szCs w:val="2"/>
          <w:highlight w:val="none"/>
        </w:rPr>
        <w:br w:type="column"/>
      </w:r>
    </w:p>
    <w:p w14:paraId="77716952">
      <w:pPr>
        <w:spacing w:before="41" w:line="408" w:lineRule="exact"/>
        <w:ind w:left="2"/>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法定代表人或其委托代理人：</w:t>
      </w:r>
    </w:p>
    <w:p w14:paraId="7C7BC017">
      <w:pPr>
        <w:spacing w:before="1" w:line="220" w:lineRule="auto"/>
        <w:ind w:left="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（签字）</w:t>
      </w:r>
    </w:p>
    <w:p w14:paraId="2C8206C2">
      <w:pPr>
        <w:pStyle w:val="3"/>
        <w:spacing w:line="446" w:lineRule="auto"/>
        <w:rPr>
          <w:color w:val="auto"/>
          <w:highlight w:val="none"/>
        </w:rPr>
      </w:pPr>
    </w:p>
    <w:p w14:paraId="505321AE">
      <w:pPr>
        <w:spacing w:before="69" w:line="412" w:lineRule="exact"/>
        <w:ind w:left="4"/>
        <w:rPr>
          <w:rFonts w:ascii="宋体" w:hAnsi="宋体" w:eastAsia="宋体" w:cs="宋体"/>
          <w:color w:val="auto"/>
          <w:sz w:val="21"/>
          <w:szCs w:val="21"/>
          <w:highlight w:val="none"/>
        </w:rPr>
      </w:pPr>
      <w:r>
        <w:rPr>
          <w:rFonts w:ascii="宋体" w:hAnsi="宋体" w:eastAsia="宋体" w:cs="宋体"/>
          <w:color w:val="auto"/>
          <w:spacing w:val="-7"/>
          <w:position w:val="15"/>
          <w:sz w:val="21"/>
          <w:szCs w:val="21"/>
          <w:highlight w:val="none"/>
        </w:rPr>
        <w:t>组织机构代码：</w:t>
      </w:r>
    </w:p>
    <w:p w14:paraId="146D57A4">
      <w:pPr>
        <w:spacing w:before="1" w:line="229" w:lineRule="auto"/>
        <w:ind w:left="54"/>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地</w:t>
      </w:r>
      <w:r>
        <w:rPr>
          <w:rFonts w:ascii="宋体" w:hAnsi="宋体" w:eastAsia="宋体" w:cs="宋体"/>
          <w:color w:val="auto"/>
          <w:spacing w:val="5"/>
          <w:sz w:val="21"/>
          <w:szCs w:val="21"/>
          <w:highlight w:val="none"/>
        </w:rPr>
        <w:t xml:space="preserve"> </w:t>
      </w:r>
      <w:r>
        <w:rPr>
          <w:rFonts w:ascii="宋体" w:hAnsi="宋体" w:eastAsia="宋体" w:cs="宋体"/>
          <w:color w:val="auto"/>
          <w:spacing w:val="-13"/>
          <w:sz w:val="21"/>
          <w:szCs w:val="21"/>
          <w:highlight w:val="none"/>
        </w:rPr>
        <w:t>址：</w:t>
      </w:r>
    </w:p>
    <w:p w14:paraId="2DB28A7A">
      <w:pPr>
        <w:spacing w:before="147" w:line="408" w:lineRule="exact"/>
        <w:ind w:left="70"/>
        <w:rPr>
          <w:rFonts w:ascii="宋体" w:hAnsi="宋体" w:eastAsia="宋体" w:cs="宋体"/>
          <w:color w:val="auto"/>
          <w:sz w:val="21"/>
          <w:szCs w:val="21"/>
          <w:highlight w:val="none"/>
        </w:rPr>
      </w:pPr>
      <w:r>
        <w:rPr>
          <w:rFonts w:ascii="宋体" w:hAnsi="宋体" w:eastAsia="宋体" w:cs="宋体"/>
          <w:color w:val="auto"/>
          <w:spacing w:val="-11"/>
          <w:position w:val="15"/>
          <w:sz w:val="21"/>
          <w:szCs w:val="21"/>
          <w:highlight w:val="none"/>
        </w:rPr>
        <w:t>邮政编码：</w:t>
      </w:r>
    </w:p>
    <w:p w14:paraId="59FCC4A2">
      <w:pPr>
        <w:spacing w:before="1" w:line="220" w:lineRule="auto"/>
        <w:ind w:left="2"/>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法定代表人：</w:t>
      </w:r>
    </w:p>
    <w:p w14:paraId="2D9DA946">
      <w:pPr>
        <w:spacing w:before="157" w:line="221" w:lineRule="auto"/>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委托代理人：</w:t>
      </w:r>
    </w:p>
    <w:p w14:paraId="243D0C97">
      <w:pPr>
        <w:spacing w:before="156" w:line="223" w:lineRule="auto"/>
        <w:ind w:left="26"/>
        <w:rPr>
          <w:rFonts w:ascii="宋体" w:hAnsi="宋体" w:eastAsia="宋体" w:cs="宋体"/>
          <w:color w:val="auto"/>
          <w:sz w:val="21"/>
          <w:szCs w:val="21"/>
          <w:highlight w:val="none"/>
        </w:rPr>
      </w:pPr>
      <w:r>
        <w:rPr>
          <w:rFonts w:ascii="宋体" w:hAnsi="宋体" w:eastAsia="宋体" w:cs="宋体"/>
          <w:color w:val="auto"/>
          <w:spacing w:val="-21"/>
          <w:sz w:val="21"/>
          <w:szCs w:val="21"/>
          <w:highlight w:val="none"/>
        </w:rPr>
        <w:t>电</w:t>
      </w:r>
      <w:r>
        <w:rPr>
          <w:rFonts w:ascii="宋体" w:hAnsi="宋体" w:eastAsia="宋体" w:cs="宋体"/>
          <w:color w:val="auto"/>
          <w:spacing w:val="4"/>
          <w:sz w:val="21"/>
          <w:szCs w:val="21"/>
          <w:highlight w:val="none"/>
        </w:rPr>
        <w:t xml:space="preserve"> </w:t>
      </w:r>
      <w:r>
        <w:rPr>
          <w:rFonts w:ascii="宋体" w:hAnsi="宋体" w:eastAsia="宋体" w:cs="宋体"/>
          <w:color w:val="auto"/>
          <w:spacing w:val="-21"/>
          <w:sz w:val="21"/>
          <w:szCs w:val="21"/>
          <w:highlight w:val="none"/>
        </w:rPr>
        <w:t>话：</w:t>
      </w:r>
    </w:p>
    <w:p w14:paraId="7E262687">
      <w:pPr>
        <w:spacing w:before="155" w:line="220" w:lineRule="auto"/>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传</w:t>
      </w:r>
      <w:r>
        <w:rPr>
          <w:rFonts w:ascii="宋体" w:hAnsi="宋体" w:eastAsia="宋体" w:cs="宋体"/>
          <w:color w:val="auto"/>
          <w:spacing w:val="8"/>
          <w:sz w:val="21"/>
          <w:szCs w:val="21"/>
          <w:highlight w:val="none"/>
        </w:rPr>
        <w:t xml:space="preserve"> </w:t>
      </w:r>
      <w:r>
        <w:rPr>
          <w:rFonts w:ascii="宋体" w:hAnsi="宋体" w:eastAsia="宋体" w:cs="宋体"/>
          <w:color w:val="auto"/>
          <w:spacing w:val="-13"/>
          <w:sz w:val="21"/>
          <w:szCs w:val="21"/>
          <w:highlight w:val="none"/>
        </w:rPr>
        <w:t>真：</w:t>
      </w:r>
    </w:p>
    <w:p w14:paraId="5EFAE0D8">
      <w:pPr>
        <w:spacing w:before="158" w:line="408" w:lineRule="exact"/>
        <w:ind w:left="26"/>
        <w:rPr>
          <w:rFonts w:ascii="宋体" w:hAnsi="宋体" w:eastAsia="宋体" w:cs="宋体"/>
          <w:color w:val="auto"/>
          <w:sz w:val="21"/>
          <w:szCs w:val="21"/>
          <w:highlight w:val="none"/>
        </w:rPr>
      </w:pPr>
      <w:r>
        <w:rPr>
          <w:rFonts w:ascii="宋体" w:hAnsi="宋体" w:eastAsia="宋体" w:cs="宋体"/>
          <w:color w:val="auto"/>
          <w:spacing w:val="-13"/>
          <w:position w:val="15"/>
          <w:sz w:val="21"/>
          <w:szCs w:val="21"/>
          <w:highlight w:val="none"/>
        </w:rPr>
        <w:t>电子信箱：</w:t>
      </w:r>
    </w:p>
    <w:p w14:paraId="3B33A87F">
      <w:pPr>
        <w:spacing w:before="1" w:line="221" w:lineRule="auto"/>
        <w:ind w:left="2"/>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开户银行：</w:t>
      </w:r>
    </w:p>
    <w:p w14:paraId="2043E6CD">
      <w:pPr>
        <w:spacing w:before="156" w:line="186" w:lineRule="auto"/>
        <w:ind w:left="57"/>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账</w:t>
      </w:r>
      <w:r>
        <w:rPr>
          <w:rFonts w:ascii="宋体" w:hAnsi="宋体" w:eastAsia="宋体" w:cs="宋体"/>
          <w:color w:val="auto"/>
          <w:spacing w:val="10"/>
          <w:sz w:val="21"/>
          <w:szCs w:val="21"/>
          <w:highlight w:val="none"/>
        </w:rPr>
        <w:t xml:space="preserve"> </w:t>
      </w:r>
      <w:r>
        <w:rPr>
          <w:rFonts w:ascii="宋体" w:hAnsi="宋体" w:eastAsia="宋体" w:cs="宋体"/>
          <w:color w:val="auto"/>
          <w:spacing w:val="-15"/>
          <w:sz w:val="21"/>
          <w:szCs w:val="21"/>
          <w:highlight w:val="none"/>
        </w:rPr>
        <w:t>号：</w:t>
      </w:r>
    </w:p>
    <w:p w14:paraId="3B4C2A64">
      <w:pPr>
        <w:spacing w:line="186" w:lineRule="auto"/>
        <w:rPr>
          <w:rFonts w:ascii="宋体" w:hAnsi="宋体" w:eastAsia="宋体" w:cs="宋体"/>
          <w:color w:val="auto"/>
          <w:sz w:val="21"/>
          <w:szCs w:val="21"/>
          <w:highlight w:val="none"/>
        </w:rPr>
        <w:sectPr>
          <w:type w:val="continuous"/>
          <w:pgSz w:w="11905" w:h="16839"/>
          <w:pgMar w:top="1431" w:right="1785" w:bottom="1004" w:left="1785" w:header="0" w:footer="828" w:gutter="0"/>
          <w:pgNumType w:fmt="decimal"/>
          <w:cols w:equalWidth="0" w:num="2">
            <w:col w:w="4546" w:space="100"/>
            <w:col w:w="3688"/>
          </w:cols>
        </w:sectPr>
      </w:pPr>
    </w:p>
    <w:p w14:paraId="64D8D3E3">
      <w:pPr>
        <w:spacing w:before="71" w:line="219" w:lineRule="auto"/>
        <w:ind w:left="2333"/>
        <w:outlineLvl w:val="1"/>
        <w:rPr>
          <w:rFonts w:ascii="黑体" w:hAnsi="黑体" w:eastAsia="黑体" w:cs="黑体"/>
          <w:color w:val="auto"/>
          <w:sz w:val="36"/>
          <w:szCs w:val="36"/>
          <w:highlight w:val="none"/>
        </w:rPr>
      </w:pPr>
      <w:r>
        <w:rPr>
          <w:rFonts w:ascii="黑体" w:hAnsi="黑体" w:eastAsia="黑体" w:cs="黑体"/>
          <w:color w:val="auto"/>
          <w:spacing w:val="-3"/>
          <w:sz w:val="36"/>
          <w:szCs w:val="36"/>
          <w:highlight w:val="none"/>
        </w:rPr>
        <w:t>第二部分</w:t>
      </w:r>
      <w:r>
        <w:rPr>
          <w:rFonts w:ascii="黑体" w:hAnsi="黑体" w:eastAsia="黑体" w:cs="黑体"/>
          <w:color w:val="auto"/>
          <w:spacing w:val="-71"/>
          <w:sz w:val="36"/>
          <w:szCs w:val="36"/>
          <w:highlight w:val="none"/>
        </w:rPr>
        <w:t xml:space="preserve"> </w:t>
      </w:r>
      <w:r>
        <w:rPr>
          <w:rFonts w:ascii="黑体" w:hAnsi="黑体" w:eastAsia="黑体" w:cs="黑体"/>
          <w:color w:val="auto"/>
          <w:spacing w:val="-3"/>
          <w:sz w:val="36"/>
          <w:szCs w:val="36"/>
          <w:highlight w:val="none"/>
        </w:rPr>
        <w:t>通用合同条款</w:t>
      </w:r>
    </w:p>
    <w:p w14:paraId="616A27FA">
      <w:pPr>
        <w:spacing w:before="129" w:line="219" w:lineRule="auto"/>
        <w:ind w:left="39"/>
        <w:rPr>
          <w:rFonts w:ascii="黑体" w:hAnsi="黑体" w:eastAsia="黑体" w:cs="黑体"/>
          <w:color w:val="auto"/>
          <w:sz w:val="32"/>
          <w:szCs w:val="32"/>
          <w:highlight w:val="none"/>
        </w:rPr>
      </w:pPr>
      <w:r>
        <w:rPr>
          <w:rFonts w:ascii="黑体" w:hAnsi="黑体" w:eastAsia="黑体" w:cs="黑体"/>
          <w:color w:val="auto"/>
          <w:spacing w:val="-4"/>
          <w:sz w:val="32"/>
          <w:szCs w:val="32"/>
          <w:highlight w:val="none"/>
        </w:rPr>
        <w:t>1.一般约定</w:t>
      </w:r>
    </w:p>
    <w:p w14:paraId="665393FB">
      <w:pPr>
        <w:spacing w:before="151" w:line="220" w:lineRule="auto"/>
        <w:ind w:left="31"/>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1.1</w:t>
      </w:r>
      <w:r>
        <w:rPr>
          <w:rFonts w:ascii="黑体" w:hAnsi="黑体" w:eastAsia="黑体" w:cs="黑体"/>
          <w:color w:val="auto"/>
          <w:spacing w:val="-43"/>
          <w:sz w:val="24"/>
          <w:szCs w:val="24"/>
          <w:highlight w:val="none"/>
        </w:rPr>
        <w:t xml:space="preserve"> </w:t>
      </w:r>
      <w:r>
        <w:rPr>
          <w:rFonts w:ascii="黑体" w:hAnsi="黑体" w:eastAsia="黑体" w:cs="黑体"/>
          <w:color w:val="auto"/>
          <w:spacing w:val="-4"/>
          <w:sz w:val="24"/>
          <w:szCs w:val="24"/>
          <w:highlight w:val="none"/>
        </w:rPr>
        <w:t>词语定义与解释</w:t>
      </w:r>
    </w:p>
    <w:p w14:paraId="2A362FD3">
      <w:pPr>
        <w:spacing w:before="127" w:line="220"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合同协议书、通用合同条款、专用合同条款中的下列词语具有本款</w:t>
      </w:r>
      <w:r>
        <w:rPr>
          <w:rFonts w:ascii="宋体" w:hAnsi="宋体" w:eastAsia="宋体" w:cs="宋体"/>
          <w:color w:val="auto"/>
          <w:spacing w:val="-2"/>
          <w:sz w:val="21"/>
          <w:szCs w:val="21"/>
          <w:highlight w:val="none"/>
        </w:rPr>
        <w:t>所赋予的含义：</w:t>
      </w:r>
    </w:p>
    <w:p w14:paraId="597F5C8E">
      <w:pPr>
        <w:spacing w:before="148" w:line="223"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1.1.1</w:t>
      </w:r>
      <w:r>
        <w:rPr>
          <w:rFonts w:ascii="Times New Roman" w:hAnsi="Times New Roman" w:eastAsia="Times New Roman" w:cs="Times New Roman"/>
          <w:color w:val="auto"/>
          <w:spacing w:val="10"/>
          <w:sz w:val="21"/>
          <w:szCs w:val="21"/>
          <w:highlight w:val="none"/>
        </w:rPr>
        <w:t xml:space="preserve"> </w:t>
      </w:r>
      <w:r>
        <w:rPr>
          <w:rFonts w:ascii="宋体" w:hAnsi="宋体" w:eastAsia="宋体" w:cs="宋体"/>
          <w:color w:val="auto"/>
          <w:spacing w:val="-4"/>
          <w:sz w:val="21"/>
          <w:szCs w:val="21"/>
          <w:highlight w:val="none"/>
        </w:rPr>
        <w:t>合同</w:t>
      </w:r>
    </w:p>
    <w:p w14:paraId="0D8E2990">
      <w:pPr>
        <w:spacing w:before="144" w:line="352" w:lineRule="auto"/>
        <w:ind w:left="17" w:right="49" w:firstLine="440"/>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"1.1.1.1" </w:instrText>
      </w:r>
      <w:r>
        <w:rPr>
          <w:color w:val="auto"/>
          <w:highlight w:val="none"/>
        </w:rPr>
        <w:fldChar w:fldCharType="separate"/>
      </w:r>
      <w:r>
        <w:rPr>
          <w:rFonts w:ascii="Times New Roman" w:hAnsi="Times New Roman" w:eastAsia="Times New Roman" w:cs="Times New Roman"/>
          <w:color w:val="auto"/>
          <w:spacing w:val="2"/>
          <w:sz w:val="21"/>
          <w:szCs w:val="21"/>
          <w:highlight w:val="none"/>
        </w:rPr>
        <w:t>1.1.1.1</w:t>
      </w:r>
      <w:r>
        <w:rPr>
          <w:rFonts w:ascii="Times New Roman" w:hAnsi="Times New Roman" w:eastAsia="Times New Roman" w:cs="Times New Roman"/>
          <w:color w:val="auto"/>
          <w:spacing w:val="2"/>
          <w:sz w:val="21"/>
          <w:szCs w:val="21"/>
          <w:highlight w:val="none"/>
        </w:rPr>
        <w:fldChar w:fldCharType="end"/>
      </w:r>
      <w:r>
        <w:rPr>
          <w:rFonts w:ascii="Times New Roman" w:hAnsi="Times New Roman" w:eastAsia="Times New Roman" w:cs="Times New Roman"/>
          <w:color w:val="auto"/>
          <w:spacing w:val="33"/>
          <w:sz w:val="21"/>
          <w:szCs w:val="21"/>
          <w:highlight w:val="none"/>
        </w:rPr>
        <w:t xml:space="preserve"> </w:t>
      </w:r>
      <w:r>
        <w:rPr>
          <w:rFonts w:ascii="宋体" w:hAnsi="宋体" w:eastAsia="宋体" w:cs="宋体"/>
          <w:color w:val="auto"/>
          <w:spacing w:val="2"/>
          <w:sz w:val="21"/>
          <w:szCs w:val="21"/>
          <w:highlight w:val="none"/>
        </w:rPr>
        <w:t>合同：是指根据法律规定和合同当事人</w:t>
      </w:r>
      <w:r>
        <w:rPr>
          <w:rFonts w:ascii="宋体" w:hAnsi="宋体" w:eastAsia="宋体" w:cs="宋体"/>
          <w:color w:val="auto"/>
          <w:spacing w:val="1"/>
          <w:sz w:val="21"/>
          <w:szCs w:val="21"/>
          <w:highlight w:val="none"/>
        </w:rPr>
        <w:t>约定具有约束力的文件，构成合同的文</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件包括合同协议书、中标通知书（如果有）、投标</w:t>
      </w:r>
      <w:r>
        <w:rPr>
          <w:rFonts w:ascii="宋体" w:hAnsi="宋体" w:eastAsia="宋体" w:cs="宋体"/>
          <w:color w:val="auto"/>
          <w:spacing w:val="-3"/>
          <w:sz w:val="21"/>
          <w:szCs w:val="21"/>
          <w:highlight w:val="none"/>
        </w:rPr>
        <w:t>函及其附录（如果有）、专用合同条款及</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其附件、通用合同条款、技术标准和要求、图纸、已标价工程量清单或预算书</w:t>
      </w:r>
      <w:r>
        <w:rPr>
          <w:rFonts w:ascii="宋体" w:hAnsi="宋体" w:eastAsia="宋体" w:cs="宋体"/>
          <w:color w:val="auto"/>
          <w:spacing w:val="2"/>
          <w:sz w:val="21"/>
          <w:szCs w:val="21"/>
          <w:highlight w:val="none"/>
        </w:rPr>
        <w:t>以及其他合</w:t>
      </w:r>
    </w:p>
    <w:p w14:paraId="0E3D93A8">
      <w:pPr>
        <w:spacing w:before="1" w:line="220" w:lineRule="auto"/>
        <w:ind w:left="39"/>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同文件。</w:t>
      </w:r>
    </w:p>
    <w:p w14:paraId="11662ACB">
      <w:pPr>
        <w:spacing w:before="152" w:line="399" w:lineRule="exact"/>
        <w:jc w:val="right"/>
        <w:rPr>
          <w:rFonts w:ascii="Times New Roman" w:hAnsi="Times New Roman" w:eastAsia="Times New Roman" w:cs="Times New Roman"/>
          <w:color w:val="auto"/>
          <w:sz w:val="21"/>
          <w:szCs w:val="21"/>
          <w:highlight w:val="none"/>
        </w:rPr>
      </w:pPr>
      <w:r>
        <w:rPr>
          <w:color w:val="auto"/>
          <w:highlight w:val="none"/>
        </w:rPr>
        <w:fldChar w:fldCharType="begin"/>
      </w:r>
      <w:r>
        <w:rPr>
          <w:color w:val="auto"/>
          <w:highlight w:val="none"/>
        </w:rPr>
        <w:instrText xml:space="preserve"> HYPERLINK "1.1.1.2"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1.1.1.2</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4"/>
          <w:position w:val="14"/>
          <w:sz w:val="21"/>
          <w:szCs w:val="21"/>
          <w:highlight w:val="none"/>
        </w:rPr>
        <w:t xml:space="preserve"> </w:t>
      </w:r>
      <w:r>
        <w:rPr>
          <w:rFonts w:ascii="宋体" w:hAnsi="宋体" w:eastAsia="宋体" w:cs="宋体"/>
          <w:color w:val="auto"/>
          <w:spacing w:val="1"/>
          <w:position w:val="14"/>
          <w:sz w:val="21"/>
          <w:szCs w:val="21"/>
          <w:highlight w:val="none"/>
        </w:rPr>
        <w:t>合同协议书： 是指构成合同的由发包人和承包人共同签</w:t>
      </w:r>
      <w:r>
        <w:rPr>
          <w:rFonts w:ascii="宋体" w:hAnsi="宋体" w:eastAsia="宋体" w:cs="宋体"/>
          <w:color w:val="auto"/>
          <w:position w:val="14"/>
          <w:sz w:val="21"/>
          <w:szCs w:val="21"/>
          <w:highlight w:val="none"/>
        </w:rPr>
        <w:t>署的称为</w:t>
      </w:r>
      <w:r>
        <w:rPr>
          <w:rFonts w:ascii="Times New Roman" w:hAnsi="Times New Roman" w:eastAsia="Times New Roman" w:cs="Times New Roman"/>
          <w:color w:val="auto"/>
          <w:position w:val="14"/>
          <w:sz w:val="21"/>
          <w:szCs w:val="21"/>
          <w:highlight w:val="none"/>
        </w:rPr>
        <w:t>“</w:t>
      </w:r>
      <w:r>
        <w:rPr>
          <w:rFonts w:ascii="宋体" w:hAnsi="宋体" w:eastAsia="宋体" w:cs="宋体"/>
          <w:color w:val="auto"/>
          <w:position w:val="14"/>
          <w:sz w:val="21"/>
          <w:szCs w:val="21"/>
          <w:highlight w:val="none"/>
        </w:rPr>
        <w:t>合同协议书</w:t>
      </w:r>
      <w:r>
        <w:rPr>
          <w:rFonts w:ascii="Times New Roman" w:hAnsi="Times New Roman" w:eastAsia="Times New Roman" w:cs="Times New Roman"/>
          <w:color w:val="auto"/>
          <w:position w:val="14"/>
          <w:sz w:val="21"/>
          <w:szCs w:val="21"/>
          <w:highlight w:val="none"/>
        </w:rPr>
        <w:t>”</w:t>
      </w:r>
    </w:p>
    <w:p w14:paraId="6C0417BF">
      <w:pPr>
        <w:spacing w:line="219" w:lineRule="auto"/>
        <w:ind w:left="3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的书面文件。</w:t>
      </w:r>
    </w:p>
    <w:p w14:paraId="448177F8">
      <w:pPr>
        <w:spacing w:before="149" w:line="220" w:lineRule="auto"/>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"1.1.1.3" </w:instrText>
      </w:r>
      <w:r>
        <w:rPr>
          <w:color w:val="auto"/>
          <w:highlight w:val="none"/>
        </w:rPr>
        <w:fldChar w:fldCharType="separate"/>
      </w:r>
      <w:r>
        <w:rPr>
          <w:rFonts w:ascii="Times New Roman" w:hAnsi="Times New Roman" w:eastAsia="Times New Roman" w:cs="Times New Roman"/>
          <w:color w:val="auto"/>
          <w:spacing w:val="-4"/>
          <w:sz w:val="21"/>
          <w:szCs w:val="21"/>
          <w:highlight w:val="none"/>
        </w:rPr>
        <w:t>1.1.1.3</w:t>
      </w:r>
      <w:r>
        <w:rPr>
          <w:rFonts w:ascii="Times New Roman" w:hAnsi="Times New Roman" w:eastAsia="Times New Roman" w:cs="Times New Roman"/>
          <w:color w:val="auto"/>
          <w:spacing w:val="-4"/>
          <w:sz w:val="21"/>
          <w:szCs w:val="21"/>
          <w:highlight w:val="none"/>
        </w:rPr>
        <w:fldChar w:fldCharType="end"/>
      </w:r>
      <w:r>
        <w:rPr>
          <w:rFonts w:ascii="Times New Roman" w:hAnsi="Times New Roman" w:eastAsia="Times New Roman" w:cs="Times New Roman"/>
          <w:color w:val="auto"/>
          <w:spacing w:val="29"/>
          <w:sz w:val="21"/>
          <w:szCs w:val="21"/>
          <w:highlight w:val="none"/>
        </w:rPr>
        <w:t xml:space="preserve"> </w:t>
      </w:r>
      <w:r>
        <w:rPr>
          <w:rFonts w:ascii="宋体" w:hAnsi="宋体" w:eastAsia="宋体" w:cs="宋体"/>
          <w:color w:val="auto"/>
          <w:spacing w:val="-4"/>
          <w:sz w:val="21"/>
          <w:szCs w:val="21"/>
          <w:highlight w:val="none"/>
        </w:rPr>
        <w:t>中标通知书： 是指构成合同的由发包人通知承包人中标的书面文</w:t>
      </w:r>
      <w:r>
        <w:rPr>
          <w:rFonts w:ascii="宋体" w:hAnsi="宋体" w:eastAsia="宋体" w:cs="宋体"/>
          <w:color w:val="auto"/>
          <w:spacing w:val="-5"/>
          <w:sz w:val="21"/>
          <w:szCs w:val="21"/>
          <w:highlight w:val="none"/>
        </w:rPr>
        <w:t>件。</w:t>
      </w:r>
    </w:p>
    <w:p w14:paraId="2B68B933">
      <w:pPr>
        <w:spacing w:before="153" w:line="399" w:lineRule="exact"/>
        <w:ind w:right="32"/>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"1.1.1.4"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1.1.1.4</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52"/>
          <w:position w:val="14"/>
          <w:sz w:val="21"/>
          <w:szCs w:val="21"/>
          <w:highlight w:val="none"/>
        </w:rPr>
        <w:t xml:space="preserve"> </w:t>
      </w:r>
      <w:r>
        <w:rPr>
          <w:rFonts w:ascii="宋体" w:hAnsi="宋体" w:eastAsia="宋体" w:cs="宋体"/>
          <w:color w:val="auto"/>
          <w:spacing w:val="-1"/>
          <w:position w:val="14"/>
          <w:sz w:val="21"/>
          <w:szCs w:val="21"/>
          <w:highlight w:val="none"/>
        </w:rPr>
        <w:t>投标函： 是指构成合同的由承包人填写并签署的用于投标的称为</w:t>
      </w:r>
      <w:r>
        <w:rPr>
          <w:rFonts w:ascii="Times New Roman" w:hAnsi="Times New Roman" w:eastAsia="Times New Roman" w:cs="Times New Roman"/>
          <w:color w:val="auto"/>
          <w:spacing w:val="-1"/>
          <w:position w:val="14"/>
          <w:sz w:val="21"/>
          <w:szCs w:val="21"/>
          <w:highlight w:val="none"/>
        </w:rPr>
        <w:t>“</w:t>
      </w:r>
      <w:r>
        <w:rPr>
          <w:rFonts w:ascii="宋体" w:hAnsi="宋体" w:eastAsia="宋体" w:cs="宋体"/>
          <w:color w:val="auto"/>
          <w:spacing w:val="-1"/>
          <w:position w:val="14"/>
          <w:sz w:val="21"/>
          <w:szCs w:val="21"/>
          <w:highlight w:val="none"/>
        </w:rPr>
        <w:t>投标函</w:t>
      </w:r>
      <w:r>
        <w:rPr>
          <w:rFonts w:ascii="Times New Roman" w:hAnsi="Times New Roman" w:eastAsia="Times New Roman" w:cs="Times New Roman"/>
          <w:color w:val="auto"/>
          <w:spacing w:val="-1"/>
          <w:position w:val="14"/>
          <w:sz w:val="21"/>
          <w:szCs w:val="21"/>
          <w:highlight w:val="none"/>
        </w:rPr>
        <w:t>”</w:t>
      </w:r>
      <w:r>
        <w:rPr>
          <w:rFonts w:ascii="Times New Roman" w:hAnsi="Times New Roman" w:eastAsia="Times New Roman" w:cs="Times New Roman"/>
          <w:color w:val="auto"/>
          <w:spacing w:val="-29"/>
          <w:position w:val="14"/>
          <w:sz w:val="21"/>
          <w:szCs w:val="21"/>
          <w:highlight w:val="none"/>
        </w:rPr>
        <w:t xml:space="preserve"> </w:t>
      </w:r>
      <w:r>
        <w:rPr>
          <w:rFonts w:ascii="宋体" w:hAnsi="宋体" w:eastAsia="宋体" w:cs="宋体"/>
          <w:color w:val="auto"/>
          <w:spacing w:val="-1"/>
          <w:position w:val="14"/>
          <w:sz w:val="21"/>
          <w:szCs w:val="21"/>
          <w:highlight w:val="none"/>
        </w:rPr>
        <w:t>的文</w:t>
      </w:r>
    </w:p>
    <w:p w14:paraId="4C6FFB96">
      <w:pPr>
        <w:spacing w:line="220" w:lineRule="auto"/>
        <w:ind w:left="17"/>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件。</w:t>
      </w:r>
    </w:p>
    <w:p w14:paraId="15D35BB6">
      <w:pPr>
        <w:spacing w:before="148" w:line="220" w:lineRule="auto"/>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"1.1.1.5" </w:instrText>
      </w:r>
      <w:r>
        <w:rPr>
          <w:color w:val="auto"/>
          <w:highlight w:val="none"/>
        </w:rPr>
        <w:fldChar w:fldCharType="separate"/>
      </w:r>
      <w:r>
        <w:rPr>
          <w:rFonts w:ascii="Times New Roman" w:hAnsi="Times New Roman" w:eastAsia="Times New Roman" w:cs="Times New Roman"/>
          <w:color w:val="auto"/>
          <w:spacing w:val="-4"/>
          <w:sz w:val="21"/>
          <w:szCs w:val="21"/>
          <w:highlight w:val="none"/>
        </w:rPr>
        <w:t>1.1.1.5</w:t>
      </w:r>
      <w:r>
        <w:rPr>
          <w:rFonts w:ascii="Times New Roman" w:hAnsi="Times New Roman" w:eastAsia="Times New Roman" w:cs="Times New Roman"/>
          <w:color w:val="auto"/>
          <w:spacing w:val="-4"/>
          <w:sz w:val="21"/>
          <w:szCs w:val="21"/>
          <w:highlight w:val="none"/>
        </w:rPr>
        <w:fldChar w:fldCharType="end"/>
      </w:r>
      <w:r>
        <w:rPr>
          <w:rFonts w:ascii="Times New Roman" w:hAnsi="Times New Roman" w:eastAsia="Times New Roman" w:cs="Times New Roman"/>
          <w:color w:val="auto"/>
          <w:spacing w:val="-4"/>
          <w:sz w:val="21"/>
          <w:szCs w:val="21"/>
          <w:highlight w:val="none"/>
        </w:rPr>
        <w:t xml:space="preserve"> </w:t>
      </w:r>
      <w:r>
        <w:rPr>
          <w:rFonts w:ascii="宋体" w:hAnsi="宋体" w:eastAsia="宋体" w:cs="宋体"/>
          <w:color w:val="auto"/>
          <w:spacing w:val="-4"/>
          <w:sz w:val="21"/>
          <w:szCs w:val="21"/>
          <w:highlight w:val="none"/>
        </w:rPr>
        <w:t>投标函附录： 是指构成合同的附在投标函后的称为</w:t>
      </w:r>
      <w:r>
        <w:rPr>
          <w:rFonts w:ascii="Times New Roman" w:hAnsi="Times New Roman" w:eastAsia="Times New Roman" w:cs="Times New Roman"/>
          <w:color w:val="auto"/>
          <w:spacing w:val="-4"/>
          <w:sz w:val="21"/>
          <w:szCs w:val="21"/>
          <w:highlight w:val="none"/>
        </w:rPr>
        <w:t>“</w:t>
      </w:r>
      <w:r>
        <w:rPr>
          <w:rFonts w:ascii="宋体" w:hAnsi="宋体" w:eastAsia="宋体" w:cs="宋体"/>
          <w:color w:val="auto"/>
          <w:spacing w:val="-4"/>
          <w:sz w:val="21"/>
          <w:szCs w:val="21"/>
          <w:highlight w:val="none"/>
        </w:rPr>
        <w:t>投标函附录</w:t>
      </w:r>
      <w:r>
        <w:rPr>
          <w:rFonts w:ascii="Times New Roman" w:hAnsi="Times New Roman" w:eastAsia="Times New Roman" w:cs="Times New Roman"/>
          <w:color w:val="auto"/>
          <w:spacing w:val="-4"/>
          <w:sz w:val="21"/>
          <w:szCs w:val="21"/>
          <w:highlight w:val="none"/>
        </w:rPr>
        <w:t>”</w:t>
      </w:r>
      <w:r>
        <w:rPr>
          <w:rFonts w:ascii="Times New Roman" w:hAnsi="Times New Roman" w:eastAsia="Times New Roman" w:cs="Times New Roman"/>
          <w:color w:val="auto"/>
          <w:spacing w:val="-25"/>
          <w:sz w:val="21"/>
          <w:szCs w:val="21"/>
          <w:highlight w:val="none"/>
        </w:rPr>
        <w:t xml:space="preserve"> </w:t>
      </w:r>
      <w:r>
        <w:rPr>
          <w:rFonts w:ascii="宋体" w:hAnsi="宋体" w:eastAsia="宋体" w:cs="宋体"/>
          <w:color w:val="auto"/>
          <w:spacing w:val="-4"/>
          <w:sz w:val="21"/>
          <w:szCs w:val="21"/>
          <w:highlight w:val="none"/>
        </w:rPr>
        <w:t>的文件。</w:t>
      </w:r>
    </w:p>
    <w:p w14:paraId="7F5FDC1C">
      <w:pPr>
        <w:spacing w:before="153" w:line="399" w:lineRule="exact"/>
        <w:ind w:right="49"/>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"1.1.1.6"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1.1.1.6</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5"/>
          <w:position w:val="14"/>
          <w:sz w:val="21"/>
          <w:szCs w:val="21"/>
          <w:highlight w:val="none"/>
        </w:rPr>
        <w:t xml:space="preserve"> </w:t>
      </w:r>
      <w:r>
        <w:rPr>
          <w:rFonts w:ascii="宋体" w:hAnsi="宋体" w:eastAsia="宋体" w:cs="宋体"/>
          <w:color w:val="auto"/>
          <w:spacing w:val="-1"/>
          <w:position w:val="14"/>
          <w:sz w:val="21"/>
          <w:szCs w:val="21"/>
          <w:highlight w:val="none"/>
        </w:rPr>
        <w:t>技术标准和要求： 是指构成合同的施工应当遵守的或指导施工的国家、行业或</w:t>
      </w:r>
    </w:p>
    <w:p w14:paraId="6E430134">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地方的技术标准和要求，以及合同约定的技术标准和要</w:t>
      </w:r>
      <w:r>
        <w:rPr>
          <w:rFonts w:ascii="宋体" w:hAnsi="宋体" w:eastAsia="宋体" w:cs="宋体"/>
          <w:color w:val="auto"/>
          <w:spacing w:val="-2"/>
          <w:sz w:val="21"/>
          <w:szCs w:val="21"/>
          <w:highlight w:val="none"/>
        </w:rPr>
        <w:t>求。</w:t>
      </w:r>
    </w:p>
    <w:p w14:paraId="76A40A03">
      <w:pPr>
        <w:spacing w:before="149" w:line="352" w:lineRule="auto"/>
        <w:ind w:left="35" w:right="49" w:firstLine="422"/>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"1.1.1.7" </w:instrText>
      </w:r>
      <w:r>
        <w:rPr>
          <w:color w:val="auto"/>
          <w:highlight w:val="none"/>
        </w:rPr>
        <w:fldChar w:fldCharType="separate"/>
      </w:r>
      <w:r>
        <w:rPr>
          <w:rFonts w:ascii="Times New Roman" w:hAnsi="Times New Roman" w:eastAsia="Times New Roman" w:cs="Times New Roman"/>
          <w:color w:val="auto"/>
          <w:spacing w:val="-1"/>
          <w:sz w:val="21"/>
          <w:szCs w:val="21"/>
          <w:highlight w:val="none"/>
        </w:rPr>
        <w:t>1.1.1.7</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1"/>
          <w:sz w:val="21"/>
          <w:szCs w:val="21"/>
          <w:highlight w:val="none"/>
        </w:rPr>
        <w:t xml:space="preserve">  </w:t>
      </w:r>
      <w:r>
        <w:rPr>
          <w:rFonts w:ascii="宋体" w:hAnsi="宋体" w:eastAsia="宋体" w:cs="宋体"/>
          <w:color w:val="auto"/>
          <w:spacing w:val="-1"/>
          <w:sz w:val="21"/>
          <w:szCs w:val="21"/>
          <w:highlight w:val="none"/>
        </w:rPr>
        <w:t>图纸：是指构成合同的图纸， 包括由发包</w:t>
      </w:r>
      <w:r>
        <w:rPr>
          <w:rFonts w:ascii="宋体" w:hAnsi="宋体" w:eastAsia="宋体" w:cs="宋体"/>
          <w:color w:val="auto"/>
          <w:spacing w:val="-2"/>
          <w:sz w:val="21"/>
          <w:szCs w:val="21"/>
          <w:highlight w:val="none"/>
        </w:rPr>
        <w:t>人按照合同约定提供或经发包人批准</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的设计文件、 施工图、 鸟瞰图及模型等，</w:t>
      </w:r>
      <w:r>
        <w:rPr>
          <w:rFonts w:ascii="宋体" w:hAnsi="宋体" w:eastAsia="宋体" w:cs="宋体"/>
          <w:color w:val="auto"/>
          <w:spacing w:val="38"/>
          <w:sz w:val="21"/>
          <w:szCs w:val="21"/>
          <w:highlight w:val="none"/>
        </w:rPr>
        <w:t xml:space="preserve"> </w:t>
      </w:r>
      <w:r>
        <w:rPr>
          <w:rFonts w:ascii="宋体" w:hAnsi="宋体" w:eastAsia="宋体" w:cs="宋体"/>
          <w:color w:val="auto"/>
          <w:spacing w:val="-6"/>
          <w:sz w:val="21"/>
          <w:szCs w:val="21"/>
          <w:highlight w:val="none"/>
        </w:rPr>
        <w:t>以及在合同履行过程中形成的图</w:t>
      </w:r>
      <w:r>
        <w:rPr>
          <w:rFonts w:ascii="宋体" w:hAnsi="宋体" w:eastAsia="宋体" w:cs="宋体"/>
          <w:color w:val="auto"/>
          <w:spacing w:val="-7"/>
          <w:sz w:val="21"/>
          <w:szCs w:val="21"/>
          <w:highlight w:val="none"/>
        </w:rPr>
        <w:t>纸文件。图纸应</w:t>
      </w:r>
    </w:p>
    <w:p w14:paraId="12B6DE6D">
      <w:pPr>
        <w:spacing w:line="220" w:lineRule="auto"/>
        <w:ind w:left="3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当按照法律规定审查合格。</w:t>
      </w:r>
    </w:p>
    <w:p w14:paraId="32595CF8">
      <w:pPr>
        <w:spacing w:before="148" w:line="403" w:lineRule="exact"/>
        <w:ind w:right="49"/>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"1.1.1.8"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1.1.1.8</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1"/>
          <w:position w:val="14"/>
          <w:sz w:val="21"/>
          <w:szCs w:val="21"/>
          <w:highlight w:val="none"/>
        </w:rPr>
        <w:t xml:space="preserve">  </w:t>
      </w:r>
      <w:r>
        <w:rPr>
          <w:rFonts w:ascii="宋体" w:hAnsi="宋体" w:eastAsia="宋体" w:cs="宋体"/>
          <w:color w:val="auto"/>
          <w:spacing w:val="1"/>
          <w:position w:val="14"/>
          <w:sz w:val="21"/>
          <w:szCs w:val="21"/>
          <w:highlight w:val="none"/>
        </w:rPr>
        <w:t>已标价工程量清单：是指构成合同的由承包人按照规定的格式和要求填写并标</w:t>
      </w:r>
    </w:p>
    <w:p w14:paraId="26859604">
      <w:pPr>
        <w:spacing w:line="219" w:lineRule="auto"/>
        <w:ind w:left="3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明价格的工程量清单，包括说明和表格。</w:t>
      </w:r>
    </w:p>
    <w:p w14:paraId="322DE5D8">
      <w:pPr>
        <w:spacing w:before="150" w:line="398" w:lineRule="exact"/>
        <w:ind w:right="49"/>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"1.1.1.9" </w:instrText>
      </w:r>
      <w:r>
        <w:rPr>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1.1.1.9</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4"/>
          <w:position w:val="14"/>
          <w:sz w:val="21"/>
          <w:szCs w:val="21"/>
          <w:highlight w:val="none"/>
        </w:rPr>
        <w:t xml:space="preserve"> </w:t>
      </w:r>
      <w:r>
        <w:rPr>
          <w:rFonts w:ascii="宋体" w:hAnsi="宋体" w:eastAsia="宋体" w:cs="宋体"/>
          <w:color w:val="auto"/>
          <w:spacing w:val="2"/>
          <w:position w:val="14"/>
          <w:sz w:val="21"/>
          <w:szCs w:val="21"/>
          <w:highlight w:val="none"/>
        </w:rPr>
        <w:t>预算书：是指构成合同的由承包人按</w:t>
      </w:r>
      <w:r>
        <w:rPr>
          <w:rFonts w:ascii="宋体" w:hAnsi="宋体" w:eastAsia="宋体" w:cs="宋体"/>
          <w:color w:val="auto"/>
          <w:spacing w:val="1"/>
          <w:position w:val="14"/>
          <w:sz w:val="21"/>
          <w:szCs w:val="21"/>
          <w:highlight w:val="none"/>
        </w:rPr>
        <w:t>照发包人规定的格式和要求编制的工程预</w:t>
      </w:r>
    </w:p>
    <w:p w14:paraId="40E142B1">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算文件。</w:t>
      </w:r>
    </w:p>
    <w:p w14:paraId="7885871F">
      <w:pPr>
        <w:spacing w:before="153" w:line="398" w:lineRule="exact"/>
        <w:ind w:right="46"/>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"1.1.1.10"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1.1.1.10</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8"/>
          <w:position w:val="14"/>
          <w:sz w:val="21"/>
          <w:szCs w:val="21"/>
          <w:highlight w:val="none"/>
        </w:rPr>
        <w:t xml:space="preserve"> </w:t>
      </w:r>
      <w:r>
        <w:rPr>
          <w:rFonts w:ascii="宋体" w:hAnsi="宋体" w:eastAsia="宋体" w:cs="宋体"/>
          <w:color w:val="auto"/>
          <w:spacing w:val="-1"/>
          <w:position w:val="14"/>
          <w:sz w:val="21"/>
          <w:szCs w:val="21"/>
          <w:highlight w:val="none"/>
        </w:rPr>
        <w:t>其他合同文件：是指经合同当事人约定的与工程施工有关的具有合同约束力的</w:t>
      </w:r>
    </w:p>
    <w:p w14:paraId="6DC7081A">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文件或书面协议。合同当事人可以在专用合同条款中进</w:t>
      </w:r>
      <w:r>
        <w:rPr>
          <w:rFonts w:ascii="宋体" w:hAnsi="宋体" w:eastAsia="宋体" w:cs="宋体"/>
          <w:color w:val="auto"/>
          <w:spacing w:val="-2"/>
          <w:sz w:val="21"/>
          <w:szCs w:val="21"/>
          <w:highlight w:val="none"/>
        </w:rPr>
        <w:t>行约定。</w:t>
      </w:r>
    </w:p>
    <w:p w14:paraId="61AFAF52">
      <w:pPr>
        <w:spacing w:before="149"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1.1.2 </w:t>
      </w:r>
      <w:r>
        <w:rPr>
          <w:rFonts w:ascii="宋体" w:hAnsi="宋体" w:eastAsia="宋体" w:cs="宋体"/>
          <w:color w:val="auto"/>
          <w:spacing w:val="-2"/>
          <w:sz w:val="21"/>
          <w:szCs w:val="21"/>
          <w:highlight w:val="none"/>
        </w:rPr>
        <w:t>合同当事人及其他相关方</w:t>
      </w:r>
    </w:p>
    <w:p w14:paraId="589CCAD8">
      <w:pPr>
        <w:spacing w:before="151" w:line="221" w:lineRule="auto"/>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"1.1.2.1" </w:instrText>
      </w:r>
      <w:r>
        <w:rPr>
          <w:color w:val="auto"/>
          <w:highlight w:val="none"/>
        </w:rPr>
        <w:fldChar w:fldCharType="separate"/>
      </w:r>
      <w:r>
        <w:rPr>
          <w:rFonts w:ascii="Times New Roman" w:hAnsi="Times New Roman" w:eastAsia="Times New Roman" w:cs="Times New Roman"/>
          <w:color w:val="auto"/>
          <w:spacing w:val="-5"/>
          <w:sz w:val="21"/>
          <w:szCs w:val="21"/>
          <w:highlight w:val="none"/>
        </w:rPr>
        <w:t>1.1.2.1</w:t>
      </w:r>
      <w:r>
        <w:rPr>
          <w:rFonts w:ascii="Times New Roman" w:hAnsi="Times New Roman" w:eastAsia="Times New Roman" w:cs="Times New Roman"/>
          <w:color w:val="auto"/>
          <w:spacing w:val="-5"/>
          <w:sz w:val="21"/>
          <w:szCs w:val="21"/>
          <w:highlight w:val="none"/>
        </w:rPr>
        <w:fldChar w:fldCharType="end"/>
      </w:r>
      <w:r>
        <w:rPr>
          <w:rFonts w:ascii="Times New Roman" w:hAnsi="Times New Roman" w:eastAsia="Times New Roman" w:cs="Times New Roman"/>
          <w:color w:val="auto"/>
          <w:spacing w:val="-5"/>
          <w:sz w:val="21"/>
          <w:szCs w:val="21"/>
          <w:highlight w:val="none"/>
        </w:rPr>
        <w:t xml:space="preserve"> </w:t>
      </w:r>
      <w:r>
        <w:rPr>
          <w:rFonts w:ascii="宋体" w:hAnsi="宋体" w:eastAsia="宋体" w:cs="宋体"/>
          <w:color w:val="auto"/>
          <w:spacing w:val="-5"/>
          <w:sz w:val="21"/>
          <w:szCs w:val="21"/>
          <w:highlight w:val="none"/>
        </w:rPr>
        <w:t>合同当事人： 是指发包人和（或）承包人。</w:t>
      </w:r>
    </w:p>
    <w:p w14:paraId="4319DFD1">
      <w:pPr>
        <w:spacing w:before="147" w:line="399" w:lineRule="exact"/>
        <w:ind w:right="49"/>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"1.1.2.2" </w:instrText>
      </w:r>
      <w:r>
        <w:rPr>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1.1.2.2</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6"/>
          <w:position w:val="14"/>
          <w:sz w:val="21"/>
          <w:szCs w:val="21"/>
          <w:highlight w:val="none"/>
        </w:rPr>
        <w:t xml:space="preserve"> </w:t>
      </w:r>
      <w:r>
        <w:rPr>
          <w:rFonts w:ascii="宋体" w:hAnsi="宋体" w:eastAsia="宋体" w:cs="宋体"/>
          <w:color w:val="auto"/>
          <w:spacing w:val="2"/>
          <w:position w:val="14"/>
          <w:sz w:val="21"/>
          <w:szCs w:val="21"/>
          <w:highlight w:val="none"/>
        </w:rPr>
        <w:t>发包人：是指与承包人签订合同</w:t>
      </w:r>
      <w:r>
        <w:rPr>
          <w:rFonts w:ascii="宋体" w:hAnsi="宋体" w:eastAsia="宋体" w:cs="宋体"/>
          <w:color w:val="auto"/>
          <w:spacing w:val="1"/>
          <w:position w:val="14"/>
          <w:sz w:val="21"/>
          <w:szCs w:val="21"/>
          <w:highlight w:val="none"/>
        </w:rPr>
        <w:t>协议书的当事人及取得该当事人资格的合法继</w:t>
      </w:r>
    </w:p>
    <w:p w14:paraId="418C0070">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承人。</w:t>
      </w:r>
    </w:p>
    <w:p w14:paraId="656B090A">
      <w:pPr>
        <w:spacing w:before="152" w:line="398" w:lineRule="exact"/>
        <w:ind w:right="49"/>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"1.1.2.3" </w:instrText>
      </w:r>
      <w:r>
        <w:rPr>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1.1.2.3</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3"/>
          <w:position w:val="14"/>
          <w:sz w:val="21"/>
          <w:szCs w:val="21"/>
          <w:highlight w:val="none"/>
        </w:rPr>
        <w:t xml:space="preserve"> </w:t>
      </w:r>
      <w:r>
        <w:rPr>
          <w:rFonts w:ascii="宋体" w:hAnsi="宋体" w:eastAsia="宋体" w:cs="宋体"/>
          <w:color w:val="auto"/>
          <w:spacing w:val="2"/>
          <w:position w:val="14"/>
          <w:sz w:val="21"/>
          <w:szCs w:val="21"/>
          <w:highlight w:val="none"/>
        </w:rPr>
        <w:t>承包人：是指与发包人签订合同协议书</w:t>
      </w:r>
      <w:r>
        <w:rPr>
          <w:rFonts w:ascii="宋体" w:hAnsi="宋体" w:eastAsia="宋体" w:cs="宋体"/>
          <w:color w:val="auto"/>
          <w:spacing w:val="1"/>
          <w:position w:val="14"/>
          <w:sz w:val="21"/>
          <w:szCs w:val="21"/>
          <w:highlight w:val="none"/>
        </w:rPr>
        <w:t>的，具有相应工程施工承包资质的当事</w:t>
      </w:r>
    </w:p>
    <w:p w14:paraId="3857C1C2">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人及取得该当事人资格的合法继承人。</w:t>
      </w:r>
    </w:p>
    <w:p w14:paraId="50E32538">
      <w:pPr>
        <w:spacing w:before="147" w:line="404" w:lineRule="exact"/>
        <w:ind w:right="49"/>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"1.1.2.4" </w:instrText>
      </w:r>
      <w:r>
        <w:rPr>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1.1.2.4</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3"/>
          <w:position w:val="14"/>
          <w:sz w:val="21"/>
          <w:szCs w:val="21"/>
          <w:highlight w:val="none"/>
        </w:rPr>
        <w:t xml:space="preserve"> </w:t>
      </w:r>
      <w:r>
        <w:rPr>
          <w:rFonts w:ascii="宋体" w:hAnsi="宋体" w:eastAsia="宋体" w:cs="宋体"/>
          <w:color w:val="auto"/>
          <w:spacing w:val="2"/>
          <w:position w:val="14"/>
          <w:sz w:val="21"/>
          <w:szCs w:val="21"/>
          <w:highlight w:val="none"/>
        </w:rPr>
        <w:t>监理人：是指在专用合同条款中指明的</w:t>
      </w:r>
      <w:r>
        <w:rPr>
          <w:rFonts w:ascii="宋体" w:hAnsi="宋体" w:eastAsia="宋体" w:cs="宋体"/>
          <w:color w:val="auto"/>
          <w:spacing w:val="1"/>
          <w:position w:val="14"/>
          <w:sz w:val="21"/>
          <w:szCs w:val="21"/>
          <w:highlight w:val="none"/>
        </w:rPr>
        <w:t>，受发包人委托按照法律规定进行工程</w:t>
      </w:r>
    </w:p>
    <w:p w14:paraId="63D95D1D">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监督管理的法人或其他组织。</w:t>
      </w:r>
    </w:p>
    <w:p w14:paraId="07C8B2E9">
      <w:pPr>
        <w:spacing w:line="220" w:lineRule="auto"/>
        <w:rPr>
          <w:rFonts w:ascii="宋体" w:hAnsi="宋体" w:eastAsia="宋体" w:cs="宋体"/>
          <w:color w:val="auto"/>
          <w:sz w:val="21"/>
          <w:szCs w:val="21"/>
          <w:highlight w:val="none"/>
        </w:rPr>
        <w:sectPr>
          <w:footerReference r:id="rId102" w:type="default"/>
          <w:pgSz w:w="11905" w:h="16839"/>
          <w:pgMar w:top="1375" w:right="1742" w:bottom="1004" w:left="1785" w:header="0" w:footer="828" w:gutter="0"/>
          <w:pgNumType w:fmt="decimal"/>
          <w:cols w:space="720" w:num="1"/>
        </w:sectPr>
      </w:pPr>
    </w:p>
    <w:p w14:paraId="7F235C56">
      <w:pPr>
        <w:spacing w:before="149" w:line="398" w:lineRule="exact"/>
        <w:ind w:right="5"/>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"1.1.2.5" </w:instrText>
      </w:r>
      <w:r>
        <w:rPr>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1.1.2.5</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6"/>
          <w:position w:val="14"/>
          <w:sz w:val="21"/>
          <w:szCs w:val="21"/>
          <w:highlight w:val="none"/>
        </w:rPr>
        <w:t xml:space="preserve"> </w:t>
      </w:r>
      <w:r>
        <w:rPr>
          <w:rFonts w:ascii="宋体" w:hAnsi="宋体" w:eastAsia="宋体" w:cs="宋体"/>
          <w:color w:val="auto"/>
          <w:spacing w:val="2"/>
          <w:position w:val="14"/>
          <w:sz w:val="21"/>
          <w:szCs w:val="21"/>
          <w:highlight w:val="none"/>
        </w:rPr>
        <w:t>设计人：是指在专用合同条款中</w:t>
      </w:r>
      <w:r>
        <w:rPr>
          <w:rFonts w:ascii="宋体" w:hAnsi="宋体" w:eastAsia="宋体" w:cs="宋体"/>
          <w:color w:val="auto"/>
          <w:spacing w:val="1"/>
          <w:position w:val="14"/>
          <w:sz w:val="21"/>
          <w:szCs w:val="21"/>
          <w:highlight w:val="none"/>
        </w:rPr>
        <w:t>指明的，受发包人委托负责工程设计并具备相</w:t>
      </w:r>
    </w:p>
    <w:p w14:paraId="216669C7">
      <w:pPr>
        <w:spacing w:line="221"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应工程设计资质的法人或其他组织。</w:t>
      </w:r>
    </w:p>
    <w:p w14:paraId="00709535">
      <w:pPr>
        <w:spacing w:before="151" w:line="399" w:lineRule="exact"/>
        <w:ind w:right="1"/>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"1.1.2.6" </w:instrText>
      </w:r>
      <w:r>
        <w:rPr>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1.1.2.6</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5"/>
          <w:position w:val="14"/>
          <w:sz w:val="21"/>
          <w:szCs w:val="21"/>
          <w:highlight w:val="none"/>
        </w:rPr>
        <w:t xml:space="preserve"> </w:t>
      </w:r>
      <w:r>
        <w:rPr>
          <w:rFonts w:ascii="宋体" w:hAnsi="宋体" w:eastAsia="宋体" w:cs="宋体"/>
          <w:color w:val="auto"/>
          <w:spacing w:val="2"/>
          <w:position w:val="14"/>
          <w:sz w:val="21"/>
          <w:szCs w:val="21"/>
          <w:highlight w:val="none"/>
        </w:rPr>
        <w:t>分包人：是指按照法律规定和合同约定，分包</w:t>
      </w:r>
      <w:r>
        <w:rPr>
          <w:rFonts w:ascii="宋体" w:hAnsi="宋体" w:eastAsia="宋体" w:cs="宋体"/>
          <w:color w:val="auto"/>
          <w:spacing w:val="1"/>
          <w:position w:val="14"/>
          <w:sz w:val="21"/>
          <w:szCs w:val="21"/>
          <w:highlight w:val="none"/>
        </w:rPr>
        <w:t>部分工程或工作，并与承包人签</w:t>
      </w:r>
    </w:p>
    <w:p w14:paraId="31B141B8">
      <w:pPr>
        <w:spacing w:line="221"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订分包合同的具有相应资质的法人。</w:t>
      </w:r>
    </w:p>
    <w:p w14:paraId="129CC401">
      <w:pPr>
        <w:spacing w:before="146" w:line="403" w:lineRule="exact"/>
        <w:ind w:right="5"/>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"1.1.2.7" </w:instrText>
      </w:r>
      <w:r>
        <w:rPr>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1.1.2.7</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6"/>
          <w:position w:val="14"/>
          <w:sz w:val="21"/>
          <w:szCs w:val="21"/>
          <w:highlight w:val="none"/>
        </w:rPr>
        <w:t xml:space="preserve"> </w:t>
      </w:r>
      <w:r>
        <w:rPr>
          <w:rFonts w:ascii="宋体" w:hAnsi="宋体" w:eastAsia="宋体" w:cs="宋体"/>
          <w:color w:val="auto"/>
          <w:spacing w:val="2"/>
          <w:position w:val="14"/>
          <w:sz w:val="21"/>
          <w:szCs w:val="21"/>
          <w:highlight w:val="none"/>
        </w:rPr>
        <w:t>发包人代表：是指由发包人任命</w:t>
      </w:r>
      <w:r>
        <w:rPr>
          <w:rFonts w:ascii="宋体" w:hAnsi="宋体" w:eastAsia="宋体" w:cs="宋体"/>
          <w:color w:val="auto"/>
          <w:spacing w:val="1"/>
          <w:position w:val="14"/>
          <w:sz w:val="21"/>
          <w:szCs w:val="21"/>
          <w:highlight w:val="none"/>
        </w:rPr>
        <w:t>并派驻施工现场在发包人授权范围内行使发包</w:t>
      </w:r>
    </w:p>
    <w:p w14:paraId="5EC3E59E">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人权利的人。</w:t>
      </w:r>
    </w:p>
    <w:p w14:paraId="6AF9BEB2">
      <w:pPr>
        <w:spacing w:before="147" w:line="399" w:lineRule="exact"/>
        <w:ind w:right="5"/>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"1.1.2.8"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1.1.2.8</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5"/>
          <w:w w:val="101"/>
          <w:position w:val="14"/>
          <w:sz w:val="21"/>
          <w:szCs w:val="21"/>
          <w:highlight w:val="none"/>
        </w:rPr>
        <w:t xml:space="preserve"> </w:t>
      </w:r>
      <w:r>
        <w:rPr>
          <w:rFonts w:ascii="宋体" w:hAnsi="宋体" w:eastAsia="宋体" w:cs="宋体"/>
          <w:color w:val="auto"/>
          <w:spacing w:val="-1"/>
          <w:position w:val="14"/>
          <w:sz w:val="21"/>
          <w:szCs w:val="21"/>
          <w:highlight w:val="none"/>
        </w:rPr>
        <w:t>项目经理： 是指由承包人任命并派驻施工现场，在承包人授权范围内负责合同</w:t>
      </w:r>
    </w:p>
    <w:p w14:paraId="35C5FECA">
      <w:pPr>
        <w:spacing w:before="1" w:line="220"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履行，且按照法律规定具有相应资格的项目负责人。</w:t>
      </w:r>
    </w:p>
    <w:p w14:paraId="0351FF2B">
      <w:pPr>
        <w:spacing w:before="152" w:line="221" w:lineRule="auto"/>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"1.1.2.9" </w:instrText>
      </w:r>
      <w:r>
        <w:rPr>
          <w:color w:val="auto"/>
          <w:highlight w:val="none"/>
        </w:rPr>
        <w:fldChar w:fldCharType="separate"/>
      </w:r>
      <w:r>
        <w:rPr>
          <w:rFonts w:ascii="Times New Roman" w:hAnsi="Times New Roman" w:eastAsia="Times New Roman" w:cs="Times New Roman"/>
          <w:color w:val="auto"/>
          <w:spacing w:val="-1"/>
          <w:sz w:val="21"/>
          <w:szCs w:val="21"/>
          <w:highlight w:val="none"/>
        </w:rPr>
        <w:t>1.1.2.9</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19"/>
          <w:w w:val="101"/>
          <w:sz w:val="21"/>
          <w:szCs w:val="21"/>
          <w:highlight w:val="none"/>
        </w:rPr>
        <w:t xml:space="preserve"> </w:t>
      </w:r>
      <w:r>
        <w:rPr>
          <w:rFonts w:ascii="宋体" w:hAnsi="宋体" w:eastAsia="宋体" w:cs="宋体"/>
          <w:color w:val="auto"/>
          <w:spacing w:val="-1"/>
          <w:sz w:val="21"/>
          <w:szCs w:val="21"/>
          <w:highlight w:val="none"/>
        </w:rPr>
        <w:t>总监理工程师：是指由监理人任命并派驻施工现场进行工程监理的总负责人。</w:t>
      </w:r>
    </w:p>
    <w:p w14:paraId="2CFBBF61">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1.1.3 </w:t>
      </w:r>
      <w:r>
        <w:rPr>
          <w:rFonts w:ascii="宋体" w:hAnsi="宋体" w:eastAsia="宋体" w:cs="宋体"/>
          <w:color w:val="auto"/>
          <w:spacing w:val="-2"/>
          <w:sz w:val="21"/>
          <w:szCs w:val="21"/>
          <w:highlight w:val="none"/>
        </w:rPr>
        <w:t>工程和设备</w:t>
      </w:r>
    </w:p>
    <w:p w14:paraId="0DDAF587">
      <w:pPr>
        <w:spacing w:before="147" w:line="220" w:lineRule="auto"/>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"1.1.3.1" </w:instrText>
      </w:r>
      <w:r>
        <w:rPr>
          <w:color w:val="auto"/>
          <w:highlight w:val="none"/>
        </w:rPr>
        <w:fldChar w:fldCharType="separate"/>
      </w:r>
      <w:r>
        <w:rPr>
          <w:rFonts w:ascii="Times New Roman" w:hAnsi="Times New Roman" w:eastAsia="Times New Roman" w:cs="Times New Roman"/>
          <w:color w:val="auto"/>
          <w:spacing w:val="-4"/>
          <w:sz w:val="21"/>
          <w:szCs w:val="21"/>
          <w:highlight w:val="none"/>
        </w:rPr>
        <w:t>1.1.3.1</w:t>
      </w:r>
      <w:r>
        <w:rPr>
          <w:rFonts w:ascii="Times New Roman" w:hAnsi="Times New Roman" w:eastAsia="Times New Roman" w:cs="Times New Roman"/>
          <w:color w:val="auto"/>
          <w:spacing w:val="-4"/>
          <w:sz w:val="21"/>
          <w:szCs w:val="21"/>
          <w:highlight w:val="none"/>
        </w:rPr>
        <w:fldChar w:fldCharType="end"/>
      </w:r>
      <w:r>
        <w:rPr>
          <w:rFonts w:ascii="Times New Roman" w:hAnsi="Times New Roman" w:eastAsia="Times New Roman" w:cs="Times New Roman"/>
          <w:color w:val="auto"/>
          <w:spacing w:val="-4"/>
          <w:sz w:val="21"/>
          <w:szCs w:val="21"/>
          <w:highlight w:val="none"/>
        </w:rPr>
        <w:t xml:space="preserve"> </w:t>
      </w:r>
      <w:r>
        <w:rPr>
          <w:rFonts w:ascii="宋体" w:hAnsi="宋体" w:eastAsia="宋体" w:cs="宋体"/>
          <w:color w:val="auto"/>
          <w:spacing w:val="-4"/>
          <w:sz w:val="21"/>
          <w:szCs w:val="21"/>
          <w:highlight w:val="none"/>
        </w:rPr>
        <w:t>工程：是指与合同协议书中工程承包范围对应的永久工程和（或）</w:t>
      </w:r>
      <w:r>
        <w:rPr>
          <w:rFonts w:ascii="宋体" w:hAnsi="宋体" w:eastAsia="宋体" w:cs="宋体"/>
          <w:color w:val="auto"/>
          <w:spacing w:val="41"/>
          <w:sz w:val="21"/>
          <w:szCs w:val="21"/>
          <w:highlight w:val="none"/>
        </w:rPr>
        <w:t xml:space="preserve"> </w:t>
      </w:r>
      <w:r>
        <w:rPr>
          <w:rFonts w:ascii="宋体" w:hAnsi="宋体" w:eastAsia="宋体" w:cs="宋体"/>
          <w:color w:val="auto"/>
          <w:spacing w:val="-4"/>
          <w:sz w:val="21"/>
          <w:szCs w:val="21"/>
          <w:highlight w:val="none"/>
        </w:rPr>
        <w:t>临时工程。</w:t>
      </w:r>
    </w:p>
    <w:p w14:paraId="62D469B7">
      <w:pPr>
        <w:spacing w:before="153" w:line="221" w:lineRule="auto"/>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"1.1.3.2" </w:instrText>
      </w:r>
      <w:r>
        <w:rPr>
          <w:color w:val="auto"/>
          <w:highlight w:val="none"/>
        </w:rPr>
        <w:fldChar w:fldCharType="separate"/>
      </w:r>
      <w:r>
        <w:rPr>
          <w:rFonts w:ascii="Times New Roman" w:hAnsi="Times New Roman" w:eastAsia="Times New Roman" w:cs="Times New Roman"/>
          <w:color w:val="auto"/>
          <w:spacing w:val="-5"/>
          <w:sz w:val="21"/>
          <w:szCs w:val="21"/>
          <w:highlight w:val="none"/>
        </w:rPr>
        <w:t>1.1.3.2</w:t>
      </w:r>
      <w:r>
        <w:rPr>
          <w:rFonts w:ascii="Times New Roman" w:hAnsi="Times New Roman" w:eastAsia="Times New Roman" w:cs="Times New Roman"/>
          <w:color w:val="auto"/>
          <w:spacing w:val="-5"/>
          <w:sz w:val="21"/>
          <w:szCs w:val="21"/>
          <w:highlight w:val="none"/>
        </w:rPr>
        <w:fldChar w:fldCharType="end"/>
      </w:r>
      <w:r>
        <w:rPr>
          <w:rFonts w:ascii="Times New Roman" w:hAnsi="Times New Roman" w:eastAsia="Times New Roman" w:cs="Times New Roman"/>
          <w:color w:val="auto"/>
          <w:spacing w:val="-5"/>
          <w:sz w:val="21"/>
          <w:szCs w:val="21"/>
          <w:highlight w:val="none"/>
        </w:rPr>
        <w:t xml:space="preserve"> </w:t>
      </w:r>
      <w:r>
        <w:rPr>
          <w:rFonts w:ascii="宋体" w:hAnsi="宋体" w:eastAsia="宋体" w:cs="宋体"/>
          <w:color w:val="auto"/>
          <w:spacing w:val="-5"/>
          <w:sz w:val="21"/>
          <w:szCs w:val="21"/>
          <w:highlight w:val="none"/>
        </w:rPr>
        <w:t>永久工程：是指按合同约定建造并移交给发包人的工程，</w:t>
      </w:r>
      <w:r>
        <w:rPr>
          <w:rFonts w:ascii="宋体" w:hAnsi="宋体" w:eastAsia="宋体" w:cs="宋体"/>
          <w:color w:val="auto"/>
          <w:spacing w:val="52"/>
          <w:sz w:val="21"/>
          <w:szCs w:val="21"/>
          <w:highlight w:val="none"/>
        </w:rPr>
        <w:t xml:space="preserve"> </w:t>
      </w:r>
      <w:r>
        <w:rPr>
          <w:rFonts w:ascii="宋体" w:hAnsi="宋体" w:eastAsia="宋体" w:cs="宋体"/>
          <w:color w:val="auto"/>
          <w:spacing w:val="-5"/>
          <w:sz w:val="21"/>
          <w:szCs w:val="21"/>
          <w:highlight w:val="none"/>
        </w:rPr>
        <w:t>包括工程设备。</w:t>
      </w:r>
    </w:p>
    <w:p w14:paraId="50181F40">
      <w:pPr>
        <w:spacing w:before="148" w:line="398" w:lineRule="exact"/>
        <w:ind w:right="5"/>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"1.1.3.3" </w:instrText>
      </w:r>
      <w:r>
        <w:rPr>
          <w:color w:val="auto"/>
          <w:highlight w:val="none"/>
        </w:rPr>
        <w:fldChar w:fldCharType="separate"/>
      </w:r>
      <w:r>
        <w:rPr>
          <w:rFonts w:ascii="Times New Roman" w:hAnsi="Times New Roman" w:eastAsia="Times New Roman" w:cs="Times New Roman"/>
          <w:color w:val="auto"/>
          <w:spacing w:val="-4"/>
          <w:position w:val="14"/>
          <w:sz w:val="21"/>
          <w:szCs w:val="21"/>
          <w:highlight w:val="none"/>
        </w:rPr>
        <w:t>1.1.3.3</w:t>
      </w:r>
      <w:r>
        <w:rPr>
          <w:rFonts w:ascii="Times New Roman" w:hAnsi="Times New Roman" w:eastAsia="Times New Roman" w:cs="Times New Roman"/>
          <w:color w:val="auto"/>
          <w:spacing w:val="-4"/>
          <w:position w:val="14"/>
          <w:sz w:val="21"/>
          <w:szCs w:val="21"/>
          <w:highlight w:val="none"/>
        </w:rPr>
        <w:fldChar w:fldCharType="end"/>
      </w:r>
      <w:r>
        <w:rPr>
          <w:rFonts w:ascii="Times New Roman" w:hAnsi="Times New Roman" w:eastAsia="Times New Roman" w:cs="Times New Roman"/>
          <w:color w:val="auto"/>
          <w:spacing w:val="60"/>
          <w:position w:val="14"/>
          <w:sz w:val="21"/>
          <w:szCs w:val="21"/>
          <w:highlight w:val="none"/>
        </w:rPr>
        <w:t xml:space="preserve"> </w:t>
      </w:r>
      <w:r>
        <w:rPr>
          <w:rFonts w:ascii="宋体" w:hAnsi="宋体" w:eastAsia="宋体" w:cs="宋体"/>
          <w:color w:val="auto"/>
          <w:spacing w:val="-4"/>
          <w:position w:val="14"/>
          <w:sz w:val="21"/>
          <w:szCs w:val="21"/>
          <w:highlight w:val="none"/>
        </w:rPr>
        <w:t>临时工程： 是指为完成合同约定的永久工程所修建的各类临时性工程， 不包括</w:t>
      </w:r>
    </w:p>
    <w:p w14:paraId="666D025C">
      <w:pPr>
        <w:spacing w:line="222" w:lineRule="auto"/>
        <w:ind w:left="17"/>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施工设备。</w:t>
      </w:r>
    </w:p>
    <w:p w14:paraId="749BBB3F">
      <w:pPr>
        <w:spacing w:before="151" w:line="398" w:lineRule="exact"/>
        <w:ind w:right="3"/>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"1.1.3.4"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1.1.3.4</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7"/>
          <w:w w:val="101"/>
          <w:position w:val="14"/>
          <w:sz w:val="21"/>
          <w:szCs w:val="21"/>
          <w:highlight w:val="none"/>
        </w:rPr>
        <w:t xml:space="preserve"> </w:t>
      </w:r>
      <w:r>
        <w:rPr>
          <w:rFonts w:ascii="宋体" w:hAnsi="宋体" w:eastAsia="宋体" w:cs="宋体"/>
          <w:color w:val="auto"/>
          <w:spacing w:val="-1"/>
          <w:position w:val="14"/>
          <w:sz w:val="21"/>
          <w:szCs w:val="21"/>
          <w:highlight w:val="none"/>
        </w:rPr>
        <w:t>单位工程： 是指在合同协议书中指明的，具备独立施工条件并能形成独立使用</w:t>
      </w:r>
    </w:p>
    <w:p w14:paraId="4CFF934C">
      <w:pPr>
        <w:spacing w:before="1" w:line="221" w:lineRule="auto"/>
        <w:ind w:left="2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功能的永久工程。</w:t>
      </w:r>
    </w:p>
    <w:p w14:paraId="4221B7AC">
      <w:pPr>
        <w:spacing w:before="147" w:line="403" w:lineRule="exact"/>
        <w:ind w:right="5"/>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"1.1.3.5"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1.1.3.5</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5"/>
          <w:position w:val="14"/>
          <w:sz w:val="21"/>
          <w:szCs w:val="21"/>
          <w:highlight w:val="none"/>
        </w:rPr>
        <w:t xml:space="preserve"> </w:t>
      </w:r>
      <w:r>
        <w:rPr>
          <w:rFonts w:ascii="宋体" w:hAnsi="宋体" w:eastAsia="宋体" w:cs="宋体"/>
          <w:color w:val="auto"/>
          <w:spacing w:val="-1"/>
          <w:position w:val="14"/>
          <w:sz w:val="21"/>
          <w:szCs w:val="21"/>
          <w:highlight w:val="none"/>
        </w:rPr>
        <w:t>工程设备： 是指构成永久工程的机电设备、金属结构设备、仪器及其他类似的</w:t>
      </w:r>
    </w:p>
    <w:p w14:paraId="344115C0">
      <w:pPr>
        <w:spacing w:line="221"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设备和装置。</w:t>
      </w:r>
    </w:p>
    <w:p w14:paraId="702D7723">
      <w:pPr>
        <w:spacing w:before="147" w:line="398" w:lineRule="exact"/>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"1.1.3.6" </w:instrText>
      </w:r>
      <w:r>
        <w:rPr>
          <w:color w:val="auto"/>
          <w:highlight w:val="none"/>
        </w:rPr>
        <w:fldChar w:fldCharType="separate"/>
      </w:r>
      <w:r>
        <w:rPr>
          <w:rFonts w:ascii="Times New Roman" w:hAnsi="Times New Roman" w:eastAsia="Times New Roman" w:cs="Times New Roman"/>
          <w:color w:val="auto"/>
          <w:spacing w:val="-3"/>
          <w:position w:val="14"/>
          <w:sz w:val="21"/>
          <w:szCs w:val="21"/>
          <w:highlight w:val="none"/>
        </w:rPr>
        <w:t>1.1.3.6</w:t>
      </w:r>
      <w:r>
        <w:rPr>
          <w:rFonts w:ascii="Times New Roman" w:hAnsi="Times New Roman" w:eastAsia="Times New Roman" w:cs="Times New Roman"/>
          <w:color w:val="auto"/>
          <w:spacing w:val="-3"/>
          <w:position w:val="14"/>
          <w:sz w:val="21"/>
          <w:szCs w:val="21"/>
          <w:highlight w:val="none"/>
        </w:rPr>
        <w:fldChar w:fldCharType="end"/>
      </w:r>
      <w:r>
        <w:rPr>
          <w:rFonts w:ascii="Times New Roman" w:hAnsi="Times New Roman" w:eastAsia="Times New Roman" w:cs="Times New Roman"/>
          <w:color w:val="auto"/>
          <w:spacing w:val="31"/>
          <w:w w:val="101"/>
          <w:position w:val="14"/>
          <w:sz w:val="21"/>
          <w:szCs w:val="21"/>
          <w:highlight w:val="none"/>
        </w:rPr>
        <w:t xml:space="preserve"> </w:t>
      </w:r>
      <w:r>
        <w:rPr>
          <w:rFonts w:ascii="宋体" w:hAnsi="宋体" w:eastAsia="宋体" w:cs="宋体"/>
          <w:color w:val="auto"/>
          <w:spacing w:val="-3"/>
          <w:position w:val="14"/>
          <w:sz w:val="21"/>
          <w:szCs w:val="21"/>
          <w:highlight w:val="none"/>
        </w:rPr>
        <w:t>施工设备： 是指为完成合同约定的各项工作所需的设备、器</w:t>
      </w:r>
      <w:r>
        <w:rPr>
          <w:rFonts w:ascii="宋体" w:hAnsi="宋体" w:eastAsia="宋体" w:cs="宋体"/>
          <w:color w:val="auto"/>
          <w:spacing w:val="-4"/>
          <w:position w:val="14"/>
          <w:sz w:val="21"/>
          <w:szCs w:val="21"/>
          <w:highlight w:val="none"/>
        </w:rPr>
        <w:t>具和其他物品， 但</w:t>
      </w:r>
    </w:p>
    <w:p w14:paraId="78E1350A">
      <w:pPr>
        <w:spacing w:before="1" w:line="219" w:lineRule="auto"/>
        <w:ind w:left="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不包括工程设备、临时工程和材料。</w:t>
      </w:r>
    </w:p>
    <w:p w14:paraId="680F25EC">
      <w:pPr>
        <w:spacing w:before="154" w:line="398" w:lineRule="exact"/>
        <w:ind w:right="1"/>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"1.1.3.7"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1.1.3.7</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9"/>
          <w:position w:val="14"/>
          <w:sz w:val="21"/>
          <w:szCs w:val="21"/>
          <w:highlight w:val="none"/>
        </w:rPr>
        <w:t xml:space="preserve"> </w:t>
      </w:r>
      <w:r>
        <w:rPr>
          <w:rFonts w:ascii="宋体" w:hAnsi="宋体" w:eastAsia="宋体" w:cs="宋体"/>
          <w:color w:val="auto"/>
          <w:spacing w:val="-1"/>
          <w:position w:val="14"/>
          <w:sz w:val="21"/>
          <w:szCs w:val="21"/>
          <w:highlight w:val="none"/>
        </w:rPr>
        <w:t>施工现场： 是指用于工程施工的场所，以及在专用合同条款中指明作为施工场</w:t>
      </w:r>
    </w:p>
    <w:p w14:paraId="16C6E49E">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所组成部分的其他场所，包括永久占地和临时占地。</w:t>
      </w:r>
    </w:p>
    <w:p w14:paraId="3368AE05">
      <w:pPr>
        <w:spacing w:before="147" w:line="221" w:lineRule="auto"/>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"1.1.3.8" </w:instrText>
      </w:r>
      <w:r>
        <w:rPr>
          <w:color w:val="auto"/>
          <w:highlight w:val="none"/>
        </w:rPr>
        <w:fldChar w:fldCharType="separate"/>
      </w:r>
      <w:r>
        <w:rPr>
          <w:rFonts w:ascii="Times New Roman" w:hAnsi="Times New Roman" w:eastAsia="Times New Roman" w:cs="Times New Roman"/>
          <w:color w:val="auto"/>
          <w:spacing w:val="-1"/>
          <w:sz w:val="21"/>
          <w:szCs w:val="21"/>
          <w:highlight w:val="none"/>
        </w:rPr>
        <w:t>1.1.3.8</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1"/>
          <w:sz w:val="21"/>
          <w:szCs w:val="21"/>
          <w:highlight w:val="none"/>
        </w:rPr>
        <w:t xml:space="preserve"> </w:t>
      </w:r>
      <w:r>
        <w:rPr>
          <w:rFonts w:ascii="宋体" w:hAnsi="宋体" w:eastAsia="宋体" w:cs="宋体"/>
          <w:color w:val="auto"/>
          <w:spacing w:val="-1"/>
          <w:sz w:val="21"/>
          <w:szCs w:val="21"/>
          <w:highlight w:val="none"/>
        </w:rPr>
        <w:t>临时设施：是指为完成合同约定的各项工作所服务的临时性生产和生活设施。</w:t>
      </w:r>
    </w:p>
    <w:p w14:paraId="37A501F2">
      <w:pPr>
        <w:spacing w:before="152" w:line="221" w:lineRule="auto"/>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"1.1.3.9" </w:instrText>
      </w:r>
      <w:r>
        <w:rPr>
          <w:color w:val="auto"/>
          <w:highlight w:val="none"/>
        </w:rPr>
        <w:fldChar w:fldCharType="separate"/>
      </w:r>
      <w:r>
        <w:rPr>
          <w:rFonts w:ascii="Times New Roman" w:hAnsi="Times New Roman" w:eastAsia="Times New Roman" w:cs="Times New Roman"/>
          <w:color w:val="auto"/>
          <w:spacing w:val="-1"/>
          <w:sz w:val="21"/>
          <w:szCs w:val="21"/>
          <w:highlight w:val="none"/>
        </w:rPr>
        <w:t>1.1.3.9</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1"/>
          <w:sz w:val="21"/>
          <w:szCs w:val="21"/>
          <w:highlight w:val="none"/>
        </w:rPr>
        <w:t xml:space="preserve"> </w:t>
      </w:r>
      <w:r>
        <w:rPr>
          <w:rFonts w:ascii="宋体" w:hAnsi="宋体" w:eastAsia="宋体" w:cs="宋体"/>
          <w:color w:val="auto"/>
          <w:spacing w:val="-1"/>
          <w:sz w:val="21"/>
          <w:szCs w:val="21"/>
          <w:highlight w:val="none"/>
        </w:rPr>
        <w:t>永久占地：是指专用合同条款中指明为实施工程需永久占用的土地。</w:t>
      </w:r>
    </w:p>
    <w:p w14:paraId="78AF823A">
      <w:pPr>
        <w:spacing w:before="147" w:line="221" w:lineRule="auto"/>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"1.1.3.10" </w:instrText>
      </w:r>
      <w:r>
        <w:rPr>
          <w:color w:val="auto"/>
          <w:highlight w:val="none"/>
        </w:rPr>
        <w:fldChar w:fldCharType="separate"/>
      </w:r>
      <w:r>
        <w:rPr>
          <w:rFonts w:ascii="Times New Roman" w:hAnsi="Times New Roman" w:eastAsia="Times New Roman" w:cs="Times New Roman"/>
          <w:color w:val="auto"/>
          <w:spacing w:val="-2"/>
          <w:sz w:val="21"/>
          <w:szCs w:val="21"/>
          <w:highlight w:val="none"/>
        </w:rPr>
        <w:t>1.1.3.10</w:t>
      </w:r>
      <w:r>
        <w:rPr>
          <w:rFonts w:ascii="Times New Roman" w:hAnsi="Times New Roman" w:eastAsia="Times New Roman" w:cs="Times New Roman"/>
          <w:color w:val="auto"/>
          <w:spacing w:val="-2"/>
          <w:sz w:val="21"/>
          <w:szCs w:val="21"/>
          <w:highlight w:val="none"/>
        </w:rPr>
        <w:fldChar w:fldCharType="end"/>
      </w:r>
      <w:r>
        <w:rPr>
          <w:rFonts w:ascii="Times New Roman" w:hAnsi="Times New Roman" w:eastAsia="Times New Roman" w:cs="Times New Roman"/>
          <w:color w:val="auto"/>
          <w:spacing w:val="34"/>
          <w:sz w:val="21"/>
          <w:szCs w:val="21"/>
          <w:highlight w:val="none"/>
        </w:rPr>
        <w:t xml:space="preserve"> </w:t>
      </w:r>
      <w:r>
        <w:rPr>
          <w:rFonts w:ascii="宋体" w:hAnsi="宋体" w:eastAsia="宋体" w:cs="宋体"/>
          <w:color w:val="auto"/>
          <w:spacing w:val="-2"/>
          <w:sz w:val="21"/>
          <w:szCs w:val="21"/>
          <w:highlight w:val="none"/>
        </w:rPr>
        <w:t>临时占地：是指专用合同条款中指明为实施工程需要临时占用的土地。</w:t>
      </w:r>
    </w:p>
    <w:p w14:paraId="3637EC73">
      <w:pPr>
        <w:spacing w:before="148"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1.1.4</w:t>
      </w:r>
      <w:r>
        <w:rPr>
          <w:rFonts w:ascii="Times New Roman" w:hAnsi="Times New Roman" w:eastAsia="Times New Roman" w:cs="Times New Roman"/>
          <w:color w:val="auto"/>
          <w:spacing w:val="49"/>
          <w:sz w:val="21"/>
          <w:szCs w:val="21"/>
          <w:highlight w:val="none"/>
        </w:rPr>
        <w:t xml:space="preserve"> </w:t>
      </w:r>
      <w:r>
        <w:rPr>
          <w:rFonts w:ascii="宋体" w:hAnsi="宋体" w:eastAsia="宋体" w:cs="宋体"/>
          <w:color w:val="auto"/>
          <w:spacing w:val="-7"/>
          <w:sz w:val="21"/>
          <w:szCs w:val="21"/>
          <w:highlight w:val="none"/>
        </w:rPr>
        <w:t>日期和期限</w:t>
      </w:r>
    </w:p>
    <w:p w14:paraId="34292E08">
      <w:pPr>
        <w:spacing w:before="152" w:line="350" w:lineRule="auto"/>
        <w:ind w:left="23" w:right="5" w:firstLine="434"/>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"1.1.4.1" </w:instrText>
      </w:r>
      <w:r>
        <w:rPr>
          <w:color w:val="auto"/>
          <w:highlight w:val="none"/>
        </w:rPr>
        <w:fldChar w:fldCharType="separate"/>
      </w:r>
      <w:r>
        <w:rPr>
          <w:rFonts w:ascii="Times New Roman" w:hAnsi="Times New Roman" w:eastAsia="Times New Roman" w:cs="Times New Roman"/>
          <w:color w:val="auto"/>
          <w:spacing w:val="-1"/>
          <w:sz w:val="21"/>
          <w:szCs w:val="21"/>
          <w:highlight w:val="none"/>
        </w:rPr>
        <w:t>1.1.4.1</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35"/>
          <w:sz w:val="21"/>
          <w:szCs w:val="21"/>
          <w:highlight w:val="none"/>
        </w:rPr>
        <w:t xml:space="preserve"> </w:t>
      </w:r>
      <w:r>
        <w:rPr>
          <w:rFonts w:ascii="宋体" w:hAnsi="宋体" w:eastAsia="宋体" w:cs="宋体"/>
          <w:color w:val="auto"/>
          <w:spacing w:val="-1"/>
          <w:sz w:val="21"/>
          <w:szCs w:val="21"/>
          <w:highlight w:val="none"/>
        </w:rPr>
        <w:t>开工日期： 包括计划开工日期和实际开工日期。计划开工日期是指合同协议书</w:t>
      </w:r>
      <w:r>
        <w:rPr>
          <w:rFonts w:ascii="宋体" w:hAnsi="宋体" w:eastAsia="宋体" w:cs="宋体"/>
          <w:color w:val="auto"/>
          <w:sz w:val="21"/>
          <w:szCs w:val="21"/>
          <w:highlight w:val="none"/>
        </w:rPr>
        <w:t xml:space="preserve"> 约定的开工日期；实际开工日期是指监理人按照第</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z w:val="21"/>
          <w:szCs w:val="21"/>
          <w:highlight w:val="none"/>
        </w:rPr>
        <w:t>7.3</w:t>
      </w:r>
      <w:r>
        <w:rPr>
          <w:rFonts w:ascii="Times New Roman" w:hAnsi="Times New Roman" w:eastAsia="Times New Roman" w:cs="Times New Roman"/>
          <w:color w:val="auto"/>
          <w:spacing w:val="-1"/>
          <w:sz w:val="21"/>
          <w:szCs w:val="21"/>
          <w:highlight w:val="none"/>
        </w:rPr>
        <w:t xml:space="preserve">.2 </w:t>
      </w:r>
      <w:r>
        <w:rPr>
          <w:rFonts w:ascii="宋体" w:hAnsi="宋体" w:eastAsia="宋体" w:cs="宋体"/>
          <w:color w:val="auto"/>
          <w:spacing w:val="-1"/>
          <w:sz w:val="21"/>
          <w:szCs w:val="21"/>
          <w:highlight w:val="none"/>
        </w:rPr>
        <w:t>项〔开工通知〕约定发出的符合法</w:t>
      </w:r>
    </w:p>
    <w:p w14:paraId="632A8823">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律规定的开工通知中载明的开工日期。</w:t>
      </w:r>
    </w:p>
    <w:p w14:paraId="460F541B">
      <w:pPr>
        <w:spacing w:before="152" w:line="399" w:lineRule="exact"/>
        <w:ind w:right="5"/>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"1.1.4.2"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1.1.4.2</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5"/>
          <w:position w:val="14"/>
          <w:sz w:val="21"/>
          <w:szCs w:val="21"/>
          <w:highlight w:val="none"/>
        </w:rPr>
        <w:t xml:space="preserve"> </w:t>
      </w:r>
      <w:r>
        <w:rPr>
          <w:rFonts w:ascii="宋体" w:hAnsi="宋体" w:eastAsia="宋体" w:cs="宋体"/>
          <w:color w:val="auto"/>
          <w:spacing w:val="-1"/>
          <w:position w:val="14"/>
          <w:sz w:val="21"/>
          <w:szCs w:val="21"/>
          <w:highlight w:val="none"/>
        </w:rPr>
        <w:t>竣工日期： 包括计划竣工日期和实际竣工日期。计划竣工日期是指合同协议书</w:t>
      </w:r>
    </w:p>
    <w:p w14:paraId="4AD765C8">
      <w:pPr>
        <w:spacing w:line="220" w:lineRule="auto"/>
        <w:ind w:left="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约定的竣工日期；实际竣工日期按照第</w:t>
      </w:r>
      <w:r>
        <w:rPr>
          <w:rFonts w:ascii="宋体" w:hAnsi="宋体" w:eastAsia="宋体" w:cs="宋体"/>
          <w:color w:val="auto"/>
          <w:spacing w:val="-32"/>
          <w:sz w:val="21"/>
          <w:szCs w:val="21"/>
          <w:highlight w:val="none"/>
        </w:rPr>
        <w:t xml:space="preserve"> </w:t>
      </w:r>
      <w:r>
        <w:rPr>
          <w:rFonts w:ascii="Times New Roman" w:hAnsi="Times New Roman" w:eastAsia="Times New Roman" w:cs="Times New Roman"/>
          <w:color w:val="auto"/>
          <w:spacing w:val="-1"/>
          <w:sz w:val="21"/>
          <w:szCs w:val="21"/>
          <w:highlight w:val="none"/>
        </w:rPr>
        <w:t xml:space="preserve">13.2.3 </w:t>
      </w:r>
      <w:r>
        <w:rPr>
          <w:rFonts w:ascii="宋体" w:hAnsi="宋体" w:eastAsia="宋体" w:cs="宋体"/>
          <w:color w:val="auto"/>
          <w:spacing w:val="-1"/>
          <w:sz w:val="21"/>
          <w:szCs w:val="21"/>
          <w:highlight w:val="none"/>
        </w:rPr>
        <w:t>项〔竣工日期〕的约定确定。</w:t>
      </w:r>
    </w:p>
    <w:p w14:paraId="42950D34">
      <w:pPr>
        <w:spacing w:before="148" w:line="403" w:lineRule="exact"/>
        <w:ind w:right="5"/>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"1.1.4.3" </w:instrText>
      </w:r>
      <w:r>
        <w:rPr>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1.1.4.3</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5"/>
          <w:position w:val="14"/>
          <w:sz w:val="21"/>
          <w:szCs w:val="21"/>
          <w:highlight w:val="none"/>
        </w:rPr>
        <w:t xml:space="preserve"> </w:t>
      </w:r>
      <w:r>
        <w:rPr>
          <w:rFonts w:ascii="宋体" w:hAnsi="宋体" w:eastAsia="宋体" w:cs="宋体"/>
          <w:color w:val="auto"/>
          <w:spacing w:val="2"/>
          <w:position w:val="14"/>
          <w:sz w:val="21"/>
          <w:szCs w:val="21"/>
          <w:highlight w:val="none"/>
        </w:rPr>
        <w:t>工期：是指在合同协议书约定的承</w:t>
      </w:r>
      <w:r>
        <w:rPr>
          <w:rFonts w:ascii="宋体" w:hAnsi="宋体" w:eastAsia="宋体" w:cs="宋体"/>
          <w:color w:val="auto"/>
          <w:spacing w:val="1"/>
          <w:position w:val="14"/>
          <w:sz w:val="21"/>
          <w:szCs w:val="21"/>
          <w:highlight w:val="none"/>
        </w:rPr>
        <w:t>包人完成工程所需的期限，包括按照合同约</w:t>
      </w:r>
    </w:p>
    <w:p w14:paraId="611FAC53">
      <w:pPr>
        <w:spacing w:line="221" w:lineRule="auto"/>
        <w:ind w:left="2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定所作的期限变更。</w:t>
      </w:r>
    </w:p>
    <w:p w14:paraId="2626A7E3">
      <w:pPr>
        <w:spacing w:before="147" w:line="221" w:lineRule="auto"/>
        <w:ind w:right="1"/>
        <w:jc w:val="right"/>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"1.1.4.4" </w:instrText>
      </w:r>
      <w:r>
        <w:rPr>
          <w:color w:val="auto"/>
          <w:highlight w:val="none"/>
        </w:rPr>
        <w:fldChar w:fldCharType="separate"/>
      </w:r>
      <w:r>
        <w:rPr>
          <w:rFonts w:ascii="Times New Roman" w:hAnsi="Times New Roman" w:eastAsia="Times New Roman" w:cs="Times New Roman"/>
          <w:color w:val="auto"/>
          <w:spacing w:val="-1"/>
          <w:sz w:val="21"/>
          <w:szCs w:val="21"/>
          <w:highlight w:val="none"/>
        </w:rPr>
        <w:t>1.1.4.4</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39"/>
          <w:w w:val="101"/>
          <w:sz w:val="21"/>
          <w:szCs w:val="21"/>
          <w:highlight w:val="none"/>
        </w:rPr>
        <w:t xml:space="preserve"> </w:t>
      </w:r>
      <w:r>
        <w:rPr>
          <w:rFonts w:ascii="宋体" w:hAnsi="宋体" w:eastAsia="宋体" w:cs="宋体"/>
          <w:color w:val="auto"/>
          <w:spacing w:val="-1"/>
          <w:sz w:val="21"/>
          <w:szCs w:val="21"/>
          <w:highlight w:val="none"/>
        </w:rPr>
        <w:t>缺陷责任期：是指承包人按照合同约定承担缺陷修复义务， 且发包人预留质量</w:t>
      </w:r>
    </w:p>
    <w:p w14:paraId="1EC818FE">
      <w:pPr>
        <w:spacing w:line="221" w:lineRule="auto"/>
        <w:rPr>
          <w:rFonts w:ascii="宋体" w:hAnsi="宋体" w:eastAsia="宋体" w:cs="宋体"/>
          <w:color w:val="auto"/>
          <w:sz w:val="21"/>
          <w:szCs w:val="21"/>
          <w:highlight w:val="none"/>
        </w:rPr>
        <w:sectPr>
          <w:footerReference r:id="rId103" w:type="default"/>
          <w:pgSz w:w="11905" w:h="16839"/>
          <w:pgMar w:top="1431" w:right="1785" w:bottom="1004" w:left="1785" w:header="0" w:footer="828" w:gutter="0"/>
          <w:pgNumType w:fmt="decimal"/>
          <w:cols w:space="720" w:num="1"/>
        </w:sectPr>
      </w:pPr>
    </w:p>
    <w:p w14:paraId="057E83AC">
      <w:pPr>
        <w:spacing w:before="148" w:line="221" w:lineRule="auto"/>
        <w:ind w:left="1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保证金（已缴纳履约保证金的除外）的期限，</w:t>
      </w:r>
      <w:r>
        <w:rPr>
          <w:rFonts w:ascii="宋体" w:hAnsi="宋体" w:eastAsia="宋体" w:cs="宋体"/>
          <w:color w:val="auto"/>
          <w:spacing w:val="57"/>
          <w:sz w:val="21"/>
          <w:szCs w:val="21"/>
          <w:highlight w:val="none"/>
        </w:rPr>
        <w:t xml:space="preserve"> </w:t>
      </w:r>
      <w:r>
        <w:rPr>
          <w:rFonts w:ascii="宋体" w:hAnsi="宋体" w:eastAsia="宋体" w:cs="宋体"/>
          <w:color w:val="auto"/>
          <w:spacing w:val="-5"/>
          <w:sz w:val="21"/>
          <w:szCs w:val="21"/>
          <w:highlight w:val="none"/>
        </w:rPr>
        <w:t>自工程实际竣工日期起计算。</w:t>
      </w:r>
    </w:p>
    <w:p w14:paraId="7316E2A1">
      <w:pPr>
        <w:spacing w:before="147" w:line="403" w:lineRule="exact"/>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"1.1.4.5" </w:instrText>
      </w:r>
      <w:r>
        <w:rPr>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1.1.4.5</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3"/>
          <w:position w:val="14"/>
          <w:sz w:val="21"/>
          <w:szCs w:val="21"/>
          <w:highlight w:val="none"/>
        </w:rPr>
        <w:t xml:space="preserve"> </w:t>
      </w:r>
      <w:r>
        <w:rPr>
          <w:rFonts w:ascii="宋体" w:hAnsi="宋体" w:eastAsia="宋体" w:cs="宋体"/>
          <w:color w:val="auto"/>
          <w:spacing w:val="2"/>
          <w:position w:val="14"/>
          <w:sz w:val="21"/>
          <w:szCs w:val="21"/>
          <w:highlight w:val="none"/>
        </w:rPr>
        <w:t>保修期：是指承包人按照合同约定对工</w:t>
      </w:r>
      <w:r>
        <w:rPr>
          <w:rFonts w:ascii="宋体" w:hAnsi="宋体" w:eastAsia="宋体" w:cs="宋体"/>
          <w:color w:val="auto"/>
          <w:spacing w:val="1"/>
          <w:position w:val="14"/>
          <w:sz w:val="21"/>
          <w:szCs w:val="21"/>
          <w:highlight w:val="none"/>
        </w:rPr>
        <w:t>程承担保修责任的期限，从工程竣工验</w:t>
      </w:r>
    </w:p>
    <w:p w14:paraId="6B7543E9">
      <w:pPr>
        <w:spacing w:line="220" w:lineRule="auto"/>
        <w:ind w:left="2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收合格之日起计算。</w:t>
      </w:r>
    </w:p>
    <w:p w14:paraId="5CBDF08C">
      <w:pPr>
        <w:spacing w:before="148" w:line="398" w:lineRule="exact"/>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"1.1.4.6"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1.1.4.6</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3"/>
          <w:position w:val="14"/>
          <w:sz w:val="21"/>
          <w:szCs w:val="21"/>
          <w:highlight w:val="none"/>
        </w:rPr>
        <w:t xml:space="preserve"> </w:t>
      </w:r>
      <w:r>
        <w:rPr>
          <w:rFonts w:ascii="宋体" w:hAnsi="宋体" w:eastAsia="宋体" w:cs="宋体"/>
          <w:color w:val="auto"/>
          <w:spacing w:val="-1"/>
          <w:position w:val="14"/>
          <w:sz w:val="21"/>
          <w:szCs w:val="21"/>
          <w:highlight w:val="none"/>
        </w:rPr>
        <w:t>基准日期：招标发包的工程以投标截止日前</w:t>
      </w:r>
      <w:r>
        <w:rPr>
          <w:rFonts w:ascii="宋体" w:hAnsi="宋体" w:eastAsia="宋体" w:cs="宋体"/>
          <w:color w:val="auto"/>
          <w:spacing w:val="-46"/>
          <w:position w:val="14"/>
          <w:sz w:val="21"/>
          <w:szCs w:val="21"/>
          <w:highlight w:val="none"/>
        </w:rPr>
        <w:t xml:space="preserve"> </w:t>
      </w:r>
      <w:r>
        <w:rPr>
          <w:rFonts w:ascii="Times New Roman" w:hAnsi="Times New Roman" w:eastAsia="Times New Roman" w:cs="Times New Roman"/>
          <w:color w:val="auto"/>
          <w:spacing w:val="-1"/>
          <w:position w:val="14"/>
          <w:sz w:val="21"/>
          <w:szCs w:val="21"/>
          <w:highlight w:val="none"/>
        </w:rPr>
        <w:t xml:space="preserve">28 </w:t>
      </w:r>
      <w:r>
        <w:rPr>
          <w:rFonts w:ascii="宋体" w:hAnsi="宋体" w:eastAsia="宋体" w:cs="宋体"/>
          <w:color w:val="auto"/>
          <w:spacing w:val="-1"/>
          <w:position w:val="14"/>
          <w:sz w:val="21"/>
          <w:szCs w:val="21"/>
          <w:highlight w:val="none"/>
        </w:rPr>
        <w:t>天的日期为基准</w:t>
      </w:r>
      <w:r>
        <w:rPr>
          <w:rFonts w:ascii="宋体" w:hAnsi="宋体" w:eastAsia="宋体" w:cs="宋体"/>
          <w:color w:val="auto"/>
          <w:spacing w:val="-2"/>
          <w:position w:val="14"/>
          <w:sz w:val="21"/>
          <w:szCs w:val="21"/>
          <w:highlight w:val="none"/>
        </w:rPr>
        <w:t>日期，直接发包</w:t>
      </w:r>
    </w:p>
    <w:p w14:paraId="72DADAE4">
      <w:pPr>
        <w:spacing w:before="1" w:line="221" w:lineRule="auto"/>
        <w:ind w:left="3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的工程以合同签订日前</w:t>
      </w:r>
      <w:r>
        <w:rPr>
          <w:rFonts w:ascii="宋体" w:hAnsi="宋体" w:eastAsia="宋体" w:cs="宋体"/>
          <w:color w:val="auto"/>
          <w:spacing w:val="-36"/>
          <w:sz w:val="21"/>
          <w:szCs w:val="21"/>
          <w:highlight w:val="none"/>
        </w:rPr>
        <w:t xml:space="preserve"> </w:t>
      </w:r>
      <w:r>
        <w:rPr>
          <w:rFonts w:ascii="Times New Roman" w:hAnsi="Times New Roman" w:eastAsia="Times New Roman" w:cs="Times New Roman"/>
          <w:color w:val="auto"/>
          <w:spacing w:val="-2"/>
          <w:sz w:val="21"/>
          <w:szCs w:val="21"/>
          <w:highlight w:val="none"/>
        </w:rPr>
        <w:t xml:space="preserve">28 </w:t>
      </w:r>
      <w:r>
        <w:rPr>
          <w:rFonts w:ascii="宋体" w:hAnsi="宋体" w:eastAsia="宋体" w:cs="宋体"/>
          <w:color w:val="auto"/>
          <w:spacing w:val="-2"/>
          <w:sz w:val="21"/>
          <w:szCs w:val="21"/>
          <w:highlight w:val="none"/>
        </w:rPr>
        <w:t>天的日期为基准日期。</w:t>
      </w:r>
    </w:p>
    <w:p w14:paraId="340FAC69">
      <w:pPr>
        <w:spacing w:before="151" w:line="398" w:lineRule="exact"/>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"1.1.4.7" </w:instrText>
      </w:r>
      <w:r>
        <w:rPr>
          <w:color w:val="auto"/>
          <w:highlight w:val="none"/>
        </w:rPr>
        <w:fldChar w:fldCharType="separate"/>
      </w:r>
      <w:r>
        <w:rPr>
          <w:rFonts w:ascii="Times New Roman" w:hAnsi="Times New Roman" w:eastAsia="Times New Roman" w:cs="Times New Roman"/>
          <w:color w:val="auto"/>
          <w:spacing w:val="-4"/>
          <w:position w:val="14"/>
          <w:sz w:val="21"/>
          <w:szCs w:val="21"/>
          <w:highlight w:val="none"/>
        </w:rPr>
        <w:t>1.1.4.7</w:t>
      </w:r>
      <w:r>
        <w:rPr>
          <w:rFonts w:ascii="Times New Roman" w:hAnsi="Times New Roman" w:eastAsia="Times New Roman" w:cs="Times New Roman"/>
          <w:color w:val="auto"/>
          <w:spacing w:val="-4"/>
          <w:position w:val="14"/>
          <w:sz w:val="21"/>
          <w:szCs w:val="21"/>
          <w:highlight w:val="none"/>
        </w:rPr>
        <w:fldChar w:fldCharType="end"/>
      </w:r>
      <w:r>
        <w:rPr>
          <w:rFonts w:ascii="Times New Roman" w:hAnsi="Times New Roman" w:eastAsia="Times New Roman" w:cs="Times New Roman"/>
          <w:color w:val="auto"/>
          <w:spacing w:val="54"/>
          <w:w w:val="101"/>
          <w:position w:val="14"/>
          <w:sz w:val="21"/>
          <w:szCs w:val="21"/>
          <w:highlight w:val="none"/>
        </w:rPr>
        <w:t xml:space="preserve"> </w:t>
      </w:r>
      <w:r>
        <w:rPr>
          <w:rFonts w:ascii="宋体" w:hAnsi="宋体" w:eastAsia="宋体" w:cs="宋体"/>
          <w:color w:val="auto"/>
          <w:spacing w:val="-4"/>
          <w:position w:val="14"/>
          <w:sz w:val="21"/>
          <w:szCs w:val="21"/>
          <w:highlight w:val="none"/>
        </w:rPr>
        <w:t>天： 除特别指明外，均指日历天。合同中按天计算时间的， 开始当天不计入，</w:t>
      </w:r>
    </w:p>
    <w:p w14:paraId="09D719CC">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从次日开始计算，期限最后一天的截止时间为当天</w:t>
      </w:r>
      <w:r>
        <w:rPr>
          <w:rFonts w:ascii="宋体" w:hAnsi="宋体" w:eastAsia="宋体" w:cs="宋体"/>
          <w:color w:val="auto"/>
          <w:spacing w:val="-46"/>
          <w:sz w:val="21"/>
          <w:szCs w:val="21"/>
          <w:highlight w:val="none"/>
        </w:rPr>
        <w:t xml:space="preserve"> </w:t>
      </w:r>
      <w:r>
        <w:rPr>
          <w:rFonts w:ascii="Times New Roman" w:hAnsi="Times New Roman" w:eastAsia="Times New Roman" w:cs="Times New Roman"/>
          <w:color w:val="auto"/>
          <w:spacing w:val="-1"/>
          <w:sz w:val="21"/>
          <w:szCs w:val="21"/>
          <w:highlight w:val="none"/>
        </w:rPr>
        <w:t xml:space="preserve">24:00 </w:t>
      </w:r>
      <w:r>
        <w:rPr>
          <w:rFonts w:ascii="宋体" w:hAnsi="宋体" w:eastAsia="宋体" w:cs="宋体"/>
          <w:color w:val="auto"/>
          <w:spacing w:val="-2"/>
          <w:sz w:val="21"/>
          <w:szCs w:val="21"/>
          <w:highlight w:val="none"/>
        </w:rPr>
        <w:t>时。</w:t>
      </w:r>
    </w:p>
    <w:p w14:paraId="496BEDE3">
      <w:pPr>
        <w:spacing w:before="148" w:line="219"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1.1.5 </w:t>
      </w:r>
      <w:r>
        <w:rPr>
          <w:rFonts w:ascii="宋体" w:hAnsi="宋体" w:eastAsia="宋体" w:cs="宋体"/>
          <w:color w:val="auto"/>
          <w:spacing w:val="-2"/>
          <w:sz w:val="21"/>
          <w:szCs w:val="21"/>
          <w:highlight w:val="none"/>
        </w:rPr>
        <w:t>合同价格和费用</w:t>
      </w:r>
    </w:p>
    <w:p w14:paraId="7D6A8E54">
      <w:pPr>
        <w:spacing w:before="154" w:line="398" w:lineRule="exact"/>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"1.1.5.1"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1.1.5.1</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5"/>
          <w:position w:val="14"/>
          <w:sz w:val="21"/>
          <w:szCs w:val="21"/>
          <w:highlight w:val="none"/>
        </w:rPr>
        <w:t xml:space="preserve"> </w:t>
      </w:r>
      <w:r>
        <w:rPr>
          <w:rFonts w:ascii="宋体" w:hAnsi="宋体" w:eastAsia="宋体" w:cs="宋体"/>
          <w:color w:val="auto"/>
          <w:spacing w:val="-1"/>
          <w:position w:val="14"/>
          <w:sz w:val="21"/>
          <w:szCs w:val="21"/>
          <w:highlight w:val="none"/>
        </w:rPr>
        <w:t>签约合同价：是指发包人和承包人在合同协议书中确定的总金额， 包括安全文</w:t>
      </w:r>
    </w:p>
    <w:p w14:paraId="5FD131F3">
      <w:pPr>
        <w:spacing w:before="1" w:line="219" w:lineRule="auto"/>
        <w:ind w:left="3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明施工费、暂估价及暂列金额等。</w:t>
      </w:r>
    </w:p>
    <w:p w14:paraId="2068557F">
      <w:pPr>
        <w:spacing w:before="149" w:line="403" w:lineRule="exact"/>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"1.1.5.2"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1.1.5.2</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5"/>
          <w:position w:val="14"/>
          <w:sz w:val="21"/>
          <w:szCs w:val="21"/>
          <w:highlight w:val="none"/>
        </w:rPr>
        <w:t xml:space="preserve"> </w:t>
      </w:r>
      <w:r>
        <w:rPr>
          <w:rFonts w:ascii="宋体" w:hAnsi="宋体" w:eastAsia="宋体" w:cs="宋体"/>
          <w:color w:val="auto"/>
          <w:spacing w:val="-1"/>
          <w:position w:val="14"/>
          <w:sz w:val="21"/>
          <w:szCs w:val="21"/>
          <w:highlight w:val="none"/>
        </w:rPr>
        <w:t>合同价格： 是指发包人用于支付承包人按照合同约定完成承包范围内全部工作</w:t>
      </w:r>
    </w:p>
    <w:p w14:paraId="34050068">
      <w:pPr>
        <w:spacing w:line="219" w:lineRule="auto"/>
        <w:ind w:left="3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的金额，包括合同履行过程中按合同约定发生的价格变化。</w:t>
      </w:r>
    </w:p>
    <w:p w14:paraId="306BCE6C">
      <w:pPr>
        <w:spacing w:before="150" w:line="398" w:lineRule="exact"/>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"1.1.5.3"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1.1.5.3</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57"/>
          <w:position w:val="14"/>
          <w:sz w:val="21"/>
          <w:szCs w:val="21"/>
          <w:highlight w:val="none"/>
        </w:rPr>
        <w:t xml:space="preserve"> </w:t>
      </w:r>
      <w:r>
        <w:rPr>
          <w:rFonts w:ascii="宋体" w:hAnsi="宋体" w:eastAsia="宋体" w:cs="宋体"/>
          <w:color w:val="auto"/>
          <w:spacing w:val="1"/>
          <w:position w:val="14"/>
          <w:sz w:val="21"/>
          <w:szCs w:val="21"/>
          <w:highlight w:val="none"/>
        </w:rPr>
        <w:t>费用：是指为履行合同所发生的或将要发生的所有必需的开支，包括管理费和</w:t>
      </w:r>
    </w:p>
    <w:p w14:paraId="0D188F4A">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应分摊的其他费用， 但不包括利润。</w:t>
      </w:r>
    </w:p>
    <w:p w14:paraId="7ECD992E">
      <w:pPr>
        <w:spacing w:before="152" w:line="399" w:lineRule="exact"/>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"1.1.5.4"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1.1.5.4</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57"/>
          <w:position w:val="14"/>
          <w:sz w:val="21"/>
          <w:szCs w:val="21"/>
          <w:highlight w:val="none"/>
        </w:rPr>
        <w:t xml:space="preserve"> </w:t>
      </w:r>
      <w:r>
        <w:rPr>
          <w:rFonts w:ascii="宋体" w:hAnsi="宋体" w:eastAsia="宋体" w:cs="宋体"/>
          <w:color w:val="auto"/>
          <w:spacing w:val="1"/>
          <w:position w:val="14"/>
          <w:sz w:val="21"/>
          <w:szCs w:val="21"/>
          <w:highlight w:val="none"/>
        </w:rPr>
        <w:t>暂估价：是指发包人在工程量清单或预算书中提供的用于支付必然发生但暂时</w:t>
      </w:r>
    </w:p>
    <w:p w14:paraId="12BC769E">
      <w:pPr>
        <w:spacing w:line="219"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不能确定价格的材料、工程设备的单价、专业工程以及服务工作的金额。</w:t>
      </w:r>
    </w:p>
    <w:p w14:paraId="143D9A10">
      <w:pPr>
        <w:spacing w:before="150" w:line="352" w:lineRule="auto"/>
        <w:ind w:left="21" w:firstLine="436"/>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"1.1.5.5" </w:instrText>
      </w:r>
      <w:r>
        <w:rPr>
          <w:color w:val="auto"/>
          <w:highlight w:val="none"/>
        </w:rPr>
        <w:fldChar w:fldCharType="separate"/>
      </w:r>
      <w:r>
        <w:rPr>
          <w:rFonts w:ascii="Times New Roman" w:hAnsi="Times New Roman" w:eastAsia="Times New Roman" w:cs="Times New Roman"/>
          <w:color w:val="auto"/>
          <w:spacing w:val="-2"/>
          <w:sz w:val="21"/>
          <w:szCs w:val="21"/>
          <w:highlight w:val="none"/>
        </w:rPr>
        <w:t>1.1.5.5</w:t>
      </w:r>
      <w:r>
        <w:rPr>
          <w:rFonts w:ascii="Times New Roman" w:hAnsi="Times New Roman" w:eastAsia="Times New Roman" w:cs="Times New Roman"/>
          <w:color w:val="auto"/>
          <w:spacing w:val="-2"/>
          <w:sz w:val="21"/>
          <w:szCs w:val="21"/>
          <w:highlight w:val="none"/>
        </w:rPr>
        <w:fldChar w:fldCharType="end"/>
      </w:r>
      <w:r>
        <w:rPr>
          <w:rFonts w:ascii="Times New Roman" w:hAnsi="Times New Roman" w:eastAsia="Times New Roman" w:cs="Times New Roman"/>
          <w:color w:val="auto"/>
          <w:spacing w:val="49"/>
          <w:w w:val="101"/>
          <w:sz w:val="21"/>
          <w:szCs w:val="21"/>
          <w:highlight w:val="none"/>
        </w:rPr>
        <w:t xml:space="preserve"> </w:t>
      </w:r>
      <w:r>
        <w:rPr>
          <w:rFonts w:ascii="宋体" w:hAnsi="宋体" w:eastAsia="宋体" w:cs="宋体"/>
          <w:color w:val="auto"/>
          <w:spacing w:val="-2"/>
          <w:sz w:val="21"/>
          <w:szCs w:val="21"/>
          <w:highlight w:val="none"/>
        </w:rPr>
        <w:t xml:space="preserve">暂列金额： 是指发包人在工程量清单或预算书中暂定并包括在合同价格中的一  </w:t>
      </w:r>
      <w:r>
        <w:rPr>
          <w:rFonts w:ascii="宋体" w:hAnsi="宋体" w:eastAsia="宋体" w:cs="宋体"/>
          <w:color w:val="auto"/>
          <w:spacing w:val="2"/>
          <w:sz w:val="21"/>
          <w:szCs w:val="21"/>
          <w:highlight w:val="none"/>
        </w:rPr>
        <w:t>笔款项，用于工程合同签订时尚未确定或者不可预</w:t>
      </w:r>
      <w:r>
        <w:rPr>
          <w:rFonts w:ascii="宋体" w:hAnsi="宋体" w:eastAsia="宋体" w:cs="宋体"/>
          <w:color w:val="auto"/>
          <w:spacing w:val="1"/>
          <w:sz w:val="21"/>
          <w:szCs w:val="21"/>
          <w:highlight w:val="none"/>
        </w:rPr>
        <w:t>见的所需材料、工程设备、服务的采购，</w:t>
      </w:r>
    </w:p>
    <w:p w14:paraId="1CBE592C">
      <w:pPr>
        <w:spacing w:line="219" w:lineRule="auto"/>
        <w:ind w:left="1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施工中可能发生的工程变更、合同约定调整因素出现时的合同价</w:t>
      </w:r>
      <w:r>
        <w:rPr>
          <w:rFonts w:ascii="宋体" w:hAnsi="宋体" w:eastAsia="宋体" w:cs="宋体"/>
          <w:color w:val="auto"/>
          <w:spacing w:val="2"/>
          <w:sz w:val="21"/>
          <w:szCs w:val="21"/>
          <w:highlight w:val="none"/>
        </w:rPr>
        <w:t>格调整以及发生的索赔、</w:t>
      </w:r>
    </w:p>
    <w:p w14:paraId="47A2EF7E">
      <w:pPr>
        <w:spacing w:before="149" w:line="221"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现场签证确认等的费用。</w:t>
      </w:r>
    </w:p>
    <w:p w14:paraId="05DC93EB">
      <w:pPr>
        <w:spacing w:before="153" w:line="398" w:lineRule="exact"/>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"1.1.5.6" </w:instrText>
      </w:r>
      <w:r>
        <w:rPr>
          <w:color w:val="auto"/>
          <w:highlight w:val="none"/>
        </w:rPr>
        <w:fldChar w:fldCharType="separate"/>
      </w:r>
      <w:r>
        <w:rPr>
          <w:rFonts w:ascii="Times New Roman" w:hAnsi="Times New Roman" w:eastAsia="Times New Roman" w:cs="Times New Roman"/>
          <w:color w:val="auto"/>
          <w:spacing w:val="2"/>
          <w:position w:val="14"/>
          <w:sz w:val="21"/>
          <w:szCs w:val="21"/>
          <w:highlight w:val="none"/>
        </w:rPr>
        <w:t>1.1.5.6</w:t>
      </w:r>
      <w:r>
        <w:rPr>
          <w:rFonts w:ascii="Times New Roman" w:hAnsi="Times New Roman" w:eastAsia="Times New Roman" w:cs="Times New Roman"/>
          <w:color w:val="auto"/>
          <w:spacing w:val="2"/>
          <w:position w:val="14"/>
          <w:sz w:val="21"/>
          <w:szCs w:val="21"/>
          <w:highlight w:val="none"/>
        </w:rPr>
        <w:fldChar w:fldCharType="end"/>
      </w:r>
      <w:r>
        <w:rPr>
          <w:rFonts w:ascii="Times New Roman" w:hAnsi="Times New Roman" w:eastAsia="Times New Roman" w:cs="Times New Roman"/>
          <w:color w:val="auto"/>
          <w:spacing w:val="33"/>
          <w:position w:val="14"/>
          <w:sz w:val="21"/>
          <w:szCs w:val="21"/>
          <w:highlight w:val="none"/>
        </w:rPr>
        <w:t xml:space="preserve"> </w:t>
      </w:r>
      <w:r>
        <w:rPr>
          <w:rFonts w:ascii="宋体" w:hAnsi="宋体" w:eastAsia="宋体" w:cs="宋体"/>
          <w:color w:val="auto"/>
          <w:spacing w:val="2"/>
          <w:position w:val="14"/>
          <w:sz w:val="21"/>
          <w:szCs w:val="21"/>
          <w:highlight w:val="none"/>
        </w:rPr>
        <w:t>计日工：是指合同履行过程中，承包人</w:t>
      </w:r>
      <w:r>
        <w:rPr>
          <w:rFonts w:ascii="宋体" w:hAnsi="宋体" w:eastAsia="宋体" w:cs="宋体"/>
          <w:color w:val="auto"/>
          <w:spacing w:val="1"/>
          <w:position w:val="14"/>
          <w:sz w:val="21"/>
          <w:szCs w:val="21"/>
          <w:highlight w:val="none"/>
        </w:rPr>
        <w:t>完成发包人提出的零星工作或需要采用</w:t>
      </w:r>
    </w:p>
    <w:p w14:paraId="1E7A3915">
      <w:pPr>
        <w:spacing w:line="219"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rPr>
        <w:t>计日工计价的变更工作时，按合同中约定的单价计价的</w:t>
      </w:r>
      <w:r>
        <w:rPr>
          <w:rFonts w:ascii="宋体" w:hAnsi="宋体" w:eastAsia="宋体" w:cs="宋体"/>
          <w:color w:val="auto"/>
          <w:spacing w:val="-1"/>
          <w:sz w:val="21"/>
          <w:szCs w:val="21"/>
          <w:highlight w:val="none"/>
        </w:rPr>
        <w:t>一种方式。</w:t>
      </w:r>
    </w:p>
    <w:p w14:paraId="04094670">
      <w:pPr>
        <w:spacing w:before="149" w:line="403" w:lineRule="exact"/>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"1.1.5.7"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1.1.5.7</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3"/>
          <w:w w:val="101"/>
          <w:position w:val="14"/>
          <w:sz w:val="21"/>
          <w:szCs w:val="21"/>
          <w:highlight w:val="none"/>
        </w:rPr>
        <w:t xml:space="preserve"> </w:t>
      </w:r>
      <w:r>
        <w:rPr>
          <w:rFonts w:ascii="宋体" w:hAnsi="宋体" w:eastAsia="宋体" w:cs="宋体"/>
          <w:color w:val="auto"/>
          <w:spacing w:val="-1"/>
          <w:position w:val="14"/>
          <w:sz w:val="21"/>
          <w:szCs w:val="21"/>
          <w:highlight w:val="none"/>
        </w:rPr>
        <w:t xml:space="preserve">质量保证金：是指按照第 </w:t>
      </w:r>
      <w:r>
        <w:rPr>
          <w:rFonts w:ascii="Times New Roman" w:hAnsi="Times New Roman" w:eastAsia="Times New Roman" w:cs="Times New Roman"/>
          <w:color w:val="auto"/>
          <w:spacing w:val="-1"/>
          <w:position w:val="14"/>
          <w:sz w:val="21"/>
          <w:szCs w:val="21"/>
          <w:highlight w:val="none"/>
        </w:rPr>
        <w:t>15.3</w:t>
      </w:r>
      <w:r>
        <w:rPr>
          <w:rFonts w:ascii="Times New Roman" w:hAnsi="Times New Roman" w:eastAsia="Times New Roman" w:cs="Times New Roman"/>
          <w:color w:val="auto"/>
          <w:spacing w:val="24"/>
          <w:w w:val="101"/>
          <w:position w:val="14"/>
          <w:sz w:val="21"/>
          <w:szCs w:val="21"/>
          <w:highlight w:val="none"/>
        </w:rPr>
        <w:t xml:space="preserve"> </w:t>
      </w:r>
      <w:r>
        <w:rPr>
          <w:rFonts w:ascii="宋体" w:hAnsi="宋体" w:eastAsia="宋体" w:cs="宋体"/>
          <w:color w:val="auto"/>
          <w:spacing w:val="-1"/>
          <w:position w:val="14"/>
          <w:sz w:val="21"/>
          <w:szCs w:val="21"/>
          <w:highlight w:val="none"/>
        </w:rPr>
        <w:t>款〔质量保</w:t>
      </w:r>
      <w:r>
        <w:rPr>
          <w:rFonts w:ascii="宋体" w:hAnsi="宋体" w:eastAsia="宋体" w:cs="宋体"/>
          <w:color w:val="auto"/>
          <w:spacing w:val="-2"/>
          <w:position w:val="14"/>
          <w:sz w:val="21"/>
          <w:szCs w:val="21"/>
          <w:highlight w:val="none"/>
        </w:rPr>
        <w:t>证金〕约定承包人用于保证其在缺陷</w:t>
      </w:r>
    </w:p>
    <w:p w14:paraId="2749CAD2">
      <w:pPr>
        <w:spacing w:before="1" w:line="220" w:lineRule="auto"/>
        <w:ind w:left="2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责任期内履行缺陷修补义务的担保。</w:t>
      </w:r>
    </w:p>
    <w:p w14:paraId="13FA8B36">
      <w:pPr>
        <w:spacing w:before="148" w:line="399" w:lineRule="exact"/>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"1.1.5.8" </w:instrText>
      </w:r>
      <w:r>
        <w:rPr>
          <w:color w:val="auto"/>
          <w:highlight w:val="none"/>
        </w:rPr>
        <w:fldChar w:fldCharType="separate"/>
      </w:r>
      <w:r>
        <w:rPr>
          <w:rFonts w:ascii="Times New Roman" w:hAnsi="Times New Roman" w:eastAsia="Times New Roman" w:cs="Times New Roman"/>
          <w:color w:val="auto"/>
          <w:spacing w:val="-1"/>
          <w:position w:val="14"/>
          <w:sz w:val="21"/>
          <w:szCs w:val="21"/>
          <w:highlight w:val="none"/>
        </w:rPr>
        <w:t>1.1.5.8</w:t>
      </w:r>
      <w:r>
        <w:rPr>
          <w:rFonts w:ascii="Times New Roman" w:hAnsi="Times New Roman" w:eastAsia="Times New Roman" w:cs="Times New Roman"/>
          <w:color w:val="auto"/>
          <w:spacing w:val="-1"/>
          <w:position w:val="14"/>
          <w:sz w:val="21"/>
          <w:szCs w:val="21"/>
          <w:highlight w:val="none"/>
        </w:rPr>
        <w:fldChar w:fldCharType="end"/>
      </w:r>
      <w:r>
        <w:rPr>
          <w:rFonts w:ascii="Times New Roman" w:hAnsi="Times New Roman" w:eastAsia="Times New Roman" w:cs="Times New Roman"/>
          <w:color w:val="auto"/>
          <w:spacing w:val="38"/>
          <w:w w:val="101"/>
          <w:position w:val="14"/>
          <w:sz w:val="21"/>
          <w:szCs w:val="21"/>
          <w:highlight w:val="none"/>
        </w:rPr>
        <w:t xml:space="preserve"> </w:t>
      </w:r>
      <w:r>
        <w:rPr>
          <w:rFonts w:ascii="宋体" w:hAnsi="宋体" w:eastAsia="宋体" w:cs="宋体"/>
          <w:color w:val="auto"/>
          <w:spacing w:val="-1"/>
          <w:position w:val="14"/>
          <w:sz w:val="21"/>
          <w:szCs w:val="21"/>
          <w:highlight w:val="none"/>
        </w:rPr>
        <w:t>总价项目： 是指在现行国家、行业以及地方的计量规则中</w:t>
      </w:r>
      <w:r>
        <w:rPr>
          <w:rFonts w:ascii="宋体" w:hAnsi="宋体" w:eastAsia="宋体" w:cs="宋体"/>
          <w:color w:val="auto"/>
          <w:spacing w:val="-2"/>
          <w:position w:val="14"/>
          <w:sz w:val="21"/>
          <w:szCs w:val="21"/>
          <w:highlight w:val="none"/>
        </w:rPr>
        <w:t>无工程量计算规则，</w:t>
      </w:r>
    </w:p>
    <w:p w14:paraId="46459F48">
      <w:pPr>
        <w:spacing w:line="219" w:lineRule="auto"/>
        <w:ind w:left="17"/>
        <w:rPr>
          <w:rFonts w:ascii="宋体" w:hAnsi="宋体" w:eastAsia="宋体" w:cs="宋体"/>
          <w:color w:val="auto"/>
          <w:sz w:val="21"/>
          <w:szCs w:val="21"/>
          <w:highlight w:val="none"/>
        </w:rPr>
      </w:pPr>
      <w:r>
        <w:rPr>
          <w:rFonts w:ascii="宋体" w:hAnsi="宋体" w:eastAsia="宋体" w:cs="宋体"/>
          <w:color w:val="auto"/>
          <w:sz w:val="21"/>
          <w:szCs w:val="21"/>
          <w:highlight w:val="none"/>
        </w:rPr>
        <w:t>在已标价工程量清单或预算书中以总价或以费率形式计算</w:t>
      </w:r>
      <w:r>
        <w:rPr>
          <w:rFonts w:ascii="宋体" w:hAnsi="宋体" w:eastAsia="宋体" w:cs="宋体"/>
          <w:color w:val="auto"/>
          <w:spacing w:val="-1"/>
          <w:sz w:val="21"/>
          <w:szCs w:val="21"/>
          <w:highlight w:val="none"/>
        </w:rPr>
        <w:t>的项目。</w:t>
      </w:r>
    </w:p>
    <w:p w14:paraId="63DBD3ED">
      <w:pPr>
        <w:spacing w:before="154"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1.1.6</w:t>
      </w:r>
      <w:r>
        <w:rPr>
          <w:rFonts w:ascii="Times New Roman" w:hAnsi="Times New Roman" w:eastAsia="Times New Roman" w:cs="Times New Roman"/>
          <w:color w:val="auto"/>
          <w:spacing w:val="10"/>
          <w:sz w:val="21"/>
          <w:szCs w:val="21"/>
          <w:highlight w:val="none"/>
        </w:rPr>
        <w:t xml:space="preserve"> </w:t>
      </w:r>
      <w:r>
        <w:rPr>
          <w:rFonts w:ascii="宋体" w:hAnsi="宋体" w:eastAsia="宋体" w:cs="宋体"/>
          <w:color w:val="auto"/>
          <w:spacing w:val="-4"/>
          <w:sz w:val="21"/>
          <w:szCs w:val="21"/>
          <w:highlight w:val="none"/>
        </w:rPr>
        <w:t>其他</w:t>
      </w:r>
    </w:p>
    <w:p w14:paraId="358B930F">
      <w:pPr>
        <w:spacing w:before="147" w:line="220" w:lineRule="auto"/>
        <w:ind w:left="45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"1.1.6.1" </w:instrText>
      </w:r>
      <w:r>
        <w:rPr>
          <w:color w:val="auto"/>
          <w:highlight w:val="none"/>
        </w:rPr>
        <w:fldChar w:fldCharType="separate"/>
      </w:r>
      <w:r>
        <w:rPr>
          <w:rFonts w:ascii="Times New Roman" w:hAnsi="Times New Roman" w:eastAsia="Times New Roman" w:cs="Times New Roman"/>
          <w:color w:val="auto"/>
          <w:spacing w:val="-1"/>
          <w:sz w:val="21"/>
          <w:szCs w:val="21"/>
          <w:highlight w:val="none"/>
        </w:rPr>
        <w:t>1.1.6.1</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37"/>
          <w:sz w:val="21"/>
          <w:szCs w:val="21"/>
          <w:highlight w:val="none"/>
        </w:rPr>
        <w:t xml:space="preserve"> </w:t>
      </w:r>
      <w:r>
        <w:rPr>
          <w:rFonts w:ascii="宋体" w:hAnsi="宋体" w:eastAsia="宋体" w:cs="宋体"/>
          <w:color w:val="auto"/>
          <w:spacing w:val="-1"/>
          <w:sz w:val="21"/>
          <w:szCs w:val="21"/>
          <w:highlight w:val="none"/>
        </w:rPr>
        <w:t>书面形式： 是指合同文件、信函、电报、传真等可以有形地表现所载内容</w:t>
      </w:r>
      <w:r>
        <w:rPr>
          <w:rFonts w:ascii="宋体" w:hAnsi="宋体" w:eastAsia="宋体" w:cs="宋体"/>
          <w:color w:val="auto"/>
          <w:spacing w:val="-2"/>
          <w:sz w:val="21"/>
          <w:szCs w:val="21"/>
          <w:highlight w:val="none"/>
        </w:rPr>
        <w:t>的形</w:t>
      </w:r>
    </w:p>
    <w:p w14:paraId="6EFCD8B3">
      <w:pPr>
        <w:spacing w:before="148" w:line="222" w:lineRule="auto"/>
        <w:ind w:left="22"/>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式。</w:t>
      </w:r>
    </w:p>
    <w:p w14:paraId="1267BD93">
      <w:pPr>
        <w:spacing w:before="49" w:line="219" w:lineRule="auto"/>
        <w:ind w:left="31"/>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1.2</w:t>
      </w:r>
      <w:r>
        <w:rPr>
          <w:rFonts w:ascii="黑体" w:hAnsi="黑体" w:eastAsia="黑体" w:cs="黑体"/>
          <w:color w:val="auto"/>
          <w:spacing w:val="-54"/>
          <w:sz w:val="24"/>
          <w:szCs w:val="24"/>
          <w:highlight w:val="none"/>
        </w:rPr>
        <w:t xml:space="preserve"> </w:t>
      </w:r>
      <w:r>
        <w:rPr>
          <w:rFonts w:ascii="黑体" w:hAnsi="黑体" w:eastAsia="黑体" w:cs="黑体"/>
          <w:color w:val="auto"/>
          <w:spacing w:val="-4"/>
          <w:sz w:val="24"/>
          <w:szCs w:val="24"/>
          <w:highlight w:val="none"/>
        </w:rPr>
        <w:t>语言文字</w:t>
      </w:r>
    </w:p>
    <w:p w14:paraId="0115C1D2">
      <w:pPr>
        <w:spacing w:before="129" w:line="220" w:lineRule="auto"/>
        <w:ind w:left="44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合同以中国的汉语简体文字编写、解释和说明。合同当事人在专用合同条款中约定使</w:t>
      </w:r>
    </w:p>
    <w:p w14:paraId="6337F139">
      <w:pPr>
        <w:spacing w:before="148" w:line="221" w:lineRule="auto"/>
        <w:ind w:left="20"/>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用两种以上语言时， 汉语为优先解释和说明合同的语言。</w:t>
      </w:r>
    </w:p>
    <w:p w14:paraId="60C0A8BC">
      <w:pPr>
        <w:spacing w:before="45" w:line="220" w:lineRule="auto"/>
        <w:ind w:left="31"/>
        <w:rPr>
          <w:rFonts w:ascii="黑体" w:hAnsi="黑体" w:eastAsia="黑体" w:cs="黑体"/>
          <w:color w:val="auto"/>
          <w:sz w:val="24"/>
          <w:szCs w:val="24"/>
          <w:highlight w:val="none"/>
        </w:rPr>
      </w:pPr>
      <w:r>
        <w:rPr>
          <w:rFonts w:ascii="黑体" w:hAnsi="黑体" w:eastAsia="黑体" w:cs="黑体"/>
          <w:color w:val="auto"/>
          <w:spacing w:val="-6"/>
          <w:sz w:val="24"/>
          <w:szCs w:val="24"/>
          <w:highlight w:val="none"/>
        </w:rPr>
        <w:t>1.3</w:t>
      </w:r>
      <w:r>
        <w:rPr>
          <w:rFonts w:ascii="黑体" w:hAnsi="黑体" w:eastAsia="黑体" w:cs="黑体"/>
          <w:color w:val="auto"/>
          <w:spacing w:val="-49"/>
          <w:sz w:val="24"/>
          <w:szCs w:val="24"/>
          <w:highlight w:val="none"/>
        </w:rPr>
        <w:t xml:space="preserve"> </w:t>
      </w:r>
      <w:r>
        <w:rPr>
          <w:rFonts w:ascii="黑体" w:hAnsi="黑体" w:eastAsia="黑体" w:cs="黑体"/>
          <w:color w:val="auto"/>
          <w:spacing w:val="-6"/>
          <w:sz w:val="24"/>
          <w:szCs w:val="24"/>
          <w:highlight w:val="none"/>
        </w:rPr>
        <w:t>法律</w:t>
      </w:r>
    </w:p>
    <w:p w14:paraId="3A2F481F">
      <w:pPr>
        <w:spacing w:before="128" w:line="399" w:lineRule="exact"/>
        <w:ind w:left="442"/>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合同所称法律是指中华人民共和国法律、行政法规、部门规章， 以及工程所在地的地</w:t>
      </w:r>
    </w:p>
    <w:p w14:paraId="05991978">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方性法规、自治条例、单行条例和地方政府规章等。</w:t>
      </w:r>
    </w:p>
    <w:p w14:paraId="24CD3BD5">
      <w:pPr>
        <w:spacing w:line="219" w:lineRule="auto"/>
        <w:rPr>
          <w:rFonts w:ascii="宋体" w:hAnsi="宋体" w:eastAsia="宋体" w:cs="宋体"/>
          <w:color w:val="auto"/>
          <w:sz w:val="21"/>
          <w:szCs w:val="21"/>
          <w:highlight w:val="none"/>
        </w:rPr>
        <w:sectPr>
          <w:footerReference r:id="rId104" w:type="default"/>
          <w:pgSz w:w="11905" w:h="16839"/>
          <w:pgMar w:top="1431" w:right="1632" w:bottom="1004" w:left="1785" w:header="0" w:footer="828" w:gutter="0"/>
          <w:pgNumType w:fmt="decimal"/>
          <w:cols w:space="720" w:num="1"/>
        </w:sectPr>
      </w:pPr>
    </w:p>
    <w:p w14:paraId="678DB8DE">
      <w:pPr>
        <w:spacing w:before="148" w:line="221"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合同当事人可以在专用合同条款中约定合同适用的其他规范性文件。</w:t>
      </w:r>
    </w:p>
    <w:p w14:paraId="5554911D">
      <w:pPr>
        <w:spacing w:before="46" w:line="220"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1.4 标准和规范</w:t>
      </w:r>
    </w:p>
    <w:p w14:paraId="013BFD0C">
      <w:pPr>
        <w:spacing w:before="127" w:line="404" w:lineRule="exact"/>
        <w:jc w:val="right"/>
        <w:rPr>
          <w:rFonts w:ascii="宋体" w:hAnsi="宋体" w:eastAsia="宋体" w:cs="宋体"/>
          <w:color w:val="auto"/>
          <w:sz w:val="21"/>
          <w:szCs w:val="21"/>
          <w:highlight w:val="none"/>
        </w:rPr>
      </w:pPr>
      <w:r>
        <w:rPr>
          <w:rFonts w:ascii="Times New Roman" w:hAnsi="Times New Roman" w:eastAsia="Times New Roman" w:cs="Times New Roman"/>
          <w:color w:val="auto"/>
          <w:position w:val="14"/>
          <w:sz w:val="21"/>
          <w:szCs w:val="21"/>
          <w:highlight w:val="none"/>
        </w:rPr>
        <w:t>1.4.1</w:t>
      </w:r>
      <w:r>
        <w:rPr>
          <w:rFonts w:ascii="Times New Roman" w:hAnsi="Times New Roman" w:eastAsia="Times New Roman" w:cs="Times New Roman"/>
          <w:color w:val="auto"/>
          <w:spacing w:val="32"/>
          <w:w w:val="101"/>
          <w:position w:val="14"/>
          <w:sz w:val="21"/>
          <w:szCs w:val="21"/>
          <w:highlight w:val="none"/>
        </w:rPr>
        <w:t xml:space="preserve"> </w:t>
      </w:r>
      <w:r>
        <w:rPr>
          <w:rFonts w:ascii="宋体" w:hAnsi="宋体" w:eastAsia="宋体" w:cs="宋体"/>
          <w:color w:val="auto"/>
          <w:position w:val="14"/>
          <w:sz w:val="21"/>
          <w:szCs w:val="21"/>
          <w:highlight w:val="none"/>
        </w:rPr>
        <w:t>适用于工程的国家标准、行业标准、</w:t>
      </w:r>
      <w:r>
        <w:rPr>
          <w:rFonts w:ascii="宋体" w:hAnsi="宋体" w:eastAsia="宋体" w:cs="宋体"/>
          <w:color w:val="auto"/>
          <w:spacing w:val="-1"/>
          <w:position w:val="14"/>
          <w:sz w:val="21"/>
          <w:szCs w:val="21"/>
          <w:highlight w:val="none"/>
        </w:rPr>
        <w:t>工程所在地的地方性标准，以及相应的规范、</w:t>
      </w:r>
    </w:p>
    <w:p w14:paraId="5185C871">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规程等，合同当事人有特别要求的，应在专用合同条款中</w:t>
      </w:r>
      <w:r>
        <w:rPr>
          <w:rFonts w:ascii="宋体" w:hAnsi="宋体" w:eastAsia="宋体" w:cs="宋体"/>
          <w:color w:val="auto"/>
          <w:spacing w:val="-2"/>
          <w:sz w:val="21"/>
          <w:szCs w:val="21"/>
          <w:highlight w:val="none"/>
        </w:rPr>
        <w:t>约定。</w:t>
      </w:r>
    </w:p>
    <w:p w14:paraId="656F6D1D">
      <w:pPr>
        <w:spacing w:before="147" w:line="398" w:lineRule="exact"/>
        <w:ind w:left="457"/>
        <w:rPr>
          <w:rFonts w:ascii="宋体" w:hAnsi="宋体" w:eastAsia="宋体" w:cs="宋体"/>
          <w:color w:val="auto"/>
          <w:sz w:val="21"/>
          <w:szCs w:val="21"/>
          <w:highlight w:val="none"/>
        </w:rPr>
      </w:pPr>
      <w:r>
        <w:rPr>
          <w:rFonts w:ascii="Times New Roman" w:hAnsi="Times New Roman" w:eastAsia="Times New Roman" w:cs="Times New Roman"/>
          <w:color w:val="auto"/>
          <w:position w:val="14"/>
          <w:sz w:val="21"/>
          <w:szCs w:val="21"/>
          <w:highlight w:val="none"/>
        </w:rPr>
        <w:t>1.4.2</w:t>
      </w:r>
      <w:r>
        <w:rPr>
          <w:rFonts w:ascii="Times New Roman" w:hAnsi="Times New Roman" w:eastAsia="Times New Roman" w:cs="Times New Roman"/>
          <w:color w:val="auto"/>
          <w:spacing w:val="42"/>
          <w:w w:val="101"/>
          <w:position w:val="14"/>
          <w:sz w:val="21"/>
          <w:szCs w:val="21"/>
          <w:highlight w:val="none"/>
        </w:rPr>
        <w:t xml:space="preserve"> </w:t>
      </w:r>
      <w:r>
        <w:rPr>
          <w:rFonts w:ascii="宋体" w:hAnsi="宋体" w:eastAsia="宋体" w:cs="宋体"/>
          <w:color w:val="auto"/>
          <w:position w:val="14"/>
          <w:sz w:val="21"/>
          <w:szCs w:val="21"/>
          <w:highlight w:val="none"/>
        </w:rPr>
        <w:t>发包人要求使用国外标准、规范的，发包人负责提供原文版本和中文译本，并在</w:t>
      </w:r>
    </w:p>
    <w:p w14:paraId="21A3A8B8">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专用合同条款中约定提供标准规范的名称、份数和时间。</w:t>
      </w:r>
    </w:p>
    <w:p w14:paraId="401A976C">
      <w:pPr>
        <w:spacing w:before="153"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1.4.3</w:t>
      </w:r>
      <w:r>
        <w:rPr>
          <w:rFonts w:ascii="Times New Roman" w:hAnsi="Times New Roman" w:eastAsia="Times New Roman" w:cs="Times New Roman"/>
          <w:color w:val="auto"/>
          <w:spacing w:val="35"/>
          <w:w w:val="101"/>
          <w:sz w:val="21"/>
          <w:szCs w:val="21"/>
          <w:highlight w:val="none"/>
        </w:rPr>
        <w:t xml:space="preserve"> </w:t>
      </w:r>
      <w:r>
        <w:rPr>
          <w:rFonts w:ascii="宋体" w:hAnsi="宋体" w:eastAsia="宋体" w:cs="宋体"/>
          <w:color w:val="auto"/>
          <w:spacing w:val="-1"/>
          <w:sz w:val="21"/>
          <w:szCs w:val="21"/>
          <w:highlight w:val="none"/>
        </w:rPr>
        <w:t>发包人对工程的技术标准、功能要求高于或严于现行国家、行业或地方标准的，</w:t>
      </w:r>
    </w:p>
    <w:p w14:paraId="567C69ED">
      <w:pPr>
        <w:spacing w:before="147" w:line="274" w:lineRule="auto"/>
        <w:ind w:left="21" w:right="2" w:hanging="3"/>
        <w:rPr>
          <w:rFonts w:ascii="黑体" w:hAnsi="黑体" w:eastAsia="黑体" w:cs="黑体"/>
          <w:color w:val="auto"/>
          <w:sz w:val="24"/>
          <w:szCs w:val="24"/>
          <w:highlight w:val="none"/>
        </w:rPr>
      </w:pPr>
      <w:r>
        <w:rPr>
          <w:rFonts w:ascii="宋体" w:hAnsi="宋体" w:eastAsia="宋体" w:cs="宋体"/>
          <w:color w:val="auto"/>
          <w:spacing w:val="3"/>
          <w:sz w:val="21"/>
          <w:szCs w:val="21"/>
          <w:highlight w:val="none"/>
        </w:rPr>
        <w:t>应当在专用合同条款中予以明确。除专用合</w:t>
      </w:r>
      <w:r>
        <w:rPr>
          <w:rFonts w:ascii="宋体" w:hAnsi="宋体" w:eastAsia="宋体" w:cs="宋体"/>
          <w:color w:val="auto"/>
          <w:spacing w:val="2"/>
          <w:sz w:val="21"/>
          <w:szCs w:val="21"/>
          <w:highlight w:val="none"/>
        </w:rPr>
        <w:t>同条款另有约定外，应视为承包人在签订合同  前已充分预见前述技术标准和功能要求的复杂程度，签约合同价中已包含由此产生的费</w:t>
      </w:r>
      <w:r>
        <w:rPr>
          <w:rFonts w:ascii="宋体" w:hAnsi="宋体" w:eastAsia="宋体" w:cs="宋体"/>
          <w:color w:val="auto"/>
          <w:spacing w:val="1"/>
          <w:sz w:val="21"/>
          <w:szCs w:val="21"/>
          <w:highlight w:val="none"/>
        </w:rPr>
        <w:t>用。</w:t>
      </w:r>
      <w:r>
        <w:rPr>
          <w:rFonts w:ascii="宋体" w:hAnsi="宋体" w:eastAsia="宋体" w:cs="宋体"/>
          <w:color w:val="auto"/>
          <w:sz w:val="21"/>
          <w:szCs w:val="21"/>
          <w:highlight w:val="none"/>
        </w:rPr>
        <w:t xml:space="preserve"> </w:t>
      </w:r>
      <w:r>
        <w:rPr>
          <w:rFonts w:ascii="黑体" w:hAnsi="黑体" w:eastAsia="黑体" w:cs="黑体"/>
          <w:color w:val="auto"/>
          <w:spacing w:val="-1"/>
          <w:sz w:val="24"/>
          <w:szCs w:val="24"/>
          <w:highlight w:val="none"/>
        </w:rPr>
        <w:t>1.5 合同文件的优先顺序</w:t>
      </w:r>
    </w:p>
    <w:p w14:paraId="635ADD14">
      <w:pPr>
        <w:spacing w:before="129" w:line="221" w:lineRule="auto"/>
        <w:ind w:left="443"/>
        <w:rPr>
          <w:rFonts w:ascii="宋体" w:hAnsi="宋体" w:eastAsia="宋体" w:cs="宋体"/>
          <w:color w:val="auto"/>
          <w:sz w:val="21"/>
          <w:szCs w:val="21"/>
          <w:highlight w:val="none"/>
        </w:rPr>
      </w:pPr>
      <w:r>
        <w:rPr>
          <w:rFonts w:ascii="宋体" w:hAnsi="宋体" w:eastAsia="宋体" w:cs="宋体"/>
          <w:color w:val="auto"/>
          <w:sz w:val="21"/>
          <w:szCs w:val="21"/>
          <w:highlight w:val="none"/>
        </w:rPr>
        <w:t>组成合同的各项文件应互相解释，互为说明。除专用合同条款另有约定外， 解释合同</w:t>
      </w:r>
    </w:p>
    <w:p w14:paraId="1D2D2499">
      <w:pPr>
        <w:spacing w:before="152" w:line="221"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文件的优先顺序如下：</w:t>
      </w:r>
    </w:p>
    <w:p w14:paraId="5E6F3795">
      <w:pPr>
        <w:spacing w:before="148" w:line="220" w:lineRule="auto"/>
        <w:ind w:left="447"/>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1</w:t>
      </w:r>
      <w:r>
        <w:rPr>
          <w:rFonts w:ascii="宋体" w:hAnsi="宋体" w:eastAsia="宋体" w:cs="宋体"/>
          <w:color w:val="auto"/>
          <w:spacing w:val="-6"/>
          <w:sz w:val="21"/>
          <w:szCs w:val="21"/>
          <w:highlight w:val="none"/>
        </w:rPr>
        <w:t>）合同协议书；</w:t>
      </w:r>
    </w:p>
    <w:p w14:paraId="5F360AB6">
      <w:pPr>
        <w:spacing w:before="148" w:line="220" w:lineRule="auto"/>
        <w:ind w:left="447"/>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w:t>
      </w:r>
      <w:r>
        <w:rPr>
          <w:rFonts w:ascii="Times New Roman" w:hAnsi="Times New Roman" w:eastAsia="Times New Roman" w:cs="Times New Roman"/>
          <w:color w:val="auto"/>
          <w:spacing w:val="-8"/>
          <w:sz w:val="21"/>
          <w:szCs w:val="21"/>
          <w:highlight w:val="none"/>
        </w:rPr>
        <w:t>2</w:t>
      </w:r>
      <w:r>
        <w:rPr>
          <w:rFonts w:ascii="宋体" w:hAnsi="宋体" w:eastAsia="宋体" w:cs="宋体"/>
          <w:color w:val="auto"/>
          <w:spacing w:val="-8"/>
          <w:sz w:val="21"/>
          <w:szCs w:val="21"/>
          <w:highlight w:val="none"/>
        </w:rPr>
        <w:t>）中标通知书（如果有</w:t>
      </w:r>
      <w:r>
        <w:rPr>
          <w:rFonts w:ascii="宋体" w:hAnsi="宋体" w:eastAsia="宋体" w:cs="宋体"/>
          <w:color w:val="auto"/>
          <w:spacing w:val="-17"/>
          <w:sz w:val="21"/>
          <w:szCs w:val="21"/>
          <w:highlight w:val="none"/>
        </w:rPr>
        <w:t>）；</w:t>
      </w:r>
    </w:p>
    <w:p w14:paraId="74504D40">
      <w:pPr>
        <w:spacing w:before="153" w:line="399" w:lineRule="exact"/>
        <w:ind w:left="447"/>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3</w:t>
      </w:r>
      <w:r>
        <w:rPr>
          <w:rFonts w:ascii="宋体" w:hAnsi="宋体" w:eastAsia="宋体" w:cs="宋体"/>
          <w:color w:val="auto"/>
          <w:spacing w:val="-2"/>
          <w:position w:val="14"/>
          <w:sz w:val="21"/>
          <w:szCs w:val="21"/>
          <w:highlight w:val="none"/>
        </w:rPr>
        <w:t>）投标函及其附录（如果有</w:t>
      </w:r>
      <w:r>
        <w:rPr>
          <w:rFonts w:ascii="宋体" w:hAnsi="宋体" w:eastAsia="宋体" w:cs="宋体"/>
          <w:color w:val="auto"/>
          <w:spacing w:val="-53"/>
          <w:position w:val="14"/>
          <w:sz w:val="21"/>
          <w:szCs w:val="21"/>
          <w:highlight w:val="none"/>
        </w:rPr>
        <w:t>）；</w:t>
      </w:r>
    </w:p>
    <w:p w14:paraId="67E431B7">
      <w:pPr>
        <w:spacing w:before="1" w:line="219"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4</w:t>
      </w:r>
      <w:r>
        <w:rPr>
          <w:rFonts w:ascii="宋体" w:hAnsi="宋体" w:eastAsia="宋体" w:cs="宋体"/>
          <w:color w:val="auto"/>
          <w:spacing w:val="-4"/>
          <w:sz w:val="21"/>
          <w:szCs w:val="21"/>
          <w:highlight w:val="none"/>
        </w:rPr>
        <w:t>）专用合同条款及其附件；</w:t>
      </w:r>
    </w:p>
    <w:p w14:paraId="2638FF10">
      <w:pPr>
        <w:spacing w:before="148" w:line="221"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5</w:t>
      </w:r>
      <w:r>
        <w:rPr>
          <w:rFonts w:ascii="宋体" w:hAnsi="宋体" w:eastAsia="宋体" w:cs="宋体"/>
          <w:color w:val="auto"/>
          <w:spacing w:val="-5"/>
          <w:sz w:val="21"/>
          <w:szCs w:val="21"/>
          <w:highlight w:val="none"/>
        </w:rPr>
        <w:t>）通用合同条款；</w:t>
      </w:r>
    </w:p>
    <w:p w14:paraId="634EE8B0">
      <w:pPr>
        <w:spacing w:before="152"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6</w:t>
      </w:r>
      <w:r>
        <w:rPr>
          <w:rFonts w:ascii="宋体" w:hAnsi="宋体" w:eastAsia="宋体" w:cs="宋体"/>
          <w:color w:val="auto"/>
          <w:spacing w:val="-1"/>
          <w:sz w:val="21"/>
          <w:szCs w:val="21"/>
          <w:highlight w:val="none"/>
        </w:rPr>
        <w:t>）技术标准和要求；</w:t>
      </w:r>
    </w:p>
    <w:p w14:paraId="322B972F">
      <w:pPr>
        <w:spacing w:before="147" w:line="222" w:lineRule="auto"/>
        <w:ind w:left="447"/>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w:t>
      </w:r>
      <w:r>
        <w:rPr>
          <w:rFonts w:ascii="Times New Roman" w:hAnsi="Times New Roman" w:eastAsia="Times New Roman" w:cs="Times New Roman"/>
          <w:color w:val="auto"/>
          <w:spacing w:val="-8"/>
          <w:sz w:val="21"/>
          <w:szCs w:val="21"/>
          <w:highlight w:val="none"/>
        </w:rPr>
        <w:t>7</w:t>
      </w:r>
      <w:r>
        <w:rPr>
          <w:rFonts w:ascii="宋体" w:hAnsi="宋体" w:eastAsia="宋体" w:cs="宋体"/>
          <w:color w:val="auto"/>
          <w:spacing w:val="-8"/>
          <w:sz w:val="21"/>
          <w:szCs w:val="21"/>
          <w:highlight w:val="none"/>
        </w:rPr>
        <w:t>）图纸；</w:t>
      </w:r>
    </w:p>
    <w:p w14:paraId="31288A54">
      <w:pPr>
        <w:spacing w:before="146" w:line="403" w:lineRule="exact"/>
        <w:ind w:left="447"/>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w:t>
      </w:r>
      <w:r>
        <w:rPr>
          <w:rFonts w:ascii="Times New Roman" w:hAnsi="Times New Roman" w:eastAsia="Times New Roman" w:cs="Times New Roman"/>
          <w:color w:val="auto"/>
          <w:spacing w:val="-3"/>
          <w:position w:val="14"/>
          <w:sz w:val="21"/>
          <w:szCs w:val="21"/>
          <w:highlight w:val="none"/>
        </w:rPr>
        <w:t>8</w:t>
      </w:r>
      <w:r>
        <w:rPr>
          <w:rFonts w:ascii="宋体" w:hAnsi="宋体" w:eastAsia="宋体" w:cs="宋体"/>
          <w:color w:val="auto"/>
          <w:spacing w:val="-3"/>
          <w:position w:val="14"/>
          <w:sz w:val="21"/>
          <w:szCs w:val="21"/>
          <w:highlight w:val="none"/>
        </w:rPr>
        <w:t>）已标价工程量清单或预算书；</w:t>
      </w:r>
    </w:p>
    <w:p w14:paraId="1E82CE2D">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9</w:t>
      </w:r>
      <w:r>
        <w:rPr>
          <w:rFonts w:ascii="宋体" w:hAnsi="宋体" w:eastAsia="宋体" w:cs="宋体"/>
          <w:color w:val="auto"/>
          <w:spacing w:val="-4"/>
          <w:sz w:val="21"/>
          <w:szCs w:val="21"/>
          <w:highlight w:val="none"/>
        </w:rPr>
        <w:t>）其他合同文件。</w:t>
      </w:r>
    </w:p>
    <w:p w14:paraId="5D4EFD44">
      <w:pPr>
        <w:spacing w:before="148" w:line="398" w:lineRule="exact"/>
        <w:ind w:left="442"/>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上述各项合同文件包括合同当事人就该项合同文件所作出的补充和修改，属于同一类</w:t>
      </w:r>
    </w:p>
    <w:p w14:paraId="77BD95FF">
      <w:pPr>
        <w:spacing w:before="1" w:line="220" w:lineRule="auto"/>
        <w:ind w:left="4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内容的文件，应以最新签署的为准。</w:t>
      </w:r>
    </w:p>
    <w:p w14:paraId="56D77F42">
      <w:pPr>
        <w:spacing w:before="152" w:line="221" w:lineRule="auto"/>
        <w:ind w:left="44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在合同订立及履行过程中形成的与合同有关的文件均构成合同文件组成部分，并根据</w:t>
      </w:r>
    </w:p>
    <w:p w14:paraId="72727849">
      <w:pPr>
        <w:spacing w:before="147" w:line="221"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其性质确定优先解释顺序。</w:t>
      </w:r>
    </w:p>
    <w:p w14:paraId="3751BCE1">
      <w:pPr>
        <w:spacing w:before="46" w:line="219" w:lineRule="auto"/>
        <w:ind w:left="31"/>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1.6</w:t>
      </w:r>
      <w:r>
        <w:rPr>
          <w:rFonts w:ascii="黑体" w:hAnsi="黑体" w:eastAsia="黑体" w:cs="黑体"/>
          <w:color w:val="auto"/>
          <w:spacing w:val="-38"/>
          <w:sz w:val="24"/>
          <w:szCs w:val="24"/>
          <w:highlight w:val="none"/>
        </w:rPr>
        <w:t xml:space="preserve"> </w:t>
      </w:r>
      <w:r>
        <w:rPr>
          <w:rFonts w:ascii="黑体" w:hAnsi="黑体" w:eastAsia="黑体" w:cs="黑体"/>
          <w:color w:val="auto"/>
          <w:spacing w:val="-4"/>
          <w:sz w:val="24"/>
          <w:szCs w:val="24"/>
          <w:highlight w:val="none"/>
        </w:rPr>
        <w:t>图纸和承包人文件</w:t>
      </w:r>
    </w:p>
    <w:p w14:paraId="055476BD">
      <w:pPr>
        <w:spacing w:before="129"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1.6.1</w:t>
      </w:r>
      <w:r>
        <w:rPr>
          <w:rFonts w:ascii="Times New Roman" w:hAnsi="Times New Roman" w:eastAsia="Times New Roman" w:cs="Times New Roman"/>
          <w:color w:val="auto"/>
          <w:spacing w:val="32"/>
          <w:w w:val="101"/>
          <w:sz w:val="21"/>
          <w:szCs w:val="21"/>
          <w:highlight w:val="none"/>
        </w:rPr>
        <w:t xml:space="preserve"> </w:t>
      </w:r>
      <w:r>
        <w:rPr>
          <w:rFonts w:ascii="宋体" w:hAnsi="宋体" w:eastAsia="宋体" w:cs="宋体"/>
          <w:color w:val="auto"/>
          <w:spacing w:val="-4"/>
          <w:sz w:val="21"/>
          <w:szCs w:val="21"/>
          <w:highlight w:val="none"/>
        </w:rPr>
        <w:t>图纸的提供和交底</w:t>
      </w:r>
    </w:p>
    <w:p w14:paraId="167F8E45">
      <w:pPr>
        <w:spacing w:before="154" w:line="350" w:lineRule="auto"/>
        <w:ind w:left="18" w:right="177" w:firstLine="426"/>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发包人应按照专用合同条款约定的期限、数量和内容向承包人免费提供图纸，并组织</w:t>
      </w:r>
      <w:r>
        <w:rPr>
          <w:rFonts w:ascii="宋体" w:hAnsi="宋体" w:eastAsia="宋体" w:cs="宋体"/>
          <w:color w:val="auto"/>
          <w:sz w:val="21"/>
          <w:szCs w:val="21"/>
          <w:highlight w:val="none"/>
        </w:rPr>
        <w:t xml:space="preserve"> 承包人、监理人和设计人进行图纸会审和设计交底。发包人至迟不得晚于第</w:t>
      </w:r>
      <w:r>
        <w:rPr>
          <w:rFonts w:ascii="宋体" w:hAnsi="宋体" w:eastAsia="宋体" w:cs="宋体"/>
          <w:color w:val="auto"/>
          <w:spacing w:val="-31"/>
          <w:sz w:val="21"/>
          <w:szCs w:val="21"/>
          <w:highlight w:val="none"/>
        </w:rPr>
        <w:t xml:space="preserve"> </w:t>
      </w:r>
      <w:r>
        <w:rPr>
          <w:rFonts w:ascii="Times New Roman" w:hAnsi="Times New Roman" w:eastAsia="Times New Roman" w:cs="Times New Roman"/>
          <w:color w:val="auto"/>
          <w:sz w:val="21"/>
          <w:szCs w:val="21"/>
          <w:highlight w:val="none"/>
        </w:rPr>
        <w:t>7</w:t>
      </w:r>
      <w:r>
        <w:rPr>
          <w:rFonts w:ascii="Times New Roman" w:hAnsi="Times New Roman" w:eastAsia="Times New Roman" w:cs="Times New Roman"/>
          <w:color w:val="auto"/>
          <w:spacing w:val="-1"/>
          <w:sz w:val="21"/>
          <w:szCs w:val="21"/>
          <w:highlight w:val="none"/>
        </w:rPr>
        <w:t xml:space="preserve">.3.2 </w:t>
      </w:r>
      <w:r>
        <w:rPr>
          <w:rFonts w:ascii="宋体" w:hAnsi="宋体" w:eastAsia="宋体" w:cs="宋体"/>
          <w:color w:val="auto"/>
          <w:spacing w:val="-1"/>
          <w:sz w:val="21"/>
          <w:szCs w:val="21"/>
          <w:highlight w:val="none"/>
        </w:rPr>
        <w:t>项〔开工</w:t>
      </w:r>
    </w:p>
    <w:p w14:paraId="657773B3">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通知〕载明的开工日期前</w:t>
      </w:r>
      <w:r>
        <w:rPr>
          <w:rFonts w:ascii="宋体" w:hAnsi="宋体" w:eastAsia="宋体" w:cs="宋体"/>
          <w:color w:val="auto"/>
          <w:spacing w:val="-10"/>
          <w:sz w:val="21"/>
          <w:szCs w:val="21"/>
          <w:highlight w:val="none"/>
        </w:rPr>
        <w:t xml:space="preserve"> </w:t>
      </w:r>
      <w:r>
        <w:rPr>
          <w:rFonts w:ascii="Times New Roman" w:hAnsi="Times New Roman" w:eastAsia="Times New Roman" w:cs="Times New Roman"/>
          <w:color w:val="auto"/>
          <w:spacing w:val="-3"/>
          <w:sz w:val="21"/>
          <w:szCs w:val="21"/>
          <w:highlight w:val="none"/>
        </w:rPr>
        <w:t xml:space="preserve">14 </w:t>
      </w:r>
      <w:r>
        <w:rPr>
          <w:rFonts w:ascii="宋体" w:hAnsi="宋体" w:eastAsia="宋体" w:cs="宋体"/>
          <w:color w:val="auto"/>
          <w:spacing w:val="-3"/>
          <w:sz w:val="21"/>
          <w:szCs w:val="21"/>
          <w:highlight w:val="none"/>
        </w:rPr>
        <w:t>天向承包人提供图纸。</w:t>
      </w:r>
    </w:p>
    <w:p w14:paraId="6ADA4CFB">
      <w:pPr>
        <w:spacing w:before="153" w:line="399" w:lineRule="exact"/>
        <w:ind w:left="457"/>
        <w:rPr>
          <w:rFonts w:ascii="宋体" w:hAnsi="宋体" w:eastAsia="宋体" w:cs="宋体"/>
          <w:color w:val="auto"/>
          <w:sz w:val="21"/>
          <w:szCs w:val="21"/>
          <w:highlight w:val="none"/>
        </w:rPr>
      </w:pPr>
      <w:r>
        <w:rPr>
          <w:rFonts w:ascii="宋体" w:hAnsi="宋体" w:eastAsia="宋体" w:cs="宋体"/>
          <w:color w:val="auto"/>
          <w:spacing w:val="8"/>
          <w:position w:val="14"/>
          <w:sz w:val="21"/>
          <w:szCs w:val="21"/>
          <w:highlight w:val="none"/>
        </w:rPr>
        <w:t>因发包人未按合同约定提供图纸导致承包人费用增加和（或）工期延误的，按照第</w:t>
      </w:r>
    </w:p>
    <w:p w14:paraId="38A427C6">
      <w:pPr>
        <w:spacing w:line="220" w:lineRule="auto"/>
        <w:ind w:left="17"/>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7.5.1 </w:t>
      </w:r>
      <w:r>
        <w:rPr>
          <w:rFonts w:ascii="宋体" w:hAnsi="宋体" w:eastAsia="宋体" w:cs="宋体"/>
          <w:color w:val="auto"/>
          <w:spacing w:val="-1"/>
          <w:sz w:val="21"/>
          <w:szCs w:val="21"/>
          <w:highlight w:val="none"/>
        </w:rPr>
        <w:t>项〔因发包人原因导致工期延误〕约定</w:t>
      </w:r>
      <w:r>
        <w:rPr>
          <w:rFonts w:ascii="宋体" w:hAnsi="宋体" w:eastAsia="宋体" w:cs="宋体"/>
          <w:color w:val="auto"/>
          <w:spacing w:val="-2"/>
          <w:sz w:val="21"/>
          <w:szCs w:val="21"/>
          <w:highlight w:val="none"/>
        </w:rPr>
        <w:t>办理。</w:t>
      </w:r>
    </w:p>
    <w:p w14:paraId="5827FD0B">
      <w:pPr>
        <w:spacing w:before="148" w:line="222"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1.6.2</w:t>
      </w:r>
      <w:r>
        <w:rPr>
          <w:rFonts w:ascii="Times New Roman" w:hAnsi="Times New Roman" w:eastAsia="Times New Roman" w:cs="Times New Roman"/>
          <w:color w:val="auto"/>
          <w:spacing w:val="29"/>
          <w:sz w:val="21"/>
          <w:szCs w:val="21"/>
          <w:highlight w:val="none"/>
        </w:rPr>
        <w:t xml:space="preserve"> </w:t>
      </w:r>
      <w:r>
        <w:rPr>
          <w:rFonts w:ascii="宋体" w:hAnsi="宋体" w:eastAsia="宋体" w:cs="宋体"/>
          <w:color w:val="auto"/>
          <w:spacing w:val="-5"/>
          <w:sz w:val="21"/>
          <w:szCs w:val="21"/>
          <w:highlight w:val="none"/>
        </w:rPr>
        <w:t>图纸的错误</w:t>
      </w:r>
    </w:p>
    <w:p w14:paraId="3A1ABA18">
      <w:pPr>
        <w:spacing w:before="150" w:line="399" w:lineRule="exact"/>
        <w:ind w:left="441"/>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承包人在收到发包人提供的图纸后， 发现图纸存在差错、遗漏或缺陷的，应及时通知</w:t>
      </w:r>
    </w:p>
    <w:p w14:paraId="489C9DA5">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监理人。监理人接到该通知后，应附具相关意见并立即报送发包人，发包人</w:t>
      </w:r>
      <w:r>
        <w:rPr>
          <w:rFonts w:ascii="宋体" w:hAnsi="宋体" w:eastAsia="宋体" w:cs="宋体"/>
          <w:color w:val="auto"/>
          <w:spacing w:val="2"/>
          <w:sz w:val="21"/>
          <w:szCs w:val="21"/>
          <w:highlight w:val="none"/>
        </w:rPr>
        <w:t>应在收到监理</w:t>
      </w:r>
    </w:p>
    <w:p w14:paraId="5C201972">
      <w:pPr>
        <w:spacing w:line="219" w:lineRule="auto"/>
        <w:rPr>
          <w:rFonts w:ascii="宋体" w:hAnsi="宋体" w:eastAsia="宋体" w:cs="宋体"/>
          <w:color w:val="auto"/>
          <w:sz w:val="21"/>
          <w:szCs w:val="21"/>
          <w:highlight w:val="none"/>
        </w:rPr>
        <w:sectPr>
          <w:footerReference r:id="rId105" w:type="default"/>
          <w:pgSz w:w="11905" w:h="16839"/>
          <w:pgMar w:top="1431" w:right="1614" w:bottom="1004" w:left="1785" w:header="0" w:footer="828" w:gutter="0"/>
          <w:pgNumType w:fmt="decimal"/>
          <w:cols w:space="720" w:num="1"/>
        </w:sectPr>
      </w:pPr>
    </w:p>
    <w:p w14:paraId="62876BD2">
      <w:pPr>
        <w:spacing w:before="149" w:line="398" w:lineRule="exact"/>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人报送的通知后的合理时间内作出决定。 合理时间是指发包人在收到监理人的报送通知后，</w:t>
      </w:r>
    </w:p>
    <w:p w14:paraId="489985F0">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尽其努力且不懈怠地完成图纸修改补充所需的时间。</w:t>
      </w:r>
    </w:p>
    <w:p w14:paraId="4C2843B4">
      <w:pPr>
        <w:spacing w:before="151"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1.6.3</w:t>
      </w:r>
      <w:r>
        <w:rPr>
          <w:rFonts w:ascii="Times New Roman" w:hAnsi="Times New Roman" w:eastAsia="Times New Roman" w:cs="Times New Roman"/>
          <w:color w:val="auto"/>
          <w:spacing w:val="32"/>
          <w:w w:val="101"/>
          <w:sz w:val="21"/>
          <w:szCs w:val="21"/>
          <w:highlight w:val="none"/>
        </w:rPr>
        <w:t xml:space="preserve"> </w:t>
      </w:r>
      <w:r>
        <w:rPr>
          <w:rFonts w:ascii="宋体" w:hAnsi="宋体" w:eastAsia="宋体" w:cs="宋体"/>
          <w:color w:val="auto"/>
          <w:spacing w:val="-4"/>
          <w:sz w:val="21"/>
          <w:szCs w:val="21"/>
          <w:highlight w:val="none"/>
        </w:rPr>
        <w:t>图纸的修改和补充</w:t>
      </w:r>
    </w:p>
    <w:p w14:paraId="157E91D9">
      <w:pPr>
        <w:spacing w:before="149" w:line="352" w:lineRule="auto"/>
        <w:ind w:left="17" w:right="177" w:firstLine="44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图纸需要修改和补充的，应经图纸原设计人</w:t>
      </w:r>
      <w:r>
        <w:rPr>
          <w:rFonts w:ascii="宋体" w:hAnsi="宋体" w:eastAsia="宋体" w:cs="宋体"/>
          <w:color w:val="auto"/>
          <w:spacing w:val="2"/>
          <w:sz w:val="21"/>
          <w:szCs w:val="21"/>
          <w:highlight w:val="none"/>
        </w:rPr>
        <w:t>及审批部门同意，并由监理人在工程或工</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程相应部位施工前将修改后的图纸或补充图纸提交给承包人，承包人应按修改</w:t>
      </w:r>
      <w:r>
        <w:rPr>
          <w:rFonts w:ascii="宋体" w:hAnsi="宋体" w:eastAsia="宋体" w:cs="宋体"/>
          <w:color w:val="auto"/>
          <w:spacing w:val="2"/>
          <w:sz w:val="21"/>
          <w:szCs w:val="21"/>
          <w:highlight w:val="none"/>
        </w:rPr>
        <w:t>或补充后的</w:t>
      </w:r>
    </w:p>
    <w:p w14:paraId="6C76CABD">
      <w:pPr>
        <w:spacing w:line="222" w:lineRule="auto"/>
        <w:ind w:left="39"/>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图纸施工。</w:t>
      </w:r>
    </w:p>
    <w:p w14:paraId="05A8A6B3">
      <w:pPr>
        <w:spacing w:before="145"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1.6.4 </w:t>
      </w:r>
      <w:r>
        <w:rPr>
          <w:rFonts w:ascii="宋体" w:hAnsi="宋体" w:eastAsia="宋体" w:cs="宋体"/>
          <w:color w:val="auto"/>
          <w:spacing w:val="-2"/>
          <w:sz w:val="21"/>
          <w:szCs w:val="21"/>
          <w:highlight w:val="none"/>
        </w:rPr>
        <w:t>承包人文件</w:t>
      </w:r>
    </w:p>
    <w:p w14:paraId="14F6E7E4">
      <w:pPr>
        <w:spacing w:before="148" w:line="403" w:lineRule="exact"/>
        <w:ind w:left="441"/>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承包人应按照专用合同条款的约定提供应当由其编制的与工程施工有关的文件， 并按</w:t>
      </w:r>
    </w:p>
    <w:p w14:paraId="00FF3E71">
      <w:pPr>
        <w:spacing w:before="1" w:line="220" w:lineRule="auto"/>
        <w:ind w:left="2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照专用合同条款约定的期限、数量和形式提交监理人，并由监理人报送发包人。</w:t>
      </w:r>
    </w:p>
    <w:p w14:paraId="7C08207B">
      <w:pPr>
        <w:spacing w:before="148" w:line="352" w:lineRule="auto"/>
        <w:ind w:left="17" w:right="177" w:firstLine="436"/>
        <w:rPr>
          <w:rFonts w:ascii="宋体" w:hAnsi="宋体" w:eastAsia="宋体" w:cs="宋体"/>
          <w:color w:val="auto"/>
          <w:sz w:val="21"/>
          <w:szCs w:val="21"/>
          <w:highlight w:val="none"/>
        </w:rPr>
      </w:pPr>
      <w:r>
        <w:rPr>
          <w:rFonts w:ascii="宋体" w:hAnsi="宋体" w:eastAsia="宋体" w:cs="宋体"/>
          <w:color w:val="auto"/>
          <w:sz w:val="21"/>
          <w:szCs w:val="21"/>
          <w:highlight w:val="none"/>
        </w:rPr>
        <w:t xml:space="preserve">除专用合同条款另有约定外，监理人应在收到承包人文件后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天内审查完毕</w:t>
      </w:r>
      <w:r>
        <w:rPr>
          <w:rFonts w:ascii="宋体" w:hAnsi="宋体" w:eastAsia="宋体" w:cs="宋体"/>
          <w:color w:val="auto"/>
          <w:spacing w:val="-1"/>
          <w:sz w:val="21"/>
          <w:szCs w:val="21"/>
          <w:highlight w:val="none"/>
        </w:rPr>
        <w:t>，监理人</w:t>
      </w:r>
      <w:r>
        <w:rPr>
          <w:rFonts w:ascii="宋体" w:hAnsi="宋体" w:eastAsia="宋体" w:cs="宋体"/>
          <w:color w:val="auto"/>
          <w:sz w:val="21"/>
          <w:szCs w:val="21"/>
          <w:highlight w:val="none"/>
        </w:rPr>
        <w:t xml:space="preserve"> 对承包人文件有异议的，承包人应予以修改， 并重新报送监理人。监理人的审查并不减轻</w:t>
      </w:r>
    </w:p>
    <w:p w14:paraId="0C9B054E">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或免除承包人根据合同约定应当承担的责任。</w:t>
      </w:r>
    </w:p>
    <w:p w14:paraId="18C821C0">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1.6.5</w:t>
      </w:r>
      <w:r>
        <w:rPr>
          <w:rFonts w:ascii="Times New Roman" w:hAnsi="Times New Roman" w:eastAsia="Times New Roman" w:cs="Times New Roman"/>
          <w:color w:val="auto"/>
          <w:spacing w:val="29"/>
          <w:sz w:val="21"/>
          <w:szCs w:val="21"/>
          <w:highlight w:val="none"/>
        </w:rPr>
        <w:t xml:space="preserve"> </w:t>
      </w:r>
      <w:r>
        <w:rPr>
          <w:rFonts w:ascii="宋体" w:hAnsi="宋体" w:eastAsia="宋体" w:cs="宋体"/>
          <w:color w:val="auto"/>
          <w:spacing w:val="-3"/>
          <w:sz w:val="21"/>
          <w:szCs w:val="21"/>
          <w:highlight w:val="none"/>
        </w:rPr>
        <w:t>图纸和承包人文件的保管</w:t>
      </w:r>
    </w:p>
    <w:p w14:paraId="64308683">
      <w:pPr>
        <w:spacing w:before="147" w:line="221" w:lineRule="auto"/>
        <w:ind w:left="45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除专用合同条款另有约定外，承包人应在施工现场另外保存一</w:t>
      </w:r>
      <w:r>
        <w:rPr>
          <w:rFonts w:ascii="宋体" w:hAnsi="宋体" w:eastAsia="宋体" w:cs="宋体"/>
          <w:color w:val="auto"/>
          <w:spacing w:val="2"/>
          <w:sz w:val="21"/>
          <w:szCs w:val="21"/>
          <w:highlight w:val="none"/>
        </w:rPr>
        <w:t>套完整的图纸和承包人</w:t>
      </w:r>
    </w:p>
    <w:p w14:paraId="4EABF871">
      <w:pPr>
        <w:spacing w:before="152"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文件，供发包人、监理人及有关人员进行工程检查</w:t>
      </w:r>
      <w:r>
        <w:rPr>
          <w:rFonts w:ascii="宋体" w:hAnsi="宋体" w:eastAsia="宋体" w:cs="宋体"/>
          <w:color w:val="auto"/>
          <w:spacing w:val="-2"/>
          <w:sz w:val="21"/>
          <w:szCs w:val="21"/>
          <w:highlight w:val="none"/>
        </w:rPr>
        <w:t>时使用。</w:t>
      </w:r>
    </w:p>
    <w:p w14:paraId="29EFA090">
      <w:pPr>
        <w:spacing w:before="47" w:line="218" w:lineRule="auto"/>
        <w:ind w:left="31"/>
        <w:rPr>
          <w:rFonts w:ascii="黑体" w:hAnsi="黑体" w:eastAsia="黑体" w:cs="黑体"/>
          <w:color w:val="auto"/>
          <w:sz w:val="24"/>
          <w:szCs w:val="24"/>
          <w:highlight w:val="none"/>
        </w:rPr>
      </w:pPr>
      <w:r>
        <w:rPr>
          <w:rFonts w:ascii="黑体" w:hAnsi="黑体" w:eastAsia="黑体" w:cs="黑体"/>
          <w:color w:val="auto"/>
          <w:spacing w:val="-6"/>
          <w:sz w:val="24"/>
          <w:szCs w:val="24"/>
          <w:highlight w:val="none"/>
        </w:rPr>
        <w:t>1.7</w:t>
      </w:r>
      <w:r>
        <w:rPr>
          <w:rFonts w:ascii="黑体" w:hAnsi="黑体" w:eastAsia="黑体" w:cs="黑体"/>
          <w:color w:val="auto"/>
          <w:spacing w:val="-50"/>
          <w:sz w:val="24"/>
          <w:szCs w:val="24"/>
          <w:highlight w:val="none"/>
        </w:rPr>
        <w:t xml:space="preserve"> </w:t>
      </w:r>
      <w:r>
        <w:rPr>
          <w:rFonts w:ascii="黑体" w:hAnsi="黑体" w:eastAsia="黑体" w:cs="黑体"/>
          <w:color w:val="auto"/>
          <w:spacing w:val="-6"/>
          <w:sz w:val="24"/>
          <w:szCs w:val="24"/>
          <w:highlight w:val="none"/>
        </w:rPr>
        <w:t>联络</w:t>
      </w:r>
    </w:p>
    <w:p w14:paraId="06C849E4">
      <w:pPr>
        <w:spacing w:before="131" w:line="398" w:lineRule="exact"/>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1.7.1</w:t>
      </w:r>
      <w:r>
        <w:rPr>
          <w:rFonts w:ascii="Times New Roman" w:hAnsi="Times New Roman" w:eastAsia="Times New Roman" w:cs="Times New Roman"/>
          <w:color w:val="auto"/>
          <w:spacing w:val="53"/>
          <w:w w:val="101"/>
          <w:position w:val="14"/>
          <w:sz w:val="21"/>
          <w:szCs w:val="21"/>
          <w:highlight w:val="none"/>
        </w:rPr>
        <w:t xml:space="preserve"> </w:t>
      </w:r>
      <w:r>
        <w:rPr>
          <w:rFonts w:ascii="宋体" w:hAnsi="宋体" w:eastAsia="宋体" w:cs="宋体"/>
          <w:color w:val="auto"/>
          <w:spacing w:val="-1"/>
          <w:position w:val="14"/>
          <w:sz w:val="21"/>
          <w:szCs w:val="21"/>
          <w:highlight w:val="none"/>
        </w:rPr>
        <w:t>与合同有关的通知、批准、证明、证书、指示、指令、要求、请求、同意、意见、</w:t>
      </w:r>
    </w:p>
    <w:p w14:paraId="5CF52EB0">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确定和决定等，均应采用书面形式，并应在合同约定的期限内送达接收人和送达地点。</w:t>
      </w:r>
    </w:p>
    <w:p w14:paraId="794941C6">
      <w:pPr>
        <w:spacing w:before="153" w:line="399" w:lineRule="exact"/>
        <w:ind w:left="457"/>
        <w:rPr>
          <w:rFonts w:ascii="宋体" w:hAnsi="宋体" w:eastAsia="宋体" w:cs="宋体"/>
          <w:color w:val="auto"/>
          <w:sz w:val="21"/>
          <w:szCs w:val="21"/>
          <w:highlight w:val="none"/>
        </w:rPr>
      </w:pPr>
      <w:r>
        <w:rPr>
          <w:rFonts w:ascii="Times New Roman" w:hAnsi="Times New Roman" w:eastAsia="Times New Roman" w:cs="Times New Roman"/>
          <w:color w:val="auto"/>
          <w:position w:val="14"/>
          <w:sz w:val="21"/>
          <w:szCs w:val="21"/>
          <w:highlight w:val="none"/>
        </w:rPr>
        <w:t>1.7.2</w:t>
      </w:r>
      <w:r>
        <w:rPr>
          <w:rFonts w:ascii="Times New Roman" w:hAnsi="Times New Roman" w:eastAsia="Times New Roman" w:cs="Times New Roman"/>
          <w:color w:val="auto"/>
          <w:spacing w:val="42"/>
          <w:w w:val="101"/>
          <w:position w:val="14"/>
          <w:sz w:val="21"/>
          <w:szCs w:val="21"/>
          <w:highlight w:val="none"/>
        </w:rPr>
        <w:t xml:space="preserve"> </w:t>
      </w:r>
      <w:r>
        <w:rPr>
          <w:rFonts w:ascii="宋体" w:hAnsi="宋体" w:eastAsia="宋体" w:cs="宋体"/>
          <w:color w:val="auto"/>
          <w:position w:val="14"/>
          <w:sz w:val="21"/>
          <w:szCs w:val="21"/>
          <w:highlight w:val="none"/>
        </w:rPr>
        <w:t>发包人和承包人应在专用合同条款中约定各自的送达接收人和送达地点。任何一</w:t>
      </w:r>
    </w:p>
    <w:p w14:paraId="5A89320A">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方合同当事人指定的接收人或送达地点发生变动的，</w:t>
      </w:r>
      <w:r>
        <w:rPr>
          <w:rFonts w:ascii="宋体" w:hAnsi="宋体" w:eastAsia="宋体" w:cs="宋体"/>
          <w:color w:val="auto"/>
          <w:spacing w:val="-27"/>
          <w:sz w:val="21"/>
          <w:szCs w:val="21"/>
          <w:highlight w:val="none"/>
        </w:rPr>
        <w:t xml:space="preserve"> </w:t>
      </w:r>
      <w:r>
        <w:rPr>
          <w:rFonts w:ascii="宋体" w:hAnsi="宋体" w:eastAsia="宋体" w:cs="宋体"/>
          <w:color w:val="auto"/>
          <w:spacing w:val="-3"/>
          <w:sz w:val="21"/>
          <w:szCs w:val="21"/>
          <w:highlight w:val="none"/>
        </w:rPr>
        <w:t>应提前</w:t>
      </w:r>
      <w:r>
        <w:rPr>
          <w:rFonts w:ascii="宋体" w:hAnsi="宋体" w:eastAsia="宋体" w:cs="宋体"/>
          <w:color w:val="auto"/>
          <w:spacing w:val="-41"/>
          <w:sz w:val="21"/>
          <w:szCs w:val="21"/>
          <w:highlight w:val="none"/>
        </w:rPr>
        <w:t xml:space="preserve"> </w:t>
      </w:r>
      <w:r>
        <w:rPr>
          <w:rFonts w:ascii="Times New Roman" w:hAnsi="Times New Roman" w:eastAsia="Times New Roman" w:cs="Times New Roman"/>
          <w:color w:val="auto"/>
          <w:spacing w:val="-3"/>
          <w:sz w:val="21"/>
          <w:szCs w:val="21"/>
          <w:highlight w:val="none"/>
        </w:rPr>
        <w:t xml:space="preserve">3 </w:t>
      </w:r>
      <w:r>
        <w:rPr>
          <w:rFonts w:ascii="宋体" w:hAnsi="宋体" w:eastAsia="宋体" w:cs="宋体"/>
          <w:color w:val="auto"/>
          <w:spacing w:val="-3"/>
          <w:sz w:val="21"/>
          <w:szCs w:val="21"/>
          <w:highlight w:val="none"/>
        </w:rPr>
        <w:t>天以</w:t>
      </w:r>
      <w:r>
        <w:rPr>
          <w:rFonts w:ascii="宋体" w:hAnsi="宋体" w:eastAsia="宋体" w:cs="宋体"/>
          <w:color w:val="auto"/>
          <w:spacing w:val="-4"/>
          <w:sz w:val="21"/>
          <w:szCs w:val="21"/>
          <w:highlight w:val="none"/>
        </w:rPr>
        <w:t>书面形式通知对方。</w:t>
      </w:r>
    </w:p>
    <w:p w14:paraId="2ABB7CA4">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1.7.3</w:t>
      </w:r>
      <w:r>
        <w:rPr>
          <w:rFonts w:ascii="Times New Roman" w:hAnsi="Times New Roman" w:eastAsia="Times New Roman" w:cs="Times New Roman"/>
          <w:color w:val="auto"/>
          <w:spacing w:val="52"/>
          <w:sz w:val="21"/>
          <w:szCs w:val="21"/>
          <w:highlight w:val="none"/>
        </w:rPr>
        <w:t xml:space="preserve"> </w:t>
      </w:r>
      <w:r>
        <w:rPr>
          <w:rFonts w:ascii="宋体" w:hAnsi="宋体" w:eastAsia="宋体" w:cs="宋体"/>
          <w:color w:val="auto"/>
          <w:spacing w:val="-1"/>
          <w:sz w:val="21"/>
          <w:szCs w:val="21"/>
          <w:highlight w:val="none"/>
        </w:rPr>
        <w:t>发包人和承包人应当及时签收另一方送达至送达地点和指定接收人的来往信函。</w:t>
      </w:r>
    </w:p>
    <w:p w14:paraId="7FF06267">
      <w:pPr>
        <w:spacing w:before="153" w:line="221" w:lineRule="auto"/>
        <w:ind w:left="1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拒不签收的，由此增加的费用和（或） 延误的工期由拒绝接收一方承担。</w:t>
      </w:r>
    </w:p>
    <w:p w14:paraId="6B64DFBC">
      <w:pPr>
        <w:spacing w:before="45" w:line="219"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1.8</w:t>
      </w:r>
      <w:r>
        <w:rPr>
          <w:rFonts w:ascii="黑体" w:hAnsi="黑体" w:eastAsia="黑体" w:cs="黑体"/>
          <w:color w:val="auto"/>
          <w:spacing w:val="-48"/>
          <w:sz w:val="24"/>
          <w:szCs w:val="24"/>
          <w:highlight w:val="none"/>
        </w:rPr>
        <w:t xml:space="preserve"> </w:t>
      </w:r>
      <w:r>
        <w:rPr>
          <w:rFonts w:ascii="黑体" w:hAnsi="黑体" w:eastAsia="黑体" w:cs="黑体"/>
          <w:color w:val="auto"/>
          <w:spacing w:val="-5"/>
          <w:sz w:val="24"/>
          <w:szCs w:val="24"/>
          <w:highlight w:val="none"/>
        </w:rPr>
        <w:t>严禁贿赂</w:t>
      </w:r>
    </w:p>
    <w:p w14:paraId="1113752A">
      <w:pPr>
        <w:spacing w:before="129" w:line="399" w:lineRule="exact"/>
        <w:ind w:left="442"/>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合同当事人不得以贿赂或变相贿赂的方式，谋取非法利益或损害对方权益。因一方合</w:t>
      </w:r>
    </w:p>
    <w:p w14:paraId="64817453">
      <w:pPr>
        <w:spacing w:line="220" w:lineRule="auto"/>
        <w:ind w:left="3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同当事人的贿赂造成对方损失的，应赔偿损失， 并承担相应的法律责任。</w:t>
      </w:r>
    </w:p>
    <w:p w14:paraId="5524CB22">
      <w:pPr>
        <w:spacing w:before="149" w:line="403" w:lineRule="exact"/>
        <w:ind w:left="441"/>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承包人不得与监理人或发包人聘请的第三方串通损害发包人利益。未经发包人书面同</w:t>
      </w:r>
    </w:p>
    <w:p w14:paraId="135566E9">
      <w:pPr>
        <w:spacing w:before="1" w:line="219" w:lineRule="auto"/>
        <w:jc w:val="right"/>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意，承包人不得为监理人提供合同约定以外</w:t>
      </w:r>
      <w:r>
        <w:rPr>
          <w:rFonts w:ascii="宋体" w:hAnsi="宋体" w:eastAsia="宋体" w:cs="宋体"/>
          <w:color w:val="auto"/>
          <w:spacing w:val="1"/>
          <w:sz w:val="21"/>
          <w:szCs w:val="21"/>
          <w:highlight w:val="none"/>
        </w:rPr>
        <w:t>的通讯设备、交通工具及其他任何形式的利益，</w:t>
      </w:r>
    </w:p>
    <w:p w14:paraId="033B66A1">
      <w:pPr>
        <w:spacing w:before="148" w:line="221" w:lineRule="auto"/>
        <w:ind w:left="2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不得向监理人支付报酬。</w:t>
      </w:r>
    </w:p>
    <w:p w14:paraId="087D8C8B">
      <w:pPr>
        <w:spacing w:before="45" w:line="219" w:lineRule="auto"/>
        <w:ind w:left="31"/>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1.9</w:t>
      </w:r>
      <w:r>
        <w:rPr>
          <w:rFonts w:ascii="黑体" w:hAnsi="黑体" w:eastAsia="黑体" w:cs="黑体"/>
          <w:color w:val="auto"/>
          <w:spacing w:val="-51"/>
          <w:sz w:val="24"/>
          <w:szCs w:val="24"/>
          <w:highlight w:val="none"/>
        </w:rPr>
        <w:t xml:space="preserve"> </w:t>
      </w:r>
      <w:r>
        <w:rPr>
          <w:rFonts w:ascii="黑体" w:hAnsi="黑体" w:eastAsia="黑体" w:cs="黑体"/>
          <w:color w:val="auto"/>
          <w:spacing w:val="-4"/>
          <w:sz w:val="24"/>
          <w:szCs w:val="24"/>
          <w:highlight w:val="none"/>
        </w:rPr>
        <w:t>化石、文物</w:t>
      </w:r>
    </w:p>
    <w:p w14:paraId="3C008DAC">
      <w:pPr>
        <w:spacing w:before="128" w:line="353" w:lineRule="auto"/>
        <w:ind w:left="17" w:right="182" w:firstLine="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在施工现场发掘的所有文物、古迹以及具有地质研究或考古价值的其他遗迹、化石、</w:t>
      </w:r>
      <w:r>
        <w:rPr>
          <w:rFonts w:ascii="宋体" w:hAnsi="宋体" w:eastAsia="宋体" w:cs="宋体"/>
          <w:color w:val="auto"/>
          <w:spacing w:val="9"/>
          <w:sz w:val="21"/>
          <w:szCs w:val="21"/>
          <w:highlight w:val="none"/>
        </w:rPr>
        <w:t xml:space="preserve"> </w:t>
      </w:r>
      <w:r>
        <w:rPr>
          <w:rFonts w:ascii="宋体" w:hAnsi="宋体" w:eastAsia="宋体" w:cs="宋体"/>
          <w:color w:val="auto"/>
          <w:spacing w:val="1"/>
          <w:sz w:val="21"/>
          <w:szCs w:val="21"/>
          <w:highlight w:val="none"/>
        </w:rPr>
        <w:t>钱币或物品属于国家所有。</w:t>
      </w:r>
      <w:r>
        <w:rPr>
          <w:rFonts w:ascii="宋体" w:hAnsi="宋体" w:eastAsia="宋体" w:cs="宋体"/>
          <w:color w:val="auto"/>
          <w:spacing w:val="-22"/>
          <w:sz w:val="21"/>
          <w:szCs w:val="21"/>
          <w:highlight w:val="none"/>
        </w:rPr>
        <w:t xml:space="preserve"> </w:t>
      </w:r>
      <w:r>
        <w:rPr>
          <w:rFonts w:ascii="宋体" w:hAnsi="宋体" w:eastAsia="宋体" w:cs="宋体"/>
          <w:color w:val="auto"/>
          <w:spacing w:val="1"/>
          <w:sz w:val="21"/>
          <w:szCs w:val="21"/>
          <w:highlight w:val="none"/>
        </w:rPr>
        <w:t>一旦发现上述文物，承包人应采取合理</w:t>
      </w:r>
      <w:r>
        <w:rPr>
          <w:rFonts w:ascii="宋体" w:hAnsi="宋体" w:eastAsia="宋体" w:cs="宋体"/>
          <w:color w:val="auto"/>
          <w:sz w:val="21"/>
          <w:szCs w:val="21"/>
          <w:highlight w:val="none"/>
        </w:rPr>
        <w:t>有效的保护措施，防止</w:t>
      </w:r>
    </w:p>
    <w:p w14:paraId="3CDE317F">
      <w:pPr>
        <w:spacing w:line="219"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任何人员移动或损坏上述物品，并立即报告有关政府行政管理部门，同时通知监理人。</w:t>
      </w:r>
    </w:p>
    <w:p w14:paraId="03764BBC">
      <w:pPr>
        <w:spacing w:before="150" w:line="403" w:lineRule="exact"/>
        <w:ind w:left="444"/>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发包人、监理人和承包人应按有关政府行政管理部门要求采取妥善的保护措施， 由此</w:t>
      </w:r>
    </w:p>
    <w:p w14:paraId="72326319">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增加的费用和（或） 延误的工期由发包人承担。</w:t>
      </w:r>
    </w:p>
    <w:p w14:paraId="3DFD832D">
      <w:pPr>
        <w:spacing w:before="149" w:line="219"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承包人发现文物后不及时报告或隐瞒不报，致使</w:t>
      </w:r>
      <w:r>
        <w:rPr>
          <w:rFonts w:ascii="宋体" w:hAnsi="宋体" w:eastAsia="宋体" w:cs="宋体"/>
          <w:color w:val="auto"/>
          <w:sz w:val="21"/>
          <w:szCs w:val="21"/>
          <w:highlight w:val="none"/>
        </w:rPr>
        <w:t>文物丢失或损坏的， 应赔偿损失，并</w:t>
      </w:r>
    </w:p>
    <w:p w14:paraId="46ACF679">
      <w:pPr>
        <w:spacing w:line="219" w:lineRule="auto"/>
        <w:rPr>
          <w:rFonts w:ascii="宋体" w:hAnsi="宋体" w:eastAsia="宋体" w:cs="宋体"/>
          <w:color w:val="auto"/>
          <w:sz w:val="21"/>
          <w:szCs w:val="21"/>
          <w:highlight w:val="none"/>
        </w:rPr>
        <w:sectPr>
          <w:footerReference r:id="rId106" w:type="default"/>
          <w:pgSz w:w="11905" w:h="16839"/>
          <w:pgMar w:top="1431" w:right="1614" w:bottom="1004" w:left="1785" w:header="0" w:footer="828" w:gutter="0"/>
          <w:pgNumType w:fmt="decimal"/>
          <w:cols w:space="720" w:num="1"/>
        </w:sectPr>
      </w:pPr>
    </w:p>
    <w:p w14:paraId="25C44E89">
      <w:pPr>
        <w:spacing w:before="148" w:line="221"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承担相应的法律责任。</w:t>
      </w:r>
    </w:p>
    <w:p w14:paraId="28FF31A0">
      <w:pPr>
        <w:spacing w:before="45" w:line="219"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1.10</w:t>
      </w:r>
      <w:r>
        <w:rPr>
          <w:rFonts w:ascii="黑体" w:hAnsi="黑体" w:eastAsia="黑体" w:cs="黑体"/>
          <w:color w:val="auto"/>
          <w:spacing w:val="-41"/>
          <w:sz w:val="24"/>
          <w:szCs w:val="24"/>
          <w:highlight w:val="none"/>
        </w:rPr>
        <w:t xml:space="preserve"> </w:t>
      </w:r>
      <w:r>
        <w:rPr>
          <w:rFonts w:ascii="黑体" w:hAnsi="黑体" w:eastAsia="黑体" w:cs="黑体"/>
          <w:color w:val="auto"/>
          <w:spacing w:val="-5"/>
          <w:sz w:val="24"/>
          <w:szCs w:val="24"/>
          <w:highlight w:val="none"/>
        </w:rPr>
        <w:t>交通运输</w:t>
      </w:r>
    </w:p>
    <w:p w14:paraId="363C2469">
      <w:pPr>
        <w:spacing w:before="128"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1.10.1</w:t>
      </w:r>
      <w:r>
        <w:rPr>
          <w:rFonts w:ascii="Times New Roman" w:hAnsi="Times New Roman" w:eastAsia="Times New Roman" w:cs="Times New Roman"/>
          <w:color w:val="auto"/>
          <w:spacing w:val="31"/>
          <w:w w:val="101"/>
          <w:sz w:val="21"/>
          <w:szCs w:val="21"/>
          <w:highlight w:val="none"/>
        </w:rPr>
        <w:t xml:space="preserve"> </w:t>
      </w:r>
      <w:r>
        <w:rPr>
          <w:rFonts w:ascii="宋体" w:hAnsi="宋体" w:eastAsia="宋体" w:cs="宋体"/>
          <w:color w:val="auto"/>
          <w:spacing w:val="-4"/>
          <w:sz w:val="21"/>
          <w:szCs w:val="21"/>
          <w:highlight w:val="none"/>
        </w:rPr>
        <w:t>出入现场的权利</w:t>
      </w:r>
    </w:p>
    <w:p w14:paraId="7D14D160">
      <w:pPr>
        <w:spacing w:before="151" w:line="352" w:lineRule="auto"/>
        <w:ind w:left="17" w:right="163" w:firstLine="436"/>
        <w:rPr>
          <w:rFonts w:ascii="宋体" w:hAnsi="宋体" w:eastAsia="宋体" w:cs="宋体"/>
          <w:color w:val="auto"/>
          <w:sz w:val="21"/>
          <w:szCs w:val="21"/>
          <w:highlight w:val="none"/>
        </w:rPr>
      </w:pPr>
      <w:r>
        <w:rPr>
          <w:rFonts w:ascii="宋体" w:hAnsi="宋体" w:eastAsia="宋体" w:cs="宋体"/>
          <w:color w:val="auto"/>
          <w:sz w:val="21"/>
          <w:szCs w:val="21"/>
          <w:highlight w:val="none"/>
        </w:rPr>
        <w:t>除专用合同条款另有约定外，发包人应根据施工需要， 负责取得出入施工现</w:t>
      </w:r>
      <w:r>
        <w:rPr>
          <w:rFonts w:ascii="宋体" w:hAnsi="宋体" w:eastAsia="宋体" w:cs="宋体"/>
          <w:color w:val="auto"/>
          <w:spacing w:val="-1"/>
          <w:sz w:val="21"/>
          <w:szCs w:val="21"/>
          <w:highlight w:val="none"/>
        </w:rPr>
        <w:t>场所需的</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批准手续和全部权利， 以及取得因施工所需修建道路、桥</w:t>
      </w:r>
      <w:r>
        <w:rPr>
          <w:rFonts w:ascii="宋体" w:hAnsi="宋体" w:eastAsia="宋体" w:cs="宋体"/>
          <w:color w:val="auto"/>
          <w:spacing w:val="-3"/>
          <w:sz w:val="21"/>
          <w:szCs w:val="21"/>
          <w:highlight w:val="none"/>
        </w:rPr>
        <w:t>梁以及其他基础设施的权利， 并</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承担相关手续费用和建设费用。承包人应协助发包人办理修建场内外道路、桥</w:t>
      </w:r>
      <w:r>
        <w:rPr>
          <w:rFonts w:ascii="宋体" w:hAnsi="宋体" w:eastAsia="宋体" w:cs="宋体"/>
          <w:color w:val="auto"/>
          <w:spacing w:val="2"/>
          <w:sz w:val="21"/>
          <w:szCs w:val="21"/>
          <w:highlight w:val="none"/>
        </w:rPr>
        <w:t>梁以及其他</w:t>
      </w:r>
    </w:p>
    <w:p w14:paraId="28E82518">
      <w:pPr>
        <w:spacing w:before="1" w:line="221"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基础设施的手续。</w:t>
      </w:r>
    </w:p>
    <w:p w14:paraId="7168135D">
      <w:pPr>
        <w:spacing w:before="148" w:line="352" w:lineRule="auto"/>
        <w:ind w:left="18" w:right="163" w:firstLine="4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承包人应在订立合同前查勘施工现场，并根据工程规模及技术参数合理预见工程施工 所需的进出施工现场的方式、手段、路径等</w:t>
      </w:r>
      <w:r>
        <w:rPr>
          <w:rFonts w:ascii="宋体" w:hAnsi="宋体" w:eastAsia="宋体" w:cs="宋体"/>
          <w:color w:val="auto"/>
          <w:spacing w:val="2"/>
          <w:sz w:val="21"/>
          <w:szCs w:val="21"/>
          <w:highlight w:val="none"/>
        </w:rPr>
        <w:t>。因承包人未合理预见所增加的费用和（或）</w:t>
      </w:r>
    </w:p>
    <w:p w14:paraId="0F9F0C21">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延误的工期由承包人承担。</w:t>
      </w:r>
    </w:p>
    <w:p w14:paraId="0C1E49A7">
      <w:pPr>
        <w:spacing w:before="148"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1.10.2 </w:t>
      </w:r>
      <w:r>
        <w:rPr>
          <w:rFonts w:ascii="宋体" w:hAnsi="宋体" w:eastAsia="宋体" w:cs="宋体"/>
          <w:color w:val="auto"/>
          <w:spacing w:val="-2"/>
          <w:sz w:val="21"/>
          <w:szCs w:val="21"/>
          <w:highlight w:val="none"/>
        </w:rPr>
        <w:t>场外交通</w:t>
      </w:r>
    </w:p>
    <w:p w14:paraId="3D896E9D">
      <w:pPr>
        <w:spacing w:before="146" w:line="352" w:lineRule="auto"/>
        <w:ind w:left="18" w:right="163" w:firstLine="42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发包人应提供场外交通设施的技术参数和具体条件，承包人应遵守有关交通法规，严</w:t>
      </w:r>
      <w:r>
        <w:rPr>
          <w:rFonts w:ascii="宋体" w:hAnsi="宋体" w:eastAsia="宋体" w:cs="宋体"/>
          <w:color w:val="auto"/>
          <w:sz w:val="21"/>
          <w:szCs w:val="21"/>
          <w:highlight w:val="none"/>
        </w:rPr>
        <w:t xml:space="preserve"> 格按照道路和桥梁的限制荷载行驶，执行有关道路限速、限行、禁止超载的规定， 并配合</w:t>
      </w:r>
      <w:r>
        <w:rPr>
          <w:rFonts w:ascii="宋体" w:hAnsi="宋体" w:eastAsia="宋体" w:cs="宋体"/>
          <w:color w:val="auto"/>
          <w:spacing w:val="6"/>
          <w:sz w:val="21"/>
          <w:szCs w:val="21"/>
          <w:highlight w:val="none"/>
        </w:rPr>
        <w:t xml:space="preserve"> </w:t>
      </w:r>
      <w:r>
        <w:rPr>
          <w:rFonts w:ascii="宋体" w:hAnsi="宋体" w:eastAsia="宋体" w:cs="宋体"/>
          <w:color w:val="auto"/>
          <w:sz w:val="21"/>
          <w:szCs w:val="21"/>
          <w:highlight w:val="none"/>
        </w:rPr>
        <w:t>交通管理部门的监督和检查。场外交通设施无法满足工程施工需要的， 由发包人负责完善</w:t>
      </w:r>
    </w:p>
    <w:p w14:paraId="7E1D808E">
      <w:pPr>
        <w:spacing w:before="1" w:line="220" w:lineRule="auto"/>
        <w:ind w:left="2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并承担相关费用。</w:t>
      </w:r>
    </w:p>
    <w:p w14:paraId="26D63A79">
      <w:pPr>
        <w:spacing w:before="152"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1.10.3 </w:t>
      </w:r>
      <w:r>
        <w:rPr>
          <w:rFonts w:ascii="宋体" w:hAnsi="宋体" w:eastAsia="宋体" w:cs="宋体"/>
          <w:color w:val="auto"/>
          <w:spacing w:val="-3"/>
          <w:sz w:val="21"/>
          <w:szCs w:val="21"/>
          <w:highlight w:val="none"/>
        </w:rPr>
        <w:t>场内交通</w:t>
      </w:r>
    </w:p>
    <w:p w14:paraId="3340EDF5">
      <w:pPr>
        <w:spacing w:before="148" w:line="352" w:lineRule="auto"/>
        <w:ind w:left="18" w:right="163" w:firstLine="42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发包人应提供场内交通设施的技术参数和具体条件，并应按照专用合同条款的约定向</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承包人免费提供满足工程施工所需的场内道路和交通设施。因承包人原因造</w:t>
      </w:r>
      <w:r>
        <w:rPr>
          <w:rFonts w:ascii="宋体" w:hAnsi="宋体" w:eastAsia="宋体" w:cs="宋体"/>
          <w:color w:val="auto"/>
          <w:spacing w:val="2"/>
          <w:sz w:val="21"/>
          <w:szCs w:val="21"/>
          <w:highlight w:val="none"/>
        </w:rPr>
        <w:t>成上述道路或</w:t>
      </w:r>
    </w:p>
    <w:p w14:paraId="1BB54ABD">
      <w:pPr>
        <w:spacing w:before="1" w:line="220" w:lineRule="auto"/>
        <w:ind w:left="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交通设施损坏的，承包人负责修复并承担由此</w:t>
      </w:r>
      <w:r>
        <w:rPr>
          <w:rFonts w:ascii="宋体" w:hAnsi="宋体" w:eastAsia="宋体" w:cs="宋体"/>
          <w:color w:val="auto"/>
          <w:spacing w:val="-2"/>
          <w:sz w:val="21"/>
          <w:szCs w:val="21"/>
          <w:highlight w:val="none"/>
        </w:rPr>
        <w:t>增加的费用。</w:t>
      </w:r>
    </w:p>
    <w:p w14:paraId="083383E0">
      <w:pPr>
        <w:spacing w:before="146" w:line="353" w:lineRule="auto"/>
        <w:ind w:left="19" w:right="163" w:firstLine="434"/>
        <w:rPr>
          <w:rFonts w:ascii="宋体" w:hAnsi="宋体" w:eastAsia="宋体" w:cs="宋体"/>
          <w:color w:val="auto"/>
          <w:sz w:val="21"/>
          <w:szCs w:val="21"/>
          <w:highlight w:val="none"/>
        </w:rPr>
      </w:pPr>
      <w:r>
        <w:rPr>
          <w:rFonts w:ascii="宋体" w:hAnsi="宋体" w:eastAsia="宋体" w:cs="宋体"/>
          <w:color w:val="auto"/>
          <w:sz w:val="21"/>
          <w:szCs w:val="21"/>
          <w:highlight w:val="none"/>
        </w:rPr>
        <w:t>除发包人按照合同约定提供的场内道路和交通设施外， 承包人负责修建、维</w:t>
      </w:r>
      <w:r>
        <w:rPr>
          <w:rFonts w:ascii="宋体" w:hAnsi="宋体" w:eastAsia="宋体" w:cs="宋体"/>
          <w:color w:val="auto"/>
          <w:spacing w:val="-1"/>
          <w:sz w:val="21"/>
          <w:szCs w:val="21"/>
          <w:highlight w:val="none"/>
        </w:rPr>
        <w:t>修、养护</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和管理施工所需的其他场内临时道路和交通设施。发包人和监理人可以为实</w:t>
      </w:r>
      <w:r>
        <w:rPr>
          <w:rFonts w:ascii="宋体" w:hAnsi="宋体" w:eastAsia="宋体" w:cs="宋体"/>
          <w:color w:val="auto"/>
          <w:spacing w:val="2"/>
          <w:sz w:val="21"/>
          <w:szCs w:val="21"/>
          <w:highlight w:val="none"/>
        </w:rPr>
        <w:t>现合同目的使</w:t>
      </w:r>
    </w:p>
    <w:p w14:paraId="0EAE78C8">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用承包人修建的场内临时道路和交通设施。</w:t>
      </w:r>
    </w:p>
    <w:p w14:paraId="085F7D0A">
      <w:pPr>
        <w:spacing w:before="147" w:line="221" w:lineRule="auto"/>
        <w:ind w:left="440"/>
        <w:rPr>
          <w:rFonts w:ascii="宋体" w:hAnsi="宋体" w:eastAsia="宋体" w:cs="宋体"/>
          <w:color w:val="auto"/>
          <w:sz w:val="21"/>
          <w:szCs w:val="21"/>
          <w:highlight w:val="none"/>
        </w:rPr>
      </w:pPr>
      <w:r>
        <w:rPr>
          <w:rFonts w:ascii="宋体" w:hAnsi="宋体" w:eastAsia="宋体" w:cs="宋体"/>
          <w:color w:val="auto"/>
          <w:sz w:val="21"/>
          <w:szCs w:val="21"/>
          <w:highlight w:val="none"/>
        </w:rPr>
        <w:t>场外交通和场内交通的边界由合同当事人在专用合同条款</w:t>
      </w:r>
      <w:r>
        <w:rPr>
          <w:rFonts w:ascii="宋体" w:hAnsi="宋体" w:eastAsia="宋体" w:cs="宋体"/>
          <w:color w:val="auto"/>
          <w:spacing w:val="-1"/>
          <w:sz w:val="21"/>
          <w:szCs w:val="21"/>
          <w:highlight w:val="none"/>
        </w:rPr>
        <w:t>中约定。</w:t>
      </w:r>
    </w:p>
    <w:p w14:paraId="7269865A">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1.10.4 </w:t>
      </w:r>
      <w:r>
        <w:rPr>
          <w:rFonts w:ascii="宋体" w:hAnsi="宋体" w:eastAsia="宋体" w:cs="宋体"/>
          <w:color w:val="auto"/>
          <w:spacing w:val="-2"/>
          <w:sz w:val="21"/>
          <w:szCs w:val="21"/>
          <w:highlight w:val="none"/>
        </w:rPr>
        <w:t>超大件和超重件的运输</w:t>
      </w:r>
    </w:p>
    <w:p w14:paraId="1F5034AD">
      <w:pPr>
        <w:spacing w:before="151" w:line="351" w:lineRule="auto"/>
        <w:ind w:left="21" w:firstLine="44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由承包人负责运输的超大件或超重件， 应由承包人负责向交通管理部门办理申请手续，</w:t>
      </w:r>
      <w:r>
        <w:rPr>
          <w:rFonts w:ascii="宋体" w:hAnsi="宋体" w:eastAsia="宋体" w:cs="宋体"/>
          <w:color w:val="auto"/>
          <w:spacing w:val="15"/>
          <w:sz w:val="21"/>
          <w:szCs w:val="21"/>
          <w:highlight w:val="none"/>
        </w:rPr>
        <w:t xml:space="preserve"> </w:t>
      </w:r>
      <w:r>
        <w:rPr>
          <w:rFonts w:ascii="宋体" w:hAnsi="宋体" w:eastAsia="宋体" w:cs="宋体"/>
          <w:color w:val="auto"/>
          <w:spacing w:val="3"/>
          <w:sz w:val="21"/>
          <w:szCs w:val="21"/>
          <w:highlight w:val="none"/>
        </w:rPr>
        <w:t>发包人给予协助。运输超大件或超重件所需的道路和桥梁临时加固改</w:t>
      </w:r>
      <w:r>
        <w:rPr>
          <w:rFonts w:ascii="宋体" w:hAnsi="宋体" w:eastAsia="宋体" w:cs="宋体"/>
          <w:color w:val="auto"/>
          <w:spacing w:val="2"/>
          <w:sz w:val="21"/>
          <w:szCs w:val="21"/>
          <w:highlight w:val="none"/>
        </w:rPr>
        <w:t>造费用和其他有关费</w:t>
      </w:r>
    </w:p>
    <w:p w14:paraId="41980489">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用，由承包人承担， 但专用合同条款另有约定除外。</w:t>
      </w:r>
    </w:p>
    <w:p w14:paraId="6BB2F574">
      <w:pPr>
        <w:spacing w:before="152"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1.10.5 </w:t>
      </w:r>
      <w:r>
        <w:rPr>
          <w:rFonts w:ascii="宋体" w:hAnsi="宋体" w:eastAsia="宋体" w:cs="宋体"/>
          <w:color w:val="auto"/>
          <w:spacing w:val="-2"/>
          <w:sz w:val="21"/>
          <w:szCs w:val="21"/>
          <w:highlight w:val="none"/>
        </w:rPr>
        <w:t>道路和桥梁的损坏责任</w:t>
      </w:r>
    </w:p>
    <w:p w14:paraId="6557B869">
      <w:pPr>
        <w:spacing w:before="147" w:line="399" w:lineRule="exact"/>
        <w:ind w:left="457"/>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因承包人运输造成施工场地内外公共道路和桥梁损坏</w:t>
      </w:r>
      <w:r>
        <w:rPr>
          <w:rFonts w:ascii="宋体" w:hAnsi="宋体" w:eastAsia="宋体" w:cs="宋体"/>
          <w:color w:val="auto"/>
          <w:spacing w:val="2"/>
          <w:position w:val="14"/>
          <w:sz w:val="21"/>
          <w:szCs w:val="21"/>
          <w:highlight w:val="none"/>
        </w:rPr>
        <w:t>的，由承包人承担修复损坏的全</w:t>
      </w:r>
    </w:p>
    <w:p w14:paraId="0433D893">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部费用和可能引起的赔偿。</w:t>
      </w:r>
    </w:p>
    <w:p w14:paraId="42EE82CE">
      <w:pPr>
        <w:spacing w:before="152"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1.10.6 </w:t>
      </w:r>
      <w:r>
        <w:rPr>
          <w:rFonts w:ascii="宋体" w:hAnsi="宋体" w:eastAsia="宋体" w:cs="宋体"/>
          <w:color w:val="auto"/>
          <w:spacing w:val="-2"/>
          <w:sz w:val="21"/>
          <w:szCs w:val="21"/>
          <w:highlight w:val="none"/>
        </w:rPr>
        <w:t>水路和航空运输</w:t>
      </w:r>
    </w:p>
    <w:p w14:paraId="40A54F4A">
      <w:pPr>
        <w:spacing w:before="148" w:line="398" w:lineRule="exact"/>
        <w:ind w:left="442"/>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本款前述各项的内容适用于水路运输和航空运输，其中</w:t>
      </w:r>
      <w:r>
        <w:rPr>
          <w:rFonts w:ascii="Times New Roman" w:hAnsi="Times New Roman" w:eastAsia="Times New Roman" w:cs="Times New Roman"/>
          <w:color w:val="auto"/>
          <w:spacing w:val="3"/>
          <w:position w:val="14"/>
          <w:sz w:val="21"/>
          <w:szCs w:val="21"/>
          <w:highlight w:val="none"/>
        </w:rPr>
        <w:t>“</w:t>
      </w:r>
      <w:r>
        <w:rPr>
          <w:rFonts w:ascii="宋体" w:hAnsi="宋体" w:eastAsia="宋体" w:cs="宋体"/>
          <w:color w:val="auto"/>
          <w:spacing w:val="3"/>
          <w:position w:val="14"/>
          <w:sz w:val="21"/>
          <w:szCs w:val="21"/>
          <w:highlight w:val="none"/>
        </w:rPr>
        <w:t>道路</w:t>
      </w:r>
      <w:r>
        <w:rPr>
          <w:rFonts w:ascii="Times New Roman" w:hAnsi="Times New Roman" w:eastAsia="Times New Roman" w:cs="Times New Roman"/>
          <w:color w:val="auto"/>
          <w:spacing w:val="3"/>
          <w:position w:val="14"/>
          <w:sz w:val="21"/>
          <w:szCs w:val="21"/>
          <w:highlight w:val="none"/>
        </w:rPr>
        <w:t>”</w:t>
      </w:r>
      <w:r>
        <w:rPr>
          <w:rFonts w:ascii="宋体" w:hAnsi="宋体" w:eastAsia="宋体" w:cs="宋体"/>
          <w:color w:val="auto"/>
          <w:spacing w:val="3"/>
          <w:position w:val="14"/>
          <w:sz w:val="21"/>
          <w:szCs w:val="21"/>
          <w:highlight w:val="none"/>
        </w:rPr>
        <w:t>一词的涵义包括河道、</w:t>
      </w:r>
    </w:p>
    <w:p w14:paraId="13E2FBD4">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航线、船闸、机场、码头、堤防以及水路或航</w:t>
      </w:r>
      <w:r>
        <w:rPr>
          <w:rFonts w:ascii="宋体" w:hAnsi="宋体" w:eastAsia="宋体" w:cs="宋体"/>
          <w:color w:val="auto"/>
          <w:spacing w:val="3"/>
          <w:sz w:val="21"/>
          <w:szCs w:val="21"/>
          <w:highlight w:val="none"/>
        </w:rPr>
        <w:t>空运输中其他相似结构物；</w:t>
      </w:r>
      <w:r>
        <w:rPr>
          <w:rFonts w:ascii="Times New Roman" w:hAnsi="Times New Roman" w:eastAsia="Times New Roman" w:cs="Times New Roman"/>
          <w:color w:val="auto"/>
          <w:spacing w:val="3"/>
          <w:sz w:val="21"/>
          <w:szCs w:val="21"/>
          <w:highlight w:val="none"/>
        </w:rPr>
        <w:t>“</w:t>
      </w:r>
      <w:r>
        <w:rPr>
          <w:rFonts w:ascii="宋体" w:hAnsi="宋体" w:eastAsia="宋体" w:cs="宋体"/>
          <w:color w:val="auto"/>
          <w:spacing w:val="3"/>
          <w:sz w:val="21"/>
          <w:szCs w:val="21"/>
          <w:highlight w:val="none"/>
        </w:rPr>
        <w:t>车辆</w:t>
      </w:r>
      <w:r>
        <w:rPr>
          <w:rFonts w:ascii="Times New Roman" w:hAnsi="Times New Roman" w:eastAsia="Times New Roman" w:cs="Times New Roman"/>
          <w:color w:val="auto"/>
          <w:spacing w:val="3"/>
          <w:sz w:val="21"/>
          <w:szCs w:val="21"/>
          <w:highlight w:val="none"/>
        </w:rPr>
        <w:t>”</w:t>
      </w:r>
      <w:r>
        <w:rPr>
          <w:rFonts w:ascii="宋体" w:hAnsi="宋体" w:eastAsia="宋体" w:cs="宋体"/>
          <w:color w:val="auto"/>
          <w:spacing w:val="3"/>
          <w:sz w:val="21"/>
          <w:szCs w:val="21"/>
          <w:highlight w:val="none"/>
        </w:rPr>
        <w:t>一词的涵</w:t>
      </w:r>
    </w:p>
    <w:p w14:paraId="058C9D70">
      <w:pPr>
        <w:spacing w:before="153"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义包括船舶和飞机等。</w:t>
      </w:r>
    </w:p>
    <w:p w14:paraId="45320B36">
      <w:pPr>
        <w:spacing w:before="47" w:line="220"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1.11</w:t>
      </w:r>
      <w:r>
        <w:rPr>
          <w:rFonts w:ascii="黑体" w:hAnsi="黑体" w:eastAsia="黑体" w:cs="黑体"/>
          <w:color w:val="auto"/>
          <w:spacing w:val="-41"/>
          <w:sz w:val="24"/>
          <w:szCs w:val="24"/>
          <w:highlight w:val="none"/>
        </w:rPr>
        <w:t xml:space="preserve"> </w:t>
      </w:r>
      <w:r>
        <w:rPr>
          <w:rFonts w:ascii="黑体" w:hAnsi="黑体" w:eastAsia="黑体" w:cs="黑体"/>
          <w:color w:val="auto"/>
          <w:spacing w:val="-5"/>
          <w:sz w:val="24"/>
          <w:szCs w:val="24"/>
          <w:highlight w:val="none"/>
        </w:rPr>
        <w:t>知识产权</w:t>
      </w:r>
    </w:p>
    <w:p w14:paraId="7FA802A4">
      <w:pPr>
        <w:spacing w:line="220" w:lineRule="auto"/>
        <w:rPr>
          <w:rFonts w:ascii="黑体" w:hAnsi="黑体" w:eastAsia="黑体" w:cs="黑体"/>
          <w:color w:val="auto"/>
          <w:sz w:val="24"/>
          <w:szCs w:val="24"/>
          <w:highlight w:val="none"/>
        </w:rPr>
        <w:sectPr>
          <w:footerReference r:id="rId107" w:type="default"/>
          <w:pgSz w:w="11905" w:h="16839"/>
          <w:pgMar w:top="1431" w:right="1628" w:bottom="1004" w:left="1785" w:header="0" w:footer="828" w:gutter="0"/>
          <w:pgNumType w:fmt="decimal"/>
          <w:cols w:space="720" w:num="1"/>
        </w:sectPr>
      </w:pPr>
    </w:p>
    <w:p w14:paraId="4585302A">
      <w:pPr>
        <w:spacing w:before="151" w:line="351" w:lineRule="auto"/>
        <w:ind w:left="19" w:right="182" w:firstLine="438"/>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1.11.1</w:t>
      </w:r>
      <w:r>
        <w:rPr>
          <w:rFonts w:ascii="Times New Roman" w:hAnsi="Times New Roman" w:eastAsia="Times New Roman" w:cs="Times New Roman"/>
          <w:color w:val="auto"/>
          <w:spacing w:val="50"/>
          <w:sz w:val="21"/>
          <w:szCs w:val="21"/>
          <w:highlight w:val="none"/>
        </w:rPr>
        <w:t xml:space="preserve"> </w:t>
      </w:r>
      <w:r>
        <w:rPr>
          <w:rFonts w:ascii="宋体" w:hAnsi="宋体" w:eastAsia="宋体" w:cs="宋体"/>
          <w:color w:val="auto"/>
          <w:spacing w:val="3"/>
          <w:sz w:val="21"/>
          <w:szCs w:val="21"/>
          <w:highlight w:val="none"/>
        </w:rPr>
        <w:t>除专用合同条款另有约定外，</w:t>
      </w:r>
      <w:r>
        <w:rPr>
          <w:rFonts w:ascii="宋体" w:hAnsi="宋体" w:eastAsia="宋体" w:cs="宋体"/>
          <w:color w:val="auto"/>
          <w:spacing w:val="2"/>
          <w:sz w:val="21"/>
          <w:szCs w:val="21"/>
          <w:highlight w:val="none"/>
        </w:rPr>
        <w:t>发包人提供给承包人的图纸、发包人为实施工程</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自行编制或委托编制的技术规范以及反映发包人要求的或其他类似性质的文</w:t>
      </w:r>
      <w:r>
        <w:rPr>
          <w:rFonts w:ascii="宋体" w:hAnsi="宋体" w:eastAsia="宋体" w:cs="宋体"/>
          <w:color w:val="auto"/>
          <w:spacing w:val="2"/>
          <w:sz w:val="21"/>
          <w:szCs w:val="21"/>
          <w:highlight w:val="none"/>
        </w:rPr>
        <w:t>件的著作权属</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于发包人，承包人可以为实现合同目的而复制、使用此类文件，但不能用于</w:t>
      </w:r>
      <w:r>
        <w:rPr>
          <w:rFonts w:ascii="宋体" w:hAnsi="宋体" w:eastAsia="宋体" w:cs="宋体"/>
          <w:color w:val="auto"/>
          <w:spacing w:val="2"/>
          <w:sz w:val="21"/>
          <w:szCs w:val="21"/>
          <w:highlight w:val="none"/>
        </w:rPr>
        <w:t>与合同无关的</w:t>
      </w:r>
      <w:r>
        <w:rPr>
          <w:rFonts w:ascii="宋体" w:hAnsi="宋体" w:eastAsia="宋体" w:cs="宋体"/>
          <w:color w:val="auto"/>
          <w:sz w:val="21"/>
          <w:szCs w:val="21"/>
          <w:highlight w:val="none"/>
        </w:rPr>
        <w:t xml:space="preserve"> 其他事项。未经发包人书面同意， 承包人不得为了合同以外的目的而复制、使用上述文件</w:t>
      </w:r>
    </w:p>
    <w:p w14:paraId="233FA433">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或将之提供给任何第三方。</w:t>
      </w:r>
    </w:p>
    <w:p w14:paraId="0034F72D">
      <w:pPr>
        <w:spacing w:before="152" w:line="352" w:lineRule="auto"/>
        <w:ind w:left="20" w:right="182" w:firstLine="437"/>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1.11.2</w:t>
      </w:r>
      <w:r>
        <w:rPr>
          <w:rFonts w:ascii="Times New Roman" w:hAnsi="Times New Roman" w:eastAsia="Times New Roman" w:cs="Times New Roman"/>
          <w:color w:val="auto"/>
          <w:spacing w:val="50"/>
          <w:sz w:val="21"/>
          <w:szCs w:val="21"/>
          <w:highlight w:val="none"/>
        </w:rPr>
        <w:t xml:space="preserve"> </w:t>
      </w:r>
      <w:r>
        <w:rPr>
          <w:rFonts w:ascii="宋体" w:hAnsi="宋体" w:eastAsia="宋体" w:cs="宋体"/>
          <w:color w:val="auto"/>
          <w:spacing w:val="3"/>
          <w:sz w:val="21"/>
          <w:szCs w:val="21"/>
          <w:highlight w:val="none"/>
        </w:rPr>
        <w:t>除专用合同条款另有约定外，</w:t>
      </w:r>
      <w:r>
        <w:rPr>
          <w:rFonts w:ascii="宋体" w:hAnsi="宋体" w:eastAsia="宋体" w:cs="宋体"/>
          <w:color w:val="auto"/>
          <w:spacing w:val="2"/>
          <w:sz w:val="21"/>
          <w:szCs w:val="21"/>
          <w:highlight w:val="none"/>
        </w:rPr>
        <w:t>承包人为实施工程所编制的文件，除署名权以外</w:t>
      </w:r>
      <w:r>
        <w:rPr>
          <w:rFonts w:ascii="宋体" w:hAnsi="宋体" w:eastAsia="宋体" w:cs="宋体"/>
          <w:color w:val="auto"/>
          <w:sz w:val="21"/>
          <w:szCs w:val="21"/>
          <w:highlight w:val="none"/>
        </w:rPr>
        <w:t xml:space="preserve"> 的著作权属于发包人， 承包人可因实施工程的运行、调试、维修、改造等目的而复制、使</w:t>
      </w:r>
      <w:r>
        <w:rPr>
          <w:rFonts w:ascii="宋体" w:hAnsi="宋体" w:eastAsia="宋体" w:cs="宋体"/>
          <w:color w:val="auto"/>
          <w:spacing w:val="5"/>
          <w:sz w:val="21"/>
          <w:szCs w:val="21"/>
          <w:highlight w:val="none"/>
        </w:rPr>
        <w:t xml:space="preserve"> </w:t>
      </w:r>
      <w:r>
        <w:rPr>
          <w:rFonts w:ascii="宋体" w:hAnsi="宋体" w:eastAsia="宋体" w:cs="宋体"/>
          <w:color w:val="auto"/>
          <w:sz w:val="21"/>
          <w:szCs w:val="21"/>
          <w:highlight w:val="none"/>
        </w:rPr>
        <w:t>用此类文件， 但不能用于与合同无关的其他事项。未经发包人书面同意，承包人不得为了</w:t>
      </w:r>
    </w:p>
    <w:p w14:paraId="22D4030D">
      <w:pPr>
        <w:spacing w:line="219" w:lineRule="auto"/>
        <w:ind w:left="19"/>
        <w:rPr>
          <w:rFonts w:ascii="宋体" w:hAnsi="宋体" w:eastAsia="宋体" w:cs="宋体"/>
          <w:color w:val="auto"/>
          <w:sz w:val="21"/>
          <w:szCs w:val="21"/>
          <w:highlight w:val="none"/>
        </w:rPr>
      </w:pPr>
      <w:r>
        <w:rPr>
          <w:rFonts w:ascii="宋体" w:hAnsi="宋体" w:eastAsia="宋体" w:cs="宋体"/>
          <w:color w:val="auto"/>
          <w:sz w:val="21"/>
          <w:szCs w:val="21"/>
          <w:highlight w:val="none"/>
        </w:rPr>
        <w:t>合同以外的目的而复制、使用上述文件或将之提供给</w:t>
      </w:r>
      <w:r>
        <w:rPr>
          <w:rFonts w:ascii="宋体" w:hAnsi="宋体" w:eastAsia="宋体" w:cs="宋体"/>
          <w:color w:val="auto"/>
          <w:spacing w:val="-1"/>
          <w:sz w:val="21"/>
          <w:szCs w:val="21"/>
          <w:highlight w:val="none"/>
        </w:rPr>
        <w:t>任何第三方。</w:t>
      </w:r>
    </w:p>
    <w:p w14:paraId="707F7E80">
      <w:pPr>
        <w:spacing w:before="148" w:line="352" w:lineRule="auto"/>
        <w:ind w:left="18" w:right="182" w:firstLine="439"/>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1.11.3</w:t>
      </w:r>
      <w:r>
        <w:rPr>
          <w:rFonts w:ascii="Times New Roman" w:hAnsi="Times New Roman" w:eastAsia="Times New Roman" w:cs="Times New Roman"/>
          <w:color w:val="auto"/>
          <w:spacing w:val="38"/>
          <w:sz w:val="21"/>
          <w:szCs w:val="21"/>
          <w:highlight w:val="none"/>
        </w:rPr>
        <w:t xml:space="preserve"> </w:t>
      </w:r>
      <w:r>
        <w:rPr>
          <w:rFonts w:ascii="宋体" w:hAnsi="宋体" w:eastAsia="宋体" w:cs="宋体"/>
          <w:color w:val="auto"/>
          <w:spacing w:val="3"/>
          <w:sz w:val="21"/>
          <w:szCs w:val="21"/>
          <w:highlight w:val="none"/>
        </w:rPr>
        <w:t>合同当事人保证在履行合同过程中不侵犯对方及第三方的</w:t>
      </w:r>
      <w:r>
        <w:rPr>
          <w:rFonts w:ascii="宋体" w:hAnsi="宋体" w:eastAsia="宋体" w:cs="宋体"/>
          <w:color w:val="auto"/>
          <w:spacing w:val="2"/>
          <w:sz w:val="21"/>
          <w:szCs w:val="21"/>
          <w:highlight w:val="none"/>
        </w:rPr>
        <w:t>知识产权。承包人在</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使用材料、施工设备、工程设备或采用施工工艺时，因侵犯他人的专利权或</w:t>
      </w:r>
      <w:r>
        <w:rPr>
          <w:rFonts w:ascii="宋体" w:hAnsi="宋体" w:eastAsia="宋体" w:cs="宋体"/>
          <w:color w:val="auto"/>
          <w:spacing w:val="2"/>
          <w:sz w:val="21"/>
          <w:szCs w:val="21"/>
          <w:highlight w:val="none"/>
        </w:rPr>
        <w:t>其他知识产权</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所引起的责任，由承包人承担；因发包人提供的材料、施工设备、工程设备</w:t>
      </w:r>
      <w:r>
        <w:rPr>
          <w:rFonts w:ascii="宋体" w:hAnsi="宋体" w:eastAsia="宋体" w:cs="宋体"/>
          <w:color w:val="auto"/>
          <w:spacing w:val="2"/>
          <w:sz w:val="21"/>
          <w:szCs w:val="21"/>
          <w:highlight w:val="none"/>
        </w:rPr>
        <w:t>或施工工艺导</w:t>
      </w:r>
    </w:p>
    <w:p w14:paraId="7439B468">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致侵权的，</w:t>
      </w:r>
      <w:r>
        <w:rPr>
          <w:rFonts w:ascii="宋体" w:hAnsi="宋体" w:eastAsia="宋体" w:cs="宋体"/>
          <w:color w:val="auto"/>
          <w:spacing w:val="87"/>
          <w:sz w:val="21"/>
          <w:szCs w:val="21"/>
          <w:highlight w:val="none"/>
        </w:rPr>
        <w:t xml:space="preserve"> </w:t>
      </w:r>
      <w:r>
        <w:rPr>
          <w:rFonts w:ascii="宋体" w:hAnsi="宋体" w:eastAsia="宋体" w:cs="宋体"/>
          <w:color w:val="auto"/>
          <w:spacing w:val="-14"/>
          <w:sz w:val="21"/>
          <w:szCs w:val="21"/>
          <w:highlight w:val="none"/>
        </w:rPr>
        <w:t>由发包人承担责任。</w:t>
      </w:r>
    </w:p>
    <w:p w14:paraId="1CACDE13">
      <w:pPr>
        <w:spacing w:before="148" w:line="220" w:lineRule="auto"/>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1.11.4</w:t>
      </w:r>
      <w:r>
        <w:rPr>
          <w:rFonts w:ascii="Times New Roman" w:hAnsi="Times New Roman" w:eastAsia="Times New Roman" w:cs="Times New Roman"/>
          <w:color w:val="auto"/>
          <w:spacing w:val="51"/>
          <w:sz w:val="21"/>
          <w:szCs w:val="21"/>
          <w:highlight w:val="none"/>
        </w:rPr>
        <w:t xml:space="preserve"> </w:t>
      </w:r>
      <w:r>
        <w:rPr>
          <w:rFonts w:ascii="宋体" w:hAnsi="宋体" w:eastAsia="宋体" w:cs="宋体"/>
          <w:color w:val="auto"/>
          <w:spacing w:val="-1"/>
          <w:sz w:val="21"/>
          <w:szCs w:val="21"/>
          <w:highlight w:val="none"/>
        </w:rPr>
        <w:t>除专用合同条款另有约定外， 承包人在合同签订前和签订时已确定采用的专利、</w:t>
      </w:r>
    </w:p>
    <w:p w14:paraId="7D39102E">
      <w:pPr>
        <w:spacing w:before="153"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专有技术、技术秘密的使用费已包含在签约合同价中。</w:t>
      </w:r>
    </w:p>
    <w:p w14:paraId="24172837">
      <w:pPr>
        <w:spacing w:before="48" w:line="218"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1.12</w:t>
      </w:r>
      <w:r>
        <w:rPr>
          <w:rFonts w:ascii="黑体" w:hAnsi="黑体" w:eastAsia="黑体" w:cs="黑体"/>
          <w:color w:val="auto"/>
          <w:spacing w:val="-51"/>
          <w:sz w:val="24"/>
          <w:szCs w:val="24"/>
          <w:highlight w:val="none"/>
        </w:rPr>
        <w:t xml:space="preserve"> </w:t>
      </w:r>
      <w:r>
        <w:rPr>
          <w:rFonts w:ascii="黑体" w:hAnsi="黑体" w:eastAsia="黑体" w:cs="黑体"/>
          <w:color w:val="auto"/>
          <w:spacing w:val="-5"/>
          <w:sz w:val="24"/>
          <w:szCs w:val="24"/>
          <w:highlight w:val="none"/>
        </w:rPr>
        <w:t>保密</w:t>
      </w:r>
    </w:p>
    <w:p w14:paraId="7A95895D">
      <w:pPr>
        <w:spacing w:before="130" w:line="399" w:lineRule="exact"/>
        <w:ind w:left="453"/>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除法律规定或合同另有约定外， 未经发包人同意，承包人不得</w:t>
      </w:r>
      <w:r>
        <w:rPr>
          <w:rFonts w:ascii="宋体" w:hAnsi="宋体" w:eastAsia="宋体" w:cs="宋体"/>
          <w:color w:val="auto"/>
          <w:spacing w:val="-1"/>
          <w:position w:val="14"/>
          <w:sz w:val="21"/>
          <w:szCs w:val="21"/>
          <w:highlight w:val="none"/>
        </w:rPr>
        <w:t>将发包人提供的图纸、</w:t>
      </w:r>
    </w:p>
    <w:p w14:paraId="3760AC82">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文件以及声明需要保密的资料信息等商业秘密泄露</w:t>
      </w:r>
      <w:r>
        <w:rPr>
          <w:rFonts w:ascii="宋体" w:hAnsi="宋体" w:eastAsia="宋体" w:cs="宋体"/>
          <w:color w:val="auto"/>
          <w:spacing w:val="-2"/>
          <w:sz w:val="21"/>
          <w:szCs w:val="21"/>
          <w:highlight w:val="none"/>
        </w:rPr>
        <w:t>给第三方。</w:t>
      </w:r>
    </w:p>
    <w:p w14:paraId="39FA7979">
      <w:pPr>
        <w:spacing w:before="152" w:line="220" w:lineRule="auto"/>
        <w:ind w:left="453"/>
        <w:rPr>
          <w:rFonts w:ascii="宋体" w:hAnsi="宋体" w:eastAsia="宋体" w:cs="宋体"/>
          <w:color w:val="auto"/>
          <w:sz w:val="21"/>
          <w:szCs w:val="21"/>
          <w:highlight w:val="none"/>
        </w:rPr>
      </w:pPr>
      <w:r>
        <w:rPr>
          <w:rFonts w:ascii="宋体" w:hAnsi="宋体" w:eastAsia="宋体" w:cs="宋体"/>
          <w:color w:val="auto"/>
          <w:sz w:val="21"/>
          <w:szCs w:val="21"/>
          <w:highlight w:val="none"/>
        </w:rPr>
        <w:t>除法律规定或合同另有约定外， 未经承包人同意，发包人不得将承包人提供</w:t>
      </w:r>
      <w:r>
        <w:rPr>
          <w:rFonts w:ascii="宋体" w:hAnsi="宋体" w:eastAsia="宋体" w:cs="宋体"/>
          <w:color w:val="auto"/>
          <w:spacing w:val="-1"/>
          <w:sz w:val="21"/>
          <w:szCs w:val="21"/>
          <w:highlight w:val="none"/>
        </w:rPr>
        <w:t>的技术秘</w:t>
      </w:r>
    </w:p>
    <w:p w14:paraId="13D18311">
      <w:pPr>
        <w:spacing w:before="148" w:line="221"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密及声明需要保密的资料信息等商业秘密泄露给第三方。</w:t>
      </w:r>
    </w:p>
    <w:p w14:paraId="67438ECD">
      <w:pPr>
        <w:spacing w:before="46" w:line="219"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1.13</w:t>
      </w:r>
      <w:r>
        <w:rPr>
          <w:rFonts w:ascii="黑体" w:hAnsi="黑体" w:eastAsia="黑体" w:cs="黑体"/>
          <w:color w:val="auto"/>
          <w:spacing w:val="-42"/>
          <w:sz w:val="24"/>
          <w:szCs w:val="24"/>
          <w:highlight w:val="none"/>
        </w:rPr>
        <w:t xml:space="preserve"> </w:t>
      </w:r>
      <w:r>
        <w:rPr>
          <w:rFonts w:ascii="黑体" w:hAnsi="黑体" w:eastAsia="黑体" w:cs="黑体"/>
          <w:color w:val="auto"/>
          <w:spacing w:val="-3"/>
          <w:sz w:val="24"/>
          <w:szCs w:val="24"/>
          <w:highlight w:val="none"/>
        </w:rPr>
        <w:t>工程量清单错误的修正</w:t>
      </w:r>
    </w:p>
    <w:p w14:paraId="50794338">
      <w:pPr>
        <w:spacing w:before="129" w:line="399" w:lineRule="exact"/>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除专用合同条款另有约定外，发包人提供的工程量清单，应被认为是准确的和完</w:t>
      </w:r>
      <w:r>
        <w:rPr>
          <w:rFonts w:ascii="宋体" w:hAnsi="宋体" w:eastAsia="宋体" w:cs="宋体"/>
          <w:color w:val="auto"/>
          <w:spacing w:val="1"/>
          <w:position w:val="14"/>
          <w:sz w:val="21"/>
          <w:szCs w:val="21"/>
          <w:highlight w:val="none"/>
        </w:rPr>
        <w:t>整的。</w:t>
      </w:r>
    </w:p>
    <w:p w14:paraId="02E0BE84">
      <w:pPr>
        <w:spacing w:line="219" w:lineRule="auto"/>
        <w:ind w:left="3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出现下列情形之一时，发包人应予以修正，并相应调整合同价格：</w:t>
      </w:r>
    </w:p>
    <w:p w14:paraId="4B8350C6">
      <w:pPr>
        <w:spacing w:before="153"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）工程量清单存在缺项、漏项的；</w:t>
      </w:r>
    </w:p>
    <w:p w14:paraId="29686BDE">
      <w:pPr>
        <w:spacing w:before="148" w:line="399"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2</w:t>
      </w:r>
      <w:r>
        <w:rPr>
          <w:rFonts w:ascii="宋体" w:hAnsi="宋体" w:eastAsia="宋体" w:cs="宋体"/>
          <w:color w:val="auto"/>
          <w:spacing w:val="-1"/>
          <w:position w:val="14"/>
          <w:sz w:val="21"/>
          <w:szCs w:val="21"/>
          <w:highlight w:val="none"/>
        </w:rPr>
        <w:t>）工程量清单偏差超出专用合同条款约定的工</w:t>
      </w:r>
      <w:r>
        <w:rPr>
          <w:rFonts w:ascii="宋体" w:hAnsi="宋体" w:eastAsia="宋体" w:cs="宋体"/>
          <w:color w:val="auto"/>
          <w:spacing w:val="-2"/>
          <w:position w:val="14"/>
          <w:sz w:val="21"/>
          <w:szCs w:val="21"/>
          <w:highlight w:val="none"/>
        </w:rPr>
        <w:t>程量偏差范围的；</w:t>
      </w:r>
    </w:p>
    <w:p w14:paraId="58FEEE98">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）未按照国家现行计量规范强制性规定计量的。</w:t>
      </w:r>
    </w:p>
    <w:p w14:paraId="0521A2E0">
      <w:pPr>
        <w:spacing w:before="178" w:line="219" w:lineRule="auto"/>
        <w:ind w:left="20"/>
        <w:rPr>
          <w:rFonts w:ascii="黑体" w:hAnsi="黑体" w:eastAsia="黑体" w:cs="黑体"/>
          <w:color w:val="auto"/>
          <w:sz w:val="32"/>
          <w:szCs w:val="32"/>
          <w:highlight w:val="none"/>
        </w:rPr>
      </w:pPr>
      <w:r>
        <w:rPr>
          <w:rFonts w:ascii="黑体" w:hAnsi="黑体" w:eastAsia="黑体" w:cs="黑体"/>
          <w:color w:val="auto"/>
          <w:spacing w:val="-1"/>
          <w:sz w:val="32"/>
          <w:szCs w:val="32"/>
          <w:highlight w:val="none"/>
        </w:rPr>
        <w:t>2.发包人</w:t>
      </w:r>
    </w:p>
    <w:p w14:paraId="11750C3A">
      <w:pPr>
        <w:spacing w:before="146" w:line="219" w:lineRule="auto"/>
        <w:ind w:left="17"/>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2.1 许可或批准</w:t>
      </w:r>
    </w:p>
    <w:p w14:paraId="00EC75F3">
      <w:pPr>
        <w:spacing w:before="128" w:line="352" w:lineRule="auto"/>
        <w:ind w:left="21" w:right="181" w:firstLine="42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发包人应遵守法律，并办理法律规定由其办理的许可、批准或备案， 包括但不限于建</w:t>
      </w:r>
      <w:r>
        <w:rPr>
          <w:rFonts w:ascii="宋体" w:hAnsi="宋体" w:eastAsia="宋体" w:cs="宋体"/>
          <w:color w:val="auto"/>
          <w:spacing w:val="5"/>
          <w:sz w:val="21"/>
          <w:szCs w:val="21"/>
          <w:highlight w:val="none"/>
        </w:rPr>
        <w:t xml:space="preserve"> </w:t>
      </w:r>
      <w:r>
        <w:rPr>
          <w:rFonts w:ascii="宋体" w:hAnsi="宋体" w:eastAsia="宋体" w:cs="宋体"/>
          <w:color w:val="auto"/>
          <w:spacing w:val="3"/>
          <w:sz w:val="21"/>
          <w:szCs w:val="21"/>
          <w:highlight w:val="none"/>
        </w:rPr>
        <w:t>设用地规划许可证、建设工程规划许可证、建设工程施工许可证、施</w:t>
      </w:r>
      <w:r>
        <w:rPr>
          <w:rFonts w:ascii="宋体" w:hAnsi="宋体" w:eastAsia="宋体" w:cs="宋体"/>
          <w:color w:val="auto"/>
          <w:spacing w:val="2"/>
          <w:sz w:val="21"/>
          <w:szCs w:val="21"/>
          <w:highlight w:val="none"/>
        </w:rPr>
        <w:t>工所需临时用水、临</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时用电、中断道路交通、临时占用土地等许可和批准。发包人应协助</w:t>
      </w:r>
      <w:r>
        <w:rPr>
          <w:rFonts w:ascii="宋体" w:hAnsi="宋体" w:eastAsia="宋体" w:cs="宋体"/>
          <w:color w:val="auto"/>
          <w:spacing w:val="2"/>
          <w:sz w:val="21"/>
          <w:szCs w:val="21"/>
          <w:highlight w:val="none"/>
        </w:rPr>
        <w:t>承包人办理法律规定</w:t>
      </w:r>
    </w:p>
    <w:p w14:paraId="1C1BA568">
      <w:pPr>
        <w:spacing w:before="1" w:line="220" w:lineRule="auto"/>
        <w:ind w:left="3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的有关施工证件和批件。</w:t>
      </w:r>
    </w:p>
    <w:p w14:paraId="27C905D5">
      <w:pPr>
        <w:spacing w:before="147" w:line="221" w:lineRule="auto"/>
        <w:ind w:left="45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因发包人原因未能及时办理完毕前述许可、批准或备</w:t>
      </w:r>
      <w:r>
        <w:rPr>
          <w:rFonts w:ascii="宋体" w:hAnsi="宋体" w:eastAsia="宋体" w:cs="宋体"/>
          <w:color w:val="auto"/>
          <w:spacing w:val="2"/>
          <w:sz w:val="21"/>
          <w:szCs w:val="21"/>
          <w:highlight w:val="none"/>
        </w:rPr>
        <w:t>案，由发包人承担由此增加的费</w:t>
      </w:r>
    </w:p>
    <w:p w14:paraId="3D545D21">
      <w:pPr>
        <w:spacing w:before="152" w:line="221" w:lineRule="auto"/>
        <w:ind w:left="20"/>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用和（或） 延误的工期，并支付承包人合理的利润。</w:t>
      </w:r>
    </w:p>
    <w:p w14:paraId="201D30DA">
      <w:pPr>
        <w:spacing w:before="47" w:line="218" w:lineRule="auto"/>
        <w:ind w:left="17"/>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2.2 发包人代表</w:t>
      </w:r>
    </w:p>
    <w:p w14:paraId="104A836F">
      <w:pPr>
        <w:spacing w:line="218" w:lineRule="auto"/>
        <w:rPr>
          <w:rFonts w:ascii="黑体" w:hAnsi="黑体" w:eastAsia="黑体" w:cs="黑体"/>
          <w:color w:val="auto"/>
          <w:sz w:val="24"/>
          <w:szCs w:val="24"/>
          <w:highlight w:val="none"/>
        </w:rPr>
        <w:sectPr>
          <w:footerReference r:id="rId108" w:type="default"/>
          <w:pgSz w:w="11905" w:h="16839"/>
          <w:pgMar w:top="1431" w:right="1610" w:bottom="1004" w:left="1785" w:header="0" w:footer="828" w:gutter="0"/>
          <w:pgNumType w:fmt="decimal"/>
          <w:cols w:space="720" w:num="1"/>
        </w:sectPr>
      </w:pPr>
    </w:p>
    <w:p w14:paraId="0F137D83">
      <w:pPr>
        <w:spacing w:before="148" w:line="352" w:lineRule="auto"/>
        <w:ind w:left="18" w:right="179" w:firstLine="42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发包人应在专用合同条款中明确其派驻施工现场的发包人代表的姓名、职务、联系方</w:t>
      </w:r>
      <w:r>
        <w:rPr>
          <w:rFonts w:ascii="宋体" w:hAnsi="宋体" w:eastAsia="宋体" w:cs="宋体"/>
          <w:color w:val="auto"/>
          <w:sz w:val="21"/>
          <w:szCs w:val="21"/>
          <w:highlight w:val="none"/>
        </w:rPr>
        <w:t xml:space="preserve"> 式及授权范围等事项。发包人代表在发包人的授权范围内， 负责处理合同履行过程中与发</w:t>
      </w:r>
      <w:r>
        <w:rPr>
          <w:rFonts w:ascii="宋体" w:hAnsi="宋体" w:eastAsia="宋体" w:cs="宋体"/>
          <w:color w:val="auto"/>
          <w:spacing w:val="6"/>
          <w:sz w:val="21"/>
          <w:szCs w:val="21"/>
          <w:highlight w:val="none"/>
        </w:rPr>
        <w:t xml:space="preserve"> </w:t>
      </w:r>
      <w:r>
        <w:rPr>
          <w:rFonts w:ascii="宋体" w:hAnsi="宋体" w:eastAsia="宋体" w:cs="宋体"/>
          <w:color w:val="auto"/>
          <w:spacing w:val="3"/>
          <w:sz w:val="21"/>
          <w:szCs w:val="21"/>
          <w:highlight w:val="none"/>
        </w:rPr>
        <w:t>包人有关的具体事宜。发包人代表在授权范围内的行为由发包人承担法律责</w:t>
      </w:r>
      <w:r>
        <w:rPr>
          <w:rFonts w:ascii="宋体" w:hAnsi="宋体" w:eastAsia="宋体" w:cs="宋体"/>
          <w:color w:val="auto"/>
          <w:spacing w:val="2"/>
          <w:sz w:val="21"/>
          <w:szCs w:val="21"/>
          <w:highlight w:val="none"/>
        </w:rPr>
        <w:t>任。发包人更</w:t>
      </w:r>
    </w:p>
    <w:p w14:paraId="404FC889">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换发包人代表的，应提前</w:t>
      </w:r>
      <w:r>
        <w:rPr>
          <w:rFonts w:ascii="宋体" w:hAnsi="宋体" w:eastAsia="宋体" w:cs="宋体"/>
          <w:color w:val="auto"/>
          <w:spacing w:val="-43"/>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天书面通知承包</w:t>
      </w:r>
      <w:r>
        <w:rPr>
          <w:rFonts w:ascii="宋体" w:hAnsi="宋体" w:eastAsia="宋体" w:cs="宋体"/>
          <w:color w:val="auto"/>
          <w:spacing w:val="-2"/>
          <w:sz w:val="21"/>
          <w:szCs w:val="21"/>
          <w:highlight w:val="none"/>
        </w:rPr>
        <w:t>人。</w:t>
      </w:r>
    </w:p>
    <w:p w14:paraId="4EDE14EB">
      <w:pPr>
        <w:spacing w:before="148" w:line="403" w:lineRule="exact"/>
        <w:ind w:left="444"/>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发包人代表不能按照合同约定履行其职责及义务，并导致合同无法继</w:t>
      </w:r>
      <w:r>
        <w:rPr>
          <w:rFonts w:ascii="宋体" w:hAnsi="宋体" w:eastAsia="宋体" w:cs="宋体"/>
          <w:color w:val="auto"/>
          <w:spacing w:val="2"/>
          <w:position w:val="14"/>
          <w:sz w:val="21"/>
          <w:szCs w:val="21"/>
          <w:highlight w:val="none"/>
        </w:rPr>
        <w:t>续正常履行的，</w:t>
      </w:r>
    </w:p>
    <w:p w14:paraId="134E5E9E">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承包人可以要求发包人撤换发包人代表。</w:t>
      </w:r>
    </w:p>
    <w:p w14:paraId="5BF312FF">
      <w:pPr>
        <w:spacing w:before="147" w:line="221" w:lineRule="auto"/>
        <w:ind w:left="44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不属于法定必须监理的工程，监理人的职权可以由发包人代表或发包人指定的其他人</w:t>
      </w:r>
    </w:p>
    <w:p w14:paraId="5E30F962">
      <w:pPr>
        <w:spacing w:before="148" w:line="221" w:lineRule="auto"/>
        <w:ind w:left="26"/>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员行使。</w:t>
      </w:r>
    </w:p>
    <w:p w14:paraId="5976E248">
      <w:pPr>
        <w:spacing w:before="51" w:line="218" w:lineRule="auto"/>
        <w:ind w:left="17"/>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2.3 发包人人员</w:t>
      </w:r>
    </w:p>
    <w:p w14:paraId="0A5E0780">
      <w:pPr>
        <w:spacing w:before="130" w:line="350" w:lineRule="auto"/>
        <w:ind w:left="17" w:right="179" w:firstLine="427"/>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发包人应要求在施工现场的发包人人员遵守法律及有关安全、质量、环境保护、文明</w:t>
      </w:r>
      <w:r>
        <w:rPr>
          <w:rFonts w:ascii="宋体" w:hAnsi="宋体" w:eastAsia="宋体" w:cs="宋体"/>
          <w:color w:val="auto"/>
          <w:sz w:val="21"/>
          <w:szCs w:val="21"/>
          <w:highlight w:val="none"/>
        </w:rPr>
        <w:t xml:space="preserve"> 施工等规定， 并保障承包人免于承受因发包人人员未遵守上述要求给承包人造成的损失和</w:t>
      </w:r>
    </w:p>
    <w:p w14:paraId="690A3014">
      <w:pPr>
        <w:spacing w:before="1" w:line="220" w:lineRule="auto"/>
        <w:ind w:left="25"/>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责任。</w:t>
      </w:r>
    </w:p>
    <w:p w14:paraId="797F9943">
      <w:pPr>
        <w:spacing w:before="152" w:line="221" w:lineRule="auto"/>
        <w:ind w:left="444"/>
        <w:rPr>
          <w:rFonts w:ascii="宋体" w:hAnsi="宋体" w:eastAsia="宋体" w:cs="宋体"/>
          <w:color w:val="auto"/>
          <w:sz w:val="21"/>
          <w:szCs w:val="21"/>
          <w:highlight w:val="none"/>
        </w:rPr>
      </w:pPr>
      <w:r>
        <w:rPr>
          <w:rFonts w:ascii="宋体" w:hAnsi="宋体" w:eastAsia="宋体" w:cs="宋体"/>
          <w:color w:val="auto"/>
          <w:sz w:val="21"/>
          <w:szCs w:val="21"/>
          <w:highlight w:val="none"/>
        </w:rPr>
        <w:t>发包人人员包括发包人代表及其他由发包人派</w:t>
      </w:r>
      <w:r>
        <w:rPr>
          <w:rFonts w:ascii="宋体" w:hAnsi="宋体" w:eastAsia="宋体" w:cs="宋体"/>
          <w:color w:val="auto"/>
          <w:spacing w:val="-1"/>
          <w:sz w:val="21"/>
          <w:szCs w:val="21"/>
          <w:highlight w:val="none"/>
        </w:rPr>
        <w:t>驻施工现场的人员。</w:t>
      </w:r>
    </w:p>
    <w:p w14:paraId="1E9468FD">
      <w:pPr>
        <w:spacing w:before="46" w:line="218" w:lineRule="auto"/>
        <w:ind w:left="17"/>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2.4 施工现场、施工条件和基础资料的提供</w:t>
      </w:r>
    </w:p>
    <w:p w14:paraId="26567C0D">
      <w:pPr>
        <w:spacing w:before="130" w:line="220"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2.4.1 </w:t>
      </w:r>
      <w:r>
        <w:rPr>
          <w:rFonts w:ascii="宋体" w:hAnsi="宋体" w:eastAsia="宋体" w:cs="宋体"/>
          <w:color w:val="auto"/>
          <w:sz w:val="21"/>
          <w:szCs w:val="21"/>
          <w:highlight w:val="none"/>
        </w:rPr>
        <w:t>提供施工现场</w:t>
      </w:r>
    </w:p>
    <w:p w14:paraId="183977DC">
      <w:pPr>
        <w:spacing w:before="149" w:line="398" w:lineRule="exact"/>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 xml:space="preserve">除专用合同条款另有约定外，发包人应最迟于开工日期 </w:t>
      </w:r>
      <w:r>
        <w:rPr>
          <w:rFonts w:ascii="Times New Roman" w:hAnsi="Times New Roman" w:eastAsia="Times New Roman" w:cs="Times New Roman"/>
          <w:color w:val="auto"/>
          <w:spacing w:val="-1"/>
          <w:position w:val="14"/>
          <w:sz w:val="21"/>
          <w:szCs w:val="21"/>
          <w:highlight w:val="none"/>
        </w:rPr>
        <w:t xml:space="preserve">7  </w:t>
      </w:r>
      <w:r>
        <w:rPr>
          <w:rFonts w:ascii="宋体" w:hAnsi="宋体" w:eastAsia="宋体" w:cs="宋体"/>
          <w:color w:val="auto"/>
          <w:spacing w:val="-1"/>
          <w:position w:val="14"/>
          <w:sz w:val="21"/>
          <w:szCs w:val="21"/>
          <w:highlight w:val="none"/>
        </w:rPr>
        <w:t>天前向承包人移交施工现场。</w:t>
      </w:r>
    </w:p>
    <w:p w14:paraId="418FBC46">
      <w:pPr>
        <w:spacing w:before="1" w:line="219"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2.4.2 </w:t>
      </w:r>
      <w:r>
        <w:rPr>
          <w:rFonts w:ascii="宋体" w:hAnsi="宋体" w:eastAsia="宋体" w:cs="宋体"/>
          <w:color w:val="auto"/>
          <w:sz w:val="21"/>
          <w:szCs w:val="21"/>
          <w:highlight w:val="none"/>
        </w:rPr>
        <w:t>提供施工条件</w:t>
      </w:r>
    </w:p>
    <w:p w14:paraId="430D3D17">
      <w:pPr>
        <w:spacing w:before="153" w:line="220" w:lineRule="auto"/>
        <w:ind w:left="45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除专用合同条款另有约定外， 发包人应负责提供施工所需要的条件，包括：</w:t>
      </w:r>
    </w:p>
    <w:p w14:paraId="4C0F3A71">
      <w:pPr>
        <w:spacing w:before="148" w:line="221" w:lineRule="auto"/>
        <w:ind w:left="447"/>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）将施工用水、电力、通讯线路等施工所必</w:t>
      </w:r>
      <w:r>
        <w:rPr>
          <w:rFonts w:ascii="宋体" w:hAnsi="宋体" w:eastAsia="宋体" w:cs="宋体"/>
          <w:color w:val="auto"/>
          <w:spacing w:val="-1"/>
          <w:sz w:val="21"/>
          <w:szCs w:val="21"/>
          <w:highlight w:val="none"/>
        </w:rPr>
        <w:t>需的条件接至施工现场内；</w:t>
      </w:r>
    </w:p>
    <w:p w14:paraId="3A7AB551">
      <w:pPr>
        <w:spacing w:before="147"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）保证向承包人提供正常施工所需要的进入施工现场的交通条件；</w:t>
      </w:r>
    </w:p>
    <w:p w14:paraId="68F05842">
      <w:pPr>
        <w:spacing w:before="153"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）协调处理施工现场周围地下管线和邻近建筑物、构筑物、古树名木的保护工作，</w:t>
      </w:r>
    </w:p>
    <w:p w14:paraId="58B9D2D2">
      <w:pPr>
        <w:spacing w:before="147" w:line="221" w:lineRule="auto"/>
        <w:ind w:left="2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并承担相关费用；</w:t>
      </w:r>
    </w:p>
    <w:p w14:paraId="3FF76D26">
      <w:pPr>
        <w:spacing w:before="148"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4</w:t>
      </w:r>
      <w:r>
        <w:rPr>
          <w:rFonts w:ascii="宋体" w:hAnsi="宋体" w:eastAsia="宋体" w:cs="宋体"/>
          <w:color w:val="auto"/>
          <w:spacing w:val="-1"/>
          <w:sz w:val="21"/>
          <w:szCs w:val="21"/>
          <w:highlight w:val="none"/>
        </w:rPr>
        <w:t>）按照专用合同条款约定应提供的其他设施</w:t>
      </w:r>
      <w:r>
        <w:rPr>
          <w:rFonts w:ascii="宋体" w:hAnsi="宋体" w:eastAsia="宋体" w:cs="宋体"/>
          <w:color w:val="auto"/>
          <w:spacing w:val="-2"/>
          <w:sz w:val="21"/>
          <w:szCs w:val="21"/>
          <w:highlight w:val="none"/>
        </w:rPr>
        <w:t>和条件。</w:t>
      </w:r>
    </w:p>
    <w:p w14:paraId="1030DE86">
      <w:pPr>
        <w:spacing w:before="153" w:line="220"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2.4.3 </w:t>
      </w:r>
      <w:r>
        <w:rPr>
          <w:rFonts w:ascii="宋体" w:hAnsi="宋体" w:eastAsia="宋体" w:cs="宋体"/>
          <w:color w:val="auto"/>
          <w:sz w:val="21"/>
          <w:szCs w:val="21"/>
          <w:highlight w:val="none"/>
        </w:rPr>
        <w:t>提供基础资料</w:t>
      </w:r>
    </w:p>
    <w:p w14:paraId="55F6464E">
      <w:pPr>
        <w:spacing w:before="147" w:line="352" w:lineRule="auto"/>
        <w:ind w:left="18" w:right="21" w:firstLine="42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发包人应当在移交施工现场前向承包人提供施工现场及工程施工所必需的毗邻区域内  供水、排水、供电、供气、供热、通信、广播电视等地下</w:t>
      </w:r>
      <w:r>
        <w:rPr>
          <w:rFonts w:ascii="宋体" w:hAnsi="宋体" w:eastAsia="宋体" w:cs="宋体"/>
          <w:color w:val="auto"/>
          <w:spacing w:val="1"/>
          <w:sz w:val="21"/>
          <w:szCs w:val="21"/>
          <w:highlight w:val="none"/>
        </w:rPr>
        <w:t>管线资料，气象和水文观测资料，</w:t>
      </w:r>
      <w:r>
        <w:rPr>
          <w:rFonts w:ascii="宋体" w:hAnsi="宋体" w:eastAsia="宋体" w:cs="宋体"/>
          <w:color w:val="auto"/>
          <w:sz w:val="21"/>
          <w:szCs w:val="21"/>
          <w:highlight w:val="none"/>
        </w:rPr>
        <w:t xml:space="preserve"> 地质勘察资料，相邻建筑物、构筑物和地下工程等有关基础资料； 并对所提供资料的真实</w:t>
      </w:r>
    </w:p>
    <w:p w14:paraId="73FBDC4E">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性、准确性和完整性负责。</w:t>
      </w:r>
    </w:p>
    <w:p w14:paraId="6D174E9D">
      <w:pPr>
        <w:spacing w:before="148" w:line="403" w:lineRule="exact"/>
        <w:ind w:left="442"/>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按照法律规定确需在开工后方能提供的基础资料，发包人应尽其努力及时地在相应工</w:t>
      </w:r>
    </w:p>
    <w:p w14:paraId="519AE97F">
      <w:pPr>
        <w:spacing w:before="1" w:line="219" w:lineRule="auto"/>
        <w:ind w:left="1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程施工前的合理期限内提供， 合理期限应以不影响承包人的</w:t>
      </w:r>
      <w:r>
        <w:rPr>
          <w:rFonts w:ascii="宋体" w:hAnsi="宋体" w:eastAsia="宋体" w:cs="宋体"/>
          <w:color w:val="auto"/>
          <w:spacing w:val="-4"/>
          <w:sz w:val="21"/>
          <w:szCs w:val="21"/>
          <w:highlight w:val="none"/>
        </w:rPr>
        <w:t>正常施工为限。</w:t>
      </w:r>
    </w:p>
    <w:p w14:paraId="5DC85D60">
      <w:pPr>
        <w:spacing w:before="148" w:line="220"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2.4.4 </w:t>
      </w:r>
      <w:r>
        <w:rPr>
          <w:rFonts w:ascii="宋体" w:hAnsi="宋体" w:eastAsia="宋体" w:cs="宋体"/>
          <w:color w:val="auto"/>
          <w:sz w:val="21"/>
          <w:szCs w:val="21"/>
          <w:highlight w:val="none"/>
        </w:rPr>
        <w:t>逾期提供的责任</w:t>
      </w:r>
    </w:p>
    <w:p w14:paraId="6254E205">
      <w:pPr>
        <w:spacing w:before="148" w:line="220" w:lineRule="auto"/>
        <w:ind w:left="45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因发包人原因未能按合同约定及时向承包人提供施工现场、施工条件、基础资料的，</w:t>
      </w:r>
    </w:p>
    <w:p w14:paraId="6F1A6FD4">
      <w:pPr>
        <w:spacing w:before="153" w:line="221" w:lineRule="auto"/>
        <w:ind w:left="43"/>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由发包人承担由此增加的费用和（或） 延误的工期。</w:t>
      </w:r>
    </w:p>
    <w:p w14:paraId="7A558B41">
      <w:pPr>
        <w:spacing w:before="46" w:line="218" w:lineRule="auto"/>
        <w:ind w:left="17"/>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2.5 资金来源证明及支付担保</w:t>
      </w:r>
    </w:p>
    <w:p w14:paraId="39C5C877">
      <w:pPr>
        <w:spacing w:before="131" w:line="220" w:lineRule="auto"/>
        <w:ind w:left="45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除专用合同条款另有约定外，发包人应在收到承包人要求提供</w:t>
      </w:r>
      <w:r>
        <w:rPr>
          <w:rFonts w:ascii="宋体" w:hAnsi="宋体" w:eastAsia="宋体" w:cs="宋体"/>
          <w:color w:val="auto"/>
          <w:spacing w:val="2"/>
          <w:sz w:val="21"/>
          <w:szCs w:val="21"/>
          <w:highlight w:val="none"/>
        </w:rPr>
        <w:t>资金来源证明的书面通</w:t>
      </w:r>
    </w:p>
    <w:p w14:paraId="22057AB9">
      <w:pPr>
        <w:spacing w:line="220" w:lineRule="auto"/>
        <w:rPr>
          <w:rFonts w:ascii="宋体" w:hAnsi="宋体" w:eastAsia="宋体" w:cs="宋体"/>
          <w:color w:val="auto"/>
          <w:sz w:val="21"/>
          <w:szCs w:val="21"/>
          <w:highlight w:val="none"/>
        </w:rPr>
        <w:sectPr>
          <w:footerReference r:id="rId109" w:type="default"/>
          <w:pgSz w:w="11905" w:h="16839"/>
          <w:pgMar w:top="1431" w:right="1612" w:bottom="1004" w:left="1785" w:header="0" w:footer="829" w:gutter="0"/>
          <w:pgNumType w:fmt="decimal"/>
          <w:cols w:space="720" w:num="1"/>
        </w:sectPr>
      </w:pPr>
    </w:p>
    <w:p w14:paraId="25912B1E">
      <w:pPr>
        <w:spacing w:before="149" w:line="219" w:lineRule="auto"/>
        <w:ind w:left="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知后</w:t>
      </w:r>
      <w:r>
        <w:rPr>
          <w:rFonts w:ascii="宋体" w:hAnsi="宋体" w:eastAsia="宋体" w:cs="宋体"/>
          <w:color w:val="auto"/>
          <w:spacing w:val="-34"/>
          <w:sz w:val="21"/>
          <w:szCs w:val="21"/>
          <w:highlight w:val="none"/>
        </w:rPr>
        <w:t xml:space="preserve"> </w:t>
      </w:r>
      <w:r>
        <w:rPr>
          <w:rFonts w:ascii="Times New Roman" w:hAnsi="Times New Roman" w:eastAsia="Times New Roman" w:cs="Times New Roman"/>
          <w:color w:val="auto"/>
          <w:spacing w:val="-1"/>
          <w:sz w:val="21"/>
          <w:szCs w:val="21"/>
          <w:highlight w:val="none"/>
        </w:rPr>
        <w:t xml:space="preserve">28 </w:t>
      </w:r>
      <w:r>
        <w:rPr>
          <w:rFonts w:ascii="宋体" w:hAnsi="宋体" w:eastAsia="宋体" w:cs="宋体"/>
          <w:color w:val="auto"/>
          <w:spacing w:val="-1"/>
          <w:sz w:val="21"/>
          <w:szCs w:val="21"/>
          <w:highlight w:val="none"/>
        </w:rPr>
        <w:t>天内，向承包人提供能够按照合同约定支付合同价款的相应资金来源证明。</w:t>
      </w:r>
    </w:p>
    <w:p w14:paraId="63BBAC83">
      <w:pPr>
        <w:spacing w:before="149" w:line="403" w:lineRule="exact"/>
        <w:ind w:left="453"/>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除专用合同条款另有约定外，发包人要求承包人提供履约担保</w:t>
      </w:r>
      <w:r>
        <w:rPr>
          <w:rFonts w:ascii="宋体" w:hAnsi="宋体" w:eastAsia="宋体" w:cs="宋体"/>
          <w:color w:val="auto"/>
          <w:spacing w:val="2"/>
          <w:position w:val="14"/>
          <w:sz w:val="21"/>
          <w:szCs w:val="21"/>
          <w:highlight w:val="none"/>
        </w:rPr>
        <w:t>的，发包人应当向承包</w:t>
      </w:r>
    </w:p>
    <w:p w14:paraId="297746F6">
      <w:pPr>
        <w:spacing w:line="219" w:lineRule="auto"/>
        <w:ind w:left="20"/>
        <w:rPr>
          <w:rFonts w:ascii="宋体" w:hAnsi="宋体" w:eastAsia="宋体" w:cs="宋体"/>
          <w:color w:val="auto"/>
          <w:sz w:val="21"/>
          <w:szCs w:val="21"/>
          <w:highlight w:val="none"/>
        </w:rPr>
      </w:pPr>
      <w:r>
        <w:rPr>
          <w:rFonts w:ascii="宋体" w:hAnsi="宋体" w:eastAsia="宋体" w:cs="宋体"/>
          <w:color w:val="auto"/>
          <w:sz w:val="21"/>
          <w:szCs w:val="21"/>
          <w:highlight w:val="none"/>
        </w:rPr>
        <w:t>人提供支付担保。支付担保可以采用银行保函或担保公司担保等形式， 具体由合同当事人</w:t>
      </w:r>
    </w:p>
    <w:p w14:paraId="54FA72F2">
      <w:pPr>
        <w:spacing w:before="148" w:line="221" w:lineRule="auto"/>
        <w:ind w:left="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在专用合同条款中约定。</w:t>
      </w:r>
    </w:p>
    <w:p w14:paraId="10030834">
      <w:pPr>
        <w:spacing w:before="45" w:line="219" w:lineRule="auto"/>
        <w:ind w:left="17"/>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2.6</w:t>
      </w:r>
      <w:r>
        <w:rPr>
          <w:rFonts w:ascii="黑体" w:hAnsi="黑体" w:eastAsia="黑体" w:cs="黑体"/>
          <w:color w:val="auto"/>
          <w:spacing w:val="21"/>
          <w:sz w:val="24"/>
          <w:szCs w:val="24"/>
          <w:highlight w:val="none"/>
        </w:rPr>
        <w:t xml:space="preserve"> </w:t>
      </w:r>
      <w:r>
        <w:rPr>
          <w:rFonts w:ascii="黑体" w:hAnsi="黑体" w:eastAsia="黑体" w:cs="黑体"/>
          <w:color w:val="auto"/>
          <w:spacing w:val="-3"/>
          <w:sz w:val="24"/>
          <w:szCs w:val="24"/>
          <w:highlight w:val="none"/>
        </w:rPr>
        <w:t>支付合同价款</w:t>
      </w:r>
    </w:p>
    <w:p w14:paraId="7EC78D26">
      <w:pPr>
        <w:spacing w:before="130" w:line="219" w:lineRule="auto"/>
        <w:ind w:left="4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发包人应按合同约定向承包人及时支付合同价款。</w:t>
      </w:r>
    </w:p>
    <w:p w14:paraId="2C5B3D85">
      <w:pPr>
        <w:spacing w:before="47" w:line="218" w:lineRule="auto"/>
        <w:ind w:left="17"/>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2.7 组织竣工验收</w:t>
      </w:r>
    </w:p>
    <w:p w14:paraId="784F9DFF">
      <w:pPr>
        <w:spacing w:before="130" w:line="221" w:lineRule="auto"/>
        <w:ind w:left="4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发包人应按合同约定及时组织竣工验收。</w:t>
      </w:r>
    </w:p>
    <w:p w14:paraId="349F72D8">
      <w:pPr>
        <w:spacing w:before="51" w:line="218" w:lineRule="auto"/>
        <w:ind w:left="17"/>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2.8 现场统一管理协议</w:t>
      </w:r>
    </w:p>
    <w:p w14:paraId="4C378AF6">
      <w:pPr>
        <w:spacing w:before="130" w:line="399" w:lineRule="exact"/>
        <w:ind w:left="444"/>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发包人应与承包人、由发包人直接发包的专业工程的承包人签订施工现场统一管理协</w:t>
      </w:r>
    </w:p>
    <w:p w14:paraId="0116C8FA">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议，明确各方的权利义务。施工现场统一管理协议作为专用合同条款的附件。</w:t>
      </w:r>
    </w:p>
    <w:p w14:paraId="63271540">
      <w:pPr>
        <w:spacing w:before="174" w:line="220" w:lineRule="auto"/>
        <w:ind w:left="22"/>
        <w:rPr>
          <w:rFonts w:ascii="黑体" w:hAnsi="黑体" w:eastAsia="黑体" w:cs="黑体"/>
          <w:color w:val="auto"/>
          <w:sz w:val="32"/>
          <w:szCs w:val="32"/>
          <w:highlight w:val="none"/>
        </w:rPr>
      </w:pPr>
      <w:r>
        <w:rPr>
          <w:rFonts w:ascii="黑体" w:hAnsi="黑体" w:eastAsia="黑体" w:cs="黑体"/>
          <w:color w:val="auto"/>
          <w:spacing w:val="-2"/>
          <w:sz w:val="32"/>
          <w:szCs w:val="32"/>
          <w:highlight w:val="none"/>
        </w:rPr>
        <w:t>3.承包人</w:t>
      </w:r>
    </w:p>
    <w:p w14:paraId="38CE28CC">
      <w:pPr>
        <w:spacing w:before="149" w:line="218" w:lineRule="auto"/>
        <w:ind w:left="19"/>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3.1 承包人的一般义务</w:t>
      </w:r>
    </w:p>
    <w:p w14:paraId="29981A29">
      <w:pPr>
        <w:spacing w:before="130" w:line="221"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承包人在履行合同过程中应遵守法律和工程建设标准规范，并履行以下义务：</w:t>
      </w:r>
    </w:p>
    <w:p w14:paraId="0E9CA09B">
      <w:pPr>
        <w:spacing w:before="147" w:line="399" w:lineRule="exact"/>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w:t>
      </w:r>
      <w:r>
        <w:rPr>
          <w:rFonts w:ascii="Times New Roman" w:hAnsi="Times New Roman" w:eastAsia="Times New Roman" w:cs="Times New Roman"/>
          <w:color w:val="auto"/>
          <w:spacing w:val="-3"/>
          <w:position w:val="14"/>
          <w:sz w:val="21"/>
          <w:szCs w:val="21"/>
          <w:highlight w:val="none"/>
        </w:rPr>
        <w:t>1</w:t>
      </w:r>
      <w:r>
        <w:rPr>
          <w:rFonts w:ascii="宋体" w:hAnsi="宋体" w:eastAsia="宋体" w:cs="宋体"/>
          <w:color w:val="auto"/>
          <w:spacing w:val="-3"/>
          <w:position w:val="14"/>
          <w:sz w:val="21"/>
          <w:szCs w:val="21"/>
          <w:highlight w:val="none"/>
        </w:rPr>
        <w:t>）办理法律规定应由承包人办理的许可和批准，</w:t>
      </w:r>
      <w:r>
        <w:rPr>
          <w:rFonts w:ascii="宋体" w:hAnsi="宋体" w:eastAsia="宋体" w:cs="宋体"/>
          <w:color w:val="auto"/>
          <w:spacing w:val="-21"/>
          <w:position w:val="14"/>
          <w:sz w:val="21"/>
          <w:szCs w:val="21"/>
          <w:highlight w:val="none"/>
        </w:rPr>
        <w:t xml:space="preserve"> </w:t>
      </w:r>
      <w:r>
        <w:rPr>
          <w:rFonts w:ascii="宋体" w:hAnsi="宋体" w:eastAsia="宋体" w:cs="宋体"/>
          <w:color w:val="auto"/>
          <w:spacing w:val="-3"/>
          <w:position w:val="14"/>
          <w:sz w:val="21"/>
          <w:szCs w:val="21"/>
          <w:highlight w:val="none"/>
        </w:rPr>
        <w:t>并将</w:t>
      </w:r>
      <w:r>
        <w:rPr>
          <w:rFonts w:ascii="宋体" w:hAnsi="宋体" w:eastAsia="宋体" w:cs="宋体"/>
          <w:color w:val="auto"/>
          <w:spacing w:val="-4"/>
          <w:position w:val="14"/>
          <w:sz w:val="21"/>
          <w:szCs w:val="21"/>
          <w:highlight w:val="none"/>
        </w:rPr>
        <w:t>办理结果书面报送发包人留存；</w:t>
      </w:r>
    </w:p>
    <w:p w14:paraId="6A415F3B">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2</w:t>
      </w:r>
      <w:r>
        <w:rPr>
          <w:rFonts w:ascii="宋体" w:hAnsi="宋体" w:eastAsia="宋体" w:cs="宋体"/>
          <w:color w:val="auto"/>
          <w:spacing w:val="-5"/>
          <w:sz w:val="21"/>
          <w:szCs w:val="21"/>
          <w:highlight w:val="none"/>
        </w:rPr>
        <w:t>）按法律规定和合同约定完成工程， 并在保修期内承担保修义务；</w:t>
      </w:r>
    </w:p>
    <w:p w14:paraId="491C71F1">
      <w:pPr>
        <w:spacing w:before="153" w:line="399"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）按法律规定和合同约定采取施工安全和环境保护措施，办理工伤保险，确保</w:t>
      </w:r>
      <w:r>
        <w:rPr>
          <w:rFonts w:ascii="宋体" w:hAnsi="宋体" w:eastAsia="宋体" w:cs="宋体"/>
          <w:color w:val="auto"/>
          <w:spacing w:val="-1"/>
          <w:position w:val="14"/>
          <w:sz w:val="21"/>
          <w:szCs w:val="21"/>
          <w:highlight w:val="none"/>
        </w:rPr>
        <w:t>工程</w:t>
      </w:r>
    </w:p>
    <w:p w14:paraId="2D986968">
      <w:pPr>
        <w:spacing w:line="219" w:lineRule="auto"/>
        <w:ind w:left="1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及人员、材料、设备和设施的安全；</w:t>
      </w:r>
    </w:p>
    <w:p w14:paraId="67CBF453">
      <w:pPr>
        <w:spacing w:before="149" w:line="403"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4</w:t>
      </w:r>
      <w:r>
        <w:rPr>
          <w:rFonts w:ascii="宋体" w:hAnsi="宋体" w:eastAsia="宋体" w:cs="宋体"/>
          <w:color w:val="auto"/>
          <w:position w:val="14"/>
          <w:sz w:val="21"/>
          <w:szCs w:val="21"/>
          <w:highlight w:val="none"/>
        </w:rPr>
        <w:t>）按合同约定的工作内容和施工进度要求，编制施工组织设计和施工措施计</w:t>
      </w:r>
      <w:r>
        <w:rPr>
          <w:rFonts w:ascii="宋体" w:hAnsi="宋体" w:eastAsia="宋体" w:cs="宋体"/>
          <w:color w:val="auto"/>
          <w:spacing w:val="-1"/>
          <w:position w:val="14"/>
          <w:sz w:val="21"/>
          <w:szCs w:val="21"/>
          <w:highlight w:val="none"/>
        </w:rPr>
        <w:t>划，并</w:t>
      </w:r>
    </w:p>
    <w:p w14:paraId="658FEE42">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对所有施工作业和施工方法的完备性和安全可靠性负责；</w:t>
      </w:r>
    </w:p>
    <w:p w14:paraId="6F67E452">
      <w:pPr>
        <w:spacing w:before="146" w:line="353" w:lineRule="auto"/>
        <w:ind w:left="17" w:right="188" w:firstLine="430"/>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5</w:t>
      </w:r>
      <w:r>
        <w:rPr>
          <w:rFonts w:ascii="宋体" w:hAnsi="宋体" w:eastAsia="宋体" w:cs="宋体"/>
          <w:color w:val="auto"/>
          <w:sz w:val="21"/>
          <w:szCs w:val="21"/>
          <w:highlight w:val="none"/>
        </w:rPr>
        <w:t>）在进行合同约定的各项工作时，不得侵害发包人与他人使用公用道路、水</w:t>
      </w:r>
      <w:r>
        <w:rPr>
          <w:rFonts w:ascii="宋体" w:hAnsi="宋体" w:eastAsia="宋体" w:cs="宋体"/>
          <w:color w:val="auto"/>
          <w:spacing w:val="-1"/>
          <w:sz w:val="21"/>
          <w:szCs w:val="21"/>
          <w:highlight w:val="none"/>
        </w:rPr>
        <w:t>源、市</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政管网等公共设施的权利，避免对邻近的公共设施产生干扰。承包人占用或使</w:t>
      </w:r>
      <w:r>
        <w:rPr>
          <w:rFonts w:ascii="宋体" w:hAnsi="宋体" w:eastAsia="宋体" w:cs="宋体"/>
          <w:color w:val="auto"/>
          <w:spacing w:val="2"/>
          <w:sz w:val="21"/>
          <w:szCs w:val="21"/>
          <w:highlight w:val="none"/>
        </w:rPr>
        <w:t>用他人的施</w:t>
      </w:r>
    </w:p>
    <w:p w14:paraId="592082D2">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工场地，影响他人作业或生活的，应承担相应责任；</w:t>
      </w:r>
    </w:p>
    <w:p w14:paraId="07191B8C">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6</w:t>
      </w:r>
      <w:r>
        <w:rPr>
          <w:rFonts w:ascii="宋体" w:hAnsi="宋体" w:eastAsia="宋体" w:cs="宋体"/>
          <w:color w:val="auto"/>
          <w:spacing w:val="-1"/>
          <w:sz w:val="21"/>
          <w:szCs w:val="21"/>
          <w:highlight w:val="none"/>
        </w:rPr>
        <w:t>）按照第</w:t>
      </w:r>
      <w:r>
        <w:rPr>
          <w:rFonts w:ascii="宋体" w:hAnsi="宋体" w:eastAsia="宋体" w:cs="宋体"/>
          <w:color w:val="auto"/>
          <w:spacing w:val="-32"/>
          <w:sz w:val="21"/>
          <w:szCs w:val="21"/>
          <w:highlight w:val="none"/>
        </w:rPr>
        <w:t xml:space="preserve"> </w:t>
      </w:r>
      <w:r>
        <w:rPr>
          <w:rFonts w:ascii="Times New Roman" w:hAnsi="Times New Roman" w:eastAsia="Times New Roman" w:cs="Times New Roman"/>
          <w:color w:val="auto"/>
          <w:spacing w:val="-1"/>
          <w:sz w:val="21"/>
          <w:szCs w:val="21"/>
          <w:highlight w:val="none"/>
        </w:rPr>
        <w:t xml:space="preserve">6.3 </w:t>
      </w:r>
      <w:r>
        <w:rPr>
          <w:rFonts w:ascii="宋体" w:hAnsi="宋体" w:eastAsia="宋体" w:cs="宋体"/>
          <w:color w:val="auto"/>
          <w:spacing w:val="-1"/>
          <w:sz w:val="21"/>
          <w:szCs w:val="21"/>
          <w:highlight w:val="none"/>
        </w:rPr>
        <w:t>款〔环境保护〕约定负责施工场地及其周边环境与生态的保护工作；</w:t>
      </w:r>
    </w:p>
    <w:p w14:paraId="583B1CAF">
      <w:pPr>
        <w:spacing w:before="147" w:line="404" w:lineRule="exact"/>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7</w:t>
      </w:r>
      <w:r>
        <w:rPr>
          <w:rFonts w:ascii="宋体" w:hAnsi="宋体" w:eastAsia="宋体" w:cs="宋体"/>
          <w:color w:val="auto"/>
          <w:spacing w:val="-1"/>
          <w:position w:val="14"/>
          <w:sz w:val="21"/>
          <w:szCs w:val="21"/>
          <w:highlight w:val="none"/>
        </w:rPr>
        <w:t xml:space="preserve">）按第 </w:t>
      </w:r>
      <w:r>
        <w:rPr>
          <w:rFonts w:ascii="Times New Roman" w:hAnsi="Times New Roman" w:eastAsia="Times New Roman" w:cs="Times New Roman"/>
          <w:color w:val="auto"/>
          <w:spacing w:val="-1"/>
          <w:position w:val="14"/>
          <w:sz w:val="21"/>
          <w:szCs w:val="21"/>
          <w:highlight w:val="none"/>
        </w:rPr>
        <w:t>6.1</w:t>
      </w:r>
      <w:r>
        <w:rPr>
          <w:rFonts w:ascii="Times New Roman" w:hAnsi="Times New Roman" w:eastAsia="Times New Roman" w:cs="Times New Roman"/>
          <w:color w:val="auto"/>
          <w:spacing w:val="34"/>
          <w:position w:val="14"/>
          <w:sz w:val="21"/>
          <w:szCs w:val="21"/>
          <w:highlight w:val="none"/>
        </w:rPr>
        <w:t xml:space="preserve"> </w:t>
      </w:r>
      <w:r>
        <w:rPr>
          <w:rFonts w:ascii="宋体" w:hAnsi="宋体" w:eastAsia="宋体" w:cs="宋体"/>
          <w:color w:val="auto"/>
          <w:spacing w:val="-1"/>
          <w:position w:val="14"/>
          <w:sz w:val="21"/>
          <w:szCs w:val="21"/>
          <w:highlight w:val="none"/>
        </w:rPr>
        <w:t>款〔安全文明施工〕约定采取施工</w:t>
      </w:r>
      <w:r>
        <w:rPr>
          <w:rFonts w:ascii="宋体" w:hAnsi="宋体" w:eastAsia="宋体" w:cs="宋体"/>
          <w:color w:val="auto"/>
          <w:spacing w:val="-2"/>
          <w:position w:val="14"/>
          <w:sz w:val="21"/>
          <w:szCs w:val="21"/>
          <w:highlight w:val="none"/>
        </w:rPr>
        <w:t>安全措施，确保工程及其人员、材料、</w:t>
      </w:r>
    </w:p>
    <w:p w14:paraId="0FD4ECD8">
      <w:pPr>
        <w:spacing w:before="1" w:line="220" w:lineRule="auto"/>
        <w:ind w:left="21"/>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设备和设施的安全，</w:t>
      </w:r>
      <w:r>
        <w:rPr>
          <w:rFonts w:ascii="宋体" w:hAnsi="宋体" w:eastAsia="宋体" w:cs="宋体"/>
          <w:color w:val="auto"/>
          <w:spacing w:val="31"/>
          <w:sz w:val="21"/>
          <w:szCs w:val="21"/>
          <w:highlight w:val="none"/>
        </w:rPr>
        <w:t xml:space="preserve"> </w:t>
      </w:r>
      <w:r>
        <w:rPr>
          <w:rFonts w:ascii="宋体" w:hAnsi="宋体" w:eastAsia="宋体" w:cs="宋体"/>
          <w:color w:val="auto"/>
          <w:spacing w:val="-5"/>
          <w:sz w:val="21"/>
          <w:szCs w:val="21"/>
          <w:highlight w:val="none"/>
        </w:rPr>
        <w:t>防止因工程施工造成的人身伤害和财产损失；</w:t>
      </w:r>
    </w:p>
    <w:p w14:paraId="59C3FFE4">
      <w:pPr>
        <w:spacing w:before="147" w:line="399"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8</w:t>
      </w:r>
      <w:r>
        <w:rPr>
          <w:rFonts w:ascii="宋体" w:hAnsi="宋体" w:eastAsia="宋体" w:cs="宋体"/>
          <w:color w:val="auto"/>
          <w:position w:val="14"/>
          <w:sz w:val="21"/>
          <w:szCs w:val="21"/>
          <w:highlight w:val="none"/>
        </w:rPr>
        <w:t>）将发包人按合同约定支付的各项价款专用于合同工程，且应及时支付其雇用人员</w:t>
      </w:r>
    </w:p>
    <w:p w14:paraId="0E8E509D">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工资，并及时向分包人支付合同价款；</w:t>
      </w:r>
    </w:p>
    <w:p w14:paraId="1F012523">
      <w:pPr>
        <w:spacing w:before="154" w:line="398"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9</w:t>
      </w:r>
      <w:r>
        <w:rPr>
          <w:rFonts w:ascii="宋体" w:hAnsi="宋体" w:eastAsia="宋体" w:cs="宋体"/>
          <w:color w:val="auto"/>
          <w:position w:val="14"/>
          <w:sz w:val="21"/>
          <w:szCs w:val="21"/>
          <w:highlight w:val="none"/>
        </w:rPr>
        <w:t>）按照法律规定和合同约定编制竣工资料，完成竣工资料立卷及归档，并按</w:t>
      </w:r>
      <w:r>
        <w:rPr>
          <w:rFonts w:ascii="宋体" w:hAnsi="宋体" w:eastAsia="宋体" w:cs="宋体"/>
          <w:color w:val="auto"/>
          <w:spacing w:val="-1"/>
          <w:position w:val="14"/>
          <w:sz w:val="21"/>
          <w:szCs w:val="21"/>
          <w:highlight w:val="none"/>
        </w:rPr>
        <w:t>专用合</w:t>
      </w:r>
    </w:p>
    <w:p w14:paraId="494D9E28">
      <w:pPr>
        <w:spacing w:before="1" w:line="220" w:lineRule="auto"/>
        <w:ind w:left="3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同条款约定的竣工资料的套数、内容、时间等要求移交发包人；</w:t>
      </w:r>
    </w:p>
    <w:p w14:paraId="2E11F098">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10</w:t>
      </w:r>
      <w:r>
        <w:rPr>
          <w:rFonts w:ascii="宋体" w:hAnsi="宋体" w:eastAsia="宋体" w:cs="宋体"/>
          <w:color w:val="auto"/>
          <w:spacing w:val="-3"/>
          <w:sz w:val="21"/>
          <w:szCs w:val="21"/>
          <w:highlight w:val="none"/>
        </w:rPr>
        <w:t>）应履行的其他义务。</w:t>
      </w:r>
    </w:p>
    <w:p w14:paraId="70A0C90A">
      <w:pPr>
        <w:spacing w:before="46" w:line="219" w:lineRule="auto"/>
        <w:ind w:left="19"/>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3.2 项目经理</w:t>
      </w:r>
    </w:p>
    <w:p w14:paraId="1F6A412C">
      <w:pPr>
        <w:spacing w:before="128" w:line="353" w:lineRule="auto"/>
        <w:ind w:left="20" w:right="185" w:firstLine="420"/>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3.2.1</w:t>
      </w:r>
      <w:r>
        <w:rPr>
          <w:rFonts w:ascii="Times New Roman" w:hAnsi="Times New Roman" w:eastAsia="Times New Roman" w:cs="Times New Roman"/>
          <w:color w:val="auto"/>
          <w:spacing w:val="36"/>
          <w:sz w:val="21"/>
          <w:szCs w:val="21"/>
          <w:highlight w:val="none"/>
        </w:rPr>
        <w:t xml:space="preserve"> </w:t>
      </w:r>
      <w:r>
        <w:rPr>
          <w:rFonts w:ascii="宋体" w:hAnsi="宋体" w:eastAsia="宋体" w:cs="宋体"/>
          <w:color w:val="auto"/>
          <w:spacing w:val="1"/>
          <w:sz w:val="21"/>
          <w:szCs w:val="21"/>
          <w:highlight w:val="none"/>
        </w:rPr>
        <w:t>项目经理应为合同当事人所确认的人选，</w:t>
      </w:r>
      <w:r>
        <w:rPr>
          <w:rFonts w:ascii="宋体" w:hAnsi="宋体" w:eastAsia="宋体" w:cs="宋体"/>
          <w:color w:val="auto"/>
          <w:sz w:val="21"/>
          <w:szCs w:val="21"/>
          <w:highlight w:val="none"/>
        </w:rPr>
        <w:t xml:space="preserve">并在专用合同条款中明确项目经理的姓 </w:t>
      </w:r>
      <w:r>
        <w:rPr>
          <w:rFonts w:ascii="宋体" w:hAnsi="宋体" w:eastAsia="宋体" w:cs="宋体"/>
          <w:color w:val="auto"/>
          <w:spacing w:val="3"/>
          <w:sz w:val="21"/>
          <w:szCs w:val="21"/>
          <w:highlight w:val="none"/>
        </w:rPr>
        <w:t>名、职称、注册执业证书编号、联系方式及授权范围等事项，项目经理</w:t>
      </w:r>
      <w:r>
        <w:rPr>
          <w:rFonts w:ascii="宋体" w:hAnsi="宋体" w:eastAsia="宋体" w:cs="宋体"/>
          <w:color w:val="auto"/>
          <w:spacing w:val="2"/>
          <w:sz w:val="21"/>
          <w:szCs w:val="21"/>
          <w:highlight w:val="none"/>
        </w:rPr>
        <w:t>经承包人授权后代</w:t>
      </w:r>
    </w:p>
    <w:p w14:paraId="5FD29D93">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表承包人负责履行合同。项目经理应是承包人正式聘用的员工，承包人应向发</w:t>
      </w:r>
      <w:r>
        <w:rPr>
          <w:rFonts w:ascii="宋体" w:hAnsi="宋体" w:eastAsia="宋体" w:cs="宋体"/>
          <w:color w:val="auto"/>
          <w:spacing w:val="2"/>
          <w:sz w:val="21"/>
          <w:szCs w:val="21"/>
          <w:highlight w:val="none"/>
        </w:rPr>
        <w:t>包人提交项</w:t>
      </w:r>
    </w:p>
    <w:p w14:paraId="43454311">
      <w:pPr>
        <w:spacing w:line="220" w:lineRule="auto"/>
        <w:rPr>
          <w:rFonts w:ascii="宋体" w:hAnsi="宋体" w:eastAsia="宋体" w:cs="宋体"/>
          <w:color w:val="auto"/>
          <w:sz w:val="21"/>
          <w:szCs w:val="21"/>
          <w:highlight w:val="none"/>
        </w:rPr>
        <w:sectPr>
          <w:footerReference r:id="rId110" w:type="default"/>
          <w:pgSz w:w="11905" w:h="16839"/>
          <w:pgMar w:top="1431" w:right="1608" w:bottom="1004" w:left="1785" w:header="0" w:footer="829" w:gutter="0"/>
          <w:pgNumType w:fmt="decimal"/>
          <w:cols w:space="720" w:num="1"/>
        </w:sectPr>
      </w:pPr>
    </w:p>
    <w:p w14:paraId="5E96D0D4">
      <w:pPr>
        <w:spacing w:before="150" w:line="352" w:lineRule="auto"/>
        <w:ind w:left="20" w:right="185" w:firstLine="38"/>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目经理与承包人之间的劳动合同， 以及承包人为项目经理缴纳社会保险的有效证明。承包</w:t>
      </w:r>
      <w:r>
        <w:rPr>
          <w:rFonts w:ascii="宋体" w:hAnsi="宋体" w:eastAsia="宋体" w:cs="宋体"/>
          <w:color w:val="auto"/>
          <w:spacing w:val="6"/>
          <w:sz w:val="21"/>
          <w:szCs w:val="21"/>
          <w:highlight w:val="none"/>
        </w:rPr>
        <w:t xml:space="preserve"> </w:t>
      </w:r>
      <w:r>
        <w:rPr>
          <w:rFonts w:ascii="宋体" w:hAnsi="宋体" w:eastAsia="宋体" w:cs="宋体"/>
          <w:color w:val="auto"/>
          <w:sz w:val="21"/>
          <w:szCs w:val="21"/>
          <w:highlight w:val="none"/>
        </w:rPr>
        <w:t>人不提交上述文件的， 项目经理无权履行职责，发包人有权要求更换项目经理，由此增加</w:t>
      </w:r>
    </w:p>
    <w:p w14:paraId="567845C7">
      <w:pPr>
        <w:spacing w:line="220" w:lineRule="auto"/>
        <w:ind w:left="3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的费用和（或）延误的工期由承包人承担。</w:t>
      </w:r>
    </w:p>
    <w:p w14:paraId="08CBCD69">
      <w:pPr>
        <w:spacing w:before="146" w:line="352" w:lineRule="auto"/>
        <w:ind w:left="19" w:firstLine="42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项目经理应常驻施工现场， 且每月在施工现场时间不得少于专用合同条款约定的天数。</w:t>
      </w:r>
      <w:r>
        <w:rPr>
          <w:rFonts w:ascii="宋体" w:hAnsi="宋体" w:eastAsia="宋体" w:cs="宋体"/>
          <w:color w:val="auto"/>
          <w:spacing w:val="14"/>
          <w:sz w:val="21"/>
          <w:szCs w:val="21"/>
          <w:highlight w:val="none"/>
        </w:rPr>
        <w:t xml:space="preserve"> </w:t>
      </w:r>
      <w:r>
        <w:rPr>
          <w:rFonts w:ascii="宋体" w:hAnsi="宋体" w:eastAsia="宋体" w:cs="宋体"/>
          <w:color w:val="auto"/>
          <w:spacing w:val="3"/>
          <w:sz w:val="21"/>
          <w:szCs w:val="21"/>
          <w:highlight w:val="none"/>
        </w:rPr>
        <w:t>项目经理不得同时担任其他项目的项目经理。项目经理</w:t>
      </w:r>
      <w:r>
        <w:rPr>
          <w:rFonts w:ascii="宋体" w:hAnsi="宋体" w:eastAsia="宋体" w:cs="宋体"/>
          <w:color w:val="auto"/>
          <w:spacing w:val="2"/>
          <w:sz w:val="21"/>
          <w:szCs w:val="21"/>
          <w:highlight w:val="none"/>
        </w:rPr>
        <w:t xml:space="preserve">确需离开施工现场时，应事先通知  </w:t>
      </w:r>
      <w:r>
        <w:rPr>
          <w:rFonts w:ascii="宋体" w:hAnsi="宋体" w:eastAsia="宋体" w:cs="宋体"/>
          <w:color w:val="auto"/>
          <w:spacing w:val="3"/>
          <w:sz w:val="21"/>
          <w:szCs w:val="21"/>
          <w:highlight w:val="none"/>
        </w:rPr>
        <w:t>监理人，并取得发包人的书面同意。项目经理的通知中应当载明临时代行其</w:t>
      </w:r>
      <w:r>
        <w:rPr>
          <w:rFonts w:ascii="宋体" w:hAnsi="宋体" w:eastAsia="宋体" w:cs="宋体"/>
          <w:color w:val="auto"/>
          <w:spacing w:val="2"/>
          <w:sz w:val="21"/>
          <w:szCs w:val="21"/>
          <w:highlight w:val="none"/>
        </w:rPr>
        <w:t>职责的人员的</w:t>
      </w:r>
    </w:p>
    <w:p w14:paraId="2B836331">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注册执业资格、管理经验等资料，该人员应具备履行相应职责的能力。</w:t>
      </w:r>
    </w:p>
    <w:p w14:paraId="32D54F31">
      <w:pPr>
        <w:spacing w:before="147" w:line="221"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承包人违反上述约定的，应按照专用合同条款的约定，承担违约责</w:t>
      </w:r>
      <w:r>
        <w:rPr>
          <w:rFonts w:ascii="宋体" w:hAnsi="宋体" w:eastAsia="宋体" w:cs="宋体"/>
          <w:color w:val="auto"/>
          <w:spacing w:val="-2"/>
          <w:sz w:val="21"/>
          <w:szCs w:val="21"/>
          <w:highlight w:val="none"/>
        </w:rPr>
        <w:t>任。</w:t>
      </w:r>
    </w:p>
    <w:p w14:paraId="56AA5AC6">
      <w:pPr>
        <w:spacing w:before="151" w:line="352" w:lineRule="auto"/>
        <w:ind w:left="17" w:right="176" w:firstLine="424"/>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3.2.2</w:t>
      </w:r>
      <w:r>
        <w:rPr>
          <w:rFonts w:ascii="Times New Roman" w:hAnsi="Times New Roman" w:eastAsia="Times New Roman" w:cs="Times New Roman"/>
          <w:color w:val="auto"/>
          <w:spacing w:val="36"/>
          <w:sz w:val="21"/>
          <w:szCs w:val="21"/>
          <w:highlight w:val="none"/>
        </w:rPr>
        <w:t xml:space="preserve"> </w:t>
      </w:r>
      <w:r>
        <w:rPr>
          <w:rFonts w:ascii="宋体" w:hAnsi="宋体" w:eastAsia="宋体" w:cs="宋体"/>
          <w:color w:val="auto"/>
          <w:spacing w:val="1"/>
          <w:sz w:val="21"/>
          <w:szCs w:val="21"/>
          <w:highlight w:val="none"/>
        </w:rPr>
        <w:t>项目经理按合同约定组织工程实施。在紧急情况下为确</w:t>
      </w:r>
      <w:r>
        <w:rPr>
          <w:rFonts w:ascii="宋体" w:hAnsi="宋体" w:eastAsia="宋体" w:cs="宋体"/>
          <w:color w:val="auto"/>
          <w:sz w:val="21"/>
          <w:szCs w:val="21"/>
          <w:highlight w:val="none"/>
        </w:rPr>
        <w:t>保施工安全和人员安全， 在无法与发包人代表和总监理工程师及时取得联</w:t>
      </w:r>
      <w:r>
        <w:rPr>
          <w:rFonts w:ascii="宋体" w:hAnsi="宋体" w:eastAsia="宋体" w:cs="宋体"/>
          <w:color w:val="auto"/>
          <w:spacing w:val="-1"/>
          <w:sz w:val="21"/>
          <w:szCs w:val="21"/>
          <w:highlight w:val="none"/>
        </w:rPr>
        <w:t>系时，</w:t>
      </w:r>
      <w:r>
        <w:rPr>
          <w:rFonts w:ascii="宋体" w:hAnsi="宋体" w:eastAsia="宋体" w:cs="宋体"/>
          <w:color w:val="auto"/>
          <w:spacing w:val="28"/>
          <w:sz w:val="21"/>
          <w:szCs w:val="21"/>
          <w:highlight w:val="none"/>
        </w:rPr>
        <w:t xml:space="preserve"> </w:t>
      </w:r>
      <w:r>
        <w:rPr>
          <w:rFonts w:ascii="宋体" w:hAnsi="宋体" w:eastAsia="宋体" w:cs="宋体"/>
          <w:color w:val="auto"/>
          <w:spacing w:val="-1"/>
          <w:sz w:val="21"/>
          <w:szCs w:val="21"/>
          <w:highlight w:val="none"/>
        </w:rPr>
        <w:t>项目经理有权采取必要的措施保证</w:t>
      </w:r>
      <w:r>
        <w:rPr>
          <w:rFonts w:ascii="宋体" w:hAnsi="宋体" w:eastAsia="宋体" w:cs="宋体"/>
          <w:color w:val="auto"/>
          <w:sz w:val="21"/>
          <w:szCs w:val="21"/>
          <w:highlight w:val="none"/>
        </w:rPr>
        <w:t xml:space="preserve"> 与工程有关的人身、财产和工程的安全，但应在</w:t>
      </w:r>
      <w:r>
        <w:rPr>
          <w:rFonts w:ascii="宋体" w:hAnsi="宋体" w:eastAsia="宋体" w:cs="宋体"/>
          <w:color w:val="auto"/>
          <w:spacing w:val="-20"/>
          <w:sz w:val="21"/>
          <w:szCs w:val="21"/>
          <w:highlight w:val="none"/>
        </w:rPr>
        <w:t xml:space="preserve"> </w:t>
      </w:r>
      <w:r>
        <w:rPr>
          <w:rFonts w:ascii="Times New Roman" w:hAnsi="Times New Roman" w:eastAsia="Times New Roman" w:cs="Times New Roman"/>
          <w:color w:val="auto"/>
          <w:sz w:val="21"/>
          <w:szCs w:val="21"/>
          <w:highlight w:val="none"/>
        </w:rPr>
        <w:t xml:space="preserve">48 </w:t>
      </w:r>
      <w:r>
        <w:rPr>
          <w:rFonts w:ascii="宋体" w:hAnsi="宋体" w:eastAsia="宋体" w:cs="宋体"/>
          <w:color w:val="auto"/>
          <w:sz w:val="21"/>
          <w:szCs w:val="21"/>
          <w:highlight w:val="none"/>
        </w:rPr>
        <w:t>小</w:t>
      </w:r>
      <w:r>
        <w:rPr>
          <w:rFonts w:ascii="宋体" w:hAnsi="宋体" w:eastAsia="宋体" w:cs="宋体"/>
          <w:color w:val="auto"/>
          <w:spacing w:val="-1"/>
          <w:sz w:val="21"/>
          <w:szCs w:val="21"/>
          <w:highlight w:val="none"/>
        </w:rPr>
        <w:t>时内向发包人代表和总监理工程师提</w:t>
      </w:r>
    </w:p>
    <w:p w14:paraId="30A893A5">
      <w:pPr>
        <w:spacing w:line="219" w:lineRule="auto"/>
        <w:ind w:left="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交书面报告。</w:t>
      </w:r>
    </w:p>
    <w:p w14:paraId="7259772C">
      <w:pPr>
        <w:spacing w:before="149" w:line="352" w:lineRule="auto"/>
        <w:ind w:left="20" w:right="2" w:firstLine="421"/>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3.2.3 </w:t>
      </w:r>
      <w:r>
        <w:rPr>
          <w:rFonts w:ascii="宋体" w:hAnsi="宋体" w:eastAsia="宋体" w:cs="宋体"/>
          <w:color w:val="auto"/>
          <w:spacing w:val="-2"/>
          <w:sz w:val="21"/>
          <w:szCs w:val="21"/>
          <w:highlight w:val="none"/>
        </w:rPr>
        <w:t>承包人需要更换项目经理的，应提前</w:t>
      </w:r>
      <w:r>
        <w:rPr>
          <w:rFonts w:ascii="宋体" w:hAnsi="宋体" w:eastAsia="宋体" w:cs="宋体"/>
          <w:color w:val="auto"/>
          <w:spacing w:val="-19"/>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14 </w:t>
      </w:r>
      <w:r>
        <w:rPr>
          <w:rFonts w:ascii="宋体" w:hAnsi="宋体" w:eastAsia="宋体" w:cs="宋体"/>
          <w:color w:val="auto"/>
          <w:spacing w:val="-2"/>
          <w:sz w:val="21"/>
          <w:szCs w:val="21"/>
          <w:highlight w:val="none"/>
        </w:rPr>
        <w:t xml:space="preserve">天书面通知发包人和监理人，并征得发包  </w:t>
      </w:r>
      <w:r>
        <w:rPr>
          <w:rFonts w:ascii="宋体" w:hAnsi="宋体" w:eastAsia="宋体" w:cs="宋体"/>
          <w:color w:val="auto"/>
          <w:spacing w:val="3"/>
          <w:sz w:val="21"/>
          <w:szCs w:val="21"/>
          <w:highlight w:val="none"/>
        </w:rPr>
        <w:t>人书面同意。通知中应当载明继任项目经理的注</w:t>
      </w:r>
      <w:r>
        <w:rPr>
          <w:rFonts w:ascii="宋体" w:hAnsi="宋体" w:eastAsia="宋体" w:cs="宋体"/>
          <w:color w:val="auto"/>
          <w:spacing w:val="2"/>
          <w:sz w:val="21"/>
          <w:szCs w:val="21"/>
          <w:highlight w:val="none"/>
        </w:rPr>
        <w:t xml:space="preserve">册执业资格、管理经验等资料，继任项目  </w:t>
      </w:r>
      <w:r>
        <w:rPr>
          <w:rFonts w:ascii="宋体" w:hAnsi="宋体" w:eastAsia="宋体" w:cs="宋体"/>
          <w:color w:val="auto"/>
          <w:spacing w:val="-1"/>
          <w:sz w:val="21"/>
          <w:szCs w:val="21"/>
          <w:highlight w:val="none"/>
        </w:rPr>
        <w:t>经理继续履行第</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1"/>
          <w:sz w:val="21"/>
          <w:szCs w:val="21"/>
          <w:highlight w:val="none"/>
        </w:rPr>
        <w:t xml:space="preserve">3.2.1 </w:t>
      </w:r>
      <w:r>
        <w:rPr>
          <w:rFonts w:ascii="宋体" w:hAnsi="宋体" w:eastAsia="宋体" w:cs="宋体"/>
          <w:color w:val="auto"/>
          <w:spacing w:val="-1"/>
          <w:sz w:val="21"/>
          <w:szCs w:val="21"/>
          <w:highlight w:val="none"/>
        </w:rPr>
        <w:t>项约定的职责。未经发包人书面同意，承包人不得擅自更换项目</w:t>
      </w:r>
      <w:r>
        <w:rPr>
          <w:rFonts w:ascii="宋体" w:hAnsi="宋体" w:eastAsia="宋体" w:cs="宋体"/>
          <w:color w:val="auto"/>
          <w:spacing w:val="-2"/>
          <w:sz w:val="21"/>
          <w:szCs w:val="21"/>
          <w:highlight w:val="none"/>
        </w:rPr>
        <w:t>经理。</w:t>
      </w:r>
    </w:p>
    <w:p w14:paraId="246266B9">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承包人擅自更换项目经理的， 应按照专用合同条款的约定承担违约责</w:t>
      </w:r>
      <w:r>
        <w:rPr>
          <w:rFonts w:ascii="宋体" w:hAnsi="宋体" w:eastAsia="宋体" w:cs="宋体"/>
          <w:color w:val="auto"/>
          <w:spacing w:val="-5"/>
          <w:sz w:val="21"/>
          <w:szCs w:val="21"/>
          <w:highlight w:val="none"/>
        </w:rPr>
        <w:t>任。</w:t>
      </w:r>
    </w:p>
    <w:p w14:paraId="33547F87">
      <w:pPr>
        <w:spacing w:before="148" w:line="352" w:lineRule="auto"/>
        <w:ind w:left="17" w:right="176" w:firstLine="424"/>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3.2.4</w:t>
      </w:r>
      <w:r>
        <w:rPr>
          <w:rFonts w:ascii="Times New Roman" w:hAnsi="Times New Roman" w:eastAsia="Times New Roman" w:cs="Times New Roman"/>
          <w:color w:val="auto"/>
          <w:spacing w:val="36"/>
          <w:sz w:val="21"/>
          <w:szCs w:val="21"/>
          <w:highlight w:val="none"/>
        </w:rPr>
        <w:t xml:space="preserve"> </w:t>
      </w:r>
      <w:r>
        <w:rPr>
          <w:rFonts w:ascii="宋体" w:hAnsi="宋体" w:eastAsia="宋体" w:cs="宋体"/>
          <w:color w:val="auto"/>
          <w:spacing w:val="1"/>
          <w:sz w:val="21"/>
          <w:szCs w:val="21"/>
          <w:highlight w:val="none"/>
        </w:rPr>
        <w:t>发包人有权书面通知承包人更换其认为不</w:t>
      </w:r>
      <w:r>
        <w:rPr>
          <w:rFonts w:ascii="宋体" w:hAnsi="宋体" w:eastAsia="宋体" w:cs="宋体"/>
          <w:color w:val="auto"/>
          <w:sz w:val="21"/>
          <w:szCs w:val="21"/>
          <w:highlight w:val="none"/>
        </w:rPr>
        <w:t xml:space="preserve">称职的项目经理，通知中应当载明要求 </w:t>
      </w:r>
      <w:r>
        <w:rPr>
          <w:rFonts w:ascii="宋体" w:hAnsi="宋体" w:eastAsia="宋体" w:cs="宋体"/>
          <w:color w:val="auto"/>
          <w:spacing w:val="-1"/>
          <w:sz w:val="21"/>
          <w:szCs w:val="21"/>
          <w:highlight w:val="none"/>
        </w:rPr>
        <w:t xml:space="preserve">更换的理由。承包人应在接到更换通知后 </w:t>
      </w:r>
      <w:r>
        <w:rPr>
          <w:rFonts w:ascii="Times New Roman" w:hAnsi="Times New Roman" w:eastAsia="Times New Roman" w:cs="Times New Roman"/>
          <w:color w:val="auto"/>
          <w:spacing w:val="-1"/>
          <w:sz w:val="21"/>
          <w:szCs w:val="21"/>
          <w:highlight w:val="none"/>
        </w:rPr>
        <w:t xml:space="preserve">14 </w:t>
      </w:r>
      <w:r>
        <w:rPr>
          <w:rFonts w:ascii="宋体" w:hAnsi="宋体" w:eastAsia="宋体" w:cs="宋体"/>
          <w:color w:val="auto"/>
          <w:spacing w:val="-1"/>
          <w:sz w:val="21"/>
          <w:szCs w:val="21"/>
          <w:highlight w:val="none"/>
        </w:rPr>
        <w:t>天内向发包人提出书面的改进报告。发包人收</w:t>
      </w:r>
      <w:r>
        <w:rPr>
          <w:rFonts w:ascii="宋体" w:hAnsi="宋体" w:eastAsia="宋体" w:cs="宋体"/>
          <w:color w:val="auto"/>
          <w:spacing w:val="6"/>
          <w:sz w:val="21"/>
          <w:szCs w:val="21"/>
          <w:highlight w:val="none"/>
        </w:rPr>
        <w:t xml:space="preserve"> </w:t>
      </w:r>
      <w:r>
        <w:rPr>
          <w:rFonts w:ascii="宋体" w:hAnsi="宋体" w:eastAsia="宋体" w:cs="宋体"/>
          <w:color w:val="auto"/>
          <w:spacing w:val="-3"/>
          <w:sz w:val="21"/>
          <w:szCs w:val="21"/>
          <w:highlight w:val="none"/>
        </w:rPr>
        <w:t>到改进报告后仍要求更换的， 承包人应在接到第二次更换通知的</w:t>
      </w:r>
      <w:r>
        <w:rPr>
          <w:rFonts w:ascii="宋体" w:hAnsi="宋体" w:eastAsia="宋体" w:cs="宋体"/>
          <w:color w:val="auto"/>
          <w:spacing w:val="-30"/>
          <w:sz w:val="21"/>
          <w:szCs w:val="21"/>
          <w:highlight w:val="none"/>
        </w:rPr>
        <w:t xml:space="preserve"> </w:t>
      </w:r>
      <w:r>
        <w:rPr>
          <w:rFonts w:ascii="Times New Roman" w:hAnsi="Times New Roman" w:eastAsia="Times New Roman" w:cs="Times New Roman"/>
          <w:color w:val="auto"/>
          <w:spacing w:val="-3"/>
          <w:sz w:val="21"/>
          <w:szCs w:val="21"/>
          <w:highlight w:val="none"/>
        </w:rPr>
        <w:t>28</w:t>
      </w:r>
      <w:r>
        <w:rPr>
          <w:rFonts w:ascii="Times New Roman" w:hAnsi="Times New Roman" w:eastAsia="Times New Roman" w:cs="Times New Roman"/>
          <w:color w:val="auto"/>
          <w:spacing w:val="13"/>
          <w:sz w:val="21"/>
          <w:szCs w:val="21"/>
          <w:highlight w:val="none"/>
        </w:rPr>
        <w:t xml:space="preserve"> </w:t>
      </w:r>
      <w:r>
        <w:rPr>
          <w:rFonts w:ascii="宋体" w:hAnsi="宋体" w:eastAsia="宋体" w:cs="宋体"/>
          <w:color w:val="auto"/>
          <w:spacing w:val="-3"/>
          <w:sz w:val="21"/>
          <w:szCs w:val="21"/>
          <w:highlight w:val="none"/>
        </w:rPr>
        <w:t>天内进行更</w:t>
      </w:r>
      <w:r>
        <w:rPr>
          <w:rFonts w:ascii="宋体" w:hAnsi="宋体" w:eastAsia="宋体" w:cs="宋体"/>
          <w:color w:val="auto"/>
          <w:spacing w:val="-4"/>
          <w:sz w:val="21"/>
          <w:szCs w:val="21"/>
          <w:highlight w:val="none"/>
        </w:rPr>
        <w:t>换，并将新</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任命的项目经理的注册执业资格、管理经验等资料书面通知发包人。继任项目经理继续履</w:t>
      </w:r>
      <w:r>
        <w:rPr>
          <w:rFonts w:ascii="宋体" w:hAnsi="宋体" w:eastAsia="宋体" w:cs="宋体"/>
          <w:color w:val="auto"/>
          <w:sz w:val="21"/>
          <w:szCs w:val="21"/>
          <w:highlight w:val="none"/>
        </w:rPr>
        <w:t xml:space="preserve"> 行第</w:t>
      </w:r>
      <w:r>
        <w:rPr>
          <w:rFonts w:ascii="宋体" w:hAnsi="宋体" w:eastAsia="宋体" w:cs="宋体"/>
          <w:color w:val="auto"/>
          <w:spacing w:val="-29"/>
          <w:sz w:val="21"/>
          <w:szCs w:val="21"/>
          <w:highlight w:val="none"/>
        </w:rPr>
        <w:t xml:space="preserve"> </w:t>
      </w:r>
      <w:r>
        <w:rPr>
          <w:rFonts w:ascii="Times New Roman" w:hAnsi="Times New Roman" w:eastAsia="Times New Roman" w:cs="Times New Roman"/>
          <w:color w:val="auto"/>
          <w:sz w:val="21"/>
          <w:szCs w:val="21"/>
          <w:highlight w:val="none"/>
        </w:rPr>
        <w:t xml:space="preserve">3.2.1 </w:t>
      </w:r>
      <w:r>
        <w:rPr>
          <w:rFonts w:ascii="宋体" w:hAnsi="宋体" w:eastAsia="宋体" w:cs="宋体"/>
          <w:color w:val="auto"/>
          <w:sz w:val="21"/>
          <w:szCs w:val="21"/>
          <w:highlight w:val="none"/>
        </w:rPr>
        <w:t>项约定的职责。承包人无正当理由拒绝更换项目经理的，应</w:t>
      </w:r>
      <w:r>
        <w:rPr>
          <w:rFonts w:ascii="宋体" w:hAnsi="宋体" w:eastAsia="宋体" w:cs="宋体"/>
          <w:color w:val="auto"/>
          <w:spacing w:val="-1"/>
          <w:sz w:val="21"/>
          <w:szCs w:val="21"/>
          <w:highlight w:val="none"/>
        </w:rPr>
        <w:t>按照专用合同条款的</w:t>
      </w:r>
    </w:p>
    <w:p w14:paraId="153979AA">
      <w:pPr>
        <w:spacing w:line="220" w:lineRule="auto"/>
        <w:ind w:left="2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约定承担违约责任。</w:t>
      </w:r>
    </w:p>
    <w:p w14:paraId="08873DB3">
      <w:pPr>
        <w:spacing w:before="148" w:line="403" w:lineRule="exact"/>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3.2.5</w:t>
      </w:r>
      <w:r>
        <w:rPr>
          <w:rFonts w:ascii="Times New Roman" w:hAnsi="Times New Roman" w:eastAsia="Times New Roman" w:cs="Times New Roman"/>
          <w:color w:val="auto"/>
          <w:spacing w:val="36"/>
          <w:position w:val="14"/>
          <w:sz w:val="21"/>
          <w:szCs w:val="21"/>
          <w:highlight w:val="none"/>
        </w:rPr>
        <w:t xml:space="preserve"> </w:t>
      </w:r>
      <w:r>
        <w:rPr>
          <w:rFonts w:ascii="宋体" w:hAnsi="宋体" w:eastAsia="宋体" w:cs="宋体"/>
          <w:color w:val="auto"/>
          <w:spacing w:val="1"/>
          <w:position w:val="14"/>
          <w:sz w:val="21"/>
          <w:szCs w:val="21"/>
          <w:highlight w:val="none"/>
        </w:rPr>
        <w:t>项目经理因特殊情况授权其下属人员履行</w:t>
      </w:r>
      <w:r>
        <w:rPr>
          <w:rFonts w:ascii="宋体" w:hAnsi="宋体" w:eastAsia="宋体" w:cs="宋体"/>
          <w:color w:val="auto"/>
          <w:position w:val="14"/>
          <w:sz w:val="21"/>
          <w:szCs w:val="21"/>
          <w:highlight w:val="none"/>
        </w:rPr>
        <w:t>其某项工作职责的，该下属人员应具备</w:t>
      </w:r>
    </w:p>
    <w:p w14:paraId="1CD245A1">
      <w:pPr>
        <w:spacing w:before="1" w:line="219" w:lineRule="auto"/>
        <w:ind w:left="21"/>
        <w:rPr>
          <w:rFonts w:ascii="宋体" w:hAnsi="宋体" w:eastAsia="宋体" w:cs="宋体"/>
          <w:color w:val="auto"/>
          <w:sz w:val="21"/>
          <w:szCs w:val="21"/>
          <w:highlight w:val="none"/>
        </w:rPr>
      </w:pPr>
      <w:r>
        <w:rPr>
          <w:rFonts w:ascii="宋体" w:hAnsi="宋体" w:eastAsia="宋体" w:cs="宋体"/>
          <w:color w:val="auto"/>
          <w:sz w:val="21"/>
          <w:szCs w:val="21"/>
          <w:highlight w:val="none"/>
        </w:rPr>
        <w:t xml:space="preserve">履行相应职责的能力，并应提前 </w:t>
      </w:r>
      <w:r>
        <w:rPr>
          <w:rFonts w:ascii="Times New Roman" w:hAnsi="Times New Roman" w:eastAsia="Times New Roman" w:cs="Times New Roman"/>
          <w:color w:val="auto"/>
          <w:sz w:val="21"/>
          <w:szCs w:val="21"/>
          <w:highlight w:val="none"/>
        </w:rPr>
        <w:t>7</w:t>
      </w:r>
      <w:r>
        <w:rPr>
          <w:rFonts w:ascii="Times New Roman" w:hAnsi="Times New Roman" w:eastAsia="Times New Roman" w:cs="Times New Roman"/>
          <w:color w:val="auto"/>
          <w:spacing w:val="59"/>
          <w:w w:val="101"/>
          <w:sz w:val="21"/>
          <w:szCs w:val="21"/>
          <w:highlight w:val="none"/>
        </w:rPr>
        <w:t xml:space="preserve"> </w:t>
      </w:r>
      <w:r>
        <w:rPr>
          <w:rFonts w:ascii="宋体" w:hAnsi="宋体" w:eastAsia="宋体" w:cs="宋体"/>
          <w:color w:val="auto"/>
          <w:sz w:val="21"/>
          <w:szCs w:val="21"/>
          <w:highlight w:val="none"/>
        </w:rPr>
        <w:t>天将上述人员的姓名和授权范围书面通知监理人，并征</w:t>
      </w:r>
    </w:p>
    <w:p w14:paraId="15525BB9">
      <w:pPr>
        <w:spacing w:before="148" w:line="220"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得发包人书面同意。</w:t>
      </w:r>
    </w:p>
    <w:p w14:paraId="57C5A663">
      <w:pPr>
        <w:spacing w:before="48" w:line="218" w:lineRule="auto"/>
        <w:ind w:left="19"/>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3.3 承包人人员</w:t>
      </w:r>
    </w:p>
    <w:p w14:paraId="4414E048">
      <w:pPr>
        <w:spacing w:before="132" w:line="352" w:lineRule="auto"/>
        <w:ind w:left="18" w:right="179"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3.3.1</w:t>
      </w:r>
      <w:r>
        <w:rPr>
          <w:rFonts w:ascii="Times New Roman" w:hAnsi="Times New Roman" w:eastAsia="Times New Roman" w:cs="Times New Roman"/>
          <w:color w:val="auto"/>
          <w:spacing w:val="49"/>
          <w:sz w:val="21"/>
          <w:szCs w:val="21"/>
          <w:highlight w:val="none"/>
        </w:rPr>
        <w:t xml:space="preserve"> </w:t>
      </w:r>
      <w:r>
        <w:rPr>
          <w:rFonts w:ascii="宋体" w:hAnsi="宋体" w:eastAsia="宋体" w:cs="宋体"/>
          <w:color w:val="auto"/>
          <w:spacing w:val="-4"/>
          <w:sz w:val="21"/>
          <w:szCs w:val="21"/>
          <w:highlight w:val="none"/>
        </w:rPr>
        <w:t xml:space="preserve">除专用合同条款另有约定外， 承包人应在接到开工通知后 </w:t>
      </w:r>
      <w:r>
        <w:rPr>
          <w:rFonts w:ascii="Times New Roman" w:hAnsi="Times New Roman" w:eastAsia="Times New Roman" w:cs="Times New Roman"/>
          <w:color w:val="auto"/>
          <w:spacing w:val="-4"/>
          <w:sz w:val="21"/>
          <w:szCs w:val="21"/>
          <w:highlight w:val="none"/>
        </w:rPr>
        <w:t>7</w:t>
      </w:r>
      <w:r>
        <w:rPr>
          <w:rFonts w:ascii="Times New Roman" w:hAnsi="Times New Roman" w:eastAsia="Times New Roman" w:cs="Times New Roman"/>
          <w:color w:val="auto"/>
          <w:spacing w:val="22"/>
          <w:w w:val="101"/>
          <w:sz w:val="21"/>
          <w:szCs w:val="21"/>
          <w:highlight w:val="none"/>
        </w:rPr>
        <w:t xml:space="preserve"> </w:t>
      </w:r>
      <w:r>
        <w:rPr>
          <w:rFonts w:ascii="宋体" w:hAnsi="宋体" w:eastAsia="宋体" w:cs="宋体"/>
          <w:color w:val="auto"/>
          <w:spacing w:val="-4"/>
          <w:sz w:val="21"/>
          <w:szCs w:val="21"/>
          <w:highlight w:val="none"/>
        </w:rPr>
        <w:t>天内，向监理人提交</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 xml:space="preserve">承包人项目管理机构及施工现场人员安排的报告，其内容应包括合同管理、施工、技术、 </w:t>
      </w:r>
      <w:r>
        <w:rPr>
          <w:rFonts w:ascii="宋体" w:hAnsi="宋体" w:eastAsia="宋体" w:cs="宋体"/>
          <w:color w:val="auto"/>
          <w:spacing w:val="3"/>
          <w:sz w:val="21"/>
          <w:szCs w:val="21"/>
          <w:highlight w:val="none"/>
        </w:rPr>
        <w:t>材料、质量、安全、财务等主要施工管理人员名单及其岗位、注册执业资格</w:t>
      </w:r>
      <w:r>
        <w:rPr>
          <w:rFonts w:ascii="宋体" w:hAnsi="宋体" w:eastAsia="宋体" w:cs="宋体"/>
          <w:color w:val="auto"/>
          <w:spacing w:val="2"/>
          <w:sz w:val="21"/>
          <w:szCs w:val="21"/>
          <w:highlight w:val="none"/>
        </w:rPr>
        <w:t>等，以及各工</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种技术工人的安排情况，并同时提交主要施工管理人员与承包人之间的劳动关系证明和缴</w:t>
      </w:r>
    </w:p>
    <w:p w14:paraId="75CBEAB9">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纳社会保险的有效证明。</w:t>
      </w:r>
    </w:p>
    <w:p w14:paraId="4F8460F5">
      <w:pPr>
        <w:spacing w:before="147" w:line="352" w:lineRule="auto"/>
        <w:ind w:left="18" w:right="181"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3.3.2</w:t>
      </w:r>
      <w:r>
        <w:rPr>
          <w:rFonts w:ascii="Times New Roman" w:hAnsi="Times New Roman" w:eastAsia="Times New Roman" w:cs="Times New Roman"/>
          <w:color w:val="auto"/>
          <w:spacing w:val="33"/>
          <w:sz w:val="21"/>
          <w:szCs w:val="21"/>
          <w:highlight w:val="none"/>
        </w:rPr>
        <w:t xml:space="preserve"> </w:t>
      </w:r>
      <w:r>
        <w:rPr>
          <w:rFonts w:ascii="宋体" w:hAnsi="宋体" w:eastAsia="宋体" w:cs="宋体"/>
          <w:color w:val="auto"/>
          <w:spacing w:val="1"/>
          <w:sz w:val="21"/>
          <w:szCs w:val="21"/>
          <w:highlight w:val="none"/>
        </w:rPr>
        <w:t>承包人派驻到施工现场的主要施工管理人员应相</w:t>
      </w:r>
      <w:r>
        <w:rPr>
          <w:rFonts w:ascii="宋体" w:hAnsi="宋体" w:eastAsia="宋体" w:cs="宋体"/>
          <w:color w:val="auto"/>
          <w:sz w:val="21"/>
          <w:szCs w:val="21"/>
          <w:highlight w:val="none"/>
        </w:rPr>
        <w:t xml:space="preserve">对稳定。施工过程中如有变动， </w:t>
      </w:r>
      <w:r>
        <w:rPr>
          <w:rFonts w:ascii="宋体" w:hAnsi="宋体" w:eastAsia="宋体" w:cs="宋体"/>
          <w:color w:val="auto"/>
          <w:spacing w:val="3"/>
          <w:sz w:val="21"/>
          <w:szCs w:val="21"/>
          <w:highlight w:val="none"/>
        </w:rPr>
        <w:t>承包人应及时向监理人提交施工现场人员变动情况的报告。承包人更换主要</w:t>
      </w:r>
      <w:r>
        <w:rPr>
          <w:rFonts w:ascii="宋体" w:hAnsi="宋体" w:eastAsia="宋体" w:cs="宋体"/>
          <w:color w:val="auto"/>
          <w:spacing w:val="2"/>
          <w:sz w:val="21"/>
          <w:szCs w:val="21"/>
          <w:highlight w:val="none"/>
        </w:rPr>
        <w:t>施工管理人员</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 xml:space="preserve">时，应提前 </w:t>
      </w:r>
      <w:r>
        <w:rPr>
          <w:rFonts w:ascii="Times New Roman" w:hAnsi="Times New Roman" w:eastAsia="Times New Roman" w:cs="Times New Roman"/>
          <w:color w:val="auto"/>
          <w:spacing w:val="-4"/>
          <w:sz w:val="21"/>
          <w:szCs w:val="21"/>
          <w:highlight w:val="none"/>
        </w:rPr>
        <w:t xml:space="preserve">7  </w:t>
      </w:r>
      <w:r>
        <w:rPr>
          <w:rFonts w:ascii="宋体" w:hAnsi="宋体" w:eastAsia="宋体" w:cs="宋体"/>
          <w:color w:val="auto"/>
          <w:spacing w:val="-4"/>
          <w:sz w:val="21"/>
          <w:szCs w:val="21"/>
          <w:highlight w:val="none"/>
        </w:rPr>
        <w:t>天书面通知监理人，</w:t>
      </w:r>
      <w:r>
        <w:rPr>
          <w:rFonts w:ascii="宋体" w:hAnsi="宋体" w:eastAsia="宋体" w:cs="宋体"/>
          <w:color w:val="auto"/>
          <w:spacing w:val="73"/>
          <w:sz w:val="21"/>
          <w:szCs w:val="21"/>
          <w:highlight w:val="none"/>
        </w:rPr>
        <w:t xml:space="preserve"> </w:t>
      </w:r>
      <w:r>
        <w:rPr>
          <w:rFonts w:ascii="宋体" w:hAnsi="宋体" w:eastAsia="宋体" w:cs="宋体"/>
          <w:color w:val="auto"/>
          <w:spacing w:val="-4"/>
          <w:sz w:val="21"/>
          <w:szCs w:val="21"/>
          <w:highlight w:val="none"/>
        </w:rPr>
        <w:t>并征得发包人书面同意。通知中应当载明继任人员的注</w:t>
      </w:r>
    </w:p>
    <w:p w14:paraId="292E19E4">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册执业资格、管理经验等资料。</w:t>
      </w:r>
    </w:p>
    <w:p w14:paraId="2A252691">
      <w:pPr>
        <w:spacing w:line="220" w:lineRule="auto"/>
        <w:rPr>
          <w:rFonts w:ascii="宋体" w:hAnsi="宋体" w:eastAsia="宋体" w:cs="宋体"/>
          <w:color w:val="auto"/>
          <w:sz w:val="21"/>
          <w:szCs w:val="21"/>
          <w:highlight w:val="none"/>
        </w:rPr>
        <w:sectPr>
          <w:footerReference r:id="rId111" w:type="default"/>
          <w:pgSz w:w="11905" w:h="16839"/>
          <w:pgMar w:top="1431" w:right="1612" w:bottom="1004" w:left="1785" w:header="0" w:footer="828" w:gutter="0"/>
          <w:pgNumType w:fmt="decimal"/>
          <w:cols w:space="720" w:num="1"/>
        </w:sectPr>
      </w:pPr>
    </w:p>
    <w:p w14:paraId="5A570A11">
      <w:pPr>
        <w:spacing w:before="148" w:line="221"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特殊工种作业人员均应持有相应的资格证明，监理人可以随时检查。</w:t>
      </w:r>
    </w:p>
    <w:p w14:paraId="1DA9032B">
      <w:pPr>
        <w:spacing w:before="146" w:line="352" w:lineRule="auto"/>
        <w:ind w:left="18" w:right="191"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3.3.3</w:t>
      </w:r>
      <w:r>
        <w:rPr>
          <w:rFonts w:ascii="Times New Roman" w:hAnsi="Times New Roman" w:eastAsia="Times New Roman" w:cs="Times New Roman"/>
          <w:color w:val="auto"/>
          <w:spacing w:val="36"/>
          <w:w w:val="101"/>
          <w:sz w:val="21"/>
          <w:szCs w:val="21"/>
          <w:highlight w:val="none"/>
        </w:rPr>
        <w:t xml:space="preserve"> </w:t>
      </w:r>
      <w:r>
        <w:rPr>
          <w:rFonts w:ascii="宋体" w:hAnsi="宋体" w:eastAsia="宋体" w:cs="宋体"/>
          <w:color w:val="auto"/>
          <w:spacing w:val="1"/>
          <w:sz w:val="21"/>
          <w:szCs w:val="21"/>
          <w:highlight w:val="none"/>
        </w:rPr>
        <w:t>发包人对于承包人主要施工管理人员的资格</w:t>
      </w:r>
      <w:r>
        <w:rPr>
          <w:rFonts w:ascii="宋体" w:hAnsi="宋体" w:eastAsia="宋体" w:cs="宋体"/>
          <w:color w:val="auto"/>
          <w:sz w:val="21"/>
          <w:szCs w:val="21"/>
          <w:highlight w:val="none"/>
        </w:rPr>
        <w:t xml:space="preserve">或能力有异议的，承包人应提供资料 </w:t>
      </w:r>
      <w:r>
        <w:rPr>
          <w:rFonts w:ascii="宋体" w:hAnsi="宋体" w:eastAsia="宋体" w:cs="宋体"/>
          <w:color w:val="auto"/>
          <w:spacing w:val="3"/>
          <w:sz w:val="21"/>
          <w:szCs w:val="21"/>
          <w:highlight w:val="none"/>
        </w:rPr>
        <w:t>证明被质疑人员有能力完成其岗位工作或不存在发包人所质疑的情形。发包</w:t>
      </w:r>
      <w:r>
        <w:rPr>
          <w:rFonts w:ascii="宋体" w:hAnsi="宋体" w:eastAsia="宋体" w:cs="宋体"/>
          <w:color w:val="auto"/>
          <w:spacing w:val="2"/>
          <w:sz w:val="21"/>
          <w:szCs w:val="21"/>
          <w:highlight w:val="none"/>
        </w:rPr>
        <w:t>人要求撤换不</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能按照合同约定履行职责及义务的主要施工管理人员的，承包人应当撤换。</w:t>
      </w:r>
      <w:r>
        <w:rPr>
          <w:rFonts w:ascii="宋体" w:hAnsi="宋体" w:eastAsia="宋体" w:cs="宋体"/>
          <w:color w:val="auto"/>
          <w:spacing w:val="2"/>
          <w:sz w:val="21"/>
          <w:szCs w:val="21"/>
          <w:highlight w:val="none"/>
        </w:rPr>
        <w:t>承包人无正当</w:t>
      </w:r>
    </w:p>
    <w:p w14:paraId="6938D977">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理由拒绝撤换的，应按照专用合同条款的约定承担</w:t>
      </w:r>
      <w:r>
        <w:rPr>
          <w:rFonts w:ascii="宋体" w:hAnsi="宋体" w:eastAsia="宋体" w:cs="宋体"/>
          <w:color w:val="auto"/>
          <w:spacing w:val="-2"/>
          <w:sz w:val="21"/>
          <w:szCs w:val="21"/>
          <w:highlight w:val="none"/>
        </w:rPr>
        <w:t>违约责任。</w:t>
      </w:r>
    </w:p>
    <w:p w14:paraId="48E35AA8">
      <w:pPr>
        <w:spacing w:before="151" w:line="352" w:lineRule="auto"/>
        <w:ind w:left="20" w:right="187" w:firstLine="420"/>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3.3.4</w:t>
      </w:r>
      <w:r>
        <w:rPr>
          <w:rFonts w:ascii="Times New Roman" w:hAnsi="Times New Roman" w:eastAsia="Times New Roman" w:cs="Times New Roman"/>
          <w:color w:val="auto"/>
          <w:spacing w:val="59"/>
          <w:sz w:val="21"/>
          <w:szCs w:val="21"/>
          <w:highlight w:val="none"/>
        </w:rPr>
        <w:t xml:space="preserve"> </w:t>
      </w:r>
      <w:r>
        <w:rPr>
          <w:rFonts w:ascii="宋体" w:hAnsi="宋体" w:eastAsia="宋体" w:cs="宋体"/>
          <w:color w:val="auto"/>
          <w:sz w:val="21"/>
          <w:szCs w:val="21"/>
          <w:highlight w:val="none"/>
        </w:rPr>
        <w:t xml:space="preserve">除专用合同条款另有约定外，承包人的主要施工管理人员离开施工现场每月累计 </w:t>
      </w:r>
      <w:r>
        <w:rPr>
          <w:rFonts w:ascii="宋体" w:hAnsi="宋体" w:eastAsia="宋体" w:cs="宋体"/>
          <w:color w:val="auto"/>
          <w:spacing w:val="-4"/>
          <w:sz w:val="21"/>
          <w:szCs w:val="21"/>
          <w:highlight w:val="none"/>
        </w:rPr>
        <w:t xml:space="preserve">不超过 </w:t>
      </w:r>
      <w:r>
        <w:rPr>
          <w:rFonts w:ascii="Times New Roman" w:hAnsi="Times New Roman" w:eastAsia="Times New Roman" w:cs="Times New Roman"/>
          <w:color w:val="auto"/>
          <w:spacing w:val="-4"/>
          <w:sz w:val="21"/>
          <w:szCs w:val="21"/>
          <w:highlight w:val="none"/>
        </w:rPr>
        <w:t>5</w:t>
      </w:r>
      <w:r>
        <w:rPr>
          <w:rFonts w:ascii="Times New Roman" w:hAnsi="Times New Roman" w:eastAsia="Times New Roman" w:cs="Times New Roman"/>
          <w:color w:val="auto"/>
          <w:spacing w:val="44"/>
          <w:w w:val="101"/>
          <w:sz w:val="21"/>
          <w:szCs w:val="21"/>
          <w:highlight w:val="none"/>
        </w:rPr>
        <w:t xml:space="preserve"> </w:t>
      </w:r>
      <w:r>
        <w:rPr>
          <w:rFonts w:ascii="宋体" w:hAnsi="宋体" w:eastAsia="宋体" w:cs="宋体"/>
          <w:color w:val="auto"/>
          <w:spacing w:val="-4"/>
          <w:sz w:val="21"/>
          <w:szCs w:val="21"/>
          <w:highlight w:val="none"/>
        </w:rPr>
        <w:t xml:space="preserve">天的，应报监理人同意；离开施工现场每月累计超过 </w:t>
      </w:r>
      <w:r>
        <w:rPr>
          <w:rFonts w:ascii="Times New Roman" w:hAnsi="Times New Roman" w:eastAsia="Times New Roman" w:cs="Times New Roman"/>
          <w:color w:val="auto"/>
          <w:spacing w:val="-4"/>
          <w:sz w:val="21"/>
          <w:szCs w:val="21"/>
          <w:highlight w:val="none"/>
        </w:rPr>
        <w:t>5</w:t>
      </w:r>
      <w:r>
        <w:rPr>
          <w:rFonts w:ascii="Times New Roman" w:hAnsi="Times New Roman" w:eastAsia="Times New Roman" w:cs="Times New Roman"/>
          <w:color w:val="auto"/>
          <w:spacing w:val="32"/>
          <w:sz w:val="21"/>
          <w:szCs w:val="21"/>
          <w:highlight w:val="none"/>
        </w:rPr>
        <w:t xml:space="preserve"> </w:t>
      </w:r>
      <w:r>
        <w:rPr>
          <w:rFonts w:ascii="宋体" w:hAnsi="宋体" w:eastAsia="宋体" w:cs="宋体"/>
          <w:color w:val="auto"/>
          <w:spacing w:val="-4"/>
          <w:sz w:val="21"/>
          <w:szCs w:val="21"/>
          <w:highlight w:val="none"/>
        </w:rPr>
        <w:t>天的， 应通知监理人，并</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征得发包人书面同意。主要施工管理人员离开施工现场前应指定一名有</w:t>
      </w:r>
      <w:r>
        <w:rPr>
          <w:rFonts w:ascii="宋体" w:hAnsi="宋体" w:eastAsia="宋体" w:cs="宋体"/>
          <w:color w:val="auto"/>
          <w:spacing w:val="2"/>
          <w:sz w:val="21"/>
          <w:szCs w:val="21"/>
          <w:highlight w:val="none"/>
        </w:rPr>
        <w:t>经验的人员临时代</w:t>
      </w:r>
    </w:p>
    <w:p w14:paraId="09F17FC3">
      <w:pPr>
        <w:spacing w:before="1" w:line="220" w:lineRule="auto"/>
        <w:ind w:left="2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行其职责， 该人员应具备履行相应职责的资格和能力，</w:t>
      </w:r>
      <w:r>
        <w:rPr>
          <w:rFonts w:ascii="宋体" w:hAnsi="宋体" w:eastAsia="宋体" w:cs="宋体"/>
          <w:color w:val="auto"/>
          <w:spacing w:val="-4"/>
          <w:sz w:val="21"/>
          <w:szCs w:val="21"/>
          <w:highlight w:val="none"/>
        </w:rPr>
        <w:t>且应征得监理人或发包人的同意。</w:t>
      </w:r>
    </w:p>
    <w:p w14:paraId="3D445C12">
      <w:pPr>
        <w:spacing w:before="147" w:line="221"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3.3.5</w:t>
      </w:r>
      <w:r>
        <w:rPr>
          <w:rFonts w:ascii="Times New Roman" w:hAnsi="Times New Roman" w:eastAsia="Times New Roman" w:cs="Times New Roman"/>
          <w:color w:val="auto"/>
          <w:spacing w:val="33"/>
          <w:sz w:val="21"/>
          <w:szCs w:val="21"/>
          <w:highlight w:val="none"/>
        </w:rPr>
        <w:t xml:space="preserve"> </w:t>
      </w:r>
      <w:r>
        <w:rPr>
          <w:rFonts w:ascii="宋体" w:hAnsi="宋体" w:eastAsia="宋体" w:cs="宋体"/>
          <w:color w:val="auto"/>
          <w:spacing w:val="1"/>
          <w:sz w:val="21"/>
          <w:szCs w:val="21"/>
          <w:highlight w:val="none"/>
        </w:rPr>
        <w:t>承包人擅自更换主要施工管理人员，或前述人员</w:t>
      </w:r>
      <w:r>
        <w:rPr>
          <w:rFonts w:ascii="宋体" w:hAnsi="宋体" w:eastAsia="宋体" w:cs="宋体"/>
          <w:color w:val="auto"/>
          <w:sz w:val="21"/>
          <w:szCs w:val="21"/>
          <w:highlight w:val="none"/>
        </w:rPr>
        <w:t>未经监理人或发包人同意擅自离</w:t>
      </w:r>
    </w:p>
    <w:p w14:paraId="52A30CC1">
      <w:pPr>
        <w:spacing w:before="147" w:line="221"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开施工现场的，应按照专用合同条款约定承担违约责任。</w:t>
      </w:r>
    </w:p>
    <w:p w14:paraId="45B08335">
      <w:pPr>
        <w:spacing w:before="51" w:line="219" w:lineRule="auto"/>
        <w:ind w:left="19"/>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3.4 承包人现场查勘</w:t>
      </w:r>
    </w:p>
    <w:p w14:paraId="70A35D0D">
      <w:pPr>
        <w:spacing w:before="130" w:line="350" w:lineRule="auto"/>
        <w:ind w:left="19" w:right="187" w:firstLine="42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承包人应对基于发包人按照第</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z w:val="21"/>
          <w:szCs w:val="21"/>
          <w:highlight w:val="none"/>
        </w:rPr>
        <w:t xml:space="preserve">2.4.3 </w:t>
      </w:r>
      <w:r>
        <w:rPr>
          <w:rFonts w:ascii="宋体" w:hAnsi="宋体" w:eastAsia="宋体" w:cs="宋体"/>
          <w:color w:val="auto"/>
          <w:sz w:val="21"/>
          <w:szCs w:val="21"/>
          <w:highlight w:val="none"/>
        </w:rPr>
        <w:t>项〔提供基础资料〕提交的基础资</w:t>
      </w:r>
      <w:r>
        <w:rPr>
          <w:rFonts w:ascii="宋体" w:hAnsi="宋体" w:eastAsia="宋体" w:cs="宋体"/>
          <w:color w:val="auto"/>
          <w:spacing w:val="-1"/>
          <w:sz w:val="21"/>
          <w:szCs w:val="21"/>
          <w:highlight w:val="none"/>
        </w:rPr>
        <w:t>料所做出的解释</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和推断负责， 但因基础资料存在错误、遗漏导致承包</w:t>
      </w:r>
      <w:r>
        <w:rPr>
          <w:rFonts w:ascii="宋体" w:hAnsi="宋体" w:eastAsia="宋体" w:cs="宋体"/>
          <w:color w:val="auto"/>
          <w:spacing w:val="-3"/>
          <w:sz w:val="21"/>
          <w:szCs w:val="21"/>
          <w:highlight w:val="none"/>
        </w:rPr>
        <w:t>人解释或推断失实的， 由发包人承担</w:t>
      </w:r>
    </w:p>
    <w:p w14:paraId="3ABE9692">
      <w:pPr>
        <w:spacing w:line="220" w:lineRule="auto"/>
        <w:ind w:left="25"/>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责任。</w:t>
      </w:r>
    </w:p>
    <w:p w14:paraId="73188716">
      <w:pPr>
        <w:spacing w:before="154" w:line="350" w:lineRule="auto"/>
        <w:ind w:left="20" w:right="191" w:firstLine="421"/>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承包人应对施工现场和施工条件进行查勘，并充分了解工程所在地的气象条件、交通 条件、风俗习惯以及其他与完成合同工作有关的其他资料。因承包人未能</w:t>
      </w:r>
      <w:r>
        <w:rPr>
          <w:rFonts w:ascii="宋体" w:hAnsi="宋体" w:eastAsia="宋体" w:cs="宋体"/>
          <w:color w:val="auto"/>
          <w:spacing w:val="2"/>
          <w:sz w:val="21"/>
          <w:szCs w:val="21"/>
          <w:highlight w:val="none"/>
        </w:rPr>
        <w:t>充分查勘、了解</w:t>
      </w:r>
    </w:p>
    <w:p w14:paraId="1FE65939">
      <w:pPr>
        <w:spacing w:line="219" w:lineRule="auto"/>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前述情况或未能充分估计前述情况所可能产生后果的， 承包人承担由</w:t>
      </w:r>
      <w:r>
        <w:rPr>
          <w:rFonts w:ascii="宋体" w:hAnsi="宋体" w:eastAsia="宋体" w:cs="宋体"/>
          <w:color w:val="auto"/>
          <w:spacing w:val="-1"/>
          <w:sz w:val="21"/>
          <w:szCs w:val="21"/>
          <w:highlight w:val="none"/>
        </w:rPr>
        <w:t>此增加的费用和（或）</w:t>
      </w:r>
    </w:p>
    <w:p w14:paraId="0C3D1DE2">
      <w:pPr>
        <w:spacing w:before="154" w:line="221"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延误的工期。</w:t>
      </w:r>
    </w:p>
    <w:p w14:paraId="7BE2C9DE">
      <w:pPr>
        <w:spacing w:before="45" w:line="220" w:lineRule="auto"/>
        <w:ind w:left="19"/>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3.5</w:t>
      </w:r>
      <w:r>
        <w:rPr>
          <w:rFonts w:ascii="黑体" w:hAnsi="黑体" w:eastAsia="黑体" w:cs="黑体"/>
          <w:color w:val="auto"/>
          <w:spacing w:val="17"/>
          <w:sz w:val="24"/>
          <w:szCs w:val="24"/>
          <w:highlight w:val="none"/>
        </w:rPr>
        <w:t xml:space="preserve"> </w:t>
      </w:r>
      <w:r>
        <w:rPr>
          <w:rFonts w:ascii="黑体" w:hAnsi="黑体" w:eastAsia="黑体" w:cs="黑体"/>
          <w:color w:val="auto"/>
          <w:spacing w:val="-4"/>
          <w:sz w:val="24"/>
          <w:szCs w:val="24"/>
          <w:highlight w:val="none"/>
        </w:rPr>
        <w:t>分包</w:t>
      </w:r>
    </w:p>
    <w:p w14:paraId="7B302786">
      <w:pPr>
        <w:spacing w:before="128" w:line="221"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3.5.1 </w:t>
      </w:r>
      <w:r>
        <w:rPr>
          <w:rFonts w:ascii="宋体" w:hAnsi="宋体" w:eastAsia="宋体" w:cs="宋体"/>
          <w:color w:val="auto"/>
          <w:spacing w:val="-1"/>
          <w:sz w:val="21"/>
          <w:szCs w:val="21"/>
          <w:highlight w:val="none"/>
        </w:rPr>
        <w:t>分包的一般约定</w:t>
      </w:r>
    </w:p>
    <w:p w14:paraId="7A002157">
      <w:pPr>
        <w:spacing w:before="146" w:line="352" w:lineRule="auto"/>
        <w:ind w:left="18" w:right="191" w:firstLine="422"/>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承包人不得将其承包的全部工程转包给第三人， 或将其承包的全部工程肢解后以分包</w:t>
      </w:r>
      <w:r>
        <w:rPr>
          <w:rFonts w:ascii="宋体" w:hAnsi="宋体" w:eastAsia="宋体" w:cs="宋体"/>
          <w:color w:val="auto"/>
          <w:spacing w:val="9"/>
          <w:sz w:val="21"/>
          <w:szCs w:val="21"/>
          <w:highlight w:val="none"/>
        </w:rPr>
        <w:t xml:space="preserve"> </w:t>
      </w:r>
      <w:r>
        <w:rPr>
          <w:rFonts w:ascii="宋体" w:hAnsi="宋体" w:eastAsia="宋体" w:cs="宋体"/>
          <w:color w:val="auto"/>
          <w:spacing w:val="3"/>
          <w:sz w:val="21"/>
          <w:szCs w:val="21"/>
          <w:highlight w:val="none"/>
        </w:rPr>
        <w:t>的名义转包给第三人。承包人不得将工程主体结构、关键性工作及专用合同</w:t>
      </w:r>
      <w:r>
        <w:rPr>
          <w:rFonts w:ascii="宋体" w:hAnsi="宋体" w:eastAsia="宋体" w:cs="宋体"/>
          <w:color w:val="auto"/>
          <w:spacing w:val="2"/>
          <w:sz w:val="21"/>
          <w:szCs w:val="21"/>
          <w:highlight w:val="none"/>
        </w:rPr>
        <w:t>条款中禁止分</w:t>
      </w:r>
      <w:r>
        <w:rPr>
          <w:rFonts w:ascii="宋体" w:hAnsi="宋体" w:eastAsia="宋体" w:cs="宋体"/>
          <w:color w:val="auto"/>
          <w:sz w:val="21"/>
          <w:szCs w:val="21"/>
          <w:highlight w:val="none"/>
        </w:rPr>
        <w:t xml:space="preserve"> 包的专业工程分包给第三人， 主体结构、关键性工作的范围由合同当事人按照法律规定在</w:t>
      </w:r>
    </w:p>
    <w:p w14:paraId="4E57E514">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专用合同条款中予以明确。</w:t>
      </w:r>
    </w:p>
    <w:p w14:paraId="7F8A4A28">
      <w:pPr>
        <w:spacing w:before="147" w:line="221"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承包人不得以劳务分包的名义转包或违法分包工程。</w:t>
      </w:r>
    </w:p>
    <w:p w14:paraId="544F9BE7">
      <w:pPr>
        <w:spacing w:before="153" w:line="221"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3.5.2 </w:t>
      </w:r>
      <w:r>
        <w:rPr>
          <w:rFonts w:ascii="宋体" w:hAnsi="宋体" w:eastAsia="宋体" w:cs="宋体"/>
          <w:color w:val="auto"/>
          <w:spacing w:val="-1"/>
          <w:sz w:val="21"/>
          <w:szCs w:val="21"/>
          <w:highlight w:val="none"/>
        </w:rPr>
        <w:t>分包的确定</w:t>
      </w:r>
    </w:p>
    <w:p w14:paraId="5C62403C">
      <w:pPr>
        <w:spacing w:before="148" w:line="351" w:lineRule="auto"/>
        <w:ind w:left="20" w:right="187" w:firstLine="4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承包人应按专用合同条款的约定进行分包，确定分包人。已标价工程量清单或预算书 </w:t>
      </w:r>
      <w:r>
        <w:rPr>
          <w:rFonts w:ascii="宋体" w:hAnsi="宋体" w:eastAsia="宋体" w:cs="宋体"/>
          <w:color w:val="auto"/>
          <w:sz w:val="21"/>
          <w:szCs w:val="21"/>
          <w:highlight w:val="none"/>
        </w:rPr>
        <w:t xml:space="preserve">中给定暂估价的专业工程，按照第 </w:t>
      </w:r>
      <w:r>
        <w:rPr>
          <w:rFonts w:ascii="Times New Roman" w:hAnsi="Times New Roman" w:eastAsia="Times New Roman" w:cs="Times New Roman"/>
          <w:color w:val="auto"/>
          <w:sz w:val="21"/>
          <w:szCs w:val="21"/>
          <w:highlight w:val="none"/>
        </w:rPr>
        <w:t>10.7</w:t>
      </w:r>
      <w:r>
        <w:rPr>
          <w:rFonts w:ascii="Times New Roman" w:hAnsi="Times New Roman" w:eastAsia="Times New Roman" w:cs="Times New Roman"/>
          <w:color w:val="auto"/>
          <w:spacing w:val="34"/>
          <w:sz w:val="21"/>
          <w:szCs w:val="21"/>
          <w:highlight w:val="none"/>
        </w:rPr>
        <w:t xml:space="preserve"> </w:t>
      </w:r>
      <w:r>
        <w:rPr>
          <w:rFonts w:ascii="宋体" w:hAnsi="宋体" w:eastAsia="宋体" w:cs="宋体"/>
          <w:color w:val="auto"/>
          <w:sz w:val="21"/>
          <w:szCs w:val="21"/>
          <w:highlight w:val="none"/>
        </w:rPr>
        <w:t>款</w:t>
      </w:r>
      <w:r>
        <w:rPr>
          <w:rFonts w:ascii="宋体" w:hAnsi="宋体" w:eastAsia="宋体" w:cs="宋体"/>
          <w:color w:val="auto"/>
          <w:spacing w:val="-1"/>
          <w:sz w:val="21"/>
          <w:szCs w:val="21"/>
          <w:highlight w:val="none"/>
        </w:rPr>
        <w:t>〔暂估价〕确定分包人。按照合同约定进行分包</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的，承包人应确保分包人具有相应的资质和能力。工程分包不减轻或免</w:t>
      </w:r>
      <w:r>
        <w:rPr>
          <w:rFonts w:ascii="宋体" w:hAnsi="宋体" w:eastAsia="宋体" w:cs="宋体"/>
          <w:color w:val="auto"/>
          <w:spacing w:val="2"/>
          <w:sz w:val="21"/>
          <w:szCs w:val="21"/>
          <w:highlight w:val="none"/>
        </w:rPr>
        <w:t>除承包人的责任和</w:t>
      </w:r>
      <w:r>
        <w:rPr>
          <w:rFonts w:ascii="宋体" w:hAnsi="宋体" w:eastAsia="宋体" w:cs="宋体"/>
          <w:color w:val="auto"/>
          <w:sz w:val="21"/>
          <w:szCs w:val="21"/>
          <w:highlight w:val="none"/>
        </w:rPr>
        <w:t xml:space="preserve"> 义务， 承包人和分包人就分包工程向发包人承担连带责任。除合同另有约定外，承包人应</w:t>
      </w:r>
    </w:p>
    <w:p w14:paraId="76289C3D">
      <w:pPr>
        <w:spacing w:before="1" w:line="219" w:lineRule="auto"/>
        <w:ind w:left="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在分包合同签订后</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pacing w:val="-2"/>
          <w:sz w:val="21"/>
          <w:szCs w:val="21"/>
          <w:highlight w:val="none"/>
        </w:rPr>
        <w:t xml:space="preserve">7 </w:t>
      </w:r>
      <w:r>
        <w:rPr>
          <w:rFonts w:ascii="宋体" w:hAnsi="宋体" w:eastAsia="宋体" w:cs="宋体"/>
          <w:color w:val="auto"/>
          <w:spacing w:val="-2"/>
          <w:sz w:val="21"/>
          <w:szCs w:val="21"/>
          <w:highlight w:val="none"/>
        </w:rPr>
        <w:t>天内向发包人和监理人提交分包合同副本。</w:t>
      </w:r>
    </w:p>
    <w:p w14:paraId="1DAD889B">
      <w:pPr>
        <w:spacing w:before="153" w:line="221"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3.5.3 </w:t>
      </w:r>
      <w:r>
        <w:rPr>
          <w:rFonts w:ascii="宋体" w:hAnsi="宋体" w:eastAsia="宋体" w:cs="宋体"/>
          <w:color w:val="auto"/>
          <w:spacing w:val="-1"/>
          <w:sz w:val="21"/>
          <w:szCs w:val="21"/>
          <w:highlight w:val="none"/>
        </w:rPr>
        <w:t>分包管理</w:t>
      </w:r>
    </w:p>
    <w:p w14:paraId="7A2EBF5C">
      <w:pPr>
        <w:spacing w:before="147" w:line="399" w:lineRule="exact"/>
        <w:ind w:left="441"/>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承包人应向监理人提交分包人的主要施工管理人员表， 并对分包人的施工人员进行实</w:t>
      </w:r>
    </w:p>
    <w:p w14:paraId="0E542615">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名制管理，</w:t>
      </w:r>
      <w:r>
        <w:rPr>
          <w:rFonts w:ascii="宋体" w:hAnsi="宋体" w:eastAsia="宋体" w:cs="宋体"/>
          <w:color w:val="auto"/>
          <w:spacing w:val="52"/>
          <w:sz w:val="21"/>
          <w:szCs w:val="21"/>
          <w:highlight w:val="none"/>
        </w:rPr>
        <w:t xml:space="preserve"> </w:t>
      </w:r>
      <w:r>
        <w:rPr>
          <w:rFonts w:ascii="宋体" w:hAnsi="宋体" w:eastAsia="宋体" w:cs="宋体"/>
          <w:color w:val="auto"/>
          <w:spacing w:val="-6"/>
          <w:sz w:val="21"/>
          <w:szCs w:val="21"/>
          <w:highlight w:val="none"/>
        </w:rPr>
        <w:t>包括但不限于进出场管理、登记造册以及各种证照的办理。</w:t>
      </w:r>
    </w:p>
    <w:p w14:paraId="5481DA76">
      <w:pPr>
        <w:spacing w:line="220" w:lineRule="auto"/>
        <w:rPr>
          <w:rFonts w:ascii="宋体" w:hAnsi="宋体" w:eastAsia="宋体" w:cs="宋体"/>
          <w:color w:val="auto"/>
          <w:sz w:val="21"/>
          <w:szCs w:val="21"/>
          <w:highlight w:val="none"/>
        </w:rPr>
        <w:sectPr>
          <w:footerReference r:id="rId112" w:type="default"/>
          <w:pgSz w:w="11905" w:h="16839"/>
          <w:pgMar w:top="1431" w:right="1600" w:bottom="1004" w:left="1785" w:header="0" w:footer="829" w:gutter="0"/>
          <w:pgNumType w:fmt="decimal"/>
          <w:cols w:space="720" w:num="1"/>
        </w:sectPr>
      </w:pPr>
    </w:p>
    <w:p w14:paraId="4F25A723">
      <w:pPr>
        <w:spacing w:before="149" w:line="219"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3.5.4 </w:t>
      </w:r>
      <w:r>
        <w:rPr>
          <w:rFonts w:ascii="宋体" w:hAnsi="宋体" w:eastAsia="宋体" w:cs="宋体"/>
          <w:color w:val="auto"/>
          <w:spacing w:val="-1"/>
          <w:sz w:val="21"/>
          <w:szCs w:val="21"/>
          <w:highlight w:val="none"/>
        </w:rPr>
        <w:t>分包合同价款</w:t>
      </w:r>
    </w:p>
    <w:p w14:paraId="1E54A561">
      <w:pPr>
        <w:spacing w:before="149" w:line="403"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1</w:t>
      </w:r>
      <w:r>
        <w:rPr>
          <w:rFonts w:ascii="宋体" w:hAnsi="宋体" w:eastAsia="宋体" w:cs="宋体"/>
          <w:color w:val="auto"/>
          <w:spacing w:val="1"/>
          <w:position w:val="14"/>
          <w:sz w:val="21"/>
          <w:szCs w:val="21"/>
          <w:highlight w:val="none"/>
        </w:rPr>
        <w:t>）除本项第（</w:t>
      </w:r>
      <w:r>
        <w:rPr>
          <w:rFonts w:ascii="Times New Roman" w:hAnsi="Times New Roman" w:eastAsia="Times New Roman" w:cs="Times New Roman"/>
          <w:color w:val="auto"/>
          <w:spacing w:val="1"/>
          <w:position w:val="14"/>
          <w:sz w:val="21"/>
          <w:szCs w:val="21"/>
          <w:highlight w:val="none"/>
        </w:rPr>
        <w:t>2</w:t>
      </w:r>
      <w:r>
        <w:rPr>
          <w:rFonts w:ascii="宋体" w:hAnsi="宋体" w:eastAsia="宋体" w:cs="宋体"/>
          <w:color w:val="auto"/>
          <w:spacing w:val="1"/>
          <w:position w:val="14"/>
          <w:sz w:val="21"/>
          <w:szCs w:val="21"/>
          <w:highlight w:val="none"/>
        </w:rPr>
        <w:t>）</w:t>
      </w:r>
      <w:r>
        <w:rPr>
          <w:rFonts w:ascii="宋体" w:hAnsi="宋体" w:eastAsia="宋体" w:cs="宋体"/>
          <w:color w:val="auto"/>
          <w:spacing w:val="-48"/>
          <w:position w:val="14"/>
          <w:sz w:val="21"/>
          <w:szCs w:val="21"/>
          <w:highlight w:val="none"/>
        </w:rPr>
        <w:t xml:space="preserve"> </w:t>
      </w:r>
      <w:r>
        <w:rPr>
          <w:rFonts w:ascii="宋体" w:hAnsi="宋体" w:eastAsia="宋体" w:cs="宋体"/>
          <w:color w:val="auto"/>
          <w:spacing w:val="1"/>
          <w:position w:val="14"/>
          <w:sz w:val="21"/>
          <w:szCs w:val="21"/>
          <w:highlight w:val="none"/>
        </w:rPr>
        <w:t>目约定的情况或专用合同条款另有约定外，分包合同价款由承包</w:t>
      </w:r>
    </w:p>
    <w:p w14:paraId="14DBD3A6">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人与分包人结算，未经承包人同意，发包人不得向分包人支付分包工程价款；</w:t>
      </w:r>
    </w:p>
    <w:p w14:paraId="4A6B8072">
      <w:pPr>
        <w:spacing w:before="149" w:line="399"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2</w:t>
      </w:r>
      <w:r>
        <w:rPr>
          <w:rFonts w:ascii="宋体" w:hAnsi="宋体" w:eastAsia="宋体" w:cs="宋体"/>
          <w:color w:val="auto"/>
          <w:position w:val="14"/>
          <w:sz w:val="21"/>
          <w:szCs w:val="21"/>
          <w:highlight w:val="none"/>
        </w:rPr>
        <w:t>）生效法律文书要求发包人向分包人支付分包合同价款的，发包人有权从</w:t>
      </w:r>
      <w:r>
        <w:rPr>
          <w:rFonts w:ascii="宋体" w:hAnsi="宋体" w:eastAsia="宋体" w:cs="宋体"/>
          <w:color w:val="auto"/>
          <w:spacing w:val="-1"/>
          <w:position w:val="14"/>
          <w:sz w:val="21"/>
          <w:szCs w:val="21"/>
          <w:highlight w:val="none"/>
        </w:rPr>
        <w:t>应付承包</w:t>
      </w:r>
    </w:p>
    <w:p w14:paraId="1B4237C8">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人工程款中扣除该部分款项。</w:t>
      </w:r>
    </w:p>
    <w:p w14:paraId="3E49F22E">
      <w:pPr>
        <w:spacing w:before="151" w:line="221"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3.5.5 </w:t>
      </w:r>
      <w:r>
        <w:rPr>
          <w:rFonts w:ascii="宋体" w:hAnsi="宋体" w:eastAsia="宋体" w:cs="宋体"/>
          <w:color w:val="auto"/>
          <w:spacing w:val="-1"/>
          <w:sz w:val="21"/>
          <w:szCs w:val="21"/>
          <w:highlight w:val="none"/>
        </w:rPr>
        <w:t>分包合同权益的转让</w:t>
      </w:r>
    </w:p>
    <w:p w14:paraId="71FBD190">
      <w:pPr>
        <w:spacing w:before="148" w:line="398" w:lineRule="exact"/>
        <w:ind w:left="443"/>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分包人在分包合同项下的义务持续到缺陷责任期届满以后的，发包人有权在缺陷责任</w:t>
      </w:r>
    </w:p>
    <w:p w14:paraId="3F92E2DB">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z w:val="21"/>
          <w:szCs w:val="21"/>
          <w:highlight w:val="none"/>
        </w:rPr>
        <w:t>期届满前，要求承包人将其在分包合同项下的权益转让给发包人， 承包人应当转让。除转</w:t>
      </w:r>
    </w:p>
    <w:p w14:paraId="6C4D573D">
      <w:pPr>
        <w:spacing w:before="152" w:line="221" w:lineRule="auto"/>
        <w:ind w:left="20"/>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让合同另有约定外， 转让合同生效后，</w:t>
      </w:r>
      <w:r>
        <w:rPr>
          <w:rFonts w:ascii="宋体" w:hAnsi="宋体" w:eastAsia="宋体" w:cs="宋体"/>
          <w:color w:val="auto"/>
          <w:spacing w:val="45"/>
          <w:sz w:val="21"/>
          <w:szCs w:val="21"/>
          <w:highlight w:val="none"/>
        </w:rPr>
        <w:t xml:space="preserve"> </w:t>
      </w:r>
      <w:r>
        <w:rPr>
          <w:rFonts w:ascii="宋体" w:hAnsi="宋体" w:eastAsia="宋体" w:cs="宋体"/>
          <w:color w:val="auto"/>
          <w:spacing w:val="-9"/>
          <w:sz w:val="21"/>
          <w:szCs w:val="21"/>
          <w:highlight w:val="none"/>
        </w:rPr>
        <w:t>由分包人向发包人履行义务。</w:t>
      </w:r>
    </w:p>
    <w:p w14:paraId="076D707A">
      <w:pPr>
        <w:spacing w:before="46" w:line="219" w:lineRule="auto"/>
        <w:ind w:left="19"/>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3.6 工程照管与成品、半成品保护</w:t>
      </w:r>
    </w:p>
    <w:p w14:paraId="6AB06C99">
      <w:pPr>
        <w:spacing w:before="129" w:line="398"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1</w:t>
      </w:r>
      <w:r>
        <w:rPr>
          <w:rFonts w:ascii="宋体" w:hAnsi="宋体" w:eastAsia="宋体" w:cs="宋体"/>
          <w:color w:val="auto"/>
          <w:position w:val="14"/>
          <w:sz w:val="21"/>
          <w:szCs w:val="21"/>
          <w:highlight w:val="none"/>
        </w:rPr>
        <w:t>）除专用合同条款另有约定外，自发包人向承包人移交施工现场之日起，承</w:t>
      </w:r>
      <w:r>
        <w:rPr>
          <w:rFonts w:ascii="宋体" w:hAnsi="宋体" w:eastAsia="宋体" w:cs="宋体"/>
          <w:color w:val="auto"/>
          <w:spacing w:val="-1"/>
          <w:position w:val="14"/>
          <w:sz w:val="21"/>
          <w:szCs w:val="21"/>
          <w:highlight w:val="none"/>
        </w:rPr>
        <w:t>包人应</w:t>
      </w:r>
    </w:p>
    <w:p w14:paraId="563C86F8">
      <w:pPr>
        <w:spacing w:before="1" w:line="219" w:lineRule="auto"/>
        <w:ind w:left="2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负责照管工程及工程相关的材料、工程设备，直到颁发工程接收证书之日止。</w:t>
      </w:r>
    </w:p>
    <w:p w14:paraId="5F2CCCB5">
      <w:pPr>
        <w:spacing w:before="154" w:line="398"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2</w:t>
      </w:r>
      <w:r>
        <w:rPr>
          <w:rFonts w:ascii="宋体" w:hAnsi="宋体" w:eastAsia="宋体" w:cs="宋体"/>
          <w:color w:val="auto"/>
          <w:position w:val="14"/>
          <w:sz w:val="21"/>
          <w:szCs w:val="21"/>
          <w:highlight w:val="none"/>
        </w:rPr>
        <w:t>）在承包人负责照管期间，因承包人原因造成工程、材料、工程设备损坏</w:t>
      </w:r>
      <w:r>
        <w:rPr>
          <w:rFonts w:ascii="宋体" w:hAnsi="宋体" w:eastAsia="宋体" w:cs="宋体"/>
          <w:color w:val="auto"/>
          <w:spacing w:val="-1"/>
          <w:position w:val="14"/>
          <w:sz w:val="21"/>
          <w:szCs w:val="21"/>
          <w:highlight w:val="none"/>
        </w:rPr>
        <w:t>的，由承</w:t>
      </w:r>
    </w:p>
    <w:p w14:paraId="754990E2">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包人负责修复或更换，并承担由此增加的费用和（或）延误的工期。</w:t>
      </w:r>
    </w:p>
    <w:p w14:paraId="64052B41">
      <w:pPr>
        <w:spacing w:before="147" w:line="403"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）对合同内分期完成的成品和半成品，在工程接收证书颁发前</w:t>
      </w:r>
      <w:r>
        <w:rPr>
          <w:rFonts w:ascii="宋体" w:hAnsi="宋体" w:eastAsia="宋体" w:cs="宋体"/>
          <w:color w:val="auto"/>
          <w:spacing w:val="-1"/>
          <w:position w:val="14"/>
          <w:sz w:val="21"/>
          <w:szCs w:val="21"/>
          <w:highlight w:val="none"/>
        </w:rPr>
        <w:t>，由承包人承担保护</w:t>
      </w:r>
    </w:p>
    <w:p w14:paraId="78E73313">
      <w:pPr>
        <w:spacing w:before="1" w:line="220" w:lineRule="auto"/>
        <w:ind w:left="25"/>
        <w:rPr>
          <w:rFonts w:ascii="宋体" w:hAnsi="宋体" w:eastAsia="宋体" w:cs="宋体"/>
          <w:color w:val="auto"/>
          <w:sz w:val="21"/>
          <w:szCs w:val="21"/>
          <w:highlight w:val="none"/>
        </w:rPr>
      </w:pPr>
      <w:r>
        <w:rPr>
          <w:rFonts w:ascii="宋体" w:hAnsi="宋体" w:eastAsia="宋体" w:cs="宋体"/>
          <w:color w:val="auto"/>
          <w:sz w:val="21"/>
          <w:szCs w:val="21"/>
          <w:highlight w:val="none"/>
        </w:rPr>
        <w:t>责任。因承包人原因造成成品或半成品损坏的，由承包人负责修复或更换， 并承担由此增</w:t>
      </w:r>
    </w:p>
    <w:p w14:paraId="5334E444">
      <w:pPr>
        <w:spacing w:before="148" w:line="221"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加的费用和（或）延误的工期。</w:t>
      </w:r>
    </w:p>
    <w:p w14:paraId="4F752AE6">
      <w:pPr>
        <w:spacing w:before="45" w:line="219" w:lineRule="auto"/>
        <w:ind w:left="19"/>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3.7 履约担保</w:t>
      </w:r>
    </w:p>
    <w:p w14:paraId="04526676">
      <w:pPr>
        <w:spacing w:before="130" w:line="352" w:lineRule="auto"/>
        <w:ind w:left="19" w:right="161" w:firstLine="425"/>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发包人需要承包人提供履约担保的， 由合同当事人在专用合同条款中约定履约担保的</w:t>
      </w:r>
      <w:r>
        <w:rPr>
          <w:rFonts w:ascii="宋体" w:hAnsi="宋体" w:eastAsia="宋体" w:cs="宋体"/>
          <w:color w:val="auto"/>
          <w:spacing w:val="5"/>
          <w:sz w:val="21"/>
          <w:szCs w:val="21"/>
          <w:highlight w:val="none"/>
        </w:rPr>
        <w:t xml:space="preserve"> </w:t>
      </w:r>
      <w:r>
        <w:rPr>
          <w:rFonts w:ascii="宋体" w:hAnsi="宋体" w:eastAsia="宋体" w:cs="宋体"/>
          <w:color w:val="auto"/>
          <w:spacing w:val="-2"/>
          <w:sz w:val="21"/>
          <w:szCs w:val="21"/>
          <w:highlight w:val="none"/>
        </w:rPr>
        <w:t>方式、金额及期限等。 履约担保可以采用银行保函或担</w:t>
      </w:r>
      <w:r>
        <w:rPr>
          <w:rFonts w:ascii="宋体" w:hAnsi="宋体" w:eastAsia="宋体" w:cs="宋体"/>
          <w:color w:val="auto"/>
          <w:spacing w:val="-3"/>
          <w:sz w:val="21"/>
          <w:szCs w:val="21"/>
          <w:highlight w:val="none"/>
        </w:rPr>
        <w:t>保公司担保等形式， 具体由合同当</w:t>
      </w:r>
    </w:p>
    <w:p w14:paraId="2CDC9381">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事人在专用合同条款中约定。</w:t>
      </w:r>
    </w:p>
    <w:p w14:paraId="20FAAD44">
      <w:pPr>
        <w:spacing w:before="147" w:line="220" w:lineRule="auto"/>
        <w:ind w:left="45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因承包人原因导致工期延长的， 继续提供履约担保所增加的费用由承包人承担； 非因</w:t>
      </w:r>
    </w:p>
    <w:p w14:paraId="046D4676">
      <w:pPr>
        <w:spacing w:before="149" w:line="220" w:lineRule="auto"/>
        <w:ind w:left="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承包人原因导致工期延长的， 继续提供履约担保所增加的费用由发包人承担。</w:t>
      </w:r>
    </w:p>
    <w:p w14:paraId="4058CF81">
      <w:pPr>
        <w:spacing w:before="51" w:line="219" w:lineRule="auto"/>
        <w:ind w:left="19"/>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3.8</w:t>
      </w:r>
      <w:r>
        <w:rPr>
          <w:rFonts w:ascii="黑体" w:hAnsi="黑体" w:eastAsia="黑体" w:cs="黑体"/>
          <w:color w:val="auto"/>
          <w:spacing w:val="11"/>
          <w:sz w:val="24"/>
          <w:szCs w:val="24"/>
          <w:highlight w:val="none"/>
        </w:rPr>
        <w:t xml:space="preserve"> </w:t>
      </w:r>
      <w:r>
        <w:rPr>
          <w:rFonts w:ascii="黑体" w:hAnsi="黑体" w:eastAsia="黑体" w:cs="黑体"/>
          <w:color w:val="auto"/>
          <w:spacing w:val="-3"/>
          <w:sz w:val="24"/>
          <w:szCs w:val="24"/>
          <w:highlight w:val="none"/>
        </w:rPr>
        <w:t>联合体</w:t>
      </w:r>
    </w:p>
    <w:p w14:paraId="4D24B731">
      <w:pPr>
        <w:spacing w:before="129" w:line="398" w:lineRule="exact"/>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3.8.1</w:t>
      </w:r>
      <w:r>
        <w:rPr>
          <w:rFonts w:ascii="Times New Roman" w:hAnsi="Times New Roman" w:eastAsia="Times New Roman" w:cs="Times New Roman"/>
          <w:color w:val="auto"/>
          <w:spacing w:val="33"/>
          <w:w w:val="101"/>
          <w:position w:val="14"/>
          <w:sz w:val="21"/>
          <w:szCs w:val="21"/>
          <w:highlight w:val="none"/>
        </w:rPr>
        <w:t xml:space="preserve"> </w:t>
      </w:r>
      <w:r>
        <w:rPr>
          <w:rFonts w:ascii="宋体" w:hAnsi="宋体" w:eastAsia="宋体" w:cs="宋体"/>
          <w:color w:val="auto"/>
          <w:spacing w:val="1"/>
          <w:position w:val="14"/>
          <w:sz w:val="21"/>
          <w:szCs w:val="21"/>
          <w:highlight w:val="none"/>
        </w:rPr>
        <w:t>联合体各方应共同与发包人签订合同协议书。联合体</w:t>
      </w:r>
      <w:r>
        <w:rPr>
          <w:rFonts w:ascii="宋体" w:hAnsi="宋体" w:eastAsia="宋体" w:cs="宋体"/>
          <w:color w:val="auto"/>
          <w:position w:val="14"/>
          <w:sz w:val="21"/>
          <w:szCs w:val="21"/>
          <w:highlight w:val="none"/>
        </w:rPr>
        <w:t>各方应为履行合同向发包人</w:t>
      </w:r>
    </w:p>
    <w:p w14:paraId="786BE749">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承担连带责任。</w:t>
      </w:r>
    </w:p>
    <w:p w14:paraId="2F4CF377">
      <w:pPr>
        <w:spacing w:before="148" w:line="403" w:lineRule="exact"/>
        <w:jc w:val="right"/>
        <w:rPr>
          <w:rFonts w:ascii="宋体" w:hAnsi="宋体" w:eastAsia="宋体" w:cs="宋体"/>
          <w:color w:val="auto"/>
          <w:sz w:val="21"/>
          <w:szCs w:val="21"/>
          <w:highlight w:val="none"/>
        </w:rPr>
      </w:pPr>
      <w:r>
        <w:rPr>
          <w:rFonts w:ascii="Times New Roman" w:hAnsi="Times New Roman" w:eastAsia="Times New Roman" w:cs="Times New Roman"/>
          <w:color w:val="auto"/>
          <w:position w:val="14"/>
          <w:sz w:val="21"/>
          <w:szCs w:val="21"/>
          <w:highlight w:val="none"/>
        </w:rPr>
        <w:t>3.8.2</w:t>
      </w:r>
      <w:r>
        <w:rPr>
          <w:rFonts w:ascii="Times New Roman" w:hAnsi="Times New Roman" w:eastAsia="Times New Roman" w:cs="Times New Roman"/>
          <w:color w:val="auto"/>
          <w:spacing w:val="33"/>
          <w:w w:val="101"/>
          <w:position w:val="14"/>
          <w:sz w:val="21"/>
          <w:szCs w:val="21"/>
          <w:highlight w:val="none"/>
        </w:rPr>
        <w:t xml:space="preserve"> </w:t>
      </w:r>
      <w:r>
        <w:rPr>
          <w:rFonts w:ascii="宋体" w:hAnsi="宋体" w:eastAsia="宋体" w:cs="宋体"/>
          <w:color w:val="auto"/>
          <w:position w:val="14"/>
          <w:sz w:val="21"/>
          <w:szCs w:val="21"/>
          <w:highlight w:val="none"/>
        </w:rPr>
        <w:t>联合体协议经发包人确认后作为合</w:t>
      </w:r>
      <w:r>
        <w:rPr>
          <w:rFonts w:ascii="宋体" w:hAnsi="宋体" w:eastAsia="宋体" w:cs="宋体"/>
          <w:color w:val="auto"/>
          <w:spacing w:val="-1"/>
          <w:position w:val="14"/>
          <w:sz w:val="21"/>
          <w:szCs w:val="21"/>
          <w:highlight w:val="none"/>
        </w:rPr>
        <w:t>同附件。在履行合同过程中，未经发包人同意，</w:t>
      </w:r>
    </w:p>
    <w:p w14:paraId="320BF1F9">
      <w:pPr>
        <w:spacing w:before="1" w:line="220"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不得修改联合体协议。</w:t>
      </w:r>
    </w:p>
    <w:p w14:paraId="052435F0">
      <w:pPr>
        <w:spacing w:before="148" w:line="398" w:lineRule="exact"/>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3.8.3</w:t>
      </w:r>
      <w:r>
        <w:rPr>
          <w:rFonts w:ascii="Times New Roman" w:hAnsi="Times New Roman" w:eastAsia="Times New Roman" w:cs="Times New Roman"/>
          <w:color w:val="auto"/>
          <w:spacing w:val="34"/>
          <w:position w:val="14"/>
          <w:sz w:val="21"/>
          <w:szCs w:val="21"/>
          <w:highlight w:val="none"/>
        </w:rPr>
        <w:t xml:space="preserve"> </w:t>
      </w:r>
      <w:r>
        <w:rPr>
          <w:rFonts w:ascii="宋体" w:hAnsi="宋体" w:eastAsia="宋体" w:cs="宋体"/>
          <w:color w:val="auto"/>
          <w:spacing w:val="1"/>
          <w:position w:val="14"/>
          <w:sz w:val="21"/>
          <w:szCs w:val="21"/>
          <w:highlight w:val="none"/>
        </w:rPr>
        <w:t>联合体牵头人负责与发包人和监理人联系，并</w:t>
      </w:r>
      <w:r>
        <w:rPr>
          <w:rFonts w:ascii="宋体" w:hAnsi="宋体" w:eastAsia="宋体" w:cs="宋体"/>
          <w:color w:val="auto"/>
          <w:position w:val="14"/>
          <w:sz w:val="21"/>
          <w:szCs w:val="21"/>
          <w:highlight w:val="none"/>
        </w:rPr>
        <w:t>接受指示，负责组织联合体各成员</w:t>
      </w:r>
    </w:p>
    <w:p w14:paraId="2FAB4202">
      <w:pPr>
        <w:spacing w:line="221"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全面履行合同。</w:t>
      </w:r>
    </w:p>
    <w:p w14:paraId="7B46D26F">
      <w:pPr>
        <w:spacing w:before="177" w:line="223" w:lineRule="auto"/>
        <w:ind w:left="13"/>
        <w:rPr>
          <w:rFonts w:ascii="黑体" w:hAnsi="黑体" w:eastAsia="黑体" w:cs="黑体"/>
          <w:color w:val="auto"/>
          <w:sz w:val="32"/>
          <w:szCs w:val="32"/>
          <w:highlight w:val="none"/>
        </w:rPr>
      </w:pPr>
      <w:r>
        <w:rPr>
          <w:rFonts w:ascii="黑体" w:hAnsi="黑体" w:eastAsia="黑体" w:cs="黑体"/>
          <w:color w:val="auto"/>
          <w:sz w:val="32"/>
          <w:szCs w:val="32"/>
          <w:highlight w:val="none"/>
        </w:rPr>
        <w:t>4.监理人</w:t>
      </w:r>
    </w:p>
    <w:p w14:paraId="353330B3">
      <w:pPr>
        <w:spacing w:before="140" w:line="218" w:lineRule="auto"/>
        <w:ind w:left="1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4.1</w:t>
      </w:r>
      <w:r>
        <w:rPr>
          <w:rFonts w:ascii="黑体" w:hAnsi="黑体" w:eastAsia="黑体" w:cs="黑体"/>
          <w:color w:val="auto"/>
          <w:spacing w:val="-44"/>
          <w:sz w:val="24"/>
          <w:szCs w:val="24"/>
          <w:highlight w:val="none"/>
        </w:rPr>
        <w:t xml:space="preserve"> </w:t>
      </w:r>
      <w:r>
        <w:rPr>
          <w:rFonts w:ascii="黑体" w:hAnsi="黑体" w:eastAsia="黑体" w:cs="黑体"/>
          <w:color w:val="auto"/>
          <w:spacing w:val="-2"/>
          <w:sz w:val="24"/>
          <w:szCs w:val="24"/>
          <w:highlight w:val="none"/>
        </w:rPr>
        <w:t>监理人的一般规定</w:t>
      </w:r>
    </w:p>
    <w:p w14:paraId="1F2EE209">
      <w:pPr>
        <w:spacing w:before="129" w:line="353" w:lineRule="auto"/>
        <w:ind w:left="17" w:right="161" w:firstLine="426"/>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工程实行监理的，发包人和承包人应在专用合同条款中明确监理人的监理内容及监理</w:t>
      </w:r>
      <w:r>
        <w:rPr>
          <w:rFonts w:ascii="宋体" w:hAnsi="宋体" w:eastAsia="宋体" w:cs="宋体"/>
          <w:color w:val="auto"/>
          <w:sz w:val="21"/>
          <w:szCs w:val="21"/>
          <w:highlight w:val="none"/>
        </w:rPr>
        <w:t xml:space="preserve"> 权限等事项。监理人应当根据发包人授权及法律规定， 代表发包人对工程施工相关事项进</w:t>
      </w:r>
    </w:p>
    <w:p w14:paraId="312555E6">
      <w:pPr>
        <w:spacing w:before="1" w:line="220" w:lineRule="auto"/>
        <w:ind w:left="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行检查、查验、审核、验收，</w:t>
      </w:r>
      <w:r>
        <w:rPr>
          <w:rFonts w:ascii="宋体" w:hAnsi="宋体" w:eastAsia="宋体" w:cs="宋体"/>
          <w:color w:val="auto"/>
          <w:spacing w:val="81"/>
          <w:sz w:val="21"/>
          <w:szCs w:val="21"/>
          <w:highlight w:val="none"/>
        </w:rPr>
        <w:t xml:space="preserve"> </w:t>
      </w:r>
      <w:r>
        <w:rPr>
          <w:rFonts w:ascii="宋体" w:hAnsi="宋体" w:eastAsia="宋体" w:cs="宋体"/>
          <w:color w:val="auto"/>
          <w:spacing w:val="-2"/>
          <w:sz w:val="21"/>
          <w:szCs w:val="21"/>
          <w:highlight w:val="none"/>
        </w:rPr>
        <w:t>并签发相关指示，但监理人无权修改合同，且无权减轻或免</w:t>
      </w:r>
    </w:p>
    <w:p w14:paraId="040DD6A1">
      <w:pPr>
        <w:spacing w:line="220" w:lineRule="auto"/>
        <w:rPr>
          <w:rFonts w:ascii="宋体" w:hAnsi="宋体" w:eastAsia="宋体" w:cs="宋体"/>
          <w:color w:val="auto"/>
          <w:sz w:val="21"/>
          <w:szCs w:val="21"/>
          <w:highlight w:val="none"/>
        </w:rPr>
        <w:sectPr>
          <w:footerReference r:id="rId113" w:type="default"/>
          <w:pgSz w:w="11905" w:h="16839"/>
          <w:pgMar w:top="1431" w:right="1630" w:bottom="1004" w:left="1785" w:header="0" w:footer="828" w:gutter="0"/>
          <w:pgNumType w:fmt="decimal"/>
          <w:cols w:space="720" w:num="1"/>
        </w:sectPr>
      </w:pPr>
    </w:p>
    <w:p w14:paraId="4F833F4B">
      <w:pPr>
        <w:spacing w:before="148" w:line="221" w:lineRule="auto"/>
        <w:ind w:left="3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除合同约定的承包人的任何责任与义务。</w:t>
      </w:r>
    </w:p>
    <w:p w14:paraId="05312031">
      <w:pPr>
        <w:spacing w:before="147" w:line="220" w:lineRule="auto"/>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除专用合同条款另有约定外，监理人在施工现场的办公场所、生活场所由承包人提供，</w:t>
      </w:r>
    </w:p>
    <w:p w14:paraId="0A147403">
      <w:pPr>
        <w:spacing w:before="152" w:line="221"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所发生的费用由发包人承担。</w:t>
      </w:r>
    </w:p>
    <w:p w14:paraId="22F9D64F">
      <w:pPr>
        <w:spacing w:before="46" w:line="218" w:lineRule="auto"/>
        <w:ind w:left="1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4.2</w:t>
      </w:r>
      <w:r>
        <w:rPr>
          <w:rFonts w:ascii="黑体" w:hAnsi="黑体" w:eastAsia="黑体" w:cs="黑体"/>
          <w:color w:val="auto"/>
          <w:spacing w:val="-50"/>
          <w:sz w:val="24"/>
          <w:szCs w:val="24"/>
          <w:highlight w:val="none"/>
        </w:rPr>
        <w:t xml:space="preserve"> </w:t>
      </w:r>
      <w:r>
        <w:rPr>
          <w:rFonts w:ascii="黑体" w:hAnsi="黑体" w:eastAsia="黑体" w:cs="黑体"/>
          <w:color w:val="auto"/>
          <w:spacing w:val="-2"/>
          <w:sz w:val="24"/>
          <w:szCs w:val="24"/>
          <w:highlight w:val="none"/>
        </w:rPr>
        <w:t>监理人员</w:t>
      </w:r>
    </w:p>
    <w:p w14:paraId="01454F58">
      <w:pPr>
        <w:spacing w:before="131" w:line="352" w:lineRule="auto"/>
        <w:ind w:left="20" w:right="174" w:firstLine="423"/>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发包人授予监理人对工程实施监理的权利由监理人派驻施工现场的监理人员行使，监</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理人员包括总监理工程师及监理工程师。监理人应将授权的总监理工程</w:t>
      </w:r>
      <w:r>
        <w:rPr>
          <w:rFonts w:ascii="宋体" w:hAnsi="宋体" w:eastAsia="宋体" w:cs="宋体"/>
          <w:color w:val="auto"/>
          <w:spacing w:val="2"/>
          <w:sz w:val="21"/>
          <w:szCs w:val="21"/>
          <w:highlight w:val="none"/>
        </w:rPr>
        <w:t>师和监理工程师的</w:t>
      </w:r>
    </w:p>
    <w:p w14:paraId="36F45147">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姓名及授权范围以书面形式提前通知承包人。</w:t>
      </w:r>
      <w:r>
        <w:rPr>
          <w:rFonts w:ascii="宋体" w:hAnsi="宋体" w:eastAsia="宋体" w:cs="宋体"/>
          <w:color w:val="auto"/>
          <w:sz w:val="21"/>
          <w:szCs w:val="21"/>
          <w:highlight w:val="none"/>
        </w:rPr>
        <w:t xml:space="preserve">更换总监理工程师的，监理人应提前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天书</w:t>
      </w:r>
    </w:p>
    <w:p w14:paraId="1ED920A1">
      <w:pPr>
        <w:spacing w:before="148"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面通知承包人；更换其他监理人员，监理人应提前</w:t>
      </w:r>
      <w:r>
        <w:rPr>
          <w:rFonts w:ascii="宋体" w:hAnsi="宋体" w:eastAsia="宋体" w:cs="宋体"/>
          <w:color w:val="auto"/>
          <w:spacing w:val="-46"/>
          <w:sz w:val="21"/>
          <w:szCs w:val="21"/>
          <w:highlight w:val="none"/>
        </w:rPr>
        <w:t xml:space="preserve"> </w:t>
      </w:r>
      <w:r>
        <w:rPr>
          <w:rFonts w:ascii="Times New Roman" w:hAnsi="Times New Roman" w:eastAsia="Times New Roman" w:cs="Times New Roman"/>
          <w:color w:val="auto"/>
          <w:spacing w:val="-1"/>
          <w:sz w:val="21"/>
          <w:szCs w:val="21"/>
          <w:highlight w:val="none"/>
        </w:rPr>
        <w:t xml:space="preserve">48 </w:t>
      </w:r>
      <w:r>
        <w:rPr>
          <w:rFonts w:ascii="宋体" w:hAnsi="宋体" w:eastAsia="宋体" w:cs="宋体"/>
          <w:color w:val="auto"/>
          <w:spacing w:val="-1"/>
          <w:sz w:val="21"/>
          <w:szCs w:val="21"/>
          <w:highlight w:val="none"/>
        </w:rPr>
        <w:t>小时书面通知承包</w:t>
      </w:r>
      <w:r>
        <w:rPr>
          <w:rFonts w:ascii="宋体" w:hAnsi="宋体" w:eastAsia="宋体" w:cs="宋体"/>
          <w:color w:val="auto"/>
          <w:spacing w:val="-2"/>
          <w:sz w:val="21"/>
          <w:szCs w:val="21"/>
          <w:highlight w:val="none"/>
        </w:rPr>
        <w:t>人。</w:t>
      </w:r>
    </w:p>
    <w:p w14:paraId="72D8B91A">
      <w:pPr>
        <w:spacing w:before="47" w:line="219" w:lineRule="auto"/>
        <w:ind w:left="1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4.3</w:t>
      </w:r>
      <w:r>
        <w:rPr>
          <w:rFonts w:ascii="黑体" w:hAnsi="黑体" w:eastAsia="黑体" w:cs="黑体"/>
          <w:color w:val="auto"/>
          <w:spacing w:val="-47"/>
          <w:sz w:val="24"/>
          <w:szCs w:val="24"/>
          <w:highlight w:val="none"/>
        </w:rPr>
        <w:t xml:space="preserve"> </w:t>
      </w:r>
      <w:r>
        <w:rPr>
          <w:rFonts w:ascii="黑体" w:hAnsi="黑体" w:eastAsia="黑体" w:cs="黑体"/>
          <w:color w:val="auto"/>
          <w:spacing w:val="-2"/>
          <w:sz w:val="24"/>
          <w:szCs w:val="24"/>
          <w:highlight w:val="none"/>
        </w:rPr>
        <w:t>监理人的指示</w:t>
      </w:r>
    </w:p>
    <w:p w14:paraId="67090C33">
      <w:pPr>
        <w:spacing w:before="128" w:line="352" w:lineRule="auto"/>
        <w:ind w:left="17" w:right="174" w:firstLine="424"/>
        <w:rPr>
          <w:rFonts w:ascii="宋体" w:hAnsi="宋体" w:eastAsia="宋体" w:cs="宋体"/>
          <w:color w:val="auto"/>
          <w:sz w:val="21"/>
          <w:szCs w:val="21"/>
          <w:highlight w:val="none"/>
        </w:rPr>
      </w:pPr>
      <w:r>
        <w:rPr>
          <w:rFonts w:ascii="宋体" w:hAnsi="宋体" w:eastAsia="宋体" w:cs="宋体"/>
          <w:color w:val="auto"/>
          <w:sz w:val="21"/>
          <w:szCs w:val="21"/>
          <w:highlight w:val="none"/>
        </w:rPr>
        <w:t>监理人应按照发包人的授权发出监理指示。监理人的指示应采用书面形式， 并经其授</w:t>
      </w:r>
      <w:r>
        <w:rPr>
          <w:rFonts w:ascii="宋体" w:hAnsi="宋体" w:eastAsia="宋体" w:cs="宋体"/>
          <w:color w:val="auto"/>
          <w:spacing w:val="8"/>
          <w:sz w:val="21"/>
          <w:szCs w:val="21"/>
          <w:highlight w:val="none"/>
        </w:rPr>
        <w:t xml:space="preserve"> </w:t>
      </w:r>
      <w:r>
        <w:rPr>
          <w:rFonts w:ascii="宋体" w:hAnsi="宋体" w:eastAsia="宋体" w:cs="宋体"/>
          <w:color w:val="auto"/>
          <w:sz w:val="21"/>
          <w:szCs w:val="21"/>
          <w:highlight w:val="none"/>
        </w:rPr>
        <w:t>权的监理人员签字。紧急情况下， 为了保证施工人员的安全或避免工程受损，监理人员可</w:t>
      </w:r>
      <w:r>
        <w:rPr>
          <w:rFonts w:ascii="宋体" w:hAnsi="宋体" w:eastAsia="宋体" w:cs="宋体"/>
          <w:color w:val="auto"/>
          <w:spacing w:val="7"/>
          <w:sz w:val="21"/>
          <w:szCs w:val="21"/>
          <w:highlight w:val="none"/>
        </w:rPr>
        <w:t xml:space="preserve"> </w:t>
      </w:r>
      <w:r>
        <w:rPr>
          <w:rFonts w:ascii="宋体" w:hAnsi="宋体" w:eastAsia="宋体" w:cs="宋体"/>
          <w:color w:val="auto"/>
          <w:sz w:val="21"/>
          <w:szCs w:val="21"/>
          <w:highlight w:val="none"/>
        </w:rPr>
        <w:t>以口头形式发出指示， 该指示与书面形式的指示具有同等法律效力，但必须在发出口头指</w:t>
      </w:r>
    </w:p>
    <w:p w14:paraId="0218A6CD">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示后</w:t>
      </w:r>
      <w:r>
        <w:rPr>
          <w:rFonts w:ascii="宋体" w:hAnsi="宋体" w:eastAsia="宋体" w:cs="宋体"/>
          <w:color w:val="auto"/>
          <w:spacing w:val="-47"/>
          <w:sz w:val="21"/>
          <w:szCs w:val="21"/>
          <w:highlight w:val="none"/>
        </w:rPr>
        <w:t xml:space="preserve"> </w:t>
      </w:r>
      <w:r>
        <w:rPr>
          <w:rFonts w:ascii="Times New Roman" w:hAnsi="Times New Roman" w:eastAsia="Times New Roman" w:cs="Times New Roman"/>
          <w:color w:val="auto"/>
          <w:spacing w:val="-1"/>
          <w:sz w:val="21"/>
          <w:szCs w:val="21"/>
          <w:highlight w:val="none"/>
        </w:rPr>
        <w:t xml:space="preserve">24 </w:t>
      </w:r>
      <w:r>
        <w:rPr>
          <w:rFonts w:ascii="宋体" w:hAnsi="宋体" w:eastAsia="宋体" w:cs="宋体"/>
          <w:color w:val="auto"/>
          <w:spacing w:val="-1"/>
          <w:sz w:val="21"/>
          <w:szCs w:val="21"/>
          <w:highlight w:val="none"/>
        </w:rPr>
        <w:t>小时内补发书面监理指示，补发的书面监理指示应与口头指示</w:t>
      </w:r>
      <w:r>
        <w:rPr>
          <w:rFonts w:ascii="宋体" w:hAnsi="宋体" w:eastAsia="宋体" w:cs="宋体"/>
          <w:color w:val="auto"/>
          <w:spacing w:val="-2"/>
          <w:sz w:val="21"/>
          <w:szCs w:val="21"/>
          <w:highlight w:val="none"/>
        </w:rPr>
        <w:t>一致。</w:t>
      </w:r>
    </w:p>
    <w:p w14:paraId="066BECF1">
      <w:pPr>
        <w:spacing w:before="148" w:line="352" w:lineRule="auto"/>
        <w:ind w:left="19" w:right="174" w:firstLine="422"/>
        <w:rPr>
          <w:rFonts w:ascii="Times New Roman" w:hAnsi="Times New Roman" w:eastAsia="Times New Roman" w:cs="Times New Roman"/>
          <w:color w:val="auto"/>
          <w:sz w:val="21"/>
          <w:szCs w:val="21"/>
          <w:highlight w:val="none"/>
        </w:rPr>
      </w:pPr>
      <w:r>
        <w:rPr>
          <w:rFonts w:ascii="宋体" w:hAnsi="宋体" w:eastAsia="宋体" w:cs="宋体"/>
          <w:color w:val="auto"/>
          <w:spacing w:val="3"/>
          <w:sz w:val="21"/>
          <w:szCs w:val="21"/>
          <w:highlight w:val="none"/>
        </w:rPr>
        <w:t>监理人发出的指示应送达承包人项目经理或经项目经理授权接收的人员。因监理人未</w:t>
      </w:r>
      <w:r>
        <w:rPr>
          <w:rFonts w:ascii="宋体" w:hAnsi="宋体" w:eastAsia="宋体" w:cs="宋体"/>
          <w:color w:val="auto"/>
          <w:spacing w:val="2"/>
          <w:sz w:val="21"/>
          <w:szCs w:val="21"/>
          <w:highlight w:val="none"/>
        </w:rPr>
        <w:t xml:space="preserve"> </w:t>
      </w:r>
      <w:r>
        <w:rPr>
          <w:rFonts w:ascii="宋体" w:hAnsi="宋体" w:eastAsia="宋体" w:cs="宋体"/>
          <w:color w:val="auto"/>
          <w:spacing w:val="3"/>
          <w:sz w:val="21"/>
          <w:szCs w:val="21"/>
          <w:highlight w:val="none"/>
        </w:rPr>
        <w:t>能按合同约定发出指示、指示延误或发出了错误指示而导致承包人费用增加</w:t>
      </w:r>
      <w:r>
        <w:rPr>
          <w:rFonts w:ascii="宋体" w:hAnsi="宋体" w:eastAsia="宋体" w:cs="宋体"/>
          <w:color w:val="auto"/>
          <w:spacing w:val="2"/>
          <w:sz w:val="21"/>
          <w:szCs w:val="21"/>
          <w:highlight w:val="none"/>
        </w:rPr>
        <w:t>和（或）工期</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延误的，由发包人承担相应责任。除专用合同条款另有约定外，</w:t>
      </w:r>
      <w:r>
        <w:rPr>
          <w:rFonts w:ascii="宋体" w:hAnsi="宋体" w:eastAsia="宋体" w:cs="宋体"/>
          <w:color w:val="auto"/>
          <w:spacing w:val="57"/>
          <w:sz w:val="21"/>
          <w:szCs w:val="21"/>
          <w:highlight w:val="none"/>
        </w:rPr>
        <w:t xml:space="preserve"> </w:t>
      </w:r>
      <w:r>
        <w:rPr>
          <w:rFonts w:ascii="宋体" w:hAnsi="宋体" w:eastAsia="宋体" w:cs="宋体"/>
          <w:color w:val="auto"/>
          <w:spacing w:val="-4"/>
          <w:sz w:val="21"/>
          <w:szCs w:val="21"/>
          <w:highlight w:val="none"/>
        </w:rPr>
        <w:t>总监理工程师</w:t>
      </w:r>
      <w:r>
        <w:rPr>
          <w:rFonts w:ascii="宋体" w:hAnsi="宋体" w:eastAsia="宋体" w:cs="宋体"/>
          <w:color w:val="auto"/>
          <w:spacing w:val="-5"/>
          <w:sz w:val="21"/>
          <w:szCs w:val="21"/>
          <w:highlight w:val="none"/>
        </w:rPr>
        <w:t>不应将第</w:t>
      </w:r>
      <w:r>
        <w:rPr>
          <w:rFonts w:ascii="宋体" w:hAnsi="宋体" w:eastAsia="宋体" w:cs="宋体"/>
          <w:color w:val="auto"/>
          <w:spacing w:val="-32"/>
          <w:sz w:val="21"/>
          <w:szCs w:val="21"/>
          <w:highlight w:val="none"/>
        </w:rPr>
        <w:t xml:space="preserve"> </w:t>
      </w:r>
      <w:r>
        <w:rPr>
          <w:rFonts w:ascii="Times New Roman" w:hAnsi="Times New Roman" w:eastAsia="Times New Roman" w:cs="Times New Roman"/>
          <w:color w:val="auto"/>
          <w:spacing w:val="-5"/>
          <w:sz w:val="21"/>
          <w:szCs w:val="21"/>
          <w:highlight w:val="none"/>
        </w:rPr>
        <w:t>4.4</w:t>
      </w:r>
    </w:p>
    <w:p w14:paraId="20F29C77">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款〔商定或确定〕约定应由总监理工程师作出确定的权力授权或委托给其他监理人员。</w:t>
      </w:r>
    </w:p>
    <w:p w14:paraId="7D44DC46">
      <w:pPr>
        <w:spacing w:before="153" w:line="398" w:lineRule="exact"/>
        <w:ind w:left="441"/>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承包人对监理人发出的指示有疑问的， 应向监理人提出书面异议，监理人应在</w:t>
      </w:r>
      <w:r>
        <w:rPr>
          <w:rFonts w:ascii="宋体" w:hAnsi="宋体" w:eastAsia="宋体" w:cs="宋体"/>
          <w:color w:val="auto"/>
          <w:spacing w:val="-31"/>
          <w:position w:val="14"/>
          <w:sz w:val="21"/>
          <w:szCs w:val="21"/>
          <w:highlight w:val="none"/>
        </w:rPr>
        <w:t xml:space="preserve"> </w:t>
      </w:r>
      <w:r>
        <w:rPr>
          <w:rFonts w:ascii="Times New Roman" w:hAnsi="Times New Roman" w:eastAsia="Times New Roman" w:cs="Times New Roman"/>
          <w:color w:val="auto"/>
          <w:spacing w:val="-4"/>
          <w:position w:val="14"/>
          <w:sz w:val="21"/>
          <w:szCs w:val="21"/>
          <w:highlight w:val="none"/>
        </w:rPr>
        <w:t>48</w:t>
      </w:r>
      <w:r>
        <w:rPr>
          <w:rFonts w:ascii="Times New Roman" w:hAnsi="Times New Roman" w:eastAsia="Times New Roman" w:cs="Times New Roman"/>
          <w:color w:val="auto"/>
          <w:spacing w:val="14"/>
          <w:w w:val="101"/>
          <w:position w:val="14"/>
          <w:sz w:val="21"/>
          <w:szCs w:val="21"/>
          <w:highlight w:val="none"/>
        </w:rPr>
        <w:t xml:space="preserve"> </w:t>
      </w:r>
      <w:r>
        <w:rPr>
          <w:rFonts w:ascii="宋体" w:hAnsi="宋体" w:eastAsia="宋体" w:cs="宋体"/>
          <w:color w:val="auto"/>
          <w:spacing w:val="-4"/>
          <w:position w:val="14"/>
          <w:sz w:val="21"/>
          <w:szCs w:val="21"/>
          <w:highlight w:val="none"/>
        </w:rPr>
        <w:t>小时</w:t>
      </w:r>
    </w:p>
    <w:p w14:paraId="5AF569C4">
      <w:pPr>
        <w:spacing w:before="1" w:line="220" w:lineRule="auto"/>
        <w:jc w:val="right"/>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内对该指示予以确认、更改或撤销， 监理人逾期未回复的， 承包人有权拒绝执行上述指示。</w:t>
      </w:r>
    </w:p>
    <w:p w14:paraId="5181E99C">
      <w:pPr>
        <w:spacing w:before="147" w:line="404" w:lineRule="exact"/>
        <w:ind w:left="442"/>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监理人对承包人的任何工作、工程或其采用的材料和工程设备未在约定的或合理期限</w:t>
      </w:r>
    </w:p>
    <w:p w14:paraId="0BC5BB9C">
      <w:pPr>
        <w:spacing w:line="219" w:lineRule="auto"/>
        <w:ind w:left="4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内提出意见的，视为批准，但不免除或减轻承包人对该工作、工程、材料、工程设备等应</w:t>
      </w:r>
    </w:p>
    <w:p w14:paraId="4D650080">
      <w:pPr>
        <w:spacing w:before="149" w:line="221"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承担的责任和义务。</w:t>
      </w:r>
    </w:p>
    <w:p w14:paraId="203A03D4">
      <w:pPr>
        <w:spacing w:before="45" w:line="219" w:lineRule="auto"/>
        <w:ind w:left="1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4.4</w:t>
      </w:r>
      <w:r>
        <w:rPr>
          <w:rFonts w:ascii="黑体" w:hAnsi="黑体" w:eastAsia="黑体" w:cs="黑体"/>
          <w:color w:val="auto"/>
          <w:spacing w:val="24"/>
          <w:sz w:val="24"/>
          <w:szCs w:val="24"/>
          <w:highlight w:val="none"/>
        </w:rPr>
        <w:t xml:space="preserve"> </w:t>
      </w:r>
      <w:r>
        <w:rPr>
          <w:rFonts w:ascii="黑体" w:hAnsi="黑体" w:eastAsia="黑体" w:cs="黑体"/>
          <w:color w:val="auto"/>
          <w:spacing w:val="-3"/>
          <w:sz w:val="24"/>
          <w:szCs w:val="24"/>
          <w:highlight w:val="none"/>
        </w:rPr>
        <w:t>商定或确定</w:t>
      </w:r>
    </w:p>
    <w:p w14:paraId="5ABA4B82">
      <w:pPr>
        <w:spacing w:before="130" w:line="403" w:lineRule="exact"/>
        <w:ind w:left="442"/>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合同当事人进行商定或确定时， 总监理工程师应当会同合同当事人尽量通过协商达成</w:t>
      </w:r>
    </w:p>
    <w:p w14:paraId="167F231D">
      <w:pPr>
        <w:spacing w:line="220"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一致，不能达成一致的，由总监理工程师按照合同约定审慎做出公正的确定。</w:t>
      </w:r>
    </w:p>
    <w:p w14:paraId="7CEA44DC">
      <w:pPr>
        <w:spacing w:before="150" w:line="351" w:lineRule="auto"/>
        <w:ind w:left="17" w:right="171" w:firstLine="42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总监理工程师应将确定以书面形式通知发包人和承包人，并附详细依据。合同</w:t>
      </w:r>
      <w:r>
        <w:rPr>
          <w:rFonts w:ascii="宋体" w:hAnsi="宋体" w:eastAsia="宋体" w:cs="宋体"/>
          <w:color w:val="auto"/>
          <w:spacing w:val="2"/>
          <w:sz w:val="21"/>
          <w:szCs w:val="21"/>
          <w:highlight w:val="none"/>
        </w:rPr>
        <w:t>当事人</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对总监理工程师的确定没有异议的，按照总监理工程师的确定执行。任何一方</w:t>
      </w:r>
      <w:r>
        <w:rPr>
          <w:rFonts w:ascii="宋体" w:hAnsi="宋体" w:eastAsia="宋体" w:cs="宋体"/>
          <w:color w:val="auto"/>
          <w:spacing w:val="2"/>
          <w:sz w:val="21"/>
          <w:szCs w:val="21"/>
          <w:highlight w:val="none"/>
        </w:rPr>
        <w:t>合同当事人</w:t>
      </w:r>
      <w:r>
        <w:rPr>
          <w:rFonts w:ascii="宋体" w:hAnsi="宋体" w:eastAsia="宋体" w:cs="宋体"/>
          <w:color w:val="auto"/>
          <w:sz w:val="21"/>
          <w:szCs w:val="21"/>
          <w:highlight w:val="none"/>
        </w:rPr>
        <w:t xml:space="preserve"> 有异议，按照第</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z w:val="21"/>
          <w:szCs w:val="21"/>
          <w:highlight w:val="none"/>
        </w:rPr>
        <w:t xml:space="preserve">20 </w:t>
      </w:r>
      <w:r>
        <w:rPr>
          <w:rFonts w:ascii="宋体" w:hAnsi="宋体" w:eastAsia="宋体" w:cs="宋体"/>
          <w:color w:val="auto"/>
          <w:sz w:val="21"/>
          <w:szCs w:val="21"/>
          <w:highlight w:val="none"/>
        </w:rPr>
        <w:t>条〔争议解决〕约定处理。争议解决前，合同当事人暂按总监</w:t>
      </w:r>
      <w:r>
        <w:rPr>
          <w:rFonts w:ascii="宋体" w:hAnsi="宋体" w:eastAsia="宋体" w:cs="宋体"/>
          <w:color w:val="auto"/>
          <w:spacing w:val="-1"/>
          <w:sz w:val="21"/>
          <w:szCs w:val="21"/>
          <w:highlight w:val="none"/>
        </w:rPr>
        <w:t>理工程师</w:t>
      </w:r>
      <w:r>
        <w:rPr>
          <w:rFonts w:ascii="宋体" w:hAnsi="宋体" w:eastAsia="宋体" w:cs="宋体"/>
          <w:color w:val="auto"/>
          <w:sz w:val="21"/>
          <w:szCs w:val="21"/>
          <w:highlight w:val="none"/>
        </w:rPr>
        <w:t xml:space="preserve"> 的确定执行； 争议解决后，争议解决的结果与总监理工程师的确定不一致的，按照争议解</w:t>
      </w:r>
    </w:p>
    <w:p w14:paraId="1E3B97B7">
      <w:pPr>
        <w:spacing w:line="220" w:lineRule="auto"/>
        <w:ind w:left="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决的结果执行，由此造成的损失由责任人承担。</w:t>
      </w:r>
    </w:p>
    <w:p w14:paraId="38BC1300">
      <w:pPr>
        <w:spacing w:before="178" w:line="526" w:lineRule="exact"/>
        <w:ind w:left="15"/>
        <w:rPr>
          <w:rFonts w:ascii="黑体" w:hAnsi="黑体" w:eastAsia="黑体" w:cs="黑体"/>
          <w:color w:val="auto"/>
          <w:sz w:val="32"/>
          <w:szCs w:val="32"/>
          <w:highlight w:val="none"/>
        </w:rPr>
      </w:pPr>
      <w:r>
        <w:rPr>
          <w:rFonts w:ascii="黑体" w:hAnsi="黑体" w:eastAsia="黑体" w:cs="黑体"/>
          <w:color w:val="auto"/>
          <w:position w:val="15"/>
          <w:sz w:val="32"/>
          <w:szCs w:val="32"/>
          <w:highlight w:val="none"/>
        </w:rPr>
        <w:t>5.工程质量</w:t>
      </w:r>
    </w:p>
    <w:p w14:paraId="5A823234">
      <w:pPr>
        <w:spacing w:before="1" w:line="219" w:lineRule="auto"/>
        <w:ind w:left="13"/>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5.1</w:t>
      </w:r>
      <w:r>
        <w:rPr>
          <w:rFonts w:ascii="黑体" w:hAnsi="黑体" w:eastAsia="黑体" w:cs="黑体"/>
          <w:color w:val="auto"/>
          <w:spacing w:val="-50"/>
          <w:sz w:val="24"/>
          <w:szCs w:val="24"/>
          <w:highlight w:val="none"/>
        </w:rPr>
        <w:t xml:space="preserve"> </w:t>
      </w:r>
      <w:r>
        <w:rPr>
          <w:rFonts w:ascii="黑体" w:hAnsi="黑体" w:eastAsia="黑体" w:cs="黑体"/>
          <w:color w:val="auto"/>
          <w:spacing w:val="-2"/>
          <w:sz w:val="24"/>
          <w:szCs w:val="24"/>
          <w:highlight w:val="none"/>
        </w:rPr>
        <w:t>质量要求</w:t>
      </w:r>
    </w:p>
    <w:p w14:paraId="591956BD">
      <w:pPr>
        <w:spacing w:before="128" w:line="399" w:lineRule="exact"/>
        <w:ind w:left="443"/>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5.1.1</w:t>
      </w:r>
      <w:r>
        <w:rPr>
          <w:rFonts w:ascii="Times New Roman" w:hAnsi="Times New Roman" w:eastAsia="Times New Roman" w:cs="Times New Roman"/>
          <w:color w:val="auto"/>
          <w:spacing w:val="35"/>
          <w:w w:val="101"/>
          <w:position w:val="14"/>
          <w:sz w:val="21"/>
          <w:szCs w:val="21"/>
          <w:highlight w:val="none"/>
        </w:rPr>
        <w:t xml:space="preserve"> </w:t>
      </w:r>
      <w:r>
        <w:rPr>
          <w:rFonts w:ascii="宋体" w:hAnsi="宋体" w:eastAsia="宋体" w:cs="宋体"/>
          <w:color w:val="auto"/>
          <w:spacing w:val="1"/>
          <w:position w:val="14"/>
          <w:sz w:val="21"/>
          <w:szCs w:val="21"/>
          <w:highlight w:val="none"/>
        </w:rPr>
        <w:t>工程质量标准必须符合现行国家有关工</w:t>
      </w:r>
      <w:r>
        <w:rPr>
          <w:rFonts w:ascii="宋体" w:hAnsi="宋体" w:eastAsia="宋体" w:cs="宋体"/>
          <w:color w:val="auto"/>
          <w:position w:val="14"/>
          <w:sz w:val="21"/>
          <w:szCs w:val="21"/>
          <w:highlight w:val="none"/>
        </w:rPr>
        <w:t>程施工质量验收规范和标准的要求。有关</w:t>
      </w:r>
    </w:p>
    <w:p w14:paraId="6CB8A8B5">
      <w:pPr>
        <w:spacing w:line="220" w:lineRule="auto"/>
        <w:ind w:left="20"/>
        <w:rPr>
          <w:rFonts w:ascii="宋体" w:hAnsi="宋体" w:eastAsia="宋体" w:cs="宋体"/>
          <w:color w:val="auto"/>
          <w:sz w:val="21"/>
          <w:szCs w:val="21"/>
          <w:highlight w:val="none"/>
        </w:rPr>
      </w:pPr>
      <w:r>
        <w:rPr>
          <w:rFonts w:ascii="宋体" w:hAnsi="宋体" w:eastAsia="宋体" w:cs="宋体"/>
          <w:color w:val="auto"/>
          <w:sz w:val="21"/>
          <w:szCs w:val="21"/>
          <w:highlight w:val="none"/>
        </w:rPr>
        <w:t>工程质量的特殊标准或要求由合同当事人在专用</w:t>
      </w:r>
      <w:r>
        <w:rPr>
          <w:rFonts w:ascii="宋体" w:hAnsi="宋体" w:eastAsia="宋体" w:cs="宋体"/>
          <w:color w:val="auto"/>
          <w:spacing w:val="-1"/>
          <w:sz w:val="21"/>
          <w:szCs w:val="21"/>
          <w:highlight w:val="none"/>
        </w:rPr>
        <w:t>合同条款中约定。</w:t>
      </w:r>
    </w:p>
    <w:p w14:paraId="69EB14C8">
      <w:pPr>
        <w:spacing w:before="153" w:line="221" w:lineRule="auto"/>
        <w:ind w:left="443"/>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5.1.2</w:t>
      </w:r>
      <w:r>
        <w:rPr>
          <w:rFonts w:ascii="Times New Roman" w:hAnsi="Times New Roman" w:eastAsia="Times New Roman" w:cs="Times New Roman"/>
          <w:color w:val="auto"/>
          <w:spacing w:val="57"/>
          <w:w w:val="101"/>
          <w:sz w:val="21"/>
          <w:szCs w:val="21"/>
          <w:highlight w:val="none"/>
        </w:rPr>
        <w:t xml:space="preserve"> </w:t>
      </w:r>
      <w:r>
        <w:rPr>
          <w:rFonts w:ascii="宋体" w:hAnsi="宋体" w:eastAsia="宋体" w:cs="宋体"/>
          <w:color w:val="auto"/>
          <w:sz w:val="21"/>
          <w:szCs w:val="21"/>
          <w:highlight w:val="none"/>
        </w:rPr>
        <w:t>因发包人原因造成工程质量未达到合同约定标准的，由发包人承担由此增加的费</w:t>
      </w:r>
    </w:p>
    <w:p w14:paraId="3D7C0CF1">
      <w:pPr>
        <w:spacing w:line="221" w:lineRule="auto"/>
        <w:rPr>
          <w:rFonts w:ascii="宋体" w:hAnsi="宋体" w:eastAsia="宋体" w:cs="宋体"/>
          <w:color w:val="auto"/>
          <w:sz w:val="21"/>
          <w:szCs w:val="21"/>
          <w:highlight w:val="none"/>
        </w:rPr>
        <w:sectPr>
          <w:footerReference r:id="rId114" w:type="default"/>
          <w:pgSz w:w="11905" w:h="16839"/>
          <w:pgMar w:top="1431" w:right="1617" w:bottom="1004" w:left="1785" w:header="0" w:footer="828" w:gutter="0"/>
          <w:pgNumType w:fmt="decimal"/>
          <w:cols w:space="720" w:num="1"/>
        </w:sectPr>
      </w:pPr>
    </w:p>
    <w:p w14:paraId="03FB7156">
      <w:pPr>
        <w:spacing w:before="148" w:line="221" w:lineRule="auto"/>
        <w:ind w:left="20"/>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用和（或） 延误的工期，并支付承包人合理的利润。</w:t>
      </w:r>
    </w:p>
    <w:p w14:paraId="0D12CD90">
      <w:pPr>
        <w:spacing w:before="147" w:line="403" w:lineRule="exact"/>
        <w:ind w:right="8"/>
        <w:jc w:val="right"/>
        <w:rPr>
          <w:rFonts w:ascii="宋体" w:hAnsi="宋体" w:eastAsia="宋体" w:cs="宋体"/>
          <w:color w:val="auto"/>
          <w:sz w:val="21"/>
          <w:szCs w:val="21"/>
          <w:highlight w:val="none"/>
        </w:rPr>
      </w:pPr>
      <w:r>
        <w:rPr>
          <w:rFonts w:ascii="Times New Roman" w:hAnsi="Times New Roman" w:eastAsia="Times New Roman" w:cs="Times New Roman"/>
          <w:color w:val="auto"/>
          <w:position w:val="14"/>
          <w:sz w:val="21"/>
          <w:szCs w:val="21"/>
          <w:highlight w:val="none"/>
        </w:rPr>
        <w:t>5.1.3</w:t>
      </w:r>
      <w:r>
        <w:rPr>
          <w:rFonts w:ascii="Times New Roman" w:hAnsi="Times New Roman" w:eastAsia="Times New Roman" w:cs="Times New Roman"/>
          <w:color w:val="auto"/>
          <w:spacing w:val="57"/>
          <w:w w:val="101"/>
          <w:position w:val="14"/>
          <w:sz w:val="21"/>
          <w:szCs w:val="21"/>
          <w:highlight w:val="none"/>
        </w:rPr>
        <w:t xml:space="preserve"> </w:t>
      </w:r>
      <w:r>
        <w:rPr>
          <w:rFonts w:ascii="宋体" w:hAnsi="宋体" w:eastAsia="宋体" w:cs="宋体"/>
          <w:color w:val="auto"/>
          <w:position w:val="14"/>
          <w:sz w:val="21"/>
          <w:szCs w:val="21"/>
          <w:highlight w:val="none"/>
        </w:rPr>
        <w:t>因承包人原因造成工程质量未达到合同约定标准的，发包人有权要求承包人返工</w:t>
      </w:r>
    </w:p>
    <w:p w14:paraId="32E0FB6B">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直至工程质量达到合同约定的标准为止， 并由承包</w:t>
      </w:r>
      <w:r>
        <w:rPr>
          <w:rFonts w:ascii="宋体" w:hAnsi="宋体" w:eastAsia="宋体" w:cs="宋体"/>
          <w:color w:val="auto"/>
          <w:spacing w:val="-3"/>
          <w:sz w:val="21"/>
          <w:szCs w:val="21"/>
          <w:highlight w:val="none"/>
        </w:rPr>
        <w:t>人承担由此增加的费用和（或） 延误的</w:t>
      </w:r>
    </w:p>
    <w:p w14:paraId="55CB9D2B">
      <w:pPr>
        <w:spacing w:before="148" w:line="221" w:lineRule="auto"/>
        <w:ind w:left="20"/>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工期。</w:t>
      </w:r>
    </w:p>
    <w:p w14:paraId="071B8C0B">
      <w:pPr>
        <w:spacing w:before="45" w:line="220" w:lineRule="auto"/>
        <w:ind w:left="13"/>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5.2</w:t>
      </w:r>
      <w:r>
        <w:rPr>
          <w:rFonts w:ascii="黑体" w:hAnsi="黑体" w:eastAsia="黑体" w:cs="黑体"/>
          <w:color w:val="auto"/>
          <w:spacing w:val="-47"/>
          <w:sz w:val="24"/>
          <w:szCs w:val="24"/>
          <w:highlight w:val="none"/>
        </w:rPr>
        <w:t xml:space="preserve"> </w:t>
      </w:r>
      <w:r>
        <w:rPr>
          <w:rFonts w:ascii="黑体" w:hAnsi="黑体" w:eastAsia="黑体" w:cs="黑体"/>
          <w:color w:val="auto"/>
          <w:spacing w:val="-2"/>
          <w:sz w:val="24"/>
          <w:szCs w:val="24"/>
          <w:highlight w:val="none"/>
        </w:rPr>
        <w:t>质量保证措施</w:t>
      </w:r>
    </w:p>
    <w:p w14:paraId="4576D5A2">
      <w:pPr>
        <w:spacing w:before="127" w:line="221" w:lineRule="auto"/>
        <w:ind w:left="44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5.2.1 </w:t>
      </w:r>
      <w:r>
        <w:rPr>
          <w:rFonts w:ascii="宋体" w:hAnsi="宋体" w:eastAsia="宋体" w:cs="宋体"/>
          <w:color w:val="auto"/>
          <w:spacing w:val="-1"/>
          <w:sz w:val="21"/>
          <w:szCs w:val="21"/>
          <w:highlight w:val="none"/>
        </w:rPr>
        <w:t>发包人的质量管理</w:t>
      </w:r>
    </w:p>
    <w:p w14:paraId="6EFDEE3B">
      <w:pPr>
        <w:spacing w:before="152" w:line="221" w:lineRule="auto"/>
        <w:ind w:left="4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发包人应按照法律规定及合同约定完成与工程质量有关的各项工作。</w:t>
      </w:r>
    </w:p>
    <w:p w14:paraId="50EC3591">
      <w:pPr>
        <w:spacing w:before="148" w:line="221" w:lineRule="auto"/>
        <w:ind w:left="44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5.2.2 </w:t>
      </w:r>
      <w:r>
        <w:rPr>
          <w:rFonts w:ascii="宋体" w:hAnsi="宋体" w:eastAsia="宋体" w:cs="宋体"/>
          <w:color w:val="auto"/>
          <w:spacing w:val="-1"/>
          <w:sz w:val="21"/>
          <w:szCs w:val="21"/>
          <w:highlight w:val="none"/>
        </w:rPr>
        <w:t>承包人的质量管理</w:t>
      </w:r>
    </w:p>
    <w:p w14:paraId="2F213FA0">
      <w:pPr>
        <w:spacing w:before="148" w:line="352" w:lineRule="auto"/>
        <w:ind w:left="18" w:right="2" w:firstLine="422"/>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承包人按照第</w:t>
      </w:r>
      <w:r>
        <w:rPr>
          <w:rFonts w:ascii="宋体" w:hAnsi="宋体" w:eastAsia="宋体" w:cs="宋体"/>
          <w:color w:val="auto"/>
          <w:spacing w:val="-58"/>
          <w:sz w:val="21"/>
          <w:szCs w:val="21"/>
          <w:highlight w:val="none"/>
        </w:rPr>
        <w:t xml:space="preserve"> </w:t>
      </w:r>
      <w:r>
        <w:rPr>
          <w:rFonts w:ascii="Times New Roman" w:hAnsi="Times New Roman" w:eastAsia="Times New Roman" w:cs="Times New Roman"/>
          <w:color w:val="auto"/>
          <w:sz w:val="21"/>
          <w:szCs w:val="21"/>
          <w:highlight w:val="none"/>
        </w:rPr>
        <w:t>7.1</w:t>
      </w:r>
      <w:r>
        <w:rPr>
          <w:rFonts w:ascii="Times New Roman" w:hAnsi="Times New Roman" w:eastAsia="Times New Roman" w:cs="Times New Roman"/>
          <w:color w:val="auto"/>
          <w:spacing w:val="-15"/>
          <w:sz w:val="21"/>
          <w:szCs w:val="21"/>
          <w:highlight w:val="none"/>
        </w:rPr>
        <w:t xml:space="preserve"> </w:t>
      </w:r>
      <w:r>
        <w:rPr>
          <w:rFonts w:ascii="宋体" w:hAnsi="宋体" w:eastAsia="宋体" w:cs="宋体"/>
          <w:color w:val="auto"/>
          <w:sz w:val="21"/>
          <w:szCs w:val="21"/>
          <w:highlight w:val="none"/>
        </w:rPr>
        <w:t>款〔施工组织设计〕约</w:t>
      </w:r>
      <w:r>
        <w:rPr>
          <w:rFonts w:ascii="宋体" w:hAnsi="宋体" w:eastAsia="宋体" w:cs="宋体"/>
          <w:color w:val="auto"/>
          <w:spacing w:val="-1"/>
          <w:sz w:val="21"/>
          <w:szCs w:val="21"/>
          <w:highlight w:val="none"/>
        </w:rPr>
        <w:t>定向发包人和监理人提交工程质量保证体系及</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措施文件，建立完善的质量检查制度，并提交相应的工程质量文件。对于发</w:t>
      </w:r>
      <w:r>
        <w:rPr>
          <w:rFonts w:ascii="宋体" w:hAnsi="宋体" w:eastAsia="宋体" w:cs="宋体"/>
          <w:color w:val="auto"/>
          <w:spacing w:val="2"/>
          <w:sz w:val="21"/>
          <w:szCs w:val="21"/>
          <w:highlight w:val="none"/>
        </w:rPr>
        <w:t>包人和监理人</w:t>
      </w:r>
    </w:p>
    <w:p w14:paraId="188C393A">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违反法律规定和合同约定的错误指示， 承包人有权拒绝实施。</w:t>
      </w:r>
    </w:p>
    <w:p w14:paraId="48D38147">
      <w:pPr>
        <w:spacing w:before="148" w:line="404" w:lineRule="exact"/>
        <w:ind w:right="6"/>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承包人应对施工人员进行质量教育和技术培训，</w:t>
      </w:r>
      <w:r>
        <w:rPr>
          <w:rFonts w:ascii="宋体" w:hAnsi="宋体" w:eastAsia="宋体" w:cs="宋体"/>
          <w:color w:val="auto"/>
          <w:spacing w:val="-3"/>
          <w:position w:val="14"/>
          <w:sz w:val="21"/>
          <w:szCs w:val="21"/>
          <w:highlight w:val="none"/>
        </w:rPr>
        <w:t xml:space="preserve"> 定期考核施工人员的劳动技能， 严格</w:t>
      </w:r>
    </w:p>
    <w:p w14:paraId="2D4B149E">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执行施工规范和操作规程。</w:t>
      </w:r>
    </w:p>
    <w:p w14:paraId="71D09E0B">
      <w:pPr>
        <w:spacing w:before="147" w:line="352" w:lineRule="auto"/>
        <w:ind w:left="17" w:right="6" w:firstLine="423"/>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承包人应按照法律规定和发包人的要求， 对材料、工程设备以及工程的所有部位及其</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施工工艺进行全过程的质量检查和检验， 并作详细记录，编制工程质量报表，报送监理人</w:t>
      </w:r>
      <w:r>
        <w:rPr>
          <w:rFonts w:ascii="宋体" w:hAnsi="宋体" w:eastAsia="宋体" w:cs="宋体"/>
          <w:color w:val="auto"/>
          <w:spacing w:val="7"/>
          <w:sz w:val="21"/>
          <w:szCs w:val="21"/>
          <w:highlight w:val="none"/>
        </w:rPr>
        <w:t xml:space="preserve"> </w:t>
      </w:r>
      <w:r>
        <w:rPr>
          <w:rFonts w:ascii="宋体" w:hAnsi="宋体" w:eastAsia="宋体" w:cs="宋体"/>
          <w:color w:val="auto"/>
          <w:spacing w:val="-1"/>
          <w:sz w:val="21"/>
          <w:szCs w:val="21"/>
          <w:highlight w:val="none"/>
        </w:rPr>
        <w:t>审查。此外，</w:t>
      </w:r>
      <w:r>
        <w:rPr>
          <w:rFonts w:ascii="宋体" w:hAnsi="宋体" w:eastAsia="宋体" w:cs="宋体"/>
          <w:color w:val="auto"/>
          <w:spacing w:val="60"/>
          <w:sz w:val="21"/>
          <w:szCs w:val="21"/>
          <w:highlight w:val="none"/>
        </w:rPr>
        <w:t xml:space="preserve"> </w:t>
      </w:r>
      <w:r>
        <w:rPr>
          <w:rFonts w:ascii="宋体" w:hAnsi="宋体" w:eastAsia="宋体" w:cs="宋体"/>
          <w:color w:val="auto"/>
          <w:spacing w:val="-1"/>
          <w:sz w:val="21"/>
          <w:szCs w:val="21"/>
          <w:highlight w:val="none"/>
        </w:rPr>
        <w:t>承包人还应按照法律规定和发包人的要求，</w:t>
      </w:r>
      <w:r>
        <w:rPr>
          <w:rFonts w:ascii="宋体" w:hAnsi="宋体" w:eastAsia="宋体" w:cs="宋体"/>
          <w:color w:val="auto"/>
          <w:spacing w:val="-2"/>
          <w:sz w:val="21"/>
          <w:szCs w:val="21"/>
          <w:highlight w:val="none"/>
        </w:rPr>
        <w:t>进行施工现场取样试验、工程复</w:t>
      </w:r>
    </w:p>
    <w:p w14:paraId="4D905FFC">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核测量和设备性能检测，提供试验样品、提交试验报告和测量成果以及其他工作。</w:t>
      </w:r>
    </w:p>
    <w:p w14:paraId="5F554AC5">
      <w:pPr>
        <w:spacing w:before="149" w:line="221" w:lineRule="auto"/>
        <w:ind w:left="44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5.2.3 </w:t>
      </w:r>
      <w:r>
        <w:rPr>
          <w:rFonts w:ascii="宋体" w:hAnsi="宋体" w:eastAsia="宋体" w:cs="宋体"/>
          <w:color w:val="auto"/>
          <w:spacing w:val="-1"/>
          <w:sz w:val="21"/>
          <w:szCs w:val="21"/>
          <w:highlight w:val="none"/>
        </w:rPr>
        <w:t>监理人的质量检查和检验</w:t>
      </w:r>
    </w:p>
    <w:p w14:paraId="1DA897F2">
      <w:pPr>
        <w:spacing w:before="151" w:line="352" w:lineRule="auto"/>
        <w:ind w:left="16" w:right="6" w:firstLine="42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监理人按照法律规定和发包人授权对工程的所有部位及其施工工艺、材料和工程设备</w:t>
      </w:r>
      <w:r>
        <w:rPr>
          <w:rFonts w:ascii="宋体" w:hAnsi="宋体" w:eastAsia="宋体" w:cs="宋体"/>
          <w:color w:val="auto"/>
          <w:spacing w:val="2"/>
          <w:sz w:val="21"/>
          <w:szCs w:val="21"/>
          <w:highlight w:val="none"/>
        </w:rPr>
        <w:t xml:space="preserve"> </w:t>
      </w:r>
      <w:r>
        <w:rPr>
          <w:rFonts w:ascii="宋体" w:hAnsi="宋体" w:eastAsia="宋体" w:cs="宋体"/>
          <w:color w:val="auto"/>
          <w:sz w:val="21"/>
          <w:szCs w:val="21"/>
          <w:highlight w:val="none"/>
        </w:rPr>
        <w:t>进行检查和检验。承包人应为监理人的检查和检验提供方便，包括监理人到施工现场， 或</w:t>
      </w:r>
      <w:r>
        <w:rPr>
          <w:rFonts w:ascii="宋体" w:hAnsi="宋体" w:eastAsia="宋体" w:cs="宋体"/>
          <w:color w:val="auto"/>
          <w:spacing w:val="8"/>
          <w:sz w:val="21"/>
          <w:szCs w:val="21"/>
          <w:highlight w:val="none"/>
        </w:rPr>
        <w:t xml:space="preserve"> </w:t>
      </w:r>
      <w:r>
        <w:rPr>
          <w:rFonts w:ascii="宋体" w:hAnsi="宋体" w:eastAsia="宋体" w:cs="宋体"/>
          <w:color w:val="auto"/>
          <w:sz w:val="21"/>
          <w:szCs w:val="21"/>
          <w:highlight w:val="none"/>
        </w:rPr>
        <w:t>制造、加工地点， 或合同约定的其他地方进行察看和查阅施工原始记录。监理人为此进行</w:t>
      </w:r>
    </w:p>
    <w:p w14:paraId="0D18C623">
      <w:pPr>
        <w:spacing w:before="1" w:line="220" w:lineRule="auto"/>
        <w:ind w:left="3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的检查和检验，不免除或减轻承包人按照合同约</w:t>
      </w:r>
      <w:r>
        <w:rPr>
          <w:rFonts w:ascii="宋体" w:hAnsi="宋体" w:eastAsia="宋体" w:cs="宋体"/>
          <w:color w:val="auto"/>
          <w:spacing w:val="-2"/>
          <w:sz w:val="21"/>
          <w:szCs w:val="21"/>
          <w:highlight w:val="none"/>
        </w:rPr>
        <w:t>定应当承担的责任。</w:t>
      </w:r>
    </w:p>
    <w:p w14:paraId="75F47670">
      <w:pPr>
        <w:spacing w:before="148" w:line="398"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监理人的检查和检验不应影响施工正常进行。监理人的检查和检验影响施工正常进行</w:t>
      </w:r>
    </w:p>
    <w:p w14:paraId="1449D98C">
      <w:pPr>
        <w:spacing w:before="1" w:line="220" w:lineRule="auto"/>
        <w:ind w:left="3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 xml:space="preserve">的，且经检查检验不合格的， 影响正常施工的费用由承包人承担， </w:t>
      </w:r>
      <w:r>
        <w:rPr>
          <w:rFonts w:ascii="宋体" w:hAnsi="宋体" w:eastAsia="宋体" w:cs="宋体"/>
          <w:color w:val="auto"/>
          <w:spacing w:val="-6"/>
          <w:sz w:val="21"/>
          <w:szCs w:val="21"/>
          <w:highlight w:val="none"/>
        </w:rPr>
        <w:t>工期不予顺延； 经检查</w:t>
      </w:r>
    </w:p>
    <w:p w14:paraId="207BD108">
      <w:pPr>
        <w:spacing w:before="151" w:line="221" w:lineRule="auto"/>
        <w:ind w:left="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检验合格的，由此增加的费用和（或） 延误的工期由发包人承担。</w:t>
      </w:r>
    </w:p>
    <w:p w14:paraId="08E608FB">
      <w:pPr>
        <w:spacing w:before="47" w:line="219" w:lineRule="auto"/>
        <w:ind w:left="13"/>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5.3</w:t>
      </w:r>
      <w:r>
        <w:rPr>
          <w:rFonts w:ascii="黑体" w:hAnsi="黑体" w:eastAsia="黑体" w:cs="黑体"/>
          <w:color w:val="auto"/>
          <w:spacing w:val="17"/>
          <w:sz w:val="24"/>
          <w:szCs w:val="24"/>
          <w:highlight w:val="none"/>
        </w:rPr>
        <w:t xml:space="preserve"> </w:t>
      </w:r>
      <w:r>
        <w:rPr>
          <w:rFonts w:ascii="黑体" w:hAnsi="黑体" w:eastAsia="黑体" w:cs="黑体"/>
          <w:color w:val="auto"/>
          <w:spacing w:val="-2"/>
          <w:sz w:val="24"/>
          <w:szCs w:val="24"/>
          <w:highlight w:val="none"/>
        </w:rPr>
        <w:t>隐蔽工程检查</w:t>
      </w:r>
    </w:p>
    <w:p w14:paraId="7E3A1C97">
      <w:pPr>
        <w:spacing w:before="128" w:line="221" w:lineRule="auto"/>
        <w:ind w:left="443"/>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5.3.1 </w:t>
      </w:r>
      <w:r>
        <w:rPr>
          <w:rFonts w:ascii="宋体" w:hAnsi="宋体" w:eastAsia="宋体" w:cs="宋体"/>
          <w:color w:val="auto"/>
          <w:spacing w:val="-2"/>
          <w:sz w:val="21"/>
          <w:szCs w:val="21"/>
          <w:highlight w:val="none"/>
        </w:rPr>
        <w:t>承包人自检</w:t>
      </w:r>
    </w:p>
    <w:p w14:paraId="6172BEEA">
      <w:pPr>
        <w:spacing w:before="147" w:line="221" w:lineRule="auto"/>
        <w:ind w:left="44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承包人应当对工程隐蔽部位进行自检， 并经自检确认是否具备覆盖条</w:t>
      </w:r>
      <w:r>
        <w:rPr>
          <w:rFonts w:ascii="宋体" w:hAnsi="宋体" w:eastAsia="宋体" w:cs="宋体"/>
          <w:color w:val="auto"/>
          <w:spacing w:val="-5"/>
          <w:sz w:val="21"/>
          <w:szCs w:val="21"/>
          <w:highlight w:val="none"/>
        </w:rPr>
        <w:t>件。</w:t>
      </w:r>
    </w:p>
    <w:p w14:paraId="5B80F534">
      <w:pPr>
        <w:spacing w:before="147" w:line="221" w:lineRule="auto"/>
        <w:ind w:left="443"/>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5.3.2 </w:t>
      </w:r>
      <w:r>
        <w:rPr>
          <w:rFonts w:ascii="宋体" w:hAnsi="宋体" w:eastAsia="宋体" w:cs="宋体"/>
          <w:color w:val="auto"/>
          <w:spacing w:val="-2"/>
          <w:sz w:val="21"/>
          <w:szCs w:val="21"/>
          <w:highlight w:val="none"/>
        </w:rPr>
        <w:t>检查程序</w:t>
      </w:r>
    </w:p>
    <w:p w14:paraId="47BC8F71">
      <w:pPr>
        <w:spacing w:before="154" w:line="350" w:lineRule="auto"/>
        <w:ind w:left="20" w:right="3" w:firstLine="433"/>
        <w:rPr>
          <w:rFonts w:ascii="宋体" w:hAnsi="宋体" w:eastAsia="宋体" w:cs="宋体"/>
          <w:color w:val="auto"/>
          <w:sz w:val="21"/>
          <w:szCs w:val="21"/>
          <w:highlight w:val="none"/>
        </w:rPr>
      </w:pPr>
      <w:r>
        <w:rPr>
          <w:rFonts w:ascii="宋体" w:hAnsi="宋体" w:eastAsia="宋体" w:cs="宋体"/>
          <w:color w:val="auto"/>
          <w:sz w:val="21"/>
          <w:szCs w:val="21"/>
          <w:highlight w:val="none"/>
        </w:rPr>
        <w:t>除专用合同条款另有约定外，工程隐蔽部位经承包人自检确认具备覆盖条件的</w:t>
      </w:r>
      <w:r>
        <w:rPr>
          <w:rFonts w:ascii="宋体" w:hAnsi="宋体" w:eastAsia="宋体" w:cs="宋体"/>
          <w:color w:val="auto"/>
          <w:spacing w:val="-1"/>
          <w:sz w:val="21"/>
          <w:szCs w:val="21"/>
          <w:highlight w:val="none"/>
        </w:rPr>
        <w:t>， 承包</w:t>
      </w:r>
      <w:r>
        <w:rPr>
          <w:rFonts w:ascii="宋体" w:hAnsi="宋体" w:eastAsia="宋体" w:cs="宋体"/>
          <w:color w:val="auto"/>
          <w:sz w:val="21"/>
          <w:szCs w:val="21"/>
          <w:highlight w:val="none"/>
        </w:rPr>
        <w:t xml:space="preserve"> 人应在共同检查前</w:t>
      </w:r>
      <w:r>
        <w:rPr>
          <w:rFonts w:ascii="宋体" w:hAnsi="宋体" w:eastAsia="宋体" w:cs="宋体"/>
          <w:color w:val="auto"/>
          <w:spacing w:val="-34"/>
          <w:sz w:val="21"/>
          <w:szCs w:val="21"/>
          <w:highlight w:val="none"/>
        </w:rPr>
        <w:t xml:space="preserve"> </w:t>
      </w:r>
      <w:r>
        <w:rPr>
          <w:rFonts w:ascii="Times New Roman" w:hAnsi="Times New Roman" w:eastAsia="Times New Roman" w:cs="Times New Roman"/>
          <w:color w:val="auto"/>
          <w:sz w:val="21"/>
          <w:szCs w:val="21"/>
          <w:highlight w:val="none"/>
        </w:rPr>
        <w:t>48</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z w:val="21"/>
          <w:szCs w:val="21"/>
          <w:highlight w:val="none"/>
        </w:rPr>
        <w:t>小时书面通知监理人检</w:t>
      </w:r>
      <w:r>
        <w:rPr>
          <w:rFonts w:ascii="宋体" w:hAnsi="宋体" w:eastAsia="宋体" w:cs="宋体"/>
          <w:color w:val="auto"/>
          <w:spacing w:val="-1"/>
          <w:sz w:val="21"/>
          <w:szCs w:val="21"/>
          <w:highlight w:val="none"/>
        </w:rPr>
        <w:t>查，通知中应载明隐蔽检查的内容、时间和地</w:t>
      </w:r>
    </w:p>
    <w:p w14:paraId="033CB340">
      <w:pPr>
        <w:spacing w:before="1" w:line="219" w:lineRule="auto"/>
        <w:ind w:left="2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点，并应附有自检记录和必要的检查资料。</w:t>
      </w:r>
    </w:p>
    <w:p w14:paraId="3A9BF9F4">
      <w:pPr>
        <w:spacing w:before="154" w:line="350" w:lineRule="auto"/>
        <w:ind w:left="18" w:right="6" w:firstLine="42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监理人应按时到场并对隐蔽工程及其施工工艺、材料和工程设备进行检查。经监理人</w:t>
      </w:r>
      <w:r>
        <w:rPr>
          <w:rFonts w:ascii="宋体" w:hAnsi="宋体" w:eastAsia="宋体" w:cs="宋体"/>
          <w:color w:val="auto"/>
          <w:spacing w:val="2"/>
          <w:sz w:val="21"/>
          <w:szCs w:val="21"/>
          <w:highlight w:val="none"/>
        </w:rPr>
        <w:t xml:space="preserve"> </w:t>
      </w:r>
      <w:r>
        <w:rPr>
          <w:rFonts w:ascii="宋体" w:hAnsi="宋体" w:eastAsia="宋体" w:cs="宋体"/>
          <w:color w:val="auto"/>
          <w:spacing w:val="-3"/>
          <w:sz w:val="21"/>
          <w:szCs w:val="21"/>
          <w:highlight w:val="none"/>
        </w:rPr>
        <w:t>检查确认质量符合隐蔽要求， 并在验收记录上签字后，</w:t>
      </w:r>
      <w:r>
        <w:rPr>
          <w:rFonts w:ascii="宋体" w:hAnsi="宋体" w:eastAsia="宋体" w:cs="宋体"/>
          <w:color w:val="auto"/>
          <w:spacing w:val="24"/>
          <w:sz w:val="21"/>
          <w:szCs w:val="21"/>
          <w:highlight w:val="none"/>
        </w:rPr>
        <w:t xml:space="preserve"> </w:t>
      </w:r>
      <w:r>
        <w:rPr>
          <w:rFonts w:ascii="宋体" w:hAnsi="宋体" w:eastAsia="宋体" w:cs="宋体"/>
          <w:color w:val="auto"/>
          <w:spacing w:val="-3"/>
          <w:sz w:val="21"/>
          <w:szCs w:val="21"/>
          <w:highlight w:val="none"/>
        </w:rPr>
        <w:t>承包人才能进行覆盖。经监</w:t>
      </w:r>
      <w:r>
        <w:rPr>
          <w:rFonts w:ascii="宋体" w:hAnsi="宋体" w:eastAsia="宋体" w:cs="宋体"/>
          <w:color w:val="auto"/>
          <w:spacing w:val="-4"/>
          <w:sz w:val="21"/>
          <w:szCs w:val="21"/>
          <w:highlight w:val="none"/>
        </w:rPr>
        <w:t>理人检</w:t>
      </w:r>
    </w:p>
    <w:p w14:paraId="16F52829">
      <w:pPr>
        <w:spacing w:line="220" w:lineRule="auto"/>
        <w:ind w:left="20"/>
        <w:rPr>
          <w:rFonts w:ascii="宋体" w:hAnsi="宋体" w:eastAsia="宋体" w:cs="宋体"/>
          <w:color w:val="auto"/>
          <w:sz w:val="21"/>
          <w:szCs w:val="21"/>
          <w:highlight w:val="none"/>
        </w:rPr>
      </w:pPr>
      <w:r>
        <w:rPr>
          <w:rFonts w:ascii="宋体" w:hAnsi="宋体" w:eastAsia="宋体" w:cs="宋体"/>
          <w:color w:val="auto"/>
          <w:sz w:val="21"/>
          <w:szCs w:val="21"/>
          <w:highlight w:val="none"/>
        </w:rPr>
        <w:t>查质量不合格的， 承包人应在监理人指示的时间内完成修复，并由监理人重新检查，由此</w:t>
      </w:r>
    </w:p>
    <w:p w14:paraId="6A277755">
      <w:pPr>
        <w:spacing w:line="220" w:lineRule="auto"/>
        <w:rPr>
          <w:rFonts w:ascii="宋体" w:hAnsi="宋体" w:eastAsia="宋体" w:cs="宋体"/>
          <w:color w:val="auto"/>
          <w:sz w:val="21"/>
          <w:szCs w:val="21"/>
          <w:highlight w:val="none"/>
        </w:rPr>
        <w:sectPr>
          <w:footerReference r:id="rId115" w:type="default"/>
          <w:pgSz w:w="11905" w:h="16839"/>
          <w:pgMar w:top="1431" w:right="1785" w:bottom="1004" w:left="1785" w:header="0" w:footer="828" w:gutter="0"/>
          <w:pgNumType w:fmt="decimal"/>
          <w:cols w:space="720" w:num="1"/>
        </w:sectPr>
      </w:pPr>
    </w:p>
    <w:p w14:paraId="5CEE6D7F">
      <w:pPr>
        <w:spacing w:before="148" w:line="221" w:lineRule="auto"/>
        <w:ind w:left="19"/>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增加的费用和（或） 延误的工期由承包人承担。</w:t>
      </w:r>
    </w:p>
    <w:p w14:paraId="12CEC06F">
      <w:pPr>
        <w:spacing w:before="149" w:line="352" w:lineRule="auto"/>
        <w:ind w:left="19" w:right="1" w:firstLine="43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除专用合同条款另有约定外， 监理人不能按时进行检查的，应在检查前</w:t>
      </w:r>
      <w:r>
        <w:rPr>
          <w:rFonts w:ascii="宋体" w:hAnsi="宋体" w:eastAsia="宋体" w:cs="宋体"/>
          <w:color w:val="auto"/>
          <w:spacing w:val="-15"/>
          <w:sz w:val="21"/>
          <w:szCs w:val="21"/>
          <w:highlight w:val="none"/>
        </w:rPr>
        <w:t xml:space="preserve"> </w:t>
      </w:r>
      <w:r>
        <w:rPr>
          <w:rFonts w:ascii="Times New Roman" w:hAnsi="Times New Roman" w:eastAsia="Times New Roman" w:cs="Times New Roman"/>
          <w:color w:val="auto"/>
          <w:spacing w:val="-4"/>
          <w:sz w:val="21"/>
          <w:szCs w:val="21"/>
          <w:highlight w:val="none"/>
        </w:rPr>
        <w:t>24</w:t>
      </w:r>
      <w:r>
        <w:rPr>
          <w:rFonts w:ascii="Times New Roman" w:hAnsi="Times New Roman" w:eastAsia="Times New Roman" w:cs="Times New Roman"/>
          <w:color w:val="auto"/>
          <w:spacing w:val="15"/>
          <w:sz w:val="21"/>
          <w:szCs w:val="21"/>
          <w:highlight w:val="none"/>
        </w:rPr>
        <w:t xml:space="preserve"> </w:t>
      </w:r>
      <w:r>
        <w:rPr>
          <w:rFonts w:ascii="宋体" w:hAnsi="宋体" w:eastAsia="宋体" w:cs="宋体"/>
          <w:color w:val="auto"/>
          <w:spacing w:val="-4"/>
          <w:sz w:val="21"/>
          <w:szCs w:val="21"/>
          <w:highlight w:val="none"/>
        </w:rPr>
        <w:t>小时向承包</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人提交书面延期要求，但延期不能超过</w:t>
      </w:r>
      <w:r>
        <w:rPr>
          <w:rFonts w:ascii="宋体" w:hAnsi="宋体" w:eastAsia="宋体" w:cs="宋体"/>
          <w:color w:val="auto"/>
          <w:spacing w:val="-25"/>
          <w:sz w:val="21"/>
          <w:szCs w:val="21"/>
          <w:highlight w:val="none"/>
        </w:rPr>
        <w:t xml:space="preserve"> </w:t>
      </w:r>
      <w:r>
        <w:rPr>
          <w:rFonts w:ascii="Times New Roman" w:hAnsi="Times New Roman" w:eastAsia="Times New Roman" w:cs="Times New Roman"/>
          <w:color w:val="auto"/>
          <w:spacing w:val="-4"/>
          <w:sz w:val="21"/>
          <w:szCs w:val="21"/>
          <w:highlight w:val="none"/>
        </w:rPr>
        <w:t>48</w:t>
      </w:r>
      <w:r>
        <w:rPr>
          <w:rFonts w:ascii="Times New Roman" w:hAnsi="Times New Roman" w:eastAsia="Times New Roman" w:cs="Times New Roman"/>
          <w:color w:val="auto"/>
          <w:spacing w:val="15"/>
          <w:sz w:val="21"/>
          <w:szCs w:val="21"/>
          <w:highlight w:val="none"/>
        </w:rPr>
        <w:t xml:space="preserve"> </w:t>
      </w:r>
      <w:r>
        <w:rPr>
          <w:rFonts w:ascii="宋体" w:hAnsi="宋体" w:eastAsia="宋体" w:cs="宋体"/>
          <w:color w:val="auto"/>
          <w:spacing w:val="-4"/>
          <w:sz w:val="21"/>
          <w:szCs w:val="21"/>
          <w:highlight w:val="none"/>
        </w:rPr>
        <w:t>小时，由此导致工期延误的， 工期应予以顺延。</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监理人未按时进行检查，也未提出延期要求的，视为隐蔽工程检查合格，承</w:t>
      </w:r>
      <w:r>
        <w:rPr>
          <w:rFonts w:ascii="宋体" w:hAnsi="宋体" w:eastAsia="宋体" w:cs="宋体"/>
          <w:color w:val="auto"/>
          <w:spacing w:val="2"/>
          <w:sz w:val="21"/>
          <w:szCs w:val="21"/>
          <w:highlight w:val="none"/>
        </w:rPr>
        <w:t>包人可自行完</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成覆盖工作， 并作相应记录报送监理人， 监理人应</w:t>
      </w:r>
      <w:r>
        <w:rPr>
          <w:rFonts w:ascii="宋体" w:hAnsi="宋体" w:eastAsia="宋体" w:cs="宋体"/>
          <w:color w:val="auto"/>
          <w:spacing w:val="-3"/>
          <w:sz w:val="21"/>
          <w:szCs w:val="21"/>
          <w:highlight w:val="none"/>
        </w:rPr>
        <w:t>签字确认。监理人事后对检查记录有疑</w:t>
      </w:r>
    </w:p>
    <w:p w14:paraId="0DA82EF0">
      <w:pPr>
        <w:spacing w:line="220" w:lineRule="auto"/>
        <w:ind w:left="4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问的，可按第</w:t>
      </w:r>
      <w:r>
        <w:rPr>
          <w:rFonts w:ascii="宋体" w:hAnsi="宋体" w:eastAsia="宋体" w:cs="宋体"/>
          <w:color w:val="auto"/>
          <w:spacing w:val="-37"/>
          <w:sz w:val="21"/>
          <w:szCs w:val="21"/>
          <w:highlight w:val="none"/>
        </w:rPr>
        <w:t xml:space="preserve"> </w:t>
      </w:r>
      <w:r>
        <w:rPr>
          <w:rFonts w:ascii="Times New Roman" w:hAnsi="Times New Roman" w:eastAsia="Times New Roman" w:cs="Times New Roman"/>
          <w:color w:val="auto"/>
          <w:spacing w:val="-2"/>
          <w:sz w:val="21"/>
          <w:szCs w:val="21"/>
          <w:highlight w:val="none"/>
        </w:rPr>
        <w:t xml:space="preserve">5.3.3 </w:t>
      </w:r>
      <w:r>
        <w:rPr>
          <w:rFonts w:ascii="宋体" w:hAnsi="宋体" w:eastAsia="宋体" w:cs="宋体"/>
          <w:color w:val="auto"/>
          <w:spacing w:val="-2"/>
          <w:sz w:val="21"/>
          <w:szCs w:val="21"/>
          <w:highlight w:val="none"/>
        </w:rPr>
        <w:t>项〔重新检查〕的约定重新检查。</w:t>
      </w:r>
    </w:p>
    <w:p w14:paraId="6C2617BC">
      <w:pPr>
        <w:spacing w:before="147" w:line="221" w:lineRule="auto"/>
        <w:ind w:left="44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5.3.3 </w:t>
      </w:r>
      <w:r>
        <w:rPr>
          <w:rFonts w:ascii="宋体" w:hAnsi="宋体" w:eastAsia="宋体" w:cs="宋体"/>
          <w:color w:val="auto"/>
          <w:spacing w:val="-1"/>
          <w:sz w:val="21"/>
          <w:szCs w:val="21"/>
          <w:highlight w:val="none"/>
        </w:rPr>
        <w:t>重新检查</w:t>
      </w:r>
    </w:p>
    <w:p w14:paraId="34DC6BDD">
      <w:pPr>
        <w:spacing w:before="149" w:line="352" w:lineRule="auto"/>
        <w:ind w:left="18" w:right="6" w:firstLine="422"/>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承包人覆盖工程隐蔽部位后，发包人或监理人对质量有疑问的， 可要求承包人对已覆</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盖的部位进行钻孔探测或揭开重新检查， 承包人应遵照执行，并在检查后重新覆盖恢复原</w:t>
      </w:r>
      <w:r>
        <w:rPr>
          <w:rFonts w:ascii="宋体" w:hAnsi="宋体" w:eastAsia="宋体" w:cs="宋体"/>
          <w:color w:val="auto"/>
          <w:spacing w:val="6"/>
          <w:sz w:val="21"/>
          <w:szCs w:val="21"/>
          <w:highlight w:val="none"/>
        </w:rPr>
        <w:t xml:space="preserve"> </w:t>
      </w:r>
      <w:r>
        <w:rPr>
          <w:rFonts w:ascii="宋体" w:hAnsi="宋体" w:eastAsia="宋体" w:cs="宋体"/>
          <w:color w:val="auto"/>
          <w:sz w:val="21"/>
          <w:szCs w:val="21"/>
          <w:highlight w:val="none"/>
        </w:rPr>
        <w:t>状。经检查证明工程质量符合合同要求的，由发包人承担由此增加的费用和（或） 延误的</w:t>
      </w:r>
      <w:r>
        <w:rPr>
          <w:rFonts w:ascii="宋体" w:hAnsi="宋体" w:eastAsia="宋体" w:cs="宋体"/>
          <w:color w:val="auto"/>
          <w:spacing w:val="6"/>
          <w:sz w:val="21"/>
          <w:szCs w:val="21"/>
          <w:highlight w:val="none"/>
        </w:rPr>
        <w:t xml:space="preserve"> </w:t>
      </w:r>
      <w:r>
        <w:rPr>
          <w:rFonts w:ascii="宋体" w:hAnsi="宋体" w:eastAsia="宋体" w:cs="宋体"/>
          <w:color w:val="auto"/>
          <w:spacing w:val="-5"/>
          <w:sz w:val="21"/>
          <w:szCs w:val="21"/>
          <w:highlight w:val="none"/>
        </w:rPr>
        <w:t>工期， 并支付承包人合理的利润； 经检查证明工程质量不符合合同要求的， 由此增加的费</w:t>
      </w:r>
    </w:p>
    <w:p w14:paraId="36B7B768">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用和（或） 延误的工期由承包人承担。</w:t>
      </w:r>
    </w:p>
    <w:p w14:paraId="72B5803B">
      <w:pPr>
        <w:spacing w:before="147" w:line="221" w:lineRule="auto"/>
        <w:ind w:left="44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5.3.4 </w:t>
      </w:r>
      <w:r>
        <w:rPr>
          <w:rFonts w:ascii="宋体" w:hAnsi="宋体" w:eastAsia="宋体" w:cs="宋体"/>
          <w:color w:val="auto"/>
          <w:spacing w:val="-1"/>
          <w:sz w:val="21"/>
          <w:szCs w:val="21"/>
          <w:highlight w:val="none"/>
        </w:rPr>
        <w:t>承包人私自覆盖</w:t>
      </w:r>
    </w:p>
    <w:p w14:paraId="23A870D5">
      <w:pPr>
        <w:spacing w:before="148" w:line="403" w:lineRule="exact"/>
        <w:ind w:right="6"/>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承包人未通知监理人到场检查， 私自将工程隐蔽部位覆盖的，监理人有权指示承包人</w:t>
      </w:r>
    </w:p>
    <w:p w14:paraId="0EA6D361">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钻孔探测或揭开检查， 无论工程隐蔽部位质量是否合</w:t>
      </w:r>
      <w:r>
        <w:rPr>
          <w:rFonts w:ascii="宋体" w:hAnsi="宋体" w:eastAsia="宋体" w:cs="宋体"/>
          <w:color w:val="auto"/>
          <w:spacing w:val="-3"/>
          <w:sz w:val="21"/>
          <w:szCs w:val="21"/>
          <w:highlight w:val="none"/>
        </w:rPr>
        <w:t>格，由此增加的费用和（或） 延误的</w:t>
      </w:r>
    </w:p>
    <w:p w14:paraId="044D65BE">
      <w:pPr>
        <w:spacing w:before="147" w:line="221"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工期均由承包人承担。</w:t>
      </w:r>
    </w:p>
    <w:p w14:paraId="50915E6F">
      <w:pPr>
        <w:spacing w:before="46" w:line="219" w:lineRule="auto"/>
        <w:ind w:left="13"/>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5.4</w:t>
      </w:r>
      <w:r>
        <w:rPr>
          <w:rFonts w:ascii="黑体" w:hAnsi="黑体" w:eastAsia="黑体" w:cs="黑体"/>
          <w:color w:val="auto"/>
          <w:spacing w:val="-44"/>
          <w:sz w:val="24"/>
          <w:szCs w:val="24"/>
          <w:highlight w:val="none"/>
        </w:rPr>
        <w:t xml:space="preserve"> </w:t>
      </w:r>
      <w:r>
        <w:rPr>
          <w:rFonts w:ascii="黑体" w:hAnsi="黑体" w:eastAsia="黑体" w:cs="黑体"/>
          <w:color w:val="auto"/>
          <w:spacing w:val="-2"/>
          <w:sz w:val="24"/>
          <w:szCs w:val="24"/>
          <w:highlight w:val="none"/>
        </w:rPr>
        <w:t>不合格工程的处理</w:t>
      </w:r>
    </w:p>
    <w:p w14:paraId="23AF00A1">
      <w:pPr>
        <w:spacing w:before="130" w:line="352" w:lineRule="auto"/>
        <w:ind w:left="20" w:right="8" w:firstLine="423"/>
        <w:jc w:val="both"/>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5.4.1</w:t>
      </w:r>
      <w:r>
        <w:rPr>
          <w:rFonts w:ascii="Times New Roman" w:hAnsi="Times New Roman" w:eastAsia="Times New Roman" w:cs="Times New Roman"/>
          <w:color w:val="auto"/>
          <w:spacing w:val="57"/>
          <w:w w:val="101"/>
          <w:sz w:val="21"/>
          <w:szCs w:val="21"/>
          <w:highlight w:val="none"/>
        </w:rPr>
        <w:t xml:space="preserve"> </w:t>
      </w:r>
      <w:r>
        <w:rPr>
          <w:rFonts w:ascii="宋体" w:hAnsi="宋体" w:eastAsia="宋体" w:cs="宋体"/>
          <w:color w:val="auto"/>
          <w:sz w:val="21"/>
          <w:szCs w:val="21"/>
          <w:highlight w:val="none"/>
        </w:rPr>
        <w:t xml:space="preserve">因承包人原因造成工程不合格的，发包人有权随时要求承包人采取补救措施，直 </w:t>
      </w:r>
      <w:r>
        <w:rPr>
          <w:rFonts w:ascii="宋体" w:hAnsi="宋体" w:eastAsia="宋体" w:cs="宋体"/>
          <w:color w:val="auto"/>
          <w:spacing w:val="-4"/>
          <w:sz w:val="21"/>
          <w:szCs w:val="21"/>
          <w:highlight w:val="none"/>
        </w:rPr>
        <w:t>至达到合同要求的质量标准，</w:t>
      </w:r>
      <w:r>
        <w:rPr>
          <w:rFonts w:ascii="宋体" w:hAnsi="宋体" w:eastAsia="宋体" w:cs="宋体"/>
          <w:color w:val="auto"/>
          <w:spacing w:val="38"/>
          <w:sz w:val="21"/>
          <w:szCs w:val="21"/>
          <w:highlight w:val="none"/>
        </w:rPr>
        <w:t xml:space="preserve"> </w:t>
      </w:r>
      <w:r>
        <w:rPr>
          <w:rFonts w:ascii="宋体" w:hAnsi="宋体" w:eastAsia="宋体" w:cs="宋体"/>
          <w:color w:val="auto"/>
          <w:spacing w:val="-4"/>
          <w:sz w:val="21"/>
          <w:szCs w:val="21"/>
          <w:highlight w:val="none"/>
        </w:rPr>
        <w:t>由此增加的费用和（或）</w:t>
      </w:r>
      <w:r>
        <w:rPr>
          <w:rFonts w:ascii="宋体" w:hAnsi="宋体" w:eastAsia="宋体" w:cs="宋体"/>
          <w:color w:val="auto"/>
          <w:spacing w:val="29"/>
          <w:sz w:val="21"/>
          <w:szCs w:val="21"/>
          <w:highlight w:val="none"/>
        </w:rPr>
        <w:t xml:space="preserve"> </w:t>
      </w:r>
      <w:r>
        <w:rPr>
          <w:rFonts w:ascii="宋体" w:hAnsi="宋体" w:eastAsia="宋体" w:cs="宋体"/>
          <w:color w:val="auto"/>
          <w:spacing w:val="-4"/>
          <w:sz w:val="21"/>
          <w:szCs w:val="21"/>
          <w:highlight w:val="none"/>
        </w:rPr>
        <w:t>延误的工</w:t>
      </w:r>
      <w:r>
        <w:rPr>
          <w:rFonts w:ascii="宋体" w:hAnsi="宋体" w:eastAsia="宋体" w:cs="宋体"/>
          <w:color w:val="auto"/>
          <w:spacing w:val="-5"/>
          <w:sz w:val="21"/>
          <w:szCs w:val="21"/>
          <w:highlight w:val="none"/>
        </w:rPr>
        <w:t>期由承包人承担。无法补</w:t>
      </w:r>
    </w:p>
    <w:p w14:paraId="038A86E9">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救的，按照第</w:t>
      </w:r>
      <w:r>
        <w:rPr>
          <w:rFonts w:ascii="宋体" w:hAnsi="宋体" w:eastAsia="宋体" w:cs="宋体"/>
          <w:color w:val="auto"/>
          <w:spacing w:val="-26"/>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13.2.4 </w:t>
      </w:r>
      <w:r>
        <w:rPr>
          <w:rFonts w:ascii="宋体" w:hAnsi="宋体" w:eastAsia="宋体" w:cs="宋体"/>
          <w:color w:val="auto"/>
          <w:spacing w:val="-2"/>
          <w:sz w:val="21"/>
          <w:szCs w:val="21"/>
          <w:highlight w:val="none"/>
        </w:rPr>
        <w:t>项〔拒绝接收全部或部分工程〕约定执行。</w:t>
      </w:r>
    </w:p>
    <w:p w14:paraId="16A94F33">
      <w:pPr>
        <w:spacing w:before="147" w:line="221" w:lineRule="auto"/>
        <w:ind w:right="8"/>
        <w:jc w:val="right"/>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5.4.2</w:t>
      </w:r>
      <w:r>
        <w:rPr>
          <w:rFonts w:ascii="Times New Roman" w:hAnsi="Times New Roman" w:eastAsia="Times New Roman" w:cs="Times New Roman"/>
          <w:color w:val="auto"/>
          <w:spacing w:val="57"/>
          <w:w w:val="101"/>
          <w:sz w:val="21"/>
          <w:szCs w:val="21"/>
          <w:highlight w:val="none"/>
        </w:rPr>
        <w:t xml:space="preserve"> </w:t>
      </w:r>
      <w:r>
        <w:rPr>
          <w:rFonts w:ascii="宋体" w:hAnsi="宋体" w:eastAsia="宋体" w:cs="宋体"/>
          <w:color w:val="auto"/>
          <w:sz w:val="21"/>
          <w:szCs w:val="21"/>
          <w:highlight w:val="none"/>
        </w:rPr>
        <w:t>因发包人原因造成工程不合格的，由此增加的费用和（或）延误的工期由发包人</w:t>
      </w:r>
    </w:p>
    <w:p w14:paraId="1F301B7C">
      <w:pPr>
        <w:spacing w:before="153" w:line="221"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承担，并支付承包人合理的利润。</w:t>
      </w:r>
    </w:p>
    <w:p w14:paraId="712861A5">
      <w:pPr>
        <w:spacing w:before="45" w:line="219" w:lineRule="auto"/>
        <w:ind w:left="13"/>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5.5 质量争议检测</w:t>
      </w:r>
    </w:p>
    <w:p w14:paraId="6FF0F16E">
      <w:pPr>
        <w:spacing w:before="129" w:line="399"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合同当事人对工程质量有争议的，由双方协商确定的工程质量检测机构鉴定，由此产</w:t>
      </w:r>
    </w:p>
    <w:p w14:paraId="028EFD4C">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生的费用及因此造成的损失，</w:t>
      </w:r>
      <w:r>
        <w:rPr>
          <w:rFonts w:ascii="宋体" w:hAnsi="宋体" w:eastAsia="宋体" w:cs="宋体"/>
          <w:color w:val="auto"/>
          <w:spacing w:val="48"/>
          <w:sz w:val="21"/>
          <w:szCs w:val="21"/>
          <w:highlight w:val="none"/>
        </w:rPr>
        <w:t xml:space="preserve"> </w:t>
      </w:r>
      <w:r>
        <w:rPr>
          <w:rFonts w:ascii="宋体" w:hAnsi="宋体" w:eastAsia="宋体" w:cs="宋体"/>
          <w:color w:val="auto"/>
          <w:spacing w:val="-9"/>
          <w:sz w:val="21"/>
          <w:szCs w:val="21"/>
          <w:highlight w:val="none"/>
        </w:rPr>
        <w:t>由责任方承担。</w:t>
      </w:r>
    </w:p>
    <w:p w14:paraId="4BCC100C">
      <w:pPr>
        <w:spacing w:before="148" w:line="403" w:lineRule="exact"/>
        <w:ind w:right="12"/>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合同当事人均有责任的，由双方根据其责任分别承担。合同当事人无法达成</w:t>
      </w:r>
      <w:r>
        <w:rPr>
          <w:rFonts w:ascii="宋体" w:hAnsi="宋体" w:eastAsia="宋体" w:cs="宋体"/>
          <w:color w:val="auto"/>
          <w:spacing w:val="2"/>
          <w:position w:val="14"/>
          <w:sz w:val="21"/>
          <w:szCs w:val="21"/>
          <w:highlight w:val="none"/>
        </w:rPr>
        <w:t>一致的，</w:t>
      </w:r>
    </w:p>
    <w:p w14:paraId="79FE2303">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按照第</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pacing w:val="-3"/>
          <w:sz w:val="21"/>
          <w:szCs w:val="21"/>
          <w:highlight w:val="none"/>
        </w:rPr>
        <w:t xml:space="preserve">4.4 </w:t>
      </w:r>
      <w:r>
        <w:rPr>
          <w:rFonts w:ascii="宋体" w:hAnsi="宋体" w:eastAsia="宋体" w:cs="宋体"/>
          <w:color w:val="auto"/>
          <w:spacing w:val="-3"/>
          <w:sz w:val="21"/>
          <w:szCs w:val="21"/>
          <w:highlight w:val="none"/>
        </w:rPr>
        <w:t>款〔商定或确定〕执行。</w:t>
      </w:r>
    </w:p>
    <w:p w14:paraId="5E89EE6C">
      <w:pPr>
        <w:spacing w:before="173" w:line="526" w:lineRule="exact"/>
        <w:ind w:left="21"/>
        <w:rPr>
          <w:rFonts w:ascii="黑体" w:hAnsi="黑体" w:eastAsia="黑体" w:cs="黑体"/>
          <w:color w:val="auto"/>
          <w:sz w:val="32"/>
          <w:szCs w:val="32"/>
          <w:highlight w:val="none"/>
        </w:rPr>
      </w:pPr>
      <w:r>
        <w:rPr>
          <w:rFonts w:ascii="黑体" w:hAnsi="黑体" w:eastAsia="黑体" w:cs="黑体"/>
          <w:color w:val="auto"/>
          <w:spacing w:val="-1"/>
          <w:position w:val="14"/>
          <w:sz w:val="32"/>
          <w:szCs w:val="32"/>
          <w:highlight w:val="none"/>
        </w:rPr>
        <w:t>6.安全文明施工与环境保护</w:t>
      </w:r>
    </w:p>
    <w:p w14:paraId="0966398A">
      <w:pPr>
        <w:spacing w:line="218" w:lineRule="auto"/>
        <w:ind w:left="18"/>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6.1</w:t>
      </w:r>
      <w:r>
        <w:rPr>
          <w:rFonts w:ascii="黑体" w:hAnsi="黑体" w:eastAsia="黑体" w:cs="黑体"/>
          <w:color w:val="auto"/>
          <w:spacing w:val="-42"/>
          <w:sz w:val="24"/>
          <w:szCs w:val="24"/>
          <w:highlight w:val="none"/>
        </w:rPr>
        <w:t xml:space="preserve"> </w:t>
      </w:r>
      <w:r>
        <w:rPr>
          <w:rFonts w:ascii="黑体" w:hAnsi="黑体" w:eastAsia="黑体" w:cs="黑体"/>
          <w:color w:val="auto"/>
          <w:spacing w:val="-3"/>
          <w:sz w:val="24"/>
          <w:szCs w:val="24"/>
          <w:highlight w:val="none"/>
        </w:rPr>
        <w:t>安全文明施工</w:t>
      </w:r>
    </w:p>
    <w:p w14:paraId="349F006D">
      <w:pPr>
        <w:spacing w:before="130" w:line="221"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6.1.1 </w:t>
      </w:r>
      <w:r>
        <w:rPr>
          <w:rFonts w:ascii="宋体" w:hAnsi="宋体" w:eastAsia="宋体" w:cs="宋体"/>
          <w:color w:val="auto"/>
          <w:spacing w:val="-2"/>
          <w:sz w:val="21"/>
          <w:szCs w:val="21"/>
          <w:highlight w:val="none"/>
        </w:rPr>
        <w:t>安全生产要求</w:t>
      </w:r>
    </w:p>
    <w:p w14:paraId="058953D4">
      <w:pPr>
        <w:spacing w:before="153" w:line="350" w:lineRule="auto"/>
        <w:ind w:left="31" w:right="6" w:firstLine="410"/>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合同履行期间， 合同当事人均应当遵守国家</w:t>
      </w:r>
      <w:r>
        <w:rPr>
          <w:rFonts w:ascii="宋体" w:hAnsi="宋体" w:eastAsia="宋体" w:cs="宋体"/>
          <w:color w:val="auto"/>
          <w:spacing w:val="-3"/>
          <w:sz w:val="21"/>
          <w:szCs w:val="21"/>
          <w:highlight w:val="none"/>
        </w:rPr>
        <w:t>和工程所在地有关安全生产的要求， 合同</w:t>
      </w:r>
      <w:r>
        <w:rPr>
          <w:rFonts w:ascii="宋体" w:hAnsi="宋体" w:eastAsia="宋体" w:cs="宋体"/>
          <w:color w:val="auto"/>
          <w:sz w:val="21"/>
          <w:szCs w:val="21"/>
          <w:highlight w:val="none"/>
        </w:rPr>
        <w:t xml:space="preserve"> 当事人有特别要求的， 应在专用合同条款中明确施工项目安全生产标准化</w:t>
      </w:r>
      <w:r>
        <w:rPr>
          <w:rFonts w:ascii="宋体" w:hAnsi="宋体" w:eastAsia="宋体" w:cs="宋体"/>
          <w:color w:val="auto"/>
          <w:spacing w:val="-1"/>
          <w:sz w:val="21"/>
          <w:szCs w:val="21"/>
          <w:highlight w:val="none"/>
        </w:rPr>
        <w:t>达标目标及相应</w:t>
      </w:r>
    </w:p>
    <w:p w14:paraId="401D0068">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rPr>
        <w:t>事项。承包人有权拒绝发包人及监理人强令承包人违章作业、冒险施工的</w:t>
      </w:r>
      <w:r>
        <w:rPr>
          <w:rFonts w:ascii="宋体" w:hAnsi="宋体" w:eastAsia="宋体" w:cs="宋体"/>
          <w:color w:val="auto"/>
          <w:spacing w:val="-1"/>
          <w:sz w:val="21"/>
          <w:szCs w:val="21"/>
          <w:highlight w:val="none"/>
        </w:rPr>
        <w:t>任何指示。</w:t>
      </w:r>
    </w:p>
    <w:p w14:paraId="09ED2F24">
      <w:pPr>
        <w:spacing w:before="153" w:line="221" w:lineRule="auto"/>
        <w:ind w:right="6"/>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在施工过程中， 如遇到突发的地质变动、事先未知的地下施工障碍等影响施工安全的</w:t>
      </w:r>
    </w:p>
    <w:p w14:paraId="71CFAC9E">
      <w:pPr>
        <w:spacing w:line="221" w:lineRule="auto"/>
        <w:rPr>
          <w:rFonts w:ascii="宋体" w:hAnsi="宋体" w:eastAsia="宋体" w:cs="宋体"/>
          <w:color w:val="auto"/>
          <w:sz w:val="21"/>
          <w:szCs w:val="21"/>
          <w:highlight w:val="none"/>
        </w:rPr>
        <w:sectPr>
          <w:footerReference r:id="rId116" w:type="default"/>
          <w:pgSz w:w="11905" w:h="16839"/>
          <w:pgMar w:top="1431" w:right="1785" w:bottom="1004" w:left="1785" w:header="0" w:footer="828" w:gutter="0"/>
          <w:pgNumType w:fmt="decimal"/>
          <w:cols w:space="720" w:num="1"/>
        </w:sectPr>
      </w:pPr>
    </w:p>
    <w:p w14:paraId="0184D330">
      <w:pPr>
        <w:spacing w:before="149" w:line="398" w:lineRule="exact"/>
        <w:ind w:left="24"/>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紧急情况， 承包人应及时报告监理人和发包人，发包人应当及时下令停工并报政府有关行</w:t>
      </w:r>
    </w:p>
    <w:p w14:paraId="076FAE44">
      <w:pPr>
        <w:spacing w:line="219" w:lineRule="auto"/>
        <w:ind w:left="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政管理部门采取应急措施。</w:t>
      </w:r>
    </w:p>
    <w:p w14:paraId="50EFE501">
      <w:pPr>
        <w:spacing w:before="152" w:line="221" w:lineRule="auto"/>
        <w:ind w:left="45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因安全生产需要暂停施工的， 按照第</w:t>
      </w:r>
      <w:r>
        <w:rPr>
          <w:rFonts w:ascii="宋体" w:hAnsi="宋体" w:eastAsia="宋体" w:cs="宋体"/>
          <w:color w:val="auto"/>
          <w:spacing w:val="-39"/>
          <w:sz w:val="21"/>
          <w:szCs w:val="21"/>
          <w:highlight w:val="none"/>
        </w:rPr>
        <w:t xml:space="preserve"> </w:t>
      </w:r>
      <w:r>
        <w:rPr>
          <w:rFonts w:ascii="Times New Roman" w:hAnsi="Times New Roman" w:eastAsia="Times New Roman" w:cs="Times New Roman"/>
          <w:color w:val="auto"/>
          <w:spacing w:val="-5"/>
          <w:sz w:val="21"/>
          <w:szCs w:val="21"/>
          <w:highlight w:val="none"/>
        </w:rPr>
        <w:t xml:space="preserve">7.8 </w:t>
      </w:r>
      <w:r>
        <w:rPr>
          <w:rFonts w:ascii="宋体" w:hAnsi="宋体" w:eastAsia="宋体" w:cs="宋体"/>
          <w:color w:val="auto"/>
          <w:spacing w:val="-5"/>
          <w:sz w:val="21"/>
          <w:szCs w:val="21"/>
          <w:highlight w:val="none"/>
        </w:rPr>
        <w:t>款〔暂停施工〕的约定执行。</w:t>
      </w:r>
    </w:p>
    <w:p w14:paraId="03025681">
      <w:pPr>
        <w:spacing w:before="147" w:line="221"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6.1.2 </w:t>
      </w:r>
      <w:r>
        <w:rPr>
          <w:rFonts w:ascii="宋体" w:hAnsi="宋体" w:eastAsia="宋体" w:cs="宋体"/>
          <w:color w:val="auto"/>
          <w:spacing w:val="-1"/>
          <w:sz w:val="21"/>
          <w:szCs w:val="21"/>
          <w:highlight w:val="none"/>
        </w:rPr>
        <w:t>安全生产保证措施</w:t>
      </w:r>
    </w:p>
    <w:p w14:paraId="79231314">
      <w:pPr>
        <w:spacing w:before="147" w:line="352" w:lineRule="auto"/>
        <w:ind w:left="17" w:right="158" w:firstLine="423"/>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承包人应当按照有关规定编制安全技术措施或者专项施工方案， 建立安全生产责任制</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度、治安保卫制度及安全生产教育培训制度， 并按安全生产法律规定及合同约定履行安全</w:t>
      </w:r>
      <w:r>
        <w:rPr>
          <w:rFonts w:ascii="宋体" w:hAnsi="宋体" w:eastAsia="宋体" w:cs="宋体"/>
          <w:color w:val="auto"/>
          <w:spacing w:val="7"/>
          <w:sz w:val="21"/>
          <w:szCs w:val="21"/>
          <w:highlight w:val="none"/>
        </w:rPr>
        <w:t xml:space="preserve"> </w:t>
      </w:r>
      <w:r>
        <w:rPr>
          <w:rFonts w:ascii="宋体" w:hAnsi="宋体" w:eastAsia="宋体" w:cs="宋体"/>
          <w:color w:val="auto"/>
          <w:sz w:val="21"/>
          <w:szCs w:val="21"/>
          <w:highlight w:val="none"/>
        </w:rPr>
        <w:t>职责， 如实编制工程安全生产的有关记录，接受发包人、监理人及政府安全监督部门的检</w:t>
      </w:r>
    </w:p>
    <w:p w14:paraId="31AA284E">
      <w:pPr>
        <w:spacing w:line="222" w:lineRule="auto"/>
        <w:ind w:left="20"/>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查与监督。</w:t>
      </w:r>
    </w:p>
    <w:p w14:paraId="59B40F8C">
      <w:pPr>
        <w:spacing w:before="150" w:line="221"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6.1.3 </w:t>
      </w:r>
      <w:r>
        <w:rPr>
          <w:rFonts w:ascii="宋体" w:hAnsi="宋体" w:eastAsia="宋体" w:cs="宋体"/>
          <w:color w:val="auto"/>
          <w:spacing w:val="-2"/>
          <w:sz w:val="21"/>
          <w:szCs w:val="21"/>
          <w:highlight w:val="none"/>
        </w:rPr>
        <w:t>特别安全生产事项</w:t>
      </w:r>
    </w:p>
    <w:p w14:paraId="428E7B77">
      <w:pPr>
        <w:spacing w:before="149" w:line="352" w:lineRule="auto"/>
        <w:ind w:left="21" w:right="158" w:firstLine="4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承包人应按照法律规定进行施工，开工前做好安全技术交底工作，施工过程中做好各 项安全防护措施。承包人为实施合同而雇用的特殊工种的人员应受过</w:t>
      </w:r>
      <w:r>
        <w:rPr>
          <w:rFonts w:ascii="宋体" w:hAnsi="宋体" w:eastAsia="宋体" w:cs="宋体"/>
          <w:color w:val="auto"/>
          <w:spacing w:val="2"/>
          <w:sz w:val="21"/>
          <w:szCs w:val="21"/>
          <w:highlight w:val="none"/>
        </w:rPr>
        <w:t>专门的培训并已取得</w:t>
      </w:r>
    </w:p>
    <w:p w14:paraId="12C4FD2D">
      <w:pPr>
        <w:spacing w:before="1" w:line="219" w:lineRule="auto"/>
        <w:ind w:left="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政府有关管理机构颁发的上岗证书。</w:t>
      </w:r>
    </w:p>
    <w:p w14:paraId="702886ED">
      <w:pPr>
        <w:spacing w:before="149" w:line="352" w:lineRule="auto"/>
        <w:ind w:left="18" w:right="158" w:firstLine="4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承包人在动力设备、输电线路、地下管道、密封防震车间、易燃易爆地段以及临街交 通要道附近施工时，施工开始前应向发包人和监理人提出安全防护措施，经</w:t>
      </w:r>
      <w:r>
        <w:rPr>
          <w:rFonts w:ascii="宋体" w:hAnsi="宋体" w:eastAsia="宋体" w:cs="宋体"/>
          <w:color w:val="auto"/>
          <w:spacing w:val="2"/>
          <w:sz w:val="21"/>
          <w:szCs w:val="21"/>
          <w:highlight w:val="none"/>
        </w:rPr>
        <w:t>发包人认可后</w:t>
      </w:r>
    </w:p>
    <w:p w14:paraId="007CCD72">
      <w:pPr>
        <w:spacing w:before="1" w:line="221" w:lineRule="auto"/>
        <w:ind w:left="23"/>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实施。</w:t>
      </w:r>
    </w:p>
    <w:p w14:paraId="3B7DEA5E">
      <w:pPr>
        <w:spacing w:before="145" w:line="353" w:lineRule="auto"/>
        <w:ind w:left="18" w:right="159" w:firstLine="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实施爆破作业， 在放射、毒害性环境中施工（含储存、运输、使用）</w:t>
      </w:r>
      <w:r>
        <w:rPr>
          <w:rFonts w:ascii="宋体" w:hAnsi="宋体" w:eastAsia="宋体" w:cs="宋体"/>
          <w:color w:val="auto"/>
          <w:spacing w:val="-19"/>
          <w:sz w:val="21"/>
          <w:szCs w:val="21"/>
          <w:highlight w:val="none"/>
        </w:rPr>
        <w:t xml:space="preserve"> </w:t>
      </w:r>
      <w:r>
        <w:rPr>
          <w:rFonts w:ascii="宋体" w:hAnsi="宋体" w:eastAsia="宋体" w:cs="宋体"/>
          <w:color w:val="auto"/>
          <w:spacing w:val="-3"/>
          <w:sz w:val="21"/>
          <w:szCs w:val="21"/>
          <w:highlight w:val="none"/>
        </w:rPr>
        <w:t>及使用毒害性、</w:t>
      </w:r>
      <w:r>
        <w:rPr>
          <w:rFonts w:ascii="宋体" w:hAnsi="宋体" w:eastAsia="宋体" w:cs="宋体"/>
          <w:color w:val="auto"/>
          <w:sz w:val="21"/>
          <w:szCs w:val="21"/>
          <w:highlight w:val="none"/>
        </w:rPr>
        <w:t xml:space="preserve"> 腐蚀性物品施工时，承包人应在施工前 </w:t>
      </w:r>
      <w:r>
        <w:rPr>
          <w:rFonts w:ascii="Times New Roman" w:hAnsi="Times New Roman" w:eastAsia="Times New Roman" w:cs="Times New Roman"/>
          <w:color w:val="auto"/>
          <w:sz w:val="21"/>
          <w:szCs w:val="21"/>
          <w:highlight w:val="none"/>
        </w:rPr>
        <w:t>7</w:t>
      </w:r>
      <w:r>
        <w:rPr>
          <w:rFonts w:ascii="Times New Roman" w:hAnsi="Times New Roman" w:eastAsia="Times New Roman" w:cs="Times New Roman"/>
          <w:color w:val="auto"/>
          <w:spacing w:val="63"/>
          <w:w w:val="101"/>
          <w:sz w:val="21"/>
          <w:szCs w:val="21"/>
          <w:highlight w:val="none"/>
        </w:rPr>
        <w:t xml:space="preserve"> </w:t>
      </w:r>
      <w:r>
        <w:rPr>
          <w:rFonts w:ascii="宋体" w:hAnsi="宋体" w:eastAsia="宋体" w:cs="宋体"/>
          <w:color w:val="auto"/>
          <w:sz w:val="21"/>
          <w:szCs w:val="21"/>
          <w:highlight w:val="none"/>
        </w:rPr>
        <w:t>天以书面通知发包人和监理人，并报送相应的安</w:t>
      </w:r>
    </w:p>
    <w:p w14:paraId="5DB84CAB">
      <w:pPr>
        <w:spacing w:before="1" w:line="221"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全防护措施，经发包人认可后实施。</w:t>
      </w:r>
    </w:p>
    <w:p w14:paraId="7AC7DCB1">
      <w:pPr>
        <w:spacing w:before="146" w:line="399" w:lineRule="exact"/>
        <w:ind w:left="452"/>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需单独编制危险性较大分部分项专项工程施工方案的， 及要求进行专家论证的超过一</w:t>
      </w:r>
    </w:p>
    <w:p w14:paraId="6646EBA5">
      <w:pPr>
        <w:spacing w:line="220" w:lineRule="auto"/>
        <w:ind w:left="2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定规模的危险性较大的分部分项工程， 承包人应及</w:t>
      </w:r>
      <w:r>
        <w:rPr>
          <w:rFonts w:ascii="宋体" w:hAnsi="宋体" w:eastAsia="宋体" w:cs="宋体"/>
          <w:color w:val="auto"/>
          <w:spacing w:val="-5"/>
          <w:sz w:val="21"/>
          <w:szCs w:val="21"/>
          <w:highlight w:val="none"/>
        </w:rPr>
        <w:t>时编制和组织论证。</w:t>
      </w:r>
    </w:p>
    <w:p w14:paraId="3831B978">
      <w:pPr>
        <w:spacing w:before="153" w:line="221"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6.1.4</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pacing w:val="-2"/>
          <w:sz w:val="21"/>
          <w:szCs w:val="21"/>
          <w:highlight w:val="none"/>
        </w:rPr>
        <w:t>治安保卫</w:t>
      </w:r>
    </w:p>
    <w:p w14:paraId="06E43622">
      <w:pPr>
        <w:spacing w:before="147" w:line="398" w:lineRule="exact"/>
        <w:ind w:left="453"/>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除专用合同条款另有约定外，发包人应与当地公安部门协商，</w:t>
      </w:r>
      <w:r>
        <w:rPr>
          <w:rFonts w:ascii="宋体" w:hAnsi="宋体" w:eastAsia="宋体" w:cs="宋体"/>
          <w:color w:val="auto"/>
          <w:spacing w:val="2"/>
          <w:position w:val="14"/>
          <w:sz w:val="21"/>
          <w:szCs w:val="21"/>
          <w:highlight w:val="none"/>
        </w:rPr>
        <w:t>在现场建立治安管理机</w:t>
      </w:r>
    </w:p>
    <w:p w14:paraId="4EBFDE59">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构或联防组织，统一管理施工场地的治安保卫事</w:t>
      </w:r>
      <w:r>
        <w:rPr>
          <w:rFonts w:ascii="宋体" w:hAnsi="宋体" w:eastAsia="宋体" w:cs="宋体"/>
          <w:color w:val="auto"/>
          <w:spacing w:val="-3"/>
          <w:sz w:val="21"/>
          <w:szCs w:val="21"/>
          <w:highlight w:val="none"/>
        </w:rPr>
        <w:t>项，</w:t>
      </w:r>
      <w:r>
        <w:rPr>
          <w:rFonts w:ascii="宋体" w:hAnsi="宋体" w:eastAsia="宋体" w:cs="宋体"/>
          <w:color w:val="auto"/>
          <w:spacing w:val="-23"/>
          <w:sz w:val="21"/>
          <w:szCs w:val="21"/>
          <w:highlight w:val="none"/>
        </w:rPr>
        <w:t xml:space="preserve"> </w:t>
      </w:r>
      <w:r>
        <w:rPr>
          <w:rFonts w:ascii="宋体" w:hAnsi="宋体" w:eastAsia="宋体" w:cs="宋体"/>
          <w:color w:val="auto"/>
          <w:spacing w:val="-3"/>
          <w:sz w:val="21"/>
          <w:szCs w:val="21"/>
          <w:highlight w:val="none"/>
        </w:rPr>
        <w:t>履行合同工程的治安保卫职责。</w:t>
      </w:r>
    </w:p>
    <w:p w14:paraId="6E2A8FE7">
      <w:pPr>
        <w:spacing w:before="152" w:line="399" w:lineRule="exact"/>
        <w:ind w:left="444"/>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发包人和承包人除应协助现场治安管理机构或联防组织维护施工场地</w:t>
      </w:r>
      <w:r>
        <w:rPr>
          <w:rFonts w:ascii="宋体" w:hAnsi="宋体" w:eastAsia="宋体" w:cs="宋体"/>
          <w:color w:val="auto"/>
          <w:spacing w:val="2"/>
          <w:position w:val="14"/>
          <w:sz w:val="21"/>
          <w:szCs w:val="21"/>
          <w:highlight w:val="none"/>
        </w:rPr>
        <w:t>的社会治安外，</w:t>
      </w:r>
    </w:p>
    <w:p w14:paraId="4021AFD5">
      <w:pPr>
        <w:spacing w:before="1" w:line="219"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还应做好包括生活区在内的各自管辖区的治安保卫工作。</w:t>
      </w:r>
    </w:p>
    <w:p w14:paraId="1A28D281">
      <w:pPr>
        <w:spacing w:before="149" w:line="403" w:lineRule="exact"/>
        <w:ind w:left="453"/>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 xml:space="preserve">除专用合同条款另有约定外，发包人和承包人应在工程开工后 </w:t>
      </w:r>
      <w:r>
        <w:rPr>
          <w:rFonts w:ascii="Times New Roman" w:hAnsi="Times New Roman" w:eastAsia="Times New Roman" w:cs="Times New Roman"/>
          <w:color w:val="auto"/>
          <w:position w:val="14"/>
          <w:sz w:val="21"/>
          <w:szCs w:val="21"/>
          <w:highlight w:val="none"/>
        </w:rPr>
        <w:t xml:space="preserve">7  </w:t>
      </w:r>
      <w:r>
        <w:rPr>
          <w:rFonts w:ascii="宋体" w:hAnsi="宋体" w:eastAsia="宋体" w:cs="宋体"/>
          <w:color w:val="auto"/>
          <w:position w:val="14"/>
          <w:sz w:val="21"/>
          <w:szCs w:val="21"/>
          <w:highlight w:val="none"/>
        </w:rPr>
        <w:t>天内共同编制施工场</w:t>
      </w:r>
    </w:p>
    <w:p w14:paraId="4E125DA3">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rPr>
        <w:t>地治安管理计划， 并制定应对突发治安事件的紧急预案。在工程施工过程中，发生暴乱、</w:t>
      </w:r>
    </w:p>
    <w:p w14:paraId="0B2A75DD">
      <w:pPr>
        <w:spacing w:before="147" w:line="353"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rPr>
        <w:t>爆炸等恐怖事件， 以及群殴、械斗等群体性突发</w:t>
      </w:r>
      <w:r>
        <w:rPr>
          <w:rFonts w:ascii="宋体" w:hAnsi="宋体" w:eastAsia="宋体" w:cs="宋体"/>
          <w:color w:val="auto"/>
          <w:spacing w:val="-1"/>
          <w:sz w:val="21"/>
          <w:szCs w:val="21"/>
          <w:highlight w:val="none"/>
        </w:rPr>
        <w:t xml:space="preserve">治安事件的，发包人和承包人应立即向当  </w:t>
      </w:r>
      <w:r>
        <w:rPr>
          <w:rFonts w:ascii="宋体" w:hAnsi="宋体" w:eastAsia="宋体" w:cs="宋体"/>
          <w:color w:val="auto"/>
          <w:spacing w:val="2"/>
          <w:sz w:val="21"/>
          <w:szCs w:val="21"/>
          <w:highlight w:val="none"/>
        </w:rPr>
        <w:t>地政府报告。发包人和承包人应积极协助当地有关部门采</w:t>
      </w:r>
      <w:r>
        <w:rPr>
          <w:rFonts w:ascii="宋体" w:hAnsi="宋体" w:eastAsia="宋体" w:cs="宋体"/>
          <w:color w:val="auto"/>
          <w:spacing w:val="1"/>
          <w:sz w:val="21"/>
          <w:szCs w:val="21"/>
          <w:highlight w:val="none"/>
        </w:rPr>
        <w:t>取措施平息事态，防止事态扩大，</w:t>
      </w:r>
    </w:p>
    <w:p w14:paraId="0CEC0EDC">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尽量避免人员伤亡和财产损失。</w:t>
      </w:r>
    </w:p>
    <w:p w14:paraId="65AD7E49">
      <w:pPr>
        <w:spacing w:before="147" w:line="221"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6.1.5 </w:t>
      </w:r>
      <w:r>
        <w:rPr>
          <w:rFonts w:ascii="宋体" w:hAnsi="宋体" w:eastAsia="宋体" w:cs="宋体"/>
          <w:color w:val="auto"/>
          <w:spacing w:val="-1"/>
          <w:sz w:val="21"/>
          <w:szCs w:val="21"/>
          <w:highlight w:val="none"/>
        </w:rPr>
        <w:t>文明施工</w:t>
      </w:r>
    </w:p>
    <w:p w14:paraId="62304CEB">
      <w:pPr>
        <w:spacing w:before="148" w:line="352" w:lineRule="auto"/>
        <w:ind w:left="18" w:right="158" w:firstLine="422"/>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承包人在工程施工期间，应当采取措施保持施工现场平整， 物料堆放整齐。工程所在</w:t>
      </w:r>
      <w:r>
        <w:rPr>
          <w:rFonts w:ascii="宋体" w:hAnsi="宋体" w:eastAsia="宋体" w:cs="宋体"/>
          <w:color w:val="auto"/>
          <w:spacing w:val="9"/>
          <w:sz w:val="21"/>
          <w:szCs w:val="21"/>
          <w:highlight w:val="none"/>
        </w:rPr>
        <w:t xml:space="preserve"> </w:t>
      </w:r>
      <w:r>
        <w:rPr>
          <w:rFonts w:ascii="宋体" w:hAnsi="宋体" w:eastAsia="宋体" w:cs="宋体"/>
          <w:color w:val="auto"/>
          <w:spacing w:val="-2"/>
          <w:sz w:val="21"/>
          <w:szCs w:val="21"/>
          <w:highlight w:val="none"/>
        </w:rPr>
        <w:t xml:space="preserve">地有关政府行政管理部门有特殊要求的， 按照其要求执行。 </w:t>
      </w:r>
      <w:r>
        <w:rPr>
          <w:rFonts w:ascii="宋体" w:hAnsi="宋体" w:eastAsia="宋体" w:cs="宋体"/>
          <w:color w:val="auto"/>
          <w:spacing w:val="-3"/>
          <w:sz w:val="21"/>
          <w:szCs w:val="21"/>
          <w:highlight w:val="none"/>
        </w:rPr>
        <w:t>合同当事人对文明施工有其他</w:t>
      </w:r>
    </w:p>
    <w:p w14:paraId="32A9932A">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要求的，可以在专用合同条款中明确。</w:t>
      </w:r>
    </w:p>
    <w:p w14:paraId="02AC16BD">
      <w:pPr>
        <w:spacing w:line="220" w:lineRule="auto"/>
        <w:rPr>
          <w:rFonts w:ascii="宋体" w:hAnsi="宋体" w:eastAsia="宋体" w:cs="宋体"/>
          <w:color w:val="auto"/>
          <w:sz w:val="21"/>
          <w:szCs w:val="21"/>
          <w:highlight w:val="none"/>
        </w:rPr>
        <w:sectPr>
          <w:footerReference r:id="rId117" w:type="default"/>
          <w:pgSz w:w="11905" w:h="16839"/>
          <w:pgMar w:top="1431" w:right="1633" w:bottom="1004" w:left="1785" w:header="0" w:footer="828" w:gutter="0"/>
          <w:pgNumType w:fmt="decimal"/>
          <w:cols w:space="720" w:num="1"/>
        </w:sectPr>
      </w:pPr>
    </w:p>
    <w:p w14:paraId="59F273DD">
      <w:pPr>
        <w:spacing w:before="150" w:line="352" w:lineRule="auto"/>
        <w:ind w:left="19" w:right="6" w:firstLine="42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在工程移交之前，承包人应当从施工现场清除承包人的全部工程设备、多余材料、垃 圾和各种临时工程，并保持施工现场清洁整齐。经发包人书面同意，承包人</w:t>
      </w:r>
      <w:r>
        <w:rPr>
          <w:rFonts w:ascii="宋体" w:hAnsi="宋体" w:eastAsia="宋体" w:cs="宋体"/>
          <w:color w:val="auto"/>
          <w:spacing w:val="2"/>
          <w:sz w:val="21"/>
          <w:szCs w:val="21"/>
          <w:highlight w:val="none"/>
        </w:rPr>
        <w:t>可在发包人指</w:t>
      </w:r>
    </w:p>
    <w:p w14:paraId="34B67593">
      <w:pPr>
        <w:spacing w:line="219" w:lineRule="auto"/>
        <w:ind w:left="23"/>
        <w:rPr>
          <w:rFonts w:ascii="宋体" w:hAnsi="宋体" w:eastAsia="宋体" w:cs="宋体"/>
          <w:color w:val="auto"/>
          <w:sz w:val="21"/>
          <w:szCs w:val="21"/>
          <w:highlight w:val="none"/>
        </w:rPr>
      </w:pPr>
      <w:r>
        <w:rPr>
          <w:rFonts w:ascii="宋体" w:hAnsi="宋体" w:eastAsia="宋体" w:cs="宋体"/>
          <w:color w:val="auto"/>
          <w:sz w:val="21"/>
          <w:szCs w:val="21"/>
          <w:highlight w:val="none"/>
        </w:rPr>
        <w:t>定的地点保留承包人履行保修期内的各项义务所需要的材料、</w:t>
      </w:r>
      <w:r>
        <w:rPr>
          <w:rFonts w:ascii="宋体" w:hAnsi="宋体" w:eastAsia="宋体" w:cs="宋体"/>
          <w:color w:val="auto"/>
          <w:spacing w:val="-1"/>
          <w:sz w:val="21"/>
          <w:szCs w:val="21"/>
          <w:highlight w:val="none"/>
        </w:rPr>
        <w:t>施工设备和临时工程。</w:t>
      </w:r>
    </w:p>
    <w:p w14:paraId="25AB5382">
      <w:pPr>
        <w:spacing w:before="148" w:line="221"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6.1.6 </w:t>
      </w:r>
      <w:r>
        <w:rPr>
          <w:rFonts w:ascii="宋体" w:hAnsi="宋体" w:eastAsia="宋体" w:cs="宋体"/>
          <w:color w:val="auto"/>
          <w:spacing w:val="-1"/>
          <w:sz w:val="21"/>
          <w:szCs w:val="21"/>
          <w:highlight w:val="none"/>
        </w:rPr>
        <w:t>安全文明施工费</w:t>
      </w:r>
    </w:p>
    <w:p w14:paraId="584CE92B">
      <w:pPr>
        <w:spacing w:before="147" w:line="403" w:lineRule="exact"/>
        <w:ind w:right="6"/>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安全文明施工费由发包人承担， 发包人不得以任何形式扣减该部分费用。因基准日期</w:t>
      </w:r>
    </w:p>
    <w:p w14:paraId="7A5FC174">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后合同所适用的法律或政府有关规定发生变化， 增加的安全</w:t>
      </w:r>
      <w:r>
        <w:rPr>
          <w:rFonts w:ascii="宋体" w:hAnsi="宋体" w:eastAsia="宋体" w:cs="宋体"/>
          <w:color w:val="auto"/>
          <w:spacing w:val="-4"/>
          <w:sz w:val="21"/>
          <w:szCs w:val="21"/>
          <w:highlight w:val="none"/>
        </w:rPr>
        <w:t>文明施工费由发包人承担。</w:t>
      </w:r>
    </w:p>
    <w:p w14:paraId="150171D2">
      <w:pPr>
        <w:spacing w:before="147" w:line="353" w:lineRule="auto"/>
        <w:ind w:left="20" w:right="6" w:firstLine="42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承包人经发包人同意采取合同约定以外的安全措施所产生的费用，由发包人承担。未 </w:t>
      </w:r>
      <w:r>
        <w:rPr>
          <w:rFonts w:ascii="宋体" w:hAnsi="宋体" w:eastAsia="宋体" w:cs="宋体"/>
          <w:color w:val="auto"/>
          <w:sz w:val="21"/>
          <w:szCs w:val="21"/>
          <w:highlight w:val="none"/>
        </w:rPr>
        <w:t>经发包人同意的， 如果该措施避免了发包人的损失，则发包人在避免损失的额度内承担该</w:t>
      </w:r>
    </w:p>
    <w:p w14:paraId="3B3BED8C">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措施费。如果该措施避免了承包人的损失，由承包人承担该措施费。</w:t>
      </w:r>
    </w:p>
    <w:p w14:paraId="5506EFB4">
      <w:pPr>
        <w:spacing w:before="146" w:line="352" w:lineRule="auto"/>
        <w:ind w:left="19" w:right="3" w:firstLine="434"/>
        <w:rPr>
          <w:rFonts w:ascii="宋体" w:hAnsi="宋体" w:eastAsia="宋体" w:cs="宋体"/>
          <w:color w:val="auto"/>
          <w:sz w:val="21"/>
          <w:szCs w:val="21"/>
          <w:highlight w:val="none"/>
        </w:rPr>
      </w:pPr>
      <w:r>
        <w:rPr>
          <w:rFonts w:ascii="宋体" w:hAnsi="宋体" w:eastAsia="宋体" w:cs="宋体"/>
          <w:color w:val="auto"/>
          <w:sz w:val="21"/>
          <w:szCs w:val="21"/>
          <w:highlight w:val="none"/>
        </w:rPr>
        <w:t xml:space="preserve">除专用合同条款另有约定外， 发包人应在开工后 </w:t>
      </w:r>
      <w:r>
        <w:rPr>
          <w:rFonts w:ascii="Times New Roman" w:hAnsi="Times New Roman" w:eastAsia="Times New Roman" w:cs="Times New Roman"/>
          <w:color w:val="auto"/>
          <w:sz w:val="21"/>
          <w:szCs w:val="21"/>
          <w:highlight w:val="none"/>
        </w:rPr>
        <w:t>28</w:t>
      </w:r>
      <w:r>
        <w:rPr>
          <w:rFonts w:ascii="Times New Roman" w:hAnsi="Times New Roman" w:eastAsia="Times New Roman" w:cs="Times New Roman"/>
          <w:color w:val="auto"/>
          <w:spacing w:val="52"/>
          <w:sz w:val="21"/>
          <w:szCs w:val="21"/>
          <w:highlight w:val="none"/>
        </w:rPr>
        <w:t xml:space="preserve"> </w:t>
      </w:r>
      <w:r>
        <w:rPr>
          <w:rFonts w:ascii="宋体" w:hAnsi="宋体" w:eastAsia="宋体" w:cs="宋体"/>
          <w:color w:val="auto"/>
          <w:sz w:val="21"/>
          <w:szCs w:val="21"/>
          <w:highlight w:val="none"/>
        </w:rPr>
        <w:t xml:space="preserve">天内预付安全文明施工费总额的 </w:t>
      </w:r>
      <w:r>
        <w:rPr>
          <w:rFonts w:ascii="Times New Roman" w:hAnsi="Times New Roman" w:eastAsia="Times New Roman" w:cs="Times New Roman"/>
          <w:color w:val="auto"/>
          <w:spacing w:val="1"/>
          <w:sz w:val="21"/>
          <w:szCs w:val="21"/>
          <w:highlight w:val="none"/>
        </w:rPr>
        <w:t>50%</w:t>
      </w:r>
      <w:r>
        <w:rPr>
          <w:rFonts w:ascii="宋体" w:hAnsi="宋体" w:eastAsia="宋体" w:cs="宋体"/>
          <w:color w:val="auto"/>
          <w:spacing w:val="1"/>
          <w:sz w:val="21"/>
          <w:szCs w:val="21"/>
          <w:highlight w:val="none"/>
        </w:rPr>
        <w:t xml:space="preserve">，其余部分与进度款同期支付。发包人逾期支付安全文明施工费超过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天的，承</w:t>
      </w:r>
      <w:r>
        <w:rPr>
          <w:rFonts w:ascii="宋体" w:hAnsi="宋体" w:eastAsia="宋体" w:cs="宋体"/>
          <w:color w:val="auto"/>
          <w:sz w:val="21"/>
          <w:szCs w:val="21"/>
          <w:highlight w:val="none"/>
        </w:rPr>
        <w:t xml:space="preserve">包人 有权向发包人发出要求预付的催告通知，发包人收到通知后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天内仍未支付的，承包人有</w:t>
      </w:r>
    </w:p>
    <w:p w14:paraId="001C7A1A">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权暂停施工，并按第 </w:t>
      </w:r>
      <w:r>
        <w:rPr>
          <w:rFonts w:ascii="Times New Roman" w:hAnsi="Times New Roman" w:eastAsia="Times New Roman" w:cs="Times New Roman"/>
          <w:color w:val="auto"/>
          <w:spacing w:val="-3"/>
          <w:sz w:val="21"/>
          <w:szCs w:val="21"/>
          <w:highlight w:val="none"/>
        </w:rPr>
        <w:t xml:space="preserve">16.1.1 </w:t>
      </w:r>
      <w:r>
        <w:rPr>
          <w:rFonts w:ascii="宋体" w:hAnsi="宋体" w:eastAsia="宋体" w:cs="宋体"/>
          <w:color w:val="auto"/>
          <w:spacing w:val="-3"/>
          <w:sz w:val="21"/>
          <w:szCs w:val="21"/>
          <w:highlight w:val="none"/>
        </w:rPr>
        <w:t>项〔发包人违约的情形〕执行。</w:t>
      </w:r>
    </w:p>
    <w:p w14:paraId="6DA17622">
      <w:pPr>
        <w:spacing w:before="148" w:line="352" w:lineRule="auto"/>
        <w:ind w:left="19" w:right="6" w:firstLine="4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承包人对安全文明施工费应专款专用，承包人应在财务账目中单独列项备查，不得挪 </w:t>
      </w:r>
      <w:r>
        <w:rPr>
          <w:rFonts w:ascii="宋体" w:hAnsi="宋体" w:eastAsia="宋体" w:cs="宋体"/>
          <w:color w:val="auto"/>
          <w:spacing w:val="-3"/>
          <w:sz w:val="21"/>
          <w:szCs w:val="21"/>
          <w:highlight w:val="none"/>
        </w:rPr>
        <w:t>作他用，否则发包人有权责令其限期改正；逾期未改</w:t>
      </w:r>
      <w:r>
        <w:rPr>
          <w:rFonts w:ascii="宋体" w:hAnsi="宋体" w:eastAsia="宋体" w:cs="宋体"/>
          <w:color w:val="auto"/>
          <w:spacing w:val="-4"/>
          <w:sz w:val="21"/>
          <w:szCs w:val="21"/>
          <w:highlight w:val="none"/>
        </w:rPr>
        <w:t>正的， 可以责令其暂停施工，</w:t>
      </w:r>
      <w:r>
        <w:rPr>
          <w:rFonts w:ascii="宋体" w:hAnsi="宋体" w:eastAsia="宋体" w:cs="宋体"/>
          <w:color w:val="auto"/>
          <w:spacing w:val="38"/>
          <w:sz w:val="21"/>
          <w:szCs w:val="21"/>
          <w:highlight w:val="none"/>
        </w:rPr>
        <w:t xml:space="preserve"> </w:t>
      </w:r>
      <w:r>
        <w:rPr>
          <w:rFonts w:ascii="宋体" w:hAnsi="宋体" w:eastAsia="宋体" w:cs="宋体"/>
          <w:color w:val="auto"/>
          <w:spacing w:val="-4"/>
          <w:sz w:val="21"/>
          <w:szCs w:val="21"/>
          <w:highlight w:val="none"/>
        </w:rPr>
        <w:t>由此增</w:t>
      </w:r>
    </w:p>
    <w:p w14:paraId="280D43A7">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加的费用和（或）延误的工期由承包人承担。</w:t>
      </w:r>
    </w:p>
    <w:p w14:paraId="073F0751">
      <w:pPr>
        <w:spacing w:before="147" w:line="221"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6.1.7</w:t>
      </w:r>
      <w:r>
        <w:rPr>
          <w:rFonts w:ascii="Times New Roman" w:hAnsi="Times New Roman" w:eastAsia="Times New Roman" w:cs="Times New Roman"/>
          <w:color w:val="auto"/>
          <w:spacing w:val="17"/>
          <w:sz w:val="21"/>
          <w:szCs w:val="21"/>
          <w:highlight w:val="none"/>
        </w:rPr>
        <w:t xml:space="preserve"> </w:t>
      </w:r>
      <w:r>
        <w:rPr>
          <w:rFonts w:ascii="宋体" w:hAnsi="宋体" w:eastAsia="宋体" w:cs="宋体"/>
          <w:color w:val="auto"/>
          <w:spacing w:val="-2"/>
          <w:sz w:val="21"/>
          <w:szCs w:val="21"/>
          <w:highlight w:val="none"/>
        </w:rPr>
        <w:t>紧急情况处理</w:t>
      </w:r>
    </w:p>
    <w:p w14:paraId="7B90294C">
      <w:pPr>
        <w:spacing w:before="153" w:line="350" w:lineRule="auto"/>
        <w:ind w:left="20" w:right="6" w:firstLine="420"/>
        <w:rPr>
          <w:rFonts w:ascii="宋体" w:hAnsi="宋体" w:eastAsia="宋体" w:cs="宋体"/>
          <w:color w:val="auto"/>
          <w:sz w:val="21"/>
          <w:szCs w:val="21"/>
          <w:highlight w:val="none"/>
        </w:rPr>
      </w:pPr>
      <w:r>
        <w:rPr>
          <w:rFonts w:ascii="宋体" w:hAnsi="宋体" w:eastAsia="宋体" w:cs="宋体"/>
          <w:color w:val="auto"/>
          <w:sz w:val="21"/>
          <w:szCs w:val="21"/>
          <w:highlight w:val="none"/>
        </w:rPr>
        <w:t>在工程实施期间或缺陷责任期内发生危及工程安全的事件， 监理人通知承包人进行抢</w:t>
      </w:r>
      <w:r>
        <w:rPr>
          <w:rFonts w:ascii="宋体" w:hAnsi="宋体" w:eastAsia="宋体" w:cs="宋体"/>
          <w:color w:val="auto"/>
          <w:spacing w:val="9"/>
          <w:sz w:val="21"/>
          <w:szCs w:val="21"/>
          <w:highlight w:val="none"/>
        </w:rPr>
        <w:t xml:space="preserve"> </w:t>
      </w:r>
      <w:r>
        <w:rPr>
          <w:rFonts w:ascii="宋体" w:hAnsi="宋体" w:eastAsia="宋体" w:cs="宋体"/>
          <w:color w:val="auto"/>
          <w:spacing w:val="3"/>
          <w:sz w:val="21"/>
          <w:szCs w:val="21"/>
          <w:highlight w:val="none"/>
        </w:rPr>
        <w:t>救，承包人声明无能力或不愿立即执行的，发包人有权雇佣其他人员进行</w:t>
      </w:r>
      <w:r>
        <w:rPr>
          <w:rFonts w:ascii="宋体" w:hAnsi="宋体" w:eastAsia="宋体" w:cs="宋体"/>
          <w:color w:val="auto"/>
          <w:spacing w:val="2"/>
          <w:sz w:val="21"/>
          <w:szCs w:val="21"/>
          <w:highlight w:val="none"/>
        </w:rPr>
        <w:t>抢救。此类抢救</w:t>
      </w:r>
    </w:p>
    <w:p w14:paraId="2C1680D4">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z w:val="21"/>
          <w:szCs w:val="21"/>
          <w:highlight w:val="none"/>
        </w:rPr>
        <w:t>按合同约定属于承包人义务的，由此增加的费用和（或）延误的工期</w:t>
      </w:r>
      <w:r>
        <w:rPr>
          <w:rFonts w:ascii="宋体" w:hAnsi="宋体" w:eastAsia="宋体" w:cs="宋体"/>
          <w:color w:val="auto"/>
          <w:spacing w:val="-1"/>
          <w:sz w:val="21"/>
          <w:szCs w:val="21"/>
          <w:highlight w:val="none"/>
        </w:rPr>
        <w:t>由承包人承担。</w:t>
      </w:r>
    </w:p>
    <w:p w14:paraId="09149F03">
      <w:pPr>
        <w:spacing w:before="153" w:line="221"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6.1.8 </w:t>
      </w:r>
      <w:r>
        <w:rPr>
          <w:rFonts w:ascii="宋体" w:hAnsi="宋体" w:eastAsia="宋体" w:cs="宋体"/>
          <w:color w:val="auto"/>
          <w:spacing w:val="-1"/>
          <w:sz w:val="21"/>
          <w:szCs w:val="21"/>
          <w:highlight w:val="none"/>
        </w:rPr>
        <w:t>事故处理</w:t>
      </w:r>
    </w:p>
    <w:p w14:paraId="15BC5FB0">
      <w:pPr>
        <w:spacing w:before="149" w:line="351" w:lineRule="auto"/>
        <w:ind w:left="21" w:right="11" w:firstLine="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工程施工过程中发生事故的，承包人应立即通知监理人，监理人应立即通知发包人。</w:t>
      </w:r>
      <w:r>
        <w:rPr>
          <w:rFonts w:ascii="宋体" w:hAnsi="宋体" w:eastAsia="宋体" w:cs="宋体"/>
          <w:color w:val="auto"/>
          <w:spacing w:val="6"/>
          <w:sz w:val="21"/>
          <w:szCs w:val="21"/>
          <w:highlight w:val="none"/>
        </w:rPr>
        <w:t xml:space="preserve"> </w:t>
      </w:r>
      <w:r>
        <w:rPr>
          <w:rFonts w:ascii="宋体" w:hAnsi="宋体" w:eastAsia="宋体" w:cs="宋体"/>
          <w:color w:val="auto"/>
          <w:spacing w:val="3"/>
          <w:sz w:val="21"/>
          <w:szCs w:val="21"/>
          <w:highlight w:val="none"/>
        </w:rPr>
        <w:t>发包人和承包人应立即组织人员和设备进行紧急抢救和</w:t>
      </w:r>
      <w:r>
        <w:rPr>
          <w:rFonts w:ascii="宋体" w:hAnsi="宋体" w:eastAsia="宋体" w:cs="宋体"/>
          <w:color w:val="auto"/>
          <w:spacing w:val="2"/>
          <w:sz w:val="21"/>
          <w:szCs w:val="21"/>
          <w:highlight w:val="none"/>
        </w:rPr>
        <w:t>抢修，减少人员伤亡和财产损失，</w:t>
      </w:r>
      <w:r>
        <w:rPr>
          <w:rFonts w:ascii="宋体" w:hAnsi="宋体" w:eastAsia="宋体" w:cs="宋体"/>
          <w:color w:val="auto"/>
          <w:sz w:val="21"/>
          <w:szCs w:val="21"/>
          <w:highlight w:val="none"/>
        </w:rPr>
        <w:t xml:space="preserve"> 防止事故扩大，并保护事故现场。需要移动现场物品时，应作出标记和书面记录， 妥善保</w:t>
      </w:r>
      <w:r>
        <w:rPr>
          <w:rFonts w:ascii="宋体" w:hAnsi="宋体" w:eastAsia="宋体" w:cs="宋体"/>
          <w:color w:val="auto"/>
          <w:spacing w:val="3"/>
          <w:sz w:val="21"/>
          <w:szCs w:val="21"/>
          <w:highlight w:val="none"/>
        </w:rPr>
        <w:t xml:space="preserve"> 管有关证据。发包人和承包人应按国家有关规定，及时如实地向有关</w:t>
      </w:r>
      <w:r>
        <w:rPr>
          <w:rFonts w:ascii="宋体" w:hAnsi="宋体" w:eastAsia="宋体" w:cs="宋体"/>
          <w:color w:val="auto"/>
          <w:spacing w:val="2"/>
          <w:sz w:val="21"/>
          <w:szCs w:val="21"/>
          <w:highlight w:val="none"/>
        </w:rPr>
        <w:t>部门报告事故发生的</w:t>
      </w:r>
    </w:p>
    <w:p w14:paraId="6E46F0F8">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情况，以及正在采取的紧急措施等。</w:t>
      </w:r>
    </w:p>
    <w:p w14:paraId="2D90AD6B">
      <w:pPr>
        <w:spacing w:before="152" w:line="221"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6.1.9 </w:t>
      </w:r>
      <w:r>
        <w:rPr>
          <w:rFonts w:ascii="宋体" w:hAnsi="宋体" w:eastAsia="宋体" w:cs="宋体"/>
          <w:color w:val="auto"/>
          <w:spacing w:val="-1"/>
          <w:sz w:val="21"/>
          <w:szCs w:val="21"/>
          <w:highlight w:val="none"/>
        </w:rPr>
        <w:t>安全生产责任</w:t>
      </w:r>
    </w:p>
    <w:p w14:paraId="0283E3E0">
      <w:pPr>
        <w:spacing w:before="147" w:line="221" w:lineRule="auto"/>
        <w:ind w:left="442"/>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"6.1.9.1" </w:instrText>
      </w:r>
      <w:r>
        <w:rPr>
          <w:color w:val="auto"/>
          <w:highlight w:val="none"/>
        </w:rPr>
        <w:fldChar w:fldCharType="separate"/>
      </w:r>
      <w:r>
        <w:rPr>
          <w:rFonts w:ascii="Times New Roman" w:hAnsi="Times New Roman" w:eastAsia="Times New Roman" w:cs="Times New Roman"/>
          <w:color w:val="auto"/>
          <w:spacing w:val="-1"/>
          <w:sz w:val="21"/>
          <w:szCs w:val="21"/>
          <w:highlight w:val="none"/>
        </w:rPr>
        <w:t>6.1.9.1</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1"/>
          <w:sz w:val="21"/>
          <w:szCs w:val="21"/>
          <w:highlight w:val="none"/>
        </w:rPr>
        <w:t xml:space="preserve"> </w:t>
      </w:r>
      <w:r>
        <w:rPr>
          <w:rFonts w:ascii="宋体" w:hAnsi="宋体" w:eastAsia="宋体" w:cs="宋体"/>
          <w:color w:val="auto"/>
          <w:spacing w:val="-1"/>
          <w:sz w:val="21"/>
          <w:szCs w:val="21"/>
          <w:highlight w:val="none"/>
        </w:rPr>
        <w:t>发包人的安全责任</w:t>
      </w:r>
    </w:p>
    <w:p w14:paraId="6D0C304F">
      <w:pPr>
        <w:spacing w:before="147" w:line="221" w:lineRule="auto"/>
        <w:ind w:left="44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发包人应负责赔偿以下各种情况造成的损失：</w:t>
      </w:r>
    </w:p>
    <w:p w14:paraId="0E8BA837">
      <w:pPr>
        <w:spacing w:before="152"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）工程或工程的任何部分对土地的占用所造成的第三者财产损失；</w:t>
      </w:r>
    </w:p>
    <w:p w14:paraId="51410CFD">
      <w:pPr>
        <w:spacing w:before="148" w:line="398"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2</w:t>
      </w:r>
      <w:r>
        <w:rPr>
          <w:rFonts w:ascii="宋体" w:hAnsi="宋体" w:eastAsia="宋体" w:cs="宋体"/>
          <w:color w:val="auto"/>
          <w:position w:val="14"/>
          <w:sz w:val="21"/>
          <w:szCs w:val="21"/>
          <w:highlight w:val="none"/>
        </w:rPr>
        <w:t>）由于发包人原因在施工场地及其毗邻地带造成的第</w:t>
      </w:r>
      <w:r>
        <w:rPr>
          <w:rFonts w:ascii="宋体" w:hAnsi="宋体" w:eastAsia="宋体" w:cs="宋体"/>
          <w:color w:val="auto"/>
          <w:spacing w:val="-1"/>
          <w:position w:val="14"/>
          <w:sz w:val="21"/>
          <w:szCs w:val="21"/>
          <w:highlight w:val="none"/>
        </w:rPr>
        <w:t>三者人身伤亡和财产损失；</w:t>
      </w:r>
    </w:p>
    <w:p w14:paraId="66D5B9E9">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3</w:t>
      </w:r>
      <w:r>
        <w:rPr>
          <w:rFonts w:ascii="宋体" w:hAnsi="宋体" w:eastAsia="宋体" w:cs="宋体"/>
          <w:color w:val="auto"/>
          <w:sz w:val="21"/>
          <w:szCs w:val="21"/>
          <w:highlight w:val="none"/>
        </w:rPr>
        <w:t>）由于发包人原因对承包人、监理人造成的</w:t>
      </w:r>
      <w:r>
        <w:rPr>
          <w:rFonts w:ascii="宋体" w:hAnsi="宋体" w:eastAsia="宋体" w:cs="宋体"/>
          <w:color w:val="auto"/>
          <w:spacing w:val="-1"/>
          <w:sz w:val="21"/>
          <w:szCs w:val="21"/>
          <w:highlight w:val="none"/>
        </w:rPr>
        <w:t>人员人身伤亡和财产损失；</w:t>
      </w:r>
    </w:p>
    <w:p w14:paraId="31D9162F">
      <w:pPr>
        <w:spacing w:before="152"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4</w:t>
      </w:r>
      <w:r>
        <w:rPr>
          <w:rFonts w:ascii="宋体" w:hAnsi="宋体" w:eastAsia="宋体" w:cs="宋体"/>
          <w:color w:val="auto"/>
          <w:spacing w:val="-1"/>
          <w:sz w:val="21"/>
          <w:szCs w:val="21"/>
          <w:highlight w:val="none"/>
        </w:rPr>
        <w:t>）由于发包人原因造成的发包人自身人员的人身伤害以及财</w:t>
      </w:r>
      <w:r>
        <w:rPr>
          <w:rFonts w:ascii="宋体" w:hAnsi="宋体" w:eastAsia="宋体" w:cs="宋体"/>
          <w:color w:val="auto"/>
          <w:spacing w:val="-2"/>
          <w:sz w:val="21"/>
          <w:szCs w:val="21"/>
          <w:highlight w:val="none"/>
        </w:rPr>
        <w:t>产损失。</w:t>
      </w:r>
    </w:p>
    <w:p w14:paraId="4EAB13B0">
      <w:pPr>
        <w:spacing w:before="147" w:line="221" w:lineRule="auto"/>
        <w:ind w:left="442"/>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"6.1.9.2" </w:instrText>
      </w:r>
      <w:r>
        <w:rPr>
          <w:color w:val="auto"/>
          <w:highlight w:val="none"/>
        </w:rPr>
        <w:fldChar w:fldCharType="separate"/>
      </w:r>
      <w:r>
        <w:rPr>
          <w:rFonts w:ascii="Times New Roman" w:hAnsi="Times New Roman" w:eastAsia="Times New Roman" w:cs="Times New Roman"/>
          <w:color w:val="auto"/>
          <w:spacing w:val="-1"/>
          <w:sz w:val="21"/>
          <w:szCs w:val="21"/>
          <w:highlight w:val="none"/>
        </w:rPr>
        <w:t>6.1.9.2</w:t>
      </w:r>
      <w:r>
        <w:rPr>
          <w:rFonts w:ascii="Times New Roman" w:hAnsi="Times New Roman" w:eastAsia="Times New Roman" w:cs="Times New Roman"/>
          <w:color w:val="auto"/>
          <w:spacing w:val="-1"/>
          <w:sz w:val="21"/>
          <w:szCs w:val="21"/>
          <w:highlight w:val="none"/>
        </w:rPr>
        <w:fldChar w:fldCharType="end"/>
      </w:r>
      <w:r>
        <w:rPr>
          <w:rFonts w:ascii="Times New Roman" w:hAnsi="Times New Roman" w:eastAsia="Times New Roman" w:cs="Times New Roman"/>
          <w:color w:val="auto"/>
          <w:spacing w:val="-1"/>
          <w:sz w:val="21"/>
          <w:szCs w:val="21"/>
          <w:highlight w:val="none"/>
        </w:rPr>
        <w:t xml:space="preserve"> </w:t>
      </w:r>
      <w:r>
        <w:rPr>
          <w:rFonts w:ascii="宋体" w:hAnsi="宋体" w:eastAsia="宋体" w:cs="宋体"/>
          <w:color w:val="auto"/>
          <w:spacing w:val="-1"/>
          <w:sz w:val="21"/>
          <w:szCs w:val="21"/>
          <w:highlight w:val="none"/>
        </w:rPr>
        <w:t>承包人的安全责任</w:t>
      </w:r>
    </w:p>
    <w:p w14:paraId="1F6052E5">
      <w:pPr>
        <w:spacing w:line="221" w:lineRule="auto"/>
        <w:rPr>
          <w:rFonts w:ascii="宋体" w:hAnsi="宋体" w:eastAsia="宋体" w:cs="宋体"/>
          <w:color w:val="auto"/>
          <w:sz w:val="21"/>
          <w:szCs w:val="21"/>
          <w:highlight w:val="none"/>
        </w:rPr>
        <w:sectPr>
          <w:footerReference r:id="rId118" w:type="default"/>
          <w:pgSz w:w="11905" w:h="16839"/>
          <w:pgMar w:top="1431" w:right="1785" w:bottom="1004" w:left="1785" w:header="0" w:footer="828" w:gutter="0"/>
          <w:pgNumType w:fmt="decimal"/>
          <w:cols w:space="720" w:num="1"/>
        </w:sectPr>
      </w:pPr>
    </w:p>
    <w:p w14:paraId="06457046">
      <w:pPr>
        <w:spacing w:before="148" w:line="221" w:lineRule="auto"/>
        <w:ind w:left="46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由于承包人原因在施工场地内及其毗邻地带</w:t>
      </w:r>
      <w:r>
        <w:rPr>
          <w:rFonts w:ascii="宋体" w:hAnsi="宋体" w:eastAsia="宋体" w:cs="宋体"/>
          <w:color w:val="auto"/>
          <w:spacing w:val="2"/>
          <w:sz w:val="21"/>
          <w:szCs w:val="21"/>
          <w:highlight w:val="none"/>
        </w:rPr>
        <w:t>造成的发包人、监理人以及第三者人员伤</w:t>
      </w:r>
    </w:p>
    <w:p w14:paraId="5F21F497">
      <w:pPr>
        <w:spacing w:before="147" w:line="221"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亡和财产损失，由承包人负责赔偿。</w:t>
      </w:r>
    </w:p>
    <w:p w14:paraId="75998CBB">
      <w:pPr>
        <w:spacing w:before="50" w:line="221" w:lineRule="auto"/>
        <w:ind w:left="18"/>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6.2 职业健康</w:t>
      </w:r>
    </w:p>
    <w:p w14:paraId="18D74DDD">
      <w:pPr>
        <w:spacing w:before="126" w:line="221"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6.2.1</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pacing w:val="-2"/>
          <w:sz w:val="21"/>
          <w:szCs w:val="21"/>
          <w:highlight w:val="none"/>
        </w:rPr>
        <w:t>劳动保护</w:t>
      </w:r>
    </w:p>
    <w:p w14:paraId="22A45B6D">
      <w:pPr>
        <w:spacing w:before="146" w:line="352" w:lineRule="auto"/>
        <w:ind w:left="20" w:firstLine="4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承包人应按照法律规定安排现场施工人员的劳动和休息时间，保障劳动者的休息时间， 并支付合理的报酬和费用。承包人应依法为其履行合同所雇用的人员办理必要的证件、许  可、保险和注册等，承包人应督促其分包人为分包人所雇用的人员办理必要的证件、许可、</w:t>
      </w:r>
    </w:p>
    <w:p w14:paraId="26EB2858">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保险和注册等。</w:t>
      </w:r>
    </w:p>
    <w:p w14:paraId="79152EFB">
      <w:pPr>
        <w:spacing w:before="146" w:line="352" w:lineRule="auto"/>
        <w:ind w:left="21" w:right="174" w:firstLine="4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承包人应按照法律规定保障现场施工人员的劳动安全</w:t>
      </w:r>
      <w:r>
        <w:rPr>
          <w:rFonts w:ascii="宋体" w:hAnsi="宋体" w:eastAsia="宋体" w:cs="宋体"/>
          <w:color w:val="auto"/>
          <w:spacing w:val="1"/>
          <w:sz w:val="21"/>
          <w:szCs w:val="21"/>
          <w:highlight w:val="none"/>
        </w:rPr>
        <w:t>，并提供劳动保护</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并应按国家有</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关劳动保护的规定，采取有效的防止粉尘、降低噪声、控制有害气体和保障高温、高寒、</w:t>
      </w:r>
      <w:r>
        <w:rPr>
          <w:rFonts w:ascii="宋体" w:hAnsi="宋体" w:eastAsia="宋体" w:cs="宋体"/>
          <w:color w:val="auto"/>
          <w:sz w:val="21"/>
          <w:szCs w:val="21"/>
          <w:highlight w:val="none"/>
        </w:rPr>
        <w:t xml:space="preserve"> 高空作业安全等劳动保护措施。承包人雇佣人员在施工中受到伤害的， 承包人应立即采取</w:t>
      </w:r>
    </w:p>
    <w:p w14:paraId="34BB9BB5">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有效措施进行抢救和治疗。</w:t>
      </w:r>
    </w:p>
    <w:p w14:paraId="74A296DB">
      <w:pPr>
        <w:spacing w:before="153" w:line="350" w:lineRule="auto"/>
        <w:ind w:left="17" w:right="173" w:firstLine="423"/>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承包人应按法律规定安排工作时间， 保证其雇佣人员享有休息和休假的权利。因工程</w:t>
      </w:r>
      <w:r>
        <w:rPr>
          <w:rFonts w:ascii="宋体" w:hAnsi="宋体" w:eastAsia="宋体" w:cs="宋体"/>
          <w:color w:val="auto"/>
          <w:spacing w:val="10"/>
          <w:sz w:val="21"/>
          <w:szCs w:val="21"/>
          <w:highlight w:val="none"/>
        </w:rPr>
        <w:t xml:space="preserve"> </w:t>
      </w:r>
      <w:r>
        <w:rPr>
          <w:rFonts w:ascii="宋体" w:hAnsi="宋体" w:eastAsia="宋体" w:cs="宋体"/>
          <w:color w:val="auto"/>
          <w:sz w:val="21"/>
          <w:szCs w:val="21"/>
          <w:highlight w:val="none"/>
        </w:rPr>
        <w:t>施工的特殊需要占用休假日或延长工作时间的，应不超过法律规定的限度， 并按法律规定</w:t>
      </w:r>
    </w:p>
    <w:p w14:paraId="4B67EE48">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给予补休或付酬。</w:t>
      </w:r>
    </w:p>
    <w:p w14:paraId="7AB26663">
      <w:pPr>
        <w:spacing w:before="152" w:line="221" w:lineRule="auto"/>
        <w:ind w:left="442"/>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6.2.2 </w:t>
      </w:r>
      <w:r>
        <w:rPr>
          <w:rFonts w:ascii="宋体" w:hAnsi="宋体" w:eastAsia="宋体" w:cs="宋体"/>
          <w:color w:val="auto"/>
          <w:spacing w:val="-1"/>
          <w:sz w:val="21"/>
          <w:szCs w:val="21"/>
          <w:highlight w:val="none"/>
        </w:rPr>
        <w:t>生活条件</w:t>
      </w:r>
    </w:p>
    <w:p w14:paraId="1B9D0E09">
      <w:pPr>
        <w:spacing w:before="148" w:line="352" w:lineRule="auto"/>
        <w:ind w:left="19" w:right="174" w:firstLine="4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承包人应为其履行合同所雇用的人员提供必要的膳宿条件和生活环境；承包人应采取 </w:t>
      </w:r>
      <w:r>
        <w:rPr>
          <w:rFonts w:ascii="宋体" w:hAnsi="宋体" w:eastAsia="宋体" w:cs="宋体"/>
          <w:color w:val="auto"/>
          <w:spacing w:val="-2"/>
          <w:sz w:val="21"/>
          <w:szCs w:val="21"/>
          <w:highlight w:val="none"/>
        </w:rPr>
        <w:t>有效措施预防传染病， 保证施工人员的健康， 并定</w:t>
      </w:r>
      <w:r>
        <w:rPr>
          <w:rFonts w:ascii="宋体" w:hAnsi="宋体" w:eastAsia="宋体" w:cs="宋体"/>
          <w:color w:val="auto"/>
          <w:spacing w:val="-3"/>
          <w:sz w:val="21"/>
          <w:szCs w:val="21"/>
          <w:highlight w:val="none"/>
        </w:rPr>
        <w:t>期对施工现场、施工人员生活基地和工</w:t>
      </w:r>
    </w:p>
    <w:p w14:paraId="2746EBD2">
      <w:pPr>
        <w:spacing w:before="1" w:line="213" w:lineRule="auto"/>
        <w:ind w:left="1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程进行防疫和卫生的专业检查和处理</w:t>
      </w:r>
      <w:r>
        <w:rPr>
          <w:rFonts w:ascii="Times New Roman" w:hAnsi="Times New Roman" w:eastAsia="Times New Roman" w:cs="Times New Roman"/>
          <w:color w:val="auto"/>
          <w:spacing w:val="-4"/>
          <w:sz w:val="21"/>
          <w:szCs w:val="21"/>
          <w:highlight w:val="none"/>
        </w:rPr>
        <w:t>,</w:t>
      </w:r>
      <w:r>
        <w:rPr>
          <w:rFonts w:ascii="Times New Roman" w:hAnsi="Times New Roman" w:eastAsia="Times New Roman" w:cs="Times New Roman"/>
          <w:color w:val="auto"/>
          <w:spacing w:val="23"/>
          <w:sz w:val="21"/>
          <w:szCs w:val="21"/>
          <w:highlight w:val="none"/>
        </w:rPr>
        <w:t xml:space="preserve"> </w:t>
      </w:r>
      <w:r>
        <w:rPr>
          <w:rFonts w:ascii="宋体" w:hAnsi="宋体" w:eastAsia="宋体" w:cs="宋体"/>
          <w:color w:val="auto"/>
          <w:spacing w:val="-4"/>
          <w:sz w:val="21"/>
          <w:szCs w:val="21"/>
          <w:highlight w:val="none"/>
        </w:rPr>
        <w:t>在远离城镇的施工场地，</w:t>
      </w:r>
      <w:r>
        <w:rPr>
          <w:rFonts w:ascii="宋体" w:hAnsi="宋体" w:eastAsia="宋体" w:cs="宋体"/>
          <w:color w:val="auto"/>
          <w:spacing w:val="50"/>
          <w:sz w:val="21"/>
          <w:szCs w:val="21"/>
          <w:highlight w:val="none"/>
        </w:rPr>
        <w:t xml:space="preserve"> </w:t>
      </w:r>
      <w:r>
        <w:rPr>
          <w:rFonts w:ascii="宋体" w:hAnsi="宋体" w:eastAsia="宋体" w:cs="宋体"/>
          <w:color w:val="auto"/>
          <w:spacing w:val="-4"/>
          <w:sz w:val="21"/>
          <w:szCs w:val="21"/>
          <w:highlight w:val="none"/>
        </w:rPr>
        <w:t>还应配备必要的伤病防</w:t>
      </w:r>
      <w:r>
        <w:rPr>
          <w:rFonts w:ascii="宋体" w:hAnsi="宋体" w:eastAsia="宋体" w:cs="宋体"/>
          <w:color w:val="auto"/>
          <w:spacing w:val="-5"/>
          <w:sz w:val="21"/>
          <w:szCs w:val="21"/>
          <w:highlight w:val="none"/>
        </w:rPr>
        <w:t>治和</w:t>
      </w:r>
    </w:p>
    <w:p w14:paraId="270A81B4">
      <w:pPr>
        <w:spacing w:before="155" w:line="221" w:lineRule="auto"/>
        <w:ind w:left="2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急救的医务人员与医疗设施。</w:t>
      </w:r>
    </w:p>
    <w:p w14:paraId="1658B7D1">
      <w:pPr>
        <w:spacing w:before="46" w:line="219" w:lineRule="auto"/>
        <w:ind w:left="18"/>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6.3 环境保护</w:t>
      </w:r>
    </w:p>
    <w:p w14:paraId="07E9DBF9">
      <w:pPr>
        <w:spacing w:before="130" w:line="352" w:lineRule="auto"/>
        <w:ind w:left="20" w:right="174" w:firstLine="420"/>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承包人应在施工组织设计中列明环境保护的具体措施。在合同履行期间，承包人应采 取合理措施保护施工现场环境。对施工作业过程中可能引起的大气、水</w:t>
      </w:r>
      <w:r>
        <w:rPr>
          <w:rFonts w:ascii="宋体" w:hAnsi="宋体" w:eastAsia="宋体" w:cs="宋体"/>
          <w:color w:val="auto"/>
          <w:spacing w:val="2"/>
          <w:sz w:val="21"/>
          <w:szCs w:val="21"/>
          <w:highlight w:val="none"/>
        </w:rPr>
        <w:t>、噪音以及固体废</w:t>
      </w:r>
    </w:p>
    <w:p w14:paraId="06244852">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物污染采取具体可行的防范措施。</w:t>
      </w:r>
    </w:p>
    <w:p w14:paraId="4F1BDC41">
      <w:pPr>
        <w:spacing w:before="148" w:line="399" w:lineRule="exact"/>
        <w:ind w:left="441"/>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承包人应当承担因其原因引起的环境污染侵权损害赔偿责任，因上述环境污染引起纠</w:t>
      </w:r>
    </w:p>
    <w:p w14:paraId="712BFBA5">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纷而导致暂停施工的，由此增加的费用和（或） 延</w:t>
      </w:r>
      <w:r>
        <w:rPr>
          <w:rFonts w:ascii="宋体" w:hAnsi="宋体" w:eastAsia="宋体" w:cs="宋体"/>
          <w:color w:val="auto"/>
          <w:spacing w:val="-4"/>
          <w:sz w:val="21"/>
          <w:szCs w:val="21"/>
          <w:highlight w:val="none"/>
        </w:rPr>
        <w:t>误的工期由承包人承担。</w:t>
      </w:r>
    </w:p>
    <w:p w14:paraId="06E502FA">
      <w:pPr>
        <w:spacing w:before="177" w:line="526" w:lineRule="exact"/>
        <w:ind w:left="23"/>
        <w:rPr>
          <w:rFonts w:ascii="黑体" w:hAnsi="黑体" w:eastAsia="黑体" w:cs="黑体"/>
          <w:color w:val="auto"/>
          <w:sz w:val="32"/>
          <w:szCs w:val="32"/>
          <w:highlight w:val="none"/>
        </w:rPr>
      </w:pPr>
      <w:r>
        <w:rPr>
          <w:rFonts w:ascii="黑体" w:hAnsi="黑体" w:eastAsia="黑体" w:cs="黑体"/>
          <w:color w:val="auto"/>
          <w:spacing w:val="-2"/>
          <w:position w:val="15"/>
          <w:sz w:val="32"/>
          <w:szCs w:val="32"/>
          <w:highlight w:val="none"/>
        </w:rPr>
        <w:t>7.工期和进度</w:t>
      </w:r>
    </w:p>
    <w:p w14:paraId="26C87156">
      <w:pPr>
        <w:spacing w:before="2" w:line="218" w:lineRule="auto"/>
        <w:ind w:left="20"/>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7.1</w:t>
      </w:r>
      <w:r>
        <w:rPr>
          <w:rFonts w:ascii="黑体" w:hAnsi="黑体" w:eastAsia="黑体" w:cs="黑体"/>
          <w:color w:val="auto"/>
          <w:spacing w:val="-54"/>
          <w:sz w:val="24"/>
          <w:szCs w:val="24"/>
          <w:highlight w:val="none"/>
        </w:rPr>
        <w:t xml:space="preserve"> </w:t>
      </w:r>
      <w:r>
        <w:rPr>
          <w:rFonts w:ascii="黑体" w:hAnsi="黑体" w:eastAsia="黑体" w:cs="黑体"/>
          <w:color w:val="auto"/>
          <w:spacing w:val="-2"/>
          <w:sz w:val="24"/>
          <w:szCs w:val="24"/>
          <w:highlight w:val="none"/>
        </w:rPr>
        <w:t>施工组织设计</w:t>
      </w:r>
    </w:p>
    <w:p w14:paraId="121582EA">
      <w:pPr>
        <w:spacing w:before="128"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7.1.1 </w:t>
      </w:r>
      <w:r>
        <w:rPr>
          <w:rFonts w:ascii="宋体" w:hAnsi="宋体" w:eastAsia="宋体" w:cs="宋体"/>
          <w:color w:val="auto"/>
          <w:spacing w:val="-1"/>
          <w:sz w:val="21"/>
          <w:szCs w:val="21"/>
          <w:highlight w:val="none"/>
        </w:rPr>
        <w:t>施工组织设计的内容</w:t>
      </w:r>
    </w:p>
    <w:p w14:paraId="35DD0003">
      <w:pPr>
        <w:spacing w:before="148" w:line="403" w:lineRule="exact"/>
        <w:ind w:left="440"/>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施工组织设计应包含以下内容：</w:t>
      </w:r>
    </w:p>
    <w:p w14:paraId="5DA6652A">
      <w:pPr>
        <w:spacing w:before="1" w:line="221"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1</w:t>
      </w:r>
      <w:r>
        <w:rPr>
          <w:rFonts w:ascii="宋体" w:hAnsi="宋体" w:eastAsia="宋体" w:cs="宋体"/>
          <w:color w:val="auto"/>
          <w:spacing w:val="-5"/>
          <w:sz w:val="21"/>
          <w:szCs w:val="21"/>
          <w:highlight w:val="none"/>
        </w:rPr>
        <w:t>）施工方案；</w:t>
      </w:r>
    </w:p>
    <w:p w14:paraId="044A50BF">
      <w:pPr>
        <w:spacing w:before="146" w:line="220"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2</w:t>
      </w:r>
      <w:r>
        <w:rPr>
          <w:rFonts w:ascii="宋体" w:hAnsi="宋体" w:eastAsia="宋体" w:cs="宋体"/>
          <w:color w:val="auto"/>
          <w:spacing w:val="-4"/>
          <w:sz w:val="21"/>
          <w:szCs w:val="21"/>
          <w:highlight w:val="none"/>
        </w:rPr>
        <w:t>）施工现场平面布置图；</w:t>
      </w:r>
    </w:p>
    <w:p w14:paraId="5579E3F4">
      <w:pPr>
        <w:spacing w:before="148" w:line="404"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3</w:t>
      </w:r>
      <w:r>
        <w:rPr>
          <w:rFonts w:ascii="宋体" w:hAnsi="宋体" w:eastAsia="宋体" w:cs="宋体"/>
          <w:color w:val="auto"/>
          <w:spacing w:val="-1"/>
          <w:position w:val="14"/>
          <w:sz w:val="21"/>
          <w:szCs w:val="21"/>
          <w:highlight w:val="none"/>
        </w:rPr>
        <w:t>）施工进度计划和保证措施；</w:t>
      </w:r>
    </w:p>
    <w:p w14:paraId="0ABBB6A6">
      <w:pPr>
        <w:spacing w:before="1" w:line="219"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4</w:t>
      </w:r>
      <w:r>
        <w:rPr>
          <w:rFonts w:ascii="宋体" w:hAnsi="宋体" w:eastAsia="宋体" w:cs="宋体"/>
          <w:color w:val="auto"/>
          <w:spacing w:val="-4"/>
          <w:sz w:val="21"/>
          <w:szCs w:val="21"/>
          <w:highlight w:val="none"/>
        </w:rPr>
        <w:t>）劳动力及材料供应计划；</w:t>
      </w:r>
    </w:p>
    <w:p w14:paraId="09338DED">
      <w:pPr>
        <w:spacing w:line="219" w:lineRule="auto"/>
        <w:rPr>
          <w:rFonts w:ascii="宋体" w:hAnsi="宋体" w:eastAsia="宋体" w:cs="宋体"/>
          <w:color w:val="auto"/>
          <w:sz w:val="21"/>
          <w:szCs w:val="21"/>
          <w:highlight w:val="none"/>
        </w:rPr>
        <w:sectPr>
          <w:footerReference r:id="rId119" w:type="default"/>
          <w:pgSz w:w="11905" w:h="16839"/>
          <w:pgMar w:top="1431" w:right="1617" w:bottom="1004" w:left="1785" w:header="0" w:footer="829" w:gutter="0"/>
          <w:pgNumType w:fmt="decimal"/>
          <w:cols w:space="720" w:num="1"/>
        </w:sectPr>
      </w:pPr>
    </w:p>
    <w:p w14:paraId="5DE886E0">
      <w:pPr>
        <w:spacing w:before="149" w:line="398" w:lineRule="exact"/>
        <w:ind w:left="447"/>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w:t>
      </w:r>
      <w:r>
        <w:rPr>
          <w:rFonts w:ascii="Times New Roman" w:hAnsi="Times New Roman" w:eastAsia="Times New Roman" w:cs="Times New Roman"/>
          <w:color w:val="auto"/>
          <w:spacing w:val="-4"/>
          <w:position w:val="14"/>
          <w:sz w:val="21"/>
          <w:szCs w:val="21"/>
          <w:highlight w:val="none"/>
        </w:rPr>
        <w:t>5</w:t>
      </w:r>
      <w:r>
        <w:rPr>
          <w:rFonts w:ascii="宋体" w:hAnsi="宋体" w:eastAsia="宋体" w:cs="宋体"/>
          <w:color w:val="auto"/>
          <w:spacing w:val="-4"/>
          <w:position w:val="14"/>
          <w:sz w:val="21"/>
          <w:szCs w:val="21"/>
          <w:highlight w:val="none"/>
        </w:rPr>
        <w:t>）施工机械设备的选用；</w:t>
      </w:r>
    </w:p>
    <w:p w14:paraId="5CE4F7BB">
      <w:pPr>
        <w:spacing w:line="221"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6</w:t>
      </w:r>
      <w:r>
        <w:rPr>
          <w:rFonts w:ascii="宋体" w:hAnsi="宋体" w:eastAsia="宋体" w:cs="宋体"/>
          <w:color w:val="auto"/>
          <w:spacing w:val="-4"/>
          <w:sz w:val="21"/>
          <w:szCs w:val="21"/>
          <w:highlight w:val="none"/>
        </w:rPr>
        <w:t>）质量保证体系及措施；</w:t>
      </w:r>
    </w:p>
    <w:p w14:paraId="671DF808">
      <w:pPr>
        <w:spacing w:before="150"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7</w:t>
      </w:r>
      <w:r>
        <w:rPr>
          <w:rFonts w:ascii="宋体" w:hAnsi="宋体" w:eastAsia="宋体" w:cs="宋体"/>
          <w:color w:val="auto"/>
          <w:spacing w:val="-1"/>
          <w:sz w:val="21"/>
          <w:szCs w:val="21"/>
          <w:highlight w:val="none"/>
        </w:rPr>
        <w:t>）安全生产、文明施工措施；</w:t>
      </w:r>
    </w:p>
    <w:p w14:paraId="02BA7D3F">
      <w:pPr>
        <w:spacing w:before="147"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8</w:t>
      </w:r>
      <w:r>
        <w:rPr>
          <w:rFonts w:ascii="宋体" w:hAnsi="宋体" w:eastAsia="宋体" w:cs="宋体"/>
          <w:color w:val="auto"/>
          <w:spacing w:val="-1"/>
          <w:sz w:val="21"/>
          <w:szCs w:val="21"/>
          <w:highlight w:val="none"/>
        </w:rPr>
        <w:t>）环境保护、成本控制措施；</w:t>
      </w:r>
    </w:p>
    <w:p w14:paraId="724EA076">
      <w:pPr>
        <w:spacing w:before="148"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9</w:t>
      </w:r>
      <w:r>
        <w:rPr>
          <w:rFonts w:ascii="宋体" w:hAnsi="宋体" w:eastAsia="宋体" w:cs="宋体"/>
          <w:color w:val="auto"/>
          <w:spacing w:val="-1"/>
          <w:sz w:val="21"/>
          <w:szCs w:val="21"/>
          <w:highlight w:val="none"/>
        </w:rPr>
        <w:t>）合同当事人约定的其他内容。</w:t>
      </w:r>
    </w:p>
    <w:p w14:paraId="6FEE45DC">
      <w:pPr>
        <w:spacing w:before="152"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7.1.2 </w:t>
      </w:r>
      <w:r>
        <w:rPr>
          <w:rFonts w:ascii="宋体" w:hAnsi="宋体" w:eastAsia="宋体" w:cs="宋体"/>
          <w:color w:val="auto"/>
          <w:spacing w:val="-1"/>
          <w:sz w:val="21"/>
          <w:szCs w:val="21"/>
          <w:highlight w:val="none"/>
        </w:rPr>
        <w:t>施工组织设计的提交和修改</w:t>
      </w:r>
    </w:p>
    <w:p w14:paraId="21123388">
      <w:pPr>
        <w:spacing w:before="148" w:line="352" w:lineRule="auto"/>
        <w:ind w:left="16" w:right="1" w:firstLine="43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除专用合同条款另有约定外， 承包人应在合同签订后</w:t>
      </w:r>
      <w:r>
        <w:rPr>
          <w:rFonts w:ascii="宋体" w:hAnsi="宋体" w:eastAsia="宋体" w:cs="宋体"/>
          <w:color w:val="auto"/>
          <w:spacing w:val="-36"/>
          <w:sz w:val="21"/>
          <w:szCs w:val="21"/>
          <w:highlight w:val="none"/>
        </w:rPr>
        <w:t xml:space="preserve"> </w:t>
      </w:r>
      <w:r>
        <w:rPr>
          <w:rFonts w:ascii="Times New Roman" w:hAnsi="Times New Roman" w:eastAsia="Times New Roman" w:cs="Times New Roman"/>
          <w:color w:val="auto"/>
          <w:spacing w:val="-4"/>
          <w:sz w:val="21"/>
          <w:szCs w:val="21"/>
          <w:highlight w:val="none"/>
        </w:rPr>
        <w:t xml:space="preserve">14 </w:t>
      </w:r>
      <w:r>
        <w:rPr>
          <w:rFonts w:ascii="宋体" w:hAnsi="宋体" w:eastAsia="宋体" w:cs="宋体"/>
          <w:color w:val="auto"/>
          <w:spacing w:val="-4"/>
          <w:sz w:val="21"/>
          <w:szCs w:val="21"/>
          <w:highlight w:val="none"/>
        </w:rPr>
        <w:t>天内，但至迟不得晚于第</w:t>
      </w:r>
      <w:r>
        <w:rPr>
          <w:rFonts w:ascii="宋体" w:hAnsi="宋体" w:eastAsia="宋体" w:cs="宋体"/>
          <w:color w:val="auto"/>
          <w:spacing w:val="-53"/>
          <w:sz w:val="21"/>
          <w:szCs w:val="21"/>
          <w:highlight w:val="none"/>
        </w:rPr>
        <w:t xml:space="preserve"> </w:t>
      </w:r>
      <w:r>
        <w:rPr>
          <w:rFonts w:ascii="Times New Roman" w:hAnsi="Times New Roman" w:eastAsia="Times New Roman" w:cs="Times New Roman"/>
          <w:color w:val="auto"/>
          <w:spacing w:val="-4"/>
          <w:sz w:val="21"/>
          <w:szCs w:val="21"/>
          <w:highlight w:val="none"/>
        </w:rPr>
        <w:t>7.3.2</w:t>
      </w:r>
      <w:r>
        <w:rPr>
          <w:rFonts w:ascii="Times New Roman" w:hAnsi="Times New Roman" w:eastAsia="Times New Roman" w:cs="Times New Roman"/>
          <w:color w:val="auto"/>
          <w:sz w:val="21"/>
          <w:szCs w:val="21"/>
          <w:highlight w:val="none"/>
        </w:rPr>
        <w:t xml:space="preserve"> </w:t>
      </w:r>
      <w:r>
        <w:rPr>
          <w:rFonts w:ascii="宋体" w:hAnsi="宋体" w:eastAsia="宋体" w:cs="宋体"/>
          <w:color w:val="auto"/>
          <w:sz w:val="21"/>
          <w:szCs w:val="21"/>
          <w:highlight w:val="none"/>
        </w:rPr>
        <w:t xml:space="preserve">项〔开工通知〕载明的开工日期前 </w:t>
      </w:r>
      <w:r>
        <w:rPr>
          <w:rFonts w:ascii="Times New Roman" w:hAnsi="Times New Roman" w:eastAsia="Times New Roman" w:cs="Times New Roman"/>
          <w:color w:val="auto"/>
          <w:sz w:val="21"/>
          <w:szCs w:val="21"/>
          <w:highlight w:val="none"/>
        </w:rPr>
        <w:t>7</w:t>
      </w:r>
      <w:r>
        <w:rPr>
          <w:rFonts w:ascii="Times New Roman" w:hAnsi="Times New Roman" w:eastAsia="Times New Roman" w:cs="Times New Roman"/>
          <w:color w:val="auto"/>
          <w:spacing w:val="65"/>
          <w:sz w:val="21"/>
          <w:szCs w:val="21"/>
          <w:highlight w:val="none"/>
        </w:rPr>
        <w:t xml:space="preserve"> </w:t>
      </w:r>
      <w:r>
        <w:rPr>
          <w:rFonts w:ascii="宋体" w:hAnsi="宋体" w:eastAsia="宋体" w:cs="宋体"/>
          <w:color w:val="auto"/>
          <w:sz w:val="21"/>
          <w:szCs w:val="21"/>
          <w:highlight w:val="none"/>
        </w:rPr>
        <w:t>天，向监理人提交详细的施工组织设计，并由监理人 报送发包人。 除专用合同条款另有约定外，发包人和监理人应在监理人收到施工组织设计</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 xml:space="preserve">后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天内确认或提出修改意见。对发包人和监理人提出的合理意见和要求，承包人应自费</w:t>
      </w:r>
      <w:r>
        <w:rPr>
          <w:rFonts w:ascii="宋体" w:hAnsi="宋体" w:eastAsia="宋体" w:cs="宋体"/>
          <w:color w:val="auto"/>
          <w:spacing w:val="12"/>
          <w:sz w:val="21"/>
          <w:szCs w:val="21"/>
          <w:highlight w:val="none"/>
        </w:rPr>
        <w:t xml:space="preserve"> </w:t>
      </w:r>
      <w:r>
        <w:rPr>
          <w:rFonts w:ascii="宋体" w:hAnsi="宋体" w:eastAsia="宋体" w:cs="宋体"/>
          <w:color w:val="auto"/>
          <w:spacing w:val="3"/>
          <w:sz w:val="21"/>
          <w:szCs w:val="21"/>
          <w:highlight w:val="none"/>
        </w:rPr>
        <w:t>修改完善。根据工程实际情况需要修改施工组织设计的，承包人应向发包人和监</w:t>
      </w:r>
      <w:r>
        <w:rPr>
          <w:rFonts w:ascii="宋体" w:hAnsi="宋体" w:eastAsia="宋体" w:cs="宋体"/>
          <w:color w:val="auto"/>
          <w:spacing w:val="2"/>
          <w:sz w:val="21"/>
          <w:szCs w:val="21"/>
          <w:highlight w:val="none"/>
        </w:rPr>
        <w:t>理人提交</w:t>
      </w:r>
    </w:p>
    <w:p w14:paraId="770CC61D">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修改后的施工组织设计。</w:t>
      </w:r>
    </w:p>
    <w:p w14:paraId="6C8B1DE9">
      <w:pPr>
        <w:spacing w:before="148" w:line="221" w:lineRule="auto"/>
        <w:ind w:left="44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施工进度计划的编制和修改按照第</w:t>
      </w:r>
      <w:r>
        <w:rPr>
          <w:rFonts w:ascii="宋体" w:hAnsi="宋体" w:eastAsia="宋体" w:cs="宋体"/>
          <w:color w:val="auto"/>
          <w:spacing w:val="-34"/>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7.2 </w:t>
      </w:r>
      <w:r>
        <w:rPr>
          <w:rFonts w:ascii="宋体" w:hAnsi="宋体" w:eastAsia="宋体" w:cs="宋体"/>
          <w:color w:val="auto"/>
          <w:spacing w:val="-1"/>
          <w:sz w:val="21"/>
          <w:szCs w:val="21"/>
          <w:highlight w:val="none"/>
        </w:rPr>
        <w:t>款〔施工进度计划〕执行。</w:t>
      </w:r>
    </w:p>
    <w:p w14:paraId="57959DAB">
      <w:pPr>
        <w:spacing w:before="46" w:line="219" w:lineRule="auto"/>
        <w:ind w:left="20"/>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7.2 施工进度计划</w:t>
      </w:r>
    </w:p>
    <w:p w14:paraId="214035AC">
      <w:pPr>
        <w:spacing w:before="128"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7.2.1 </w:t>
      </w:r>
      <w:r>
        <w:rPr>
          <w:rFonts w:ascii="宋体" w:hAnsi="宋体" w:eastAsia="宋体" w:cs="宋体"/>
          <w:color w:val="auto"/>
          <w:spacing w:val="-1"/>
          <w:sz w:val="21"/>
          <w:szCs w:val="21"/>
          <w:highlight w:val="none"/>
        </w:rPr>
        <w:t>施工进度计划的编制</w:t>
      </w:r>
    </w:p>
    <w:p w14:paraId="05B0C767">
      <w:pPr>
        <w:spacing w:before="152" w:line="352" w:lineRule="auto"/>
        <w:ind w:left="17" w:right="2" w:firstLine="42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承包人应按照第</w:t>
      </w:r>
      <w:r>
        <w:rPr>
          <w:rFonts w:ascii="宋体" w:hAnsi="宋体" w:eastAsia="宋体" w:cs="宋体"/>
          <w:color w:val="auto"/>
          <w:spacing w:val="-58"/>
          <w:sz w:val="21"/>
          <w:szCs w:val="21"/>
          <w:highlight w:val="none"/>
        </w:rPr>
        <w:t xml:space="preserve"> </w:t>
      </w:r>
      <w:r>
        <w:rPr>
          <w:rFonts w:ascii="Times New Roman" w:hAnsi="Times New Roman" w:eastAsia="Times New Roman" w:cs="Times New Roman"/>
          <w:color w:val="auto"/>
          <w:spacing w:val="-3"/>
          <w:sz w:val="21"/>
          <w:szCs w:val="21"/>
          <w:highlight w:val="none"/>
        </w:rPr>
        <w:t>7.1</w:t>
      </w:r>
      <w:r>
        <w:rPr>
          <w:rFonts w:ascii="Times New Roman" w:hAnsi="Times New Roman" w:eastAsia="Times New Roman" w:cs="Times New Roman"/>
          <w:color w:val="auto"/>
          <w:spacing w:val="-15"/>
          <w:sz w:val="21"/>
          <w:szCs w:val="21"/>
          <w:highlight w:val="none"/>
        </w:rPr>
        <w:t xml:space="preserve"> </w:t>
      </w:r>
      <w:r>
        <w:rPr>
          <w:rFonts w:ascii="宋体" w:hAnsi="宋体" w:eastAsia="宋体" w:cs="宋体"/>
          <w:color w:val="auto"/>
          <w:spacing w:val="-3"/>
          <w:sz w:val="21"/>
          <w:szCs w:val="21"/>
          <w:highlight w:val="none"/>
        </w:rPr>
        <w:t>款〔施工组织设计〕约定提交详细的施工进度计划， 施</w:t>
      </w:r>
      <w:r>
        <w:rPr>
          <w:rFonts w:ascii="宋体" w:hAnsi="宋体" w:eastAsia="宋体" w:cs="宋体"/>
          <w:color w:val="auto"/>
          <w:spacing w:val="-4"/>
          <w:sz w:val="21"/>
          <w:szCs w:val="21"/>
          <w:highlight w:val="none"/>
        </w:rPr>
        <w:t>工进度计划</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的编制应当符合国家法律规定和一般工程实践惯例，施工进度计划经发包人批准后实施。</w:t>
      </w:r>
      <w:r>
        <w:rPr>
          <w:rFonts w:ascii="宋体" w:hAnsi="宋体" w:eastAsia="宋体" w:cs="宋体"/>
          <w:color w:val="auto"/>
          <w:spacing w:val="3"/>
          <w:sz w:val="21"/>
          <w:szCs w:val="21"/>
          <w:highlight w:val="none"/>
        </w:rPr>
        <w:t xml:space="preserve"> 施工进度计划是控制工程进度的依据，发包人和监理人有权按照施工进度计划</w:t>
      </w:r>
      <w:r>
        <w:rPr>
          <w:rFonts w:ascii="宋体" w:hAnsi="宋体" w:eastAsia="宋体" w:cs="宋体"/>
          <w:color w:val="auto"/>
          <w:spacing w:val="2"/>
          <w:sz w:val="21"/>
          <w:szCs w:val="21"/>
          <w:highlight w:val="none"/>
        </w:rPr>
        <w:t>检查工程进</w:t>
      </w:r>
    </w:p>
    <w:p w14:paraId="543B8437">
      <w:pPr>
        <w:spacing w:line="221" w:lineRule="auto"/>
        <w:ind w:left="17"/>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度情况。</w:t>
      </w:r>
    </w:p>
    <w:p w14:paraId="61E7FB26">
      <w:pPr>
        <w:spacing w:before="146"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7.2.2 </w:t>
      </w:r>
      <w:r>
        <w:rPr>
          <w:rFonts w:ascii="宋体" w:hAnsi="宋体" w:eastAsia="宋体" w:cs="宋体"/>
          <w:color w:val="auto"/>
          <w:spacing w:val="-1"/>
          <w:sz w:val="21"/>
          <w:szCs w:val="21"/>
          <w:highlight w:val="none"/>
        </w:rPr>
        <w:t>施工进度计划的修订</w:t>
      </w:r>
    </w:p>
    <w:p w14:paraId="2D5EA4C2">
      <w:pPr>
        <w:spacing w:before="147" w:line="352" w:lineRule="auto"/>
        <w:ind w:left="18" w:right="6" w:firstLine="4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施工进度计划不符合合同要求或与工程的实际进度不一致的，承包人应向监理人提交 </w:t>
      </w:r>
      <w:r>
        <w:rPr>
          <w:rFonts w:ascii="宋体" w:hAnsi="宋体" w:eastAsia="宋体" w:cs="宋体"/>
          <w:color w:val="auto"/>
          <w:sz w:val="21"/>
          <w:szCs w:val="21"/>
          <w:highlight w:val="none"/>
        </w:rPr>
        <w:t>修订的施工进度计划， 并附具有关措施和相关资料，由监理人报送发包人。除专用合同条</w:t>
      </w:r>
      <w:r>
        <w:rPr>
          <w:rFonts w:ascii="宋体" w:hAnsi="宋体" w:eastAsia="宋体" w:cs="宋体"/>
          <w:color w:val="auto"/>
          <w:spacing w:val="6"/>
          <w:sz w:val="21"/>
          <w:szCs w:val="21"/>
          <w:highlight w:val="none"/>
        </w:rPr>
        <w:t xml:space="preserve"> </w:t>
      </w:r>
      <w:r>
        <w:rPr>
          <w:rFonts w:ascii="宋体" w:hAnsi="宋体" w:eastAsia="宋体" w:cs="宋体"/>
          <w:color w:val="auto"/>
          <w:sz w:val="21"/>
          <w:szCs w:val="21"/>
          <w:highlight w:val="none"/>
        </w:rPr>
        <w:t xml:space="preserve">款另有约定外，发包人和监理人应在收到修订的施工进度计划后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天内完成审核和批准或</w:t>
      </w:r>
    </w:p>
    <w:p w14:paraId="510DE132">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z w:val="21"/>
          <w:szCs w:val="21"/>
          <w:highlight w:val="none"/>
        </w:rPr>
        <w:t>提出修改意见。发包人和监理人对承包人提交的施工进度计划的确认， 不能减轻或免除承</w:t>
      </w:r>
    </w:p>
    <w:p w14:paraId="48DBE228">
      <w:pPr>
        <w:spacing w:before="151" w:line="221"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包人根据法律规定和合同约定应承担的任何责任或义务。</w:t>
      </w:r>
    </w:p>
    <w:p w14:paraId="712C0799">
      <w:pPr>
        <w:spacing w:before="47" w:line="222" w:lineRule="auto"/>
        <w:ind w:left="20"/>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7.3</w:t>
      </w:r>
      <w:r>
        <w:rPr>
          <w:rFonts w:ascii="黑体" w:hAnsi="黑体" w:eastAsia="黑体" w:cs="黑体"/>
          <w:color w:val="auto"/>
          <w:spacing w:val="15"/>
          <w:sz w:val="24"/>
          <w:szCs w:val="24"/>
          <w:highlight w:val="none"/>
        </w:rPr>
        <w:t xml:space="preserve"> </w:t>
      </w:r>
      <w:r>
        <w:rPr>
          <w:rFonts w:ascii="黑体" w:hAnsi="黑体" w:eastAsia="黑体" w:cs="黑体"/>
          <w:color w:val="auto"/>
          <w:spacing w:val="-4"/>
          <w:sz w:val="24"/>
          <w:szCs w:val="24"/>
          <w:highlight w:val="none"/>
        </w:rPr>
        <w:t>开工</w:t>
      </w:r>
    </w:p>
    <w:p w14:paraId="0E8FEA05">
      <w:pPr>
        <w:spacing w:before="125" w:line="222"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7.3.1 </w:t>
      </w:r>
      <w:r>
        <w:rPr>
          <w:rFonts w:ascii="宋体" w:hAnsi="宋体" w:eastAsia="宋体" w:cs="宋体"/>
          <w:color w:val="auto"/>
          <w:spacing w:val="-1"/>
          <w:sz w:val="21"/>
          <w:szCs w:val="21"/>
          <w:highlight w:val="none"/>
        </w:rPr>
        <w:t>开工准备</w:t>
      </w:r>
    </w:p>
    <w:p w14:paraId="04F5EAA1">
      <w:pPr>
        <w:spacing w:before="145" w:line="352" w:lineRule="auto"/>
        <w:ind w:left="19" w:right="11" w:firstLine="43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除专用合同条款另有约定外， 承包人应按照第</w:t>
      </w:r>
      <w:r>
        <w:rPr>
          <w:rFonts w:ascii="宋体" w:hAnsi="宋体" w:eastAsia="宋体" w:cs="宋体"/>
          <w:color w:val="auto"/>
          <w:spacing w:val="-56"/>
          <w:sz w:val="21"/>
          <w:szCs w:val="21"/>
          <w:highlight w:val="none"/>
        </w:rPr>
        <w:t xml:space="preserve"> </w:t>
      </w:r>
      <w:r>
        <w:rPr>
          <w:rFonts w:ascii="Times New Roman" w:hAnsi="Times New Roman" w:eastAsia="Times New Roman" w:cs="Times New Roman"/>
          <w:color w:val="auto"/>
          <w:spacing w:val="-4"/>
          <w:sz w:val="21"/>
          <w:szCs w:val="21"/>
          <w:highlight w:val="none"/>
        </w:rPr>
        <w:t>7.1</w:t>
      </w:r>
      <w:r>
        <w:rPr>
          <w:rFonts w:ascii="Times New Roman" w:hAnsi="Times New Roman" w:eastAsia="Times New Roman" w:cs="Times New Roman"/>
          <w:color w:val="auto"/>
          <w:spacing w:val="-15"/>
          <w:sz w:val="21"/>
          <w:szCs w:val="21"/>
          <w:highlight w:val="none"/>
        </w:rPr>
        <w:t xml:space="preserve"> </w:t>
      </w:r>
      <w:r>
        <w:rPr>
          <w:rFonts w:ascii="宋体" w:hAnsi="宋体" w:eastAsia="宋体" w:cs="宋体"/>
          <w:color w:val="auto"/>
          <w:spacing w:val="-4"/>
          <w:sz w:val="21"/>
          <w:szCs w:val="21"/>
          <w:highlight w:val="none"/>
        </w:rPr>
        <w:t>款〔施工组织设计〕约定的期限，向</w:t>
      </w:r>
      <w:r>
        <w:rPr>
          <w:rFonts w:ascii="宋体" w:hAnsi="宋体" w:eastAsia="宋体" w:cs="宋体"/>
          <w:color w:val="auto"/>
          <w:sz w:val="21"/>
          <w:szCs w:val="21"/>
          <w:highlight w:val="none"/>
        </w:rPr>
        <w:t xml:space="preserve"> 监理人提交工程开工报审表， 经监理人报发包人批准后执行。开工报审表应详细说明按施</w:t>
      </w:r>
      <w:r>
        <w:rPr>
          <w:rFonts w:ascii="宋体" w:hAnsi="宋体" w:eastAsia="宋体" w:cs="宋体"/>
          <w:color w:val="auto"/>
          <w:spacing w:val="6"/>
          <w:sz w:val="21"/>
          <w:szCs w:val="21"/>
          <w:highlight w:val="none"/>
        </w:rPr>
        <w:t xml:space="preserve"> </w:t>
      </w:r>
      <w:r>
        <w:rPr>
          <w:rFonts w:ascii="宋体" w:hAnsi="宋体" w:eastAsia="宋体" w:cs="宋体"/>
          <w:color w:val="auto"/>
          <w:spacing w:val="3"/>
          <w:sz w:val="21"/>
          <w:szCs w:val="21"/>
          <w:highlight w:val="none"/>
        </w:rPr>
        <w:t>工进度计划正常施工所需的施工道路、临时设施、材料、工程设备、施工设</w:t>
      </w:r>
      <w:r>
        <w:rPr>
          <w:rFonts w:ascii="宋体" w:hAnsi="宋体" w:eastAsia="宋体" w:cs="宋体"/>
          <w:color w:val="auto"/>
          <w:spacing w:val="2"/>
          <w:sz w:val="21"/>
          <w:szCs w:val="21"/>
          <w:highlight w:val="none"/>
        </w:rPr>
        <w:t>备、施工人员</w:t>
      </w:r>
    </w:p>
    <w:p w14:paraId="190030E0">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等落实情况以及工程的进度安排。</w:t>
      </w:r>
    </w:p>
    <w:p w14:paraId="691A1CCE">
      <w:pPr>
        <w:spacing w:before="147" w:line="221" w:lineRule="auto"/>
        <w:ind w:left="453"/>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除专用合同条款另有约定外， 合同当事人应按约定完成开工准备工作。</w:t>
      </w:r>
    </w:p>
    <w:p w14:paraId="23372E11">
      <w:pPr>
        <w:spacing w:before="152" w:line="222"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7.3.2 </w:t>
      </w:r>
      <w:r>
        <w:rPr>
          <w:rFonts w:ascii="宋体" w:hAnsi="宋体" w:eastAsia="宋体" w:cs="宋体"/>
          <w:color w:val="auto"/>
          <w:spacing w:val="-1"/>
          <w:sz w:val="21"/>
          <w:szCs w:val="21"/>
          <w:highlight w:val="none"/>
        </w:rPr>
        <w:t>开工通知</w:t>
      </w:r>
    </w:p>
    <w:p w14:paraId="5B0AE88B">
      <w:pPr>
        <w:spacing w:before="146" w:line="399" w:lineRule="exact"/>
        <w:ind w:right="6"/>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发包人应按照法律规定获得工程施工所需的许可。经发包人同意后， 监理人发出的开</w:t>
      </w:r>
    </w:p>
    <w:p w14:paraId="7C6B887B">
      <w:pPr>
        <w:spacing w:line="220" w:lineRule="auto"/>
        <w:ind w:right="2"/>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工通知应符合法律规定。监理人应在计划开</w:t>
      </w:r>
      <w:r>
        <w:rPr>
          <w:rFonts w:ascii="宋体" w:hAnsi="宋体" w:eastAsia="宋体" w:cs="宋体"/>
          <w:color w:val="auto"/>
          <w:sz w:val="21"/>
          <w:szCs w:val="21"/>
          <w:highlight w:val="none"/>
        </w:rPr>
        <w:t xml:space="preserve">工日期 </w:t>
      </w:r>
      <w:r>
        <w:rPr>
          <w:rFonts w:ascii="Times New Roman" w:hAnsi="Times New Roman" w:eastAsia="Times New Roman" w:cs="Times New Roman"/>
          <w:color w:val="auto"/>
          <w:sz w:val="21"/>
          <w:szCs w:val="21"/>
          <w:highlight w:val="none"/>
        </w:rPr>
        <w:t>7</w:t>
      </w:r>
      <w:r>
        <w:rPr>
          <w:rFonts w:ascii="Times New Roman" w:hAnsi="Times New Roman" w:eastAsia="Times New Roman" w:cs="Times New Roman"/>
          <w:color w:val="auto"/>
          <w:spacing w:val="47"/>
          <w:sz w:val="21"/>
          <w:szCs w:val="21"/>
          <w:highlight w:val="none"/>
        </w:rPr>
        <w:t xml:space="preserve"> </w:t>
      </w:r>
      <w:r>
        <w:rPr>
          <w:rFonts w:ascii="宋体" w:hAnsi="宋体" w:eastAsia="宋体" w:cs="宋体"/>
          <w:color w:val="auto"/>
          <w:sz w:val="21"/>
          <w:szCs w:val="21"/>
          <w:highlight w:val="none"/>
        </w:rPr>
        <w:t>天前向承包人发出开工通知，工期自</w:t>
      </w:r>
    </w:p>
    <w:p w14:paraId="49CC7086">
      <w:pPr>
        <w:spacing w:line="220" w:lineRule="auto"/>
        <w:rPr>
          <w:rFonts w:ascii="宋体" w:hAnsi="宋体" w:eastAsia="宋体" w:cs="宋体"/>
          <w:color w:val="auto"/>
          <w:sz w:val="21"/>
          <w:szCs w:val="21"/>
          <w:highlight w:val="none"/>
        </w:rPr>
        <w:sectPr>
          <w:footerReference r:id="rId120" w:type="default"/>
          <w:pgSz w:w="11905" w:h="16839"/>
          <w:pgMar w:top="1431" w:right="1785" w:bottom="1004" w:left="1785" w:header="0" w:footer="829" w:gutter="0"/>
          <w:pgNumType w:fmt="decimal"/>
          <w:cols w:space="720" w:num="1"/>
        </w:sectPr>
      </w:pPr>
    </w:p>
    <w:p w14:paraId="3DE9E4FF">
      <w:pPr>
        <w:spacing w:before="148" w:line="221"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开工通知中载明的开工日期起算。</w:t>
      </w:r>
    </w:p>
    <w:p w14:paraId="6ACE5CD3">
      <w:pPr>
        <w:spacing w:before="147" w:line="403" w:lineRule="exact"/>
        <w:ind w:left="453"/>
        <w:rPr>
          <w:rFonts w:ascii="Times New Roman" w:hAnsi="Times New Roman" w:eastAsia="Times New Roman" w:cs="Times New Roman"/>
          <w:color w:val="auto"/>
          <w:sz w:val="21"/>
          <w:szCs w:val="21"/>
          <w:highlight w:val="none"/>
        </w:rPr>
      </w:pPr>
      <w:r>
        <w:rPr>
          <w:rFonts w:ascii="宋体" w:hAnsi="宋体" w:eastAsia="宋体" w:cs="宋体"/>
          <w:color w:val="auto"/>
          <w:position w:val="14"/>
          <w:sz w:val="21"/>
          <w:szCs w:val="21"/>
          <w:highlight w:val="none"/>
        </w:rPr>
        <w:t xml:space="preserve">除专用合同条款另有约定外，因发包人原因造成监理人未能在计划开工日期之日起 </w:t>
      </w:r>
      <w:r>
        <w:rPr>
          <w:rFonts w:ascii="Times New Roman" w:hAnsi="Times New Roman" w:eastAsia="Times New Roman" w:cs="Times New Roman"/>
          <w:color w:val="auto"/>
          <w:position w:val="14"/>
          <w:sz w:val="21"/>
          <w:szCs w:val="21"/>
          <w:highlight w:val="none"/>
        </w:rPr>
        <w:t>90</w:t>
      </w:r>
    </w:p>
    <w:p w14:paraId="29194900">
      <w:pPr>
        <w:spacing w:line="219" w:lineRule="auto"/>
        <w:ind w:left="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天内发出开工通知的， 承包人有权提出价格调整要求，</w:t>
      </w:r>
      <w:r>
        <w:rPr>
          <w:rFonts w:ascii="宋体" w:hAnsi="宋体" w:eastAsia="宋体" w:cs="宋体"/>
          <w:color w:val="auto"/>
          <w:spacing w:val="27"/>
          <w:sz w:val="21"/>
          <w:szCs w:val="21"/>
          <w:highlight w:val="none"/>
        </w:rPr>
        <w:t xml:space="preserve"> </w:t>
      </w:r>
      <w:r>
        <w:rPr>
          <w:rFonts w:ascii="宋体" w:hAnsi="宋体" w:eastAsia="宋体" w:cs="宋体"/>
          <w:color w:val="auto"/>
          <w:spacing w:val="-3"/>
          <w:sz w:val="21"/>
          <w:szCs w:val="21"/>
          <w:highlight w:val="none"/>
        </w:rPr>
        <w:t>或者解除合</w:t>
      </w:r>
      <w:r>
        <w:rPr>
          <w:rFonts w:ascii="宋体" w:hAnsi="宋体" w:eastAsia="宋体" w:cs="宋体"/>
          <w:color w:val="auto"/>
          <w:spacing w:val="-4"/>
          <w:sz w:val="21"/>
          <w:szCs w:val="21"/>
          <w:highlight w:val="none"/>
        </w:rPr>
        <w:t>同。发包人应当承担由</w:t>
      </w:r>
    </w:p>
    <w:p w14:paraId="5938B759">
      <w:pPr>
        <w:spacing w:before="149" w:line="221"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此增加的费用和（或）延误的工期，并向承包人支付合理</w:t>
      </w:r>
      <w:r>
        <w:rPr>
          <w:rFonts w:ascii="宋体" w:hAnsi="宋体" w:eastAsia="宋体" w:cs="宋体"/>
          <w:color w:val="auto"/>
          <w:spacing w:val="-2"/>
          <w:sz w:val="21"/>
          <w:szCs w:val="21"/>
          <w:highlight w:val="none"/>
        </w:rPr>
        <w:t>利润。</w:t>
      </w:r>
    </w:p>
    <w:p w14:paraId="72E68327">
      <w:pPr>
        <w:spacing w:before="45" w:line="217" w:lineRule="auto"/>
        <w:ind w:left="20"/>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7.4</w:t>
      </w:r>
      <w:r>
        <w:rPr>
          <w:rFonts w:ascii="黑体" w:hAnsi="黑体" w:eastAsia="黑体" w:cs="黑体"/>
          <w:color w:val="auto"/>
          <w:spacing w:val="-51"/>
          <w:sz w:val="24"/>
          <w:szCs w:val="24"/>
          <w:highlight w:val="none"/>
        </w:rPr>
        <w:t xml:space="preserve"> </w:t>
      </w:r>
      <w:r>
        <w:rPr>
          <w:rFonts w:ascii="黑体" w:hAnsi="黑体" w:eastAsia="黑体" w:cs="黑体"/>
          <w:color w:val="auto"/>
          <w:spacing w:val="-3"/>
          <w:sz w:val="24"/>
          <w:szCs w:val="24"/>
          <w:highlight w:val="none"/>
        </w:rPr>
        <w:t>测量放线</w:t>
      </w:r>
    </w:p>
    <w:p w14:paraId="7A4F87E3">
      <w:pPr>
        <w:spacing w:before="131" w:line="352" w:lineRule="auto"/>
        <w:ind w:left="21" w:firstLine="419"/>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7.4.1 </w:t>
      </w:r>
      <w:r>
        <w:rPr>
          <w:rFonts w:ascii="宋体" w:hAnsi="宋体" w:eastAsia="宋体" w:cs="宋体"/>
          <w:color w:val="auto"/>
          <w:spacing w:val="-1"/>
          <w:sz w:val="21"/>
          <w:szCs w:val="21"/>
          <w:highlight w:val="none"/>
        </w:rPr>
        <w:t>除专用合同条款另有约定外，发包人应在至迟不得晚于第</w:t>
      </w:r>
      <w:r>
        <w:rPr>
          <w:rFonts w:ascii="宋体" w:hAnsi="宋体" w:eastAsia="宋体" w:cs="宋体"/>
          <w:color w:val="auto"/>
          <w:spacing w:val="-52"/>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7.3.2 </w:t>
      </w:r>
      <w:r>
        <w:rPr>
          <w:rFonts w:ascii="宋体" w:hAnsi="宋体" w:eastAsia="宋体" w:cs="宋体"/>
          <w:color w:val="auto"/>
          <w:spacing w:val="-1"/>
          <w:sz w:val="21"/>
          <w:szCs w:val="21"/>
          <w:highlight w:val="none"/>
        </w:rPr>
        <w:t>项</w:t>
      </w:r>
      <w:r>
        <w:rPr>
          <w:rFonts w:ascii="宋体" w:hAnsi="宋体" w:eastAsia="宋体" w:cs="宋体"/>
          <w:color w:val="auto"/>
          <w:spacing w:val="-2"/>
          <w:sz w:val="21"/>
          <w:szCs w:val="21"/>
          <w:highlight w:val="none"/>
        </w:rPr>
        <w:t xml:space="preserve">〔开工通知〕载  </w:t>
      </w:r>
      <w:r>
        <w:rPr>
          <w:rFonts w:ascii="宋体" w:hAnsi="宋体" w:eastAsia="宋体" w:cs="宋体"/>
          <w:color w:val="auto"/>
          <w:sz w:val="21"/>
          <w:szCs w:val="21"/>
          <w:highlight w:val="none"/>
        </w:rPr>
        <w:t xml:space="preserve">明的开工日期前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天通过监理人向承</w:t>
      </w:r>
      <w:r>
        <w:rPr>
          <w:rFonts w:ascii="宋体" w:hAnsi="宋体" w:eastAsia="宋体" w:cs="宋体"/>
          <w:color w:val="auto"/>
          <w:spacing w:val="-1"/>
          <w:sz w:val="21"/>
          <w:szCs w:val="21"/>
          <w:highlight w:val="none"/>
        </w:rPr>
        <w:t>包人提供测量基准点、基准线和水准点及其书面资料。</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发包人应对其提供的测量基准点、基准线和水准点及其书面资料的真</w:t>
      </w:r>
      <w:r>
        <w:rPr>
          <w:rFonts w:ascii="宋体" w:hAnsi="宋体" w:eastAsia="宋体" w:cs="宋体"/>
          <w:color w:val="auto"/>
          <w:spacing w:val="2"/>
          <w:sz w:val="21"/>
          <w:szCs w:val="21"/>
          <w:highlight w:val="none"/>
        </w:rPr>
        <w:t>实性、准确性和完整</w:t>
      </w:r>
    </w:p>
    <w:p w14:paraId="28BA74B0">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性负责。</w:t>
      </w:r>
    </w:p>
    <w:p w14:paraId="116EB29D">
      <w:pPr>
        <w:spacing w:before="153" w:line="350" w:lineRule="auto"/>
        <w:ind w:left="35" w:right="178" w:firstLine="40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承包人发现发包人提供的测量基准点、基准线和水准点及其书面资料存在错误或疏漏 </w:t>
      </w:r>
      <w:r>
        <w:rPr>
          <w:rFonts w:ascii="宋体" w:hAnsi="宋体" w:eastAsia="宋体" w:cs="宋体"/>
          <w:color w:val="auto"/>
          <w:spacing w:val="2"/>
          <w:sz w:val="21"/>
          <w:szCs w:val="21"/>
          <w:highlight w:val="none"/>
        </w:rPr>
        <w:t>的，应及时通知监理人。监理人应及时报告发包人，并会同发包人和承包人予以核实。发</w:t>
      </w:r>
    </w:p>
    <w:p w14:paraId="3752F73C">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包人应就如何处理和是否继续施工作出决定，并通知监理人和承包人。</w:t>
      </w:r>
    </w:p>
    <w:p w14:paraId="07DACF23">
      <w:pPr>
        <w:spacing w:before="154" w:line="350" w:lineRule="auto"/>
        <w:ind w:left="19" w:right="183" w:firstLine="421"/>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7.4.2</w:t>
      </w:r>
      <w:r>
        <w:rPr>
          <w:rFonts w:ascii="Times New Roman" w:hAnsi="Times New Roman" w:eastAsia="Times New Roman" w:cs="Times New Roman"/>
          <w:color w:val="auto"/>
          <w:spacing w:val="32"/>
          <w:w w:val="101"/>
          <w:sz w:val="21"/>
          <w:szCs w:val="21"/>
          <w:highlight w:val="none"/>
        </w:rPr>
        <w:t xml:space="preserve"> </w:t>
      </w:r>
      <w:r>
        <w:rPr>
          <w:rFonts w:ascii="宋体" w:hAnsi="宋体" w:eastAsia="宋体" w:cs="宋体"/>
          <w:color w:val="auto"/>
          <w:sz w:val="21"/>
          <w:szCs w:val="21"/>
          <w:highlight w:val="none"/>
        </w:rPr>
        <w:t>承包人负责施工过程中的全部施工测量放线工作，并配置具有相应资质</w:t>
      </w:r>
      <w:r>
        <w:rPr>
          <w:rFonts w:ascii="宋体" w:hAnsi="宋体" w:eastAsia="宋体" w:cs="宋体"/>
          <w:color w:val="auto"/>
          <w:spacing w:val="-1"/>
          <w:sz w:val="21"/>
          <w:szCs w:val="21"/>
          <w:highlight w:val="none"/>
        </w:rPr>
        <w:t>的人员、</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合格的仪器、设备和其他物品。承包人应矫正工程的位置、标高、尺寸或准</w:t>
      </w:r>
      <w:r>
        <w:rPr>
          <w:rFonts w:ascii="宋体" w:hAnsi="宋体" w:eastAsia="宋体" w:cs="宋体"/>
          <w:color w:val="auto"/>
          <w:spacing w:val="2"/>
          <w:sz w:val="21"/>
          <w:szCs w:val="21"/>
          <w:highlight w:val="none"/>
        </w:rPr>
        <w:t>线中出现的任</w:t>
      </w:r>
    </w:p>
    <w:p w14:paraId="12C21346">
      <w:pPr>
        <w:spacing w:line="220" w:lineRule="auto"/>
        <w:ind w:left="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何差错，并对工程各部分的定位负责。</w:t>
      </w:r>
    </w:p>
    <w:p w14:paraId="5D26271D">
      <w:pPr>
        <w:spacing w:before="152" w:line="221" w:lineRule="auto"/>
        <w:ind w:left="44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施工过程中对施工现场内水准点等测量标志物的保护工作由承包人负责。</w:t>
      </w:r>
    </w:p>
    <w:p w14:paraId="7EF54A11">
      <w:pPr>
        <w:spacing w:before="46" w:line="219" w:lineRule="auto"/>
        <w:ind w:left="20"/>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7.5 工期延误</w:t>
      </w:r>
    </w:p>
    <w:p w14:paraId="7BD3349F">
      <w:pPr>
        <w:spacing w:before="130"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7.5.1</w:t>
      </w:r>
      <w:r>
        <w:rPr>
          <w:rFonts w:ascii="Times New Roman" w:hAnsi="Times New Roman" w:eastAsia="Times New Roman" w:cs="Times New Roman"/>
          <w:color w:val="auto"/>
          <w:spacing w:val="31"/>
          <w:sz w:val="21"/>
          <w:szCs w:val="21"/>
          <w:highlight w:val="none"/>
        </w:rPr>
        <w:t xml:space="preserve"> </w:t>
      </w:r>
      <w:r>
        <w:rPr>
          <w:rFonts w:ascii="宋体" w:hAnsi="宋体" w:eastAsia="宋体" w:cs="宋体"/>
          <w:color w:val="auto"/>
          <w:spacing w:val="-2"/>
          <w:sz w:val="21"/>
          <w:szCs w:val="21"/>
          <w:highlight w:val="none"/>
        </w:rPr>
        <w:t>因发包人原因导致工期延误</w:t>
      </w:r>
    </w:p>
    <w:p w14:paraId="6EDDE4E7">
      <w:pPr>
        <w:spacing w:before="146" w:line="221" w:lineRule="auto"/>
        <w:ind w:left="44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在合同履行过程中，因下列情况导致工期延误和</w:t>
      </w:r>
      <w:r>
        <w:rPr>
          <w:rFonts w:ascii="宋体" w:hAnsi="宋体" w:eastAsia="宋体" w:cs="宋体"/>
          <w:color w:val="auto"/>
          <w:spacing w:val="-3"/>
          <w:sz w:val="21"/>
          <w:szCs w:val="21"/>
          <w:highlight w:val="none"/>
        </w:rPr>
        <w:t>（或） 费用增加的， 由发包人承担由</w:t>
      </w:r>
    </w:p>
    <w:p w14:paraId="10565F86">
      <w:pPr>
        <w:spacing w:before="147" w:line="221"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此延误的工期和（或）增加的费用，且发包人应</w:t>
      </w:r>
      <w:r>
        <w:rPr>
          <w:rFonts w:ascii="宋体" w:hAnsi="宋体" w:eastAsia="宋体" w:cs="宋体"/>
          <w:color w:val="auto"/>
          <w:spacing w:val="-2"/>
          <w:sz w:val="21"/>
          <w:szCs w:val="21"/>
          <w:highlight w:val="none"/>
        </w:rPr>
        <w:t>支付承包人合理的利润：</w:t>
      </w:r>
    </w:p>
    <w:p w14:paraId="01C4E301">
      <w:pPr>
        <w:spacing w:before="152"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）发包人未能按合同约定提供图纸或所提供图纸不符合合同约定的；</w:t>
      </w:r>
    </w:p>
    <w:p w14:paraId="2263F171">
      <w:pPr>
        <w:spacing w:before="149" w:line="220" w:lineRule="auto"/>
        <w:ind w:left="447"/>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）发包人未能按合同约定提供施工现场、施工条件、基础资料、许可、</w:t>
      </w:r>
      <w:r>
        <w:rPr>
          <w:rFonts w:ascii="宋体" w:hAnsi="宋体" w:eastAsia="宋体" w:cs="宋体"/>
          <w:color w:val="auto"/>
          <w:spacing w:val="-1"/>
          <w:sz w:val="21"/>
          <w:szCs w:val="21"/>
          <w:highlight w:val="none"/>
        </w:rPr>
        <w:t>批准等开工</w:t>
      </w:r>
    </w:p>
    <w:p w14:paraId="618D380D">
      <w:pPr>
        <w:spacing w:before="147" w:line="221" w:lineRule="auto"/>
        <w:ind w:left="20"/>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条件的；</w:t>
      </w:r>
    </w:p>
    <w:p w14:paraId="10A6B144">
      <w:pPr>
        <w:spacing w:before="153" w:line="398"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）发包人提供的测量基准点、基准线和水准点及其书</w:t>
      </w:r>
      <w:r>
        <w:rPr>
          <w:rFonts w:ascii="宋体" w:hAnsi="宋体" w:eastAsia="宋体" w:cs="宋体"/>
          <w:color w:val="auto"/>
          <w:spacing w:val="-1"/>
          <w:position w:val="14"/>
          <w:sz w:val="21"/>
          <w:szCs w:val="21"/>
          <w:highlight w:val="none"/>
        </w:rPr>
        <w:t>面资料存在错误或疏漏的；</w:t>
      </w:r>
    </w:p>
    <w:p w14:paraId="017B1A1A">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4</w:t>
      </w:r>
      <w:r>
        <w:rPr>
          <w:rFonts w:ascii="宋体" w:hAnsi="宋体" w:eastAsia="宋体" w:cs="宋体"/>
          <w:color w:val="auto"/>
          <w:spacing w:val="-2"/>
          <w:sz w:val="21"/>
          <w:szCs w:val="21"/>
          <w:highlight w:val="none"/>
        </w:rPr>
        <w:t>）发包人未能在计划开工日期之日起</w:t>
      </w:r>
      <w:r>
        <w:rPr>
          <w:rFonts w:ascii="宋体" w:hAnsi="宋体" w:eastAsia="宋体" w:cs="宋体"/>
          <w:color w:val="auto"/>
          <w:spacing w:val="-43"/>
          <w:sz w:val="21"/>
          <w:szCs w:val="21"/>
          <w:highlight w:val="none"/>
        </w:rPr>
        <w:t xml:space="preserve"> </w:t>
      </w:r>
      <w:r>
        <w:rPr>
          <w:rFonts w:ascii="Times New Roman" w:hAnsi="Times New Roman" w:eastAsia="Times New Roman" w:cs="Times New Roman"/>
          <w:color w:val="auto"/>
          <w:spacing w:val="-2"/>
          <w:sz w:val="21"/>
          <w:szCs w:val="21"/>
          <w:highlight w:val="none"/>
        </w:rPr>
        <w:t xml:space="preserve">7 </w:t>
      </w:r>
      <w:r>
        <w:rPr>
          <w:rFonts w:ascii="宋体" w:hAnsi="宋体" w:eastAsia="宋体" w:cs="宋体"/>
          <w:color w:val="auto"/>
          <w:spacing w:val="-2"/>
          <w:sz w:val="21"/>
          <w:szCs w:val="21"/>
          <w:highlight w:val="none"/>
        </w:rPr>
        <w:t>天内同意下达开工通知的；</w:t>
      </w:r>
    </w:p>
    <w:p w14:paraId="52CFAA2B">
      <w:pPr>
        <w:spacing w:before="148" w:line="403"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5</w:t>
      </w:r>
      <w:r>
        <w:rPr>
          <w:rFonts w:ascii="宋体" w:hAnsi="宋体" w:eastAsia="宋体" w:cs="宋体"/>
          <w:color w:val="auto"/>
          <w:spacing w:val="-1"/>
          <w:position w:val="14"/>
          <w:sz w:val="21"/>
          <w:szCs w:val="21"/>
          <w:highlight w:val="none"/>
        </w:rPr>
        <w:t>）发包人未能按合同约定日期支付工程预付款、进度款或竣工结</w:t>
      </w:r>
      <w:r>
        <w:rPr>
          <w:rFonts w:ascii="宋体" w:hAnsi="宋体" w:eastAsia="宋体" w:cs="宋体"/>
          <w:color w:val="auto"/>
          <w:spacing w:val="-2"/>
          <w:position w:val="14"/>
          <w:sz w:val="21"/>
          <w:szCs w:val="21"/>
          <w:highlight w:val="none"/>
        </w:rPr>
        <w:t>算款的；</w:t>
      </w:r>
    </w:p>
    <w:p w14:paraId="39F593EF">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6</w:t>
      </w:r>
      <w:r>
        <w:rPr>
          <w:rFonts w:ascii="宋体" w:hAnsi="宋体" w:eastAsia="宋体" w:cs="宋体"/>
          <w:color w:val="auto"/>
          <w:spacing w:val="-1"/>
          <w:sz w:val="21"/>
          <w:szCs w:val="21"/>
          <w:highlight w:val="none"/>
        </w:rPr>
        <w:t>）监理人未按合同约定发出指示、批准等文件的；</w:t>
      </w:r>
    </w:p>
    <w:p w14:paraId="204534C0">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7</w:t>
      </w:r>
      <w:r>
        <w:rPr>
          <w:rFonts w:ascii="宋体" w:hAnsi="宋体" w:eastAsia="宋体" w:cs="宋体"/>
          <w:color w:val="auto"/>
          <w:spacing w:val="-2"/>
          <w:sz w:val="21"/>
          <w:szCs w:val="21"/>
          <w:highlight w:val="none"/>
        </w:rPr>
        <w:t>）专用合同条款中约定的其他情形。</w:t>
      </w:r>
    </w:p>
    <w:p w14:paraId="27DA3186">
      <w:pPr>
        <w:spacing w:before="146" w:line="353" w:lineRule="auto"/>
        <w:ind w:left="19" w:right="178" w:firstLine="438"/>
        <w:rPr>
          <w:rFonts w:ascii="宋体" w:hAnsi="宋体" w:eastAsia="宋体" w:cs="宋体"/>
          <w:color w:val="auto"/>
          <w:sz w:val="21"/>
          <w:szCs w:val="21"/>
          <w:highlight w:val="none"/>
        </w:rPr>
      </w:pPr>
      <w:r>
        <w:rPr>
          <w:rFonts w:ascii="宋体" w:hAnsi="宋体" w:eastAsia="宋体" w:cs="宋体"/>
          <w:color w:val="auto"/>
          <w:sz w:val="21"/>
          <w:szCs w:val="21"/>
          <w:highlight w:val="none"/>
        </w:rPr>
        <w:t>因发包人原因未按计划开工日期开工的， 发包人应按实际开工日期</w:t>
      </w:r>
      <w:r>
        <w:rPr>
          <w:rFonts w:ascii="宋体" w:hAnsi="宋体" w:eastAsia="宋体" w:cs="宋体"/>
          <w:color w:val="auto"/>
          <w:spacing w:val="-1"/>
          <w:sz w:val="21"/>
          <w:szCs w:val="21"/>
          <w:highlight w:val="none"/>
        </w:rPr>
        <w:t>顺延竣工日期，确</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保实际工期不低于合同约定的工期总日历天数。因发包人原因导致工期延误</w:t>
      </w:r>
      <w:r>
        <w:rPr>
          <w:rFonts w:ascii="宋体" w:hAnsi="宋体" w:eastAsia="宋体" w:cs="宋体"/>
          <w:color w:val="auto"/>
          <w:spacing w:val="2"/>
          <w:sz w:val="21"/>
          <w:szCs w:val="21"/>
          <w:highlight w:val="none"/>
        </w:rPr>
        <w:t>需要修订施工</w:t>
      </w:r>
    </w:p>
    <w:p w14:paraId="2D9C4AA1">
      <w:pPr>
        <w:spacing w:before="1" w:line="220" w:lineRule="auto"/>
        <w:ind w:left="1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进度计划的，按照第</w:t>
      </w:r>
      <w:r>
        <w:rPr>
          <w:rFonts w:ascii="宋体" w:hAnsi="宋体" w:eastAsia="宋体" w:cs="宋体"/>
          <w:color w:val="auto"/>
          <w:spacing w:val="-24"/>
          <w:sz w:val="21"/>
          <w:szCs w:val="21"/>
          <w:highlight w:val="none"/>
        </w:rPr>
        <w:t xml:space="preserve"> </w:t>
      </w:r>
      <w:r>
        <w:rPr>
          <w:rFonts w:ascii="Times New Roman" w:hAnsi="Times New Roman" w:eastAsia="Times New Roman" w:cs="Times New Roman"/>
          <w:color w:val="auto"/>
          <w:spacing w:val="-2"/>
          <w:sz w:val="21"/>
          <w:szCs w:val="21"/>
          <w:highlight w:val="none"/>
        </w:rPr>
        <w:t xml:space="preserve">7.2.2 </w:t>
      </w:r>
      <w:r>
        <w:rPr>
          <w:rFonts w:ascii="宋体" w:hAnsi="宋体" w:eastAsia="宋体" w:cs="宋体"/>
          <w:color w:val="auto"/>
          <w:spacing w:val="-2"/>
          <w:sz w:val="21"/>
          <w:szCs w:val="21"/>
          <w:highlight w:val="none"/>
        </w:rPr>
        <w:t>项〔施工进度计划的修订〕执行。</w:t>
      </w:r>
    </w:p>
    <w:p w14:paraId="2705250A">
      <w:pPr>
        <w:spacing w:before="147"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7.5.2</w:t>
      </w:r>
      <w:r>
        <w:rPr>
          <w:rFonts w:ascii="Times New Roman" w:hAnsi="Times New Roman" w:eastAsia="Times New Roman" w:cs="Times New Roman"/>
          <w:color w:val="auto"/>
          <w:spacing w:val="31"/>
          <w:sz w:val="21"/>
          <w:szCs w:val="21"/>
          <w:highlight w:val="none"/>
        </w:rPr>
        <w:t xml:space="preserve"> </w:t>
      </w:r>
      <w:r>
        <w:rPr>
          <w:rFonts w:ascii="宋体" w:hAnsi="宋体" w:eastAsia="宋体" w:cs="宋体"/>
          <w:color w:val="auto"/>
          <w:spacing w:val="-2"/>
          <w:sz w:val="21"/>
          <w:szCs w:val="21"/>
          <w:highlight w:val="none"/>
        </w:rPr>
        <w:t>因承包人原因导致工期延误</w:t>
      </w:r>
    </w:p>
    <w:p w14:paraId="19939308">
      <w:pPr>
        <w:spacing w:before="153" w:line="350" w:lineRule="auto"/>
        <w:ind w:left="19" w:right="178" w:firstLine="438"/>
        <w:rPr>
          <w:rFonts w:ascii="宋体" w:hAnsi="宋体" w:eastAsia="宋体" w:cs="宋体"/>
          <w:color w:val="auto"/>
          <w:sz w:val="21"/>
          <w:szCs w:val="21"/>
          <w:highlight w:val="none"/>
        </w:rPr>
      </w:pPr>
      <w:r>
        <w:rPr>
          <w:rFonts w:ascii="宋体" w:hAnsi="宋体" w:eastAsia="宋体" w:cs="宋体"/>
          <w:color w:val="auto"/>
          <w:sz w:val="21"/>
          <w:szCs w:val="21"/>
          <w:highlight w:val="none"/>
        </w:rPr>
        <w:t>因承包人原因造成工期延误的， 可以在专用合同条款中约定逾期竣</w:t>
      </w:r>
      <w:r>
        <w:rPr>
          <w:rFonts w:ascii="宋体" w:hAnsi="宋体" w:eastAsia="宋体" w:cs="宋体"/>
          <w:color w:val="auto"/>
          <w:spacing w:val="-1"/>
          <w:sz w:val="21"/>
          <w:szCs w:val="21"/>
          <w:highlight w:val="none"/>
        </w:rPr>
        <w:t>工违约金的计算方</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法和逾期竣工违约金的上限。承包人支付逾期竣工违约金后，不免除承包人</w:t>
      </w:r>
      <w:r>
        <w:rPr>
          <w:rFonts w:ascii="宋体" w:hAnsi="宋体" w:eastAsia="宋体" w:cs="宋体"/>
          <w:color w:val="auto"/>
          <w:spacing w:val="2"/>
          <w:sz w:val="21"/>
          <w:szCs w:val="21"/>
          <w:highlight w:val="none"/>
        </w:rPr>
        <w:t>继续完成工程</w:t>
      </w:r>
    </w:p>
    <w:p w14:paraId="1E91A4E5">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及修补缺陷的义务。</w:t>
      </w:r>
    </w:p>
    <w:p w14:paraId="382BE771">
      <w:pPr>
        <w:spacing w:line="220" w:lineRule="auto"/>
        <w:rPr>
          <w:rFonts w:ascii="宋体" w:hAnsi="宋体" w:eastAsia="宋体" w:cs="宋体"/>
          <w:color w:val="auto"/>
          <w:sz w:val="21"/>
          <w:szCs w:val="21"/>
          <w:highlight w:val="none"/>
        </w:rPr>
        <w:sectPr>
          <w:footerReference r:id="rId121" w:type="default"/>
          <w:pgSz w:w="11905" w:h="16839"/>
          <w:pgMar w:top="1431" w:right="1613" w:bottom="1004" w:left="1785" w:header="0" w:footer="828" w:gutter="0"/>
          <w:pgNumType w:fmt="decimal"/>
          <w:cols w:space="720" w:num="1"/>
        </w:sectPr>
      </w:pPr>
    </w:p>
    <w:p w14:paraId="4233CCD2">
      <w:pPr>
        <w:spacing w:before="47" w:line="219" w:lineRule="auto"/>
        <w:ind w:left="20"/>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7.6 不利物质条件</w:t>
      </w:r>
    </w:p>
    <w:p w14:paraId="1E60000A">
      <w:pPr>
        <w:spacing w:before="128" w:line="353" w:lineRule="auto"/>
        <w:ind w:left="19" w:right="180" w:firstLine="42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不利物质条件是指有经验的承包人在施工现场遇到的不可预见的自然物质条件、非自</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然的物质障碍和污染物，包括地表以下物质条件和水文条件以及专用合同条</w:t>
      </w:r>
      <w:r>
        <w:rPr>
          <w:rFonts w:ascii="宋体" w:hAnsi="宋体" w:eastAsia="宋体" w:cs="宋体"/>
          <w:color w:val="auto"/>
          <w:spacing w:val="2"/>
          <w:sz w:val="21"/>
          <w:szCs w:val="21"/>
          <w:highlight w:val="none"/>
        </w:rPr>
        <w:t>款约定的其他</w:t>
      </w:r>
    </w:p>
    <w:p w14:paraId="1FE7B684">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情形，但不包括气候条件。</w:t>
      </w:r>
    </w:p>
    <w:p w14:paraId="4F3C155D">
      <w:pPr>
        <w:spacing w:before="147" w:line="398" w:lineRule="exact"/>
        <w:ind w:left="441"/>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承包人遇到不利物质条件时，应采取克服不利物质条件的合理措施继续施工，并及时</w:t>
      </w:r>
    </w:p>
    <w:p w14:paraId="7995F10F">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通知发包人和监理人。通知应载明不利物质条件的内容以及承包</w:t>
      </w:r>
      <w:r>
        <w:rPr>
          <w:rFonts w:ascii="宋体" w:hAnsi="宋体" w:eastAsia="宋体" w:cs="宋体"/>
          <w:color w:val="auto"/>
          <w:spacing w:val="2"/>
          <w:sz w:val="21"/>
          <w:szCs w:val="21"/>
          <w:highlight w:val="none"/>
        </w:rPr>
        <w:t>人认为不可预见的理由。</w:t>
      </w:r>
    </w:p>
    <w:p w14:paraId="7851A950">
      <w:pPr>
        <w:spacing w:before="151" w:line="221" w:lineRule="auto"/>
        <w:jc w:val="right"/>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 xml:space="preserve">监理人经发包人同意后应当及时发出指示，指示构成变更的，按第 </w:t>
      </w:r>
      <w:r>
        <w:rPr>
          <w:rFonts w:ascii="Times New Roman" w:hAnsi="Times New Roman" w:eastAsia="Times New Roman" w:cs="Times New Roman"/>
          <w:color w:val="auto"/>
          <w:spacing w:val="-2"/>
          <w:sz w:val="21"/>
          <w:szCs w:val="21"/>
          <w:highlight w:val="none"/>
        </w:rPr>
        <w:t xml:space="preserve">10 </w:t>
      </w:r>
      <w:r>
        <w:rPr>
          <w:rFonts w:ascii="宋体" w:hAnsi="宋体" w:eastAsia="宋体" w:cs="宋体"/>
          <w:color w:val="auto"/>
          <w:spacing w:val="-2"/>
          <w:sz w:val="21"/>
          <w:szCs w:val="21"/>
          <w:highlight w:val="none"/>
        </w:rPr>
        <w:t>条〔变更〕约定执行。</w:t>
      </w:r>
    </w:p>
    <w:p w14:paraId="5510B73D">
      <w:pPr>
        <w:spacing w:before="148"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承包人因采取合理措施而增加的费用和（或）延误的工期由发包人承担。</w:t>
      </w:r>
    </w:p>
    <w:p w14:paraId="4957FBC1">
      <w:pPr>
        <w:spacing w:before="47" w:line="218" w:lineRule="auto"/>
        <w:ind w:left="20"/>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7.7 异常恶劣的气候条件</w:t>
      </w:r>
    </w:p>
    <w:p w14:paraId="148CAAC3">
      <w:pPr>
        <w:spacing w:before="131" w:line="352" w:lineRule="auto"/>
        <w:ind w:left="21" w:right="180" w:firstLine="42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异常恶劣的气候条件是指在施工过程中遇到的， 有经验的承包人在签订合同时不可预</w:t>
      </w:r>
      <w:r>
        <w:rPr>
          <w:rFonts w:ascii="宋体" w:hAnsi="宋体" w:eastAsia="宋体" w:cs="宋体"/>
          <w:color w:val="auto"/>
          <w:spacing w:val="6"/>
          <w:sz w:val="21"/>
          <w:szCs w:val="21"/>
          <w:highlight w:val="none"/>
        </w:rPr>
        <w:t xml:space="preserve"> </w:t>
      </w:r>
      <w:r>
        <w:rPr>
          <w:rFonts w:ascii="宋体" w:hAnsi="宋体" w:eastAsia="宋体" w:cs="宋体"/>
          <w:color w:val="auto"/>
          <w:sz w:val="21"/>
          <w:szCs w:val="21"/>
          <w:highlight w:val="none"/>
        </w:rPr>
        <w:t>见的， 对合同履行造成实质性影响的，但尚未构成不可抗力事件的恶劣气候条件。合同当</w:t>
      </w:r>
    </w:p>
    <w:p w14:paraId="44BFDA5B">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rPr>
        <w:t>事人可以在专用合同条款中约定异常恶劣的气候条件的</w:t>
      </w:r>
      <w:r>
        <w:rPr>
          <w:rFonts w:ascii="宋体" w:hAnsi="宋体" w:eastAsia="宋体" w:cs="宋体"/>
          <w:color w:val="auto"/>
          <w:spacing w:val="-1"/>
          <w:sz w:val="21"/>
          <w:szCs w:val="21"/>
          <w:highlight w:val="none"/>
        </w:rPr>
        <w:t>具体情形。</w:t>
      </w:r>
    </w:p>
    <w:p w14:paraId="54C2E081">
      <w:pPr>
        <w:spacing w:before="148" w:line="398" w:lineRule="exact"/>
        <w:ind w:left="441"/>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承包人应采取克服异常恶劣的气候条件的合理措施继续施工，并及时通知发包人和监</w:t>
      </w:r>
    </w:p>
    <w:p w14:paraId="2A61CB4E">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理人。监理人经发包人同意后应当及时发出指示，指示构成变更的，按第 </w:t>
      </w:r>
      <w:r>
        <w:rPr>
          <w:rFonts w:ascii="Times New Roman" w:hAnsi="Times New Roman" w:eastAsia="Times New Roman" w:cs="Times New Roman"/>
          <w:color w:val="auto"/>
          <w:spacing w:val="-1"/>
          <w:sz w:val="21"/>
          <w:szCs w:val="21"/>
          <w:highlight w:val="none"/>
        </w:rPr>
        <w:t xml:space="preserve">10 </w:t>
      </w:r>
      <w:r>
        <w:rPr>
          <w:rFonts w:ascii="宋体" w:hAnsi="宋体" w:eastAsia="宋体" w:cs="宋体"/>
          <w:color w:val="auto"/>
          <w:spacing w:val="-1"/>
          <w:sz w:val="21"/>
          <w:szCs w:val="21"/>
          <w:highlight w:val="none"/>
        </w:rPr>
        <w:t>条〔变更〕约</w:t>
      </w:r>
    </w:p>
    <w:p w14:paraId="6808F0D8">
      <w:pPr>
        <w:spacing w:before="152" w:line="220" w:lineRule="auto"/>
        <w:ind w:left="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定办理。承包人因采取合理措施而增加的费用和（或）延误的工期由发包人承担。</w:t>
      </w:r>
    </w:p>
    <w:p w14:paraId="153B74D6">
      <w:pPr>
        <w:spacing w:before="47" w:line="220" w:lineRule="auto"/>
        <w:ind w:left="20"/>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7.8</w:t>
      </w:r>
      <w:r>
        <w:rPr>
          <w:rFonts w:ascii="黑体" w:hAnsi="黑体" w:eastAsia="黑体" w:cs="黑体"/>
          <w:color w:val="auto"/>
          <w:spacing w:val="21"/>
          <w:sz w:val="24"/>
          <w:szCs w:val="24"/>
          <w:highlight w:val="none"/>
        </w:rPr>
        <w:t xml:space="preserve"> </w:t>
      </w:r>
      <w:r>
        <w:rPr>
          <w:rFonts w:ascii="黑体" w:hAnsi="黑体" w:eastAsia="黑体" w:cs="黑体"/>
          <w:color w:val="auto"/>
          <w:spacing w:val="-4"/>
          <w:sz w:val="24"/>
          <w:szCs w:val="24"/>
          <w:highlight w:val="none"/>
        </w:rPr>
        <w:t>暂停施工</w:t>
      </w:r>
    </w:p>
    <w:p w14:paraId="5D4F9B0C">
      <w:pPr>
        <w:spacing w:before="128"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7.8.1 </w:t>
      </w:r>
      <w:r>
        <w:rPr>
          <w:rFonts w:ascii="宋体" w:hAnsi="宋体" w:eastAsia="宋体" w:cs="宋体"/>
          <w:color w:val="auto"/>
          <w:spacing w:val="-1"/>
          <w:sz w:val="21"/>
          <w:szCs w:val="21"/>
          <w:highlight w:val="none"/>
        </w:rPr>
        <w:t>发包人原因引起的暂停施工</w:t>
      </w:r>
    </w:p>
    <w:p w14:paraId="76547EA9">
      <w:pPr>
        <w:spacing w:before="147" w:line="352" w:lineRule="auto"/>
        <w:ind w:left="19" w:right="211" w:firstLine="43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因发包人原因引起暂停施工的， 监理人经发包人同意后，应及时下达暂停施工指示。</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 xml:space="preserve">情况紧急且监理人未及时下达暂停施工指示的， </w:t>
      </w:r>
      <w:r>
        <w:rPr>
          <w:rFonts w:ascii="宋体" w:hAnsi="宋体" w:eastAsia="宋体" w:cs="宋体"/>
          <w:color w:val="auto"/>
          <w:spacing w:val="-4"/>
          <w:sz w:val="21"/>
          <w:szCs w:val="21"/>
          <w:highlight w:val="none"/>
        </w:rPr>
        <w:t>按照第</w:t>
      </w:r>
      <w:r>
        <w:rPr>
          <w:rFonts w:ascii="宋体" w:hAnsi="宋体" w:eastAsia="宋体" w:cs="宋体"/>
          <w:color w:val="auto"/>
          <w:spacing w:val="-27"/>
          <w:sz w:val="21"/>
          <w:szCs w:val="21"/>
          <w:highlight w:val="none"/>
        </w:rPr>
        <w:t xml:space="preserve"> </w:t>
      </w:r>
      <w:r>
        <w:rPr>
          <w:rFonts w:ascii="Times New Roman" w:hAnsi="Times New Roman" w:eastAsia="Times New Roman" w:cs="Times New Roman"/>
          <w:color w:val="auto"/>
          <w:spacing w:val="-4"/>
          <w:sz w:val="21"/>
          <w:szCs w:val="21"/>
          <w:highlight w:val="none"/>
        </w:rPr>
        <w:t xml:space="preserve">7.8.4 </w:t>
      </w:r>
      <w:r>
        <w:rPr>
          <w:rFonts w:ascii="宋体" w:hAnsi="宋体" w:eastAsia="宋体" w:cs="宋体"/>
          <w:color w:val="auto"/>
          <w:spacing w:val="-4"/>
          <w:sz w:val="21"/>
          <w:szCs w:val="21"/>
          <w:highlight w:val="none"/>
        </w:rPr>
        <w:t>项〔紧急情况下的暂停施工〕</w:t>
      </w:r>
    </w:p>
    <w:p w14:paraId="4BF04590">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执行。</w:t>
      </w:r>
    </w:p>
    <w:p w14:paraId="137ED106">
      <w:pPr>
        <w:spacing w:before="148" w:line="403" w:lineRule="exact"/>
        <w:ind w:left="45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因发包人原因引起的暂停施工， 发包人应承担由此增</w:t>
      </w:r>
      <w:r>
        <w:rPr>
          <w:rFonts w:ascii="宋体" w:hAnsi="宋体" w:eastAsia="宋体" w:cs="宋体"/>
          <w:color w:val="auto"/>
          <w:spacing w:val="-1"/>
          <w:position w:val="14"/>
          <w:sz w:val="21"/>
          <w:szCs w:val="21"/>
          <w:highlight w:val="none"/>
        </w:rPr>
        <w:t>加的费用和（或）延误的工期，</w:t>
      </w:r>
    </w:p>
    <w:p w14:paraId="111082B8">
      <w:pPr>
        <w:spacing w:before="1" w:line="220" w:lineRule="auto"/>
        <w:ind w:left="2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并支付承包人合理的利润。</w:t>
      </w:r>
    </w:p>
    <w:p w14:paraId="73CB7F70">
      <w:pPr>
        <w:spacing w:before="147"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7.8.2 </w:t>
      </w:r>
      <w:r>
        <w:rPr>
          <w:rFonts w:ascii="宋体" w:hAnsi="宋体" w:eastAsia="宋体" w:cs="宋体"/>
          <w:color w:val="auto"/>
          <w:spacing w:val="-1"/>
          <w:sz w:val="21"/>
          <w:szCs w:val="21"/>
          <w:highlight w:val="none"/>
        </w:rPr>
        <w:t>承包人原因引起的暂停施工</w:t>
      </w:r>
    </w:p>
    <w:p w14:paraId="0353C1C7">
      <w:pPr>
        <w:spacing w:before="148" w:line="352" w:lineRule="auto"/>
        <w:ind w:left="18" w:right="180" w:firstLine="439"/>
        <w:rPr>
          <w:rFonts w:ascii="宋体" w:hAnsi="宋体" w:eastAsia="宋体" w:cs="宋体"/>
          <w:color w:val="auto"/>
          <w:sz w:val="21"/>
          <w:szCs w:val="21"/>
          <w:highlight w:val="none"/>
        </w:rPr>
      </w:pPr>
      <w:r>
        <w:rPr>
          <w:rFonts w:ascii="宋体" w:hAnsi="宋体" w:eastAsia="宋体" w:cs="宋体"/>
          <w:color w:val="auto"/>
          <w:sz w:val="21"/>
          <w:szCs w:val="21"/>
          <w:highlight w:val="none"/>
        </w:rPr>
        <w:t>因承包人原因引起的暂停施工， 承包人应承担由此增</w:t>
      </w:r>
      <w:r>
        <w:rPr>
          <w:rFonts w:ascii="宋体" w:hAnsi="宋体" w:eastAsia="宋体" w:cs="宋体"/>
          <w:color w:val="auto"/>
          <w:spacing w:val="-1"/>
          <w:sz w:val="21"/>
          <w:szCs w:val="21"/>
          <w:highlight w:val="none"/>
        </w:rPr>
        <w:t>加的费用和（或）延误的工期，</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且承包人在收到监理人复工指示后</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1"/>
          <w:sz w:val="21"/>
          <w:szCs w:val="21"/>
          <w:highlight w:val="none"/>
        </w:rPr>
        <w:t xml:space="preserve">84 </w:t>
      </w:r>
      <w:r>
        <w:rPr>
          <w:rFonts w:ascii="宋体" w:hAnsi="宋体" w:eastAsia="宋体" w:cs="宋体"/>
          <w:color w:val="auto"/>
          <w:spacing w:val="-1"/>
          <w:sz w:val="21"/>
          <w:szCs w:val="21"/>
          <w:highlight w:val="none"/>
        </w:rPr>
        <w:t>天内仍未复工的，视</w:t>
      </w:r>
      <w:r>
        <w:rPr>
          <w:rFonts w:ascii="宋体" w:hAnsi="宋体" w:eastAsia="宋体" w:cs="宋体"/>
          <w:color w:val="auto"/>
          <w:spacing w:val="-2"/>
          <w:sz w:val="21"/>
          <w:szCs w:val="21"/>
          <w:highlight w:val="none"/>
        </w:rPr>
        <w:t xml:space="preserve">为第 </w:t>
      </w:r>
      <w:r>
        <w:rPr>
          <w:rFonts w:ascii="Times New Roman" w:hAnsi="Times New Roman" w:eastAsia="Times New Roman" w:cs="Times New Roman"/>
          <w:color w:val="auto"/>
          <w:spacing w:val="-2"/>
          <w:sz w:val="21"/>
          <w:szCs w:val="21"/>
          <w:highlight w:val="none"/>
        </w:rPr>
        <w:t xml:space="preserve">16.2.1 </w:t>
      </w:r>
      <w:r>
        <w:rPr>
          <w:rFonts w:ascii="宋体" w:hAnsi="宋体" w:eastAsia="宋体" w:cs="宋体"/>
          <w:color w:val="auto"/>
          <w:spacing w:val="-2"/>
          <w:sz w:val="21"/>
          <w:szCs w:val="21"/>
          <w:highlight w:val="none"/>
        </w:rPr>
        <w:t>项〔承包人违约的情</w:t>
      </w:r>
    </w:p>
    <w:p w14:paraId="242BDC62">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形〕第（</w:t>
      </w:r>
      <w:r>
        <w:rPr>
          <w:rFonts w:ascii="Times New Roman" w:hAnsi="Times New Roman" w:eastAsia="Times New Roman" w:cs="Times New Roman"/>
          <w:color w:val="auto"/>
          <w:spacing w:val="-3"/>
          <w:sz w:val="21"/>
          <w:szCs w:val="21"/>
          <w:highlight w:val="none"/>
        </w:rPr>
        <w:t>7</w:t>
      </w:r>
      <w:r>
        <w:rPr>
          <w:rFonts w:ascii="宋体" w:hAnsi="宋体" w:eastAsia="宋体" w:cs="宋体"/>
          <w:color w:val="auto"/>
          <w:spacing w:val="-3"/>
          <w:sz w:val="21"/>
          <w:szCs w:val="21"/>
          <w:highlight w:val="none"/>
        </w:rPr>
        <w:t>）</w:t>
      </w:r>
      <w:r>
        <w:rPr>
          <w:rFonts w:ascii="宋体" w:hAnsi="宋体" w:eastAsia="宋体" w:cs="宋体"/>
          <w:color w:val="auto"/>
          <w:spacing w:val="-56"/>
          <w:sz w:val="21"/>
          <w:szCs w:val="21"/>
          <w:highlight w:val="none"/>
        </w:rPr>
        <w:t xml:space="preserve"> </w:t>
      </w:r>
      <w:r>
        <w:rPr>
          <w:rFonts w:ascii="宋体" w:hAnsi="宋体" w:eastAsia="宋体" w:cs="宋体"/>
          <w:color w:val="auto"/>
          <w:spacing w:val="-3"/>
          <w:sz w:val="21"/>
          <w:szCs w:val="21"/>
          <w:highlight w:val="none"/>
        </w:rPr>
        <w:t>目约定的承包人无法继续履行合同的情形。</w:t>
      </w:r>
    </w:p>
    <w:p w14:paraId="79325084">
      <w:pPr>
        <w:spacing w:before="148"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7.8.3 </w:t>
      </w:r>
      <w:r>
        <w:rPr>
          <w:rFonts w:ascii="宋体" w:hAnsi="宋体" w:eastAsia="宋体" w:cs="宋体"/>
          <w:color w:val="auto"/>
          <w:spacing w:val="-1"/>
          <w:sz w:val="21"/>
          <w:szCs w:val="21"/>
          <w:highlight w:val="none"/>
        </w:rPr>
        <w:t>指示暂停施工</w:t>
      </w:r>
    </w:p>
    <w:p w14:paraId="42D3ED3D">
      <w:pPr>
        <w:spacing w:before="152" w:line="398" w:lineRule="exact"/>
        <w:ind w:left="442"/>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监理人认为有必要时， 并经发包人批准后，可向承包人作出暂停施工的指示，承包人</w:t>
      </w:r>
    </w:p>
    <w:p w14:paraId="5500FD81">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应按监理人指示暂停施工。</w:t>
      </w:r>
    </w:p>
    <w:p w14:paraId="1BCE282D">
      <w:pPr>
        <w:spacing w:before="147"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7.8.4</w:t>
      </w:r>
      <w:r>
        <w:rPr>
          <w:rFonts w:ascii="Times New Roman" w:hAnsi="Times New Roman" w:eastAsia="Times New Roman" w:cs="Times New Roman"/>
          <w:color w:val="auto"/>
          <w:spacing w:val="26"/>
          <w:w w:val="101"/>
          <w:sz w:val="21"/>
          <w:szCs w:val="21"/>
          <w:highlight w:val="none"/>
        </w:rPr>
        <w:t xml:space="preserve"> </w:t>
      </w:r>
      <w:r>
        <w:rPr>
          <w:rFonts w:ascii="宋体" w:hAnsi="宋体" w:eastAsia="宋体" w:cs="宋体"/>
          <w:color w:val="auto"/>
          <w:spacing w:val="-2"/>
          <w:sz w:val="21"/>
          <w:szCs w:val="21"/>
          <w:highlight w:val="none"/>
        </w:rPr>
        <w:t>紧急情况下的暂停施工</w:t>
      </w:r>
    </w:p>
    <w:p w14:paraId="57C43DB4">
      <w:pPr>
        <w:spacing w:before="151" w:line="352" w:lineRule="auto"/>
        <w:ind w:left="23" w:right="17" w:firstLine="43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因紧急情况需暂停施工，且监理人未及时下达暂停施工</w:t>
      </w:r>
      <w:r>
        <w:rPr>
          <w:rFonts w:ascii="宋体" w:hAnsi="宋体" w:eastAsia="宋体" w:cs="宋体"/>
          <w:color w:val="auto"/>
          <w:spacing w:val="-2"/>
          <w:sz w:val="21"/>
          <w:szCs w:val="21"/>
          <w:highlight w:val="none"/>
        </w:rPr>
        <w:t>指示的， 承包人可先暂停施工，</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并及时通知监理人。监理人应在接到通知后</w:t>
      </w:r>
      <w:r>
        <w:rPr>
          <w:rFonts w:ascii="宋体" w:hAnsi="宋体" w:eastAsia="宋体" w:cs="宋体"/>
          <w:color w:val="auto"/>
          <w:spacing w:val="-31"/>
          <w:sz w:val="21"/>
          <w:szCs w:val="21"/>
          <w:highlight w:val="none"/>
        </w:rPr>
        <w:t xml:space="preserve"> </w:t>
      </w:r>
      <w:r>
        <w:rPr>
          <w:rFonts w:ascii="Times New Roman" w:hAnsi="Times New Roman" w:eastAsia="Times New Roman" w:cs="Times New Roman"/>
          <w:color w:val="auto"/>
          <w:spacing w:val="-1"/>
          <w:sz w:val="21"/>
          <w:szCs w:val="21"/>
          <w:highlight w:val="none"/>
        </w:rPr>
        <w:t>24</w:t>
      </w:r>
      <w:r>
        <w:rPr>
          <w:rFonts w:ascii="Times New Roman" w:hAnsi="Times New Roman" w:eastAsia="Times New Roman" w:cs="Times New Roman"/>
          <w:color w:val="auto"/>
          <w:spacing w:val="15"/>
          <w:sz w:val="21"/>
          <w:szCs w:val="21"/>
          <w:highlight w:val="none"/>
        </w:rPr>
        <w:t xml:space="preserve"> </w:t>
      </w:r>
      <w:r>
        <w:rPr>
          <w:rFonts w:ascii="宋体" w:hAnsi="宋体" w:eastAsia="宋体" w:cs="宋体"/>
          <w:color w:val="auto"/>
          <w:spacing w:val="-1"/>
          <w:sz w:val="21"/>
          <w:szCs w:val="21"/>
          <w:highlight w:val="none"/>
        </w:rPr>
        <w:t>小时内发出指示</w:t>
      </w:r>
      <w:r>
        <w:rPr>
          <w:rFonts w:ascii="宋体" w:hAnsi="宋体" w:eastAsia="宋体" w:cs="宋体"/>
          <w:color w:val="auto"/>
          <w:spacing w:val="-2"/>
          <w:sz w:val="21"/>
          <w:szCs w:val="21"/>
          <w:highlight w:val="none"/>
        </w:rPr>
        <w:t xml:space="preserve">，逾期未发出指示，视为同  </w:t>
      </w:r>
      <w:r>
        <w:rPr>
          <w:rFonts w:ascii="宋体" w:hAnsi="宋体" w:eastAsia="宋体" w:cs="宋体"/>
          <w:color w:val="auto"/>
          <w:sz w:val="21"/>
          <w:szCs w:val="21"/>
          <w:highlight w:val="none"/>
        </w:rPr>
        <w:t>意承包人暂停施工。监理人不同意承包人暂停施工的， 应说明理由，承包人对监理人的答</w:t>
      </w:r>
    </w:p>
    <w:p w14:paraId="44FBC7CC">
      <w:pPr>
        <w:spacing w:before="1" w:line="220" w:lineRule="auto"/>
        <w:ind w:left="24"/>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复有异议， 按照第</w:t>
      </w:r>
      <w:r>
        <w:rPr>
          <w:rFonts w:ascii="宋体" w:hAnsi="宋体" w:eastAsia="宋体" w:cs="宋体"/>
          <w:color w:val="auto"/>
          <w:spacing w:val="-32"/>
          <w:sz w:val="21"/>
          <w:szCs w:val="21"/>
          <w:highlight w:val="none"/>
        </w:rPr>
        <w:t xml:space="preserve"> </w:t>
      </w:r>
      <w:r>
        <w:rPr>
          <w:rFonts w:ascii="Times New Roman" w:hAnsi="Times New Roman" w:eastAsia="Times New Roman" w:cs="Times New Roman"/>
          <w:color w:val="auto"/>
          <w:spacing w:val="-6"/>
          <w:sz w:val="21"/>
          <w:szCs w:val="21"/>
          <w:highlight w:val="none"/>
        </w:rPr>
        <w:t xml:space="preserve">20 </w:t>
      </w:r>
      <w:r>
        <w:rPr>
          <w:rFonts w:ascii="宋体" w:hAnsi="宋体" w:eastAsia="宋体" w:cs="宋体"/>
          <w:color w:val="auto"/>
          <w:spacing w:val="-6"/>
          <w:sz w:val="21"/>
          <w:szCs w:val="21"/>
          <w:highlight w:val="none"/>
        </w:rPr>
        <w:t>条〔争议解决〕约定处理。</w:t>
      </w:r>
    </w:p>
    <w:p w14:paraId="72CA90BB">
      <w:pPr>
        <w:spacing w:before="148"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7.8.5</w:t>
      </w:r>
      <w:r>
        <w:rPr>
          <w:rFonts w:ascii="Times New Roman" w:hAnsi="Times New Roman" w:eastAsia="Times New Roman" w:cs="Times New Roman"/>
          <w:color w:val="auto"/>
          <w:spacing w:val="23"/>
          <w:sz w:val="21"/>
          <w:szCs w:val="21"/>
          <w:highlight w:val="none"/>
        </w:rPr>
        <w:t xml:space="preserve"> </w:t>
      </w:r>
      <w:r>
        <w:rPr>
          <w:rFonts w:ascii="宋体" w:hAnsi="宋体" w:eastAsia="宋体" w:cs="宋体"/>
          <w:color w:val="auto"/>
          <w:spacing w:val="-2"/>
          <w:sz w:val="21"/>
          <w:szCs w:val="21"/>
          <w:highlight w:val="none"/>
        </w:rPr>
        <w:t>暂停施工后的复工</w:t>
      </w:r>
    </w:p>
    <w:p w14:paraId="6A2831D1">
      <w:pPr>
        <w:spacing w:line="221" w:lineRule="auto"/>
        <w:rPr>
          <w:rFonts w:ascii="宋体" w:hAnsi="宋体" w:eastAsia="宋体" w:cs="宋体"/>
          <w:color w:val="auto"/>
          <w:sz w:val="21"/>
          <w:szCs w:val="21"/>
          <w:highlight w:val="none"/>
        </w:rPr>
        <w:sectPr>
          <w:footerReference r:id="rId122" w:type="default"/>
          <w:pgSz w:w="11905" w:h="16839"/>
          <w:pgMar w:top="1431" w:right="1611" w:bottom="1004" w:left="1785" w:header="0" w:footer="829" w:gutter="0"/>
          <w:pgNumType w:fmt="decimal"/>
          <w:cols w:space="720" w:num="1"/>
        </w:sectPr>
      </w:pPr>
    </w:p>
    <w:p w14:paraId="3BD8F7BC">
      <w:pPr>
        <w:spacing w:before="148" w:line="352" w:lineRule="auto"/>
        <w:ind w:left="17" w:right="161" w:firstLine="43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暂停施工后，发包人和承包人应采取有效措施积极消除暂停施工的影响。在</w:t>
      </w:r>
      <w:r>
        <w:rPr>
          <w:rFonts w:ascii="宋体" w:hAnsi="宋体" w:eastAsia="宋体" w:cs="宋体"/>
          <w:color w:val="auto"/>
          <w:spacing w:val="2"/>
          <w:sz w:val="21"/>
          <w:szCs w:val="21"/>
          <w:highlight w:val="none"/>
        </w:rPr>
        <w:t>工程复工</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前，监理人会同发包人和承包人确定因暂停施工造成的损失，并确定工程复工</w:t>
      </w:r>
      <w:r>
        <w:rPr>
          <w:rFonts w:ascii="宋体" w:hAnsi="宋体" w:eastAsia="宋体" w:cs="宋体"/>
          <w:color w:val="auto"/>
          <w:spacing w:val="2"/>
          <w:sz w:val="21"/>
          <w:szCs w:val="21"/>
          <w:highlight w:val="none"/>
        </w:rPr>
        <w:t>条件。当工</w:t>
      </w:r>
      <w:r>
        <w:rPr>
          <w:rFonts w:ascii="宋体" w:hAnsi="宋体" w:eastAsia="宋体" w:cs="宋体"/>
          <w:color w:val="auto"/>
          <w:sz w:val="21"/>
          <w:szCs w:val="21"/>
          <w:highlight w:val="none"/>
        </w:rPr>
        <w:t xml:space="preserve"> 程具备复工条件时，监理人应经发包人批准后向承包人发出复工通知， 承包人应按照复工</w:t>
      </w:r>
    </w:p>
    <w:p w14:paraId="21ECD5CF">
      <w:pPr>
        <w:spacing w:line="221"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通知要求复工。</w:t>
      </w:r>
    </w:p>
    <w:p w14:paraId="7B316014">
      <w:pPr>
        <w:spacing w:before="146" w:line="403" w:lineRule="exact"/>
        <w:ind w:left="441"/>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承包人无故拖延和拒绝复工的， 承包人承担由此增加的费用和（或） 延误的工期；因</w:t>
      </w:r>
    </w:p>
    <w:p w14:paraId="248F50EB">
      <w:pPr>
        <w:spacing w:line="220" w:lineRule="auto"/>
        <w:ind w:left="2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发包人原因无法按时复工的， 按照第</w:t>
      </w:r>
      <w:r>
        <w:rPr>
          <w:rFonts w:ascii="宋体" w:hAnsi="宋体" w:eastAsia="宋体" w:cs="宋体"/>
          <w:color w:val="auto"/>
          <w:spacing w:val="-43"/>
          <w:sz w:val="21"/>
          <w:szCs w:val="21"/>
          <w:highlight w:val="none"/>
        </w:rPr>
        <w:t xml:space="preserve"> </w:t>
      </w:r>
      <w:r>
        <w:rPr>
          <w:rFonts w:ascii="Times New Roman" w:hAnsi="Times New Roman" w:eastAsia="Times New Roman" w:cs="Times New Roman"/>
          <w:color w:val="auto"/>
          <w:spacing w:val="-3"/>
          <w:sz w:val="21"/>
          <w:szCs w:val="21"/>
          <w:highlight w:val="none"/>
        </w:rPr>
        <w:t>7.5</w:t>
      </w:r>
      <w:r>
        <w:rPr>
          <w:rFonts w:ascii="Times New Roman" w:hAnsi="Times New Roman" w:eastAsia="Times New Roman" w:cs="Times New Roman"/>
          <w:color w:val="auto"/>
          <w:spacing w:val="-4"/>
          <w:sz w:val="21"/>
          <w:szCs w:val="21"/>
          <w:highlight w:val="none"/>
        </w:rPr>
        <w:t xml:space="preserve">.1 </w:t>
      </w:r>
      <w:r>
        <w:rPr>
          <w:rFonts w:ascii="宋体" w:hAnsi="宋体" w:eastAsia="宋体" w:cs="宋体"/>
          <w:color w:val="auto"/>
          <w:spacing w:val="-4"/>
          <w:sz w:val="21"/>
          <w:szCs w:val="21"/>
          <w:highlight w:val="none"/>
        </w:rPr>
        <w:t>项〔因发包人原因导致工期延误〕约定办理。</w:t>
      </w:r>
    </w:p>
    <w:p w14:paraId="246D6B6D">
      <w:pPr>
        <w:spacing w:before="147"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7.8.6</w:t>
      </w:r>
      <w:r>
        <w:rPr>
          <w:rFonts w:ascii="Times New Roman" w:hAnsi="Times New Roman" w:eastAsia="Times New Roman" w:cs="Times New Roman"/>
          <w:color w:val="auto"/>
          <w:spacing w:val="30"/>
          <w:w w:val="101"/>
          <w:sz w:val="21"/>
          <w:szCs w:val="21"/>
          <w:highlight w:val="none"/>
        </w:rPr>
        <w:t xml:space="preserve"> </w:t>
      </w:r>
      <w:r>
        <w:rPr>
          <w:rFonts w:ascii="宋体" w:hAnsi="宋体" w:eastAsia="宋体" w:cs="宋体"/>
          <w:color w:val="auto"/>
          <w:spacing w:val="-3"/>
          <w:sz w:val="21"/>
          <w:szCs w:val="21"/>
          <w:highlight w:val="none"/>
        </w:rPr>
        <w:t>暂停施工持续</w:t>
      </w:r>
      <w:r>
        <w:rPr>
          <w:rFonts w:ascii="宋体" w:hAnsi="宋体" w:eastAsia="宋体" w:cs="宋体"/>
          <w:color w:val="auto"/>
          <w:spacing w:val="-42"/>
          <w:sz w:val="21"/>
          <w:szCs w:val="21"/>
          <w:highlight w:val="none"/>
        </w:rPr>
        <w:t xml:space="preserve"> </w:t>
      </w:r>
      <w:r>
        <w:rPr>
          <w:rFonts w:ascii="Times New Roman" w:hAnsi="Times New Roman" w:eastAsia="Times New Roman" w:cs="Times New Roman"/>
          <w:color w:val="auto"/>
          <w:spacing w:val="-3"/>
          <w:sz w:val="21"/>
          <w:szCs w:val="21"/>
          <w:highlight w:val="none"/>
        </w:rPr>
        <w:t xml:space="preserve">56 </w:t>
      </w:r>
      <w:r>
        <w:rPr>
          <w:rFonts w:ascii="宋体" w:hAnsi="宋体" w:eastAsia="宋体" w:cs="宋体"/>
          <w:color w:val="auto"/>
          <w:spacing w:val="-3"/>
          <w:sz w:val="21"/>
          <w:szCs w:val="21"/>
          <w:highlight w:val="none"/>
        </w:rPr>
        <w:t>天以上</w:t>
      </w:r>
    </w:p>
    <w:p w14:paraId="4316CCB4">
      <w:pPr>
        <w:spacing w:before="150" w:line="352" w:lineRule="auto"/>
        <w:ind w:left="20" w:right="157" w:firstLine="4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监理人发出暂停施工指示后</w:t>
      </w:r>
      <w:r>
        <w:rPr>
          <w:rFonts w:ascii="宋体" w:hAnsi="宋体" w:eastAsia="宋体" w:cs="宋体"/>
          <w:color w:val="auto"/>
          <w:spacing w:val="-50"/>
          <w:sz w:val="21"/>
          <w:szCs w:val="21"/>
          <w:highlight w:val="none"/>
        </w:rPr>
        <w:t xml:space="preserve"> </w:t>
      </w:r>
      <w:r>
        <w:rPr>
          <w:rFonts w:ascii="Times New Roman" w:hAnsi="Times New Roman" w:eastAsia="Times New Roman" w:cs="Times New Roman"/>
          <w:color w:val="auto"/>
          <w:spacing w:val="-1"/>
          <w:sz w:val="21"/>
          <w:szCs w:val="21"/>
          <w:highlight w:val="none"/>
        </w:rPr>
        <w:t xml:space="preserve">56 </w:t>
      </w:r>
      <w:r>
        <w:rPr>
          <w:rFonts w:ascii="宋体" w:hAnsi="宋体" w:eastAsia="宋体" w:cs="宋体"/>
          <w:color w:val="auto"/>
          <w:spacing w:val="-1"/>
          <w:sz w:val="21"/>
          <w:szCs w:val="21"/>
          <w:highlight w:val="none"/>
        </w:rPr>
        <w:t>天内未向承包人发出复工通知，除该项停工属于第</w:t>
      </w:r>
      <w:r>
        <w:rPr>
          <w:rFonts w:ascii="宋体" w:hAnsi="宋体" w:eastAsia="宋体" w:cs="宋体"/>
          <w:color w:val="auto"/>
          <w:spacing w:val="-52"/>
          <w:sz w:val="21"/>
          <w:szCs w:val="21"/>
          <w:highlight w:val="none"/>
        </w:rPr>
        <w:t xml:space="preserve"> </w:t>
      </w:r>
      <w:r>
        <w:rPr>
          <w:rFonts w:ascii="Times New Roman" w:hAnsi="Times New Roman" w:eastAsia="Times New Roman" w:cs="Times New Roman"/>
          <w:color w:val="auto"/>
          <w:spacing w:val="-2"/>
          <w:sz w:val="21"/>
          <w:szCs w:val="21"/>
          <w:highlight w:val="none"/>
        </w:rPr>
        <w:t>7.8.2</w:t>
      </w:r>
      <w:r>
        <w:rPr>
          <w:rFonts w:ascii="Times New Roman" w:hAnsi="Times New Roman" w:eastAsia="Times New Roman" w:cs="Times New Roman"/>
          <w:color w:val="auto"/>
          <w:sz w:val="21"/>
          <w:szCs w:val="21"/>
          <w:highlight w:val="none"/>
        </w:rPr>
        <w:t xml:space="preserve"> </w:t>
      </w:r>
      <w:r>
        <w:rPr>
          <w:rFonts w:ascii="宋体" w:hAnsi="宋体" w:eastAsia="宋体" w:cs="宋体"/>
          <w:color w:val="auto"/>
          <w:spacing w:val="-1"/>
          <w:sz w:val="21"/>
          <w:szCs w:val="21"/>
          <w:highlight w:val="none"/>
        </w:rPr>
        <w:t xml:space="preserve">项〔承包人原因引起的暂停施工〕及第 </w:t>
      </w:r>
      <w:r>
        <w:rPr>
          <w:rFonts w:ascii="Times New Roman" w:hAnsi="Times New Roman" w:eastAsia="Times New Roman" w:cs="Times New Roman"/>
          <w:color w:val="auto"/>
          <w:spacing w:val="-1"/>
          <w:sz w:val="21"/>
          <w:szCs w:val="21"/>
          <w:highlight w:val="none"/>
        </w:rPr>
        <w:t xml:space="preserve">17 </w:t>
      </w:r>
      <w:r>
        <w:rPr>
          <w:rFonts w:ascii="宋体" w:hAnsi="宋体" w:eastAsia="宋体" w:cs="宋体"/>
          <w:color w:val="auto"/>
          <w:spacing w:val="-1"/>
          <w:sz w:val="21"/>
          <w:szCs w:val="21"/>
          <w:highlight w:val="none"/>
        </w:rPr>
        <w:t>条〔不可抗力〕约定的情形外，承包人可向发包</w:t>
      </w:r>
      <w:r>
        <w:rPr>
          <w:rFonts w:ascii="宋体" w:hAnsi="宋体" w:eastAsia="宋体" w:cs="宋体"/>
          <w:color w:val="auto"/>
          <w:spacing w:val="4"/>
          <w:sz w:val="21"/>
          <w:szCs w:val="21"/>
          <w:highlight w:val="none"/>
        </w:rPr>
        <w:t xml:space="preserve"> </w:t>
      </w:r>
      <w:r>
        <w:rPr>
          <w:rFonts w:ascii="宋体" w:hAnsi="宋体" w:eastAsia="宋体" w:cs="宋体"/>
          <w:color w:val="auto"/>
          <w:sz w:val="21"/>
          <w:szCs w:val="21"/>
          <w:highlight w:val="none"/>
        </w:rPr>
        <w:t>人提交书面通知，要求发包人在收到书面通知后</w:t>
      </w:r>
      <w:r>
        <w:rPr>
          <w:rFonts w:ascii="宋体" w:hAnsi="宋体" w:eastAsia="宋体" w:cs="宋体"/>
          <w:color w:val="auto"/>
          <w:spacing w:val="-31"/>
          <w:sz w:val="21"/>
          <w:szCs w:val="21"/>
          <w:highlight w:val="none"/>
        </w:rPr>
        <w:t xml:space="preserve"> </w:t>
      </w:r>
      <w:r>
        <w:rPr>
          <w:rFonts w:ascii="Times New Roman" w:hAnsi="Times New Roman" w:eastAsia="Times New Roman" w:cs="Times New Roman"/>
          <w:color w:val="auto"/>
          <w:sz w:val="21"/>
          <w:szCs w:val="21"/>
          <w:highlight w:val="none"/>
        </w:rPr>
        <w:t xml:space="preserve">28 </w:t>
      </w:r>
      <w:r>
        <w:rPr>
          <w:rFonts w:ascii="宋体" w:hAnsi="宋体" w:eastAsia="宋体" w:cs="宋体"/>
          <w:color w:val="auto"/>
          <w:sz w:val="21"/>
          <w:szCs w:val="21"/>
          <w:highlight w:val="none"/>
        </w:rPr>
        <w:t>天内准许已暂停施工</w:t>
      </w:r>
      <w:r>
        <w:rPr>
          <w:rFonts w:ascii="宋体" w:hAnsi="宋体" w:eastAsia="宋体" w:cs="宋体"/>
          <w:color w:val="auto"/>
          <w:spacing w:val="-1"/>
          <w:sz w:val="21"/>
          <w:szCs w:val="21"/>
          <w:highlight w:val="none"/>
        </w:rPr>
        <w:t>的部分或全部工程</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继续施工。发包人逾期不予批准的，则承包人可以通知发包人，将工程受</w:t>
      </w:r>
      <w:r>
        <w:rPr>
          <w:rFonts w:ascii="宋体" w:hAnsi="宋体" w:eastAsia="宋体" w:cs="宋体"/>
          <w:color w:val="auto"/>
          <w:spacing w:val="2"/>
          <w:sz w:val="21"/>
          <w:szCs w:val="21"/>
          <w:highlight w:val="none"/>
        </w:rPr>
        <w:t>影响的部分视为</w:t>
      </w:r>
    </w:p>
    <w:p w14:paraId="299A0D74">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按第</w:t>
      </w:r>
      <w:r>
        <w:rPr>
          <w:rFonts w:ascii="宋体" w:hAnsi="宋体" w:eastAsia="宋体" w:cs="宋体"/>
          <w:color w:val="auto"/>
          <w:spacing w:val="-15"/>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10.1 </w:t>
      </w:r>
      <w:r>
        <w:rPr>
          <w:rFonts w:ascii="宋体" w:hAnsi="宋体" w:eastAsia="宋体" w:cs="宋体"/>
          <w:color w:val="auto"/>
          <w:spacing w:val="-2"/>
          <w:sz w:val="21"/>
          <w:szCs w:val="21"/>
          <w:highlight w:val="none"/>
        </w:rPr>
        <w:t>款〔变更的范围〕第（</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）项的可取消工作。</w:t>
      </w:r>
    </w:p>
    <w:p w14:paraId="04B15645">
      <w:pPr>
        <w:spacing w:before="147" w:line="352" w:lineRule="auto"/>
        <w:ind w:left="17" w:right="158" w:firstLine="430"/>
        <w:rPr>
          <w:rFonts w:ascii="宋体" w:hAnsi="宋体" w:eastAsia="宋体" w:cs="宋体"/>
          <w:color w:val="auto"/>
          <w:sz w:val="21"/>
          <w:szCs w:val="21"/>
          <w:highlight w:val="none"/>
        </w:rPr>
      </w:pPr>
      <w:r>
        <w:rPr>
          <w:rFonts w:ascii="宋体" w:hAnsi="宋体" w:eastAsia="宋体" w:cs="宋体"/>
          <w:color w:val="auto"/>
          <w:sz w:val="21"/>
          <w:szCs w:val="21"/>
          <w:highlight w:val="none"/>
        </w:rPr>
        <w:t>暂停施工持续</w:t>
      </w:r>
      <w:r>
        <w:rPr>
          <w:rFonts w:ascii="宋体" w:hAnsi="宋体" w:eastAsia="宋体" w:cs="宋体"/>
          <w:color w:val="auto"/>
          <w:spacing w:val="-63"/>
          <w:sz w:val="21"/>
          <w:szCs w:val="21"/>
          <w:highlight w:val="none"/>
        </w:rPr>
        <w:t xml:space="preserve"> </w:t>
      </w:r>
      <w:r>
        <w:rPr>
          <w:rFonts w:ascii="Times New Roman" w:hAnsi="Times New Roman" w:eastAsia="Times New Roman" w:cs="Times New Roman"/>
          <w:color w:val="auto"/>
          <w:sz w:val="21"/>
          <w:szCs w:val="21"/>
          <w:highlight w:val="none"/>
        </w:rPr>
        <w:t>84</w:t>
      </w:r>
      <w:r>
        <w:rPr>
          <w:rFonts w:ascii="Times New Roman" w:hAnsi="Times New Roman" w:eastAsia="Times New Roman" w:cs="Times New Roman"/>
          <w:color w:val="auto"/>
          <w:spacing w:val="-11"/>
          <w:sz w:val="21"/>
          <w:szCs w:val="21"/>
          <w:highlight w:val="none"/>
        </w:rPr>
        <w:t xml:space="preserve"> </w:t>
      </w:r>
      <w:r>
        <w:rPr>
          <w:rFonts w:ascii="宋体" w:hAnsi="宋体" w:eastAsia="宋体" w:cs="宋体"/>
          <w:color w:val="auto"/>
          <w:sz w:val="21"/>
          <w:szCs w:val="21"/>
          <w:highlight w:val="none"/>
        </w:rPr>
        <w:t>天以上不复工的，且不属于第</w:t>
      </w:r>
      <w:r>
        <w:rPr>
          <w:rFonts w:ascii="Times New Roman" w:hAnsi="Times New Roman" w:eastAsia="Times New Roman" w:cs="Times New Roman"/>
          <w:color w:val="auto"/>
          <w:sz w:val="21"/>
          <w:szCs w:val="21"/>
          <w:highlight w:val="none"/>
        </w:rPr>
        <w:t>7.8.2</w:t>
      </w:r>
      <w:r>
        <w:rPr>
          <w:rFonts w:ascii="Times New Roman" w:hAnsi="Times New Roman" w:eastAsia="Times New Roman" w:cs="Times New Roman"/>
          <w:color w:val="auto"/>
          <w:spacing w:val="-16"/>
          <w:sz w:val="21"/>
          <w:szCs w:val="21"/>
          <w:highlight w:val="none"/>
        </w:rPr>
        <w:t xml:space="preserve"> </w:t>
      </w:r>
      <w:r>
        <w:rPr>
          <w:rFonts w:ascii="宋体" w:hAnsi="宋体" w:eastAsia="宋体" w:cs="宋体"/>
          <w:color w:val="auto"/>
          <w:sz w:val="21"/>
          <w:szCs w:val="21"/>
          <w:highlight w:val="none"/>
        </w:rPr>
        <w:t>项〔承包人</w:t>
      </w:r>
      <w:r>
        <w:rPr>
          <w:rFonts w:ascii="宋体" w:hAnsi="宋体" w:eastAsia="宋体" w:cs="宋体"/>
          <w:color w:val="auto"/>
          <w:spacing w:val="-1"/>
          <w:sz w:val="21"/>
          <w:szCs w:val="21"/>
          <w:highlight w:val="none"/>
        </w:rPr>
        <w:t>原因引起的暂停施工〕</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 xml:space="preserve">及第 </w:t>
      </w:r>
      <w:r>
        <w:rPr>
          <w:rFonts w:ascii="Times New Roman" w:hAnsi="Times New Roman" w:eastAsia="Times New Roman" w:cs="Times New Roman"/>
          <w:color w:val="auto"/>
          <w:spacing w:val="-1"/>
          <w:sz w:val="21"/>
          <w:szCs w:val="21"/>
          <w:highlight w:val="none"/>
        </w:rPr>
        <w:t xml:space="preserve">17 </w:t>
      </w:r>
      <w:r>
        <w:rPr>
          <w:rFonts w:ascii="宋体" w:hAnsi="宋体" w:eastAsia="宋体" w:cs="宋体"/>
          <w:color w:val="auto"/>
          <w:spacing w:val="-1"/>
          <w:sz w:val="21"/>
          <w:szCs w:val="21"/>
          <w:highlight w:val="none"/>
        </w:rPr>
        <w:t>条〔不可抗力〕约定的情形，并影响到整个工程以及合同目的实现的，承包人有权</w:t>
      </w:r>
      <w:r>
        <w:rPr>
          <w:rFonts w:ascii="宋体" w:hAnsi="宋体" w:eastAsia="宋体" w:cs="宋体"/>
          <w:color w:val="auto"/>
          <w:spacing w:val="5"/>
          <w:sz w:val="21"/>
          <w:szCs w:val="21"/>
          <w:highlight w:val="none"/>
        </w:rPr>
        <w:t xml:space="preserve"> </w:t>
      </w:r>
      <w:r>
        <w:rPr>
          <w:rFonts w:ascii="宋体" w:hAnsi="宋体" w:eastAsia="宋体" w:cs="宋体"/>
          <w:color w:val="auto"/>
          <w:sz w:val="21"/>
          <w:szCs w:val="21"/>
          <w:highlight w:val="none"/>
        </w:rPr>
        <w:t>提出价格调整要求，或者解除合同。解除合同的，按照第</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z w:val="21"/>
          <w:szCs w:val="21"/>
          <w:highlight w:val="none"/>
        </w:rPr>
        <w:t>16.1.3</w:t>
      </w:r>
      <w:r>
        <w:rPr>
          <w:rFonts w:ascii="Times New Roman" w:hAnsi="Times New Roman" w:eastAsia="Times New Roman" w:cs="Times New Roman"/>
          <w:color w:val="auto"/>
          <w:spacing w:val="45"/>
          <w:w w:val="101"/>
          <w:sz w:val="21"/>
          <w:szCs w:val="21"/>
          <w:highlight w:val="none"/>
        </w:rPr>
        <w:t xml:space="preserve"> </w:t>
      </w:r>
      <w:r>
        <w:rPr>
          <w:rFonts w:ascii="宋体" w:hAnsi="宋体" w:eastAsia="宋体" w:cs="宋体"/>
          <w:color w:val="auto"/>
          <w:sz w:val="21"/>
          <w:szCs w:val="21"/>
          <w:highlight w:val="none"/>
        </w:rPr>
        <w:t>项〔因</w:t>
      </w:r>
      <w:r>
        <w:rPr>
          <w:rFonts w:ascii="宋体" w:hAnsi="宋体" w:eastAsia="宋体" w:cs="宋体"/>
          <w:color w:val="auto"/>
          <w:spacing w:val="-1"/>
          <w:sz w:val="21"/>
          <w:szCs w:val="21"/>
          <w:highlight w:val="none"/>
        </w:rPr>
        <w:t>发包人违约解除合</w:t>
      </w:r>
    </w:p>
    <w:p w14:paraId="2AF4D306">
      <w:pPr>
        <w:spacing w:before="1" w:line="220" w:lineRule="auto"/>
        <w:ind w:left="39"/>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同〕执行。</w:t>
      </w:r>
    </w:p>
    <w:p w14:paraId="36797FD7">
      <w:pPr>
        <w:spacing w:before="147"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7.8.7</w:t>
      </w:r>
      <w:r>
        <w:rPr>
          <w:rFonts w:ascii="Times New Roman" w:hAnsi="Times New Roman" w:eastAsia="Times New Roman" w:cs="Times New Roman"/>
          <w:color w:val="auto"/>
          <w:spacing w:val="29"/>
          <w:sz w:val="21"/>
          <w:szCs w:val="21"/>
          <w:highlight w:val="none"/>
        </w:rPr>
        <w:t xml:space="preserve"> </w:t>
      </w:r>
      <w:r>
        <w:rPr>
          <w:rFonts w:ascii="宋体" w:hAnsi="宋体" w:eastAsia="宋体" w:cs="宋体"/>
          <w:color w:val="auto"/>
          <w:spacing w:val="-2"/>
          <w:sz w:val="21"/>
          <w:szCs w:val="21"/>
          <w:highlight w:val="none"/>
        </w:rPr>
        <w:t>暂停施工期间的工程照管</w:t>
      </w:r>
    </w:p>
    <w:p w14:paraId="02181867">
      <w:pPr>
        <w:spacing w:before="153" w:line="398"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暂停施工期间， 承包人应负责妥善照管工程并提供安全保障，由此增加的费用由责任</w:t>
      </w:r>
    </w:p>
    <w:p w14:paraId="6194A215">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方承担。</w:t>
      </w:r>
    </w:p>
    <w:p w14:paraId="1772DA21">
      <w:pPr>
        <w:spacing w:before="147"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7.8.8</w:t>
      </w:r>
      <w:r>
        <w:rPr>
          <w:rFonts w:ascii="Times New Roman" w:hAnsi="Times New Roman" w:eastAsia="Times New Roman" w:cs="Times New Roman"/>
          <w:color w:val="auto"/>
          <w:spacing w:val="21"/>
          <w:sz w:val="21"/>
          <w:szCs w:val="21"/>
          <w:highlight w:val="none"/>
        </w:rPr>
        <w:t xml:space="preserve"> </w:t>
      </w:r>
      <w:r>
        <w:rPr>
          <w:rFonts w:ascii="宋体" w:hAnsi="宋体" w:eastAsia="宋体" w:cs="宋体"/>
          <w:color w:val="auto"/>
          <w:spacing w:val="-2"/>
          <w:sz w:val="21"/>
          <w:szCs w:val="21"/>
          <w:highlight w:val="none"/>
        </w:rPr>
        <w:t>暂停施工的措施</w:t>
      </w:r>
    </w:p>
    <w:p w14:paraId="2D28FD22">
      <w:pPr>
        <w:spacing w:before="152" w:line="220"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暂停施工期间， 发包人和承包人均应采取必要的措</w:t>
      </w:r>
      <w:r>
        <w:rPr>
          <w:rFonts w:ascii="宋体" w:hAnsi="宋体" w:eastAsia="宋体" w:cs="宋体"/>
          <w:color w:val="auto"/>
          <w:spacing w:val="-4"/>
          <w:sz w:val="21"/>
          <w:szCs w:val="21"/>
          <w:highlight w:val="none"/>
        </w:rPr>
        <w:t>施确保工程质量及安全，</w:t>
      </w:r>
      <w:r>
        <w:rPr>
          <w:rFonts w:ascii="宋体" w:hAnsi="宋体" w:eastAsia="宋体" w:cs="宋体"/>
          <w:color w:val="auto"/>
          <w:spacing w:val="26"/>
          <w:sz w:val="21"/>
          <w:szCs w:val="21"/>
          <w:highlight w:val="none"/>
        </w:rPr>
        <w:t xml:space="preserve"> </w:t>
      </w:r>
      <w:r>
        <w:rPr>
          <w:rFonts w:ascii="宋体" w:hAnsi="宋体" w:eastAsia="宋体" w:cs="宋体"/>
          <w:color w:val="auto"/>
          <w:spacing w:val="-4"/>
          <w:sz w:val="21"/>
          <w:szCs w:val="21"/>
          <w:highlight w:val="none"/>
        </w:rPr>
        <w:t>防止因暂</w:t>
      </w:r>
    </w:p>
    <w:p w14:paraId="5CFECB45">
      <w:pPr>
        <w:spacing w:before="149" w:line="221" w:lineRule="auto"/>
        <w:ind w:left="1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停施工扩大损失。</w:t>
      </w:r>
    </w:p>
    <w:p w14:paraId="21B2C038">
      <w:pPr>
        <w:spacing w:before="45" w:line="218" w:lineRule="auto"/>
        <w:ind w:left="20"/>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7.9</w:t>
      </w:r>
      <w:r>
        <w:rPr>
          <w:rFonts w:ascii="黑体" w:hAnsi="黑体" w:eastAsia="黑体" w:cs="黑体"/>
          <w:color w:val="auto"/>
          <w:spacing w:val="-51"/>
          <w:sz w:val="24"/>
          <w:szCs w:val="24"/>
          <w:highlight w:val="none"/>
        </w:rPr>
        <w:t xml:space="preserve"> </w:t>
      </w:r>
      <w:r>
        <w:rPr>
          <w:rFonts w:ascii="黑体" w:hAnsi="黑体" w:eastAsia="黑体" w:cs="黑体"/>
          <w:color w:val="auto"/>
          <w:spacing w:val="-3"/>
          <w:sz w:val="24"/>
          <w:szCs w:val="24"/>
          <w:highlight w:val="none"/>
        </w:rPr>
        <w:t>提前竣工</w:t>
      </w:r>
    </w:p>
    <w:p w14:paraId="4A88E80A">
      <w:pPr>
        <w:spacing w:before="130" w:line="352" w:lineRule="auto"/>
        <w:ind w:left="18" w:firstLine="422"/>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7.9.1</w:t>
      </w:r>
      <w:r>
        <w:rPr>
          <w:rFonts w:ascii="Times New Roman" w:hAnsi="Times New Roman" w:eastAsia="Times New Roman" w:cs="Times New Roman"/>
          <w:color w:val="auto"/>
          <w:spacing w:val="54"/>
          <w:sz w:val="21"/>
          <w:szCs w:val="21"/>
          <w:highlight w:val="none"/>
        </w:rPr>
        <w:t xml:space="preserve"> </w:t>
      </w:r>
      <w:r>
        <w:rPr>
          <w:rFonts w:ascii="宋体" w:hAnsi="宋体" w:eastAsia="宋体" w:cs="宋体"/>
          <w:color w:val="auto"/>
          <w:spacing w:val="-1"/>
          <w:sz w:val="21"/>
          <w:szCs w:val="21"/>
          <w:highlight w:val="none"/>
        </w:rPr>
        <w:t>发包人要求承包人提前竣工的，发包人应通过监理人向承包人下达提前竣工指示，</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 xml:space="preserve">承包人应向发包人和监理人提交提前竣工建议书，提前竣工建议书应包括实施的方案、缩  </w:t>
      </w:r>
      <w:r>
        <w:rPr>
          <w:rFonts w:ascii="宋体" w:hAnsi="宋体" w:eastAsia="宋体" w:cs="宋体"/>
          <w:color w:val="auto"/>
          <w:sz w:val="21"/>
          <w:szCs w:val="21"/>
          <w:highlight w:val="none"/>
        </w:rPr>
        <w:t>短的时间、增加的合同价格等内容。发包人接受该提前竣</w:t>
      </w:r>
      <w:r>
        <w:rPr>
          <w:rFonts w:ascii="宋体" w:hAnsi="宋体" w:eastAsia="宋体" w:cs="宋体"/>
          <w:color w:val="auto"/>
          <w:spacing w:val="-1"/>
          <w:sz w:val="21"/>
          <w:szCs w:val="21"/>
          <w:highlight w:val="none"/>
        </w:rPr>
        <w:t xml:space="preserve">工建议书的， 监理人应与发包人  </w:t>
      </w:r>
      <w:r>
        <w:rPr>
          <w:rFonts w:ascii="宋体" w:hAnsi="宋体" w:eastAsia="宋体" w:cs="宋体"/>
          <w:color w:val="auto"/>
          <w:sz w:val="21"/>
          <w:szCs w:val="21"/>
          <w:highlight w:val="none"/>
        </w:rPr>
        <w:t>和承包人协商采取加快工程进度的措施， 并修订施工进</w:t>
      </w:r>
      <w:r>
        <w:rPr>
          <w:rFonts w:ascii="宋体" w:hAnsi="宋体" w:eastAsia="宋体" w:cs="宋体"/>
          <w:color w:val="auto"/>
          <w:spacing w:val="-1"/>
          <w:sz w:val="21"/>
          <w:szCs w:val="21"/>
          <w:highlight w:val="none"/>
        </w:rPr>
        <w:t xml:space="preserve">度计划，由此增加的费用由发包人  </w:t>
      </w:r>
      <w:r>
        <w:rPr>
          <w:rFonts w:ascii="宋体" w:hAnsi="宋体" w:eastAsia="宋体" w:cs="宋体"/>
          <w:color w:val="auto"/>
          <w:spacing w:val="-5"/>
          <w:sz w:val="21"/>
          <w:szCs w:val="21"/>
          <w:highlight w:val="none"/>
        </w:rPr>
        <w:t>承担。 承包人认为提前竣工指示无法执行的， 应向监理人和发包人提出书面异议， 发包人</w:t>
      </w:r>
    </w:p>
    <w:p w14:paraId="39CB7F52">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和监理人应在收到异议后</w:t>
      </w:r>
      <w:r>
        <w:rPr>
          <w:rFonts w:ascii="宋体" w:hAnsi="宋体" w:eastAsia="宋体" w:cs="宋体"/>
          <w:color w:val="auto"/>
          <w:spacing w:val="-29"/>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天内予以答复。任何情况下，发包人不得压缩合理工期。</w:t>
      </w:r>
    </w:p>
    <w:p w14:paraId="235CEE90">
      <w:pPr>
        <w:spacing w:before="149" w:line="403" w:lineRule="exact"/>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7.9.2</w:t>
      </w:r>
      <w:r>
        <w:rPr>
          <w:rFonts w:ascii="Times New Roman" w:hAnsi="Times New Roman" w:eastAsia="Times New Roman" w:cs="Times New Roman"/>
          <w:color w:val="auto"/>
          <w:spacing w:val="36"/>
          <w:w w:val="101"/>
          <w:position w:val="14"/>
          <w:sz w:val="21"/>
          <w:szCs w:val="21"/>
          <w:highlight w:val="none"/>
        </w:rPr>
        <w:t xml:space="preserve"> </w:t>
      </w:r>
      <w:r>
        <w:rPr>
          <w:rFonts w:ascii="宋体" w:hAnsi="宋体" w:eastAsia="宋体" w:cs="宋体"/>
          <w:color w:val="auto"/>
          <w:spacing w:val="1"/>
          <w:position w:val="14"/>
          <w:sz w:val="21"/>
          <w:szCs w:val="21"/>
          <w:highlight w:val="none"/>
        </w:rPr>
        <w:t>发包人要求承包人提前竣工，或承包人提</w:t>
      </w:r>
      <w:r>
        <w:rPr>
          <w:rFonts w:ascii="宋体" w:hAnsi="宋体" w:eastAsia="宋体" w:cs="宋体"/>
          <w:color w:val="auto"/>
          <w:position w:val="14"/>
          <w:sz w:val="21"/>
          <w:szCs w:val="21"/>
          <w:highlight w:val="none"/>
        </w:rPr>
        <w:t>出提前竣工的建议能够给发包人带来效</w:t>
      </w:r>
    </w:p>
    <w:p w14:paraId="0AA2EBD9">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益的，合同当事人可以在专用合同条款中约定提前竣工</w:t>
      </w:r>
      <w:r>
        <w:rPr>
          <w:rFonts w:ascii="宋体" w:hAnsi="宋体" w:eastAsia="宋体" w:cs="宋体"/>
          <w:color w:val="auto"/>
          <w:spacing w:val="-2"/>
          <w:sz w:val="21"/>
          <w:szCs w:val="21"/>
          <w:highlight w:val="none"/>
        </w:rPr>
        <w:t>的奖励。</w:t>
      </w:r>
    </w:p>
    <w:p w14:paraId="2DD1CC6F">
      <w:pPr>
        <w:spacing w:before="172" w:line="220" w:lineRule="auto"/>
        <w:ind w:left="18"/>
        <w:rPr>
          <w:rFonts w:ascii="黑体" w:hAnsi="黑体" w:eastAsia="黑体" w:cs="黑体"/>
          <w:color w:val="auto"/>
          <w:sz w:val="32"/>
          <w:szCs w:val="32"/>
          <w:highlight w:val="none"/>
        </w:rPr>
      </w:pPr>
      <w:r>
        <w:rPr>
          <w:rFonts w:ascii="黑体" w:hAnsi="黑体" w:eastAsia="黑体" w:cs="黑体"/>
          <w:color w:val="auto"/>
          <w:spacing w:val="-1"/>
          <w:sz w:val="32"/>
          <w:szCs w:val="32"/>
          <w:highlight w:val="none"/>
        </w:rPr>
        <w:t>8.材料与设备</w:t>
      </w:r>
    </w:p>
    <w:p w14:paraId="1F61C126">
      <w:pPr>
        <w:spacing w:before="145" w:line="218" w:lineRule="auto"/>
        <w:ind w:left="16"/>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8.1</w:t>
      </w:r>
      <w:r>
        <w:rPr>
          <w:rFonts w:ascii="黑体" w:hAnsi="黑体" w:eastAsia="黑体" w:cs="黑体"/>
          <w:color w:val="auto"/>
          <w:spacing w:val="-39"/>
          <w:sz w:val="24"/>
          <w:szCs w:val="24"/>
          <w:highlight w:val="none"/>
        </w:rPr>
        <w:t xml:space="preserve"> </w:t>
      </w:r>
      <w:r>
        <w:rPr>
          <w:rFonts w:ascii="黑体" w:hAnsi="黑体" w:eastAsia="黑体" w:cs="黑体"/>
          <w:color w:val="auto"/>
          <w:spacing w:val="-2"/>
          <w:sz w:val="24"/>
          <w:szCs w:val="24"/>
          <w:highlight w:val="none"/>
        </w:rPr>
        <w:t>发包人供应材料与工程设备</w:t>
      </w:r>
    </w:p>
    <w:p w14:paraId="74820142">
      <w:pPr>
        <w:spacing w:before="130" w:line="220" w:lineRule="auto"/>
        <w:ind w:left="444"/>
        <w:rPr>
          <w:rFonts w:ascii="宋体" w:hAnsi="宋体" w:eastAsia="宋体" w:cs="宋体"/>
          <w:color w:val="auto"/>
          <w:sz w:val="21"/>
          <w:szCs w:val="21"/>
          <w:highlight w:val="none"/>
        </w:rPr>
      </w:pPr>
      <w:r>
        <w:rPr>
          <w:rFonts w:ascii="宋体" w:hAnsi="宋体" w:eastAsia="宋体" w:cs="宋体"/>
          <w:color w:val="auto"/>
          <w:sz w:val="21"/>
          <w:szCs w:val="21"/>
          <w:highlight w:val="none"/>
        </w:rPr>
        <w:t>发包人自行供应材料、工程设备的， 应在签订合同时在专用合同条款的附件《发包人</w:t>
      </w:r>
    </w:p>
    <w:p w14:paraId="1DB9CC36">
      <w:pPr>
        <w:spacing w:line="220" w:lineRule="auto"/>
        <w:rPr>
          <w:rFonts w:ascii="宋体" w:hAnsi="宋体" w:eastAsia="宋体" w:cs="宋体"/>
          <w:color w:val="auto"/>
          <w:sz w:val="21"/>
          <w:szCs w:val="21"/>
          <w:highlight w:val="none"/>
        </w:rPr>
        <w:sectPr>
          <w:footerReference r:id="rId123" w:type="default"/>
          <w:pgSz w:w="11905" w:h="16839"/>
          <w:pgMar w:top="1431" w:right="1630" w:bottom="1004" w:left="1785" w:header="0" w:footer="828" w:gutter="0"/>
          <w:pgNumType w:fmt="decimal"/>
          <w:cols w:space="720" w:num="1"/>
        </w:sectPr>
      </w:pPr>
    </w:p>
    <w:p w14:paraId="48767621">
      <w:pPr>
        <w:spacing w:before="149" w:line="398" w:lineRule="exact"/>
        <w:ind w:left="18"/>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供应材料设备一览表》中明确材料、工程设备的品种、规格、型号、数量、</w:t>
      </w:r>
      <w:r>
        <w:rPr>
          <w:rFonts w:ascii="宋体" w:hAnsi="宋体" w:eastAsia="宋体" w:cs="宋体"/>
          <w:color w:val="auto"/>
          <w:spacing w:val="2"/>
          <w:position w:val="14"/>
          <w:sz w:val="21"/>
          <w:szCs w:val="21"/>
          <w:highlight w:val="none"/>
        </w:rPr>
        <w:t>单价、质量等</w:t>
      </w:r>
    </w:p>
    <w:p w14:paraId="3BBB3B00">
      <w:pPr>
        <w:spacing w:line="222" w:lineRule="auto"/>
        <w:ind w:left="2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级和送达地点。</w:t>
      </w:r>
    </w:p>
    <w:p w14:paraId="3DB97D63">
      <w:pPr>
        <w:spacing w:before="149" w:line="399" w:lineRule="exact"/>
        <w:ind w:left="441"/>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承包人应提前</w:t>
      </w:r>
      <w:r>
        <w:rPr>
          <w:rFonts w:ascii="宋体" w:hAnsi="宋体" w:eastAsia="宋体" w:cs="宋体"/>
          <w:color w:val="auto"/>
          <w:spacing w:val="-33"/>
          <w:position w:val="14"/>
          <w:sz w:val="21"/>
          <w:szCs w:val="21"/>
          <w:highlight w:val="none"/>
        </w:rPr>
        <w:t xml:space="preserve"> </w:t>
      </w:r>
      <w:r>
        <w:rPr>
          <w:rFonts w:ascii="Times New Roman" w:hAnsi="Times New Roman" w:eastAsia="Times New Roman" w:cs="Times New Roman"/>
          <w:color w:val="auto"/>
          <w:position w:val="14"/>
          <w:sz w:val="21"/>
          <w:szCs w:val="21"/>
          <w:highlight w:val="none"/>
        </w:rPr>
        <w:t xml:space="preserve">30 </w:t>
      </w:r>
      <w:r>
        <w:rPr>
          <w:rFonts w:ascii="宋体" w:hAnsi="宋体" w:eastAsia="宋体" w:cs="宋体"/>
          <w:color w:val="auto"/>
          <w:position w:val="14"/>
          <w:sz w:val="21"/>
          <w:szCs w:val="21"/>
          <w:highlight w:val="none"/>
        </w:rPr>
        <w:t>天通过监理人以书面形式通知发包人供应材料与工</w:t>
      </w:r>
      <w:r>
        <w:rPr>
          <w:rFonts w:ascii="宋体" w:hAnsi="宋体" w:eastAsia="宋体" w:cs="宋体"/>
          <w:color w:val="auto"/>
          <w:spacing w:val="-1"/>
          <w:position w:val="14"/>
          <w:sz w:val="21"/>
          <w:szCs w:val="21"/>
          <w:highlight w:val="none"/>
        </w:rPr>
        <w:t>程设备进场。承包</w:t>
      </w:r>
    </w:p>
    <w:p w14:paraId="20DB9731">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z w:val="21"/>
          <w:szCs w:val="21"/>
          <w:highlight w:val="none"/>
        </w:rPr>
        <w:t>人按照第</w:t>
      </w:r>
      <w:r>
        <w:rPr>
          <w:rFonts w:ascii="宋体" w:hAnsi="宋体" w:eastAsia="宋体" w:cs="宋体"/>
          <w:color w:val="auto"/>
          <w:spacing w:val="-30"/>
          <w:sz w:val="21"/>
          <w:szCs w:val="21"/>
          <w:highlight w:val="none"/>
        </w:rPr>
        <w:t xml:space="preserve"> </w:t>
      </w:r>
      <w:r>
        <w:rPr>
          <w:rFonts w:ascii="Times New Roman" w:hAnsi="Times New Roman" w:eastAsia="Times New Roman" w:cs="Times New Roman"/>
          <w:color w:val="auto"/>
          <w:sz w:val="21"/>
          <w:szCs w:val="21"/>
          <w:highlight w:val="none"/>
        </w:rPr>
        <w:t xml:space="preserve">7.2.2 </w:t>
      </w:r>
      <w:r>
        <w:rPr>
          <w:rFonts w:ascii="宋体" w:hAnsi="宋体" w:eastAsia="宋体" w:cs="宋体"/>
          <w:color w:val="auto"/>
          <w:sz w:val="21"/>
          <w:szCs w:val="21"/>
          <w:highlight w:val="none"/>
        </w:rPr>
        <w:t>项〔施工进度计划的修订〕约定修订施工进度计划时，</w:t>
      </w:r>
      <w:r>
        <w:rPr>
          <w:rFonts w:ascii="宋体" w:hAnsi="宋体" w:eastAsia="宋体" w:cs="宋体"/>
          <w:color w:val="auto"/>
          <w:spacing w:val="-1"/>
          <w:sz w:val="21"/>
          <w:szCs w:val="21"/>
          <w:highlight w:val="none"/>
        </w:rPr>
        <w:t>需同时提交经修订后</w:t>
      </w:r>
    </w:p>
    <w:p w14:paraId="57D4346E">
      <w:pPr>
        <w:spacing w:before="147" w:line="220" w:lineRule="auto"/>
        <w:ind w:left="3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的发包人供应材料与工程设备的进场计划。</w:t>
      </w:r>
    </w:p>
    <w:p w14:paraId="5F0DF80E">
      <w:pPr>
        <w:spacing w:before="51" w:line="219" w:lineRule="auto"/>
        <w:ind w:left="16"/>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8.2</w:t>
      </w:r>
      <w:r>
        <w:rPr>
          <w:rFonts w:ascii="黑体" w:hAnsi="黑体" w:eastAsia="黑体" w:cs="黑体"/>
          <w:color w:val="auto"/>
          <w:spacing w:val="-54"/>
          <w:sz w:val="24"/>
          <w:szCs w:val="24"/>
          <w:highlight w:val="none"/>
        </w:rPr>
        <w:t xml:space="preserve"> </w:t>
      </w:r>
      <w:r>
        <w:rPr>
          <w:rFonts w:ascii="黑体" w:hAnsi="黑体" w:eastAsia="黑体" w:cs="黑体"/>
          <w:color w:val="auto"/>
          <w:spacing w:val="-1"/>
          <w:sz w:val="24"/>
          <w:szCs w:val="24"/>
          <w:highlight w:val="none"/>
        </w:rPr>
        <w:t>承包人采购材料与工程设备</w:t>
      </w:r>
    </w:p>
    <w:p w14:paraId="1284F8D1">
      <w:pPr>
        <w:spacing w:before="130" w:line="350" w:lineRule="auto"/>
        <w:ind w:left="18" w:right="158" w:firstLine="42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承包人负责采购材料、工程设备的， 应按照设计和有关标准要求采购，并提供产品合</w:t>
      </w:r>
      <w:r>
        <w:rPr>
          <w:rFonts w:ascii="宋体" w:hAnsi="宋体" w:eastAsia="宋体" w:cs="宋体"/>
          <w:color w:val="auto"/>
          <w:spacing w:val="9"/>
          <w:sz w:val="21"/>
          <w:szCs w:val="21"/>
          <w:highlight w:val="none"/>
        </w:rPr>
        <w:t xml:space="preserve"> </w:t>
      </w:r>
      <w:r>
        <w:rPr>
          <w:rFonts w:ascii="宋体" w:hAnsi="宋体" w:eastAsia="宋体" w:cs="宋体"/>
          <w:color w:val="auto"/>
          <w:spacing w:val="3"/>
          <w:sz w:val="21"/>
          <w:szCs w:val="21"/>
          <w:highlight w:val="none"/>
        </w:rPr>
        <w:t>格证明及出厂证明，对材料、工程设备质量负责。合同约定由承包人采购的</w:t>
      </w:r>
      <w:r>
        <w:rPr>
          <w:rFonts w:ascii="宋体" w:hAnsi="宋体" w:eastAsia="宋体" w:cs="宋体"/>
          <w:color w:val="auto"/>
          <w:spacing w:val="2"/>
          <w:sz w:val="21"/>
          <w:szCs w:val="21"/>
          <w:highlight w:val="none"/>
        </w:rPr>
        <w:t>材料、工程设</w:t>
      </w:r>
    </w:p>
    <w:p w14:paraId="74036CB3">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z w:val="21"/>
          <w:szCs w:val="21"/>
          <w:highlight w:val="none"/>
        </w:rPr>
        <w:t>备，发包人不得指定生产厂家或供应商， 发包人违反本款约定指定生产厂家或供应商</w:t>
      </w:r>
      <w:r>
        <w:rPr>
          <w:rFonts w:ascii="宋体" w:hAnsi="宋体" w:eastAsia="宋体" w:cs="宋体"/>
          <w:color w:val="auto"/>
          <w:spacing w:val="-1"/>
          <w:sz w:val="21"/>
          <w:szCs w:val="21"/>
          <w:highlight w:val="none"/>
        </w:rPr>
        <w:t>的，</w:t>
      </w:r>
    </w:p>
    <w:p w14:paraId="37FE7A41">
      <w:pPr>
        <w:spacing w:before="153" w:line="221"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承包人有权拒绝，并由发包人承担相应责任。</w:t>
      </w:r>
    </w:p>
    <w:p w14:paraId="37AD170E">
      <w:pPr>
        <w:spacing w:before="46" w:line="219" w:lineRule="auto"/>
        <w:ind w:left="16"/>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8.3</w:t>
      </w:r>
      <w:r>
        <w:rPr>
          <w:rFonts w:ascii="黑体" w:hAnsi="黑体" w:eastAsia="黑体" w:cs="黑体"/>
          <w:color w:val="auto"/>
          <w:spacing w:val="-53"/>
          <w:sz w:val="24"/>
          <w:szCs w:val="24"/>
          <w:highlight w:val="none"/>
        </w:rPr>
        <w:t xml:space="preserve"> </w:t>
      </w:r>
      <w:r>
        <w:rPr>
          <w:rFonts w:ascii="黑体" w:hAnsi="黑体" w:eastAsia="黑体" w:cs="黑体"/>
          <w:color w:val="auto"/>
          <w:spacing w:val="-1"/>
          <w:sz w:val="24"/>
          <w:szCs w:val="24"/>
          <w:highlight w:val="none"/>
        </w:rPr>
        <w:t>材料与工程设备的接收与拒收</w:t>
      </w:r>
    </w:p>
    <w:p w14:paraId="25FE2B08">
      <w:pPr>
        <w:spacing w:before="128" w:line="352" w:lineRule="auto"/>
        <w:ind w:left="18" w:right="158" w:firstLine="42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8.3.1</w:t>
      </w:r>
      <w:r>
        <w:rPr>
          <w:rFonts w:ascii="Times New Roman" w:hAnsi="Times New Roman" w:eastAsia="Times New Roman" w:cs="Times New Roman"/>
          <w:color w:val="auto"/>
          <w:spacing w:val="54"/>
          <w:w w:val="101"/>
          <w:sz w:val="21"/>
          <w:szCs w:val="21"/>
          <w:highlight w:val="none"/>
        </w:rPr>
        <w:t xml:space="preserve"> </w:t>
      </w:r>
      <w:r>
        <w:rPr>
          <w:rFonts w:ascii="宋体" w:hAnsi="宋体" w:eastAsia="宋体" w:cs="宋体"/>
          <w:color w:val="auto"/>
          <w:sz w:val="21"/>
          <w:szCs w:val="21"/>
          <w:highlight w:val="none"/>
        </w:rPr>
        <w:t xml:space="preserve">发包人应按《发包人供应材料设备一览表》约定的内容提供材料和工程设备，并 </w:t>
      </w:r>
      <w:r>
        <w:rPr>
          <w:rFonts w:ascii="宋体" w:hAnsi="宋体" w:eastAsia="宋体" w:cs="宋体"/>
          <w:color w:val="auto"/>
          <w:spacing w:val="-1"/>
          <w:sz w:val="21"/>
          <w:szCs w:val="21"/>
          <w:highlight w:val="none"/>
        </w:rPr>
        <w:t>向承包人提供产品合格证明及出厂证明，对其质量负责。发包人应提前</w:t>
      </w:r>
      <w:r>
        <w:rPr>
          <w:rFonts w:ascii="宋体" w:hAnsi="宋体" w:eastAsia="宋体" w:cs="宋体"/>
          <w:color w:val="auto"/>
          <w:spacing w:val="-15"/>
          <w:sz w:val="21"/>
          <w:szCs w:val="21"/>
          <w:highlight w:val="none"/>
        </w:rPr>
        <w:t xml:space="preserve"> </w:t>
      </w:r>
      <w:r>
        <w:rPr>
          <w:rFonts w:ascii="Times New Roman" w:hAnsi="Times New Roman" w:eastAsia="Times New Roman" w:cs="Times New Roman"/>
          <w:color w:val="auto"/>
          <w:spacing w:val="-1"/>
          <w:sz w:val="21"/>
          <w:szCs w:val="21"/>
          <w:highlight w:val="none"/>
        </w:rPr>
        <w:t>24</w:t>
      </w:r>
      <w:r>
        <w:rPr>
          <w:rFonts w:ascii="Times New Roman" w:hAnsi="Times New Roman" w:eastAsia="Times New Roman" w:cs="Times New Roman"/>
          <w:color w:val="auto"/>
          <w:spacing w:val="14"/>
          <w:w w:val="101"/>
          <w:sz w:val="21"/>
          <w:szCs w:val="21"/>
          <w:highlight w:val="none"/>
        </w:rPr>
        <w:t xml:space="preserve"> </w:t>
      </w:r>
      <w:r>
        <w:rPr>
          <w:rFonts w:ascii="宋体" w:hAnsi="宋体" w:eastAsia="宋体" w:cs="宋体"/>
          <w:color w:val="auto"/>
          <w:spacing w:val="-1"/>
          <w:sz w:val="21"/>
          <w:szCs w:val="21"/>
          <w:highlight w:val="none"/>
        </w:rPr>
        <w:t>小时以书面形式</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通知承包人、监理人材料和工程设备到货时间，承包人负责材料和工程设备</w:t>
      </w:r>
      <w:r>
        <w:rPr>
          <w:rFonts w:ascii="宋体" w:hAnsi="宋体" w:eastAsia="宋体" w:cs="宋体"/>
          <w:color w:val="auto"/>
          <w:spacing w:val="2"/>
          <w:sz w:val="21"/>
          <w:szCs w:val="21"/>
          <w:highlight w:val="none"/>
        </w:rPr>
        <w:t>的清点、检验</w:t>
      </w:r>
    </w:p>
    <w:p w14:paraId="5F203024">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和接收。</w:t>
      </w:r>
    </w:p>
    <w:p w14:paraId="2D4D73A2">
      <w:pPr>
        <w:spacing w:before="147" w:line="399" w:lineRule="exact"/>
        <w:ind w:left="444"/>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发包人提供的材料和工程设备的规格、数量或质量不符合合同约定的，或因发包人原</w:t>
      </w:r>
    </w:p>
    <w:p w14:paraId="63CCA45A">
      <w:pPr>
        <w:spacing w:before="1" w:line="219" w:lineRule="auto"/>
        <w:ind w:left="3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因导致交货日期延误或交货地点变更等情况的， 按照第</w:t>
      </w:r>
      <w:r>
        <w:rPr>
          <w:rFonts w:ascii="宋体" w:hAnsi="宋体" w:eastAsia="宋体" w:cs="宋体"/>
          <w:color w:val="auto"/>
          <w:spacing w:val="-25"/>
          <w:sz w:val="21"/>
          <w:szCs w:val="21"/>
          <w:highlight w:val="none"/>
        </w:rPr>
        <w:t xml:space="preserve"> </w:t>
      </w:r>
      <w:r>
        <w:rPr>
          <w:rFonts w:ascii="Times New Roman" w:hAnsi="Times New Roman" w:eastAsia="Times New Roman" w:cs="Times New Roman"/>
          <w:color w:val="auto"/>
          <w:spacing w:val="-4"/>
          <w:sz w:val="21"/>
          <w:szCs w:val="21"/>
          <w:highlight w:val="none"/>
        </w:rPr>
        <w:t xml:space="preserve">16.1 </w:t>
      </w:r>
      <w:r>
        <w:rPr>
          <w:rFonts w:ascii="宋体" w:hAnsi="宋体" w:eastAsia="宋体" w:cs="宋体"/>
          <w:color w:val="auto"/>
          <w:spacing w:val="-5"/>
          <w:sz w:val="21"/>
          <w:szCs w:val="21"/>
          <w:highlight w:val="none"/>
        </w:rPr>
        <w:t>款〔发包人违约〕约定办理。</w:t>
      </w:r>
    </w:p>
    <w:p w14:paraId="67331E04">
      <w:pPr>
        <w:spacing w:before="152" w:line="352" w:lineRule="auto"/>
        <w:ind w:left="20" w:right="156" w:firstLine="42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8.3.2</w:t>
      </w:r>
      <w:r>
        <w:rPr>
          <w:rFonts w:ascii="Times New Roman" w:hAnsi="Times New Roman" w:eastAsia="Times New Roman" w:cs="Times New Roman"/>
          <w:color w:val="auto"/>
          <w:spacing w:val="32"/>
          <w:w w:val="101"/>
          <w:sz w:val="21"/>
          <w:szCs w:val="21"/>
          <w:highlight w:val="none"/>
        </w:rPr>
        <w:t xml:space="preserve"> </w:t>
      </w:r>
      <w:r>
        <w:rPr>
          <w:rFonts w:ascii="宋体" w:hAnsi="宋体" w:eastAsia="宋体" w:cs="宋体"/>
          <w:color w:val="auto"/>
          <w:spacing w:val="1"/>
          <w:sz w:val="21"/>
          <w:szCs w:val="21"/>
          <w:highlight w:val="none"/>
        </w:rPr>
        <w:t>承包人采购的材料和工程设备，应保证</w:t>
      </w:r>
      <w:r>
        <w:rPr>
          <w:rFonts w:ascii="宋体" w:hAnsi="宋体" w:eastAsia="宋体" w:cs="宋体"/>
          <w:color w:val="auto"/>
          <w:sz w:val="21"/>
          <w:szCs w:val="21"/>
          <w:highlight w:val="none"/>
        </w:rPr>
        <w:t xml:space="preserve">产品质量合格，承包人应在材料和工程设 </w:t>
      </w:r>
      <w:r>
        <w:rPr>
          <w:rFonts w:ascii="宋体" w:hAnsi="宋体" w:eastAsia="宋体" w:cs="宋体"/>
          <w:color w:val="auto"/>
          <w:spacing w:val="-3"/>
          <w:sz w:val="21"/>
          <w:szCs w:val="21"/>
          <w:highlight w:val="none"/>
        </w:rPr>
        <w:t>备到货前</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pacing w:val="-3"/>
          <w:sz w:val="21"/>
          <w:szCs w:val="21"/>
          <w:highlight w:val="none"/>
        </w:rPr>
        <w:t>24</w:t>
      </w:r>
      <w:r>
        <w:rPr>
          <w:rFonts w:ascii="Times New Roman" w:hAnsi="Times New Roman" w:eastAsia="Times New Roman" w:cs="Times New Roman"/>
          <w:color w:val="auto"/>
          <w:spacing w:val="15"/>
          <w:sz w:val="21"/>
          <w:szCs w:val="21"/>
          <w:highlight w:val="none"/>
        </w:rPr>
        <w:t xml:space="preserve"> </w:t>
      </w:r>
      <w:r>
        <w:rPr>
          <w:rFonts w:ascii="宋体" w:hAnsi="宋体" w:eastAsia="宋体" w:cs="宋体"/>
          <w:color w:val="auto"/>
          <w:spacing w:val="-3"/>
          <w:sz w:val="21"/>
          <w:szCs w:val="21"/>
          <w:highlight w:val="none"/>
        </w:rPr>
        <w:t>小时通知监理人检验。承包人进行永久设备、材料的制造和生产的，</w:t>
      </w:r>
      <w:r>
        <w:rPr>
          <w:rFonts w:ascii="宋体" w:hAnsi="宋体" w:eastAsia="宋体" w:cs="宋体"/>
          <w:color w:val="auto"/>
          <w:spacing w:val="-4"/>
          <w:sz w:val="21"/>
          <w:szCs w:val="21"/>
          <w:highlight w:val="none"/>
        </w:rPr>
        <w:t xml:space="preserve"> 应符合相</w:t>
      </w:r>
      <w:r>
        <w:rPr>
          <w:rFonts w:ascii="宋体" w:hAnsi="宋体" w:eastAsia="宋体" w:cs="宋体"/>
          <w:color w:val="auto"/>
          <w:sz w:val="21"/>
          <w:szCs w:val="21"/>
          <w:highlight w:val="none"/>
        </w:rPr>
        <w:t xml:space="preserve"> 关质量标准， 并向监理人提交材料的样本以及有关资料，并应在使用该材料或工程设备之</w:t>
      </w:r>
    </w:p>
    <w:p w14:paraId="47E1EC8A">
      <w:pPr>
        <w:spacing w:before="1" w:line="220" w:lineRule="auto"/>
        <w:ind w:left="2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前获得监理人同意。</w:t>
      </w:r>
    </w:p>
    <w:p w14:paraId="46A25676">
      <w:pPr>
        <w:spacing w:before="147" w:line="399" w:lineRule="exact"/>
        <w:ind w:left="494"/>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承包人采购的材料和工程设备不符合设计或有关标准要求时，承包人应在监理人要求</w:t>
      </w:r>
    </w:p>
    <w:p w14:paraId="1DB91815">
      <w:pPr>
        <w:spacing w:before="1" w:line="219" w:lineRule="auto"/>
        <w:ind w:left="3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的合理期限内将不符合设计或有关标准要求的材料、工程设备运出施工现场，并重新采购</w:t>
      </w:r>
    </w:p>
    <w:p w14:paraId="4D3C4EEC">
      <w:pPr>
        <w:spacing w:before="153" w:line="220"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符合要求的材料、工程设备，</w:t>
      </w:r>
      <w:r>
        <w:rPr>
          <w:rFonts w:ascii="宋体" w:hAnsi="宋体" w:eastAsia="宋体" w:cs="宋体"/>
          <w:color w:val="auto"/>
          <w:spacing w:val="39"/>
          <w:sz w:val="21"/>
          <w:szCs w:val="21"/>
          <w:highlight w:val="none"/>
        </w:rPr>
        <w:t xml:space="preserve"> </w:t>
      </w:r>
      <w:r>
        <w:rPr>
          <w:rFonts w:ascii="宋体" w:hAnsi="宋体" w:eastAsia="宋体" w:cs="宋体"/>
          <w:color w:val="auto"/>
          <w:spacing w:val="-4"/>
          <w:sz w:val="21"/>
          <w:szCs w:val="21"/>
          <w:highlight w:val="none"/>
        </w:rPr>
        <w:t>由此增加的费用和（或）延误的工期，由承包人</w:t>
      </w:r>
      <w:r>
        <w:rPr>
          <w:rFonts w:ascii="宋体" w:hAnsi="宋体" w:eastAsia="宋体" w:cs="宋体"/>
          <w:color w:val="auto"/>
          <w:spacing w:val="-5"/>
          <w:sz w:val="21"/>
          <w:szCs w:val="21"/>
          <w:highlight w:val="none"/>
        </w:rPr>
        <w:t>承担。</w:t>
      </w:r>
    </w:p>
    <w:p w14:paraId="346DAF59">
      <w:pPr>
        <w:spacing w:before="46" w:line="219" w:lineRule="auto"/>
        <w:ind w:left="16"/>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8.4</w:t>
      </w:r>
      <w:r>
        <w:rPr>
          <w:rFonts w:ascii="黑体" w:hAnsi="黑体" w:eastAsia="黑体" w:cs="黑体"/>
          <w:color w:val="auto"/>
          <w:spacing w:val="-53"/>
          <w:sz w:val="24"/>
          <w:szCs w:val="24"/>
          <w:highlight w:val="none"/>
        </w:rPr>
        <w:t xml:space="preserve"> </w:t>
      </w:r>
      <w:r>
        <w:rPr>
          <w:rFonts w:ascii="黑体" w:hAnsi="黑体" w:eastAsia="黑体" w:cs="黑体"/>
          <w:color w:val="auto"/>
          <w:spacing w:val="-1"/>
          <w:sz w:val="24"/>
          <w:szCs w:val="24"/>
          <w:highlight w:val="none"/>
        </w:rPr>
        <w:t>材料与工程设备的保管与使用</w:t>
      </w:r>
    </w:p>
    <w:p w14:paraId="50F3DD96">
      <w:pPr>
        <w:spacing w:before="129" w:line="220" w:lineRule="auto"/>
        <w:ind w:left="44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8.4.1 </w:t>
      </w:r>
      <w:r>
        <w:rPr>
          <w:rFonts w:ascii="宋体" w:hAnsi="宋体" w:eastAsia="宋体" w:cs="宋体"/>
          <w:color w:val="auto"/>
          <w:spacing w:val="-1"/>
          <w:sz w:val="21"/>
          <w:szCs w:val="21"/>
          <w:highlight w:val="none"/>
        </w:rPr>
        <w:t>发包人供应材料与工程设备的保管与使用</w:t>
      </w:r>
    </w:p>
    <w:p w14:paraId="35FF057B">
      <w:pPr>
        <w:spacing w:before="148" w:line="352" w:lineRule="auto"/>
        <w:ind w:left="18" w:right="158" w:firstLine="426"/>
        <w:rPr>
          <w:rFonts w:ascii="宋体" w:hAnsi="宋体" w:eastAsia="宋体" w:cs="宋体"/>
          <w:color w:val="auto"/>
          <w:sz w:val="21"/>
          <w:szCs w:val="21"/>
          <w:highlight w:val="none"/>
        </w:rPr>
      </w:pPr>
      <w:r>
        <w:rPr>
          <w:rFonts w:ascii="宋体" w:hAnsi="宋体" w:eastAsia="宋体" w:cs="宋体"/>
          <w:color w:val="auto"/>
          <w:sz w:val="21"/>
          <w:szCs w:val="21"/>
          <w:highlight w:val="none"/>
        </w:rPr>
        <w:t>发包人供应的材料和工程设备， 承包人清点后由承包人妥善保管，保管费用由发包人</w:t>
      </w:r>
      <w:r>
        <w:rPr>
          <w:rFonts w:ascii="宋体" w:hAnsi="宋体" w:eastAsia="宋体" w:cs="宋体"/>
          <w:color w:val="auto"/>
          <w:spacing w:val="5"/>
          <w:sz w:val="21"/>
          <w:szCs w:val="21"/>
          <w:highlight w:val="none"/>
        </w:rPr>
        <w:t xml:space="preserve"> </w:t>
      </w:r>
      <w:r>
        <w:rPr>
          <w:rFonts w:ascii="宋体" w:hAnsi="宋体" w:eastAsia="宋体" w:cs="宋体"/>
          <w:color w:val="auto"/>
          <w:sz w:val="21"/>
          <w:szCs w:val="21"/>
          <w:highlight w:val="none"/>
        </w:rPr>
        <w:t>承担， 但已标价工程量清单或预算书已经列支或专用合同条款另有约定除外。因承包人原</w:t>
      </w:r>
      <w:r>
        <w:rPr>
          <w:rFonts w:ascii="宋体" w:hAnsi="宋体" w:eastAsia="宋体" w:cs="宋体"/>
          <w:color w:val="auto"/>
          <w:spacing w:val="6"/>
          <w:sz w:val="21"/>
          <w:szCs w:val="21"/>
          <w:highlight w:val="none"/>
        </w:rPr>
        <w:t xml:space="preserve"> </w:t>
      </w:r>
      <w:r>
        <w:rPr>
          <w:rFonts w:ascii="宋体" w:hAnsi="宋体" w:eastAsia="宋体" w:cs="宋体"/>
          <w:color w:val="auto"/>
          <w:spacing w:val="-2"/>
          <w:sz w:val="21"/>
          <w:szCs w:val="21"/>
          <w:highlight w:val="none"/>
        </w:rPr>
        <w:t>因发生丢失毁损的，由承包人负责赔偿； 监理人未通</w:t>
      </w:r>
      <w:r>
        <w:rPr>
          <w:rFonts w:ascii="宋体" w:hAnsi="宋体" w:eastAsia="宋体" w:cs="宋体"/>
          <w:color w:val="auto"/>
          <w:spacing w:val="-3"/>
          <w:sz w:val="21"/>
          <w:szCs w:val="21"/>
          <w:highlight w:val="none"/>
        </w:rPr>
        <w:t>知承包人清点的， 承包人不负责材料</w:t>
      </w:r>
    </w:p>
    <w:p w14:paraId="3B6BD230">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和工程设备的保管，</w:t>
      </w:r>
      <w:r>
        <w:rPr>
          <w:rFonts w:ascii="宋体" w:hAnsi="宋体" w:eastAsia="宋体" w:cs="宋体"/>
          <w:color w:val="auto"/>
          <w:spacing w:val="46"/>
          <w:sz w:val="21"/>
          <w:szCs w:val="21"/>
          <w:highlight w:val="none"/>
        </w:rPr>
        <w:t xml:space="preserve"> </w:t>
      </w:r>
      <w:r>
        <w:rPr>
          <w:rFonts w:ascii="宋体" w:hAnsi="宋体" w:eastAsia="宋体" w:cs="宋体"/>
          <w:color w:val="auto"/>
          <w:spacing w:val="-7"/>
          <w:sz w:val="21"/>
          <w:szCs w:val="21"/>
          <w:highlight w:val="none"/>
        </w:rPr>
        <w:t>由此导致丢失毁损的由发包人负责。</w:t>
      </w:r>
    </w:p>
    <w:p w14:paraId="2781B24E">
      <w:pPr>
        <w:spacing w:before="152" w:line="399" w:lineRule="exact"/>
        <w:ind w:left="444"/>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发包人供应的材料和工程设备使用前，由承包人负责检验， 检验费用由发包人承担，</w:t>
      </w:r>
    </w:p>
    <w:p w14:paraId="38870449">
      <w:pPr>
        <w:spacing w:line="220" w:lineRule="auto"/>
        <w:ind w:left="2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不合格的不得使用。</w:t>
      </w:r>
    </w:p>
    <w:p w14:paraId="084607D8">
      <w:pPr>
        <w:spacing w:before="148" w:line="220" w:lineRule="auto"/>
        <w:ind w:left="44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8.4.2 </w:t>
      </w:r>
      <w:r>
        <w:rPr>
          <w:rFonts w:ascii="宋体" w:hAnsi="宋体" w:eastAsia="宋体" w:cs="宋体"/>
          <w:color w:val="auto"/>
          <w:spacing w:val="-1"/>
          <w:sz w:val="21"/>
          <w:szCs w:val="21"/>
          <w:highlight w:val="none"/>
        </w:rPr>
        <w:t>承包人采购材料与工程设备的保管与使用</w:t>
      </w:r>
    </w:p>
    <w:p w14:paraId="7A40B1E4">
      <w:pPr>
        <w:spacing w:before="153" w:line="399" w:lineRule="exact"/>
        <w:ind w:left="441"/>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承包人采购的材料和工程设备由承包人妥善保管，保管费用由承包人承担。法律规定</w:t>
      </w:r>
    </w:p>
    <w:p w14:paraId="1EE4EFC1">
      <w:pPr>
        <w:spacing w:before="1" w:line="219" w:lineRule="auto"/>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材料和工程设备使用前必须进行检验或试验的， 承包人应按监理人的要求进行检验或试验，</w:t>
      </w:r>
    </w:p>
    <w:p w14:paraId="38D1F71D">
      <w:pPr>
        <w:spacing w:line="219" w:lineRule="auto"/>
        <w:rPr>
          <w:rFonts w:ascii="宋体" w:hAnsi="宋体" w:eastAsia="宋体" w:cs="宋体"/>
          <w:color w:val="auto"/>
          <w:sz w:val="21"/>
          <w:szCs w:val="21"/>
          <w:highlight w:val="none"/>
        </w:rPr>
        <w:sectPr>
          <w:footerReference r:id="rId124" w:type="default"/>
          <w:pgSz w:w="11905" w:h="16839"/>
          <w:pgMar w:top="1431" w:right="1633" w:bottom="1004" w:left="1785" w:header="0" w:footer="828" w:gutter="0"/>
          <w:pgNumType w:fmt="decimal"/>
          <w:cols w:space="720" w:num="1"/>
        </w:sectPr>
      </w:pPr>
    </w:p>
    <w:p w14:paraId="189FBC6C">
      <w:pPr>
        <w:spacing w:before="148" w:line="221"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检验或试验费用由承包人承担，不合格的不得使用。</w:t>
      </w:r>
    </w:p>
    <w:p w14:paraId="4CD75BB7">
      <w:pPr>
        <w:spacing w:before="147" w:line="403" w:lineRule="exact"/>
        <w:ind w:left="444"/>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发包人或监理人发现承包人使用不符合设计或有关标准要求的材料和工程设备时，有</w:t>
      </w:r>
    </w:p>
    <w:p w14:paraId="77C7150D">
      <w:pPr>
        <w:spacing w:line="219"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权要求承包人进行修复、拆除或重新采购，由此增加的费用和（或）延误的工期，</w:t>
      </w:r>
      <w:r>
        <w:rPr>
          <w:rFonts w:ascii="宋体" w:hAnsi="宋体" w:eastAsia="宋体" w:cs="宋体"/>
          <w:color w:val="auto"/>
          <w:spacing w:val="46"/>
          <w:sz w:val="21"/>
          <w:szCs w:val="21"/>
          <w:highlight w:val="none"/>
        </w:rPr>
        <w:t xml:space="preserve"> </w:t>
      </w:r>
      <w:r>
        <w:rPr>
          <w:rFonts w:ascii="宋体" w:hAnsi="宋体" w:eastAsia="宋体" w:cs="宋体"/>
          <w:color w:val="auto"/>
          <w:spacing w:val="-1"/>
          <w:sz w:val="21"/>
          <w:szCs w:val="21"/>
          <w:highlight w:val="none"/>
        </w:rPr>
        <w:t>由承包</w:t>
      </w:r>
    </w:p>
    <w:p w14:paraId="30F9C29F">
      <w:pPr>
        <w:spacing w:before="148" w:line="221" w:lineRule="auto"/>
        <w:ind w:left="20"/>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人承担。</w:t>
      </w:r>
    </w:p>
    <w:p w14:paraId="4676DB84">
      <w:pPr>
        <w:spacing w:before="46" w:line="219" w:lineRule="auto"/>
        <w:ind w:left="16"/>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8.5</w:t>
      </w:r>
      <w:r>
        <w:rPr>
          <w:rFonts w:ascii="黑体" w:hAnsi="黑体" w:eastAsia="黑体" w:cs="黑体"/>
          <w:color w:val="auto"/>
          <w:spacing w:val="-50"/>
          <w:sz w:val="24"/>
          <w:szCs w:val="24"/>
          <w:highlight w:val="none"/>
        </w:rPr>
        <w:t xml:space="preserve"> </w:t>
      </w:r>
      <w:r>
        <w:rPr>
          <w:rFonts w:ascii="黑体" w:hAnsi="黑体" w:eastAsia="黑体" w:cs="黑体"/>
          <w:color w:val="auto"/>
          <w:spacing w:val="-1"/>
          <w:sz w:val="24"/>
          <w:szCs w:val="24"/>
          <w:highlight w:val="none"/>
        </w:rPr>
        <w:t>禁止使用不合格的材料和工程设备</w:t>
      </w:r>
    </w:p>
    <w:p w14:paraId="551592F0">
      <w:pPr>
        <w:spacing w:before="128" w:line="353" w:lineRule="auto"/>
        <w:ind w:left="20" w:right="182" w:firstLine="42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8.5.1</w:t>
      </w:r>
      <w:r>
        <w:rPr>
          <w:rFonts w:ascii="Times New Roman" w:hAnsi="Times New Roman" w:eastAsia="Times New Roman" w:cs="Times New Roman"/>
          <w:color w:val="auto"/>
          <w:spacing w:val="33"/>
          <w:w w:val="101"/>
          <w:sz w:val="21"/>
          <w:szCs w:val="21"/>
          <w:highlight w:val="none"/>
        </w:rPr>
        <w:t xml:space="preserve"> </w:t>
      </w:r>
      <w:r>
        <w:rPr>
          <w:rFonts w:ascii="宋体" w:hAnsi="宋体" w:eastAsia="宋体" w:cs="宋体"/>
          <w:color w:val="auto"/>
          <w:spacing w:val="1"/>
          <w:sz w:val="21"/>
          <w:szCs w:val="21"/>
          <w:highlight w:val="none"/>
        </w:rPr>
        <w:t>监理人有权拒绝承包人提供的不合格</w:t>
      </w:r>
      <w:r>
        <w:rPr>
          <w:rFonts w:ascii="宋体" w:hAnsi="宋体" w:eastAsia="宋体" w:cs="宋体"/>
          <w:color w:val="auto"/>
          <w:sz w:val="21"/>
          <w:szCs w:val="21"/>
          <w:highlight w:val="none"/>
        </w:rPr>
        <w:t xml:space="preserve">材料或工程设备，并要求承包人立即进行更 </w:t>
      </w:r>
      <w:r>
        <w:rPr>
          <w:rFonts w:ascii="宋体" w:hAnsi="宋体" w:eastAsia="宋体" w:cs="宋体"/>
          <w:color w:val="auto"/>
          <w:spacing w:val="-2"/>
          <w:sz w:val="21"/>
          <w:szCs w:val="21"/>
          <w:highlight w:val="none"/>
        </w:rPr>
        <w:t>换。监理人应在更换后再次进行检查和检验， 由此</w:t>
      </w:r>
      <w:r>
        <w:rPr>
          <w:rFonts w:ascii="宋体" w:hAnsi="宋体" w:eastAsia="宋体" w:cs="宋体"/>
          <w:color w:val="auto"/>
          <w:spacing w:val="-3"/>
          <w:sz w:val="21"/>
          <w:szCs w:val="21"/>
          <w:highlight w:val="none"/>
        </w:rPr>
        <w:t>增加的费用和（或） 延误的工期由承包</w:t>
      </w:r>
    </w:p>
    <w:p w14:paraId="17A36CB3">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人承担。</w:t>
      </w:r>
    </w:p>
    <w:p w14:paraId="0FA01089">
      <w:pPr>
        <w:spacing w:before="147" w:line="404" w:lineRule="exact"/>
        <w:ind w:left="445"/>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8.5.2</w:t>
      </w:r>
      <w:r>
        <w:rPr>
          <w:rFonts w:ascii="Times New Roman" w:hAnsi="Times New Roman" w:eastAsia="Times New Roman" w:cs="Times New Roman"/>
          <w:color w:val="auto"/>
          <w:spacing w:val="33"/>
          <w:w w:val="101"/>
          <w:position w:val="14"/>
          <w:sz w:val="21"/>
          <w:szCs w:val="21"/>
          <w:highlight w:val="none"/>
        </w:rPr>
        <w:t xml:space="preserve"> </w:t>
      </w:r>
      <w:r>
        <w:rPr>
          <w:rFonts w:ascii="宋体" w:hAnsi="宋体" w:eastAsia="宋体" w:cs="宋体"/>
          <w:color w:val="auto"/>
          <w:spacing w:val="1"/>
          <w:position w:val="14"/>
          <w:sz w:val="21"/>
          <w:szCs w:val="21"/>
          <w:highlight w:val="none"/>
        </w:rPr>
        <w:t>监理人发现承包人使用了不合格的材</w:t>
      </w:r>
      <w:r>
        <w:rPr>
          <w:rFonts w:ascii="宋体" w:hAnsi="宋体" w:eastAsia="宋体" w:cs="宋体"/>
          <w:color w:val="auto"/>
          <w:position w:val="14"/>
          <w:sz w:val="21"/>
          <w:szCs w:val="21"/>
          <w:highlight w:val="none"/>
        </w:rPr>
        <w:t>料和工程设备，承包人应按照监理人的指示</w:t>
      </w:r>
    </w:p>
    <w:p w14:paraId="7FD7F6F4">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立即改正，</w:t>
      </w:r>
      <w:r>
        <w:rPr>
          <w:rFonts w:ascii="宋体" w:hAnsi="宋体" w:eastAsia="宋体" w:cs="宋体"/>
          <w:color w:val="auto"/>
          <w:spacing w:val="61"/>
          <w:sz w:val="21"/>
          <w:szCs w:val="21"/>
          <w:highlight w:val="none"/>
        </w:rPr>
        <w:t xml:space="preserve"> </w:t>
      </w:r>
      <w:r>
        <w:rPr>
          <w:rFonts w:ascii="宋体" w:hAnsi="宋体" w:eastAsia="宋体" w:cs="宋体"/>
          <w:color w:val="auto"/>
          <w:spacing w:val="-7"/>
          <w:sz w:val="21"/>
          <w:szCs w:val="21"/>
          <w:highlight w:val="none"/>
        </w:rPr>
        <w:t>并禁止在工程中继续使用不合格的材料和工程设备。</w:t>
      </w:r>
    </w:p>
    <w:p w14:paraId="6BF5CE0D">
      <w:pPr>
        <w:spacing w:before="149" w:line="275" w:lineRule="auto"/>
        <w:ind w:left="16" w:firstLine="429"/>
        <w:rPr>
          <w:rFonts w:ascii="黑体" w:hAnsi="黑体" w:eastAsia="黑体" w:cs="黑体"/>
          <w:color w:val="auto"/>
          <w:sz w:val="24"/>
          <w:szCs w:val="24"/>
          <w:highlight w:val="none"/>
        </w:rPr>
      </w:pPr>
      <w:r>
        <w:rPr>
          <w:rFonts w:ascii="Times New Roman" w:hAnsi="Times New Roman" w:eastAsia="Times New Roman" w:cs="Times New Roman"/>
          <w:color w:val="auto"/>
          <w:sz w:val="21"/>
          <w:szCs w:val="21"/>
          <w:highlight w:val="none"/>
        </w:rPr>
        <w:t>8.5.3</w:t>
      </w:r>
      <w:r>
        <w:rPr>
          <w:rFonts w:ascii="Times New Roman" w:hAnsi="Times New Roman" w:eastAsia="Times New Roman" w:cs="Times New Roman"/>
          <w:color w:val="auto"/>
          <w:spacing w:val="47"/>
          <w:w w:val="101"/>
          <w:sz w:val="21"/>
          <w:szCs w:val="21"/>
          <w:highlight w:val="none"/>
        </w:rPr>
        <w:t xml:space="preserve"> </w:t>
      </w:r>
      <w:r>
        <w:rPr>
          <w:rFonts w:ascii="宋体" w:hAnsi="宋体" w:eastAsia="宋体" w:cs="宋体"/>
          <w:color w:val="auto"/>
          <w:sz w:val="21"/>
          <w:szCs w:val="21"/>
          <w:highlight w:val="none"/>
        </w:rPr>
        <w:t>发包人提供的材料或工程设备不符合合同要求的，承包人有权拒绝，并可要求发  包人更换，由此增加的费用和（或） 延误的工期由发包</w:t>
      </w:r>
      <w:r>
        <w:rPr>
          <w:rFonts w:ascii="宋体" w:hAnsi="宋体" w:eastAsia="宋体" w:cs="宋体"/>
          <w:color w:val="auto"/>
          <w:spacing w:val="-1"/>
          <w:sz w:val="21"/>
          <w:szCs w:val="21"/>
          <w:highlight w:val="none"/>
        </w:rPr>
        <w:t>人承担，并支付承包人合理的利润。</w:t>
      </w:r>
      <w:r>
        <w:rPr>
          <w:rFonts w:ascii="宋体" w:hAnsi="宋体" w:eastAsia="宋体" w:cs="宋体"/>
          <w:color w:val="auto"/>
          <w:sz w:val="21"/>
          <w:szCs w:val="21"/>
          <w:highlight w:val="none"/>
        </w:rPr>
        <w:t xml:space="preserve"> </w:t>
      </w:r>
      <w:r>
        <w:rPr>
          <w:rFonts w:ascii="黑体" w:hAnsi="黑体" w:eastAsia="黑体" w:cs="黑体"/>
          <w:color w:val="auto"/>
          <w:spacing w:val="-3"/>
          <w:sz w:val="24"/>
          <w:szCs w:val="24"/>
          <w:highlight w:val="none"/>
        </w:rPr>
        <w:t>8.6</w:t>
      </w:r>
      <w:r>
        <w:rPr>
          <w:rFonts w:ascii="黑体" w:hAnsi="黑体" w:eastAsia="黑体" w:cs="黑体"/>
          <w:color w:val="auto"/>
          <w:spacing w:val="12"/>
          <w:sz w:val="24"/>
          <w:szCs w:val="24"/>
          <w:highlight w:val="none"/>
        </w:rPr>
        <w:t xml:space="preserve"> </w:t>
      </w:r>
      <w:r>
        <w:rPr>
          <w:rFonts w:ascii="黑体" w:hAnsi="黑体" w:eastAsia="黑体" w:cs="黑体"/>
          <w:color w:val="auto"/>
          <w:spacing w:val="-3"/>
          <w:sz w:val="24"/>
          <w:szCs w:val="24"/>
          <w:highlight w:val="none"/>
        </w:rPr>
        <w:t>样品</w:t>
      </w:r>
    </w:p>
    <w:p w14:paraId="38E4B417">
      <w:pPr>
        <w:spacing w:before="126" w:line="221" w:lineRule="auto"/>
        <w:ind w:left="445"/>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8.6.1 </w:t>
      </w:r>
      <w:r>
        <w:rPr>
          <w:rFonts w:ascii="宋体" w:hAnsi="宋体" w:eastAsia="宋体" w:cs="宋体"/>
          <w:color w:val="auto"/>
          <w:spacing w:val="-2"/>
          <w:sz w:val="21"/>
          <w:szCs w:val="21"/>
          <w:highlight w:val="none"/>
        </w:rPr>
        <w:t>样品的报送与封存</w:t>
      </w:r>
    </w:p>
    <w:p w14:paraId="3FEDFB7B">
      <w:pPr>
        <w:spacing w:before="152" w:line="398" w:lineRule="exact"/>
        <w:ind w:left="452"/>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需要承包人报送样品的材料或工程设备， 样品的种类、名称、规格、数量等要</w:t>
      </w:r>
      <w:r>
        <w:rPr>
          <w:rFonts w:ascii="宋体" w:hAnsi="宋体" w:eastAsia="宋体" w:cs="宋体"/>
          <w:color w:val="auto"/>
          <w:spacing w:val="-1"/>
          <w:position w:val="14"/>
          <w:sz w:val="21"/>
          <w:szCs w:val="21"/>
          <w:highlight w:val="none"/>
        </w:rPr>
        <w:t>求均应</w:t>
      </w:r>
    </w:p>
    <w:p w14:paraId="1B734B6D">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在专用合同条款中约定。样品的报送程序如下：</w:t>
      </w:r>
    </w:p>
    <w:p w14:paraId="3CC8BD47">
      <w:pPr>
        <w:spacing w:before="149" w:line="352" w:lineRule="auto"/>
        <w:ind w:left="18" w:right="5" w:firstLine="429"/>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 xml:space="preserve">）承包人应在计划采购前 </w:t>
      </w:r>
      <w:r>
        <w:rPr>
          <w:rFonts w:ascii="Times New Roman" w:hAnsi="Times New Roman" w:eastAsia="Times New Roman" w:cs="Times New Roman"/>
          <w:color w:val="auto"/>
          <w:sz w:val="21"/>
          <w:szCs w:val="21"/>
          <w:highlight w:val="none"/>
        </w:rPr>
        <w:t xml:space="preserve">28  </w:t>
      </w:r>
      <w:r>
        <w:rPr>
          <w:rFonts w:ascii="宋体" w:hAnsi="宋体" w:eastAsia="宋体" w:cs="宋体"/>
          <w:color w:val="auto"/>
          <w:sz w:val="21"/>
          <w:szCs w:val="21"/>
          <w:highlight w:val="none"/>
        </w:rPr>
        <w:t>天向监理人报送样品。承包</w:t>
      </w:r>
      <w:r>
        <w:rPr>
          <w:rFonts w:ascii="宋体" w:hAnsi="宋体" w:eastAsia="宋体" w:cs="宋体"/>
          <w:color w:val="auto"/>
          <w:spacing w:val="-1"/>
          <w:sz w:val="21"/>
          <w:szCs w:val="21"/>
          <w:highlight w:val="none"/>
        </w:rPr>
        <w:t xml:space="preserve">人报送的样品均应来自供  </w:t>
      </w:r>
      <w:r>
        <w:rPr>
          <w:rFonts w:ascii="宋体" w:hAnsi="宋体" w:eastAsia="宋体" w:cs="宋体"/>
          <w:color w:val="auto"/>
          <w:spacing w:val="2"/>
          <w:sz w:val="21"/>
          <w:szCs w:val="21"/>
          <w:highlight w:val="none"/>
        </w:rPr>
        <w:t>应材料的实际生产地，且提供的样品的规格、数量足以表明材料或工程设备的质量、型号、</w:t>
      </w:r>
    </w:p>
    <w:p w14:paraId="1713E6B7">
      <w:pPr>
        <w:spacing w:line="220" w:lineRule="auto"/>
        <w:ind w:left="17"/>
        <w:rPr>
          <w:rFonts w:ascii="宋体" w:hAnsi="宋体" w:eastAsia="宋体" w:cs="宋体"/>
          <w:color w:val="auto"/>
          <w:sz w:val="21"/>
          <w:szCs w:val="21"/>
          <w:highlight w:val="none"/>
        </w:rPr>
      </w:pPr>
      <w:r>
        <w:rPr>
          <w:rFonts w:ascii="宋体" w:hAnsi="宋体" w:eastAsia="宋体" w:cs="宋体"/>
          <w:color w:val="auto"/>
          <w:sz w:val="21"/>
          <w:szCs w:val="21"/>
          <w:highlight w:val="none"/>
        </w:rPr>
        <w:t>颜色、表面处理、质地、误差和其他要求的</w:t>
      </w:r>
      <w:r>
        <w:rPr>
          <w:rFonts w:ascii="宋体" w:hAnsi="宋体" w:eastAsia="宋体" w:cs="宋体"/>
          <w:color w:val="auto"/>
          <w:spacing w:val="-1"/>
          <w:sz w:val="21"/>
          <w:szCs w:val="21"/>
          <w:highlight w:val="none"/>
        </w:rPr>
        <w:t>特征。</w:t>
      </w:r>
    </w:p>
    <w:p w14:paraId="39826C01">
      <w:pPr>
        <w:spacing w:before="147" w:line="353" w:lineRule="auto"/>
        <w:ind w:left="23" w:right="19" w:firstLine="42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）承包人每次报送样品时应随附申报单，申报单应载明报送样品的</w:t>
      </w:r>
      <w:r>
        <w:rPr>
          <w:rFonts w:ascii="宋体" w:hAnsi="宋体" w:eastAsia="宋体" w:cs="宋体"/>
          <w:color w:val="auto"/>
          <w:spacing w:val="-2"/>
          <w:sz w:val="21"/>
          <w:szCs w:val="21"/>
          <w:highlight w:val="none"/>
        </w:rPr>
        <w:t>相关数据和资料，</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并标明每件样品对应的图纸号，预留监理人批复意见栏。监理人</w:t>
      </w:r>
      <w:r>
        <w:rPr>
          <w:rFonts w:ascii="宋体" w:hAnsi="宋体" w:eastAsia="宋体" w:cs="宋体"/>
          <w:color w:val="auto"/>
          <w:spacing w:val="2"/>
          <w:sz w:val="21"/>
          <w:szCs w:val="21"/>
          <w:highlight w:val="none"/>
        </w:rPr>
        <w:t>应在收到承包人报送的样</w:t>
      </w:r>
    </w:p>
    <w:p w14:paraId="467B31BC">
      <w:pPr>
        <w:spacing w:line="220" w:lineRule="auto"/>
        <w:ind w:left="3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品后</w:t>
      </w:r>
      <w:r>
        <w:rPr>
          <w:rFonts w:ascii="宋体" w:hAnsi="宋体" w:eastAsia="宋体" w:cs="宋体"/>
          <w:color w:val="auto"/>
          <w:spacing w:val="-35"/>
          <w:sz w:val="21"/>
          <w:szCs w:val="21"/>
          <w:highlight w:val="none"/>
        </w:rPr>
        <w:t xml:space="preserve"> </w:t>
      </w:r>
      <w:r>
        <w:rPr>
          <w:rFonts w:ascii="Times New Roman" w:hAnsi="Times New Roman" w:eastAsia="Times New Roman" w:cs="Times New Roman"/>
          <w:color w:val="auto"/>
          <w:spacing w:val="-2"/>
          <w:sz w:val="21"/>
          <w:szCs w:val="21"/>
          <w:highlight w:val="none"/>
        </w:rPr>
        <w:t xml:space="preserve">7 </w:t>
      </w:r>
      <w:r>
        <w:rPr>
          <w:rFonts w:ascii="宋体" w:hAnsi="宋体" w:eastAsia="宋体" w:cs="宋体"/>
          <w:color w:val="auto"/>
          <w:spacing w:val="-2"/>
          <w:sz w:val="21"/>
          <w:szCs w:val="21"/>
          <w:highlight w:val="none"/>
        </w:rPr>
        <w:t>天向承包人回复经发包人签认的样品审批意见。</w:t>
      </w:r>
    </w:p>
    <w:p w14:paraId="52857895">
      <w:pPr>
        <w:spacing w:before="148" w:line="403"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）经发包人和监理人审批确认的样品应按约定的方法封样，封存的样品作为检验工</w:t>
      </w:r>
    </w:p>
    <w:p w14:paraId="1F6496CD">
      <w:pPr>
        <w:spacing w:before="1" w:line="219"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程相关部分的标准之一。承包人在施工过程中不得使用与样品不符的材料或工程设备。</w:t>
      </w:r>
    </w:p>
    <w:p w14:paraId="381DFF89">
      <w:pPr>
        <w:spacing w:before="147" w:line="353" w:lineRule="auto"/>
        <w:ind w:left="21" w:right="180" w:firstLine="42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4</w:t>
      </w:r>
      <w:r>
        <w:rPr>
          <w:rFonts w:ascii="宋体" w:hAnsi="宋体" w:eastAsia="宋体" w:cs="宋体"/>
          <w:color w:val="auto"/>
          <w:spacing w:val="-1"/>
          <w:sz w:val="21"/>
          <w:szCs w:val="21"/>
          <w:highlight w:val="none"/>
        </w:rPr>
        <w:t>）发包人和监理人对样品的审批确认仅为确认相关材料或工程设备的特</w:t>
      </w:r>
      <w:r>
        <w:rPr>
          <w:rFonts w:ascii="宋体" w:hAnsi="宋体" w:eastAsia="宋体" w:cs="宋体"/>
          <w:color w:val="auto"/>
          <w:spacing w:val="-2"/>
          <w:sz w:val="21"/>
          <w:szCs w:val="21"/>
          <w:highlight w:val="none"/>
        </w:rPr>
        <w:t>征或用途，</w:t>
      </w:r>
      <w:r>
        <w:rPr>
          <w:rFonts w:ascii="宋体" w:hAnsi="宋体" w:eastAsia="宋体" w:cs="宋体"/>
          <w:color w:val="auto"/>
          <w:sz w:val="21"/>
          <w:szCs w:val="21"/>
          <w:highlight w:val="none"/>
        </w:rPr>
        <w:t xml:space="preserve"> 不得被理解为对合同的修改或改变，也并不减轻或免除承包人任何的责任和义务。 如果封</w:t>
      </w:r>
    </w:p>
    <w:p w14:paraId="06C2F565">
      <w:pPr>
        <w:spacing w:before="1" w:line="219"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存的样品修改或改变了合同约定，合同当事人应当以书面协议予以确认。</w:t>
      </w:r>
    </w:p>
    <w:p w14:paraId="6159CD42">
      <w:pPr>
        <w:spacing w:before="148" w:line="221" w:lineRule="auto"/>
        <w:ind w:left="44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8.6.2 </w:t>
      </w:r>
      <w:r>
        <w:rPr>
          <w:rFonts w:ascii="宋体" w:hAnsi="宋体" w:eastAsia="宋体" w:cs="宋体"/>
          <w:color w:val="auto"/>
          <w:spacing w:val="-1"/>
          <w:sz w:val="21"/>
          <w:szCs w:val="21"/>
          <w:highlight w:val="none"/>
        </w:rPr>
        <w:t>样品的保管</w:t>
      </w:r>
    </w:p>
    <w:p w14:paraId="5A67AA47">
      <w:pPr>
        <w:spacing w:before="148" w:line="220" w:lineRule="auto"/>
        <w:ind w:left="44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经批准的样品应由监理人负责封存于现场，承包人应在现场为保存样品提供适当和固</w:t>
      </w:r>
    </w:p>
    <w:p w14:paraId="51F74AD7">
      <w:pPr>
        <w:spacing w:before="152" w:line="221" w:lineRule="auto"/>
        <w:ind w:left="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定的场所并保持适当和良好的存储环境条件。</w:t>
      </w:r>
    </w:p>
    <w:p w14:paraId="0EB02352">
      <w:pPr>
        <w:spacing w:before="46" w:line="219" w:lineRule="auto"/>
        <w:ind w:left="16"/>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8.7</w:t>
      </w:r>
      <w:r>
        <w:rPr>
          <w:rFonts w:ascii="黑体" w:hAnsi="黑体" w:eastAsia="黑体" w:cs="黑体"/>
          <w:color w:val="auto"/>
          <w:spacing w:val="-43"/>
          <w:sz w:val="24"/>
          <w:szCs w:val="24"/>
          <w:highlight w:val="none"/>
        </w:rPr>
        <w:t xml:space="preserve"> </w:t>
      </w:r>
      <w:r>
        <w:rPr>
          <w:rFonts w:ascii="黑体" w:hAnsi="黑体" w:eastAsia="黑体" w:cs="黑体"/>
          <w:color w:val="auto"/>
          <w:spacing w:val="-2"/>
          <w:sz w:val="24"/>
          <w:szCs w:val="24"/>
          <w:highlight w:val="none"/>
        </w:rPr>
        <w:t>材料与工程设备的替代</w:t>
      </w:r>
    </w:p>
    <w:p w14:paraId="429A55D4">
      <w:pPr>
        <w:spacing w:before="129" w:line="220" w:lineRule="auto"/>
        <w:ind w:left="44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8.7.1 </w:t>
      </w:r>
      <w:r>
        <w:rPr>
          <w:rFonts w:ascii="宋体" w:hAnsi="宋体" w:eastAsia="宋体" w:cs="宋体"/>
          <w:color w:val="auto"/>
          <w:spacing w:val="-1"/>
          <w:sz w:val="21"/>
          <w:szCs w:val="21"/>
          <w:highlight w:val="none"/>
        </w:rPr>
        <w:t>出现下列情况需要使用替代材料和工程设备的，承包人应按照第</w:t>
      </w:r>
      <w:r>
        <w:rPr>
          <w:rFonts w:ascii="宋体" w:hAnsi="宋体" w:eastAsia="宋体" w:cs="宋体"/>
          <w:color w:val="auto"/>
          <w:spacing w:val="-41"/>
          <w:sz w:val="21"/>
          <w:szCs w:val="21"/>
          <w:highlight w:val="none"/>
        </w:rPr>
        <w:t xml:space="preserve"> </w:t>
      </w:r>
      <w:r>
        <w:rPr>
          <w:rFonts w:ascii="Times New Roman" w:hAnsi="Times New Roman" w:eastAsia="Times New Roman" w:cs="Times New Roman"/>
          <w:color w:val="auto"/>
          <w:spacing w:val="-1"/>
          <w:sz w:val="21"/>
          <w:szCs w:val="21"/>
          <w:highlight w:val="none"/>
        </w:rPr>
        <w:t>8</w:t>
      </w:r>
      <w:r>
        <w:rPr>
          <w:rFonts w:ascii="Times New Roman" w:hAnsi="Times New Roman" w:eastAsia="Times New Roman" w:cs="Times New Roman"/>
          <w:color w:val="auto"/>
          <w:spacing w:val="-2"/>
          <w:sz w:val="21"/>
          <w:szCs w:val="21"/>
          <w:highlight w:val="none"/>
        </w:rPr>
        <w:t xml:space="preserve">.7.2 </w:t>
      </w:r>
      <w:r>
        <w:rPr>
          <w:rFonts w:ascii="宋体" w:hAnsi="宋体" w:eastAsia="宋体" w:cs="宋体"/>
          <w:color w:val="auto"/>
          <w:spacing w:val="-2"/>
          <w:sz w:val="21"/>
          <w:szCs w:val="21"/>
          <w:highlight w:val="none"/>
        </w:rPr>
        <w:t>项约定的程</w:t>
      </w:r>
    </w:p>
    <w:p w14:paraId="73D7C6BC">
      <w:pPr>
        <w:spacing w:before="148" w:line="221" w:lineRule="auto"/>
        <w:ind w:left="17"/>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序执行：</w:t>
      </w:r>
    </w:p>
    <w:p w14:paraId="2C351E55">
      <w:pPr>
        <w:spacing w:before="152" w:line="399" w:lineRule="exact"/>
        <w:ind w:left="447"/>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1</w:t>
      </w:r>
      <w:r>
        <w:rPr>
          <w:rFonts w:ascii="宋体" w:hAnsi="宋体" w:eastAsia="宋体" w:cs="宋体"/>
          <w:color w:val="auto"/>
          <w:spacing w:val="-2"/>
          <w:position w:val="14"/>
          <w:sz w:val="21"/>
          <w:szCs w:val="21"/>
          <w:highlight w:val="none"/>
        </w:rPr>
        <w:t>）基准日期后生效的法律规定禁止使用的；</w:t>
      </w:r>
    </w:p>
    <w:p w14:paraId="37375E2D">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）发包人要求使用替代品的；</w:t>
      </w:r>
    </w:p>
    <w:p w14:paraId="630ED855">
      <w:pPr>
        <w:spacing w:line="220" w:lineRule="auto"/>
        <w:rPr>
          <w:rFonts w:ascii="宋体" w:hAnsi="宋体" w:eastAsia="宋体" w:cs="宋体"/>
          <w:color w:val="auto"/>
          <w:sz w:val="21"/>
          <w:szCs w:val="21"/>
          <w:highlight w:val="none"/>
        </w:rPr>
        <w:sectPr>
          <w:footerReference r:id="rId125" w:type="default"/>
          <w:pgSz w:w="11905" w:h="16839"/>
          <w:pgMar w:top="1431" w:right="1611" w:bottom="1004" w:left="1785" w:header="0" w:footer="828" w:gutter="0"/>
          <w:pgNumType w:fmt="decimal"/>
          <w:cols w:space="720" w:num="1"/>
        </w:sectPr>
      </w:pPr>
    </w:p>
    <w:p w14:paraId="57F484E3">
      <w:pPr>
        <w:spacing w:before="148"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）因其他原因必须使用替代品的。</w:t>
      </w:r>
    </w:p>
    <w:p w14:paraId="345BE7E3">
      <w:pPr>
        <w:spacing w:before="147" w:line="220" w:lineRule="auto"/>
        <w:ind w:left="44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8.7.2 </w:t>
      </w:r>
      <w:r>
        <w:rPr>
          <w:rFonts w:ascii="宋体" w:hAnsi="宋体" w:eastAsia="宋体" w:cs="宋体"/>
          <w:color w:val="auto"/>
          <w:spacing w:val="-1"/>
          <w:sz w:val="21"/>
          <w:szCs w:val="21"/>
          <w:highlight w:val="none"/>
        </w:rPr>
        <w:t>承包人应在使用替代材料和工程设备</w:t>
      </w:r>
      <w:r>
        <w:rPr>
          <w:rFonts w:ascii="宋体" w:hAnsi="宋体" w:eastAsia="宋体" w:cs="宋体"/>
          <w:color w:val="auto"/>
          <w:spacing w:val="-29"/>
          <w:sz w:val="21"/>
          <w:szCs w:val="21"/>
          <w:highlight w:val="none"/>
        </w:rPr>
        <w:t xml:space="preserve"> </w:t>
      </w:r>
      <w:r>
        <w:rPr>
          <w:rFonts w:ascii="Times New Roman" w:hAnsi="Times New Roman" w:eastAsia="Times New Roman" w:cs="Times New Roman"/>
          <w:color w:val="auto"/>
          <w:spacing w:val="-1"/>
          <w:sz w:val="21"/>
          <w:szCs w:val="21"/>
          <w:highlight w:val="none"/>
        </w:rPr>
        <w:t xml:space="preserve">28 </w:t>
      </w:r>
      <w:r>
        <w:rPr>
          <w:rFonts w:ascii="宋体" w:hAnsi="宋体" w:eastAsia="宋体" w:cs="宋体"/>
          <w:color w:val="auto"/>
          <w:spacing w:val="-1"/>
          <w:sz w:val="21"/>
          <w:szCs w:val="21"/>
          <w:highlight w:val="none"/>
        </w:rPr>
        <w:t>天前书面通知监理人，并附下列文件：</w:t>
      </w:r>
    </w:p>
    <w:p w14:paraId="04E697C9">
      <w:pPr>
        <w:spacing w:before="153" w:line="219" w:lineRule="auto"/>
        <w:ind w:right="12"/>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）被替代的材料和工程设备的名称、数量、规格、型号、品牌、性能、价</w:t>
      </w:r>
      <w:r>
        <w:rPr>
          <w:rFonts w:ascii="宋体" w:hAnsi="宋体" w:eastAsia="宋体" w:cs="宋体"/>
          <w:color w:val="auto"/>
          <w:spacing w:val="-1"/>
          <w:sz w:val="21"/>
          <w:szCs w:val="21"/>
          <w:highlight w:val="none"/>
        </w:rPr>
        <w:t>格及其他</w:t>
      </w:r>
    </w:p>
    <w:p w14:paraId="0AA38B8A">
      <w:pPr>
        <w:spacing w:before="150" w:line="221" w:lineRule="auto"/>
        <w:ind w:left="18"/>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相关资料；</w:t>
      </w:r>
    </w:p>
    <w:p w14:paraId="61FC5957">
      <w:pPr>
        <w:spacing w:before="146" w:line="403"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2</w:t>
      </w:r>
      <w:r>
        <w:rPr>
          <w:rFonts w:ascii="宋体" w:hAnsi="宋体" w:eastAsia="宋体" w:cs="宋体"/>
          <w:color w:val="auto"/>
          <w:spacing w:val="-1"/>
          <w:position w:val="14"/>
          <w:sz w:val="21"/>
          <w:szCs w:val="21"/>
          <w:highlight w:val="none"/>
        </w:rPr>
        <w:t>）替代品的名称、数量、规格、型号、品牌、性能</w:t>
      </w:r>
      <w:r>
        <w:rPr>
          <w:rFonts w:ascii="宋体" w:hAnsi="宋体" w:eastAsia="宋体" w:cs="宋体"/>
          <w:color w:val="auto"/>
          <w:spacing w:val="-2"/>
          <w:position w:val="14"/>
          <w:sz w:val="21"/>
          <w:szCs w:val="21"/>
          <w:highlight w:val="none"/>
        </w:rPr>
        <w:t>、价格及其他相关资料；</w:t>
      </w:r>
    </w:p>
    <w:p w14:paraId="7D102984">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）替代品与被替代产品之间的差异以及使用替代品</w:t>
      </w:r>
      <w:r>
        <w:rPr>
          <w:rFonts w:ascii="宋体" w:hAnsi="宋体" w:eastAsia="宋体" w:cs="宋体"/>
          <w:color w:val="auto"/>
          <w:spacing w:val="-2"/>
          <w:sz w:val="21"/>
          <w:szCs w:val="21"/>
          <w:highlight w:val="none"/>
        </w:rPr>
        <w:t>可能对工程产生的影响；</w:t>
      </w:r>
    </w:p>
    <w:p w14:paraId="28950A41">
      <w:pPr>
        <w:spacing w:before="147" w:line="399" w:lineRule="exact"/>
        <w:ind w:left="447"/>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w:t>
      </w:r>
      <w:r>
        <w:rPr>
          <w:rFonts w:ascii="Times New Roman" w:hAnsi="Times New Roman" w:eastAsia="Times New Roman" w:cs="Times New Roman"/>
          <w:color w:val="auto"/>
          <w:spacing w:val="-3"/>
          <w:position w:val="14"/>
          <w:sz w:val="21"/>
          <w:szCs w:val="21"/>
          <w:highlight w:val="none"/>
        </w:rPr>
        <w:t>4</w:t>
      </w:r>
      <w:r>
        <w:rPr>
          <w:rFonts w:ascii="宋体" w:hAnsi="宋体" w:eastAsia="宋体" w:cs="宋体"/>
          <w:color w:val="auto"/>
          <w:spacing w:val="-3"/>
          <w:position w:val="14"/>
          <w:sz w:val="21"/>
          <w:szCs w:val="21"/>
          <w:highlight w:val="none"/>
        </w:rPr>
        <w:t>）替代品与被替代产品的价格差异；</w:t>
      </w:r>
    </w:p>
    <w:p w14:paraId="68C4C7AB">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5</w:t>
      </w:r>
      <w:r>
        <w:rPr>
          <w:rFonts w:ascii="宋体" w:hAnsi="宋体" w:eastAsia="宋体" w:cs="宋体"/>
          <w:color w:val="auto"/>
          <w:spacing w:val="-3"/>
          <w:sz w:val="21"/>
          <w:szCs w:val="21"/>
          <w:highlight w:val="none"/>
        </w:rPr>
        <w:t>）使用替代品的理由和原因说明；</w:t>
      </w:r>
    </w:p>
    <w:p w14:paraId="1A3886BD">
      <w:pPr>
        <w:spacing w:before="152"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6</w:t>
      </w:r>
      <w:r>
        <w:rPr>
          <w:rFonts w:ascii="宋体" w:hAnsi="宋体" w:eastAsia="宋体" w:cs="宋体"/>
          <w:color w:val="auto"/>
          <w:spacing w:val="-3"/>
          <w:sz w:val="21"/>
          <w:szCs w:val="21"/>
          <w:highlight w:val="none"/>
        </w:rPr>
        <w:t>）监理人要求的其他文件。</w:t>
      </w:r>
    </w:p>
    <w:p w14:paraId="7562BBA7">
      <w:pPr>
        <w:spacing w:before="148" w:line="398" w:lineRule="exact"/>
        <w:ind w:right="1"/>
        <w:jc w:val="right"/>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 xml:space="preserve">监理人应在收到通知后 </w:t>
      </w:r>
      <w:r>
        <w:rPr>
          <w:rFonts w:ascii="Times New Roman" w:hAnsi="Times New Roman" w:eastAsia="Times New Roman" w:cs="Times New Roman"/>
          <w:color w:val="auto"/>
          <w:spacing w:val="-4"/>
          <w:position w:val="14"/>
          <w:sz w:val="21"/>
          <w:szCs w:val="21"/>
          <w:highlight w:val="none"/>
        </w:rPr>
        <w:t>14</w:t>
      </w:r>
      <w:r>
        <w:rPr>
          <w:rFonts w:ascii="Times New Roman" w:hAnsi="Times New Roman" w:eastAsia="Times New Roman" w:cs="Times New Roman"/>
          <w:color w:val="auto"/>
          <w:spacing w:val="15"/>
          <w:position w:val="14"/>
          <w:sz w:val="21"/>
          <w:szCs w:val="21"/>
          <w:highlight w:val="none"/>
        </w:rPr>
        <w:t xml:space="preserve"> </w:t>
      </w:r>
      <w:r>
        <w:rPr>
          <w:rFonts w:ascii="宋体" w:hAnsi="宋体" w:eastAsia="宋体" w:cs="宋体"/>
          <w:color w:val="auto"/>
          <w:spacing w:val="-4"/>
          <w:position w:val="14"/>
          <w:sz w:val="21"/>
          <w:szCs w:val="21"/>
          <w:highlight w:val="none"/>
        </w:rPr>
        <w:t>天内向承包人发出经发包人签认的书面指示； 监理人逾期发</w:t>
      </w:r>
    </w:p>
    <w:p w14:paraId="2FB2B626">
      <w:pPr>
        <w:spacing w:before="1" w:line="219" w:lineRule="auto"/>
        <w:ind w:left="3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出书面指示的，视为发包人和监理人同意使用替代品。</w:t>
      </w:r>
    </w:p>
    <w:p w14:paraId="2D2F76A9">
      <w:pPr>
        <w:spacing w:before="152" w:line="351" w:lineRule="auto"/>
        <w:ind w:left="19" w:right="5" w:firstLine="426"/>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8.7.3</w:t>
      </w:r>
      <w:r>
        <w:rPr>
          <w:rFonts w:ascii="Times New Roman" w:hAnsi="Times New Roman" w:eastAsia="Times New Roman" w:cs="Times New Roman"/>
          <w:color w:val="auto"/>
          <w:spacing w:val="54"/>
          <w:w w:val="101"/>
          <w:sz w:val="21"/>
          <w:szCs w:val="21"/>
          <w:highlight w:val="none"/>
        </w:rPr>
        <w:t xml:space="preserve"> </w:t>
      </w:r>
      <w:r>
        <w:rPr>
          <w:rFonts w:ascii="宋体" w:hAnsi="宋体" w:eastAsia="宋体" w:cs="宋体"/>
          <w:color w:val="auto"/>
          <w:sz w:val="21"/>
          <w:szCs w:val="21"/>
          <w:highlight w:val="none"/>
        </w:rPr>
        <w:t xml:space="preserve">发包人认可使用替代材料和工程设备的，替代材料和工程设备的价格，按照已标 </w:t>
      </w:r>
      <w:r>
        <w:rPr>
          <w:rFonts w:ascii="宋体" w:hAnsi="宋体" w:eastAsia="宋体" w:cs="宋体"/>
          <w:color w:val="auto"/>
          <w:spacing w:val="-2"/>
          <w:sz w:val="21"/>
          <w:szCs w:val="21"/>
          <w:highlight w:val="none"/>
        </w:rPr>
        <w:t>价工程量清单或预算书相同项目的价格认定； 无相同项目的，参</w:t>
      </w:r>
      <w:r>
        <w:rPr>
          <w:rFonts w:ascii="宋体" w:hAnsi="宋体" w:eastAsia="宋体" w:cs="宋体"/>
          <w:color w:val="auto"/>
          <w:spacing w:val="-3"/>
          <w:sz w:val="21"/>
          <w:szCs w:val="21"/>
          <w:highlight w:val="none"/>
        </w:rPr>
        <w:t>考相似项目价格认定； 既</w:t>
      </w:r>
    </w:p>
    <w:p w14:paraId="1380CA48">
      <w:pPr>
        <w:spacing w:before="1" w:line="219" w:lineRule="auto"/>
        <w:ind w:left="20"/>
        <w:rPr>
          <w:rFonts w:ascii="Times New Roman" w:hAnsi="Times New Roman" w:eastAsia="Times New Roman" w:cs="Times New Roman"/>
          <w:color w:val="auto"/>
          <w:sz w:val="21"/>
          <w:szCs w:val="21"/>
          <w:highlight w:val="none"/>
        </w:rPr>
      </w:pPr>
      <w:r>
        <w:rPr>
          <w:rFonts w:ascii="宋体" w:hAnsi="宋体" w:eastAsia="宋体" w:cs="宋体"/>
          <w:color w:val="auto"/>
          <w:spacing w:val="-3"/>
          <w:sz w:val="21"/>
          <w:szCs w:val="21"/>
          <w:highlight w:val="none"/>
        </w:rPr>
        <w:t>无相同项目也无相似项目的， 按照合理的成本与利润构成的原则，由合同当事人按照第</w:t>
      </w:r>
      <w:r>
        <w:rPr>
          <w:rFonts w:ascii="宋体" w:hAnsi="宋体" w:eastAsia="宋体" w:cs="宋体"/>
          <w:color w:val="auto"/>
          <w:spacing w:val="-20"/>
          <w:sz w:val="21"/>
          <w:szCs w:val="21"/>
          <w:highlight w:val="none"/>
        </w:rPr>
        <w:t xml:space="preserve"> </w:t>
      </w:r>
      <w:r>
        <w:rPr>
          <w:rFonts w:ascii="Times New Roman" w:hAnsi="Times New Roman" w:eastAsia="Times New Roman" w:cs="Times New Roman"/>
          <w:color w:val="auto"/>
          <w:spacing w:val="-3"/>
          <w:sz w:val="21"/>
          <w:szCs w:val="21"/>
          <w:highlight w:val="none"/>
        </w:rPr>
        <w:t>4.4</w:t>
      </w:r>
    </w:p>
    <w:p w14:paraId="20C704A3">
      <w:pPr>
        <w:spacing w:before="153" w:line="219"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款〔商定或确定〕确定价格。</w:t>
      </w:r>
    </w:p>
    <w:p w14:paraId="1D213601">
      <w:pPr>
        <w:spacing w:before="48" w:line="219" w:lineRule="auto"/>
        <w:ind w:left="16"/>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8.8</w:t>
      </w:r>
      <w:r>
        <w:rPr>
          <w:rFonts w:ascii="黑体" w:hAnsi="黑体" w:eastAsia="黑体" w:cs="黑体"/>
          <w:color w:val="auto"/>
          <w:spacing w:val="-45"/>
          <w:sz w:val="24"/>
          <w:szCs w:val="24"/>
          <w:highlight w:val="none"/>
        </w:rPr>
        <w:t xml:space="preserve"> </w:t>
      </w:r>
      <w:r>
        <w:rPr>
          <w:rFonts w:ascii="黑体" w:hAnsi="黑体" w:eastAsia="黑体" w:cs="黑体"/>
          <w:color w:val="auto"/>
          <w:spacing w:val="-2"/>
          <w:sz w:val="24"/>
          <w:szCs w:val="24"/>
          <w:highlight w:val="none"/>
        </w:rPr>
        <w:t>施工设备和临时设施</w:t>
      </w:r>
    </w:p>
    <w:p w14:paraId="1D0EB1A4">
      <w:pPr>
        <w:spacing w:before="129" w:line="220" w:lineRule="auto"/>
        <w:ind w:left="44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8.8.1 </w:t>
      </w:r>
      <w:r>
        <w:rPr>
          <w:rFonts w:ascii="宋体" w:hAnsi="宋体" w:eastAsia="宋体" w:cs="宋体"/>
          <w:color w:val="auto"/>
          <w:spacing w:val="-1"/>
          <w:sz w:val="21"/>
          <w:szCs w:val="21"/>
          <w:highlight w:val="none"/>
        </w:rPr>
        <w:t>承包人提供的施工设备和临时设施</w:t>
      </w:r>
    </w:p>
    <w:p w14:paraId="6FAB61F0">
      <w:pPr>
        <w:spacing w:before="149" w:line="352" w:lineRule="auto"/>
        <w:ind w:left="35" w:right="6" w:firstLine="40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承包人应按合同进度计划的要求，及时配置施工设备和修建临时设施。进入施工场地 </w:t>
      </w:r>
      <w:r>
        <w:rPr>
          <w:rFonts w:ascii="宋体" w:hAnsi="宋体" w:eastAsia="宋体" w:cs="宋体"/>
          <w:color w:val="auto"/>
          <w:sz w:val="21"/>
          <w:szCs w:val="21"/>
          <w:highlight w:val="none"/>
        </w:rPr>
        <w:t>的承包人设备需经监理人核查后才能投入使用。承包人更换合同约</w:t>
      </w:r>
      <w:r>
        <w:rPr>
          <w:rFonts w:ascii="宋体" w:hAnsi="宋体" w:eastAsia="宋体" w:cs="宋体"/>
          <w:color w:val="auto"/>
          <w:spacing w:val="-1"/>
          <w:sz w:val="21"/>
          <w:szCs w:val="21"/>
          <w:highlight w:val="none"/>
        </w:rPr>
        <w:t>定的承包人设备的， 应</w:t>
      </w:r>
    </w:p>
    <w:p w14:paraId="5E757202">
      <w:pPr>
        <w:spacing w:before="1" w:line="220" w:lineRule="auto"/>
        <w:ind w:left="1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报监理人批准。</w:t>
      </w:r>
    </w:p>
    <w:p w14:paraId="095730C2">
      <w:pPr>
        <w:spacing w:before="147" w:line="404"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除专用合同条款另有约定外，承包人应自行承担修建临时设施</w:t>
      </w:r>
      <w:r>
        <w:rPr>
          <w:rFonts w:ascii="宋体" w:hAnsi="宋体" w:eastAsia="宋体" w:cs="宋体"/>
          <w:color w:val="auto"/>
          <w:spacing w:val="2"/>
          <w:position w:val="14"/>
          <w:sz w:val="21"/>
          <w:szCs w:val="21"/>
          <w:highlight w:val="none"/>
        </w:rPr>
        <w:t>的费用，需要临时占地</w:t>
      </w:r>
    </w:p>
    <w:p w14:paraId="61F9C0FC">
      <w:pPr>
        <w:spacing w:before="1" w:line="220" w:lineRule="auto"/>
        <w:ind w:left="3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的，应由发包人办理申请手续并承担相应费用。</w:t>
      </w:r>
    </w:p>
    <w:p w14:paraId="5BF93E70">
      <w:pPr>
        <w:spacing w:before="147" w:line="220" w:lineRule="auto"/>
        <w:ind w:left="44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8.8.2 </w:t>
      </w:r>
      <w:r>
        <w:rPr>
          <w:rFonts w:ascii="宋体" w:hAnsi="宋体" w:eastAsia="宋体" w:cs="宋体"/>
          <w:color w:val="auto"/>
          <w:spacing w:val="-1"/>
          <w:sz w:val="21"/>
          <w:szCs w:val="21"/>
          <w:highlight w:val="none"/>
        </w:rPr>
        <w:t>发包人提供的施工设备和临时设施</w:t>
      </w:r>
    </w:p>
    <w:p w14:paraId="0201FF84">
      <w:pPr>
        <w:spacing w:before="148" w:line="220" w:lineRule="auto"/>
        <w:ind w:left="4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发包人提供的施工设备或临时设施在专用合同条</w:t>
      </w:r>
      <w:r>
        <w:rPr>
          <w:rFonts w:ascii="宋体" w:hAnsi="宋体" w:eastAsia="宋体" w:cs="宋体"/>
          <w:color w:val="auto"/>
          <w:spacing w:val="-2"/>
          <w:sz w:val="21"/>
          <w:szCs w:val="21"/>
          <w:highlight w:val="none"/>
        </w:rPr>
        <w:t>款中约定。</w:t>
      </w:r>
    </w:p>
    <w:p w14:paraId="735C37E3">
      <w:pPr>
        <w:spacing w:before="153" w:line="221" w:lineRule="auto"/>
        <w:ind w:left="44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8.8.3 </w:t>
      </w:r>
      <w:r>
        <w:rPr>
          <w:rFonts w:ascii="宋体" w:hAnsi="宋体" w:eastAsia="宋体" w:cs="宋体"/>
          <w:color w:val="auto"/>
          <w:spacing w:val="-1"/>
          <w:sz w:val="21"/>
          <w:szCs w:val="21"/>
          <w:highlight w:val="none"/>
        </w:rPr>
        <w:t>要求承包人增加或更换施工设备</w:t>
      </w:r>
    </w:p>
    <w:p w14:paraId="51092A4F">
      <w:pPr>
        <w:spacing w:before="148" w:line="398" w:lineRule="exact"/>
        <w:ind w:right="6"/>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承包人使用的施工设备不能满足合同进度计划和</w:t>
      </w:r>
      <w:r>
        <w:rPr>
          <w:rFonts w:ascii="宋体" w:hAnsi="宋体" w:eastAsia="宋体" w:cs="宋体"/>
          <w:color w:val="auto"/>
          <w:spacing w:val="-3"/>
          <w:position w:val="14"/>
          <w:sz w:val="21"/>
          <w:szCs w:val="21"/>
          <w:highlight w:val="none"/>
        </w:rPr>
        <w:t>（或） 质量要求时， 监理人有权要求</w:t>
      </w:r>
    </w:p>
    <w:p w14:paraId="4EB4F3B8">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承包人增加或更换施工设备， 承包人应及时增加或更</w:t>
      </w:r>
      <w:r>
        <w:rPr>
          <w:rFonts w:ascii="宋体" w:hAnsi="宋体" w:eastAsia="宋体" w:cs="宋体"/>
          <w:color w:val="auto"/>
          <w:spacing w:val="-3"/>
          <w:sz w:val="21"/>
          <w:szCs w:val="21"/>
          <w:highlight w:val="none"/>
        </w:rPr>
        <w:t>换，由此增加的费用和（或） 延误的</w:t>
      </w:r>
    </w:p>
    <w:p w14:paraId="1C5AF7B2">
      <w:pPr>
        <w:spacing w:before="152" w:line="221"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工期由承包人承担。</w:t>
      </w:r>
    </w:p>
    <w:p w14:paraId="495E018A">
      <w:pPr>
        <w:spacing w:before="45" w:line="219" w:lineRule="auto"/>
        <w:ind w:left="16"/>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8.9</w:t>
      </w:r>
      <w:r>
        <w:rPr>
          <w:rFonts w:ascii="黑体" w:hAnsi="黑体" w:eastAsia="黑体" w:cs="黑体"/>
          <w:color w:val="auto"/>
          <w:spacing w:val="-45"/>
          <w:sz w:val="24"/>
          <w:szCs w:val="24"/>
          <w:highlight w:val="none"/>
        </w:rPr>
        <w:t xml:space="preserve"> </w:t>
      </w:r>
      <w:r>
        <w:rPr>
          <w:rFonts w:ascii="黑体" w:hAnsi="黑体" w:eastAsia="黑体" w:cs="黑体"/>
          <w:color w:val="auto"/>
          <w:spacing w:val="-2"/>
          <w:sz w:val="24"/>
          <w:szCs w:val="24"/>
          <w:highlight w:val="none"/>
        </w:rPr>
        <w:t>材料与设备专用要求</w:t>
      </w:r>
    </w:p>
    <w:p w14:paraId="1FF2AF77">
      <w:pPr>
        <w:spacing w:before="129" w:line="352" w:lineRule="auto"/>
        <w:ind w:left="18" w:right="11" w:firstLine="4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承包人运入施工现场的材料、工程设备、施工设备以及在施工场地建设的临时</w:t>
      </w:r>
      <w:r>
        <w:rPr>
          <w:rFonts w:ascii="宋体" w:hAnsi="宋体" w:eastAsia="宋体" w:cs="宋体"/>
          <w:color w:val="auto"/>
          <w:spacing w:val="2"/>
          <w:sz w:val="21"/>
          <w:szCs w:val="21"/>
          <w:highlight w:val="none"/>
        </w:rPr>
        <w:t>设施，</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包括备品备件、安装工具与资料， 必须专用于工程。</w:t>
      </w:r>
      <w:r>
        <w:rPr>
          <w:rFonts w:ascii="宋体" w:hAnsi="宋体" w:eastAsia="宋体" w:cs="宋体"/>
          <w:color w:val="auto"/>
          <w:spacing w:val="-3"/>
          <w:sz w:val="21"/>
          <w:szCs w:val="21"/>
          <w:highlight w:val="none"/>
        </w:rPr>
        <w:t>未经发包人批准， 承包人不得运出施</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工现场或挪作他用；经发包人批准，承包人可以根据施工进度计划撤走闲置</w:t>
      </w:r>
      <w:r>
        <w:rPr>
          <w:rFonts w:ascii="宋体" w:hAnsi="宋体" w:eastAsia="宋体" w:cs="宋体"/>
          <w:color w:val="auto"/>
          <w:spacing w:val="2"/>
          <w:sz w:val="21"/>
          <w:szCs w:val="21"/>
          <w:highlight w:val="none"/>
        </w:rPr>
        <w:t>的施工设备和</w:t>
      </w:r>
    </w:p>
    <w:p w14:paraId="709EDBDF">
      <w:pPr>
        <w:spacing w:line="221" w:lineRule="auto"/>
        <w:ind w:left="19"/>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其他物品。</w:t>
      </w:r>
    </w:p>
    <w:p w14:paraId="7974CEA3">
      <w:pPr>
        <w:spacing w:before="172" w:line="219" w:lineRule="auto"/>
        <w:ind w:left="13"/>
        <w:rPr>
          <w:rFonts w:ascii="黑体" w:hAnsi="黑体" w:eastAsia="黑体" w:cs="黑体"/>
          <w:color w:val="auto"/>
          <w:sz w:val="32"/>
          <w:szCs w:val="32"/>
          <w:highlight w:val="none"/>
        </w:rPr>
      </w:pPr>
      <w:r>
        <w:rPr>
          <w:rFonts w:ascii="黑体" w:hAnsi="黑体" w:eastAsia="黑体" w:cs="黑体"/>
          <w:color w:val="auto"/>
          <w:sz w:val="32"/>
          <w:szCs w:val="32"/>
          <w:highlight w:val="none"/>
        </w:rPr>
        <w:t>9.试验与检验</w:t>
      </w:r>
    </w:p>
    <w:p w14:paraId="0500A922">
      <w:pPr>
        <w:spacing w:line="219" w:lineRule="auto"/>
        <w:rPr>
          <w:rFonts w:ascii="黑体" w:hAnsi="黑体" w:eastAsia="黑体" w:cs="黑体"/>
          <w:color w:val="auto"/>
          <w:sz w:val="32"/>
          <w:szCs w:val="32"/>
          <w:highlight w:val="none"/>
        </w:rPr>
        <w:sectPr>
          <w:footerReference r:id="rId126" w:type="default"/>
          <w:pgSz w:w="11905" w:h="16839"/>
          <w:pgMar w:top="1431" w:right="1785" w:bottom="1004" w:left="1785" w:header="0" w:footer="828" w:gutter="0"/>
          <w:pgNumType w:fmt="decimal"/>
          <w:cols w:space="720" w:num="1"/>
        </w:sectPr>
      </w:pPr>
    </w:p>
    <w:p w14:paraId="4AB79D37">
      <w:pPr>
        <w:spacing w:before="48" w:line="218" w:lineRule="auto"/>
        <w:ind w:left="1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9.1</w:t>
      </w:r>
      <w:r>
        <w:rPr>
          <w:rFonts w:ascii="黑体" w:hAnsi="黑体" w:eastAsia="黑体" w:cs="黑体"/>
          <w:color w:val="auto"/>
          <w:spacing w:val="-41"/>
          <w:sz w:val="24"/>
          <w:szCs w:val="24"/>
          <w:highlight w:val="none"/>
        </w:rPr>
        <w:t xml:space="preserve"> </w:t>
      </w:r>
      <w:r>
        <w:rPr>
          <w:rFonts w:ascii="黑体" w:hAnsi="黑体" w:eastAsia="黑体" w:cs="黑体"/>
          <w:color w:val="auto"/>
          <w:spacing w:val="-2"/>
          <w:sz w:val="24"/>
          <w:szCs w:val="24"/>
          <w:highlight w:val="none"/>
        </w:rPr>
        <w:t>试验设备与试验人员</w:t>
      </w:r>
    </w:p>
    <w:p w14:paraId="10A2A3E2">
      <w:pPr>
        <w:spacing w:before="129" w:line="352" w:lineRule="auto"/>
        <w:ind w:left="18" w:right="176"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9.1.1</w:t>
      </w:r>
      <w:r>
        <w:rPr>
          <w:rFonts w:ascii="Times New Roman" w:hAnsi="Times New Roman" w:eastAsia="Times New Roman" w:cs="Times New Roman"/>
          <w:color w:val="auto"/>
          <w:spacing w:val="33"/>
          <w:sz w:val="21"/>
          <w:szCs w:val="21"/>
          <w:highlight w:val="none"/>
        </w:rPr>
        <w:t xml:space="preserve"> </w:t>
      </w:r>
      <w:r>
        <w:rPr>
          <w:rFonts w:ascii="宋体" w:hAnsi="宋体" w:eastAsia="宋体" w:cs="宋体"/>
          <w:color w:val="auto"/>
          <w:spacing w:val="1"/>
          <w:sz w:val="21"/>
          <w:szCs w:val="21"/>
          <w:highlight w:val="none"/>
        </w:rPr>
        <w:t>承包人根据合同约定或监理人指示进行的现场材</w:t>
      </w:r>
      <w:r>
        <w:rPr>
          <w:rFonts w:ascii="宋体" w:hAnsi="宋体" w:eastAsia="宋体" w:cs="宋体"/>
          <w:color w:val="auto"/>
          <w:sz w:val="21"/>
          <w:szCs w:val="21"/>
          <w:highlight w:val="none"/>
        </w:rPr>
        <w:t xml:space="preserve">料试验，应由承包人提供试验场 </w:t>
      </w:r>
      <w:r>
        <w:rPr>
          <w:rFonts w:ascii="宋体" w:hAnsi="宋体" w:eastAsia="宋体" w:cs="宋体"/>
          <w:color w:val="auto"/>
          <w:spacing w:val="3"/>
          <w:sz w:val="21"/>
          <w:szCs w:val="21"/>
          <w:highlight w:val="none"/>
        </w:rPr>
        <w:t>所、试验人员、试验设备以及其他必要的试验条件。监理人在必要时可以使</w:t>
      </w:r>
      <w:r>
        <w:rPr>
          <w:rFonts w:ascii="宋体" w:hAnsi="宋体" w:eastAsia="宋体" w:cs="宋体"/>
          <w:color w:val="auto"/>
          <w:spacing w:val="2"/>
          <w:sz w:val="21"/>
          <w:szCs w:val="21"/>
          <w:highlight w:val="none"/>
        </w:rPr>
        <w:t>用承包人提供</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的试验场所、试验设备以及其他试验条件，进行以工程质量检查</w:t>
      </w:r>
      <w:r>
        <w:rPr>
          <w:rFonts w:ascii="宋体" w:hAnsi="宋体" w:eastAsia="宋体" w:cs="宋体"/>
          <w:color w:val="auto"/>
          <w:spacing w:val="2"/>
          <w:sz w:val="21"/>
          <w:szCs w:val="21"/>
          <w:highlight w:val="none"/>
        </w:rPr>
        <w:t>为目的的材料复核试验，</w:t>
      </w:r>
    </w:p>
    <w:p w14:paraId="6333326D">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承包人应予以协助。</w:t>
      </w:r>
    </w:p>
    <w:p w14:paraId="2EC215FC">
      <w:pPr>
        <w:spacing w:before="147" w:line="403" w:lineRule="exact"/>
        <w:ind w:right="13"/>
        <w:jc w:val="right"/>
        <w:rPr>
          <w:rFonts w:ascii="宋体" w:hAnsi="宋体" w:eastAsia="宋体" w:cs="宋体"/>
          <w:color w:val="auto"/>
          <w:sz w:val="21"/>
          <w:szCs w:val="21"/>
          <w:highlight w:val="none"/>
        </w:rPr>
      </w:pPr>
      <w:r>
        <w:rPr>
          <w:rFonts w:ascii="Times New Roman" w:hAnsi="Times New Roman" w:eastAsia="Times New Roman" w:cs="Times New Roman"/>
          <w:color w:val="auto"/>
          <w:position w:val="14"/>
          <w:sz w:val="21"/>
          <w:szCs w:val="21"/>
          <w:highlight w:val="none"/>
        </w:rPr>
        <w:t>9.1.2</w:t>
      </w:r>
      <w:r>
        <w:rPr>
          <w:rFonts w:ascii="Times New Roman" w:hAnsi="Times New Roman" w:eastAsia="Times New Roman" w:cs="Times New Roman"/>
          <w:color w:val="auto"/>
          <w:spacing w:val="33"/>
          <w:position w:val="14"/>
          <w:sz w:val="21"/>
          <w:szCs w:val="21"/>
          <w:highlight w:val="none"/>
        </w:rPr>
        <w:t xml:space="preserve"> </w:t>
      </w:r>
      <w:r>
        <w:rPr>
          <w:rFonts w:ascii="宋体" w:hAnsi="宋体" w:eastAsia="宋体" w:cs="宋体"/>
          <w:color w:val="auto"/>
          <w:position w:val="14"/>
          <w:sz w:val="21"/>
          <w:szCs w:val="21"/>
          <w:highlight w:val="none"/>
        </w:rPr>
        <w:t>承包人应按专用合同条款的约定提供</w:t>
      </w:r>
      <w:r>
        <w:rPr>
          <w:rFonts w:ascii="宋体" w:hAnsi="宋体" w:eastAsia="宋体" w:cs="宋体"/>
          <w:color w:val="auto"/>
          <w:spacing w:val="-1"/>
          <w:position w:val="14"/>
          <w:sz w:val="21"/>
          <w:szCs w:val="21"/>
          <w:highlight w:val="none"/>
        </w:rPr>
        <w:t>试验设备、取样装置、试验场所和试验条件，</w:t>
      </w:r>
    </w:p>
    <w:p w14:paraId="32EE166C">
      <w:pPr>
        <w:spacing w:line="220" w:lineRule="auto"/>
        <w:ind w:left="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并向监理人提交相应进场计划表。</w:t>
      </w:r>
    </w:p>
    <w:p w14:paraId="71BC5036">
      <w:pPr>
        <w:spacing w:before="148" w:line="398" w:lineRule="exact"/>
        <w:ind w:left="441"/>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承包人配置的试验设备要符合相应试验规程的要求并经过具有资质的检测单位</w:t>
      </w:r>
      <w:r>
        <w:rPr>
          <w:rFonts w:ascii="宋体" w:hAnsi="宋体" w:eastAsia="宋体" w:cs="宋体"/>
          <w:color w:val="auto"/>
          <w:spacing w:val="2"/>
          <w:position w:val="14"/>
          <w:sz w:val="21"/>
          <w:szCs w:val="21"/>
          <w:highlight w:val="none"/>
        </w:rPr>
        <w:t>检测，</w:t>
      </w:r>
    </w:p>
    <w:p w14:paraId="626E238D">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且在正式使用该试验设备前，</w:t>
      </w:r>
      <w:r>
        <w:rPr>
          <w:rFonts w:ascii="宋体" w:hAnsi="宋体" w:eastAsia="宋体" w:cs="宋体"/>
          <w:color w:val="auto"/>
          <w:spacing w:val="35"/>
          <w:sz w:val="21"/>
          <w:szCs w:val="21"/>
          <w:highlight w:val="none"/>
        </w:rPr>
        <w:t xml:space="preserve"> </w:t>
      </w:r>
      <w:r>
        <w:rPr>
          <w:rFonts w:ascii="宋体" w:hAnsi="宋体" w:eastAsia="宋体" w:cs="宋体"/>
          <w:color w:val="auto"/>
          <w:spacing w:val="-5"/>
          <w:sz w:val="21"/>
          <w:szCs w:val="21"/>
          <w:highlight w:val="none"/>
        </w:rPr>
        <w:t>需要经过监理人与承包人共同校定。</w:t>
      </w:r>
    </w:p>
    <w:p w14:paraId="066008D0">
      <w:pPr>
        <w:spacing w:before="151" w:line="274" w:lineRule="auto"/>
        <w:ind w:left="12" w:firstLine="428"/>
        <w:rPr>
          <w:rFonts w:ascii="黑体" w:hAnsi="黑体" w:eastAsia="黑体" w:cs="黑体"/>
          <w:color w:val="auto"/>
          <w:sz w:val="24"/>
          <w:szCs w:val="24"/>
          <w:highlight w:val="none"/>
        </w:rPr>
      </w:pPr>
      <w:r>
        <w:rPr>
          <w:rFonts w:ascii="Times New Roman" w:hAnsi="Times New Roman" w:eastAsia="Times New Roman" w:cs="Times New Roman"/>
          <w:color w:val="auto"/>
          <w:sz w:val="21"/>
          <w:szCs w:val="21"/>
          <w:highlight w:val="none"/>
        </w:rPr>
        <w:t>9.1.3</w:t>
      </w:r>
      <w:r>
        <w:rPr>
          <w:rFonts w:ascii="Times New Roman" w:hAnsi="Times New Roman" w:eastAsia="Times New Roman" w:cs="Times New Roman"/>
          <w:color w:val="auto"/>
          <w:spacing w:val="46"/>
          <w:sz w:val="21"/>
          <w:szCs w:val="21"/>
          <w:highlight w:val="none"/>
        </w:rPr>
        <w:t xml:space="preserve"> </w:t>
      </w:r>
      <w:r>
        <w:rPr>
          <w:rFonts w:ascii="宋体" w:hAnsi="宋体" w:eastAsia="宋体" w:cs="宋体"/>
          <w:color w:val="auto"/>
          <w:sz w:val="21"/>
          <w:szCs w:val="21"/>
          <w:highlight w:val="none"/>
        </w:rPr>
        <w:t xml:space="preserve">承包人应向监理人提交试验人员的名单及其岗位、资格等证明资料，试验人员必  </w:t>
      </w:r>
      <w:r>
        <w:rPr>
          <w:rFonts w:ascii="宋体" w:hAnsi="宋体" w:eastAsia="宋体" w:cs="宋体"/>
          <w:color w:val="auto"/>
          <w:spacing w:val="2"/>
          <w:sz w:val="21"/>
          <w:szCs w:val="21"/>
          <w:highlight w:val="none"/>
        </w:rPr>
        <w:t>须能够熟练进行相应的检测试验，承包人对试验人员的试验程序和试验结果的正确性负责。</w:t>
      </w:r>
      <w:r>
        <w:rPr>
          <w:rFonts w:ascii="宋体" w:hAnsi="宋体" w:eastAsia="宋体" w:cs="宋体"/>
          <w:color w:val="auto"/>
          <w:spacing w:val="7"/>
          <w:sz w:val="21"/>
          <w:szCs w:val="21"/>
          <w:highlight w:val="none"/>
        </w:rPr>
        <w:t xml:space="preserve"> </w:t>
      </w:r>
      <w:r>
        <w:rPr>
          <w:rFonts w:ascii="黑体" w:hAnsi="黑体" w:eastAsia="黑体" w:cs="黑体"/>
          <w:color w:val="auto"/>
          <w:spacing w:val="-2"/>
          <w:sz w:val="24"/>
          <w:szCs w:val="24"/>
          <w:highlight w:val="none"/>
        </w:rPr>
        <w:t>9.2</w:t>
      </w:r>
      <w:r>
        <w:rPr>
          <w:rFonts w:ascii="黑体" w:hAnsi="黑体" w:eastAsia="黑体" w:cs="黑体"/>
          <w:color w:val="auto"/>
          <w:spacing w:val="-48"/>
          <w:sz w:val="24"/>
          <w:szCs w:val="24"/>
          <w:highlight w:val="none"/>
        </w:rPr>
        <w:t xml:space="preserve"> </w:t>
      </w:r>
      <w:r>
        <w:rPr>
          <w:rFonts w:ascii="黑体" w:hAnsi="黑体" w:eastAsia="黑体" w:cs="黑体"/>
          <w:color w:val="auto"/>
          <w:spacing w:val="-2"/>
          <w:sz w:val="24"/>
          <w:szCs w:val="24"/>
          <w:highlight w:val="none"/>
        </w:rPr>
        <w:t>取样</w:t>
      </w:r>
    </w:p>
    <w:p w14:paraId="3F5D417B">
      <w:pPr>
        <w:spacing w:before="131" w:line="221" w:lineRule="auto"/>
        <w:ind w:left="44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试验属于自检性质的， 承包人可以单独取样。</w:t>
      </w:r>
      <w:r>
        <w:rPr>
          <w:rFonts w:ascii="宋体" w:hAnsi="宋体" w:eastAsia="宋体" w:cs="宋体"/>
          <w:color w:val="auto"/>
          <w:spacing w:val="-3"/>
          <w:sz w:val="21"/>
          <w:szCs w:val="21"/>
          <w:highlight w:val="none"/>
        </w:rPr>
        <w:t>试验属于监理人抽检性质的， 可由监理</w:t>
      </w:r>
    </w:p>
    <w:p w14:paraId="5CF7EF4B">
      <w:pPr>
        <w:spacing w:before="147" w:line="221"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人取样，也可由承包人的试验人员在监理人的监督</w:t>
      </w:r>
      <w:r>
        <w:rPr>
          <w:rFonts w:ascii="宋体" w:hAnsi="宋体" w:eastAsia="宋体" w:cs="宋体"/>
          <w:color w:val="auto"/>
          <w:spacing w:val="-2"/>
          <w:sz w:val="21"/>
          <w:szCs w:val="21"/>
          <w:highlight w:val="none"/>
        </w:rPr>
        <w:t>下取样。</w:t>
      </w:r>
    </w:p>
    <w:p w14:paraId="285A3977">
      <w:pPr>
        <w:spacing w:before="51" w:line="218" w:lineRule="auto"/>
        <w:ind w:left="12"/>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9.3</w:t>
      </w:r>
      <w:r>
        <w:rPr>
          <w:rFonts w:ascii="黑体" w:hAnsi="黑体" w:eastAsia="黑体" w:cs="黑体"/>
          <w:color w:val="auto"/>
          <w:spacing w:val="-47"/>
          <w:sz w:val="24"/>
          <w:szCs w:val="24"/>
          <w:highlight w:val="none"/>
        </w:rPr>
        <w:t xml:space="preserve"> </w:t>
      </w:r>
      <w:r>
        <w:rPr>
          <w:rFonts w:ascii="黑体" w:hAnsi="黑体" w:eastAsia="黑体" w:cs="黑体"/>
          <w:color w:val="auto"/>
          <w:spacing w:val="-1"/>
          <w:sz w:val="24"/>
          <w:szCs w:val="24"/>
          <w:highlight w:val="none"/>
        </w:rPr>
        <w:t>材料、工程设备和工程的试验和检验</w:t>
      </w:r>
    </w:p>
    <w:p w14:paraId="11095AD8">
      <w:pPr>
        <w:spacing w:before="131" w:line="350" w:lineRule="auto"/>
        <w:ind w:left="18" w:right="172" w:firstLine="42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9.3.1</w:t>
      </w:r>
      <w:r>
        <w:rPr>
          <w:rFonts w:ascii="Times New Roman" w:hAnsi="Times New Roman" w:eastAsia="Times New Roman" w:cs="Times New Roman"/>
          <w:color w:val="auto"/>
          <w:spacing w:val="42"/>
          <w:w w:val="101"/>
          <w:sz w:val="21"/>
          <w:szCs w:val="21"/>
          <w:highlight w:val="none"/>
        </w:rPr>
        <w:t xml:space="preserve"> </w:t>
      </w:r>
      <w:r>
        <w:rPr>
          <w:rFonts w:ascii="宋体" w:hAnsi="宋体" w:eastAsia="宋体" w:cs="宋体"/>
          <w:color w:val="auto"/>
          <w:spacing w:val="1"/>
          <w:sz w:val="21"/>
          <w:szCs w:val="21"/>
          <w:highlight w:val="none"/>
        </w:rPr>
        <w:t>承包人应按合同约定进行材料、工程</w:t>
      </w:r>
      <w:r>
        <w:rPr>
          <w:rFonts w:ascii="宋体" w:hAnsi="宋体" w:eastAsia="宋体" w:cs="宋体"/>
          <w:color w:val="auto"/>
          <w:sz w:val="21"/>
          <w:szCs w:val="21"/>
          <w:highlight w:val="none"/>
        </w:rPr>
        <w:t xml:space="preserve">设备和工程的试验和检验，并为监理人对上 </w:t>
      </w:r>
      <w:r>
        <w:rPr>
          <w:rFonts w:ascii="宋体" w:hAnsi="宋体" w:eastAsia="宋体" w:cs="宋体"/>
          <w:color w:val="auto"/>
          <w:spacing w:val="3"/>
          <w:sz w:val="21"/>
          <w:szCs w:val="21"/>
          <w:highlight w:val="none"/>
        </w:rPr>
        <w:t>述材料、工程设备和工程的质量检查提供必要的试验资料和原始记录。按合</w:t>
      </w:r>
      <w:r>
        <w:rPr>
          <w:rFonts w:ascii="宋体" w:hAnsi="宋体" w:eastAsia="宋体" w:cs="宋体"/>
          <w:color w:val="auto"/>
          <w:spacing w:val="2"/>
          <w:sz w:val="21"/>
          <w:szCs w:val="21"/>
          <w:highlight w:val="none"/>
        </w:rPr>
        <w:t>同约定应由监</w:t>
      </w:r>
    </w:p>
    <w:p w14:paraId="7A98FFD5">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理人与承包人共同进行试验和检验的，</w:t>
      </w:r>
      <w:r>
        <w:rPr>
          <w:rFonts w:ascii="宋体" w:hAnsi="宋体" w:eastAsia="宋体" w:cs="宋体"/>
          <w:color w:val="auto"/>
          <w:spacing w:val="38"/>
          <w:sz w:val="21"/>
          <w:szCs w:val="21"/>
          <w:highlight w:val="none"/>
        </w:rPr>
        <w:t xml:space="preserve"> </w:t>
      </w:r>
      <w:r>
        <w:rPr>
          <w:rFonts w:ascii="宋体" w:hAnsi="宋体" w:eastAsia="宋体" w:cs="宋体"/>
          <w:color w:val="auto"/>
          <w:spacing w:val="-4"/>
          <w:sz w:val="21"/>
          <w:szCs w:val="21"/>
          <w:highlight w:val="none"/>
        </w:rPr>
        <w:t>由承包人负</w:t>
      </w:r>
      <w:r>
        <w:rPr>
          <w:rFonts w:ascii="宋体" w:hAnsi="宋体" w:eastAsia="宋体" w:cs="宋体"/>
          <w:color w:val="auto"/>
          <w:spacing w:val="-5"/>
          <w:sz w:val="21"/>
          <w:szCs w:val="21"/>
          <w:highlight w:val="none"/>
        </w:rPr>
        <w:t>责提供必要的试验资料和原始记录。</w:t>
      </w:r>
    </w:p>
    <w:p w14:paraId="5B2D8AB2">
      <w:pPr>
        <w:spacing w:before="155" w:line="351" w:lineRule="auto"/>
        <w:ind w:left="19" w:right="179" w:firstLine="422"/>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9.3.2</w:t>
      </w:r>
      <w:r>
        <w:rPr>
          <w:rFonts w:ascii="Times New Roman" w:hAnsi="Times New Roman" w:eastAsia="Times New Roman" w:cs="Times New Roman"/>
          <w:color w:val="auto"/>
          <w:spacing w:val="56"/>
          <w:sz w:val="21"/>
          <w:szCs w:val="21"/>
          <w:highlight w:val="none"/>
        </w:rPr>
        <w:t xml:space="preserve"> </w:t>
      </w:r>
      <w:r>
        <w:rPr>
          <w:rFonts w:ascii="宋体" w:hAnsi="宋体" w:eastAsia="宋体" w:cs="宋体"/>
          <w:color w:val="auto"/>
          <w:spacing w:val="-1"/>
          <w:sz w:val="21"/>
          <w:szCs w:val="21"/>
          <w:highlight w:val="none"/>
        </w:rPr>
        <w:t>试验属于自检性质的，承包人可以单独进行试验。试验属于监理人抽检性质的，</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监理人可以单独进行试验，也可由承包人与监理人共同进行。承包人对由监</w:t>
      </w:r>
      <w:r>
        <w:rPr>
          <w:rFonts w:ascii="宋体" w:hAnsi="宋体" w:eastAsia="宋体" w:cs="宋体"/>
          <w:color w:val="auto"/>
          <w:spacing w:val="2"/>
          <w:sz w:val="21"/>
          <w:szCs w:val="21"/>
          <w:highlight w:val="none"/>
        </w:rPr>
        <w:t>理人单独进行</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的试验结果有异议的， 可以申请重新共同进行试验。</w:t>
      </w:r>
      <w:r>
        <w:rPr>
          <w:rFonts w:ascii="宋体" w:hAnsi="宋体" w:eastAsia="宋体" w:cs="宋体"/>
          <w:color w:val="auto"/>
          <w:spacing w:val="-3"/>
          <w:sz w:val="21"/>
          <w:szCs w:val="21"/>
          <w:highlight w:val="none"/>
        </w:rPr>
        <w:t>约定共同进行试验的， 监理人未按照</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约定参加试验的， 承包人可自行试验，并将试验结果</w:t>
      </w:r>
      <w:r>
        <w:rPr>
          <w:rFonts w:ascii="宋体" w:hAnsi="宋体" w:eastAsia="宋体" w:cs="宋体"/>
          <w:color w:val="auto"/>
          <w:spacing w:val="-3"/>
          <w:sz w:val="21"/>
          <w:szCs w:val="21"/>
          <w:highlight w:val="none"/>
        </w:rPr>
        <w:t>报送监理人， 监理人应承认该试验结</w:t>
      </w:r>
    </w:p>
    <w:p w14:paraId="053F40D7">
      <w:pPr>
        <w:spacing w:before="1" w:line="221" w:lineRule="auto"/>
        <w:ind w:left="22"/>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果。</w:t>
      </w:r>
    </w:p>
    <w:p w14:paraId="6A44BB05">
      <w:pPr>
        <w:spacing w:before="146" w:line="352" w:lineRule="auto"/>
        <w:ind w:left="20" w:right="172" w:firstLine="421"/>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9.3.3</w:t>
      </w:r>
      <w:r>
        <w:rPr>
          <w:rFonts w:ascii="Times New Roman" w:hAnsi="Times New Roman" w:eastAsia="Times New Roman" w:cs="Times New Roman"/>
          <w:color w:val="auto"/>
          <w:spacing w:val="43"/>
          <w:sz w:val="21"/>
          <w:szCs w:val="21"/>
          <w:highlight w:val="none"/>
        </w:rPr>
        <w:t xml:space="preserve"> </w:t>
      </w:r>
      <w:r>
        <w:rPr>
          <w:rFonts w:ascii="宋体" w:hAnsi="宋体" w:eastAsia="宋体" w:cs="宋体"/>
          <w:color w:val="auto"/>
          <w:spacing w:val="-3"/>
          <w:sz w:val="21"/>
          <w:szCs w:val="21"/>
          <w:highlight w:val="none"/>
        </w:rPr>
        <w:t>监理人对承包人的试验和检验结果有异</w:t>
      </w:r>
      <w:r>
        <w:rPr>
          <w:rFonts w:ascii="宋体" w:hAnsi="宋体" w:eastAsia="宋体" w:cs="宋体"/>
          <w:color w:val="auto"/>
          <w:spacing w:val="-4"/>
          <w:sz w:val="21"/>
          <w:szCs w:val="21"/>
          <w:highlight w:val="none"/>
        </w:rPr>
        <w:t>议的，</w:t>
      </w:r>
      <w:r>
        <w:rPr>
          <w:rFonts w:ascii="宋体" w:hAnsi="宋体" w:eastAsia="宋体" w:cs="宋体"/>
          <w:color w:val="auto"/>
          <w:spacing w:val="53"/>
          <w:sz w:val="21"/>
          <w:szCs w:val="21"/>
          <w:highlight w:val="none"/>
        </w:rPr>
        <w:t xml:space="preserve"> </w:t>
      </w:r>
      <w:r>
        <w:rPr>
          <w:rFonts w:ascii="宋体" w:hAnsi="宋体" w:eastAsia="宋体" w:cs="宋体"/>
          <w:color w:val="auto"/>
          <w:spacing w:val="-4"/>
          <w:sz w:val="21"/>
          <w:szCs w:val="21"/>
          <w:highlight w:val="none"/>
        </w:rPr>
        <w:t>或为查清承包人试验和检验成果的</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可靠性要求承包人重新试验和检验的，可由监理人与承包人共同进行。重</w:t>
      </w:r>
      <w:r>
        <w:rPr>
          <w:rFonts w:ascii="宋体" w:hAnsi="宋体" w:eastAsia="宋体" w:cs="宋体"/>
          <w:color w:val="auto"/>
          <w:spacing w:val="2"/>
          <w:sz w:val="21"/>
          <w:szCs w:val="21"/>
          <w:highlight w:val="none"/>
        </w:rPr>
        <w:t>新试验和检验的</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结果证明该项材料、工程设备或工程的质量不符合合同要求的，由此增加的费用和（或）</w:t>
      </w:r>
    </w:p>
    <w:p w14:paraId="1CF738BB">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延误的工期由承包人承担；重新试验和检验结果证明该项材料、工程设备和</w:t>
      </w:r>
      <w:r>
        <w:rPr>
          <w:rFonts w:ascii="宋体" w:hAnsi="宋体" w:eastAsia="宋体" w:cs="宋体"/>
          <w:color w:val="auto"/>
          <w:spacing w:val="2"/>
          <w:sz w:val="21"/>
          <w:szCs w:val="21"/>
          <w:highlight w:val="none"/>
        </w:rPr>
        <w:t>工程符合合同</w:t>
      </w:r>
    </w:p>
    <w:p w14:paraId="2830A7AD">
      <w:pPr>
        <w:spacing w:before="152" w:line="221"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要求的，由此增加的费用和（或）延误的工期由发包</w:t>
      </w:r>
      <w:r>
        <w:rPr>
          <w:rFonts w:ascii="宋体" w:hAnsi="宋体" w:eastAsia="宋体" w:cs="宋体"/>
          <w:color w:val="auto"/>
          <w:spacing w:val="-2"/>
          <w:sz w:val="21"/>
          <w:szCs w:val="21"/>
          <w:highlight w:val="none"/>
        </w:rPr>
        <w:t>人承担。</w:t>
      </w:r>
    </w:p>
    <w:p w14:paraId="3FFF6F41">
      <w:pPr>
        <w:spacing w:before="46" w:line="218" w:lineRule="auto"/>
        <w:ind w:left="1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9.4</w:t>
      </w:r>
      <w:r>
        <w:rPr>
          <w:rFonts w:ascii="黑体" w:hAnsi="黑体" w:eastAsia="黑体" w:cs="黑体"/>
          <w:color w:val="auto"/>
          <w:spacing w:val="-47"/>
          <w:sz w:val="24"/>
          <w:szCs w:val="24"/>
          <w:highlight w:val="none"/>
        </w:rPr>
        <w:t xml:space="preserve"> </w:t>
      </w:r>
      <w:r>
        <w:rPr>
          <w:rFonts w:ascii="黑体" w:hAnsi="黑体" w:eastAsia="黑体" w:cs="黑体"/>
          <w:color w:val="auto"/>
          <w:spacing w:val="-2"/>
          <w:sz w:val="24"/>
          <w:szCs w:val="24"/>
          <w:highlight w:val="none"/>
        </w:rPr>
        <w:t>现场工艺试验</w:t>
      </w:r>
    </w:p>
    <w:p w14:paraId="3156248E">
      <w:pPr>
        <w:spacing w:before="131" w:line="350" w:lineRule="auto"/>
        <w:ind w:left="20" w:right="174" w:firstLine="421"/>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承包人应按合同约定或监理人指示进行现场工艺试验。对大型的现场工艺试验， 监理</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人认为必要时，承包人应根据监理人提出的工艺试验要求， 编制工艺试验措施计划，报送</w:t>
      </w:r>
    </w:p>
    <w:p w14:paraId="6D13DC7F">
      <w:pPr>
        <w:spacing w:before="1" w:line="221"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监理人审查。</w:t>
      </w:r>
    </w:p>
    <w:p w14:paraId="5FA4B5B4">
      <w:pPr>
        <w:spacing w:before="176" w:line="220" w:lineRule="auto"/>
        <w:ind w:left="39"/>
        <w:rPr>
          <w:rFonts w:ascii="黑体" w:hAnsi="黑体" w:eastAsia="黑体" w:cs="黑体"/>
          <w:color w:val="auto"/>
          <w:sz w:val="32"/>
          <w:szCs w:val="32"/>
          <w:highlight w:val="none"/>
        </w:rPr>
      </w:pPr>
      <w:r>
        <w:rPr>
          <w:rFonts w:ascii="黑体" w:hAnsi="黑体" w:eastAsia="黑体" w:cs="黑体"/>
          <w:color w:val="auto"/>
          <w:spacing w:val="-6"/>
          <w:sz w:val="32"/>
          <w:szCs w:val="32"/>
          <w:highlight w:val="none"/>
        </w:rPr>
        <w:t>10.变更</w:t>
      </w:r>
    </w:p>
    <w:p w14:paraId="02D49655">
      <w:pPr>
        <w:spacing w:before="145" w:line="219" w:lineRule="auto"/>
        <w:ind w:left="31"/>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10.1</w:t>
      </w:r>
      <w:r>
        <w:rPr>
          <w:rFonts w:ascii="黑体" w:hAnsi="黑体" w:eastAsia="黑体" w:cs="黑体"/>
          <w:color w:val="auto"/>
          <w:spacing w:val="-46"/>
          <w:sz w:val="24"/>
          <w:szCs w:val="24"/>
          <w:highlight w:val="none"/>
        </w:rPr>
        <w:t xml:space="preserve"> </w:t>
      </w:r>
      <w:r>
        <w:rPr>
          <w:rFonts w:ascii="黑体" w:hAnsi="黑体" w:eastAsia="黑体" w:cs="黑体"/>
          <w:color w:val="auto"/>
          <w:spacing w:val="-4"/>
          <w:sz w:val="24"/>
          <w:szCs w:val="24"/>
          <w:highlight w:val="none"/>
        </w:rPr>
        <w:t>变更的范围</w:t>
      </w:r>
    </w:p>
    <w:p w14:paraId="1AE746C6">
      <w:pPr>
        <w:spacing w:before="129" w:line="220" w:lineRule="auto"/>
        <w:ind w:left="453"/>
        <w:rPr>
          <w:rFonts w:ascii="宋体" w:hAnsi="宋体" w:eastAsia="宋体" w:cs="宋体"/>
          <w:color w:val="auto"/>
          <w:sz w:val="21"/>
          <w:szCs w:val="21"/>
          <w:highlight w:val="none"/>
        </w:rPr>
      </w:pPr>
      <w:r>
        <w:rPr>
          <w:rFonts w:ascii="宋体" w:hAnsi="宋体" w:eastAsia="宋体" w:cs="宋体"/>
          <w:color w:val="auto"/>
          <w:sz w:val="21"/>
          <w:szCs w:val="21"/>
          <w:highlight w:val="none"/>
        </w:rPr>
        <w:t>除专用合同条款另有约定外，合同履行过程中发生以下情形的， 应按照本条</w:t>
      </w:r>
      <w:r>
        <w:rPr>
          <w:rFonts w:ascii="宋体" w:hAnsi="宋体" w:eastAsia="宋体" w:cs="宋体"/>
          <w:color w:val="auto"/>
          <w:spacing w:val="-1"/>
          <w:sz w:val="21"/>
          <w:szCs w:val="21"/>
          <w:highlight w:val="none"/>
        </w:rPr>
        <w:t>约定进行</w:t>
      </w:r>
    </w:p>
    <w:p w14:paraId="082AE376">
      <w:pPr>
        <w:spacing w:line="220" w:lineRule="auto"/>
        <w:rPr>
          <w:rFonts w:ascii="宋体" w:hAnsi="宋体" w:eastAsia="宋体" w:cs="宋体"/>
          <w:color w:val="auto"/>
          <w:sz w:val="21"/>
          <w:szCs w:val="21"/>
          <w:highlight w:val="none"/>
        </w:rPr>
        <w:sectPr>
          <w:footerReference r:id="rId127" w:type="default"/>
          <w:pgSz w:w="11905" w:h="16839"/>
          <w:pgMar w:top="1431" w:right="1617" w:bottom="1004" w:left="1785" w:header="0" w:footer="828" w:gutter="0"/>
          <w:pgNumType w:fmt="decimal"/>
          <w:cols w:space="720" w:num="1"/>
        </w:sectPr>
      </w:pPr>
    </w:p>
    <w:p w14:paraId="10F1A920">
      <w:pPr>
        <w:spacing w:before="149" w:line="222" w:lineRule="auto"/>
        <w:ind w:left="18"/>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变更：</w:t>
      </w:r>
    </w:p>
    <w:p w14:paraId="7D7E48A8">
      <w:pPr>
        <w:spacing w:before="145"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）增加或减少合同中任何工作，或追加额外的工作；</w:t>
      </w:r>
    </w:p>
    <w:p w14:paraId="4F4CBD6E">
      <w:pPr>
        <w:spacing w:before="151"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）取消合同中任何工作，但转由他人实施的工作除外；</w:t>
      </w:r>
    </w:p>
    <w:p w14:paraId="1F1026B1">
      <w:pPr>
        <w:spacing w:before="148" w:line="398" w:lineRule="exact"/>
        <w:ind w:left="447"/>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3</w:t>
      </w:r>
      <w:r>
        <w:rPr>
          <w:rFonts w:ascii="宋体" w:hAnsi="宋体" w:eastAsia="宋体" w:cs="宋体"/>
          <w:color w:val="auto"/>
          <w:spacing w:val="-2"/>
          <w:position w:val="14"/>
          <w:sz w:val="21"/>
          <w:szCs w:val="21"/>
          <w:highlight w:val="none"/>
        </w:rPr>
        <w:t>）改变合同中任何工作的质量标准或其他特性；</w:t>
      </w:r>
    </w:p>
    <w:p w14:paraId="6D146B26">
      <w:pPr>
        <w:spacing w:line="219"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4</w:t>
      </w:r>
      <w:r>
        <w:rPr>
          <w:rFonts w:ascii="宋体" w:hAnsi="宋体" w:eastAsia="宋体" w:cs="宋体"/>
          <w:color w:val="auto"/>
          <w:spacing w:val="-2"/>
          <w:sz w:val="21"/>
          <w:szCs w:val="21"/>
          <w:highlight w:val="none"/>
        </w:rPr>
        <w:t>）改变工程的基线、标高、位置和尺寸；</w:t>
      </w:r>
    </w:p>
    <w:p w14:paraId="0557D211">
      <w:pPr>
        <w:spacing w:before="153"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5</w:t>
      </w:r>
      <w:r>
        <w:rPr>
          <w:rFonts w:ascii="宋体" w:hAnsi="宋体" w:eastAsia="宋体" w:cs="宋体"/>
          <w:color w:val="auto"/>
          <w:spacing w:val="-2"/>
          <w:sz w:val="21"/>
          <w:szCs w:val="21"/>
          <w:highlight w:val="none"/>
        </w:rPr>
        <w:t>）改变工程的时间安排或实施顺序。</w:t>
      </w:r>
    </w:p>
    <w:p w14:paraId="33D33E59">
      <w:pPr>
        <w:spacing w:before="46" w:line="219"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10.2</w:t>
      </w:r>
      <w:r>
        <w:rPr>
          <w:rFonts w:ascii="黑体" w:hAnsi="黑体" w:eastAsia="黑体" w:cs="黑体"/>
          <w:color w:val="auto"/>
          <w:spacing w:val="-45"/>
          <w:sz w:val="24"/>
          <w:szCs w:val="24"/>
          <w:highlight w:val="none"/>
        </w:rPr>
        <w:t xml:space="preserve"> </w:t>
      </w:r>
      <w:r>
        <w:rPr>
          <w:rFonts w:ascii="黑体" w:hAnsi="黑体" w:eastAsia="黑体" w:cs="黑体"/>
          <w:color w:val="auto"/>
          <w:spacing w:val="-5"/>
          <w:sz w:val="24"/>
          <w:szCs w:val="24"/>
          <w:highlight w:val="none"/>
        </w:rPr>
        <w:t>变更权</w:t>
      </w:r>
    </w:p>
    <w:p w14:paraId="0466483C">
      <w:pPr>
        <w:spacing w:before="130" w:line="352" w:lineRule="auto"/>
        <w:ind w:left="21" w:firstLine="422"/>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发包人和监理人均可以提出变更。变更指示均通过监理人发出， 监理人发出变更指示  </w:t>
      </w:r>
      <w:r>
        <w:rPr>
          <w:rFonts w:ascii="宋体" w:hAnsi="宋体" w:eastAsia="宋体" w:cs="宋体"/>
          <w:color w:val="auto"/>
          <w:spacing w:val="2"/>
          <w:sz w:val="21"/>
          <w:szCs w:val="21"/>
          <w:highlight w:val="none"/>
        </w:rPr>
        <w:t>前应征得发包人同意。承包人收到经发包人签认的</w:t>
      </w:r>
      <w:r>
        <w:rPr>
          <w:rFonts w:ascii="宋体" w:hAnsi="宋体" w:eastAsia="宋体" w:cs="宋体"/>
          <w:color w:val="auto"/>
          <w:spacing w:val="1"/>
          <w:sz w:val="21"/>
          <w:szCs w:val="21"/>
          <w:highlight w:val="none"/>
        </w:rPr>
        <w:t>变更指示后，方可实施变更。未经许可，</w:t>
      </w:r>
    </w:p>
    <w:p w14:paraId="3809BABD">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承包人不得擅自对工程的任何部分进行变更。</w:t>
      </w:r>
    </w:p>
    <w:p w14:paraId="5F63B5C1">
      <w:pPr>
        <w:spacing w:before="147" w:line="220" w:lineRule="auto"/>
        <w:ind w:left="44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涉及设计变更的，应由设计人提供变更后的图纸和说明。如变更超过原设计标准或批</w:t>
      </w:r>
    </w:p>
    <w:p w14:paraId="58124FD7">
      <w:pPr>
        <w:spacing w:before="148" w:line="221" w:lineRule="auto"/>
        <w:ind w:left="20"/>
        <w:rPr>
          <w:rFonts w:ascii="宋体" w:hAnsi="宋体" w:eastAsia="宋体" w:cs="宋体"/>
          <w:color w:val="auto"/>
          <w:sz w:val="21"/>
          <w:szCs w:val="21"/>
          <w:highlight w:val="none"/>
        </w:rPr>
      </w:pPr>
      <w:r>
        <w:rPr>
          <w:rFonts w:ascii="宋体" w:hAnsi="宋体" w:eastAsia="宋体" w:cs="宋体"/>
          <w:color w:val="auto"/>
          <w:sz w:val="21"/>
          <w:szCs w:val="21"/>
          <w:highlight w:val="none"/>
        </w:rPr>
        <w:t>准的建设规模时，发包人应及时办理规划、设计变更等审</w:t>
      </w:r>
      <w:r>
        <w:rPr>
          <w:rFonts w:ascii="宋体" w:hAnsi="宋体" w:eastAsia="宋体" w:cs="宋体"/>
          <w:color w:val="auto"/>
          <w:spacing w:val="-1"/>
          <w:sz w:val="21"/>
          <w:szCs w:val="21"/>
          <w:highlight w:val="none"/>
        </w:rPr>
        <w:t>批手续。</w:t>
      </w:r>
    </w:p>
    <w:p w14:paraId="0335FBF4">
      <w:pPr>
        <w:spacing w:before="46" w:line="219"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10.3</w:t>
      </w:r>
      <w:r>
        <w:rPr>
          <w:rFonts w:ascii="黑体" w:hAnsi="黑体" w:eastAsia="黑体" w:cs="黑体"/>
          <w:color w:val="auto"/>
          <w:spacing w:val="-41"/>
          <w:sz w:val="24"/>
          <w:szCs w:val="24"/>
          <w:highlight w:val="none"/>
        </w:rPr>
        <w:t xml:space="preserve"> </w:t>
      </w:r>
      <w:r>
        <w:rPr>
          <w:rFonts w:ascii="黑体" w:hAnsi="黑体" w:eastAsia="黑体" w:cs="黑体"/>
          <w:color w:val="auto"/>
          <w:spacing w:val="-5"/>
          <w:sz w:val="24"/>
          <w:szCs w:val="24"/>
          <w:highlight w:val="none"/>
        </w:rPr>
        <w:t>变更程序</w:t>
      </w:r>
    </w:p>
    <w:p w14:paraId="11DD3CE7">
      <w:pPr>
        <w:spacing w:before="130"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10.3.1 </w:t>
      </w:r>
      <w:r>
        <w:rPr>
          <w:rFonts w:ascii="宋体" w:hAnsi="宋体" w:eastAsia="宋体" w:cs="宋体"/>
          <w:color w:val="auto"/>
          <w:spacing w:val="-2"/>
          <w:sz w:val="21"/>
          <w:szCs w:val="21"/>
          <w:highlight w:val="none"/>
        </w:rPr>
        <w:t>发包人提出变更</w:t>
      </w:r>
    </w:p>
    <w:p w14:paraId="3E8BDB13">
      <w:pPr>
        <w:spacing w:before="151" w:line="399" w:lineRule="exact"/>
        <w:ind w:left="444"/>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发包人提出变更的，应通过监理人向承包人发出变更指示， 变更指示应说明计划变更</w:t>
      </w:r>
    </w:p>
    <w:p w14:paraId="59FFD6FB">
      <w:pPr>
        <w:spacing w:line="220" w:lineRule="auto"/>
        <w:ind w:left="3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的工程范围和变更的内容。</w:t>
      </w:r>
    </w:p>
    <w:p w14:paraId="790BF1FC">
      <w:pPr>
        <w:spacing w:before="148"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10.3.2 </w:t>
      </w:r>
      <w:r>
        <w:rPr>
          <w:rFonts w:ascii="宋体" w:hAnsi="宋体" w:eastAsia="宋体" w:cs="宋体"/>
          <w:color w:val="auto"/>
          <w:spacing w:val="-2"/>
          <w:sz w:val="21"/>
          <w:szCs w:val="21"/>
          <w:highlight w:val="none"/>
        </w:rPr>
        <w:t>监理人提出变更建议</w:t>
      </w:r>
    </w:p>
    <w:p w14:paraId="5A2641CF">
      <w:pPr>
        <w:spacing w:before="152" w:line="350" w:lineRule="auto"/>
        <w:ind w:left="23" w:firstLine="4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监理人提出变更建议的，需要向发包人以书面形式提出变更计划，说明计划变更工程  范围和变更的内容、理由，以及实施该变更对</w:t>
      </w:r>
      <w:r>
        <w:rPr>
          <w:rFonts w:ascii="宋体" w:hAnsi="宋体" w:eastAsia="宋体" w:cs="宋体"/>
          <w:color w:val="auto"/>
          <w:spacing w:val="1"/>
          <w:sz w:val="21"/>
          <w:szCs w:val="21"/>
          <w:highlight w:val="none"/>
        </w:rPr>
        <w:t>合同价格和工期的影响。发包人同意变更的，</w:t>
      </w:r>
    </w:p>
    <w:p w14:paraId="5E594177">
      <w:pPr>
        <w:spacing w:before="1" w:line="220" w:lineRule="auto"/>
        <w:ind w:left="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由监理人向承包人发出变更指示。发包人不同意变更的，</w:t>
      </w:r>
      <w:r>
        <w:rPr>
          <w:rFonts w:ascii="宋体" w:hAnsi="宋体" w:eastAsia="宋体" w:cs="宋体"/>
          <w:color w:val="auto"/>
          <w:spacing w:val="-2"/>
          <w:sz w:val="21"/>
          <w:szCs w:val="21"/>
          <w:highlight w:val="none"/>
        </w:rPr>
        <w:t>监理人无权擅自发出变更指示。</w:t>
      </w:r>
    </w:p>
    <w:p w14:paraId="65828CFB">
      <w:pPr>
        <w:spacing w:before="152"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10.3.3 </w:t>
      </w:r>
      <w:r>
        <w:rPr>
          <w:rFonts w:ascii="宋体" w:hAnsi="宋体" w:eastAsia="宋体" w:cs="宋体"/>
          <w:color w:val="auto"/>
          <w:spacing w:val="-2"/>
          <w:sz w:val="21"/>
          <w:szCs w:val="21"/>
          <w:highlight w:val="none"/>
        </w:rPr>
        <w:t>变更执行</w:t>
      </w:r>
    </w:p>
    <w:p w14:paraId="3BC73892">
      <w:pPr>
        <w:spacing w:before="148" w:line="398" w:lineRule="exact"/>
        <w:ind w:left="441"/>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承包人收到监理人下达的变更指示后，认为不能执行， 应立即提出不能执行该变更指</w:t>
      </w:r>
    </w:p>
    <w:p w14:paraId="1299060C">
      <w:pPr>
        <w:spacing w:line="219" w:lineRule="auto"/>
        <w:ind w:left="19"/>
        <w:rPr>
          <w:rFonts w:ascii="宋体" w:hAnsi="宋体" w:eastAsia="宋体" w:cs="宋体"/>
          <w:color w:val="auto"/>
          <w:sz w:val="21"/>
          <w:szCs w:val="21"/>
          <w:highlight w:val="none"/>
        </w:rPr>
      </w:pPr>
      <w:r>
        <w:rPr>
          <w:rFonts w:ascii="宋体" w:hAnsi="宋体" w:eastAsia="宋体" w:cs="宋体"/>
          <w:color w:val="auto"/>
          <w:sz w:val="21"/>
          <w:szCs w:val="21"/>
          <w:highlight w:val="none"/>
        </w:rPr>
        <w:t>示的理由。承包人认为可以执行变更的， 应当书面说明实施该变更指示对合同价格和工期</w:t>
      </w:r>
    </w:p>
    <w:p w14:paraId="610E3C94">
      <w:pPr>
        <w:spacing w:before="154" w:line="219" w:lineRule="auto"/>
        <w:ind w:left="3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的影响，且合同当事人应当按照第</w:t>
      </w:r>
      <w:r>
        <w:rPr>
          <w:rFonts w:ascii="宋体" w:hAnsi="宋体" w:eastAsia="宋体" w:cs="宋体"/>
          <w:color w:val="auto"/>
          <w:spacing w:val="-11"/>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10.4 </w:t>
      </w:r>
      <w:r>
        <w:rPr>
          <w:rFonts w:ascii="宋体" w:hAnsi="宋体" w:eastAsia="宋体" w:cs="宋体"/>
          <w:color w:val="auto"/>
          <w:spacing w:val="-2"/>
          <w:sz w:val="21"/>
          <w:szCs w:val="21"/>
          <w:highlight w:val="none"/>
        </w:rPr>
        <w:t>款〔变更估价〕约定确定变更估价。</w:t>
      </w:r>
    </w:p>
    <w:p w14:paraId="650D0722">
      <w:pPr>
        <w:spacing w:before="48" w:line="219"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10.4</w:t>
      </w:r>
      <w:r>
        <w:rPr>
          <w:rFonts w:ascii="黑体" w:hAnsi="黑体" w:eastAsia="黑体" w:cs="黑体"/>
          <w:color w:val="auto"/>
          <w:spacing w:val="-41"/>
          <w:sz w:val="24"/>
          <w:szCs w:val="24"/>
          <w:highlight w:val="none"/>
        </w:rPr>
        <w:t xml:space="preserve"> </w:t>
      </w:r>
      <w:r>
        <w:rPr>
          <w:rFonts w:ascii="黑体" w:hAnsi="黑体" w:eastAsia="黑体" w:cs="黑体"/>
          <w:color w:val="auto"/>
          <w:spacing w:val="-5"/>
          <w:sz w:val="24"/>
          <w:szCs w:val="24"/>
          <w:highlight w:val="none"/>
        </w:rPr>
        <w:t>变更估价</w:t>
      </w:r>
    </w:p>
    <w:p w14:paraId="33744377">
      <w:pPr>
        <w:spacing w:before="129" w:line="219"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10.4.1 </w:t>
      </w:r>
      <w:r>
        <w:rPr>
          <w:rFonts w:ascii="宋体" w:hAnsi="宋体" w:eastAsia="宋体" w:cs="宋体"/>
          <w:color w:val="auto"/>
          <w:spacing w:val="-2"/>
          <w:sz w:val="21"/>
          <w:szCs w:val="21"/>
          <w:highlight w:val="none"/>
        </w:rPr>
        <w:t>变更估价原则</w:t>
      </w:r>
    </w:p>
    <w:p w14:paraId="453ABFE5">
      <w:pPr>
        <w:spacing w:before="150" w:line="219" w:lineRule="auto"/>
        <w:ind w:left="45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除专用合同条款另有约定外， 变更估价按照本款约定处理：</w:t>
      </w:r>
    </w:p>
    <w:p w14:paraId="0A1D5842">
      <w:pPr>
        <w:spacing w:before="154" w:line="219" w:lineRule="auto"/>
        <w:ind w:left="447"/>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）已标价工程量清单或预算书有相同项目的</w:t>
      </w:r>
      <w:r>
        <w:rPr>
          <w:rFonts w:ascii="宋体" w:hAnsi="宋体" w:eastAsia="宋体" w:cs="宋体"/>
          <w:color w:val="auto"/>
          <w:spacing w:val="-1"/>
          <w:sz w:val="21"/>
          <w:szCs w:val="21"/>
          <w:highlight w:val="none"/>
        </w:rPr>
        <w:t>，按照相同项目单价认定；</w:t>
      </w:r>
    </w:p>
    <w:p w14:paraId="2DC5FF1C">
      <w:pPr>
        <w:spacing w:before="149" w:line="399" w:lineRule="exact"/>
        <w:ind w:left="447"/>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w:t>
      </w:r>
      <w:r>
        <w:rPr>
          <w:rFonts w:ascii="Times New Roman" w:hAnsi="Times New Roman" w:eastAsia="Times New Roman" w:cs="Times New Roman"/>
          <w:color w:val="auto"/>
          <w:spacing w:val="-4"/>
          <w:position w:val="14"/>
          <w:sz w:val="21"/>
          <w:szCs w:val="21"/>
          <w:highlight w:val="none"/>
        </w:rPr>
        <w:t>2</w:t>
      </w:r>
      <w:r>
        <w:rPr>
          <w:rFonts w:ascii="宋体" w:hAnsi="宋体" w:eastAsia="宋体" w:cs="宋体"/>
          <w:color w:val="auto"/>
          <w:spacing w:val="-4"/>
          <w:position w:val="14"/>
          <w:sz w:val="21"/>
          <w:szCs w:val="21"/>
          <w:highlight w:val="none"/>
        </w:rPr>
        <w:t>）已标价工程量清单或预算书中无相同项目，</w:t>
      </w:r>
      <w:r>
        <w:rPr>
          <w:rFonts w:ascii="宋体" w:hAnsi="宋体" w:eastAsia="宋体" w:cs="宋体"/>
          <w:color w:val="auto"/>
          <w:spacing w:val="50"/>
          <w:position w:val="14"/>
          <w:sz w:val="21"/>
          <w:szCs w:val="21"/>
          <w:highlight w:val="none"/>
        </w:rPr>
        <w:t xml:space="preserve"> </w:t>
      </w:r>
      <w:r>
        <w:rPr>
          <w:rFonts w:ascii="宋体" w:hAnsi="宋体" w:eastAsia="宋体" w:cs="宋体"/>
          <w:color w:val="auto"/>
          <w:spacing w:val="-4"/>
          <w:position w:val="14"/>
          <w:sz w:val="21"/>
          <w:szCs w:val="21"/>
          <w:highlight w:val="none"/>
        </w:rPr>
        <w:t>但有类似项目的，参照</w:t>
      </w:r>
      <w:r>
        <w:rPr>
          <w:rFonts w:ascii="宋体" w:hAnsi="宋体" w:eastAsia="宋体" w:cs="宋体"/>
          <w:color w:val="auto"/>
          <w:spacing w:val="-5"/>
          <w:position w:val="14"/>
          <w:sz w:val="21"/>
          <w:szCs w:val="21"/>
          <w:highlight w:val="none"/>
        </w:rPr>
        <w:t>类似项目的单</w:t>
      </w:r>
    </w:p>
    <w:p w14:paraId="3AE2C9C1">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价认定；</w:t>
      </w:r>
    </w:p>
    <w:p w14:paraId="5ECE9EDE">
      <w:pPr>
        <w:spacing w:before="153" w:line="352" w:lineRule="auto"/>
        <w:ind w:left="17" w:right="157" w:firstLine="430"/>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3</w:t>
      </w:r>
      <w:r>
        <w:rPr>
          <w:rFonts w:ascii="宋体" w:hAnsi="宋体" w:eastAsia="宋体" w:cs="宋体"/>
          <w:color w:val="auto"/>
          <w:sz w:val="21"/>
          <w:szCs w:val="21"/>
          <w:highlight w:val="none"/>
        </w:rPr>
        <w:t>）变更导致实际完成的变更工程量与已标价工程量清单或预算书中列明的该项目工</w:t>
      </w:r>
      <w:r>
        <w:rPr>
          <w:rFonts w:ascii="宋体" w:hAnsi="宋体" w:eastAsia="宋体" w:cs="宋体"/>
          <w:color w:val="auto"/>
          <w:spacing w:val="3"/>
          <w:sz w:val="21"/>
          <w:szCs w:val="21"/>
          <w:highlight w:val="none"/>
        </w:rPr>
        <w:t xml:space="preserve"> </w:t>
      </w:r>
      <w:r>
        <w:rPr>
          <w:rFonts w:ascii="宋体" w:hAnsi="宋体" w:eastAsia="宋体" w:cs="宋体"/>
          <w:color w:val="auto"/>
          <w:spacing w:val="1"/>
          <w:sz w:val="21"/>
          <w:szCs w:val="21"/>
          <w:highlight w:val="none"/>
        </w:rPr>
        <w:t xml:space="preserve">程量的变化幅度超过 </w:t>
      </w:r>
      <w:r>
        <w:rPr>
          <w:rFonts w:ascii="Times New Roman" w:hAnsi="Times New Roman" w:eastAsia="Times New Roman" w:cs="Times New Roman"/>
          <w:color w:val="auto"/>
          <w:spacing w:val="1"/>
          <w:sz w:val="21"/>
          <w:szCs w:val="21"/>
          <w:highlight w:val="none"/>
        </w:rPr>
        <w:t>15%</w:t>
      </w:r>
      <w:r>
        <w:rPr>
          <w:rFonts w:ascii="宋体" w:hAnsi="宋体" w:eastAsia="宋体" w:cs="宋体"/>
          <w:color w:val="auto"/>
          <w:spacing w:val="1"/>
          <w:sz w:val="21"/>
          <w:szCs w:val="21"/>
          <w:highlight w:val="none"/>
        </w:rPr>
        <w:t>的，或已标价工程量清单或预算书中无相同项目及类似项目单价</w:t>
      </w:r>
      <w:r>
        <w:rPr>
          <w:rFonts w:ascii="宋体" w:hAnsi="宋体" w:eastAsia="宋体" w:cs="宋体"/>
          <w:color w:val="auto"/>
          <w:sz w:val="21"/>
          <w:szCs w:val="21"/>
          <w:highlight w:val="none"/>
        </w:rPr>
        <w:t xml:space="preserve"> 的，按照合理的成本与利润构成的原则，由合同当事人</w:t>
      </w:r>
      <w:r>
        <w:rPr>
          <w:rFonts w:ascii="宋体" w:hAnsi="宋体" w:eastAsia="宋体" w:cs="宋体"/>
          <w:color w:val="auto"/>
          <w:spacing w:val="-1"/>
          <w:sz w:val="21"/>
          <w:szCs w:val="21"/>
          <w:highlight w:val="none"/>
        </w:rPr>
        <w:t>按照第</w:t>
      </w:r>
      <w:r>
        <w:rPr>
          <w:rFonts w:ascii="宋体" w:hAnsi="宋体" w:eastAsia="宋体" w:cs="宋体"/>
          <w:color w:val="auto"/>
          <w:spacing w:val="-60"/>
          <w:sz w:val="21"/>
          <w:szCs w:val="21"/>
          <w:highlight w:val="none"/>
        </w:rPr>
        <w:t xml:space="preserve"> </w:t>
      </w:r>
      <w:r>
        <w:rPr>
          <w:rFonts w:ascii="Times New Roman" w:hAnsi="Times New Roman" w:eastAsia="Times New Roman" w:cs="Times New Roman"/>
          <w:color w:val="auto"/>
          <w:spacing w:val="-1"/>
          <w:sz w:val="21"/>
          <w:szCs w:val="21"/>
          <w:highlight w:val="none"/>
        </w:rPr>
        <w:t>4.4</w:t>
      </w:r>
      <w:r>
        <w:rPr>
          <w:rFonts w:ascii="Times New Roman" w:hAnsi="Times New Roman" w:eastAsia="Times New Roman" w:cs="Times New Roman"/>
          <w:color w:val="auto"/>
          <w:spacing w:val="-15"/>
          <w:sz w:val="21"/>
          <w:szCs w:val="21"/>
          <w:highlight w:val="none"/>
        </w:rPr>
        <w:t xml:space="preserve"> </w:t>
      </w:r>
      <w:r>
        <w:rPr>
          <w:rFonts w:ascii="宋体" w:hAnsi="宋体" w:eastAsia="宋体" w:cs="宋体"/>
          <w:color w:val="auto"/>
          <w:spacing w:val="-1"/>
          <w:sz w:val="21"/>
          <w:szCs w:val="21"/>
          <w:highlight w:val="none"/>
        </w:rPr>
        <w:t>款〔商定或确定〕确定变</w:t>
      </w:r>
    </w:p>
    <w:p w14:paraId="3FC2BB48">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更工作的单价。</w:t>
      </w:r>
    </w:p>
    <w:p w14:paraId="6B99630B">
      <w:pPr>
        <w:spacing w:before="150" w:line="219"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10.4.2 </w:t>
      </w:r>
      <w:r>
        <w:rPr>
          <w:rFonts w:ascii="宋体" w:hAnsi="宋体" w:eastAsia="宋体" w:cs="宋体"/>
          <w:color w:val="auto"/>
          <w:spacing w:val="-2"/>
          <w:sz w:val="21"/>
          <w:szCs w:val="21"/>
          <w:highlight w:val="none"/>
        </w:rPr>
        <w:t>变更估价程序</w:t>
      </w:r>
    </w:p>
    <w:p w14:paraId="1509E816">
      <w:pPr>
        <w:spacing w:line="219" w:lineRule="auto"/>
        <w:rPr>
          <w:rFonts w:ascii="宋体" w:hAnsi="宋体" w:eastAsia="宋体" w:cs="宋体"/>
          <w:color w:val="auto"/>
          <w:sz w:val="21"/>
          <w:szCs w:val="21"/>
          <w:highlight w:val="none"/>
        </w:rPr>
        <w:sectPr>
          <w:footerReference r:id="rId128" w:type="default"/>
          <w:pgSz w:w="11905" w:h="16839"/>
          <w:pgMar w:top="1431" w:right="1633" w:bottom="1004" w:left="1785" w:header="0" w:footer="828" w:gutter="0"/>
          <w:pgNumType w:fmt="decimal"/>
          <w:cols w:space="720" w:num="1"/>
        </w:sectPr>
      </w:pPr>
    </w:p>
    <w:p w14:paraId="322336A0">
      <w:pPr>
        <w:spacing w:before="148" w:line="352" w:lineRule="auto"/>
        <w:ind w:left="18" w:right="15" w:firstLine="422"/>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 xml:space="preserve">承包人应在收到变更指示后 </w:t>
      </w:r>
      <w:r>
        <w:rPr>
          <w:rFonts w:ascii="Times New Roman" w:hAnsi="Times New Roman" w:eastAsia="Times New Roman" w:cs="Times New Roman"/>
          <w:color w:val="auto"/>
          <w:spacing w:val="-2"/>
          <w:sz w:val="21"/>
          <w:szCs w:val="21"/>
          <w:highlight w:val="none"/>
        </w:rPr>
        <w:t xml:space="preserve">14 </w:t>
      </w:r>
      <w:r>
        <w:rPr>
          <w:rFonts w:ascii="宋体" w:hAnsi="宋体" w:eastAsia="宋体" w:cs="宋体"/>
          <w:color w:val="auto"/>
          <w:spacing w:val="-2"/>
          <w:sz w:val="21"/>
          <w:szCs w:val="21"/>
          <w:highlight w:val="none"/>
        </w:rPr>
        <w:t xml:space="preserve">天内，向监理人提交变更估价申请。监理人应在收到承  </w:t>
      </w:r>
      <w:r>
        <w:rPr>
          <w:rFonts w:ascii="宋体" w:hAnsi="宋体" w:eastAsia="宋体" w:cs="宋体"/>
          <w:color w:val="auto"/>
          <w:spacing w:val="-1"/>
          <w:sz w:val="21"/>
          <w:szCs w:val="21"/>
          <w:highlight w:val="none"/>
        </w:rPr>
        <w:t xml:space="preserve">包人提交的变更估价申请后 </w:t>
      </w:r>
      <w:r>
        <w:rPr>
          <w:rFonts w:ascii="Times New Roman" w:hAnsi="Times New Roman" w:eastAsia="Times New Roman" w:cs="Times New Roman"/>
          <w:color w:val="auto"/>
          <w:spacing w:val="-1"/>
          <w:sz w:val="21"/>
          <w:szCs w:val="21"/>
          <w:highlight w:val="none"/>
        </w:rPr>
        <w:t>7</w:t>
      </w:r>
      <w:r>
        <w:rPr>
          <w:rFonts w:ascii="Times New Roman" w:hAnsi="Times New Roman" w:eastAsia="Times New Roman" w:cs="Times New Roman"/>
          <w:color w:val="auto"/>
          <w:spacing w:val="59"/>
          <w:w w:val="101"/>
          <w:sz w:val="21"/>
          <w:szCs w:val="21"/>
          <w:highlight w:val="none"/>
        </w:rPr>
        <w:t xml:space="preserve"> </w:t>
      </w:r>
      <w:r>
        <w:rPr>
          <w:rFonts w:ascii="宋体" w:hAnsi="宋体" w:eastAsia="宋体" w:cs="宋体"/>
          <w:color w:val="auto"/>
          <w:spacing w:val="-1"/>
          <w:sz w:val="21"/>
          <w:szCs w:val="21"/>
          <w:highlight w:val="none"/>
        </w:rPr>
        <w:t>天内审查完毕并报送发包人，监理人对变更估价申请有异议，</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通知承包人修改后重新提交。发包人应在承包</w:t>
      </w:r>
      <w:r>
        <w:rPr>
          <w:rFonts w:ascii="宋体" w:hAnsi="宋体" w:eastAsia="宋体" w:cs="宋体"/>
          <w:color w:val="auto"/>
          <w:spacing w:val="-4"/>
          <w:sz w:val="21"/>
          <w:szCs w:val="21"/>
          <w:highlight w:val="none"/>
        </w:rPr>
        <w:t xml:space="preserve">人提交变更估价申请后 </w:t>
      </w:r>
      <w:r>
        <w:rPr>
          <w:rFonts w:ascii="Times New Roman" w:hAnsi="Times New Roman" w:eastAsia="Times New Roman" w:cs="Times New Roman"/>
          <w:color w:val="auto"/>
          <w:spacing w:val="-4"/>
          <w:sz w:val="21"/>
          <w:szCs w:val="21"/>
          <w:highlight w:val="none"/>
        </w:rPr>
        <w:t>14</w:t>
      </w:r>
      <w:r>
        <w:rPr>
          <w:rFonts w:ascii="Times New Roman" w:hAnsi="Times New Roman" w:eastAsia="Times New Roman" w:cs="Times New Roman"/>
          <w:color w:val="auto"/>
          <w:spacing w:val="13"/>
          <w:w w:val="101"/>
          <w:sz w:val="21"/>
          <w:szCs w:val="21"/>
          <w:highlight w:val="none"/>
        </w:rPr>
        <w:t xml:space="preserve"> </w:t>
      </w:r>
      <w:r>
        <w:rPr>
          <w:rFonts w:ascii="宋体" w:hAnsi="宋体" w:eastAsia="宋体" w:cs="宋体"/>
          <w:color w:val="auto"/>
          <w:spacing w:val="-4"/>
          <w:sz w:val="21"/>
          <w:szCs w:val="21"/>
          <w:highlight w:val="none"/>
        </w:rPr>
        <w:t>天内审批完毕。 发</w:t>
      </w:r>
    </w:p>
    <w:p w14:paraId="56E1CD4E">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包人逾期未完成审批或未提出异议的， 视为认可承包人提交的变更估价申请。</w:t>
      </w:r>
    </w:p>
    <w:p w14:paraId="663D7D77">
      <w:pPr>
        <w:spacing w:before="149" w:line="219" w:lineRule="auto"/>
        <w:ind w:left="45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因变更引起的价格调整应计入最近一期的进度款中支付。</w:t>
      </w:r>
    </w:p>
    <w:p w14:paraId="62FF3708">
      <w:pPr>
        <w:spacing w:before="52" w:line="219"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10.5</w:t>
      </w:r>
      <w:r>
        <w:rPr>
          <w:rFonts w:ascii="黑体" w:hAnsi="黑体" w:eastAsia="黑体" w:cs="黑体"/>
          <w:color w:val="auto"/>
          <w:spacing w:val="-45"/>
          <w:sz w:val="24"/>
          <w:szCs w:val="24"/>
          <w:highlight w:val="none"/>
        </w:rPr>
        <w:t xml:space="preserve"> </w:t>
      </w:r>
      <w:r>
        <w:rPr>
          <w:rFonts w:ascii="黑体" w:hAnsi="黑体" w:eastAsia="黑体" w:cs="黑体"/>
          <w:color w:val="auto"/>
          <w:spacing w:val="-3"/>
          <w:sz w:val="24"/>
          <w:szCs w:val="24"/>
          <w:highlight w:val="none"/>
        </w:rPr>
        <w:t>承包人的合理化建议</w:t>
      </w:r>
    </w:p>
    <w:p w14:paraId="67D5892A">
      <w:pPr>
        <w:spacing w:before="129" w:line="398" w:lineRule="exact"/>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承包人提出合理化建议的， 应向监理人提交合理化建议说明，说明建议的内容和理由，</w:t>
      </w:r>
    </w:p>
    <w:p w14:paraId="77608D63">
      <w:pPr>
        <w:spacing w:line="219" w:lineRule="auto"/>
        <w:ind w:left="4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以及实施该建议对合同价格和工期的影响。</w:t>
      </w:r>
    </w:p>
    <w:p w14:paraId="193E9390">
      <w:pPr>
        <w:spacing w:before="151" w:line="352" w:lineRule="auto"/>
        <w:ind w:left="20" w:right="174" w:firstLine="433"/>
        <w:rPr>
          <w:rFonts w:ascii="宋体" w:hAnsi="宋体" w:eastAsia="宋体" w:cs="宋体"/>
          <w:color w:val="auto"/>
          <w:sz w:val="21"/>
          <w:szCs w:val="21"/>
          <w:highlight w:val="none"/>
        </w:rPr>
      </w:pPr>
      <w:r>
        <w:rPr>
          <w:rFonts w:ascii="宋体" w:hAnsi="宋体" w:eastAsia="宋体" w:cs="宋体"/>
          <w:color w:val="auto"/>
          <w:sz w:val="21"/>
          <w:szCs w:val="21"/>
          <w:highlight w:val="none"/>
        </w:rPr>
        <w:t xml:space="preserve">除专用合同条款另有约定外，监理人应在收到承包人提交的合理化建议后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w:t>
      </w:r>
      <w:r>
        <w:rPr>
          <w:rFonts w:ascii="宋体" w:hAnsi="宋体" w:eastAsia="宋体" w:cs="宋体"/>
          <w:color w:val="auto"/>
          <w:spacing w:val="-1"/>
          <w:sz w:val="21"/>
          <w:szCs w:val="21"/>
          <w:highlight w:val="none"/>
        </w:rPr>
        <w:t>内审查</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完毕并报送发包人，发现其中存在技术上的缺陷，应通知承包人修改。发</w:t>
      </w:r>
      <w:r>
        <w:rPr>
          <w:rFonts w:ascii="宋体" w:hAnsi="宋体" w:eastAsia="宋体" w:cs="宋体"/>
          <w:color w:val="auto"/>
          <w:spacing w:val="2"/>
          <w:sz w:val="21"/>
          <w:szCs w:val="21"/>
          <w:highlight w:val="none"/>
        </w:rPr>
        <w:t>包人应在收到监</w:t>
      </w:r>
      <w:r>
        <w:rPr>
          <w:rFonts w:ascii="宋体" w:hAnsi="宋体" w:eastAsia="宋体" w:cs="宋体"/>
          <w:color w:val="auto"/>
          <w:sz w:val="21"/>
          <w:szCs w:val="21"/>
          <w:highlight w:val="none"/>
        </w:rPr>
        <w:t xml:space="preserve"> 理人报送的合理化建议后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天内审批完毕。合理化建议经发包人批准的，监理人应及时发</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 xml:space="preserve">出变更指示，由此引起的合同价格调整按照第 </w:t>
      </w:r>
      <w:r>
        <w:rPr>
          <w:rFonts w:ascii="Times New Roman" w:hAnsi="Times New Roman" w:eastAsia="Times New Roman" w:cs="Times New Roman"/>
          <w:color w:val="auto"/>
          <w:sz w:val="21"/>
          <w:szCs w:val="21"/>
          <w:highlight w:val="none"/>
        </w:rPr>
        <w:t>10.4</w:t>
      </w:r>
      <w:r>
        <w:rPr>
          <w:rFonts w:ascii="Times New Roman" w:hAnsi="Times New Roman" w:eastAsia="Times New Roman" w:cs="Times New Roman"/>
          <w:color w:val="auto"/>
          <w:spacing w:val="29"/>
          <w:sz w:val="21"/>
          <w:szCs w:val="21"/>
          <w:highlight w:val="none"/>
        </w:rPr>
        <w:t xml:space="preserve"> </w:t>
      </w:r>
      <w:r>
        <w:rPr>
          <w:rFonts w:ascii="宋体" w:hAnsi="宋体" w:eastAsia="宋体" w:cs="宋体"/>
          <w:color w:val="auto"/>
          <w:sz w:val="21"/>
          <w:szCs w:val="21"/>
          <w:highlight w:val="none"/>
        </w:rPr>
        <w:t>款〔变</w:t>
      </w:r>
      <w:r>
        <w:rPr>
          <w:rFonts w:ascii="宋体" w:hAnsi="宋体" w:eastAsia="宋体" w:cs="宋体"/>
          <w:color w:val="auto"/>
          <w:spacing w:val="-1"/>
          <w:sz w:val="21"/>
          <w:szCs w:val="21"/>
          <w:highlight w:val="none"/>
        </w:rPr>
        <w:t>更估价〕约定执行。发包人不同</w:t>
      </w:r>
    </w:p>
    <w:p w14:paraId="30B8A853">
      <w:pPr>
        <w:spacing w:before="1" w:line="219" w:lineRule="auto"/>
        <w:ind w:left="24"/>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意变更的， 监理人应书面通知承包人。</w:t>
      </w:r>
    </w:p>
    <w:p w14:paraId="7CF0AEC6">
      <w:pPr>
        <w:spacing w:before="149" w:line="219" w:lineRule="auto"/>
        <w:jc w:val="right"/>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合理化建议降低了合同价格或者提高了工程经济效益的，发包人</w:t>
      </w:r>
      <w:r>
        <w:rPr>
          <w:rFonts w:ascii="宋体" w:hAnsi="宋体" w:eastAsia="宋体" w:cs="宋体"/>
          <w:color w:val="auto"/>
          <w:spacing w:val="1"/>
          <w:sz w:val="21"/>
          <w:szCs w:val="21"/>
          <w:highlight w:val="none"/>
        </w:rPr>
        <w:t>可对承包人给予奖励，</w:t>
      </w:r>
    </w:p>
    <w:p w14:paraId="7BFF1D76">
      <w:pPr>
        <w:spacing w:before="148" w:line="221"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奖励的方法和金额在专用合同条款中约定。</w:t>
      </w:r>
    </w:p>
    <w:p w14:paraId="3B7CCCB5">
      <w:pPr>
        <w:spacing w:before="46" w:line="219"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10.6</w:t>
      </w:r>
      <w:r>
        <w:rPr>
          <w:rFonts w:ascii="黑体" w:hAnsi="黑体" w:eastAsia="黑体" w:cs="黑体"/>
          <w:color w:val="auto"/>
          <w:spacing w:val="-44"/>
          <w:sz w:val="24"/>
          <w:szCs w:val="24"/>
          <w:highlight w:val="none"/>
        </w:rPr>
        <w:t xml:space="preserve"> </w:t>
      </w:r>
      <w:r>
        <w:rPr>
          <w:rFonts w:ascii="黑体" w:hAnsi="黑体" w:eastAsia="黑体" w:cs="黑体"/>
          <w:color w:val="auto"/>
          <w:spacing w:val="-3"/>
          <w:sz w:val="24"/>
          <w:szCs w:val="24"/>
          <w:highlight w:val="none"/>
        </w:rPr>
        <w:t>变更引起的工期调整</w:t>
      </w:r>
    </w:p>
    <w:p w14:paraId="236D1B37">
      <w:pPr>
        <w:spacing w:before="129" w:line="221" w:lineRule="auto"/>
        <w:ind w:left="457"/>
        <w:rPr>
          <w:rFonts w:ascii="Times New Roman" w:hAnsi="Times New Roman" w:eastAsia="Times New Roman" w:cs="Times New Roman"/>
          <w:color w:val="auto"/>
          <w:sz w:val="21"/>
          <w:szCs w:val="21"/>
          <w:highlight w:val="none"/>
        </w:rPr>
      </w:pPr>
      <w:r>
        <w:rPr>
          <w:rFonts w:ascii="宋体" w:hAnsi="宋体" w:eastAsia="宋体" w:cs="宋体"/>
          <w:color w:val="auto"/>
          <w:spacing w:val="-1"/>
          <w:sz w:val="21"/>
          <w:szCs w:val="21"/>
          <w:highlight w:val="none"/>
        </w:rPr>
        <w:t>因变更引起工期变化的，合同当事人均可要求调整合同工期，由合同当事人按照第</w:t>
      </w:r>
      <w:r>
        <w:rPr>
          <w:rFonts w:ascii="宋体" w:hAnsi="宋体" w:eastAsia="宋体" w:cs="宋体"/>
          <w:color w:val="auto"/>
          <w:spacing w:val="-15"/>
          <w:sz w:val="21"/>
          <w:szCs w:val="21"/>
          <w:highlight w:val="none"/>
        </w:rPr>
        <w:t xml:space="preserve"> </w:t>
      </w:r>
      <w:r>
        <w:rPr>
          <w:rFonts w:ascii="Times New Roman" w:hAnsi="Times New Roman" w:eastAsia="Times New Roman" w:cs="Times New Roman"/>
          <w:color w:val="auto"/>
          <w:spacing w:val="-1"/>
          <w:sz w:val="21"/>
          <w:szCs w:val="21"/>
          <w:highlight w:val="none"/>
        </w:rPr>
        <w:t>4.4</w:t>
      </w:r>
    </w:p>
    <w:p w14:paraId="54A061CB">
      <w:pPr>
        <w:spacing w:before="152" w:line="221"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款〔商定或确定〕并参考工程所在地的工期定额标准确定增减工期天数。</w:t>
      </w:r>
    </w:p>
    <w:p w14:paraId="4731CB96">
      <w:pPr>
        <w:spacing w:before="45" w:line="219"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10.7</w:t>
      </w:r>
      <w:r>
        <w:rPr>
          <w:rFonts w:ascii="黑体" w:hAnsi="黑体" w:eastAsia="黑体" w:cs="黑体"/>
          <w:color w:val="auto"/>
          <w:spacing w:val="-44"/>
          <w:sz w:val="24"/>
          <w:szCs w:val="24"/>
          <w:highlight w:val="none"/>
        </w:rPr>
        <w:t xml:space="preserve"> </w:t>
      </w:r>
      <w:r>
        <w:rPr>
          <w:rFonts w:ascii="黑体" w:hAnsi="黑体" w:eastAsia="黑体" w:cs="黑体"/>
          <w:color w:val="auto"/>
          <w:spacing w:val="-5"/>
          <w:sz w:val="24"/>
          <w:szCs w:val="24"/>
          <w:highlight w:val="none"/>
        </w:rPr>
        <w:t>暂估价</w:t>
      </w:r>
    </w:p>
    <w:p w14:paraId="726016BA">
      <w:pPr>
        <w:spacing w:before="130" w:line="398"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暂估价专业分包工程、 服务、材料和工程设备的明细由合同当事人在专用合同条款中</w:t>
      </w:r>
    </w:p>
    <w:p w14:paraId="772E8E43">
      <w:pPr>
        <w:spacing w:line="221" w:lineRule="auto"/>
        <w:ind w:left="23"/>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约定。</w:t>
      </w:r>
    </w:p>
    <w:p w14:paraId="6A570A70">
      <w:pPr>
        <w:spacing w:before="152" w:line="219"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10.7.1 </w:t>
      </w:r>
      <w:r>
        <w:rPr>
          <w:rFonts w:ascii="宋体" w:hAnsi="宋体" w:eastAsia="宋体" w:cs="宋体"/>
          <w:color w:val="auto"/>
          <w:spacing w:val="-2"/>
          <w:sz w:val="21"/>
          <w:szCs w:val="21"/>
          <w:highlight w:val="none"/>
        </w:rPr>
        <w:t>依法必须招标的暂估价项目</w:t>
      </w:r>
    </w:p>
    <w:p w14:paraId="01531097">
      <w:pPr>
        <w:spacing w:before="149" w:line="399" w:lineRule="exact"/>
        <w:ind w:left="440"/>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对于依法必须招标的暂估价项目，采取以下第</w:t>
      </w:r>
      <w:r>
        <w:rPr>
          <w:rFonts w:ascii="宋体" w:hAnsi="宋体" w:eastAsia="宋体" w:cs="宋体"/>
          <w:color w:val="auto"/>
          <w:spacing w:val="26"/>
          <w:position w:val="14"/>
          <w:sz w:val="21"/>
          <w:szCs w:val="21"/>
          <w:highlight w:val="none"/>
        </w:rPr>
        <w:t xml:space="preserve"> </w:t>
      </w:r>
      <w:r>
        <w:rPr>
          <w:rFonts w:ascii="Times New Roman" w:hAnsi="Times New Roman" w:eastAsia="Times New Roman" w:cs="Times New Roman"/>
          <w:color w:val="auto"/>
          <w:position w:val="14"/>
          <w:sz w:val="21"/>
          <w:szCs w:val="21"/>
          <w:highlight w:val="none"/>
        </w:rPr>
        <w:t>1</w:t>
      </w:r>
      <w:r>
        <w:rPr>
          <w:rFonts w:ascii="Times New Roman" w:hAnsi="Times New Roman" w:eastAsia="Times New Roman" w:cs="Times New Roman"/>
          <w:color w:val="auto"/>
          <w:spacing w:val="42"/>
          <w:position w:val="14"/>
          <w:sz w:val="21"/>
          <w:szCs w:val="21"/>
          <w:highlight w:val="none"/>
        </w:rPr>
        <w:t xml:space="preserve"> </w:t>
      </w:r>
      <w:r>
        <w:rPr>
          <w:rFonts w:ascii="宋体" w:hAnsi="宋体" w:eastAsia="宋体" w:cs="宋体"/>
          <w:color w:val="auto"/>
          <w:position w:val="14"/>
          <w:sz w:val="21"/>
          <w:szCs w:val="21"/>
          <w:highlight w:val="none"/>
        </w:rPr>
        <w:t>种方式确定。合同当事人也可以在专</w:t>
      </w:r>
    </w:p>
    <w:p w14:paraId="0FFE6CD5">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用合同条款中选择其他招标方式。</w:t>
      </w:r>
    </w:p>
    <w:p w14:paraId="2DA496F4">
      <w:pPr>
        <w:spacing w:before="152" w:line="398" w:lineRule="exact"/>
        <w:ind w:left="441"/>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 xml:space="preserve">第 </w:t>
      </w:r>
      <w:r>
        <w:rPr>
          <w:rFonts w:ascii="Times New Roman" w:hAnsi="Times New Roman" w:eastAsia="Times New Roman" w:cs="Times New Roman"/>
          <w:color w:val="auto"/>
          <w:position w:val="14"/>
          <w:sz w:val="21"/>
          <w:szCs w:val="21"/>
          <w:highlight w:val="none"/>
        </w:rPr>
        <w:t xml:space="preserve">1  </w:t>
      </w:r>
      <w:r>
        <w:rPr>
          <w:rFonts w:ascii="宋体" w:hAnsi="宋体" w:eastAsia="宋体" w:cs="宋体"/>
          <w:color w:val="auto"/>
          <w:position w:val="14"/>
          <w:sz w:val="21"/>
          <w:szCs w:val="21"/>
          <w:highlight w:val="none"/>
        </w:rPr>
        <w:t>种方式：对于依法必须招标的暂估价项目，由承包人招标，对该暂估价项目的确</w:t>
      </w:r>
    </w:p>
    <w:p w14:paraId="4D4A5331">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认和批准按照以下约定执行：</w:t>
      </w:r>
    </w:p>
    <w:p w14:paraId="5F9F5B92">
      <w:pPr>
        <w:spacing w:before="149" w:line="352" w:lineRule="auto"/>
        <w:ind w:left="16" w:firstLine="43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宋体" w:hAnsi="宋体" w:eastAsia="宋体" w:cs="宋体"/>
          <w:color w:val="auto"/>
          <w:spacing w:val="-1"/>
          <w:sz w:val="21"/>
          <w:szCs w:val="21"/>
          <w:highlight w:val="none"/>
        </w:rPr>
        <w:t>）承包人应当根据施工进度计划，在招标工作启动前</w:t>
      </w:r>
      <w:r>
        <w:rPr>
          <w:rFonts w:ascii="宋体" w:hAnsi="宋体" w:eastAsia="宋体" w:cs="宋体"/>
          <w:color w:val="auto"/>
          <w:spacing w:val="38"/>
          <w:sz w:val="21"/>
          <w:szCs w:val="21"/>
          <w:highlight w:val="none"/>
        </w:rPr>
        <w:t xml:space="preserve"> </w:t>
      </w:r>
      <w:r>
        <w:rPr>
          <w:rFonts w:ascii="Times New Roman" w:hAnsi="Times New Roman" w:eastAsia="Times New Roman" w:cs="Times New Roman"/>
          <w:color w:val="auto"/>
          <w:spacing w:val="-1"/>
          <w:sz w:val="21"/>
          <w:szCs w:val="21"/>
          <w:highlight w:val="none"/>
        </w:rPr>
        <w:t>14</w:t>
      </w:r>
      <w:r>
        <w:rPr>
          <w:rFonts w:ascii="Times New Roman" w:hAnsi="Times New Roman" w:eastAsia="Times New Roman" w:cs="Times New Roman"/>
          <w:color w:val="auto"/>
          <w:spacing w:val="46"/>
          <w:w w:val="101"/>
          <w:sz w:val="21"/>
          <w:szCs w:val="21"/>
          <w:highlight w:val="none"/>
        </w:rPr>
        <w:t xml:space="preserve"> </w:t>
      </w:r>
      <w:r>
        <w:rPr>
          <w:rFonts w:ascii="宋体" w:hAnsi="宋体" w:eastAsia="宋体" w:cs="宋体"/>
          <w:color w:val="auto"/>
          <w:spacing w:val="-1"/>
          <w:sz w:val="21"/>
          <w:szCs w:val="21"/>
          <w:highlight w:val="none"/>
        </w:rPr>
        <w:t xml:space="preserve">天将招标方案通过监理人  </w:t>
      </w:r>
      <w:r>
        <w:rPr>
          <w:rFonts w:ascii="宋体" w:hAnsi="宋体" w:eastAsia="宋体" w:cs="宋体"/>
          <w:color w:val="auto"/>
          <w:sz w:val="21"/>
          <w:szCs w:val="21"/>
          <w:highlight w:val="none"/>
        </w:rPr>
        <w:t>报送发包人审查，发包人应当在收到承包人报送的招标方案</w:t>
      </w:r>
      <w:r>
        <w:rPr>
          <w:rFonts w:ascii="宋体" w:hAnsi="宋体" w:eastAsia="宋体" w:cs="宋体"/>
          <w:color w:val="auto"/>
          <w:spacing w:val="-1"/>
          <w:sz w:val="21"/>
          <w:szCs w:val="21"/>
          <w:highlight w:val="none"/>
        </w:rPr>
        <w:t xml:space="preserve">后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天内批准或提出修改意见。</w:t>
      </w:r>
    </w:p>
    <w:p w14:paraId="5AB4793A">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承包人应当按照经过发包人批准的招标方案开展招标工作；</w:t>
      </w:r>
    </w:p>
    <w:p w14:paraId="41F6410C">
      <w:pPr>
        <w:spacing w:before="147" w:line="353" w:lineRule="auto"/>
        <w:ind w:left="17" w:right="180" w:firstLine="43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）承包人应当根据施工进度计划，提前</w:t>
      </w:r>
      <w:r>
        <w:rPr>
          <w:rFonts w:ascii="宋体" w:hAnsi="宋体" w:eastAsia="宋体" w:cs="宋体"/>
          <w:color w:val="auto"/>
          <w:spacing w:val="46"/>
          <w:sz w:val="21"/>
          <w:szCs w:val="21"/>
          <w:highlight w:val="none"/>
        </w:rPr>
        <w:t xml:space="preserve"> </w:t>
      </w:r>
      <w:r>
        <w:rPr>
          <w:rFonts w:ascii="Times New Roman" w:hAnsi="Times New Roman" w:eastAsia="Times New Roman" w:cs="Times New Roman"/>
          <w:color w:val="auto"/>
          <w:spacing w:val="-1"/>
          <w:sz w:val="21"/>
          <w:szCs w:val="21"/>
          <w:highlight w:val="none"/>
        </w:rPr>
        <w:t>14</w:t>
      </w:r>
      <w:r>
        <w:rPr>
          <w:rFonts w:ascii="Times New Roman" w:hAnsi="Times New Roman" w:eastAsia="Times New Roman" w:cs="Times New Roman"/>
          <w:color w:val="auto"/>
          <w:spacing w:val="46"/>
          <w:sz w:val="21"/>
          <w:szCs w:val="21"/>
          <w:highlight w:val="none"/>
        </w:rPr>
        <w:t xml:space="preserve"> </w:t>
      </w:r>
      <w:r>
        <w:rPr>
          <w:rFonts w:ascii="宋体" w:hAnsi="宋体" w:eastAsia="宋体" w:cs="宋体"/>
          <w:color w:val="auto"/>
          <w:spacing w:val="-1"/>
          <w:sz w:val="21"/>
          <w:szCs w:val="21"/>
          <w:highlight w:val="none"/>
        </w:rPr>
        <w:t>天将招标文件通过监理人报送发包人审</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 xml:space="preserve">批，发包人应当在收到承包人报送的相关文件后 </w:t>
      </w:r>
      <w:r>
        <w:rPr>
          <w:rFonts w:ascii="Times New Roman" w:hAnsi="Times New Roman" w:eastAsia="Times New Roman" w:cs="Times New Roman"/>
          <w:color w:val="auto"/>
          <w:spacing w:val="1"/>
          <w:sz w:val="21"/>
          <w:szCs w:val="21"/>
          <w:highlight w:val="none"/>
        </w:rPr>
        <w:t>7</w:t>
      </w:r>
      <w:r>
        <w:rPr>
          <w:rFonts w:ascii="Times New Roman" w:hAnsi="Times New Roman" w:eastAsia="Times New Roman" w:cs="Times New Roman"/>
          <w:color w:val="auto"/>
          <w:spacing w:val="41"/>
          <w:w w:val="101"/>
          <w:sz w:val="21"/>
          <w:szCs w:val="21"/>
          <w:highlight w:val="none"/>
        </w:rPr>
        <w:t xml:space="preserve"> </w:t>
      </w:r>
      <w:r>
        <w:rPr>
          <w:rFonts w:ascii="宋体" w:hAnsi="宋体" w:eastAsia="宋体" w:cs="宋体"/>
          <w:color w:val="auto"/>
          <w:sz w:val="21"/>
          <w:szCs w:val="21"/>
          <w:highlight w:val="none"/>
        </w:rPr>
        <w:t>天内完成审批或提出修改意见；发包人</w:t>
      </w:r>
    </w:p>
    <w:p w14:paraId="60ABC3EA">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有权确定招标控制价并按照法律规定参加评标；</w:t>
      </w:r>
    </w:p>
    <w:p w14:paraId="2AEDA560">
      <w:pPr>
        <w:spacing w:before="148" w:line="353" w:lineRule="auto"/>
        <w:ind w:left="18" w:right="174" w:firstLine="42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 xml:space="preserve">）承包人与供应商、分包人在签订暂估价合同前，应当提前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天将确定</w:t>
      </w:r>
      <w:r>
        <w:rPr>
          <w:rFonts w:ascii="宋体" w:hAnsi="宋体" w:eastAsia="宋体" w:cs="宋体"/>
          <w:color w:val="auto"/>
          <w:spacing w:val="-2"/>
          <w:sz w:val="21"/>
          <w:szCs w:val="21"/>
          <w:highlight w:val="none"/>
        </w:rPr>
        <w:t>的中标候选</w:t>
      </w:r>
      <w:r>
        <w:rPr>
          <w:rFonts w:ascii="宋体" w:hAnsi="宋体" w:eastAsia="宋体" w:cs="宋体"/>
          <w:color w:val="auto"/>
          <w:sz w:val="21"/>
          <w:szCs w:val="21"/>
          <w:highlight w:val="none"/>
        </w:rPr>
        <w:t xml:space="preserve"> 供应商或中标候选分包人的资料报送发包人，发包人应在收到资料后 </w:t>
      </w:r>
      <w:r>
        <w:rPr>
          <w:rFonts w:ascii="Times New Roman" w:hAnsi="Times New Roman" w:eastAsia="Times New Roman" w:cs="Times New Roman"/>
          <w:color w:val="auto"/>
          <w:sz w:val="21"/>
          <w:szCs w:val="21"/>
          <w:highlight w:val="none"/>
        </w:rPr>
        <w:t xml:space="preserve">3  </w:t>
      </w:r>
      <w:r>
        <w:rPr>
          <w:rFonts w:ascii="宋体" w:hAnsi="宋体" w:eastAsia="宋体" w:cs="宋体"/>
          <w:color w:val="auto"/>
          <w:sz w:val="21"/>
          <w:szCs w:val="21"/>
          <w:highlight w:val="none"/>
        </w:rPr>
        <w:t>天内与承包人共同</w:t>
      </w:r>
    </w:p>
    <w:p w14:paraId="786D3705">
      <w:pPr>
        <w:spacing w:line="219"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rPr>
        <w:t>确定中标人；承包人应当在签订合同后</w:t>
      </w:r>
      <w:r>
        <w:rPr>
          <w:rFonts w:ascii="宋体" w:hAnsi="宋体" w:eastAsia="宋体" w:cs="宋体"/>
          <w:color w:val="auto"/>
          <w:spacing w:val="-47"/>
          <w:sz w:val="21"/>
          <w:szCs w:val="21"/>
          <w:highlight w:val="none"/>
        </w:rPr>
        <w:t xml:space="preserve">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w:t>
      </w:r>
      <w:r>
        <w:rPr>
          <w:rFonts w:ascii="宋体" w:hAnsi="宋体" w:eastAsia="宋体" w:cs="宋体"/>
          <w:color w:val="auto"/>
          <w:spacing w:val="-1"/>
          <w:sz w:val="21"/>
          <w:szCs w:val="21"/>
          <w:highlight w:val="none"/>
        </w:rPr>
        <w:t>内，将暂估价合同副本报送发包人留存。</w:t>
      </w:r>
    </w:p>
    <w:p w14:paraId="1E148B70">
      <w:pPr>
        <w:spacing w:line="219" w:lineRule="auto"/>
        <w:rPr>
          <w:rFonts w:ascii="宋体" w:hAnsi="宋体" w:eastAsia="宋体" w:cs="宋体"/>
          <w:color w:val="auto"/>
          <w:sz w:val="21"/>
          <w:szCs w:val="21"/>
          <w:highlight w:val="none"/>
        </w:rPr>
        <w:sectPr>
          <w:footerReference r:id="rId129" w:type="default"/>
          <w:pgSz w:w="11905" w:h="16839"/>
          <w:pgMar w:top="1431" w:right="1612" w:bottom="1004" w:left="1785" w:header="0" w:footer="828" w:gutter="0"/>
          <w:pgNumType w:fmt="decimal"/>
          <w:cols w:space="720" w:num="1"/>
        </w:sectPr>
      </w:pPr>
    </w:p>
    <w:p w14:paraId="35546B38">
      <w:pPr>
        <w:spacing w:before="148" w:line="352" w:lineRule="auto"/>
        <w:ind w:left="19" w:right="3" w:firstLine="4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第 </w:t>
      </w:r>
      <w:r>
        <w:rPr>
          <w:rFonts w:ascii="Times New Roman" w:hAnsi="Times New Roman" w:eastAsia="Times New Roman" w:cs="Times New Roman"/>
          <w:color w:val="auto"/>
          <w:spacing w:val="1"/>
          <w:sz w:val="21"/>
          <w:szCs w:val="21"/>
          <w:highlight w:val="none"/>
        </w:rPr>
        <w:t>2</w:t>
      </w:r>
      <w:r>
        <w:rPr>
          <w:rFonts w:ascii="Times New Roman" w:hAnsi="Times New Roman" w:eastAsia="Times New Roman" w:cs="Times New Roman"/>
          <w:color w:val="auto"/>
          <w:spacing w:val="42"/>
          <w:sz w:val="21"/>
          <w:szCs w:val="21"/>
          <w:highlight w:val="none"/>
        </w:rPr>
        <w:t xml:space="preserve"> </w:t>
      </w:r>
      <w:r>
        <w:rPr>
          <w:rFonts w:ascii="宋体" w:hAnsi="宋体" w:eastAsia="宋体" w:cs="宋体"/>
          <w:color w:val="auto"/>
          <w:spacing w:val="1"/>
          <w:sz w:val="21"/>
          <w:szCs w:val="21"/>
          <w:highlight w:val="none"/>
        </w:rPr>
        <w:t>种方式：对于依法必须招标的暂估价项目，</w:t>
      </w:r>
      <w:r>
        <w:rPr>
          <w:rFonts w:ascii="宋体" w:hAnsi="宋体" w:eastAsia="宋体" w:cs="宋体"/>
          <w:color w:val="auto"/>
          <w:sz w:val="21"/>
          <w:szCs w:val="21"/>
          <w:highlight w:val="none"/>
        </w:rPr>
        <w:t xml:space="preserve">由发包人和承包人共同招标确定暂估 </w:t>
      </w:r>
      <w:r>
        <w:rPr>
          <w:rFonts w:ascii="宋体" w:hAnsi="宋体" w:eastAsia="宋体" w:cs="宋体"/>
          <w:color w:val="auto"/>
          <w:spacing w:val="-3"/>
          <w:sz w:val="21"/>
          <w:szCs w:val="21"/>
          <w:highlight w:val="none"/>
        </w:rPr>
        <w:t>价供应商或分包人的，承包人应按照施工进度计划，</w:t>
      </w:r>
      <w:r>
        <w:rPr>
          <w:rFonts w:ascii="宋体" w:hAnsi="宋体" w:eastAsia="宋体" w:cs="宋体"/>
          <w:color w:val="auto"/>
          <w:spacing w:val="-27"/>
          <w:sz w:val="21"/>
          <w:szCs w:val="21"/>
          <w:highlight w:val="none"/>
        </w:rPr>
        <w:t xml:space="preserve"> </w:t>
      </w:r>
      <w:r>
        <w:rPr>
          <w:rFonts w:ascii="宋体" w:hAnsi="宋体" w:eastAsia="宋体" w:cs="宋体"/>
          <w:color w:val="auto"/>
          <w:spacing w:val="-3"/>
          <w:sz w:val="21"/>
          <w:szCs w:val="21"/>
          <w:highlight w:val="none"/>
        </w:rPr>
        <w:t xml:space="preserve">在招标工作启动前 </w:t>
      </w:r>
      <w:r>
        <w:rPr>
          <w:rFonts w:ascii="Times New Roman" w:hAnsi="Times New Roman" w:eastAsia="Times New Roman" w:cs="Times New Roman"/>
          <w:color w:val="auto"/>
          <w:spacing w:val="-3"/>
          <w:sz w:val="21"/>
          <w:szCs w:val="21"/>
          <w:highlight w:val="none"/>
        </w:rPr>
        <w:t>14</w:t>
      </w:r>
      <w:r>
        <w:rPr>
          <w:rFonts w:ascii="Times New Roman" w:hAnsi="Times New Roman" w:eastAsia="Times New Roman" w:cs="Times New Roman"/>
          <w:color w:val="auto"/>
          <w:spacing w:val="13"/>
          <w:sz w:val="21"/>
          <w:szCs w:val="21"/>
          <w:highlight w:val="none"/>
        </w:rPr>
        <w:t xml:space="preserve"> </w:t>
      </w:r>
      <w:r>
        <w:rPr>
          <w:rFonts w:ascii="宋体" w:hAnsi="宋体" w:eastAsia="宋体" w:cs="宋体"/>
          <w:color w:val="auto"/>
          <w:spacing w:val="-4"/>
          <w:sz w:val="21"/>
          <w:szCs w:val="21"/>
          <w:highlight w:val="none"/>
        </w:rPr>
        <w:t>天通知发包人，</w:t>
      </w:r>
      <w:r>
        <w:rPr>
          <w:rFonts w:ascii="宋体" w:hAnsi="宋体" w:eastAsia="宋体" w:cs="宋体"/>
          <w:color w:val="auto"/>
          <w:sz w:val="21"/>
          <w:szCs w:val="21"/>
          <w:highlight w:val="none"/>
        </w:rPr>
        <w:t xml:space="preserve"> 并提交暂估价招标方案和工作分工。发包人应在收到后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天内确认。确定中标人后，由发</w:t>
      </w:r>
    </w:p>
    <w:p w14:paraId="23CF8D70">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包人、承包人与中标人共同签订暂估价合同。</w:t>
      </w:r>
    </w:p>
    <w:p w14:paraId="74B3AF93">
      <w:pPr>
        <w:spacing w:before="149" w:line="219"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10.7.2 </w:t>
      </w:r>
      <w:r>
        <w:rPr>
          <w:rFonts w:ascii="宋体" w:hAnsi="宋体" w:eastAsia="宋体" w:cs="宋体"/>
          <w:color w:val="auto"/>
          <w:spacing w:val="-2"/>
          <w:sz w:val="21"/>
          <w:szCs w:val="21"/>
          <w:highlight w:val="none"/>
        </w:rPr>
        <w:t>不属于依法必须招标的暂估价项目</w:t>
      </w:r>
    </w:p>
    <w:p w14:paraId="687CB79D">
      <w:pPr>
        <w:spacing w:before="153" w:line="399" w:lineRule="exact"/>
        <w:jc w:val="right"/>
        <w:rPr>
          <w:rFonts w:ascii="Times New Roman" w:hAnsi="Times New Roman" w:eastAsia="Times New Roman" w:cs="Times New Roman"/>
          <w:color w:val="auto"/>
          <w:sz w:val="21"/>
          <w:szCs w:val="21"/>
          <w:highlight w:val="none"/>
        </w:rPr>
      </w:pPr>
      <w:r>
        <w:rPr>
          <w:rFonts w:ascii="宋体" w:hAnsi="宋体" w:eastAsia="宋体" w:cs="宋体"/>
          <w:color w:val="auto"/>
          <w:spacing w:val="-1"/>
          <w:position w:val="14"/>
          <w:sz w:val="21"/>
          <w:szCs w:val="21"/>
          <w:highlight w:val="none"/>
        </w:rPr>
        <w:t>除专用合同条款另有约定外， 对于不属于依法必须招标的暂估价项目，采取以下第</w:t>
      </w:r>
      <w:r>
        <w:rPr>
          <w:rFonts w:ascii="宋体" w:hAnsi="宋体" w:eastAsia="宋体" w:cs="宋体"/>
          <w:color w:val="auto"/>
          <w:spacing w:val="40"/>
          <w:position w:val="14"/>
          <w:sz w:val="21"/>
          <w:szCs w:val="21"/>
          <w:highlight w:val="none"/>
        </w:rPr>
        <w:t xml:space="preserve"> </w:t>
      </w:r>
      <w:r>
        <w:rPr>
          <w:rFonts w:ascii="Times New Roman" w:hAnsi="Times New Roman" w:eastAsia="Times New Roman" w:cs="Times New Roman"/>
          <w:color w:val="auto"/>
          <w:spacing w:val="-1"/>
          <w:position w:val="14"/>
          <w:sz w:val="21"/>
          <w:szCs w:val="21"/>
          <w:highlight w:val="none"/>
        </w:rPr>
        <w:t>1</w:t>
      </w:r>
    </w:p>
    <w:p w14:paraId="3439BED9">
      <w:pPr>
        <w:spacing w:line="221"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种方式确定：</w:t>
      </w:r>
    </w:p>
    <w:p w14:paraId="0DF31A26">
      <w:pPr>
        <w:spacing w:before="147" w:line="219" w:lineRule="auto"/>
        <w:ind w:left="44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第</w:t>
      </w:r>
      <w:r>
        <w:rPr>
          <w:rFonts w:ascii="宋体" w:hAnsi="宋体" w:eastAsia="宋体" w:cs="宋体"/>
          <w:color w:val="auto"/>
          <w:spacing w:val="-27"/>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 </w:t>
      </w:r>
      <w:r>
        <w:rPr>
          <w:rFonts w:ascii="宋体" w:hAnsi="宋体" w:eastAsia="宋体" w:cs="宋体"/>
          <w:color w:val="auto"/>
          <w:spacing w:val="-2"/>
          <w:sz w:val="21"/>
          <w:szCs w:val="21"/>
          <w:highlight w:val="none"/>
        </w:rPr>
        <w:t>种方式：对于不属于依法必须招标的暂估价项目，按本项约定确认和批</w:t>
      </w:r>
      <w:r>
        <w:rPr>
          <w:rFonts w:ascii="宋体" w:hAnsi="宋体" w:eastAsia="宋体" w:cs="宋体"/>
          <w:color w:val="auto"/>
          <w:spacing w:val="-3"/>
          <w:sz w:val="21"/>
          <w:szCs w:val="21"/>
          <w:highlight w:val="none"/>
        </w:rPr>
        <w:t>准：</w:t>
      </w:r>
    </w:p>
    <w:p w14:paraId="1D2EDD89">
      <w:pPr>
        <w:spacing w:before="152" w:line="352" w:lineRule="auto"/>
        <w:ind w:left="39" w:right="1" w:firstLine="407"/>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 xml:space="preserve">）承包人应根据施工进度计划，在签订暂估价项目的采购合同、分包合同前 </w:t>
      </w:r>
      <w:r>
        <w:rPr>
          <w:rFonts w:ascii="Times New Roman" w:hAnsi="Times New Roman" w:eastAsia="Times New Roman" w:cs="Times New Roman"/>
          <w:color w:val="auto"/>
          <w:sz w:val="21"/>
          <w:szCs w:val="21"/>
          <w:highlight w:val="none"/>
        </w:rPr>
        <w:t xml:space="preserve">28  </w:t>
      </w:r>
      <w:r>
        <w:rPr>
          <w:rFonts w:ascii="宋体" w:hAnsi="宋体" w:eastAsia="宋体" w:cs="宋体"/>
          <w:color w:val="auto"/>
          <w:sz w:val="21"/>
          <w:szCs w:val="21"/>
          <w:highlight w:val="none"/>
        </w:rPr>
        <w:t>天</w:t>
      </w:r>
      <w:r>
        <w:rPr>
          <w:rFonts w:ascii="宋体" w:hAnsi="宋体" w:eastAsia="宋体" w:cs="宋体"/>
          <w:color w:val="auto"/>
          <w:spacing w:val="8"/>
          <w:sz w:val="21"/>
          <w:szCs w:val="21"/>
          <w:highlight w:val="none"/>
        </w:rPr>
        <w:t xml:space="preserve"> </w:t>
      </w:r>
      <w:r>
        <w:rPr>
          <w:rFonts w:ascii="宋体" w:hAnsi="宋体" w:eastAsia="宋体" w:cs="宋体"/>
          <w:color w:val="auto"/>
          <w:sz w:val="21"/>
          <w:szCs w:val="21"/>
          <w:highlight w:val="none"/>
        </w:rPr>
        <w:t xml:space="preserve">向监理人提出书面申请。监理人应当在收到申请后 </w:t>
      </w:r>
      <w:r>
        <w:rPr>
          <w:rFonts w:ascii="Times New Roman" w:hAnsi="Times New Roman" w:eastAsia="Times New Roman" w:cs="Times New Roman"/>
          <w:color w:val="auto"/>
          <w:sz w:val="21"/>
          <w:szCs w:val="21"/>
          <w:highlight w:val="none"/>
        </w:rPr>
        <w:t xml:space="preserve">3  </w:t>
      </w:r>
      <w:r>
        <w:rPr>
          <w:rFonts w:ascii="宋体" w:hAnsi="宋体" w:eastAsia="宋体" w:cs="宋体"/>
          <w:color w:val="auto"/>
          <w:sz w:val="21"/>
          <w:szCs w:val="21"/>
          <w:highlight w:val="none"/>
        </w:rPr>
        <w:t>天内报送发包人，发包</w:t>
      </w:r>
      <w:r>
        <w:rPr>
          <w:rFonts w:ascii="宋体" w:hAnsi="宋体" w:eastAsia="宋体" w:cs="宋体"/>
          <w:color w:val="auto"/>
          <w:spacing w:val="-1"/>
          <w:sz w:val="21"/>
          <w:szCs w:val="21"/>
          <w:highlight w:val="none"/>
        </w:rPr>
        <w:t>人应当在收到</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 xml:space="preserve">申请后 </w:t>
      </w:r>
      <w:r>
        <w:rPr>
          <w:rFonts w:ascii="Times New Roman" w:hAnsi="Times New Roman" w:eastAsia="Times New Roman" w:cs="Times New Roman"/>
          <w:color w:val="auto"/>
          <w:spacing w:val="-2"/>
          <w:sz w:val="21"/>
          <w:szCs w:val="21"/>
          <w:highlight w:val="none"/>
        </w:rPr>
        <w:t>14</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pacing w:val="-2"/>
          <w:sz w:val="21"/>
          <w:szCs w:val="21"/>
          <w:highlight w:val="none"/>
        </w:rPr>
        <w:t>天内给予批准或提出修改意见，发包人逾期未予批准或提出修改意见的，视为该</w:t>
      </w:r>
    </w:p>
    <w:p w14:paraId="08ACF729">
      <w:pPr>
        <w:spacing w:before="1" w:line="219" w:lineRule="auto"/>
        <w:ind w:left="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书面申请已获得同意；</w:t>
      </w:r>
    </w:p>
    <w:p w14:paraId="6D7BE81B">
      <w:pPr>
        <w:spacing w:before="149" w:line="399" w:lineRule="exact"/>
        <w:ind w:right="12"/>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2</w:t>
      </w:r>
      <w:r>
        <w:rPr>
          <w:rFonts w:ascii="宋体" w:hAnsi="宋体" w:eastAsia="宋体" w:cs="宋体"/>
          <w:color w:val="auto"/>
          <w:position w:val="14"/>
          <w:sz w:val="21"/>
          <w:szCs w:val="21"/>
          <w:highlight w:val="none"/>
        </w:rPr>
        <w:t>）发包人认为承包人确定的供应商、分包人无法满足工程质量或合同要求</w:t>
      </w:r>
      <w:r>
        <w:rPr>
          <w:rFonts w:ascii="宋体" w:hAnsi="宋体" w:eastAsia="宋体" w:cs="宋体"/>
          <w:color w:val="auto"/>
          <w:spacing w:val="-1"/>
          <w:position w:val="14"/>
          <w:sz w:val="21"/>
          <w:szCs w:val="21"/>
          <w:highlight w:val="none"/>
        </w:rPr>
        <w:t>的，发包</w:t>
      </w:r>
    </w:p>
    <w:p w14:paraId="63C779A7">
      <w:pPr>
        <w:spacing w:line="222" w:lineRule="auto"/>
        <w:ind w:left="20"/>
        <w:rPr>
          <w:rFonts w:ascii="Times New Roman" w:hAnsi="Times New Roman" w:eastAsia="Times New Roman" w:cs="Times New Roman"/>
          <w:color w:val="auto"/>
          <w:sz w:val="21"/>
          <w:szCs w:val="21"/>
          <w:highlight w:val="none"/>
        </w:rPr>
      </w:pPr>
      <w:r>
        <w:rPr>
          <w:rFonts w:ascii="宋体" w:hAnsi="宋体" w:eastAsia="宋体" w:cs="宋体"/>
          <w:color w:val="auto"/>
          <w:spacing w:val="-1"/>
          <w:sz w:val="21"/>
          <w:szCs w:val="21"/>
          <w:highlight w:val="none"/>
        </w:rPr>
        <w:t>人可以要求承包人重新确定暂估价项目的供应商、分包人</w:t>
      </w:r>
      <w:r>
        <w:rPr>
          <w:rFonts w:ascii="Times New Roman" w:hAnsi="Times New Roman" w:eastAsia="Times New Roman" w:cs="Times New Roman"/>
          <w:color w:val="auto"/>
          <w:spacing w:val="-1"/>
          <w:sz w:val="21"/>
          <w:szCs w:val="21"/>
          <w:highlight w:val="none"/>
        </w:rPr>
        <w:t>;</w:t>
      </w:r>
    </w:p>
    <w:p w14:paraId="2AA9020C">
      <w:pPr>
        <w:spacing w:before="150" w:line="219"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3</w:t>
      </w:r>
      <w:r>
        <w:rPr>
          <w:rFonts w:ascii="宋体" w:hAnsi="宋体" w:eastAsia="宋体" w:cs="宋体"/>
          <w:color w:val="auto"/>
          <w:spacing w:val="-3"/>
          <w:sz w:val="21"/>
          <w:szCs w:val="21"/>
          <w:highlight w:val="none"/>
        </w:rPr>
        <w:t>）承包人应当在签订暂估价合同后</w:t>
      </w:r>
      <w:r>
        <w:rPr>
          <w:rFonts w:ascii="宋体" w:hAnsi="宋体" w:eastAsia="宋体" w:cs="宋体"/>
          <w:color w:val="auto"/>
          <w:spacing w:val="-48"/>
          <w:sz w:val="21"/>
          <w:szCs w:val="21"/>
          <w:highlight w:val="none"/>
        </w:rPr>
        <w:t xml:space="preserve"> </w:t>
      </w:r>
      <w:r>
        <w:rPr>
          <w:rFonts w:ascii="Times New Roman" w:hAnsi="Times New Roman" w:eastAsia="Times New Roman" w:cs="Times New Roman"/>
          <w:color w:val="auto"/>
          <w:spacing w:val="-3"/>
          <w:sz w:val="21"/>
          <w:szCs w:val="21"/>
          <w:highlight w:val="none"/>
        </w:rPr>
        <w:t xml:space="preserve">7 </w:t>
      </w:r>
      <w:r>
        <w:rPr>
          <w:rFonts w:ascii="宋体" w:hAnsi="宋体" w:eastAsia="宋体" w:cs="宋体"/>
          <w:color w:val="auto"/>
          <w:spacing w:val="-3"/>
          <w:sz w:val="21"/>
          <w:szCs w:val="21"/>
          <w:highlight w:val="none"/>
        </w:rPr>
        <w:t>天内， 将暂估</w:t>
      </w:r>
      <w:r>
        <w:rPr>
          <w:rFonts w:ascii="宋体" w:hAnsi="宋体" w:eastAsia="宋体" w:cs="宋体"/>
          <w:color w:val="auto"/>
          <w:spacing w:val="-4"/>
          <w:sz w:val="21"/>
          <w:szCs w:val="21"/>
          <w:highlight w:val="none"/>
        </w:rPr>
        <w:t>价合同副本报送发包人留存。</w:t>
      </w:r>
    </w:p>
    <w:p w14:paraId="3141793E">
      <w:pPr>
        <w:spacing w:before="150" w:line="398" w:lineRule="exact"/>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第</w:t>
      </w:r>
      <w:r>
        <w:rPr>
          <w:rFonts w:ascii="宋体" w:hAnsi="宋体" w:eastAsia="宋体" w:cs="宋体"/>
          <w:color w:val="auto"/>
          <w:spacing w:val="-58"/>
          <w:position w:val="14"/>
          <w:sz w:val="21"/>
          <w:szCs w:val="21"/>
          <w:highlight w:val="none"/>
        </w:rPr>
        <w:t xml:space="preserve"> </w:t>
      </w:r>
      <w:r>
        <w:rPr>
          <w:rFonts w:ascii="Times New Roman" w:hAnsi="Times New Roman" w:eastAsia="Times New Roman" w:cs="Times New Roman"/>
          <w:color w:val="auto"/>
          <w:spacing w:val="-2"/>
          <w:position w:val="14"/>
          <w:sz w:val="21"/>
          <w:szCs w:val="21"/>
          <w:highlight w:val="none"/>
        </w:rPr>
        <w:t>2</w:t>
      </w:r>
      <w:r>
        <w:rPr>
          <w:rFonts w:ascii="Times New Roman" w:hAnsi="Times New Roman" w:eastAsia="Times New Roman" w:cs="Times New Roman"/>
          <w:color w:val="auto"/>
          <w:spacing w:val="-10"/>
          <w:position w:val="14"/>
          <w:sz w:val="21"/>
          <w:szCs w:val="21"/>
          <w:highlight w:val="none"/>
        </w:rPr>
        <w:t xml:space="preserve"> </w:t>
      </w:r>
      <w:r>
        <w:rPr>
          <w:rFonts w:ascii="宋体" w:hAnsi="宋体" w:eastAsia="宋体" w:cs="宋体"/>
          <w:color w:val="auto"/>
          <w:spacing w:val="-2"/>
          <w:position w:val="14"/>
          <w:sz w:val="21"/>
          <w:szCs w:val="21"/>
          <w:highlight w:val="none"/>
        </w:rPr>
        <w:t>种方式：承包人按照第</w:t>
      </w:r>
      <w:r>
        <w:rPr>
          <w:rFonts w:ascii="宋体" w:hAnsi="宋体" w:eastAsia="宋体" w:cs="宋体"/>
          <w:color w:val="auto"/>
          <w:spacing w:val="-41"/>
          <w:position w:val="14"/>
          <w:sz w:val="21"/>
          <w:szCs w:val="21"/>
          <w:highlight w:val="none"/>
        </w:rPr>
        <w:t xml:space="preserve"> </w:t>
      </w:r>
      <w:r>
        <w:rPr>
          <w:rFonts w:ascii="Times New Roman" w:hAnsi="Times New Roman" w:eastAsia="Times New Roman" w:cs="Times New Roman"/>
          <w:color w:val="auto"/>
          <w:spacing w:val="-2"/>
          <w:position w:val="14"/>
          <w:sz w:val="21"/>
          <w:szCs w:val="21"/>
          <w:highlight w:val="none"/>
        </w:rPr>
        <w:t xml:space="preserve">10.7.1 </w:t>
      </w:r>
      <w:r>
        <w:rPr>
          <w:rFonts w:ascii="宋体" w:hAnsi="宋体" w:eastAsia="宋体" w:cs="宋体"/>
          <w:color w:val="auto"/>
          <w:spacing w:val="-2"/>
          <w:position w:val="14"/>
          <w:sz w:val="21"/>
          <w:szCs w:val="21"/>
          <w:highlight w:val="none"/>
        </w:rPr>
        <w:t>项〔依法必须招标的暂估价项目〕</w:t>
      </w:r>
      <w:r>
        <w:rPr>
          <w:rFonts w:ascii="宋体" w:hAnsi="宋体" w:eastAsia="宋体" w:cs="宋体"/>
          <w:color w:val="auto"/>
          <w:spacing w:val="-3"/>
          <w:position w:val="14"/>
          <w:sz w:val="21"/>
          <w:szCs w:val="21"/>
          <w:highlight w:val="none"/>
        </w:rPr>
        <w:t>约定的第</w:t>
      </w:r>
      <w:r>
        <w:rPr>
          <w:rFonts w:ascii="宋体" w:hAnsi="宋体" w:eastAsia="宋体" w:cs="宋体"/>
          <w:color w:val="auto"/>
          <w:spacing w:val="-37"/>
          <w:position w:val="14"/>
          <w:sz w:val="21"/>
          <w:szCs w:val="21"/>
          <w:highlight w:val="none"/>
        </w:rPr>
        <w:t xml:space="preserve"> </w:t>
      </w:r>
      <w:r>
        <w:rPr>
          <w:rFonts w:ascii="Times New Roman" w:hAnsi="Times New Roman" w:eastAsia="Times New Roman" w:cs="Times New Roman"/>
          <w:color w:val="auto"/>
          <w:spacing w:val="-3"/>
          <w:position w:val="14"/>
          <w:sz w:val="21"/>
          <w:szCs w:val="21"/>
          <w:highlight w:val="none"/>
        </w:rPr>
        <w:t>1</w:t>
      </w:r>
      <w:r>
        <w:rPr>
          <w:rFonts w:ascii="Times New Roman" w:hAnsi="Times New Roman" w:eastAsia="Times New Roman" w:cs="Times New Roman"/>
          <w:color w:val="auto"/>
          <w:spacing w:val="-10"/>
          <w:position w:val="14"/>
          <w:sz w:val="21"/>
          <w:szCs w:val="21"/>
          <w:highlight w:val="none"/>
        </w:rPr>
        <w:t xml:space="preserve"> </w:t>
      </w:r>
      <w:r>
        <w:rPr>
          <w:rFonts w:ascii="宋体" w:hAnsi="宋体" w:eastAsia="宋体" w:cs="宋体"/>
          <w:color w:val="auto"/>
          <w:spacing w:val="-3"/>
          <w:position w:val="14"/>
          <w:sz w:val="21"/>
          <w:szCs w:val="21"/>
          <w:highlight w:val="none"/>
        </w:rPr>
        <w:t>种方式</w:t>
      </w:r>
    </w:p>
    <w:p w14:paraId="3A3A9CCF">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确定暂估价项目。</w:t>
      </w:r>
    </w:p>
    <w:p w14:paraId="627C9891">
      <w:pPr>
        <w:spacing w:before="155" w:line="219" w:lineRule="auto"/>
        <w:ind w:left="44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第</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2"/>
          <w:sz w:val="21"/>
          <w:szCs w:val="21"/>
          <w:highlight w:val="none"/>
        </w:rPr>
        <w:t xml:space="preserve">3 </w:t>
      </w:r>
      <w:r>
        <w:rPr>
          <w:rFonts w:ascii="宋体" w:hAnsi="宋体" w:eastAsia="宋体" w:cs="宋体"/>
          <w:color w:val="auto"/>
          <w:spacing w:val="-2"/>
          <w:sz w:val="21"/>
          <w:szCs w:val="21"/>
          <w:highlight w:val="none"/>
        </w:rPr>
        <w:t>种方式：承包人直接实施的暂估价项目</w:t>
      </w:r>
    </w:p>
    <w:p w14:paraId="05A76904">
      <w:pPr>
        <w:spacing w:before="149" w:line="398"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承包人具备实施暂估价项目的资格和条件的，经发包人和承包人协商一致后，可由承</w:t>
      </w:r>
    </w:p>
    <w:p w14:paraId="2EEBC98D">
      <w:pPr>
        <w:spacing w:line="219"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rPr>
        <w:t>包人自行实施暂估价项目，合同当事人可以在专用合同条款约定</w:t>
      </w:r>
      <w:r>
        <w:rPr>
          <w:rFonts w:ascii="宋体" w:hAnsi="宋体" w:eastAsia="宋体" w:cs="宋体"/>
          <w:color w:val="auto"/>
          <w:spacing w:val="-1"/>
          <w:sz w:val="21"/>
          <w:szCs w:val="21"/>
          <w:highlight w:val="none"/>
        </w:rPr>
        <w:t>具体事项。</w:t>
      </w:r>
    </w:p>
    <w:p w14:paraId="78FF48CA">
      <w:pPr>
        <w:spacing w:before="155" w:line="398" w:lineRule="exact"/>
        <w:ind w:right="21"/>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 xml:space="preserve">10.7.3  </w:t>
      </w:r>
      <w:r>
        <w:rPr>
          <w:rFonts w:ascii="宋体" w:hAnsi="宋体" w:eastAsia="宋体" w:cs="宋体"/>
          <w:color w:val="auto"/>
          <w:spacing w:val="1"/>
          <w:position w:val="14"/>
          <w:sz w:val="21"/>
          <w:szCs w:val="21"/>
          <w:highlight w:val="none"/>
        </w:rPr>
        <w:t>因发包人原因导致暂估价合同订立和履行迟延的，</w:t>
      </w:r>
      <w:r>
        <w:rPr>
          <w:rFonts w:ascii="宋体" w:hAnsi="宋体" w:eastAsia="宋体" w:cs="宋体"/>
          <w:color w:val="auto"/>
          <w:spacing w:val="-61"/>
          <w:position w:val="14"/>
          <w:sz w:val="21"/>
          <w:szCs w:val="21"/>
          <w:highlight w:val="none"/>
        </w:rPr>
        <w:t xml:space="preserve"> </w:t>
      </w:r>
      <w:r>
        <w:rPr>
          <w:rFonts w:ascii="宋体" w:hAnsi="宋体" w:eastAsia="宋体" w:cs="宋体"/>
          <w:color w:val="auto"/>
          <w:spacing w:val="1"/>
          <w:position w:val="14"/>
          <w:sz w:val="21"/>
          <w:szCs w:val="21"/>
          <w:highlight w:val="none"/>
        </w:rPr>
        <w:t>由此增加的费用和</w:t>
      </w:r>
      <w:r>
        <w:rPr>
          <w:rFonts w:ascii="宋体" w:hAnsi="宋体" w:eastAsia="宋体" w:cs="宋体"/>
          <w:color w:val="auto"/>
          <w:position w:val="14"/>
          <w:sz w:val="21"/>
          <w:szCs w:val="21"/>
          <w:highlight w:val="none"/>
        </w:rPr>
        <w:t>（或）延</w:t>
      </w:r>
    </w:p>
    <w:p w14:paraId="02E531FE">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误的工期由发包人承担，并支付承包人合理的利润。因承包人原因导致</w:t>
      </w:r>
      <w:r>
        <w:rPr>
          <w:rFonts w:ascii="宋体" w:hAnsi="宋体" w:eastAsia="宋体" w:cs="宋体"/>
          <w:color w:val="auto"/>
          <w:spacing w:val="2"/>
          <w:sz w:val="21"/>
          <w:szCs w:val="21"/>
          <w:highlight w:val="none"/>
        </w:rPr>
        <w:t>暂估价合同订立和</w:t>
      </w:r>
    </w:p>
    <w:p w14:paraId="295A7220">
      <w:pPr>
        <w:spacing w:before="149" w:line="221" w:lineRule="auto"/>
        <w:ind w:left="2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履行迟延的，由此增加的费用和（或） 延误的工期由承包人承担。</w:t>
      </w:r>
    </w:p>
    <w:p w14:paraId="060486B7">
      <w:pPr>
        <w:spacing w:before="50" w:line="219"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10.8</w:t>
      </w:r>
      <w:r>
        <w:rPr>
          <w:rFonts w:ascii="黑体" w:hAnsi="黑体" w:eastAsia="黑体" w:cs="黑体"/>
          <w:color w:val="auto"/>
          <w:spacing w:val="-41"/>
          <w:sz w:val="24"/>
          <w:szCs w:val="24"/>
          <w:highlight w:val="none"/>
        </w:rPr>
        <w:t xml:space="preserve"> </w:t>
      </w:r>
      <w:r>
        <w:rPr>
          <w:rFonts w:ascii="黑体" w:hAnsi="黑体" w:eastAsia="黑体" w:cs="黑体"/>
          <w:color w:val="auto"/>
          <w:spacing w:val="-5"/>
          <w:sz w:val="24"/>
          <w:szCs w:val="24"/>
          <w:highlight w:val="none"/>
        </w:rPr>
        <w:t>暂列金额</w:t>
      </w:r>
    </w:p>
    <w:p w14:paraId="414A4389">
      <w:pPr>
        <w:spacing w:before="129" w:line="221" w:lineRule="auto"/>
        <w:ind w:right="1"/>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暂列金额应按照发包人的要求使用， 发包人的要求应通过监理人发出。合同当事人可</w:t>
      </w:r>
    </w:p>
    <w:p w14:paraId="35AC6CE9">
      <w:pPr>
        <w:spacing w:before="148" w:line="221" w:lineRule="auto"/>
        <w:ind w:left="4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以在专用合同条款中协商确定有关事项。</w:t>
      </w:r>
    </w:p>
    <w:p w14:paraId="3AD02AA0">
      <w:pPr>
        <w:spacing w:before="45" w:line="222"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10.9</w:t>
      </w:r>
      <w:r>
        <w:rPr>
          <w:rFonts w:ascii="黑体" w:hAnsi="黑体" w:eastAsia="黑体" w:cs="黑体"/>
          <w:color w:val="auto"/>
          <w:spacing w:val="-47"/>
          <w:sz w:val="24"/>
          <w:szCs w:val="24"/>
          <w:highlight w:val="none"/>
        </w:rPr>
        <w:t xml:space="preserve"> </w:t>
      </w:r>
      <w:r>
        <w:rPr>
          <w:rFonts w:ascii="黑体" w:hAnsi="黑体" w:eastAsia="黑体" w:cs="黑体"/>
          <w:color w:val="auto"/>
          <w:spacing w:val="-5"/>
          <w:sz w:val="24"/>
          <w:szCs w:val="24"/>
          <w:highlight w:val="none"/>
        </w:rPr>
        <w:t>计日工</w:t>
      </w:r>
    </w:p>
    <w:p w14:paraId="125D4CA7">
      <w:pPr>
        <w:spacing w:before="125" w:line="352" w:lineRule="auto"/>
        <w:ind w:left="17" w:right="10" w:firstLine="43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需要采用计日工方式的，经发包人同意后，由监理人通</w:t>
      </w:r>
      <w:r>
        <w:rPr>
          <w:rFonts w:ascii="宋体" w:hAnsi="宋体" w:eastAsia="宋体" w:cs="宋体"/>
          <w:color w:val="auto"/>
          <w:spacing w:val="2"/>
          <w:sz w:val="21"/>
          <w:szCs w:val="21"/>
          <w:highlight w:val="none"/>
        </w:rPr>
        <w:t>知承包人以计日工计价方式实</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施相应的工作，其价款按列入已标价工程量清单或预算书中的计日工计价项目及</w:t>
      </w:r>
      <w:r>
        <w:rPr>
          <w:rFonts w:ascii="宋体" w:hAnsi="宋体" w:eastAsia="宋体" w:cs="宋体"/>
          <w:color w:val="auto"/>
          <w:spacing w:val="2"/>
          <w:sz w:val="21"/>
          <w:szCs w:val="21"/>
          <w:highlight w:val="none"/>
        </w:rPr>
        <w:t>其单价进</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行计算；已标价工程量清单或预算书中无相应的计日工单价的，按照合理的成</w:t>
      </w:r>
      <w:r>
        <w:rPr>
          <w:rFonts w:ascii="宋体" w:hAnsi="宋体" w:eastAsia="宋体" w:cs="宋体"/>
          <w:color w:val="auto"/>
          <w:spacing w:val="2"/>
          <w:sz w:val="21"/>
          <w:szCs w:val="21"/>
          <w:highlight w:val="none"/>
        </w:rPr>
        <w:t>本与利润构</w:t>
      </w:r>
    </w:p>
    <w:p w14:paraId="505A9E90">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成的原则，</w:t>
      </w:r>
      <w:r>
        <w:rPr>
          <w:rFonts w:ascii="宋体" w:hAnsi="宋体" w:eastAsia="宋体" w:cs="宋体"/>
          <w:color w:val="auto"/>
          <w:spacing w:val="85"/>
          <w:sz w:val="21"/>
          <w:szCs w:val="21"/>
          <w:highlight w:val="none"/>
        </w:rPr>
        <w:t xml:space="preserve"> </w:t>
      </w:r>
      <w:r>
        <w:rPr>
          <w:rFonts w:ascii="宋体" w:hAnsi="宋体" w:eastAsia="宋体" w:cs="宋体"/>
          <w:color w:val="auto"/>
          <w:spacing w:val="-6"/>
          <w:sz w:val="21"/>
          <w:szCs w:val="21"/>
          <w:highlight w:val="none"/>
        </w:rPr>
        <w:t>由合同当事人按照第</w:t>
      </w:r>
      <w:r>
        <w:rPr>
          <w:rFonts w:ascii="宋体" w:hAnsi="宋体" w:eastAsia="宋体" w:cs="宋体"/>
          <w:color w:val="auto"/>
          <w:spacing w:val="-47"/>
          <w:sz w:val="21"/>
          <w:szCs w:val="21"/>
          <w:highlight w:val="none"/>
        </w:rPr>
        <w:t xml:space="preserve"> </w:t>
      </w:r>
      <w:r>
        <w:rPr>
          <w:rFonts w:ascii="Times New Roman" w:hAnsi="Times New Roman" w:eastAsia="Times New Roman" w:cs="Times New Roman"/>
          <w:color w:val="auto"/>
          <w:spacing w:val="-6"/>
          <w:sz w:val="21"/>
          <w:szCs w:val="21"/>
          <w:highlight w:val="none"/>
        </w:rPr>
        <w:t xml:space="preserve">4.4 </w:t>
      </w:r>
      <w:r>
        <w:rPr>
          <w:rFonts w:ascii="宋体" w:hAnsi="宋体" w:eastAsia="宋体" w:cs="宋体"/>
          <w:color w:val="auto"/>
          <w:spacing w:val="-6"/>
          <w:sz w:val="21"/>
          <w:szCs w:val="21"/>
          <w:highlight w:val="none"/>
        </w:rPr>
        <w:t>款〔商定或确定〕确定计日工的单价。</w:t>
      </w:r>
    </w:p>
    <w:p w14:paraId="4BECCD8E">
      <w:pPr>
        <w:spacing w:before="149" w:line="403" w:lineRule="exact"/>
        <w:ind w:right="6"/>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采用计日工计价的任何一项工作，承包人应在该项工作实施过程中， 每天提交以下报</w:t>
      </w:r>
    </w:p>
    <w:p w14:paraId="2938F430">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表和有关凭证报送监理人审查：</w:t>
      </w:r>
    </w:p>
    <w:p w14:paraId="661D32F6">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1</w:t>
      </w:r>
      <w:r>
        <w:rPr>
          <w:rFonts w:ascii="宋体" w:hAnsi="宋体" w:eastAsia="宋体" w:cs="宋体"/>
          <w:color w:val="auto"/>
          <w:spacing w:val="-4"/>
          <w:sz w:val="21"/>
          <w:szCs w:val="21"/>
          <w:highlight w:val="none"/>
        </w:rPr>
        <w:t>）工作名称、内容和数量；</w:t>
      </w:r>
    </w:p>
    <w:p w14:paraId="62D5DA41">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）投入该工作的所有人员的姓名、专业、工种、级别和耗用工时；</w:t>
      </w:r>
    </w:p>
    <w:p w14:paraId="6435131F">
      <w:pPr>
        <w:spacing w:line="221" w:lineRule="auto"/>
        <w:rPr>
          <w:rFonts w:ascii="宋体" w:hAnsi="宋体" w:eastAsia="宋体" w:cs="宋体"/>
          <w:color w:val="auto"/>
          <w:sz w:val="21"/>
          <w:szCs w:val="21"/>
          <w:highlight w:val="none"/>
        </w:rPr>
        <w:sectPr>
          <w:footerReference r:id="rId130" w:type="default"/>
          <w:pgSz w:w="11905" w:h="16839"/>
          <w:pgMar w:top="1431" w:right="1785" w:bottom="1004" w:left="1785" w:header="0" w:footer="828" w:gutter="0"/>
          <w:pgNumType w:fmt="decimal"/>
          <w:cols w:space="720" w:num="1"/>
        </w:sectPr>
      </w:pPr>
    </w:p>
    <w:p w14:paraId="5ADB7AC3">
      <w:pPr>
        <w:spacing w:before="149" w:line="220"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3</w:t>
      </w:r>
      <w:r>
        <w:rPr>
          <w:rFonts w:ascii="宋体" w:hAnsi="宋体" w:eastAsia="宋体" w:cs="宋体"/>
          <w:color w:val="auto"/>
          <w:spacing w:val="-3"/>
          <w:sz w:val="21"/>
          <w:szCs w:val="21"/>
          <w:highlight w:val="none"/>
        </w:rPr>
        <w:t>）投入该工作的材料类别和数量；</w:t>
      </w:r>
    </w:p>
    <w:p w14:paraId="1DC1D197">
      <w:pPr>
        <w:spacing w:before="148" w:line="403"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4</w:t>
      </w:r>
      <w:r>
        <w:rPr>
          <w:rFonts w:ascii="宋体" w:hAnsi="宋体" w:eastAsia="宋体" w:cs="宋体"/>
          <w:color w:val="auto"/>
          <w:spacing w:val="-1"/>
          <w:position w:val="14"/>
          <w:sz w:val="21"/>
          <w:szCs w:val="21"/>
          <w:highlight w:val="none"/>
        </w:rPr>
        <w:t>）投入该工作的施工设备型号、台数和耗用台时；</w:t>
      </w:r>
    </w:p>
    <w:p w14:paraId="759FD1D9">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5</w:t>
      </w:r>
      <w:r>
        <w:rPr>
          <w:rFonts w:ascii="宋体" w:hAnsi="宋体" w:eastAsia="宋体" w:cs="宋体"/>
          <w:color w:val="auto"/>
          <w:spacing w:val="-3"/>
          <w:sz w:val="21"/>
          <w:szCs w:val="21"/>
          <w:highlight w:val="none"/>
        </w:rPr>
        <w:t>）其他有关资料和凭证。</w:t>
      </w:r>
    </w:p>
    <w:p w14:paraId="7D878EA9">
      <w:pPr>
        <w:spacing w:before="148" w:line="398" w:lineRule="exact"/>
        <w:ind w:right="14"/>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计日工由承包人汇总后，列入最近一期进度付款申请单，由监理人审查并经发包人批</w:t>
      </w:r>
    </w:p>
    <w:p w14:paraId="2348CFF4">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准后列入进度付款。</w:t>
      </w:r>
    </w:p>
    <w:p w14:paraId="646B816D">
      <w:pPr>
        <w:spacing w:before="177" w:line="220" w:lineRule="auto"/>
        <w:ind w:left="39"/>
        <w:rPr>
          <w:rFonts w:ascii="黑体" w:hAnsi="黑体" w:eastAsia="黑体" w:cs="黑体"/>
          <w:color w:val="auto"/>
          <w:sz w:val="32"/>
          <w:szCs w:val="32"/>
          <w:highlight w:val="none"/>
        </w:rPr>
      </w:pPr>
      <w:r>
        <w:rPr>
          <w:rFonts w:ascii="黑体" w:hAnsi="黑体" w:eastAsia="黑体" w:cs="黑体"/>
          <w:color w:val="auto"/>
          <w:spacing w:val="-4"/>
          <w:sz w:val="32"/>
          <w:szCs w:val="32"/>
          <w:highlight w:val="none"/>
        </w:rPr>
        <w:t>11.价格调整</w:t>
      </w:r>
    </w:p>
    <w:p w14:paraId="7B723435">
      <w:pPr>
        <w:spacing w:before="145" w:line="219"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11.1</w:t>
      </w:r>
      <w:r>
        <w:rPr>
          <w:rFonts w:ascii="黑体" w:hAnsi="黑体" w:eastAsia="黑体" w:cs="黑体"/>
          <w:color w:val="auto"/>
          <w:spacing w:val="-39"/>
          <w:sz w:val="24"/>
          <w:szCs w:val="24"/>
          <w:highlight w:val="none"/>
        </w:rPr>
        <w:t xml:space="preserve"> </w:t>
      </w:r>
      <w:r>
        <w:rPr>
          <w:rFonts w:ascii="黑体" w:hAnsi="黑体" w:eastAsia="黑体" w:cs="黑体"/>
          <w:color w:val="auto"/>
          <w:spacing w:val="-3"/>
          <w:sz w:val="24"/>
          <w:szCs w:val="24"/>
          <w:highlight w:val="none"/>
        </w:rPr>
        <w:t>市场价格波动引起的调整</w:t>
      </w:r>
    </w:p>
    <w:p w14:paraId="1FAB13F1">
      <w:pPr>
        <w:spacing w:before="129" w:line="399"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除专用合同条款另有约定外，市场价格波动超过合同当事人约</w:t>
      </w:r>
      <w:r>
        <w:rPr>
          <w:rFonts w:ascii="宋体" w:hAnsi="宋体" w:eastAsia="宋体" w:cs="宋体"/>
          <w:color w:val="auto"/>
          <w:spacing w:val="2"/>
          <w:position w:val="14"/>
          <w:sz w:val="21"/>
          <w:szCs w:val="21"/>
          <w:highlight w:val="none"/>
        </w:rPr>
        <w:t>定的范围，合同价格应</w:t>
      </w:r>
    </w:p>
    <w:p w14:paraId="040B036B">
      <w:pPr>
        <w:spacing w:line="219" w:lineRule="auto"/>
        <w:ind w:left="3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当调整。合同当事人可以在专用合同条款中约定选择以下一</w:t>
      </w:r>
      <w:r>
        <w:rPr>
          <w:rFonts w:ascii="宋体" w:hAnsi="宋体" w:eastAsia="宋体" w:cs="宋体"/>
          <w:color w:val="auto"/>
          <w:spacing w:val="-2"/>
          <w:sz w:val="21"/>
          <w:szCs w:val="21"/>
          <w:highlight w:val="none"/>
        </w:rPr>
        <w:t>种方式对合同价格进行调整：</w:t>
      </w:r>
    </w:p>
    <w:p w14:paraId="276D8184">
      <w:pPr>
        <w:spacing w:before="154" w:line="398" w:lineRule="exact"/>
        <w:ind w:left="441"/>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第</w:t>
      </w:r>
      <w:r>
        <w:rPr>
          <w:rFonts w:ascii="宋体" w:hAnsi="宋体" w:eastAsia="宋体" w:cs="宋体"/>
          <w:color w:val="auto"/>
          <w:spacing w:val="-27"/>
          <w:position w:val="14"/>
          <w:sz w:val="21"/>
          <w:szCs w:val="21"/>
          <w:highlight w:val="none"/>
        </w:rPr>
        <w:t xml:space="preserve"> </w:t>
      </w:r>
      <w:r>
        <w:rPr>
          <w:rFonts w:ascii="Times New Roman" w:hAnsi="Times New Roman" w:eastAsia="Times New Roman" w:cs="Times New Roman"/>
          <w:color w:val="auto"/>
          <w:spacing w:val="-3"/>
          <w:position w:val="14"/>
          <w:sz w:val="21"/>
          <w:szCs w:val="21"/>
          <w:highlight w:val="none"/>
        </w:rPr>
        <w:t xml:space="preserve">1 </w:t>
      </w:r>
      <w:r>
        <w:rPr>
          <w:rFonts w:ascii="宋体" w:hAnsi="宋体" w:eastAsia="宋体" w:cs="宋体"/>
          <w:color w:val="auto"/>
          <w:spacing w:val="-3"/>
          <w:position w:val="14"/>
          <w:sz w:val="21"/>
          <w:szCs w:val="21"/>
          <w:highlight w:val="none"/>
        </w:rPr>
        <w:t>种方式：采用价格指数进行价格调整。</w:t>
      </w:r>
    </w:p>
    <w:p w14:paraId="2E1803E3">
      <w:pPr>
        <w:spacing w:line="219"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）价格调整公式</w:t>
      </w:r>
    </w:p>
    <w:p w14:paraId="5636794A">
      <w:pPr>
        <w:spacing w:before="150" w:line="403" w:lineRule="exact"/>
        <w:ind w:right="12"/>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因人工、材料和设备等价格波动影响合同价格时，根据专用合同条款中约定的数据，</w:t>
      </w:r>
    </w:p>
    <w:p w14:paraId="1A055C04">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按以下公式计算差额并调整合同价格：</w:t>
      </w:r>
    </w:p>
    <w:p w14:paraId="0584B3D5">
      <w:pPr>
        <w:spacing w:before="61" w:line="284" w:lineRule="exact"/>
        <w:ind w:left="1753"/>
        <w:rPr>
          <w:rFonts w:ascii="微软雅黑" w:hAnsi="微软雅黑" w:eastAsia="微软雅黑" w:cs="微软雅黑"/>
          <w:color w:val="auto"/>
          <w:sz w:val="25"/>
          <w:szCs w:val="25"/>
          <w:highlight w:val="none"/>
        </w:rPr>
      </w:pPr>
      <w:r>
        <w:rPr>
          <w:color w:val="auto"/>
          <w:highlight w:val="none"/>
        </w:rPr>
        <w:pict>
          <v:shape id="_x0000_s2051" o:spid="_x0000_s2051" o:spt="202" type="#_x0000_t202" style="position:absolute;left:0pt;margin-left:54.15pt;margin-top:11.45pt;height:20.8pt;width:307.15pt;z-index:-251654144;mso-width-relative:page;mso-height-relative:page;" filled="f" stroked="f" coordsize="21600,21600">
            <v:path/>
            <v:fill on="f" focussize="0,0"/>
            <v:stroke on="f"/>
            <v:imagedata o:title=""/>
            <o:lock v:ext="edit" aspectratio="f"/>
            <v:textbox inset="0mm,0mm,0mm,0mm">
              <w:txbxContent>
                <w:p w14:paraId="4BB0BB5A">
                  <w:pPr>
                    <w:spacing w:before="19" w:line="199" w:lineRule="auto"/>
                    <w:jc w:val="right"/>
                    <w:rPr>
                      <w:rFonts w:ascii="微软雅黑" w:hAnsi="微软雅黑" w:eastAsia="微软雅黑" w:cs="微软雅黑"/>
                      <w:sz w:val="25"/>
                      <w:szCs w:val="25"/>
                    </w:rPr>
                  </w:pPr>
                  <w:r>
                    <w:rPr>
                      <w:rFonts w:ascii="微软雅黑" w:hAnsi="微软雅黑" w:eastAsia="微软雅黑" w:cs="微软雅黑"/>
                      <w:spacing w:val="-14"/>
                      <w:w w:val="94"/>
                      <w:sz w:val="25"/>
                      <w:szCs w:val="25"/>
                    </w:rPr>
                    <w:t>Δ</w:t>
                  </w:r>
                  <w:r>
                    <w:rPr>
                      <w:rFonts w:ascii="Times New Roman" w:hAnsi="Times New Roman" w:eastAsia="Times New Roman" w:cs="Times New Roman"/>
                      <w:i/>
                      <w:iCs/>
                      <w:spacing w:val="-14"/>
                      <w:w w:val="94"/>
                      <w:sz w:val="25"/>
                      <w:szCs w:val="25"/>
                    </w:rPr>
                    <w:t>P</w:t>
                  </w:r>
                  <w:r>
                    <w:rPr>
                      <w:rFonts w:ascii="Times New Roman" w:hAnsi="Times New Roman" w:eastAsia="Times New Roman" w:cs="Times New Roman"/>
                      <w:i/>
                      <w:iCs/>
                      <w:spacing w:val="6"/>
                      <w:sz w:val="25"/>
                      <w:szCs w:val="25"/>
                    </w:rPr>
                    <w:t xml:space="preserve"> </w:t>
                  </w:r>
                  <w:r>
                    <w:rPr>
                      <w:rFonts w:ascii="微软雅黑" w:hAnsi="微软雅黑" w:eastAsia="微软雅黑" w:cs="微软雅黑"/>
                      <w:spacing w:val="-14"/>
                      <w:w w:val="94"/>
                      <w:sz w:val="25"/>
                      <w:szCs w:val="25"/>
                    </w:rPr>
                    <w:t>=</w:t>
                  </w:r>
                  <w:r>
                    <w:rPr>
                      <w:rFonts w:ascii="微软雅黑" w:hAnsi="微软雅黑" w:eastAsia="微软雅黑" w:cs="微软雅黑"/>
                      <w:spacing w:val="-14"/>
                      <w:sz w:val="25"/>
                      <w:szCs w:val="25"/>
                    </w:rPr>
                    <w:t xml:space="preserve"> </w:t>
                  </w:r>
                  <w:r>
                    <w:rPr>
                      <w:rFonts w:ascii="Times New Roman" w:hAnsi="Times New Roman" w:eastAsia="Times New Roman" w:cs="Times New Roman"/>
                      <w:i/>
                      <w:iCs/>
                      <w:spacing w:val="-14"/>
                      <w:w w:val="94"/>
                      <w:sz w:val="25"/>
                      <w:szCs w:val="25"/>
                    </w:rPr>
                    <w:t>P</w:t>
                  </w:r>
                  <w:r>
                    <w:rPr>
                      <w:rFonts w:ascii="Times New Roman" w:hAnsi="Times New Roman" w:eastAsia="Times New Roman" w:cs="Times New Roman"/>
                      <w:spacing w:val="-14"/>
                      <w:w w:val="94"/>
                      <w:position w:val="-6"/>
                      <w:sz w:val="15"/>
                      <w:szCs w:val="15"/>
                    </w:rPr>
                    <w:t xml:space="preserve">0 </w:t>
                  </w:r>
                  <w:r>
                    <w:rPr>
                      <w:rFonts w:ascii="微软雅黑" w:hAnsi="微软雅黑" w:eastAsia="微软雅黑" w:cs="微软雅黑"/>
                      <w:spacing w:val="11"/>
                      <w:position w:val="-2"/>
                      <w:sz w:val="25"/>
                      <w:szCs w:val="25"/>
                    </w:rPr>
                    <w:t>|</w:t>
                  </w:r>
                  <w:r>
                    <w:rPr>
                      <w:rFonts w:ascii="Times New Roman" w:hAnsi="Times New Roman" w:eastAsia="Times New Roman" w:cs="Times New Roman"/>
                      <w:i/>
                      <w:iCs/>
                      <w:spacing w:val="11"/>
                      <w:position w:val="-2"/>
                      <w:sz w:val="25"/>
                      <w:szCs w:val="25"/>
                    </w:rPr>
                    <w:t>A</w:t>
                  </w:r>
                  <w:r>
                    <w:rPr>
                      <w:rFonts w:ascii="微软雅黑" w:hAnsi="微软雅黑" w:eastAsia="微软雅黑" w:cs="微软雅黑"/>
                      <w:spacing w:val="11"/>
                      <w:position w:val="-2"/>
                      <w:sz w:val="25"/>
                      <w:szCs w:val="25"/>
                    </w:rPr>
                    <w:t>+</w:t>
                  </w:r>
                  <w:r>
                    <w:rPr>
                      <w:rFonts w:ascii="微软雅黑" w:hAnsi="微软雅黑" w:eastAsia="微软雅黑" w:cs="微软雅黑"/>
                      <w:spacing w:val="-23"/>
                      <w:position w:val="-2"/>
                      <w:sz w:val="25"/>
                      <w:szCs w:val="25"/>
                    </w:rPr>
                    <w:t xml:space="preserve"> </w:t>
                  </w:r>
                  <w:r>
                    <w:rPr>
                      <w:rFonts w:ascii="Symbol" w:hAnsi="Symbol" w:eastAsia="Symbol" w:cs="Symbol"/>
                      <w:spacing w:val="11"/>
                      <w:sz w:val="25"/>
                      <w:szCs w:val="25"/>
                      <w14:textOutline w14:w="3175" w14:cap="flat" w14:cmpd="sng">
                        <w14:solidFill>
                          <w14:srgbClr w14:val="000000"/>
                        </w14:solidFill>
                        <w14:prstDash w14:val="solid"/>
                        <w14:miter w14:val="0"/>
                      </w14:textOutline>
                    </w:rPr>
                    <w:t>|</w:t>
                  </w:r>
                  <w:r>
                    <w:rPr>
                      <w:rFonts w:ascii="Times New Roman" w:hAnsi="Times New Roman" w:eastAsia="Times New Roman" w:cs="Times New Roman"/>
                      <w:i/>
                      <w:iCs/>
                      <w:spacing w:val="11"/>
                      <w:sz w:val="25"/>
                      <w:szCs w:val="25"/>
                    </w:rPr>
                    <w:t>B</w:t>
                  </w:r>
                  <w:r>
                    <w:rPr>
                      <w:rFonts w:ascii="Times New Roman" w:hAnsi="Times New Roman" w:eastAsia="Times New Roman" w:cs="Times New Roman"/>
                      <w:spacing w:val="11"/>
                      <w:position w:val="-6"/>
                      <w:sz w:val="15"/>
                      <w:szCs w:val="15"/>
                    </w:rPr>
                    <w:t>1</w:t>
                  </w:r>
                  <w:r>
                    <w:rPr>
                      <w:rFonts w:ascii="Times New Roman" w:hAnsi="Times New Roman" w:eastAsia="Times New Roman" w:cs="Times New Roman"/>
                      <w:spacing w:val="27"/>
                      <w:position w:val="-6"/>
                      <w:sz w:val="15"/>
                      <w:szCs w:val="15"/>
                    </w:rPr>
                    <w:t xml:space="preserve"> </w:t>
                  </w:r>
                  <w:r>
                    <w:rPr>
                      <w:rFonts w:ascii="微软雅黑" w:hAnsi="微软雅黑" w:eastAsia="微软雅黑" w:cs="微软雅黑"/>
                      <w:spacing w:val="-9"/>
                      <w:w w:val="53"/>
                      <w:sz w:val="25"/>
                      <w:szCs w:val="25"/>
                    </w:rPr>
                    <w:t xml:space="preserve">根 </w:t>
                  </w:r>
                  <w:r>
                    <w:rPr>
                      <w:rFonts w:ascii="Times New Roman" w:hAnsi="Times New Roman" w:eastAsia="Times New Roman" w:cs="Times New Roman"/>
                      <w:i/>
                      <w:iCs/>
                      <w:spacing w:val="6"/>
                      <w:position w:val="9"/>
                      <w:sz w:val="15"/>
                      <w:szCs w:val="15"/>
                      <w:u w:val="single" w:color="auto"/>
                    </w:rPr>
                    <w:t xml:space="preserve">    </w:t>
                  </w:r>
                  <w:r>
                    <w:rPr>
                      <w:rFonts w:ascii="Times New Roman" w:hAnsi="Times New Roman" w:eastAsia="Times New Roman" w:cs="Times New Roman"/>
                      <w:i/>
                      <w:iCs/>
                      <w:spacing w:val="-4"/>
                      <w:position w:val="9"/>
                      <w:sz w:val="15"/>
                      <w:szCs w:val="15"/>
                      <w:u w:val="single" w:color="auto"/>
                    </w:rPr>
                    <w:t>t</w:t>
                  </w:r>
                  <w:r>
                    <w:rPr>
                      <w:rFonts w:ascii="Times New Roman" w:hAnsi="Times New Roman" w:eastAsia="Times New Roman" w:cs="Times New Roman"/>
                      <w:spacing w:val="-4"/>
                      <w:position w:val="9"/>
                      <w:sz w:val="15"/>
                      <w:szCs w:val="15"/>
                      <w:u w:val="single" w:color="auto"/>
                    </w:rPr>
                    <w:t>1</w:t>
                  </w:r>
                  <w:r>
                    <w:rPr>
                      <w:rFonts w:ascii="Times New Roman" w:hAnsi="Times New Roman" w:eastAsia="Times New Roman" w:cs="Times New Roman"/>
                      <w:spacing w:val="7"/>
                      <w:position w:val="9"/>
                      <w:sz w:val="15"/>
                      <w:szCs w:val="15"/>
                      <w:u w:val="single" w:color="auto"/>
                    </w:rPr>
                    <w:t xml:space="preserve"> </w:t>
                  </w:r>
                  <w:r>
                    <w:rPr>
                      <w:rFonts w:ascii="Times New Roman" w:hAnsi="Times New Roman" w:eastAsia="Times New Roman" w:cs="Times New Roman"/>
                      <w:spacing w:val="16"/>
                      <w:w w:val="102"/>
                      <w:position w:val="9"/>
                      <w:sz w:val="15"/>
                      <w:szCs w:val="15"/>
                    </w:rPr>
                    <w:t xml:space="preserve"> </w:t>
                  </w:r>
                  <w:r>
                    <w:rPr>
                      <w:rFonts w:ascii="微软雅黑" w:hAnsi="微软雅黑" w:eastAsia="微软雅黑" w:cs="微软雅黑"/>
                      <w:spacing w:val="-23"/>
                      <w:w w:val="96"/>
                      <w:sz w:val="25"/>
                      <w:szCs w:val="25"/>
                    </w:rPr>
                    <w:t>+</w:t>
                  </w:r>
                  <w:r>
                    <w:rPr>
                      <w:rFonts w:ascii="微软雅黑" w:hAnsi="微软雅黑" w:eastAsia="微软雅黑" w:cs="微软雅黑"/>
                      <w:spacing w:val="-28"/>
                      <w:sz w:val="25"/>
                      <w:szCs w:val="25"/>
                    </w:rPr>
                    <w:t xml:space="preserve"> </w:t>
                  </w:r>
                  <w:r>
                    <w:rPr>
                      <w:rFonts w:ascii="Times New Roman" w:hAnsi="Times New Roman" w:eastAsia="Times New Roman" w:cs="Times New Roman"/>
                      <w:i/>
                      <w:iCs/>
                      <w:spacing w:val="-23"/>
                      <w:w w:val="96"/>
                      <w:sz w:val="25"/>
                      <w:szCs w:val="25"/>
                    </w:rPr>
                    <w:t>B</w:t>
                  </w:r>
                  <w:r>
                    <w:rPr>
                      <w:rFonts w:ascii="Times New Roman" w:hAnsi="Times New Roman" w:eastAsia="Times New Roman" w:cs="Times New Roman"/>
                      <w:spacing w:val="-3"/>
                      <w:position w:val="-6"/>
                      <w:sz w:val="15"/>
                      <w:szCs w:val="15"/>
                    </w:rPr>
                    <w:t>2</w:t>
                  </w:r>
                  <w:r>
                    <w:rPr>
                      <w:rFonts w:ascii="Times New Roman" w:hAnsi="Times New Roman" w:eastAsia="Times New Roman" w:cs="Times New Roman"/>
                      <w:position w:val="-6"/>
                      <w:sz w:val="15"/>
                      <w:szCs w:val="15"/>
                    </w:rPr>
                    <w:t xml:space="preserve">  </w:t>
                  </w:r>
                  <w:r>
                    <w:rPr>
                      <w:rFonts w:ascii="微软雅黑" w:hAnsi="微软雅黑" w:eastAsia="微软雅黑" w:cs="微软雅黑"/>
                      <w:spacing w:val="-9"/>
                      <w:w w:val="53"/>
                      <w:sz w:val="25"/>
                      <w:szCs w:val="25"/>
                    </w:rPr>
                    <w:t xml:space="preserve">根 </w:t>
                  </w:r>
                  <w:r>
                    <w:rPr>
                      <w:rFonts w:ascii="Times New Roman" w:hAnsi="Times New Roman" w:eastAsia="Times New Roman" w:cs="Times New Roman"/>
                      <w:i/>
                      <w:iCs/>
                      <w:spacing w:val="4"/>
                      <w:position w:val="9"/>
                      <w:sz w:val="15"/>
                      <w:szCs w:val="15"/>
                      <w:u w:val="single" w:color="auto"/>
                    </w:rPr>
                    <w:t xml:space="preserve">    </w:t>
                  </w:r>
                  <w:r>
                    <w:rPr>
                      <w:rFonts w:ascii="Times New Roman" w:hAnsi="Times New Roman" w:eastAsia="Times New Roman" w:cs="Times New Roman"/>
                      <w:i/>
                      <w:iCs/>
                      <w:spacing w:val="2"/>
                      <w:position w:val="9"/>
                      <w:sz w:val="15"/>
                      <w:szCs w:val="15"/>
                      <w:u w:val="single" w:color="auto"/>
                    </w:rPr>
                    <w:t>t</w:t>
                  </w:r>
                  <w:r>
                    <w:rPr>
                      <w:rFonts w:ascii="Times New Roman" w:hAnsi="Times New Roman" w:eastAsia="Times New Roman" w:cs="Times New Roman"/>
                      <w:spacing w:val="2"/>
                      <w:position w:val="9"/>
                      <w:sz w:val="15"/>
                      <w:szCs w:val="15"/>
                      <w:u w:val="single" w:color="auto"/>
                    </w:rPr>
                    <w:t>2</w:t>
                  </w:r>
                  <w:r>
                    <w:rPr>
                      <w:rFonts w:ascii="Times New Roman" w:hAnsi="Times New Roman" w:eastAsia="Times New Roman" w:cs="Times New Roman"/>
                      <w:spacing w:val="13"/>
                      <w:w w:val="101"/>
                      <w:position w:val="9"/>
                      <w:sz w:val="15"/>
                      <w:szCs w:val="15"/>
                      <w:u w:val="single" w:color="auto"/>
                    </w:rPr>
                    <w:t xml:space="preserve"> </w:t>
                  </w:r>
                  <w:r>
                    <w:rPr>
                      <w:rFonts w:ascii="Times New Roman" w:hAnsi="Times New Roman" w:eastAsia="Times New Roman" w:cs="Times New Roman"/>
                      <w:spacing w:val="16"/>
                      <w:w w:val="101"/>
                      <w:position w:val="9"/>
                      <w:sz w:val="15"/>
                      <w:szCs w:val="15"/>
                    </w:rPr>
                    <w:t xml:space="preserve"> </w:t>
                  </w:r>
                  <w:r>
                    <w:rPr>
                      <w:rFonts w:ascii="微软雅黑" w:hAnsi="微软雅黑" w:eastAsia="微软雅黑" w:cs="微软雅黑"/>
                      <w:spacing w:val="-23"/>
                      <w:w w:val="96"/>
                      <w:sz w:val="25"/>
                      <w:szCs w:val="25"/>
                    </w:rPr>
                    <w:t>+</w:t>
                  </w:r>
                  <w:r>
                    <w:rPr>
                      <w:rFonts w:ascii="微软雅黑" w:hAnsi="微软雅黑" w:eastAsia="微软雅黑" w:cs="微软雅黑"/>
                      <w:spacing w:val="-28"/>
                      <w:sz w:val="25"/>
                      <w:szCs w:val="25"/>
                    </w:rPr>
                    <w:t xml:space="preserve"> </w:t>
                  </w:r>
                  <w:r>
                    <w:rPr>
                      <w:rFonts w:ascii="Times New Roman" w:hAnsi="Times New Roman" w:eastAsia="Times New Roman" w:cs="Times New Roman"/>
                      <w:i/>
                      <w:iCs/>
                      <w:spacing w:val="-23"/>
                      <w:w w:val="96"/>
                      <w:sz w:val="25"/>
                      <w:szCs w:val="25"/>
                    </w:rPr>
                    <w:t>B</w:t>
                  </w:r>
                  <w:r>
                    <w:rPr>
                      <w:rFonts w:ascii="Times New Roman" w:hAnsi="Times New Roman" w:eastAsia="Times New Roman" w:cs="Times New Roman"/>
                      <w:spacing w:val="-4"/>
                      <w:position w:val="-6"/>
                      <w:sz w:val="15"/>
                      <w:szCs w:val="15"/>
                    </w:rPr>
                    <w:t>3</w:t>
                  </w:r>
                  <w:r>
                    <w:rPr>
                      <w:rFonts w:ascii="Times New Roman" w:hAnsi="Times New Roman" w:eastAsia="Times New Roman" w:cs="Times New Roman"/>
                      <w:spacing w:val="31"/>
                      <w:position w:val="-6"/>
                      <w:sz w:val="15"/>
                      <w:szCs w:val="15"/>
                    </w:rPr>
                    <w:t xml:space="preserve"> </w:t>
                  </w:r>
                  <w:r>
                    <w:rPr>
                      <w:rFonts w:ascii="微软雅黑" w:hAnsi="微软雅黑" w:eastAsia="微软雅黑" w:cs="微软雅黑"/>
                      <w:spacing w:val="-9"/>
                      <w:w w:val="53"/>
                      <w:sz w:val="25"/>
                      <w:szCs w:val="25"/>
                    </w:rPr>
                    <w:t xml:space="preserve">根 </w:t>
                  </w:r>
                  <w:r>
                    <w:rPr>
                      <w:rFonts w:ascii="Times New Roman" w:hAnsi="Times New Roman" w:eastAsia="Times New Roman" w:cs="Times New Roman"/>
                      <w:i/>
                      <w:iCs/>
                      <w:spacing w:val="5"/>
                      <w:position w:val="9"/>
                      <w:sz w:val="15"/>
                      <w:szCs w:val="15"/>
                      <w:u w:val="single" w:color="auto"/>
                    </w:rPr>
                    <w:t xml:space="preserve">    </w:t>
                  </w:r>
                  <w:r>
                    <w:rPr>
                      <w:rFonts w:ascii="Times New Roman" w:hAnsi="Times New Roman" w:eastAsia="Times New Roman" w:cs="Times New Roman"/>
                      <w:i/>
                      <w:iCs/>
                      <w:spacing w:val="1"/>
                      <w:position w:val="9"/>
                      <w:sz w:val="15"/>
                      <w:szCs w:val="15"/>
                      <w:u w:val="single" w:color="auto"/>
                    </w:rPr>
                    <w:t>t</w:t>
                  </w:r>
                  <w:r>
                    <w:rPr>
                      <w:rFonts w:ascii="Times New Roman" w:hAnsi="Times New Roman" w:eastAsia="Times New Roman" w:cs="Times New Roman"/>
                      <w:spacing w:val="1"/>
                      <w:position w:val="9"/>
                      <w:sz w:val="15"/>
                      <w:szCs w:val="15"/>
                      <w:u w:val="single" w:color="auto"/>
                    </w:rPr>
                    <w:t>3</w:t>
                  </w:r>
                  <w:r>
                    <w:rPr>
                      <w:rFonts w:ascii="Times New Roman" w:hAnsi="Times New Roman" w:eastAsia="Times New Roman" w:cs="Times New Roman"/>
                      <w:spacing w:val="4"/>
                      <w:position w:val="9"/>
                      <w:sz w:val="15"/>
                      <w:szCs w:val="15"/>
                      <w:u w:val="single" w:color="auto"/>
                    </w:rPr>
                    <w:t xml:space="preserve"> </w:t>
                  </w:r>
                  <w:r>
                    <w:rPr>
                      <w:rFonts w:ascii="Times New Roman" w:hAnsi="Times New Roman" w:eastAsia="Times New Roman" w:cs="Times New Roman"/>
                      <w:spacing w:val="16"/>
                      <w:w w:val="102"/>
                      <w:position w:val="9"/>
                      <w:sz w:val="15"/>
                      <w:szCs w:val="15"/>
                    </w:rPr>
                    <w:t xml:space="preserve"> </w:t>
                  </w:r>
                  <w:r>
                    <w:rPr>
                      <w:rFonts w:ascii="微软雅黑" w:hAnsi="微软雅黑" w:eastAsia="微软雅黑" w:cs="微软雅黑"/>
                      <w:spacing w:val="-28"/>
                      <w:sz w:val="25"/>
                      <w:szCs w:val="25"/>
                    </w:rPr>
                    <w:t>+</w:t>
                  </w:r>
                  <w:r>
                    <w:rPr>
                      <w:rFonts w:ascii="微软雅黑" w:hAnsi="微软雅黑" w:eastAsia="微软雅黑" w:cs="微软雅黑"/>
                      <w:spacing w:val="-23"/>
                      <w:sz w:val="25"/>
                      <w:szCs w:val="25"/>
                    </w:rPr>
                    <w:t xml:space="preserve"> </w:t>
                  </w:r>
                  <w:r>
                    <w:rPr>
                      <w:rFonts w:ascii="微软雅黑" w:hAnsi="微软雅黑" w:eastAsia="微软雅黑" w:cs="微软雅黑"/>
                      <w:spacing w:val="-28"/>
                      <w:sz w:val="25"/>
                      <w:szCs w:val="25"/>
                    </w:rPr>
                    <w:t>.</w:t>
                  </w:r>
                  <w:r>
                    <w:rPr>
                      <w:rFonts w:ascii="微软雅黑" w:hAnsi="微软雅黑" w:eastAsia="微软雅黑" w:cs="微软雅黑"/>
                      <w:spacing w:val="-38"/>
                      <w:sz w:val="25"/>
                      <w:szCs w:val="25"/>
                    </w:rPr>
                    <w:t xml:space="preserve"> </w:t>
                  </w:r>
                  <w:r>
                    <w:rPr>
                      <w:rFonts w:ascii="微软雅黑" w:hAnsi="微软雅黑" w:eastAsia="微软雅黑" w:cs="微软雅黑"/>
                      <w:spacing w:val="-28"/>
                      <w:sz w:val="25"/>
                      <w:szCs w:val="25"/>
                    </w:rPr>
                    <w:t>.</w:t>
                  </w:r>
                  <w:r>
                    <w:rPr>
                      <w:rFonts w:ascii="微软雅黑" w:hAnsi="微软雅黑" w:eastAsia="微软雅黑" w:cs="微软雅黑"/>
                      <w:spacing w:val="-37"/>
                      <w:sz w:val="25"/>
                      <w:szCs w:val="25"/>
                    </w:rPr>
                    <w:t xml:space="preserve"> </w:t>
                  </w:r>
                  <w:r>
                    <w:rPr>
                      <w:rFonts w:ascii="微软雅黑" w:hAnsi="微软雅黑" w:eastAsia="微软雅黑" w:cs="微软雅黑"/>
                      <w:spacing w:val="-28"/>
                      <w:sz w:val="25"/>
                      <w:szCs w:val="25"/>
                    </w:rPr>
                    <w:t>.</w:t>
                  </w:r>
                  <w:r>
                    <w:rPr>
                      <w:rFonts w:ascii="微软雅黑" w:hAnsi="微软雅黑" w:eastAsia="微软雅黑" w:cs="微软雅黑"/>
                      <w:spacing w:val="-38"/>
                      <w:sz w:val="25"/>
                      <w:szCs w:val="25"/>
                    </w:rPr>
                    <w:t xml:space="preserve"> </w:t>
                  </w:r>
                  <w:r>
                    <w:rPr>
                      <w:rFonts w:ascii="微软雅黑" w:hAnsi="微软雅黑" w:eastAsia="微软雅黑" w:cs="微软雅黑"/>
                      <w:spacing w:val="-28"/>
                      <w:sz w:val="25"/>
                      <w:szCs w:val="25"/>
                    </w:rPr>
                    <w:t xml:space="preserve">+ </w:t>
                  </w:r>
                  <w:r>
                    <w:rPr>
                      <w:rFonts w:ascii="Times New Roman" w:hAnsi="Times New Roman" w:eastAsia="Times New Roman" w:cs="Times New Roman"/>
                      <w:i/>
                      <w:iCs/>
                      <w:spacing w:val="-28"/>
                      <w:sz w:val="25"/>
                      <w:szCs w:val="25"/>
                    </w:rPr>
                    <w:t>B</w:t>
                  </w:r>
                  <w:r>
                    <w:rPr>
                      <w:rFonts w:ascii="Times New Roman" w:hAnsi="Times New Roman" w:eastAsia="Times New Roman" w:cs="Times New Roman"/>
                      <w:i/>
                      <w:iCs/>
                      <w:spacing w:val="-3"/>
                      <w:position w:val="-6"/>
                      <w:sz w:val="15"/>
                      <w:szCs w:val="15"/>
                    </w:rPr>
                    <w:t>n</w:t>
                  </w:r>
                  <w:r>
                    <w:rPr>
                      <w:rFonts w:ascii="Times New Roman" w:hAnsi="Times New Roman" w:eastAsia="Times New Roman" w:cs="Times New Roman"/>
                      <w:i/>
                      <w:iCs/>
                      <w:spacing w:val="2"/>
                      <w:position w:val="-6"/>
                      <w:sz w:val="15"/>
                      <w:szCs w:val="15"/>
                    </w:rPr>
                    <w:t xml:space="preserve">  </w:t>
                  </w:r>
                  <w:r>
                    <w:rPr>
                      <w:rFonts w:ascii="微软雅黑" w:hAnsi="微软雅黑" w:eastAsia="微软雅黑" w:cs="微软雅黑"/>
                      <w:spacing w:val="-9"/>
                      <w:w w:val="53"/>
                      <w:sz w:val="25"/>
                      <w:szCs w:val="25"/>
                    </w:rPr>
                    <w:t xml:space="preserve">根 </w:t>
                  </w:r>
                  <w:r>
                    <w:rPr>
                      <w:rFonts w:ascii="Times New Roman" w:hAnsi="Times New Roman" w:eastAsia="Times New Roman" w:cs="Times New Roman"/>
                      <w:i/>
                      <w:iCs/>
                      <w:spacing w:val="8"/>
                      <w:position w:val="9"/>
                      <w:sz w:val="15"/>
                      <w:szCs w:val="15"/>
                      <w:u w:val="single" w:color="auto"/>
                    </w:rPr>
                    <w:t xml:space="preserve">    </w:t>
                  </w:r>
                  <w:r>
                    <w:rPr>
                      <w:rFonts w:ascii="Times New Roman" w:hAnsi="Times New Roman" w:eastAsia="Times New Roman" w:cs="Times New Roman"/>
                      <w:i/>
                      <w:iCs/>
                      <w:spacing w:val="-3"/>
                      <w:position w:val="9"/>
                      <w:sz w:val="15"/>
                      <w:szCs w:val="15"/>
                      <w:u w:val="single" w:color="auto"/>
                    </w:rPr>
                    <w:t>tn</w:t>
                  </w:r>
                  <w:r>
                    <w:rPr>
                      <w:rFonts w:ascii="Times New Roman" w:hAnsi="Times New Roman" w:eastAsia="Times New Roman" w:cs="Times New Roman"/>
                      <w:i/>
                      <w:iCs/>
                      <w:spacing w:val="18"/>
                      <w:w w:val="102"/>
                      <w:position w:val="9"/>
                      <w:sz w:val="15"/>
                      <w:szCs w:val="15"/>
                      <w:u w:val="single" w:color="auto"/>
                    </w:rPr>
                    <w:t xml:space="preserve"> </w:t>
                  </w:r>
                  <w:r>
                    <w:rPr>
                      <w:rFonts w:ascii="Times New Roman" w:hAnsi="Times New Roman" w:eastAsia="Times New Roman" w:cs="Times New Roman"/>
                      <w:i/>
                      <w:iCs/>
                      <w:spacing w:val="11"/>
                      <w:w w:val="101"/>
                      <w:position w:val="9"/>
                      <w:sz w:val="15"/>
                      <w:szCs w:val="15"/>
                    </w:rPr>
                    <w:t xml:space="preserve">  </w:t>
                  </w:r>
                  <w:r>
                    <w:rPr>
                      <w:rFonts w:ascii="Symbol" w:hAnsi="Symbol" w:eastAsia="Symbol" w:cs="Symbol"/>
                      <w:spacing w:val="-30"/>
                      <w:sz w:val="25"/>
                      <w:szCs w:val="25"/>
                      <w14:textOutline w14:w="3175" w14:cap="flat" w14:cmpd="sng">
                        <w14:solidFill>
                          <w14:srgbClr w14:val="000000"/>
                        </w14:solidFill>
                        <w14:prstDash w14:val="solid"/>
                        <w14:miter w14:val="0"/>
                      </w14:textOutline>
                    </w:rPr>
                    <w:t>|</w:t>
                  </w:r>
                  <w:r>
                    <w:rPr>
                      <w:rFonts w:ascii="Symbol" w:hAnsi="Symbol" w:eastAsia="Symbol" w:cs="Symbol"/>
                      <w:spacing w:val="-29"/>
                      <w:sz w:val="25"/>
                      <w:szCs w:val="25"/>
                    </w:rPr>
                    <w:t xml:space="preserve"> </w:t>
                  </w:r>
                  <w:r>
                    <w:rPr>
                      <w:rFonts w:ascii="微软雅黑" w:hAnsi="微软雅黑" w:eastAsia="微软雅黑" w:cs="微软雅黑"/>
                      <w:spacing w:val="-29"/>
                      <w:position w:val="-2"/>
                      <w:sz w:val="25"/>
                      <w:szCs w:val="25"/>
                    </w:rPr>
                    <w:t>−</w:t>
                  </w:r>
                  <w:r>
                    <w:rPr>
                      <w:rFonts w:ascii="Times New Roman" w:hAnsi="Times New Roman" w:eastAsia="Times New Roman" w:cs="Times New Roman"/>
                      <w:spacing w:val="-29"/>
                      <w:position w:val="-2"/>
                      <w:sz w:val="25"/>
                      <w:szCs w:val="25"/>
                    </w:rPr>
                    <w:t>1</w:t>
                  </w:r>
                  <w:r>
                    <w:rPr>
                      <w:rFonts w:ascii="Times New Roman" w:hAnsi="Times New Roman" w:eastAsia="Times New Roman" w:cs="Times New Roman"/>
                      <w:spacing w:val="-1"/>
                      <w:position w:val="-2"/>
                      <w:sz w:val="25"/>
                      <w:szCs w:val="25"/>
                    </w:rPr>
                    <w:t xml:space="preserve"> </w:t>
                  </w:r>
                  <w:r>
                    <w:rPr>
                      <w:rFonts w:ascii="微软雅黑" w:hAnsi="微软雅黑" w:eastAsia="微软雅黑" w:cs="微软雅黑"/>
                      <w:spacing w:val="-23"/>
                      <w:position w:val="-2"/>
                      <w:sz w:val="25"/>
                      <w:szCs w:val="25"/>
                    </w:rPr>
                    <w:t>|</w:t>
                  </w:r>
                </w:p>
              </w:txbxContent>
            </v:textbox>
          </v:shape>
        </w:pict>
      </w:r>
      <w:r>
        <w:rPr>
          <w:rFonts w:ascii="微软雅黑" w:hAnsi="微软雅黑" w:eastAsia="微软雅黑" w:cs="微软雅黑"/>
          <w:color w:val="auto"/>
          <w:spacing w:val="6"/>
          <w:position w:val="1"/>
          <w:sz w:val="25"/>
          <w:szCs w:val="25"/>
          <w:highlight w:val="none"/>
        </w:rPr>
        <w:t>「</w:t>
      </w:r>
      <w:r>
        <w:rPr>
          <w:rFonts w:ascii="微软雅黑" w:hAnsi="微软雅黑" w:eastAsia="微软雅黑" w:cs="微软雅黑"/>
          <w:color w:val="auto"/>
          <w:spacing w:val="1"/>
          <w:position w:val="1"/>
          <w:sz w:val="25"/>
          <w:szCs w:val="25"/>
          <w:highlight w:val="none"/>
        </w:rPr>
        <w:t xml:space="preserve">     </w:t>
      </w:r>
      <w:r>
        <w:rPr>
          <w:rFonts w:ascii="微软雅黑" w:hAnsi="微软雅黑" w:eastAsia="微软雅黑" w:cs="微软雅黑"/>
          <w:color w:val="auto"/>
          <w:spacing w:val="6"/>
          <w:sz w:val="25"/>
          <w:szCs w:val="25"/>
          <w:highlight w:val="none"/>
        </w:rPr>
        <w:t xml:space="preserve">(      </w:t>
      </w:r>
      <w:r>
        <w:rPr>
          <w:rFonts w:ascii="Times New Roman" w:hAnsi="Times New Roman" w:eastAsia="Times New Roman" w:cs="Times New Roman"/>
          <w:i/>
          <w:iCs/>
          <w:color w:val="auto"/>
          <w:position w:val="-1"/>
          <w:sz w:val="25"/>
          <w:szCs w:val="25"/>
          <w:highlight w:val="none"/>
        </w:rPr>
        <w:t>F</w:t>
      </w:r>
      <w:r>
        <w:rPr>
          <w:rFonts w:ascii="Times New Roman" w:hAnsi="Times New Roman" w:eastAsia="Times New Roman" w:cs="Times New Roman"/>
          <w:i/>
          <w:iCs/>
          <w:color w:val="auto"/>
          <w:spacing w:val="1"/>
          <w:position w:val="-1"/>
          <w:sz w:val="25"/>
          <w:szCs w:val="25"/>
          <w:highlight w:val="none"/>
        </w:rPr>
        <w:t xml:space="preserve">             </w:t>
      </w:r>
      <w:r>
        <w:rPr>
          <w:rFonts w:ascii="Times New Roman" w:hAnsi="Times New Roman" w:eastAsia="Times New Roman" w:cs="Times New Roman"/>
          <w:i/>
          <w:iCs/>
          <w:color w:val="auto"/>
          <w:position w:val="-1"/>
          <w:sz w:val="25"/>
          <w:szCs w:val="25"/>
          <w:highlight w:val="none"/>
        </w:rPr>
        <w:t>F</w:t>
      </w:r>
      <w:r>
        <w:rPr>
          <w:rFonts w:ascii="Times New Roman" w:hAnsi="Times New Roman" w:eastAsia="Times New Roman" w:cs="Times New Roman"/>
          <w:i/>
          <w:iCs/>
          <w:color w:val="auto"/>
          <w:spacing w:val="3"/>
          <w:position w:val="-1"/>
          <w:sz w:val="25"/>
          <w:szCs w:val="25"/>
          <w:highlight w:val="none"/>
        </w:rPr>
        <w:t xml:space="preserve">             </w:t>
      </w:r>
      <w:r>
        <w:rPr>
          <w:rFonts w:ascii="Times New Roman" w:hAnsi="Times New Roman" w:eastAsia="Times New Roman" w:cs="Times New Roman"/>
          <w:i/>
          <w:iCs/>
          <w:color w:val="auto"/>
          <w:position w:val="-1"/>
          <w:sz w:val="25"/>
          <w:szCs w:val="25"/>
          <w:highlight w:val="none"/>
        </w:rPr>
        <w:t>F</w:t>
      </w:r>
      <w:r>
        <w:rPr>
          <w:rFonts w:ascii="Times New Roman" w:hAnsi="Times New Roman" w:eastAsia="Times New Roman" w:cs="Times New Roman"/>
          <w:i/>
          <w:iCs/>
          <w:color w:val="auto"/>
          <w:spacing w:val="6"/>
          <w:position w:val="-1"/>
          <w:sz w:val="25"/>
          <w:szCs w:val="25"/>
          <w:highlight w:val="none"/>
        </w:rPr>
        <w:t xml:space="preserve">                   </w:t>
      </w:r>
      <w:r>
        <w:rPr>
          <w:rFonts w:ascii="Times New Roman" w:hAnsi="Times New Roman" w:eastAsia="Times New Roman" w:cs="Times New Roman"/>
          <w:i/>
          <w:iCs/>
          <w:color w:val="auto"/>
          <w:position w:val="-1"/>
          <w:sz w:val="25"/>
          <w:szCs w:val="25"/>
          <w:highlight w:val="none"/>
        </w:rPr>
        <w:t>F</w:t>
      </w:r>
      <w:r>
        <w:rPr>
          <w:rFonts w:ascii="Times New Roman" w:hAnsi="Times New Roman" w:eastAsia="Times New Roman" w:cs="Times New Roman"/>
          <w:i/>
          <w:iCs/>
          <w:color w:val="auto"/>
          <w:spacing w:val="19"/>
          <w:w w:val="101"/>
          <w:position w:val="-1"/>
          <w:sz w:val="25"/>
          <w:szCs w:val="25"/>
          <w:highlight w:val="none"/>
        </w:rPr>
        <w:t xml:space="preserve">  </w:t>
      </w:r>
      <w:r>
        <w:rPr>
          <w:rFonts w:ascii="微软雅黑" w:hAnsi="微软雅黑" w:eastAsia="微软雅黑" w:cs="微软雅黑"/>
          <w:color w:val="auto"/>
          <w:spacing w:val="6"/>
          <w:sz w:val="25"/>
          <w:szCs w:val="25"/>
          <w:highlight w:val="none"/>
        </w:rPr>
        <w:t xml:space="preserve">)   </w:t>
      </w:r>
      <w:r>
        <w:rPr>
          <w:rFonts w:ascii="微软雅黑" w:hAnsi="微软雅黑" w:eastAsia="微软雅黑" w:cs="微软雅黑"/>
          <w:color w:val="auto"/>
          <w:spacing w:val="5"/>
          <w:sz w:val="25"/>
          <w:szCs w:val="25"/>
          <w:highlight w:val="none"/>
        </w:rPr>
        <w:t xml:space="preserve"> </w:t>
      </w:r>
      <w:r>
        <w:rPr>
          <w:rFonts w:ascii="微软雅黑" w:hAnsi="微软雅黑" w:eastAsia="微软雅黑" w:cs="微软雅黑"/>
          <w:color w:val="auto"/>
          <w:spacing w:val="5"/>
          <w:position w:val="1"/>
          <w:sz w:val="25"/>
          <w:szCs w:val="25"/>
          <w:highlight w:val="none"/>
        </w:rPr>
        <w:t>]</w:t>
      </w:r>
    </w:p>
    <w:p w14:paraId="0D8F63A3">
      <w:pPr>
        <w:spacing w:before="183" w:line="194" w:lineRule="auto"/>
        <w:ind w:left="1878"/>
        <w:rPr>
          <w:rFonts w:ascii="微软雅黑" w:hAnsi="微软雅黑" w:eastAsia="微软雅黑" w:cs="微软雅黑"/>
          <w:color w:val="auto"/>
          <w:sz w:val="25"/>
          <w:szCs w:val="25"/>
          <w:highlight w:val="none"/>
        </w:rPr>
      </w:pPr>
      <w:r>
        <w:rPr>
          <w:rFonts w:ascii="微软雅黑" w:hAnsi="微软雅黑" w:eastAsia="微软雅黑" w:cs="微软雅黑"/>
          <w:color w:val="auto"/>
          <w:spacing w:val="-2"/>
          <w:position w:val="-3"/>
          <w:sz w:val="25"/>
          <w:szCs w:val="25"/>
          <w:highlight w:val="none"/>
        </w:rPr>
        <w:t xml:space="preserve">L   </w:t>
      </w:r>
      <w:r>
        <w:rPr>
          <w:rFonts w:ascii="微软雅黑" w:hAnsi="微软雅黑" w:eastAsia="微软雅黑" w:cs="微软雅黑"/>
          <w:color w:val="auto"/>
          <w:spacing w:val="-2"/>
          <w:position w:val="-1"/>
          <w:sz w:val="25"/>
          <w:szCs w:val="25"/>
          <w:highlight w:val="none"/>
        </w:rPr>
        <w:t>（</w:t>
      </w:r>
      <w:r>
        <w:rPr>
          <w:rFonts w:ascii="微软雅黑" w:hAnsi="微软雅黑" w:eastAsia="微软雅黑" w:cs="微软雅黑"/>
          <w:color w:val="auto"/>
          <w:spacing w:val="3"/>
          <w:position w:val="-1"/>
          <w:sz w:val="25"/>
          <w:szCs w:val="25"/>
          <w:highlight w:val="none"/>
        </w:rPr>
        <w:t xml:space="preserve">      </w:t>
      </w:r>
      <w:r>
        <w:rPr>
          <w:rFonts w:ascii="Times New Roman" w:hAnsi="Times New Roman" w:eastAsia="Times New Roman" w:cs="Times New Roman"/>
          <w:i/>
          <w:iCs/>
          <w:color w:val="auto"/>
          <w:spacing w:val="-2"/>
          <w:position w:val="5"/>
          <w:sz w:val="25"/>
          <w:szCs w:val="25"/>
          <w:highlight w:val="none"/>
        </w:rPr>
        <w:t>F</w:t>
      </w:r>
      <w:r>
        <w:rPr>
          <w:rFonts w:ascii="Times New Roman" w:hAnsi="Times New Roman" w:eastAsia="Times New Roman" w:cs="Times New Roman"/>
          <w:color w:val="auto"/>
          <w:spacing w:val="-2"/>
          <w:sz w:val="15"/>
          <w:szCs w:val="15"/>
          <w:highlight w:val="none"/>
        </w:rPr>
        <w:t xml:space="preserve">01                    </w:t>
      </w:r>
      <w:r>
        <w:rPr>
          <w:rFonts w:ascii="Times New Roman" w:hAnsi="Times New Roman" w:eastAsia="Times New Roman" w:cs="Times New Roman"/>
          <w:i/>
          <w:iCs/>
          <w:color w:val="auto"/>
          <w:spacing w:val="-2"/>
          <w:position w:val="5"/>
          <w:sz w:val="25"/>
          <w:szCs w:val="25"/>
          <w:highlight w:val="none"/>
        </w:rPr>
        <w:t>F</w:t>
      </w:r>
      <w:r>
        <w:rPr>
          <w:rFonts w:ascii="Times New Roman" w:hAnsi="Times New Roman" w:eastAsia="Times New Roman" w:cs="Times New Roman"/>
          <w:color w:val="auto"/>
          <w:spacing w:val="-2"/>
          <w:sz w:val="15"/>
          <w:szCs w:val="15"/>
          <w:highlight w:val="none"/>
        </w:rPr>
        <w:t xml:space="preserve">02                    </w:t>
      </w:r>
      <w:r>
        <w:rPr>
          <w:rFonts w:ascii="Times New Roman" w:hAnsi="Times New Roman" w:eastAsia="Times New Roman" w:cs="Times New Roman"/>
          <w:i/>
          <w:iCs/>
          <w:color w:val="auto"/>
          <w:spacing w:val="-2"/>
          <w:position w:val="5"/>
          <w:sz w:val="25"/>
          <w:szCs w:val="25"/>
          <w:highlight w:val="none"/>
        </w:rPr>
        <w:t>F</w:t>
      </w:r>
      <w:r>
        <w:rPr>
          <w:rFonts w:ascii="Times New Roman" w:hAnsi="Times New Roman" w:eastAsia="Times New Roman" w:cs="Times New Roman"/>
          <w:color w:val="auto"/>
          <w:spacing w:val="-2"/>
          <w:sz w:val="15"/>
          <w:szCs w:val="15"/>
          <w:highlight w:val="none"/>
        </w:rPr>
        <w:t xml:space="preserve">03                                </w:t>
      </w:r>
      <w:r>
        <w:rPr>
          <w:rFonts w:ascii="Times New Roman" w:hAnsi="Times New Roman" w:eastAsia="Times New Roman" w:cs="Times New Roman"/>
          <w:i/>
          <w:iCs/>
          <w:color w:val="auto"/>
          <w:spacing w:val="-2"/>
          <w:position w:val="5"/>
          <w:sz w:val="25"/>
          <w:szCs w:val="25"/>
          <w:highlight w:val="none"/>
        </w:rPr>
        <w:t>F</w:t>
      </w:r>
      <w:r>
        <w:rPr>
          <w:rFonts w:ascii="Times New Roman" w:hAnsi="Times New Roman" w:eastAsia="Times New Roman" w:cs="Times New Roman"/>
          <w:color w:val="auto"/>
          <w:spacing w:val="-2"/>
          <w:sz w:val="15"/>
          <w:szCs w:val="15"/>
          <w:highlight w:val="none"/>
        </w:rPr>
        <w:t>0</w:t>
      </w:r>
      <w:r>
        <w:rPr>
          <w:rFonts w:ascii="Times New Roman" w:hAnsi="Times New Roman" w:eastAsia="Times New Roman" w:cs="Times New Roman"/>
          <w:i/>
          <w:iCs/>
          <w:color w:val="auto"/>
          <w:spacing w:val="-2"/>
          <w:sz w:val="15"/>
          <w:szCs w:val="15"/>
          <w:highlight w:val="none"/>
        </w:rPr>
        <w:t>n</w:t>
      </w:r>
      <w:r>
        <w:rPr>
          <w:rFonts w:ascii="Times New Roman" w:hAnsi="Times New Roman" w:eastAsia="Times New Roman" w:cs="Times New Roman"/>
          <w:i/>
          <w:iCs/>
          <w:color w:val="auto"/>
          <w:spacing w:val="22"/>
          <w:w w:val="102"/>
          <w:sz w:val="15"/>
          <w:szCs w:val="15"/>
          <w:highlight w:val="none"/>
        </w:rPr>
        <w:t xml:space="preserve"> </w:t>
      </w:r>
      <w:r>
        <w:rPr>
          <w:rFonts w:ascii="微软雅黑" w:hAnsi="微软雅黑" w:eastAsia="微软雅黑" w:cs="微软雅黑"/>
          <w:color w:val="auto"/>
          <w:spacing w:val="-2"/>
          <w:position w:val="-1"/>
          <w:sz w:val="25"/>
          <w:szCs w:val="25"/>
          <w:highlight w:val="none"/>
        </w:rPr>
        <w:t>)</w:t>
      </w:r>
      <w:r>
        <w:rPr>
          <w:rFonts w:ascii="微软雅黑" w:hAnsi="微软雅黑" w:eastAsia="微软雅黑" w:cs="微软雅黑"/>
          <w:color w:val="auto"/>
          <w:spacing w:val="-3"/>
          <w:position w:val="-1"/>
          <w:sz w:val="25"/>
          <w:szCs w:val="25"/>
          <w:highlight w:val="none"/>
        </w:rPr>
        <w:t xml:space="preserve">    </w:t>
      </w:r>
      <w:r>
        <w:rPr>
          <w:rFonts w:ascii="微软雅黑" w:hAnsi="微软雅黑" w:eastAsia="微软雅黑" w:cs="微软雅黑"/>
          <w:color w:val="auto"/>
          <w:spacing w:val="-3"/>
          <w:position w:val="-3"/>
          <w:sz w:val="25"/>
          <w:szCs w:val="25"/>
          <w:highlight w:val="none"/>
        </w:rPr>
        <w:t>」</w:t>
      </w:r>
    </w:p>
    <w:p w14:paraId="2C6FF98D">
      <w:pPr>
        <w:pStyle w:val="3"/>
        <w:spacing w:line="265" w:lineRule="auto"/>
        <w:rPr>
          <w:color w:val="auto"/>
          <w:highlight w:val="none"/>
        </w:rPr>
      </w:pPr>
    </w:p>
    <w:p w14:paraId="673F9F5A">
      <w:pPr>
        <w:pStyle w:val="3"/>
        <w:spacing w:line="266" w:lineRule="auto"/>
        <w:rPr>
          <w:color w:val="auto"/>
          <w:highlight w:val="none"/>
        </w:rPr>
      </w:pPr>
    </w:p>
    <w:p w14:paraId="78AC6F73">
      <w:pPr>
        <w:spacing w:before="69" w:line="219" w:lineRule="auto"/>
        <w:ind w:left="447"/>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 xml:space="preserve">公式中：   </w:t>
      </w:r>
      <w:r>
        <w:rPr>
          <w:rFonts w:ascii="Times New Roman" w:hAnsi="Times New Roman" w:eastAsia="Times New Roman" w:cs="Times New Roman"/>
          <w:color w:val="auto"/>
          <w:spacing w:val="-9"/>
          <w:sz w:val="21"/>
          <w:szCs w:val="21"/>
          <w:highlight w:val="none"/>
        </w:rPr>
        <w:t>ΔP——</w:t>
      </w:r>
      <w:r>
        <w:rPr>
          <w:rFonts w:ascii="Times New Roman" w:hAnsi="Times New Roman" w:eastAsia="Times New Roman" w:cs="Times New Roman"/>
          <w:color w:val="auto"/>
          <w:spacing w:val="-33"/>
          <w:sz w:val="21"/>
          <w:szCs w:val="21"/>
          <w:highlight w:val="none"/>
        </w:rPr>
        <w:t xml:space="preserve"> </w:t>
      </w:r>
      <w:r>
        <w:rPr>
          <w:rFonts w:ascii="宋体" w:hAnsi="宋体" w:eastAsia="宋体" w:cs="宋体"/>
          <w:color w:val="auto"/>
          <w:spacing w:val="-9"/>
          <w:sz w:val="21"/>
          <w:szCs w:val="21"/>
          <w:highlight w:val="none"/>
        </w:rPr>
        <w:t>需调整的价格差额；</w:t>
      </w:r>
    </w:p>
    <w:p w14:paraId="614E1940">
      <w:pPr>
        <w:spacing w:before="150" w:line="352" w:lineRule="auto"/>
        <w:ind w:left="18" w:right="11" w:firstLine="1781"/>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P</w:t>
      </w:r>
      <w:r>
        <w:rPr>
          <w:rFonts w:ascii="Times New Roman" w:hAnsi="Times New Roman" w:eastAsia="Times New Roman" w:cs="Times New Roman"/>
          <w:color w:val="auto"/>
          <w:spacing w:val="1"/>
          <w:position w:val="-1"/>
          <w:sz w:val="13"/>
          <w:szCs w:val="13"/>
          <w:highlight w:val="none"/>
        </w:rPr>
        <w:t>0</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约定的付款证书中承包人应得到的已完成工程量的金额。此项金</w:t>
      </w:r>
      <w:r>
        <w:rPr>
          <w:rFonts w:ascii="宋体" w:hAnsi="宋体" w:eastAsia="宋体" w:cs="宋体"/>
          <w:color w:val="auto"/>
          <w:spacing w:val="4"/>
          <w:sz w:val="21"/>
          <w:szCs w:val="21"/>
          <w:highlight w:val="none"/>
        </w:rPr>
        <w:t xml:space="preserve"> </w:t>
      </w:r>
      <w:r>
        <w:rPr>
          <w:rFonts w:ascii="宋体" w:hAnsi="宋体" w:eastAsia="宋体" w:cs="宋体"/>
          <w:color w:val="auto"/>
          <w:spacing w:val="3"/>
          <w:sz w:val="21"/>
          <w:szCs w:val="21"/>
          <w:highlight w:val="none"/>
        </w:rPr>
        <w:t>额应不包括价格调整、不计质量保证金的扣留和支付、预付款的支付和扣回</w:t>
      </w:r>
      <w:r>
        <w:rPr>
          <w:rFonts w:ascii="宋体" w:hAnsi="宋体" w:eastAsia="宋体" w:cs="宋体"/>
          <w:color w:val="auto"/>
          <w:spacing w:val="2"/>
          <w:sz w:val="21"/>
          <w:szCs w:val="21"/>
          <w:highlight w:val="none"/>
        </w:rPr>
        <w:t>。约定的变更</w:t>
      </w:r>
    </w:p>
    <w:p w14:paraId="63E5C7E8">
      <w:pPr>
        <w:spacing w:line="219" w:lineRule="auto"/>
        <w:ind w:left="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及其他金额已按现行价格计价的，也不计在内；</w:t>
      </w:r>
    </w:p>
    <w:p w14:paraId="1A3BBC39">
      <w:pPr>
        <w:spacing w:before="149" w:line="221" w:lineRule="auto"/>
        <w:ind w:left="1798"/>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A——</w:t>
      </w:r>
      <w:r>
        <w:rPr>
          <w:rFonts w:ascii="宋体" w:hAnsi="宋体" w:eastAsia="宋体" w:cs="宋体"/>
          <w:color w:val="auto"/>
          <w:spacing w:val="-6"/>
          <w:sz w:val="21"/>
          <w:szCs w:val="21"/>
          <w:highlight w:val="none"/>
        </w:rPr>
        <w:t>定值权重（即不调部分的权重</w:t>
      </w:r>
      <w:r>
        <w:rPr>
          <w:rFonts w:ascii="宋体" w:hAnsi="宋体" w:eastAsia="宋体" w:cs="宋体"/>
          <w:color w:val="auto"/>
          <w:spacing w:val="-10"/>
          <w:sz w:val="21"/>
          <w:szCs w:val="21"/>
          <w:highlight w:val="none"/>
        </w:rPr>
        <w:t>）；</w:t>
      </w:r>
    </w:p>
    <w:p w14:paraId="0AEFA31E">
      <w:pPr>
        <w:spacing w:before="148" w:line="403" w:lineRule="exact"/>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8"/>
          <w:position w:val="14"/>
          <w:sz w:val="21"/>
          <w:szCs w:val="21"/>
          <w:highlight w:val="none"/>
        </w:rPr>
        <w:t>B</w:t>
      </w:r>
      <w:r>
        <w:rPr>
          <w:rFonts w:ascii="Times New Roman" w:hAnsi="Times New Roman" w:eastAsia="Times New Roman" w:cs="Times New Roman"/>
          <w:color w:val="auto"/>
          <w:spacing w:val="-18"/>
          <w:position w:val="14"/>
          <w:sz w:val="13"/>
          <w:szCs w:val="13"/>
          <w:highlight w:val="none"/>
        </w:rPr>
        <w:t>1</w:t>
      </w:r>
      <w:r>
        <w:rPr>
          <w:rFonts w:ascii="Times New Roman" w:hAnsi="Times New Roman" w:eastAsia="Times New Roman" w:cs="Times New Roman"/>
          <w:color w:val="auto"/>
          <w:spacing w:val="-18"/>
          <w:position w:val="14"/>
          <w:sz w:val="14"/>
          <w:szCs w:val="14"/>
          <w:highlight w:val="none"/>
        </w:rPr>
        <w:t>;</w:t>
      </w:r>
      <w:r>
        <w:rPr>
          <w:rFonts w:ascii="Times New Roman" w:hAnsi="Times New Roman" w:eastAsia="Times New Roman" w:cs="Times New Roman"/>
          <w:color w:val="auto"/>
          <w:spacing w:val="18"/>
          <w:w w:val="101"/>
          <w:position w:val="14"/>
          <w:sz w:val="14"/>
          <w:szCs w:val="14"/>
          <w:highlight w:val="none"/>
        </w:rPr>
        <w:t xml:space="preserve"> </w:t>
      </w:r>
      <w:r>
        <w:rPr>
          <w:rFonts w:ascii="Times New Roman" w:hAnsi="Times New Roman" w:eastAsia="Times New Roman" w:cs="Times New Roman"/>
          <w:color w:val="auto"/>
          <w:spacing w:val="-18"/>
          <w:position w:val="14"/>
          <w:sz w:val="21"/>
          <w:szCs w:val="21"/>
          <w:highlight w:val="none"/>
        </w:rPr>
        <w:t>B</w:t>
      </w:r>
      <w:r>
        <w:rPr>
          <w:rFonts w:ascii="Times New Roman" w:hAnsi="Times New Roman" w:eastAsia="Times New Roman" w:cs="Times New Roman"/>
          <w:color w:val="auto"/>
          <w:spacing w:val="-18"/>
          <w:position w:val="13"/>
          <w:sz w:val="13"/>
          <w:szCs w:val="13"/>
          <w:highlight w:val="none"/>
        </w:rPr>
        <w:t xml:space="preserve">2  </w:t>
      </w:r>
      <w:r>
        <w:rPr>
          <w:rFonts w:ascii="Times New Roman" w:hAnsi="Times New Roman" w:eastAsia="Times New Roman" w:cs="Times New Roman"/>
          <w:color w:val="auto"/>
          <w:spacing w:val="-18"/>
          <w:position w:val="14"/>
          <w:sz w:val="21"/>
          <w:szCs w:val="21"/>
          <w:highlight w:val="none"/>
        </w:rPr>
        <w:t>;B</w:t>
      </w:r>
      <w:r>
        <w:rPr>
          <w:rFonts w:ascii="Times New Roman" w:hAnsi="Times New Roman" w:eastAsia="Times New Roman" w:cs="Times New Roman"/>
          <w:color w:val="auto"/>
          <w:spacing w:val="-18"/>
          <w:position w:val="14"/>
          <w:sz w:val="13"/>
          <w:szCs w:val="13"/>
          <w:highlight w:val="none"/>
        </w:rPr>
        <w:t>3</w:t>
      </w:r>
      <w:r>
        <w:rPr>
          <w:rFonts w:ascii="宋体" w:hAnsi="宋体" w:eastAsia="宋体" w:cs="宋体"/>
          <w:color w:val="auto"/>
          <w:spacing w:val="-18"/>
          <w:position w:val="14"/>
          <w:sz w:val="14"/>
          <w:szCs w:val="14"/>
          <w:highlight w:val="none"/>
        </w:rPr>
        <w:t>·····</w:t>
      </w:r>
      <w:r>
        <w:rPr>
          <w:rFonts w:ascii="Times New Roman" w:hAnsi="Times New Roman" w:eastAsia="Times New Roman" w:cs="Times New Roman"/>
          <w:color w:val="auto"/>
          <w:spacing w:val="-2"/>
          <w:position w:val="14"/>
          <w:sz w:val="21"/>
          <w:szCs w:val="21"/>
          <w:highlight w:val="none"/>
        </w:rPr>
        <w:t>B</w:t>
      </w:r>
      <w:r>
        <w:rPr>
          <w:rFonts w:ascii="Times New Roman" w:hAnsi="Times New Roman" w:eastAsia="Times New Roman" w:cs="Times New Roman"/>
          <w:color w:val="auto"/>
          <w:spacing w:val="-2"/>
          <w:position w:val="13"/>
          <w:sz w:val="13"/>
          <w:szCs w:val="13"/>
          <w:highlight w:val="none"/>
        </w:rPr>
        <w:t>n</w:t>
      </w:r>
      <w:r>
        <w:rPr>
          <w:rFonts w:ascii="Times New Roman" w:hAnsi="Times New Roman" w:eastAsia="Times New Roman" w:cs="Times New Roman"/>
          <w:color w:val="auto"/>
          <w:spacing w:val="-2"/>
          <w:position w:val="14"/>
          <w:sz w:val="21"/>
          <w:szCs w:val="21"/>
          <w:highlight w:val="none"/>
        </w:rPr>
        <w:t>——</w:t>
      </w:r>
      <w:r>
        <w:rPr>
          <w:rFonts w:ascii="宋体" w:hAnsi="宋体" w:eastAsia="宋体" w:cs="宋体"/>
          <w:color w:val="auto"/>
          <w:spacing w:val="-2"/>
          <w:position w:val="14"/>
          <w:sz w:val="21"/>
          <w:szCs w:val="21"/>
          <w:highlight w:val="none"/>
        </w:rPr>
        <w:t>各可调因子的变值权重（即可调部分的权重</w:t>
      </w:r>
      <w:r>
        <w:rPr>
          <w:rFonts w:ascii="宋体" w:hAnsi="宋体" w:eastAsia="宋体" w:cs="宋体"/>
          <w:color w:val="auto"/>
          <w:spacing w:val="-7"/>
          <w:position w:val="14"/>
          <w:sz w:val="21"/>
          <w:szCs w:val="21"/>
          <w:highlight w:val="none"/>
        </w:rPr>
        <w:t>），</w:t>
      </w:r>
      <w:r>
        <w:rPr>
          <w:rFonts w:ascii="宋体" w:hAnsi="宋体" w:eastAsia="宋体" w:cs="宋体"/>
          <w:color w:val="auto"/>
          <w:spacing w:val="-2"/>
          <w:position w:val="14"/>
          <w:sz w:val="21"/>
          <w:szCs w:val="21"/>
          <w:highlight w:val="none"/>
        </w:rPr>
        <w:t>为各可</w:t>
      </w:r>
      <w:r>
        <w:rPr>
          <w:rFonts w:ascii="宋体" w:hAnsi="宋体" w:eastAsia="宋体" w:cs="宋体"/>
          <w:color w:val="auto"/>
          <w:spacing w:val="-3"/>
          <w:position w:val="14"/>
          <w:sz w:val="21"/>
          <w:szCs w:val="21"/>
          <w:highlight w:val="none"/>
        </w:rPr>
        <w:t>调因子在签</w:t>
      </w:r>
    </w:p>
    <w:p w14:paraId="66B07A93">
      <w:pPr>
        <w:spacing w:line="219" w:lineRule="auto"/>
        <w:ind w:left="2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约合同价中所占的比例；</w:t>
      </w:r>
    </w:p>
    <w:p w14:paraId="33B2FD34">
      <w:pPr>
        <w:spacing w:before="149" w:line="399" w:lineRule="exact"/>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7"/>
          <w:position w:val="13"/>
          <w:sz w:val="21"/>
          <w:szCs w:val="21"/>
          <w:highlight w:val="none"/>
        </w:rPr>
        <w:t>F</w:t>
      </w:r>
      <w:r>
        <w:rPr>
          <w:rFonts w:ascii="Times New Roman" w:hAnsi="Times New Roman" w:eastAsia="Times New Roman" w:cs="Times New Roman"/>
          <w:color w:val="auto"/>
          <w:spacing w:val="-17"/>
          <w:position w:val="12"/>
          <w:sz w:val="13"/>
          <w:szCs w:val="13"/>
          <w:highlight w:val="none"/>
        </w:rPr>
        <w:t>t1</w:t>
      </w:r>
      <w:r>
        <w:rPr>
          <w:rFonts w:ascii="Times New Roman" w:hAnsi="Times New Roman" w:eastAsia="Times New Roman" w:cs="Times New Roman"/>
          <w:color w:val="auto"/>
          <w:spacing w:val="13"/>
          <w:w w:val="103"/>
          <w:position w:val="12"/>
          <w:sz w:val="13"/>
          <w:szCs w:val="13"/>
          <w:highlight w:val="none"/>
        </w:rPr>
        <w:t xml:space="preserve">  </w:t>
      </w:r>
      <w:r>
        <w:rPr>
          <w:rFonts w:ascii="Times New Roman" w:hAnsi="Times New Roman" w:eastAsia="Times New Roman" w:cs="Times New Roman"/>
          <w:color w:val="auto"/>
          <w:spacing w:val="-17"/>
          <w:position w:val="13"/>
          <w:sz w:val="21"/>
          <w:szCs w:val="21"/>
          <w:highlight w:val="none"/>
        </w:rPr>
        <w:t>;F</w:t>
      </w:r>
      <w:r>
        <w:rPr>
          <w:rFonts w:ascii="Times New Roman" w:hAnsi="Times New Roman" w:eastAsia="Times New Roman" w:cs="Times New Roman"/>
          <w:color w:val="auto"/>
          <w:spacing w:val="-17"/>
          <w:position w:val="12"/>
          <w:sz w:val="13"/>
          <w:szCs w:val="13"/>
          <w:highlight w:val="none"/>
        </w:rPr>
        <w:t>t2</w:t>
      </w:r>
      <w:r>
        <w:rPr>
          <w:rFonts w:ascii="Times New Roman" w:hAnsi="Times New Roman" w:eastAsia="Times New Roman" w:cs="Times New Roman"/>
          <w:color w:val="auto"/>
          <w:spacing w:val="7"/>
          <w:position w:val="12"/>
          <w:sz w:val="13"/>
          <w:szCs w:val="13"/>
          <w:highlight w:val="none"/>
        </w:rPr>
        <w:t xml:space="preserve">  </w:t>
      </w:r>
      <w:r>
        <w:rPr>
          <w:rFonts w:ascii="Times New Roman" w:hAnsi="Times New Roman" w:eastAsia="Times New Roman" w:cs="Times New Roman"/>
          <w:color w:val="auto"/>
          <w:spacing w:val="-17"/>
          <w:position w:val="13"/>
          <w:sz w:val="21"/>
          <w:szCs w:val="21"/>
          <w:highlight w:val="none"/>
        </w:rPr>
        <w:t>;F</w:t>
      </w:r>
      <w:r>
        <w:rPr>
          <w:rFonts w:ascii="Times New Roman" w:hAnsi="Times New Roman" w:eastAsia="Times New Roman" w:cs="Times New Roman"/>
          <w:color w:val="auto"/>
          <w:spacing w:val="-17"/>
          <w:position w:val="13"/>
          <w:sz w:val="13"/>
          <w:szCs w:val="13"/>
          <w:highlight w:val="none"/>
        </w:rPr>
        <w:t>t3</w:t>
      </w:r>
      <w:r>
        <w:rPr>
          <w:rFonts w:ascii="宋体" w:hAnsi="宋体" w:eastAsia="宋体" w:cs="宋体"/>
          <w:color w:val="auto"/>
          <w:spacing w:val="-17"/>
          <w:position w:val="13"/>
          <w:sz w:val="14"/>
          <w:szCs w:val="14"/>
          <w:highlight w:val="none"/>
        </w:rPr>
        <w:t>·····</w:t>
      </w:r>
      <w:r>
        <w:rPr>
          <w:rFonts w:ascii="Times New Roman" w:hAnsi="Times New Roman" w:eastAsia="Times New Roman" w:cs="Times New Roman"/>
          <w:color w:val="auto"/>
          <w:spacing w:val="-3"/>
          <w:position w:val="13"/>
          <w:sz w:val="21"/>
          <w:szCs w:val="21"/>
          <w:highlight w:val="none"/>
        </w:rPr>
        <w:t>F</w:t>
      </w:r>
      <w:r>
        <w:rPr>
          <w:rFonts w:ascii="Times New Roman" w:hAnsi="Times New Roman" w:eastAsia="Times New Roman" w:cs="Times New Roman"/>
          <w:color w:val="auto"/>
          <w:spacing w:val="-3"/>
          <w:position w:val="12"/>
          <w:sz w:val="13"/>
          <w:szCs w:val="13"/>
          <w:highlight w:val="none"/>
        </w:rPr>
        <w:t>tn</w:t>
      </w:r>
      <w:r>
        <w:rPr>
          <w:rFonts w:ascii="Times New Roman" w:hAnsi="Times New Roman" w:eastAsia="Times New Roman" w:cs="Times New Roman"/>
          <w:color w:val="auto"/>
          <w:spacing w:val="-3"/>
          <w:position w:val="13"/>
          <w:sz w:val="21"/>
          <w:szCs w:val="21"/>
          <w:highlight w:val="none"/>
        </w:rPr>
        <w:t>——</w:t>
      </w:r>
      <w:r>
        <w:rPr>
          <w:rFonts w:ascii="宋体" w:hAnsi="宋体" w:eastAsia="宋体" w:cs="宋体"/>
          <w:color w:val="auto"/>
          <w:spacing w:val="-3"/>
          <w:position w:val="13"/>
          <w:sz w:val="21"/>
          <w:szCs w:val="21"/>
          <w:highlight w:val="none"/>
        </w:rPr>
        <w:t>各可调因子的现行价格指数， 指约定的付款证书相关周期最后一</w:t>
      </w:r>
    </w:p>
    <w:p w14:paraId="25975CE0">
      <w:pPr>
        <w:spacing w:line="219" w:lineRule="auto"/>
        <w:ind w:left="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天的前</w:t>
      </w:r>
      <w:r>
        <w:rPr>
          <w:rFonts w:ascii="宋体" w:hAnsi="宋体" w:eastAsia="宋体" w:cs="宋体"/>
          <w:color w:val="auto"/>
          <w:spacing w:val="-32"/>
          <w:sz w:val="21"/>
          <w:szCs w:val="21"/>
          <w:highlight w:val="none"/>
        </w:rPr>
        <w:t xml:space="preserve"> </w:t>
      </w:r>
      <w:r>
        <w:rPr>
          <w:rFonts w:ascii="Times New Roman" w:hAnsi="Times New Roman" w:eastAsia="Times New Roman" w:cs="Times New Roman"/>
          <w:color w:val="auto"/>
          <w:spacing w:val="-2"/>
          <w:sz w:val="21"/>
          <w:szCs w:val="21"/>
          <w:highlight w:val="none"/>
        </w:rPr>
        <w:t xml:space="preserve">42 </w:t>
      </w:r>
      <w:r>
        <w:rPr>
          <w:rFonts w:ascii="宋体" w:hAnsi="宋体" w:eastAsia="宋体" w:cs="宋体"/>
          <w:color w:val="auto"/>
          <w:spacing w:val="-2"/>
          <w:sz w:val="21"/>
          <w:szCs w:val="21"/>
          <w:highlight w:val="none"/>
        </w:rPr>
        <w:t>天的各可调因子的价格指数；</w:t>
      </w:r>
    </w:p>
    <w:p w14:paraId="09F806B8">
      <w:pPr>
        <w:spacing w:before="154" w:line="399" w:lineRule="exact"/>
        <w:ind w:right="2"/>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2"/>
          <w:position w:val="13"/>
          <w:sz w:val="21"/>
          <w:szCs w:val="21"/>
          <w:highlight w:val="none"/>
        </w:rPr>
        <w:t>F</w:t>
      </w:r>
      <w:r>
        <w:rPr>
          <w:rFonts w:ascii="Times New Roman" w:hAnsi="Times New Roman" w:eastAsia="Times New Roman" w:cs="Times New Roman"/>
          <w:color w:val="auto"/>
          <w:spacing w:val="-12"/>
          <w:position w:val="12"/>
          <w:sz w:val="13"/>
          <w:szCs w:val="13"/>
          <w:highlight w:val="none"/>
        </w:rPr>
        <w:t>o1</w:t>
      </w:r>
      <w:r>
        <w:rPr>
          <w:rFonts w:ascii="Times New Roman" w:hAnsi="Times New Roman" w:eastAsia="Times New Roman" w:cs="Times New Roman"/>
          <w:color w:val="auto"/>
          <w:spacing w:val="4"/>
          <w:position w:val="12"/>
          <w:sz w:val="13"/>
          <w:szCs w:val="13"/>
          <w:highlight w:val="none"/>
        </w:rPr>
        <w:t xml:space="preserve"> </w:t>
      </w:r>
      <w:r>
        <w:rPr>
          <w:rFonts w:ascii="Times New Roman" w:hAnsi="Times New Roman" w:eastAsia="Times New Roman" w:cs="Times New Roman"/>
          <w:color w:val="auto"/>
          <w:spacing w:val="-12"/>
          <w:position w:val="13"/>
          <w:sz w:val="21"/>
          <w:szCs w:val="21"/>
          <w:highlight w:val="none"/>
        </w:rPr>
        <w:t>; F</w:t>
      </w:r>
      <w:r>
        <w:rPr>
          <w:rFonts w:ascii="Times New Roman" w:hAnsi="Times New Roman" w:eastAsia="Times New Roman" w:cs="Times New Roman"/>
          <w:color w:val="auto"/>
          <w:spacing w:val="-12"/>
          <w:position w:val="13"/>
          <w:sz w:val="13"/>
          <w:szCs w:val="13"/>
          <w:highlight w:val="none"/>
        </w:rPr>
        <w:t>o2</w:t>
      </w:r>
      <w:r>
        <w:rPr>
          <w:rFonts w:ascii="Times New Roman" w:hAnsi="Times New Roman" w:eastAsia="Times New Roman" w:cs="Times New Roman"/>
          <w:color w:val="auto"/>
          <w:spacing w:val="-12"/>
          <w:position w:val="13"/>
          <w:sz w:val="14"/>
          <w:szCs w:val="14"/>
          <w:highlight w:val="none"/>
        </w:rPr>
        <w:t>;</w:t>
      </w:r>
      <w:r>
        <w:rPr>
          <w:rFonts w:ascii="Times New Roman" w:hAnsi="Times New Roman" w:eastAsia="Times New Roman" w:cs="Times New Roman"/>
          <w:color w:val="auto"/>
          <w:spacing w:val="13"/>
          <w:w w:val="101"/>
          <w:position w:val="13"/>
          <w:sz w:val="14"/>
          <w:szCs w:val="14"/>
          <w:highlight w:val="none"/>
        </w:rPr>
        <w:t xml:space="preserve"> </w:t>
      </w:r>
      <w:r>
        <w:rPr>
          <w:rFonts w:ascii="Times New Roman" w:hAnsi="Times New Roman" w:eastAsia="Times New Roman" w:cs="Times New Roman"/>
          <w:color w:val="auto"/>
          <w:spacing w:val="-12"/>
          <w:position w:val="13"/>
          <w:sz w:val="21"/>
          <w:szCs w:val="21"/>
          <w:highlight w:val="none"/>
        </w:rPr>
        <w:t>F</w:t>
      </w:r>
      <w:r>
        <w:rPr>
          <w:rFonts w:ascii="Times New Roman" w:hAnsi="Times New Roman" w:eastAsia="Times New Roman" w:cs="Times New Roman"/>
          <w:color w:val="auto"/>
          <w:spacing w:val="-12"/>
          <w:position w:val="13"/>
          <w:sz w:val="13"/>
          <w:szCs w:val="13"/>
          <w:highlight w:val="none"/>
        </w:rPr>
        <w:t>o3</w:t>
      </w:r>
      <w:r>
        <w:rPr>
          <w:rFonts w:ascii="宋体" w:hAnsi="宋体" w:eastAsia="宋体" w:cs="宋体"/>
          <w:color w:val="auto"/>
          <w:spacing w:val="-12"/>
          <w:position w:val="13"/>
          <w:sz w:val="14"/>
          <w:szCs w:val="14"/>
          <w:highlight w:val="none"/>
        </w:rPr>
        <w:t>····</w:t>
      </w:r>
      <w:r>
        <w:rPr>
          <w:rFonts w:ascii="Times New Roman" w:hAnsi="Times New Roman" w:eastAsia="Times New Roman" w:cs="Times New Roman"/>
          <w:color w:val="auto"/>
          <w:spacing w:val="-3"/>
          <w:position w:val="13"/>
          <w:sz w:val="21"/>
          <w:szCs w:val="21"/>
          <w:highlight w:val="none"/>
        </w:rPr>
        <w:t>F</w:t>
      </w:r>
      <w:r>
        <w:rPr>
          <w:rFonts w:ascii="Times New Roman" w:hAnsi="Times New Roman" w:eastAsia="Times New Roman" w:cs="Times New Roman"/>
          <w:color w:val="auto"/>
          <w:spacing w:val="-3"/>
          <w:position w:val="12"/>
          <w:sz w:val="13"/>
          <w:szCs w:val="13"/>
          <w:highlight w:val="none"/>
        </w:rPr>
        <w:t>on</w:t>
      </w:r>
      <w:r>
        <w:rPr>
          <w:rFonts w:ascii="Times New Roman" w:hAnsi="Times New Roman" w:eastAsia="Times New Roman" w:cs="Times New Roman"/>
          <w:color w:val="auto"/>
          <w:spacing w:val="-3"/>
          <w:position w:val="13"/>
          <w:sz w:val="21"/>
          <w:szCs w:val="21"/>
          <w:highlight w:val="none"/>
        </w:rPr>
        <w:t>——</w:t>
      </w:r>
      <w:r>
        <w:rPr>
          <w:rFonts w:ascii="宋体" w:hAnsi="宋体" w:eastAsia="宋体" w:cs="宋体"/>
          <w:color w:val="auto"/>
          <w:spacing w:val="-3"/>
          <w:position w:val="13"/>
          <w:sz w:val="21"/>
          <w:szCs w:val="21"/>
          <w:highlight w:val="none"/>
        </w:rPr>
        <w:t>各可调因子的基本价格指数， 指基准日期的各可调因子的价格指</w:t>
      </w:r>
    </w:p>
    <w:p w14:paraId="5D3ED2CC">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数。</w:t>
      </w:r>
    </w:p>
    <w:p w14:paraId="77759718">
      <w:pPr>
        <w:spacing w:before="147" w:line="352" w:lineRule="auto"/>
        <w:ind w:left="20" w:right="6" w:firstLine="4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以上价格调整公式中的各可调因子、定值和变值权</w:t>
      </w:r>
      <w:r>
        <w:rPr>
          <w:rFonts w:ascii="宋体" w:hAnsi="宋体" w:eastAsia="宋体" w:cs="宋体"/>
          <w:color w:val="auto"/>
          <w:spacing w:val="-2"/>
          <w:sz w:val="21"/>
          <w:szCs w:val="21"/>
          <w:highlight w:val="none"/>
        </w:rPr>
        <w:t>重，</w:t>
      </w:r>
      <w:r>
        <w:rPr>
          <w:rFonts w:ascii="宋体" w:hAnsi="宋体" w:eastAsia="宋体" w:cs="宋体"/>
          <w:color w:val="auto"/>
          <w:spacing w:val="37"/>
          <w:sz w:val="21"/>
          <w:szCs w:val="21"/>
          <w:highlight w:val="none"/>
        </w:rPr>
        <w:t xml:space="preserve"> </w:t>
      </w:r>
      <w:r>
        <w:rPr>
          <w:rFonts w:ascii="宋体" w:hAnsi="宋体" w:eastAsia="宋体" w:cs="宋体"/>
          <w:color w:val="auto"/>
          <w:spacing w:val="-2"/>
          <w:sz w:val="21"/>
          <w:szCs w:val="21"/>
          <w:highlight w:val="none"/>
        </w:rPr>
        <w:t>以及基本价格指数及其来源在</w:t>
      </w:r>
      <w:r>
        <w:rPr>
          <w:rFonts w:ascii="宋体" w:hAnsi="宋体" w:eastAsia="宋体" w:cs="宋体"/>
          <w:color w:val="auto"/>
          <w:sz w:val="21"/>
          <w:szCs w:val="21"/>
          <w:highlight w:val="none"/>
        </w:rPr>
        <w:t xml:space="preserve"> 投标函附录价格指数和权重表中约定，非招标订立的合同， 由合同当事人在专用合同条款</w:t>
      </w:r>
      <w:r>
        <w:rPr>
          <w:rFonts w:ascii="宋体" w:hAnsi="宋体" w:eastAsia="宋体" w:cs="宋体"/>
          <w:color w:val="auto"/>
          <w:spacing w:val="4"/>
          <w:sz w:val="21"/>
          <w:szCs w:val="21"/>
          <w:highlight w:val="none"/>
        </w:rPr>
        <w:t xml:space="preserve"> </w:t>
      </w:r>
      <w:r>
        <w:rPr>
          <w:rFonts w:ascii="宋体" w:hAnsi="宋体" w:eastAsia="宋体" w:cs="宋体"/>
          <w:color w:val="auto"/>
          <w:spacing w:val="-2"/>
          <w:sz w:val="21"/>
          <w:szCs w:val="21"/>
          <w:highlight w:val="none"/>
        </w:rPr>
        <w:t>中约定。价格指数应首先采用工程造价管理机构发</w:t>
      </w:r>
      <w:r>
        <w:rPr>
          <w:rFonts w:ascii="宋体" w:hAnsi="宋体" w:eastAsia="宋体" w:cs="宋体"/>
          <w:color w:val="auto"/>
          <w:spacing w:val="-3"/>
          <w:sz w:val="21"/>
          <w:szCs w:val="21"/>
          <w:highlight w:val="none"/>
        </w:rPr>
        <w:t>布的价格指数， 无前述价格指数时， 可</w:t>
      </w:r>
    </w:p>
    <w:p w14:paraId="4A90EEB4">
      <w:pPr>
        <w:spacing w:line="219"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采用工程造价管理机构发布的价格代替。</w:t>
      </w:r>
    </w:p>
    <w:p w14:paraId="2A0471BC">
      <w:pPr>
        <w:spacing w:before="154"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）暂时确定调整差额</w:t>
      </w:r>
    </w:p>
    <w:p w14:paraId="5634F4F3">
      <w:pPr>
        <w:spacing w:before="147" w:line="399"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在计算调整差额时无现行价格指数的，合同当事人同意暂用前次价格指数计算。实际</w:t>
      </w:r>
    </w:p>
    <w:p w14:paraId="193C4FE5">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价格指数有调整的， 合同当事人进行相应调整。</w:t>
      </w:r>
    </w:p>
    <w:p w14:paraId="08BC3AA1">
      <w:pPr>
        <w:spacing w:line="219" w:lineRule="auto"/>
        <w:rPr>
          <w:rFonts w:ascii="宋体" w:hAnsi="宋体" w:eastAsia="宋体" w:cs="宋体"/>
          <w:color w:val="auto"/>
          <w:sz w:val="21"/>
          <w:szCs w:val="21"/>
          <w:highlight w:val="none"/>
        </w:rPr>
        <w:sectPr>
          <w:footerReference r:id="rId131" w:type="default"/>
          <w:pgSz w:w="11905" w:h="16839"/>
          <w:pgMar w:top="1431" w:right="1785" w:bottom="1004" w:left="1785" w:header="0" w:footer="828" w:gutter="0"/>
          <w:pgNumType w:fmt="decimal"/>
          <w:cols w:space="720" w:num="1"/>
        </w:sectPr>
      </w:pPr>
    </w:p>
    <w:p w14:paraId="0505FF64">
      <w:pPr>
        <w:spacing w:before="148"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3</w:t>
      </w:r>
      <w:r>
        <w:rPr>
          <w:rFonts w:ascii="宋体" w:hAnsi="宋体" w:eastAsia="宋体" w:cs="宋体"/>
          <w:color w:val="auto"/>
          <w:spacing w:val="-3"/>
          <w:sz w:val="21"/>
          <w:szCs w:val="21"/>
          <w:highlight w:val="none"/>
        </w:rPr>
        <w:t>）权重的调整</w:t>
      </w:r>
    </w:p>
    <w:p w14:paraId="62B56FE7">
      <w:pPr>
        <w:spacing w:before="147" w:line="403" w:lineRule="exact"/>
        <w:ind w:left="457"/>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因变更导致合同约定的权重不合理时， 按照第</w:t>
      </w:r>
      <w:r>
        <w:rPr>
          <w:rFonts w:ascii="宋体" w:hAnsi="宋体" w:eastAsia="宋体" w:cs="宋体"/>
          <w:color w:val="auto"/>
          <w:spacing w:val="-42"/>
          <w:position w:val="14"/>
          <w:sz w:val="21"/>
          <w:szCs w:val="21"/>
          <w:highlight w:val="none"/>
        </w:rPr>
        <w:t xml:space="preserve"> </w:t>
      </w:r>
      <w:r>
        <w:rPr>
          <w:rFonts w:ascii="Times New Roman" w:hAnsi="Times New Roman" w:eastAsia="Times New Roman" w:cs="Times New Roman"/>
          <w:color w:val="auto"/>
          <w:spacing w:val="-4"/>
          <w:position w:val="14"/>
          <w:sz w:val="21"/>
          <w:szCs w:val="21"/>
          <w:highlight w:val="none"/>
        </w:rPr>
        <w:t xml:space="preserve">4.4 </w:t>
      </w:r>
      <w:r>
        <w:rPr>
          <w:rFonts w:ascii="宋体" w:hAnsi="宋体" w:eastAsia="宋体" w:cs="宋体"/>
          <w:color w:val="auto"/>
          <w:spacing w:val="-4"/>
          <w:position w:val="14"/>
          <w:sz w:val="21"/>
          <w:szCs w:val="21"/>
          <w:highlight w:val="none"/>
        </w:rPr>
        <w:t>款〔商定或确定〕执行。</w:t>
      </w:r>
    </w:p>
    <w:p w14:paraId="7FD1ED93">
      <w:pPr>
        <w:spacing w:line="219"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4</w:t>
      </w:r>
      <w:r>
        <w:rPr>
          <w:rFonts w:ascii="宋体" w:hAnsi="宋体" w:eastAsia="宋体" w:cs="宋体"/>
          <w:color w:val="auto"/>
          <w:spacing w:val="-1"/>
          <w:sz w:val="21"/>
          <w:szCs w:val="21"/>
          <w:highlight w:val="none"/>
        </w:rPr>
        <w:t>）因承包人原因工期延误后的价格调整</w:t>
      </w:r>
    </w:p>
    <w:p w14:paraId="79A82DDF">
      <w:pPr>
        <w:spacing w:before="150" w:line="352" w:lineRule="auto"/>
        <w:ind w:left="20" w:right="179" w:firstLine="43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因承包人原因未按期竣工的，对合同约定的竣工日期</w:t>
      </w:r>
      <w:r>
        <w:rPr>
          <w:rFonts w:ascii="宋体" w:hAnsi="宋体" w:eastAsia="宋体" w:cs="宋体"/>
          <w:color w:val="auto"/>
          <w:spacing w:val="2"/>
          <w:sz w:val="21"/>
          <w:szCs w:val="21"/>
          <w:highlight w:val="none"/>
        </w:rPr>
        <w:t>后继续施工的工程，在使用价格</w:t>
      </w:r>
      <w:r>
        <w:rPr>
          <w:rFonts w:ascii="宋体" w:hAnsi="宋体" w:eastAsia="宋体" w:cs="宋体"/>
          <w:color w:val="auto"/>
          <w:sz w:val="21"/>
          <w:szCs w:val="21"/>
          <w:highlight w:val="none"/>
        </w:rPr>
        <w:t xml:space="preserve"> 调整公式时， 应采用计划竣工日期与实际竣工日期的两个价格指数中较低的一个作为现行</w:t>
      </w:r>
    </w:p>
    <w:p w14:paraId="590D6A08">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价格指数。</w:t>
      </w:r>
    </w:p>
    <w:p w14:paraId="2C7F1D5E">
      <w:pPr>
        <w:spacing w:before="149" w:line="219" w:lineRule="auto"/>
        <w:ind w:left="44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第</w:t>
      </w:r>
      <w:r>
        <w:rPr>
          <w:rFonts w:ascii="宋体" w:hAnsi="宋体" w:eastAsia="宋体" w:cs="宋体"/>
          <w:color w:val="auto"/>
          <w:spacing w:val="-47"/>
          <w:sz w:val="21"/>
          <w:szCs w:val="21"/>
          <w:highlight w:val="none"/>
        </w:rPr>
        <w:t xml:space="preserve"> </w:t>
      </w:r>
      <w:r>
        <w:rPr>
          <w:rFonts w:ascii="Times New Roman" w:hAnsi="Times New Roman" w:eastAsia="Times New Roman" w:cs="Times New Roman"/>
          <w:color w:val="auto"/>
          <w:spacing w:val="-2"/>
          <w:sz w:val="21"/>
          <w:szCs w:val="21"/>
          <w:highlight w:val="none"/>
        </w:rPr>
        <w:t xml:space="preserve">2 </w:t>
      </w:r>
      <w:r>
        <w:rPr>
          <w:rFonts w:ascii="宋体" w:hAnsi="宋体" w:eastAsia="宋体" w:cs="宋体"/>
          <w:color w:val="auto"/>
          <w:spacing w:val="-2"/>
          <w:sz w:val="21"/>
          <w:szCs w:val="21"/>
          <w:highlight w:val="none"/>
        </w:rPr>
        <w:t>种方式：采用造价信息进行价格调整。</w:t>
      </w:r>
    </w:p>
    <w:p w14:paraId="265FD4BA">
      <w:pPr>
        <w:spacing w:before="151" w:line="352" w:lineRule="auto"/>
        <w:ind w:left="17" w:firstLine="42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合同履行期间，因人工、材料、工程设备和机械台班价格波动影响合同价格时， 人工、</w:t>
      </w:r>
      <w:r>
        <w:rPr>
          <w:rFonts w:ascii="宋体" w:hAnsi="宋体" w:eastAsia="宋体" w:cs="宋体"/>
          <w:color w:val="auto"/>
          <w:spacing w:val="17"/>
          <w:sz w:val="21"/>
          <w:szCs w:val="21"/>
          <w:highlight w:val="none"/>
        </w:rPr>
        <w:t xml:space="preserve"> </w:t>
      </w:r>
      <w:r>
        <w:rPr>
          <w:rFonts w:ascii="宋体" w:hAnsi="宋体" w:eastAsia="宋体" w:cs="宋体"/>
          <w:color w:val="auto"/>
          <w:spacing w:val="3"/>
          <w:sz w:val="21"/>
          <w:szCs w:val="21"/>
          <w:highlight w:val="none"/>
        </w:rPr>
        <w:t>机械使用费按照国家或省、自治区、直辖市建设行政管理</w:t>
      </w:r>
      <w:r>
        <w:rPr>
          <w:rFonts w:ascii="宋体" w:hAnsi="宋体" w:eastAsia="宋体" w:cs="宋体"/>
          <w:color w:val="auto"/>
          <w:spacing w:val="2"/>
          <w:sz w:val="21"/>
          <w:szCs w:val="21"/>
          <w:highlight w:val="none"/>
        </w:rPr>
        <w:t>部门、行业建设管理部门或其授  权的工程造价管理机构发布的人工、机械使用费系数进行调整；需要进行价格调整的材料，</w:t>
      </w:r>
      <w:r>
        <w:rPr>
          <w:rFonts w:ascii="宋体" w:hAnsi="宋体" w:eastAsia="宋体" w:cs="宋体"/>
          <w:color w:val="auto"/>
          <w:spacing w:val="7"/>
          <w:sz w:val="21"/>
          <w:szCs w:val="21"/>
          <w:highlight w:val="none"/>
        </w:rPr>
        <w:t xml:space="preserve"> </w:t>
      </w:r>
      <w:r>
        <w:rPr>
          <w:rFonts w:ascii="宋体" w:hAnsi="宋体" w:eastAsia="宋体" w:cs="宋体"/>
          <w:color w:val="auto"/>
          <w:sz w:val="21"/>
          <w:szCs w:val="21"/>
          <w:highlight w:val="none"/>
        </w:rPr>
        <w:t>其单价和采购数量应由发包人审批，发包人确认需调整的材料单价及数量， 作为调整合同</w:t>
      </w:r>
    </w:p>
    <w:p w14:paraId="763A45C7">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价格的依据。</w:t>
      </w:r>
    </w:p>
    <w:p w14:paraId="5F9914FC">
      <w:pPr>
        <w:spacing w:before="151" w:line="352" w:lineRule="auto"/>
        <w:ind w:left="31" w:right="185" w:firstLine="415"/>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）人工单价发生变化且符合省级或行业建设主管部门发布的人工费调整规定</w:t>
      </w:r>
      <w:r>
        <w:rPr>
          <w:rFonts w:ascii="宋体" w:hAnsi="宋体" w:eastAsia="宋体" w:cs="宋体"/>
          <w:color w:val="auto"/>
          <w:spacing w:val="-1"/>
          <w:sz w:val="21"/>
          <w:szCs w:val="21"/>
          <w:highlight w:val="none"/>
        </w:rPr>
        <w:t>，合同</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当事人应按省级或行业建设主管部门或其授权</w:t>
      </w:r>
      <w:r>
        <w:rPr>
          <w:rFonts w:ascii="宋体" w:hAnsi="宋体" w:eastAsia="宋体" w:cs="宋体"/>
          <w:color w:val="auto"/>
          <w:spacing w:val="2"/>
          <w:sz w:val="21"/>
          <w:szCs w:val="21"/>
          <w:highlight w:val="none"/>
        </w:rPr>
        <w:t>的工程造价管理机构发布的人工费等文件调</w:t>
      </w:r>
    </w:p>
    <w:p w14:paraId="5A5A83D8">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整合同价格，但承包人对人工费或人工单价的报价高于发布价格的除外。</w:t>
      </w:r>
    </w:p>
    <w:p w14:paraId="0F338BD9">
      <w:pPr>
        <w:spacing w:before="149" w:line="399" w:lineRule="exact"/>
        <w:ind w:left="447"/>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w:t>
      </w:r>
      <w:r>
        <w:rPr>
          <w:rFonts w:ascii="Times New Roman" w:hAnsi="Times New Roman" w:eastAsia="Times New Roman" w:cs="Times New Roman"/>
          <w:color w:val="auto"/>
          <w:spacing w:val="-4"/>
          <w:position w:val="14"/>
          <w:sz w:val="21"/>
          <w:szCs w:val="21"/>
          <w:highlight w:val="none"/>
        </w:rPr>
        <w:t>2</w:t>
      </w:r>
      <w:r>
        <w:rPr>
          <w:rFonts w:ascii="宋体" w:hAnsi="宋体" w:eastAsia="宋体" w:cs="宋体"/>
          <w:color w:val="auto"/>
          <w:spacing w:val="-4"/>
          <w:position w:val="14"/>
          <w:sz w:val="21"/>
          <w:szCs w:val="21"/>
          <w:highlight w:val="none"/>
        </w:rPr>
        <w:t>）材料、工程设备价格变化的价款调整按照发包人提供的</w:t>
      </w:r>
      <w:r>
        <w:rPr>
          <w:rFonts w:ascii="宋体" w:hAnsi="宋体" w:eastAsia="宋体" w:cs="宋体"/>
          <w:color w:val="auto"/>
          <w:spacing w:val="-5"/>
          <w:position w:val="14"/>
          <w:sz w:val="21"/>
          <w:szCs w:val="21"/>
          <w:highlight w:val="none"/>
        </w:rPr>
        <w:t>基准价格，</w:t>
      </w:r>
      <w:r>
        <w:rPr>
          <w:rFonts w:ascii="宋体" w:hAnsi="宋体" w:eastAsia="宋体" w:cs="宋体"/>
          <w:color w:val="auto"/>
          <w:spacing w:val="53"/>
          <w:position w:val="14"/>
          <w:sz w:val="21"/>
          <w:szCs w:val="21"/>
          <w:highlight w:val="none"/>
        </w:rPr>
        <w:t xml:space="preserve"> </w:t>
      </w:r>
      <w:r>
        <w:rPr>
          <w:rFonts w:ascii="宋体" w:hAnsi="宋体" w:eastAsia="宋体" w:cs="宋体"/>
          <w:color w:val="auto"/>
          <w:spacing w:val="-5"/>
          <w:position w:val="14"/>
          <w:sz w:val="21"/>
          <w:szCs w:val="21"/>
          <w:highlight w:val="none"/>
        </w:rPr>
        <w:t>按以下风险范</w:t>
      </w:r>
    </w:p>
    <w:p w14:paraId="3B703330">
      <w:pPr>
        <w:spacing w:before="1" w:line="234" w:lineRule="auto"/>
        <w:ind w:left="37"/>
        <w:rPr>
          <w:rFonts w:ascii="Times New Roman" w:hAnsi="Times New Roman" w:eastAsia="Times New Roman" w:cs="Times New Roman"/>
          <w:color w:val="auto"/>
          <w:sz w:val="21"/>
          <w:szCs w:val="21"/>
          <w:highlight w:val="none"/>
        </w:rPr>
      </w:pPr>
      <w:r>
        <w:rPr>
          <w:rFonts w:ascii="宋体" w:hAnsi="宋体" w:eastAsia="宋体" w:cs="宋体"/>
          <w:color w:val="auto"/>
          <w:spacing w:val="-4"/>
          <w:sz w:val="21"/>
          <w:szCs w:val="21"/>
          <w:highlight w:val="none"/>
        </w:rPr>
        <w:t>围规定执行</w:t>
      </w:r>
      <w:r>
        <w:rPr>
          <w:rFonts w:ascii="Times New Roman" w:hAnsi="Times New Roman" w:eastAsia="Times New Roman" w:cs="Times New Roman"/>
          <w:color w:val="auto"/>
          <w:spacing w:val="-4"/>
          <w:sz w:val="21"/>
          <w:szCs w:val="21"/>
          <w:highlight w:val="none"/>
        </w:rPr>
        <w:t>:</w:t>
      </w:r>
    </w:p>
    <w:p w14:paraId="40FA1DEB">
      <w:pPr>
        <w:spacing w:before="135" w:line="352" w:lineRule="auto"/>
        <w:ind w:left="20" w:right="179" w:firstLine="626"/>
        <w:rPr>
          <w:rFonts w:ascii="宋体" w:hAnsi="宋体" w:eastAsia="宋体" w:cs="宋体"/>
          <w:color w:val="auto"/>
          <w:sz w:val="21"/>
          <w:szCs w:val="21"/>
          <w:highlight w:val="none"/>
        </w:rPr>
      </w:pPr>
      <w:r>
        <w:rPr>
          <w:rFonts w:ascii="宋体" w:hAnsi="宋体" w:eastAsia="宋体" w:cs="宋体"/>
          <w:color w:val="auto"/>
          <w:sz w:val="21"/>
          <w:szCs w:val="21"/>
          <w:highlight w:val="none"/>
        </w:rPr>
        <w:t>①承包人在已标价工程量清单或预算书中载明材料单价低于基准价格的： 除专用合</w:t>
      </w:r>
      <w:r>
        <w:rPr>
          <w:rFonts w:ascii="宋体" w:hAnsi="宋体" w:eastAsia="宋体" w:cs="宋体"/>
          <w:color w:val="auto"/>
          <w:spacing w:val="8"/>
          <w:sz w:val="21"/>
          <w:szCs w:val="21"/>
          <w:highlight w:val="none"/>
        </w:rPr>
        <w:t xml:space="preserve"> </w:t>
      </w:r>
      <w:r>
        <w:rPr>
          <w:rFonts w:ascii="宋体" w:hAnsi="宋体" w:eastAsia="宋体" w:cs="宋体"/>
          <w:color w:val="auto"/>
          <w:spacing w:val="-5"/>
          <w:sz w:val="21"/>
          <w:szCs w:val="21"/>
          <w:highlight w:val="none"/>
        </w:rPr>
        <w:t>同条款另有约定外， 合同履行期间材料单价涨幅以基准价格为基础超过</w:t>
      </w:r>
      <w:r>
        <w:rPr>
          <w:rFonts w:ascii="宋体" w:hAnsi="宋体" w:eastAsia="宋体" w:cs="宋体"/>
          <w:color w:val="auto"/>
          <w:spacing w:val="-38"/>
          <w:sz w:val="21"/>
          <w:szCs w:val="21"/>
          <w:highlight w:val="none"/>
        </w:rPr>
        <w:t xml:space="preserve"> </w:t>
      </w:r>
      <w:r>
        <w:rPr>
          <w:rFonts w:ascii="Times New Roman" w:hAnsi="Times New Roman" w:eastAsia="Times New Roman" w:cs="Times New Roman"/>
          <w:color w:val="auto"/>
          <w:spacing w:val="-5"/>
          <w:sz w:val="21"/>
          <w:szCs w:val="21"/>
          <w:highlight w:val="none"/>
        </w:rPr>
        <w:t>5%</w:t>
      </w:r>
      <w:r>
        <w:rPr>
          <w:rFonts w:ascii="宋体" w:hAnsi="宋体" w:eastAsia="宋体" w:cs="宋体"/>
          <w:color w:val="auto"/>
          <w:spacing w:val="-5"/>
          <w:sz w:val="21"/>
          <w:szCs w:val="21"/>
          <w:highlight w:val="none"/>
        </w:rPr>
        <w:t>时</w:t>
      </w:r>
      <w:r>
        <w:rPr>
          <w:rFonts w:ascii="宋体" w:hAnsi="宋体" w:eastAsia="宋体" w:cs="宋体"/>
          <w:color w:val="auto"/>
          <w:spacing w:val="-6"/>
          <w:sz w:val="21"/>
          <w:szCs w:val="21"/>
          <w:highlight w:val="none"/>
        </w:rPr>
        <w:t>，</w:t>
      </w:r>
      <w:r>
        <w:rPr>
          <w:rFonts w:ascii="宋体" w:hAnsi="宋体" w:eastAsia="宋体" w:cs="宋体"/>
          <w:color w:val="auto"/>
          <w:spacing w:val="-21"/>
          <w:sz w:val="21"/>
          <w:szCs w:val="21"/>
          <w:highlight w:val="none"/>
        </w:rPr>
        <w:t xml:space="preserve"> </w:t>
      </w:r>
      <w:r>
        <w:rPr>
          <w:rFonts w:ascii="宋体" w:hAnsi="宋体" w:eastAsia="宋体" w:cs="宋体"/>
          <w:color w:val="auto"/>
          <w:spacing w:val="-6"/>
          <w:sz w:val="21"/>
          <w:szCs w:val="21"/>
          <w:highlight w:val="none"/>
        </w:rPr>
        <w:t>或材料单价</w:t>
      </w:r>
      <w:r>
        <w:rPr>
          <w:rFonts w:ascii="宋体" w:hAnsi="宋体" w:eastAsia="宋体" w:cs="宋体"/>
          <w:color w:val="auto"/>
          <w:sz w:val="21"/>
          <w:szCs w:val="21"/>
          <w:highlight w:val="none"/>
        </w:rPr>
        <w:t xml:space="preserve"> 跌幅以在已标价工程量清单或预算书中载明材料单价为</w:t>
      </w:r>
      <w:r>
        <w:rPr>
          <w:rFonts w:ascii="宋体" w:hAnsi="宋体" w:eastAsia="宋体" w:cs="宋体"/>
          <w:color w:val="auto"/>
          <w:spacing w:val="-1"/>
          <w:sz w:val="21"/>
          <w:szCs w:val="21"/>
          <w:highlight w:val="none"/>
        </w:rPr>
        <w:t>基础超过</w:t>
      </w:r>
      <w:r>
        <w:rPr>
          <w:rFonts w:ascii="宋体" w:hAnsi="宋体" w:eastAsia="宋体" w:cs="宋体"/>
          <w:color w:val="auto"/>
          <w:spacing w:val="-44"/>
          <w:sz w:val="21"/>
          <w:szCs w:val="21"/>
          <w:highlight w:val="none"/>
        </w:rPr>
        <w:t xml:space="preserve"> </w:t>
      </w:r>
      <w:r>
        <w:rPr>
          <w:rFonts w:ascii="Times New Roman" w:hAnsi="Times New Roman" w:eastAsia="Times New Roman" w:cs="Times New Roman"/>
          <w:color w:val="auto"/>
          <w:spacing w:val="-1"/>
          <w:sz w:val="21"/>
          <w:szCs w:val="21"/>
          <w:highlight w:val="none"/>
        </w:rPr>
        <w:t>5%</w:t>
      </w:r>
      <w:r>
        <w:rPr>
          <w:rFonts w:ascii="宋体" w:hAnsi="宋体" w:eastAsia="宋体" w:cs="宋体"/>
          <w:color w:val="auto"/>
          <w:spacing w:val="-1"/>
          <w:sz w:val="21"/>
          <w:szCs w:val="21"/>
          <w:highlight w:val="none"/>
        </w:rPr>
        <w:t>时，其超过部分据实调</w:t>
      </w:r>
    </w:p>
    <w:p w14:paraId="0D2F0338">
      <w:pPr>
        <w:spacing w:before="1" w:line="227" w:lineRule="auto"/>
        <w:ind w:left="19"/>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整。</w:t>
      </w:r>
    </w:p>
    <w:p w14:paraId="3A34D052">
      <w:pPr>
        <w:spacing w:before="140" w:line="352" w:lineRule="auto"/>
        <w:ind w:left="39" w:right="179" w:firstLine="606"/>
        <w:rPr>
          <w:rFonts w:ascii="宋体" w:hAnsi="宋体" w:eastAsia="宋体" w:cs="宋体"/>
          <w:color w:val="auto"/>
          <w:sz w:val="21"/>
          <w:szCs w:val="21"/>
          <w:highlight w:val="none"/>
        </w:rPr>
      </w:pPr>
      <w:r>
        <w:rPr>
          <w:rFonts w:ascii="宋体" w:hAnsi="宋体" w:eastAsia="宋体" w:cs="宋体"/>
          <w:color w:val="auto"/>
          <w:sz w:val="21"/>
          <w:szCs w:val="21"/>
          <w:highlight w:val="none"/>
        </w:rPr>
        <w:t>②承包人在已标价工程量清单或预算书中载明材料单价高于基准价格的： 除专用合</w:t>
      </w:r>
      <w:r>
        <w:rPr>
          <w:rFonts w:ascii="宋体" w:hAnsi="宋体" w:eastAsia="宋体" w:cs="宋体"/>
          <w:color w:val="auto"/>
          <w:spacing w:val="9"/>
          <w:sz w:val="21"/>
          <w:szCs w:val="21"/>
          <w:highlight w:val="none"/>
        </w:rPr>
        <w:t xml:space="preserve"> </w:t>
      </w:r>
      <w:r>
        <w:rPr>
          <w:rFonts w:ascii="宋体" w:hAnsi="宋体" w:eastAsia="宋体" w:cs="宋体"/>
          <w:color w:val="auto"/>
          <w:spacing w:val="-5"/>
          <w:sz w:val="21"/>
          <w:szCs w:val="21"/>
          <w:highlight w:val="none"/>
        </w:rPr>
        <w:t>同条款另有约定外， 合同履行期间材料单</w:t>
      </w:r>
      <w:r>
        <w:rPr>
          <w:rFonts w:ascii="宋体" w:hAnsi="宋体" w:eastAsia="宋体" w:cs="宋体"/>
          <w:color w:val="auto"/>
          <w:spacing w:val="-6"/>
          <w:sz w:val="21"/>
          <w:szCs w:val="21"/>
          <w:highlight w:val="none"/>
        </w:rPr>
        <w:t>价跌幅以基准价格为基础超过</w:t>
      </w:r>
      <w:r>
        <w:rPr>
          <w:rFonts w:ascii="宋体" w:hAnsi="宋体" w:eastAsia="宋体" w:cs="宋体"/>
          <w:color w:val="auto"/>
          <w:spacing w:val="-39"/>
          <w:sz w:val="21"/>
          <w:szCs w:val="21"/>
          <w:highlight w:val="none"/>
        </w:rPr>
        <w:t xml:space="preserve"> </w:t>
      </w:r>
      <w:r>
        <w:rPr>
          <w:rFonts w:ascii="Times New Roman" w:hAnsi="Times New Roman" w:eastAsia="Times New Roman" w:cs="Times New Roman"/>
          <w:color w:val="auto"/>
          <w:spacing w:val="-6"/>
          <w:sz w:val="21"/>
          <w:szCs w:val="21"/>
          <w:highlight w:val="none"/>
        </w:rPr>
        <w:t>5%</w:t>
      </w:r>
      <w:r>
        <w:rPr>
          <w:rFonts w:ascii="宋体" w:hAnsi="宋体" w:eastAsia="宋体" w:cs="宋体"/>
          <w:color w:val="auto"/>
          <w:spacing w:val="-6"/>
          <w:sz w:val="21"/>
          <w:szCs w:val="21"/>
          <w:highlight w:val="none"/>
        </w:rPr>
        <w:t>时，</w:t>
      </w:r>
      <w:r>
        <w:rPr>
          <w:rFonts w:ascii="宋体" w:hAnsi="宋体" w:eastAsia="宋体" w:cs="宋体"/>
          <w:color w:val="auto"/>
          <w:spacing w:val="-23"/>
          <w:sz w:val="21"/>
          <w:szCs w:val="21"/>
          <w:highlight w:val="none"/>
        </w:rPr>
        <w:t xml:space="preserve"> </w:t>
      </w:r>
      <w:r>
        <w:rPr>
          <w:rFonts w:ascii="宋体" w:hAnsi="宋体" w:eastAsia="宋体" w:cs="宋体"/>
          <w:color w:val="auto"/>
          <w:spacing w:val="-6"/>
          <w:sz w:val="21"/>
          <w:szCs w:val="21"/>
          <w:highlight w:val="none"/>
        </w:rPr>
        <w:t>材料单价涨</w:t>
      </w:r>
    </w:p>
    <w:p w14:paraId="0E8C95F2">
      <w:pPr>
        <w:spacing w:line="219" w:lineRule="auto"/>
        <w:jc w:val="right"/>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幅以在已标价工程量清单或预算书中载明材料单价为基</w:t>
      </w:r>
      <w:r>
        <w:rPr>
          <w:rFonts w:ascii="宋体" w:hAnsi="宋体" w:eastAsia="宋体" w:cs="宋体"/>
          <w:color w:val="auto"/>
          <w:spacing w:val="-4"/>
          <w:sz w:val="21"/>
          <w:szCs w:val="21"/>
          <w:highlight w:val="none"/>
        </w:rPr>
        <w:t>础超过</w:t>
      </w:r>
      <w:r>
        <w:rPr>
          <w:rFonts w:ascii="宋体" w:hAnsi="宋体" w:eastAsia="宋体" w:cs="宋体"/>
          <w:color w:val="auto"/>
          <w:spacing w:val="-40"/>
          <w:sz w:val="21"/>
          <w:szCs w:val="21"/>
          <w:highlight w:val="none"/>
        </w:rPr>
        <w:t xml:space="preserve"> </w:t>
      </w:r>
      <w:r>
        <w:rPr>
          <w:rFonts w:ascii="Times New Roman" w:hAnsi="Times New Roman" w:eastAsia="Times New Roman" w:cs="Times New Roman"/>
          <w:color w:val="auto"/>
          <w:spacing w:val="-4"/>
          <w:sz w:val="21"/>
          <w:szCs w:val="21"/>
          <w:highlight w:val="none"/>
        </w:rPr>
        <w:t>5%</w:t>
      </w:r>
      <w:r>
        <w:rPr>
          <w:rFonts w:ascii="宋体" w:hAnsi="宋体" w:eastAsia="宋体" w:cs="宋体"/>
          <w:color w:val="auto"/>
          <w:spacing w:val="-4"/>
          <w:sz w:val="21"/>
          <w:szCs w:val="21"/>
          <w:highlight w:val="none"/>
        </w:rPr>
        <w:t>时，</w:t>
      </w:r>
      <w:r>
        <w:rPr>
          <w:rFonts w:ascii="宋体" w:hAnsi="宋体" w:eastAsia="宋体" w:cs="宋体"/>
          <w:color w:val="auto"/>
          <w:spacing w:val="-22"/>
          <w:sz w:val="21"/>
          <w:szCs w:val="21"/>
          <w:highlight w:val="none"/>
        </w:rPr>
        <w:t xml:space="preserve"> </w:t>
      </w:r>
      <w:r>
        <w:rPr>
          <w:rFonts w:ascii="宋体" w:hAnsi="宋体" w:eastAsia="宋体" w:cs="宋体"/>
          <w:color w:val="auto"/>
          <w:spacing w:val="-4"/>
          <w:sz w:val="21"/>
          <w:szCs w:val="21"/>
          <w:highlight w:val="none"/>
        </w:rPr>
        <w:t>其超过部分据实调整。</w:t>
      </w:r>
    </w:p>
    <w:p w14:paraId="3D87BFBC">
      <w:pPr>
        <w:spacing w:before="149" w:line="353" w:lineRule="auto"/>
        <w:ind w:left="39" w:right="175" w:firstLine="606"/>
        <w:rPr>
          <w:rFonts w:ascii="宋体" w:hAnsi="宋体" w:eastAsia="宋体" w:cs="宋体"/>
          <w:color w:val="auto"/>
          <w:sz w:val="21"/>
          <w:szCs w:val="21"/>
          <w:highlight w:val="none"/>
        </w:rPr>
      </w:pPr>
      <w:r>
        <w:rPr>
          <w:rFonts w:ascii="宋体" w:hAnsi="宋体" w:eastAsia="宋体" w:cs="宋体"/>
          <w:color w:val="auto"/>
          <w:sz w:val="21"/>
          <w:szCs w:val="21"/>
          <w:highlight w:val="none"/>
        </w:rPr>
        <w:t>③承包人在已标价工程量清单或预算书中载明材料单价等于基准价格的： 除专用合</w:t>
      </w:r>
      <w:r>
        <w:rPr>
          <w:rFonts w:ascii="宋体" w:hAnsi="宋体" w:eastAsia="宋体" w:cs="宋体"/>
          <w:color w:val="auto"/>
          <w:spacing w:val="9"/>
          <w:sz w:val="21"/>
          <w:szCs w:val="21"/>
          <w:highlight w:val="none"/>
        </w:rPr>
        <w:t xml:space="preserve"> </w:t>
      </w:r>
      <w:r>
        <w:rPr>
          <w:rFonts w:ascii="宋体" w:hAnsi="宋体" w:eastAsia="宋体" w:cs="宋体"/>
          <w:color w:val="auto"/>
          <w:spacing w:val="3"/>
          <w:sz w:val="21"/>
          <w:szCs w:val="21"/>
          <w:highlight w:val="none"/>
        </w:rPr>
        <w:t>同条款另有约定外，合同履行期间材料单价涨跌幅以基准价格为基础超过</w:t>
      </w:r>
      <w:r>
        <w:rPr>
          <w:rFonts w:ascii="Times New Roman" w:hAnsi="Times New Roman" w:eastAsia="Times New Roman" w:cs="Times New Roman"/>
          <w:color w:val="auto"/>
          <w:spacing w:val="3"/>
          <w:sz w:val="21"/>
          <w:szCs w:val="21"/>
          <w:highlight w:val="none"/>
        </w:rPr>
        <w:t>±5%</w:t>
      </w:r>
      <w:r>
        <w:rPr>
          <w:rFonts w:ascii="宋体" w:hAnsi="宋体" w:eastAsia="宋体" w:cs="宋体"/>
          <w:color w:val="auto"/>
          <w:spacing w:val="3"/>
          <w:sz w:val="21"/>
          <w:szCs w:val="21"/>
          <w:highlight w:val="none"/>
        </w:rPr>
        <w:t>时，其超过</w:t>
      </w:r>
    </w:p>
    <w:p w14:paraId="01449EC4">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部分据实调整。</w:t>
      </w:r>
    </w:p>
    <w:p w14:paraId="38654B68">
      <w:pPr>
        <w:spacing w:before="147" w:line="352" w:lineRule="auto"/>
        <w:ind w:left="20" w:right="184" w:firstLine="625"/>
        <w:rPr>
          <w:rFonts w:ascii="宋体" w:hAnsi="宋体" w:eastAsia="宋体" w:cs="宋体"/>
          <w:color w:val="auto"/>
          <w:sz w:val="21"/>
          <w:szCs w:val="21"/>
          <w:highlight w:val="none"/>
        </w:rPr>
      </w:pPr>
      <w:r>
        <w:rPr>
          <w:rFonts w:ascii="宋体" w:hAnsi="宋体" w:eastAsia="宋体" w:cs="宋体"/>
          <w:color w:val="auto"/>
          <w:sz w:val="21"/>
          <w:szCs w:val="21"/>
          <w:highlight w:val="none"/>
        </w:rPr>
        <w:t>④承包人应在采购材料前将采购数量和新的材料单价报发包人核对， 发包人确认用</w:t>
      </w:r>
      <w:r>
        <w:rPr>
          <w:rFonts w:ascii="宋体" w:hAnsi="宋体" w:eastAsia="宋体" w:cs="宋体"/>
          <w:color w:val="auto"/>
          <w:spacing w:val="9"/>
          <w:sz w:val="21"/>
          <w:szCs w:val="21"/>
          <w:highlight w:val="none"/>
        </w:rPr>
        <w:t xml:space="preserve"> </w:t>
      </w:r>
      <w:r>
        <w:rPr>
          <w:rFonts w:ascii="宋体" w:hAnsi="宋体" w:eastAsia="宋体" w:cs="宋体"/>
          <w:color w:val="auto"/>
          <w:spacing w:val="3"/>
          <w:sz w:val="21"/>
          <w:szCs w:val="21"/>
          <w:highlight w:val="none"/>
        </w:rPr>
        <w:t>于工程时，发包人应确认采购材料的数量和单价。发包人在收到承包人报</w:t>
      </w:r>
      <w:r>
        <w:rPr>
          <w:rFonts w:ascii="宋体" w:hAnsi="宋体" w:eastAsia="宋体" w:cs="宋体"/>
          <w:color w:val="auto"/>
          <w:spacing w:val="2"/>
          <w:sz w:val="21"/>
          <w:szCs w:val="21"/>
          <w:highlight w:val="none"/>
        </w:rPr>
        <w:t>送的确认资料后</w:t>
      </w:r>
      <w:r>
        <w:rPr>
          <w:rFonts w:ascii="宋体" w:hAnsi="宋体" w:eastAsia="宋体" w:cs="宋体"/>
          <w:color w:val="auto"/>
          <w:sz w:val="21"/>
          <w:szCs w:val="21"/>
          <w:highlight w:val="none"/>
        </w:rPr>
        <w:t xml:space="preserve"> </w:t>
      </w:r>
      <w:r>
        <w:rPr>
          <w:rFonts w:ascii="Times New Roman" w:hAnsi="Times New Roman" w:eastAsia="Times New Roman" w:cs="Times New Roman"/>
          <w:color w:val="auto"/>
          <w:sz w:val="21"/>
          <w:szCs w:val="21"/>
          <w:highlight w:val="none"/>
        </w:rPr>
        <w:t>5</w:t>
      </w:r>
      <w:r>
        <w:rPr>
          <w:rFonts w:ascii="Times New Roman" w:hAnsi="Times New Roman" w:eastAsia="Times New Roman" w:cs="Times New Roman"/>
          <w:color w:val="auto"/>
          <w:spacing w:val="57"/>
          <w:sz w:val="21"/>
          <w:szCs w:val="21"/>
          <w:highlight w:val="none"/>
        </w:rPr>
        <w:t xml:space="preserve"> </w:t>
      </w:r>
      <w:r>
        <w:rPr>
          <w:rFonts w:ascii="宋体" w:hAnsi="宋体" w:eastAsia="宋体" w:cs="宋体"/>
          <w:color w:val="auto"/>
          <w:sz w:val="21"/>
          <w:szCs w:val="21"/>
          <w:highlight w:val="none"/>
        </w:rPr>
        <w:t>天内不予答复的视为认可， 作为调整合同价格的依据。未经发包人事先核对，承包人自</w:t>
      </w:r>
    </w:p>
    <w:p w14:paraId="61068D27">
      <w:pPr>
        <w:spacing w:line="219" w:lineRule="auto"/>
        <w:ind w:left="21"/>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行采购材料的，发包人有权不予调整合同价格。发包人同意的，</w:t>
      </w:r>
      <w:r>
        <w:rPr>
          <w:rFonts w:ascii="宋体" w:hAnsi="宋体" w:eastAsia="宋体" w:cs="宋体"/>
          <w:color w:val="auto"/>
          <w:spacing w:val="71"/>
          <w:sz w:val="21"/>
          <w:szCs w:val="21"/>
          <w:highlight w:val="none"/>
        </w:rPr>
        <w:t xml:space="preserve"> </w:t>
      </w:r>
      <w:r>
        <w:rPr>
          <w:rFonts w:ascii="宋体" w:hAnsi="宋体" w:eastAsia="宋体" w:cs="宋体"/>
          <w:color w:val="auto"/>
          <w:spacing w:val="-5"/>
          <w:sz w:val="21"/>
          <w:szCs w:val="21"/>
          <w:highlight w:val="none"/>
        </w:rPr>
        <w:t>可以调整合同价格。</w:t>
      </w:r>
    </w:p>
    <w:p w14:paraId="00A1D24B">
      <w:pPr>
        <w:spacing w:before="150" w:line="352" w:lineRule="auto"/>
        <w:ind w:left="18" w:right="179" w:firstLine="426"/>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前述基准价格是指由发包人在招标文件或专用合同条款中给定的材料、工程设备的价</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格，该价格原则上应当按照省级或行业建设主管部门或其授权的工程造价管</w:t>
      </w:r>
      <w:r>
        <w:rPr>
          <w:rFonts w:ascii="宋体" w:hAnsi="宋体" w:eastAsia="宋体" w:cs="宋体"/>
          <w:color w:val="auto"/>
          <w:spacing w:val="2"/>
          <w:sz w:val="21"/>
          <w:szCs w:val="21"/>
          <w:highlight w:val="none"/>
        </w:rPr>
        <w:t>理机构发布的</w:t>
      </w:r>
    </w:p>
    <w:p w14:paraId="47FCC998">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信息价编制。</w:t>
      </w:r>
    </w:p>
    <w:p w14:paraId="1921F907">
      <w:pPr>
        <w:spacing w:line="219" w:lineRule="auto"/>
        <w:rPr>
          <w:rFonts w:ascii="宋体" w:hAnsi="宋体" w:eastAsia="宋体" w:cs="宋体"/>
          <w:color w:val="auto"/>
          <w:sz w:val="21"/>
          <w:szCs w:val="21"/>
          <w:highlight w:val="none"/>
        </w:rPr>
        <w:sectPr>
          <w:footerReference r:id="rId132" w:type="default"/>
          <w:pgSz w:w="11905" w:h="16839"/>
          <w:pgMar w:top="1431" w:right="1612" w:bottom="1004" w:left="1785" w:header="0" w:footer="828" w:gutter="0"/>
          <w:pgNumType w:fmt="decimal"/>
          <w:cols w:space="720" w:num="1"/>
        </w:sectPr>
      </w:pPr>
    </w:p>
    <w:p w14:paraId="750DA789">
      <w:pPr>
        <w:spacing w:before="149" w:line="398"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）施工机械台班单价或施工机械使用费发生变化超过省级或行业建设主管部</w:t>
      </w:r>
      <w:r>
        <w:rPr>
          <w:rFonts w:ascii="宋体" w:hAnsi="宋体" w:eastAsia="宋体" w:cs="宋体"/>
          <w:color w:val="auto"/>
          <w:spacing w:val="-1"/>
          <w:position w:val="14"/>
          <w:sz w:val="21"/>
          <w:szCs w:val="21"/>
          <w:highlight w:val="none"/>
        </w:rPr>
        <w:t>门或其</w:t>
      </w:r>
    </w:p>
    <w:p w14:paraId="1428E7A2">
      <w:pPr>
        <w:spacing w:line="219"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授权的工程造价管理机构规定的范围时，按规定调整合同价</w:t>
      </w:r>
      <w:r>
        <w:rPr>
          <w:rFonts w:ascii="宋体" w:hAnsi="宋体" w:eastAsia="宋体" w:cs="宋体"/>
          <w:color w:val="auto"/>
          <w:spacing w:val="-2"/>
          <w:sz w:val="21"/>
          <w:szCs w:val="21"/>
          <w:highlight w:val="none"/>
        </w:rPr>
        <w:t>格。</w:t>
      </w:r>
    </w:p>
    <w:p w14:paraId="3DC801B0">
      <w:pPr>
        <w:spacing w:before="153" w:line="221" w:lineRule="auto"/>
        <w:ind w:left="44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第</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3"/>
          <w:sz w:val="21"/>
          <w:szCs w:val="21"/>
          <w:highlight w:val="none"/>
        </w:rPr>
        <w:t xml:space="preserve">3 </w:t>
      </w:r>
      <w:r>
        <w:rPr>
          <w:rFonts w:ascii="宋体" w:hAnsi="宋体" w:eastAsia="宋体" w:cs="宋体"/>
          <w:color w:val="auto"/>
          <w:spacing w:val="-3"/>
          <w:sz w:val="21"/>
          <w:szCs w:val="21"/>
          <w:highlight w:val="none"/>
        </w:rPr>
        <w:t>种方式：专用合同条款约定的其他方式。</w:t>
      </w:r>
    </w:p>
    <w:p w14:paraId="7833451C">
      <w:pPr>
        <w:spacing w:before="46" w:line="219"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11.2</w:t>
      </w:r>
      <w:r>
        <w:rPr>
          <w:rFonts w:ascii="黑体" w:hAnsi="黑体" w:eastAsia="黑体" w:cs="黑体"/>
          <w:color w:val="auto"/>
          <w:spacing w:val="-45"/>
          <w:sz w:val="24"/>
          <w:szCs w:val="24"/>
          <w:highlight w:val="none"/>
        </w:rPr>
        <w:t xml:space="preserve"> </w:t>
      </w:r>
      <w:r>
        <w:rPr>
          <w:rFonts w:ascii="黑体" w:hAnsi="黑体" w:eastAsia="黑体" w:cs="黑体"/>
          <w:color w:val="auto"/>
          <w:spacing w:val="-3"/>
          <w:sz w:val="24"/>
          <w:szCs w:val="24"/>
          <w:highlight w:val="none"/>
        </w:rPr>
        <w:t>法律变化引起的调整</w:t>
      </w:r>
    </w:p>
    <w:p w14:paraId="4FA96CCD">
      <w:pPr>
        <w:spacing w:before="129" w:line="352" w:lineRule="auto"/>
        <w:ind w:left="42" w:right="22" w:firstLine="39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 xml:space="preserve">基准日期后，法律变化导致承包人在合同履行过程中所需要的费用发生除第 </w:t>
      </w:r>
      <w:r>
        <w:rPr>
          <w:rFonts w:ascii="Times New Roman" w:hAnsi="Times New Roman" w:eastAsia="Times New Roman" w:cs="Times New Roman"/>
          <w:color w:val="auto"/>
          <w:spacing w:val="4"/>
          <w:sz w:val="21"/>
          <w:szCs w:val="21"/>
          <w:highlight w:val="none"/>
        </w:rPr>
        <w:t xml:space="preserve">11.1  </w:t>
      </w:r>
      <w:r>
        <w:rPr>
          <w:rFonts w:ascii="宋体" w:hAnsi="宋体" w:eastAsia="宋体" w:cs="宋体"/>
          <w:color w:val="auto"/>
          <w:spacing w:val="4"/>
          <w:sz w:val="21"/>
          <w:szCs w:val="21"/>
          <w:highlight w:val="none"/>
        </w:rPr>
        <w:t>款</w:t>
      </w:r>
      <w:r>
        <w:rPr>
          <w:rFonts w:ascii="宋体" w:hAnsi="宋体" w:eastAsia="宋体" w:cs="宋体"/>
          <w:color w:val="auto"/>
          <w:spacing w:val="1"/>
          <w:sz w:val="21"/>
          <w:szCs w:val="21"/>
          <w:highlight w:val="none"/>
        </w:rPr>
        <w:t xml:space="preserve">  </w:t>
      </w:r>
      <w:r>
        <w:rPr>
          <w:rFonts w:ascii="宋体" w:hAnsi="宋体" w:eastAsia="宋体" w:cs="宋体"/>
          <w:color w:val="auto"/>
          <w:spacing w:val="-2"/>
          <w:sz w:val="21"/>
          <w:szCs w:val="21"/>
          <w:highlight w:val="none"/>
        </w:rPr>
        <w:t>〔市场价格波动引起的调整〕约定以外的增加时，由发包人承担由此增加的费用； 减少时，</w:t>
      </w:r>
    </w:p>
    <w:p w14:paraId="522DDBD3">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应从合同价格中予以扣减。 基准日期后， 因法律变化造成工期延误时，工期应予以顺延。</w:t>
      </w:r>
    </w:p>
    <w:p w14:paraId="6ABF30EE">
      <w:pPr>
        <w:spacing w:before="150" w:line="398" w:lineRule="exact"/>
        <w:ind w:left="45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因法律变化引起的合同价格和工期调整， 合同当事人无法达成一致</w:t>
      </w:r>
      <w:r>
        <w:rPr>
          <w:rFonts w:ascii="宋体" w:hAnsi="宋体" w:eastAsia="宋体" w:cs="宋体"/>
          <w:color w:val="auto"/>
          <w:spacing w:val="-1"/>
          <w:position w:val="14"/>
          <w:sz w:val="21"/>
          <w:szCs w:val="21"/>
          <w:highlight w:val="none"/>
        </w:rPr>
        <w:t>的，由总监理工程</w:t>
      </w:r>
    </w:p>
    <w:p w14:paraId="65E414D4">
      <w:pPr>
        <w:spacing w:before="1" w:line="220" w:lineRule="auto"/>
        <w:ind w:left="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师按第</w:t>
      </w:r>
      <w:r>
        <w:rPr>
          <w:rFonts w:ascii="宋体" w:hAnsi="宋体" w:eastAsia="宋体" w:cs="宋体"/>
          <w:color w:val="auto"/>
          <w:spacing w:val="-44"/>
          <w:sz w:val="21"/>
          <w:szCs w:val="21"/>
          <w:highlight w:val="none"/>
        </w:rPr>
        <w:t xml:space="preserve"> </w:t>
      </w:r>
      <w:r>
        <w:rPr>
          <w:rFonts w:ascii="Times New Roman" w:hAnsi="Times New Roman" w:eastAsia="Times New Roman" w:cs="Times New Roman"/>
          <w:color w:val="auto"/>
          <w:spacing w:val="-2"/>
          <w:sz w:val="21"/>
          <w:szCs w:val="21"/>
          <w:highlight w:val="none"/>
        </w:rPr>
        <w:t xml:space="preserve">4.4 </w:t>
      </w:r>
      <w:r>
        <w:rPr>
          <w:rFonts w:ascii="宋体" w:hAnsi="宋体" w:eastAsia="宋体" w:cs="宋体"/>
          <w:color w:val="auto"/>
          <w:spacing w:val="-2"/>
          <w:sz w:val="21"/>
          <w:szCs w:val="21"/>
          <w:highlight w:val="none"/>
        </w:rPr>
        <w:t>款〔商定或确定〕的约定处理。</w:t>
      </w:r>
    </w:p>
    <w:p w14:paraId="6562D448">
      <w:pPr>
        <w:spacing w:before="152" w:line="398" w:lineRule="exact"/>
        <w:ind w:left="457"/>
        <w:rPr>
          <w:rFonts w:ascii="宋体" w:hAnsi="宋体" w:eastAsia="宋体" w:cs="宋体"/>
          <w:color w:val="auto"/>
          <w:sz w:val="21"/>
          <w:szCs w:val="21"/>
          <w:highlight w:val="none"/>
        </w:rPr>
      </w:pPr>
      <w:r>
        <w:rPr>
          <w:rFonts w:ascii="宋体" w:hAnsi="宋体" w:eastAsia="宋体" w:cs="宋体"/>
          <w:color w:val="auto"/>
          <w:spacing w:val="7"/>
          <w:position w:val="14"/>
          <w:sz w:val="21"/>
          <w:szCs w:val="21"/>
          <w:highlight w:val="none"/>
        </w:rPr>
        <w:t>因承包人原因造成工期延误，在工期延误期间出现法律变化的，</w:t>
      </w:r>
      <w:r>
        <w:rPr>
          <w:rFonts w:ascii="宋体" w:hAnsi="宋体" w:eastAsia="宋体" w:cs="宋体"/>
          <w:color w:val="auto"/>
          <w:spacing w:val="-57"/>
          <w:position w:val="14"/>
          <w:sz w:val="21"/>
          <w:szCs w:val="21"/>
          <w:highlight w:val="none"/>
        </w:rPr>
        <w:t xml:space="preserve"> </w:t>
      </w:r>
      <w:r>
        <w:rPr>
          <w:rFonts w:ascii="宋体" w:hAnsi="宋体" w:eastAsia="宋体" w:cs="宋体"/>
          <w:color w:val="auto"/>
          <w:spacing w:val="7"/>
          <w:position w:val="14"/>
          <w:sz w:val="21"/>
          <w:szCs w:val="21"/>
          <w:highlight w:val="none"/>
        </w:rPr>
        <w:t>由此增加的费用和</w:t>
      </w:r>
    </w:p>
    <w:p w14:paraId="7F6F6C97">
      <w:pPr>
        <w:spacing w:before="1" w:line="220" w:lineRule="auto"/>
        <w:ind w:left="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（或）延误的工期由承包人承担。</w:t>
      </w:r>
    </w:p>
    <w:p w14:paraId="61FECD78">
      <w:pPr>
        <w:spacing w:before="173" w:line="526" w:lineRule="exact"/>
        <w:ind w:left="39"/>
        <w:rPr>
          <w:rFonts w:ascii="黑体" w:hAnsi="黑体" w:eastAsia="黑体" w:cs="黑体"/>
          <w:color w:val="auto"/>
          <w:sz w:val="32"/>
          <w:szCs w:val="32"/>
          <w:highlight w:val="none"/>
        </w:rPr>
      </w:pPr>
      <w:r>
        <w:rPr>
          <w:rFonts w:ascii="黑体" w:hAnsi="黑体" w:eastAsia="黑体" w:cs="黑体"/>
          <w:color w:val="auto"/>
          <w:spacing w:val="-2"/>
          <w:position w:val="15"/>
          <w:sz w:val="32"/>
          <w:szCs w:val="32"/>
          <w:highlight w:val="none"/>
        </w:rPr>
        <w:t>12.合同价格、计量与支付</w:t>
      </w:r>
    </w:p>
    <w:p w14:paraId="01786490">
      <w:pPr>
        <w:spacing w:before="2" w:line="218"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12.1 合同价格形式</w:t>
      </w:r>
    </w:p>
    <w:p w14:paraId="02EA42E9">
      <w:pPr>
        <w:spacing w:before="129" w:line="403" w:lineRule="exact"/>
        <w:ind w:left="444"/>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发包人和承包人应在合同协议书中选择下列一种合同价格形式：</w:t>
      </w:r>
    </w:p>
    <w:p w14:paraId="28398660">
      <w:pPr>
        <w:spacing w:line="219"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单价合同</w:t>
      </w:r>
    </w:p>
    <w:p w14:paraId="522553CA">
      <w:pPr>
        <w:spacing w:before="151" w:line="351" w:lineRule="auto"/>
        <w:ind w:left="18" w:right="3" w:firstLine="42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单价合同是指合同当事人约定以工程量清单及其</w:t>
      </w:r>
      <w:r>
        <w:rPr>
          <w:rFonts w:ascii="宋体" w:hAnsi="宋体" w:eastAsia="宋体" w:cs="宋体"/>
          <w:color w:val="auto"/>
          <w:spacing w:val="2"/>
          <w:sz w:val="21"/>
          <w:szCs w:val="21"/>
          <w:highlight w:val="none"/>
        </w:rPr>
        <w:t xml:space="preserve">综合单价进行合同价格计算、调整和  </w:t>
      </w:r>
      <w:r>
        <w:rPr>
          <w:rFonts w:ascii="宋体" w:hAnsi="宋体" w:eastAsia="宋体" w:cs="宋体"/>
          <w:color w:val="auto"/>
          <w:spacing w:val="3"/>
          <w:sz w:val="21"/>
          <w:szCs w:val="21"/>
          <w:highlight w:val="none"/>
        </w:rPr>
        <w:t>确认的建设工程施工合同，在约定的范围内合同</w:t>
      </w:r>
      <w:r>
        <w:rPr>
          <w:rFonts w:ascii="宋体" w:hAnsi="宋体" w:eastAsia="宋体" w:cs="宋体"/>
          <w:color w:val="auto"/>
          <w:spacing w:val="2"/>
          <w:sz w:val="21"/>
          <w:szCs w:val="21"/>
          <w:highlight w:val="none"/>
        </w:rPr>
        <w:t xml:space="preserve">单价不作调整。合同当事人应在专用合同  </w:t>
      </w:r>
      <w:r>
        <w:rPr>
          <w:rFonts w:ascii="宋体" w:hAnsi="宋体" w:eastAsia="宋体" w:cs="宋体"/>
          <w:color w:val="auto"/>
          <w:spacing w:val="3"/>
          <w:sz w:val="21"/>
          <w:szCs w:val="21"/>
          <w:highlight w:val="none"/>
        </w:rPr>
        <w:t>条款中约定综合单价包含的风险范围和风险费用</w:t>
      </w:r>
      <w:r>
        <w:rPr>
          <w:rFonts w:ascii="宋体" w:hAnsi="宋体" w:eastAsia="宋体" w:cs="宋体"/>
          <w:color w:val="auto"/>
          <w:spacing w:val="2"/>
          <w:sz w:val="21"/>
          <w:szCs w:val="21"/>
          <w:highlight w:val="none"/>
        </w:rPr>
        <w:t xml:space="preserve">的计算方法，并约定风险范围以外的合同  </w:t>
      </w:r>
      <w:r>
        <w:rPr>
          <w:rFonts w:ascii="宋体" w:hAnsi="宋体" w:eastAsia="宋体" w:cs="宋体"/>
          <w:color w:val="auto"/>
          <w:spacing w:val="-2"/>
          <w:sz w:val="21"/>
          <w:szCs w:val="21"/>
          <w:highlight w:val="none"/>
        </w:rPr>
        <w:t xml:space="preserve">价格的调整方法，其中因市场价格波动引起的调整按第 </w:t>
      </w:r>
      <w:r>
        <w:rPr>
          <w:rFonts w:ascii="Times New Roman" w:hAnsi="Times New Roman" w:eastAsia="Times New Roman" w:cs="Times New Roman"/>
          <w:color w:val="auto"/>
          <w:spacing w:val="-2"/>
          <w:sz w:val="21"/>
          <w:szCs w:val="21"/>
          <w:highlight w:val="none"/>
        </w:rPr>
        <w:t xml:space="preserve">11.1  </w:t>
      </w:r>
      <w:r>
        <w:rPr>
          <w:rFonts w:ascii="宋体" w:hAnsi="宋体" w:eastAsia="宋体" w:cs="宋体"/>
          <w:color w:val="auto"/>
          <w:spacing w:val="-2"/>
          <w:sz w:val="21"/>
          <w:szCs w:val="21"/>
          <w:highlight w:val="none"/>
        </w:rPr>
        <w:t>款〔市场价格波动引起的调整〕</w:t>
      </w:r>
    </w:p>
    <w:p w14:paraId="370A55A6">
      <w:pPr>
        <w:spacing w:line="220" w:lineRule="auto"/>
        <w:ind w:left="23"/>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约定执行。</w:t>
      </w:r>
    </w:p>
    <w:p w14:paraId="3B65902F">
      <w:pPr>
        <w:spacing w:before="153" w:line="219"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总价合同</w:t>
      </w:r>
    </w:p>
    <w:p w14:paraId="2B3C793E">
      <w:pPr>
        <w:spacing w:before="151" w:line="351" w:lineRule="auto"/>
        <w:ind w:left="19" w:right="179" w:firstLine="42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总价合同是指合同当事人约定以施工图、已标价工程量清单或预算书及有关条</w:t>
      </w:r>
      <w:r>
        <w:rPr>
          <w:rFonts w:ascii="宋体" w:hAnsi="宋体" w:eastAsia="宋体" w:cs="宋体"/>
          <w:color w:val="auto"/>
          <w:spacing w:val="2"/>
          <w:sz w:val="21"/>
          <w:szCs w:val="21"/>
          <w:highlight w:val="none"/>
        </w:rPr>
        <w:t>件进行</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合同价格计算、调整和确认的建设工程施工合同，在约定的范围内合同总价</w:t>
      </w:r>
      <w:r>
        <w:rPr>
          <w:rFonts w:ascii="宋体" w:hAnsi="宋体" w:eastAsia="宋体" w:cs="宋体"/>
          <w:color w:val="auto"/>
          <w:spacing w:val="2"/>
          <w:sz w:val="21"/>
          <w:szCs w:val="21"/>
          <w:highlight w:val="none"/>
        </w:rPr>
        <w:t>不作调整。合</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同当事人应在专用合同条款中约定总价包含的风险范围和风险费用的计算方</w:t>
      </w:r>
      <w:r>
        <w:rPr>
          <w:rFonts w:ascii="宋体" w:hAnsi="宋体" w:eastAsia="宋体" w:cs="宋体"/>
          <w:color w:val="auto"/>
          <w:spacing w:val="2"/>
          <w:sz w:val="21"/>
          <w:szCs w:val="21"/>
          <w:highlight w:val="none"/>
        </w:rPr>
        <w:t>法，并约定风</w:t>
      </w:r>
      <w:r>
        <w:rPr>
          <w:rFonts w:ascii="宋体" w:hAnsi="宋体" w:eastAsia="宋体" w:cs="宋体"/>
          <w:color w:val="auto"/>
          <w:sz w:val="21"/>
          <w:szCs w:val="21"/>
          <w:highlight w:val="none"/>
        </w:rPr>
        <w:t xml:space="preserve"> 险范围以外的合同价格的调整方法，其中因市</w:t>
      </w:r>
      <w:r>
        <w:rPr>
          <w:rFonts w:ascii="宋体" w:hAnsi="宋体" w:eastAsia="宋体" w:cs="宋体"/>
          <w:color w:val="auto"/>
          <w:spacing w:val="-1"/>
          <w:sz w:val="21"/>
          <w:szCs w:val="21"/>
          <w:highlight w:val="none"/>
        </w:rPr>
        <w:t xml:space="preserve">场价格波动引起的调整按第 </w:t>
      </w:r>
      <w:r>
        <w:rPr>
          <w:rFonts w:ascii="Times New Roman" w:hAnsi="Times New Roman" w:eastAsia="Times New Roman" w:cs="Times New Roman"/>
          <w:color w:val="auto"/>
          <w:spacing w:val="-1"/>
          <w:sz w:val="21"/>
          <w:szCs w:val="21"/>
          <w:highlight w:val="none"/>
        </w:rPr>
        <w:t>11.1</w:t>
      </w:r>
      <w:r>
        <w:rPr>
          <w:rFonts w:ascii="Times New Roman" w:hAnsi="Times New Roman" w:eastAsia="Times New Roman" w:cs="Times New Roman"/>
          <w:color w:val="auto"/>
          <w:spacing w:val="33"/>
          <w:w w:val="101"/>
          <w:sz w:val="21"/>
          <w:szCs w:val="21"/>
          <w:highlight w:val="none"/>
        </w:rPr>
        <w:t xml:space="preserve"> </w:t>
      </w:r>
      <w:r>
        <w:rPr>
          <w:rFonts w:ascii="宋体" w:hAnsi="宋体" w:eastAsia="宋体" w:cs="宋体"/>
          <w:color w:val="auto"/>
          <w:spacing w:val="-1"/>
          <w:sz w:val="21"/>
          <w:szCs w:val="21"/>
          <w:highlight w:val="none"/>
        </w:rPr>
        <w:t>款〔市场价</w:t>
      </w:r>
    </w:p>
    <w:p w14:paraId="75CC0536">
      <w:pPr>
        <w:spacing w:before="1" w:line="220" w:lineRule="auto"/>
        <w:jc w:val="right"/>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格波动引起的调整〕、因法律变化引起的调整按第</w:t>
      </w:r>
      <w:r>
        <w:rPr>
          <w:rFonts w:ascii="宋体" w:hAnsi="宋体" w:eastAsia="宋体" w:cs="宋体"/>
          <w:color w:val="auto"/>
          <w:spacing w:val="-36"/>
          <w:sz w:val="21"/>
          <w:szCs w:val="21"/>
          <w:highlight w:val="none"/>
        </w:rPr>
        <w:t xml:space="preserve"> </w:t>
      </w:r>
      <w:r>
        <w:rPr>
          <w:rFonts w:ascii="Times New Roman" w:hAnsi="Times New Roman" w:eastAsia="Times New Roman" w:cs="Times New Roman"/>
          <w:color w:val="auto"/>
          <w:spacing w:val="-4"/>
          <w:sz w:val="21"/>
          <w:szCs w:val="21"/>
          <w:highlight w:val="none"/>
        </w:rPr>
        <w:t>11.2</w:t>
      </w:r>
      <w:r>
        <w:rPr>
          <w:rFonts w:ascii="Times New Roman" w:hAnsi="Times New Roman" w:eastAsia="Times New Roman" w:cs="Times New Roman"/>
          <w:color w:val="auto"/>
          <w:spacing w:val="-10"/>
          <w:sz w:val="21"/>
          <w:szCs w:val="21"/>
          <w:highlight w:val="none"/>
        </w:rPr>
        <w:t xml:space="preserve"> </w:t>
      </w:r>
      <w:r>
        <w:rPr>
          <w:rFonts w:ascii="宋体" w:hAnsi="宋体" w:eastAsia="宋体" w:cs="宋体"/>
          <w:color w:val="auto"/>
          <w:spacing w:val="-4"/>
          <w:sz w:val="21"/>
          <w:szCs w:val="21"/>
          <w:highlight w:val="none"/>
        </w:rPr>
        <w:t>款〔法律变化引</w:t>
      </w:r>
      <w:r>
        <w:rPr>
          <w:rFonts w:ascii="宋体" w:hAnsi="宋体" w:eastAsia="宋体" w:cs="宋体"/>
          <w:color w:val="auto"/>
          <w:spacing w:val="-5"/>
          <w:sz w:val="21"/>
          <w:szCs w:val="21"/>
          <w:highlight w:val="none"/>
        </w:rPr>
        <w:t>起的调整〕约定执行。</w:t>
      </w:r>
    </w:p>
    <w:p w14:paraId="547C69B3">
      <w:pPr>
        <w:spacing w:before="153" w:line="219"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其它价格形式</w:t>
      </w:r>
    </w:p>
    <w:p w14:paraId="0F10F0E2">
      <w:pPr>
        <w:spacing w:before="149" w:line="219"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合同当事人可在专用合同条款中约定其他合同价格形式。</w:t>
      </w:r>
    </w:p>
    <w:p w14:paraId="370D0DD8">
      <w:pPr>
        <w:spacing w:before="47" w:line="219"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12.2</w:t>
      </w:r>
      <w:r>
        <w:rPr>
          <w:rFonts w:ascii="黑体" w:hAnsi="黑体" w:eastAsia="黑体" w:cs="黑体"/>
          <w:color w:val="auto"/>
          <w:spacing w:val="-46"/>
          <w:sz w:val="24"/>
          <w:szCs w:val="24"/>
          <w:highlight w:val="none"/>
        </w:rPr>
        <w:t xml:space="preserve"> </w:t>
      </w:r>
      <w:r>
        <w:rPr>
          <w:rFonts w:ascii="黑体" w:hAnsi="黑体" w:eastAsia="黑体" w:cs="黑体"/>
          <w:color w:val="auto"/>
          <w:spacing w:val="-5"/>
          <w:sz w:val="24"/>
          <w:szCs w:val="24"/>
          <w:highlight w:val="none"/>
        </w:rPr>
        <w:t>预付款</w:t>
      </w:r>
    </w:p>
    <w:p w14:paraId="425F8960">
      <w:pPr>
        <w:spacing w:before="129"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12.2.1 </w:t>
      </w:r>
      <w:r>
        <w:rPr>
          <w:rFonts w:ascii="宋体" w:hAnsi="宋体" w:eastAsia="宋体" w:cs="宋体"/>
          <w:color w:val="auto"/>
          <w:spacing w:val="-3"/>
          <w:sz w:val="21"/>
          <w:szCs w:val="21"/>
          <w:highlight w:val="none"/>
        </w:rPr>
        <w:t>预付款的支付</w:t>
      </w:r>
    </w:p>
    <w:p w14:paraId="330625B9">
      <w:pPr>
        <w:spacing w:before="153" w:line="350" w:lineRule="auto"/>
        <w:ind w:left="21" w:right="179" w:firstLine="421"/>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 xml:space="preserve">预付款的支付按照专用合同条款约定执行，但至迟应在开工通知载明的开工日期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w:t>
      </w:r>
      <w:r>
        <w:rPr>
          <w:rFonts w:ascii="宋体" w:hAnsi="宋体" w:eastAsia="宋体" w:cs="宋体"/>
          <w:color w:val="auto"/>
          <w:spacing w:val="8"/>
          <w:sz w:val="21"/>
          <w:szCs w:val="21"/>
          <w:highlight w:val="none"/>
        </w:rPr>
        <w:t xml:space="preserve"> </w:t>
      </w:r>
      <w:r>
        <w:rPr>
          <w:rFonts w:ascii="宋体" w:hAnsi="宋体" w:eastAsia="宋体" w:cs="宋体"/>
          <w:color w:val="auto"/>
          <w:spacing w:val="3"/>
          <w:sz w:val="21"/>
          <w:szCs w:val="21"/>
          <w:highlight w:val="none"/>
        </w:rPr>
        <w:t>前支付。预付款应当用于材料、工程设备、施工设备的采购及修建临</w:t>
      </w:r>
      <w:r>
        <w:rPr>
          <w:rFonts w:ascii="宋体" w:hAnsi="宋体" w:eastAsia="宋体" w:cs="宋体"/>
          <w:color w:val="auto"/>
          <w:spacing w:val="2"/>
          <w:sz w:val="21"/>
          <w:szCs w:val="21"/>
          <w:highlight w:val="none"/>
        </w:rPr>
        <w:t>时工程、组织施工队</w:t>
      </w:r>
    </w:p>
    <w:p w14:paraId="706DFE75">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伍进场等。</w:t>
      </w:r>
    </w:p>
    <w:p w14:paraId="22912FD1">
      <w:pPr>
        <w:spacing w:before="152" w:line="220" w:lineRule="auto"/>
        <w:ind w:left="45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除专用合同条款另有约定外，预付款在进度付款中同比例扣回</w:t>
      </w:r>
      <w:r>
        <w:rPr>
          <w:rFonts w:ascii="宋体" w:hAnsi="宋体" w:eastAsia="宋体" w:cs="宋体"/>
          <w:color w:val="auto"/>
          <w:spacing w:val="2"/>
          <w:sz w:val="21"/>
          <w:szCs w:val="21"/>
          <w:highlight w:val="none"/>
        </w:rPr>
        <w:t>。在颁发工程接收证书</w:t>
      </w:r>
    </w:p>
    <w:p w14:paraId="46BEB5B5">
      <w:pPr>
        <w:spacing w:line="220" w:lineRule="auto"/>
        <w:rPr>
          <w:rFonts w:ascii="宋体" w:hAnsi="宋体" w:eastAsia="宋体" w:cs="宋体"/>
          <w:color w:val="auto"/>
          <w:sz w:val="21"/>
          <w:szCs w:val="21"/>
          <w:highlight w:val="none"/>
        </w:rPr>
        <w:sectPr>
          <w:footerReference r:id="rId133" w:type="default"/>
          <w:pgSz w:w="11905" w:h="16839"/>
          <w:pgMar w:top="1431" w:right="1611" w:bottom="1004" w:left="1785" w:header="0" w:footer="828" w:gutter="0"/>
          <w:pgNumType w:fmt="decimal"/>
          <w:cols w:space="720" w:num="1"/>
        </w:sectPr>
      </w:pPr>
    </w:p>
    <w:p w14:paraId="261ACF5E">
      <w:pPr>
        <w:spacing w:before="149" w:line="219" w:lineRule="auto"/>
        <w:ind w:left="21"/>
        <w:rPr>
          <w:rFonts w:ascii="宋体" w:hAnsi="宋体" w:eastAsia="宋体" w:cs="宋体"/>
          <w:color w:val="auto"/>
          <w:sz w:val="21"/>
          <w:szCs w:val="21"/>
          <w:highlight w:val="none"/>
        </w:rPr>
      </w:pPr>
      <w:r>
        <w:rPr>
          <w:rFonts w:ascii="宋体" w:hAnsi="宋体" w:eastAsia="宋体" w:cs="宋体"/>
          <w:color w:val="auto"/>
          <w:sz w:val="21"/>
          <w:szCs w:val="21"/>
          <w:highlight w:val="none"/>
        </w:rPr>
        <w:t>前，提前解除合同的，尚未扣完的预付款应与</w:t>
      </w:r>
      <w:r>
        <w:rPr>
          <w:rFonts w:ascii="宋体" w:hAnsi="宋体" w:eastAsia="宋体" w:cs="宋体"/>
          <w:color w:val="auto"/>
          <w:spacing w:val="-1"/>
          <w:sz w:val="21"/>
          <w:szCs w:val="21"/>
          <w:highlight w:val="none"/>
        </w:rPr>
        <w:t>合同价款一并结算。</w:t>
      </w:r>
    </w:p>
    <w:p w14:paraId="06B16686">
      <w:pPr>
        <w:spacing w:before="148" w:line="353" w:lineRule="auto"/>
        <w:ind w:left="21" w:right="155" w:firstLine="4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发包人逾期支付预付款超过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天的，承包人有权向发包人发出要求预付的催告通知，</w:t>
      </w:r>
      <w:r>
        <w:rPr>
          <w:rFonts w:ascii="宋体" w:hAnsi="宋体" w:eastAsia="宋体" w:cs="宋体"/>
          <w:color w:val="auto"/>
          <w:spacing w:val="1"/>
          <w:sz w:val="21"/>
          <w:szCs w:val="21"/>
          <w:highlight w:val="none"/>
        </w:rPr>
        <w:t xml:space="preserve"> </w:t>
      </w:r>
      <w:r>
        <w:rPr>
          <w:rFonts w:ascii="宋体" w:hAnsi="宋体" w:eastAsia="宋体" w:cs="宋体"/>
          <w:color w:val="auto"/>
          <w:spacing w:val="-1"/>
          <w:sz w:val="21"/>
          <w:szCs w:val="21"/>
          <w:highlight w:val="none"/>
        </w:rPr>
        <w:t xml:space="preserve">发包人收到通知后 </w:t>
      </w:r>
      <w:r>
        <w:rPr>
          <w:rFonts w:ascii="Times New Roman" w:hAnsi="Times New Roman" w:eastAsia="Times New Roman" w:cs="Times New Roman"/>
          <w:color w:val="auto"/>
          <w:spacing w:val="-1"/>
          <w:sz w:val="21"/>
          <w:szCs w:val="21"/>
          <w:highlight w:val="none"/>
        </w:rPr>
        <w:t>7</w:t>
      </w:r>
      <w:r>
        <w:rPr>
          <w:rFonts w:ascii="Times New Roman" w:hAnsi="Times New Roman" w:eastAsia="Times New Roman" w:cs="Times New Roman"/>
          <w:color w:val="auto"/>
          <w:spacing w:val="31"/>
          <w:w w:val="101"/>
          <w:sz w:val="21"/>
          <w:szCs w:val="21"/>
          <w:highlight w:val="none"/>
        </w:rPr>
        <w:t xml:space="preserve"> </w:t>
      </w:r>
      <w:r>
        <w:rPr>
          <w:rFonts w:ascii="宋体" w:hAnsi="宋体" w:eastAsia="宋体" w:cs="宋体"/>
          <w:color w:val="auto"/>
          <w:spacing w:val="-1"/>
          <w:sz w:val="21"/>
          <w:szCs w:val="21"/>
          <w:highlight w:val="none"/>
        </w:rPr>
        <w:t xml:space="preserve">天内仍未支付的，承包人有权暂停施工，并按第 </w:t>
      </w:r>
      <w:r>
        <w:rPr>
          <w:rFonts w:ascii="Times New Roman" w:hAnsi="Times New Roman" w:eastAsia="Times New Roman" w:cs="Times New Roman"/>
          <w:color w:val="auto"/>
          <w:spacing w:val="-1"/>
          <w:sz w:val="21"/>
          <w:szCs w:val="21"/>
          <w:highlight w:val="none"/>
        </w:rPr>
        <w:t>16.1.1</w:t>
      </w:r>
      <w:r>
        <w:rPr>
          <w:rFonts w:ascii="Times New Roman" w:hAnsi="Times New Roman" w:eastAsia="Times New Roman" w:cs="Times New Roman"/>
          <w:color w:val="auto"/>
          <w:spacing w:val="31"/>
          <w:w w:val="101"/>
          <w:sz w:val="21"/>
          <w:szCs w:val="21"/>
          <w:highlight w:val="none"/>
        </w:rPr>
        <w:t xml:space="preserve"> </w:t>
      </w:r>
      <w:r>
        <w:rPr>
          <w:rFonts w:ascii="宋体" w:hAnsi="宋体" w:eastAsia="宋体" w:cs="宋体"/>
          <w:color w:val="auto"/>
          <w:spacing w:val="-1"/>
          <w:sz w:val="21"/>
          <w:szCs w:val="21"/>
          <w:highlight w:val="none"/>
        </w:rPr>
        <w:t>项</w:t>
      </w:r>
      <w:r>
        <w:rPr>
          <w:rFonts w:ascii="宋体" w:hAnsi="宋体" w:eastAsia="宋体" w:cs="宋体"/>
          <w:color w:val="auto"/>
          <w:spacing w:val="-2"/>
          <w:sz w:val="21"/>
          <w:szCs w:val="21"/>
          <w:highlight w:val="none"/>
        </w:rPr>
        <w:t>〔发包人违</w:t>
      </w:r>
    </w:p>
    <w:p w14:paraId="3DF147BB">
      <w:pPr>
        <w:spacing w:line="220" w:lineRule="auto"/>
        <w:ind w:left="2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约的情形〕执行。</w:t>
      </w:r>
    </w:p>
    <w:p w14:paraId="0656157C">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12.2.2 </w:t>
      </w:r>
      <w:r>
        <w:rPr>
          <w:rFonts w:ascii="宋体" w:hAnsi="宋体" w:eastAsia="宋体" w:cs="宋体"/>
          <w:color w:val="auto"/>
          <w:spacing w:val="-2"/>
          <w:sz w:val="21"/>
          <w:szCs w:val="21"/>
          <w:highlight w:val="none"/>
        </w:rPr>
        <w:t>预付款担保</w:t>
      </w:r>
    </w:p>
    <w:p w14:paraId="23984224">
      <w:pPr>
        <w:spacing w:before="151" w:line="352" w:lineRule="auto"/>
        <w:ind w:left="19" w:firstLine="42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发包人要求承包人提供预付款担保的，承包人应在发包人支付预付款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 xml:space="preserve">天前提供预付  </w:t>
      </w:r>
      <w:r>
        <w:rPr>
          <w:rFonts w:ascii="宋体" w:hAnsi="宋体" w:eastAsia="宋体" w:cs="宋体"/>
          <w:color w:val="auto"/>
          <w:spacing w:val="2"/>
          <w:sz w:val="21"/>
          <w:szCs w:val="21"/>
          <w:highlight w:val="none"/>
        </w:rPr>
        <w:t>款担保，专用合同条款另有约定除外。预付款担保可采用银行</w:t>
      </w:r>
      <w:r>
        <w:rPr>
          <w:rFonts w:ascii="宋体" w:hAnsi="宋体" w:eastAsia="宋体" w:cs="宋体"/>
          <w:color w:val="auto"/>
          <w:spacing w:val="1"/>
          <w:sz w:val="21"/>
          <w:szCs w:val="21"/>
          <w:highlight w:val="none"/>
        </w:rPr>
        <w:t>保函、担保公司担保等形式，</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具体由合同当事人在专用合同条款中约定。在预付款完全扣回之前，承包人</w:t>
      </w:r>
      <w:r>
        <w:rPr>
          <w:rFonts w:ascii="宋体" w:hAnsi="宋体" w:eastAsia="宋体" w:cs="宋体"/>
          <w:color w:val="auto"/>
          <w:spacing w:val="2"/>
          <w:sz w:val="21"/>
          <w:szCs w:val="21"/>
          <w:highlight w:val="none"/>
        </w:rPr>
        <w:t>应保证预付款</w:t>
      </w:r>
    </w:p>
    <w:p w14:paraId="299EACAA">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担保持续有效。</w:t>
      </w:r>
    </w:p>
    <w:p w14:paraId="53A1194B">
      <w:pPr>
        <w:spacing w:before="147" w:line="221" w:lineRule="auto"/>
        <w:ind w:left="444"/>
        <w:rPr>
          <w:rFonts w:ascii="宋体" w:hAnsi="宋体" w:eastAsia="宋体" w:cs="宋体"/>
          <w:color w:val="auto"/>
          <w:sz w:val="21"/>
          <w:szCs w:val="21"/>
          <w:highlight w:val="none"/>
        </w:rPr>
      </w:pPr>
      <w:r>
        <w:rPr>
          <w:rFonts w:ascii="宋体" w:hAnsi="宋体" w:eastAsia="宋体" w:cs="宋体"/>
          <w:color w:val="auto"/>
          <w:sz w:val="21"/>
          <w:szCs w:val="21"/>
          <w:highlight w:val="none"/>
        </w:rPr>
        <w:t>发包人在工程款中逐期扣回预付款后，预付款担保额度应相应减少， 但剩余的预付款</w:t>
      </w:r>
    </w:p>
    <w:p w14:paraId="1495D36E">
      <w:pPr>
        <w:spacing w:before="147" w:line="221"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担保金额不得低于未被扣回的预付款金额。</w:t>
      </w:r>
    </w:p>
    <w:p w14:paraId="55318FCF">
      <w:pPr>
        <w:spacing w:before="51" w:line="222"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12.3</w:t>
      </w:r>
      <w:r>
        <w:rPr>
          <w:rFonts w:ascii="黑体" w:hAnsi="黑体" w:eastAsia="黑体" w:cs="黑体"/>
          <w:color w:val="auto"/>
          <w:spacing w:val="-50"/>
          <w:sz w:val="24"/>
          <w:szCs w:val="24"/>
          <w:highlight w:val="none"/>
        </w:rPr>
        <w:t xml:space="preserve"> </w:t>
      </w:r>
      <w:r>
        <w:rPr>
          <w:rFonts w:ascii="黑体" w:hAnsi="黑体" w:eastAsia="黑体" w:cs="黑体"/>
          <w:color w:val="auto"/>
          <w:spacing w:val="-5"/>
          <w:sz w:val="24"/>
          <w:szCs w:val="24"/>
          <w:highlight w:val="none"/>
        </w:rPr>
        <w:t>计量</w:t>
      </w:r>
    </w:p>
    <w:p w14:paraId="64A79DF4">
      <w:pPr>
        <w:spacing w:before="126"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12.3.1 </w:t>
      </w:r>
      <w:r>
        <w:rPr>
          <w:rFonts w:ascii="宋体" w:hAnsi="宋体" w:eastAsia="宋体" w:cs="宋体"/>
          <w:color w:val="auto"/>
          <w:spacing w:val="-2"/>
          <w:sz w:val="21"/>
          <w:szCs w:val="21"/>
          <w:highlight w:val="none"/>
        </w:rPr>
        <w:t>计量原则</w:t>
      </w:r>
    </w:p>
    <w:p w14:paraId="11A906B5">
      <w:pPr>
        <w:spacing w:before="146" w:line="399" w:lineRule="exact"/>
        <w:ind w:left="443"/>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工程量计量按照合同约定的工程量计算规则、图纸及变更指示等进行计量。工程量计</w:t>
      </w:r>
    </w:p>
    <w:p w14:paraId="6FB6F768">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算规则应以相关的国家标准、行业标准等为依据，由合同当事人在专用合同条款中约定。</w:t>
      </w:r>
    </w:p>
    <w:p w14:paraId="2E48417B">
      <w:pPr>
        <w:spacing w:before="153"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12.3.2 </w:t>
      </w:r>
      <w:r>
        <w:rPr>
          <w:rFonts w:ascii="宋体" w:hAnsi="宋体" w:eastAsia="宋体" w:cs="宋体"/>
          <w:color w:val="auto"/>
          <w:spacing w:val="-2"/>
          <w:sz w:val="21"/>
          <w:szCs w:val="21"/>
          <w:highlight w:val="none"/>
        </w:rPr>
        <w:t>计量周期</w:t>
      </w:r>
    </w:p>
    <w:p w14:paraId="47232D03">
      <w:pPr>
        <w:spacing w:before="147" w:line="221" w:lineRule="auto"/>
        <w:ind w:left="453"/>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除专用合同条款另有约定外， 工程量的计量按月进行。</w:t>
      </w:r>
    </w:p>
    <w:p w14:paraId="4B69EEF2">
      <w:pPr>
        <w:spacing w:before="147" w:line="219"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12.3.3 </w:t>
      </w:r>
      <w:r>
        <w:rPr>
          <w:rFonts w:ascii="宋体" w:hAnsi="宋体" w:eastAsia="宋体" w:cs="宋体"/>
          <w:color w:val="auto"/>
          <w:spacing w:val="-2"/>
          <w:sz w:val="21"/>
          <w:szCs w:val="21"/>
          <w:highlight w:val="none"/>
        </w:rPr>
        <w:t>单价合同的计量</w:t>
      </w:r>
    </w:p>
    <w:p w14:paraId="248CD82A">
      <w:pPr>
        <w:spacing w:before="155" w:line="219" w:lineRule="auto"/>
        <w:ind w:left="45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除专用合同条款另有约定外， 单价合同的计量按照本项约定</w:t>
      </w:r>
      <w:r>
        <w:rPr>
          <w:rFonts w:ascii="宋体" w:hAnsi="宋体" w:eastAsia="宋体" w:cs="宋体"/>
          <w:color w:val="auto"/>
          <w:spacing w:val="-5"/>
          <w:sz w:val="21"/>
          <w:szCs w:val="21"/>
          <w:highlight w:val="none"/>
        </w:rPr>
        <w:t>执行：</w:t>
      </w:r>
    </w:p>
    <w:p w14:paraId="00865C69">
      <w:pPr>
        <w:spacing w:before="149" w:line="398" w:lineRule="exact"/>
        <w:ind w:left="447"/>
        <w:rPr>
          <w:rFonts w:ascii="宋体" w:hAnsi="宋体" w:eastAsia="宋体" w:cs="宋体"/>
          <w:color w:val="auto"/>
          <w:sz w:val="21"/>
          <w:szCs w:val="21"/>
          <w:highlight w:val="none"/>
        </w:rPr>
      </w:pPr>
      <w:r>
        <w:rPr>
          <w:rFonts w:ascii="宋体" w:hAnsi="宋体" w:eastAsia="宋体" w:cs="宋体"/>
          <w:color w:val="auto"/>
          <w:spacing w:val="-5"/>
          <w:position w:val="14"/>
          <w:sz w:val="21"/>
          <w:szCs w:val="21"/>
          <w:highlight w:val="none"/>
        </w:rPr>
        <w:t>（</w:t>
      </w:r>
      <w:r>
        <w:rPr>
          <w:rFonts w:ascii="Times New Roman" w:hAnsi="Times New Roman" w:eastAsia="Times New Roman" w:cs="Times New Roman"/>
          <w:color w:val="auto"/>
          <w:spacing w:val="-5"/>
          <w:position w:val="14"/>
          <w:sz w:val="21"/>
          <w:szCs w:val="21"/>
          <w:highlight w:val="none"/>
        </w:rPr>
        <w:t>1</w:t>
      </w:r>
      <w:r>
        <w:rPr>
          <w:rFonts w:ascii="宋体" w:hAnsi="宋体" w:eastAsia="宋体" w:cs="宋体"/>
          <w:color w:val="auto"/>
          <w:spacing w:val="-5"/>
          <w:position w:val="14"/>
          <w:sz w:val="21"/>
          <w:szCs w:val="21"/>
          <w:highlight w:val="none"/>
        </w:rPr>
        <w:t>）承包人应于每月</w:t>
      </w:r>
      <w:r>
        <w:rPr>
          <w:rFonts w:ascii="宋体" w:hAnsi="宋体" w:eastAsia="宋体" w:cs="宋体"/>
          <w:color w:val="auto"/>
          <w:spacing w:val="-57"/>
          <w:position w:val="14"/>
          <w:sz w:val="21"/>
          <w:szCs w:val="21"/>
          <w:highlight w:val="none"/>
        </w:rPr>
        <w:t xml:space="preserve"> </w:t>
      </w:r>
      <w:r>
        <w:rPr>
          <w:rFonts w:ascii="Times New Roman" w:hAnsi="Times New Roman" w:eastAsia="Times New Roman" w:cs="Times New Roman"/>
          <w:color w:val="auto"/>
          <w:spacing w:val="-5"/>
          <w:position w:val="14"/>
          <w:sz w:val="21"/>
          <w:szCs w:val="21"/>
          <w:highlight w:val="none"/>
        </w:rPr>
        <w:t>25</w:t>
      </w:r>
      <w:r>
        <w:rPr>
          <w:rFonts w:ascii="Times New Roman" w:hAnsi="Times New Roman" w:eastAsia="Times New Roman" w:cs="Times New Roman"/>
          <w:color w:val="auto"/>
          <w:spacing w:val="26"/>
          <w:position w:val="14"/>
          <w:sz w:val="21"/>
          <w:szCs w:val="21"/>
          <w:highlight w:val="none"/>
        </w:rPr>
        <w:t xml:space="preserve"> </w:t>
      </w:r>
      <w:r>
        <w:rPr>
          <w:rFonts w:ascii="宋体" w:hAnsi="宋体" w:eastAsia="宋体" w:cs="宋体"/>
          <w:color w:val="auto"/>
          <w:spacing w:val="-5"/>
          <w:position w:val="14"/>
          <w:sz w:val="21"/>
          <w:szCs w:val="21"/>
          <w:highlight w:val="none"/>
        </w:rPr>
        <w:t>日向监理人报送上月</w:t>
      </w:r>
      <w:r>
        <w:rPr>
          <w:rFonts w:ascii="宋体" w:hAnsi="宋体" w:eastAsia="宋体" w:cs="宋体"/>
          <w:color w:val="auto"/>
          <w:spacing w:val="-62"/>
          <w:position w:val="14"/>
          <w:sz w:val="21"/>
          <w:szCs w:val="21"/>
          <w:highlight w:val="none"/>
        </w:rPr>
        <w:t xml:space="preserve"> </w:t>
      </w:r>
      <w:r>
        <w:rPr>
          <w:rFonts w:ascii="Times New Roman" w:hAnsi="Times New Roman" w:eastAsia="Times New Roman" w:cs="Times New Roman"/>
          <w:color w:val="auto"/>
          <w:spacing w:val="-5"/>
          <w:position w:val="14"/>
          <w:sz w:val="21"/>
          <w:szCs w:val="21"/>
          <w:highlight w:val="none"/>
        </w:rPr>
        <w:t>20</w:t>
      </w:r>
      <w:r>
        <w:rPr>
          <w:rFonts w:ascii="Times New Roman" w:hAnsi="Times New Roman" w:eastAsia="Times New Roman" w:cs="Times New Roman"/>
          <w:color w:val="auto"/>
          <w:spacing w:val="25"/>
          <w:w w:val="101"/>
          <w:position w:val="14"/>
          <w:sz w:val="21"/>
          <w:szCs w:val="21"/>
          <w:highlight w:val="none"/>
        </w:rPr>
        <w:t xml:space="preserve"> </w:t>
      </w:r>
      <w:r>
        <w:rPr>
          <w:rFonts w:ascii="宋体" w:hAnsi="宋体" w:eastAsia="宋体" w:cs="宋体"/>
          <w:color w:val="auto"/>
          <w:spacing w:val="-5"/>
          <w:position w:val="14"/>
          <w:sz w:val="21"/>
          <w:szCs w:val="21"/>
          <w:highlight w:val="none"/>
        </w:rPr>
        <w:t>日至当月</w:t>
      </w:r>
      <w:r>
        <w:rPr>
          <w:rFonts w:ascii="宋体" w:hAnsi="宋体" w:eastAsia="宋体" w:cs="宋体"/>
          <w:color w:val="auto"/>
          <w:spacing w:val="-37"/>
          <w:position w:val="14"/>
          <w:sz w:val="21"/>
          <w:szCs w:val="21"/>
          <w:highlight w:val="none"/>
        </w:rPr>
        <w:t xml:space="preserve"> </w:t>
      </w:r>
      <w:r>
        <w:rPr>
          <w:rFonts w:ascii="Times New Roman" w:hAnsi="Times New Roman" w:eastAsia="Times New Roman" w:cs="Times New Roman"/>
          <w:color w:val="auto"/>
          <w:spacing w:val="-5"/>
          <w:position w:val="14"/>
          <w:sz w:val="21"/>
          <w:szCs w:val="21"/>
          <w:highlight w:val="none"/>
        </w:rPr>
        <w:t>19</w:t>
      </w:r>
      <w:r>
        <w:rPr>
          <w:rFonts w:ascii="Times New Roman" w:hAnsi="Times New Roman" w:eastAsia="Times New Roman" w:cs="Times New Roman"/>
          <w:color w:val="auto"/>
          <w:spacing w:val="26"/>
          <w:position w:val="14"/>
          <w:sz w:val="21"/>
          <w:szCs w:val="21"/>
          <w:highlight w:val="none"/>
        </w:rPr>
        <w:t xml:space="preserve"> </w:t>
      </w:r>
      <w:r>
        <w:rPr>
          <w:rFonts w:ascii="宋体" w:hAnsi="宋体" w:eastAsia="宋体" w:cs="宋体"/>
          <w:color w:val="auto"/>
          <w:spacing w:val="-5"/>
          <w:position w:val="14"/>
          <w:sz w:val="21"/>
          <w:szCs w:val="21"/>
          <w:highlight w:val="none"/>
        </w:rPr>
        <w:t>日已完成的工程量报告，</w:t>
      </w:r>
    </w:p>
    <w:p w14:paraId="579C3F7A">
      <w:pPr>
        <w:spacing w:before="1" w:line="219" w:lineRule="auto"/>
        <w:ind w:left="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并附具进度付款申请单、已完成工程量报表和有关</w:t>
      </w:r>
      <w:r>
        <w:rPr>
          <w:rFonts w:ascii="宋体" w:hAnsi="宋体" w:eastAsia="宋体" w:cs="宋体"/>
          <w:color w:val="auto"/>
          <w:spacing w:val="-2"/>
          <w:sz w:val="21"/>
          <w:szCs w:val="21"/>
          <w:highlight w:val="none"/>
        </w:rPr>
        <w:t>资料。</w:t>
      </w:r>
    </w:p>
    <w:p w14:paraId="7BCD9F68">
      <w:pPr>
        <w:spacing w:before="155" w:line="351" w:lineRule="auto"/>
        <w:ind w:left="17" w:right="156" w:firstLine="430"/>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）监理人应在收到承包人提交的工程量报告</w:t>
      </w:r>
      <w:r>
        <w:rPr>
          <w:rFonts w:ascii="宋体" w:hAnsi="宋体" w:eastAsia="宋体" w:cs="宋体"/>
          <w:color w:val="auto"/>
          <w:spacing w:val="-1"/>
          <w:sz w:val="21"/>
          <w:szCs w:val="21"/>
          <w:highlight w:val="none"/>
        </w:rPr>
        <w:t>后</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天内完成对承包人提交的工程量报</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表的审核并报送发包人，以确定当月实际完成的工程量。监理人对工程量有异</w:t>
      </w:r>
      <w:r>
        <w:rPr>
          <w:rFonts w:ascii="宋体" w:hAnsi="宋体" w:eastAsia="宋体" w:cs="宋体"/>
          <w:color w:val="auto"/>
          <w:spacing w:val="2"/>
          <w:sz w:val="21"/>
          <w:szCs w:val="21"/>
          <w:highlight w:val="none"/>
        </w:rPr>
        <w:t>议的，有权</w:t>
      </w:r>
      <w:r>
        <w:rPr>
          <w:rFonts w:ascii="宋体" w:hAnsi="宋体" w:eastAsia="宋体" w:cs="宋体"/>
          <w:color w:val="auto"/>
          <w:sz w:val="21"/>
          <w:szCs w:val="21"/>
          <w:highlight w:val="none"/>
        </w:rPr>
        <w:t xml:space="preserve"> 要求承包人进行共同复核或抽样复测。承包人应协助监理人进行复核或抽样复测， 并按监</w:t>
      </w:r>
      <w:r>
        <w:rPr>
          <w:rFonts w:ascii="宋体" w:hAnsi="宋体" w:eastAsia="宋体" w:cs="宋体"/>
          <w:color w:val="auto"/>
          <w:spacing w:val="7"/>
          <w:sz w:val="21"/>
          <w:szCs w:val="21"/>
          <w:highlight w:val="none"/>
        </w:rPr>
        <w:t xml:space="preserve"> </w:t>
      </w:r>
      <w:r>
        <w:rPr>
          <w:rFonts w:ascii="宋体" w:hAnsi="宋体" w:eastAsia="宋体" w:cs="宋体"/>
          <w:color w:val="auto"/>
          <w:spacing w:val="3"/>
          <w:sz w:val="21"/>
          <w:szCs w:val="21"/>
          <w:highlight w:val="none"/>
        </w:rPr>
        <w:t>理人要求提供补充计量资料。承包人未按监理人要求参加复核或抽样复测的，</w:t>
      </w:r>
      <w:r>
        <w:rPr>
          <w:rFonts w:ascii="宋体" w:hAnsi="宋体" w:eastAsia="宋体" w:cs="宋体"/>
          <w:color w:val="auto"/>
          <w:spacing w:val="2"/>
          <w:sz w:val="21"/>
          <w:szCs w:val="21"/>
          <w:highlight w:val="none"/>
        </w:rPr>
        <w:t>监理人复核</w:t>
      </w:r>
    </w:p>
    <w:p w14:paraId="5AC8B156">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或修正的工程量视为承包人实际完成的工程量。</w:t>
      </w:r>
    </w:p>
    <w:p w14:paraId="22C8F89B">
      <w:pPr>
        <w:spacing w:before="148" w:line="403"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）监理人未在收到承包人提交的工程量报表后的</w:t>
      </w:r>
      <w:r>
        <w:rPr>
          <w:rFonts w:ascii="宋体" w:hAnsi="宋体" w:eastAsia="宋体" w:cs="宋体"/>
          <w:color w:val="auto"/>
          <w:spacing w:val="-33"/>
          <w:position w:val="14"/>
          <w:sz w:val="21"/>
          <w:szCs w:val="21"/>
          <w:highlight w:val="none"/>
        </w:rPr>
        <w:t xml:space="preserve"> </w:t>
      </w:r>
      <w:r>
        <w:rPr>
          <w:rFonts w:ascii="Times New Roman" w:hAnsi="Times New Roman" w:eastAsia="Times New Roman" w:cs="Times New Roman"/>
          <w:color w:val="auto"/>
          <w:position w:val="14"/>
          <w:sz w:val="21"/>
          <w:szCs w:val="21"/>
          <w:highlight w:val="none"/>
        </w:rPr>
        <w:t xml:space="preserve">7 </w:t>
      </w:r>
      <w:r>
        <w:rPr>
          <w:rFonts w:ascii="宋体" w:hAnsi="宋体" w:eastAsia="宋体" w:cs="宋体"/>
          <w:color w:val="auto"/>
          <w:position w:val="14"/>
          <w:sz w:val="21"/>
          <w:szCs w:val="21"/>
          <w:highlight w:val="none"/>
        </w:rPr>
        <w:t>天</w:t>
      </w:r>
      <w:r>
        <w:rPr>
          <w:rFonts w:ascii="宋体" w:hAnsi="宋体" w:eastAsia="宋体" w:cs="宋体"/>
          <w:color w:val="auto"/>
          <w:spacing w:val="-1"/>
          <w:position w:val="14"/>
          <w:sz w:val="21"/>
          <w:szCs w:val="21"/>
          <w:highlight w:val="none"/>
        </w:rPr>
        <w:t>内完成审核的，承包人报送的</w:t>
      </w:r>
    </w:p>
    <w:p w14:paraId="72ECA5C6">
      <w:pPr>
        <w:spacing w:line="219" w:lineRule="auto"/>
        <w:ind w:left="20"/>
        <w:rPr>
          <w:rFonts w:ascii="宋体" w:hAnsi="宋体" w:eastAsia="宋体" w:cs="宋体"/>
          <w:color w:val="auto"/>
          <w:sz w:val="21"/>
          <w:szCs w:val="21"/>
          <w:highlight w:val="none"/>
        </w:rPr>
      </w:pPr>
      <w:r>
        <w:rPr>
          <w:rFonts w:ascii="宋体" w:hAnsi="宋体" w:eastAsia="宋体" w:cs="宋体"/>
          <w:color w:val="auto"/>
          <w:sz w:val="21"/>
          <w:szCs w:val="21"/>
          <w:highlight w:val="none"/>
        </w:rPr>
        <w:t>工程量报告中的工程量视为承包人实际完成的工程量，据</w:t>
      </w:r>
      <w:r>
        <w:rPr>
          <w:rFonts w:ascii="宋体" w:hAnsi="宋体" w:eastAsia="宋体" w:cs="宋体"/>
          <w:color w:val="auto"/>
          <w:spacing w:val="-1"/>
          <w:sz w:val="21"/>
          <w:szCs w:val="21"/>
          <w:highlight w:val="none"/>
        </w:rPr>
        <w:t>此计算工程价款。</w:t>
      </w:r>
    </w:p>
    <w:p w14:paraId="140A9F2A">
      <w:pPr>
        <w:spacing w:before="149" w:line="219"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12.3.4</w:t>
      </w:r>
      <w:r>
        <w:rPr>
          <w:rFonts w:ascii="Times New Roman" w:hAnsi="Times New Roman" w:eastAsia="Times New Roman" w:cs="Times New Roman"/>
          <w:color w:val="auto"/>
          <w:spacing w:val="18"/>
          <w:w w:val="101"/>
          <w:sz w:val="21"/>
          <w:szCs w:val="21"/>
          <w:highlight w:val="none"/>
        </w:rPr>
        <w:t xml:space="preserve"> </w:t>
      </w:r>
      <w:r>
        <w:rPr>
          <w:rFonts w:ascii="宋体" w:hAnsi="宋体" w:eastAsia="宋体" w:cs="宋体"/>
          <w:color w:val="auto"/>
          <w:spacing w:val="-3"/>
          <w:sz w:val="21"/>
          <w:szCs w:val="21"/>
          <w:highlight w:val="none"/>
        </w:rPr>
        <w:t>总价合同的计量</w:t>
      </w:r>
    </w:p>
    <w:p w14:paraId="38210836">
      <w:pPr>
        <w:spacing w:before="150" w:line="219" w:lineRule="auto"/>
        <w:ind w:left="45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除专用合同条款另有约定外， 按月计量支付的总价合同，按照</w:t>
      </w:r>
      <w:r>
        <w:rPr>
          <w:rFonts w:ascii="宋体" w:hAnsi="宋体" w:eastAsia="宋体" w:cs="宋体"/>
          <w:color w:val="auto"/>
          <w:spacing w:val="-5"/>
          <w:sz w:val="21"/>
          <w:szCs w:val="21"/>
          <w:highlight w:val="none"/>
        </w:rPr>
        <w:t>本项约定执行：</w:t>
      </w:r>
    </w:p>
    <w:p w14:paraId="6E655E2E">
      <w:pPr>
        <w:spacing w:before="154" w:line="398" w:lineRule="exact"/>
        <w:ind w:left="447"/>
        <w:rPr>
          <w:rFonts w:ascii="宋体" w:hAnsi="宋体" w:eastAsia="宋体" w:cs="宋体"/>
          <w:color w:val="auto"/>
          <w:sz w:val="21"/>
          <w:szCs w:val="21"/>
          <w:highlight w:val="none"/>
        </w:rPr>
      </w:pPr>
      <w:r>
        <w:rPr>
          <w:rFonts w:ascii="宋体" w:hAnsi="宋体" w:eastAsia="宋体" w:cs="宋体"/>
          <w:color w:val="auto"/>
          <w:spacing w:val="-5"/>
          <w:position w:val="14"/>
          <w:sz w:val="21"/>
          <w:szCs w:val="21"/>
          <w:highlight w:val="none"/>
        </w:rPr>
        <w:t>（</w:t>
      </w:r>
      <w:r>
        <w:rPr>
          <w:rFonts w:ascii="Times New Roman" w:hAnsi="Times New Roman" w:eastAsia="Times New Roman" w:cs="Times New Roman"/>
          <w:color w:val="auto"/>
          <w:spacing w:val="-5"/>
          <w:position w:val="14"/>
          <w:sz w:val="21"/>
          <w:szCs w:val="21"/>
          <w:highlight w:val="none"/>
        </w:rPr>
        <w:t>1</w:t>
      </w:r>
      <w:r>
        <w:rPr>
          <w:rFonts w:ascii="宋体" w:hAnsi="宋体" w:eastAsia="宋体" w:cs="宋体"/>
          <w:color w:val="auto"/>
          <w:spacing w:val="-5"/>
          <w:position w:val="14"/>
          <w:sz w:val="21"/>
          <w:szCs w:val="21"/>
          <w:highlight w:val="none"/>
        </w:rPr>
        <w:t>）承包人应于每月</w:t>
      </w:r>
      <w:r>
        <w:rPr>
          <w:rFonts w:ascii="宋体" w:hAnsi="宋体" w:eastAsia="宋体" w:cs="宋体"/>
          <w:color w:val="auto"/>
          <w:spacing w:val="-57"/>
          <w:position w:val="14"/>
          <w:sz w:val="21"/>
          <w:szCs w:val="21"/>
          <w:highlight w:val="none"/>
        </w:rPr>
        <w:t xml:space="preserve"> </w:t>
      </w:r>
      <w:r>
        <w:rPr>
          <w:rFonts w:ascii="Times New Roman" w:hAnsi="Times New Roman" w:eastAsia="Times New Roman" w:cs="Times New Roman"/>
          <w:color w:val="auto"/>
          <w:spacing w:val="-5"/>
          <w:position w:val="14"/>
          <w:sz w:val="21"/>
          <w:szCs w:val="21"/>
          <w:highlight w:val="none"/>
        </w:rPr>
        <w:t>25</w:t>
      </w:r>
      <w:r>
        <w:rPr>
          <w:rFonts w:ascii="Times New Roman" w:hAnsi="Times New Roman" w:eastAsia="Times New Roman" w:cs="Times New Roman"/>
          <w:color w:val="auto"/>
          <w:spacing w:val="26"/>
          <w:position w:val="14"/>
          <w:sz w:val="21"/>
          <w:szCs w:val="21"/>
          <w:highlight w:val="none"/>
        </w:rPr>
        <w:t xml:space="preserve"> </w:t>
      </w:r>
      <w:r>
        <w:rPr>
          <w:rFonts w:ascii="宋体" w:hAnsi="宋体" w:eastAsia="宋体" w:cs="宋体"/>
          <w:color w:val="auto"/>
          <w:spacing w:val="-5"/>
          <w:position w:val="14"/>
          <w:sz w:val="21"/>
          <w:szCs w:val="21"/>
          <w:highlight w:val="none"/>
        </w:rPr>
        <w:t>日向监理人报送上月</w:t>
      </w:r>
      <w:r>
        <w:rPr>
          <w:rFonts w:ascii="宋体" w:hAnsi="宋体" w:eastAsia="宋体" w:cs="宋体"/>
          <w:color w:val="auto"/>
          <w:spacing w:val="-62"/>
          <w:position w:val="14"/>
          <w:sz w:val="21"/>
          <w:szCs w:val="21"/>
          <w:highlight w:val="none"/>
        </w:rPr>
        <w:t xml:space="preserve"> </w:t>
      </w:r>
      <w:r>
        <w:rPr>
          <w:rFonts w:ascii="Times New Roman" w:hAnsi="Times New Roman" w:eastAsia="Times New Roman" w:cs="Times New Roman"/>
          <w:color w:val="auto"/>
          <w:spacing w:val="-5"/>
          <w:position w:val="14"/>
          <w:sz w:val="21"/>
          <w:szCs w:val="21"/>
          <w:highlight w:val="none"/>
        </w:rPr>
        <w:t>20</w:t>
      </w:r>
      <w:r>
        <w:rPr>
          <w:rFonts w:ascii="Times New Roman" w:hAnsi="Times New Roman" w:eastAsia="Times New Roman" w:cs="Times New Roman"/>
          <w:color w:val="auto"/>
          <w:spacing w:val="25"/>
          <w:w w:val="101"/>
          <w:position w:val="14"/>
          <w:sz w:val="21"/>
          <w:szCs w:val="21"/>
          <w:highlight w:val="none"/>
        </w:rPr>
        <w:t xml:space="preserve"> </w:t>
      </w:r>
      <w:r>
        <w:rPr>
          <w:rFonts w:ascii="宋体" w:hAnsi="宋体" w:eastAsia="宋体" w:cs="宋体"/>
          <w:color w:val="auto"/>
          <w:spacing w:val="-5"/>
          <w:position w:val="14"/>
          <w:sz w:val="21"/>
          <w:szCs w:val="21"/>
          <w:highlight w:val="none"/>
        </w:rPr>
        <w:t>日至当月</w:t>
      </w:r>
      <w:r>
        <w:rPr>
          <w:rFonts w:ascii="宋体" w:hAnsi="宋体" w:eastAsia="宋体" w:cs="宋体"/>
          <w:color w:val="auto"/>
          <w:spacing w:val="-37"/>
          <w:position w:val="14"/>
          <w:sz w:val="21"/>
          <w:szCs w:val="21"/>
          <w:highlight w:val="none"/>
        </w:rPr>
        <w:t xml:space="preserve"> </w:t>
      </w:r>
      <w:r>
        <w:rPr>
          <w:rFonts w:ascii="Times New Roman" w:hAnsi="Times New Roman" w:eastAsia="Times New Roman" w:cs="Times New Roman"/>
          <w:color w:val="auto"/>
          <w:spacing w:val="-5"/>
          <w:position w:val="14"/>
          <w:sz w:val="21"/>
          <w:szCs w:val="21"/>
          <w:highlight w:val="none"/>
        </w:rPr>
        <w:t>19</w:t>
      </w:r>
      <w:r>
        <w:rPr>
          <w:rFonts w:ascii="Times New Roman" w:hAnsi="Times New Roman" w:eastAsia="Times New Roman" w:cs="Times New Roman"/>
          <w:color w:val="auto"/>
          <w:spacing w:val="26"/>
          <w:position w:val="14"/>
          <w:sz w:val="21"/>
          <w:szCs w:val="21"/>
          <w:highlight w:val="none"/>
        </w:rPr>
        <w:t xml:space="preserve"> </w:t>
      </w:r>
      <w:r>
        <w:rPr>
          <w:rFonts w:ascii="宋体" w:hAnsi="宋体" w:eastAsia="宋体" w:cs="宋体"/>
          <w:color w:val="auto"/>
          <w:spacing w:val="-5"/>
          <w:position w:val="14"/>
          <w:sz w:val="21"/>
          <w:szCs w:val="21"/>
          <w:highlight w:val="none"/>
        </w:rPr>
        <w:t>日已完成的工程量报告，</w:t>
      </w:r>
    </w:p>
    <w:p w14:paraId="4381BD60">
      <w:pPr>
        <w:spacing w:before="1" w:line="219" w:lineRule="auto"/>
        <w:ind w:left="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并附具进度付款申请单、已完成工程量报表和有关</w:t>
      </w:r>
      <w:r>
        <w:rPr>
          <w:rFonts w:ascii="宋体" w:hAnsi="宋体" w:eastAsia="宋体" w:cs="宋体"/>
          <w:color w:val="auto"/>
          <w:spacing w:val="-2"/>
          <w:sz w:val="21"/>
          <w:szCs w:val="21"/>
          <w:highlight w:val="none"/>
        </w:rPr>
        <w:t>资料。</w:t>
      </w:r>
    </w:p>
    <w:p w14:paraId="46DD404A">
      <w:pPr>
        <w:spacing w:before="148" w:line="353" w:lineRule="auto"/>
        <w:ind w:left="17" w:right="156" w:firstLine="430"/>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）监理人应在收到承包人提交的工程量报告</w:t>
      </w:r>
      <w:r>
        <w:rPr>
          <w:rFonts w:ascii="宋体" w:hAnsi="宋体" w:eastAsia="宋体" w:cs="宋体"/>
          <w:color w:val="auto"/>
          <w:spacing w:val="-1"/>
          <w:sz w:val="21"/>
          <w:szCs w:val="21"/>
          <w:highlight w:val="none"/>
        </w:rPr>
        <w:t>后</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天内完成对承包人提交的工程量报</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表的审核并报送发包人，以确定当月实际完成的工程量。监理人对工程量有异</w:t>
      </w:r>
      <w:r>
        <w:rPr>
          <w:rFonts w:ascii="宋体" w:hAnsi="宋体" w:eastAsia="宋体" w:cs="宋体"/>
          <w:color w:val="auto"/>
          <w:spacing w:val="2"/>
          <w:sz w:val="21"/>
          <w:szCs w:val="21"/>
          <w:highlight w:val="none"/>
        </w:rPr>
        <w:t>议的，有权</w:t>
      </w:r>
    </w:p>
    <w:p w14:paraId="23381CF6">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要求承包人进行共同复核或抽样复测。承包人应协助监理人进行复核或抽样</w:t>
      </w:r>
      <w:r>
        <w:rPr>
          <w:rFonts w:ascii="宋体" w:hAnsi="宋体" w:eastAsia="宋体" w:cs="宋体"/>
          <w:color w:val="auto"/>
          <w:spacing w:val="2"/>
          <w:sz w:val="21"/>
          <w:szCs w:val="21"/>
          <w:highlight w:val="none"/>
        </w:rPr>
        <w:t>复测并按监理</w:t>
      </w:r>
    </w:p>
    <w:p w14:paraId="7EC650BB">
      <w:pPr>
        <w:spacing w:line="220" w:lineRule="auto"/>
        <w:rPr>
          <w:rFonts w:ascii="宋体" w:hAnsi="宋体" w:eastAsia="宋体" w:cs="宋体"/>
          <w:color w:val="auto"/>
          <w:sz w:val="21"/>
          <w:szCs w:val="21"/>
          <w:highlight w:val="none"/>
        </w:rPr>
        <w:sectPr>
          <w:footerReference r:id="rId134" w:type="default"/>
          <w:pgSz w:w="11905" w:h="16839"/>
          <w:pgMar w:top="1431" w:right="1631" w:bottom="1004" w:left="1785" w:header="0" w:footer="828" w:gutter="0"/>
          <w:pgNumType w:fmt="decimal"/>
          <w:cols w:space="720" w:num="1"/>
        </w:sectPr>
      </w:pPr>
    </w:p>
    <w:p w14:paraId="080B8991">
      <w:pPr>
        <w:spacing w:before="149" w:line="398" w:lineRule="exact"/>
        <w:ind w:left="20"/>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人要求提供补充计量资料。承包人未按监理人要求参加复核或抽样复测的， 监理人审核或</w:t>
      </w:r>
    </w:p>
    <w:p w14:paraId="7F5DC338">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修正的工程量视为承包人实际完成的工程量。</w:t>
      </w:r>
    </w:p>
    <w:p w14:paraId="43DE1DE5">
      <w:pPr>
        <w:spacing w:before="152" w:line="399" w:lineRule="exact"/>
        <w:ind w:right="2"/>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）监理人未在收到承包人提交的工程量报表后的</w:t>
      </w:r>
      <w:r>
        <w:rPr>
          <w:rFonts w:ascii="宋体" w:hAnsi="宋体" w:eastAsia="宋体" w:cs="宋体"/>
          <w:color w:val="auto"/>
          <w:spacing w:val="-33"/>
          <w:position w:val="14"/>
          <w:sz w:val="21"/>
          <w:szCs w:val="21"/>
          <w:highlight w:val="none"/>
        </w:rPr>
        <w:t xml:space="preserve"> </w:t>
      </w:r>
      <w:r>
        <w:rPr>
          <w:rFonts w:ascii="Times New Roman" w:hAnsi="Times New Roman" w:eastAsia="Times New Roman" w:cs="Times New Roman"/>
          <w:color w:val="auto"/>
          <w:position w:val="14"/>
          <w:sz w:val="21"/>
          <w:szCs w:val="21"/>
          <w:highlight w:val="none"/>
        </w:rPr>
        <w:t xml:space="preserve">7 </w:t>
      </w:r>
      <w:r>
        <w:rPr>
          <w:rFonts w:ascii="宋体" w:hAnsi="宋体" w:eastAsia="宋体" w:cs="宋体"/>
          <w:color w:val="auto"/>
          <w:position w:val="14"/>
          <w:sz w:val="21"/>
          <w:szCs w:val="21"/>
          <w:highlight w:val="none"/>
        </w:rPr>
        <w:t>天</w:t>
      </w:r>
      <w:r>
        <w:rPr>
          <w:rFonts w:ascii="宋体" w:hAnsi="宋体" w:eastAsia="宋体" w:cs="宋体"/>
          <w:color w:val="auto"/>
          <w:spacing w:val="-1"/>
          <w:position w:val="14"/>
          <w:sz w:val="21"/>
          <w:szCs w:val="21"/>
          <w:highlight w:val="none"/>
        </w:rPr>
        <w:t>内完成复核的，承包人提交的</w:t>
      </w:r>
    </w:p>
    <w:p w14:paraId="66DECAD2">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工程量报告中的工程量视为承包人实际完成的工程量。</w:t>
      </w:r>
    </w:p>
    <w:p w14:paraId="33E870FE">
      <w:pPr>
        <w:spacing w:before="149" w:line="403" w:lineRule="exact"/>
        <w:ind w:right="2"/>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4"/>
          <w:sz w:val="21"/>
          <w:szCs w:val="21"/>
          <w:highlight w:val="none"/>
        </w:rPr>
        <w:t xml:space="preserve">12.3.5 </w:t>
      </w:r>
      <w:r>
        <w:rPr>
          <w:rFonts w:ascii="宋体" w:hAnsi="宋体" w:eastAsia="宋体" w:cs="宋体"/>
          <w:color w:val="auto"/>
          <w:spacing w:val="-2"/>
          <w:position w:val="14"/>
          <w:sz w:val="21"/>
          <w:szCs w:val="21"/>
          <w:highlight w:val="none"/>
        </w:rPr>
        <w:t>总价合同采用支付分解表计量支付的，可以按照第</w:t>
      </w:r>
      <w:r>
        <w:rPr>
          <w:rFonts w:ascii="宋体" w:hAnsi="宋体" w:eastAsia="宋体" w:cs="宋体"/>
          <w:color w:val="auto"/>
          <w:spacing w:val="-17"/>
          <w:position w:val="14"/>
          <w:sz w:val="21"/>
          <w:szCs w:val="21"/>
          <w:highlight w:val="none"/>
        </w:rPr>
        <w:t xml:space="preserve"> </w:t>
      </w:r>
      <w:r>
        <w:rPr>
          <w:rFonts w:ascii="Times New Roman" w:hAnsi="Times New Roman" w:eastAsia="Times New Roman" w:cs="Times New Roman"/>
          <w:color w:val="auto"/>
          <w:spacing w:val="-2"/>
          <w:position w:val="14"/>
          <w:sz w:val="21"/>
          <w:szCs w:val="21"/>
          <w:highlight w:val="none"/>
        </w:rPr>
        <w:t xml:space="preserve">12.3.4 </w:t>
      </w:r>
      <w:r>
        <w:rPr>
          <w:rFonts w:ascii="宋体" w:hAnsi="宋体" w:eastAsia="宋体" w:cs="宋体"/>
          <w:color w:val="auto"/>
          <w:spacing w:val="-2"/>
          <w:position w:val="14"/>
          <w:sz w:val="21"/>
          <w:szCs w:val="21"/>
          <w:highlight w:val="none"/>
        </w:rPr>
        <w:t>项〔总价合同的计量〕</w:t>
      </w:r>
    </w:p>
    <w:p w14:paraId="2F8B863D">
      <w:pPr>
        <w:spacing w:line="219" w:lineRule="auto"/>
        <w:ind w:left="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约定进行计量，但合同价款按照支付分解表进行支付。</w:t>
      </w:r>
    </w:p>
    <w:p w14:paraId="53EF6682">
      <w:pPr>
        <w:spacing w:before="149" w:line="219"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12.3.6 </w:t>
      </w:r>
      <w:r>
        <w:rPr>
          <w:rFonts w:ascii="宋体" w:hAnsi="宋体" w:eastAsia="宋体" w:cs="宋体"/>
          <w:color w:val="auto"/>
          <w:spacing w:val="-2"/>
          <w:sz w:val="21"/>
          <w:szCs w:val="21"/>
          <w:highlight w:val="none"/>
        </w:rPr>
        <w:t>其他价格形式合同的计量</w:t>
      </w:r>
    </w:p>
    <w:p w14:paraId="29B2B515">
      <w:pPr>
        <w:spacing w:before="150" w:line="219" w:lineRule="auto"/>
        <w:ind w:left="442"/>
        <w:rPr>
          <w:rFonts w:ascii="宋体" w:hAnsi="宋体" w:eastAsia="宋体" w:cs="宋体"/>
          <w:color w:val="auto"/>
          <w:sz w:val="21"/>
          <w:szCs w:val="21"/>
          <w:highlight w:val="none"/>
        </w:rPr>
      </w:pPr>
      <w:r>
        <w:rPr>
          <w:rFonts w:ascii="宋体" w:hAnsi="宋体" w:eastAsia="宋体" w:cs="宋体"/>
          <w:color w:val="auto"/>
          <w:sz w:val="21"/>
          <w:szCs w:val="21"/>
          <w:highlight w:val="none"/>
        </w:rPr>
        <w:t>合同当事人可在专用合同条款中约定其他价格形式合同的计量</w:t>
      </w:r>
      <w:r>
        <w:rPr>
          <w:rFonts w:ascii="宋体" w:hAnsi="宋体" w:eastAsia="宋体" w:cs="宋体"/>
          <w:color w:val="auto"/>
          <w:spacing w:val="-1"/>
          <w:sz w:val="21"/>
          <w:szCs w:val="21"/>
          <w:highlight w:val="none"/>
        </w:rPr>
        <w:t>方式和程序。</w:t>
      </w:r>
    </w:p>
    <w:p w14:paraId="095BC0C2">
      <w:pPr>
        <w:spacing w:before="52" w:line="219"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12.4</w:t>
      </w:r>
      <w:r>
        <w:rPr>
          <w:rFonts w:ascii="黑体" w:hAnsi="黑体" w:eastAsia="黑体" w:cs="黑体"/>
          <w:color w:val="auto"/>
          <w:spacing w:val="-51"/>
          <w:sz w:val="24"/>
          <w:szCs w:val="24"/>
          <w:highlight w:val="none"/>
        </w:rPr>
        <w:t xml:space="preserve"> </w:t>
      </w:r>
      <w:r>
        <w:rPr>
          <w:rFonts w:ascii="黑体" w:hAnsi="黑体" w:eastAsia="黑体" w:cs="黑体"/>
          <w:color w:val="auto"/>
          <w:spacing w:val="-3"/>
          <w:sz w:val="24"/>
          <w:szCs w:val="24"/>
          <w:highlight w:val="none"/>
        </w:rPr>
        <w:t>工程进度款支付</w:t>
      </w:r>
    </w:p>
    <w:p w14:paraId="432A4E8B">
      <w:pPr>
        <w:spacing w:before="129"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12.4.1 </w:t>
      </w:r>
      <w:r>
        <w:rPr>
          <w:rFonts w:ascii="宋体" w:hAnsi="宋体" w:eastAsia="宋体" w:cs="宋体"/>
          <w:color w:val="auto"/>
          <w:spacing w:val="-2"/>
          <w:sz w:val="21"/>
          <w:szCs w:val="21"/>
          <w:highlight w:val="none"/>
        </w:rPr>
        <w:t>付款周期</w:t>
      </w:r>
    </w:p>
    <w:p w14:paraId="25263CF9">
      <w:pPr>
        <w:spacing w:before="147" w:line="398" w:lineRule="exact"/>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除专用合同条款另有约定外，付款周期应按照第</w:t>
      </w:r>
      <w:r>
        <w:rPr>
          <w:rFonts w:ascii="宋体" w:hAnsi="宋体" w:eastAsia="宋体" w:cs="宋体"/>
          <w:color w:val="auto"/>
          <w:spacing w:val="27"/>
          <w:position w:val="14"/>
          <w:sz w:val="21"/>
          <w:szCs w:val="21"/>
          <w:highlight w:val="none"/>
        </w:rPr>
        <w:t xml:space="preserve"> </w:t>
      </w:r>
      <w:r>
        <w:rPr>
          <w:rFonts w:ascii="Times New Roman" w:hAnsi="Times New Roman" w:eastAsia="Times New Roman" w:cs="Times New Roman"/>
          <w:color w:val="auto"/>
          <w:spacing w:val="-1"/>
          <w:position w:val="14"/>
          <w:sz w:val="21"/>
          <w:szCs w:val="21"/>
          <w:highlight w:val="none"/>
        </w:rPr>
        <w:t>12.3.2</w:t>
      </w:r>
      <w:r>
        <w:rPr>
          <w:rFonts w:ascii="Times New Roman" w:hAnsi="Times New Roman" w:eastAsia="Times New Roman" w:cs="Times New Roman"/>
          <w:color w:val="auto"/>
          <w:spacing w:val="46"/>
          <w:position w:val="14"/>
          <w:sz w:val="21"/>
          <w:szCs w:val="21"/>
          <w:highlight w:val="none"/>
        </w:rPr>
        <w:t xml:space="preserve"> </w:t>
      </w:r>
      <w:r>
        <w:rPr>
          <w:rFonts w:ascii="宋体" w:hAnsi="宋体" w:eastAsia="宋体" w:cs="宋体"/>
          <w:color w:val="auto"/>
          <w:spacing w:val="-1"/>
          <w:position w:val="14"/>
          <w:sz w:val="21"/>
          <w:szCs w:val="21"/>
          <w:highlight w:val="none"/>
        </w:rPr>
        <w:t>项〔计量周期〕的约定与计量</w:t>
      </w:r>
    </w:p>
    <w:p w14:paraId="5F9C6688">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周期保持一致。</w:t>
      </w:r>
    </w:p>
    <w:p w14:paraId="752FCE61">
      <w:pPr>
        <w:spacing w:before="152"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12.4.2 </w:t>
      </w:r>
      <w:r>
        <w:rPr>
          <w:rFonts w:ascii="宋体" w:hAnsi="宋体" w:eastAsia="宋体" w:cs="宋体"/>
          <w:color w:val="auto"/>
          <w:spacing w:val="-2"/>
          <w:sz w:val="21"/>
          <w:szCs w:val="21"/>
          <w:highlight w:val="none"/>
        </w:rPr>
        <w:t>进度付款申请单的编制</w:t>
      </w:r>
    </w:p>
    <w:p w14:paraId="2F35DBFE">
      <w:pPr>
        <w:spacing w:before="148" w:line="221" w:lineRule="auto"/>
        <w:ind w:left="45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除专用合同条款另有约定外， 进度付款申请单应包括下列内容：</w:t>
      </w:r>
    </w:p>
    <w:p w14:paraId="14DB4C22">
      <w:pPr>
        <w:spacing w:before="147"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宋体" w:hAnsi="宋体" w:eastAsia="宋体" w:cs="宋体"/>
          <w:color w:val="auto"/>
          <w:spacing w:val="-1"/>
          <w:sz w:val="21"/>
          <w:szCs w:val="21"/>
          <w:highlight w:val="none"/>
        </w:rPr>
        <w:t>）截至本次付款周期已完成工作对应的金额；</w:t>
      </w:r>
    </w:p>
    <w:p w14:paraId="3E5D43E6">
      <w:pPr>
        <w:spacing w:before="152"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2</w:t>
      </w:r>
      <w:r>
        <w:rPr>
          <w:rFonts w:ascii="宋体" w:hAnsi="宋体" w:eastAsia="宋体" w:cs="宋体"/>
          <w:color w:val="auto"/>
          <w:spacing w:val="-3"/>
          <w:sz w:val="21"/>
          <w:szCs w:val="21"/>
          <w:highlight w:val="none"/>
        </w:rPr>
        <w:t xml:space="preserve">）根据第 </w:t>
      </w:r>
      <w:r>
        <w:rPr>
          <w:rFonts w:ascii="Times New Roman" w:hAnsi="Times New Roman" w:eastAsia="Times New Roman" w:cs="Times New Roman"/>
          <w:color w:val="auto"/>
          <w:spacing w:val="-3"/>
          <w:sz w:val="21"/>
          <w:szCs w:val="21"/>
          <w:highlight w:val="none"/>
        </w:rPr>
        <w:t xml:space="preserve">10 </w:t>
      </w:r>
      <w:r>
        <w:rPr>
          <w:rFonts w:ascii="宋体" w:hAnsi="宋体" w:eastAsia="宋体" w:cs="宋体"/>
          <w:color w:val="auto"/>
          <w:spacing w:val="-3"/>
          <w:sz w:val="21"/>
          <w:szCs w:val="21"/>
          <w:highlight w:val="none"/>
        </w:rPr>
        <w:t>条〔变更〕应增加和扣减的变更金额；</w:t>
      </w:r>
    </w:p>
    <w:p w14:paraId="4EC96DF9">
      <w:pPr>
        <w:spacing w:before="148"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 xml:space="preserve">）根据第 </w:t>
      </w:r>
      <w:r>
        <w:rPr>
          <w:rFonts w:ascii="Times New Roman" w:hAnsi="Times New Roman" w:eastAsia="Times New Roman" w:cs="Times New Roman"/>
          <w:color w:val="auto"/>
          <w:spacing w:val="-2"/>
          <w:sz w:val="21"/>
          <w:szCs w:val="21"/>
          <w:highlight w:val="none"/>
        </w:rPr>
        <w:t xml:space="preserve">12.2 </w:t>
      </w:r>
      <w:r>
        <w:rPr>
          <w:rFonts w:ascii="宋体" w:hAnsi="宋体" w:eastAsia="宋体" w:cs="宋体"/>
          <w:color w:val="auto"/>
          <w:spacing w:val="-2"/>
          <w:sz w:val="21"/>
          <w:szCs w:val="21"/>
          <w:highlight w:val="none"/>
        </w:rPr>
        <w:t>款〔预付款〕约定应支付的预付款和扣减的返还预付款；</w:t>
      </w:r>
    </w:p>
    <w:p w14:paraId="3C4FD0B5">
      <w:pPr>
        <w:spacing w:before="147" w:line="404" w:lineRule="exact"/>
        <w:ind w:left="447"/>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w:t>
      </w:r>
      <w:r>
        <w:rPr>
          <w:rFonts w:ascii="Times New Roman" w:hAnsi="Times New Roman" w:eastAsia="Times New Roman" w:cs="Times New Roman"/>
          <w:color w:val="auto"/>
          <w:spacing w:val="-4"/>
          <w:position w:val="14"/>
          <w:sz w:val="21"/>
          <w:szCs w:val="21"/>
          <w:highlight w:val="none"/>
        </w:rPr>
        <w:t>4</w:t>
      </w:r>
      <w:r>
        <w:rPr>
          <w:rFonts w:ascii="宋体" w:hAnsi="宋体" w:eastAsia="宋体" w:cs="宋体"/>
          <w:color w:val="auto"/>
          <w:spacing w:val="-4"/>
          <w:position w:val="14"/>
          <w:sz w:val="21"/>
          <w:szCs w:val="21"/>
          <w:highlight w:val="none"/>
        </w:rPr>
        <w:t xml:space="preserve">）根据第 </w:t>
      </w:r>
      <w:r>
        <w:rPr>
          <w:rFonts w:ascii="Times New Roman" w:hAnsi="Times New Roman" w:eastAsia="Times New Roman" w:cs="Times New Roman"/>
          <w:color w:val="auto"/>
          <w:spacing w:val="-4"/>
          <w:position w:val="14"/>
          <w:sz w:val="21"/>
          <w:szCs w:val="21"/>
          <w:highlight w:val="none"/>
        </w:rPr>
        <w:t xml:space="preserve">15.3 </w:t>
      </w:r>
      <w:r>
        <w:rPr>
          <w:rFonts w:ascii="宋体" w:hAnsi="宋体" w:eastAsia="宋体" w:cs="宋体"/>
          <w:color w:val="auto"/>
          <w:spacing w:val="-4"/>
          <w:position w:val="14"/>
          <w:sz w:val="21"/>
          <w:szCs w:val="21"/>
          <w:highlight w:val="none"/>
        </w:rPr>
        <w:t>款〔质量保证金〕约定应扣减的质量保证金；</w:t>
      </w:r>
    </w:p>
    <w:p w14:paraId="40B6E819">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5</w:t>
      </w:r>
      <w:r>
        <w:rPr>
          <w:rFonts w:ascii="宋体" w:hAnsi="宋体" w:eastAsia="宋体" w:cs="宋体"/>
          <w:color w:val="auto"/>
          <w:spacing w:val="-3"/>
          <w:sz w:val="21"/>
          <w:szCs w:val="21"/>
          <w:highlight w:val="none"/>
        </w:rPr>
        <w:t xml:space="preserve">）根据第 </w:t>
      </w:r>
      <w:r>
        <w:rPr>
          <w:rFonts w:ascii="Times New Roman" w:hAnsi="Times New Roman" w:eastAsia="Times New Roman" w:cs="Times New Roman"/>
          <w:color w:val="auto"/>
          <w:spacing w:val="-3"/>
          <w:sz w:val="21"/>
          <w:szCs w:val="21"/>
          <w:highlight w:val="none"/>
        </w:rPr>
        <w:t xml:space="preserve">19 </w:t>
      </w:r>
      <w:r>
        <w:rPr>
          <w:rFonts w:ascii="宋体" w:hAnsi="宋体" w:eastAsia="宋体" w:cs="宋体"/>
          <w:color w:val="auto"/>
          <w:spacing w:val="-3"/>
          <w:sz w:val="21"/>
          <w:szCs w:val="21"/>
          <w:highlight w:val="none"/>
        </w:rPr>
        <w:t>条〔索赔〕应增加和扣减的索赔金额；</w:t>
      </w:r>
    </w:p>
    <w:p w14:paraId="350E4678">
      <w:pPr>
        <w:spacing w:before="148" w:line="398" w:lineRule="exact"/>
        <w:ind w:right="14"/>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6</w:t>
      </w:r>
      <w:r>
        <w:rPr>
          <w:rFonts w:ascii="宋体" w:hAnsi="宋体" w:eastAsia="宋体" w:cs="宋体"/>
          <w:color w:val="auto"/>
          <w:position w:val="14"/>
          <w:sz w:val="21"/>
          <w:szCs w:val="21"/>
          <w:highlight w:val="none"/>
        </w:rPr>
        <w:t>）对已签发的进度款支付证书中出现错误的修正，应在本次进度付款</w:t>
      </w:r>
      <w:r>
        <w:rPr>
          <w:rFonts w:ascii="宋体" w:hAnsi="宋体" w:eastAsia="宋体" w:cs="宋体"/>
          <w:color w:val="auto"/>
          <w:spacing w:val="-1"/>
          <w:position w:val="14"/>
          <w:sz w:val="21"/>
          <w:szCs w:val="21"/>
          <w:highlight w:val="none"/>
        </w:rPr>
        <w:t>中支付或扣除</w:t>
      </w:r>
    </w:p>
    <w:p w14:paraId="2B67A16A">
      <w:pPr>
        <w:spacing w:before="1" w:line="220" w:lineRule="auto"/>
        <w:ind w:left="35"/>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的金额；</w:t>
      </w:r>
    </w:p>
    <w:p w14:paraId="3435FD98">
      <w:pPr>
        <w:spacing w:before="152"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7</w:t>
      </w:r>
      <w:r>
        <w:rPr>
          <w:rFonts w:ascii="宋体" w:hAnsi="宋体" w:eastAsia="宋体" w:cs="宋体"/>
          <w:color w:val="auto"/>
          <w:spacing w:val="-2"/>
          <w:sz w:val="21"/>
          <w:szCs w:val="21"/>
          <w:highlight w:val="none"/>
        </w:rPr>
        <w:t>）根据合同约定应增加和扣减的其他金额。</w:t>
      </w:r>
    </w:p>
    <w:p w14:paraId="3F28D693">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12.4.3 </w:t>
      </w:r>
      <w:r>
        <w:rPr>
          <w:rFonts w:ascii="宋体" w:hAnsi="宋体" w:eastAsia="宋体" w:cs="宋体"/>
          <w:color w:val="auto"/>
          <w:spacing w:val="-2"/>
          <w:sz w:val="21"/>
          <w:szCs w:val="21"/>
          <w:highlight w:val="none"/>
        </w:rPr>
        <w:t>进度付款申请单的提交</w:t>
      </w:r>
    </w:p>
    <w:p w14:paraId="1E13221D">
      <w:pPr>
        <w:spacing w:before="148" w:line="219"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宋体" w:hAnsi="宋体" w:eastAsia="宋体" w:cs="宋体"/>
          <w:color w:val="auto"/>
          <w:spacing w:val="-1"/>
          <w:sz w:val="21"/>
          <w:szCs w:val="21"/>
          <w:highlight w:val="none"/>
        </w:rPr>
        <w:t>）单价合同进度付款申请单的提交</w:t>
      </w:r>
    </w:p>
    <w:p w14:paraId="04F56D8F">
      <w:pPr>
        <w:spacing w:before="152" w:line="351" w:lineRule="auto"/>
        <w:ind w:left="19" w:right="6" w:firstLine="423"/>
        <w:rPr>
          <w:rFonts w:ascii="宋体" w:hAnsi="宋体" w:eastAsia="宋体" w:cs="宋体"/>
          <w:color w:val="auto"/>
          <w:sz w:val="21"/>
          <w:szCs w:val="21"/>
          <w:highlight w:val="none"/>
        </w:rPr>
      </w:pPr>
      <w:r>
        <w:rPr>
          <w:rFonts w:ascii="宋体" w:hAnsi="宋体" w:eastAsia="宋体" w:cs="宋体"/>
          <w:color w:val="auto"/>
          <w:sz w:val="21"/>
          <w:szCs w:val="21"/>
          <w:highlight w:val="none"/>
        </w:rPr>
        <w:t>单价合同的进度付款申请单，按照第</w:t>
      </w:r>
      <w:r>
        <w:rPr>
          <w:rFonts w:ascii="宋体" w:hAnsi="宋体" w:eastAsia="宋体" w:cs="宋体"/>
          <w:color w:val="auto"/>
          <w:spacing w:val="27"/>
          <w:sz w:val="21"/>
          <w:szCs w:val="21"/>
          <w:highlight w:val="none"/>
        </w:rPr>
        <w:t xml:space="preserve"> </w:t>
      </w:r>
      <w:r>
        <w:rPr>
          <w:rFonts w:ascii="Times New Roman" w:hAnsi="Times New Roman" w:eastAsia="Times New Roman" w:cs="Times New Roman"/>
          <w:color w:val="auto"/>
          <w:sz w:val="21"/>
          <w:szCs w:val="21"/>
          <w:highlight w:val="none"/>
        </w:rPr>
        <w:t>12.3.3</w:t>
      </w:r>
      <w:r>
        <w:rPr>
          <w:rFonts w:ascii="Times New Roman" w:hAnsi="Times New Roman" w:eastAsia="Times New Roman" w:cs="Times New Roman"/>
          <w:color w:val="auto"/>
          <w:spacing w:val="46"/>
          <w:sz w:val="21"/>
          <w:szCs w:val="21"/>
          <w:highlight w:val="none"/>
        </w:rPr>
        <w:t xml:space="preserve"> </w:t>
      </w:r>
      <w:r>
        <w:rPr>
          <w:rFonts w:ascii="宋体" w:hAnsi="宋体" w:eastAsia="宋体" w:cs="宋体"/>
          <w:color w:val="auto"/>
          <w:sz w:val="21"/>
          <w:szCs w:val="21"/>
          <w:highlight w:val="none"/>
        </w:rPr>
        <w:t>项〔单价合</w:t>
      </w:r>
      <w:r>
        <w:rPr>
          <w:rFonts w:ascii="宋体" w:hAnsi="宋体" w:eastAsia="宋体" w:cs="宋体"/>
          <w:color w:val="auto"/>
          <w:spacing w:val="-1"/>
          <w:sz w:val="21"/>
          <w:szCs w:val="21"/>
          <w:highlight w:val="none"/>
        </w:rPr>
        <w:t>同的计量〕约定的时间按月向</w:t>
      </w:r>
      <w:r>
        <w:rPr>
          <w:rFonts w:ascii="宋体" w:hAnsi="宋体" w:eastAsia="宋体" w:cs="宋体"/>
          <w:color w:val="auto"/>
          <w:sz w:val="21"/>
          <w:szCs w:val="21"/>
          <w:highlight w:val="none"/>
        </w:rPr>
        <w:t xml:space="preserve"> 监理人提交， 并附上已完成工程量报表和有关资料。单价合同中的总价项目按月进行支付</w:t>
      </w:r>
    </w:p>
    <w:p w14:paraId="6C0072B0">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分解，并汇总列入当期进度付款申请单。</w:t>
      </w:r>
    </w:p>
    <w:p w14:paraId="31A7FB55">
      <w:pPr>
        <w:spacing w:before="153" w:line="219"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）总价合同进度付款申请单的提交</w:t>
      </w:r>
    </w:p>
    <w:p w14:paraId="786DFAF3">
      <w:pPr>
        <w:spacing w:before="149" w:line="398" w:lineRule="exact"/>
        <w:ind w:right="5"/>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总价合同按月计量支付的，承包人按照第</w:t>
      </w:r>
      <w:r>
        <w:rPr>
          <w:rFonts w:ascii="宋体" w:hAnsi="宋体" w:eastAsia="宋体" w:cs="宋体"/>
          <w:color w:val="auto"/>
          <w:spacing w:val="51"/>
          <w:position w:val="14"/>
          <w:sz w:val="21"/>
          <w:szCs w:val="21"/>
          <w:highlight w:val="none"/>
        </w:rPr>
        <w:t xml:space="preserve"> </w:t>
      </w:r>
      <w:r>
        <w:rPr>
          <w:rFonts w:ascii="Times New Roman" w:hAnsi="Times New Roman" w:eastAsia="Times New Roman" w:cs="Times New Roman"/>
          <w:color w:val="auto"/>
          <w:spacing w:val="-1"/>
          <w:position w:val="14"/>
          <w:sz w:val="21"/>
          <w:szCs w:val="21"/>
          <w:highlight w:val="none"/>
        </w:rPr>
        <w:t>12.3.4</w:t>
      </w:r>
      <w:r>
        <w:rPr>
          <w:rFonts w:ascii="Times New Roman" w:hAnsi="Times New Roman" w:eastAsia="Times New Roman" w:cs="Times New Roman"/>
          <w:color w:val="auto"/>
          <w:spacing w:val="46"/>
          <w:position w:val="14"/>
          <w:sz w:val="21"/>
          <w:szCs w:val="21"/>
          <w:highlight w:val="none"/>
        </w:rPr>
        <w:t xml:space="preserve"> </w:t>
      </w:r>
      <w:r>
        <w:rPr>
          <w:rFonts w:ascii="宋体" w:hAnsi="宋体" w:eastAsia="宋体" w:cs="宋体"/>
          <w:color w:val="auto"/>
          <w:spacing w:val="-1"/>
          <w:position w:val="14"/>
          <w:sz w:val="21"/>
          <w:szCs w:val="21"/>
          <w:highlight w:val="none"/>
        </w:rPr>
        <w:t>项〔总价合同的计量〕约定的时间按</w:t>
      </w:r>
    </w:p>
    <w:p w14:paraId="1DA2B86C">
      <w:pPr>
        <w:spacing w:before="1" w:line="219" w:lineRule="auto"/>
        <w:ind w:left="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月向监理人提交进度付款申请单，并附上已完成工程量报表和有关资</w:t>
      </w:r>
      <w:r>
        <w:rPr>
          <w:rFonts w:ascii="宋体" w:hAnsi="宋体" w:eastAsia="宋体" w:cs="宋体"/>
          <w:color w:val="auto"/>
          <w:spacing w:val="-2"/>
          <w:sz w:val="21"/>
          <w:szCs w:val="21"/>
          <w:highlight w:val="none"/>
        </w:rPr>
        <w:t>料。</w:t>
      </w:r>
    </w:p>
    <w:p w14:paraId="1BB0C559">
      <w:pPr>
        <w:spacing w:before="154" w:line="398" w:lineRule="exact"/>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总价合同按支付分解表支付的，承包人应按照第</w:t>
      </w:r>
      <w:r>
        <w:rPr>
          <w:rFonts w:ascii="宋体" w:hAnsi="宋体" w:eastAsia="宋体" w:cs="宋体"/>
          <w:color w:val="auto"/>
          <w:spacing w:val="-44"/>
          <w:position w:val="14"/>
          <w:sz w:val="21"/>
          <w:szCs w:val="21"/>
          <w:highlight w:val="none"/>
        </w:rPr>
        <w:t xml:space="preserve"> </w:t>
      </w:r>
      <w:r>
        <w:rPr>
          <w:rFonts w:ascii="Times New Roman" w:hAnsi="Times New Roman" w:eastAsia="Times New Roman" w:cs="Times New Roman"/>
          <w:color w:val="auto"/>
          <w:spacing w:val="-2"/>
          <w:position w:val="14"/>
          <w:sz w:val="21"/>
          <w:szCs w:val="21"/>
          <w:highlight w:val="none"/>
        </w:rPr>
        <w:t>12.4.6</w:t>
      </w:r>
      <w:r>
        <w:rPr>
          <w:rFonts w:ascii="Times New Roman" w:hAnsi="Times New Roman" w:eastAsia="Times New Roman" w:cs="Times New Roman"/>
          <w:color w:val="auto"/>
          <w:spacing w:val="-11"/>
          <w:position w:val="14"/>
          <w:sz w:val="21"/>
          <w:szCs w:val="21"/>
          <w:highlight w:val="none"/>
        </w:rPr>
        <w:t xml:space="preserve"> </w:t>
      </w:r>
      <w:r>
        <w:rPr>
          <w:rFonts w:ascii="宋体" w:hAnsi="宋体" w:eastAsia="宋体" w:cs="宋体"/>
          <w:color w:val="auto"/>
          <w:spacing w:val="-2"/>
          <w:position w:val="14"/>
          <w:sz w:val="21"/>
          <w:szCs w:val="21"/>
          <w:highlight w:val="none"/>
        </w:rPr>
        <w:t>项〔支付分解表〕及第</w:t>
      </w:r>
      <w:r>
        <w:rPr>
          <w:rFonts w:ascii="宋体" w:hAnsi="宋体" w:eastAsia="宋体" w:cs="宋体"/>
          <w:color w:val="auto"/>
          <w:spacing w:val="-47"/>
          <w:position w:val="14"/>
          <w:sz w:val="21"/>
          <w:szCs w:val="21"/>
          <w:highlight w:val="none"/>
        </w:rPr>
        <w:t xml:space="preserve"> </w:t>
      </w:r>
      <w:r>
        <w:rPr>
          <w:rFonts w:ascii="Times New Roman" w:hAnsi="Times New Roman" w:eastAsia="Times New Roman" w:cs="Times New Roman"/>
          <w:color w:val="auto"/>
          <w:spacing w:val="-2"/>
          <w:position w:val="14"/>
          <w:sz w:val="21"/>
          <w:szCs w:val="21"/>
          <w:highlight w:val="none"/>
        </w:rPr>
        <w:t>12.4.2</w:t>
      </w:r>
      <w:r>
        <w:rPr>
          <w:rFonts w:ascii="Times New Roman" w:hAnsi="Times New Roman" w:eastAsia="Times New Roman" w:cs="Times New Roman"/>
          <w:color w:val="auto"/>
          <w:spacing w:val="-12"/>
          <w:position w:val="14"/>
          <w:sz w:val="21"/>
          <w:szCs w:val="21"/>
          <w:highlight w:val="none"/>
        </w:rPr>
        <w:t xml:space="preserve"> </w:t>
      </w:r>
      <w:r>
        <w:rPr>
          <w:rFonts w:ascii="宋体" w:hAnsi="宋体" w:eastAsia="宋体" w:cs="宋体"/>
          <w:color w:val="auto"/>
          <w:spacing w:val="-2"/>
          <w:position w:val="14"/>
          <w:sz w:val="21"/>
          <w:szCs w:val="21"/>
          <w:highlight w:val="none"/>
        </w:rPr>
        <w:t>项</w:t>
      </w:r>
    </w:p>
    <w:p w14:paraId="4E9AFDDE">
      <w:pPr>
        <w:spacing w:before="1" w:line="220" w:lineRule="auto"/>
        <w:ind w:left="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〔进度付款申请单的编制〕的约定向监理人提交进度付款申请单。</w:t>
      </w:r>
    </w:p>
    <w:p w14:paraId="6DEF1CC3">
      <w:pPr>
        <w:spacing w:before="147" w:line="219"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）其他价格形式合同的进度付款申请单的提交</w:t>
      </w:r>
    </w:p>
    <w:p w14:paraId="5F700EA2">
      <w:pPr>
        <w:spacing w:before="154" w:line="399"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合同当事人可在专用合同条款中约定其他价格形式合同的进度付款申请单的编制和提</w:t>
      </w:r>
    </w:p>
    <w:p w14:paraId="7FC037B4">
      <w:pPr>
        <w:spacing w:line="221" w:lineRule="auto"/>
        <w:ind w:left="22"/>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交程序。</w:t>
      </w:r>
    </w:p>
    <w:p w14:paraId="5AD0CD36">
      <w:pPr>
        <w:spacing w:line="221" w:lineRule="auto"/>
        <w:rPr>
          <w:rFonts w:ascii="宋体" w:hAnsi="宋体" w:eastAsia="宋体" w:cs="宋体"/>
          <w:color w:val="auto"/>
          <w:sz w:val="21"/>
          <w:szCs w:val="21"/>
          <w:highlight w:val="none"/>
        </w:rPr>
        <w:sectPr>
          <w:footerReference r:id="rId135" w:type="default"/>
          <w:pgSz w:w="11905" w:h="16839"/>
          <w:pgMar w:top="1431" w:right="1785" w:bottom="1004" w:left="1785" w:header="0" w:footer="828" w:gutter="0"/>
          <w:pgNumType w:fmt="decimal"/>
          <w:cols w:space="720" w:num="1"/>
        </w:sectPr>
      </w:pPr>
    </w:p>
    <w:p w14:paraId="668A4713">
      <w:pPr>
        <w:spacing w:before="148"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12.4.4 </w:t>
      </w:r>
      <w:r>
        <w:rPr>
          <w:rFonts w:ascii="宋体" w:hAnsi="宋体" w:eastAsia="宋体" w:cs="宋体"/>
          <w:color w:val="auto"/>
          <w:spacing w:val="-2"/>
          <w:sz w:val="21"/>
          <w:szCs w:val="21"/>
          <w:highlight w:val="none"/>
        </w:rPr>
        <w:t>进度款审核和支付</w:t>
      </w:r>
    </w:p>
    <w:p w14:paraId="03FC71BD">
      <w:pPr>
        <w:spacing w:before="146" w:line="353" w:lineRule="auto"/>
        <w:ind w:left="18" w:right="2" w:firstLine="429"/>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）除专用合同条款另有约定外，监理人应在收到承包人进度付款申请单以及相关资</w:t>
      </w:r>
      <w:r>
        <w:rPr>
          <w:rFonts w:ascii="宋体" w:hAnsi="宋体" w:eastAsia="宋体" w:cs="宋体"/>
          <w:color w:val="auto"/>
          <w:spacing w:val="5"/>
          <w:sz w:val="21"/>
          <w:szCs w:val="21"/>
          <w:highlight w:val="none"/>
        </w:rPr>
        <w:t xml:space="preserve"> </w:t>
      </w:r>
      <w:r>
        <w:rPr>
          <w:rFonts w:ascii="宋体" w:hAnsi="宋体" w:eastAsia="宋体" w:cs="宋体"/>
          <w:color w:val="auto"/>
          <w:spacing w:val="-4"/>
          <w:sz w:val="21"/>
          <w:szCs w:val="21"/>
          <w:highlight w:val="none"/>
        </w:rPr>
        <w:t xml:space="preserve">料后 </w:t>
      </w:r>
      <w:r>
        <w:rPr>
          <w:rFonts w:ascii="Times New Roman" w:hAnsi="Times New Roman" w:eastAsia="Times New Roman" w:cs="Times New Roman"/>
          <w:color w:val="auto"/>
          <w:spacing w:val="-4"/>
          <w:sz w:val="21"/>
          <w:szCs w:val="21"/>
          <w:highlight w:val="none"/>
        </w:rPr>
        <w:t>7</w:t>
      </w:r>
      <w:r>
        <w:rPr>
          <w:rFonts w:ascii="Times New Roman" w:hAnsi="Times New Roman" w:eastAsia="Times New Roman" w:cs="Times New Roman"/>
          <w:color w:val="auto"/>
          <w:spacing w:val="47"/>
          <w:sz w:val="21"/>
          <w:szCs w:val="21"/>
          <w:highlight w:val="none"/>
        </w:rPr>
        <w:t xml:space="preserve"> </w:t>
      </w:r>
      <w:r>
        <w:rPr>
          <w:rFonts w:ascii="宋体" w:hAnsi="宋体" w:eastAsia="宋体" w:cs="宋体"/>
          <w:color w:val="auto"/>
          <w:spacing w:val="-4"/>
          <w:sz w:val="21"/>
          <w:szCs w:val="21"/>
          <w:highlight w:val="none"/>
        </w:rPr>
        <w:t xml:space="preserve">天内完成审查并报送发包人， 发包人应在收到后 </w:t>
      </w:r>
      <w:r>
        <w:rPr>
          <w:rFonts w:ascii="Times New Roman" w:hAnsi="Times New Roman" w:eastAsia="Times New Roman" w:cs="Times New Roman"/>
          <w:color w:val="auto"/>
          <w:spacing w:val="-4"/>
          <w:sz w:val="21"/>
          <w:szCs w:val="21"/>
          <w:highlight w:val="none"/>
        </w:rPr>
        <w:t>7</w:t>
      </w:r>
      <w:r>
        <w:rPr>
          <w:rFonts w:ascii="Times New Roman" w:hAnsi="Times New Roman" w:eastAsia="Times New Roman" w:cs="Times New Roman"/>
          <w:color w:val="auto"/>
          <w:spacing w:val="32"/>
          <w:sz w:val="21"/>
          <w:szCs w:val="21"/>
          <w:highlight w:val="none"/>
        </w:rPr>
        <w:t xml:space="preserve"> </w:t>
      </w:r>
      <w:r>
        <w:rPr>
          <w:rFonts w:ascii="宋体" w:hAnsi="宋体" w:eastAsia="宋体" w:cs="宋体"/>
          <w:color w:val="auto"/>
          <w:spacing w:val="-4"/>
          <w:sz w:val="21"/>
          <w:szCs w:val="21"/>
          <w:highlight w:val="none"/>
        </w:rPr>
        <w:t>天内完成审批并签发进度款支付</w:t>
      </w:r>
    </w:p>
    <w:p w14:paraId="216F9B36">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证书。发包人逾期未完成审批且未提出异议的， 视为已签发进度款支付证书。</w:t>
      </w:r>
    </w:p>
    <w:p w14:paraId="0FBE9B49">
      <w:pPr>
        <w:spacing w:before="150" w:line="352" w:lineRule="auto"/>
        <w:ind w:left="18" w:right="6" w:firstLine="426"/>
        <w:rPr>
          <w:rFonts w:ascii="宋体" w:hAnsi="宋体" w:eastAsia="宋体" w:cs="宋体"/>
          <w:color w:val="auto"/>
          <w:sz w:val="21"/>
          <w:szCs w:val="21"/>
          <w:highlight w:val="none"/>
        </w:rPr>
      </w:pPr>
      <w:r>
        <w:rPr>
          <w:rFonts w:ascii="宋体" w:hAnsi="宋体" w:eastAsia="宋体" w:cs="宋体"/>
          <w:color w:val="auto"/>
          <w:sz w:val="21"/>
          <w:szCs w:val="21"/>
          <w:highlight w:val="none"/>
        </w:rPr>
        <w:t>发包人和监理人对承包人的进度付款申请单有异议的， 有权要求承包人修正和提供补</w:t>
      </w:r>
      <w:r>
        <w:rPr>
          <w:rFonts w:ascii="宋体" w:hAnsi="宋体" w:eastAsia="宋体" w:cs="宋体"/>
          <w:color w:val="auto"/>
          <w:spacing w:val="5"/>
          <w:sz w:val="21"/>
          <w:szCs w:val="21"/>
          <w:highlight w:val="none"/>
        </w:rPr>
        <w:t xml:space="preserve"> </w:t>
      </w:r>
      <w:r>
        <w:rPr>
          <w:rFonts w:ascii="宋体" w:hAnsi="宋体" w:eastAsia="宋体" w:cs="宋体"/>
          <w:color w:val="auto"/>
          <w:spacing w:val="3"/>
          <w:sz w:val="21"/>
          <w:szCs w:val="21"/>
          <w:highlight w:val="none"/>
        </w:rPr>
        <w:t>充资料，承包人应提交修正后的进度付款申请单。监理人应在收到承包人修</w:t>
      </w:r>
      <w:r>
        <w:rPr>
          <w:rFonts w:ascii="宋体" w:hAnsi="宋体" w:eastAsia="宋体" w:cs="宋体"/>
          <w:color w:val="auto"/>
          <w:spacing w:val="2"/>
          <w:sz w:val="21"/>
          <w:szCs w:val="21"/>
          <w:highlight w:val="none"/>
        </w:rPr>
        <w:t>正后的进度付</w:t>
      </w:r>
      <w:r>
        <w:rPr>
          <w:rFonts w:ascii="宋体" w:hAnsi="宋体" w:eastAsia="宋体" w:cs="宋体"/>
          <w:color w:val="auto"/>
          <w:sz w:val="21"/>
          <w:szCs w:val="21"/>
          <w:highlight w:val="none"/>
        </w:rPr>
        <w:t xml:space="preserve"> 款申请单及相关资料后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天内完成审查并报送发包人，发包人应在收到监理人报送的进度</w:t>
      </w:r>
      <w:r>
        <w:rPr>
          <w:rFonts w:ascii="宋体" w:hAnsi="宋体" w:eastAsia="宋体" w:cs="宋体"/>
          <w:color w:val="auto"/>
          <w:spacing w:val="10"/>
          <w:sz w:val="21"/>
          <w:szCs w:val="21"/>
          <w:highlight w:val="none"/>
        </w:rPr>
        <w:t xml:space="preserve"> </w:t>
      </w:r>
      <w:r>
        <w:rPr>
          <w:rFonts w:ascii="宋体" w:hAnsi="宋体" w:eastAsia="宋体" w:cs="宋体"/>
          <w:color w:val="auto"/>
          <w:spacing w:val="-2"/>
          <w:sz w:val="21"/>
          <w:szCs w:val="21"/>
          <w:highlight w:val="none"/>
        </w:rPr>
        <w:t xml:space="preserve">付款申请单及相关资料后 </w:t>
      </w:r>
      <w:r>
        <w:rPr>
          <w:rFonts w:ascii="Times New Roman" w:hAnsi="Times New Roman" w:eastAsia="Times New Roman" w:cs="Times New Roman"/>
          <w:color w:val="auto"/>
          <w:spacing w:val="-2"/>
          <w:sz w:val="21"/>
          <w:szCs w:val="21"/>
          <w:highlight w:val="none"/>
        </w:rPr>
        <w:t xml:space="preserve">7  </w:t>
      </w:r>
      <w:r>
        <w:rPr>
          <w:rFonts w:ascii="宋体" w:hAnsi="宋体" w:eastAsia="宋体" w:cs="宋体"/>
          <w:color w:val="auto"/>
          <w:spacing w:val="-2"/>
          <w:sz w:val="21"/>
          <w:szCs w:val="21"/>
          <w:highlight w:val="none"/>
        </w:rPr>
        <w:t>天内， 向承包人签发无异议部分的临时进</w:t>
      </w:r>
      <w:r>
        <w:rPr>
          <w:rFonts w:ascii="宋体" w:hAnsi="宋体" w:eastAsia="宋体" w:cs="宋体"/>
          <w:color w:val="auto"/>
          <w:spacing w:val="-3"/>
          <w:sz w:val="21"/>
          <w:szCs w:val="21"/>
          <w:highlight w:val="none"/>
        </w:rPr>
        <w:t>度款支付证书。存在</w:t>
      </w:r>
    </w:p>
    <w:p w14:paraId="62D5A37A">
      <w:pPr>
        <w:spacing w:before="1" w:line="220" w:lineRule="auto"/>
        <w:ind w:left="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争议的部分，按照第</w:t>
      </w:r>
      <w:r>
        <w:rPr>
          <w:rFonts w:ascii="宋体" w:hAnsi="宋体" w:eastAsia="宋体" w:cs="宋体"/>
          <w:color w:val="auto"/>
          <w:spacing w:val="-22"/>
          <w:sz w:val="21"/>
          <w:szCs w:val="21"/>
          <w:highlight w:val="none"/>
        </w:rPr>
        <w:t xml:space="preserve"> </w:t>
      </w:r>
      <w:r>
        <w:rPr>
          <w:rFonts w:ascii="Times New Roman" w:hAnsi="Times New Roman" w:eastAsia="Times New Roman" w:cs="Times New Roman"/>
          <w:color w:val="auto"/>
          <w:spacing w:val="-2"/>
          <w:sz w:val="21"/>
          <w:szCs w:val="21"/>
          <w:highlight w:val="none"/>
        </w:rPr>
        <w:t xml:space="preserve">20 </w:t>
      </w:r>
      <w:r>
        <w:rPr>
          <w:rFonts w:ascii="宋体" w:hAnsi="宋体" w:eastAsia="宋体" w:cs="宋体"/>
          <w:color w:val="auto"/>
          <w:spacing w:val="-2"/>
          <w:sz w:val="21"/>
          <w:szCs w:val="21"/>
          <w:highlight w:val="none"/>
        </w:rPr>
        <w:t>条〔争议解决〕的约定处理。</w:t>
      </w:r>
    </w:p>
    <w:p w14:paraId="37D3BBE1">
      <w:pPr>
        <w:spacing w:before="148" w:line="352" w:lineRule="auto"/>
        <w:ind w:left="18" w:right="4" w:firstLine="429"/>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）除专用合同条款另有约定外，发包人应在进度款支付证书或临时进度款支付证书</w:t>
      </w:r>
      <w:r>
        <w:rPr>
          <w:rFonts w:ascii="宋体" w:hAnsi="宋体" w:eastAsia="宋体" w:cs="宋体"/>
          <w:color w:val="auto"/>
          <w:spacing w:val="4"/>
          <w:sz w:val="21"/>
          <w:szCs w:val="21"/>
          <w:highlight w:val="none"/>
        </w:rPr>
        <w:t xml:space="preserve"> </w:t>
      </w:r>
      <w:r>
        <w:rPr>
          <w:rFonts w:ascii="宋体" w:hAnsi="宋体" w:eastAsia="宋体" w:cs="宋体"/>
          <w:color w:val="auto"/>
          <w:spacing w:val="-4"/>
          <w:sz w:val="21"/>
          <w:szCs w:val="21"/>
          <w:highlight w:val="none"/>
        </w:rPr>
        <w:t xml:space="preserve">签发后 </w:t>
      </w:r>
      <w:r>
        <w:rPr>
          <w:rFonts w:ascii="Times New Roman" w:hAnsi="Times New Roman" w:eastAsia="Times New Roman" w:cs="Times New Roman"/>
          <w:color w:val="auto"/>
          <w:spacing w:val="-4"/>
          <w:sz w:val="21"/>
          <w:szCs w:val="21"/>
          <w:highlight w:val="none"/>
        </w:rPr>
        <w:t>14</w:t>
      </w:r>
      <w:r>
        <w:rPr>
          <w:rFonts w:ascii="Times New Roman" w:hAnsi="Times New Roman" w:eastAsia="Times New Roman" w:cs="Times New Roman"/>
          <w:color w:val="auto"/>
          <w:spacing w:val="24"/>
          <w:w w:val="101"/>
          <w:sz w:val="21"/>
          <w:szCs w:val="21"/>
          <w:highlight w:val="none"/>
        </w:rPr>
        <w:t xml:space="preserve"> </w:t>
      </w:r>
      <w:r>
        <w:rPr>
          <w:rFonts w:ascii="宋体" w:hAnsi="宋体" w:eastAsia="宋体" w:cs="宋体"/>
          <w:color w:val="auto"/>
          <w:spacing w:val="-4"/>
          <w:sz w:val="21"/>
          <w:szCs w:val="21"/>
          <w:highlight w:val="none"/>
        </w:rPr>
        <w:t>天内完成支付， 发包人逾期支付进度款的，应按照中国人民银行发布的同期同类</w:t>
      </w:r>
    </w:p>
    <w:p w14:paraId="0DA49ABE">
      <w:pPr>
        <w:spacing w:before="1" w:line="220" w:lineRule="auto"/>
        <w:ind w:left="1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贷款基准利率支付违约金。</w:t>
      </w:r>
    </w:p>
    <w:p w14:paraId="6AA611B0">
      <w:pPr>
        <w:spacing w:before="148" w:line="398" w:lineRule="exact"/>
        <w:ind w:right="12"/>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）发包人签发进度款支付证书或临时进度款支付证书，不表明发包人已同</w:t>
      </w:r>
      <w:r>
        <w:rPr>
          <w:rFonts w:ascii="宋体" w:hAnsi="宋体" w:eastAsia="宋体" w:cs="宋体"/>
          <w:color w:val="auto"/>
          <w:spacing w:val="-1"/>
          <w:position w:val="14"/>
          <w:sz w:val="21"/>
          <w:szCs w:val="21"/>
          <w:highlight w:val="none"/>
        </w:rPr>
        <w:t>意、批准</w:t>
      </w:r>
    </w:p>
    <w:p w14:paraId="183C0358">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或接受了承包人完成的相应部分的工作。</w:t>
      </w:r>
    </w:p>
    <w:p w14:paraId="3855E987">
      <w:pPr>
        <w:spacing w:before="152"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12.4.5 </w:t>
      </w:r>
      <w:r>
        <w:rPr>
          <w:rFonts w:ascii="宋体" w:hAnsi="宋体" w:eastAsia="宋体" w:cs="宋体"/>
          <w:color w:val="auto"/>
          <w:spacing w:val="-2"/>
          <w:sz w:val="21"/>
          <w:szCs w:val="21"/>
          <w:highlight w:val="none"/>
        </w:rPr>
        <w:t>进度付款的修正</w:t>
      </w:r>
    </w:p>
    <w:p w14:paraId="3C6665C4">
      <w:pPr>
        <w:spacing w:before="146" w:line="353" w:lineRule="auto"/>
        <w:ind w:left="20" w:right="6" w:firstLine="420"/>
        <w:rPr>
          <w:rFonts w:ascii="宋体" w:hAnsi="宋体" w:eastAsia="宋体" w:cs="宋体"/>
          <w:color w:val="auto"/>
          <w:sz w:val="21"/>
          <w:szCs w:val="21"/>
          <w:highlight w:val="none"/>
        </w:rPr>
      </w:pPr>
      <w:r>
        <w:rPr>
          <w:rFonts w:ascii="宋体" w:hAnsi="宋体" w:eastAsia="宋体" w:cs="宋体"/>
          <w:color w:val="auto"/>
          <w:sz w:val="21"/>
          <w:szCs w:val="21"/>
          <w:highlight w:val="none"/>
        </w:rPr>
        <w:t>在对已签发的进度款支付证书进行阶段汇总和复核中发现错误、遗漏或重复的， 发包</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人和承包人均有权提出修正申请。经发包人和承包人同意的修正， 应在下期进度付款中支</w:t>
      </w:r>
    </w:p>
    <w:p w14:paraId="0141FBAE">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付或扣除。</w:t>
      </w:r>
    </w:p>
    <w:p w14:paraId="70CA61B2">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12.4.6 </w:t>
      </w:r>
      <w:r>
        <w:rPr>
          <w:rFonts w:ascii="宋体" w:hAnsi="宋体" w:eastAsia="宋体" w:cs="宋体"/>
          <w:color w:val="auto"/>
          <w:spacing w:val="-2"/>
          <w:sz w:val="21"/>
          <w:szCs w:val="21"/>
          <w:highlight w:val="none"/>
        </w:rPr>
        <w:t>支付分解表</w:t>
      </w:r>
    </w:p>
    <w:p w14:paraId="50F1D988">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支付分解表的编制要求</w:t>
      </w:r>
    </w:p>
    <w:p w14:paraId="3D7861B4">
      <w:pPr>
        <w:spacing w:before="153" w:line="398" w:lineRule="exact"/>
        <w:ind w:right="3"/>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1</w:t>
      </w:r>
      <w:r>
        <w:rPr>
          <w:rFonts w:ascii="宋体" w:hAnsi="宋体" w:eastAsia="宋体" w:cs="宋体"/>
          <w:color w:val="auto"/>
          <w:spacing w:val="-1"/>
          <w:position w:val="14"/>
          <w:sz w:val="21"/>
          <w:szCs w:val="21"/>
          <w:highlight w:val="none"/>
        </w:rPr>
        <w:t xml:space="preserve">）支付分解表中所列的每期付款金额，应为第 </w:t>
      </w:r>
      <w:r>
        <w:rPr>
          <w:rFonts w:ascii="Times New Roman" w:hAnsi="Times New Roman" w:eastAsia="Times New Roman" w:cs="Times New Roman"/>
          <w:color w:val="auto"/>
          <w:spacing w:val="-1"/>
          <w:position w:val="14"/>
          <w:sz w:val="21"/>
          <w:szCs w:val="21"/>
          <w:highlight w:val="none"/>
        </w:rPr>
        <w:t xml:space="preserve">12.4.2 </w:t>
      </w:r>
      <w:r>
        <w:rPr>
          <w:rFonts w:ascii="宋体" w:hAnsi="宋体" w:eastAsia="宋体" w:cs="宋体"/>
          <w:color w:val="auto"/>
          <w:spacing w:val="-1"/>
          <w:position w:val="14"/>
          <w:sz w:val="21"/>
          <w:szCs w:val="21"/>
          <w:highlight w:val="none"/>
        </w:rPr>
        <w:t>项〔进度付款申请单</w:t>
      </w:r>
      <w:r>
        <w:rPr>
          <w:rFonts w:ascii="宋体" w:hAnsi="宋体" w:eastAsia="宋体" w:cs="宋体"/>
          <w:color w:val="auto"/>
          <w:spacing w:val="-2"/>
          <w:position w:val="14"/>
          <w:sz w:val="21"/>
          <w:szCs w:val="21"/>
          <w:highlight w:val="none"/>
        </w:rPr>
        <w:t>的编制〕</w:t>
      </w:r>
    </w:p>
    <w:p w14:paraId="2DB31775">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第（</w:t>
      </w:r>
      <w:r>
        <w:rPr>
          <w:rFonts w:ascii="Times New Roman" w:hAnsi="Times New Roman" w:eastAsia="Times New Roman" w:cs="Times New Roman"/>
          <w:color w:val="auto"/>
          <w:spacing w:val="-5"/>
          <w:sz w:val="21"/>
          <w:szCs w:val="21"/>
          <w:highlight w:val="none"/>
        </w:rPr>
        <w:t>1</w:t>
      </w:r>
      <w:r>
        <w:rPr>
          <w:rFonts w:ascii="宋体" w:hAnsi="宋体" w:eastAsia="宋体" w:cs="宋体"/>
          <w:color w:val="auto"/>
          <w:spacing w:val="-5"/>
          <w:sz w:val="21"/>
          <w:szCs w:val="21"/>
          <w:highlight w:val="none"/>
        </w:rPr>
        <w:t>）</w:t>
      </w:r>
      <w:r>
        <w:rPr>
          <w:rFonts w:ascii="宋体" w:hAnsi="宋体" w:eastAsia="宋体" w:cs="宋体"/>
          <w:color w:val="auto"/>
          <w:spacing w:val="-53"/>
          <w:sz w:val="21"/>
          <w:szCs w:val="21"/>
          <w:highlight w:val="none"/>
        </w:rPr>
        <w:t xml:space="preserve"> </w:t>
      </w:r>
      <w:r>
        <w:rPr>
          <w:rFonts w:ascii="宋体" w:hAnsi="宋体" w:eastAsia="宋体" w:cs="宋体"/>
          <w:color w:val="auto"/>
          <w:spacing w:val="-5"/>
          <w:sz w:val="21"/>
          <w:szCs w:val="21"/>
          <w:highlight w:val="none"/>
        </w:rPr>
        <w:t>目的估算金额；</w:t>
      </w:r>
    </w:p>
    <w:p w14:paraId="2E01DB8D">
      <w:pPr>
        <w:spacing w:before="149" w:line="403" w:lineRule="exact"/>
        <w:ind w:right="2"/>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2</w:t>
      </w:r>
      <w:r>
        <w:rPr>
          <w:rFonts w:ascii="宋体" w:hAnsi="宋体" w:eastAsia="宋体" w:cs="宋体"/>
          <w:color w:val="auto"/>
          <w:spacing w:val="-1"/>
          <w:position w:val="14"/>
          <w:sz w:val="21"/>
          <w:szCs w:val="21"/>
          <w:highlight w:val="none"/>
        </w:rPr>
        <w:t xml:space="preserve">）实际进度与施工进度计划不一致的，合同当事人可按照第 </w:t>
      </w:r>
      <w:r>
        <w:rPr>
          <w:rFonts w:ascii="Times New Roman" w:hAnsi="Times New Roman" w:eastAsia="Times New Roman" w:cs="Times New Roman"/>
          <w:color w:val="auto"/>
          <w:spacing w:val="-1"/>
          <w:position w:val="14"/>
          <w:sz w:val="21"/>
          <w:szCs w:val="21"/>
          <w:highlight w:val="none"/>
        </w:rPr>
        <w:t>4.4</w:t>
      </w:r>
      <w:r>
        <w:rPr>
          <w:rFonts w:ascii="Times New Roman" w:hAnsi="Times New Roman" w:eastAsia="Times New Roman" w:cs="Times New Roman"/>
          <w:color w:val="auto"/>
          <w:spacing w:val="46"/>
          <w:w w:val="101"/>
          <w:position w:val="14"/>
          <w:sz w:val="21"/>
          <w:szCs w:val="21"/>
          <w:highlight w:val="none"/>
        </w:rPr>
        <w:t xml:space="preserve"> </w:t>
      </w:r>
      <w:r>
        <w:rPr>
          <w:rFonts w:ascii="宋体" w:hAnsi="宋体" w:eastAsia="宋体" w:cs="宋体"/>
          <w:color w:val="auto"/>
          <w:spacing w:val="-1"/>
          <w:position w:val="14"/>
          <w:sz w:val="21"/>
          <w:szCs w:val="21"/>
          <w:highlight w:val="none"/>
        </w:rPr>
        <w:t>款〔商定或确定〕</w:t>
      </w:r>
    </w:p>
    <w:p w14:paraId="1F671B96">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修改支付分解表；</w:t>
      </w:r>
    </w:p>
    <w:p w14:paraId="5BF087FC">
      <w:pPr>
        <w:spacing w:before="148" w:line="399" w:lineRule="exact"/>
        <w:ind w:right="12"/>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）不采用支付分解表的，承包人应向发包人和监理人提交按季度编制的支付</w:t>
      </w:r>
      <w:r>
        <w:rPr>
          <w:rFonts w:ascii="宋体" w:hAnsi="宋体" w:eastAsia="宋体" w:cs="宋体"/>
          <w:color w:val="auto"/>
          <w:spacing w:val="-1"/>
          <w:position w:val="14"/>
          <w:sz w:val="21"/>
          <w:szCs w:val="21"/>
          <w:highlight w:val="none"/>
        </w:rPr>
        <w:t>估算分</w:t>
      </w:r>
    </w:p>
    <w:p w14:paraId="68BD80A0">
      <w:pPr>
        <w:spacing w:line="220"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解表，用于支付参考。</w:t>
      </w:r>
    </w:p>
    <w:p w14:paraId="794EBF2B">
      <w:pPr>
        <w:spacing w:before="153" w:line="219"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总价合同支付分解表的编制与审批</w:t>
      </w:r>
    </w:p>
    <w:p w14:paraId="3367B0BD">
      <w:pPr>
        <w:spacing w:before="148" w:line="352" w:lineRule="auto"/>
        <w:ind w:left="18" w:right="1" w:firstLine="42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宋体" w:hAnsi="宋体" w:eastAsia="宋体" w:cs="宋体"/>
          <w:color w:val="auto"/>
          <w:spacing w:val="-1"/>
          <w:sz w:val="21"/>
          <w:szCs w:val="21"/>
          <w:highlight w:val="none"/>
        </w:rPr>
        <w:t xml:space="preserve">）除专用合同条款另有约定外，承包人应根据第 </w:t>
      </w:r>
      <w:r>
        <w:rPr>
          <w:rFonts w:ascii="Times New Roman" w:hAnsi="Times New Roman" w:eastAsia="Times New Roman" w:cs="Times New Roman"/>
          <w:color w:val="auto"/>
          <w:spacing w:val="-1"/>
          <w:sz w:val="21"/>
          <w:szCs w:val="21"/>
          <w:highlight w:val="none"/>
        </w:rPr>
        <w:t>7.2</w:t>
      </w:r>
      <w:r>
        <w:rPr>
          <w:rFonts w:ascii="Times New Roman" w:hAnsi="Times New Roman" w:eastAsia="Times New Roman" w:cs="Times New Roman"/>
          <w:color w:val="auto"/>
          <w:spacing w:val="48"/>
          <w:sz w:val="21"/>
          <w:szCs w:val="21"/>
          <w:highlight w:val="none"/>
        </w:rPr>
        <w:t xml:space="preserve"> </w:t>
      </w:r>
      <w:r>
        <w:rPr>
          <w:rFonts w:ascii="宋体" w:hAnsi="宋体" w:eastAsia="宋体" w:cs="宋体"/>
          <w:color w:val="auto"/>
          <w:spacing w:val="-1"/>
          <w:sz w:val="21"/>
          <w:szCs w:val="21"/>
          <w:highlight w:val="none"/>
        </w:rPr>
        <w:t>款〔施工进度计划〕约定的施</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工进度计划、签约合同价和工程量等因素对总价合同按月进行分解，编制支</w:t>
      </w:r>
      <w:r>
        <w:rPr>
          <w:rFonts w:ascii="宋体" w:hAnsi="宋体" w:eastAsia="宋体" w:cs="宋体"/>
          <w:color w:val="auto"/>
          <w:spacing w:val="2"/>
          <w:sz w:val="21"/>
          <w:szCs w:val="21"/>
          <w:highlight w:val="none"/>
        </w:rPr>
        <w:t>付分解表。承</w:t>
      </w:r>
      <w:r>
        <w:rPr>
          <w:rFonts w:ascii="宋体" w:hAnsi="宋体" w:eastAsia="宋体" w:cs="宋体"/>
          <w:color w:val="auto"/>
          <w:sz w:val="21"/>
          <w:szCs w:val="21"/>
          <w:highlight w:val="none"/>
        </w:rPr>
        <w:t xml:space="preserve"> 包人应当在收到监理人和发包人批准的施工进度计划后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天内，将支付分解表及编制支付</w:t>
      </w:r>
    </w:p>
    <w:p w14:paraId="678D0459">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分解表的支持性资料报送监理人。</w:t>
      </w:r>
    </w:p>
    <w:p w14:paraId="3E9EDCC4">
      <w:pPr>
        <w:spacing w:before="148" w:line="352" w:lineRule="auto"/>
        <w:ind w:left="19" w:right="2" w:firstLine="428"/>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）监理人应在收到支付分解表后</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天内完</w:t>
      </w:r>
      <w:r>
        <w:rPr>
          <w:rFonts w:ascii="宋体" w:hAnsi="宋体" w:eastAsia="宋体" w:cs="宋体"/>
          <w:color w:val="auto"/>
          <w:spacing w:val="-1"/>
          <w:sz w:val="21"/>
          <w:szCs w:val="21"/>
          <w:highlight w:val="none"/>
        </w:rPr>
        <w:t>成审核并报送发包人。发包人应在收到经</w:t>
      </w:r>
      <w:r>
        <w:rPr>
          <w:rFonts w:ascii="宋体" w:hAnsi="宋体" w:eastAsia="宋体" w:cs="宋体"/>
          <w:color w:val="auto"/>
          <w:sz w:val="21"/>
          <w:szCs w:val="21"/>
          <w:highlight w:val="none"/>
        </w:rPr>
        <w:t xml:space="preserve"> 监理人审核的支付分解表后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天内完成审批，经发包人批准的支付分解表为有约束力的支</w:t>
      </w:r>
    </w:p>
    <w:p w14:paraId="76B0FAB9">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付分解表。</w:t>
      </w:r>
    </w:p>
    <w:p w14:paraId="0BBFEFAB">
      <w:pPr>
        <w:spacing w:line="220" w:lineRule="auto"/>
        <w:rPr>
          <w:rFonts w:ascii="宋体" w:hAnsi="宋体" w:eastAsia="宋体" w:cs="宋体"/>
          <w:color w:val="auto"/>
          <w:sz w:val="21"/>
          <w:szCs w:val="21"/>
          <w:highlight w:val="none"/>
        </w:rPr>
        <w:sectPr>
          <w:footerReference r:id="rId136" w:type="default"/>
          <w:pgSz w:w="11905" w:h="16839"/>
          <w:pgMar w:top="1431" w:right="1785" w:bottom="1004" w:left="1785" w:header="0" w:footer="828" w:gutter="0"/>
          <w:pgNumType w:fmt="decimal"/>
          <w:cols w:space="720" w:num="1"/>
        </w:sectPr>
      </w:pPr>
    </w:p>
    <w:p w14:paraId="6F3816CC">
      <w:pPr>
        <w:spacing w:before="149" w:line="398" w:lineRule="exact"/>
        <w:ind w:right="2"/>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）发包人逾期未完成支付分解表审批的，也未及时要求承包人进行修正和提供补充</w:t>
      </w:r>
    </w:p>
    <w:p w14:paraId="3963E687">
      <w:pPr>
        <w:spacing w:line="220" w:lineRule="auto"/>
        <w:ind w:left="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资料的，则承包人提交的支付分解表视为已经获得发包人批准。</w:t>
      </w:r>
    </w:p>
    <w:p w14:paraId="0FFC9F6C">
      <w:pPr>
        <w:spacing w:before="152" w:line="219"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单价合同的总价项目支付分解表的编制与审批</w:t>
      </w:r>
    </w:p>
    <w:p w14:paraId="09C22D5B">
      <w:pPr>
        <w:spacing w:before="149" w:line="399"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除专用合同条款另有约定外，单价合同的总价项目，由承包人</w:t>
      </w:r>
      <w:r>
        <w:rPr>
          <w:rFonts w:ascii="宋体" w:hAnsi="宋体" w:eastAsia="宋体" w:cs="宋体"/>
          <w:color w:val="auto"/>
          <w:spacing w:val="2"/>
          <w:position w:val="14"/>
          <w:sz w:val="21"/>
          <w:szCs w:val="21"/>
          <w:highlight w:val="none"/>
        </w:rPr>
        <w:t>根据施工进度计划和总</w:t>
      </w:r>
    </w:p>
    <w:p w14:paraId="64B001AF">
      <w:pPr>
        <w:spacing w:line="219" w:lineRule="auto"/>
        <w:ind w:left="19"/>
        <w:rPr>
          <w:rFonts w:ascii="宋体" w:hAnsi="宋体" w:eastAsia="宋体" w:cs="宋体"/>
          <w:color w:val="auto"/>
          <w:sz w:val="21"/>
          <w:szCs w:val="21"/>
          <w:highlight w:val="none"/>
        </w:rPr>
      </w:pPr>
      <w:r>
        <w:rPr>
          <w:rFonts w:ascii="宋体" w:hAnsi="宋体" w:eastAsia="宋体" w:cs="宋体"/>
          <w:color w:val="auto"/>
          <w:sz w:val="21"/>
          <w:szCs w:val="21"/>
          <w:highlight w:val="none"/>
        </w:rPr>
        <w:t>价项目的总价构成、费用性质、计划发生时间和相应工程量等因素按月进行分解， 形成支</w:t>
      </w:r>
    </w:p>
    <w:p w14:paraId="02102EF3">
      <w:pPr>
        <w:spacing w:before="154" w:line="219" w:lineRule="auto"/>
        <w:ind w:left="18"/>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付分解表，</w:t>
      </w:r>
      <w:r>
        <w:rPr>
          <w:rFonts w:ascii="宋体" w:hAnsi="宋体" w:eastAsia="宋体" w:cs="宋体"/>
          <w:color w:val="auto"/>
          <w:spacing w:val="54"/>
          <w:sz w:val="21"/>
          <w:szCs w:val="21"/>
          <w:highlight w:val="none"/>
        </w:rPr>
        <w:t xml:space="preserve"> </w:t>
      </w:r>
      <w:r>
        <w:rPr>
          <w:rFonts w:ascii="宋体" w:hAnsi="宋体" w:eastAsia="宋体" w:cs="宋体"/>
          <w:color w:val="auto"/>
          <w:spacing w:val="-6"/>
          <w:sz w:val="21"/>
          <w:szCs w:val="21"/>
          <w:highlight w:val="none"/>
        </w:rPr>
        <w:t>其编制与审批参照总价合同支付分解表的编制与审批执行。</w:t>
      </w:r>
    </w:p>
    <w:p w14:paraId="711D0DFB">
      <w:pPr>
        <w:spacing w:before="47" w:line="218"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12.5</w:t>
      </w:r>
      <w:r>
        <w:rPr>
          <w:rFonts w:ascii="黑体" w:hAnsi="黑体" w:eastAsia="黑体" w:cs="黑体"/>
          <w:color w:val="auto"/>
          <w:spacing w:val="-41"/>
          <w:sz w:val="24"/>
          <w:szCs w:val="24"/>
          <w:highlight w:val="none"/>
        </w:rPr>
        <w:t xml:space="preserve"> </w:t>
      </w:r>
      <w:r>
        <w:rPr>
          <w:rFonts w:ascii="黑体" w:hAnsi="黑体" w:eastAsia="黑体" w:cs="黑体"/>
          <w:color w:val="auto"/>
          <w:spacing w:val="-5"/>
          <w:sz w:val="24"/>
          <w:szCs w:val="24"/>
          <w:highlight w:val="none"/>
        </w:rPr>
        <w:t>支付账户</w:t>
      </w:r>
    </w:p>
    <w:p w14:paraId="68B5AC05">
      <w:pPr>
        <w:spacing w:before="131" w:line="423" w:lineRule="exact"/>
        <w:ind w:left="444"/>
        <w:rPr>
          <w:rFonts w:ascii="宋体" w:hAnsi="宋体" w:eastAsia="宋体" w:cs="宋体"/>
          <w:color w:val="auto"/>
          <w:sz w:val="21"/>
          <w:szCs w:val="21"/>
          <w:highlight w:val="none"/>
        </w:rPr>
      </w:pPr>
      <w:r>
        <w:rPr>
          <w:rFonts w:ascii="宋体" w:hAnsi="宋体" w:eastAsia="宋体" w:cs="宋体"/>
          <w:color w:val="auto"/>
          <w:spacing w:val="-1"/>
          <w:position w:val="16"/>
          <w:sz w:val="21"/>
          <w:szCs w:val="21"/>
          <w:highlight w:val="none"/>
        </w:rPr>
        <w:t>发包人应将合同价款支付至合同协议书中约定的</w:t>
      </w:r>
      <w:r>
        <w:rPr>
          <w:rFonts w:ascii="宋体" w:hAnsi="宋体" w:eastAsia="宋体" w:cs="宋体"/>
          <w:color w:val="auto"/>
          <w:spacing w:val="-2"/>
          <w:position w:val="16"/>
          <w:sz w:val="21"/>
          <w:szCs w:val="21"/>
          <w:highlight w:val="none"/>
        </w:rPr>
        <w:t>承包人账户。</w:t>
      </w:r>
    </w:p>
    <w:p w14:paraId="7B0EA7FC">
      <w:pPr>
        <w:spacing w:line="219" w:lineRule="auto"/>
        <w:ind w:left="39"/>
        <w:rPr>
          <w:rFonts w:ascii="黑体" w:hAnsi="黑体" w:eastAsia="黑体" w:cs="黑体"/>
          <w:color w:val="auto"/>
          <w:sz w:val="32"/>
          <w:szCs w:val="32"/>
          <w:highlight w:val="none"/>
        </w:rPr>
      </w:pPr>
      <w:r>
        <w:rPr>
          <w:rFonts w:ascii="黑体" w:hAnsi="黑体" w:eastAsia="黑体" w:cs="黑体"/>
          <w:color w:val="auto"/>
          <w:spacing w:val="-3"/>
          <w:sz w:val="32"/>
          <w:szCs w:val="32"/>
          <w:highlight w:val="none"/>
        </w:rPr>
        <w:t>13.验收和工程试车</w:t>
      </w:r>
    </w:p>
    <w:p w14:paraId="5BAE35E6">
      <w:pPr>
        <w:spacing w:before="147" w:line="219"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13.1</w:t>
      </w:r>
      <w:r>
        <w:rPr>
          <w:rFonts w:ascii="黑体" w:hAnsi="黑体" w:eastAsia="黑体" w:cs="黑体"/>
          <w:color w:val="auto"/>
          <w:spacing w:val="-47"/>
          <w:sz w:val="24"/>
          <w:szCs w:val="24"/>
          <w:highlight w:val="none"/>
        </w:rPr>
        <w:t xml:space="preserve"> </w:t>
      </w:r>
      <w:r>
        <w:rPr>
          <w:rFonts w:ascii="黑体" w:hAnsi="黑体" w:eastAsia="黑体" w:cs="黑体"/>
          <w:color w:val="auto"/>
          <w:spacing w:val="-3"/>
          <w:sz w:val="24"/>
          <w:szCs w:val="24"/>
          <w:highlight w:val="none"/>
        </w:rPr>
        <w:t>分部分项工程验收</w:t>
      </w:r>
    </w:p>
    <w:p w14:paraId="0DC563EB">
      <w:pPr>
        <w:spacing w:before="129" w:line="404" w:lineRule="exact"/>
        <w:ind w:right="8"/>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3"/>
          <w:position w:val="14"/>
          <w:sz w:val="21"/>
          <w:szCs w:val="21"/>
          <w:highlight w:val="none"/>
        </w:rPr>
        <w:t>13.1.1</w:t>
      </w:r>
      <w:r>
        <w:rPr>
          <w:rFonts w:ascii="Times New Roman" w:hAnsi="Times New Roman" w:eastAsia="Times New Roman" w:cs="Times New Roman"/>
          <w:color w:val="auto"/>
          <w:spacing w:val="40"/>
          <w:w w:val="101"/>
          <w:position w:val="14"/>
          <w:sz w:val="21"/>
          <w:szCs w:val="21"/>
          <w:highlight w:val="none"/>
        </w:rPr>
        <w:t xml:space="preserve"> </w:t>
      </w:r>
      <w:r>
        <w:rPr>
          <w:rFonts w:ascii="宋体" w:hAnsi="宋体" w:eastAsia="宋体" w:cs="宋体"/>
          <w:color w:val="auto"/>
          <w:spacing w:val="3"/>
          <w:position w:val="14"/>
          <w:sz w:val="21"/>
          <w:szCs w:val="21"/>
          <w:highlight w:val="none"/>
        </w:rPr>
        <w:t>分部分项工程质量应符合国家有关工程施工验收</w:t>
      </w:r>
      <w:r>
        <w:rPr>
          <w:rFonts w:ascii="宋体" w:hAnsi="宋体" w:eastAsia="宋体" w:cs="宋体"/>
          <w:color w:val="auto"/>
          <w:spacing w:val="2"/>
          <w:position w:val="14"/>
          <w:sz w:val="21"/>
          <w:szCs w:val="21"/>
          <w:highlight w:val="none"/>
        </w:rPr>
        <w:t>规范、标准及合同约定，承包</w:t>
      </w:r>
    </w:p>
    <w:p w14:paraId="4B081EAD">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人应按照施工组织设计的要求完成分部分项工程施工。</w:t>
      </w:r>
    </w:p>
    <w:p w14:paraId="37FD9E7F">
      <w:pPr>
        <w:spacing w:before="149" w:line="351" w:lineRule="auto"/>
        <w:ind w:left="14" w:right="3" w:firstLine="443"/>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13.1.2</w:t>
      </w:r>
      <w:r>
        <w:rPr>
          <w:rFonts w:ascii="Times New Roman" w:hAnsi="Times New Roman" w:eastAsia="Times New Roman" w:cs="Times New Roman"/>
          <w:color w:val="auto"/>
          <w:spacing w:val="64"/>
          <w:w w:val="101"/>
          <w:sz w:val="21"/>
          <w:szCs w:val="21"/>
          <w:highlight w:val="none"/>
        </w:rPr>
        <w:t xml:space="preserve"> </w:t>
      </w:r>
      <w:r>
        <w:rPr>
          <w:rFonts w:ascii="宋体" w:hAnsi="宋体" w:eastAsia="宋体" w:cs="宋体"/>
          <w:color w:val="auto"/>
          <w:spacing w:val="2"/>
          <w:sz w:val="21"/>
          <w:szCs w:val="21"/>
          <w:highlight w:val="none"/>
        </w:rPr>
        <w:t>除专用合同条款另有约定外，分部分项工程经承包人自检合格并具备验收条件</w:t>
      </w:r>
      <w:r>
        <w:rPr>
          <w:rFonts w:ascii="宋体" w:hAnsi="宋体" w:eastAsia="宋体" w:cs="宋体"/>
          <w:color w:val="auto"/>
          <w:sz w:val="21"/>
          <w:szCs w:val="21"/>
          <w:highlight w:val="none"/>
        </w:rPr>
        <w:t xml:space="preserve"> 的，承包人应提前</w:t>
      </w:r>
      <w:r>
        <w:rPr>
          <w:rFonts w:ascii="宋体" w:hAnsi="宋体" w:eastAsia="宋体" w:cs="宋体"/>
          <w:color w:val="auto"/>
          <w:spacing w:val="-34"/>
          <w:sz w:val="21"/>
          <w:szCs w:val="21"/>
          <w:highlight w:val="none"/>
        </w:rPr>
        <w:t xml:space="preserve"> </w:t>
      </w:r>
      <w:r>
        <w:rPr>
          <w:rFonts w:ascii="Times New Roman" w:hAnsi="Times New Roman" w:eastAsia="Times New Roman" w:cs="Times New Roman"/>
          <w:color w:val="auto"/>
          <w:sz w:val="21"/>
          <w:szCs w:val="21"/>
          <w:highlight w:val="none"/>
        </w:rPr>
        <w:t>48</w:t>
      </w:r>
      <w:r>
        <w:rPr>
          <w:rFonts w:ascii="Times New Roman" w:hAnsi="Times New Roman" w:eastAsia="Times New Roman" w:cs="Times New Roman"/>
          <w:color w:val="auto"/>
          <w:spacing w:val="14"/>
          <w:w w:val="101"/>
          <w:sz w:val="21"/>
          <w:szCs w:val="21"/>
          <w:highlight w:val="none"/>
        </w:rPr>
        <w:t xml:space="preserve"> </w:t>
      </w:r>
      <w:r>
        <w:rPr>
          <w:rFonts w:ascii="宋体" w:hAnsi="宋体" w:eastAsia="宋体" w:cs="宋体"/>
          <w:color w:val="auto"/>
          <w:sz w:val="21"/>
          <w:szCs w:val="21"/>
          <w:highlight w:val="none"/>
        </w:rPr>
        <w:t>小时通知监理人进行验收。监理人</w:t>
      </w:r>
      <w:r>
        <w:rPr>
          <w:rFonts w:ascii="宋体" w:hAnsi="宋体" w:eastAsia="宋体" w:cs="宋体"/>
          <w:color w:val="auto"/>
          <w:spacing w:val="-1"/>
          <w:sz w:val="21"/>
          <w:szCs w:val="21"/>
          <w:highlight w:val="none"/>
        </w:rPr>
        <w:t>不能按时进行验收的，应在验收前</w:t>
      </w:r>
      <w:r>
        <w:rPr>
          <w:rFonts w:ascii="宋体" w:hAnsi="宋体" w:eastAsia="宋体" w:cs="宋体"/>
          <w:color w:val="auto"/>
          <w:sz w:val="21"/>
          <w:szCs w:val="21"/>
          <w:highlight w:val="none"/>
        </w:rPr>
        <w:t xml:space="preserve"> </w:t>
      </w:r>
      <w:r>
        <w:rPr>
          <w:rFonts w:ascii="Times New Roman" w:hAnsi="Times New Roman" w:eastAsia="Times New Roman" w:cs="Times New Roman"/>
          <w:color w:val="auto"/>
          <w:spacing w:val="-3"/>
          <w:sz w:val="21"/>
          <w:szCs w:val="21"/>
          <w:highlight w:val="none"/>
        </w:rPr>
        <w:t xml:space="preserve">24 </w:t>
      </w:r>
      <w:r>
        <w:rPr>
          <w:rFonts w:ascii="宋体" w:hAnsi="宋体" w:eastAsia="宋体" w:cs="宋体"/>
          <w:color w:val="auto"/>
          <w:spacing w:val="-3"/>
          <w:sz w:val="21"/>
          <w:szCs w:val="21"/>
          <w:highlight w:val="none"/>
        </w:rPr>
        <w:t>小时向承包人提交书面延期要求， 但</w:t>
      </w:r>
      <w:r>
        <w:rPr>
          <w:rFonts w:ascii="宋体" w:hAnsi="宋体" w:eastAsia="宋体" w:cs="宋体"/>
          <w:color w:val="auto"/>
          <w:spacing w:val="-4"/>
          <w:sz w:val="21"/>
          <w:szCs w:val="21"/>
          <w:highlight w:val="none"/>
        </w:rPr>
        <w:t>延期不能超过</w:t>
      </w:r>
      <w:r>
        <w:rPr>
          <w:rFonts w:ascii="宋体" w:hAnsi="宋体" w:eastAsia="宋体" w:cs="宋体"/>
          <w:color w:val="auto"/>
          <w:spacing w:val="-52"/>
          <w:sz w:val="21"/>
          <w:szCs w:val="21"/>
          <w:highlight w:val="none"/>
        </w:rPr>
        <w:t xml:space="preserve"> </w:t>
      </w:r>
      <w:r>
        <w:rPr>
          <w:rFonts w:ascii="Times New Roman" w:hAnsi="Times New Roman" w:eastAsia="Times New Roman" w:cs="Times New Roman"/>
          <w:color w:val="auto"/>
          <w:spacing w:val="-4"/>
          <w:sz w:val="21"/>
          <w:szCs w:val="21"/>
          <w:highlight w:val="none"/>
        </w:rPr>
        <w:t xml:space="preserve">48 </w:t>
      </w:r>
      <w:r>
        <w:rPr>
          <w:rFonts w:ascii="宋体" w:hAnsi="宋体" w:eastAsia="宋体" w:cs="宋体"/>
          <w:color w:val="auto"/>
          <w:spacing w:val="-4"/>
          <w:sz w:val="21"/>
          <w:szCs w:val="21"/>
          <w:highlight w:val="none"/>
        </w:rPr>
        <w:t>小时。监理人未按时进行验收，也</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未提出延期要求的，承包人有权自行验收，监理人应认可验收结果。分部分项工程未</w:t>
      </w:r>
      <w:r>
        <w:rPr>
          <w:rFonts w:ascii="宋体" w:hAnsi="宋体" w:eastAsia="宋体" w:cs="宋体"/>
          <w:color w:val="auto"/>
          <w:spacing w:val="2"/>
          <w:sz w:val="21"/>
          <w:szCs w:val="21"/>
          <w:highlight w:val="none"/>
        </w:rPr>
        <w:t>经验</w:t>
      </w:r>
    </w:p>
    <w:p w14:paraId="65C89739">
      <w:pPr>
        <w:spacing w:before="1" w:line="220" w:lineRule="auto"/>
        <w:ind w:left="2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收的，不得进入下一道工序施工。</w:t>
      </w:r>
    </w:p>
    <w:p w14:paraId="7E34C883">
      <w:pPr>
        <w:spacing w:before="152" w:line="221" w:lineRule="auto"/>
        <w:ind w:left="4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分部分项工程的验收资料应当作为竣工资料的组成部分。</w:t>
      </w:r>
    </w:p>
    <w:p w14:paraId="643C3082">
      <w:pPr>
        <w:spacing w:before="46" w:line="218" w:lineRule="auto"/>
        <w:ind w:left="31"/>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13.2</w:t>
      </w:r>
      <w:r>
        <w:rPr>
          <w:rFonts w:ascii="黑体" w:hAnsi="黑体" w:eastAsia="黑体" w:cs="黑体"/>
          <w:color w:val="auto"/>
          <w:spacing w:val="-51"/>
          <w:sz w:val="24"/>
          <w:szCs w:val="24"/>
          <w:highlight w:val="none"/>
        </w:rPr>
        <w:t xml:space="preserve"> </w:t>
      </w:r>
      <w:r>
        <w:rPr>
          <w:rFonts w:ascii="黑体" w:hAnsi="黑体" w:eastAsia="黑体" w:cs="黑体"/>
          <w:color w:val="auto"/>
          <w:spacing w:val="-4"/>
          <w:sz w:val="24"/>
          <w:szCs w:val="24"/>
          <w:highlight w:val="none"/>
        </w:rPr>
        <w:t>竣工验收</w:t>
      </w:r>
    </w:p>
    <w:p w14:paraId="43FC6544">
      <w:pPr>
        <w:spacing w:before="130"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13.2.1 </w:t>
      </w:r>
      <w:r>
        <w:rPr>
          <w:rFonts w:ascii="宋体" w:hAnsi="宋体" w:eastAsia="宋体" w:cs="宋体"/>
          <w:color w:val="auto"/>
          <w:spacing w:val="-3"/>
          <w:sz w:val="21"/>
          <w:szCs w:val="21"/>
          <w:highlight w:val="none"/>
        </w:rPr>
        <w:t>竣工验收条件</w:t>
      </w:r>
    </w:p>
    <w:p w14:paraId="342B077A">
      <w:pPr>
        <w:spacing w:before="147" w:line="221" w:lineRule="auto"/>
        <w:ind w:left="4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工程具备以下条件的，承包人可以申请竣工验收：</w:t>
      </w:r>
    </w:p>
    <w:p w14:paraId="4823BF34">
      <w:pPr>
        <w:spacing w:before="152" w:line="221" w:lineRule="auto"/>
        <w:ind w:right="3"/>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）除发包人同意的甩项工作和缺陷修补工作外，合同范围内的全部工程以及有关工</w:t>
      </w:r>
    </w:p>
    <w:p w14:paraId="30A21343">
      <w:pPr>
        <w:spacing w:before="147" w:line="221"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作，包括合同要求的试验、试运行以及检验均已完成，并符合合同要求；</w:t>
      </w:r>
    </w:p>
    <w:p w14:paraId="25D5BE4B">
      <w:pPr>
        <w:spacing w:before="147" w:line="403"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2</w:t>
      </w:r>
      <w:r>
        <w:rPr>
          <w:rFonts w:ascii="宋体" w:hAnsi="宋体" w:eastAsia="宋体" w:cs="宋体"/>
          <w:color w:val="auto"/>
          <w:spacing w:val="-1"/>
          <w:position w:val="14"/>
          <w:sz w:val="21"/>
          <w:szCs w:val="21"/>
          <w:highlight w:val="none"/>
        </w:rPr>
        <w:t>）已按合同约定编制了甩项工作和缺陷修补工作清单</w:t>
      </w:r>
      <w:r>
        <w:rPr>
          <w:rFonts w:ascii="宋体" w:hAnsi="宋体" w:eastAsia="宋体" w:cs="宋体"/>
          <w:color w:val="auto"/>
          <w:spacing w:val="-2"/>
          <w:position w:val="14"/>
          <w:sz w:val="21"/>
          <w:szCs w:val="21"/>
          <w:highlight w:val="none"/>
        </w:rPr>
        <w:t>以及相应的施工计划；</w:t>
      </w:r>
    </w:p>
    <w:p w14:paraId="26A9D896">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）已按合同约定的内容和份数备齐竣工资料。</w:t>
      </w:r>
    </w:p>
    <w:p w14:paraId="79C068CB">
      <w:pPr>
        <w:spacing w:before="148"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13.2.2 </w:t>
      </w:r>
      <w:r>
        <w:rPr>
          <w:rFonts w:ascii="宋体" w:hAnsi="宋体" w:eastAsia="宋体" w:cs="宋体"/>
          <w:color w:val="auto"/>
          <w:spacing w:val="-3"/>
          <w:sz w:val="21"/>
          <w:szCs w:val="21"/>
          <w:highlight w:val="none"/>
        </w:rPr>
        <w:t>竣工验收程序</w:t>
      </w:r>
    </w:p>
    <w:p w14:paraId="0CB604AD">
      <w:pPr>
        <w:spacing w:before="147" w:line="221" w:lineRule="auto"/>
        <w:ind w:left="45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除专用合同条款另有约定外， 承包人申请竣工验收的</w:t>
      </w:r>
      <w:r>
        <w:rPr>
          <w:rFonts w:ascii="宋体" w:hAnsi="宋体" w:eastAsia="宋体" w:cs="宋体"/>
          <w:color w:val="auto"/>
          <w:spacing w:val="-5"/>
          <w:sz w:val="21"/>
          <w:szCs w:val="21"/>
          <w:highlight w:val="none"/>
        </w:rPr>
        <w:t>，应当按照以下程序进行：</w:t>
      </w:r>
    </w:p>
    <w:p w14:paraId="7CC0300C">
      <w:pPr>
        <w:spacing w:before="151" w:line="352" w:lineRule="auto"/>
        <w:ind w:left="19" w:right="8" w:firstLine="428"/>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1</w:t>
      </w:r>
      <w:r>
        <w:rPr>
          <w:rFonts w:ascii="宋体" w:hAnsi="宋体" w:eastAsia="宋体" w:cs="宋体"/>
          <w:color w:val="auto"/>
          <w:spacing w:val="6"/>
          <w:sz w:val="21"/>
          <w:szCs w:val="21"/>
          <w:highlight w:val="none"/>
        </w:rPr>
        <w:t>）承包人向监理人报送竣工验收申请报告</w:t>
      </w:r>
      <w:r>
        <w:rPr>
          <w:rFonts w:ascii="宋体" w:hAnsi="宋体" w:eastAsia="宋体" w:cs="宋体"/>
          <w:color w:val="auto"/>
          <w:spacing w:val="5"/>
          <w:sz w:val="21"/>
          <w:szCs w:val="21"/>
          <w:highlight w:val="none"/>
        </w:rPr>
        <w:t>，监理人应在收到竣工验收申请报告后</w:t>
      </w:r>
      <w:r>
        <w:rPr>
          <w:rFonts w:ascii="宋体" w:hAnsi="宋体" w:eastAsia="宋体" w:cs="宋体"/>
          <w:color w:val="auto"/>
          <w:sz w:val="21"/>
          <w:szCs w:val="21"/>
          <w:highlight w:val="none"/>
        </w:rPr>
        <w:t xml:space="preserve"> </w:t>
      </w:r>
      <w:r>
        <w:rPr>
          <w:rFonts w:ascii="Times New Roman" w:hAnsi="Times New Roman" w:eastAsia="Times New Roman" w:cs="Times New Roman"/>
          <w:color w:val="auto"/>
          <w:sz w:val="21"/>
          <w:szCs w:val="21"/>
          <w:highlight w:val="none"/>
        </w:rPr>
        <w:t>14</w:t>
      </w:r>
      <w:r>
        <w:rPr>
          <w:rFonts w:ascii="Times New Roman" w:hAnsi="Times New Roman" w:eastAsia="Times New Roman" w:cs="Times New Roman"/>
          <w:color w:val="auto"/>
          <w:spacing w:val="61"/>
          <w:sz w:val="21"/>
          <w:szCs w:val="21"/>
          <w:highlight w:val="none"/>
        </w:rPr>
        <w:t xml:space="preserve"> </w:t>
      </w:r>
      <w:r>
        <w:rPr>
          <w:rFonts w:ascii="宋体" w:hAnsi="宋体" w:eastAsia="宋体" w:cs="宋体"/>
          <w:color w:val="auto"/>
          <w:sz w:val="21"/>
          <w:szCs w:val="21"/>
          <w:highlight w:val="none"/>
        </w:rPr>
        <w:t>天内完成审查并报送发包人。监理人审查后认为尚不具备验收条件的，应通知承包人在 竣工验收前承包人还需完成的工作内容， 承包人应在完成监理人通知的全部工作内容后，</w:t>
      </w:r>
    </w:p>
    <w:p w14:paraId="35B03D3F">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再次提交竣工验收申请报告。</w:t>
      </w:r>
    </w:p>
    <w:p w14:paraId="7C6BBD1D">
      <w:pPr>
        <w:spacing w:before="150" w:line="352" w:lineRule="auto"/>
        <w:ind w:left="21" w:right="6" w:firstLine="42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2</w:t>
      </w:r>
      <w:r>
        <w:rPr>
          <w:rFonts w:ascii="宋体" w:hAnsi="宋体" w:eastAsia="宋体" w:cs="宋体"/>
          <w:color w:val="auto"/>
          <w:spacing w:val="-5"/>
          <w:sz w:val="21"/>
          <w:szCs w:val="21"/>
          <w:highlight w:val="none"/>
        </w:rPr>
        <w:t>）监理人审查后认为已具备竣工验收条件的，</w:t>
      </w:r>
      <w:r>
        <w:rPr>
          <w:rFonts w:ascii="宋体" w:hAnsi="宋体" w:eastAsia="宋体" w:cs="宋体"/>
          <w:color w:val="auto"/>
          <w:spacing w:val="51"/>
          <w:sz w:val="21"/>
          <w:szCs w:val="21"/>
          <w:highlight w:val="none"/>
        </w:rPr>
        <w:t xml:space="preserve"> </w:t>
      </w:r>
      <w:r>
        <w:rPr>
          <w:rFonts w:ascii="宋体" w:hAnsi="宋体" w:eastAsia="宋体" w:cs="宋体"/>
          <w:color w:val="auto"/>
          <w:spacing w:val="-5"/>
          <w:sz w:val="21"/>
          <w:szCs w:val="21"/>
          <w:highlight w:val="none"/>
        </w:rPr>
        <w:t>应将竣工验收申</w:t>
      </w:r>
      <w:r>
        <w:rPr>
          <w:rFonts w:ascii="宋体" w:hAnsi="宋体" w:eastAsia="宋体" w:cs="宋体"/>
          <w:color w:val="auto"/>
          <w:spacing w:val="-6"/>
          <w:sz w:val="21"/>
          <w:szCs w:val="21"/>
          <w:highlight w:val="none"/>
        </w:rPr>
        <w:t>请报告提交发包人，</w:t>
      </w:r>
      <w:r>
        <w:rPr>
          <w:rFonts w:ascii="宋体" w:hAnsi="宋体" w:eastAsia="宋体" w:cs="宋体"/>
          <w:color w:val="auto"/>
          <w:sz w:val="21"/>
          <w:szCs w:val="21"/>
          <w:highlight w:val="none"/>
        </w:rPr>
        <w:t xml:space="preserve"> 发包人应在收到经监理人审核的竣工验收申</w:t>
      </w:r>
      <w:r>
        <w:rPr>
          <w:rFonts w:ascii="宋体" w:hAnsi="宋体" w:eastAsia="宋体" w:cs="宋体"/>
          <w:color w:val="auto"/>
          <w:spacing w:val="-1"/>
          <w:sz w:val="21"/>
          <w:szCs w:val="21"/>
          <w:highlight w:val="none"/>
        </w:rPr>
        <w:t>请报告后</w:t>
      </w:r>
      <w:r>
        <w:rPr>
          <w:rFonts w:ascii="宋体" w:hAnsi="宋体" w:eastAsia="宋体" w:cs="宋体"/>
          <w:color w:val="auto"/>
          <w:spacing w:val="-37"/>
          <w:sz w:val="21"/>
          <w:szCs w:val="21"/>
          <w:highlight w:val="none"/>
        </w:rPr>
        <w:t xml:space="preserve"> </w:t>
      </w:r>
      <w:r>
        <w:rPr>
          <w:rFonts w:ascii="Times New Roman" w:hAnsi="Times New Roman" w:eastAsia="Times New Roman" w:cs="Times New Roman"/>
          <w:color w:val="auto"/>
          <w:spacing w:val="-1"/>
          <w:sz w:val="21"/>
          <w:szCs w:val="21"/>
          <w:highlight w:val="none"/>
        </w:rPr>
        <w:t>28</w:t>
      </w:r>
      <w:r>
        <w:rPr>
          <w:rFonts w:ascii="Times New Roman" w:hAnsi="Times New Roman" w:eastAsia="Times New Roman" w:cs="Times New Roman"/>
          <w:color w:val="auto"/>
          <w:spacing w:val="13"/>
          <w:w w:val="101"/>
          <w:sz w:val="21"/>
          <w:szCs w:val="21"/>
          <w:highlight w:val="none"/>
        </w:rPr>
        <w:t xml:space="preserve"> </w:t>
      </w:r>
      <w:r>
        <w:rPr>
          <w:rFonts w:ascii="宋体" w:hAnsi="宋体" w:eastAsia="宋体" w:cs="宋体"/>
          <w:color w:val="auto"/>
          <w:spacing w:val="-1"/>
          <w:sz w:val="21"/>
          <w:szCs w:val="21"/>
          <w:highlight w:val="none"/>
        </w:rPr>
        <w:t>天内审批完毕并组织监理人、承包</w:t>
      </w:r>
    </w:p>
    <w:p w14:paraId="7E1D6B1E">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人、设计人等相关单位完成竣工验收。</w:t>
      </w:r>
    </w:p>
    <w:p w14:paraId="25D65B5D">
      <w:pPr>
        <w:spacing w:line="220" w:lineRule="auto"/>
        <w:rPr>
          <w:rFonts w:ascii="宋体" w:hAnsi="宋体" w:eastAsia="宋体" w:cs="宋体"/>
          <w:color w:val="auto"/>
          <w:sz w:val="21"/>
          <w:szCs w:val="21"/>
          <w:highlight w:val="none"/>
        </w:rPr>
        <w:sectPr>
          <w:footerReference r:id="rId137" w:type="default"/>
          <w:pgSz w:w="11905" w:h="16839"/>
          <w:pgMar w:top="1431" w:right="1785" w:bottom="1004" w:left="1785" w:header="0" w:footer="828" w:gutter="0"/>
          <w:pgNumType w:fmt="decimal"/>
          <w:cols w:space="720" w:num="1"/>
        </w:sectPr>
      </w:pPr>
    </w:p>
    <w:p w14:paraId="28C7FD74">
      <w:pPr>
        <w:spacing w:before="150" w:line="352" w:lineRule="auto"/>
        <w:ind w:left="21" w:right="6" w:firstLine="425"/>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）竣工验收合格的，发包人应在验收合格后</w:t>
      </w:r>
      <w:r>
        <w:rPr>
          <w:rFonts w:ascii="宋体" w:hAnsi="宋体" w:eastAsia="宋体" w:cs="宋体"/>
          <w:color w:val="auto"/>
          <w:spacing w:val="57"/>
          <w:sz w:val="21"/>
          <w:szCs w:val="21"/>
          <w:highlight w:val="none"/>
        </w:rPr>
        <w:t xml:space="preserve"> </w:t>
      </w:r>
      <w:r>
        <w:rPr>
          <w:rFonts w:ascii="Times New Roman" w:hAnsi="Times New Roman" w:eastAsia="Times New Roman" w:cs="Times New Roman"/>
          <w:color w:val="auto"/>
          <w:spacing w:val="-2"/>
          <w:sz w:val="21"/>
          <w:szCs w:val="21"/>
          <w:highlight w:val="none"/>
        </w:rPr>
        <w:t>14</w:t>
      </w:r>
      <w:r>
        <w:rPr>
          <w:rFonts w:ascii="Times New Roman" w:hAnsi="Times New Roman" w:eastAsia="Times New Roman" w:cs="Times New Roman"/>
          <w:color w:val="auto"/>
          <w:spacing w:val="42"/>
          <w:w w:val="101"/>
          <w:sz w:val="21"/>
          <w:szCs w:val="21"/>
          <w:highlight w:val="none"/>
        </w:rPr>
        <w:t xml:space="preserve"> </w:t>
      </w:r>
      <w:r>
        <w:rPr>
          <w:rFonts w:ascii="宋体" w:hAnsi="宋体" w:eastAsia="宋体" w:cs="宋体"/>
          <w:color w:val="auto"/>
          <w:spacing w:val="-2"/>
          <w:sz w:val="21"/>
          <w:szCs w:val="21"/>
          <w:highlight w:val="none"/>
        </w:rPr>
        <w:t>天内向承包人签发工程接收证书。</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发包人无正当理由逾期不颁发工程接收证书的，</w:t>
      </w:r>
      <w:r>
        <w:rPr>
          <w:rFonts w:ascii="宋体" w:hAnsi="宋体" w:eastAsia="宋体" w:cs="宋体"/>
          <w:color w:val="auto"/>
          <w:spacing w:val="47"/>
          <w:sz w:val="21"/>
          <w:szCs w:val="21"/>
          <w:highlight w:val="none"/>
        </w:rPr>
        <w:t xml:space="preserve"> </w:t>
      </w:r>
      <w:r>
        <w:rPr>
          <w:rFonts w:ascii="宋体" w:hAnsi="宋体" w:eastAsia="宋体" w:cs="宋体"/>
          <w:color w:val="auto"/>
          <w:spacing w:val="-5"/>
          <w:sz w:val="21"/>
          <w:szCs w:val="21"/>
          <w:highlight w:val="none"/>
        </w:rPr>
        <w:t xml:space="preserve">自验收合格后第 </w:t>
      </w:r>
      <w:r>
        <w:rPr>
          <w:rFonts w:ascii="Times New Roman" w:hAnsi="Times New Roman" w:eastAsia="Times New Roman" w:cs="Times New Roman"/>
          <w:color w:val="auto"/>
          <w:spacing w:val="-5"/>
          <w:sz w:val="21"/>
          <w:szCs w:val="21"/>
          <w:highlight w:val="none"/>
        </w:rPr>
        <w:t>15</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pacing w:val="-5"/>
          <w:sz w:val="21"/>
          <w:szCs w:val="21"/>
          <w:highlight w:val="none"/>
        </w:rPr>
        <w:t>天起视为已</w:t>
      </w:r>
      <w:r>
        <w:rPr>
          <w:rFonts w:ascii="宋体" w:hAnsi="宋体" w:eastAsia="宋体" w:cs="宋体"/>
          <w:color w:val="auto"/>
          <w:spacing w:val="-6"/>
          <w:sz w:val="21"/>
          <w:szCs w:val="21"/>
          <w:highlight w:val="none"/>
        </w:rPr>
        <w:t>颁发工程接</w:t>
      </w:r>
    </w:p>
    <w:p w14:paraId="79948DD8">
      <w:pPr>
        <w:spacing w:line="219" w:lineRule="auto"/>
        <w:ind w:left="25"/>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收证书。</w:t>
      </w:r>
    </w:p>
    <w:p w14:paraId="7C4044B3">
      <w:pPr>
        <w:spacing w:before="147" w:line="352" w:lineRule="auto"/>
        <w:ind w:left="18" w:right="11" w:firstLine="429"/>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4</w:t>
      </w:r>
      <w:r>
        <w:rPr>
          <w:rFonts w:ascii="宋体" w:hAnsi="宋体" w:eastAsia="宋体" w:cs="宋体"/>
          <w:color w:val="auto"/>
          <w:sz w:val="21"/>
          <w:szCs w:val="21"/>
          <w:highlight w:val="none"/>
        </w:rPr>
        <w:t>）竣工验收不合格的，监理人应按照验收意见发出指示，要求承包人对不合</w:t>
      </w:r>
      <w:r>
        <w:rPr>
          <w:rFonts w:ascii="宋体" w:hAnsi="宋体" w:eastAsia="宋体" w:cs="宋体"/>
          <w:color w:val="auto"/>
          <w:spacing w:val="-1"/>
          <w:sz w:val="21"/>
          <w:szCs w:val="21"/>
          <w:highlight w:val="none"/>
        </w:rPr>
        <w:t>格工程</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返工、修复或采取其他补救措施， 由此增加的费用和</w:t>
      </w:r>
      <w:r>
        <w:rPr>
          <w:rFonts w:ascii="宋体" w:hAnsi="宋体" w:eastAsia="宋体" w:cs="宋体"/>
          <w:color w:val="auto"/>
          <w:spacing w:val="-3"/>
          <w:sz w:val="21"/>
          <w:szCs w:val="21"/>
          <w:highlight w:val="none"/>
        </w:rPr>
        <w:t>（或） 延误的工期由承包人承担。承</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包人在完成不合格工程的返工、修复或采取其他补救措施后，应重新提交竣</w:t>
      </w:r>
      <w:r>
        <w:rPr>
          <w:rFonts w:ascii="宋体" w:hAnsi="宋体" w:eastAsia="宋体" w:cs="宋体"/>
          <w:color w:val="auto"/>
          <w:spacing w:val="2"/>
          <w:sz w:val="21"/>
          <w:szCs w:val="21"/>
          <w:highlight w:val="none"/>
        </w:rPr>
        <w:t>工验收申请报</w:t>
      </w:r>
    </w:p>
    <w:p w14:paraId="5FE4EAB7">
      <w:pPr>
        <w:spacing w:line="219" w:lineRule="auto"/>
        <w:ind w:left="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告，并按本项约定的程序重新进行验收。</w:t>
      </w:r>
    </w:p>
    <w:p w14:paraId="4933EE6E">
      <w:pPr>
        <w:spacing w:before="150" w:line="352" w:lineRule="auto"/>
        <w:ind w:left="18" w:right="1" w:firstLine="429"/>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5</w:t>
      </w:r>
      <w:r>
        <w:rPr>
          <w:rFonts w:ascii="宋体" w:hAnsi="宋体" w:eastAsia="宋体" w:cs="宋体"/>
          <w:color w:val="auto"/>
          <w:sz w:val="21"/>
          <w:szCs w:val="21"/>
          <w:highlight w:val="none"/>
        </w:rPr>
        <w:t>）工程未经验收或验收不合格，发包人擅自</w:t>
      </w:r>
      <w:r>
        <w:rPr>
          <w:rFonts w:ascii="宋体" w:hAnsi="宋体" w:eastAsia="宋体" w:cs="宋体"/>
          <w:color w:val="auto"/>
          <w:spacing w:val="-1"/>
          <w:sz w:val="21"/>
          <w:szCs w:val="21"/>
          <w:highlight w:val="none"/>
        </w:rPr>
        <w:t>使用的，应在转移占有工程后</w:t>
      </w:r>
      <w:r>
        <w:rPr>
          <w:rFonts w:ascii="宋体" w:hAnsi="宋体" w:eastAsia="宋体" w:cs="宋体"/>
          <w:color w:val="auto"/>
          <w:spacing w:val="-27"/>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天内向</w:t>
      </w:r>
      <w:r>
        <w:rPr>
          <w:rFonts w:ascii="宋体" w:hAnsi="宋体" w:eastAsia="宋体" w:cs="宋体"/>
          <w:color w:val="auto"/>
          <w:sz w:val="21"/>
          <w:szCs w:val="21"/>
          <w:highlight w:val="none"/>
        </w:rPr>
        <w:t xml:space="preserve"> 承包人颁发工程接收证书；发包人无正当理由逾期不颁发工程接收证书的， 自转移占有后</w:t>
      </w:r>
    </w:p>
    <w:p w14:paraId="64DAC217">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第</w:t>
      </w:r>
      <w:r>
        <w:rPr>
          <w:rFonts w:ascii="宋体" w:hAnsi="宋体" w:eastAsia="宋体" w:cs="宋体"/>
          <w:color w:val="auto"/>
          <w:spacing w:val="-17"/>
          <w:sz w:val="21"/>
          <w:szCs w:val="21"/>
          <w:highlight w:val="none"/>
        </w:rPr>
        <w:t xml:space="preserve"> </w:t>
      </w:r>
      <w:r>
        <w:rPr>
          <w:rFonts w:ascii="Times New Roman" w:hAnsi="Times New Roman" w:eastAsia="Times New Roman" w:cs="Times New Roman"/>
          <w:color w:val="auto"/>
          <w:spacing w:val="-4"/>
          <w:sz w:val="21"/>
          <w:szCs w:val="21"/>
          <w:highlight w:val="none"/>
        </w:rPr>
        <w:t xml:space="preserve">15 </w:t>
      </w:r>
      <w:r>
        <w:rPr>
          <w:rFonts w:ascii="宋体" w:hAnsi="宋体" w:eastAsia="宋体" w:cs="宋体"/>
          <w:color w:val="auto"/>
          <w:spacing w:val="-4"/>
          <w:sz w:val="21"/>
          <w:szCs w:val="21"/>
          <w:highlight w:val="none"/>
        </w:rPr>
        <w:t>天起视为已颁发工程接收证书。</w:t>
      </w:r>
    </w:p>
    <w:p w14:paraId="0C7A3B84">
      <w:pPr>
        <w:spacing w:before="147" w:line="353" w:lineRule="auto"/>
        <w:ind w:left="22" w:right="6" w:firstLine="43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除专用合同条款另有约定外，发包人不按照本项约定组织竣工</w:t>
      </w:r>
      <w:r>
        <w:rPr>
          <w:rFonts w:ascii="宋体" w:hAnsi="宋体" w:eastAsia="宋体" w:cs="宋体"/>
          <w:color w:val="auto"/>
          <w:spacing w:val="2"/>
          <w:sz w:val="21"/>
          <w:szCs w:val="21"/>
          <w:highlight w:val="none"/>
        </w:rPr>
        <w:t>验收、颁发工程接收证</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书的， 每逾期一天，应以签约合同价为基数</w:t>
      </w:r>
      <w:r>
        <w:rPr>
          <w:rFonts w:ascii="宋体" w:hAnsi="宋体" w:eastAsia="宋体" w:cs="宋体"/>
          <w:color w:val="auto"/>
          <w:spacing w:val="-3"/>
          <w:sz w:val="21"/>
          <w:szCs w:val="21"/>
          <w:highlight w:val="none"/>
        </w:rPr>
        <w:t>， 按照中国人民银行发布的同期同类贷款基准</w:t>
      </w:r>
    </w:p>
    <w:p w14:paraId="32FFB09B">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利率支付违约金。</w:t>
      </w:r>
    </w:p>
    <w:p w14:paraId="00ECDC4D">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13.2.3 </w:t>
      </w:r>
      <w:r>
        <w:rPr>
          <w:rFonts w:ascii="宋体" w:hAnsi="宋体" w:eastAsia="宋体" w:cs="宋体"/>
          <w:color w:val="auto"/>
          <w:spacing w:val="-3"/>
          <w:sz w:val="21"/>
          <w:szCs w:val="21"/>
          <w:highlight w:val="none"/>
        </w:rPr>
        <w:t>竣工日期</w:t>
      </w:r>
    </w:p>
    <w:p w14:paraId="7E2CDD8C">
      <w:pPr>
        <w:spacing w:before="154" w:line="351" w:lineRule="auto"/>
        <w:ind w:left="20" w:right="5" w:firstLine="422"/>
        <w:rPr>
          <w:rFonts w:ascii="宋体" w:hAnsi="宋体" w:eastAsia="宋体" w:cs="宋体"/>
          <w:color w:val="auto"/>
          <w:sz w:val="21"/>
          <w:szCs w:val="21"/>
          <w:highlight w:val="none"/>
        </w:rPr>
      </w:pPr>
      <w:r>
        <w:rPr>
          <w:rFonts w:ascii="宋体" w:hAnsi="宋体" w:eastAsia="宋体" w:cs="宋体"/>
          <w:color w:val="auto"/>
          <w:sz w:val="21"/>
          <w:szCs w:val="21"/>
          <w:highlight w:val="none"/>
        </w:rPr>
        <w:t>工程经竣工验收合格的，以承包人提交竣工验收申请报告之日为实际竣工日期， 并在</w:t>
      </w:r>
      <w:r>
        <w:rPr>
          <w:rFonts w:ascii="宋体" w:hAnsi="宋体" w:eastAsia="宋体" w:cs="宋体"/>
          <w:color w:val="auto"/>
          <w:spacing w:val="6"/>
          <w:sz w:val="21"/>
          <w:szCs w:val="21"/>
          <w:highlight w:val="none"/>
        </w:rPr>
        <w:t xml:space="preserve"> </w:t>
      </w:r>
      <w:r>
        <w:rPr>
          <w:rFonts w:ascii="宋体" w:hAnsi="宋体" w:eastAsia="宋体" w:cs="宋体"/>
          <w:color w:val="auto"/>
          <w:sz w:val="21"/>
          <w:szCs w:val="21"/>
          <w:highlight w:val="none"/>
        </w:rPr>
        <w:t xml:space="preserve">工程接收证书中载明；因发包人原因，未在监理人收到承包人提交的竣工验收申请报告 </w:t>
      </w:r>
      <w:r>
        <w:rPr>
          <w:rFonts w:ascii="Times New Roman" w:hAnsi="Times New Roman" w:eastAsia="Times New Roman" w:cs="Times New Roman"/>
          <w:color w:val="auto"/>
          <w:sz w:val="21"/>
          <w:szCs w:val="21"/>
          <w:highlight w:val="none"/>
        </w:rPr>
        <w:t>42</w:t>
      </w:r>
      <w:r>
        <w:rPr>
          <w:rFonts w:ascii="Times New Roman" w:hAnsi="Times New Roman" w:eastAsia="Times New Roman" w:cs="Times New Roman"/>
          <w:color w:val="auto"/>
          <w:spacing w:val="10"/>
          <w:sz w:val="21"/>
          <w:szCs w:val="21"/>
          <w:highlight w:val="none"/>
        </w:rPr>
        <w:t xml:space="preserve"> </w:t>
      </w:r>
      <w:r>
        <w:rPr>
          <w:rFonts w:ascii="宋体" w:hAnsi="宋体" w:eastAsia="宋体" w:cs="宋体"/>
          <w:color w:val="auto"/>
          <w:spacing w:val="3"/>
          <w:sz w:val="21"/>
          <w:szCs w:val="21"/>
          <w:highlight w:val="none"/>
        </w:rPr>
        <w:t>天内完成竣工验收，或完成竣工验收不予签发工程接收证书的，以提交竣工验收</w:t>
      </w:r>
      <w:r>
        <w:rPr>
          <w:rFonts w:ascii="宋体" w:hAnsi="宋体" w:eastAsia="宋体" w:cs="宋体"/>
          <w:color w:val="auto"/>
          <w:spacing w:val="2"/>
          <w:sz w:val="21"/>
          <w:szCs w:val="21"/>
          <w:highlight w:val="none"/>
        </w:rPr>
        <w:t>申请报告</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的日期为实际竣工日期；工程未经竣工验收， 发包</w:t>
      </w:r>
      <w:r>
        <w:rPr>
          <w:rFonts w:ascii="宋体" w:hAnsi="宋体" w:eastAsia="宋体" w:cs="宋体"/>
          <w:color w:val="auto"/>
          <w:spacing w:val="-4"/>
          <w:sz w:val="21"/>
          <w:szCs w:val="21"/>
          <w:highlight w:val="none"/>
        </w:rPr>
        <w:t>人擅自使用的，</w:t>
      </w:r>
      <w:r>
        <w:rPr>
          <w:rFonts w:ascii="宋体" w:hAnsi="宋体" w:eastAsia="宋体" w:cs="宋体"/>
          <w:color w:val="auto"/>
          <w:spacing w:val="36"/>
          <w:sz w:val="21"/>
          <w:szCs w:val="21"/>
          <w:highlight w:val="none"/>
        </w:rPr>
        <w:t xml:space="preserve"> </w:t>
      </w:r>
      <w:r>
        <w:rPr>
          <w:rFonts w:ascii="宋体" w:hAnsi="宋体" w:eastAsia="宋体" w:cs="宋体"/>
          <w:color w:val="auto"/>
          <w:spacing w:val="-4"/>
          <w:sz w:val="21"/>
          <w:szCs w:val="21"/>
          <w:highlight w:val="none"/>
        </w:rPr>
        <w:t>以转移占有工程之日为</w:t>
      </w:r>
    </w:p>
    <w:p w14:paraId="313BE402">
      <w:pPr>
        <w:spacing w:before="1" w:line="220" w:lineRule="auto"/>
        <w:ind w:left="2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实际竣工日期。</w:t>
      </w:r>
    </w:p>
    <w:p w14:paraId="2E1CA89F">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13.2.4 </w:t>
      </w:r>
      <w:r>
        <w:rPr>
          <w:rFonts w:ascii="宋体" w:hAnsi="宋体" w:eastAsia="宋体" w:cs="宋体"/>
          <w:color w:val="auto"/>
          <w:spacing w:val="-2"/>
          <w:sz w:val="21"/>
          <w:szCs w:val="21"/>
          <w:highlight w:val="none"/>
        </w:rPr>
        <w:t>拒绝接收全部或部分工程</w:t>
      </w:r>
    </w:p>
    <w:p w14:paraId="5DE325D5">
      <w:pPr>
        <w:spacing w:before="151" w:line="352" w:lineRule="auto"/>
        <w:ind w:left="20" w:right="2" w:firstLine="419"/>
        <w:rPr>
          <w:rFonts w:ascii="宋体" w:hAnsi="宋体" w:eastAsia="宋体" w:cs="宋体"/>
          <w:color w:val="auto"/>
          <w:sz w:val="21"/>
          <w:szCs w:val="21"/>
          <w:highlight w:val="none"/>
        </w:rPr>
      </w:pPr>
      <w:r>
        <w:rPr>
          <w:rFonts w:ascii="宋体" w:hAnsi="宋体" w:eastAsia="宋体" w:cs="宋体"/>
          <w:color w:val="auto"/>
          <w:sz w:val="21"/>
          <w:szCs w:val="21"/>
          <w:highlight w:val="none"/>
        </w:rPr>
        <w:t>对于竣工验收不合格的工程，承包人完成整改后，应当重新进行竣工验收， 经重新组</w:t>
      </w:r>
      <w:r>
        <w:rPr>
          <w:rFonts w:ascii="宋体" w:hAnsi="宋体" w:eastAsia="宋体" w:cs="宋体"/>
          <w:color w:val="auto"/>
          <w:spacing w:val="13"/>
          <w:sz w:val="21"/>
          <w:szCs w:val="21"/>
          <w:highlight w:val="none"/>
        </w:rPr>
        <w:t xml:space="preserve"> </w:t>
      </w:r>
      <w:r>
        <w:rPr>
          <w:rFonts w:ascii="宋体" w:hAnsi="宋体" w:eastAsia="宋体" w:cs="宋体"/>
          <w:color w:val="auto"/>
          <w:spacing w:val="3"/>
          <w:sz w:val="21"/>
          <w:szCs w:val="21"/>
          <w:highlight w:val="none"/>
        </w:rPr>
        <w:t>织验收仍不合格的且无法采取措施补救的，则发包人可以拒绝接收不合</w:t>
      </w:r>
      <w:r>
        <w:rPr>
          <w:rFonts w:ascii="宋体" w:hAnsi="宋体" w:eastAsia="宋体" w:cs="宋体"/>
          <w:color w:val="auto"/>
          <w:spacing w:val="2"/>
          <w:sz w:val="21"/>
          <w:szCs w:val="21"/>
          <w:highlight w:val="none"/>
        </w:rPr>
        <w:t>格工程，因不合格</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工程导致其他工程不能正常使用的，承包人应采取措施确保相关工程的正常使用，</w:t>
      </w:r>
      <w:r>
        <w:rPr>
          <w:rFonts w:ascii="宋体" w:hAnsi="宋体" w:eastAsia="宋体" w:cs="宋体"/>
          <w:color w:val="auto"/>
          <w:spacing w:val="43"/>
          <w:sz w:val="21"/>
          <w:szCs w:val="21"/>
          <w:highlight w:val="none"/>
        </w:rPr>
        <w:t xml:space="preserve"> </w:t>
      </w:r>
      <w:r>
        <w:rPr>
          <w:rFonts w:ascii="宋体" w:hAnsi="宋体" w:eastAsia="宋体" w:cs="宋体"/>
          <w:color w:val="auto"/>
          <w:spacing w:val="-1"/>
          <w:sz w:val="21"/>
          <w:szCs w:val="21"/>
          <w:highlight w:val="none"/>
        </w:rPr>
        <w:t>由此增</w:t>
      </w:r>
    </w:p>
    <w:p w14:paraId="01A1792C">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加的费用和（或）延误的工期由承包人承担。</w:t>
      </w:r>
    </w:p>
    <w:p w14:paraId="18A92CA0">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13.2.5 </w:t>
      </w:r>
      <w:r>
        <w:rPr>
          <w:rFonts w:ascii="宋体" w:hAnsi="宋体" w:eastAsia="宋体" w:cs="宋体"/>
          <w:color w:val="auto"/>
          <w:spacing w:val="-2"/>
          <w:sz w:val="21"/>
          <w:szCs w:val="21"/>
          <w:highlight w:val="none"/>
        </w:rPr>
        <w:t>移交、接收全部与部分工程</w:t>
      </w:r>
    </w:p>
    <w:p w14:paraId="6F89C3A0">
      <w:pPr>
        <w:spacing w:before="148" w:line="403" w:lineRule="exact"/>
        <w:ind w:right="2"/>
        <w:jc w:val="right"/>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除专用合同条款另有约定外，</w:t>
      </w:r>
      <w:r>
        <w:rPr>
          <w:rFonts w:ascii="宋体" w:hAnsi="宋体" w:eastAsia="宋体" w:cs="宋体"/>
          <w:color w:val="auto"/>
          <w:spacing w:val="57"/>
          <w:position w:val="14"/>
          <w:sz w:val="21"/>
          <w:szCs w:val="21"/>
          <w:highlight w:val="none"/>
        </w:rPr>
        <w:t xml:space="preserve"> </w:t>
      </w:r>
      <w:r>
        <w:rPr>
          <w:rFonts w:ascii="宋体" w:hAnsi="宋体" w:eastAsia="宋体" w:cs="宋体"/>
          <w:color w:val="auto"/>
          <w:spacing w:val="-4"/>
          <w:position w:val="14"/>
          <w:sz w:val="21"/>
          <w:szCs w:val="21"/>
          <w:highlight w:val="none"/>
        </w:rPr>
        <w:t xml:space="preserve">合同当事人应当在颁发工程接收证书后 </w:t>
      </w:r>
      <w:r>
        <w:rPr>
          <w:rFonts w:ascii="Times New Roman" w:hAnsi="Times New Roman" w:eastAsia="Times New Roman" w:cs="Times New Roman"/>
          <w:color w:val="auto"/>
          <w:spacing w:val="-4"/>
          <w:position w:val="14"/>
          <w:sz w:val="21"/>
          <w:szCs w:val="21"/>
          <w:highlight w:val="none"/>
        </w:rPr>
        <w:t xml:space="preserve">7  </w:t>
      </w:r>
      <w:r>
        <w:rPr>
          <w:rFonts w:ascii="宋体" w:hAnsi="宋体" w:eastAsia="宋体" w:cs="宋体"/>
          <w:color w:val="auto"/>
          <w:spacing w:val="-4"/>
          <w:position w:val="14"/>
          <w:sz w:val="21"/>
          <w:szCs w:val="21"/>
          <w:highlight w:val="none"/>
        </w:rPr>
        <w:t>天内完成</w:t>
      </w:r>
      <w:r>
        <w:rPr>
          <w:rFonts w:ascii="宋体" w:hAnsi="宋体" w:eastAsia="宋体" w:cs="宋体"/>
          <w:color w:val="auto"/>
          <w:spacing w:val="-5"/>
          <w:position w:val="14"/>
          <w:sz w:val="21"/>
          <w:szCs w:val="21"/>
          <w:highlight w:val="none"/>
        </w:rPr>
        <w:t>工程</w:t>
      </w:r>
    </w:p>
    <w:p w14:paraId="0E6E1890">
      <w:pPr>
        <w:spacing w:line="222" w:lineRule="auto"/>
        <w:ind w:left="35"/>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的移交。</w:t>
      </w:r>
    </w:p>
    <w:p w14:paraId="1A1B77FE">
      <w:pPr>
        <w:spacing w:before="145" w:line="353" w:lineRule="auto"/>
        <w:ind w:left="35" w:right="2" w:firstLine="40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发包人无正当理由不接收工程的，发包人自应当接收工程之日起，承担工程照管、成 品保护、保管等与工程有关的各项费用，合</w:t>
      </w:r>
      <w:r>
        <w:rPr>
          <w:rFonts w:ascii="宋体" w:hAnsi="宋体" w:eastAsia="宋体" w:cs="宋体"/>
          <w:color w:val="auto"/>
          <w:spacing w:val="2"/>
          <w:sz w:val="21"/>
          <w:szCs w:val="21"/>
          <w:highlight w:val="none"/>
        </w:rPr>
        <w:t>同当事人可以在专用合同条款中另行约定发包</w:t>
      </w:r>
    </w:p>
    <w:p w14:paraId="2F929C33">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人逾期接收工程的违约责任。</w:t>
      </w:r>
    </w:p>
    <w:p w14:paraId="3901CEED">
      <w:pPr>
        <w:spacing w:before="148" w:line="398" w:lineRule="exact"/>
        <w:ind w:right="3"/>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承包人无正当理由不移交工程的，承包人应承担工程照管、成品保护、保管等与工程</w:t>
      </w:r>
    </w:p>
    <w:p w14:paraId="1B588E11">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有关的各项费用，合同当事人可以在专用合同条款中另行约定承</w:t>
      </w:r>
      <w:r>
        <w:rPr>
          <w:rFonts w:ascii="宋体" w:hAnsi="宋体" w:eastAsia="宋体" w:cs="宋体"/>
          <w:color w:val="auto"/>
          <w:spacing w:val="2"/>
          <w:sz w:val="21"/>
          <w:szCs w:val="21"/>
          <w:highlight w:val="none"/>
        </w:rPr>
        <w:t>包人无正当理由不移交工</w:t>
      </w:r>
    </w:p>
    <w:p w14:paraId="177AD304">
      <w:pPr>
        <w:spacing w:before="152" w:line="221"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程的违约责任。</w:t>
      </w:r>
    </w:p>
    <w:p w14:paraId="61440BE6">
      <w:pPr>
        <w:spacing w:before="46" w:line="218" w:lineRule="auto"/>
        <w:ind w:left="31"/>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13.3</w:t>
      </w:r>
      <w:r>
        <w:rPr>
          <w:rFonts w:ascii="黑体" w:hAnsi="黑体" w:eastAsia="黑体" w:cs="黑体"/>
          <w:color w:val="auto"/>
          <w:spacing w:val="-50"/>
          <w:sz w:val="24"/>
          <w:szCs w:val="24"/>
          <w:highlight w:val="none"/>
        </w:rPr>
        <w:t xml:space="preserve"> </w:t>
      </w:r>
      <w:r>
        <w:rPr>
          <w:rFonts w:ascii="黑体" w:hAnsi="黑体" w:eastAsia="黑体" w:cs="黑体"/>
          <w:color w:val="auto"/>
          <w:spacing w:val="-4"/>
          <w:sz w:val="24"/>
          <w:szCs w:val="24"/>
          <w:highlight w:val="none"/>
        </w:rPr>
        <w:t>工程试车</w:t>
      </w:r>
    </w:p>
    <w:p w14:paraId="4C9FB451">
      <w:pPr>
        <w:spacing w:before="130"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13.3.1 </w:t>
      </w:r>
      <w:r>
        <w:rPr>
          <w:rFonts w:ascii="宋体" w:hAnsi="宋体" w:eastAsia="宋体" w:cs="宋体"/>
          <w:color w:val="auto"/>
          <w:spacing w:val="-3"/>
          <w:sz w:val="21"/>
          <w:szCs w:val="21"/>
          <w:highlight w:val="none"/>
        </w:rPr>
        <w:t>试车程序</w:t>
      </w:r>
    </w:p>
    <w:p w14:paraId="5CCD1CD2">
      <w:pPr>
        <w:spacing w:line="221" w:lineRule="auto"/>
        <w:rPr>
          <w:rFonts w:ascii="宋体" w:hAnsi="宋体" w:eastAsia="宋体" w:cs="宋体"/>
          <w:color w:val="auto"/>
          <w:sz w:val="21"/>
          <w:szCs w:val="21"/>
          <w:highlight w:val="none"/>
        </w:rPr>
        <w:sectPr>
          <w:footerReference r:id="rId138" w:type="default"/>
          <w:pgSz w:w="11905" w:h="16839"/>
          <w:pgMar w:top="1431" w:right="1785" w:bottom="1004" w:left="1785" w:header="0" w:footer="828" w:gutter="0"/>
          <w:pgNumType w:fmt="decimal"/>
          <w:cols w:space="720" w:num="1"/>
        </w:sectPr>
      </w:pPr>
    </w:p>
    <w:p w14:paraId="5ED8716C">
      <w:pPr>
        <w:spacing w:before="149" w:line="398" w:lineRule="exact"/>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工程需要试车的， 除专用合同条款另有约定外，试车内容应与承包人承包范围相一致，</w:t>
      </w:r>
    </w:p>
    <w:p w14:paraId="4425628A">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试车费用由承包人承担。工程试车应按如下程序进行：</w:t>
      </w:r>
    </w:p>
    <w:p w14:paraId="1A36DA9C">
      <w:pPr>
        <w:spacing w:before="154" w:line="351" w:lineRule="auto"/>
        <w:ind w:left="18" w:right="171" w:firstLine="42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1</w:t>
      </w:r>
      <w:r>
        <w:rPr>
          <w:rFonts w:ascii="宋体" w:hAnsi="宋体" w:eastAsia="宋体" w:cs="宋体"/>
          <w:color w:val="auto"/>
          <w:spacing w:val="-4"/>
          <w:sz w:val="21"/>
          <w:szCs w:val="21"/>
          <w:highlight w:val="none"/>
        </w:rPr>
        <w:t>）具备单机无负荷试车条件，承包人组织试车，</w:t>
      </w:r>
      <w:r>
        <w:rPr>
          <w:rFonts w:ascii="宋体" w:hAnsi="宋体" w:eastAsia="宋体" w:cs="宋体"/>
          <w:color w:val="auto"/>
          <w:spacing w:val="66"/>
          <w:sz w:val="21"/>
          <w:szCs w:val="21"/>
          <w:highlight w:val="none"/>
        </w:rPr>
        <w:t xml:space="preserve"> </w:t>
      </w:r>
      <w:r>
        <w:rPr>
          <w:rFonts w:ascii="宋体" w:hAnsi="宋体" w:eastAsia="宋体" w:cs="宋体"/>
          <w:color w:val="auto"/>
          <w:spacing w:val="-4"/>
          <w:sz w:val="21"/>
          <w:szCs w:val="21"/>
          <w:highlight w:val="none"/>
        </w:rPr>
        <w:t xml:space="preserve">并在试车前 </w:t>
      </w:r>
      <w:r>
        <w:rPr>
          <w:rFonts w:ascii="Times New Roman" w:hAnsi="Times New Roman" w:eastAsia="Times New Roman" w:cs="Times New Roman"/>
          <w:color w:val="auto"/>
          <w:spacing w:val="-4"/>
          <w:sz w:val="21"/>
          <w:szCs w:val="21"/>
          <w:highlight w:val="none"/>
        </w:rPr>
        <w:t xml:space="preserve">48  </w:t>
      </w:r>
      <w:r>
        <w:rPr>
          <w:rFonts w:ascii="宋体" w:hAnsi="宋体" w:eastAsia="宋体" w:cs="宋体"/>
          <w:color w:val="auto"/>
          <w:spacing w:val="-4"/>
          <w:sz w:val="21"/>
          <w:szCs w:val="21"/>
          <w:highlight w:val="none"/>
        </w:rPr>
        <w:t>小时书面通知监理</w:t>
      </w:r>
      <w:r>
        <w:rPr>
          <w:rFonts w:ascii="宋体" w:hAnsi="宋体" w:eastAsia="宋体" w:cs="宋体"/>
          <w:color w:val="auto"/>
          <w:sz w:val="21"/>
          <w:szCs w:val="21"/>
          <w:highlight w:val="none"/>
        </w:rPr>
        <w:t xml:space="preserve"> 人，通知中应载明试车内容、时间、地点。承包人准备试车记录， 发包人根据承包人要求</w:t>
      </w:r>
      <w:r>
        <w:rPr>
          <w:rFonts w:ascii="宋体" w:hAnsi="宋体" w:eastAsia="宋体" w:cs="宋体"/>
          <w:color w:val="auto"/>
          <w:spacing w:val="6"/>
          <w:sz w:val="21"/>
          <w:szCs w:val="21"/>
          <w:highlight w:val="none"/>
        </w:rPr>
        <w:t xml:space="preserve"> </w:t>
      </w:r>
      <w:r>
        <w:rPr>
          <w:rFonts w:ascii="宋体" w:hAnsi="宋体" w:eastAsia="宋体" w:cs="宋体"/>
          <w:color w:val="auto"/>
          <w:spacing w:val="3"/>
          <w:sz w:val="21"/>
          <w:szCs w:val="21"/>
          <w:highlight w:val="none"/>
        </w:rPr>
        <w:t>为试车提供必要条件。试车合格的，监理人在试车记录上签字。监理人在试</w:t>
      </w:r>
      <w:r>
        <w:rPr>
          <w:rFonts w:ascii="宋体" w:hAnsi="宋体" w:eastAsia="宋体" w:cs="宋体"/>
          <w:color w:val="auto"/>
          <w:spacing w:val="2"/>
          <w:sz w:val="21"/>
          <w:szCs w:val="21"/>
          <w:highlight w:val="none"/>
        </w:rPr>
        <w:t>车合格后不在</w:t>
      </w:r>
      <w:r>
        <w:rPr>
          <w:rFonts w:ascii="宋体" w:hAnsi="宋体" w:eastAsia="宋体" w:cs="宋体"/>
          <w:color w:val="auto"/>
          <w:sz w:val="21"/>
          <w:szCs w:val="21"/>
          <w:highlight w:val="none"/>
        </w:rPr>
        <w:t xml:space="preserve"> 试车记录上签字，自试车结束满</w:t>
      </w:r>
      <w:r>
        <w:rPr>
          <w:rFonts w:ascii="宋体" w:hAnsi="宋体" w:eastAsia="宋体" w:cs="宋体"/>
          <w:color w:val="auto"/>
          <w:spacing w:val="-37"/>
          <w:sz w:val="21"/>
          <w:szCs w:val="21"/>
          <w:highlight w:val="none"/>
        </w:rPr>
        <w:t xml:space="preserve"> </w:t>
      </w:r>
      <w:r>
        <w:rPr>
          <w:rFonts w:ascii="Times New Roman" w:hAnsi="Times New Roman" w:eastAsia="Times New Roman" w:cs="Times New Roman"/>
          <w:color w:val="auto"/>
          <w:sz w:val="21"/>
          <w:szCs w:val="21"/>
          <w:highlight w:val="none"/>
        </w:rPr>
        <w:t>24</w:t>
      </w:r>
      <w:r>
        <w:rPr>
          <w:rFonts w:ascii="Times New Roman" w:hAnsi="Times New Roman" w:eastAsia="Times New Roman" w:cs="Times New Roman"/>
          <w:color w:val="auto"/>
          <w:spacing w:val="14"/>
          <w:w w:val="101"/>
          <w:sz w:val="21"/>
          <w:szCs w:val="21"/>
          <w:highlight w:val="none"/>
        </w:rPr>
        <w:t xml:space="preserve"> </w:t>
      </w:r>
      <w:r>
        <w:rPr>
          <w:rFonts w:ascii="宋体" w:hAnsi="宋体" w:eastAsia="宋体" w:cs="宋体"/>
          <w:color w:val="auto"/>
          <w:sz w:val="21"/>
          <w:szCs w:val="21"/>
          <w:highlight w:val="none"/>
        </w:rPr>
        <w:t>小时后视为监理人已</w:t>
      </w:r>
      <w:r>
        <w:rPr>
          <w:rFonts w:ascii="宋体" w:hAnsi="宋体" w:eastAsia="宋体" w:cs="宋体"/>
          <w:color w:val="auto"/>
          <w:spacing w:val="-1"/>
          <w:sz w:val="21"/>
          <w:szCs w:val="21"/>
          <w:highlight w:val="none"/>
        </w:rPr>
        <w:t>经认可试车记录，承包人可继续施</w:t>
      </w:r>
    </w:p>
    <w:p w14:paraId="265D49C8">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工或办理竣工验收手续。</w:t>
      </w:r>
    </w:p>
    <w:p w14:paraId="3A56C7B1">
      <w:pPr>
        <w:spacing w:before="148" w:line="352" w:lineRule="auto"/>
        <w:ind w:left="19" w:right="173" w:firstLine="4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监理人不能按时参加试车，应在试车前</w:t>
      </w:r>
      <w:r>
        <w:rPr>
          <w:rFonts w:ascii="宋体" w:hAnsi="宋体" w:eastAsia="宋体" w:cs="宋体"/>
          <w:color w:val="auto"/>
          <w:spacing w:val="-26"/>
          <w:sz w:val="21"/>
          <w:szCs w:val="21"/>
          <w:highlight w:val="none"/>
        </w:rPr>
        <w:t xml:space="preserve"> </w:t>
      </w:r>
      <w:r>
        <w:rPr>
          <w:rFonts w:ascii="Times New Roman" w:hAnsi="Times New Roman" w:eastAsia="Times New Roman" w:cs="Times New Roman"/>
          <w:color w:val="auto"/>
          <w:spacing w:val="-1"/>
          <w:sz w:val="21"/>
          <w:szCs w:val="21"/>
          <w:highlight w:val="none"/>
        </w:rPr>
        <w:t>24</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pacing w:val="-1"/>
          <w:sz w:val="21"/>
          <w:szCs w:val="21"/>
          <w:highlight w:val="none"/>
        </w:rPr>
        <w:t>小时以书面形式向承包人提出延期要求，但</w:t>
      </w:r>
      <w:r>
        <w:rPr>
          <w:rFonts w:ascii="宋体" w:hAnsi="宋体" w:eastAsia="宋体" w:cs="宋体"/>
          <w:color w:val="auto"/>
          <w:sz w:val="21"/>
          <w:szCs w:val="21"/>
          <w:highlight w:val="none"/>
        </w:rPr>
        <w:t xml:space="preserve"> 延期不能超过</w:t>
      </w:r>
      <w:r>
        <w:rPr>
          <w:rFonts w:ascii="宋体" w:hAnsi="宋体" w:eastAsia="宋体" w:cs="宋体"/>
          <w:color w:val="auto"/>
          <w:spacing w:val="-38"/>
          <w:sz w:val="21"/>
          <w:szCs w:val="21"/>
          <w:highlight w:val="none"/>
        </w:rPr>
        <w:t xml:space="preserve"> </w:t>
      </w:r>
      <w:r>
        <w:rPr>
          <w:rFonts w:ascii="Times New Roman" w:hAnsi="Times New Roman" w:eastAsia="Times New Roman" w:cs="Times New Roman"/>
          <w:color w:val="auto"/>
          <w:sz w:val="21"/>
          <w:szCs w:val="21"/>
          <w:highlight w:val="none"/>
        </w:rPr>
        <w:t>48</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z w:val="21"/>
          <w:szCs w:val="21"/>
          <w:highlight w:val="none"/>
        </w:rPr>
        <w:t>小时，由此导致工期延误的，工期应予</w:t>
      </w:r>
      <w:r>
        <w:rPr>
          <w:rFonts w:ascii="宋体" w:hAnsi="宋体" w:eastAsia="宋体" w:cs="宋体"/>
          <w:color w:val="auto"/>
          <w:spacing w:val="-1"/>
          <w:sz w:val="21"/>
          <w:szCs w:val="21"/>
          <w:highlight w:val="none"/>
        </w:rPr>
        <w:t>以顺延。监理人未能在前述期限内</w:t>
      </w:r>
    </w:p>
    <w:p w14:paraId="6E6D5C2C">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提出延期要求，又不参加试车的，视为认可试车记录。</w:t>
      </w:r>
    </w:p>
    <w:p w14:paraId="16A6D799">
      <w:pPr>
        <w:spacing w:before="147" w:line="352" w:lineRule="auto"/>
        <w:ind w:left="20" w:right="171" w:firstLine="426"/>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2</w:t>
      </w:r>
      <w:r>
        <w:rPr>
          <w:rFonts w:ascii="宋体" w:hAnsi="宋体" w:eastAsia="宋体" w:cs="宋体"/>
          <w:color w:val="auto"/>
          <w:spacing w:val="-4"/>
          <w:sz w:val="21"/>
          <w:szCs w:val="21"/>
          <w:highlight w:val="none"/>
        </w:rPr>
        <w:t>）具备无负荷联动试车条件，发包人组织试车，</w:t>
      </w:r>
      <w:r>
        <w:rPr>
          <w:rFonts w:ascii="宋体" w:hAnsi="宋体" w:eastAsia="宋体" w:cs="宋体"/>
          <w:color w:val="auto"/>
          <w:spacing w:val="66"/>
          <w:sz w:val="21"/>
          <w:szCs w:val="21"/>
          <w:highlight w:val="none"/>
        </w:rPr>
        <w:t xml:space="preserve"> </w:t>
      </w:r>
      <w:r>
        <w:rPr>
          <w:rFonts w:ascii="宋体" w:hAnsi="宋体" w:eastAsia="宋体" w:cs="宋体"/>
          <w:color w:val="auto"/>
          <w:spacing w:val="-4"/>
          <w:sz w:val="21"/>
          <w:szCs w:val="21"/>
          <w:highlight w:val="none"/>
        </w:rPr>
        <w:t xml:space="preserve">并在试车前 </w:t>
      </w:r>
      <w:r>
        <w:rPr>
          <w:rFonts w:ascii="Times New Roman" w:hAnsi="Times New Roman" w:eastAsia="Times New Roman" w:cs="Times New Roman"/>
          <w:color w:val="auto"/>
          <w:spacing w:val="-4"/>
          <w:sz w:val="21"/>
          <w:szCs w:val="21"/>
          <w:highlight w:val="none"/>
        </w:rPr>
        <w:t xml:space="preserve">48  </w:t>
      </w:r>
      <w:r>
        <w:rPr>
          <w:rFonts w:ascii="宋体" w:hAnsi="宋体" w:eastAsia="宋体" w:cs="宋体"/>
          <w:color w:val="auto"/>
          <w:spacing w:val="-4"/>
          <w:sz w:val="21"/>
          <w:szCs w:val="21"/>
          <w:highlight w:val="none"/>
        </w:rPr>
        <w:t>小时以书面形式通</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知承包人。通知中应载明试车内容、时间、地点和对承包人的要求，承</w:t>
      </w:r>
      <w:r>
        <w:rPr>
          <w:rFonts w:ascii="宋体" w:hAnsi="宋体" w:eastAsia="宋体" w:cs="宋体"/>
          <w:color w:val="auto"/>
          <w:spacing w:val="2"/>
          <w:sz w:val="21"/>
          <w:szCs w:val="21"/>
          <w:highlight w:val="none"/>
        </w:rPr>
        <w:t>包人按要求做好准</w:t>
      </w:r>
      <w:r>
        <w:rPr>
          <w:rFonts w:ascii="宋体" w:hAnsi="宋体" w:eastAsia="宋体" w:cs="宋体"/>
          <w:color w:val="auto"/>
          <w:sz w:val="21"/>
          <w:szCs w:val="21"/>
          <w:highlight w:val="none"/>
        </w:rPr>
        <w:t xml:space="preserve"> 备工作。试车合格，合同当事人在试车记录上签字。承包人无正当理由不参加试车的， 视</w:t>
      </w:r>
    </w:p>
    <w:p w14:paraId="41696750">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为认可试车记录。</w:t>
      </w:r>
    </w:p>
    <w:p w14:paraId="48FFC294">
      <w:pPr>
        <w:spacing w:before="151"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13.3.2 </w:t>
      </w:r>
      <w:r>
        <w:rPr>
          <w:rFonts w:ascii="宋体" w:hAnsi="宋体" w:eastAsia="宋体" w:cs="宋体"/>
          <w:color w:val="auto"/>
          <w:spacing w:val="-2"/>
          <w:sz w:val="21"/>
          <w:szCs w:val="21"/>
          <w:highlight w:val="none"/>
        </w:rPr>
        <w:t>试车中的责任</w:t>
      </w:r>
    </w:p>
    <w:p w14:paraId="403E4FE9">
      <w:pPr>
        <w:spacing w:before="147" w:line="352" w:lineRule="auto"/>
        <w:ind w:left="20" w:right="176" w:firstLine="43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因设计原因导致试车达不到验收要求，发包人应要求</w:t>
      </w:r>
      <w:r>
        <w:rPr>
          <w:rFonts w:ascii="宋体" w:hAnsi="宋体" w:eastAsia="宋体" w:cs="宋体"/>
          <w:color w:val="auto"/>
          <w:spacing w:val="2"/>
          <w:sz w:val="21"/>
          <w:szCs w:val="21"/>
          <w:highlight w:val="none"/>
        </w:rPr>
        <w:t>设计人修改设计，承包人按修改</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后的设计重新安装。发包人承担修改设计、拆除及重新安装的全部费用，工期相应顺延。</w:t>
      </w:r>
      <w:r>
        <w:rPr>
          <w:rFonts w:ascii="宋体" w:hAnsi="宋体" w:eastAsia="宋体" w:cs="宋体"/>
          <w:color w:val="auto"/>
          <w:sz w:val="21"/>
          <w:szCs w:val="21"/>
          <w:highlight w:val="none"/>
        </w:rPr>
        <w:t xml:space="preserve"> 因承包人原因导致试车达不到验收要求， 承包人按监理人要求重新安装和试车，并承担重</w:t>
      </w:r>
    </w:p>
    <w:p w14:paraId="0A1414A6">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新安装和试车的费用，工期不予顺延。</w:t>
      </w:r>
    </w:p>
    <w:p w14:paraId="6C4C7C23">
      <w:pPr>
        <w:spacing w:before="146" w:line="353" w:lineRule="auto"/>
        <w:ind w:left="25" w:right="176" w:firstLine="43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因工程设备制造原因导致试车达不到验收要求的，由</w:t>
      </w:r>
      <w:r>
        <w:rPr>
          <w:rFonts w:ascii="宋体" w:hAnsi="宋体" w:eastAsia="宋体" w:cs="宋体"/>
          <w:color w:val="auto"/>
          <w:spacing w:val="2"/>
          <w:sz w:val="21"/>
          <w:szCs w:val="21"/>
          <w:highlight w:val="none"/>
        </w:rPr>
        <w:t>采购该工程设备的合同当事人负</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责重新购置或修理，承包人负责拆除和重新安装，由此增加</w:t>
      </w:r>
      <w:r>
        <w:rPr>
          <w:rFonts w:ascii="宋体" w:hAnsi="宋体" w:eastAsia="宋体" w:cs="宋体"/>
          <w:color w:val="auto"/>
          <w:spacing w:val="2"/>
          <w:sz w:val="21"/>
          <w:szCs w:val="21"/>
          <w:highlight w:val="none"/>
        </w:rPr>
        <w:t>的修理、重新购置、拆除及重</w:t>
      </w:r>
    </w:p>
    <w:p w14:paraId="0832C86B">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z w:val="21"/>
          <w:szCs w:val="21"/>
          <w:highlight w:val="none"/>
        </w:rPr>
        <w:t>新安装的费用及延误的工期由采购该工程设备的合同</w:t>
      </w:r>
      <w:r>
        <w:rPr>
          <w:rFonts w:ascii="宋体" w:hAnsi="宋体" w:eastAsia="宋体" w:cs="宋体"/>
          <w:color w:val="auto"/>
          <w:spacing w:val="-1"/>
          <w:sz w:val="21"/>
          <w:szCs w:val="21"/>
          <w:highlight w:val="none"/>
        </w:rPr>
        <w:t>当事人承担。</w:t>
      </w:r>
    </w:p>
    <w:p w14:paraId="47452FBF">
      <w:pPr>
        <w:spacing w:before="148"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13.3.3 </w:t>
      </w:r>
      <w:r>
        <w:rPr>
          <w:rFonts w:ascii="宋体" w:hAnsi="宋体" w:eastAsia="宋体" w:cs="宋体"/>
          <w:color w:val="auto"/>
          <w:spacing w:val="-2"/>
          <w:sz w:val="21"/>
          <w:szCs w:val="21"/>
          <w:highlight w:val="none"/>
        </w:rPr>
        <w:t>投料试车</w:t>
      </w:r>
    </w:p>
    <w:p w14:paraId="67846DF8">
      <w:pPr>
        <w:spacing w:before="151" w:line="351" w:lineRule="auto"/>
        <w:ind w:left="19" w:right="172" w:firstLine="425"/>
        <w:rPr>
          <w:rFonts w:ascii="宋体" w:hAnsi="宋体" w:eastAsia="宋体" w:cs="宋体"/>
          <w:color w:val="auto"/>
          <w:sz w:val="21"/>
          <w:szCs w:val="21"/>
          <w:highlight w:val="none"/>
        </w:rPr>
      </w:pPr>
      <w:r>
        <w:rPr>
          <w:rFonts w:ascii="宋体" w:hAnsi="宋体" w:eastAsia="宋体" w:cs="宋体"/>
          <w:color w:val="auto"/>
          <w:sz w:val="21"/>
          <w:szCs w:val="21"/>
          <w:highlight w:val="none"/>
        </w:rPr>
        <w:t>如需进行投料试车的， 发包人应在工程竣工验收后组织投料试车。发包人要求在工程</w:t>
      </w:r>
      <w:r>
        <w:rPr>
          <w:rFonts w:ascii="宋体" w:hAnsi="宋体" w:eastAsia="宋体" w:cs="宋体"/>
          <w:color w:val="auto"/>
          <w:spacing w:val="10"/>
          <w:sz w:val="21"/>
          <w:szCs w:val="21"/>
          <w:highlight w:val="none"/>
        </w:rPr>
        <w:t xml:space="preserve"> </w:t>
      </w:r>
      <w:r>
        <w:rPr>
          <w:rFonts w:ascii="宋体" w:hAnsi="宋体" w:eastAsia="宋体" w:cs="宋体"/>
          <w:color w:val="auto"/>
          <w:spacing w:val="3"/>
          <w:sz w:val="21"/>
          <w:szCs w:val="21"/>
          <w:highlight w:val="none"/>
        </w:rPr>
        <w:t>竣工验收前进行或需要承包人配合时，应征得承包人同意，并在专用合同条款中约</w:t>
      </w:r>
      <w:r>
        <w:rPr>
          <w:rFonts w:ascii="宋体" w:hAnsi="宋体" w:eastAsia="宋体" w:cs="宋体"/>
          <w:color w:val="auto"/>
          <w:spacing w:val="2"/>
          <w:sz w:val="21"/>
          <w:szCs w:val="21"/>
          <w:highlight w:val="none"/>
        </w:rPr>
        <w:t>定有关</w:t>
      </w:r>
    </w:p>
    <w:p w14:paraId="2B4C07EC">
      <w:pPr>
        <w:spacing w:before="1" w:line="221"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事项。</w:t>
      </w:r>
    </w:p>
    <w:p w14:paraId="30D3FBB6">
      <w:pPr>
        <w:spacing w:before="151" w:line="398" w:lineRule="exact"/>
        <w:ind w:left="443"/>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投料试车合格的，费用由发包人承担；因承包人原因造成投料试车不合格的，承包人</w:t>
      </w:r>
    </w:p>
    <w:p w14:paraId="5525FF19">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应按照发包人要求进行整改，</w:t>
      </w:r>
      <w:r>
        <w:rPr>
          <w:rFonts w:ascii="宋体" w:hAnsi="宋体" w:eastAsia="宋体" w:cs="宋体"/>
          <w:color w:val="auto"/>
          <w:spacing w:val="38"/>
          <w:sz w:val="21"/>
          <w:szCs w:val="21"/>
          <w:highlight w:val="none"/>
        </w:rPr>
        <w:t xml:space="preserve"> </w:t>
      </w:r>
      <w:r>
        <w:rPr>
          <w:rFonts w:ascii="宋体" w:hAnsi="宋体" w:eastAsia="宋体" w:cs="宋体"/>
          <w:color w:val="auto"/>
          <w:spacing w:val="-3"/>
          <w:sz w:val="21"/>
          <w:szCs w:val="21"/>
          <w:highlight w:val="none"/>
        </w:rPr>
        <w:t>由此产生的整改费用由</w:t>
      </w:r>
      <w:r>
        <w:rPr>
          <w:rFonts w:ascii="宋体" w:hAnsi="宋体" w:eastAsia="宋体" w:cs="宋体"/>
          <w:color w:val="auto"/>
          <w:spacing w:val="-4"/>
          <w:sz w:val="21"/>
          <w:szCs w:val="21"/>
          <w:highlight w:val="none"/>
        </w:rPr>
        <w:t>承包人承担； 非因承包人原因导致投</w:t>
      </w:r>
    </w:p>
    <w:p w14:paraId="04D4E7D6">
      <w:pPr>
        <w:spacing w:before="147" w:line="221"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料试车不合格的， 如发包人要求承包人进行整改的，由此产生的费用由发包人承担。</w:t>
      </w:r>
    </w:p>
    <w:p w14:paraId="4A3ADC99">
      <w:pPr>
        <w:spacing w:before="51" w:line="219"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13.4</w:t>
      </w:r>
      <w:r>
        <w:rPr>
          <w:rFonts w:ascii="黑体" w:hAnsi="黑体" w:eastAsia="黑体" w:cs="黑体"/>
          <w:color w:val="auto"/>
          <w:spacing w:val="-54"/>
          <w:sz w:val="24"/>
          <w:szCs w:val="24"/>
          <w:highlight w:val="none"/>
        </w:rPr>
        <w:t xml:space="preserve"> </w:t>
      </w:r>
      <w:r>
        <w:rPr>
          <w:rFonts w:ascii="黑体" w:hAnsi="黑体" w:eastAsia="黑体" w:cs="黑体"/>
          <w:color w:val="auto"/>
          <w:spacing w:val="-2"/>
          <w:sz w:val="24"/>
          <w:szCs w:val="24"/>
          <w:highlight w:val="none"/>
        </w:rPr>
        <w:t>提前交付单位工程的验收</w:t>
      </w:r>
    </w:p>
    <w:p w14:paraId="7673863A">
      <w:pPr>
        <w:spacing w:before="130" w:line="350" w:lineRule="auto"/>
        <w:ind w:left="20" w:firstLine="437"/>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13.4.1</w:t>
      </w:r>
      <w:r>
        <w:rPr>
          <w:rFonts w:ascii="Times New Roman" w:hAnsi="Times New Roman" w:eastAsia="Times New Roman" w:cs="Times New Roman"/>
          <w:color w:val="auto"/>
          <w:spacing w:val="52"/>
          <w:w w:val="101"/>
          <w:sz w:val="21"/>
          <w:szCs w:val="21"/>
          <w:highlight w:val="none"/>
        </w:rPr>
        <w:t xml:space="preserve"> </w:t>
      </w:r>
      <w:r>
        <w:rPr>
          <w:rFonts w:ascii="宋体" w:hAnsi="宋体" w:eastAsia="宋体" w:cs="宋体"/>
          <w:color w:val="auto"/>
          <w:spacing w:val="2"/>
          <w:sz w:val="21"/>
          <w:szCs w:val="21"/>
          <w:highlight w:val="none"/>
        </w:rPr>
        <w:t xml:space="preserve">发包人需要在工程竣工前使用单位工程的，或承包人提出提前交付已经竣工的  </w:t>
      </w:r>
      <w:r>
        <w:rPr>
          <w:rFonts w:ascii="宋体" w:hAnsi="宋体" w:eastAsia="宋体" w:cs="宋体"/>
          <w:color w:val="auto"/>
          <w:spacing w:val="-6"/>
          <w:sz w:val="21"/>
          <w:szCs w:val="21"/>
          <w:highlight w:val="none"/>
        </w:rPr>
        <w:t>单位工程且经发包人同意的， 可进行单位工程验收，</w:t>
      </w:r>
      <w:r>
        <w:rPr>
          <w:rFonts w:ascii="宋体" w:hAnsi="宋体" w:eastAsia="宋体" w:cs="宋体"/>
          <w:color w:val="auto"/>
          <w:spacing w:val="-10"/>
          <w:sz w:val="21"/>
          <w:szCs w:val="21"/>
          <w:highlight w:val="none"/>
        </w:rPr>
        <w:t xml:space="preserve"> </w:t>
      </w:r>
      <w:r>
        <w:rPr>
          <w:rFonts w:ascii="宋体" w:hAnsi="宋体" w:eastAsia="宋体" w:cs="宋体"/>
          <w:color w:val="auto"/>
          <w:spacing w:val="-6"/>
          <w:sz w:val="21"/>
          <w:szCs w:val="21"/>
          <w:highlight w:val="none"/>
        </w:rPr>
        <w:t xml:space="preserve">验收的程序按照第 </w:t>
      </w:r>
      <w:r>
        <w:rPr>
          <w:rFonts w:ascii="Times New Roman" w:hAnsi="Times New Roman" w:eastAsia="Times New Roman" w:cs="Times New Roman"/>
          <w:color w:val="auto"/>
          <w:spacing w:val="-6"/>
          <w:sz w:val="21"/>
          <w:szCs w:val="21"/>
          <w:highlight w:val="none"/>
        </w:rPr>
        <w:t xml:space="preserve">13.2  </w:t>
      </w:r>
      <w:r>
        <w:rPr>
          <w:rFonts w:ascii="宋体" w:hAnsi="宋体" w:eastAsia="宋体" w:cs="宋体"/>
          <w:color w:val="auto"/>
          <w:spacing w:val="-6"/>
          <w:sz w:val="21"/>
          <w:szCs w:val="21"/>
          <w:highlight w:val="none"/>
        </w:rPr>
        <w:t>款〔竣工验收〕</w:t>
      </w:r>
    </w:p>
    <w:p w14:paraId="0246165B">
      <w:pPr>
        <w:spacing w:line="221" w:lineRule="auto"/>
        <w:ind w:left="3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的约定进行。</w:t>
      </w:r>
    </w:p>
    <w:p w14:paraId="2A9262D3">
      <w:pPr>
        <w:spacing w:before="152" w:line="398" w:lineRule="exact"/>
        <w:ind w:left="440"/>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验收合格后，由监理人向承包人出具经发包人签认的单位工程接收证书。已签发单位</w:t>
      </w:r>
    </w:p>
    <w:p w14:paraId="67E65F72">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工程接收证书的单位工程由发包人负责照管。单位工程的验收成果和结</w:t>
      </w:r>
      <w:r>
        <w:rPr>
          <w:rFonts w:ascii="宋体" w:hAnsi="宋体" w:eastAsia="宋体" w:cs="宋体"/>
          <w:color w:val="auto"/>
          <w:spacing w:val="2"/>
          <w:sz w:val="21"/>
          <w:szCs w:val="21"/>
          <w:highlight w:val="none"/>
        </w:rPr>
        <w:t>论作为整体工程竣</w:t>
      </w:r>
    </w:p>
    <w:p w14:paraId="1D43DBC0">
      <w:pPr>
        <w:spacing w:line="219" w:lineRule="auto"/>
        <w:rPr>
          <w:rFonts w:ascii="宋体" w:hAnsi="宋体" w:eastAsia="宋体" w:cs="宋体"/>
          <w:color w:val="auto"/>
          <w:sz w:val="21"/>
          <w:szCs w:val="21"/>
          <w:highlight w:val="none"/>
        </w:rPr>
        <w:sectPr>
          <w:footerReference r:id="rId139" w:type="default"/>
          <w:pgSz w:w="11905" w:h="16839"/>
          <w:pgMar w:top="1431" w:right="1615" w:bottom="1004" w:left="1785" w:header="0" w:footer="829" w:gutter="0"/>
          <w:pgNumType w:fmt="decimal"/>
          <w:cols w:space="720" w:num="1"/>
        </w:sectPr>
      </w:pPr>
    </w:p>
    <w:p w14:paraId="48782B1D">
      <w:pPr>
        <w:spacing w:before="149" w:line="219"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工验收申请报告的附件。</w:t>
      </w:r>
    </w:p>
    <w:p w14:paraId="62E7BB99">
      <w:pPr>
        <w:spacing w:before="147" w:line="276" w:lineRule="auto"/>
        <w:ind w:left="20" w:firstLine="436"/>
        <w:jc w:val="both"/>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1"/>
          <w:szCs w:val="21"/>
          <w:highlight w:val="none"/>
        </w:rPr>
        <w:t>13.4.2</w:t>
      </w:r>
      <w:r>
        <w:rPr>
          <w:rFonts w:ascii="Times New Roman" w:hAnsi="Times New Roman" w:eastAsia="Times New Roman" w:cs="Times New Roman"/>
          <w:color w:val="auto"/>
          <w:spacing w:val="48"/>
          <w:w w:val="101"/>
          <w:sz w:val="21"/>
          <w:szCs w:val="21"/>
          <w:highlight w:val="none"/>
        </w:rPr>
        <w:t xml:space="preserve"> </w:t>
      </w:r>
      <w:r>
        <w:rPr>
          <w:rFonts w:ascii="宋体" w:hAnsi="宋体" w:eastAsia="宋体" w:cs="宋体"/>
          <w:color w:val="auto"/>
          <w:spacing w:val="1"/>
          <w:sz w:val="21"/>
          <w:szCs w:val="21"/>
          <w:highlight w:val="none"/>
        </w:rPr>
        <w:t>发包人要求在工程竣工前交付单位工程，</w:t>
      </w:r>
      <w:r>
        <w:rPr>
          <w:rFonts w:ascii="宋体" w:hAnsi="宋体" w:eastAsia="宋体" w:cs="宋体"/>
          <w:color w:val="auto"/>
          <w:spacing w:val="-61"/>
          <w:sz w:val="21"/>
          <w:szCs w:val="21"/>
          <w:highlight w:val="none"/>
        </w:rPr>
        <w:t xml:space="preserve"> </w:t>
      </w:r>
      <w:r>
        <w:rPr>
          <w:rFonts w:ascii="宋体" w:hAnsi="宋体" w:eastAsia="宋体" w:cs="宋体"/>
          <w:color w:val="auto"/>
          <w:spacing w:val="1"/>
          <w:sz w:val="21"/>
          <w:szCs w:val="21"/>
          <w:highlight w:val="none"/>
        </w:rPr>
        <w:t>由此导致承包人费用增加和（或）工</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期延误的，由发包人承担由此增加的费用和（或）延误的工期，并支付承包人合理的利润。</w:t>
      </w:r>
      <w:r>
        <w:rPr>
          <w:rFonts w:ascii="宋体" w:hAnsi="宋体" w:eastAsia="宋体" w:cs="宋体"/>
          <w:color w:val="auto"/>
          <w:sz w:val="21"/>
          <w:szCs w:val="21"/>
          <w:highlight w:val="none"/>
        </w:rPr>
        <w:t xml:space="preserve"> </w:t>
      </w:r>
      <w:r>
        <w:rPr>
          <w:rFonts w:ascii="黑体" w:hAnsi="黑体" w:eastAsia="黑体" w:cs="黑体"/>
          <w:color w:val="auto"/>
          <w:spacing w:val="-1"/>
          <w:sz w:val="24"/>
          <w:szCs w:val="24"/>
          <w:highlight w:val="none"/>
        </w:rPr>
        <w:t>13.5 施工期运行</w:t>
      </w:r>
    </w:p>
    <w:p w14:paraId="0C887ACE">
      <w:pPr>
        <w:spacing w:before="129" w:line="398" w:lineRule="exact"/>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position w:val="14"/>
          <w:sz w:val="21"/>
          <w:szCs w:val="21"/>
          <w:highlight w:val="none"/>
        </w:rPr>
        <w:t>13.5.1</w:t>
      </w:r>
      <w:r>
        <w:rPr>
          <w:rFonts w:ascii="Times New Roman" w:hAnsi="Times New Roman" w:eastAsia="Times New Roman" w:cs="Times New Roman"/>
          <w:color w:val="auto"/>
          <w:spacing w:val="36"/>
          <w:w w:val="101"/>
          <w:position w:val="14"/>
          <w:sz w:val="21"/>
          <w:szCs w:val="21"/>
          <w:highlight w:val="none"/>
        </w:rPr>
        <w:t xml:space="preserve"> </w:t>
      </w:r>
      <w:r>
        <w:rPr>
          <w:rFonts w:ascii="宋体" w:hAnsi="宋体" w:eastAsia="宋体" w:cs="宋体"/>
          <w:color w:val="auto"/>
          <w:spacing w:val="3"/>
          <w:position w:val="14"/>
          <w:sz w:val="21"/>
          <w:szCs w:val="21"/>
          <w:highlight w:val="none"/>
        </w:rPr>
        <w:t>施工期运行是指合同工程尚未全部竣工，其中某项</w:t>
      </w:r>
      <w:r>
        <w:rPr>
          <w:rFonts w:ascii="宋体" w:hAnsi="宋体" w:eastAsia="宋体" w:cs="宋体"/>
          <w:color w:val="auto"/>
          <w:spacing w:val="2"/>
          <w:position w:val="14"/>
          <w:sz w:val="21"/>
          <w:szCs w:val="21"/>
          <w:highlight w:val="none"/>
        </w:rPr>
        <w:t>或某几项单位工程或工程设</w:t>
      </w:r>
    </w:p>
    <w:p w14:paraId="03739713">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 xml:space="preserve">备安装已竣工，根据专用合同条款约定，需要投入施工期运行的，经发包人按第 </w:t>
      </w:r>
      <w:r>
        <w:rPr>
          <w:rFonts w:ascii="Times New Roman" w:hAnsi="Times New Roman" w:eastAsia="Times New Roman" w:cs="Times New Roman"/>
          <w:color w:val="auto"/>
          <w:spacing w:val="4"/>
          <w:sz w:val="21"/>
          <w:szCs w:val="21"/>
          <w:highlight w:val="none"/>
        </w:rPr>
        <w:t xml:space="preserve">13.4  </w:t>
      </w:r>
      <w:r>
        <w:rPr>
          <w:rFonts w:ascii="宋体" w:hAnsi="宋体" w:eastAsia="宋体" w:cs="宋体"/>
          <w:color w:val="auto"/>
          <w:spacing w:val="4"/>
          <w:sz w:val="21"/>
          <w:szCs w:val="21"/>
          <w:highlight w:val="none"/>
        </w:rPr>
        <w:t>款</w:t>
      </w:r>
    </w:p>
    <w:p w14:paraId="7457D51D">
      <w:pPr>
        <w:spacing w:before="152" w:line="399" w:lineRule="exact"/>
        <w:ind w:left="42"/>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〔提前交付单位工程的验收〕的约定验收合格，证明能确保安全后，才能在施工期投入运</w:t>
      </w:r>
    </w:p>
    <w:p w14:paraId="25D93115">
      <w:pPr>
        <w:spacing w:line="221" w:lineRule="auto"/>
        <w:ind w:left="21"/>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行。</w:t>
      </w:r>
    </w:p>
    <w:p w14:paraId="06B37BA8">
      <w:pPr>
        <w:spacing w:before="146"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13.5.2</w:t>
      </w:r>
      <w:r>
        <w:rPr>
          <w:rFonts w:ascii="Times New Roman" w:hAnsi="Times New Roman" w:eastAsia="Times New Roman" w:cs="Times New Roman"/>
          <w:color w:val="auto"/>
          <w:spacing w:val="32"/>
          <w:sz w:val="21"/>
          <w:szCs w:val="21"/>
          <w:highlight w:val="none"/>
        </w:rPr>
        <w:t xml:space="preserve"> </w:t>
      </w:r>
      <w:r>
        <w:rPr>
          <w:rFonts w:ascii="宋体" w:hAnsi="宋体" w:eastAsia="宋体" w:cs="宋体"/>
          <w:color w:val="auto"/>
          <w:spacing w:val="-1"/>
          <w:sz w:val="21"/>
          <w:szCs w:val="21"/>
          <w:highlight w:val="none"/>
        </w:rPr>
        <w:t>在施工期运行中发现工程或工程设备损坏或存在缺陷的，由承包人按第</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1"/>
          <w:sz w:val="21"/>
          <w:szCs w:val="21"/>
          <w:highlight w:val="none"/>
        </w:rPr>
        <w:t>15</w:t>
      </w:r>
      <w:r>
        <w:rPr>
          <w:rFonts w:ascii="Times New Roman" w:hAnsi="Times New Roman" w:eastAsia="Times New Roman" w:cs="Times New Roman"/>
          <w:color w:val="auto"/>
          <w:spacing w:val="-2"/>
          <w:sz w:val="21"/>
          <w:szCs w:val="21"/>
          <w:highlight w:val="none"/>
        </w:rPr>
        <w:t>.2</w:t>
      </w:r>
      <w:r>
        <w:rPr>
          <w:rFonts w:ascii="Times New Roman" w:hAnsi="Times New Roman" w:eastAsia="Times New Roman" w:cs="Times New Roman"/>
          <w:color w:val="auto"/>
          <w:spacing w:val="43"/>
          <w:sz w:val="21"/>
          <w:szCs w:val="21"/>
          <w:highlight w:val="none"/>
        </w:rPr>
        <w:t xml:space="preserve"> </w:t>
      </w:r>
      <w:r>
        <w:rPr>
          <w:rFonts w:ascii="宋体" w:hAnsi="宋体" w:eastAsia="宋体" w:cs="宋体"/>
          <w:color w:val="auto"/>
          <w:spacing w:val="-2"/>
          <w:sz w:val="21"/>
          <w:szCs w:val="21"/>
          <w:highlight w:val="none"/>
        </w:rPr>
        <w:t>款</w:t>
      </w:r>
    </w:p>
    <w:p w14:paraId="0A86AC1F">
      <w:pPr>
        <w:spacing w:before="152" w:line="221" w:lineRule="auto"/>
        <w:ind w:left="4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〔缺陷责任期〕约定进行修复。</w:t>
      </w:r>
    </w:p>
    <w:p w14:paraId="458E6758">
      <w:pPr>
        <w:spacing w:before="46" w:line="218"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13.6 竣工退场</w:t>
      </w:r>
    </w:p>
    <w:p w14:paraId="43FF84B2">
      <w:pPr>
        <w:spacing w:before="130"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13.6.1 </w:t>
      </w:r>
      <w:r>
        <w:rPr>
          <w:rFonts w:ascii="宋体" w:hAnsi="宋体" w:eastAsia="宋体" w:cs="宋体"/>
          <w:color w:val="auto"/>
          <w:spacing w:val="-2"/>
          <w:sz w:val="21"/>
          <w:szCs w:val="21"/>
          <w:highlight w:val="none"/>
        </w:rPr>
        <w:t>竣工退场</w:t>
      </w:r>
    </w:p>
    <w:p w14:paraId="21656052">
      <w:pPr>
        <w:spacing w:before="148" w:line="398" w:lineRule="exact"/>
        <w:ind w:left="441"/>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颁发工程接收证书后，承包人应按以下要求对施工现场</w:t>
      </w:r>
      <w:r>
        <w:rPr>
          <w:rFonts w:ascii="宋体" w:hAnsi="宋体" w:eastAsia="宋体" w:cs="宋体"/>
          <w:color w:val="auto"/>
          <w:spacing w:val="-1"/>
          <w:position w:val="14"/>
          <w:sz w:val="21"/>
          <w:szCs w:val="21"/>
          <w:highlight w:val="none"/>
        </w:rPr>
        <w:t>进行清理：</w:t>
      </w:r>
    </w:p>
    <w:p w14:paraId="5BE060F1">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）施工现场内残留的垃圾已全部清除出</w:t>
      </w:r>
      <w:r>
        <w:rPr>
          <w:rFonts w:ascii="宋体" w:hAnsi="宋体" w:eastAsia="宋体" w:cs="宋体"/>
          <w:color w:val="auto"/>
          <w:spacing w:val="-3"/>
          <w:sz w:val="21"/>
          <w:szCs w:val="21"/>
          <w:highlight w:val="none"/>
        </w:rPr>
        <w:t>场；</w:t>
      </w:r>
    </w:p>
    <w:p w14:paraId="697D7395">
      <w:pPr>
        <w:spacing w:before="152"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）临时工程已拆除，场地已进行清理、平整或复原；</w:t>
      </w:r>
    </w:p>
    <w:p w14:paraId="5550E442">
      <w:pPr>
        <w:spacing w:before="147" w:line="399"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）按合同约定应撤离的人员、承包人施工设备和剩余的材料，包括废弃的</w:t>
      </w:r>
      <w:r>
        <w:rPr>
          <w:rFonts w:ascii="宋体" w:hAnsi="宋体" w:eastAsia="宋体" w:cs="宋体"/>
          <w:color w:val="auto"/>
          <w:spacing w:val="-1"/>
          <w:position w:val="14"/>
          <w:sz w:val="21"/>
          <w:szCs w:val="21"/>
          <w:highlight w:val="none"/>
        </w:rPr>
        <w:t>施工设备</w:t>
      </w:r>
    </w:p>
    <w:p w14:paraId="4215143E">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和材料，已按计划撤离施工现场；</w:t>
      </w:r>
    </w:p>
    <w:p w14:paraId="5345D9C4">
      <w:pPr>
        <w:spacing w:before="153" w:line="398" w:lineRule="exact"/>
        <w:ind w:left="447"/>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4</w:t>
      </w:r>
      <w:r>
        <w:rPr>
          <w:rFonts w:ascii="宋体" w:hAnsi="宋体" w:eastAsia="宋体" w:cs="宋体"/>
          <w:color w:val="auto"/>
          <w:spacing w:val="-2"/>
          <w:position w:val="14"/>
          <w:sz w:val="21"/>
          <w:szCs w:val="21"/>
          <w:highlight w:val="none"/>
        </w:rPr>
        <w:t>）施工现场周边及其附近道路、河道的施工堆积物，已全部清理；</w:t>
      </w:r>
    </w:p>
    <w:p w14:paraId="54BD7074">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5</w:t>
      </w:r>
      <w:r>
        <w:rPr>
          <w:rFonts w:ascii="宋体" w:hAnsi="宋体" w:eastAsia="宋体" w:cs="宋体"/>
          <w:color w:val="auto"/>
          <w:spacing w:val="-2"/>
          <w:sz w:val="21"/>
          <w:szCs w:val="21"/>
          <w:highlight w:val="none"/>
        </w:rPr>
        <w:t>）施工现场其他场地清理工作已全部完成。</w:t>
      </w:r>
    </w:p>
    <w:p w14:paraId="397273E7">
      <w:pPr>
        <w:spacing w:before="147" w:line="353" w:lineRule="auto"/>
        <w:ind w:left="19" w:right="174" w:firstLine="42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施工现场的竣工退场费用由承包人承担。承包人应在专用合同条款约定的期限内完成 </w:t>
      </w:r>
      <w:r>
        <w:rPr>
          <w:rFonts w:ascii="宋体" w:hAnsi="宋体" w:eastAsia="宋体" w:cs="宋体"/>
          <w:color w:val="auto"/>
          <w:sz w:val="21"/>
          <w:szCs w:val="21"/>
          <w:highlight w:val="none"/>
        </w:rPr>
        <w:t>竣工退场，逾期未完成的，发包人有权出售或另行处理承包人遗留的物品， 由此支出的费</w:t>
      </w:r>
    </w:p>
    <w:p w14:paraId="16C725F2">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用由承包人承担，发包人出售承包人遗留物品所得款项在扣除必要费用后应返还承包人。</w:t>
      </w:r>
    </w:p>
    <w:p w14:paraId="2BC373E0">
      <w:pPr>
        <w:spacing w:before="148" w:line="222"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13.6.2 </w:t>
      </w:r>
      <w:r>
        <w:rPr>
          <w:rFonts w:ascii="宋体" w:hAnsi="宋体" w:eastAsia="宋体" w:cs="宋体"/>
          <w:color w:val="auto"/>
          <w:spacing w:val="-2"/>
          <w:sz w:val="21"/>
          <w:szCs w:val="21"/>
          <w:highlight w:val="none"/>
        </w:rPr>
        <w:t>地表还原</w:t>
      </w:r>
    </w:p>
    <w:p w14:paraId="01178F13">
      <w:pPr>
        <w:spacing w:before="149" w:line="351" w:lineRule="auto"/>
        <w:ind w:left="52" w:right="174" w:firstLine="38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承包人应按发包人要求恢复临时占地及清理场地，承包人未按发包人的要求恢复临时 </w:t>
      </w:r>
      <w:r>
        <w:rPr>
          <w:rFonts w:ascii="宋体" w:hAnsi="宋体" w:eastAsia="宋体" w:cs="宋体"/>
          <w:color w:val="auto"/>
          <w:spacing w:val="-6"/>
          <w:sz w:val="21"/>
          <w:szCs w:val="21"/>
          <w:highlight w:val="none"/>
        </w:rPr>
        <w:t>占地， 或者场地清理未达到合同约定要求的， 发包人有权委托其他人恢复或清理， 所发生</w:t>
      </w:r>
    </w:p>
    <w:p w14:paraId="524C1846">
      <w:pPr>
        <w:spacing w:before="1" w:line="220" w:lineRule="auto"/>
        <w:ind w:left="3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的费用由承包人承担。</w:t>
      </w:r>
    </w:p>
    <w:p w14:paraId="0D726F19">
      <w:pPr>
        <w:spacing w:before="177" w:line="526" w:lineRule="exact"/>
        <w:ind w:left="39"/>
        <w:rPr>
          <w:rFonts w:ascii="黑体" w:hAnsi="黑体" w:eastAsia="黑体" w:cs="黑体"/>
          <w:color w:val="auto"/>
          <w:sz w:val="32"/>
          <w:szCs w:val="32"/>
          <w:highlight w:val="none"/>
        </w:rPr>
      </w:pPr>
      <w:r>
        <w:rPr>
          <w:rFonts w:ascii="黑体" w:hAnsi="黑体" w:eastAsia="黑体" w:cs="黑体"/>
          <w:color w:val="auto"/>
          <w:spacing w:val="-4"/>
          <w:position w:val="15"/>
          <w:sz w:val="32"/>
          <w:szCs w:val="32"/>
          <w:highlight w:val="none"/>
        </w:rPr>
        <w:t>14.竣工结算</w:t>
      </w:r>
    </w:p>
    <w:p w14:paraId="07F7F57E">
      <w:pPr>
        <w:spacing w:before="1" w:line="218"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14.1 竣工结算申请</w:t>
      </w:r>
    </w:p>
    <w:p w14:paraId="567F9792">
      <w:pPr>
        <w:spacing w:before="129" w:line="353" w:lineRule="auto"/>
        <w:ind w:left="20" w:right="169" w:firstLine="433"/>
        <w:jc w:val="both"/>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除专用合同条款另有约定外， 承包人应在工程竣工验收合格后</w:t>
      </w:r>
      <w:r>
        <w:rPr>
          <w:rFonts w:ascii="宋体" w:hAnsi="宋体" w:eastAsia="宋体" w:cs="宋体"/>
          <w:color w:val="auto"/>
          <w:spacing w:val="-14"/>
          <w:sz w:val="21"/>
          <w:szCs w:val="21"/>
          <w:highlight w:val="none"/>
        </w:rPr>
        <w:t xml:space="preserve"> </w:t>
      </w:r>
      <w:r>
        <w:rPr>
          <w:rFonts w:ascii="Times New Roman" w:hAnsi="Times New Roman" w:eastAsia="Times New Roman" w:cs="Times New Roman"/>
          <w:color w:val="auto"/>
          <w:spacing w:val="-4"/>
          <w:sz w:val="21"/>
          <w:szCs w:val="21"/>
          <w:highlight w:val="none"/>
        </w:rPr>
        <w:t>28</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pacing w:val="-4"/>
          <w:sz w:val="21"/>
          <w:szCs w:val="21"/>
          <w:highlight w:val="none"/>
        </w:rPr>
        <w:t>天内向发包人和监理</w:t>
      </w:r>
      <w:r>
        <w:rPr>
          <w:rFonts w:ascii="宋体" w:hAnsi="宋体" w:eastAsia="宋体" w:cs="宋体"/>
          <w:color w:val="auto"/>
          <w:sz w:val="21"/>
          <w:szCs w:val="21"/>
          <w:highlight w:val="none"/>
        </w:rPr>
        <w:t xml:space="preserve"> 人提交竣工结算申请单，并提交完整的结算资料， 有关竣工结算申请单的资料清单和份数</w:t>
      </w:r>
    </w:p>
    <w:p w14:paraId="399E5BD9">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等要求由合同当事人在专用合同条款中约定。</w:t>
      </w:r>
    </w:p>
    <w:p w14:paraId="19D5F2C0">
      <w:pPr>
        <w:spacing w:before="148" w:line="398" w:lineRule="exact"/>
        <w:ind w:left="453"/>
        <w:rPr>
          <w:rFonts w:ascii="宋体" w:hAnsi="宋体" w:eastAsia="宋体" w:cs="宋体"/>
          <w:color w:val="auto"/>
          <w:sz w:val="21"/>
          <w:szCs w:val="21"/>
          <w:highlight w:val="none"/>
        </w:rPr>
      </w:pPr>
      <w:r>
        <w:rPr>
          <w:rFonts w:ascii="宋体" w:hAnsi="宋体" w:eastAsia="宋体" w:cs="宋体"/>
          <w:color w:val="auto"/>
          <w:spacing w:val="-6"/>
          <w:position w:val="14"/>
          <w:sz w:val="21"/>
          <w:szCs w:val="21"/>
          <w:highlight w:val="none"/>
        </w:rPr>
        <w:t>除专用合同条款另有约定外， 竣工结算申请单应包括以下内容：</w:t>
      </w:r>
    </w:p>
    <w:p w14:paraId="54558908">
      <w:pPr>
        <w:spacing w:line="219"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）竣工结算合同价格；</w:t>
      </w:r>
    </w:p>
    <w:p w14:paraId="091433EA">
      <w:pPr>
        <w:spacing w:before="154"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2</w:t>
      </w:r>
      <w:r>
        <w:rPr>
          <w:rFonts w:ascii="宋体" w:hAnsi="宋体" w:eastAsia="宋体" w:cs="宋体"/>
          <w:color w:val="auto"/>
          <w:spacing w:val="-3"/>
          <w:sz w:val="21"/>
          <w:szCs w:val="21"/>
          <w:highlight w:val="none"/>
        </w:rPr>
        <w:t>）发包人已支付承包人的款项；</w:t>
      </w:r>
    </w:p>
    <w:p w14:paraId="3DA47751">
      <w:pPr>
        <w:spacing w:line="221" w:lineRule="auto"/>
        <w:rPr>
          <w:rFonts w:ascii="宋体" w:hAnsi="宋体" w:eastAsia="宋体" w:cs="宋体"/>
          <w:color w:val="auto"/>
          <w:sz w:val="21"/>
          <w:szCs w:val="21"/>
          <w:highlight w:val="none"/>
        </w:rPr>
        <w:sectPr>
          <w:footerReference r:id="rId140" w:type="default"/>
          <w:pgSz w:w="11905" w:h="16839"/>
          <w:pgMar w:top="1431" w:right="1617" w:bottom="1004" w:left="1785" w:header="0" w:footer="829" w:gutter="0"/>
          <w:pgNumType w:fmt="decimal"/>
          <w:cols w:space="720" w:num="1"/>
        </w:sectPr>
      </w:pPr>
    </w:p>
    <w:p w14:paraId="2698C5AF">
      <w:pPr>
        <w:spacing w:before="149" w:line="220" w:lineRule="auto"/>
        <w:jc w:val="right"/>
        <w:rPr>
          <w:rFonts w:ascii="宋体" w:hAnsi="宋体" w:eastAsia="宋体" w:cs="宋体"/>
          <w:color w:val="auto"/>
          <w:sz w:val="21"/>
          <w:szCs w:val="21"/>
          <w:highlight w:val="none"/>
        </w:rPr>
      </w:pPr>
      <w:bookmarkStart w:id="199" w:name="bookmark227"/>
      <w:bookmarkEnd w:id="199"/>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）应扣留的质量保证金。已缴纳履约保证金的或提供其他工程质量担</w:t>
      </w:r>
      <w:r>
        <w:rPr>
          <w:rFonts w:ascii="宋体" w:hAnsi="宋体" w:eastAsia="宋体" w:cs="宋体"/>
          <w:color w:val="auto"/>
          <w:spacing w:val="-2"/>
          <w:sz w:val="21"/>
          <w:szCs w:val="21"/>
          <w:highlight w:val="none"/>
        </w:rPr>
        <w:t>保方式的除外；</w:t>
      </w:r>
    </w:p>
    <w:p w14:paraId="6D2181B3">
      <w:pPr>
        <w:spacing w:before="148" w:line="219"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4</w:t>
      </w:r>
      <w:r>
        <w:rPr>
          <w:rFonts w:ascii="宋体" w:hAnsi="宋体" w:eastAsia="宋体" w:cs="宋体"/>
          <w:color w:val="auto"/>
          <w:spacing w:val="-2"/>
          <w:sz w:val="21"/>
          <w:szCs w:val="21"/>
          <w:highlight w:val="none"/>
        </w:rPr>
        <w:t>）发包人应支付承包人的合同价款。</w:t>
      </w:r>
    </w:p>
    <w:p w14:paraId="48C55B60">
      <w:pPr>
        <w:spacing w:before="52" w:line="218"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14.2 竣工结算审核</w:t>
      </w:r>
    </w:p>
    <w:p w14:paraId="6BB1EB94">
      <w:pPr>
        <w:spacing w:before="132" w:line="351" w:lineRule="auto"/>
        <w:ind w:left="17" w:right="158" w:firstLine="430"/>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）除专用合同条款另有约定外，监理人应在收到竣</w:t>
      </w:r>
      <w:r>
        <w:rPr>
          <w:rFonts w:ascii="宋体" w:hAnsi="宋体" w:eastAsia="宋体" w:cs="宋体"/>
          <w:color w:val="auto"/>
          <w:spacing w:val="-1"/>
          <w:sz w:val="21"/>
          <w:szCs w:val="21"/>
          <w:highlight w:val="none"/>
        </w:rPr>
        <w:t>工结算申请单后</w:t>
      </w:r>
      <w:r>
        <w:rPr>
          <w:rFonts w:ascii="宋体" w:hAnsi="宋体" w:eastAsia="宋体" w:cs="宋体"/>
          <w:color w:val="auto"/>
          <w:spacing w:val="27"/>
          <w:sz w:val="21"/>
          <w:szCs w:val="21"/>
          <w:highlight w:val="none"/>
        </w:rPr>
        <w:t xml:space="preserve"> </w:t>
      </w:r>
      <w:r>
        <w:rPr>
          <w:rFonts w:ascii="Times New Roman" w:hAnsi="Times New Roman" w:eastAsia="Times New Roman" w:cs="Times New Roman"/>
          <w:color w:val="auto"/>
          <w:spacing w:val="-1"/>
          <w:sz w:val="21"/>
          <w:szCs w:val="21"/>
          <w:highlight w:val="none"/>
        </w:rPr>
        <w:t>14</w:t>
      </w:r>
      <w:r>
        <w:rPr>
          <w:rFonts w:ascii="Times New Roman" w:hAnsi="Times New Roman" w:eastAsia="Times New Roman" w:cs="Times New Roman"/>
          <w:color w:val="auto"/>
          <w:spacing w:val="47"/>
          <w:sz w:val="21"/>
          <w:szCs w:val="21"/>
          <w:highlight w:val="none"/>
        </w:rPr>
        <w:t xml:space="preserve"> </w:t>
      </w:r>
      <w:r>
        <w:rPr>
          <w:rFonts w:ascii="宋体" w:hAnsi="宋体" w:eastAsia="宋体" w:cs="宋体"/>
          <w:color w:val="auto"/>
          <w:spacing w:val="-1"/>
          <w:sz w:val="21"/>
          <w:szCs w:val="21"/>
          <w:highlight w:val="none"/>
        </w:rPr>
        <w:t>天内完成核</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 xml:space="preserve">查并报送发包人。发包人应在收到监理人提交的经审核的竣工结算申请单后 </w:t>
      </w:r>
      <w:r>
        <w:rPr>
          <w:rFonts w:ascii="Times New Roman" w:hAnsi="Times New Roman" w:eastAsia="Times New Roman" w:cs="Times New Roman"/>
          <w:color w:val="auto"/>
          <w:spacing w:val="-1"/>
          <w:sz w:val="21"/>
          <w:szCs w:val="21"/>
          <w:highlight w:val="none"/>
        </w:rPr>
        <w:t xml:space="preserve">14 </w:t>
      </w:r>
      <w:r>
        <w:rPr>
          <w:rFonts w:ascii="宋体" w:hAnsi="宋体" w:eastAsia="宋体" w:cs="宋体"/>
          <w:color w:val="auto"/>
          <w:spacing w:val="-1"/>
          <w:sz w:val="21"/>
          <w:szCs w:val="21"/>
          <w:highlight w:val="none"/>
        </w:rPr>
        <w:t>天内完成审</w:t>
      </w:r>
      <w:r>
        <w:rPr>
          <w:rFonts w:ascii="宋体" w:hAnsi="宋体" w:eastAsia="宋体" w:cs="宋体"/>
          <w:color w:val="auto"/>
          <w:spacing w:val="3"/>
          <w:sz w:val="21"/>
          <w:szCs w:val="21"/>
          <w:highlight w:val="none"/>
        </w:rPr>
        <w:t xml:space="preserve"> 批，并由监理人向承包人签发经发包人签认的竣工付款证书。监理人或发包人对</w:t>
      </w:r>
      <w:r>
        <w:rPr>
          <w:rFonts w:ascii="宋体" w:hAnsi="宋体" w:eastAsia="宋体" w:cs="宋体"/>
          <w:color w:val="auto"/>
          <w:spacing w:val="2"/>
          <w:sz w:val="21"/>
          <w:szCs w:val="21"/>
          <w:highlight w:val="none"/>
        </w:rPr>
        <w:t>竣工结算</w:t>
      </w:r>
      <w:r>
        <w:rPr>
          <w:rFonts w:ascii="宋体" w:hAnsi="宋体" w:eastAsia="宋体" w:cs="宋体"/>
          <w:color w:val="auto"/>
          <w:sz w:val="21"/>
          <w:szCs w:val="21"/>
          <w:highlight w:val="none"/>
        </w:rPr>
        <w:t xml:space="preserve"> 申请单有异议的， 有权要求承包人进行修正和提供补充资料，承包人应提交修正后的竣工</w:t>
      </w:r>
    </w:p>
    <w:p w14:paraId="4065A000">
      <w:pPr>
        <w:spacing w:line="220" w:lineRule="auto"/>
        <w:ind w:left="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结算申请单。</w:t>
      </w:r>
    </w:p>
    <w:p w14:paraId="146E77AB">
      <w:pPr>
        <w:spacing w:before="148" w:line="352" w:lineRule="auto"/>
        <w:ind w:left="21" w:right="158" w:firstLine="422"/>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发包人在收到承包人提交竣工结算申请书后</w:t>
      </w:r>
      <w:r>
        <w:rPr>
          <w:rFonts w:ascii="宋体" w:hAnsi="宋体" w:eastAsia="宋体" w:cs="宋体"/>
          <w:color w:val="auto"/>
          <w:spacing w:val="-32"/>
          <w:sz w:val="21"/>
          <w:szCs w:val="21"/>
          <w:highlight w:val="none"/>
        </w:rPr>
        <w:t xml:space="preserve"> </w:t>
      </w:r>
      <w:r>
        <w:rPr>
          <w:rFonts w:ascii="Times New Roman" w:hAnsi="Times New Roman" w:eastAsia="Times New Roman" w:cs="Times New Roman"/>
          <w:color w:val="auto"/>
          <w:spacing w:val="-3"/>
          <w:sz w:val="21"/>
          <w:szCs w:val="21"/>
          <w:highlight w:val="none"/>
        </w:rPr>
        <w:t>28</w:t>
      </w:r>
      <w:r>
        <w:rPr>
          <w:rFonts w:ascii="Times New Roman" w:hAnsi="Times New Roman" w:eastAsia="Times New Roman" w:cs="Times New Roman"/>
          <w:color w:val="auto"/>
          <w:spacing w:val="13"/>
          <w:sz w:val="21"/>
          <w:szCs w:val="21"/>
          <w:highlight w:val="none"/>
        </w:rPr>
        <w:t xml:space="preserve"> </w:t>
      </w:r>
      <w:r>
        <w:rPr>
          <w:rFonts w:ascii="宋体" w:hAnsi="宋体" w:eastAsia="宋体" w:cs="宋体"/>
          <w:color w:val="auto"/>
          <w:spacing w:val="-3"/>
          <w:sz w:val="21"/>
          <w:szCs w:val="21"/>
          <w:highlight w:val="none"/>
        </w:rPr>
        <w:t>天内未完成审批</w:t>
      </w:r>
      <w:r>
        <w:rPr>
          <w:rFonts w:ascii="宋体" w:hAnsi="宋体" w:eastAsia="宋体" w:cs="宋体"/>
          <w:color w:val="auto"/>
          <w:spacing w:val="-4"/>
          <w:sz w:val="21"/>
          <w:szCs w:val="21"/>
          <w:highlight w:val="none"/>
        </w:rPr>
        <w:t>且未提出异议的， 视为</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发包人认可承包人提交的竣工结算申请单，并自发包人收到承包人提</w:t>
      </w:r>
      <w:r>
        <w:rPr>
          <w:rFonts w:ascii="宋体" w:hAnsi="宋体" w:eastAsia="宋体" w:cs="宋体"/>
          <w:color w:val="auto"/>
          <w:spacing w:val="2"/>
          <w:sz w:val="21"/>
          <w:szCs w:val="21"/>
          <w:highlight w:val="none"/>
        </w:rPr>
        <w:t>交的竣工结算申请单</w:t>
      </w:r>
    </w:p>
    <w:p w14:paraId="08AA2C59">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后第</w:t>
      </w:r>
      <w:r>
        <w:rPr>
          <w:rFonts w:ascii="宋体" w:hAnsi="宋体" w:eastAsia="宋体" w:cs="宋体"/>
          <w:color w:val="auto"/>
          <w:spacing w:val="-30"/>
          <w:sz w:val="21"/>
          <w:szCs w:val="21"/>
          <w:highlight w:val="none"/>
        </w:rPr>
        <w:t xml:space="preserve"> </w:t>
      </w:r>
      <w:r>
        <w:rPr>
          <w:rFonts w:ascii="Times New Roman" w:hAnsi="Times New Roman" w:eastAsia="Times New Roman" w:cs="Times New Roman"/>
          <w:color w:val="auto"/>
          <w:spacing w:val="-2"/>
          <w:sz w:val="21"/>
          <w:szCs w:val="21"/>
          <w:highlight w:val="none"/>
        </w:rPr>
        <w:t xml:space="preserve">29 </w:t>
      </w:r>
      <w:r>
        <w:rPr>
          <w:rFonts w:ascii="宋体" w:hAnsi="宋体" w:eastAsia="宋体" w:cs="宋体"/>
          <w:color w:val="auto"/>
          <w:spacing w:val="-2"/>
          <w:sz w:val="21"/>
          <w:szCs w:val="21"/>
          <w:highlight w:val="none"/>
        </w:rPr>
        <w:t>天起视为已签发竣工付款证书。</w:t>
      </w:r>
    </w:p>
    <w:p w14:paraId="0AF31B47">
      <w:pPr>
        <w:spacing w:before="148" w:line="352" w:lineRule="auto"/>
        <w:ind w:left="17" w:right="160" w:firstLine="430"/>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）除专用合同条款另有约定外，发包人应在签发竣工付款证书后的</w:t>
      </w:r>
      <w:r>
        <w:rPr>
          <w:rFonts w:ascii="宋体" w:hAnsi="宋体" w:eastAsia="宋体" w:cs="宋体"/>
          <w:color w:val="auto"/>
          <w:spacing w:val="56"/>
          <w:sz w:val="21"/>
          <w:szCs w:val="21"/>
          <w:highlight w:val="none"/>
        </w:rPr>
        <w:t xml:space="preserve"> </w:t>
      </w:r>
      <w:r>
        <w:rPr>
          <w:rFonts w:ascii="Times New Roman" w:hAnsi="Times New Roman" w:eastAsia="Times New Roman" w:cs="Times New Roman"/>
          <w:color w:val="auto"/>
          <w:spacing w:val="-1"/>
          <w:sz w:val="21"/>
          <w:szCs w:val="21"/>
          <w:highlight w:val="none"/>
        </w:rPr>
        <w:t>14</w:t>
      </w:r>
      <w:r>
        <w:rPr>
          <w:rFonts w:ascii="Times New Roman" w:hAnsi="Times New Roman" w:eastAsia="Times New Roman" w:cs="Times New Roman"/>
          <w:color w:val="auto"/>
          <w:spacing w:val="37"/>
          <w:w w:val="101"/>
          <w:sz w:val="21"/>
          <w:szCs w:val="21"/>
          <w:highlight w:val="none"/>
        </w:rPr>
        <w:t xml:space="preserve"> </w:t>
      </w:r>
      <w:r>
        <w:rPr>
          <w:rFonts w:ascii="宋体" w:hAnsi="宋体" w:eastAsia="宋体" w:cs="宋体"/>
          <w:color w:val="auto"/>
          <w:spacing w:val="-1"/>
          <w:sz w:val="21"/>
          <w:szCs w:val="21"/>
          <w:highlight w:val="none"/>
        </w:rPr>
        <w:t>天内，完成</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对承包人的竣工付款。发包人逾期支付的，按照中国人民银行发布的同期同类</w:t>
      </w:r>
      <w:r>
        <w:rPr>
          <w:rFonts w:ascii="宋体" w:hAnsi="宋体" w:eastAsia="宋体" w:cs="宋体"/>
          <w:color w:val="auto"/>
          <w:spacing w:val="2"/>
          <w:sz w:val="21"/>
          <w:szCs w:val="21"/>
          <w:highlight w:val="none"/>
        </w:rPr>
        <w:t>贷款基准利</w:t>
      </w:r>
      <w:r>
        <w:rPr>
          <w:rFonts w:ascii="宋体" w:hAnsi="宋体" w:eastAsia="宋体" w:cs="宋体"/>
          <w:color w:val="auto"/>
          <w:sz w:val="21"/>
          <w:szCs w:val="21"/>
          <w:highlight w:val="none"/>
        </w:rPr>
        <w:t xml:space="preserve"> 率支付违约金；逾期支付超过</w:t>
      </w:r>
      <w:r>
        <w:rPr>
          <w:rFonts w:ascii="宋体" w:hAnsi="宋体" w:eastAsia="宋体" w:cs="宋体"/>
          <w:color w:val="auto"/>
          <w:spacing w:val="-26"/>
          <w:sz w:val="21"/>
          <w:szCs w:val="21"/>
          <w:highlight w:val="none"/>
        </w:rPr>
        <w:t xml:space="preserve"> </w:t>
      </w:r>
      <w:r>
        <w:rPr>
          <w:rFonts w:ascii="Times New Roman" w:hAnsi="Times New Roman" w:eastAsia="Times New Roman" w:cs="Times New Roman"/>
          <w:color w:val="auto"/>
          <w:sz w:val="21"/>
          <w:szCs w:val="21"/>
          <w:highlight w:val="none"/>
        </w:rPr>
        <w:t xml:space="preserve">56 </w:t>
      </w:r>
      <w:r>
        <w:rPr>
          <w:rFonts w:ascii="宋体" w:hAnsi="宋体" w:eastAsia="宋体" w:cs="宋体"/>
          <w:color w:val="auto"/>
          <w:sz w:val="21"/>
          <w:szCs w:val="21"/>
          <w:highlight w:val="none"/>
        </w:rPr>
        <w:t>天的，按照中国人民银行发布的</w:t>
      </w:r>
      <w:r>
        <w:rPr>
          <w:rFonts w:ascii="宋体" w:hAnsi="宋体" w:eastAsia="宋体" w:cs="宋体"/>
          <w:color w:val="auto"/>
          <w:spacing w:val="-1"/>
          <w:sz w:val="21"/>
          <w:szCs w:val="21"/>
          <w:highlight w:val="none"/>
        </w:rPr>
        <w:t>同期同类贷款基准利率的</w:t>
      </w:r>
    </w:p>
    <w:p w14:paraId="4191FA32">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两倍支付违约金。</w:t>
      </w:r>
    </w:p>
    <w:p w14:paraId="3F2618C4">
      <w:pPr>
        <w:spacing w:before="152" w:line="352" w:lineRule="auto"/>
        <w:ind w:left="17" w:right="159" w:firstLine="430"/>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3</w:t>
      </w:r>
      <w:r>
        <w:rPr>
          <w:rFonts w:ascii="宋体" w:hAnsi="宋体" w:eastAsia="宋体" w:cs="宋体"/>
          <w:color w:val="auto"/>
          <w:sz w:val="21"/>
          <w:szCs w:val="21"/>
          <w:highlight w:val="none"/>
        </w:rPr>
        <w:t>）承包人对发包人签认的竣工付款证书有异议的，对于有异议部分应在收到发包人</w:t>
      </w:r>
      <w:r>
        <w:rPr>
          <w:rFonts w:ascii="宋体" w:hAnsi="宋体" w:eastAsia="宋体" w:cs="宋体"/>
          <w:color w:val="auto"/>
          <w:spacing w:val="5"/>
          <w:sz w:val="21"/>
          <w:szCs w:val="21"/>
          <w:highlight w:val="none"/>
        </w:rPr>
        <w:t xml:space="preserve"> </w:t>
      </w:r>
      <w:r>
        <w:rPr>
          <w:rFonts w:ascii="宋体" w:hAnsi="宋体" w:eastAsia="宋体" w:cs="宋体"/>
          <w:color w:val="auto"/>
          <w:sz w:val="21"/>
          <w:szCs w:val="21"/>
          <w:highlight w:val="none"/>
        </w:rPr>
        <w:t xml:space="preserve">签认的竣工付款证书后 </w:t>
      </w:r>
      <w:r>
        <w:rPr>
          <w:rFonts w:ascii="Times New Roman" w:hAnsi="Times New Roman" w:eastAsia="Times New Roman" w:cs="Times New Roman"/>
          <w:color w:val="auto"/>
          <w:sz w:val="21"/>
          <w:szCs w:val="21"/>
          <w:highlight w:val="none"/>
        </w:rPr>
        <w:t xml:space="preserve">7  </w:t>
      </w:r>
      <w:r>
        <w:rPr>
          <w:rFonts w:ascii="宋体" w:hAnsi="宋体" w:eastAsia="宋体" w:cs="宋体"/>
          <w:color w:val="auto"/>
          <w:sz w:val="21"/>
          <w:szCs w:val="21"/>
          <w:highlight w:val="none"/>
        </w:rPr>
        <w:t>天内提出异议，并由合同当事人按照专用合同条款约定的方式和</w:t>
      </w:r>
      <w:r>
        <w:rPr>
          <w:rFonts w:ascii="宋体" w:hAnsi="宋体" w:eastAsia="宋体" w:cs="宋体"/>
          <w:color w:val="auto"/>
          <w:spacing w:val="13"/>
          <w:sz w:val="21"/>
          <w:szCs w:val="21"/>
          <w:highlight w:val="none"/>
        </w:rPr>
        <w:t xml:space="preserve"> </w:t>
      </w:r>
      <w:r>
        <w:rPr>
          <w:rFonts w:ascii="宋体" w:hAnsi="宋体" w:eastAsia="宋体" w:cs="宋体"/>
          <w:color w:val="auto"/>
          <w:sz w:val="21"/>
          <w:szCs w:val="21"/>
          <w:highlight w:val="none"/>
        </w:rPr>
        <w:t>程序进行复核，或按照第</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z w:val="21"/>
          <w:szCs w:val="21"/>
          <w:highlight w:val="none"/>
        </w:rPr>
        <w:t xml:space="preserve">20 </w:t>
      </w:r>
      <w:r>
        <w:rPr>
          <w:rFonts w:ascii="宋体" w:hAnsi="宋体" w:eastAsia="宋体" w:cs="宋体"/>
          <w:color w:val="auto"/>
          <w:sz w:val="21"/>
          <w:szCs w:val="21"/>
          <w:highlight w:val="none"/>
        </w:rPr>
        <w:t>条〔争议解决〕约定处理。对于无异议部分，发包人应</w:t>
      </w:r>
      <w:r>
        <w:rPr>
          <w:rFonts w:ascii="宋体" w:hAnsi="宋体" w:eastAsia="宋体" w:cs="宋体"/>
          <w:color w:val="auto"/>
          <w:spacing w:val="-1"/>
          <w:sz w:val="21"/>
          <w:szCs w:val="21"/>
          <w:highlight w:val="none"/>
        </w:rPr>
        <w:t>签发临</w:t>
      </w:r>
    </w:p>
    <w:p w14:paraId="0CEFF0B9">
      <w:pPr>
        <w:spacing w:before="1" w:line="219" w:lineRule="auto"/>
        <w:ind w:left="28"/>
        <w:rPr>
          <w:rFonts w:ascii="宋体" w:hAnsi="宋体" w:eastAsia="宋体" w:cs="宋体"/>
          <w:color w:val="auto"/>
          <w:sz w:val="21"/>
          <w:szCs w:val="21"/>
          <w:highlight w:val="none"/>
        </w:rPr>
      </w:pPr>
      <w:r>
        <w:rPr>
          <w:rFonts w:ascii="宋体" w:hAnsi="宋体" w:eastAsia="宋体" w:cs="宋体"/>
          <w:color w:val="auto"/>
          <w:sz w:val="21"/>
          <w:szCs w:val="21"/>
          <w:highlight w:val="none"/>
        </w:rPr>
        <w:t>时竣工付款证书，并按本款第（</w:t>
      </w: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）项完成付款。承包人逾期未提出异议的，视为认可发包</w:t>
      </w:r>
    </w:p>
    <w:p w14:paraId="43755E0E">
      <w:pPr>
        <w:spacing w:before="148" w:line="221"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人的审批结果。</w:t>
      </w:r>
    </w:p>
    <w:p w14:paraId="3B195A47">
      <w:pPr>
        <w:spacing w:before="46" w:line="218"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14.3 甩项竣工协议</w:t>
      </w:r>
    </w:p>
    <w:p w14:paraId="50A58F92">
      <w:pPr>
        <w:spacing w:before="130" w:line="398" w:lineRule="exact"/>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发包人要求甩项竣工的，合同当事人应签订甩项竣工协议。</w:t>
      </w:r>
      <w:r>
        <w:rPr>
          <w:rFonts w:ascii="宋体" w:hAnsi="宋体" w:eastAsia="宋体" w:cs="宋体"/>
          <w:color w:val="auto"/>
          <w:spacing w:val="1"/>
          <w:position w:val="14"/>
          <w:sz w:val="21"/>
          <w:szCs w:val="21"/>
          <w:highlight w:val="none"/>
        </w:rPr>
        <w:t>在甩项竣工协议中应明确，</w:t>
      </w:r>
    </w:p>
    <w:p w14:paraId="62CE60AE">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 xml:space="preserve">合同当事人按照第 </w:t>
      </w:r>
      <w:r>
        <w:rPr>
          <w:rFonts w:ascii="Times New Roman" w:hAnsi="Times New Roman" w:eastAsia="Times New Roman" w:cs="Times New Roman"/>
          <w:color w:val="auto"/>
          <w:spacing w:val="-4"/>
          <w:sz w:val="21"/>
          <w:szCs w:val="21"/>
          <w:highlight w:val="none"/>
        </w:rPr>
        <w:t xml:space="preserve">14.1 </w:t>
      </w:r>
      <w:r>
        <w:rPr>
          <w:rFonts w:ascii="宋体" w:hAnsi="宋体" w:eastAsia="宋体" w:cs="宋体"/>
          <w:color w:val="auto"/>
          <w:spacing w:val="-4"/>
          <w:sz w:val="21"/>
          <w:szCs w:val="21"/>
          <w:highlight w:val="none"/>
        </w:rPr>
        <w:t xml:space="preserve">款〔竣工结算申请〕及 </w:t>
      </w:r>
      <w:r>
        <w:rPr>
          <w:rFonts w:ascii="Times New Roman" w:hAnsi="Times New Roman" w:eastAsia="Times New Roman" w:cs="Times New Roman"/>
          <w:color w:val="auto"/>
          <w:spacing w:val="-4"/>
          <w:sz w:val="21"/>
          <w:szCs w:val="21"/>
          <w:highlight w:val="none"/>
        </w:rPr>
        <w:t xml:space="preserve">14.2 </w:t>
      </w:r>
      <w:r>
        <w:rPr>
          <w:rFonts w:ascii="宋体" w:hAnsi="宋体" w:eastAsia="宋体" w:cs="宋体"/>
          <w:color w:val="auto"/>
          <w:spacing w:val="-4"/>
          <w:sz w:val="21"/>
          <w:szCs w:val="21"/>
          <w:highlight w:val="none"/>
        </w:rPr>
        <w:t>款〔竣工结算审核〕的约定， 对已</w:t>
      </w:r>
      <w:r>
        <w:rPr>
          <w:rFonts w:ascii="宋体" w:hAnsi="宋体" w:eastAsia="宋体" w:cs="宋体"/>
          <w:color w:val="auto"/>
          <w:spacing w:val="-5"/>
          <w:sz w:val="21"/>
          <w:szCs w:val="21"/>
          <w:highlight w:val="none"/>
        </w:rPr>
        <w:t>完合</w:t>
      </w:r>
    </w:p>
    <w:p w14:paraId="220B242F">
      <w:pPr>
        <w:spacing w:before="153" w:line="219"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格工程进行结算，并支付相应合同价款。</w:t>
      </w:r>
    </w:p>
    <w:p w14:paraId="454B8DC2">
      <w:pPr>
        <w:spacing w:before="47" w:line="220"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14.4</w:t>
      </w:r>
      <w:r>
        <w:rPr>
          <w:rFonts w:ascii="黑体" w:hAnsi="黑体" w:eastAsia="黑体" w:cs="黑体"/>
          <w:color w:val="auto"/>
          <w:spacing w:val="21"/>
          <w:sz w:val="24"/>
          <w:szCs w:val="24"/>
          <w:highlight w:val="none"/>
        </w:rPr>
        <w:t xml:space="preserve"> </w:t>
      </w:r>
      <w:r>
        <w:rPr>
          <w:rFonts w:ascii="黑体" w:hAnsi="黑体" w:eastAsia="黑体" w:cs="黑体"/>
          <w:color w:val="auto"/>
          <w:spacing w:val="-5"/>
          <w:sz w:val="24"/>
          <w:szCs w:val="24"/>
          <w:highlight w:val="none"/>
        </w:rPr>
        <w:t>最终结清</w:t>
      </w:r>
    </w:p>
    <w:p w14:paraId="371E8152">
      <w:pPr>
        <w:spacing w:before="12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14.4.1 </w:t>
      </w:r>
      <w:r>
        <w:rPr>
          <w:rFonts w:ascii="宋体" w:hAnsi="宋体" w:eastAsia="宋体" w:cs="宋体"/>
          <w:color w:val="auto"/>
          <w:spacing w:val="-2"/>
          <w:sz w:val="21"/>
          <w:szCs w:val="21"/>
          <w:highlight w:val="none"/>
        </w:rPr>
        <w:t>最终结清申请单</w:t>
      </w:r>
    </w:p>
    <w:p w14:paraId="20DD1E8C">
      <w:pPr>
        <w:spacing w:before="148" w:line="220" w:lineRule="auto"/>
        <w:ind w:left="447"/>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）除专用合同条款另有约定外，承包人应在缺陷</w:t>
      </w:r>
      <w:r>
        <w:rPr>
          <w:rFonts w:ascii="宋体" w:hAnsi="宋体" w:eastAsia="宋体" w:cs="宋体"/>
          <w:color w:val="auto"/>
          <w:spacing w:val="-1"/>
          <w:sz w:val="21"/>
          <w:szCs w:val="21"/>
          <w:highlight w:val="none"/>
        </w:rPr>
        <w:t>责任期终止证书颁发后</w:t>
      </w:r>
      <w:r>
        <w:rPr>
          <w:rFonts w:ascii="宋体" w:hAnsi="宋体" w:eastAsia="宋体" w:cs="宋体"/>
          <w:color w:val="auto"/>
          <w:spacing w:val="-27"/>
          <w:sz w:val="21"/>
          <w:szCs w:val="21"/>
          <w:highlight w:val="none"/>
        </w:rPr>
        <w:t xml:space="preserve"> </w:t>
      </w:r>
      <w:r>
        <w:rPr>
          <w:rFonts w:ascii="Times New Roman" w:hAnsi="Times New Roman" w:eastAsia="Times New Roman" w:cs="Times New Roman"/>
          <w:color w:val="auto"/>
          <w:spacing w:val="-1"/>
          <w:sz w:val="21"/>
          <w:szCs w:val="21"/>
          <w:highlight w:val="none"/>
        </w:rPr>
        <w:t xml:space="preserve">7 </w:t>
      </w:r>
      <w:r>
        <w:rPr>
          <w:rFonts w:ascii="宋体" w:hAnsi="宋体" w:eastAsia="宋体" w:cs="宋体"/>
          <w:color w:val="auto"/>
          <w:spacing w:val="-1"/>
          <w:sz w:val="21"/>
          <w:szCs w:val="21"/>
          <w:highlight w:val="none"/>
        </w:rPr>
        <w:t>天内，按</w:t>
      </w:r>
    </w:p>
    <w:p w14:paraId="570CEFE2">
      <w:pPr>
        <w:spacing w:before="153"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专用合同条款约定的份数向发包人提交最终结清申请单，并提供相关证明材料。</w:t>
      </w:r>
    </w:p>
    <w:p w14:paraId="0B63C5B2">
      <w:pPr>
        <w:spacing w:before="148" w:line="399" w:lineRule="exact"/>
        <w:ind w:left="453"/>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除专用合同条款另有约定外，最终结清申请单应列明质量保证</w:t>
      </w:r>
      <w:r>
        <w:rPr>
          <w:rFonts w:ascii="宋体" w:hAnsi="宋体" w:eastAsia="宋体" w:cs="宋体"/>
          <w:color w:val="auto"/>
          <w:spacing w:val="2"/>
          <w:position w:val="14"/>
          <w:sz w:val="21"/>
          <w:szCs w:val="21"/>
          <w:highlight w:val="none"/>
        </w:rPr>
        <w:t>金、应扣除的质量保证</w:t>
      </w:r>
    </w:p>
    <w:p w14:paraId="7E9379A9">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金、缺陷责任期内发生的增减费用。</w:t>
      </w:r>
    </w:p>
    <w:p w14:paraId="6A123A5B">
      <w:pPr>
        <w:spacing w:before="153" w:line="399"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2</w:t>
      </w:r>
      <w:r>
        <w:rPr>
          <w:rFonts w:ascii="宋体" w:hAnsi="宋体" w:eastAsia="宋体" w:cs="宋体"/>
          <w:color w:val="auto"/>
          <w:position w:val="14"/>
          <w:sz w:val="21"/>
          <w:szCs w:val="21"/>
          <w:highlight w:val="none"/>
        </w:rPr>
        <w:t>）发包人对最终结清申请单内容有异议的，有权要求承包人进</w:t>
      </w:r>
      <w:r>
        <w:rPr>
          <w:rFonts w:ascii="宋体" w:hAnsi="宋体" w:eastAsia="宋体" w:cs="宋体"/>
          <w:color w:val="auto"/>
          <w:spacing w:val="-1"/>
          <w:position w:val="14"/>
          <w:sz w:val="21"/>
          <w:szCs w:val="21"/>
          <w:highlight w:val="none"/>
        </w:rPr>
        <w:t>行修正和提供补充资</w:t>
      </w:r>
    </w:p>
    <w:p w14:paraId="2DD67A81">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料，承包人应向发包人提交修正后的最终结清申请单。</w:t>
      </w:r>
    </w:p>
    <w:p w14:paraId="697B39E6">
      <w:pPr>
        <w:spacing w:before="148"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14.4.2 </w:t>
      </w:r>
      <w:r>
        <w:rPr>
          <w:rFonts w:ascii="宋体" w:hAnsi="宋体" w:eastAsia="宋体" w:cs="宋体"/>
          <w:color w:val="auto"/>
          <w:spacing w:val="-2"/>
          <w:sz w:val="21"/>
          <w:szCs w:val="21"/>
          <w:highlight w:val="none"/>
        </w:rPr>
        <w:t>最终结清证书和支付</w:t>
      </w:r>
    </w:p>
    <w:p w14:paraId="1A18F299">
      <w:pPr>
        <w:spacing w:before="153" w:line="399"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1</w:t>
      </w:r>
      <w:r>
        <w:rPr>
          <w:rFonts w:ascii="宋体" w:hAnsi="宋体" w:eastAsia="宋体" w:cs="宋体"/>
          <w:color w:val="auto"/>
          <w:position w:val="14"/>
          <w:sz w:val="21"/>
          <w:szCs w:val="21"/>
          <w:highlight w:val="none"/>
        </w:rPr>
        <w:t>）除专用合同条款另有约定外，</w:t>
      </w:r>
      <w:r>
        <w:rPr>
          <w:rFonts w:ascii="宋体" w:hAnsi="宋体" w:eastAsia="宋体" w:cs="宋体"/>
          <w:color w:val="auto"/>
          <w:spacing w:val="84"/>
          <w:position w:val="14"/>
          <w:sz w:val="21"/>
          <w:szCs w:val="21"/>
          <w:highlight w:val="none"/>
        </w:rPr>
        <w:t xml:space="preserve"> </w:t>
      </w:r>
      <w:r>
        <w:rPr>
          <w:rFonts w:ascii="宋体" w:hAnsi="宋体" w:eastAsia="宋体" w:cs="宋体"/>
          <w:color w:val="auto"/>
          <w:position w:val="14"/>
          <w:sz w:val="21"/>
          <w:szCs w:val="21"/>
          <w:highlight w:val="none"/>
        </w:rPr>
        <w:t>发包人应在收到承包人提交的最终结清申请单后</w:t>
      </w:r>
    </w:p>
    <w:p w14:paraId="01C2A78D">
      <w:pPr>
        <w:spacing w:before="1" w:line="219" w:lineRule="auto"/>
        <w:ind w:left="34"/>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14</w:t>
      </w:r>
      <w:r>
        <w:rPr>
          <w:rFonts w:ascii="Times New Roman" w:hAnsi="Times New Roman" w:eastAsia="Times New Roman" w:cs="Times New Roman"/>
          <w:color w:val="auto"/>
          <w:spacing w:val="46"/>
          <w:w w:val="101"/>
          <w:sz w:val="21"/>
          <w:szCs w:val="21"/>
          <w:highlight w:val="none"/>
        </w:rPr>
        <w:t xml:space="preserve"> </w:t>
      </w:r>
      <w:r>
        <w:rPr>
          <w:rFonts w:ascii="宋体" w:hAnsi="宋体" w:eastAsia="宋体" w:cs="宋体"/>
          <w:color w:val="auto"/>
          <w:sz w:val="21"/>
          <w:szCs w:val="21"/>
          <w:highlight w:val="none"/>
        </w:rPr>
        <w:t>天内完成审批并向承包人颁发最终结清证书。发包人逾期未</w:t>
      </w:r>
      <w:r>
        <w:rPr>
          <w:rFonts w:ascii="宋体" w:hAnsi="宋体" w:eastAsia="宋体" w:cs="宋体"/>
          <w:color w:val="auto"/>
          <w:spacing w:val="-1"/>
          <w:sz w:val="21"/>
          <w:szCs w:val="21"/>
          <w:highlight w:val="none"/>
        </w:rPr>
        <w:t>完成审批，又未提出修改意</w:t>
      </w:r>
    </w:p>
    <w:p w14:paraId="7A1401B3">
      <w:pPr>
        <w:spacing w:line="219" w:lineRule="auto"/>
        <w:rPr>
          <w:rFonts w:ascii="宋体" w:hAnsi="宋体" w:eastAsia="宋体" w:cs="宋体"/>
          <w:color w:val="auto"/>
          <w:sz w:val="21"/>
          <w:szCs w:val="21"/>
          <w:highlight w:val="none"/>
        </w:rPr>
        <w:sectPr>
          <w:footerReference r:id="rId141" w:type="default"/>
          <w:pgSz w:w="11905" w:h="16839"/>
          <w:pgMar w:top="1431" w:right="1628" w:bottom="1004" w:left="1785" w:header="0" w:footer="828" w:gutter="0"/>
          <w:pgNumType w:fmt="decimal"/>
          <w:cols w:space="720" w:num="1"/>
        </w:sectPr>
      </w:pPr>
    </w:p>
    <w:p w14:paraId="5AB5179B">
      <w:pPr>
        <w:spacing w:before="149" w:line="398" w:lineRule="exact"/>
        <w:ind w:left="21"/>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见的， 视为发包人同意承包人提交的最终结清申请单，</w:t>
      </w:r>
      <w:r>
        <w:rPr>
          <w:rFonts w:ascii="宋体" w:hAnsi="宋体" w:eastAsia="宋体" w:cs="宋体"/>
          <w:color w:val="auto"/>
          <w:spacing w:val="25"/>
          <w:position w:val="14"/>
          <w:sz w:val="21"/>
          <w:szCs w:val="21"/>
          <w:highlight w:val="none"/>
        </w:rPr>
        <w:t xml:space="preserve"> </w:t>
      </w:r>
      <w:r>
        <w:rPr>
          <w:rFonts w:ascii="宋体" w:hAnsi="宋体" w:eastAsia="宋体" w:cs="宋体"/>
          <w:color w:val="auto"/>
          <w:spacing w:val="-3"/>
          <w:position w:val="14"/>
          <w:sz w:val="21"/>
          <w:szCs w:val="21"/>
          <w:highlight w:val="none"/>
        </w:rPr>
        <w:t>且自发包人收到承</w:t>
      </w:r>
      <w:r>
        <w:rPr>
          <w:rFonts w:ascii="宋体" w:hAnsi="宋体" w:eastAsia="宋体" w:cs="宋体"/>
          <w:color w:val="auto"/>
          <w:spacing w:val="-4"/>
          <w:position w:val="14"/>
          <w:sz w:val="21"/>
          <w:szCs w:val="21"/>
          <w:highlight w:val="none"/>
        </w:rPr>
        <w:t>包人提交的最终</w:t>
      </w:r>
    </w:p>
    <w:p w14:paraId="6BB21843">
      <w:pPr>
        <w:spacing w:line="219" w:lineRule="auto"/>
        <w:ind w:left="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结清申请单后</w:t>
      </w:r>
      <w:r>
        <w:rPr>
          <w:rFonts w:ascii="宋体" w:hAnsi="宋体" w:eastAsia="宋体" w:cs="宋体"/>
          <w:color w:val="auto"/>
          <w:spacing w:val="-25"/>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15 </w:t>
      </w:r>
      <w:r>
        <w:rPr>
          <w:rFonts w:ascii="宋体" w:hAnsi="宋体" w:eastAsia="宋体" w:cs="宋体"/>
          <w:color w:val="auto"/>
          <w:spacing w:val="-2"/>
          <w:sz w:val="21"/>
          <w:szCs w:val="21"/>
          <w:highlight w:val="none"/>
        </w:rPr>
        <w:t>天起视为已颁发最终结清证书。</w:t>
      </w:r>
    </w:p>
    <w:p w14:paraId="703AF64B">
      <w:pPr>
        <w:spacing w:before="151" w:line="351" w:lineRule="auto"/>
        <w:ind w:left="21" w:right="185" w:firstLine="425"/>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）除专用合同条款另有约定外，发包人应在颁发最终结清证书后</w:t>
      </w:r>
      <w:r>
        <w:rPr>
          <w:rFonts w:ascii="宋体" w:hAnsi="宋体" w:eastAsia="宋体" w:cs="宋体"/>
          <w:color w:val="auto"/>
          <w:spacing w:val="-13"/>
          <w:sz w:val="21"/>
          <w:szCs w:val="21"/>
          <w:highlight w:val="none"/>
        </w:rPr>
        <w:t xml:space="preserve"> </w:t>
      </w:r>
      <w:r>
        <w:rPr>
          <w:rFonts w:ascii="Times New Roman" w:hAnsi="Times New Roman" w:eastAsia="Times New Roman" w:cs="Times New Roman"/>
          <w:color w:val="auto"/>
          <w:spacing w:val="-2"/>
          <w:sz w:val="21"/>
          <w:szCs w:val="21"/>
          <w:highlight w:val="none"/>
        </w:rPr>
        <w:t>7</w:t>
      </w:r>
      <w:r>
        <w:rPr>
          <w:rFonts w:ascii="Times New Roman" w:hAnsi="Times New Roman" w:eastAsia="Times New Roman" w:cs="Times New Roman"/>
          <w:color w:val="auto"/>
          <w:spacing w:val="13"/>
          <w:sz w:val="21"/>
          <w:szCs w:val="21"/>
          <w:highlight w:val="none"/>
        </w:rPr>
        <w:t xml:space="preserve"> </w:t>
      </w:r>
      <w:r>
        <w:rPr>
          <w:rFonts w:ascii="宋体" w:hAnsi="宋体" w:eastAsia="宋体" w:cs="宋体"/>
          <w:color w:val="auto"/>
          <w:spacing w:val="-2"/>
          <w:sz w:val="21"/>
          <w:szCs w:val="21"/>
          <w:highlight w:val="none"/>
        </w:rPr>
        <w:t>天内完成支付。</w:t>
      </w:r>
      <w:r>
        <w:rPr>
          <w:rFonts w:ascii="宋体" w:hAnsi="宋体" w:eastAsia="宋体" w:cs="宋体"/>
          <w:color w:val="auto"/>
          <w:sz w:val="21"/>
          <w:szCs w:val="21"/>
          <w:highlight w:val="none"/>
        </w:rPr>
        <w:t xml:space="preserve"> 发包人逾期支付的，按照中国人民银行发布的同期同类贷款基准利率支付违约金； 逾期支</w:t>
      </w:r>
    </w:p>
    <w:p w14:paraId="1C14147B">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付超过</w:t>
      </w:r>
      <w:r>
        <w:rPr>
          <w:rFonts w:ascii="宋体" w:hAnsi="宋体" w:eastAsia="宋体" w:cs="宋体"/>
          <w:color w:val="auto"/>
          <w:spacing w:val="-41"/>
          <w:sz w:val="21"/>
          <w:szCs w:val="21"/>
          <w:highlight w:val="none"/>
        </w:rPr>
        <w:t xml:space="preserve"> </w:t>
      </w:r>
      <w:r>
        <w:rPr>
          <w:rFonts w:ascii="Times New Roman" w:hAnsi="Times New Roman" w:eastAsia="Times New Roman" w:cs="Times New Roman"/>
          <w:color w:val="auto"/>
          <w:spacing w:val="-1"/>
          <w:sz w:val="21"/>
          <w:szCs w:val="21"/>
          <w:highlight w:val="none"/>
        </w:rPr>
        <w:t xml:space="preserve">56 </w:t>
      </w:r>
      <w:r>
        <w:rPr>
          <w:rFonts w:ascii="宋体" w:hAnsi="宋体" w:eastAsia="宋体" w:cs="宋体"/>
          <w:color w:val="auto"/>
          <w:spacing w:val="-1"/>
          <w:sz w:val="21"/>
          <w:szCs w:val="21"/>
          <w:highlight w:val="none"/>
        </w:rPr>
        <w:t>天的，按照中国人民银行发布的同期同类贷款基准利率的两倍支付</w:t>
      </w:r>
      <w:r>
        <w:rPr>
          <w:rFonts w:ascii="宋体" w:hAnsi="宋体" w:eastAsia="宋体" w:cs="宋体"/>
          <w:color w:val="auto"/>
          <w:spacing w:val="-2"/>
          <w:sz w:val="21"/>
          <w:szCs w:val="21"/>
          <w:highlight w:val="none"/>
        </w:rPr>
        <w:t>违约金。</w:t>
      </w:r>
    </w:p>
    <w:p w14:paraId="7C3468F2">
      <w:pPr>
        <w:spacing w:before="153" w:line="399"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 xml:space="preserve">）承包人对发包人颁发的最终结清证书有异议的，按第 </w:t>
      </w:r>
      <w:r>
        <w:rPr>
          <w:rFonts w:ascii="Times New Roman" w:hAnsi="Times New Roman" w:eastAsia="Times New Roman" w:cs="Times New Roman"/>
          <w:color w:val="auto"/>
          <w:position w:val="14"/>
          <w:sz w:val="21"/>
          <w:szCs w:val="21"/>
          <w:highlight w:val="none"/>
        </w:rPr>
        <w:t xml:space="preserve">20  </w:t>
      </w:r>
      <w:r>
        <w:rPr>
          <w:rFonts w:ascii="宋体" w:hAnsi="宋体" w:eastAsia="宋体" w:cs="宋体"/>
          <w:color w:val="auto"/>
          <w:position w:val="14"/>
          <w:sz w:val="21"/>
          <w:szCs w:val="21"/>
          <w:highlight w:val="none"/>
        </w:rPr>
        <w:t>条〔争议解决〕的约定</w:t>
      </w:r>
    </w:p>
    <w:p w14:paraId="20995F93">
      <w:pPr>
        <w:spacing w:line="220" w:lineRule="auto"/>
        <w:ind w:left="22"/>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办理。</w:t>
      </w:r>
    </w:p>
    <w:p w14:paraId="6856A114">
      <w:pPr>
        <w:spacing w:before="173" w:line="531" w:lineRule="exact"/>
        <w:ind w:left="39"/>
        <w:rPr>
          <w:rFonts w:ascii="黑体" w:hAnsi="黑体" w:eastAsia="黑体" w:cs="黑体"/>
          <w:color w:val="auto"/>
          <w:sz w:val="32"/>
          <w:szCs w:val="32"/>
          <w:highlight w:val="none"/>
        </w:rPr>
      </w:pPr>
      <w:r>
        <w:rPr>
          <w:rFonts w:ascii="黑体" w:hAnsi="黑体" w:eastAsia="黑体" w:cs="黑体"/>
          <w:color w:val="auto"/>
          <w:spacing w:val="-3"/>
          <w:position w:val="15"/>
          <w:sz w:val="32"/>
          <w:szCs w:val="32"/>
          <w:highlight w:val="none"/>
        </w:rPr>
        <w:t>15.缺陷责任与保修</w:t>
      </w:r>
    </w:p>
    <w:p w14:paraId="6BE2D8B4">
      <w:pPr>
        <w:spacing w:before="1" w:line="218"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15.1 工程保修的原则</w:t>
      </w:r>
    </w:p>
    <w:p w14:paraId="16153DF1">
      <w:pPr>
        <w:spacing w:before="129" w:line="274" w:lineRule="auto"/>
        <w:ind w:left="19" w:right="5" w:firstLine="421"/>
        <w:rPr>
          <w:rFonts w:ascii="黑体" w:hAnsi="黑体" w:eastAsia="黑体" w:cs="黑体"/>
          <w:color w:val="auto"/>
          <w:sz w:val="24"/>
          <w:szCs w:val="24"/>
          <w:highlight w:val="none"/>
        </w:rPr>
      </w:pPr>
      <w:r>
        <w:rPr>
          <w:rFonts w:ascii="宋体" w:hAnsi="宋体" w:eastAsia="宋体" w:cs="宋体"/>
          <w:color w:val="auto"/>
          <w:spacing w:val="-3"/>
          <w:sz w:val="21"/>
          <w:szCs w:val="21"/>
          <w:highlight w:val="none"/>
        </w:rPr>
        <w:t>在工程移交发包人后，</w:t>
      </w:r>
      <w:r>
        <w:rPr>
          <w:rFonts w:ascii="宋体" w:hAnsi="宋体" w:eastAsia="宋体" w:cs="宋体"/>
          <w:color w:val="auto"/>
          <w:spacing w:val="29"/>
          <w:sz w:val="21"/>
          <w:szCs w:val="21"/>
          <w:highlight w:val="none"/>
        </w:rPr>
        <w:t xml:space="preserve"> </w:t>
      </w:r>
      <w:r>
        <w:rPr>
          <w:rFonts w:ascii="宋体" w:hAnsi="宋体" w:eastAsia="宋体" w:cs="宋体"/>
          <w:color w:val="auto"/>
          <w:spacing w:val="-3"/>
          <w:sz w:val="21"/>
          <w:szCs w:val="21"/>
          <w:highlight w:val="none"/>
        </w:rPr>
        <w:t>因承包人原因产生的质</w:t>
      </w:r>
      <w:r>
        <w:rPr>
          <w:rFonts w:ascii="宋体" w:hAnsi="宋体" w:eastAsia="宋体" w:cs="宋体"/>
          <w:color w:val="auto"/>
          <w:spacing w:val="-4"/>
          <w:sz w:val="21"/>
          <w:szCs w:val="21"/>
          <w:highlight w:val="none"/>
        </w:rPr>
        <w:t xml:space="preserve">量缺陷， 承包人应承担质量缺陷责任和  </w:t>
      </w:r>
      <w:r>
        <w:rPr>
          <w:rFonts w:ascii="宋体" w:hAnsi="宋体" w:eastAsia="宋体" w:cs="宋体"/>
          <w:color w:val="auto"/>
          <w:spacing w:val="-1"/>
          <w:sz w:val="21"/>
          <w:szCs w:val="21"/>
          <w:highlight w:val="none"/>
        </w:rPr>
        <w:t>保修义务。缺陷责任期届满， 承包人仍应按合同约定的工程各部位保修年限承担保修义务。</w:t>
      </w:r>
      <w:r>
        <w:rPr>
          <w:rFonts w:ascii="宋体" w:hAnsi="宋体" w:eastAsia="宋体" w:cs="宋体"/>
          <w:color w:val="auto"/>
          <w:spacing w:val="17"/>
          <w:sz w:val="21"/>
          <w:szCs w:val="21"/>
          <w:highlight w:val="none"/>
        </w:rPr>
        <w:t xml:space="preserve"> </w:t>
      </w:r>
      <w:r>
        <w:rPr>
          <w:rFonts w:ascii="黑体" w:hAnsi="黑体" w:eastAsia="黑体" w:cs="黑体"/>
          <w:color w:val="auto"/>
          <w:spacing w:val="-1"/>
          <w:sz w:val="24"/>
          <w:szCs w:val="24"/>
          <w:highlight w:val="none"/>
        </w:rPr>
        <w:t>15.2 缺陷责任期</w:t>
      </w:r>
    </w:p>
    <w:p w14:paraId="2715C60A">
      <w:pPr>
        <w:spacing w:before="130" w:line="399" w:lineRule="exact"/>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position w:val="14"/>
          <w:sz w:val="21"/>
          <w:szCs w:val="21"/>
          <w:highlight w:val="none"/>
        </w:rPr>
        <w:t>15.2.1</w:t>
      </w:r>
      <w:r>
        <w:rPr>
          <w:rFonts w:ascii="Times New Roman" w:hAnsi="Times New Roman" w:eastAsia="Times New Roman" w:cs="Times New Roman"/>
          <w:color w:val="auto"/>
          <w:spacing w:val="37"/>
          <w:w w:val="101"/>
          <w:position w:val="14"/>
          <w:sz w:val="21"/>
          <w:szCs w:val="21"/>
          <w:highlight w:val="none"/>
        </w:rPr>
        <w:t xml:space="preserve"> </w:t>
      </w:r>
      <w:r>
        <w:rPr>
          <w:rFonts w:ascii="宋体" w:hAnsi="宋体" w:eastAsia="宋体" w:cs="宋体"/>
          <w:color w:val="auto"/>
          <w:spacing w:val="3"/>
          <w:position w:val="14"/>
          <w:sz w:val="21"/>
          <w:szCs w:val="21"/>
          <w:highlight w:val="none"/>
        </w:rPr>
        <w:t>缺陷责任期从工程通过竣工验收之日起计算，合同当事</w:t>
      </w:r>
      <w:r>
        <w:rPr>
          <w:rFonts w:ascii="宋体" w:hAnsi="宋体" w:eastAsia="宋体" w:cs="宋体"/>
          <w:color w:val="auto"/>
          <w:spacing w:val="2"/>
          <w:position w:val="14"/>
          <w:sz w:val="21"/>
          <w:szCs w:val="21"/>
          <w:highlight w:val="none"/>
        </w:rPr>
        <w:t>人应在专用合同条款约</w:t>
      </w:r>
    </w:p>
    <w:p w14:paraId="3FD17DFC">
      <w:pPr>
        <w:spacing w:line="220" w:lineRule="auto"/>
        <w:ind w:left="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定缺陷责任期的具体期限，但该期限最长不超过</w:t>
      </w:r>
      <w:r>
        <w:rPr>
          <w:rFonts w:ascii="宋体" w:hAnsi="宋体" w:eastAsia="宋体" w:cs="宋体"/>
          <w:color w:val="auto"/>
          <w:spacing w:val="-38"/>
          <w:sz w:val="21"/>
          <w:szCs w:val="21"/>
          <w:highlight w:val="none"/>
        </w:rPr>
        <w:t xml:space="preserve"> </w:t>
      </w:r>
      <w:r>
        <w:rPr>
          <w:rFonts w:ascii="Times New Roman" w:hAnsi="Times New Roman" w:eastAsia="Times New Roman" w:cs="Times New Roman"/>
          <w:color w:val="auto"/>
          <w:spacing w:val="-2"/>
          <w:sz w:val="21"/>
          <w:szCs w:val="21"/>
          <w:highlight w:val="none"/>
        </w:rPr>
        <w:t xml:space="preserve">24 </w:t>
      </w:r>
      <w:r>
        <w:rPr>
          <w:rFonts w:ascii="宋体" w:hAnsi="宋体" w:eastAsia="宋体" w:cs="宋体"/>
          <w:color w:val="auto"/>
          <w:spacing w:val="-2"/>
          <w:sz w:val="21"/>
          <w:szCs w:val="21"/>
          <w:highlight w:val="none"/>
        </w:rPr>
        <w:t>个月。</w:t>
      </w:r>
    </w:p>
    <w:p w14:paraId="6C075E95">
      <w:pPr>
        <w:spacing w:before="154" w:line="351" w:lineRule="auto"/>
        <w:ind w:left="20" w:right="180" w:firstLine="4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单位工程先于全部工程进行验收，经验收合格并交付使用的，该单位工程缺陷责任期</w:t>
      </w:r>
      <w:r>
        <w:rPr>
          <w:rFonts w:ascii="宋体" w:hAnsi="宋体" w:eastAsia="宋体" w:cs="宋体"/>
          <w:color w:val="auto"/>
          <w:spacing w:val="1"/>
          <w:sz w:val="21"/>
          <w:szCs w:val="21"/>
          <w:highlight w:val="none"/>
        </w:rPr>
        <w:t xml:space="preserve"> </w:t>
      </w:r>
      <w:r>
        <w:rPr>
          <w:rFonts w:ascii="宋体" w:hAnsi="宋体" w:eastAsia="宋体" w:cs="宋体"/>
          <w:color w:val="auto"/>
          <w:spacing w:val="3"/>
          <w:sz w:val="21"/>
          <w:szCs w:val="21"/>
          <w:highlight w:val="none"/>
        </w:rPr>
        <w:t>自单位工程验收合格之日起算。因承包人原因导致工程无法按合同约定期限</w:t>
      </w:r>
      <w:r>
        <w:rPr>
          <w:rFonts w:ascii="宋体" w:hAnsi="宋体" w:eastAsia="宋体" w:cs="宋体"/>
          <w:color w:val="auto"/>
          <w:spacing w:val="2"/>
          <w:sz w:val="21"/>
          <w:szCs w:val="21"/>
          <w:highlight w:val="none"/>
        </w:rPr>
        <w:t>进行竣工验收</w:t>
      </w:r>
      <w:r>
        <w:rPr>
          <w:rFonts w:ascii="宋体" w:hAnsi="宋体" w:eastAsia="宋体" w:cs="宋体"/>
          <w:color w:val="auto"/>
          <w:sz w:val="21"/>
          <w:szCs w:val="21"/>
          <w:highlight w:val="none"/>
        </w:rPr>
        <w:t xml:space="preserve"> 的，缺陷责任期从实际通过竣工验收之日起计算。 因发包人原因导致工程无法按合同约定</w:t>
      </w:r>
      <w:r>
        <w:rPr>
          <w:rFonts w:ascii="宋体" w:hAnsi="宋体" w:eastAsia="宋体" w:cs="宋体"/>
          <w:color w:val="auto"/>
          <w:spacing w:val="7"/>
          <w:sz w:val="21"/>
          <w:szCs w:val="21"/>
          <w:highlight w:val="none"/>
        </w:rPr>
        <w:t xml:space="preserve"> </w:t>
      </w:r>
      <w:r>
        <w:rPr>
          <w:rFonts w:ascii="宋体" w:hAnsi="宋体" w:eastAsia="宋体" w:cs="宋体"/>
          <w:color w:val="auto"/>
          <w:sz w:val="21"/>
          <w:szCs w:val="21"/>
          <w:highlight w:val="none"/>
        </w:rPr>
        <w:t>期限进行竣工验收的，在承包人提交竣工验收报告</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1"/>
          <w:sz w:val="21"/>
          <w:szCs w:val="21"/>
          <w:highlight w:val="none"/>
        </w:rPr>
        <w:t xml:space="preserve">90 </w:t>
      </w:r>
      <w:r>
        <w:rPr>
          <w:rFonts w:ascii="宋体" w:hAnsi="宋体" w:eastAsia="宋体" w:cs="宋体"/>
          <w:color w:val="auto"/>
          <w:spacing w:val="-1"/>
          <w:sz w:val="21"/>
          <w:szCs w:val="21"/>
          <w:highlight w:val="none"/>
        </w:rPr>
        <w:t>天后，工程自动进入缺陷责任期；发</w:t>
      </w:r>
    </w:p>
    <w:p w14:paraId="28EBAABC">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包人未经竣工验收擅自使用工程的，缺陷责任期自工程转移占有之日起开始计算。</w:t>
      </w:r>
    </w:p>
    <w:p w14:paraId="6D44029C">
      <w:pPr>
        <w:spacing w:before="150" w:line="352" w:lineRule="auto"/>
        <w:ind w:left="18" w:right="181" w:firstLine="439"/>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15.2.2</w:t>
      </w:r>
      <w:r>
        <w:rPr>
          <w:rFonts w:ascii="Times New Roman" w:hAnsi="Times New Roman" w:eastAsia="Times New Roman" w:cs="Times New Roman"/>
          <w:color w:val="auto"/>
          <w:spacing w:val="44"/>
          <w:w w:val="101"/>
          <w:sz w:val="21"/>
          <w:szCs w:val="21"/>
          <w:highlight w:val="none"/>
        </w:rPr>
        <w:t xml:space="preserve"> </w:t>
      </w:r>
      <w:r>
        <w:rPr>
          <w:rFonts w:ascii="宋体" w:hAnsi="宋体" w:eastAsia="宋体" w:cs="宋体"/>
          <w:color w:val="auto"/>
          <w:sz w:val="21"/>
          <w:szCs w:val="21"/>
          <w:highlight w:val="none"/>
        </w:rPr>
        <w:t xml:space="preserve">缺陷责任期内，由承包人原因造成的缺陷， 承包人应负责维修，并承担鉴定及 </w:t>
      </w:r>
      <w:r>
        <w:rPr>
          <w:rFonts w:ascii="宋体" w:hAnsi="宋体" w:eastAsia="宋体" w:cs="宋体"/>
          <w:color w:val="auto"/>
          <w:spacing w:val="3"/>
          <w:sz w:val="21"/>
          <w:szCs w:val="21"/>
          <w:highlight w:val="none"/>
        </w:rPr>
        <w:t>维修费用。如承包人不维修也不承担费用，发包人可按合同约定从保证金或</w:t>
      </w:r>
      <w:r>
        <w:rPr>
          <w:rFonts w:ascii="宋体" w:hAnsi="宋体" w:eastAsia="宋体" w:cs="宋体"/>
          <w:color w:val="auto"/>
          <w:spacing w:val="2"/>
          <w:sz w:val="21"/>
          <w:szCs w:val="21"/>
          <w:highlight w:val="none"/>
        </w:rPr>
        <w:t>银行保函中扣</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除，费用超出保证金额的，发包人可按合同约定向承包人进行索赔。承包人</w:t>
      </w:r>
      <w:r>
        <w:rPr>
          <w:rFonts w:ascii="宋体" w:hAnsi="宋体" w:eastAsia="宋体" w:cs="宋体"/>
          <w:color w:val="auto"/>
          <w:spacing w:val="2"/>
          <w:sz w:val="21"/>
          <w:szCs w:val="21"/>
          <w:highlight w:val="none"/>
        </w:rPr>
        <w:t>维修并承担相</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应费用后，不免除对工程的损失赔偿责任。发包人有权要求承包人延长缺陷责任期，</w:t>
      </w:r>
      <w:r>
        <w:rPr>
          <w:rFonts w:ascii="宋体" w:hAnsi="宋体" w:eastAsia="宋体" w:cs="宋体"/>
          <w:color w:val="auto"/>
          <w:spacing w:val="2"/>
          <w:sz w:val="21"/>
          <w:szCs w:val="21"/>
          <w:highlight w:val="none"/>
        </w:rPr>
        <w:t>并应</w:t>
      </w:r>
    </w:p>
    <w:p w14:paraId="5066FC97">
      <w:pPr>
        <w:spacing w:line="220" w:lineRule="auto"/>
        <w:jc w:val="right"/>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在原缺陷责任期届满前发出延长通知。但缺陷责任期（含延长部分）</w:t>
      </w:r>
      <w:r>
        <w:rPr>
          <w:rFonts w:ascii="宋体" w:hAnsi="宋体" w:eastAsia="宋体" w:cs="宋体"/>
          <w:color w:val="auto"/>
          <w:spacing w:val="-16"/>
          <w:sz w:val="21"/>
          <w:szCs w:val="21"/>
          <w:highlight w:val="none"/>
        </w:rPr>
        <w:t xml:space="preserve"> </w:t>
      </w:r>
      <w:r>
        <w:rPr>
          <w:rFonts w:ascii="宋体" w:hAnsi="宋体" w:eastAsia="宋体" w:cs="宋体"/>
          <w:color w:val="auto"/>
          <w:spacing w:val="-3"/>
          <w:sz w:val="21"/>
          <w:szCs w:val="21"/>
          <w:highlight w:val="none"/>
        </w:rPr>
        <w:t>最长不能超过</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pacing w:val="-3"/>
          <w:sz w:val="21"/>
          <w:szCs w:val="21"/>
          <w:highlight w:val="none"/>
        </w:rPr>
        <w:t xml:space="preserve">24 </w:t>
      </w:r>
      <w:r>
        <w:rPr>
          <w:rFonts w:ascii="宋体" w:hAnsi="宋体" w:eastAsia="宋体" w:cs="宋体"/>
          <w:color w:val="auto"/>
          <w:spacing w:val="-3"/>
          <w:sz w:val="21"/>
          <w:szCs w:val="21"/>
          <w:highlight w:val="none"/>
        </w:rPr>
        <w:t>个月。</w:t>
      </w:r>
    </w:p>
    <w:p w14:paraId="43A947E0">
      <w:pPr>
        <w:spacing w:before="148" w:line="399" w:lineRule="exact"/>
        <w:ind w:left="466"/>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由他人原因造成的缺陷，发包人负责组织维修， 承包人不承担费用， 且发</w:t>
      </w:r>
      <w:r>
        <w:rPr>
          <w:rFonts w:ascii="宋体" w:hAnsi="宋体" w:eastAsia="宋体" w:cs="宋体"/>
          <w:color w:val="auto"/>
          <w:spacing w:val="-4"/>
          <w:position w:val="14"/>
          <w:sz w:val="21"/>
          <w:szCs w:val="21"/>
          <w:highlight w:val="none"/>
        </w:rPr>
        <w:t>包人不得从</w:t>
      </w:r>
    </w:p>
    <w:p w14:paraId="2F4B2A5A">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保证金中扣除费用。</w:t>
      </w:r>
    </w:p>
    <w:p w14:paraId="3B70E9D0">
      <w:pPr>
        <w:spacing w:before="153" w:line="398" w:lineRule="exact"/>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4"/>
          <w:sz w:val="21"/>
          <w:szCs w:val="21"/>
          <w:highlight w:val="none"/>
        </w:rPr>
        <w:t>15.2.3</w:t>
      </w:r>
      <w:r>
        <w:rPr>
          <w:rFonts w:ascii="Times New Roman" w:hAnsi="Times New Roman" w:eastAsia="Times New Roman" w:cs="Times New Roman"/>
          <w:color w:val="auto"/>
          <w:spacing w:val="39"/>
          <w:w w:val="101"/>
          <w:position w:val="14"/>
          <w:sz w:val="21"/>
          <w:szCs w:val="21"/>
          <w:highlight w:val="none"/>
        </w:rPr>
        <w:t xml:space="preserve"> </w:t>
      </w:r>
      <w:r>
        <w:rPr>
          <w:rFonts w:ascii="宋体" w:hAnsi="宋体" w:eastAsia="宋体" w:cs="宋体"/>
          <w:color w:val="auto"/>
          <w:spacing w:val="-1"/>
          <w:position w:val="14"/>
          <w:sz w:val="21"/>
          <w:szCs w:val="21"/>
          <w:highlight w:val="none"/>
        </w:rPr>
        <w:t>任何一项缺陷或损坏修复后， 经检查证明其影响了工程或工程设备的使用性能，</w:t>
      </w:r>
    </w:p>
    <w:p w14:paraId="7D6CB82B">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承包人应重新进行合同约定的试验和试运行，试验和试运行的全部费用应由责任方承担。</w:t>
      </w:r>
    </w:p>
    <w:p w14:paraId="6661E8ED">
      <w:pPr>
        <w:spacing w:before="146" w:line="353" w:lineRule="auto"/>
        <w:ind w:left="18" w:right="180" w:firstLine="439"/>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15.2.4 </w:t>
      </w:r>
      <w:r>
        <w:rPr>
          <w:rFonts w:ascii="宋体" w:hAnsi="宋体" w:eastAsia="宋体" w:cs="宋体"/>
          <w:color w:val="auto"/>
          <w:spacing w:val="-1"/>
          <w:sz w:val="21"/>
          <w:szCs w:val="21"/>
          <w:highlight w:val="none"/>
        </w:rPr>
        <w:t>除专用合同条款另有约定外，</w:t>
      </w:r>
      <w:r>
        <w:rPr>
          <w:rFonts w:ascii="宋体" w:hAnsi="宋体" w:eastAsia="宋体" w:cs="宋体"/>
          <w:color w:val="auto"/>
          <w:spacing w:val="-2"/>
          <w:sz w:val="21"/>
          <w:szCs w:val="21"/>
          <w:highlight w:val="none"/>
        </w:rPr>
        <w:t>承包人应于缺陷责任期届满后</w:t>
      </w:r>
      <w:r>
        <w:rPr>
          <w:rFonts w:ascii="宋体" w:hAnsi="宋体" w:eastAsia="宋体" w:cs="宋体"/>
          <w:color w:val="auto"/>
          <w:spacing w:val="-47"/>
          <w:sz w:val="21"/>
          <w:szCs w:val="21"/>
          <w:highlight w:val="none"/>
        </w:rPr>
        <w:t xml:space="preserve"> </w:t>
      </w:r>
      <w:r>
        <w:rPr>
          <w:rFonts w:ascii="Times New Roman" w:hAnsi="Times New Roman" w:eastAsia="Times New Roman" w:cs="Times New Roman"/>
          <w:color w:val="auto"/>
          <w:spacing w:val="-2"/>
          <w:sz w:val="21"/>
          <w:szCs w:val="21"/>
          <w:highlight w:val="none"/>
        </w:rPr>
        <w:t xml:space="preserve">7 </w:t>
      </w:r>
      <w:r>
        <w:rPr>
          <w:rFonts w:ascii="宋体" w:hAnsi="宋体" w:eastAsia="宋体" w:cs="宋体"/>
          <w:color w:val="auto"/>
          <w:spacing w:val="-2"/>
          <w:sz w:val="21"/>
          <w:szCs w:val="21"/>
          <w:highlight w:val="none"/>
        </w:rPr>
        <w:t>天内向发包人发出</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 xml:space="preserve">缺陷责任期届满通知，发包人应在收到缺陷责任期满通知后 </w:t>
      </w:r>
      <w:r>
        <w:rPr>
          <w:rFonts w:ascii="Times New Roman" w:hAnsi="Times New Roman" w:eastAsia="Times New Roman" w:cs="Times New Roman"/>
          <w:color w:val="auto"/>
          <w:spacing w:val="-1"/>
          <w:sz w:val="21"/>
          <w:szCs w:val="21"/>
          <w:highlight w:val="none"/>
        </w:rPr>
        <w:t xml:space="preserve">14 </w:t>
      </w:r>
      <w:r>
        <w:rPr>
          <w:rFonts w:ascii="宋体" w:hAnsi="宋体" w:eastAsia="宋体" w:cs="宋体"/>
          <w:color w:val="auto"/>
          <w:spacing w:val="-1"/>
          <w:sz w:val="21"/>
          <w:szCs w:val="21"/>
          <w:highlight w:val="none"/>
        </w:rPr>
        <w:t>天内核实承包人是否履行缺</w:t>
      </w:r>
    </w:p>
    <w:p w14:paraId="5C44060D">
      <w:pPr>
        <w:spacing w:before="1" w:line="220" w:lineRule="auto"/>
        <w:ind w:left="31"/>
        <w:rPr>
          <w:rFonts w:ascii="宋体" w:hAnsi="宋体" w:eastAsia="宋体" w:cs="宋体"/>
          <w:color w:val="auto"/>
          <w:sz w:val="21"/>
          <w:szCs w:val="21"/>
          <w:highlight w:val="none"/>
        </w:rPr>
      </w:pPr>
      <w:r>
        <w:rPr>
          <w:rFonts w:ascii="宋体" w:hAnsi="宋体" w:eastAsia="宋体" w:cs="宋体"/>
          <w:color w:val="auto"/>
          <w:sz w:val="21"/>
          <w:szCs w:val="21"/>
          <w:highlight w:val="none"/>
        </w:rPr>
        <w:t>陷修复义务， 承包人未能履行缺陷修复义务的，发包人有权扣除相应金额的维修</w:t>
      </w:r>
      <w:r>
        <w:rPr>
          <w:rFonts w:ascii="宋体" w:hAnsi="宋体" w:eastAsia="宋体" w:cs="宋体"/>
          <w:color w:val="auto"/>
          <w:spacing w:val="-1"/>
          <w:sz w:val="21"/>
          <w:szCs w:val="21"/>
          <w:highlight w:val="none"/>
        </w:rPr>
        <w:t>费用。发</w:t>
      </w:r>
    </w:p>
    <w:p w14:paraId="2EA4B50B">
      <w:pPr>
        <w:spacing w:before="147" w:line="220" w:lineRule="auto"/>
        <w:ind w:left="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包人应在收到缺陷责任期届满通知后</w:t>
      </w:r>
      <w:r>
        <w:rPr>
          <w:rFonts w:ascii="宋体" w:hAnsi="宋体" w:eastAsia="宋体" w:cs="宋体"/>
          <w:color w:val="auto"/>
          <w:spacing w:val="-14"/>
          <w:sz w:val="21"/>
          <w:szCs w:val="21"/>
          <w:highlight w:val="none"/>
        </w:rPr>
        <w:t xml:space="preserve"> </w:t>
      </w:r>
      <w:r>
        <w:rPr>
          <w:rFonts w:ascii="Times New Roman" w:hAnsi="Times New Roman" w:eastAsia="Times New Roman" w:cs="Times New Roman"/>
          <w:color w:val="auto"/>
          <w:spacing w:val="-4"/>
          <w:sz w:val="21"/>
          <w:szCs w:val="21"/>
          <w:highlight w:val="none"/>
        </w:rPr>
        <w:t xml:space="preserve">14 </w:t>
      </w:r>
      <w:r>
        <w:rPr>
          <w:rFonts w:ascii="宋体" w:hAnsi="宋体" w:eastAsia="宋体" w:cs="宋体"/>
          <w:color w:val="auto"/>
          <w:spacing w:val="-4"/>
          <w:sz w:val="21"/>
          <w:szCs w:val="21"/>
          <w:highlight w:val="none"/>
        </w:rPr>
        <w:t>天内， 向承包人颁发缺陷责任期终止证书。</w:t>
      </w:r>
    </w:p>
    <w:p w14:paraId="0ACFB919">
      <w:pPr>
        <w:spacing w:before="51" w:line="220"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15.3 质量保证金</w:t>
      </w:r>
    </w:p>
    <w:p w14:paraId="09B18110">
      <w:pPr>
        <w:spacing w:before="128" w:line="221" w:lineRule="auto"/>
        <w:ind w:left="442"/>
        <w:rPr>
          <w:rFonts w:ascii="宋体" w:hAnsi="宋体" w:eastAsia="宋体" w:cs="宋体"/>
          <w:color w:val="auto"/>
          <w:sz w:val="21"/>
          <w:szCs w:val="21"/>
          <w:highlight w:val="none"/>
        </w:rPr>
      </w:pPr>
      <w:r>
        <w:rPr>
          <w:rFonts w:ascii="宋体" w:hAnsi="宋体" w:eastAsia="宋体" w:cs="宋体"/>
          <w:color w:val="auto"/>
          <w:sz w:val="21"/>
          <w:szCs w:val="21"/>
          <w:highlight w:val="none"/>
        </w:rPr>
        <w:t>经合同当事人协商一致扣留质量保证金的，应在专用合同条</w:t>
      </w:r>
      <w:r>
        <w:rPr>
          <w:rFonts w:ascii="宋体" w:hAnsi="宋体" w:eastAsia="宋体" w:cs="宋体"/>
          <w:color w:val="auto"/>
          <w:spacing w:val="-1"/>
          <w:sz w:val="21"/>
          <w:szCs w:val="21"/>
          <w:highlight w:val="none"/>
        </w:rPr>
        <w:t>款中予以明确。</w:t>
      </w:r>
    </w:p>
    <w:p w14:paraId="17EE8413">
      <w:pPr>
        <w:spacing w:line="221" w:lineRule="auto"/>
        <w:rPr>
          <w:rFonts w:ascii="宋体" w:hAnsi="宋体" w:eastAsia="宋体" w:cs="宋体"/>
          <w:color w:val="auto"/>
          <w:sz w:val="21"/>
          <w:szCs w:val="21"/>
          <w:highlight w:val="none"/>
        </w:rPr>
        <w:sectPr>
          <w:footerReference r:id="rId142" w:type="default"/>
          <w:pgSz w:w="11905" w:h="16839"/>
          <w:pgMar w:top="1431" w:right="1611" w:bottom="1004" w:left="1785" w:header="0" w:footer="829" w:gutter="0"/>
          <w:pgNumType w:fmt="decimal"/>
          <w:cols w:space="720" w:num="1"/>
        </w:sectPr>
      </w:pPr>
    </w:p>
    <w:p w14:paraId="2BC6161D">
      <w:pPr>
        <w:spacing w:before="149" w:line="398"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在工程项目竣工前，承包人已经提供履约担保的，发包人不得同时预留工程质量保证</w:t>
      </w:r>
    </w:p>
    <w:p w14:paraId="050539DB">
      <w:pPr>
        <w:spacing w:line="227" w:lineRule="auto"/>
        <w:ind w:left="20"/>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金。</w:t>
      </w:r>
    </w:p>
    <w:p w14:paraId="50F97141">
      <w:pPr>
        <w:spacing w:before="144"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15.3.1 </w:t>
      </w:r>
      <w:r>
        <w:rPr>
          <w:rFonts w:ascii="宋体" w:hAnsi="宋体" w:eastAsia="宋体" w:cs="宋体"/>
          <w:color w:val="auto"/>
          <w:spacing w:val="-1"/>
          <w:sz w:val="21"/>
          <w:szCs w:val="21"/>
          <w:highlight w:val="none"/>
        </w:rPr>
        <w:t>承包人提供质量保证金的方式</w:t>
      </w:r>
    </w:p>
    <w:p w14:paraId="7F37CF5B">
      <w:pPr>
        <w:spacing w:before="148" w:line="399" w:lineRule="exact"/>
        <w:ind w:left="441"/>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承包人提供质量保证金有以下三种方式：</w:t>
      </w:r>
    </w:p>
    <w:p w14:paraId="1E65B3A4">
      <w:pPr>
        <w:spacing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宋体" w:hAnsi="宋体" w:eastAsia="宋体" w:cs="宋体"/>
          <w:color w:val="auto"/>
          <w:spacing w:val="-1"/>
          <w:sz w:val="21"/>
          <w:szCs w:val="21"/>
          <w:highlight w:val="none"/>
        </w:rPr>
        <w:t>）质量保证金保函；</w:t>
      </w:r>
    </w:p>
    <w:p w14:paraId="0FCA6BCD">
      <w:pPr>
        <w:spacing w:before="152" w:line="221"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2</w:t>
      </w:r>
      <w:r>
        <w:rPr>
          <w:rFonts w:ascii="宋体" w:hAnsi="宋体" w:eastAsia="宋体" w:cs="宋体"/>
          <w:color w:val="auto"/>
          <w:spacing w:val="-3"/>
          <w:sz w:val="21"/>
          <w:szCs w:val="21"/>
          <w:highlight w:val="none"/>
        </w:rPr>
        <w:t>）相应比例的工程款；</w:t>
      </w:r>
    </w:p>
    <w:p w14:paraId="010F8959">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）双方约定的其他方式。</w:t>
      </w:r>
    </w:p>
    <w:p w14:paraId="2D525AA1">
      <w:pPr>
        <w:spacing w:before="146" w:line="220" w:lineRule="auto"/>
        <w:ind w:left="45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除专用合同条款另有约定外， 质量保证金原则上采</w:t>
      </w:r>
      <w:r>
        <w:rPr>
          <w:rFonts w:ascii="宋体" w:hAnsi="宋体" w:eastAsia="宋体" w:cs="宋体"/>
          <w:color w:val="auto"/>
          <w:spacing w:val="-5"/>
          <w:sz w:val="21"/>
          <w:szCs w:val="21"/>
          <w:highlight w:val="none"/>
        </w:rPr>
        <w:t>用上述第（</w:t>
      </w:r>
      <w:r>
        <w:rPr>
          <w:rFonts w:ascii="Times New Roman" w:hAnsi="Times New Roman" w:eastAsia="Times New Roman" w:cs="Times New Roman"/>
          <w:color w:val="auto"/>
          <w:spacing w:val="-5"/>
          <w:sz w:val="21"/>
          <w:szCs w:val="21"/>
          <w:highlight w:val="none"/>
        </w:rPr>
        <w:t>1</w:t>
      </w:r>
      <w:r>
        <w:rPr>
          <w:rFonts w:ascii="宋体" w:hAnsi="宋体" w:eastAsia="宋体" w:cs="宋体"/>
          <w:color w:val="auto"/>
          <w:spacing w:val="-5"/>
          <w:sz w:val="21"/>
          <w:szCs w:val="21"/>
          <w:highlight w:val="none"/>
        </w:rPr>
        <w:t>）种方式。</w:t>
      </w:r>
    </w:p>
    <w:p w14:paraId="19415730">
      <w:pPr>
        <w:spacing w:before="154"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15.3.2 </w:t>
      </w:r>
      <w:r>
        <w:rPr>
          <w:rFonts w:ascii="宋体" w:hAnsi="宋体" w:eastAsia="宋体" w:cs="宋体"/>
          <w:color w:val="auto"/>
          <w:spacing w:val="-2"/>
          <w:sz w:val="21"/>
          <w:szCs w:val="21"/>
          <w:highlight w:val="none"/>
        </w:rPr>
        <w:t>质量保证金的扣留</w:t>
      </w:r>
    </w:p>
    <w:p w14:paraId="63FC3A5B">
      <w:pPr>
        <w:spacing w:before="147" w:line="221"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质量保证金的扣留有以下三种方式：</w:t>
      </w:r>
    </w:p>
    <w:p w14:paraId="3D6324E6">
      <w:pPr>
        <w:spacing w:before="147" w:line="403" w:lineRule="exact"/>
        <w:ind w:right="11"/>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1</w:t>
      </w:r>
      <w:r>
        <w:rPr>
          <w:rFonts w:ascii="宋体" w:hAnsi="宋体" w:eastAsia="宋体" w:cs="宋体"/>
          <w:color w:val="auto"/>
          <w:position w:val="14"/>
          <w:sz w:val="21"/>
          <w:szCs w:val="21"/>
          <w:highlight w:val="none"/>
        </w:rPr>
        <w:t>）在支付工程进度款时逐次扣留，在此情形下，质量保证金的计算基数不包</w:t>
      </w:r>
      <w:r>
        <w:rPr>
          <w:rFonts w:ascii="宋体" w:hAnsi="宋体" w:eastAsia="宋体" w:cs="宋体"/>
          <w:color w:val="auto"/>
          <w:spacing w:val="-1"/>
          <w:position w:val="14"/>
          <w:sz w:val="21"/>
          <w:szCs w:val="21"/>
          <w:highlight w:val="none"/>
        </w:rPr>
        <w:t>括预付</w:t>
      </w:r>
    </w:p>
    <w:p w14:paraId="153E1CBF">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款的支付、扣回以及价格调整的金额；</w:t>
      </w:r>
    </w:p>
    <w:p w14:paraId="7BBCF1DE">
      <w:pPr>
        <w:spacing w:before="149"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）工程竣工结算时一次性扣留质量保证</w:t>
      </w:r>
      <w:r>
        <w:rPr>
          <w:rFonts w:ascii="宋体" w:hAnsi="宋体" w:eastAsia="宋体" w:cs="宋体"/>
          <w:color w:val="auto"/>
          <w:spacing w:val="-3"/>
          <w:sz w:val="21"/>
          <w:szCs w:val="21"/>
          <w:highlight w:val="none"/>
        </w:rPr>
        <w:t>金；</w:t>
      </w:r>
    </w:p>
    <w:p w14:paraId="0697A6A2">
      <w:pPr>
        <w:spacing w:before="148"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）双方约定的其他扣留方式。</w:t>
      </w:r>
    </w:p>
    <w:p w14:paraId="4D9667D3">
      <w:pPr>
        <w:spacing w:before="151" w:line="220" w:lineRule="auto"/>
        <w:ind w:left="45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除专用合同条款另有约定外， 质量保证金的扣留原则上采</w:t>
      </w:r>
      <w:r>
        <w:rPr>
          <w:rFonts w:ascii="宋体" w:hAnsi="宋体" w:eastAsia="宋体" w:cs="宋体"/>
          <w:color w:val="auto"/>
          <w:spacing w:val="-4"/>
          <w:sz w:val="21"/>
          <w:szCs w:val="21"/>
          <w:highlight w:val="none"/>
        </w:rPr>
        <w:t>用上述第（</w:t>
      </w:r>
      <w:r>
        <w:rPr>
          <w:rFonts w:ascii="Times New Roman" w:hAnsi="Times New Roman" w:eastAsia="Times New Roman" w:cs="Times New Roman"/>
          <w:color w:val="auto"/>
          <w:spacing w:val="-4"/>
          <w:sz w:val="21"/>
          <w:szCs w:val="21"/>
          <w:highlight w:val="none"/>
        </w:rPr>
        <w:t>1</w:t>
      </w:r>
      <w:r>
        <w:rPr>
          <w:rFonts w:ascii="宋体" w:hAnsi="宋体" w:eastAsia="宋体" w:cs="宋体"/>
          <w:color w:val="auto"/>
          <w:spacing w:val="-4"/>
          <w:sz w:val="21"/>
          <w:szCs w:val="21"/>
          <w:highlight w:val="none"/>
        </w:rPr>
        <w:t>）种方式。</w:t>
      </w:r>
    </w:p>
    <w:p w14:paraId="0F65E37F">
      <w:pPr>
        <w:spacing w:before="148" w:line="353" w:lineRule="auto"/>
        <w:ind w:left="18" w:right="3" w:firstLine="42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发包人累计扣留的质量保证金不得超过工程价款结算总额的 </w:t>
      </w:r>
      <w:r>
        <w:rPr>
          <w:rFonts w:ascii="Times New Roman" w:hAnsi="Times New Roman" w:eastAsia="Times New Roman" w:cs="Times New Roman"/>
          <w:color w:val="auto"/>
          <w:spacing w:val="1"/>
          <w:sz w:val="21"/>
          <w:szCs w:val="21"/>
          <w:highlight w:val="none"/>
        </w:rPr>
        <w:t>3</w:t>
      </w:r>
      <w:r>
        <w:rPr>
          <w:rFonts w:ascii="Times New Roman" w:hAnsi="Times New Roman" w:eastAsia="Times New Roman" w:cs="Times New Roman"/>
          <w:color w:val="auto"/>
          <w:spacing w:val="50"/>
          <w:w w:val="101"/>
          <w:sz w:val="21"/>
          <w:szCs w:val="21"/>
          <w:highlight w:val="none"/>
        </w:rPr>
        <w:t xml:space="preserve"> </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。如承包人在发包人</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签发竣工付款证书后</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pacing w:val="-3"/>
          <w:sz w:val="21"/>
          <w:szCs w:val="21"/>
          <w:highlight w:val="none"/>
        </w:rPr>
        <w:t>28</w:t>
      </w:r>
      <w:r>
        <w:rPr>
          <w:rFonts w:ascii="Times New Roman" w:hAnsi="Times New Roman" w:eastAsia="Times New Roman" w:cs="Times New Roman"/>
          <w:color w:val="auto"/>
          <w:spacing w:val="13"/>
          <w:sz w:val="21"/>
          <w:szCs w:val="21"/>
          <w:highlight w:val="none"/>
        </w:rPr>
        <w:t xml:space="preserve"> </w:t>
      </w:r>
      <w:r>
        <w:rPr>
          <w:rFonts w:ascii="宋体" w:hAnsi="宋体" w:eastAsia="宋体" w:cs="宋体"/>
          <w:color w:val="auto"/>
          <w:spacing w:val="-3"/>
          <w:sz w:val="21"/>
          <w:szCs w:val="21"/>
          <w:highlight w:val="none"/>
        </w:rPr>
        <w:t>天内提交质量保证金保函， 发包人应同时退还扣留的作为质量保证</w:t>
      </w:r>
    </w:p>
    <w:p w14:paraId="785063A0">
      <w:pPr>
        <w:spacing w:line="233"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金的工程价款；保函金额不得超过工程价款结算总额的</w:t>
      </w:r>
      <w:r>
        <w:rPr>
          <w:rFonts w:ascii="宋体" w:hAnsi="宋体" w:eastAsia="宋体" w:cs="宋体"/>
          <w:color w:val="auto"/>
          <w:spacing w:val="-31"/>
          <w:sz w:val="21"/>
          <w:szCs w:val="21"/>
          <w:highlight w:val="none"/>
        </w:rPr>
        <w:t xml:space="preserve"> </w:t>
      </w:r>
      <w:r>
        <w:rPr>
          <w:rFonts w:ascii="Times New Roman" w:hAnsi="Times New Roman" w:eastAsia="Times New Roman" w:cs="Times New Roman"/>
          <w:color w:val="auto"/>
          <w:spacing w:val="-1"/>
          <w:sz w:val="21"/>
          <w:szCs w:val="21"/>
          <w:highlight w:val="none"/>
        </w:rPr>
        <w:t>3 %</w:t>
      </w:r>
      <w:r>
        <w:rPr>
          <w:rFonts w:ascii="宋体" w:hAnsi="宋体" w:eastAsia="宋体" w:cs="宋体"/>
          <w:color w:val="auto"/>
          <w:spacing w:val="-1"/>
          <w:sz w:val="21"/>
          <w:szCs w:val="21"/>
          <w:highlight w:val="none"/>
        </w:rPr>
        <w:t>。</w:t>
      </w:r>
    </w:p>
    <w:p w14:paraId="51627AA4">
      <w:pPr>
        <w:spacing w:before="133" w:line="398" w:lineRule="exact"/>
        <w:ind w:right="4"/>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发包人在退还质量保证金的同时按照中国人民银行发布的同期同类贷款基准利率支付</w:t>
      </w:r>
    </w:p>
    <w:p w14:paraId="45B49E46">
      <w:pPr>
        <w:spacing w:before="1" w:line="222" w:lineRule="auto"/>
        <w:ind w:left="19"/>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利息。</w:t>
      </w:r>
    </w:p>
    <w:p w14:paraId="32237D9E">
      <w:pPr>
        <w:spacing w:before="151"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15.3.3 </w:t>
      </w:r>
      <w:r>
        <w:rPr>
          <w:rFonts w:ascii="宋体" w:hAnsi="宋体" w:eastAsia="宋体" w:cs="宋体"/>
          <w:color w:val="auto"/>
          <w:spacing w:val="-2"/>
          <w:sz w:val="21"/>
          <w:szCs w:val="21"/>
          <w:highlight w:val="none"/>
        </w:rPr>
        <w:t>质量保证金的退还</w:t>
      </w:r>
    </w:p>
    <w:p w14:paraId="70BD82A5">
      <w:pPr>
        <w:spacing w:before="146" w:line="399" w:lineRule="exact"/>
        <w:ind w:right="6"/>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缺陷责任期内， 承包人认真履行合同约定的责</w:t>
      </w:r>
      <w:r>
        <w:rPr>
          <w:rFonts w:ascii="宋体" w:hAnsi="宋体" w:eastAsia="宋体" w:cs="宋体"/>
          <w:color w:val="auto"/>
          <w:spacing w:val="-3"/>
          <w:position w:val="14"/>
          <w:sz w:val="21"/>
          <w:szCs w:val="21"/>
          <w:highlight w:val="none"/>
        </w:rPr>
        <w:t>任，到期后， 承包人可向发包人申请返</w:t>
      </w:r>
    </w:p>
    <w:p w14:paraId="4B2111F3">
      <w:pPr>
        <w:spacing w:line="221" w:lineRule="auto"/>
        <w:ind w:left="17"/>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还保证金。</w:t>
      </w:r>
    </w:p>
    <w:p w14:paraId="2D5A6FA8">
      <w:pPr>
        <w:spacing w:before="154" w:line="351" w:lineRule="auto"/>
        <w:ind w:left="16" w:right="2" w:firstLine="42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发包人在接到承包人返还保证金申请后，应于 </w:t>
      </w:r>
      <w:r>
        <w:rPr>
          <w:rFonts w:ascii="Times New Roman" w:hAnsi="Times New Roman" w:eastAsia="Times New Roman" w:cs="Times New Roman"/>
          <w:color w:val="auto"/>
          <w:spacing w:val="-1"/>
          <w:sz w:val="21"/>
          <w:szCs w:val="21"/>
          <w:highlight w:val="none"/>
        </w:rPr>
        <w:t xml:space="preserve">14 </w:t>
      </w:r>
      <w:r>
        <w:rPr>
          <w:rFonts w:ascii="宋体" w:hAnsi="宋体" w:eastAsia="宋体" w:cs="宋体"/>
          <w:color w:val="auto"/>
          <w:spacing w:val="-1"/>
          <w:sz w:val="21"/>
          <w:szCs w:val="21"/>
          <w:highlight w:val="none"/>
        </w:rPr>
        <w:t>天内会同承包人按照合同约定</w:t>
      </w:r>
      <w:r>
        <w:rPr>
          <w:rFonts w:ascii="宋体" w:hAnsi="宋体" w:eastAsia="宋体" w:cs="宋体"/>
          <w:color w:val="auto"/>
          <w:spacing w:val="-2"/>
          <w:sz w:val="21"/>
          <w:szCs w:val="21"/>
          <w:highlight w:val="none"/>
        </w:rPr>
        <w:t>的内容</w:t>
      </w:r>
      <w:r>
        <w:rPr>
          <w:rFonts w:ascii="宋体" w:hAnsi="宋体" w:eastAsia="宋体" w:cs="宋体"/>
          <w:color w:val="auto"/>
          <w:sz w:val="21"/>
          <w:szCs w:val="21"/>
          <w:highlight w:val="none"/>
        </w:rPr>
        <w:t xml:space="preserve"> 进行核实。如无异议， 发包人应当按照约定将保证金返还给承包人。对返还期限没有约定</w:t>
      </w:r>
      <w:r>
        <w:rPr>
          <w:rFonts w:ascii="宋体" w:hAnsi="宋体" w:eastAsia="宋体" w:cs="宋体"/>
          <w:color w:val="auto"/>
          <w:spacing w:val="8"/>
          <w:sz w:val="21"/>
          <w:szCs w:val="21"/>
          <w:highlight w:val="none"/>
        </w:rPr>
        <w:t xml:space="preserve"> </w:t>
      </w:r>
      <w:r>
        <w:rPr>
          <w:rFonts w:ascii="宋体" w:hAnsi="宋体" w:eastAsia="宋体" w:cs="宋体"/>
          <w:color w:val="auto"/>
          <w:spacing w:val="-6"/>
          <w:sz w:val="21"/>
          <w:szCs w:val="21"/>
          <w:highlight w:val="none"/>
        </w:rPr>
        <w:t xml:space="preserve">或者约定不明确的， 发包人应当在核实后 </w:t>
      </w:r>
      <w:r>
        <w:rPr>
          <w:rFonts w:ascii="Times New Roman" w:hAnsi="Times New Roman" w:eastAsia="Times New Roman" w:cs="Times New Roman"/>
          <w:color w:val="auto"/>
          <w:spacing w:val="-6"/>
          <w:sz w:val="21"/>
          <w:szCs w:val="21"/>
          <w:highlight w:val="none"/>
        </w:rPr>
        <w:t>14</w:t>
      </w:r>
      <w:r>
        <w:rPr>
          <w:rFonts w:ascii="Times New Roman" w:hAnsi="Times New Roman" w:eastAsia="Times New Roman" w:cs="Times New Roman"/>
          <w:color w:val="auto"/>
          <w:spacing w:val="13"/>
          <w:sz w:val="21"/>
          <w:szCs w:val="21"/>
          <w:highlight w:val="none"/>
        </w:rPr>
        <w:t xml:space="preserve"> </w:t>
      </w:r>
      <w:r>
        <w:rPr>
          <w:rFonts w:ascii="宋体" w:hAnsi="宋体" w:eastAsia="宋体" w:cs="宋体"/>
          <w:color w:val="auto"/>
          <w:spacing w:val="-6"/>
          <w:sz w:val="21"/>
          <w:szCs w:val="21"/>
          <w:highlight w:val="none"/>
        </w:rPr>
        <w:t>天内将保证金返还承包人， 逾期未返还的，依</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法承担违约责任。发包人在接到承包人返还保证金申请后</w:t>
      </w:r>
      <w:r>
        <w:rPr>
          <w:rFonts w:ascii="宋体" w:hAnsi="宋体" w:eastAsia="宋体" w:cs="宋体"/>
          <w:color w:val="auto"/>
          <w:spacing w:val="-41"/>
          <w:sz w:val="21"/>
          <w:szCs w:val="21"/>
          <w:highlight w:val="none"/>
        </w:rPr>
        <w:t xml:space="preserve"> </w:t>
      </w:r>
      <w:r>
        <w:rPr>
          <w:rFonts w:ascii="Times New Roman" w:hAnsi="Times New Roman" w:eastAsia="Times New Roman" w:cs="Times New Roman"/>
          <w:color w:val="auto"/>
          <w:spacing w:val="-2"/>
          <w:sz w:val="21"/>
          <w:szCs w:val="21"/>
          <w:highlight w:val="none"/>
        </w:rPr>
        <w:t>14</w:t>
      </w:r>
      <w:r>
        <w:rPr>
          <w:rFonts w:ascii="Times New Roman" w:hAnsi="Times New Roman" w:eastAsia="Times New Roman" w:cs="Times New Roman"/>
          <w:color w:val="auto"/>
          <w:spacing w:val="-12"/>
          <w:sz w:val="21"/>
          <w:szCs w:val="21"/>
          <w:highlight w:val="none"/>
        </w:rPr>
        <w:t xml:space="preserve"> </w:t>
      </w:r>
      <w:r>
        <w:rPr>
          <w:rFonts w:ascii="宋体" w:hAnsi="宋体" w:eastAsia="宋体" w:cs="宋体"/>
          <w:color w:val="auto"/>
          <w:spacing w:val="-2"/>
          <w:sz w:val="21"/>
          <w:szCs w:val="21"/>
          <w:highlight w:val="none"/>
        </w:rPr>
        <w:t>天内不予答复，经催告后</w:t>
      </w:r>
      <w:r>
        <w:rPr>
          <w:rFonts w:ascii="宋体" w:hAnsi="宋体" w:eastAsia="宋体" w:cs="宋体"/>
          <w:color w:val="auto"/>
          <w:spacing w:val="-45"/>
          <w:sz w:val="21"/>
          <w:szCs w:val="21"/>
          <w:highlight w:val="none"/>
        </w:rPr>
        <w:t xml:space="preserve"> </w:t>
      </w:r>
      <w:r>
        <w:rPr>
          <w:rFonts w:ascii="Times New Roman" w:hAnsi="Times New Roman" w:eastAsia="Times New Roman" w:cs="Times New Roman"/>
          <w:color w:val="auto"/>
          <w:spacing w:val="-2"/>
          <w:sz w:val="21"/>
          <w:szCs w:val="21"/>
          <w:highlight w:val="none"/>
        </w:rPr>
        <w:t>14</w:t>
      </w:r>
      <w:r>
        <w:rPr>
          <w:rFonts w:ascii="Times New Roman" w:hAnsi="Times New Roman" w:eastAsia="Times New Roman" w:cs="Times New Roman"/>
          <w:color w:val="auto"/>
          <w:spacing w:val="-16"/>
          <w:sz w:val="21"/>
          <w:szCs w:val="21"/>
          <w:highlight w:val="none"/>
        </w:rPr>
        <w:t xml:space="preserve"> </w:t>
      </w:r>
      <w:r>
        <w:rPr>
          <w:rFonts w:ascii="宋体" w:hAnsi="宋体" w:eastAsia="宋体" w:cs="宋体"/>
          <w:color w:val="auto"/>
          <w:spacing w:val="-2"/>
          <w:sz w:val="21"/>
          <w:szCs w:val="21"/>
          <w:highlight w:val="none"/>
        </w:rPr>
        <w:t>天</w:t>
      </w:r>
    </w:p>
    <w:p w14:paraId="61BD4D81">
      <w:pPr>
        <w:spacing w:line="220" w:lineRule="auto"/>
        <w:ind w:left="4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内仍不予答复，视同认可承包人的返还保证金申请。</w:t>
      </w:r>
    </w:p>
    <w:p w14:paraId="5A727C45">
      <w:pPr>
        <w:spacing w:before="148" w:line="220" w:lineRule="auto"/>
        <w:ind w:right="6"/>
        <w:jc w:val="right"/>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发包人和承包人对保证金预留、返还以及工程维修质量、费用有争议的，按本合同第</w:t>
      </w:r>
    </w:p>
    <w:p w14:paraId="7C9663AF">
      <w:pPr>
        <w:spacing w:before="153" w:line="221" w:lineRule="auto"/>
        <w:ind w:left="14"/>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 xml:space="preserve">20 </w:t>
      </w:r>
      <w:r>
        <w:rPr>
          <w:rFonts w:ascii="宋体" w:hAnsi="宋体" w:eastAsia="宋体" w:cs="宋体"/>
          <w:color w:val="auto"/>
          <w:spacing w:val="-1"/>
          <w:sz w:val="21"/>
          <w:szCs w:val="21"/>
          <w:highlight w:val="none"/>
        </w:rPr>
        <w:t>条约定的争议和纠纷解决程序处理。</w:t>
      </w:r>
    </w:p>
    <w:p w14:paraId="334C4D37">
      <w:pPr>
        <w:spacing w:before="45" w:line="219" w:lineRule="auto"/>
        <w:ind w:left="31"/>
        <w:rPr>
          <w:rFonts w:ascii="黑体" w:hAnsi="黑体" w:eastAsia="黑体" w:cs="黑体"/>
          <w:color w:val="auto"/>
          <w:sz w:val="24"/>
          <w:szCs w:val="24"/>
          <w:highlight w:val="none"/>
        </w:rPr>
      </w:pPr>
      <w:r>
        <w:rPr>
          <w:rFonts w:ascii="黑体" w:hAnsi="黑体" w:eastAsia="黑体" w:cs="黑体"/>
          <w:color w:val="auto"/>
          <w:spacing w:val="-5"/>
          <w:sz w:val="24"/>
          <w:szCs w:val="24"/>
          <w:highlight w:val="none"/>
        </w:rPr>
        <w:t>15.4</w:t>
      </w:r>
      <w:r>
        <w:rPr>
          <w:rFonts w:ascii="黑体" w:hAnsi="黑体" w:eastAsia="黑体" w:cs="黑体"/>
          <w:color w:val="auto"/>
          <w:spacing w:val="11"/>
          <w:sz w:val="24"/>
          <w:szCs w:val="24"/>
          <w:highlight w:val="none"/>
        </w:rPr>
        <w:t xml:space="preserve"> </w:t>
      </w:r>
      <w:r>
        <w:rPr>
          <w:rFonts w:ascii="黑体" w:hAnsi="黑体" w:eastAsia="黑体" w:cs="黑体"/>
          <w:color w:val="auto"/>
          <w:spacing w:val="-5"/>
          <w:sz w:val="24"/>
          <w:szCs w:val="24"/>
          <w:highlight w:val="none"/>
        </w:rPr>
        <w:t>保修</w:t>
      </w:r>
    </w:p>
    <w:p w14:paraId="112CB1DF">
      <w:pPr>
        <w:spacing w:before="129"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15.4.1 </w:t>
      </w:r>
      <w:r>
        <w:rPr>
          <w:rFonts w:ascii="宋体" w:hAnsi="宋体" w:eastAsia="宋体" w:cs="宋体"/>
          <w:color w:val="auto"/>
          <w:spacing w:val="-3"/>
          <w:sz w:val="21"/>
          <w:szCs w:val="21"/>
          <w:highlight w:val="none"/>
        </w:rPr>
        <w:t>保修责任</w:t>
      </w:r>
    </w:p>
    <w:p w14:paraId="3308B169">
      <w:pPr>
        <w:spacing w:before="146" w:line="353" w:lineRule="auto"/>
        <w:ind w:left="17" w:right="6" w:firstLine="426"/>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工程保修期从工程竣工验收合格之日起算，具体分部分项工程的保修期由合同当事人</w:t>
      </w:r>
      <w:r>
        <w:rPr>
          <w:rFonts w:ascii="宋体" w:hAnsi="宋体" w:eastAsia="宋体" w:cs="宋体"/>
          <w:color w:val="auto"/>
          <w:sz w:val="21"/>
          <w:szCs w:val="21"/>
          <w:highlight w:val="none"/>
        </w:rPr>
        <w:t xml:space="preserve"> 在专用合同条款中约定，但不得低于法定最低保修年限。在工程保修期内， 承包人应当根</w:t>
      </w:r>
    </w:p>
    <w:p w14:paraId="21FDB22D">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据有关法律规定以及合同约定承担保修责任。</w:t>
      </w:r>
    </w:p>
    <w:p w14:paraId="3A5D6620">
      <w:pPr>
        <w:spacing w:line="220" w:lineRule="auto"/>
        <w:rPr>
          <w:rFonts w:ascii="宋体" w:hAnsi="宋体" w:eastAsia="宋体" w:cs="宋体"/>
          <w:color w:val="auto"/>
          <w:sz w:val="21"/>
          <w:szCs w:val="21"/>
          <w:highlight w:val="none"/>
        </w:rPr>
        <w:sectPr>
          <w:footerReference r:id="rId143" w:type="default"/>
          <w:pgSz w:w="11905" w:h="16839"/>
          <w:pgMar w:top="1431" w:right="1785" w:bottom="1004" w:left="1785" w:header="0" w:footer="828" w:gutter="0"/>
          <w:pgNumType w:fmt="decimal"/>
          <w:cols w:space="720" w:num="1"/>
        </w:sectPr>
      </w:pPr>
    </w:p>
    <w:p w14:paraId="41C9F9F7">
      <w:pPr>
        <w:spacing w:before="148" w:line="221" w:lineRule="auto"/>
        <w:ind w:left="44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发包人未经竣工验收擅自使用工程的， 保修期自转移</w:t>
      </w:r>
      <w:r>
        <w:rPr>
          <w:rFonts w:ascii="宋体" w:hAnsi="宋体" w:eastAsia="宋体" w:cs="宋体"/>
          <w:color w:val="auto"/>
          <w:spacing w:val="-5"/>
          <w:sz w:val="21"/>
          <w:szCs w:val="21"/>
          <w:highlight w:val="none"/>
        </w:rPr>
        <w:t>占有之日起算。</w:t>
      </w:r>
    </w:p>
    <w:p w14:paraId="443765EE">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15.4.2 </w:t>
      </w:r>
      <w:r>
        <w:rPr>
          <w:rFonts w:ascii="宋体" w:hAnsi="宋体" w:eastAsia="宋体" w:cs="宋体"/>
          <w:color w:val="auto"/>
          <w:spacing w:val="-2"/>
          <w:sz w:val="21"/>
          <w:szCs w:val="21"/>
          <w:highlight w:val="none"/>
        </w:rPr>
        <w:t>修复费用</w:t>
      </w:r>
    </w:p>
    <w:p w14:paraId="714E097B">
      <w:pPr>
        <w:spacing w:before="151" w:line="221" w:lineRule="auto"/>
        <w:ind w:left="442"/>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保修期内，</w:t>
      </w:r>
      <w:r>
        <w:rPr>
          <w:rFonts w:ascii="宋体" w:hAnsi="宋体" w:eastAsia="宋体" w:cs="宋体"/>
          <w:color w:val="auto"/>
          <w:spacing w:val="54"/>
          <w:sz w:val="21"/>
          <w:szCs w:val="21"/>
          <w:highlight w:val="none"/>
        </w:rPr>
        <w:t xml:space="preserve"> </w:t>
      </w:r>
      <w:r>
        <w:rPr>
          <w:rFonts w:ascii="宋体" w:hAnsi="宋体" w:eastAsia="宋体" w:cs="宋体"/>
          <w:color w:val="auto"/>
          <w:spacing w:val="-10"/>
          <w:sz w:val="21"/>
          <w:szCs w:val="21"/>
          <w:highlight w:val="none"/>
        </w:rPr>
        <w:t>修复的费用按照以下约定处理：</w:t>
      </w:r>
    </w:p>
    <w:p w14:paraId="607D58A1">
      <w:pPr>
        <w:spacing w:before="148" w:line="398" w:lineRule="exact"/>
        <w:ind w:right="11"/>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1</w:t>
      </w:r>
      <w:r>
        <w:rPr>
          <w:rFonts w:ascii="宋体" w:hAnsi="宋体" w:eastAsia="宋体" w:cs="宋体"/>
          <w:color w:val="auto"/>
          <w:position w:val="14"/>
          <w:sz w:val="21"/>
          <w:szCs w:val="21"/>
          <w:highlight w:val="none"/>
        </w:rPr>
        <w:t>）保修期内，因承包人原因造成工程的缺陷、损坏，承包人应负责修复，并</w:t>
      </w:r>
      <w:r>
        <w:rPr>
          <w:rFonts w:ascii="宋体" w:hAnsi="宋体" w:eastAsia="宋体" w:cs="宋体"/>
          <w:color w:val="auto"/>
          <w:spacing w:val="-1"/>
          <w:position w:val="14"/>
          <w:sz w:val="21"/>
          <w:szCs w:val="21"/>
          <w:highlight w:val="none"/>
        </w:rPr>
        <w:t>承担修</w:t>
      </w:r>
    </w:p>
    <w:p w14:paraId="4A382F41">
      <w:pPr>
        <w:spacing w:line="220" w:lineRule="auto"/>
        <w:ind w:left="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复的费用以及因工程的缺陷、损坏造成的人身伤害和财产损失；</w:t>
      </w:r>
    </w:p>
    <w:p w14:paraId="4D894187">
      <w:pPr>
        <w:spacing w:before="153" w:line="398" w:lineRule="exact"/>
        <w:ind w:right="13"/>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2</w:t>
      </w:r>
      <w:r>
        <w:rPr>
          <w:rFonts w:ascii="宋体" w:hAnsi="宋体" w:eastAsia="宋体" w:cs="宋体"/>
          <w:color w:val="auto"/>
          <w:position w:val="14"/>
          <w:sz w:val="21"/>
          <w:szCs w:val="21"/>
          <w:highlight w:val="none"/>
        </w:rPr>
        <w:t>）保修期内，因发包人使用不当造成工程的缺陷、损坏，可以委托承包人</w:t>
      </w:r>
      <w:r>
        <w:rPr>
          <w:rFonts w:ascii="宋体" w:hAnsi="宋体" w:eastAsia="宋体" w:cs="宋体"/>
          <w:color w:val="auto"/>
          <w:spacing w:val="-1"/>
          <w:position w:val="14"/>
          <w:sz w:val="21"/>
          <w:szCs w:val="21"/>
          <w:highlight w:val="none"/>
        </w:rPr>
        <w:t>修复，但</w:t>
      </w:r>
    </w:p>
    <w:p w14:paraId="5682F01B">
      <w:pPr>
        <w:spacing w:before="1" w:line="220" w:lineRule="auto"/>
        <w:ind w:left="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发包人应承担修复的费用，并支付承包人合理利润；</w:t>
      </w:r>
    </w:p>
    <w:p w14:paraId="02C88D4D">
      <w:pPr>
        <w:spacing w:before="148" w:line="352" w:lineRule="auto"/>
        <w:ind w:left="29" w:right="11" w:firstLine="417"/>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3</w:t>
      </w:r>
      <w:r>
        <w:rPr>
          <w:rFonts w:ascii="宋体" w:hAnsi="宋体" w:eastAsia="宋体" w:cs="宋体"/>
          <w:color w:val="auto"/>
          <w:sz w:val="21"/>
          <w:szCs w:val="21"/>
          <w:highlight w:val="none"/>
        </w:rPr>
        <w:t>）因其他原因造成工程的缺陷、损坏，可以委托承包人修复，发包人应承担</w:t>
      </w:r>
      <w:r>
        <w:rPr>
          <w:rFonts w:ascii="宋体" w:hAnsi="宋体" w:eastAsia="宋体" w:cs="宋体"/>
          <w:color w:val="auto"/>
          <w:spacing w:val="-1"/>
          <w:sz w:val="21"/>
          <w:szCs w:val="21"/>
          <w:highlight w:val="none"/>
        </w:rPr>
        <w:t>修复的</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费用， 并支付承包人合理的利润， 因工程的缺陷、损坏造成的人身伤害和财产损失由责任</w:t>
      </w:r>
    </w:p>
    <w:p w14:paraId="04E473B2">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方承担。</w:t>
      </w:r>
    </w:p>
    <w:p w14:paraId="5578D5FE">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15.4.3 </w:t>
      </w:r>
      <w:r>
        <w:rPr>
          <w:rFonts w:ascii="宋体" w:hAnsi="宋体" w:eastAsia="宋体" w:cs="宋体"/>
          <w:color w:val="auto"/>
          <w:spacing w:val="-2"/>
          <w:sz w:val="21"/>
          <w:szCs w:val="21"/>
          <w:highlight w:val="none"/>
        </w:rPr>
        <w:t>修复通知</w:t>
      </w:r>
    </w:p>
    <w:p w14:paraId="365E7146">
      <w:pPr>
        <w:spacing w:before="152" w:line="352" w:lineRule="auto"/>
        <w:ind w:left="22" w:right="3" w:firstLine="4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在保修期内，发包人在使用过程中， 发现已接</w:t>
      </w:r>
      <w:r>
        <w:rPr>
          <w:rFonts w:ascii="宋体" w:hAnsi="宋体" w:eastAsia="宋体" w:cs="宋体"/>
          <w:color w:val="auto"/>
          <w:spacing w:val="-3"/>
          <w:sz w:val="21"/>
          <w:szCs w:val="21"/>
          <w:highlight w:val="none"/>
        </w:rPr>
        <w:t>收的工程存在缺陷或损坏的， 应书面通</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知承包人予以修复，但情况紧急必须立即修复缺陷或损坏的，发包</w:t>
      </w:r>
      <w:r>
        <w:rPr>
          <w:rFonts w:ascii="宋体" w:hAnsi="宋体" w:eastAsia="宋体" w:cs="宋体"/>
          <w:color w:val="auto"/>
          <w:spacing w:val="2"/>
          <w:sz w:val="21"/>
          <w:szCs w:val="21"/>
          <w:highlight w:val="none"/>
        </w:rPr>
        <w:t>人可以口头通知承包人</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并在口头通知后</w:t>
      </w:r>
      <w:r>
        <w:rPr>
          <w:rFonts w:ascii="宋体" w:hAnsi="宋体" w:eastAsia="宋体" w:cs="宋体"/>
          <w:color w:val="auto"/>
          <w:spacing w:val="-17"/>
          <w:sz w:val="21"/>
          <w:szCs w:val="21"/>
          <w:highlight w:val="none"/>
        </w:rPr>
        <w:t xml:space="preserve"> </w:t>
      </w:r>
      <w:r>
        <w:rPr>
          <w:rFonts w:ascii="Times New Roman" w:hAnsi="Times New Roman" w:eastAsia="Times New Roman" w:cs="Times New Roman"/>
          <w:color w:val="auto"/>
          <w:spacing w:val="-1"/>
          <w:sz w:val="21"/>
          <w:szCs w:val="21"/>
          <w:highlight w:val="none"/>
        </w:rPr>
        <w:t>48</w:t>
      </w:r>
      <w:r>
        <w:rPr>
          <w:rFonts w:ascii="Times New Roman" w:hAnsi="Times New Roman" w:eastAsia="Times New Roman" w:cs="Times New Roman"/>
          <w:color w:val="auto"/>
          <w:spacing w:val="14"/>
          <w:w w:val="101"/>
          <w:sz w:val="21"/>
          <w:szCs w:val="21"/>
          <w:highlight w:val="none"/>
        </w:rPr>
        <w:t xml:space="preserve"> </w:t>
      </w:r>
      <w:r>
        <w:rPr>
          <w:rFonts w:ascii="宋体" w:hAnsi="宋体" w:eastAsia="宋体" w:cs="宋体"/>
          <w:color w:val="auto"/>
          <w:spacing w:val="-1"/>
          <w:sz w:val="21"/>
          <w:szCs w:val="21"/>
          <w:highlight w:val="none"/>
        </w:rPr>
        <w:t>小时内书面确认，承包人应在专用合同条款约定的合理期限内到达工程</w:t>
      </w:r>
    </w:p>
    <w:p w14:paraId="4846F6DF">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现场并修复缺陷或损坏。</w:t>
      </w:r>
    </w:p>
    <w:p w14:paraId="700464C5">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15.4.4</w:t>
      </w:r>
      <w:r>
        <w:rPr>
          <w:rFonts w:ascii="Times New Roman" w:hAnsi="Times New Roman" w:eastAsia="Times New Roman" w:cs="Times New Roman"/>
          <w:color w:val="auto"/>
          <w:spacing w:val="11"/>
          <w:sz w:val="21"/>
          <w:szCs w:val="21"/>
          <w:highlight w:val="none"/>
        </w:rPr>
        <w:t xml:space="preserve"> </w:t>
      </w:r>
      <w:r>
        <w:rPr>
          <w:rFonts w:ascii="宋体" w:hAnsi="宋体" w:eastAsia="宋体" w:cs="宋体"/>
          <w:color w:val="auto"/>
          <w:spacing w:val="-3"/>
          <w:sz w:val="21"/>
          <w:szCs w:val="21"/>
          <w:highlight w:val="none"/>
        </w:rPr>
        <w:t>未能修复</w:t>
      </w:r>
    </w:p>
    <w:p w14:paraId="479F41F1">
      <w:pPr>
        <w:spacing w:before="147" w:line="352" w:lineRule="auto"/>
        <w:ind w:left="20" w:right="6" w:firstLine="43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因承包人原因造成工程的缺陷或损坏，承包人拒绝维</w:t>
      </w:r>
      <w:r>
        <w:rPr>
          <w:rFonts w:ascii="宋体" w:hAnsi="宋体" w:eastAsia="宋体" w:cs="宋体"/>
          <w:color w:val="auto"/>
          <w:spacing w:val="2"/>
          <w:sz w:val="21"/>
          <w:szCs w:val="21"/>
          <w:highlight w:val="none"/>
        </w:rPr>
        <w:t>修或未能在合理期限内修复缺陷</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或损坏，且经发包人书面催告后仍未修复的， 发</w:t>
      </w:r>
      <w:r>
        <w:rPr>
          <w:rFonts w:ascii="宋体" w:hAnsi="宋体" w:eastAsia="宋体" w:cs="宋体"/>
          <w:color w:val="auto"/>
          <w:spacing w:val="-3"/>
          <w:sz w:val="21"/>
          <w:szCs w:val="21"/>
          <w:highlight w:val="none"/>
        </w:rPr>
        <w:t>包人有权自行修复或委托第三方修复， 所</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需费用由承包人承担。</w:t>
      </w:r>
      <w:r>
        <w:rPr>
          <w:rFonts w:ascii="宋体" w:hAnsi="宋体" w:eastAsia="宋体" w:cs="宋体"/>
          <w:color w:val="auto"/>
          <w:spacing w:val="-19"/>
          <w:sz w:val="21"/>
          <w:szCs w:val="21"/>
          <w:highlight w:val="none"/>
        </w:rPr>
        <w:t xml:space="preserve"> </w:t>
      </w:r>
      <w:r>
        <w:rPr>
          <w:rFonts w:ascii="宋体" w:hAnsi="宋体" w:eastAsia="宋体" w:cs="宋体"/>
          <w:color w:val="auto"/>
          <w:spacing w:val="-2"/>
          <w:sz w:val="21"/>
          <w:szCs w:val="21"/>
          <w:highlight w:val="none"/>
        </w:rPr>
        <w:t>但修复范围超出缺陷或损坏范围的， 超出范围部分的修复费用由发</w:t>
      </w:r>
    </w:p>
    <w:p w14:paraId="60691FD2">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包人承担。</w:t>
      </w:r>
    </w:p>
    <w:p w14:paraId="2078CBC1">
      <w:pPr>
        <w:spacing w:before="152"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15.4.5 </w:t>
      </w:r>
      <w:r>
        <w:rPr>
          <w:rFonts w:ascii="宋体" w:hAnsi="宋体" w:eastAsia="宋体" w:cs="宋体"/>
          <w:color w:val="auto"/>
          <w:spacing w:val="-2"/>
          <w:sz w:val="21"/>
          <w:szCs w:val="21"/>
          <w:highlight w:val="none"/>
        </w:rPr>
        <w:t>承包人出入权</w:t>
      </w:r>
    </w:p>
    <w:p w14:paraId="752E33C1">
      <w:pPr>
        <w:spacing w:before="146" w:line="352" w:lineRule="auto"/>
        <w:ind w:left="17" w:right="3" w:firstLine="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在保修期内，为了修复缺陷或损坏， 承包人有</w:t>
      </w:r>
      <w:r>
        <w:rPr>
          <w:rFonts w:ascii="宋体" w:hAnsi="宋体" w:eastAsia="宋体" w:cs="宋体"/>
          <w:color w:val="auto"/>
          <w:spacing w:val="-3"/>
          <w:sz w:val="21"/>
          <w:szCs w:val="21"/>
          <w:highlight w:val="none"/>
        </w:rPr>
        <w:t>权出入工程现场， 除情况紧急必须立即</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修复缺陷或损坏外， 承包人应提前</w:t>
      </w:r>
      <w:r>
        <w:rPr>
          <w:rFonts w:ascii="宋体" w:hAnsi="宋体" w:eastAsia="宋体" w:cs="宋体"/>
          <w:color w:val="auto"/>
          <w:spacing w:val="-32"/>
          <w:sz w:val="21"/>
          <w:szCs w:val="21"/>
          <w:highlight w:val="none"/>
        </w:rPr>
        <w:t xml:space="preserve"> </w:t>
      </w:r>
      <w:r>
        <w:rPr>
          <w:rFonts w:ascii="Times New Roman" w:hAnsi="Times New Roman" w:eastAsia="Times New Roman" w:cs="Times New Roman"/>
          <w:color w:val="auto"/>
          <w:spacing w:val="-3"/>
          <w:sz w:val="21"/>
          <w:szCs w:val="21"/>
          <w:highlight w:val="none"/>
        </w:rPr>
        <w:t>24</w:t>
      </w:r>
      <w:r>
        <w:rPr>
          <w:rFonts w:ascii="Times New Roman" w:hAnsi="Times New Roman" w:eastAsia="Times New Roman" w:cs="Times New Roman"/>
          <w:color w:val="auto"/>
          <w:spacing w:val="14"/>
          <w:sz w:val="21"/>
          <w:szCs w:val="21"/>
          <w:highlight w:val="none"/>
        </w:rPr>
        <w:t xml:space="preserve"> </w:t>
      </w:r>
      <w:r>
        <w:rPr>
          <w:rFonts w:ascii="宋体" w:hAnsi="宋体" w:eastAsia="宋体" w:cs="宋体"/>
          <w:color w:val="auto"/>
          <w:spacing w:val="-3"/>
          <w:sz w:val="21"/>
          <w:szCs w:val="21"/>
          <w:highlight w:val="none"/>
        </w:rPr>
        <w:t>小时通知发包人进场修复的时间。承包人进入工程现</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场前应获得发包人同意，且不应影响发包人正常的生产经营，并应遵守发包人</w:t>
      </w:r>
      <w:r>
        <w:rPr>
          <w:rFonts w:ascii="宋体" w:hAnsi="宋体" w:eastAsia="宋体" w:cs="宋体"/>
          <w:color w:val="auto"/>
          <w:spacing w:val="2"/>
          <w:sz w:val="21"/>
          <w:szCs w:val="21"/>
          <w:highlight w:val="none"/>
        </w:rPr>
        <w:t>有关保安和</w:t>
      </w:r>
    </w:p>
    <w:p w14:paraId="10DAA992">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保密等规定。</w:t>
      </w:r>
    </w:p>
    <w:p w14:paraId="1C23806E">
      <w:pPr>
        <w:spacing w:before="173" w:line="221" w:lineRule="auto"/>
        <w:ind w:left="39"/>
        <w:rPr>
          <w:rFonts w:ascii="黑体" w:hAnsi="黑体" w:eastAsia="黑体" w:cs="黑体"/>
          <w:color w:val="auto"/>
          <w:sz w:val="32"/>
          <w:szCs w:val="32"/>
          <w:highlight w:val="none"/>
        </w:rPr>
      </w:pPr>
      <w:r>
        <w:rPr>
          <w:rFonts w:ascii="黑体" w:hAnsi="黑体" w:eastAsia="黑体" w:cs="黑体"/>
          <w:color w:val="auto"/>
          <w:spacing w:val="-6"/>
          <w:sz w:val="32"/>
          <w:szCs w:val="32"/>
          <w:highlight w:val="none"/>
        </w:rPr>
        <w:t>16.违约</w:t>
      </w:r>
    </w:p>
    <w:p w14:paraId="2C38B354">
      <w:pPr>
        <w:spacing w:before="148" w:line="218"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16.1 发包人违约</w:t>
      </w:r>
    </w:p>
    <w:p w14:paraId="2090E3B3">
      <w:pPr>
        <w:spacing w:before="130"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16.1.1 </w:t>
      </w:r>
      <w:r>
        <w:rPr>
          <w:rFonts w:ascii="宋体" w:hAnsi="宋体" w:eastAsia="宋体" w:cs="宋体"/>
          <w:color w:val="auto"/>
          <w:spacing w:val="-2"/>
          <w:sz w:val="21"/>
          <w:szCs w:val="21"/>
          <w:highlight w:val="none"/>
        </w:rPr>
        <w:t>发包人违约的情形</w:t>
      </w:r>
    </w:p>
    <w:p w14:paraId="3CB29269">
      <w:pPr>
        <w:spacing w:before="147" w:line="221" w:lineRule="auto"/>
        <w:ind w:left="44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在合同履行过程中发生的下列情形，属于发包人违约：</w:t>
      </w:r>
    </w:p>
    <w:p w14:paraId="59BFDDB1">
      <w:pPr>
        <w:spacing w:before="148" w:line="403" w:lineRule="exact"/>
        <w:ind w:left="447"/>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1</w:t>
      </w:r>
      <w:r>
        <w:rPr>
          <w:rFonts w:ascii="宋体" w:hAnsi="宋体" w:eastAsia="宋体" w:cs="宋体"/>
          <w:color w:val="auto"/>
          <w:spacing w:val="-2"/>
          <w:position w:val="14"/>
          <w:sz w:val="21"/>
          <w:szCs w:val="21"/>
          <w:highlight w:val="none"/>
        </w:rPr>
        <w:t>）因发包人原因未能在计划开工日期前</w:t>
      </w:r>
      <w:r>
        <w:rPr>
          <w:rFonts w:ascii="宋体" w:hAnsi="宋体" w:eastAsia="宋体" w:cs="宋体"/>
          <w:color w:val="auto"/>
          <w:spacing w:val="-37"/>
          <w:position w:val="14"/>
          <w:sz w:val="21"/>
          <w:szCs w:val="21"/>
          <w:highlight w:val="none"/>
        </w:rPr>
        <w:t xml:space="preserve"> </w:t>
      </w:r>
      <w:r>
        <w:rPr>
          <w:rFonts w:ascii="Times New Roman" w:hAnsi="Times New Roman" w:eastAsia="Times New Roman" w:cs="Times New Roman"/>
          <w:color w:val="auto"/>
          <w:spacing w:val="-2"/>
          <w:position w:val="14"/>
          <w:sz w:val="21"/>
          <w:szCs w:val="21"/>
          <w:highlight w:val="none"/>
        </w:rPr>
        <w:t xml:space="preserve">7 </w:t>
      </w:r>
      <w:r>
        <w:rPr>
          <w:rFonts w:ascii="宋体" w:hAnsi="宋体" w:eastAsia="宋体" w:cs="宋体"/>
          <w:color w:val="auto"/>
          <w:spacing w:val="-2"/>
          <w:position w:val="14"/>
          <w:sz w:val="21"/>
          <w:szCs w:val="21"/>
          <w:highlight w:val="none"/>
        </w:rPr>
        <w:t>天内下达开工通知的；</w:t>
      </w:r>
    </w:p>
    <w:p w14:paraId="6C0F67E8">
      <w:pPr>
        <w:spacing w:line="219"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）因发包人原因未能按合同约定支付合同价款的；</w:t>
      </w:r>
    </w:p>
    <w:p w14:paraId="37D26327">
      <w:pPr>
        <w:spacing w:before="149" w:line="398" w:lineRule="exact"/>
        <w:ind w:right="6"/>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3</w:t>
      </w:r>
      <w:r>
        <w:rPr>
          <w:rFonts w:ascii="宋体" w:hAnsi="宋体" w:eastAsia="宋体" w:cs="宋体"/>
          <w:color w:val="auto"/>
          <w:spacing w:val="-1"/>
          <w:position w:val="14"/>
          <w:sz w:val="21"/>
          <w:szCs w:val="21"/>
          <w:highlight w:val="none"/>
        </w:rPr>
        <w:t xml:space="preserve">）发包人违反第 </w:t>
      </w:r>
      <w:r>
        <w:rPr>
          <w:rFonts w:ascii="Times New Roman" w:hAnsi="Times New Roman" w:eastAsia="Times New Roman" w:cs="Times New Roman"/>
          <w:color w:val="auto"/>
          <w:spacing w:val="-1"/>
          <w:position w:val="14"/>
          <w:sz w:val="21"/>
          <w:szCs w:val="21"/>
          <w:highlight w:val="none"/>
        </w:rPr>
        <w:t>10.1</w:t>
      </w:r>
      <w:r>
        <w:rPr>
          <w:rFonts w:ascii="Times New Roman" w:hAnsi="Times New Roman" w:eastAsia="Times New Roman" w:cs="Times New Roman"/>
          <w:color w:val="auto"/>
          <w:spacing w:val="43"/>
          <w:w w:val="101"/>
          <w:position w:val="14"/>
          <w:sz w:val="21"/>
          <w:szCs w:val="21"/>
          <w:highlight w:val="none"/>
        </w:rPr>
        <w:t xml:space="preserve"> </w:t>
      </w:r>
      <w:r>
        <w:rPr>
          <w:rFonts w:ascii="宋体" w:hAnsi="宋体" w:eastAsia="宋体" w:cs="宋体"/>
          <w:color w:val="auto"/>
          <w:spacing w:val="-1"/>
          <w:position w:val="14"/>
          <w:sz w:val="21"/>
          <w:szCs w:val="21"/>
          <w:highlight w:val="none"/>
        </w:rPr>
        <w:t>款〔变更的范围〕第（</w:t>
      </w:r>
      <w:r>
        <w:rPr>
          <w:rFonts w:ascii="Times New Roman" w:hAnsi="Times New Roman" w:eastAsia="Times New Roman" w:cs="Times New Roman"/>
          <w:color w:val="auto"/>
          <w:spacing w:val="-1"/>
          <w:position w:val="14"/>
          <w:sz w:val="21"/>
          <w:szCs w:val="21"/>
          <w:highlight w:val="none"/>
        </w:rPr>
        <w:t>2</w:t>
      </w:r>
      <w:r>
        <w:rPr>
          <w:rFonts w:ascii="宋体" w:hAnsi="宋体" w:eastAsia="宋体" w:cs="宋体"/>
          <w:color w:val="auto"/>
          <w:spacing w:val="-1"/>
          <w:position w:val="14"/>
          <w:sz w:val="21"/>
          <w:szCs w:val="21"/>
          <w:highlight w:val="none"/>
        </w:rPr>
        <w:t>）项约定，自行实施被取消的工作或</w:t>
      </w:r>
    </w:p>
    <w:p w14:paraId="39500090">
      <w:pPr>
        <w:spacing w:before="1" w:line="221" w:lineRule="auto"/>
        <w:ind w:left="1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转由他人实施的；</w:t>
      </w:r>
    </w:p>
    <w:p w14:paraId="0AF05936">
      <w:pPr>
        <w:spacing w:before="152" w:line="220" w:lineRule="auto"/>
        <w:ind w:right="12"/>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4</w:t>
      </w:r>
      <w:r>
        <w:rPr>
          <w:rFonts w:ascii="宋体" w:hAnsi="宋体" w:eastAsia="宋体" w:cs="宋体"/>
          <w:color w:val="auto"/>
          <w:sz w:val="21"/>
          <w:szCs w:val="21"/>
          <w:highlight w:val="none"/>
        </w:rPr>
        <w:t>）发包人提供的材料、工程设备的规格、数量或质量不符合合同约定，或因</w:t>
      </w:r>
      <w:r>
        <w:rPr>
          <w:rFonts w:ascii="宋体" w:hAnsi="宋体" w:eastAsia="宋体" w:cs="宋体"/>
          <w:color w:val="auto"/>
          <w:spacing w:val="-1"/>
          <w:sz w:val="21"/>
          <w:szCs w:val="21"/>
          <w:highlight w:val="none"/>
        </w:rPr>
        <w:t>发包人</w:t>
      </w:r>
    </w:p>
    <w:p w14:paraId="177C0AA6">
      <w:pPr>
        <w:spacing w:line="220" w:lineRule="auto"/>
        <w:rPr>
          <w:rFonts w:ascii="宋体" w:hAnsi="宋体" w:eastAsia="宋体" w:cs="宋体"/>
          <w:color w:val="auto"/>
          <w:sz w:val="21"/>
          <w:szCs w:val="21"/>
          <w:highlight w:val="none"/>
        </w:rPr>
        <w:sectPr>
          <w:footerReference r:id="rId144" w:type="default"/>
          <w:pgSz w:w="11905" w:h="16839"/>
          <w:pgMar w:top="1431" w:right="1785" w:bottom="1004" w:left="1785" w:header="0" w:footer="828" w:gutter="0"/>
          <w:pgNumType w:fmt="decimal"/>
          <w:cols w:space="720" w:num="1"/>
        </w:sectPr>
      </w:pPr>
    </w:p>
    <w:p w14:paraId="65503A1A">
      <w:pPr>
        <w:spacing w:before="149" w:line="220" w:lineRule="auto"/>
        <w:ind w:left="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原因导致交货日期延误或交货地点变更等情况的；</w:t>
      </w:r>
    </w:p>
    <w:p w14:paraId="4FC83FEC">
      <w:pPr>
        <w:spacing w:before="148"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5</w:t>
      </w:r>
      <w:r>
        <w:rPr>
          <w:rFonts w:ascii="宋体" w:hAnsi="宋体" w:eastAsia="宋体" w:cs="宋体"/>
          <w:color w:val="auto"/>
          <w:spacing w:val="-2"/>
          <w:sz w:val="21"/>
          <w:szCs w:val="21"/>
          <w:highlight w:val="none"/>
        </w:rPr>
        <w:t>）因发包人违反合同约定造成暂停施工</w:t>
      </w:r>
      <w:r>
        <w:rPr>
          <w:rFonts w:ascii="宋体" w:hAnsi="宋体" w:eastAsia="宋体" w:cs="宋体"/>
          <w:color w:val="auto"/>
          <w:spacing w:val="-3"/>
          <w:sz w:val="21"/>
          <w:szCs w:val="21"/>
          <w:highlight w:val="none"/>
        </w:rPr>
        <w:t>的；</w:t>
      </w:r>
    </w:p>
    <w:p w14:paraId="7C03FD6C">
      <w:pPr>
        <w:spacing w:before="151" w:line="399"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6</w:t>
      </w:r>
      <w:r>
        <w:rPr>
          <w:rFonts w:ascii="宋体" w:hAnsi="宋体" w:eastAsia="宋体" w:cs="宋体"/>
          <w:color w:val="auto"/>
          <w:position w:val="14"/>
          <w:sz w:val="21"/>
          <w:szCs w:val="21"/>
          <w:highlight w:val="none"/>
        </w:rPr>
        <w:t>）发包人无正当理由没有在约定期限内发出复工指示</w:t>
      </w:r>
      <w:r>
        <w:rPr>
          <w:rFonts w:ascii="宋体" w:hAnsi="宋体" w:eastAsia="宋体" w:cs="宋体"/>
          <w:color w:val="auto"/>
          <w:spacing w:val="-1"/>
          <w:position w:val="14"/>
          <w:sz w:val="21"/>
          <w:szCs w:val="21"/>
          <w:highlight w:val="none"/>
        </w:rPr>
        <w:t>，导致承包人无法复工的；</w:t>
      </w:r>
    </w:p>
    <w:p w14:paraId="6AF0760D">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7</w:t>
      </w:r>
      <w:r>
        <w:rPr>
          <w:rFonts w:ascii="宋体" w:hAnsi="宋体" w:eastAsia="宋体" w:cs="宋体"/>
          <w:color w:val="auto"/>
          <w:spacing w:val="-1"/>
          <w:sz w:val="21"/>
          <w:szCs w:val="21"/>
          <w:highlight w:val="none"/>
        </w:rPr>
        <w:t>）发包人明确表示或者以其行为表明不履行合同主要义务的；</w:t>
      </w:r>
    </w:p>
    <w:p w14:paraId="65A01916">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8</w:t>
      </w:r>
      <w:r>
        <w:rPr>
          <w:rFonts w:ascii="宋体" w:hAnsi="宋体" w:eastAsia="宋体" w:cs="宋体"/>
          <w:color w:val="auto"/>
          <w:spacing w:val="-1"/>
          <w:sz w:val="21"/>
          <w:szCs w:val="21"/>
          <w:highlight w:val="none"/>
        </w:rPr>
        <w:t>）发包人未能按照合同约定履行其他义务的。</w:t>
      </w:r>
    </w:p>
    <w:p w14:paraId="6F386679">
      <w:pPr>
        <w:spacing w:before="153" w:line="350" w:lineRule="auto"/>
        <w:ind w:left="18" w:right="12" w:firstLine="426"/>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发包人发生除本项第（</w:t>
      </w:r>
      <w:r>
        <w:rPr>
          <w:rFonts w:ascii="Times New Roman" w:hAnsi="Times New Roman" w:eastAsia="Times New Roman" w:cs="Times New Roman"/>
          <w:color w:val="auto"/>
          <w:spacing w:val="-4"/>
          <w:sz w:val="21"/>
          <w:szCs w:val="21"/>
          <w:highlight w:val="none"/>
        </w:rPr>
        <w:t>7</w:t>
      </w:r>
      <w:r>
        <w:rPr>
          <w:rFonts w:ascii="宋体" w:hAnsi="宋体" w:eastAsia="宋体" w:cs="宋体"/>
          <w:color w:val="auto"/>
          <w:spacing w:val="-4"/>
          <w:sz w:val="21"/>
          <w:szCs w:val="21"/>
          <w:highlight w:val="none"/>
        </w:rPr>
        <w:t>）目以外的违约情况时，</w:t>
      </w:r>
      <w:r>
        <w:rPr>
          <w:rFonts w:ascii="宋体" w:hAnsi="宋体" w:eastAsia="宋体" w:cs="宋体"/>
          <w:color w:val="auto"/>
          <w:spacing w:val="52"/>
          <w:sz w:val="21"/>
          <w:szCs w:val="21"/>
          <w:highlight w:val="none"/>
        </w:rPr>
        <w:t xml:space="preserve"> </w:t>
      </w:r>
      <w:r>
        <w:rPr>
          <w:rFonts w:ascii="宋体" w:hAnsi="宋体" w:eastAsia="宋体" w:cs="宋体"/>
          <w:color w:val="auto"/>
          <w:spacing w:val="-4"/>
          <w:sz w:val="21"/>
          <w:szCs w:val="21"/>
          <w:highlight w:val="none"/>
        </w:rPr>
        <w:t>承包人可向发包人发出通</w:t>
      </w:r>
      <w:r>
        <w:rPr>
          <w:rFonts w:ascii="宋体" w:hAnsi="宋体" w:eastAsia="宋体" w:cs="宋体"/>
          <w:color w:val="auto"/>
          <w:spacing w:val="-5"/>
          <w:sz w:val="21"/>
          <w:szCs w:val="21"/>
          <w:highlight w:val="none"/>
        </w:rPr>
        <w:t>知，要求发</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包人采取有效措施纠正违约行为。发包人收到承包人通知后</w:t>
      </w:r>
      <w:r>
        <w:rPr>
          <w:rFonts w:ascii="宋体" w:hAnsi="宋体" w:eastAsia="宋体" w:cs="宋体"/>
          <w:color w:val="auto"/>
          <w:spacing w:val="-22"/>
          <w:sz w:val="21"/>
          <w:szCs w:val="21"/>
          <w:highlight w:val="none"/>
        </w:rPr>
        <w:t xml:space="preserve"> </w:t>
      </w:r>
      <w:r>
        <w:rPr>
          <w:rFonts w:ascii="Times New Roman" w:hAnsi="Times New Roman" w:eastAsia="Times New Roman" w:cs="Times New Roman"/>
          <w:color w:val="auto"/>
          <w:spacing w:val="-2"/>
          <w:sz w:val="21"/>
          <w:szCs w:val="21"/>
          <w:highlight w:val="none"/>
        </w:rPr>
        <w:t>28</w:t>
      </w:r>
      <w:r>
        <w:rPr>
          <w:rFonts w:ascii="Times New Roman" w:hAnsi="Times New Roman" w:eastAsia="Times New Roman" w:cs="Times New Roman"/>
          <w:color w:val="auto"/>
          <w:spacing w:val="13"/>
          <w:sz w:val="21"/>
          <w:szCs w:val="21"/>
          <w:highlight w:val="none"/>
        </w:rPr>
        <w:t xml:space="preserve"> </w:t>
      </w:r>
      <w:r>
        <w:rPr>
          <w:rFonts w:ascii="宋体" w:hAnsi="宋体" w:eastAsia="宋体" w:cs="宋体"/>
          <w:color w:val="auto"/>
          <w:spacing w:val="-2"/>
          <w:sz w:val="21"/>
          <w:szCs w:val="21"/>
          <w:highlight w:val="none"/>
        </w:rPr>
        <w:t>天内仍不纠正违约行为的，</w:t>
      </w:r>
    </w:p>
    <w:p w14:paraId="07D7D051">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承包人有权暂停相应部位工程施工，并通知监理人。</w:t>
      </w:r>
    </w:p>
    <w:p w14:paraId="1E47A85A">
      <w:pPr>
        <w:spacing w:before="152"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16.1.2 </w:t>
      </w:r>
      <w:r>
        <w:rPr>
          <w:rFonts w:ascii="宋体" w:hAnsi="宋体" w:eastAsia="宋体" w:cs="宋体"/>
          <w:color w:val="auto"/>
          <w:spacing w:val="-2"/>
          <w:sz w:val="21"/>
          <w:szCs w:val="21"/>
          <w:highlight w:val="none"/>
        </w:rPr>
        <w:t>发包人违约的责任</w:t>
      </w:r>
    </w:p>
    <w:p w14:paraId="2BA13B15">
      <w:pPr>
        <w:spacing w:before="148" w:line="352" w:lineRule="auto"/>
        <w:ind w:left="35" w:right="6" w:firstLine="40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发包人应承担因其违约给承包人增加的费用和（或）延误的工期，并支付承包人合理</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的利润。此外，合同当事人可在专用合同条款中另行约定发包人违约责任的承担方式和计</w:t>
      </w:r>
    </w:p>
    <w:p w14:paraId="352995A1">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算方法。</w:t>
      </w:r>
    </w:p>
    <w:p w14:paraId="7C944E24">
      <w:pPr>
        <w:spacing w:before="148"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16.1.3</w:t>
      </w:r>
      <w:r>
        <w:rPr>
          <w:rFonts w:ascii="Times New Roman" w:hAnsi="Times New Roman" w:eastAsia="Times New Roman" w:cs="Times New Roman"/>
          <w:color w:val="auto"/>
          <w:spacing w:val="27"/>
          <w:w w:val="101"/>
          <w:sz w:val="21"/>
          <w:szCs w:val="21"/>
          <w:highlight w:val="none"/>
        </w:rPr>
        <w:t xml:space="preserve"> </w:t>
      </w:r>
      <w:r>
        <w:rPr>
          <w:rFonts w:ascii="宋体" w:hAnsi="宋体" w:eastAsia="宋体" w:cs="宋体"/>
          <w:color w:val="auto"/>
          <w:spacing w:val="-3"/>
          <w:sz w:val="21"/>
          <w:szCs w:val="21"/>
          <w:highlight w:val="none"/>
        </w:rPr>
        <w:t>因发包人违约解除合同</w:t>
      </w:r>
    </w:p>
    <w:p w14:paraId="5BCD485F">
      <w:pPr>
        <w:spacing w:before="146" w:line="352" w:lineRule="auto"/>
        <w:ind w:left="20" w:right="5" w:firstLine="43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除专用合同条款另有约定外，承包人按第</w:t>
      </w:r>
      <w:r>
        <w:rPr>
          <w:rFonts w:ascii="宋体" w:hAnsi="宋体" w:eastAsia="宋体" w:cs="宋体"/>
          <w:color w:val="auto"/>
          <w:spacing w:val="43"/>
          <w:sz w:val="21"/>
          <w:szCs w:val="21"/>
          <w:highlight w:val="none"/>
        </w:rPr>
        <w:t xml:space="preserve"> </w:t>
      </w:r>
      <w:r>
        <w:rPr>
          <w:rFonts w:ascii="Times New Roman" w:hAnsi="Times New Roman" w:eastAsia="Times New Roman" w:cs="Times New Roman"/>
          <w:color w:val="auto"/>
          <w:spacing w:val="-1"/>
          <w:sz w:val="21"/>
          <w:szCs w:val="21"/>
          <w:highlight w:val="none"/>
        </w:rPr>
        <w:t>16.1.1</w:t>
      </w:r>
      <w:r>
        <w:rPr>
          <w:rFonts w:ascii="Times New Roman" w:hAnsi="Times New Roman" w:eastAsia="Times New Roman" w:cs="Times New Roman"/>
          <w:color w:val="auto"/>
          <w:spacing w:val="46"/>
          <w:sz w:val="21"/>
          <w:szCs w:val="21"/>
          <w:highlight w:val="none"/>
        </w:rPr>
        <w:t xml:space="preserve"> </w:t>
      </w:r>
      <w:r>
        <w:rPr>
          <w:rFonts w:ascii="宋体" w:hAnsi="宋体" w:eastAsia="宋体" w:cs="宋体"/>
          <w:color w:val="auto"/>
          <w:spacing w:val="-1"/>
          <w:sz w:val="21"/>
          <w:szCs w:val="21"/>
          <w:highlight w:val="none"/>
        </w:rPr>
        <w:t>项〔发包人违约的情形〕约定暂停施</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工满</w:t>
      </w:r>
      <w:r>
        <w:rPr>
          <w:rFonts w:ascii="宋体" w:hAnsi="宋体" w:eastAsia="宋体" w:cs="宋体"/>
          <w:color w:val="auto"/>
          <w:spacing w:val="-29"/>
          <w:sz w:val="21"/>
          <w:szCs w:val="21"/>
          <w:highlight w:val="none"/>
        </w:rPr>
        <w:t xml:space="preserve"> </w:t>
      </w:r>
      <w:r>
        <w:rPr>
          <w:rFonts w:ascii="Times New Roman" w:hAnsi="Times New Roman" w:eastAsia="Times New Roman" w:cs="Times New Roman"/>
          <w:color w:val="auto"/>
          <w:spacing w:val="-4"/>
          <w:sz w:val="21"/>
          <w:szCs w:val="21"/>
          <w:highlight w:val="none"/>
        </w:rPr>
        <w:t>28</w:t>
      </w:r>
      <w:r>
        <w:rPr>
          <w:rFonts w:ascii="Times New Roman" w:hAnsi="Times New Roman" w:eastAsia="Times New Roman" w:cs="Times New Roman"/>
          <w:color w:val="auto"/>
          <w:spacing w:val="13"/>
          <w:sz w:val="21"/>
          <w:szCs w:val="21"/>
          <w:highlight w:val="none"/>
        </w:rPr>
        <w:t xml:space="preserve"> </w:t>
      </w:r>
      <w:r>
        <w:rPr>
          <w:rFonts w:ascii="宋体" w:hAnsi="宋体" w:eastAsia="宋体" w:cs="宋体"/>
          <w:color w:val="auto"/>
          <w:spacing w:val="-4"/>
          <w:sz w:val="21"/>
          <w:szCs w:val="21"/>
          <w:highlight w:val="none"/>
        </w:rPr>
        <w:t xml:space="preserve">天后，发包人仍不纠正其违约行为并致使合同目的不能实现的， 或出现第 </w:t>
      </w:r>
      <w:r>
        <w:rPr>
          <w:rFonts w:ascii="Times New Roman" w:hAnsi="Times New Roman" w:eastAsia="Times New Roman" w:cs="Times New Roman"/>
          <w:color w:val="auto"/>
          <w:spacing w:val="-4"/>
          <w:sz w:val="21"/>
          <w:szCs w:val="21"/>
          <w:highlight w:val="none"/>
        </w:rPr>
        <w:t xml:space="preserve">16.1.1 </w:t>
      </w:r>
      <w:r>
        <w:rPr>
          <w:rFonts w:ascii="宋体" w:hAnsi="宋体" w:eastAsia="宋体" w:cs="宋体"/>
          <w:color w:val="auto"/>
          <w:spacing w:val="-4"/>
          <w:sz w:val="21"/>
          <w:szCs w:val="21"/>
          <w:highlight w:val="none"/>
        </w:rPr>
        <w:t>项</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〔发包人违约的情形〕第（</w:t>
      </w:r>
      <w:r>
        <w:rPr>
          <w:rFonts w:ascii="Times New Roman" w:hAnsi="Times New Roman" w:eastAsia="Times New Roman" w:cs="Times New Roman"/>
          <w:color w:val="auto"/>
          <w:spacing w:val="-2"/>
          <w:sz w:val="21"/>
          <w:szCs w:val="21"/>
          <w:highlight w:val="none"/>
        </w:rPr>
        <w:t>7</w:t>
      </w:r>
      <w:r>
        <w:rPr>
          <w:rFonts w:ascii="宋体" w:hAnsi="宋体" w:eastAsia="宋体" w:cs="宋体"/>
          <w:color w:val="auto"/>
          <w:spacing w:val="-2"/>
          <w:sz w:val="21"/>
          <w:szCs w:val="21"/>
          <w:highlight w:val="none"/>
        </w:rPr>
        <w:t>）目约定的违约情况，</w:t>
      </w:r>
      <w:r>
        <w:rPr>
          <w:rFonts w:ascii="宋体" w:hAnsi="宋体" w:eastAsia="宋体" w:cs="宋体"/>
          <w:color w:val="auto"/>
          <w:spacing w:val="-17"/>
          <w:sz w:val="21"/>
          <w:szCs w:val="21"/>
          <w:highlight w:val="none"/>
        </w:rPr>
        <w:t xml:space="preserve"> </w:t>
      </w:r>
      <w:r>
        <w:rPr>
          <w:rFonts w:ascii="宋体" w:hAnsi="宋体" w:eastAsia="宋体" w:cs="宋体"/>
          <w:color w:val="auto"/>
          <w:spacing w:val="-2"/>
          <w:sz w:val="21"/>
          <w:szCs w:val="21"/>
          <w:highlight w:val="none"/>
        </w:rPr>
        <w:t>承包人有权解除合同，发包人应承担由</w:t>
      </w:r>
    </w:p>
    <w:p w14:paraId="68861A4D">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此增加的费用，并支付承包人合理的利润。</w:t>
      </w:r>
    </w:p>
    <w:p w14:paraId="16ECC0DB">
      <w:pPr>
        <w:spacing w:before="152"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16.1.4</w:t>
      </w:r>
      <w:r>
        <w:rPr>
          <w:rFonts w:ascii="Times New Roman" w:hAnsi="Times New Roman" w:eastAsia="Times New Roman" w:cs="Times New Roman"/>
          <w:color w:val="auto"/>
          <w:spacing w:val="39"/>
          <w:w w:val="101"/>
          <w:sz w:val="21"/>
          <w:szCs w:val="21"/>
          <w:highlight w:val="none"/>
        </w:rPr>
        <w:t xml:space="preserve"> </w:t>
      </w:r>
      <w:r>
        <w:rPr>
          <w:rFonts w:ascii="宋体" w:hAnsi="宋体" w:eastAsia="宋体" w:cs="宋体"/>
          <w:color w:val="auto"/>
          <w:spacing w:val="-3"/>
          <w:sz w:val="21"/>
          <w:szCs w:val="21"/>
          <w:highlight w:val="none"/>
        </w:rPr>
        <w:t>因发包人违约解除合同后的付款</w:t>
      </w:r>
    </w:p>
    <w:p w14:paraId="727F6480">
      <w:pPr>
        <w:spacing w:before="147" w:line="399" w:lineRule="exact"/>
        <w:ind w:right="6"/>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承包人按照本款约定解除合同的，发包人应在解除合同后</w:t>
      </w:r>
      <w:r>
        <w:rPr>
          <w:rFonts w:ascii="宋体" w:hAnsi="宋体" w:eastAsia="宋体" w:cs="宋体"/>
          <w:color w:val="auto"/>
          <w:spacing w:val="-31"/>
          <w:position w:val="14"/>
          <w:sz w:val="21"/>
          <w:szCs w:val="21"/>
          <w:highlight w:val="none"/>
        </w:rPr>
        <w:t xml:space="preserve"> </w:t>
      </w:r>
      <w:r>
        <w:rPr>
          <w:rFonts w:ascii="Times New Roman" w:hAnsi="Times New Roman" w:eastAsia="Times New Roman" w:cs="Times New Roman"/>
          <w:color w:val="auto"/>
          <w:position w:val="14"/>
          <w:sz w:val="21"/>
          <w:szCs w:val="21"/>
          <w:highlight w:val="none"/>
        </w:rPr>
        <w:t>2</w:t>
      </w:r>
      <w:r>
        <w:rPr>
          <w:rFonts w:ascii="Times New Roman" w:hAnsi="Times New Roman" w:eastAsia="Times New Roman" w:cs="Times New Roman"/>
          <w:color w:val="auto"/>
          <w:spacing w:val="-1"/>
          <w:position w:val="14"/>
          <w:sz w:val="21"/>
          <w:szCs w:val="21"/>
          <w:highlight w:val="none"/>
        </w:rPr>
        <w:t xml:space="preserve">8 </w:t>
      </w:r>
      <w:r>
        <w:rPr>
          <w:rFonts w:ascii="宋体" w:hAnsi="宋体" w:eastAsia="宋体" w:cs="宋体"/>
          <w:color w:val="auto"/>
          <w:spacing w:val="-1"/>
          <w:position w:val="14"/>
          <w:sz w:val="21"/>
          <w:szCs w:val="21"/>
          <w:highlight w:val="none"/>
        </w:rPr>
        <w:t>天内支付下列款项，并解</w:t>
      </w:r>
    </w:p>
    <w:p w14:paraId="0AAAC133">
      <w:pPr>
        <w:spacing w:line="220" w:lineRule="auto"/>
        <w:ind w:left="3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除履约担保：</w:t>
      </w:r>
    </w:p>
    <w:p w14:paraId="102ADC03">
      <w:pPr>
        <w:spacing w:before="153" w:line="219"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）合同解除前所完成工作的价款；</w:t>
      </w:r>
    </w:p>
    <w:p w14:paraId="50EB496C">
      <w:pPr>
        <w:spacing w:before="149" w:line="399"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2</w:t>
      </w:r>
      <w:r>
        <w:rPr>
          <w:rFonts w:ascii="宋体" w:hAnsi="宋体" w:eastAsia="宋体" w:cs="宋体"/>
          <w:color w:val="auto"/>
          <w:spacing w:val="-1"/>
          <w:position w:val="14"/>
          <w:sz w:val="21"/>
          <w:szCs w:val="21"/>
          <w:highlight w:val="none"/>
        </w:rPr>
        <w:t>）承包人为工程施工订购并已付款的材料、工程设备和其他物品</w:t>
      </w:r>
      <w:r>
        <w:rPr>
          <w:rFonts w:ascii="宋体" w:hAnsi="宋体" w:eastAsia="宋体" w:cs="宋体"/>
          <w:color w:val="auto"/>
          <w:spacing w:val="-2"/>
          <w:position w:val="14"/>
          <w:sz w:val="21"/>
          <w:szCs w:val="21"/>
          <w:highlight w:val="none"/>
        </w:rPr>
        <w:t>的价款；</w:t>
      </w:r>
    </w:p>
    <w:p w14:paraId="1A674E6F">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）承包人撤离施工现场以及遣散承包人人员的款项；</w:t>
      </w:r>
    </w:p>
    <w:p w14:paraId="4716140A">
      <w:pPr>
        <w:spacing w:before="153" w:line="398" w:lineRule="exact"/>
        <w:ind w:left="447"/>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4</w:t>
      </w:r>
      <w:r>
        <w:rPr>
          <w:rFonts w:ascii="宋体" w:hAnsi="宋体" w:eastAsia="宋体" w:cs="宋体"/>
          <w:color w:val="auto"/>
          <w:spacing w:val="-2"/>
          <w:position w:val="14"/>
          <w:sz w:val="21"/>
          <w:szCs w:val="21"/>
          <w:highlight w:val="none"/>
        </w:rPr>
        <w:t>）按照合同约定在合同解除前应支付的违约金；</w:t>
      </w:r>
    </w:p>
    <w:p w14:paraId="6755D005">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5</w:t>
      </w:r>
      <w:r>
        <w:rPr>
          <w:rFonts w:ascii="宋体" w:hAnsi="宋体" w:eastAsia="宋体" w:cs="宋体"/>
          <w:color w:val="auto"/>
          <w:spacing w:val="-2"/>
          <w:sz w:val="21"/>
          <w:szCs w:val="21"/>
          <w:highlight w:val="none"/>
        </w:rPr>
        <w:t>）按照合同约定应当支付给承包人的其他款项；</w:t>
      </w:r>
    </w:p>
    <w:p w14:paraId="6BD07D7F">
      <w:pPr>
        <w:spacing w:before="148" w:line="403"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6</w:t>
      </w:r>
      <w:r>
        <w:rPr>
          <w:rFonts w:ascii="宋体" w:hAnsi="宋体" w:eastAsia="宋体" w:cs="宋体"/>
          <w:color w:val="auto"/>
          <w:spacing w:val="-1"/>
          <w:position w:val="14"/>
          <w:sz w:val="21"/>
          <w:szCs w:val="21"/>
          <w:highlight w:val="none"/>
        </w:rPr>
        <w:t>）按照合同约定应退还的质量保证金；</w:t>
      </w:r>
    </w:p>
    <w:p w14:paraId="423002A6">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7</w:t>
      </w:r>
      <w:r>
        <w:rPr>
          <w:rFonts w:ascii="宋体" w:hAnsi="宋体" w:eastAsia="宋体" w:cs="宋体"/>
          <w:color w:val="auto"/>
          <w:spacing w:val="-2"/>
          <w:sz w:val="21"/>
          <w:szCs w:val="21"/>
          <w:highlight w:val="none"/>
        </w:rPr>
        <w:t>）因解除合同给承包人造成的损失。</w:t>
      </w:r>
    </w:p>
    <w:p w14:paraId="32BBFBFC">
      <w:pPr>
        <w:spacing w:before="147" w:line="399" w:lineRule="exact"/>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合同当事人未能就解除合同后的结清达成一致的，按照第</w:t>
      </w:r>
      <w:r>
        <w:rPr>
          <w:rFonts w:ascii="宋体" w:hAnsi="宋体" w:eastAsia="宋体" w:cs="宋体"/>
          <w:color w:val="auto"/>
          <w:spacing w:val="-31"/>
          <w:position w:val="14"/>
          <w:sz w:val="21"/>
          <w:szCs w:val="21"/>
          <w:highlight w:val="none"/>
        </w:rPr>
        <w:t xml:space="preserve"> </w:t>
      </w:r>
      <w:r>
        <w:rPr>
          <w:rFonts w:ascii="Times New Roman" w:hAnsi="Times New Roman" w:eastAsia="Times New Roman" w:cs="Times New Roman"/>
          <w:color w:val="auto"/>
          <w:position w:val="14"/>
          <w:sz w:val="21"/>
          <w:szCs w:val="21"/>
          <w:highlight w:val="none"/>
        </w:rPr>
        <w:t xml:space="preserve">20 </w:t>
      </w:r>
      <w:r>
        <w:rPr>
          <w:rFonts w:ascii="宋体" w:hAnsi="宋体" w:eastAsia="宋体" w:cs="宋体"/>
          <w:color w:val="auto"/>
          <w:position w:val="14"/>
          <w:sz w:val="21"/>
          <w:szCs w:val="21"/>
          <w:highlight w:val="none"/>
        </w:rPr>
        <w:t>条〔争</w:t>
      </w:r>
      <w:r>
        <w:rPr>
          <w:rFonts w:ascii="宋体" w:hAnsi="宋体" w:eastAsia="宋体" w:cs="宋体"/>
          <w:color w:val="auto"/>
          <w:spacing w:val="-1"/>
          <w:position w:val="14"/>
          <w:sz w:val="21"/>
          <w:szCs w:val="21"/>
          <w:highlight w:val="none"/>
        </w:rPr>
        <w:t>议解决〕的约定处</w:t>
      </w:r>
    </w:p>
    <w:p w14:paraId="35301F86">
      <w:pPr>
        <w:spacing w:line="230" w:lineRule="auto"/>
        <w:ind w:left="20"/>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理。</w:t>
      </w:r>
    </w:p>
    <w:p w14:paraId="0D96E872">
      <w:pPr>
        <w:spacing w:before="141" w:line="220" w:lineRule="auto"/>
        <w:ind w:right="12"/>
        <w:jc w:val="right"/>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承包人应妥善做好已完工程和与工程有关的已购材料、工程设备的保护和移交</w:t>
      </w:r>
      <w:r>
        <w:rPr>
          <w:rFonts w:ascii="宋体" w:hAnsi="宋体" w:eastAsia="宋体" w:cs="宋体"/>
          <w:color w:val="auto"/>
          <w:spacing w:val="2"/>
          <w:sz w:val="21"/>
          <w:szCs w:val="21"/>
          <w:highlight w:val="none"/>
        </w:rPr>
        <w:t>工作，</w:t>
      </w:r>
    </w:p>
    <w:p w14:paraId="05B9DAF4">
      <w:pPr>
        <w:spacing w:before="149" w:line="220" w:lineRule="auto"/>
        <w:ind w:left="23"/>
        <w:rPr>
          <w:rFonts w:ascii="宋体" w:hAnsi="宋体" w:eastAsia="宋体" w:cs="宋体"/>
          <w:color w:val="auto"/>
          <w:sz w:val="21"/>
          <w:szCs w:val="21"/>
          <w:highlight w:val="none"/>
        </w:rPr>
      </w:pPr>
      <w:r>
        <w:rPr>
          <w:rFonts w:ascii="宋体" w:hAnsi="宋体" w:eastAsia="宋体" w:cs="宋体"/>
          <w:color w:val="auto"/>
          <w:sz w:val="21"/>
          <w:szCs w:val="21"/>
          <w:highlight w:val="none"/>
        </w:rPr>
        <w:t>并将施工设备和人员撤出施工现场，发包人应为承包</w:t>
      </w:r>
      <w:r>
        <w:rPr>
          <w:rFonts w:ascii="宋体" w:hAnsi="宋体" w:eastAsia="宋体" w:cs="宋体"/>
          <w:color w:val="auto"/>
          <w:spacing w:val="-1"/>
          <w:sz w:val="21"/>
          <w:szCs w:val="21"/>
          <w:highlight w:val="none"/>
        </w:rPr>
        <w:t>人撤出提供必要条件。</w:t>
      </w:r>
    </w:p>
    <w:p w14:paraId="7381C4C4">
      <w:pPr>
        <w:spacing w:before="46" w:line="220"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16.2 承包人违约</w:t>
      </w:r>
    </w:p>
    <w:p w14:paraId="0CC949D3">
      <w:pPr>
        <w:spacing w:before="12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16.2.1 </w:t>
      </w:r>
      <w:r>
        <w:rPr>
          <w:rFonts w:ascii="宋体" w:hAnsi="宋体" w:eastAsia="宋体" w:cs="宋体"/>
          <w:color w:val="auto"/>
          <w:spacing w:val="-2"/>
          <w:sz w:val="21"/>
          <w:szCs w:val="21"/>
          <w:highlight w:val="none"/>
        </w:rPr>
        <w:t>承包人违约的情形</w:t>
      </w:r>
    </w:p>
    <w:p w14:paraId="7D69050E">
      <w:pPr>
        <w:spacing w:before="153" w:line="399" w:lineRule="exact"/>
        <w:ind w:left="440"/>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在合同履行过程中发生的下列情形，属于承包人违约：</w:t>
      </w:r>
    </w:p>
    <w:p w14:paraId="123C1E47">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）承包人违反合同约定进行转包或违法分包的；</w:t>
      </w:r>
    </w:p>
    <w:p w14:paraId="457566F4">
      <w:pPr>
        <w:spacing w:line="220" w:lineRule="auto"/>
        <w:rPr>
          <w:rFonts w:ascii="宋体" w:hAnsi="宋体" w:eastAsia="宋体" w:cs="宋体"/>
          <w:color w:val="auto"/>
          <w:sz w:val="21"/>
          <w:szCs w:val="21"/>
          <w:highlight w:val="none"/>
        </w:rPr>
        <w:sectPr>
          <w:footerReference r:id="rId145" w:type="default"/>
          <w:pgSz w:w="11905" w:h="16839"/>
          <w:pgMar w:top="1431" w:right="1785" w:bottom="1004" w:left="1785" w:header="0" w:footer="828" w:gutter="0"/>
          <w:pgNumType w:fmt="decimal"/>
          <w:cols w:space="720" w:num="1"/>
        </w:sectPr>
      </w:pPr>
    </w:p>
    <w:p w14:paraId="63BB05D2">
      <w:pPr>
        <w:spacing w:before="149" w:line="398"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2</w:t>
      </w:r>
      <w:r>
        <w:rPr>
          <w:rFonts w:ascii="宋体" w:hAnsi="宋体" w:eastAsia="宋体" w:cs="宋体"/>
          <w:color w:val="auto"/>
          <w:spacing w:val="-1"/>
          <w:position w:val="14"/>
          <w:sz w:val="21"/>
          <w:szCs w:val="21"/>
          <w:highlight w:val="none"/>
        </w:rPr>
        <w:t>）承包人违反合同约定采购和使用不合格的材</w:t>
      </w:r>
      <w:r>
        <w:rPr>
          <w:rFonts w:ascii="宋体" w:hAnsi="宋体" w:eastAsia="宋体" w:cs="宋体"/>
          <w:color w:val="auto"/>
          <w:spacing w:val="-2"/>
          <w:position w:val="14"/>
          <w:sz w:val="21"/>
          <w:szCs w:val="21"/>
          <w:highlight w:val="none"/>
        </w:rPr>
        <w:t>料和工程设备的；</w:t>
      </w:r>
    </w:p>
    <w:p w14:paraId="564C8DFC">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）因承包人原因导致工程质量不符合合同要求的；</w:t>
      </w:r>
    </w:p>
    <w:p w14:paraId="70597F0D">
      <w:pPr>
        <w:spacing w:before="152" w:line="399" w:lineRule="exact"/>
        <w:jc w:val="right"/>
        <w:rPr>
          <w:rFonts w:ascii="宋体" w:hAnsi="宋体" w:eastAsia="宋体" w:cs="宋体"/>
          <w:color w:val="auto"/>
          <w:sz w:val="21"/>
          <w:szCs w:val="21"/>
          <w:highlight w:val="none"/>
        </w:rPr>
      </w:pPr>
      <w:r>
        <w:rPr>
          <w:rFonts w:ascii="宋体" w:hAnsi="宋体" w:eastAsia="宋体" w:cs="宋体"/>
          <w:color w:val="auto"/>
          <w:spacing w:val="-6"/>
          <w:position w:val="14"/>
          <w:sz w:val="21"/>
          <w:szCs w:val="21"/>
          <w:highlight w:val="none"/>
        </w:rPr>
        <w:t>（</w:t>
      </w:r>
      <w:r>
        <w:rPr>
          <w:rFonts w:ascii="Times New Roman" w:hAnsi="Times New Roman" w:eastAsia="Times New Roman" w:cs="Times New Roman"/>
          <w:color w:val="auto"/>
          <w:spacing w:val="-6"/>
          <w:position w:val="14"/>
          <w:sz w:val="21"/>
          <w:szCs w:val="21"/>
          <w:highlight w:val="none"/>
        </w:rPr>
        <w:t>4</w:t>
      </w:r>
      <w:r>
        <w:rPr>
          <w:rFonts w:ascii="宋体" w:hAnsi="宋体" w:eastAsia="宋体" w:cs="宋体"/>
          <w:color w:val="auto"/>
          <w:spacing w:val="-6"/>
          <w:position w:val="14"/>
          <w:sz w:val="21"/>
          <w:szCs w:val="21"/>
          <w:highlight w:val="none"/>
        </w:rPr>
        <w:t xml:space="preserve">）承包人违反第 </w:t>
      </w:r>
      <w:r>
        <w:rPr>
          <w:rFonts w:ascii="Times New Roman" w:hAnsi="Times New Roman" w:eastAsia="Times New Roman" w:cs="Times New Roman"/>
          <w:color w:val="auto"/>
          <w:spacing w:val="-6"/>
          <w:position w:val="14"/>
          <w:sz w:val="21"/>
          <w:szCs w:val="21"/>
          <w:highlight w:val="none"/>
        </w:rPr>
        <w:t>8.9</w:t>
      </w:r>
      <w:r>
        <w:rPr>
          <w:rFonts w:ascii="Times New Roman" w:hAnsi="Times New Roman" w:eastAsia="Times New Roman" w:cs="Times New Roman"/>
          <w:color w:val="auto"/>
          <w:spacing w:val="50"/>
          <w:position w:val="14"/>
          <w:sz w:val="21"/>
          <w:szCs w:val="21"/>
          <w:highlight w:val="none"/>
        </w:rPr>
        <w:t xml:space="preserve"> </w:t>
      </w:r>
      <w:r>
        <w:rPr>
          <w:rFonts w:ascii="宋体" w:hAnsi="宋体" w:eastAsia="宋体" w:cs="宋体"/>
          <w:color w:val="auto"/>
          <w:spacing w:val="-6"/>
          <w:position w:val="14"/>
          <w:sz w:val="21"/>
          <w:szCs w:val="21"/>
          <w:highlight w:val="none"/>
        </w:rPr>
        <w:t>款〔材料与设备专用要求〕 的约定，未经批准， 私自将已按照</w:t>
      </w:r>
    </w:p>
    <w:p w14:paraId="3BC2C417">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合同约定进入施工现场的材料或设备撤离施工现场的；</w:t>
      </w:r>
    </w:p>
    <w:p w14:paraId="5DE53FE6">
      <w:pPr>
        <w:spacing w:before="148"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5</w:t>
      </w:r>
      <w:r>
        <w:rPr>
          <w:rFonts w:ascii="宋体" w:hAnsi="宋体" w:eastAsia="宋体" w:cs="宋体"/>
          <w:color w:val="auto"/>
          <w:spacing w:val="-1"/>
          <w:sz w:val="21"/>
          <w:szCs w:val="21"/>
          <w:highlight w:val="none"/>
        </w:rPr>
        <w:t>）承包人未能按施工进度计划及时完成合同约定的</w:t>
      </w:r>
      <w:r>
        <w:rPr>
          <w:rFonts w:ascii="宋体" w:hAnsi="宋体" w:eastAsia="宋体" w:cs="宋体"/>
          <w:color w:val="auto"/>
          <w:spacing w:val="-2"/>
          <w:sz w:val="21"/>
          <w:szCs w:val="21"/>
          <w:highlight w:val="none"/>
        </w:rPr>
        <w:t>工作，造成工期延误的；</w:t>
      </w:r>
    </w:p>
    <w:p w14:paraId="0265F937">
      <w:pPr>
        <w:spacing w:before="152" w:line="399" w:lineRule="exact"/>
        <w:ind w:right="12"/>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6</w:t>
      </w:r>
      <w:r>
        <w:rPr>
          <w:rFonts w:ascii="宋体" w:hAnsi="宋体" w:eastAsia="宋体" w:cs="宋体"/>
          <w:color w:val="auto"/>
          <w:position w:val="14"/>
          <w:sz w:val="21"/>
          <w:szCs w:val="21"/>
          <w:highlight w:val="none"/>
        </w:rPr>
        <w:t>）承包人在缺陷责任期及保修期内，未能在合理期限对工程缺陷进行修复</w:t>
      </w:r>
      <w:r>
        <w:rPr>
          <w:rFonts w:ascii="宋体" w:hAnsi="宋体" w:eastAsia="宋体" w:cs="宋体"/>
          <w:color w:val="auto"/>
          <w:spacing w:val="-1"/>
          <w:position w:val="14"/>
          <w:sz w:val="21"/>
          <w:szCs w:val="21"/>
          <w:highlight w:val="none"/>
        </w:rPr>
        <w:t>，或拒绝</w:t>
      </w:r>
    </w:p>
    <w:p w14:paraId="31014B41">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按发包人要求进行修复的；</w:t>
      </w:r>
    </w:p>
    <w:p w14:paraId="13D1D529">
      <w:pPr>
        <w:spacing w:before="148" w:line="403" w:lineRule="exact"/>
        <w:ind w:left="447"/>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7</w:t>
      </w:r>
      <w:r>
        <w:rPr>
          <w:rFonts w:ascii="宋体" w:hAnsi="宋体" w:eastAsia="宋体" w:cs="宋体"/>
          <w:color w:val="auto"/>
          <w:spacing w:val="-1"/>
          <w:position w:val="14"/>
          <w:sz w:val="21"/>
          <w:szCs w:val="21"/>
          <w:highlight w:val="none"/>
        </w:rPr>
        <w:t>）承包人明确表示或者以其行为表明不履行合同主要义务的；</w:t>
      </w:r>
    </w:p>
    <w:p w14:paraId="04F322AB">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8</w:t>
      </w:r>
      <w:r>
        <w:rPr>
          <w:rFonts w:ascii="宋体" w:hAnsi="宋体" w:eastAsia="宋体" w:cs="宋体"/>
          <w:color w:val="auto"/>
          <w:spacing w:val="-1"/>
          <w:sz w:val="21"/>
          <w:szCs w:val="21"/>
          <w:highlight w:val="none"/>
        </w:rPr>
        <w:t>）承包人未能按照合同约定履行其他义务的。</w:t>
      </w:r>
    </w:p>
    <w:p w14:paraId="62EEA47B">
      <w:pPr>
        <w:spacing w:before="148" w:line="398" w:lineRule="exact"/>
        <w:ind w:right="10"/>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承包人发生除本项第（</w:t>
      </w:r>
      <w:r>
        <w:rPr>
          <w:rFonts w:ascii="Times New Roman" w:hAnsi="Times New Roman" w:eastAsia="Times New Roman" w:cs="Times New Roman"/>
          <w:color w:val="auto"/>
          <w:position w:val="14"/>
          <w:sz w:val="21"/>
          <w:szCs w:val="21"/>
          <w:highlight w:val="none"/>
        </w:rPr>
        <w:t>7</w:t>
      </w:r>
      <w:r>
        <w:rPr>
          <w:rFonts w:ascii="宋体" w:hAnsi="宋体" w:eastAsia="宋体" w:cs="宋体"/>
          <w:color w:val="auto"/>
          <w:position w:val="14"/>
          <w:sz w:val="21"/>
          <w:szCs w:val="21"/>
          <w:highlight w:val="none"/>
        </w:rPr>
        <w:t>）目约定以外的其他违约情况时，监理人可向承包人发出整改</w:t>
      </w:r>
    </w:p>
    <w:p w14:paraId="04207E55">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通知，要求其在指定的期限内改正。</w:t>
      </w:r>
    </w:p>
    <w:p w14:paraId="38F91223">
      <w:pPr>
        <w:spacing w:before="151"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16.2.2 </w:t>
      </w:r>
      <w:r>
        <w:rPr>
          <w:rFonts w:ascii="宋体" w:hAnsi="宋体" w:eastAsia="宋体" w:cs="宋体"/>
          <w:color w:val="auto"/>
          <w:spacing w:val="-2"/>
          <w:sz w:val="21"/>
          <w:szCs w:val="21"/>
          <w:highlight w:val="none"/>
        </w:rPr>
        <w:t>承包人违约的责任</w:t>
      </w:r>
    </w:p>
    <w:p w14:paraId="1251208C">
      <w:pPr>
        <w:spacing w:before="149" w:line="398" w:lineRule="exact"/>
        <w:ind w:right="2"/>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承包人应承担因其违约行为而增加的费用和（或）延误的工期。此外，合同当事人可</w:t>
      </w:r>
    </w:p>
    <w:p w14:paraId="64E3778E">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在专用合同条款中另行约定承包人违约责任的承担方式和计算方法。</w:t>
      </w:r>
    </w:p>
    <w:p w14:paraId="235A657B">
      <w:pPr>
        <w:spacing w:before="151"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16.2.3</w:t>
      </w:r>
      <w:r>
        <w:rPr>
          <w:rFonts w:ascii="Times New Roman" w:hAnsi="Times New Roman" w:eastAsia="Times New Roman" w:cs="Times New Roman"/>
          <w:color w:val="auto"/>
          <w:spacing w:val="27"/>
          <w:w w:val="101"/>
          <w:sz w:val="21"/>
          <w:szCs w:val="21"/>
          <w:highlight w:val="none"/>
        </w:rPr>
        <w:t xml:space="preserve"> </w:t>
      </w:r>
      <w:r>
        <w:rPr>
          <w:rFonts w:ascii="宋体" w:hAnsi="宋体" w:eastAsia="宋体" w:cs="宋体"/>
          <w:color w:val="auto"/>
          <w:spacing w:val="-3"/>
          <w:sz w:val="21"/>
          <w:szCs w:val="21"/>
          <w:highlight w:val="none"/>
        </w:rPr>
        <w:t>因承包人违约解除合同</w:t>
      </w:r>
    </w:p>
    <w:p w14:paraId="57679E31">
      <w:pPr>
        <w:spacing w:before="148" w:line="352" w:lineRule="auto"/>
        <w:ind w:left="18" w:right="5" w:firstLine="43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除专用合同条款另有约定外，</w:t>
      </w:r>
      <w:r>
        <w:rPr>
          <w:rFonts w:ascii="宋体" w:hAnsi="宋体" w:eastAsia="宋体" w:cs="宋体"/>
          <w:color w:val="auto"/>
          <w:spacing w:val="37"/>
          <w:sz w:val="21"/>
          <w:szCs w:val="21"/>
          <w:highlight w:val="none"/>
        </w:rPr>
        <w:t xml:space="preserve"> </w:t>
      </w:r>
      <w:r>
        <w:rPr>
          <w:rFonts w:ascii="宋体" w:hAnsi="宋体" w:eastAsia="宋体" w:cs="宋体"/>
          <w:color w:val="auto"/>
          <w:spacing w:val="-5"/>
          <w:sz w:val="21"/>
          <w:szCs w:val="21"/>
          <w:highlight w:val="none"/>
        </w:rPr>
        <w:t xml:space="preserve">出现第 </w:t>
      </w:r>
      <w:r>
        <w:rPr>
          <w:rFonts w:ascii="Times New Roman" w:hAnsi="Times New Roman" w:eastAsia="Times New Roman" w:cs="Times New Roman"/>
          <w:color w:val="auto"/>
          <w:spacing w:val="-5"/>
          <w:sz w:val="21"/>
          <w:szCs w:val="21"/>
          <w:highlight w:val="none"/>
        </w:rPr>
        <w:t>16.2.1</w:t>
      </w:r>
      <w:r>
        <w:rPr>
          <w:rFonts w:ascii="Times New Roman" w:hAnsi="Times New Roman" w:eastAsia="Times New Roman" w:cs="Times New Roman"/>
          <w:color w:val="auto"/>
          <w:spacing w:val="12"/>
          <w:sz w:val="21"/>
          <w:szCs w:val="21"/>
          <w:highlight w:val="none"/>
        </w:rPr>
        <w:t xml:space="preserve"> </w:t>
      </w:r>
      <w:r>
        <w:rPr>
          <w:rFonts w:ascii="宋体" w:hAnsi="宋体" w:eastAsia="宋体" w:cs="宋体"/>
          <w:color w:val="auto"/>
          <w:spacing w:val="-5"/>
          <w:sz w:val="21"/>
          <w:szCs w:val="21"/>
          <w:highlight w:val="none"/>
        </w:rPr>
        <w:t>项〔承包人违约的情形〕第（</w:t>
      </w:r>
      <w:r>
        <w:rPr>
          <w:rFonts w:ascii="Times New Roman" w:hAnsi="Times New Roman" w:eastAsia="Times New Roman" w:cs="Times New Roman"/>
          <w:color w:val="auto"/>
          <w:spacing w:val="-5"/>
          <w:sz w:val="21"/>
          <w:szCs w:val="21"/>
          <w:highlight w:val="none"/>
        </w:rPr>
        <w:t>7</w:t>
      </w:r>
      <w:r>
        <w:rPr>
          <w:rFonts w:ascii="宋体" w:hAnsi="宋体" w:eastAsia="宋体" w:cs="宋体"/>
          <w:color w:val="auto"/>
          <w:spacing w:val="-5"/>
          <w:sz w:val="21"/>
          <w:szCs w:val="21"/>
          <w:highlight w:val="none"/>
        </w:rPr>
        <w:t>）目约定的</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违约情况时， 或监理人发出整改通知后， 承包人在</w:t>
      </w:r>
      <w:r>
        <w:rPr>
          <w:rFonts w:ascii="宋体" w:hAnsi="宋体" w:eastAsia="宋体" w:cs="宋体"/>
          <w:color w:val="auto"/>
          <w:spacing w:val="-3"/>
          <w:sz w:val="21"/>
          <w:szCs w:val="21"/>
          <w:highlight w:val="none"/>
        </w:rPr>
        <w:t>指定的合理期限内仍不纠正违约行为并</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致使合同目的不能实现的，发包人有权解除合同。合同解除后，</w:t>
      </w:r>
      <w:r>
        <w:rPr>
          <w:rFonts w:ascii="宋体" w:hAnsi="宋体" w:eastAsia="宋体" w:cs="宋体"/>
          <w:color w:val="auto"/>
          <w:spacing w:val="2"/>
          <w:sz w:val="21"/>
          <w:szCs w:val="21"/>
          <w:highlight w:val="none"/>
        </w:rPr>
        <w:t>因继续完成工程的需要，</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发包人有权使用承包人在施工现场的材料、设备、临时工程、承包人文件和</w:t>
      </w:r>
      <w:r>
        <w:rPr>
          <w:rFonts w:ascii="宋体" w:hAnsi="宋体" w:eastAsia="宋体" w:cs="宋体"/>
          <w:color w:val="auto"/>
          <w:spacing w:val="2"/>
          <w:sz w:val="21"/>
          <w:szCs w:val="21"/>
          <w:highlight w:val="none"/>
        </w:rPr>
        <w:t>由承包人或以</w:t>
      </w:r>
      <w:r>
        <w:rPr>
          <w:rFonts w:ascii="宋体" w:hAnsi="宋体" w:eastAsia="宋体" w:cs="宋体"/>
          <w:color w:val="auto"/>
          <w:sz w:val="21"/>
          <w:szCs w:val="21"/>
          <w:highlight w:val="none"/>
        </w:rPr>
        <w:t xml:space="preserve"> 其名义编制的其他文件，合同当事人应在专用合同条款约定相应费用的承担方式。 发包人</w:t>
      </w:r>
    </w:p>
    <w:p w14:paraId="669542F2">
      <w:pPr>
        <w:spacing w:before="1" w:line="220" w:lineRule="auto"/>
        <w:ind w:left="2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继续使用的行为不免除或减轻承包人应承担的违约责</w:t>
      </w:r>
      <w:r>
        <w:rPr>
          <w:rFonts w:ascii="宋体" w:hAnsi="宋体" w:eastAsia="宋体" w:cs="宋体"/>
          <w:color w:val="auto"/>
          <w:spacing w:val="-2"/>
          <w:sz w:val="21"/>
          <w:szCs w:val="21"/>
          <w:highlight w:val="none"/>
        </w:rPr>
        <w:t>任。</w:t>
      </w:r>
    </w:p>
    <w:p w14:paraId="2BC73092">
      <w:pPr>
        <w:spacing w:before="147"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16.2.4</w:t>
      </w:r>
      <w:r>
        <w:rPr>
          <w:rFonts w:ascii="Times New Roman" w:hAnsi="Times New Roman" w:eastAsia="Times New Roman" w:cs="Times New Roman"/>
          <w:color w:val="auto"/>
          <w:spacing w:val="30"/>
          <w:sz w:val="21"/>
          <w:szCs w:val="21"/>
          <w:highlight w:val="none"/>
        </w:rPr>
        <w:t xml:space="preserve"> </w:t>
      </w:r>
      <w:r>
        <w:rPr>
          <w:rFonts w:ascii="宋体" w:hAnsi="宋体" w:eastAsia="宋体" w:cs="宋体"/>
          <w:color w:val="auto"/>
          <w:spacing w:val="-3"/>
          <w:sz w:val="21"/>
          <w:szCs w:val="21"/>
          <w:highlight w:val="none"/>
        </w:rPr>
        <w:t>因承包人违约解除合同后的处理</w:t>
      </w:r>
    </w:p>
    <w:p w14:paraId="1745D6E8">
      <w:pPr>
        <w:spacing w:before="147" w:line="404" w:lineRule="exact"/>
        <w:ind w:right="7"/>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因承包人原因导致合同解除的，则合同当事人应在合同解除后</w:t>
      </w:r>
      <w:r>
        <w:rPr>
          <w:rFonts w:ascii="宋体" w:hAnsi="宋体" w:eastAsia="宋体" w:cs="宋体"/>
          <w:color w:val="auto"/>
          <w:spacing w:val="-31"/>
          <w:position w:val="14"/>
          <w:sz w:val="21"/>
          <w:szCs w:val="21"/>
          <w:highlight w:val="none"/>
        </w:rPr>
        <w:t xml:space="preserve"> </w:t>
      </w:r>
      <w:r>
        <w:rPr>
          <w:rFonts w:ascii="Times New Roman" w:hAnsi="Times New Roman" w:eastAsia="Times New Roman" w:cs="Times New Roman"/>
          <w:color w:val="auto"/>
          <w:spacing w:val="-1"/>
          <w:position w:val="14"/>
          <w:sz w:val="21"/>
          <w:szCs w:val="21"/>
          <w:highlight w:val="none"/>
        </w:rPr>
        <w:t>28</w:t>
      </w:r>
      <w:r>
        <w:rPr>
          <w:rFonts w:ascii="Times New Roman" w:hAnsi="Times New Roman" w:eastAsia="Times New Roman" w:cs="Times New Roman"/>
          <w:color w:val="auto"/>
          <w:spacing w:val="13"/>
          <w:position w:val="14"/>
          <w:sz w:val="21"/>
          <w:szCs w:val="21"/>
          <w:highlight w:val="none"/>
        </w:rPr>
        <w:t xml:space="preserve"> </w:t>
      </w:r>
      <w:r>
        <w:rPr>
          <w:rFonts w:ascii="宋体" w:hAnsi="宋体" w:eastAsia="宋体" w:cs="宋体"/>
          <w:color w:val="auto"/>
          <w:spacing w:val="-1"/>
          <w:position w:val="14"/>
          <w:sz w:val="21"/>
          <w:szCs w:val="21"/>
          <w:highlight w:val="none"/>
        </w:rPr>
        <w:t>天内完成</w:t>
      </w:r>
      <w:r>
        <w:rPr>
          <w:rFonts w:ascii="宋体" w:hAnsi="宋体" w:eastAsia="宋体" w:cs="宋体"/>
          <w:color w:val="auto"/>
          <w:spacing w:val="-2"/>
          <w:position w:val="14"/>
          <w:sz w:val="21"/>
          <w:szCs w:val="21"/>
          <w:highlight w:val="none"/>
        </w:rPr>
        <w:t>估价、付款</w:t>
      </w:r>
    </w:p>
    <w:p w14:paraId="077A8B73">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和清算，并按以下约定执行：</w:t>
      </w:r>
    </w:p>
    <w:p w14:paraId="150F9F1E">
      <w:pPr>
        <w:spacing w:before="148" w:line="399" w:lineRule="exact"/>
        <w:ind w:right="1"/>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1</w:t>
      </w:r>
      <w:r>
        <w:rPr>
          <w:rFonts w:ascii="宋体" w:hAnsi="宋体" w:eastAsia="宋体" w:cs="宋体"/>
          <w:color w:val="auto"/>
          <w:spacing w:val="-1"/>
          <w:position w:val="14"/>
          <w:sz w:val="21"/>
          <w:szCs w:val="21"/>
          <w:highlight w:val="none"/>
        </w:rPr>
        <w:t xml:space="preserve">）合同解除后，按第 </w:t>
      </w:r>
      <w:r>
        <w:rPr>
          <w:rFonts w:ascii="Times New Roman" w:hAnsi="Times New Roman" w:eastAsia="Times New Roman" w:cs="Times New Roman"/>
          <w:color w:val="auto"/>
          <w:spacing w:val="-1"/>
          <w:position w:val="14"/>
          <w:sz w:val="21"/>
          <w:szCs w:val="21"/>
          <w:highlight w:val="none"/>
        </w:rPr>
        <w:t>4.4</w:t>
      </w:r>
      <w:r>
        <w:rPr>
          <w:rFonts w:ascii="Times New Roman" w:hAnsi="Times New Roman" w:eastAsia="Times New Roman" w:cs="Times New Roman"/>
          <w:color w:val="auto"/>
          <w:spacing w:val="47"/>
          <w:w w:val="101"/>
          <w:position w:val="14"/>
          <w:sz w:val="21"/>
          <w:szCs w:val="21"/>
          <w:highlight w:val="none"/>
        </w:rPr>
        <w:t xml:space="preserve"> </w:t>
      </w:r>
      <w:r>
        <w:rPr>
          <w:rFonts w:ascii="宋体" w:hAnsi="宋体" w:eastAsia="宋体" w:cs="宋体"/>
          <w:color w:val="auto"/>
          <w:spacing w:val="-1"/>
          <w:position w:val="14"/>
          <w:sz w:val="21"/>
          <w:szCs w:val="21"/>
          <w:highlight w:val="none"/>
        </w:rPr>
        <w:t>款〔商定或确定〕商定或确定承包人实际完成工作对应的</w:t>
      </w:r>
    </w:p>
    <w:p w14:paraId="5A601930">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合同价款，</w:t>
      </w:r>
      <w:r>
        <w:rPr>
          <w:rFonts w:ascii="宋体" w:hAnsi="宋体" w:eastAsia="宋体" w:cs="宋体"/>
          <w:color w:val="auto"/>
          <w:spacing w:val="75"/>
          <w:sz w:val="21"/>
          <w:szCs w:val="21"/>
          <w:highlight w:val="none"/>
        </w:rPr>
        <w:t xml:space="preserve"> </w:t>
      </w:r>
      <w:r>
        <w:rPr>
          <w:rFonts w:ascii="宋体" w:hAnsi="宋体" w:eastAsia="宋体" w:cs="宋体"/>
          <w:color w:val="auto"/>
          <w:spacing w:val="-6"/>
          <w:sz w:val="21"/>
          <w:szCs w:val="21"/>
          <w:highlight w:val="none"/>
        </w:rPr>
        <w:t>以及承包人已提供的材料、工程设备、施工设备和临</w:t>
      </w:r>
      <w:r>
        <w:rPr>
          <w:rFonts w:ascii="宋体" w:hAnsi="宋体" w:eastAsia="宋体" w:cs="宋体"/>
          <w:color w:val="auto"/>
          <w:spacing w:val="-7"/>
          <w:sz w:val="21"/>
          <w:szCs w:val="21"/>
          <w:highlight w:val="none"/>
        </w:rPr>
        <w:t>时工程等的价值；</w:t>
      </w:r>
    </w:p>
    <w:p w14:paraId="30C335A4">
      <w:pPr>
        <w:spacing w:before="153"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）合同解除后，承包人应支付的违约金；</w:t>
      </w:r>
    </w:p>
    <w:p w14:paraId="0923EF36">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）合同解除后，因解除合同给发包人造成的损失；</w:t>
      </w:r>
    </w:p>
    <w:p w14:paraId="191C2E70">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4</w:t>
      </w:r>
      <w:r>
        <w:rPr>
          <w:rFonts w:ascii="宋体" w:hAnsi="宋体" w:eastAsia="宋体" w:cs="宋体"/>
          <w:color w:val="auto"/>
          <w:spacing w:val="-1"/>
          <w:sz w:val="21"/>
          <w:szCs w:val="21"/>
          <w:highlight w:val="none"/>
        </w:rPr>
        <w:t>）合同解除后，承包人应按照发包人要求和监理人的指示完成现场的清理和撤离；</w:t>
      </w:r>
    </w:p>
    <w:p w14:paraId="7DC6E17E">
      <w:pPr>
        <w:spacing w:before="153" w:line="399" w:lineRule="exact"/>
        <w:ind w:right="12"/>
        <w:jc w:val="right"/>
        <w:rPr>
          <w:rFonts w:ascii="宋体" w:hAnsi="宋体" w:eastAsia="宋体" w:cs="宋体"/>
          <w:color w:val="auto"/>
          <w:sz w:val="21"/>
          <w:szCs w:val="21"/>
          <w:highlight w:val="none"/>
        </w:rPr>
      </w:pPr>
      <w:r>
        <w:rPr>
          <w:rFonts w:ascii="宋体" w:hAnsi="宋体" w:eastAsia="宋体" w:cs="宋体"/>
          <w:color w:val="auto"/>
          <w:spacing w:val="-5"/>
          <w:position w:val="14"/>
          <w:sz w:val="21"/>
          <w:szCs w:val="21"/>
          <w:highlight w:val="none"/>
        </w:rPr>
        <w:t>（</w:t>
      </w:r>
      <w:r>
        <w:rPr>
          <w:rFonts w:ascii="Times New Roman" w:hAnsi="Times New Roman" w:eastAsia="Times New Roman" w:cs="Times New Roman"/>
          <w:color w:val="auto"/>
          <w:spacing w:val="-5"/>
          <w:position w:val="14"/>
          <w:sz w:val="21"/>
          <w:szCs w:val="21"/>
          <w:highlight w:val="none"/>
        </w:rPr>
        <w:t>5</w:t>
      </w:r>
      <w:r>
        <w:rPr>
          <w:rFonts w:ascii="宋体" w:hAnsi="宋体" w:eastAsia="宋体" w:cs="宋体"/>
          <w:color w:val="auto"/>
          <w:spacing w:val="-5"/>
          <w:position w:val="14"/>
          <w:sz w:val="21"/>
          <w:szCs w:val="21"/>
          <w:highlight w:val="none"/>
        </w:rPr>
        <w:t>）发包人和承包人应在合同解除后进行清算，</w:t>
      </w:r>
      <w:r>
        <w:rPr>
          <w:rFonts w:ascii="宋体" w:hAnsi="宋体" w:eastAsia="宋体" w:cs="宋体"/>
          <w:color w:val="auto"/>
          <w:spacing w:val="82"/>
          <w:position w:val="14"/>
          <w:sz w:val="21"/>
          <w:szCs w:val="21"/>
          <w:highlight w:val="none"/>
        </w:rPr>
        <w:t xml:space="preserve"> </w:t>
      </w:r>
      <w:r>
        <w:rPr>
          <w:rFonts w:ascii="宋体" w:hAnsi="宋体" w:eastAsia="宋体" w:cs="宋体"/>
          <w:color w:val="auto"/>
          <w:spacing w:val="-5"/>
          <w:position w:val="14"/>
          <w:sz w:val="21"/>
          <w:szCs w:val="21"/>
          <w:highlight w:val="none"/>
        </w:rPr>
        <w:t>出具最终结清付款证书，结清全部款</w:t>
      </w:r>
    </w:p>
    <w:p w14:paraId="239FEA2E">
      <w:pPr>
        <w:spacing w:line="221" w:lineRule="auto"/>
        <w:ind w:left="21"/>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项。</w:t>
      </w:r>
    </w:p>
    <w:p w14:paraId="1AAD671B">
      <w:pPr>
        <w:spacing w:before="147" w:line="352" w:lineRule="auto"/>
        <w:ind w:left="21" w:right="4" w:firstLine="436"/>
        <w:rPr>
          <w:rFonts w:ascii="宋体" w:hAnsi="宋体" w:eastAsia="宋体" w:cs="宋体"/>
          <w:color w:val="auto"/>
          <w:sz w:val="21"/>
          <w:szCs w:val="21"/>
          <w:highlight w:val="none"/>
        </w:rPr>
      </w:pPr>
      <w:r>
        <w:rPr>
          <w:rFonts w:ascii="宋体" w:hAnsi="宋体" w:eastAsia="宋体" w:cs="宋体"/>
          <w:color w:val="auto"/>
          <w:sz w:val="21"/>
          <w:szCs w:val="21"/>
          <w:highlight w:val="none"/>
        </w:rPr>
        <w:t>因承包人违约解除合同的， 发包人有权暂停对承包人的付款，查清各项</w:t>
      </w:r>
      <w:r>
        <w:rPr>
          <w:rFonts w:ascii="宋体" w:hAnsi="宋体" w:eastAsia="宋体" w:cs="宋体"/>
          <w:color w:val="auto"/>
          <w:spacing w:val="-1"/>
          <w:sz w:val="21"/>
          <w:szCs w:val="21"/>
          <w:highlight w:val="none"/>
        </w:rPr>
        <w:t>付款和已扣款</w:t>
      </w:r>
      <w:r>
        <w:rPr>
          <w:rFonts w:ascii="宋体" w:hAnsi="宋体" w:eastAsia="宋体" w:cs="宋体"/>
          <w:color w:val="auto"/>
          <w:sz w:val="21"/>
          <w:szCs w:val="21"/>
          <w:highlight w:val="none"/>
        </w:rPr>
        <w:t xml:space="preserve"> 项。发包人和承包人未能就合同解除后的清算和款项支付达成</w:t>
      </w:r>
      <w:r>
        <w:rPr>
          <w:rFonts w:ascii="宋体" w:hAnsi="宋体" w:eastAsia="宋体" w:cs="宋体"/>
          <w:color w:val="auto"/>
          <w:spacing w:val="-1"/>
          <w:sz w:val="21"/>
          <w:szCs w:val="21"/>
          <w:highlight w:val="none"/>
        </w:rPr>
        <w:t>一致的，按照第</w:t>
      </w:r>
      <w:r>
        <w:rPr>
          <w:rFonts w:ascii="宋体" w:hAnsi="宋体" w:eastAsia="宋体" w:cs="宋体"/>
          <w:color w:val="auto"/>
          <w:spacing w:val="-30"/>
          <w:sz w:val="21"/>
          <w:szCs w:val="21"/>
          <w:highlight w:val="none"/>
        </w:rPr>
        <w:t xml:space="preserve"> </w:t>
      </w:r>
      <w:r>
        <w:rPr>
          <w:rFonts w:ascii="Times New Roman" w:hAnsi="Times New Roman" w:eastAsia="Times New Roman" w:cs="Times New Roman"/>
          <w:color w:val="auto"/>
          <w:spacing w:val="-1"/>
          <w:sz w:val="21"/>
          <w:szCs w:val="21"/>
          <w:highlight w:val="none"/>
        </w:rPr>
        <w:t xml:space="preserve">20 </w:t>
      </w:r>
      <w:r>
        <w:rPr>
          <w:rFonts w:ascii="宋体" w:hAnsi="宋体" w:eastAsia="宋体" w:cs="宋体"/>
          <w:color w:val="auto"/>
          <w:spacing w:val="-1"/>
          <w:sz w:val="21"/>
          <w:szCs w:val="21"/>
          <w:highlight w:val="none"/>
        </w:rPr>
        <w:t>条〔争议</w:t>
      </w:r>
    </w:p>
    <w:p w14:paraId="736496C8">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解决〕的约定处理。</w:t>
      </w:r>
    </w:p>
    <w:p w14:paraId="7D113402">
      <w:pPr>
        <w:spacing w:line="220" w:lineRule="auto"/>
        <w:rPr>
          <w:rFonts w:ascii="宋体" w:hAnsi="宋体" w:eastAsia="宋体" w:cs="宋体"/>
          <w:color w:val="auto"/>
          <w:sz w:val="21"/>
          <w:szCs w:val="21"/>
          <w:highlight w:val="none"/>
        </w:rPr>
        <w:sectPr>
          <w:footerReference r:id="rId146" w:type="default"/>
          <w:pgSz w:w="11905" w:h="16839"/>
          <w:pgMar w:top="1431" w:right="1785" w:bottom="1004" w:left="1785" w:header="0" w:footer="828" w:gutter="0"/>
          <w:pgNumType w:fmt="decimal"/>
          <w:cols w:space="720" w:num="1"/>
        </w:sectPr>
      </w:pPr>
    </w:p>
    <w:p w14:paraId="5AFB29B9">
      <w:pPr>
        <w:spacing w:before="149"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16.2.5 </w:t>
      </w:r>
      <w:r>
        <w:rPr>
          <w:rFonts w:ascii="宋体" w:hAnsi="宋体" w:eastAsia="宋体" w:cs="宋体"/>
          <w:color w:val="auto"/>
          <w:spacing w:val="-2"/>
          <w:sz w:val="21"/>
          <w:szCs w:val="21"/>
          <w:highlight w:val="none"/>
        </w:rPr>
        <w:t>采购合同权益转让</w:t>
      </w:r>
    </w:p>
    <w:p w14:paraId="4A925A22">
      <w:pPr>
        <w:spacing w:before="148" w:line="403" w:lineRule="exact"/>
        <w:ind w:right="6"/>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因承包人违约解除合同的， 发包人有权要求承包人将其为实施合同</w:t>
      </w:r>
      <w:r>
        <w:rPr>
          <w:rFonts w:ascii="宋体" w:hAnsi="宋体" w:eastAsia="宋体" w:cs="宋体"/>
          <w:color w:val="auto"/>
          <w:spacing w:val="-1"/>
          <w:position w:val="14"/>
          <w:sz w:val="21"/>
          <w:szCs w:val="21"/>
          <w:highlight w:val="none"/>
        </w:rPr>
        <w:t>而签订的材料和设</w:t>
      </w:r>
    </w:p>
    <w:p w14:paraId="194A15DB">
      <w:pPr>
        <w:spacing w:line="219" w:lineRule="auto"/>
        <w:ind w:right="2"/>
        <w:jc w:val="right"/>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 xml:space="preserve">备的采购合同的权益转让给发包人，承包人应在收到解除合同通知后 </w:t>
      </w:r>
      <w:r>
        <w:rPr>
          <w:rFonts w:ascii="Times New Roman" w:hAnsi="Times New Roman" w:eastAsia="Times New Roman" w:cs="Times New Roman"/>
          <w:color w:val="auto"/>
          <w:spacing w:val="-4"/>
          <w:sz w:val="21"/>
          <w:szCs w:val="21"/>
          <w:highlight w:val="none"/>
        </w:rPr>
        <w:t>14</w:t>
      </w:r>
      <w:r>
        <w:rPr>
          <w:rFonts w:ascii="Times New Roman" w:hAnsi="Times New Roman" w:eastAsia="Times New Roman" w:cs="Times New Roman"/>
          <w:color w:val="auto"/>
          <w:spacing w:val="23"/>
          <w:w w:val="101"/>
          <w:sz w:val="21"/>
          <w:szCs w:val="21"/>
          <w:highlight w:val="none"/>
        </w:rPr>
        <w:t xml:space="preserve"> </w:t>
      </w:r>
      <w:r>
        <w:rPr>
          <w:rFonts w:ascii="宋体" w:hAnsi="宋体" w:eastAsia="宋体" w:cs="宋体"/>
          <w:color w:val="auto"/>
          <w:spacing w:val="-4"/>
          <w:sz w:val="21"/>
          <w:szCs w:val="21"/>
          <w:highlight w:val="none"/>
        </w:rPr>
        <w:t>天内， 协助发包人</w:t>
      </w:r>
    </w:p>
    <w:p w14:paraId="227AA6A6">
      <w:pPr>
        <w:spacing w:before="148" w:line="220" w:lineRule="auto"/>
        <w:ind w:left="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与采购合同的供应商达成相关的转让协议。</w:t>
      </w:r>
    </w:p>
    <w:p w14:paraId="3CC580E7">
      <w:pPr>
        <w:spacing w:before="46" w:line="219"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16.3 第三人造成的违约</w:t>
      </w:r>
    </w:p>
    <w:p w14:paraId="11ACA1C0">
      <w:pPr>
        <w:spacing w:before="130" w:line="403" w:lineRule="exact"/>
        <w:ind w:right="6"/>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在履行合同过程中， 一方当事人因第三人的原因造成违约的，应当向对方当事人承担</w:t>
      </w:r>
    </w:p>
    <w:p w14:paraId="483AF138">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违约责任。</w:t>
      </w:r>
      <w:r>
        <w:rPr>
          <w:rFonts w:ascii="宋体" w:hAnsi="宋体" w:eastAsia="宋体" w:cs="宋体"/>
          <w:color w:val="auto"/>
          <w:spacing w:val="43"/>
          <w:sz w:val="21"/>
          <w:szCs w:val="21"/>
          <w:highlight w:val="none"/>
        </w:rPr>
        <w:t xml:space="preserve"> </w:t>
      </w:r>
      <w:r>
        <w:rPr>
          <w:rFonts w:ascii="宋体" w:hAnsi="宋体" w:eastAsia="宋体" w:cs="宋体"/>
          <w:color w:val="auto"/>
          <w:spacing w:val="-5"/>
          <w:sz w:val="21"/>
          <w:szCs w:val="21"/>
          <w:highlight w:val="none"/>
        </w:rPr>
        <w:t>一方当事人和第三人之间的纠纷，依照法律规定或者按照约定解决。</w:t>
      </w:r>
    </w:p>
    <w:p w14:paraId="275608F3">
      <w:pPr>
        <w:spacing w:before="174" w:line="219" w:lineRule="auto"/>
        <w:ind w:left="39"/>
        <w:rPr>
          <w:rFonts w:ascii="黑体" w:hAnsi="黑体" w:eastAsia="黑体" w:cs="黑体"/>
          <w:color w:val="auto"/>
          <w:sz w:val="32"/>
          <w:szCs w:val="32"/>
          <w:highlight w:val="none"/>
        </w:rPr>
      </w:pPr>
      <w:r>
        <w:rPr>
          <w:rFonts w:ascii="黑体" w:hAnsi="黑体" w:eastAsia="黑体" w:cs="黑体"/>
          <w:color w:val="auto"/>
          <w:spacing w:val="-4"/>
          <w:sz w:val="32"/>
          <w:szCs w:val="32"/>
          <w:highlight w:val="none"/>
        </w:rPr>
        <w:t>17.不可抗力</w:t>
      </w:r>
    </w:p>
    <w:p w14:paraId="4F47D653">
      <w:pPr>
        <w:spacing w:before="146" w:line="218"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17.1 不可抗力的确认</w:t>
      </w:r>
    </w:p>
    <w:p w14:paraId="291F4487">
      <w:pPr>
        <w:spacing w:before="129" w:line="353" w:lineRule="auto"/>
        <w:ind w:left="23" w:right="6" w:firstLine="421"/>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不可抗力是指合同当事人在签订合同时不可预见，在合同履行过程中不可避免且不能</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克服的自然灾害和社会性突发事件，如地震、海啸、瘟疫、骚乱</w:t>
      </w:r>
      <w:r>
        <w:rPr>
          <w:rFonts w:ascii="宋体" w:hAnsi="宋体" w:eastAsia="宋体" w:cs="宋体"/>
          <w:color w:val="auto"/>
          <w:spacing w:val="2"/>
          <w:sz w:val="21"/>
          <w:szCs w:val="21"/>
          <w:highlight w:val="none"/>
        </w:rPr>
        <w:t>、戒严、暴动、战争和专</w:t>
      </w:r>
    </w:p>
    <w:p w14:paraId="1E94B80B">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用合同条款中约定的其他情形。</w:t>
      </w:r>
    </w:p>
    <w:p w14:paraId="3D13E4F8">
      <w:pPr>
        <w:spacing w:before="148" w:line="352" w:lineRule="auto"/>
        <w:ind w:left="17" w:right="6" w:firstLine="427"/>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不可抗力发生后，发包人和承包人应收集证明不可抗力发生及不可抗力造成损失的证</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据，并及时认真统计所造成的损失。合同当事人对是否属于不可抗力或其损失</w:t>
      </w:r>
      <w:r>
        <w:rPr>
          <w:rFonts w:ascii="宋体" w:hAnsi="宋体" w:eastAsia="宋体" w:cs="宋体"/>
          <w:color w:val="auto"/>
          <w:spacing w:val="2"/>
          <w:sz w:val="21"/>
          <w:szCs w:val="21"/>
          <w:highlight w:val="none"/>
        </w:rPr>
        <w:t>的意见不一</w:t>
      </w:r>
    </w:p>
    <w:p w14:paraId="25B53E09">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致的，由监理人按第</w:t>
      </w:r>
      <w:r>
        <w:rPr>
          <w:rFonts w:ascii="宋体" w:hAnsi="宋体" w:eastAsia="宋体" w:cs="宋体"/>
          <w:color w:val="auto"/>
          <w:spacing w:val="-10"/>
          <w:sz w:val="21"/>
          <w:szCs w:val="21"/>
          <w:highlight w:val="none"/>
        </w:rPr>
        <w:t xml:space="preserve"> </w:t>
      </w:r>
      <w:r>
        <w:rPr>
          <w:rFonts w:ascii="Times New Roman" w:hAnsi="Times New Roman" w:eastAsia="Times New Roman" w:cs="Times New Roman"/>
          <w:color w:val="auto"/>
          <w:spacing w:val="-1"/>
          <w:sz w:val="21"/>
          <w:szCs w:val="21"/>
          <w:highlight w:val="none"/>
        </w:rPr>
        <w:t>4.4</w:t>
      </w:r>
      <w:r>
        <w:rPr>
          <w:rFonts w:ascii="Times New Roman" w:hAnsi="Times New Roman" w:eastAsia="Times New Roman" w:cs="Times New Roman"/>
          <w:color w:val="auto"/>
          <w:spacing w:val="19"/>
          <w:w w:val="101"/>
          <w:sz w:val="21"/>
          <w:szCs w:val="21"/>
          <w:highlight w:val="none"/>
        </w:rPr>
        <w:t xml:space="preserve"> </w:t>
      </w:r>
      <w:r>
        <w:rPr>
          <w:rFonts w:ascii="宋体" w:hAnsi="宋体" w:eastAsia="宋体" w:cs="宋体"/>
          <w:color w:val="auto"/>
          <w:spacing w:val="-1"/>
          <w:sz w:val="21"/>
          <w:szCs w:val="21"/>
          <w:highlight w:val="none"/>
        </w:rPr>
        <w:t>款〔商定或确定〕的约定处理。发生争议时，按第</w:t>
      </w:r>
      <w:r>
        <w:rPr>
          <w:rFonts w:ascii="宋体" w:hAnsi="宋体" w:eastAsia="宋体" w:cs="宋体"/>
          <w:color w:val="auto"/>
          <w:spacing w:val="-27"/>
          <w:sz w:val="21"/>
          <w:szCs w:val="21"/>
          <w:highlight w:val="none"/>
        </w:rPr>
        <w:t xml:space="preserve"> </w:t>
      </w:r>
      <w:r>
        <w:rPr>
          <w:rFonts w:ascii="Times New Roman" w:hAnsi="Times New Roman" w:eastAsia="Times New Roman" w:cs="Times New Roman"/>
          <w:color w:val="auto"/>
          <w:spacing w:val="-1"/>
          <w:sz w:val="21"/>
          <w:szCs w:val="21"/>
          <w:highlight w:val="none"/>
        </w:rPr>
        <w:t>20</w:t>
      </w:r>
      <w:r>
        <w:rPr>
          <w:rFonts w:ascii="Times New Roman" w:hAnsi="Times New Roman" w:eastAsia="Times New Roman" w:cs="Times New Roman"/>
          <w:color w:val="auto"/>
          <w:spacing w:val="19"/>
          <w:w w:val="101"/>
          <w:sz w:val="21"/>
          <w:szCs w:val="21"/>
          <w:highlight w:val="none"/>
        </w:rPr>
        <w:t xml:space="preserve"> </w:t>
      </w:r>
      <w:r>
        <w:rPr>
          <w:rFonts w:ascii="宋体" w:hAnsi="宋体" w:eastAsia="宋体" w:cs="宋体"/>
          <w:color w:val="auto"/>
          <w:spacing w:val="-1"/>
          <w:sz w:val="21"/>
          <w:szCs w:val="21"/>
          <w:highlight w:val="none"/>
        </w:rPr>
        <w:t>条〔争议解</w:t>
      </w:r>
    </w:p>
    <w:p w14:paraId="4D5F0EBC">
      <w:pPr>
        <w:spacing w:before="147" w:line="221" w:lineRule="auto"/>
        <w:ind w:left="2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决〕的约定处理。</w:t>
      </w:r>
    </w:p>
    <w:p w14:paraId="2D38D6DA">
      <w:pPr>
        <w:spacing w:before="46" w:line="218"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17.2 不可抗力的通知</w:t>
      </w:r>
    </w:p>
    <w:p w14:paraId="6DB96F7F">
      <w:pPr>
        <w:spacing w:before="130" w:line="404" w:lineRule="exact"/>
        <w:ind w:right="6"/>
        <w:jc w:val="right"/>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合同一方当事人遇到不可抗力事件， 使其履</w:t>
      </w:r>
      <w:r>
        <w:rPr>
          <w:rFonts w:ascii="宋体" w:hAnsi="宋体" w:eastAsia="宋体" w:cs="宋体"/>
          <w:color w:val="auto"/>
          <w:spacing w:val="-3"/>
          <w:position w:val="14"/>
          <w:sz w:val="21"/>
          <w:szCs w:val="21"/>
          <w:highlight w:val="none"/>
        </w:rPr>
        <w:t>行合同义务受到阻碍时， 应立即通知合同</w:t>
      </w:r>
    </w:p>
    <w:p w14:paraId="5D725663">
      <w:pPr>
        <w:spacing w:before="1" w:line="219" w:lineRule="auto"/>
        <w:ind w:left="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另一方当事人和监理人，书面说明不可抗力和受阻碍的详细情况，并提供必要的证明。</w:t>
      </w:r>
    </w:p>
    <w:p w14:paraId="162DB30A">
      <w:pPr>
        <w:spacing w:before="148" w:line="399" w:lineRule="exact"/>
        <w:ind w:right="6"/>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不可抗力持续发生的， 合同一方当事人应及时向合同另一方当事人和监理人提交中间</w:t>
      </w:r>
    </w:p>
    <w:p w14:paraId="15BA3B9D">
      <w:pPr>
        <w:spacing w:line="219" w:lineRule="auto"/>
        <w:ind w:right="2"/>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报告，说明不可抗力和履行合同受阻的情况，并于不可抗力事件结束后</w:t>
      </w:r>
      <w:r>
        <w:rPr>
          <w:rFonts w:ascii="宋体" w:hAnsi="宋体" w:eastAsia="宋体" w:cs="宋体"/>
          <w:color w:val="auto"/>
          <w:spacing w:val="-30"/>
          <w:sz w:val="21"/>
          <w:szCs w:val="21"/>
          <w:highlight w:val="none"/>
        </w:rPr>
        <w:t xml:space="preserve"> </w:t>
      </w:r>
      <w:r>
        <w:rPr>
          <w:rFonts w:ascii="Times New Roman" w:hAnsi="Times New Roman" w:eastAsia="Times New Roman" w:cs="Times New Roman"/>
          <w:color w:val="auto"/>
          <w:sz w:val="21"/>
          <w:szCs w:val="21"/>
          <w:highlight w:val="none"/>
        </w:rPr>
        <w:t xml:space="preserve">28 </w:t>
      </w:r>
      <w:r>
        <w:rPr>
          <w:rFonts w:ascii="宋体" w:hAnsi="宋体" w:eastAsia="宋体" w:cs="宋体"/>
          <w:color w:val="auto"/>
          <w:sz w:val="21"/>
          <w:szCs w:val="21"/>
          <w:highlight w:val="none"/>
        </w:rPr>
        <w:t>天内</w:t>
      </w:r>
      <w:r>
        <w:rPr>
          <w:rFonts w:ascii="宋体" w:hAnsi="宋体" w:eastAsia="宋体" w:cs="宋体"/>
          <w:color w:val="auto"/>
          <w:spacing w:val="-1"/>
          <w:sz w:val="21"/>
          <w:szCs w:val="21"/>
          <w:highlight w:val="none"/>
        </w:rPr>
        <w:t>提交最终报</w:t>
      </w:r>
    </w:p>
    <w:p w14:paraId="4BC9DB98">
      <w:pPr>
        <w:spacing w:before="154" w:line="219" w:lineRule="auto"/>
        <w:ind w:left="2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告及有关资料。</w:t>
      </w:r>
    </w:p>
    <w:p w14:paraId="494DAEB6">
      <w:pPr>
        <w:spacing w:before="48" w:line="218"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17.3 不可抗力后果的承担</w:t>
      </w:r>
    </w:p>
    <w:p w14:paraId="4DC04B8B">
      <w:pPr>
        <w:spacing w:before="130" w:line="398" w:lineRule="exact"/>
        <w:ind w:right="11"/>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3"/>
          <w:position w:val="14"/>
          <w:sz w:val="21"/>
          <w:szCs w:val="21"/>
          <w:highlight w:val="none"/>
        </w:rPr>
        <w:t>17.3.1</w:t>
      </w:r>
      <w:r>
        <w:rPr>
          <w:rFonts w:ascii="Times New Roman" w:hAnsi="Times New Roman" w:eastAsia="Times New Roman" w:cs="Times New Roman"/>
          <w:color w:val="auto"/>
          <w:spacing w:val="40"/>
          <w:w w:val="101"/>
          <w:position w:val="14"/>
          <w:sz w:val="21"/>
          <w:szCs w:val="21"/>
          <w:highlight w:val="none"/>
        </w:rPr>
        <w:t xml:space="preserve"> </w:t>
      </w:r>
      <w:r>
        <w:rPr>
          <w:rFonts w:ascii="宋体" w:hAnsi="宋体" w:eastAsia="宋体" w:cs="宋体"/>
          <w:color w:val="auto"/>
          <w:spacing w:val="3"/>
          <w:position w:val="14"/>
          <w:sz w:val="21"/>
          <w:szCs w:val="21"/>
          <w:highlight w:val="none"/>
        </w:rPr>
        <w:t>不可抗力引起的后果及造成的损失由合同</w:t>
      </w:r>
      <w:r>
        <w:rPr>
          <w:rFonts w:ascii="宋体" w:hAnsi="宋体" w:eastAsia="宋体" w:cs="宋体"/>
          <w:color w:val="auto"/>
          <w:spacing w:val="2"/>
          <w:position w:val="14"/>
          <w:sz w:val="21"/>
          <w:szCs w:val="21"/>
          <w:highlight w:val="none"/>
        </w:rPr>
        <w:t>当事人按照法律规定及合同约定各自</w:t>
      </w:r>
    </w:p>
    <w:p w14:paraId="44505F0E">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承担。 不可抗力发生前已完成的工程应当按照合同约定进行计量支付。</w:t>
      </w:r>
    </w:p>
    <w:p w14:paraId="317207B3">
      <w:pPr>
        <w:spacing w:before="153" w:line="398" w:lineRule="exact"/>
        <w:ind w:right="27"/>
        <w:jc w:val="right"/>
        <w:rPr>
          <w:rFonts w:ascii="宋体" w:hAnsi="宋体" w:eastAsia="宋体" w:cs="宋体"/>
          <w:color w:val="auto"/>
          <w:sz w:val="21"/>
          <w:szCs w:val="21"/>
          <w:highlight w:val="none"/>
        </w:rPr>
      </w:pPr>
      <w:r>
        <w:rPr>
          <w:rFonts w:ascii="Times New Roman" w:hAnsi="Times New Roman" w:eastAsia="Times New Roman" w:cs="Times New Roman"/>
          <w:color w:val="auto"/>
          <w:position w:val="14"/>
          <w:sz w:val="21"/>
          <w:szCs w:val="21"/>
          <w:highlight w:val="none"/>
        </w:rPr>
        <w:t>17.3.2</w:t>
      </w:r>
      <w:r>
        <w:rPr>
          <w:rFonts w:ascii="Times New Roman" w:hAnsi="Times New Roman" w:eastAsia="Times New Roman" w:cs="Times New Roman"/>
          <w:color w:val="auto"/>
          <w:spacing w:val="40"/>
          <w:w w:val="101"/>
          <w:position w:val="14"/>
          <w:sz w:val="21"/>
          <w:szCs w:val="21"/>
          <w:highlight w:val="none"/>
        </w:rPr>
        <w:t xml:space="preserve"> </w:t>
      </w:r>
      <w:r>
        <w:rPr>
          <w:rFonts w:ascii="宋体" w:hAnsi="宋体" w:eastAsia="宋体" w:cs="宋体"/>
          <w:color w:val="auto"/>
          <w:position w:val="14"/>
          <w:sz w:val="21"/>
          <w:szCs w:val="21"/>
          <w:highlight w:val="none"/>
        </w:rPr>
        <w:t>不可抗力导致的人员伤亡、财产损失、费</w:t>
      </w:r>
      <w:r>
        <w:rPr>
          <w:rFonts w:ascii="宋体" w:hAnsi="宋体" w:eastAsia="宋体" w:cs="宋体"/>
          <w:color w:val="auto"/>
          <w:spacing w:val="-1"/>
          <w:position w:val="14"/>
          <w:sz w:val="21"/>
          <w:szCs w:val="21"/>
          <w:highlight w:val="none"/>
        </w:rPr>
        <w:t>用增加和（或） 工期延误等后果，由</w:t>
      </w:r>
    </w:p>
    <w:p w14:paraId="17CA1116">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合同当事人按以下原则承担：</w:t>
      </w:r>
    </w:p>
    <w:p w14:paraId="1B9656F6">
      <w:pPr>
        <w:spacing w:before="147" w:line="403" w:lineRule="exact"/>
        <w:ind w:right="16"/>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1</w:t>
      </w:r>
      <w:r>
        <w:rPr>
          <w:rFonts w:ascii="宋体" w:hAnsi="宋体" w:eastAsia="宋体" w:cs="宋体"/>
          <w:color w:val="auto"/>
          <w:position w:val="14"/>
          <w:sz w:val="21"/>
          <w:szCs w:val="21"/>
          <w:highlight w:val="none"/>
        </w:rPr>
        <w:t>）永久工程、已运至施工现场的材料和工程设备的损坏，以及因工</w:t>
      </w:r>
      <w:r>
        <w:rPr>
          <w:rFonts w:ascii="宋体" w:hAnsi="宋体" w:eastAsia="宋体" w:cs="宋体"/>
          <w:color w:val="auto"/>
          <w:spacing w:val="-1"/>
          <w:position w:val="14"/>
          <w:sz w:val="21"/>
          <w:szCs w:val="21"/>
          <w:highlight w:val="none"/>
        </w:rPr>
        <w:t>程损坏造成的第</w:t>
      </w:r>
    </w:p>
    <w:p w14:paraId="0AC5D0A9">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三人人员伤亡和财产损失由发包人承担；</w:t>
      </w:r>
    </w:p>
    <w:p w14:paraId="494D4A6D">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）承包人施工设备的损坏由承包人承担；</w:t>
      </w:r>
    </w:p>
    <w:p w14:paraId="18629304">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）发包人和承包人承担各自人员伤亡和财产的损失；</w:t>
      </w:r>
    </w:p>
    <w:p w14:paraId="7DA4D060">
      <w:pPr>
        <w:spacing w:before="153" w:line="350" w:lineRule="auto"/>
        <w:ind w:left="31" w:right="11" w:firstLine="415"/>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4</w:t>
      </w:r>
      <w:r>
        <w:rPr>
          <w:rFonts w:ascii="宋体" w:hAnsi="宋体" w:eastAsia="宋体" w:cs="宋体"/>
          <w:color w:val="auto"/>
          <w:sz w:val="21"/>
          <w:szCs w:val="21"/>
          <w:highlight w:val="none"/>
        </w:rPr>
        <w:t>）因不可抗力影响承包人履行合同约定的义务，已经引起或将引起工期延误</w:t>
      </w:r>
      <w:r>
        <w:rPr>
          <w:rFonts w:ascii="宋体" w:hAnsi="宋体" w:eastAsia="宋体" w:cs="宋体"/>
          <w:color w:val="auto"/>
          <w:spacing w:val="-1"/>
          <w:sz w:val="21"/>
          <w:szCs w:val="21"/>
          <w:highlight w:val="none"/>
        </w:rPr>
        <w:t>的，应</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当顺延工期，</w:t>
      </w:r>
      <w:r>
        <w:rPr>
          <w:rFonts w:ascii="宋体" w:hAnsi="宋体" w:eastAsia="宋体" w:cs="宋体"/>
          <w:color w:val="auto"/>
          <w:spacing w:val="48"/>
          <w:sz w:val="21"/>
          <w:szCs w:val="21"/>
          <w:highlight w:val="none"/>
        </w:rPr>
        <w:t xml:space="preserve"> </w:t>
      </w:r>
      <w:r>
        <w:rPr>
          <w:rFonts w:ascii="宋体" w:hAnsi="宋体" w:eastAsia="宋体" w:cs="宋体"/>
          <w:color w:val="auto"/>
          <w:spacing w:val="-4"/>
          <w:sz w:val="21"/>
          <w:szCs w:val="21"/>
          <w:highlight w:val="none"/>
        </w:rPr>
        <w:t>由此导致承包人停工的费用损失由发包人和承包人合理分担， 停工期间必须</w:t>
      </w:r>
    </w:p>
    <w:p w14:paraId="194906F3">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支付的工人工资由发包人承担；</w:t>
      </w:r>
    </w:p>
    <w:p w14:paraId="6522430C">
      <w:pPr>
        <w:spacing w:before="152" w:line="221" w:lineRule="auto"/>
        <w:ind w:right="25"/>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5</w:t>
      </w:r>
      <w:r>
        <w:rPr>
          <w:rFonts w:ascii="宋体" w:hAnsi="宋体" w:eastAsia="宋体" w:cs="宋体"/>
          <w:color w:val="auto"/>
          <w:sz w:val="21"/>
          <w:szCs w:val="21"/>
          <w:highlight w:val="none"/>
        </w:rPr>
        <w:t>）因不可抗力引起或将引起工期延误，发包人</w:t>
      </w:r>
      <w:r>
        <w:rPr>
          <w:rFonts w:ascii="宋体" w:hAnsi="宋体" w:eastAsia="宋体" w:cs="宋体"/>
          <w:color w:val="auto"/>
          <w:spacing w:val="-1"/>
          <w:sz w:val="21"/>
          <w:szCs w:val="21"/>
          <w:highlight w:val="none"/>
        </w:rPr>
        <w:t>要求赶工的，由此增加的赶工费用由</w:t>
      </w:r>
    </w:p>
    <w:p w14:paraId="00A95843">
      <w:pPr>
        <w:spacing w:line="221" w:lineRule="auto"/>
        <w:rPr>
          <w:rFonts w:ascii="宋体" w:hAnsi="宋体" w:eastAsia="宋体" w:cs="宋体"/>
          <w:color w:val="auto"/>
          <w:sz w:val="21"/>
          <w:szCs w:val="21"/>
          <w:highlight w:val="none"/>
        </w:rPr>
        <w:sectPr>
          <w:footerReference r:id="rId147" w:type="default"/>
          <w:pgSz w:w="11905" w:h="16839"/>
          <w:pgMar w:top="1431" w:right="1785" w:bottom="1004" w:left="1785" w:header="0" w:footer="828" w:gutter="0"/>
          <w:pgNumType w:fmt="decimal"/>
          <w:cols w:space="720" w:num="1"/>
        </w:sectPr>
      </w:pPr>
    </w:p>
    <w:p w14:paraId="6E60163F">
      <w:pPr>
        <w:spacing w:before="148" w:line="221"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发包人承担；</w:t>
      </w:r>
    </w:p>
    <w:p w14:paraId="0606FC96">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6</w:t>
      </w:r>
      <w:r>
        <w:rPr>
          <w:rFonts w:ascii="宋体" w:hAnsi="宋体" w:eastAsia="宋体" w:cs="宋体"/>
          <w:color w:val="auto"/>
          <w:spacing w:val="-1"/>
          <w:sz w:val="21"/>
          <w:szCs w:val="21"/>
          <w:highlight w:val="none"/>
        </w:rPr>
        <w:t>）承包人在停工期间按照发包人要求照管、清理和修复工程的费用由发包人承担。</w:t>
      </w:r>
    </w:p>
    <w:p w14:paraId="36204ED6">
      <w:pPr>
        <w:spacing w:before="152" w:line="399" w:lineRule="exact"/>
        <w:ind w:left="444"/>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不可抗力发生后，合同当事人均应采取措施尽量避免和减少损失的扩大，任何一方当</w:t>
      </w:r>
    </w:p>
    <w:p w14:paraId="1AFC1798">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事人没有采取有效措施导致损失扩大的，应对扩大的损失承担责任。</w:t>
      </w:r>
    </w:p>
    <w:p w14:paraId="0E8736C2">
      <w:pPr>
        <w:spacing w:before="148"/>
        <w:ind w:left="31" w:firstLine="426"/>
        <w:rPr>
          <w:rFonts w:ascii="黑体" w:hAnsi="黑体" w:eastAsia="黑体" w:cs="黑体"/>
          <w:color w:val="auto"/>
          <w:sz w:val="24"/>
          <w:szCs w:val="24"/>
          <w:highlight w:val="none"/>
        </w:rPr>
      </w:pPr>
      <w:r>
        <w:rPr>
          <w:rFonts w:ascii="宋体" w:hAnsi="宋体" w:eastAsia="宋体" w:cs="宋体"/>
          <w:color w:val="auto"/>
          <w:spacing w:val="2"/>
          <w:sz w:val="21"/>
          <w:szCs w:val="21"/>
          <w:highlight w:val="none"/>
        </w:rPr>
        <w:t>因合同一方迟延履行合同义务，在迟延履行期间遭遇不可抗力的，</w:t>
      </w:r>
      <w:r>
        <w:rPr>
          <w:rFonts w:ascii="宋体" w:hAnsi="宋体" w:eastAsia="宋体" w:cs="宋体"/>
          <w:color w:val="auto"/>
          <w:spacing w:val="1"/>
          <w:sz w:val="21"/>
          <w:szCs w:val="21"/>
          <w:highlight w:val="none"/>
        </w:rPr>
        <w:t>不免除其违约责任。</w:t>
      </w:r>
      <w:r>
        <w:rPr>
          <w:rFonts w:ascii="宋体" w:hAnsi="宋体" w:eastAsia="宋体" w:cs="宋体"/>
          <w:color w:val="auto"/>
          <w:sz w:val="21"/>
          <w:szCs w:val="21"/>
          <w:highlight w:val="none"/>
        </w:rPr>
        <w:t xml:space="preserve"> </w:t>
      </w:r>
      <w:r>
        <w:rPr>
          <w:rFonts w:ascii="黑体" w:hAnsi="黑体" w:eastAsia="黑体" w:cs="黑体"/>
          <w:color w:val="auto"/>
          <w:spacing w:val="-4"/>
          <w:sz w:val="24"/>
          <w:szCs w:val="24"/>
          <w:highlight w:val="none"/>
        </w:rPr>
        <w:t>17.4</w:t>
      </w:r>
      <w:r>
        <w:rPr>
          <w:rFonts w:ascii="黑体" w:hAnsi="黑体" w:eastAsia="黑体" w:cs="黑体"/>
          <w:color w:val="auto"/>
          <w:spacing w:val="32"/>
          <w:sz w:val="24"/>
          <w:szCs w:val="24"/>
          <w:highlight w:val="none"/>
        </w:rPr>
        <w:t xml:space="preserve"> </w:t>
      </w:r>
      <w:r>
        <w:rPr>
          <w:rFonts w:ascii="黑体" w:hAnsi="黑体" w:eastAsia="黑体" w:cs="黑体"/>
          <w:color w:val="auto"/>
          <w:spacing w:val="-4"/>
          <w:sz w:val="24"/>
          <w:szCs w:val="24"/>
          <w:highlight w:val="none"/>
        </w:rPr>
        <w:t>因不可抗力解除合同</w:t>
      </w:r>
    </w:p>
    <w:p w14:paraId="13D0405A">
      <w:pPr>
        <w:spacing w:before="131" w:line="350" w:lineRule="auto"/>
        <w:ind w:left="19" w:right="175" w:firstLine="43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因不可抗力导致合同无法履行连续超过</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2"/>
          <w:sz w:val="21"/>
          <w:szCs w:val="21"/>
          <w:highlight w:val="none"/>
        </w:rPr>
        <w:t>84</w:t>
      </w:r>
      <w:r>
        <w:rPr>
          <w:rFonts w:ascii="Times New Roman" w:hAnsi="Times New Roman" w:eastAsia="Times New Roman" w:cs="Times New Roman"/>
          <w:color w:val="auto"/>
          <w:spacing w:val="12"/>
          <w:sz w:val="21"/>
          <w:szCs w:val="21"/>
          <w:highlight w:val="none"/>
        </w:rPr>
        <w:t xml:space="preserve"> </w:t>
      </w:r>
      <w:r>
        <w:rPr>
          <w:rFonts w:ascii="宋体" w:hAnsi="宋体" w:eastAsia="宋体" w:cs="宋体"/>
          <w:color w:val="auto"/>
          <w:spacing w:val="-2"/>
          <w:sz w:val="21"/>
          <w:szCs w:val="21"/>
          <w:highlight w:val="none"/>
        </w:rPr>
        <w:t xml:space="preserve">天或累计超过 </w:t>
      </w:r>
      <w:r>
        <w:rPr>
          <w:rFonts w:ascii="Times New Roman" w:hAnsi="Times New Roman" w:eastAsia="Times New Roman" w:cs="Times New Roman"/>
          <w:color w:val="auto"/>
          <w:spacing w:val="-2"/>
          <w:sz w:val="21"/>
          <w:szCs w:val="21"/>
          <w:highlight w:val="none"/>
        </w:rPr>
        <w:t xml:space="preserve">140 </w:t>
      </w:r>
      <w:r>
        <w:rPr>
          <w:rFonts w:ascii="宋体" w:hAnsi="宋体" w:eastAsia="宋体" w:cs="宋体"/>
          <w:color w:val="auto"/>
          <w:spacing w:val="-3"/>
          <w:sz w:val="21"/>
          <w:szCs w:val="21"/>
          <w:highlight w:val="none"/>
        </w:rPr>
        <w:t>天的，发包人和承包人均</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有权解除合同。合同解除后，</w:t>
      </w:r>
      <w:r>
        <w:rPr>
          <w:rFonts w:ascii="宋体" w:hAnsi="宋体" w:eastAsia="宋体" w:cs="宋体"/>
          <w:color w:val="auto"/>
          <w:spacing w:val="42"/>
          <w:sz w:val="21"/>
          <w:szCs w:val="21"/>
          <w:highlight w:val="none"/>
        </w:rPr>
        <w:t xml:space="preserve"> </w:t>
      </w:r>
      <w:r>
        <w:rPr>
          <w:rFonts w:ascii="宋体" w:hAnsi="宋体" w:eastAsia="宋体" w:cs="宋体"/>
          <w:color w:val="auto"/>
          <w:spacing w:val="-4"/>
          <w:sz w:val="21"/>
          <w:szCs w:val="21"/>
          <w:highlight w:val="none"/>
        </w:rPr>
        <w:t>由双方当事人按照第</w:t>
      </w:r>
      <w:r>
        <w:rPr>
          <w:rFonts w:ascii="宋体" w:hAnsi="宋体" w:eastAsia="宋体" w:cs="宋体"/>
          <w:color w:val="auto"/>
          <w:spacing w:val="-61"/>
          <w:sz w:val="21"/>
          <w:szCs w:val="21"/>
          <w:highlight w:val="none"/>
        </w:rPr>
        <w:t xml:space="preserve"> </w:t>
      </w:r>
      <w:r>
        <w:rPr>
          <w:rFonts w:ascii="Times New Roman" w:hAnsi="Times New Roman" w:eastAsia="Times New Roman" w:cs="Times New Roman"/>
          <w:color w:val="auto"/>
          <w:spacing w:val="-4"/>
          <w:sz w:val="21"/>
          <w:szCs w:val="21"/>
          <w:highlight w:val="none"/>
        </w:rPr>
        <w:t>4.4</w:t>
      </w:r>
      <w:r>
        <w:rPr>
          <w:rFonts w:ascii="Times New Roman" w:hAnsi="Times New Roman" w:eastAsia="Times New Roman" w:cs="Times New Roman"/>
          <w:color w:val="auto"/>
          <w:spacing w:val="-15"/>
          <w:sz w:val="21"/>
          <w:szCs w:val="21"/>
          <w:highlight w:val="none"/>
        </w:rPr>
        <w:t xml:space="preserve"> </w:t>
      </w:r>
      <w:r>
        <w:rPr>
          <w:rFonts w:ascii="宋体" w:hAnsi="宋体" w:eastAsia="宋体" w:cs="宋体"/>
          <w:color w:val="auto"/>
          <w:spacing w:val="-4"/>
          <w:sz w:val="21"/>
          <w:szCs w:val="21"/>
          <w:highlight w:val="none"/>
        </w:rPr>
        <w:t>款〔商定或确定〕商定或确定发包人</w:t>
      </w:r>
    </w:p>
    <w:p w14:paraId="08331C64">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应支付的款项，该款项包括：</w:t>
      </w:r>
    </w:p>
    <w:p w14:paraId="3E0235EC">
      <w:pPr>
        <w:spacing w:before="152" w:line="219"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）合同解除前承包人已完成工作的价款；</w:t>
      </w:r>
    </w:p>
    <w:p w14:paraId="2FE2604B">
      <w:pPr>
        <w:spacing w:before="149" w:line="399" w:lineRule="exact"/>
        <w:ind w:left="44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2</w:t>
      </w:r>
      <w:r>
        <w:rPr>
          <w:rFonts w:ascii="宋体" w:hAnsi="宋体" w:eastAsia="宋体" w:cs="宋体"/>
          <w:color w:val="auto"/>
          <w:position w:val="14"/>
          <w:sz w:val="21"/>
          <w:szCs w:val="21"/>
          <w:highlight w:val="none"/>
        </w:rPr>
        <w:t>）承包人为工程订购的并已交付给承包人，或承包人有责任接受交付的材料、</w:t>
      </w:r>
      <w:r>
        <w:rPr>
          <w:rFonts w:ascii="宋体" w:hAnsi="宋体" w:eastAsia="宋体" w:cs="宋体"/>
          <w:color w:val="auto"/>
          <w:spacing w:val="-1"/>
          <w:position w:val="14"/>
          <w:sz w:val="21"/>
          <w:szCs w:val="21"/>
          <w:highlight w:val="none"/>
        </w:rPr>
        <w:t>工程</w:t>
      </w:r>
    </w:p>
    <w:p w14:paraId="7BD5DF44">
      <w:pPr>
        <w:spacing w:line="219" w:lineRule="auto"/>
        <w:ind w:left="21"/>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设备和其他物品的价款；</w:t>
      </w:r>
    </w:p>
    <w:p w14:paraId="6674F213">
      <w:pPr>
        <w:spacing w:before="154" w:line="220" w:lineRule="auto"/>
        <w:ind w:left="447"/>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3</w:t>
      </w:r>
      <w:r>
        <w:rPr>
          <w:rFonts w:ascii="宋体" w:hAnsi="宋体" w:eastAsia="宋体" w:cs="宋体"/>
          <w:color w:val="auto"/>
          <w:sz w:val="21"/>
          <w:szCs w:val="21"/>
          <w:highlight w:val="none"/>
        </w:rPr>
        <w:t>）发包人要求承包人退货或解除订货合同而产生的费用</w:t>
      </w:r>
      <w:r>
        <w:rPr>
          <w:rFonts w:ascii="宋体" w:hAnsi="宋体" w:eastAsia="宋体" w:cs="宋体"/>
          <w:color w:val="auto"/>
          <w:spacing w:val="-1"/>
          <w:sz w:val="21"/>
          <w:szCs w:val="21"/>
          <w:highlight w:val="none"/>
        </w:rPr>
        <w:t>，或因不能退货或解除合同</w:t>
      </w:r>
    </w:p>
    <w:p w14:paraId="4D239464">
      <w:pPr>
        <w:spacing w:before="148" w:line="221" w:lineRule="auto"/>
        <w:ind w:left="1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而产生的损失；</w:t>
      </w:r>
    </w:p>
    <w:p w14:paraId="503EC52A">
      <w:pPr>
        <w:spacing w:before="147"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4</w:t>
      </w:r>
      <w:r>
        <w:rPr>
          <w:rFonts w:ascii="宋体" w:hAnsi="宋体" w:eastAsia="宋体" w:cs="宋体"/>
          <w:color w:val="auto"/>
          <w:spacing w:val="-2"/>
          <w:sz w:val="21"/>
          <w:szCs w:val="21"/>
          <w:highlight w:val="none"/>
        </w:rPr>
        <w:t>）承包人撤离施工现场以及遣散承包人人员的费用；</w:t>
      </w:r>
    </w:p>
    <w:p w14:paraId="2CF47F0A">
      <w:pPr>
        <w:spacing w:before="152" w:line="399" w:lineRule="exact"/>
        <w:ind w:left="447"/>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w:t>
      </w:r>
      <w:r>
        <w:rPr>
          <w:rFonts w:ascii="Times New Roman" w:hAnsi="Times New Roman" w:eastAsia="Times New Roman" w:cs="Times New Roman"/>
          <w:color w:val="auto"/>
          <w:spacing w:val="-2"/>
          <w:position w:val="14"/>
          <w:sz w:val="21"/>
          <w:szCs w:val="21"/>
          <w:highlight w:val="none"/>
        </w:rPr>
        <w:t>5</w:t>
      </w:r>
      <w:r>
        <w:rPr>
          <w:rFonts w:ascii="宋体" w:hAnsi="宋体" w:eastAsia="宋体" w:cs="宋体"/>
          <w:color w:val="auto"/>
          <w:spacing w:val="-2"/>
          <w:position w:val="14"/>
          <w:sz w:val="21"/>
          <w:szCs w:val="21"/>
          <w:highlight w:val="none"/>
        </w:rPr>
        <w:t>）按照合同约定在合同解除前应支付给承包人的其他款项；</w:t>
      </w:r>
    </w:p>
    <w:p w14:paraId="1DF40F16">
      <w:pPr>
        <w:spacing w:before="1"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6</w:t>
      </w:r>
      <w:r>
        <w:rPr>
          <w:rFonts w:ascii="宋体" w:hAnsi="宋体" w:eastAsia="宋体" w:cs="宋体"/>
          <w:color w:val="auto"/>
          <w:spacing w:val="-2"/>
          <w:sz w:val="21"/>
          <w:szCs w:val="21"/>
          <w:highlight w:val="none"/>
        </w:rPr>
        <w:t>）扣减承包人按照合同约定应向发包人支付的款项；</w:t>
      </w:r>
    </w:p>
    <w:p w14:paraId="10ADE1F4">
      <w:pPr>
        <w:spacing w:before="148"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7</w:t>
      </w:r>
      <w:r>
        <w:rPr>
          <w:rFonts w:ascii="宋体" w:hAnsi="宋体" w:eastAsia="宋体" w:cs="宋体"/>
          <w:color w:val="auto"/>
          <w:spacing w:val="-2"/>
          <w:sz w:val="21"/>
          <w:szCs w:val="21"/>
          <w:highlight w:val="none"/>
        </w:rPr>
        <w:t>）双方商定或确定的其他款项。</w:t>
      </w:r>
    </w:p>
    <w:p w14:paraId="22CEA91B">
      <w:pPr>
        <w:spacing w:before="151" w:line="399" w:lineRule="exact"/>
        <w:ind w:left="453"/>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除专用合同条款另有约定外， 合同解除后，发包</w:t>
      </w:r>
      <w:r>
        <w:rPr>
          <w:rFonts w:ascii="宋体" w:hAnsi="宋体" w:eastAsia="宋体" w:cs="宋体"/>
          <w:color w:val="auto"/>
          <w:spacing w:val="-4"/>
          <w:position w:val="14"/>
          <w:sz w:val="21"/>
          <w:szCs w:val="21"/>
          <w:highlight w:val="none"/>
        </w:rPr>
        <w:t>人应在商定或确定上述款项后</w:t>
      </w:r>
      <w:r>
        <w:rPr>
          <w:rFonts w:ascii="宋体" w:hAnsi="宋体" w:eastAsia="宋体" w:cs="宋体"/>
          <w:color w:val="auto"/>
          <w:spacing w:val="-30"/>
          <w:position w:val="14"/>
          <w:sz w:val="21"/>
          <w:szCs w:val="21"/>
          <w:highlight w:val="none"/>
        </w:rPr>
        <w:t xml:space="preserve"> </w:t>
      </w:r>
      <w:r>
        <w:rPr>
          <w:rFonts w:ascii="Times New Roman" w:hAnsi="Times New Roman" w:eastAsia="Times New Roman" w:cs="Times New Roman"/>
          <w:color w:val="auto"/>
          <w:spacing w:val="-4"/>
          <w:position w:val="14"/>
          <w:sz w:val="21"/>
          <w:szCs w:val="21"/>
          <w:highlight w:val="none"/>
        </w:rPr>
        <w:t>28</w:t>
      </w:r>
      <w:r>
        <w:rPr>
          <w:rFonts w:ascii="Times New Roman" w:hAnsi="Times New Roman" w:eastAsia="Times New Roman" w:cs="Times New Roman"/>
          <w:color w:val="auto"/>
          <w:spacing w:val="13"/>
          <w:w w:val="101"/>
          <w:position w:val="14"/>
          <w:sz w:val="21"/>
          <w:szCs w:val="21"/>
          <w:highlight w:val="none"/>
        </w:rPr>
        <w:t xml:space="preserve"> </w:t>
      </w:r>
      <w:r>
        <w:rPr>
          <w:rFonts w:ascii="宋体" w:hAnsi="宋体" w:eastAsia="宋体" w:cs="宋体"/>
          <w:color w:val="auto"/>
          <w:spacing w:val="-4"/>
          <w:position w:val="14"/>
          <w:sz w:val="21"/>
          <w:szCs w:val="21"/>
          <w:highlight w:val="none"/>
        </w:rPr>
        <w:t>天内</w:t>
      </w:r>
    </w:p>
    <w:p w14:paraId="48AA020C">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完成上述款项的支付。</w:t>
      </w:r>
    </w:p>
    <w:p w14:paraId="26E265B3">
      <w:pPr>
        <w:spacing w:before="174" w:line="220" w:lineRule="auto"/>
        <w:ind w:left="39"/>
        <w:rPr>
          <w:rFonts w:ascii="黑体" w:hAnsi="黑体" w:eastAsia="黑体" w:cs="黑体"/>
          <w:color w:val="auto"/>
          <w:sz w:val="32"/>
          <w:szCs w:val="32"/>
          <w:highlight w:val="none"/>
        </w:rPr>
      </w:pPr>
      <w:r>
        <w:rPr>
          <w:rFonts w:ascii="黑体" w:hAnsi="黑体" w:eastAsia="黑体" w:cs="黑体"/>
          <w:color w:val="auto"/>
          <w:spacing w:val="-6"/>
          <w:sz w:val="32"/>
          <w:szCs w:val="32"/>
          <w:highlight w:val="none"/>
        </w:rPr>
        <w:t>18.保险</w:t>
      </w:r>
    </w:p>
    <w:p w14:paraId="0D698FE7">
      <w:pPr>
        <w:spacing w:before="144" w:line="219"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18.1 工程保险</w:t>
      </w:r>
    </w:p>
    <w:p w14:paraId="680291AC">
      <w:pPr>
        <w:spacing w:before="128" w:line="221" w:lineRule="auto"/>
        <w:ind w:left="453"/>
        <w:rPr>
          <w:rFonts w:ascii="宋体" w:hAnsi="宋体" w:eastAsia="宋体" w:cs="宋体"/>
          <w:color w:val="auto"/>
          <w:sz w:val="21"/>
          <w:szCs w:val="21"/>
          <w:highlight w:val="none"/>
        </w:rPr>
      </w:pPr>
      <w:r>
        <w:rPr>
          <w:rFonts w:ascii="宋体" w:hAnsi="宋体" w:eastAsia="宋体" w:cs="宋体"/>
          <w:color w:val="auto"/>
          <w:sz w:val="21"/>
          <w:szCs w:val="21"/>
          <w:highlight w:val="none"/>
        </w:rPr>
        <w:t>除专用合同条款另有约定外，发包人应投保建筑工程一切险或安装工程一切险</w:t>
      </w:r>
      <w:r>
        <w:rPr>
          <w:rFonts w:ascii="宋体" w:hAnsi="宋体" w:eastAsia="宋体" w:cs="宋体"/>
          <w:color w:val="auto"/>
          <w:spacing w:val="-1"/>
          <w:sz w:val="21"/>
          <w:szCs w:val="21"/>
          <w:highlight w:val="none"/>
        </w:rPr>
        <w:t>； 发包</w:t>
      </w:r>
    </w:p>
    <w:p w14:paraId="71662645">
      <w:pPr>
        <w:spacing w:before="152" w:line="221" w:lineRule="auto"/>
        <w:ind w:left="20"/>
        <w:rPr>
          <w:rFonts w:ascii="宋体" w:hAnsi="宋体" w:eastAsia="宋体" w:cs="宋体"/>
          <w:color w:val="auto"/>
          <w:sz w:val="21"/>
          <w:szCs w:val="21"/>
          <w:highlight w:val="none"/>
        </w:rPr>
      </w:pPr>
      <w:r>
        <w:rPr>
          <w:rFonts w:ascii="宋体" w:hAnsi="宋体" w:eastAsia="宋体" w:cs="宋体"/>
          <w:color w:val="auto"/>
          <w:sz w:val="21"/>
          <w:szCs w:val="21"/>
          <w:highlight w:val="none"/>
        </w:rPr>
        <w:t>人委托承包人投保的，因投保产生的保险费和其他相关费用</w:t>
      </w:r>
      <w:r>
        <w:rPr>
          <w:rFonts w:ascii="宋体" w:hAnsi="宋体" w:eastAsia="宋体" w:cs="宋体"/>
          <w:color w:val="auto"/>
          <w:spacing w:val="-1"/>
          <w:sz w:val="21"/>
          <w:szCs w:val="21"/>
          <w:highlight w:val="none"/>
        </w:rPr>
        <w:t>由发包人承担。</w:t>
      </w:r>
    </w:p>
    <w:p w14:paraId="30B7F998">
      <w:pPr>
        <w:spacing w:before="46" w:line="220"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18.2 工伤保险</w:t>
      </w:r>
    </w:p>
    <w:p w14:paraId="25703936">
      <w:pPr>
        <w:spacing w:before="129" w:line="352" w:lineRule="auto"/>
        <w:ind w:left="29" w:right="185" w:firstLine="427"/>
        <w:jc w:val="both"/>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18.2.1</w:t>
      </w:r>
      <w:r>
        <w:rPr>
          <w:rFonts w:ascii="Times New Roman" w:hAnsi="Times New Roman" w:eastAsia="Times New Roman" w:cs="Times New Roman"/>
          <w:color w:val="auto"/>
          <w:spacing w:val="40"/>
          <w:w w:val="101"/>
          <w:sz w:val="21"/>
          <w:szCs w:val="21"/>
          <w:highlight w:val="none"/>
        </w:rPr>
        <w:t xml:space="preserve"> </w:t>
      </w:r>
      <w:r>
        <w:rPr>
          <w:rFonts w:ascii="宋体" w:hAnsi="宋体" w:eastAsia="宋体" w:cs="宋体"/>
          <w:color w:val="auto"/>
          <w:sz w:val="21"/>
          <w:szCs w:val="21"/>
          <w:highlight w:val="none"/>
        </w:rPr>
        <w:t>发包人应依照法律规定参加工伤保险， 并为在施工现场的全部员工办理工伤保 险，缴纳工伤保险费， 并要求监理人及由发包人为履行合同聘请的第三方依法</w:t>
      </w:r>
      <w:r>
        <w:rPr>
          <w:rFonts w:ascii="宋体" w:hAnsi="宋体" w:eastAsia="宋体" w:cs="宋体"/>
          <w:color w:val="auto"/>
          <w:spacing w:val="-1"/>
          <w:sz w:val="21"/>
          <w:szCs w:val="21"/>
          <w:highlight w:val="none"/>
        </w:rPr>
        <w:t>参加工伤保</w:t>
      </w:r>
    </w:p>
    <w:p w14:paraId="6E8D8FD9">
      <w:pPr>
        <w:spacing w:line="221" w:lineRule="auto"/>
        <w:ind w:left="29"/>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险。</w:t>
      </w:r>
    </w:p>
    <w:p w14:paraId="08DA11B5">
      <w:pPr>
        <w:spacing w:before="147" w:line="399" w:lineRule="exact"/>
        <w:ind w:left="457"/>
        <w:rPr>
          <w:rFonts w:ascii="宋体" w:hAnsi="宋体" w:eastAsia="宋体" w:cs="宋体"/>
          <w:color w:val="auto"/>
          <w:sz w:val="21"/>
          <w:szCs w:val="21"/>
          <w:highlight w:val="none"/>
        </w:rPr>
      </w:pPr>
      <w:r>
        <w:rPr>
          <w:rFonts w:ascii="Times New Roman" w:hAnsi="Times New Roman" w:eastAsia="Times New Roman" w:cs="Times New Roman"/>
          <w:color w:val="auto"/>
          <w:position w:val="14"/>
          <w:sz w:val="21"/>
          <w:szCs w:val="21"/>
          <w:highlight w:val="none"/>
        </w:rPr>
        <w:t>18.2.2</w:t>
      </w:r>
      <w:r>
        <w:rPr>
          <w:rFonts w:ascii="Times New Roman" w:hAnsi="Times New Roman" w:eastAsia="Times New Roman" w:cs="Times New Roman"/>
          <w:color w:val="auto"/>
          <w:spacing w:val="39"/>
          <w:w w:val="101"/>
          <w:position w:val="14"/>
          <w:sz w:val="21"/>
          <w:szCs w:val="21"/>
          <w:highlight w:val="none"/>
        </w:rPr>
        <w:t xml:space="preserve"> </w:t>
      </w:r>
      <w:r>
        <w:rPr>
          <w:rFonts w:ascii="宋体" w:hAnsi="宋体" w:eastAsia="宋体" w:cs="宋体"/>
          <w:color w:val="auto"/>
          <w:position w:val="14"/>
          <w:sz w:val="21"/>
          <w:szCs w:val="21"/>
          <w:highlight w:val="none"/>
        </w:rPr>
        <w:t>承包人应依照法律规定参加工伤保险， 并为其履行合同的全部员工办理工伤保</w:t>
      </w:r>
    </w:p>
    <w:p w14:paraId="38790CD0">
      <w:pPr>
        <w:spacing w:before="1" w:line="219" w:lineRule="auto"/>
        <w:ind w:left="29"/>
        <w:rPr>
          <w:rFonts w:ascii="宋体" w:hAnsi="宋体" w:eastAsia="宋体" w:cs="宋体"/>
          <w:color w:val="auto"/>
          <w:sz w:val="21"/>
          <w:szCs w:val="21"/>
          <w:highlight w:val="none"/>
        </w:rPr>
      </w:pPr>
      <w:r>
        <w:rPr>
          <w:rFonts w:ascii="宋体" w:hAnsi="宋体" w:eastAsia="宋体" w:cs="宋体"/>
          <w:color w:val="auto"/>
          <w:sz w:val="21"/>
          <w:szCs w:val="21"/>
          <w:highlight w:val="none"/>
        </w:rPr>
        <w:t>险，缴纳工伤保险费， 并要求分包人及由承包人为履行合同聘请的第三方依法</w:t>
      </w:r>
      <w:r>
        <w:rPr>
          <w:rFonts w:ascii="宋体" w:hAnsi="宋体" w:eastAsia="宋体" w:cs="宋体"/>
          <w:color w:val="auto"/>
          <w:spacing w:val="-1"/>
          <w:sz w:val="21"/>
          <w:szCs w:val="21"/>
          <w:highlight w:val="none"/>
        </w:rPr>
        <w:t>参加工伤保</w:t>
      </w:r>
    </w:p>
    <w:p w14:paraId="31708AED">
      <w:pPr>
        <w:spacing w:before="153" w:line="221" w:lineRule="auto"/>
        <w:ind w:left="29"/>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险。</w:t>
      </w:r>
    </w:p>
    <w:p w14:paraId="75D0B9AF">
      <w:pPr>
        <w:spacing w:before="45" w:line="220" w:lineRule="auto"/>
        <w:ind w:left="31"/>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18.3</w:t>
      </w:r>
      <w:r>
        <w:rPr>
          <w:rFonts w:ascii="黑体" w:hAnsi="黑体" w:eastAsia="黑体" w:cs="黑体"/>
          <w:color w:val="auto"/>
          <w:spacing w:val="12"/>
          <w:sz w:val="24"/>
          <w:szCs w:val="24"/>
          <w:highlight w:val="none"/>
        </w:rPr>
        <w:t xml:space="preserve"> </w:t>
      </w:r>
      <w:r>
        <w:rPr>
          <w:rFonts w:ascii="黑体" w:hAnsi="黑体" w:eastAsia="黑体" w:cs="黑体"/>
          <w:color w:val="auto"/>
          <w:spacing w:val="-4"/>
          <w:sz w:val="24"/>
          <w:szCs w:val="24"/>
          <w:highlight w:val="none"/>
        </w:rPr>
        <w:t>其他保险</w:t>
      </w:r>
    </w:p>
    <w:p w14:paraId="30B5DA41">
      <w:pPr>
        <w:spacing w:before="128" w:line="398" w:lineRule="exact"/>
        <w:ind w:left="444"/>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发包人和承包人可以为其施工现场的全部人员办理意外伤害保险并支付保险费， 包括</w:t>
      </w:r>
    </w:p>
    <w:p w14:paraId="6CECB301">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其员工及为履行合同聘请的第三方的人员，具体事项由合同当事人在专用合同条款约定。</w:t>
      </w:r>
    </w:p>
    <w:p w14:paraId="5EEF7D43">
      <w:pPr>
        <w:spacing w:before="152" w:line="221" w:lineRule="auto"/>
        <w:ind w:left="453"/>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除专用合同条款另有约定外， 承包人应为其施工设备等办理财产保险。</w:t>
      </w:r>
    </w:p>
    <w:p w14:paraId="4C3E629D">
      <w:pPr>
        <w:spacing w:line="221" w:lineRule="auto"/>
        <w:rPr>
          <w:rFonts w:ascii="宋体" w:hAnsi="宋体" w:eastAsia="宋体" w:cs="宋体"/>
          <w:color w:val="auto"/>
          <w:sz w:val="21"/>
          <w:szCs w:val="21"/>
          <w:highlight w:val="none"/>
        </w:rPr>
        <w:sectPr>
          <w:footerReference r:id="rId148" w:type="default"/>
          <w:pgSz w:w="11905" w:h="16839"/>
          <w:pgMar w:top="1431" w:right="1612" w:bottom="1004" w:left="1785" w:header="0" w:footer="828" w:gutter="0"/>
          <w:pgNumType w:fmt="decimal"/>
          <w:cols w:space="720" w:num="1"/>
        </w:sectPr>
      </w:pPr>
    </w:p>
    <w:p w14:paraId="278DDFFC">
      <w:pPr>
        <w:spacing w:before="47" w:line="220"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18.4 持续保险</w:t>
      </w:r>
    </w:p>
    <w:p w14:paraId="5EDD2CD4">
      <w:pPr>
        <w:spacing w:before="127" w:line="221" w:lineRule="auto"/>
        <w:ind w:right="6"/>
        <w:jc w:val="right"/>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合同当事人应与保险人保持联系，使保险人能够随时了解工程实施中的变动，并确保</w:t>
      </w:r>
    </w:p>
    <w:p w14:paraId="39126CE5">
      <w:pPr>
        <w:spacing w:before="147" w:line="221"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按保险合同条款要求持续保险。</w:t>
      </w:r>
    </w:p>
    <w:p w14:paraId="7F07A13E">
      <w:pPr>
        <w:spacing w:before="46" w:line="218"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18.5 保险凭证</w:t>
      </w:r>
    </w:p>
    <w:p w14:paraId="4FE25707">
      <w:pPr>
        <w:spacing w:before="129" w:line="241" w:lineRule="auto"/>
        <w:ind w:left="31" w:right="160" w:firstLine="410"/>
        <w:rPr>
          <w:rFonts w:ascii="黑体" w:hAnsi="黑体" w:eastAsia="黑体" w:cs="黑体"/>
          <w:color w:val="auto"/>
          <w:sz w:val="24"/>
          <w:szCs w:val="24"/>
          <w:highlight w:val="none"/>
        </w:rPr>
      </w:pPr>
      <w:r>
        <w:rPr>
          <w:rFonts w:ascii="宋体" w:hAnsi="宋体" w:eastAsia="宋体" w:cs="宋体"/>
          <w:color w:val="auto"/>
          <w:spacing w:val="-1"/>
          <w:sz w:val="21"/>
          <w:szCs w:val="21"/>
          <w:highlight w:val="none"/>
        </w:rPr>
        <w:t>合同当事人应及时向另一方当事人提交其已投保的各项保险的凭证和保险单</w:t>
      </w:r>
      <w:r>
        <w:rPr>
          <w:rFonts w:ascii="宋体" w:hAnsi="宋体" w:eastAsia="宋体" w:cs="宋体"/>
          <w:color w:val="auto"/>
          <w:spacing w:val="-2"/>
          <w:sz w:val="21"/>
          <w:szCs w:val="21"/>
          <w:highlight w:val="none"/>
        </w:rPr>
        <w:t>复印件。</w:t>
      </w:r>
      <w:r>
        <w:rPr>
          <w:rFonts w:ascii="宋体" w:hAnsi="宋体" w:eastAsia="宋体" w:cs="宋体"/>
          <w:color w:val="auto"/>
          <w:sz w:val="21"/>
          <w:szCs w:val="21"/>
          <w:highlight w:val="none"/>
        </w:rPr>
        <w:t xml:space="preserve"> </w:t>
      </w:r>
      <w:r>
        <w:rPr>
          <w:rFonts w:ascii="黑体" w:hAnsi="黑体" w:eastAsia="黑体" w:cs="黑体"/>
          <w:color w:val="auto"/>
          <w:spacing w:val="-2"/>
          <w:sz w:val="24"/>
          <w:szCs w:val="24"/>
          <w:highlight w:val="none"/>
        </w:rPr>
        <w:t>18.6 未按约定投保的补救</w:t>
      </w:r>
    </w:p>
    <w:p w14:paraId="1D8284CA">
      <w:pPr>
        <w:spacing w:before="129" w:line="350" w:lineRule="auto"/>
        <w:ind w:left="20" w:right="7" w:firstLine="436"/>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18.6.1</w:t>
      </w:r>
      <w:r>
        <w:rPr>
          <w:rFonts w:ascii="Times New Roman" w:hAnsi="Times New Roman" w:eastAsia="Times New Roman" w:cs="Times New Roman"/>
          <w:color w:val="auto"/>
          <w:spacing w:val="45"/>
          <w:w w:val="101"/>
          <w:sz w:val="21"/>
          <w:szCs w:val="21"/>
          <w:highlight w:val="none"/>
        </w:rPr>
        <w:t xml:space="preserve"> </w:t>
      </w:r>
      <w:r>
        <w:rPr>
          <w:rFonts w:ascii="宋体" w:hAnsi="宋体" w:eastAsia="宋体" w:cs="宋体"/>
          <w:color w:val="auto"/>
          <w:spacing w:val="3"/>
          <w:sz w:val="21"/>
          <w:szCs w:val="21"/>
          <w:highlight w:val="none"/>
        </w:rPr>
        <w:t>发包人未按合同约定办理保险，或未能使</w:t>
      </w:r>
      <w:r>
        <w:rPr>
          <w:rFonts w:ascii="宋体" w:hAnsi="宋体" w:eastAsia="宋体" w:cs="宋体"/>
          <w:color w:val="auto"/>
          <w:spacing w:val="2"/>
          <w:sz w:val="21"/>
          <w:szCs w:val="21"/>
          <w:highlight w:val="none"/>
        </w:rPr>
        <w:t>保险持续有效的，则承包人可代为办</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理，所需费用由发包人承担。发包人未按合同约定办理保</w:t>
      </w:r>
      <w:r>
        <w:rPr>
          <w:rFonts w:ascii="宋体" w:hAnsi="宋体" w:eastAsia="宋体" w:cs="宋体"/>
          <w:color w:val="auto"/>
          <w:spacing w:val="2"/>
          <w:sz w:val="21"/>
          <w:szCs w:val="21"/>
          <w:highlight w:val="none"/>
        </w:rPr>
        <w:t>险，导致未能得到足额赔偿的，</w:t>
      </w:r>
    </w:p>
    <w:p w14:paraId="78937570">
      <w:pPr>
        <w:spacing w:before="1" w:line="220" w:lineRule="auto"/>
        <w:ind w:left="4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由发包人负责补足。</w:t>
      </w:r>
    </w:p>
    <w:p w14:paraId="447DDB7E">
      <w:pPr>
        <w:spacing w:before="152" w:line="398" w:lineRule="exact"/>
        <w:ind w:right="7"/>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3"/>
          <w:position w:val="14"/>
          <w:sz w:val="21"/>
          <w:szCs w:val="21"/>
          <w:highlight w:val="none"/>
        </w:rPr>
        <w:t>18.6.2</w:t>
      </w:r>
      <w:r>
        <w:rPr>
          <w:rFonts w:ascii="Times New Roman" w:hAnsi="Times New Roman" w:eastAsia="Times New Roman" w:cs="Times New Roman"/>
          <w:color w:val="auto"/>
          <w:spacing w:val="42"/>
          <w:w w:val="101"/>
          <w:position w:val="14"/>
          <w:sz w:val="21"/>
          <w:szCs w:val="21"/>
          <w:highlight w:val="none"/>
        </w:rPr>
        <w:t xml:space="preserve"> </w:t>
      </w:r>
      <w:r>
        <w:rPr>
          <w:rFonts w:ascii="宋体" w:hAnsi="宋体" w:eastAsia="宋体" w:cs="宋体"/>
          <w:color w:val="auto"/>
          <w:spacing w:val="3"/>
          <w:position w:val="14"/>
          <w:sz w:val="21"/>
          <w:szCs w:val="21"/>
          <w:highlight w:val="none"/>
        </w:rPr>
        <w:t>承包人未按合同约定办理保险，或未能使保险持</w:t>
      </w:r>
      <w:r>
        <w:rPr>
          <w:rFonts w:ascii="宋体" w:hAnsi="宋体" w:eastAsia="宋体" w:cs="宋体"/>
          <w:color w:val="auto"/>
          <w:spacing w:val="2"/>
          <w:position w:val="14"/>
          <w:sz w:val="21"/>
          <w:szCs w:val="21"/>
          <w:highlight w:val="none"/>
        </w:rPr>
        <w:t>续有效的，则发包人可代为办</w:t>
      </w:r>
    </w:p>
    <w:p w14:paraId="4DAAAEF5">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理，所需费用由承包人承担。承包人未按合同约定办理保</w:t>
      </w:r>
      <w:r>
        <w:rPr>
          <w:rFonts w:ascii="宋体" w:hAnsi="宋体" w:eastAsia="宋体" w:cs="宋体"/>
          <w:color w:val="auto"/>
          <w:spacing w:val="2"/>
          <w:sz w:val="21"/>
          <w:szCs w:val="21"/>
          <w:highlight w:val="none"/>
        </w:rPr>
        <w:t>险，导致未能得到足额赔偿的，</w:t>
      </w:r>
    </w:p>
    <w:p w14:paraId="7C305FF9">
      <w:pPr>
        <w:spacing w:before="147" w:line="221" w:lineRule="auto"/>
        <w:ind w:left="4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由承包人负责补足。</w:t>
      </w:r>
    </w:p>
    <w:p w14:paraId="00B77E40">
      <w:pPr>
        <w:spacing w:before="47" w:line="218"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18.7 通知义务</w:t>
      </w:r>
    </w:p>
    <w:p w14:paraId="1EFD773E">
      <w:pPr>
        <w:spacing w:before="130" w:line="352" w:lineRule="auto"/>
        <w:ind w:left="18" w:right="6" w:firstLine="435"/>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除专用合同条款另有约定外，发包人变更除工伤保险之外的保</w:t>
      </w:r>
      <w:r>
        <w:rPr>
          <w:rFonts w:ascii="宋体" w:hAnsi="宋体" w:eastAsia="宋体" w:cs="宋体"/>
          <w:color w:val="auto"/>
          <w:spacing w:val="2"/>
          <w:sz w:val="21"/>
          <w:szCs w:val="21"/>
          <w:highlight w:val="none"/>
        </w:rPr>
        <w:t>险合同时，应事先征得</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承包人同意， 并通知监理人； 承包人变更除工伤保</w:t>
      </w:r>
      <w:r>
        <w:rPr>
          <w:rFonts w:ascii="宋体" w:hAnsi="宋体" w:eastAsia="宋体" w:cs="宋体"/>
          <w:color w:val="auto"/>
          <w:spacing w:val="-3"/>
          <w:sz w:val="21"/>
          <w:szCs w:val="21"/>
          <w:highlight w:val="none"/>
        </w:rPr>
        <w:t>险之外的保险合同时，应事先征得发包</w:t>
      </w:r>
    </w:p>
    <w:p w14:paraId="677BC60A">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人同意，并通知监理人。</w:t>
      </w:r>
    </w:p>
    <w:p w14:paraId="42353399">
      <w:pPr>
        <w:spacing w:before="148" w:line="403"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保险事故发生时，投保人应按照保险合同规定的条件和期限及时向保险人报告。发包</w:t>
      </w:r>
    </w:p>
    <w:p w14:paraId="73EDC469">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人和承包人应当在知道保险事故发生后及时通知对方。</w:t>
      </w:r>
    </w:p>
    <w:p w14:paraId="618AAE35">
      <w:pPr>
        <w:spacing w:before="172" w:line="220" w:lineRule="auto"/>
        <w:ind w:left="39"/>
        <w:rPr>
          <w:rFonts w:ascii="黑体" w:hAnsi="黑体" w:eastAsia="黑体" w:cs="黑体"/>
          <w:color w:val="auto"/>
          <w:sz w:val="32"/>
          <w:szCs w:val="32"/>
          <w:highlight w:val="none"/>
        </w:rPr>
      </w:pPr>
      <w:r>
        <w:rPr>
          <w:rFonts w:ascii="黑体" w:hAnsi="黑体" w:eastAsia="黑体" w:cs="黑体"/>
          <w:color w:val="auto"/>
          <w:spacing w:val="-6"/>
          <w:sz w:val="32"/>
          <w:szCs w:val="32"/>
          <w:highlight w:val="none"/>
        </w:rPr>
        <w:t>19.索赔</w:t>
      </w:r>
    </w:p>
    <w:p w14:paraId="622B8F95">
      <w:pPr>
        <w:spacing w:before="145" w:line="219" w:lineRule="auto"/>
        <w:ind w:left="31"/>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19.1</w:t>
      </w:r>
      <w:r>
        <w:rPr>
          <w:rFonts w:ascii="黑体" w:hAnsi="黑体" w:eastAsia="黑体" w:cs="黑体"/>
          <w:color w:val="auto"/>
          <w:spacing w:val="-54"/>
          <w:sz w:val="24"/>
          <w:szCs w:val="24"/>
          <w:highlight w:val="none"/>
        </w:rPr>
        <w:t xml:space="preserve"> </w:t>
      </w:r>
      <w:r>
        <w:rPr>
          <w:rFonts w:ascii="黑体" w:hAnsi="黑体" w:eastAsia="黑体" w:cs="黑体"/>
          <w:color w:val="auto"/>
          <w:spacing w:val="-3"/>
          <w:sz w:val="24"/>
          <w:szCs w:val="24"/>
          <w:highlight w:val="none"/>
        </w:rPr>
        <w:t>承包人的索赔</w:t>
      </w:r>
    </w:p>
    <w:p w14:paraId="0676C3A2">
      <w:pPr>
        <w:spacing w:before="129" w:line="404" w:lineRule="exact"/>
        <w:ind w:right="6"/>
        <w:jc w:val="right"/>
        <w:rPr>
          <w:rFonts w:ascii="宋体" w:hAnsi="宋体" w:eastAsia="宋体" w:cs="宋体"/>
          <w:color w:val="auto"/>
          <w:sz w:val="21"/>
          <w:szCs w:val="21"/>
          <w:highlight w:val="none"/>
        </w:rPr>
      </w:pPr>
      <w:r>
        <w:rPr>
          <w:rFonts w:ascii="宋体" w:hAnsi="宋体" w:eastAsia="宋体" w:cs="宋体"/>
          <w:color w:val="auto"/>
          <w:spacing w:val="-5"/>
          <w:position w:val="14"/>
          <w:sz w:val="21"/>
          <w:szCs w:val="21"/>
          <w:highlight w:val="none"/>
        </w:rPr>
        <w:t>根据合同约定， 承包人认为有权得到追加付款和（或） 延长工期的， 应按以下程序向</w:t>
      </w:r>
    </w:p>
    <w:p w14:paraId="0883DE0F">
      <w:pPr>
        <w:spacing w:line="220" w:lineRule="auto"/>
        <w:ind w:left="21"/>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发包人提出索赔：</w:t>
      </w:r>
    </w:p>
    <w:p w14:paraId="7D14D576">
      <w:pPr>
        <w:spacing w:before="149" w:line="352" w:lineRule="auto"/>
        <w:ind w:left="22" w:right="2" w:firstLine="424"/>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1</w:t>
      </w:r>
      <w:r>
        <w:rPr>
          <w:rFonts w:ascii="宋体" w:hAnsi="宋体" w:eastAsia="宋体" w:cs="宋体"/>
          <w:color w:val="auto"/>
          <w:sz w:val="21"/>
          <w:szCs w:val="21"/>
          <w:highlight w:val="none"/>
        </w:rPr>
        <w:t xml:space="preserve">）承包人应在知道或应当知道索赔事件发生后 </w:t>
      </w:r>
      <w:r>
        <w:rPr>
          <w:rFonts w:ascii="Times New Roman" w:hAnsi="Times New Roman" w:eastAsia="Times New Roman" w:cs="Times New Roman"/>
          <w:color w:val="auto"/>
          <w:sz w:val="21"/>
          <w:szCs w:val="21"/>
          <w:highlight w:val="none"/>
        </w:rPr>
        <w:t xml:space="preserve">28  </w:t>
      </w:r>
      <w:r>
        <w:rPr>
          <w:rFonts w:ascii="宋体" w:hAnsi="宋体" w:eastAsia="宋体" w:cs="宋体"/>
          <w:color w:val="auto"/>
          <w:sz w:val="21"/>
          <w:szCs w:val="21"/>
          <w:highlight w:val="none"/>
        </w:rPr>
        <w:t>天内，向监理人递交索赔意向通</w:t>
      </w:r>
      <w:r>
        <w:rPr>
          <w:rFonts w:ascii="宋体" w:hAnsi="宋体" w:eastAsia="宋体" w:cs="宋体"/>
          <w:color w:val="auto"/>
          <w:spacing w:val="7"/>
          <w:sz w:val="21"/>
          <w:szCs w:val="21"/>
          <w:highlight w:val="none"/>
        </w:rPr>
        <w:t xml:space="preserve"> </w:t>
      </w:r>
      <w:r>
        <w:rPr>
          <w:rFonts w:ascii="宋体" w:hAnsi="宋体" w:eastAsia="宋体" w:cs="宋体"/>
          <w:color w:val="auto"/>
          <w:spacing w:val="-3"/>
          <w:sz w:val="21"/>
          <w:szCs w:val="21"/>
          <w:highlight w:val="none"/>
        </w:rPr>
        <w:t>知书，并说明发生索赔事件的事由；承包人未在前述</w:t>
      </w:r>
      <w:r>
        <w:rPr>
          <w:rFonts w:ascii="宋体" w:hAnsi="宋体" w:eastAsia="宋体" w:cs="宋体"/>
          <w:color w:val="auto"/>
          <w:spacing w:val="-36"/>
          <w:sz w:val="21"/>
          <w:szCs w:val="21"/>
          <w:highlight w:val="none"/>
        </w:rPr>
        <w:t xml:space="preserve"> </w:t>
      </w:r>
      <w:r>
        <w:rPr>
          <w:rFonts w:ascii="Times New Roman" w:hAnsi="Times New Roman" w:eastAsia="Times New Roman" w:cs="Times New Roman"/>
          <w:color w:val="auto"/>
          <w:spacing w:val="-3"/>
          <w:sz w:val="21"/>
          <w:szCs w:val="21"/>
          <w:highlight w:val="none"/>
        </w:rPr>
        <w:t>28</w:t>
      </w:r>
      <w:r>
        <w:rPr>
          <w:rFonts w:ascii="Times New Roman" w:hAnsi="Times New Roman" w:eastAsia="Times New Roman" w:cs="Times New Roman"/>
          <w:color w:val="auto"/>
          <w:spacing w:val="13"/>
          <w:w w:val="101"/>
          <w:sz w:val="21"/>
          <w:szCs w:val="21"/>
          <w:highlight w:val="none"/>
        </w:rPr>
        <w:t xml:space="preserve"> </w:t>
      </w:r>
      <w:r>
        <w:rPr>
          <w:rFonts w:ascii="宋体" w:hAnsi="宋体" w:eastAsia="宋体" w:cs="宋体"/>
          <w:color w:val="auto"/>
          <w:spacing w:val="-3"/>
          <w:sz w:val="21"/>
          <w:szCs w:val="21"/>
          <w:highlight w:val="none"/>
        </w:rPr>
        <w:t xml:space="preserve">天内发出索赔意向通知书的， </w:t>
      </w:r>
      <w:r>
        <w:rPr>
          <w:rFonts w:ascii="宋体" w:hAnsi="宋体" w:eastAsia="宋体" w:cs="宋体"/>
          <w:color w:val="auto"/>
          <w:spacing w:val="-4"/>
          <w:sz w:val="21"/>
          <w:szCs w:val="21"/>
          <w:highlight w:val="none"/>
        </w:rPr>
        <w:t>丧失</w:t>
      </w:r>
    </w:p>
    <w:p w14:paraId="29D07CFA">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要求追加付款和（或）延长工期的权利；</w:t>
      </w:r>
    </w:p>
    <w:p w14:paraId="0AA44CCC">
      <w:pPr>
        <w:spacing w:before="149" w:line="352" w:lineRule="auto"/>
        <w:ind w:left="16" w:right="7" w:firstLine="43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 xml:space="preserve">）承包人应在发出索赔意向通知书后 </w:t>
      </w:r>
      <w:r>
        <w:rPr>
          <w:rFonts w:ascii="Times New Roman" w:hAnsi="Times New Roman" w:eastAsia="Times New Roman" w:cs="Times New Roman"/>
          <w:color w:val="auto"/>
          <w:spacing w:val="-2"/>
          <w:sz w:val="21"/>
          <w:szCs w:val="21"/>
          <w:highlight w:val="none"/>
        </w:rPr>
        <w:t xml:space="preserve">28  </w:t>
      </w:r>
      <w:r>
        <w:rPr>
          <w:rFonts w:ascii="宋体" w:hAnsi="宋体" w:eastAsia="宋体" w:cs="宋体"/>
          <w:color w:val="auto"/>
          <w:spacing w:val="-3"/>
          <w:sz w:val="21"/>
          <w:szCs w:val="21"/>
          <w:highlight w:val="none"/>
        </w:rPr>
        <w:t>天内， 向监理人正式递交索赔报告；索赔</w:t>
      </w:r>
      <w:r>
        <w:rPr>
          <w:rFonts w:ascii="宋体" w:hAnsi="宋体" w:eastAsia="宋体" w:cs="宋体"/>
          <w:color w:val="auto"/>
          <w:sz w:val="21"/>
          <w:szCs w:val="21"/>
          <w:highlight w:val="none"/>
        </w:rPr>
        <w:t xml:space="preserve"> 报告应详细说明索赔理由以及要求追加的付款金额和（或） 延长的工期，并附必要的记录</w:t>
      </w:r>
    </w:p>
    <w:p w14:paraId="70744DE7">
      <w:pPr>
        <w:spacing w:before="1"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和证明材料；</w:t>
      </w:r>
    </w:p>
    <w:p w14:paraId="0895AC7B">
      <w:pPr>
        <w:spacing w:before="149" w:line="398" w:lineRule="exact"/>
        <w:ind w:right="12"/>
        <w:jc w:val="right"/>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w:t>
      </w:r>
      <w:r>
        <w:rPr>
          <w:rFonts w:ascii="Times New Roman" w:hAnsi="Times New Roman" w:eastAsia="Times New Roman" w:cs="Times New Roman"/>
          <w:color w:val="auto"/>
          <w:spacing w:val="-4"/>
          <w:position w:val="14"/>
          <w:sz w:val="21"/>
          <w:szCs w:val="21"/>
          <w:highlight w:val="none"/>
        </w:rPr>
        <w:t>3</w:t>
      </w:r>
      <w:r>
        <w:rPr>
          <w:rFonts w:ascii="宋体" w:hAnsi="宋体" w:eastAsia="宋体" w:cs="宋体"/>
          <w:color w:val="auto"/>
          <w:spacing w:val="-4"/>
          <w:position w:val="14"/>
          <w:sz w:val="21"/>
          <w:szCs w:val="21"/>
          <w:highlight w:val="none"/>
        </w:rPr>
        <w:t>）索赔事件具有持续影响的，</w:t>
      </w:r>
      <w:r>
        <w:rPr>
          <w:rFonts w:ascii="宋体" w:hAnsi="宋体" w:eastAsia="宋体" w:cs="宋体"/>
          <w:color w:val="auto"/>
          <w:spacing w:val="51"/>
          <w:position w:val="14"/>
          <w:sz w:val="21"/>
          <w:szCs w:val="21"/>
          <w:highlight w:val="none"/>
        </w:rPr>
        <w:t xml:space="preserve"> </w:t>
      </w:r>
      <w:r>
        <w:rPr>
          <w:rFonts w:ascii="宋体" w:hAnsi="宋体" w:eastAsia="宋体" w:cs="宋体"/>
          <w:color w:val="auto"/>
          <w:spacing w:val="-4"/>
          <w:position w:val="14"/>
          <w:sz w:val="21"/>
          <w:szCs w:val="21"/>
          <w:highlight w:val="none"/>
        </w:rPr>
        <w:t>承包人应按合理时间间隔继续递交延</w:t>
      </w:r>
      <w:r>
        <w:rPr>
          <w:rFonts w:ascii="宋体" w:hAnsi="宋体" w:eastAsia="宋体" w:cs="宋体"/>
          <w:color w:val="auto"/>
          <w:spacing w:val="-5"/>
          <w:position w:val="14"/>
          <w:sz w:val="21"/>
          <w:szCs w:val="21"/>
          <w:highlight w:val="none"/>
        </w:rPr>
        <w:t>续索赔通知，说</w:t>
      </w:r>
    </w:p>
    <w:p w14:paraId="76A09038">
      <w:pPr>
        <w:spacing w:before="1" w:line="220" w:lineRule="auto"/>
        <w:ind w:left="3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明持续影响的实际情况和记录，列出累计的追加付款金额和（或）工期延长天数；</w:t>
      </w:r>
    </w:p>
    <w:p w14:paraId="764AE90D">
      <w:pPr>
        <w:spacing w:before="152" w:line="219" w:lineRule="auto"/>
        <w:ind w:right="7"/>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4</w:t>
      </w:r>
      <w:r>
        <w:rPr>
          <w:rFonts w:ascii="宋体" w:hAnsi="宋体" w:eastAsia="宋体" w:cs="宋体"/>
          <w:color w:val="auto"/>
          <w:sz w:val="21"/>
          <w:szCs w:val="21"/>
          <w:highlight w:val="none"/>
        </w:rPr>
        <w:t xml:space="preserve">）在索赔事件影响结束后 </w:t>
      </w:r>
      <w:r>
        <w:rPr>
          <w:rFonts w:ascii="Times New Roman" w:hAnsi="Times New Roman" w:eastAsia="Times New Roman" w:cs="Times New Roman"/>
          <w:color w:val="auto"/>
          <w:sz w:val="21"/>
          <w:szCs w:val="21"/>
          <w:highlight w:val="none"/>
        </w:rPr>
        <w:t xml:space="preserve">28  </w:t>
      </w:r>
      <w:r>
        <w:rPr>
          <w:rFonts w:ascii="宋体" w:hAnsi="宋体" w:eastAsia="宋体" w:cs="宋体"/>
          <w:color w:val="auto"/>
          <w:sz w:val="21"/>
          <w:szCs w:val="21"/>
          <w:highlight w:val="none"/>
        </w:rPr>
        <w:t>天内，承包人应向监理人递交最终索赔报告，说明最</w:t>
      </w:r>
    </w:p>
    <w:p w14:paraId="350A9842">
      <w:pPr>
        <w:spacing w:before="149" w:line="220"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终要求索赔的追加付款金额和（或）延长的工期，并附必要的记录和证明材料。</w:t>
      </w:r>
    </w:p>
    <w:p w14:paraId="6650B398">
      <w:pPr>
        <w:spacing w:before="47" w:line="414" w:lineRule="exact"/>
        <w:ind w:left="31"/>
        <w:rPr>
          <w:rFonts w:ascii="黑体" w:hAnsi="黑体" w:eastAsia="黑体" w:cs="黑体"/>
          <w:color w:val="auto"/>
          <w:sz w:val="24"/>
          <w:szCs w:val="24"/>
          <w:highlight w:val="none"/>
        </w:rPr>
      </w:pPr>
      <w:r>
        <w:rPr>
          <w:rFonts w:ascii="黑体" w:hAnsi="黑体" w:eastAsia="黑体" w:cs="黑体"/>
          <w:color w:val="auto"/>
          <w:spacing w:val="-2"/>
          <w:position w:val="12"/>
          <w:sz w:val="24"/>
          <w:szCs w:val="24"/>
          <w:highlight w:val="none"/>
        </w:rPr>
        <w:t>19.2 对承包人索赔的处理</w:t>
      </w:r>
    </w:p>
    <w:p w14:paraId="181CBCA1">
      <w:pPr>
        <w:spacing w:line="220" w:lineRule="auto"/>
        <w:ind w:left="44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对承包人索赔的处理如下：</w:t>
      </w:r>
    </w:p>
    <w:p w14:paraId="58CEBE0C">
      <w:pPr>
        <w:spacing w:before="153" w:line="219" w:lineRule="auto"/>
        <w:ind w:right="7"/>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w:t>
      </w:r>
      <w:r>
        <w:rPr>
          <w:rFonts w:ascii="宋体" w:hAnsi="宋体" w:eastAsia="宋体" w:cs="宋体"/>
          <w:color w:val="auto"/>
          <w:spacing w:val="-1"/>
          <w:sz w:val="21"/>
          <w:szCs w:val="21"/>
          <w:highlight w:val="none"/>
        </w:rPr>
        <w:t>）监理人应在收到索赔报告后</w:t>
      </w:r>
      <w:r>
        <w:rPr>
          <w:rFonts w:ascii="宋体" w:hAnsi="宋体" w:eastAsia="宋体" w:cs="宋体"/>
          <w:color w:val="auto"/>
          <w:spacing w:val="45"/>
          <w:sz w:val="21"/>
          <w:szCs w:val="21"/>
          <w:highlight w:val="none"/>
        </w:rPr>
        <w:t xml:space="preserve"> </w:t>
      </w:r>
      <w:r>
        <w:rPr>
          <w:rFonts w:ascii="Times New Roman" w:hAnsi="Times New Roman" w:eastAsia="Times New Roman" w:cs="Times New Roman"/>
          <w:color w:val="auto"/>
          <w:spacing w:val="-1"/>
          <w:sz w:val="21"/>
          <w:szCs w:val="21"/>
          <w:highlight w:val="none"/>
        </w:rPr>
        <w:t>14</w:t>
      </w:r>
      <w:r>
        <w:rPr>
          <w:rFonts w:ascii="Times New Roman" w:hAnsi="Times New Roman" w:eastAsia="Times New Roman" w:cs="Times New Roman"/>
          <w:color w:val="auto"/>
          <w:spacing w:val="47"/>
          <w:sz w:val="21"/>
          <w:szCs w:val="21"/>
          <w:highlight w:val="none"/>
        </w:rPr>
        <w:t xml:space="preserve"> </w:t>
      </w:r>
      <w:r>
        <w:rPr>
          <w:rFonts w:ascii="宋体" w:hAnsi="宋体" w:eastAsia="宋体" w:cs="宋体"/>
          <w:color w:val="auto"/>
          <w:spacing w:val="-1"/>
          <w:sz w:val="21"/>
          <w:szCs w:val="21"/>
          <w:highlight w:val="none"/>
        </w:rPr>
        <w:t>天内完成审查并报送发包人。监理人对索赔报告</w:t>
      </w:r>
    </w:p>
    <w:p w14:paraId="71BFAEF3">
      <w:pPr>
        <w:spacing w:line="219" w:lineRule="auto"/>
        <w:rPr>
          <w:rFonts w:ascii="宋体" w:hAnsi="宋体" w:eastAsia="宋体" w:cs="宋体"/>
          <w:color w:val="auto"/>
          <w:sz w:val="21"/>
          <w:szCs w:val="21"/>
          <w:highlight w:val="none"/>
        </w:rPr>
        <w:sectPr>
          <w:footerReference r:id="rId149" w:type="default"/>
          <w:pgSz w:w="11905" w:h="16839"/>
          <w:pgMar w:top="1431" w:right="1785" w:bottom="1004" w:left="1785" w:header="0" w:footer="828" w:gutter="0"/>
          <w:pgNumType w:fmt="decimal"/>
          <w:cols w:space="720" w:num="1"/>
        </w:sectPr>
      </w:pPr>
    </w:p>
    <w:p w14:paraId="71AE9710">
      <w:pPr>
        <w:spacing w:before="149" w:line="220"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存在异议的，有权要求承包人提交全部原始记录副本；</w:t>
      </w:r>
    </w:p>
    <w:p w14:paraId="0E4A75F3">
      <w:pPr>
        <w:spacing w:before="147" w:line="353" w:lineRule="auto"/>
        <w:ind w:left="19" w:right="1" w:firstLine="428"/>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 xml:space="preserve">）发包人应在监理人收到索赔报告或有关索赔的进一步证明材料后的 </w:t>
      </w:r>
      <w:r>
        <w:rPr>
          <w:rFonts w:ascii="Times New Roman" w:hAnsi="Times New Roman" w:eastAsia="Times New Roman" w:cs="Times New Roman"/>
          <w:color w:val="auto"/>
          <w:sz w:val="21"/>
          <w:szCs w:val="21"/>
          <w:highlight w:val="none"/>
        </w:rPr>
        <w:t xml:space="preserve">28  </w:t>
      </w:r>
      <w:r>
        <w:rPr>
          <w:rFonts w:ascii="宋体" w:hAnsi="宋体" w:eastAsia="宋体" w:cs="宋体"/>
          <w:color w:val="auto"/>
          <w:sz w:val="21"/>
          <w:szCs w:val="21"/>
          <w:highlight w:val="none"/>
        </w:rPr>
        <w:t>天内，由</w:t>
      </w:r>
      <w:r>
        <w:rPr>
          <w:rFonts w:ascii="宋体" w:hAnsi="宋体" w:eastAsia="宋体" w:cs="宋体"/>
          <w:color w:val="auto"/>
          <w:spacing w:val="8"/>
          <w:sz w:val="21"/>
          <w:szCs w:val="21"/>
          <w:highlight w:val="none"/>
        </w:rPr>
        <w:t xml:space="preserve"> </w:t>
      </w:r>
      <w:r>
        <w:rPr>
          <w:rFonts w:ascii="宋体" w:hAnsi="宋体" w:eastAsia="宋体" w:cs="宋体"/>
          <w:color w:val="auto"/>
          <w:spacing w:val="3"/>
          <w:sz w:val="21"/>
          <w:szCs w:val="21"/>
          <w:highlight w:val="none"/>
        </w:rPr>
        <w:t>监理人向承包人出具经发包人签认的索赔处理结果。发包人逾期答复的，则</w:t>
      </w:r>
      <w:r>
        <w:rPr>
          <w:rFonts w:ascii="宋体" w:hAnsi="宋体" w:eastAsia="宋体" w:cs="宋体"/>
          <w:color w:val="auto"/>
          <w:spacing w:val="2"/>
          <w:sz w:val="21"/>
          <w:szCs w:val="21"/>
          <w:highlight w:val="none"/>
        </w:rPr>
        <w:t>视为认可承包</w:t>
      </w:r>
    </w:p>
    <w:p w14:paraId="18AB15ED">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人的索赔要求；</w:t>
      </w:r>
    </w:p>
    <w:p w14:paraId="1E7B857B">
      <w:pPr>
        <w:spacing w:before="147" w:line="221" w:lineRule="auto"/>
        <w:ind w:right="11"/>
        <w:jc w:val="right"/>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3</w:t>
      </w:r>
      <w:r>
        <w:rPr>
          <w:rFonts w:ascii="宋体" w:hAnsi="宋体" w:eastAsia="宋体" w:cs="宋体"/>
          <w:color w:val="auto"/>
          <w:spacing w:val="-4"/>
          <w:sz w:val="21"/>
          <w:szCs w:val="21"/>
          <w:highlight w:val="none"/>
        </w:rPr>
        <w:t>）承包人接受索赔处理结果的，索赔款项在当期进度款中进行</w:t>
      </w:r>
      <w:r>
        <w:rPr>
          <w:rFonts w:ascii="宋体" w:hAnsi="宋体" w:eastAsia="宋体" w:cs="宋体"/>
          <w:color w:val="auto"/>
          <w:spacing w:val="-5"/>
          <w:sz w:val="21"/>
          <w:szCs w:val="21"/>
          <w:highlight w:val="none"/>
        </w:rPr>
        <w:t>支付；</w:t>
      </w:r>
      <w:r>
        <w:rPr>
          <w:rFonts w:ascii="宋体" w:hAnsi="宋体" w:eastAsia="宋体" w:cs="宋体"/>
          <w:color w:val="auto"/>
          <w:spacing w:val="53"/>
          <w:sz w:val="21"/>
          <w:szCs w:val="21"/>
          <w:highlight w:val="none"/>
        </w:rPr>
        <w:t xml:space="preserve"> </w:t>
      </w:r>
      <w:r>
        <w:rPr>
          <w:rFonts w:ascii="宋体" w:hAnsi="宋体" w:eastAsia="宋体" w:cs="宋体"/>
          <w:color w:val="auto"/>
          <w:spacing w:val="-5"/>
          <w:sz w:val="21"/>
          <w:szCs w:val="21"/>
          <w:highlight w:val="none"/>
        </w:rPr>
        <w:t>承包人不接受</w:t>
      </w:r>
    </w:p>
    <w:p w14:paraId="58FFBB64">
      <w:pPr>
        <w:spacing w:before="151" w:line="221" w:lineRule="auto"/>
        <w:ind w:left="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索赔处理结果的，按照第</w:t>
      </w:r>
      <w:r>
        <w:rPr>
          <w:rFonts w:ascii="宋体" w:hAnsi="宋体" w:eastAsia="宋体" w:cs="宋体"/>
          <w:color w:val="auto"/>
          <w:spacing w:val="-36"/>
          <w:sz w:val="21"/>
          <w:szCs w:val="21"/>
          <w:highlight w:val="none"/>
        </w:rPr>
        <w:t xml:space="preserve"> </w:t>
      </w:r>
      <w:r>
        <w:rPr>
          <w:rFonts w:ascii="Times New Roman" w:hAnsi="Times New Roman" w:eastAsia="Times New Roman" w:cs="Times New Roman"/>
          <w:color w:val="auto"/>
          <w:spacing w:val="-2"/>
          <w:sz w:val="21"/>
          <w:szCs w:val="21"/>
          <w:highlight w:val="none"/>
        </w:rPr>
        <w:t xml:space="preserve">20 </w:t>
      </w:r>
      <w:r>
        <w:rPr>
          <w:rFonts w:ascii="宋体" w:hAnsi="宋体" w:eastAsia="宋体" w:cs="宋体"/>
          <w:color w:val="auto"/>
          <w:spacing w:val="-2"/>
          <w:sz w:val="21"/>
          <w:szCs w:val="21"/>
          <w:highlight w:val="none"/>
        </w:rPr>
        <w:t>条〔争议解决〕约定处理。</w:t>
      </w:r>
    </w:p>
    <w:p w14:paraId="3A08E498">
      <w:pPr>
        <w:spacing w:before="46" w:line="218" w:lineRule="auto"/>
        <w:ind w:left="31"/>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19.3</w:t>
      </w:r>
      <w:r>
        <w:rPr>
          <w:rFonts w:ascii="黑体" w:hAnsi="黑体" w:eastAsia="黑体" w:cs="黑体"/>
          <w:color w:val="auto"/>
          <w:spacing w:val="-43"/>
          <w:sz w:val="24"/>
          <w:szCs w:val="24"/>
          <w:highlight w:val="none"/>
        </w:rPr>
        <w:t xml:space="preserve"> </w:t>
      </w:r>
      <w:r>
        <w:rPr>
          <w:rFonts w:ascii="黑体" w:hAnsi="黑体" w:eastAsia="黑体" w:cs="黑体"/>
          <w:color w:val="auto"/>
          <w:spacing w:val="-4"/>
          <w:sz w:val="24"/>
          <w:szCs w:val="24"/>
          <w:highlight w:val="none"/>
        </w:rPr>
        <w:t>发包人的索赔</w:t>
      </w:r>
    </w:p>
    <w:p w14:paraId="25C1D7C9">
      <w:pPr>
        <w:spacing w:before="130" w:line="398" w:lineRule="exact"/>
        <w:ind w:right="6"/>
        <w:jc w:val="right"/>
        <w:rPr>
          <w:rFonts w:ascii="宋体" w:hAnsi="宋体" w:eastAsia="宋体" w:cs="宋体"/>
          <w:color w:val="auto"/>
          <w:sz w:val="21"/>
          <w:szCs w:val="21"/>
          <w:highlight w:val="none"/>
        </w:rPr>
      </w:pPr>
      <w:r>
        <w:rPr>
          <w:rFonts w:ascii="宋体" w:hAnsi="宋体" w:eastAsia="宋体" w:cs="宋体"/>
          <w:color w:val="auto"/>
          <w:spacing w:val="-5"/>
          <w:position w:val="14"/>
          <w:sz w:val="21"/>
          <w:szCs w:val="21"/>
          <w:highlight w:val="none"/>
        </w:rPr>
        <w:t>根据合同约定， 发包人认为有权得到赔付金额和（或） 延长缺陷责任期的， 监理人应</w:t>
      </w:r>
    </w:p>
    <w:p w14:paraId="1CFE9AB0">
      <w:pPr>
        <w:spacing w:before="1" w:line="219" w:lineRule="auto"/>
        <w:ind w:left="3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向承包人发出通知并附有详细的证明。</w:t>
      </w:r>
    </w:p>
    <w:p w14:paraId="071D4BD2">
      <w:pPr>
        <w:spacing w:before="154" w:line="350" w:lineRule="auto"/>
        <w:ind w:left="18" w:right="2" w:firstLine="426"/>
        <w:rPr>
          <w:rFonts w:ascii="宋体" w:hAnsi="宋体" w:eastAsia="宋体" w:cs="宋体"/>
          <w:color w:val="auto"/>
          <w:sz w:val="21"/>
          <w:szCs w:val="21"/>
          <w:highlight w:val="none"/>
        </w:rPr>
      </w:pPr>
      <w:r>
        <w:rPr>
          <w:rFonts w:ascii="宋体" w:hAnsi="宋体" w:eastAsia="宋体" w:cs="宋体"/>
          <w:color w:val="auto"/>
          <w:sz w:val="21"/>
          <w:szCs w:val="21"/>
          <w:highlight w:val="none"/>
        </w:rPr>
        <w:t>发包人应在知道或应当知道索赔事件发生后</w:t>
      </w:r>
      <w:r>
        <w:rPr>
          <w:rFonts w:ascii="宋体" w:hAnsi="宋体" w:eastAsia="宋体" w:cs="宋体"/>
          <w:color w:val="auto"/>
          <w:spacing w:val="-31"/>
          <w:sz w:val="21"/>
          <w:szCs w:val="21"/>
          <w:highlight w:val="none"/>
        </w:rPr>
        <w:t xml:space="preserve"> </w:t>
      </w:r>
      <w:r>
        <w:rPr>
          <w:rFonts w:ascii="Times New Roman" w:hAnsi="Times New Roman" w:eastAsia="Times New Roman" w:cs="Times New Roman"/>
          <w:color w:val="auto"/>
          <w:sz w:val="21"/>
          <w:szCs w:val="21"/>
          <w:highlight w:val="none"/>
        </w:rPr>
        <w:t xml:space="preserve">28 </w:t>
      </w:r>
      <w:r>
        <w:rPr>
          <w:rFonts w:ascii="宋体" w:hAnsi="宋体" w:eastAsia="宋体" w:cs="宋体"/>
          <w:color w:val="auto"/>
          <w:sz w:val="21"/>
          <w:szCs w:val="21"/>
          <w:highlight w:val="none"/>
        </w:rPr>
        <w:t>天内通过监</w:t>
      </w:r>
      <w:r>
        <w:rPr>
          <w:rFonts w:ascii="宋体" w:hAnsi="宋体" w:eastAsia="宋体" w:cs="宋体"/>
          <w:color w:val="auto"/>
          <w:spacing w:val="-1"/>
          <w:sz w:val="21"/>
          <w:szCs w:val="21"/>
          <w:highlight w:val="none"/>
        </w:rPr>
        <w:t>理人向承包人提出索赔意向</w:t>
      </w:r>
      <w:r>
        <w:rPr>
          <w:rFonts w:ascii="宋体" w:hAnsi="宋体" w:eastAsia="宋体" w:cs="宋体"/>
          <w:color w:val="auto"/>
          <w:sz w:val="21"/>
          <w:szCs w:val="21"/>
          <w:highlight w:val="none"/>
        </w:rPr>
        <w:t xml:space="preserve"> 通知书，发包人未在前述</w:t>
      </w:r>
      <w:r>
        <w:rPr>
          <w:rFonts w:ascii="宋体" w:hAnsi="宋体" w:eastAsia="宋体" w:cs="宋体"/>
          <w:color w:val="auto"/>
          <w:spacing w:val="-32"/>
          <w:sz w:val="21"/>
          <w:szCs w:val="21"/>
          <w:highlight w:val="none"/>
        </w:rPr>
        <w:t xml:space="preserve"> </w:t>
      </w:r>
      <w:r>
        <w:rPr>
          <w:rFonts w:ascii="Times New Roman" w:hAnsi="Times New Roman" w:eastAsia="Times New Roman" w:cs="Times New Roman"/>
          <w:color w:val="auto"/>
          <w:sz w:val="21"/>
          <w:szCs w:val="21"/>
          <w:highlight w:val="none"/>
        </w:rPr>
        <w:t>28</w:t>
      </w:r>
      <w:r>
        <w:rPr>
          <w:rFonts w:ascii="Times New Roman" w:hAnsi="Times New Roman" w:eastAsia="Times New Roman" w:cs="Times New Roman"/>
          <w:color w:val="auto"/>
          <w:spacing w:val="13"/>
          <w:w w:val="101"/>
          <w:sz w:val="21"/>
          <w:szCs w:val="21"/>
          <w:highlight w:val="none"/>
        </w:rPr>
        <w:t xml:space="preserve"> </w:t>
      </w:r>
      <w:r>
        <w:rPr>
          <w:rFonts w:ascii="宋体" w:hAnsi="宋体" w:eastAsia="宋体" w:cs="宋体"/>
          <w:color w:val="auto"/>
          <w:sz w:val="21"/>
          <w:szCs w:val="21"/>
          <w:highlight w:val="none"/>
        </w:rPr>
        <w:t>天内发出索赔意向</w:t>
      </w:r>
      <w:r>
        <w:rPr>
          <w:rFonts w:ascii="宋体" w:hAnsi="宋体" w:eastAsia="宋体" w:cs="宋体"/>
          <w:color w:val="auto"/>
          <w:spacing w:val="-1"/>
          <w:sz w:val="21"/>
          <w:szCs w:val="21"/>
          <w:highlight w:val="none"/>
        </w:rPr>
        <w:t>通知书的，丧失要求赔付金额和（或）延长</w:t>
      </w:r>
    </w:p>
    <w:p w14:paraId="36C85262">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rPr>
        <w:t>缺陷责任期的权利。发包人应在发出索赔意向通知书后</w:t>
      </w:r>
      <w:r>
        <w:rPr>
          <w:rFonts w:ascii="宋体" w:hAnsi="宋体" w:eastAsia="宋体" w:cs="宋体"/>
          <w:color w:val="auto"/>
          <w:spacing w:val="-31"/>
          <w:sz w:val="21"/>
          <w:szCs w:val="21"/>
          <w:highlight w:val="none"/>
        </w:rPr>
        <w:t xml:space="preserve"> </w:t>
      </w:r>
      <w:r>
        <w:rPr>
          <w:rFonts w:ascii="Times New Roman" w:hAnsi="Times New Roman" w:eastAsia="Times New Roman" w:cs="Times New Roman"/>
          <w:color w:val="auto"/>
          <w:sz w:val="21"/>
          <w:szCs w:val="21"/>
          <w:highlight w:val="none"/>
        </w:rPr>
        <w:t xml:space="preserve">28 </w:t>
      </w:r>
      <w:r>
        <w:rPr>
          <w:rFonts w:ascii="宋体" w:hAnsi="宋体" w:eastAsia="宋体" w:cs="宋体"/>
          <w:color w:val="auto"/>
          <w:sz w:val="21"/>
          <w:szCs w:val="21"/>
          <w:highlight w:val="none"/>
        </w:rPr>
        <w:t>天内，通过监理</w:t>
      </w:r>
      <w:r>
        <w:rPr>
          <w:rFonts w:ascii="宋体" w:hAnsi="宋体" w:eastAsia="宋体" w:cs="宋体"/>
          <w:color w:val="auto"/>
          <w:spacing w:val="-1"/>
          <w:sz w:val="21"/>
          <w:szCs w:val="21"/>
          <w:highlight w:val="none"/>
        </w:rPr>
        <w:t>人向承包人正式</w:t>
      </w:r>
    </w:p>
    <w:p w14:paraId="1F156A5B">
      <w:pPr>
        <w:spacing w:before="154" w:line="219"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递交索赔报告。</w:t>
      </w:r>
    </w:p>
    <w:p w14:paraId="030EE123">
      <w:pPr>
        <w:spacing w:before="48" w:line="413" w:lineRule="exact"/>
        <w:ind w:left="31"/>
        <w:rPr>
          <w:rFonts w:ascii="黑体" w:hAnsi="黑体" w:eastAsia="黑体" w:cs="黑体"/>
          <w:color w:val="auto"/>
          <w:sz w:val="24"/>
          <w:szCs w:val="24"/>
          <w:highlight w:val="none"/>
        </w:rPr>
      </w:pPr>
      <w:r>
        <w:rPr>
          <w:rFonts w:ascii="黑体" w:hAnsi="黑体" w:eastAsia="黑体" w:cs="黑体"/>
          <w:color w:val="auto"/>
          <w:spacing w:val="-2"/>
          <w:position w:val="12"/>
          <w:sz w:val="24"/>
          <w:szCs w:val="24"/>
          <w:highlight w:val="none"/>
        </w:rPr>
        <w:t>19.4 对发包人索赔的处理</w:t>
      </w:r>
    </w:p>
    <w:p w14:paraId="6C2869B2">
      <w:pPr>
        <w:spacing w:before="1" w:line="220" w:lineRule="auto"/>
        <w:ind w:left="44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对发包人索赔的处理如下：</w:t>
      </w:r>
    </w:p>
    <w:p w14:paraId="07DAF926">
      <w:pPr>
        <w:spacing w:before="147" w:line="399" w:lineRule="exact"/>
        <w:ind w:right="12"/>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1</w:t>
      </w:r>
      <w:r>
        <w:rPr>
          <w:rFonts w:ascii="宋体" w:hAnsi="宋体" w:eastAsia="宋体" w:cs="宋体"/>
          <w:color w:val="auto"/>
          <w:position w:val="14"/>
          <w:sz w:val="21"/>
          <w:szCs w:val="21"/>
          <w:highlight w:val="none"/>
        </w:rPr>
        <w:t>）承包人收到发包人提交的索赔报告后，应及时审查索赔报告的内容、查验</w:t>
      </w:r>
      <w:r>
        <w:rPr>
          <w:rFonts w:ascii="宋体" w:hAnsi="宋体" w:eastAsia="宋体" w:cs="宋体"/>
          <w:color w:val="auto"/>
          <w:spacing w:val="-1"/>
          <w:position w:val="14"/>
          <w:sz w:val="21"/>
          <w:szCs w:val="21"/>
          <w:highlight w:val="none"/>
        </w:rPr>
        <w:t>发包人</w:t>
      </w:r>
    </w:p>
    <w:p w14:paraId="009AA092">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证明材料；</w:t>
      </w:r>
    </w:p>
    <w:p w14:paraId="32D32C19">
      <w:pPr>
        <w:spacing w:before="154" w:line="350" w:lineRule="auto"/>
        <w:ind w:left="23" w:right="1" w:firstLine="424"/>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 xml:space="preserve">）承包人应在收到索赔报告或有关索赔的进一步证明材料后 </w:t>
      </w:r>
      <w:r>
        <w:rPr>
          <w:rFonts w:ascii="Times New Roman" w:hAnsi="Times New Roman" w:eastAsia="Times New Roman" w:cs="Times New Roman"/>
          <w:color w:val="auto"/>
          <w:sz w:val="21"/>
          <w:szCs w:val="21"/>
          <w:highlight w:val="none"/>
        </w:rPr>
        <w:t xml:space="preserve">28  </w:t>
      </w:r>
      <w:r>
        <w:rPr>
          <w:rFonts w:ascii="宋体" w:hAnsi="宋体" w:eastAsia="宋体" w:cs="宋体"/>
          <w:color w:val="auto"/>
          <w:sz w:val="21"/>
          <w:szCs w:val="21"/>
          <w:highlight w:val="none"/>
        </w:rPr>
        <w:t>天内，将索赔处理</w:t>
      </w:r>
      <w:r>
        <w:rPr>
          <w:rFonts w:ascii="宋体" w:hAnsi="宋体" w:eastAsia="宋体" w:cs="宋体"/>
          <w:color w:val="auto"/>
          <w:spacing w:val="7"/>
          <w:sz w:val="21"/>
          <w:szCs w:val="21"/>
          <w:highlight w:val="none"/>
        </w:rPr>
        <w:t xml:space="preserve"> </w:t>
      </w:r>
      <w:r>
        <w:rPr>
          <w:rFonts w:ascii="宋体" w:hAnsi="宋体" w:eastAsia="宋体" w:cs="宋体"/>
          <w:color w:val="auto"/>
          <w:sz w:val="21"/>
          <w:szCs w:val="21"/>
          <w:highlight w:val="none"/>
        </w:rPr>
        <w:t>结果答复发包人。如果承包人未在上述期限内作出答复的， 则视为对发包人索赔要求的认</w:t>
      </w:r>
    </w:p>
    <w:p w14:paraId="1B49792C">
      <w:pPr>
        <w:spacing w:before="1" w:line="222" w:lineRule="auto"/>
        <w:ind w:left="20"/>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可；</w:t>
      </w:r>
    </w:p>
    <w:p w14:paraId="446D5A70">
      <w:pPr>
        <w:spacing w:before="149" w:line="399" w:lineRule="exact"/>
        <w:ind w:right="11"/>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w:t>
      </w:r>
      <w:r>
        <w:rPr>
          <w:rFonts w:ascii="Times New Roman" w:hAnsi="Times New Roman" w:eastAsia="Times New Roman" w:cs="Times New Roman"/>
          <w:color w:val="auto"/>
          <w:position w:val="14"/>
          <w:sz w:val="21"/>
          <w:szCs w:val="21"/>
          <w:highlight w:val="none"/>
        </w:rPr>
        <w:t>3</w:t>
      </w:r>
      <w:r>
        <w:rPr>
          <w:rFonts w:ascii="宋体" w:hAnsi="宋体" w:eastAsia="宋体" w:cs="宋体"/>
          <w:color w:val="auto"/>
          <w:position w:val="14"/>
          <w:sz w:val="21"/>
          <w:szCs w:val="21"/>
          <w:highlight w:val="none"/>
        </w:rPr>
        <w:t>）承包人接受索赔处理结果的，发包人可从应支付给承包人的合同价款中扣</w:t>
      </w:r>
      <w:r>
        <w:rPr>
          <w:rFonts w:ascii="宋体" w:hAnsi="宋体" w:eastAsia="宋体" w:cs="宋体"/>
          <w:color w:val="auto"/>
          <w:spacing w:val="-1"/>
          <w:position w:val="14"/>
          <w:sz w:val="21"/>
          <w:szCs w:val="21"/>
          <w:highlight w:val="none"/>
        </w:rPr>
        <w:t>除赔付</w:t>
      </w:r>
    </w:p>
    <w:p w14:paraId="750BE967">
      <w:pPr>
        <w:spacing w:before="1" w:line="220" w:lineRule="auto"/>
        <w:ind w:right="2"/>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的金额或延长缺陷责任期；发包人不接受索赔处理结果的，按第</w:t>
      </w:r>
      <w:r>
        <w:rPr>
          <w:rFonts w:ascii="宋体" w:hAnsi="宋体" w:eastAsia="宋体" w:cs="宋体"/>
          <w:color w:val="auto"/>
          <w:spacing w:val="-13"/>
          <w:sz w:val="21"/>
          <w:szCs w:val="21"/>
          <w:highlight w:val="none"/>
        </w:rPr>
        <w:t xml:space="preserve"> </w:t>
      </w:r>
      <w:r>
        <w:rPr>
          <w:rFonts w:ascii="Times New Roman" w:hAnsi="Times New Roman" w:eastAsia="Times New Roman" w:cs="Times New Roman"/>
          <w:color w:val="auto"/>
          <w:spacing w:val="-1"/>
          <w:sz w:val="21"/>
          <w:szCs w:val="21"/>
          <w:highlight w:val="none"/>
        </w:rPr>
        <w:t xml:space="preserve">20 </w:t>
      </w:r>
      <w:r>
        <w:rPr>
          <w:rFonts w:ascii="宋体" w:hAnsi="宋体" w:eastAsia="宋体" w:cs="宋体"/>
          <w:color w:val="auto"/>
          <w:spacing w:val="-1"/>
          <w:sz w:val="21"/>
          <w:szCs w:val="21"/>
          <w:highlight w:val="none"/>
        </w:rPr>
        <w:t>条〔争议解决〕约定处</w:t>
      </w:r>
    </w:p>
    <w:p w14:paraId="69EE87DD">
      <w:pPr>
        <w:spacing w:before="147" w:line="231" w:lineRule="auto"/>
        <w:ind w:left="20"/>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理。</w:t>
      </w:r>
    </w:p>
    <w:p w14:paraId="73DEDAB4">
      <w:pPr>
        <w:spacing w:before="39" w:line="219" w:lineRule="auto"/>
        <w:ind w:left="31"/>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19.5 提出索赔的期限</w:t>
      </w:r>
    </w:p>
    <w:p w14:paraId="51A2FFEB">
      <w:pPr>
        <w:spacing w:before="129" w:line="398" w:lineRule="exact"/>
        <w:ind w:right="1"/>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1</w:t>
      </w:r>
      <w:r>
        <w:rPr>
          <w:rFonts w:ascii="宋体" w:hAnsi="宋体" w:eastAsia="宋体" w:cs="宋体"/>
          <w:color w:val="auto"/>
          <w:spacing w:val="-1"/>
          <w:position w:val="14"/>
          <w:sz w:val="21"/>
          <w:szCs w:val="21"/>
          <w:highlight w:val="none"/>
        </w:rPr>
        <w:t>）承包人按第</w:t>
      </w:r>
      <w:r>
        <w:rPr>
          <w:rFonts w:ascii="宋体" w:hAnsi="宋体" w:eastAsia="宋体" w:cs="宋体"/>
          <w:color w:val="auto"/>
          <w:spacing w:val="-41"/>
          <w:position w:val="14"/>
          <w:sz w:val="21"/>
          <w:szCs w:val="21"/>
          <w:highlight w:val="none"/>
        </w:rPr>
        <w:t xml:space="preserve"> </w:t>
      </w:r>
      <w:r>
        <w:rPr>
          <w:rFonts w:ascii="Times New Roman" w:hAnsi="Times New Roman" w:eastAsia="Times New Roman" w:cs="Times New Roman"/>
          <w:color w:val="auto"/>
          <w:spacing w:val="-1"/>
          <w:position w:val="14"/>
          <w:sz w:val="21"/>
          <w:szCs w:val="21"/>
          <w:highlight w:val="none"/>
        </w:rPr>
        <w:t>14.2</w:t>
      </w:r>
      <w:r>
        <w:rPr>
          <w:rFonts w:ascii="Times New Roman" w:hAnsi="Times New Roman" w:eastAsia="Times New Roman" w:cs="Times New Roman"/>
          <w:color w:val="auto"/>
          <w:spacing w:val="-15"/>
          <w:position w:val="14"/>
          <w:sz w:val="21"/>
          <w:szCs w:val="21"/>
          <w:highlight w:val="none"/>
        </w:rPr>
        <w:t xml:space="preserve"> </w:t>
      </w:r>
      <w:r>
        <w:rPr>
          <w:rFonts w:ascii="宋体" w:hAnsi="宋体" w:eastAsia="宋体" w:cs="宋体"/>
          <w:color w:val="auto"/>
          <w:spacing w:val="-1"/>
          <w:position w:val="14"/>
          <w:sz w:val="21"/>
          <w:szCs w:val="21"/>
          <w:highlight w:val="none"/>
        </w:rPr>
        <w:t>款〔竣工结算审核〕约定接收竣工付款证书后，应被视为已</w:t>
      </w:r>
      <w:r>
        <w:rPr>
          <w:rFonts w:ascii="宋体" w:hAnsi="宋体" w:eastAsia="宋体" w:cs="宋体"/>
          <w:color w:val="auto"/>
          <w:spacing w:val="-2"/>
          <w:position w:val="14"/>
          <w:sz w:val="21"/>
          <w:szCs w:val="21"/>
          <w:highlight w:val="none"/>
        </w:rPr>
        <w:t>无权</w:t>
      </w:r>
    </w:p>
    <w:p w14:paraId="4128FB05">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再提出在工程接收证书颁发前所发生的任何索赔。</w:t>
      </w:r>
    </w:p>
    <w:p w14:paraId="31F79F80">
      <w:pPr>
        <w:spacing w:before="149" w:line="404" w:lineRule="exact"/>
        <w:ind w:right="1"/>
        <w:jc w:val="right"/>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w:t>
      </w:r>
      <w:r>
        <w:rPr>
          <w:rFonts w:ascii="Times New Roman" w:hAnsi="Times New Roman" w:eastAsia="Times New Roman" w:cs="Times New Roman"/>
          <w:color w:val="auto"/>
          <w:spacing w:val="-1"/>
          <w:position w:val="14"/>
          <w:sz w:val="21"/>
          <w:szCs w:val="21"/>
          <w:highlight w:val="none"/>
        </w:rPr>
        <w:t>2</w:t>
      </w:r>
      <w:r>
        <w:rPr>
          <w:rFonts w:ascii="宋体" w:hAnsi="宋体" w:eastAsia="宋体" w:cs="宋体"/>
          <w:color w:val="auto"/>
          <w:spacing w:val="-1"/>
          <w:position w:val="14"/>
          <w:sz w:val="21"/>
          <w:szCs w:val="21"/>
          <w:highlight w:val="none"/>
        </w:rPr>
        <w:t>）承包人按第</w:t>
      </w:r>
      <w:r>
        <w:rPr>
          <w:rFonts w:ascii="宋体" w:hAnsi="宋体" w:eastAsia="宋体" w:cs="宋体"/>
          <w:color w:val="auto"/>
          <w:spacing w:val="-41"/>
          <w:position w:val="14"/>
          <w:sz w:val="21"/>
          <w:szCs w:val="21"/>
          <w:highlight w:val="none"/>
        </w:rPr>
        <w:t xml:space="preserve"> </w:t>
      </w:r>
      <w:r>
        <w:rPr>
          <w:rFonts w:ascii="Times New Roman" w:hAnsi="Times New Roman" w:eastAsia="Times New Roman" w:cs="Times New Roman"/>
          <w:color w:val="auto"/>
          <w:spacing w:val="-1"/>
          <w:position w:val="14"/>
          <w:sz w:val="21"/>
          <w:szCs w:val="21"/>
          <w:highlight w:val="none"/>
        </w:rPr>
        <w:t>14.4</w:t>
      </w:r>
      <w:r>
        <w:rPr>
          <w:rFonts w:ascii="Times New Roman" w:hAnsi="Times New Roman" w:eastAsia="Times New Roman" w:cs="Times New Roman"/>
          <w:color w:val="auto"/>
          <w:spacing w:val="-15"/>
          <w:position w:val="14"/>
          <w:sz w:val="21"/>
          <w:szCs w:val="21"/>
          <w:highlight w:val="none"/>
        </w:rPr>
        <w:t xml:space="preserve"> </w:t>
      </w:r>
      <w:r>
        <w:rPr>
          <w:rFonts w:ascii="宋体" w:hAnsi="宋体" w:eastAsia="宋体" w:cs="宋体"/>
          <w:color w:val="auto"/>
          <w:spacing w:val="-1"/>
          <w:position w:val="14"/>
          <w:sz w:val="21"/>
          <w:szCs w:val="21"/>
          <w:highlight w:val="none"/>
        </w:rPr>
        <w:t>款〔最终结清〕提交的最终结清申请单中，只限于提出工程</w:t>
      </w:r>
      <w:r>
        <w:rPr>
          <w:rFonts w:ascii="宋体" w:hAnsi="宋体" w:eastAsia="宋体" w:cs="宋体"/>
          <w:color w:val="auto"/>
          <w:spacing w:val="-2"/>
          <w:position w:val="14"/>
          <w:sz w:val="21"/>
          <w:szCs w:val="21"/>
          <w:highlight w:val="none"/>
        </w:rPr>
        <w:t>接收</w:t>
      </w:r>
    </w:p>
    <w:p w14:paraId="4D0FAF83">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证书颁发后发生的索赔。提出索赔的期限自接受最终结清证书时终止。</w:t>
      </w:r>
    </w:p>
    <w:p w14:paraId="2EB713E8">
      <w:pPr>
        <w:spacing w:before="174" w:line="526" w:lineRule="exact"/>
        <w:ind w:left="20"/>
        <w:rPr>
          <w:rFonts w:ascii="黑体" w:hAnsi="黑体" w:eastAsia="黑体" w:cs="黑体"/>
          <w:color w:val="auto"/>
          <w:sz w:val="32"/>
          <w:szCs w:val="32"/>
          <w:highlight w:val="none"/>
        </w:rPr>
      </w:pPr>
      <w:r>
        <w:rPr>
          <w:rFonts w:ascii="黑体" w:hAnsi="黑体" w:eastAsia="黑体" w:cs="黑体"/>
          <w:color w:val="auto"/>
          <w:spacing w:val="-1"/>
          <w:position w:val="14"/>
          <w:sz w:val="32"/>
          <w:szCs w:val="32"/>
          <w:highlight w:val="none"/>
        </w:rPr>
        <w:t>20.争议解决</w:t>
      </w:r>
    </w:p>
    <w:p w14:paraId="7C97C4E2">
      <w:pPr>
        <w:spacing w:before="1" w:line="219" w:lineRule="auto"/>
        <w:ind w:left="17"/>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20.1</w:t>
      </w:r>
      <w:r>
        <w:rPr>
          <w:rFonts w:ascii="黑体" w:hAnsi="黑体" w:eastAsia="黑体" w:cs="黑体"/>
          <w:color w:val="auto"/>
          <w:spacing w:val="-48"/>
          <w:sz w:val="24"/>
          <w:szCs w:val="24"/>
          <w:highlight w:val="none"/>
        </w:rPr>
        <w:t xml:space="preserve"> </w:t>
      </w:r>
      <w:r>
        <w:rPr>
          <w:rFonts w:ascii="黑体" w:hAnsi="黑体" w:eastAsia="黑体" w:cs="黑体"/>
          <w:color w:val="auto"/>
          <w:spacing w:val="-3"/>
          <w:sz w:val="24"/>
          <w:szCs w:val="24"/>
          <w:highlight w:val="none"/>
        </w:rPr>
        <w:t>和解</w:t>
      </w:r>
    </w:p>
    <w:p w14:paraId="406BFD53">
      <w:pPr>
        <w:spacing w:before="128" w:line="220" w:lineRule="auto"/>
        <w:ind w:right="6"/>
        <w:jc w:val="right"/>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合同当事人可以就争议自行和解，自行和解达成协议的经双方签字并盖章后作为合同</w:t>
      </w:r>
    </w:p>
    <w:p w14:paraId="451CA997">
      <w:pPr>
        <w:spacing w:before="153" w:line="221" w:lineRule="auto"/>
        <w:ind w:left="18"/>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补充文件，</w:t>
      </w:r>
      <w:r>
        <w:rPr>
          <w:rFonts w:ascii="宋体" w:hAnsi="宋体" w:eastAsia="宋体" w:cs="宋体"/>
          <w:color w:val="auto"/>
          <w:spacing w:val="59"/>
          <w:sz w:val="21"/>
          <w:szCs w:val="21"/>
          <w:highlight w:val="none"/>
        </w:rPr>
        <w:t xml:space="preserve"> </w:t>
      </w:r>
      <w:r>
        <w:rPr>
          <w:rFonts w:ascii="宋体" w:hAnsi="宋体" w:eastAsia="宋体" w:cs="宋体"/>
          <w:color w:val="auto"/>
          <w:spacing w:val="-12"/>
          <w:sz w:val="21"/>
          <w:szCs w:val="21"/>
          <w:highlight w:val="none"/>
        </w:rPr>
        <w:t>双方均应遵照执行。</w:t>
      </w:r>
    </w:p>
    <w:p w14:paraId="2D212B72">
      <w:pPr>
        <w:spacing w:before="45" w:line="220" w:lineRule="auto"/>
        <w:ind w:left="17"/>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20.2</w:t>
      </w:r>
      <w:r>
        <w:rPr>
          <w:rFonts w:ascii="黑体" w:hAnsi="黑体" w:eastAsia="黑体" w:cs="黑体"/>
          <w:color w:val="auto"/>
          <w:spacing w:val="-47"/>
          <w:sz w:val="24"/>
          <w:szCs w:val="24"/>
          <w:highlight w:val="none"/>
        </w:rPr>
        <w:t xml:space="preserve"> </w:t>
      </w:r>
      <w:r>
        <w:rPr>
          <w:rFonts w:ascii="黑体" w:hAnsi="黑体" w:eastAsia="黑体" w:cs="黑体"/>
          <w:color w:val="auto"/>
          <w:spacing w:val="-3"/>
          <w:sz w:val="24"/>
          <w:szCs w:val="24"/>
          <w:highlight w:val="none"/>
        </w:rPr>
        <w:t>调解</w:t>
      </w:r>
    </w:p>
    <w:p w14:paraId="458B3CCC">
      <w:pPr>
        <w:spacing w:before="128" w:line="399" w:lineRule="exact"/>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合同当事人可以就争议请求建设行政主管部门、行业协会或其他第三方进行调解，调</w:t>
      </w:r>
    </w:p>
    <w:p w14:paraId="388052E4">
      <w:pPr>
        <w:spacing w:before="1" w:line="219"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解达成协议的，经双方签字并盖章后作为合同补充文件，双方均应遵照执行。</w:t>
      </w:r>
    </w:p>
    <w:p w14:paraId="62F72D59">
      <w:pPr>
        <w:spacing w:line="219" w:lineRule="auto"/>
        <w:rPr>
          <w:rFonts w:ascii="宋体" w:hAnsi="宋体" w:eastAsia="宋体" w:cs="宋体"/>
          <w:color w:val="auto"/>
          <w:sz w:val="21"/>
          <w:szCs w:val="21"/>
          <w:highlight w:val="none"/>
        </w:rPr>
        <w:sectPr>
          <w:footerReference r:id="rId150" w:type="default"/>
          <w:pgSz w:w="11905" w:h="16839"/>
          <w:pgMar w:top="1431" w:right="1785" w:bottom="1004" w:left="1785" w:header="0" w:footer="828" w:gutter="0"/>
          <w:pgNumType w:fmt="decimal"/>
          <w:cols w:space="720" w:num="1"/>
        </w:sectPr>
      </w:pPr>
    </w:p>
    <w:p w14:paraId="4A7F176F">
      <w:pPr>
        <w:spacing w:before="47" w:line="219" w:lineRule="auto"/>
        <w:ind w:left="17"/>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20.3</w:t>
      </w:r>
      <w:r>
        <w:rPr>
          <w:rFonts w:ascii="黑体" w:hAnsi="黑体" w:eastAsia="黑体" w:cs="黑体"/>
          <w:color w:val="auto"/>
          <w:spacing w:val="-43"/>
          <w:sz w:val="24"/>
          <w:szCs w:val="24"/>
          <w:highlight w:val="none"/>
        </w:rPr>
        <w:t xml:space="preserve"> </w:t>
      </w:r>
      <w:r>
        <w:rPr>
          <w:rFonts w:ascii="黑体" w:hAnsi="黑体" w:eastAsia="黑体" w:cs="黑体"/>
          <w:color w:val="auto"/>
          <w:spacing w:val="-3"/>
          <w:sz w:val="24"/>
          <w:szCs w:val="24"/>
          <w:highlight w:val="none"/>
        </w:rPr>
        <w:t>争议评审</w:t>
      </w:r>
    </w:p>
    <w:p w14:paraId="47301F53">
      <w:pPr>
        <w:spacing w:before="129" w:line="398" w:lineRule="exact"/>
        <w:ind w:left="442"/>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合同当事人在专用合同条款中约定采取争议评审方式解决争议以及评审规则，并按下</w:t>
      </w:r>
    </w:p>
    <w:p w14:paraId="644C279F">
      <w:pPr>
        <w:spacing w:line="220" w:lineRule="auto"/>
        <w:ind w:left="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列约定执行：</w:t>
      </w:r>
    </w:p>
    <w:p w14:paraId="5B0A2253">
      <w:pPr>
        <w:spacing w:before="152" w:line="221"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20.3.1 </w:t>
      </w:r>
      <w:r>
        <w:rPr>
          <w:rFonts w:ascii="宋体" w:hAnsi="宋体" w:eastAsia="宋体" w:cs="宋体"/>
          <w:color w:val="auto"/>
          <w:sz w:val="21"/>
          <w:szCs w:val="21"/>
          <w:highlight w:val="none"/>
        </w:rPr>
        <w:t>争议评审小组的确定</w:t>
      </w:r>
    </w:p>
    <w:p w14:paraId="646384F0">
      <w:pPr>
        <w:spacing w:before="148" w:line="352" w:lineRule="auto"/>
        <w:ind w:left="19" w:right="174" w:firstLine="42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合同当事人可以共同选择一名或三名争议评审员，组成争议评审小组。除专用合同条</w:t>
      </w:r>
      <w:r>
        <w:rPr>
          <w:rFonts w:ascii="宋体" w:hAnsi="宋体" w:eastAsia="宋体" w:cs="宋体"/>
          <w:color w:val="auto"/>
          <w:spacing w:val="2"/>
          <w:sz w:val="21"/>
          <w:szCs w:val="21"/>
          <w:highlight w:val="none"/>
        </w:rPr>
        <w:t xml:space="preserve"> </w:t>
      </w:r>
      <w:r>
        <w:rPr>
          <w:rFonts w:ascii="宋体" w:hAnsi="宋体" w:eastAsia="宋体" w:cs="宋体"/>
          <w:color w:val="auto"/>
          <w:spacing w:val="-1"/>
          <w:sz w:val="21"/>
          <w:szCs w:val="21"/>
          <w:highlight w:val="none"/>
        </w:rPr>
        <w:t xml:space="preserve">款另有约定外，合同当事人应当自合同签订后 </w:t>
      </w:r>
      <w:r>
        <w:rPr>
          <w:rFonts w:ascii="Times New Roman" w:hAnsi="Times New Roman" w:eastAsia="Times New Roman" w:cs="Times New Roman"/>
          <w:color w:val="auto"/>
          <w:spacing w:val="-1"/>
          <w:sz w:val="21"/>
          <w:szCs w:val="21"/>
          <w:highlight w:val="none"/>
        </w:rPr>
        <w:t>28</w:t>
      </w:r>
      <w:r>
        <w:rPr>
          <w:rFonts w:ascii="Times New Roman" w:hAnsi="Times New Roman" w:eastAsia="Times New Roman" w:cs="Times New Roman"/>
          <w:color w:val="auto"/>
          <w:spacing w:val="32"/>
          <w:sz w:val="21"/>
          <w:szCs w:val="21"/>
          <w:highlight w:val="none"/>
        </w:rPr>
        <w:t xml:space="preserve"> </w:t>
      </w:r>
      <w:r>
        <w:rPr>
          <w:rFonts w:ascii="宋体" w:hAnsi="宋体" w:eastAsia="宋体" w:cs="宋体"/>
          <w:color w:val="auto"/>
          <w:spacing w:val="-1"/>
          <w:sz w:val="21"/>
          <w:szCs w:val="21"/>
          <w:highlight w:val="none"/>
        </w:rPr>
        <w:t>天内，或者争议发</w:t>
      </w:r>
      <w:r>
        <w:rPr>
          <w:rFonts w:ascii="宋体" w:hAnsi="宋体" w:eastAsia="宋体" w:cs="宋体"/>
          <w:color w:val="auto"/>
          <w:spacing w:val="-2"/>
          <w:sz w:val="21"/>
          <w:szCs w:val="21"/>
          <w:highlight w:val="none"/>
        </w:rPr>
        <w:t xml:space="preserve">生后 </w:t>
      </w:r>
      <w:r>
        <w:rPr>
          <w:rFonts w:ascii="Times New Roman" w:hAnsi="Times New Roman" w:eastAsia="Times New Roman" w:cs="Times New Roman"/>
          <w:color w:val="auto"/>
          <w:spacing w:val="-2"/>
          <w:sz w:val="21"/>
          <w:szCs w:val="21"/>
          <w:highlight w:val="none"/>
        </w:rPr>
        <w:t>14</w:t>
      </w:r>
      <w:r>
        <w:rPr>
          <w:rFonts w:ascii="Times New Roman" w:hAnsi="Times New Roman" w:eastAsia="Times New Roman" w:cs="Times New Roman"/>
          <w:color w:val="auto"/>
          <w:spacing w:val="32"/>
          <w:sz w:val="21"/>
          <w:szCs w:val="21"/>
          <w:highlight w:val="none"/>
        </w:rPr>
        <w:t xml:space="preserve"> </w:t>
      </w:r>
      <w:r>
        <w:rPr>
          <w:rFonts w:ascii="宋体" w:hAnsi="宋体" w:eastAsia="宋体" w:cs="宋体"/>
          <w:color w:val="auto"/>
          <w:spacing w:val="-2"/>
          <w:sz w:val="21"/>
          <w:szCs w:val="21"/>
          <w:highlight w:val="none"/>
        </w:rPr>
        <w:t>天内，选定争</w:t>
      </w:r>
    </w:p>
    <w:p w14:paraId="202EEBAE">
      <w:pPr>
        <w:spacing w:line="221" w:lineRule="auto"/>
        <w:ind w:left="20"/>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议评审员。</w:t>
      </w:r>
    </w:p>
    <w:p w14:paraId="2FC91C0B">
      <w:pPr>
        <w:spacing w:before="148" w:line="352" w:lineRule="auto"/>
        <w:ind w:left="21" w:right="174" w:firstLine="418"/>
        <w:rPr>
          <w:rFonts w:ascii="宋体" w:hAnsi="宋体" w:eastAsia="宋体" w:cs="宋体"/>
          <w:color w:val="auto"/>
          <w:sz w:val="21"/>
          <w:szCs w:val="21"/>
          <w:highlight w:val="none"/>
        </w:rPr>
      </w:pPr>
      <w:r>
        <w:rPr>
          <w:rFonts w:ascii="宋体" w:hAnsi="宋体" w:eastAsia="宋体" w:cs="宋体"/>
          <w:color w:val="auto"/>
          <w:sz w:val="21"/>
          <w:szCs w:val="21"/>
          <w:highlight w:val="none"/>
        </w:rPr>
        <w:t>选择一名争议评审员的，由合同当事人共同确定；选择三名争议评审员的， 各自选定</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一名， 第三名成员为首席争议评审员，由合同当事人共同确定或由合同当事人委托已选定</w:t>
      </w:r>
    </w:p>
    <w:p w14:paraId="13A300CF">
      <w:pPr>
        <w:spacing w:before="1" w:line="219" w:lineRule="auto"/>
        <w:ind w:left="3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的争议评审员共同确定，或由专用合同条款约定的评审机构指定第三名首席争议评</w:t>
      </w:r>
      <w:r>
        <w:rPr>
          <w:rFonts w:ascii="宋体" w:hAnsi="宋体" w:eastAsia="宋体" w:cs="宋体"/>
          <w:color w:val="auto"/>
          <w:spacing w:val="-2"/>
          <w:sz w:val="21"/>
          <w:szCs w:val="21"/>
          <w:highlight w:val="none"/>
        </w:rPr>
        <w:t>审员。</w:t>
      </w:r>
    </w:p>
    <w:p w14:paraId="66693577">
      <w:pPr>
        <w:spacing w:before="148" w:line="221" w:lineRule="auto"/>
        <w:ind w:left="45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除专用合同条款另有约定外， 评审员报酬由发包人和承</w:t>
      </w:r>
      <w:r>
        <w:rPr>
          <w:rFonts w:ascii="宋体" w:hAnsi="宋体" w:eastAsia="宋体" w:cs="宋体"/>
          <w:color w:val="auto"/>
          <w:spacing w:val="-5"/>
          <w:sz w:val="21"/>
          <w:szCs w:val="21"/>
          <w:highlight w:val="none"/>
        </w:rPr>
        <w:t>包人各承担一半。</w:t>
      </w:r>
    </w:p>
    <w:p w14:paraId="1F4B57DD">
      <w:pPr>
        <w:spacing w:before="147" w:line="221"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20.3.2 </w:t>
      </w:r>
      <w:r>
        <w:rPr>
          <w:rFonts w:ascii="宋体" w:hAnsi="宋体" w:eastAsia="宋体" w:cs="宋体"/>
          <w:color w:val="auto"/>
          <w:sz w:val="21"/>
          <w:szCs w:val="21"/>
          <w:highlight w:val="none"/>
        </w:rPr>
        <w:t>争议评审小组的决定</w:t>
      </w:r>
    </w:p>
    <w:p w14:paraId="1C8C709C">
      <w:pPr>
        <w:spacing w:before="153" w:line="221" w:lineRule="auto"/>
        <w:ind w:left="44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合同当事人可在任何时间将与合同有关的任何争议共同提请争议评审小组进</w:t>
      </w:r>
      <w:r>
        <w:rPr>
          <w:rFonts w:ascii="宋体" w:hAnsi="宋体" w:eastAsia="宋体" w:cs="宋体"/>
          <w:color w:val="auto"/>
          <w:spacing w:val="2"/>
          <w:sz w:val="21"/>
          <w:szCs w:val="21"/>
          <w:highlight w:val="none"/>
        </w:rPr>
        <w:t>行评审。</w:t>
      </w:r>
    </w:p>
    <w:p w14:paraId="787B61DA">
      <w:pPr>
        <w:spacing w:before="148" w:line="352" w:lineRule="auto"/>
        <w:ind w:left="19" w:firstLine="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争议评审小组应秉持客观、公正原则，充分听取合同当事人的意见，依据相关法律、</w:t>
      </w:r>
      <w:r>
        <w:rPr>
          <w:rFonts w:ascii="宋体" w:hAnsi="宋体" w:eastAsia="宋体" w:cs="宋体"/>
          <w:color w:val="auto"/>
          <w:spacing w:val="1"/>
          <w:sz w:val="21"/>
          <w:szCs w:val="21"/>
          <w:highlight w:val="none"/>
        </w:rPr>
        <w:t>规范、</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 xml:space="preserve">标准、案例经验及商业惯例等，自收到争议评审申请报告后 </w:t>
      </w:r>
      <w:r>
        <w:rPr>
          <w:rFonts w:ascii="Times New Roman" w:hAnsi="Times New Roman" w:eastAsia="Times New Roman" w:cs="Times New Roman"/>
          <w:color w:val="auto"/>
          <w:spacing w:val="-1"/>
          <w:sz w:val="21"/>
          <w:szCs w:val="21"/>
          <w:highlight w:val="none"/>
        </w:rPr>
        <w:t xml:space="preserve">14 </w:t>
      </w:r>
      <w:r>
        <w:rPr>
          <w:rFonts w:ascii="宋体" w:hAnsi="宋体" w:eastAsia="宋体" w:cs="宋体"/>
          <w:color w:val="auto"/>
          <w:spacing w:val="-1"/>
          <w:sz w:val="21"/>
          <w:szCs w:val="21"/>
          <w:highlight w:val="none"/>
        </w:rPr>
        <w:t>天内作出书面决定，并说明</w:t>
      </w:r>
    </w:p>
    <w:p w14:paraId="6DB095E9">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理由。合同当事人可以在专用合同条款中对本项事项</w:t>
      </w:r>
      <w:r>
        <w:rPr>
          <w:rFonts w:ascii="宋体" w:hAnsi="宋体" w:eastAsia="宋体" w:cs="宋体"/>
          <w:color w:val="auto"/>
          <w:spacing w:val="-2"/>
          <w:sz w:val="21"/>
          <w:szCs w:val="21"/>
          <w:highlight w:val="none"/>
        </w:rPr>
        <w:t>另行约定。</w:t>
      </w:r>
    </w:p>
    <w:p w14:paraId="309CFCB1">
      <w:pPr>
        <w:spacing w:before="148" w:line="221"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20.3.3 </w:t>
      </w:r>
      <w:r>
        <w:rPr>
          <w:rFonts w:ascii="宋体" w:hAnsi="宋体" w:eastAsia="宋体" w:cs="宋体"/>
          <w:color w:val="auto"/>
          <w:sz w:val="21"/>
          <w:szCs w:val="21"/>
          <w:highlight w:val="none"/>
        </w:rPr>
        <w:t>争议评审小组决定的效力</w:t>
      </w:r>
    </w:p>
    <w:p w14:paraId="1DFFEBDF">
      <w:pPr>
        <w:spacing w:before="148" w:line="403" w:lineRule="exact"/>
        <w:ind w:left="445"/>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争议评审小组作出的书面决定经合同当事人签字确认后，对双方具有约束力，双</w:t>
      </w:r>
      <w:r>
        <w:rPr>
          <w:rFonts w:ascii="宋体" w:hAnsi="宋体" w:eastAsia="宋体" w:cs="宋体"/>
          <w:color w:val="auto"/>
          <w:spacing w:val="2"/>
          <w:position w:val="14"/>
          <w:sz w:val="21"/>
          <w:szCs w:val="21"/>
          <w:highlight w:val="none"/>
        </w:rPr>
        <w:t>方应</w:t>
      </w:r>
    </w:p>
    <w:p w14:paraId="41F9BCDA">
      <w:pPr>
        <w:spacing w:line="220" w:lineRule="auto"/>
        <w:ind w:left="17"/>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遵照执行。</w:t>
      </w:r>
    </w:p>
    <w:p w14:paraId="7278F3EE">
      <w:pPr>
        <w:spacing w:before="147" w:line="221" w:lineRule="auto"/>
        <w:ind w:left="44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任何一方当事人不接受争议评审小组决定或不履行争议评审小组决定的，双方可选择</w:t>
      </w:r>
    </w:p>
    <w:p w14:paraId="63E09388">
      <w:pPr>
        <w:spacing w:before="148" w:line="220" w:lineRule="auto"/>
        <w:ind w:left="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采用其他争议解决方式。</w:t>
      </w:r>
    </w:p>
    <w:p w14:paraId="15624F1E">
      <w:pPr>
        <w:spacing w:before="47" w:line="217" w:lineRule="auto"/>
        <w:ind w:left="17"/>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20.4</w:t>
      </w:r>
      <w:r>
        <w:rPr>
          <w:rFonts w:ascii="黑体" w:hAnsi="黑体" w:eastAsia="黑体" w:cs="黑体"/>
          <w:color w:val="auto"/>
          <w:spacing w:val="-49"/>
          <w:sz w:val="24"/>
          <w:szCs w:val="24"/>
          <w:highlight w:val="none"/>
        </w:rPr>
        <w:t xml:space="preserve"> </w:t>
      </w:r>
      <w:r>
        <w:rPr>
          <w:rFonts w:ascii="黑体" w:hAnsi="黑体" w:eastAsia="黑体" w:cs="黑体"/>
          <w:color w:val="auto"/>
          <w:spacing w:val="-2"/>
          <w:sz w:val="24"/>
          <w:szCs w:val="24"/>
          <w:highlight w:val="none"/>
        </w:rPr>
        <w:t>仲裁或诉讼</w:t>
      </w:r>
    </w:p>
    <w:p w14:paraId="2C05F784">
      <w:pPr>
        <w:spacing w:before="131" w:line="404" w:lineRule="exact"/>
        <w:ind w:left="457"/>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因合同及合同有关事项产生的争议， 合同当事人可以在专用合同条</w:t>
      </w:r>
      <w:r>
        <w:rPr>
          <w:rFonts w:ascii="宋体" w:hAnsi="宋体" w:eastAsia="宋体" w:cs="宋体"/>
          <w:color w:val="auto"/>
          <w:spacing w:val="-1"/>
          <w:position w:val="14"/>
          <w:sz w:val="21"/>
          <w:szCs w:val="21"/>
          <w:highlight w:val="none"/>
        </w:rPr>
        <w:t>款中约定以下一种</w:t>
      </w:r>
    </w:p>
    <w:p w14:paraId="1D0CFB72">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方式解决争议：</w:t>
      </w:r>
    </w:p>
    <w:p w14:paraId="34780AC5">
      <w:pPr>
        <w:spacing w:before="148" w:line="220"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w:t>
      </w: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）向约定的仲裁委员会申请仲裁；</w:t>
      </w:r>
    </w:p>
    <w:p w14:paraId="47FAFD4F">
      <w:pPr>
        <w:spacing w:before="148"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w:t>
      </w: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）向有管辖权的人民法院起诉。</w:t>
      </w:r>
    </w:p>
    <w:p w14:paraId="3DA256C3">
      <w:pPr>
        <w:spacing w:before="52" w:line="218" w:lineRule="auto"/>
        <w:ind w:left="17"/>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20.5</w:t>
      </w:r>
      <w:r>
        <w:rPr>
          <w:rFonts w:ascii="黑体" w:hAnsi="黑体" w:eastAsia="黑体" w:cs="黑体"/>
          <w:color w:val="auto"/>
          <w:spacing w:val="-45"/>
          <w:sz w:val="24"/>
          <w:szCs w:val="24"/>
          <w:highlight w:val="none"/>
        </w:rPr>
        <w:t xml:space="preserve"> </w:t>
      </w:r>
      <w:r>
        <w:rPr>
          <w:rFonts w:ascii="黑体" w:hAnsi="黑体" w:eastAsia="黑体" w:cs="黑体"/>
          <w:color w:val="auto"/>
          <w:spacing w:val="-2"/>
          <w:sz w:val="24"/>
          <w:szCs w:val="24"/>
          <w:highlight w:val="none"/>
        </w:rPr>
        <w:t>争议解决条款效力</w:t>
      </w:r>
    </w:p>
    <w:p w14:paraId="6277DDEE">
      <w:pPr>
        <w:spacing w:before="130" w:line="398" w:lineRule="exact"/>
        <w:ind w:left="442"/>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合同有关争议解决的条款独立存在， 合同的变更、解除、终止、无效或者被撤销均不</w:t>
      </w:r>
    </w:p>
    <w:p w14:paraId="01D195A3">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影响其效力。</w:t>
      </w:r>
    </w:p>
    <w:p w14:paraId="01263A0F">
      <w:pPr>
        <w:spacing w:line="220" w:lineRule="auto"/>
        <w:rPr>
          <w:rFonts w:ascii="宋体" w:hAnsi="宋体" w:eastAsia="宋体" w:cs="宋体"/>
          <w:color w:val="auto"/>
          <w:sz w:val="21"/>
          <w:szCs w:val="21"/>
          <w:highlight w:val="none"/>
        </w:rPr>
        <w:sectPr>
          <w:footerReference r:id="rId151" w:type="default"/>
          <w:pgSz w:w="11905" w:h="16839"/>
          <w:pgMar w:top="1431" w:right="1617" w:bottom="1004" w:left="1785" w:header="0" w:footer="828" w:gutter="0"/>
          <w:pgNumType w:fmt="decimal"/>
          <w:cols w:space="720" w:num="1"/>
        </w:sectPr>
      </w:pPr>
    </w:p>
    <w:p w14:paraId="19C32C0F">
      <w:pPr>
        <w:pStyle w:val="3"/>
        <w:rPr>
          <w:color w:val="auto"/>
          <w:highlight w:val="none"/>
        </w:rPr>
      </w:pPr>
    </w:p>
    <w:p w14:paraId="5C1596C2">
      <w:pPr>
        <w:pStyle w:val="3"/>
        <w:rPr>
          <w:color w:val="auto"/>
          <w:highlight w:val="none"/>
        </w:rPr>
      </w:pPr>
    </w:p>
    <w:p w14:paraId="22BDA925">
      <w:pPr>
        <w:pStyle w:val="3"/>
        <w:rPr>
          <w:color w:val="auto"/>
          <w:highlight w:val="none"/>
        </w:rPr>
      </w:pPr>
    </w:p>
    <w:p w14:paraId="5BB2B193">
      <w:pPr>
        <w:pStyle w:val="3"/>
        <w:rPr>
          <w:color w:val="auto"/>
          <w:highlight w:val="none"/>
        </w:rPr>
      </w:pPr>
    </w:p>
    <w:p w14:paraId="0E54224F">
      <w:pPr>
        <w:pStyle w:val="3"/>
        <w:rPr>
          <w:color w:val="auto"/>
          <w:highlight w:val="none"/>
        </w:rPr>
      </w:pPr>
    </w:p>
    <w:p w14:paraId="361472C9">
      <w:pPr>
        <w:pStyle w:val="3"/>
        <w:rPr>
          <w:color w:val="auto"/>
          <w:highlight w:val="none"/>
        </w:rPr>
      </w:pPr>
    </w:p>
    <w:p w14:paraId="505996A6">
      <w:pPr>
        <w:pStyle w:val="3"/>
        <w:rPr>
          <w:color w:val="auto"/>
          <w:highlight w:val="none"/>
        </w:rPr>
      </w:pPr>
    </w:p>
    <w:p w14:paraId="65F4C09A">
      <w:pPr>
        <w:pStyle w:val="3"/>
        <w:rPr>
          <w:color w:val="auto"/>
          <w:highlight w:val="none"/>
        </w:rPr>
      </w:pPr>
    </w:p>
    <w:p w14:paraId="10B0B939">
      <w:pPr>
        <w:pStyle w:val="3"/>
        <w:rPr>
          <w:color w:val="auto"/>
          <w:highlight w:val="none"/>
        </w:rPr>
      </w:pPr>
    </w:p>
    <w:p w14:paraId="257F0898">
      <w:pPr>
        <w:pStyle w:val="3"/>
        <w:rPr>
          <w:color w:val="auto"/>
          <w:highlight w:val="none"/>
        </w:rPr>
      </w:pPr>
    </w:p>
    <w:p w14:paraId="4F1D9B70">
      <w:pPr>
        <w:pStyle w:val="3"/>
        <w:rPr>
          <w:color w:val="auto"/>
          <w:highlight w:val="none"/>
        </w:rPr>
      </w:pPr>
    </w:p>
    <w:p w14:paraId="4A863C6F">
      <w:pPr>
        <w:pStyle w:val="3"/>
        <w:rPr>
          <w:color w:val="auto"/>
          <w:highlight w:val="none"/>
        </w:rPr>
      </w:pPr>
    </w:p>
    <w:p w14:paraId="2CC2F55C">
      <w:pPr>
        <w:spacing w:before="88" w:line="225" w:lineRule="auto"/>
        <w:ind w:left="2744"/>
        <w:outlineLvl w:val="1"/>
        <w:rPr>
          <w:rFonts w:ascii="黑体" w:hAnsi="黑体" w:eastAsia="黑体" w:cs="黑体"/>
          <w:color w:val="auto"/>
          <w:sz w:val="27"/>
          <w:szCs w:val="27"/>
          <w:highlight w:val="none"/>
        </w:rPr>
      </w:pPr>
      <w:r>
        <w:rPr>
          <w:rFonts w:ascii="黑体" w:hAnsi="黑体" w:eastAsia="黑体" w:cs="黑体"/>
          <w:color w:val="auto"/>
          <w:spacing w:val="6"/>
          <w:sz w:val="27"/>
          <w:szCs w:val="27"/>
          <w:highlight w:val="none"/>
        </w:rPr>
        <w:t>第三部分</w:t>
      </w:r>
      <w:r>
        <w:rPr>
          <w:rFonts w:ascii="黑体" w:hAnsi="黑体" w:eastAsia="黑体" w:cs="黑体"/>
          <w:color w:val="auto"/>
          <w:spacing w:val="-42"/>
          <w:sz w:val="27"/>
          <w:szCs w:val="27"/>
          <w:highlight w:val="none"/>
        </w:rPr>
        <w:t xml:space="preserve"> </w:t>
      </w:r>
      <w:r>
        <w:rPr>
          <w:rFonts w:ascii="黑体" w:hAnsi="黑体" w:eastAsia="黑体" w:cs="黑体"/>
          <w:color w:val="auto"/>
          <w:spacing w:val="6"/>
          <w:sz w:val="27"/>
          <w:szCs w:val="27"/>
          <w:highlight w:val="none"/>
        </w:rPr>
        <w:t>专用合同条款</w:t>
      </w:r>
    </w:p>
    <w:p w14:paraId="1B681E5A">
      <w:pPr>
        <w:spacing w:line="225" w:lineRule="auto"/>
        <w:rPr>
          <w:rFonts w:ascii="黑体" w:hAnsi="黑体" w:eastAsia="黑体" w:cs="黑体"/>
          <w:color w:val="auto"/>
          <w:sz w:val="27"/>
          <w:szCs w:val="27"/>
          <w:highlight w:val="none"/>
        </w:rPr>
        <w:sectPr>
          <w:footerReference r:id="rId152" w:type="default"/>
          <w:pgSz w:w="11905" w:h="16839"/>
          <w:pgMar w:top="1431" w:right="1785" w:bottom="1004" w:left="1785" w:header="0" w:footer="828" w:gutter="0"/>
          <w:pgNumType w:fmt="decimal"/>
          <w:cols w:space="720" w:num="1"/>
        </w:sectPr>
      </w:pPr>
    </w:p>
    <w:p w14:paraId="06DBEA25">
      <w:pPr>
        <w:spacing w:before="91" w:line="226" w:lineRule="auto"/>
        <w:ind w:left="3344"/>
        <w:rPr>
          <w:rFonts w:ascii="黑体" w:hAnsi="黑体" w:eastAsia="黑体" w:cs="黑体"/>
          <w:color w:val="auto"/>
          <w:sz w:val="27"/>
          <w:szCs w:val="27"/>
          <w:highlight w:val="none"/>
        </w:rPr>
      </w:pPr>
      <w:r>
        <w:rPr>
          <w:rFonts w:ascii="黑体" w:hAnsi="黑体" w:eastAsia="黑体" w:cs="黑体"/>
          <w:color w:val="auto"/>
          <w:spacing w:val="6"/>
          <w:sz w:val="27"/>
          <w:szCs w:val="27"/>
          <w:highlight w:val="none"/>
        </w:rPr>
        <w:t>专用合同条款</w:t>
      </w:r>
    </w:p>
    <w:p w14:paraId="6B319B38">
      <w:pPr>
        <w:pStyle w:val="3"/>
        <w:spacing w:line="447" w:lineRule="auto"/>
        <w:rPr>
          <w:color w:val="auto"/>
          <w:highlight w:val="none"/>
        </w:rPr>
      </w:pPr>
    </w:p>
    <w:p w14:paraId="22F8A5A2">
      <w:pPr>
        <w:pStyle w:val="15"/>
        <w:spacing w:before="120" w:after="120" w:line="360" w:lineRule="auto"/>
        <w:outlineLvl w:val="9"/>
        <w:rPr>
          <w:rStyle w:val="8"/>
          <w:rFonts w:ascii="宋体" w:hAnsi="宋体" w:eastAsia="宋体"/>
          <w:b w:val="0"/>
          <w:color w:val="auto"/>
          <w:sz w:val="24"/>
          <w:szCs w:val="24"/>
          <w:highlight w:val="none"/>
        </w:rPr>
      </w:pPr>
      <w:bookmarkStart w:id="200" w:name="_Toc12656"/>
      <w:bookmarkStart w:id="201" w:name="_Toc351203633"/>
      <w:bookmarkStart w:id="202" w:name="_Toc69461797"/>
      <w:bookmarkStart w:id="203" w:name="_Toc5946"/>
      <w:bookmarkStart w:id="204" w:name="_Toc256000322"/>
      <w:bookmarkStart w:id="205" w:name="_Toc69461142"/>
      <w:bookmarkStart w:id="206" w:name="_Toc256000551"/>
      <w:bookmarkStart w:id="207" w:name="_Toc256000818"/>
      <w:bookmarkStart w:id="208" w:name="_Toc256001285"/>
      <w:bookmarkStart w:id="209" w:name="_Toc256001055"/>
      <w:r>
        <w:rPr>
          <w:rStyle w:val="8"/>
          <w:rFonts w:ascii="宋体" w:hAnsi="宋体" w:eastAsia="宋体"/>
          <w:b w:val="0"/>
          <w:color w:val="auto"/>
          <w:sz w:val="24"/>
          <w:szCs w:val="24"/>
          <w:highlight w:val="none"/>
        </w:rPr>
        <w:t>1</w:t>
      </w:r>
      <w:bookmarkStart w:id="210" w:name="_Toc296503156"/>
      <w:bookmarkStart w:id="211" w:name="_Toc297048342"/>
      <w:bookmarkStart w:id="212" w:name="_Toc296890984"/>
      <w:bookmarkStart w:id="213" w:name="_Toc296346657"/>
      <w:bookmarkStart w:id="214" w:name="_Toc292559361"/>
      <w:bookmarkStart w:id="215" w:name="_Toc297120456"/>
      <w:bookmarkStart w:id="216" w:name="_Toc296944495"/>
      <w:bookmarkStart w:id="217" w:name="_Toc296347155"/>
      <w:bookmarkStart w:id="218" w:name="_Toc296891196"/>
      <w:bookmarkStart w:id="219" w:name="_Toc292559866"/>
      <w:r>
        <w:rPr>
          <w:rStyle w:val="8"/>
          <w:rFonts w:ascii="宋体" w:hAnsi="宋体" w:eastAsia="宋体"/>
          <w:b w:val="0"/>
          <w:color w:val="auto"/>
          <w:sz w:val="24"/>
          <w:szCs w:val="24"/>
          <w:highlight w:val="none"/>
        </w:rPr>
        <w:t>. 一般约定</w:t>
      </w:r>
      <w:bookmarkEnd w:id="200"/>
      <w:bookmarkEnd w:id="201"/>
      <w:bookmarkEnd w:id="202"/>
      <w:bookmarkEnd w:id="203"/>
      <w:bookmarkEnd w:id="204"/>
      <w:bookmarkEnd w:id="205"/>
      <w:bookmarkEnd w:id="206"/>
      <w:bookmarkEnd w:id="207"/>
      <w:bookmarkEnd w:id="208"/>
      <w:bookmarkEnd w:id="209"/>
    </w:p>
    <w:bookmarkEnd w:id="210"/>
    <w:bookmarkEnd w:id="211"/>
    <w:bookmarkEnd w:id="212"/>
    <w:bookmarkEnd w:id="213"/>
    <w:bookmarkEnd w:id="214"/>
    <w:bookmarkEnd w:id="215"/>
    <w:bookmarkEnd w:id="216"/>
    <w:bookmarkEnd w:id="217"/>
    <w:bookmarkEnd w:id="218"/>
    <w:bookmarkEnd w:id="219"/>
    <w:p w14:paraId="3034BF7F">
      <w:pPr>
        <w:pStyle w:val="13"/>
        <w:spacing w:after="120" w:line="360" w:lineRule="auto"/>
        <w:ind w:firstLine="480" w:firstLineChars="200"/>
        <w:outlineLvl w:val="9"/>
        <w:rPr>
          <w:rStyle w:val="8"/>
          <w:rFonts w:ascii="宋体" w:hAnsi="宋体"/>
          <w:color w:val="auto"/>
          <w:kern w:val="2"/>
          <w:sz w:val="24"/>
          <w:szCs w:val="24"/>
          <w:highlight w:val="none"/>
        </w:rPr>
      </w:pPr>
      <w:bookmarkStart w:id="220" w:name="_Toc25829"/>
      <w:bookmarkStart w:id="221" w:name="_Toc12384"/>
      <w:bookmarkStart w:id="222" w:name="_Toc256001056"/>
      <w:bookmarkStart w:id="223" w:name="_Toc256000819"/>
      <w:bookmarkStart w:id="224" w:name="_Toc256000046"/>
      <w:bookmarkStart w:id="225" w:name="_Toc256001286"/>
      <w:bookmarkStart w:id="226" w:name="_Toc69461143"/>
      <w:bookmarkStart w:id="227" w:name="_Toc256000323"/>
      <w:bookmarkStart w:id="228" w:name="_Toc256000552"/>
      <w:bookmarkStart w:id="229" w:name="_Toc19244"/>
      <w:bookmarkStart w:id="230" w:name="_Toc23436"/>
      <w:bookmarkStart w:id="231" w:name="_Toc69461798"/>
      <w:r>
        <w:rPr>
          <w:rStyle w:val="8"/>
          <w:rFonts w:ascii="宋体" w:hAnsi="宋体"/>
          <w:color w:val="auto"/>
          <w:kern w:val="2"/>
          <w:sz w:val="24"/>
          <w:szCs w:val="24"/>
          <w:highlight w:val="none"/>
        </w:rPr>
        <w:t>1.1 词语定义</w:t>
      </w:r>
      <w:bookmarkEnd w:id="220"/>
      <w:bookmarkEnd w:id="221"/>
      <w:bookmarkEnd w:id="222"/>
      <w:bookmarkEnd w:id="223"/>
      <w:bookmarkEnd w:id="224"/>
      <w:bookmarkEnd w:id="225"/>
      <w:bookmarkEnd w:id="226"/>
      <w:bookmarkEnd w:id="227"/>
      <w:bookmarkEnd w:id="228"/>
      <w:bookmarkEnd w:id="229"/>
      <w:bookmarkEnd w:id="230"/>
      <w:bookmarkEnd w:id="231"/>
    </w:p>
    <w:p w14:paraId="67342A5D">
      <w:pPr>
        <w:pStyle w:val="13"/>
        <w:spacing w:line="360" w:lineRule="auto"/>
        <w:ind w:firstLine="480" w:firstLineChars="200"/>
        <w:rPr>
          <w:rStyle w:val="8"/>
          <w:rFonts w:ascii="宋体" w:hAnsi="宋体"/>
          <w:color w:val="auto"/>
          <w:sz w:val="24"/>
          <w:szCs w:val="24"/>
          <w:highlight w:val="none"/>
        </w:rPr>
      </w:pPr>
      <w:r>
        <w:rPr>
          <w:rStyle w:val="8"/>
          <w:rFonts w:ascii="宋体" w:hAnsi="宋体"/>
          <w:color w:val="auto"/>
          <w:sz w:val="24"/>
          <w:szCs w:val="24"/>
          <w:highlight w:val="none"/>
        </w:rPr>
        <w:t>1.1.1合同</w:t>
      </w:r>
    </w:p>
    <w:p w14:paraId="6F6390E3">
      <w:pPr>
        <w:pStyle w:val="13"/>
        <w:spacing w:line="360" w:lineRule="auto"/>
        <w:ind w:firstLine="480" w:firstLineChars="200"/>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rPr>
        <w:t>1.1.1.10其他合同文件包括：</w:t>
      </w:r>
      <w:r>
        <w:rPr>
          <w:rStyle w:val="8"/>
          <w:rFonts w:ascii="宋体" w:hAnsi="宋体" w:cs="宋体"/>
          <w:color w:val="auto"/>
          <w:kern w:val="2"/>
          <w:sz w:val="24"/>
          <w:szCs w:val="24"/>
          <w:highlight w:val="none"/>
        </w:rPr>
        <w:t></w:t>
      </w:r>
      <w:r>
        <w:rPr>
          <w:rStyle w:val="8"/>
          <w:rFonts w:hint="eastAsia" w:ascii="宋体" w:hAnsi="宋体"/>
          <w:color w:val="auto"/>
          <w:kern w:val="2"/>
          <w:sz w:val="24"/>
          <w:szCs w:val="24"/>
          <w:highlight w:val="none"/>
          <w:u w:val="single"/>
        </w:rPr>
        <w:t>招标文件、投标文件、招投标过程中澄清答疑、合同附件、双方签署的补充协议等。</w:t>
      </w:r>
    </w:p>
    <w:p w14:paraId="00AB3C67">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1.1.2 合同当事人及其他相关方</w:t>
      </w:r>
    </w:p>
    <w:p w14:paraId="005CA344">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1.1.2.4监理人：</w:t>
      </w:r>
    </w:p>
    <w:p w14:paraId="7B968382">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名    称：</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1BB704D9">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资质类别和等级：</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14:paraId="418B0F9E">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联系电话：</w:t>
      </w:r>
      <w:r>
        <w:rPr>
          <w:rStyle w:val="8"/>
          <w:rFonts w:hint="eastAsia" w:ascii="宋体" w:hAnsi="宋体" w:cs="宋体"/>
          <w:color w:val="auto"/>
          <w:kern w:val="2"/>
          <w:sz w:val="24"/>
          <w:szCs w:val="24"/>
          <w:highlight w:val="none"/>
          <w:u w:val="single"/>
        </w:rPr>
        <w:t>    </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14:paraId="71E630FE">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电子信箱：</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14:paraId="6E8FEB60">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通信地址：</w:t>
      </w:r>
      <w:r>
        <w:rPr>
          <w:rStyle w:val="8"/>
          <w:rFonts w:hint="eastAsia" w:ascii="宋体" w:hAnsi="宋体" w:cs="宋体"/>
          <w:color w:val="auto"/>
          <w:kern w:val="2"/>
          <w:sz w:val="24"/>
          <w:szCs w:val="24"/>
          <w:highlight w:val="none"/>
          <w:u w:val="single"/>
        </w:rPr>
        <w:t>    </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14:paraId="1B433D21">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1.1.2.5 设计人：</w:t>
      </w:r>
    </w:p>
    <w:p w14:paraId="0C99FC24">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名    称：</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41503D48">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资质类别和等级：</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14:paraId="4514CBC1">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联系电话：</w:t>
      </w:r>
      <w:r>
        <w:rPr>
          <w:rStyle w:val="8"/>
          <w:rFonts w:hint="eastAsia" w:ascii="宋体" w:hAnsi="宋体" w:cs="宋体"/>
          <w:color w:val="auto"/>
          <w:kern w:val="2"/>
          <w:sz w:val="24"/>
          <w:szCs w:val="24"/>
          <w:highlight w:val="none"/>
          <w:u w:val="single"/>
        </w:rPr>
        <w:t>    </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14:paraId="77BBD8A1">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电子信箱：</w:t>
      </w:r>
      <w:r>
        <w:rPr>
          <w:rStyle w:val="8"/>
          <w:rFonts w:hint="eastAsia" w:ascii="宋体" w:hAnsi="宋体" w:cs="宋体"/>
          <w:color w:val="auto"/>
          <w:kern w:val="2"/>
          <w:sz w:val="24"/>
          <w:szCs w:val="24"/>
          <w:highlight w:val="none"/>
          <w:u w:val="single"/>
        </w:rPr>
        <w:t>    </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1E1516FF">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通信地址：</w:t>
      </w:r>
      <w:r>
        <w:rPr>
          <w:rStyle w:val="8"/>
          <w:rFonts w:hint="eastAsia" w:ascii="宋体" w:hAnsi="宋体" w:cs="宋体"/>
          <w:color w:val="auto"/>
          <w:kern w:val="2"/>
          <w:sz w:val="24"/>
          <w:szCs w:val="24"/>
          <w:highlight w:val="none"/>
          <w:u w:val="single"/>
        </w:rPr>
        <w:t>    </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14:paraId="35835D76">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1.1.3 工程和设备</w:t>
      </w:r>
    </w:p>
    <w:p w14:paraId="6CBAA400">
      <w:pPr>
        <w:pStyle w:val="13"/>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1.1.3.7 作为施工现场组成部分的其他场所包括：</w:t>
      </w:r>
      <w:r>
        <w:rPr>
          <w:rStyle w:val="8"/>
          <w:rFonts w:hint="eastAsia" w:ascii="宋体" w:hAnsi="宋体"/>
          <w:color w:val="auto"/>
          <w:kern w:val="2"/>
          <w:sz w:val="24"/>
          <w:szCs w:val="24"/>
          <w:highlight w:val="none"/>
          <w:u w:val="single"/>
        </w:rPr>
        <w:t xml:space="preserve">           </w:t>
      </w:r>
    </w:p>
    <w:p w14:paraId="1A8D5DAC">
      <w:pPr>
        <w:pStyle w:val="13"/>
        <w:spacing w:line="360" w:lineRule="auto"/>
        <w:rPr>
          <w:rStyle w:val="8"/>
          <w:rFonts w:ascii="宋体" w:hAnsi="宋体"/>
          <w:color w:val="auto"/>
          <w:kern w:val="2"/>
          <w:sz w:val="24"/>
          <w:szCs w:val="24"/>
          <w:highlight w:val="none"/>
        </w:rPr>
      </w:pP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14:paraId="33C35BC2">
      <w:pPr>
        <w:pStyle w:val="13"/>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1.1.3.9 永久占地包括：</w:t>
      </w:r>
      <w:r>
        <w:rPr>
          <w:rStyle w:val="8"/>
          <w:rFonts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sz w:val="24"/>
          <w:szCs w:val="24"/>
          <w:highlight w:val="none"/>
        </w:rPr>
        <w:t>。</w:t>
      </w:r>
    </w:p>
    <w:p w14:paraId="132E15AC">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sz w:val="24"/>
          <w:szCs w:val="24"/>
          <w:highlight w:val="none"/>
        </w:rPr>
        <w:t>1.1.3.10 临时占地包括：</w:t>
      </w:r>
      <w:r>
        <w:rPr>
          <w:rStyle w:val="8"/>
          <w:rFonts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sz w:val="24"/>
          <w:szCs w:val="24"/>
          <w:highlight w:val="none"/>
        </w:rPr>
        <w:t>。</w:t>
      </w:r>
    </w:p>
    <w:p w14:paraId="7FD1435A">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 xml:space="preserve">1.3法律 </w:t>
      </w:r>
    </w:p>
    <w:p w14:paraId="2774124E">
      <w:pPr>
        <w:pStyle w:val="14"/>
        <w:autoSpaceDE w:val="0"/>
        <w:autoSpaceDN w:val="0"/>
        <w:adjustRightInd w:val="0"/>
        <w:spacing w:line="360" w:lineRule="auto"/>
        <w:ind w:firstLine="595" w:firstLineChars="248"/>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适用于合同的其他规范性文件：</w:t>
      </w:r>
      <w:r>
        <w:rPr>
          <w:rStyle w:val="8"/>
          <w:rFonts w:hint="eastAsia" w:ascii="宋体" w:hAnsi="宋体"/>
          <w:color w:val="auto"/>
          <w:kern w:val="2"/>
          <w:sz w:val="24"/>
          <w:szCs w:val="24"/>
          <w:highlight w:val="none"/>
          <w:u w:val="single"/>
        </w:rPr>
        <w:t>《中华人民共和国建筑法》、</w:t>
      </w:r>
      <w:r>
        <w:rPr>
          <w:rStyle w:val="8"/>
          <w:rFonts w:hint="eastAsia" w:ascii="宋体" w:hAnsi="宋体"/>
          <w:color w:val="auto"/>
          <w:kern w:val="2"/>
          <w:sz w:val="24"/>
          <w:szCs w:val="24"/>
          <w:highlight w:val="none"/>
          <w:u w:val="single"/>
          <w:lang w:val="en-US" w:eastAsia="zh-CN"/>
        </w:rPr>
        <w:t xml:space="preserve">       </w:t>
      </w:r>
      <w:r>
        <w:rPr>
          <w:rStyle w:val="8"/>
          <w:rFonts w:hint="eastAsia" w:ascii="宋体" w:hAnsi="宋体"/>
          <w:color w:val="auto"/>
          <w:kern w:val="2"/>
          <w:sz w:val="24"/>
          <w:szCs w:val="24"/>
          <w:highlight w:val="none"/>
          <w:u w:val="single"/>
        </w:rPr>
        <w:t>《中华人民共和国招标投标法》、《中华人民共和国民法典》、《</w:t>
      </w:r>
      <w:r>
        <w:rPr>
          <w:rStyle w:val="8"/>
          <w:rFonts w:hint="eastAsia" w:ascii="宋体" w:hAnsi="宋体"/>
          <w:color w:val="auto"/>
          <w:kern w:val="2"/>
          <w:sz w:val="24"/>
          <w:szCs w:val="24"/>
          <w:highlight w:val="none"/>
          <w:u w:val="single"/>
          <w:lang w:eastAsia="zh-CN"/>
        </w:rPr>
        <w:t>建设工程质量管理条例</w:t>
      </w:r>
      <w:r>
        <w:rPr>
          <w:rStyle w:val="8"/>
          <w:rFonts w:hint="eastAsia" w:ascii="宋体" w:hAnsi="宋体"/>
          <w:color w:val="auto"/>
          <w:kern w:val="2"/>
          <w:sz w:val="24"/>
          <w:szCs w:val="24"/>
          <w:highlight w:val="none"/>
          <w:u w:val="single"/>
        </w:rPr>
        <w:t>》、辽宁省及</w:t>
      </w:r>
      <w:r>
        <w:rPr>
          <w:rStyle w:val="8"/>
          <w:rFonts w:hint="eastAsia" w:ascii="宋体" w:hAnsi="宋体"/>
          <w:color w:val="auto"/>
          <w:kern w:val="2"/>
          <w:sz w:val="24"/>
          <w:szCs w:val="24"/>
          <w:highlight w:val="none"/>
          <w:u w:val="single"/>
          <w:lang w:eastAsia="zh-CN"/>
        </w:rPr>
        <w:t>营口市</w:t>
      </w:r>
      <w:r>
        <w:rPr>
          <w:rStyle w:val="8"/>
          <w:rFonts w:hint="eastAsia" w:ascii="宋体" w:hAnsi="宋体"/>
          <w:color w:val="auto"/>
          <w:kern w:val="2"/>
          <w:sz w:val="24"/>
          <w:szCs w:val="24"/>
          <w:highlight w:val="none"/>
          <w:u w:val="single"/>
        </w:rPr>
        <w:t>相关规定等。</w:t>
      </w:r>
    </w:p>
    <w:p w14:paraId="39816EE0">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1.4 标准和规范</w:t>
      </w:r>
    </w:p>
    <w:p w14:paraId="2409C8D7">
      <w:pPr>
        <w:pStyle w:val="13"/>
        <w:spacing w:line="360" w:lineRule="auto"/>
        <w:ind w:left="596" w:leftChars="284"/>
        <w:rPr>
          <w:rStyle w:val="8"/>
          <w:rFonts w:ascii="宋体" w:hAnsi="宋体"/>
          <w:color w:val="auto"/>
          <w:kern w:val="2"/>
          <w:sz w:val="24"/>
          <w:szCs w:val="24"/>
          <w:highlight w:val="none"/>
        </w:rPr>
      </w:pPr>
      <w:r>
        <w:rPr>
          <w:rStyle w:val="8"/>
          <w:rFonts w:ascii="宋体" w:hAnsi="宋体"/>
          <w:color w:val="auto"/>
          <w:kern w:val="2"/>
          <w:sz w:val="24"/>
          <w:szCs w:val="24"/>
          <w:highlight w:val="none"/>
        </w:rPr>
        <w:t>1.4.1适用于工程的标准规范包括：</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 xml:space="preserve"> </w:t>
      </w:r>
    </w:p>
    <w:p w14:paraId="72134664">
      <w:pPr>
        <w:pStyle w:val="13"/>
        <w:spacing w:line="360" w:lineRule="auto"/>
        <w:rPr>
          <w:rStyle w:val="8"/>
          <w:rFonts w:ascii="宋体" w:hAnsi="宋体"/>
          <w:color w:val="auto"/>
          <w:kern w:val="2"/>
          <w:sz w:val="24"/>
          <w:szCs w:val="24"/>
          <w:highlight w:val="none"/>
        </w:rPr>
      </w:pP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14:paraId="6E6F8B84">
      <w:pPr>
        <w:pStyle w:val="13"/>
        <w:spacing w:line="360" w:lineRule="auto"/>
        <w:ind w:firstLine="480" w:firstLineChars="200"/>
        <w:outlineLvl w:val="9"/>
        <w:rPr>
          <w:rStyle w:val="8"/>
          <w:rFonts w:ascii="宋体" w:hAnsi="宋体"/>
          <w:color w:val="auto"/>
          <w:sz w:val="24"/>
          <w:szCs w:val="24"/>
          <w:highlight w:val="none"/>
        </w:rPr>
      </w:pPr>
      <w:bookmarkStart w:id="232" w:name="_Toc69461799"/>
      <w:bookmarkStart w:id="233" w:name="_Toc256000820"/>
      <w:bookmarkStart w:id="234" w:name="_Toc256001057"/>
      <w:bookmarkStart w:id="235" w:name="_Toc256000553"/>
      <w:bookmarkStart w:id="236" w:name="_Toc69461144"/>
      <w:bookmarkStart w:id="237" w:name="_Toc256000324"/>
      <w:bookmarkStart w:id="238" w:name="_Toc256000047"/>
      <w:bookmarkStart w:id="239" w:name="_Toc5953"/>
      <w:bookmarkStart w:id="240" w:name="_Toc256001287"/>
      <w:bookmarkStart w:id="241" w:name="_Toc5562"/>
      <w:bookmarkStart w:id="242" w:name="_Toc29975"/>
      <w:bookmarkStart w:id="243" w:name="_Toc833"/>
      <w:r>
        <w:rPr>
          <w:rStyle w:val="8"/>
          <w:rFonts w:ascii="宋体" w:hAnsi="宋体"/>
          <w:color w:val="auto"/>
          <w:sz w:val="24"/>
          <w:szCs w:val="24"/>
          <w:highlight w:val="none"/>
        </w:rPr>
        <w:t>1.4.2 发包人提供国外标准、规范的名称：</w:t>
      </w:r>
      <w:bookmarkEnd w:id="232"/>
      <w:bookmarkEnd w:id="233"/>
      <w:bookmarkEnd w:id="234"/>
      <w:bookmarkEnd w:id="235"/>
      <w:bookmarkEnd w:id="236"/>
      <w:bookmarkEnd w:id="237"/>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w:t>
      </w:r>
      <w:bookmarkEnd w:id="238"/>
      <w:bookmarkEnd w:id="239"/>
      <w:bookmarkEnd w:id="240"/>
      <w:bookmarkEnd w:id="241"/>
      <w:bookmarkEnd w:id="242"/>
      <w:bookmarkEnd w:id="243"/>
    </w:p>
    <w:p w14:paraId="7660A840">
      <w:pPr>
        <w:pStyle w:val="13"/>
        <w:spacing w:line="360" w:lineRule="auto"/>
        <w:ind w:firstLine="480" w:firstLineChars="200"/>
        <w:rPr>
          <w:rStyle w:val="8"/>
          <w:rFonts w:ascii="宋体" w:hAnsi="宋体"/>
          <w:color w:val="auto"/>
          <w:sz w:val="24"/>
          <w:szCs w:val="24"/>
          <w:highlight w:val="none"/>
        </w:rPr>
      </w:pPr>
      <w:r>
        <w:rPr>
          <w:rStyle w:val="8"/>
          <w:rFonts w:ascii="宋体" w:hAnsi="宋体"/>
          <w:color w:val="auto"/>
          <w:sz w:val="24"/>
          <w:szCs w:val="24"/>
          <w:highlight w:val="none"/>
        </w:rPr>
        <w:t>发包人提供国外标准、规范的份数：</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w:t>
      </w:r>
    </w:p>
    <w:p w14:paraId="7AB88E6B">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sz w:val="24"/>
          <w:szCs w:val="24"/>
          <w:highlight w:val="none"/>
        </w:rPr>
        <w:t>发包人提供国外标准、规范的名称：</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w:t>
      </w:r>
    </w:p>
    <w:p w14:paraId="62EA350B">
      <w:pPr>
        <w:pStyle w:val="13"/>
        <w:spacing w:line="360" w:lineRule="auto"/>
        <w:ind w:left="596" w:leftChars="284"/>
        <w:rPr>
          <w:rStyle w:val="8"/>
          <w:rFonts w:ascii="宋体" w:hAnsi="宋体"/>
          <w:color w:val="auto"/>
          <w:kern w:val="2"/>
          <w:sz w:val="24"/>
          <w:szCs w:val="24"/>
          <w:highlight w:val="none"/>
        </w:rPr>
      </w:pPr>
      <w:r>
        <w:rPr>
          <w:rStyle w:val="8"/>
          <w:rFonts w:ascii="宋体" w:hAnsi="宋体"/>
          <w:color w:val="auto"/>
          <w:kern w:val="2"/>
          <w:sz w:val="24"/>
          <w:szCs w:val="24"/>
          <w:highlight w:val="none"/>
        </w:rPr>
        <w:t>1.4.3发包人对工程的技术标准和功能要求的特殊要求：</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0FADBC67">
      <w:pPr>
        <w:pStyle w:val="13"/>
        <w:spacing w:after="120" w:line="360" w:lineRule="auto"/>
        <w:ind w:firstLine="480" w:firstLineChars="200"/>
        <w:outlineLvl w:val="9"/>
        <w:rPr>
          <w:rStyle w:val="8"/>
          <w:rFonts w:ascii="宋体" w:hAnsi="宋体"/>
          <w:color w:val="auto"/>
          <w:kern w:val="2"/>
          <w:sz w:val="24"/>
          <w:szCs w:val="24"/>
          <w:highlight w:val="none"/>
        </w:rPr>
      </w:pPr>
      <w:bookmarkStart w:id="244" w:name="_Toc69461145"/>
      <w:bookmarkStart w:id="245" w:name="_Toc256000048"/>
      <w:bookmarkStart w:id="246" w:name="_Toc256000554"/>
      <w:bookmarkStart w:id="247" w:name="_Toc69461800"/>
      <w:bookmarkStart w:id="248" w:name="_Toc256001058"/>
      <w:bookmarkStart w:id="249" w:name="_Toc10604"/>
      <w:bookmarkStart w:id="250" w:name="_Toc18382"/>
      <w:bookmarkStart w:id="251" w:name="_Toc29750"/>
      <w:bookmarkStart w:id="252" w:name="_Toc20068"/>
      <w:bookmarkStart w:id="253" w:name="_Toc256001288"/>
      <w:bookmarkStart w:id="254" w:name="_Toc256000821"/>
      <w:bookmarkStart w:id="255" w:name="_Toc256000325"/>
      <w:r>
        <w:rPr>
          <w:rStyle w:val="8"/>
          <w:rFonts w:ascii="宋体" w:hAnsi="宋体"/>
          <w:color w:val="auto"/>
          <w:kern w:val="2"/>
          <w:sz w:val="24"/>
          <w:szCs w:val="24"/>
          <w:highlight w:val="none"/>
        </w:rPr>
        <w:t>1.5 合同文件的优先顺序</w:t>
      </w:r>
      <w:bookmarkEnd w:id="244"/>
      <w:bookmarkEnd w:id="245"/>
      <w:bookmarkEnd w:id="246"/>
      <w:bookmarkEnd w:id="247"/>
      <w:bookmarkEnd w:id="248"/>
      <w:bookmarkEnd w:id="249"/>
      <w:bookmarkEnd w:id="250"/>
      <w:bookmarkEnd w:id="251"/>
      <w:bookmarkEnd w:id="252"/>
      <w:bookmarkEnd w:id="253"/>
      <w:bookmarkEnd w:id="254"/>
      <w:bookmarkEnd w:id="255"/>
    </w:p>
    <w:p w14:paraId="22499F9B">
      <w:pPr>
        <w:pStyle w:val="14"/>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合同文件组成及优先顺序为：</w:t>
      </w:r>
    </w:p>
    <w:p w14:paraId="03E2B3B1">
      <w:pPr>
        <w:pStyle w:val="13"/>
        <w:spacing w:line="360" w:lineRule="auto"/>
        <w:ind w:firstLine="480" w:firstLineChars="200"/>
        <w:rPr>
          <w:rStyle w:val="8"/>
          <w:rFonts w:ascii="宋体" w:hAnsi="宋体"/>
          <w:color w:val="auto"/>
          <w:sz w:val="24"/>
          <w:szCs w:val="24"/>
          <w:highlight w:val="none"/>
        </w:rPr>
      </w:pPr>
      <w:r>
        <w:rPr>
          <w:rStyle w:val="8"/>
          <w:rFonts w:hint="eastAsia" w:ascii="宋体" w:hAnsi="宋体"/>
          <w:color w:val="auto"/>
          <w:sz w:val="24"/>
          <w:szCs w:val="24"/>
          <w:highlight w:val="none"/>
        </w:rPr>
        <w:t>（1）合同协议书；</w:t>
      </w:r>
    </w:p>
    <w:p w14:paraId="2413B459">
      <w:pPr>
        <w:pStyle w:val="13"/>
        <w:spacing w:line="360" w:lineRule="auto"/>
        <w:ind w:firstLine="480" w:firstLineChars="200"/>
        <w:rPr>
          <w:rStyle w:val="8"/>
          <w:rFonts w:ascii="宋体" w:hAnsi="宋体"/>
          <w:color w:val="auto"/>
          <w:sz w:val="24"/>
          <w:szCs w:val="24"/>
          <w:highlight w:val="none"/>
        </w:rPr>
      </w:pPr>
      <w:r>
        <w:rPr>
          <w:rStyle w:val="8"/>
          <w:rFonts w:hint="eastAsia" w:ascii="宋体" w:hAnsi="宋体"/>
          <w:color w:val="auto"/>
          <w:sz w:val="24"/>
          <w:szCs w:val="24"/>
          <w:highlight w:val="none"/>
        </w:rPr>
        <w:t>（2）中标通知书；</w:t>
      </w:r>
    </w:p>
    <w:p w14:paraId="66F9E0FA">
      <w:pPr>
        <w:pStyle w:val="13"/>
        <w:spacing w:line="360" w:lineRule="auto"/>
        <w:ind w:firstLine="480" w:firstLineChars="200"/>
        <w:rPr>
          <w:rStyle w:val="8"/>
          <w:rFonts w:ascii="宋体" w:hAnsi="宋体"/>
          <w:color w:val="auto"/>
          <w:sz w:val="24"/>
          <w:szCs w:val="24"/>
          <w:highlight w:val="none"/>
        </w:rPr>
      </w:pPr>
      <w:r>
        <w:rPr>
          <w:rStyle w:val="8"/>
          <w:rFonts w:hint="eastAsia" w:ascii="宋体" w:hAnsi="宋体"/>
          <w:color w:val="auto"/>
          <w:sz w:val="24"/>
          <w:szCs w:val="24"/>
          <w:highlight w:val="none"/>
        </w:rPr>
        <w:t>（3）投标函及其附录；</w:t>
      </w:r>
    </w:p>
    <w:p w14:paraId="1AEB62E0">
      <w:pPr>
        <w:pStyle w:val="13"/>
        <w:spacing w:line="360" w:lineRule="auto"/>
        <w:ind w:firstLine="480" w:firstLineChars="200"/>
        <w:rPr>
          <w:rStyle w:val="8"/>
          <w:rFonts w:ascii="宋体" w:hAnsi="宋体"/>
          <w:color w:val="auto"/>
          <w:sz w:val="24"/>
          <w:szCs w:val="24"/>
          <w:highlight w:val="none"/>
        </w:rPr>
      </w:pPr>
      <w:r>
        <w:rPr>
          <w:rStyle w:val="8"/>
          <w:rFonts w:hint="eastAsia" w:ascii="宋体" w:hAnsi="宋体"/>
          <w:color w:val="auto"/>
          <w:sz w:val="24"/>
          <w:szCs w:val="24"/>
          <w:highlight w:val="none"/>
        </w:rPr>
        <w:t>（4）专用合同条款及其附件；</w:t>
      </w:r>
    </w:p>
    <w:p w14:paraId="75943192">
      <w:pPr>
        <w:pStyle w:val="13"/>
        <w:spacing w:line="360" w:lineRule="auto"/>
        <w:ind w:firstLine="480" w:firstLineChars="200"/>
        <w:rPr>
          <w:rStyle w:val="8"/>
          <w:rFonts w:ascii="宋体" w:hAnsi="宋体"/>
          <w:color w:val="auto"/>
          <w:sz w:val="24"/>
          <w:szCs w:val="24"/>
          <w:highlight w:val="none"/>
        </w:rPr>
      </w:pPr>
      <w:r>
        <w:rPr>
          <w:rStyle w:val="8"/>
          <w:rFonts w:hint="eastAsia" w:ascii="宋体" w:hAnsi="宋体"/>
          <w:color w:val="auto"/>
          <w:sz w:val="24"/>
          <w:szCs w:val="24"/>
          <w:highlight w:val="none"/>
        </w:rPr>
        <w:t>（5）通用合同条款；</w:t>
      </w:r>
    </w:p>
    <w:p w14:paraId="1CF34546">
      <w:pPr>
        <w:pStyle w:val="13"/>
        <w:spacing w:line="360" w:lineRule="auto"/>
        <w:ind w:firstLine="480" w:firstLineChars="200"/>
        <w:rPr>
          <w:rStyle w:val="8"/>
          <w:rFonts w:ascii="宋体" w:hAnsi="宋体"/>
          <w:color w:val="auto"/>
          <w:sz w:val="24"/>
          <w:szCs w:val="24"/>
          <w:highlight w:val="none"/>
        </w:rPr>
      </w:pPr>
      <w:r>
        <w:rPr>
          <w:rStyle w:val="8"/>
          <w:rFonts w:hint="eastAsia" w:ascii="宋体" w:hAnsi="宋体"/>
          <w:color w:val="auto"/>
          <w:sz w:val="24"/>
          <w:szCs w:val="24"/>
          <w:highlight w:val="none"/>
        </w:rPr>
        <w:t>（6）技术标准和要求；</w:t>
      </w:r>
    </w:p>
    <w:p w14:paraId="61C3CF00">
      <w:pPr>
        <w:pStyle w:val="13"/>
        <w:spacing w:line="360" w:lineRule="auto"/>
        <w:ind w:firstLine="480" w:firstLineChars="200"/>
        <w:rPr>
          <w:rStyle w:val="8"/>
          <w:rFonts w:ascii="宋体" w:hAnsi="宋体"/>
          <w:color w:val="auto"/>
          <w:sz w:val="24"/>
          <w:szCs w:val="24"/>
          <w:highlight w:val="none"/>
        </w:rPr>
      </w:pPr>
      <w:r>
        <w:rPr>
          <w:rStyle w:val="8"/>
          <w:rFonts w:hint="eastAsia" w:ascii="宋体" w:hAnsi="宋体"/>
          <w:color w:val="auto"/>
          <w:sz w:val="24"/>
          <w:szCs w:val="24"/>
          <w:highlight w:val="none"/>
        </w:rPr>
        <w:t>（7）图纸；</w:t>
      </w:r>
    </w:p>
    <w:p w14:paraId="53F4303C">
      <w:pPr>
        <w:pStyle w:val="13"/>
        <w:spacing w:line="360" w:lineRule="auto"/>
        <w:ind w:firstLine="480" w:firstLineChars="200"/>
        <w:rPr>
          <w:rStyle w:val="8"/>
          <w:rFonts w:ascii="宋体" w:hAnsi="宋体"/>
          <w:color w:val="auto"/>
          <w:sz w:val="24"/>
          <w:szCs w:val="24"/>
          <w:highlight w:val="none"/>
        </w:rPr>
      </w:pPr>
      <w:r>
        <w:rPr>
          <w:rStyle w:val="8"/>
          <w:rFonts w:hint="eastAsia" w:ascii="宋体" w:hAnsi="宋体"/>
          <w:color w:val="auto"/>
          <w:sz w:val="24"/>
          <w:szCs w:val="24"/>
          <w:highlight w:val="none"/>
        </w:rPr>
        <w:t>（8）已标价工程量清单；</w:t>
      </w:r>
    </w:p>
    <w:p w14:paraId="46DE171B">
      <w:pPr>
        <w:pStyle w:val="13"/>
        <w:spacing w:line="360" w:lineRule="auto"/>
        <w:ind w:firstLine="480" w:firstLineChars="200"/>
        <w:rPr>
          <w:rStyle w:val="8"/>
          <w:rFonts w:ascii="宋体" w:hAnsi="宋体"/>
          <w:color w:val="auto"/>
          <w:sz w:val="24"/>
          <w:szCs w:val="24"/>
          <w:highlight w:val="none"/>
        </w:rPr>
      </w:pPr>
      <w:r>
        <w:rPr>
          <w:rStyle w:val="8"/>
          <w:rFonts w:hint="eastAsia" w:ascii="宋体" w:hAnsi="宋体"/>
          <w:color w:val="auto"/>
          <w:sz w:val="24"/>
          <w:szCs w:val="24"/>
          <w:highlight w:val="none"/>
        </w:rPr>
        <w:t>（9）招标文件及招标答疑（含工程量清单）；</w:t>
      </w:r>
    </w:p>
    <w:p w14:paraId="4D5FB68E">
      <w:pPr>
        <w:pStyle w:val="13"/>
        <w:spacing w:line="360" w:lineRule="auto"/>
        <w:ind w:firstLine="480" w:firstLineChars="200"/>
        <w:rPr>
          <w:rStyle w:val="8"/>
          <w:rFonts w:ascii="宋体" w:hAnsi="宋体"/>
          <w:color w:val="auto"/>
          <w:sz w:val="24"/>
          <w:szCs w:val="24"/>
          <w:highlight w:val="none"/>
        </w:rPr>
      </w:pPr>
      <w:r>
        <w:rPr>
          <w:rStyle w:val="8"/>
          <w:rFonts w:hint="eastAsia" w:ascii="宋体" w:hAnsi="宋体"/>
          <w:color w:val="auto"/>
          <w:sz w:val="24"/>
          <w:szCs w:val="24"/>
          <w:highlight w:val="none"/>
        </w:rPr>
        <w:t>（10）其他合同文件。</w:t>
      </w:r>
    </w:p>
    <w:p w14:paraId="29DDEF37">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1.6 图纸和承包人文件</w:t>
      </w:r>
      <w:r>
        <w:rPr>
          <w:rStyle w:val="8"/>
          <w:rFonts w:ascii="宋体" w:hAnsi="宋体"/>
          <w:color w:val="auto"/>
          <w:kern w:val="2"/>
          <w:sz w:val="24"/>
          <w:szCs w:val="24"/>
          <w:highlight w:val="none"/>
        </w:rPr>
        <w:tab/>
      </w:r>
    </w:p>
    <w:p w14:paraId="73DC208B">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1.6.1 图纸的提供</w:t>
      </w:r>
    </w:p>
    <w:p w14:paraId="24049676">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发包人向承包人提供图纸的期限：</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14:paraId="0942FE3D">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发包人向承包人提供图纸的数量：</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14:paraId="0071C45C">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发包人向承包人提供图纸的内容：</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14:paraId="226CCBBA">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1.6.4 承包人文件</w:t>
      </w:r>
    </w:p>
    <w:p w14:paraId="0E966686">
      <w:pPr>
        <w:pStyle w:val="14"/>
        <w:spacing w:line="360" w:lineRule="auto"/>
        <w:ind w:left="596" w:leftChars="284"/>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需要由承包人提供的文件，包括：</w:t>
      </w:r>
      <w:r>
        <w:rPr>
          <w:rStyle w:val="8"/>
          <w:rFonts w:hint="eastAsia" w:ascii="宋体" w:hAnsi="宋体"/>
          <w:color w:val="auto"/>
          <w:kern w:val="2"/>
          <w:sz w:val="24"/>
          <w:szCs w:val="24"/>
          <w:highlight w:val="none"/>
          <w:u w:val="single"/>
        </w:rPr>
        <w:t>按辽宁省建设工程档案管理规范及发包人要求提供；</w:t>
      </w:r>
    </w:p>
    <w:p w14:paraId="1569A6DB">
      <w:pPr>
        <w:pStyle w:val="13"/>
        <w:spacing w:line="360" w:lineRule="auto"/>
        <w:ind w:left="596" w:leftChars="284"/>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承包人提供的文件的期限为：</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按发包人要求</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14:paraId="15D5423A">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承包人提供的文件的数量为：</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6份</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14:paraId="1C4DB43E">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承包人提供的文件的形式为：</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纸质及电子版</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14:paraId="6DCB10F2">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发包人</w:t>
      </w:r>
      <w:r>
        <w:rPr>
          <w:rStyle w:val="8"/>
          <w:rFonts w:hint="eastAsia" w:ascii="宋体" w:hAnsi="宋体"/>
          <w:color w:val="auto"/>
          <w:kern w:val="2"/>
          <w:sz w:val="24"/>
          <w:szCs w:val="24"/>
          <w:highlight w:val="none"/>
        </w:rPr>
        <w:t>审批</w:t>
      </w:r>
      <w:r>
        <w:rPr>
          <w:rStyle w:val="8"/>
          <w:rFonts w:ascii="宋体" w:hAnsi="宋体"/>
          <w:color w:val="auto"/>
          <w:kern w:val="2"/>
          <w:sz w:val="24"/>
          <w:szCs w:val="24"/>
          <w:highlight w:val="none"/>
        </w:rPr>
        <w:t>承包人文件的期限：</w:t>
      </w:r>
      <w:r>
        <w:rPr>
          <w:rStyle w:val="8"/>
          <w:rFonts w:hint="eastAsia" w:ascii="宋体" w:hAnsi="宋体" w:cs="宋体"/>
          <w:color w:val="auto"/>
          <w:kern w:val="2"/>
          <w:sz w:val="24"/>
          <w:szCs w:val="24"/>
          <w:highlight w:val="none"/>
          <w:u w:val="single"/>
        </w:rPr>
        <w:t> </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14:paraId="2E0FC0DD">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1.6.5 现场图纸准备</w:t>
      </w:r>
    </w:p>
    <w:p w14:paraId="4ADF15E6">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关于现场图纸准备的约定：</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执行通用条款</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14:paraId="38948F8F">
      <w:pPr>
        <w:pStyle w:val="13"/>
        <w:spacing w:after="120" w:line="360" w:lineRule="auto"/>
        <w:ind w:firstLine="480" w:firstLineChars="200"/>
        <w:outlineLvl w:val="9"/>
        <w:rPr>
          <w:rStyle w:val="8"/>
          <w:rFonts w:ascii="宋体" w:hAnsi="宋体"/>
          <w:color w:val="auto"/>
          <w:kern w:val="2"/>
          <w:sz w:val="24"/>
          <w:szCs w:val="24"/>
          <w:highlight w:val="none"/>
        </w:rPr>
      </w:pPr>
      <w:bookmarkStart w:id="256" w:name="_Toc256001289"/>
      <w:bookmarkStart w:id="257" w:name="_Toc256001059"/>
      <w:bookmarkStart w:id="258" w:name="_Toc256000822"/>
      <w:bookmarkStart w:id="259" w:name="_Toc256000555"/>
      <w:bookmarkStart w:id="260" w:name="_Toc12612"/>
      <w:bookmarkStart w:id="261" w:name="_Toc256000326"/>
      <w:bookmarkStart w:id="262" w:name="_Toc69461801"/>
      <w:bookmarkStart w:id="263" w:name="_Toc256000049"/>
      <w:bookmarkStart w:id="264" w:name="_Toc25891"/>
      <w:bookmarkStart w:id="265" w:name="_Toc69461146"/>
      <w:bookmarkStart w:id="266" w:name="_Toc28396"/>
      <w:bookmarkStart w:id="267" w:name="_Toc15857"/>
      <w:r>
        <w:rPr>
          <w:rStyle w:val="8"/>
          <w:rFonts w:ascii="宋体" w:hAnsi="宋体"/>
          <w:color w:val="auto"/>
          <w:kern w:val="2"/>
          <w:sz w:val="24"/>
          <w:szCs w:val="24"/>
          <w:highlight w:val="none"/>
        </w:rPr>
        <w:t>1.7 联络</w:t>
      </w:r>
      <w:bookmarkEnd w:id="256"/>
      <w:bookmarkEnd w:id="257"/>
      <w:bookmarkEnd w:id="258"/>
      <w:bookmarkEnd w:id="259"/>
      <w:bookmarkEnd w:id="260"/>
      <w:bookmarkEnd w:id="261"/>
      <w:bookmarkEnd w:id="262"/>
      <w:bookmarkEnd w:id="263"/>
      <w:bookmarkEnd w:id="264"/>
      <w:bookmarkEnd w:id="265"/>
      <w:bookmarkEnd w:id="266"/>
      <w:bookmarkEnd w:id="267"/>
    </w:p>
    <w:p w14:paraId="5C5FF2BF">
      <w:pPr>
        <w:pStyle w:val="13"/>
        <w:spacing w:line="360" w:lineRule="auto"/>
        <w:ind w:firstLine="480" w:firstLineChars="200"/>
        <w:rPr>
          <w:rStyle w:val="8"/>
          <w:rFonts w:ascii="宋体" w:hAnsi="宋体"/>
          <w:color w:val="auto"/>
          <w:sz w:val="24"/>
          <w:szCs w:val="24"/>
          <w:highlight w:val="none"/>
        </w:rPr>
      </w:pPr>
      <w:r>
        <w:rPr>
          <w:rStyle w:val="8"/>
          <w:rFonts w:ascii="宋体" w:hAnsi="宋体"/>
          <w:color w:val="auto"/>
          <w:sz w:val="24"/>
          <w:szCs w:val="24"/>
          <w:highlight w:val="none"/>
        </w:rPr>
        <w:t>1.7.1发包人和承包人应当在</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7</w:t>
      </w:r>
      <w:r>
        <w:rPr>
          <w:rStyle w:val="8"/>
          <w:rFonts w:ascii="宋体" w:hAnsi="宋体"/>
          <w:color w:val="auto"/>
          <w:kern w:val="2"/>
          <w:sz w:val="24"/>
          <w:szCs w:val="24"/>
          <w:highlight w:val="none"/>
          <w:u w:val="single"/>
        </w:rPr>
        <w:t xml:space="preserve"> </w:t>
      </w:r>
      <w:r>
        <w:rPr>
          <w:rStyle w:val="8"/>
          <w:rFonts w:ascii="宋体" w:hAnsi="宋体"/>
          <w:color w:val="auto"/>
          <w:sz w:val="24"/>
          <w:szCs w:val="24"/>
          <w:highlight w:val="none"/>
        </w:rPr>
        <w:t>天内将与合同有关的通知、批准、证明、证书、指示、指令、要求、请求、同意、意见、确定和决定等书面函件送达对方当事人</w:t>
      </w:r>
      <w:r>
        <w:rPr>
          <w:rStyle w:val="8"/>
          <w:rFonts w:hint="eastAsia" w:ascii="宋体" w:hAnsi="宋体"/>
          <w:color w:val="auto"/>
          <w:sz w:val="24"/>
          <w:szCs w:val="24"/>
          <w:highlight w:val="none"/>
        </w:rPr>
        <w:t>。</w:t>
      </w:r>
    </w:p>
    <w:p w14:paraId="30089128">
      <w:pPr>
        <w:pStyle w:val="13"/>
        <w:spacing w:line="360" w:lineRule="auto"/>
        <w:ind w:firstLine="480" w:firstLineChars="200"/>
        <w:rPr>
          <w:rStyle w:val="8"/>
          <w:rFonts w:ascii="宋体" w:hAnsi="宋体"/>
          <w:color w:val="auto"/>
          <w:sz w:val="24"/>
          <w:szCs w:val="24"/>
          <w:highlight w:val="none"/>
        </w:rPr>
      </w:pPr>
      <w:r>
        <w:rPr>
          <w:rStyle w:val="8"/>
          <w:rFonts w:ascii="宋体" w:hAnsi="宋体"/>
          <w:color w:val="auto"/>
          <w:sz w:val="24"/>
          <w:szCs w:val="24"/>
          <w:highlight w:val="none"/>
        </w:rPr>
        <w:t>1.7.2 发包人接收文件的地点：</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项目现场办公地点</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sz w:val="24"/>
          <w:szCs w:val="24"/>
          <w:highlight w:val="none"/>
        </w:rPr>
        <w:t>；</w:t>
      </w:r>
    </w:p>
    <w:p w14:paraId="6EA3A959">
      <w:pPr>
        <w:pStyle w:val="13"/>
        <w:spacing w:line="360" w:lineRule="auto"/>
        <w:ind w:firstLine="480" w:firstLineChars="200"/>
        <w:rPr>
          <w:rStyle w:val="8"/>
          <w:rFonts w:ascii="宋体" w:hAnsi="宋体"/>
          <w:color w:val="auto"/>
          <w:sz w:val="24"/>
          <w:szCs w:val="24"/>
          <w:highlight w:val="none"/>
        </w:rPr>
      </w:pPr>
      <w:r>
        <w:rPr>
          <w:rStyle w:val="8"/>
          <w:rFonts w:ascii="宋体" w:hAnsi="宋体"/>
          <w:color w:val="auto"/>
          <w:sz w:val="24"/>
          <w:szCs w:val="24"/>
          <w:highlight w:val="none"/>
        </w:rPr>
        <w:t>发包人指定的接收人为：</w:t>
      </w:r>
      <w:r>
        <w:rPr>
          <w:rStyle w:val="8"/>
          <w:rFonts w:hint="eastAsia" w:ascii="宋体" w:hAnsi="宋体"/>
          <w:color w:val="auto"/>
          <w:kern w:val="2"/>
          <w:sz w:val="24"/>
          <w:szCs w:val="24"/>
          <w:highlight w:val="none"/>
          <w:u w:val="single"/>
        </w:rPr>
        <w:t xml:space="preserve">发包人现场档案员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sz w:val="24"/>
          <w:szCs w:val="24"/>
          <w:highlight w:val="none"/>
        </w:rPr>
        <w:t>；</w:t>
      </w:r>
    </w:p>
    <w:p w14:paraId="2731E23E">
      <w:pPr>
        <w:pStyle w:val="13"/>
        <w:spacing w:line="360" w:lineRule="auto"/>
        <w:ind w:firstLine="480" w:firstLineChars="200"/>
        <w:rPr>
          <w:rStyle w:val="8"/>
          <w:rFonts w:ascii="宋体" w:hAnsi="宋体"/>
          <w:color w:val="auto"/>
          <w:sz w:val="24"/>
          <w:szCs w:val="24"/>
          <w:highlight w:val="none"/>
        </w:rPr>
      </w:pPr>
      <w:r>
        <w:rPr>
          <w:rStyle w:val="8"/>
          <w:rFonts w:ascii="宋体" w:hAnsi="宋体"/>
          <w:color w:val="auto"/>
          <w:sz w:val="24"/>
          <w:szCs w:val="24"/>
          <w:highlight w:val="none"/>
        </w:rPr>
        <w:t>承包人接收文件的地点：</w:t>
      </w:r>
      <w:r>
        <w:rPr>
          <w:rStyle w:val="8"/>
          <w:rFonts w:hint="eastAsia" w:ascii="宋体" w:hAnsi="宋体"/>
          <w:color w:val="auto"/>
          <w:kern w:val="2"/>
          <w:sz w:val="24"/>
          <w:szCs w:val="24"/>
          <w:highlight w:val="none"/>
          <w:u w:val="single"/>
        </w:rPr>
        <w:t>项目现场办公地点</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sz w:val="24"/>
          <w:szCs w:val="24"/>
          <w:highlight w:val="none"/>
        </w:rPr>
        <w:t>；</w:t>
      </w:r>
    </w:p>
    <w:p w14:paraId="408317B5">
      <w:pPr>
        <w:pStyle w:val="14"/>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sz w:val="24"/>
          <w:szCs w:val="24"/>
          <w:highlight w:val="none"/>
        </w:rPr>
        <w:t>承包人指定的接收人为：</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合同协议书中载明的承包人项目经理或者项目经理授权代表；</w:t>
      </w:r>
    </w:p>
    <w:p w14:paraId="4C742A9F">
      <w:pPr>
        <w:pStyle w:val="14"/>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sz w:val="24"/>
          <w:szCs w:val="24"/>
          <w:highlight w:val="none"/>
        </w:rPr>
        <w:t>监理人接收文件的地点：</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p>
    <w:p w14:paraId="3278D672">
      <w:pPr>
        <w:pStyle w:val="13"/>
        <w:spacing w:line="360" w:lineRule="auto"/>
        <w:ind w:firstLine="480" w:firstLineChars="200"/>
        <w:rPr>
          <w:rStyle w:val="8"/>
          <w:rFonts w:ascii="宋体" w:hAnsi="宋体"/>
          <w:color w:val="auto"/>
          <w:sz w:val="24"/>
          <w:szCs w:val="24"/>
          <w:highlight w:val="none"/>
        </w:rPr>
      </w:pPr>
      <w:r>
        <w:rPr>
          <w:rStyle w:val="8"/>
          <w:rFonts w:ascii="宋体" w:hAnsi="宋体"/>
          <w:color w:val="auto"/>
          <w:sz w:val="24"/>
          <w:szCs w:val="24"/>
          <w:highlight w:val="none"/>
        </w:rPr>
        <w:t>监理人指定的接收人为：</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sz w:val="24"/>
          <w:szCs w:val="24"/>
          <w:highlight w:val="none"/>
        </w:rPr>
        <w:t>。</w:t>
      </w:r>
    </w:p>
    <w:p w14:paraId="4B6A644E">
      <w:pPr>
        <w:pStyle w:val="13"/>
        <w:spacing w:after="120" w:line="360" w:lineRule="auto"/>
        <w:ind w:firstLine="480" w:firstLineChars="200"/>
        <w:outlineLvl w:val="9"/>
        <w:rPr>
          <w:rStyle w:val="8"/>
          <w:rFonts w:ascii="宋体" w:hAnsi="宋体"/>
          <w:color w:val="auto"/>
          <w:kern w:val="2"/>
          <w:sz w:val="24"/>
          <w:szCs w:val="24"/>
          <w:highlight w:val="none"/>
        </w:rPr>
      </w:pPr>
      <w:bookmarkStart w:id="268" w:name="_Toc256000556"/>
      <w:bookmarkStart w:id="269" w:name="_Toc19836"/>
      <w:bookmarkStart w:id="270" w:name="_Toc256000050"/>
      <w:bookmarkStart w:id="271" w:name="_Toc69461147"/>
      <w:bookmarkStart w:id="272" w:name="_Toc4973"/>
      <w:bookmarkStart w:id="273" w:name="_Toc256001060"/>
      <w:bookmarkStart w:id="274" w:name="_Toc256000327"/>
      <w:bookmarkStart w:id="275" w:name="_Toc261"/>
      <w:bookmarkStart w:id="276" w:name="_Toc256001290"/>
      <w:bookmarkStart w:id="277" w:name="_Toc256000823"/>
      <w:bookmarkStart w:id="278" w:name="_Toc69461802"/>
      <w:bookmarkStart w:id="279" w:name="_Toc15266"/>
      <w:r>
        <w:rPr>
          <w:rStyle w:val="8"/>
          <w:rFonts w:ascii="宋体" w:hAnsi="宋体"/>
          <w:color w:val="auto"/>
          <w:kern w:val="2"/>
          <w:sz w:val="24"/>
          <w:szCs w:val="24"/>
          <w:highlight w:val="none"/>
        </w:rPr>
        <w:t>1.10 交通运输</w:t>
      </w:r>
      <w:bookmarkEnd w:id="268"/>
      <w:bookmarkEnd w:id="269"/>
      <w:bookmarkEnd w:id="270"/>
      <w:bookmarkEnd w:id="271"/>
      <w:bookmarkEnd w:id="272"/>
      <w:bookmarkEnd w:id="273"/>
      <w:bookmarkEnd w:id="274"/>
      <w:bookmarkEnd w:id="275"/>
      <w:bookmarkEnd w:id="276"/>
      <w:bookmarkEnd w:id="277"/>
      <w:bookmarkEnd w:id="278"/>
      <w:bookmarkEnd w:id="279"/>
    </w:p>
    <w:p w14:paraId="6ACCA469">
      <w:pPr>
        <w:pStyle w:val="13"/>
        <w:spacing w:line="360" w:lineRule="auto"/>
        <w:ind w:firstLine="480" w:firstLineChars="200"/>
        <w:outlineLvl w:val="9"/>
        <w:rPr>
          <w:rStyle w:val="8"/>
          <w:rFonts w:ascii="宋体" w:hAnsi="宋体"/>
          <w:color w:val="auto"/>
          <w:kern w:val="2"/>
          <w:sz w:val="24"/>
          <w:szCs w:val="24"/>
          <w:highlight w:val="none"/>
        </w:rPr>
      </w:pPr>
      <w:bookmarkStart w:id="280" w:name="_Toc256000051"/>
      <w:bookmarkStart w:id="281" w:name="_Toc69461148"/>
      <w:bookmarkStart w:id="282" w:name="_Toc69461803"/>
      <w:bookmarkStart w:id="283" w:name="_Toc256000328"/>
      <w:bookmarkStart w:id="284" w:name="_Toc10233"/>
      <w:bookmarkStart w:id="285" w:name="_Toc10663"/>
      <w:bookmarkStart w:id="286" w:name="_Toc13898"/>
      <w:bookmarkStart w:id="287" w:name="_Toc256001061"/>
      <w:bookmarkStart w:id="288" w:name="_Toc7778"/>
      <w:bookmarkStart w:id="289" w:name="_Toc256001291"/>
      <w:bookmarkStart w:id="290" w:name="_Toc256000557"/>
      <w:bookmarkStart w:id="291" w:name="_Toc256000824"/>
      <w:r>
        <w:rPr>
          <w:rStyle w:val="8"/>
          <w:rFonts w:ascii="宋体" w:hAnsi="宋体"/>
          <w:color w:val="auto"/>
          <w:kern w:val="2"/>
          <w:sz w:val="24"/>
          <w:szCs w:val="24"/>
          <w:highlight w:val="none"/>
        </w:rPr>
        <w:t>1</w:t>
      </w:r>
      <w:bookmarkStart w:id="292" w:name="_Toc300934943"/>
      <w:bookmarkStart w:id="293" w:name="_Toc304295521"/>
      <w:bookmarkStart w:id="294" w:name="_Toc303539100"/>
      <w:bookmarkStart w:id="295" w:name="_Toc312677986"/>
      <w:bookmarkStart w:id="296" w:name="_Toc318581155"/>
      <w:r>
        <w:rPr>
          <w:rStyle w:val="8"/>
          <w:rFonts w:ascii="宋体" w:hAnsi="宋体"/>
          <w:color w:val="auto"/>
          <w:kern w:val="2"/>
          <w:sz w:val="24"/>
          <w:szCs w:val="24"/>
          <w:highlight w:val="none"/>
        </w:rPr>
        <w:t>.10.1 出入现场的权利</w:t>
      </w:r>
      <w:bookmarkEnd w:id="280"/>
      <w:bookmarkEnd w:id="281"/>
      <w:bookmarkEnd w:id="282"/>
      <w:bookmarkEnd w:id="283"/>
      <w:bookmarkEnd w:id="284"/>
      <w:bookmarkEnd w:id="285"/>
      <w:bookmarkEnd w:id="286"/>
      <w:bookmarkEnd w:id="287"/>
      <w:bookmarkEnd w:id="288"/>
      <w:bookmarkEnd w:id="289"/>
      <w:bookmarkEnd w:id="290"/>
      <w:bookmarkEnd w:id="291"/>
    </w:p>
    <w:p w14:paraId="1B3A911B">
      <w:pPr>
        <w:pStyle w:val="13"/>
        <w:spacing w:line="360" w:lineRule="auto"/>
        <w:ind w:left="596" w:leftChars="284"/>
        <w:rPr>
          <w:rStyle w:val="8"/>
          <w:rFonts w:ascii="宋体" w:hAnsi="宋体"/>
          <w:color w:val="auto"/>
          <w:kern w:val="2"/>
          <w:sz w:val="24"/>
          <w:szCs w:val="24"/>
          <w:highlight w:val="none"/>
        </w:rPr>
      </w:pPr>
      <w:r>
        <w:rPr>
          <w:rStyle w:val="8"/>
          <w:rFonts w:ascii="宋体" w:hAnsi="宋体"/>
          <w:color w:val="auto"/>
          <w:kern w:val="2"/>
          <w:sz w:val="24"/>
          <w:szCs w:val="24"/>
          <w:highlight w:val="none"/>
        </w:rPr>
        <w:t>关于出入现场的权利的约定：</w:t>
      </w:r>
      <w:r>
        <w:rPr>
          <w:rStyle w:val="8"/>
          <w:rFonts w:hint="eastAsia" w:ascii="宋体" w:hAnsi="宋体" w:cs="宋体"/>
          <w:color w:val="auto"/>
          <w:kern w:val="2"/>
          <w:sz w:val="24"/>
          <w:szCs w:val="24"/>
          <w:highlight w:val="none"/>
          <w:u w:val="single"/>
        </w:rPr>
        <w:t> </w:t>
      </w:r>
      <w:r>
        <w:rPr>
          <w:rStyle w:val="8"/>
          <w:rFonts w:hint="eastAsia" w:ascii="宋体" w:hAnsi="宋体"/>
          <w:color w:val="auto"/>
          <w:kern w:val="2"/>
          <w:sz w:val="24"/>
          <w:szCs w:val="24"/>
          <w:highlight w:val="none"/>
          <w:u w:val="single"/>
        </w:rPr>
        <w:t>以现场施工围档为界</w:t>
      </w:r>
      <w:r>
        <w:rPr>
          <w:rStyle w:val="8"/>
          <w:rFonts w:ascii="宋体" w:hAnsi="宋体" w:cs="宋体"/>
          <w:color w:val="auto"/>
          <w:kern w:val="2"/>
          <w:sz w:val="24"/>
          <w:szCs w:val="24"/>
          <w:highlight w:val="none"/>
          <w:u w:val="single"/>
        </w:rPr>
        <w:t></w:t>
      </w:r>
    </w:p>
    <w:p w14:paraId="3F36F597">
      <w:pPr>
        <w:pStyle w:val="13"/>
        <w:spacing w:line="360" w:lineRule="auto"/>
        <w:rPr>
          <w:rStyle w:val="8"/>
          <w:rFonts w:ascii="宋体" w:hAnsi="宋体"/>
          <w:color w:val="auto"/>
          <w:kern w:val="2"/>
          <w:sz w:val="24"/>
          <w:szCs w:val="24"/>
          <w:highlight w:val="none"/>
        </w:rPr>
      </w:pPr>
    </w:p>
    <w:bookmarkEnd w:id="292"/>
    <w:bookmarkEnd w:id="293"/>
    <w:bookmarkEnd w:id="294"/>
    <w:bookmarkEnd w:id="295"/>
    <w:bookmarkEnd w:id="296"/>
    <w:p w14:paraId="3CF68391">
      <w:pPr>
        <w:pStyle w:val="13"/>
        <w:spacing w:line="360" w:lineRule="auto"/>
        <w:ind w:firstLine="480" w:firstLineChars="200"/>
        <w:jc w:val="left"/>
        <w:outlineLvl w:val="9"/>
        <w:rPr>
          <w:rStyle w:val="8"/>
          <w:rFonts w:ascii="宋体" w:hAnsi="宋体"/>
          <w:color w:val="auto"/>
          <w:kern w:val="2"/>
          <w:sz w:val="24"/>
          <w:szCs w:val="24"/>
          <w:highlight w:val="none"/>
        </w:rPr>
      </w:pPr>
      <w:bookmarkStart w:id="297" w:name="_Toc8263"/>
      <w:bookmarkStart w:id="298" w:name="_Toc256001062"/>
      <w:bookmarkStart w:id="299" w:name="_Toc69461804"/>
      <w:bookmarkStart w:id="300" w:name="_Toc18425"/>
      <w:bookmarkStart w:id="301" w:name="_Toc256000329"/>
      <w:bookmarkStart w:id="302" w:name="_Toc256000825"/>
      <w:bookmarkStart w:id="303" w:name="_Toc69461149"/>
      <w:bookmarkStart w:id="304" w:name="_Toc256001292"/>
      <w:bookmarkStart w:id="305" w:name="_Toc24596"/>
      <w:bookmarkStart w:id="306" w:name="_Toc256000558"/>
      <w:bookmarkStart w:id="307" w:name="_Toc256000052"/>
      <w:bookmarkStart w:id="308" w:name="_Toc22957"/>
      <w:r>
        <w:rPr>
          <w:rStyle w:val="8"/>
          <w:rFonts w:ascii="宋体" w:hAnsi="宋体"/>
          <w:color w:val="auto"/>
          <w:kern w:val="2"/>
          <w:sz w:val="24"/>
          <w:szCs w:val="24"/>
          <w:highlight w:val="none"/>
        </w:rPr>
        <w:t>1</w:t>
      </w:r>
      <w:bookmarkStart w:id="309" w:name="_Toc318581156"/>
      <w:bookmarkStart w:id="310" w:name="_Toc312677987"/>
      <w:bookmarkStart w:id="311" w:name="_Toc304295522"/>
      <w:bookmarkStart w:id="312" w:name="_Toc300934944"/>
      <w:bookmarkStart w:id="313" w:name="_Toc303539101"/>
      <w:r>
        <w:rPr>
          <w:rStyle w:val="8"/>
          <w:rFonts w:ascii="宋体" w:hAnsi="宋体"/>
          <w:color w:val="auto"/>
          <w:kern w:val="2"/>
          <w:sz w:val="24"/>
          <w:szCs w:val="24"/>
          <w:highlight w:val="none"/>
        </w:rPr>
        <w:t>.10.3 场内交通</w:t>
      </w:r>
      <w:bookmarkEnd w:id="297"/>
      <w:bookmarkEnd w:id="298"/>
      <w:bookmarkEnd w:id="299"/>
      <w:bookmarkEnd w:id="300"/>
      <w:bookmarkEnd w:id="301"/>
      <w:bookmarkEnd w:id="302"/>
      <w:bookmarkEnd w:id="303"/>
      <w:bookmarkEnd w:id="304"/>
      <w:bookmarkEnd w:id="305"/>
      <w:bookmarkEnd w:id="306"/>
      <w:bookmarkEnd w:id="307"/>
      <w:bookmarkEnd w:id="308"/>
    </w:p>
    <w:p w14:paraId="4748879F">
      <w:pPr>
        <w:pStyle w:val="13"/>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关于场外交通和场内交通的边界的约定：</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承包人有权无偿使用发包人修建的临时道路和交通设施，不需要交纳任何费用</w:t>
      </w:r>
      <w:r>
        <w:rPr>
          <w:rStyle w:val="8"/>
          <w:rFonts w:hint="eastAsia" w:ascii="宋体" w:hAnsi="宋体" w:cs="宋体"/>
          <w:color w:val="auto"/>
          <w:kern w:val="2"/>
          <w:sz w:val="24"/>
          <w:szCs w:val="24"/>
          <w:highlight w:val="none"/>
          <w:u w:val="single"/>
        </w:rPr>
        <w:t>。</w:t>
      </w:r>
    </w:p>
    <w:p w14:paraId="51FF5F24">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关于发包人向承包人免费提供满足工程施工需要的场内道路和交通设施的约定：</w:t>
      </w:r>
      <w:r>
        <w:rPr>
          <w:rStyle w:val="8"/>
          <w:rFonts w:hint="eastAsia" w:ascii="宋体" w:hAnsi="宋体" w:cs="宋体"/>
          <w:color w:val="auto"/>
          <w:kern w:val="2"/>
          <w:sz w:val="24"/>
          <w:szCs w:val="24"/>
          <w:highlight w:val="none"/>
          <w:u w:val="single"/>
        </w:rPr>
        <w:t>       </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xml:space="preserve"> 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bookmarkEnd w:id="309"/>
      <w:bookmarkEnd w:id="310"/>
      <w:bookmarkEnd w:id="311"/>
      <w:bookmarkEnd w:id="312"/>
      <w:bookmarkEnd w:id="313"/>
      <w:r>
        <w:rPr>
          <w:rStyle w:val="8"/>
          <w:rFonts w:ascii="宋体" w:hAnsi="宋体"/>
          <w:color w:val="auto"/>
          <w:kern w:val="2"/>
          <w:sz w:val="24"/>
          <w:szCs w:val="24"/>
          <w:highlight w:val="none"/>
        </w:rPr>
        <w:t xml:space="preserve">  </w:t>
      </w:r>
      <w:bookmarkStart w:id="314" w:name="_Toc318581157"/>
    </w:p>
    <w:p w14:paraId="5357D49D">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1.10.4超大件和超重件的运输</w:t>
      </w:r>
    </w:p>
    <w:p w14:paraId="4D6A9F2F">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运输超大件或超重件所需的道路和桥梁临时加固改造费用和其他有关费用由</w:t>
      </w:r>
      <w:r>
        <w:rPr>
          <w:rStyle w:val="8"/>
          <w:rFonts w:hint="eastAsia" w:ascii="宋体" w:hAnsi="宋体"/>
          <w:color w:val="auto"/>
          <w:kern w:val="2"/>
          <w:sz w:val="24"/>
          <w:szCs w:val="24"/>
          <w:highlight w:val="none"/>
          <w:u w:val="single"/>
        </w:rPr>
        <w:t>承包人</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承担。</w:t>
      </w:r>
    </w:p>
    <w:bookmarkEnd w:id="314"/>
    <w:p w14:paraId="01D3EBC0">
      <w:pPr>
        <w:pStyle w:val="13"/>
        <w:spacing w:after="120" w:line="360" w:lineRule="auto"/>
        <w:ind w:firstLine="480" w:firstLineChars="200"/>
        <w:outlineLvl w:val="9"/>
        <w:rPr>
          <w:rStyle w:val="8"/>
          <w:rFonts w:ascii="宋体" w:hAnsi="宋体"/>
          <w:color w:val="auto"/>
          <w:kern w:val="2"/>
          <w:sz w:val="24"/>
          <w:szCs w:val="24"/>
          <w:highlight w:val="none"/>
        </w:rPr>
      </w:pPr>
      <w:bookmarkStart w:id="315" w:name="_Toc256001063"/>
      <w:bookmarkStart w:id="316" w:name="_Toc18201"/>
      <w:bookmarkStart w:id="317" w:name="_Toc69461150"/>
      <w:bookmarkStart w:id="318" w:name="_Toc69461805"/>
      <w:bookmarkStart w:id="319" w:name="_Toc256000330"/>
      <w:bookmarkStart w:id="320" w:name="_Toc11629"/>
      <w:bookmarkStart w:id="321" w:name="_Toc8317"/>
      <w:bookmarkStart w:id="322" w:name="_Toc256000053"/>
      <w:bookmarkStart w:id="323" w:name="_Toc256000826"/>
      <w:bookmarkStart w:id="324" w:name="_Toc256000559"/>
      <w:bookmarkStart w:id="325" w:name="_Toc256001293"/>
      <w:bookmarkStart w:id="326" w:name="_Toc10722"/>
      <w:r>
        <w:rPr>
          <w:rStyle w:val="8"/>
          <w:rFonts w:ascii="宋体" w:hAnsi="宋体"/>
          <w:color w:val="auto"/>
          <w:kern w:val="2"/>
          <w:sz w:val="24"/>
          <w:szCs w:val="24"/>
          <w:highlight w:val="none"/>
        </w:rPr>
        <w:t>1.11 知识产权</w:t>
      </w:r>
      <w:bookmarkEnd w:id="315"/>
      <w:bookmarkEnd w:id="316"/>
      <w:bookmarkEnd w:id="317"/>
      <w:bookmarkEnd w:id="318"/>
      <w:bookmarkEnd w:id="319"/>
      <w:bookmarkEnd w:id="320"/>
      <w:bookmarkEnd w:id="321"/>
      <w:bookmarkEnd w:id="322"/>
      <w:bookmarkEnd w:id="323"/>
      <w:bookmarkEnd w:id="324"/>
      <w:bookmarkEnd w:id="325"/>
      <w:bookmarkEnd w:id="326"/>
    </w:p>
    <w:p w14:paraId="425B5BF0">
      <w:pPr>
        <w:pStyle w:val="13"/>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1.11.1关于发包人提供给承包人的图纸、发包人为实施工程自行编制或委托编制的技术规范以及反映发包人关于合同要求或其他类似性质的文件的著作权的归属：</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发包人  </w:t>
      </w:r>
      <w:r>
        <w:rPr>
          <w:rStyle w:val="8"/>
          <w:rFonts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p>
    <w:p w14:paraId="32E22A70">
      <w:pPr>
        <w:pStyle w:val="14"/>
        <w:spacing w:line="360" w:lineRule="auto"/>
        <w:ind w:left="596" w:leftChars="284"/>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关于发包人提供的上述文件的使用限制的要求：</w:t>
      </w:r>
      <w:r>
        <w:rPr>
          <w:rStyle w:val="8"/>
          <w:rFonts w:hint="eastAsia" w:ascii="宋体" w:hAnsi="宋体"/>
          <w:color w:val="auto"/>
          <w:kern w:val="2"/>
          <w:sz w:val="24"/>
          <w:szCs w:val="24"/>
          <w:highlight w:val="none"/>
          <w:u w:val="single"/>
        </w:rPr>
        <w:t>未经发包人书面同意，承包人不得为了合同以外目的而复制，使用上述文件或将之提供给任何第三方。</w:t>
      </w:r>
    </w:p>
    <w:p w14:paraId="3ABC7C18">
      <w:pPr>
        <w:pStyle w:val="14"/>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1.11.2 关于承包人为实施工程所编制文件的著作权的归属</w:t>
      </w:r>
      <w:r>
        <w:rPr>
          <w:rStyle w:val="8"/>
          <w:rFonts w:hint="eastAsia" w:ascii="宋体" w:hAnsi="宋体"/>
          <w:color w:val="auto"/>
          <w:kern w:val="2"/>
          <w:sz w:val="24"/>
          <w:szCs w:val="24"/>
          <w:highlight w:val="none"/>
        </w:rPr>
        <w:t>：</w:t>
      </w:r>
      <w:r>
        <w:rPr>
          <w:rStyle w:val="8"/>
          <w:rFonts w:hint="eastAsia" w:ascii="宋体" w:hAnsi="宋体"/>
          <w:color w:val="auto"/>
          <w:kern w:val="2"/>
          <w:sz w:val="24"/>
          <w:szCs w:val="24"/>
          <w:highlight w:val="none"/>
          <w:u w:val="single"/>
        </w:rPr>
        <w:t>除署名权以外全部归发包人所有。</w:t>
      </w:r>
    </w:p>
    <w:p w14:paraId="3ED79297">
      <w:pPr>
        <w:pStyle w:val="14"/>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关于承包人提供的上述文件的使用限制的要求：</w:t>
      </w:r>
      <w:r>
        <w:rPr>
          <w:rStyle w:val="8"/>
          <w:rFonts w:hint="eastAsia" w:ascii="宋体" w:hAnsi="宋体"/>
          <w:color w:val="auto"/>
          <w:kern w:val="2"/>
          <w:sz w:val="24"/>
          <w:szCs w:val="24"/>
          <w:highlight w:val="none"/>
          <w:u w:val="single"/>
        </w:rPr>
        <w:t>未经发包人同意，承包人不得为了合同以外的目的而复制，使用上述文件或将之提供给任何第三方。</w:t>
      </w:r>
    </w:p>
    <w:p w14:paraId="762F1377">
      <w:pPr>
        <w:pStyle w:val="14"/>
        <w:spacing w:line="360" w:lineRule="auto"/>
        <w:ind w:firstLine="480" w:firstLineChars="200"/>
        <w:outlineLvl w:val="9"/>
        <w:rPr>
          <w:rStyle w:val="8"/>
          <w:rFonts w:ascii="宋体" w:hAnsi="宋体"/>
          <w:color w:val="auto"/>
          <w:kern w:val="2"/>
          <w:sz w:val="24"/>
          <w:szCs w:val="24"/>
          <w:highlight w:val="none"/>
          <w:u w:val="single"/>
        </w:rPr>
      </w:pPr>
      <w:bookmarkStart w:id="327" w:name="_Toc256000560"/>
      <w:bookmarkStart w:id="328" w:name="_Toc256000827"/>
      <w:bookmarkStart w:id="329" w:name="_Toc256001064"/>
      <w:bookmarkStart w:id="330" w:name="_Toc256001294"/>
      <w:bookmarkStart w:id="331" w:name="_Toc15958"/>
      <w:bookmarkStart w:id="332" w:name="_Toc9004"/>
      <w:bookmarkStart w:id="333" w:name="_Toc256000054"/>
      <w:bookmarkStart w:id="334" w:name="_Toc69461151"/>
      <w:bookmarkStart w:id="335" w:name="_Toc20868"/>
      <w:bookmarkStart w:id="336" w:name="_Toc69461806"/>
      <w:bookmarkStart w:id="337" w:name="_Toc256000331"/>
      <w:bookmarkStart w:id="338" w:name="_Toc4073"/>
      <w:r>
        <w:rPr>
          <w:rStyle w:val="8"/>
          <w:rFonts w:ascii="宋体" w:hAnsi="宋体"/>
          <w:color w:val="auto"/>
          <w:kern w:val="2"/>
          <w:sz w:val="24"/>
          <w:szCs w:val="24"/>
          <w:highlight w:val="none"/>
        </w:rPr>
        <w:t>1.11.4 承包人在施工过程中所采用的专利、专有技术、技术秘密的使用费的承担方式：</w:t>
      </w:r>
      <w:r>
        <w:rPr>
          <w:rStyle w:val="8"/>
          <w:rFonts w:hint="eastAsia" w:ascii="宋体" w:hAnsi="宋体"/>
          <w:color w:val="auto"/>
          <w:kern w:val="2"/>
          <w:sz w:val="24"/>
          <w:szCs w:val="24"/>
          <w:highlight w:val="none"/>
          <w:u w:val="single"/>
        </w:rPr>
        <w:t>已包含在合同价款中，发包人不另行支付。</w:t>
      </w:r>
      <w:bookmarkEnd w:id="327"/>
      <w:bookmarkEnd w:id="328"/>
      <w:bookmarkEnd w:id="329"/>
      <w:bookmarkEnd w:id="330"/>
      <w:bookmarkEnd w:id="331"/>
      <w:bookmarkEnd w:id="332"/>
      <w:bookmarkEnd w:id="333"/>
      <w:bookmarkEnd w:id="334"/>
      <w:bookmarkEnd w:id="335"/>
      <w:bookmarkEnd w:id="336"/>
      <w:bookmarkEnd w:id="337"/>
      <w:bookmarkEnd w:id="338"/>
    </w:p>
    <w:p w14:paraId="47E373B1">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1.13工程量清单错误的修正</w:t>
      </w:r>
    </w:p>
    <w:p w14:paraId="299D42F5">
      <w:pPr>
        <w:pStyle w:val="13"/>
        <w:spacing w:line="360" w:lineRule="auto"/>
        <w:ind w:firstLine="480" w:firstLineChars="200"/>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出现工程量清单错误时，是否调整合同价格：</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调整</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xml:space="preserve">  </w:t>
      </w:r>
    </w:p>
    <w:p w14:paraId="0701FF2B">
      <w:pPr>
        <w:pStyle w:val="13"/>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允许调整合同价格的工程量偏差范围：</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据实调整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14:paraId="24144038">
      <w:pPr>
        <w:pStyle w:val="15"/>
        <w:spacing w:before="120" w:after="120" w:line="360" w:lineRule="auto"/>
        <w:outlineLvl w:val="9"/>
        <w:rPr>
          <w:rStyle w:val="8"/>
          <w:rFonts w:ascii="宋体" w:hAnsi="宋体" w:eastAsia="宋体"/>
          <w:b w:val="0"/>
          <w:color w:val="auto"/>
          <w:sz w:val="24"/>
          <w:szCs w:val="24"/>
          <w:highlight w:val="none"/>
        </w:rPr>
      </w:pPr>
      <w:bookmarkStart w:id="339" w:name="_Toc351203634"/>
      <w:bookmarkStart w:id="340" w:name="_Toc26327"/>
      <w:bookmarkStart w:id="341" w:name="_Toc256001295"/>
      <w:bookmarkStart w:id="342" w:name="_Toc69461152"/>
      <w:bookmarkStart w:id="343" w:name="_Toc69461807"/>
      <w:bookmarkStart w:id="344" w:name="_Toc256000332"/>
      <w:bookmarkStart w:id="345" w:name="_Toc5406"/>
      <w:bookmarkStart w:id="346" w:name="_Toc256000828"/>
      <w:bookmarkStart w:id="347" w:name="_Toc256000561"/>
      <w:bookmarkStart w:id="348" w:name="_Toc256001065"/>
      <w:r>
        <w:rPr>
          <w:rStyle w:val="8"/>
          <w:rFonts w:ascii="宋体" w:hAnsi="宋体" w:eastAsia="宋体"/>
          <w:b w:val="0"/>
          <w:color w:val="auto"/>
          <w:sz w:val="24"/>
          <w:szCs w:val="24"/>
          <w:highlight w:val="none"/>
        </w:rPr>
        <w:t>2</w:t>
      </w:r>
      <w:bookmarkStart w:id="349" w:name="_Toc296890985"/>
      <w:bookmarkStart w:id="350" w:name="_Toc296891197"/>
      <w:bookmarkStart w:id="351" w:name="_Toc292559362"/>
      <w:bookmarkStart w:id="352" w:name="_Toc292559867"/>
      <w:bookmarkStart w:id="353" w:name="_Toc296347156"/>
      <w:bookmarkStart w:id="354" w:name="_Toc296503157"/>
      <w:bookmarkStart w:id="355" w:name="_Toc296346658"/>
      <w:bookmarkStart w:id="356" w:name="_Toc296944496"/>
      <w:bookmarkStart w:id="357" w:name="_Toc297048343"/>
      <w:bookmarkStart w:id="358" w:name="_Toc297120457"/>
      <w:r>
        <w:rPr>
          <w:rStyle w:val="8"/>
          <w:rFonts w:ascii="宋体" w:hAnsi="宋体" w:eastAsia="宋体"/>
          <w:b w:val="0"/>
          <w:color w:val="auto"/>
          <w:sz w:val="24"/>
          <w:szCs w:val="24"/>
          <w:highlight w:val="none"/>
        </w:rPr>
        <w:t>. 发包人</w:t>
      </w:r>
      <w:bookmarkEnd w:id="339"/>
      <w:bookmarkEnd w:id="340"/>
      <w:bookmarkEnd w:id="341"/>
      <w:bookmarkEnd w:id="342"/>
      <w:bookmarkEnd w:id="343"/>
      <w:bookmarkEnd w:id="344"/>
      <w:bookmarkEnd w:id="345"/>
      <w:bookmarkEnd w:id="346"/>
      <w:bookmarkEnd w:id="347"/>
      <w:bookmarkEnd w:id="348"/>
    </w:p>
    <w:bookmarkEnd w:id="349"/>
    <w:bookmarkEnd w:id="350"/>
    <w:bookmarkEnd w:id="351"/>
    <w:bookmarkEnd w:id="352"/>
    <w:bookmarkEnd w:id="353"/>
    <w:bookmarkEnd w:id="354"/>
    <w:bookmarkEnd w:id="355"/>
    <w:bookmarkEnd w:id="356"/>
    <w:bookmarkEnd w:id="357"/>
    <w:bookmarkEnd w:id="358"/>
    <w:p w14:paraId="6B3FE715">
      <w:pPr>
        <w:pStyle w:val="13"/>
        <w:spacing w:after="120" w:line="360" w:lineRule="auto"/>
        <w:ind w:firstLine="480" w:firstLineChars="200"/>
        <w:outlineLvl w:val="9"/>
        <w:rPr>
          <w:rStyle w:val="8"/>
          <w:rFonts w:ascii="宋体" w:hAnsi="宋体"/>
          <w:color w:val="auto"/>
          <w:kern w:val="2"/>
          <w:sz w:val="24"/>
          <w:szCs w:val="24"/>
          <w:highlight w:val="none"/>
        </w:rPr>
      </w:pPr>
      <w:bookmarkStart w:id="359" w:name="_Toc30028"/>
      <w:bookmarkStart w:id="360" w:name="_Toc256001296"/>
      <w:bookmarkStart w:id="361" w:name="_Toc25928"/>
      <w:bookmarkStart w:id="362" w:name="_Toc256000055"/>
      <w:bookmarkStart w:id="363" w:name="_Toc69461808"/>
      <w:bookmarkStart w:id="364" w:name="_Toc5426"/>
      <w:bookmarkStart w:id="365" w:name="_Toc256001066"/>
      <w:bookmarkStart w:id="366" w:name="_Toc69461153"/>
      <w:bookmarkStart w:id="367" w:name="_Toc256000829"/>
      <w:bookmarkStart w:id="368" w:name="_Toc1401"/>
      <w:bookmarkStart w:id="369" w:name="_Toc256000562"/>
      <w:bookmarkStart w:id="370" w:name="_Toc256000333"/>
      <w:r>
        <w:rPr>
          <w:rStyle w:val="8"/>
          <w:rFonts w:ascii="宋体" w:hAnsi="宋体"/>
          <w:color w:val="auto"/>
          <w:kern w:val="2"/>
          <w:sz w:val="24"/>
          <w:szCs w:val="24"/>
          <w:highlight w:val="none"/>
        </w:rPr>
        <w:t>2.2 发包人代表</w:t>
      </w:r>
      <w:bookmarkEnd w:id="359"/>
      <w:bookmarkEnd w:id="360"/>
      <w:bookmarkEnd w:id="361"/>
      <w:bookmarkEnd w:id="362"/>
      <w:bookmarkEnd w:id="363"/>
      <w:bookmarkEnd w:id="364"/>
      <w:bookmarkEnd w:id="365"/>
      <w:bookmarkEnd w:id="366"/>
      <w:bookmarkEnd w:id="367"/>
      <w:bookmarkEnd w:id="368"/>
      <w:bookmarkEnd w:id="369"/>
      <w:bookmarkEnd w:id="370"/>
    </w:p>
    <w:p w14:paraId="55B2E5C4">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发包人代表：</w:t>
      </w:r>
    </w:p>
    <w:p w14:paraId="5CDACB8A">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姓    名：</w:t>
      </w:r>
      <w:r>
        <w:rPr>
          <w:rStyle w:val="8"/>
          <w:rFonts w:hint="eastAsia" w:ascii="宋体" w:hAnsi="宋体" w:cs="宋体"/>
          <w:color w:val="auto"/>
          <w:kern w:val="2"/>
          <w:sz w:val="24"/>
          <w:szCs w:val="24"/>
          <w:highlight w:val="none"/>
          <w:u w:val="single"/>
        </w:rPr>
        <w:t xml:space="preserve">  </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14:paraId="4353CE74">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身份证号：</w:t>
      </w:r>
      <w:r>
        <w:rPr>
          <w:rStyle w:val="8"/>
          <w:rFonts w:hint="eastAsia" w:ascii="宋体" w:hAnsi="宋体" w:cs="宋体"/>
          <w:color w:val="auto"/>
          <w:kern w:val="2"/>
          <w:sz w:val="24"/>
          <w:szCs w:val="24"/>
          <w:highlight w:val="none"/>
          <w:u w:val="single"/>
        </w:rPr>
        <w:t xml:space="preserve">   </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14:paraId="2DA080F1">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职    务：</w:t>
      </w:r>
      <w:r>
        <w:rPr>
          <w:rStyle w:val="8"/>
          <w:rFonts w:hint="eastAsia" w:ascii="宋体" w:hAnsi="宋体" w:cs="宋体"/>
          <w:color w:val="auto"/>
          <w:kern w:val="2"/>
          <w:sz w:val="24"/>
          <w:szCs w:val="24"/>
          <w:highlight w:val="none"/>
          <w:u w:val="single"/>
        </w:rPr>
        <w:t>    </w:t>
      </w:r>
      <w:r>
        <w:rPr>
          <w:rStyle w:val="8"/>
          <w:rFonts w:ascii="宋体" w:hAnsi="宋体"/>
          <w:color w:val="auto"/>
          <w:kern w:val="2"/>
          <w:sz w:val="24"/>
          <w:szCs w:val="24"/>
          <w:highlight w:val="none"/>
        </w:rPr>
        <w:t>；</w:t>
      </w:r>
    </w:p>
    <w:p w14:paraId="495E3CDD">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联系电话：</w:t>
      </w:r>
      <w:r>
        <w:rPr>
          <w:rStyle w:val="8"/>
          <w:rFonts w:hint="eastAsia" w:ascii="宋体" w:hAnsi="宋体" w:cs="宋体"/>
          <w:color w:val="auto"/>
          <w:kern w:val="2"/>
          <w:sz w:val="24"/>
          <w:szCs w:val="24"/>
          <w:highlight w:val="none"/>
          <w:u w:val="single"/>
        </w:rPr>
        <w:t>   </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14:paraId="00B52748">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电子信箱：</w:t>
      </w:r>
      <w:r>
        <w:rPr>
          <w:rStyle w:val="8"/>
          <w:rFonts w:hint="eastAsia" w:ascii="宋体" w:hAnsi="宋体" w:cs="宋体"/>
          <w:color w:val="auto"/>
          <w:kern w:val="2"/>
          <w:sz w:val="24"/>
          <w:szCs w:val="24"/>
          <w:highlight w:val="none"/>
          <w:u w:val="single"/>
        </w:rPr>
        <w:t>   </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14:paraId="080907EE">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通信地址：</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14:paraId="628188A8">
      <w:pPr>
        <w:pStyle w:val="14"/>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发包人对发包人代表的授权范围如下：</w:t>
      </w:r>
      <w:r>
        <w:rPr>
          <w:rStyle w:val="8"/>
          <w:rFonts w:hint="eastAsia" w:ascii="宋体" w:hAnsi="宋体"/>
          <w:color w:val="auto"/>
          <w:kern w:val="2"/>
          <w:sz w:val="24"/>
          <w:szCs w:val="24"/>
          <w:highlight w:val="none"/>
          <w:u w:val="single"/>
        </w:rPr>
        <w:t>工程管理和协调，并负责处理合同履行过程中与发包人有关的具体事宜   。</w:t>
      </w:r>
    </w:p>
    <w:p w14:paraId="6B9B5B95">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2.4 施工现场、施工条件和基础资料的提供</w:t>
      </w:r>
    </w:p>
    <w:p w14:paraId="256AB4E3">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2.4.1 提供施工现场</w:t>
      </w:r>
    </w:p>
    <w:p w14:paraId="2A96E535">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关于发包人移交施工现场的期限要求：</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开工前3日</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 xml:space="preserve">     </w:t>
      </w:r>
    </w:p>
    <w:p w14:paraId="29A7C204">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2.4.2 提供施工条件</w:t>
      </w:r>
    </w:p>
    <w:p w14:paraId="396757D7">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关于发包人应负责提供施工</w:t>
      </w:r>
      <w:r>
        <w:rPr>
          <w:rStyle w:val="8"/>
          <w:rFonts w:hint="eastAsia" w:ascii="宋体" w:hAnsi="宋体"/>
          <w:color w:val="auto"/>
          <w:kern w:val="2"/>
          <w:sz w:val="24"/>
          <w:szCs w:val="24"/>
          <w:highlight w:val="none"/>
        </w:rPr>
        <w:t>所需要的条件，</w:t>
      </w:r>
      <w:r>
        <w:rPr>
          <w:rStyle w:val="8"/>
          <w:rFonts w:ascii="宋体" w:hAnsi="宋体"/>
          <w:color w:val="auto"/>
          <w:kern w:val="2"/>
          <w:sz w:val="24"/>
          <w:szCs w:val="24"/>
          <w:highlight w:val="none"/>
        </w:rPr>
        <w:t>包括：</w:t>
      </w:r>
      <w:r>
        <w:rPr>
          <w:rStyle w:val="8"/>
          <w:rFonts w:hint="eastAsia" w:ascii="宋体" w:hAnsi="宋体"/>
          <w:color w:val="auto"/>
          <w:kern w:val="2"/>
          <w:sz w:val="24"/>
          <w:szCs w:val="24"/>
          <w:highlight w:val="none"/>
          <w:u w:val="single"/>
        </w:rPr>
        <w:t>执行招标文件招标内容约定。</w:t>
      </w:r>
    </w:p>
    <w:p w14:paraId="5A435AD5">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2.5 资金来源证明及支付担保</w:t>
      </w:r>
    </w:p>
    <w:p w14:paraId="4CBE5A24">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发包人提供资金来源证明的期限要求：</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6527D840">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发包人是否提供支付担保：</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46FF5C53">
      <w:pPr>
        <w:pStyle w:val="13"/>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发包人提供支付担保的形式：</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ascii="宋体" w:hAnsi="宋体"/>
          <w:color w:val="auto"/>
          <w:kern w:val="2"/>
          <w:sz w:val="24"/>
          <w:szCs w:val="24"/>
          <w:highlight w:val="none"/>
        </w:rPr>
        <w:t>。</w:t>
      </w:r>
    </w:p>
    <w:p w14:paraId="090E114E">
      <w:pPr>
        <w:pStyle w:val="15"/>
        <w:spacing w:before="120" w:after="120" w:line="360" w:lineRule="auto"/>
        <w:outlineLvl w:val="9"/>
        <w:rPr>
          <w:rStyle w:val="8"/>
          <w:rFonts w:ascii="宋体" w:hAnsi="宋体" w:eastAsia="宋体"/>
          <w:b w:val="0"/>
          <w:color w:val="auto"/>
          <w:sz w:val="24"/>
          <w:szCs w:val="24"/>
          <w:highlight w:val="none"/>
        </w:rPr>
      </w:pPr>
      <w:bookmarkStart w:id="371" w:name="_Toc1345"/>
      <w:bookmarkStart w:id="372" w:name="_Toc256001297"/>
      <w:bookmarkStart w:id="373" w:name="_Toc9510"/>
      <w:bookmarkStart w:id="374" w:name="_Toc256000563"/>
      <w:bookmarkStart w:id="375" w:name="_Toc256000830"/>
      <w:bookmarkStart w:id="376" w:name="_Toc351203635"/>
      <w:bookmarkStart w:id="377" w:name="_Toc256000334"/>
      <w:bookmarkStart w:id="378" w:name="_Toc69461154"/>
      <w:bookmarkStart w:id="379" w:name="_Toc256001067"/>
      <w:bookmarkStart w:id="380" w:name="_Toc69461809"/>
      <w:r>
        <w:rPr>
          <w:rStyle w:val="8"/>
          <w:rFonts w:ascii="宋体" w:hAnsi="宋体" w:eastAsia="宋体"/>
          <w:b w:val="0"/>
          <w:color w:val="auto"/>
          <w:sz w:val="24"/>
          <w:szCs w:val="24"/>
          <w:highlight w:val="none"/>
        </w:rPr>
        <w:t>3</w:t>
      </w:r>
      <w:bookmarkStart w:id="381" w:name="_Toc296890986"/>
      <w:bookmarkStart w:id="382" w:name="_Toc297120458"/>
      <w:bookmarkStart w:id="383" w:name="_Toc296891198"/>
      <w:bookmarkStart w:id="384" w:name="_Toc292559868"/>
      <w:bookmarkStart w:id="385" w:name="_Toc296346659"/>
      <w:bookmarkStart w:id="386" w:name="_Toc296944497"/>
      <w:bookmarkStart w:id="387" w:name="_Toc292559363"/>
      <w:bookmarkStart w:id="388" w:name="_Toc297048344"/>
      <w:bookmarkStart w:id="389" w:name="_Toc296347157"/>
      <w:bookmarkStart w:id="390" w:name="_Toc296503158"/>
      <w:r>
        <w:rPr>
          <w:rStyle w:val="8"/>
          <w:rFonts w:ascii="宋体" w:hAnsi="宋体" w:eastAsia="宋体"/>
          <w:b w:val="0"/>
          <w:color w:val="auto"/>
          <w:sz w:val="24"/>
          <w:szCs w:val="24"/>
          <w:highlight w:val="none"/>
        </w:rPr>
        <w:t>. 承包人</w:t>
      </w:r>
      <w:bookmarkEnd w:id="371"/>
      <w:bookmarkEnd w:id="372"/>
      <w:bookmarkEnd w:id="373"/>
      <w:bookmarkEnd w:id="374"/>
      <w:bookmarkEnd w:id="375"/>
      <w:bookmarkEnd w:id="376"/>
      <w:bookmarkEnd w:id="377"/>
      <w:bookmarkEnd w:id="378"/>
      <w:bookmarkEnd w:id="379"/>
      <w:bookmarkEnd w:id="380"/>
    </w:p>
    <w:bookmarkEnd w:id="381"/>
    <w:bookmarkEnd w:id="382"/>
    <w:bookmarkEnd w:id="383"/>
    <w:bookmarkEnd w:id="384"/>
    <w:bookmarkEnd w:id="385"/>
    <w:bookmarkEnd w:id="386"/>
    <w:bookmarkEnd w:id="387"/>
    <w:bookmarkEnd w:id="388"/>
    <w:bookmarkEnd w:id="389"/>
    <w:bookmarkEnd w:id="390"/>
    <w:p w14:paraId="79FBE55D">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3.1 承包人的一般义务</w:t>
      </w:r>
    </w:p>
    <w:p w14:paraId="3F3763CD">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w:t>
      </w:r>
      <w:r>
        <w:rPr>
          <w:rStyle w:val="8"/>
          <w:rFonts w:hint="eastAsia" w:ascii="宋体" w:hAnsi="宋体"/>
          <w:color w:val="auto"/>
          <w:sz w:val="24"/>
          <w:szCs w:val="24"/>
          <w:highlight w:val="none"/>
        </w:rPr>
        <w:t>9</w:t>
      </w:r>
      <w:r>
        <w:rPr>
          <w:rStyle w:val="8"/>
          <w:rFonts w:ascii="宋体" w:hAnsi="宋体"/>
          <w:color w:val="auto"/>
          <w:sz w:val="24"/>
          <w:szCs w:val="24"/>
          <w:highlight w:val="none"/>
        </w:rPr>
        <w:t>）</w:t>
      </w:r>
      <w:r>
        <w:rPr>
          <w:rStyle w:val="8"/>
          <w:rFonts w:ascii="宋体" w:hAnsi="宋体"/>
          <w:color w:val="auto"/>
          <w:kern w:val="2"/>
          <w:sz w:val="24"/>
          <w:szCs w:val="24"/>
          <w:highlight w:val="none"/>
        </w:rPr>
        <w:t>承包人提交的竣工资料的内容：</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按照相关法律及竣工备案、档案保存部门关于竣工资料备案归档材料要求执行  。</w:t>
      </w:r>
      <w:r>
        <w:rPr>
          <w:rStyle w:val="8"/>
          <w:rFonts w:ascii="宋体" w:hAnsi="宋体"/>
          <w:color w:val="auto"/>
          <w:kern w:val="2"/>
          <w:sz w:val="24"/>
          <w:szCs w:val="24"/>
          <w:highlight w:val="none"/>
          <w:u w:val="single"/>
        </w:rPr>
        <w:t xml:space="preserve"> </w:t>
      </w:r>
    </w:p>
    <w:p w14:paraId="4508CBAD">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承包人需要提交的竣工资料套数：</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提交竣工图6套，竣工档案资料6套</w:t>
      </w:r>
      <w:r>
        <w:rPr>
          <w:rStyle w:val="8"/>
          <w:rFonts w:ascii="宋体" w:hAnsi="宋体"/>
          <w:color w:val="auto"/>
          <w:kern w:val="2"/>
          <w:sz w:val="24"/>
          <w:szCs w:val="24"/>
          <w:highlight w:val="none"/>
        </w:rPr>
        <w:t>。</w:t>
      </w:r>
    </w:p>
    <w:p w14:paraId="71547EA2">
      <w:pPr>
        <w:pStyle w:val="13"/>
        <w:spacing w:line="360" w:lineRule="auto"/>
        <w:ind w:left="638" w:leftChars="304"/>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承包人提交的竣工资料的费用承担：</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承包人承担</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32236154">
      <w:pPr>
        <w:pStyle w:val="13"/>
        <w:spacing w:line="360" w:lineRule="auto"/>
        <w:ind w:left="638" w:leftChars="304"/>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承包人提交的竣工资料移交时间：</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工程完工后28天内</w:t>
      </w:r>
      <w:r>
        <w:rPr>
          <w:rStyle w:val="8"/>
          <w:rFonts w:ascii="宋体" w:hAnsi="宋体"/>
          <w:color w:val="auto"/>
          <w:kern w:val="2"/>
          <w:sz w:val="24"/>
          <w:szCs w:val="24"/>
          <w:highlight w:val="none"/>
          <w:u w:val="single"/>
        </w:rPr>
        <w:t xml:space="preserve">  。</w:t>
      </w:r>
    </w:p>
    <w:p w14:paraId="75942CFB">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承包人提交的竣工资料形式要求：</w:t>
      </w:r>
      <w:r>
        <w:rPr>
          <w:rStyle w:val="8"/>
          <w:rFonts w:hint="eastAsia" w:ascii="宋体" w:hAnsi="宋体"/>
          <w:color w:val="auto"/>
          <w:kern w:val="2"/>
          <w:sz w:val="24"/>
          <w:szCs w:val="24"/>
          <w:highlight w:val="none"/>
          <w:u w:val="single"/>
        </w:rPr>
        <w:t>纸质和光盘(电子档案)</w:t>
      </w:r>
      <w:r>
        <w:rPr>
          <w:rStyle w:val="8"/>
          <w:rFonts w:ascii="宋体" w:hAnsi="宋体"/>
          <w:color w:val="auto"/>
          <w:kern w:val="2"/>
          <w:sz w:val="24"/>
          <w:szCs w:val="24"/>
          <w:highlight w:val="none"/>
          <w:u w:val="single"/>
        </w:rPr>
        <w:t>。</w:t>
      </w:r>
    </w:p>
    <w:p w14:paraId="457526D1">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w:t>
      </w:r>
      <w:r>
        <w:rPr>
          <w:rStyle w:val="8"/>
          <w:rFonts w:hint="eastAsia" w:ascii="宋体" w:hAnsi="宋体"/>
          <w:color w:val="auto"/>
          <w:sz w:val="24"/>
          <w:szCs w:val="24"/>
          <w:highlight w:val="none"/>
        </w:rPr>
        <w:t>10</w:t>
      </w:r>
      <w:r>
        <w:rPr>
          <w:rStyle w:val="8"/>
          <w:rFonts w:ascii="宋体" w:hAnsi="宋体"/>
          <w:color w:val="auto"/>
          <w:sz w:val="24"/>
          <w:szCs w:val="24"/>
          <w:highlight w:val="none"/>
        </w:rPr>
        <w:t>）承包人应履行的其他义务：</w:t>
      </w:r>
      <w:r>
        <w:rPr>
          <w:rStyle w:val="8"/>
          <w:rFonts w:hint="eastAsia" w:ascii="宋体" w:hAnsi="宋体"/>
          <w:color w:val="auto"/>
          <w:kern w:val="2"/>
          <w:sz w:val="24"/>
          <w:szCs w:val="24"/>
          <w:highlight w:val="none"/>
          <w:u w:val="single"/>
        </w:rPr>
        <w:t>承包人应当对在施工场地或者附近实施与合同工程有关的其他工作的独立承包人履行管理、协调、配合、照管和服务义务。</w:t>
      </w:r>
    </w:p>
    <w:p w14:paraId="590B82A5">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3.2 项目经理</w:t>
      </w:r>
    </w:p>
    <w:p w14:paraId="1EF5BCF8">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sz w:val="24"/>
          <w:szCs w:val="24"/>
          <w:highlight w:val="none"/>
        </w:rPr>
        <w:t xml:space="preserve">3.2.1 </w:t>
      </w:r>
      <w:r>
        <w:rPr>
          <w:rStyle w:val="8"/>
          <w:rFonts w:ascii="宋体" w:hAnsi="宋体"/>
          <w:color w:val="auto"/>
          <w:kern w:val="2"/>
          <w:sz w:val="24"/>
          <w:szCs w:val="24"/>
          <w:highlight w:val="none"/>
        </w:rPr>
        <w:t>项目经理：</w:t>
      </w:r>
    </w:p>
    <w:p w14:paraId="2DB73C5C">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姓    名：</w:t>
      </w:r>
      <w:r>
        <w:rPr>
          <w:rStyle w:val="8"/>
          <w:rFonts w:hint="eastAsia" w:ascii="宋体" w:hAnsi="宋体" w:cs="宋体"/>
          <w:color w:val="auto"/>
          <w:kern w:val="2"/>
          <w:sz w:val="24"/>
          <w:szCs w:val="24"/>
          <w:highlight w:val="none"/>
          <w:u w:val="single"/>
        </w:rPr>
        <w:t>  </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14:paraId="4A183868">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身份证号：</w:t>
      </w:r>
      <w:r>
        <w:rPr>
          <w:rStyle w:val="8"/>
          <w:rFonts w:hint="eastAsia" w:ascii="宋体" w:hAnsi="宋体" w:cs="宋体"/>
          <w:color w:val="auto"/>
          <w:kern w:val="2"/>
          <w:sz w:val="24"/>
          <w:szCs w:val="24"/>
          <w:highlight w:val="none"/>
          <w:u w:val="single"/>
        </w:rPr>
        <w:t>  </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14:paraId="4001B6C5">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建造师执业资格等级：</w:t>
      </w:r>
      <w:r>
        <w:rPr>
          <w:rStyle w:val="8"/>
          <w:rFonts w:hint="eastAsia" w:ascii="宋体" w:hAnsi="宋体" w:cs="宋体"/>
          <w:color w:val="auto"/>
          <w:kern w:val="2"/>
          <w:sz w:val="24"/>
          <w:szCs w:val="24"/>
          <w:highlight w:val="none"/>
          <w:u w:val="single"/>
        </w:rPr>
        <w:t>   </w:t>
      </w:r>
      <w:r>
        <w:rPr>
          <w:rStyle w:val="8"/>
          <w:rFonts w:ascii="宋体" w:hAnsi="宋体"/>
          <w:color w:val="auto"/>
          <w:kern w:val="2"/>
          <w:sz w:val="24"/>
          <w:szCs w:val="24"/>
          <w:highlight w:val="none"/>
        </w:rPr>
        <w:t>；</w:t>
      </w:r>
    </w:p>
    <w:p w14:paraId="127E1DF8">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建造师注册证书号：</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14:paraId="2F201462">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建造师执业印章号：</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14:paraId="36E89320">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安全生产考核合格证书号：</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14:paraId="58B9DFAF">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联系电话：</w:t>
      </w:r>
      <w:r>
        <w:rPr>
          <w:rStyle w:val="8"/>
          <w:rFonts w:hint="eastAsia" w:ascii="宋体" w:hAnsi="宋体" w:cs="宋体"/>
          <w:color w:val="auto"/>
          <w:kern w:val="2"/>
          <w:sz w:val="24"/>
          <w:szCs w:val="24"/>
          <w:highlight w:val="none"/>
          <w:u w:val="single"/>
        </w:rPr>
        <w:t>  </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14:paraId="0F390902">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电子信箱：</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14:paraId="2EC0366E">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通信地址：</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14:paraId="498A4116">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承包人对项目经理的授权范围如下：</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s="宋体"/>
          <w:color w:val="auto"/>
          <w:kern w:val="2"/>
          <w:sz w:val="24"/>
          <w:szCs w:val="24"/>
          <w:highlight w:val="none"/>
          <w:u w:val="single"/>
        </w:rPr>
        <w:t></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27E1C14C">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关于项目经理每月在施工现场的时间要求：</w:t>
      </w:r>
      <w:r>
        <w:rPr>
          <w:rStyle w:val="8"/>
          <w:rFonts w:hint="eastAsia" w:ascii="宋体" w:hAnsi="宋体"/>
          <w:color w:val="auto"/>
          <w:kern w:val="2"/>
          <w:sz w:val="24"/>
          <w:szCs w:val="24"/>
          <w:highlight w:val="none"/>
          <w:u w:val="single"/>
        </w:rPr>
        <w:t>不少于24 日（必须满足现场施工需求）。</w:t>
      </w:r>
    </w:p>
    <w:p w14:paraId="1A533E9B">
      <w:pPr>
        <w:pStyle w:val="14"/>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sz w:val="24"/>
          <w:szCs w:val="24"/>
          <w:highlight w:val="none"/>
        </w:rPr>
        <w:t>承包人未提交劳动合同，以及没有为项目经理缴纳社会保险证明的违约责任：</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承包人未提交劳动合同，以及没有为项目经理缴纳社会保险证明的违约责任：承包人未提交劳动合同，以及没有为项目经理缴纳社会保险证明的：每发生一次，承包人应按次向发包人支付违约金10000元，同时承包人应当及时改正并向发包人提供社保缴纳证明，上述违约金发包人有权自工程款中径行扣除。</w:t>
      </w:r>
    </w:p>
    <w:p w14:paraId="70253F05">
      <w:pPr>
        <w:pStyle w:val="14"/>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sz w:val="24"/>
          <w:szCs w:val="24"/>
          <w:highlight w:val="none"/>
        </w:rPr>
        <w:t>项目经理未经批准，擅自离开施工现场的违约责任：</w:t>
      </w:r>
      <w:r>
        <w:rPr>
          <w:rStyle w:val="8"/>
          <w:rFonts w:hint="eastAsia" w:ascii="宋体" w:hAnsi="宋体"/>
          <w:color w:val="auto"/>
          <w:kern w:val="2"/>
          <w:sz w:val="24"/>
          <w:szCs w:val="24"/>
          <w:highlight w:val="none"/>
          <w:u w:val="single"/>
        </w:rPr>
        <w:t xml:space="preserve">项目经理如有特殊原因需要离开现场，需提前一天通知监理人，并向发包人提出申请在获得发包人批准后才能外出，否则承包人向发包人支付10000元／人次的罚金。发包人有权自行从工程款中扣除。 </w:t>
      </w:r>
    </w:p>
    <w:p w14:paraId="02050C71">
      <w:pPr>
        <w:pStyle w:val="14"/>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3.2.3 承包人擅自更换项目经理的违约责任：</w:t>
      </w:r>
      <w:r>
        <w:rPr>
          <w:rStyle w:val="8"/>
          <w:rFonts w:hint="eastAsia" w:ascii="宋体" w:hAnsi="宋体"/>
          <w:color w:val="auto"/>
          <w:kern w:val="2"/>
          <w:sz w:val="24"/>
          <w:szCs w:val="24"/>
          <w:highlight w:val="none"/>
          <w:u w:val="single"/>
        </w:rPr>
        <w:t xml:space="preserve">承包人未经发包人同意擅自更换项目经理的，每发生一次，承包人应向发包人支付违约金50000元，同时承包人应当按发包人要求及时更换项目经理，上述违约金发包人有权自工程款中径行扣除。 </w:t>
      </w:r>
    </w:p>
    <w:p w14:paraId="0883377E">
      <w:pPr>
        <w:pStyle w:val="14"/>
        <w:spacing w:line="360" w:lineRule="auto"/>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 xml:space="preserve">    3.2.4 承包人无正当理由拒绝更换项目经理的违约责任：</w:t>
      </w:r>
      <w:r>
        <w:rPr>
          <w:rStyle w:val="8"/>
          <w:rFonts w:hint="eastAsia" w:ascii="宋体" w:hAnsi="宋体"/>
          <w:color w:val="auto"/>
          <w:kern w:val="2"/>
          <w:sz w:val="24"/>
          <w:szCs w:val="24"/>
          <w:highlight w:val="none"/>
          <w:u w:val="single"/>
        </w:rPr>
        <w:t>承包人未按发包人要求更换项目经理且无正当理由的，每发生一次，承包人应向发包人支付违约金100000元，并按发包人要求及时更换项目经理，上述违约金发包人有权自行从工程款中扣除。</w:t>
      </w:r>
    </w:p>
    <w:p w14:paraId="3FF7FA2B">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3.3 承包人人员</w:t>
      </w:r>
    </w:p>
    <w:p w14:paraId="39AF0FAF">
      <w:pPr>
        <w:pStyle w:val="14"/>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3.3.1 承包人提交项目管理机构及施工现场管理人员安排报告的期限：</w:t>
      </w:r>
      <w:r>
        <w:rPr>
          <w:rStyle w:val="8"/>
          <w:rFonts w:hint="eastAsia" w:ascii="宋体" w:hAnsi="宋体"/>
          <w:color w:val="auto"/>
          <w:kern w:val="2"/>
          <w:sz w:val="24"/>
          <w:szCs w:val="24"/>
          <w:highlight w:val="none"/>
          <w:u w:val="single"/>
        </w:rPr>
        <w:t>开工通知后7日内  。</w:t>
      </w:r>
    </w:p>
    <w:p w14:paraId="7D7A2F41">
      <w:pPr>
        <w:pStyle w:val="14"/>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3.3.3 承包人无正当理由拒绝撤换主要施工管理人员的违约责任：</w:t>
      </w:r>
      <w:r>
        <w:rPr>
          <w:rStyle w:val="8"/>
          <w:rFonts w:hint="eastAsia" w:ascii="宋体" w:hAnsi="宋体"/>
          <w:color w:val="auto"/>
          <w:kern w:val="2"/>
          <w:sz w:val="24"/>
          <w:szCs w:val="24"/>
          <w:highlight w:val="none"/>
          <w:u w:val="single"/>
        </w:rPr>
        <w:t>承包人未按发包人要求更换主要施工人员且无正当理由的，发包人有权要求承包人停止施工，并由承包人承担由此产生的一切损失。</w:t>
      </w:r>
    </w:p>
    <w:p w14:paraId="7E8CFB82">
      <w:pPr>
        <w:pStyle w:val="14"/>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 xml:space="preserve">3.3.4 承包人主要施工管理人员离开施工现场的批准要求：   </w:t>
      </w:r>
      <w:r>
        <w:rPr>
          <w:rStyle w:val="8"/>
          <w:rFonts w:hint="eastAsia" w:ascii="宋体" w:hAnsi="宋体"/>
          <w:color w:val="auto"/>
          <w:kern w:val="2"/>
          <w:sz w:val="24"/>
          <w:szCs w:val="24"/>
          <w:highlight w:val="none"/>
          <w:u w:val="single"/>
        </w:rPr>
        <w:t>必须取得监理和发包人的书面同意   。</w:t>
      </w:r>
    </w:p>
    <w:p w14:paraId="6D149D56">
      <w:pPr>
        <w:pStyle w:val="14"/>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3.3.5承包人擅自更换主要施工管理人员的违约责任：</w:t>
      </w:r>
      <w:r>
        <w:rPr>
          <w:rStyle w:val="8"/>
          <w:rFonts w:hint="eastAsia" w:ascii="宋体" w:hAnsi="宋体"/>
          <w:color w:val="auto"/>
          <w:kern w:val="2"/>
          <w:sz w:val="24"/>
          <w:szCs w:val="24"/>
          <w:highlight w:val="none"/>
          <w:u w:val="single"/>
        </w:rPr>
        <w:t>发现每1 人次扣违约金5000 元整，并要求承包人更正   。</w:t>
      </w:r>
    </w:p>
    <w:p w14:paraId="2CE7E1C8">
      <w:pPr>
        <w:pStyle w:val="14"/>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承包人主要施工管理人员擅自离开施工现场的违约责任：</w:t>
      </w:r>
      <w:r>
        <w:rPr>
          <w:rStyle w:val="8"/>
          <w:rFonts w:hint="eastAsia" w:ascii="宋体" w:hAnsi="宋体"/>
          <w:color w:val="auto"/>
          <w:kern w:val="2"/>
          <w:sz w:val="24"/>
          <w:szCs w:val="24"/>
          <w:highlight w:val="none"/>
          <w:u w:val="single"/>
        </w:rPr>
        <w:t xml:space="preserve">  发现每1人次.日扣违约金1000元整 。 上述违约金发包人有权自工程款中径行扣除。</w:t>
      </w:r>
    </w:p>
    <w:p w14:paraId="6F7073A3">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3</w:t>
      </w:r>
      <w:bookmarkStart w:id="391" w:name="_Toc297120459"/>
      <w:bookmarkStart w:id="392" w:name="_Toc296890987"/>
      <w:bookmarkStart w:id="393" w:name="_Toc296891199"/>
      <w:bookmarkStart w:id="394" w:name="_Toc312677988"/>
      <w:bookmarkStart w:id="395" w:name="_Toc296944498"/>
      <w:bookmarkStart w:id="396" w:name="_Toc292559869"/>
      <w:bookmarkStart w:id="397" w:name="_Toc296503159"/>
      <w:bookmarkStart w:id="398" w:name="_Toc297216151"/>
      <w:bookmarkStart w:id="399" w:name="_Toc296347158"/>
      <w:bookmarkStart w:id="400" w:name="_Toc296346660"/>
      <w:bookmarkStart w:id="401" w:name="_Toc300934945"/>
      <w:bookmarkStart w:id="402" w:name="_Toc303539102"/>
      <w:bookmarkStart w:id="403" w:name="_Toc297123492"/>
      <w:bookmarkStart w:id="404" w:name="_Toc304295523"/>
      <w:bookmarkStart w:id="405" w:name="_Toc292559364"/>
      <w:bookmarkStart w:id="406" w:name="_Toc297048345"/>
      <w:r>
        <w:rPr>
          <w:rStyle w:val="8"/>
          <w:rFonts w:ascii="宋体" w:hAnsi="宋体"/>
          <w:color w:val="auto"/>
          <w:kern w:val="2"/>
          <w:sz w:val="24"/>
          <w:szCs w:val="24"/>
          <w:highlight w:val="none"/>
        </w:rPr>
        <w:t>.5 分包</w:t>
      </w:r>
    </w:p>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14:paraId="089D0F05">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3</w:t>
      </w:r>
      <w:bookmarkStart w:id="407" w:name="_Toc303539103"/>
      <w:bookmarkStart w:id="408" w:name="_Toc292559870"/>
      <w:bookmarkStart w:id="409" w:name="_Toc300934946"/>
      <w:bookmarkStart w:id="410" w:name="_Toc297048346"/>
      <w:bookmarkStart w:id="411" w:name="_Toc304295524"/>
      <w:bookmarkStart w:id="412" w:name="_Toc296346661"/>
      <w:bookmarkStart w:id="413" w:name="_Toc296891200"/>
      <w:bookmarkStart w:id="414" w:name="_Toc297123493"/>
      <w:bookmarkStart w:id="415" w:name="_Toc297216152"/>
      <w:bookmarkStart w:id="416" w:name="_Toc296890988"/>
      <w:bookmarkStart w:id="417" w:name="_Toc296944499"/>
      <w:bookmarkStart w:id="418" w:name="_Toc292559365"/>
      <w:bookmarkStart w:id="419" w:name="_Toc296347159"/>
      <w:bookmarkStart w:id="420" w:name="_Toc297120460"/>
      <w:bookmarkStart w:id="421" w:name="_Toc296503160"/>
      <w:bookmarkStart w:id="422" w:name="_Toc318581158"/>
      <w:bookmarkStart w:id="423" w:name="_Toc312677989"/>
      <w:r>
        <w:rPr>
          <w:rStyle w:val="8"/>
          <w:rFonts w:ascii="宋体" w:hAnsi="宋体"/>
          <w:color w:val="auto"/>
          <w:kern w:val="2"/>
          <w:sz w:val="24"/>
          <w:szCs w:val="24"/>
          <w:highlight w:val="none"/>
        </w:rPr>
        <w:t>.5.1 分包的一般约定</w:t>
      </w:r>
    </w:p>
    <w:p w14:paraId="255168F0">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禁止分包的工程包括：</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sz w:val="24"/>
          <w:szCs w:val="24"/>
          <w:highlight w:val="none"/>
          <w:u w:val="single"/>
        </w:rPr>
        <w:t>/</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6819C945">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主体结构、关键性工作的范围：</w:t>
      </w:r>
      <w:r>
        <w:rPr>
          <w:rStyle w:val="8"/>
          <w:rFonts w:ascii="宋体" w:hAnsi="宋体" w:cs="宋体"/>
          <w:color w:val="auto"/>
          <w:kern w:val="2"/>
          <w:sz w:val="24"/>
          <w:szCs w:val="24"/>
          <w:highlight w:val="none"/>
          <w:u w:val="single"/>
        </w:rPr>
        <w:t></w:t>
      </w:r>
      <w:r>
        <w:rPr>
          <w:rStyle w:val="8"/>
          <w:rFonts w:hint="eastAsia" w:ascii="宋体" w:hAnsi="宋体"/>
          <w:color w:val="auto"/>
          <w:sz w:val="24"/>
          <w:szCs w:val="24"/>
          <w:highlight w:val="none"/>
          <w:u w:val="single"/>
        </w:rPr>
        <w:t>/</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Start w:id="424" w:name="_Toc297048347"/>
      <w:bookmarkStart w:id="425" w:name="_Toc297216153"/>
      <w:bookmarkStart w:id="426" w:name="_Toc296890989"/>
      <w:bookmarkStart w:id="427" w:name="_Toc300934947"/>
      <w:bookmarkStart w:id="428" w:name="_Toc297123494"/>
      <w:bookmarkStart w:id="429" w:name="_Toc296346662"/>
      <w:bookmarkStart w:id="430" w:name="_Toc296503161"/>
      <w:bookmarkStart w:id="431" w:name="_Toc296347160"/>
      <w:bookmarkStart w:id="432" w:name="_Toc304295525"/>
      <w:bookmarkStart w:id="433" w:name="_Toc296944500"/>
      <w:bookmarkStart w:id="434" w:name="_Toc296891201"/>
      <w:bookmarkStart w:id="435" w:name="_Toc303539104"/>
      <w:bookmarkStart w:id="436" w:name="_Toc297120461"/>
    </w:p>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14:paraId="25BA18D9">
      <w:pPr>
        <w:pStyle w:val="13"/>
        <w:spacing w:line="360" w:lineRule="auto"/>
        <w:rPr>
          <w:rStyle w:val="8"/>
          <w:rFonts w:ascii="宋体" w:hAnsi="宋体"/>
          <w:color w:val="auto"/>
          <w:kern w:val="2"/>
          <w:sz w:val="24"/>
          <w:szCs w:val="24"/>
          <w:highlight w:val="none"/>
        </w:rPr>
      </w:pPr>
      <w:r>
        <w:rPr>
          <w:rStyle w:val="8"/>
          <w:rFonts w:ascii="宋体" w:hAnsi="宋体"/>
          <w:color w:val="auto"/>
          <w:kern w:val="2"/>
          <w:sz w:val="24"/>
          <w:szCs w:val="24"/>
          <w:highlight w:val="none"/>
        </w:rPr>
        <w:t xml:space="preserve">    3</w:t>
      </w:r>
      <w:bookmarkStart w:id="437" w:name="_Toc318581159"/>
      <w:bookmarkStart w:id="438" w:name="_Toc312677990"/>
      <w:r>
        <w:rPr>
          <w:rStyle w:val="8"/>
          <w:rFonts w:ascii="宋体" w:hAnsi="宋体"/>
          <w:color w:val="auto"/>
          <w:kern w:val="2"/>
          <w:sz w:val="24"/>
          <w:szCs w:val="24"/>
          <w:highlight w:val="none"/>
        </w:rPr>
        <w:t>.5.2分包的确定</w:t>
      </w:r>
    </w:p>
    <w:p w14:paraId="203C4858">
      <w:pPr>
        <w:pStyle w:val="13"/>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允许分包的专业工程包括：</w:t>
      </w:r>
      <w:r>
        <w:rPr>
          <w:rStyle w:val="8"/>
          <w:rFonts w:ascii="宋体" w:hAnsi="宋体" w:cs="宋体"/>
          <w:color w:val="auto"/>
          <w:kern w:val="2"/>
          <w:sz w:val="24"/>
          <w:szCs w:val="24"/>
          <w:highlight w:val="none"/>
          <w:u w:val="single"/>
        </w:rPr>
        <w:t></w:t>
      </w:r>
      <w:r>
        <w:rPr>
          <w:rStyle w:val="8"/>
          <w:rFonts w:hint="eastAsia" w:ascii="宋体" w:hAnsi="宋体"/>
          <w:color w:val="auto"/>
          <w:sz w:val="24"/>
          <w:szCs w:val="24"/>
          <w:highlight w:val="none"/>
          <w:u w:val="single"/>
        </w:rPr>
        <w:t>/</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21FD081C">
      <w:pPr>
        <w:pStyle w:val="13"/>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其他关于分包的约定：</w:t>
      </w:r>
      <w:r>
        <w:rPr>
          <w:rStyle w:val="8"/>
          <w:rFonts w:hint="eastAsia" w:ascii="宋体" w:hAnsi="宋体"/>
          <w:color w:val="auto"/>
          <w:kern w:val="2"/>
          <w:sz w:val="24"/>
          <w:szCs w:val="24"/>
          <w:highlight w:val="none"/>
          <w:u w:val="single"/>
        </w:rPr>
        <w:t xml:space="preserve"> 本工程不得转包、分包或挂靠</w:t>
      </w:r>
      <w:r>
        <w:rPr>
          <w:rStyle w:val="8"/>
          <w:rFonts w:ascii="宋体" w:hAnsi="宋体"/>
          <w:color w:val="auto"/>
          <w:kern w:val="2"/>
          <w:sz w:val="24"/>
          <w:szCs w:val="24"/>
          <w:highlight w:val="none"/>
          <w:u w:val="single"/>
        </w:rPr>
        <w:t>。</w:t>
      </w:r>
    </w:p>
    <w:p w14:paraId="5A2E1B60">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3.5.4 分包合同价款</w:t>
      </w:r>
    </w:p>
    <w:p w14:paraId="7BB5D5AC">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关于分包合同价款支付的约定：</w:t>
      </w:r>
      <w:r>
        <w:rPr>
          <w:rStyle w:val="8"/>
          <w:rFonts w:hint="eastAsia" w:ascii="宋体" w:hAnsi="宋体" w:cs="宋体"/>
          <w:color w:val="auto"/>
          <w:kern w:val="2"/>
          <w:sz w:val="24"/>
          <w:szCs w:val="24"/>
          <w:highlight w:val="none"/>
          <w:u w:val="single"/>
        </w:rPr>
        <w:t xml:space="preserve">     </w:t>
      </w:r>
      <w:r>
        <w:rPr>
          <w:rStyle w:val="8"/>
          <w:rFonts w:hint="eastAsia" w:ascii="宋体" w:hAnsi="宋体"/>
          <w:color w:val="auto"/>
          <w:sz w:val="24"/>
          <w:szCs w:val="24"/>
          <w:highlight w:val="none"/>
          <w:u w:val="single"/>
        </w:rPr>
        <w:t>/</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bookmarkEnd w:id="437"/>
    <w:bookmarkEnd w:id="438"/>
    <w:p w14:paraId="51386CBE">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3.6 工程照管与成品、半成品保护</w:t>
      </w:r>
    </w:p>
    <w:p w14:paraId="1E66AF8E">
      <w:pPr>
        <w:pStyle w:val="14"/>
        <w:spacing w:before="120" w:after="120"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sz w:val="24"/>
          <w:szCs w:val="24"/>
          <w:highlight w:val="none"/>
        </w:rPr>
        <w:t>承包人负责照管工程及工程相关的材料、工程设备的起始时间：</w:t>
      </w:r>
      <w:r>
        <w:rPr>
          <w:rStyle w:val="8"/>
          <w:rFonts w:hint="eastAsia" w:ascii="宋体" w:hAnsi="宋体"/>
          <w:color w:val="auto"/>
          <w:kern w:val="2"/>
          <w:sz w:val="24"/>
          <w:szCs w:val="24"/>
          <w:highlight w:val="none"/>
          <w:u w:val="single"/>
        </w:rPr>
        <w:t>设备、人员进场至验收合格并交付使用之前，均由承包人负责照管、保修，所产生的费用由承包人承担  。</w:t>
      </w:r>
    </w:p>
    <w:p w14:paraId="1304A27C">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3.7 履约担保</w:t>
      </w:r>
    </w:p>
    <w:p w14:paraId="2B3E7F05">
      <w:pPr>
        <w:pStyle w:val="13"/>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承包人是否提供履约担保：</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提供</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72C2DD3B">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承包人提供履约担保的形式</w:t>
      </w:r>
      <w:r>
        <w:rPr>
          <w:rStyle w:val="8"/>
          <w:rFonts w:hint="eastAsia" w:ascii="宋体" w:hAnsi="宋体"/>
          <w:color w:val="auto"/>
          <w:kern w:val="2"/>
          <w:sz w:val="24"/>
          <w:szCs w:val="24"/>
          <w:highlight w:val="none"/>
        </w:rPr>
        <w:t>、金额及期限的</w:t>
      </w:r>
      <w:r>
        <w:rPr>
          <w:rStyle w:val="8"/>
          <w:rFonts w:ascii="宋体" w:hAnsi="宋体"/>
          <w:color w:val="auto"/>
          <w:kern w:val="2"/>
          <w:sz w:val="24"/>
          <w:szCs w:val="24"/>
          <w:highlight w:val="none"/>
        </w:rPr>
        <w:t>：</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合同签订前，承包人合同金额的5</w:t>
      </w:r>
      <w:r>
        <w:rPr>
          <w:rStyle w:val="8"/>
          <w:rFonts w:ascii="宋体" w:hAnsi="宋体"/>
          <w:color w:val="auto"/>
          <w:kern w:val="2"/>
          <w:sz w:val="24"/>
          <w:szCs w:val="24"/>
          <w:highlight w:val="none"/>
          <w:u w:val="single"/>
        </w:rPr>
        <w:t>%</w:t>
      </w:r>
      <w:r>
        <w:rPr>
          <w:rStyle w:val="8"/>
          <w:rFonts w:hint="eastAsia" w:ascii="宋体" w:hAnsi="宋体"/>
          <w:color w:val="auto"/>
          <w:kern w:val="2"/>
          <w:sz w:val="24"/>
          <w:szCs w:val="24"/>
          <w:highlight w:val="none"/>
          <w:u w:val="single"/>
        </w:rPr>
        <w:t>履约担保，形式为银行保函、现金、汇款，项目竣工验收后7日内退还</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 xml:space="preserve"> </w:t>
      </w:r>
    </w:p>
    <w:p w14:paraId="11ED062A">
      <w:pPr>
        <w:pStyle w:val="15"/>
        <w:spacing w:before="120" w:after="120" w:line="360" w:lineRule="auto"/>
        <w:outlineLvl w:val="9"/>
        <w:rPr>
          <w:rStyle w:val="8"/>
          <w:rFonts w:ascii="宋体" w:hAnsi="宋体" w:eastAsia="宋体"/>
          <w:b w:val="0"/>
          <w:color w:val="auto"/>
          <w:sz w:val="24"/>
          <w:szCs w:val="24"/>
          <w:highlight w:val="none"/>
        </w:rPr>
      </w:pPr>
      <w:bookmarkStart w:id="439" w:name="_Toc351203636"/>
      <w:bookmarkStart w:id="440" w:name="_Toc256000564"/>
      <w:bookmarkStart w:id="441" w:name="_Toc4268"/>
      <w:bookmarkStart w:id="442" w:name="_Toc69461155"/>
      <w:bookmarkStart w:id="443" w:name="_Toc26892"/>
      <w:bookmarkStart w:id="444" w:name="_Toc256000831"/>
      <w:bookmarkStart w:id="445" w:name="_Toc256001298"/>
      <w:bookmarkStart w:id="446" w:name="_Toc256000335"/>
      <w:bookmarkStart w:id="447" w:name="_Toc69461810"/>
      <w:bookmarkStart w:id="448" w:name="_Toc256001068"/>
      <w:r>
        <w:rPr>
          <w:rStyle w:val="8"/>
          <w:rFonts w:ascii="宋体" w:hAnsi="宋体" w:eastAsia="宋体"/>
          <w:b w:val="0"/>
          <w:color w:val="auto"/>
          <w:sz w:val="24"/>
          <w:szCs w:val="24"/>
          <w:highlight w:val="none"/>
        </w:rPr>
        <w:t>4</w:t>
      </w:r>
      <w:bookmarkStart w:id="449" w:name="_Toc292559366"/>
      <w:bookmarkStart w:id="450" w:name="_Toc296944501"/>
      <w:bookmarkStart w:id="451" w:name="_Toc296347161"/>
      <w:bookmarkStart w:id="452" w:name="_Toc297048348"/>
      <w:bookmarkStart w:id="453" w:name="_Toc292559871"/>
      <w:bookmarkStart w:id="454" w:name="_Toc267251413"/>
      <w:bookmarkStart w:id="455" w:name="_Toc296346663"/>
      <w:bookmarkStart w:id="456" w:name="_Toc296503162"/>
      <w:bookmarkStart w:id="457" w:name="_Toc296891202"/>
      <w:bookmarkStart w:id="458" w:name="_Toc296890990"/>
      <w:bookmarkStart w:id="459" w:name="_Toc297120462"/>
      <w:r>
        <w:rPr>
          <w:rStyle w:val="8"/>
          <w:rFonts w:ascii="宋体" w:hAnsi="宋体" w:eastAsia="宋体"/>
          <w:b w:val="0"/>
          <w:color w:val="auto"/>
          <w:sz w:val="24"/>
          <w:szCs w:val="24"/>
          <w:highlight w:val="none"/>
        </w:rPr>
        <w:t>. 监</w:t>
      </w:r>
      <w:bookmarkEnd w:id="449"/>
      <w:bookmarkEnd w:id="450"/>
      <w:bookmarkEnd w:id="451"/>
      <w:bookmarkEnd w:id="452"/>
      <w:bookmarkEnd w:id="453"/>
      <w:bookmarkEnd w:id="454"/>
      <w:bookmarkEnd w:id="455"/>
      <w:bookmarkEnd w:id="456"/>
      <w:bookmarkEnd w:id="457"/>
      <w:bookmarkEnd w:id="458"/>
      <w:bookmarkEnd w:id="459"/>
      <w:r>
        <w:rPr>
          <w:rStyle w:val="8"/>
          <w:rFonts w:ascii="宋体" w:hAnsi="宋体" w:eastAsia="宋体"/>
          <w:b w:val="0"/>
          <w:color w:val="auto"/>
          <w:sz w:val="24"/>
          <w:szCs w:val="24"/>
          <w:highlight w:val="none"/>
        </w:rPr>
        <w:t>理人</w:t>
      </w:r>
      <w:bookmarkEnd w:id="439"/>
      <w:bookmarkEnd w:id="440"/>
      <w:bookmarkEnd w:id="441"/>
      <w:bookmarkEnd w:id="442"/>
      <w:bookmarkEnd w:id="443"/>
      <w:bookmarkEnd w:id="444"/>
      <w:bookmarkEnd w:id="445"/>
      <w:bookmarkEnd w:id="446"/>
      <w:bookmarkEnd w:id="447"/>
      <w:bookmarkEnd w:id="448"/>
    </w:p>
    <w:p w14:paraId="57AF0245">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4.1监理人的一般规定</w:t>
      </w:r>
    </w:p>
    <w:p w14:paraId="0855432D">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关于监理人的监理内容：</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742EA986">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关于监理人的监理权限：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 xml:space="preserve">。 </w:t>
      </w:r>
    </w:p>
    <w:p w14:paraId="6821BB6C">
      <w:pPr>
        <w:pStyle w:val="13"/>
        <w:spacing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关于监理人在施工现场的办公场所、生活场所的提供和费用承担的约定：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p>
    <w:p w14:paraId="6BE09C3A">
      <w:pPr>
        <w:pStyle w:val="13"/>
        <w:spacing w:line="360" w:lineRule="auto"/>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7130182C">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4.2 监理人员</w:t>
      </w:r>
    </w:p>
    <w:p w14:paraId="7211D4EF">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总监理工程师：</w:t>
      </w:r>
    </w:p>
    <w:p w14:paraId="7798E53C">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姓    名：</w:t>
      </w:r>
      <w:r>
        <w:rPr>
          <w:rStyle w:val="8"/>
          <w:rFonts w:hint="eastAsia" w:ascii="宋体" w:hAnsi="宋体" w:cs="宋体"/>
          <w:color w:val="auto"/>
          <w:kern w:val="2"/>
          <w:sz w:val="24"/>
          <w:szCs w:val="24"/>
          <w:highlight w:val="none"/>
          <w:u w:val="single"/>
        </w:rPr>
        <w:t>   </w:t>
      </w:r>
      <w:r>
        <w:rPr>
          <w:rStyle w:val="8"/>
          <w:rFonts w:ascii="宋体" w:hAnsi="宋体"/>
          <w:color w:val="auto"/>
          <w:kern w:val="2"/>
          <w:sz w:val="24"/>
          <w:szCs w:val="24"/>
          <w:highlight w:val="none"/>
        </w:rPr>
        <w:t>；</w:t>
      </w:r>
    </w:p>
    <w:p w14:paraId="04A1A7BF">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职    务：</w:t>
      </w:r>
      <w:r>
        <w:rPr>
          <w:rStyle w:val="8"/>
          <w:rFonts w:hint="eastAsia" w:ascii="宋体" w:hAnsi="宋体" w:cs="宋体"/>
          <w:color w:val="auto"/>
          <w:kern w:val="2"/>
          <w:sz w:val="24"/>
          <w:szCs w:val="24"/>
          <w:highlight w:val="none"/>
          <w:u w:val="single"/>
        </w:rPr>
        <w:t>   </w:t>
      </w:r>
      <w:r>
        <w:rPr>
          <w:rStyle w:val="8"/>
          <w:rFonts w:ascii="宋体" w:hAnsi="宋体"/>
          <w:color w:val="auto"/>
          <w:kern w:val="2"/>
          <w:sz w:val="24"/>
          <w:szCs w:val="24"/>
          <w:highlight w:val="none"/>
        </w:rPr>
        <w:t>；</w:t>
      </w:r>
    </w:p>
    <w:p w14:paraId="056F3164">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监理工程师执业资格证书号：</w:t>
      </w:r>
      <w:r>
        <w:rPr>
          <w:rStyle w:val="8"/>
          <w:rFonts w:hint="eastAsia" w:ascii="宋体" w:hAnsi="宋体" w:cs="宋体"/>
          <w:color w:val="auto"/>
          <w:kern w:val="2"/>
          <w:sz w:val="24"/>
          <w:szCs w:val="24"/>
          <w:highlight w:val="none"/>
          <w:u w:val="single"/>
        </w:rPr>
        <w:t> </w:t>
      </w:r>
      <w:r>
        <w:rPr>
          <w:rStyle w:val="8"/>
          <w:rFonts w:ascii="宋体" w:hAnsi="宋体"/>
          <w:color w:val="auto"/>
          <w:kern w:val="2"/>
          <w:sz w:val="24"/>
          <w:szCs w:val="24"/>
          <w:highlight w:val="none"/>
        </w:rPr>
        <w:t>；</w:t>
      </w:r>
    </w:p>
    <w:p w14:paraId="0F442913">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联系电话：</w:t>
      </w:r>
      <w:r>
        <w:rPr>
          <w:rStyle w:val="8"/>
          <w:rFonts w:hint="eastAsia" w:ascii="宋体" w:hAnsi="宋体" w:cs="宋体"/>
          <w:color w:val="auto"/>
          <w:kern w:val="2"/>
          <w:sz w:val="24"/>
          <w:szCs w:val="24"/>
          <w:highlight w:val="none"/>
          <w:u w:val="single"/>
        </w:rPr>
        <w:t>   </w:t>
      </w:r>
      <w:r>
        <w:rPr>
          <w:rStyle w:val="8"/>
          <w:rFonts w:ascii="宋体" w:hAnsi="宋体"/>
          <w:color w:val="auto"/>
          <w:kern w:val="2"/>
          <w:sz w:val="24"/>
          <w:szCs w:val="24"/>
          <w:highlight w:val="none"/>
        </w:rPr>
        <w:t>；</w:t>
      </w:r>
    </w:p>
    <w:p w14:paraId="6B43A09F">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电子信箱：</w:t>
      </w:r>
      <w:r>
        <w:rPr>
          <w:rStyle w:val="8"/>
          <w:rFonts w:hint="eastAsia" w:ascii="宋体" w:hAnsi="宋体" w:cs="宋体"/>
          <w:color w:val="auto"/>
          <w:kern w:val="2"/>
          <w:sz w:val="24"/>
          <w:szCs w:val="24"/>
          <w:highlight w:val="none"/>
          <w:u w:val="single"/>
        </w:rPr>
        <w:t>   </w:t>
      </w:r>
      <w:r>
        <w:rPr>
          <w:rStyle w:val="8"/>
          <w:rFonts w:ascii="宋体" w:hAnsi="宋体"/>
          <w:color w:val="auto"/>
          <w:kern w:val="2"/>
          <w:sz w:val="24"/>
          <w:szCs w:val="24"/>
          <w:highlight w:val="none"/>
        </w:rPr>
        <w:t>；</w:t>
      </w:r>
    </w:p>
    <w:p w14:paraId="33C2F84E">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通信地址：</w:t>
      </w:r>
      <w:r>
        <w:rPr>
          <w:rStyle w:val="8"/>
          <w:rFonts w:hint="eastAsia" w:ascii="宋体" w:hAnsi="宋体" w:cs="宋体"/>
          <w:color w:val="auto"/>
          <w:kern w:val="2"/>
          <w:sz w:val="24"/>
          <w:szCs w:val="24"/>
          <w:highlight w:val="none"/>
          <w:u w:val="single"/>
        </w:rPr>
        <w:t>   </w:t>
      </w:r>
      <w:r>
        <w:rPr>
          <w:rStyle w:val="8"/>
          <w:rFonts w:ascii="宋体" w:hAnsi="宋体"/>
          <w:color w:val="auto"/>
          <w:kern w:val="2"/>
          <w:sz w:val="24"/>
          <w:szCs w:val="24"/>
          <w:highlight w:val="none"/>
        </w:rPr>
        <w:t>；</w:t>
      </w:r>
    </w:p>
    <w:p w14:paraId="3CB99669">
      <w:pPr>
        <w:pStyle w:val="13"/>
        <w:spacing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关于监理人的其他约定：</w:t>
      </w:r>
      <w:r>
        <w:rPr>
          <w:rStyle w:val="8"/>
          <w:rFonts w:hint="eastAsia" w:ascii="宋体" w:hAnsi="宋体" w:cs="宋体"/>
          <w:color w:val="auto"/>
          <w:kern w:val="2"/>
          <w:sz w:val="24"/>
          <w:szCs w:val="24"/>
          <w:highlight w:val="none"/>
          <w:u w:val="single"/>
        </w:rPr>
        <w:t>   </w:t>
      </w:r>
      <w:r>
        <w:rPr>
          <w:rStyle w:val="8"/>
          <w:rFonts w:ascii="宋体" w:hAnsi="宋体"/>
          <w:color w:val="auto"/>
          <w:kern w:val="2"/>
          <w:sz w:val="24"/>
          <w:szCs w:val="24"/>
          <w:highlight w:val="none"/>
        </w:rPr>
        <w:t>。</w:t>
      </w:r>
    </w:p>
    <w:p w14:paraId="323AC892">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4.4 商定或确定</w:t>
      </w:r>
    </w:p>
    <w:p w14:paraId="40F70419">
      <w:pPr>
        <w:pStyle w:val="13"/>
        <w:spacing w:line="360" w:lineRule="auto"/>
        <w:ind w:firstLine="480" w:firstLineChars="200"/>
        <w:rPr>
          <w:rStyle w:val="8"/>
          <w:rFonts w:ascii="宋体" w:hAnsi="宋体"/>
          <w:color w:val="auto"/>
          <w:kern w:val="2"/>
          <w:sz w:val="24"/>
          <w:szCs w:val="24"/>
          <w:highlight w:val="none"/>
        </w:rPr>
      </w:pPr>
      <w:bookmarkStart w:id="460" w:name="_Toc267251418"/>
      <w:r>
        <w:rPr>
          <w:rStyle w:val="8"/>
          <w:rFonts w:ascii="宋体" w:hAnsi="宋体"/>
          <w:color w:val="auto"/>
          <w:kern w:val="2"/>
          <w:sz w:val="24"/>
          <w:szCs w:val="24"/>
          <w:highlight w:val="none"/>
        </w:rPr>
        <w:t>在发包人和承包人不能通过协商达成一致意见时，发包人授权监理人对以下事项进行确定：</w:t>
      </w:r>
    </w:p>
    <w:p w14:paraId="58954D0D">
      <w:pPr>
        <w:pStyle w:val="13"/>
        <w:autoSpaceDE w:val="0"/>
        <w:autoSpaceDN w:val="0"/>
        <w:adjustRightInd w:val="0"/>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（1）</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06C51C23">
      <w:pPr>
        <w:pStyle w:val="13"/>
        <w:autoSpaceDE w:val="0"/>
        <w:autoSpaceDN w:val="0"/>
        <w:adjustRightInd w:val="0"/>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（2）</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45DF3B7A">
      <w:pPr>
        <w:pStyle w:val="13"/>
        <w:autoSpaceDE w:val="0"/>
        <w:autoSpaceDN w:val="0"/>
        <w:adjustRightInd w:val="0"/>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（3）</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0FB522FC">
      <w:pPr>
        <w:pStyle w:val="15"/>
        <w:spacing w:before="120" w:after="120" w:line="360" w:lineRule="auto"/>
        <w:outlineLvl w:val="9"/>
        <w:rPr>
          <w:rStyle w:val="8"/>
          <w:rFonts w:ascii="宋体" w:hAnsi="宋体" w:eastAsia="宋体"/>
          <w:b w:val="0"/>
          <w:color w:val="auto"/>
          <w:sz w:val="24"/>
          <w:szCs w:val="24"/>
          <w:highlight w:val="none"/>
        </w:rPr>
      </w:pPr>
      <w:bookmarkStart w:id="461" w:name="_Toc351203637"/>
      <w:bookmarkStart w:id="462" w:name="_Toc256000565"/>
      <w:bookmarkStart w:id="463" w:name="_Toc69461156"/>
      <w:bookmarkStart w:id="464" w:name="_Toc30373"/>
      <w:bookmarkStart w:id="465" w:name="_Toc256000336"/>
      <w:bookmarkStart w:id="466" w:name="_Toc256001069"/>
      <w:bookmarkStart w:id="467" w:name="_Toc21299"/>
      <w:bookmarkStart w:id="468" w:name="_Toc256000832"/>
      <w:bookmarkStart w:id="469" w:name="_Toc256001299"/>
      <w:bookmarkStart w:id="470" w:name="_Toc69461811"/>
      <w:r>
        <w:rPr>
          <w:rStyle w:val="8"/>
          <w:rFonts w:ascii="宋体" w:hAnsi="宋体" w:eastAsia="宋体"/>
          <w:b w:val="0"/>
          <w:color w:val="auto"/>
          <w:sz w:val="24"/>
          <w:szCs w:val="24"/>
          <w:highlight w:val="none"/>
        </w:rPr>
        <w:t>5</w:t>
      </w:r>
      <w:bookmarkEnd w:id="460"/>
      <w:bookmarkStart w:id="471" w:name="_Toc296347162"/>
      <w:bookmarkStart w:id="472" w:name="_Toc292559367"/>
      <w:bookmarkStart w:id="473" w:name="_Toc296891203"/>
      <w:bookmarkStart w:id="474" w:name="_Toc297048349"/>
      <w:bookmarkStart w:id="475" w:name="_Toc296944502"/>
      <w:bookmarkStart w:id="476" w:name="_Toc296890991"/>
      <w:bookmarkStart w:id="477" w:name="_Toc296503163"/>
      <w:bookmarkStart w:id="478" w:name="_Toc292559872"/>
      <w:bookmarkStart w:id="479" w:name="_Toc297120463"/>
      <w:bookmarkStart w:id="480" w:name="_Toc296346664"/>
      <w:r>
        <w:rPr>
          <w:rStyle w:val="8"/>
          <w:rFonts w:ascii="宋体" w:hAnsi="宋体" w:eastAsia="宋体"/>
          <w:b w:val="0"/>
          <w:color w:val="auto"/>
          <w:sz w:val="24"/>
          <w:szCs w:val="24"/>
          <w:highlight w:val="none"/>
        </w:rPr>
        <w:t>. 工程质量</w:t>
      </w:r>
      <w:bookmarkEnd w:id="461"/>
      <w:bookmarkEnd w:id="462"/>
      <w:bookmarkEnd w:id="463"/>
      <w:bookmarkEnd w:id="464"/>
      <w:bookmarkEnd w:id="465"/>
      <w:bookmarkEnd w:id="466"/>
      <w:bookmarkEnd w:id="467"/>
      <w:bookmarkEnd w:id="468"/>
      <w:bookmarkEnd w:id="469"/>
      <w:bookmarkEnd w:id="470"/>
    </w:p>
    <w:p w14:paraId="320A5777">
      <w:pPr>
        <w:pStyle w:val="13"/>
        <w:spacing w:after="120" w:line="360" w:lineRule="auto"/>
        <w:ind w:firstLine="480" w:firstLineChars="200"/>
        <w:outlineLvl w:val="9"/>
        <w:rPr>
          <w:rStyle w:val="8"/>
          <w:rFonts w:ascii="宋体" w:hAnsi="宋体"/>
          <w:color w:val="auto"/>
          <w:kern w:val="2"/>
          <w:sz w:val="24"/>
          <w:szCs w:val="24"/>
          <w:highlight w:val="none"/>
        </w:rPr>
      </w:pPr>
      <w:bookmarkStart w:id="481" w:name="_Toc256000056"/>
      <w:bookmarkStart w:id="482" w:name="_Toc256000337"/>
      <w:bookmarkStart w:id="483" w:name="_Toc3403"/>
      <w:bookmarkStart w:id="484" w:name="_Toc256001300"/>
      <w:bookmarkStart w:id="485" w:name="_Toc256000566"/>
      <w:bookmarkStart w:id="486" w:name="_Toc256000833"/>
      <w:bookmarkStart w:id="487" w:name="_Toc256001070"/>
      <w:bookmarkStart w:id="488" w:name="_Toc69461157"/>
      <w:bookmarkStart w:id="489" w:name="_Toc22361"/>
      <w:bookmarkStart w:id="490" w:name="_Toc10657"/>
      <w:bookmarkStart w:id="491" w:name="_Toc6496"/>
      <w:bookmarkStart w:id="492" w:name="_Toc69461812"/>
      <w:r>
        <w:rPr>
          <w:rStyle w:val="8"/>
          <w:rFonts w:ascii="宋体" w:hAnsi="宋体"/>
          <w:color w:val="auto"/>
          <w:kern w:val="2"/>
          <w:sz w:val="24"/>
          <w:szCs w:val="24"/>
          <w:highlight w:val="none"/>
        </w:rPr>
        <w:t>5.1 质量要求</w:t>
      </w:r>
      <w:bookmarkEnd w:id="481"/>
      <w:bookmarkEnd w:id="482"/>
      <w:bookmarkEnd w:id="483"/>
      <w:bookmarkEnd w:id="484"/>
      <w:bookmarkEnd w:id="485"/>
      <w:bookmarkEnd w:id="486"/>
      <w:bookmarkEnd w:id="487"/>
      <w:bookmarkEnd w:id="488"/>
      <w:bookmarkEnd w:id="489"/>
      <w:bookmarkEnd w:id="490"/>
      <w:bookmarkEnd w:id="491"/>
      <w:bookmarkEnd w:id="492"/>
    </w:p>
    <w:p w14:paraId="56D9A9E9">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5</w:t>
      </w:r>
      <w:bookmarkStart w:id="493" w:name="_Toc312677997"/>
      <w:bookmarkStart w:id="494" w:name="_Toc300934949"/>
      <w:bookmarkStart w:id="495" w:name="_Toc303539106"/>
      <w:bookmarkStart w:id="496" w:name="_Toc304295527"/>
      <w:bookmarkStart w:id="497" w:name="_Toc318581164"/>
      <w:bookmarkStart w:id="498" w:name="_Toc297216155"/>
      <w:bookmarkStart w:id="499" w:name="_Toc297123496"/>
      <w:r>
        <w:rPr>
          <w:rStyle w:val="8"/>
          <w:rFonts w:ascii="宋体" w:hAnsi="宋体"/>
          <w:color w:val="auto"/>
          <w:kern w:val="2"/>
          <w:sz w:val="24"/>
          <w:szCs w:val="24"/>
          <w:highlight w:val="none"/>
        </w:rPr>
        <w:t>.1.1 特殊质量标准和要求：</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14:paraId="34CF82EE">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关于工程奖项的约定：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14:paraId="07049568">
      <w:pPr>
        <w:pStyle w:val="13"/>
        <w:spacing w:after="120" w:line="360" w:lineRule="auto"/>
        <w:ind w:firstLine="480" w:firstLineChars="200"/>
        <w:outlineLvl w:val="9"/>
        <w:rPr>
          <w:rStyle w:val="8"/>
          <w:rFonts w:ascii="宋体" w:hAnsi="宋体"/>
          <w:color w:val="auto"/>
          <w:kern w:val="2"/>
          <w:sz w:val="24"/>
          <w:szCs w:val="24"/>
          <w:highlight w:val="none"/>
        </w:rPr>
      </w:pPr>
      <w:bookmarkStart w:id="500" w:name="_Toc256000338"/>
      <w:bookmarkStart w:id="501" w:name="_Toc13660"/>
      <w:bookmarkStart w:id="502" w:name="_Toc69461813"/>
      <w:bookmarkStart w:id="503" w:name="_Toc26904"/>
      <w:bookmarkStart w:id="504" w:name="_Toc24636"/>
      <w:bookmarkStart w:id="505" w:name="_Toc69461158"/>
      <w:bookmarkStart w:id="506" w:name="_Toc256000834"/>
      <w:bookmarkStart w:id="507" w:name="_Toc256001071"/>
      <w:bookmarkStart w:id="508" w:name="_Toc14725"/>
      <w:bookmarkStart w:id="509" w:name="_Toc256000057"/>
      <w:bookmarkStart w:id="510" w:name="_Toc256001301"/>
      <w:bookmarkStart w:id="511" w:name="_Toc256000567"/>
      <w:r>
        <w:rPr>
          <w:rStyle w:val="8"/>
          <w:rFonts w:ascii="宋体" w:hAnsi="宋体"/>
          <w:color w:val="auto"/>
          <w:kern w:val="2"/>
          <w:sz w:val="24"/>
          <w:szCs w:val="24"/>
          <w:highlight w:val="none"/>
        </w:rPr>
        <w:t>5.3 隐蔽工程检查</w:t>
      </w:r>
      <w:bookmarkEnd w:id="500"/>
      <w:bookmarkEnd w:id="501"/>
      <w:bookmarkEnd w:id="502"/>
      <w:bookmarkEnd w:id="503"/>
      <w:bookmarkEnd w:id="504"/>
      <w:bookmarkEnd w:id="505"/>
      <w:bookmarkEnd w:id="506"/>
      <w:bookmarkEnd w:id="507"/>
      <w:bookmarkEnd w:id="508"/>
      <w:bookmarkEnd w:id="509"/>
      <w:bookmarkEnd w:id="510"/>
      <w:bookmarkEnd w:id="511"/>
    </w:p>
    <w:p w14:paraId="1B70A05E">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5.3.2承包人提前通知监理人隐蔽工程检查的期限的约定：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执行通用条款 </w:t>
      </w:r>
    </w:p>
    <w:p w14:paraId="6D219684">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监理人不能按时进行检查时，应提前</w:t>
      </w:r>
      <w:r>
        <w:rPr>
          <w:rStyle w:val="8"/>
          <w:rFonts w:ascii="宋体" w:hAnsi="宋体"/>
          <w:color w:val="auto"/>
          <w:kern w:val="2"/>
          <w:sz w:val="24"/>
          <w:szCs w:val="24"/>
          <w:highlight w:val="none"/>
          <w:u w:val="single"/>
        </w:rPr>
        <w:t xml:space="preserve"> 24 </w:t>
      </w:r>
      <w:r>
        <w:rPr>
          <w:rStyle w:val="8"/>
          <w:rFonts w:ascii="宋体" w:hAnsi="宋体"/>
          <w:color w:val="auto"/>
          <w:kern w:val="2"/>
          <w:sz w:val="24"/>
          <w:szCs w:val="24"/>
          <w:highlight w:val="none"/>
        </w:rPr>
        <w:t>小时提交书面延期要求。</w:t>
      </w:r>
    </w:p>
    <w:p w14:paraId="56CAD777">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关于延期最长不得超过：</w:t>
      </w:r>
      <w:r>
        <w:rPr>
          <w:rStyle w:val="8"/>
          <w:rFonts w:hint="eastAsia" w:ascii="宋体" w:hAnsi="宋体"/>
          <w:color w:val="auto"/>
          <w:kern w:val="2"/>
          <w:sz w:val="24"/>
          <w:szCs w:val="24"/>
          <w:highlight w:val="none"/>
          <w:u w:val="single"/>
        </w:rPr>
        <w:t xml:space="preserve"> 12小时。承包人应在隐蔽工程完工后进入下一道工序前向监理、发包人申请隐蔽工程验收，经验收合格方可进行下一步工序，因承包人未申请验收或者产生争议时承包人无法提供隐蔽工程验收记录的，导致隐蔽工程施工情况无法界定的责任由承包人承担。</w:t>
      </w:r>
    </w:p>
    <w:p w14:paraId="506EBF84">
      <w:pPr>
        <w:pStyle w:val="15"/>
        <w:spacing w:before="120" w:after="120" w:line="360" w:lineRule="auto"/>
        <w:outlineLvl w:val="9"/>
        <w:rPr>
          <w:rStyle w:val="8"/>
          <w:rFonts w:ascii="宋体" w:hAnsi="宋体" w:eastAsia="宋体"/>
          <w:b w:val="0"/>
          <w:color w:val="auto"/>
          <w:sz w:val="24"/>
          <w:szCs w:val="24"/>
          <w:highlight w:val="none"/>
        </w:rPr>
      </w:pPr>
      <w:bookmarkStart w:id="512" w:name="_Toc25555"/>
      <w:bookmarkStart w:id="513" w:name="_Toc256000835"/>
      <w:bookmarkStart w:id="514" w:name="_Toc256001072"/>
      <w:bookmarkStart w:id="515" w:name="_Toc351203638"/>
      <w:bookmarkStart w:id="516" w:name="_Toc69461814"/>
      <w:bookmarkStart w:id="517" w:name="_Toc256000339"/>
      <w:bookmarkStart w:id="518" w:name="_Toc69461159"/>
      <w:bookmarkStart w:id="519" w:name="_Toc256001302"/>
      <w:bookmarkStart w:id="520" w:name="_Toc256000568"/>
      <w:bookmarkStart w:id="521" w:name="_Toc18974"/>
      <w:r>
        <w:rPr>
          <w:rStyle w:val="8"/>
          <w:rFonts w:ascii="宋体" w:hAnsi="宋体" w:eastAsia="宋体"/>
          <w:b w:val="0"/>
          <w:color w:val="auto"/>
          <w:sz w:val="24"/>
          <w:szCs w:val="24"/>
          <w:highlight w:val="none"/>
        </w:rPr>
        <w:t>6. 安全文明施工与环境保护</w:t>
      </w:r>
      <w:bookmarkEnd w:id="512"/>
      <w:bookmarkEnd w:id="513"/>
      <w:bookmarkEnd w:id="514"/>
      <w:bookmarkEnd w:id="515"/>
      <w:bookmarkEnd w:id="516"/>
      <w:bookmarkEnd w:id="517"/>
      <w:bookmarkEnd w:id="518"/>
      <w:bookmarkEnd w:id="519"/>
      <w:bookmarkEnd w:id="520"/>
      <w:bookmarkEnd w:id="521"/>
    </w:p>
    <w:p w14:paraId="63DAA713">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6.1安全文明施工</w:t>
      </w:r>
    </w:p>
    <w:p w14:paraId="28F86191">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6.1.1 项目安全生产的达标目标及相应事项的约定：</w:t>
      </w:r>
      <w:r>
        <w:rPr>
          <w:rStyle w:val="8"/>
          <w:rFonts w:ascii="宋体" w:hAnsi="宋体"/>
          <w:color w:val="auto"/>
          <w:kern w:val="2"/>
          <w:sz w:val="24"/>
          <w:szCs w:val="24"/>
          <w:highlight w:val="none"/>
          <w:u w:val="single"/>
        </w:rPr>
        <w:t xml:space="preserve">         </w:t>
      </w:r>
    </w:p>
    <w:p w14:paraId="46CF29E0">
      <w:pPr>
        <w:pStyle w:val="13"/>
        <w:spacing w:line="360" w:lineRule="auto"/>
        <w:jc w:val="left"/>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7B4F42AA">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6.1.4 关于治安保卫的特别约定：</w:t>
      </w:r>
      <w:r>
        <w:rPr>
          <w:rStyle w:val="8"/>
          <w:rFonts w:ascii="宋体" w:hAnsi="宋体"/>
          <w:color w:val="auto"/>
          <w:kern w:val="2"/>
          <w:sz w:val="24"/>
          <w:szCs w:val="24"/>
          <w:highlight w:val="none"/>
          <w:u w:val="single"/>
        </w:rPr>
        <w:t xml:space="preserve">                         </w:t>
      </w:r>
    </w:p>
    <w:p w14:paraId="20442C06">
      <w:pPr>
        <w:pStyle w:val="13"/>
        <w:spacing w:line="360" w:lineRule="auto"/>
        <w:jc w:val="left"/>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0203A871">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关于编制施工场地治安管理计划的约定：</w:t>
      </w:r>
      <w:r>
        <w:rPr>
          <w:rStyle w:val="8"/>
          <w:rFonts w:hint="eastAsia" w:ascii="宋体" w:hAnsi="宋体"/>
          <w:color w:val="auto"/>
          <w:kern w:val="2"/>
          <w:sz w:val="24"/>
          <w:szCs w:val="24"/>
          <w:highlight w:val="none"/>
          <w:u w:val="single"/>
        </w:rPr>
        <w:t>承包人负责编制和执行施工场地治安管理计划，发包人应予以协助  。</w:t>
      </w:r>
    </w:p>
    <w:p w14:paraId="7FEE47F6">
      <w:pPr>
        <w:pStyle w:val="13"/>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6.1.5 文明施工</w:t>
      </w:r>
    </w:p>
    <w:p w14:paraId="3875BE0B">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rPr>
        <w:t>合同当事人对文明施工的要求：</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符合国家建设工程安全文明施工的要求及</w:t>
      </w:r>
      <w:r>
        <w:rPr>
          <w:rStyle w:val="8"/>
          <w:rFonts w:hint="eastAsia" w:ascii="宋体" w:hAnsi="宋体"/>
          <w:color w:val="auto"/>
          <w:kern w:val="2"/>
          <w:sz w:val="24"/>
          <w:szCs w:val="24"/>
          <w:highlight w:val="none"/>
          <w:u w:val="single"/>
          <w:lang w:eastAsia="zh-CN"/>
        </w:rPr>
        <w:t>营口市</w:t>
      </w:r>
      <w:r>
        <w:rPr>
          <w:rStyle w:val="8"/>
          <w:rFonts w:hint="eastAsia" w:ascii="宋体" w:hAnsi="宋体"/>
          <w:color w:val="auto"/>
          <w:kern w:val="2"/>
          <w:sz w:val="24"/>
          <w:szCs w:val="24"/>
          <w:highlight w:val="none"/>
          <w:u w:val="single"/>
        </w:rPr>
        <w:t>政府相关规定 。</w:t>
      </w:r>
    </w:p>
    <w:p w14:paraId="7670256E">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6.1.6 关于安全文明施工费支付比例和支付期限的约定：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随工程进度款同比例支付  。</w:t>
      </w:r>
    </w:p>
    <w:bookmarkEnd w:id="493"/>
    <w:bookmarkEnd w:id="494"/>
    <w:bookmarkEnd w:id="495"/>
    <w:bookmarkEnd w:id="496"/>
    <w:bookmarkEnd w:id="497"/>
    <w:bookmarkEnd w:id="498"/>
    <w:bookmarkEnd w:id="499"/>
    <w:p w14:paraId="1AFC18E0">
      <w:pPr>
        <w:pStyle w:val="15"/>
        <w:spacing w:before="120" w:after="120" w:line="360" w:lineRule="auto"/>
        <w:outlineLvl w:val="9"/>
        <w:rPr>
          <w:rStyle w:val="8"/>
          <w:rFonts w:ascii="宋体" w:hAnsi="宋体" w:eastAsia="宋体"/>
          <w:b w:val="0"/>
          <w:color w:val="auto"/>
          <w:sz w:val="24"/>
          <w:szCs w:val="24"/>
          <w:highlight w:val="none"/>
        </w:rPr>
      </w:pPr>
      <w:bookmarkStart w:id="522" w:name="_Toc256001073"/>
      <w:bookmarkStart w:id="523" w:name="_Toc69461815"/>
      <w:bookmarkStart w:id="524" w:name="_Toc23654"/>
      <w:bookmarkStart w:id="525" w:name="_Toc3767"/>
      <w:bookmarkStart w:id="526" w:name="_Toc351203639"/>
      <w:bookmarkStart w:id="527" w:name="_Toc256001303"/>
      <w:bookmarkStart w:id="528" w:name="_Toc69461160"/>
      <w:bookmarkStart w:id="529" w:name="_Toc256000569"/>
      <w:bookmarkStart w:id="530" w:name="_Toc256000340"/>
      <w:bookmarkStart w:id="531" w:name="_Toc256000836"/>
      <w:r>
        <w:rPr>
          <w:rStyle w:val="8"/>
          <w:rFonts w:ascii="宋体" w:hAnsi="宋体" w:eastAsia="宋体"/>
          <w:b w:val="0"/>
          <w:color w:val="auto"/>
          <w:sz w:val="24"/>
          <w:szCs w:val="24"/>
          <w:highlight w:val="none"/>
        </w:rPr>
        <w:t>7. 工期和进度</w:t>
      </w:r>
      <w:bookmarkEnd w:id="522"/>
      <w:bookmarkEnd w:id="523"/>
      <w:bookmarkEnd w:id="524"/>
      <w:bookmarkEnd w:id="525"/>
      <w:bookmarkEnd w:id="526"/>
      <w:bookmarkEnd w:id="527"/>
      <w:bookmarkEnd w:id="528"/>
      <w:bookmarkEnd w:id="529"/>
      <w:bookmarkEnd w:id="530"/>
      <w:bookmarkEnd w:id="531"/>
    </w:p>
    <w:p w14:paraId="122EEAB4">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7.1 施工组织设计</w:t>
      </w:r>
    </w:p>
    <w:p w14:paraId="5D443660">
      <w:pPr>
        <w:pStyle w:val="13"/>
        <w:autoSpaceDE w:val="0"/>
        <w:autoSpaceDN w:val="0"/>
        <w:adjustRightInd w:val="0"/>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7.1.</w:t>
      </w:r>
      <w:r>
        <w:rPr>
          <w:rStyle w:val="8"/>
          <w:rFonts w:hint="eastAsia" w:ascii="宋体" w:hAnsi="宋体"/>
          <w:color w:val="auto"/>
          <w:kern w:val="2"/>
          <w:sz w:val="24"/>
          <w:szCs w:val="24"/>
          <w:highlight w:val="none"/>
        </w:rPr>
        <w:t>1 合</w:t>
      </w:r>
      <w:r>
        <w:rPr>
          <w:rStyle w:val="8"/>
          <w:rFonts w:hint="eastAsia" w:ascii="宋体" w:hAnsi="宋体"/>
          <w:color w:val="auto"/>
          <w:sz w:val="24"/>
          <w:szCs w:val="24"/>
          <w:highlight w:val="none"/>
        </w:rPr>
        <w:t>同当事人约定的</w:t>
      </w:r>
      <w:r>
        <w:rPr>
          <w:rStyle w:val="8"/>
          <w:rFonts w:ascii="宋体" w:hAnsi="宋体"/>
          <w:color w:val="auto"/>
          <w:sz w:val="24"/>
          <w:szCs w:val="24"/>
          <w:highlight w:val="none"/>
        </w:rPr>
        <w:t>施工组织设计</w:t>
      </w:r>
      <w:r>
        <w:rPr>
          <w:rStyle w:val="8"/>
          <w:rFonts w:hint="eastAsia" w:ascii="宋体" w:hAnsi="宋体"/>
          <w:color w:val="auto"/>
          <w:sz w:val="24"/>
          <w:szCs w:val="24"/>
          <w:highlight w:val="none"/>
        </w:rPr>
        <w:t>应包括的其他内容</w:t>
      </w:r>
      <w:r>
        <w:rPr>
          <w:rStyle w:val="8"/>
          <w:rFonts w:ascii="宋体" w:hAnsi="宋体"/>
          <w:color w:val="auto"/>
          <w:sz w:val="24"/>
          <w:szCs w:val="24"/>
          <w:highlight w:val="none"/>
        </w:rPr>
        <w:t>：</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077F0151">
      <w:pPr>
        <w:pStyle w:val="13"/>
        <w:autoSpaceDE w:val="0"/>
        <w:autoSpaceDN w:val="0"/>
        <w:adjustRightInd w:val="0"/>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kern w:val="2"/>
          <w:sz w:val="24"/>
          <w:szCs w:val="24"/>
          <w:highlight w:val="none"/>
        </w:rPr>
        <w:t xml:space="preserve">7.1.2 </w:t>
      </w:r>
      <w:r>
        <w:rPr>
          <w:rStyle w:val="8"/>
          <w:rFonts w:ascii="宋体" w:hAnsi="宋体"/>
          <w:color w:val="auto"/>
          <w:sz w:val="24"/>
          <w:szCs w:val="24"/>
          <w:highlight w:val="none"/>
        </w:rPr>
        <w:t>施工组织设计的提交和修改</w:t>
      </w:r>
    </w:p>
    <w:p w14:paraId="3D3E4314">
      <w:pPr>
        <w:pStyle w:val="14"/>
        <w:autoSpaceDE w:val="0"/>
        <w:autoSpaceDN w:val="0"/>
        <w:adjustRightInd w:val="0"/>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承包人提交详细施工组织设计的期限的约定：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承包人在收到发包人下发的开工通知后5日内    。</w:t>
      </w:r>
    </w:p>
    <w:p w14:paraId="6141AE5D">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发包人和监理人在收到</w:t>
      </w:r>
      <w:r>
        <w:rPr>
          <w:rStyle w:val="8"/>
          <w:rFonts w:hint="eastAsia" w:ascii="宋体" w:hAnsi="宋体"/>
          <w:color w:val="auto"/>
          <w:kern w:val="2"/>
          <w:sz w:val="24"/>
          <w:szCs w:val="24"/>
          <w:highlight w:val="none"/>
        </w:rPr>
        <w:t>详细的施工组织设计</w:t>
      </w:r>
      <w:r>
        <w:rPr>
          <w:rStyle w:val="8"/>
          <w:rFonts w:ascii="宋体" w:hAnsi="宋体"/>
          <w:color w:val="auto"/>
          <w:kern w:val="2"/>
          <w:sz w:val="24"/>
          <w:szCs w:val="24"/>
          <w:highlight w:val="none"/>
        </w:rPr>
        <w:t>后确认或提出修改意见的期限：</w:t>
      </w:r>
      <w:r>
        <w:rPr>
          <w:rStyle w:val="8"/>
          <w:rFonts w:hint="eastAsia" w:ascii="宋体" w:hAnsi="宋体"/>
          <w:color w:val="auto"/>
          <w:kern w:val="2"/>
          <w:sz w:val="24"/>
          <w:szCs w:val="24"/>
          <w:highlight w:val="none"/>
          <w:u w:val="single"/>
        </w:rPr>
        <w:t>自发包人收到承包人报送的相关进度计划和设计方案说明后5天内 。</w:t>
      </w:r>
    </w:p>
    <w:p w14:paraId="524127E3">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7</w:t>
      </w:r>
      <w:bookmarkStart w:id="532" w:name="_Toc303539123"/>
      <w:bookmarkStart w:id="533" w:name="_Toc304295541"/>
      <w:bookmarkStart w:id="534" w:name="_Toc300934966"/>
      <w:bookmarkStart w:id="535" w:name="_Toc297216173"/>
      <w:bookmarkStart w:id="536" w:name="_Toc312678005"/>
      <w:bookmarkStart w:id="537" w:name="_Toc297123514"/>
      <w:bookmarkStart w:id="538" w:name="_Toc312677479"/>
      <w:r>
        <w:rPr>
          <w:rStyle w:val="8"/>
          <w:rFonts w:ascii="宋体" w:hAnsi="宋体"/>
          <w:color w:val="auto"/>
          <w:kern w:val="2"/>
          <w:sz w:val="24"/>
          <w:szCs w:val="24"/>
          <w:highlight w:val="none"/>
        </w:rPr>
        <w:t>.2 施工进度计划</w:t>
      </w:r>
    </w:p>
    <w:p w14:paraId="2510B21B">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7.2.2 施工进度计划的修订</w:t>
      </w:r>
    </w:p>
    <w:p w14:paraId="43CBDC24">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发包人和监理人在收到修订的施工进度计划后确认或提出修改意见的期限：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5 天内完成审核和批准或提出修改意见 。</w:t>
      </w:r>
    </w:p>
    <w:p w14:paraId="73450306">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7.3 开工</w:t>
      </w:r>
    </w:p>
    <w:p w14:paraId="5EE18A7A">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7.3.1 开工准备</w:t>
      </w:r>
    </w:p>
    <w:p w14:paraId="386E0CCB">
      <w:pPr>
        <w:pStyle w:val="14"/>
        <w:spacing w:line="360" w:lineRule="auto"/>
        <w:ind w:firstLine="645"/>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关于承包人提交</w:t>
      </w:r>
      <w:r>
        <w:rPr>
          <w:rStyle w:val="8"/>
          <w:rFonts w:ascii="宋体" w:hAnsi="宋体"/>
          <w:color w:val="auto"/>
          <w:sz w:val="24"/>
          <w:szCs w:val="24"/>
          <w:highlight w:val="none"/>
        </w:rPr>
        <w:t>工程开工报审表的期限：</w:t>
      </w:r>
      <w:r>
        <w:rPr>
          <w:rStyle w:val="8"/>
          <w:rFonts w:hint="eastAsia" w:ascii="宋体" w:hAnsi="宋体"/>
          <w:color w:val="auto"/>
          <w:kern w:val="2"/>
          <w:sz w:val="24"/>
          <w:szCs w:val="24"/>
          <w:highlight w:val="none"/>
          <w:u w:val="single"/>
        </w:rPr>
        <w:t>承包人应在合同签订后10 天内，但不迟于开工通知载明的开工日期前7 日内   。</w:t>
      </w:r>
    </w:p>
    <w:p w14:paraId="11D168BC">
      <w:pPr>
        <w:pStyle w:val="13"/>
        <w:spacing w:line="360" w:lineRule="auto"/>
        <w:ind w:firstLine="645"/>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关于发包人应完成的其他开工准备工作及期限：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14:paraId="0404602F">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关于承包人应完成的其他开工准备工作及期限：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14:paraId="388D6025">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7.3.2开工通知</w:t>
      </w:r>
    </w:p>
    <w:p w14:paraId="0087CD4E">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因发包人原因造成监理人未能在计划开工日期之日起</w:t>
      </w:r>
      <w:r>
        <w:rPr>
          <w:rStyle w:val="8"/>
          <w:rFonts w:ascii="宋体" w:hAnsi="宋体"/>
          <w:color w:val="auto"/>
          <w:kern w:val="2"/>
          <w:sz w:val="24"/>
          <w:szCs w:val="24"/>
          <w:highlight w:val="none"/>
          <w:u w:val="single"/>
        </w:rPr>
        <w:t xml:space="preserve">   7  </w:t>
      </w:r>
      <w:r>
        <w:rPr>
          <w:rStyle w:val="8"/>
          <w:rFonts w:ascii="宋体" w:hAnsi="宋体"/>
          <w:color w:val="auto"/>
          <w:kern w:val="2"/>
          <w:sz w:val="24"/>
          <w:szCs w:val="24"/>
          <w:highlight w:val="none"/>
        </w:rPr>
        <w:t>天内发出开工通知的，承包人有权提出价格调整要求，或者解除合同。</w:t>
      </w:r>
    </w:p>
    <w:bookmarkEnd w:id="532"/>
    <w:bookmarkEnd w:id="533"/>
    <w:bookmarkEnd w:id="534"/>
    <w:bookmarkEnd w:id="535"/>
    <w:bookmarkEnd w:id="536"/>
    <w:bookmarkEnd w:id="537"/>
    <w:bookmarkEnd w:id="538"/>
    <w:p w14:paraId="341F50C3">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7.4 测量放线</w:t>
      </w:r>
    </w:p>
    <w:p w14:paraId="4DB4B3A2">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7.4.1发包人通过监理人向承包人提供测量基准点、基准线和水准点及其书面资料的期限：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工程开工前7日内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541619FB">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7</w:t>
      </w:r>
      <w:bookmarkStart w:id="539" w:name="_Toc312678010"/>
      <w:bookmarkStart w:id="540" w:name="_Toc312677484"/>
      <w:bookmarkStart w:id="541" w:name="_Toc297123516"/>
      <w:bookmarkStart w:id="542" w:name="_Toc300934968"/>
      <w:bookmarkStart w:id="543" w:name="_Toc297216175"/>
      <w:bookmarkStart w:id="544" w:name="_Toc304295546"/>
      <w:bookmarkStart w:id="545" w:name="_Toc303539125"/>
      <w:r>
        <w:rPr>
          <w:rStyle w:val="8"/>
          <w:rFonts w:ascii="宋体" w:hAnsi="宋体"/>
          <w:color w:val="auto"/>
          <w:kern w:val="2"/>
          <w:sz w:val="24"/>
          <w:szCs w:val="24"/>
          <w:highlight w:val="none"/>
        </w:rPr>
        <w:t>.5 工期延误</w:t>
      </w:r>
    </w:p>
    <w:bookmarkEnd w:id="539"/>
    <w:bookmarkEnd w:id="540"/>
    <w:bookmarkEnd w:id="541"/>
    <w:bookmarkEnd w:id="542"/>
    <w:bookmarkEnd w:id="543"/>
    <w:bookmarkEnd w:id="544"/>
    <w:bookmarkEnd w:id="545"/>
    <w:p w14:paraId="3753F1BD">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7.5.1 因发包人原因导致工期延误</w:t>
      </w:r>
    </w:p>
    <w:p w14:paraId="266E91CC">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（7）因发包人原因导致工期延误的其他情形：</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发包人因政策变化等原因推迟开工需以书面形式通知承包人，顺延相应工期，发包人不承担补偿和损失的费用及违约责任  。</w:t>
      </w:r>
    </w:p>
    <w:p w14:paraId="41C29914">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7</w:t>
      </w:r>
      <w:bookmarkStart w:id="546" w:name="_Toc318581169"/>
      <w:bookmarkStart w:id="547" w:name="_Toc312678012"/>
      <w:bookmarkStart w:id="548" w:name="_Toc312677486"/>
      <w:bookmarkStart w:id="549" w:name="_Toc297123518"/>
      <w:bookmarkStart w:id="550" w:name="_Toc297216177"/>
      <w:bookmarkStart w:id="551" w:name="_Toc304295548"/>
      <w:bookmarkStart w:id="552" w:name="_Toc300934970"/>
      <w:bookmarkStart w:id="553" w:name="_Toc303539127"/>
      <w:r>
        <w:rPr>
          <w:rStyle w:val="8"/>
          <w:rFonts w:ascii="宋体" w:hAnsi="宋体"/>
          <w:color w:val="auto"/>
          <w:kern w:val="2"/>
          <w:sz w:val="24"/>
          <w:szCs w:val="24"/>
          <w:highlight w:val="none"/>
        </w:rPr>
        <w:t>.5.2 因承包人原因导致工期延误</w:t>
      </w:r>
    </w:p>
    <w:bookmarkEnd w:id="546"/>
    <w:bookmarkEnd w:id="547"/>
    <w:bookmarkEnd w:id="548"/>
    <w:p w14:paraId="49633145">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因</w:t>
      </w:r>
      <w:bookmarkStart w:id="554" w:name="_Toc312678013"/>
      <w:bookmarkStart w:id="555" w:name="_Toc318581170"/>
      <w:bookmarkStart w:id="556" w:name="_Toc312677487"/>
      <w:r>
        <w:rPr>
          <w:rStyle w:val="8"/>
          <w:rFonts w:ascii="宋体" w:hAnsi="宋体"/>
          <w:color w:val="auto"/>
          <w:kern w:val="2"/>
          <w:sz w:val="24"/>
          <w:szCs w:val="24"/>
          <w:highlight w:val="none"/>
        </w:rPr>
        <w:t>承包人原因造成工期延误，逾期竣工违约金的计算方法为：</w:t>
      </w:r>
      <w:r>
        <w:rPr>
          <w:rStyle w:val="8"/>
          <w:rFonts w:hint="eastAsia" w:ascii="宋体" w:hAnsi="宋体"/>
          <w:color w:val="auto"/>
          <w:kern w:val="2"/>
          <w:sz w:val="24"/>
          <w:szCs w:val="24"/>
          <w:highlight w:val="none"/>
          <w:u w:val="single"/>
          <w:lang w:val="en-US" w:eastAsia="zh-CN"/>
        </w:rPr>
        <w:t>发包人根据工期延误的实际情况，可以进行每延误1天按照合同额0.1%</w:t>
      </w:r>
      <w:r>
        <w:rPr>
          <w:rStyle w:val="8"/>
          <w:rFonts w:hint="eastAsia"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lang w:val="en-US" w:eastAsia="zh-CN"/>
        </w:rPr>
        <w:t>进行处罚</w:t>
      </w:r>
      <w:r>
        <w:rPr>
          <w:rStyle w:val="8"/>
          <w:rFonts w:hint="eastAsia" w:ascii="宋体" w:hAnsi="宋体"/>
          <w:color w:val="auto"/>
          <w:kern w:val="2"/>
          <w:sz w:val="24"/>
          <w:szCs w:val="24"/>
          <w:highlight w:val="none"/>
          <w:u w:val="single"/>
        </w:rPr>
        <w:t>。</w:t>
      </w:r>
    </w:p>
    <w:bookmarkEnd w:id="549"/>
    <w:bookmarkEnd w:id="550"/>
    <w:bookmarkEnd w:id="551"/>
    <w:bookmarkEnd w:id="552"/>
    <w:bookmarkEnd w:id="553"/>
    <w:bookmarkEnd w:id="554"/>
    <w:bookmarkEnd w:id="555"/>
    <w:bookmarkEnd w:id="556"/>
    <w:p w14:paraId="70EB6906">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因承包人原因造成工期延误，逾</w:t>
      </w:r>
      <w:bookmarkStart w:id="557" w:name="_Toc312678014"/>
      <w:bookmarkStart w:id="558" w:name="_Toc318581171"/>
      <w:r>
        <w:rPr>
          <w:rStyle w:val="8"/>
          <w:rFonts w:ascii="宋体" w:hAnsi="宋体"/>
          <w:color w:val="auto"/>
          <w:kern w:val="2"/>
          <w:sz w:val="24"/>
          <w:szCs w:val="24"/>
          <w:highlight w:val="none"/>
        </w:rPr>
        <w:t>期竣工违约金的上限：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合同价款的</w:t>
      </w:r>
      <w:r>
        <w:rPr>
          <w:rStyle w:val="8"/>
          <w:rFonts w:hint="eastAsia" w:ascii="宋体" w:hAnsi="宋体"/>
          <w:color w:val="auto"/>
          <w:kern w:val="2"/>
          <w:sz w:val="24"/>
          <w:szCs w:val="24"/>
          <w:highlight w:val="none"/>
          <w:u w:val="single"/>
          <w:lang w:val="en-US" w:eastAsia="zh-CN"/>
        </w:rPr>
        <w:t>5</w:t>
      </w:r>
      <w:r>
        <w:rPr>
          <w:rStyle w:val="8"/>
          <w:rFonts w:hint="eastAsia" w:ascii="宋体" w:hAnsi="宋体"/>
          <w:color w:val="auto"/>
          <w:kern w:val="2"/>
          <w:sz w:val="24"/>
          <w:szCs w:val="24"/>
          <w:highlight w:val="none"/>
          <w:u w:val="single"/>
        </w:rPr>
        <w:t>% 。</w:t>
      </w:r>
      <w:r>
        <w:rPr>
          <w:rStyle w:val="8"/>
          <w:rFonts w:ascii="宋体" w:hAnsi="宋体"/>
          <w:color w:val="auto"/>
          <w:kern w:val="2"/>
          <w:sz w:val="24"/>
          <w:szCs w:val="24"/>
          <w:highlight w:val="none"/>
          <w:u w:val="single"/>
        </w:rPr>
        <w:t xml:space="preserve">     </w:t>
      </w:r>
    </w:p>
    <w:bookmarkEnd w:id="557"/>
    <w:bookmarkEnd w:id="558"/>
    <w:p w14:paraId="232DD0EF">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7</w:t>
      </w:r>
      <w:bookmarkStart w:id="559" w:name="_Toc303539128"/>
      <w:bookmarkStart w:id="560" w:name="_Toc297216178"/>
      <w:bookmarkStart w:id="561" w:name="_Toc300934971"/>
      <w:bookmarkStart w:id="562" w:name="_Toc297123519"/>
      <w:bookmarkStart w:id="563" w:name="_Toc312678015"/>
      <w:bookmarkStart w:id="564" w:name="_Toc304295549"/>
      <w:r>
        <w:rPr>
          <w:rStyle w:val="8"/>
          <w:rFonts w:ascii="宋体" w:hAnsi="宋体"/>
          <w:color w:val="auto"/>
          <w:kern w:val="2"/>
          <w:sz w:val="24"/>
          <w:szCs w:val="24"/>
          <w:highlight w:val="none"/>
        </w:rPr>
        <w:t>.6 不</w:t>
      </w:r>
      <w:bookmarkEnd w:id="559"/>
      <w:bookmarkEnd w:id="560"/>
      <w:bookmarkEnd w:id="561"/>
      <w:bookmarkEnd w:id="562"/>
      <w:bookmarkEnd w:id="563"/>
      <w:bookmarkEnd w:id="564"/>
      <w:r>
        <w:rPr>
          <w:rStyle w:val="8"/>
          <w:rFonts w:ascii="宋体" w:hAnsi="宋体"/>
          <w:color w:val="auto"/>
          <w:kern w:val="2"/>
          <w:sz w:val="24"/>
          <w:szCs w:val="24"/>
          <w:highlight w:val="none"/>
        </w:rPr>
        <w:t>利物质条件</w:t>
      </w:r>
    </w:p>
    <w:p w14:paraId="21F599EF">
      <w:pPr>
        <w:pStyle w:val="13"/>
        <w:spacing w:line="360" w:lineRule="auto"/>
        <w:ind w:firstLine="480" w:firstLineChars="200"/>
        <w:jc w:val="left"/>
        <w:rPr>
          <w:rStyle w:val="8"/>
          <w:rFonts w:ascii="宋体" w:hAnsi="宋体"/>
          <w:color w:val="auto"/>
          <w:kern w:val="2"/>
          <w:sz w:val="24"/>
          <w:szCs w:val="24"/>
          <w:highlight w:val="none"/>
          <w:u w:val="single"/>
        </w:rPr>
      </w:pPr>
      <w:bookmarkStart w:id="565" w:name="_Toc300934972"/>
      <w:bookmarkStart w:id="566" w:name="_Toc297123520"/>
      <w:bookmarkStart w:id="567" w:name="_Toc312678016"/>
      <w:bookmarkStart w:id="568" w:name="_Toc304295550"/>
      <w:bookmarkStart w:id="569" w:name="_Toc297216179"/>
      <w:bookmarkStart w:id="570" w:name="_Toc318581172"/>
      <w:bookmarkStart w:id="571" w:name="_Toc303539129"/>
      <w:r>
        <w:rPr>
          <w:rStyle w:val="8"/>
          <w:rFonts w:ascii="宋体" w:hAnsi="宋体"/>
          <w:color w:val="auto"/>
          <w:kern w:val="2"/>
          <w:sz w:val="24"/>
          <w:szCs w:val="24"/>
          <w:highlight w:val="none"/>
        </w:rPr>
        <w:t>不利物质条件的其他情形和有关约定：</w:t>
      </w:r>
      <w:r>
        <w:rPr>
          <w:rStyle w:val="8"/>
          <w:rFonts w:ascii="宋体" w:hAnsi="宋体"/>
          <w:color w:val="auto"/>
          <w:kern w:val="2"/>
          <w:sz w:val="24"/>
          <w:szCs w:val="24"/>
          <w:highlight w:val="none"/>
          <w:u w:val="single"/>
        </w:rPr>
        <w:t xml:space="preserve">                    </w:t>
      </w:r>
    </w:p>
    <w:p w14:paraId="4143C40F">
      <w:pPr>
        <w:pStyle w:val="13"/>
        <w:spacing w:line="360" w:lineRule="auto"/>
        <w:jc w:val="left"/>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bookmarkEnd w:id="565"/>
    <w:bookmarkEnd w:id="566"/>
    <w:bookmarkEnd w:id="567"/>
    <w:bookmarkEnd w:id="568"/>
    <w:bookmarkEnd w:id="569"/>
    <w:bookmarkEnd w:id="570"/>
    <w:bookmarkEnd w:id="571"/>
    <w:p w14:paraId="704232C6">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7</w:t>
      </w:r>
      <w:bookmarkStart w:id="572" w:name="_Toc304295551"/>
      <w:bookmarkStart w:id="573" w:name="_Toc312678017"/>
      <w:bookmarkStart w:id="574" w:name="_Toc297123521"/>
      <w:bookmarkStart w:id="575" w:name="_Toc303539130"/>
      <w:bookmarkStart w:id="576" w:name="_Toc297216180"/>
      <w:bookmarkStart w:id="577" w:name="_Toc300934973"/>
      <w:r>
        <w:rPr>
          <w:rStyle w:val="8"/>
          <w:rFonts w:ascii="宋体" w:hAnsi="宋体"/>
          <w:color w:val="auto"/>
          <w:kern w:val="2"/>
          <w:sz w:val="24"/>
          <w:szCs w:val="24"/>
          <w:highlight w:val="none"/>
        </w:rPr>
        <w:t>.7异常恶劣的气候条件</w:t>
      </w:r>
    </w:p>
    <w:bookmarkEnd w:id="572"/>
    <w:bookmarkEnd w:id="573"/>
    <w:bookmarkEnd w:id="574"/>
    <w:bookmarkEnd w:id="575"/>
    <w:bookmarkEnd w:id="576"/>
    <w:bookmarkEnd w:id="577"/>
    <w:p w14:paraId="571DECFE">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发包人和承包人同意以下情形视为异常恶劣的气候条件：</w:t>
      </w:r>
    </w:p>
    <w:p w14:paraId="2F4FB581">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 xml:space="preserve">①7 级以上（含7 级）大风持续12 小时（以气象台提供的资料为准）；②24 小时降雨量达到100mm 以上（含100mm） 暴雨（以气象台提供的资料为准）；③7 级以上地震（含7 级）；④战争、动乱、洪水、空中飞行物坠落；⑤其它不能预见并对其发生的后果不能防止或避免的不可抗力事故，致使直接影响本合同的履行或不能按约定的期限、条件履行时（以上事件仅指发生于工程所在地且应以工程所在地政府或授权相应机构出具证明文件为依据）。 </w:t>
      </w:r>
    </w:p>
    <w:p w14:paraId="477C8946">
      <w:pPr>
        <w:pStyle w:val="13"/>
        <w:spacing w:after="120" w:line="360" w:lineRule="auto"/>
        <w:ind w:firstLine="480" w:firstLineChars="200"/>
        <w:outlineLvl w:val="9"/>
        <w:rPr>
          <w:rStyle w:val="8"/>
          <w:rFonts w:ascii="宋体" w:hAnsi="宋体"/>
          <w:color w:val="auto"/>
          <w:kern w:val="2"/>
          <w:sz w:val="24"/>
          <w:szCs w:val="24"/>
          <w:highlight w:val="none"/>
        </w:rPr>
      </w:pPr>
      <w:bookmarkStart w:id="578" w:name="_Toc69461816"/>
      <w:bookmarkStart w:id="579" w:name="_Toc25575"/>
      <w:bookmarkStart w:id="580" w:name="_Toc256000837"/>
      <w:bookmarkStart w:id="581" w:name="_Toc256000341"/>
      <w:bookmarkStart w:id="582" w:name="_Toc256000570"/>
      <w:bookmarkStart w:id="583" w:name="_Toc69461161"/>
      <w:bookmarkStart w:id="584" w:name="_Toc256000058"/>
      <w:bookmarkStart w:id="585" w:name="_Toc3692"/>
      <w:bookmarkStart w:id="586" w:name="_Toc31517"/>
      <w:bookmarkStart w:id="587" w:name="_Toc256001304"/>
      <w:bookmarkStart w:id="588" w:name="_Toc256001074"/>
      <w:bookmarkStart w:id="589" w:name="_Toc31209"/>
      <w:r>
        <w:rPr>
          <w:rStyle w:val="8"/>
          <w:rFonts w:ascii="宋体" w:hAnsi="宋体"/>
          <w:color w:val="auto"/>
          <w:kern w:val="2"/>
          <w:sz w:val="24"/>
          <w:szCs w:val="24"/>
          <w:highlight w:val="none"/>
        </w:rPr>
        <w:t>7.9 提前竣工的奖励</w:t>
      </w:r>
      <w:bookmarkEnd w:id="578"/>
      <w:bookmarkEnd w:id="579"/>
      <w:bookmarkEnd w:id="580"/>
      <w:bookmarkEnd w:id="581"/>
      <w:bookmarkEnd w:id="582"/>
      <w:bookmarkEnd w:id="583"/>
      <w:bookmarkEnd w:id="584"/>
      <w:bookmarkEnd w:id="585"/>
      <w:bookmarkEnd w:id="586"/>
      <w:bookmarkEnd w:id="587"/>
      <w:bookmarkEnd w:id="588"/>
      <w:bookmarkEnd w:id="589"/>
    </w:p>
    <w:p w14:paraId="51EC3525">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7.9.2提前竣工的奖励：</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16F0422E">
      <w:pPr>
        <w:pStyle w:val="15"/>
        <w:spacing w:before="120" w:after="120" w:line="360" w:lineRule="auto"/>
        <w:outlineLvl w:val="9"/>
        <w:rPr>
          <w:rStyle w:val="8"/>
          <w:rFonts w:ascii="宋体" w:hAnsi="宋体" w:eastAsia="宋体"/>
          <w:b w:val="0"/>
          <w:color w:val="auto"/>
          <w:sz w:val="24"/>
          <w:szCs w:val="24"/>
          <w:highlight w:val="none"/>
        </w:rPr>
      </w:pPr>
      <w:bookmarkStart w:id="590" w:name="_Toc29641"/>
      <w:bookmarkStart w:id="591" w:name="_Toc69461162"/>
      <w:bookmarkStart w:id="592" w:name="_Toc24204"/>
      <w:bookmarkStart w:id="593" w:name="_Toc256001075"/>
      <w:bookmarkStart w:id="594" w:name="_Toc256000571"/>
      <w:bookmarkStart w:id="595" w:name="_Toc69461817"/>
      <w:bookmarkStart w:id="596" w:name="_Toc351203640"/>
      <w:bookmarkStart w:id="597" w:name="_Toc256001305"/>
      <w:bookmarkStart w:id="598" w:name="_Toc256000838"/>
      <w:bookmarkStart w:id="599" w:name="_Toc256000342"/>
      <w:r>
        <w:rPr>
          <w:rStyle w:val="8"/>
          <w:rFonts w:ascii="宋体" w:hAnsi="宋体" w:eastAsia="宋体"/>
          <w:b w:val="0"/>
          <w:color w:val="auto"/>
          <w:sz w:val="24"/>
          <w:szCs w:val="24"/>
          <w:highlight w:val="none"/>
        </w:rPr>
        <w:t>8. 材料与设备</w:t>
      </w:r>
      <w:bookmarkEnd w:id="590"/>
      <w:bookmarkEnd w:id="591"/>
      <w:bookmarkEnd w:id="592"/>
      <w:bookmarkEnd w:id="593"/>
      <w:bookmarkEnd w:id="594"/>
      <w:bookmarkEnd w:id="595"/>
      <w:bookmarkEnd w:id="596"/>
      <w:bookmarkEnd w:id="597"/>
      <w:bookmarkEnd w:id="598"/>
      <w:bookmarkEnd w:id="599"/>
    </w:p>
    <w:bookmarkEnd w:id="471"/>
    <w:bookmarkEnd w:id="472"/>
    <w:bookmarkEnd w:id="473"/>
    <w:bookmarkEnd w:id="474"/>
    <w:bookmarkEnd w:id="475"/>
    <w:bookmarkEnd w:id="476"/>
    <w:bookmarkEnd w:id="477"/>
    <w:bookmarkEnd w:id="478"/>
    <w:bookmarkEnd w:id="479"/>
    <w:bookmarkEnd w:id="480"/>
    <w:p w14:paraId="09F66EC6">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8</w:t>
      </w:r>
      <w:bookmarkStart w:id="600" w:name="_Toc296890995"/>
      <w:bookmarkStart w:id="601" w:name="_Toc296891207"/>
      <w:bookmarkStart w:id="602" w:name="_Toc297216186"/>
      <w:bookmarkStart w:id="603" w:name="_Toc296347166"/>
      <w:bookmarkStart w:id="604" w:name="_Toc297123527"/>
      <w:bookmarkStart w:id="605" w:name="_Toc292559372"/>
      <w:bookmarkStart w:id="606" w:name="_Toc312678019"/>
      <w:bookmarkStart w:id="607" w:name="_Toc312677493"/>
      <w:bookmarkStart w:id="608" w:name="_Toc300934979"/>
      <w:bookmarkStart w:id="609" w:name="_Toc296346668"/>
      <w:bookmarkStart w:id="610" w:name="_Toc297048353"/>
      <w:bookmarkStart w:id="611" w:name="_Toc280868654"/>
      <w:bookmarkStart w:id="612" w:name="_Toc296944506"/>
      <w:bookmarkStart w:id="613" w:name="_Toc297120467"/>
      <w:bookmarkStart w:id="614" w:name="_Toc296503167"/>
      <w:bookmarkStart w:id="615" w:name="_Toc304295556"/>
      <w:bookmarkStart w:id="616" w:name="_Toc303539136"/>
      <w:bookmarkStart w:id="617" w:name="_Toc292559877"/>
      <w:bookmarkStart w:id="618" w:name="_Toc280868655"/>
      <w:bookmarkStart w:id="619" w:name="_Toc267251424"/>
      <w:bookmarkStart w:id="620" w:name="_Toc280868656"/>
      <w:r>
        <w:rPr>
          <w:rStyle w:val="8"/>
          <w:rFonts w:ascii="宋体" w:hAnsi="宋体"/>
          <w:color w:val="auto"/>
          <w:kern w:val="2"/>
          <w:sz w:val="24"/>
          <w:szCs w:val="24"/>
          <w:highlight w:val="none"/>
        </w:rPr>
        <w:t>.4材料与工程设备的保管与使用</w:t>
      </w:r>
    </w:p>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14:paraId="7F9251EA">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8</w:t>
      </w:r>
      <w:bookmarkStart w:id="621" w:name="_Toc292559373"/>
      <w:bookmarkStart w:id="622" w:name="_Toc292559878"/>
      <w:bookmarkStart w:id="623" w:name="_Toc296346669"/>
      <w:bookmarkStart w:id="624" w:name="_Toc296891208"/>
      <w:bookmarkStart w:id="625" w:name="_Toc296503168"/>
      <w:bookmarkStart w:id="626" w:name="_Toc304295557"/>
      <w:bookmarkStart w:id="627" w:name="_Toc296347167"/>
      <w:bookmarkStart w:id="628" w:name="_Toc297216187"/>
      <w:bookmarkStart w:id="629" w:name="_Toc300934980"/>
      <w:bookmarkStart w:id="630" w:name="_Toc296890996"/>
      <w:bookmarkStart w:id="631" w:name="_Toc297048354"/>
      <w:bookmarkStart w:id="632" w:name="_Toc312677494"/>
      <w:bookmarkStart w:id="633" w:name="_Toc297120468"/>
      <w:bookmarkStart w:id="634" w:name="_Toc296944507"/>
      <w:bookmarkStart w:id="635" w:name="_Toc303539137"/>
      <w:bookmarkStart w:id="636" w:name="_Toc318581173"/>
      <w:bookmarkStart w:id="637" w:name="_Toc312678020"/>
      <w:bookmarkStart w:id="638" w:name="_Toc297123528"/>
      <w:r>
        <w:rPr>
          <w:rStyle w:val="8"/>
          <w:rFonts w:ascii="宋体" w:hAnsi="宋体"/>
          <w:color w:val="auto"/>
          <w:kern w:val="2"/>
          <w:sz w:val="24"/>
          <w:szCs w:val="24"/>
          <w:highlight w:val="none"/>
        </w:rPr>
        <w:t>.4.1发包人供应的材料设备的保管费用的承担：</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bookmarkEnd w:id="621"/>
    <w:bookmarkEnd w:id="622"/>
    <w:p w14:paraId="1C6FEE4C">
      <w:pPr>
        <w:pStyle w:val="13"/>
        <w:spacing w:after="120" w:line="360" w:lineRule="auto"/>
        <w:ind w:firstLine="480" w:firstLineChars="200"/>
        <w:outlineLvl w:val="9"/>
        <w:rPr>
          <w:rStyle w:val="8"/>
          <w:rFonts w:ascii="宋体" w:hAnsi="宋体"/>
          <w:color w:val="auto"/>
          <w:kern w:val="2"/>
          <w:sz w:val="24"/>
          <w:szCs w:val="24"/>
          <w:highlight w:val="none"/>
        </w:rPr>
      </w:pPr>
      <w:bookmarkStart w:id="639" w:name="_Toc256000343"/>
      <w:bookmarkStart w:id="640" w:name="_Toc256000839"/>
      <w:bookmarkStart w:id="641" w:name="_Toc20296"/>
      <w:bookmarkStart w:id="642" w:name="_Toc69461163"/>
      <w:bookmarkStart w:id="643" w:name="_Toc256001076"/>
      <w:bookmarkStart w:id="644" w:name="_Toc3891"/>
      <w:bookmarkStart w:id="645" w:name="_Toc69461818"/>
      <w:bookmarkStart w:id="646" w:name="_Toc256000092"/>
      <w:bookmarkStart w:id="647" w:name="_Toc19160"/>
      <w:bookmarkStart w:id="648" w:name="_Toc256000059"/>
      <w:bookmarkStart w:id="649" w:name="_Toc6373"/>
      <w:bookmarkStart w:id="650" w:name="_Toc256001306"/>
      <w:bookmarkStart w:id="651" w:name="_Toc256000572"/>
      <w:r>
        <w:rPr>
          <w:rStyle w:val="8"/>
          <w:rFonts w:ascii="宋体" w:hAnsi="宋体"/>
          <w:color w:val="auto"/>
          <w:kern w:val="2"/>
          <w:sz w:val="24"/>
          <w:szCs w:val="24"/>
          <w:highlight w:val="none"/>
        </w:rPr>
        <w:t>8.6 样品</w:t>
      </w:r>
      <w:bookmarkEnd w:id="639"/>
      <w:bookmarkEnd w:id="640"/>
      <w:bookmarkEnd w:id="641"/>
      <w:bookmarkEnd w:id="642"/>
      <w:bookmarkEnd w:id="643"/>
      <w:bookmarkEnd w:id="644"/>
      <w:bookmarkEnd w:id="645"/>
      <w:bookmarkEnd w:id="646"/>
      <w:bookmarkEnd w:id="647"/>
      <w:bookmarkEnd w:id="648"/>
      <w:bookmarkEnd w:id="649"/>
      <w:bookmarkEnd w:id="650"/>
      <w:bookmarkEnd w:id="651"/>
    </w:p>
    <w:p w14:paraId="426DCE11">
      <w:pPr>
        <w:pStyle w:val="13"/>
        <w:autoSpaceDE w:val="0"/>
        <w:autoSpaceDN w:val="0"/>
        <w:adjustRightInd w:val="0"/>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8.6.1</w:t>
      </w:r>
      <w:r>
        <w:rPr>
          <w:rStyle w:val="8"/>
          <w:rFonts w:ascii="宋体" w:hAnsi="宋体"/>
          <w:color w:val="auto"/>
          <w:sz w:val="24"/>
          <w:szCs w:val="24"/>
          <w:highlight w:val="none"/>
        </w:rPr>
        <w:tab/>
      </w:r>
      <w:r>
        <w:rPr>
          <w:rStyle w:val="8"/>
          <w:rFonts w:ascii="宋体" w:hAnsi="宋体"/>
          <w:color w:val="auto"/>
          <w:sz w:val="24"/>
          <w:szCs w:val="24"/>
          <w:highlight w:val="none"/>
        </w:rPr>
        <w:t>样品的报送</w:t>
      </w:r>
      <w:r>
        <w:rPr>
          <w:rStyle w:val="8"/>
          <w:rFonts w:hint="eastAsia" w:ascii="宋体" w:hAnsi="宋体"/>
          <w:color w:val="auto"/>
          <w:sz w:val="24"/>
          <w:szCs w:val="24"/>
          <w:highlight w:val="none"/>
        </w:rPr>
        <w:t>与封存</w:t>
      </w:r>
    </w:p>
    <w:p w14:paraId="1A550FB6">
      <w:pPr>
        <w:pStyle w:val="13"/>
        <w:autoSpaceDE w:val="0"/>
        <w:autoSpaceDN w:val="0"/>
        <w:adjustRightInd w:val="0"/>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需要承包人报送样品的材料或工程设备，样品的种类、名称、规格、数量要求：</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14:paraId="12AA509B">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按发包人要求</w:t>
      </w:r>
      <w:r>
        <w:rPr>
          <w:rStyle w:val="8"/>
          <w:rFonts w:ascii="宋体" w:hAnsi="宋体"/>
          <w:color w:val="auto"/>
          <w:kern w:val="2"/>
          <w:sz w:val="24"/>
          <w:szCs w:val="24"/>
          <w:highlight w:val="none"/>
          <w:u w:val="single"/>
        </w:rPr>
        <w:t>。</w:t>
      </w:r>
    </w:p>
    <w:p w14:paraId="6AAECCEF">
      <w:pPr>
        <w:pStyle w:val="13"/>
        <w:spacing w:after="120" w:line="360" w:lineRule="auto"/>
        <w:ind w:firstLine="480" w:firstLineChars="200"/>
        <w:outlineLvl w:val="9"/>
        <w:rPr>
          <w:rStyle w:val="8"/>
          <w:rFonts w:ascii="宋体" w:hAnsi="宋体"/>
          <w:color w:val="auto"/>
          <w:kern w:val="2"/>
          <w:sz w:val="24"/>
          <w:szCs w:val="24"/>
          <w:highlight w:val="none"/>
        </w:rPr>
      </w:pPr>
      <w:bookmarkStart w:id="652" w:name="_Toc21091"/>
      <w:bookmarkStart w:id="653" w:name="_Toc24887"/>
      <w:bookmarkStart w:id="654" w:name="_Toc256000060"/>
      <w:bookmarkStart w:id="655" w:name="_Toc69461164"/>
      <w:bookmarkStart w:id="656" w:name="_Toc256000573"/>
      <w:bookmarkStart w:id="657" w:name="_Toc256000840"/>
      <w:bookmarkStart w:id="658" w:name="_Toc24239"/>
      <w:bookmarkStart w:id="659" w:name="_Toc256000093"/>
      <w:bookmarkStart w:id="660" w:name="_Toc22173"/>
      <w:bookmarkStart w:id="661" w:name="_Toc256000344"/>
      <w:bookmarkStart w:id="662" w:name="_Toc69461819"/>
      <w:bookmarkStart w:id="663" w:name="_Toc256001307"/>
      <w:bookmarkStart w:id="664" w:name="_Toc256001077"/>
      <w:r>
        <w:rPr>
          <w:rStyle w:val="8"/>
          <w:rFonts w:ascii="宋体" w:hAnsi="宋体"/>
          <w:color w:val="auto"/>
          <w:kern w:val="2"/>
          <w:sz w:val="24"/>
          <w:szCs w:val="24"/>
          <w:highlight w:val="none"/>
        </w:rPr>
        <w:t>8.8 施工设备和临时设施</w:t>
      </w:r>
      <w:bookmarkEnd w:id="652"/>
      <w:bookmarkEnd w:id="653"/>
      <w:bookmarkEnd w:id="654"/>
      <w:bookmarkEnd w:id="655"/>
      <w:bookmarkEnd w:id="656"/>
      <w:bookmarkEnd w:id="657"/>
      <w:bookmarkEnd w:id="658"/>
      <w:bookmarkEnd w:id="659"/>
      <w:bookmarkEnd w:id="660"/>
      <w:bookmarkEnd w:id="661"/>
      <w:bookmarkEnd w:id="662"/>
      <w:bookmarkEnd w:id="663"/>
      <w:bookmarkEnd w:id="664"/>
    </w:p>
    <w:p w14:paraId="6A116B33">
      <w:pPr>
        <w:pStyle w:val="13"/>
        <w:autoSpaceDE w:val="0"/>
        <w:autoSpaceDN w:val="0"/>
        <w:adjustRightInd w:val="0"/>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8.8.1 承包人提供的施工设备和临时设施</w:t>
      </w:r>
    </w:p>
    <w:p w14:paraId="335D760B">
      <w:pPr>
        <w:pStyle w:val="14"/>
        <w:autoSpaceDE w:val="0"/>
        <w:autoSpaceDN w:val="0"/>
        <w:adjustRightInd w:val="0"/>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关于修建临时设施费用承担的约定：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由承包人自行承担，同时需服从发包人管理。</w:t>
      </w:r>
    </w:p>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14:paraId="27486B1E">
      <w:pPr>
        <w:pStyle w:val="15"/>
        <w:spacing w:before="120" w:after="120" w:line="360" w:lineRule="auto"/>
        <w:outlineLvl w:val="9"/>
        <w:rPr>
          <w:rStyle w:val="8"/>
          <w:rFonts w:ascii="宋体" w:hAnsi="宋体" w:eastAsia="宋体"/>
          <w:b w:val="0"/>
          <w:color w:val="auto"/>
          <w:sz w:val="24"/>
          <w:szCs w:val="24"/>
          <w:highlight w:val="none"/>
        </w:rPr>
      </w:pPr>
      <w:bookmarkStart w:id="665" w:name="_Toc256001308"/>
      <w:bookmarkStart w:id="666" w:name="_Toc256001078"/>
      <w:bookmarkStart w:id="667" w:name="_Toc256000574"/>
      <w:bookmarkStart w:id="668" w:name="_Toc351203641"/>
      <w:bookmarkStart w:id="669" w:name="_Toc256000841"/>
      <w:bookmarkStart w:id="670" w:name="_Toc15577"/>
      <w:bookmarkStart w:id="671" w:name="_Toc69461820"/>
      <w:bookmarkStart w:id="672" w:name="_Toc69461165"/>
      <w:bookmarkStart w:id="673" w:name="_Toc26062"/>
      <w:bookmarkStart w:id="674" w:name="_Toc256000345"/>
      <w:r>
        <w:rPr>
          <w:rStyle w:val="8"/>
          <w:rFonts w:ascii="宋体" w:hAnsi="宋体" w:eastAsia="宋体"/>
          <w:b w:val="0"/>
          <w:color w:val="auto"/>
          <w:sz w:val="24"/>
          <w:szCs w:val="24"/>
          <w:highlight w:val="none"/>
        </w:rPr>
        <w:t>9</w:t>
      </w:r>
      <w:bookmarkEnd w:id="618"/>
      <w:bookmarkEnd w:id="619"/>
      <w:bookmarkEnd w:id="620"/>
      <w:bookmarkStart w:id="675" w:name="_Toc312677495"/>
      <w:bookmarkStart w:id="676" w:name="_Toc312678021"/>
      <w:bookmarkStart w:id="677" w:name="_Toc297216192"/>
      <w:bookmarkStart w:id="678" w:name="_Toc303539139"/>
      <w:bookmarkStart w:id="679" w:name="_Toc300934982"/>
      <w:bookmarkStart w:id="680" w:name="_Toc304295559"/>
      <w:bookmarkStart w:id="681" w:name="_Toc297123533"/>
      <w:bookmarkStart w:id="682" w:name="_Toc296944512"/>
      <w:bookmarkStart w:id="683" w:name="_Toc296891213"/>
      <w:bookmarkStart w:id="684" w:name="_Toc292559378"/>
      <w:bookmarkStart w:id="685" w:name="_Toc296503173"/>
      <w:bookmarkStart w:id="686" w:name="_Toc267251428"/>
      <w:bookmarkStart w:id="687" w:name="_Toc267251427"/>
      <w:bookmarkStart w:id="688" w:name="_Toc292559883"/>
      <w:bookmarkStart w:id="689" w:name="_Toc297048359"/>
      <w:bookmarkStart w:id="690" w:name="_Toc296346674"/>
      <w:bookmarkStart w:id="691" w:name="_Toc297120473"/>
      <w:bookmarkStart w:id="692" w:name="_Toc296347172"/>
      <w:bookmarkStart w:id="693" w:name="_Toc296891001"/>
      <w:r>
        <w:rPr>
          <w:rStyle w:val="8"/>
          <w:rFonts w:ascii="宋体" w:hAnsi="宋体" w:eastAsia="宋体"/>
          <w:b w:val="0"/>
          <w:color w:val="auto"/>
          <w:sz w:val="24"/>
          <w:szCs w:val="24"/>
          <w:highlight w:val="none"/>
        </w:rPr>
        <w:t>. 试验与检验</w:t>
      </w:r>
      <w:bookmarkEnd w:id="665"/>
      <w:bookmarkEnd w:id="666"/>
      <w:bookmarkEnd w:id="667"/>
      <w:bookmarkEnd w:id="668"/>
      <w:bookmarkEnd w:id="669"/>
      <w:bookmarkEnd w:id="670"/>
      <w:bookmarkEnd w:id="671"/>
      <w:bookmarkEnd w:id="672"/>
      <w:bookmarkEnd w:id="673"/>
      <w:bookmarkEnd w:id="674"/>
    </w:p>
    <w:bookmarkEnd w:id="675"/>
    <w:bookmarkEnd w:id="676"/>
    <w:bookmarkEnd w:id="677"/>
    <w:bookmarkEnd w:id="678"/>
    <w:bookmarkEnd w:id="679"/>
    <w:bookmarkEnd w:id="680"/>
    <w:bookmarkEnd w:id="681"/>
    <w:p w14:paraId="1C87F709">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9</w:t>
      </w:r>
      <w:bookmarkStart w:id="694" w:name="_Toc297123534"/>
      <w:bookmarkStart w:id="695" w:name="_Toc312678022"/>
      <w:bookmarkStart w:id="696" w:name="_Toc304295560"/>
      <w:bookmarkStart w:id="697" w:name="_Toc312677496"/>
      <w:bookmarkStart w:id="698" w:name="_Toc300934983"/>
      <w:bookmarkStart w:id="699" w:name="_Toc297216193"/>
      <w:bookmarkStart w:id="700" w:name="_Toc303539140"/>
      <w:r>
        <w:rPr>
          <w:rStyle w:val="8"/>
          <w:rFonts w:ascii="宋体" w:hAnsi="宋体"/>
          <w:color w:val="auto"/>
          <w:kern w:val="2"/>
          <w:sz w:val="24"/>
          <w:szCs w:val="24"/>
          <w:highlight w:val="none"/>
        </w:rPr>
        <w:t>.1试验设备与试验人员</w:t>
      </w:r>
    </w:p>
    <w:bookmarkEnd w:id="694"/>
    <w:bookmarkEnd w:id="695"/>
    <w:bookmarkEnd w:id="696"/>
    <w:bookmarkEnd w:id="697"/>
    <w:bookmarkEnd w:id="698"/>
    <w:bookmarkEnd w:id="699"/>
    <w:bookmarkEnd w:id="700"/>
    <w:p w14:paraId="43A918D9">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9</w:t>
      </w:r>
      <w:bookmarkStart w:id="701" w:name="_Toc303539141"/>
      <w:bookmarkStart w:id="702" w:name="_Toc297123535"/>
      <w:bookmarkStart w:id="703" w:name="_Toc304295561"/>
      <w:bookmarkStart w:id="704" w:name="_Toc300934984"/>
      <w:bookmarkStart w:id="705" w:name="_Toc297216194"/>
      <w:bookmarkStart w:id="706" w:name="_Toc312678023"/>
      <w:bookmarkStart w:id="707" w:name="_Toc312677497"/>
      <w:bookmarkStart w:id="708" w:name="_Toc318581174"/>
      <w:r>
        <w:rPr>
          <w:rStyle w:val="8"/>
          <w:rFonts w:ascii="宋体" w:hAnsi="宋体"/>
          <w:color w:val="auto"/>
          <w:kern w:val="2"/>
          <w:sz w:val="24"/>
          <w:szCs w:val="24"/>
          <w:highlight w:val="none"/>
        </w:rPr>
        <w:t>.1.2 试验设备</w:t>
      </w:r>
    </w:p>
    <w:p w14:paraId="4AD151B1">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施工现场需要配置的试验场所：</w:t>
      </w:r>
      <w:bookmarkEnd w:id="701"/>
      <w:bookmarkEnd w:id="702"/>
      <w:bookmarkEnd w:id="703"/>
      <w:bookmarkEnd w:id="704"/>
      <w:bookmarkEnd w:id="705"/>
      <w:bookmarkEnd w:id="706"/>
      <w:bookmarkEnd w:id="707"/>
      <w:bookmarkStart w:id="709" w:name="_Toc312677498"/>
      <w:bookmarkStart w:id="710" w:name="_Toc303539142"/>
      <w:bookmarkStart w:id="711" w:name="_Toc304295562"/>
      <w:bookmarkStart w:id="712" w:name="_Toc312678024"/>
      <w:bookmarkStart w:id="713" w:name="_Toc300934985"/>
      <w:bookmarkStart w:id="714" w:name="_Toc297123536"/>
      <w:bookmarkStart w:id="715" w:name="_Toc297216195"/>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按相关规定执行</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14:paraId="0B58EBF3">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施工现场需要配备的试验设备：</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按相关规定执行。</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14:paraId="794EBCC6">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施工现场需要具备的其他试验条件：</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按相关规定执行</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14:paraId="039C6415">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rPr>
        <w:t>9.3 材料、工程设备和工程的试验和检验的有关约定：</w:t>
      </w:r>
      <w:r>
        <w:rPr>
          <w:rStyle w:val="8"/>
          <w:rFonts w:hint="eastAsia" w:ascii="宋体" w:hAnsi="宋体"/>
          <w:color w:val="auto"/>
          <w:kern w:val="2"/>
          <w:sz w:val="24"/>
          <w:szCs w:val="24"/>
          <w:highlight w:val="none"/>
          <w:u w:val="single"/>
        </w:rPr>
        <w:t xml:space="preserve">试验和检验费用（检测费）用由承包人承担，如发包人或监理人对承包人的试验和检验结果有疑问的，或为查清承包人试验和检验成果的可靠性要求承包人重新试验和检验的，可按合同约定由发包人或监理人与承包人共同进行委托检测。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发包人有权随时抽检进场材料，费用由发包人承担，如质量不符合合同要求的，由此增加的费用和（或）工期延误由承包人承担。 </w:t>
      </w:r>
    </w:p>
    <w:p w14:paraId="087654C2">
      <w:pPr>
        <w:pStyle w:val="13"/>
        <w:spacing w:after="120" w:line="360" w:lineRule="auto"/>
        <w:ind w:firstLine="480" w:firstLineChars="200"/>
        <w:outlineLvl w:val="9"/>
        <w:rPr>
          <w:rStyle w:val="8"/>
          <w:rFonts w:ascii="宋体" w:hAnsi="宋体"/>
          <w:color w:val="auto"/>
          <w:kern w:val="2"/>
          <w:sz w:val="24"/>
          <w:szCs w:val="24"/>
          <w:highlight w:val="none"/>
        </w:rPr>
      </w:pPr>
      <w:bookmarkStart w:id="716" w:name="_Toc256000842"/>
      <w:bookmarkStart w:id="717" w:name="_Toc256001309"/>
      <w:bookmarkStart w:id="718" w:name="_Toc256000575"/>
      <w:bookmarkStart w:id="719" w:name="_Toc31959"/>
      <w:bookmarkStart w:id="720" w:name="_Toc256000094"/>
      <w:bookmarkStart w:id="721" w:name="_Toc29006"/>
      <w:bookmarkStart w:id="722" w:name="_Toc256001079"/>
      <w:bookmarkStart w:id="723" w:name="_Toc256000346"/>
      <w:bookmarkStart w:id="724" w:name="_Toc69461821"/>
      <w:bookmarkStart w:id="725" w:name="_Toc17776"/>
      <w:bookmarkStart w:id="726" w:name="_Toc10666"/>
      <w:bookmarkStart w:id="727" w:name="_Toc256000061"/>
      <w:bookmarkStart w:id="728" w:name="_Toc69461166"/>
      <w:r>
        <w:rPr>
          <w:rStyle w:val="8"/>
          <w:rFonts w:ascii="宋体" w:hAnsi="宋体"/>
          <w:color w:val="auto"/>
          <w:kern w:val="2"/>
          <w:sz w:val="24"/>
          <w:szCs w:val="24"/>
          <w:highlight w:val="none"/>
        </w:rPr>
        <w:t>9.4 现场工艺试验</w:t>
      </w:r>
      <w:bookmarkEnd w:id="716"/>
      <w:bookmarkEnd w:id="717"/>
      <w:bookmarkEnd w:id="718"/>
      <w:bookmarkEnd w:id="719"/>
      <w:bookmarkEnd w:id="720"/>
      <w:bookmarkEnd w:id="721"/>
      <w:bookmarkEnd w:id="722"/>
      <w:bookmarkEnd w:id="723"/>
      <w:bookmarkEnd w:id="724"/>
      <w:bookmarkEnd w:id="725"/>
      <w:bookmarkEnd w:id="726"/>
      <w:bookmarkEnd w:id="727"/>
      <w:bookmarkEnd w:id="728"/>
      <w:r>
        <w:rPr>
          <w:rStyle w:val="8"/>
          <w:rFonts w:hint="eastAsia" w:ascii="宋体" w:hAnsi="宋体"/>
          <w:color w:val="auto"/>
          <w:kern w:val="2"/>
          <w:sz w:val="24"/>
          <w:szCs w:val="24"/>
          <w:highlight w:val="none"/>
        </w:rPr>
        <w:t xml:space="preserve"> </w:t>
      </w:r>
    </w:p>
    <w:p w14:paraId="16644B2F">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现场工艺试验的有关约定：</w:t>
      </w:r>
      <w:r>
        <w:rPr>
          <w:rStyle w:val="8"/>
          <w:rFonts w:hint="eastAsia" w:ascii="宋体" w:hAnsi="宋体"/>
          <w:color w:val="auto"/>
          <w:kern w:val="2"/>
          <w:sz w:val="24"/>
          <w:szCs w:val="24"/>
          <w:highlight w:val="none"/>
          <w:u w:val="single"/>
        </w:rPr>
        <w:t>执行通用条款</w:t>
      </w:r>
    </w:p>
    <w:bookmarkEnd w:id="708"/>
    <w:bookmarkEnd w:id="709"/>
    <w:bookmarkEnd w:id="710"/>
    <w:bookmarkEnd w:id="711"/>
    <w:bookmarkEnd w:id="712"/>
    <w:bookmarkEnd w:id="713"/>
    <w:bookmarkEnd w:id="714"/>
    <w:bookmarkEnd w:id="715"/>
    <w:p w14:paraId="28F7EA79">
      <w:pPr>
        <w:pStyle w:val="15"/>
        <w:spacing w:before="120" w:after="120" w:line="360" w:lineRule="auto"/>
        <w:outlineLvl w:val="9"/>
        <w:rPr>
          <w:rStyle w:val="8"/>
          <w:rFonts w:ascii="宋体" w:hAnsi="宋体" w:eastAsia="宋体"/>
          <w:b w:val="0"/>
          <w:color w:val="auto"/>
          <w:sz w:val="24"/>
          <w:szCs w:val="24"/>
          <w:highlight w:val="none"/>
        </w:rPr>
      </w:pPr>
      <w:bookmarkStart w:id="729" w:name="_Toc256000843"/>
      <w:bookmarkStart w:id="730" w:name="_Toc69461822"/>
      <w:bookmarkStart w:id="731" w:name="_Toc256000347"/>
      <w:bookmarkStart w:id="732" w:name="_Toc256000576"/>
      <w:bookmarkStart w:id="733" w:name="_Toc5521"/>
      <w:bookmarkStart w:id="734" w:name="_Toc69461167"/>
      <w:bookmarkStart w:id="735" w:name="_Toc351203642"/>
      <w:bookmarkStart w:id="736" w:name="_Toc256001080"/>
      <w:bookmarkStart w:id="737" w:name="_Toc2041"/>
      <w:bookmarkStart w:id="738" w:name="_Toc256001310"/>
      <w:r>
        <w:rPr>
          <w:rStyle w:val="8"/>
          <w:rFonts w:ascii="宋体" w:hAnsi="宋体" w:eastAsia="宋体"/>
          <w:b w:val="0"/>
          <w:color w:val="auto"/>
          <w:sz w:val="24"/>
          <w:szCs w:val="24"/>
          <w:highlight w:val="none"/>
        </w:rPr>
        <w:t>1</w:t>
      </w:r>
      <w:bookmarkEnd w:id="682"/>
      <w:bookmarkEnd w:id="683"/>
      <w:bookmarkEnd w:id="684"/>
      <w:bookmarkEnd w:id="685"/>
      <w:bookmarkEnd w:id="686"/>
      <w:bookmarkEnd w:id="687"/>
      <w:bookmarkEnd w:id="688"/>
      <w:bookmarkEnd w:id="689"/>
      <w:bookmarkEnd w:id="690"/>
      <w:bookmarkEnd w:id="691"/>
      <w:bookmarkEnd w:id="692"/>
      <w:bookmarkEnd w:id="693"/>
      <w:bookmarkStart w:id="739" w:name="_Toc297216199"/>
      <w:bookmarkStart w:id="740" w:name="_Toc296944532"/>
      <w:bookmarkStart w:id="741" w:name="_Toc296891021"/>
      <w:bookmarkStart w:id="742" w:name="_Toc304295566"/>
      <w:bookmarkStart w:id="743" w:name="_Toc297120493"/>
      <w:bookmarkStart w:id="744" w:name="_Toc296503193"/>
      <w:bookmarkStart w:id="745" w:name="_Toc300934989"/>
      <w:bookmarkStart w:id="746" w:name="_Toc292559903"/>
      <w:bookmarkStart w:id="747" w:name="_Toc296346694"/>
      <w:bookmarkStart w:id="748" w:name="_Toc296347192"/>
      <w:bookmarkStart w:id="749" w:name="_Toc292559398"/>
      <w:bookmarkStart w:id="750" w:name="_Toc296891233"/>
      <w:bookmarkStart w:id="751" w:name="_Toc297048379"/>
      <w:bookmarkStart w:id="752" w:name="_Toc303539146"/>
      <w:bookmarkStart w:id="753" w:name="_Toc297123540"/>
      <w:bookmarkStart w:id="754" w:name="_Toc312677499"/>
      <w:bookmarkStart w:id="755" w:name="_Toc312678025"/>
      <w:bookmarkStart w:id="756" w:name="_Toc267251435"/>
      <w:bookmarkStart w:id="757" w:name="_Toc267251440"/>
      <w:bookmarkStart w:id="758" w:name="_Toc267251433"/>
      <w:bookmarkStart w:id="759" w:name="_Toc267251441"/>
      <w:bookmarkStart w:id="760" w:name="_Toc267251437"/>
      <w:bookmarkStart w:id="761" w:name="_Toc267251439"/>
      <w:bookmarkStart w:id="762" w:name="_Toc267251442"/>
      <w:r>
        <w:rPr>
          <w:rStyle w:val="8"/>
          <w:rFonts w:ascii="宋体" w:hAnsi="宋体" w:eastAsia="宋体"/>
          <w:b w:val="0"/>
          <w:color w:val="auto"/>
          <w:sz w:val="24"/>
          <w:szCs w:val="24"/>
          <w:highlight w:val="none"/>
        </w:rPr>
        <w:t>0. 变更</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bookmarkEnd w:id="754"/>
    <w:bookmarkEnd w:id="755"/>
    <w:p w14:paraId="0F9098A2">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w:t>
      </w:r>
      <w:bookmarkStart w:id="763" w:name="_Toc292559399"/>
      <w:bookmarkStart w:id="764" w:name="_Toc296891022"/>
      <w:bookmarkStart w:id="765" w:name="_Toc303539147"/>
      <w:bookmarkStart w:id="766" w:name="_Toc300934990"/>
      <w:bookmarkStart w:id="767" w:name="_Toc292559904"/>
      <w:bookmarkStart w:id="768" w:name="_Toc312677500"/>
      <w:bookmarkStart w:id="769" w:name="_Toc297048380"/>
      <w:bookmarkStart w:id="770" w:name="_Toc312678026"/>
      <w:bookmarkStart w:id="771" w:name="_Toc296503194"/>
      <w:bookmarkStart w:id="772" w:name="_Toc296346695"/>
      <w:bookmarkStart w:id="773" w:name="_Toc297120494"/>
      <w:bookmarkStart w:id="774" w:name="_Toc304295567"/>
      <w:bookmarkStart w:id="775" w:name="_Toc296891234"/>
      <w:bookmarkStart w:id="776" w:name="_Toc297216200"/>
      <w:bookmarkStart w:id="777" w:name="_Toc296347193"/>
      <w:bookmarkStart w:id="778" w:name="_Toc296944533"/>
      <w:bookmarkStart w:id="779" w:name="_Toc297123541"/>
      <w:r>
        <w:rPr>
          <w:rStyle w:val="8"/>
          <w:rFonts w:ascii="宋体" w:hAnsi="宋体"/>
          <w:color w:val="auto"/>
          <w:kern w:val="2"/>
          <w:sz w:val="24"/>
          <w:szCs w:val="24"/>
          <w:highlight w:val="none"/>
        </w:rPr>
        <w:t>0.1变更的范围</w:t>
      </w:r>
    </w:p>
    <w:p w14:paraId="29BDF7C3">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关于变更的范围的约定：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执行通用条款</w:t>
      </w:r>
    </w:p>
    <w:p w14:paraId="084F8539">
      <w:pPr>
        <w:pStyle w:val="13"/>
        <w:spacing w:after="120" w:line="360" w:lineRule="auto"/>
        <w:ind w:firstLine="480" w:firstLineChars="200"/>
        <w:outlineLvl w:val="9"/>
        <w:rPr>
          <w:rStyle w:val="8"/>
          <w:rFonts w:ascii="宋体" w:hAnsi="宋体"/>
          <w:color w:val="auto"/>
          <w:kern w:val="2"/>
          <w:sz w:val="24"/>
          <w:szCs w:val="24"/>
          <w:highlight w:val="none"/>
        </w:rPr>
      </w:pPr>
      <w:bookmarkStart w:id="780" w:name="_Toc256000348"/>
      <w:bookmarkStart w:id="781" w:name="_Toc256000577"/>
      <w:bookmarkStart w:id="782" w:name="_Toc256001311"/>
      <w:bookmarkStart w:id="783" w:name="_Toc3763"/>
      <w:bookmarkStart w:id="784" w:name="_Toc256000062"/>
      <w:bookmarkStart w:id="785" w:name="_Toc31952"/>
      <w:bookmarkStart w:id="786" w:name="_Toc69461823"/>
      <w:bookmarkStart w:id="787" w:name="_Toc256000844"/>
      <w:bookmarkStart w:id="788" w:name="_Toc69461168"/>
      <w:bookmarkStart w:id="789" w:name="_Toc256000095"/>
      <w:bookmarkStart w:id="790" w:name="_Toc6690"/>
      <w:bookmarkStart w:id="791" w:name="_Toc256001081"/>
      <w:bookmarkStart w:id="792" w:name="_Toc10204"/>
      <w:r>
        <w:rPr>
          <w:rStyle w:val="8"/>
          <w:rFonts w:ascii="宋体" w:hAnsi="宋体"/>
          <w:color w:val="auto"/>
          <w:kern w:val="2"/>
          <w:sz w:val="24"/>
          <w:szCs w:val="24"/>
          <w:highlight w:val="none"/>
        </w:rPr>
        <w:t>10.4 变更估价</w:t>
      </w:r>
      <w:bookmarkEnd w:id="780"/>
      <w:bookmarkEnd w:id="781"/>
      <w:bookmarkEnd w:id="782"/>
      <w:bookmarkEnd w:id="783"/>
      <w:bookmarkEnd w:id="784"/>
      <w:bookmarkEnd w:id="785"/>
      <w:bookmarkEnd w:id="786"/>
      <w:bookmarkEnd w:id="787"/>
      <w:bookmarkEnd w:id="788"/>
      <w:bookmarkEnd w:id="789"/>
      <w:bookmarkEnd w:id="790"/>
      <w:bookmarkEnd w:id="791"/>
      <w:bookmarkEnd w:id="792"/>
    </w:p>
    <w:p w14:paraId="40828630">
      <w:pPr>
        <w:pStyle w:val="13"/>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10.4.1 变更估价原则</w:t>
      </w:r>
    </w:p>
    <w:p w14:paraId="582389C1">
      <w:pPr>
        <w:pStyle w:val="14"/>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 xml:space="preserve">关于变更估价的约定: </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Start w:id="793" w:name="_Toc296346704"/>
      <w:bookmarkStart w:id="794" w:name="_Toc296891031"/>
      <w:bookmarkStart w:id="795" w:name="_Toc296503203"/>
      <w:bookmarkStart w:id="796" w:name="_Toc292559913"/>
      <w:bookmarkStart w:id="797" w:name="_Toc296347202"/>
      <w:bookmarkStart w:id="798" w:name="_Toc296891243"/>
      <w:bookmarkStart w:id="799" w:name="_Toc312678029"/>
      <w:bookmarkStart w:id="800" w:name="_Toc312677503"/>
      <w:bookmarkStart w:id="801" w:name="_Toc292559408"/>
      <w:bookmarkStart w:id="802" w:name="_Toc297216204"/>
      <w:bookmarkStart w:id="803" w:name="_Toc297048389"/>
      <w:bookmarkStart w:id="804" w:name="_Toc303539151"/>
      <w:bookmarkStart w:id="805" w:name="_Toc300934994"/>
      <w:bookmarkStart w:id="806" w:name="_Toc297123545"/>
      <w:bookmarkStart w:id="807" w:name="_Toc297120503"/>
      <w:bookmarkStart w:id="808" w:name="_Toc296944542"/>
      <w:bookmarkStart w:id="809" w:name="_Toc304295570"/>
      <w:r>
        <w:rPr>
          <w:rStyle w:val="8"/>
          <w:rFonts w:hint="eastAsia" w:ascii="宋体" w:hAnsi="宋体"/>
          <w:color w:val="auto"/>
          <w:kern w:val="2"/>
          <w:sz w:val="24"/>
          <w:szCs w:val="24"/>
          <w:highlight w:val="none"/>
        </w:rPr>
        <w:t>⑴合同中已有适用的综合单价，按合同中已有的综合单价确定；</w:t>
      </w:r>
    </w:p>
    <w:p w14:paraId="72EA2B98">
      <w:pPr>
        <w:pStyle w:val="14"/>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⑵合同中有类似的综合单价，参照类似的综合单价确定；</w:t>
      </w:r>
    </w:p>
    <w:p w14:paraId="7970374A">
      <w:pPr>
        <w:pStyle w:val="14"/>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⑶合同中没有适用或类似的综合单价，由承包人提出新的综合单价，经发包人、审计确认后执行。</w:t>
      </w:r>
    </w:p>
    <w:p w14:paraId="02FEC445">
      <w:pPr>
        <w:pStyle w:val="14"/>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由承包人提出的新的综合单价，发包人按如下原则进行确认：</w:t>
      </w:r>
    </w:p>
    <w:p w14:paraId="6F4D9F7A">
      <w:pPr>
        <w:pStyle w:val="14"/>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①人工费、材料费、机械使用费按对应分部工程投标综合单价中相应单价执行；</w:t>
      </w:r>
    </w:p>
    <w:p w14:paraId="70A6DA04">
      <w:pPr>
        <w:pStyle w:val="14"/>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②管理费和利润，按对应分部工程投标报价中费率系数执行；</w:t>
      </w:r>
    </w:p>
    <w:p w14:paraId="393BA040">
      <w:pPr>
        <w:pStyle w:val="14"/>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 xml:space="preserve">③如同一分部工程投标人工单价、同一材料的材料单价、同一机械的机械台班单价及管理费率、利润率不同时，取最低者； </w:t>
      </w:r>
    </w:p>
    <w:p w14:paraId="2B4AAB18">
      <w:pPr>
        <w:pStyle w:val="14"/>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④投标报价中没有的材料，按材料进场当期的《辽宁工程造价信息》执行；</w:t>
      </w:r>
    </w:p>
    <w:p w14:paraId="4B113FD7">
      <w:pPr>
        <w:pStyle w:val="14"/>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⑤投标报价及《辽宁工程造价信息》均没有的材料，材料价格由承包人提出，经监理人核准报发包人、审计确认后作为结算依据。</w:t>
      </w:r>
    </w:p>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14:paraId="0DAA70F6">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监理人审查承包人合理化建议的期限：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176668AB">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发包人审批承包人合理化建议的期限：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执行通用条款。</w:t>
      </w:r>
    </w:p>
    <w:p w14:paraId="2185AB57">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承</w:t>
      </w:r>
      <w:bookmarkStart w:id="810" w:name="_Toc312677504"/>
      <w:bookmarkStart w:id="811" w:name="_Toc297123546"/>
      <w:bookmarkStart w:id="812" w:name="_Toc300934995"/>
      <w:bookmarkStart w:id="813" w:name="_Toc312678030"/>
      <w:bookmarkStart w:id="814" w:name="_Toc304295571"/>
      <w:bookmarkStart w:id="815" w:name="_Toc297120504"/>
      <w:bookmarkStart w:id="816" w:name="_Toc296944543"/>
      <w:bookmarkStart w:id="817" w:name="_Toc296503204"/>
      <w:bookmarkStart w:id="818" w:name="_Toc297048390"/>
      <w:bookmarkStart w:id="819" w:name="_Toc296891032"/>
      <w:bookmarkStart w:id="820" w:name="_Toc292559914"/>
      <w:bookmarkStart w:id="821" w:name="_Toc297216205"/>
      <w:bookmarkStart w:id="822" w:name="_Toc318581175"/>
      <w:bookmarkStart w:id="823" w:name="_Toc303539152"/>
      <w:bookmarkStart w:id="824" w:name="_Toc296347203"/>
      <w:bookmarkStart w:id="825" w:name="_Toc296891244"/>
      <w:bookmarkStart w:id="826" w:name="_Toc292559409"/>
      <w:bookmarkStart w:id="827" w:name="_Toc296346705"/>
      <w:r>
        <w:rPr>
          <w:rStyle w:val="8"/>
          <w:rFonts w:ascii="宋体" w:hAnsi="宋体"/>
          <w:color w:val="auto"/>
          <w:kern w:val="2"/>
          <w:sz w:val="24"/>
          <w:szCs w:val="24"/>
          <w:highlight w:val="none"/>
        </w:rPr>
        <w:t>包人提出的合理化建议降低了合同价格或者提高了工程经济效益的奖励的方法和金额为：</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 xml:space="preserve"> </w:t>
      </w:r>
    </w:p>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14:paraId="065287C2">
      <w:pPr>
        <w:pStyle w:val="13"/>
        <w:spacing w:after="120" w:line="360" w:lineRule="auto"/>
        <w:ind w:firstLine="480" w:firstLineChars="200"/>
        <w:outlineLvl w:val="9"/>
        <w:rPr>
          <w:rStyle w:val="8"/>
          <w:rFonts w:ascii="宋体" w:hAnsi="宋体"/>
          <w:color w:val="auto"/>
          <w:kern w:val="2"/>
          <w:sz w:val="24"/>
          <w:szCs w:val="24"/>
          <w:highlight w:val="none"/>
        </w:rPr>
      </w:pPr>
      <w:bookmarkStart w:id="828" w:name="_Toc69461169"/>
      <w:bookmarkStart w:id="829" w:name="_Toc256000096"/>
      <w:bookmarkStart w:id="830" w:name="_Toc69461824"/>
      <w:bookmarkStart w:id="831" w:name="_Toc256000845"/>
      <w:bookmarkStart w:id="832" w:name="_Toc256000578"/>
      <w:bookmarkStart w:id="833" w:name="_Toc10691"/>
      <w:bookmarkStart w:id="834" w:name="_Toc10086"/>
      <w:bookmarkStart w:id="835" w:name="_Toc256000063"/>
      <w:bookmarkStart w:id="836" w:name="_Toc256000349"/>
      <w:bookmarkStart w:id="837" w:name="_Toc256001312"/>
      <w:bookmarkStart w:id="838" w:name="_Toc256001082"/>
      <w:bookmarkStart w:id="839" w:name="_Toc9666"/>
      <w:bookmarkStart w:id="840" w:name="_Toc4603"/>
      <w:r>
        <w:rPr>
          <w:rStyle w:val="8"/>
          <w:rFonts w:ascii="宋体" w:hAnsi="宋体"/>
          <w:color w:val="auto"/>
          <w:kern w:val="2"/>
          <w:sz w:val="24"/>
          <w:szCs w:val="24"/>
          <w:highlight w:val="none"/>
        </w:rPr>
        <w:t>1</w:t>
      </w:r>
      <w:bookmarkStart w:id="841" w:name="_Toc292559909"/>
      <w:bookmarkStart w:id="842" w:name="_Toc296891239"/>
      <w:bookmarkStart w:id="843" w:name="_Toc296944538"/>
      <w:bookmarkStart w:id="844" w:name="_Toc304295574"/>
      <w:bookmarkStart w:id="845" w:name="_Toc296346700"/>
      <w:bookmarkStart w:id="846" w:name="_Toc296347198"/>
      <w:bookmarkStart w:id="847" w:name="_Toc300934997"/>
      <w:bookmarkStart w:id="848" w:name="_Toc303539154"/>
      <w:bookmarkStart w:id="849" w:name="_Toc297216207"/>
      <w:bookmarkStart w:id="850" w:name="_Toc296503199"/>
      <w:bookmarkStart w:id="851" w:name="_Toc297048385"/>
      <w:bookmarkStart w:id="852" w:name="_Toc297120499"/>
      <w:bookmarkStart w:id="853" w:name="_Toc292559404"/>
      <w:bookmarkStart w:id="854" w:name="_Toc297123548"/>
      <w:bookmarkStart w:id="855" w:name="_Toc296891027"/>
      <w:bookmarkStart w:id="856" w:name="_Toc312677507"/>
      <w:bookmarkStart w:id="857" w:name="_Toc312678033"/>
      <w:r>
        <w:rPr>
          <w:rStyle w:val="8"/>
          <w:rFonts w:ascii="宋体" w:hAnsi="宋体"/>
          <w:color w:val="auto"/>
          <w:kern w:val="2"/>
          <w:sz w:val="24"/>
          <w:szCs w:val="24"/>
          <w:highlight w:val="none"/>
        </w:rPr>
        <w:t>0.7 暂估价</w:t>
      </w:r>
      <w:bookmarkEnd w:id="828"/>
      <w:bookmarkEnd w:id="829"/>
      <w:bookmarkEnd w:id="830"/>
      <w:bookmarkEnd w:id="831"/>
      <w:bookmarkEnd w:id="832"/>
      <w:bookmarkEnd w:id="833"/>
      <w:bookmarkEnd w:id="834"/>
      <w:bookmarkEnd w:id="835"/>
      <w:bookmarkEnd w:id="836"/>
      <w:bookmarkEnd w:id="837"/>
      <w:bookmarkEnd w:id="838"/>
      <w:bookmarkEnd w:id="839"/>
      <w:bookmarkEnd w:id="840"/>
    </w:p>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14:paraId="630373CE">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sz w:val="24"/>
          <w:szCs w:val="24"/>
          <w:highlight w:val="none"/>
        </w:rPr>
        <w:t>暂</w:t>
      </w:r>
      <w:bookmarkStart w:id="858" w:name="_Toc312678034"/>
      <w:bookmarkStart w:id="859" w:name="_Toc312677508"/>
      <w:bookmarkStart w:id="860" w:name="_Toc318581176"/>
      <w:r>
        <w:rPr>
          <w:rStyle w:val="8"/>
          <w:rFonts w:ascii="宋体" w:hAnsi="宋体"/>
          <w:color w:val="auto"/>
          <w:sz w:val="24"/>
          <w:szCs w:val="24"/>
          <w:highlight w:val="none"/>
        </w:rPr>
        <w:t>估价材料和工程设备的明细详见附件</w:t>
      </w:r>
      <w:r>
        <w:rPr>
          <w:rStyle w:val="8"/>
          <w:rFonts w:hint="eastAsia" w:ascii="宋体" w:hAnsi="宋体"/>
          <w:color w:val="auto"/>
          <w:sz w:val="24"/>
          <w:szCs w:val="24"/>
          <w:highlight w:val="none"/>
        </w:rPr>
        <w:t>11：《</w:t>
      </w:r>
      <w:r>
        <w:rPr>
          <w:rStyle w:val="8"/>
          <w:rFonts w:ascii="宋体" w:hAnsi="宋体"/>
          <w:color w:val="auto"/>
          <w:kern w:val="2"/>
          <w:sz w:val="24"/>
          <w:szCs w:val="24"/>
          <w:highlight w:val="none"/>
        </w:rPr>
        <w:t>暂估价一览表</w:t>
      </w:r>
      <w:r>
        <w:rPr>
          <w:rStyle w:val="8"/>
          <w:rFonts w:hint="eastAsia" w:ascii="宋体" w:hAnsi="宋体"/>
          <w:color w:val="auto"/>
          <w:kern w:val="2"/>
          <w:sz w:val="24"/>
          <w:szCs w:val="24"/>
          <w:highlight w:val="none"/>
        </w:rPr>
        <w:t>》</w:t>
      </w:r>
      <w:r>
        <w:rPr>
          <w:rStyle w:val="8"/>
          <w:rFonts w:hint="eastAsia" w:ascii="宋体" w:hAnsi="宋体"/>
          <w:color w:val="auto"/>
          <w:sz w:val="24"/>
          <w:szCs w:val="24"/>
          <w:highlight w:val="none"/>
        </w:rPr>
        <w:t>。</w:t>
      </w:r>
    </w:p>
    <w:bookmarkEnd w:id="858"/>
    <w:bookmarkEnd w:id="859"/>
    <w:bookmarkEnd w:id="860"/>
    <w:p w14:paraId="05B3D58B">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w:t>
      </w:r>
      <w:bookmarkStart w:id="861" w:name="_Toc318581177"/>
      <w:bookmarkStart w:id="862" w:name="_Toc312678035"/>
      <w:bookmarkStart w:id="863" w:name="_Toc312677509"/>
      <w:r>
        <w:rPr>
          <w:rStyle w:val="8"/>
          <w:rFonts w:ascii="宋体" w:hAnsi="宋体"/>
          <w:color w:val="auto"/>
          <w:kern w:val="2"/>
          <w:sz w:val="24"/>
          <w:szCs w:val="24"/>
          <w:highlight w:val="none"/>
        </w:rPr>
        <w:t>0.7.1 依法必须招标的暂估价项目</w:t>
      </w:r>
    </w:p>
    <w:bookmarkEnd w:id="861"/>
    <w:bookmarkEnd w:id="862"/>
    <w:bookmarkEnd w:id="863"/>
    <w:p w14:paraId="34209C2A">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对于依法必须招标的暂估价项目的确认和批准采取第</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种方式确定。</w:t>
      </w:r>
    </w:p>
    <w:p w14:paraId="71FEA981">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10.7.2 不属于依法必须招标的暂估价项目</w:t>
      </w:r>
    </w:p>
    <w:p w14:paraId="352338EE">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对于不属于依法必须招标的暂估价项目的确认和批准采取第</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 xml:space="preserve"> 种方式确定。</w:t>
      </w:r>
    </w:p>
    <w:p w14:paraId="0BB86C47">
      <w:pPr>
        <w:pStyle w:val="13"/>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kern w:val="2"/>
          <w:sz w:val="24"/>
          <w:szCs w:val="24"/>
          <w:highlight w:val="none"/>
        </w:rPr>
        <w:t>第3种方式：</w:t>
      </w:r>
      <w:r>
        <w:rPr>
          <w:rStyle w:val="8"/>
          <w:rFonts w:ascii="宋体" w:hAnsi="宋体"/>
          <w:color w:val="auto"/>
          <w:sz w:val="24"/>
          <w:szCs w:val="24"/>
          <w:highlight w:val="none"/>
        </w:rPr>
        <w:t>承包人直接实施的暂估价项目</w:t>
      </w:r>
    </w:p>
    <w:p w14:paraId="572F75DF">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承包人直接实施的暂估价项目的约定：</w:t>
      </w:r>
      <w:r>
        <w:rPr>
          <w:rStyle w:val="8"/>
          <w:rFonts w:ascii="宋体" w:hAnsi="宋体"/>
          <w:color w:val="auto"/>
          <w:kern w:val="2"/>
          <w:sz w:val="24"/>
          <w:szCs w:val="24"/>
          <w:highlight w:val="none"/>
          <w:u w:val="single"/>
        </w:rPr>
        <w:t xml:space="preserve">                     </w:t>
      </w:r>
    </w:p>
    <w:p w14:paraId="316E0CCA">
      <w:pPr>
        <w:pStyle w:val="13"/>
        <w:spacing w:line="360" w:lineRule="auto"/>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26CEA082">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10.8 暂列金额</w:t>
      </w:r>
    </w:p>
    <w:p w14:paraId="4F31CD74">
      <w:pPr>
        <w:pStyle w:val="13"/>
        <w:autoSpaceDE w:val="0"/>
        <w:autoSpaceDN w:val="0"/>
        <w:adjustRightInd w:val="0"/>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sz w:val="24"/>
          <w:szCs w:val="24"/>
          <w:highlight w:val="none"/>
        </w:rPr>
        <w:t>合同当事人关于暂列金额使用的约定：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按照发包人要求使用，以发包人批准 </w:t>
      </w:r>
    </w:p>
    <w:p w14:paraId="512D59E3">
      <w:pPr>
        <w:pStyle w:val="13"/>
        <w:autoSpaceDE w:val="0"/>
        <w:autoSpaceDN w:val="0"/>
        <w:adjustRightInd w:val="0"/>
        <w:spacing w:line="360" w:lineRule="auto"/>
        <w:jc w:val="left"/>
        <w:rPr>
          <w:rStyle w:val="8"/>
          <w:rFonts w:ascii="宋体" w:hAnsi="宋体"/>
          <w:color w:val="auto"/>
          <w:sz w:val="24"/>
          <w:szCs w:val="24"/>
          <w:highlight w:val="none"/>
        </w:rPr>
      </w:pPr>
      <w:r>
        <w:rPr>
          <w:rStyle w:val="8"/>
          <w:rFonts w:hint="eastAsia" w:ascii="宋体" w:hAnsi="宋体"/>
          <w:color w:val="auto"/>
          <w:kern w:val="2"/>
          <w:sz w:val="24"/>
          <w:szCs w:val="24"/>
          <w:highlight w:val="none"/>
          <w:u w:val="single"/>
        </w:rPr>
        <w:t xml:space="preserve">    的实际发生的工程量结算    </w:t>
      </w:r>
      <w:r>
        <w:rPr>
          <w:rStyle w:val="8"/>
          <w:rFonts w:hint="eastAsia" w:ascii="宋体" w:hAnsi="宋体"/>
          <w:color w:val="auto"/>
          <w:sz w:val="24"/>
          <w:szCs w:val="24"/>
          <w:highlight w:val="none"/>
        </w:rPr>
        <w:t>。</w:t>
      </w:r>
    </w:p>
    <w:p w14:paraId="6AE6CDD4">
      <w:pPr>
        <w:pStyle w:val="15"/>
        <w:spacing w:before="120" w:after="120" w:line="360" w:lineRule="auto"/>
        <w:outlineLvl w:val="9"/>
        <w:rPr>
          <w:rStyle w:val="8"/>
          <w:rFonts w:ascii="宋体" w:hAnsi="宋体" w:eastAsia="宋体"/>
          <w:b w:val="0"/>
          <w:color w:val="auto"/>
          <w:sz w:val="24"/>
          <w:szCs w:val="24"/>
          <w:highlight w:val="none"/>
        </w:rPr>
      </w:pPr>
      <w:bookmarkStart w:id="864" w:name="_Toc351203643"/>
      <w:bookmarkStart w:id="865" w:name="_Toc28238"/>
      <w:bookmarkStart w:id="866" w:name="_Toc256000579"/>
      <w:bookmarkStart w:id="867" w:name="_Toc256000846"/>
      <w:bookmarkStart w:id="868" w:name="_Toc69461825"/>
      <w:bookmarkStart w:id="869" w:name="_Toc5177"/>
      <w:bookmarkStart w:id="870" w:name="_Toc256001313"/>
      <w:bookmarkStart w:id="871" w:name="_Toc69461170"/>
      <w:bookmarkStart w:id="872" w:name="_Toc256001083"/>
      <w:bookmarkStart w:id="873" w:name="_Toc256000350"/>
      <w:r>
        <w:rPr>
          <w:rStyle w:val="8"/>
          <w:rFonts w:ascii="宋体" w:hAnsi="宋体" w:eastAsia="宋体"/>
          <w:b w:val="0"/>
          <w:color w:val="auto"/>
          <w:sz w:val="24"/>
          <w:szCs w:val="24"/>
          <w:highlight w:val="none"/>
        </w:rPr>
        <w:t>11. 价格调整</w:t>
      </w:r>
      <w:bookmarkEnd w:id="864"/>
      <w:bookmarkEnd w:id="865"/>
      <w:bookmarkEnd w:id="866"/>
      <w:bookmarkEnd w:id="867"/>
      <w:bookmarkEnd w:id="868"/>
      <w:bookmarkEnd w:id="869"/>
      <w:bookmarkEnd w:id="870"/>
      <w:bookmarkEnd w:id="871"/>
      <w:bookmarkEnd w:id="872"/>
      <w:bookmarkEnd w:id="873"/>
    </w:p>
    <w:p w14:paraId="0D6F7221">
      <w:pPr>
        <w:pStyle w:val="13"/>
        <w:spacing w:after="120" w:line="360" w:lineRule="auto"/>
        <w:ind w:firstLine="480" w:firstLineChars="200"/>
        <w:rPr>
          <w:rStyle w:val="8"/>
          <w:rFonts w:ascii="宋体" w:hAnsi="宋体"/>
          <w:color w:val="auto"/>
          <w:kern w:val="2"/>
          <w:sz w:val="24"/>
          <w:szCs w:val="24"/>
          <w:highlight w:val="none"/>
        </w:rPr>
      </w:pPr>
      <w:bookmarkStart w:id="874" w:name="_Toc297123550"/>
      <w:bookmarkStart w:id="875" w:name="_Toc296346702"/>
      <w:bookmarkStart w:id="876" w:name="_Toc300935000"/>
      <w:bookmarkStart w:id="877" w:name="_Toc303539157"/>
      <w:bookmarkStart w:id="878" w:name="_Toc296347200"/>
      <w:bookmarkStart w:id="879" w:name="_Toc296503201"/>
      <w:bookmarkStart w:id="880" w:name="_Toc292559406"/>
      <w:bookmarkStart w:id="881" w:name="_Toc296891241"/>
      <w:bookmarkStart w:id="882" w:name="_Toc297048387"/>
      <w:bookmarkStart w:id="883" w:name="_Toc297120501"/>
      <w:bookmarkStart w:id="884" w:name="_Toc292559911"/>
      <w:bookmarkStart w:id="885" w:name="_Toc304295577"/>
      <w:bookmarkStart w:id="886" w:name="_Toc296944540"/>
      <w:bookmarkStart w:id="887" w:name="_Toc297216209"/>
      <w:bookmarkStart w:id="888" w:name="_Toc296891029"/>
      <w:bookmarkStart w:id="889" w:name="_Toc312678039"/>
      <w:r>
        <w:rPr>
          <w:rStyle w:val="8"/>
          <w:rFonts w:ascii="宋体" w:hAnsi="宋体"/>
          <w:color w:val="auto"/>
          <w:kern w:val="2"/>
          <w:sz w:val="24"/>
          <w:szCs w:val="24"/>
          <w:highlight w:val="none"/>
        </w:rPr>
        <w:t>11.1 市场价格波动引起的调整</w:t>
      </w:r>
    </w:p>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14:paraId="44B327DD">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sz w:val="24"/>
          <w:szCs w:val="24"/>
          <w:highlight w:val="none"/>
        </w:rPr>
        <w:t>市场价格波动是否调整合同价格的约定：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不</w:t>
      </w:r>
      <w:r>
        <w:rPr>
          <w:rStyle w:val="8"/>
          <w:rFonts w:ascii="宋体" w:hAnsi="宋体"/>
          <w:color w:val="auto"/>
          <w:kern w:val="2"/>
          <w:sz w:val="24"/>
          <w:szCs w:val="24"/>
          <w:highlight w:val="none"/>
          <w:u w:val="single"/>
        </w:rPr>
        <w:t xml:space="preserve">调整          </w:t>
      </w:r>
      <w:r>
        <w:rPr>
          <w:rStyle w:val="8"/>
          <w:rFonts w:ascii="宋体" w:hAnsi="宋体"/>
          <w:color w:val="auto"/>
          <w:kern w:val="2"/>
          <w:sz w:val="24"/>
          <w:szCs w:val="24"/>
          <w:highlight w:val="none"/>
        </w:rPr>
        <w:t>。</w:t>
      </w:r>
    </w:p>
    <w:p w14:paraId="10FC9454">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因市场价格波动调整合同价格，采用以下第</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种方式对合同价格进行调整：</w:t>
      </w:r>
    </w:p>
    <w:p w14:paraId="4AF512D9">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第1种方式：采用价格指数</w:t>
      </w:r>
      <w:r>
        <w:rPr>
          <w:rStyle w:val="8"/>
          <w:rFonts w:hint="eastAsia" w:ascii="宋体" w:hAnsi="宋体"/>
          <w:color w:val="auto"/>
          <w:kern w:val="2"/>
          <w:sz w:val="24"/>
          <w:szCs w:val="24"/>
          <w:highlight w:val="none"/>
        </w:rPr>
        <w:t>进行价格</w:t>
      </w:r>
      <w:r>
        <w:rPr>
          <w:rStyle w:val="8"/>
          <w:rFonts w:ascii="宋体" w:hAnsi="宋体"/>
          <w:color w:val="auto"/>
          <w:kern w:val="2"/>
          <w:sz w:val="24"/>
          <w:szCs w:val="24"/>
          <w:highlight w:val="none"/>
        </w:rPr>
        <w:t>调整。</w:t>
      </w:r>
    </w:p>
    <w:p w14:paraId="66597BE8">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关于各可调因子、定值和变值权重，以及基本价格指数及其来源的约定：</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 xml:space="preserve">；  </w:t>
      </w:r>
    </w:p>
    <w:p w14:paraId="7DF1048C">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第2种方式：采用造价信息</w:t>
      </w:r>
      <w:r>
        <w:rPr>
          <w:rStyle w:val="8"/>
          <w:rFonts w:hint="eastAsia" w:ascii="宋体" w:hAnsi="宋体"/>
          <w:color w:val="auto"/>
          <w:kern w:val="2"/>
          <w:sz w:val="24"/>
          <w:szCs w:val="24"/>
          <w:highlight w:val="none"/>
        </w:rPr>
        <w:t>进行价格</w:t>
      </w:r>
      <w:r>
        <w:rPr>
          <w:rStyle w:val="8"/>
          <w:rFonts w:ascii="宋体" w:hAnsi="宋体"/>
          <w:color w:val="auto"/>
          <w:kern w:val="2"/>
          <w:sz w:val="24"/>
          <w:szCs w:val="24"/>
          <w:highlight w:val="none"/>
        </w:rPr>
        <w:t>调整。</w:t>
      </w:r>
    </w:p>
    <w:p w14:paraId="1AF51525">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（2）关于基准价格的约定：</w:t>
      </w:r>
      <w:r>
        <w:rPr>
          <w:rStyle w:val="8"/>
          <w:rFonts w:ascii="宋体" w:hAnsi="宋体"/>
          <w:color w:val="auto"/>
          <w:kern w:val="2"/>
          <w:sz w:val="24"/>
          <w:szCs w:val="24"/>
          <w:highlight w:val="none"/>
          <w:u w:val="single"/>
        </w:rPr>
        <w:t>投标截止日期前</w:t>
      </w:r>
      <w:r>
        <w:rPr>
          <w:rStyle w:val="8"/>
          <w:rFonts w:hint="eastAsia" w:ascii="宋体" w:hAnsi="宋体"/>
          <w:color w:val="auto"/>
          <w:kern w:val="2"/>
          <w:sz w:val="24"/>
          <w:szCs w:val="24"/>
          <w:highlight w:val="none"/>
          <w:u w:val="single"/>
        </w:rPr>
        <w:t>28天的造价部门发布的工程所在地的造价信息价格</w:t>
      </w:r>
      <w:r>
        <w:rPr>
          <w:rStyle w:val="8"/>
          <w:rFonts w:ascii="宋体" w:hAnsi="宋体"/>
          <w:color w:val="auto"/>
          <w:kern w:val="2"/>
          <w:sz w:val="24"/>
          <w:szCs w:val="24"/>
          <w:highlight w:val="none"/>
        </w:rPr>
        <w:t>。</w:t>
      </w:r>
    </w:p>
    <w:p w14:paraId="1865B10C">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专用合同条款</w:t>
      </w:r>
      <w:r>
        <w:rPr>
          <w:rStyle w:val="8"/>
          <w:rFonts w:hint="eastAsia" w:ascii="宋体" w:hAnsi="宋体" w:cs="宋体"/>
          <w:color w:val="auto"/>
          <w:kern w:val="2"/>
          <w:sz w:val="24"/>
          <w:szCs w:val="24"/>
          <w:highlight w:val="none"/>
        </w:rPr>
        <w:t>①</w:t>
      </w:r>
      <w:r>
        <w:rPr>
          <w:rStyle w:val="8"/>
          <w:rFonts w:ascii="宋体" w:hAnsi="宋体"/>
          <w:color w:val="auto"/>
          <w:kern w:val="2"/>
          <w:sz w:val="24"/>
          <w:szCs w:val="24"/>
          <w:highlight w:val="none"/>
        </w:rPr>
        <w:t>承包人在已标价工程量清单或预算书中载明的材料单价低于基准价格的：专用合同条款合同履行期间材料单价涨幅以基准价格为基础超过</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%时，或材料单价跌幅以已标价工程量清单或预算书中载明材料单价为基础超过</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rPr>
        <w:t>%时，其超过部分据实调整。</w:t>
      </w:r>
    </w:p>
    <w:p w14:paraId="48581E1F">
      <w:pPr>
        <w:pStyle w:val="13"/>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s="宋体"/>
          <w:color w:val="auto"/>
          <w:kern w:val="2"/>
          <w:sz w:val="24"/>
          <w:szCs w:val="24"/>
          <w:highlight w:val="none"/>
        </w:rPr>
        <w:t>②</w:t>
      </w:r>
      <w:r>
        <w:rPr>
          <w:rStyle w:val="8"/>
          <w:rFonts w:ascii="宋体" w:hAnsi="宋体"/>
          <w:color w:val="auto"/>
          <w:kern w:val="2"/>
          <w:sz w:val="24"/>
          <w:szCs w:val="24"/>
          <w:highlight w:val="none"/>
        </w:rPr>
        <w:t>承包人在已标价工程量清单或预算书中载明的材料单价高于基准价格的：专用合同条款合同履行期间材料单价跌幅以基准价格为基础超过</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%时，材料单价涨幅以已标价工程量清单或预算书中载明材料单价为基础超过</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%时，其超过部分据实调整。</w:t>
      </w:r>
    </w:p>
    <w:p w14:paraId="15661A57">
      <w:pPr>
        <w:pStyle w:val="13"/>
        <w:spacing w:line="360" w:lineRule="auto"/>
        <w:ind w:firstLine="645"/>
        <w:jc w:val="left"/>
        <w:rPr>
          <w:rStyle w:val="8"/>
          <w:rFonts w:ascii="宋体" w:hAnsi="宋体"/>
          <w:color w:val="auto"/>
          <w:kern w:val="2"/>
          <w:sz w:val="24"/>
          <w:szCs w:val="24"/>
          <w:highlight w:val="none"/>
        </w:rPr>
      </w:pPr>
      <w:r>
        <w:rPr>
          <w:rStyle w:val="8"/>
          <w:rFonts w:hint="eastAsia" w:ascii="宋体" w:hAnsi="宋体" w:cs="宋体"/>
          <w:color w:val="auto"/>
          <w:kern w:val="2"/>
          <w:sz w:val="24"/>
          <w:szCs w:val="24"/>
          <w:highlight w:val="none"/>
        </w:rPr>
        <w:t>③</w:t>
      </w:r>
      <w:r>
        <w:rPr>
          <w:rStyle w:val="8"/>
          <w:rFonts w:ascii="宋体" w:hAnsi="宋体"/>
          <w:color w:val="auto"/>
          <w:kern w:val="2"/>
          <w:sz w:val="24"/>
          <w:szCs w:val="24"/>
          <w:highlight w:val="none"/>
        </w:rPr>
        <w:t>承包人在已标价工程量清单或预算书中载明的材料单价等于基准单价的：专用合同条款合同履行期间材料单价涨跌幅以基准单价为基础超过±</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%时，其超过部分据实调整。</w:t>
      </w:r>
    </w:p>
    <w:p w14:paraId="69FCA2B6">
      <w:pPr>
        <w:pStyle w:val="13"/>
        <w:spacing w:line="360" w:lineRule="auto"/>
        <w:ind w:firstLine="645"/>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第3种方式：其他价格调整方式：</w:t>
      </w:r>
      <w:r>
        <w:rPr>
          <w:rStyle w:val="8"/>
          <w:rFonts w:ascii="宋体" w:hAnsi="宋体"/>
          <w:color w:val="auto"/>
          <w:kern w:val="2"/>
          <w:sz w:val="24"/>
          <w:szCs w:val="24"/>
          <w:highlight w:val="none"/>
          <w:u w:val="single"/>
        </w:rPr>
        <w:t xml:space="preserve">                        </w:t>
      </w:r>
    </w:p>
    <w:p w14:paraId="5B3846DC">
      <w:pPr>
        <w:pStyle w:val="13"/>
        <w:spacing w:line="360" w:lineRule="auto"/>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bookmarkEnd w:id="756"/>
    <w:bookmarkEnd w:id="757"/>
    <w:bookmarkEnd w:id="758"/>
    <w:bookmarkEnd w:id="759"/>
    <w:bookmarkEnd w:id="760"/>
    <w:bookmarkEnd w:id="761"/>
    <w:p w14:paraId="6F66C218">
      <w:pPr>
        <w:pStyle w:val="15"/>
        <w:spacing w:before="120" w:after="120" w:line="360" w:lineRule="auto"/>
        <w:outlineLvl w:val="9"/>
        <w:rPr>
          <w:rStyle w:val="8"/>
          <w:rFonts w:ascii="宋体" w:hAnsi="宋体" w:eastAsia="宋体"/>
          <w:b w:val="0"/>
          <w:color w:val="auto"/>
          <w:sz w:val="24"/>
          <w:szCs w:val="24"/>
          <w:highlight w:val="none"/>
        </w:rPr>
      </w:pPr>
      <w:bookmarkStart w:id="890" w:name="_Toc292559410"/>
      <w:bookmarkStart w:id="891" w:name="_Toc296503205"/>
      <w:bookmarkStart w:id="892" w:name="_Toc296346706"/>
      <w:bookmarkStart w:id="893" w:name="_Toc297120505"/>
      <w:bookmarkStart w:id="894" w:name="_Toc296891033"/>
      <w:bookmarkStart w:id="895" w:name="_Toc296891245"/>
      <w:bookmarkStart w:id="896" w:name="_Toc297048391"/>
      <w:bookmarkStart w:id="897" w:name="_Toc296944544"/>
      <w:bookmarkStart w:id="898" w:name="_Toc292559915"/>
      <w:bookmarkStart w:id="899" w:name="_Toc296347204"/>
      <w:bookmarkStart w:id="900" w:name="_Toc69461826"/>
      <w:bookmarkStart w:id="901" w:name="_Toc256000580"/>
      <w:bookmarkStart w:id="902" w:name="_Toc32048"/>
      <w:bookmarkStart w:id="903" w:name="_Toc256000847"/>
      <w:bookmarkStart w:id="904" w:name="_Toc8434"/>
      <w:bookmarkStart w:id="905" w:name="_Toc256001084"/>
      <w:bookmarkStart w:id="906" w:name="_Toc351203644"/>
      <w:bookmarkStart w:id="907" w:name="_Toc256000351"/>
      <w:bookmarkStart w:id="908" w:name="_Toc256001314"/>
      <w:bookmarkStart w:id="909" w:name="_Toc69461171"/>
      <w:bookmarkStart w:id="910" w:name="_Toc297123552"/>
      <w:bookmarkStart w:id="911" w:name="_Toc303539159"/>
      <w:bookmarkStart w:id="912" w:name="_Toc312678040"/>
      <w:bookmarkStart w:id="913" w:name="_Toc304295579"/>
      <w:bookmarkStart w:id="914" w:name="_Toc297216211"/>
      <w:bookmarkStart w:id="915" w:name="_Toc300935002"/>
      <w:r>
        <w:rPr>
          <w:rStyle w:val="8"/>
          <w:rFonts w:ascii="宋体" w:hAnsi="宋体" w:eastAsia="宋体"/>
          <w:b w:val="0"/>
          <w:color w:val="auto"/>
          <w:sz w:val="24"/>
          <w:szCs w:val="24"/>
          <w:highlight w:val="none"/>
        </w:rPr>
        <w:t xml:space="preserve">12. </w:t>
      </w:r>
      <w:bookmarkEnd w:id="890"/>
      <w:bookmarkEnd w:id="891"/>
      <w:bookmarkEnd w:id="892"/>
      <w:bookmarkEnd w:id="893"/>
      <w:bookmarkEnd w:id="894"/>
      <w:bookmarkEnd w:id="895"/>
      <w:bookmarkEnd w:id="896"/>
      <w:bookmarkEnd w:id="897"/>
      <w:bookmarkEnd w:id="898"/>
      <w:bookmarkEnd w:id="899"/>
      <w:r>
        <w:rPr>
          <w:rStyle w:val="8"/>
          <w:rFonts w:ascii="宋体" w:hAnsi="宋体" w:eastAsia="宋体"/>
          <w:b w:val="0"/>
          <w:color w:val="auto"/>
          <w:sz w:val="24"/>
          <w:szCs w:val="24"/>
          <w:highlight w:val="none"/>
        </w:rPr>
        <w:t>合同价格、计量与支付</w:t>
      </w:r>
      <w:bookmarkEnd w:id="900"/>
      <w:bookmarkEnd w:id="901"/>
      <w:bookmarkEnd w:id="902"/>
      <w:bookmarkEnd w:id="903"/>
      <w:bookmarkEnd w:id="904"/>
      <w:bookmarkEnd w:id="905"/>
      <w:bookmarkEnd w:id="906"/>
      <w:bookmarkEnd w:id="907"/>
      <w:bookmarkEnd w:id="908"/>
      <w:bookmarkEnd w:id="909"/>
    </w:p>
    <w:bookmarkEnd w:id="910"/>
    <w:bookmarkEnd w:id="911"/>
    <w:bookmarkEnd w:id="912"/>
    <w:bookmarkEnd w:id="913"/>
    <w:bookmarkEnd w:id="914"/>
    <w:bookmarkEnd w:id="915"/>
    <w:p w14:paraId="7B31E5C8">
      <w:pPr>
        <w:pStyle w:val="13"/>
        <w:spacing w:after="120" w:line="360" w:lineRule="auto"/>
        <w:ind w:firstLine="480" w:firstLineChars="200"/>
        <w:rPr>
          <w:rStyle w:val="8"/>
          <w:rFonts w:ascii="宋体" w:hAnsi="宋体"/>
          <w:color w:val="auto"/>
          <w:kern w:val="2"/>
          <w:sz w:val="24"/>
          <w:szCs w:val="24"/>
          <w:highlight w:val="none"/>
        </w:rPr>
      </w:pPr>
      <w:bookmarkStart w:id="916" w:name="_Toc292559411"/>
      <w:bookmarkStart w:id="917" w:name="_Toc267251461"/>
      <w:bookmarkStart w:id="918" w:name="_Toc292559916"/>
      <w:bookmarkStart w:id="919" w:name="_Toc297120506"/>
      <w:bookmarkStart w:id="920" w:name="_Toc296944545"/>
      <w:bookmarkStart w:id="921" w:name="_Toc297048392"/>
      <w:bookmarkStart w:id="922" w:name="_Toc296347205"/>
      <w:bookmarkStart w:id="923" w:name="_Toc296891034"/>
      <w:bookmarkStart w:id="924" w:name="_Toc296346707"/>
      <w:bookmarkStart w:id="925" w:name="_Toc296503206"/>
      <w:bookmarkStart w:id="926" w:name="_Toc296891246"/>
      <w:bookmarkStart w:id="927" w:name="_Toc303539160"/>
      <w:bookmarkStart w:id="928" w:name="_Toc304295580"/>
      <w:bookmarkStart w:id="929" w:name="_Toc297123553"/>
      <w:bookmarkStart w:id="930" w:name="_Toc297216212"/>
      <w:bookmarkStart w:id="931" w:name="_Toc312678041"/>
      <w:bookmarkStart w:id="932" w:name="_Toc300935003"/>
      <w:r>
        <w:rPr>
          <w:rStyle w:val="8"/>
          <w:rFonts w:ascii="宋体" w:hAnsi="宋体"/>
          <w:color w:val="auto"/>
          <w:kern w:val="2"/>
          <w:sz w:val="24"/>
          <w:szCs w:val="24"/>
          <w:highlight w:val="none"/>
        </w:rPr>
        <w:t>12.1 合</w:t>
      </w:r>
      <w:bookmarkEnd w:id="916"/>
      <w:bookmarkEnd w:id="917"/>
      <w:bookmarkEnd w:id="918"/>
      <w:r>
        <w:rPr>
          <w:rStyle w:val="8"/>
          <w:rFonts w:ascii="宋体" w:hAnsi="宋体"/>
          <w:color w:val="auto"/>
          <w:kern w:val="2"/>
          <w:sz w:val="24"/>
          <w:szCs w:val="24"/>
          <w:highlight w:val="none"/>
        </w:rPr>
        <w:t>同价</w:t>
      </w:r>
      <w:bookmarkEnd w:id="919"/>
      <w:bookmarkEnd w:id="920"/>
      <w:bookmarkEnd w:id="921"/>
      <w:bookmarkEnd w:id="922"/>
      <w:bookmarkEnd w:id="923"/>
      <w:bookmarkEnd w:id="924"/>
      <w:bookmarkEnd w:id="925"/>
      <w:bookmarkEnd w:id="926"/>
      <w:r>
        <w:rPr>
          <w:rStyle w:val="8"/>
          <w:rFonts w:ascii="宋体" w:hAnsi="宋体"/>
          <w:color w:val="auto"/>
          <w:kern w:val="2"/>
          <w:sz w:val="24"/>
          <w:szCs w:val="24"/>
          <w:highlight w:val="none"/>
        </w:rPr>
        <w:t>格形式</w:t>
      </w:r>
    </w:p>
    <w:bookmarkEnd w:id="927"/>
    <w:bookmarkEnd w:id="928"/>
    <w:bookmarkEnd w:id="929"/>
    <w:bookmarkEnd w:id="930"/>
    <w:bookmarkEnd w:id="931"/>
    <w:bookmarkEnd w:id="932"/>
    <w:p w14:paraId="3BC0BC6D">
      <w:pPr>
        <w:pStyle w:val="13"/>
        <w:spacing w:line="360" w:lineRule="auto"/>
        <w:ind w:firstLine="645"/>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rPr>
        <w:t>综合单价包含的风险范围：</w:t>
      </w:r>
      <w:r>
        <w:rPr>
          <w:rStyle w:val="8"/>
          <w:rFonts w:hint="eastAsia" w:ascii="宋体" w:hAnsi="宋体"/>
          <w:color w:val="auto"/>
          <w:kern w:val="2"/>
          <w:sz w:val="24"/>
          <w:szCs w:val="24"/>
          <w:highlight w:val="none"/>
          <w:u w:val="single"/>
        </w:rPr>
        <w:t xml:space="preserve">(1)完成本项目招标及图纸范围内所有可能遇到的各种涉及报价的风险因素均应综合考虑到报价中, 除工程量调整外，中标后不再调整。其综合单价中包括但不限于材料费、制作费、运杂费、安装费、检验费、检测费、措施费、资料费、技术服务费、管理费、利润、政策性文件规定的费用、税金等完成本项目的全部费用直至验收合格、交付使用及质保的全部内容。 </w:t>
      </w:r>
    </w:p>
    <w:p w14:paraId="365F892E">
      <w:pPr>
        <w:pStyle w:val="13"/>
        <w:spacing w:line="360" w:lineRule="auto"/>
        <w:ind w:firstLine="645"/>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 xml:space="preserve">（2）吊装、运输工具、照明器具和施工的脚手架等由承包人自行解决，费用在投标报价中考虑。 </w:t>
      </w:r>
    </w:p>
    <w:p w14:paraId="51F057A4">
      <w:pPr>
        <w:pStyle w:val="13"/>
        <w:spacing w:line="360" w:lineRule="auto"/>
        <w:ind w:firstLine="645"/>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 xml:space="preserve">（3）风险费用的计算方法：投标人已在投标报价中自行报价，中标后除工程量调整外不再调整。 </w:t>
      </w:r>
    </w:p>
    <w:p w14:paraId="4C67D913">
      <w:pPr>
        <w:pStyle w:val="13"/>
        <w:spacing w:line="360" w:lineRule="auto"/>
        <w:ind w:firstLine="645"/>
        <w:jc w:val="left"/>
        <w:rPr>
          <w:rStyle w:val="8"/>
          <w:rFonts w:hint="eastAsia"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（4）</w:t>
      </w:r>
      <w:r>
        <w:rPr>
          <w:rStyle w:val="8"/>
          <w:rFonts w:ascii="宋体" w:hAnsi="宋体"/>
          <w:color w:val="auto"/>
          <w:kern w:val="2"/>
          <w:sz w:val="24"/>
          <w:szCs w:val="24"/>
          <w:highlight w:val="none"/>
          <w:u w:val="single"/>
        </w:rPr>
        <w:t>风险范围以外的合同价格的调整方法</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因市场价格波动引起的调整按第11.1款</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市场价格波动引起的调整</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约定执行。</w:t>
      </w:r>
    </w:p>
    <w:p w14:paraId="6728DE74">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2、总价合同。</w:t>
      </w:r>
    </w:p>
    <w:p w14:paraId="5B3E2BED">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总价包含的风险范围：</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 xml:space="preserve">                             </w:t>
      </w:r>
    </w:p>
    <w:p w14:paraId="3DCE4C6B">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风险费用的计算方法：</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14:paraId="60BF592D">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风险范围以外合同价格的调整方法：</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 xml:space="preserve">        </w:t>
      </w:r>
    </w:p>
    <w:p w14:paraId="435BBDF9">
      <w:pPr>
        <w:pStyle w:val="13"/>
        <w:spacing w:line="360" w:lineRule="auto"/>
        <w:jc w:val="left"/>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1F6440A1">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3、其他价格方式：</w:t>
      </w:r>
      <w:r>
        <w:rPr>
          <w:rStyle w:val="8"/>
          <w:rFonts w:ascii="宋体" w:hAnsi="宋体"/>
          <w:color w:val="auto"/>
          <w:kern w:val="2"/>
          <w:sz w:val="24"/>
          <w:szCs w:val="24"/>
          <w:highlight w:val="none"/>
          <w:u w:val="single"/>
        </w:rPr>
        <w:t xml:space="preserve">                                     </w:t>
      </w:r>
    </w:p>
    <w:p w14:paraId="48172C6A">
      <w:pPr>
        <w:pStyle w:val="13"/>
        <w:spacing w:line="360" w:lineRule="auto"/>
        <w:jc w:val="left"/>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6ABDF1EA">
      <w:pPr>
        <w:pStyle w:val="13"/>
        <w:spacing w:after="120" w:line="360" w:lineRule="auto"/>
        <w:ind w:firstLine="480" w:firstLineChars="200"/>
        <w:rPr>
          <w:rStyle w:val="8"/>
          <w:rFonts w:ascii="宋体" w:hAnsi="宋体"/>
          <w:color w:val="auto"/>
          <w:kern w:val="2"/>
          <w:sz w:val="24"/>
          <w:szCs w:val="24"/>
          <w:highlight w:val="none"/>
        </w:rPr>
      </w:pPr>
      <w:bookmarkStart w:id="933" w:name="_Toc297216213"/>
      <w:bookmarkStart w:id="934" w:name="_Toc312678042"/>
      <w:bookmarkStart w:id="935" w:name="_Toc304295581"/>
      <w:bookmarkStart w:id="936" w:name="_Toc297123554"/>
      <w:bookmarkStart w:id="937" w:name="_Toc300935004"/>
      <w:bookmarkStart w:id="938" w:name="_Toc303539161"/>
      <w:bookmarkStart w:id="939" w:name="_Toc297120507"/>
      <w:bookmarkStart w:id="940" w:name="_Toc296347206"/>
      <w:bookmarkStart w:id="941" w:name="_Toc296503207"/>
      <w:bookmarkStart w:id="942" w:name="_Toc296891247"/>
      <w:bookmarkStart w:id="943" w:name="_Toc296891035"/>
      <w:bookmarkStart w:id="944" w:name="_Toc296346708"/>
      <w:bookmarkStart w:id="945" w:name="_Toc292559917"/>
      <w:bookmarkStart w:id="946" w:name="_Toc292559412"/>
      <w:bookmarkStart w:id="947" w:name="_Toc296944546"/>
      <w:bookmarkStart w:id="948" w:name="_Toc297048393"/>
      <w:r>
        <w:rPr>
          <w:rStyle w:val="8"/>
          <w:rFonts w:ascii="宋体" w:hAnsi="宋体"/>
          <w:color w:val="auto"/>
          <w:kern w:val="2"/>
          <w:sz w:val="24"/>
          <w:szCs w:val="24"/>
          <w:highlight w:val="none"/>
        </w:rPr>
        <w:t>12.2 预付款</w:t>
      </w:r>
    </w:p>
    <w:bookmarkEnd w:id="933"/>
    <w:bookmarkEnd w:id="934"/>
    <w:bookmarkEnd w:id="935"/>
    <w:bookmarkEnd w:id="936"/>
    <w:bookmarkEnd w:id="937"/>
    <w:bookmarkEnd w:id="938"/>
    <w:p w14:paraId="3CDCBEB4">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12.2.1 预付款的支付</w:t>
      </w:r>
    </w:p>
    <w:p w14:paraId="19F59DA1">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预付款支付比例或金额：</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6B10BFBD">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预付款支付期限：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28A4CA01">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预付款扣回的方式：</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4BC95BD8">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12.2.2 预付款担保</w:t>
      </w:r>
    </w:p>
    <w:p w14:paraId="170822EF">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承包人提交预付款担保的期限：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09CBFAF4">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预付款担保的形式为：</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bookmarkEnd w:id="939"/>
    <w:bookmarkEnd w:id="940"/>
    <w:bookmarkEnd w:id="941"/>
    <w:bookmarkEnd w:id="942"/>
    <w:bookmarkEnd w:id="943"/>
    <w:bookmarkEnd w:id="944"/>
    <w:bookmarkEnd w:id="945"/>
    <w:bookmarkEnd w:id="946"/>
    <w:bookmarkEnd w:id="947"/>
    <w:bookmarkEnd w:id="948"/>
    <w:p w14:paraId="29F33BCE">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12.3 计量</w:t>
      </w:r>
    </w:p>
    <w:p w14:paraId="444F485D">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12.3.1 计量原则</w:t>
      </w:r>
    </w:p>
    <w:p w14:paraId="3BE3A163">
      <w:pPr>
        <w:pStyle w:val="13"/>
        <w:spacing w:line="420" w:lineRule="exact"/>
        <w:ind w:firstLine="480" w:firstLineChars="200"/>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工程量计算规则：</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工程量计算规则执行国家标准《建设工程工程量清单计价规范》（GB</w:t>
      </w:r>
      <w:r>
        <w:rPr>
          <w:rStyle w:val="8"/>
          <w:rFonts w:hint="eastAsia" w:ascii="宋体" w:hAnsi="宋体"/>
          <w:color w:val="auto"/>
          <w:kern w:val="2"/>
          <w:sz w:val="24"/>
          <w:szCs w:val="24"/>
          <w:highlight w:val="none"/>
          <w:u w:val="single"/>
          <w:lang w:val="en-US" w:eastAsia="zh-CN"/>
        </w:rPr>
        <w:t>/T</w:t>
      </w:r>
      <w:r>
        <w:rPr>
          <w:rStyle w:val="8"/>
          <w:rFonts w:hint="eastAsia" w:ascii="宋体" w:hAnsi="宋体"/>
          <w:color w:val="auto"/>
          <w:kern w:val="2"/>
          <w:sz w:val="24"/>
          <w:szCs w:val="24"/>
          <w:highlight w:val="none"/>
          <w:u w:val="single"/>
        </w:rPr>
        <w:t>50500-20</w:t>
      </w:r>
      <w:r>
        <w:rPr>
          <w:rStyle w:val="8"/>
          <w:rFonts w:hint="eastAsia" w:ascii="宋体" w:hAnsi="宋体"/>
          <w:color w:val="auto"/>
          <w:kern w:val="2"/>
          <w:sz w:val="24"/>
          <w:szCs w:val="24"/>
          <w:highlight w:val="none"/>
          <w:u w:val="single"/>
          <w:lang w:val="en-US" w:eastAsia="zh-CN"/>
        </w:rPr>
        <w:t>24</w:t>
      </w:r>
      <w:r>
        <w:rPr>
          <w:rStyle w:val="8"/>
          <w:rFonts w:hint="eastAsia" w:ascii="宋体" w:hAnsi="宋体"/>
          <w:color w:val="auto"/>
          <w:kern w:val="2"/>
          <w:sz w:val="24"/>
          <w:szCs w:val="24"/>
          <w:highlight w:val="none"/>
          <w:u w:val="single"/>
        </w:rPr>
        <w:t>）及20</w:t>
      </w:r>
      <w:r>
        <w:rPr>
          <w:rStyle w:val="8"/>
          <w:rFonts w:hint="eastAsia" w:ascii="宋体" w:hAnsi="宋体"/>
          <w:color w:val="auto"/>
          <w:kern w:val="2"/>
          <w:sz w:val="24"/>
          <w:szCs w:val="24"/>
          <w:highlight w:val="none"/>
          <w:u w:val="single"/>
          <w:lang w:val="en-US" w:eastAsia="zh-CN"/>
        </w:rPr>
        <w:t>24</w:t>
      </w:r>
      <w:r>
        <w:rPr>
          <w:rStyle w:val="8"/>
          <w:rFonts w:hint="eastAsia" w:ascii="宋体" w:hAnsi="宋体"/>
          <w:color w:val="auto"/>
          <w:kern w:val="2"/>
          <w:sz w:val="24"/>
          <w:szCs w:val="24"/>
          <w:highlight w:val="none"/>
          <w:u w:val="single"/>
        </w:rPr>
        <w:t xml:space="preserve">年《辽宁省建设工程计价依据》或其适用的修订版本。 </w:t>
      </w:r>
    </w:p>
    <w:p w14:paraId="52443410">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12.3.2 计量周期</w:t>
      </w:r>
    </w:p>
    <w:p w14:paraId="68885F69">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关于计量周期的约定：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21E48D4C">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12.3.3 单价合同的计量</w:t>
      </w:r>
    </w:p>
    <w:p w14:paraId="1D067F95">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关于单价合同计量的约定：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按实计算工程量</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7CBE8106">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12.3.4 总价合同的计量</w:t>
      </w:r>
    </w:p>
    <w:p w14:paraId="571A7C46">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关于总价合同计量的约定：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3B430DB8">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12.3.5总价合同采用支付分解表计量支付的，是否适用第</w:t>
      </w:r>
      <w:r>
        <w:rPr>
          <w:rStyle w:val="8"/>
          <w:rFonts w:ascii="宋体" w:hAnsi="宋体"/>
          <w:color w:val="auto"/>
          <w:sz w:val="24"/>
          <w:szCs w:val="24"/>
          <w:highlight w:val="none"/>
        </w:rPr>
        <w:t xml:space="preserve">12.3.4 </w:t>
      </w:r>
      <w:r>
        <w:rPr>
          <w:rStyle w:val="8"/>
          <w:rFonts w:ascii="宋体" w:hAnsi="宋体"/>
          <w:color w:val="auto"/>
          <w:kern w:val="2"/>
          <w:sz w:val="24"/>
          <w:szCs w:val="24"/>
          <w:highlight w:val="none"/>
        </w:rPr>
        <w:t>项</w:t>
      </w:r>
      <w:r>
        <w:rPr>
          <w:rStyle w:val="8"/>
          <w:rFonts w:hint="eastAsia" w:ascii="宋体" w:hAnsi="宋体"/>
          <w:color w:val="auto"/>
          <w:sz w:val="24"/>
          <w:szCs w:val="24"/>
          <w:highlight w:val="none"/>
        </w:rPr>
        <w:t>〔</w:t>
      </w:r>
      <w:r>
        <w:rPr>
          <w:rStyle w:val="8"/>
          <w:rFonts w:ascii="宋体" w:hAnsi="宋体"/>
          <w:color w:val="auto"/>
          <w:sz w:val="24"/>
          <w:szCs w:val="24"/>
          <w:highlight w:val="none"/>
        </w:rPr>
        <w:t>总价合同的计量</w:t>
      </w:r>
      <w:r>
        <w:rPr>
          <w:rStyle w:val="8"/>
          <w:rFonts w:hint="eastAsia" w:ascii="宋体" w:hAnsi="宋体"/>
          <w:color w:val="auto"/>
          <w:sz w:val="24"/>
          <w:szCs w:val="24"/>
          <w:highlight w:val="none"/>
        </w:rPr>
        <w:t>〕</w:t>
      </w:r>
      <w:r>
        <w:rPr>
          <w:rStyle w:val="8"/>
          <w:rFonts w:ascii="宋体" w:hAnsi="宋体"/>
          <w:color w:val="auto"/>
          <w:kern w:val="2"/>
          <w:sz w:val="24"/>
          <w:szCs w:val="24"/>
          <w:highlight w:val="none"/>
        </w:rPr>
        <w:t>约定</w:t>
      </w:r>
      <w:r>
        <w:rPr>
          <w:rStyle w:val="8"/>
          <w:rFonts w:hint="eastAsia" w:ascii="宋体" w:hAnsi="宋体"/>
          <w:color w:val="auto"/>
          <w:kern w:val="2"/>
          <w:sz w:val="24"/>
          <w:szCs w:val="24"/>
          <w:highlight w:val="none"/>
        </w:rPr>
        <w:t>进行计量：</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0569C0DE">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12.3.6 其他价格形式合同的计量</w:t>
      </w:r>
    </w:p>
    <w:p w14:paraId="6E2DD835">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其他价格形式的计量方式和程序：</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14:paraId="23557A16">
      <w:pPr>
        <w:pStyle w:val="13"/>
        <w:spacing w:line="360" w:lineRule="auto"/>
        <w:jc w:val="left"/>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20405B7D">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12.4 工程进度款支付</w:t>
      </w:r>
    </w:p>
    <w:p w14:paraId="23A817EE">
      <w:pPr>
        <w:pStyle w:val="13"/>
        <w:spacing w:line="360" w:lineRule="auto"/>
        <w:ind w:firstLine="480" w:firstLineChars="200"/>
        <w:jc w:val="left"/>
        <w:rPr>
          <w:rStyle w:val="8"/>
          <w:rFonts w:ascii="宋体" w:hAnsi="宋体"/>
          <w:color w:val="auto"/>
          <w:kern w:val="2"/>
          <w:sz w:val="24"/>
          <w:szCs w:val="24"/>
          <w:highlight w:val="none"/>
        </w:rPr>
      </w:pPr>
      <w:bookmarkStart w:id="949" w:name="_Toc296891039"/>
      <w:bookmarkStart w:id="950" w:name="_Toc292559416"/>
      <w:bookmarkStart w:id="951" w:name="_Toc292559921"/>
      <w:bookmarkStart w:id="952" w:name="_Toc296944550"/>
      <w:bookmarkStart w:id="953" w:name="_Toc296503211"/>
      <w:bookmarkStart w:id="954" w:name="_Toc297120511"/>
      <w:bookmarkStart w:id="955" w:name="_Toc296346712"/>
      <w:bookmarkStart w:id="956" w:name="_Toc296891251"/>
      <w:bookmarkStart w:id="957" w:name="_Toc303539163"/>
      <w:bookmarkStart w:id="958" w:name="_Toc296347210"/>
      <w:bookmarkStart w:id="959" w:name="_Toc300935006"/>
      <w:bookmarkStart w:id="960" w:name="_Toc297048397"/>
      <w:bookmarkStart w:id="961" w:name="_Toc297216215"/>
      <w:bookmarkStart w:id="962" w:name="_Toc297123556"/>
      <w:r>
        <w:rPr>
          <w:rStyle w:val="8"/>
          <w:rFonts w:ascii="宋体" w:hAnsi="宋体"/>
          <w:color w:val="auto"/>
          <w:kern w:val="2"/>
          <w:sz w:val="24"/>
          <w:szCs w:val="24"/>
          <w:highlight w:val="none"/>
        </w:rPr>
        <w:t>12.4.1 付款周期</w:t>
      </w:r>
    </w:p>
    <w:p w14:paraId="4F570880">
      <w:pPr>
        <w:pStyle w:val="13"/>
        <w:spacing w:line="360" w:lineRule="auto"/>
        <w:ind w:firstLine="360" w:firstLineChars="150"/>
        <w:jc w:val="left"/>
        <w:rPr>
          <w:rStyle w:val="8"/>
          <w:rFonts w:hint="eastAsia" w:ascii="宋体" w:hAnsi="宋体" w:eastAsia="宋体"/>
          <w:color w:val="auto"/>
          <w:kern w:val="2"/>
          <w:sz w:val="24"/>
          <w:szCs w:val="24"/>
          <w:highlight w:val="none"/>
          <w:lang w:eastAsia="zh-CN"/>
        </w:rPr>
      </w:pPr>
      <w:r>
        <w:rPr>
          <w:rStyle w:val="8"/>
          <w:rFonts w:hint="eastAsia" w:ascii="宋体" w:hAnsi="宋体"/>
          <w:color w:val="auto"/>
          <w:sz w:val="24"/>
          <w:szCs w:val="24"/>
          <w:highlight w:val="none"/>
        </w:rPr>
        <w:t>1)</w:t>
      </w:r>
      <w:r>
        <w:rPr>
          <w:rStyle w:val="8"/>
          <w:rFonts w:hint="eastAsia" w:ascii="宋体" w:hAnsi="宋体"/>
          <w:color w:val="auto"/>
          <w:sz w:val="24"/>
          <w:szCs w:val="24"/>
          <w:highlight w:val="none"/>
          <w:lang w:val="en-US" w:eastAsia="zh-CN"/>
        </w:rPr>
        <w:t>按照工程形象进度支付已完工程额的80%。项目结算后支付至合同金额的97%，3%为质量保证金</w:t>
      </w:r>
      <w:r>
        <w:rPr>
          <w:rStyle w:val="8"/>
          <w:rFonts w:hint="eastAsia" w:ascii="宋体" w:hAnsi="宋体"/>
          <w:color w:val="auto"/>
          <w:sz w:val="24"/>
          <w:szCs w:val="24"/>
          <w:highlight w:val="none"/>
        </w:rPr>
        <w:t>；</w:t>
      </w:r>
      <w:r>
        <w:rPr>
          <w:rStyle w:val="8"/>
          <w:rFonts w:hint="eastAsia" w:ascii="宋体" w:hAnsi="宋体"/>
          <w:color w:val="auto"/>
          <w:sz w:val="24"/>
          <w:szCs w:val="24"/>
          <w:highlight w:val="none"/>
        </w:rPr>
        <w:cr/>
      </w:r>
      <w:r>
        <w:rPr>
          <w:rStyle w:val="8"/>
          <w:rFonts w:hint="eastAsia" w:ascii="宋体" w:hAnsi="宋体"/>
          <w:color w:val="auto"/>
          <w:sz w:val="24"/>
          <w:szCs w:val="24"/>
          <w:highlight w:val="none"/>
        </w:rPr>
        <w:t xml:space="preserve">   2)承包人应于每月 25 日向监理人报送上月 20 日至当月 19 日已完成的工程量报告，并附具进度付款申请单、已完成工程量报表和有关资料。 </w:t>
      </w:r>
      <w:r>
        <w:rPr>
          <w:rStyle w:val="8"/>
          <w:rFonts w:hint="eastAsia" w:ascii="宋体" w:hAnsi="宋体"/>
          <w:color w:val="auto"/>
          <w:sz w:val="24"/>
          <w:szCs w:val="24"/>
          <w:highlight w:val="none"/>
        </w:rPr>
        <w:cr/>
      </w:r>
      <w:r>
        <w:rPr>
          <w:rStyle w:val="8"/>
          <w:rFonts w:hint="eastAsia" w:ascii="宋体" w:hAnsi="宋体"/>
          <w:color w:val="auto"/>
          <w:sz w:val="24"/>
          <w:szCs w:val="24"/>
          <w:highlight w:val="none"/>
        </w:rPr>
        <w:t xml:space="preserve">   3)监理人应在收到承包人提交的工程量报告后 7 天内完成对承包人提交的工程量报表的审核并报送发包人，以确定当月实际完成的工程量。</w:t>
      </w:r>
      <w:r>
        <w:rPr>
          <w:rStyle w:val="8"/>
          <w:rFonts w:hint="eastAsia" w:ascii="宋体" w:hAnsi="宋体"/>
          <w:color w:val="auto"/>
          <w:sz w:val="24"/>
          <w:szCs w:val="24"/>
          <w:highlight w:val="none"/>
        </w:rPr>
        <w:cr/>
      </w:r>
      <w:r>
        <w:rPr>
          <w:rStyle w:val="8"/>
          <w:rFonts w:hint="eastAsia" w:ascii="宋体" w:hAnsi="宋体"/>
          <w:color w:val="auto"/>
          <w:sz w:val="24"/>
          <w:szCs w:val="24"/>
          <w:highlight w:val="none"/>
        </w:rPr>
        <w:t xml:space="preserve">   4)</w:t>
      </w:r>
      <w:r>
        <w:rPr>
          <w:rStyle w:val="8"/>
          <w:rFonts w:hint="eastAsia" w:ascii="宋体" w:hAnsi="宋体"/>
          <w:color w:val="auto"/>
          <w:sz w:val="24"/>
          <w:szCs w:val="24"/>
          <w:highlight w:val="none"/>
          <w:lang w:eastAsia="zh-CN"/>
        </w:rPr>
        <w:t>竣工验收后，乙方负责向政府相关部门报验并通过审核验收合格，同时提交相关档案后，支付全部合同金额的 97%，合同金额的 3%作为质保金;</w:t>
      </w:r>
      <w:r>
        <w:rPr>
          <w:rStyle w:val="8"/>
          <w:rFonts w:hint="eastAsia" w:ascii="宋体" w:hAnsi="宋体"/>
          <w:color w:val="auto"/>
          <w:sz w:val="24"/>
          <w:szCs w:val="24"/>
          <w:highlight w:val="none"/>
        </w:rPr>
        <w:t xml:space="preserve"> </w:t>
      </w:r>
      <w:r>
        <w:rPr>
          <w:rStyle w:val="8"/>
          <w:rFonts w:hint="eastAsia" w:ascii="宋体" w:hAnsi="宋体"/>
          <w:color w:val="auto"/>
          <w:sz w:val="24"/>
          <w:szCs w:val="24"/>
          <w:highlight w:val="none"/>
        </w:rPr>
        <w:cr/>
      </w:r>
      <w:r>
        <w:rPr>
          <w:rStyle w:val="8"/>
          <w:rFonts w:hint="eastAsia" w:ascii="宋体" w:hAnsi="宋体"/>
          <w:color w:val="auto"/>
          <w:sz w:val="24"/>
          <w:szCs w:val="24"/>
          <w:highlight w:val="none"/>
        </w:rPr>
        <w:t xml:space="preserve">   </w:t>
      </w:r>
    </w:p>
    <w:p w14:paraId="61B249EF">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12.4.2 进度付款申请单的编制</w:t>
      </w:r>
    </w:p>
    <w:p w14:paraId="47F15F27">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关于进度付款申请单编制的约定：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按发包人要求。</w:t>
      </w:r>
    </w:p>
    <w:p w14:paraId="57CB75B2">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r>
        <w:rPr>
          <w:rStyle w:val="8"/>
          <w:rFonts w:ascii="宋体" w:hAnsi="宋体"/>
          <w:color w:val="auto"/>
          <w:kern w:val="2"/>
          <w:sz w:val="24"/>
          <w:szCs w:val="24"/>
          <w:highlight w:val="none"/>
        </w:rPr>
        <w:t>2.4.3 进度付款申请单的提交</w:t>
      </w:r>
    </w:p>
    <w:p w14:paraId="0E0D00C0">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（1）单价合同进度付款申请单提交的约定</w:t>
      </w:r>
      <w:r>
        <w:rPr>
          <w:rStyle w:val="8"/>
          <w:rFonts w:hint="eastAsia" w:ascii="宋体" w:hAnsi="宋体"/>
          <w:color w:val="auto"/>
          <w:kern w:val="2"/>
          <w:sz w:val="24"/>
          <w:szCs w:val="24"/>
          <w:highlight w:val="none"/>
        </w:rPr>
        <w:t>：</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执行通用条款。</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0AA74CA7">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（2）总价合同进度付款申请单提交的约定</w:t>
      </w:r>
      <w:r>
        <w:rPr>
          <w:rStyle w:val="8"/>
          <w:rFonts w:hint="eastAsia" w:ascii="宋体" w:hAnsi="宋体"/>
          <w:color w:val="auto"/>
          <w:kern w:val="2"/>
          <w:sz w:val="24"/>
          <w:szCs w:val="24"/>
          <w:highlight w:val="none"/>
        </w:rPr>
        <w:t>：</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6488C2A7">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（3）其他价格形式合同进度付款申请单提交的约定：</w:t>
      </w:r>
      <w:r>
        <w:rPr>
          <w:rStyle w:val="8"/>
          <w:rFonts w:ascii="宋体" w:hAnsi="宋体"/>
          <w:color w:val="auto"/>
          <w:kern w:val="2"/>
          <w:sz w:val="24"/>
          <w:szCs w:val="24"/>
          <w:highlight w:val="none"/>
          <w:u w:val="single"/>
        </w:rPr>
        <w:t xml:space="preserve">       </w:t>
      </w:r>
    </w:p>
    <w:p w14:paraId="113EA490">
      <w:pPr>
        <w:pStyle w:val="13"/>
        <w:spacing w:line="360" w:lineRule="auto"/>
        <w:jc w:val="left"/>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31C27CB7">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12.4.4 进度款审核和支付</w:t>
      </w:r>
    </w:p>
    <w:p w14:paraId="248A423E">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（1）监理人审查并报送发包人的期限：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1F727EE2">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发包人完成审批并签发进度款支付证书的期限：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14:paraId="7E68EFBD">
      <w:pPr>
        <w:pStyle w:val="13"/>
        <w:spacing w:line="360" w:lineRule="auto"/>
        <w:jc w:val="left"/>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0528545A">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（2）发包人支付进度款的期限：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双方商定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18E133DC">
      <w:pPr>
        <w:pStyle w:val="13"/>
        <w:spacing w:line="360" w:lineRule="auto"/>
        <w:ind w:firstLine="600" w:firstLineChars="25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发包人逾期支付进度款的违约金的计算方式：</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p>
    <w:p w14:paraId="6479FC7C">
      <w:pPr>
        <w:pStyle w:val="13"/>
        <w:spacing w:line="360" w:lineRule="auto"/>
        <w:jc w:val="left"/>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042BD18E">
      <w:pPr>
        <w:pStyle w:val="13"/>
        <w:spacing w:line="360" w:lineRule="auto"/>
        <w:ind w:firstLine="600" w:firstLineChars="25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12.4.6 支付分解表的编制</w:t>
      </w:r>
    </w:p>
    <w:p w14:paraId="566B779D">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2、总价合同支付分解表的编制与审批：</w:t>
      </w:r>
      <w:r>
        <w:rPr>
          <w:rStyle w:val="8"/>
          <w:rFonts w:ascii="宋体" w:hAnsi="宋体"/>
          <w:color w:val="auto"/>
          <w:kern w:val="2"/>
          <w:sz w:val="24"/>
          <w:szCs w:val="24"/>
          <w:highlight w:val="none"/>
          <w:u w:val="single"/>
        </w:rPr>
        <w:t xml:space="preserve">                  </w:t>
      </w:r>
    </w:p>
    <w:p w14:paraId="66473065">
      <w:pPr>
        <w:pStyle w:val="13"/>
        <w:spacing w:line="360" w:lineRule="auto"/>
        <w:ind w:left="4800" w:hanging="4800" w:hangingChars="20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5CA3A958">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3、单价合同的总价项目支付分解表的编制与审批：</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执行通用条款</w:t>
      </w:r>
    </w:p>
    <w:bookmarkEnd w:id="762"/>
    <w:p w14:paraId="7A47DE24">
      <w:pPr>
        <w:pStyle w:val="15"/>
        <w:spacing w:before="120" w:after="120" w:line="360" w:lineRule="auto"/>
        <w:outlineLvl w:val="9"/>
        <w:rPr>
          <w:rStyle w:val="8"/>
          <w:rFonts w:ascii="宋体" w:hAnsi="宋体" w:eastAsia="宋体"/>
          <w:b w:val="0"/>
          <w:color w:val="auto"/>
          <w:sz w:val="24"/>
          <w:szCs w:val="24"/>
          <w:highlight w:val="none"/>
        </w:rPr>
      </w:pPr>
      <w:bookmarkStart w:id="963" w:name="_Toc256000352"/>
      <w:bookmarkStart w:id="964" w:name="_Toc256000581"/>
      <w:bookmarkStart w:id="965" w:name="_Toc30296"/>
      <w:bookmarkStart w:id="966" w:name="_Toc69461172"/>
      <w:bookmarkStart w:id="967" w:name="_Toc69461827"/>
      <w:bookmarkStart w:id="968" w:name="_Toc351203645"/>
      <w:bookmarkStart w:id="969" w:name="_Toc256001315"/>
      <w:bookmarkStart w:id="970" w:name="_Toc8681"/>
      <w:bookmarkStart w:id="971" w:name="_Toc256001085"/>
      <w:bookmarkStart w:id="972" w:name="_Toc256000848"/>
      <w:bookmarkStart w:id="973" w:name="_Toc297120519"/>
      <w:bookmarkStart w:id="974" w:name="_Toc297123564"/>
      <w:bookmarkStart w:id="975" w:name="_Toc296346720"/>
      <w:bookmarkStart w:id="976" w:name="_Toc303539172"/>
      <w:bookmarkStart w:id="977" w:name="_Toc296891047"/>
      <w:bookmarkStart w:id="978" w:name="_Toc296944558"/>
      <w:bookmarkStart w:id="979" w:name="_Toc296891259"/>
      <w:bookmarkStart w:id="980" w:name="_Toc297216223"/>
      <w:bookmarkStart w:id="981" w:name="_Toc292559929"/>
      <w:bookmarkStart w:id="982" w:name="_Toc292559424"/>
      <w:bookmarkStart w:id="983" w:name="_Toc300935015"/>
      <w:bookmarkStart w:id="984" w:name="_Toc296347218"/>
      <w:bookmarkStart w:id="985" w:name="_Toc304295593"/>
      <w:bookmarkStart w:id="986" w:name="_Toc312678053"/>
      <w:bookmarkStart w:id="987" w:name="_Toc297048405"/>
      <w:bookmarkStart w:id="988" w:name="_Toc296503219"/>
      <w:r>
        <w:rPr>
          <w:rStyle w:val="8"/>
          <w:rFonts w:ascii="宋体" w:hAnsi="宋体" w:eastAsia="宋体"/>
          <w:b w:val="0"/>
          <w:color w:val="auto"/>
          <w:sz w:val="24"/>
          <w:szCs w:val="24"/>
          <w:highlight w:val="none"/>
        </w:rPr>
        <w:t>13.</w:t>
      </w:r>
      <w:r>
        <w:rPr>
          <w:rStyle w:val="8"/>
          <w:rFonts w:hint="eastAsia" w:ascii="宋体" w:hAnsi="宋体" w:eastAsia="宋体"/>
          <w:b w:val="0"/>
          <w:color w:val="auto"/>
          <w:sz w:val="24"/>
          <w:szCs w:val="24"/>
          <w:highlight w:val="none"/>
        </w:rPr>
        <w:t xml:space="preserve"> </w:t>
      </w:r>
      <w:r>
        <w:rPr>
          <w:rStyle w:val="8"/>
          <w:rFonts w:ascii="宋体" w:hAnsi="宋体" w:eastAsia="宋体"/>
          <w:b w:val="0"/>
          <w:color w:val="auto"/>
          <w:sz w:val="24"/>
          <w:szCs w:val="24"/>
          <w:highlight w:val="none"/>
        </w:rPr>
        <w:t>验收和工程试车</w:t>
      </w:r>
      <w:bookmarkEnd w:id="963"/>
      <w:bookmarkEnd w:id="964"/>
      <w:bookmarkEnd w:id="965"/>
      <w:bookmarkEnd w:id="966"/>
      <w:bookmarkEnd w:id="967"/>
      <w:bookmarkEnd w:id="968"/>
      <w:bookmarkEnd w:id="969"/>
      <w:bookmarkEnd w:id="970"/>
      <w:bookmarkEnd w:id="971"/>
      <w:bookmarkEnd w:id="972"/>
    </w:p>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14:paraId="2D56A861">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13.1 分部分项工程验收</w:t>
      </w:r>
    </w:p>
    <w:p w14:paraId="2BC4B75E">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13.1.2监理人不能按时进行验收时，应提前</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小时提交书面延期要求。</w:t>
      </w:r>
    </w:p>
    <w:p w14:paraId="5503BEE0">
      <w:pPr>
        <w:pStyle w:val="13"/>
        <w:spacing w:line="360" w:lineRule="auto"/>
        <w:ind w:firstLine="480" w:firstLineChars="200"/>
        <w:jc w:val="left"/>
        <w:rPr>
          <w:rStyle w:val="8"/>
          <w:rFonts w:ascii="宋体" w:hAnsi="宋体"/>
          <w:b/>
          <w:color w:val="auto"/>
          <w:kern w:val="2"/>
          <w:sz w:val="24"/>
          <w:szCs w:val="24"/>
          <w:highlight w:val="none"/>
        </w:rPr>
      </w:pPr>
      <w:r>
        <w:rPr>
          <w:rStyle w:val="8"/>
          <w:rFonts w:ascii="宋体" w:hAnsi="宋体"/>
          <w:color w:val="auto"/>
          <w:kern w:val="2"/>
          <w:sz w:val="24"/>
          <w:szCs w:val="24"/>
          <w:highlight w:val="none"/>
        </w:rPr>
        <w:t>关于延期最长不得超过：</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小时。</w:t>
      </w:r>
    </w:p>
    <w:p w14:paraId="4E3EB310">
      <w:pPr>
        <w:pStyle w:val="13"/>
        <w:spacing w:after="120" w:line="360" w:lineRule="auto"/>
        <w:ind w:firstLine="480" w:firstLineChars="200"/>
        <w:rPr>
          <w:rStyle w:val="8"/>
          <w:rFonts w:ascii="宋体" w:hAnsi="宋体"/>
          <w:color w:val="auto"/>
          <w:kern w:val="2"/>
          <w:sz w:val="24"/>
          <w:szCs w:val="24"/>
          <w:highlight w:val="none"/>
        </w:rPr>
      </w:pPr>
      <w:bookmarkStart w:id="989" w:name="_Toc296503223"/>
      <w:bookmarkStart w:id="990" w:name="_Toc300935016"/>
      <w:bookmarkStart w:id="991" w:name="_Toc297120523"/>
      <w:bookmarkStart w:id="992" w:name="_Toc296891263"/>
      <w:bookmarkStart w:id="993" w:name="_Toc312678056"/>
      <w:bookmarkStart w:id="994" w:name="_Toc296347222"/>
      <w:bookmarkStart w:id="995" w:name="_Toc297216224"/>
      <w:bookmarkStart w:id="996" w:name="_Toc304295596"/>
      <w:bookmarkStart w:id="997" w:name="_Toc297048409"/>
      <w:bookmarkStart w:id="998" w:name="_Toc292559428"/>
      <w:bookmarkStart w:id="999" w:name="_Toc303539173"/>
      <w:bookmarkStart w:id="1000" w:name="_Toc296944562"/>
      <w:bookmarkStart w:id="1001" w:name="_Toc297123565"/>
      <w:bookmarkStart w:id="1002" w:name="_Toc292559933"/>
      <w:bookmarkStart w:id="1003" w:name="_Toc296891051"/>
      <w:bookmarkStart w:id="1004" w:name="_Toc296346724"/>
      <w:bookmarkStart w:id="1005" w:name="_Toc267251470"/>
      <w:bookmarkStart w:id="1006" w:name="_Toc267251476"/>
      <w:bookmarkStart w:id="1007" w:name="_Toc267251475"/>
      <w:bookmarkStart w:id="1008" w:name="_Toc267251474"/>
      <w:bookmarkStart w:id="1009" w:name="_Toc267251471"/>
      <w:bookmarkStart w:id="1010" w:name="_Toc267251472"/>
      <w:bookmarkStart w:id="1011" w:name="_Toc267251473"/>
      <w:r>
        <w:rPr>
          <w:rStyle w:val="8"/>
          <w:rFonts w:ascii="宋体" w:hAnsi="宋体"/>
          <w:color w:val="auto"/>
          <w:kern w:val="2"/>
          <w:sz w:val="24"/>
          <w:szCs w:val="24"/>
          <w:highlight w:val="none"/>
        </w:rPr>
        <w:t>13.2 竣工验收</w:t>
      </w:r>
    </w:p>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14:paraId="5586D2C0">
      <w:pPr>
        <w:pStyle w:val="13"/>
        <w:spacing w:line="360" w:lineRule="auto"/>
        <w:ind w:firstLine="480" w:firstLineChars="200"/>
        <w:jc w:val="left"/>
        <w:rPr>
          <w:rStyle w:val="8"/>
          <w:rFonts w:ascii="宋体" w:hAnsi="宋体"/>
          <w:color w:val="auto"/>
          <w:kern w:val="2"/>
          <w:sz w:val="24"/>
          <w:szCs w:val="24"/>
          <w:highlight w:val="none"/>
        </w:rPr>
      </w:pPr>
      <w:bookmarkStart w:id="1012" w:name="_Toc280868704"/>
      <w:bookmarkStart w:id="1013" w:name="_Toc280868705"/>
      <w:bookmarkStart w:id="1014" w:name="_Toc280868706"/>
      <w:bookmarkStart w:id="1015" w:name="_Toc280868707"/>
      <w:bookmarkStart w:id="1016" w:name="_Toc280868708"/>
      <w:bookmarkStart w:id="1017" w:name="_Toc280868709"/>
      <w:r>
        <w:rPr>
          <w:rStyle w:val="8"/>
          <w:rFonts w:ascii="宋体" w:hAnsi="宋体"/>
          <w:color w:val="auto"/>
          <w:kern w:val="2"/>
          <w:sz w:val="24"/>
          <w:szCs w:val="24"/>
          <w:highlight w:val="none"/>
        </w:rPr>
        <w:t>13.2.2竣工验收程序</w:t>
      </w:r>
    </w:p>
    <w:bookmarkEnd w:id="1012"/>
    <w:p w14:paraId="0DA6E909">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关于竣工验收程序的约定：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执行通用条款</w:t>
      </w:r>
      <w:r>
        <w:rPr>
          <w:rStyle w:val="8"/>
          <w:rFonts w:ascii="宋体" w:hAnsi="宋体"/>
          <w:color w:val="auto"/>
          <w:kern w:val="2"/>
          <w:sz w:val="24"/>
          <w:szCs w:val="24"/>
          <w:highlight w:val="none"/>
          <w:u w:val="single"/>
        </w:rPr>
        <w:t xml:space="preserve">                        </w:t>
      </w:r>
    </w:p>
    <w:p w14:paraId="574FD6F8">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发包人不按照本项约定组织竣工验收、颁发工程接收证书的违约金的计算方法：</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14:paraId="4DDAFDC9">
      <w:pPr>
        <w:pStyle w:val="13"/>
        <w:spacing w:line="360" w:lineRule="auto"/>
        <w:jc w:val="left"/>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bookmarkEnd w:id="1013"/>
    <w:p w14:paraId="088AF3FC">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13.2.5移交、接收全部与部分工程</w:t>
      </w:r>
    </w:p>
    <w:bookmarkEnd w:id="1014"/>
    <w:p w14:paraId="6DFA8517">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sz w:val="24"/>
          <w:szCs w:val="24"/>
          <w:highlight w:val="none"/>
        </w:rPr>
        <w:t>承包人向发包人移交工程的期限：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乙方向政府相关部门报验并通过审核验收合格后,整体工程验收后10天内，承包人须无条件向发包人移交全部工程   。</w:t>
      </w:r>
    </w:p>
    <w:p w14:paraId="33D19900">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发包人未按本合同约定接收全部或部分工程的，违约金的计算方法为：</w:t>
      </w:r>
      <w:r>
        <w:rPr>
          <w:rStyle w:val="8"/>
          <w:rFonts w:hint="eastAsia" w:ascii="宋体" w:hAnsi="宋体"/>
          <w:color w:val="auto"/>
          <w:kern w:val="2"/>
          <w:sz w:val="24"/>
          <w:szCs w:val="24"/>
          <w:highlight w:val="none"/>
          <w:u w:val="single"/>
        </w:rPr>
        <w:t xml:space="preserve">  /  </w:t>
      </w:r>
    </w:p>
    <w:bookmarkEnd w:id="1015"/>
    <w:p w14:paraId="20EE02B4">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承包人未按时移交工程的，违约金的计算方法为：</w:t>
      </w:r>
      <w:r>
        <w:rPr>
          <w:rStyle w:val="8"/>
          <w:rFonts w:hint="eastAsia" w:ascii="宋体" w:hAnsi="宋体"/>
          <w:color w:val="auto"/>
          <w:kern w:val="2"/>
          <w:sz w:val="24"/>
          <w:szCs w:val="24"/>
          <w:highlight w:val="none"/>
          <w:u w:val="single"/>
        </w:rPr>
        <w:t xml:space="preserve">  / </w:t>
      </w:r>
    </w:p>
    <w:p w14:paraId="5DACD2F7">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13.3 工程试车</w:t>
      </w:r>
    </w:p>
    <w:bookmarkEnd w:id="1016"/>
    <w:p w14:paraId="1104646D">
      <w:pPr>
        <w:pStyle w:val="13"/>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13.3.1 试车程序</w:t>
      </w:r>
    </w:p>
    <w:p w14:paraId="311E0AFF">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工程试车内容：</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14:paraId="51970DEB">
      <w:pPr>
        <w:pStyle w:val="13"/>
        <w:spacing w:line="360" w:lineRule="auto"/>
        <w:jc w:val="left"/>
        <w:rPr>
          <w:rStyle w:val="8"/>
          <w:rFonts w:ascii="宋体" w:hAnsi="宋体"/>
          <w:color w:val="auto"/>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6D008945">
      <w:pPr>
        <w:pStyle w:val="13"/>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（1）单机无负荷试车费用由</w:t>
      </w:r>
      <w:r>
        <w:rPr>
          <w:rStyle w:val="8"/>
          <w:rFonts w:ascii="宋体" w:hAnsi="宋体"/>
          <w:color w:val="auto"/>
          <w:kern w:val="2"/>
          <w:sz w:val="24"/>
          <w:szCs w:val="24"/>
          <w:highlight w:val="none"/>
          <w:u w:val="single"/>
        </w:rPr>
        <w:t xml:space="preserve">                     </w:t>
      </w:r>
      <w:r>
        <w:rPr>
          <w:rStyle w:val="8"/>
          <w:rFonts w:ascii="宋体" w:hAnsi="宋体"/>
          <w:color w:val="auto"/>
          <w:sz w:val="24"/>
          <w:szCs w:val="24"/>
          <w:highlight w:val="none"/>
        </w:rPr>
        <w:t>承担；</w:t>
      </w:r>
    </w:p>
    <w:p w14:paraId="36265D07">
      <w:pPr>
        <w:pStyle w:val="13"/>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（2）无负荷联动试车费用由</w:t>
      </w:r>
      <w:r>
        <w:rPr>
          <w:rStyle w:val="8"/>
          <w:rFonts w:ascii="宋体" w:hAnsi="宋体"/>
          <w:color w:val="auto"/>
          <w:kern w:val="2"/>
          <w:sz w:val="24"/>
          <w:szCs w:val="24"/>
          <w:highlight w:val="none"/>
          <w:u w:val="single"/>
        </w:rPr>
        <w:t xml:space="preserve">                     </w:t>
      </w:r>
      <w:r>
        <w:rPr>
          <w:rStyle w:val="8"/>
          <w:rFonts w:ascii="宋体" w:hAnsi="宋体"/>
          <w:color w:val="auto"/>
          <w:sz w:val="24"/>
          <w:szCs w:val="24"/>
          <w:highlight w:val="none"/>
        </w:rPr>
        <w:t>承担。</w:t>
      </w:r>
    </w:p>
    <w:p w14:paraId="2B189318">
      <w:pPr>
        <w:pStyle w:val="13"/>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13.3.3 投料试车</w:t>
      </w:r>
    </w:p>
    <w:p w14:paraId="6AEACBC8">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sz w:val="24"/>
          <w:szCs w:val="24"/>
          <w:highlight w:val="none"/>
        </w:rPr>
        <w:t>关于投料试车相关事项的约定：</w:t>
      </w:r>
      <w:r>
        <w:rPr>
          <w:rStyle w:val="8"/>
          <w:rFonts w:hint="eastAsia" w:ascii="宋体" w:hAnsi="宋体"/>
          <w:color w:val="auto"/>
          <w:kern w:val="2"/>
          <w:sz w:val="24"/>
          <w:szCs w:val="24"/>
          <w:highlight w:val="none"/>
          <w:u w:val="single"/>
        </w:rPr>
        <w:t xml:space="preserve">                           </w:t>
      </w:r>
    </w:p>
    <w:p w14:paraId="36314F8D">
      <w:pPr>
        <w:pStyle w:val="13"/>
        <w:spacing w:line="360" w:lineRule="auto"/>
        <w:jc w:val="left"/>
        <w:rPr>
          <w:rStyle w:val="8"/>
          <w:rFonts w:ascii="宋体" w:hAnsi="宋体"/>
          <w:color w:val="auto"/>
          <w:sz w:val="24"/>
          <w:szCs w:val="24"/>
          <w:highlight w:val="none"/>
        </w:rPr>
      </w:pP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4B9257C3">
      <w:pPr>
        <w:pStyle w:val="13"/>
        <w:spacing w:after="120" w:line="360" w:lineRule="auto"/>
        <w:ind w:firstLine="480" w:firstLineChars="200"/>
        <w:rPr>
          <w:rStyle w:val="8"/>
          <w:rFonts w:ascii="宋体" w:hAnsi="宋体"/>
          <w:color w:val="auto"/>
          <w:kern w:val="2"/>
          <w:sz w:val="24"/>
          <w:szCs w:val="24"/>
          <w:highlight w:val="none"/>
        </w:rPr>
      </w:pPr>
      <w:bookmarkStart w:id="1018" w:name="_Toc256000113"/>
      <w:bookmarkStart w:id="1019" w:name="_Toc59198340"/>
      <w:bookmarkStart w:id="1020" w:name="_Toc45291960"/>
      <w:bookmarkStart w:id="1021" w:name="_Toc351203646"/>
      <w:r>
        <w:rPr>
          <w:rStyle w:val="8"/>
          <w:rFonts w:hint="eastAsia" w:ascii="宋体" w:hAnsi="宋体"/>
          <w:color w:val="auto"/>
          <w:kern w:val="2"/>
          <w:sz w:val="24"/>
          <w:szCs w:val="24"/>
          <w:highlight w:val="none"/>
        </w:rPr>
        <w:t>13.6 竣工退场</w:t>
      </w:r>
      <w:bookmarkEnd w:id="1018"/>
      <w:bookmarkEnd w:id="1019"/>
      <w:bookmarkEnd w:id="1020"/>
    </w:p>
    <w:p w14:paraId="7E44FBA5">
      <w:pPr>
        <w:pStyle w:val="13"/>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13.6.1 竣工退场</w:t>
      </w:r>
    </w:p>
    <w:p w14:paraId="383D1D3A">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sz w:val="24"/>
          <w:szCs w:val="24"/>
          <w:highlight w:val="none"/>
        </w:rPr>
        <w:t>承包人完成竣工退场的期限：</w:t>
      </w:r>
      <w:r>
        <w:rPr>
          <w:rStyle w:val="8"/>
          <w:rFonts w:hint="eastAsia" w:ascii="宋体" w:hAnsi="宋体"/>
          <w:color w:val="auto"/>
          <w:kern w:val="2"/>
          <w:sz w:val="24"/>
          <w:szCs w:val="24"/>
          <w:highlight w:val="none"/>
          <w:u w:val="single"/>
        </w:rPr>
        <w:t xml:space="preserve"> 竣工验收合格，并提交完整的工程存档资料后退场  。</w:t>
      </w:r>
    </w:p>
    <w:p w14:paraId="0DEAABAC">
      <w:pPr>
        <w:pStyle w:val="15"/>
        <w:spacing w:before="120" w:after="120" w:line="360" w:lineRule="auto"/>
        <w:outlineLvl w:val="9"/>
        <w:rPr>
          <w:rStyle w:val="8"/>
          <w:rFonts w:ascii="宋体" w:hAnsi="宋体" w:eastAsia="宋体"/>
          <w:b w:val="0"/>
          <w:color w:val="auto"/>
          <w:sz w:val="24"/>
          <w:szCs w:val="24"/>
          <w:highlight w:val="none"/>
        </w:rPr>
      </w:pPr>
      <w:bookmarkStart w:id="1022" w:name="_Toc256000849"/>
      <w:bookmarkStart w:id="1023" w:name="_Toc8609"/>
      <w:bookmarkStart w:id="1024" w:name="_Toc256001086"/>
      <w:bookmarkStart w:id="1025" w:name="_Toc69461828"/>
      <w:bookmarkStart w:id="1026" w:name="_Toc256001316"/>
      <w:bookmarkStart w:id="1027" w:name="_Toc69461173"/>
      <w:bookmarkStart w:id="1028" w:name="_Toc256000582"/>
      <w:bookmarkStart w:id="1029" w:name="_Toc256000353"/>
      <w:bookmarkStart w:id="1030" w:name="_Toc24276"/>
      <w:r>
        <w:rPr>
          <w:rStyle w:val="8"/>
          <w:rFonts w:ascii="宋体" w:hAnsi="宋体" w:eastAsia="宋体"/>
          <w:b w:val="0"/>
          <w:color w:val="auto"/>
          <w:sz w:val="24"/>
          <w:szCs w:val="24"/>
          <w:highlight w:val="none"/>
        </w:rPr>
        <w:t>14. 竣工结算</w:t>
      </w:r>
      <w:bookmarkEnd w:id="1021"/>
      <w:bookmarkEnd w:id="1022"/>
      <w:bookmarkEnd w:id="1023"/>
      <w:bookmarkEnd w:id="1024"/>
      <w:bookmarkEnd w:id="1025"/>
      <w:bookmarkEnd w:id="1026"/>
      <w:bookmarkEnd w:id="1027"/>
      <w:bookmarkEnd w:id="1028"/>
      <w:bookmarkEnd w:id="1029"/>
      <w:bookmarkEnd w:id="1030"/>
    </w:p>
    <w:p w14:paraId="11D9F1E0">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14.1 竣工</w:t>
      </w:r>
      <w:r>
        <w:rPr>
          <w:rStyle w:val="8"/>
          <w:rFonts w:hint="eastAsia" w:ascii="宋体" w:hAnsi="宋体"/>
          <w:color w:val="auto"/>
          <w:kern w:val="2"/>
          <w:sz w:val="24"/>
          <w:szCs w:val="24"/>
          <w:highlight w:val="none"/>
        </w:rPr>
        <w:t>结算</w:t>
      </w:r>
      <w:r>
        <w:rPr>
          <w:rStyle w:val="8"/>
          <w:rFonts w:ascii="宋体" w:hAnsi="宋体"/>
          <w:color w:val="auto"/>
          <w:kern w:val="2"/>
          <w:sz w:val="24"/>
          <w:szCs w:val="24"/>
          <w:highlight w:val="none"/>
        </w:rPr>
        <w:t>申请</w:t>
      </w:r>
    </w:p>
    <w:p w14:paraId="7DB8F6CC">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承包人提交竣工</w:t>
      </w:r>
      <w:r>
        <w:rPr>
          <w:rStyle w:val="8"/>
          <w:rFonts w:hint="eastAsia" w:ascii="宋体" w:hAnsi="宋体"/>
          <w:color w:val="auto"/>
          <w:kern w:val="2"/>
          <w:sz w:val="24"/>
          <w:szCs w:val="24"/>
          <w:highlight w:val="none"/>
        </w:rPr>
        <w:t>结算</w:t>
      </w:r>
      <w:r>
        <w:rPr>
          <w:rStyle w:val="8"/>
          <w:rFonts w:ascii="宋体" w:hAnsi="宋体"/>
          <w:color w:val="auto"/>
          <w:kern w:val="2"/>
          <w:sz w:val="24"/>
          <w:szCs w:val="24"/>
          <w:highlight w:val="none"/>
        </w:rPr>
        <w:t>申请单的期限：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00A2D1E6">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竣工</w:t>
      </w:r>
      <w:r>
        <w:rPr>
          <w:rStyle w:val="8"/>
          <w:rFonts w:hint="eastAsia" w:ascii="宋体" w:hAnsi="宋体"/>
          <w:color w:val="auto"/>
          <w:kern w:val="2"/>
          <w:sz w:val="24"/>
          <w:szCs w:val="24"/>
          <w:highlight w:val="none"/>
        </w:rPr>
        <w:t>结算</w:t>
      </w:r>
      <w:r>
        <w:rPr>
          <w:rStyle w:val="8"/>
          <w:rFonts w:ascii="宋体" w:hAnsi="宋体"/>
          <w:color w:val="auto"/>
          <w:kern w:val="2"/>
          <w:sz w:val="24"/>
          <w:szCs w:val="24"/>
          <w:highlight w:val="none"/>
        </w:rPr>
        <w:t>申请单应包括的内容：</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执行通用条款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14:paraId="1E140ACF">
      <w:pPr>
        <w:pStyle w:val="13"/>
        <w:spacing w:after="120" w:line="360" w:lineRule="auto"/>
        <w:ind w:firstLine="480" w:firstLineChars="200"/>
        <w:outlineLvl w:val="9"/>
        <w:rPr>
          <w:rStyle w:val="8"/>
          <w:rFonts w:ascii="宋体" w:hAnsi="宋体"/>
          <w:color w:val="auto"/>
          <w:kern w:val="2"/>
          <w:sz w:val="24"/>
          <w:szCs w:val="24"/>
          <w:highlight w:val="none"/>
        </w:rPr>
      </w:pPr>
      <w:bookmarkStart w:id="1031" w:name="_Toc256001317"/>
      <w:bookmarkStart w:id="1032" w:name="_Toc69461174"/>
      <w:bookmarkStart w:id="1033" w:name="_Toc711"/>
      <w:bookmarkStart w:id="1034" w:name="_Toc256000097"/>
      <w:bookmarkStart w:id="1035" w:name="_Toc256000583"/>
      <w:bookmarkStart w:id="1036" w:name="_Toc256000064"/>
      <w:bookmarkStart w:id="1037" w:name="_Toc69461829"/>
      <w:bookmarkStart w:id="1038" w:name="_Toc28482"/>
      <w:bookmarkStart w:id="1039" w:name="_Toc256001087"/>
      <w:bookmarkStart w:id="1040" w:name="_Toc256000354"/>
      <w:bookmarkStart w:id="1041" w:name="_Toc18186"/>
      <w:bookmarkStart w:id="1042" w:name="_Toc256000850"/>
      <w:bookmarkStart w:id="1043" w:name="_Toc2368"/>
      <w:r>
        <w:rPr>
          <w:rStyle w:val="8"/>
          <w:rFonts w:ascii="宋体" w:hAnsi="宋体"/>
          <w:color w:val="auto"/>
          <w:kern w:val="2"/>
          <w:sz w:val="24"/>
          <w:szCs w:val="24"/>
          <w:highlight w:val="none"/>
        </w:rPr>
        <w:t>14.2 竣工结算审核</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p>
    <w:p w14:paraId="29E637DD">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发包人</w:t>
      </w:r>
      <w:r>
        <w:rPr>
          <w:rStyle w:val="8"/>
          <w:rFonts w:hint="eastAsia" w:ascii="宋体" w:hAnsi="宋体"/>
          <w:color w:val="auto"/>
          <w:kern w:val="2"/>
          <w:sz w:val="24"/>
          <w:szCs w:val="24"/>
          <w:highlight w:val="none"/>
        </w:rPr>
        <w:t>审批</w:t>
      </w:r>
      <w:r>
        <w:rPr>
          <w:rStyle w:val="8"/>
          <w:rFonts w:ascii="宋体" w:hAnsi="宋体"/>
          <w:color w:val="auto"/>
          <w:kern w:val="2"/>
          <w:sz w:val="24"/>
          <w:szCs w:val="24"/>
          <w:highlight w:val="none"/>
        </w:rPr>
        <w:t>竣工付款申请单的期限：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0430CB70">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发包人完成竣工付款的期限：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6DC8350D">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rPr>
        <w:t>关于竣工付款证书异议部分复核的方式和程序：</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p>
    <w:p w14:paraId="536F2062">
      <w:pPr>
        <w:pStyle w:val="13"/>
        <w:spacing w:line="360" w:lineRule="auto"/>
        <w:jc w:val="left"/>
        <w:rPr>
          <w:rStyle w:val="8"/>
          <w:rFonts w:ascii="宋体" w:hAnsi="宋体"/>
          <w:color w:val="auto"/>
          <w:kern w:val="2"/>
          <w:sz w:val="24"/>
          <w:szCs w:val="24"/>
          <w:highlight w:val="none"/>
        </w:rPr>
      </w:pP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675BCA94">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14.4 最终结清</w:t>
      </w:r>
    </w:p>
    <w:p w14:paraId="1381CB63">
      <w:pPr>
        <w:pStyle w:val="13"/>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14.4.1 最终结清申请单</w:t>
      </w:r>
    </w:p>
    <w:p w14:paraId="795ED6DC">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承包人提交最终结清申请单的份数：</w:t>
      </w:r>
      <w:r>
        <w:rPr>
          <w:rStyle w:val="8"/>
          <w:rFonts w:hint="eastAsia" w:ascii="宋体" w:hAnsi="宋体"/>
          <w:color w:val="auto"/>
          <w:kern w:val="2"/>
          <w:sz w:val="24"/>
          <w:szCs w:val="24"/>
          <w:highlight w:val="none"/>
          <w:u w:val="single"/>
        </w:rPr>
        <w:t>承包人向发包人提交6套，同时相应备有全套PDF电子文件，以及计算价款的可编辑电子文档，一并递交发包人  。</w:t>
      </w:r>
    </w:p>
    <w:p w14:paraId="44DBA1E2">
      <w:pPr>
        <w:pStyle w:val="13"/>
        <w:spacing w:line="360" w:lineRule="auto"/>
        <w:ind w:firstLine="480" w:firstLineChars="200"/>
        <w:jc w:val="left"/>
        <w:rPr>
          <w:rStyle w:val="8"/>
          <w:rFonts w:ascii="宋体" w:hAnsi="宋体"/>
          <w:color w:val="auto"/>
          <w:sz w:val="24"/>
          <w:szCs w:val="24"/>
          <w:highlight w:val="none"/>
        </w:rPr>
      </w:pPr>
    </w:p>
    <w:p w14:paraId="4E537937">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sz w:val="24"/>
          <w:szCs w:val="24"/>
          <w:highlight w:val="none"/>
        </w:rPr>
        <w:t>承包人提交最终结算申请单的期限：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 xml:space="preserve">。 </w:t>
      </w:r>
    </w:p>
    <w:p w14:paraId="37373F18">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14.4.2 最终结清证书和支付</w:t>
      </w:r>
    </w:p>
    <w:p w14:paraId="3AC6FBAF">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（1）发包人完成最终结清申请单的</w:t>
      </w:r>
      <w:r>
        <w:rPr>
          <w:rStyle w:val="8"/>
          <w:rFonts w:hint="eastAsia" w:ascii="宋体" w:hAnsi="宋体"/>
          <w:color w:val="auto"/>
          <w:kern w:val="2"/>
          <w:sz w:val="24"/>
          <w:szCs w:val="24"/>
          <w:highlight w:val="none"/>
        </w:rPr>
        <w:t>审批</w:t>
      </w:r>
      <w:r>
        <w:rPr>
          <w:rStyle w:val="8"/>
          <w:rFonts w:ascii="宋体" w:hAnsi="宋体"/>
          <w:color w:val="auto"/>
          <w:kern w:val="2"/>
          <w:sz w:val="24"/>
          <w:szCs w:val="24"/>
          <w:highlight w:val="none"/>
        </w:rPr>
        <w:t>并颁发最终结清证书的期限：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由双方另行商定</w:t>
      </w:r>
      <w:r>
        <w:rPr>
          <w:rStyle w:val="8"/>
          <w:rFonts w:ascii="宋体" w:hAnsi="宋体"/>
          <w:color w:val="auto"/>
          <w:kern w:val="2"/>
          <w:sz w:val="24"/>
          <w:szCs w:val="24"/>
          <w:highlight w:val="none"/>
          <w:u w:val="single"/>
        </w:rPr>
        <w:t>。</w:t>
      </w:r>
    </w:p>
    <w:p w14:paraId="7045632C">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（2）发包人完成支付的期限：</w:t>
      </w:r>
      <w:r>
        <w:rPr>
          <w:rStyle w:val="8"/>
          <w:rFonts w:hint="eastAsia" w:ascii="宋体" w:hAnsi="宋体"/>
          <w:color w:val="auto"/>
          <w:kern w:val="2"/>
          <w:sz w:val="24"/>
          <w:szCs w:val="24"/>
          <w:highlight w:val="none"/>
          <w:u w:val="single"/>
        </w:rPr>
        <w:t xml:space="preserve">由双方另行商定 </w:t>
      </w:r>
    </w:p>
    <w:bookmarkEnd w:id="1005"/>
    <w:bookmarkEnd w:id="1006"/>
    <w:bookmarkEnd w:id="1007"/>
    <w:bookmarkEnd w:id="1008"/>
    <w:bookmarkEnd w:id="1009"/>
    <w:bookmarkEnd w:id="1010"/>
    <w:bookmarkEnd w:id="1011"/>
    <w:bookmarkEnd w:id="1017"/>
    <w:p w14:paraId="4C4C5717">
      <w:pPr>
        <w:pStyle w:val="15"/>
        <w:spacing w:before="120" w:after="120" w:line="360" w:lineRule="auto"/>
        <w:outlineLvl w:val="9"/>
        <w:rPr>
          <w:rStyle w:val="8"/>
          <w:rFonts w:ascii="宋体" w:hAnsi="宋体" w:eastAsia="宋体"/>
          <w:b w:val="0"/>
          <w:color w:val="auto"/>
          <w:sz w:val="24"/>
          <w:szCs w:val="24"/>
          <w:highlight w:val="none"/>
        </w:rPr>
      </w:pPr>
      <w:bookmarkStart w:id="1044" w:name="_Toc256001318"/>
      <w:bookmarkStart w:id="1045" w:name="_Toc256000851"/>
      <w:bookmarkStart w:id="1046" w:name="_Toc351203647"/>
      <w:bookmarkStart w:id="1047" w:name="_Toc256001088"/>
      <w:bookmarkStart w:id="1048" w:name="_Toc69461830"/>
      <w:bookmarkStart w:id="1049" w:name="_Toc256000584"/>
      <w:bookmarkStart w:id="1050" w:name="_Toc32547"/>
      <w:bookmarkStart w:id="1051" w:name="_Toc17923"/>
      <w:bookmarkStart w:id="1052" w:name="_Toc69461175"/>
      <w:bookmarkStart w:id="1053" w:name="_Toc256000355"/>
      <w:bookmarkStart w:id="1054" w:name="_Toc267251483"/>
      <w:bookmarkStart w:id="1055" w:name="_Toc267251484"/>
      <w:bookmarkStart w:id="1056" w:name="_Toc267251482"/>
      <w:bookmarkStart w:id="1057" w:name="_Toc267251485"/>
      <w:bookmarkStart w:id="1058" w:name="_Toc267251486"/>
      <w:bookmarkStart w:id="1059" w:name="_Toc267251490"/>
      <w:bookmarkStart w:id="1060" w:name="_Toc267251488"/>
      <w:bookmarkStart w:id="1061" w:name="_Toc267251489"/>
      <w:bookmarkStart w:id="1062" w:name="_Toc267251497"/>
      <w:bookmarkStart w:id="1063" w:name="_Toc267251503"/>
      <w:bookmarkStart w:id="1064" w:name="_Toc267251502"/>
      <w:bookmarkStart w:id="1065" w:name="_Toc267251492"/>
      <w:bookmarkStart w:id="1066" w:name="_Toc267251495"/>
      <w:bookmarkStart w:id="1067" w:name="_Toc267251494"/>
      <w:bookmarkStart w:id="1068" w:name="_Toc267251496"/>
      <w:bookmarkStart w:id="1069" w:name="_Toc267251491"/>
      <w:bookmarkStart w:id="1070" w:name="_Toc267251499"/>
      <w:bookmarkStart w:id="1071" w:name="_Toc267251493"/>
      <w:bookmarkStart w:id="1072" w:name="_Toc267251498"/>
      <w:bookmarkStart w:id="1073" w:name="_Toc267251501"/>
      <w:bookmarkStart w:id="1074" w:name="_Toc267251504"/>
      <w:bookmarkStart w:id="1075" w:name="_Toc267251506"/>
      <w:bookmarkStart w:id="1076" w:name="_Toc267251507"/>
      <w:bookmarkStart w:id="1077" w:name="_Toc267251508"/>
      <w:bookmarkStart w:id="1078" w:name="_Toc267251509"/>
      <w:bookmarkStart w:id="1079" w:name="_Toc267251513"/>
      <w:bookmarkStart w:id="1080" w:name="_Toc267251514"/>
      <w:bookmarkStart w:id="1081" w:name="_Toc267251510"/>
      <w:bookmarkStart w:id="1082" w:name="_Toc267251511"/>
      <w:bookmarkStart w:id="1083" w:name="_Toc267251515"/>
      <w:r>
        <w:rPr>
          <w:rStyle w:val="8"/>
          <w:rFonts w:ascii="宋体" w:hAnsi="宋体" w:eastAsia="宋体"/>
          <w:b w:val="0"/>
          <w:color w:val="auto"/>
          <w:sz w:val="24"/>
          <w:szCs w:val="24"/>
          <w:highlight w:val="none"/>
        </w:rPr>
        <w:t>15. 缺陷责任期与保修</w:t>
      </w:r>
      <w:bookmarkEnd w:id="1044"/>
      <w:bookmarkEnd w:id="1045"/>
      <w:bookmarkEnd w:id="1046"/>
      <w:bookmarkEnd w:id="1047"/>
      <w:bookmarkEnd w:id="1048"/>
      <w:bookmarkEnd w:id="1049"/>
      <w:bookmarkEnd w:id="1050"/>
      <w:bookmarkEnd w:id="1051"/>
      <w:bookmarkEnd w:id="1052"/>
      <w:bookmarkEnd w:id="1053"/>
    </w:p>
    <w:p w14:paraId="24C9F77E">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15.2缺陷责任期</w:t>
      </w:r>
      <w:bookmarkEnd w:id="1054"/>
    </w:p>
    <w:p w14:paraId="6BD6E152">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缺陷责任期的具体期限：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除国家规定的期限外其余为 24个月 </w:t>
      </w:r>
    </w:p>
    <w:p w14:paraId="71A41213">
      <w:pPr>
        <w:pStyle w:val="13"/>
        <w:spacing w:after="120" w:line="360" w:lineRule="auto"/>
        <w:ind w:firstLine="480" w:firstLineChars="200"/>
        <w:outlineLvl w:val="9"/>
        <w:rPr>
          <w:rStyle w:val="8"/>
          <w:rFonts w:ascii="宋体" w:hAnsi="宋体"/>
          <w:color w:val="auto"/>
          <w:kern w:val="2"/>
          <w:sz w:val="24"/>
          <w:szCs w:val="24"/>
          <w:highlight w:val="none"/>
        </w:rPr>
      </w:pPr>
      <w:bookmarkStart w:id="1084" w:name="_Toc256000852"/>
      <w:bookmarkStart w:id="1085" w:name="_Toc22833"/>
      <w:bookmarkStart w:id="1086" w:name="_Toc13307"/>
      <w:bookmarkStart w:id="1087" w:name="_Toc256001319"/>
      <w:bookmarkStart w:id="1088" w:name="_Toc256000356"/>
      <w:bookmarkStart w:id="1089" w:name="_Toc69461176"/>
      <w:bookmarkStart w:id="1090" w:name="_Toc21420"/>
      <w:bookmarkStart w:id="1091" w:name="_Toc256000065"/>
      <w:bookmarkStart w:id="1092" w:name="_Toc2864"/>
      <w:bookmarkStart w:id="1093" w:name="_Toc69461831"/>
      <w:bookmarkStart w:id="1094" w:name="_Toc256001089"/>
      <w:bookmarkStart w:id="1095" w:name="_Toc256000585"/>
      <w:bookmarkStart w:id="1096" w:name="_Toc256000098"/>
      <w:r>
        <w:rPr>
          <w:rStyle w:val="8"/>
          <w:rFonts w:ascii="宋体" w:hAnsi="宋体"/>
          <w:color w:val="auto"/>
          <w:kern w:val="2"/>
          <w:sz w:val="24"/>
          <w:szCs w:val="24"/>
          <w:highlight w:val="none"/>
        </w:rPr>
        <w:t>15.3 质量保证金</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14:paraId="3776A1C3">
      <w:pPr>
        <w:pStyle w:val="13"/>
        <w:spacing w:line="360" w:lineRule="auto"/>
        <w:ind w:firstLine="480" w:firstLineChars="200"/>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rPr>
        <w:t>关于是否扣留质量保证金的约定：</w:t>
      </w:r>
      <w:r>
        <w:rPr>
          <w:rStyle w:val="8"/>
          <w:rFonts w:hint="eastAsia" w:ascii="宋体" w:hAnsi="宋体"/>
          <w:color w:val="auto"/>
          <w:kern w:val="2"/>
          <w:sz w:val="24"/>
          <w:szCs w:val="24"/>
          <w:highlight w:val="none"/>
          <w:u w:val="single"/>
        </w:rPr>
        <w:t xml:space="preserve"> 扣留</w:t>
      </w:r>
      <w:r>
        <w:rPr>
          <w:rStyle w:val="8"/>
          <w:rFonts w:ascii="宋体" w:hAnsi="宋体"/>
          <w:color w:val="auto"/>
          <w:kern w:val="2"/>
          <w:sz w:val="24"/>
          <w:szCs w:val="24"/>
          <w:highlight w:val="none"/>
        </w:rPr>
        <w:t>。</w:t>
      </w:r>
      <w:r>
        <w:rPr>
          <w:rStyle w:val="8"/>
          <w:rFonts w:hint="eastAsia" w:ascii="宋体" w:hAnsi="宋体"/>
          <w:color w:val="auto"/>
          <w:kern w:val="2"/>
          <w:sz w:val="24"/>
          <w:szCs w:val="24"/>
          <w:highlight w:val="none"/>
        </w:rPr>
        <w:t>在工程项目竣工前，承包人按专用合同条款第3.7条提供履约担保的，发包人不得同时预留工程质量保证金。</w:t>
      </w:r>
    </w:p>
    <w:p w14:paraId="1C7EB559">
      <w:pPr>
        <w:pStyle w:val="13"/>
        <w:spacing w:line="360" w:lineRule="auto"/>
        <w:ind w:firstLine="480" w:firstLineChars="200"/>
        <w:jc w:val="left"/>
        <w:rPr>
          <w:rStyle w:val="8"/>
          <w:rFonts w:ascii="宋体" w:hAnsi="宋体"/>
          <w:color w:val="auto"/>
          <w:kern w:val="2"/>
          <w:sz w:val="24"/>
          <w:szCs w:val="24"/>
          <w:highlight w:val="none"/>
        </w:rPr>
      </w:pPr>
    </w:p>
    <w:p w14:paraId="653EE682">
      <w:pPr>
        <w:pStyle w:val="13"/>
        <w:spacing w:line="360" w:lineRule="auto"/>
        <w:ind w:firstLine="480" w:firstLineChars="200"/>
        <w:jc w:val="left"/>
        <w:outlineLvl w:val="9"/>
        <w:rPr>
          <w:rStyle w:val="8"/>
          <w:rFonts w:ascii="宋体" w:hAnsi="宋体"/>
          <w:color w:val="auto"/>
          <w:kern w:val="2"/>
          <w:sz w:val="24"/>
          <w:szCs w:val="24"/>
          <w:highlight w:val="none"/>
        </w:rPr>
      </w:pPr>
      <w:bookmarkStart w:id="1097" w:name="_Toc256000099"/>
      <w:bookmarkStart w:id="1098" w:name="_Toc256001320"/>
      <w:bookmarkStart w:id="1099" w:name="_Toc256000357"/>
      <w:bookmarkStart w:id="1100" w:name="_Toc69461177"/>
      <w:bookmarkStart w:id="1101" w:name="_Toc7166"/>
      <w:bookmarkStart w:id="1102" w:name="_Toc256000853"/>
      <w:bookmarkStart w:id="1103" w:name="_Toc256000586"/>
      <w:bookmarkStart w:id="1104" w:name="_Toc256000066"/>
      <w:bookmarkStart w:id="1105" w:name="_Toc4515"/>
      <w:bookmarkStart w:id="1106" w:name="_Toc69461832"/>
      <w:bookmarkStart w:id="1107" w:name="_Toc12317"/>
      <w:bookmarkStart w:id="1108" w:name="_Toc256001090"/>
      <w:bookmarkStart w:id="1109" w:name="_Toc5682"/>
      <w:r>
        <w:rPr>
          <w:rStyle w:val="8"/>
          <w:rFonts w:ascii="宋体" w:hAnsi="宋体"/>
          <w:color w:val="auto"/>
          <w:kern w:val="2"/>
          <w:sz w:val="24"/>
          <w:szCs w:val="24"/>
          <w:highlight w:val="none"/>
        </w:rPr>
        <w:t xml:space="preserve">15.3.1 </w:t>
      </w:r>
      <w:r>
        <w:rPr>
          <w:rStyle w:val="8"/>
          <w:rFonts w:hint="eastAsia" w:ascii="宋体" w:hAnsi="宋体"/>
          <w:color w:val="auto"/>
          <w:kern w:val="2"/>
          <w:sz w:val="24"/>
          <w:szCs w:val="24"/>
          <w:highlight w:val="none"/>
        </w:rPr>
        <w:t>承包人提供</w:t>
      </w:r>
      <w:r>
        <w:rPr>
          <w:rStyle w:val="8"/>
          <w:rFonts w:ascii="宋体" w:hAnsi="宋体"/>
          <w:color w:val="auto"/>
          <w:kern w:val="2"/>
          <w:sz w:val="24"/>
          <w:szCs w:val="24"/>
          <w:highlight w:val="none"/>
        </w:rPr>
        <w:t>质量保证金的</w:t>
      </w:r>
      <w:r>
        <w:rPr>
          <w:rStyle w:val="8"/>
          <w:rFonts w:hint="eastAsia" w:ascii="宋体" w:hAnsi="宋体"/>
          <w:color w:val="auto"/>
          <w:kern w:val="2"/>
          <w:sz w:val="24"/>
          <w:szCs w:val="24"/>
          <w:highlight w:val="none"/>
        </w:rPr>
        <w:t>方</w:t>
      </w:r>
      <w:r>
        <w:rPr>
          <w:rStyle w:val="8"/>
          <w:rFonts w:ascii="宋体" w:hAnsi="宋体"/>
          <w:color w:val="auto"/>
          <w:kern w:val="2"/>
          <w:sz w:val="24"/>
          <w:szCs w:val="24"/>
          <w:highlight w:val="none"/>
        </w:rPr>
        <w:t>式</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14:paraId="023F44FE">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质量保证金采用以下第</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3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种方式：</w:t>
      </w:r>
    </w:p>
    <w:p w14:paraId="68B01299">
      <w:pPr>
        <w:pStyle w:val="13"/>
        <w:autoSpaceDE w:val="0"/>
        <w:autoSpaceDN w:val="0"/>
        <w:adjustRightInd w:val="0"/>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（1）质量保证金保函，保证金额为：</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 xml:space="preserve">； </w:t>
      </w:r>
    </w:p>
    <w:p w14:paraId="6D429431">
      <w:pPr>
        <w:pStyle w:val="13"/>
        <w:autoSpaceDE w:val="0"/>
        <w:autoSpaceDN w:val="0"/>
        <w:adjustRightInd w:val="0"/>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（2）</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%的工程款；</w:t>
      </w:r>
    </w:p>
    <w:p w14:paraId="5C000EB5">
      <w:pPr>
        <w:pStyle w:val="13"/>
        <w:autoSpaceDE w:val="0"/>
        <w:autoSpaceDN w:val="0"/>
        <w:adjustRightInd w:val="0"/>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（3）其他</w:t>
      </w:r>
      <w:r>
        <w:rPr>
          <w:rStyle w:val="8"/>
          <w:rFonts w:hint="eastAsia" w:ascii="宋体" w:hAnsi="宋体"/>
          <w:color w:val="auto"/>
          <w:sz w:val="24"/>
          <w:szCs w:val="24"/>
          <w:highlight w:val="none"/>
        </w:rPr>
        <w:t>方</w:t>
      </w:r>
      <w:r>
        <w:rPr>
          <w:rStyle w:val="8"/>
          <w:rFonts w:ascii="宋体" w:hAnsi="宋体"/>
          <w:color w:val="auto"/>
          <w:sz w:val="24"/>
          <w:szCs w:val="24"/>
          <w:highlight w:val="none"/>
        </w:rPr>
        <w:t>式:</w:t>
      </w:r>
      <w:r>
        <w:rPr>
          <w:rStyle w:val="8"/>
          <w:rFonts w:ascii="宋体" w:hAnsi="宋体"/>
          <w:color w:val="auto"/>
          <w:sz w:val="24"/>
          <w:szCs w:val="24"/>
          <w:highlight w:val="none"/>
          <w:u w:val="single"/>
        </w:rPr>
        <w:t xml:space="preserve">  </w:t>
      </w:r>
      <w:r>
        <w:rPr>
          <w:rStyle w:val="8"/>
          <w:rFonts w:hint="eastAsia" w:ascii="宋体" w:hAnsi="宋体"/>
          <w:color w:val="auto"/>
          <w:kern w:val="2"/>
          <w:sz w:val="24"/>
          <w:szCs w:val="24"/>
          <w:highlight w:val="none"/>
          <w:u w:val="single"/>
        </w:rPr>
        <w:t xml:space="preserve">工程结算价款的3%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w:t>
      </w:r>
    </w:p>
    <w:p w14:paraId="4758BF5B">
      <w:pPr>
        <w:pStyle w:val="13"/>
        <w:spacing w:line="360" w:lineRule="auto"/>
        <w:ind w:firstLine="480" w:firstLineChars="200"/>
        <w:jc w:val="left"/>
        <w:outlineLvl w:val="9"/>
        <w:rPr>
          <w:rStyle w:val="8"/>
          <w:rFonts w:ascii="宋体" w:hAnsi="宋体"/>
          <w:color w:val="auto"/>
          <w:kern w:val="2"/>
          <w:sz w:val="24"/>
          <w:szCs w:val="24"/>
          <w:highlight w:val="none"/>
        </w:rPr>
      </w:pPr>
      <w:bookmarkStart w:id="1110" w:name="_Toc256000854"/>
      <w:bookmarkStart w:id="1111" w:name="_Toc256000067"/>
      <w:bookmarkStart w:id="1112" w:name="_Toc256000358"/>
      <w:bookmarkStart w:id="1113" w:name="_Toc69461178"/>
      <w:bookmarkStart w:id="1114" w:name="_Toc256000100"/>
      <w:bookmarkStart w:id="1115" w:name="_Toc30860"/>
      <w:bookmarkStart w:id="1116" w:name="_Toc256001321"/>
      <w:bookmarkStart w:id="1117" w:name="_Toc69461833"/>
      <w:bookmarkStart w:id="1118" w:name="_Toc5117"/>
      <w:bookmarkStart w:id="1119" w:name="_Toc256000587"/>
      <w:bookmarkStart w:id="1120" w:name="_Toc256001091"/>
      <w:bookmarkStart w:id="1121" w:name="_Toc32324"/>
      <w:bookmarkStart w:id="1122" w:name="_Toc4390"/>
      <w:r>
        <w:rPr>
          <w:rStyle w:val="8"/>
          <w:rFonts w:ascii="宋体" w:hAnsi="宋体"/>
          <w:color w:val="auto"/>
          <w:kern w:val="2"/>
          <w:sz w:val="24"/>
          <w:szCs w:val="24"/>
          <w:highlight w:val="none"/>
        </w:rPr>
        <w:t>15.3.2 质量保证金的扣留</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r>
        <w:rPr>
          <w:rStyle w:val="8"/>
          <w:rFonts w:ascii="宋体" w:hAnsi="宋体"/>
          <w:color w:val="auto"/>
          <w:kern w:val="2"/>
          <w:sz w:val="24"/>
          <w:szCs w:val="24"/>
          <w:highlight w:val="none"/>
        </w:rPr>
        <w:t xml:space="preserve"> </w:t>
      </w:r>
    </w:p>
    <w:p w14:paraId="6ED76446">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质量保证金的扣留采取以下第</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(2)</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种方式：</w:t>
      </w:r>
    </w:p>
    <w:p w14:paraId="5F9B1C82">
      <w:pPr>
        <w:pStyle w:val="13"/>
        <w:autoSpaceDE w:val="0"/>
        <w:autoSpaceDN w:val="0"/>
        <w:adjustRightInd w:val="0"/>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（1）在支付工程进度款时逐次扣留，在此情形下，质量保证金的计算基数不包括预付款的支付、扣回以及价格调整的金额；</w:t>
      </w:r>
    </w:p>
    <w:p w14:paraId="6E9D1DBA">
      <w:pPr>
        <w:pStyle w:val="13"/>
        <w:autoSpaceDE w:val="0"/>
        <w:autoSpaceDN w:val="0"/>
        <w:adjustRightInd w:val="0"/>
        <w:spacing w:line="360" w:lineRule="auto"/>
        <w:ind w:firstLine="480" w:firstLineChars="200"/>
        <w:jc w:val="left"/>
        <w:outlineLvl w:val="9"/>
        <w:rPr>
          <w:rStyle w:val="8"/>
          <w:rFonts w:ascii="宋体" w:hAnsi="宋体"/>
          <w:color w:val="auto"/>
          <w:sz w:val="24"/>
          <w:szCs w:val="24"/>
          <w:highlight w:val="none"/>
        </w:rPr>
      </w:pPr>
      <w:bookmarkStart w:id="1123" w:name="_Toc29412"/>
      <w:bookmarkStart w:id="1124" w:name="_Toc256000359"/>
      <w:bookmarkStart w:id="1125" w:name="_Toc69461834"/>
      <w:bookmarkStart w:id="1126" w:name="_Toc21525"/>
      <w:bookmarkStart w:id="1127" w:name="_Toc256000855"/>
      <w:bookmarkStart w:id="1128" w:name="_Toc256001322"/>
      <w:bookmarkStart w:id="1129" w:name="_Toc69461179"/>
      <w:bookmarkStart w:id="1130" w:name="_Toc256000588"/>
      <w:bookmarkStart w:id="1131" w:name="_Toc256001092"/>
      <w:bookmarkStart w:id="1132" w:name="_Toc256000101"/>
      <w:bookmarkStart w:id="1133" w:name="_Toc31254"/>
      <w:bookmarkStart w:id="1134" w:name="_Toc15723"/>
      <w:bookmarkStart w:id="1135" w:name="_Toc256000068"/>
      <w:r>
        <w:rPr>
          <w:rStyle w:val="8"/>
          <w:rFonts w:ascii="宋体" w:hAnsi="宋体"/>
          <w:color w:val="auto"/>
          <w:sz w:val="24"/>
          <w:szCs w:val="24"/>
          <w:highlight w:val="none"/>
        </w:rPr>
        <w:t>（2）工程竣工结算时一次性扣留质量保证金；</w:t>
      </w:r>
      <w:bookmarkEnd w:id="1123"/>
      <w:bookmarkEnd w:id="1124"/>
      <w:bookmarkEnd w:id="1125"/>
      <w:bookmarkEnd w:id="1126"/>
      <w:bookmarkEnd w:id="1127"/>
      <w:bookmarkEnd w:id="1128"/>
      <w:bookmarkEnd w:id="1129"/>
      <w:bookmarkEnd w:id="1130"/>
      <w:bookmarkEnd w:id="1131"/>
      <w:bookmarkEnd w:id="1132"/>
      <w:bookmarkEnd w:id="1133"/>
      <w:bookmarkEnd w:id="1134"/>
      <w:bookmarkEnd w:id="1135"/>
    </w:p>
    <w:p w14:paraId="7D4FED78">
      <w:pPr>
        <w:pStyle w:val="13"/>
        <w:autoSpaceDE w:val="0"/>
        <w:autoSpaceDN w:val="0"/>
        <w:adjustRightInd w:val="0"/>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（3）其他扣留方式:</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w:t>
      </w:r>
    </w:p>
    <w:p w14:paraId="201658ED">
      <w:pPr>
        <w:pStyle w:val="13"/>
        <w:spacing w:line="360" w:lineRule="auto"/>
        <w:ind w:firstLine="480" w:firstLineChars="200"/>
        <w:jc w:val="left"/>
        <w:rPr>
          <w:rStyle w:val="8"/>
          <w:rFonts w:ascii="宋体" w:hAnsi="宋体"/>
          <w:color w:val="auto"/>
          <w:sz w:val="24"/>
          <w:szCs w:val="24"/>
          <w:highlight w:val="none"/>
          <w:u w:val="single"/>
        </w:rPr>
      </w:pPr>
      <w:r>
        <w:rPr>
          <w:rStyle w:val="8"/>
          <w:rFonts w:ascii="宋体" w:hAnsi="宋体"/>
          <w:color w:val="auto"/>
          <w:kern w:val="2"/>
          <w:sz w:val="24"/>
          <w:szCs w:val="24"/>
          <w:highlight w:val="none"/>
        </w:rPr>
        <w:t>关于质量保证金的补充约定：</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p>
    <w:p w14:paraId="4BA241C0">
      <w:pPr>
        <w:pStyle w:val="13"/>
        <w:spacing w:line="360" w:lineRule="auto"/>
        <w:jc w:val="left"/>
        <w:rPr>
          <w:rStyle w:val="8"/>
          <w:rFonts w:ascii="宋体" w:hAnsi="宋体"/>
          <w:color w:val="auto"/>
          <w:kern w:val="2"/>
          <w:sz w:val="24"/>
          <w:szCs w:val="24"/>
          <w:highlight w:val="none"/>
        </w:rPr>
      </w:pP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rPr>
        <w:t>。</w:t>
      </w:r>
    </w:p>
    <w:bookmarkEnd w:id="1055"/>
    <w:bookmarkEnd w:id="1056"/>
    <w:p w14:paraId="536E3AC7">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15.4保修</w:t>
      </w:r>
    </w:p>
    <w:bookmarkEnd w:id="1057"/>
    <w:p w14:paraId="298D3B61">
      <w:pPr>
        <w:pStyle w:val="13"/>
        <w:spacing w:line="360" w:lineRule="auto"/>
        <w:ind w:firstLine="468" w:firstLineChars="195"/>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15.4.1 保修责任</w:t>
      </w:r>
    </w:p>
    <w:p w14:paraId="2B238878">
      <w:pPr>
        <w:pStyle w:val="14"/>
        <w:spacing w:line="360" w:lineRule="auto"/>
        <w:ind w:firstLine="468" w:firstLineChars="195"/>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工程保修期为：</w:t>
      </w:r>
      <w:r>
        <w:rPr>
          <w:rStyle w:val="8"/>
          <w:rFonts w:ascii="宋体" w:hAnsi="宋体"/>
          <w:color w:val="auto"/>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按照 《</w:t>
      </w:r>
      <w:r>
        <w:rPr>
          <w:rStyle w:val="8"/>
          <w:rFonts w:hint="eastAsia" w:ascii="宋体" w:hAnsi="宋体"/>
          <w:color w:val="auto"/>
          <w:kern w:val="2"/>
          <w:sz w:val="24"/>
          <w:szCs w:val="24"/>
          <w:highlight w:val="none"/>
          <w:u w:val="single"/>
          <w:lang w:eastAsia="zh-CN"/>
        </w:rPr>
        <w:t>建设工程质量管理条例</w:t>
      </w:r>
      <w:r>
        <w:rPr>
          <w:rStyle w:val="8"/>
          <w:rFonts w:hint="eastAsia" w:ascii="宋体" w:hAnsi="宋体"/>
          <w:color w:val="auto"/>
          <w:kern w:val="2"/>
          <w:sz w:val="24"/>
          <w:szCs w:val="24"/>
          <w:highlight w:val="none"/>
          <w:u w:val="single"/>
        </w:rPr>
        <w:t>》执行 。</w:t>
      </w:r>
    </w:p>
    <w:p w14:paraId="4161CAB5">
      <w:pPr>
        <w:pStyle w:val="13"/>
        <w:spacing w:line="360" w:lineRule="auto"/>
        <w:ind w:firstLine="468" w:firstLineChars="195"/>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15.4.3 修复通知</w:t>
      </w:r>
    </w:p>
    <w:p w14:paraId="6509087A">
      <w:pPr>
        <w:pStyle w:val="13"/>
        <w:spacing w:line="360" w:lineRule="auto"/>
        <w:ind w:firstLine="468" w:firstLineChars="195"/>
        <w:jc w:val="left"/>
        <w:rPr>
          <w:rStyle w:val="8"/>
          <w:rFonts w:ascii="宋体" w:hAnsi="宋体"/>
          <w:color w:val="auto"/>
          <w:sz w:val="24"/>
          <w:szCs w:val="24"/>
          <w:highlight w:val="none"/>
          <w:u w:val="single"/>
        </w:rPr>
      </w:pPr>
      <w:r>
        <w:rPr>
          <w:rStyle w:val="8"/>
          <w:rFonts w:ascii="宋体" w:hAnsi="宋体"/>
          <w:color w:val="auto"/>
          <w:sz w:val="24"/>
          <w:szCs w:val="24"/>
          <w:highlight w:val="none"/>
        </w:rPr>
        <w:t>承包人收到保修通知并到达工程现场的合理时间：</w:t>
      </w:r>
      <w:r>
        <w:rPr>
          <w:rStyle w:val="8"/>
          <w:rFonts w:ascii="宋体" w:hAnsi="宋体"/>
          <w:color w:val="auto"/>
          <w:sz w:val="24"/>
          <w:szCs w:val="24"/>
          <w:highlight w:val="none"/>
          <w:u w:val="single"/>
        </w:rPr>
        <w:t xml:space="preserve">          </w:t>
      </w:r>
    </w:p>
    <w:p w14:paraId="75ADDA47">
      <w:pPr>
        <w:pStyle w:val="13"/>
        <w:spacing w:line="360" w:lineRule="auto"/>
        <w:jc w:val="left"/>
        <w:rPr>
          <w:rStyle w:val="8"/>
          <w:rFonts w:ascii="宋体" w:hAnsi="宋体"/>
          <w:color w:val="auto"/>
          <w:sz w:val="24"/>
          <w:szCs w:val="24"/>
          <w:highlight w:val="none"/>
        </w:rPr>
      </w:pP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w:t>
      </w:r>
    </w:p>
    <w:bookmarkEnd w:id="1058"/>
    <w:bookmarkEnd w:id="1059"/>
    <w:bookmarkEnd w:id="1060"/>
    <w:bookmarkEnd w:id="1061"/>
    <w:p w14:paraId="3239A4F3">
      <w:pPr>
        <w:pStyle w:val="15"/>
        <w:spacing w:before="120" w:after="120" w:line="360" w:lineRule="auto"/>
        <w:outlineLvl w:val="9"/>
        <w:rPr>
          <w:rStyle w:val="8"/>
          <w:rFonts w:ascii="宋体" w:hAnsi="宋体" w:eastAsia="宋体"/>
          <w:b w:val="0"/>
          <w:color w:val="auto"/>
          <w:sz w:val="24"/>
          <w:szCs w:val="24"/>
          <w:highlight w:val="none"/>
        </w:rPr>
      </w:pPr>
      <w:bookmarkStart w:id="1136" w:name="_Toc10573"/>
      <w:bookmarkStart w:id="1137" w:name="_Toc256000360"/>
      <w:bookmarkStart w:id="1138" w:name="_Toc69461835"/>
      <w:bookmarkStart w:id="1139" w:name="_Toc256000589"/>
      <w:bookmarkStart w:id="1140" w:name="_Toc69461180"/>
      <w:bookmarkStart w:id="1141" w:name="_Toc256000856"/>
      <w:bookmarkStart w:id="1142" w:name="_Toc351203648"/>
      <w:bookmarkStart w:id="1143" w:name="_Toc256001323"/>
      <w:bookmarkStart w:id="1144" w:name="_Toc256001093"/>
      <w:bookmarkStart w:id="1145" w:name="_Toc7023"/>
      <w:bookmarkStart w:id="1146" w:name="_Toc280868717"/>
      <w:bookmarkStart w:id="1147" w:name="_Toc280868718"/>
      <w:r>
        <w:rPr>
          <w:rStyle w:val="8"/>
          <w:rFonts w:ascii="宋体" w:hAnsi="宋体" w:eastAsia="宋体"/>
          <w:b w:val="0"/>
          <w:color w:val="auto"/>
          <w:sz w:val="24"/>
          <w:szCs w:val="24"/>
          <w:highlight w:val="none"/>
        </w:rPr>
        <w:t>16. 违约</w:t>
      </w:r>
      <w:bookmarkEnd w:id="1136"/>
      <w:bookmarkEnd w:id="1137"/>
      <w:bookmarkEnd w:id="1138"/>
      <w:bookmarkEnd w:id="1139"/>
      <w:bookmarkEnd w:id="1140"/>
      <w:bookmarkEnd w:id="1141"/>
      <w:bookmarkEnd w:id="1142"/>
      <w:bookmarkEnd w:id="1143"/>
      <w:bookmarkEnd w:id="1144"/>
      <w:bookmarkEnd w:id="1145"/>
    </w:p>
    <w:p w14:paraId="516AC883">
      <w:pPr>
        <w:pStyle w:val="13"/>
        <w:spacing w:after="120" w:line="360" w:lineRule="auto"/>
        <w:ind w:firstLine="480" w:firstLineChars="200"/>
        <w:outlineLvl w:val="9"/>
        <w:rPr>
          <w:rStyle w:val="8"/>
          <w:rFonts w:ascii="宋体" w:hAnsi="宋体"/>
          <w:color w:val="auto"/>
          <w:kern w:val="2"/>
          <w:sz w:val="24"/>
          <w:szCs w:val="24"/>
          <w:highlight w:val="none"/>
        </w:rPr>
      </w:pPr>
      <w:bookmarkStart w:id="1148" w:name="_Toc256000590"/>
      <w:bookmarkStart w:id="1149" w:name="_Toc256001094"/>
      <w:bookmarkStart w:id="1150" w:name="_Toc27815"/>
      <w:bookmarkStart w:id="1151" w:name="_Toc256000361"/>
      <w:bookmarkStart w:id="1152" w:name="_Toc256000857"/>
      <w:bookmarkStart w:id="1153" w:name="_Toc14569"/>
      <w:bookmarkStart w:id="1154" w:name="_Toc256000069"/>
      <w:bookmarkStart w:id="1155" w:name="_Toc9758"/>
      <w:bookmarkStart w:id="1156" w:name="_Toc256000102"/>
      <w:bookmarkStart w:id="1157" w:name="_Toc69461181"/>
      <w:bookmarkStart w:id="1158" w:name="_Toc256001324"/>
      <w:bookmarkStart w:id="1159" w:name="_Toc18586"/>
      <w:bookmarkStart w:id="1160" w:name="_Toc69461836"/>
      <w:r>
        <w:rPr>
          <w:rStyle w:val="8"/>
          <w:rFonts w:ascii="宋体" w:hAnsi="宋体"/>
          <w:color w:val="auto"/>
          <w:kern w:val="2"/>
          <w:sz w:val="24"/>
          <w:szCs w:val="24"/>
          <w:highlight w:val="none"/>
        </w:rPr>
        <w:t>16.1 发包人违约</w:t>
      </w:r>
      <w:bookmarkEnd w:id="1148"/>
      <w:bookmarkEnd w:id="1149"/>
      <w:bookmarkEnd w:id="1150"/>
      <w:bookmarkEnd w:id="1151"/>
      <w:bookmarkEnd w:id="1152"/>
      <w:bookmarkEnd w:id="1153"/>
      <w:bookmarkEnd w:id="1154"/>
      <w:bookmarkEnd w:id="1155"/>
      <w:bookmarkEnd w:id="1156"/>
      <w:bookmarkEnd w:id="1157"/>
      <w:bookmarkEnd w:id="1158"/>
      <w:bookmarkEnd w:id="1159"/>
      <w:bookmarkEnd w:id="1160"/>
    </w:p>
    <w:p w14:paraId="2C2EC9D7">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16.1.1发包人违约的情形</w:t>
      </w:r>
    </w:p>
    <w:p w14:paraId="5988954D">
      <w:pPr>
        <w:pStyle w:val="13"/>
        <w:spacing w:line="360" w:lineRule="auto"/>
        <w:ind w:firstLine="480" w:firstLineChars="200"/>
        <w:jc w:val="left"/>
        <w:rPr>
          <w:rStyle w:val="8"/>
          <w:rFonts w:ascii="宋体" w:hAnsi="宋体"/>
          <w:color w:val="auto"/>
          <w:sz w:val="24"/>
          <w:szCs w:val="24"/>
          <w:highlight w:val="none"/>
          <w:u w:val="single"/>
        </w:rPr>
      </w:pPr>
      <w:r>
        <w:rPr>
          <w:rStyle w:val="8"/>
          <w:rFonts w:ascii="宋体" w:hAnsi="宋体"/>
          <w:color w:val="auto"/>
          <w:sz w:val="24"/>
          <w:szCs w:val="24"/>
          <w:highlight w:val="none"/>
        </w:rPr>
        <w:t>发包人违约的其他情形：</w:t>
      </w:r>
      <w:r>
        <w:rPr>
          <w:rStyle w:val="8"/>
          <w:rFonts w:ascii="宋体" w:hAnsi="宋体"/>
          <w:color w:val="auto"/>
          <w:sz w:val="24"/>
          <w:szCs w:val="24"/>
          <w:highlight w:val="none"/>
          <w:u w:val="single"/>
        </w:rPr>
        <w:t xml:space="preserve">                                </w:t>
      </w:r>
    </w:p>
    <w:p w14:paraId="0326A1AD">
      <w:pPr>
        <w:pStyle w:val="13"/>
        <w:spacing w:line="360" w:lineRule="auto"/>
        <w:ind w:left="1200" w:hanging="1200" w:hangingChars="500"/>
        <w:jc w:val="left"/>
        <w:rPr>
          <w:rStyle w:val="8"/>
          <w:rFonts w:ascii="宋体" w:hAnsi="宋体"/>
          <w:color w:val="auto"/>
          <w:sz w:val="24"/>
          <w:szCs w:val="24"/>
          <w:highlight w:val="none"/>
        </w:rPr>
      </w:pP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w:t>
      </w:r>
    </w:p>
    <w:p w14:paraId="0577C903">
      <w:pPr>
        <w:pStyle w:val="13"/>
        <w:spacing w:line="360" w:lineRule="auto"/>
        <w:ind w:left="1200" w:hanging="1200" w:hangingChars="500"/>
        <w:jc w:val="left"/>
        <w:rPr>
          <w:rStyle w:val="8"/>
          <w:rFonts w:ascii="宋体" w:hAnsi="宋体"/>
          <w:color w:val="auto"/>
          <w:sz w:val="24"/>
          <w:szCs w:val="24"/>
          <w:highlight w:val="none"/>
        </w:rPr>
      </w:pPr>
      <w:r>
        <w:rPr>
          <w:rStyle w:val="8"/>
          <w:rFonts w:ascii="宋体" w:hAnsi="宋体"/>
          <w:color w:val="auto"/>
          <w:sz w:val="24"/>
          <w:szCs w:val="24"/>
          <w:highlight w:val="none"/>
        </w:rPr>
        <w:t xml:space="preserve">    16.1.2 发包人违约的责任</w:t>
      </w:r>
    </w:p>
    <w:p w14:paraId="16CA44CC">
      <w:pPr>
        <w:pStyle w:val="13"/>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发包人违约责任的承担方式和计算方法：</w:t>
      </w:r>
    </w:p>
    <w:p w14:paraId="7C24263D">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（1）因发包人原因未能在计划开工日期前7天内下达开工通知的违约责任：</w:t>
      </w:r>
      <w:r>
        <w:rPr>
          <w:rStyle w:val="8"/>
          <w:rFonts w:ascii="宋体" w:hAnsi="宋体"/>
          <w:color w:val="auto"/>
          <w:sz w:val="24"/>
          <w:szCs w:val="24"/>
          <w:highlight w:val="none"/>
          <w:u w:val="single"/>
        </w:rPr>
        <w:t xml:space="preserve">   </w:t>
      </w:r>
      <w:r>
        <w:rPr>
          <w:rStyle w:val="8"/>
          <w:rFonts w:hint="eastAsia" w:ascii="宋体" w:hAnsi="宋体"/>
          <w:color w:val="auto"/>
          <w:kern w:val="2"/>
          <w:sz w:val="24"/>
          <w:szCs w:val="24"/>
          <w:highlight w:val="none"/>
          <w:u w:val="single"/>
        </w:rPr>
        <w:t>延误的工期相应顺延，但发包人不承担任何形式的违约责任。</w:t>
      </w:r>
    </w:p>
    <w:p w14:paraId="19085608">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（2）因发包人原因未能按合同约定支付合同价款的违约责任：</w:t>
      </w:r>
      <w:r>
        <w:rPr>
          <w:rStyle w:val="8"/>
          <w:rFonts w:hint="eastAsia" w:ascii="宋体" w:hAnsi="宋体"/>
          <w:color w:val="auto"/>
          <w:kern w:val="2"/>
          <w:sz w:val="24"/>
          <w:szCs w:val="24"/>
          <w:highlight w:val="none"/>
          <w:u w:val="single"/>
        </w:rPr>
        <w:t>发包人不支付逾期付款期间的利息，不承担违约责任  。</w:t>
      </w:r>
    </w:p>
    <w:p w14:paraId="0DADC0DC">
      <w:pPr>
        <w:pStyle w:val="13"/>
        <w:spacing w:line="360" w:lineRule="auto"/>
        <w:ind w:firstLine="480" w:firstLineChars="200"/>
        <w:jc w:val="left"/>
        <w:rPr>
          <w:rStyle w:val="8"/>
          <w:rFonts w:ascii="宋体" w:hAnsi="宋体"/>
          <w:color w:val="auto"/>
          <w:sz w:val="24"/>
          <w:szCs w:val="24"/>
          <w:highlight w:val="none"/>
          <w:u w:val="single"/>
        </w:rPr>
      </w:pPr>
      <w:r>
        <w:rPr>
          <w:rStyle w:val="8"/>
          <w:rFonts w:ascii="宋体" w:hAnsi="宋体"/>
          <w:color w:val="auto"/>
          <w:sz w:val="24"/>
          <w:szCs w:val="24"/>
          <w:highlight w:val="none"/>
        </w:rPr>
        <w:t>（3）发包人违反第10.1款</w:t>
      </w:r>
      <w:r>
        <w:rPr>
          <w:rStyle w:val="8"/>
          <w:rFonts w:hint="eastAsia" w:ascii="宋体" w:hAnsi="宋体"/>
          <w:color w:val="auto"/>
          <w:sz w:val="24"/>
          <w:szCs w:val="24"/>
          <w:highlight w:val="none"/>
        </w:rPr>
        <w:t>〔</w:t>
      </w:r>
      <w:r>
        <w:rPr>
          <w:rStyle w:val="8"/>
          <w:rFonts w:ascii="宋体" w:hAnsi="宋体"/>
          <w:color w:val="auto"/>
          <w:sz w:val="24"/>
          <w:szCs w:val="24"/>
          <w:highlight w:val="none"/>
        </w:rPr>
        <w:t>变更的范围</w:t>
      </w:r>
      <w:r>
        <w:rPr>
          <w:rStyle w:val="8"/>
          <w:rFonts w:hint="eastAsia" w:ascii="宋体" w:hAnsi="宋体"/>
          <w:color w:val="auto"/>
          <w:sz w:val="24"/>
          <w:szCs w:val="24"/>
          <w:highlight w:val="none"/>
        </w:rPr>
        <w:t>〕</w:t>
      </w:r>
      <w:r>
        <w:rPr>
          <w:rStyle w:val="8"/>
          <w:rFonts w:ascii="宋体" w:hAnsi="宋体"/>
          <w:color w:val="auto"/>
          <w:sz w:val="24"/>
          <w:szCs w:val="24"/>
          <w:highlight w:val="none"/>
        </w:rPr>
        <w:t>第（2）项约定，自行实施被取消的工作或转由他人实施的违约责任：</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p>
    <w:p w14:paraId="641EB288">
      <w:pPr>
        <w:pStyle w:val="13"/>
        <w:spacing w:line="360" w:lineRule="auto"/>
        <w:jc w:val="left"/>
        <w:rPr>
          <w:rStyle w:val="8"/>
          <w:rFonts w:ascii="宋体" w:hAnsi="宋体"/>
          <w:color w:val="auto"/>
          <w:sz w:val="24"/>
          <w:szCs w:val="24"/>
          <w:highlight w:val="none"/>
        </w:rPr>
      </w:pP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w:t>
      </w:r>
    </w:p>
    <w:p w14:paraId="0673D4A5">
      <w:pPr>
        <w:pStyle w:val="13"/>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（4）发包人提供的材料、工程设备的规格、数量或质量不符合合同约定，或因发包人原因导致交货日期延误或交货地点变更等情况的违约责任：</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w:t>
      </w:r>
    </w:p>
    <w:p w14:paraId="38601705">
      <w:pPr>
        <w:pStyle w:val="13"/>
        <w:spacing w:line="360" w:lineRule="auto"/>
        <w:ind w:firstLine="480" w:firstLineChars="200"/>
        <w:jc w:val="left"/>
        <w:rPr>
          <w:rStyle w:val="8"/>
          <w:rFonts w:ascii="宋体" w:hAnsi="宋体"/>
          <w:color w:val="auto"/>
          <w:sz w:val="24"/>
          <w:szCs w:val="24"/>
          <w:highlight w:val="none"/>
          <w:u w:val="single"/>
        </w:rPr>
      </w:pPr>
      <w:r>
        <w:rPr>
          <w:rStyle w:val="8"/>
          <w:rFonts w:ascii="宋体" w:hAnsi="宋体"/>
          <w:color w:val="auto"/>
          <w:sz w:val="24"/>
          <w:szCs w:val="24"/>
          <w:highlight w:val="none"/>
        </w:rPr>
        <w:t>（5）因发包人违反合同约定造成暂停施工的违约责任：</w:t>
      </w:r>
      <w:r>
        <w:rPr>
          <w:rStyle w:val="8"/>
          <w:rFonts w:ascii="宋体" w:hAnsi="宋体"/>
          <w:color w:val="auto"/>
          <w:sz w:val="24"/>
          <w:szCs w:val="24"/>
          <w:highlight w:val="none"/>
          <w:u w:val="single"/>
        </w:rPr>
        <w:t xml:space="preserve">     </w:t>
      </w:r>
    </w:p>
    <w:p w14:paraId="19D9FFC7">
      <w:pPr>
        <w:pStyle w:val="13"/>
        <w:spacing w:line="360" w:lineRule="auto"/>
        <w:jc w:val="left"/>
        <w:rPr>
          <w:rStyle w:val="8"/>
          <w:rFonts w:ascii="宋体" w:hAnsi="宋体"/>
          <w:color w:val="auto"/>
          <w:sz w:val="24"/>
          <w:szCs w:val="24"/>
          <w:highlight w:val="none"/>
        </w:rPr>
      </w:pP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w:t>
      </w:r>
    </w:p>
    <w:p w14:paraId="0FC773BD">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（6）发包人无正当理由没有在约定期限内发出复工指示，导致承包人无法复工的违约责任：</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工期可适当顺延，但发包人不承担任何形式的违约责任。</w:t>
      </w:r>
    </w:p>
    <w:p w14:paraId="51DD8766">
      <w:pPr>
        <w:pStyle w:val="13"/>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（7）</w:t>
      </w:r>
      <w:r>
        <w:rPr>
          <w:rStyle w:val="8"/>
          <w:rFonts w:hint="eastAsia" w:ascii="宋体" w:hAnsi="宋体"/>
          <w:color w:val="auto"/>
          <w:sz w:val="24"/>
          <w:szCs w:val="24"/>
          <w:highlight w:val="none"/>
        </w:rPr>
        <w:t>其他：</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u w:val="single"/>
        </w:rPr>
        <w:t xml:space="preserve">       </w:t>
      </w:r>
      <w:r>
        <w:rPr>
          <w:rStyle w:val="8"/>
          <w:rFonts w:hint="eastAsia" w:ascii="宋体" w:hAnsi="宋体"/>
          <w:color w:val="auto"/>
          <w:sz w:val="24"/>
          <w:szCs w:val="24"/>
          <w:highlight w:val="none"/>
          <w:u w:val="single"/>
        </w:rPr>
        <w:t xml:space="preserve">  </w:t>
      </w:r>
      <w:r>
        <w:rPr>
          <w:rStyle w:val="8"/>
          <w:rFonts w:ascii="宋体" w:hAnsi="宋体"/>
          <w:color w:val="auto"/>
          <w:sz w:val="24"/>
          <w:szCs w:val="24"/>
          <w:highlight w:val="none"/>
        </w:rPr>
        <w:t>。</w:t>
      </w:r>
    </w:p>
    <w:p w14:paraId="39B03227">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16.1.3 因发包人违约解除合同</w:t>
      </w:r>
    </w:p>
    <w:p w14:paraId="58774949">
      <w:pPr>
        <w:pStyle w:val="13"/>
        <w:autoSpaceDE w:val="0"/>
        <w:autoSpaceDN w:val="0"/>
        <w:adjustRightInd w:val="0"/>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承包人按16.1.1项</w:t>
      </w:r>
      <w:r>
        <w:rPr>
          <w:rStyle w:val="8"/>
          <w:rFonts w:hint="eastAsia" w:ascii="宋体" w:hAnsi="宋体"/>
          <w:color w:val="auto"/>
          <w:sz w:val="24"/>
          <w:szCs w:val="24"/>
          <w:highlight w:val="none"/>
        </w:rPr>
        <w:t>〔</w:t>
      </w:r>
      <w:r>
        <w:rPr>
          <w:rStyle w:val="8"/>
          <w:rFonts w:ascii="宋体" w:hAnsi="宋体"/>
          <w:color w:val="auto"/>
          <w:sz w:val="24"/>
          <w:szCs w:val="24"/>
          <w:highlight w:val="none"/>
        </w:rPr>
        <w:t>发包人违约的情形</w:t>
      </w:r>
      <w:r>
        <w:rPr>
          <w:rStyle w:val="8"/>
          <w:rFonts w:hint="eastAsia" w:ascii="宋体" w:hAnsi="宋体"/>
          <w:color w:val="auto"/>
          <w:sz w:val="24"/>
          <w:szCs w:val="24"/>
          <w:highlight w:val="none"/>
        </w:rPr>
        <w:t>〕</w:t>
      </w:r>
      <w:r>
        <w:rPr>
          <w:rStyle w:val="8"/>
          <w:rFonts w:ascii="宋体" w:hAnsi="宋体"/>
          <w:color w:val="auto"/>
          <w:sz w:val="24"/>
          <w:szCs w:val="24"/>
          <w:highlight w:val="none"/>
        </w:rPr>
        <w:t>约定暂停施工满</w:t>
      </w:r>
      <w:r>
        <w:rPr>
          <w:rStyle w:val="8"/>
          <w:rFonts w:ascii="宋体" w:hAnsi="宋体"/>
          <w:color w:val="auto"/>
          <w:sz w:val="24"/>
          <w:szCs w:val="24"/>
          <w:highlight w:val="none"/>
          <w:u w:val="single"/>
        </w:rPr>
        <w:t xml:space="preserve">    </w:t>
      </w:r>
      <w:r>
        <w:rPr>
          <w:rStyle w:val="8"/>
          <w:rFonts w:ascii="宋体" w:hAnsi="宋体"/>
          <w:color w:val="auto"/>
          <w:sz w:val="24"/>
          <w:szCs w:val="24"/>
          <w:highlight w:val="none"/>
        </w:rPr>
        <w:t>天后发包人仍不纠正其违约行为并致使合同目的不能实现的，承包人有权解除合同。</w:t>
      </w:r>
    </w:p>
    <w:p w14:paraId="20CDFF89">
      <w:pPr>
        <w:pStyle w:val="13"/>
        <w:spacing w:after="120" w:line="360" w:lineRule="auto"/>
        <w:ind w:firstLine="480" w:firstLineChars="200"/>
        <w:outlineLvl w:val="9"/>
        <w:rPr>
          <w:rStyle w:val="8"/>
          <w:rFonts w:ascii="宋体" w:hAnsi="宋体"/>
          <w:color w:val="auto"/>
          <w:kern w:val="2"/>
          <w:sz w:val="24"/>
          <w:szCs w:val="24"/>
          <w:highlight w:val="none"/>
        </w:rPr>
      </w:pPr>
      <w:bookmarkStart w:id="1161" w:name="_Toc69461837"/>
      <w:bookmarkStart w:id="1162" w:name="_Toc69461182"/>
      <w:bookmarkStart w:id="1163" w:name="_Toc25870"/>
      <w:bookmarkStart w:id="1164" w:name="_Toc256000858"/>
      <w:bookmarkStart w:id="1165" w:name="_Toc256000103"/>
      <w:bookmarkStart w:id="1166" w:name="_Toc256000591"/>
      <w:bookmarkStart w:id="1167" w:name="_Toc16856"/>
      <w:bookmarkStart w:id="1168" w:name="_Toc256001325"/>
      <w:bookmarkStart w:id="1169" w:name="_Toc256001095"/>
      <w:bookmarkStart w:id="1170" w:name="_Toc256000070"/>
      <w:bookmarkStart w:id="1171" w:name="_Toc11516"/>
      <w:bookmarkStart w:id="1172" w:name="_Toc28749"/>
      <w:bookmarkStart w:id="1173" w:name="_Toc256000362"/>
      <w:r>
        <w:rPr>
          <w:rStyle w:val="8"/>
          <w:rFonts w:ascii="宋体" w:hAnsi="宋体"/>
          <w:color w:val="auto"/>
          <w:kern w:val="2"/>
          <w:sz w:val="24"/>
          <w:szCs w:val="24"/>
          <w:highlight w:val="none"/>
        </w:rPr>
        <w:t>16.2 承包人违约</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p>
    <w:p w14:paraId="50F3B00C">
      <w:pPr>
        <w:pStyle w:val="13"/>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16.2.1 承包人违约的情形</w:t>
      </w:r>
    </w:p>
    <w:p w14:paraId="033C8016">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承包人违约的其他情形：</w:t>
      </w:r>
      <w:r>
        <w:rPr>
          <w:rStyle w:val="8"/>
          <w:rFonts w:hint="eastAsia" w:ascii="宋体" w:hAnsi="宋体"/>
          <w:color w:val="auto"/>
          <w:kern w:val="2"/>
          <w:sz w:val="24"/>
          <w:szCs w:val="24"/>
          <w:highlight w:val="none"/>
          <w:u w:val="single"/>
        </w:rPr>
        <w:t>(1）承包人私自将合同的全部或部分权利转让给其他人，或私自将合同的全部或部分义务转移给其他人；</w:t>
      </w:r>
    </w:p>
    <w:p w14:paraId="0C458055">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(2）承包人未经监理人批准，私自将己按合同约定进入施工场地的施工设备、临时设施或材料撤离施工场地；</w:t>
      </w:r>
    </w:p>
    <w:p w14:paraId="4CDFC89D">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(3）承包人使用了不合格材料或工程设备，工程质量达不到标准要求，又拒绝清除不合格工程；</w:t>
      </w:r>
    </w:p>
    <w:p w14:paraId="0B06FCAB">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(4）承包人未能按合同进度计划及时完成合同约定的工作，已造成或预期造成工期延误；</w:t>
      </w:r>
    </w:p>
    <w:p w14:paraId="794EAFD7">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(5）承包人在缺陷责任期内，未能对工程接收证书所列的缺陷清单的内容或缺陷责任期内发生的缺陷进行修复，而又拒绝按监理人指示再进行修补；</w:t>
      </w:r>
    </w:p>
    <w:p w14:paraId="6CDE7958">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(6）承包人无法继续履行或明确表示不履行或实质上己停止履行合同；</w:t>
      </w:r>
    </w:p>
    <w:p w14:paraId="2BDA7A63">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(7）承包人不按合同约定履行义务的其他情况。</w:t>
      </w:r>
    </w:p>
    <w:p w14:paraId="705897EC">
      <w:pPr>
        <w:pStyle w:val="13"/>
        <w:spacing w:line="360" w:lineRule="auto"/>
        <w:ind w:firstLine="480" w:firstLineChars="200"/>
        <w:jc w:val="left"/>
        <w:rPr>
          <w:rStyle w:val="8"/>
          <w:rFonts w:ascii="宋体" w:hAnsi="宋体"/>
          <w:color w:val="auto"/>
          <w:sz w:val="24"/>
          <w:szCs w:val="24"/>
          <w:highlight w:val="none"/>
        </w:rPr>
      </w:pPr>
      <w:r>
        <w:rPr>
          <w:rStyle w:val="8"/>
          <w:rFonts w:ascii="宋体" w:hAnsi="宋体"/>
          <w:color w:val="auto"/>
          <w:sz w:val="24"/>
          <w:szCs w:val="24"/>
          <w:highlight w:val="none"/>
        </w:rPr>
        <w:t>16.2.2承包人违约的责任</w:t>
      </w:r>
    </w:p>
    <w:p w14:paraId="0D072F28">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承包人违约责任的承担方式和计算方法：</w:t>
      </w:r>
      <w:r>
        <w:rPr>
          <w:rStyle w:val="8"/>
          <w:rFonts w:hint="eastAsia" w:ascii="宋体" w:hAnsi="宋体"/>
          <w:color w:val="auto"/>
          <w:kern w:val="2"/>
          <w:sz w:val="24"/>
          <w:szCs w:val="24"/>
          <w:highlight w:val="none"/>
          <w:u w:val="single"/>
        </w:rPr>
        <w:t>（1）承包人违反合同约定采购和使用不合格的材料和工程设备的，合同工期不予顺延，无偿更换、修复直至合格并赔偿因此给发包人造成的损失。</w:t>
      </w:r>
    </w:p>
    <w:p w14:paraId="0CEB19E0">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承包人采购和安装使用的材料、设备，应当向发包人提供产品质量合格证书，否则视为该材料、设备质量不合格。双方同意，不得以本工程实际使用认定为承包人提供的采购和安装所使用的材料、设备合格。若承包人未提供采购和安装使用的材料、设备的产品质量合格证书，则发包人有权拒绝付款且不承担延期付款期间的利息和违约责任。</w:t>
      </w:r>
    </w:p>
    <w:p w14:paraId="054A7A66">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 xml:space="preserve">（2）因承包人原因导致工程质量不符合合同要求的：合同工期不予顺延，无偿整改至合格，并赔偿因此给发包人造成的损失。一次整改后工程质量仍不符合合同要求或承包人未按发包人要求整改的，发包人有权自行整改或另行委托第三方，因此产生的费用由承包人承担，发包人有权直接从工程款中直接扣除，同时向发包人支付不合格工程价款1%的违约金。 </w:t>
      </w:r>
    </w:p>
    <w:p w14:paraId="13745C49">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 xml:space="preserve">（3）承包人违反第8.9 款〔材料与设备专用要求〕的约定，未经批准，私自将已按照合同约定进入施工现场的材料或设备撤离施工现场的：每发现一次罚款2000 元。 </w:t>
      </w:r>
    </w:p>
    <w:p w14:paraId="446FBF0C">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（4）承包人未能按施工进度计划及时完成合同约定的工作，造成工期延误的：</w:t>
      </w:r>
    </w:p>
    <w:p w14:paraId="27AFC57A">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工程施工节点逾期或竣工逾期的，按专用条款7.5.2条款收取违约金；</w:t>
      </w:r>
    </w:p>
    <w:p w14:paraId="6D462E17">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5）承包人在缺陷责任期及保修期内，未能在合理期限对工程缺陷进行修复，或拒绝按发包人要求进行修复的：承包人在发包人提出修复要求内24小时响应发包人修复要求，未予响应的发包人有权自行修复或另行委托第三方修复，因此产生的修复费用由发包人直接从承包人的质量保证金中扣除。</w:t>
      </w:r>
    </w:p>
    <w:p w14:paraId="4E416A5E">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（6）承包人违反本合同约定所应支付的违约金，发包人均有权从应付的工程款中直接扣减，无需征得承包人同意。</w:t>
      </w:r>
    </w:p>
    <w:p w14:paraId="5D45C106">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16.2.3 因承包人违约解除合同</w:t>
      </w:r>
    </w:p>
    <w:p w14:paraId="1CFEA5BC">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关于承包人违约解除合同的特别约定：</w:t>
      </w:r>
      <w:r>
        <w:rPr>
          <w:rStyle w:val="8"/>
          <w:rFonts w:ascii="宋体" w:hAnsi="宋体"/>
          <w:color w:val="auto"/>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赔偿因此给发包人造成的一切损失。 </w:t>
      </w:r>
    </w:p>
    <w:p w14:paraId="196E2500">
      <w:pPr>
        <w:pStyle w:val="13"/>
        <w:spacing w:before="120" w:after="120" w:line="360" w:lineRule="auto"/>
        <w:ind w:firstLine="480" w:firstLineChars="200"/>
        <w:rPr>
          <w:rStyle w:val="8"/>
          <w:rFonts w:ascii="宋体" w:hAnsi="宋体"/>
          <w:color w:val="auto"/>
          <w:kern w:val="2"/>
          <w:sz w:val="24"/>
          <w:szCs w:val="24"/>
          <w:highlight w:val="none"/>
          <w:u w:val="single"/>
        </w:rPr>
      </w:pPr>
      <w:r>
        <w:rPr>
          <w:rStyle w:val="8"/>
          <w:rFonts w:ascii="宋体" w:hAnsi="宋体"/>
          <w:color w:val="auto"/>
          <w:sz w:val="24"/>
          <w:szCs w:val="24"/>
          <w:highlight w:val="none"/>
        </w:rPr>
        <w:t>发包人</w:t>
      </w:r>
      <w:r>
        <w:rPr>
          <w:rStyle w:val="8"/>
          <w:rFonts w:hint="eastAsia" w:ascii="宋体" w:hAnsi="宋体"/>
          <w:color w:val="auto"/>
          <w:sz w:val="24"/>
          <w:szCs w:val="24"/>
          <w:highlight w:val="none"/>
        </w:rPr>
        <w:t>继续</w:t>
      </w:r>
      <w:r>
        <w:rPr>
          <w:rStyle w:val="8"/>
          <w:rFonts w:ascii="宋体" w:hAnsi="宋体"/>
          <w:color w:val="auto"/>
          <w:sz w:val="24"/>
          <w:szCs w:val="24"/>
          <w:highlight w:val="none"/>
        </w:rPr>
        <w:t>使用承包人在施工现场的材料、设备、临时工程、承包人文件和由承包人或以其名义编制的其他文件</w:t>
      </w:r>
      <w:r>
        <w:rPr>
          <w:rStyle w:val="8"/>
          <w:rFonts w:hint="eastAsia" w:ascii="宋体" w:hAnsi="宋体"/>
          <w:color w:val="auto"/>
          <w:sz w:val="24"/>
          <w:szCs w:val="24"/>
          <w:highlight w:val="none"/>
        </w:rPr>
        <w:t>的费用承担方式</w:t>
      </w:r>
      <w:r>
        <w:rPr>
          <w:rStyle w:val="8"/>
          <w:rFonts w:ascii="宋体" w:hAnsi="宋体"/>
          <w:color w:val="auto"/>
          <w:sz w:val="24"/>
          <w:szCs w:val="24"/>
          <w:highlight w:val="none"/>
        </w:rPr>
        <w:t>：</w:t>
      </w:r>
      <w:r>
        <w:rPr>
          <w:rStyle w:val="8"/>
          <w:rFonts w:hint="eastAsia" w:ascii="宋体" w:hAnsi="宋体"/>
          <w:color w:val="auto"/>
          <w:kern w:val="2"/>
          <w:sz w:val="24"/>
          <w:szCs w:val="24"/>
          <w:highlight w:val="none"/>
          <w:u w:val="single"/>
        </w:rPr>
        <w:t>承包人承担。</w:t>
      </w:r>
    </w:p>
    <w:p w14:paraId="49094431">
      <w:pPr>
        <w:pStyle w:val="15"/>
        <w:spacing w:before="120" w:after="120" w:line="360" w:lineRule="auto"/>
        <w:outlineLvl w:val="9"/>
        <w:rPr>
          <w:rStyle w:val="8"/>
          <w:rFonts w:ascii="宋体" w:hAnsi="宋体" w:eastAsia="宋体"/>
          <w:b w:val="0"/>
          <w:color w:val="auto"/>
          <w:sz w:val="24"/>
          <w:szCs w:val="24"/>
          <w:highlight w:val="none"/>
        </w:rPr>
      </w:pPr>
      <w:bookmarkStart w:id="1174" w:name="_Toc69461838"/>
      <w:bookmarkStart w:id="1175" w:name="_Toc256001096"/>
      <w:bookmarkStart w:id="1176" w:name="_Toc256000859"/>
      <w:bookmarkStart w:id="1177" w:name="_Toc69461183"/>
      <w:bookmarkStart w:id="1178" w:name="_Toc30141"/>
      <w:bookmarkStart w:id="1179" w:name="_Toc256001326"/>
      <w:bookmarkStart w:id="1180" w:name="_Toc256000363"/>
      <w:bookmarkStart w:id="1181" w:name="_Toc256000592"/>
      <w:bookmarkStart w:id="1182" w:name="_Toc351203649"/>
      <w:bookmarkStart w:id="1183" w:name="_Toc2487"/>
      <w:r>
        <w:rPr>
          <w:rStyle w:val="8"/>
          <w:rFonts w:ascii="宋体" w:hAnsi="宋体" w:eastAsia="宋体"/>
          <w:b w:val="0"/>
          <w:color w:val="auto"/>
          <w:sz w:val="24"/>
          <w:szCs w:val="24"/>
          <w:highlight w:val="none"/>
        </w:rPr>
        <w:t>17. 不可抗力</w:t>
      </w:r>
      <w:bookmarkEnd w:id="1174"/>
      <w:bookmarkEnd w:id="1175"/>
      <w:bookmarkEnd w:id="1176"/>
      <w:bookmarkEnd w:id="1177"/>
      <w:bookmarkEnd w:id="1178"/>
      <w:bookmarkEnd w:id="1179"/>
      <w:bookmarkEnd w:id="1180"/>
      <w:bookmarkEnd w:id="1181"/>
      <w:bookmarkEnd w:id="1182"/>
      <w:bookmarkEnd w:id="1183"/>
      <w:r>
        <w:rPr>
          <w:rStyle w:val="8"/>
          <w:rFonts w:ascii="宋体" w:hAnsi="宋体" w:eastAsia="宋体"/>
          <w:b w:val="0"/>
          <w:color w:val="auto"/>
          <w:sz w:val="24"/>
          <w:szCs w:val="24"/>
          <w:highlight w:val="none"/>
        </w:rPr>
        <w:t xml:space="preserve"> </w:t>
      </w:r>
      <w:bookmarkEnd w:id="1146"/>
    </w:p>
    <w:p w14:paraId="23B3501F">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17.1 不可抗力的确认</w:t>
      </w:r>
    </w:p>
    <w:p w14:paraId="04B5E869">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除通用合同条款约定的不可抗力事件之外，视为不可抗力的其他情形：</w:t>
      </w:r>
      <w:r>
        <w:rPr>
          <w:rStyle w:val="8"/>
          <w:rFonts w:hint="eastAsia" w:ascii="宋体" w:hAnsi="宋体"/>
          <w:color w:val="auto"/>
          <w:kern w:val="2"/>
          <w:sz w:val="24"/>
          <w:szCs w:val="24"/>
          <w:highlight w:val="none"/>
          <w:u w:val="single"/>
        </w:rPr>
        <w:t>烈度6级以上的地震、十级以上持续三天的大风、200㎜以上持续6小时的大雨、持续四天以上的大雪（以上需经市级气象单位确认）  。</w:t>
      </w:r>
    </w:p>
    <w:p w14:paraId="45E1C6CA">
      <w:pPr>
        <w:pStyle w:val="13"/>
        <w:spacing w:line="360" w:lineRule="auto"/>
        <w:ind w:firstLine="480" w:firstLineChars="200"/>
        <w:jc w:val="left"/>
        <w:rPr>
          <w:rStyle w:val="8"/>
          <w:rFonts w:ascii="宋体" w:hAnsi="宋体"/>
          <w:color w:val="auto"/>
          <w:sz w:val="24"/>
          <w:szCs w:val="24"/>
          <w:highlight w:val="none"/>
          <w:u w:val="single"/>
        </w:rPr>
      </w:pPr>
    </w:p>
    <w:p w14:paraId="669F5FDB">
      <w:pPr>
        <w:pStyle w:val="13"/>
        <w:spacing w:after="120" w:line="360" w:lineRule="auto"/>
        <w:ind w:firstLine="480" w:firstLineChars="200"/>
        <w:outlineLvl w:val="9"/>
        <w:rPr>
          <w:rStyle w:val="8"/>
          <w:rFonts w:ascii="宋体" w:hAnsi="宋体"/>
          <w:color w:val="auto"/>
          <w:kern w:val="2"/>
          <w:sz w:val="24"/>
          <w:szCs w:val="24"/>
          <w:highlight w:val="none"/>
        </w:rPr>
      </w:pPr>
      <w:bookmarkStart w:id="1184" w:name="_Toc256001327"/>
      <w:bookmarkStart w:id="1185" w:name="_Toc256000104"/>
      <w:bookmarkStart w:id="1186" w:name="_Toc256000364"/>
      <w:bookmarkStart w:id="1187" w:name="_Toc256000593"/>
      <w:bookmarkStart w:id="1188" w:name="_Toc17652"/>
      <w:bookmarkStart w:id="1189" w:name="_Toc256000071"/>
      <w:bookmarkStart w:id="1190" w:name="_Toc17278"/>
      <w:bookmarkStart w:id="1191" w:name="_Toc19757"/>
      <w:bookmarkStart w:id="1192" w:name="_Toc256001097"/>
      <w:bookmarkStart w:id="1193" w:name="_Toc256000860"/>
      <w:bookmarkStart w:id="1194" w:name="_Toc69461184"/>
      <w:bookmarkStart w:id="1195" w:name="_Toc69461839"/>
      <w:bookmarkStart w:id="1196" w:name="_Toc29062"/>
      <w:r>
        <w:rPr>
          <w:rStyle w:val="8"/>
          <w:rFonts w:ascii="宋体" w:hAnsi="宋体"/>
          <w:color w:val="auto"/>
          <w:kern w:val="2"/>
          <w:sz w:val="24"/>
          <w:szCs w:val="24"/>
          <w:highlight w:val="none"/>
        </w:rPr>
        <w:t>17.4 因不可抗力解除合同</w:t>
      </w:r>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14:paraId="25C706B1">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合同解除后，发包人应在商定或确定发包人应支付款项后</w:t>
      </w:r>
      <w:r>
        <w:rPr>
          <w:rStyle w:val="8"/>
          <w:rFonts w:ascii="宋体" w:hAnsi="宋体"/>
          <w:color w:val="auto"/>
          <w:kern w:val="2"/>
          <w:sz w:val="24"/>
          <w:szCs w:val="24"/>
          <w:highlight w:val="none"/>
          <w:u w:val="single"/>
        </w:rPr>
        <w:t xml:space="preserve">  90  </w:t>
      </w:r>
      <w:r>
        <w:rPr>
          <w:rStyle w:val="8"/>
          <w:rFonts w:ascii="宋体" w:hAnsi="宋体"/>
          <w:color w:val="auto"/>
          <w:kern w:val="2"/>
          <w:sz w:val="24"/>
          <w:szCs w:val="24"/>
          <w:highlight w:val="none"/>
        </w:rPr>
        <w:t>天内完成款项的支付。</w:t>
      </w:r>
    </w:p>
    <w:p w14:paraId="7227B892">
      <w:pPr>
        <w:pStyle w:val="15"/>
        <w:spacing w:before="120" w:after="120" w:line="360" w:lineRule="auto"/>
        <w:outlineLvl w:val="9"/>
        <w:rPr>
          <w:rStyle w:val="8"/>
          <w:rFonts w:ascii="宋体" w:hAnsi="宋体" w:eastAsia="宋体"/>
          <w:b w:val="0"/>
          <w:color w:val="auto"/>
          <w:sz w:val="24"/>
          <w:szCs w:val="24"/>
          <w:highlight w:val="none"/>
        </w:rPr>
      </w:pPr>
      <w:bookmarkStart w:id="1197" w:name="_Toc256000365"/>
      <w:bookmarkStart w:id="1198" w:name="_Toc2594"/>
      <w:bookmarkStart w:id="1199" w:name="_Toc23899"/>
      <w:bookmarkStart w:id="1200" w:name="_Toc69461840"/>
      <w:bookmarkStart w:id="1201" w:name="_Toc256001328"/>
      <w:bookmarkStart w:id="1202" w:name="_Toc69461185"/>
      <w:bookmarkStart w:id="1203" w:name="_Toc351203650"/>
      <w:bookmarkStart w:id="1204" w:name="_Toc256001098"/>
      <w:bookmarkStart w:id="1205" w:name="_Toc256000594"/>
      <w:bookmarkStart w:id="1206" w:name="_Toc256000861"/>
      <w:r>
        <w:rPr>
          <w:rStyle w:val="8"/>
          <w:rFonts w:ascii="宋体" w:hAnsi="宋体" w:eastAsia="宋体"/>
          <w:b w:val="0"/>
          <w:color w:val="auto"/>
          <w:sz w:val="24"/>
          <w:szCs w:val="24"/>
          <w:highlight w:val="none"/>
        </w:rPr>
        <w:t>18. 保险</w:t>
      </w:r>
      <w:bookmarkEnd w:id="1197"/>
      <w:bookmarkEnd w:id="1198"/>
      <w:bookmarkEnd w:id="1199"/>
      <w:bookmarkEnd w:id="1200"/>
      <w:bookmarkEnd w:id="1201"/>
      <w:bookmarkEnd w:id="1202"/>
      <w:bookmarkEnd w:id="1203"/>
      <w:bookmarkEnd w:id="1204"/>
      <w:bookmarkEnd w:id="1205"/>
      <w:bookmarkEnd w:id="1206"/>
    </w:p>
    <w:bookmarkEnd w:id="1147"/>
    <w:p w14:paraId="5F4E1D25">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18.1 工程保险</w:t>
      </w:r>
    </w:p>
    <w:p w14:paraId="20D390C2">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关于工程保险的特别约定：</w:t>
      </w:r>
      <w:r>
        <w:rPr>
          <w:rStyle w:val="8"/>
          <w:rFonts w:ascii="宋体" w:hAnsi="宋体"/>
          <w:color w:val="auto"/>
          <w:sz w:val="24"/>
          <w:szCs w:val="24"/>
          <w:highlight w:val="none"/>
          <w:u w:val="single"/>
        </w:rPr>
        <w:t xml:space="preserve"> </w:t>
      </w:r>
      <w:r>
        <w:rPr>
          <w:rStyle w:val="8"/>
          <w:rFonts w:hint="eastAsia" w:ascii="宋体" w:hAnsi="宋体"/>
          <w:color w:val="auto"/>
          <w:kern w:val="2"/>
          <w:sz w:val="24"/>
          <w:szCs w:val="24"/>
          <w:highlight w:val="none"/>
          <w:u w:val="single"/>
        </w:rPr>
        <w:t>按省、市有关文件执行</w:t>
      </w:r>
      <w:r>
        <w:rPr>
          <w:rStyle w:val="8"/>
          <w:rFonts w:ascii="宋体" w:hAnsi="宋体"/>
          <w:color w:val="auto"/>
          <w:kern w:val="2"/>
          <w:sz w:val="24"/>
          <w:szCs w:val="24"/>
          <w:highlight w:val="none"/>
          <w:u w:val="single"/>
        </w:rPr>
        <w:t>。</w:t>
      </w:r>
    </w:p>
    <w:p w14:paraId="32D18524">
      <w:pPr>
        <w:pStyle w:val="13"/>
        <w:spacing w:after="120" w:line="360" w:lineRule="auto"/>
        <w:ind w:firstLine="480" w:firstLineChars="200"/>
        <w:outlineLvl w:val="9"/>
        <w:rPr>
          <w:rStyle w:val="8"/>
          <w:rFonts w:ascii="宋体" w:hAnsi="宋体"/>
          <w:color w:val="auto"/>
          <w:kern w:val="2"/>
          <w:sz w:val="24"/>
          <w:szCs w:val="24"/>
          <w:highlight w:val="none"/>
        </w:rPr>
      </w:pPr>
      <w:bookmarkStart w:id="1207" w:name="_Toc256000072"/>
      <w:bookmarkStart w:id="1208" w:name="_Toc69461841"/>
      <w:bookmarkStart w:id="1209" w:name="_Toc256000862"/>
      <w:bookmarkStart w:id="1210" w:name="_Toc23463"/>
      <w:bookmarkStart w:id="1211" w:name="_Toc21713"/>
      <w:bookmarkStart w:id="1212" w:name="_Toc19366"/>
      <w:bookmarkStart w:id="1213" w:name="_Toc5549"/>
      <w:bookmarkStart w:id="1214" w:name="_Toc69461186"/>
      <w:bookmarkStart w:id="1215" w:name="_Toc256000105"/>
      <w:bookmarkStart w:id="1216" w:name="_Toc256001099"/>
      <w:bookmarkStart w:id="1217" w:name="_Toc256000366"/>
      <w:bookmarkStart w:id="1218" w:name="_Toc256000595"/>
      <w:bookmarkStart w:id="1219" w:name="_Toc256001329"/>
      <w:r>
        <w:rPr>
          <w:rStyle w:val="8"/>
          <w:rFonts w:ascii="宋体" w:hAnsi="宋体"/>
          <w:color w:val="auto"/>
          <w:kern w:val="2"/>
          <w:sz w:val="24"/>
          <w:szCs w:val="24"/>
          <w:highlight w:val="none"/>
        </w:rPr>
        <w:t>18.3 其他保险</w:t>
      </w:r>
      <w:bookmarkEnd w:id="1207"/>
      <w:bookmarkEnd w:id="1208"/>
      <w:bookmarkEnd w:id="1209"/>
      <w:bookmarkEnd w:id="1210"/>
      <w:bookmarkEnd w:id="1211"/>
      <w:bookmarkEnd w:id="1212"/>
      <w:bookmarkEnd w:id="1213"/>
      <w:bookmarkEnd w:id="1214"/>
      <w:bookmarkEnd w:id="1215"/>
      <w:bookmarkEnd w:id="1216"/>
      <w:bookmarkEnd w:id="1217"/>
      <w:bookmarkEnd w:id="1218"/>
      <w:bookmarkEnd w:id="1219"/>
    </w:p>
    <w:p w14:paraId="77273269">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关于其他保险的约定：</w:t>
      </w:r>
      <w:r>
        <w:rPr>
          <w:rStyle w:val="8"/>
          <w:rFonts w:ascii="宋体" w:hAnsi="宋体"/>
          <w:color w:val="auto"/>
          <w:sz w:val="24"/>
          <w:szCs w:val="24"/>
          <w:highlight w:val="none"/>
          <w:u w:val="single"/>
        </w:rPr>
        <w:t xml:space="preserve">  </w:t>
      </w:r>
      <w:r>
        <w:rPr>
          <w:rStyle w:val="8"/>
          <w:rFonts w:hint="eastAsia" w:ascii="宋体" w:hAnsi="宋体"/>
          <w:color w:val="auto"/>
          <w:kern w:val="2"/>
          <w:sz w:val="24"/>
          <w:szCs w:val="24"/>
          <w:highlight w:val="none"/>
          <w:u w:val="single"/>
        </w:rPr>
        <w:t>(1)承包人员工伤事故的保险：承包人应依照有关法律规定参加工伤保险，要求其履行合同所雇佣的全部人员参加工伤保险，缴纳工伤保险费，并要求其分包人也进行此项保险，费用含在投标报价中。</w:t>
      </w:r>
    </w:p>
    <w:p w14:paraId="5563AC14">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(2)人身意外伤害险：承包人应在整个施工期间为其现场机构雇佣的全部人员，投保人身意外伤害险，缴纳保险费，并要求其分包人也进行此项保险，费用含在投标报价中 。</w:t>
      </w:r>
    </w:p>
    <w:p w14:paraId="1684E04D">
      <w:pPr>
        <w:pStyle w:val="14"/>
        <w:spacing w:line="360" w:lineRule="auto"/>
        <w:ind w:firstLine="480" w:firstLineChars="200"/>
        <w:jc w:val="left"/>
        <w:rPr>
          <w:rStyle w:val="8"/>
          <w:rFonts w:ascii="宋体" w:hAnsi="宋体"/>
          <w:color w:val="auto"/>
          <w:kern w:val="2"/>
          <w:sz w:val="24"/>
          <w:szCs w:val="24"/>
          <w:highlight w:val="none"/>
          <w:u w:val="single"/>
        </w:rPr>
      </w:pPr>
      <w:r>
        <w:rPr>
          <w:rStyle w:val="8"/>
          <w:rFonts w:hint="eastAsia" w:ascii="宋体" w:hAnsi="宋体"/>
          <w:color w:val="auto"/>
          <w:kern w:val="2"/>
          <w:sz w:val="24"/>
          <w:szCs w:val="24"/>
          <w:highlight w:val="none"/>
          <w:u w:val="single"/>
        </w:rPr>
        <w:t>承包人是否应为其施工设备等办理财产保险：承包人应为其施工设备、进场的材料和工程设备等办理保险，费用含在投标报价中   。</w:t>
      </w:r>
    </w:p>
    <w:p w14:paraId="6A28EC9A">
      <w:pPr>
        <w:pStyle w:val="13"/>
        <w:spacing w:line="360" w:lineRule="auto"/>
        <w:ind w:firstLine="480" w:firstLineChars="200"/>
        <w:jc w:val="left"/>
        <w:rPr>
          <w:rStyle w:val="8"/>
          <w:rFonts w:ascii="宋体" w:hAnsi="宋体"/>
          <w:color w:val="auto"/>
          <w:kern w:val="2"/>
          <w:sz w:val="24"/>
          <w:szCs w:val="24"/>
          <w:highlight w:val="none"/>
          <w:u w:val="single"/>
        </w:rPr>
      </w:pPr>
    </w:p>
    <w:p w14:paraId="74ADC1BC">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18.7 通知义务</w:t>
      </w:r>
    </w:p>
    <w:p w14:paraId="720A1BC2">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sz w:val="24"/>
          <w:szCs w:val="24"/>
          <w:highlight w:val="none"/>
        </w:rPr>
        <w:t>关于变更保险合同时的通知义务的约定：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执行通用条款</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p>
    <w:bookmarkEnd w:id="1062"/>
    <w:bookmarkEnd w:id="1063"/>
    <w:bookmarkEnd w:id="1064"/>
    <w:bookmarkEnd w:id="1065"/>
    <w:bookmarkEnd w:id="1066"/>
    <w:bookmarkEnd w:id="1067"/>
    <w:bookmarkEnd w:id="1068"/>
    <w:bookmarkEnd w:id="1069"/>
    <w:bookmarkEnd w:id="1070"/>
    <w:bookmarkEnd w:id="1071"/>
    <w:bookmarkEnd w:id="1072"/>
    <w:bookmarkEnd w:id="1073"/>
    <w:p w14:paraId="668BE77B">
      <w:pPr>
        <w:pStyle w:val="15"/>
        <w:spacing w:before="120" w:after="120" w:line="360" w:lineRule="auto"/>
        <w:outlineLvl w:val="9"/>
        <w:rPr>
          <w:rStyle w:val="8"/>
          <w:rFonts w:ascii="宋体" w:hAnsi="宋体" w:eastAsia="宋体"/>
          <w:b w:val="0"/>
          <w:color w:val="auto"/>
          <w:sz w:val="24"/>
          <w:szCs w:val="24"/>
          <w:highlight w:val="none"/>
        </w:rPr>
      </w:pPr>
      <w:bookmarkStart w:id="1220" w:name="_Toc69461187"/>
      <w:bookmarkStart w:id="1221" w:name="_Toc256000863"/>
      <w:bookmarkStart w:id="1222" w:name="_Toc12994"/>
      <w:bookmarkStart w:id="1223" w:name="_Toc256000367"/>
      <w:bookmarkStart w:id="1224" w:name="_Toc256000596"/>
      <w:bookmarkStart w:id="1225" w:name="_Toc29687"/>
      <w:bookmarkStart w:id="1226" w:name="_Toc351203651"/>
      <w:bookmarkStart w:id="1227" w:name="_Toc256001330"/>
      <w:bookmarkStart w:id="1228" w:name="_Toc69461842"/>
      <w:bookmarkStart w:id="1229" w:name="_Toc256001100"/>
      <w:r>
        <w:rPr>
          <w:rStyle w:val="8"/>
          <w:rFonts w:ascii="宋体" w:hAnsi="宋体" w:eastAsia="宋体"/>
          <w:b w:val="0"/>
          <w:color w:val="auto"/>
          <w:sz w:val="24"/>
          <w:szCs w:val="24"/>
          <w:highlight w:val="none"/>
        </w:rPr>
        <w:t>20. 争议解决</w:t>
      </w:r>
      <w:bookmarkEnd w:id="1220"/>
      <w:bookmarkEnd w:id="1221"/>
      <w:bookmarkEnd w:id="1222"/>
      <w:bookmarkEnd w:id="1223"/>
      <w:bookmarkEnd w:id="1224"/>
      <w:bookmarkEnd w:id="1225"/>
      <w:bookmarkEnd w:id="1226"/>
      <w:bookmarkEnd w:id="1227"/>
      <w:bookmarkEnd w:id="1228"/>
      <w:bookmarkEnd w:id="1229"/>
    </w:p>
    <w:bookmarkEnd w:id="1074"/>
    <w:bookmarkEnd w:id="1075"/>
    <w:p w14:paraId="777E0187">
      <w:pPr>
        <w:pStyle w:val="13"/>
        <w:spacing w:after="120" w:line="360" w:lineRule="auto"/>
        <w:ind w:firstLine="480" w:firstLineChars="200"/>
        <w:outlineLvl w:val="9"/>
        <w:rPr>
          <w:rStyle w:val="8"/>
          <w:rFonts w:ascii="宋体" w:hAnsi="宋体"/>
          <w:color w:val="auto"/>
          <w:kern w:val="2"/>
          <w:sz w:val="24"/>
          <w:szCs w:val="24"/>
          <w:highlight w:val="none"/>
        </w:rPr>
      </w:pPr>
      <w:bookmarkStart w:id="1230" w:name="_Toc256000864"/>
      <w:bookmarkStart w:id="1231" w:name="_Toc16036"/>
      <w:bookmarkStart w:id="1232" w:name="_Toc69461843"/>
      <w:bookmarkStart w:id="1233" w:name="_Toc18398"/>
      <w:bookmarkStart w:id="1234" w:name="_Toc256000106"/>
      <w:bookmarkStart w:id="1235" w:name="_Toc69461188"/>
      <w:bookmarkStart w:id="1236" w:name="_Toc256000073"/>
      <w:bookmarkStart w:id="1237" w:name="_Toc256001101"/>
      <w:bookmarkStart w:id="1238" w:name="_Toc32586"/>
      <w:bookmarkStart w:id="1239" w:name="_Toc256000597"/>
      <w:bookmarkStart w:id="1240" w:name="_Toc256000368"/>
      <w:bookmarkStart w:id="1241" w:name="_Toc20836"/>
      <w:bookmarkStart w:id="1242" w:name="_Toc256001331"/>
      <w:r>
        <w:rPr>
          <w:rStyle w:val="8"/>
          <w:rFonts w:ascii="宋体" w:hAnsi="宋体"/>
          <w:color w:val="auto"/>
          <w:kern w:val="2"/>
          <w:sz w:val="24"/>
          <w:szCs w:val="24"/>
          <w:highlight w:val="none"/>
        </w:rPr>
        <w:t>20.3 争</w:t>
      </w:r>
      <w:bookmarkEnd w:id="1076"/>
      <w:r>
        <w:rPr>
          <w:rStyle w:val="8"/>
          <w:rFonts w:ascii="宋体" w:hAnsi="宋体"/>
          <w:color w:val="auto"/>
          <w:kern w:val="2"/>
          <w:sz w:val="24"/>
          <w:szCs w:val="24"/>
          <w:highlight w:val="none"/>
        </w:rPr>
        <w:t>议评审</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14:paraId="2309974E">
      <w:pPr>
        <w:pStyle w:val="13"/>
        <w:spacing w:line="360" w:lineRule="auto"/>
        <w:ind w:left="149" w:leftChars="71" w:firstLine="360" w:firstLineChars="15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合同当事人是否同意将工程争议提交争议评审小组决</w:t>
      </w:r>
      <w:r>
        <w:rPr>
          <w:rStyle w:val="8"/>
          <w:rFonts w:hint="eastAsia" w:ascii="宋体" w:hAnsi="宋体"/>
          <w:color w:val="auto"/>
          <w:kern w:val="2"/>
          <w:sz w:val="24"/>
          <w:szCs w:val="24"/>
          <w:highlight w:val="none"/>
        </w:rPr>
        <w:t>定：</w:t>
      </w:r>
      <w:r>
        <w:rPr>
          <w:rStyle w:val="8"/>
          <w:rFonts w:hint="eastAsia" w:ascii="宋体" w:hAnsi="宋体"/>
          <w:color w:val="auto"/>
          <w:kern w:val="2"/>
          <w:sz w:val="24"/>
          <w:szCs w:val="24"/>
          <w:highlight w:val="none"/>
          <w:u w:val="single"/>
        </w:rPr>
        <w:t xml:space="preserve">    </w:t>
      </w:r>
    </w:p>
    <w:p w14:paraId="339CC2B8">
      <w:pPr>
        <w:pStyle w:val="13"/>
        <w:spacing w:line="360" w:lineRule="auto"/>
        <w:jc w:val="left"/>
        <w:rPr>
          <w:rStyle w:val="8"/>
          <w:rFonts w:ascii="宋体" w:hAnsi="宋体"/>
          <w:color w:val="auto"/>
          <w:kern w:val="2"/>
          <w:sz w:val="24"/>
          <w:szCs w:val="24"/>
          <w:highlight w:val="none"/>
        </w:rPr>
      </w:pPr>
      <w:r>
        <w:rPr>
          <w:rStyle w:val="8"/>
          <w:rFonts w:hint="eastAsia"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rPr>
        <w:t xml:space="preserve">。  </w:t>
      </w:r>
    </w:p>
    <w:p w14:paraId="08D78CCF">
      <w:pPr>
        <w:pStyle w:val="13"/>
        <w:spacing w:line="360" w:lineRule="auto"/>
        <w:ind w:firstLine="480" w:firstLineChars="200"/>
        <w:jc w:val="left"/>
        <w:outlineLvl w:val="9"/>
        <w:rPr>
          <w:rStyle w:val="8"/>
          <w:rFonts w:ascii="宋体" w:hAnsi="宋体"/>
          <w:color w:val="auto"/>
          <w:kern w:val="2"/>
          <w:sz w:val="24"/>
          <w:szCs w:val="24"/>
          <w:highlight w:val="none"/>
        </w:rPr>
      </w:pPr>
      <w:bookmarkStart w:id="1243" w:name="_Toc256000865"/>
      <w:bookmarkStart w:id="1244" w:name="_Toc69461189"/>
      <w:bookmarkStart w:id="1245" w:name="_Toc256001332"/>
      <w:bookmarkStart w:id="1246" w:name="_Toc12880"/>
      <w:bookmarkStart w:id="1247" w:name="_Toc256001102"/>
      <w:bookmarkStart w:id="1248" w:name="_Toc256000369"/>
      <w:bookmarkStart w:id="1249" w:name="_Toc256000598"/>
      <w:bookmarkStart w:id="1250" w:name="_Toc69461844"/>
      <w:bookmarkStart w:id="1251" w:name="_Toc13518"/>
      <w:bookmarkStart w:id="1252" w:name="_Toc31093"/>
      <w:bookmarkStart w:id="1253" w:name="_Toc31833"/>
      <w:bookmarkStart w:id="1254" w:name="_Toc256000074"/>
      <w:bookmarkStart w:id="1255" w:name="_Toc256000107"/>
      <w:r>
        <w:rPr>
          <w:rStyle w:val="8"/>
          <w:rFonts w:ascii="宋体" w:hAnsi="宋体"/>
          <w:color w:val="auto"/>
          <w:kern w:val="2"/>
          <w:sz w:val="24"/>
          <w:szCs w:val="24"/>
          <w:highlight w:val="none"/>
        </w:rPr>
        <w:t>20.3.1 争议评审小组的确定</w:t>
      </w:r>
      <w:bookmarkEnd w:id="1243"/>
      <w:bookmarkEnd w:id="1244"/>
      <w:bookmarkEnd w:id="1245"/>
      <w:bookmarkEnd w:id="1246"/>
      <w:bookmarkEnd w:id="1247"/>
      <w:bookmarkEnd w:id="1248"/>
      <w:bookmarkEnd w:id="1249"/>
      <w:bookmarkEnd w:id="1250"/>
      <w:bookmarkEnd w:id="1251"/>
      <w:bookmarkEnd w:id="1252"/>
      <w:bookmarkEnd w:id="1253"/>
      <w:bookmarkEnd w:id="1254"/>
      <w:bookmarkEnd w:id="1255"/>
    </w:p>
    <w:p w14:paraId="556EED79">
      <w:pPr>
        <w:pStyle w:val="13"/>
        <w:spacing w:line="360" w:lineRule="auto"/>
        <w:ind w:firstLine="480" w:firstLineChars="200"/>
        <w:jc w:val="left"/>
        <w:rPr>
          <w:rStyle w:val="8"/>
          <w:rFonts w:ascii="宋体" w:hAnsi="宋体"/>
          <w:color w:val="auto"/>
          <w:kern w:val="2"/>
          <w:sz w:val="24"/>
          <w:szCs w:val="24"/>
          <w:highlight w:val="none"/>
          <w:u w:val="single"/>
        </w:rPr>
      </w:pPr>
      <w:r>
        <w:rPr>
          <w:rStyle w:val="8"/>
          <w:rFonts w:ascii="宋体" w:hAnsi="宋体"/>
          <w:color w:val="auto"/>
          <w:kern w:val="2"/>
          <w:sz w:val="24"/>
          <w:szCs w:val="24"/>
          <w:highlight w:val="none"/>
        </w:rPr>
        <w:t>争议评审小组成员的确定：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5FD3E667">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选定争议评审员的期限：</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175BA832">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争议评审小组成员的报酬承担方式：</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76053279">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其他事项的约定：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379E23A0">
      <w:pPr>
        <w:pStyle w:val="13"/>
        <w:autoSpaceDE w:val="0"/>
        <w:autoSpaceDN w:val="0"/>
        <w:adjustRightInd w:val="0"/>
        <w:spacing w:line="360" w:lineRule="auto"/>
        <w:ind w:firstLine="480" w:firstLineChars="200"/>
        <w:jc w:val="left"/>
        <w:outlineLvl w:val="9"/>
        <w:rPr>
          <w:rStyle w:val="8"/>
          <w:rFonts w:ascii="宋体" w:hAnsi="宋体"/>
          <w:color w:val="auto"/>
          <w:sz w:val="24"/>
          <w:szCs w:val="24"/>
          <w:highlight w:val="none"/>
        </w:rPr>
      </w:pPr>
      <w:bookmarkStart w:id="1256" w:name="_Toc256000866"/>
      <w:bookmarkStart w:id="1257" w:name="_Toc256000075"/>
      <w:bookmarkStart w:id="1258" w:name="_Toc69461845"/>
      <w:bookmarkStart w:id="1259" w:name="_Toc256000599"/>
      <w:bookmarkStart w:id="1260" w:name="_Toc256001333"/>
      <w:bookmarkStart w:id="1261" w:name="_Toc69461190"/>
      <w:bookmarkStart w:id="1262" w:name="_Toc256001103"/>
      <w:bookmarkStart w:id="1263" w:name="_Toc22039"/>
      <w:bookmarkStart w:id="1264" w:name="_Toc23311"/>
      <w:bookmarkStart w:id="1265" w:name="_Toc12219"/>
      <w:bookmarkStart w:id="1266" w:name="_Toc4602"/>
      <w:bookmarkStart w:id="1267" w:name="_Toc256000108"/>
      <w:bookmarkStart w:id="1268" w:name="_Toc256000370"/>
      <w:r>
        <w:rPr>
          <w:rStyle w:val="8"/>
          <w:rFonts w:ascii="宋体" w:hAnsi="宋体"/>
          <w:color w:val="auto"/>
          <w:sz w:val="24"/>
          <w:szCs w:val="24"/>
          <w:highlight w:val="none"/>
        </w:rPr>
        <w:t>20.3.2 争议评审小组的决定</w:t>
      </w:r>
      <w:bookmarkEnd w:id="1256"/>
      <w:bookmarkEnd w:id="1257"/>
      <w:bookmarkEnd w:id="1258"/>
      <w:bookmarkEnd w:id="1259"/>
      <w:bookmarkEnd w:id="1260"/>
      <w:bookmarkEnd w:id="1261"/>
      <w:bookmarkEnd w:id="1262"/>
      <w:bookmarkEnd w:id="1263"/>
      <w:bookmarkEnd w:id="1264"/>
      <w:bookmarkEnd w:id="1265"/>
      <w:bookmarkEnd w:id="1266"/>
      <w:bookmarkEnd w:id="1267"/>
      <w:bookmarkEnd w:id="1268"/>
    </w:p>
    <w:p w14:paraId="46727401">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合同当事人关于本项的约定：</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w:t>
      </w:r>
    </w:p>
    <w:p w14:paraId="0EBAEE09">
      <w:pPr>
        <w:pStyle w:val="13"/>
        <w:spacing w:after="120" w:line="360" w:lineRule="auto"/>
        <w:ind w:firstLine="480" w:firstLineChars="200"/>
        <w:outlineLvl w:val="9"/>
        <w:rPr>
          <w:rStyle w:val="8"/>
          <w:rFonts w:ascii="宋体" w:hAnsi="宋体"/>
          <w:color w:val="auto"/>
          <w:kern w:val="2"/>
          <w:sz w:val="24"/>
          <w:szCs w:val="24"/>
          <w:highlight w:val="none"/>
        </w:rPr>
      </w:pPr>
      <w:bookmarkStart w:id="1269" w:name="_Toc256000867"/>
      <w:bookmarkStart w:id="1270" w:name="_Toc25005"/>
      <w:bookmarkStart w:id="1271" w:name="_Toc13535"/>
      <w:bookmarkStart w:id="1272" w:name="_Toc256000076"/>
      <w:bookmarkStart w:id="1273" w:name="_Toc256000371"/>
      <w:bookmarkStart w:id="1274" w:name="_Toc256000109"/>
      <w:bookmarkStart w:id="1275" w:name="_Toc256000600"/>
      <w:bookmarkStart w:id="1276" w:name="_Toc69461846"/>
      <w:bookmarkStart w:id="1277" w:name="_Toc256001334"/>
      <w:bookmarkStart w:id="1278" w:name="_Toc11928"/>
      <w:bookmarkStart w:id="1279" w:name="_Toc256001104"/>
      <w:bookmarkStart w:id="1280" w:name="_Toc69461191"/>
      <w:bookmarkStart w:id="1281" w:name="_Toc2946"/>
      <w:r>
        <w:rPr>
          <w:rStyle w:val="8"/>
          <w:rFonts w:ascii="宋体" w:hAnsi="宋体"/>
          <w:color w:val="auto"/>
          <w:kern w:val="2"/>
          <w:sz w:val="24"/>
          <w:szCs w:val="24"/>
          <w:highlight w:val="none"/>
        </w:rPr>
        <w:t>20.4仲裁或诉讼</w:t>
      </w:r>
      <w:bookmarkEnd w:id="1077"/>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14:paraId="3805E1A4">
      <w:pPr>
        <w:pStyle w:val="13"/>
        <w:spacing w:after="120" w:line="360" w:lineRule="auto"/>
        <w:ind w:firstLine="480" w:firstLineChars="200"/>
        <w:rPr>
          <w:rStyle w:val="8"/>
          <w:rFonts w:ascii="宋体" w:hAnsi="宋体"/>
          <w:color w:val="auto"/>
          <w:kern w:val="2"/>
          <w:sz w:val="24"/>
          <w:szCs w:val="24"/>
          <w:highlight w:val="none"/>
        </w:rPr>
      </w:pPr>
      <w:r>
        <w:rPr>
          <w:rStyle w:val="8"/>
          <w:rFonts w:ascii="宋体" w:hAnsi="宋体"/>
          <w:color w:val="auto"/>
          <w:kern w:val="2"/>
          <w:sz w:val="24"/>
          <w:szCs w:val="24"/>
          <w:highlight w:val="none"/>
        </w:rPr>
        <w:t>因合同及合同有关事项发生的争议，按下列第</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（2）</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种方式</w:t>
      </w:r>
      <w:r>
        <w:rPr>
          <w:rStyle w:val="8"/>
          <w:rFonts w:hint="eastAsia" w:ascii="宋体" w:hAnsi="宋体"/>
          <w:color w:val="auto"/>
          <w:kern w:val="2"/>
          <w:sz w:val="24"/>
          <w:szCs w:val="24"/>
          <w:highlight w:val="none"/>
        </w:rPr>
        <w:t>解</w:t>
      </w:r>
      <w:r>
        <w:rPr>
          <w:rStyle w:val="8"/>
          <w:rFonts w:ascii="宋体" w:hAnsi="宋体"/>
          <w:color w:val="auto"/>
          <w:kern w:val="2"/>
          <w:sz w:val="24"/>
          <w:szCs w:val="24"/>
          <w:highlight w:val="none"/>
        </w:rPr>
        <w:t>决：</w:t>
      </w:r>
    </w:p>
    <w:p w14:paraId="739721B0">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（1）向</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仲裁委员会申请仲裁；</w:t>
      </w:r>
    </w:p>
    <w:p w14:paraId="5313E93D">
      <w:pPr>
        <w:pStyle w:val="13"/>
        <w:spacing w:line="360" w:lineRule="auto"/>
        <w:ind w:firstLine="480" w:firstLineChars="200"/>
        <w:jc w:val="left"/>
        <w:rPr>
          <w:rStyle w:val="8"/>
          <w:rFonts w:ascii="宋体" w:hAnsi="宋体"/>
          <w:color w:val="auto"/>
          <w:kern w:val="2"/>
          <w:sz w:val="24"/>
          <w:szCs w:val="24"/>
          <w:highlight w:val="none"/>
        </w:rPr>
      </w:pPr>
      <w:r>
        <w:rPr>
          <w:rStyle w:val="8"/>
          <w:rFonts w:ascii="宋体" w:hAnsi="宋体"/>
          <w:color w:val="auto"/>
          <w:kern w:val="2"/>
          <w:sz w:val="24"/>
          <w:szCs w:val="24"/>
          <w:highlight w:val="none"/>
        </w:rPr>
        <w:t>（2）向</w:t>
      </w:r>
      <w:r>
        <w:rPr>
          <w:rStyle w:val="8"/>
          <w:rFonts w:ascii="宋体" w:hAnsi="宋体"/>
          <w:color w:val="auto"/>
          <w:kern w:val="2"/>
          <w:sz w:val="24"/>
          <w:szCs w:val="24"/>
          <w:highlight w:val="none"/>
          <w:u w:val="single"/>
        </w:rPr>
        <w:t xml:space="preserve">           </w:t>
      </w:r>
      <w:r>
        <w:rPr>
          <w:rStyle w:val="8"/>
          <w:rFonts w:hint="eastAsia" w:ascii="宋体" w:hAnsi="宋体"/>
          <w:color w:val="auto"/>
          <w:kern w:val="2"/>
          <w:sz w:val="24"/>
          <w:szCs w:val="24"/>
          <w:highlight w:val="none"/>
          <w:u w:val="single"/>
        </w:rPr>
        <w:t xml:space="preserve">工程所在地 </w:t>
      </w:r>
      <w:r>
        <w:rPr>
          <w:rStyle w:val="8"/>
          <w:rFonts w:ascii="宋体" w:hAnsi="宋体"/>
          <w:color w:val="auto"/>
          <w:kern w:val="2"/>
          <w:sz w:val="24"/>
          <w:szCs w:val="24"/>
          <w:highlight w:val="none"/>
          <w:u w:val="single"/>
        </w:rPr>
        <w:t xml:space="preserve">          </w:t>
      </w:r>
      <w:r>
        <w:rPr>
          <w:rStyle w:val="8"/>
          <w:rFonts w:ascii="宋体" w:hAnsi="宋体"/>
          <w:color w:val="auto"/>
          <w:kern w:val="2"/>
          <w:sz w:val="24"/>
          <w:szCs w:val="24"/>
          <w:highlight w:val="none"/>
        </w:rPr>
        <w:t>人民法院起诉。</w:t>
      </w:r>
      <w:bookmarkEnd w:id="1078"/>
      <w:bookmarkEnd w:id="1079"/>
      <w:bookmarkEnd w:id="1080"/>
      <w:bookmarkEnd w:id="1081"/>
      <w:bookmarkEnd w:id="1082"/>
      <w:bookmarkEnd w:id="1083"/>
    </w:p>
    <w:p w14:paraId="1C760915">
      <w:pPr>
        <w:spacing w:line="221" w:lineRule="auto"/>
        <w:rPr>
          <w:rFonts w:ascii="宋体" w:hAnsi="宋体" w:eastAsia="宋体" w:cs="宋体"/>
          <w:color w:val="auto"/>
          <w:sz w:val="21"/>
          <w:szCs w:val="21"/>
          <w:highlight w:val="none"/>
        </w:rPr>
        <w:sectPr>
          <w:headerReference r:id="rId153" w:type="default"/>
          <w:footerReference r:id="rId154" w:type="default"/>
          <w:pgSz w:w="11905" w:h="16839"/>
          <w:pgMar w:top="400" w:right="1785" w:bottom="1004" w:left="1785" w:header="0" w:footer="828" w:gutter="0"/>
          <w:pgNumType w:fmt="decimal"/>
          <w:cols w:space="720" w:num="1"/>
        </w:sectPr>
      </w:pPr>
    </w:p>
    <w:p w14:paraId="7FA5BF88">
      <w:pPr>
        <w:pStyle w:val="3"/>
        <w:spacing w:line="269" w:lineRule="auto"/>
        <w:rPr>
          <w:color w:val="auto"/>
          <w:highlight w:val="none"/>
        </w:rPr>
      </w:pPr>
    </w:p>
    <w:p w14:paraId="607762BD">
      <w:pPr>
        <w:pStyle w:val="3"/>
        <w:spacing w:line="270" w:lineRule="auto"/>
        <w:rPr>
          <w:color w:val="auto"/>
          <w:highlight w:val="none"/>
        </w:rPr>
      </w:pPr>
    </w:p>
    <w:p w14:paraId="60EB8406">
      <w:pPr>
        <w:pStyle w:val="3"/>
        <w:spacing w:line="270" w:lineRule="auto"/>
        <w:rPr>
          <w:color w:val="auto"/>
          <w:highlight w:val="none"/>
        </w:rPr>
      </w:pPr>
    </w:p>
    <w:p w14:paraId="61233711">
      <w:pPr>
        <w:pStyle w:val="3"/>
        <w:spacing w:line="270" w:lineRule="auto"/>
        <w:rPr>
          <w:color w:val="auto"/>
          <w:highlight w:val="none"/>
        </w:rPr>
      </w:pPr>
    </w:p>
    <w:p w14:paraId="5676A413">
      <w:pPr>
        <w:pStyle w:val="3"/>
        <w:spacing w:line="270" w:lineRule="auto"/>
        <w:rPr>
          <w:color w:val="auto"/>
          <w:highlight w:val="none"/>
        </w:rPr>
      </w:pPr>
    </w:p>
    <w:p w14:paraId="50603B7F">
      <w:pPr>
        <w:spacing w:before="87" w:line="227" w:lineRule="auto"/>
        <w:ind w:left="36"/>
        <w:rPr>
          <w:rFonts w:ascii="黑体" w:hAnsi="黑体" w:eastAsia="黑体" w:cs="黑体"/>
          <w:color w:val="auto"/>
          <w:sz w:val="27"/>
          <w:szCs w:val="27"/>
          <w:highlight w:val="none"/>
        </w:rPr>
      </w:pPr>
      <w:r>
        <w:rPr>
          <w:rFonts w:ascii="黑体" w:hAnsi="黑体" w:eastAsia="黑体" w:cs="黑体"/>
          <w:color w:val="auto"/>
          <w:spacing w:val="-2"/>
          <w:sz w:val="27"/>
          <w:szCs w:val="27"/>
          <w:highlight w:val="none"/>
          <w14:textOutline w14:w="5050" w14:cap="flat" w14:cmpd="sng">
            <w14:solidFill>
              <w14:srgbClr w14:val="000000"/>
            </w14:solidFill>
            <w14:prstDash w14:val="solid"/>
            <w14:miter w14:val="0"/>
          </w14:textOutline>
        </w:rPr>
        <w:t>附件</w:t>
      </w:r>
    </w:p>
    <w:p w14:paraId="26E093A9">
      <w:pPr>
        <w:spacing w:before="128" w:line="220"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协议书附件：</w:t>
      </w:r>
    </w:p>
    <w:p w14:paraId="6BEC1E49">
      <w:pPr>
        <w:spacing w:before="148" w:line="220" w:lineRule="auto"/>
        <w:ind w:left="45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附件</w:t>
      </w:r>
      <w:r>
        <w:rPr>
          <w:rFonts w:ascii="宋体" w:hAnsi="宋体" w:eastAsia="宋体" w:cs="宋体"/>
          <w:color w:val="auto"/>
          <w:spacing w:val="-26"/>
          <w:sz w:val="21"/>
          <w:szCs w:val="21"/>
          <w:highlight w:val="none"/>
        </w:rPr>
        <w:t xml:space="preserve"> </w:t>
      </w:r>
      <w:r>
        <w:rPr>
          <w:rFonts w:ascii="Times New Roman" w:hAnsi="Times New Roman" w:eastAsia="Times New Roman" w:cs="Times New Roman"/>
          <w:color w:val="auto"/>
          <w:spacing w:val="-3"/>
          <w:sz w:val="21"/>
          <w:szCs w:val="21"/>
          <w:highlight w:val="none"/>
        </w:rPr>
        <w:t>1</w:t>
      </w:r>
      <w:r>
        <w:rPr>
          <w:rFonts w:ascii="宋体" w:hAnsi="宋体" w:eastAsia="宋体" w:cs="宋体"/>
          <w:color w:val="auto"/>
          <w:spacing w:val="-3"/>
          <w:sz w:val="21"/>
          <w:szCs w:val="21"/>
          <w:highlight w:val="none"/>
        </w:rPr>
        <w:t>：承包人承揽工程项目一览表</w:t>
      </w:r>
    </w:p>
    <w:p w14:paraId="726950C4">
      <w:pPr>
        <w:pStyle w:val="3"/>
        <w:rPr>
          <w:color w:val="auto"/>
          <w:highlight w:val="none"/>
        </w:rPr>
      </w:pPr>
    </w:p>
    <w:p w14:paraId="691EE2F1">
      <w:pPr>
        <w:pStyle w:val="3"/>
        <w:rPr>
          <w:color w:val="auto"/>
          <w:highlight w:val="none"/>
        </w:rPr>
      </w:pPr>
    </w:p>
    <w:p w14:paraId="7C8CA335">
      <w:pPr>
        <w:spacing w:before="68" w:line="220" w:lineRule="auto"/>
        <w:ind w:left="44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专用合同条款附件：</w:t>
      </w:r>
    </w:p>
    <w:p w14:paraId="4FB50047">
      <w:pPr>
        <w:spacing w:before="148" w:line="403" w:lineRule="exact"/>
        <w:ind w:left="457"/>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附件</w:t>
      </w:r>
      <w:r>
        <w:rPr>
          <w:rFonts w:ascii="宋体" w:hAnsi="宋体" w:eastAsia="宋体" w:cs="宋体"/>
          <w:color w:val="auto"/>
          <w:spacing w:val="-42"/>
          <w:position w:val="14"/>
          <w:sz w:val="21"/>
          <w:szCs w:val="21"/>
          <w:highlight w:val="none"/>
        </w:rPr>
        <w:t xml:space="preserve"> </w:t>
      </w:r>
      <w:r>
        <w:rPr>
          <w:rFonts w:ascii="Times New Roman" w:hAnsi="Times New Roman" w:eastAsia="Times New Roman" w:cs="Times New Roman"/>
          <w:color w:val="auto"/>
          <w:spacing w:val="-2"/>
          <w:position w:val="14"/>
          <w:sz w:val="21"/>
          <w:szCs w:val="21"/>
          <w:highlight w:val="none"/>
        </w:rPr>
        <w:t>2</w:t>
      </w:r>
      <w:r>
        <w:rPr>
          <w:rFonts w:ascii="宋体" w:hAnsi="宋体" w:eastAsia="宋体" w:cs="宋体"/>
          <w:color w:val="auto"/>
          <w:spacing w:val="-2"/>
          <w:position w:val="14"/>
          <w:sz w:val="21"/>
          <w:szCs w:val="21"/>
          <w:highlight w:val="none"/>
        </w:rPr>
        <w:t>：发包人供应材料设备一览表</w:t>
      </w:r>
    </w:p>
    <w:p w14:paraId="488AAA0C">
      <w:pPr>
        <w:spacing w:before="1" w:line="219" w:lineRule="auto"/>
        <w:ind w:left="45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附件</w:t>
      </w:r>
      <w:r>
        <w:rPr>
          <w:rFonts w:ascii="宋体" w:hAnsi="宋体" w:eastAsia="宋体" w:cs="宋体"/>
          <w:color w:val="auto"/>
          <w:spacing w:val="-37"/>
          <w:sz w:val="21"/>
          <w:szCs w:val="21"/>
          <w:highlight w:val="none"/>
        </w:rPr>
        <w:t xml:space="preserve"> </w:t>
      </w:r>
      <w:r>
        <w:rPr>
          <w:rFonts w:ascii="Times New Roman" w:hAnsi="Times New Roman" w:eastAsia="Times New Roman" w:cs="Times New Roman"/>
          <w:color w:val="auto"/>
          <w:spacing w:val="-4"/>
          <w:sz w:val="21"/>
          <w:szCs w:val="21"/>
          <w:highlight w:val="none"/>
        </w:rPr>
        <w:t>3</w:t>
      </w:r>
      <w:r>
        <w:rPr>
          <w:rFonts w:ascii="宋体" w:hAnsi="宋体" w:eastAsia="宋体" w:cs="宋体"/>
          <w:color w:val="auto"/>
          <w:spacing w:val="-4"/>
          <w:sz w:val="21"/>
          <w:szCs w:val="21"/>
          <w:highlight w:val="none"/>
        </w:rPr>
        <w:t>：工程质量保修书</w:t>
      </w:r>
    </w:p>
    <w:p w14:paraId="30DFDFC3">
      <w:pPr>
        <w:spacing w:before="149" w:line="220" w:lineRule="auto"/>
        <w:ind w:left="45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附件</w:t>
      </w:r>
      <w:r>
        <w:rPr>
          <w:rFonts w:ascii="宋体" w:hAnsi="宋体" w:eastAsia="宋体" w:cs="宋体"/>
          <w:color w:val="auto"/>
          <w:spacing w:val="-45"/>
          <w:sz w:val="21"/>
          <w:szCs w:val="21"/>
          <w:highlight w:val="none"/>
        </w:rPr>
        <w:t xml:space="preserve"> </w:t>
      </w:r>
      <w:r>
        <w:rPr>
          <w:rFonts w:ascii="Times New Roman" w:hAnsi="Times New Roman" w:eastAsia="Times New Roman" w:cs="Times New Roman"/>
          <w:color w:val="auto"/>
          <w:spacing w:val="-2"/>
          <w:sz w:val="21"/>
          <w:szCs w:val="21"/>
          <w:highlight w:val="none"/>
        </w:rPr>
        <w:t>4</w:t>
      </w:r>
      <w:r>
        <w:rPr>
          <w:rFonts w:ascii="宋体" w:hAnsi="宋体" w:eastAsia="宋体" w:cs="宋体"/>
          <w:color w:val="auto"/>
          <w:spacing w:val="-2"/>
          <w:sz w:val="21"/>
          <w:szCs w:val="21"/>
          <w:highlight w:val="none"/>
        </w:rPr>
        <w:t>：主要建设工程文件目录</w:t>
      </w:r>
    </w:p>
    <w:p w14:paraId="01E8106D">
      <w:pPr>
        <w:spacing w:before="148" w:line="403" w:lineRule="exact"/>
        <w:ind w:left="457"/>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附件</w:t>
      </w:r>
      <w:r>
        <w:rPr>
          <w:rFonts w:ascii="宋体" w:hAnsi="宋体" w:eastAsia="宋体" w:cs="宋体"/>
          <w:color w:val="auto"/>
          <w:spacing w:val="-41"/>
          <w:position w:val="14"/>
          <w:sz w:val="21"/>
          <w:szCs w:val="21"/>
          <w:highlight w:val="none"/>
        </w:rPr>
        <w:t xml:space="preserve"> </w:t>
      </w:r>
      <w:r>
        <w:rPr>
          <w:rFonts w:ascii="Times New Roman" w:hAnsi="Times New Roman" w:eastAsia="Times New Roman" w:cs="Times New Roman"/>
          <w:color w:val="auto"/>
          <w:spacing w:val="-2"/>
          <w:position w:val="14"/>
          <w:sz w:val="21"/>
          <w:szCs w:val="21"/>
          <w:highlight w:val="none"/>
        </w:rPr>
        <w:t>5</w:t>
      </w:r>
      <w:r>
        <w:rPr>
          <w:rFonts w:ascii="宋体" w:hAnsi="宋体" w:eastAsia="宋体" w:cs="宋体"/>
          <w:color w:val="auto"/>
          <w:spacing w:val="-2"/>
          <w:position w:val="14"/>
          <w:sz w:val="21"/>
          <w:szCs w:val="21"/>
          <w:highlight w:val="none"/>
        </w:rPr>
        <w:t>：承包人用于本工程施工的机械设备表</w:t>
      </w:r>
    </w:p>
    <w:p w14:paraId="660F0187">
      <w:pPr>
        <w:spacing w:before="1" w:line="219" w:lineRule="auto"/>
        <w:ind w:left="45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附件</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pacing w:val="-3"/>
          <w:sz w:val="21"/>
          <w:szCs w:val="21"/>
          <w:highlight w:val="none"/>
        </w:rPr>
        <w:t>6</w:t>
      </w:r>
      <w:r>
        <w:rPr>
          <w:rFonts w:ascii="宋体" w:hAnsi="宋体" w:eastAsia="宋体" w:cs="宋体"/>
          <w:color w:val="auto"/>
          <w:spacing w:val="-3"/>
          <w:sz w:val="21"/>
          <w:szCs w:val="21"/>
          <w:highlight w:val="none"/>
        </w:rPr>
        <w:t>：承包人主要施工管理人员表</w:t>
      </w:r>
    </w:p>
    <w:p w14:paraId="69E2E43F">
      <w:pPr>
        <w:spacing w:before="148" w:line="220" w:lineRule="auto"/>
        <w:ind w:left="45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附件</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pacing w:val="-3"/>
          <w:sz w:val="21"/>
          <w:szCs w:val="21"/>
          <w:highlight w:val="none"/>
        </w:rPr>
        <w:t>7</w:t>
      </w:r>
      <w:r>
        <w:rPr>
          <w:rFonts w:ascii="宋体" w:hAnsi="宋体" w:eastAsia="宋体" w:cs="宋体"/>
          <w:color w:val="auto"/>
          <w:spacing w:val="-3"/>
          <w:sz w:val="21"/>
          <w:szCs w:val="21"/>
          <w:highlight w:val="none"/>
        </w:rPr>
        <w:t>：分包人主要施工管理人员表</w:t>
      </w:r>
    </w:p>
    <w:p w14:paraId="0583B978">
      <w:pPr>
        <w:spacing w:before="149" w:line="220" w:lineRule="auto"/>
        <w:ind w:left="45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附件</w:t>
      </w:r>
      <w:r>
        <w:rPr>
          <w:rFonts w:ascii="宋体" w:hAnsi="宋体" w:eastAsia="宋体" w:cs="宋体"/>
          <w:color w:val="auto"/>
          <w:spacing w:val="-33"/>
          <w:sz w:val="21"/>
          <w:szCs w:val="21"/>
          <w:highlight w:val="none"/>
        </w:rPr>
        <w:t xml:space="preserve"> </w:t>
      </w:r>
      <w:r>
        <w:rPr>
          <w:rFonts w:ascii="Times New Roman" w:hAnsi="Times New Roman" w:eastAsia="Times New Roman" w:cs="Times New Roman"/>
          <w:color w:val="auto"/>
          <w:spacing w:val="-4"/>
          <w:sz w:val="21"/>
          <w:szCs w:val="21"/>
          <w:highlight w:val="none"/>
        </w:rPr>
        <w:t>8</w:t>
      </w:r>
      <w:r>
        <w:rPr>
          <w:rFonts w:ascii="宋体" w:hAnsi="宋体" w:eastAsia="宋体" w:cs="宋体"/>
          <w:color w:val="auto"/>
          <w:spacing w:val="-4"/>
          <w:sz w:val="21"/>
          <w:szCs w:val="21"/>
          <w:highlight w:val="none"/>
        </w:rPr>
        <w:t>：履约担保格式</w:t>
      </w:r>
    </w:p>
    <w:p w14:paraId="68E1DC6E">
      <w:pPr>
        <w:spacing w:before="153" w:line="398" w:lineRule="exact"/>
        <w:ind w:left="457"/>
        <w:rPr>
          <w:rFonts w:ascii="宋体" w:hAnsi="宋体" w:eastAsia="宋体" w:cs="宋体"/>
          <w:color w:val="auto"/>
          <w:sz w:val="21"/>
          <w:szCs w:val="21"/>
          <w:highlight w:val="none"/>
        </w:rPr>
      </w:pPr>
      <w:r>
        <w:rPr>
          <w:rFonts w:ascii="宋体" w:hAnsi="宋体" w:eastAsia="宋体" w:cs="宋体"/>
          <w:color w:val="auto"/>
          <w:spacing w:val="-4"/>
          <w:position w:val="14"/>
          <w:sz w:val="21"/>
          <w:szCs w:val="21"/>
          <w:highlight w:val="none"/>
        </w:rPr>
        <w:t>附件</w:t>
      </w:r>
      <w:r>
        <w:rPr>
          <w:rFonts w:ascii="宋体" w:hAnsi="宋体" w:eastAsia="宋体" w:cs="宋体"/>
          <w:color w:val="auto"/>
          <w:spacing w:val="-34"/>
          <w:position w:val="14"/>
          <w:sz w:val="21"/>
          <w:szCs w:val="21"/>
          <w:highlight w:val="none"/>
        </w:rPr>
        <w:t xml:space="preserve"> </w:t>
      </w:r>
      <w:r>
        <w:rPr>
          <w:rFonts w:ascii="Times New Roman" w:hAnsi="Times New Roman" w:eastAsia="Times New Roman" w:cs="Times New Roman"/>
          <w:color w:val="auto"/>
          <w:spacing w:val="-4"/>
          <w:position w:val="14"/>
          <w:sz w:val="21"/>
          <w:szCs w:val="21"/>
          <w:highlight w:val="none"/>
        </w:rPr>
        <w:t>9</w:t>
      </w:r>
      <w:r>
        <w:rPr>
          <w:rFonts w:ascii="宋体" w:hAnsi="宋体" w:eastAsia="宋体" w:cs="宋体"/>
          <w:color w:val="auto"/>
          <w:spacing w:val="-4"/>
          <w:position w:val="14"/>
          <w:sz w:val="21"/>
          <w:szCs w:val="21"/>
          <w:highlight w:val="none"/>
        </w:rPr>
        <w:t>：预付款担保格式</w:t>
      </w:r>
    </w:p>
    <w:p w14:paraId="49385527">
      <w:pPr>
        <w:spacing w:before="1" w:line="219" w:lineRule="auto"/>
        <w:ind w:left="45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附件</w:t>
      </w:r>
      <w:r>
        <w:rPr>
          <w:rFonts w:ascii="宋体" w:hAnsi="宋体" w:eastAsia="宋体" w:cs="宋体"/>
          <w:color w:val="auto"/>
          <w:spacing w:val="-28"/>
          <w:sz w:val="21"/>
          <w:szCs w:val="21"/>
          <w:highlight w:val="none"/>
        </w:rPr>
        <w:t xml:space="preserve"> </w:t>
      </w:r>
      <w:r>
        <w:rPr>
          <w:rFonts w:ascii="Times New Roman" w:hAnsi="Times New Roman" w:eastAsia="Times New Roman" w:cs="Times New Roman"/>
          <w:color w:val="auto"/>
          <w:spacing w:val="-4"/>
          <w:sz w:val="21"/>
          <w:szCs w:val="21"/>
          <w:highlight w:val="none"/>
        </w:rPr>
        <w:t>10</w:t>
      </w:r>
      <w:r>
        <w:rPr>
          <w:rFonts w:ascii="宋体" w:hAnsi="宋体" w:eastAsia="宋体" w:cs="宋体"/>
          <w:color w:val="auto"/>
          <w:spacing w:val="-4"/>
          <w:sz w:val="21"/>
          <w:szCs w:val="21"/>
          <w:highlight w:val="none"/>
        </w:rPr>
        <w:t>：支付担保格式</w:t>
      </w:r>
    </w:p>
    <w:p w14:paraId="1A16CAFC">
      <w:pPr>
        <w:spacing w:before="149" w:line="219" w:lineRule="auto"/>
        <w:ind w:left="45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附件</w:t>
      </w:r>
      <w:r>
        <w:rPr>
          <w:rFonts w:ascii="宋体" w:hAnsi="宋体" w:eastAsia="宋体" w:cs="宋体"/>
          <w:color w:val="auto"/>
          <w:spacing w:val="-26"/>
          <w:sz w:val="21"/>
          <w:szCs w:val="21"/>
          <w:highlight w:val="none"/>
        </w:rPr>
        <w:t xml:space="preserve"> </w:t>
      </w:r>
      <w:r>
        <w:rPr>
          <w:rFonts w:ascii="Times New Roman" w:hAnsi="Times New Roman" w:eastAsia="Times New Roman" w:cs="Times New Roman"/>
          <w:color w:val="auto"/>
          <w:spacing w:val="-5"/>
          <w:sz w:val="21"/>
          <w:szCs w:val="21"/>
          <w:highlight w:val="none"/>
        </w:rPr>
        <w:t>11</w:t>
      </w:r>
      <w:r>
        <w:rPr>
          <w:rFonts w:ascii="宋体" w:hAnsi="宋体" w:eastAsia="宋体" w:cs="宋体"/>
          <w:color w:val="auto"/>
          <w:spacing w:val="-5"/>
          <w:sz w:val="21"/>
          <w:szCs w:val="21"/>
          <w:highlight w:val="none"/>
        </w:rPr>
        <w:t>：暂估价一览表</w:t>
      </w:r>
    </w:p>
    <w:p w14:paraId="3C79300B">
      <w:pPr>
        <w:spacing w:line="219" w:lineRule="auto"/>
        <w:rPr>
          <w:rFonts w:ascii="宋体" w:hAnsi="宋体" w:eastAsia="宋体" w:cs="宋体"/>
          <w:color w:val="auto"/>
          <w:sz w:val="21"/>
          <w:szCs w:val="21"/>
          <w:highlight w:val="none"/>
        </w:rPr>
        <w:sectPr>
          <w:footerReference r:id="rId155" w:type="default"/>
          <w:pgSz w:w="11905" w:h="16839"/>
          <w:pgMar w:top="400" w:right="1785" w:bottom="1004" w:left="1785" w:header="0" w:footer="828" w:gutter="0"/>
          <w:pgNumType w:fmt="decimal"/>
          <w:cols w:space="720" w:num="1"/>
        </w:sectPr>
      </w:pPr>
    </w:p>
    <w:p w14:paraId="05E1A9E6">
      <w:pPr>
        <w:pStyle w:val="3"/>
        <w:spacing w:line="276" w:lineRule="auto"/>
        <w:rPr>
          <w:color w:val="auto"/>
          <w:highlight w:val="none"/>
        </w:rPr>
      </w:pPr>
    </w:p>
    <w:p w14:paraId="071B3F27">
      <w:pPr>
        <w:pStyle w:val="3"/>
        <w:spacing w:line="276" w:lineRule="auto"/>
        <w:rPr>
          <w:color w:val="auto"/>
          <w:highlight w:val="none"/>
        </w:rPr>
      </w:pPr>
    </w:p>
    <w:p w14:paraId="1724BD40">
      <w:pPr>
        <w:pStyle w:val="3"/>
        <w:spacing w:line="276" w:lineRule="auto"/>
        <w:rPr>
          <w:color w:val="auto"/>
          <w:highlight w:val="none"/>
        </w:rPr>
      </w:pPr>
    </w:p>
    <w:p w14:paraId="0AA0BFE4">
      <w:pPr>
        <w:pStyle w:val="3"/>
        <w:spacing w:line="276" w:lineRule="auto"/>
        <w:rPr>
          <w:color w:val="auto"/>
          <w:highlight w:val="none"/>
        </w:rPr>
      </w:pPr>
    </w:p>
    <w:p w14:paraId="02472620">
      <w:pPr>
        <w:spacing w:before="78" w:line="219" w:lineRule="auto"/>
        <w:ind w:left="38"/>
        <w:rPr>
          <w:rFonts w:ascii="宋体" w:hAnsi="宋体" w:eastAsia="宋体" w:cs="宋体"/>
          <w:color w:val="auto"/>
          <w:sz w:val="24"/>
          <w:szCs w:val="24"/>
          <w:highlight w:val="none"/>
        </w:rPr>
      </w:pPr>
      <w:r>
        <w:rPr>
          <w:rFonts w:ascii="宋体" w:hAnsi="宋体" w:eastAsia="宋体" w:cs="宋体"/>
          <w:color w:val="auto"/>
          <w:spacing w:val="-15"/>
          <w:sz w:val="24"/>
          <w:szCs w:val="24"/>
          <w:highlight w:val="none"/>
        </w:rPr>
        <w:t>附件</w:t>
      </w:r>
      <w:r>
        <w:rPr>
          <w:rFonts w:ascii="宋体" w:hAnsi="宋体" w:eastAsia="宋体" w:cs="宋体"/>
          <w:color w:val="auto"/>
          <w:spacing w:val="-31"/>
          <w:sz w:val="24"/>
          <w:szCs w:val="24"/>
          <w:highlight w:val="none"/>
        </w:rPr>
        <w:t xml:space="preserve"> </w:t>
      </w:r>
      <w:r>
        <w:rPr>
          <w:rFonts w:ascii="Times New Roman" w:hAnsi="Times New Roman" w:eastAsia="Times New Roman" w:cs="Times New Roman"/>
          <w:color w:val="auto"/>
          <w:spacing w:val="-15"/>
          <w:sz w:val="24"/>
          <w:szCs w:val="24"/>
          <w:highlight w:val="none"/>
        </w:rPr>
        <w:t>1</w:t>
      </w:r>
      <w:r>
        <w:rPr>
          <w:rFonts w:ascii="宋体" w:hAnsi="宋体" w:eastAsia="宋体" w:cs="宋体"/>
          <w:color w:val="auto"/>
          <w:spacing w:val="-15"/>
          <w:sz w:val="24"/>
          <w:szCs w:val="24"/>
          <w:highlight w:val="none"/>
        </w:rPr>
        <w:t>：</w:t>
      </w:r>
    </w:p>
    <w:p w14:paraId="33B55D54">
      <w:pPr>
        <w:spacing w:before="243" w:line="225" w:lineRule="auto"/>
        <w:ind w:left="2497"/>
        <w:rPr>
          <w:rFonts w:ascii="黑体" w:hAnsi="黑体" w:eastAsia="黑体" w:cs="黑体"/>
          <w:color w:val="auto"/>
          <w:sz w:val="27"/>
          <w:szCs w:val="27"/>
          <w:highlight w:val="none"/>
        </w:rPr>
      </w:pPr>
      <w:r>
        <w:rPr>
          <w:rFonts w:ascii="黑体" w:hAnsi="黑体" w:eastAsia="黑体" w:cs="黑体"/>
          <w:color w:val="auto"/>
          <w:spacing w:val="8"/>
          <w:sz w:val="27"/>
          <w:szCs w:val="27"/>
          <w:highlight w:val="none"/>
        </w:rPr>
        <w:t>承包人承揽工程项目一览表</w:t>
      </w:r>
    </w:p>
    <w:p w14:paraId="5DAFC17B">
      <w:pPr>
        <w:spacing w:line="112" w:lineRule="exact"/>
        <w:rPr>
          <w:color w:val="auto"/>
          <w:highlight w:val="none"/>
        </w:rPr>
      </w:pPr>
    </w:p>
    <w:tbl>
      <w:tblPr>
        <w:tblStyle w:val="10"/>
        <w:tblW w:w="8291"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8"/>
        <w:gridCol w:w="708"/>
        <w:gridCol w:w="1106"/>
        <w:gridCol w:w="732"/>
        <w:gridCol w:w="565"/>
        <w:gridCol w:w="838"/>
        <w:gridCol w:w="776"/>
        <w:gridCol w:w="938"/>
        <w:gridCol w:w="522"/>
        <w:gridCol w:w="538"/>
      </w:tblGrid>
      <w:tr w14:paraId="7C596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8" w:hRule="atLeast"/>
        </w:trPr>
        <w:tc>
          <w:tcPr>
            <w:tcW w:w="1568" w:type="dxa"/>
            <w:tcBorders>
              <w:top w:val="single" w:color="000000" w:sz="10" w:space="0"/>
              <w:left w:val="single" w:color="000000" w:sz="10" w:space="0"/>
            </w:tcBorders>
            <w:vAlign w:val="top"/>
          </w:tcPr>
          <w:p w14:paraId="02C18DF2">
            <w:pPr>
              <w:spacing w:line="274" w:lineRule="auto"/>
              <w:rPr>
                <w:rFonts w:ascii="Arial"/>
                <w:color w:val="auto"/>
                <w:sz w:val="21"/>
                <w:highlight w:val="none"/>
              </w:rPr>
            </w:pPr>
          </w:p>
          <w:p w14:paraId="72FF1581">
            <w:pPr>
              <w:spacing w:line="274" w:lineRule="auto"/>
              <w:rPr>
                <w:rFonts w:ascii="Arial"/>
                <w:color w:val="auto"/>
                <w:sz w:val="21"/>
                <w:highlight w:val="none"/>
              </w:rPr>
            </w:pPr>
          </w:p>
          <w:p w14:paraId="63D88C5A">
            <w:pPr>
              <w:pStyle w:val="11"/>
              <w:spacing w:before="68" w:line="442" w:lineRule="exact"/>
              <w:ind w:left="359"/>
              <w:rPr>
                <w:color w:val="auto"/>
                <w:highlight w:val="none"/>
              </w:rPr>
            </w:pPr>
            <w:r>
              <w:rPr>
                <w:color w:val="auto"/>
                <w:spacing w:val="-1"/>
                <w:position w:val="17"/>
                <w:highlight w:val="none"/>
              </w:rPr>
              <w:t>单位工程</w:t>
            </w:r>
          </w:p>
          <w:p w14:paraId="3CDB8325">
            <w:pPr>
              <w:pStyle w:val="11"/>
              <w:spacing w:line="222" w:lineRule="auto"/>
              <w:ind w:left="571"/>
              <w:rPr>
                <w:color w:val="auto"/>
                <w:highlight w:val="none"/>
              </w:rPr>
            </w:pPr>
            <w:r>
              <w:rPr>
                <w:color w:val="auto"/>
                <w:spacing w:val="-3"/>
                <w:highlight w:val="none"/>
              </w:rPr>
              <w:t>名称</w:t>
            </w:r>
          </w:p>
        </w:tc>
        <w:tc>
          <w:tcPr>
            <w:tcW w:w="708" w:type="dxa"/>
            <w:tcBorders>
              <w:top w:val="single" w:color="000000" w:sz="10" w:space="0"/>
            </w:tcBorders>
            <w:vAlign w:val="top"/>
          </w:tcPr>
          <w:p w14:paraId="1A685819">
            <w:pPr>
              <w:spacing w:line="274" w:lineRule="auto"/>
              <w:rPr>
                <w:rFonts w:ascii="Arial"/>
                <w:color w:val="auto"/>
                <w:sz w:val="21"/>
                <w:highlight w:val="none"/>
              </w:rPr>
            </w:pPr>
          </w:p>
          <w:p w14:paraId="12A042A9">
            <w:pPr>
              <w:spacing w:line="274" w:lineRule="auto"/>
              <w:rPr>
                <w:rFonts w:ascii="Arial"/>
                <w:color w:val="auto"/>
                <w:sz w:val="21"/>
                <w:highlight w:val="none"/>
              </w:rPr>
            </w:pPr>
          </w:p>
          <w:p w14:paraId="7692039B">
            <w:pPr>
              <w:pStyle w:val="11"/>
              <w:spacing w:before="68" w:line="442" w:lineRule="exact"/>
              <w:ind w:left="144"/>
              <w:rPr>
                <w:color w:val="auto"/>
                <w:highlight w:val="none"/>
              </w:rPr>
            </w:pPr>
            <w:r>
              <w:rPr>
                <w:color w:val="auto"/>
                <w:spacing w:val="-3"/>
                <w:position w:val="17"/>
                <w:highlight w:val="none"/>
              </w:rPr>
              <w:t>建设</w:t>
            </w:r>
          </w:p>
          <w:p w14:paraId="7E86EECC">
            <w:pPr>
              <w:pStyle w:val="11"/>
              <w:spacing w:line="220" w:lineRule="auto"/>
              <w:ind w:left="142"/>
              <w:rPr>
                <w:color w:val="auto"/>
                <w:highlight w:val="none"/>
              </w:rPr>
            </w:pPr>
            <w:r>
              <w:rPr>
                <w:color w:val="auto"/>
                <w:spacing w:val="-2"/>
                <w:highlight w:val="none"/>
              </w:rPr>
              <w:t>规模</w:t>
            </w:r>
          </w:p>
        </w:tc>
        <w:tc>
          <w:tcPr>
            <w:tcW w:w="1106" w:type="dxa"/>
            <w:tcBorders>
              <w:top w:val="single" w:color="000000" w:sz="10" w:space="0"/>
            </w:tcBorders>
            <w:vAlign w:val="top"/>
          </w:tcPr>
          <w:p w14:paraId="04DCF581">
            <w:pPr>
              <w:spacing w:line="329" w:lineRule="auto"/>
              <w:rPr>
                <w:rFonts w:ascii="Arial"/>
                <w:color w:val="auto"/>
                <w:sz w:val="21"/>
                <w:highlight w:val="none"/>
              </w:rPr>
            </w:pPr>
          </w:p>
          <w:p w14:paraId="038C9C19">
            <w:pPr>
              <w:pStyle w:val="11"/>
              <w:spacing w:before="68" w:line="221" w:lineRule="auto"/>
              <w:ind w:left="137"/>
              <w:rPr>
                <w:color w:val="auto"/>
                <w:highlight w:val="none"/>
              </w:rPr>
            </w:pPr>
            <w:r>
              <w:rPr>
                <w:color w:val="auto"/>
                <w:spacing w:val="-2"/>
                <w:highlight w:val="none"/>
              </w:rPr>
              <w:t>建筑面积</w:t>
            </w:r>
          </w:p>
          <w:p w14:paraId="093BC9E6">
            <w:pPr>
              <w:pStyle w:val="11"/>
              <w:spacing w:before="189" w:line="437" w:lineRule="exact"/>
              <w:ind w:left="247"/>
              <w:rPr>
                <w:color w:val="auto"/>
                <w:highlight w:val="none"/>
              </w:rPr>
            </w:pPr>
            <w:r>
              <w:rPr>
                <w:color w:val="auto"/>
                <w:spacing w:val="-4"/>
                <w:position w:val="17"/>
                <w:highlight w:val="none"/>
              </w:rPr>
              <w:t>（平方</w:t>
            </w:r>
          </w:p>
          <w:p w14:paraId="60C1E6B7">
            <w:pPr>
              <w:pStyle w:val="11"/>
              <w:spacing w:line="220" w:lineRule="auto"/>
              <w:ind w:left="346"/>
              <w:rPr>
                <w:color w:val="auto"/>
                <w:highlight w:val="none"/>
              </w:rPr>
            </w:pPr>
            <w:r>
              <w:rPr>
                <w:color w:val="auto"/>
                <w:spacing w:val="-4"/>
                <w:highlight w:val="none"/>
              </w:rPr>
              <w:t>米）</w:t>
            </w:r>
          </w:p>
        </w:tc>
        <w:tc>
          <w:tcPr>
            <w:tcW w:w="732" w:type="dxa"/>
            <w:tcBorders>
              <w:top w:val="single" w:color="000000" w:sz="10" w:space="0"/>
            </w:tcBorders>
            <w:vAlign w:val="top"/>
          </w:tcPr>
          <w:p w14:paraId="5C73A897">
            <w:pPr>
              <w:spacing w:line="274" w:lineRule="auto"/>
              <w:rPr>
                <w:rFonts w:ascii="Arial"/>
                <w:color w:val="auto"/>
                <w:sz w:val="21"/>
                <w:highlight w:val="none"/>
              </w:rPr>
            </w:pPr>
          </w:p>
          <w:p w14:paraId="08C2F63F">
            <w:pPr>
              <w:spacing w:line="274" w:lineRule="auto"/>
              <w:rPr>
                <w:rFonts w:ascii="Arial"/>
                <w:color w:val="auto"/>
                <w:sz w:val="21"/>
                <w:highlight w:val="none"/>
              </w:rPr>
            </w:pPr>
          </w:p>
          <w:p w14:paraId="42152AA7">
            <w:pPr>
              <w:pStyle w:val="11"/>
              <w:spacing w:before="68" w:line="442" w:lineRule="exact"/>
              <w:ind w:left="167"/>
              <w:rPr>
                <w:color w:val="auto"/>
                <w:highlight w:val="none"/>
              </w:rPr>
            </w:pPr>
            <w:r>
              <w:rPr>
                <w:color w:val="auto"/>
                <w:spacing w:val="-3"/>
                <w:position w:val="17"/>
                <w:highlight w:val="none"/>
              </w:rPr>
              <w:t>结构</w:t>
            </w:r>
          </w:p>
          <w:p w14:paraId="2C7DABE9">
            <w:pPr>
              <w:pStyle w:val="11"/>
              <w:spacing w:line="222" w:lineRule="auto"/>
              <w:ind w:left="164"/>
              <w:rPr>
                <w:color w:val="auto"/>
                <w:highlight w:val="none"/>
              </w:rPr>
            </w:pPr>
            <w:r>
              <w:rPr>
                <w:color w:val="auto"/>
                <w:spacing w:val="-3"/>
                <w:highlight w:val="none"/>
              </w:rPr>
              <w:t>形式</w:t>
            </w:r>
          </w:p>
        </w:tc>
        <w:tc>
          <w:tcPr>
            <w:tcW w:w="565" w:type="dxa"/>
            <w:tcBorders>
              <w:top w:val="single" w:color="000000" w:sz="10" w:space="0"/>
            </w:tcBorders>
            <w:textDirection w:val="tbRlV"/>
            <w:vAlign w:val="top"/>
          </w:tcPr>
          <w:p w14:paraId="43A35C35">
            <w:pPr>
              <w:pStyle w:val="11"/>
              <w:spacing w:before="167" w:line="209" w:lineRule="auto"/>
              <w:ind w:left="619"/>
              <w:rPr>
                <w:color w:val="auto"/>
                <w:highlight w:val="none"/>
              </w:rPr>
            </w:pPr>
            <w:r>
              <w:rPr>
                <w:color w:val="auto"/>
                <w:spacing w:val="1"/>
                <w:highlight w:val="none"/>
              </w:rPr>
              <w:t>层</w:t>
            </w:r>
            <w:r>
              <w:rPr>
                <w:color w:val="auto"/>
                <w:spacing w:val="10"/>
                <w:highlight w:val="none"/>
              </w:rPr>
              <w:t xml:space="preserve">  </w:t>
            </w:r>
            <w:r>
              <w:rPr>
                <w:color w:val="auto"/>
                <w:spacing w:val="1"/>
                <w:highlight w:val="none"/>
              </w:rPr>
              <w:t>数</w:t>
            </w:r>
          </w:p>
        </w:tc>
        <w:tc>
          <w:tcPr>
            <w:tcW w:w="838" w:type="dxa"/>
            <w:tcBorders>
              <w:top w:val="single" w:color="000000" w:sz="10" w:space="0"/>
            </w:tcBorders>
            <w:vAlign w:val="top"/>
          </w:tcPr>
          <w:p w14:paraId="640BA9D7">
            <w:pPr>
              <w:spacing w:line="274" w:lineRule="auto"/>
              <w:rPr>
                <w:rFonts w:ascii="Arial"/>
                <w:color w:val="auto"/>
                <w:sz w:val="21"/>
                <w:highlight w:val="none"/>
              </w:rPr>
            </w:pPr>
          </w:p>
          <w:p w14:paraId="5CD42AA2">
            <w:pPr>
              <w:spacing w:line="274" w:lineRule="auto"/>
              <w:rPr>
                <w:rFonts w:ascii="Arial"/>
                <w:color w:val="auto"/>
                <w:sz w:val="21"/>
                <w:highlight w:val="none"/>
              </w:rPr>
            </w:pPr>
          </w:p>
          <w:p w14:paraId="038D7946">
            <w:pPr>
              <w:pStyle w:val="11"/>
              <w:spacing w:before="68" w:line="442" w:lineRule="exact"/>
              <w:ind w:left="220"/>
              <w:rPr>
                <w:color w:val="auto"/>
                <w:highlight w:val="none"/>
              </w:rPr>
            </w:pPr>
            <w:r>
              <w:rPr>
                <w:color w:val="auto"/>
                <w:spacing w:val="-2"/>
                <w:position w:val="17"/>
                <w:highlight w:val="none"/>
              </w:rPr>
              <w:t>生产</w:t>
            </w:r>
          </w:p>
          <w:p w14:paraId="033ED366">
            <w:pPr>
              <w:pStyle w:val="11"/>
              <w:spacing w:line="220" w:lineRule="auto"/>
              <w:ind w:left="227"/>
              <w:rPr>
                <w:color w:val="auto"/>
                <w:highlight w:val="none"/>
              </w:rPr>
            </w:pPr>
            <w:r>
              <w:rPr>
                <w:color w:val="auto"/>
                <w:spacing w:val="-4"/>
                <w:highlight w:val="none"/>
              </w:rPr>
              <w:t>能力</w:t>
            </w:r>
          </w:p>
        </w:tc>
        <w:tc>
          <w:tcPr>
            <w:tcW w:w="776" w:type="dxa"/>
            <w:tcBorders>
              <w:top w:val="single" w:color="000000" w:sz="10" w:space="0"/>
            </w:tcBorders>
            <w:vAlign w:val="top"/>
          </w:tcPr>
          <w:p w14:paraId="2A7AFAFD">
            <w:pPr>
              <w:spacing w:line="328" w:lineRule="auto"/>
              <w:rPr>
                <w:rFonts w:ascii="Arial"/>
                <w:color w:val="auto"/>
                <w:sz w:val="21"/>
                <w:highlight w:val="none"/>
              </w:rPr>
            </w:pPr>
          </w:p>
          <w:p w14:paraId="2031D6F8">
            <w:pPr>
              <w:pStyle w:val="11"/>
              <w:spacing w:before="68" w:line="442" w:lineRule="exact"/>
              <w:ind w:left="196"/>
              <w:rPr>
                <w:color w:val="auto"/>
                <w:highlight w:val="none"/>
              </w:rPr>
            </w:pPr>
            <w:r>
              <w:rPr>
                <w:color w:val="auto"/>
                <w:spacing w:val="-3"/>
                <w:position w:val="17"/>
                <w:highlight w:val="none"/>
              </w:rPr>
              <w:t>设备</w:t>
            </w:r>
          </w:p>
          <w:p w14:paraId="54329E22">
            <w:pPr>
              <w:pStyle w:val="11"/>
              <w:spacing w:line="221" w:lineRule="auto"/>
              <w:ind w:left="197"/>
              <w:rPr>
                <w:color w:val="auto"/>
                <w:highlight w:val="none"/>
              </w:rPr>
            </w:pPr>
            <w:r>
              <w:rPr>
                <w:color w:val="auto"/>
                <w:spacing w:val="-3"/>
                <w:highlight w:val="none"/>
              </w:rPr>
              <w:t>安装</w:t>
            </w:r>
          </w:p>
          <w:p w14:paraId="7750F20A">
            <w:pPr>
              <w:pStyle w:val="11"/>
              <w:spacing w:before="184" w:line="221" w:lineRule="auto"/>
              <w:ind w:left="218"/>
              <w:rPr>
                <w:color w:val="auto"/>
                <w:highlight w:val="none"/>
              </w:rPr>
            </w:pPr>
            <w:r>
              <w:rPr>
                <w:color w:val="auto"/>
                <w:spacing w:val="-8"/>
                <w:highlight w:val="none"/>
              </w:rPr>
              <w:t>内容</w:t>
            </w:r>
          </w:p>
        </w:tc>
        <w:tc>
          <w:tcPr>
            <w:tcW w:w="938" w:type="dxa"/>
            <w:tcBorders>
              <w:top w:val="single" w:color="000000" w:sz="10" w:space="0"/>
            </w:tcBorders>
            <w:vAlign w:val="top"/>
          </w:tcPr>
          <w:p w14:paraId="34186492">
            <w:pPr>
              <w:spacing w:line="328" w:lineRule="auto"/>
              <w:rPr>
                <w:rFonts w:ascii="Arial"/>
                <w:color w:val="auto"/>
                <w:sz w:val="21"/>
                <w:highlight w:val="none"/>
              </w:rPr>
            </w:pPr>
          </w:p>
          <w:p w14:paraId="5B8BE87D">
            <w:pPr>
              <w:pStyle w:val="11"/>
              <w:spacing w:before="68" w:line="442" w:lineRule="exact"/>
              <w:ind w:left="171"/>
              <w:rPr>
                <w:color w:val="auto"/>
                <w:highlight w:val="none"/>
              </w:rPr>
            </w:pPr>
            <w:r>
              <w:rPr>
                <w:color w:val="auto"/>
                <w:spacing w:val="-2"/>
                <w:position w:val="17"/>
                <w:highlight w:val="none"/>
              </w:rPr>
              <w:t>合同价</w:t>
            </w:r>
          </w:p>
          <w:p w14:paraId="49E873EE">
            <w:pPr>
              <w:pStyle w:val="11"/>
              <w:spacing w:line="220" w:lineRule="auto"/>
              <w:ind w:left="382"/>
              <w:rPr>
                <w:color w:val="auto"/>
                <w:highlight w:val="none"/>
              </w:rPr>
            </w:pPr>
            <w:r>
              <w:rPr>
                <w:color w:val="auto"/>
                <w:highlight w:val="none"/>
              </w:rPr>
              <w:t>格</w:t>
            </w:r>
          </w:p>
          <w:p w14:paraId="1D7E86F3">
            <w:pPr>
              <w:pStyle w:val="11"/>
              <w:spacing w:before="186" w:line="221" w:lineRule="auto"/>
              <w:ind w:left="177"/>
              <w:rPr>
                <w:color w:val="auto"/>
                <w:highlight w:val="none"/>
              </w:rPr>
            </w:pPr>
            <w:r>
              <w:rPr>
                <w:color w:val="auto"/>
                <w:spacing w:val="-6"/>
                <w:highlight w:val="none"/>
              </w:rPr>
              <w:t>（元）</w:t>
            </w:r>
          </w:p>
        </w:tc>
        <w:tc>
          <w:tcPr>
            <w:tcW w:w="522" w:type="dxa"/>
            <w:tcBorders>
              <w:top w:val="single" w:color="000000" w:sz="10" w:space="0"/>
            </w:tcBorders>
            <w:textDirection w:val="tbRlV"/>
            <w:vAlign w:val="top"/>
          </w:tcPr>
          <w:p w14:paraId="4EBF2713">
            <w:pPr>
              <w:pStyle w:val="11"/>
              <w:spacing w:before="135" w:line="200" w:lineRule="auto"/>
              <w:ind w:left="178"/>
              <w:rPr>
                <w:color w:val="auto"/>
                <w:highlight w:val="none"/>
              </w:rPr>
            </w:pPr>
            <w:r>
              <w:rPr>
                <w:color w:val="auto"/>
                <w:spacing w:val="1"/>
                <w:highlight w:val="none"/>
              </w:rPr>
              <w:t>开</w:t>
            </w:r>
            <w:r>
              <w:rPr>
                <w:color w:val="auto"/>
                <w:spacing w:val="10"/>
                <w:highlight w:val="none"/>
              </w:rPr>
              <w:t xml:space="preserve">  </w:t>
            </w:r>
            <w:r>
              <w:rPr>
                <w:color w:val="auto"/>
                <w:spacing w:val="1"/>
                <w:highlight w:val="none"/>
              </w:rPr>
              <w:t>工</w:t>
            </w:r>
            <w:r>
              <w:rPr>
                <w:color w:val="auto"/>
                <w:spacing w:val="10"/>
                <w:highlight w:val="none"/>
              </w:rPr>
              <w:t xml:space="preserve">  </w:t>
            </w:r>
            <w:r>
              <w:rPr>
                <w:color w:val="auto"/>
                <w:spacing w:val="1"/>
                <w:position w:val="1"/>
                <w:highlight w:val="none"/>
              </w:rPr>
              <w:t>日</w:t>
            </w:r>
            <w:r>
              <w:rPr>
                <w:color w:val="auto"/>
                <w:spacing w:val="8"/>
                <w:position w:val="1"/>
                <w:highlight w:val="none"/>
              </w:rPr>
              <w:t xml:space="preserve">  </w:t>
            </w:r>
            <w:r>
              <w:rPr>
                <w:color w:val="auto"/>
                <w:spacing w:val="1"/>
                <w:highlight w:val="none"/>
              </w:rPr>
              <w:t>期</w:t>
            </w:r>
          </w:p>
        </w:tc>
        <w:tc>
          <w:tcPr>
            <w:tcW w:w="538" w:type="dxa"/>
            <w:tcBorders>
              <w:top w:val="single" w:color="000000" w:sz="10" w:space="0"/>
              <w:right w:val="single" w:color="000000" w:sz="10" w:space="0"/>
            </w:tcBorders>
            <w:textDirection w:val="tbRlV"/>
            <w:vAlign w:val="top"/>
          </w:tcPr>
          <w:p w14:paraId="33135F19">
            <w:pPr>
              <w:pStyle w:val="11"/>
              <w:spacing w:before="146" w:line="200" w:lineRule="auto"/>
              <w:ind w:left="178"/>
              <w:rPr>
                <w:color w:val="auto"/>
                <w:highlight w:val="none"/>
              </w:rPr>
            </w:pPr>
            <w:r>
              <w:rPr>
                <w:color w:val="auto"/>
                <w:spacing w:val="1"/>
                <w:highlight w:val="none"/>
              </w:rPr>
              <w:t>竣</w:t>
            </w:r>
            <w:r>
              <w:rPr>
                <w:color w:val="auto"/>
                <w:spacing w:val="10"/>
                <w:highlight w:val="none"/>
              </w:rPr>
              <w:t xml:space="preserve">  </w:t>
            </w:r>
            <w:r>
              <w:rPr>
                <w:color w:val="auto"/>
                <w:spacing w:val="1"/>
                <w:highlight w:val="none"/>
              </w:rPr>
              <w:t>工</w:t>
            </w:r>
            <w:r>
              <w:rPr>
                <w:color w:val="auto"/>
                <w:spacing w:val="10"/>
                <w:highlight w:val="none"/>
              </w:rPr>
              <w:t xml:space="preserve">  </w:t>
            </w:r>
            <w:r>
              <w:rPr>
                <w:color w:val="auto"/>
                <w:spacing w:val="1"/>
                <w:position w:val="1"/>
                <w:highlight w:val="none"/>
              </w:rPr>
              <w:t>日</w:t>
            </w:r>
            <w:r>
              <w:rPr>
                <w:color w:val="auto"/>
                <w:spacing w:val="8"/>
                <w:position w:val="1"/>
                <w:highlight w:val="none"/>
              </w:rPr>
              <w:t xml:space="preserve">  </w:t>
            </w:r>
            <w:r>
              <w:rPr>
                <w:color w:val="auto"/>
                <w:spacing w:val="1"/>
                <w:highlight w:val="none"/>
              </w:rPr>
              <w:t>期</w:t>
            </w:r>
          </w:p>
        </w:tc>
      </w:tr>
      <w:tr w14:paraId="4062B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1568" w:type="dxa"/>
            <w:tcBorders>
              <w:left w:val="single" w:color="000000" w:sz="10" w:space="0"/>
            </w:tcBorders>
            <w:vAlign w:val="top"/>
          </w:tcPr>
          <w:p w14:paraId="0FA934F2">
            <w:pPr>
              <w:rPr>
                <w:rFonts w:ascii="Arial"/>
                <w:color w:val="auto"/>
                <w:sz w:val="21"/>
                <w:highlight w:val="none"/>
              </w:rPr>
            </w:pPr>
            <w:r>
              <w:rPr>
                <w:color w:val="auto"/>
                <w:highlight w:val="none"/>
              </w:rPr>
              <w:pict>
                <v:rect id="_x0000_s2052" o:spid="_x0000_s2052" o:spt="1" style="position:absolute;left:0pt;margin-left:0.85pt;margin-top:1.3pt;height:0.75pt;width:76.85pt;mso-position-horizontal-relative:page;mso-position-vertical-relative:page;z-index:251681792;mso-width-relative:page;mso-height-relative:page;" fillcolor="#000000" filled="t" stroked="f" coordsize="21600,21600">
                  <v:path/>
                  <v:fill on="t" focussize="0,0"/>
                  <v:stroke on="f"/>
                  <v:imagedata o:title=""/>
                  <o:lock v:ext="edit"/>
                </v:rect>
              </w:pict>
            </w:r>
          </w:p>
        </w:tc>
        <w:tc>
          <w:tcPr>
            <w:tcW w:w="708" w:type="dxa"/>
            <w:vAlign w:val="top"/>
          </w:tcPr>
          <w:p w14:paraId="42920A76">
            <w:pPr>
              <w:rPr>
                <w:rFonts w:ascii="Arial"/>
                <w:color w:val="auto"/>
                <w:sz w:val="21"/>
                <w:highlight w:val="none"/>
              </w:rPr>
            </w:pPr>
            <w:r>
              <w:rPr>
                <w:color w:val="auto"/>
                <w:highlight w:val="none"/>
              </w:rPr>
              <w:pict>
                <v:shape id="_x0000_s2053" o:spid="_x0000_s2053" style="position:absolute;left:0pt;margin-left:-0.7pt;margin-top:1.3pt;height:0.75pt;width:2.2pt;mso-position-horizontal-relative:page;mso-position-vertical-relative:page;z-index:251673600;mso-width-relative:page;mso-height-relative:page;" fillcolor="#000000" filled="t" stroked="f" coordsize="44,15" path="m0,14l43,14,43,0,0,0,0,14xe">
                  <v:path/>
                  <v:fill on="t" focussize="0,0"/>
                  <v:stroke on="f"/>
                  <v:imagedata o:title=""/>
                  <o:lock v:ext="edit"/>
                </v:shape>
              </w:pict>
            </w:r>
            <w:r>
              <w:rPr>
                <w:color w:val="auto"/>
                <w:highlight w:val="none"/>
              </w:rPr>
              <w:pict>
                <v:shape id="_x0000_s2054" o:spid="_x0000_s2054" style="position:absolute;left:0pt;margin-left:1.45pt;margin-top:1.3pt;height:0.75pt;width:33.4pt;mso-position-horizontal-relative:page;mso-position-vertical-relative:page;z-index:251668480;mso-width-relative:page;mso-height-relative:page;" fillcolor="#000000" filled="t" stroked="f" coordsize="668,15" path="m0,14l667,14,667,0,0,0,0,14xe">
                  <v:path/>
                  <v:fill on="t" focussize="0,0"/>
                  <v:stroke on="f"/>
                  <v:imagedata o:title=""/>
                  <o:lock v:ext="edit"/>
                </v:shape>
              </w:pict>
            </w:r>
          </w:p>
        </w:tc>
        <w:tc>
          <w:tcPr>
            <w:tcW w:w="1106" w:type="dxa"/>
            <w:vAlign w:val="top"/>
          </w:tcPr>
          <w:p w14:paraId="01BE3A8E">
            <w:pPr>
              <w:rPr>
                <w:rFonts w:ascii="Arial"/>
                <w:color w:val="auto"/>
                <w:sz w:val="21"/>
                <w:highlight w:val="none"/>
              </w:rPr>
            </w:pPr>
            <w:r>
              <w:rPr>
                <w:color w:val="auto"/>
                <w:highlight w:val="none"/>
              </w:rPr>
              <w:pict>
                <v:shape id="_x0000_s2055" o:spid="_x0000_s2055" style="position:absolute;left:0pt;margin-left:-0.6pt;margin-top:1.3pt;height:0.75pt;width:2.2pt;mso-position-horizontal-relative:page;mso-position-vertical-relative:page;z-index:251672576;mso-width-relative:page;mso-height-relative:page;" fillcolor="#000000" filled="t" stroked="f" coordsize="44,15" path="m0,14l43,14,43,0,0,0,0,14xe">
                  <v:path/>
                  <v:fill on="t" focussize="0,0"/>
                  <v:stroke on="f"/>
                  <v:imagedata o:title=""/>
                  <o:lock v:ext="edit"/>
                </v:shape>
              </w:pict>
            </w:r>
            <w:r>
              <w:rPr>
                <w:color w:val="auto"/>
                <w:highlight w:val="none"/>
              </w:rPr>
              <w:pict>
                <v:shape id="_x0000_s2056" o:spid="_x0000_s2056" style="position:absolute;left:0pt;margin-left:1.55pt;margin-top:1.3pt;height:0.75pt;width:53.35pt;mso-position-horizontal-relative:page;mso-position-vertical-relative:page;z-index:251663360;mso-width-relative:page;mso-height-relative:page;" fillcolor="#000000" filled="t" stroked="f" coordsize="1066,15" path="m0,14l1066,14,1066,0,0,0,0,14xe">
                  <v:path/>
                  <v:fill on="t" focussize="0,0"/>
                  <v:stroke on="f"/>
                  <v:imagedata o:title=""/>
                  <o:lock v:ext="edit"/>
                </v:shape>
              </w:pict>
            </w:r>
          </w:p>
        </w:tc>
        <w:tc>
          <w:tcPr>
            <w:tcW w:w="732" w:type="dxa"/>
            <w:vAlign w:val="top"/>
          </w:tcPr>
          <w:p w14:paraId="09849DAC">
            <w:pPr>
              <w:rPr>
                <w:rFonts w:ascii="Arial"/>
                <w:color w:val="auto"/>
                <w:sz w:val="21"/>
                <w:highlight w:val="none"/>
              </w:rPr>
            </w:pPr>
            <w:r>
              <w:rPr>
                <w:color w:val="auto"/>
                <w:highlight w:val="none"/>
              </w:rPr>
              <w:pict>
                <v:shape id="_x0000_s2057" o:spid="_x0000_s2057" style="position:absolute;left:0pt;margin-left:-0.4pt;margin-top:1.3pt;height:0.75pt;width:2.2pt;mso-position-horizontal-relative:page;mso-position-vertical-relative:page;z-index:251674624;mso-width-relative:page;mso-height-relative:page;" fillcolor="#000000" filled="t" stroked="f" coordsize="44,15" path="m0,14l43,14,43,0,0,0,0,14xe">
                  <v:path/>
                  <v:fill on="t" focussize="0,0"/>
                  <v:stroke on="f"/>
                  <v:imagedata o:title=""/>
                  <o:lock v:ext="edit"/>
                </v:shape>
              </w:pict>
            </w:r>
            <w:r>
              <w:rPr>
                <w:color w:val="auto"/>
                <w:highlight w:val="none"/>
              </w:rPr>
              <w:pict>
                <v:shape id="_x0000_s2058" o:spid="_x0000_s2058" style="position:absolute;left:0pt;margin-left:1.75pt;margin-top:1.3pt;height:0.75pt;width:34.6pt;mso-position-horizontal-relative:page;mso-position-vertical-relative:page;z-index:251667456;mso-width-relative:page;mso-height-relative:page;" fillcolor="#000000" filled="t" stroked="f" coordsize="691,15" path="m0,14l691,14,691,0,0,0,0,14xe">
                  <v:path/>
                  <v:fill on="t" focussize="0,0"/>
                  <v:stroke on="f"/>
                  <v:imagedata o:title=""/>
                  <o:lock v:ext="edit"/>
                </v:shape>
              </w:pict>
            </w:r>
          </w:p>
        </w:tc>
        <w:tc>
          <w:tcPr>
            <w:tcW w:w="565" w:type="dxa"/>
            <w:vAlign w:val="top"/>
          </w:tcPr>
          <w:p w14:paraId="3949AB32">
            <w:pPr>
              <w:rPr>
                <w:rFonts w:ascii="Arial"/>
                <w:color w:val="auto"/>
                <w:sz w:val="21"/>
                <w:highlight w:val="none"/>
              </w:rPr>
            </w:pPr>
            <w:r>
              <w:rPr>
                <w:color w:val="auto"/>
                <w:highlight w:val="none"/>
              </w:rPr>
              <w:pict>
                <v:shape id="_x0000_s2059" o:spid="_x0000_s2059" style="position:absolute;left:0pt;margin-left:-0.3pt;margin-top:1.3pt;height:0.75pt;width:2.2pt;mso-position-horizontal-relative:page;mso-position-vertical-relative:page;z-index:251676672;mso-width-relative:page;mso-height-relative:page;" fillcolor="#000000" filled="t" stroked="f" coordsize="44,15" path="m0,14l43,14,43,0,0,0,0,14xe">
                  <v:path/>
                  <v:fill on="t" focussize="0,0"/>
                  <v:stroke on="f"/>
                  <v:imagedata o:title=""/>
                  <o:lock v:ext="edit"/>
                </v:shape>
              </w:pict>
            </w:r>
            <w:r>
              <w:rPr>
                <w:color w:val="auto"/>
                <w:highlight w:val="none"/>
              </w:rPr>
              <w:pict>
                <v:shape id="_x0000_s2060" o:spid="_x0000_s2060" style="position:absolute;left:0pt;margin-left:1.9pt;margin-top:1.3pt;height:0.75pt;width:26.2pt;mso-position-horizontal-relative:page;mso-position-vertical-relative:page;z-index:251669504;mso-width-relative:page;mso-height-relative:page;" fillcolor="#000000" filled="t" stroked="f" coordsize="524,15" path="m0,14l523,14,523,0,0,0,0,14xe">
                  <v:path/>
                  <v:fill on="t" focussize="0,0"/>
                  <v:stroke on="f"/>
                  <v:imagedata o:title=""/>
                  <o:lock v:ext="edit"/>
                </v:shape>
              </w:pict>
            </w:r>
          </w:p>
        </w:tc>
        <w:tc>
          <w:tcPr>
            <w:tcW w:w="838" w:type="dxa"/>
            <w:vAlign w:val="top"/>
          </w:tcPr>
          <w:p w14:paraId="65777CC7">
            <w:pPr>
              <w:rPr>
                <w:rFonts w:ascii="Arial"/>
                <w:color w:val="auto"/>
                <w:sz w:val="21"/>
                <w:highlight w:val="none"/>
              </w:rPr>
            </w:pPr>
            <w:r>
              <w:rPr>
                <w:color w:val="auto"/>
                <w:highlight w:val="none"/>
              </w:rPr>
              <w:pict>
                <v:shape id="_x0000_s2061" o:spid="_x0000_s2061" style="position:absolute;left:0pt;margin-left:-0.2pt;margin-top:1.3pt;height:0.75pt;width:2.2pt;mso-position-horizontal-relative:page;mso-position-vertical-relative:page;z-index:251675648;mso-width-relative:page;mso-height-relative:page;" fillcolor="#000000" filled="t" stroked="f" coordsize="44,15" path="m0,14l43,14,43,0,0,0,0,14xe">
                  <v:path/>
                  <v:fill on="t" focussize="0,0"/>
                  <v:stroke on="f"/>
                  <v:imagedata o:title=""/>
                  <o:lock v:ext="edit"/>
                </v:shape>
              </w:pict>
            </w:r>
            <w:r>
              <w:rPr>
                <w:color w:val="auto"/>
                <w:highlight w:val="none"/>
              </w:rPr>
              <w:pict>
                <v:shape id="_x0000_s2062" o:spid="_x0000_s2062" style="position:absolute;left:0pt;margin-left:1.95pt;margin-top:1.3pt;height:0.75pt;width:39.9pt;mso-position-horizontal-relative:page;mso-position-vertical-relative:page;z-index:251665408;mso-width-relative:page;mso-height-relative:page;" fillcolor="#000000" filled="t" stroked="f" coordsize="798,15" path="m0,14l797,14,797,0,0,0,0,14xe">
                  <v:path/>
                  <v:fill on="t" focussize="0,0"/>
                  <v:stroke on="f"/>
                  <v:imagedata o:title=""/>
                  <o:lock v:ext="edit"/>
                </v:shape>
              </w:pict>
            </w:r>
          </w:p>
        </w:tc>
        <w:tc>
          <w:tcPr>
            <w:tcW w:w="776" w:type="dxa"/>
            <w:vAlign w:val="top"/>
          </w:tcPr>
          <w:p w14:paraId="7CD37EE7">
            <w:pPr>
              <w:rPr>
                <w:rFonts w:ascii="Arial"/>
                <w:color w:val="auto"/>
                <w:sz w:val="21"/>
                <w:highlight w:val="none"/>
              </w:rPr>
            </w:pPr>
            <w:r>
              <w:rPr>
                <w:color w:val="auto"/>
                <w:highlight w:val="none"/>
              </w:rPr>
              <w:pict>
                <v:shape id="_x0000_s2063" o:spid="_x0000_s2063" style="position:absolute;left:0pt;margin-left:-0.1pt;margin-top:1.3pt;height:0.75pt;width:2.2pt;mso-position-horizontal-relative:page;mso-position-vertical-relative:page;z-index:251677696;mso-width-relative:page;mso-height-relative:page;" fillcolor="#000000" filled="t" stroked="f" coordsize="44,15" path="m0,14l43,14,43,0,0,0,0,14xe">
                  <v:path/>
                  <v:fill on="t" focussize="0,0"/>
                  <v:stroke on="f"/>
                  <v:imagedata o:title=""/>
                  <o:lock v:ext="edit"/>
                </v:shape>
              </w:pict>
            </w:r>
            <w:r>
              <w:rPr>
                <w:color w:val="auto"/>
                <w:highlight w:val="none"/>
              </w:rPr>
              <w:pict>
                <v:shape id="_x0000_s2064" o:spid="_x0000_s2064" style="position:absolute;left:0pt;margin-left:2.05pt;margin-top:1.3pt;height:0.75pt;width:36.75pt;mso-position-horizontal-relative:page;mso-position-vertical-relative:page;z-index:251666432;mso-width-relative:page;mso-height-relative:page;" fillcolor="#000000" filled="t" stroked="f" coordsize="735,15" path="m0,14l734,14,734,0,0,0,0,14xe">
                  <v:path/>
                  <v:fill on="t" focussize="0,0"/>
                  <v:stroke on="f"/>
                  <v:imagedata o:title=""/>
                  <o:lock v:ext="edit"/>
                </v:shape>
              </w:pict>
            </w:r>
          </w:p>
        </w:tc>
        <w:tc>
          <w:tcPr>
            <w:tcW w:w="938" w:type="dxa"/>
            <w:vAlign w:val="top"/>
          </w:tcPr>
          <w:p w14:paraId="50E98056">
            <w:pPr>
              <w:rPr>
                <w:rFonts w:ascii="Arial"/>
                <w:color w:val="auto"/>
                <w:sz w:val="21"/>
                <w:highlight w:val="none"/>
              </w:rPr>
            </w:pPr>
            <w:r>
              <w:rPr>
                <w:color w:val="auto"/>
                <w:highlight w:val="none"/>
              </w:rPr>
              <w:pict>
                <v:shape id="_x0000_s2065" o:spid="_x0000_s2065" style="position:absolute;left:0pt;margin-left:0pt;margin-top:1.3pt;height:0.75pt;width:2.2pt;mso-position-horizontal-relative:page;mso-position-vertical-relative:page;z-index:251678720;mso-width-relative:page;mso-height-relative:page;" fillcolor="#000000" filled="t" stroked="f" coordsize="44,15" path="m0,14l43,14,43,0,0,0,0,14xe">
                  <v:path/>
                  <v:fill on="t" focussize="0,0"/>
                  <v:stroke on="f"/>
                  <v:imagedata o:title=""/>
                  <o:lock v:ext="edit"/>
                </v:shape>
              </w:pict>
            </w:r>
            <w:r>
              <w:rPr>
                <w:color w:val="auto"/>
                <w:highlight w:val="none"/>
              </w:rPr>
              <w:pict>
                <v:shape id="_x0000_s2066" o:spid="_x0000_s2066" style="position:absolute;left:0pt;margin-left:2.2pt;margin-top:1.3pt;height:0.75pt;width:44.9pt;mso-position-horizontal-relative:page;mso-position-vertical-relative:page;z-index:251664384;mso-width-relative:page;mso-height-relative:page;" fillcolor="#000000" filled="t" stroked="f" coordsize="898,15" path="m0,14l897,14,897,0,0,0,0,14xe">
                  <v:path/>
                  <v:fill on="t" focussize="0,0"/>
                  <v:stroke on="f"/>
                  <v:imagedata o:title=""/>
                  <o:lock v:ext="edit"/>
                </v:shape>
              </w:pict>
            </w:r>
          </w:p>
        </w:tc>
        <w:tc>
          <w:tcPr>
            <w:tcW w:w="522" w:type="dxa"/>
            <w:vAlign w:val="top"/>
          </w:tcPr>
          <w:p w14:paraId="78D3E5EE">
            <w:pPr>
              <w:rPr>
                <w:rFonts w:ascii="Arial"/>
                <w:color w:val="auto"/>
                <w:sz w:val="21"/>
                <w:highlight w:val="none"/>
              </w:rPr>
            </w:pPr>
            <w:r>
              <w:rPr>
                <w:color w:val="auto"/>
                <w:highlight w:val="none"/>
              </w:rPr>
              <w:pict>
                <v:shape id="_x0000_s2067" o:spid="_x0000_s2067" style="position:absolute;left:0pt;margin-left:0.15pt;margin-top:1.3pt;height:0.75pt;width:2.2pt;mso-position-horizontal-relative:page;mso-position-vertical-relative:page;z-index:251680768;mso-width-relative:page;mso-height-relative:page;" fillcolor="#000000" filled="t" stroked="f" coordsize="44,15" path="m0,14l43,14,43,0,0,0,0,14xe">
                  <v:path/>
                  <v:fill on="t" focussize="0,0"/>
                  <v:stroke on="f"/>
                  <v:imagedata o:title=""/>
                  <o:lock v:ext="edit"/>
                </v:shape>
              </w:pict>
            </w:r>
            <w:r>
              <w:rPr>
                <w:color w:val="auto"/>
                <w:highlight w:val="none"/>
              </w:rPr>
              <w:pict>
                <v:shape id="_x0000_s2068" o:spid="_x0000_s2068" style="position:absolute;left:0pt;margin-left:2.3pt;margin-top:1.3pt;height:0.75pt;width:24.05pt;mso-position-horizontal-relative:page;mso-position-vertical-relative:page;z-index:251670528;mso-width-relative:page;mso-height-relative:page;" fillcolor="#000000" filled="t" stroked="f" coordsize="480,15" path="m0,14l480,14,480,0,0,0,0,14xe">
                  <v:path/>
                  <v:fill on="t" focussize="0,0"/>
                  <v:stroke on="f"/>
                  <v:imagedata o:title=""/>
                  <o:lock v:ext="edit"/>
                </v:shape>
              </w:pict>
            </w:r>
          </w:p>
        </w:tc>
        <w:tc>
          <w:tcPr>
            <w:tcW w:w="538" w:type="dxa"/>
            <w:tcBorders>
              <w:right w:val="single" w:color="000000" w:sz="10" w:space="0"/>
            </w:tcBorders>
            <w:vAlign w:val="top"/>
          </w:tcPr>
          <w:p w14:paraId="0565A6F3">
            <w:pPr>
              <w:rPr>
                <w:rFonts w:ascii="Arial"/>
                <w:color w:val="auto"/>
                <w:sz w:val="21"/>
                <w:highlight w:val="none"/>
              </w:rPr>
            </w:pPr>
            <w:r>
              <w:rPr>
                <w:color w:val="auto"/>
                <w:highlight w:val="none"/>
              </w:rPr>
              <w:pict>
                <v:shape id="_x0000_s2069" o:spid="_x0000_s2069" style="position:absolute;left:0pt;margin-left:0.25pt;margin-top:1.3pt;height:0.75pt;width:2.2pt;mso-position-horizontal-relative:page;mso-position-vertical-relative:page;z-index:251679744;mso-width-relative:page;mso-height-relative:page;" fillcolor="#000000" filled="t" stroked="f" coordsize="44,15" path="m0,14l43,14,43,0,0,0,0,14xe">
                  <v:path/>
                  <v:fill on="t" focussize="0,0"/>
                  <v:stroke on="f"/>
                  <v:imagedata o:title=""/>
                  <o:lock v:ext="edit"/>
                </v:shape>
              </w:pict>
            </w:r>
            <w:r>
              <w:rPr>
                <w:color w:val="auto"/>
                <w:highlight w:val="none"/>
              </w:rPr>
              <w:pict>
                <v:shape id="_x0000_s2070" o:spid="_x0000_s2070" style="position:absolute;left:0pt;margin-left:2.4pt;margin-top:1.3pt;height:0.75pt;width:23.8pt;mso-position-horizontal-relative:page;mso-position-vertical-relative:page;z-index:251671552;mso-width-relative:page;mso-height-relative:page;" fillcolor="#000000" filled="t" stroked="f" coordsize="475,15" path="m0,14l475,14,475,0,0,0,0,14xe">
                  <v:path/>
                  <v:fill on="t" focussize="0,0"/>
                  <v:stroke on="f"/>
                  <v:imagedata o:title=""/>
                  <o:lock v:ext="edit"/>
                </v:shape>
              </w:pict>
            </w:r>
          </w:p>
        </w:tc>
      </w:tr>
      <w:tr w14:paraId="1DE4F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198A9B16">
            <w:pPr>
              <w:rPr>
                <w:rFonts w:ascii="Arial"/>
                <w:color w:val="auto"/>
                <w:sz w:val="21"/>
                <w:highlight w:val="none"/>
              </w:rPr>
            </w:pPr>
          </w:p>
        </w:tc>
        <w:tc>
          <w:tcPr>
            <w:tcW w:w="708" w:type="dxa"/>
            <w:vAlign w:val="top"/>
          </w:tcPr>
          <w:p w14:paraId="37206464">
            <w:pPr>
              <w:rPr>
                <w:rFonts w:ascii="Arial"/>
                <w:color w:val="auto"/>
                <w:sz w:val="21"/>
                <w:highlight w:val="none"/>
              </w:rPr>
            </w:pPr>
          </w:p>
        </w:tc>
        <w:tc>
          <w:tcPr>
            <w:tcW w:w="1106" w:type="dxa"/>
            <w:vAlign w:val="top"/>
          </w:tcPr>
          <w:p w14:paraId="5F065682">
            <w:pPr>
              <w:rPr>
                <w:rFonts w:ascii="Arial"/>
                <w:color w:val="auto"/>
                <w:sz w:val="21"/>
                <w:highlight w:val="none"/>
              </w:rPr>
            </w:pPr>
          </w:p>
        </w:tc>
        <w:tc>
          <w:tcPr>
            <w:tcW w:w="732" w:type="dxa"/>
            <w:vAlign w:val="top"/>
          </w:tcPr>
          <w:p w14:paraId="01B28E25">
            <w:pPr>
              <w:rPr>
                <w:rFonts w:ascii="Arial"/>
                <w:color w:val="auto"/>
                <w:sz w:val="21"/>
                <w:highlight w:val="none"/>
              </w:rPr>
            </w:pPr>
          </w:p>
        </w:tc>
        <w:tc>
          <w:tcPr>
            <w:tcW w:w="565" w:type="dxa"/>
            <w:vAlign w:val="top"/>
          </w:tcPr>
          <w:p w14:paraId="612C3FE5">
            <w:pPr>
              <w:rPr>
                <w:rFonts w:ascii="Arial"/>
                <w:color w:val="auto"/>
                <w:sz w:val="21"/>
                <w:highlight w:val="none"/>
              </w:rPr>
            </w:pPr>
          </w:p>
        </w:tc>
        <w:tc>
          <w:tcPr>
            <w:tcW w:w="838" w:type="dxa"/>
            <w:vAlign w:val="top"/>
          </w:tcPr>
          <w:p w14:paraId="40E92CC5">
            <w:pPr>
              <w:rPr>
                <w:rFonts w:ascii="Arial"/>
                <w:color w:val="auto"/>
                <w:sz w:val="21"/>
                <w:highlight w:val="none"/>
              </w:rPr>
            </w:pPr>
          </w:p>
        </w:tc>
        <w:tc>
          <w:tcPr>
            <w:tcW w:w="776" w:type="dxa"/>
            <w:vAlign w:val="top"/>
          </w:tcPr>
          <w:p w14:paraId="5A54C672">
            <w:pPr>
              <w:rPr>
                <w:rFonts w:ascii="Arial"/>
                <w:color w:val="auto"/>
                <w:sz w:val="21"/>
                <w:highlight w:val="none"/>
              </w:rPr>
            </w:pPr>
          </w:p>
        </w:tc>
        <w:tc>
          <w:tcPr>
            <w:tcW w:w="938" w:type="dxa"/>
            <w:vAlign w:val="top"/>
          </w:tcPr>
          <w:p w14:paraId="5D218691">
            <w:pPr>
              <w:rPr>
                <w:rFonts w:ascii="Arial"/>
                <w:color w:val="auto"/>
                <w:sz w:val="21"/>
                <w:highlight w:val="none"/>
              </w:rPr>
            </w:pPr>
          </w:p>
        </w:tc>
        <w:tc>
          <w:tcPr>
            <w:tcW w:w="522" w:type="dxa"/>
            <w:vAlign w:val="top"/>
          </w:tcPr>
          <w:p w14:paraId="31C6549C">
            <w:pPr>
              <w:rPr>
                <w:rFonts w:ascii="Arial"/>
                <w:color w:val="auto"/>
                <w:sz w:val="21"/>
                <w:highlight w:val="none"/>
              </w:rPr>
            </w:pPr>
          </w:p>
        </w:tc>
        <w:tc>
          <w:tcPr>
            <w:tcW w:w="538" w:type="dxa"/>
            <w:tcBorders>
              <w:right w:val="single" w:color="000000" w:sz="10" w:space="0"/>
            </w:tcBorders>
            <w:vAlign w:val="top"/>
          </w:tcPr>
          <w:p w14:paraId="7CFF47D2">
            <w:pPr>
              <w:rPr>
                <w:rFonts w:ascii="Arial"/>
                <w:color w:val="auto"/>
                <w:sz w:val="21"/>
                <w:highlight w:val="none"/>
              </w:rPr>
            </w:pPr>
          </w:p>
        </w:tc>
      </w:tr>
      <w:tr w14:paraId="6827B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1C2893FC">
            <w:pPr>
              <w:rPr>
                <w:rFonts w:ascii="Arial"/>
                <w:color w:val="auto"/>
                <w:sz w:val="21"/>
                <w:highlight w:val="none"/>
              </w:rPr>
            </w:pPr>
          </w:p>
        </w:tc>
        <w:tc>
          <w:tcPr>
            <w:tcW w:w="708" w:type="dxa"/>
            <w:vAlign w:val="top"/>
          </w:tcPr>
          <w:p w14:paraId="4910DB10">
            <w:pPr>
              <w:rPr>
                <w:rFonts w:ascii="Arial"/>
                <w:color w:val="auto"/>
                <w:sz w:val="21"/>
                <w:highlight w:val="none"/>
              </w:rPr>
            </w:pPr>
          </w:p>
        </w:tc>
        <w:tc>
          <w:tcPr>
            <w:tcW w:w="1106" w:type="dxa"/>
            <w:vAlign w:val="top"/>
          </w:tcPr>
          <w:p w14:paraId="1D558027">
            <w:pPr>
              <w:rPr>
                <w:rFonts w:ascii="Arial"/>
                <w:color w:val="auto"/>
                <w:sz w:val="21"/>
                <w:highlight w:val="none"/>
              </w:rPr>
            </w:pPr>
          </w:p>
        </w:tc>
        <w:tc>
          <w:tcPr>
            <w:tcW w:w="732" w:type="dxa"/>
            <w:vAlign w:val="top"/>
          </w:tcPr>
          <w:p w14:paraId="30AF660D">
            <w:pPr>
              <w:rPr>
                <w:rFonts w:ascii="Arial"/>
                <w:color w:val="auto"/>
                <w:sz w:val="21"/>
                <w:highlight w:val="none"/>
              </w:rPr>
            </w:pPr>
          </w:p>
        </w:tc>
        <w:tc>
          <w:tcPr>
            <w:tcW w:w="565" w:type="dxa"/>
            <w:vAlign w:val="top"/>
          </w:tcPr>
          <w:p w14:paraId="037B4920">
            <w:pPr>
              <w:rPr>
                <w:rFonts w:ascii="Arial"/>
                <w:color w:val="auto"/>
                <w:sz w:val="21"/>
                <w:highlight w:val="none"/>
              </w:rPr>
            </w:pPr>
          </w:p>
        </w:tc>
        <w:tc>
          <w:tcPr>
            <w:tcW w:w="838" w:type="dxa"/>
            <w:vAlign w:val="top"/>
          </w:tcPr>
          <w:p w14:paraId="46FF97CA">
            <w:pPr>
              <w:rPr>
                <w:rFonts w:ascii="Arial"/>
                <w:color w:val="auto"/>
                <w:sz w:val="21"/>
                <w:highlight w:val="none"/>
              </w:rPr>
            </w:pPr>
          </w:p>
        </w:tc>
        <w:tc>
          <w:tcPr>
            <w:tcW w:w="776" w:type="dxa"/>
            <w:vAlign w:val="top"/>
          </w:tcPr>
          <w:p w14:paraId="58732246">
            <w:pPr>
              <w:rPr>
                <w:rFonts w:ascii="Arial"/>
                <w:color w:val="auto"/>
                <w:sz w:val="21"/>
                <w:highlight w:val="none"/>
              </w:rPr>
            </w:pPr>
          </w:p>
        </w:tc>
        <w:tc>
          <w:tcPr>
            <w:tcW w:w="938" w:type="dxa"/>
            <w:vAlign w:val="top"/>
          </w:tcPr>
          <w:p w14:paraId="49E801A0">
            <w:pPr>
              <w:rPr>
                <w:rFonts w:ascii="Arial"/>
                <w:color w:val="auto"/>
                <w:sz w:val="21"/>
                <w:highlight w:val="none"/>
              </w:rPr>
            </w:pPr>
          </w:p>
        </w:tc>
        <w:tc>
          <w:tcPr>
            <w:tcW w:w="522" w:type="dxa"/>
            <w:vAlign w:val="top"/>
          </w:tcPr>
          <w:p w14:paraId="530604B0">
            <w:pPr>
              <w:rPr>
                <w:rFonts w:ascii="Arial"/>
                <w:color w:val="auto"/>
                <w:sz w:val="21"/>
                <w:highlight w:val="none"/>
              </w:rPr>
            </w:pPr>
          </w:p>
        </w:tc>
        <w:tc>
          <w:tcPr>
            <w:tcW w:w="538" w:type="dxa"/>
            <w:tcBorders>
              <w:right w:val="single" w:color="000000" w:sz="10" w:space="0"/>
            </w:tcBorders>
            <w:vAlign w:val="top"/>
          </w:tcPr>
          <w:p w14:paraId="12BEF012">
            <w:pPr>
              <w:rPr>
                <w:rFonts w:ascii="Arial"/>
                <w:color w:val="auto"/>
                <w:sz w:val="21"/>
                <w:highlight w:val="none"/>
              </w:rPr>
            </w:pPr>
          </w:p>
        </w:tc>
      </w:tr>
      <w:tr w14:paraId="53CEA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568" w:type="dxa"/>
            <w:tcBorders>
              <w:left w:val="single" w:color="000000" w:sz="10" w:space="0"/>
            </w:tcBorders>
            <w:vAlign w:val="top"/>
          </w:tcPr>
          <w:p w14:paraId="410CECBB">
            <w:pPr>
              <w:rPr>
                <w:rFonts w:ascii="Arial"/>
                <w:color w:val="auto"/>
                <w:sz w:val="21"/>
                <w:highlight w:val="none"/>
              </w:rPr>
            </w:pPr>
          </w:p>
        </w:tc>
        <w:tc>
          <w:tcPr>
            <w:tcW w:w="708" w:type="dxa"/>
            <w:vAlign w:val="top"/>
          </w:tcPr>
          <w:p w14:paraId="63E559BF">
            <w:pPr>
              <w:rPr>
                <w:rFonts w:ascii="Arial"/>
                <w:color w:val="auto"/>
                <w:sz w:val="21"/>
                <w:highlight w:val="none"/>
              </w:rPr>
            </w:pPr>
          </w:p>
        </w:tc>
        <w:tc>
          <w:tcPr>
            <w:tcW w:w="1106" w:type="dxa"/>
            <w:vAlign w:val="top"/>
          </w:tcPr>
          <w:p w14:paraId="58D8768A">
            <w:pPr>
              <w:rPr>
                <w:rFonts w:ascii="Arial"/>
                <w:color w:val="auto"/>
                <w:sz w:val="21"/>
                <w:highlight w:val="none"/>
              </w:rPr>
            </w:pPr>
          </w:p>
        </w:tc>
        <w:tc>
          <w:tcPr>
            <w:tcW w:w="732" w:type="dxa"/>
            <w:vAlign w:val="top"/>
          </w:tcPr>
          <w:p w14:paraId="28301A7F">
            <w:pPr>
              <w:rPr>
                <w:rFonts w:ascii="Arial"/>
                <w:color w:val="auto"/>
                <w:sz w:val="21"/>
                <w:highlight w:val="none"/>
              </w:rPr>
            </w:pPr>
          </w:p>
        </w:tc>
        <w:tc>
          <w:tcPr>
            <w:tcW w:w="565" w:type="dxa"/>
            <w:vAlign w:val="top"/>
          </w:tcPr>
          <w:p w14:paraId="2AEB2C46">
            <w:pPr>
              <w:rPr>
                <w:rFonts w:ascii="Arial"/>
                <w:color w:val="auto"/>
                <w:sz w:val="21"/>
                <w:highlight w:val="none"/>
              </w:rPr>
            </w:pPr>
          </w:p>
        </w:tc>
        <w:tc>
          <w:tcPr>
            <w:tcW w:w="838" w:type="dxa"/>
            <w:vAlign w:val="top"/>
          </w:tcPr>
          <w:p w14:paraId="04BF44B6">
            <w:pPr>
              <w:rPr>
                <w:rFonts w:ascii="Arial"/>
                <w:color w:val="auto"/>
                <w:sz w:val="21"/>
                <w:highlight w:val="none"/>
              </w:rPr>
            </w:pPr>
          </w:p>
        </w:tc>
        <w:tc>
          <w:tcPr>
            <w:tcW w:w="776" w:type="dxa"/>
            <w:vAlign w:val="top"/>
          </w:tcPr>
          <w:p w14:paraId="6570037D">
            <w:pPr>
              <w:rPr>
                <w:rFonts w:ascii="Arial"/>
                <w:color w:val="auto"/>
                <w:sz w:val="21"/>
                <w:highlight w:val="none"/>
              </w:rPr>
            </w:pPr>
          </w:p>
        </w:tc>
        <w:tc>
          <w:tcPr>
            <w:tcW w:w="938" w:type="dxa"/>
            <w:vAlign w:val="top"/>
          </w:tcPr>
          <w:p w14:paraId="3B837597">
            <w:pPr>
              <w:rPr>
                <w:rFonts w:ascii="Arial"/>
                <w:color w:val="auto"/>
                <w:sz w:val="21"/>
                <w:highlight w:val="none"/>
              </w:rPr>
            </w:pPr>
          </w:p>
        </w:tc>
        <w:tc>
          <w:tcPr>
            <w:tcW w:w="522" w:type="dxa"/>
            <w:vAlign w:val="top"/>
          </w:tcPr>
          <w:p w14:paraId="3E42E90B">
            <w:pPr>
              <w:rPr>
                <w:rFonts w:ascii="Arial"/>
                <w:color w:val="auto"/>
                <w:sz w:val="21"/>
                <w:highlight w:val="none"/>
              </w:rPr>
            </w:pPr>
          </w:p>
        </w:tc>
        <w:tc>
          <w:tcPr>
            <w:tcW w:w="538" w:type="dxa"/>
            <w:tcBorders>
              <w:right w:val="single" w:color="000000" w:sz="10" w:space="0"/>
            </w:tcBorders>
            <w:vAlign w:val="top"/>
          </w:tcPr>
          <w:p w14:paraId="01E026BF">
            <w:pPr>
              <w:rPr>
                <w:rFonts w:ascii="Arial"/>
                <w:color w:val="auto"/>
                <w:sz w:val="21"/>
                <w:highlight w:val="none"/>
              </w:rPr>
            </w:pPr>
          </w:p>
        </w:tc>
      </w:tr>
      <w:tr w14:paraId="0F6DB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5D044C01">
            <w:pPr>
              <w:rPr>
                <w:rFonts w:ascii="Arial"/>
                <w:color w:val="auto"/>
                <w:sz w:val="21"/>
                <w:highlight w:val="none"/>
              </w:rPr>
            </w:pPr>
          </w:p>
        </w:tc>
        <w:tc>
          <w:tcPr>
            <w:tcW w:w="708" w:type="dxa"/>
            <w:vAlign w:val="top"/>
          </w:tcPr>
          <w:p w14:paraId="4EA7C819">
            <w:pPr>
              <w:rPr>
                <w:rFonts w:ascii="Arial"/>
                <w:color w:val="auto"/>
                <w:sz w:val="21"/>
                <w:highlight w:val="none"/>
              </w:rPr>
            </w:pPr>
          </w:p>
        </w:tc>
        <w:tc>
          <w:tcPr>
            <w:tcW w:w="1106" w:type="dxa"/>
            <w:vAlign w:val="top"/>
          </w:tcPr>
          <w:p w14:paraId="2C2F1D79">
            <w:pPr>
              <w:rPr>
                <w:rFonts w:ascii="Arial"/>
                <w:color w:val="auto"/>
                <w:sz w:val="21"/>
                <w:highlight w:val="none"/>
              </w:rPr>
            </w:pPr>
          </w:p>
        </w:tc>
        <w:tc>
          <w:tcPr>
            <w:tcW w:w="732" w:type="dxa"/>
            <w:vAlign w:val="top"/>
          </w:tcPr>
          <w:p w14:paraId="74C27662">
            <w:pPr>
              <w:rPr>
                <w:rFonts w:ascii="Arial"/>
                <w:color w:val="auto"/>
                <w:sz w:val="21"/>
                <w:highlight w:val="none"/>
              </w:rPr>
            </w:pPr>
          </w:p>
        </w:tc>
        <w:tc>
          <w:tcPr>
            <w:tcW w:w="565" w:type="dxa"/>
            <w:vAlign w:val="top"/>
          </w:tcPr>
          <w:p w14:paraId="7A021D34">
            <w:pPr>
              <w:rPr>
                <w:rFonts w:ascii="Arial"/>
                <w:color w:val="auto"/>
                <w:sz w:val="21"/>
                <w:highlight w:val="none"/>
              </w:rPr>
            </w:pPr>
          </w:p>
        </w:tc>
        <w:tc>
          <w:tcPr>
            <w:tcW w:w="838" w:type="dxa"/>
            <w:vAlign w:val="top"/>
          </w:tcPr>
          <w:p w14:paraId="06014372">
            <w:pPr>
              <w:rPr>
                <w:rFonts w:ascii="Arial"/>
                <w:color w:val="auto"/>
                <w:sz w:val="21"/>
                <w:highlight w:val="none"/>
              </w:rPr>
            </w:pPr>
          </w:p>
        </w:tc>
        <w:tc>
          <w:tcPr>
            <w:tcW w:w="776" w:type="dxa"/>
            <w:vAlign w:val="top"/>
          </w:tcPr>
          <w:p w14:paraId="6BC6C4FE">
            <w:pPr>
              <w:rPr>
                <w:rFonts w:ascii="Arial"/>
                <w:color w:val="auto"/>
                <w:sz w:val="21"/>
                <w:highlight w:val="none"/>
              </w:rPr>
            </w:pPr>
          </w:p>
        </w:tc>
        <w:tc>
          <w:tcPr>
            <w:tcW w:w="938" w:type="dxa"/>
            <w:vAlign w:val="top"/>
          </w:tcPr>
          <w:p w14:paraId="708B2B2B">
            <w:pPr>
              <w:rPr>
                <w:rFonts w:ascii="Arial"/>
                <w:color w:val="auto"/>
                <w:sz w:val="21"/>
                <w:highlight w:val="none"/>
              </w:rPr>
            </w:pPr>
          </w:p>
        </w:tc>
        <w:tc>
          <w:tcPr>
            <w:tcW w:w="522" w:type="dxa"/>
            <w:vAlign w:val="top"/>
          </w:tcPr>
          <w:p w14:paraId="30C8DD4A">
            <w:pPr>
              <w:rPr>
                <w:rFonts w:ascii="Arial"/>
                <w:color w:val="auto"/>
                <w:sz w:val="21"/>
                <w:highlight w:val="none"/>
              </w:rPr>
            </w:pPr>
          </w:p>
        </w:tc>
        <w:tc>
          <w:tcPr>
            <w:tcW w:w="538" w:type="dxa"/>
            <w:tcBorders>
              <w:right w:val="single" w:color="000000" w:sz="10" w:space="0"/>
            </w:tcBorders>
            <w:vAlign w:val="top"/>
          </w:tcPr>
          <w:p w14:paraId="77FCB49B">
            <w:pPr>
              <w:rPr>
                <w:rFonts w:ascii="Arial"/>
                <w:color w:val="auto"/>
                <w:sz w:val="21"/>
                <w:highlight w:val="none"/>
              </w:rPr>
            </w:pPr>
          </w:p>
        </w:tc>
      </w:tr>
      <w:tr w14:paraId="6ADD4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0255F426">
            <w:pPr>
              <w:rPr>
                <w:rFonts w:ascii="Arial"/>
                <w:color w:val="auto"/>
                <w:sz w:val="21"/>
                <w:highlight w:val="none"/>
              </w:rPr>
            </w:pPr>
          </w:p>
        </w:tc>
        <w:tc>
          <w:tcPr>
            <w:tcW w:w="708" w:type="dxa"/>
            <w:vAlign w:val="top"/>
          </w:tcPr>
          <w:p w14:paraId="0836BA32">
            <w:pPr>
              <w:rPr>
                <w:rFonts w:ascii="Arial"/>
                <w:color w:val="auto"/>
                <w:sz w:val="21"/>
                <w:highlight w:val="none"/>
              </w:rPr>
            </w:pPr>
          </w:p>
        </w:tc>
        <w:tc>
          <w:tcPr>
            <w:tcW w:w="1106" w:type="dxa"/>
            <w:vAlign w:val="top"/>
          </w:tcPr>
          <w:p w14:paraId="429D5E10">
            <w:pPr>
              <w:rPr>
                <w:rFonts w:ascii="Arial"/>
                <w:color w:val="auto"/>
                <w:sz w:val="21"/>
                <w:highlight w:val="none"/>
              </w:rPr>
            </w:pPr>
          </w:p>
        </w:tc>
        <w:tc>
          <w:tcPr>
            <w:tcW w:w="732" w:type="dxa"/>
            <w:vAlign w:val="top"/>
          </w:tcPr>
          <w:p w14:paraId="48863884">
            <w:pPr>
              <w:rPr>
                <w:rFonts w:ascii="Arial"/>
                <w:color w:val="auto"/>
                <w:sz w:val="21"/>
                <w:highlight w:val="none"/>
              </w:rPr>
            </w:pPr>
          </w:p>
        </w:tc>
        <w:tc>
          <w:tcPr>
            <w:tcW w:w="565" w:type="dxa"/>
            <w:vAlign w:val="top"/>
          </w:tcPr>
          <w:p w14:paraId="753A523D">
            <w:pPr>
              <w:rPr>
                <w:rFonts w:ascii="Arial"/>
                <w:color w:val="auto"/>
                <w:sz w:val="21"/>
                <w:highlight w:val="none"/>
              </w:rPr>
            </w:pPr>
          </w:p>
        </w:tc>
        <w:tc>
          <w:tcPr>
            <w:tcW w:w="838" w:type="dxa"/>
            <w:vAlign w:val="top"/>
          </w:tcPr>
          <w:p w14:paraId="32C3375E">
            <w:pPr>
              <w:rPr>
                <w:rFonts w:ascii="Arial"/>
                <w:color w:val="auto"/>
                <w:sz w:val="21"/>
                <w:highlight w:val="none"/>
              </w:rPr>
            </w:pPr>
          </w:p>
        </w:tc>
        <w:tc>
          <w:tcPr>
            <w:tcW w:w="776" w:type="dxa"/>
            <w:vAlign w:val="top"/>
          </w:tcPr>
          <w:p w14:paraId="3978942E">
            <w:pPr>
              <w:rPr>
                <w:rFonts w:ascii="Arial"/>
                <w:color w:val="auto"/>
                <w:sz w:val="21"/>
                <w:highlight w:val="none"/>
              </w:rPr>
            </w:pPr>
          </w:p>
        </w:tc>
        <w:tc>
          <w:tcPr>
            <w:tcW w:w="938" w:type="dxa"/>
            <w:vAlign w:val="top"/>
          </w:tcPr>
          <w:p w14:paraId="4874EDE5">
            <w:pPr>
              <w:rPr>
                <w:rFonts w:ascii="Arial"/>
                <w:color w:val="auto"/>
                <w:sz w:val="21"/>
                <w:highlight w:val="none"/>
              </w:rPr>
            </w:pPr>
          </w:p>
        </w:tc>
        <w:tc>
          <w:tcPr>
            <w:tcW w:w="522" w:type="dxa"/>
            <w:vAlign w:val="top"/>
          </w:tcPr>
          <w:p w14:paraId="1DAC61E2">
            <w:pPr>
              <w:rPr>
                <w:rFonts w:ascii="Arial"/>
                <w:color w:val="auto"/>
                <w:sz w:val="21"/>
                <w:highlight w:val="none"/>
              </w:rPr>
            </w:pPr>
          </w:p>
        </w:tc>
        <w:tc>
          <w:tcPr>
            <w:tcW w:w="538" w:type="dxa"/>
            <w:tcBorders>
              <w:right w:val="single" w:color="000000" w:sz="10" w:space="0"/>
            </w:tcBorders>
            <w:vAlign w:val="top"/>
          </w:tcPr>
          <w:p w14:paraId="741812FC">
            <w:pPr>
              <w:rPr>
                <w:rFonts w:ascii="Arial"/>
                <w:color w:val="auto"/>
                <w:sz w:val="21"/>
                <w:highlight w:val="none"/>
              </w:rPr>
            </w:pPr>
          </w:p>
        </w:tc>
      </w:tr>
      <w:tr w14:paraId="5D5B0F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2DEDBD2B">
            <w:pPr>
              <w:rPr>
                <w:rFonts w:ascii="Arial"/>
                <w:color w:val="auto"/>
                <w:sz w:val="21"/>
                <w:highlight w:val="none"/>
              </w:rPr>
            </w:pPr>
          </w:p>
        </w:tc>
        <w:tc>
          <w:tcPr>
            <w:tcW w:w="708" w:type="dxa"/>
            <w:vAlign w:val="top"/>
          </w:tcPr>
          <w:p w14:paraId="5A434E26">
            <w:pPr>
              <w:rPr>
                <w:rFonts w:ascii="Arial"/>
                <w:color w:val="auto"/>
                <w:sz w:val="21"/>
                <w:highlight w:val="none"/>
              </w:rPr>
            </w:pPr>
          </w:p>
        </w:tc>
        <w:tc>
          <w:tcPr>
            <w:tcW w:w="1106" w:type="dxa"/>
            <w:vAlign w:val="top"/>
          </w:tcPr>
          <w:p w14:paraId="307B3E5D">
            <w:pPr>
              <w:rPr>
                <w:rFonts w:ascii="Arial"/>
                <w:color w:val="auto"/>
                <w:sz w:val="21"/>
                <w:highlight w:val="none"/>
              </w:rPr>
            </w:pPr>
          </w:p>
        </w:tc>
        <w:tc>
          <w:tcPr>
            <w:tcW w:w="732" w:type="dxa"/>
            <w:vAlign w:val="top"/>
          </w:tcPr>
          <w:p w14:paraId="6536B56D">
            <w:pPr>
              <w:rPr>
                <w:rFonts w:ascii="Arial"/>
                <w:color w:val="auto"/>
                <w:sz w:val="21"/>
                <w:highlight w:val="none"/>
              </w:rPr>
            </w:pPr>
          </w:p>
        </w:tc>
        <w:tc>
          <w:tcPr>
            <w:tcW w:w="565" w:type="dxa"/>
            <w:vAlign w:val="top"/>
          </w:tcPr>
          <w:p w14:paraId="07D51FFE">
            <w:pPr>
              <w:rPr>
                <w:rFonts w:ascii="Arial"/>
                <w:color w:val="auto"/>
                <w:sz w:val="21"/>
                <w:highlight w:val="none"/>
              </w:rPr>
            </w:pPr>
          </w:p>
        </w:tc>
        <w:tc>
          <w:tcPr>
            <w:tcW w:w="838" w:type="dxa"/>
            <w:vAlign w:val="top"/>
          </w:tcPr>
          <w:p w14:paraId="24FBF492">
            <w:pPr>
              <w:rPr>
                <w:rFonts w:ascii="Arial"/>
                <w:color w:val="auto"/>
                <w:sz w:val="21"/>
                <w:highlight w:val="none"/>
              </w:rPr>
            </w:pPr>
          </w:p>
        </w:tc>
        <w:tc>
          <w:tcPr>
            <w:tcW w:w="776" w:type="dxa"/>
            <w:vAlign w:val="top"/>
          </w:tcPr>
          <w:p w14:paraId="33FF8084">
            <w:pPr>
              <w:rPr>
                <w:rFonts w:ascii="Arial"/>
                <w:color w:val="auto"/>
                <w:sz w:val="21"/>
                <w:highlight w:val="none"/>
              </w:rPr>
            </w:pPr>
          </w:p>
        </w:tc>
        <w:tc>
          <w:tcPr>
            <w:tcW w:w="938" w:type="dxa"/>
            <w:vAlign w:val="top"/>
          </w:tcPr>
          <w:p w14:paraId="72036330">
            <w:pPr>
              <w:rPr>
                <w:rFonts w:ascii="Arial"/>
                <w:color w:val="auto"/>
                <w:sz w:val="21"/>
                <w:highlight w:val="none"/>
              </w:rPr>
            </w:pPr>
          </w:p>
        </w:tc>
        <w:tc>
          <w:tcPr>
            <w:tcW w:w="522" w:type="dxa"/>
            <w:vAlign w:val="top"/>
          </w:tcPr>
          <w:p w14:paraId="1238F57E">
            <w:pPr>
              <w:rPr>
                <w:rFonts w:ascii="Arial"/>
                <w:color w:val="auto"/>
                <w:sz w:val="21"/>
                <w:highlight w:val="none"/>
              </w:rPr>
            </w:pPr>
          </w:p>
        </w:tc>
        <w:tc>
          <w:tcPr>
            <w:tcW w:w="538" w:type="dxa"/>
            <w:tcBorders>
              <w:right w:val="single" w:color="000000" w:sz="10" w:space="0"/>
            </w:tcBorders>
            <w:vAlign w:val="top"/>
          </w:tcPr>
          <w:p w14:paraId="4ACAA4DE">
            <w:pPr>
              <w:rPr>
                <w:rFonts w:ascii="Arial"/>
                <w:color w:val="auto"/>
                <w:sz w:val="21"/>
                <w:highlight w:val="none"/>
              </w:rPr>
            </w:pPr>
          </w:p>
        </w:tc>
      </w:tr>
      <w:tr w14:paraId="55687D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4" w:hRule="atLeast"/>
        </w:trPr>
        <w:tc>
          <w:tcPr>
            <w:tcW w:w="1568" w:type="dxa"/>
            <w:tcBorders>
              <w:left w:val="single" w:color="000000" w:sz="10" w:space="0"/>
            </w:tcBorders>
            <w:vAlign w:val="top"/>
          </w:tcPr>
          <w:p w14:paraId="49145EAE">
            <w:pPr>
              <w:rPr>
                <w:rFonts w:ascii="Arial"/>
                <w:color w:val="auto"/>
                <w:sz w:val="21"/>
                <w:highlight w:val="none"/>
              </w:rPr>
            </w:pPr>
          </w:p>
        </w:tc>
        <w:tc>
          <w:tcPr>
            <w:tcW w:w="708" w:type="dxa"/>
            <w:vAlign w:val="top"/>
          </w:tcPr>
          <w:p w14:paraId="5C5594E4">
            <w:pPr>
              <w:rPr>
                <w:rFonts w:ascii="Arial"/>
                <w:color w:val="auto"/>
                <w:sz w:val="21"/>
                <w:highlight w:val="none"/>
              </w:rPr>
            </w:pPr>
          </w:p>
        </w:tc>
        <w:tc>
          <w:tcPr>
            <w:tcW w:w="1106" w:type="dxa"/>
            <w:vAlign w:val="top"/>
          </w:tcPr>
          <w:p w14:paraId="41A72CCD">
            <w:pPr>
              <w:rPr>
                <w:rFonts w:ascii="Arial"/>
                <w:color w:val="auto"/>
                <w:sz w:val="21"/>
                <w:highlight w:val="none"/>
              </w:rPr>
            </w:pPr>
          </w:p>
        </w:tc>
        <w:tc>
          <w:tcPr>
            <w:tcW w:w="732" w:type="dxa"/>
            <w:vAlign w:val="top"/>
          </w:tcPr>
          <w:p w14:paraId="55C26258">
            <w:pPr>
              <w:rPr>
                <w:rFonts w:ascii="Arial"/>
                <w:color w:val="auto"/>
                <w:sz w:val="21"/>
                <w:highlight w:val="none"/>
              </w:rPr>
            </w:pPr>
          </w:p>
        </w:tc>
        <w:tc>
          <w:tcPr>
            <w:tcW w:w="565" w:type="dxa"/>
            <w:vAlign w:val="top"/>
          </w:tcPr>
          <w:p w14:paraId="63AEF080">
            <w:pPr>
              <w:rPr>
                <w:rFonts w:ascii="Arial"/>
                <w:color w:val="auto"/>
                <w:sz w:val="21"/>
                <w:highlight w:val="none"/>
              </w:rPr>
            </w:pPr>
          </w:p>
        </w:tc>
        <w:tc>
          <w:tcPr>
            <w:tcW w:w="838" w:type="dxa"/>
            <w:vAlign w:val="top"/>
          </w:tcPr>
          <w:p w14:paraId="4A8CA411">
            <w:pPr>
              <w:rPr>
                <w:rFonts w:ascii="Arial"/>
                <w:color w:val="auto"/>
                <w:sz w:val="21"/>
                <w:highlight w:val="none"/>
              </w:rPr>
            </w:pPr>
          </w:p>
        </w:tc>
        <w:tc>
          <w:tcPr>
            <w:tcW w:w="776" w:type="dxa"/>
            <w:vAlign w:val="top"/>
          </w:tcPr>
          <w:p w14:paraId="11C24CD7">
            <w:pPr>
              <w:rPr>
                <w:rFonts w:ascii="Arial"/>
                <w:color w:val="auto"/>
                <w:sz w:val="21"/>
                <w:highlight w:val="none"/>
              </w:rPr>
            </w:pPr>
          </w:p>
        </w:tc>
        <w:tc>
          <w:tcPr>
            <w:tcW w:w="938" w:type="dxa"/>
            <w:vAlign w:val="top"/>
          </w:tcPr>
          <w:p w14:paraId="26F9C21A">
            <w:pPr>
              <w:rPr>
                <w:rFonts w:ascii="Arial"/>
                <w:color w:val="auto"/>
                <w:sz w:val="21"/>
                <w:highlight w:val="none"/>
              </w:rPr>
            </w:pPr>
          </w:p>
        </w:tc>
        <w:tc>
          <w:tcPr>
            <w:tcW w:w="522" w:type="dxa"/>
            <w:vAlign w:val="top"/>
          </w:tcPr>
          <w:p w14:paraId="085E48D2">
            <w:pPr>
              <w:rPr>
                <w:rFonts w:ascii="Arial"/>
                <w:color w:val="auto"/>
                <w:sz w:val="21"/>
                <w:highlight w:val="none"/>
              </w:rPr>
            </w:pPr>
          </w:p>
        </w:tc>
        <w:tc>
          <w:tcPr>
            <w:tcW w:w="538" w:type="dxa"/>
            <w:tcBorders>
              <w:right w:val="single" w:color="000000" w:sz="10" w:space="0"/>
            </w:tcBorders>
            <w:vAlign w:val="top"/>
          </w:tcPr>
          <w:p w14:paraId="5E2F003B">
            <w:pPr>
              <w:rPr>
                <w:rFonts w:ascii="Arial"/>
                <w:color w:val="auto"/>
                <w:sz w:val="21"/>
                <w:highlight w:val="none"/>
              </w:rPr>
            </w:pPr>
          </w:p>
        </w:tc>
      </w:tr>
      <w:tr w14:paraId="07AA8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55983FD9">
            <w:pPr>
              <w:rPr>
                <w:rFonts w:ascii="Arial"/>
                <w:color w:val="auto"/>
                <w:sz w:val="21"/>
                <w:highlight w:val="none"/>
              </w:rPr>
            </w:pPr>
          </w:p>
        </w:tc>
        <w:tc>
          <w:tcPr>
            <w:tcW w:w="708" w:type="dxa"/>
            <w:vAlign w:val="top"/>
          </w:tcPr>
          <w:p w14:paraId="321E0D87">
            <w:pPr>
              <w:rPr>
                <w:rFonts w:ascii="Arial"/>
                <w:color w:val="auto"/>
                <w:sz w:val="21"/>
                <w:highlight w:val="none"/>
              </w:rPr>
            </w:pPr>
          </w:p>
        </w:tc>
        <w:tc>
          <w:tcPr>
            <w:tcW w:w="1106" w:type="dxa"/>
            <w:vAlign w:val="top"/>
          </w:tcPr>
          <w:p w14:paraId="22DDBF6F">
            <w:pPr>
              <w:rPr>
                <w:rFonts w:ascii="Arial"/>
                <w:color w:val="auto"/>
                <w:sz w:val="21"/>
                <w:highlight w:val="none"/>
              </w:rPr>
            </w:pPr>
          </w:p>
        </w:tc>
        <w:tc>
          <w:tcPr>
            <w:tcW w:w="732" w:type="dxa"/>
            <w:vAlign w:val="top"/>
          </w:tcPr>
          <w:p w14:paraId="7DB6B456">
            <w:pPr>
              <w:rPr>
                <w:rFonts w:ascii="Arial"/>
                <w:color w:val="auto"/>
                <w:sz w:val="21"/>
                <w:highlight w:val="none"/>
              </w:rPr>
            </w:pPr>
          </w:p>
        </w:tc>
        <w:tc>
          <w:tcPr>
            <w:tcW w:w="565" w:type="dxa"/>
            <w:vAlign w:val="top"/>
          </w:tcPr>
          <w:p w14:paraId="52397EA0">
            <w:pPr>
              <w:rPr>
                <w:rFonts w:ascii="Arial"/>
                <w:color w:val="auto"/>
                <w:sz w:val="21"/>
                <w:highlight w:val="none"/>
              </w:rPr>
            </w:pPr>
          </w:p>
        </w:tc>
        <w:tc>
          <w:tcPr>
            <w:tcW w:w="838" w:type="dxa"/>
            <w:vAlign w:val="top"/>
          </w:tcPr>
          <w:p w14:paraId="518F329D">
            <w:pPr>
              <w:rPr>
                <w:rFonts w:ascii="Arial"/>
                <w:color w:val="auto"/>
                <w:sz w:val="21"/>
                <w:highlight w:val="none"/>
              </w:rPr>
            </w:pPr>
          </w:p>
        </w:tc>
        <w:tc>
          <w:tcPr>
            <w:tcW w:w="776" w:type="dxa"/>
            <w:vAlign w:val="top"/>
          </w:tcPr>
          <w:p w14:paraId="085438BE">
            <w:pPr>
              <w:rPr>
                <w:rFonts w:ascii="Arial"/>
                <w:color w:val="auto"/>
                <w:sz w:val="21"/>
                <w:highlight w:val="none"/>
              </w:rPr>
            </w:pPr>
          </w:p>
        </w:tc>
        <w:tc>
          <w:tcPr>
            <w:tcW w:w="938" w:type="dxa"/>
            <w:vAlign w:val="top"/>
          </w:tcPr>
          <w:p w14:paraId="309175E6">
            <w:pPr>
              <w:rPr>
                <w:rFonts w:ascii="Arial"/>
                <w:color w:val="auto"/>
                <w:sz w:val="21"/>
                <w:highlight w:val="none"/>
              </w:rPr>
            </w:pPr>
          </w:p>
        </w:tc>
        <w:tc>
          <w:tcPr>
            <w:tcW w:w="522" w:type="dxa"/>
            <w:vAlign w:val="top"/>
          </w:tcPr>
          <w:p w14:paraId="5EB927E1">
            <w:pPr>
              <w:rPr>
                <w:rFonts w:ascii="Arial"/>
                <w:color w:val="auto"/>
                <w:sz w:val="21"/>
                <w:highlight w:val="none"/>
              </w:rPr>
            </w:pPr>
          </w:p>
        </w:tc>
        <w:tc>
          <w:tcPr>
            <w:tcW w:w="538" w:type="dxa"/>
            <w:tcBorders>
              <w:right w:val="single" w:color="000000" w:sz="10" w:space="0"/>
            </w:tcBorders>
            <w:vAlign w:val="top"/>
          </w:tcPr>
          <w:p w14:paraId="182714A9">
            <w:pPr>
              <w:rPr>
                <w:rFonts w:ascii="Arial"/>
                <w:color w:val="auto"/>
                <w:sz w:val="21"/>
                <w:highlight w:val="none"/>
              </w:rPr>
            </w:pPr>
          </w:p>
        </w:tc>
      </w:tr>
      <w:tr w14:paraId="121F5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568" w:type="dxa"/>
            <w:tcBorders>
              <w:left w:val="single" w:color="000000" w:sz="10" w:space="0"/>
            </w:tcBorders>
            <w:vAlign w:val="top"/>
          </w:tcPr>
          <w:p w14:paraId="221EDFBF">
            <w:pPr>
              <w:rPr>
                <w:rFonts w:ascii="Arial"/>
                <w:color w:val="auto"/>
                <w:sz w:val="21"/>
                <w:highlight w:val="none"/>
              </w:rPr>
            </w:pPr>
          </w:p>
        </w:tc>
        <w:tc>
          <w:tcPr>
            <w:tcW w:w="708" w:type="dxa"/>
            <w:vAlign w:val="top"/>
          </w:tcPr>
          <w:p w14:paraId="600A7A7C">
            <w:pPr>
              <w:rPr>
                <w:rFonts w:ascii="Arial"/>
                <w:color w:val="auto"/>
                <w:sz w:val="21"/>
                <w:highlight w:val="none"/>
              </w:rPr>
            </w:pPr>
          </w:p>
        </w:tc>
        <w:tc>
          <w:tcPr>
            <w:tcW w:w="1106" w:type="dxa"/>
            <w:vAlign w:val="top"/>
          </w:tcPr>
          <w:p w14:paraId="14751180">
            <w:pPr>
              <w:rPr>
                <w:rFonts w:ascii="Arial"/>
                <w:color w:val="auto"/>
                <w:sz w:val="21"/>
                <w:highlight w:val="none"/>
              </w:rPr>
            </w:pPr>
          </w:p>
        </w:tc>
        <w:tc>
          <w:tcPr>
            <w:tcW w:w="732" w:type="dxa"/>
            <w:vAlign w:val="top"/>
          </w:tcPr>
          <w:p w14:paraId="49A38F1E">
            <w:pPr>
              <w:rPr>
                <w:rFonts w:ascii="Arial"/>
                <w:color w:val="auto"/>
                <w:sz w:val="21"/>
                <w:highlight w:val="none"/>
              </w:rPr>
            </w:pPr>
          </w:p>
        </w:tc>
        <w:tc>
          <w:tcPr>
            <w:tcW w:w="565" w:type="dxa"/>
            <w:vAlign w:val="top"/>
          </w:tcPr>
          <w:p w14:paraId="23684135">
            <w:pPr>
              <w:rPr>
                <w:rFonts w:ascii="Arial"/>
                <w:color w:val="auto"/>
                <w:sz w:val="21"/>
                <w:highlight w:val="none"/>
              </w:rPr>
            </w:pPr>
          </w:p>
        </w:tc>
        <w:tc>
          <w:tcPr>
            <w:tcW w:w="838" w:type="dxa"/>
            <w:vAlign w:val="top"/>
          </w:tcPr>
          <w:p w14:paraId="15C743AD">
            <w:pPr>
              <w:rPr>
                <w:rFonts w:ascii="Arial"/>
                <w:color w:val="auto"/>
                <w:sz w:val="21"/>
                <w:highlight w:val="none"/>
              </w:rPr>
            </w:pPr>
          </w:p>
        </w:tc>
        <w:tc>
          <w:tcPr>
            <w:tcW w:w="776" w:type="dxa"/>
            <w:vAlign w:val="top"/>
          </w:tcPr>
          <w:p w14:paraId="7DA681C5">
            <w:pPr>
              <w:rPr>
                <w:rFonts w:ascii="Arial"/>
                <w:color w:val="auto"/>
                <w:sz w:val="21"/>
                <w:highlight w:val="none"/>
              </w:rPr>
            </w:pPr>
          </w:p>
        </w:tc>
        <w:tc>
          <w:tcPr>
            <w:tcW w:w="938" w:type="dxa"/>
            <w:vAlign w:val="top"/>
          </w:tcPr>
          <w:p w14:paraId="00D43D27">
            <w:pPr>
              <w:rPr>
                <w:rFonts w:ascii="Arial"/>
                <w:color w:val="auto"/>
                <w:sz w:val="21"/>
                <w:highlight w:val="none"/>
              </w:rPr>
            </w:pPr>
          </w:p>
        </w:tc>
        <w:tc>
          <w:tcPr>
            <w:tcW w:w="522" w:type="dxa"/>
            <w:vAlign w:val="top"/>
          </w:tcPr>
          <w:p w14:paraId="49C749B9">
            <w:pPr>
              <w:rPr>
                <w:rFonts w:ascii="Arial"/>
                <w:color w:val="auto"/>
                <w:sz w:val="21"/>
                <w:highlight w:val="none"/>
              </w:rPr>
            </w:pPr>
          </w:p>
        </w:tc>
        <w:tc>
          <w:tcPr>
            <w:tcW w:w="538" w:type="dxa"/>
            <w:tcBorders>
              <w:right w:val="single" w:color="000000" w:sz="10" w:space="0"/>
            </w:tcBorders>
            <w:vAlign w:val="top"/>
          </w:tcPr>
          <w:p w14:paraId="7691E33E">
            <w:pPr>
              <w:rPr>
                <w:rFonts w:ascii="Arial"/>
                <w:color w:val="auto"/>
                <w:sz w:val="21"/>
                <w:highlight w:val="none"/>
              </w:rPr>
            </w:pPr>
          </w:p>
        </w:tc>
      </w:tr>
      <w:tr w14:paraId="0EEE8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568" w:type="dxa"/>
            <w:tcBorders>
              <w:left w:val="single" w:color="000000" w:sz="10" w:space="0"/>
              <w:bottom w:val="single" w:color="000000" w:sz="10" w:space="0"/>
            </w:tcBorders>
            <w:vAlign w:val="top"/>
          </w:tcPr>
          <w:p w14:paraId="5A8D4C0A">
            <w:pPr>
              <w:rPr>
                <w:rFonts w:ascii="Arial"/>
                <w:color w:val="auto"/>
                <w:sz w:val="21"/>
                <w:highlight w:val="none"/>
              </w:rPr>
            </w:pPr>
          </w:p>
        </w:tc>
        <w:tc>
          <w:tcPr>
            <w:tcW w:w="708" w:type="dxa"/>
            <w:tcBorders>
              <w:bottom w:val="single" w:color="000000" w:sz="10" w:space="0"/>
            </w:tcBorders>
            <w:vAlign w:val="top"/>
          </w:tcPr>
          <w:p w14:paraId="68C4C4BD">
            <w:pPr>
              <w:rPr>
                <w:rFonts w:ascii="Arial"/>
                <w:color w:val="auto"/>
                <w:sz w:val="21"/>
                <w:highlight w:val="none"/>
              </w:rPr>
            </w:pPr>
          </w:p>
        </w:tc>
        <w:tc>
          <w:tcPr>
            <w:tcW w:w="1106" w:type="dxa"/>
            <w:tcBorders>
              <w:bottom w:val="single" w:color="000000" w:sz="10" w:space="0"/>
            </w:tcBorders>
            <w:vAlign w:val="top"/>
          </w:tcPr>
          <w:p w14:paraId="42098674">
            <w:pPr>
              <w:rPr>
                <w:rFonts w:ascii="Arial"/>
                <w:color w:val="auto"/>
                <w:sz w:val="21"/>
                <w:highlight w:val="none"/>
              </w:rPr>
            </w:pPr>
          </w:p>
        </w:tc>
        <w:tc>
          <w:tcPr>
            <w:tcW w:w="732" w:type="dxa"/>
            <w:tcBorders>
              <w:bottom w:val="single" w:color="000000" w:sz="10" w:space="0"/>
            </w:tcBorders>
            <w:vAlign w:val="top"/>
          </w:tcPr>
          <w:p w14:paraId="08620893">
            <w:pPr>
              <w:rPr>
                <w:rFonts w:ascii="Arial"/>
                <w:color w:val="auto"/>
                <w:sz w:val="21"/>
                <w:highlight w:val="none"/>
              </w:rPr>
            </w:pPr>
          </w:p>
        </w:tc>
        <w:tc>
          <w:tcPr>
            <w:tcW w:w="565" w:type="dxa"/>
            <w:tcBorders>
              <w:bottom w:val="single" w:color="000000" w:sz="10" w:space="0"/>
            </w:tcBorders>
            <w:vAlign w:val="top"/>
          </w:tcPr>
          <w:p w14:paraId="6C6E2042">
            <w:pPr>
              <w:rPr>
                <w:rFonts w:ascii="Arial"/>
                <w:color w:val="auto"/>
                <w:sz w:val="21"/>
                <w:highlight w:val="none"/>
              </w:rPr>
            </w:pPr>
          </w:p>
        </w:tc>
        <w:tc>
          <w:tcPr>
            <w:tcW w:w="838" w:type="dxa"/>
            <w:tcBorders>
              <w:bottom w:val="single" w:color="000000" w:sz="10" w:space="0"/>
            </w:tcBorders>
            <w:vAlign w:val="top"/>
          </w:tcPr>
          <w:p w14:paraId="1DD7EEC6">
            <w:pPr>
              <w:rPr>
                <w:rFonts w:ascii="Arial"/>
                <w:color w:val="auto"/>
                <w:sz w:val="21"/>
                <w:highlight w:val="none"/>
              </w:rPr>
            </w:pPr>
          </w:p>
        </w:tc>
        <w:tc>
          <w:tcPr>
            <w:tcW w:w="776" w:type="dxa"/>
            <w:tcBorders>
              <w:bottom w:val="single" w:color="000000" w:sz="10" w:space="0"/>
            </w:tcBorders>
            <w:vAlign w:val="top"/>
          </w:tcPr>
          <w:p w14:paraId="6E1C22A6">
            <w:pPr>
              <w:rPr>
                <w:rFonts w:ascii="Arial"/>
                <w:color w:val="auto"/>
                <w:sz w:val="21"/>
                <w:highlight w:val="none"/>
              </w:rPr>
            </w:pPr>
          </w:p>
        </w:tc>
        <w:tc>
          <w:tcPr>
            <w:tcW w:w="938" w:type="dxa"/>
            <w:tcBorders>
              <w:bottom w:val="single" w:color="000000" w:sz="10" w:space="0"/>
            </w:tcBorders>
            <w:vAlign w:val="top"/>
          </w:tcPr>
          <w:p w14:paraId="754D0762">
            <w:pPr>
              <w:rPr>
                <w:rFonts w:ascii="Arial"/>
                <w:color w:val="auto"/>
                <w:sz w:val="21"/>
                <w:highlight w:val="none"/>
              </w:rPr>
            </w:pPr>
          </w:p>
        </w:tc>
        <w:tc>
          <w:tcPr>
            <w:tcW w:w="522" w:type="dxa"/>
            <w:tcBorders>
              <w:bottom w:val="single" w:color="000000" w:sz="10" w:space="0"/>
            </w:tcBorders>
            <w:vAlign w:val="top"/>
          </w:tcPr>
          <w:p w14:paraId="226336F0">
            <w:pPr>
              <w:rPr>
                <w:rFonts w:ascii="Arial"/>
                <w:color w:val="auto"/>
                <w:sz w:val="21"/>
                <w:highlight w:val="none"/>
              </w:rPr>
            </w:pPr>
          </w:p>
        </w:tc>
        <w:tc>
          <w:tcPr>
            <w:tcW w:w="538" w:type="dxa"/>
            <w:tcBorders>
              <w:bottom w:val="single" w:color="000000" w:sz="10" w:space="0"/>
              <w:right w:val="single" w:color="000000" w:sz="10" w:space="0"/>
            </w:tcBorders>
            <w:vAlign w:val="top"/>
          </w:tcPr>
          <w:p w14:paraId="6AC992E5">
            <w:pPr>
              <w:rPr>
                <w:rFonts w:ascii="Arial"/>
                <w:color w:val="auto"/>
                <w:sz w:val="21"/>
                <w:highlight w:val="none"/>
              </w:rPr>
            </w:pPr>
          </w:p>
        </w:tc>
      </w:tr>
    </w:tbl>
    <w:p w14:paraId="4A9B19CB">
      <w:pPr>
        <w:pStyle w:val="3"/>
        <w:rPr>
          <w:color w:val="auto"/>
          <w:highlight w:val="none"/>
        </w:rPr>
      </w:pPr>
    </w:p>
    <w:p w14:paraId="181009A1">
      <w:pPr>
        <w:rPr>
          <w:color w:val="auto"/>
          <w:highlight w:val="none"/>
        </w:rPr>
        <w:sectPr>
          <w:footerReference r:id="rId156" w:type="default"/>
          <w:pgSz w:w="11905" w:h="16839"/>
          <w:pgMar w:top="400" w:right="1785" w:bottom="400" w:left="1785" w:header="0" w:footer="0" w:gutter="0"/>
          <w:pgNumType w:fmt="decimal"/>
          <w:cols w:space="720" w:num="1"/>
        </w:sectPr>
      </w:pPr>
    </w:p>
    <w:p w14:paraId="3FCD17C4">
      <w:pPr>
        <w:pStyle w:val="3"/>
        <w:spacing w:line="276" w:lineRule="auto"/>
        <w:rPr>
          <w:color w:val="auto"/>
          <w:highlight w:val="none"/>
        </w:rPr>
      </w:pPr>
    </w:p>
    <w:p w14:paraId="428BC807">
      <w:pPr>
        <w:pStyle w:val="3"/>
        <w:spacing w:line="276" w:lineRule="auto"/>
        <w:rPr>
          <w:color w:val="auto"/>
          <w:highlight w:val="none"/>
        </w:rPr>
      </w:pPr>
    </w:p>
    <w:p w14:paraId="5D17FBD5">
      <w:pPr>
        <w:pStyle w:val="3"/>
        <w:spacing w:line="276" w:lineRule="auto"/>
        <w:rPr>
          <w:color w:val="auto"/>
          <w:highlight w:val="none"/>
        </w:rPr>
      </w:pPr>
    </w:p>
    <w:p w14:paraId="7DE52EC5">
      <w:pPr>
        <w:pStyle w:val="3"/>
        <w:spacing w:line="276" w:lineRule="auto"/>
        <w:rPr>
          <w:color w:val="auto"/>
          <w:highlight w:val="none"/>
        </w:rPr>
      </w:pPr>
    </w:p>
    <w:p w14:paraId="3AF89538">
      <w:pPr>
        <w:spacing w:before="78" w:line="219" w:lineRule="auto"/>
        <w:ind w:left="253"/>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附件</w:t>
      </w:r>
      <w:r>
        <w:rPr>
          <w:rFonts w:ascii="宋体" w:hAnsi="宋体" w:eastAsia="宋体" w:cs="宋体"/>
          <w:color w:val="auto"/>
          <w:spacing w:val="-55"/>
          <w:sz w:val="24"/>
          <w:szCs w:val="24"/>
          <w:highlight w:val="none"/>
        </w:rPr>
        <w:t xml:space="preserve"> </w:t>
      </w:r>
      <w:r>
        <w:rPr>
          <w:rFonts w:ascii="Times New Roman" w:hAnsi="Times New Roman" w:eastAsia="Times New Roman" w:cs="Times New Roman"/>
          <w:color w:val="auto"/>
          <w:spacing w:val="-9"/>
          <w:sz w:val="24"/>
          <w:szCs w:val="24"/>
          <w:highlight w:val="none"/>
        </w:rPr>
        <w:t>2</w:t>
      </w:r>
      <w:r>
        <w:rPr>
          <w:rFonts w:ascii="宋体" w:hAnsi="宋体" w:eastAsia="宋体" w:cs="宋体"/>
          <w:color w:val="auto"/>
          <w:spacing w:val="-9"/>
          <w:sz w:val="24"/>
          <w:szCs w:val="24"/>
          <w:highlight w:val="none"/>
        </w:rPr>
        <w:t>：</w:t>
      </w:r>
    </w:p>
    <w:p w14:paraId="40A046C7">
      <w:pPr>
        <w:spacing w:before="243" w:line="224" w:lineRule="auto"/>
        <w:ind w:left="2716"/>
        <w:rPr>
          <w:rFonts w:ascii="黑体" w:hAnsi="黑体" w:eastAsia="黑体" w:cs="黑体"/>
          <w:color w:val="auto"/>
          <w:sz w:val="27"/>
          <w:szCs w:val="27"/>
          <w:highlight w:val="none"/>
        </w:rPr>
      </w:pPr>
      <w:r>
        <w:rPr>
          <w:rFonts w:ascii="黑体" w:hAnsi="黑体" w:eastAsia="黑体" w:cs="黑体"/>
          <w:color w:val="auto"/>
          <w:spacing w:val="8"/>
          <w:sz w:val="27"/>
          <w:szCs w:val="27"/>
          <w:highlight w:val="none"/>
        </w:rPr>
        <w:t>发包人供应材料设备一览表</w:t>
      </w:r>
    </w:p>
    <w:p w14:paraId="49F61C2E">
      <w:pPr>
        <w:spacing w:line="113" w:lineRule="exact"/>
        <w:rPr>
          <w:color w:val="auto"/>
          <w:highlight w:val="none"/>
        </w:rPr>
      </w:pPr>
    </w:p>
    <w:tbl>
      <w:tblPr>
        <w:tblStyle w:val="10"/>
        <w:tblW w:w="8747"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7"/>
        <w:gridCol w:w="1130"/>
        <w:gridCol w:w="852"/>
        <w:gridCol w:w="704"/>
        <w:gridCol w:w="709"/>
        <w:gridCol w:w="847"/>
        <w:gridCol w:w="847"/>
        <w:gridCol w:w="800"/>
        <w:gridCol w:w="1465"/>
        <w:gridCol w:w="816"/>
      </w:tblGrid>
      <w:tr w14:paraId="241D3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93" w:hRule="atLeast"/>
        </w:trPr>
        <w:tc>
          <w:tcPr>
            <w:tcW w:w="577" w:type="dxa"/>
            <w:tcBorders>
              <w:top w:val="single" w:color="000000" w:sz="10" w:space="0"/>
              <w:left w:val="single" w:color="000000" w:sz="10" w:space="0"/>
            </w:tcBorders>
            <w:textDirection w:val="tbRlV"/>
            <w:vAlign w:val="top"/>
          </w:tcPr>
          <w:p w14:paraId="4A8A431F">
            <w:pPr>
              <w:pStyle w:val="11"/>
              <w:spacing w:before="181" w:line="211" w:lineRule="auto"/>
              <w:ind w:left="178"/>
              <w:rPr>
                <w:color w:val="auto"/>
                <w:highlight w:val="none"/>
              </w:rPr>
            </w:pPr>
            <w:r>
              <w:rPr>
                <w:color w:val="auto"/>
                <w:spacing w:val="1"/>
                <w:highlight w:val="none"/>
              </w:rPr>
              <w:t>序</w:t>
            </w:r>
            <w:r>
              <w:rPr>
                <w:color w:val="auto"/>
                <w:spacing w:val="10"/>
                <w:highlight w:val="none"/>
              </w:rPr>
              <w:t xml:space="preserve">  </w:t>
            </w:r>
            <w:r>
              <w:rPr>
                <w:color w:val="auto"/>
                <w:spacing w:val="1"/>
                <w:highlight w:val="none"/>
              </w:rPr>
              <w:t>号</w:t>
            </w:r>
          </w:p>
        </w:tc>
        <w:tc>
          <w:tcPr>
            <w:tcW w:w="1130" w:type="dxa"/>
            <w:tcBorders>
              <w:top w:val="single" w:color="000000" w:sz="10" w:space="0"/>
            </w:tcBorders>
            <w:vAlign w:val="top"/>
          </w:tcPr>
          <w:p w14:paraId="7A5DB3A2">
            <w:pPr>
              <w:pStyle w:val="11"/>
              <w:spacing w:before="178" w:line="441" w:lineRule="exact"/>
              <w:ind w:left="350"/>
              <w:rPr>
                <w:color w:val="auto"/>
                <w:highlight w:val="none"/>
              </w:rPr>
            </w:pPr>
            <w:r>
              <w:rPr>
                <w:color w:val="auto"/>
                <w:spacing w:val="-8"/>
                <w:position w:val="17"/>
                <w:highlight w:val="none"/>
              </w:rPr>
              <w:t>材料、</w:t>
            </w:r>
          </w:p>
          <w:p w14:paraId="48A8FD28">
            <w:pPr>
              <w:pStyle w:val="11"/>
              <w:spacing w:line="221" w:lineRule="auto"/>
              <w:ind w:left="113"/>
              <w:rPr>
                <w:color w:val="auto"/>
                <w:highlight w:val="none"/>
              </w:rPr>
            </w:pPr>
            <w:r>
              <w:rPr>
                <w:color w:val="auto"/>
                <w:spacing w:val="-2"/>
                <w:highlight w:val="none"/>
              </w:rPr>
              <w:t>设备品种</w:t>
            </w:r>
          </w:p>
        </w:tc>
        <w:tc>
          <w:tcPr>
            <w:tcW w:w="852" w:type="dxa"/>
            <w:tcBorders>
              <w:top w:val="single" w:color="000000" w:sz="10" w:space="0"/>
            </w:tcBorders>
            <w:vAlign w:val="top"/>
          </w:tcPr>
          <w:p w14:paraId="0DB24EBD">
            <w:pPr>
              <w:pStyle w:val="11"/>
              <w:spacing w:before="178" w:line="441" w:lineRule="exact"/>
              <w:ind w:left="215"/>
              <w:rPr>
                <w:color w:val="auto"/>
                <w:highlight w:val="none"/>
              </w:rPr>
            </w:pPr>
            <w:r>
              <w:rPr>
                <w:color w:val="auto"/>
                <w:spacing w:val="-2"/>
                <w:position w:val="17"/>
                <w:highlight w:val="none"/>
              </w:rPr>
              <w:t>规格</w:t>
            </w:r>
          </w:p>
          <w:p w14:paraId="68D082B6">
            <w:pPr>
              <w:pStyle w:val="11"/>
              <w:spacing w:line="222" w:lineRule="auto"/>
              <w:ind w:left="220"/>
              <w:rPr>
                <w:color w:val="auto"/>
                <w:highlight w:val="none"/>
              </w:rPr>
            </w:pPr>
            <w:r>
              <w:rPr>
                <w:color w:val="auto"/>
                <w:spacing w:val="-4"/>
                <w:highlight w:val="none"/>
              </w:rPr>
              <w:t>型号</w:t>
            </w:r>
          </w:p>
        </w:tc>
        <w:tc>
          <w:tcPr>
            <w:tcW w:w="704" w:type="dxa"/>
            <w:tcBorders>
              <w:top w:val="single" w:color="000000" w:sz="10" w:space="0"/>
            </w:tcBorders>
            <w:vAlign w:val="top"/>
          </w:tcPr>
          <w:p w14:paraId="2C0E2979">
            <w:pPr>
              <w:spacing w:line="329" w:lineRule="auto"/>
              <w:rPr>
                <w:rFonts w:ascii="Arial"/>
                <w:color w:val="auto"/>
                <w:sz w:val="21"/>
                <w:highlight w:val="none"/>
              </w:rPr>
            </w:pPr>
          </w:p>
          <w:p w14:paraId="70FC4A0B">
            <w:pPr>
              <w:pStyle w:val="11"/>
              <w:spacing w:before="68" w:line="221" w:lineRule="auto"/>
              <w:ind w:left="141"/>
              <w:rPr>
                <w:color w:val="auto"/>
                <w:highlight w:val="none"/>
              </w:rPr>
            </w:pPr>
            <w:r>
              <w:rPr>
                <w:color w:val="auto"/>
                <w:spacing w:val="-2"/>
                <w:highlight w:val="none"/>
              </w:rPr>
              <w:t>单位</w:t>
            </w:r>
          </w:p>
        </w:tc>
        <w:tc>
          <w:tcPr>
            <w:tcW w:w="709" w:type="dxa"/>
            <w:tcBorders>
              <w:top w:val="single" w:color="000000" w:sz="10" w:space="0"/>
            </w:tcBorders>
            <w:vAlign w:val="top"/>
          </w:tcPr>
          <w:p w14:paraId="00A82E3F">
            <w:pPr>
              <w:spacing w:line="328" w:lineRule="auto"/>
              <w:rPr>
                <w:rFonts w:ascii="Arial"/>
                <w:color w:val="auto"/>
                <w:sz w:val="21"/>
                <w:highlight w:val="none"/>
              </w:rPr>
            </w:pPr>
          </w:p>
          <w:p w14:paraId="3D7BA81F">
            <w:pPr>
              <w:pStyle w:val="11"/>
              <w:spacing w:before="68" w:line="221" w:lineRule="auto"/>
              <w:ind w:left="148"/>
              <w:rPr>
                <w:color w:val="auto"/>
                <w:highlight w:val="none"/>
              </w:rPr>
            </w:pPr>
            <w:r>
              <w:rPr>
                <w:color w:val="auto"/>
                <w:spacing w:val="-2"/>
                <w:highlight w:val="none"/>
              </w:rPr>
              <w:t>数量</w:t>
            </w:r>
          </w:p>
        </w:tc>
        <w:tc>
          <w:tcPr>
            <w:tcW w:w="847" w:type="dxa"/>
            <w:tcBorders>
              <w:top w:val="single" w:color="000000" w:sz="10" w:space="0"/>
            </w:tcBorders>
            <w:vAlign w:val="top"/>
          </w:tcPr>
          <w:p w14:paraId="3085978B">
            <w:pPr>
              <w:pStyle w:val="11"/>
              <w:spacing w:before="178" w:line="441" w:lineRule="exact"/>
              <w:ind w:left="217"/>
              <w:rPr>
                <w:color w:val="auto"/>
                <w:highlight w:val="none"/>
              </w:rPr>
            </w:pPr>
            <w:r>
              <w:rPr>
                <w:color w:val="auto"/>
                <w:spacing w:val="-2"/>
                <w:position w:val="17"/>
                <w:highlight w:val="none"/>
              </w:rPr>
              <w:t>单价</w:t>
            </w:r>
          </w:p>
          <w:p w14:paraId="507257AE">
            <w:pPr>
              <w:pStyle w:val="11"/>
              <w:spacing w:line="221" w:lineRule="auto"/>
              <w:ind w:left="116"/>
              <w:rPr>
                <w:color w:val="auto"/>
                <w:highlight w:val="none"/>
              </w:rPr>
            </w:pPr>
            <w:r>
              <w:rPr>
                <w:color w:val="auto"/>
                <w:spacing w:val="-6"/>
                <w:highlight w:val="none"/>
              </w:rPr>
              <w:t>（元）</w:t>
            </w:r>
          </w:p>
        </w:tc>
        <w:tc>
          <w:tcPr>
            <w:tcW w:w="847" w:type="dxa"/>
            <w:tcBorders>
              <w:top w:val="single" w:color="000000" w:sz="10" w:space="0"/>
            </w:tcBorders>
            <w:vAlign w:val="top"/>
          </w:tcPr>
          <w:p w14:paraId="181CD379">
            <w:pPr>
              <w:pStyle w:val="11"/>
              <w:spacing w:before="178" w:line="441" w:lineRule="exact"/>
              <w:ind w:left="224"/>
              <w:rPr>
                <w:color w:val="auto"/>
                <w:highlight w:val="none"/>
              </w:rPr>
            </w:pPr>
            <w:r>
              <w:rPr>
                <w:color w:val="auto"/>
                <w:spacing w:val="-2"/>
                <w:position w:val="17"/>
                <w:highlight w:val="none"/>
              </w:rPr>
              <w:t>质量</w:t>
            </w:r>
          </w:p>
          <w:p w14:paraId="44F22B3B">
            <w:pPr>
              <w:pStyle w:val="11"/>
              <w:spacing w:line="220" w:lineRule="auto"/>
              <w:ind w:left="224"/>
              <w:rPr>
                <w:color w:val="auto"/>
                <w:highlight w:val="none"/>
              </w:rPr>
            </w:pPr>
            <w:r>
              <w:rPr>
                <w:color w:val="auto"/>
                <w:spacing w:val="-2"/>
                <w:highlight w:val="none"/>
              </w:rPr>
              <w:t>等级</w:t>
            </w:r>
          </w:p>
        </w:tc>
        <w:tc>
          <w:tcPr>
            <w:tcW w:w="800" w:type="dxa"/>
            <w:tcBorders>
              <w:top w:val="single" w:color="000000" w:sz="10" w:space="0"/>
            </w:tcBorders>
            <w:vAlign w:val="top"/>
          </w:tcPr>
          <w:p w14:paraId="3E8C5F62">
            <w:pPr>
              <w:pStyle w:val="11"/>
              <w:spacing w:before="178" w:line="441" w:lineRule="exact"/>
              <w:ind w:left="202"/>
              <w:rPr>
                <w:color w:val="auto"/>
                <w:highlight w:val="none"/>
              </w:rPr>
            </w:pPr>
            <w:r>
              <w:rPr>
                <w:color w:val="auto"/>
                <w:spacing w:val="-2"/>
                <w:position w:val="17"/>
                <w:highlight w:val="none"/>
              </w:rPr>
              <w:t>供应</w:t>
            </w:r>
          </w:p>
          <w:p w14:paraId="6D6E27B9">
            <w:pPr>
              <w:pStyle w:val="11"/>
              <w:spacing w:line="222" w:lineRule="auto"/>
              <w:ind w:left="212"/>
              <w:rPr>
                <w:color w:val="auto"/>
                <w:highlight w:val="none"/>
              </w:rPr>
            </w:pPr>
            <w:r>
              <w:rPr>
                <w:color w:val="auto"/>
                <w:spacing w:val="-4"/>
                <w:highlight w:val="none"/>
              </w:rPr>
              <w:t>时间</w:t>
            </w:r>
          </w:p>
        </w:tc>
        <w:tc>
          <w:tcPr>
            <w:tcW w:w="1465" w:type="dxa"/>
            <w:tcBorders>
              <w:top w:val="single" w:color="000000" w:sz="10" w:space="0"/>
            </w:tcBorders>
            <w:vAlign w:val="top"/>
          </w:tcPr>
          <w:p w14:paraId="69C7258B">
            <w:pPr>
              <w:spacing w:line="328" w:lineRule="auto"/>
              <w:rPr>
                <w:rFonts w:ascii="Arial"/>
                <w:color w:val="auto"/>
                <w:sz w:val="21"/>
                <w:highlight w:val="none"/>
              </w:rPr>
            </w:pPr>
          </w:p>
          <w:p w14:paraId="739DE833">
            <w:pPr>
              <w:pStyle w:val="11"/>
              <w:spacing w:before="68" w:line="225" w:lineRule="auto"/>
              <w:ind w:left="322"/>
              <w:rPr>
                <w:color w:val="auto"/>
                <w:highlight w:val="none"/>
              </w:rPr>
            </w:pPr>
            <w:r>
              <w:rPr>
                <w:color w:val="auto"/>
                <w:spacing w:val="-1"/>
                <w:highlight w:val="none"/>
              </w:rPr>
              <w:t>送达地点</w:t>
            </w:r>
          </w:p>
        </w:tc>
        <w:tc>
          <w:tcPr>
            <w:tcW w:w="816" w:type="dxa"/>
            <w:tcBorders>
              <w:top w:val="single" w:color="000000" w:sz="10" w:space="0"/>
              <w:right w:val="single" w:color="000000" w:sz="10" w:space="0"/>
            </w:tcBorders>
            <w:vAlign w:val="top"/>
          </w:tcPr>
          <w:p w14:paraId="5D5A1B5C">
            <w:pPr>
              <w:spacing w:line="328" w:lineRule="auto"/>
              <w:rPr>
                <w:rFonts w:ascii="Arial"/>
                <w:color w:val="auto"/>
                <w:sz w:val="21"/>
                <w:highlight w:val="none"/>
              </w:rPr>
            </w:pPr>
          </w:p>
          <w:p w14:paraId="6E991574">
            <w:pPr>
              <w:pStyle w:val="11"/>
              <w:spacing w:before="68" w:line="222" w:lineRule="auto"/>
              <w:ind w:left="206"/>
              <w:rPr>
                <w:color w:val="auto"/>
                <w:highlight w:val="none"/>
              </w:rPr>
            </w:pPr>
            <w:r>
              <w:rPr>
                <w:color w:val="auto"/>
                <w:spacing w:val="-3"/>
                <w:highlight w:val="none"/>
              </w:rPr>
              <w:t>备注</w:t>
            </w:r>
          </w:p>
        </w:tc>
      </w:tr>
      <w:tr w14:paraId="44B07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577" w:type="dxa"/>
            <w:tcBorders>
              <w:left w:val="single" w:color="000000" w:sz="10" w:space="0"/>
            </w:tcBorders>
            <w:vAlign w:val="top"/>
          </w:tcPr>
          <w:p w14:paraId="461F7989">
            <w:pPr>
              <w:rPr>
                <w:rFonts w:ascii="Arial"/>
                <w:color w:val="auto"/>
                <w:sz w:val="21"/>
                <w:highlight w:val="none"/>
              </w:rPr>
            </w:pPr>
          </w:p>
        </w:tc>
        <w:tc>
          <w:tcPr>
            <w:tcW w:w="1130" w:type="dxa"/>
            <w:vAlign w:val="top"/>
          </w:tcPr>
          <w:p w14:paraId="7947F369">
            <w:pPr>
              <w:rPr>
                <w:rFonts w:ascii="Arial"/>
                <w:color w:val="auto"/>
                <w:sz w:val="21"/>
                <w:highlight w:val="none"/>
              </w:rPr>
            </w:pPr>
          </w:p>
        </w:tc>
        <w:tc>
          <w:tcPr>
            <w:tcW w:w="852" w:type="dxa"/>
            <w:vAlign w:val="top"/>
          </w:tcPr>
          <w:p w14:paraId="2B17E2BE">
            <w:pPr>
              <w:rPr>
                <w:rFonts w:ascii="Arial"/>
                <w:color w:val="auto"/>
                <w:sz w:val="21"/>
                <w:highlight w:val="none"/>
              </w:rPr>
            </w:pPr>
          </w:p>
        </w:tc>
        <w:tc>
          <w:tcPr>
            <w:tcW w:w="704" w:type="dxa"/>
            <w:vAlign w:val="top"/>
          </w:tcPr>
          <w:p w14:paraId="2113E0C4">
            <w:pPr>
              <w:rPr>
                <w:rFonts w:ascii="Arial"/>
                <w:color w:val="auto"/>
                <w:sz w:val="21"/>
                <w:highlight w:val="none"/>
              </w:rPr>
            </w:pPr>
          </w:p>
        </w:tc>
        <w:tc>
          <w:tcPr>
            <w:tcW w:w="709" w:type="dxa"/>
            <w:vAlign w:val="top"/>
          </w:tcPr>
          <w:p w14:paraId="668602BD">
            <w:pPr>
              <w:rPr>
                <w:rFonts w:ascii="Arial"/>
                <w:color w:val="auto"/>
                <w:sz w:val="21"/>
                <w:highlight w:val="none"/>
              </w:rPr>
            </w:pPr>
          </w:p>
        </w:tc>
        <w:tc>
          <w:tcPr>
            <w:tcW w:w="847" w:type="dxa"/>
            <w:vAlign w:val="top"/>
          </w:tcPr>
          <w:p w14:paraId="7C49E453">
            <w:pPr>
              <w:rPr>
                <w:rFonts w:ascii="Arial"/>
                <w:color w:val="auto"/>
                <w:sz w:val="21"/>
                <w:highlight w:val="none"/>
              </w:rPr>
            </w:pPr>
          </w:p>
        </w:tc>
        <w:tc>
          <w:tcPr>
            <w:tcW w:w="847" w:type="dxa"/>
            <w:vAlign w:val="top"/>
          </w:tcPr>
          <w:p w14:paraId="59B1711D">
            <w:pPr>
              <w:rPr>
                <w:rFonts w:ascii="Arial"/>
                <w:color w:val="auto"/>
                <w:sz w:val="21"/>
                <w:highlight w:val="none"/>
              </w:rPr>
            </w:pPr>
          </w:p>
        </w:tc>
        <w:tc>
          <w:tcPr>
            <w:tcW w:w="800" w:type="dxa"/>
            <w:vAlign w:val="top"/>
          </w:tcPr>
          <w:p w14:paraId="382BC936">
            <w:pPr>
              <w:rPr>
                <w:rFonts w:ascii="Arial"/>
                <w:color w:val="auto"/>
                <w:sz w:val="21"/>
                <w:highlight w:val="none"/>
              </w:rPr>
            </w:pPr>
          </w:p>
        </w:tc>
        <w:tc>
          <w:tcPr>
            <w:tcW w:w="1465" w:type="dxa"/>
            <w:vAlign w:val="top"/>
          </w:tcPr>
          <w:p w14:paraId="7AC031CA">
            <w:pPr>
              <w:rPr>
                <w:rFonts w:ascii="Arial"/>
                <w:color w:val="auto"/>
                <w:sz w:val="21"/>
                <w:highlight w:val="none"/>
              </w:rPr>
            </w:pPr>
          </w:p>
        </w:tc>
        <w:tc>
          <w:tcPr>
            <w:tcW w:w="816" w:type="dxa"/>
            <w:tcBorders>
              <w:right w:val="single" w:color="000000" w:sz="10" w:space="0"/>
            </w:tcBorders>
            <w:vAlign w:val="top"/>
          </w:tcPr>
          <w:p w14:paraId="6E4C3D07">
            <w:pPr>
              <w:rPr>
                <w:rFonts w:ascii="Arial"/>
                <w:color w:val="auto"/>
                <w:sz w:val="21"/>
                <w:highlight w:val="none"/>
              </w:rPr>
            </w:pPr>
          </w:p>
        </w:tc>
      </w:tr>
      <w:tr w14:paraId="3BB8A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77" w:type="dxa"/>
            <w:tcBorders>
              <w:left w:val="single" w:color="000000" w:sz="10" w:space="0"/>
            </w:tcBorders>
            <w:vAlign w:val="top"/>
          </w:tcPr>
          <w:p w14:paraId="17A1D9F8">
            <w:pPr>
              <w:rPr>
                <w:rFonts w:ascii="Arial"/>
                <w:color w:val="auto"/>
                <w:sz w:val="21"/>
                <w:highlight w:val="none"/>
              </w:rPr>
            </w:pPr>
          </w:p>
        </w:tc>
        <w:tc>
          <w:tcPr>
            <w:tcW w:w="1130" w:type="dxa"/>
            <w:vAlign w:val="top"/>
          </w:tcPr>
          <w:p w14:paraId="149A8B58">
            <w:pPr>
              <w:rPr>
                <w:rFonts w:ascii="Arial"/>
                <w:color w:val="auto"/>
                <w:sz w:val="21"/>
                <w:highlight w:val="none"/>
              </w:rPr>
            </w:pPr>
          </w:p>
        </w:tc>
        <w:tc>
          <w:tcPr>
            <w:tcW w:w="852" w:type="dxa"/>
            <w:vAlign w:val="top"/>
          </w:tcPr>
          <w:p w14:paraId="223DFB5C">
            <w:pPr>
              <w:rPr>
                <w:rFonts w:ascii="Arial"/>
                <w:color w:val="auto"/>
                <w:sz w:val="21"/>
                <w:highlight w:val="none"/>
              </w:rPr>
            </w:pPr>
          </w:p>
        </w:tc>
        <w:tc>
          <w:tcPr>
            <w:tcW w:w="704" w:type="dxa"/>
            <w:vAlign w:val="top"/>
          </w:tcPr>
          <w:p w14:paraId="6A6F922C">
            <w:pPr>
              <w:rPr>
                <w:rFonts w:ascii="Arial"/>
                <w:color w:val="auto"/>
                <w:sz w:val="21"/>
                <w:highlight w:val="none"/>
              </w:rPr>
            </w:pPr>
          </w:p>
        </w:tc>
        <w:tc>
          <w:tcPr>
            <w:tcW w:w="709" w:type="dxa"/>
            <w:vAlign w:val="top"/>
          </w:tcPr>
          <w:p w14:paraId="56F00F17">
            <w:pPr>
              <w:rPr>
                <w:rFonts w:ascii="Arial"/>
                <w:color w:val="auto"/>
                <w:sz w:val="21"/>
                <w:highlight w:val="none"/>
              </w:rPr>
            </w:pPr>
          </w:p>
        </w:tc>
        <w:tc>
          <w:tcPr>
            <w:tcW w:w="847" w:type="dxa"/>
            <w:vAlign w:val="top"/>
          </w:tcPr>
          <w:p w14:paraId="18D6B9DE">
            <w:pPr>
              <w:rPr>
                <w:rFonts w:ascii="Arial"/>
                <w:color w:val="auto"/>
                <w:sz w:val="21"/>
                <w:highlight w:val="none"/>
              </w:rPr>
            </w:pPr>
          </w:p>
        </w:tc>
        <w:tc>
          <w:tcPr>
            <w:tcW w:w="847" w:type="dxa"/>
            <w:vAlign w:val="top"/>
          </w:tcPr>
          <w:p w14:paraId="3F8D826F">
            <w:pPr>
              <w:rPr>
                <w:rFonts w:ascii="Arial"/>
                <w:color w:val="auto"/>
                <w:sz w:val="21"/>
                <w:highlight w:val="none"/>
              </w:rPr>
            </w:pPr>
          </w:p>
        </w:tc>
        <w:tc>
          <w:tcPr>
            <w:tcW w:w="800" w:type="dxa"/>
            <w:vAlign w:val="top"/>
          </w:tcPr>
          <w:p w14:paraId="33D0983E">
            <w:pPr>
              <w:rPr>
                <w:rFonts w:ascii="Arial"/>
                <w:color w:val="auto"/>
                <w:sz w:val="21"/>
                <w:highlight w:val="none"/>
              </w:rPr>
            </w:pPr>
          </w:p>
        </w:tc>
        <w:tc>
          <w:tcPr>
            <w:tcW w:w="1465" w:type="dxa"/>
            <w:vAlign w:val="top"/>
          </w:tcPr>
          <w:p w14:paraId="4678ECA1">
            <w:pPr>
              <w:rPr>
                <w:rFonts w:ascii="Arial"/>
                <w:color w:val="auto"/>
                <w:sz w:val="21"/>
                <w:highlight w:val="none"/>
              </w:rPr>
            </w:pPr>
          </w:p>
        </w:tc>
        <w:tc>
          <w:tcPr>
            <w:tcW w:w="816" w:type="dxa"/>
            <w:tcBorders>
              <w:right w:val="single" w:color="000000" w:sz="10" w:space="0"/>
            </w:tcBorders>
            <w:vAlign w:val="top"/>
          </w:tcPr>
          <w:p w14:paraId="1600DB7A">
            <w:pPr>
              <w:rPr>
                <w:rFonts w:ascii="Arial"/>
                <w:color w:val="auto"/>
                <w:sz w:val="21"/>
                <w:highlight w:val="none"/>
              </w:rPr>
            </w:pPr>
          </w:p>
        </w:tc>
      </w:tr>
      <w:tr w14:paraId="62D1B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14:paraId="0D84228F">
            <w:pPr>
              <w:rPr>
                <w:rFonts w:ascii="Arial"/>
                <w:color w:val="auto"/>
                <w:sz w:val="21"/>
                <w:highlight w:val="none"/>
              </w:rPr>
            </w:pPr>
          </w:p>
        </w:tc>
        <w:tc>
          <w:tcPr>
            <w:tcW w:w="1130" w:type="dxa"/>
            <w:vAlign w:val="top"/>
          </w:tcPr>
          <w:p w14:paraId="2B95957A">
            <w:pPr>
              <w:rPr>
                <w:rFonts w:ascii="Arial"/>
                <w:color w:val="auto"/>
                <w:sz w:val="21"/>
                <w:highlight w:val="none"/>
              </w:rPr>
            </w:pPr>
          </w:p>
        </w:tc>
        <w:tc>
          <w:tcPr>
            <w:tcW w:w="852" w:type="dxa"/>
            <w:vAlign w:val="top"/>
          </w:tcPr>
          <w:p w14:paraId="283EE472">
            <w:pPr>
              <w:rPr>
                <w:rFonts w:ascii="Arial"/>
                <w:color w:val="auto"/>
                <w:sz w:val="21"/>
                <w:highlight w:val="none"/>
              </w:rPr>
            </w:pPr>
          </w:p>
        </w:tc>
        <w:tc>
          <w:tcPr>
            <w:tcW w:w="704" w:type="dxa"/>
            <w:vAlign w:val="top"/>
          </w:tcPr>
          <w:p w14:paraId="5B8C44B0">
            <w:pPr>
              <w:rPr>
                <w:rFonts w:ascii="Arial"/>
                <w:color w:val="auto"/>
                <w:sz w:val="21"/>
                <w:highlight w:val="none"/>
              </w:rPr>
            </w:pPr>
          </w:p>
        </w:tc>
        <w:tc>
          <w:tcPr>
            <w:tcW w:w="709" w:type="dxa"/>
            <w:vAlign w:val="top"/>
          </w:tcPr>
          <w:p w14:paraId="68595B19">
            <w:pPr>
              <w:rPr>
                <w:rFonts w:ascii="Arial"/>
                <w:color w:val="auto"/>
                <w:sz w:val="21"/>
                <w:highlight w:val="none"/>
              </w:rPr>
            </w:pPr>
          </w:p>
        </w:tc>
        <w:tc>
          <w:tcPr>
            <w:tcW w:w="847" w:type="dxa"/>
            <w:vAlign w:val="top"/>
          </w:tcPr>
          <w:p w14:paraId="77E45D78">
            <w:pPr>
              <w:rPr>
                <w:rFonts w:ascii="Arial"/>
                <w:color w:val="auto"/>
                <w:sz w:val="21"/>
                <w:highlight w:val="none"/>
              </w:rPr>
            </w:pPr>
          </w:p>
        </w:tc>
        <w:tc>
          <w:tcPr>
            <w:tcW w:w="847" w:type="dxa"/>
            <w:vAlign w:val="top"/>
          </w:tcPr>
          <w:p w14:paraId="60C1971A">
            <w:pPr>
              <w:rPr>
                <w:rFonts w:ascii="Arial"/>
                <w:color w:val="auto"/>
                <w:sz w:val="21"/>
                <w:highlight w:val="none"/>
              </w:rPr>
            </w:pPr>
          </w:p>
        </w:tc>
        <w:tc>
          <w:tcPr>
            <w:tcW w:w="800" w:type="dxa"/>
            <w:vAlign w:val="top"/>
          </w:tcPr>
          <w:p w14:paraId="48538455">
            <w:pPr>
              <w:rPr>
                <w:rFonts w:ascii="Arial"/>
                <w:color w:val="auto"/>
                <w:sz w:val="21"/>
                <w:highlight w:val="none"/>
              </w:rPr>
            </w:pPr>
          </w:p>
        </w:tc>
        <w:tc>
          <w:tcPr>
            <w:tcW w:w="1465" w:type="dxa"/>
            <w:vAlign w:val="top"/>
          </w:tcPr>
          <w:p w14:paraId="0FD5E8BB">
            <w:pPr>
              <w:rPr>
                <w:rFonts w:ascii="Arial"/>
                <w:color w:val="auto"/>
                <w:sz w:val="21"/>
                <w:highlight w:val="none"/>
              </w:rPr>
            </w:pPr>
          </w:p>
        </w:tc>
        <w:tc>
          <w:tcPr>
            <w:tcW w:w="816" w:type="dxa"/>
            <w:tcBorders>
              <w:right w:val="single" w:color="000000" w:sz="10" w:space="0"/>
            </w:tcBorders>
            <w:vAlign w:val="top"/>
          </w:tcPr>
          <w:p w14:paraId="26D3C2A4">
            <w:pPr>
              <w:rPr>
                <w:rFonts w:ascii="Arial"/>
                <w:color w:val="auto"/>
                <w:sz w:val="21"/>
                <w:highlight w:val="none"/>
              </w:rPr>
            </w:pPr>
          </w:p>
        </w:tc>
      </w:tr>
      <w:tr w14:paraId="5946B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14:paraId="7FBC3568">
            <w:pPr>
              <w:rPr>
                <w:rFonts w:ascii="Arial"/>
                <w:color w:val="auto"/>
                <w:sz w:val="21"/>
                <w:highlight w:val="none"/>
              </w:rPr>
            </w:pPr>
          </w:p>
        </w:tc>
        <w:tc>
          <w:tcPr>
            <w:tcW w:w="1130" w:type="dxa"/>
            <w:vAlign w:val="top"/>
          </w:tcPr>
          <w:p w14:paraId="154DA735">
            <w:pPr>
              <w:rPr>
                <w:rFonts w:ascii="Arial"/>
                <w:color w:val="auto"/>
                <w:sz w:val="21"/>
                <w:highlight w:val="none"/>
              </w:rPr>
            </w:pPr>
          </w:p>
        </w:tc>
        <w:tc>
          <w:tcPr>
            <w:tcW w:w="852" w:type="dxa"/>
            <w:vAlign w:val="top"/>
          </w:tcPr>
          <w:p w14:paraId="097FC135">
            <w:pPr>
              <w:rPr>
                <w:rFonts w:ascii="Arial"/>
                <w:color w:val="auto"/>
                <w:sz w:val="21"/>
                <w:highlight w:val="none"/>
              </w:rPr>
            </w:pPr>
          </w:p>
        </w:tc>
        <w:tc>
          <w:tcPr>
            <w:tcW w:w="704" w:type="dxa"/>
            <w:vAlign w:val="top"/>
          </w:tcPr>
          <w:p w14:paraId="663834F2">
            <w:pPr>
              <w:rPr>
                <w:rFonts w:ascii="Arial"/>
                <w:color w:val="auto"/>
                <w:sz w:val="21"/>
                <w:highlight w:val="none"/>
              </w:rPr>
            </w:pPr>
          </w:p>
        </w:tc>
        <w:tc>
          <w:tcPr>
            <w:tcW w:w="709" w:type="dxa"/>
            <w:vAlign w:val="top"/>
          </w:tcPr>
          <w:p w14:paraId="79C6FCA4">
            <w:pPr>
              <w:rPr>
                <w:rFonts w:ascii="Arial"/>
                <w:color w:val="auto"/>
                <w:sz w:val="21"/>
                <w:highlight w:val="none"/>
              </w:rPr>
            </w:pPr>
          </w:p>
        </w:tc>
        <w:tc>
          <w:tcPr>
            <w:tcW w:w="847" w:type="dxa"/>
            <w:vAlign w:val="top"/>
          </w:tcPr>
          <w:p w14:paraId="186A84DA">
            <w:pPr>
              <w:rPr>
                <w:rFonts w:ascii="Arial"/>
                <w:color w:val="auto"/>
                <w:sz w:val="21"/>
                <w:highlight w:val="none"/>
              </w:rPr>
            </w:pPr>
          </w:p>
        </w:tc>
        <w:tc>
          <w:tcPr>
            <w:tcW w:w="847" w:type="dxa"/>
            <w:vAlign w:val="top"/>
          </w:tcPr>
          <w:p w14:paraId="20DFCDF2">
            <w:pPr>
              <w:rPr>
                <w:rFonts w:ascii="Arial"/>
                <w:color w:val="auto"/>
                <w:sz w:val="21"/>
                <w:highlight w:val="none"/>
              </w:rPr>
            </w:pPr>
          </w:p>
        </w:tc>
        <w:tc>
          <w:tcPr>
            <w:tcW w:w="800" w:type="dxa"/>
            <w:vAlign w:val="top"/>
          </w:tcPr>
          <w:p w14:paraId="26088FEA">
            <w:pPr>
              <w:rPr>
                <w:rFonts w:ascii="Arial"/>
                <w:color w:val="auto"/>
                <w:sz w:val="21"/>
                <w:highlight w:val="none"/>
              </w:rPr>
            </w:pPr>
          </w:p>
        </w:tc>
        <w:tc>
          <w:tcPr>
            <w:tcW w:w="1465" w:type="dxa"/>
            <w:vAlign w:val="top"/>
          </w:tcPr>
          <w:p w14:paraId="08C8041D">
            <w:pPr>
              <w:rPr>
                <w:rFonts w:ascii="Arial"/>
                <w:color w:val="auto"/>
                <w:sz w:val="21"/>
                <w:highlight w:val="none"/>
              </w:rPr>
            </w:pPr>
          </w:p>
        </w:tc>
        <w:tc>
          <w:tcPr>
            <w:tcW w:w="816" w:type="dxa"/>
            <w:tcBorders>
              <w:right w:val="single" w:color="000000" w:sz="10" w:space="0"/>
            </w:tcBorders>
            <w:vAlign w:val="top"/>
          </w:tcPr>
          <w:p w14:paraId="1E3058C6">
            <w:pPr>
              <w:rPr>
                <w:rFonts w:ascii="Arial"/>
                <w:color w:val="auto"/>
                <w:sz w:val="21"/>
                <w:highlight w:val="none"/>
              </w:rPr>
            </w:pPr>
          </w:p>
        </w:tc>
      </w:tr>
      <w:tr w14:paraId="4CA8D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10D857D4">
            <w:pPr>
              <w:rPr>
                <w:rFonts w:ascii="Arial"/>
                <w:color w:val="auto"/>
                <w:sz w:val="21"/>
                <w:highlight w:val="none"/>
              </w:rPr>
            </w:pPr>
          </w:p>
        </w:tc>
        <w:tc>
          <w:tcPr>
            <w:tcW w:w="1130" w:type="dxa"/>
            <w:vAlign w:val="top"/>
          </w:tcPr>
          <w:p w14:paraId="66C8D7E0">
            <w:pPr>
              <w:rPr>
                <w:rFonts w:ascii="Arial"/>
                <w:color w:val="auto"/>
                <w:sz w:val="21"/>
                <w:highlight w:val="none"/>
              </w:rPr>
            </w:pPr>
          </w:p>
        </w:tc>
        <w:tc>
          <w:tcPr>
            <w:tcW w:w="852" w:type="dxa"/>
            <w:vAlign w:val="top"/>
          </w:tcPr>
          <w:p w14:paraId="773370CE">
            <w:pPr>
              <w:rPr>
                <w:rFonts w:ascii="Arial"/>
                <w:color w:val="auto"/>
                <w:sz w:val="21"/>
                <w:highlight w:val="none"/>
              </w:rPr>
            </w:pPr>
          </w:p>
        </w:tc>
        <w:tc>
          <w:tcPr>
            <w:tcW w:w="704" w:type="dxa"/>
            <w:vAlign w:val="top"/>
          </w:tcPr>
          <w:p w14:paraId="3B97D5D6">
            <w:pPr>
              <w:rPr>
                <w:rFonts w:ascii="Arial"/>
                <w:color w:val="auto"/>
                <w:sz w:val="21"/>
                <w:highlight w:val="none"/>
              </w:rPr>
            </w:pPr>
          </w:p>
        </w:tc>
        <w:tc>
          <w:tcPr>
            <w:tcW w:w="709" w:type="dxa"/>
            <w:vAlign w:val="top"/>
          </w:tcPr>
          <w:p w14:paraId="590DBA85">
            <w:pPr>
              <w:rPr>
                <w:rFonts w:ascii="Arial"/>
                <w:color w:val="auto"/>
                <w:sz w:val="21"/>
                <w:highlight w:val="none"/>
              </w:rPr>
            </w:pPr>
          </w:p>
        </w:tc>
        <w:tc>
          <w:tcPr>
            <w:tcW w:w="847" w:type="dxa"/>
            <w:vAlign w:val="top"/>
          </w:tcPr>
          <w:p w14:paraId="3AD6A3BA">
            <w:pPr>
              <w:rPr>
                <w:rFonts w:ascii="Arial"/>
                <w:color w:val="auto"/>
                <w:sz w:val="21"/>
                <w:highlight w:val="none"/>
              </w:rPr>
            </w:pPr>
          </w:p>
        </w:tc>
        <w:tc>
          <w:tcPr>
            <w:tcW w:w="847" w:type="dxa"/>
            <w:vAlign w:val="top"/>
          </w:tcPr>
          <w:p w14:paraId="512FD707">
            <w:pPr>
              <w:rPr>
                <w:rFonts w:ascii="Arial"/>
                <w:color w:val="auto"/>
                <w:sz w:val="21"/>
                <w:highlight w:val="none"/>
              </w:rPr>
            </w:pPr>
          </w:p>
        </w:tc>
        <w:tc>
          <w:tcPr>
            <w:tcW w:w="800" w:type="dxa"/>
            <w:vAlign w:val="top"/>
          </w:tcPr>
          <w:p w14:paraId="78DA47BF">
            <w:pPr>
              <w:rPr>
                <w:rFonts w:ascii="Arial"/>
                <w:color w:val="auto"/>
                <w:sz w:val="21"/>
                <w:highlight w:val="none"/>
              </w:rPr>
            </w:pPr>
          </w:p>
        </w:tc>
        <w:tc>
          <w:tcPr>
            <w:tcW w:w="1465" w:type="dxa"/>
            <w:vAlign w:val="top"/>
          </w:tcPr>
          <w:p w14:paraId="28FB7FE6">
            <w:pPr>
              <w:rPr>
                <w:rFonts w:ascii="Arial"/>
                <w:color w:val="auto"/>
                <w:sz w:val="21"/>
                <w:highlight w:val="none"/>
              </w:rPr>
            </w:pPr>
          </w:p>
        </w:tc>
        <w:tc>
          <w:tcPr>
            <w:tcW w:w="816" w:type="dxa"/>
            <w:tcBorders>
              <w:right w:val="single" w:color="000000" w:sz="10" w:space="0"/>
            </w:tcBorders>
            <w:vAlign w:val="top"/>
          </w:tcPr>
          <w:p w14:paraId="716F3EB1">
            <w:pPr>
              <w:rPr>
                <w:rFonts w:ascii="Arial"/>
                <w:color w:val="auto"/>
                <w:sz w:val="21"/>
                <w:highlight w:val="none"/>
              </w:rPr>
            </w:pPr>
          </w:p>
        </w:tc>
      </w:tr>
      <w:tr w14:paraId="0D95D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577" w:type="dxa"/>
            <w:tcBorders>
              <w:left w:val="single" w:color="000000" w:sz="10" w:space="0"/>
            </w:tcBorders>
            <w:vAlign w:val="top"/>
          </w:tcPr>
          <w:p w14:paraId="11709D7D">
            <w:pPr>
              <w:rPr>
                <w:rFonts w:ascii="Arial"/>
                <w:color w:val="auto"/>
                <w:sz w:val="21"/>
                <w:highlight w:val="none"/>
              </w:rPr>
            </w:pPr>
          </w:p>
        </w:tc>
        <w:tc>
          <w:tcPr>
            <w:tcW w:w="1130" w:type="dxa"/>
            <w:vAlign w:val="top"/>
          </w:tcPr>
          <w:p w14:paraId="59D2E843">
            <w:pPr>
              <w:rPr>
                <w:rFonts w:ascii="Arial"/>
                <w:color w:val="auto"/>
                <w:sz w:val="21"/>
                <w:highlight w:val="none"/>
              </w:rPr>
            </w:pPr>
          </w:p>
        </w:tc>
        <w:tc>
          <w:tcPr>
            <w:tcW w:w="852" w:type="dxa"/>
            <w:vAlign w:val="top"/>
          </w:tcPr>
          <w:p w14:paraId="174141F5">
            <w:pPr>
              <w:rPr>
                <w:rFonts w:ascii="Arial"/>
                <w:color w:val="auto"/>
                <w:sz w:val="21"/>
                <w:highlight w:val="none"/>
              </w:rPr>
            </w:pPr>
          </w:p>
        </w:tc>
        <w:tc>
          <w:tcPr>
            <w:tcW w:w="704" w:type="dxa"/>
            <w:vAlign w:val="top"/>
          </w:tcPr>
          <w:p w14:paraId="7E6C1079">
            <w:pPr>
              <w:rPr>
                <w:rFonts w:ascii="Arial"/>
                <w:color w:val="auto"/>
                <w:sz w:val="21"/>
                <w:highlight w:val="none"/>
              </w:rPr>
            </w:pPr>
          </w:p>
        </w:tc>
        <w:tc>
          <w:tcPr>
            <w:tcW w:w="709" w:type="dxa"/>
            <w:vAlign w:val="top"/>
          </w:tcPr>
          <w:p w14:paraId="4F59B87A">
            <w:pPr>
              <w:rPr>
                <w:rFonts w:ascii="Arial"/>
                <w:color w:val="auto"/>
                <w:sz w:val="21"/>
                <w:highlight w:val="none"/>
              </w:rPr>
            </w:pPr>
          </w:p>
        </w:tc>
        <w:tc>
          <w:tcPr>
            <w:tcW w:w="847" w:type="dxa"/>
            <w:vAlign w:val="top"/>
          </w:tcPr>
          <w:p w14:paraId="6CD7B8A5">
            <w:pPr>
              <w:rPr>
                <w:rFonts w:ascii="Arial"/>
                <w:color w:val="auto"/>
                <w:sz w:val="21"/>
                <w:highlight w:val="none"/>
              </w:rPr>
            </w:pPr>
          </w:p>
        </w:tc>
        <w:tc>
          <w:tcPr>
            <w:tcW w:w="847" w:type="dxa"/>
            <w:vAlign w:val="top"/>
          </w:tcPr>
          <w:p w14:paraId="7B19DB52">
            <w:pPr>
              <w:rPr>
                <w:rFonts w:ascii="Arial"/>
                <w:color w:val="auto"/>
                <w:sz w:val="21"/>
                <w:highlight w:val="none"/>
              </w:rPr>
            </w:pPr>
          </w:p>
        </w:tc>
        <w:tc>
          <w:tcPr>
            <w:tcW w:w="800" w:type="dxa"/>
            <w:vAlign w:val="top"/>
          </w:tcPr>
          <w:p w14:paraId="098E07B7">
            <w:pPr>
              <w:rPr>
                <w:rFonts w:ascii="Arial"/>
                <w:color w:val="auto"/>
                <w:sz w:val="21"/>
                <w:highlight w:val="none"/>
              </w:rPr>
            </w:pPr>
          </w:p>
        </w:tc>
        <w:tc>
          <w:tcPr>
            <w:tcW w:w="1465" w:type="dxa"/>
            <w:vAlign w:val="top"/>
          </w:tcPr>
          <w:p w14:paraId="182F93D2">
            <w:pPr>
              <w:rPr>
                <w:rFonts w:ascii="Arial"/>
                <w:color w:val="auto"/>
                <w:sz w:val="21"/>
                <w:highlight w:val="none"/>
              </w:rPr>
            </w:pPr>
          </w:p>
        </w:tc>
        <w:tc>
          <w:tcPr>
            <w:tcW w:w="816" w:type="dxa"/>
            <w:tcBorders>
              <w:right w:val="single" w:color="000000" w:sz="10" w:space="0"/>
            </w:tcBorders>
            <w:vAlign w:val="top"/>
          </w:tcPr>
          <w:p w14:paraId="27E5627F">
            <w:pPr>
              <w:rPr>
                <w:rFonts w:ascii="Arial"/>
                <w:color w:val="auto"/>
                <w:sz w:val="21"/>
                <w:highlight w:val="none"/>
              </w:rPr>
            </w:pPr>
          </w:p>
        </w:tc>
      </w:tr>
      <w:tr w14:paraId="1D66F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14:paraId="4CD4482A">
            <w:pPr>
              <w:rPr>
                <w:rFonts w:ascii="Arial"/>
                <w:color w:val="auto"/>
                <w:sz w:val="21"/>
                <w:highlight w:val="none"/>
              </w:rPr>
            </w:pPr>
          </w:p>
        </w:tc>
        <w:tc>
          <w:tcPr>
            <w:tcW w:w="1130" w:type="dxa"/>
            <w:vAlign w:val="top"/>
          </w:tcPr>
          <w:p w14:paraId="2219A292">
            <w:pPr>
              <w:rPr>
                <w:rFonts w:ascii="Arial"/>
                <w:color w:val="auto"/>
                <w:sz w:val="21"/>
                <w:highlight w:val="none"/>
              </w:rPr>
            </w:pPr>
          </w:p>
        </w:tc>
        <w:tc>
          <w:tcPr>
            <w:tcW w:w="852" w:type="dxa"/>
            <w:vAlign w:val="top"/>
          </w:tcPr>
          <w:p w14:paraId="31BF76FB">
            <w:pPr>
              <w:rPr>
                <w:rFonts w:ascii="Arial"/>
                <w:color w:val="auto"/>
                <w:sz w:val="21"/>
                <w:highlight w:val="none"/>
              </w:rPr>
            </w:pPr>
          </w:p>
        </w:tc>
        <w:tc>
          <w:tcPr>
            <w:tcW w:w="704" w:type="dxa"/>
            <w:vAlign w:val="top"/>
          </w:tcPr>
          <w:p w14:paraId="2E28BDF4">
            <w:pPr>
              <w:rPr>
                <w:rFonts w:ascii="Arial"/>
                <w:color w:val="auto"/>
                <w:sz w:val="21"/>
                <w:highlight w:val="none"/>
              </w:rPr>
            </w:pPr>
          </w:p>
        </w:tc>
        <w:tc>
          <w:tcPr>
            <w:tcW w:w="709" w:type="dxa"/>
            <w:vAlign w:val="top"/>
          </w:tcPr>
          <w:p w14:paraId="27501480">
            <w:pPr>
              <w:rPr>
                <w:rFonts w:ascii="Arial"/>
                <w:color w:val="auto"/>
                <w:sz w:val="21"/>
                <w:highlight w:val="none"/>
              </w:rPr>
            </w:pPr>
          </w:p>
        </w:tc>
        <w:tc>
          <w:tcPr>
            <w:tcW w:w="847" w:type="dxa"/>
            <w:vAlign w:val="top"/>
          </w:tcPr>
          <w:p w14:paraId="78429D5D">
            <w:pPr>
              <w:rPr>
                <w:rFonts w:ascii="Arial"/>
                <w:color w:val="auto"/>
                <w:sz w:val="21"/>
                <w:highlight w:val="none"/>
              </w:rPr>
            </w:pPr>
          </w:p>
        </w:tc>
        <w:tc>
          <w:tcPr>
            <w:tcW w:w="847" w:type="dxa"/>
            <w:vAlign w:val="top"/>
          </w:tcPr>
          <w:p w14:paraId="491AF3C5">
            <w:pPr>
              <w:rPr>
                <w:rFonts w:ascii="Arial"/>
                <w:color w:val="auto"/>
                <w:sz w:val="21"/>
                <w:highlight w:val="none"/>
              </w:rPr>
            </w:pPr>
          </w:p>
        </w:tc>
        <w:tc>
          <w:tcPr>
            <w:tcW w:w="800" w:type="dxa"/>
            <w:vAlign w:val="top"/>
          </w:tcPr>
          <w:p w14:paraId="107BEB54">
            <w:pPr>
              <w:rPr>
                <w:rFonts w:ascii="Arial"/>
                <w:color w:val="auto"/>
                <w:sz w:val="21"/>
                <w:highlight w:val="none"/>
              </w:rPr>
            </w:pPr>
          </w:p>
        </w:tc>
        <w:tc>
          <w:tcPr>
            <w:tcW w:w="1465" w:type="dxa"/>
            <w:vAlign w:val="top"/>
          </w:tcPr>
          <w:p w14:paraId="7775A59E">
            <w:pPr>
              <w:rPr>
                <w:rFonts w:ascii="Arial"/>
                <w:color w:val="auto"/>
                <w:sz w:val="21"/>
                <w:highlight w:val="none"/>
              </w:rPr>
            </w:pPr>
          </w:p>
        </w:tc>
        <w:tc>
          <w:tcPr>
            <w:tcW w:w="816" w:type="dxa"/>
            <w:tcBorders>
              <w:right w:val="single" w:color="000000" w:sz="10" w:space="0"/>
            </w:tcBorders>
            <w:vAlign w:val="top"/>
          </w:tcPr>
          <w:p w14:paraId="0C1614B7">
            <w:pPr>
              <w:rPr>
                <w:rFonts w:ascii="Arial"/>
                <w:color w:val="auto"/>
                <w:sz w:val="21"/>
                <w:highlight w:val="none"/>
              </w:rPr>
            </w:pPr>
          </w:p>
        </w:tc>
      </w:tr>
      <w:tr w14:paraId="2D46DA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6A38A44D">
            <w:pPr>
              <w:rPr>
                <w:rFonts w:ascii="Arial"/>
                <w:color w:val="auto"/>
                <w:sz w:val="21"/>
                <w:highlight w:val="none"/>
              </w:rPr>
            </w:pPr>
          </w:p>
        </w:tc>
        <w:tc>
          <w:tcPr>
            <w:tcW w:w="1130" w:type="dxa"/>
            <w:vAlign w:val="top"/>
          </w:tcPr>
          <w:p w14:paraId="42E9B1F9">
            <w:pPr>
              <w:rPr>
                <w:rFonts w:ascii="Arial"/>
                <w:color w:val="auto"/>
                <w:sz w:val="21"/>
                <w:highlight w:val="none"/>
              </w:rPr>
            </w:pPr>
          </w:p>
        </w:tc>
        <w:tc>
          <w:tcPr>
            <w:tcW w:w="852" w:type="dxa"/>
            <w:vAlign w:val="top"/>
          </w:tcPr>
          <w:p w14:paraId="3174C04D">
            <w:pPr>
              <w:rPr>
                <w:rFonts w:ascii="Arial"/>
                <w:color w:val="auto"/>
                <w:sz w:val="21"/>
                <w:highlight w:val="none"/>
              </w:rPr>
            </w:pPr>
          </w:p>
        </w:tc>
        <w:tc>
          <w:tcPr>
            <w:tcW w:w="704" w:type="dxa"/>
            <w:vAlign w:val="top"/>
          </w:tcPr>
          <w:p w14:paraId="1919303A">
            <w:pPr>
              <w:rPr>
                <w:rFonts w:ascii="Arial"/>
                <w:color w:val="auto"/>
                <w:sz w:val="21"/>
                <w:highlight w:val="none"/>
              </w:rPr>
            </w:pPr>
          </w:p>
        </w:tc>
        <w:tc>
          <w:tcPr>
            <w:tcW w:w="709" w:type="dxa"/>
            <w:vAlign w:val="top"/>
          </w:tcPr>
          <w:p w14:paraId="65B5E9E0">
            <w:pPr>
              <w:rPr>
                <w:rFonts w:ascii="Arial"/>
                <w:color w:val="auto"/>
                <w:sz w:val="21"/>
                <w:highlight w:val="none"/>
              </w:rPr>
            </w:pPr>
          </w:p>
        </w:tc>
        <w:tc>
          <w:tcPr>
            <w:tcW w:w="847" w:type="dxa"/>
            <w:vAlign w:val="top"/>
          </w:tcPr>
          <w:p w14:paraId="31781948">
            <w:pPr>
              <w:rPr>
                <w:rFonts w:ascii="Arial"/>
                <w:color w:val="auto"/>
                <w:sz w:val="21"/>
                <w:highlight w:val="none"/>
              </w:rPr>
            </w:pPr>
          </w:p>
        </w:tc>
        <w:tc>
          <w:tcPr>
            <w:tcW w:w="847" w:type="dxa"/>
            <w:vAlign w:val="top"/>
          </w:tcPr>
          <w:p w14:paraId="1AD4FCD8">
            <w:pPr>
              <w:rPr>
                <w:rFonts w:ascii="Arial"/>
                <w:color w:val="auto"/>
                <w:sz w:val="21"/>
                <w:highlight w:val="none"/>
              </w:rPr>
            </w:pPr>
          </w:p>
        </w:tc>
        <w:tc>
          <w:tcPr>
            <w:tcW w:w="800" w:type="dxa"/>
            <w:vAlign w:val="top"/>
          </w:tcPr>
          <w:p w14:paraId="22BC6392">
            <w:pPr>
              <w:rPr>
                <w:rFonts w:ascii="Arial"/>
                <w:color w:val="auto"/>
                <w:sz w:val="21"/>
                <w:highlight w:val="none"/>
              </w:rPr>
            </w:pPr>
          </w:p>
        </w:tc>
        <w:tc>
          <w:tcPr>
            <w:tcW w:w="1465" w:type="dxa"/>
            <w:vAlign w:val="top"/>
          </w:tcPr>
          <w:p w14:paraId="0CA684FD">
            <w:pPr>
              <w:rPr>
                <w:rFonts w:ascii="Arial"/>
                <w:color w:val="auto"/>
                <w:sz w:val="21"/>
                <w:highlight w:val="none"/>
              </w:rPr>
            </w:pPr>
          </w:p>
        </w:tc>
        <w:tc>
          <w:tcPr>
            <w:tcW w:w="816" w:type="dxa"/>
            <w:tcBorders>
              <w:right w:val="single" w:color="000000" w:sz="10" w:space="0"/>
            </w:tcBorders>
            <w:vAlign w:val="top"/>
          </w:tcPr>
          <w:p w14:paraId="70FE6440">
            <w:pPr>
              <w:rPr>
                <w:rFonts w:ascii="Arial"/>
                <w:color w:val="auto"/>
                <w:sz w:val="21"/>
                <w:highlight w:val="none"/>
              </w:rPr>
            </w:pPr>
          </w:p>
        </w:tc>
      </w:tr>
      <w:tr w14:paraId="1AAEC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02138447">
            <w:pPr>
              <w:rPr>
                <w:rFonts w:ascii="Arial"/>
                <w:color w:val="auto"/>
                <w:sz w:val="21"/>
                <w:highlight w:val="none"/>
              </w:rPr>
            </w:pPr>
          </w:p>
        </w:tc>
        <w:tc>
          <w:tcPr>
            <w:tcW w:w="1130" w:type="dxa"/>
            <w:vAlign w:val="top"/>
          </w:tcPr>
          <w:p w14:paraId="50ACEE82">
            <w:pPr>
              <w:rPr>
                <w:rFonts w:ascii="Arial"/>
                <w:color w:val="auto"/>
                <w:sz w:val="21"/>
                <w:highlight w:val="none"/>
              </w:rPr>
            </w:pPr>
          </w:p>
        </w:tc>
        <w:tc>
          <w:tcPr>
            <w:tcW w:w="852" w:type="dxa"/>
            <w:vAlign w:val="top"/>
          </w:tcPr>
          <w:p w14:paraId="1A489B65">
            <w:pPr>
              <w:rPr>
                <w:rFonts w:ascii="Arial"/>
                <w:color w:val="auto"/>
                <w:sz w:val="21"/>
                <w:highlight w:val="none"/>
              </w:rPr>
            </w:pPr>
          </w:p>
        </w:tc>
        <w:tc>
          <w:tcPr>
            <w:tcW w:w="704" w:type="dxa"/>
            <w:vAlign w:val="top"/>
          </w:tcPr>
          <w:p w14:paraId="1085D087">
            <w:pPr>
              <w:rPr>
                <w:rFonts w:ascii="Arial"/>
                <w:color w:val="auto"/>
                <w:sz w:val="21"/>
                <w:highlight w:val="none"/>
              </w:rPr>
            </w:pPr>
          </w:p>
        </w:tc>
        <w:tc>
          <w:tcPr>
            <w:tcW w:w="709" w:type="dxa"/>
            <w:vAlign w:val="top"/>
          </w:tcPr>
          <w:p w14:paraId="1CD696F9">
            <w:pPr>
              <w:rPr>
                <w:rFonts w:ascii="Arial"/>
                <w:color w:val="auto"/>
                <w:sz w:val="21"/>
                <w:highlight w:val="none"/>
              </w:rPr>
            </w:pPr>
          </w:p>
        </w:tc>
        <w:tc>
          <w:tcPr>
            <w:tcW w:w="847" w:type="dxa"/>
            <w:vAlign w:val="top"/>
          </w:tcPr>
          <w:p w14:paraId="3DA45415">
            <w:pPr>
              <w:rPr>
                <w:rFonts w:ascii="Arial"/>
                <w:color w:val="auto"/>
                <w:sz w:val="21"/>
                <w:highlight w:val="none"/>
              </w:rPr>
            </w:pPr>
          </w:p>
        </w:tc>
        <w:tc>
          <w:tcPr>
            <w:tcW w:w="847" w:type="dxa"/>
            <w:vAlign w:val="top"/>
          </w:tcPr>
          <w:p w14:paraId="7606597C">
            <w:pPr>
              <w:rPr>
                <w:rFonts w:ascii="Arial"/>
                <w:color w:val="auto"/>
                <w:sz w:val="21"/>
                <w:highlight w:val="none"/>
              </w:rPr>
            </w:pPr>
          </w:p>
        </w:tc>
        <w:tc>
          <w:tcPr>
            <w:tcW w:w="800" w:type="dxa"/>
            <w:vAlign w:val="top"/>
          </w:tcPr>
          <w:p w14:paraId="4FB070A3">
            <w:pPr>
              <w:rPr>
                <w:rFonts w:ascii="Arial"/>
                <w:color w:val="auto"/>
                <w:sz w:val="21"/>
                <w:highlight w:val="none"/>
              </w:rPr>
            </w:pPr>
          </w:p>
        </w:tc>
        <w:tc>
          <w:tcPr>
            <w:tcW w:w="1465" w:type="dxa"/>
            <w:vAlign w:val="top"/>
          </w:tcPr>
          <w:p w14:paraId="1913C9F1">
            <w:pPr>
              <w:rPr>
                <w:rFonts w:ascii="Arial"/>
                <w:color w:val="auto"/>
                <w:sz w:val="21"/>
                <w:highlight w:val="none"/>
              </w:rPr>
            </w:pPr>
          </w:p>
        </w:tc>
        <w:tc>
          <w:tcPr>
            <w:tcW w:w="816" w:type="dxa"/>
            <w:tcBorders>
              <w:right w:val="single" w:color="000000" w:sz="10" w:space="0"/>
            </w:tcBorders>
            <w:vAlign w:val="top"/>
          </w:tcPr>
          <w:p w14:paraId="3063BF74">
            <w:pPr>
              <w:rPr>
                <w:rFonts w:ascii="Arial"/>
                <w:color w:val="auto"/>
                <w:sz w:val="21"/>
                <w:highlight w:val="none"/>
              </w:rPr>
            </w:pPr>
          </w:p>
        </w:tc>
      </w:tr>
      <w:tr w14:paraId="0F34A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577" w:type="dxa"/>
            <w:tcBorders>
              <w:left w:val="single" w:color="000000" w:sz="10" w:space="0"/>
            </w:tcBorders>
            <w:vAlign w:val="top"/>
          </w:tcPr>
          <w:p w14:paraId="78D929B8">
            <w:pPr>
              <w:rPr>
                <w:rFonts w:ascii="Arial"/>
                <w:color w:val="auto"/>
                <w:sz w:val="21"/>
                <w:highlight w:val="none"/>
              </w:rPr>
            </w:pPr>
          </w:p>
        </w:tc>
        <w:tc>
          <w:tcPr>
            <w:tcW w:w="1130" w:type="dxa"/>
            <w:vAlign w:val="top"/>
          </w:tcPr>
          <w:p w14:paraId="1CAA1583">
            <w:pPr>
              <w:rPr>
                <w:rFonts w:ascii="Arial"/>
                <w:color w:val="auto"/>
                <w:sz w:val="21"/>
                <w:highlight w:val="none"/>
              </w:rPr>
            </w:pPr>
          </w:p>
        </w:tc>
        <w:tc>
          <w:tcPr>
            <w:tcW w:w="852" w:type="dxa"/>
            <w:vAlign w:val="top"/>
          </w:tcPr>
          <w:p w14:paraId="1A15F8A9">
            <w:pPr>
              <w:rPr>
                <w:rFonts w:ascii="Arial"/>
                <w:color w:val="auto"/>
                <w:sz w:val="21"/>
                <w:highlight w:val="none"/>
              </w:rPr>
            </w:pPr>
          </w:p>
        </w:tc>
        <w:tc>
          <w:tcPr>
            <w:tcW w:w="704" w:type="dxa"/>
            <w:vAlign w:val="top"/>
          </w:tcPr>
          <w:p w14:paraId="2CA9B997">
            <w:pPr>
              <w:rPr>
                <w:rFonts w:ascii="Arial"/>
                <w:color w:val="auto"/>
                <w:sz w:val="21"/>
                <w:highlight w:val="none"/>
              </w:rPr>
            </w:pPr>
          </w:p>
        </w:tc>
        <w:tc>
          <w:tcPr>
            <w:tcW w:w="709" w:type="dxa"/>
            <w:vAlign w:val="top"/>
          </w:tcPr>
          <w:p w14:paraId="33E05602">
            <w:pPr>
              <w:rPr>
                <w:rFonts w:ascii="Arial"/>
                <w:color w:val="auto"/>
                <w:sz w:val="21"/>
                <w:highlight w:val="none"/>
              </w:rPr>
            </w:pPr>
          </w:p>
        </w:tc>
        <w:tc>
          <w:tcPr>
            <w:tcW w:w="847" w:type="dxa"/>
            <w:vAlign w:val="top"/>
          </w:tcPr>
          <w:p w14:paraId="74A0A7F9">
            <w:pPr>
              <w:rPr>
                <w:rFonts w:ascii="Arial"/>
                <w:color w:val="auto"/>
                <w:sz w:val="21"/>
                <w:highlight w:val="none"/>
              </w:rPr>
            </w:pPr>
          </w:p>
        </w:tc>
        <w:tc>
          <w:tcPr>
            <w:tcW w:w="847" w:type="dxa"/>
            <w:vAlign w:val="top"/>
          </w:tcPr>
          <w:p w14:paraId="28F94E4D">
            <w:pPr>
              <w:rPr>
                <w:rFonts w:ascii="Arial"/>
                <w:color w:val="auto"/>
                <w:sz w:val="21"/>
                <w:highlight w:val="none"/>
              </w:rPr>
            </w:pPr>
          </w:p>
        </w:tc>
        <w:tc>
          <w:tcPr>
            <w:tcW w:w="800" w:type="dxa"/>
            <w:vAlign w:val="top"/>
          </w:tcPr>
          <w:p w14:paraId="0C56BB36">
            <w:pPr>
              <w:rPr>
                <w:rFonts w:ascii="Arial"/>
                <w:color w:val="auto"/>
                <w:sz w:val="21"/>
                <w:highlight w:val="none"/>
              </w:rPr>
            </w:pPr>
          </w:p>
        </w:tc>
        <w:tc>
          <w:tcPr>
            <w:tcW w:w="1465" w:type="dxa"/>
            <w:vAlign w:val="top"/>
          </w:tcPr>
          <w:p w14:paraId="51507C36">
            <w:pPr>
              <w:rPr>
                <w:rFonts w:ascii="Arial"/>
                <w:color w:val="auto"/>
                <w:sz w:val="21"/>
                <w:highlight w:val="none"/>
              </w:rPr>
            </w:pPr>
          </w:p>
        </w:tc>
        <w:tc>
          <w:tcPr>
            <w:tcW w:w="816" w:type="dxa"/>
            <w:tcBorders>
              <w:right w:val="single" w:color="000000" w:sz="10" w:space="0"/>
            </w:tcBorders>
            <w:vAlign w:val="top"/>
          </w:tcPr>
          <w:p w14:paraId="6670E106">
            <w:pPr>
              <w:rPr>
                <w:rFonts w:ascii="Arial"/>
                <w:color w:val="auto"/>
                <w:sz w:val="21"/>
                <w:highlight w:val="none"/>
              </w:rPr>
            </w:pPr>
          </w:p>
        </w:tc>
      </w:tr>
      <w:tr w14:paraId="07B40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319D92EA">
            <w:pPr>
              <w:rPr>
                <w:rFonts w:ascii="Arial"/>
                <w:color w:val="auto"/>
                <w:sz w:val="21"/>
                <w:highlight w:val="none"/>
              </w:rPr>
            </w:pPr>
          </w:p>
        </w:tc>
        <w:tc>
          <w:tcPr>
            <w:tcW w:w="1130" w:type="dxa"/>
            <w:vAlign w:val="top"/>
          </w:tcPr>
          <w:p w14:paraId="650722D8">
            <w:pPr>
              <w:rPr>
                <w:rFonts w:ascii="Arial"/>
                <w:color w:val="auto"/>
                <w:sz w:val="21"/>
                <w:highlight w:val="none"/>
              </w:rPr>
            </w:pPr>
          </w:p>
        </w:tc>
        <w:tc>
          <w:tcPr>
            <w:tcW w:w="852" w:type="dxa"/>
            <w:vAlign w:val="top"/>
          </w:tcPr>
          <w:p w14:paraId="04DF4448">
            <w:pPr>
              <w:rPr>
                <w:rFonts w:ascii="Arial"/>
                <w:color w:val="auto"/>
                <w:sz w:val="21"/>
                <w:highlight w:val="none"/>
              </w:rPr>
            </w:pPr>
          </w:p>
        </w:tc>
        <w:tc>
          <w:tcPr>
            <w:tcW w:w="704" w:type="dxa"/>
            <w:vAlign w:val="top"/>
          </w:tcPr>
          <w:p w14:paraId="11745450">
            <w:pPr>
              <w:rPr>
                <w:rFonts w:ascii="Arial"/>
                <w:color w:val="auto"/>
                <w:sz w:val="21"/>
                <w:highlight w:val="none"/>
              </w:rPr>
            </w:pPr>
          </w:p>
        </w:tc>
        <w:tc>
          <w:tcPr>
            <w:tcW w:w="709" w:type="dxa"/>
            <w:vAlign w:val="top"/>
          </w:tcPr>
          <w:p w14:paraId="734327E2">
            <w:pPr>
              <w:rPr>
                <w:rFonts w:ascii="Arial"/>
                <w:color w:val="auto"/>
                <w:sz w:val="21"/>
                <w:highlight w:val="none"/>
              </w:rPr>
            </w:pPr>
          </w:p>
        </w:tc>
        <w:tc>
          <w:tcPr>
            <w:tcW w:w="847" w:type="dxa"/>
            <w:vAlign w:val="top"/>
          </w:tcPr>
          <w:p w14:paraId="54BC2D6F">
            <w:pPr>
              <w:rPr>
                <w:rFonts w:ascii="Arial"/>
                <w:color w:val="auto"/>
                <w:sz w:val="21"/>
                <w:highlight w:val="none"/>
              </w:rPr>
            </w:pPr>
          </w:p>
        </w:tc>
        <w:tc>
          <w:tcPr>
            <w:tcW w:w="847" w:type="dxa"/>
            <w:vAlign w:val="top"/>
          </w:tcPr>
          <w:p w14:paraId="1BF3A1EA">
            <w:pPr>
              <w:rPr>
                <w:rFonts w:ascii="Arial"/>
                <w:color w:val="auto"/>
                <w:sz w:val="21"/>
                <w:highlight w:val="none"/>
              </w:rPr>
            </w:pPr>
          </w:p>
        </w:tc>
        <w:tc>
          <w:tcPr>
            <w:tcW w:w="800" w:type="dxa"/>
            <w:vAlign w:val="top"/>
          </w:tcPr>
          <w:p w14:paraId="7496731E">
            <w:pPr>
              <w:rPr>
                <w:rFonts w:ascii="Arial"/>
                <w:color w:val="auto"/>
                <w:sz w:val="21"/>
                <w:highlight w:val="none"/>
              </w:rPr>
            </w:pPr>
          </w:p>
        </w:tc>
        <w:tc>
          <w:tcPr>
            <w:tcW w:w="1465" w:type="dxa"/>
            <w:vAlign w:val="top"/>
          </w:tcPr>
          <w:p w14:paraId="14CA5CE3">
            <w:pPr>
              <w:rPr>
                <w:rFonts w:ascii="Arial"/>
                <w:color w:val="auto"/>
                <w:sz w:val="21"/>
                <w:highlight w:val="none"/>
              </w:rPr>
            </w:pPr>
          </w:p>
        </w:tc>
        <w:tc>
          <w:tcPr>
            <w:tcW w:w="816" w:type="dxa"/>
            <w:tcBorders>
              <w:right w:val="single" w:color="000000" w:sz="10" w:space="0"/>
            </w:tcBorders>
            <w:vAlign w:val="top"/>
          </w:tcPr>
          <w:p w14:paraId="3DFBC11B">
            <w:pPr>
              <w:rPr>
                <w:rFonts w:ascii="Arial"/>
                <w:color w:val="auto"/>
                <w:sz w:val="21"/>
                <w:highlight w:val="none"/>
              </w:rPr>
            </w:pPr>
          </w:p>
        </w:tc>
      </w:tr>
      <w:tr w14:paraId="0557C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34222746">
            <w:pPr>
              <w:rPr>
                <w:rFonts w:ascii="Arial"/>
                <w:color w:val="auto"/>
                <w:sz w:val="21"/>
                <w:highlight w:val="none"/>
              </w:rPr>
            </w:pPr>
          </w:p>
        </w:tc>
        <w:tc>
          <w:tcPr>
            <w:tcW w:w="1130" w:type="dxa"/>
            <w:vAlign w:val="top"/>
          </w:tcPr>
          <w:p w14:paraId="20474523">
            <w:pPr>
              <w:rPr>
                <w:rFonts w:ascii="Arial"/>
                <w:color w:val="auto"/>
                <w:sz w:val="21"/>
                <w:highlight w:val="none"/>
              </w:rPr>
            </w:pPr>
          </w:p>
        </w:tc>
        <w:tc>
          <w:tcPr>
            <w:tcW w:w="852" w:type="dxa"/>
            <w:vAlign w:val="top"/>
          </w:tcPr>
          <w:p w14:paraId="076A8AD9">
            <w:pPr>
              <w:rPr>
                <w:rFonts w:ascii="Arial"/>
                <w:color w:val="auto"/>
                <w:sz w:val="21"/>
                <w:highlight w:val="none"/>
              </w:rPr>
            </w:pPr>
          </w:p>
        </w:tc>
        <w:tc>
          <w:tcPr>
            <w:tcW w:w="704" w:type="dxa"/>
            <w:vAlign w:val="top"/>
          </w:tcPr>
          <w:p w14:paraId="77A58EC0">
            <w:pPr>
              <w:rPr>
                <w:rFonts w:ascii="Arial"/>
                <w:color w:val="auto"/>
                <w:sz w:val="21"/>
                <w:highlight w:val="none"/>
              </w:rPr>
            </w:pPr>
          </w:p>
        </w:tc>
        <w:tc>
          <w:tcPr>
            <w:tcW w:w="709" w:type="dxa"/>
            <w:vAlign w:val="top"/>
          </w:tcPr>
          <w:p w14:paraId="6CB1A69E">
            <w:pPr>
              <w:rPr>
                <w:rFonts w:ascii="Arial"/>
                <w:color w:val="auto"/>
                <w:sz w:val="21"/>
                <w:highlight w:val="none"/>
              </w:rPr>
            </w:pPr>
          </w:p>
        </w:tc>
        <w:tc>
          <w:tcPr>
            <w:tcW w:w="847" w:type="dxa"/>
            <w:vAlign w:val="top"/>
          </w:tcPr>
          <w:p w14:paraId="2B8CFC13">
            <w:pPr>
              <w:rPr>
                <w:rFonts w:ascii="Arial"/>
                <w:color w:val="auto"/>
                <w:sz w:val="21"/>
                <w:highlight w:val="none"/>
              </w:rPr>
            </w:pPr>
          </w:p>
        </w:tc>
        <w:tc>
          <w:tcPr>
            <w:tcW w:w="847" w:type="dxa"/>
            <w:vAlign w:val="top"/>
          </w:tcPr>
          <w:p w14:paraId="329BE5F3">
            <w:pPr>
              <w:rPr>
                <w:rFonts w:ascii="Arial"/>
                <w:color w:val="auto"/>
                <w:sz w:val="21"/>
                <w:highlight w:val="none"/>
              </w:rPr>
            </w:pPr>
          </w:p>
        </w:tc>
        <w:tc>
          <w:tcPr>
            <w:tcW w:w="800" w:type="dxa"/>
            <w:vAlign w:val="top"/>
          </w:tcPr>
          <w:p w14:paraId="50BC5F83">
            <w:pPr>
              <w:rPr>
                <w:rFonts w:ascii="Arial"/>
                <w:color w:val="auto"/>
                <w:sz w:val="21"/>
                <w:highlight w:val="none"/>
              </w:rPr>
            </w:pPr>
          </w:p>
        </w:tc>
        <w:tc>
          <w:tcPr>
            <w:tcW w:w="1465" w:type="dxa"/>
            <w:vAlign w:val="top"/>
          </w:tcPr>
          <w:p w14:paraId="5B7F14C8">
            <w:pPr>
              <w:rPr>
                <w:rFonts w:ascii="Arial"/>
                <w:color w:val="auto"/>
                <w:sz w:val="21"/>
                <w:highlight w:val="none"/>
              </w:rPr>
            </w:pPr>
          </w:p>
        </w:tc>
        <w:tc>
          <w:tcPr>
            <w:tcW w:w="816" w:type="dxa"/>
            <w:tcBorders>
              <w:right w:val="single" w:color="000000" w:sz="10" w:space="0"/>
            </w:tcBorders>
            <w:vAlign w:val="top"/>
          </w:tcPr>
          <w:p w14:paraId="1B5D1DDC">
            <w:pPr>
              <w:rPr>
                <w:rFonts w:ascii="Arial"/>
                <w:color w:val="auto"/>
                <w:sz w:val="21"/>
                <w:highlight w:val="none"/>
              </w:rPr>
            </w:pPr>
          </w:p>
        </w:tc>
      </w:tr>
      <w:tr w14:paraId="04406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1A8B4C75">
            <w:pPr>
              <w:rPr>
                <w:rFonts w:ascii="Arial"/>
                <w:color w:val="auto"/>
                <w:sz w:val="21"/>
                <w:highlight w:val="none"/>
              </w:rPr>
            </w:pPr>
          </w:p>
        </w:tc>
        <w:tc>
          <w:tcPr>
            <w:tcW w:w="1130" w:type="dxa"/>
            <w:vAlign w:val="top"/>
          </w:tcPr>
          <w:p w14:paraId="0396E2FF">
            <w:pPr>
              <w:rPr>
                <w:rFonts w:ascii="Arial"/>
                <w:color w:val="auto"/>
                <w:sz w:val="21"/>
                <w:highlight w:val="none"/>
              </w:rPr>
            </w:pPr>
          </w:p>
        </w:tc>
        <w:tc>
          <w:tcPr>
            <w:tcW w:w="852" w:type="dxa"/>
            <w:vAlign w:val="top"/>
          </w:tcPr>
          <w:p w14:paraId="02CEC3CF">
            <w:pPr>
              <w:rPr>
                <w:rFonts w:ascii="Arial"/>
                <w:color w:val="auto"/>
                <w:sz w:val="21"/>
                <w:highlight w:val="none"/>
              </w:rPr>
            </w:pPr>
          </w:p>
        </w:tc>
        <w:tc>
          <w:tcPr>
            <w:tcW w:w="704" w:type="dxa"/>
            <w:vAlign w:val="top"/>
          </w:tcPr>
          <w:p w14:paraId="4B42CDA6">
            <w:pPr>
              <w:rPr>
                <w:rFonts w:ascii="Arial"/>
                <w:color w:val="auto"/>
                <w:sz w:val="21"/>
                <w:highlight w:val="none"/>
              </w:rPr>
            </w:pPr>
          </w:p>
        </w:tc>
        <w:tc>
          <w:tcPr>
            <w:tcW w:w="709" w:type="dxa"/>
            <w:vAlign w:val="top"/>
          </w:tcPr>
          <w:p w14:paraId="42591A4D">
            <w:pPr>
              <w:rPr>
                <w:rFonts w:ascii="Arial"/>
                <w:color w:val="auto"/>
                <w:sz w:val="21"/>
                <w:highlight w:val="none"/>
              </w:rPr>
            </w:pPr>
          </w:p>
        </w:tc>
        <w:tc>
          <w:tcPr>
            <w:tcW w:w="847" w:type="dxa"/>
            <w:vAlign w:val="top"/>
          </w:tcPr>
          <w:p w14:paraId="02CFAB6D">
            <w:pPr>
              <w:rPr>
                <w:rFonts w:ascii="Arial"/>
                <w:color w:val="auto"/>
                <w:sz w:val="21"/>
                <w:highlight w:val="none"/>
              </w:rPr>
            </w:pPr>
          </w:p>
        </w:tc>
        <w:tc>
          <w:tcPr>
            <w:tcW w:w="847" w:type="dxa"/>
            <w:vAlign w:val="top"/>
          </w:tcPr>
          <w:p w14:paraId="4EC5DB9B">
            <w:pPr>
              <w:rPr>
                <w:rFonts w:ascii="Arial"/>
                <w:color w:val="auto"/>
                <w:sz w:val="21"/>
                <w:highlight w:val="none"/>
              </w:rPr>
            </w:pPr>
          </w:p>
        </w:tc>
        <w:tc>
          <w:tcPr>
            <w:tcW w:w="800" w:type="dxa"/>
            <w:vAlign w:val="top"/>
          </w:tcPr>
          <w:p w14:paraId="0DF590A9">
            <w:pPr>
              <w:rPr>
                <w:rFonts w:ascii="Arial"/>
                <w:color w:val="auto"/>
                <w:sz w:val="21"/>
                <w:highlight w:val="none"/>
              </w:rPr>
            </w:pPr>
          </w:p>
        </w:tc>
        <w:tc>
          <w:tcPr>
            <w:tcW w:w="1465" w:type="dxa"/>
            <w:vAlign w:val="top"/>
          </w:tcPr>
          <w:p w14:paraId="741AFBA5">
            <w:pPr>
              <w:rPr>
                <w:rFonts w:ascii="Arial"/>
                <w:color w:val="auto"/>
                <w:sz w:val="21"/>
                <w:highlight w:val="none"/>
              </w:rPr>
            </w:pPr>
          </w:p>
        </w:tc>
        <w:tc>
          <w:tcPr>
            <w:tcW w:w="816" w:type="dxa"/>
            <w:tcBorders>
              <w:right w:val="single" w:color="000000" w:sz="10" w:space="0"/>
            </w:tcBorders>
            <w:vAlign w:val="top"/>
          </w:tcPr>
          <w:p w14:paraId="2BC55031">
            <w:pPr>
              <w:rPr>
                <w:rFonts w:ascii="Arial"/>
                <w:color w:val="auto"/>
                <w:sz w:val="21"/>
                <w:highlight w:val="none"/>
              </w:rPr>
            </w:pPr>
          </w:p>
        </w:tc>
      </w:tr>
      <w:tr w14:paraId="7D31D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5" w:hRule="atLeast"/>
        </w:trPr>
        <w:tc>
          <w:tcPr>
            <w:tcW w:w="577" w:type="dxa"/>
            <w:tcBorders>
              <w:left w:val="single" w:color="000000" w:sz="10" w:space="0"/>
            </w:tcBorders>
            <w:vAlign w:val="top"/>
          </w:tcPr>
          <w:p w14:paraId="3EB2A26A">
            <w:pPr>
              <w:rPr>
                <w:rFonts w:ascii="Arial"/>
                <w:color w:val="auto"/>
                <w:sz w:val="21"/>
                <w:highlight w:val="none"/>
              </w:rPr>
            </w:pPr>
          </w:p>
        </w:tc>
        <w:tc>
          <w:tcPr>
            <w:tcW w:w="1130" w:type="dxa"/>
            <w:vAlign w:val="top"/>
          </w:tcPr>
          <w:p w14:paraId="4B1DEA71">
            <w:pPr>
              <w:rPr>
                <w:rFonts w:ascii="Arial"/>
                <w:color w:val="auto"/>
                <w:sz w:val="21"/>
                <w:highlight w:val="none"/>
              </w:rPr>
            </w:pPr>
          </w:p>
        </w:tc>
        <w:tc>
          <w:tcPr>
            <w:tcW w:w="852" w:type="dxa"/>
            <w:vAlign w:val="top"/>
          </w:tcPr>
          <w:p w14:paraId="73FE2410">
            <w:pPr>
              <w:rPr>
                <w:rFonts w:ascii="Arial"/>
                <w:color w:val="auto"/>
                <w:sz w:val="21"/>
                <w:highlight w:val="none"/>
              </w:rPr>
            </w:pPr>
          </w:p>
        </w:tc>
        <w:tc>
          <w:tcPr>
            <w:tcW w:w="704" w:type="dxa"/>
            <w:vAlign w:val="top"/>
          </w:tcPr>
          <w:p w14:paraId="3F3BCA5E">
            <w:pPr>
              <w:rPr>
                <w:rFonts w:ascii="Arial"/>
                <w:color w:val="auto"/>
                <w:sz w:val="21"/>
                <w:highlight w:val="none"/>
              </w:rPr>
            </w:pPr>
          </w:p>
        </w:tc>
        <w:tc>
          <w:tcPr>
            <w:tcW w:w="709" w:type="dxa"/>
            <w:vAlign w:val="top"/>
          </w:tcPr>
          <w:p w14:paraId="012A5B0B">
            <w:pPr>
              <w:rPr>
                <w:rFonts w:ascii="Arial"/>
                <w:color w:val="auto"/>
                <w:sz w:val="21"/>
                <w:highlight w:val="none"/>
              </w:rPr>
            </w:pPr>
          </w:p>
        </w:tc>
        <w:tc>
          <w:tcPr>
            <w:tcW w:w="847" w:type="dxa"/>
            <w:vAlign w:val="top"/>
          </w:tcPr>
          <w:p w14:paraId="692A3961">
            <w:pPr>
              <w:rPr>
                <w:rFonts w:ascii="Arial"/>
                <w:color w:val="auto"/>
                <w:sz w:val="21"/>
                <w:highlight w:val="none"/>
              </w:rPr>
            </w:pPr>
          </w:p>
        </w:tc>
        <w:tc>
          <w:tcPr>
            <w:tcW w:w="847" w:type="dxa"/>
            <w:vAlign w:val="top"/>
          </w:tcPr>
          <w:p w14:paraId="7EF3850E">
            <w:pPr>
              <w:rPr>
                <w:rFonts w:ascii="Arial"/>
                <w:color w:val="auto"/>
                <w:sz w:val="21"/>
                <w:highlight w:val="none"/>
              </w:rPr>
            </w:pPr>
          </w:p>
        </w:tc>
        <w:tc>
          <w:tcPr>
            <w:tcW w:w="800" w:type="dxa"/>
            <w:vAlign w:val="top"/>
          </w:tcPr>
          <w:p w14:paraId="3DCF4472">
            <w:pPr>
              <w:rPr>
                <w:rFonts w:ascii="Arial"/>
                <w:color w:val="auto"/>
                <w:sz w:val="21"/>
                <w:highlight w:val="none"/>
              </w:rPr>
            </w:pPr>
          </w:p>
        </w:tc>
        <w:tc>
          <w:tcPr>
            <w:tcW w:w="1465" w:type="dxa"/>
            <w:vAlign w:val="top"/>
          </w:tcPr>
          <w:p w14:paraId="592576AD">
            <w:pPr>
              <w:rPr>
                <w:rFonts w:ascii="Arial"/>
                <w:color w:val="auto"/>
                <w:sz w:val="21"/>
                <w:highlight w:val="none"/>
              </w:rPr>
            </w:pPr>
          </w:p>
        </w:tc>
        <w:tc>
          <w:tcPr>
            <w:tcW w:w="816" w:type="dxa"/>
            <w:tcBorders>
              <w:right w:val="single" w:color="000000" w:sz="10" w:space="0"/>
            </w:tcBorders>
            <w:vAlign w:val="top"/>
          </w:tcPr>
          <w:p w14:paraId="717AD76A">
            <w:pPr>
              <w:rPr>
                <w:rFonts w:ascii="Arial"/>
                <w:color w:val="auto"/>
                <w:sz w:val="21"/>
                <w:highlight w:val="none"/>
              </w:rPr>
            </w:pPr>
          </w:p>
        </w:tc>
      </w:tr>
      <w:tr w14:paraId="3AFF1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14:paraId="4A8BBA9B">
            <w:pPr>
              <w:rPr>
                <w:rFonts w:ascii="Arial"/>
                <w:color w:val="auto"/>
                <w:sz w:val="21"/>
                <w:highlight w:val="none"/>
              </w:rPr>
            </w:pPr>
          </w:p>
        </w:tc>
        <w:tc>
          <w:tcPr>
            <w:tcW w:w="1130" w:type="dxa"/>
            <w:vAlign w:val="top"/>
          </w:tcPr>
          <w:p w14:paraId="7A2D0BBA">
            <w:pPr>
              <w:rPr>
                <w:rFonts w:ascii="Arial"/>
                <w:color w:val="auto"/>
                <w:sz w:val="21"/>
                <w:highlight w:val="none"/>
              </w:rPr>
            </w:pPr>
          </w:p>
        </w:tc>
        <w:tc>
          <w:tcPr>
            <w:tcW w:w="852" w:type="dxa"/>
            <w:vAlign w:val="top"/>
          </w:tcPr>
          <w:p w14:paraId="659EE366">
            <w:pPr>
              <w:rPr>
                <w:rFonts w:ascii="Arial"/>
                <w:color w:val="auto"/>
                <w:sz w:val="21"/>
                <w:highlight w:val="none"/>
              </w:rPr>
            </w:pPr>
          </w:p>
        </w:tc>
        <w:tc>
          <w:tcPr>
            <w:tcW w:w="704" w:type="dxa"/>
            <w:vAlign w:val="top"/>
          </w:tcPr>
          <w:p w14:paraId="3CEA508E">
            <w:pPr>
              <w:rPr>
                <w:rFonts w:ascii="Arial"/>
                <w:color w:val="auto"/>
                <w:sz w:val="21"/>
                <w:highlight w:val="none"/>
              </w:rPr>
            </w:pPr>
          </w:p>
        </w:tc>
        <w:tc>
          <w:tcPr>
            <w:tcW w:w="709" w:type="dxa"/>
            <w:vAlign w:val="top"/>
          </w:tcPr>
          <w:p w14:paraId="51EAA08C">
            <w:pPr>
              <w:rPr>
                <w:rFonts w:ascii="Arial"/>
                <w:color w:val="auto"/>
                <w:sz w:val="21"/>
                <w:highlight w:val="none"/>
              </w:rPr>
            </w:pPr>
          </w:p>
        </w:tc>
        <w:tc>
          <w:tcPr>
            <w:tcW w:w="847" w:type="dxa"/>
            <w:vAlign w:val="top"/>
          </w:tcPr>
          <w:p w14:paraId="7729CA84">
            <w:pPr>
              <w:rPr>
                <w:rFonts w:ascii="Arial"/>
                <w:color w:val="auto"/>
                <w:sz w:val="21"/>
                <w:highlight w:val="none"/>
              </w:rPr>
            </w:pPr>
          </w:p>
        </w:tc>
        <w:tc>
          <w:tcPr>
            <w:tcW w:w="847" w:type="dxa"/>
            <w:vAlign w:val="top"/>
          </w:tcPr>
          <w:p w14:paraId="381AD1FA">
            <w:pPr>
              <w:rPr>
                <w:rFonts w:ascii="Arial"/>
                <w:color w:val="auto"/>
                <w:sz w:val="21"/>
                <w:highlight w:val="none"/>
              </w:rPr>
            </w:pPr>
          </w:p>
        </w:tc>
        <w:tc>
          <w:tcPr>
            <w:tcW w:w="800" w:type="dxa"/>
            <w:vAlign w:val="top"/>
          </w:tcPr>
          <w:p w14:paraId="1AF2AA15">
            <w:pPr>
              <w:rPr>
                <w:rFonts w:ascii="Arial"/>
                <w:color w:val="auto"/>
                <w:sz w:val="21"/>
                <w:highlight w:val="none"/>
              </w:rPr>
            </w:pPr>
          </w:p>
        </w:tc>
        <w:tc>
          <w:tcPr>
            <w:tcW w:w="1465" w:type="dxa"/>
            <w:vAlign w:val="top"/>
          </w:tcPr>
          <w:p w14:paraId="604F8B3C">
            <w:pPr>
              <w:rPr>
                <w:rFonts w:ascii="Arial"/>
                <w:color w:val="auto"/>
                <w:sz w:val="21"/>
                <w:highlight w:val="none"/>
              </w:rPr>
            </w:pPr>
          </w:p>
        </w:tc>
        <w:tc>
          <w:tcPr>
            <w:tcW w:w="816" w:type="dxa"/>
            <w:tcBorders>
              <w:right w:val="single" w:color="000000" w:sz="10" w:space="0"/>
            </w:tcBorders>
            <w:vAlign w:val="top"/>
          </w:tcPr>
          <w:p w14:paraId="50D77AD6">
            <w:pPr>
              <w:rPr>
                <w:rFonts w:ascii="Arial"/>
                <w:color w:val="auto"/>
                <w:sz w:val="21"/>
                <w:highlight w:val="none"/>
              </w:rPr>
            </w:pPr>
          </w:p>
        </w:tc>
      </w:tr>
      <w:tr w14:paraId="5E6D2D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63D15070">
            <w:pPr>
              <w:rPr>
                <w:rFonts w:ascii="Arial"/>
                <w:color w:val="auto"/>
                <w:sz w:val="21"/>
                <w:highlight w:val="none"/>
              </w:rPr>
            </w:pPr>
          </w:p>
        </w:tc>
        <w:tc>
          <w:tcPr>
            <w:tcW w:w="1130" w:type="dxa"/>
            <w:vAlign w:val="top"/>
          </w:tcPr>
          <w:p w14:paraId="091DC28B">
            <w:pPr>
              <w:rPr>
                <w:rFonts w:ascii="Arial"/>
                <w:color w:val="auto"/>
                <w:sz w:val="21"/>
                <w:highlight w:val="none"/>
              </w:rPr>
            </w:pPr>
          </w:p>
        </w:tc>
        <w:tc>
          <w:tcPr>
            <w:tcW w:w="852" w:type="dxa"/>
            <w:vAlign w:val="top"/>
          </w:tcPr>
          <w:p w14:paraId="64836072">
            <w:pPr>
              <w:rPr>
                <w:rFonts w:ascii="Arial"/>
                <w:color w:val="auto"/>
                <w:sz w:val="21"/>
                <w:highlight w:val="none"/>
              </w:rPr>
            </w:pPr>
          </w:p>
        </w:tc>
        <w:tc>
          <w:tcPr>
            <w:tcW w:w="704" w:type="dxa"/>
            <w:vAlign w:val="top"/>
          </w:tcPr>
          <w:p w14:paraId="64FF427A">
            <w:pPr>
              <w:rPr>
                <w:rFonts w:ascii="Arial"/>
                <w:color w:val="auto"/>
                <w:sz w:val="21"/>
                <w:highlight w:val="none"/>
              </w:rPr>
            </w:pPr>
          </w:p>
        </w:tc>
        <w:tc>
          <w:tcPr>
            <w:tcW w:w="709" w:type="dxa"/>
            <w:vAlign w:val="top"/>
          </w:tcPr>
          <w:p w14:paraId="18287E65">
            <w:pPr>
              <w:rPr>
                <w:rFonts w:ascii="Arial"/>
                <w:color w:val="auto"/>
                <w:sz w:val="21"/>
                <w:highlight w:val="none"/>
              </w:rPr>
            </w:pPr>
          </w:p>
        </w:tc>
        <w:tc>
          <w:tcPr>
            <w:tcW w:w="847" w:type="dxa"/>
            <w:vAlign w:val="top"/>
          </w:tcPr>
          <w:p w14:paraId="5D451C18">
            <w:pPr>
              <w:rPr>
                <w:rFonts w:ascii="Arial"/>
                <w:color w:val="auto"/>
                <w:sz w:val="21"/>
                <w:highlight w:val="none"/>
              </w:rPr>
            </w:pPr>
          </w:p>
        </w:tc>
        <w:tc>
          <w:tcPr>
            <w:tcW w:w="847" w:type="dxa"/>
            <w:vAlign w:val="top"/>
          </w:tcPr>
          <w:p w14:paraId="039AEF2A">
            <w:pPr>
              <w:rPr>
                <w:rFonts w:ascii="Arial"/>
                <w:color w:val="auto"/>
                <w:sz w:val="21"/>
                <w:highlight w:val="none"/>
              </w:rPr>
            </w:pPr>
          </w:p>
        </w:tc>
        <w:tc>
          <w:tcPr>
            <w:tcW w:w="800" w:type="dxa"/>
            <w:vAlign w:val="top"/>
          </w:tcPr>
          <w:p w14:paraId="3C1EBFE8">
            <w:pPr>
              <w:rPr>
                <w:rFonts w:ascii="Arial"/>
                <w:color w:val="auto"/>
                <w:sz w:val="21"/>
                <w:highlight w:val="none"/>
              </w:rPr>
            </w:pPr>
          </w:p>
        </w:tc>
        <w:tc>
          <w:tcPr>
            <w:tcW w:w="1465" w:type="dxa"/>
            <w:vAlign w:val="top"/>
          </w:tcPr>
          <w:p w14:paraId="3F94F9C1">
            <w:pPr>
              <w:rPr>
                <w:rFonts w:ascii="Arial"/>
                <w:color w:val="auto"/>
                <w:sz w:val="21"/>
                <w:highlight w:val="none"/>
              </w:rPr>
            </w:pPr>
          </w:p>
        </w:tc>
        <w:tc>
          <w:tcPr>
            <w:tcW w:w="816" w:type="dxa"/>
            <w:tcBorders>
              <w:right w:val="single" w:color="000000" w:sz="10" w:space="0"/>
            </w:tcBorders>
            <w:vAlign w:val="top"/>
          </w:tcPr>
          <w:p w14:paraId="641BD9B3">
            <w:pPr>
              <w:rPr>
                <w:rFonts w:ascii="Arial"/>
                <w:color w:val="auto"/>
                <w:sz w:val="21"/>
                <w:highlight w:val="none"/>
              </w:rPr>
            </w:pPr>
          </w:p>
        </w:tc>
      </w:tr>
      <w:tr w14:paraId="06E0EA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0ADF08C6">
            <w:pPr>
              <w:rPr>
                <w:rFonts w:ascii="Arial"/>
                <w:color w:val="auto"/>
                <w:sz w:val="21"/>
                <w:highlight w:val="none"/>
              </w:rPr>
            </w:pPr>
          </w:p>
        </w:tc>
        <w:tc>
          <w:tcPr>
            <w:tcW w:w="1130" w:type="dxa"/>
            <w:vAlign w:val="top"/>
          </w:tcPr>
          <w:p w14:paraId="399E8EB5">
            <w:pPr>
              <w:rPr>
                <w:rFonts w:ascii="Arial"/>
                <w:color w:val="auto"/>
                <w:sz w:val="21"/>
                <w:highlight w:val="none"/>
              </w:rPr>
            </w:pPr>
          </w:p>
        </w:tc>
        <w:tc>
          <w:tcPr>
            <w:tcW w:w="852" w:type="dxa"/>
            <w:vAlign w:val="top"/>
          </w:tcPr>
          <w:p w14:paraId="4164FF65">
            <w:pPr>
              <w:rPr>
                <w:rFonts w:ascii="Arial"/>
                <w:color w:val="auto"/>
                <w:sz w:val="21"/>
                <w:highlight w:val="none"/>
              </w:rPr>
            </w:pPr>
          </w:p>
        </w:tc>
        <w:tc>
          <w:tcPr>
            <w:tcW w:w="704" w:type="dxa"/>
            <w:vAlign w:val="top"/>
          </w:tcPr>
          <w:p w14:paraId="22A0C7D3">
            <w:pPr>
              <w:rPr>
                <w:rFonts w:ascii="Arial"/>
                <w:color w:val="auto"/>
                <w:sz w:val="21"/>
                <w:highlight w:val="none"/>
              </w:rPr>
            </w:pPr>
          </w:p>
        </w:tc>
        <w:tc>
          <w:tcPr>
            <w:tcW w:w="709" w:type="dxa"/>
            <w:vAlign w:val="top"/>
          </w:tcPr>
          <w:p w14:paraId="7BFB4DF9">
            <w:pPr>
              <w:rPr>
                <w:rFonts w:ascii="Arial"/>
                <w:color w:val="auto"/>
                <w:sz w:val="21"/>
                <w:highlight w:val="none"/>
              </w:rPr>
            </w:pPr>
          </w:p>
        </w:tc>
        <w:tc>
          <w:tcPr>
            <w:tcW w:w="847" w:type="dxa"/>
            <w:vAlign w:val="top"/>
          </w:tcPr>
          <w:p w14:paraId="544C5F6D">
            <w:pPr>
              <w:rPr>
                <w:rFonts w:ascii="Arial"/>
                <w:color w:val="auto"/>
                <w:sz w:val="21"/>
                <w:highlight w:val="none"/>
              </w:rPr>
            </w:pPr>
          </w:p>
        </w:tc>
        <w:tc>
          <w:tcPr>
            <w:tcW w:w="847" w:type="dxa"/>
            <w:vAlign w:val="top"/>
          </w:tcPr>
          <w:p w14:paraId="1FABA096">
            <w:pPr>
              <w:rPr>
                <w:rFonts w:ascii="Arial"/>
                <w:color w:val="auto"/>
                <w:sz w:val="21"/>
                <w:highlight w:val="none"/>
              </w:rPr>
            </w:pPr>
          </w:p>
        </w:tc>
        <w:tc>
          <w:tcPr>
            <w:tcW w:w="800" w:type="dxa"/>
            <w:vAlign w:val="top"/>
          </w:tcPr>
          <w:p w14:paraId="276606DD">
            <w:pPr>
              <w:rPr>
                <w:rFonts w:ascii="Arial"/>
                <w:color w:val="auto"/>
                <w:sz w:val="21"/>
                <w:highlight w:val="none"/>
              </w:rPr>
            </w:pPr>
          </w:p>
        </w:tc>
        <w:tc>
          <w:tcPr>
            <w:tcW w:w="1465" w:type="dxa"/>
            <w:vAlign w:val="top"/>
          </w:tcPr>
          <w:p w14:paraId="08A2E598">
            <w:pPr>
              <w:rPr>
                <w:rFonts w:ascii="Arial"/>
                <w:color w:val="auto"/>
                <w:sz w:val="21"/>
                <w:highlight w:val="none"/>
              </w:rPr>
            </w:pPr>
          </w:p>
        </w:tc>
        <w:tc>
          <w:tcPr>
            <w:tcW w:w="816" w:type="dxa"/>
            <w:tcBorders>
              <w:right w:val="single" w:color="000000" w:sz="10" w:space="0"/>
            </w:tcBorders>
            <w:vAlign w:val="top"/>
          </w:tcPr>
          <w:p w14:paraId="4D54FC2C">
            <w:pPr>
              <w:rPr>
                <w:rFonts w:ascii="Arial"/>
                <w:color w:val="auto"/>
                <w:sz w:val="21"/>
                <w:highlight w:val="none"/>
              </w:rPr>
            </w:pPr>
          </w:p>
        </w:tc>
      </w:tr>
      <w:tr w14:paraId="7C199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577" w:type="dxa"/>
            <w:tcBorders>
              <w:left w:val="single" w:color="000000" w:sz="10" w:space="0"/>
              <w:bottom w:val="single" w:color="000000" w:sz="10" w:space="0"/>
            </w:tcBorders>
            <w:vAlign w:val="top"/>
          </w:tcPr>
          <w:p w14:paraId="60B656CD">
            <w:pPr>
              <w:rPr>
                <w:rFonts w:ascii="Arial"/>
                <w:color w:val="auto"/>
                <w:sz w:val="21"/>
                <w:highlight w:val="none"/>
              </w:rPr>
            </w:pPr>
          </w:p>
        </w:tc>
        <w:tc>
          <w:tcPr>
            <w:tcW w:w="1130" w:type="dxa"/>
            <w:tcBorders>
              <w:bottom w:val="single" w:color="000000" w:sz="10" w:space="0"/>
            </w:tcBorders>
            <w:vAlign w:val="top"/>
          </w:tcPr>
          <w:p w14:paraId="692630AA">
            <w:pPr>
              <w:rPr>
                <w:rFonts w:ascii="Arial"/>
                <w:color w:val="auto"/>
                <w:sz w:val="21"/>
                <w:highlight w:val="none"/>
              </w:rPr>
            </w:pPr>
          </w:p>
        </w:tc>
        <w:tc>
          <w:tcPr>
            <w:tcW w:w="852" w:type="dxa"/>
            <w:tcBorders>
              <w:bottom w:val="single" w:color="000000" w:sz="10" w:space="0"/>
            </w:tcBorders>
            <w:vAlign w:val="top"/>
          </w:tcPr>
          <w:p w14:paraId="7050FD49">
            <w:pPr>
              <w:rPr>
                <w:rFonts w:ascii="Arial"/>
                <w:color w:val="auto"/>
                <w:sz w:val="21"/>
                <w:highlight w:val="none"/>
              </w:rPr>
            </w:pPr>
          </w:p>
        </w:tc>
        <w:tc>
          <w:tcPr>
            <w:tcW w:w="704" w:type="dxa"/>
            <w:tcBorders>
              <w:bottom w:val="single" w:color="000000" w:sz="10" w:space="0"/>
            </w:tcBorders>
            <w:vAlign w:val="top"/>
          </w:tcPr>
          <w:p w14:paraId="06582ECA">
            <w:pPr>
              <w:rPr>
                <w:rFonts w:ascii="Arial"/>
                <w:color w:val="auto"/>
                <w:sz w:val="21"/>
                <w:highlight w:val="none"/>
              </w:rPr>
            </w:pPr>
          </w:p>
        </w:tc>
        <w:tc>
          <w:tcPr>
            <w:tcW w:w="709" w:type="dxa"/>
            <w:tcBorders>
              <w:bottom w:val="single" w:color="000000" w:sz="10" w:space="0"/>
            </w:tcBorders>
            <w:vAlign w:val="top"/>
          </w:tcPr>
          <w:p w14:paraId="3895448E">
            <w:pPr>
              <w:rPr>
                <w:rFonts w:ascii="Arial"/>
                <w:color w:val="auto"/>
                <w:sz w:val="21"/>
                <w:highlight w:val="none"/>
              </w:rPr>
            </w:pPr>
          </w:p>
        </w:tc>
        <w:tc>
          <w:tcPr>
            <w:tcW w:w="847" w:type="dxa"/>
            <w:tcBorders>
              <w:bottom w:val="single" w:color="000000" w:sz="10" w:space="0"/>
            </w:tcBorders>
            <w:vAlign w:val="top"/>
          </w:tcPr>
          <w:p w14:paraId="23352272">
            <w:pPr>
              <w:rPr>
                <w:rFonts w:ascii="Arial"/>
                <w:color w:val="auto"/>
                <w:sz w:val="21"/>
                <w:highlight w:val="none"/>
              </w:rPr>
            </w:pPr>
          </w:p>
        </w:tc>
        <w:tc>
          <w:tcPr>
            <w:tcW w:w="847" w:type="dxa"/>
            <w:tcBorders>
              <w:bottom w:val="single" w:color="000000" w:sz="10" w:space="0"/>
            </w:tcBorders>
            <w:vAlign w:val="top"/>
          </w:tcPr>
          <w:p w14:paraId="1A2736E4">
            <w:pPr>
              <w:rPr>
                <w:rFonts w:ascii="Arial"/>
                <w:color w:val="auto"/>
                <w:sz w:val="21"/>
                <w:highlight w:val="none"/>
              </w:rPr>
            </w:pPr>
          </w:p>
        </w:tc>
        <w:tc>
          <w:tcPr>
            <w:tcW w:w="800" w:type="dxa"/>
            <w:tcBorders>
              <w:bottom w:val="single" w:color="000000" w:sz="10" w:space="0"/>
            </w:tcBorders>
            <w:vAlign w:val="top"/>
          </w:tcPr>
          <w:p w14:paraId="5DEC9CC8">
            <w:pPr>
              <w:rPr>
                <w:rFonts w:ascii="Arial"/>
                <w:color w:val="auto"/>
                <w:sz w:val="21"/>
                <w:highlight w:val="none"/>
              </w:rPr>
            </w:pPr>
          </w:p>
        </w:tc>
        <w:tc>
          <w:tcPr>
            <w:tcW w:w="1465" w:type="dxa"/>
            <w:tcBorders>
              <w:bottom w:val="single" w:color="000000" w:sz="10" w:space="0"/>
            </w:tcBorders>
            <w:vAlign w:val="top"/>
          </w:tcPr>
          <w:p w14:paraId="07FFF304">
            <w:pPr>
              <w:rPr>
                <w:rFonts w:ascii="Arial"/>
                <w:color w:val="auto"/>
                <w:sz w:val="21"/>
                <w:highlight w:val="none"/>
              </w:rPr>
            </w:pPr>
          </w:p>
        </w:tc>
        <w:tc>
          <w:tcPr>
            <w:tcW w:w="816" w:type="dxa"/>
            <w:tcBorders>
              <w:bottom w:val="single" w:color="000000" w:sz="10" w:space="0"/>
              <w:right w:val="single" w:color="000000" w:sz="10" w:space="0"/>
            </w:tcBorders>
            <w:vAlign w:val="top"/>
          </w:tcPr>
          <w:p w14:paraId="5AD065E6">
            <w:pPr>
              <w:rPr>
                <w:rFonts w:ascii="Arial"/>
                <w:color w:val="auto"/>
                <w:sz w:val="21"/>
                <w:highlight w:val="none"/>
              </w:rPr>
            </w:pPr>
          </w:p>
        </w:tc>
      </w:tr>
    </w:tbl>
    <w:p w14:paraId="7C2D1AF0">
      <w:pPr>
        <w:pStyle w:val="3"/>
        <w:rPr>
          <w:color w:val="auto"/>
          <w:highlight w:val="none"/>
        </w:rPr>
      </w:pPr>
    </w:p>
    <w:p w14:paraId="11CDD801">
      <w:pPr>
        <w:rPr>
          <w:color w:val="auto"/>
          <w:highlight w:val="none"/>
        </w:rPr>
        <w:sectPr>
          <w:footerReference r:id="rId157" w:type="default"/>
          <w:pgSz w:w="11905" w:h="16839"/>
          <w:pgMar w:top="400" w:right="1560" w:bottom="1004" w:left="1570" w:header="0" w:footer="828" w:gutter="0"/>
          <w:pgNumType w:fmt="decimal"/>
          <w:cols w:space="720" w:num="1"/>
        </w:sectPr>
      </w:pPr>
    </w:p>
    <w:p w14:paraId="0A26275F">
      <w:pPr>
        <w:pStyle w:val="3"/>
        <w:spacing w:line="276" w:lineRule="auto"/>
        <w:rPr>
          <w:color w:val="auto"/>
          <w:highlight w:val="none"/>
        </w:rPr>
      </w:pPr>
    </w:p>
    <w:p w14:paraId="3ABBA09D">
      <w:pPr>
        <w:pStyle w:val="3"/>
        <w:spacing w:line="276" w:lineRule="auto"/>
        <w:rPr>
          <w:color w:val="auto"/>
          <w:highlight w:val="none"/>
        </w:rPr>
      </w:pPr>
    </w:p>
    <w:p w14:paraId="14096487">
      <w:pPr>
        <w:pStyle w:val="3"/>
        <w:spacing w:line="276" w:lineRule="auto"/>
        <w:rPr>
          <w:color w:val="auto"/>
          <w:highlight w:val="none"/>
        </w:rPr>
      </w:pPr>
    </w:p>
    <w:p w14:paraId="5CCFADC9">
      <w:pPr>
        <w:pStyle w:val="3"/>
        <w:spacing w:line="276" w:lineRule="auto"/>
        <w:rPr>
          <w:color w:val="auto"/>
          <w:highlight w:val="none"/>
        </w:rPr>
      </w:pPr>
    </w:p>
    <w:p w14:paraId="26F1BBDF">
      <w:pPr>
        <w:spacing w:before="78" w:line="219" w:lineRule="auto"/>
        <w:ind w:left="38"/>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附件</w:t>
      </w:r>
      <w:r>
        <w:rPr>
          <w:rFonts w:ascii="宋体" w:hAnsi="宋体" w:eastAsia="宋体" w:cs="宋体"/>
          <w:color w:val="auto"/>
          <w:spacing w:val="-51"/>
          <w:sz w:val="24"/>
          <w:szCs w:val="24"/>
          <w:highlight w:val="none"/>
        </w:rPr>
        <w:t xml:space="preserve"> </w:t>
      </w:r>
      <w:r>
        <w:rPr>
          <w:rFonts w:ascii="Times New Roman" w:hAnsi="Times New Roman" w:eastAsia="Times New Roman" w:cs="Times New Roman"/>
          <w:color w:val="auto"/>
          <w:spacing w:val="-10"/>
          <w:sz w:val="24"/>
          <w:szCs w:val="24"/>
          <w:highlight w:val="none"/>
        </w:rPr>
        <w:t>3</w:t>
      </w:r>
      <w:r>
        <w:rPr>
          <w:rFonts w:ascii="宋体" w:hAnsi="宋体" w:eastAsia="宋体" w:cs="宋体"/>
          <w:color w:val="auto"/>
          <w:spacing w:val="-10"/>
          <w:sz w:val="24"/>
          <w:szCs w:val="24"/>
          <w:highlight w:val="none"/>
        </w:rPr>
        <w:t>：</w:t>
      </w:r>
    </w:p>
    <w:p w14:paraId="649A6A2F">
      <w:pPr>
        <w:spacing w:before="244" w:line="471" w:lineRule="exact"/>
        <w:ind w:left="3201"/>
        <w:rPr>
          <w:rFonts w:ascii="黑体" w:hAnsi="黑体" w:eastAsia="黑体" w:cs="黑体"/>
          <w:color w:val="auto"/>
          <w:sz w:val="27"/>
          <w:szCs w:val="27"/>
          <w:highlight w:val="none"/>
        </w:rPr>
      </w:pPr>
      <w:r>
        <w:rPr>
          <w:rFonts w:ascii="黑体" w:hAnsi="黑体" w:eastAsia="黑体" w:cs="黑体"/>
          <w:color w:val="auto"/>
          <w:spacing w:val="7"/>
          <w:position w:val="14"/>
          <w:sz w:val="27"/>
          <w:szCs w:val="27"/>
          <w:highlight w:val="none"/>
        </w:rPr>
        <w:t>工程质量保修书</w:t>
      </w:r>
    </w:p>
    <w:p w14:paraId="54E68E0C">
      <w:pPr>
        <w:spacing w:line="221" w:lineRule="auto"/>
        <w:ind w:left="444"/>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发包人（全称</w:t>
      </w:r>
      <w:r>
        <w:rPr>
          <w:rFonts w:ascii="宋体" w:hAnsi="宋体" w:eastAsia="宋体" w:cs="宋体"/>
          <w:color w:val="auto"/>
          <w:spacing w:val="-21"/>
          <w:sz w:val="21"/>
          <w:szCs w:val="21"/>
          <w:highlight w:val="none"/>
        </w:rPr>
        <w:t>）：</w:t>
      </w:r>
      <w:r>
        <w:rPr>
          <w:rFonts w:ascii="宋体" w:hAnsi="宋体" w:eastAsia="宋体" w:cs="宋体"/>
          <w:color w:val="auto"/>
          <w:sz w:val="21"/>
          <w:szCs w:val="21"/>
          <w:highlight w:val="none"/>
          <w:u w:val="single" w:color="auto"/>
        </w:rPr>
        <w:t xml:space="preserve">                                </w:t>
      </w:r>
    </w:p>
    <w:p w14:paraId="282FDBDA">
      <w:pPr>
        <w:spacing w:before="155" w:line="221" w:lineRule="auto"/>
        <w:ind w:left="441"/>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承包人（全称</w:t>
      </w:r>
      <w:r>
        <w:rPr>
          <w:rFonts w:ascii="宋体" w:hAnsi="宋体" w:eastAsia="宋体" w:cs="宋体"/>
          <w:color w:val="auto"/>
          <w:spacing w:val="-22"/>
          <w:sz w:val="21"/>
          <w:szCs w:val="21"/>
          <w:highlight w:val="none"/>
        </w:rPr>
        <w:t>）：</w:t>
      </w:r>
      <w:r>
        <w:rPr>
          <w:rFonts w:ascii="宋体" w:hAnsi="宋体" w:eastAsia="宋体" w:cs="宋体"/>
          <w:color w:val="auto"/>
          <w:sz w:val="21"/>
          <w:szCs w:val="21"/>
          <w:highlight w:val="none"/>
          <w:u w:val="single" w:color="auto"/>
        </w:rPr>
        <w:t xml:space="preserve">                                </w:t>
      </w:r>
    </w:p>
    <w:p w14:paraId="1EEC394B">
      <w:pPr>
        <w:pStyle w:val="3"/>
        <w:spacing w:line="249" w:lineRule="auto"/>
        <w:rPr>
          <w:color w:val="auto"/>
          <w:highlight w:val="none"/>
        </w:rPr>
      </w:pPr>
    </w:p>
    <w:p w14:paraId="61EE8E5E">
      <w:pPr>
        <w:pStyle w:val="3"/>
        <w:spacing w:line="249" w:lineRule="auto"/>
        <w:rPr>
          <w:color w:val="auto"/>
          <w:highlight w:val="none"/>
        </w:rPr>
      </w:pPr>
    </w:p>
    <w:p w14:paraId="6E7500D0">
      <w:pPr>
        <w:spacing w:before="68" w:line="409" w:lineRule="exact"/>
        <w:ind w:right="17"/>
        <w:jc w:val="right"/>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发包人和承包人根据《中华人民共和国建筑法》和《建设工程质量管理条例》，经协商</w:t>
      </w:r>
    </w:p>
    <w:p w14:paraId="1D96024D">
      <w:pPr>
        <w:spacing w:line="219" w:lineRule="auto"/>
        <w:ind w:left="21"/>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一致就</w:t>
      </w:r>
      <w:r>
        <w:rPr>
          <w:rFonts w:ascii="宋体" w:hAnsi="宋体" w:eastAsia="宋体" w:cs="宋体"/>
          <w:color w:val="auto"/>
          <w:spacing w:val="-98"/>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49"/>
          <w:sz w:val="21"/>
          <w:szCs w:val="21"/>
          <w:highlight w:val="none"/>
        </w:rPr>
        <w:t xml:space="preserve"> </w:t>
      </w:r>
      <w:r>
        <w:rPr>
          <w:rFonts w:ascii="宋体" w:hAnsi="宋体" w:eastAsia="宋体" w:cs="宋体"/>
          <w:color w:val="auto"/>
          <w:spacing w:val="-10"/>
          <w:sz w:val="21"/>
          <w:szCs w:val="21"/>
          <w:highlight w:val="none"/>
        </w:rPr>
        <w:t>（工程全称） 签订工程质量保修书。</w:t>
      </w:r>
    </w:p>
    <w:p w14:paraId="443613D0">
      <w:pPr>
        <w:spacing w:before="158" w:line="220" w:lineRule="auto"/>
        <w:ind w:left="444"/>
        <w:rPr>
          <w:rFonts w:ascii="黑体" w:hAnsi="黑体" w:eastAsia="黑体" w:cs="黑体"/>
          <w:color w:val="auto"/>
          <w:sz w:val="21"/>
          <w:szCs w:val="21"/>
          <w:highlight w:val="none"/>
        </w:rPr>
      </w:pPr>
      <w:r>
        <w:rPr>
          <w:rFonts w:ascii="黑体" w:hAnsi="黑体" w:eastAsia="黑体" w:cs="黑体"/>
          <w:color w:val="auto"/>
          <w:spacing w:val="-2"/>
          <w:sz w:val="21"/>
          <w:szCs w:val="21"/>
          <w:highlight w:val="none"/>
        </w:rPr>
        <w:t>一、工程质量保修范围和内容</w:t>
      </w:r>
    </w:p>
    <w:p w14:paraId="7F89445E">
      <w:pPr>
        <w:spacing w:before="95" w:line="221"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承包人在质量保修期内，按照有关法律规定和合同约定，承担工程质量保修责任。</w:t>
      </w:r>
    </w:p>
    <w:p w14:paraId="50D46B92">
      <w:pPr>
        <w:spacing w:before="157" w:line="359" w:lineRule="auto"/>
        <w:ind w:left="34" w:right="6" w:firstLine="40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质量保修范围包括地基基础工程、主体结构工程，屋面防水工程、有防水要求的卫生</w:t>
      </w:r>
      <w:r>
        <w:rPr>
          <w:rFonts w:ascii="宋体" w:hAnsi="宋体" w:eastAsia="宋体" w:cs="宋体"/>
          <w:color w:val="auto"/>
          <w:spacing w:val="2"/>
          <w:sz w:val="21"/>
          <w:szCs w:val="21"/>
          <w:highlight w:val="none"/>
        </w:rPr>
        <w:t xml:space="preserve"> </w:t>
      </w:r>
      <w:r>
        <w:rPr>
          <w:rFonts w:ascii="宋体" w:hAnsi="宋体" w:eastAsia="宋体" w:cs="宋体"/>
          <w:color w:val="auto"/>
          <w:sz w:val="21"/>
          <w:szCs w:val="21"/>
          <w:highlight w:val="none"/>
        </w:rPr>
        <w:t>间、房间和外墙面的防渗漏， 供热与供冷系统，电气管线、给排水</w:t>
      </w:r>
      <w:r>
        <w:rPr>
          <w:rFonts w:ascii="宋体" w:hAnsi="宋体" w:eastAsia="宋体" w:cs="宋体"/>
          <w:color w:val="auto"/>
          <w:spacing w:val="-1"/>
          <w:sz w:val="21"/>
          <w:szCs w:val="21"/>
          <w:highlight w:val="none"/>
        </w:rPr>
        <w:t>管道、设备安装和装修</w:t>
      </w:r>
    </w:p>
    <w:p w14:paraId="542D17A3">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工程，以及双方约定的其他项目。具体保修的内容，</w:t>
      </w:r>
      <w:r>
        <w:rPr>
          <w:rFonts w:ascii="宋体" w:hAnsi="宋体" w:eastAsia="宋体" w:cs="宋体"/>
          <w:color w:val="auto"/>
          <w:spacing w:val="-19"/>
          <w:sz w:val="21"/>
          <w:szCs w:val="21"/>
          <w:highlight w:val="none"/>
        </w:rPr>
        <w:t xml:space="preserve"> </w:t>
      </w:r>
      <w:r>
        <w:rPr>
          <w:rFonts w:ascii="宋体" w:hAnsi="宋体" w:eastAsia="宋体" w:cs="宋体"/>
          <w:color w:val="auto"/>
          <w:spacing w:val="-4"/>
          <w:sz w:val="21"/>
          <w:szCs w:val="21"/>
          <w:highlight w:val="none"/>
        </w:rPr>
        <w:t>双方约定如下：</w:t>
      </w:r>
    </w:p>
    <w:p w14:paraId="355ED756">
      <w:pPr>
        <w:pStyle w:val="3"/>
        <w:tabs>
          <w:tab w:val="left" w:pos="8325"/>
        </w:tabs>
        <w:spacing w:before="175" w:line="242" w:lineRule="exact"/>
        <w:ind w:left="212"/>
        <w:rPr>
          <w:color w:val="auto"/>
          <w:highlight w:val="none"/>
        </w:rPr>
      </w:pPr>
      <w:r>
        <w:rPr>
          <w:color w:val="auto"/>
          <w:highlight w:val="none"/>
          <w:u w:val="single" w:color="auto"/>
        </w:rPr>
        <w:tab/>
      </w:r>
    </w:p>
    <w:p w14:paraId="110D69CC">
      <w:pPr>
        <w:pStyle w:val="3"/>
        <w:spacing w:line="261" w:lineRule="auto"/>
        <w:rPr>
          <w:color w:val="auto"/>
          <w:highlight w:val="none"/>
        </w:rPr>
      </w:pPr>
    </w:p>
    <w:p w14:paraId="4967B16B">
      <w:pPr>
        <w:tabs>
          <w:tab w:val="left" w:pos="7679"/>
        </w:tabs>
        <w:spacing w:before="26" w:line="159" w:lineRule="auto"/>
        <w:ind w:left="10"/>
        <w:rPr>
          <w:rFonts w:ascii="宋体" w:hAnsi="宋体" w:eastAsia="宋体" w:cs="宋体"/>
          <w:color w:val="auto"/>
          <w:sz w:val="8"/>
          <w:szCs w:val="8"/>
          <w:highlight w:val="none"/>
        </w:rPr>
      </w:pPr>
      <w:r>
        <w:rPr>
          <w:rFonts w:ascii="宋体" w:hAnsi="宋体" w:eastAsia="宋体" w:cs="宋体"/>
          <w:color w:val="auto"/>
          <w:sz w:val="8"/>
          <w:szCs w:val="8"/>
          <w:highlight w:val="none"/>
          <w:u w:val="single" w:color="auto"/>
        </w:rPr>
        <w:tab/>
      </w:r>
      <w:r>
        <w:rPr>
          <w:rFonts w:ascii="宋体" w:hAnsi="宋体" w:eastAsia="宋体" w:cs="宋体"/>
          <w:color w:val="auto"/>
          <w:spacing w:val="-12"/>
          <w:sz w:val="8"/>
          <w:szCs w:val="8"/>
          <w:highlight w:val="none"/>
        </w:rPr>
        <w:t xml:space="preserve"> </w:t>
      </w:r>
      <w:r>
        <w:rPr>
          <w:rFonts w:ascii="宋体" w:hAnsi="宋体" w:eastAsia="宋体" w:cs="宋体"/>
          <w:color w:val="auto"/>
          <w:spacing w:val="6"/>
          <w:sz w:val="8"/>
          <w:szCs w:val="8"/>
          <w:highlight w:val="none"/>
        </w:rPr>
        <w:t>。</w:t>
      </w:r>
    </w:p>
    <w:p w14:paraId="3D319850">
      <w:pPr>
        <w:spacing w:before="203" w:line="220" w:lineRule="auto"/>
        <w:ind w:left="444"/>
        <w:rPr>
          <w:rFonts w:ascii="黑体" w:hAnsi="黑体" w:eastAsia="黑体" w:cs="黑体"/>
          <w:color w:val="auto"/>
          <w:sz w:val="21"/>
          <w:szCs w:val="21"/>
          <w:highlight w:val="none"/>
        </w:rPr>
      </w:pPr>
      <w:r>
        <w:rPr>
          <w:rFonts w:ascii="黑体" w:hAnsi="黑体" w:eastAsia="黑体" w:cs="黑体"/>
          <w:color w:val="auto"/>
          <w:spacing w:val="-1"/>
          <w:sz w:val="21"/>
          <w:szCs w:val="21"/>
          <w:highlight w:val="none"/>
        </w:rPr>
        <w:t>二、质量保修期</w:t>
      </w:r>
    </w:p>
    <w:p w14:paraId="2DC20D3E">
      <w:pPr>
        <w:spacing w:before="96" w:line="408" w:lineRule="exact"/>
        <w:ind w:left="441"/>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根据《建设工程质量管理条例》及有关规定，工程的</w:t>
      </w:r>
      <w:r>
        <w:rPr>
          <w:rFonts w:ascii="宋体" w:hAnsi="宋体" w:eastAsia="宋体" w:cs="宋体"/>
          <w:color w:val="auto"/>
          <w:spacing w:val="-2"/>
          <w:position w:val="14"/>
          <w:sz w:val="21"/>
          <w:szCs w:val="21"/>
          <w:highlight w:val="none"/>
        </w:rPr>
        <w:t>质量保修期如下：</w:t>
      </w:r>
    </w:p>
    <w:p w14:paraId="4C561D38">
      <w:pPr>
        <w:spacing w:before="1"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w:t>
      </w:r>
      <w:r>
        <w:rPr>
          <w:rFonts w:ascii="Times New Roman" w:hAnsi="Times New Roman" w:eastAsia="Times New Roman" w:cs="Times New Roman"/>
          <w:color w:val="auto"/>
          <w:spacing w:val="-16"/>
          <w:sz w:val="21"/>
          <w:szCs w:val="21"/>
          <w:highlight w:val="none"/>
        </w:rPr>
        <w:t xml:space="preserve"> </w:t>
      </w:r>
      <w:r>
        <w:rPr>
          <w:rFonts w:ascii="宋体" w:hAnsi="宋体" w:eastAsia="宋体" w:cs="宋体"/>
          <w:color w:val="auto"/>
          <w:spacing w:val="-3"/>
          <w:sz w:val="21"/>
          <w:szCs w:val="21"/>
          <w:highlight w:val="none"/>
        </w:rPr>
        <w:t>．地基基础工程和主体结构工程为设计文件规定的工程合理使用年限；</w:t>
      </w:r>
    </w:p>
    <w:p w14:paraId="2482B2E9">
      <w:pPr>
        <w:spacing w:before="156" w:line="359"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2</w:t>
      </w:r>
      <w:r>
        <w:rPr>
          <w:rFonts w:ascii="Times New Roman" w:hAnsi="Times New Roman" w:eastAsia="Times New Roman" w:cs="Times New Roman"/>
          <w:color w:val="auto"/>
          <w:spacing w:val="-22"/>
          <w:sz w:val="21"/>
          <w:szCs w:val="21"/>
          <w:highlight w:val="none"/>
        </w:rPr>
        <w:t xml:space="preserve"> </w:t>
      </w:r>
      <w:r>
        <w:rPr>
          <w:rFonts w:ascii="宋体" w:hAnsi="宋体" w:eastAsia="宋体" w:cs="宋体"/>
          <w:color w:val="auto"/>
          <w:spacing w:val="-2"/>
          <w:sz w:val="21"/>
          <w:szCs w:val="21"/>
          <w:highlight w:val="none"/>
        </w:rPr>
        <w:t>．屋面防水工程、有防水要求的卫生间、房间和外墙面的防渗为</w:t>
      </w:r>
      <w:r>
        <w:rPr>
          <w:rFonts w:ascii="宋体" w:hAnsi="宋体" w:eastAsia="宋体" w:cs="宋体"/>
          <w:color w:val="auto"/>
          <w:spacing w:val="-105"/>
          <w:sz w:val="21"/>
          <w:szCs w:val="21"/>
          <w:highlight w:val="none"/>
        </w:rPr>
        <w:t xml:space="preserve"> </w:t>
      </w:r>
      <w:r>
        <w:rPr>
          <w:rFonts w:ascii="宋体" w:hAnsi="宋体" w:eastAsia="宋体" w:cs="宋体"/>
          <w:color w:val="auto"/>
          <w:sz w:val="21"/>
          <w:szCs w:val="21"/>
          <w:highlight w:val="none"/>
          <w:u w:val="single" w:color="auto"/>
        </w:rPr>
        <w:t xml:space="preserve">    </w:t>
      </w:r>
      <w:r>
        <w:rPr>
          <w:rFonts w:hint="eastAsia" w:ascii="宋体" w:hAnsi="宋体" w:eastAsia="宋体" w:cs="宋体"/>
          <w:color w:val="auto"/>
          <w:sz w:val="21"/>
          <w:szCs w:val="21"/>
          <w:highlight w:val="none"/>
          <w:u w:val="single" w:color="auto"/>
          <w:lang w:val="en-US" w:eastAsia="zh-CN"/>
        </w:rPr>
        <w:t>5</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6"/>
          <w:sz w:val="21"/>
          <w:szCs w:val="21"/>
          <w:highlight w:val="none"/>
        </w:rPr>
        <w:t xml:space="preserve"> </w:t>
      </w:r>
      <w:r>
        <w:rPr>
          <w:rFonts w:ascii="宋体" w:hAnsi="宋体" w:eastAsia="宋体" w:cs="宋体"/>
          <w:color w:val="auto"/>
          <w:spacing w:val="-2"/>
          <w:sz w:val="21"/>
          <w:szCs w:val="21"/>
          <w:highlight w:val="none"/>
        </w:rPr>
        <w:t>年；</w:t>
      </w:r>
    </w:p>
    <w:p w14:paraId="4419C32E">
      <w:pPr>
        <w:spacing w:before="1" w:line="220"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3</w:t>
      </w:r>
      <w:r>
        <w:rPr>
          <w:rFonts w:ascii="Times New Roman" w:hAnsi="Times New Roman" w:eastAsia="Times New Roman" w:cs="Times New Roman"/>
          <w:color w:val="auto"/>
          <w:spacing w:val="-25"/>
          <w:sz w:val="21"/>
          <w:szCs w:val="21"/>
          <w:highlight w:val="none"/>
        </w:rPr>
        <w:t xml:space="preserve"> </w:t>
      </w:r>
      <w:r>
        <w:rPr>
          <w:rFonts w:ascii="宋体" w:hAnsi="宋体" w:eastAsia="宋体" w:cs="宋体"/>
          <w:color w:val="auto"/>
          <w:spacing w:val="-7"/>
          <w:sz w:val="21"/>
          <w:szCs w:val="21"/>
          <w:highlight w:val="none"/>
        </w:rPr>
        <w:t>．装修工程为</w:t>
      </w:r>
      <w:r>
        <w:rPr>
          <w:rFonts w:ascii="宋体" w:hAnsi="宋体" w:eastAsia="宋体" w:cs="宋体"/>
          <w:color w:val="auto"/>
          <w:spacing w:val="-105"/>
          <w:sz w:val="21"/>
          <w:szCs w:val="21"/>
          <w:highlight w:val="none"/>
        </w:rPr>
        <w:t xml:space="preserve"> </w:t>
      </w:r>
      <w:r>
        <w:rPr>
          <w:rFonts w:ascii="宋体" w:hAnsi="宋体" w:eastAsia="宋体" w:cs="宋体"/>
          <w:color w:val="auto"/>
          <w:sz w:val="21"/>
          <w:szCs w:val="21"/>
          <w:highlight w:val="none"/>
          <w:u w:val="single" w:color="auto"/>
        </w:rPr>
        <w:t xml:space="preserve">     </w:t>
      </w:r>
      <w:r>
        <w:rPr>
          <w:rFonts w:hint="eastAsia" w:ascii="宋体" w:hAnsi="宋体" w:eastAsia="宋体" w:cs="宋体"/>
          <w:color w:val="auto"/>
          <w:sz w:val="21"/>
          <w:szCs w:val="21"/>
          <w:highlight w:val="none"/>
          <w:u w:val="single" w:color="auto"/>
          <w:lang w:val="en-US" w:eastAsia="zh-CN"/>
        </w:rPr>
        <w:t>2</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4"/>
          <w:sz w:val="21"/>
          <w:szCs w:val="21"/>
          <w:highlight w:val="none"/>
        </w:rPr>
        <w:t xml:space="preserve"> </w:t>
      </w:r>
      <w:r>
        <w:rPr>
          <w:rFonts w:ascii="宋体" w:hAnsi="宋体" w:eastAsia="宋体" w:cs="宋体"/>
          <w:color w:val="auto"/>
          <w:spacing w:val="-7"/>
          <w:sz w:val="21"/>
          <w:szCs w:val="21"/>
          <w:highlight w:val="none"/>
        </w:rPr>
        <w:t>年；</w:t>
      </w:r>
    </w:p>
    <w:p w14:paraId="47736DEE">
      <w:pPr>
        <w:spacing w:before="157" w:line="359"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4</w:t>
      </w:r>
      <w:r>
        <w:rPr>
          <w:rFonts w:ascii="Times New Roman" w:hAnsi="Times New Roman" w:eastAsia="Times New Roman" w:cs="Times New Roman"/>
          <w:color w:val="auto"/>
          <w:spacing w:val="-16"/>
          <w:sz w:val="21"/>
          <w:szCs w:val="21"/>
          <w:highlight w:val="none"/>
        </w:rPr>
        <w:t xml:space="preserve"> </w:t>
      </w:r>
      <w:r>
        <w:rPr>
          <w:rFonts w:ascii="宋体" w:hAnsi="宋体" w:eastAsia="宋体" w:cs="宋体"/>
          <w:color w:val="auto"/>
          <w:spacing w:val="-3"/>
          <w:sz w:val="21"/>
          <w:szCs w:val="21"/>
          <w:highlight w:val="none"/>
        </w:rPr>
        <w:t>．电气管线、给排水管道、设备安装工程为</w:t>
      </w:r>
      <w:r>
        <w:rPr>
          <w:rFonts w:ascii="宋体" w:hAnsi="宋体" w:eastAsia="宋体" w:cs="宋体"/>
          <w:color w:val="auto"/>
          <w:spacing w:val="-103"/>
          <w:sz w:val="21"/>
          <w:szCs w:val="21"/>
          <w:highlight w:val="none"/>
        </w:rPr>
        <w:t xml:space="preserve"> </w:t>
      </w:r>
      <w:r>
        <w:rPr>
          <w:rFonts w:ascii="宋体" w:hAnsi="宋体" w:eastAsia="宋体" w:cs="宋体"/>
          <w:color w:val="auto"/>
          <w:spacing w:val="12"/>
          <w:sz w:val="21"/>
          <w:szCs w:val="21"/>
          <w:highlight w:val="none"/>
          <w:u w:val="single" w:color="auto"/>
        </w:rPr>
        <w:t xml:space="preserve">    </w:t>
      </w:r>
      <w:r>
        <w:rPr>
          <w:rFonts w:hint="eastAsia" w:ascii="宋体" w:hAnsi="宋体" w:eastAsia="宋体" w:cs="宋体"/>
          <w:color w:val="auto"/>
          <w:spacing w:val="12"/>
          <w:sz w:val="21"/>
          <w:szCs w:val="21"/>
          <w:highlight w:val="none"/>
          <w:u w:val="single" w:color="auto"/>
          <w:lang w:val="en-US" w:eastAsia="zh-CN"/>
        </w:rPr>
        <w:t>2</w:t>
      </w:r>
      <w:r>
        <w:rPr>
          <w:rFonts w:ascii="宋体" w:hAnsi="宋体" w:eastAsia="宋体" w:cs="宋体"/>
          <w:color w:val="auto"/>
          <w:spacing w:val="12"/>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3"/>
          <w:sz w:val="21"/>
          <w:szCs w:val="21"/>
          <w:highlight w:val="none"/>
        </w:rPr>
        <w:t>年；</w:t>
      </w:r>
    </w:p>
    <w:p w14:paraId="5F2EFD1E">
      <w:pPr>
        <w:spacing w:before="1" w:line="219" w:lineRule="auto"/>
        <w:ind w:left="443"/>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5</w:t>
      </w:r>
      <w:r>
        <w:rPr>
          <w:rFonts w:ascii="Times New Roman" w:hAnsi="Times New Roman" w:eastAsia="Times New Roman" w:cs="Times New Roman"/>
          <w:color w:val="auto"/>
          <w:spacing w:val="-8"/>
          <w:sz w:val="21"/>
          <w:szCs w:val="21"/>
          <w:highlight w:val="none"/>
        </w:rPr>
        <w:t xml:space="preserve"> </w:t>
      </w:r>
      <w:r>
        <w:rPr>
          <w:rFonts w:ascii="宋体" w:hAnsi="宋体" w:eastAsia="宋体" w:cs="宋体"/>
          <w:color w:val="auto"/>
          <w:spacing w:val="-3"/>
          <w:sz w:val="21"/>
          <w:szCs w:val="21"/>
          <w:highlight w:val="none"/>
        </w:rPr>
        <w:t>．供热与供冷系统为</w:t>
      </w:r>
      <w:r>
        <w:rPr>
          <w:rFonts w:ascii="宋体" w:hAnsi="宋体" w:eastAsia="宋体" w:cs="宋体"/>
          <w:color w:val="auto"/>
          <w:spacing w:val="-3"/>
          <w:sz w:val="21"/>
          <w:szCs w:val="21"/>
          <w:highlight w:val="none"/>
          <w:u w:val="single" w:color="auto"/>
        </w:rPr>
        <w:t xml:space="preserve">     </w:t>
      </w:r>
      <w:r>
        <w:rPr>
          <w:rFonts w:hint="eastAsia" w:ascii="宋体" w:hAnsi="宋体" w:eastAsia="宋体" w:cs="宋体"/>
          <w:color w:val="auto"/>
          <w:spacing w:val="-3"/>
          <w:sz w:val="21"/>
          <w:szCs w:val="21"/>
          <w:highlight w:val="none"/>
          <w:u w:val="single" w:color="auto"/>
          <w:lang w:val="en-US" w:eastAsia="zh-CN"/>
        </w:rPr>
        <w:t>2</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96"/>
          <w:sz w:val="21"/>
          <w:szCs w:val="21"/>
          <w:highlight w:val="none"/>
        </w:rPr>
        <w:t xml:space="preserve"> </w:t>
      </w:r>
      <w:r>
        <w:rPr>
          <w:rFonts w:ascii="宋体" w:hAnsi="宋体" w:eastAsia="宋体" w:cs="宋体"/>
          <w:color w:val="auto"/>
          <w:spacing w:val="-3"/>
          <w:sz w:val="21"/>
          <w:szCs w:val="21"/>
          <w:highlight w:val="none"/>
        </w:rPr>
        <w:t>个采暖期、供冷期；</w:t>
      </w:r>
    </w:p>
    <w:p w14:paraId="454F543D">
      <w:pPr>
        <w:spacing w:line="220" w:lineRule="auto"/>
        <w:ind w:left="440"/>
        <w:rPr>
          <w:rFonts w:ascii="宋体" w:hAnsi="宋体" w:eastAsia="宋体" w:cs="宋体"/>
          <w:color w:val="auto"/>
          <w:sz w:val="21"/>
          <w:szCs w:val="21"/>
          <w:highlight w:val="none"/>
        </w:rPr>
      </w:pPr>
      <w:r>
        <w:rPr>
          <w:rFonts w:hint="eastAsia" w:ascii="Times New Roman" w:hAnsi="Times New Roman" w:eastAsia="宋体" w:cs="Times New Roman"/>
          <w:color w:val="auto"/>
          <w:spacing w:val="-25"/>
          <w:sz w:val="21"/>
          <w:szCs w:val="21"/>
          <w:highlight w:val="none"/>
          <w:lang w:val="en-US" w:eastAsia="zh-CN"/>
        </w:rPr>
        <w:t>6</w:t>
      </w:r>
      <w:r>
        <w:rPr>
          <w:rFonts w:ascii="Times New Roman" w:hAnsi="Times New Roman" w:eastAsia="Times New Roman" w:cs="Times New Roman"/>
          <w:color w:val="auto"/>
          <w:spacing w:val="-25"/>
          <w:sz w:val="21"/>
          <w:szCs w:val="21"/>
          <w:highlight w:val="none"/>
        </w:rPr>
        <w:t xml:space="preserve"> </w:t>
      </w:r>
      <w:r>
        <w:rPr>
          <w:rFonts w:ascii="宋体" w:hAnsi="宋体" w:eastAsia="宋体" w:cs="宋体"/>
          <w:color w:val="auto"/>
          <w:spacing w:val="-2"/>
          <w:sz w:val="21"/>
          <w:szCs w:val="21"/>
          <w:highlight w:val="none"/>
        </w:rPr>
        <w:t>．其他项目保修期限约定如下：</w:t>
      </w:r>
    </w:p>
    <w:p w14:paraId="0EE14484">
      <w:pPr>
        <w:pStyle w:val="3"/>
        <w:tabs>
          <w:tab w:val="left" w:pos="8325"/>
        </w:tabs>
        <w:spacing w:before="180" w:line="242" w:lineRule="exact"/>
        <w:ind w:left="212"/>
        <w:rPr>
          <w:color w:val="auto"/>
          <w:highlight w:val="none"/>
        </w:rPr>
      </w:pPr>
      <w:r>
        <w:rPr>
          <w:color w:val="auto"/>
          <w:highlight w:val="none"/>
          <w:u w:val="single" w:color="auto"/>
        </w:rPr>
        <w:tab/>
      </w:r>
    </w:p>
    <w:p w14:paraId="011EE16F">
      <w:pPr>
        <w:pStyle w:val="3"/>
        <w:tabs>
          <w:tab w:val="left" w:pos="8327"/>
        </w:tabs>
        <w:spacing w:before="167" w:line="241" w:lineRule="exact"/>
        <w:ind w:left="10"/>
        <w:rPr>
          <w:color w:val="auto"/>
          <w:highlight w:val="none"/>
        </w:rPr>
      </w:pPr>
      <w:r>
        <w:rPr>
          <w:color w:val="auto"/>
          <w:highlight w:val="none"/>
          <w:u w:val="single" w:color="auto"/>
        </w:rPr>
        <w:tab/>
      </w:r>
    </w:p>
    <w:p w14:paraId="28459D1F">
      <w:pPr>
        <w:spacing w:before="285" w:line="106" w:lineRule="exact"/>
        <w:ind w:left="39"/>
        <w:rPr>
          <w:rFonts w:ascii="宋体" w:hAnsi="宋体" w:eastAsia="宋体" w:cs="宋体"/>
          <w:color w:val="auto"/>
          <w:sz w:val="21"/>
          <w:szCs w:val="21"/>
          <w:highlight w:val="none"/>
        </w:rPr>
      </w:pPr>
      <w:r>
        <w:rPr>
          <w:rFonts w:ascii="宋体" w:hAnsi="宋体" w:eastAsia="宋体" w:cs="宋体"/>
          <w:color w:val="auto"/>
          <w:position w:val="1"/>
          <w:sz w:val="21"/>
          <w:szCs w:val="21"/>
          <w:highlight w:val="none"/>
        </w:rPr>
        <w:t>。</w:t>
      </w:r>
    </w:p>
    <w:p w14:paraId="00357B15">
      <w:pPr>
        <w:spacing w:before="165" w:line="221" w:lineRule="auto"/>
        <w:ind w:left="2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质量保修期自工程竣工验收合格之日起计算。</w:t>
      </w:r>
    </w:p>
    <w:p w14:paraId="034CEFB5">
      <w:pPr>
        <w:spacing w:before="158" w:line="219" w:lineRule="auto"/>
        <w:ind w:left="445"/>
        <w:rPr>
          <w:rFonts w:ascii="黑体" w:hAnsi="黑体" w:eastAsia="黑体" w:cs="黑体"/>
          <w:color w:val="auto"/>
          <w:sz w:val="21"/>
          <w:szCs w:val="21"/>
          <w:highlight w:val="none"/>
        </w:rPr>
      </w:pPr>
      <w:r>
        <w:rPr>
          <w:rFonts w:ascii="黑体" w:hAnsi="黑体" w:eastAsia="黑体" w:cs="黑体"/>
          <w:color w:val="auto"/>
          <w:spacing w:val="-2"/>
          <w:sz w:val="21"/>
          <w:szCs w:val="21"/>
          <w:highlight w:val="none"/>
        </w:rPr>
        <w:t>三、缺陷责任期</w:t>
      </w:r>
    </w:p>
    <w:p w14:paraId="183C6045">
      <w:pPr>
        <w:spacing w:before="96" w:line="359" w:lineRule="auto"/>
        <w:ind w:right="1"/>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工程缺陷责任期为</w:t>
      </w:r>
      <w:r>
        <w:rPr>
          <w:rFonts w:ascii="宋体" w:hAnsi="宋体" w:eastAsia="宋体" w:cs="宋体"/>
          <w:color w:val="auto"/>
          <w:spacing w:val="-104"/>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z w:val="21"/>
          <w:szCs w:val="21"/>
          <w:highlight w:val="none"/>
        </w:rPr>
        <w:t>个月，缺陷责任期自工程通过竣工验收之日起计</w:t>
      </w:r>
      <w:r>
        <w:rPr>
          <w:rFonts w:ascii="宋体" w:hAnsi="宋体" w:eastAsia="宋体" w:cs="宋体"/>
          <w:color w:val="auto"/>
          <w:spacing w:val="-1"/>
          <w:sz w:val="21"/>
          <w:szCs w:val="21"/>
          <w:highlight w:val="none"/>
        </w:rPr>
        <w:t>算。单位</w:t>
      </w:r>
    </w:p>
    <w:p w14:paraId="549F9393">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工程先于全部工程进行验收， 单位工程缺陷责任期自单位工程验收合格之日起算。</w:t>
      </w:r>
    </w:p>
    <w:p w14:paraId="78A5BACD">
      <w:pPr>
        <w:spacing w:before="156" w:line="221" w:lineRule="auto"/>
        <w:ind w:left="441"/>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缺陷责任期终止后， 发包人应退还剩余的质量保证金。</w:t>
      </w:r>
    </w:p>
    <w:p w14:paraId="13DD1CB3">
      <w:pPr>
        <w:spacing w:before="158" w:line="219" w:lineRule="auto"/>
        <w:ind w:left="453"/>
        <w:rPr>
          <w:rFonts w:ascii="黑体" w:hAnsi="黑体" w:eastAsia="黑体" w:cs="黑体"/>
          <w:color w:val="auto"/>
          <w:sz w:val="21"/>
          <w:szCs w:val="21"/>
          <w:highlight w:val="none"/>
        </w:rPr>
      </w:pPr>
      <w:r>
        <w:rPr>
          <w:rFonts w:ascii="黑体" w:hAnsi="黑体" w:eastAsia="黑体" w:cs="黑体"/>
          <w:color w:val="auto"/>
          <w:spacing w:val="-11"/>
          <w:sz w:val="21"/>
          <w:szCs w:val="21"/>
          <w:highlight w:val="none"/>
        </w:rPr>
        <w:t>四、</w:t>
      </w:r>
      <w:r>
        <w:rPr>
          <w:rFonts w:ascii="黑体" w:hAnsi="黑体" w:eastAsia="黑体" w:cs="黑体"/>
          <w:color w:val="auto"/>
          <w:spacing w:val="-34"/>
          <w:sz w:val="21"/>
          <w:szCs w:val="21"/>
          <w:highlight w:val="none"/>
        </w:rPr>
        <w:t xml:space="preserve"> </w:t>
      </w:r>
      <w:r>
        <w:rPr>
          <w:rFonts w:ascii="黑体" w:hAnsi="黑体" w:eastAsia="黑体" w:cs="黑体"/>
          <w:color w:val="auto"/>
          <w:spacing w:val="-11"/>
          <w:sz w:val="21"/>
          <w:szCs w:val="21"/>
          <w:highlight w:val="none"/>
        </w:rPr>
        <w:t>质量保修责任</w:t>
      </w:r>
    </w:p>
    <w:p w14:paraId="6B477779">
      <w:pPr>
        <w:spacing w:before="101" w:line="408" w:lineRule="exact"/>
        <w:ind w:right="24"/>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3"/>
          <w:position w:val="15"/>
          <w:sz w:val="21"/>
          <w:szCs w:val="21"/>
          <w:highlight w:val="none"/>
        </w:rPr>
        <w:t>1</w:t>
      </w:r>
      <w:r>
        <w:rPr>
          <w:rFonts w:ascii="Times New Roman" w:hAnsi="Times New Roman" w:eastAsia="Times New Roman" w:cs="Times New Roman"/>
          <w:color w:val="auto"/>
          <w:spacing w:val="-8"/>
          <w:position w:val="15"/>
          <w:sz w:val="21"/>
          <w:szCs w:val="21"/>
          <w:highlight w:val="none"/>
        </w:rPr>
        <w:t xml:space="preserve"> </w:t>
      </w:r>
      <w:r>
        <w:rPr>
          <w:rFonts w:ascii="宋体" w:hAnsi="宋体" w:eastAsia="宋体" w:cs="宋体"/>
          <w:color w:val="auto"/>
          <w:spacing w:val="-3"/>
          <w:position w:val="15"/>
          <w:sz w:val="21"/>
          <w:szCs w:val="21"/>
          <w:highlight w:val="none"/>
        </w:rPr>
        <w:t>．属于保修范围、内容的项目，承包人应当在接到保修通知之日起</w:t>
      </w:r>
      <w:r>
        <w:rPr>
          <w:rFonts w:ascii="宋体" w:hAnsi="宋体" w:eastAsia="宋体" w:cs="宋体"/>
          <w:color w:val="auto"/>
          <w:spacing w:val="-36"/>
          <w:position w:val="15"/>
          <w:sz w:val="21"/>
          <w:szCs w:val="21"/>
          <w:highlight w:val="none"/>
        </w:rPr>
        <w:t xml:space="preserve"> </w:t>
      </w:r>
      <w:r>
        <w:rPr>
          <w:rFonts w:ascii="宋体" w:hAnsi="宋体" w:eastAsia="宋体" w:cs="宋体"/>
          <w:color w:val="auto"/>
          <w:spacing w:val="-3"/>
          <w:position w:val="15"/>
          <w:sz w:val="21"/>
          <w:szCs w:val="21"/>
          <w:highlight w:val="none"/>
        </w:rPr>
        <w:t>7</w:t>
      </w:r>
      <w:r>
        <w:rPr>
          <w:rFonts w:ascii="宋体" w:hAnsi="宋体" w:eastAsia="宋体" w:cs="宋体"/>
          <w:color w:val="auto"/>
          <w:spacing w:val="-35"/>
          <w:position w:val="15"/>
          <w:sz w:val="21"/>
          <w:szCs w:val="21"/>
          <w:highlight w:val="none"/>
        </w:rPr>
        <w:t xml:space="preserve"> </w:t>
      </w:r>
      <w:r>
        <w:rPr>
          <w:rFonts w:ascii="宋体" w:hAnsi="宋体" w:eastAsia="宋体" w:cs="宋体"/>
          <w:color w:val="auto"/>
          <w:spacing w:val="-3"/>
          <w:position w:val="15"/>
          <w:sz w:val="21"/>
          <w:szCs w:val="21"/>
          <w:highlight w:val="none"/>
        </w:rPr>
        <w:t>天内派人保修。</w:t>
      </w:r>
    </w:p>
    <w:p w14:paraId="366932E9">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承包人不在约定期限内派人保修的，发包人可以委托他人修</w:t>
      </w:r>
      <w:r>
        <w:rPr>
          <w:rFonts w:ascii="宋体" w:hAnsi="宋体" w:eastAsia="宋体" w:cs="宋体"/>
          <w:color w:val="auto"/>
          <w:spacing w:val="-2"/>
          <w:sz w:val="21"/>
          <w:szCs w:val="21"/>
          <w:highlight w:val="none"/>
        </w:rPr>
        <w:t>理。</w:t>
      </w:r>
    </w:p>
    <w:p w14:paraId="72DF0C55">
      <w:pPr>
        <w:spacing w:line="220" w:lineRule="auto"/>
        <w:rPr>
          <w:rFonts w:ascii="宋体" w:hAnsi="宋体" w:eastAsia="宋体" w:cs="宋体"/>
          <w:color w:val="auto"/>
          <w:sz w:val="21"/>
          <w:szCs w:val="21"/>
          <w:highlight w:val="none"/>
        </w:rPr>
        <w:sectPr>
          <w:footerReference r:id="rId158" w:type="default"/>
          <w:pgSz w:w="11905" w:h="16839"/>
          <w:pgMar w:top="400" w:right="1785" w:bottom="1004" w:left="1785" w:header="0" w:footer="828" w:gutter="0"/>
          <w:pgNumType w:fmt="decimal"/>
          <w:cols w:space="720" w:num="1"/>
        </w:sectPr>
      </w:pPr>
    </w:p>
    <w:p w14:paraId="3BCC3096">
      <w:pPr>
        <w:pStyle w:val="3"/>
        <w:spacing w:line="248" w:lineRule="auto"/>
        <w:rPr>
          <w:color w:val="auto"/>
          <w:highlight w:val="none"/>
        </w:rPr>
      </w:pPr>
    </w:p>
    <w:p w14:paraId="6397F137">
      <w:pPr>
        <w:pStyle w:val="3"/>
        <w:spacing w:line="249" w:lineRule="auto"/>
        <w:rPr>
          <w:color w:val="auto"/>
          <w:highlight w:val="none"/>
        </w:rPr>
      </w:pPr>
    </w:p>
    <w:p w14:paraId="095E51A1">
      <w:pPr>
        <w:pStyle w:val="3"/>
        <w:spacing w:line="249" w:lineRule="auto"/>
        <w:rPr>
          <w:color w:val="auto"/>
          <w:highlight w:val="none"/>
        </w:rPr>
      </w:pPr>
    </w:p>
    <w:p w14:paraId="60DD79C6">
      <w:pPr>
        <w:pStyle w:val="3"/>
        <w:spacing w:line="249" w:lineRule="auto"/>
        <w:rPr>
          <w:color w:val="auto"/>
          <w:highlight w:val="none"/>
        </w:rPr>
      </w:pPr>
    </w:p>
    <w:p w14:paraId="3AF41E35">
      <w:pPr>
        <w:spacing w:before="68" w:line="221" w:lineRule="auto"/>
        <w:ind w:right="28"/>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2</w:t>
      </w:r>
      <w:r>
        <w:rPr>
          <w:rFonts w:ascii="Times New Roman" w:hAnsi="Times New Roman" w:eastAsia="Times New Roman" w:cs="Times New Roman"/>
          <w:color w:val="auto"/>
          <w:spacing w:val="-25"/>
          <w:sz w:val="21"/>
          <w:szCs w:val="21"/>
          <w:highlight w:val="none"/>
        </w:rPr>
        <w:t xml:space="preserve"> </w:t>
      </w:r>
      <w:r>
        <w:rPr>
          <w:rFonts w:ascii="宋体" w:hAnsi="宋体" w:eastAsia="宋体" w:cs="宋体"/>
          <w:color w:val="auto"/>
          <w:spacing w:val="-1"/>
          <w:sz w:val="21"/>
          <w:szCs w:val="21"/>
          <w:highlight w:val="none"/>
        </w:rPr>
        <w:t>．发生紧急事故需抢修的，承包人在接到事故通知后，应当立即</w:t>
      </w:r>
      <w:r>
        <w:rPr>
          <w:rFonts w:ascii="宋体" w:hAnsi="宋体" w:eastAsia="宋体" w:cs="宋体"/>
          <w:color w:val="auto"/>
          <w:spacing w:val="-2"/>
          <w:sz w:val="21"/>
          <w:szCs w:val="21"/>
          <w:highlight w:val="none"/>
        </w:rPr>
        <w:t>到达事故现场抢修。</w:t>
      </w:r>
    </w:p>
    <w:p w14:paraId="29D180DA">
      <w:pPr>
        <w:spacing w:before="156" w:line="359" w:lineRule="auto"/>
        <w:ind w:left="39" w:right="4" w:firstLine="411"/>
        <w:rPr>
          <w:rFonts w:ascii="宋体" w:hAnsi="宋体"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3</w:t>
      </w:r>
      <w:r>
        <w:rPr>
          <w:rFonts w:ascii="Times New Roman" w:hAnsi="Times New Roman" w:eastAsia="Times New Roman" w:cs="Times New Roman"/>
          <w:color w:val="auto"/>
          <w:spacing w:val="-18"/>
          <w:sz w:val="21"/>
          <w:szCs w:val="21"/>
          <w:highlight w:val="none"/>
        </w:rPr>
        <w:t xml:space="preserve"> </w:t>
      </w:r>
      <w:r>
        <w:rPr>
          <w:rFonts w:ascii="宋体" w:hAnsi="宋体" w:eastAsia="宋体" w:cs="宋体"/>
          <w:color w:val="auto"/>
          <w:spacing w:val="-5"/>
          <w:sz w:val="21"/>
          <w:szCs w:val="21"/>
          <w:highlight w:val="none"/>
        </w:rPr>
        <w:t>．对于涉及结构安全的质量问题，</w:t>
      </w:r>
      <w:r>
        <w:rPr>
          <w:rFonts w:ascii="宋体" w:hAnsi="宋体" w:eastAsia="宋体" w:cs="宋体"/>
          <w:color w:val="auto"/>
          <w:spacing w:val="51"/>
          <w:sz w:val="21"/>
          <w:szCs w:val="21"/>
          <w:highlight w:val="none"/>
        </w:rPr>
        <w:t xml:space="preserve"> </w:t>
      </w:r>
      <w:r>
        <w:rPr>
          <w:rFonts w:ascii="宋体" w:hAnsi="宋体" w:eastAsia="宋体" w:cs="宋体"/>
          <w:color w:val="auto"/>
          <w:spacing w:val="-5"/>
          <w:sz w:val="21"/>
          <w:szCs w:val="21"/>
          <w:highlight w:val="none"/>
        </w:rPr>
        <w:t>应当按照《建设工程质量管理条例》的规定，立即</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向当地建设行政主管部门和有关部门报告，采取安全防范措施，并由原设计人或者具有相</w:t>
      </w:r>
    </w:p>
    <w:p w14:paraId="27FEDCF5">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应资质等级的设计人提出保修方案，承包人实施保修。</w:t>
      </w:r>
    </w:p>
    <w:p w14:paraId="55842D1C">
      <w:pPr>
        <w:spacing w:before="156" w:line="221"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9"/>
          <w:sz w:val="21"/>
          <w:szCs w:val="21"/>
          <w:highlight w:val="none"/>
        </w:rPr>
        <w:t>4</w:t>
      </w:r>
      <w:r>
        <w:rPr>
          <w:rFonts w:ascii="Times New Roman" w:hAnsi="Times New Roman" w:eastAsia="Times New Roman" w:cs="Times New Roman"/>
          <w:color w:val="auto"/>
          <w:spacing w:val="-23"/>
          <w:sz w:val="21"/>
          <w:szCs w:val="21"/>
          <w:highlight w:val="none"/>
        </w:rPr>
        <w:t xml:space="preserve"> </w:t>
      </w:r>
      <w:r>
        <w:rPr>
          <w:rFonts w:ascii="宋体" w:hAnsi="宋体" w:eastAsia="宋体" w:cs="宋体"/>
          <w:color w:val="auto"/>
          <w:spacing w:val="-9"/>
          <w:sz w:val="21"/>
          <w:szCs w:val="21"/>
          <w:highlight w:val="none"/>
        </w:rPr>
        <w:t>．质量保修完成后，</w:t>
      </w:r>
      <w:r>
        <w:rPr>
          <w:rFonts w:ascii="宋体" w:hAnsi="宋体" w:eastAsia="宋体" w:cs="宋体"/>
          <w:color w:val="auto"/>
          <w:spacing w:val="38"/>
          <w:sz w:val="21"/>
          <w:szCs w:val="21"/>
          <w:highlight w:val="none"/>
        </w:rPr>
        <w:t xml:space="preserve"> </w:t>
      </w:r>
      <w:r>
        <w:rPr>
          <w:rFonts w:ascii="宋体" w:hAnsi="宋体" w:eastAsia="宋体" w:cs="宋体"/>
          <w:color w:val="auto"/>
          <w:spacing w:val="-9"/>
          <w:sz w:val="21"/>
          <w:szCs w:val="21"/>
          <w:highlight w:val="none"/>
        </w:rPr>
        <w:t>由发包人组织验收。</w:t>
      </w:r>
    </w:p>
    <w:p w14:paraId="65A55DEF">
      <w:pPr>
        <w:spacing w:before="162" w:line="220" w:lineRule="auto"/>
        <w:ind w:left="446"/>
        <w:rPr>
          <w:rFonts w:ascii="黑体" w:hAnsi="黑体" w:eastAsia="黑体" w:cs="黑体"/>
          <w:color w:val="auto"/>
          <w:sz w:val="21"/>
          <w:szCs w:val="21"/>
          <w:highlight w:val="none"/>
        </w:rPr>
      </w:pPr>
      <w:r>
        <w:rPr>
          <w:rFonts w:ascii="黑体" w:hAnsi="黑体" w:eastAsia="黑体" w:cs="黑体"/>
          <w:color w:val="auto"/>
          <w:spacing w:val="-14"/>
          <w:sz w:val="21"/>
          <w:szCs w:val="21"/>
          <w:highlight w:val="none"/>
        </w:rPr>
        <w:t>五、</w:t>
      </w:r>
      <w:r>
        <w:rPr>
          <w:rFonts w:ascii="黑体" w:hAnsi="黑体" w:eastAsia="黑体" w:cs="黑体"/>
          <w:color w:val="auto"/>
          <w:spacing w:val="-33"/>
          <w:sz w:val="21"/>
          <w:szCs w:val="21"/>
          <w:highlight w:val="none"/>
        </w:rPr>
        <w:t xml:space="preserve"> </w:t>
      </w:r>
      <w:r>
        <w:rPr>
          <w:rFonts w:ascii="黑体" w:hAnsi="黑体" w:eastAsia="黑体" w:cs="黑体"/>
          <w:color w:val="auto"/>
          <w:spacing w:val="-14"/>
          <w:sz w:val="21"/>
          <w:szCs w:val="21"/>
          <w:highlight w:val="none"/>
        </w:rPr>
        <w:t>保修费用</w:t>
      </w:r>
    </w:p>
    <w:p w14:paraId="759261AE">
      <w:pPr>
        <w:spacing w:before="95" w:line="221" w:lineRule="auto"/>
        <w:ind w:left="2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保修费用由造成质量缺陷的责任方承担。</w:t>
      </w:r>
    </w:p>
    <w:p w14:paraId="45E32ACB">
      <w:pPr>
        <w:spacing w:before="158" w:line="219" w:lineRule="auto"/>
        <w:ind w:left="447"/>
        <w:rPr>
          <w:rFonts w:ascii="黑体" w:hAnsi="黑体" w:eastAsia="黑体" w:cs="黑体"/>
          <w:color w:val="auto"/>
          <w:sz w:val="21"/>
          <w:szCs w:val="21"/>
          <w:highlight w:val="none"/>
        </w:rPr>
      </w:pPr>
      <w:r>
        <w:rPr>
          <w:rFonts w:ascii="黑体" w:hAnsi="黑体" w:eastAsia="黑体" w:cs="黑体"/>
          <w:color w:val="auto"/>
          <w:spacing w:val="-5"/>
          <w:sz w:val="21"/>
          <w:szCs w:val="21"/>
          <w:highlight w:val="none"/>
        </w:rPr>
        <w:t>六、</w:t>
      </w:r>
      <w:r>
        <w:rPr>
          <w:rFonts w:ascii="黑体" w:hAnsi="黑体" w:eastAsia="黑体" w:cs="黑体"/>
          <w:color w:val="auto"/>
          <w:spacing w:val="-25"/>
          <w:sz w:val="21"/>
          <w:szCs w:val="21"/>
          <w:highlight w:val="none"/>
        </w:rPr>
        <w:t xml:space="preserve"> </w:t>
      </w:r>
      <w:r>
        <w:rPr>
          <w:rFonts w:ascii="黑体" w:hAnsi="黑体" w:eastAsia="黑体" w:cs="黑体"/>
          <w:color w:val="auto"/>
          <w:spacing w:val="-5"/>
          <w:sz w:val="21"/>
          <w:szCs w:val="21"/>
          <w:highlight w:val="none"/>
        </w:rPr>
        <w:t>双方约定的其他工程质量保修事项：</w:t>
      </w:r>
    </w:p>
    <w:p w14:paraId="4515EEC7">
      <w:pPr>
        <w:tabs>
          <w:tab w:val="left" w:pos="7682"/>
        </w:tabs>
        <w:spacing w:before="232" w:line="159" w:lineRule="auto"/>
        <w:ind w:left="432"/>
        <w:rPr>
          <w:rFonts w:ascii="宋体" w:hAnsi="宋体" w:eastAsia="宋体" w:cs="宋体"/>
          <w:color w:val="auto"/>
          <w:sz w:val="8"/>
          <w:szCs w:val="8"/>
          <w:highlight w:val="none"/>
        </w:rPr>
      </w:pPr>
      <w:r>
        <w:rPr>
          <w:rFonts w:ascii="宋体" w:hAnsi="宋体" w:eastAsia="宋体" w:cs="宋体"/>
          <w:color w:val="auto"/>
          <w:sz w:val="8"/>
          <w:szCs w:val="8"/>
          <w:highlight w:val="none"/>
          <w:u w:val="single" w:color="auto"/>
        </w:rPr>
        <w:tab/>
      </w:r>
      <w:r>
        <w:rPr>
          <w:rFonts w:ascii="宋体" w:hAnsi="宋体" w:eastAsia="宋体" w:cs="宋体"/>
          <w:color w:val="auto"/>
          <w:spacing w:val="-11"/>
          <w:sz w:val="8"/>
          <w:szCs w:val="8"/>
          <w:highlight w:val="none"/>
        </w:rPr>
        <w:t xml:space="preserve"> </w:t>
      </w:r>
      <w:r>
        <w:rPr>
          <w:rFonts w:ascii="宋体" w:hAnsi="宋体" w:eastAsia="宋体" w:cs="宋体"/>
          <w:color w:val="auto"/>
          <w:spacing w:val="6"/>
          <w:sz w:val="8"/>
          <w:szCs w:val="8"/>
          <w:highlight w:val="none"/>
        </w:rPr>
        <w:t>。</w:t>
      </w:r>
    </w:p>
    <w:p w14:paraId="5BD29A12">
      <w:pPr>
        <w:spacing w:before="141" w:line="408" w:lineRule="exact"/>
        <w:ind w:right="13"/>
        <w:jc w:val="right"/>
        <w:rPr>
          <w:rFonts w:ascii="宋体" w:hAnsi="宋体" w:eastAsia="宋体" w:cs="宋体"/>
          <w:color w:val="auto"/>
          <w:sz w:val="21"/>
          <w:szCs w:val="21"/>
          <w:highlight w:val="none"/>
        </w:rPr>
      </w:pPr>
      <w:r>
        <w:rPr>
          <w:rFonts w:ascii="宋体" w:hAnsi="宋体" w:eastAsia="宋体" w:cs="宋体"/>
          <w:color w:val="auto"/>
          <w:spacing w:val="1"/>
          <w:position w:val="15"/>
          <w:sz w:val="21"/>
          <w:szCs w:val="21"/>
          <w:highlight w:val="none"/>
        </w:rPr>
        <w:t>工程质量保修书由发包人、承包人在工程竣工验收前共</w:t>
      </w:r>
      <w:r>
        <w:rPr>
          <w:rFonts w:ascii="宋体" w:hAnsi="宋体" w:eastAsia="宋体" w:cs="宋体"/>
          <w:color w:val="auto"/>
          <w:position w:val="15"/>
          <w:sz w:val="21"/>
          <w:szCs w:val="21"/>
          <w:highlight w:val="none"/>
        </w:rPr>
        <w:t>同签署， 作为施工合同附件，</w:t>
      </w:r>
    </w:p>
    <w:p w14:paraId="76AD4B35">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其有效期限至保修期满。</w:t>
      </w:r>
    </w:p>
    <w:p w14:paraId="7568DFC0">
      <w:pPr>
        <w:spacing w:before="27"/>
        <w:rPr>
          <w:color w:val="auto"/>
          <w:highlight w:val="none"/>
        </w:rPr>
      </w:pPr>
    </w:p>
    <w:p w14:paraId="3FEBB758">
      <w:pPr>
        <w:spacing w:before="27"/>
        <w:rPr>
          <w:color w:val="auto"/>
          <w:highlight w:val="none"/>
        </w:rPr>
      </w:pPr>
    </w:p>
    <w:p w14:paraId="57FB709B">
      <w:pPr>
        <w:spacing w:before="26"/>
        <w:rPr>
          <w:color w:val="auto"/>
          <w:highlight w:val="none"/>
        </w:rPr>
      </w:pPr>
    </w:p>
    <w:p w14:paraId="1ECED6F7">
      <w:pPr>
        <w:spacing w:before="26"/>
        <w:rPr>
          <w:color w:val="auto"/>
          <w:highlight w:val="none"/>
        </w:rPr>
      </w:pPr>
    </w:p>
    <w:p w14:paraId="4A5A47F9">
      <w:pPr>
        <w:spacing w:before="26"/>
        <w:rPr>
          <w:color w:val="auto"/>
          <w:highlight w:val="none"/>
        </w:rPr>
      </w:pPr>
    </w:p>
    <w:p w14:paraId="5F8212E2">
      <w:pPr>
        <w:rPr>
          <w:color w:val="auto"/>
          <w:highlight w:val="none"/>
        </w:rPr>
        <w:sectPr>
          <w:footerReference r:id="rId159" w:type="default"/>
          <w:pgSz w:w="11905" w:h="16839"/>
          <w:pgMar w:top="400" w:right="1785" w:bottom="1004" w:left="1785" w:header="0" w:footer="828" w:gutter="0"/>
          <w:pgNumType w:fmt="decimal"/>
          <w:cols w:equalWidth="0" w:num="1">
            <w:col w:w="8333"/>
          </w:cols>
        </w:sectPr>
      </w:pPr>
    </w:p>
    <w:p w14:paraId="396542FE">
      <w:pPr>
        <w:spacing w:before="43" w:line="363" w:lineRule="auto"/>
        <w:ind w:left="65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发包人（公章</w:t>
      </w:r>
      <w:r>
        <w:rPr>
          <w:rFonts w:ascii="宋体" w:hAnsi="宋体" w:eastAsia="宋体" w:cs="宋体"/>
          <w:color w:val="auto"/>
          <w:spacing w:val="-51"/>
          <w:sz w:val="21"/>
          <w:szCs w:val="21"/>
          <w:highlight w:val="none"/>
        </w:rPr>
        <w:t>）：</w:t>
      </w:r>
      <w:r>
        <w:rPr>
          <w:rFonts w:ascii="宋体" w:hAnsi="宋体" w:eastAsia="宋体" w:cs="宋体"/>
          <w:color w:val="auto"/>
          <w:sz w:val="21"/>
          <w:szCs w:val="21"/>
          <w:highlight w:val="none"/>
          <w:u w:val="single" w:color="auto"/>
        </w:rPr>
        <w:t xml:space="preserve">              </w:t>
      </w:r>
    </w:p>
    <w:p w14:paraId="1FAED010">
      <w:pPr>
        <w:spacing w:before="1" w:line="229" w:lineRule="auto"/>
        <w:ind w:left="647"/>
        <w:rPr>
          <w:rFonts w:ascii="宋体" w:hAnsi="宋体" w:eastAsia="宋体" w:cs="宋体"/>
          <w:color w:val="auto"/>
          <w:sz w:val="21"/>
          <w:szCs w:val="21"/>
          <w:highlight w:val="none"/>
        </w:rPr>
      </w:pPr>
      <w:r>
        <w:rPr>
          <w:rFonts w:ascii="宋体" w:hAnsi="宋体" w:eastAsia="宋体" w:cs="宋体"/>
          <w:color w:val="auto"/>
          <w:spacing w:val="-29"/>
          <w:w w:val="99"/>
          <w:sz w:val="21"/>
          <w:szCs w:val="21"/>
          <w:highlight w:val="none"/>
        </w:rPr>
        <w:t>地</w:t>
      </w:r>
      <w:r>
        <w:rPr>
          <w:rFonts w:ascii="宋体" w:hAnsi="宋体" w:eastAsia="宋体" w:cs="宋体"/>
          <w:color w:val="auto"/>
          <w:spacing w:val="7"/>
          <w:sz w:val="21"/>
          <w:szCs w:val="21"/>
          <w:highlight w:val="none"/>
        </w:rPr>
        <w:t xml:space="preserve">  </w:t>
      </w:r>
      <w:r>
        <w:rPr>
          <w:rFonts w:ascii="宋体" w:hAnsi="宋体" w:eastAsia="宋体" w:cs="宋体"/>
          <w:color w:val="auto"/>
          <w:spacing w:val="-29"/>
          <w:w w:val="99"/>
          <w:sz w:val="21"/>
          <w:szCs w:val="21"/>
          <w:highlight w:val="none"/>
        </w:rPr>
        <w:t>址：</w:t>
      </w:r>
      <w:r>
        <w:rPr>
          <w:rFonts w:ascii="宋体" w:hAnsi="宋体" w:eastAsia="宋体" w:cs="宋体"/>
          <w:color w:val="auto"/>
          <w:spacing w:val="-30"/>
          <w:sz w:val="21"/>
          <w:szCs w:val="21"/>
          <w:highlight w:val="none"/>
        </w:rPr>
        <w:t xml:space="preserve"> </w:t>
      </w:r>
      <w:r>
        <w:rPr>
          <w:rFonts w:ascii="宋体" w:hAnsi="宋体" w:eastAsia="宋体" w:cs="宋体"/>
          <w:color w:val="auto"/>
          <w:sz w:val="21"/>
          <w:szCs w:val="21"/>
          <w:highlight w:val="none"/>
          <w:u w:val="single" w:color="auto"/>
        </w:rPr>
        <w:t xml:space="preserve">                   </w:t>
      </w:r>
    </w:p>
    <w:p w14:paraId="14500780">
      <w:pPr>
        <w:spacing w:before="146" w:line="359" w:lineRule="auto"/>
        <w:ind w:left="64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法定代表人（签字</w:t>
      </w:r>
      <w:r>
        <w:rPr>
          <w:rFonts w:ascii="宋体" w:hAnsi="宋体" w:eastAsia="宋体" w:cs="宋体"/>
          <w:color w:val="auto"/>
          <w:spacing w:val="-53"/>
          <w:sz w:val="21"/>
          <w:szCs w:val="21"/>
          <w:highlight w:val="none"/>
        </w:rPr>
        <w:t>）：</w:t>
      </w:r>
      <w:r>
        <w:rPr>
          <w:rFonts w:ascii="宋体" w:hAnsi="宋体" w:eastAsia="宋体" w:cs="宋体"/>
          <w:color w:val="auto"/>
          <w:sz w:val="21"/>
          <w:szCs w:val="21"/>
          <w:highlight w:val="none"/>
          <w:u w:val="single" w:color="auto"/>
        </w:rPr>
        <w:t xml:space="preserve">           </w:t>
      </w:r>
    </w:p>
    <w:p w14:paraId="74F2EAF2">
      <w:pPr>
        <w:spacing w:before="1" w:line="220" w:lineRule="auto"/>
        <w:ind w:left="64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委托代理人（签字</w:t>
      </w:r>
      <w:r>
        <w:rPr>
          <w:rFonts w:ascii="宋体" w:hAnsi="宋体" w:eastAsia="宋体" w:cs="宋体"/>
          <w:color w:val="auto"/>
          <w:spacing w:val="-52"/>
          <w:sz w:val="21"/>
          <w:szCs w:val="21"/>
          <w:highlight w:val="none"/>
        </w:rPr>
        <w:t>）：</w:t>
      </w:r>
      <w:r>
        <w:rPr>
          <w:rFonts w:ascii="宋体" w:hAnsi="宋体" w:eastAsia="宋体" w:cs="宋体"/>
          <w:color w:val="auto"/>
          <w:sz w:val="21"/>
          <w:szCs w:val="21"/>
          <w:highlight w:val="none"/>
          <w:u w:val="single" w:color="auto"/>
        </w:rPr>
        <w:t xml:space="preserve">           </w:t>
      </w:r>
    </w:p>
    <w:p w14:paraId="2B9B86B3">
      <w:pPr>
        <w:spacing w:before="157" w:line="223" w:lineRule="auto"/>
        <w:ind w:left="672"/>
        <w:rPr>
          <w:rFonts w:ascii="宋体" w:hAnsi="宋体" w:eastAsia="宋体" w:cs="宋体"/>
          <w:color w:val="auto"/>
          <w:sz w:val="21"/>
          <w:szCs w:val="21"/>
          <w:highlight w:val="none"/>
        </w:rPr>
      </w:pPr>
      <w:r>
        <w:rPr>
          <w:rFonts w:ascii="宋体" w:hAnsi="宋体" w:eastAsia="宋体" w:cs="宋体"/>
          <w:color w:val="auto"/>
          <w:spacing w:val="-30"/>
          <w:w w:val="96"/>
          <w:sz w:val="21"/>
          <w:szCs w:val="21"/>
          <w:highlight w:val="none"/>
        </w:rPr>
        <w:t>电</w:t>
      </w:r>
      <w:r>
        <w:rPr>
          <w:rFonts w:ascii="宋体" w:hAnsi="宋体" w:eastAsia="宋体" w:cs="宋体"/>
          <w:color w:val="auto"/>
          <w:spacing w:val="5"/>
          <w:sz w:val="21"/>
          <w:szCs w:val="21"/>
          <w:highlight w:val="none"/>
        </w:rPr>
        <w:t xml:space="preserve">  </w:t>
      </w:r>
      <w:r>
        <w:rPr>
          <w:rFonts w:ascii="宋体" w:hAnsi="宋体" w:eastAsia="宋体" w:cs="宋体"/>
          <w:color w:val="auto"/>
          <w:spacing w:val="-30"/>
          <w:w w:val="96"/>
          <w:sz w:val="21"/>
          <w:szCs w:val="21"/>
          <w:highlight w:val="none"/>
        </w:rPr>
        <w:t>话：</w:t>
      </w:r>
      <w:r>
        <w:rPr>
          <w:rFonts w:ascii="宋体" w:hAnsi="宋体" w:eastAsia="宋体" w:cs="宋体"/>
          <w:color w:val="auto"/>
          <w:spacing w:val="-29"/>
          <w:sz w:val="21"/>
          <w:szCs w:val="21"/>
          <w:highlight w:val="none"/>
        </w:rPr>
        <w:t xml:space="preserve"> </w:t>
      </w:r>
      <w:r>
        <w:rPr>
          <w:rFonts w:ascii="宋体" w:hAnsi="宋体" w:eastAsia="宋体" w:cs="宋体"/>
          <w:color w:val="auto"/>
          <w:sz w:val="21"/>
          <w:szCs w:val="21"/>
          <w:highlight w:val="none"/>
          <w:u w:val="single" w:color="auto"/>
        </w:rPr>
        <w:t xml:space="preserve">                   </w:t>
      </w:r>
    </w:p>
    <w:p w14:paraId="2012C813">
      <w:pPr>
        <w:spacing w:before="154" w:line="359" w:lineRule="auto"/>
        <w:ind w:left="645"/>
        <w:rPr>
          <w:rFonts w:ascii="宋体" w:hAnsi="宋体" w:eastAsia="宋体" w:cs="宋体"/>
          <w:color w:val="auto"/>
          <w:sz w:val="21"/>
          <w:szCs w:val="21"/>
          <w:highlight w:val="none"/>
        </w:rPr>
      </w:pPr>
      <w:r>
        <w:rPr>
          <w:rFonts w:ascii="宋体" w:hAnsi="宋体" w:eastAsia="宋体" w:cs="宋体"/>
          <w:color w:val="auto"/>
          <w:spacing w:val="-28"/>
          <w:w w:val="99"/>
          <w:sz w:val="21"/>
          <w:szCs w:val="21"/>
          <w:highlight w:val="none"/>
        </w:rPr>
        <w:t>传</w:t>
      </w:r>
      <w:r>
        <w:rPr>
          <w:rFonts w:ascii="宋体" w:hAnsi="宋体" w:eastAsia="宋体" w:cs="宋体"/>
          <w:color w:val="auto"/>
          <w:spacing w:val="7"/>
          <w:sz w:val="21"/>
          <w:szCs w:val="21"/>
          <w:highlight w:val="none"/>
        </w:rPr>
        <w:t xml:space="preserve">  </w:t>
      </w:r>
      <w:r>
        <w:rPr>
          <w:rFonts w:ascii="宋体" w:hAnsi="宋体" w:eastAsia="宋体" w:cs="宋体"/>
          <w:color w:val="auto"/>
          <w:spacing w:val="-28"/>
          <w:w w:val="99"/>
          <w:sz w:val="21"/>
          <w:szCs w:val="21"/>
          <w:highlight w:val="none"/>
        </w:rPr>
        <w:t>真：</w:t>
      </w:r>
      <w:r>
        <w:rPr>
          <w:rFonts w:ascii="宋体" w:hAnsi="宋体" w:eastAsia="宋体" w:cs="宋体"/>
          <w:color w:val="auto"/>
          <w:spacing w:val="-32"/>
          <w:sz w:val="21"/>
          <w:szCs w:val="21"/>
          <w:highlight w:val="none"/>
        </w:rPr>
        <w:t xml:space="preserve"> </w:t>
      </w:r>
      <w:r>
        <w:rPr>
          <w:rFonts w:ascii="宋体" w:hAnsi="宋体" w:eastAsia="宋体" w:cs="宋体"/>
          <w:color w:val="auto"/>
          <w:sz w:val="21"/>
          <w:szCs w:val="21"/>
          <w:highlight w:val="none"/>
          <w:u w:val="single" w:color="auto"/>
        </w:rPr>
        <w:t xml:space="preserve">                   </w:t>
      </w:r>
    </w:p>
    <w:p w14:paraId="7D523617">
      <w:pPr>
        <w:spacing w:line="221" w:lineRule="auto"/>
        <w:ind w:left="648"/>
        <w:rPr>
          <w:rFonts w:ascii="宋体" w:hAnsi="宋体" w:eastAsia="宋体" w:cs="宋体"/>
          <w:color w:val="auto"/>
          <w:sz w:val="21"/>
          <w:szCs w:val="21"/>
          <w:highlight w:val="none"/>
        </w:rPr>
      </w:pPr>
      <w:r>
        <w:rPr>
          <w:rFonts w:ascii="宋体" w:hAnsi="宋体" w:eastAsia="宋体" w:cs="宋体"/>
          <w:color w:val="auto"/>
          <w:spacing w:val="-24"/>
          <w:w w:val="96"/>
          <w:sz w:val="21"/>
          <w:szCs w:val="21"/>
          <w:highlight w:val="none"/>
        </w:rPr>
        <w:t>开户银行：</w:t>
      </w:r>
      <w:r>
        <w:rPr>
          <w:rFonts w:ascii="宋体" w:hAnsi="宋体" w:eastAsia="宋体" w:cs="宋体"/>
          <w:color w:val="auto"/>
          <w:spacing w:val="48"/>
          <w:sz w:val="21"/>
          <w:szCs w:val="21"/>
          <w:highlight w:val="none"/>
        </w:rPr>
        <w:t xml:space="preserve"> </w:t>
      </w:r>
      <w:r>
        <w:rPr>
          <w:rFonts w:ascii="宋体" w:hAnsi="宋体" w:eastAsia="宋体" w:cs="宋体"/>
          <w:color w:val="auto"/>
          <w:sz w:val="21"/>
          <w:szCs w:val="21"/>
          <w:highlight w:val="none"/>
          <w:u w:val="single" w:color="auto"/>
        </w:rPr>
        <w:t xml:space="preserve">                  </w:t>
      </w:r>
    </w:p>
    <w:p w14:paraId="09B95FFA">
      <w:pPr>
        <w:spacing w:before="157" w:line="222" w:lineRule="auto"/>
        <w:ind w:left="651"/>
        <w:rPr>
          <w:rFonts w:ascii="宋体" w:hAnsi="宋体" w:eastAsia="宋体" w:cs="宋体"/>
          <w:color w:val="auto"/>
          <w:sz w:val="21"/>
          <w:szCs w:val="21"/>
          <w:highlight w:val="none"/>
        </w:rPr>
      </w:pPr>
      <w:r>
        <w:rPr>
          <w:rFonts w:ascii="宋体" w:hAnsi="宋体" w:eastAsia="宋体" w:cs="宋体"/>
          <w:color w:val="auto"/>
          <w:spacing w:val="-31"/>
          <w:sz w:val="21"/>
          <w:szCs w:val="21"/>
          <w:highlight w:val="none"/>
        </w:rPr>
        <w:t>账</w:t>
      </w:r>
      <w:r>
        <w:rPr>
          <w:rFonts w:ascii="宋体" w:hAnsi="宋体" w:eastAsia="宋体" w:cs="宋体"/>
          <w:color w:val="auto"/>
          <w:spacing w:val="7"/>
          <w:sz w:val="21"/>
          <w:szCs w:val="21"/>
          <w:highlight w:val="none"/>
        </w:rPr>
        <w:t xml:space="preserve">  </w:t>
      </w:r>
      <w:r>
        <w:rPr>
          <w:rFonts w:ascii="宋体" w:hAnsi="宋体" w:eastAsia="宋体" w:cs="宋体"/>
          <w:color w:val="auto"/>
          <w:spacing w:val="-31"/>
          <w:sz w:val="21"/>
          <w:szCs w:val="21"/>
          <w:highlight w:val="none"/>
        </w:rPr>
        <w:t>号：</w:t>
      </w:r>
      <w:r>
        <w:rPr>
          <w:rFonts w:ascii="宋体" w:hAnsi="宋体" w:eastAsia="宋体" w:cs="宋体"/>
          <w:color w:val="auto"/>
          <w:spacing w:val="-33"/>
          <w:sz w:val="21"/>
          <w:szCs w:val="21"/>
          <w:highlight w:val="none"/>
        </w:rPr>
        <w:t xml:space="preserve"> </w:t>
      </w:r>
      <w:r>
        <w:rPr>
          <w:rFonts w:ascii="宋体" w:hAnsi="宋体" w:eastAsia="宋体" w:cs="宋体"/>
          <w:color w:val="auto"/>
          <w:sz w:val="21"/>
          <w:szCs w:val="21"/>
          <w:highlight w:val="none"/>
          <w:u w:val="single" w:color="auto"/>
        </w:rPr>
        <w:t xml:space="preserve">                   </w:t>
      </w:r>
    </w:p>
    <w:p w14:paraId="3AFE3F90">
      <w:pPr>
        <w:spacing w:before="155" w:line="186" w:lineRule="auto"/>
        <w:ind w:left="663"/>
        <w:rPr>
          <w:rFonts w:ascii="宋体" w:hAnsi="宋体" w:eastAsia="宋体" w:cs="宋体"/>
          <w:color w:val="auto"/>
          <w:sz w:val="21"/>
          <w:szCs w:val="21"/>
          <w:highlight w:val="none"/>
        </w:rPr>
      </w:pPr>
      <w:r>
        <w:rPr>
          <w:rFonts w:ascii="宋体" w:hAnsi="宋体" w:eastAsia="宋体" w:cs="宋体"/>
          <w:color w:val="auto"/>
          <w:spacing w:val="-24"/>
          <w:w w:val="98"/>
          <w:sz w:val="21"/>
          <w:szCs w:val="21"/>
          <w:highlight w:val="none"/>
        </w:rPr>
        <w:t>邮政编码：</w:t>
      </w:r>
      <w:r>
        <w:rPr>
          <w:rFonts w:ascii="宋体" w:hAnsi="宋体" w:eastAsia="宋体" w:cs="宋体"/>
          <w:color w:val="auto"/>
          <w:spacing w:val="17"/>
          <w:sz w:val="21"/>
          <w:szCs w:val="21"/>
          <w:highlight w:val="none"/>
        </w:rPr>
        <w:t xml:space="preserve"> </w:t>
      </w:r>
      <w:r>
        <w:rPr>
          <w:rFonts w:ascii="宋体" w:hAnsi="宋体" w:eastAsia="宋体" w:cs="宋体"/>
          <w:color w:val="auto"/>
          <w:sz w:val="21"/>
          <w:szCs w:val="21"/>
          <w:highlight w:val="none"/>
          <w:u w:val="single" w:color="auto"/>
        </w:rPr>
        <w:t xml:space="preserve">                 </w:t>
      </w:r>
    </w:p>
    <w:p w14:paraId="06DAEF0C">
      <w:pPr>
        <w:pStyle w:val="3"/>
        <w:spacing w:line="14" w:lineRule="auto"/>
        <w:rPr>
          <w:color w:val="auto"/>
          <w:sz w:val="2"/>
          <w:highlight w:val="none"/>
        </w:rPr>
      </w:pPr>
      <w:r>
        <w:rPr>
          <w:color w:val="auto"/>
          <w:sz w:val="2"/>
          <w:szCs w:val="2"/>
          <w:highlight w:val="none"/>
        </w:rPr>
        <w:br w:type="column"/>
      </w:r>
    </w:p>
    <w:p w14:paraId="4B896017">
      <w:pPr>
        <w:spacing w:before="41" w:line="363" w:lineRule="auto"/>
        <w:ind w:left="10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承包人（公章</w:t>
      </w:r>
      <w:r>
        <w:rPr>
          <w:rFonts w:ascii="宋体" w:hAnsi="宋体" w:eastAsia="宋体" w:cs="宋体"/>
          <w:color w:val="auto"/>
          <w:spacing w:val="-51"/>
          <w:sz w:val="21"/>
          <w:szCs w:val="21"/>
          <w:highlight w:val="none"/>
        </w:rPr>
        <w:t>）：</w:t>
      </w:r>
      <w:r>
        <w:rPr>
          <w:rFonts w:ascii="宋体" w:hAnsi="宋体" w:eastAsia="宋体" w:cs="宋体"/>
          <w:color w:val="auto"/>
          <w:sz w:val="21"/>
          <w:szCs w:val="21"/>
          <w:highlight w:val="none"/>
          <w:u w:val="single" w:color="auto"/>
        </w:rPr>
        <w:t xml:space="preserve">               </w:t>
      </w:r>
    </w:p>
    <w:p w14:paraId="22DB38DD">
      <w:pPr>
        <w:spacing w:before="1" w:line="229" w:lineRule="auto"/>
        <w:ind w:left="1"/>
        <w:rPr>
          <w:rFonts w:ascii="宋体" w:hAnsi="宋体" w:eastAsia="宋体" w:cs="宋体"/>
          <w:color w:val="auto"/>
          <w:sz w:val="21"/>
          <w:szCs w:val="21"/>
          <w:highlight w:val="none"/>
        </w:rPr>
      </w:pPr>
      <w:r>
        <w:rPr>
          <w:rFonts w:ascii="宋体" w:hAnsi="宋体" w:eastAsia="宋体" w:cs="宋体"/>
          <w:color w:val="auto"/>
          <w:spacing w:val="-29"/>
          <w:w w:val="99"/>
          <w:sz w:val="21"/>
          <w:szCs w:val="21"/>
          <w:highlight w:val="none"/>
        </w:rPr>
        <w:t>地</w:t>
      </w:r>
      <w:r>
        <w:rPr>
          <w:rFonts w:ascii="宋体" w:hAnsi="宋体" w:eastAsia="宋体" w:cs="宋体"/>
          <w:color w:val="auto"/>
          <w:spacing w:val="4"/>
          <w:sz w:val="21"/>
          <w:szCs w:val="21"/>
          <w:highlight w:val="none"/>
        </w:rPr>
        <w:t xml:space="preserve">  </w:t>
      </w:r>
      <w:r>
        <w:rPr>
          <w:rFonts w:ascii="宋体" w:hAnsi="宋体" w:eastAsia="宋体" w:cs="宋体"/>
          <w:color w:val="auto"/>
          <w:spacing w:val="-29"/>
          <w:w w:val="99"/>
          <w:sz w:val="21"/>
          <w:szCs w:val="21"/>
          <w:highlight w:val="none"/>
        </w:rPr>
        <w:t>址：</w:t>
      </w:r>
      <w:r>
        <w:rPr>
          <w:rFonts w:ascii="宋体" w:hAnsi="宋体" w:eastAsia="宋体" w:cs="宋体"/>
          <w:color w:val="auto"/>
          <w:spacing w:val="-34"/>
          <w:sz w:val="21"/>
          <w:szCs w:val="21"/>
          <w:highlight w:val="none"/>
        </w:rPr>
        <w:t xml:space="preserve"> </w:t>
      </w:r>
      <w:r>
        <w:rPr>
          <w:rFonts w:ascii="宋体" w:hAnsi="宋体" w:eastAsia="宋体" w:cs="宋体"/>
          <w:color w:val="auto"/>
          <w:sz w:val="21"/>
          <w:szCs w:val="21"/>
          <w:highlight w:val="none"/>
          <w:u w:val="single" w:color="auto"/>
        </w:rPr>
        <w:t xml:space="preserve">                     </w:t>
      </w:r>
    </w:p>
    <w:p w14:paraId="708088E7">
      <w:pPr>
        <w:spacing w:before="146" w:line="359" w:lineRule="auto"/>
        <w:ind w:left="106" w:right="341" w:firstLine="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法定代表人（签字</w:t>
      </w:r>
      <w:r>
        <w:rPr>
          <w:rFonts w:ascii="宋体" w:hAnsi="宋体" w:eastAsia="宋体" w:cs="宋体"/>
          <w:color w:val="auto"/>
          <w:spacing w:val="-51"/>
          <w:sz w:val="21"/>
          <w:szCs w:val="21"/>
          <w:highlight w:val="none"/>
        </w:rPr>
        <w:t>）：</w:t>
      </w:r>
      <w:r>
        <w:rPr>
          <w:rFonts w:ascii="宋体" w:hAnsi="宋体" w:eastAsia="宋体" w:cs="宋体"/>
          <w:color w:val="auto"/>
          <w:spacing w:val="10"/>
          <w:sz w:val="21"/>
          <w:szCs w:val="21"/>
          <w:highlight w:val="none"/>
          <w:u w:val="single" w:color="auto"/>
        </w:rPr>
        <w:t xml:space="preserve">          </w:t>
      </w:r>
      <w:r>
        <w:rPr>
          <w:rFonts w:ascii="宋体" w:hAnsi="宋体" w:eastAsia="宋体" w:cs="宋体"/>
          <w:color w:val="auto"/>
          <w:spacing w:val="3"/>
          <w:sz w:val="21"/>
          <w:szCs w:val="21"/>
          <w:highlight w:val="none"/>
        </w:rPr>
        <w:t xml:space="preserve"> </w:t>
      </w:r>
      <w:r>
        <w:rPr>
          <w:rFonts w:ascii="宋体" w:hAnsi="宋体" w:eastAsia="宋体" w:cs="宋体"/>
          <w:color w:val="auto"/>
          <w:spacing w:val="-1"/>
          <w:sz w:val="21"/>
          <w:szCs w:val="21"/>
          <w:highlight w:val="none"/>
        </w:rPr>
        <w:t>委托代理人（签字</w:t>
      </w:r>
      <w:r>
        <w:rPr>
          <w:rFonts w:ascii="宋体" w:hAnsi="宋体" w:eastAsia="宋体" w:cs="宋体"/>
          <w:color w:val="auto"/>
          <w:spacing w:val="-54"/>
          <w:sz w:val="21"/>
          <w:szCs w:val="21"/>
          <w:highlight w:val="none"/>
        </w:rPr>
        <w:t>）：</w:t>
      </w:r>
      <w:r>
        <w:rPr>
          <w:rFonts w:ascii="宋体" w:hAnsi="宋体" w:eastAsia="宋体" w:cs="宋体"/>
          <w:color w:val="auto"/>
          <w:sz w:val="21"/>
          <w:szCs w:val="21"/>
          <w:highlight w:val="none"/>
          <w:u w:val="single" w:color="auto"/>
        </w:rPr>
        <w:t xml:space="preserve">           </w:t>
      </w:r>
    </w:p>
    <w:p w14:paraId="7084AA33">
      <w:pPr>
        <w:spacing w:before="1" w:line="222" w:lineRule="auto"/>
        <w:ind w:left="26"/>
        <w:rPr>
          <w:rFonts w:ascii="宋体" w:hAnsi="宋体" w:eastAsia="宋体" w:cs="宋体"/>
          <w:color w:val="auto"/>
          <w:sz w:val="21"/>
          <w:szCs w:val="21"/>
          <w:highlight w:val="none"/>
        </w:rPr>
      </w:pPr>
      <w:r>
        <w:rPr>
          <w:rFonts w:ascii="宋体" w:hAnsi="宋体" w:eastAsia="宋体" w:cs="宋体"/>
          <w:color w:val="auto"/>
          <w:spacing w:val="-29"/>
          <w:w w:val="95"/>
          <w:sz w:val="21"/>
          <w:szCs w:val="21"/>
          <w:highlight w:val="none"/>
        </w:rPr>
        <w:t>电</w:t>
      </w:r>
      <w:r>
        <w:rPr>
          <w:rFonts w:ascii="宋体" w:hAnsi="宋体" w:eastAsia="宋体" w:cs="宋体"/>
          <w:color w:val="auto"/>
          <w:spacing w:val="4"/>
          <w:sz w:val="21"/>
          <w:szCs w:val="21"/>
          <w:highlight w:val="none"/>
        </w:rPr>
        <w:t xml:space="preserve">  </w:t>
      </w:r>
      <w:r>
        <w:rPr>
          <w:rFonts w:ascii="宋体" w:hAnsi="宋体" w:eastAsia="宋体" w:cs="宋体"/>
          <w:color w:val="auto"/>
          <w:spacing w:val="-29"/>
          <w:w w:val="95"/>
          <w:sz w:val="21"/>
          <w:szCs w:val="21"/>
          <w:highlight w:val="none"/>
        </w:rPr>
        <w:t>话：</w:t>
      </w:r>
      <w:r>
        <w:rPr>
          <w:rFonts w:ascii="宋体" w:hAnsi="宋体" w:eastAsia="宋体" w:cs="宋体"/>
          <w:color w:val="auto"/>
          <w:spacing w:val="-33"/>
          <w:sz w:val="21"/>
          <w:szCs w:val="21"/>
          <w:highlight w:val="none"/>
        </w:rPr>
        <w:t xml:space="preserve"> </w:t>
      </w:r>
      <w:r>
        <w:rPr>
          <w:rFonts w:ascii="宋体" w:hAnsi="宋体" w:eastAsia="宋体" w:cs="宋体"/>
          <w:color w:val="auto"/>
          <w:sz w:val="21"/>
          <w:szCs w:val="21"/>
          <w:highlight w:val="none"/>
          <w:u w:val="single" w:color="auto"/>
        </w:rPr>
        <w:t xml:space="preserve">                     </w:t>
      </w:r>
    </w:p>
    <w:p w14:paraId="1385098C">
      <w:pPr>
        <w:spacing w:before="154" w:line="359" w:lineRule="auto"/>
        <w:ind w:left="2" w:right="553" w:hanging="2"/>
        <w:rPr>
          <w:rFonts w:ascii="宋体" w:hAnsi="宋体" w:eastAsia="宋体" w:cs="宋体"/>
          <w:color w:val="auto"/>
          <w:sz w:val="21"/>
          <w:szCs w:val="21"/>
          <w:highlight w:val="none"/>
        </w:rPr>
      </w:pPr>
      <w:r>
        <w:rPr>
          <w:rFonts w:ascii="宋体" w:hAnsi="宋体" w:eastAsia="宋体" w:cs="宋体"/>
          <w:color w:val="auto"/>
          <w:spacing w:val="-27"/>
          <w:w w:val="98"/>
          <w:sz w:val="21"/>
          <w:szCs w:val="21"/>
          <w:highlight w:val="none"/>
        </w:rPr>
        <w:t>传</w:t>
      </w:r>
      <w:r>
        <w:rPr>
          <w:rFonts w:ascii="宋体" w:hAnsi="宋体" w:eastAsia="宋体" w:cs="宋体"/>
          <w:color w:val="auto"/>
          <w:spacing w:val="5"/>
          <w:sz w:val="21"/>
          <w:szCs w:val="21"/>
          <w:highlight w:val="none"/>
        </w:rPr>
        <w:t xml:space="preserve">  </w:t>
      </w:r>
      <w:r>
        <w:rPr>
          <w:rFonts w:ascii="宋体" w:hAnsi="宋体" w:eastAsia="宋体" w:cs="宋体"/>
          <w:color w:val="auto"/>
          <w:spacing w:val="-27"/>
          <w:w w:val="98"/>
          <w:sz w:val="21"/>
          <w:szCs w:val="21"/>
          <w:highlight w:val="none"/>
        </w:rPr>
        <w:t>真：</w:t>
      </w:r>
      <w:r>
        <w:rPr>
          <w:rFonts w:ascii="宋体" w:hAnsi="宋体" w:eastAsia="宋体" w:cs="宋体"/>
          <w:color w:val="auto"/>
          <w:spacing w:val="-34"/>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4"/>
          <w:sz w:val="21"/>
          <w:szCs w:val="21"/>
          <w:highlight w:val="none"/>
        </w:rPr>
        <w:t xml:space="preserve"> </w:t>
      </w:r>
      <w:r>
        <w:rPr>
          <w:rFonts w:ascii="宋体" w:hAnsi="宋体" w:eastAsia="宋体" w:cs="宋体"/>
          <w:color w:val="auto"/>
          <w:spacing w:val="-18"/>
          <w:sz w:val="21"/>
          <w:szCs w:val="21"/>
          <w:highlight w:val="none"/>
        </w:rPr>
        <w:t>开户银行：</w:t>
      </w:r>
      <w:r>
        <w:rPr>
          <w:rFonts w:ascii="宋体" w:hAnsi="宋体" w:eastAsia="宋体" w:cs="宋体"/>
          <w:color w:val="auto"/>
          <w:spacing w:val="-29"/>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13"/>
          <w:sz w:val="21"/>
          <w:szCs w:val="21"/>
          <w:highlight w:val="none"/>
        </w:rPr>
        <w:t xml:space="preserve"> </w:t>
      </w:r>
      <w:r>
        <w:rPr>
          <w:rFonts w:ascii="宋体" w:hAnsi="宋体" w:eastAsia="宋体" w:cs="宋体"/>
          <w:color w:val="auto"/>
          <w:spacing w:val="-31"/>
          <w:sz w:val="21"/>
          <w:szCs w:val="21"/>
          <w:highlight w:val="none"/>
        </w:rPr>
        <w:t>账</w:t>
      </w:r>
      <w:r>
        <w:rPr>
          <w:rFonts w:ascii="宋体" w:hAnsi="宋体" w:eastAsia="宋体" w:cs="宋体"/>
          <w:color w:val="auto"/>
          <w:spacing w:val="5"/>
          <w:sz w:val="21"/>
          <w:szCs w:val="21"/>
          <w:highlight w:val="none"/>
        </w:rPr>
        <w:t xml:space="preserve">  </w:t>
      </w:r>
      <w:r>
        <w:rPr>
          <w:rFonts w:ascii="宋体" w:hAnsi="宋体" w:eastAsia="宋体" w:cs="宋体"/>
          <w:color w:val="auto"/>
          <w:spacing w:val="-31"/>
          <w:sz w:val="21"/>
          <w:szCs w:val="21"/>
          <w:highlight w:val="none"/>
        </w:rPr>
        <w:t>号：</w:t>
      </w:r>
      <w:r>
        <w:rPr>
          <w:rFonts w:ascii="宋体" w:hAnsi="宋体" w:eastAsia="宋体" w:cs="宋体"/>
          <w:color w:val="auto"/>
          <w:spacing w:val="-36"/>
          <w:sz w:val="21"/>
          <w:szCs w:val="21"/>
          <w:highlight w:val="none"/>
        </w:rPr>
        <w:t xml:space="preserve"> </w:t>
      </w:r>
      <w:r>
        <w:rPr>
          <w:rFonts w:ascii="宋体" w:hAnsi="宋体" w:eastAsia="宋体" w:cs="宋体"/>
          <w:color w:val="auto"/>
          <w:sz w:val="21"/>
          <w:szCs w:val="21"/>
          <w:highlight w:val="none"/>
          <w:u w:val="single" w:color="auto"/>
        </w:rPr>
        <w:t xml:space="preserve">                     </w:t>
      </w:r>
    </w:p>
    <w:p w14:paraId="68A2FC0B">
      <w:pPr>
        <w:spacing w:before="1" w:line="185" w:lineRule="auto"/>
        <w:ind w:left="17"/>
        <w:rPr>
          <w:rFonts w:ascii="宋体" w:hAnsi="宋体" w:eastAsia="宋体" w:cs="宋体"/>
          <w:color w:val="auto"/>
          <w:sz w:val="21"/>
          <w:szCs w:val="21"/>
          <w:highlight w:val="none"/>
        </w:rPr>
      </w:pPr>
      <w:r>
        <w:rPr>
          <w:rFonts w:ascii="宋体" w:hAnsi="宋体" w:eastAsia="宋体" w:cs="宋体"/>
          <w:color w:val="auto"/>
          <w:spacing w:val="-21"/>
          <w:sz w:val="21"/>
          <w:szCs w:val="21"/>
          <w:highlight w:val="none"/>
        </w:rPr>
        <w:t>邮政编码：</w:t>
      </w:r>
      <w:r>
        <w:rPr>
          <w:rFonts w:ascii="宋体" w:hAnsi="宋体" w:eastAsia="宋体" w:cs="宋体"/>
          <w:color w:val="auto"/>
          <w:spacing w:val="-29"/>
          <w:sz w:val="21"/>
          <w:szCs w:val="21"/>
          <w:highlight w:val="none"/>
        </w:rPr>
        <w:t xml:space="preserve"> </w:t>
      </w:r>
      <w:r>
        <w:rPr>
          <w:rFonts w:ascii="宋体" w:hAnsi="宋体" w:eastAsia="宋体" w:cs="宋体"/>
          <w:color w:val="auto"/>
          <w:sz w:val="21"/>
          <w:szCs w:val="21"/>
          <w:highlight w:val="none"/>
          <w:u w:val="single" w:color="auto"/>
        </w:rPr>
        <w:t xml:space="preserve">                   </w:t>
      </w:r>
    </w:p>
    <w:p w14:paraId="0FE0963B">
      <w:pPr>
        <w:spacing w:line="185" w:lineRule="auto"/>
        <w:rPr>
          <w:rFonts w:ascii="宋体" w:hAnsi="宋体" w:eastAsia="宋体" w:cs="宋体"/>
          <w:color w:val="auto"/>
          <w:sz w:val="21"/>
          <w:szCs w:val="21"/>
          <w:highlight w:val="none"/>
        </w:rPr>
        <w:sectPr>
          <w:type w:val="continuous"/>
          <w:pgSz w:w="11905" w:h="16839"/>
          <w:pgMar w:top="400" w:right="1785" w:bottom="1004" w:left="1785" w:header="0" w:footer="828" w:gutter="0"/>
          <w:pgNumType w:fmt="decimal"/>
          <w:cols w:equalWidth="0" w:num="2">
            <w:col w:w="4647" w:space="100"/>
            <w:col w:w="3587"/>
          </w:cols>
        </w:sectPr>
      </w:pPr>
    </w:p>
    <w:p w14:paraId="4BC847DE">
      <w:pPr>
        <w:pStyle w:val="3"/>
        <w:spacing w:line="276" w:lineRule="auto"/>
        <w:rPr>
          <w:color w:val="auto"/>
          <w:highlight w:val="none"/>
        </w:rPr>
      </w:pPr>
    </w:p>
    <w:p w14:paraId="4FA95D7C">
      <w:pPr>
        <w:pStyle w:val="3"/>
        <w:spacing w:line="276" w:lineRule="auto"/>
        <w:rPr>
          <w:color w:val="auto"/>
          <w:highlight w:val="none"/>
        </w:rPr>
      </w:pPr>
    </w:p>
    <w:p w14:paraId="54160508">
      <w:pPr>
        <w:pStyle w:val="3"/>
        <w:spacing w:line="276" w:lineRule="auto"/>
        <w:rPr>
          <w:color w:val="auto"/>
          <w:highlight w:val="none"/>
        </w:rPr>
      </w:pPr>
    </w:p>
    <w:p w14:paraId="06476B95">
      <w:pPr>
        <w:pStyle w:val="3"/>
        <w:spacing w:line="276" w:lineRule="auto"/>
        <w:rPr>
          <w:color w:val="auto"/>
          <w:highlight w:val="none"/>
        </w:rPr>
      </w:pPr>
    </w:p>
    <w:p w14:paraId="0B0C0965">
      <w:pPr>
        <w:spacing w:before="78" w:line="219" w:lineRule="auto"/>
        <w:ind w:left="402"/>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附件</w:t>
      </w:r>
      <w:r>
        <w:rPr>
          <w:rFonts w:ascii="宋体" w:hAnsi="宋体" w:eastAsia="宋体" w:cs="宋体"/>
          <w:color w:val="auto"/>
          <w:spacing w:val="-59"/>
          <w:sz w:val="24"/>
          <w:szCs w:val="24"/>
          <w:highlight w:val="none"/>
        </w:rPr>
        <w:t xml:space="preserve"> </w:t>
      </w:r>
      <w:r>
        <w:rPr>
          <w:rFonts w:ascii="Times New Roman" w:hAnsi="Times New Roman" w:eastAsia="Times New Roman" w:cs="Times New Roman"/>
          <w:color w:val="auto"/>
          <w:spacing w:val="-8"/>
          <w:sz w:val="24"/>
          <w:szCs w:val="24"/>
          <w:highlight w:val="none"/>
        </w:rPr>
        <w:t>4</w:t>
      </w:r>
      <w:r>
        <w:rPr>
          <w:rFonts w:ascii="宋体" w:hAnsi="宋体" w:eastAsia="宋体" w:cs="宋体"/>
          <w:color w:val="auto"/>
          <w:spacing w:val="-8"/>
          <w:sz w:val="24"/>
          <w:szCs w:val="24"/>
          <w:highlight w:val="none"/>
        </w:rPr>
        <w:t>：</w:t>
      </w:r>
    </w:p>
    <w:p w14:paraId="128E1FC8">
      <w:pPr>
        <w:spacing w:before="243" w:line="225" w:lineRule="auto"/>
        <w:ind w:left="3146"/>
        <w:rPr>
          <w:rFonts w:ascii="黑体" w:hAnsi="黑体" w:eastAsia="黑体" w:cs="黑体"/>
          <w:color w:val="auto"/>
          <w:sz w:val="27"/>
          <w:szCs w:val="27"/>
          <w:highlight w:val="none"/>
        </w:rPr>
      </w:pPr>
      <w:r>
        <w:rPr>
          <w:rFonts w:ascii="黑体" w:hAnsi="黑体" w:eastAsia="黑体" w:cs="黑体"/>
          <w:color w:val="auto"/>
          <w:spacing w:val="7"/>
          <w:sz w:val="27"/>
          <w:szCs w:val="27"/>
          <w:highlight w:val="none"/>
        </w:rPr>
        <w:t>主要建设工程文件目录</w:t>
      </w:r>
    </w:p>
    <w:p w14:paraId="6B196C00">
      <w:pPr>
        <w:spacing w:line="112" w:lineRule="exact"/>
        <w:rPr>
          <w:color w:val="auto"/>
          <w:highlight w:val="none"/>
        </w:rPr>
      </w:pPr>
    </w:p>
    <w:tbl>
      <w:tblPr>
        <w:tblStyle w:val="10"/>
        <w:tblW w:w="9046"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61"/>
        <w:gridCol w:w="1274"/>
        <w:gridCol w:w="1446"/>
        <w:gridCol w:w="1240"/>
        <w:gridCol w:w="1446"/>
        <w:gridCol w:w="1679"/>
      </w:tblGrid>
      <w:tr w14:paraId="46231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2" w:hRule="atLeast"/>
        </w:trPr>
        <w:tc>
          <w:tcPr>
            <w:tcW w:w="1961" w:type="dxa"/>
            <w:tcBorders>
              <w:top w:val="single" w:color="000000" w:sz="10" w:space="0"/>
              <w:left w:val="single" w:color="000000" w:sz="10" w:space="0"/>
            </w:tcBorders>
            <w:vAlign w:val="top"/>
          </w:tcPr>
          <w:p w14:paraId="27CA63BC">
            <w:pPr>
              <w:pStyle w:val="11"/>
              <w:spacing w:before="177" w:line="221" w:lineRule="auto"/>
              <w:ind w:left="85"/>
              <w:rPr>
                <w:color w:val="auto"/>
                <w:highlight w:val="none"/>
              </w:rPr>
            </w:pPr>
            <w:r>
              <w:rPr>
                <w:color w:val="auto"/>
                <w:spacing w:val="-1"/>
                <w:highlight w:val="none"/>
              </w:rPr>
              <w:t>文件名称</w:t>
            </w:r>
          </w:p>
        </w:tc>
        <w:tc>
          <w:tcPr>
            <w:tcW w:w="1274" w:type="dxa"/>
            <w:tcBorders>
              <w:top w:val="single" w:color="000000" w:sz="10" w:space="0"/>
            </w:tcBorders>
            <w:vAlign w:val="top"/>
          </w:tcPr>
          <w:p w14:paraId="6BEA68C0">
            <w:pPr>
              <w:pStyle w:val="11"/>
              <w:spacing w:before="177" w:line="221" w:lineRule="auto"/>
              <w:ind w:left="85"/>
              <w:rPr>
                <w:color w:val="auto"/>
                <w:highlight w:val="none"/>
              </w:rPr>
            </w:pPr>
            <w:r>
              <w:rPr>
                <w:color w:val="auto"/>
                <w:spacing w:val="-2"/>
                <w:highlight w:val="none"/>
              </w:rPr>
              <w:t>套数</w:t>
            </w:r>
          </w:p>
        </w:tc>
        <w:tc>
          <w:tcPr>
            <w:tcW w:w="1446" w:type="dxa"/>
            <w:tcBorders>
              <w:top w:val="single" w:color="000000" w:sz="10" w:space="0"/>
            </w:tcBorders>
            <w:vAlign w:val="top"/>
          </w:tcPr>
          <w:p w14:paraId="3751E30B">
            <w:pPr>
              <w:pStyle w:val="11"/>
              <w:spacing w:before="178" w:line="221" w:lineRule="auto"/>
              <w:ind w:left="100"/>
              <w:rPr>
                <w:color w:val="auto"/>
                <w:highlight w:val="none"/>
              </w:rPr>
            </w:pPr>
            <w:r>
              <w:rPr>
                <w:color w:val="auto"/>
                <w:spacing w:val="-5"/>
                <w:highlight w:val="none"/>
              </w:rPr>
              <w:t>费用（元）</w:t>
            </w:r>
          </w:p>
        </w:tc>
        <w:tc>
          <w:tcPr>
            <w:tcW w:w="1240" w:type="dxa"/>
            <w:tcBorders>
              <w:top w:val="single" w:color="000000" w:sz="10" w:space="0"/>
            </w:tcBorders>
            <w:vAlign w:val="top"/>
          </w:tcPr>
          <w:p w14:paraId="3EA0F1D4">
            <w:pPr>
              <w:pStyle w:val="11"/>
              <w:spacing w:before="178" w:line="221" w:lineRule="auto"/>
              <w:ind w:left="93"/>
              <w:rPr>
                <w:color w:val="auto"/>
                <w:highlight w:val="none"/>
              </w:rPr>
            </w:pPr>
            <w:r>
              <w:rPr>
                <w:color w:val="auto"/>
                <w:spacing w:val="-2"/>
                <w:highlight w:val="none"/>
              </w:rPr>
              <w:t>质量</w:t>
            </w:r>
          </w:p>
        </w:tc>
        <w:tc>
          <w:tcPr>
            <w:tcW w:w="1446" w:type="dxa"/>
            <w:tcBorders>
              <w:top w:val="single" w:color="000000" w:sz="10" w:space="0"/>
            </w:tcBorders>
            <w:vAlign w:val="top"/>
          </w:tcPr>
          <w:p w14:paraId="126C7616">
            <w:pPr>
              <w:pStyle w:val="11"/>
              <w:spacing w:before="178" w:line="222" w:lineRule="auto"/>
              <w:ind w:left="308"/>
              <w:rPr>
                <w:color w:val="auto"/>
                <w:highlight w:val="none"/>
              </w:rPr>
            </w:pPr>
            <w:r>
              <w:rPr>
                <w:color w:val="auto"/>
                <w:spacing w:val="-1"/>
                <w:highlight w:val="none"/>
              </w:rPr>
              <w:t>移交时间</w:t>
            </w:r>
          </w:p>
        </w:tc>
        <w:tc>
          <w:tcPr>
            <w:tcW w:w="1679" w:type="dxa"/>
            <w:tcBorders>
              <w:top w:val="single" w:color="000000" w:sz="10" w:space="0"/>
              <w:right w:val="single" w:color="000000" w:sz="10" w:space="0"/>
            </w:tcBorders>
            <w:vAlign w:val="top"/>
          </w:tcPr>
          <w:p w14:paraId="1D73651D">
            <w:pPr>
              <w:pStyle w:val="11"/>
              <w:spacing w:before="177" w:line="221" w:lineRule="auto"/>
              <w:ind w:left="535"/>
              <w:rPr>
                <w:color w:val="auto"/>
                <w:highlight w:val="none"/>
              </w:rPr>
            </w:pPr>
            <w:r>
              <w:rPr>
                <w:color w:val="auto"/>
                <w:spacing w:val="-3"/>
                <w:highlight w:val="none"/>
              </w:rPr>
              <w:t>责任人</w:t>
            </w:r>
          </w:p>
        </w:tc>
      </w:tr>
      <w:tr w14:paraId="45B11B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1961" w:type="dxa"/>
            <w:tcBorders>
              <w:left w:val="single" w:color="000000" w:sz="10" w:space="0"/>
            </w:tcBorders>
            <w:vAlign w:val="top"/>
          </w:tcPr>
          <w:p w14:paraId="766D8B9B">
            <w:pPr>
              <w:rPr>
                <w:rFonts w:ascii="Arial"/>
                <w:color w:val="auto"/>
                <w:sz w:val="21"/>
                <w:highlight w:val="none"/>
              </w:rPr>
            </w:pPr>
          </w:p>
        </w:tc>
        <w:tc>
          <w:tcPr>
            <w:tcW w:w="1274" w:type="dxa"/>
            <w:vAlign w:val="top"/>
          </w:tcPr>
          <w:p w14:paraId="34999387">
            <w:pPr>
              <w:rPr>
                <w:rFonts w:ascii="Arial"/>
                <w:color w:val="auto"/>
                <w:sz w:val="21"/>
                <w:highlight w:val="none"/>
              </w:rPr>
            </w:pPr>
          </w:p>
        </w:tc>
        <w:tc>
          <w:tcPr>
            <w:tcW w:w="1446" w:type="dxa"/>
            <w:vAlign w:val="top"/>
          </w:tcPr>
          <w:p w14:paraId="33597BA3">
            <w:pPr>
              <w:rPr>
                <w:rFonts w:ascii="Arial"/>
                <w:color w:val="auto"/>
                <w:sz w:val="21"/>
                <w:highlight w:val="none"/>
              </w:rPr>
            </w:pPr>
          </w:p>
        </w:tc>
        <w:tc>
          <w:tcPr>
            <w:tcW w:w="1240" w:type="dxa"/>
            <w:vAlign w:val="top"/>
          </w:tcPr>
          <w:p w14:paraId="01A96D5F">
            <w:pPr>
              <w:rPr>
                <w:rFonts w:ascii="Arial"/>
                <w:color w:val="auto"/>
                <w:sz w:val="21"/>
                <w:highlight w:val="none"/>
              </w:rPr>
            </w:pPr>
          </w:p>
        </w:tc>
        <w:tc>
          <w:tcPr>
            <w:tcW w:w="1446" w:type="dxa"/>
            <w:vAlign w:val="top"/>
          </w:tcPr>
          <w:p w14:paraId="38C3B6C1">
            <w:pPr>
              <w:rPr>
                <w:rFonts w:ascii="Arial"/>
                <w:color w:val="auto"/>
                <w:sz w:val="21"/>
                <w:highlight w:val="none"/>
              </w:rPr>
            </w:pPr>
          </w:p>
        </w:tc>
        <w:tc>
          <w:tcPr>
            <w:tcW w:w="1679" w:type="dxa"/>
            <w:tcBorders>
              <w:right w:val="single" w:color="000000" w:sz="10" w:space="0"/>
            </w:tcBorders>
            <w:vAlign w:val="top"/>
          </w:tcPr>
          <w:p w14:paraId="516FCDF8">
            <w:pPr>
              <w:rPr>
                <w:rFonts w:ascii="Arial"/>
                <w:color w:val="auto"/>
                <w:sz w:val="21"/>
                <w:highlight w:val="none"/>
              </w:rPr>
            </w:pPr>
          </w:p>
        </w:tc>
      </w:tr>
      <w:tr w14:paraId="76487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1D1C7A30">
            <w:pPr>
              <w:rPr>
                <w:rFonts w:ascii="Arial"/>
                <w:color w:val="auto"/>
                <w:sz w:val="21"/>
                <w:highlight w:val="none"/>
              </w:rPr>
            </w:pPr>
          </w:p>
        </w:tc>
        <w:tc>
          <w:tcPr>
            <w:tcW w:w="1274" w:type="dxa"/>
            <w:vAlign w:val="top"/>
          </w:tcPr>
          <w:p w14:paraId="53BCA75B">
            <w:pPr>
              <w:rPr>
                <w:rFonts w:ascii="Arial"/>
                <w:color w:val="auto"/>
                <w:sz w:val="21"/>
                <w:highlight w:val="none"/>
              </w:rPr>
            </w:pPr>
          </w:p>
        </w:tc>
        <w:tc>
          <w:tcPr>
            <w:tcW w:w="1446" w:type="dxa"/>
            <w:vAlign w:val="top"/>
          </w:tcPr>
          <w:p w14:paraId="4A6A02D4">
            <w:pPr>
              <w:rPr>
                <w:rFonts w:ascii="Arial"/>
                <w:color w:val="auto"/>
                <w:sz w:val="21"/>
                <w:highlight w:val="none"/>
              </w:rPr>
            </w:pPr>
          </w:p>
        </w:tc>
        <w:tc>
          <w:tcPr>
            <w:tcW w:w="1240" w:type="dxa"/>
            <w:vAlign w:val="top"/>
          </w:tcPr>
          <w:p w14:paraId="2E889619">
            <w:pPr>
              <w:rPr>
                <w:rFonts w:ascii="Arial"/>
                <w:color w:val="auto"/>
                <w:sz w:val="21"/>
                <w:highlight w:val="none"/>
              </w:rPr>
            </w:pPr>
          </w:p>
        </w:tc>
        <w:tc>
          <w:tcPr>
            <w:tcW w:w="1446" w:type="dxa"/>
            <w:vAlign w:val="top"/>
          </w:tcPr>
          <w:p w14:paraId="71DBF8BB">
            <w:pPr>
              <w:rPr>
                <w:rFonts w:ascii="Arial"/>
                <w:color w:val="auto"/>
                <w:sz w:val="21"/>
                <w:highlight w:val="none"/>
              </w:rPr>
            </w:pPr>
          </w:p>
        </w:tc>
        <w:tc>
          <w:tcPr>
            <w:tcW w:w="1679" w:type="dxa"/>
            <w:tcBorders>
              <w:right w:val="single" w:color="000000" w:sz="10" w:space="0"/>
            </w:tcBorders>
            <w:vAlign w:val="top"/>
          </w:tcPr>
          <w:p w14:paraId="08ECB431">
            <w:pPr>
              <w:rPr>
                <w:rFonts w:ascii="Arial"/>
                <w:color w:val="auto"/>
                <w:sz w:val="21"/>
                <w:highlight w:val="none"/>
              </w:rPr>
            </w:pPr>
          </w:p>
        </w:tc>
      </w:tr>
      <w:tr w14:paraId="3757C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1CA78406">
            <w:pPr>
              <w:rPr>
                <w:rFonts w:ascii="Arial"/>
                <w:color w:val="auto"/>
                <w:sz w:val="21"/>
                <w:highlight w:val="none"/>
              </w:rPr>
            </w:pPr>
          </w:p>
        </w:tc>
        <w:tc>
          <w:tcPr>
            <w:tcW w:w="1274" w:type="dxa"/>
            <w:vAlign w:val="top"/>
          </w:tcPr>
          <w:p w14:paraId="594344F2">
            <w:pPr>
              <w:rPr>
                <w:rFonts w:ascii="Arial"/>
                <w:color w:val="auto"/>
                <w:sz w:val="21"/>
                <w:highlight w:val="none"/>
              </w:rPr>
            </w:pPr>
          </w:p>
        </w:tc>
        <w:tc>
          <w:tcPr>
            <w:tcW w:w="1446" w:type="dxa"/>
            <w:vAlign w:val="top"/>
          </w:tcPr>
          <w:p w14:paraId="4226669C">
            <w:pPr>
              <w:rPr>
                <w:rFonts w:ascii="Arial"/>
                <w:color w:val="auto"/>
                <w:sz w:val="21"/>
                <w:highlight w:val="none"/>
              </w:rPr>
            </w:pPr>
          </w:p>
        </w:tc>
        <w:tc>
          <w:tcPr>
            <w:tcW w:w="1240" w:type="dxa"/>
            <w:vAlign w:val="top"/>
          </w:tcPr>
          <w:p w14:paraId="5956BA3C">
            <w:pPr>
              <w:rPr>
                <w:rFonts w:ascii="Arial"/>
                <w:color w:val="auto"/>
                <w:sz w:val="21"/>
                <w:highlight w:val="none"/>
              </w:rPr>
            </w:pPr>
          </w:p>
        </w:tc>
        <w:tc>
          <w:tcPr>
            <w:tcW w:w="1446" w:type="dxa"/>
            <w:vAlign w:val="top"/>
          </w:tcPr>
          <w:p w14:paraId="3250C47A">
            <w:pPr>
              <w:rPr>
                <w:rFonts w:ascii="Arial"/>
                <w:color w:val="auto"/>
                <w:sz w:val="21"/>
                <w:highlight w:val="none"/>
              </w:rPr>
            </w:pPr>
          </w:p>
        </w:tc>
        <w:tc>
          <w:tcPr>
            <w:tcW w:w="1679" w:type="dxa"/>
            <w:tcBorders>
              <w:right w:val="single" w:color="000000" w:sz="10" w:space="0"/>
            </w:tcBorders>
            <w:vAlign w:val="top"/>
          </w:tcPr>
          <w:p w14:paraId="7C8C303D">
            <w:pPr>
              <w:rPr>
                <w:rFonts w:ascii="Arial"/>
                <w:color w:val="auto"/>
                <w:sz w:val="21"/>
                <w:highlight w:val="none"/>
              </w:rPr>
            </w:pPr>
          </w:p>
        </w:tc>
      </w:tr>
      <w:tr w14:paraId="431CFA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4" w:hRule="atLeast"/>
        </w:trPr>
        <w:tc>
          <w:tcPr>
            <w:tcW w:w="1961" w:type="dxa"/>
            <w:tcBorders>
              <w:left w:val="single" w:color="000000" w:sz="10" w:space="0"/>
            </w:tcBorders>
            <w:vAlign w:val="top"/>
          </w:tcPr>
          <w:p w14:paraId="08BA1A44">
            <w:pPr>
              <w:rPr>
                <w:rFonts w:ascii="Arial"/>
                <w:color w:val="auto"/>
                <w:sz w:val="21"/>
                <w:highlight w:val="none"/>
              </w:rPr>
            </w:pPr>
          </w:p>
        </w:tc>
        <w:tc>
          <w:tcPr>
            <w:tcW w:w="1274" w:type="dxa"/>
            <w:vAlign w:val="top"/>
          </w:tcPr>
          <w:p w14:paraId="33EB1D2D">
            <w:pPr>
              <w:rPr>
                <w:rFonts w:ascii="Arial"/>
                <w:color w:val="auto"/>
                <w:sz w:val="21"/>
                <w:highlight w:val="none"/>
              </w:rPr>
            </w:pPr>
          </w:p>
        </w:tc>
        <w:tc>
          <w:tcPr>
            <w:tcW w:w="1446" w:type="dxa"/>
            <w:vAlign w:val="top"/>
          </w:tcPr>
          <w:p w14:paraId="4F1C4502">
            <w:pPr>
              <w:rPr>
                <w:rFonts w:ascii="Arial"/>
                <w:color w:val="auto"/>
                <w:sz w:val="21"/>
                <w:highlight w:val="none"/>
              </w:rPr>
            </w:pPr>
          </w:p>
        </w:tc>
        <w:tc>
          <w:tcPr>
            <w:tcW w:w="1240" w:type="dxa"/>
            <w:vAlign w:val="top"/>
          </w:tcPr>
          <w:p w14:paraId="66575E75">
            <w:pPr>
              <w:rPr>
                <w:rFonts w:ascii="Arial"/>
                <w:color w:val="auto"/>
                <w:sz w:val="21"/>
                <w:highlight w:val="none"/>
              </w:rPr>
            </w:pPr>
          </w:p>
        </w:tc>
        <w:tc>
          <w:tcPr>
            <w:tcW w:w="1446" w:type="dxa"/>
            <w:vAlign w:val="top"/>
          </w:tcPr>
          <w:p w14:paraId="5F7297BD">
            <w:pPr>
              <w:rPr>
                <w:rFonts w:ascii="Arial"/>
                <w:color w:val="auto"/>
                <w:sz w:val="21"/>
                <w:highlight w:val="none"/>
              </w:rPr>
            </w:pPr>
          </w:p>
        </w:tc>
        <w:tc>
          <w:tcPr>
            <w:tcW w:w="1679" w:type="dxa"/>
            <w:tcBorders>
              <w:right w:val="single" w:color="000000" w:sz="10" w:space="0"/>
            </w:tcBorders>
            <w:vAlign w:val="top"/>
          </w:tcPr>
          <w:p w14:paraId="4472594F">
            <w:pPr>
              <w:rPr>
                <w:rFonts w:ascii="Arial"/>
                <w:color w:val="auto"/>
                <w:sz w:val="21"/>
                <w:highlight w:val="none"/>
              </w:rPr>
            </w:pPr>
          </w:p>
        </w:tc>
      </w:tr>
      <w:tr w14:paraId="469C5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9" w:hRule="atLeast"/>
        </w:trPr>
        <w:tc>
          <w:tcPr>
            <w:tcW w:w="1961" w:type="dxa"/>
            <w:tcBorders>
              <w:left w:val="single" w:color="000000" w:sz="10" w:space="0"/>
            </w:tcBorders>
            <w:vAlign w:val="top"/>
          </w:tcPr>
          <w:p w14:paraId="181B275A">
            <w:pPr>
              <w:rPr>
                <w:rFonts w:ascii="Arial"/>
                <w:color w:val="auto"/>
                <w:sz w:val="21"/>
                <w:highlight w:val="none"/>
              </w:rPr>
            </w:pPr>
          </w:p>
        </w:tc>
        <w:tc>
          <w:tcPr>
            <w:tcW w:w="1274" w:type="dxa"/>
            <w:vAlign w:val="top"/>
          </w:tcPr>
          <w:p w14:paraId="0AA214FC">
            <w:pPr>
              <w:rPr>
                <w:rFonts w:ascii="Arial"/>
                <w:color w:val="auto"/>
                <w:sz w:val="21"/>
                <w:highlight w:val="none"/>
              </w:rPr>
            </w:pPr>
          </w:p>
        </w:tc>
        <w:tc>
          <w:tcPr>
            <w:tcW w:w="1446" w:type="dxa"/>
            <w:vAlign w:val="top"/>
          </w:tcPr>
          <w:p w14:paraId="2A1E1EF3">
            <w:pPr>
              <w:rPr>
                <w:rFonts w:ascii="Arial"/>
                <w:color w:val="auto"/>
                <w:sz w:val="21"/>
                <w:highlight w:val="none"/>
              </w:rPr>
            </w:pPr>
          </w:p>
        </w:tc>
        <w:tc>
          <w:tcPr>
            <w:tcW w:w="1240" w:type="dxa"/>
            <w:vAlign w:val="top"/>
          </w:tcPr>
          <w:p w14:paraId="46E826A8">
            <w:pPr>
              <w:rPr>
                <w:rFonts w:ascii="Arial"/>
                <w:color w:val="auto"/>
                <w:sz w:val="21"/>
                <w:highlight w:val="none"/>
              </w:rPr>
            </w:pPr>
          </w:p>
        </w:tc>
        <w:tc>
          <w:tcPr>
            <w:tcW w:w="1446" w:type="dxa"/>
            <w:vAlign w:val="top"/>
          </w:tcPr>
          <w:p w14:paraId="3DBCB82C">
            <w:pPr>
              <w:rPr>
                <w:rFonts w:ascii="Arial"/>
                <w:color w:val="auto"/>
                <w:sz w:val="21"/>
                <w:highlight w:val="none"/>
              </w:rPr>
            </w:pPr>
          </w:p>
        </w:tc>
        <w:tc>
          <w:tcPr>
            <w:tcW w:w="1679" w:type="dxa"/>
            <w:tcBorders>
              <w:right w:val="single" w:color="000000" w:sz="10" w:space="0"/>
            </w:tcBorders>
            <w:vAlign w:val="top"/>
          </w:tcPr>
          <w:p w14:paraId="489E9000">
            <w:pPr>
              <w:rPr>
                <w:rFonts w:ascii="Arial"/>
                <w:color w:val="auto"/>
                <w:sz w:val="21"/>
                <w:highlight w:val="none"/>
              </w:rPr>
            </w:pPr>
          </w:p>
        </w:tc>
      </w:tr>
      <w:tr w14:paraId="4A2B9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0" w:hRule="atLeast"/>
        </w:trPr>
        <w:tc>
          <w:tcPr>
            <w:tcW w:w="1961" w:type="dxa"/>
            <w:tcBorders>
              <w:left w:val="single" w:color="000000" w:sz="10" w:space="0"/>
            </w:tcBorders>
            <w:vAlign w:val="top"/>
          </w:tcPr>
          <w:p w14:paraId="6468693E">
            <w:pPr>
              <w:rPr>
                <w:rFonts w:ascii="Arial"/>
                <w:color w:val="auto"/>
                <w:sz w:val="21"/>
                <w:highlight w:val="none"/>
              </w:rPr>
            </w:pPr>
          </w:p>
        </w:tc>
        <w:tc>
          <w:tcPr>
            <w:tcW w:w="1274" w:type="dxa"/>
            <w:vAlign w:val="top"/>
          </w:tcPr>
          <w:p w14:paraId="20705CEC">
            <w:pPr>
              <w:rPr>
                <w:rFonts w:ascii="Arial"/>
                <w:color w:val="auto"/>
                <w:sz w:val="21"/>
                <w:highlight w:val="none"/>
              </w:rPr>
            </w:pPr>
          </w:p>
        </w:tc>
        <w:tc>
          <w:tcPr>
            <w:tcW w:w="1446" w:type="dxa"/>
            <w:vAlign w:val="top"/>
          </w:tcPr>
          <w:p w14:paraId="464E5B95">
            <w:pPr>
              <w:rPr>
                <w:rFonts w:ascii="Arial"/>
                <w:color w:val="auto"/>
                <w:sz w:val="21"/>
                <w:highlight w:val="none"/>
              </w:rPr>
            </w:pPr>
          </w:p>
        </w:tc>
        <w:tc>
          <w:tcPr>
            <w:tcW w:w="1240" w:type="dxa"/>
            <w:vAlign w:val="top"/>
          </w:tcPr>
          <w:p w14:paraId="76FF5362">
            <w:pPr>
              <w:rPr>
                <w:rFonts w:ascii="Arial"/>
                <w:color w:val="auto"/>
                <w:sz w:val="21"/>
                <w:highlight w:val="none"/>
              </w:rPr>
            </w:pPr>
          </w:p>
        </w:tc>
        <w:tc>
          <w:tcPr>
            <w:tcW w:w="1446" w:type="dxa"/>
            <w:vAlign w:val="top"/>
          </w:tcPr>
          <w:p w14:paraId="76158DA5">
            <w:pPr>
              <w:rPr>
                <w:rFonts w:ascii="Arial"/>
                <w:color w:val="auto"/>
                <w:sz w:val="21"/>
                <w:highlight w:val="none"/>
              </w:rPr>
            </w:pPr>
          </w:p>
        </w:tc>
        <w:tc>
          <w:tcPr>
            <w:tcW w:w="1679" w:type="dxa"/>
            <w:tcBorders>
              <w:right w:val="single" w:color="000000" w:sz="10" w:space="0"/>
            </w:tcBorders>
            <w:vAlign w:val="top"/>
          </w:tcPr>
          <w:p w14:paraId="501983BA">
            <w:pPr>
              <w:rPr>
                <w:rFonts w:ascii="Arial"/>
                <w:color w:val="auto"/>
                <w:sz w:val="21"/>
                <w:highlight w:val="none"/>
              </w:rPr>
            </w:pPr>
          </w:p>
        </w:tc>
      </w:tr>
      <w:tr w14:paraId="3CE7A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1" w:type="dxa"/>
            <w:tcBorders>
              <w:left w:val="single" w:color="000000" w:sz="10" w:space="0"/>
            </w:tcBorders>
            <w:vAlign w:val="top"/>
          </w:tcPr>
          <w:p w14:paraId="5061DBAC">
            <w:pPr>
              <w:rPr>
                <w:rFonts w:ascii="Arial"/>
                <w:color w:val="auto"/>
                <w:sz w:val="21"/>
                <w:highlight w:val="none"/>
              </w:rPr>
            </w:pPr>
          </w:p>
        </w:tc>
        <w:tc>
          <w:tcPr>
            <w:tcW w:w="1274" w:type="dxa"/>
            <w:vAlign w:val="top"/>
          </w:tcPr>
          <w:p w14:paraId="53CD3CB4">
            <w:pPr>
              <w:rPr>
                <w:rFonts w:ascii="Arial"/>
                <w:color w:val="auto"/>
                <w:sz w:val="21"/>
                <w:highlight w:val="none"/>
              </w:rPr>
            </w:pPr>
          </w:p>
        </w:tc>
        <w:tc>
          <w:tcPr>
            <w:tcW w:w="1446" w:type="dxa"/>
            <w:vAlign w:val="top"/>
          </w:tcPr>
          <w:p w14:paraId="2A4518EF">
            <w:pPr>
              <w:rPr>
                <w:rFonts w:ascii="Arial"/>
                <w:color w:val="auto"/>
                <w:sz w:val="21"/>
                <w:highlight w:val="none"/>
              </w:rPr>
            </w:pPr>
          </w:p>
        </w:tc>
        <w:tc>
          <w:tcPr>
            <w:tcW w:w="1240" w:type="dxa"/>
            <w:vAlign w:val="top"/>
          </w:tcPr>
          <w:p w14:paraId="06E958CA">
            <w:pPr>
              <w:rPr>
                <w:rFonts w:ascii="Arial"/>
                <w:color w:val="auto"/>
                <w:sz w:val="21"/>
                <w:highlight w:val="none"/>
              </w:rPr>
            </w:pPr>
          </w:p>
        </w:tc>
        <w:tc>
          <w:tcPr>
            <w:tcW w:w="1446" w:type="dxa"/>
            <w:vAlign w:val="top"/>
          </w:tcPr>
          <w:p w14:paraId="552CF375">
            <w:pPr>
              <w:rPr>
                <w:rFonts w:ascii="Arial"/>
                <w:color w:val="auto"/>
                <w:sz w:val="21"/>
                <w:highlight w:val="none"/>
              </w:rPr>
            </w:pPr>
          </w:p>
        </w:tc>
        <w:tc>
          <w:tcPr>
            <w:tcW w:w="1679" w:type="dxa"/>
            <w:tcBorders>
              <w:right w:val="single" w:color="000000" w:sz="10" w:space="0"/>
            </w:tcBorders>
            <w:vAlign w:val="top"/>
          </w:tcPr>
          <w:p w14:paraId="71E00965">
            <w:pPr>
              <w:rPr>
                <w:rFonts w:ascii="Arial"/>
                <w:color w:val="auto"/>
                <w:sz w:val="21"/>
                <w:highlight w:val="none"/>
              </w:rPr>
            </w:pPr>
          </w:p>
        </w:tc>
      </w:tr>
      <w:tr w14:paraId="43FDD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961" w:type="dxa"/>
            <w:tcBorders>
              <w:left w:val="single" w:color="000000" w:sz="10" w:space="0"/>
            </w:tcBorders>
            <w:vAlign w:val="top"/>
          </w:tcPr>
          <w:p w14:paraId="5F5E4DD6">
            <w:pPr>
              <w:rPr>
                <w:rFonts w:ascii="Arial"/>
                <w:color w:val="auto"/>
                <w:sz w:val="21"/>
                <w:highlight w:val="none"/>
              </w:rPr>
            </w:pPr>
          </w:p>
        </w:tc>
        <w:tc>
          <w:tcPr>
            <w:tcW w:w="1274" w:type="dxa"/>
            <w:vAlign w:val="top"/>
          </w:tcPr>
          <w:p w14:paraId="314ACDA6">
            <w:pPr>
              <w:rPr>
                <w:rFonts w:ascii="Arial"/>
                <w:color w:val="auto"/>
                <w:sz w:val="21"/>
                <w:highlight w:val="none"/>
              </w:rPr>
            </w:pPr>
          </w:p>
        </w:tc>
        <w:tc>
          <w:tcPr>
            <w:tcW w:w="1446" w:type="dxa"/>
            <w:vAlign w:val="top"/>
          </w:tcPr>
          <w:p w14:paraId="76CAFE20">
            <w:pPr>
              <w:rPr>
                <w:rFonts w:ascii="Arial"/>
                <w:color w:val="auto"/>
                <w:sz w:val="21"/>
                <w:highlight w:val="none"/>
              </w:rPr>
            </w:pPr>
          </w:p>
        </w:tc>
        <w:tc>
          <w:tcPr>
            <w:tcW w:w="1240" w:type="dxa"/>
            <w:vAlign w:val="top"/>
          </w:tcPr>
          <w:p w14:paraId="670BC51D">
            <w:pPr>
              <w:rPr>
                <w:rFonts w:ascii="Arial"/>
                <w:color w:val="auto"/>
                <w:sz w:val="21"/>
                <w:highlight w:val="none"/>
              </w:rPr>
            </w:pPr>
          </w:p>
        </w:tc>
        <w:tc>
          <w:tcPr>
            <w:tcW w:w="1446" w:type="dxa"/>
            <w:vAlign w:val="top"/>
          </w:tcPr>
          <w:p w14:paraId="54DF25C4">
            <w:pPr>
              <w:rPr>
                <w:rFonts w:ascii="Arial"/>
                <w:color w:val="auto"/>
                <w:sz w:val="21"/>
                <w:highlight w:val="none"/>
              </w:rPr>
            </w:pPr>
          </w:p>
        </w:tc>
        <w:tc>
          <w:tcPr>
            <w:tcW w:w="1679" w:type="dxa"/>
            <w:tcBorders>
              <w:right w:val="single" w:color="000000" w:sz="10" w:space="0"/>
            </w:tcBorders>
            <w:vAlign w:val="top"/>
          </w:tcPr>
          <w:p w14:paraId="5B9FC926">
            <w:pPr>
              <w:rPr>
                <w:rFonts w:ascii="Arial"/>
                <w:color w:val="auto"/>
                <w:sz w:val="21"/>
                <w:highlight w:val="none"/>
              </w:rPr>
            </w:pPr>
          </w:p>
        </w:tc>
      </w:tr>
      <w:tr w14:paraId="07C5FC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0" w:hRule="atLeast"/>
        </w:trPr>
        <w:tc>
          <w:tcPr>
            <w:tcW w:w="1961" w:type="dxa"/>
            <w:tcBorders>
              <w:left w:val="single" w:color="000000" w:sz="10" w:space="0"/>
            </w:tcBorders>
            <w:vAlign w:val="top"/>
          </w:tcPr>
          <w:p w14:paraId="26DFE44C">
            <w:pPr>
              <w:rPr>
                <w:rFonts w:ascii="Arial"/>
                <w:color w:val="auto"/>
                <w:sz w:val="21"/>
                <w:highlight w:val="none"/>
              </w:rPr>
            </w:pPr>
          </w:p>
        </w:tc>
        <w:tc>
          <w:tcPr>
            <w:tcW w:w="1274" w:type="dxa"/>
            <w:vAlign w:val="top"/>
          </w:tcPr>
          <w:p w14:paraId="1F53F0B4">
            <w:pPr>
              <w:rPr>
                <w:rFonts w:ascii="Arial"/>
                <w:color w:val="auto"/>
                <w:sz w:val="21"/>
                <w:highlight w:val="none"/>
              </w:rPr>
            </w:pPr>
          </w:p>
        </w:tc>
        <w:tc>
          <w:tcPr>
            <w:tcW w:w="1446" w:type="dxa"/>
            <w:vAlign w:val="top"/>
          </w:tcPr>
          <w:p w14:paraId="7EA4F2E9">
            <w:pPr>
              <w:rPr>
                <w:rFonts w:ascii="Arial"/>
                <w:color w:val="auto"/>
                <w:sz w:val="21"/>
                <w:highlight w:val="none"/>
              </w:rPr>
            </w:pPr>
          </w:p>
        </w:tc>
        <w:tc>
          <w:tcPr>
            <w:tcW w:w="1240" w:type="dxa"/>
            <w:vAlign w:val="top"/>
          </w:tcPr>
          <w:p w14:paraId="3EAA73B6">
            <w:pPr>
              <w:rPr>
                <w:rFonts w:ascii="Arial"/>
                <w:color w:val="auto"/>
                <w:sz w:val="21"/>
                <w:highlight w:val="none"/>
              </w:rPr>
            </w:pPr>
          </w:p>
        </w:tc>
        <w:tc>
          <w:tcPr>
            <w:tcW w:w="1446" w:type="dxa"/>
            <w:vAlign w:val="top"/>
          </w:tcPr>
          <w:p w14:paraId="04B797DB">
            <w:pPr>
              <w:rPr>
                <w:rFonts w:ascii="Arial"/>
                <w:color w:val="auto"/>
                <w:sz w:val="21"/>
                <w:highlight w:val="none"/>
              </w:rPr>
            </w:pPr>
          </w:p>
        </w:tc>
        <w:tc>
          <w:tcPr>
            <w:tcW w:w="1679" w:type="dxa"/>
            <w:tcBorders>
              <w:right w:val="single" w:color="000000" w:sz="10" w:space="0"/>
            </w:tcBorders>
            <w:vAlign w:val="top"/>
          </w:tcPr>
          <w:p w14:paraId="4C0FB6E1">
            <w:pPr>
              <w:rPr>
                <w:rFonts w:ascii="Arial"/>
                <w:color w:val="auto"/>
                <w:sz w:val="21"/>
                <w:highlight w:val="none"/>
              </w:rPr>
            </w:pPr>
          </w:p>
        </w:tc>
      </w:tr>
      <w:tr w14:paraId="038A6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1" w:type="dxa"/>
            <w:tcBorders>
              <w:left w:val="single" w:color="000000" w:sz="10" w:space="0"/>
            </w:tcBorders>
            <w:vAlign w:val="top"/>
          </w:tcPr>
          <w:p w14:paraId="4AB57652">
            <w:pPr>
              <w:rPr>
                <w:rFonts w:ascii="Arial"/>
                <w:color w:val="auto"/>
                <w:sz w:val="21"/>
                <w:highlight w:val="none"/>
              </w:rPr>
            </w:pPr>
          </w:p>
        </w:tc>
        <w:tc>
          <w:tcPr>
            <w:tcW w:w="1274" w:type="dxa"/>
            <w:vAlign w:val="top"/>
          </w:tcPr>
          <w:p w14:paraId="5C27551E">
            <w:pPr>
              <w:rPr>
                <w:rFonts w:ascii="Arial"/>
                <w:color w:val="auto"/>
                <w:sz w:val="21"/>
                <w:highlight w:val="none"/>
              </w:rPr>
            </w:pPr>
          </w:p>
        </w:tc>
        <w:tc>
          <w:tcPr>
            <w:tcW w:w="1446" w:type="dxa"/>
            <w:vAlign w:val="top"/>
          </w:tcPr>
          <w:p w14:paraId="71EB4B99">
            <w:pPr>
              <w:rPr>
                <w:rFonts w:ascii="Arial"/>
                <w:color w:val="auto"/>
                <w:sz w:val="21"/>
                <w:highlight w:val="none"/>
              </w:rPr>
            </w:pPr>
          </w:p>
        </w:tc>
        <w:tc>
          <w:tcPr>
            <w:tcW w:w="1240" w:type="dxa"/>
            <w:vAlign w:val="top"/>
          </w:tcPr>
          <w:p w14:paraId="5010C8EF">
            <w:pPr>
              <w:rPr>
                <w:rFonts w:ascii="Arial"/>
                <w:color w:val="auto"/>
                <w:sz w:val="21"/>
                <w:highlight w:val="none"/>
              </w:rPr>
            </w:pPr>
          </w:p>
        </w:tc>
        <w:tc>
          <w:tcPr>
            <w:tcW w:w="1446" w:type="dxa"/>
            <w:vAlign w:val="top"/>
          </w:tcPr>
          <w:p w14:paraId="09722234">
            <w:pPr>
              <w:rPr>
                <w:rFonts w:ascii="Arial"/>
                <w:color w:val="auto"/>
                <w:sz w:val="21"/>
                <w:highlight w:val="none"/>
              </w:rPr>
            </w:pPr>
          </w:p>
        </w:tc>
        <w:tc>
          <w:tcPr>
            <w:tcW w:w="1679" w:type="dxa"/>
            <w:tcBorders>
              <w:right w:val="single" w:color="000000" w:sz="10" w:space="0"/>
            </w:tcBorders>
            <w:vAlign w:val="top"/>
          </w:tcPr>
          <w:p w14:paraId="533D3862">
            <w:pPr>
              <w:rPr>
                <w:rFonts w:ascii="Arial"/>
                <w:color w:val="auto"/>
                <w:sz w:val="21"/>
                <w:highlight w:val="none"/>
              </w:rPr>
            </w:pPr>
          </w:p>
        </w:tc>
      </w:tr>
      <w:tr w14:paraId="6E9B6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0" w:hRule="atLeast"/>
        </w:trPr>
        <w:tc>
          <w:tcPr>
            <w:tcW w:w="1961" w:type="dxa"/>
            <w:tcBorders>
              <w:left w:val="single" w:color="000000" w:sz="10" w:space="0"/>
            </w:tcBorders>
            <w:vAlign w:val="top"/>
          </w:tcPr>
          <w:p w14:paraId="6564C946">
            <w:pPr>
              <w:rPr>
                <w:rFonts w:ascii="Arial"/>
                <w:color w:val="auto"/>
                <w:sz w:val="21"/>
                <w:highlight w:val="none"/>
              </w:rPr>
            </w:pPr>
          </w:p>
        </w:tc>
        <w:tc>
          <w:tcPr>
            <w:tcW w:w="1274" w:type="dxa"/>
            <w:vAlign w:val="top"/>
          </w:tcPr>
          <w:p w14:paraId="28AD5359">
            <w:pPr>
              <w:rPr>
                <w:rFonts w:ascii="Arial"/>
                <w:color w:val="auto"/>
                <w:sz w:val="21"/>
                <w:highlight w:val="none"/>
              </w:rPr>
            </w:pPr>
          </w:p>
        </w:tc>
        <w:tc>
          <w:tcPr>
            <w:tcW w:w="1446" w:type="dxa"/>
            <w:vAlign w:val="top"/>
          </w:tcPr>
          <w:p w14:paraId="78EECB51">
            <w:pPr>
              <w:rPr>
                <w:rFonts w:ascii="Arial"/>
                <w:color w:val="auto"/>
                <w:sz w:val="21"/>
                <w:highlight w:val="none"/>
              </w:rPr>
            </w:pPr>
          </w:p>
        </w:tc>
        <w:tc>
          <w:tcPr>
            <w:tcW w:w="1240" w:type="dxa"/>
            <w:vAlign w:val="top"/>
          </w:tcPr>
          <w:p w14:paraId="57B0A316">
            <w:pPr>
              <w:rPr>
                <w:rFonts w:ascii="Arial"/>
                <w:color w:val="auto"/>
                <w:sz w:val="21"/>
                <w:highlight w:val="none"/>
              </w:rPr>
            </w:pPr>
          </w:p>
        </w:tc>
        <w:tc>
          <w:tcPr>
            <w:tcW w:w="1446" w:type="dxa"/>
            <w:vAlign w:val="top"/>
          </w:tcPr>
          <w:p w14:paraId="654BBB81">
            <w:pPr>
              <w:rPr>
                <w:rFonts w:ascii="Arial"/>
                <w:color w:val="auto"/>
                <w:sz w:val="21"/>
                <w:highlight w:val="none"/>
              </w:rPr>
            </w:pPr>
          </w:p>
        </w:tc>
        <w:tc>
          <w:tcPr>
            <w:tcW w:w="1679" w:type="dxa"/>
            <w:tcBorders>
              <w:right w:val="single" w:color="000000" w:sz="10" w:space="0"/>
            </w:tcBorders>
            <w:vAlign w:val="top"/>
          </w:tcPr>
          <w:p w14:paraId="0B50E7C5">
            <w:pPr>
              <w:rPr>
                <w:rFonts w:ascii="Arial"/>
                <w:color w:val="auto"/>
                <w:sz w:val="21"/>
                <w:highlight w:val="none"/>
              </w:rPr>
            </w:pPr>
          </w:p>
        </w:tc>
      </w:tr>
      <w:tr w14:paraId="70121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5" w:hRule="atLeast"/>
        </w:trPr>
        <w:tc>
          <w:tcPr>
            <w:tcW w:w="1961" w:type="dxa"/>
            <w:tcBorders>
              <w:left w:val="single" w:color="000000" w:sz="10" w:space="0"/>
            </w:tcBorders>
            <w:vAlign w:val="top"/>
          </w:tcPr>
          <w:p w14:paraId="20291551">
            <w:pPr>
              <w:rPr>
                <w:rFonts w:ascii="Arial"/>
                <w:color w:val="auto"/>
                <w:sz w:val="21"/>
                <w:highlight w:val="none"/>
              </w:rPr>
            </w:pPr>
          </w:p>
        </w:tc>
        <w:tc>
          <w:tcPr>
            <w:tcW w:w="1274" w:type="dxa"/>
            <w:vAlign w:val="top"/>
          </w:tcPr>
          <w:p w14:paraId="06C83B07">
            <w:pPr>
              <w:rPr>
                <w:rFonts w:ascii="Arial"/>
                <w:color w:val="auto"/>
                <w:sz w:val="21"/>
                <w:highlight w:val="none"/>
              </w:rPr>
            </w:pPr>
          </w:p>
        </w:tc>
        <w:tc>
          <w:tcPr>
            <w:tcW w:w="1446" w:type="dxa"/>
            <w:vAlign w:val="top"/>
          </w:tcPr>
          <w:p w14:paraId="6DAEDCCB">
            <w:pPr>
              <w:rPr>
                <w:rFonts w:ascii="Arial"/>
                <w:color w:val="auto"/>
                <w:sz w:val="21"/>
                <w:highlight w:val="none"/>
              </w:rPr>
            </w:pPr>
          </w:p>
        </w:tc>
        <w:tc>
          <w:tcPr>
            <w:tcW w:w="1240" w:type="dxa"/>
            <w:vAlign w:val="top"/>
          </w:tcPr>
          <w:p w14:paraId="5E3BDD54">
            <w:pPr>
              <w:rPr>
                <w:rFonts w:ascii="Arial"/>
                <w:color w:val="auto"/>
                <w:sz w:val="21"/>
                <w:highlight w:val="none"/>
              </w:rPr>
            </w:pPr>
          </w:p>
        </w:tc>
        <w:tc>
          <w:tcPr>
            <w:tcW w:w="1446" w:type="dxa"/>
            <w:vAlign w:val="top"/>
          </w:tcPr>
          <w:p w14:paraId="38EE4434">
            <w:pPr>
              <w:rPr>
                <w:rFonts w:ascii="Arial"/>
                <w:color w:val="auto"/>
                <w:sz w:val="21"/>
                <w:highlight w:val="none"/>
              </w:rPr>
            </w:pPr>
          </w:p>
        </w:tc>
        <w:tc>
          <w:tcPr>
            <w:tcW w:w="1679" w:type="dxa"/>
            <w:tcBorders>
              <w:right w:val="single" w:color="000000" w:sz="10" w:space="0"/>
            </w:tcBorders>
            <w:vAlign w:val="top"/>
          </w:tcPr>
          <w:p w14:paraId="5E63243B">
            <w:pPr>
              <w:rPr>
                <w:rFonts w:ascii="Arial"/>
                <w:color w:val="auto"/>
                <w:sz w:val="21"/>
                <w:highlight w:val="none"/>
              </w:rPr>
            </w:pPr>
          </w:p>
        </w:tc>
      </w:tr>
      <w:tr w14:paraId="267EF7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3DE088D7">
            <w:pPr>
              <w:rPr>
                <w:rFonts w:ascii="Arial"/>
                <w:color w:val="auto"/>
                <w:sz w:val="21"/>
                <w:highlight w:val="none"/>
              </w:rPr>
            </w:pPr>
          </w:p>
        </w:tc>
        <w:tc>
          <w:tcPr>
            <w:tcW w:w="1274" w:type="dxa"/>
            <w:vAlign w:val="top"/>
          </w:tcPr>
          <w:p w14:paraId="3F0020A3">
            <w:pPr>
              <w:rPr>
                <w:rFonts w:ascii="Arial"/>
                <w:color w:val="auto"/>
                <w:sz w:val="21"/>
                <w:highlight w:val="none"/>
              </w:rPr>
            </w:pPr>
          </w:p>
        </w:tc>
        <w:tc>
          <w:tcPr>
            <w:tcW w:w="1446" w:type="dxa"/>
            <w:vAlign w:val="top"/>
          </w:tcPr>
          <w:p w14:paraId="1D459FC5">
            <w:pPr>
              <w:rPr>
                <w:rFonts w:ascii="Arial"/>
                <w:color w:val="auto"/>
                <w:sz w:val="21"/>
                <w:highlight w:val="none"/>
              </w:rPr>
            </w:pPr>
          </w:p>
        </w:tc>
        <w:tc>
          <w:tcPr>
            <w:tcW w:w="1240" w:type="dxa"/>
            <w:vAlign w:val="top"/>
          </w:tcPr>
          <w:p w14:paraId="33FAC688">
            <w:pPr>
              <w:rPr>
                <w:rFonts w:ascii="Arial"/>
                <w:color w:val="auto"/>
                <w:sz w:val="21"/>
                <w:highlight w:val="none"/>
              </w:rPr>
            </w:pPr>
          </w:p>
        </w:tc>
        <w:tc>
          <w:tcPr>
            <w:tcW w:w="1446" w:type="dxa"/>
            <w:vAlign w:val="top"/>
          </w:tcPr>
          <w:p w14:paraId="4161048E">
            <w:pPr>
              <w:rPr>
                <w:rFonts w:ascii="Arial"/>
                <w:color w:val="auto"/>
                <w:sz w:val="21"/>
                <w:highlight w:val="none"/>
              </w:rPr>
            </w:pPr>
          </w:p>
        </w:tc>
        <w:tc>
          <w:tcPr>
            <w:tcW w:w="1679" w:type="dxa"/>
            <w:tcBorders>
              <w:right w:val="single" w:color="000000" w:sz="10" w:space="0"/>
            </w:tcBorders>
            <w:vAlign w:val="top"/>
          </w:tcPr>
          <w:p w14:paraId="571A8E4F">
            <w:pPr>
              <w:rPr>
                <w:rFonts w:ascii="Arial"/>
                <w:color w:val="auto"/>
                <w:sz w:val="21"/>
                <w:highlight w:val="none"/>
              </w:rPr>
            </w:pPr>
          </w:p>
        </w:tc>
      </w:tr>
      <w:tr w14:paraId="5954A0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0" w:hRule="atLeast"/>
        </w:trPr>
        <w:tc>
          <w:tcPr>
            <w:tcW w:w="1961" w:type="dxa"/>
            <w:tcBorders>
              <w:left w:val="single" w:color="000000" w:sz="10" w:space="0"/>
            </w:tcBorders>
            <w:vAlign w:val="top"/>
          </w:tcPr>
          <w:p w14:paraId="16B23012">
            <w:pPr>
              <w:rPr>
                <w:rFonts w:ascii="Arial"/>
                <w:color w:val="auto"/>
                <w:sz w:val="21"/>
                <w:highlight w:val="none"/>
              </w:rPr>
            </w:pPr>
          </w:p>
        </w:tc>
        <w:tc>
          <w:tcPr>
            <w:tcW w:w="1274" w:type="dxa"/>
            <w:vAlign w:val="top"/>
          </w:tcPr>
          <w:p w14:paraId="1E93471B">
            <w:pPr>
              <w:rPr>
                <w:rFonts w:ascii="Arial"/>
                <w:color w:val="auto"/>
                <w:sz w:val="21"/>
                <w:highlight w:val="none"/>
              </w:rPr>
            </w:pPr>
          </w:p>
        </w:tc>
        <w:tc>
          <w:tcPr>
            <w:tcW w:w="1446" w:type="dxa"/>
            <w:vAlign w:val="top"/>
          </w:tcPr>
          <w:p w14:paraId="17AFF967">
            <w:pPr>
              <w:rPr>
                <w:rFonts w:ascii="Arial"/>
                <w:color w:val="auto"/>
                <w:sz w:val="21"/>
                <w:highlight w:val="none"/>
              </w:rPr>
            </w:pPr>
          </w:p>
        </w:tc>
        <w:tc>
          <w:tcPr>
            <w:tcW w:w="1240" w:type="dxa"/>
            <w:vAlign w:val="top"/>
          </w:tcPr>
          <w:p w14:paraId="255639AE">
            <w:pPr>
              <w:rPr>
                <w:rFonts w:ascii="Arial"/>
                <w:color w:val="auto"/>
                <w:sz w:val="21"/>
                <w:highlight w:val="none"/>
              </w:rPr>
            </w:pPr>
          </w:p>
        </w:tc>
        <w:tc>
          <w:tcPr>
            <w:tcW w:w="1446" w:type="dxa"/>
            <w:vAlign w:val="top"/>
          </w:tcPr>
          <w:p w14:paraId="57A55229">
            <w:pPr>
              <w:rPr>
                <w:rFonts w:ascii="Arial"/>
                <w:color w:val="auto"/>
                <w:sz w:val="21"/>
                <w:highlight w:val="none"/>
              </w:rPr>
            </w:pPr>
          </w:p>
        </w:tc>
        <w:tc>
          <w:tcPr>
            <w:tcW w:w="1679" w:type="dxa"/>
            <w:tcBorders>
              <w:right w:val="single" w:color="000000" w:sz="10" w:space="0"/>
            </w:tcBorders>
            <w:vAlign w:val="top"/>
          </w:tcPr>
          <w:p w14:paraId="32CA694F">
            <w:pPr>
              <w:rPr>
                <w:rFonts w:ascii="Arial"/>
                <w:color w:val="auto"/>
                <w:sz w:val="21"/>
                <w:highlight w:val="none"/>
              </w:rPr>
            </w:pPr>
          </w:p>
        </w:tc>
      </w:tr>
      <w:tr w14:paraId="79E73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4A95479C">
            <w:pPr>
              <w:rPr>
                <w:rFonts w:ascii="Arial"/>
                <w:color w:val="auto"/>
                <w:sz w:val="21"/>
                <w:highlight w:val="none"/>
              </w:rPr>
            </w:pPr>
          </w:p>
        </w:tc>
        <w:tc>
          <w:tcPr>
            <w:tcW w:w="1274" w:type="dxa"/>
            <w:vAlign w:val="top"/>
          </w:tcPr>
          <w:p w14:paraId="23637CB6">
            <w:pPr>
              <w:rPr>
                <w:rFonts w:ascii="Arial"/>
                <w:color w:val="auto"/>
                <w:sz w:val="21"/>
                <w:highlight w:val="none"/>
              </w:rPr>
            </w:pPr>
          </w:p>
        </w:tc>
        <w:tc>
          <w:tcPr>
            <w:tcW w:w="1446" w:type="dxa"/>
            <w:vAlign w:val="top"/>
          </w:tcPr>
          <w:p w14:paraId="13ECBBC1">
            <w:pPr>
              <w:rPr>
                <w:rFonts w:ascii="Arial"/>
                <w:color w:val="auto"/>
                <w:sz w:val="21"/>
                <w:highlight w:val="none"/>
              </w:rPr>
            </w:pPr>
          </w:p>
        </w:tc>
        <w:tc>
          <w:tcPr>
            <w:tcW w:w="1240" w:type="dxa"/>
            <w:vAlign w:val="top"/>
          </w:tcPr>
          <w:p w14:paraId="24A7E9FE">
            <w:pPr>
              <w:rPr>
                <w:rFonts w:ascii="Arial"/>
                <w:color w:val="auto"/>
                <w:sz w:val="21"/>
                <w:highlight w:val="none"/>
              </w:rPr>
            </w:pPr>
          </w:p>
        </w:tc>
        <w:tc>
          <w:tcPr>
            <w:tcW w:w="1446" w:type="dxa"/>
            <w:vAlign w:val="top"/>
          </w:tcPr>
          <w:p w14:paraId="3E7BC2E9">
            <w:pPr>
              <w:rPr>
                <w:rFonts w:ascii="Arial"/>
                <w:color w:val="auto"/>
                <w:sz w:val="21"/>
                <w:highlight w:val="none"/>
              </w:rPr>
            </w:pPr>
          </w:p>
        </w:tc>
        <w:tc>
          <w:tcPr>
            <w:tcW w:w="1679" w:type="dxa"/>
            <w:tcBorders>
              <w:right w:val="single" w:color="000000" w:sz="10" w:space="0"/>
            </w:tcBorders>
            <w:vAlign w:val="top"/>
          </w:tcPr>
          <w:p w14:paraId="20B237D1">
            <w:pPr>
              <w:rPr>
                <w:rFonts w:ascii="Arial"/>
                <w:color w:val="auto"/>
                <w:sz w:val="21"/>
                <w:highlight w:val="none"/>
              </w:rPr>
            </w:pPr>
          </w:p>
        </w:tc>
      </w:tr>
      <w:tr w14:paraId="4965F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4" w:hRule="atLeast"/>
        </w:trPr>
        <w:tc>
          <w:tcPr>
            <w:tcW w:w="1961" w:type="dxa"/>
            <w:tcBorders>
              <w:left w:val="single" w:color="000000" w:sz="10" w:space="0"/>
            </w:tcBorders>
            <w:vAlign w:val="top"/>
          </w:tcPr>
          <w:p w14:paraId="1BAB8A21">
            <w:pPr>
              <w:rPr>
                <w:rFonts w:ascii="Arial"/>
                <w:color w:val="auto"/>
                <w:sz w:val="21"/>
                <w:highlight w:val="none"/>
              </w:rPr>
            </w:pPr>
          </w:p>
        </w:tc>
        <w:tc>
          <w:tcPr>
            <w:tcW w:w="1274" w:type="dxa"/>
            <w:vAlign w:val="top"/>
          </w:tcPr>
          <w:p w14:paraId="17D00AE1">
            <w:pPr>
              <w:rPr>
                <w:rFonts w:ascii="Arial"/>
                <w:color w:val="auto"/>
                <w:sz w:val="21"/>
                <w:highlight w:val="none"/>
              </w:rPr>
            </w:pPr>
          </w:p>
        </w:tc>
        <w:tc>
          <w:tcPr>
            <w:tcW w:w="1446" w:type="dxa"/>
            <w:vAlign w:val="top"/>
          </w:tcPr>
          <w:p w14:paraId="5761CDB9">
            <w:pPr>
              <w:rPr>
                <w:rFonts w:ascii="Arial"/>
                <w:color w:val="auto"/>
                <w:sz w:val="21"/>
                <w:highlight w:val="none"/>
              </w:rPr>
            </w:pPr>
          </w:p>
        </w:tc>
        <w:tc>
          <w:tcPr>
            <w:tcW w:w="1240" w:type="dxa"/>
            <w:vAlign w:val="top"/>
          </w:tcPr>
          <w:p w14:paraId="68555BBA">
            <w:pPr>
              <w:rPr>
                <w:rFonts w:ascii="Arial"/>
                <w:color w:val="auto"/>
                <w:sz w:val="21"/>
                <w:highlight w:val="none"/>
              </w:rPr>
            </w:pPr>
          </w:p>
        </w:tc>
        <w:tc>
          <w:tcPr>
            <w:tcW w:w="1446" w:type="dxa"/>
            <w:vAlign w:val="top"/>
          </w:tcPr>
          <w:p w14:paraId="535C085F">
            <w:pPr>
              <w:rPr>
                <w:rFonts w:ascii="Arial"/>
                <w:color w:val="auto"/>
                <w:sz w:val="21"/>
                <w:highlight w:val="none"/>
              </w:rPr>
            </w:pPr>
          </w:p>
        </w:tc>
        <w:tc>
          <w:tcPr>
            <w:tcW w:w="1679" w:type="dxa"/>
            <w:tcBorders>
              <w:right w:val="single" w:color="000000" w:sz="10" w:space="0"/>
            </w:tcBorders>
            <w:vAlign w:val="top"/>
          </w:tcPr>
          <w:p w14:paraId="12E42D8B">
            <w:pPr>
              <w:rPr>
                <w:rFonts w:ascii="Arial"/>
                <w:color w:val="auto"/>
                <w:sz w:val="21"/>
                <w:highlight w:val="none"/>
              </w:rPr>
            </w:pPr>
          </w:p>
        </w:tc>
      </w:tr>
      <w:tr w14:paraId="41D44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1279CD7E">
            <w:pPr>
              <w:rPr>
                <w:rFonts w:ascii="Arial"/>
                <w:color w:val="auto"/>
                <w:sz w:val="21"/>
                <w:highlight w:val="none"/>
              </w:rPr>
            </w:pPr>
          </w:p>
        </w:tc>
        <w:tc>
          <w:tcPr>
            <w:tcW w:w="1274" w:type="dxa"/>
            <w:vAlign w:val="top"/>
          </w:tcPr>
          <w:p w14:paraId="4E3E5DD1">
            <w:pPr>
              <w:rPr>
                <w:rFonts w:ascii="Arial"/>
                <w:color w:val="auto"/>
                <w:sz w:val="21"/>
                <w:highlight w:val="none"/>
              </w:rPr>
            </w:pPr>
          </w:p>
        </w:tc>
        <w:tc>
          <w:tcPr>
            <w:tcW w:w="1446" w:type="dxa"/>
            <w:vAlign w:val="top"/>
          </w:tcPr>
          <w:p w14:paraId="07249C68">
            <w:pPr>
              <w:rPr>
                <w:rFonts w:ascii="Arial"/>
                <w:color w:val="auto"/>
                <w:sz w:val="21"/>
                <w:highlight w:val="none"/>
              </w:rPr>
            </w:pPr>
          </w:p>
        </w:tc>
        <w:tc>
          <w:tcPr>
            <w:tcW w:w="1240" w:type="dxa"/>
            <w:vAlign w:val="top"/>
          </w:tcPr>
          <w:p w14:paraId="56B43FEC">
            <w:pPr>
              <w:rPr>
                <w:rFonts w:ascii="Arial"/>
                <w:color w:val="auto"/>
                <w:sz w:val="21"/>
                <w:highlight w:val="none"/>
              </w:rPr>
            </w:pPr>
          </w:p>
        </w:tc>
        <w:tc>
          <w:tcPr>
            <w:tcW w:w="1446" w:type="dxa"/>
            <w:vAlign w:val="top"/>
          </w:tcPr>
          <w:p w14:paraId="354CE032">
            <w:pPr>
              <w:rPr>
                <w:rFonts w:ascii="Arial"/>
                <w:color w:val="auto"/>
                <w:sz w:val="21"/>
                <w:highlight w:val="none"/>
              </w:rPr>
            </w:pPr>
          </w:p>
        </w:tc>
        <w:tc>
          <w:tcPr>
            <w:tcW w:w="1679" w:type="dxa"/>
            <w:tcBorders>
              <w:right w:val="single" w:color="000000" w:sz="10" w:space="0"/>
            </w:tcBorders>
            <w:vAlign w:val="top"/>
          </w:tcPr>
          <w:p w14:paraId="423197CA">
            <w:pPr>
              <w:rPr>
                <w:rFonts w:ascii="Arial"/>
                <w:color w:val="auto"/>
                <w:sz w:val="21"/>
                <w:highlight w:val="none"/>
              </w:rPr>
            </w:pPr>
          </w:p>
        </w:tc>
      </w:tr>
      <w:tr w14:paraId="5F814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11CF161A">
            <w:pPr>
              <w:rPr>
                <w:rFonts w:ascii="Arial"/>
                <w:color w:val="auto"/>
                <w:sz w:val="21"/>
                <w:highlight w:val="none"/>
              </w:rPr>
            </w:pPr>
          </w:p>
        </w:tc>
        <w:tc>
          <w:tcPr>
            <w:tcW w:w="1274" w:type="dxa"/>
            <w:vAlign w:val="top"/>
          </w:tcPr>
          <w:p w14:paraId="5F3CF37D">
            <w:pPr>
              <w:rPr>
                <w:rFonts w:ascii="Arial"/>
                <w:color w:val="auto"/>
                <w:sz w:val="21"/>
                <w:highlight w:val="none"/>
              </w:rPr>
            </w:pPr>
          </w:p>
        </w:tc>
        <w:tc>
          <w:tcPr>
            <w:tcW w:w="1446" w:type="dxa"/>
            <w:vAlign w:val="top"/>
          </w:tcPr>
          <w:p w14:paraId="488A1919">
            <w:pPr>
              <w:rPr>
                <w:rFonts w:ascii="Arial"/>
                <w:color w:val="auto"/>
                <w:sz w:val="21"/>
                <w:highlight w:val="none"/>
              </w:rPr>
            </w:pPr>
          </w:p>
        </w:tc>
        <w:tc>
          <w:tcPr>
            <w:tcW w:w="1240" w:type="dxa"/>
            <w:vAlign w:val="top"/>
          </w:tcPr>
          <w:p w14:paraId="37FBFF07">
            <w:pPr>
              <w:rPr>
                <w:rFonts w:ascii="Arial"/>
                <w:color w:val="auto"/>
                <w:sz w:val="21"/>
                <w:highlight w:val="none"/>
              </w:rPr>
            </w:pPr>
          </w:p>
        </w:tc>
        <w:tc>
          <w:tcPr>
            <w:tcW w:w="1446" w:type="dxa"/>
            <w:vAlign w:val="top"/>
          </w:tcPr>
          <w:p w14:paraId="3F917AA4">
            <w:pPr>
              <w:rPr>
                <w:rFonts w:ascii="Arial"/>
                <w:color w:val="auto"/>
                <w:sz w:val="21"/>
                <w:highlight w:val="none"/>
              </w:rPr>
            </w:pPr>
          </w:p>
        </w:tc>
        <w:tc>
          <w:tcPr>
            <w:tcW w:w="1679" w:type="dxa"/>
            <w:tcBorders>
              <w:right w:val="single" w:color="000000" w:sz="10" w:space="0"/>
            </w:tcBorders>
            <w:vAlign w:val="top"/>
          </w:tcPr>
          <w:p w14:paraId="359C90E5">
            <w:pPr>
              <w:rPr>
                <w:rFonts w:ascii="Arial"/>
                <w:color w:val="auto"/>
                <w:sz w:val="21"/>
                <w:highlight w:val="none"/>
              </w:rPr>
            </w:pPr>
          </w:p>
        </w:tc>
      </w:tr>
      <w:tr w14:paraId="2A2C2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1961" w:type="dxa"/>
            <w:tcBorders>
              <w:left w:val="single" w:color="000000" w:sz="10" w:space="0"/>
              <w:bottom w:val="single" w:color="000000" w:sz="10" w:space="0"/>
            </w:tcBorders>
            <w:vAlign w:val="top"/>
          </w:tcPr>
          <w:p w14:paraId="0585B298">
            <w:pPr>
              <w:rPr>
                <w:rFonts w:ascii="Arial"/>
                <w:color w:val="auto"/>
                <w:sz w:val="21"/>
                <w:highlight w:val="none"/>
              </w:rPr>
            </w:pPr>
          </w:p>
        </w:tc>
        <w:tc>
          <w:tcPr>
            <w:tcW w:w="1274" w:type="dxa"/>
            <w:tcBorders>
              <w:bottom w:val="single" w:color="000000" w:sz="10" w:space="0"/>
            </w:tcBorders>
            <w:vAlign w:val="top"/>
          </w:tcPr>
          <w:p w14:paraId="3CD7F73D">
            <w:pPr>
              <w:rPr>
                <w:rFonts w:ascii="Arial"/>
                <w:color w:val="auto"/>
                <w:sz w:val="21"/>
                <w:highlight w:val="none"/>
              </w:rPr>
            </w:pPr>
          </w:p>
        </w:tc>
        <w:tc>
          <w:tcPr>
            <w:tcW w:w="1446" w:type="dxa"/>
            <w:tcBorders>
              <w:bottom w:val="single" w:color="000000" w:sz="10" w:space="0"/>
            </w:tcBorders>
            <w:vAlign w:val="top"/>
          </w:tcPr>
          <w:p w14:paraId="12F1EC86">
            <w:pPr>
              <w:rPr>
                <w:rFonts w:ascii="Arial"/>
                <w:color w:val="auto"/>
                <w:sz w:val="21"/>
                <w:highlight w:val="none"/>
              </w:rPr>
            </w:pPr>
          </w:p>
        </w:tc>
        <w:tc>
          <w:tcPr>
            <w:tcW w:w="1240" w:type="dxa"/>
            <w:tcBorders>
              <w:bottom w:val="single" w:color="000000" w:sz="10" w:space="0"/>
            </w:tcBorders>
            <w:vAlign w:val="top"/>
          </w:tcPr>
          <w:p w14:paraId="7F300426">
            <w:pPr>
              <w:rPr>
                <w:rFonts w:ascii="Arial"/>
                <w:color w:val="auto"/>
                <w:sz w:val="21"/>
                <w:highlight w:val="none"/>
              </w:rPr>
            </w:pPr>
          </w:p>
        </w:tc>
        <w:tc>
          <w:tcPr>
            <w:tcW w:w="1446" w:type="dxa"/>
            <w:tcBorders>
              <w:bottom w:val="single" w:color="000000" w:sz="10" w:space="0"/>
            </w:tcBorders>
            <w:vAlign w:val="top"/>
          </w:tcPr>
          <w:p w14:paraId="3560628F">
            <w:pPr>
              <w:rPr>
                <w:rFonts w:ascii="Arial"/>
                <w:color w:val="auto"/>
                <w:sz w:val="21"/>
                <w:highlight w:val="none"/>
              </w:rPr>
            </w:pPr>
          </w:p>
        </w:tc>
        <w:tc>
          <w:tcPr>
            <w:tcW w:w="1679" w:type="dxa"/>
            <w:tcBorders>
              <w:bottom w:val="single" w:color="000000" w:sz="10" w:space="0"/>
              <w:right w:val="single" w:color="000000" w:sz="10" w:space="0"/>
            </w:tcBorders>
            <w:vAlign w:val="top"/>
          </w:tcPr>
          <w:p w14:paraId="2A632EE0">
            <w:pPr>
              <w:rPr>
                <w:rFonts w:ascii="Arial"/>
                <w:color w:val="auto"/>
                <w:sz w:val="21"/>
                <w:highlight w:val="none"/>
              </w:rPr>
            </w:pPr>
          </w:p>
        </w:tc>
      </w:tr>
    </w:tbl>
    <w:p w14:paraId="1AAFC5B6">
      <w:pPr>
        <w:pStyle w:val="3"/>
        <w:rPr>
          <w:color w:val="auto"/>
          <w:highlight w:val="none"/>
        </w:rPr>
      </w:pPr>
    </w:p>
    <w:p w14:paraId="23EEF33D">
      <w:pPr>
        <w:rPr>
          <w:color w:val="auto"/>
          <w:highlight w:val="none"/>
        </w:rPr>
        <w:sectPr>
          <w:footerReference r:id="rId160" w:type="default"/>
          <w:pgSz w:w="11905" w:h="16839"/>
          <w:pgMar w:top="400" w:right="1411" w:bottom="1004" w:left="1421" w:header="0" w:footer="828" w:gutter="0"/>
          <w:pgNumType w:fmt="decimal"/>
          <w:cols w:space="720" w:num="1"/>
        </w:sectPr>
      </w:pPr>
    </w:p>
    <w:p w14:paraId="6B806F93">
      <w:pPr>
        <w:pStyle w:val="3"/>
        <w:spacing w:line="276" w:lineRule="auto"/>
        <w:rPr>
          <w:color w:val="auto"/>
          <w:highlight w:val="none"/>
        </w:rPr>
      </w:pPr>
    </w:p>
    <w:p w14:paraId="7E0D22A6">
      <w:pPr>
        <w:pStyle w:val="3"/>
        <w:spacing w:line="276" w:lineRule="auto"/>
        <w:rPr>
          <w:color w:val="auto"/>
          <w:highlight w:val="none"/>
        </w:rPr>
      </w:pPr>
    </w:p>
    <w:p w14:paraId="75FD0B39">
      <w:pPr>
        <w:pStyle w:val="3"/>
        <w:spacing w:line="276" w:lineRule="auto"/>
        <w:rPr>
          <w:color w:val="auto"/>
          <w:highlight w:val="none"/>
        </w:rPr>
      </w:pPr>
    </w:p>
    <w:p w14:paraId="22145292">
      <w:pPr>
        <w:pStyle w:val="3"/>
        <w:spacing w:line="276" w:lineRule="auto"/>
        <w:rPr>
          <w:color w:val="auto"/>
          <w:highlight w:val="none"/>
        </w:rPr>
      </w:pPr>
    </w:p>
    <w:p w14:paraId="0089FEEB">
      <w:pPr>
        <w:spacing w:before="78" w:line="219" w:lineRule="auto"/>
        <w:ind w:left="364"/>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附件</w:t>
      </w:r>
      <w:r>
        <w:rPr>
          <w:rFonts w:ascii="宋体" w:hAnsi="宋体" w:eastAsia="宋体" w:cs="宋体"/>
          <w:color w:val="auto"/>
          <w:spacing w:val="-51"/>
          <w:sz w:val="24"/>
          <w:szCs w:val="24"/>
          <w:highlight w:val="none"/>
        </w:rPr>
        <w:t xml:space="preserve"> </w:t>
      </w:r>
      <w:r>
        <w:rPr>
          <w:rFonts w:ascii="Times New Roman" w:hAnsi="Times New Roman" w:eastAsia="Times New Roman" w:cs="Times New Roman"/>
          <w:color w:val="auto"/>
          <w:spacing w:val="-10"/>
          <w:sz w:val="24"/>
          <w:szCs w:val="24"/>
          <w:highlight w:val="none"/>
        </w:rPr>
        <w:t>5</w:t>
      </w:r>
      <w:r>
        <w:rPr>
          <w:rFonts w:ascii="宋体" w:hAnsi="宋体" w:eastAsia="宋体" w:cs="宋体"/>
          <w:color w:val="auto"/>
          <w:spacing w:val="-10"/>
          <w:sz w:val="24"/>
          <w:szCs w:val="24"/>
          <w:highlight w:val="none"/>
        </w:rPr>
        <w:t>：</w:t>
      </w:r>
    </w:p>
    <w:p w14:paraId="2299361F">
      <w:pPr>
        <w:spacing w:before="243" w:line="225" w:lineRule="auto"/>
        <w:ind w:left="2261"/>
        <w:rPr>
          <w:rFonts w:ascii="黑体" w:hAnsi="黑体" w:eastAsia="黑体" w:cs="黑体"/>
          <w:color w:val="auto"/>
          <w:sz w:val="27"/>
          <w:szCs w:val="27"/>
          <w:highlight w:val="none"/>
        </w:rPr>
      </w:pPr>
      <w:r>
        <w:rPr>
          <w:rFonts w:ascii="黑体" w:hAnsi="黑体" w:eastAsia="黑体" w:cs="黑体"/>
          <w:color w:val="auto"/>
          <w:spacing w:val="8"/>
          <w:sz w:val="27"/>
          <w:szCs w:val="27"/>
          <w:highlight w:val="none"/>
        </w:rPr>
        <w:t>承包人用于本工程施工的机械设备表</w:t>
      </w:r>
    </w:p>
    <w:p w14:paraId="2CF3E5BF">
      <w:pPr>
        <w:spacing w:line="112" w:lineRule="exact"/>
        <w:rPr>
          <w:color w:val="auto"/>
          <w:highlight w:val="none"/>
        </w:rPr>
      </w:pPr>
    </w:p>
    <w:tbl>
      <w:tblPr>
        <w:tblStyle w:val="10"/>
        <w:tblW w:w="896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9"/>
        <w:gridCol w:w="1412"/>
        <w:gridCol w:w="848"/>
        <w:gridCol w:w="708"/>
        <w:gridCol w:w="848"/>
        <w:gridCol w:w="848"/>
        <w:gridCol w:w="1274"/>
        <w:gridCol w:w="1274"/>
        <w:gridCol w:w="1007"/>
      </w:tblGrid>
      <w:tr w14:paraId="24E87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3" w:hRule="atLeast"/>
        </w:trPr>
        <w:tc>
          <w:tcPr>
            <w:tcW w:w="749" w:type="dxa"/>
            <w:tcBorders>
              <w:top w:val="single" w:color="000000" w:sz="10" w:space="0"/>
              <w:left w:val="single" w:color="000000" w:sz="10" w:space="0"/>
            </w:tcBorders>
            <w:vAlign w:val="top"/>
          </w:tcPr>
          <w:p w14:paraId="15C5952B">
            <w:pPr>
              <w:spacing w:line="328" w:lineRule="auto"/>
              <w:rPr>
                <w:rFonts w:ascii="Arial"/>
                <w:color w:val="auto"/>
                <w:sz w:val="21"/>
                <w:highlight w:val="none"/>
              </w:rPr>
            </w:pPr>
          </w:p>
          <w:p w14:paraId="29AE811D">
            <w:pPr>
              <w:pStyle w:val="11"/>
              <w:spacing w:before="68" w:line="222" w:lineRule="auto"/>
              <w:ind w:left="155"/>
              <w:rPr>
                <w:color w:val="auto"/>
                <w:highlight w:val="none"/>
              </w:rPr>
            </w:pPr>
            <w:r>
              <w:rPr>
                <w:color w:val="auto"/>
                <w:spacing w:val="-2"/>
                <w:highlight w:val="none"/>
              </w:rPr>
              <w:t>序号</w:t>
            </w:r>
          </w:p>
        </w:tc>
        <w:tc>
          <w:tcPr>
            <w:tcW w:w="1412" w:type="dxa"/>
            <w:tcBorders>
              <w:top w:val="single" w:color="000000" w:sz="10" w:space="0"/>
            </w:tcBorders>
            <w:vAlign w:val="top"/>
          </w:tcPr>
          <w:p w14:paraId="2F143F1C">
            <w:pPr>
              <w:pStyle w:val="11"/>
              <w:spacing w:before="178" w:line="441" w:lineRule="exact"/>
              <w:ind w:left="177"/>
              <w:rPr>
                <w:color w:val="auto"/>
                <w:highlight w:val="none"/>
              </w:rPr>
            </w:pPr>
            <w:r>
              <w:rPr>
                <w:color w:val="auto"/>
                <w:spacing w:val="-1"/>
                <w:position w:val="17"/>
                <w:highlight w:val="none"/>
              </w:rPr>
              <w:t>机械或设备</w:t>
            </w:r>
          </w:p>
          <w:p w14:paraId="510FB039">
            <w:pPr>
              <w:pStyle w:val="11"/>
              <w:spacing w:line="222" w:lineRule="auto"/>
              <w:ind w:left="497"/>
              <w:rPr>
                <w:color w:val="auto"/>
                <w:highlight w:val="none"/>
              </w:rPr>
            </w:pPr>
            <w:r>
              <w:rPr>
                <w:color w:val="auto"/>
                <w:spacing w:val="-3"/>
                <w:highlight w:val="none"/>
              </w:rPr>
              <w:t>名称</w:t>
            </w:r>
          </w:p>
        </w:tc>
        <w:tc>
          <w:tcPr>
            <w:tcW w:w="848" w:type="dxa"/>
            <w:tcBorders>
              <w:top w:val="single" w:color="000000" w:sz="10" w:space="0"/>
            </w:tcBorders>
            <w:vAlign w:val="top"/>
          </w:tcPr>
          <w:p w14:paraId="7BF35AAE">
            <w:pPr>
              <w:pStyle w:val="11"/>
              <w:spacing w:before="178" w:line="441" w:lineRule="exact"/>
              <w:ind w:left="217"/>
              <w:rPr>
                <w:color w:val="auto"/>
                <w:highlight w:val="none"/>
              </w:rPr>
            </w:pPr>
            <w:r>
              <w:rPr>
                <w:color w:val="auto"/>
                <w:spacing w:val="-2"/>
                <w:position w:val="17"/>
                <w:highlight w:val="none"/>
              </w:rPr>
              <w:t>规格</w:t>
            </w:r>
          </w:p>
          <w:p w14:paraId="701E0E0E">
            <w:pPr>
              <w:pStyle w:val="11"/>
              <w:spacing w:line="222" w:lineRule="auto"/>
              <w:ind w:left="222"/>
              <w:rPr>
                <w:color w:val="auto"/>
                <w:highlight w:val="none"/>
              </w:rPr>
            </w:pPr>
            <w:r>
              <w:rPr>
                <w:color w:val="auto"/>
                <w:spacing w:val="-4"/>
                <w:highlight w:val="none"/>
              </w:rPr>
              <w:t>型号</w:t>
            </w:r>
          </w:p>
        </w:tc>
        <w:tc>
          <w:tcPr>
            <w:tcW w:w="708" w:type="dxa"/>
            <w:tcBorders>
              <w:top w:val="single" w:color="000000" w:sz="10" w:space="0"/>
            </w:tcBorders>
            <w:vAlign w:val="top"/>
          </w:tcPr>
          <w:p w14:paraId="79B4FA00">
            <w:pPr>
              <w:spacing w:line="328" w:lineRule="auto"/>
              <w:rPr>
                <w:rFonts w:ascii="Arial"/>
                <w:color w:val="auto"/>
                <w:sz w:val="21"/>
                <w:highlight w:val="none"/>
              </w:rPr>
            </w:pPr>
          </w:p>
          <w:p w14:paraId="2B42AEC2">
            <w:pPr>
              <w:pStyle w:val="11"/>
              <w:spacing w:before="68" w:line="221" w:lineRule="auto"/>
              <w:ind w:left="148"/>
              <w:rPr>
                <w:color w:val="auto"/>
                <w:highlight w:val="none"/>
              </w:rPr>
            </w:pPr>
            <w:r>
              <w:rPr>
                <w:color w:val="auto"/>
                <w:spacing w:val="-2"/>
                <w:highlight w:val="none"/>
              </w:rPr>
              <w:t>数量</w:t>
            </w:r>
          </w:p>
        </w:tc>
        <w:tc>
          <w:tcPr>
            <w:tcW w:w="848" w:type="dxa"/>
            <w:tcBorders>
              <w:top w:val="single" w:color="000000" w:sz="10" w:space="0"/>
            </w:tcBorders>
            <w:vAlign w:val="top"/>
          </w:tcPr>
          <w:p w14:paraId="1BAD0695">
            <w:pPr>
              <w:spacing w:line="328" w:lineRule="auto"/>
              <w:rPr>
                <w:rFonts w:ascii="Arial"/>
                <w:color w:val="auto"/>
                <w:sz w:val="21"/>
                <w:highlight w:val="none"/>
              </w:rPr>
            </w:pPr>
          </w:p>
          <w:p w14:paraId="4B313057">
            <w:pPr>
              <w:pStyle w:val="11"/>
              <w:spacing w:before="68" w:line="221" w:lineRule="auto"/>
              <w:ind w:left="220"/>
              <w:rPr>
                <w:color w:val="auto"/>
                <w:highlight w:val="none"/>
              </w:rPr>
            </w:pPr>
            <w:r>
              <w:rPr>
                <w:color w:val="auto"/>
                <w:spacing w:val="-2"/>
                <w:highlight w:val="none"/>
              </w:rPr>
              <w:t>产地</w:t>
            </w:r>
          </w:p>
        </w:tc>
        <w:tc>
          <w:tcPr>
            <w:tcW w:w="848" w:type="dxa"/>
            <w:tcBorders>
              <w:top w:val="single" w:color="000000" w:sz="10" w:space="0"/>
            </w:tcBorders>
            <w:vAlign w:val="top"/>
          </w:tcPr>
          <w:p w14:paraId="45C6BCC2">
            <w:pPr>
              <w:pStyle w:val="11"/>
              <w:spacing w:before="178" w:line="441" w:lineRule="exact"/>
              <w:ind w:left="223"/>
              <w:rPr>
                <w:color w:val="auto"/>
                <w:highlight w:val="none"/>
              </w:rPr>
            </w:pPr>
            <w:r>
              <w:rPr>
                <w:color w:val="auto"/>
                <w:spacing w:val="-2"/>
                <w:position w:val="17"/>
                <w:highlight w:val="none"/>
              </w:rPr>
              <w:t>制造</w:t>
            </w:r>
          </w:p>
          <w:p w14:paraId="696090DE">
            <w:pPr>
              <w:pStyle w:val="11"/>
              <w:spacing w:line="220" w:lineRule="auto"/>
              <w:ind w:left="223"/>
              <w:rPr>
                <w:color w:val="auto"/>
                <w:highlight w:val="none"/>
              </w:rPr>
            </w:pPr>
            <w:r>
              <w:rPr>
                <w:color w:val="auto"/>
                <w:spacing w:val="-2"/>
                <w:highlight w:val="none"/>
              </w:rPr>
              <w:t>年份</w:t>
            </w:r>
          </w:p>
        </w:tc>
        <w:tc>
          <w:tcPr>
            <w:tcW w:w="1274" w:type="dxa"/>
            <w:tcBorders>
              <w:top w:val="single" w:color="000000" w:sz="10" w:space="0"/>
            </w:tcBorders>
            <w:vAlign w:val="top"/>
          </w:tcPr>
          <w:p w14:paraId="20AC62EE">
            <w:pPr>
              <w:pStyle w:val="11"/>
              <w:spacing w:before="178" w:line="441" w:lineRule="exact"/>
              <w:ind w:left="224"/>
              <w:rPr>
                <w:color w:val="auto"/>
                <w:highlight w:val="none"/>
              </w:rPr>
            </w:pPr>
            <w:r>
              <w:rPr>
                <w:color w:val="auto"/>
                <w:spacing w:val="-1"/>
                <w:position w:val="17"/>
                <w:highlight w:val="none"/>
              </w:rPr>
              <w:t>额定功率</w:t>
            </w:r>
          </w:p>
          <w:p w14:paraId="1C13D6DF">
            <w:pPr>
              <w:pStyle w:val="11"/>
              <w:spacing w:line="231" w:lineRule="auto"/>
              <w:ind w:left="336"/>
              <w:rPr>
                <w:color w:val="auto"/>
                <w:highlight w:val="none"/>
              </w:rPr>
            </w:pPr>
            <w:r>
              <w:rPr>
                <w:color w:val="auto"/>
                <w:spacing w:val="-4"/>
                <w:highlight w:val="none"/>
              </w:rPr>
              <w:t>（kW）</w:t>
            </w:r>
          </w:p>
        </w:tc>
        <w:tc>
          <w:tcPr>
            <w:tcW w:w="1274" w:type="dxa"/>
            <w:tcBorders>
              <w:top w:val="single" w:color="000000" w:sz="10" w:space="0"/>
            </w:tcBorders>
            <w:vAlign w:val="top"/>
          </w:tcPr>
          <w:p w14:paraId="12252E21">
            <w:pPr>
              <w:spacing w:line="328" w:lineRule="auto"/>
              <w:rPr>
                <w:rFonts w:ascii="Arial"/>
                <w:color w:val="auto"/>
                <w:sz w:val="21"/>
                <w:highlight w:val="none"/>
              </w:rPr>
            </w:pPr>
          </w:p>
          <w:p w14:paraId="1075CB92">
            <w:pPr>
              <w:pStyle w:val="11"/>
              <w:spacing w:before="68" w:line="221" w:lineRule="auto"/>
              <w:ind w:left="229"/>
              <w:rPr>
                <w:color w:val="auto"/>
                <w:highlight w:val="none"/>
              </w:rPr>
            </w:pPr>
            <w:r>
              <w:rPr>
                <w:color w:val="auto"/>
                <w:spacing w:val="-1"/>
                <w:highlight w:val="none"/>
              </w:rPr>
              <w:t>生产能力</w:t>
            </w:r>
          </w:p>
        </w:tc>
        <w:tc>
          <w:tcPr>
            <w:tcW w:w="1007" w:type="dxa"/>
            <w:tcBorders>
              <w:top w:val="single" w:color="000000" w:sz="10" w:space="0"/>
              <w:right w:val="single" w:color="000000" w:sz="10" w:space="0"/>
            </w:tcBorders>
            <w:vAlign w:val="top"/>
          </w:tcPr>
          <w:p w14:paraId="63D9D59F">
            <w:pPr>
              <w:spacing w:line="328" w:lineRule="auto"/>
              <w:rPr>
                <w:rFonts w:ascii="Arial"/>
                <w:color w:val="auto"/>
                <w:sz w:val="21"/>
                <w:highlight w:val="none"/>
              </w:rPr>
            </w:pPr>
          </w:p>
          <w:p w14:paraId="796ACCCB">
            <w:pPr>
              <w:pStyle w:val="11"/>
              <w:spacing w:before="68" w:line="222" w:lineRule="auto"/>
              <w:ind w:left="305"/>
              <w:rPr>
                <w:color w:val="auto"/>
                <w:highlight w:val="none"/>
              </w:rPr>
            </w:pPr>
            <w:r>
              <w:rPr>
                <w:color w:val="auto"/>
                <w:spacing w:val="-3"/>
                <w:highlight w:val="none"/>
              </w:rPr>
              <w:t>备注</w:t>
            </w:r>
          </w:p>
        </w:tc>
      </w:tr>
      <w:tr w14:paraId="367DE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749" w:type="dxa"/>
            <w:tcBorders>
              <w:left w:val="single" w:color="000000" w:sz="10" w:space="0"/>
            </w:tcBorders>
            <w:vAlign w:val="top"/>
          </w:tcPr>
          <w:p w14:paraId="6C8C1C48">
            <w:pPr>
              <w:rPr>
                <w:rFonts w:ascii="Arial"/>
                <w:color w:val="auto"/>
                <w:sz w:val="21"/>
                <w:highlight w:val="none"/>
              </w:rPr>
            </w:pPr>
          </w:p>
        </w:tc>
        <w:tc>
          <w:tcPr>
            <w:tcW w:w="1412" w:type="dxa"/>
            <w:vAlign w:val="top"/>
          </w:tcPr>
          <w:p w14:paraId="1DA21A21">
            <w:pPr>
              <w:rPr>
                <w:rFonts w:ascii="Arial"/>
                <w:color w:val="auto"/>
                <w:sz w:val="21"/>
                <w:highlight w:val="none"/>
              </w:rPr>
            </w:pPr>
          </w:p>
        </w:tc>
        <w:tc>
          <w:tcPr>
            <w:tcW w:w="848" w:type="dxa"/>
            <w:vAlign w:val="top"/>
          </w:tcPr>
          <w:p w14:paraId="075AB3E8">
            <w:pPr>
              <w:rPr>
                <w:rFonts w:ascii="Arial"/>
                <w:color w:val="auto"/>
                <w:sz w:val="21"/>
                <w:highlight w:val="none"/>
              </w:rPr>
            </w:pPr>
          </w:p>
        </w:tc>
        <w:tc>
          <w:tcPr>
            <w:tcW w:w="708" w:type="dxa"/>
            <w:vAlign w:val="top"/>
          </w:tcPr>
          <w:p w14:paraId="2BA49260">
            <w:pPr>
              <w:rPr>
                <w:rFonts w:ascii="Arial"/>
                <w:color w:val="auto"/>
                <w:sz w:val="21"/>
                <w:highlight w:val="none"/>
              </w:rPr>
            </w:pPr>
          </w:p>
        </w:tc>
        <w:tc>
          <w:tcPr>
            <w:tcW w:w="848" w:type="dxa"/>
            <w:vAlign w:val="top"/>
          </w:tcPr>
          <w:p w14:paraId="2AC1B5B6">
            <w:pPr>
              <w:rPr>
                <w:rFonts w:ascii="Arial"/>
                <w:color w:val="auto"/>
                <w:sz w:val="21"/>
                <w:highlight w:val="none"/>
              </w:rPr>
            </w:pPr>
          </w:p>
        </w:tc>
        <w:tc>
          <w:tcPr>
            <w:tcW w:w="848" w:type="dxa"/>
            <w:vAlign w:val="top"/>
          </w:tcPr>
          <w:p w14:paraId="21D34FDD">
            <w:pPr>
              <w:rPr>
                <w:rFonts w:ascii="Arial"/>
                <w:color w:val="auto"/>
                <w:sz w:val="21"/>
                <w:highlight w:val="none"/>
              </w:rPr>
            </w:pPr>
          </w:p>
        </w:tc>
        <w:tc>
          <w:tcPr>
            <w:tcW w:w="1274" w:type="dxa"/>
            <w:vAlign w:val="top"/>
          </w:tcPr>
          <w:p w14:paraId="50E77E0F">
            <w:pPr>
              <w:rPr>
                <w:rFonts w:ascii="Arial"/>
                <w:color w:val="auto"/>
                <w:sz w:val="21"/>
                <w:highlight w:val="none"/>
              </w:rPr>
            </w:pPr>
          </w:p>
        </w:tc>
        <w:tc>
          <w:tcPr>
            <w:tcW w:w="1274" w:type="dxa"/>
            <w:vAlign w:val="top"/>
          </w:tcPr>
          <w:p w14:paraId="7A176E1E">
            <w:pPr>
              <w:rPr>
                <w:rFonts w:ascii="Arial"/>
                <w:color w:val="auto"/>
                <w:sz w:val="21"/>
                <w:highlight w:val="none"/>
              </w:rPr>
            </w:pPr>
          </w:p>
        </w:tc>
        <w:tc>
          <w:tcPr>
            <w:tcW w:w="1007" w:type="dxa"/>
            <w:tcBorders>
              <w:right w:val="single" w:color="000000" w:sz="10" w:space="0"/>
            </w:tcBorders>
            <w:vAlign w:val="top"/>
          </w:tcPr>
          <w:p w14:paraId="45CC9CF6">
            <w:pPr>
              <w:rPr>
                <w:rFonts w:ascii="Arial"/>
                <w:color w:val="auto"/>
                <w:sz w:val="21"/>
                <w:highlight w:val="none"/>
              </w:rPr>
            </w:pPr>
          </w:p>
        </w:tc>
      </w:tr>
      <w:tr w14:paraId="7B8E4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49" w:type="dxa"/>
            <w:tcBorders>
              <w:left w:val="single" w:color="000000" w:sz="10" w:space="0"/>
            </w:tcBorders>
            <w:vAlign w:val="top"/>
          </w:tcPr>
          <w:p w14:paraId="285B6F5E">
            <w:pPr>
              <w:rPr>
                <w:rFonts w:ascii="Arial"/>
                <w:color w:val="auto"/>
                <w:sz w:val="21"/>
                <w:highlight w:val="none"/>
              </w:rPr>
            </w:pPr>
          </w:p>
        </w:tc>
        <w:tc>
          <w:tcPr>
            <w:tcW w:w="1412" w:type="dxa"/>
            <w:vAlign w:val="top"/>
          </w:tcPr>
          <w:p w14:paraId="021D4696">
            <w:pPr>
              <w:rPr>
                <w:rFonts w:ascii="Arial"/>
                <w:color w:val="auto"/>
                <w:sz w:val="21"/>
                <w:highlight w:val="none"/>
              </w:rPr>
            </w:pPr>
          </w:p>
        </w:tc>
        <w:tc>
          <w:tcPr>
            <w:tcW w:w="848" w:type="dxa"/>
            <w:vAlign w:val="top"/>
          </w:tcPr>
          <w:p w14:paraId="3B75A876">
            <w:pPr>
              <w:rPr>
                <w:rFonts w:ascii="Arial"/>
                <w:color w:val="auto"/>
                <w:sz w:val="21"/>
                <w:highlight w:val="none"/>
              </w:rPr>
            </w:pPr>
          </w:p>
        </w:tc>
        <w:tc>
          <w:tcPr>
            <w:tcW w:w="708" w:type="dxa"/>
            <w:vAlign w:val="top"/>
          </w:tcPr>
          <w:p w14:paraId="5211CB1C">
            <w:pPr>
              <w:rPr>
                <w:rFonts w:ascii="Arial"/>
                <w:color w:val="auto"/>
                <w:sz w:val="21"/>
                <w:highlight w:val="none"/>
              </w:rPr>
            </w:pPr>
          </w:p>
        </w:tc>
        <w:tc>
          <w:tcPr>
            <w:tcW w:w="848" w:type="dxa"/>
            <w:vAlign w:val="top"/>
          </w:tcPr>
          <w:p w14:paraId="16E053DE">
            <w:pPr>
              <w:rPr>
                <w:rFonts w:ascii="Arial"/>
                <w:color w:val="auto"/>
                <w:sz w:val="21"/>
                <w:highlight w:val="none"/>
              </w:rPr>
            </w:pPr>
          </w:p>
        </w:tc>
        <w:tc>
          <w:tcPr>
            <w:tcW w:w="848" w:type="dxa"/>
            <w:vAlign w:val="top"/>
          </w:tcPr>
          <w:p w14:paraId="20177140">
            <w:pPr>
              <w:rPr>
                <w:rFonts w:ascii="Arial"/>
                <w:color w:val="auto"/>
                <w:sz w:val="21"/>
                <w:highlight w:val="none"/>
              </w:rPr>
            </w:pPr>
          </w:p>
        </w:tc>
        <w:tc>
          <w:tcPr>
            <w:tcW w:w="1274" w:type="dxa"/>
            <w:vAlign w:val="top"/>
          </w:tcPr>
          <w:p w14:paraId="1D31D37C">
            <w:pPr>
              <w:rPr>
                <w:rFonts w:ascii="Arial"/>
                <w:color w:val="auto"/>
                <w:sz w:val="21"/>
                <w:highlight w:val="none"/>
              </w:rPr>
            </w:pPr>
          </w:p>
        </w:tc>
        <w:tc>
          <w:tcPr>
            <w:tcW w:w="1274" w:type="dxa"/>
            <w:vAlign w:val="top"/>
          </w:tcPr>
          <w:p w14:paraId="4AB161AF">
            <w:pPr>
              <w:rPr>
                <w:rFonts w:ascii="Arial"/>
                <w:color w:val="auto"/>
                <w:sz w:val="21"/>
                <w:highlight w:val="none"/>
              </w:rPr>
            </w:pPr>
          </w:p>
        </w:tc>
        <w:tc>
          <w:tcPr>
            <w:tcW w:w="1007" w:type="dxa"/>
            <w:tcBorders>
              <w:right w:val="single" w:color="000000" w:sz="10" w:space="0"/>
            </w:tcBorders>
            <w:vAlign w:val="top"/>
          </w:tcPr>
          <w:p w14:paraId="4190BDD2">
            <w:pPr>
              <w:rPr>
                <w:rFonts w:ascii="Arial"/>
                <w:color w:val="auto"/>
                <w:sz w:val="21"/>
                <w:highlight w:val="none"/>
              </w:rPr>
            </w:pPr>
          </w:p>
        </w:tc>
      </w:tr>
      <w:tr w14:paraId="03EC3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749" w:type="dxa"/>
            <w:tcBorders>
              <w:left w:val="single" w:color="000000" w:sz="10" w:space="0"/>
            </w:tcBorders>
            <w:vAlign w:val="top"/>
          </w:tcPr>
          <w:p w14:paraId="2C713628">
            <w:pPr>
              <w:rPr>
                <w:rFonts w:ascii="Arial"/>
                <w:color w:val="auto"/>
                <w:sz w:val="21"/>
                <w:highlight w:val="none"/>
              </w:rPr>
            </w:pPr>
          </w:p>
        </w:tc>
        <w:tc>
          <w:tcPr>
            <w:tcW w:w="1412" w:type="dxa"/>
            <w:vAlign w:val="top"/>
          </w:tcPr>
          <w:p w14:paraId="509E2FD0">
            <w:pPr>
              <w:rPr>
                <w:rFonts w:ascii="Arial"/>
                <w:color w:val="auto"/>
                <w:sz w:val="21"/>
                <w:highlight w:val="none"/>
              </w:rPr>
            </w:pPr>
          </w:p>
        </w:tc>
        <w:tc>
          <w:tcPr>
            <w:tcW w:w="848" w:type="dxa"/>
            <w:vAlign w:val="top"/>
          </w:tcPr>
          <w:p w14:paraId="0290E2A5">
            <w:pPr>
              <w:rPr>
                <w:rFonts w:ascii="Arial"/>
                <w:color w:val="auto"/>
                <w:sz w:val="21"/>
                <w:highlight w:val="none"/>
              </w:rPr>
            </w:pPr>
          </w:p>
        </w:tc>
        <w:tc>
          <w:tcPr>
            <w:tcW w:w="708" w:type="dxa"/>
            <w:vAlign w:val="top"/>
          </w:tcPr>
          <w:p w14:paraId="736FD8D4">
            <w:pPr>
              <w:rPr>
                <w:rFonts w:ascii="Arial"/>
                <w:color w:val="auto"/>
                <w:sz w:val="21"/>
                <w:highlight w:val="none"/>
              </w:rPr>
            </w:pPr>
          </w:p>
        </w:tc>
        <w:tc>
          <w:tcPr>
            <w:tcW w:w="848" w:type="dxa"/>
            <w:vAlign w:val="top"/>
          </w:tcPr>
          <w:p w14:paraId="6A32C287">
            <w:pPr>
              <w:rPr>
                <w:rFonts w:ascii="Arial"/>
                <w:color w:val="auto"/>
                <w:sz w:val="21"/>
                <w:highlight w:val="none"/>
              </w:rPr>
            </w:pPr>
          </w:p>
        </w:tc>
        <w:tc>
          <w:tcPr>
            <w:tcW w:w="848" w:type="dxa"/>
            <w:vAlign w:val="top"/>
          </w:tcPr>
          <w:p w14:paraId="2D0A8BC2">
            <w:pPr>
              <w:rPr>
                <w:rFonts w:ascii="Arial"/>
                <w:color w:val="auto"/>
                <w:sz w:val="21"/>
                <w:highlight w:val="none"/>
              </w:rPr>
            </w:pPr>
          </w:p>
        </w:tc>
        <w:tc>
          <w:tcPr>
            <w:tcW w:w="1274" w:type="dxa"/>
            <w:vAlign w:val="top"/>
          </w:tcPr>
          <w:p w14:paraId="42672032">
            <w:pPr>
              <w:rPr>
                <w:rFonts w:ascii="Arial"/>
                <w:color w:val="auto"/>
                <w:sz w:val="21"/>
                <w:highlight w:val="none"/>
              </w:rPr>
            </w:pPr>
          </w:p>
        </w:tc>
        <w:tc>
          <w:tcPr>
            <w:tcW w:w="1274" w:type="dxa"/>
            <w:vAlign w:val="top"/>
          </w:tcPr>
          <w:p w14:paraId="71B1C7B3">
            <w:pPr>
              <w:rPr>
                <w:rFonts w:ascii="Arial"/>
                <w:color w:val="auto"/>
                <w:sz w:val="21"/>
                <w:highlight w:val="none"/>
              </w:rPr>
            </w:pPr>
          </w:p>
        </w:tc>
        <w:tc>
          <w:tcPr>
            <w:tcW w:w="1007" w:type="dxa"/>
            <w:tcBorders>
              <w:right w:val="single" w:color="000000" w:sz="10" w:space="0"/>
            </w:tcBorders>
            <w:vAlign w:val="top"/>
          </w:tcPr>
          <w:p w14:paraId="1587F7C3">
            <w:pPr>
              <w:rPr>
                <w:rFonts w:ascii="Arial"/>
                <w:color w:val="auto"/>
                <w:sz w:val="21"/>
                <w:highlight w:val="none"/>
              </w:rPr>
            </w:pPr>
          </w:p>
        </w:tc>
      </w:tr>
      <w:tr w14:paraId="13454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1D27FA9F">
            <w:pPr>
              <w:rPr>
                <w:rFonts w:ascii="Arial"/>
                <w:color w:val="auto"/>
                <w:sz w:val="21"/>
                <w:highlight w:val="none"/>
              </w:rPr>
            </w:pPr>
          </w:p>
        </w:tc>
        <w:tc>
          <w:tcPr>
            <w:tcW w:w="1412" w:type="dxa"/>
            <w:vAlign w:val="top"/>
          </w:tcPr>
          <w:p w14:paraId="6724EB32">
            <w:pPr>
              <w:rPr>
                <w:rFonts w:ascii="Arial"/>
                <w:color w:val="auto"/>
                <w:sz w:val="21"/>
                <w:highlight w:val="none"/>
              </w:rPr>
            </w:pPr>
          </w:p>
        </w:tc>
        <w:tc>
          <w:tcPr>
            <w:tcW w:w="848" w:type="dxa"/>
            <w:vAlign w:val="top"/>
          </w:tcPr>
          <w:p w14:paraId="61A7B77A">
            <w:pPr>
              <w:rPr>
                <w:rFonts w:ascii="Arial"/>
                <w:color w:val="auto"/>
                <w:sz w:val="21"/>
                <w:highlight w:val="none"/>
              </w:rPr>
            </w:pPr>
          </w:p>
        </w:tc>
        <w:tc>
          <w:tcPr>
            <w:tcW w:w="708" w:type="dxa"/>
            <w:vAlign w:val="top"/>
          </w:tcPr>
          <w:p w14:paraId="2DB968E9">
            <w:pPr>
              <w:rPr>
                <w:rFonts w:ascii="Arial"/>
                <w:color w:val="auto"/>
                <w:sz w:val="21"/>
                <w:highlight w:val="none"/>
              </w:rPr>
            </w:pPr>
          </w:p>
        </w:tc>
        <w:tc>
          <w:tcPr>
            <w:tcW w:w="848" w:type="dxa"/>
            <w:vAlign w:val="top"/>
          </w:tcPr>
          <w:p w14:paraId="20DCCCCD">
            <w:pPr>
              <w:rPr>
                <w:rFonts w:ascii="Arial"/>
                <w:color w:val="auto"/>
                <w:sz w:val="21"/>
                <w:highlight w:val="none"/>
              </w:rPr>
            </w:pPr>
          </w:p>
        </w:tc>
        <w:tc>
          <w:tcPr>
            <w:tcW w:w="848" w:type="dxa"/>
            <w:vAlign w:val="top"/>
          </w:tcPr>
          <w:p w14:paraId="5DE2D05B">
            <w:pPr>
              <w:rPr>
                <w:rFonts w:ascii="Arial"/>
                <w:color w:val="auto"/>
                <w:sz w:val="21"/>
                <w:highlight w:val="none"/>
              </w:rPr>
            </w:pPr>
          </w:p>
        </w:tc>
        <w:tc>
          <w:tcPr>
            <w:tcW w:w="1274" w:type="dxa"/>
            <w:vAlign w:val="top"/>
          </w:tcPr>
          <w:p w14:paraId="1BCD4C6D">
            <w:pPr>
              <w:rPr>
                <w:rFonts w:ascii="Arial"/>
                <w:color w:val="auto"/>
                <w:sz w:val="21"/>
                <w:highlight w:val="none"/>
              </w:rPr>
            </w:pPr>
          </w:p>
        </w:tc>
        <w:tc>
          <w:tcPr>
            <w:tcW w:w="1274" w:type="dxa"/>
            <w:vAlign w:val="top"/>
          </w:tcPr>
          <w:p w14:paraId="4330B410">
            <w:pPr>
              <w:rPr>
                <w:rFonts w:ascii="Arial"/>
                <w:color w:val="auto"/>
                <w:sz w:val="21"/>
                <w:highlight w:val="none"/>
              </w:rPr>
            </w:pPr>
          </w:p>
        </w:tc>
        <w:tc>
          <w:tcPr>
            <w:tcW w:w="1007" w:type="dxa"/>
            <w:tcBorders>
              <w:right w:val="single" w:color="000000" w:sz="10" w:space="0"/>
            </w:tcBorders>
            <w:vAlign w:val="top"/>
          </w:tcPr>
          <w:p w14:paraId="7620B73E">
            <w:pPr>
              <w:rPr>
                <w:rFonts w:ascii="Arial"/>
                <w:color w:val="auto"/>
                <w:sz w:val="21"/>
                <w:highlight w:val="none"/>
              </w:rPr>
            </w:pPr>
          </w:p>
        </w:tc>
      </w:tr>
      <w:tr w14:paraId="6A358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6EEAB058">
            <w:pPr>
              <w:rPr>
                <w:rFonts w:ascii="Arial"/>
                <w:color w:val="auto"/>
                <w:sz w:val="21"/>
                <w:highlight w:val="none"/>
              </w:rPr>
            </w:pPr>
          </w:p>
        </w:tc>
        <w:tc>
          <w:tcPr>
            <w:tcW w:w="1412" w:type="dxa"/>
            <w:vAlign w:val="top"/>
          </w:tcPr>
          <w:p w14:paraId="3E011A7A">
            <w:pPr>
              <w:rPr>
                <w:rFonts w:ascii="Arial"/>
                <w:color w:val="auto"/>
                <w:sz w:val="21"/>
                <w:highlight w:val="none"/>
              </w:rPr>
            </w:pPr>
          </w:p>
        </w:tc>
        <w:tc>
          <w:tcPr>
            <w:tcW w:w="848" w:type="dxa"/>
            <w:vAlign w:val="top"/>
          </w:tcPr>
          <w:p w14:paraId="3DCA44E9">
            <w:pPr>
              <w:rPr>
                <w:rFonts w:ascii="Arial"/>
                <w:color w:val="auto"/>
                <w:sz w:val="21"/>
                <w:highlight w:val="none"/>
              </w:rPr>
            </w:pPr>
          </w:p>
        </w:tc>
        <w:tc>
          <w:tcPr>
            <w:tcW w:w="708" w:type="dxa"/>
            <w:vAlign w:val="top"/>
          </w:tcPr>
          <w:p w14:paraId="15DD32C9">
            <w:pPr>
              <w:rPr>
                <w:rFonts w:ascii="Arial"/>
                <w:color w:val="auto"/>
                <w:sz w:val="21"/>
                <w:highlight w:val="none"/>
              </w:rPr>
            </w:pPr>
          </w:p>
        </w:tc>
        <w:tc>
          <w:tcPr>
            <w:tcW w:w="848" w:type="dxa"/>
            <w:vAlign w:val="top"/>
          </w:tcPr>
          <w:p w14:paraId="26919A1B">
            <w:pPr>
              <w:rPr>
                <w:rFonts w:ascii="Arial"/>
                <w:color w:val="auto"/>
                <w:sz w:val="21"/>
                <w:highlight w:val="none"/>
              </w:rPr>
            </w:pPr>
          </w:p>
        </w:tc>
        <w:tc>
          <w:tcPr>
            <w:tcW w:w="848" w:type="dxa"/>
            <w:vAlign w:val="top"/>
          </w:tcPr>
          <w:p w14:paraId="1EEAB9CC">
            <w:pPr>
              <w:rPr>
                <w:rFonts w:ascii="Arial"/>
                <w:color w:val="auto"/>
                <w:sz w:val="21"/>
                <w:highlight w:val="none"/>
              </w:rPr>
            </w:pPr>
          </w:p>
        </w:tc>
        <w:tc>
          <w:tcPr>
            <w:tcW w:w="1274" w:type="dxa"/>
            <w:vAlign w:val="top"/>
          </w:tcPr>
          <w:p w14:paraId="4A772074">
            <w:pPr>
              <w:rPr>
                <w:rFonts w:ascii="Arial"/>
                <w:color w:val="auto"/>
                <w:sz w:val="21"/>
                <w:highlight w:val="none"/>
              </w:rPr>
            </w:pPr>
          </w:p>
        </w:tc>
        <w:tc>
          <w:tcPr>
            <w:tcW w:w="1274" w:type="dxa"/>
            <w:vAlign w:val="top"/>
          </w:tcPr>
          <w:p w14:paraId="47A156AE">
            <w:pPr>
              <w:rPr>
                <w:rFonts w:ascii="Arial"/>
                <w:color w:val="auto"/>
                <w:sz w:val="21"/>
                <w:highlight w:val="none"/>
              </w:rPr>
            </w:pPr>
          </w:p>
        </w:tc>
        <w:tc>
          <w:tcPr>
            <w:tcW w:w="1007" w:type="dxa"/>
            <w:tcBorders>
              <w:right w:val="single" w:color="000000" w:sz="10" w:space="0"/>
            </w:tcBorders>
            <w:vAlign w:val="top"/>
          </w:tcPr>
          <w:p w14:paraId="09A1593D">
            <w:pPr>
              <w:rPr>
                <w:rFonts w:ascii="Arial"/>
                <w:color w:val="auto"/>
                <w:sz w:val="21"/>
                <w:highlight w:val="none"/>
              </w:rPr>
            </w:pPr>
          </w:p>
        </w:tc>
      </w:tr>
      <w:tr w14:paraId="4F88A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9" w:type="dxa"/>
            <w:tcBorders>
              <w:left w:val="single" w:color="000000" w:sz="10" w:space="0"/>
            </w:tcBorders>
            <w:vAlign w:val="top"/>
          </w:tcPr>
          <w:p w14:paraId="4474B9DC">
            <w:pPr>
              <w:rPr>
                <w:rFonts w:ascii="Arial"/>
                <w:color w:val="auto"/>
                <w:sz w:val="21"/>
                <w:highlight w:val="none"/>
              </w:rPr>
            </w:pPr>
          </w:p>
        </w:tc>
        <w:tc>
          <w:tcPr>
            <w:tcW w:w="1412" w:type="dxa"/>
            <w:vAlign w:val="top"/>
          </w:tcPr>
          <w:p w14:paraId="63E536E1">
            <w:pPr>
              <w:rPr>
                <w:rFonts w:ascii="Arial"/>
                <w:color w:val="auto"/>
                <w:sz w:val="21"/>
                <w:highlight w:val="none"/>
              </w:rPr>
            </w:pPr>
          </w:p>
        </w:tc>
        <w:tc>
          <w:tcPr>
            <w:tcW w:w="848" w:type="dxa"/>
            <w:vAlign w:val="top"/>
          </w:tcPr>
          <w:p w14:paraId="5003B34F">
            <w:pPr>
              <w:rPr>
                <w:rFonts w:ascii="Arial"/>
                <w:color w:val="auto"/>
                <w:sz w:val="21"/>
                <w:highlight w:val="none"/>
              </w:rPr>
            </w:pPr>
          </w:p>
        </w:tc>
        <w:tc>
          <w:tcPr>
            <w:tcW w:w="708" w:type="dxa"/>
            <w:vAlign w:val="top"/>
          </w:tcPr>
          <w:p w14:paraId="535BA972">
            <w:pPr>
              <w:rPr>
                <w:rFonts w:ascii="Arial"/>
                <w:color w:val="auto"/>
                <w:sz w:val="21"/>
                <w:highlight w:val="none"/>
              </w:rPr>
            </w:pPr>
          </w:p>
        </w:tc>
        <w:tc>
          <w:tcPr>
            <w:tcW w:w="848" w:type="dxa"/>
            <w:vAlign w:val="top"/>
          </w:tcPr>
          <w:p w14:paraId="020171B8">
            <w:pPr>
              <w:rPr>
                <w:rFonts w:ascii="Arial"/>
                <w:color w:val="auto"/>
                <w:sz w:val="21"/>
                <w:highlight w:val="none"/>
              </w:rPr>
            </w:pPr>
          </w:p>
        </w:tc>
        <w:tc>
          <w:tcPr>
            <w:tcW w:w="848" w:type="dxa"/>
            <w:vAlign w:val="top"/>
          </w:tcPr>
          <w:p w14:paraId="0F0FE82B">
            <w:pPr>
              <w:rPr>
                <w:rFonts w:ascii="Arial"/>
                <w:color w:val="auto"/>
                <w:sz w:val="21"/>
                <w:highlight w:val="none"/>
              </w:rPr>
            </w:pPr>
          </w:p>
        </w:tc>
        <w:tc>
          <w:tcPr>
            <w:tcW w:w="1274" w:type="dxa"/>
            <w:vAlign w:val="top"/>
          </w:tcPr>
          <w:p w14:paraId="62A9B5DF">
            <w:pPr>
              <w:rPr>
                <w:rFonts w:ascii="Arial"/>
                <w:color w:val="auto"/>
                <w:sz w:val="21"/>
                <w:highlight w:val="none"/>
              </w:rPr>
            </w:pPr>
          </w:p>
        </w:tc>
        <w:tc>
          <w:tcPr>
            <w:tcW w:w="1274" w:type="dxa"/>
            <w:vAlign w:val="top"/>
          </w:tcPr>
          <w:p w14:paraId="0EBD3D07">
            <w:pPr>
              <w:rPr>
                <w:rFonts w:ascii="Arial"/>
                <w:color w:val="auto"/>
                <w:sz w:val="21"/>
                <w:highlight w:val="none"/>
              </w:rPr>
            </w:pPr>
          </w:p>
        </w:tc>
        <w:tc>
          <w:tcPr>
            <w:tcW w:w="1007" w:type="dxa"/>
            <w:tcBorders>
              <w:right w:val="single" w:color="000000" w:sz="10" w:space="0"/>
            </w:tcBorders>
            <w:vAlign w:val="top"/>
          </w:tcPr>
          <w:p w14:paraId="76DDD64A">
            <w:pPr>
              <w:rPr>
                <w:rFonts w:ascii="Arial"/>
                <w:color w:val="auto"/>
                <w:sz w:val="21"/>
                <w:highlight w:val="none"/>
              </w:rPr>
            </w:pPr>
          </w:p>
        </w:tc>
      </w:tr>
      <w:tr w14:paraId="0E8E4D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275806F7">
            <w:pPr>
              <w:rPr>
                <w:rFonts w:ascii="Arial"/>
                <w:color w:val="auto"/>
                <w:sz w:val="21"/>
                <w:highlight w:val="none"/>
              </w:rPr>
            </w:pPr>
          </w:p>
        </w:tc>
        <w:tc>
          <w:tcPr>
            <w:tcW w:w="1412" w:type="dxa"/>
            <w:vAlign w:val="top"/>
          </w:tcPr>
          <w:p w14:paraId="10F283E2">
            <w:pPr>
              <w:rPr>
                <w:rFonts w:ascii="Arial"/>
                <w:color w:val="auto"/>
                <w:sz w:val="21"/>
                <w:highlight w:val="none"/>
              </w:rPr>
            </w:pPr>
          </w:p>
        </w:tc>
        <w:tc>
          <w:tcPr>
            <w:tcW w:w="848" w:type="dxa"/>
            <w:vAlign w:val="top"/>
          </w:tcPr>
          <w:p w14:paraId="43A29553">
            <w:pPr>
              <w:rPr>
                <w:rFonts w:ascii="Arial"/>
                <w:color w:val="auto"/>
                <w:sz w:val="21"/>
                <w:highlight w:val="none"/>
              </w:rPr>
            </w:pPr>
          </w:p>
        </w:tc>
        <w:tc>
          <w:tcPr>
            <w:tcW w:w="708" w:type="dxa"/>
            <w:vAlign w:val="top"/>
          </w:tcPr>
          <w:p w14:paraId="442158A5">
            <w:pPr>
              <w:rPr>
                <w:rFonts w:ascii="Arial"/>
                <w:color w:val="auto"/>
                <w:sz w:val="21"/>
                <w:highlight w:val="none"/>
              </w:rPr>
            </w:pPr>
          </w:p>
        </w:tc>
        <w:tc>
          <w:tcPr>
            <w:tcW w:w="848" w:type="dxa"/>
            <w:vAlign w:val="top"/>
          </w:tcPr>
          <w:p w14:paraId="0BA56E69">
            <w:pPr>
              <w:rPr>
                <w:rFonts w:ascii="Arial"/>
                <w:color w:val="auto"/>
                <w:sz w:val="21"/>
                <w:highlight w:val="none"/>
              </w:rPr>
            </w:pPr>
          </w:p>
        </w:tc>
        <w:tc>
          <w:tcPr>
            <w:tcW w:w="848" w:type="dxa"/>
            <w:vAlign w:val="top"/>
          </w:tcPr>
          <w:p w14:paraId="70E80C41">
            <w:pPr>
              <w:rPr>
                <w:rFonts w:ascii="Arial"/>
                <w:color w:val="auto"/>
                <w:sz w:val="21"/>
                <w:highlight w:val="none"/>
              </w:rPr>
            </w:pPr>
          </w:p>
        </w:tc>
        <w:tc>
          <w:tcPr>
            <w:tcW w:w="1274" w:type="dxa"/>
            <w:vAlign w:val="top"/>
          </w:tcPr>
          <w:p w14:paraId="2A78CDFC">
            <w:pPr>
              <w:rPr>
                <w:rFonts w:ascii="Arial"/>
                <w:color w:val="auto"/>
                <w:sz w:val="21"/>
                <w:highlight w:val="none"/>
              </w:rPr>
            </w:pPr>
          </w:p>
        </w:tc>
        <w:tc>
          <w:tcPr>
            <w:tcW w:w="1274" w:type="dxa"/>
            <w:vAlign w:val="top"/>
          </w:tcPr>
          <w:p w14:paraId="2AC19B2C">
            <w:pPr>
              <w:rPr>
                <w:rFonts w:ascii="Arial"/>
                <w:color w:val="auto"/>
                <w:sz w:val="21"/>
                <w:highlight w:val="none"/>
              </w:rPr>
            </w:pPr>
          </w:p>
        </w:tc>
        <w:tc>
          <w:tcPr>
            <w:tcW w:w="1007" w:type="dxa"/>
            <w:tcBorders>
              <w:right w:val="single" w:color="000000" w:sz="10" w:space="0"/>
            </w:tcBorders>
            <w:vAlign w:val="top"/>
          </w:tcPr>
          <w:p w14:paraId="3A37D498">
            <w:pPr>
              <w:rPr>
                <w:rFonts w:ascii="Arial"/>
                <w:color w:val="auto"/>
                <w:sz w:val="21"/>
                <w:highlight w:val="none"/>
              </w:rPr>
            </w:pPr>
          </w:p>
        </w:tc>
      </w:tr>
      <w:tr w14:paraId="58B22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75832D81">
            <w:pPr>
              <w:rPr>
                <w:rFonts w:ascii="Arial"/>
                <w:color w:val="auto"/>
                <w:sz w:val="21"/>
                <w:highlight w:val="none"/>
              </w:rPr>
            </w:pPr>
          </w:p>
        </w:tc>
        <w:tc>
          <w:tcPr>
            <w:tcW w:w="1412" w:type="dxa"/>
            <w:vAlign w:val="top"/>
          </w:tcPr>
          <w:p w14:paraId="000F34BE">
            <w:pPr>
              <w:rPr>
                <w:rFonts w:ascii="Arial"/>
                <w:color w:val="auto"/>
                <w:sz w:val="21"/>
                <w:highlight w:val="none"/>
              </w:rPr>
            </w:pPr>
          </w:p>
        </w:tc>
        <w:tc>
          <w:tcPr>
            <w:tcW w:w="848" w:type="dxa"/>
            <w:vAlign w:val="top"/>
          </w:tcPr>
          <w:p w14:paraId="43106B6E">
            <w:pPr>
              <w:rPr>
                <w:rFonts w:ascii="Arial"/>
                <w:color w:val="auto"/>
                <w:sz w:val="21"/>
                <w:highlight w:val="none"/>
              </w:rPr>
            </w:pPr>
          </w:p>
        </w:tc>
        <w:tc>
          <w:tcPr>
            <w:tcW w:w="708" w:type="dxa"/>
            <w:vAlign w:val="top"/>
          </w:tcPr>
          <w:p w14:paraId="69EE67F6">
            <w:pPr>
              <w:rPr>
                <w:rFonts w:ascii="Arial"/>
                <w:color w:val="auto"/>
                <w:sz w:val="21"/>
                <w:highlight w:val="none"/>
              </w:rPr>
            </w:pPr>
          </w:p>
        </w:tc>
        <w:tc>
          <w:tcPr>
            <w:tcW w:w="848" w:type="dxa"/>
            <w:vAlign w:val="top"/>
          </w:tcPr>
          <w:p w14:paraId="0E6B9680">
            <w:pPr>
              <w:rPr>
                <w:rFonts w:ascii="Arial"/>
                <w:color w:val="auto"/>
                <w:sz w:val="21"/>
                <w:highlight w:val="none"/>
              </w:rPr>
            </w:pPr>
          </w:p>
        </w:tc>
        <w:tc>
          <w:tcPr>
            <w:tcW w:w="848" w:type="dxa"/>
            <w:vAlign w:val="top"/>
          </w:tcPr>
          <w:p w14:paraId="17222E0E">
            <w:pPr>
              <w:rPr>
                <w:rFonts w:ascii="Arial"/>
                <w:color w:val="auto"/>
                <w:sz w:val="21"/>
                <w:highlight w:val="none"/>
              </w:rPr>
            </w:pPr>
          </w:p>
        </w:tc>
        <w:tc>
          <w:tcPr>
            <w:tcW w:w="1274" w:type="dxa"/>
            <w:vAlign w:val="top"/>
          </w:tcPr>
          <w:p w14:paraId="7C82E1A2">
            <w:pPr>
              <w:rPr>
                <w:rFonts w:ascii="Arial"/>
                <w:color w:val="auto"/>
                <w:sz w:val="21"/>
                <w:highlight w:val="none"/>
              </w:rPr>
            </w:pPr>
          </w:p>
        </w:tc>
        <w:tc>
          <w:tcPr>
            <w:tcW w:w="1274" w:type="dxa"/>
            <w:vAlign w:val="top"/>
          </w:tcPr>
          <w:p w14:paraId="3C968630">
            <w:pPr>
              <w:rPr>
                <w:rFonts w:ascii="Arial"/>
                <w:color w:val="auto"/>
                <w:sz w:val="21"/>
                <w:highlight w:val="none"/>
              </w:rPr>
            </w:pPr>
          </w:p>
        </w:tc>
        <w:tc>
          <w:tcPr>
            <w:tcW w:w="1007" w:type="dxa"/>
            <w:tcBorders>
              <w:right w:val="single" w:color="000000" w:sz="10" w:space="0"/>
            </w:tcBorders>
            <w:vAlign w:val="top"/>
          </w:tcPr>
          <w:p w14:paraId="31AA9DC8">
            <w:pPr>
              <w:rPr>
                <w:rFonts w:ascii="Arial"/>
                <w:color w:val="auto"/>
                <w:sz w:val="21"/>
                <w:highlight w:val="none"/>
              </w:rPr>
            </w:pPr>
          </w:p>
        </w:tc>
      </w:tr>
      <w:tr w14:paraId="47BF0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325D73EA">
            <w:pPr>
              <w:rPr>
                <w:rFonts w:ascii="Arial"/>
                <w:color w:val="auto"/>
                <w:sz w:val="21"/>
                <w:highlight w:val="none"/>
              </w:rPr>
            </w:pPr>
          </w:p>
        </w:tc>
        <w:tc>
          <w:tcPr>
            <w:tcW w:w="1412" w:type="dxa"/>
            <w:vAlign w:val="top"/>
          </w:tcPr>
          <w:p w14:paraId="4BB2C7BD">
            <w:pPr>
              <w:rPr>
                <w:rFonts w:ascii="Arial"/>
                <w:color w:val="auto"/>
                <w:sz w:val="21"/>
                <w:highlight w:val="none"/>
              </w:rPr>
            </w:pPr>
          </w:p>
        </w:tc>
        <w:tc>
          <w:tcPr>
            <w:tcW w:w="848" w:type="dxa"/>
            <w:vAlign w:val="top"/>
          </w:tcPr>
          <w:p w14:paraId="23FD934F">
            <w:pPr>
              <w:rPr>
                <w:rFonts w:ascii="Arial"/>
                <w:color w:val="auto"/>
                <w:sz w:val="21"/>
                <w:highlight w:val="none"/>
              </w:rPr>
            </w:pPr>
          </w:p>
        </w:tc>
        <w:tc>
          <w:tcPr>
            <w:tcW w:w="708" w:type="dxa"/>
            <w:vAlign w:val="top"/>
          </w:tcPr>
          <w:p w14:paraId="66170C70">
            <w:pPr>
              <w:rPr>
                <w:rFonts w:ascii="Arial"/>
                <w:color w:val="auto"/>
                <w:sz w:val="21"/>
                <w:highlight w:val="none"/>
              </w:rPr>
            </w:pPr>
          </w:p>
        </w:tc>
        <w:tc>
          <w:tcPr>
            <w:tcW w:w="848" w:type="dxa"/>
            <w:vAlign w:val="top"/>
          </w:tcPr>
          <w:p w14:paraId="2E51DD56">
            <w:pPr>
              <w:rPr>
                <w:rFonts w:ascii="Arial"/>
                <w:color w:val="auto"/>
                <w:sz w:val="21"/>
                <w:highlight w:val="none"/>
              </w:rPr>
            </w:pPr>
          </w:p>
        </w:tc>
        <w:tc>
          <w:tcPr>
            <w:tcW w:w="848" w:type="dxa"/>
            <w:vAlign w:val="top"/>
          </w:tcPr>
          <w:p w14:paraId="3AF9777B">
            <w:pPr>
              <w:rPr>
                <w:rFonts w:ascii="Arial"/>
                <w:color w:val="auto"/>
                <w:sz w:val="21"/>
                <w:highlight w:val="none"/>
              </w:rPr>
            </w:pPr>
          </w:p>
        </w:tc>
        <w:tc>
          <w:tcPr>
            <w:tcW w:w="1274" w:type="dxa"/>
            <w:vAlign w:val="top"/>
          </w:tcPr>
          <w:p w14:paraId="77A0462D">
            <w:pPr>
              <w:rPr>
                <w:rFonts w:ascii="Arial"/>
                <w:color w:val="auto"/>
                <w:sz w:val="21"/>
                <w:highlight w:val="none"/>
              </w:rPr>
            </w:pPr>
          </w:p>
        </w:tc>
        <w:tc>
          <w:tcPr>
            <w:tcW w:w="1274" w:type="dxa"/>
            <w:vAlign w:val="top"/>
          </w:tcPr>
          <w:p w14:paraId="51480353">
            <w:pPr>
              <w:rPr>
                <w:rFonts w:ascii="Arial"/>
                <w:color w:val="auto"/>
                <w:sz w:val="21"/>
                <w:highlight w:val="none"/>
              </w:rPr>
            </w:pPr>
          </w:p>
        </w:tc>
        <w:tc>
          <w:tcPr>
            <w:tcW w:w="1007" w:type="dxa"/>
            <w:tcBorders>
              <w:right w:val="single" w:color="000000" w:sz="10" w:space="0"/>
            </w:tcBorders>
            <w:vAlign w:val="top"/>
          </w:tcPr>
          <w:p w14:paraId="6E0CE370">
            <w:pPr>
              <w:rPr>
                <w:rFonts w:ascii="Arial"/>
                <w:color w:val="auto"/>
                <w:sz w:val="21"/>
                <w:highlight w:val="none"/>
              </w:rPr>
            </w:pPr>
          </w:p>
        </w:tc>
      </w:tr>
      <w:tr w14:paraId="64305A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9" w:type="dxa"/>
            <w:tcBorders>
              <w:left w:val="single" w:color="000000" w:sz="10" w:space="0"/>
            </w:tcBorders>
            <w:vAlign w:val="top"/>
          </w:tcPr>
          <w:p w14:paraId="5F9AF1F5">
            <w:pPr>
              <w:rPr>
                <w:rFonts w:ascii="Arial"/>
                <w:color w:val="auto"/>
                <w:sz w:val="21"/>
                <w:highlight w:val="none"/>
              </w:rPr>
            </w:pPr>
          </w:p>
        </w:tc>
        <w:tc>
          <w:tcPr>
            <w:tcW w:w="1412" w:type="dxa"/>
            <w:vAlign w:val="top"/>
          </w:tcPr>
          <w:p w14:paraId="3B8A8E80">
            <w:pPr>
              <w:rPr>
                <w:rFonts w:ascii="Arial"/>
                <w:color w:val="auto"/>
                <w:sz w:val="21"/>
                <w:highlight w:val="none"/>
              </w:rPr>
            </w:pPr>
          </w:p>
        </w:tc>
        <w:tc>
          <w:tcPr>
            <w:tcW w:w="848" w:type="dxa"/>
            <w:vAlign w:val="top"/>
          </w:tcPr>
          <w:p w14:paraId="201EE884">
            <w:pPr>
              <w:rPr>
                <w:rFonts w:ascii="Arial"/>
                <w:color w:val="auto"/>
                <w:sz w:val="21"/>
                <w:highlight w:val="none"/>
              </w:rPr>
            </w:pPr>
          </w:p>
        </w:tc>
        <w:tc>
          <w:tcPr>
            <w:tcW w:w="708" w:type="dxa"/>
            <w:vAlign w:val="top"/>
          </w:tcPr>
          <w:p w14:paraId="2AD56EE0">
            <w:pPr>
              <w:rPr>
                <w:rFonts w:ascii="Arial"/>
                <w:color w:val="auto"/>
                <w:sz w:val="21"/>
                <w:highlight w:val="none"/>
              </w:rPr>
            </w:pPr>
          </w:p>
        </w:tc>
        <w:tc>
          <w:tcPr>
            <w:tcW w:w="848" w:type="dxa"/>
            <w:vAlign w:val="top"/>
          </w:tcPr>
          <w:p w14:paraId="4E2C6E93">
            <w:pPr>
              <w:rPr>
                <w:rFonts w:ascii="Arial"/>
                <w:color w:val="auto"/>
                <w:sz w:val="21"/>
                <w:highlight w:val="none"/>
              </w:rPr>
            </w:pPr>
          </w:p>
        </w:tc>
        <w:tc>
          <w:tcPr>
            <w:tcW w:w="848" w:type="dxa"/>
            <w:vAlign w:val="top"/>
          </w:tcPr>
          <w:p w14:paraId="5872791E">
            <w:pPr>
              <w:rPr>
                <w:rFonts w:ascii="Arial"/>
                <w:color w:val="auto"/>
                <w:sz w:val="21"/>
                <w:highlight w:val="none"/>
              </w:rPr>
            </w:pPr>
          </w:p>
        </w:tc>
        <w:tc>
          <w:tcPr>
            <w:tcW w:w="1274" w:type="dxa"/>
            <w:vAlign w:val="top"/>
          </w:tcPr>
          <w:p w14:paraId="46505A8A">
            <w:pPr>
              <w:rPr>
                <w:rFonts w:ascii="Arial"/>
                <w:color w:val="auto"/>
                <w:sz w:val="21"/>
                <w:highlight w:val="none"/>
              </w:rPr>
            </w:pPr>
          </w:p>
        </w:tc>
        <w:tc>
          <w:tcPr>
            <w:tcW w:w="1274" w:type="dxa"/>
            <w:vAlign w:val="top"/>
          </w:tcPr>
          <w:p w14:paraId="5F038202">
            <w:pPr>
              <w:rPr>
                <w:rFonts w:ascii="Arial"/>
                <w:color w:val="auto"/>
                <w:sz w:val="21"/>
                <w:highlight w:val="none"/>
              </w:rPr>
            </w:pPr>
          </w:p>
        </w:tc>
        <w:tc>
          <w:tcPr>
            <w:tcW w:w="1007" w:type="dxa"/>
            <w:tcBorders>
              <w:right w:val="single" w:color="000000" w:sz="10" w:space="0"/>
            </w:tcBorders>
            <w:vAlign w:val="top"/>
          </w:tcPr>
          <w:p w14:paraId="41F77278">
            <w:pPr>
              <w:rPr>
                <w:rFonts w:ascii="Arial"/>
                <w:color w:val="auto"/>
                <w:sz w:val="21"/>
                <w:highlight w:val="none"/>
              </w:rPr>
            </w:pPr>
          </w:p>
        </w:tc>
      </w:tr>
      <w:tr w14:paraId="77FBA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75C68F09">
            <w:pPr>
              <w:rPr>
                <w:rFonts w:ascii="Arial"/>
                <w:color w:val="auto"/>
                <w:sz w:val="21"/>
                <w:highlight w:val="none"/>
              </w:rPr>
            </w:pPr>
          </w:p>
        </w:tc>
        <w:tc>
          <w:tcPr>
            <w:tcW w:w="1412" w:type="dxa"/>
            <w:vAlign w:val="top"/>
          </w:tcPr>
          <w:p w14:paraId="28C0836E">
            <w:pPr>
              <w:rPr>
                <w:rFonts w:ascii="Arial"/>
                <w:color w:val="auto"/>
                <w:sz w:val="21"/>
                <w:highlight w:val="none"/>
              </w:rPr>
            </w:pPr>
          </w:p>
        </w:tc>
        <w:tc>
          <w:tcPr>
            <w:tcW w:w="848" w:type="dxa"/>
            <w:vAlign w:val="top"/>
          </w:tcPr>
          <w:p w14:paraId="40A4D6F5">
            <w:pPr>
              <w:rPr>
                <w:rFonts w:ascii="Arial"/>
                <w:color w:val="auto"/>
                <w:sz w:val="21"/>
                <w:highlight w:val="none"/>
              </w:rPr>
            </w:pPr>
          </w:p>
        </w:tc>
        <w:tc>
          <w:tcPr>
            <w:tcW w:w="708" w:type="dxa"/>
            <w:vAlign w:val="top"/>
          </w:tcPr>
          <w:p w14:paraId="28326F90">
            <w:pPr>
              <w:rPr>
                <w:rFonts w:ascii="Arial"/>
                <w:color w:val="auto"/>
                <w:sz w:val="21"/>
                <w:highlight w:val="none"/>
              </w:rPr>
            </w:pPr>
          </w:p>
        </w:tc>
        <w:tc>
          <w:tcPr>
            <w:tcW w:w="848" w:type="dxa"/>
            <w:vAlign w:val="top"/>
          </w:tcPr>
          <w:p w14:paraId="63CFFD32">
            <w:pPr>
              <w:rPr>
                <w:rFonts w:ascii="Arial"/>
                <w:color w:val="auto"/>
                <w:sz w:val="21"/>
                <w:highlight w:val="none"/>
              </w:rPr>
            </w:pPr>
          </w:p>
        </w:tc>
        <w:tc>
          <w:tcPr>
            <w:tcW w:w="848" w:type="dxa"/>
            <w:vAlign w:val="top"/>
          </w:tcPr>
          <w:p w14:paraId="73E068E5">
            <w:pPr>
              <w:rPr>
                <w:rFonts w:ascii="Arial"/>
                <w:color w:val="auto"/>
                <w:sz w:val="21"/>
                <w:highlight w:val="none"/>
              </w:rPr>
            </w:pPr>
          </w:p>
        </w:tc>
        <w:tc>
          <w:tcPr>
            <w:tcW w:w="1274" w:type="dxa"/>
            <w:vAlign w:val="top"/>
          </w:tcPr>
          <w:p w14:paraId="48A09783">
            <w:pPr>
              <w:rPr>
                <w:rFonts w:ascii="Arial"/>
                <w:color w:val="auto"/>
                <w:sz w:val="21"/>
                <w:highlight w:val="none"/>
              </w:rPr>
            </w:pPr>
          </w:p>
        </w:tc>
        <w:tc>
          <w:tcPr>
            <w:tcW w:w="1274" w:type="dxa"/>
            <w:vAlign w:val="top"/>
          </w:tcPr>
          <w:p w14:paraId="1E31DF0A">
            <w:pPr>
              <w:rPr>
                <w:rFonts w:ascii="Arial"/>
                <w:color w:val="auto"/>
                <w:sz w:val="21"/>
                <w:highlight w:val="none"/>
              </w:rPr>
            </w:pPr>
          </w:p>
        </w:tc>
        <w:tc>
          <w:tcPr>
            <w:tcW w:w="1007" w:type="dxa"/>
            <w:tcBorders>
              <w:right w:val="single" w:color="000000" w:sz="10" w:space="0"/>
            </w:tcBorders>
            <w:vAlign w:val="top"/>
          </w:tcPr>
          <w:p w14:paraId="648A2FB4">
            <w:pPr>
              <w:rPr>
                <w:rFonts w:ascii="Arial"/>
                <w:color w:val="auto"/>
                <w:sz w:val="21"/>
                <w:highlight w:val="none"/>
              </w:rPr>
            </w:pPr>
          </w:p>
        </w:tc>
      </w:tr>
      <w:tr w14:paraId="5B2135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0" w:hRule="atLeast"/>
        </w:trPr>
        <w:tc>
          <w:tcPr>
            <w:tcW w:w="749" w:type="dxa"/>
            <w:tcBorders>
              <w:left w:val="single" w:color="000000" w:sz="10" w:space="0"/>
            </w:tcBorders>
            <w:vAlign w:val="top"/>
          </w:tcPr>
          <w:p w14:paraId="4FCADDF7">
            <w:pPr>
              <w:rPr>
                <w:rFonts w:ascii="Arial"/>
                <w:color w:val="auto"/>
                <w:sz w:val="21"/>
                <w:highlight w:val="none"/>
              </w:rPr>
            </w:pPr>
          </w:p>
        </w:tc>
        <w:tc>
          <w:tcPr>
            <w:tcW w:w="1412" w:type="dxa"/>
            <w:vAlign w:val="top"/>
          </w:tcPr>
          <w:p w14:paraId="475DABB9">
            <w:pPr>
              <w:rPr>
                <w:rFonts w:ascii="Arial"/>
                <w:color w:val="auto"/>
                <w:sz w:val="21"/>
                <w:highlight w:val="none"/>
              </w:rPr>
            </w:pPr>
          </w:p>
        </w:tc>
        <w:tc>
          <w:tcPr>
            <w:tcW w:w="848" w:type="dxa"/>
            <w:vAlign w:val="top"/>
          </w:tcPr>
          <w:p w14:paraId="19F9A490">
            <w:pPr>
              <w:rPr>
                <w:rFonts w:ascii="Arial"/>
                <w:color w:val="auto"/>
                <w:sz w:val="21"/>
                <w:highlight w:val="none"/>
              </w:rPr>
            </w:pPr>
          </w:p>
        </w:tc>
        <w:tc>
          <w:tcPr>
            <w:tcW w:w="708" w:type="dxa"/>
            <w:vAlign w:val="top"/>
          </w:tcPr>
          <w:p w14:paraId="27F7D326">
            <w:pPr>
              <w:rPr>
                <w:rFonts w:ascii="Arial"/>
                <w:color w:val="auto"/>
                <w:sz w:val="21"/>
                <w:highlight w:val="none"/>
              </w:rPr>
            </w:pPr>
          </w:p>
        </w:tc>
        <w:tc>
          <w:tcPr>
            <w:tcW w:w="848" w:type="dxa"/>
            <w:vAlign w:val="top"/>
          </w:tcPr>
          <w:p w14:paraId="7E6E194B">
            <w:pPr>
              <w:rPr>
                <w:rFonts w:ascii="Arial"/>
                <w:color w:val="auto"/>
                <w:sz w:val="21"/>
                <w:highlight w:val="none"/>
              </w:rPr>
            </w:pPr>
          </w:p>
        </w:tc>
        <w:tc>
          <w:tcPr>
            <w:tcW w:w="848" w:type="dxa"/>
            <w:vAlign w:val="top"/>
          </w:tcPr>
          <w:p w14:paraId="48EAE3BA">
            <w:pPr>
              <w:rPr>
                <w:rFonts w:ascii="Arial"/>
                <w:color w:val="auto"/>
                <w:sz w:val="21"/>
                <w:highlight w:val="none"/>
              </w:rPr>
            </w:pPr>
          </w:p>
        </w:tc>
        <w:tc>
          <w:tcPr>
            <w:tcW w:w="1274" w:type="dxa"/>
            <w:vAlign w:val="top"/>
          </w:tcPr>
          <w:p w14:paraId="6E994D78">
            <w:pPr>
              <w:rPr>
                <w:rFonts w:ascii="Arial"/>
                <w:color w:val="auto"/>
                <w:sz w:val="21"/>
                <w:highlight w:val="none"/>
              </w:rPr>
            </w:pPr>
          </w:p>
        </w:tc>
        <w:tc>
          <w:tcPr>
            <w:tcW w:w="1274" w:type="dxa"/>
            <w:vAlign w:val="top"/>
          </w:tcPr>
          <w:p w14:paraId="06EB3E5E">
            <w:pPr>
              <w:rPr>
                <w:rFonts w:ascii="Arial"/>
                <w:color w:val="auto"/>
                <w:sz w:val="21"/>
                <w:highlight w:val="none"/>
              </w:rPr>
            </w:pPr>
          </w:p>
        </w:tc>
        <w:tc>
          <w:tcPr>
            <w:tcW w:w="1007" w:type="dxa"/>
            <w:tcBorders>
              <w:right w:val="single" w:color="000000" w:sz="10" w:space="0"/>
            </w:tcBorders>
            <w:vAlign w:val="top"/>
          </w:tcPr>
          <w:p w14:paraId="0B64232B">
            <w:pPr>
              <w:rPr>
                <w:rFonts w:ascii="Arial"/>
                <w:color w:val="auto"/>
                <w:sz w:val="21"/>
                <w:highlight w:val="none"/>
              </w:rPr>
            </w:pPr>
          </w:p>
        </w:tc>
      </w:tr>
      <w:tr w14:paraId="0428A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1867DC71">
            <w:pPr>
              <w:rPr>
                <w:rFonts w:ascii="Arial"/>
                <w:color w:val="auto"/>
                <w:sz w:val="21"/>
                <w:highlight w:val="none"/>
              </w:rPr>
            </w:pPr>
          </w:p>
        </w:tc>
        <w:tc>
          <w:tcPr>
            <w:tcW w:w="1412" w:type="dxa"/>
            <w:vAlign w:val="top"/>
          </w:tcPr>
          <w:p w14:paraId="41504EB7">
            <w:pPr>
              <w:rPr>
                <w:rFonts w:ascii="Arial"/>
                <w:color w:val="auto"/>
                <w:sz w:val="21"/>
                <w:highlight w:val="none"/>
              </w:rPr>
            </w:pPr>
          </w:p>
        </w:tc>
        <w:tc>
          <w:tcPr>
            <w:tcW w:w="848" w:type="dxa"/>
            <w:vAlign w:val="top"/>
          </w:tcPr>
          <w:p w14:paraId="1E0BC42C">
            <w:pPr>
              <w:rPr>
                <w:rFonts w:ascii="Arial"/>
                <w:color w:val="auto"/>
                <w:sz w:val="21"/>
                <w:highlight w:val="none"/>
              </w:rPr>
            </w:pPr>
          </w:p>
        </w:tc>
        <w:tc>
          <w:tcPr>
            <w:tcW w:w="708" w:type="dxa"/>
            <w:vAlign w:val="top"/>
          </w:tcPr>
          <w:p w14:paraId="61F1E8A8">
            <w:pPr>
              <w:rPr>
                <w:rFonts w:ascii="Arial"/>
                <w:color w:val="auto"/>
                <w:sz w:val="21"/>
                <w:highlight w:val="none"/>
              </w:rPr>
            </w:pPr>
          </w:p>
        </w:tc>
        <w:tc>
          <w:tcPr>
            <w:tcW w:w="848" w:type="dxa"/>
            <w:vAlign w:val="top"/>
          </w:tcPr>
          <w:p w14:paraId="2EDF75D7">
            <w:pPr>
              <w:rPr>
                <w:rFonts w:ascii="Arial"/>
                <w:color w:val="auto"/>
                <w:sz w:val="21"/>
                <w:highlight w:val="none"/>
              </w:rPr>
            </w:pPr>
          </w:p>
        </w:tc>
        <w:tc>
          <w:tcPr>
            <w:tcW w:w="848" w:type="dxa"/>
            <w:vAlign w:val="top"/>
          </w:tcPr>
          <w:p w14:paraId="67A19F08">
            <w:pPr>
              <w:rPr>
                <w:rFonts w:ascii="Arial"/>
                <w:color w:val="auto"/>
                <w:sz w:val="21"/>
                <w:highlight w:val="none"/>
              </w:rPr>
            </w:pPr>
          </w:p>
        </w:tc>
        <w:tc>
          <w:tcPr>
            <w:tcW w:w="1274" w:type="dxa"/>
            <w:vAlign w:val="top"/>
          </w:tcPr>
          <w:p w14:paraId="4E728A39">
            <w:pPr>
              <w:rPr>
                <w:rFonts w:ascii="Arial"/>
                <w:color w:val="auto"/>
                <w:sz w:val="21"/>
                <w:highlight w:val="none"/>
              </w:rPr>
            </w:pPr>
          </w:p>
        </w:tc>
        <w:tc>
          <w:tcPr>
            <w:tcW w:w="1274" w:type="dxa"/>
            <w:vAlign w:val="top"/>
          </w:tcPr>
          <w:p w14:paraId="25B45D80">
            <w:pPr>
              <w:rPr>
                <w:rFonts w:ascii="Arial"/>
                <w:color w:val="auto"/>
                <w:sz w:val="21"/>
                <w:highlight w:val="none"/>
              </w:rPr>
            </w:pPr>
          </w:p>
        </w:tc>
        <w:tc>
          <w:tcPr>
            <w:tcW w:w="1007" w:type="dxa"/>
            <w:tcBorders>
              <w:right w:val="single" w:color="000000" w:sz="10" w:space="0"/>
            </w:tcBorders>
            <w:vAlign w:val="top"/>
          </w:tcPr>
          <w:p w14:paraId="415F155E">
            <w:pPr>
              <w:rPr>
                <w:rFonts w:ascii="Arial"/>
                <w:color w:val="auto"/>
                <w:sz w:val="21"/>
                <w:highlight w:val="none"/>
              </w:rPr>
            </w:pPr>
          </w:p>
        </w:tc>
      </w:tr>
      <w:tr w14:paraId="3E313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49" w:type="dxa"/>
            <w:tcBorders>
              <w:left w:val="single" w:color="000000" w:sz="10" w:space="0"/>
            </w:tcBorders>
            <w:vAlign w:val="top"/>
          </w:tcPr>
          <w:p w14:paraId="216A5509">
            <w:pPr>
              <w:rPr>
                <w:rFonts w:ascii="Arial"/>
                <w:color w:val="auto"/>
                <w:sz w:val="21"/>
                <w:highlight w:val="none"/>
              </w:rPr>
            </w:pPr>
          </w:p>
        </w:tc>
        <w:tc>
          <w:tcPr>
            <w:tcW w:w="1412" w:type="dxa"/>
            <w:vAlign w:val="top"/>
          </w:tcPr>
          <w:p w14:paraId="66F1FDBE">
            <w:pPr>
              <w:rPr>
                <w:rFonts w:ascii="Arial"/>
                <w:color w:val="auto"/>
                <w:sz w:val="21"/>
                <w:highlight w:val="none"/>
              </w:rPr>
            </w:pPr>
          </w:p>
        </w:tc>
        <w:tc>
          <w:tcPr>
            <w:tcW w:w="848" w:type="dxa"/>
            <w:vAlign w:val="top"/>
          </w:tcPr>
          <w:p w14:paraId="24BCE8BC">
            <w:pPr>
              <w:rPr>
                <w:rFonts w:ascii="Arial"/>
                <w:color w:val="auto"/>
                <w:sz w:val="21"/>
                <w:highlight w:val="none"/>
              </w:rPr>
            </w:pPr>
          </w:p>
        </w:tc>
        <w:tc>
          <w:tcPr>
            <w:tcW w:w="708" w:type="dxa"/>
            <w:vAlign w:val="top"/>
          </w:tcPr>
          <w:p w14:paraId="0C867496">
            <w:pPr>
              <w:rPr>
                <w:rFonts w:ascii="Arial"/>
                <w:color w:val="auto"/>
                <w:sz w:val="21"/>
                <w:highlight w:val="none"/>
              </w:rPr>
            </w:pPr>
          </w:p>
        </w:tc>
        <w:tc>
          <w:tcPr>
            <w:tcW w:w="848" w:type="dxa"/>
            <w:vAlign w:val="top"/>
          </w:tcPr>
          <w:p w14:paraId="12754CAB">
            <w:pPr>
              <w:rPr>
                <w:rFonts w:ascii="Arial"/>
                <w:color w:val="auto"/>
                <w:sz w:val="21"/>
                <w:highlight w:val="none"/>
              </w:rPr>
            </w:pPr>
          </w:p>
        </w:tc>
        <w:tc>
          <w:tcPr>
            <w:tcW w:w="848" w:type="dxa"/>
            <w:vAlign w:val="top"/>
          </w:tcPr>
          <w:p w14:paraId="3D4DAE55">
            <w:pPr>
              <w:rPr>
                <w:rFonts w:ascii="Arial"/>
                <w:color w:val="auto"/>
                <w:sz w:val="21"/>
                <w:highlight w:val="none"/>
              </w:rPr>
            </w:pPr>
          </w:p>
        </w:tc>
        <w:tc>
          <w:tcPr>
            <w:tcW w:w="1274" w:type="dxa"/>
            <w:vAlign w:val="top"/>
          </w:tcPr>
          <w:p w14:paraId="06BDE126">
            <w:pPr>
              <w:rPr>
                <w:rFonts w:ascii="Arial"/>
                <w:color w:val="auto"/>
                <w:sz w:val="21"/>
                <w:highlight w:val="none"/>
              </w:rPr>
            </w:pPr>
          </w:p>
        </w:tc>
        <w:tc>
          <w:tcPr>
            <w:tcW w:w="1274" w:type="dxa"/>
            <w:vAlign w:val="top"/>
          </w:tcPr>
          <w:p w14:paraId="5584CFE9">
            <w:pPr>
              <w:rPr>
                <w:rFonts w:ascii="Arial"/>
                <w:color w:val="auto"/>
                <w:sz w:val="21"/>
                <w:highlight w:val="none"/>
              </w:rPr>
            </w:pPr>
          </w:p>
        </w:tc>
        <w:tc>
          <w:tcPr>
            <w:tcW w:w="1007" w:type="dxa"/>
            <w:tcBorders>
              <w:right w:val="single" w:color="000000" w:sz="10" w:space="0"/>
            </w:tcBorders>
            <w:vAlign w:val="top"/>
          </w:tcPr>
          <w:p w14:paraId="500E5557">
            <w:pPr>
              <w:rPr>
                <w:rFonts w:ascii="Arial"/>
                <w:color w:val="auto"/>
                <w:sz w:val="21"/>
                <w:highlight w:val="none"/>
              </w:rPr>
            </w:pPr>
          </w:p>
        </w:tc>
      </w:tr>
      <w:tr w14:paraId="5E3FB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749" w:type="dxa"/>
            <w:tcBorders>
              <w:left w:val="single" w:color="000000" w:sz="10" w:space="0"/>
            </w:tcBorders>
            <w:vAlign w:val="top"/>
          </w:tcPr>
          <w:p w14:paraId="4AB49AFC">
            <w:pPr>
              <w:rPr>
                <w:rFonts w:ascii="Arial"/>
                <w:color w:val="auto"/>
                <w:sz w:val="21"/>
                <w:highlight w:val="none"/>
              </w:rPr>
            </w:pPr>
          </w:p>
        </w:tc>
        <w:tc>
          <w:tcPr>
            <w:tcW w:w="1412" w:type="dxa"/>
            <w:vAlign w:val="top"/>
          </w:tcPr>
          <w:p w14:paraId="652D48B5">
            <w:pPr>
              <w:rPr>
                <w:rFonts w:ascii="Arial"/>
                <w:color w:val="auto"/>
                <w:sz w:val="21"/>
                <w:highlight w:val="none"/>
              </w:rPr>
            </w:pPr>
          </w:p>
        </w:tc>
        <w:tc>
          <w:tcPr>
            <w:tcW w:w="848" w:type="dxa"/>
            <w:vAlign w:val="top"/>
          </w:tcPr>
          <w:p w14:paraId="27BEAF17">
            <w:pPr>
              <w:rPr>
                <w:rFonts w:ascii="Arial"/>
                <w:color w:val="auto"/>
                <w:sz w:val="21"/>
                <w:highlight w:val="none"/>
              </w:rPr>
            </w:pPr>
          </w:p>
        </w:tc>
        <w:tc>
          <w:tcPr>
            <w:tcW w:w="708" w:type="dxa"/>
            <w:vAlign w:val="top"/>
          </w:tcPr>
          <w:p w14:paraId="1509D3A3">
            <w:pPr>
              <w:rPr>
                <w:rFonts w:ascii="Arial"/>
                <w:color w:val="auto"/>
                <w:sz w:val="21"/>
                <w:highlight w:val="none"/>
              </w:rPr>
            </w:pPr>
          </w:p>
        </w:tc>
        <w:tc>
          <w:tcPr>
            <w:tcW w:w="848" w:type="dxa"/>
            <w:vAlign w:val="top"/>
          </w:tcPr>
          <w:p w14:paraId="2CB3F6A2">
            <w:pPr>
              <w:rPr>
                <w:rFonts w:ascii="Arial"/>
                <w:color w:val="auto"/>
                <w:sz w:val="21"/>
                <w:highlight w:val="none"/>
              </w:rPr>
            </w:pPr>
          </w:p>
        </w:tc>
        <w:tc>
          <w:tcPr>
            <w:tcW w:w="848" w:type="dxa"/>
            <w:vAlign w:val="top"/>
          </w:tcPr>
          <w:p w14:paraId="4C875E6A">
            <w:pPr>
              <w:rPr>
                <w:rFonts w:ascii="Arial"/>
                <w:color w:val="auto"/>
                <w:sz w:val="21"/>
                <w:highlight w:val="none"/>
              </w:rPr>
            </w:pPr>
          </w:p>
        </w:tc>
        <w:tc>
          <w:tcPr>
            <w:tcW w:w="1274" w:type="dxa"/>
            <w:vAlign w:val="top"/>
          </w:tcPr>
          <w:p w14:paraId="1EB4376C">
            <w:pPr>
              <w:rPr>
                <w:rFonts w:ascii="Arial"/>
                <w:color w:val="auto"/>
                <w:sz w:val="21"/>
                <w:highlight w:val="none"/>
              </w:rPr>
            </w:pPr>
          </w:p>
        </w:tc>
        <w:tc>
          <w:tcPr>
            <w:tcW w:w="1274" w:type="dxa"/>
            <w:vAlign w:val="top"/>
          </w:tcPr>
          <w:p w14:paraId="55330074">
            <w:pPr>
              <w:rPr>
                <w:rFonts w:ascii="Arial"/>
                <w:color w:val="auto"/>
                <w:sz w:val="21"/>
                <w:highlight w:val="none"/>
              </w:rPr>
            </w:pPr>
          </w:p>
        </w:tc>
        <w:tc>
          <w:tcPr>
            <w:tcW w:w="1007" w:type="dxa"/>
            <w:tcBorders>
              <w:right w:val="single" w:color="000000" w:sz="10" w:space="0"/>
            </w:tcBorders>
            <w:vAlign w:val="top"/>
          </w:tcPr>
          <w:p w14:paraId="01665A68">
            <w:pPr>
              <w:rPr>
                <w:rFonts w:ascii="Arial"/>
                <w:color w:val="auto"/>
                <w:sz w:val="21"/>
                <w:highlight w:val="none"/>
              </w:rPr>
            </w:pPr>
          </w:p>
        </w:tc>
      </w:tr>
      <w:tr w14:paraId="731AE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7CAD4C52">
            <w:pPr>
              <w:rPr>
                <w:rFonts w:ascii="Arial"/>
                <w:color w:val="auto"/>
                <w:sz w:val="21"/>
                <w:highlight w:val="none"/>
              </w:rPr>
            </w:pPr>
          </w:p>
        </w:tc>
        <w:tc>
          <w:tcPr>
            <w:tcW w:w="1412" w:type="dxa"/>
            <w:vAlign w:val="top"/>
          </w:tcPr>
          <w:p w14:paraId="596AC4F6">
            <w:pPr>
              <w:rPr>
                <w:rFonts w:ascii="Arial"/>
                <w:color w:val="auto"/>
                <w:sz w:val="21"/>
                <w:highlight w:val="none"/>
              </w:rPr>
            </w:pPr>
          </w:p>
        </w:tc>
        <w:tc>
          <w:tcPr>
            <w:tcW w:w="848" w:type="dxa"/>
            <w:vAlign w:val="top"/>
          </w:tcPr>
          <w:p w14:paraId="40BD32EC">
            <w:pPr>
              <w:rPr>
                <w:rFonts w:ascii="Arial"/>
                <w:color w:val="auto"/>
                <w:sz w:val="21"/>
                <w:highlight w:val="none"/>
              </w:rPr>
            </w:pPr>
          </w:p>
        </w:tc>
        <w:tc>
          <w:tcPr>
            <w:tcW w:w="708" w:type="dxa"/>
            <w:vAlign w:val="top"/>
          </w:tcPr>
          <w:p w14:paraId="6D46AB38">
            <w:pPr>
              <w:rPr>
                <w:rFonts w:ascii="Arial"/>
                <w:color w:val="auto"/>
                <w:sz w:val="21"/>
                <w:highlight w:val="none"/>
              </w:rPr>
            </w:pPr>
          </w:p>
        </w:tc>
        <w:tc>
          <w:tcPr>
            <w:tcW w:w="848" w:type="dxa"/>
            <w:vAlign w:val="top"/>
          </w:tcPr>
          <w:p w14:paraId="6FD3356C">
            <w:pPr>
              <w:rPr>
                <w:rFonts w:ascii="Arial"/>
                <w:color w:val="auto"/>
                <w:sz w:val="21"/>
                <w:highlight w:val="none"/>
              </w:rPr>
            </w:pPr>
          </w:p>
        </w:tc>
        <w:tc>
          <w:tcPr>
            <w:tcW w:w="848" w:type="dxa"/>
            <w:vAlign w:val="top"/>
          </w:tcPr>
          <w:p w14:paraId="53026883">
            <w:pPr>
              <w:rPr>
                <w:rFonts w:ascii="Arial"/>
                <w:color w:val="auto"/>
                <w:sz w:val="21"/>
                <w:highlight w:val="none"/>
              </w:rPr>
            </w:pPr>
          </w:p>
        </w:tc>
        <w:tc>
          <w:tcPr>
            <w:tcW w:w="1274" w:type="dxa"/>
            <w:vAlign w:val="top"/>
          </w:tcPr>
          <w:p w14:paraId="720F2887">
            <w:pPr>
              <w:rPr>
                <w:rFonts w:ascii="Arial"/>
                <w:color w:val="auto"/>
                <w:sz w:val="21"/>
                <w:highlight w:val="none"/>
              </w:rPr>
            </w:pPr>
          </w:p>
        </w:tc>
        <w:tc>
          <w:tcPr>
            <w:tcW w:w="1274" w:type="dxa"/>
            <w:vAlign w:val="top"/>
          </w:tcPr>
          <w:p w14:paraId="1C4877DC">
            <w:pPr>
              <w:rPr>
                <w:rFonts w:ascii="Arial"/>
                <w:color w:val="auto"/>
                <w:sz w:val="21"/>
                <w:highlight w:val="none"/>
              </w:rPr>
            </w:pPr>
          </w:p>
        </w:tc>
        <w:tc>
          <w:tcPr>
            <w:tcW w:w="1007" w:type="dxa"/>
            <w:tcBorders>
              <w:right w:val="single" w:color="000000" w:sz="10" w:space="0"/>
            </w:tcBorders>
            <w:vAlign w:val="top"/>
          </w:tcPr>
          <w:p w14:paraId="5EEDAFDC">
            <w:pPr>
              <w:rPr>
                <w:rFonts w:ascii="Arial"/>
                <w:color w:val="auto"/>
                <w:sz w:val="21"/>
                <w:highlight w:val="none"/>
              </w:rPr>
            </w:pPr>
          </w:p>
        </w:tc>
      </w:tr>
      <w:tr w14:paraId="698F1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7E2D8204">
            <w:pPr>
              <w:rPr>
                <w:rFonts w:ascii="Arial"/>
                <w:color w:val="auto"/>
                <w:sz w:val="21"/>
                <w:highlight w:val="none"/>
              </w:rPr>
            </w:pPr>
          </w:p>
        </w:tc>
        <w:tc>
          <w:tcPr>
            <w:tcW w:w="1412" w:type="dxa"/>
            <w:vAlign w:val="top"/>
          </w:tcPr>
          <w:p w14:paraId="58A8BE1B">
            <w:pPr>
              <w:rPr>
                <w:rFonts w:ascii="Arial"/>
                <w:color w:val="auto"/>
                <w:sz w:val="21"/>
                <w:highlight w:val="none"/>
              </w:rPr>
            </w:pPr>
          </w:p>
        </w:tc>
        <w:tc>
          <w:tcPr>
            <w:tcW w:w="848" w:type="dxa"/>
            <w:vAlign w:val="top"/>
          </w:tcPr>
          <w:p w14:paraId="3A806CFD">
            <w:pPr>
              <w:rPr>
                <w:rFonts w:ascii="Arial"/>
                <w:color w:val="auto"/>
                <w:sz w:val="21"/>
                <w:highlight w:val="none"/>
              </w:rPr>
            </w:pPr>
          </w:p>
        </w:tc>
        <w:tc>
          <w:tcPr>
            <w:tcW w:w="708" w:type="dxa"/>
            <w:vAlign w:val="top"/>
          </w:tcPr>
          <w:p w14:paraId="5AC50543">
            <w:pPr>
              <w:rPr>
                <w:rFonts w:ascii="Arial"/>
                <w:color w:val="auto"/>
                <w:sz w:val="21"/>
                <w:highlight w:val="none"/>
              </w:rPr>
            </w:pPr>
          </w:p>
        </w:tc>
        <w:tc>
          <w:tcPr>
            <w:tcW w:w="848" w:type="dxa"/>
            <w:vAlign w:val="top"/>
          </w:tcPr>
          <w:p w14:paraId="3C45C1B3">
            <w:pPr>
              <w:rPr>
                <w:rFonts w:ascii="Arial"/>
                <w:color w:val="auto"/>
                <w:sz w:val="21"/>
                <w:highlight w:val="none"/>
              </w:rPr>
            </w:pPr>
          </w:p>
        </w:tc>
        <w:tc>
          <w:tcPr>
            <w:tcW w:w="848" w:type="dxa"/>
            <w:vAlign w:val="top"/>
          </w:tcPr>
          <w:p w14:paraId="3BF06E98">
            <w:pPr>
              <w:rPr>
                <w:rFonts w:ascii="Arial"/>
                <w:color w:val="auto"/>
                <w:sz w:val="21"/>
                <w:highlight w:val="none"/>
              </w:rPr>
            </w:pPr>
          </w:p>
        </w:tc>
        <w:tc>
          <w:tcPr>
            <w:tcW w:w="1274" w:type="dxa"/>
            <w:vAlign w:val="top"/>
          </w:tcPr>
          <w:p w14:paraId="5DB50B7F">
            <w:pPr>
              <w:rPr>
                <w:rFonts w:ascii="Arial"/>
                <w:color w:val="auto"/>
                <w:sz w:val="21"/>
                <w:highlight w:val="none"/>
              </w:rPr>
            </w:pPr>
          </w:p>
        </w:tc>
        <w:tc>
          <w:tcPr>
            <w:tcW w:w="1274" w:type="dxa"/>
            <w:vAlign w:val="top"/>
          </w:tcPr>
          <w:p w14:paraId="0827FDF3">
            <w:pPr>
              <w:rPr>
                <w:rFonts w:ascii="Arial"/>
                <w:color w:val="auto"/>
                <w:sz w:val="21"/>
                <w:highlight w:val="none"/>
              </w:rPr>
            </w:pPr>
          </w:p>
        </w:tc>
        <w:tc>
          <w:tcPr>
            <w:tcW w:w="1007" w:type="dxa"/>
            <w:tcBorders>
              <w:right w:val="single" w:color="000000" w:sz="10" w:space="0"/>
            </w:tcBorders>
            <w:vAlign w:val="top"/>
          </w:tcPr>
          <w:p w14:paraId="6BB61453">
            <w:pPr>
              <w:rPr>
                <w:rFonts w:ascii="Arial"/>
                <w:color w:val="auto"/>
                <w:sz w:val="21"/>
                <w:highlight w:val="none"/>
              </w:rPr>
            </w:pPr>
          </w:p>
        </w:tc>
      </w:tr>
      <w:tr w14:paraId="534D3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9" w:type="dxa"/>
            <w:tcBorders>
              <w:left w:val="single" w:color="000000" w:sz="10" w:space="0"/>
            </w:tcBorders>
            <w:vAlign w:val="top"/>
          </w:tcPr>
          <w:p w14:paraId="58C5BB53">
            <w:pPr>
              <w:rPr>
                <w:rFonts w:ascii="Arial"/>
                <w:color w:val="auto"/>
                <w:sz w:val="21"/>
                <w:highlight w:val="none"/>
              </w:rPr>
            </w:pPr>
          </w:p>
        </w:tc>
        <w:tc>
          <w:tcPr>
            <w:tcW w:w="1412" w:type="dxa"/>
            <w:vAlign w:val="top"/>
          </w:tcPr>
          <w:p w14:paraId="1DB26465">
            <w:pPr>
              <w:rPr>
                <w:rFonts w:ascii="Arial"/>
                <w:color w:val="auto"/>
                <w:sz w:val="21"/>
                <w:highlight w:val="none"/>
              </w:rPr>
            </w:pPr>
          </w:p>
        </w:tc>
        <w:tc>
          <w:tcPr>
            <w:tcW w:w="848" w:type="dxa"/>
            <w:vAlign w:val="top"/>
          </w:tcPr>
          <w:p w14:paraId="7C642985">
            <w:pPr>
              <w:rPr>
                <w:rFonts w:ascii="Arial"/>
                <w:color w:val="auto"/>
                <w:sz w:val="21"/>
                <w:highlight w:val="none"/>
              </w:rPr>
            </w:pPr>
          </w:p>
        </w:tc>
        <w:tc>
          <w:tcPr>
            <w:tcW w:w="708" w:type="dxa"/>
            <w:vAlign w:val="top"/>
          </w:tcPr>
          <w:p w14:paraId="3987612E">
            <w:pPr>
              <w:rPr>
                <w:rFonts w:ascii="Arial"/>
                <w:color w:val="auto"/>
                <w:sz w:val="21"/>
                <w:highlight w:val="none"/>
              </w:rPr>
            </w:pPr>
          </w:p>
        </w:tc>
        <w:tc>
          <w:tcPr>
            <w:tcW w:w="848" w:type="dxa"/>
            <w:vAlign w:val="top"/>
          </w:tcPr>
          <w:p w14:paraId="701D6A23">
            <w:pPr>
              <w:rPr>
                <w:rFonts w:ascii="Arial"/>
                <w:color w:val="auto"/>
                <w:sz w:val="21"/>
                <w:highlight w:val="none"/>
              </w:rPr>
            </w:pPr>
          </w:p>
        </w:tc>
        <w:tc>
          <w:tcPr>
            <w:tcW w:w="848" w:type="dxa"/>
            <w:vAlign w:val="top"/>
          </w:tcPr>
          <w:p w14:paraId="4F48FAE7">
            <w:pPr>
              <w:rPr>
                <w:rFonts w:ascii="Arial"/>
                <w:color w:val="auto"/>
                <w:sz w:val="21"/>
                <w:highlight w:val="none"/>
              </w:rPr>
            </w:pPr>
          </w:p>
        </w:tc>
        <w:tc>
          <w:tcPr>
            <w:tcW w:w="1274" w:type="dxa"/>
            <w:vAlign w:val="top"/>
          </w:tcPr>
          <w:p w14:paraId="5324306E">
            <w:pPr>
              <w:rPr>
                <w:rFonts w:ascii="Arial"/>
                <w:color w:val="auto"/>
                <w:sz w:val="21"/>
                <w:highlight w:val="none"/>
              </w:rPr>
            </w:pPr>
          </w:p>
        </w:tc>
        <w:tc>
          <w:tcPr>
            <w:tcW w:w="1274" w:type="dxa"/>
            <w:vAlign w:val="top"/>
          </w:tcPr>
          <w:p w14:paraId="5E8B821A">
            <w:pPr>
              <w:rPr>
                <w:rFonts w:ascii="Arial"/>
                <w:color w:val="auto"/>
                <w:sz w:val="21"/>
                <w:highlight w:val="none"/>
              </w:rPr>
            </w:pPr>
          </w:p>
        </w:tc>
        <w:tc>
          <w:tcPr>
            <w:tcW w:w="1007" w:type="dxa"/>
            <w:tcBorders>
              <w:right w:val="single" w:color="000000" w:sz="10" w:space="0"/>
            </w:tcBorders>
            <w:vAlign w:val="top"/>
          </w:tcPr>
          <w:p w14:paraId="62FCCB3D">
            <w:pPr>
              <w:rPr>
                <w:rFonts w:ascii="Arial"/>
                <w:color w:val="auto"/>
                <w:sz w:val="21"/>
                <w:highlight w:val="none"/>
              </w:rPr>
            </w:pPr>
          </w:p>
        </w:tc>
      </w:tr>
      <w:tr w14:paraId="3C2A0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749" w:type="dxa"/>
            <w:tcBorders>
              <w:left w:val="single" w:color="000000" w:sz="10" w:space="0"/>
              <w:bottom w:val="single" w:color="000000" w:sz="10" w:space="0"/>
            </w:tcBorders>
            <w:vAlign w:val="top"/>
          </w:tcPr>
          <w:p w14:paraId="16DFDD7E">
            <w:pPr>
              <w:rPr>
                <w:rFonts w:ascii="Arial"/>
                <w:color w:val="auto"/>
                <w:sz w:val="21"/>
                <w:highlight w:val="none"/>
              </w:rPr>
            </w:pPr>
          </w:p>
        </w:tc>
        <w:tc>
          <w:tcPr>
            <w:tcW w:w="1412" w:type="dxa"/>
            <w:tcBorders>
              <w:bottom w:val="single" w:color="000000" w:sz="10" w:space="0"/>
            </w:tcBorders>
            <w:vAlign w:val="top"/>
          </w:tcPr>
          <w:p w14:paraId="68E01273">
            <w:pPr>
              <w:rPr>
                <w:rFonts w:ascii="Arial"/>
                <w:color w:val="auto"/>
                <w:sz w:val="21"/>
                <w:highlight w:val="none"/>
              </w:rPr>
            </w:pPr>
          </w:p>
        </w:tc>
        <w:tc>
          <w:tcPr>
            <w:tcW w:w="848" w:type="dxa"/>
            <w:tcBorders>
              <w:bottom w:val="single" w:color="000000" w:sz="10" w:space="0"/>
            </w:tcBorders>
            <w:vAlign w:val="top"/>
          </w:tcPr>
          <w:p w14:paraId="14568587">
            <w:pPr>
              <w:rPr>
                <w:rFonts w:ascii="Arial"/>
                <w:color w:val="auto"/>
                <w:sz w:val="21"/>
                <w:highlight w:val="none"/>
              </w:rPr>
            </w:pPr>
          </w:p>
        </w:tc>
        <w:tc>
          <w:tcPr>
            <w:tcW w:w="708" w:type="dxa"/>
            <w:tcBorders>
              <w:bottom w:val="single" w:color="000000" w:sz="10" w:space="0"/>
            </w:tcBorders>
            <w:vAlign w:val="top"/>
          </w:tcPr>
          <w:p w14:paraId="36CBA82D">
            <w:pPr>
              <w:rPr>
                <w:rFonts w:ascii="Arial"/>
                <w:color w:val="auto"/>
                <w:sz w:val="21"/>
                <w:highlight w:val="none"/>
              </w:rPr>
            </w:pPr>
          </w:p>
        </w:tc>
        <w:tc>
          <w:tcPr>
            <w:tcW w:w="848" w:type="dxa"/>
            <w:tcBorders>
              <w:bottom w:val="single" w:color="000000" w:sz="10" w:space="0"/>
            </w:tcBorders>
            <w:vAlign w:val="top"/>
          </w:tcPr>
          <w:p w14:paraId="1478EEA3">
            <w:pPr>
              <w:rPr>
                <w:rFonts w:ascii="Arial"/>
                <w:color w:val="auto"/>
                <w:sz w:val="21"/>
                <w:highlight w:val="none"/>
              </w:rPr>
            </w:pPr>
          </w:p>
        </w:tc>
        <w:tc>
          <w:tcPr>
            <w:tcW w:w="848" w:type="dxa"/>
            <w:tcBorders>
              <w:bottom w:val="single" w:color="000000" w:sz="10" w:space="0"/>
            </w:tcBorders>
            <w:vAlign w:val="top"/>
          </w:tcPr>
          <w:p w14:paraId="22D0AA7A">
            <w:pPr>
              <w:rPr>
                <w:rFonts w:ascii="Arial"/>
                <w:color w:val="auto"/>
                <w:sz w:val="21"/>
                <w:highlight w:val="none"/>
              </w:rPr>
            </w:pPr>
          </w:p>
        </w:tc>
        <w:tc>
          <w:tcPr>
            <w:tcW w:w="1274" w:type="dxa"/>
            <w:tcBorders>
              <w:bottom w:val="single" w:color="000000" w:sz="10" w:space="0"/>
            </w:tcBorders>
            <w:vAlign w:val="top"/>
          </w:tcPr>
          <w:p w14:paraId="6E7BC41D">
            <w:pPr>
              <w:rPr>
                <w:rFonts w:ascii="Arial"/>
                <w:color w:val="auto"/>
                <w:sz w:val="21"/>
                <w:highlight w:val="none"/>
              </w:rPr>
            </w:pPr>
          </w:p>
        </w:tc>
        <w:tc>
          <w:tcPr>
            <w:tcW w:w="1274" w:type="dxa"/>
            <w:tcBorders>
              <w:bottom w:val="single" w:color="000000" w:sz="10" w:space="0"/>
            </w:tcBorders>
            <w:vAlign w:val="top"/>
          </w:tcPr>
          <w:p w14:paraId="46072FB1">
            <w:pPr>
              <w:rPr>
                <w:rFonts w:ascii="Arial"/>
                <w:color w:val="auto"/>
                <w:sz w:val="21"/>
                <w:highlight w:val="none"/>
              </w:rPr>
            </w:pPr>
          </w:p>
        </w:tc>
        <w:tc>
          <w:tcPr>
            <w:tcW w:w="1007" w:type="dxa"/>
            <w:tcBorders>
              <w:bottom w:val="single" w:color="000000" w:sz="10" w:space="0"/>
              <w:right w:val="single" w:color="000000" w:sz="10" w:space="0"/>
            </w:tcBorders>
            <w:vAlign w:val="top"/>
          </w:tcPr>
          <w:p w14:paraId="52F8E50C">
            <w:pPr>
              <w:rPr>
                <w:rFonts w:ascii="Arial"/>
                <w:color w:val="auto"/>
                <w:sz w:val="21"/>
                <w:highlight w:val="none"/>
              </w:rPr>
            </w:pPr>
          </w:p>
        </w:tc>
      </w:tr>
    </w:tbl>
    <w:p w14:paraId="7B945266">
      <w:pPr>
        <w:pStyle w:val="3"/>
        <w:rPr>
          <w:color w:val="auto"/>
          <w:highlight w:val="none"/>
        </w:rPr>
      </w:pPr>
    </w:p>
    <w:p w14:paraId="44E755AF">
      <w:pPr>
        <w:rPr>
          <w:color w:val="auto"/>
          <w:highlight w:val="none"/>
        </w:rPr>
        <w:sectPr>
          <w:footerReference r:id="rId161" w:type="default"/>
          <w:pgSz w:w="11905" w:h="16839"/>
          <w:pgMar w:top="400" w:right="1450" w:bottom="1004" w:left="1459" w:header="0" w:footer="828" w:gutter="0"/>
          <w:pgNumType w:fmt="decimal"/>
          <w:cols w:space="720" w:num="1"/>
        </w:sectPr>
      </w:pPr>
    </w:p>
    <w:p w14:paraId="3FB0C5B6">
      <w:pPr>
        <w:pStyle w:val="3"/>
        <w:spacing w:line="276" w:lineRule="auto"/>
        <w:rPr>
          <w:color w:val="auto"/>
          <w:highlight w:val="none"/>
        </w:rPr>
      </w:pPr>
    </w:p>
    <w:p w14:paraId="07C52BFC">
      <w:pPr>
        <w:pStyle w:val="3"/>
        <w:spacing w:line="276" w:lineRule="auto"/>
        <w:rPr>
          <w:color w:val="auto"/>
          <w:highlight w:val="none"/>
        </w:rPr>
      </w:pPr>
    </w:p>
    <w:p w14:paraId="0A7B52CC">
      <w:pPr>
        <w:pStyle w:val="3"/>
        <w:spacing w:line="276" w:lineRule="auto"/>
        <w:rPr>
          <w:color w:val="auto"/>
          <w:highlight w:val="none"/>
        </w:rPr>
      </w:pPr>
    </w:p>
    <w:p w14:paraId="1C5B7EF9">
      <w:pPr>
        <w:pStyle w:val="3"/>
        <w:spacing w:line="276" w:lineRule="auto"/>
        <w:rPr>
          <w:color w:val="auto"/>
          <w:highlight w:val="none"/>
        </w:rPr>
      </w:pPr>
    </w:p>
    <w:p w14:paraId="6C6DA652">
      <w:pPr>
        <w:spacing w:before="78" w:line="219" w:lineRule="auto"/>
        <w:ind w:left="791"/>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附件</w:t>
      </w:r>
      <w:r>
        <w:rPr>
          <w:rFonts w:ascii="宋体" w:hAnsi="宋体" w:eastAsia="宋体" w:cs="宋体"/>
          <w:color w:val="auto"/>
          <w:spacing w:val="-51"/>
          <w:sz w:val="24"/>
          <w:szCs w:val="24"/>
          <w:highlight w:val="none"/>
        </w:rPr>
        <w:t xml:space="preserve"> </w:t>
      </w:r>
      <w:r>
        <w:rPr>
          <w:rFonts w:ascii="Times New Roman" w:hAnsi="Times New Roman" w:eastAsia="Times New Roman" w:cs="Times New Roman"/>
          <w:color w:val="auto"/>
          <w:spacing w:val="-10"/>
          <w:sz w:val="24"/>
          <w:szCs w:val="24"/>
          <w:highlight w:val="none"/>
        </w:rPr>
        <w:t>6</w:t>
      </w:r>
      <w:r>
        <w:rPr>
          <w:rFonts w:ascii="宋体" w:hAnsi="宋体" w:eastAsia="宋体" w:cs="宋体"/>
          <w:color w:val="auto"/>
          <w:spacing w:val="-10"/>
          <w:sz w:val="24"/>
          <w:szCs w:val="24"/>
          <w:highlight w:val="none"/>
        </w:rPr>
        <w:t>：</w:t>
      </w:r>
    </w:p>
    <w:p w14:paraId="295E5B87">
      <w:pPr>
        <w:spacing w:before="243" w:line="224" w:lineRule="auto"/>
        <w:ind w:left="3250"/>
        <w:rPr>
          <w:rFonts w:ascii="黑体" w:hAnsi="黑体" w:eastAsia="黑体" w:cs="黑体"/>
          <w:color w:val="auto"/>
          <w:sz w:val="27"/>
          <w:szCs w:val="27"/>
          <w:highlight w:val="none"/>
        </w:rPr>
      </w:pPr>
      <w:bookmarkStart w:id="1282" w:name="bookmark228"/>
      <w:bookmarkEnd w:id="1282"/>
      <w:r>
        <w:rPr>
          <w:rFonts w:ascii="黑体" w:hAnsi="黑体" w:eastAsia="黑体" w:cs="黑体"/>
          <w:color w:val="auto"/>
          <w:spacing w:val="8"/>
          <w:sz w:val="27"/>
          <w:szCs w:val="27"/>
          <w:highlight w:val="none"/>
        </w:rPr>
        <w:t>承包人主要施工管理人员表</w:t>
      </w:r>
    </w:p>
    <w:p w14:paraId="6F245E06">
      <w:pPr>
        <w:spacing w:line="113" w:lineRule="exact"/>
        <w:rPr>
          <w:color w:val="auto"/>
          <w:highlight w:val="none"/>
        </w:rPr>
      </w:pPr>
    </w:p>
    <w:tbl>
      <w:tblPr>
        <w:tblStyle w:val="10"/>
        <w:tblW w:w="981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0"/>
        <w:gridCol w:w="1413"/>
        <w:gridCol w:w="1134"/>
        <w:gridCol w:w="1130"/>
        <w:gridCol w:w="4261"/>
      </w:tblGrid>
      <w:tr w14:paraId="3C0CA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880" w:type="dxa"/>
            <w:tcBorders>
              <w:top w:val="single" w:color="000000" w:sz="10" w:space="0"/>
              <w:left w:val="single" w:color="000000" w:sz="10" w:space="0"/>
            </w:tcBorders>
            <w:vAlign w:val="top"/>
          </w:tcPr>
          <w:p w14:paraId="64AA4C6F">
            <w:pPr>
              <w:pStyle w:val="11"/>
              <w:spacing w:before="177" w:line="223" w:lineRule="auto"/>
              <w:ind w:left="513"/>
              <w:rPr>
                <w:color w:val="auto"/>
                <w:highlight w:val="none"/>
              </w:rPr>
            </w:pPr>
            <w:r>
              <w:rPr>
                <w:color w:val="auto"/>
                <w:spacing w:val="-5"/>
                <w:highlight w:val="none"/>
              </w:rPr>
              <w:t>名</w:t>
            </w:r>
            <w:r>
              <w:rPr>
                <w:color w:val="auto"/>
                <w:spacing w:val="2"/>
                <w:highlight w:val="none"/>
              </w:rPr>
              <w:t xml:space="preserve">    </w:t>
            </w:r>
            <w:r>
              <w:rPr>
                <w:color w:val="auto"/>
                <w:spacing w:val="-5"/>
                <w:highlight w:val="none"/>
              </w:rPr>
              <w:t>称</w:t>
            </w:r>
          </w:p>
        </w:tc>
        <w:tc>
          <w:tcPr>
            <w:tcW w:w="1413" w:type="dxa"/>
            <w:tcBorders>
              <w:top w:val="single" w:color="000000" w:sz="10" w:space="0"/>
            </w:tcBorders>
            <w:vAlign w:val="top"/>
          </w:tcPr>
          <w:p w14:paraId="32D7D251">
            <w:pPr>
              <w:pStyle w:val="11"/>
              <w:spacing w:before="177" w:line="221" w:lineRule="auto"/>
              <w:ind w:left="497"/>
              <w:rPr>
                <w:color w:val="auto"/>
                <w:highlight w:val="none"/>
              </w:rPr>
            </w:pPr>
            <w:r>
              <w:rPr>
                <w:color w:val="auto"/>
                <w:spacing w:val="-2"/>
                <w:highlight w:val="none"/>
              </w:rPr>
              <w:t>姓名</w:t>
            </w:r>
          </w:p>
        </w:tc>
        <w:tc>
          <w:tcPr>
            <w:tcW w:w="1134" w:type="dxa"/>
            <w:tcBorders>
              <w:top w:val="single" w:color="000000" w:sz="10" w:space="0"/>
            </w:tcBorders>
            <w:vAlign w:val="top"/>
          </w:tcPr>
          <w:p w14:paraId="06E508CD">
            <w:pPr>
              <w:pStyle w:val="11"/>
              <w:spacing w:before="177" w:line="221" w:lineRule="auto"/>
              <w:ind w:left="357"/>
              <w:rPr>
                <w:color w:val="auto"/>
                <w:highlight w:val="none"/>
              </w:rPr>
            </w:pPr>
            <w:r>
              <w:rPr>
                <w:color w:val="auto"/>
                <w:spacing w:val="-2"/>
                <w:highlight w:val="none"/>
              </w:rPr>
              <w:t>职务</w:t>
            </w:r>
          </w:p>
        </w:tc>
        <w:tc>
          <w:tcPr>
            <w:tcW w:w="1130" w:type="dxa"/>
            <w:tcBorders>
              <w:top w:val="single" w:color="000000" w:sz="10" w:space="0"/>
            </w:tcBorders>
            <w:vAlign w:val="top"/>
          </w:tcPr>
          <w:p w14:paraId="7F63E295">
            <w:pPr>
              <w:pStyle w:val="11"/>
              <w:spacing w:before="177" w:line="223" w:lineRule="auto"/>
              <w:ind w:left="361"/>
              <w:rPr>
                <w:color w:val="auto"/>
                <w:highlight w:val="none"/>
              </w:rPr>
            </w:pPr>
            <w:r>
              <w:rPr>
                <w:color w:val="auto"/>
                <w:spacing w:val="-2"/>
                <w:highlight w:val="none"/>
              </w:rPr>
              <w:t>职称</w:t>
            </w:r>
          </w:p>
        </w:tc>
        <w:tc>
          <w:tcPr>
            <w:tcW w:w="4261" w:type="dxa"/>
            <w:tcBorders>
              <w:top w:val="single" w:color="000000" w:sz="10" w:space="0"/>
              <w:right w:val="single" w:color="000000" w:sz="10" w:space="0"/>
            </w:tcBorders>
            <w:vAlign w:val="top"/>
          </w:tcPr>
          <w:p w14:paraId="00B508BA">
            <w:pPr>
              <w:pStyle w:val="11"/>
              <w:spacing w:before="177" w:line="221" w:lineRule="auto"/>
              <w:ind w:left="668"/>
              <w:rPr>
                <w:color w:val="auto"/>
                <w:highlight w:val="none"/>
              </w:rPr>
            </w:pPr>
            <w:r>
              <w:rPr>
                <w:color w:val="auto"/>
                <w:spacing w:val="-1"/>
                <w:highlight w:val="none"/>
              </w:rPr>
              <w:t>主要资历、经验及承担过的项目</w:t>
            </w:r>
          </w:p>
        </w:tc>
      </w:tr>
      <w:tr w14:paraId="7EAE7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818" w:type="dxa"/>
            <w:gridSpan w:val="5"/>
            <w:tcBorders>
              <w:left w:val="single" w:color="000000" w:sz="10" w:space="0"/>
              <w:right w:val="single" w:color="000000" w:sz="10" w:space="0"/>
            </w:tcBorders>
            <w:vAlign w:val="top"/>
          </w:tcPr>
          <w:p w14:paraId="4888BADA">
            <w:pPr>
              <w:pStyle w:val="11"/>
              <w:spacing w:before="200" w:line="221" w:lineRule="auto"/>
              <w:ind w:left="4279"/>
              <w:rPr>
                <w:color w:val="auto"/>
                <w:highlight w:val="none"/>
              </w:rPr>
            </w:pPr>
            <w:r>
              <w:rPr>
                <w:color w:val="auto"/>
                <w:spacing w:val="-3"/>
                <w:highlight w:val="none"/>
              </w:rPr>
              <w:t>一、总部人员</w:t>
            </w:r>
          </w:p>
        </w:tc>
      </w:tr>
      <w:tr w14:paraId="0EB0F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36FED603">
            <w:pPr>
              <w:pStyle w:val="11"/>
              <w:spacing w:before="173" w:line="221" w:lineRule="auto"/>
              <w:ind w:left="514"/>
              <w:rPr>
                <w:color w:val="auto"/>
                <w:highlight w:val="none"/>
              </w:rPr>
            </w:pPr>
            <w:r>
              <w:rPr>
                <w:color w:val="auto"/>
                <w:spacing w:val="-2"/>
                <w:highlight w:val="none"/>
              </w:rPr>
              <w:t>项目主管</w:t>
            </w:r>
          </w:p>
        </w:tc>
        <w:tc>
          <w:tcPr>
            <w:tcW w:w="1413" w:type="dxa"/>
            <w:vAlign w:val="top"/>
          </w:tcPr>
          <w:p w14:paraId="4C30278D">
            <w:pPr>
              <w:rPr>
                <w:rFonts w:ascii="Arial"/>
                <w:color w:val="auto"/>
                <w:sz w:val="21"/>
                <w:highlight w:val="none"/>
              </w:rPr>
            </w:pPr>
          </w:p>
        </w:tc>
        <w:tc>
          <w:tcPr>
            <w:tcW w:w="1134" w:type="dxa"/>
            <w:vAlign w:val="top"/>
          </w:tcPr>
          <w:p w14:paraId="2AD191CB">
            <w:pPr>
              <w:rPr>
                <w:rFonts w:ascii="Arial"/>
                <w:color w:val="auto"/>
                <w:sz w:val="21"/>
                <w:highlight w:val="none"/>
              </w:rPr>
            </w:pPr>
          </w:p>
        </w:tc>
        <w:tc>
          <w:tcPr>
            <w:tcW w:w="1130" w:type="dxa"/>
            <w:vAlign w:val="top"/>
          </w:tcPr>
          <w:p w14:paraId="1A9EE3E4">
            <w:pPr>
              <w:rPr>
                <w:rFonts w:ascii="Arial"/>
                <w:color w:val="auto"/>
                <w:sz w:val="21"/>
                <w:highlight w:val="none"/>
              </w:rPr>
            </w:pPr>
          </w:p>
        </w:tc>
        <w:tc>
          <w:tcPr>
            <w:tcW w:w="4261" w:type="dxa"/>
            <w:tcBorders>
              <w:right w:val="single" w:color="000000" w:sz="10" w:space="0"/>
            </w:tcBorders>
            <w:vAlign w:val="top"/>
          </w:tcPr>
          <w:p w14:paraId="012BF3B9">
            <w:pPr>
              <w:rPr>
                <w:rFonts w:ascii="Arial"/>
                <w:color w:val="auto"/>
                <w:sz w:val="21"/>
                <w:highlight w:val="none"/>
              </w:rPr>
            </w:pPr>
          </w:p>
        </w:tc>
      </w:tr>
      <w:tr w14:paraId="212FB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restart"/>
            <w:tcBorders>
              <w:left w:val="single" w:color="000000" w:sz="10" w:space="0"/>
              <w:bottom w:val="nil"/>
            </w:tcBorders>
            <w:vAlign w:val="top"/>
          </w:tcPr>
          <w:p w14:paraId="7B71FF39">
            <w:pPr>
              <w:spacing w:line="280" w:lineRule="auto"/>
              <w:rPr>
                <w:rFonts w:ascii="Arial"/>
                <w:color w:val="auto"/>
                <w:sz w:val="21"/>
                <w:highlight w:val="none"/>
              </w:rPr>
            </w:pPr>
          </w:p>
          <w:p w14:paraId="48390EC5">
            <w:pPr>
              <w:spacing w:line="280" w:lineRule="auto"/>
              <w:rPr>
                <w:rFonts w:ascii="Arial"/>
                <w:color w:val="auto"/>
                <w:sz w:val="21"/>
                <w:highlight w:val="none"/>
              </w:rPr>
            </w:pPr>
          </w:p>
          <w:p w14:paraId="5816DC1C">
            <w:pPr>
              <w:pStyle w:val="11"/>
              <w:spacing w:before="68" w:line="221" w:lineRule="auto"/>
              <w:ind w:left="512"/>
              <w:rPr>
                <w:color w:val="auto"/>
                <w:highlight w:val="none"/>
              </w:rPr>
            </w:pPr>
            <w:r>
              <w:rPr>
                <w:color w:val="auto"/>
                <w:spacing w:val="-1"/>
                <w:highlight w:val="none"/>
              </w:rPr>
              <w:t>其他人员</w:t>
            </w:r>
          </w:p>
        </w:tc>
        <w:tc>
          <w:tcPr>
            <w:tcW w:w="1413" w:type="dxa"/>
            <w:vAlign w:val="top"/>
          </w:tcPr>
          <w:p w14:paraId="5527C57E">
            <w:pPr>
              <w:rPr>
                <w:rFonts w:ascii="Arial"/>
                <w:color w:val="auto"/>
                <w:sz w:val="21"/>
                <w:highlight w:val="none"/>
              </w:rPr>
            </w:pPr>
          </w:p>
        </w:tc>
        <w:tc>
          <w:tcPr>
            <w:tcW w:w="1134" w:type="dxa"/>
            <w:vAlign w:val="top"/>
          </w:tcPr>
          <w:p w14:paraId="153A6C8C">
            <w:pPr>
              <w:rPr>
                <w:rFonts w:ascii="Arial"/>
                <w:color w:val="auto"/>
                <w:sz w:val="21"/>
                <w:highlight w:val="none"/>
              </w:rPr>
            </w:pPr>
          </w:p>
        </w:tc>
        <w:tc>
          <w:tcPr>
            <w:tcW w:w="1130" w:type="dxa"/>
            <w:vAlign w:val="top"/>
          </w:tcPr>
          <w:p w14:paraId="7751EEEF">
            <w:pPr>
              <w:rPr>
                <w:rFonts w:ascii="Arial"/>
                <w:color w:val="auto"/>
                <w:sz w:val="21"/>
                <w:highlight w:val="none"/>
              </w:rPr>
            </w:pPr>
          </w:p>
        </w:tc>
        <w:tc>
          <w:tcPr>
            <w:tcW w:w="4261" w:type="dxa"/>
            <w:tcBorders>
              <w:right w:val="single" w:color="000000" w:sz="10" w:space="0"/>
            </w:tcBorders>
            <w:vAlign w:val="top"/>
          </w:tcPr>
          <w:p w14:paraId="0C1D3965">
            <w:pPr>
              <w:rPr>
                <w:rFonts w:ascii="Arial"/>
                <w:color w:val="auto"/>
                <w:sz w:val="21"/>
                <w:highlight w:val="none"/>
              </w:rPr>
            </w:pPr>
          </w:p>
        </w:tc>
      </w:tr>
      <w:tr w14:paraId="25433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5" w:hRule="atLeast"/>
        </w:trPr>
        <w:tc>
          <w:tcPr>
            <w:tcW w:w="1880" w:type="dxa"/>
            <w:vMerge w:val="continue"/>
            <w:tcBorders>
              <w:top w:val="nil"/>
              <w:left w:val="single" w:color="000000" w:sz="10" w:space="0"/>
              <w:bottom w:val="nil"/>
            </w:tcBorders>
            <w:vAlign w:val="top"/>
          </w:tcPr>
          <w:p w14:paraId="26C5AE31">
            <w:pPr>
              <w:rPr>
                <w:rFonts w:ascii="Arial"/>
                <w:color w:val="auto"/>
                <w:sz w:val="21"/>
                <w:highlight w:val="none"/>
              </w:rPr>
            </w:pPr>
          </w:p>
        </w:tc>
        <w:tc>
          <w:tcPr>
            <w:tcW w:w="1413" w:type="dxa"/>
            <w:vAlign w:val="top"/>
          </w:tcPr>
          <w:p w14:paraId="78A50FBB">
            <w:pPr>
              <w:rPr>
                <w:rFonts w:ascii="Arial"/>
                <w:color w:val="auto"/>
                <w:sz w:val="21"/>
                <w:highlight w:val="none"/>
              </w:rPr>
            </w:pPr>
          </w:p>
        </w:tc>
        <w:tc>
          <w:tcPr>
            <w:tcW w:w="1134" w:type="dxa"/>
            <w:vAlign w:val="top"/>
          </w:tcPr>
          <w:p w14:paraId="28C662F4">
            <w:pPr>
              <w:rPr>
                <w:rFonts w:ascii="Arial"/>
                <w:color w:val="auto"/>
                <w:sz w:val="21"/>
                <w:highlight w:val="none"/>
              </w:rPr>
            </w:pPr>
          </w:p>
        </w:tc>
        <w:tc>
          <w:tcPr>
            <w:tcW w:w="1130" w:type="dxa"/>
            <w:vAlign w:val="top"/>
          </w:tcPr>
          <w:p w14:paraId="79D92A3A">
            <w:pPr>
              <w:rPr>
                <w:rFonts w:ascii="Arial"/>
                <w:color w:val="auto"/>
                <w:sz w:val="21"/>
                <w:highlight w:val="none"/>
              </w:rPr>
            </w:pPr>
          </w:p>
        </w:tc>
        <w:tc>
          <w:tcPr>
            <w:tcW w:w="4261" w:type="dxa"/>
            <w:tcBorders>
              <w:right w:val="single" w:color="000000" w:sz="10" w:space="0"/>
            </w:tcBorders>
            <w:vAlign w:val="top"/>
          </w:tcPr>
          <w:p w14:paraId="344E589E">
            <w:pPr>
              <w:rPr>
                <w:rFonts w:ascii="Arial"/>
                <w:color w:val="auto"/>
                <w:sz w:val="21"/>
                <w:highlight w:val="none"/>
              </w:rPr>
            </w:pPr>
          </w:p>
        </w:tc>
      </w:tr>
      <w:tr w14:paraId="13182D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0" w:hRule="atLeast"/>
        </w:trPr>
        <w:tc>
          <w:tcPr>
            <w:tcW w:w="1880" w:type="dxa"/>
            <w:vMerge w:val="continue"/>
            <w:tcBorders>
              <w:top w:val="nil"/>
              <w:left w:val="single" w:color="000000" w:sz="10" w:space="0"/>
            </w:tcBorders>
            <w:vAlign w:val="top"/>
          </w:tcPr>
          <w:p w14:paraId="45E3672E">
            <w:pPr>
              <w:rPr>
                <w:rFonts w:ascii="Arial"/>
                <w:color w:val="auto"/>
                <w:sz w:val="21"/>
                <w:highlight w:val="none"/>
              </w:rPr>
            </w:pPr>
          </w:p>
        </w:tc>
        <w:tc>
          <w:tcPr>
            <w:tcW w:w="1413" w:type="dxa"/>
            <w:vAlign w:val="top"/>
          </w:tcPr>
          <w:p w14:paraId="56FF583F">
            <w:pPr>
              <w:rPr>
                <w:rFonts w:ascii="Arial"/>
                <w:color w:val="auto"/>
                <w:sz w:val="21"/>
                <w:highlight w:val="none"/>
              </w:rPr>
            </w:pPr>
          </w:p>
        </w:tc>
        <w:tc>
          <w:tcPr>
            <w:tcW w:w="1134" w:type="dxa"/>
            <w:vAlign w:val="top"/>
          </w:tcPr>
          <w:p w14:paraId="28B838F2">
            <w:pPr>
              <w:rPr>
                <w:rFonts w:ascii="Arial"/>
                <w:color w:val="auto"/>
                <w:sz w:val="21"/>
                <w:highlight w:val="none"/>
              </w:rPr>
            </w:pPr>
          </w:p>
        </w:tc>
        <w:tc>
          <w:tcPr>
            <w:tcW w:w="1130" w:type="dxa"/>
            <w:vAlign w:val="top"/>
          </w:tcPr>
          <w:p w14:paraId="618F47FA">
            <w:pPr>
              <w:rPr>
                <w:rFonts w:ascii="Arial"/>
                <w:color w:val="auto"/>
                <w:sz w:val="21"/>
                <w:highlight w:val="none"/>
              </w:rPr>
            </w:pPr>
          </w:p>
        </w:tc>
        <w:tc>
          <w:tcPr>
            <w:tcW w:w="4261" w:type="dxa"/>
            <w:tcBorders>
              <w:right w:val="single" w:color="000000" w:sz="10" w:space="0"/>
            </w:tcBorders>
            <w:vAlign w:val="top"/>
          </w:tcPr>
          <w:p w14:paraId="488DFECB">
            <w:pPr>
              <w:rPr>
                <w:rFonts w:ascii="Arial"/>
                <w:color w:val="auto"/>
                <w:sz w:val="21"/>
                <w:highlight w:val="none"/>
              </w:rPr>
            </w:pPr>
          </w:p>
        </w:tc>
      </w:tr>
      <w:tr w14:paraId="36827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5" w:hRule="atLeast"/>
        </w:trPr>
        <w:tc>
          <w:tcPr>
            <w:tcW w:w="9818" w:type="dxa"/>
            <w:gridSpan w:val="5"/>
            <w:tcBorders>
              <w:left w:val="single" w:color="000000" w:sz="10" w:space="0"/>
              <w:right w:val="single" w:color="000000" w:sz="10" w:space="0"/>
            </w:tcBorders>
            <w:vAlign w:val="top"/>
          </w:tcPr>
          <w:p w14:paraId="5772F512">
            <w:pPr>
              <w:pStyle w:val="11"/>
              <w:spacing w:before="178" w:line="221" w:lineRule="auto"/>
              <w:ind w:left="4279"/>
              <w:rPr>
                <w:color w:val="auto"/>
                <w:highlight w:val="none"/>
              </w:rPr>
            </w:pPr>
            <w:r>
              <w:rPr>
                <w:color w:val="auto"/>
                <w:spacing w:val="-1"/>
                <w:highlight w:val="none"/>
              </w:rPr>
              <w:t>二、现场人员</w:t>
            </w:r>
          </w:p>
        </w:tc>
      </w:tr>
      <w:tr w14:paraId="04779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2FC10179">
            <w:pPr>
              <w:pStyle w:val="11"/>
              <w:spacing w:before="179" w:line="221" w:lineRule="auto"/>
              <w:ind w:left="514"/>
              <w:rPr>
                <w:color w:val="auto"/>
                <w:highlight w:val="none"/>
              </w:rPr>
            </w:pPr>
            <w:r>
              <w:rPr>
                <w:color w:val="auto"/>
                <w:spacing w:val="-2"/>
                <w:highlight w:val="none"/>
              </w:rPr>
              <w:t>项目经理</w:t>
            </w:r>
          </w:p>
        </w:tc>
        <w:tc>
          <w:tcPr>
            <w:tcW w:w="1413" w:type="dxa"/>
            <w:vAlign w:val="top"/>
          </w:tcPr>
          <w:p w14:paraId="54AFE58E">
            <w:pPr>
              <w:rPr>
                <w:rFonts w:ascii="Arial"/>
                <w:color w:val="auto"/>
                <w:sz w:val="21"/>
                <w:highlight w:val="none"/>
              </w:rPr>
            </w:pPr>
          </w:p>
        </w:tc>
        <w:tc>
          <w:tcPr>
            <w:tcW w:w="1134" w:type="dxa"/>
            <w:vAlign w:val="top"/>
          </w:tcPr>
          <w:p w14:paraId="276654C3">
            <w:pPr>
              <w:rPr>
                <w:rFonts w:ascii="Arial"/>
                <w:color w:val="auto"/>
                <w:sz w:val="21"/>
                <w:highlight w:val="none"/>
              </w:rPr>
            </w:pPr>
          </w:p>
        </w:tc>
        <w:tc>
          <w:tcPr>
            <w:tcW w:w="1130" w:type="dxa"/>
            <w:vAlign w:val="top"/>
          </w:tcPr>
          <w:p w14:paraId="2F4A2C60">
            <w:pPr>
              <w:rPr>
                <w:rFonts w:ascii="Arial"/>
                <w:color w:val="auto"/>
                <w:sz w:val="21"/>
                <w:highlight w:val="none"/>
              </w:rPr>
            </w:pPr>
          </w:p>
        </w:tc>
        <w:tc>
          <w:tcPr>
            <w:tcW w:w="4261" w:type="dxa"/>
            <w:tcBorders>
              <w:right w:val="single" w:color="000000" w:sz="10" w:space="0"/>
            </w:tcBorders>
            <w:vAlign w:val="top"/>
          </w:tcPr>
          <w:p w14:paraId="44497053">
            <w:pPr>
              <w:rPr>
                <w:rFonts w:ascii="Arial"/>
                <w:color w:val="auto"/>
                <w:sz w:val="21"/>
                <w:highlight w:val="none"/>
              </w:rPr>
            </w:pPr>
          </w:p>
        </w:tc>
      </w:tr>
      <w:tr w14:paraId="71B480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25AC5691">
            <w:pPr>
              <w:pStyle w:val="11"/>
              <w:spacing w:before="180" w:line="221" w:lineRule="auto"/>
              <w:ind w:left="409"/>
              <w:rPr>
                <w:color w:val="auto"/>
                <w:highlight w:val="none"/>
              </w:rPr>
            </w:pPr>
            <w:r>
              <w:rPr>
                <w:color w:val="auto"/>
                <w:spacing w:val="-1"/>
                <w:highlight w:val="none"/>
              </w:rPr>
              <w:t>项目副经理</w:t>
            </w:r>
          </w:p>
        </w:tc>
        <w:tc>
          <w:tcPr>
            <w:tcW w:w="1413" w:type="dxa"/>
            <w:vAlign w:val="top"/>
          </w:tcPr>
          <w:p w14:paraId="752F957F">
            <w:pPr>
              <w:rPr>
                <w:rFonts w:ascii="Arial"/>
                <w:color w:val="auto"/>
                <w:sz w:val="21"/>
                <w:highlight w:val="none"/>
              </w:rPr>
            </w:pPr>
          </w:p>
        </w:tc>
        <w:tc>
          <w:tcPr>
            <w:tcW w:w="1134" w:type="dxa"/>
            <w:vAlign w:val="top"/>
          </w:tcPr>
          <w:p w14:paraId="41B4AB6C">
            <w:pPr>
              <w:rPr>
                <w:rFonts w:ascii="Arial"/>
                <w:color w:val="auto"/>
                <w:sz w:val="21"/>
                <w:highlight w:val="none"/>
              </w:rPr>
            </w:pPr>
          </w:p>
        </w:tc>
        <w:tc>
          <w:tcPr>
            <w:tcW w:w="1130" w:type="dxa"/>
            <w:vAlign w:val="top"/>
          </w:tcPr>
          <w:p w14:paraId="1C36B0B2">
            <w:pPr>
              <w:rPr>
                <w:rFonts w:ascii="Arial"/>
                <w:color w:val="auto"/>
                <w:sz w:val="21"/>
                <w:highlight w:val="none"/>
              </w:rPr>
            </w:pPr>
          </w:p>
        </w:tc>
        <w:tc>
          <w:tcPr>
            <w:tcW w:w="4261" w:type="dxa"/>
            <w:tcBorders>
              <w:right w:val="single" w:color="000000" w:sz="10" w:space="0"/>
            </w:tcBorders>
            <w:vAlign w:val="top"/>
          </w:tcPr>
          <w:p w14:paraId="7B76FEDB">
            <w:pPr>
              <w:rPr>
                <w:rFonts w:ascii="Arial"/>
                <w:color w:val="auto"/>
                <w:sz w:val="21"/>
                <w:highlight w:val="none"/>
              </w:rPr>
            </w:pPr>
          </w:p>
        </w:tc>
      </w:tr>
      <w:tr w14:paraId="2B4F9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02B3535E">
            <w:pPr>
              <w:pStyle w:val="11"/>
              <w:spacing w:before="181" w:line="221" w:lineRule="auto"/>
              <w:ind w:left="406"/>
              <w:rPr>
                <w:color w:val="auto"/>
                <w:highlight w:val="none"/>
              </w:rPr>
            </w:pPr>
            <w:r>
              <w:rPr>
                <w:color w:val="auto"/>
                <w:spacing w:val="-1"/>
                <w:highlight w:val="none"/>
              </w:rPr>
              <w:t>技术负责人</w:t>
            </w:r>
          </w:p>
        </w:tc>
        <w:tc>
          <w:tcPr>
            <w:tcW w:w="1413" w:type="dxa"/>
            <w:vAlign w:val="top"/>
          </w:tcPr>
          <w:p w14:paraId="789FB0D6">
            <w:pPr>
              <w:rPr>
                <w:rFonts w:ascii="Arial"/>
                <w:color w:val="auto"/>
                <w:sz w:val="21"/>
                <w:highlight w:val="none"/>
              </w:rPr>
            </w:pPr>
          </w:p>
        </w:tc>
        <w:tc>
          <w:tcPr>
            <w:tcW w:w="1134" w:type="dxa"/>
            <w:vAlign w:val="top"/>
          </w:tcPr>
          <w:p w14:paraId="698CA4AA">
            <w:pPr>
              <w:rPr>
                <w:rFonts w:ascii="Arial"/>
                <w:color w:val="auto"/>
                <w:sz w:val="21"/>
                <w:highlight w:val="none"/>
              </w:rPr>
            </w:pPr>
          </w:p>
        </w:tc>
        <w:tc>
          <w:tcPr>
            <w:tcW w:w="1130" w:type="dxa"/>
            <w:vAlign w:val="top"/>
          </w:tcPr>
          <w:p w14:paraId="54D81840">
            <w:pPr>
              <w:rPr>
                <w:rFonts w:ascii="Arial"/>
                <w:color w:val="auto"/>
                <w:sz w:val="21"/>
                <w:highlight w:val="none"/>
              </w:rPr>
            </w:pPr>
          </w:p>
        </w:tc>
        <w:tc>
          <w:tcPr>
            <w:tcW w:w="4261" w:type="dxa"/>
            <w:tcBorders>
              <w:right w:val="single" w:color="000000" w:sz="10" w:space="0"/>
            </w:tcBorders>
            <w:vAlign w:val="top"/>
          </w:tcPr>
          <w:p w14:paraId="4073F5C1">
            <w:pPr>
              <w:rPr>
                <w:rFonts w:ascii="Arial"/>
                <w:color w:val="auto"/>
                <w:sz w:val="21"/>
                <w:highlight w:val="none"/>
              </w:rPr>
            </w:pPr>
          </w:p>
        </w:tc>
      </w:tr>
      <w:tr w14:paraId="665FC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tcBorders>
              <w:left w:val="single" w:color="000000" w:sz="10" w:space="0"/>
            </w:tcBorders>
            <w:vAlign w:val="top"/>
          </w:tcPr>
          <w:p w14:paraId="57AA5DF8">
            <w:pPr>
              <w:pStyle w:val="11"/>
              <w:spacing w:before="178" w:line="219" w:lineRule="auto"/>
              <w:ind w:left="510"/>
              <w:rPr>
                <w:color w:val="auto"/>
                <w:highlight w:val="none"/>
              </w:rPr>
            </w:pPr>
            <w:r>
              <w:rPr>
                <w:color w:val="auto"/>
                <w:spacing w:val="-1"/>
                <w:highlight w:val="none"/>
              </w:rPr>
              <w:t>造价管理</w:t>
            </w:r>
          </w:p>
        </w:tc>
        <w:tc>
          <w:tcPr>
            <w:tcW w:w="1413" w:type="dxa"/>
            <w:vAlign w:val="top"/>
          </w:tcPr>
          <w:p w14:paraId="20D9A074">
            <w:pPr>
              <w:rPr>
                <w:rFonts w:ascii="Arial"/>
                <w:color w:val="auto"/>
                <w:sz w:val="21"/>
                <w:highlight w:val="none"/>
              </w:rPr>
            </w:pPr>
          </w:p>
        </w:tc>
        <w:tc>
          <w:tcPr>
            <w:tcW w:w="1134" w:type="dxa"/>
            <w:vAlign w:val="top"/>
          </w:tcPr>
          <w:p w14:paraId="23E092A0">
            <w:pPr>
              <w:rPr>
                <w:rFonts w:ascii="Arial"/>
                <w:color w:val="auto"/>
                <w:sz w:val="21"/>
                <w:highlight w:val="none"/>
              </w:rPr>
            </w:pPr>
          </w:p>
        </w:tc>
        <w:tc>
          <w:tcPr>
            <w:tcW w:w="1130" w:type="dxa"/>
            <w:vAlign w:val="top"/>
          </w:tcPr>
          <w:p w14:paraId="3D5079DB">
            <w:pPr>
              <w:rPr>
                <w:rFonts w:ascii="Arial"/>
                <w:color w:val="auto"/>
                <w:sz w:val="21"/>
                <w:highlight w:val="none"/>
              </w:rPr>
            </w:pPr>
          </w:p>
        </w:tc>
        <w:tc>
          <w:tcPr>
            <w:tcW w:w="4261" w:type="dxa"/>
            <w:tcBorders>
              <w:right w:val="single" w:color="000000" w:sz="10" w:space="0"/>
            </w:tcBorders>
            <w:vAlign w:val="top"/>
          </w:tcPr>
          <w:p w14:paraId="25D8110A">
            <w:pPr>
              <w:rPr>
                <w:rFonts w:ascii="Arial"/>
                <w:color w:val="auto"/>
                <w:sz w:val="21"/>
                <w:highlight w:val="none"/>
              </w:rPr>
            </w:pPr>
          </w:p>
        </w:tc>
      </w:tr>
      <w:tr w14:paraId="2D628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706FAC77">
            <w:pPr>
              <w:pStyle w:val="11"/>
              <w:spacing w:before="184" w:line="220" w:lineRule="auto"/>
              <w:ind w:left="512"/>
              <w:rPr>
                <w:color w:val="auto"/>
                <w:highlight w:val="none"/>
              </w:rPr>
            </w:pPr>
            <w:r>
              <w:rPr>
                <w:color w:val="auto"/>
                <w:spacing w:val="-1"/>
                <w:highlight w:val="none"/>
              </w:rPr>
              <w:t>质量管理</w:t>
            </w:r>
          </w:p>
        </w:tc>
        <w:tc>
          <w:tcPr>
            <w:tcW w:w="1413" w:type="dxa"/>
            <w:vAlign w:val="top"/>
          </w:tcPr>
          <w:p w14:paraId="75D0B1F3">
            <w:pPr>
              <w:rPr>
                <w:rFonts w:ascii="Arial"/>
                <w:color w:val="auto"/>
                <w:sz w:val="21"/>
                <w:highlight w:val="none"/>
              </w:rPr>
            </w:pPr>
          </w:p>
        </w:tc>
        <w:tc>
          <w:tcPr>
            <w:tcW w:w="1134" w:type="dxa"/>
            <w:vAlign w:val="top"/>
          </w:tcPr>
          <w:p w14:paraId="6B6E5B96">
            <w:pPr>
              <w:rPr>
                <w:rFonts w:ascii="Arial"/>
                <w:color w:val="auto"/>
                <w:sz w:val="21"/>
                <w:highlight w:val="none"/>
              </w:rPr>
            </w:pPr>
          </w:p>
        </w:tc>
        <w:tc>
          <w:tcPr>
            <w:tcW w:w="1130" w:type="dxa"/>
            <w:vAlign w:val="top"/>
          </w:tcPr>
          <w:p w14:paraId="24B9AA42">
            <w:pPr>
              <w:rPr>
                <w:rFonts w:ascii="Arial"/>
                <w:color w:val="auto"/>
                <w:sz w:val="21"/>
                <w:highlight w:val="none"/>
              </w:rPr>
            </w:pPr>
          </w:p>
        </w:tc>
        <w:tc>
          <w:tcPr>
            <w:tcW w:w="4261" w:type="dxa"/>
            <w:tcBorders>
              <w:right w:val="single" w:color="000000" w:sz="10" w:space="0"/>
            </w:tcBorders>
            <w:vAlign w:val="top"/>
          </w:tcPr>
          <w:p w14:paraId="714E06F3">
            <w:pPr>
              <w:rPr>
                <w:rFonts w:ascii="Arial"/>
                <w:color w:val="auto"/>
                <w:sz w:val="21"/>
                <w:highlight w:val="none"/>
              </w:rPr>
            </w:pPr>
          </w:p>
        </w:tc>
      </w:tr>
      <w:tr w14:paraId="5E2A9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5" w:hRule="atLeast"/>
        </w:trPr>
        <w:tc>
          <w:tcPr>
            <w:tcW w:w="1880" w:type="dxa"/>
            <w:tcBorders>
              <w:left w:val="single" w:color="000000" w:sz="10" w:space="0"/>
            </w:tcBorders>
            <w:vAlign w:val="top"/>
          </w:tcPr>
          <w:p w14:paraId="449D02FA">
            <w:pPr>
              <w:pStyle w:val="11"/>
              <w:spacing w:before="185" w:line="219" w:lineRule="auto"/>
              <w:ind w:left="511"/>
              <w:rPr>
                <w:color w:val="auto"/>
                <w:highlight w:val="none"/>
              </w:rPr>
            </w:pPr>
            <w:r>
              <w:rPr>
                <w:color w:val="auto"/>
                <w:spacing w:val="-1"/>
                <w:highlight w:val="none"/>
              </w:rPr>
              <w:t>材料管理</w:t>
            </w:r>
          </w:p>
        </w:tc>
        <w:tc>
          <w:tcPr>
            <w:tcW w:w="1413" w:type="dxa"/>
            <w:vAlign w:val="top"/>
          </w:tcPr>
          <w:p w14:paraId="168C16D1">
            <w:pPr>
              <w:rPr>
                <w:rFonts w:ascii="Arial"/>
                <w:color w:val="auto"/>
                <w:sz w:val="21"/>
                <w:highlight w:val="none"/>
              </w:rPr>
            </w:pPr>
          </w:p>
        </w:tc>
        <w:tc>
          <w:tcPr>
            <w:tcW w:w="1134" w:type="dxa"/>
            <w:vAlign w:val="top"/>
          </w:tcPr>
          <w:p w14:paraId="795EDC45">
            <w:pPr>
              <w:rPr>
                <w:rFonts w:ascii="Arial"/>
                <w:color w:val="auto"/>
                <w:sz w:val="21"/>
                <w:highlight w:val="none"/>
              </w:rPr>
            </w:pPr>
          </w:p>
        </w:tc>
        <w:tc>
          <w:tcPr>
            <w:tcW w:w="1130" w:type="dxa"/>
            <w:vAlign w:val="top"/>
          </w:tcPr>
          <w:p w14:paraId="0AAA099E">
            <w:pPr>
              <w:rPr>
                <w:rFonts w:ascii="Arial"/>
                <w:color w:val="auto"/>
                <w:sz w:val="21"/>
                <w:highlight w:val="none"/>
              </w:rPr>
            </w:pPr>
          </w:p>
        </w:tc>
        <w:tc>
          <w:tcPr>
            <w:tcW w:w="4261" w:type="dxa"/>
            <w:tcBorders>
              <w:right w:val="single" w:color="000000" w:sz="10" w:space="0"/>
            </w:tcBorders>
            <w:vAlign w:val="top"/>
          </w:tcPr>
          <w:p w14:paraId="7B5CE841">
            <w:pPr>
              <w:rPr>
                <w:rFonts w:ascii="Arial"/>
                <w:color w:val="auto"/>
                <w:sz w:val="21"/>
                <w:highlight w:val="none"/>
              </w:rPr>
            </w:pPr>
          </w:p>
        </w:tc>
      </w:tr>
      <w:tr w14:paraId="062B72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7AA311A2">
            <w:pPr>
              <w:pStyle w:val="11"/>
              <w:spacing w:before="187" w:line="218" w:lineRule="auto"/>
              <w:ind w:left="511"/>
              <w:rPr>
                <w:color w:val="auto"/>
                <w:highlight w:val="none"/>
              </w:rPr>
            </w:pPr>
            <w:r>
              <w:rPr>
                <w:color w:val="auto"/>
                <w:spacing w:val="-1"/>
                <w:highlight w:val="none"/>
              </w:rPr>
              <w:t>计划管理</w:t>
            </w:r>
          </w:p>
        </w:tc>
        <w:tc>
          <w:tcPr>
            <w:tcW w:w="1413" w:type="dxa"/>
            <w:vAlign w:val="top"/>
          </w:tcPr>
          <w:p w14:paraId="4144963D">
            <w:pPr>
              <w:rPr>
                <w:rFonts w:ascii="Arial"/>
                <w:color w:val="auto"/>
                <w:sz w:val="21"/>
                <w:highlight w:val="none"/>
              </w:rPr>
            </w:pPr>
          </w:p>
        </w:tc>
        <w:tc>
          <w:tcPr>
            <w:tcW w:w="1134" w:type="dxa"/>
            <w:vAlign w:val="top"/>
          </w:tcPr>
          <w:p w14:paraId="4840B55E">
            <w:pPr>
              <w:rPr>
                <w:rFonts w:ascii="Arial"/>
                <w:color w:val="auto"/>
                <w:sz w:val="21"/>
                <w:highlight w:val="none"/>
              </w:rPr>
            </w:pPr>
          </w:p>
        </w:tc>
        <w:tc>
          <w:tcPr>
            <w:tcW w:w="1130" w:type="dxa"/>
            <w:vAlign w:val="top"/>
          </w:tcPr>
          <w:p w14:paraId="5DF6B25E">
            <w:pPr>
              <w:rPr>
                <w:rFonts w:ascii="Arial"/>
                <w:color w:val="auto"/>
                <w:sz w:val="21"/>
                <w:highlight w:val="none"/>
              </w:rPr>
            </w:pPr>
          </w:p>
        </w:tc>
        <w:tc>
          <w:tcPr>
            <w:tcW w:w="4261" w:type="dxa"/>
            <w:tcBorders>
              <w:right w:val="single" w:color="000000" w:sz="10" w:space="0"/>
            </w:tcBorders>
            <w:vAlign w:val="top"/>
          </w:tcPr>
          <w:p w14:paraId="0467231A">
            <w:pPr>
              <w:rPr>
                <w:rFonts w:ascii="Arial"/>
                <w:color w:val="auto"/>
                <w:sz w:val="21"/>
                <w:highlight w:val="none"/>
              </w:rPr>
            </w:pPr>
          </w:p>
        </w:tc>
      </w:tr>
      <w:tr w14:paraId="20C1C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3E473FD1">
            <w:pPr>
              <w:pStyle w:val="11"/>
              <w:spacing w:before="188" w:line="217" w:lineRule="auto"/>
              <w:ind w:left="515"/>
              <w:rPr>
                <w:color w:val="auto"/>
                <w:highlight w:val="none"/>
              </w:rPr>
            </w:pPr>
            <w:r>
              <w:rPr>
                <w:color w:val="auto"/>
                <w:spacing w:val="-2"/>
                <w:highlight w:val="none"/>
              </w:rPr>
              <w:t>安全管理</w:t>
            </w:r>
          </w:p>
        </w:tc>
        <w:tc>
          <w:tcPr>
            <w:tcW w:w="1413" w:type="dxa"/>
            <w:vAlign w:val="top"/>
          </w:tcPr>
          <w:p w14:paraId="3D1AB41F">
            <w:pPr>
              <w:rPr>
                <w:rFonts w:ascii="Arial"/>
                <w:color w:val="auto"/>
                <w:sz w:val="21"/>
                <w:highlight w:val="none"/>
              </w:rPr>
            </w:pPr>
          </w:p>
        </w:tc>
        <w:tc>
          <w:tcPr>
            <w:tcW w:w="1134" w:type="dxa"/>
            <w:vAlign w:val="top"/>
          </w:tcPr>
          <w:p w14:paraId="4CB37639">
            <w:pPr>
              <w:rPr>
                <w:rFonts w:ascii="Arial"/>
                <w:color w:val="auto"/>
                <w:sz w:val="21"/>
                <w:highlight w:val="none"/>
              </w:rPr>
            </w:pPr>
          </w:p>
        </w:tc>
        <w:tc>
          <w:tcPr>
            <w:tcW w:w="1130" w:type="dxa"/>
            <w:vAlign w:val="top"/>
          </w:tcPr>
          <w:p w14:paraId="76678452">
            <w:pPr>
              <w:rPr>
                <w:rFonts w:ascii="Arial"/>
                <w:color w:val="auto"/>
                <w:sz w:val="21"/>
                <w:highlight w:val="none"/>
              </w:rPr>
            </w:pPr>
          </w:p>
        </w:tc>
        <w:tc>
          <w:tcPr>
            <w:tcW w:w="4261" w:type="dxa"/>
            <w:tcBorders>
              <w:right w:val="single" w:color="000000" w:sz="10" w:space="0"/>
            </w:tcBorders>
            <w:vAlign w:val="top"/>
          </w:tcPr>
          <w:p w14:paraId="0C96D2FE">
            <w:pPr>
              <w:rPr>
                <w:rFonts w:ascii="Arial"/>
                <w:color w:val="auto"/>
                <w:sz w:val="21"/>
                <w:highlight w:val="none"/>
              </w:rPr>
            </w:pPr>
          </w:p>
        </w:tc>
      </w:tr>
      <w:tr w14:paraId="637867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vMerge w:val="restart"/>
            <w:tcBorders>
              <w:left w:val="single" w:color="000000" w:sz="10" w:space="0"/>
              <w:bottom w:val="nil"/>
            </w:tcBorders>
            <w:vAlign w:val="top"/>
          </w:tcPr>
          <w:p w14:paraId="75685524">
            <w:pPr>
              <w:spacing w:line="249" w:lineRule="auto"/>
              <w:rPr>
                <w:rFonts w:ascii="Arial"/>
                <w:color w:val="auto"/>
                <w:sz w:val="21"/>
                <w:highlight w:val="none"/>
              </w:rPr>
            </w:pPr>
          </w:p>
          <w:p w14:paraId="230404CD">
            <w:pPr>
              <w:spacing w:line="249" w:lineRule="auto"/>
              <w:rPr>
                <w:rFonts w:ascii="Arial"/>
                <w:color w:val="auto"/>
                <w:sz w:val="21"/>
                <w:highlight w:val="none"/>
              </w:rPr>
            </w:pPr>
          </w:p>
          <w:p w14:paraId="5A878B46">
            <w:pPr>
              <w:spacing w:line="249" w:lineRule="auto"/>
              <w:rPr>
                <w:rFonts w:ascii="Arial"/>
                <w:color w:val="auto"/>
                <w:sz w:val="21"/>
                <w:highlight w:val="none"/>
              </w:rPr>
            </w:pPr>
          </w:p>
          <w:p w14:paraId="1DEBDDE1">
            <w:pPr>
              <w:spacing w:line="249" w:lineRule="auto"/>
              <w:rPr>
                <w:rFonts w:ascii="Arial"/>
                <w:color w:val="auto"/>
                <w:sz w:val="21"/>
                <w:highlight w:val="none"/>
              </w:rPr>
            </w:pPr>
          </w:p>
          <w:p w14:paraId="3BECA9E0">
            <w:pPr>
              <w:spacing w:line="250" w:lineRule="auto"/>
              <w:rPr>
                <w:rFonts w:ascii="Arial"/>
                <w:color w:val="auto"/>
                <w:sz w:val="21"/>
                <w:highlight w:val="none"/>
              </w:rPr>
            </w:pPr>
          </w:p>
          <w:p w14:paraId="4DECFF92">
            <w:pPr>
              <w:pStyle w:val="11"/>
              <w:spacing w:before="68" w:line="221" w:lineRule="auto"/>
              <w:ind w:left="512"/>
              <w:rPr>
                <w:color w:val="auto"/>
                <w:highlight w:val="none"/>
              </w:rPr>
            </w:pPr>
            <w:r>
              <w:rPr>
                <w:color w:val="auto"/>
                <w:spacing w:val="-1"/>
                <w:highlight w:val="none"/>
              </w:rPr>
              <w:t>其他人员</w:t>
            </w:r>
          </w:p>
        </w:tc>
        <w:tc>
          <w:tcPr>
            <w:tcW w:w="1413" w:type="dxa"/>
            <w:vAlign w:val="top"/>
          </w:tcPr>
          <w:p w14:paraId="0FEE8037">
            <w:pPr>
              <w:rPr>
                <w:rFonts w:ascii="Arial"/>
                <w:color w:val="auto"/>
                <w:sz w:val="21"/>
                <w:highlight w:val="none"/>
              </w:rPr>
            </w:pPr>
          </w:p>
        </w:tc>
        <w:tc>
          <w:tcPr>
            <w:tcW w:w="1134" w:type="dxa"/>
            <w:vAlign w:val="top"/>
          </w:tcPr>
          <w:p w14:paraId="4518DBB7">
            <w:pPr>
              <w:rPr>
                <w:rFonts w:ascii="Arial"/>
                <w:color w:val="auto"/>
                <w:sz w:val="21"/>
                <w:highlight w:val="none"/>
              </w:rPr>
            </w:pPr>
          </w:p>
        </w:tc>
        <w:tc>
          <w:tcPr>
            <w:tcW w:w="1130" w:type="dxa"/>
            <w:vAlign w:val="top"/>
          </w:tcPr>
          <w:p w14:paraId="797BB905">
            <w:pPr>
              <w:rPr>
                <w:rFonts w:ascii="Arial"/>
                <w:color w:val="auto"/>
                <w:sz w:val="21"/>
                <w:highlight w:val="none"/>
              </w:rPr>
            </w:pPr>
          </w:p>
        </w:tc>
        <w:tc>
          <w:tcPr>
            <w:tcW w:w="4261" w:type="dxa"/>
            <w:tcBorders>
              <w:right w:val="single" w:color="000000" w:sz="10" w:space="0"/>
            </w:tcBorders>
            <w:vAlign w:val="top"/>
          </w:tcPr>
          <w:p w14:paraId="1645517E">
            <w:pPr>
              <w:rPr>
                <w:rFonts w:ascii="Arial"/>
                <w:color w:val="auto"/>
                <w:sz w:val="21"/>
                <w:highlight w:val="none"/>
              </w:rPr>
            </w:pPr>
          </w:p>
        </w:tc>
      </w:tr>
      <w:tr w14:paraId="3BF58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69F7E93B">
            <w:pPr>
              <w:rPr>
                <w:rFonts w:ascii="Arial"/>
                <w:color w:val="auto"/>
                <w:sz w:val="21"/>
                <w:highlight w:val="none"/>
              </w:rPr>
            </w:pPr>
          </w:p>
        </w:tc>
        <w:tc>
          <w:tcPr>
            <w:tcW w:w="1413" w:type="dxa"/>
            <w:vAlign w:val="top"/>
          </w:tcPr>
          <w:p w14:paraId="67708468">
            <w:pPr>
              <w:rPr>
                <w:rFonts w:ascii="Arial"/>
                <w:color w:val="auto"/>
                <w:sz w:val="21"/>
                <w:highlight w:val="none"/>
              </w:rPr>
            </w:pPr>
          </w:p>
        </w:tc>
        <w:tc>
          <w:tcPr>
            <w:tcW w:w="1134" w:type="dxa"/>
            <w:vAlign w:val="top"/>
          </w:tcPr>
          <w:p w14:paraId="70666125">
            <w:pPr>
              <w:rPr>
                <w:rFonts w:ascii="Arial"/>
                <w:color w:val="auto"/>
                <w:sz w:val="21"/>
                <w:highlight w:val="none"/>
              </w:rPr>
            </w:pPr>
          </w:p>
        </w:tc>
        <w:tc>
          <w:tcPr>
            <w:tcW w:w="1130" w:type="dxa"/>
            <w:vAlign w:val="top"/>
          </w:tcPr>
          <w:p w14:paraId="5A6FA27B">
            <w:pPr>
              <w:rPr>
                <w:rFonts w:ascii="Arial"/>
                <w:color w:val="auto"/>
                <w:sz w:val="21"/>
                <w:highlight w:val="none"/>
              </w:rPr>
            </w:pPr>
          </w:p>
        </w:tc>
        <w:tc>
          <w:tcPr>
            <w:tcW w:w="4261" w:type="dxa"/>
            <w:tcBorders>
              <w:right w:val="single" w:color="000000" w:sz="10" w:space="0"/>
            </w:tcBorders>
            <w:vAlign w:val="top"/>
          </w:tcPr>
          <w:p w14:paraId="448037AC">
            <w:pPr>
              <w:rPr>
                <w:rFonts w:ascii="Arial"/>
                <w:color w:val="auto"/>
                <w:sz w:val="21"/>
                <w:highlight w:val="none"/>
              </w:rPr>
            </w:pPr>
          </w:p>
        </w:tc>
      </w:tr>
      <w:tr w14:paraId="5DC80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7A6DA72F">
            <w:pPr>
              <w:rPr>
                <w:rFonts w:ascii="Arial"/>
                <w:color w:val="auto"/>
                <w:sz w:val="21"/>
                <w:highlight w:val="none"/>
              </w:rPr>
            </w:pPr>
          </w:p>
        </w:tc>
        <w:tc>
          <w:tcPr>
            <w:tcW w:w="1413" w:type="dxa"/>
            <w:vAlign w:val="top"/>
          </w:tcPr>
          <w:p w14:paraId="52698478">
            <w:pPr>
              <w:rPr>
                <w:rFonts w:ascii="Arial"/>
                <w:color w:val="auto"/>
                <w:sz w:val="21"/>
                <w:highlight w:val="none"/>
              </w:rPr>
            </w:pPr>
          </w:p>
        </w:tc>
        <w:tc>
          <w:tcPr>
            <w:tcW w:w="1134" w:type="dxa"/>
            <w:vAlign w:val="top"/>
          </w:tcPr>
          <w:p w14:paraId="67A1898F">
            <w:pPr>
              <w:rPr>
                <w:rFonts w:ascii="Arial"/>
                <w:color w:val="auto"/>
                <w:sz w:val="21"/>
                <w:highlight w:val="none"/>
              </w:rPr>
            </w:pPr>
          </w:p>
        </w:tc>
        <w:tc>
          <w:tcPr>
            <w:tcW w:w="1130" w:type="dxa"/>
            <w:vAlign w:val="top"/>
          </w:tcPr>
          <w:p w14:paraId="0291F4AA">
            <w:pPr>
              <w:rPr>
                <w:rFonts w:ascii="Arial"/>
                <w:color w:val="auto"/>
                <w:sz w:val="21"/>
                <w:highlight w:val="none"/>
              </w:rPr>
            </w:pPr>
          </w:p>
        </w:tc>
        <w:tc>
          <w:tcPr>
            <w:tcW w:w="4261" w:type="dxa"/>
            <w:tcBorders>
              <w:right w:val="single" w:color="000000" w:sz="10" w:space="0"/>
            </w:tcBorders>
            <w:vAlign w:val="top"/>
          </w:tcPr>
          <w:p w14:paraId="103B5DF5">
            <w:pPr>
              <w:rPr>
                <w:rFonts w:ascii="Arial"/>
                <w:color w:val="auto"/>
                <w:sz w:val="21"/>
                <w:highlight w:val="none"/>
              </w:rPr>
            </w:pPr>
          </w:p>
        </w:tc>
      </w:tr>
      <w:tr w14:paraId="22218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5" w:hRule="atLeast"/>
        </w:trPr>
        <w:tc>
          <w:tcPr>
            <w:tcW w:w="1880" w:type="dxa"/>
            <w:vMerge w:val="continue"/>
            <w:tcBorders>
              <w:top w:val="nil"/>
              <w:left w:val="single" w:color="000000" w:sz="10" w:space="0"/>
              <w:bottom w:val="nil"/>
            </w:tcBorders>
            <w:vAlign w:val="top"/>
          </w:tcPr>
          <w:p w14:paraId="5338F471">
            <w:pPr>
              <w:rPr>
                <w:rFonts w:ascii="Arial"/>
                <w:color w:val="auto"/>
                <w:sz w:val="21"/>
                <w:highlight w:val="none"/>
              </w:rPr>
            </w:pPr>
          </w:p>
        </w:tc>
        <w:tc>
          <w:tcPr>
            <w:tcW w:w="1413" w:type="dxa"/>
            <w:vAlign w:val="top"/>
          </w:tcPr>
          <w:p w14:paraId="20CF9DFD">
            <w:pPr>
              <w:rPr>
                <w:rFonts w:ascii="Arial"/>
                <w:color w:val="auto"/>
                <w:sz w:val="21"/>
                <w:highlight w:val="none"/>
              </w:rPr>
            </w:pPr>
          </w:p>
        </w:tc>
        <w:tc>
          <w:tcPr>
            <w:tcW w:w="1134" w:type="dxa"/>
            <w:vAlign w:val="top"/>
          </w:tcPr>
          <w:p w14:paraId="0B954AD6">
            <w:pPr>
              <w:rPr>
                <w:rFonts w:ascii="Arial"/>
                <w:color w:val="auto"/>
                <w:sz w:val="21"/>
                <w:highlight w:val="none"/>
              </w:rPr>
            </w:pPr>
          </w:p>
        </w:tc>
        <w:tc>
          <w:tcPr>
            <w:tcW w:w="1130" w:type="dxa"/>
            <w:vAlign w:val="top"/>
          </w:tcPr>
          <w:p w14:paraId="3E5988FB">
            <w:pPr>
              <w:rPr>
                <w:rFonts w:ascii="Arial"/>
                <w:color w:val="auto"/>
                <w:sz w:val="21"/>
                <w:highlight w:val="none"/>
              </w:rPr>
            </w:pPr>
          </w:p>
        </w:tc>
        <w:tc>
          <w:tcPr>
            <w:tcW w:w="4261" w:type="dxa"/>
            <w:tcBorders>
              <w:right w:val="single" w:color="000000" w:sz="10" w:space="0"/>
            </w:tcBorders>
            <w:vAlign w:val="top"/>
          </w:tcPr>
          <w:p w14:paraId="3ED6493D">
            <w:pPr>
              <w:rPr>
                <w:rFonts w:ascii="Arial"/>
                <w:color w:val="auto"/>
                <w:sz w:val="21"/>
                <w:highlight w:val="none"/>
              </w:rPr>
            </w:pPr>
          </w:p>
        </w:tc>
      </w:tr>
      <w:tr w14:paraId="00A4F0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5" w:hRule="atLeast"/>
        </w:trPr>
        <w:tc>
          <w:tcPr>
            <w:tcW w:w="1880" w:type="dxa"/>
            <w:vMerge w:val="continue"/>
            <w:tcBorders>
              <w:top w:val="nil"/>
              <w:left w:val="single" w:color="000000" w:sz="10" w:space="0"/>
              <w:bottom w:val="nil"/>
            </w:tcBorders>
            <w:vAlign w:val="top"/>
          </w:tcPr>
          <w:p w14:paraId="24836568">
            <w:pPr>
              <w:rPr>
                <w:rFonts w:ascii="Arial"/>
                <w:color w:val="auto"/>
                <w:sz w:val="21"/>
                <w:highlight w:val="none"/>
              </w:rPr>
            </w:pPr>
          </w:p>
        </w:tc>
        <w:tc>
          <w:tcPr>
            <w:tcW w:w="1413" w:type="dxa"/>
            <w:vAlign w:val="top"/>
          </w:tcPr>
          <w:p w14:paraId="1705FB2A">
            <w:pPr>
              <w:rPr>
                <w:rFonts w:ascii="Arial"/>
                <w:color w:val="auto"/>
                <w:sz w:val="21"/>
                <w:highlight w:val="none"/>
              </w:rPr>
            </w:pPr>
          </w:p>
        </w:tc>
        <w:tc>
          <w:tcPr>
            <w:tcW w:w="1134" w:type="dxa"/>
            <w:vAlign w:val="top"/>
          </w:tcPr>
          <w:p w14:paraId="07F76BAB">
            <w:pPr>
              <w:rPr>
                <w:rFonts w:ascii="Arial"/>
                <w:color w:val="auto"/>
                <w:sz w:val="21"/>
                <w:highlight w:val="none"/>
              </w:rPr>
            </w:pPr>
          </w:p>
        </w:tc>
        <w:tc>
          <w:tcPr>
            <w:tcW w:w="1130" w:type="dxa"/>
            <w:vAlign w:val="top"/>
          </w:tcPr>
          <w:p w14:paraId="57CD22FE">
            <w:pPr>
              <w:rPr>
                <w:rFonts w:ascii="Arial"/>
                <w:color w:val="auto"/>
                <w:sz w:val="21"/>
                <w:highlight w:val="none"/>
              </w:rPr>
            </w:pPr>
          </w:p>
        </w:tc>
        <w:tc>
          <w:tcPr>
            <w:tcW w:w="4261" w:type="dxa"/>
            <w:tcBorders>
              <w:right w:val="single" w:color="000000" w:sz="10" w:space="0"/>
            </w:tcBorders>
            <w:vAlign w:val="top"/>
          </w:tcPr>
          <w:p w14:paraId="545DEB17">
            <w:pPr>
              <w:rPr>
                <w:rFonts w:ascii="Arial"/>
                <w:color w:val="auto"/>
                <w:sz w:val="21"/>
                <w:highlight w:val="none"/>
              </w:rPr>
            </w:pPr>
          </w:p>
        </w:tc>
      </w:tr>
      <w:tr w14:paraId="6C18B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880" w:type="dxa"/>
            <w:vMerge w:val="continue"/>
            <w:tcBorders>
              <w:top w:val="nil"/>
              <w:left w:val="single" w:color="000000" w:sz="10" w:space="0"/>
              <w:bottom w:val="single" w:color="000000" w:sz="10" w:space="0"/>
            </w:tcBorders>
            <w:vAlign w:val="top"/>
          </w:tcPr>
          <w:p w14:paraId="58A35177">
            <w:pPr>
              <w:rPr>
                <w:rFonts w:ascii="Arial"/>
                <w:color w:val="auto"/>
                <w:sz w:val="21"/>
                <w:highlight w:val="none"/>
              </w:rPr>
            </w:pPr>
          </w:p>
        </w:tc>
        <w:tc>
          <w:tcPr>
            <w:tcW w:w="1413" w:type="dxa"/>
            <w:tcBorders>
              <w:bottom w:val="single" w:color="000000" w:sz="10" w:space="0"/>
            </w:tcBorders>
            <w:vAlign w:val="top"/>
          </w:tcPr>
          <w:p w14:paraId="6F535A73">
            <w:pPr>
              <w:rPr>
                <w:rFonts w:ascii="Arial"/>
                <w:color w:val="auto"/>
                <w:sz w:val="21"/>
                <w:highlight w:val="none"/>
              </w:rPr>
            </w:pPr>
          </w:p>
        </w:tc>
        <w:tc>
          <w:tcPr>
            <w:tcW w:w="1134" w:type="dxa"/>
            <w:tcBorders>
              <w:bottom w:val="single" w:color="000000" w:sz="10" w:space="0"/>
            </w:tcBorders>
            <w:vAlign w:val="top"/>
          </w:tcPr>
          <w:p w14:paraId="76753954">
            <w:pPr>
              <w:rPr>
                <w:rFonts w:ascii="Arial"/>
                <w:color w:val="auto"/>
                <w:sz w:val="21"/>
                <w:highlight w:val="none"/>
              </w:rPr>
            </w:pPr>
          </w:p>
        </w:tc>
        <w:tc>
          <w:tcPr>
            <w:tcW w:w="1130" w:type="dxa"/>
            <w:tcBorders>
              <w:bottom w:val="single" w:color="000000" w:sz="10" w:space="0"/>
            </w:tcBorders>
            <w:vAlign w:val="top"/>
          </w:tcPr>
          <w:p w14:paraId="0A97EB4B">
            <w:pPr>
              <w:rPr>
                <w:rFonts w:ascii="Arial"/>
                <w:color w:val="auto"/>
                <w:sz w:val="21"/>
                <w:highlight w:val="none"/>
              </w:rPr>
            </w:pPr>
          </w:p>
        </w:tc>
        <w:tc>
          <w:tcPr>
            <w:tcW w:w="4261" w:type="dxa"/>
            <w:tcBorders>
              <w:bottom w:val="single" w:color="000000" w:sz="10" w:space="0"/>
              <w:right w:val="single" w:color="000000" w:sz="10" w:space="0"/>
            </w:tcBorders>
            <w:vAlign w:val="top"/>
          </w:tcPr>
          <w:p w14:paraId="36673528">
            <w:pPr>
              <w:rPr>
                <w:rFonts w:ascii="Arial"/>
                <w:color w:val="auto"/>
                <w:sz w:val="21"/>
                <w:highlight w:val="none"/>
              </w:rPr>
            </w:pPr>
          </w:p>
        </w:tc>
      </w:tr>
    </w:tbl>
    <w:p w14:paraId="2760FC3C">
      <w:pPr>
        <w:pStyle w:val="3"/>
        <w:rPr>
          <w:color w:val="auto"/>
          <w:highlight w:val="none"/>
        </w:rPr>
      </w:pPr>
    </w:p>
    <w:p w14:paraId="64A981CF">
      <w:pPr>
        <w:rPr>
          <w:color w:val="auto"/>
          <w:highlight w:val="none"/>
        </w:rPr>
        <w:sectPr>
          <w:footerReference r:id="rId162" w:type="default"/>
          <w:pgSz w:w="11905" w:h="16839"/>
          <w:pgMar w:top="400" w:right="1027" w:bottom="1004" w:left="1032" w:header="0" w:footer="828" w:gutter="0"/>
          <w:pgNumType w:fmt="decimal"/>
          <w:cols w:space="720" w:num="1"/>
        </w:sectPr>
      </w:pPr>
    </w:p>
    <w:p w14:paraId="251F62D8">
      <w:pPr>
        <w:pStyle w:val="3"/>
        <w:spacing w:line="276" w:lineRule="auto"/>
        <w:rPr>
          <w:color w:val="auto"/>
          <w:highlight w:val="none"/>
        </w:rPr>
      </w:pPr>
    </w:p>
    <w:p w14:paraId="20B24A81">
      <w:pPr>
        <w:pStyle w:val="3"/>
        <w:spacing w:line="276" w:lineRule="auto"/>
        <w:rPr>
          <w:color w:val="auto"/>
          <w:highlight w:val="none"/>
        </w:rPr>
      </w:pPr>
    </w:p>
    <w:p w14:paraId="4646CA64">
      <w:pPr>
        <w:pStyle w:val="3"/>
        <w:spacing w:line="276" w:lineRule="auto"/>
        <w:rPr>
          <w:color w:val="auto"/>
          <w:highlight w:val="none"/>
        </w:rPr>
      </w:pPr>
    </w:p>
    <w:p w14:paraId="1EFDA0E6">
      <w:pPr>
        <w:pStyle w:val="3"/>
        <w:spacing w:line="276" w:lineRule="auto"/>
        <w:rPr>
          <w:color w:val="auto"/>
          <w:highlight w:val="none"/>
        </w:rPr>
      </w:pPr>
    </w:p>
    <w:p w14:paraId="1401BB41">
      <w:pPr>
        <w:spacing w:before="78" w:line="219" w:lineRule="auto"/>
        <w:ind w:left="791"/>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附件</w:t>
      </w:r>
      <w:r>
        <w:rPr>
          <w:rFonts w:ascii="宋体" w:hAnsi="宋体" w:eastAsia="宋体" w:cs="宋体"/>
          <w:color w:val="auto"/>
          <w:spacing w:val="-51"/>
          <w:sz w:val="24"/>
          <w:szCs w:val="24"/>
          <w:highlight w:val="none"/>
        </w:rPr>
        <w:t xml:space="preserve"> </w:t>
      </w:r>
      <w:r>
        <w:rPr>
          <w:rFonts w:ascii="Times New Roman" w:hAnsi="Times New Roman" w:eastAsia="Times New Roman" w:cs="Times New Roman"/>
          <w:color w:val="auto"/>
          <w:spacing w:val="-10"/>
          <w:sz w:val="24"/>
          <w:szCs w:val="24"/>
          <w:highlight w:val="none"/>
        </w:rPr>
        <w:t>7</w:t>
      </w:r>
      <w:r>
        <w:rPr>
          <w:rFonts w:ascii="宋体" w:hAnsi="宋体" w:eastAsia="宋体" w:cs="宋体"/>
          <w:color w:val="auto"/>
          <w:spacing w:val="-10"/>
          <w:sz w:val="24"/>
          <w:szCs w:val="24"/>
          <w:highlight w:val="none"/>
        </w:rPr>
        <w:t>：</w:t>
      </w:r>
    </w:p>
    <w:p w14:paraId="19D4A0CB">
      <w:pPr>
        <w:spacing w:before="243" w:line="224" w:lineRule="auto"/>
        <w:ind w:left="3258"/>
        <w:rPr>
          <w:rFonts w:ascii="黑体" w:hAnsi="黑体" w:eastAsia="黑体" w:cs="黑体"/>
          <w:color w:val="auto"/>
          <w:sz w:val="27"/>
          <w:szCs w:val="27"/>
          <w:highlight w:val="none"/>
        </w:rPr>
      </w:pPr>
      <w:bookmarkStart w:id="1283" w:name="bookmark229"/>
      <w:bookmarkEnd w:id="1283"/>
      <w:r>
        <w:rPr>
          <w:rFonts w:ascii="黑体" w:hAnsi="黑体" w:eastAsia="黑体" w:cs="黑体"/>
          <w:color w:val="auto"/>
          <w:spacing w:val="8"/>
          <w:sz w:val="27"/>
          <w:szCs w:val="27"/>
          <w:highlight w:val="none"/>
        </w:rPr>
        <w:t>分包人主要施工管理人员表</w:t>
      </w:r>
    </w:p>
    <w:p w14:paraId="6E1B27E1">
      <w:pPr>
        <w:spacing w:line="113" w:lineRule="exact"/>
        <w:rPr>
          <w:color w:val="auto"/>
          <w:highlight w:val="none"/>
        </w:rPr>
      </w:pPr>
    </w:p>
    <w:tbl>
      <w:tblPr>
        <w:tblStyle w:val="10"/>
        <w:tblW w:w="981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0"/>
        <w:gridCol w:w="1413"/>
        <w:gridCol w:w="1134"/>
        <w:gridCol w:w="1130"/>
        <w:gridCol w:w="4261"/>
      </w:tblGrid>
      <w:tr w14:paraId="181BD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880" w:type="dxa"/>
            <w:tcBorders>
              <w:top w:val="single" w:color="000000" w:sz="10" w:space="0"/>
              <w:left w:val="single" w:color="000000" w:sz="10" w:space="0"/>
            </w:tcBorders>
            <w:vAlign w:val="top"/>
          </w:tcPr>
          <w:p w14:paraId="02317EF7">
            <w:pPr>
              <w:pStyle w:val="11"/>
              <w:spacing w:before="177" w:line="223" w:lineRule="auto"/>
              <w:ind w:left="513"/>
              <w:rPr>
                <w:color w:val="auto"/>
                <w:highlight w:val="none"/>
              </w:rPr>
            </w:pPr>
            <w:r>
              <w:rPr>
                <w:color w:val="auto"/>
                <w:spacing w:val="-5"/>
                <w:highlight w:val="none"/>
              </w:rPr>
              <w:t>名</w:t>
            </w:r>
            <w:r>
              <w:rPr>
                <w:color w:val="auto"/>
                <w:spacing w:val="2"/>
                <w:highlight w:val="none"/>
              </w:rPr>
              <w:t xml:space="preserve">    </w:t>
            </w:r>
            <w:r>
              <w:rPr>
                <w:color w:val="auto"/>
                <w:spacing w:val="-5"/>
                <w:highlight w:val="none"/>
              </w:rPr>
              <w:t>称</w:t>
            </w:r>
          </w:p>
        </w:tc>
        <w:tc>
          <w:tcPr>
            <w:tcW w:w="1413" w:type="dxa"/>
            <w:tcBorders>
              <w:top w:val="single" w:color="000000" w:sz="10" w:space="0"/>
            </w:tcBorders>
            <w:vAlign w:val="top"/>
          </w:tcPr>
          <w:p w14:paraId="533EBD38">
            <w:pPr>
              <w:pStyle w:val="11"/>
              <w:spacing w:before="177" w:line="221" w:lineRule="auto"/>
              <w:ind w:left="497"/>
              <w:rPr>
                <w:color w:val="auto"/>
                <w:highlight w:val="none"/>
              </w:rPr>
            </w:pPr>
            <w:r>
              <w:rPr>
                <w:color w:val="auto"/>
                <w:spacing w:val="-2"/>
                <w:highlight w:val="none"/>
              </w:rPr>
              <w:t>姓名</w:t>
            </w:r>
          </w:p>
        </w:tc>
        <w:tc>
          <w:tcPr>
            <w:tcW w:w="1134" w:type="dxa"/>
            <w:tcBorders>
              <w:top w:val="single" w:color="000000" w:sz="10" w:space="0"/>
            </w:tcBorders>
            <w:vAlign w:val="top"/>
          </w:tcPr>
          <w:p w14:paraId="6C69A3FA">
            <w:pPr>
              <w:pStyle w:val="11"/>
              <w:spacing w:before="177" w:line="221" w:lineRule="auto"/>
              <w:ind w:left="357"/>
              <w:rPr>
                <w:color w:val="auto"/>
                <w:highlight w:val="none"/>
              </w:rPr>
            </w:pPr>
            <w:r>
              <w:rPr>
                <w:color w:val="auto"/>
                <w:spacing w:val="-2"/>
                <w:highlight w:val="none"/>
              </w:rPr>
              <w:t>职务</w:t>
            </w:r>
          </w:p>
        </w:tc>
        <w:tc>
          <w:tcPr>
            <w:tcW w:w="1130" w:type="dxa"/>
            <w:tcBorders>
              <w:top w:val="single" w:color="000000" w:sz="10" w:space="0"/>
            </w:tcBorders>
            <w:vAlign w:val="top"/>
          </w:tcPr>
          <w:p w14:paraId="518BD866">
            <w:pPr>
              <w:pStyle w:val="11"/>
              <w:spacing w:before="177" w:line="223" w:lineRule="auto"/>
              <w:ind w:left="361"/>
              <w:rPr>
                <w:color w:val="auto"/>
                <w:highlight w:val="none"/>
              </w:rPr>
            </w:pPr>
            <w:r>
              <w:rPr>
                <w:color w:val="auto"/>
                <w:spacing w:val="-2"/>
                <w:highlight w:val="none"/>
              </w:rPr>
              <w:t>职称</w:t>
            </w:r>
          </w:p>
        </w:tc>
        <w:tc>
          <w:tcPr>
            <w:tcW w:w="4261" w:type="dxa"/>
            <w:tcBorders>
              <w:top w:val="single" w:color="000000" w:sz="10" w:space="0"/>
              <w:right w:val="single" w:color="000000" w:sz="10" w:space="0"/>
            </w:tcBorders>
            <w:vAlign w:val="top"/>
          </w:tcPr>
          <w:p w14:paraId="24837049">
            <w:pPr>
              <w:pStyle w:val="11"/>
              <w:spacing w:before="177" w:line="221" w:lineRule="auto"/>
              <w:ind w:left="668"/>
              <w:rPr>
                <w:color w:val="auto"/>
                <w:highlight w:val="none"/>
              </w:rPr>
            </w:pPr>
            <w:r>
              <w:rPr>
                <w:color w:val="auto"/>
                <w:spacing w:val="-1"/>
                <w:highlight w:val="none"/>
              </w:rPr>
              <w:t>主要资历、经验及承担过的项目</w:t>
            </w:r>
          </w:p>
        </w:tc>
      </w:tr>
      <w:tr w14:paraId="1BC1AC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818" w:type="dxa"/>
            <w:gridSpan w:val="5"/>
            <w:tcBorders>
              <w:left w:val="single" w:color="000000" w:sz="10" w:space="0"/>
              <w:right w:val="single" w:color="000000" w:sz="10" w:space="0"/>
            </w:tcBorders>
            <w:vAlign w:val="top"/>
          </w:tcPr>
          <w:p w14:paraId="44657ADE">
            <w:pPr>
              <w:pStyle w:val="11"/>
              <w:spacing w:before="200" w:line="221" w:lineRule="auto"/>
              <w:ind w:left="4279"/>
              <w:rPr>
                <w:color w:val="auto"/>
                <w:highlight w:val="none"/>
              </w:rPr>
            </w:pPr>
            <w:r>
              <w:rPr>
                <w:color w:val="auto"/>
                <w:spacing w:val="-3"/>
                <w:highlight w:val="none"/>
              </w:rPr>
              <w:t>一、总部人员</w:t>
            </w:r>
          </w:p>
        </w:tc>
      </w:tr>
      <w:tr w14:paraId="438D2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68F43970">
            <w:pPr>
              <w:pStyle w:val="11"/>
              <w:spacing w:before="173" w:line="221" w:lineRule="auto"/>
              <w:ind w:left="514"/>
              <w:rPr>
                <w:color w:val="auto"/>
                <w:highlight w:val="none"/>
              </w:rPr>
            </w:pPr>
            <w:r>
              <w:rPr>
                <w:color w:val="auto"/>
                <w:spacing w:val="-2"/>
                <w:highlight w:val="none"/>
              </w:rPr>
              <w:t>项目主管</w:t>
            </w:r>
          </w:p>
        </w:tc>
        <w:tc>
          <w:tcPr>
            <w:tcW w:w="1413" w:type="dxa"/>
            <w:vAlign w:val="top"/>
          </w:tcPr>
          <w:p w14:paraId="757DC71B">
            <w:pPr>
              <w:rPr>
                <w:rFonts w:ascii="Arial"/>
                <w:color w:val="auto"/>
                <w:sz w:val="21"/>
                <w:highlight w:val="none"/>
              </w:rPr>
            </w:pPr>
          </w:p>
        </w:tc>
        <w:tc>
          <w:tcPr>
            <w:tcW w:w="1134" w:type="dxa"/>
            <w:vAlign w:val="top"/>
          </w:tcPr>
          <w:p w14:paraId="42C4DA23">
            <w:pPr>
              <w:rPr>
                <w:rFonts w:ascii="Arial"/>
                <w:color w:val="auto"/>
                <w:sz w:val="21"/>
                <w:highlight w:val="none"/>
              </w:rPr>
            </w:pPr>
          </w:p>
        </w:tc>
        <w:tc>
          <w:tcPr>
            <w:tcW w:w="1130" w:type="dxa"/>
            <w:vAlign w:val="top"/>
          </w:tcPr>
          <w:p w14:paraId="420BD6DD">
            <w:pPr>
              <w:rPr>
                <w:rFonts w:ascii="Arial"/>
                <w:color w:val="auto"/>
                <w:sz w:val="21"/>
                <w:highlight w:val="none"/>
              </w:rPr>
            </w:pPr>
          </w:p>
        </w:tc>
        <w:tc>
          <w:tcPr>
            <w:tcW w:w="4261" w:type="dxa"/>
            <w:tcBorders>
              <w:right w:val="single" w:color="000000" w:sz="10" w:space="0"/>
            </w:tcBorders>
            <w:vAlign w:val="top"/>
          </w:tcPr>
          <w:p w14:paraId="04495B28">
            <w:pPr>
              <w:rPr>
                <w:rFonts w:ascii="Arial"/>
                <w:color w:val="auto"/>
                <w:sz w:val="21"/>
                <w:highlight w:val="none"/>
              </w:rPr>
            </w:pPr>
          </w:p>
        </w:tc>
      </w:tr>
      <w:tr w14:paraId="30D09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restart"/>
            <w:tcBorders>
              <w:left w:val="single" w:color="000000" w:sz="10" w:space="0"/>
              <w:bottom w:val="nil"/>
            </w:tcBorders>
            <w:vAlign w:val="top"/>
          </w:tcPr>
          <w:p w14:paraId="07B759B3">
            <w:pPr>
              <w:spacing w:line="280" w:lineRule="auto"/>
              <w:rPr>
                <w:rFonts w:ascii="Arial"/>
                <w:color w:val="auto"/>
                <w:sz w:val="21"/>
                <w:highlight w:val="none"/>
              </w:rPr>
            </w:pPr>
          </w:p>
          <w:p w14:paraId="1CC6B19B">
            <w:pPr>
              <w:spacing w:line="280" w:lineRule="auto"/>
              <w:rPr>
                <w:rFonts w:ascii="Arial"/>
                <w:color w:val="auto"/>
                <w:sz w:val="21"/>
                <w:highlight w:val="none"/>
              </w:rPr>
            </w:pPr>
          </w:p>
          <w:p w14:paraId="79687B5C">
            <w:pPr>
              <w:pStyle w:val="11"/>
              <w:spacing w:before="68" w:line="221" w:lineRule="auto"/>
              <w:ind w:left="512"/>
              <w:rPr>
                <w:color w:val="auto"/>
                <w:highlight w:val="none"/>
              </w:rPr>
            </w:pPr>
            <w:r>
              <w:rPr>
                <w:color w:val="auto"/>
                <w:spacing w:val="-1"/>
                <w:highlight w:val="none"/>
              </w:rPr>
              <w:t>其他人员</w:t>
            </w:r>
          </w:p>
        </w:tc>
        <w:tc>
          <w:tcPr>
            <w:tcW w:w="1413" w:type="dxa"/>
            <w:vAlign w:val="top"/>
          </w:tcPr>
          <w:p w14:paraId="4D6D7B02">
            <w:pPr>
              <w:rPr>
                <w:rFonts w:ascii="Arial"/>
                <w:color w:val="auto"/>
                <w:sz w:val="21"/>
                <w:highlight w:val="none"/>
              </w:rPr>
            </w:pPr>
          </w:p>
        </w:tc>
        <w:tc>
          <w:tcPr>
            <w:tcW w:w="1134" w:type="dxa"/>
            <w:vAlign w:val="top"/>
          </w:tcPr>
          <w:p w14:paraId="41D6DD79">
            <w:pPr>
              <w:rPr>
                <w:rFonts w:ascii="Arial"/>
                <w:color w:val="auto"/>
                <w:sz w:val="21"/>
                <w:highlight w:val="none"/>
              </w:rPr>
            </w:pPr>
          </w:p>
        </w:tc>
        <w:tc>
          <w:tcPr>
            <w:tcW w:w="1130" w:type="dxa"/>
            <w:vAlign w:val="top"/>
          </w:tcPr>
          <w:p w14:paraId="1A87BEE9">
            <w:pPr>
              <w:rPr>
                <w:rFonts w:ascii="Arial"/>
                <w:color w:val="auto"/>
                <w:sz w:val="21"/>
                <w:highlight w:val="none"/>
              </w:rPr>
            </w:pPr>
          </w:p>
        </w:tc>
        <w:tc>
          <w:tcPr>
            <w:tcW w:w="4261" w:type="dxa"/>
            <w:tcBorders>
              <w:right w:val="single" w:color="000000" w:sz="10" w:space="0"/>
            </w:tcBorders>
            <w:vAlign w:val="top"/>
          </w:tcPr>
          <w:p w14:paraId="1E7789A0">
            <w:pPr>
              <w:rPr>
                <w:rFonts w:ascii="Arial"/>
                <w:color w:val="auto"/>
                <w:sz w:val="21"/>
                <w:highlight w:val="none"/>
              </w:rPr>
            </w:pPr>
          </w:p>
        </w:tc>
      </w:tr>
      <w:tr w14:paraId="3DDA4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43BF9E01">
            <w:pPr>
              <w:rPr>
                <w:rFonts w:ascii="Arial"/>
                <w:color w:val="auto"/>
                <w:sz w:val="21"/>
                <w:highlight w:val="none"/>
              </w:rPr>
            </w:pPr>
          </w:p>
        </w:tc>
        <w:tc>
          <w:tcPr>
            <w:tcW w:w="1413" w:type="dxa"/>
            <w:vAlign w:val="top"/>
          </w:tcPr>
          <w:p w14:paraId="062D41B6">
            <w:pPr>
              <w:rPr>
                <w:rFonts w:ascii="Arial"/>
                <w:color w:val="auto"/>
                <w:sz w:val="21"/>
                <w:highlight w:val="none"/>
              </w:rPr>
            </w:pPr>
          </w:p>
        </w:tc>
        <w:tc>
          <w:tcPr>
            <w:tcW w:w="1134" w:type="dxa"/>
            <w:vAlign w:val="top"/>
          </w:tcPr>
          <w:p w14:paraId="1F9A55AF">
            <w:pPr>
              <w:rPr>
                <w:rFonts w:ascii="Arial"/>
                <w:color w:val="auto"/>
                <w:sz w:val="21"/>
                <w:highlight w:val="none"/>
              </w:rPr>
            </w:pPr>
          </w:p>
        </w:tc>
        <w:tc>
          <w:tcPr>
            <w:tcW w:w="1130" w:type="dxa"/>
            <w:vAlign w:val="top"/>
          </w:tcPr>
          <w:p w14:paraId="22C3D10D">
            <w:pPr>
              <w:rPr>
                <w:rFonts w:ascii="Arial"/>
                <w:color w:val="auto"/>
                <w:sz w:val="21"/>
                <w:highlight w:val="none"/>
              </w:rPr>
            </w:pPr>
          </w:p>
        </w:tc>
        <w:tc>
          <w:tcPr>
            <w:tcW w:w="4261" w:type="dxa"/>
            <w:tcBorders>
              <w:right w:val="single" w:color="000000" w:sz="10" w:space="0"/>
            </w:tcBorders>
            <w:vAlign w:val="top"/>
          </w:tcPr>
          <w:p w14:paraId="4F231125">
            <w:pPr>
              <w:rPr>
                <w:rFonts w:ascii="Arial"/>
                <w:color w:val="auto"/>
                <w:sz w:val="21"/>
                <w:highlight w:val="none"/>
              </w:rPr>
            </w:pPr>
          </w:p>
        </w:tc>
      </w:tr>
      <w:tr w14:paraId="6E6AE5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vMerge w:val="continue"/>
            <w:tcBorders>
              <w:top w:val="nil"/>
              <w:left w:val="single" w:color="000000" w:sz="10" w:space="0"/>
            </w:tcBorders>
            <w:vAlign w:val="top"/>
          </w:tcPr>
          <w:p w14:paraId="5D5C79FC">
            <w:pPr>
              <w:rPr>
                <w:rFonts w:ascii="Arial"/>
                <w:color w:val="auto"/>
                <w:sz w:val="21"/>
                <w:highlight w:val="none"/>
              </w:rPr>
            </w:pPr>
          </w:p>
        </w:tc>
        <w:tc>
          <w:tcPr>
            <w:tcW w:w="1413" w:type="dxa"/>
            <w:vAlign w:val="top"/>
          </w:tcPr>
          <w:p w14:paraId="277682F6">
            <w:pPr>
              <w:rPr>
                <w:rFonts w:ascii="Arial"/>
                <w:color w:val="auto"/>
                <w:sz w:val="21"/>
                <w:highlight w:val="none"/>
              </w:rPr>
            </w:pPr>
          </w:p>
        </w:tc>
        <w:tc>
          <w:tcPr>
            <w:tcW w:w="1134" w:type="dxa"/>
            <w:vAlign w:val="top"/>
          </w:tcPr>
          <w:p w14:paraId="784509EB">
            <w:pPr>
              <w:rPr>
                <w:rFonts w:ascii="Arial"/>
                <w:color w:val="auto"/>
                <w:sz w:val="21"/>
                <w:highlight w:val="none"/>
              </w:rPr>
            </w:pPr>
          </w:p>
        </w:tc>
        <w:tc>
          <w:tcPr>
            <w:tcW w:w="1130" w:type="dxa"/>
            <w:vAlign w:val="top"/>
          </w:tcPr>
          <w:p w14:paraId="1419C9A8">
            <w:pPr>
              <w:rPr>
                <w:rFonts w:ascii="Arial"/>
                <w:color w:val="auto"/>
                <w:sz w:val="21"/>
                <w:highlight w:val="none"/>
              </w:rPr>
            </w:pPr>
          </w:p>
        </w:tc>
        <w:tc>
          <w:tcPr>
            <w:tcW w:w="4261" w:type="dxa"/>
            <w:tcBorders>
              <w:right w:val="single" w:color="000000" w:sz="10" w:space="0"/>
            </w:tcBorders>
            <w:vAlign w:val="top"/>
          </w:tcPr>
          <w:p w14:paraId="1051A9E1">
            <w:pPr>
              <w:rPr>
                <w:rFonts w:ascii="Arial"/>
                <w:color w:val="auto"/>
                <w:sz w:val="21"/>
                <w:highlight w:val="none"/>
              </w:rPr>
            </w:pPr>
          </w:p>
        </w:tc>
      </w:tr>
      <w:tr w14:paraId="3A15FD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9818" w:type="dxa"/>
            <w:gridSpan w:val="5"/>
            <w:tcBorders>
              <w:left w:val="single" w:color="000000" w:sz="10" w:space="0"/>
              <w:right w:val="single" w:color="000000" w:sz="10" w:space="0"/>
            </w:tcBorders>
            <w:vAlign w:val="top"/>
          </w:tcPr>
          <w:p w14:paraId="2C5E8EA4">
            <w:pPr>
              <w:pStyle w:val="11"/>
              <w:spacing w:before="178" w:line="221" w:lineRule="auto"/>
              <w:ind w:left="4279"/>
              <w:rPr>
                <w:color w:val="auto"/>
                <w:highlight w:val="none"/>
              </w:rPr>
            </w:pPr>
            <w:r>
              <w:rPr>
                <w:color w:val="auto"/>
                <w:spacing w:val="-1"/>
                <w:highlight w:val="none"/>
              </w:rPr>
              <w:t>二、现场人员</w:t>
            </w:r>
          </w:p>
        </w:tc>
      </w:tr>
      <w:tr w14:paraId="2E6D2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51508244">
            <w:pPr>
              <w:pStyle w:val="11"/>
              <w:spacing w:before="179" w:line="221" w:lineRule="auto"/>
              <w:ind w:left="514"/>
              <w:rPr>
                <w:color w:val="auto"/>
                <w:highlight w:val="none"/>
              </w:rPr>
            </w:pPr>
            <w:r>
              <w:rPr>
                <w:color w:val="auto"/>
                <w:spacing w:val="-2"/>
                <w:highlight w:val="none"/>
              </w:rPr>
              <w:t>项目经理</w:t>
            </w:r>
          </w:p>
        </w:tc>
        <w:tc>
          <w:tcPr>
            <w:tcW w:w="1413" w:type="dxa"/>
            <w:vAlign w:val="top"/>
          </w:tcPr>
          <w:p w14:paraId="164687BB">
            <w:pPr>
              <w:rPr>
                <w:rFonts w:ascii="Arial"/>
                <w:color w:val="auto"/>
                <w:sz w:val="21"/>
                <w:highlight w:val="none"/>
              </w:rPr>
            </w:pPr>
          </w:p>
        </w:tc>
        <w:tc>
          <w:tcPr>
            <w:tcW w:w="1134" w:type="dxa"/>
            <w:vAlign w:val="top"/>
          </w:tcPr>
          <w:p w14:paraId="64B9BAFA">
            <w:pPr>
              <w:rPr>
                <w:rFonts w:ascii="Arial"/>
                <w:color w:val="auto"/>
                <w:sz w:val="21"/>
                <w:highlight w:val="none"/>
              </w:rPr>
            </w:pPr>
          </w:p>
        </w:tc>
        <w:tc>
          <w:tcPr>
            <w:tcW w:w="1130" w:type="dxa"/>
            <w:vAlign w:val="top"/>
          </w:tcPr>
          <w:p w14:paraId="460B770D">
            <w:pPr>
              <w:rPr>
                <w:rFonts w:ascii="Arial"/>
                <w:color w:val="auto"/>
                <w:sz w:val="21"/>
                <w:highlight w:val="none"/>
              </w:rPr>
            </w:pPr>
          </w:p>
        </w:tc>
        <w:tc>
          <w:tcPr>
            <w:tcW w:w="4261" w:type="dxa"/>
            <w:tcBorders>
              <w:right w:val="single" w:color="000000" w:sz="10" w:space="0"/>
            </w:tcBorders>
            <w:vAlign w:val="top"/>
          </w:tcPr>
          <w:p w14:paraId="7DFD64B1">
            <w:pPr>
              <w:rPr>
                <w:rFonts w:ascii="Arial"/>
                <w:color w:val="auto"/>
                <w:sz w:val="21"/>
                <w:highlight w:val="none"/>
              </w:rPr>
            </w:pPr>
          </w:p>
        </w:tc>
      </w:tr>
      <w:tr w14:paraId="51B13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3B1112CE">
            <w:pPr>
              <w:pStyle w:val="11"/>
              <w:spacing w:before="180" w:line="221" w:lineRule="auto"/>
              <w:ind w:left="409"/>
              <w:rPr>
                <w:color w:val="auto"/>
                <w:highlight w:val="none"/>
              </w:rPr>
            </w:pPr>
            <w:r>
              <w:rPr>
                <w:color w:val="auto"/>
                <w:spacing w:val="-1"/>
                <w:highlight w:val="none"/>
              </w:rPr>
              <w:t>项目副经理</w:t>
            </w:r>
          </w:p>
        </w:tc>
        <w:tc>
          <w:tcPr>
            <w:tcW w:w="1413" w:type="dxa"/>
            <w:vAlign w:val="top"/>
          </w:tcPr>
          <w:p w14:paraId="2ABCCB6C">
            <w:pPr>
              <w:rPr>
                <w:rFonts w:ascii="Arial"/>
                <w:color w:val="auto"/>
                <w:sz w:val="21"/>
                <w:highlight w:val="none"/>
              </w:rPr>
            </w:pPr>
          </w:p>
        </w:tc>
        <w:tc>
          <w:tcPr>
            <w:tcW w:w="1134" w:type="dxa"/>
            <w:vAlign w:val="top"/>
          </w:tcPr>
          <w:p w14:paraId="25C65508">
            <w:pPr>
              <w:rPr>
                <w:rFonts w:ascii="Arial"/>
                <w:color w:val="auto"/>
                <w:sz w:val="21"/>
                <w:highlight w:val="none"/>
              </w:rPr>
            </w:pPr>
          </w:p>
        </w:tc>
        <w:tc>
          <w:tcPr>
            <w:tcW w:w="1130" w:type="dxa"/>
            <w:vAlign w:val="top"/>
          </w:tcPr>
          <w:p w14:paraId="3ECE4089">
            <w:pPr>
              <w:rPr>
                <w:rFonts w:ascii="Arial"/>
                <w:color w:val="auto"/>
                <w:sz w:val="21"/>
                <w:highlight w:val="none"/>
              </w:rPr>
            </w:pPr>
          </w:p>
        </w:tc>
        <w:tc>
          <w:tcPr>
            <w:tcW w:w="4261" w:type="dxa"/>
            <w:tcBorders>
              <w:right w:val="single" w:color="000000" w:sz="10" w:space="0"/>
            </w:tcBorders>
            <w:vAlign w:val="top"/>
          </w:tcPr>
          <w:p w14:paraId="39078223">
            <w:pPr>
              <w:rPr>
                <w:rFonts w:ascii="Arial"/>
                <w:color w:val="auto"/>
                <w:sz w:val="21"/>
                <w:highlight w:val="none"/>
              </w:rPr>
            </w:pPr>
          </w:p>
        </w:tc>
      </w:tr>
      <w:tr w14:paraId="2238A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4D972890">
            <w:pPr>
              <w:pStyle w:val="11"/>
              <w:spacing w:before="181" w:line="221" w:lineRule="auto"/>
              <w:ind w:left="406"/>
              <w:rPr>
                <w:color w:val="auto"/>
                <w:highlight w:val="none"/>
              </w:rPr>
            </w:pPr>
            <w:r>
              <w:rPr>
                <w:color w:val="auto"/>
                <w:spacing w:val="-1"/>
                <w:highlight w:val="none"/>
              </w:rPr>
              <w:t>技术负责人</w:t>
            </w:r>
          </w:p>
        </w:tc>
        <w:tc>
          <w:tcPr>
            <w:tcW w:w="1413" w:type="dxa"/>
            <w:vAlign w:val="top"/>
          </w:tcPr>
          <w:p w14:paraId="37D916E4">
            <w:pPr>
              <w:rPr>
                <w:rFonts w:ascii="Arial"/>
                <w:color w:val="auto"/>
                <w:sz w:val="21"/>
                <w:highlight w:val="none"/>
              </w:rPr>
            </w:pPr>
          </w:p>
        </w:tc>
        <w:tc>
          <w:tcPr>
            <w:tcW w:w="1134" w:type="dxa"/>
            <w:vAlign w:val="top"/>
          </w:tcPr>
          <w:p w14:paraId="0B89C38C">
            <w:pPr>
              <w:rPr>
                <w:rFonts w:ascii="Arial"/>
                <w:color w:val="auto"/>
                <w:sz w:val="21"/>
                <w:highlight w:val="none"/>
              </w:rPr>
            </w:pPr>
          </w:p>
        </w:tc>
        <w:tc>
          <w:tcPr>
            <w:tcW w:w="1130" w:type="dxa"/>
            <w:vAlign w:val="top"/>
          </w:tcPr>
          <w:p w14:paraId="51A1DAAC">
            <w:pPr>
              <w:rPr>
                <w:rFonts w:ascii="Arial"/>
                <w:color w:val="auto"/>
                <w:sz w:val="21"/>
                <w:highlight w:val="none"/>
              </w:rPr>
            </w:pPr>
          </w:p>
        </w:tc>
        <w:tc>
          <w:tcPr>
            <w:tcW w:w="4261" w:type="dxa"/>
            <w:tcBorders>
              <w:right w:val="single" w:color="000000" w:sz="10" w:space="0"/>
            </w:tcBorders>
            <w:vAlign w:val="top"/>
          </w:tcPr>
          <w:p w14:paraId="0178F4B5">
            <w:pPr>
              <w:rPr>
                <w:rFonts w:ascii="Arial"/>
                <w:color w:val="auto"/>
                <w:sz w:val="21"/>
                <w:highlight w:val="none"/>
              </w:rPr>
            </w:pPr>
          </w:p>
        </w:tc>
      </w:tr>
      <w:tr w14:paraId="19B07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tcBorders>
              <w:left w:val="single" w:color="000000" w:sz="10" w:space="0"/>
            </w:tcBorders>
            <w:vAlign w:val="top"/>
          </w:tcPr>
          <w:p w14:paraId="1C3D5A08">
            <w:pPr>
              <w:pStyle w:val="11"/>
              <w:spacing w:before="178" w:line="219" w:lineRule="auto"/>
              <w:ind w:left="510"/>
              <w:rPr>
                <w:color w:val="auto"/>
                <w:highlight w:val="none"/>
              </w:rPr>
            </w:pPr>
            <w:r>
              <w:rPr>
                <w:color w:val="auto"/>
                <w:spacing w:val="-1"/>
                <w:highlight w:val="none"/>
              </w:rPr>
              <w:t>造价管理</w:t>
            </w:r>
          </w:p>
        </w:tc>
        <w:tc>
          <w:tcPr>
            <w:tcW w:w="1413" w:type="dxa"/>
            <w:vAlign w:val="top"/>
          </w:tcPr>
          <w:p w14:paraId="417732BC">
            <w:pPr>
              <w:rPr>
                <w:rFonts w:ascii="Arial"/>
                <w:color w:val="auto"/>
                <w:sz w:val="21"/>
                <w:highlight w:val="none"/>
              </w:rPr>
            </w:pPr>
          </w:p>
        </w:tc>
        <w:tc>
          <w:tcPr>
            <w:tcW w:w="1134" w:type="dxa"/>
            <w:vAlign w:val="top"/>
          </w:tcPr>
          <w:p w14:paraId="2AAF1668">
            <w:pPr>
              <w:rPr>
                <w:rFonts w:ascii="Arial"/>
                <w:color w:val="auto"/>
                <w:sz w:val="21"/>
                <w:highlight w:val="none"/>
              </w:rPr>
            </w:pPr>
          </w:p>
        </w:tc>
        <w:tc>
          <w:tcPr>
            <w:tcW w:w="1130" w:type="dxa"/>
            <w:vAlign w:val="top"/>
          </w:tcPr>
          <w:p w14:paraId="30B8D680">
            <w:pPr>
              <w:rPr>
                <w:rFonts w:ascii="Arial"/>
                <w:color w:val="auto"/>
                <w:sz w:val="21"/>
                <w:highlight w:val="none"/>
              </w:rPr>
            </w:pPr>
          </w:p>
        </w:tc>
        <w:tc>
          <w:tcPr>
            <w:tcW w:w="4261" w:type="dxa"/>
            <w:tcBorders>
              <w:right w:val="single" w:color="000000" w:sz="10" w:space="0"/>
            </w:tcBorders>
            <w:vAlign w:val="top"/>
          </w:tcPr>
          <w:p w14:paraId="1E8159F0">
            <w:pPr>
              <w:rPr>
                <w:rFonts w:ascii="Arial"/>
                <w:color w:val="auto"/>
                <w:sz w:val="21"/>
                <w:highlight w:val="none"/>
              </w:rPr>
            </w:pPr>
          </w:p>
        </w:tc>
      </w:tr>
      <w:tr w14:paraId="04973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543BED26">
            <w:pPr>
              <w:pStyle w:val="11"/>
              <w:spacing w:before="184" w:line="220" w:lineRule="auto"/>
              <w:ind w:left="512"/>
              <w:rPr>
                <w:color w:val="auto"/>
                <w:highlight w:val="none"/>
              </w:rPr>
            </w:pPr>
            <w:r>
              <w:rPr>
                <w:color w:val="auto"/>
                <w:spacing w:val="-1"/>
                <w:highlight w:val="none"/>
              </w:rPr>
              <w:t>质量管理</w:t>
            </w:r>
          </w:p>
        </w:tc>
        <w:tc>
          <w:tcPr>
            <w:tcW w:w="1413" w:type="dxa"/>
            <w:vAlign w:val="top"/>
          </w:tcPr>
          <w:p w14:paraId="24465090">
            <w:pPr>
              <w:rPr>
                <w:rFonts w:ascii="Arial"/>
                <w:color w:val="auto"/>
                <w:sz w:val="21"/>
                <w:highlight w:val="none"/>
              </w:rPr>
            </w:pPr>
          </w:p>
        </w:tc>
        <w:tc>
          <w:tcPr>
            <w:tcW w:w="1134" w:type="dxa"/>
            <w:vAlign w:val="top"/>
          </w:tcPr>
          <w:p w14:paraId="552B9D81">
            <w:pPr>
              <w:rPr>
                <w:rFonts w:ascii="Arial"/>
                <w:color w:val="auto"/>
                <w:sz w:val="21"/>
                <w:highlight w:val="none"/>
              </w:rPr>
            </w:pPr>
          </w:p>
        </w:tc>
        <w:tc>
          <w:tcPr>
            <w:tcW w:w="1130" w:type="dxa"/>
            <w:vAlign w:val="top"/>
          </w:tcPr>
          <w:p w14:paraId="1417AFA9">
            <w:pPr>
              <w:rPr>
                <w:rFonts w:ascii="Arial"/>
                <w:color w:val="auto"/>
                <w:sz w:val="21"/>
                <w:highlight w:val="none"/>
              </w:rPr>
            </w:pPr>
          </w:p>
        </w:tc>
        <w:tc>
          <w:tcPr>
            <w:tcW w:w="4261" w:type="dxa"/>
            <w:tcBorders>
              <w:right w:val="single" w:color="000000" w:sz="10" w:space="0"/>
            </w:tcBorders>
            <w:vAlign w:val="top"/>
          </w:tcPr>
          <w:p w14:paraId="14F23E3A">
            <w:pPr>
              <w:rPr>
                <w:rFonts w:ascii="Arial"/>
                <w:color w:val="auto"/>
                <w:sz w:val="21"/>
                <w:highlight w:val="none"/>
              </w:rPr>
            </w:pPr>
          </w:p>
        </w:tc>
      </w:tr>
      <w:tr w14:paraId="15E82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3460D1B5">
            <w:pPr>
              <w:pStyle w:val="11"/>
              <w:spacing w:before="185" w:line="219" w:lineRule="auto"/>
              <w:ind w:left="511"/>
              <w:rPr>
                <w:color w:val="auto"/>
                <w:highlight w:val="none"/>
              </w:rPr>
            </w:pPr>
            <w:r>
              <w:rPr>
                <w:color w:val="auto"/>
                <w:spacing w:val="-1"/>
                <w:highlight w:val="none"/>
              </w:rPr>
              <w:t>材料管理</w:t>
            </w:r>
          </w:p>
        </w:tc>
        <w:tc>
          <w:tcPr>
            <w:tcW w:w="1413" w:type="dxa"/>
            <w:vAlign w:val="top"/>
          </w:tcPr>
          <w:p w14:paraId="1E359A8B">
            <w:pPr>
              <w:rPr>
                <w:rFonts w:ascii="Arial"/>
                <w:color w:val="auto"/>
                <w:sz w:val="21"/>
                <w:highlight w:val="none"/>
              </w:rPr>
            </w:pPr>
          </w:p>
        </w:tc>
        <w:tc>
          <w:tcPr>
            <w:tcW w:w="1134" w:type="dxa"/>
            <w:vAlign w:val="top"/>
          </w:tcPr>
          <w:p w14:paraId="56417DA7">
            <w:pPr>
              <w:rPr>
                <w:rFonts w:ascii="Arial"/>
                <w:color w:val="auto"/>
                <w:sz w:val="21"/>
                <w:highlight w:val="none"/>
              </w:rPr>
            </w:pPr>
          </w:p>
        </w:tc>
        <w:tc>
          <w:tcPr>
            <w:tcW w:w="1130" w:type="dxa"/>
            <w:vAlign w:val="top"/>
          </w:tcPr>
          <w:p w14:paraId="13A3E53D">
            <w:pPr>
              <w:rPr>
                <w:rFonts w:ascii="Arial"/>
                <w:color w:val="auto"/>
                <w:sz w:val="21"/>
                <w:highlight w:val="none"/>
              </w:rPr>
            </w:pPr>
          </w:p>
        </w:tc>
        <w:tc>
          <w:tcPr>
            <w:tcW w:w="4261" w:type="dxa"/>
            <w:tcBorders>
              <w:right w:val="single" w:color="000000" w:sz="10" w:space="0"/>
            </w:tcBorders>
            <w:vAlign w:val="top"/>
          </w:tcPr>
          <w:p w14:paraId="054EC2D6">
            <w:pPr>
              <w:rPr>
                <w:rFonts w:ascii="Arial"/>
                <w:color w:val="auto"/>
                <w:sz w:val="21"/>
                <w:highlight w:val="none"/>
              </w:rPr>
            </w:pPr>
          </w:p>
        </w:tc>
      </w:tr>
      <w:tr w14:paraId="6A19E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0B84D106">
            <w:pPr>
              <w:pStyle w:val="11"/>
              <w:spacing w:before="187" w:line="218" w:lineRule="auto"/>
              <w:ind w:left="511"/>
              <w:rPr>
                <w:color w:val="auto"/>
                <w:highlight w:val="none"/>
              </w:rPr>
            </w:pPr>
            <w:r>
              <w:rPr>
                <w:color w:val="auto"/>
                <w:spacing w:val="-1"/>
                <w:highlight w:val="none"/>
              </w:rPr>
              <w:t>计划管理</w:t>
            </w:r>
          </w:p>
        </w:tc>
        <w:tc>
          <w:tcPr>
            <w:tcW w:w="1413" w:type="dxa"/>
            <w:vAlign w:val="top"/>
          </w:tcPr>
          <w:p w14:paraId="61D3712B">
            <w:pPr>
              <w:rPr>
                <w:rFonts w:ascii="Arial"/>
                <w:color w:val="auto"/>
                <w:sz w:val="21"/>
                <w:highlight w:val="none"/>
              </w:rPr>
            </w:pPr>
          </w:p>
        </w:tc>
        <w:tc>
          <w:tcPr>
            <w:tcW w:w="1134" w:type="dxa"/>
            <w:vAlign w:val="top"/>
          </w:tcPr>
          <w:p w14:paraId="45F4EF01">
            <w:pPr>
              <w:rPr>
                <w:rFonts w:ascii="Arial"/>
                <w:color w:val="auto"/>
                <w:sz w:val="21"/>
                <w:highlight w:val="none"/>
              </w:rPr>
            </w:pPr>
          </w:p>
        </w:tc>
        <w:tc>
          <w:tcPr>
            <w:tcW w:w="1130" w:type="dxa"/>
            <w:vAlign w:val="top"/>
          </w:tcPr>
          <w:p w14:paraId="08E65F9F">
            <w:pPr>
              <w:rPr>
                <w:rFonts w:ascii="Arial"/>
                <w:color w:val="auto"/>
                <w:sz w:val="21"/>
                <w:highlight w:val="none"/>
              </w:rPr>
            </w:pPr>
          </w:p>
        </w:tc>
        <w:tc>
          <w:tcPr>
            <w:tcW w:w="4261" w:type="dxa"/>
            <w:tcBorders>
              <w:right w:val="single" w:color="000000" w:sz="10" w:space="0"/>
            </w:tcBorders>
            <w:vAlign w:val="top"/>
          </w:tcPr>
          <w:p w14:paraId="045A6A09">
            <w:pPr>
              <w:rPr>
                <w:rFonts w:ascii="Arial"/>
                <w:color w:val="auto"/>
                <w:sz w:val="21"/>
                <w:highlight w:val="none"/>
              </w:rPr>
            </w:pPr>
          </w:p>
        </w:tc>
      </w:tr>
      <w:tr w14:paraId="40DBB0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338F93CF">
            <w:pPr>
              <w:pStyle w:val="11"/>
              <w:spacing w:before="188" w:line="217" w:lineRule="auto"/>
              <w:ind w:left="515"/>
              <w:rPr>
                <w:color w:val="auto"/>
                <w:highlight w:val="none"/>
              </w:rPr>
            </w:pPr>
            <w:r>
              <w:rPr>
                <w:color w:val="auto"/>
                <w:spacing w:val="-2"/>
                <w:highlight w:val="none"/>
              </w:rPr>
              <w:t>安全管理</w:t>
            </w:r>
          </w:p>
        </w:tc>
        <w:tc>
          <w:tcPr>
            <w:tcW w:w="1413" w:type="dxa"/>
            <w:vAlign w:val="top"/>
          </w:tcPr>
          <w:p w14:paraId="6FE0FDDA">
            <w:pPr>
              <w:rPr>
                <w:rFonts w:ascii="Arial"/>
                <w:color w:val="auto"/>
                <w:sz w:val="21"/>
                <w:highlight w:val="none"/>
              </w:rPr>
            </w:pPr>
          </w:p>
        </w:tc>
        <w:tc>
          <w:tcPr>
            <w:tcW w:w="1134" w:type="dxa"/>
            <w:vAlign w:val="top"/>
          </w:tcPr>
          <w:p w14:paraId="37C6027A">
            <w:pPr>
              <w:rPr>
                <w:rFonts w:ascii="Arial"/>
                <w:color w:val="auto"/>
                <w:sz w:val="21"/>
                <w:highlight w:val="none"/>
              </w:rPr>
            </w:pPr>
          </w:p>
        </w:tc>
        <w:tc>
          <w:tcPr>
            <w:tcW w:w="1130" w:type="dxa"/>
            <w:vAlign w:val="top"/>
          </w:tcPr>
          <w:p w14:paraId="52441093">
            <w:pPr>
              <w:rPr>
                <w:rFonts w:ascii="Arial"/>
                <w:color w:val="auto"/>
                <w:sz w:val="21"/>
                <w:highlight w:val="none"/>
              </w:rPr>
            </w:pPr>
          </w:p>
        </w:tc>
        <w:tc>
          <w:tcPr>
            <w:tcW w:w="4261" w:type="dxa"/>
            <w:tcBorders>
              <w:right w:val="single" w:color="000000" w:sz="10" w:space="0"/>
            </w:tcBorders>
            <w:vAlign w:val="top"/>
          </w:tcPr>
          <w:p w14:paraId="4D23D630">
            <w:pPr>
              <w:rPr>
                <w:rFonts w:ascii="Arial"/>
                <w:color w:val="auto"/>
                <w:sz w:val="21"/>
                <w:highlight w:val="none"/>
              </w:rPr>
            </w:pPr>
          </w:p>
        </w:tc>
      </w:tr>
      <w:tr w14:paraId="6202B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vMerge w:val="restart"/>
            <w:tcBorders>
              <w:left w:val="single" w:color="000000" w:sz="10" w:space="0"/>
              <w:bottom w:val="nil"/>
            </w:tcBorders>
            <w:vAlign w:val="top"/>
          </w:tcPr>
          <w:p w14:paraId="027C1734">
            <w:pPr>
              <w:spacing w:line="249" w:lineRule="auto"/>
              <w:rPr>
                <w:rFonts w:ascii="Arial"/>
                <w:color w:val="auto"/>
                <w:sz w:val="21"/>
                <w:highlight w:val="none"/>
              </w:rPr>
            </w:pPr>
          </w:p>
          <w:p w14:paraId="1B03F764">
            <w:pPr>
              <w:spacing w:line="249" w:lineRule="auto"/>
              <w:rPr>
                <w:rFonts w:ascii="Arial"/>
                <w:color w:val="auto"/>
                <w:sz w:val="21"/>
                <w:highlight w:val="none"/>
              </w:rPr>
            </w:pPr>
          </w:p>
          <w:p w14:paraId="18A158E3">
            <w:pPr>
              <w:spacing w:line="249" w:lineRule="auto"/>
              <w:rPr>
                <w:rFonts w:ascii="Arial"/>
                <w:color w:val="auto"/>
                <w:sz w:val="21"/>
                <w:highlight w:val="none"/>
              </w:rPr>
            </w:pPr>
          </w:p>
          <w:p w14:paraId="2DFB5B53">
            <w:pPr>
              <w:spacing w:line="249" w:lineRule="auto"/>
              <w:rPr>
                <w:rFonts w:ascii="Arial"/>
                <w:color w:val="auto"/>
                <w:sz w:val="21"/>
                <w:highlight w:val="none"/>
              </w:rPr>
            </w:pPr>
          </w:p>
          <w:p w14:paraId="69A3D2A8">
            <w:pPr>
              <w:spacing w:line="250" w:lineRule="auto"/>
              <w:rPr>
                <w:rFonts w:ascii="Arial"/>
                <w:color w:val="auto"/>
                <w:sz w:val="21"/>
                <w:highlight w:val="none"/>
              </w:rPr>
            </w:pPr>
          </w:p>
          <w:p w14:paraId="7CFA89E9">
            <w:pPr>
              <w:pStyle w:val="11"/>
              <w:spacing w:before="68" w:line="221" w:lineRule="auto"/>
              <w:ind w:left="512"/>
              <w:rPr>
                <w:color w:val="auto"/>
                <w:highlight w:val="none"/>
              </w:rPr>
            </w:pPr>
            <w:r>
              <w:rPr>
                <w:color w:val="auto"/>
                <w:spacing w:val="-1"/>
                <w:highlight w:val="none"/>
              </w:rPr>
              <w:t>其他人员</w:t>
            </w:r>
          </w:p>
        </w:tc>
        <w:tc>
          <w:tcPr>
            <w:tcW w:w="1413" w:type="dxa"/>
            <w:vAlign w:val="top"/>
          </w:tcPr>
          <w:p w14:paraId="43028219">
            <w:pPr>
              <w:rPr>
                <w:rFonts w:ascii="Arial"/>
                <w:color w:val="auto"/>
                <w:sz w:val="21"/>
                <w:highlight w:val="none"/>
              </w:rPr>
            </w:pPr>
          </w:p>
        </w:tc>
        <w:tc>
          <w:tcPr>
            <w:tcW w:w="1134" w:type="dxa"/>
            <w:vAlign w:val="top"/>
          </w:tcPr>
          <w:p w14:paraId="62A6099B">
            <w:pPr>
              <w:rPr>
                <w:rFonts w:ascii="Arial"/>
                <w:color w:val="auto"/>
                <w:sz w:val="21"/>
                <w:highlight w:val="none"/>
              </w:rPr>
            </w:pPr>
          </w:p>
        </w:tc>
        <w:tc>
          <w:tcPr>
            <w:tcW w:w="1130" w:type="dxa"/>
            <w:vAlign w:val="top"/>
          </w:tcPr>
          <w:p w14:paraId="6280B95F">
            <w:pPr>
              <w:rPr>
                <w:rFonts w:ascii="Arial"/>
                <w:color w:val="auto"/>
                <w:sz w:val="21"/>
                <w:highlight w:val="none"/>
              </w:rPr>
            </w:pPr>
          </w:p>
        </w:tc>
        <w:tc>
          <w:tcPr>
            <w:tcW w:w="4261" w:type="dxa"/>
            <w:tcBorders>
              <w:right w:val="single" w:color="000000" w:sz="10" w:space="0"/>
            </w:tcBorders>
            <w:vAlign w:val="top"/>
          </w:tcPr>
          <w:p w14:paraId="1B3E7135">
            <w:pPr>
              <w:rPr>
                <w:rFonts w:ascii="Arial"/>
                <w:color w:val="auto"/>
                <w:sz w:val="21"/>
                <w:highlight w:val="none"/>
              </w:rPr>
            </w:pPr>
          </w:p>
        </w:tc>
      </w:tr>
      <w:tr w14:paraId="6832D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7539DD94">
            <w:pPr>
              <w:rPr>
                <w:rFonts w:ascii="Arial"/>
                <w:color w:val="auto"/>
                <w:sz w:val="21"/>
                <w:highlight w:val="none"/>
              </w:rPr>
            </w:pPr>
          </w:p>
        </w:tc>
        <w:tc>
          <w:tcPr>
            <w:tcW w:w="1413" w:type="dxa"/>
            <w:vAlign w:val="top"/>
          </w:tcPr>
          <w:p w14:paraId="5651FEF6">
            <w:pPr>
              <w:rPr>
                <w:rFonts w:ascii="Arial"/>
                <w:color w:val="auto"/>
                <w:sz w:val="21"/>
                <w:highlight w:val="none"/>
              </w:rPr>
            </w:pPr>
          </w:p>
        </w:tc>
        <w:tc>
          <w:tcPr>
            <w:tcW w:w="1134" w:type="dxa"/>
            <w:vAlign w:val="top"/>
          </w:tcPr>
          <w:p w14:paraId="318AF9B2">
            <w:pPr>
              <w:rPr>
                <w:rFonts w:ascii="Arial"/>
                <w:color w:val="auto"/>
                <w:sz w:val="21"/>
                <w:highlight w:val="none"/>
              </w:rPr>
            </w:pPr>
          </w:p>
        </w:tc>
        <w:tc>
          <w:tcPr>
            <w:tcW w:w="1130" w:type="dxa"/>
            <w:vAlign w:val="top"/>
          </w:tcPr>
          <w:p w14:paraId="2E9BC24D">
            <w:pPr>
              <w:rPr>
                <w:rFonts w:ascii="Arial"/>
                <w:color w:val="auto"/>
                <w:sz w:val="21"/>
                <w:highlight w:val="none"/>
              </w:rPr>
            </w:pPr>
          </w:p>
        </w:tc>
        <w:tc>
          <w:tcPr>
            <w:tcW w:w="4261" w:type="dxa"/>
            <w:tcBorders>
              <w:right w:val="single" w:color="000000" w:sz="10" w:space="0"/>
            </w:tcBorders>
            <w:vAlign w:val="top"/>
          </w:tcPr>
          <w:p w14:paraId="0FF0E2C5">
            <w:pPr>
              <w:rPr>
                <w:rFonts w:ascii="Arial"/>
                <w:color w:val="auto"/>
                <w:sz w:val="21"/>
                <w:highlight w:val="none"/>
              </w:rPr>
            </w:pPr>
          </w:p>
        </w:tc>
      </w:tr>
      <w:tr w14:paraId="108EC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77BFB8F3">
            <w:pPr>
              <w:rPr>
                <w:rFonts w:ascii="Arial"/>
                <w:color w:val="auto"/>
                <w:sz w:val="21"/>
                <w:highlight w:val="none"/>
              </w:rPr>
            </w:pPr>
          </w:p>
        </w:tc>
        <w:tc>
          <w:tcPr>
            <w:tcW w:w="1413" w:type="dxa"/>
            <w:vAlign w:val="top"/>
          </w:tcPr>
          <w:p w14:paraId="45E038CC">
            <w:pPr>
              <w:rPr>
                <w:rFonts w:ascii="Arial"/>
                <w:color w:val="auto"/>
                <w:sz w:val="21"/>
                <w:highlight w:val="none"/>
              </w:rPr>
            </w:pPr>
          </w:p>
        </w:tc>
        <w:tc>
          <w:tcPr>
            <w:tcW w:w="1134" w:type="dxa"/>
            <w:vAlign w:val="top"/>
          </w:tcPr>
          <w:p w14:paraId="1295B050">
            <w:pPr>
              <w:rPr>
                <w:rFonts w:ascii="Arial"/>
                <w:color w:val="auto"/>
                <w:sz w:val="21"/>
                <w:highlight w:val="none"/>
              </w:rPr>
            </w:pPr>
          </w:p>
        </w:tc>
        <w:tc>
          <w:tcPr>
            <w:tcW w:w="1130" w:type="dxa"/>
            <w:vAlign w:val="top"/>
          </w:tcPr>
          <w:p w14:paraId="7F5FBDBD">
            <w:pPr>
              <w:rPr>
                <w:rFonts w:ascii="Arial"/>
                <w:color w:val="auto"/>
                <w:sz w:val="21"/>
                <w:highlight w:val="none"/>
              </w:rPr>
            </w:pPr>
          </w:p>
        </w:tc>
        <w:tc>
          <w:tcPr>
            <w:tcW w:w="4261" w:type="dxa"/>
            <w:tcBorders>
              <w:right w:val="single" w:color="000000" w:sz="10" w:space="0"/>
            </w:tcBorders>
            <w:vAlign w:val="top"/>
          </w:tcPr>
          <w:p w14:paraId="3B92E826">
            <w:pPr>
              <w:rPr>
                <w:rFonts w:ascii="Arial"/>
                <w:color w:val="auto"/>
                <w:sz w:val="21"/>
                <w:highlight w:val="none"/>
              </w:rPr>
            </w:pPr>
          </w:p>
        </w:tc>
      </w:tr>
      <w:tr w14:paraId="093F7C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4891B4DD">
            <w:pPr>
              <w:rPr>
                <w:rFonts w:ascii="Arial"/>
                <w:color w:val="auto"/>
                <w:sz w:val="21"/>
                <w:highlight w:val="none"/>
              </w:rPr>
            </w:pPr>
          </w:p>
        </w:tc>
        <w:tc>
          <w:tcPr>
            <w:tcW w:w="1413" w:type="dxa"/>
            <w:vAlign w:val="top"/>
          </w:tcPr>
          <w:p w14:paraId="05AD2DE9">
            <w:pPr>
              <w:rPr>
                <w:rFonts w:ascii="Arial"/>
                <w:color w:val="auto"/>
                <w:sz w:val="21"/>
                <w:highlight w:val="none"/>
              </w:rPr>
            </w:pPr>
          </w:p>
        </w:tc>
        <w:tc>
          <w:tcPr>
            <w:tcW w:w="1134" w:type="dxa"/>
            <w:vAlign w:val="top"/>
          </w:tcPr>
          <w:p w14:paraId="14192D3B">
            <w:pPr>
              <w:rPr>
                <w:rFonts w:ascii="Arial"/>
                <w:color w:val="auto"/>
                <w:sz w:val="21"/>
                <w:highlight w:val="none"/>
              </w:rPr>
            </w:pPr>
          </w:p>
        </w:tc>
        <w:tc>
          <w:tcPr>
            <w:tcW w:w="1130" w:type="dxa"/>
            <w:vAlign w:val="top"/>
          </w:tcPr>
          <w:p w14:paraId="71C00A24">
            <w:pPr>
              <w:rPr>
                <w:rFonts w:ascii="Arial"/>
                <w:color w:val="auto"/>
                <w:sz w:val="21"/>
                <w:highlight w:val="none"/>
              </w:rPr>
            </w:pPr>
          </w:p>
        </w:tc>
        <w:tc>
          <w:tcPr>
            <w:tcW w:w="4261" w:type="dxa"/>
            <w:tcBorders>
              <w:right w:val="single" w:color="000000" w:sz="10" w:space="0"/>
            </w:tcBorders>
            <w:vAlign w:val="top"/>
          </w:tcPr>
          <w:p w14:paraId="360AAB46">
            <w:pPr>
              <w:rPr>
                <w:rFonts w:ascii="Arial"/>
                <w:color w:val="auto"/>
                <w:sz w:val="21"/>
                <w:highlight w:val="none"/>
              </w:rPr>
            </w:pPr>
          </w:p>
        </w:tc>
      </w:tr>
      <w:tr w14:paraId="2B1DA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2CE71AD3">
            <w:pPr>
              <w:rPr>
                <w:rFonts w:ascii="Arial"/>
                <w:color w:val="auto"/>
                <w:sz w:val="21"/>
                <w:highlight w:val="none"/>
              </w:rPr>
            </w:pPr>
          </w:p>
        </w:tc>
        <w:tc>
          <w:tcPr>
            <w:tcW w:w="1413" w:type="dxa"/>
            <w:vAlign w:val="top"/>
          </w:tcPr>
          <w:p w14:paraId="72C26935">
            <w:pPr>
              <w:rPr>
                <w:rFonts w:ascii="Arial"/>
                <w:color w:val="auto"/>
                <w:sz w:val="21"/>
                <w:highlight w:val="none"/>
              </w:rPr>
            </w:pPr>
          </w:p>
        </w:tc>
        <w:tc>
          <w:tcPr>
            <w:tcW w:w="1134" w:type="dxa"/>
            <w:vAlign w:val="top"/>
          </w:tcPr>
          <w:p w14:paraId="68BCA4F6">
            <w:pPr>
              <w:rPr>
                <w:rFonts w:ascii="Arial"/>
                <w:color w:val="auto"/>
                <w:sz w:val="21"/>
                <w:highlight w:val="none"/>
              </w:rPr>
            </w:pPr>
          </w:p>
        </w:tc>
        <w:tc>
          <w:tcPr>
            <w:tcW w:w="1130" w:type="dxa"/>
            <w:vAlign w:val="top"/>
          </w:tcPr>
          <w:p w14:paraId="356A58A4">
            <w:pPr>
              <w:rPr>
                <w:rFonts w:ascii="Arial"/>
                <w:color w:val="auto"/>
                <w:sz w:val="21"/>
                <w:highlight w:val="none"/>
              </w:rPr>
            </w:pPr>
          </w:p>
        </w:tc>
        <w:tc>
          <w:tcPr>
            <w:tcW w:w="4261" w:type="dxa"/>
            <w:tcBorders>
              <w:right w:val="single" w:color="000000" w:sz="10" w:space="0"/>
            </w:tcBorders>
            <w:vAlign w:val="top"/>
          </w:tcPr>
          <w:p w14:paraId="2E8C6EC0">
            <w:pPr>
              <w:rPr>
                <w:rFonts w:ascii="Arial"/>
                <w:color w:val="auto"/>
                <w:sz w:val="21"/>
                <w:highlight w:val="none"/>
              </w:rPr>
            </w:pPr>
          </w:p>
        </w:tc>
      </w:tr>
      <w:tr w14:paraId="770B7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880" w:type="dxa"/>
            <w:vMerge w:val="continue"/>
            <w:tcBorders>
              <w:top w:val="nil"/>
              <w:left w:val="single" w:color="000000" w:sz="10" w:space="0"/>
              <w:bottom w:val="single" w:color="000000" w:sz="10" w:space="0"/>
            </w:tcBorders>
            <w:vAlign w:val="top"/>
          </w:tcPr>
          <w:p w14:paraId="5C833540">
            <w:pPr>
              <w:rPr>
                <w:rFonts w:ascii="Arial"/>
                <w:color w:val="auto"/>
                <w:sz w:val="21"/>
                <w:highlight w:val="none"/>
              </w:rPr>
            </w:pPr>
          </w:p>
        </w:tc>
        <w:tc>
          <w:tcPr>
            <w:tcW w:w="1413" w:type="dxa"/>
            <w:tcBorders>
              <w:bottom w:val="single" w:color="000000" w:sz="10" w:space="0"/>
            </w:tcBorders>
            <w:vAlign w:val="top"/>
          </w:tcPr>
          <w:p w14:paraId="02F65C67">
            <w:pPr>
              <w:rPr>
                <w:rFonts w:ascii="Arial"/>
                <w:color w:val="auto"/>
                <w:sz w:val="21"/>
                <w:highlight w:val="none"/>
              </w:rPr>
            </w:pPr>
          </w:p>
        </w:tc>
        <w:tc>
          <w:tcPr>
            <w:tcW w:w="1134" w:type="dxa"/>
            <w:tcBorders>
              <w:bottom w:val="single" w:color="000000" w:sz="10" w:space="0"/>
            </w:tcBorders>
            <w:vAlign w:val="top"/>
          </w:tcPr>
          <w:p w14:paraId="03E04271">
            <w:pPr>
              <w:rPr>
                <w:rFonts w:ascii="Arial"/>
                <w:color w:val="auto"/>
                <w:sz w:val="21"/>
                <w:highlight w:val="none"/>
              </w:rPr>
            </w:pPr>
          </w:p>
        </w:tc>
        <w:tc>
          <w:tcPr>
            <w:tcW w:w="1130" w:type="dxa"/>
            <w:tcBorders>
              <w:bottom w:val="single" w:color="000000" w:sz="10" w:space="0"/>
            </w:tcBorders>
            <w:vAlign w:val="top"/>
          </w:tcPr>
          <w:p w14:paraId="686B8209">
            <w:pPr>
              <w:rPr>
                <w:rFonts w:ascii="Arial"/>
                <w:color w:val="auto"/>
                <w:sz w:val="21"/>
                <w:highlight w:val="none"/>
              </w:rPr>
            </w:pPr>
          </w:p>
        </w:tc>
        <w:tc>
          <w:tcPr>
            <w:tcW w:w="4261" w:type="dxa"/>
            <w:tcBorders>
              <w:bottom w:val="single" w:color="000000" w:sz="10" w:space="0"/>
              <w:right w:val="single" w:color="000000" w:sz="10" w:space="0"/>
            </w:tcBorders>
            <w:vAlign w:val="top"/>
          </w:tcPr>
          <w:p w14:paraId="03751770">
            <w:pPr>
              <w:rPr>
                <w:rFonts w:ascii="Arial"/>
                <w:color w:val="auto"/>
                <w:sz w:val="21"/>
                <w:highlight w:val="none"/>
              </w:rPr>
            </w:pPr>
          </w:p>
        </w:tc>
      </w:tr>
    </w:tbl>
    <w:p w14:paraId="37DA835B">
      <w:pPr>
        <w:pStyle w:val="3"/>
        <w:rPr>
          <w:color w:val="auto"/>
          <w:highlight w:val="none"/>
        </w:rPr>
      </w:pPr>
    </w:p>
    <w:p w14:paraId="71D6A729">
      <w:pPr>
        <w:rPr>
          <w:color w:val="auto"/>
          <w:highlight w:val="none"/>
        </w:rPr>
        <w:sectPr>
          <w:footerReference r:id="rId163" w:type="default"/>
          <w:pgSz w:w="11905" w:h="16839"/>
          <w:pgMar w:top="400" w:right="1027" w:bottom="1004" w:left="1032" w:header="0" w:footer="828" w:gutter="0"/>
          <w:pgNumType w:fmt="decimal"/>
          <w:cols w:space="720" w:num="1"/>
        </w:sectPr>
      </w:pPr>
    </w:p>
    <w:p w14:paraId="5707E793">
      <w:pPr>
        <w:pStyle w:val="3"/>
        <w:spacing w:line="276" w:lineRule="auto"/>
        <w:rPr>
          <w:color w:val="auto"/>
          <w:highlight w:val="none"/>
        </w:rPr>
      </w:pPr>
    </w:p>
    <w:p w14:paraId="09861F85">
      <w:pPr>
        <w:pStyle w:val="3"/>
        <w:spacing w:line="276" w:lineRule="auto"/>
        <w:rPr>
          <w:color w:val="auto"/>
          <w:highlight w:val="none"/>
        </w:rPr>
      </w:pPr>
    </w:p>
    <w:p w14:paraId="043B199D">
      <w:pPr>
        <w:pStyle w:val="3"/>
        <w:spacing w:line="276" w:lineRule="auto"/>
        <w:rPr>
          <w:color w:val="auto"/>
          <w:highlight w:val="none"/>
        </w:rPr>
      </w:pPr>
    </w:p>
    <w:p w14:paraId="690B2CCE">
      <w:pPr>
        <w:pStyle w:val="3"/>
        <w:spacing w:line="276" w:lineRule="auto"/>
        <w:rPr>
          <w:color w:val="auto"/>
          <w:highlight w:val="none"/>
        </w:rPr>
      </w:pPr>
    </w:p>
    <w:p w14:paraId="6CED38CD">
      <w:pPr>
        <w:spacing w:before="78" w:line="219" w:lineRule="auto"/>
        <w:ind w:left="38"/>
        <w:rPr>
          <w:rFonts w:ascii="宋体" w:hAnsi="宋体" w:eastAsia="宋体" w:cs="宋体"/>
          <w:color w:val="auto"/>
          <w:sz w:val="24"/>
          <w:szCs w:val="24"/>
          <w:highlight w:val="none"/>
        </w:rPr>
      </w:pPr>
      <w:r>
        <w:rPr>
          <w:rFonts w:ascii="宋体" w:hAnsi="宋体" w:eastAsia="宋体" w:cs="宋体"/>
          <w:color w:val="auto"/>
          <w:spacing w:val="-11"/>
          <w:sz w:val="24"/>
          <w:szCs w:val="24"/>
          <w:highlight w:val="none"/>
        </w:rPr>
        <w:t>附件</w:t>
      </w:r>
      <w:r>
        <w:rPr>
          <w:rFonts w:ascii="宋体" w:hAnsi="宋体" w:eastAsia="宋体" w:cs="宋体"/>
          <w:color w:val="auto"/>
          <w:spacing w:val="-47"/>
          <w:sz w:val="24"/>
          <w:szCs w:val="24"/>
          <w:highlight w:val="none"/>
        </w:rPr>
        <w:t xml:space="preserve"> </w:t>
      </w:r>
      <w:r>
        <w:rPr>
          <w:rFonts w:ascii="Times New Roman" w:hAnsi="Times New Roman" w:eastAsia="Times New Roman" w:cs="Times New Roman"/>
          <w:color w:val="auto"/>
          <w:spacing w:val="-11"/>
          <w:sz w:val="24"/>
          <w:szCs w:val="24"/>
          <w:highlight w:val="none"/>
        </w:rPr>
        <w:t>8</w:t>
      </w:r>
      <w:r>
        <w:rPr>
          <w:rFonts w:ascii="宋体" w:hAnsi="宋体" w:eastAsia="宋体" w:cs="宋体"/>
          <w:color w:val="auto"/>
          <w:spacing w:val="-11"/>
          <w:sz w:val="24"/>
          <w:szCs w:val="24"/>
          <w:highlight w:val="none"/>
        </w:rPr>
        <w:t>：</w:t>
      </w:r>
    </w:p>
    <w:p w14:paraId="61D8C4C6">
      <w:pPr>
        <w:spacing w:before="243" w:line="225" w:lineRule="auto"/>
        <w:ind w:left="3338"/>
        <w:rPr>
          <w:rFonts w:ascii="黑体" w:hAnsi="黑体" w:eastAsia="黑体" w:cs="黑体"/>
          <w:color w:val="auto"/>
          <w:sz w:val="27"/>
          <w:szCs w:val="27"/>
          <w:highlight w:val="none"/>
        </w:rPr>
      </w:pPr>
      <w:bookmarkStart w:id="1284" w:name="bookmark230"/>
      <w:bookmarkEnd w:id="1284"/>
      <w:r>
        <w:rPr>
          <w:rFonts w:ascii="黑体" w:hAnsi="黑体" w:eastAsia="黑体" w:cs="黑体"/>
          <w:color w:val="auto"/>
          <w:spacing w:val="7"/>
          <w:sz w:val="27"/>
          <w:szCs w:val="27"/>
          <w:highlight w:val="none"/>
        </w:rPr>
        <w:t>履约担保格式</w:t>
      </w:r>
    </w:p>
    <w:p w14:paraId="63922B21">
      <w:pPr>
        <w:spacing w:before="142" w:line="221" w:lineRule="auto"/>
        <w:ind w:left="6550"/>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编号：</w:t>
      </w:r>
    </w:p>
    <w:p w14:paraId="52265A04">
      <w:pPr>
        <w:spacing w:before="157" w:line="412" w:lineRule="exact"/>
        <w:ind w:left="45"/>
        <w:rPr>
          <w:rFonts w:ascii="宋体" w:hAnsi="宋体" w:eastAsia="宋体" w:cs="宋体"/>
          <w:color w:val="auto"/>
          <w:sz w:val="21"/>
          <w:szCs w:val="21"/>
          <w:highlight w:val="none"/>
        </w:rPr>
      </w:pPr>
      <w:r>
        <w:rPr>
          <w:rFonts w:ascii="宋体" w:hAnsi="宋体" w:eastAsia="宋体" w:cs="宋体"/>
          <w:color w:val="auto"/>
          <w:spacing w:val="-15"/>
          <w:position w:val="15"/>
          <w:sz w:val="21"/>
          <w:szCs w:val="21"/>
          <w:highlight w:val="none"/>
        </w:rPr>
        <w:t>申请人：</w:t>
      </w:r>
    </w:p>
    <w:p w14:paraId="0A76EEC7">
      <w:pPr>
        <w:spacing w:before="1" w:line="229" w:lineRule="auto"/>
        <w:ind w:left="1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地</w:t>
      </w:r>
      <w:r>
        <w:rPr>
          <w:rFonts w:ascii="宋体" w:hAnsi="宋体" w:eastAsia="宋体" w:cs="宋体"/>
          <w:color w:val="auto"/>
          <w:spacing w:val="5"/>
          <w:sz w:val="21"/>
          <w:szCs w:val="21"/>
          <w:highlight w:val="none"/>
        </w:rPr>
        <w:t xml:space="preserve">  </w:t>
      </w:r>
      <w:r>
        <w:rPr>
          <w:rFonts w:ascii="宋体" w:hAnsi="宋体" w:eastAsia="宋体" w:cs="宋体"/>
          <w:color w:val="auto"/>
          <w:spacing w:val="-5"/>
          <w:sz w:val="21"/>
          <w:szCs w:val="21"/>
          <w:highlight w:val="none"/>
        </w:rPr>
        <w:t>址：</w:t>
      </w:r>
    </w:p>
    <w:p w14:paraId="3DD41F3A">
      <w:pPr>
        <w:spacing w:before="146" w:line="223" w:lineRule="auto"/>
        <w:ind w:left="22"/>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受益人：</w:t>
      </w:r>
    </w:p>
    <w:p w14:paraId="1E33C94A">
      <w:pPr>
        <w:spacing w:before="155" w:line="230" w:lineRule="auto"/>
        <w:ind w:left="1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地</w:t>
      </w:r>
      <w:r>
        <w:rPr>
          <w:rFonts w:ascii="宋体" w:hAnsi="宋体" w:eastAsia="宋体" w:cs="宋体"/>
          <w:color w:val="auto"/>
          <w:spacing w:val="5"/>
          <w:sz w:val="21"/>
          <w:szCs w:val="21"/>
          <w:highlight w:val="none"/>
        </w:rPr>
        <w:t xml:space="preserve">  </w:t>
      </w:r>
      <w:r>
        <w:rPr>
          <w:rFonts w:ascii="宋体" w:hAnsi="宋体" w:eastAsia="宋体" w:cs="宋体"/>
          <w:color w:val="auto"/>
          <w:spacing w:val="-5"/>
          <w:sz w:val="21"/>
          <w:szCs w:val="21"/>
          <w:highlight w:val="none"/>
        </w:rPr>
        <w:t>址：</w:t>
      </w:r>
    </w:p>
    <w:p w14:paraId="5547196C">
      <w:pPr>
        <w:spacing w:before="146" w:line="222" w:lineRule="auto"/>
        <w:ind w:left="19"/>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开立人：</w:t>
      </w:r>
    </w:p>
    <w:p w14:paraId="1B9866F0">
      <w:pPr>
        <w:spacing w:before="156" w:line="230" w:lineRule="auto"/>
        <w:ind w:left="1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地</w:t>
      </w:r>
      <w:r>
        <w:rPr>
          <w:rFonts w:ascii="宋体" w:hAnsi="宋体" w:eastAsia="宋体" w:cs="宋体"/>
          <w:color w:val="auto"/>
          <w:spacing w:val="5"/>
          <w:sz w:val="21"/>
          <w:szCs w:val="21"/>
          <w:highlight w:val="none"/>
        </w:rPr>
        <w:t xml:space="preserve">  </w:t>
      </w:r>
      <w:r>
        <w:rPr>
          <w:rFonts w:ascii="宋体" w:hAnsi="宋体" w:eastAsia="宋体" w:cs="宋体"/>
          <w:color w:val="auto"/>
          <w:spacing w:val="-5"/>
          <w:sz w:val="21"/>
          <w:szCs w:val="21"/>
          <w:highlight w:val="none"/>
        </w:rPr>
        <w:t>址：</w:t>
      </w:r>
    </w:p>
    <w:p w14:paraId="0B98F0FD">
      <w:pPr>
        <w:pStyle w:val="3"/>
        <w:spacing w:line="241" w:lineRule="auto"/>
        <w:rPr>
          <w:color w:val="auto"/>
          <w:highlight w:val="none"/>
        </w:rPr>
      </w:pPr>
    </w:p>
    <w:p w14:paraId="66CAB080">
      <w:pPr>
        <w:pStyle w:val="3"/>
        <w:spacing w:line="241" w:lineRule="auto"/>
        <w:rPr>
          <w:color w:val="auto"/>
          <w:highlight w:val="none"/>
        </w:rPr>
      </w:pPr>
    </w:p>
    <w:p w14:paraId="06EDEB90">
      <w:pPr>
        <w:tabs>
          <w:tab w:val="left" w:pos="1483"/>
        </w:tabs>
        <w:spacing w:before="69" w:line="223" w:lineRule="auto"/>
        <w:ind w:left="1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13"/>
          <w:sz w:val="21"/>
          <w:szCs w:val="21"/>
          <w:highlight w:val="none"/>
        </w:rPr>
        <w:t>（受益人名称</w:t>
      </w:r>
      <w:r>
        <w:rPr>
          <w:rFonts w:ascii="宋体" w:hAnsi="宋体" w:eastAsia="宋体" w:cs="宋体"/>
          <w:color w:val="auto"/>
          <w:spacing w:val="-20"/>
          <w:sz w:val="21"/>
          <w:szCs w:val="21"/>
          <w:highlight w:val="none"/>
        </w:rPr>
        <w:t>）：</w:t>
      </w:r>
    </w:p>
    <w:p w14:paraId="275F4349">
      <w:pPr>
        <w:spacing w:before="153" w:line="360" w:lineRule="auto"/>
        <w:ind w:left="17" w:right="1" w:firstLine="426"/>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鉴于</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81"/>
          <w:sz w:val="21"/>
          <w:szCs w:val="21"/>
          <w:highlight w:val="none"/>
        </w:rPr>
        <w:t xml:space="preserve"> </w:t>
      </w:r>
      <w:r>
        <w:rPr>
          <w:rFonts w:ascii="宋体" w:hAnsi="宋体" w:eastAsia="宋体" w:cs="宋体"/>
          <w:color w:val="auto"/>
          <w:spacing w:val="-5"/>
          <w:sz w:val="21"/>
          <w:szCs w:val="21"/>
          <w:highlight w:val="none"/>
        </w:rPr>
        <w:t>工程（以下简称“本工程”）的《中标通知书》及</w:t>
      </w:r>
      <w:r>
        <w:rPr>
          <w:rFonts w:ascii="宋体" w:hAnsi="宋体" w:eastAsia="宋体" w:cs="宋体"/>
          <w:color w:val="auto"/>
          <w:spacing w:val="-103"/>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5"/>
          <w:sz w:val="21"/>
          <w:szCs w:val="21"/>
          <w:highlight w:val="none"/>
        </w:rPr>
        <w:t xml:space="preserve"> （以下简</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称“受益人”）与</w:t>
      </w:r>
      <w:r>
        <w:rPr>
          <w:rFonts w:ascii="宋体" w:hAnsi="宋体" w:eastAsia="宋体" w:cs="宋体"/>
          <w:color w:val="auto"/>
          <w:spacing w:val="-105"/>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47"/>
          <w:sz w:val="21"/>
          <w:szCs w:val="21"/>
          <w:highlight w:val="none"/>
        </w:rPr>
        <w:t xml:space="preserve"> </w:t>
      </w:r>
      <w:r>
        <w:rPr>
          <w:rFonts w:ascii="宋体" w:hAnsi="宋体" w:eastAsia="宋体" w:cs="宋体"/>
          <w:color w:val="auto"/>
          <w:spacing w:val="-3"/>
          <w:sz w:val="21"/>
          <w:szCs w:val="21"/>
          <w:highlight w:val="none"/>
        </w:rPr>
        <w:t>（以下简称“</w:t>
      </w:r>
      <w:r>
        <w:rPr>
          <w:rFonts w:ascii="宋体" w:hAnsi="宋体" w:eastAsia="宋体" w:cs="宋体"/>
          <w:color w:val="auto"/>
          <w:spacing w:val="-75"/>
          <w:sz w:val="21"/>
          <w:szCs w:val="21"/>
          <w:highlight w:val="none"/>
        </w:rPr>
        <w:t xml:space="preserve"> </w:t>
      </w:r>
      <w:r>
        <w:rPr>
          <w:rFonts w:ascii="宋体" w:hAnsi="宋体" w:eastAsia="宋体" w:cs="宋体"/>
          <w:color w:val="auto"/>
          <w:spacing w:val="-3"/>
          <w:sz w:val="21"/>
          <w:szCs w:val="21"/>
          <w:highlight w:val="none"/>
        </w:rPr>
        <w:t>申请人</w:t>
      </w:r>
      <w:r>
        <w:rPr>
          <w:rFonts w:ascii="宋体" w:hAnsi="宋体" w:eastAsia="宋体" w:cs="宋体"/>
          <w:color w:val="auto"/>
          <w:spacing w:val="-77"/>
          <w:sz w:val="21"/>
          <w:szCs w:val="21"/>
          <w:highlight w:val="none"/>
        </w:rPr>
        <w:t xml:space="preserve"> </w:t>
      </w:r>
      <w:r>
        <w:rPr>
          <w:rFonts w:ascii="宋体" w:hAnsi="宋体" w:eastAsia="宋体" w:cs="宋体"/>
          <w:color w:val="auto"/>
          <w:spacing w:val="-3"/>
          <w:sz w:val="21"/>
          <w:szCs w:val="21"/>
          <w:highlight w:val="none"/>
        </w:rPr>
        <w:t>”）关于本工程签订/拟签订的</w:t>
      </w:r>
      <w:r>
        <w:rPr>
          <w:rFonts w:ascii="宋体" w:hAnsi="宋体" w:eastAsia="宋体" w:cs="宋体"/>
          <w:color w:val="auto"/>
          <w:spacing w:val="-4"/>
          <w:sz w:val="21"/>
          <w:szCs w:val="21"/>
          <w:highlight w:val="none"/>
        </w:rPr>
        <w:t>合同（以</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下均简称“基础合同”）和有关事项，我方（即“</w:t>
      </w:r>
      <w:r>
        <w:rPr>
          <w:rFonts w:ascii="宋体" w:hAnsi="宋体" w:eastAsia="宋体" w:cs="宋体"/>
          <w:color w:val="auto"/>
          <w:spacing w:val="-3"/>
          <w:sz w:val="21"/>
          <w:szCs w:val="21"/>
          <w:highlight w:val="none"/>
        </w:rPr>
        <w:t>开立人”）根据基础合同了解到申请人为</w:t>
      </w:r>
      <w:r>
        <w:rPr>
          <w:rFonts w:ascii="宋体" w:hAnsi="宋体" w:eastAsia="宋体" w:cs="宋体"/>
          <w:color w:val="auto"/>
          <w:sz w:val="21"/>
          <w:szCs w:val="21"/>
          <w:highlight w:val="none"/>
        </w:rPr>
        <w:t xml:space="preserve"> 基础合同项下之承包人，受益人为基础合同项下之发包人， 基于申请人的请求，我方同意</w:t>
      </w:r>
      <w:r>
        <w:rPr>
          <w:rFonts w:ascii="宋体" w:hAnsi="宋体" w:eastAsia="宋体" w:cs="宋体"/>
          <w:color w:val="auto"/>
          <w:spacing w:val="12"/>
          <w:sz w:val="21"/>
          <w:szCs w:val="21"/>
          <w:highlight w:val="none"/>
        </w:rPr>
        <w:t xml:space="preserve"> </w:t>
      </w:r>
      <w:r>
        <w:rPr>
          <w:rFonts w:ascii="宋体" w:hAnsi="宋体" w:eastAsia="宋体" w:cs="宋体"/>
          <w:color w:val="auto"/>
          <w:spacing w:val="3"/>
          <w:sz w:val="21"/>
          <w:szCs w:val="21"/>
          <w:highlight w:val="none"/>
        </w:rPr>
        <w:t>就申请人履行与贵方签订的基础合同项下的义务，向贵方提供不可撤销、不可转让的见索</w:t>
      </w:r>
    </w:p>
    <w:p w14:paraId="1C7C3F6A">
      <w:pPr>
        <w:spacing w:before="1" w:line="219" w:lineRule="auto"/>
        <w:ind w:left="33"/>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即付独立保函（以下简称“本保函”）。</w:t>
      </w:r>
    </w:p>
    <w:p w14:paraId="5C98D949">
      <w:pPr>
        <w:spacing w:before="158" w:line="408" w:lineRule="exact"/>
        <w:ind w:right="12"/>
        <w:jc w:val="right"/>
        <w:rPr>
          <w:rFonts w:ascii="宋体" w:hAnsi="宋体" w:eastAsia="宋体" w:cs="宋体"/>
          <w:color w:val="auto"/>
          <w:sz w:val="21"/>
          <w:szCs w:val="21"/>
          <w:highlight w:val="none"/>
        </w:rPr>
      </w:pPr>
      <w:r>
        <w:rPr>
          <w:rFonts w:ascii="宋体" w:hAnsi="宋体" w:eastAsia="宋体" w:cs="宋体"/>
          <w:color w:val="auto"/>
          <w:spacing w:val="-3"/>
          <w:position w:val="15"/>
          <w:sz w:val="21"/>
          <w:szCs w:val="21"/>
          <w:highlight w:val="none"/>
        </w:rPr>
        <w:t>一、本保函担保范围： 承包人未按照基础合同的约定履行义务， 应当向贵方承担的违</w:t>
      </w:r>
    </w:p>
    <w:p w14:paraId="0F788EA7">
      <w:pPr>
        <w:spacing w:line="220" w:lineRule="auto"/>
        <w:ind w:left="2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约责任和赔偿因此造成的损失、利息、律师费、诉讼费用等实现债权的费用。</w:t>
      </w:r>
    </w:p>
    <w:p w14:paraId="23FFEDA9">
      <w:pPr>
        <w:spacing w:before="157" w:line="220" w:lineRule="auto"/>
        <w:ind w:left="4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二、本保函担保金额最高不超过人民币（大写）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89"/>
          <w:sz w:val="21"/>
          <w:szCs w:val="21"/>
          <w:highlight w:val="none"/>
        </w:rPr>
        <w:t xml:space="preserve"> </w:t>
      </w:r>
      <w:r>
        <w:rPr>
          <w:rFonts w:ascii="宋体" w:hAnsi="宋体" w:eastAsia="宋体" w:cs="宋体"/>
          <w:color w:val="auto"/>
          <w:spacing w:val="-1"/>
          <w:sz w:val="21"/>
          <w:szCs w:val="21"/>
          <w:highlight w:val="none"/>
        </w:rPr>
        <w:t>元(¥</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74"/>
          <w:sz w:val="21"/>
          <w:szCs w:val="21"/>
          <w:highlight w:val="none"/>
        </w:rPr>
        <w:t xml:space="preserve"> </w:t>
      </w:r>
      <w:r>
        <w:rPr>
          <w:rFonts w:ascii="宋体" w:hAnsi="宋体" w:eastAsia="宋体" w:cs="宋体"/>
          <w:color w:val="auto"/>
          <w:spacing w:val="-1"/>
          <w:sz w:val="21"/>
          <w:szCs w:val="21"/>
          <w:highlight w:val="none"/>
        </w:rPr>
        <w:t>)。</w:t>
      </w:r>
    </w:p>
    <w:p w14:paraId="4E9550D0">
      <w:pPr>
        <w:spacing w:before="158" w:line="359" w:lineRule="auto"/>
        <w:ind w:right="1"/>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三、本保函有效期自开立之日起至基础合同约定的缺陷责</w:t>
      </w:r>
      <w:r>
        <w:rPr>
          <w:rFonts w:ascii="宋体" w:hAnsi="宋体" w:eastAsia="宋体" w:cs="宋体"/>
          <w:color w:val="auto"/>
          <w:spacing w:val="-2"/>
          <w:sz w:val="21"/>
          <w:szCs w:val="21"/>
          <w:highlight w:val="none"/>
        </w:rPr>
        <w:t>任期后</w:t>
      </w:r>
      <w:r>
        <w:rPr>
          <w:rFonts w:ascii="宋体" w:hAnsi="宋体" w:eastAsia="宋体" w:cs="宋体"/>
          <w:color w:val="auto"/>
          <w:spacing w:val="-105"/>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59"/>
          <w:sz w:val="21"/>
          <w:szCs w:val="21"/>
          <w:highlight w:val="none"/>
        </w:rPr>
        <w:t xml:space="preserve"> </w:t>
      </w:r>
      <w:r>
        <w:rPr>
          <w:rFonts w:ascii="宋体" w:hAnsi="宋体" w:eastAsia="宋体" w:cs="宋体"/>
          <w:color w:val="auto"/>
          <w:spacing w:val="-2"/>
          <w:sz w:val="21"/>
          <w:szCs w:val="21"/>
          <w:highlight w:val="none"/>
        </w:rPr>
        <w:t>日止，最迟不超过</w:t>
      </w:r>
    </w:p>
    <w:p w14:paraId="6D224A06">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16"/>
          <w:sz w:val="21"/>
          <w:szCs w:val="21"/>
          <w:highlight w:val="none"/>
        </w:rPr>
        <w:t>年</w:t>
      </w:r>
      <w:r>
        <w:rPr>
          <w:rFonts w:ascii="宋体" w:hAnsi="宋体" w:eastAsia="宋体" w:cs="宋体"/>
          <w:color w:val="auto"/>
          <w:spacing w:val="-105"/>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0"/>
          <w:sz w:val="21"/>
          <w:szCs w:val="21"/>
          <w:highlight w:val="none"/>
        </w:rPr>
        <w:t xml:space="preserve"> </w:t>
      </w:r>
      <w:r>
        <w:rPr>
          <w:rFonts w:ascii="宋体" w:hAnsi="宋体" w:eastAsia="宋体" w:cs="宋体"/>
          <w:color w:val="auto"/>
          <w:spacing w:val="-16"/>
          <w:sz w:val="21"/>
          <w:szCs w:val="21"/>
          <w:highlight w:val="none"/>
        </w:rPr>
        <w:t>月</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59"/>
          <w:sz w:val="21"/>
          <w:szCs w:val="21"/>
          <w:highlight w:val="none"/>
        </w:rPr>
        <w:t xml:space="preserve"> </w:t>
      </w:r>
      <w:r>
        <w:rPr>
          <w:rFonts w:ascii="宋体" w:hAnsi="宋体" w:eastAsia="宋体" w:cs="宋体"/>
          <w:color w:val="auto"/>
          <w:spacing w:val="-16"/>
          <w:sz w:val="21"/>
          <w:szCs w:val="21"/>
          <w:highlight w:val="none"/>
        </w:rPr>
        <w:t>日。</w:t>
      </w:r>
    </w:p>
    <w:p w14:paraId="4D709EB0">
      <w:pPr>
        <w:spacing w:before="157" w:line="363" w:lineRule="auto"/>
        <w:ind w:right="3"/>
        <w:jc w:val="right"/>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四、我方承诺，在收到受益人发来的书面付款通知后的</w:t>
      </w:r>
      <w:r>
        <w:rPr>
          <w:rFonts w:ascii="宋体" w:hAnsi="宋体" w:eastAsia="宋体" w:cs="宋体"/>
          <w:color w:val="auto"/>
          <w:spacing w:val="-100"/>
          <w:sz w:val="21"/>
          <w:szCs w:val="21"/>
          <w:highlight w:val="none"/>
        </w:rPr>
        <w:t xml:space="preserve"> </w:t>
      </w:r>
      <w:r>
        <w:rPr>
          <w:rFonts w:ascii="宋体" w:hAnsi="宋体" w:eastAsia="宋体" w:cs="宋体"/>
          <w:color w:val="auto"/>
          <w:spacing w:val="15"/>
          <w:sz w:val="21"/>
          <w:szCs w:val="21"/>
          <w:highlight w:val="none"/>
          <w:u w:val="single" w:color="auto"/>
        </w:rPr>
        <w:t xml:space="preserve">    </w:t>
      </w:r>
      <w:r>
        <w:rPr>
          <w:rFonts w:ascii="宋体" w:hAnsi="宋体" w:eastAsia="宋体" w:cs="宋体"/>
          <w:color w:val="auto"/>
          <w:spacing w:val="-61"/>
          <w:sz w:val="21"/>
          <w:szCs w:val="21"/>
          <w:highlight w:val="none"/>
        </w:rPr>
        <w:t xml:space="preserve"> </w:t>
      </w:r>
      <w:r>
        <w:rPr>
          <w:rFonts w:ascii="宋体" w:hAnsi="宋体" w:eastAsia="宋体" w:cs="宋体"/>
          <w:color w:val="auto"/>
          <w:spacing w:val="-2"/>
          <w:sz w:val="21"/>
          <w:szCs w:val="21"/>
          <w:highlight w:val="none"/>
        </w:rPr>
        <w:t>日内无条件支付，前述书</w:t>
      </w:r>
    </w:p>
    <w:p w14:paraId="020E8C7E">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面付款通知即为付款要求之单据，且应满足以下要求：</w:t>
      </w:r>
    </w:p>
    <w:p w14:paraId="08E9F2E2">
      <w:pPr>
        <w:spacing w:before="158"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（1）付款通知到达的日期在本保函的有效期内；</w:t>
      </w:r>
    </w:p>
    <w:p w14:paraId="1C0C4FE4">
      <w:pPr>
        <w:spacing w:before="157" w:line="221"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（2）载明要求支付的金额；</w:t>
      </w:r>
    </w:p>
    <w:p w14:paraId="6B77D84D">
      <w:pPr>
        <w:spacing w:before="157"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（3）载明申请人违反合同义务的条款和内</w:t>
      </w:r>
      <w:r>
        <w:rPr>
          <w:rFonts w:ascii="宋体" w:hAnsi="宋体" w:eastAsia="宋体" w:cs="宋体"/>
          <w:color w:val="auto"/>
          <w:spacing w:val="-3"/>
          <w:sz w:val="21"/>
          <w:szCs w:val="21"/>
          <w:highlight w:val="none"/>
        </w:rPr>
        <w:t>容；</w:t>
      </w:r>
    </w:p>
    <w:p w14:paraId="6B517B4B">
      <w:pPr>
        <w:spacing w:before="157"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（4）声明不存在合同文件约定或我国法律规定免除申请人或开立人支付责任的情形；</w:t>
      </w:r>
    </w:p>
    <w:p w14:paraId="3844E12A">
      <w:pPr>
        <w:spacing w:before="157"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（5）付款通知应在本保函有效期内到达的地</w:t>
      </w:r>
      <w:r>
        <w:rPr>
          <w:rFonts w:ascii="宋体" w:hAnsi="宋体" w:eastAsia="宋体" w:cs="宋体"/>
          <w:color w:val="auto"/>
          <w:spacing w:val="-3"/>
          <w:sz w:val="21"/>
          <w:szCs w:val="21"/>
          <w:highlight w:val="none"/>
        </w:rPr>
        <w:t>址是：</w:t>
      </w:r>
      <w:r>
        <w:rPr>
          <w:rFonts w:ascii="宋体" w:hAnsi="宋体" w:eastAsia="宋体" w:cs="宋体"/>
          <w:color w:val="auto"/>
          <w:spacing w:val="-27"/>
          <w:sz w:val="21"/>
          <w:szCs w:val="21"/>
          <w:highlight w:val="none"/>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3"/>
          <w:sz w:val="21"/>
          <w:szCs w:val="21"/>
          <w:highlight w:val="none"/>
        </w:rPr>
        <w:t>。</w:t>
      </w:r>
    </w:p>
    <w:p w14:paraId="2ED73223">
      <w:pPr>
        <w:spacing w:before="158" w:line="408"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5"/>
          <w:sz w:val="21"/>
          <w:szCs w:val="21"/>
          <w:highlight w:val="none"/>
        </w:rPr>
        <w:t>受益人发出的书面付款通知应由其为鉴明受益人法定代表人（负责人）或授权代</w:t>
      </w:r>
      <w:r>
        <w:rPr>
          <w:rFonts w:ascii="宋体" w:hAnsi="宋体" w:eastAsia="宋体" w:cs="宋体"/>
          <w:color w:val="auto"/>
          <w:spacing w:val="2"/>
          <w:position w:val="15"/>
          <w:sz w:val="21"/>
          <w:szCs w:val="21"/>
          <w:highlight w:val="none"/>
        </w:rPr>
        <w:t>理人</w:t>
      </w:r>
    </w:p>
    <w:p w14:paraId="6368D6E2">
      <w:pPr>
        <w:spacing w:before="1" w:line="219"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签字并加盖公章。</w:t>
      </w:r>
    </w:p>
    <w:p w14:paraId="59D8CA38">
      <w:pPr>
        <w:spacing w:before="158" w:line="413" w:lineRule="exact"/>
        <w:jc w:val="right"/>
        <w:rPr>
          <w:rFonts w:ascii="宋体" w:hAnsi="宋体" w:eastAsia="宋体" w:cs="宋体"/>
          <w:color w:val="auto"/>
          <w:sz w:val="21"/>
          <w:szCs w:val="21"/>
          <w:highlight w:val="none"/>
        </w:rPr>
      </w:pPr>
      <w:r>
        <w:rPr>
          <w:rFonts w:ascii="宋体" w:hAnsi="宋体" w:eastAsia="宋体" w:cs="宋体"/>
          <w:color w:val="auto"/>
          <w:spacing w:val="-3"/>
          <w:position w:val="15"/>
          <w:sz w:val="21"/>
          <w:szCs w:val="21"/>
          <w:highlight w:val="none"/>
        </w:rPr>
        <w:t>五、</w:t>
      </w:r>
      <w:r>
        <w:rPr>
          <w:rFonts w:ascii="宋体" w:hAnsi="宋体" w:eastAsia="宋体" w:cs="宋体"/>
          <w:color w:val="auto"/>
          <w:spacing w:val="-16"/>
          <w:position w:val="15"/>
          <w:sz w:val="21"/>
          <w:szCs w:val="21"/>
          <w:highlight w:val="none"/>
        </w:rPr>
        <w:t xml:space="preserve"> </w:t>
      </w:r>
      <w:r>
        <w:rPr>
          <w:rFonts w:ascii="宋体" w:hAnsi="宋体" w:eastAsia="宋体" w:cs="宋体"/>
          <w:color w:val="auto"/>
          <w:spacing w:val="-3"/>
          <w:position w:val="15"/>
          <w:sz w:val="21"/>
          <w:szCs w:val="21"/>
          <w:highlight w:val="none"/>
        </w:rPr>
        <w:t>本保函项下的权利不得转让，不得设定担保。贵方未经我方书面同意转</w:t>
      </w:r>
      <w:r>
        <w:rPr>
          <w:rFonts w:ascii="宋体" w:hAnsi="宋体" w:eastAsia="宋体" w:cs="宋体"/>
          <w:color w:val="auto"/>
          <w:spacing w:val="33"/>
          <w:position w:val="15"/>
          <w:sz w:val="21"/>
          <w:szCs w:val="21"/>
          <w:highlight w:val="none"/>
        </w:rPr>
        <w:t xml:space="preserve"> </w:t>
      </w:r>
      <w:r>
        <w:rPr>
          <w:rFonts w:ascii="宋体" w:hAnsi="宋体" w:eastAsia="宋体" w:cs="宋体"/>
          <w:color w:val="auto"/>
          <w:spacing w:val="-3"/>
          <w:position w:val="15"/>
          <w:sz w:val="21"/>
          <w:szCs w:val="21"/>
          <w:highlight w:val="none"/>
        </w:rPr>
        <w:t>让本保函</w:t>
      </w:r>
    </w:p>
    <w:p w14:paraId="3B3F3FB0">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或其项下任何权利， 对我方不发生法律效力。</w:t>
      </w:r>
    </w:p>
    <w:p w14:paraId="3E64802B">
      <w:pPr>
        <w:spacing w:line="220" w:lineRule="auto"/>
        <w:rPr>
          <w:rFonts w:ascii="宋体" w:hAnsi="宋体" w:eastAsia="宋体" w:cs="宋体"/>
          <w:color w:val="auto"/>
          <w:sz w:val="21"/>
          <w:szCs w:val="21"/>
          <w:highlight w:val="none"/>
        </w:rPr>
        <w:sectPr>
          <w:footerReference r:id="rId164" w:type="default"/>
          <w:pgSz w:w="11905" w:h="16839"/>
          <w:pgMar w:top="400" w:right="1785" w:bottom="1004" w:left="1785" w:header="0" w:footer="828" w:gutter="0"/>
          <w:pgNumType w:fmt="decimal"/>
          <w:cols w:space="720" w:num="1"/>
        </w:sectPr>
      </w:pPr>
    </w:p>
    <w:p w14:paraId="64A1FCCA">
      <w:pPr>
        <w:pStyle w:val="3"/>
        <w:spacing w:line="248" w:lineRule="auto"/>
        <w:rPr>
          <w:color w:val="auto"/>
          <w:highlight w:val="none"/>
        </w:rPr>
      </w:pPr>
    </w:p>
    <w:p w14:paraId="766D2FBE">
      <w:pPr>
        <w:pStyle w:val="3"/>
        <w:spacing w:line="249" w:lineRule="auto"/>
        <w:rPr>
          <w:color w:val="auto"/>
          <w:highlight w:val="none"/>
        </w:rPr>
      </w:pPr>
    </w:p>
    <w:p w14:paraId="794D4F21">
      <w:pPr>
        <w:pStyle w:val="3"/>
        <w:spacing w:line="249" w:lineRule="auto"/>
        <w:rPr>
          <w:color w:val="auto"/>
          <w:highlight w:val="none"/>
        </w:rPr>
      </w:pPr>
    </w:p>
    <w:p w14:paraId="733F50B2">
      <w:pPr>
        <w:pStyle w:val="3"/>
        <w:spacing w:line="249" w:lineRule="auto"/>
        <w:rPr>
          <w:color w:val="auto"/>
          <w:highlight w:val="none"/>
        </w:rPr>
      </w:pPr>
    </w:p>
    <w:p w14:paraId="1B9A04EF">
      <w:pPr>
        <w:spacing w:before="69" w:line="408" w:lineRule="exact"/>
        <w:ind w:right="4"/>
        <w:jc w:val="right"/>
        <w:rPr>
          <w:rFonts w:ascii="宋体" w:hAnsi="宋体" w:eastAsia="宋体" w:cs="宋体"/>
          <w:color w:val="auto"/>
          <w:sz w:val="21"/>
          <w:szCs w:val="21"/>
          <w:highlight w:val="none"/>
        </w:rPr>
      </w:pPr>
      <w:r>
        <w:rPr>
          <w:rFonts w:ascii="宋体" w:hAnsi="宋体" w:eastAsia="宋体" w:cs="宋体"/>
          <w:color w:val="auto"/>
          <w:spacing w:val="3"/>
          <w:position w:val="15"/>
          <w:sz w:val="21"/>
          <w:szCs w:val="21"/>
          <w:highlight w:val="none"/>
        </w:rPr>
        <w:t>六、与本保函有关的基础合同不成立、不生效、无效、被撤销、被解除，不影响本保</w:t>
      </w:r>
    </w:p>
    <w:p w14:paraId="5704748B">
      <w:pPr>
        <w:spacing w:line="221" w:lineRule="auto"/>
        <w:ind w:left="3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函的独立有效。</w:t>
      </w:r>
    </w:p>
    <w:p w14:paraId="31F2AA70">
      <w:pPr>
        <w:spacing w:before="156" w:line="359" w:lineRule="auto"/>
        <w:ind w:left="20" w:right="5" w:firstLine="4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七、</w:t>
      </w:r>
      <w:r>
        <w:rPr>
          <w:rFonts w:ascii="宋体" w:hAnsi="宋体" w:eastAsia="宋体" w:cs="宋体"/>
          <w:color w:val="auto"/>
          <w:spacing w:val="-27"/>
          <w:sz w:val="21"/>
          <w:szCs w:val="21"/>
          <w:highlight w:val="none"/>
        </w:rPr>
        <w:t xml:space="preserve"> </w:t>
      </w:r>
      <w:r>
        <w:rPr>
          <w:rFonts w:ascii="宋体" w:hAnsi="宋体" w:eastAsia="宋体" w:cs="宋体"/>
          <w:color w:val="auto"/>
          <w:spacing w:val="1"/>
          <w:sz w:val="21"/>
          <w:szCs w:val="21"/>
          <w:highlight w:val="none"/>
        </w:rPr>
        <w:t>贵方应在本保函到期后的七日内将本保函正本退回我方注销，但是不论贵方是否</w:t>
      </w:r>
      <w:r>
        <w:rPr>
          <w:rFonts w:ascii="宋体" w:hAnsi="宋体" w:eastAsia="宋体" w:cs="宋体"/>
          <w:color w:val="auto"/>
          <w:sz w:val="21"/>
          <w:szCs w:val="21"/>
          <w:highlight w:val="none"/>
        </w:rPr>
        <w:t xml:space="preserve"> 按此要求将本保函正本退回我方， 我方在本保函项下的义务和责任均在保函有效期到期后</w:t>
      </w:r>
    </w:p>
    <w:p w14:paraId="2FCB6600">
      <w:pPr>
        <w:spacing w:line="221" w:lineRule="auto"/>
        <w:ind w:left="52"/>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自动消灭。</w:t>
      </w:r>
    </w:p>
    <w:p w14:paraId="1B7E1EED">
      <w:pPr>
        <w:spacing w:before="161" w:line="408" w:lineRule="exact"/>
        <w:ind w:right="13"/>
        <w:jc w:val="right"/>
        <w:rPr>
          <w:rFonts w:ascii="宋体" w:hAnsi="宋体" w:eastAsia="宋体" w:cs="宋体"/>
          <w:color w:val="auto"/>
          <w:sz w:val="21"/>
          <w:szCs w:val="21"/>
          <w:highlight w:val="none"/>
        </w:rPr>
      </w:pPr>
      <w:r>
        <w:rPr>
          <w:rFonts w:ascii="宋体" w:hAnsi="宋体" w:eastAsia="宋体" w:cs="宋体"/>
          <w:color w:val="auto"/>
          <w:spacing w:val="6"/>
          <w:position w:val="15"/>
          <w:sz w:val="21"/>
          <w:szCs w:val="21"/>
          <w:highlight w:val="none"/>
        </w:rPr>
        <w:t>八、 本保函适用的法律为中华人民共和国法律，</w:t>
      </w:r>
      <w:r>
        <w:rPr>
          <w:rFonts w:ascii="宋体" w:hAnsi="宋体" w:eastAsia="宋体" w:cs="宋体"/>
          <w:color w:val="auto"/>
          <w:spacing w:val="98"/>
          <w:position w:val="15"/>
          <w:sz w:val="21"/>
          <w:szCs w:val="21"/>
          <w:highlight w:val="none"/>
        </w:rPr>
        <w:t xml:space="preserve"> </w:t>
      </w:r>
      <w:r>
        <w:rPr>
          <w:rFonts w:ascii="宋体" w:hAnsi="宋体" w:eastAsia="宋体" w:cs="宋体"/>
          <w:color w:val="auto"/>
          <w:spacing w:val="6"/>
          <w:position w:val="15"/>
          <w:sz w:val="21"/>
          <w:szCs w:val="21"/>
          <w:highlight w:val="none"/>
        </w:rPr>
        <w:t>争议裁判管辖地为中华人民共和</w:t>
      </w:r>
    </w:p>
    <w:p w14:paraId="7DE52B90">
      <w:pPr>
        <w:spacing w:line="223" w:lineRule="auto"/>
        <w:ind w:left="39"/>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国</w:t>
      </w:r>
      <w:r>
        <w:rPr>
          <w:rFonts w:ascii="宋体" w:hAnsi="宋体" w:eastAsia="宋体" w:cs="宋体"/>
          <w:color w:val="auto"/>
          <w:spacing w:val="-105"/>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4"/>
          <w:sz w:val="21"/>
          <w:szCs w:val="21"/>
          <w:highlight w:val="none"/>
        </w:rPr>
        <w:t>。</w:t>
      </w:r>
    </w:p>
    <w:p w14:paraId="2EC4F5DB">
      <w:pPr>
        <w:spacing w:before="154" w:line="220" w:lineRule="auto"/>
        <w:ind w:left="44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九、</w:t>
      </w:r>
      <w:r>
        <w:rPr>
          <w:rFonts w:ascii="宋体" w:hAnsi="宋体" w:eastAsia="宋体" w:cs="宋体"/>
          <w:color w:val="auto"/>
          <w:spacing w:val="-33"/>
          <w:sz w:val="21"/>
          <w:szCs w:val="21"/>
          <w:highlight w:val="none"/>
        </w:rPr>
        <w:t xml:space="preserve"> </w:t>
      </w:r>
      <w:r>
        <w:rPr>
          <w:rFonts w:ascii="宋体" w:hAnsi="宋体" w:eastAsia="宋体" w:cs="宋体"/>
          <w:color w:val="auto"/>
          <w:spacing w:val="-3"/>
          <w:sz w:val="21"/>
          <w:szCs w:val="21"/>
          <w:highlight w:val="none"/>
        </w:rPr>
        <w:t>本保函自我方法定代表人或授权代表签字并加</w:t>
      </w:r>
      <w:r>
        <w:rPr>
          <w:rFonts w:ascii="宋体" w:hAnsi="宋体" w:eastAsia="宋体" w:cs="宋体"/>
          <w:color w:val="auto"/>
          <w:spacing w:val="-4"/>
          <w:sz w:val="21"/>
          <w:szCs w:val="21"/>
          <w:highlight w:val="none"/>
        </w:rPr>
        <w:t>盖公章之日起生效。</w:t>
      </w:r>
    </w:p>
    <w:p w14:paraId="74BF1FD6">
      <w:pPr>
        <w:spacing w:before="157" w:line="220" w:lineRule="auto"/>
        <w:ind w:left="442"/>
        <w:rPr>
          <w:rFonts w:ascii="宋体" w:hAnsi="宋体" w:eastAsia="宋体" w:cs="宋体"/>
          <w:color w:val="auto"/>
          <w:sz w:val="21"/>
          <w:szCs w:val="21"/>
          <w:highlight w:val="none"/>
        </w:rPr>
      </w:pPr>
      <w:r>
        <w:rPr>
          <w:rFonts w:ascii="宋体" w:hAnsi="宋体" w:eastAsia="宋体" w:cs="宋体"/>
          <w:color w:val="auto"/>
          <w:sz w:val="21"/>
          <w:szCs w:val="21"/>
          <w:highlight w:val="none"/>
        </w:rPr>
        <w:t>开 立</w:t>
      </w:r>
      <w:r>
        <w:rPr>
          <w:rFonts w:ascii="宋体" w:hAnsi="宋体" w:eastAsia="宋体" w:cs="宋体"/>
          <w:color w:val="auto"/>
          <w:spacing w:val="11"/>
          <w:sz w:val="21"/>
          <w:szCs w:val="21"/>
          <w:highlight w:val="none"/>
        </w:rPr>
        <w:t xml:space="preserve"> </w:t>
      </w:r>
      <w:r>
        <w:rPr>
          <w:rFonts w:ascii="宋体" w:hAnsi="宋体" w:eastAsia="宋体" w:cs="宋体"/>
          <w:color w:val="auto"/>
          <w:sz w:val="21"/>
          <w:szCs w:val="21"/>
          <w:highlight w:val="none"/>
        </w:rPr>
        <w:t>人</w:t>
      </w:r>
      <w:r>
        <w:rPr>
          <w:rFonts w:ascii="宋体" w:hAnsi="宋体" w:eastAsia="宋体" w:cs="宋体"/>
          <w:color w:val="auto"/>
          <w:spacing w:val="-14"/>
          <w:sz w:val="21"/>
          <w:szCs w:val="21"/>
          <w:highlight w:val="none"/>
        </w:rPr>
        <w:t>：</w:t>
      </w:r>
      <w:r>
        <w:rPr>
          <w:rFonts w:ascii="宋体" w:hAnsi="宋体" w:eastAsia="宋体" w:cs="宋体"/>
          <w:color w:val="auto"/>
          <w:sz w:val="21"/>
          <w:szCs w:val="21"/>
          <w:highlight w:val="none"/>
        </w:rPr>
        <w:t xml:space="preserve">                              </w:t>
      </w:r>
      <w:r>
        <w:rPr>
          <w:rFonts w:ascii="宋体" w:hAnsi="宋体" w:eastAsia="宋体" w:cs="宋体"/>
          <w:color w:val="auto"/>
          <w:spacing w:val="-14"/>
          <w:sz w:val="21"/>
          <w:szCs w:val="21"/>
          <w:highlight w:val="none"/>
        </w:rPr>
        <w:t>（</w:t>
      </w:r>
      <w:r>
        <w:rPr>
          <w:rFonts w:ascii="宋体" w:hAnsi="宋体" w:eastAsia="宋体" w:cs="宋体"/>
          <w:color w:val="auto"/>
          <w:sz w:val="21"/>
          <w:szCs w:val="21"/>
          <w:highlight w:val="none"/>
        </w:rPr>
        <w:t>公章）</w:t>
      </w:r>
    </w:p>
    <w:p w14:paraId="096A553C">
      <w:pPr>
        <w:spacing w:before="157" w:line="221" w:lineRule="auto"/>
        <w:ind w:left="44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法定代表人（或授权代表</w:t>
      </w:r>
      <w:r>
        <w:rPr>
          <w:rFonts w:ascii="宋体" w:hAnsi="宋体" w:eastAsia="宋体" w:cs="宋体"/>
          <w:color w:val="auto"/>
          <w:spacing w:val="-19"/>
          <w:sz w:val="21"/>
          <w:szCs w:val="21"/>
          <w:highlight w:val="none"/>
        </w:rPr>
        <w:t>）：</w:t>
      </w:r>
      <w:r>
        <w:rPr>
          <w:rFonts w:ascii="宋体" w:hAnsi="宋体" w:eastAsia="宋体" w:cs="宋体"/>
          <w:color w:val="auto"/>
          <w:spacing w:val="1"/>
          <w:sz w:val="21"/>
          <w:szCs w:val="21"/>
          <w:highlight w:val="none"/>
        </w:rPr>
        <w:t xml:space="preserve">               </w:t>
      </w:r>
      <w:r>
        <w:rPr>
          <w:rFonts w:ascii="宋体" w:hAnsi="宋体" w:eastAsia="宋体" w:cs="宋体"/>
          <w:color w:val="auto"/>
          <w:spacing w:val="-19"/>
          <w:sz w:val="21"/>
          <w:szCs w:val="21"/>
          <w:highlight w:val="none"/>
        </w:rPr>
        <w:t>（</w:t>
      </w:r>
      <w:r>
        <w:rPr>
          <w:rFonts w:ascii="宋体" w:hAnsi="宋体" w:eastAsia="宋体" w:cs="宋体"/>
          <w:color w:val="auto"/>
          <w:spacing w:val="-5"/>
          <w:sz w:val="21"/>
          <w:szCs w:val="21"/>
          <w:highlight w:val="none"/>
        </w:rPr>
        <w:t>签字）</w:t>
      </w:r>
    </w:p>
    <w:p w14:paraId="39391A5F">
      <w:pPr>
        <w:spacing w:before="157" w:line="408" w:lineRule="exact"/>
        <w:ind w:left="441"/>
        <w:rPr>
          <w:rFonts w:ascii="宋体" w:hAnsi="宋体" w:eastAsia="宋体" w:cs="宋体"/>
          <w:color w:val="auto"/>
          <w:sz w:val="21"/>
          <w:szCs w:val="21"/>
          <w:highlight w:val="none"/>
        </w:rPr>
      </w:pPr>
      <w:r>
        <w:rPr>
          <w:rFonts w:ascii="宋体" w:hAnsi="宋体" w:eastAsia="宋体" w:cs="宋体"/>
          <w:color w:val="auto"/>
          <w:spacing w:val="-12"/>
          <w:position w:val="14"/>
          <w:sz w:val="21"/>
          <w:szCs w:val="21"/>
          <w:highlight w:val="none"/>
        </w:rPr>
        <w:t>地</w:t>
      </w:r>
      <w:r>
        <w:rPr>
          <w:rFonts w:ascii="宋体" w:hAnsi="宋体" w:eastAsia="宋体" w:cs="宋体"/>
          <w:color w:val="auto"/>
          <w:spacing w:val="2"/>
          <w:position w:val="14"/>
          <w:sz w:val="21"/>
          <w:szCs w:val="21"/>
          <w:highlight w:val="none"/>
        </w:rPr>
        <w:t xml:space="preserve">    </w:t>
      </w:r>
      <w:r>
        <w:rPr>
          <w:rFonts w:ascii="宋体" w:hAnsi="宋体" w:eastAsia="宋体" w:cs="宋体"/>
          <w:color w:val="auto"/>
          <w:spacing w:val="-12"/>
          <w:position w:val="14"/>
          <w:sz w:val="21"/>
          <w:szCs w:val="21"/>
          <w:highlight w:val="none"/>
        </w:rPr>
        <w:t>址：</w:t>
      </w:r>
    </w:p>
    <w:p w14:paraId="3E0A8547">
      <w:pPr>
        <w:spacing w:before="1" w:line="220" w:lineRule="auto"/>
        <w:ind w:left="456"/>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邮政编码：</w:t>
      </w:r>
    </w:p>
    <w:p w14:paraId="2D49F3CC">
      <w:pPr>
        <w:spacing w:before="157" w:line="223" w:lineRule="auto"/>
        <w:ind w:left="465"/>
        <w:rPr>
          <w:rFonts w:ascii="宋体" w:hAnsi="宋体" w:eastAsia="宋体" w:cs="宋体"/>
          <w:color w:val="auto"/>
          <w:sz w:val="21"/>
          <w:szCs w:val="21"/>
          <w:highlight w:val="none"/>
        </w:rPr>
      </w:pPr>
      <w:r>
        <w:rPr>
          <w:rFonts w:ascii="宋体" w:hAnsi="宋体" w:eastAsia="宋体" w:cs="宋体"/>
          <w:color w:val="auto"/>
          <w:spacing w:val="-20"/>
          <w:sz w:val="21"/>
          <w:szCs w:val="21"/>
          <w:highlight w:val="none"/>
        </w:rPr>
        <w:t>电</w:t>
      </w:r>
      <w:r>
        <w:rPr>
          <w:rFonts w:ascii="宋体" w:hAnsi="宋体" w:eastAsia="宋体" w:cs="宋体"/>
          <w:color w:val="auto"/>
          <w:spacing w:val="2"/>
          <w:sz w:val="21"/>
          <w:szCs w:val="21"/>
          <w:highlight w:val="none"/>
        </w:rPr>
        <w:t xml:space="preserve">    </w:t>
      </w:r>
      <w:r>
        <w:rPr>
          <w:rFonts w:ascii="宋体" w:hAnsi="宋体" w:eastAsia="宋体" w:cs="宋体"/>
          <w:color w:val="auto"/>
          <w:spacing w:val="-20"/>
          <w:sz w:val="21"/>
          <w:szCs w:val="21"/>
          <w:highlight w:val="none"/>
        </w:rPr>
        <w:t>话：</w:t>
      </w:r>
    </w:p>
    <w:p w14:paraId="1FCCA0D3">
      <w:pPr>
        <w:spacing w:before="155" w:line="220" w:lineRule="auto"/>
        <w:ind w:left="439"/>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传</w:t>
      </w:r>
      <w:r>
        <w:rPr>
          <w:rFonts w:ascii="宋体" w:hAnsi="宋体" w:eastAsia="宋体" w:cs="宋体"/>
          <w:color w:val="auto"/>
          <w:spacing w:val="3"/>
          <w:sz w:val="21"/>
          <w:szCs w:val="21"/>
          <w:highlight w:val="none"/>
        </w:rPr>
        <w:t xml:space="preserve">    </w:t>
      </w:r>
      <w:r>
        <w:rPr>
          <w:rFonts w:ascii="宋体" w:hAnsi="宋体" w:eastAsia="宋体" w:cs="宋体"/>
          <w:color w:val="auto"/>
          <w:spacing w:val="-12"/>
          <w:sz w:val="21"/>
          <w:szCs w:val="21"/>
          <w:highlight w:val="none"/>
        </w:rPr>
        <w:t>真：</w:t>
      </w:r>
    </w:p>
    <w:p w14:paraId="5EEBB07D">
      <w:pPr>
        <w:spacing w:before="162" w:line="221" w:lineRule="auto"/>
        <w:ind w:left="442"/>
        <w:rPr>
          <w:rFonts w:ascii="宋体" w:hAnsi="宋体" w:eastAsia="宋体" w:cs="宋体"/>
          <w:color w:val="auto"/>
          <w:sz w:val="21"/>
          <w:szCs w:val="21"/>
          <w:highlight w:val="none"/>
        </w:rPr>
      </w:pPr>
      <w:r>
        <w:rPr>
          <w:rFonts w:ascii="宋体" w:hAnsi="宋体" w:eastAsia="宋体" w:cs="宋体"/>
          <w:color w:val="auto"/>
          <w:spacing w:val="-16"/>
          <w:sz w:val="21"/>
          <w:szCs w:val="21"/>
          <w:highlight w:val="none"/>
        </w:rPr>
        <w:t>开立时间：</w:t>
      </w:r>
      <w:r>
        <w:rPr>
          <w:rFonts w:ascii="宋体" w:hAnsi="宋体" w:eastAsia="宋体" w:cs="宋体"/>
          <w:color w:val="auto"/>
          <w:spacing w:val="8"/>
          <w:sz w:val="21"/>
          <w:szCs w:val="21"/>
          <w:highlight w:val="none"/>
        </w:rPr>
        <w:t xml:space="preserve">       </w:t>
      </w:r>
      <w:r>
        <w:rPr>
          <w:rFonts w:ascii="宋体" w:hAnsi="宋体" w:eastAsia="宋体" w:cs="宋体"/>
          <w:color w:val="auto"/>
          <w:spacing w:val="-16"/>
          <w:sz w:val="21"/>
          <w:szCs w:val="21"/>
          <w:highlight w:val="none"/>
        </w:rPr>
        <w:t>年</w:t>
      </w:r>
      <w:r>
        <w:rPr>
          <w:rFonts w:ascii="宋体" w:hAnsi="宋体" w:eastAsia="宋体" w:cs="宋体"/>
          <w:color w:val="auto"/>
          <w:spacing w:val="2"/>
          <w:sz w:val="21"/>
          <w:szCs w:val="21"/>
          <w:highlight w:val="none"/>
        </w:rPr>
        <w:t xml:space="preserve">      </w:t>
      </w:r>
      <w:r>
        <w:rPr>
          <w:rFonts w:ascii="宋体" w:hAnsi="宋体" w:eastAsia="宋体" w:cs="宋体"/>
          <w:color w:val="auto"/>
          <w:spacing w:val="-16"/>
          <w:sz w:val="21"/>
          <w:szCs w:val="21"/>
          <w:highlight w:val="none"/>
        </w:rPr>
        <w:t>月       日</w:t>
      </w:r>
    </w:p>
    <w:p w14:paraId="1714ED78">
      <w:pPr>
        <w:spacing w:line="221" w:lineRule="auto"/>
        <w:rPr>
          <w:rFonts w:ascii="宋体" w:hAnsi="宋体" w:eastAsia="宋体" w:cs="宋体"/>
          <w:color w:val="auto"/>
          <w:sz w:val="21"/>
          <w:szCs w:val="21"/>
          <w:highlight w:val="none"/>
        </w:rPr>
        <w:sectPr>
          <w:footerReference r:id="rId165" w:type="default"/>
          <w:pgSz w:w="11905" w:h="16839"/>
          <w:pgMar w:top="400" w:right="1785" w:bottom="1004" w:left="1785" w:header="0" w:footer="828" w:gutter="0"/>
          <w:pgNumType w:fmt="decimal"/>
          <w:cols w:space="720" w:num="1"/>
        </w:sectPr>
      </w:pPr>
    </w:p>
    <w:p w14:paraId="7ADB7084">
      <w:pPr>
        <w:pStyle w:val="3"/>
        <w:spacing w:line="248" w:lineRule="auto"/>
        <w:rPr>
          <w:color w:val="auto"/>
          <w:highlight w:val="none"/>
        </w:rPr>
      </w:pPr>
    </w:p>
    <w:p w14:paraId="1A88BE68">
      <w:pPr>
        <w:pStyle w:val="3"/>
        <w:spacing w:line="248" w:lineRule="auto"/>
        <w:rPr>
          <w:color w:val="auto"/>
          <w:highlight w:val="none"/>
        </w:rPr>
      </w:pPr>
    </w:p>
    <w:p w14:paraId="492123E6">
      <w:pPr>
        <w:pStyle w:val="3"/>
        <w:spacing w:line="248" w:lineRule="auto"/>
        <w:rPr>
          <w:color w:val="auto"/>
          <w:highlight w:val="none"/>
        </w:rPr>
      </w:pPr>
    </w:p>
    <w:p w14:paraId="68B9BC7A">
      <w:pPr>
        <w:pStyle w:val="3"/>
        <w:spacing w:line="248" w:lineRule="auto"/>
        <w:rPr>
          <w:color w:val="auto"/>
          <w:highlight w:val="none"/>
        </w:rPr>
      </w:pPr>
    </w:p>
    <w:p w14:paraId="28184C85">
      <w:pPr>
        <w:pStyle w:val="3"/>
        <w:spacing w:line="248" w:lineRule="auto"/>
        <w:rPr>
          <w:color w:val="auto"/>
          <w:highlight w:val="none"/>
        </w:rPr>
      </w:pPr>
    </w:p>
    <w:p w14:paraId="6280B5B9">
      <w:pPr>
        <w:pStyle w:val="3"/>
        <w:spacing w:line="249" w:lineRule="auto"/>
        <w:rPr>
          <w:color w:val="auto"/>
          <w:highlight w:val="none"/>
        </w:rPr>
      </w:pPr>
    </w:p>
    <w:p w14:paraId="64C2406E">
      <w:pPr>
        <w:pStyle w:val="3"/>
        <w:spacing w:line="249" w:lineRule="auto"/>
        <w:rPr>
          <w:color w:val="auto"/>
          <w:highlight w:val="none"/>
        </w:rPr>
      </w:pPr>
    </w:p>
    <w:p w14:paraId="2E9CC456">
      <w:pPr>
        <w:spacing w:before="78" w:line="219" w:lineRule="auto"/>
        <w:ind w:left="38"/>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附件</w:t>
      </w:r>
      <w:r>
        <w:rPr>
          <w:rFonts w:ascii="宋体" w:hAnsi="宋体" w:eastAsia="宋体" w:cs="宋体"/>
          <w:color w:val="auto"/>
          <w:spacing w:val="-53"/>
          <w:sz w:val="24"/>
          <w:szCs w:val="24"/>
          <w:highlight w:val="none"/>
        </w:rPr>
        <w:t xml:space="preserve"> </w:t>
      </w:r>
      <w:r>
        <w:rPr>
          <w:rFonts w:ascii="Times New Roman" w:hAnsi="Times New Roman" w:eastAsia="Times New Roman" w:cs="Times New Roman"/>
          <w:color w:val="auto"/>
          <w:spacing w:val="-7"/>
          <w:sz w:val="24"/>
          <w:szCs w:val="24"/>
          <w:highlight w:val="none"/>
        </w:rPr>
        <w:t xml:space="preserve">9 </w:t>
      </w:r>
      <w:r>
        <w:rPr>
          <w:rFonts w:ascii="宋体" w:hAnsi="宋体" w:eastAsia="宋体" w:cs="宋体"/>
          <w:color w:val="auto"/>
          <w:spacing w:val="-7"/>
          <w:sz w:val="24"/>
          <w:szCs w:val="24"/>
          <w:highlight w:val="none"/>
        </w:rPr>
        <w:t>：</w:t>
      </w:r>
    </w:p>
    <w:p w14:paraId="43DD72B9">
      <w:pPr>
        <w:spacing w:before="239" w:line="225" w:lineRule="auto"/>
        <w:ind w:left="3204"/>
        <w:rPr>
          <w:rFonts w:ascii="黑体" w:hAnsi="黑体" w:eastAsia="黑体" w:cs="黑体"/>
          <w:color w:val="auto"/>
          <w:sz w:val="27"/>
          <w:szCs w:val="27"/>
          <w:highlight w:val="none"/>
        </w:rPr>
      </w:pPr>
      <w:bookmarkStart w:id="1285" w:name="bookmark231"/>
      <w:bookmarkEnd w:id="1285"/>
      <w:r>
        <w:rPr>
          <w:rFonts w:ascii="黑体" w:hAnsi="黑体" w:eastAsia="黑体" w:cs="黑体"/>
          <w:color w:val="auto"/>
          <w:spacing w:val="6"/>
          <w:sz w:val="27"/>
          <w:szCs w:val="27"/>
          <w:highlight w:val="none"/>
        </w:rPr>
        <w:t>预付款担保格式</w:t>
      </w:r>
    </w:p>
    <w:p w14:paraId="64CED878">
      <w:pPr>
        <w:spacing w:before="146" w:line="221" w:lineRule="auto"/>
        <w:ind w:left="6550"/>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编号：</w:t>
      </w:r>
    </w:p>
    <w:p w14:paraId="4CAEFBC8">
      <w:pPr>
        <w:pStyle w:val="3"/>
        <w:spacing w:line="246" w:lineRule="auto"/>
        <w:rPr>
          <w:color w:val="auto"/>
          <w:highlight w:val="none"/>
        </w:rPr>
      </w:pPr>
    </w:p>
    <w:p w14:paraId="3149F33B">
      <w:pPr>
        <w:pStyle w:val="3"/>
        <w:spacing w:line="247" w:lineRule="auto"/>
        <w:rPr>
          <w:color w:val="auto"/>
          <w:highlight w:val="none"/>
        </w:rPr>
      </w:pPr>
    </w:p>
    <w:p w14:paraId="1A6A9BB5">
      <w:pPr>
        <w:spacing w:before="69" w:line="408" w:lineRule="exact"/>
        <w:ind w:left="45"/>
        <w:rPr>
          <w:rFonts w:ascii="宋体" w:hAnsi="宋体" w:eastAsia="宋体" w:cs="宋体"/>
          <w:color w:val="auto"/>
          <w:sz w:val="21"/>
          <w:szCs w:val="21"/>
          <w:highlight w:val="none"/>
        </w:rPr>
      </w:pPr>
      <w:r>
        <w:rPr>
          <w:rFonts w:ascii="宋体" w:hAnsi="宋体" w:eastAsia="宋体" w:cs="宋体"/>
          <w:color w:val="auto"/>
          <w:spacing w:val="-15"/>
          <w:position w:val="15"/>
          <w:sz w:val="21"/>
          <w:szCs w:val="21"/>
          <w:highlight w:val="none"/>
        </w:rPr>
        <w:t>申请人：</w:t>
      </w:r>
    </w:p>
    <w:p w14:paraId="26E95AB0">
      <w:pPr>
        <w:spacing w:before="1" w:line="229" w:lineRule="auto"/>
        <w:ind w:left="18"/>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地址：</w:t>
      </w:r>
    </w:p>
    <w:p w14:paraId="7C344E53">
      <w:pPr>
        <w:spacing w:before="151" w:line="408" w:lineRule="exact"/>
        <w:ind w:left="22"/>
        <w:rPr>
          <w:rFonts w:ascii="宋体" w:hAnsi="宋体" w:eastAsia="宋体" w:cs="宋体"/>
          <w:color w:val="auto"/>
          <w:sz w:val="21"/>
          <w:szCs w:val="21"/>
          <w:highlight w:val="none"/>
        </w:rPr>
      </w:pPr>
      <w:r>
        <w:rPr>
          <w:rFonts w:ascii="宋体" w:hAnsi="宋体" w:eastAsia="宋体" w:cs="宋体"/>
          <w:color w:val="auto"/>
          <w:spacing w:val="-11"/>
          <w:position w:val="14"/>
          <w:sz w:val="21"/>
          <w:szCs w:val="21"/>
          <w:highlight w:val="none"/>
        </w:rPr>
        <w:t>受益人：</w:t>
      </w:r>
    </w:p>
    <w:p w14:paraId="01B644FC">
      <w:pPr>
        <w:spacing w:before="1" w:line="229" w:lineRule="auto"/>
        <w:ind w:left="18"/>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地址：</w:t>
      </w:r>
    </w:p>
    <w:p w14:paraId="4E6B0260">
      <w:pPr>
        <w:spacing w:before="146" w:line="409" w:lineRule="exact"/>
        <w:ind w:left="19"/>
        <w:rPr>
          <w:rFonts w:ascii="宋体" w:hAnsi="宋体" w:eastAsia="宋体" w:cs="宋体"/>
          <w:color w:val="auto"/>
          <w:sz w:val="21"/>
          <w:szCs w:val="21"/>
          <w:highlight w:val="none"/>
        </w:rPr>
      </w:pPr>
      <w:r>
        <w:rPr>
          <w:rFonts w:ascii="宋体" w:hAnsi="宋体" w:eastAsia="宋体" w:cs="宋体"/>
          <w:color w:val="auto"/>
          <w:spacing w:val="-11"/>
          <w:position w:val="15"/>
          <w:sz w:val="21"/>
          <w:szCs w:val="21"/>
          <w:highlight w:val="none"/>
        </w:rPr>
        <w:t>开立人：</w:t>
      </w:r>
    </w:p>
    <w:p w14:paraId="3880178C">
      <w:pPr>
        <w:spacing w:before="1" w:line="229" w:lineRule="auto"/>
        <w:ind w:left="18"/>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地址：</w:t>
      </w:r>
    </w:p>
    <w:p w14:paraId="20F253C9">
      <w:pPr>
        <w:pStyle w:val="3"/>
        <w:spacing w:line="241" w:lineRule="auto"/>
        <w:rPr>
          <w:color w:val="auto"/>
          <w:highlight w:val="none"/>
        </w:rPr>
      </w:pPr>
    </w:p>
    <w:p w14:paraId="74272E81">
      <w:pPr>
        <w:pStyle w:val="3"/>
        <w:spacing w:line="241" w:lineRule="auto"/>
        <w:rPr>
          <w:color w:val="auto"/>
          <w:highlight w:val="none"/>
        </w:rPr>
      </w:pPr>
    </w:p>
    <w:p w14:paraId="2D500480">
      <w:pPr>
        <w:tabs>
          <w:tab w:val="left" w:pos="1483"/>
        </w:tabs>
        <w:spacing w:before="69" w:line="223" w:lineRule="auto"/>
        <w:ind w:left="1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48"/>
          <w:sz w:val="21"/>
          <w:szCs w:val="21"/>
          <w:highlight w:val="none"/>
        </w:rPr>
        <w:t xml:space="preserve"> </w:t>
      </w:r>
      <w:r>
        <w:rPr>
          <w:rFonts w:ascii="宋体" w:hAnsi="宋体" w:eastAsia="宋体" w:cs="宋体"/>
          <w:color w:val="auto"/>
          <w:spacing w:val="-26"/>
          <w:sz w:val="21"/>
          <w:szCs w:val="21"/>
          <w:highlight w:val="none"/>
        </w:rPr>
        <w:t>（受益人名称</w:t>
      </w:r>
      <w:r>
        <w:rPr>
          <w:rFonts w:ascii="宋体" w:hAnsi="宋体" w:eastAsia="宋体" w:cs="宋体"/>
          <w:color w:val="auto"/>
          <w:spacing w:val="-9"/>
          <w:sz w:val="21"/>
          <w:szCs w:val="21"/>
          <w:highlight w:val="none"/>
        </w:rPr>
        <w:t>）：</w:t>
      </w:r>
    </w:p>
    <w:p w14:paraId="7525C3F6">
      <w:pPr>
        <w:tabs>
          <w:tab w:val="left" w:pos="123"/>
        </w:tabs>
        <w:spacing w:before="153" w:line="360" w:lineRule="auto"/>
        <w:ind w:left="10" w:right="3" w:firstLine="433"/>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鉴于</w:t>
      </w:r>
      <w:r>
        <w:rPr>
          <w:rFonts w:ascii="宋体" w:hAnsi="宋体" w:eastAsia="宋体" w:cs="宋体"/>
          <w:color w:val="auto"/>
          <w:spacing w:val="-14"/>
          <w:sz w:val="21"/>
          <w:szCs w:val="21"/>
          <w:highlight w:val="none"/>
          <w:u w:val="single" w:color="auto"/>
        </w:rPr>
        <w:t xml:space="preserve">          </w:t>
      </w:r>
      <w:r>
        <w:rPr>
          <w:rFonts w:ascii="宋体" w:hAnsi="宋体" w:eastAsia="宋体" w:cs="宋体"/>
          <w:color w:val="auto"/>
          <w:spacing w:val="-14"/>
          <w:sz w:val="21"/>
          <w:szCs w:val="21"/>
          <w:highlight w:val="none"/>
        </w:rPr>
        <w:t xml:space="preserve"> （以下简称“受益人”）与</w:t>
      </w:r>
      <w:r>
        <w:rPr>
          <w:rFonts w:ascii="宋体" w:hAnsi="宋体" w:eastAsia="宋体" w:cs="宋体"/>
          <w:color w:val="auto"/>
          <w:spacing w:val="-80"/>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14"/>
          <w:sz w:val="21"/>
          <w:szCs w:val="21"/>
          <w:highlight w:val="none"/>
        </w:rPr>
        <w:t xml:space="preserve"> （以下简称“申请人”）于</w:t>
      </w:r>
      <w:r>
        <w:rPr>
          <w:rFonts w:ascii="宋体" w:hAnsi="宋体" w:eastAsia="宋体" w:cs="宋体"/>
          <w:color w:val="auto"/>
          <w:spacing w:val="-91"/>
          <w:sz w:val="21"/>
          <w:szCs w:val="21"/>
          <w:highlight w:val="none"/>
        </w:rPr>
        <w:t xml:space="preserve"> </w:t>
      </w:r>
      <w:r>
        <w:rPr>
          <w:rFonts w:ascii="宋体" w:hAnsi="宋体" w:eastAsia="宋体" w:cs="宋体"/>
          <w:color w:val="auto"/>
          <w:spacing w:val="15"/>
          <w:sz w:val="21"/>
          <w:szCs w:val="21"/>
          <w:highlight w:val="none"/>
          <w:u w:val="single" w:color="auto"/>
        </w:rPr>
        <w:t xml:space="preserve">   </w:t>
      </w:r>
      <w:r>
        <w:rPr>
          <w:rFonts w:ascii="宋体" w:hAnsi="宋体" w:eastAsia="宋体" w:cs="宋体"/>
          <w:color w:val="auto"/>
          <w:spacing w:val="-96"/>
          <w:sz w:val="21"/>
          <w:szCs w:val="21"/>
          <w:highlight w:val="none"/>
        </w:rPr>
        <w:t xml:space="preserve"> </w:t>
      </w:r>
      <w:r>
        <w:rPr>
          <w:rFonts w:ascii="宋体" w:hAnsi="宋体" w:eastAsia="宋体" w:cs="宋体"/>
          <w:color w:val="auto"/>
          <w:spacing w:val="-14"/>
          <w:sz w:val="21"/>
          <w:szCs w:val="21"/>
          <w:highlight w:val="none"/>
        </w:rPr>
        <w:t>年</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月</w:t>
      </w:r>
      <w:r>
        <w:rPr>
          <w:rFonts w:ascii="宋体" w:hAnsi="宋体" w:eastAsia="宋体" w:cs="宋体"/>
          <w:color w:val="auto"/>
          <w:spacing w:val="-100"/>
          <w:sz w:val="21"/>
          <w:szCs w:val="21"/>
          <w:highlight w:val="none"/>
        </w:rPr>
        <w:t xml:space="preserve"> </w:t>
      </w:r>
      <w:r>
        <w:rPr>
          <w:rFonts w:ascii="宋体" w:hAnsi="宋体" w:eastAsia="宋体" w:cs="宋体"/>
          <w:color w:val="auto"/>
          <w:spacing w:val="32"/>
          <w:sz w:val="21"/>
          <w:szCs w:val="21"/>
          <w:highlight w:val="none"/>
          <w:u w:val="single" w:color="auto"/>
        </w:rPr>
        <w:t xml:space="preserve">   </w:t>
      </w:r>
      <w:r>
        <w:rPr>
          <w:rFonts w:ascii="宋体" w:hAnsi="宋体" w:eastAsia="宋体" w:cs="宋体"/>
          <w:color w:val="auto"/>
          <w:spacing w:val="-59"/>
          <w:sz w:val="21"/>
          <w:szCs w:val="21"/>
          <w:highlight w:val="none"/>
        </w:rPr>
        <w:t xml:space="preserve"> </w:t>
      </w:r>
      <w:r>
        <w:rPr>
          <w:rFonts w:ascii="宋体" w:hAnsi="宋体" w:eastAsia="宋体" w:cs="宋体"/>
          <w:color w:val="auto"/>
          <w:spacing w:val="-3"/>
          <w:sz w:val="21"/>
          <w:szCs w:val="21"/>
          <w:highlight w:val="none"/>
        </w:rPr>
        <w:t>日就</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94"/>
          <w:sz w:val="21"/>
          <w:szCs w:val="21"/>
          <w:highlight w:val="none"/>
        </w:rPr>
        <w:t xml:space="preserve"> </w:t>
      </w:r>
      <w:r>
        <w:rPr>
          <w:rFonts w:ascii="宋体" w:hAnsi="宋体" w:eastAsia="宋体" w:cs="宋体"/>
          <w:color w:val="auto"/>
          <w:spacing w:val="-3"/>
          <w:sz w:val="21"/>
          <w:szCs w:val="21"/>
          <w:highlight w:val="none"/>
        </w:rPr>
        <w:t>工程（以下简称“本工程”）施工和有关事项协商一致共同签订</w:t>
      </w:r>
      <w:r>
        <w:rPr>
          <w:rFonts w:ascii="宋体" w:hAnsi="宋体" w:eastAsia="宋体" w:cs="宋体"/>
          <w:color w:val="auto"/>
          <w:sz w:val="21"/>
          <w:szCs w:val="21"/>
          <w:highlight w:val="none"/>
        </w:rPr>
        <w:t xml:space="preserve"> </w:t>
      </w:r>
      <w:r>
        <w:rPr>
          <w:rFonts w:ascii="宋体" w:hAnsi="宋体" w:eastAsia="宋体" w:cs="宋体"/>
          <w:color w:val="auto"/>
          <w:sz w:val="21"/>
          <w:szCs w:val="21"/>
          <w:highlight w:val="none"/>
          <w:u w:val="single" w:color="auto"/>
        </w:rPr>
        <w:tab/>
      </w:r>
      <w:r>
        <w:rPr>
          <w:rFonts w:ascii="宋体" w:hAnsi="宋体" w:eastAsia="宋体" w:cs="宋体"/>
          <w:color w:val="auto"/>
          <w:spacing w:val="-10"/>
          <w:sz w:val="21"/>
          <w:szCs w:val="21"/>
          <w:highlight w:val="none"/>
          <w:u w:val="single" w:color="auto"/>
        </w:rPr>
        <w:t>《</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10"/>
          <w:sz w:val="21"/>
          <w:szCs w:val="21"/>
          <w:highlight w:val="none"/>
          <w:u w:val="single" w:color="auto"/>
        </w:rPr>
        <w:t>》</w:t>
      </w:r>
      <w:r>
        <w:rPr>
          <w:rFonts w:ascii="宋体" w:hAnsi="宋体" w:eastAsia="宋体" w:cs="宋体"/>
          <w:color w:val="auto"/>
          <w:spacing w:val="-10"/>
          <w:sz w:val="21"/>
          <w:szCs w:val="21"/>
          <w:highlight w:val="none"/>
        </w:rPr>
        <w:t>（以下简称“基础合同”</w:t>
      </w:r>
      <w:r>
        <w:rPr>
          <w:rFonts w:ascii="宋体" w:hAnsi="宋体" w:eastAsia="宋体" w:cs="宋体"/>
          <w:color w:val="auto"/>
          <w:spacing w:val="-39"/>
          <w:w w:val="71"/>
          <w:sz w:val="21"/>
          <w:szCs w:val="21"/>
          <w:highlight w:val="none"/>
        </w:rPr>
        <w:t>），</w:t>
      </w:r>
      <w:r>
        <w:rPr>
          <w:rFonts w:ascii="宋体" w:hAnsi="宋体" w:eastAsia="宋体" w:cs="宋体"/>
          <w:color w:val="auto"/>
          <w:spacing w:val="-10"/>
          <w:sz w:val="21"/>
          <w:szCs w:val="21"/>
          <w:highlight w:val="none"/>
        </w:rPr>
        <w:t>我方（即“开立人”）根据主合同了解到申请人为</w:t>
      </w:r>
      <w:r>
        <w:rPr>
          <w:rFonts w:ascii="宋体" w:hAnsi="宋体" w:eastAsia="宋体" w:cs="宋体"/>
          <w:color w:val="auto"/>
          <w:spacing w:val="2"/>
          <w:sz w:val="21"/>
          <w:szCs w:val="21"/>
          <w:highlight w:val="none"/>
        </w:rPr>
        <w:t xml:space="preserve"> </w:t>
      </w:r>
      <w:r>
        <w:rPr>
          <w:rFonts w:ascii="宋体" w:hAnsi="宋体" w:eastAsia="宋体" w:cs="宋体"/>
          <w:color w:val="auto"/>
          <w:spacing w:val="-5"/>
          <w:sz w:val="21"/>
          <w:szCs w:val="21"/>
          <w:highlight w:val="none"/>
        </w:rPr>
        <w:t>主合同项下之承包人， 受益人为主合同项下之发包人，</w:t>
      </w:r>
      <w:r>
        <w:rPr>
          <w:rFonts w:ascii="宋体" w:hAnsi="宋体" w:eastAsia="宋体" w:cs="宋体"/>
          <w:color w:val="auto"/>
          <w:spacing w:val="25"/>
          <w:sz w:val="21"/>
          <w:szCs w:val="21"/>
          <w:highlight w:val="none"/>
        </w:rPr>
        <w:t xml:space="preserve"> </w:t>
      </w:r>
      <w:r>
        <w:rPr>
          <w:rFonts w:ascii="宋体" w:hAnsi="宋体" w:eastAsia="宋体" w:cs="宋体"/>
          <w:color w:val="auto"/>
          <w:spacing w:val="-5"/>
          <w:sz w:val="21"/>
          <w:szCs w:val="21"/>
          <w:highlight w:val="none"/>
        </w:rPr>
        <w:t>基</w:t>
      </w:r>
      <w:r>
        <w:rPr>
          <w:rFonts w:ascii="宋体" w:hAnsi="宋体" w:eastAsia="宋体" w:cs="宋体"/>
          <w:color w:val="auto"/>
          <w:spacing w:val="-6"/>
          <w:sz w:val="21"/>
          <w:szCs w:val="21"/>
          <w:highlight w:val="none"/>
        </w:rPr>
        <w:t>于申请人的请求， 我方同意就申</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请人按照合同约定正确和合理地为合同目的使用预付款，向贵方提供不可撤销、不可转让</w:t>
      </w:r>
    </w:p>
    <w:p w14:paraId="0A412652">
      <w:pPr>
        <w:spacing w:before="1" w:line="219" w:lineRule="auto"/>
        <w:ind w:left="35"/>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的见索即付独立保函（以下简称“本保函”）。</w:t>
      </w:r>
    </w:p>
    <w:p w14:paraId="4433F37F">
      <w:pPr>
        <w:spacing w:before="157" w:line="359" w:lineRule="auto"/>
        <w:ind w:left="18" w:right="11" w:firstLine="42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一、本保函担保范围：</w:t>
      </w:r>
      <w:r>
        <w:rPr>
          <w:rFonts w:ascii="宋体" w:hAnsi="宋体" w:eastAsia="宋体" w:cs="宋体"/>
          <w:color w:val="auto"/>
          <w:spacing w:val="40"/>
          <w:sz w:val="21"/>
          <w:szCs w:val="21"/>
          <w:highlight w:val="none"/>
        </w:rPr>
        <w:t xml:space="preserve"> </w:t>
      </w:r>
      <w:r>
        <w:rPr>
          <w:rFonts w:ascii="宋体" w:hAnsi="宋体" w:eastAsia="宋体" w:cs="宋体"/>
          <w:color w:val="auto"/>
          <w:spacing w:val="-1"/>
          <w:sz w:val="21"/>
          <w:szCs w:val="21"/>
          <w:highlight w:val="none"/>
        </w:rPr>
        <w:t>申请人未按照合同约定正确和合理地为合同目的使用</w:t>
      </w:r>
      <w:r>
        <w:rPr>
          <w:rFonts w:ascii="宋体" w:hAnsi="宋体" w:eastAsia="宋体" w:cs="宋体"/>
          <w:color w:val="auto"/>
          <w:spacing w:val="-2"/>
          <w:sz w:val="21"/>
          <w:szCs w:val="21"/>
          <w:highlight w:val="none"/>
        </w:rPr>
        <w:t>预付款，</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应当向贵方承担的违约责任和赔偿因此造成的损失、利息、律师费、诉讼费</w:t>
      </w:r>
      <w:r>
        <w:rPr>
          <w:rFonts w:ascii="宋体" w:hAnsi="宋体" w:eastAsia="宋体" w:cs="宋体"/>
          <w:color w:val="auto"/>
          <w:spacing w:val="2"/>
          <w:sz w:val="21"/>
          <w:szCs w:val="21"/>
          <w:highlight w:val="none"/>
        </w:rPr>
        <w:t>用等实现债权</w:t>
      </w:r>
    </w:p>
    <w:p w14:paraId="6691C2B8">
      <w:pPr>
        <w:spacing w:line="221" w:lineRule="auto"/>
        <w:ind w:left="35"/>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的费用。</w:t>
      </w:r>
    </w:p>
    <w:p w14:paraId="61BA5165">
      <w:pPr>
        <w:spacing w:before="157" w:line="220" w:lineRule="auto"/>
        <w:ind w:left="44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二、本保函担保金额最高不超过人民币（大写）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89"/>
          <w:sz w:val="21"/>
          <w:szCs w:val="21"/>
          <w:highlight w:val="none"/>
        </w:rPr>
        <w:t xml:space="preserve"> </w:t>
      </w:r>
      <w:r>
        <w:rPr>
          <w:rFonts w:ascii="宋体" w:hAnsi="宋体" w:eastAsia="宋体" w:cs="宋体"/>
          <w:color w:val="auto"/>
          <w:spacing w:val="-1"/>
          <w:sz w:val="21"/>
          <w:szCs w:val="21"/>
          <w:highlight w:val="none"/>
        </w:rPr>
        <w:t>元(¥</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74"/>
          <w:sz w:val="21"/>
          <w:szCs w:val="21"/>
          <w:highlight w:val="none"/>
        </w:rPr>
        <w:t xml:space="preserve"> </w:t>
      </w:r>
      <w:r>
        <w:rPr>
          <w:rFonts w:ascii="宋体" w:hAnsi="宋体" w:eastAsia="宋体" w:cs="宋体"/>
          <w:color w:val="auto"/>
          <w:spacing w:val="-1"/>
          <w:sz w:val="21"/>
          <w:szCs w:val="21"/>
          <w:highlight w:val="none"/>
        </w:rPr>
        <w:t>)。</w:t>
      </w:r>
    </w:p>
    <w:p w14:paraId="7A592248">
      <w:pPr>
        <w:spacing w:before="158" w:line="359" w:lineRule="auto"/>
        <w:ind w:right="3"/>
        <w:jc w:val="right"/>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三、本保函有效期自开立之日起至发包人全额扣回预付款后</w:t>
      </w:r>
      <w:r>
        <w:rPr>
          <w:rFonts w:ascii="宋体" w:hAnsi="宋体" w:eastAsia="宋体" w:cs="宋体"/>
          <w:color w:val="auto"/>
          <w:spacing w:val="-92"/>
          <w:sz w:val="21"/>
          <w:szCs w:val="21"/>
          <w:highlight w:val="none"/>
        </w:rPr>
        <w:t xml:space="preserve"> </w:t>
      </w:r>
      <w:r>
        <w:rPr>
          <w:rFonts w:ascii="宋体" w:hAnsi="宋体" w:eastAsia="宋体" w:cs="宋体"/>
          <w:color w:val="auto"/>
          <w:spacing w:val="16"/>
          <w:sz w:val="21"/>
          <w:szCs w:val="21"/>
          <w:highlight w:val="none"/>
          <w:u w:val="single" w:color="auto"/>
        </w:rPr>
        <w:t xml:space="preserve">    </w:t>
      </w:r>
      <w:r>
        <w:rPr>
          <w:rFonts w:ascii="宋体" w:hAnsi="宋体" w:eastAsia="宋体" w:cs="宋体"/>
          <w:color w:val="auto"/>
          <w:spacing w:val="-59"/>
          <w:sz w:val="21"/>
          <w:szCs w:val="21"/>
          <w:highlight w:val="none"/>
        </w:rPr>
        <w:t xml:space="preserve"> </w:t>
      </w:r>
      <w:r>
        <w:rPr>
          <w:rFonts w:ascii="宋体" w:hAnsi="宋体" w:eastAsia="宋体" w:cs="宋体"/>
          <w:color w:val="auto"/>
          <w:spacing w:val="6"/>
          <w:sz w:val="21"/>
          <w:szCs w:val="21"/>
          <w:highlight w:val="none"/>
        </w:rPr>
        <w:t>日止，最迟不超过</w:t>
      </w:r>
    </w:p>
    <w:p w14:paraId="73E8EE1F">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年</w:t>
      </w:r>
      <w:r>
        <w:rPr>
          <w:rFonts w:ascii="宋体" w:hAnsi="宋体" w:eastAsia="宋体" w:cs="宋体"/>
          <w:color w:val="auto"/>
          <w:spacing w:val="-103"/>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89"/>
          <w:sz w:val="21"/>
          <w:szCs w:val="21"/>
          <w:highlight w:val="none"/>
        </w:rPr>
        <w:t xml:space="preserve"> </w:t>
      </w:r>
      <w:r>
        <w:rPr>
          <w:rFonts w:ascii="宋体" w:hAnsi="宋体" w:eastAsia="宋体" w:cs="宋体"/>
          <w:color w:val="auto"/>
          <w:spacing w:val="-15"/>
          <w:sz w:val="21"/>
          <w:szCs w:val="21"/>
          <w:highlight w:val="none"/>
        </w:rPr>
        <w:t>月</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59"/>
          <w:sz w:val="21"/>
          <w:szCs w:val="21"/>
          <w:highlight w:val="none"/>
        </w:rPr>
        <w:t xml:space="preserve"> </w:t>
      </w:r>
      <w:r>
        <w:rPr>
          <w:rFonts w:ascii="宋体" w:hAnsi="宋体" w:eastAsia="宋体" w:cs="宋体"/>
          <w:color w:val="auto"/>
          <w:spacing w:val="-15"/>
          <w:sz w:val="21"/>
          <w:szCs w:val="21"/>
          <w:highlight w:val="none"/>
        </w:rPr>
        <w:t>日。</w:t>
      </w:r>
    </w:p>
    <w:p w14:paraId="790FF3D4">
      <w:pPr>
        <w:spacing w:before="157" w:line="363" w:lineRule="auto"/>
        <w:jc w:val="right"/>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四、我方承诺，在收到受益人发来的书面付</w:t>
      </w:r>
      <w:r>
        <w:rPr>
          <w:rFonts w:ascii="宋体" w:hAnsi="宋体" w:eastAsia="宋体" w:cs="宋体"/>
          <w:color w:val="auto"/>
          <w:spacing w:val="-7"/>
          <w:sz w:val="21"/>
          <w:szCs w:val="21"/>
          <w:highlight w:val="none"/>
        </w:rPr>
        <w:t>款通知后的</w:t>
      </w:r>
      <w:r>
        <w:rPr>
          <w:rFonts w:ascii="宋体" w:hAnsi="宋体" w:eastAsia="宋体" w:cs="宋体"/>
          <w:color w:val="auto"/>
          <w:spacing w:val="-102"/>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58"/>
          <w:sz w:val="21"/>
          <w:szCs w:val="21"/>
          <w:highlight w:val="none"/>
        </w:rPr>
        <w:t xml:space="preserve"> </w:t>
      </w:r>
      <w:r>
        <w:rPr>
          <w:rFonts w:ascii="宋体" w:hAnsi="宋体" w:eastAsia="宋体" w:cs="宋体"/>
          <w:color w:val="auto"/>
          <w:spacing w:val="-7"/>
          <w:sz w:val="21"/>
          <w:szCs w:val="21"/>
          <w:highlight w:val="none"/>
        </w:rPr>
        <w:t>日内无条件支付，</w:t>
      </w:r>
      <w:r>
        <w:rPr>
          <w:rFonts w:ascii="宋体" w:hAnsi="宋体" w:eastAsia="宋体" w:cs="宋体"/>
          <w:color w:val="auto"/>
          <w:spacing w:val="54"/>
          <w:sz w:val="21"/>
          <w:szCs w:val="21"/>
          <w:highlight w:val="none"/>
        </w:rPr>
        <w:t xml:space="preserve"> </w:t>
      </w:r>
      <w:r>
        <w:rPr>
          <w:rFonts w:ascii="宋体" w:hAnsi="宋体" w:eastAsia="宋体" w:cs="宋体"/>
          <w:color w:val="auto"/>
          <w:spacing w:val="-7"/>
          <w:sz w:val="21"/>
          <w:szCs w:val="21"/>
          <w:highlight w:val="none"/>
        </w:rPr>
        <w:t>前述书</w:t>
      </w:r>
    </w:p>
    <w:p w14:paraId="61C30DA3">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面付款通知即为付款要求之单据，且应满足以下要求：</w:t>
      </w:r>
    </w:p>
    <w:p w14:paraId="1015FAE9">
      <w:pPr>
        <w:spacing w:before="157"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（1）付款通知到达的日期在本保函的有效期内；</w:t>
      </w:r>
    </w:p>
    <w:p w14:paraId="4A768E7B">
      <w:pPr>
        <w:spacing w:before="158" w:line="221" w:lineRule="auto"/>
        <w:ind w:left="44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（2）载明要求支付的金额；</w:t>
      </w:r>
    </w:p>
    <w:p w14:paraId="4DB255AA">
      <w:pPr>
        <w:spacing w:before="156"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（3）载明申请人违反合同义务的条款和内</w:t>
      </w:r>
      <w:r>
        <w:rPr>
          <w:rFonts w:ascii="宋体" w:hAnsi="宋体" w:eastAsia="宋体" w:cs="宋体"/>
          <w:color w:val="auto"/>
          <w:spacing w:val="-3"/>
          <w:sz w:val="21"/>
          <w:szCs w:val="21"/>
          <w:highlight w:val="none"/>
        </w:rPr>
        <w:t>容；</w:t>
      </w:r>
    </w:p>
    <w:p w14:paraId="643191ED">
      <w:pPr>
        <w:spacing w:before="157"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（4）声明不存在合同文件约定或我国法律规定免除申请人或开立人支付责任的情形；</w:t>
      </w:r>
    </w:p>
    <w:p w14:paraId="19FAE966">
      <w:pPr>
        <w:spacing w:before="157"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（5）付款通知应在本保函有效期内到达的地</w:t>
      </w:r>
      <w:r>
        <w:rPr>
          <w:rFonts w:ascii="宋体" w:hAnsi="宋体" w:eastAsia="宋体" w:cs="宋体"/>
          <w:color w:val="auto"/>
          <w:spacing w:val="-3"/>
          <w:sz w:val="21"/>
          <w:szCs w:val="21"/>
          <w:highlight w:val="none"/>
        </w:rPr>
        <w:t>址是：</w:t>
      </w:r>
      <w:r>
        <w:rPr>
          <w:rFonts w:ascii="宋体" w:hAnsi="宋体" w:eastAsia="宋体" w:cs="宋体"/>
          <w:color w:val="auto"/>
          <w:spacing w:val="-27"/>
          <w:sz w:val="21"/>
          <w:szCs w:val="21"/>
          <w:highlight w:val="none"/>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3"/>
          <w:sz w:val="21"/>
          <w:szCs w:val="21"/>
          <w:highlight w:val="none"/>
        </w:rPr>
        <w:t>。</w:t>
      </w:r>
    </w:p>
    <w:p w14:paraId="7F75F27C">
      <w:pPr>
        <w:spacing w:before="158" w:line="220" w:lineRule="auto"/>
        <w:ind w:right="6"/>
        <w:jc w:val="right"/>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受益人发出的书面付款通知应由其为鉴明受益人法定代表人（负责人）或授权代</w:t>
      </w:r>
      <w:r>
        <w:rPr>
          <w:rFonts w:ascii="宋体" w:hAnsi="宋体" w:eastAsia="宋体" w:cs="宋体"/>
          <w:color w:val="auto"/>
          <w:spacing w:val="2"/>
          <w:sz w:val="21"/>
          <w:szCs w:val="21"/>
          <w:highlight w:val="none"/>
        </w:rPr>
        <w:t>理人</w:t>
      </w:r>
    </w:p>
    <w:p w14:paraId="6399E8C3">
      <w:pPr>
        <w:spacing w:line="220" w:lineRule="auto"/>
        <w:rPr>
          <w:rFonts w:ascii="宋体" w:hAnsi="宋体" w:eastAsia="宋体" w:cs="宋体"/>
          <w:color w:val="auto"/>
          <w:sz w:val="21"/>
          <w:szCs w:val="21"/>
          <w:highlight w:val="none"/>
        </w:rPr>
        <w:sectPr>
          <w:footerReference r:id="rId166" w:type="default"/>
          <w:pgSz w:w="11905" w:h="16839"/>
          <w:pgMar w:top="400" w:right="1785" w:bottom="1004" w:left="1785" w:header="0" w:footer="828" w:gutter="0"/>
          <w:pgNumType w:fmt="decimal"/>
          <w:cols w:space="720" w:num="1"/>
        </w:sectPr>
      </w:pPr>
    </w:p>
    <w:p w14:paraId="73FB1EE2">
      <w:pPr>
        <w:pStyle w:val="3"/>
        <w:spacing w:line="248" w:lineRule="auto"/>
        <w:rPr>
          <w:color w:val="auto"/>
          <w:highlight w:val="none"/>
        </w:rPr>
      </w:pPr>
    </w:p>
    <w:p w14:paraId="5E3DD1EF">
      <w:pPr>
        <w:pStyle w:val="3"/>
        <w:spacing w:line="249" w:lineRule="auto"/>
        <w:rPr>
          <w:color w:val="auto"/>
          <w:highlight w:val="none"/>
        </w:rPr>
      </w:pPr>
    </w:p>
    <w:p w14:paraId="0744E058">
      <w:pPr>
        <w:pStyle w:val="3"/>
        <w:spacing w:line="249" w:lineRule="auto"/>
        <w:rPr>
          <w:color w:val="auto"/>
          <w:highlight w:val="none"/>
        </w:rPr>
      </w:pPr>
    </w:p>
    <w:p w14:paraId="020E7FF3">
      <w:pPr>
        <w:pStyle w:val="3"/>
        <w:spacing w:line="249" w:lineRule="auto"/>
        <w:rPr>
          <w:color w:val="auto"/>
          <w:highlight w:val="none"/>
        </w:rPr>
      </w:pPr>
    </w:p>
    <w:p w14:paraId="15CF720B">
      <w:pPr>
        <w:spacing w:before="68" w:line="220" w:lineRule="auto"/>
        <w:ind w:left="1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签字并加盖公章。</w:t>
      </w:r>
    </w:p>
    <w:p w14:paraId="33C86A60">
      <w:pPr>
        <w:spacing w:before="157" w:line="408" w:lineRule="exact"/>
        <w:jc w:val="right"/>
        <w:rPr>
          <w:rFonts w:ascii="宋体" w:hAnsi="宋体" w:eastAsia="宋体" w:cs="宋体"/>
          <w:color w:val="auto"/>
          <w:sz w:val="21"/>
          <w:szCs w:val="21"/>
          <w:highlight w:val="none"/>
        </w:rPr>
      </w:pPr>
      <w:r>
        <w:rPr>
          <w:rFonts w:ascii="宋体" w:hAnsi="宋体" w:eastAsia="宋体" w:cs="宋体"/>
          <w:color w:val="auto"/>
          <w:spacing w:val="-1"/>
          <w:position w:val="15"/>
          <w:sz w:val="21"/>
          <w:szCs w:val="21"/>
          <w:highlight w:val="none"/>
        </w:rPr>
        <w:t>五、本保函项下的权利不得转让，不得设定担保。贵方未经我方书面同意转</w:t>
      </w:r>
      <w:r>
        <w:rPr>
          <w:rFonts w:ascii="宋体" w:hAnsi="宋体" w:eastAsia="宋体" w:cs="宋体"/>
          <w:color w:val="auto"/>
          <w:spacing w:val="48"/>
          <w:position w:val="15"/>
          <w:sz w:val="21"/>
          <w:szCs w:val="21"/>
          <w:highlight w:val="none"/>
        </w:rPr>
        <w:t xml:space="preserve"> </w:t>
      </w:r>
      <w:r>
        <w:rPr>
          <w:rFonts w:ascii="宋体" w:hAnsi="宋体" w:eastAsia="宋体" w:cs="宋体"/>
          <w:color w:val="auto"/>
          <w:spacing w:val="-1"/>
          <w:position w:val="15"/>
          <w:sz w:val="21"/>
          <w:szCs w:val="21"/>
          <w:highlight w:val="none"/>
        </w:rPr>
        <w:t>让本保函</w:t>
      </w:r>
    </w:p>
    <w:p w14:paraId="370B8660">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或其项下任何权利， 对我方不发生法律效力。</w:t>
      </w:r>
    </w:p>
    <w:p w14:paraId="103D3888">
      <w:pPr>
        <w:spacing w:before="158" w:line="408"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5"/>
          <w:sz w:val="21"/>
          <w:szCs w:val="21"/>
          <w:highlight w:val="none"/>
        </w:rPr>
        <w:t>六、与本保函有关的基础合同不成立、不生效、无效、被撤销、被解除，不影响本保</w:t>
      </w:r>
    </w:p>
    <w:p w14:paraId="38821684">
      <w:pPr>
        <w:spacing w:line="221" w:lineRule="auto"/>
        <w:ind w:left="3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函的独立有效。</w:t>
      </w:r>
    </w:p>
    <w:p w14:paraId="1B46B745">
      <w:pPr>
        <w:spacing w:before="161" w:line="359" w:lineRule="auto"/>
        <w:ind w:left="20" w:right="6" w:firstLine="4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七、贵方应在本保函到期后的七日内将本保函正本退回我方注销，但是不论贵方是否 </w:t>
      </w:r>
      <w:r>
        <w:rPr>
          <w:rFonts w:ascii="宋体" w:hAnsi="宋体" w:eastAsia="宋体" w:cs="宋体"/>
          <w:color w:val="auto"/>
          <w:sz w:val="21"/>
          <w:szCs w:val="21"/>
          <w:highlight w:val="none"/>
        </w:rPr>
        <w:t>按此要求将本保函正本退回我方， 我方在本保函项下的义务和责任均在保函有效期到期后</w:t>
      </w:r>
    </w:p>
    <w:p w14:paraId="1FDDEE1E">
      <w:pPr>
        <w:spacing w:line="221" w:lineRule="auto"/>
        <w:ind w:left="52"/>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自动消灭。</w:t>
      </w:r>
    </w:p>
    <w:p w14:paraId="0C39A5EF">
      <w:pPr>
        <w:spacing w:before="156" w:line="408" w:lineRule="exact"/>
        <w:ind w:right="13"/>
        <w:jc w:val="right"/>
        <w:rPr>
          <w:rFonts w:ascii="宋体" w:hAnsi="宋体" w:eastAsia="宋体" w:cs="宋体"/>
          <w:color w:val="auto"/>
          <w:sz w:val="21"/>
          <w:szCs w:val="21"/>
          <w:highlight w:val="none"/>
        </w:rPr>
      </w:pPr>
      <w:r>
        <w:rPr>
          <w:rFonts w:ascii="宋体" w:hAnsi="宋体" w:eastAsia="宋体" w:cs="宋体"/>
          <w:color w:val="auto"/>
          <w:spacing w:val="10"/>
          <w:position w:val="15"/>
          <w:sz w:val="21"/>
          <w:szCs w:val="21"/>
          <w:highlight w:val="none"/>
        </w:rPr>
        <w:t>八、本保函适用的法律为中华人民共和国法律，</w:t>
      </w:r>
      <w:r>
        <w:rPr>
          <w:rFonts w:ascii="宋体" w:hAnsi="宋体" w:eastAsia="宋体" w:cs="宋体"/>
          <w:color w:val="auto"/>
          <w:spacing w:val="79"/>
          <w:position w:val="15"/>
          <w:sz w:val="21"/>
          <w:szCs w:val="21"/>
          <w:highlight w:val="none"/>
        </w:rPr>
        <w:t xml:space="preserve"> </w:t>
      </w:r>
      <w:r>
        <w:rPr>
          <w:rFonts w:ascii="宋体" w:hAnsi="宋体" w:eastAsia="宋体" w:cs="宋体"/>
          <w:color w:val="auto"/>
          <w:spacing w:val="10"/>
          <w:position w:val="15"/>
          <w:sz w:val="21"/>
          <w:szCs w:val="21"/>
          <w:highlight w:val="none"/>
        </w:rPr>
        <w:t>争议裁</w:t>
      </w:r>
      <w:r>
        <w:rPr>
          <w:rFonts w:ascii="宋体" w:hAnsi="宋体" w:eastAsia="宋体" w:cs="宋体"/>
          <w:color w:val="auto"/>
          <w:spacing w:val="9"/>
          <w:position w:val="15"/>
          <w:sz w:val="21"/>
          <w:szCs w:val="21"/>
          <w:highlight w:val="none"/>
        </w:rPr>
        <w:t>判管辖地为中华人民共和</w:t>
      </w:r>
    </w:p>
    <w:p w14:paraId="2AA51A5C">
      <w:pPr>
        <w:spacing w:before="1" w:line="223" w:lineRule="auto"/>
        <w:ind w:left="39"/>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国</w:t>
      </w:r>
      <w:r>
        <w:rPr>
          <w:rFonts w:ascii="宋体" w:hAnsi="宋体" w:eastAsia="宋体" w:cs="宋体"/>
          <w:color w:val="auto"/>
          <w:spacing w:val="-105"/>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4"/>
          <w:sz w:val="21"/>
          <w:szCs w:val="21"/>
          <w:highlight w:val="none"/>
        </w:rPr>
        <w:t>。</w:t>
      </w:r>
    </w:p>
    <w:p w14:paraId="088A3643">
      <w:pPr>
        <w:spacing w:before="154" w:line="220" w:lineRule="auto"/>
        <w:ind w:left="44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九、本保函自我方法定代表人或授权代表签字并加盖公章之日起生效。</w:t>
      </w:r>
    </w:p>
    <w:p w14:paraId="0672DE68">
      <w:pPr>
        <w:pStyle w:val="3"/>
        <w:spacing w:line="262" w:lineRule="auto"/>
        <w:rPr>
          <w:color w:val="auto"/>
          <w:highlight w:val="none"/>
        </w:rPr>
      </w:pPr>
    </w:p>
    <w:p w14:paraId="0288C67E">
      <w:pPr>
        <w:pStyle w:val="3"/>
        <w:spacing w:line="262" w:lineRule="auto"/>
        <w:rPr>
          <w:color w:val="auto"/>
          <w:highlight w:val="none"/>
        </w:rPr>
      </w:pPr>
    </w:p>
    <w:p w14:paraId="0E097EB7">
      <w:pPr>
        <w:pStyle w:val="3"/>
        <w:spacing w:line="262" w:lineRule="auto"/>
        <w:rPr>
          <w:color w:val="auto"/>
          <w:highlight w:val="none"/>
        </w:rPr>
      </w:pPr>
    </w:p>
    <w:p w14:paraId="5722E0E1">
      <w:pPr>
        <w:pStyle w:val="3"/>
        <w:spacing w:line="262" w:lineRule="auto"/>
        <w:rPr>
          <w:color w:val="auto"/>
          <w:highlight w:val="none"/>
        </w:rPr>
      </w:pPr>
    </w:p>
    <w:p w14:paraId="7A0788D4">
      <w:pPr>
        <w:pStyle w:val="3"/>
        <w:spacing w:line="262" w:lineRule="auto"/>
        <w:rPr>
          <w:color w:val="auto"/>
          <w:highlight w:val="none"/>
        </w:rPr>
      </w:pPr>
    </w:p>
    <w:p w14:paraId="6E6E27A2">
      <w:pPr>
        <w:spacing w:before="69" w:line="408" w:lineRule="exact"/>
        <w:ind w:left="442"/>
        <w:rPr>
          <w:rFonts w:ascii="宋体" w:hAnsi="宋体" w:eastAsia="宋体" w:cs="宋体"/>
          <w:color w:val="auto"/>
          <w:sz w:val="21"/>
          <w:szCs w:val="21"/>
          <w:highlight w:val="none"/>
        </w:rPr>
      </w:pPr>
      <w:r>
        <w:rPr>
          <w:color w:val="auto"/>
          <w:highlight w:val="none"/>
        </w:rPr>
        <w:pict>
          <v:shape id="_x0000_s2071" o:spid="_x0000_s2071" o:spt="202" type="#_x0000_t202" style="position:absolute;left:0pt;margin-left:21.1pt;margin-top:-18.15pt;height:14.65pt;width:51.9pt;z-index:251683840;mso-width-relative:page;mso-height-relative:page;" filled="f" stroked="f" coordsize="21600,21600">
            <v:path/>
            <v:fill on="f" focussize="0,0"/>
            <v:stroke on="f"/>
            <v:imagedata o:title=""/>
            <o:lock v:ext="edit" aspectratio="f"/>
            <v:textbox inset="0mm,0mm,0mm,0mm">
              <w:txbxContent>
                <w:p w14:paraId="1033BAEF">
                  <w:pPr>
                    <w:spacing w:before="20" w:line="222" w:lineRule="auto"/>
                    <w:jc w:val="right"/>
                    <w:rPr>
                      <w:rFonts w:ascii="宋体" w:hAnsi="宋体" w:eastAsia="宋体" w:cs="宋体"/>
                      <w:sz w:val="21"/>
                      <w:szCs w:val="21"/>
                    </w:rPr>
                  </w:pPr>
                  <w:r>
                    <w:rPr>
                      <w:rFonts w:ascii="宋体" w:hAnsi="宋体" w:eastAsia="宋体" w:cs="宋体"/>
                      <w:spacing w:val="-18"/>
                      <w:sz w:val="21"/>
                      <w:szCs w:val="21"/>
                    </w:rPr>
                    <w:t>开</w:t>
                  </w:r>
                  <w:r>
                    <w:rPr>
                      <w:rFonts w:ascii="宋体" w:hAnsi="宋体" w:eastAsia="宋体" w:cs="宋体"/>
                      <w:spacing w:val="8"/>
                      <w:sz w:val="21"/>
                      <w:szCs w:val="21"/>
                    </w:rPr>
                    <w:t xml:space="preserve"> </w:t>
                  </w:r>
                  <w:r>
                    <w:rPr>
                      <w:rFonts w:ascii="宋体" w:hAnsi="宋体" w:eastAsia="宋体" w:cs="宋体"/>
                      <w:spacing w:val="-18"/>
                      <w:sz w:val="21"/>
                      <w:szCs w:val="21"/>
                    </w:rPr>
                    <w:t>立</w:t>
                  </w:r>
                  <w:r>
                    <w:rPr>
                      <w:rFonts w:ascii="宋体" w:hAnsi="宋体" w:eastAsia="宋体" w:cs="宋体"/>
                      <w:spacing w:val="10"/>
                      <w:sz w:val="21"/>
                      <w:szCs w:val="21"/>
                    </w:rPr>
                    <w:t xml:space="preserve"> </w:t>
                  </w:r>
                  <w:r>
                    <w:rPr>
                      <w:rFonts w:ascii="宋体" w:hAnsi="宋体" w:eastAsia="宋体" w:cs="宋体"/>
                      <w:spacing w:val="-18"/>
                      <w:sz w:val="21"/>
                      <w:szCs w:val="21"/>
                    </w:rPr>
                    <w:t>人：</w:t>
                  </w:r>
                </w:p>
              </w:txbxContent>
            </v:textbox>
          </v:shape>
        </w:pict>
      </w:r>
      <w:r>
        <w:rPr>
          <w:color w:val="auto"/>
          <w:highlight w:val="none"/>
        </w:rPr>
        <w:pict>
          <v:shape id="_x0000_s2072" o:spid="_x0000_s2072" o:spt="202" type="#_x0000_t202" style="position:absolute;left:0pt;margin-left:231.65pt;margin-top:-18.15pt;height:35.2pt;width:42.35pt;z-index:251682816;mso-width-relative:page;mso-height-relative:page;" filled="f" stroked="f" coordsize="21600,21600">
            <v:path/>
            <v:fill on="f" focussize="0,0"/>
            <v:stroke on="f"/>
            <v:imagedata o:title=""/>
            <o:lock v:ext="edit" aspectratio="f"/>
            <v:textbox inset="0mm,0mm,0mm,0mm">
              <w:txbxContent>
                <w:p w14:paraId="1841962B">
                  <w:pPr>
                    <w:spacing w:before="20" w:line="412" w:lineRule="exact"/>
                    <w:ind w:right="1"/>
                    <w:jc w:val="right"/>
                    <w:rPr>
                      <w:rFonts w:ascii="宋体" w:hAnsi="宋体" w:eastAsia="宋体" w:cs="宋体"/>
                      <w:sz w:val="21"/>
                      <w:szCs w:val="21"/>
                    </w:rPr>
                  </w:pPr>
                  <w:r>
                    <w:rPr>
                      <w:rFonts w:ascii="宋体" w:hAnsi="宋体" w:eastAsia="宋体" w:cs="宋体"/>
                      <w:spacing w:val="-4"/>
                      <w:position w:val="15"/>
                      <w:sz w:val="21"/>
                      <w:szCs w:val="21"/>
                    </w:rPr>
                    <w:t>（公章）</w:t>
                  </w:r>
                </w:p>
                <w:p w14:paraId="46C60C4B">
                  <w:pPr>
                    <w:spacing w:line="220" w:lineRule="auto"/>
                    <w:ind w:right="1"/>
                    <w:jc w:val="right"/>
                    <w:rPr>
                      <w:rFonts w:ascii="宋体" w:hAnsi="宋体" w:eastAsia="宋体" w:cs="宋体"/>
                      <w:sz w:val="21"/>
                      <w:szCs w:val="21"/>
                    </w:rPr>
                  </w:pPr>
                  <w:r>
                    <w:rPr>
                      <w:rFonts w:ascii="宋体" w:hAnsi="宋体" w:eastAsia="宋体" w:cs="宋体"/>
                      <w:spacing w:val="-4"/>
                      <w:sz w:val="21"/>
                      <w:szCs w:val="21"/>
                    </w:rPr>
                    <w:t>（签字）</w:t>
                  </w:r>
                </w:p>
              </w:txbxContent>
            </v:textbox>
          </v:shape>
        </w:pict>
      </w:r>
      <w:r>
        <w:rPr>
          <w:rFonts w:ascii="宋体" w:hAnsi="宋体" w:eastAsia="宋体" w:cs="宋体"/>
          <w:color w:val="auto"/>
          <w:spacing w:val="-8"/>
          <w:position w:val="14"/>
          <w:sz w:val="21"/>
          <w:szCs w:val="21"/>
          <w:highlight w:val="none"/>
        </w:rPr>
        <w:t>法定代表人（或授权代表</w:t>
      </w:r>
      <w:r>
        <w:rPr>
          <w:rFonts w:ascii="宋体" w:hAnsi="宋体" w:eastAsia="宋体" w:cs="宋体"/>
          <w:color w:val="auto"/>
          <w:spacing w:val="-19"/>
          <w:position w:val="14"/>
          <w:sz w:val="21"/>
          <w:szCs w:val="21"/>
          <w:highlight w:val="none"/>
        </w:rPr>
        <w:t>）：</w:t>
      </w:r>
    </w:p>
    <w:p w14:paraId="39CF8616">
      <w:pPr>
        <w:spacing w:before="1" w:line="229" w:lineRule="auto"/>
        <w:ind w:left="441"/>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地</w:t>
      </w:r>
      <w:r>
        <w:rPr>
          <w:rFonts w:ascii="宋体" w:hAnsi="宋体" w:eastAsia="宋体" w:cs="宋体"/>
          <w:color w:val="auto"/>
          <w:spacing w:val="2"/>
          <w:sz w:val="21"/>
          <w:szCs w:val="21"/>
          <w:highlight w:val="none"/>
        </w:rPr>
        <w:t xml:space="preserve">    </w:t>
      </w:r>
      <w:r>
        <w:rPr>
          <w:rFonts w:ascii="宋体" w:hAnsi="宋体" w:eastAsia="宋体" w:cs="宋体"/>
          <w:color w:val="auto"/>
          <w:spacing w:val="-12"/>
          <w:sz w:val="21"/>
          <w:szCs w:val="21"/>
          <w:highlight w:val="none"/>
        </w:rPr>
        <w:t>址：</w:t>
      </w:r>
    </w:p>
    <w:p w14:paraId="35FFDA53">
      <w:pPr>
        <w:spacing w:before="147" w:line="408" w:lineRule="exact"/>
        <w:ind w:left="456"/>
        <w:rPr>
          <w:rFonts w:ascii="宋体" w:hAnsi="宋体" w:eastAsia="宋体" w:cs="宋体"/>
          <w:color w:val="auto"/>
          <w:sz w:val="21"/>
          <w:szCs w:val="21"/>
          <w:highlight w:val="none"/>
        </w:rPr>
      </w:pPr>
      <w:r>
        <w:rPr>
          <w:rFonts w:ascii="宋体" w:hAnsi="宋体" w:eastAsia="宋体" w:cs="宋体"/>
          <w:color w:val="auto"/>
          <w:spacing w:val="-11"/>
          <w:position w:val="14"/>
          <w:sz w:val="21"/>
          <w:szCs w:val="21"/>
          <w:highlight w:val="none"/>
        </w:rPr>
        <w:t>邮政编码：</w:t>
      </w:r>
    </w:p>
    <w:p w14:paraId="16FAD7BF">
      <w:pPr>
        <w:spacing w:before="1" w:line="222" w:lineRule="auto"/>
        <w:ind w:left="465"/>
        <w:rPr>
          <w:rFonts w:ascii="宋体" w:hAnsi="宋体" w:eastAsia="宋体" w:cs="宋体"/>
          <w:color w:val="auto"/>
          <w:sz w:val="21"/>
          <w:szCs w:val="21"/>
          <w:highlight w:val="none"/>
        </w:rPr>
      </w:pPr>
      <w:r>
        <w:rPr>
          <w:rFonts w:ascii="宋体" w:hAnsi="宋体" w:eastAsia="宋体" w:cs="宋体"/>
          <w:color w:val="auto"/>
          <w:spacing w:val="-20"/>
          <w:sz w:val="21"/>
          <w:szCs w:val="21"/>
          <w:highlight w:val="none"/>
        </w:rPr>
        <w:t>电</w:t>
      </w:r>
      <w:r>
        <w:rPr>
          <w:rFonts w:ascii="宋体" w:hAnsi="宋体" w:eastAsia="宋体" w:cs="宋体"/>
          <w:color w:val="auto"/>
          <w:spacing w:val="2"/>
          <w:sz w:val="21"/>
          <w:szCs w:val="21"/>
          <w:highlight w:val="none"/>
        </w:rPr>
        <w:t xml:space="preserve">    </w:t>
      </w:r>
      <w:r>
        <w:rPr>
          <w:rFonts w:ascii="宋体" w:hAnsi="宋体" w:eastAsia="宋体" w:cs="宋体"/>
          <w:color w:val="auto"/>
          <w:spacing w:val="-20"/>
          <w:sz w:val="21"/>
          <w:szCs w:val="21"/>
          <w:highlight w:val="none"/>
        </w:rPr>
        <w:t>话：</w:t>
      </w:r>
    </w:p>
    <w:p w14:paraId="196C7D1E">
      <w:pPr>
        <w:spacing w:before="154" w:line="220" w:lineRule="auto"/>
        <w:ind w:left="439"/>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传</w:t>
      </w:r>
      <w:r>
        <w:rPr>
          <w:rFonts w:ascii="宋体" w:hAnsi="宋体" w:eastAsia="宋体" w:cs="宋体"/>
          <w:color w:val="auto"/>
          <w:spacing w:val="3"/>
          <w:sz w:val="21"/>
          <w:szCs w:val="21"/>
          <w:highlight w:val="none"/>
        </w:rPr>
        <w:t xml:space="preserve">    </w:t>
      </w:r>
      <w:r>
        <w:rPr>
          <w:rFonts w:ascii="宋体" w:hAnsi="宋体" w:eastAsia="宋体" w:cs="宋体"/>
          <w:color w:val="auto"/>
          <w:spacing w:val="-12"/>
          <w:sz w:val="21"/>
          <w:szCs w:val="21"/>
          <w:highlight w:val="none"/>
        </w:rPr>
        <w:t>真：</w:t>
      </w:r>
    </w:p>
    <w:p w14:paraId="5D1E34A5">
      <w:pPr>
        <w:spacing w:before="157" w:line="221" w:lineRule="auto"/>
        <w:ind w:left="442"/>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开立时间：</w:t>
      </w:r>
      <w:r>
        <w:rPr>
          <w:rFonts w:ascii="宋体" w:hAnsi="宋体" w:eastAsia="宋体" w:cs="宋体"/>
          <w:color w:val="auto"/>
          <w:spacing w:val="14"/>
          <w:sz w:val="21"/>
          <w:szCs w:val="21"/>
          <w:highlight w:val="none"/>
        </w:rPr>
        <w:t xml:space="preserve">      </w:t>
      </w:r>
      <w:r>
        <w:rPr>
          <w:rFonts w:ascii="宋体" w:hAnsi="宋体" w:eastAsia="宋体" w:cs="宋体"/>
          <w:color w:val="auto"/>
          <w:spacing w:val="-13"/>
          <w:sz w:val="21"/>
          <w:szCs w:val="21"/>
          <w:highlight w:val="none"/>
        </w:rPr>
        <w:t>年</w:t>
      </w:r>
      <w:r>
        <w:rPr>
          <w:rFonts w:ascii="宋体" w:hAnsi="宋体" w:eastAsia="宋体" w:cs="宋体"/>
          <w:color w:val="auto"/>
          <w:spacing w:val="2"/>
          <w:sz w:val="21"/>
          <w:szCs w:val="21"/>
          <w:highlight w:val="none"/>
        </w:rPr>
        <w:t xml:space="preserve">      </w:t>
      </w:r>
      <w:r>
        <w:rPr>
          <w:rFonts w:ascii="宋体" w:hAnsi="宋体" w:eastAsia="宋体" w:cs="宋体"/>
          <w:color w:val="auto"/>
          <w:spacing w:val="-13"/>
          <w:sz w:val="21"/>
          <w:szCs w:val="21"/>
          <w:highlight w:val="none"/>
        </w:rPr>
        <w:t>月</w:t>
      </w:r>
      <w:r>
        <w:rPr>
          <w:rFonts w:ascii="宋体" w:hAnsi="宋体" w:eastAsia="宋体" w:cs="宋体"/>
          <w:color w:val="auto"/>
          <w:spacing w:val="5"/>
          <w:sz w:val="21"/>
          <w:szCs w:val="21"/>
          <w:highlight w:val="none"/>
        </w:rPr>
        <w:t xml:space="preserve">        </w:t>
      </w:r>
      <w:r>
        <w:rPr>
          <w:rFonts w:ascii="宋体" w:hAnsi="宋体" w:eastAsia="宋体" w:cs="宋体"/>
          <w:color w:val="auto"/>
          <w:spacing w:val="-13"/>
          <w:sz w:val="21"/>
          <w:szCs w:val="21"/>
          <w:highlight w:val="none"/>
        </w:rPr>
        <w:t>日</w:t>
      </w:r>
    </w:p>
    <w:p w14:paraId="38686E7F">
      <w:pPr>
        <w:spacing w:line="221" w:lineRule="auto"/>
        <w:rPr>
          <w:rFonts w:ascii="宋体" w:hAnsi="宋体" w:eastAsia="宋体" w:cs="宋体"/>
          <w:color w:val="auto"/>
          <w:sz w:val="21"/>
          <w:szCs w:val="21"/>
          <w:highlight w:val="none"/>
        </w:rPr>
        <w:sectPr>
          <w:footerReference r:id="rId167" w:type="default"/>
          <w:pgSz w:w="11905" w:h="16839"/>
          <w:pgMar w:top="400" w:right="1785" w:bottom="1004" w:left="1785" w:header="0" w:footer="828" w:gutter="0"/>
          <w:pgNumType w:fmt="decimal"/>
          <w:cols w:space="720" w:num="1"/>
        </w:sectPr>
      </w:pPr>
    </w:p>
    <w:p w14:paraId="3AF5F383">
      <w:pPr>
        <w:pStyle w:val="3"/>
        <w:spacing w:line="276" w:lineRule="auto"/>
        <w:rPr>
          <w:color w:val="auto"/>
          <w:highlight w:val="none"/>
        </w:rPr>
      </w:pPr>
    </w:p>
    <w:p w14:paraId="4FEF853F">
      <w:pPr>
        <w:pStyle w:val="3"/>
        <w:spacing w:line="276" w:lineRule="auto"/>
        <w:rPr>
          <w:color w:val="auto"/>
          <w:highlight w:val="none"/>
        </w:rPr>
      </w:pPr>
    </w:p>
    <w:p w14:paraId="22790F59">
      <w:pPr>
        <w:pStyle w:val="3"/>
        <w:spacing w:line="276" w:lineRule="auto"/>
        <w:rPr>
          <w:color w:val="auto"/>
          <w:highlight w:val="none"/>
        </w:rPr>
      </w:pPr>
    </w:p>
    <w:p w14:paraId="1B583837">
      <w:pPr>
        <w:pStyle w:val="3"/>
        <w:spacing w:line="276" w:lineRule="auto"/>
        <w:rPr>
          <w:color w:val="auto"/>
          <w:highlight w:val="none"/>
        </w:rPr>
      </w:pPr>
    </w:p>
    <w:p w14:paraId="375827C2">
      <w:pPr>
        <w:spacing w:before="78" w:line="219" w:lineRule="auto"/>
        <w:ind w:left="38"/>
        <w:rPr>
          <w:rFonts w:ascii="Times New Roman" w:hAnsi="Times New Roman" w:eastAsia="Times New Roman" w:cs="Times New Roman"/>
          <w:color w:val="auto"/>
          <w:sz w:val="24"/>
          <w:szCs w:val="24"/>
          <w:highlight w:val="none"/>
        </w:rPr>
      </w:pPr>
      <w:r>
        <w:rPr>
          <w:rFonts w:ascii="宋体" w:hAnsi="宋体" w:eastAsia="宋体" w:cs="宋体"/>
          <w:color w:val="auto"/>
          <w:spacing w:val="-11"/>
          <w:sz w:val="24"/>
          <w:szCs w:val="24"/>
          <w:highlight w:val="none"/>
        </w:rPr>
        <w:t>附件</w:t>
      </w:r>
      <w:r>
        <w:rPr>
          <w:rFonts w:ascii="宋体" w:hAnsi="宋体" w:eastAsia="宋体" w:cs="宋体"/>
          <w:color w:val="auto"/>
          <w:spacing w:val="-30"/>
          <w:sz w:val="24"/>
          <w:szCs w:val="24"/>
          <w:highlight w:val="none"/>
        </w:rPr>
        <w:t xml:space="preserve"> </w:t>
      </w:r>
      <w:r>
        <w:rPr>
          <w:rFonts w:ascii="Times New Roman" w:hAnsi="Times New Roman" w:eastAsia="Times New Roman" w:cs="Times New Roman"/>
          <w:color w:val="auto"/>
          <w:spacing w:val="-11"/>
          <w:sz w:val="24"/>
          <w:szCs w:val="24"/>
          <w:highlight w:val="none"/>
        </w:rPr>
        <w:t>10:</w:t>
      </w:r>
    </w:p>
    <w:p w14:paraId="7933E426">
      <w:pPr>
        <w:spacing w:before="243" w:line="227" w:lineRule="auto"/>
        <w:ind w:left="3626"/>
        <w:rPr>
          <w:rFonts w:ascii="黑体" w:hAnsi="黑体" w:eastAsia="黑体" w:cs="黑体"/>
          <w:color w:val="auto"/>
          <w:sz w:val="27"/>
          <w:szCs w:val="27"/>
          <w:highlight w:val="none"/>
        </w:rPr>
      </w:pPr>
      <w:bookmarkStart w:id="1286" w:name="bookmark232"/>
      <w:bookmarkEnd w:id="1286"/>
      <w:r>
        <w:rPr>
          <w:rFonts w:ascii="黑体" w:hAnsi="黑体" w:eastAsia="黑体" w:cs="黑体"/>
          <w:color w:val="auto"/>
          <w:spacing w:val="3"/>
          <w:sz w:val="27"/>
          <w:szCs w:val="27"/>
          <w:highlight w:val="none"/>
        </w:rPr>
        <w:t>支付担保</w:t>
      </w:r>
    </w:p>
    <w:p w14:paraId="1B600C02">
      <w:pPr>
        <w:tabs>
          <w:tab w:val="left" w:pos="1378"/>
        </w:tabs>
        <w:spacing w:before="283" w:line="221" w:lineRule="auto"/>
        <w:ind w:left="1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27"/>
          <w:sz w:val="21"/>
          <w:szCs w:val="21"/>
          <w:highlight w:val="none"/>
        </w:rPr>
        <w:t xml:space="preserve"> </w:t>
      </w:r>
      <w:r>
        <w:rPr>
          <w:rFonts w:ascii="宋体" w:hAnsi="宋体" w:eastAsia="宋体" w:cs="宋体"/>
          <w:color w:val="auto"/>
          <w:spacing w:val="-26"/>
          <w:w w:val="95"/>
          <w:sz w:val="21"/>
          <w:szCs w:val="21"/>
          <w:highlight w:val="none"/>
        </w:rPr>
        <w:t>（承包人</w:t>
      </w:r>
      <w:r>
        <w:rPr>
          <w:rFonts w:ascii="宋体" w:hAnsi="宋体" w:eastAsia="宋体" w:cs="宋体"/>
          <w:color w:val="auto"/>
          <w:spacing w:val="-26"/>
          <w:sz w:val="21"/>
          <w:szCs w:val="21"/>
          <w:highlight w:val="none"/>
        </w:rPr>
        <w:t>）：</w:t>
      </w:r>
    </w:p>
    <w:p w14:paraId="304F5AF3">
      <w:pPr>
        <w:pStyle w:val="3"/>
        <w:spacing w:line="416" w:lineRule="auto"/>
        <w:rPr>
          <w:color w:val="auto"/>
          <w:highlight w:val="none"/>
        </w:rPr>
      </w:pPr>
    </w:p>
    <w:p w14:paraId="25E5CDC8">
      <w:pPr>
        <w:spacing w:before="69" w:line="359" w:lineRule="auto"/>
        <w:ind w:left="21" w:right="5" w:firstLine="422"/>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鉴于你方作为承包人已经与</w:t>
      </w:r>
      <w:r>
        <w:rPr>
          <w:rFonts w:ascii="宋体" w:hAnsi="宋体" w:eastAsia="宋体" w:cs="宋体"/>
          <w:color w:val="auto"/>
          <w:spacing w:val="-103"/>
          <w:sz w:val="21"/>
          <w:szCs w:val="21"/>
          <w:highlight w:val="none"/>
        </w:rPr>
        <w:t xml:space="preserve"> </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6"/>
          <w:sz w:val="21"/>
          <w:szCs w:val="21"/>
          <w:highlight w:val="none"/>
        </w:rPr>
        <w:t xml:space="preserve"> （发包人名称</w:t>
      </w:r>
      <w:r>
        <w:rPr>
          <w:rFonts w:ascii="宋体" w:hAnsi="宋体" w:eastAsia="宋体" w:cs="宋体"/>
          <w:color w:val="auto"/>
          <w:spacing w:val="-61"/>
          <w:sz w:val="21"/>
          <w:szCs w:val="21"/>
          <w:highlight w:val="none"/>
        </w:rPr>
        <w:t>）（</w:t>
      </w:r>
      <w:r>
        <w:rPr>
          <w:rFonts w:ascii="宋体" w:hAnsi="宋体" w:eastAsia="宋体" w:cs="宋体"/>
          <w:color w:val="auto"/>
          <w:spacing w:val="-7"/>
          <w:sz w:val="21"/>
          <w:szCs w:val="21"/>
          <w:highlight w:val="none"/>
        </w:rPr>
        <w:t>以下称“发包人</w:t>
      </w:r>
      <w:r>
        <w:rPr>
          <w:rFonts w:ascii="宋体" w:hAnsi="宋体" w:eastAsia="宋体" w:cs="宋体"/>
          <w:color w:val="auto"/>
          <w:spacing w:val="-77"/>
          <w:sz w:val="21"/>
          <w:szCs w:val="21"/>
          <w:highlight w:val="none"/>
        </w:rPr>
        <w:t xml:space="preserve"> </w:t>
      </w:r>
      <w:r>
        <w:rPr>
          <w:rFonts w:ascii="宋体" w:hAnsi="宋体" w:eastAsia="宋体" w:cs="宋体"/>
          <w:color w:val="auto"/>
          <w:spacing w:val="-7"/>
          <w:sz w:val="21"/>
          <w:szCs w:val="21"/>
          <w:highlight w:val="none"/>
        </w:rPr>
        <w:t>”）于</w:t>
      </w:r>
      <w:r>
        <w:rPr>
          <w:rFonts w:ascii="宋体" w:hAnsi="宋体" w:eastAsia="宋体" w:cs="宋体"/>
          <w:color w:val="auto"/>
          <w:spacing w:val="-92"/>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4"/>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9"/>
          <w:sz w:val="21"/>
          <w:szCs w:val="21"/>
          <w:highlight w:val="none"/>
        </w:rPr>
        <w:t>月</w:t>
      </w:r>
      <w:r>
        <w:rPr>
          <w:rFonts w:ascii="宋体" w:hAnsi="宋体" w:eastAsia="宋体" w:cs="宋体"/>
          <w:color w:val="auto"/>
          <w:spacing w:val="-102"/>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58"/>
          <w:sz w:val="21"/>
          <w:szCs w:val="21"/>
          <w:highlight w:val="none"/>
        </w:rPr>
        <w:t xml:space="preserve"> </w:t>
      </w:r>
      <w:r>
        <w:rPr>
          <w:rFonts w:ascii="宋体" w:hAnsi="宋体" w:eastAsia="宋体" w:cs="宋体"/>
          <w:color w:val="auto"/>
          <w:spacing w:val="-9"/>
          <w:sz w:val="21"/>
          <w:szCs w:val="21"/>
          <w:highlight w:val="none"/>
        </w:rPr>
        <w:t>日签订了</w:t>
      </w:r>
      <w:r>
        <w:rPr>
          <w:rFonts w:ascii="宋体" w:hAnsi="宋体" w:eastAsia="宋体" w:cs="宋体"/>
          <w:color w:val="auto"/>
          <w:spacing w:val="-105"/>
          <w:sz w:val="21"/>
          <w:szCs w:val="21"/>
          <w:highlight w:val="none"/>
        </w:rPr>
        <w:t xml:space="preserve"> </w:t>
      </w:r>
      <w:r>
        <w:rPr>
          <w:rFonts w:ascii="宋体" w:hAnsi="宋体" w:eastAsia="宋体" w:cs="宋体"/>
          <w:color w:val="auto"/>
          <w:spacing w:val="-9"/>
          <w:sz w:val="21"/>
          <w:szCs w:val="21"/>
          <w:highlight w:val="none"/>
          <w:u w:val="single" w:color="auto"/>
        </w:rPr>
        <w:t xml:space="preserve">             </w:t>
      </w:r>
      <w:r>
        <w:rPr>
          <w:rFonts w:ascii="宋体" w:hAnsi="宋体" w:eastAsia="宋体" w:cs="宋体"/>
          <w:color w:val="auto"/>
          <w:spacing w:val="-9"/>
          <w:sz w:val="21"/>
          <w:szCs w:val="21"/>
          <w:highlight w:val="none"/>
        </w:rPr>
        <w:t xml:space="preserve"> （工程名称）《建设工程施工合同》（以下称“主合同</w:t>
      </w:r>
      <w:r>
        <w:rPr>
          <w:rFonts w:ascii="宋体" w:hAnsi="宋体" w:eastAsia="宋体" w:cs="宋体"/>
          <w:color w:val="auto"/>
          <w:spacing w:val="-81"/>
          <w:sz w:val="21"/>
          <w:szCs w:val="21"/>
          <w:highlight w:val="none"/>
        </w:rPr>
        <w:t xml:space="preserve"> </w:t>
      </w:r>
      <w:r>
        <w:rPr>
          <w:rFonts w:ascii="宋体" w:hAnsi="宋体" w:eastAsia="宋体" w:cs="宋体"/>
          <w:color w:val="auto"/>
          <w:spacing w:val="-9"/>
          <w:sz w:val="21"/>
          <w:szCs w:val="21"/>
          <w:highlight w:val="none"/>
        </w:rPr>
        <w:t>”</w:t>
      </w:r>
      <w:r>
        <w:rPr>
          <w:rFonts w:ascii="宋体" w:hAnsi="宋体" w:eastAsia="宋体" w:cs="宋体"/>
          <w:color w:val="auto"/>
          <w:spacing w:val="-37"/>
          <w:w w:val="68"/>
          <w:sz w:val="21"/>
          <w:szCs w:val="21"/>
          <w:highlight w:val="none"/>
        </w:rPr>
        <w:t>），</w:t>
      </w:r>
      <w:r>
        <w:rPr>
          <w:rFonts w:ascii="宋体" w:hAnsi="宋体" w:eastAsia="宋体" w:cs="宋体"/>
          <w:color w:val="auto"/>
          <w:spacing w:val="-9"/>
          <w:sz w:val="21"/>
          <w:szCs w:val="21"/>
          <w:highlight w:val="none"/>
        </w:rPr>
        <w:t>应</w:t>
      </w:r>
      <w:r>
        <w:rPr>
          <w:rFonts w:ascii="宋体" w:hAnsi="宋体" w:eastAsia="宋体" w:cs="宋体"/>
          <w:color w:val="auto"/>
          <w:sz w:val="21"/>
          <w:szCs w:val="21"/>
          <w:highlight w:val="none"/>
        </w:rPr>
        <w:t xml:space="preserve"> 发包人的申请，我方愿就发包人履行主合同约定的工程款支付义务</w:t>
      </w:r>
      <w:r>
        <w:rPr>
          <w:rFonts w:ascii="宋体" w:hAnsi="宋体" w:eastAsia="宋体" w:cs="宋体"/>
          <w:color w:val="auto"/>
          <w:spacing w:val="-1"/>
          <w:sz w:val="21"/>
          <w:szCs w:val="21"/>
          <w:highlight w:val="none"/>
        </w:rPr>
        <w:t>以保证的方式向你方提</w:t>
      </w:r>
    </w:p>
    <w:p w14:paraId="163B1CC4">
      <w:pPr>
        <w:spacing w:line="219"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供如下担保：</w:t>
      </w:r>
    </w:p>
    <w:p w14:paraId="4AE1DC6C">
      <w:pPr>
        <w:spacing w:before="157" w:line="220" w:lineRule="auto"/>
        <w:ind w:left="444"/>
        <w:rPr>
          <w:rFonts w:ascii="黑体" w:hAnsi="黑体" w:eastAsia="黑体" w:cs="黑体"/>
          <w:color w:val="auto"/>
          <w:sz w:val="21"/>
          <w:szCs w:val="21"/>
          <w:highlight w:val="none"/>
        </w:rPr>
      </w:pPr>
      <w:r>
        <w:rPr>
          <w:rFonts w:ascii="黑体" w:hAnsi="黑体" w:eastAsia="黑体" w:cs="黑体"/>
          <w:color w:val="auto"/>
          <w:spacing w:val="-2"/>
          <w:sz w:val="21"/>
          <w:szCs w:val="21"/>
          <w:highlight w:val="none"/>
        </w:rPr>
        <w:t>一、保证的范围及保证金额</w:t>
      </w:r>
    </w:p>
    <w:p w14:paraId="2B67BFC9">
      <w:pPr>
        <w:spacing w:before="96"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1. </w:t>
      </w:r>
      <w:r>
        <w:rPr>
          <w:rFonts w:ascii="宋体" w:hAnsi="宋体" w:eastAsia="宋体" w:cs="宋体"/>
          <w:color w:val="auto"/>
          <w:spacing w:val="-2"/>
          <w:sz w:val="21"/>
          <w:szCs w:val="21"/>
          <w:highlight w:val="none"/>
        </w:rPr>
        <w:t>我方的保证范围是主合同约定的工程款。</w:t>
      </w:r>
    </w:p>
    <w:p w14:paraId="5F78C958">
      <w:pPr>
        <w:spacing w:before="157" w:line="408" w:lineRule="exact"/>
        <w:ind w:left="437"/>
        <w:rPr>
          <w:rFonts w:ascii="宋体" w:hAnsi="宋体" w:eastAsia="宋体" w:cs="宋体"/>
          <w:color w:val="auto"/>
          <w:sz w:val="21"/>
          <w:szCs w:val="21"/>
          <w:highlight w:val="none"/>
        </w:rPr>
      </w:pPr>
      <w:r>
        <w:rPr>
          <w:rFonts w:ascii="Times New Roman" w:hAnsi="Times New Roman" w:eastAsia="Times New Roman" w:cs="Times New Roman"/>
          <w:color w:val="auto"/>
          <w:position w:val="15"/>
          <w:sz w:val="21"/>
          <w:szCs w:val="21"/>
          <w:highlight w:val="none"/>
        </w:rPr>
        <w:t xml:space="preserve">2. </w:t>
      </w:r>
      <w:r>
        <w:rPr>
          <w:rFonts w:ascii="宋体" w:hAnsi="宋体" w:eastAsia="宋体" w:cs="宋体"/>
          <w:color w:val="auto"/>
          <w:position w:val="15"/>
          <w:sz w:val="21"/>
          <w:szCs w:val="21"/>
          <w:highlight w:val="none"/>
        </w:rPr>
        <w:t>本保函所称主合同约定的工程款是指主合同约定的除工程质量保证金以外的合</w:t>
      </w:r>
      <w:r>
        <w:rPr>
          <w:rFonts w:ascii="宋体" w:hAnsi="宋体" w:eastAsia="宋体" w:cs="宋体"/>
          <w:color w:val="auto"/>
          <w:spacing w:val="-1"/>
          <w:position w:val="15"/>
          <w:sz w:val="21"/>
          <w:szCs w:val="21"/>
          <w:highlight w:val="none"/>
        </w:rPr>
        <w:t>同价</w:t>
      </w:r>
    </w:p>
    <w:p w14:paraId="6A26B1B7">
      <w:pPr>
        <w:spacing w:line="222" w:lineRule="auto"/>
        <w:ind w:left="19"/>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款。</w:t>
      </w:r>
    </w:p>
    <w:p w14:paraId="2F6D68ED">
      <w:pPr>
        <w:spacing w:before="160" w:line="359"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3. </w:t>
      </w:r>
      <w:r>
        <w:rPr>
          <w:rFonts w:ascii="宋体" w:hAnsi="宋体" w:eastAsia="宋体" w:cs="宋体"/>
          <w:color w:val="auto"/>
          <w:sz w:val="21"/>
          <w:szCs w:val="21"/>
          <w:highlight w:val="none"/>
        </w:rPr>
        <w:t>我方保证的金额是主合同约定的工程款的</w:t>
      </w:r>
      <w:r>
        <w:rPr>
          <w:rFonts w:ascii="宋体" w:hAnsi="宋体" w:eastAsia="宋体" w:cs="宋体"/>
          <w:color w:val="auto"/>
          <w:spacing w:val="-104"/>
          <w:sz w:val="21"/>
          <w:szCs w:val="21"/>
          <w:highlight w:val="none"/>
        </w:rPr>
        <w:t xml:space="preserve"> </w:t>
      </w:r>
      <w:r>
        <w:rPr>
          <w:rFonts w:ascii="宋体" w:hAnsi="宋体" w:eastAsia="宋体" w:cs="宋体"/>
          <w:color w:val="auto"/>
          <w:spacing w:val="51"/>
          <w:sz w:val="21"/>
          <w:szCs w:val="21"/>
          <w:highlight w:val="none"/>
          <w:u w:val="single" w:color="auto"/>
        </w:rPr>
        <w:t xml:space="preserve">  </w:t>
      </w:r>
      <w:r>
        <w:rPr>
          <w:rFonts w:ascii="宋体" w:hAnsi="宋体" w:eastAsia="宋体" w:cs="宋体"/>
          <w:color w:val="auto"/>
          <w:spacing w:val="-97"/>
          <w:sz w:val="21"/>
          <w:szCs w:val="21"/>
          <w:highlight w:val="none"/>
        </w:rPr>
        <w:t xml:space="preserve"> </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，数额最高不超过人民币元（大</w:t>
      </w:r>
    </w:p>
    <w:p w14:paraId="40731C17">
      <w:pPr>
        <w:spacing w:before="1" w:line="222" w:lineRule="auto"/>
        <w:ind w:left="24"/>
        <w:rPr>
          <w:rFonts w:ascii="宋体" w:hAnsi="宋体" w:eastAsia="宋体" w:cs="宋体"/>
          <w:color w:val="auto"/>
          <w:sz w:val="21"/>
          <w:szCs w:val="21"/>
          <w:highlight w:val="none"/>
        </w:rPr>
      </w:pPr>
      <w:r>
        <w:rPr>
          <w:rFonts w:ascii="宋体" w:hAnsi="宋体" w:eastAsia="宋体" w:cs="宋体"/>
          <w:color w:val="auto"/>
          <w:spacing w:val="-42"/>
          <w:sz w:val="21"/>
          <w:szCs w:val="21"/>
          <w:highlight w:val="none"/>
        </w:rPr>
        <w:t>写</w:t>
      </w:r>
      <w:r>
        <w:rPr>
          <w:rFonts w:ascii="宋体" w:hAnsi="宋体" w:eastAsia="宋体" w:cs="宋体"/>
          <w:color w:val="auto"/>
          <w:spacing w:val="-26"/>
          <w:sz w:val="21"/>
          <w:szCs w:val="21"/>
          <w:highlight w:val="none"/>
        </w:rPr>
        <w:t>：</w:t>
      </w:r>
      <w:r>
        <w:rPr>
          <w:rFonts w:ascii="宋体" w:hAnsi="宋体" w:eastAsia="宋体" w:cs="宋体"/>
          <w:color w:val="auto"/>
          <w:spacing w:val="-33"/>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6"/>
          <w:sz w:val="21"/>
          <w:szCs w:val="21"/>
          <w:highlight w:val="none"/>
        </w:rPr>
        <w:t>）</w:t>
      </w:r>
      <w:r>
        <w:rPr>
          <w:rFonts w:ascii="宋体" w:hAnsi="宋体" w:eastAsia="宋体" w:cs="宋体"/>
          <w:color w:val="auto"/>
          <w:spacing w:val="-42"/>
          <w:sz w:val="21"/>
          <w:szCs w:val="21"/>
          <w:highlight w:val="none"/>
        </w:rPr>
        <w:t>。</w:t>
      </w:r>
    </w:p>
    <w:p w14:paraId="092B2650">
      <w:pPr>
        <w:spacing w:before="155" w:line="219" w:lineRule="auto"/>
        <w:ind w:left="444"/>
        <w:rPr>
          <w:rFonts w:ascii="黑体" w:hAnsi="黑体" w:eastAsia="黑体" w:cs="黑体"/>
          <w:color w:val="auto"/>
          <w:sz w:val="21"/>
          <w:szCs w:val="21"/>
          <w:highlight w:val="none"/>
        </w:rPr>
      </w:pPr>
      <w:r>
        <w:rPr>
          <w:rFonts w:ascii="黑体" w:hAnsi="黑体" w:eastAsia="黑体" w:cs="黑体"/>
          <w:color w:val="auto"/>
          <w:spacing w:val="-7"/>
          <w:sz w:val="21"/>
          <w:szCs w:val="21"/>
          <w:highlight w:val="none"/>
        </w:rPr>
        <w:t>二、</w:t>
      </w:r>
      <w:r>
        <w:rPr>
          <w:rFonts w:ascii="黑体" w:hAnsi="黑体" w:eastAsia="黑体" w:cs="黑体"/>
          <w:color w:val="auto"/>
          <w:spacing w:val="-29"/>
          <w:sz w:val="21"/>
          <w:szCs w:val="21"/>
          <w:highlight w:val="none"/>
        </w:rPr>
        <w:t xml:space="preserve"> </w:t>
      </w:r>
      <w:r>
        <w:rPr>
          <w:rFonts w:ascii="黑体" w:hAnsi="黑体" w:eastAsia="黑体" w:cs="黑体"/>
          <w:color w:val="auto"/>
          <w:spacing w:val="-7"/>
          <w:sz w:val="21"/>
          <w:szCs w:val="21"/>
          <w:highlight w:val="none"/>
        </w:rPr>
        <w:t>保证的方式及保证期间</w:t>
      </w:r>
    </w:p>
    <w:p w14:paraId="5A55F900">
      <w:pPr>
        <w:spacing w:before="96"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 xml:space="preserve">1. </w:t>
      </w:r>
      <w:r>
        <w:rPr>
          <w:rFonts w:ascii="宋体" w:hAnsi="宋体" w:eastAsia="宋体" w:cs="宋体"/>
          <w:color w:val="auto"/>
          <w:spacing w:val="-3"/>
          <w:sz w:val="21"/>
          <w:szCs w:val="21"/>
          <w:highlight w:val="none"/>
        </w:rPr>
        <w:t>我方保证的方式为：连带责任保证。</w:t>
      </w:r>
    </w:p>
    <w:p w14:paraId="3129DA19">
      <w:pPr>
        <w:spacing w:before="157" w:line="359"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 </w:t>
      </w:r>
      <w:r>
        <w:rPr>
          <w:rFonts w:ascii="宋体" w:hAnsi="宋体" w:eastAsia="宋体" w:cs="宋体"/>
          <w:color w:val="auto"/>
          <w:sz w:val="21"/>
          <w:szCs w:val="21"/>
          <w:highlight w:val="none"/>
        </w:rPr>
        <w:t>我方保证的期间为：自本合同生效之日起至主合同约定的工程款支付</w:t>
      </w:r>
      <w:r>
        <w:rPr>
          <w:rFonts w:ascii="宋体" w:hAnsi="宋体" w:eastAsia="宋体" w:cs="宋体"/>
          <w:color w:val="auto"/>
          <w:spacing w:val="-1"/>
          <w:sz w:val="21"/>
          <w:szCs w:val="21"/>
          <w:highlight w:val="none"/>
        </w:rPr>
        <w:t>完毕之日后</w:t>
      </w:r>
      <w:r>
        <w:rPr>
          <w:rFonts w:ascii="宋体" w:hAnsi="宋体" w:eastAsia="宋体" w:cs="宋体"/>
          <w:color w:val="auto"/>
          <w:spacing w:val="-1"/>
          <w:sz w:val="21"/>
          <w:szCs w:val="21"/>
          <w:highlight w:val="none"/>
          <w:u w:val="single" w:color="auto"/>
        </w:rPr>
        <w:t xml:space="preserve">  </w:t>
      </w:r>
    </w:p>
    <w:p w14:paraId="5EA2159B">
      <w:pPr>
        <w:spacing w:line="220" w:lineRule="auto"/>
        <w:ind w:left="54"/>
        <w:rPr>
          <w:rFonts w:ascii="宋体" w:hAnsi="宋体" w:eastAsia="宋体" w:cs="宋体"/>
          <w:color w:val="auto"/>
          <w:sz w:val="21"/>
          <w:szCs w:val="21"/>
          <w:highlight w:val="none"/>
        </w:rPr>
      </w:pPr>
      <w:r>
        <w:rPr>
          <w:rFonts w:ascii="宋体" w:hAnsi="宋体" w:eastAsia="宋体" w:cs="宋体"/>
          <w:color w:val="auto"/>
          <w:spacing w:val="-17"/>
          <w:sz w:val="21"/>
          <w:szCs w:val="21"/>
          <w:highlight w:val="none"/>
        </w:rPr>
        <w:t>日内。</w:t>
      </w:r>
    </w:p>
    <w:p w14:paraId="1F6FEFEB">
      <w:pPr>
        <w:spacing w:before="157" w:line="408" w:lineRule="exact"/>
        <w:ind w:left="441"/>
        <w:rPr>
          <w:rFonts w:ascii="宋体" w:hAnsi="宋体" w:eastAsia="宋体" w:cs="宋体"/>
          <w:color w:val="auto"/>
          <w:sz w:val="21"/>
          <w:szCs w:val="21"/>
          <w:highlight w:val="none"/>
        </w:rPr>
      </w:pPr>
      <w:r>
        <w:rPr>
          <w:rFonts w:ascii="Times New Roman" w:hAnsi="Times New Roman" w:eastAsia="Times New Roman" w:cs="Times New Roman"/>
          <w:color w:val="auto"/>
          <w:position w:val="15"/>
          <w:sz w:val="21"/>
          <w:szCs w:val="21"/>
          <w:highlight w:val="none"/>
        </w:rPr>
        <w:t xml:space="preserve">3. </w:t>
      </w:r>
      <w:r>
        <w:rPr>
          <w:rFonts w:ascii="宋体" w:hAnsi="宋体" w:eastAsia="宋体" w:cs="宋体"/>
          <w:color w:val="auto"/>
          <w:position w:val="15"/>
          <w:sz w:val="21"/>
          <w:szCs w:val="21"/>
          <w:highlight w:val="none"/>
        </w:rPr>
        <w:t>你方与发包人协议变更工程款支付日期的，经我方书面同意后，保证</w:t>
      </w:r>
      <w:r>
        <w:rPr>
          <w:rFonts w:ascii="宋体" w:hAnsi="宋体" w:eastAsia="宋体" w:cs="宋体"/>
          <w:color w:val="auto"/>
          <w:spacing w:val="-1"/>
          <w:position w:val="15"/>
          <w:sz w:val="21"/>
          <w:szCs w:val="21"/>
          <w:highlight w:val="none"/>
        </w:rPr>
        <w:t>期间按照变更</w:t>
      </w:r>
    </w:p>
    <w:p w14:paraId="718B973C">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后的支付日期做相应调整。</w:t>
      </w:r>
    </w:p>
    <w:p w14:paraId="6B8CA6E8">
      <w:pPr>
        <w:spacing w:before="158" w:line="219" w:lineRule="auto"/>
        <w:ind w:left="445"/>
        <w:rPr>
          <w:rFonts w:ascii="黑体" w:hAnsi="黑体" w:eastAsia="黑体" w:cs="黑体"/>
          <w:color w:val="auto"/>
          <w:sz w:val="21"/>
          <w:szCs w:val="21"/>
          <w:highlight w:val="none"/>
        </w:rPr>
      </w:pPr>
      <w:r>
        <w:rPr>
          <w:rFonts w:ascii="黑体" w:hAnsi="黑体" w:eastAsia="黑体" w:cs="黑体"/>
          <w:color w:val="auto"/>
          <w:spacing w:val="-7"/>
          <w:sz w:val="21"/>
          <w:szCs w:val="21"/>
          <w:highlight w:val="none"/>
        </w:rPr>
        <w:t>三、</w:t>
      </w:r>
      <w:r>
        <w:rPr>
          <w:rFonts w:ascii="黑体" w:hAnsi="黑体" w:eastAsia="黑体" w:cs="黑体"/>
          <w:color w:val="auto"/>
          <w:spacing w:val="-36"/>
          <w:sz w:val="21"/>
          <w:szCs w:val="21"/>
          <w:highlight w:val="none"/>
        </w:rPr>
        <w:t xml:space="preserve"> </w:t>
      </w:r>
      <w:r>
        <w:rPr>
          <w:rFonts w:ascii="黑体" w:hAnsi="黑体" w:eastAsia="黑体" w:cs="黑体"/>
          <w:color w:val="auto"/>
          <w:spacing w:val="-7"/>
          <w:sz w:val="21"/>
          <w:szCs w:val="21"/>
          <w:highlight w:val="none"/>
        </w:rPr>
        <w:t>承担保证责任的形式</w:t>
      </w:r>
    </w:p>
    <w:p w14:paraId="70C94720">
      <w:pPr>
        <w:spacing w:before="96" w:line="413" w:lineRule="exact"/>
        <w:ind w:left="442"/>
        <w:rPr>
          <w:rFonts w:ascii="宋体" w:hAnsi="宋体" w:eastAsia="宋体" w:cs="宋体"/>
          <w:color w:val="auto"/>
          <w:sz w:val="21"/>
          <w:szCs w:val="21"/>
          <w:highlight w:val="none"/>
        </w:rPr>
      </w:pPr>
      <w:r>
        <w:rPr>
          <w:rFonts w:ascii="宋体" w:hAnsi="宋体" w:eastAsia="宋体" w:cs="宋体"/>
          <w:color w:val="auto"/>
          <w:position w:val="15"/>
          <w:sz w:val="21"/>
          <w:szCs w:val="21"/>
          <w:highlight w:val="none"/>
        </w:rPr>
        <w:t>我方承担保证责任的形式是代为支付。发包人未按主合同约定向你方</w:t>
      </w:r>
      <w:r>
        <w:rPr>
          <w:rFonts w:ascii="宋体" w:hAnsi="宋体" w:eastAsia="宋体" w:cs="宋体"/>
          <w:color w:val="auto"/>
          <w:spacing w:val="-1"/>
          <w:position w:val="15"/>
          <w:sz w:val="21"/>
          <w:szCs w:val="21"/>
          <w:highlight w:val="none"/>
        </w:rPr>
        <w:t>支付工程款的，</w:t>
      </w:r>
    </w:p>
    <w:p w14:paraId="193C0675">
      <w:pPr>
        <w:spacing w:before="1" w:line="220" w:lineRule="auto"/>
        <w:ind w:left="4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由我方在保证金额内代为支付。</w:t>
      </w:r>
    </w:p>
    <w:p w14:paraId="34F82A5D">
      <w:pPr>
        <w:spacing w:before="156" w:line="221" w:lineRule="auto"/>
        <w:ind w:left="453"/>
        <w:rPr>
          <w:rFonts w:ascii="黑体" w:hAnsi="黑体" w:eastAsia="黑体" w:cs="黑体"/>
          <w:color w:val="auto"/>
          <w:sz w:val="21"/>
          <w:szCs w:val="21"/>
          <w:highlight w:val="none"/>
        </w:rPr>
      </w:pPr>
      <w:r>
        <w:rPr>
          <w:rFonts w:ascii="黑体" w:hAnsi="黑体" w:eastAsia="黑体" w:cs="黑体"/>
          <w:color w:val="auto"/>
          <w:spacing w:val="-12"/>
          <w:sz w:val="21"/>
          <w:szCs w:val="21"/>
          <w:highlight w:val="none"/>
        </w:rPr>
        <w:t>四、</w:t>
      </w:r>
      <w:r>
        <w:rPr>
          <w:rFonts w:ascii="黑体" w:hAnsi="黑体" w:eastAsia="黑体" w:cs="黑体"/>
          <w:color w:val="auto"/>
          <w:spacing w:val="-38"/>
          <w:sz w:val="21"/>
          <w:szCs w:val="21"/>
          <w:highlight w:val="none"/>
        </w:rPr>
        <w:t xml:space="preserve"> </w:t>
      </w:r>
      <w:r>
        <w:rPr>
          <w:rFonts w:ascii="黑体" w:hAnsi="黑体" w:eastAsia="黑体" w:cs="黑体"/>
          <w:color w:val="auto"/>
          <w:spacing w:val="-12"/>
          <w:sz w:val="21"/>
          <w:szCs w:val="21"/>
          <w:highlight w:val="none"/>
        </w:rPr>
        <w:t>代偿的安排</w:t>
      </w:r>
    </w:p>
    <w:p w14:paraId="3F6D6019">
      <w:pPr>
        <w:spacing w:before="95" w:line="408" w:lineRule="exact"/>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5"/>
          <w:sz w:val="21"/>
          <w:szCs w:val="21"/>
          <w:highlight w:val="none"/>
        </w:rPr>
        <w:t xml:space="preserve">1. </w:t>
      </w:r>
      <w:r>
        <w:rPr>
          <w:rFonts w:ascii="宋体" w:hAnsi="宋体" w:eastAsia="宋体" w:cs="宋体"/>
          <w:color w:val="auto"/>
          <w:spacing w:val="-1"/>
          <w:position w:val="15"/>
          <w:sz w:val="21"/>
          <w:szCs w:val="21"/>
          <w:highlight w:val="none"/>
        </w:rPr>
        <w:t>你方要求我方承担保证责任的，应向我方发出书面索赔通知及发包人未支付主合同</w:t>
      </w:r>
    </w:p>
    <w:p w14:paraId="0949C302">
      <w:pPr>
        <w:spacing w:before="1" w:line="219" w:lineRule="auto"/>
        <w:ind w:left="23"/>
        <w:rPr>
          <w:rFonts w:ascii="宋体" w:hAnsi="宋体" w:eastAsia="宋体" w:cs="宋体"/>
          <w:color w:val="auto"/>
          <w:sz w:val="21"/>
          <w:szCs w:val="21"/>
          <w:highlight w:val="none"/>
        </w:rPr>
      </w:pPr>
      <w:r>
        <w:rPr>
          <w:rFonts w:ascii="宋体" w:hAnsi="宋体" w:eastAsia="宋体" w:cs="宋体"/>
          <w:color w:val="auto"/>
          <w:sz w:val="21"/>
          <w:szCs w:val="21"/>
          <w:highlight w:val="none"/>
        </w:rPr>
        <w:t>约定工程款的证明材料。索赔通知应写明要求索赔的金额，支</w:t>
      </w:r>
      <w:r>
        <w:rPr>
          <w:rFonts w:ascii="宋体" w:hAnsi="宋体" w:eastAsia="宋体" w:cs="宋体"/>
          <w:color w:val="auto"/>
          <w:spacing w:val="-1"/>
          <w:sz w:val="21"/>
          <w:szCs w:val="21"/>
          <w:highlight w:val="none"/>
        </w:rPr>
        <w:t>付款项应到达的账号。</w:t>
      </w:r>
    </w:p>
    <w:p w14:paraId="0CB7EAB5">
      <w:pPr>
        <w:spacing w:before="158" w:line="221"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 </w:t>
      </w:r>
      <w:r>
        <w:rPr>
          <w:rFonts w:ascii="宋体" w:hAnsi="宋体" w:eastAsia="宋体" w:cs="宋体"/>
          <w:color w:val="auto"/>
          <w:sz w:val="21"/>
          <w:szCs w:val="21"/>
          <w:highlight w:val="none"/>
        </w:rPr>
        <w:t>在出现你方与发包人因工程质量发生争议，发包人拒绝向你方支付工程款的</w:t>
      </w:r>
      <w:r>
        <w:rPr>
          <w:rFonts w:ascii="宋体" w:hAnsi="宋体" w:eastAsia="宋体" w:cs="宋体"/>
          <w:color w:val="auto"/>
          <w:spacing w:val="-1"/>
          <w:sz w:val="21"/>
          <w:szCs w:val="21"/>
          <w:highlight w:val="none"/>
        </w:rPr>
        <w:t>情形</w:t>
      </w:r>
    </w:p>
    <w:p w14:paraId="2BB77D31">
      <w:pPr>
        <w:spacing w:before="157" w:line="408" w:lineRule="exact"/>
        <w:ind w:left="28"/>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时，你方要求我方履行保证责任代为支付的，需提供</w:t>
      </w:r>
      <w:r>
        <w:rPr>
          <w:rFonts w:ascii="宋体" w:hAnsi="宋体" w:eastAsia="宋体" w:cs="宋体"/>
          <w:color w:val="auto"/>
          <w:spacing w:val="-1"/>
          <w:position w:val="14"/>
          <w:sz w:val="21"/>
          <w:szCs w:val="21"/>
          <w:highlight w:val="none"/>
        </w:rPr>
        <w:t>符合相应条件要求的工程质量检测机</w:t>
      </w:r>
    </w:p>
    <w:p w14:paraId="1B2A30BA">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构出具的质量说明材料。</w:t>
      </w:r>
    </w:p>
    <w:p w14:paraId="607D1410">
      <w:pPr>
        <w:spacing w:before="158" w:line="220"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 xml:space="preserve">3. </w:t>
      </w:r>
      <w:r>
        <w:rPr>
          <w:rFonts w:ascii="宋体" w:hAnsi="宋体" w:eastAsia="宋体" w:cs="宋体"/>
          <w:color w:val="auto"/>
          <w:spacing w:val="2"/>
          <w:sz w:val="21"/>
          <w:szCs w:val="21"/>
          <w:highlight w:val="none"/>
        </w:rPr>
        <w:t>我方收到你方的书面索赔通知及相应的证明材料后7天内无条件支付。</w:t>
      </w:r>
    </w:p>
    <w:p w14:paraId="470BFA5C">
      <w:pPr>
        <w:spacing w:before="158" w:line="219" w:lineRule="auto"/>
        <w:ind w:left="446"/>
        <w:rPr>
          <w:rFonts w:ascii="黑体" w:hAnsi="黑体" w:eastAsia="黑体" w:cs="黑体"/>
          <w:color w:val="auto"/>
          <w:sz w:val="21"/>
          <w:szCs w:val="21"/>
          <w:highlight w:val="none"/>
        </w:rPr>
      </w:pPr>
      <w:r>
        <w:rPr>
          <w:rFonts w:ascii="黑体" w:hAnsi="黑体" w:eastAsia="黑体" w:cs="黑体"/>
          <w:color w:val="auto"/>
          <w:spacing w:val="-1"/>
          <w:sz w:val="21"/>
          <w:szCs w:val="21"/>
          <w:highlight w:val="none"/>
        </w:rPr>
        <w:t>五、保证责任的解除</w:t>
      </w:r>
    </w:p>
    <w:p w14:paraId="0FEA0F26">
      <w:pPr>
        <w:spacing w:before="101" w:line="408" w:lineRule="exact"/>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1"/>
          <w:position w:val="15"/>
          <w:sz w:val="21"/>
          <w:szCs w:val="21"/>
          <w:highlight w:val="none"/>
        </w:rPr>
        <w:t xml:space="preserve">1. </w:t>
      </w:r>
      <w:r>
        <w:rPr>
          <w:rFonts w:ascii="宋体" w:hAnsi="宋体" w:eastAsia="宋体" w:cs="宋体"/>
          <w:color w:val="auto"/>
          <w:spacing w:val="-1"/>
          <w:position w:val="15"/>
          <w:sz w:val="21"/>
          <w:szCs w:val="21"/>
          <w:highlight w:val="none"/>
        </w:rPr>
        <w:t>在本保函承诺的保证期间内，你方未书面向我方主张保证责任的，自保证期间届满</w:t>
      </w:r>
    </w:p>
    <w:p w14:paraId="26253889">
      <w:pPr>
        <w:spacing w:before="1" w:line="220" w:lineRule="auto"/>
        <w:ind w:left="2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次日起，我方保证责任解除。</w:t>
      </w:r>
    </w:p>
    <w:p w14:paraId="1C32BBD6">
      <w:pPr>
        <w:spacing w:before="157" w:line="220" w:lineRule="auto"/>
        <w:ind w:left="437"/>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 </w:t>
      </w:r>
      <w:r>
        <w:rPr>
          <w:rFonts w:ascii="宋体" w:hAnsi="宋体" w:eastAsia="宋体" w:cs="宋体"/>
          <w:color w:val="auto"/>
          <w:sz w:val="21"/>
          <w:szCs w:val="21"/>
          <w:highlight w:val="none"/>
        </w:rPr>
        <w:t>发包人按主合同约定履行了工程款的全部支付义务的，自本保函承诺的保证期</w:t>
      </w:r>
      <w:r>
        <w:rPr>
          <w:rFonts w:ascii="宋体" w:hAnsi="宋体" w:eastAsia="宋体" w:cs="宋体"/>
          <w:color w:val="auto"/>
          <w:spacing w:val="-1"/>
          <w:sz w:val="21"/>
          <w:szCs w:val="21"/>
          <w:highlight w:val="none"/>
        </w:rPr>
        <w:t>间届</w:t>
      </w:r>
    </w:p>
    <w:p w14:paraId="324BD342">
      <w:pPr>
        <w:spacing w:line="220" w:lineRule="auto"/>
        <w:rPr>
          <w:rFonts w:ascii="宋体" w:hAnsi="宋体" w:eastAsia="宋体" w:cs="宋体"/>
          <w:color w:val="auto"/>
          <w:sz w:val="21"/>
          <w:szCs w:val="21"/>
          <w:highlight w:val="none"/>
        </w:rPr>
        <w:sectPr>
          <w:footerReference r:id="rId168" w:type="default"/>
          <w:pgSz w:w="11905" w:h="16839"/>
          <w:pgMar w:top="400" w:right="1785" w:bottom="1004" w:left="1785" w:header="0" w:footer="828" w:gutter="0"/>
          <w:pgNumType w:fmt="decimal"/>
          <w:cols w:space="720" w:num="1"/>
        </w:sectPr>
      </w:pPr>
    </w:p>
    <w:p w14:paraId="35CBCEAD">
      <w:pPr>
        <w:pStyle w:val="3"/>
        <w:spacing w:line="248" w:lineRule="auto"/>
        <w:rPr>
          <w:color w:val="auto"/>
          <w:highlight w:val="none"/>
        </w:rPr>
      </w:pPr>
    </w:p>
    <w:p w14:paraId="68495599">
      <w:pPr>
        <w:pStyle w:val="3"/>
        <w:spacing w:line="249" w:lineRule="auto"/>
        <w:rPr>
          <w:color w:val="auto"/>
          <w:highlight w:val="none"/>
        </w:rPr>
      </w:pPr>
    </w:p>
    <w:p w14:paraId="32FE5D96">
      <w:pPr>
        <w:pStyle w:val="3"/>
        <w:spacing w:line="249" w:lineRule="auto"/>
        <w:rPr>
          <w:color w:val="auto"/>
          <w:highlight w:val="none"/>
        </w:rPr>
      </w:pPr>
    </w:p>
    <w:p w14:paraId="492B99A4">
      <w:pPr>
        <w:pStyle w:val="3"/>
        <w:spacing w:line="249" w:lineRule="auto"/>
        <w:rPr>
          <w:color w:val="auto"/>
          <w:highlight w:val="none"/>
        </w:rPr>
      </w:pPr>
    </w:p>
    <w:p w14:paraId="2790E9EC">
      <w:pPr>
        <w:spacing w:before="68" w:line="221" w:lineRule="auto"/>
        <w:ind w:left="18"/>
        <w:rPr>
          <w:rFonts w:ascii="宋体" w:hAnsi="宋体" w:eastAsia="宋体" w:cs="宋体"/>
          <w:color w:val="auto"/>
          <w:sz w:val="21"/>
          <w:szCs w:val="21"/>
          <w:highlight w:val="none"/>
        </w:rPr>
      </w:pPr>
      <w:bookmarkStart w:id="1287" w:name="bookmark233"/>
      <w:bookmarkEnd w:id="1287"/>
      <w:r>
        <w:rPr>
          <w:rFonts w:ascii="宋体" w:hAnsi="宋体" w:eastAsia="宋体" w:cs="宋体"/>
          <w:color w:val="auto"/>
          <w:spacing w:val="-12"/>
          <w:sz w:val="21"/>
          <w:szCs w:val="21"/>
          <w:highlight w:val="none"/>
        </w:rPr>
        <w:t>满次日起，</w:t>
      </w:r>
      <w:r>
        <w:rPr>
          <w:rFonts w:ascii="宋体" w:hAnsi="宋体" w:eastAsia="宋体" w:cs="宋体"/>
          <w:color w:val="auto"/>
          <w:spacing w:val="59"/>
          <w:sz w:val="21"/>
          <w:szCs w:val="21"/>
          <w:highlight w:val="none"/>
        </w:rPr>
        <w:t xml:space="preserve"> </w:t>
      </w:r>
      <w:r>
        <w:rPr>
          <w:rFonts w:ascii="宋体" w:hAnsi="宋体" w:eastAsia="宋体" w:cs="宋体"/>
          <w:color w:val="auto"/>
          <w:spacing w:val="-12"/>
          <w:sz w:val="21"/>
          <w:szCs w:val="21"/>
          <w:highlight w:val="none"/>
        </w:rPr>
        <w:t>我方保证责任解除。</w:t>
      </w:r>
    </w:p>
    <w:p w14:paraId="31204135">
      <w:pPr>
        <w:spacing w:before="157" w:line="408" w:lineRule="exact"/>
        <w:ind w:left="441"/>
        <w:rPr>
          <w:rFonts w:ascii="宋体" w:hAnsi="宋体" w:eastAsia="宋体" w:cs="宋体"/>
          <w:color w:val="auto"/>
          <w:sz w:val="21"/>
          <w:szCs w:val="21"/>
          <w:highlight w:val="none"/>
        </w:rPr>
      </w:pPr>
      <w:r>
        <w:rPr>
          <w:rFonts w:ascii="Times New Roman" w:hAnsi="Times New Roman" w:eastAsia="Times New Roman" w:cs="Times New Roman"/>
          <w:color w:val="auto"/>
          <w:position w:val="15"/>
          <w:sz w:val="21"/>
          <w:szCs w:val="21"/>
          <w:highlight w:val="none"/>
        </w:rPr>
        <w:t xml:space="preserve">3. </w:t>
      </w:r>
      <w:r>
        <w:rPr>
          <w:rFonts w:ascii="宋体" w:hAnsi="宋体" w:eastAsia="宋体" w:cs="宋体"/>
          <w:color w:val="auto"/>
          <w:position w:val="15"/>
          <w:sz w:val="21"/>
          <w:szCs w:val="21"/>
          <w:highlight w:val="none"/>
        </w:rPr>
        <w:t>我方按照本保函向你方履行保证责任所支付金额达到本保函保</w:t>
      </w:r>
      <w:r>
        <w:rPr>
          <w:rFonts w:ascii="宋体" w:hAnsi="宋体" w:eastAsia="宋体" w:cs="宋体"/>
          <w:color w:val="auto"/>
          <w:spacing w:val="-1"/>
          <w:position w:val="15"/>
          <w:sz w:val="21"/>
          <w:szCs w:val="21"/>
          <w:highlight w:val="none"/>
        </w:rPr>
        <w:t>证金额时，自我方向</w:t>
      </w:r>
    </w:p>
    <w:p w14:paraId="1F96757E">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你方支付（支付款项从我方账户划出） 之日起， 保证责任即解除。</w:t>
      </w:r>
    </w:p>
    <w:p w14:paraId="017E5340">
      <w:pPr>
        <w:spacing w:before="157" w:line="408" w:lineRule="exact"/>
        <w:ind w:left="436"/>
        <w:rPr>
          <w:rFonts w:ascii="宋体" w:hAnsi="宋体" w:eastAsia="宋体" w:cs="宋体"/>
          <w:color w:val="auto"/>
          <w:sz w:val="21"/>
          <w:szCs w:val="21"/>
          <w:highlight w:val="none"/>
        </w:rPr>
      </w:pPr>
      <w:r>
        <w:rPr>
          <w:rFonts w:ascii="Times New Roman" w:hAnsi="Times New Roman" w:eastAsia="Times New Roman" w:cs="Times New Roman"/>
          <w:color w:val="auto"/>
          <w:position w:val="15"/>
          <w:sz w:val="21"/>
          <w:szCs w:val="21"/>
          <w:highlight w:val="none"/>
        </w:rPr>
        <w:t xml:space="preserve">4. </w:t>
      </w:r>
      <w:r>
        <w:rPr>
          <w:rFonts w:ascii="宋体" w:hAnsi="宋体" w:eastAsia="宋体" w:cs="宋体"/>
          <w:color w:val="auto"/>
          <w:position w:val="15"/>
          <w:sz w:val="21"/>
          <w:szCs w:val="21"/>
          <w:highlight w:val="none"/>
        </w:rPr>
        <w:t>按照法律法规的规定或出现应解除我方保证责任的其他情形的，我方在本保函项下</w:t>
      </w:r>
    </w:p>
    <w:p w14:paraId="1C5AC8ED">
      <w:pPr>
        <w:spacing w:line="220" w:lineRule="auto"/>
        <w:ind w:left="35"/>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的保证责任亦解除。</w:t>
      </w:r>
    </w:p>
    <w:p w14:paraId="3D6035A1">
      <w:pPr>
        <w:pStyle w:val="3"/>
        <w:spacing w:line="450" w:lineRule="auto"/>
        <w:rPr>
          <w:color w:val="auto"/>
          <w:highlight w:val="none"/>
        </w:rPr>
      </w:pPr>
    </w:p>
    <w:p w14:paraId="5642A014">
      <w:pPr>
        <w:spacing w:before="69" w:line="409" w:lineRule="exact"/>
        <w:ind w:right="21"/>
        <w:jc w:val="right"/>
        <w:rPr>
          <w:color w:val="auto"/>
          <w:sz w:val="21"/>
          <w:szCs w:val="21"/>
          <w:highlight w:val="none"/>
        </w:rPr>
      </w:pPr>
      <w:r>
        <w:rPr>
          <w:rFonts w:ascii="Times New Roman" w:hAnsi="Times New Roman" w:eastAsia="Times New Roman" w:cs="Times New Roman"/>
          <w:color w:val="auto"/>
          <w:spacing w:val="-3"/>
          <w:position w:val="15"/>
          <w:sz w:val="21"/>
          <w:szCs w:val="21"/>
          <w:highlight w:val="none"/>
        </w:rPr>
        <w:t xml:space="preserve">5. </w:t>
      </w:r>
      <w:r>
        <w:rPr>
          <w:rFonts w:ascii="宋体" w:hAnsi="宋体" w:eastAsia="宋体" w:cs="宋体"/>
          <w:color w:val="auto"/>
          <w:spacing w:val="-3"/>
          <w:position w:val="15"/>
          <w:sz w:val="21"/>
          <w:szCs w:val="21"/>
          <w:highlight w:val="none"/>
        </w:rPr>
        <w:t>我方解除保证责任后，你方应自我方保证责任解除之日起 个工作日内， 将本保函原</w:t>
      </w:r>
      <w:r>
        <w:rPr>
          <w:color w:val="auto"/>
          <w:position w:val="12"/>
          <w:sz w:val="21"/>
          <w:szCs w:val="21"/>
          <w:highlight w:val="none"/>
        </w:rPr>
        <w:drawing>
          <wp:inline distT="0" distB="0" distL="0" distR="0">
            <wp:extent cx="0" cy="571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56"/>
                    <a:stretch>
                      <a:fillRect/>
                    </a:stretch>
                  </pic:blipFill>
                  <pic:spPr>
                    <a:xfrm>
                      <a:off x="0" y="0"/>
                      <a:ext cx="0" cy="6095"/>
                    </a:xfrm>
                    <a:prstGeom prst="rect">
                      <a:avLst/>
                    </a:prstGeom>
                  </pic:spPr>
                </pic:pic>
              </a:graphicData>
            </a:graphic>
          </wp:inline>
        </w:drawing>
      </w:r>
    </w:p>
    <w:p w14:paraId="7C783353">
      <w:pPr>
        <w:spacing w:line="220"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件返还我方。</w:t>
      </w:r>
    </w:p>
    <w:p w14:paraId="48CA274D">
      <w:pPr>
        <w:spacing w:before="158" w:line="219" w:lineRule="auto"/>
        <w:ind w:left="447"/>
        <w:rPr>
          <w:rFonts w:ascii="黑体" w:hAnsi="黑体" w:eastAsia="黑体" w:cs="黑体"/>
          <w:color w:val="auto"/>
          <w:sz w:val="21"/>
          <w:szCs w:val="21"/>
          <w:highlight w:val="none"/>
        </w:rPr>
      </w:pPr>
      <w:r>
        <w:rPr>
          <w:rFonts w:ascii="黑体" w:hAnsi="黑体" w:eastAsia="黑体" w:cs="黑体"/>
          <w:color w:val="auto"/>
          <w:spacing w:val="-14"/>
          <w:sz w:val="21"/>
          <w:szCs w:val="21"/>
          <w:highlight w:val="none"/>
        </w:rPr>
        <w:t>六、</w:t>
      </w:r>
      <w:r>
        <w:rPr>
          <w:rFonts w:ascii="黑体" w:hAnsi="黑体" w:eastAsia="黑体" w:cs="黑体"/>
          <w:color w:val="auto"/>
          <w:spacing w:val="-33"/>
          <w:sz w:val="21"/>
          <w:szCs w:val="21"/>
          <w:highlight w:val="none"/>
        </w:rPr>
        <w:t xml:space="preserve"> </w:t>
      </w:r>
      <w:r>
        <w:rPr>
          <w:rFonts w:ascii="黑体" w:hAnsi="黑体" w:eastAsia="黑体" w:cs="黑体"/>
          <w:color w:val="auto"/>
          <w:spacing w:val="-14"/>
          <w:sz w:val="21"/>
          <w:szCs w:val="21"/>
          <w:highlight w:val="none"/>
        </w:rPr>
        <w:t>免责条款</w:t>
      </w:r>
    </w:p>
    <w:p w14:paraId="201C6E3E">
      <w:pPr>
        <w:spacing w:before="95" w:line="221"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1.</w:t>
      </w:r>
      <w:r>
        <w:rPr>
          <w:rFonts w:ascii="Times New Roman" w:hAnsi="Times New Roman" w:eastAsia="Times New Roman" w:cs="Times New Roman"/>
          <w:color w:val="auto"/>
          <w:spacing w:val="38"/>
          <w:w w:val="101"/>
          <w:sz w:val="21"/>
          <w:szCs w:val="21"/>
          <w:highlight w:val="none"/>
        </w:rPr>
        <w:t xml:space="preserve"> </w:t>
      </w:r>
      <w:r>
        <w:rPr>
          <w:rFonts w:ascii="宋体" w:hAnsi="宋体" w:eastAsia="宋体" w:cs="宋体"/>
          <w:color w:val="auto"/>
          <w:spacing w:val="-2"/>
          <w:sz w:val="21"/>
          <w:szCs w:val="21"/>
          <w:highlight w:val="none"/>
        </w:rPr>
        <w:t>因你方违约致使发包人不能履行义务的，我方不承担保证责任。</w:t>
      </w:r>
    </w:p>
    <w:p w14:paraId="1BAD7C65">
      <w:pPr>
        <w:spacing w:before="158" w:line="412" w:lineRule="exact"/>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5"/>
          <w:sz w:val="21"/>
          <w:szCs w:val="21"/>
          <w:highlight w:val="none"/>
        </w:rPr>
        <w:t xml:space="preserve">2. </w:t>
      </w:r>
      <w:r>
        <w:rPr>
          <w:rFonts w:ascii="宋体" w:hAnsi="宋体" w:eastAsia="宋体" w:cs="宋体"/>
          <w:color w:val="auto"/>
          <w:spacing w:val="-2"/>
          <w:position w:val="15"/>
          <w:sz w:val="21"/>
          <w:szCs w:val="21"/>
          <w:highlight w:val="none"/>
        </w:rPr>
        <w:t>依照法律法规的规定或你方与发包人的另行约定，</w:t>
      </w:r>
      <w:r>
        <w:rPr>
          <w:rFonts w:ascii="宋体" w:hAnsi="宋体" w:eastAsia="宋体" w:cs="宋体"/>
          <w:color w:val="auto"/>
          <w:spacing w:val="-22"/>
          <w:position w:val="15"/>
          <w:sz w:val="21"/>
          <w:szCs w:val="21"/>
          <w:highlight w:val="none"/>
        </w:rPr>
        <w:t xml:space="preserve"> </w:t>
      </w:r>
      <w:r>
        <w:rPr>
          <w:rFonts w:ascii="宋体" w:hAnsi="宋体" w:eastAsia="宋体" w:cs="宋体"/>
          <w:color w:val="auto"/>
          <w:spacing w:val="-2"/>
          <w:position w:val="15"/>
          <w:sz w:val="21"/>
          <w:szCs w:val="21"/>
          <w:highlight w:val="none"/>
        </w:rPr>
        <w:t>免除发包人部分</w:t>
      </w:r>
      <w:r>
        <w:rPr>
          <w:rFonts w:ascii="宋体" w:hAnsi="宋体" w:eastAsia="宋体" w:cs="宋体"/>
          <w:color w:val="auto"/>
          <w:spacing w:val="-3"/>
          <w:position w:val="15"/>
          <w:sz w:val="21"/>
          <w:szCs w:val="21"/>
          <w:highlight w:val="none"/>
        </w:rPr>
        <w:t>或全部义务的，</w:t>
      </w:r>
    </w:p>
    <w:p w14:paraId="06F762D3">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我方亦免除其相应的保证责任。</w:t>
      </w:r>
    </w:p>
    <w:p w14:paraId="03A61A53">
      <w:pPr>
        <w:spacing w:before="157" w:line="359" w:lineRule="auto"/>
        <w:ind w:left="20" w:right="29" w:firstLine="420"/>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 xml:space="preserve">3. </w:t>
      </w:r>
      <w:r>
        <w:rPr>
          <w:rFonts w:ascii="宋体" w:hAnsi="宋体" w:eastAsia="宋体" w:cs="宋体"/>
          <w:color w:val="auto"/>
          <w:spacing w:val="-4"/>
          <w:sz w:val="21"/>
          <w:szCs w:val="21"/>
          <w:highlight w:val="none"/>
        </w:rPr>
        <w:t>你方与发包人协议变更主合同的，如加重发包人责任致使我方保证责任加重的，</w:t>
      </w:r>
      <w:r>
        <w:rPr>
          <w:rFonts w:ascii="宋体" w:hAnsi="宋体" w:eastAsia="宋体" w:cs="宋体"/>
          <w:color w:val="auto"/>
          <w:spacing w:val="42"/>
          <w:sz w:val="21"/>
          <w:szCs w:val="21"/>
          <w:highlight w:val="none"/>
        </w:rPr>
        <w:t xml:space="preserve"> </w:t>
      </w:r>
      <w:r>
        <w:rPr>
          <w:rFonts w:ascii="宋体" w:hAnsi="宋体" w:eastAsia="宋体" w:cs="宋体"/>
          <w:color w:val="auto"/>
          <w:spacing w:val="-4"/>
          <w:sz w:val="21"/>
          <w:szCs w:val="21"/>
          <w:highlight w:val="none"/>
        </w:rPr>
        <w:t>需</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征得我方书面同意， 否则我方不再承担因此</w:t>
      </w:r>
      <w:r>
        <w:rPr>
          <w:rFonts w:ascii="宋体" w:hAnsi="宋体" w:eastAsia="宋体" w:cs="宋体"/>
          <w:color w:val="auto"/>
          <w:spacing w:val="-4"/>
          <w:sz w:val="21"/>
          <w:szCs w:val="21"/>
          <w:highlight w:val="none"/>
        </w:rPr>
        <w:t>而加重部分的保证责任，但主合同第</w:t>
      </w:r>
      <w:r>
        <w:rPr>
          <w:rFonts w:ascii="宋体" w:hAnsi="宋体" w:eastAsia="宋体" w:cs="宋体"/>
          <w:color w:val="auto"/>
          <w:spacing w:val="-24"/>
          <w:sz w:val="21"/>
          <w:szCs w:val="21"/>
          <w:highlight w:val="none"/>
        </w:rPr>
        <w:t xml:space="preserve"> </w:t>
      </w:r>
      <w:r>
        <w:rPr>
          <w:rFonts w:ascii="Times New Roman" w:hAnsi="Times New Roman" w:eastAsia="Times New Roman" w:cs="Times New Roman"/>
          <w:color w:val="auto"/>
          <w:spacing w:val="-4"/>
          <w:sz w:val="21"/>
          <w:szCs w:val="21"/>
          <w:highlight w:val="none"/>
        </w:rPr>
        <w:t xml:space="preserve">10 </w:t>
      </w:r>
      <w:r>
        <w:rPr>
          <w:rFonts w:ascii="宋体" w:hAnsi="宋体" w:eastAsia="宋体" w:cs="宋体"/>
          <w:color w:val="auto"/>
          <w:spacing w:val="-4"/>
          <w:sz w:val="21"/>
          <w:szCs w:val="21"/>
          <w:highlight w:val="none"/>
        </w:rPr>
        <w:t>条〔变</w:t>
      </w:r>
    </w:p>
    <w:p w14:paraId="5528DA0F">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更〕约定的变更不受本款限制。</w:t>
      </w:r>
    </w:p>
    <w:p w14:paraId="6ACEE29C">
      <w:pPr>
        <w:spacing w:before="157" w:line="221"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4.</w:t>
      </w:r>
      <w:r>
        <w:rPr>
          <w:rFonts w:ascii="Times New Roman" w:hAnsi="Times New Roman" w:eastAsia="Times New Roman" w:cs="Times New Roman"/>
          <w:color w:val="auto"/>
          <w:spacing w:val="30"/>
          <w:sz w:val="21"/>
          <w:szCs w:val="21"/>
          <w:highlight w:val="none"/>
        </w:rPr>
        <w:t xml:space="preserve"> </w:t>
      </w:r>
      <w:r>
        <w:rPr>
          <w:rFonts w:ascii="宋体" w:hAnsi="宋体" w:eastAsia="宋体" w:cs="宋体"/>
          <w:color w:val="auto"/>
          <w:spacing w:val="-1"/>
          <w:sz w:val="21"/>
          <w:szCs w:val="21"/>
          <w:highlight w:val="none"/>
        </w:rPr>
        <w:t>因不可抗力造成发包人不能履行义务的，我方不承担保证责任。</w:t>
      </w:r>
    </w:p>
    <w:p w14:paraId="3444C2A9">
      <w:pPr>
        <w:spacing w:before="158" w:line="220" w:lineRule="auto"/>
        <w:ind w:left="440"/>
        <w:rPr>
          <w:rFonts w:ascii="黑体" w:hAnsi="黑体" w:eastAsia="黑体" w:cs="黑体"/>
          <w:color w:val="auto"/>
          <w:sz w:val="21"/>
          <w:szCs w:val="21"/>
          <w:highlight w:val="none"/>
        </w:rPr>
      </w:pPr>
      <w:r>
        <w:rPr>
          <w:rFonts w:ascii="黑体" w:hAnsi="黑体" w:eastAsia="黑体" w:cs="黑体"/>
          <w:color w:val="auto"/>
          <w:spacing w:val="-14"/>
          <w:sz w:val="21"/>
          <w:szCs w:val="21"/>
          <w:highlight w:val="none"/>
        </w:rPr>
        <w:t>七、</w:t>
      </w:r>
      <w:r>
        <w:rPr>
          <w:rFonts w:ascii="黑体" w:hAnsi="黑体" w:eastAsia="黑体" w:cs="黑体"/>
          <w:color w:val="auto"/>
          <w:spacing w:val="-26"/>
          <w:sz w:val="21"/>
          <w:szCs w:val="21"/>
          <w:highlight w:val="none"/>
        </w:rPr>
        <w:t xml:space="preserve"> </w:t>
      </w:r>
      <w:r>
        <w:rPr>
          <w:rFonts w:ascii="黑体" w:hAnsi="黑体" w:eastAsia="黑体" w:cs="黑体"/>
          <w:color w:val="auto"/>
          <w:spacing w:val="-14"/>
          <w:sz w:val="21"/>
          <w:szCs w:val="21"/>
          <w:highlight w:val="none"/>
        </w:rPr>
        <w:t>争议解决</w:t>
      </w:r>
    </w:p>
    <w:p w14:paraId="282733F4">
      <w:pPr>
        <w:spacing w:before="95" w:line="408" w:lineRule="exact"/>
        <w:ind w:right="6"/>
        <w:jc w:val="right"/>
        <w:rPr>
          <w:rFonts w:ascii="宋体" w:hAnsi="宋体" w:eastAsia="宋体" w:cs="宋体"/>
          <w:color w:val="auto"/>
          <w:sz w:val="21"/>
          <w:szCs w:val="21"/>
          <w:highlight w:val="none"/>
        </w:rPr>
      </w:pPr>
      <w:r>
        <w:rPr>
          <w:rFonts w:ascii="宋体" w:hAnsi="宋体" w:eastAsia="宋体" w:cs="宋体"/>
          <w:color w:val="auto"/>
          <w:spacing w:val="-3"/>
          <w:position w:val="15"/>
          <w:sz w:val="21"/>
          <w:szCs w:val="21"/>
          <w:highlight w:val="none"/>
        </w:rPr>
        <w:t>因本保函或本保函相关事项发生的纠纷， 可由双方协商解决，协商不成的， 按下列第</w:t>
      </w:r>
    </w:p>
    <w:p w14:paraId="241314FB">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种方式解决：</w:t>
      </w:r>
    </w:p>
    <w:p w14:paraId="6C7EC3FB">
      <w:pPr>
        <w:spacing w:before="277" w:line="359" w:lineRule="auto"/>
        <w:ind w:left="44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w:t>
      </w:r>
      <w:r>
        <w:rPr>
          <w:rFonts w:ascii="Times New Roman" w:hAnsi="Times New Roman" w:eastAsia="Times New Roman" w:cs="Times New Roman"/>
          <w:color w:val="auto"/>
          <w:spacing w:val="-5"/>
          <w:sz w:val="21"/>
          <w:szCs w:val="21"/>
          <w:highlight w:val="none"/>
        </w:rPr>
        <w:t>1</w:t>
      </w:r>
      <w:r>
        <w:rPr>
          <w:rFonts w:ascii="宋体" w:hAnsi="宋体" w:eastAsia="宋体" w:cs="宋体"/>
          <w:color w:val="auto"/>
          <w:spacing w:val="-5"/>
          <w:sz w:val="21"/>
          <w:szCs w:val="21"/>
          <w:highlight w:val="none"/>
        </w:rPr>
        <w:t>）向</w:t>
      </w:r>
      <w:r>
        <w:rPr>
          <w:rFonts w:ascii="宋体" w:hAnsi="宋体" w:eastAsia="宋体" w:cs="宋体"/>
          <w:color w:val="auto"/>
          <w:spacing w:val="-76"/>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98"/>
          <w:sz w:val="21"/>
          <w:szCs w:val="21"/>
          <w:highlight w:val="none"/>
        </w:rPr>
        <w:t xml:space="preserve"> </w:t>
      </w:r>
      <w:r>
        <w:rPr>
          <w:rFonts w:ascii="宋体" w:hAnsi="宋体" w:eastAsia="宋体" w:cs="宋体"/>
          <w:color w:val="auto"/>
          <w:spacing w:val="-5"/>
          <w:sz w:val="21"/>
          <w:szCs w:val="21"/>
          <w:highlight w:val="none"/>
        </w:rPr>
        <w:t>仲裁委员会申请仲裁；</w:t>
      </w:r>
    </w:p>
    <w:p w14:paraId="264B22FD">
      <w:pPr>
        <w:spacing w:line="221" w:lineRule="auto"/>
        <w:ind w:left="447"/>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w:t>
      </w:r>
      <w:r>
        <w:rPr>
          <w:rFonts w:ascii="Times New Roman" w:hAnsi="Times New Roman" w:eastAsia="Times New Roman" w:cs="Times New Roman"/>
          <w:color w:val="auto"/>
          <w:spacing w:val="-6"/>
          <w:sz w:val="21"/>
          <w:szCs w:val="21"/>
          <w:highlight w:val="none"/>
        </w:rPr>
        <w:t>2</w:t>
      </w:r>
      <w:r>
        <w:rPr>
          <w:rFonts w:ascii="宋体" w:hAnsi="宋体" w:eastAsia="宋体" w:cs="宋体"/>
          <w:color w:val="auto"/>
          <w:spacing w:val="-6"/>
          <w:sz w:val="21"/>
          <w:szCs w:val="21"/>
          <w:highlight w:val="none"/>
        </w:rPr>
        <w:t>）向</w:t>
      </w:r>
      <w:r>
        <w:rPr>
          <w:rFonts w:ascii="宋体" w:hAnsi="宋体" w:eastAsia="宋体" w:cs="宋体"/>
          <w:color w:val="auto"/>
          <w:spacing w:val="-78"/>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95"/>
          <w:sz w:val="21"/>
          <w:szCs w:val="21"/>
          <w:highlight w:val="none"/>
        </w:rPr>
        <w:t xml:space="preserve"> </w:t>
      </w:r>
      <w:r>
        <w:rPr>
          <w:rFonts w:ascii="宋体" w:hAnsi="宋体" w:eastAsia="宋体" w:cs="宋体"/>
          <w:color w:val="auto"/>
          <w:spacing w:val="-6"/>
          <w:sz w:val="21"/>
          <w:szCs w:val="21"/>
          <w:highlight w:val="none"/>
        </w:rPr>
        <w:t>人民法院起诉。</w:t>
      </w:r>
    </w:p>
    <w:p w14:paraId="7CCD5278">
      <w:pPr>
        <w:spacing w:before="162" w:line="219" w:lineRule="auto"/>
        <w:ind w:left="441"/>
        <w:rPr>
          <w:rFonts w:ascii="黑体" w:hAnsi="黑体" w:eastAsia="黑体" w:cs="黑体"/>
          <w:color w:val="auto"/>
          <w:sz w:val="21"/>
          <w:szCs w:val="21"/>
          <w:highlight w:val="none"/>
        </w:rPr>
      </w:pPr>
      <w:r>
        <w:rPr>
          <w:rFonts w:ascii="黑体" w:hAnsi="黑体" w:eastAsia="黑体" w:cs="黑体"/>
          <w:color w:val="auto"/>
          <w:spacing w:val="-1"/>
          <w:sz w:val="21"/>
          <w:szCs w:val="21"/>
          <w:highlight w:val="none"/>
        </w:rPr>
        <w:t>八、保函的生效</w:t>
      </w:r>
    </w:p>
    <w:p w14:paraId="337BFC06">
      <w:pPr>
        <w:spacing w:before="96" w:line="220" w:lineRule="auto"/>
        <w:ind w:left="442"/>
        <w:rPr>
          <w:rFonts w:ascii="宋体" w:hAnsi="宋体" w:eastAsia="宋体" w:cs="宋体"/>
          <w:color w:val="auto"/>
          <w:sz w:val="21"/>
          <w:szCs w:val="21"/>
          <w:highlight w:val="none"/>
        </w:rPr>
      </w:pPr>
      <w:r>
        <w:rPr>
          <w:rFonts w:ascii="宋体" w:hAnsi="宋体" w:eastAsia="宋体" w:cs="宋体"/>
          <w:color w:val="auto"/>
          <w:sz w:val="21"/>
          <w:szCs w:val="21"/>
          <w:highlight w:val="none"/>
        </w:rPr>
        <w:t>本保函自我方法定代表人（或其授权代理人）签字并加盖公章</w:t>
      </w:r>
      <w:r>
        <w:rPr>
          <w:rFonts w:ascii="宋体" w:hAnsi="宋体" w:eastAsia="宋体" w:cs="宋体"/>
          <w:color w:val="auto"/>
          <w:spacing w:val="-1"/>
          <w:sz w:val="21"/>
          <w:szCs w:val="21"/>
          <w:highlight w:val="none"/>
        </w:rPr>
        <w:t>之日起生效。</w:t>
      </w:r>
    </w:p>
    <w:p w14:paraId="42621688">
      <w:pPr>
        <w:pStyle w:val="3"/>
        <w:spacing w:line="284" w:lineRule="auto"/>
        <w:rPr>
          <w:color w:val="auto"/>
          <w:highlight w:val="none"/>
        </w:rPr>
      </w:pPr>
    </w:p>
    <w:p w14:paraId="5034273D">
      <w:pPr>
        <w:pStyle w:val="3"/>
        <w:spacing w:line="284" w:lineRule="auto"/>
        <w:rPr>
          <w:color w:val="auto"/>
          <w:highlight w:val="none"/>
        </w:rPr>
      </w:pPr>
    </w:p>
    <w:p w14:paraId="7F5C42F3">
      <w:pPr>
        <w:pStyle w:val="3"/>
        <w:spacing w:line="284" w:lineRule="auto"/>
        <w:rPr>
          <w:color w:val="auto"/>
          <w:highlight w:val="none"/>
        </w:rPr>
      </w:pPr>
    </w:p>
    <w:p w14:paraId="1BD1E352">
      <w:pPr>
        <w:spacing w:before="69" w:line="220" w:lineRule="auto"/>
        <w:ind w:left="2646"/>
        <w:rPr>
          <w:rFonts w:ascii="宋体" w:hAnsi="宋体" w:eastAsia="宋体" w:cs="宋体"/>
          <w:color w:val="auto"/>
          <w:sz w:val="21"/>
          <w:szCs w:val="21"/>
          <w:highlight w:val="none"/>
        </w:rPr>
      </w:pPr>
      <w:r>
        <w:rPr>
          <w:rFonts w:ascii="宋体" w:hAnsi="宋体" w:eastAsia="宋体" w:cs="宋体"/>
          <w:color w:val="auto"/>
          <w:spacing w:val="-16"/>
          <w:sz w:val="21"/>
          <w:szCs w:val="21"/>
          <w:highlight w:val="none"/>
        </w:rPr>
        <w:t>担保人</w:t>
      </w:r>
      <w:r>
        <w:rPr>
          <w:rFonts w:ascii="宋体" w:hAnsi="宋体" w:eastAsia="宋体" w:cs="宋体"/>
          <w:color w:val="auto"/>
          <w:spacing w:val="-13"/>
          <w:sz w:val="21"/>
          <w:szCs w:val="21"/>
          <w:highlight w:val="none"/>
        </w:rPr>
        <w:t>：</w:t>
      </w:r>
      <w:r>
        <w:rPr>
          <w:rFonts w:ascii="宋体" w:hAnsi="宋体" w:eastAsia="宋体" w:cs="宋体"/>
          <w:color w:val="auto"/>
          <w:spacing w:val="10"/>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3"/>
          <w:sz w:val="21"/>
          <w:szCs w:val="21"/>
          <w:highlight w:val="none"/>
        </w:rPr>
        <w:t>（</w:t>
      </w:r>
      <w:r>
        <w:rPr>
          <w:rFonts w:ascii="宋体" w:hAnsi="宋体" w:eastAsia="宋体" w:cs="宋体"/>
          <w:color w:val="auto"/>
          <w:spacing w:val="-16"/>
          <w:sz w:val="21"/>
          <w:szCs w:val="21"/>
          <w:highlight w:val="none"/>
        </w:rPr>
        <w:t>盖章）</w:t>
      </w:r>
    </w:p>
    <w:p w14:paraId="53569430">
      <w:pPr>
        <w:spacing w:before="157" w:line="221" w:lineRule="auto"/>
        <w:ind w:left="2646"/>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法定代表人或委托代理人</w:t>
      </w:r>
      <w:r>
        <w:rPr>
          <w:rFonts w:ascii="宋体" w:hAnsi="宋体" w:eastAsia="宋体" w:cs="宋体"/>
          <w:color w:val="auto"/>
          <w:spacing w:val="4"/>
          <w:sz w:val="21"/>
          <w:szCs w:val="21"/>
          <w:highlight w:val="none"/>
        </w:rPr>
        <w:t>：</w:t>
      </w:r>
      <w:r>
        <w:rPr>
          <w:rFonts w:ascii="宋体" w:hAnsi="宋体" w:eastAsia="宋体" w:cs="宋体"/>
          <w:color w:val="auto"/>
          <w:spacing w:val="-1"/>
          <w:sz w:val="21"/>
          <w:szCs w:val="21"/>
          <w:highlight w:val="none"/>
        </w:rPr>
        <w:t xml:space="preserve"> </w:t>
      </w:r>
      <w:r>
        <w:rPr>
          <w:rFonts w:ascii="宋体" w:hAnsi="宋体" w:eastAsia="宋体" w:cs="宋体"/>
          <w:color w:val="auto"/>
          <w:spacing w:val="11"/>
          <w:sz w:val="21"/>
          <w:szCs w:val="21"/>
          <w:highlight w:val="none"/>
          <w:u w:val="single" w:color="auto"/>
        </w:rPr>
        <w:t xml:space="preserve">         </w:t>
      </w:r>
      <w:r>
        <w:rPr>
          <w:rFonts w:ascii="宋体" w:hAnsi="宋体" w:eastAsia="宋体" w:cs="宋体"/>
          <w:color w:val="auto"/>
          <w:spacing w:val="-15"/>
          <w:sz w:val="21"/>
          <w:szCs w:val="21"/>
          <w:highlight w:val="none"/>
        </w:rPr>
        <w:t xml:space="preserve"> </w:t>
      </w:r>
      <w:r>
        <w:rPr>
          <w:rFonts w:ascii="宋体" w:hAnsi="宋体" w:eastAsia="宋体" w:cs="宋体"/>
          <w:color w:val="auto"/>
          <w:spacing w:val="4"/>
          <w:sz w:val="21"/>
          <w:szCs w:val="21"/>
          <w:highlight w:val="none"/>
        </w:rPr>
        <w:t>（</w:t>
      </w:r>
      <w:r>
        <w:rPr>
          <w:rFonts w:ascii="宋体" w:hAnsi="宋体" w:eastAsia="宋体" w:cs="宋体"/>
          <w:color w:val="auto"/>
          <w:spacing w:val="-13"/>
          <w:sz w:val="21"/>
          <w:szCs w:val="21"/>
          <w:highlight w:val="none"/>
        </w:rPr>
        <w:t>签字）</w:t>
      </w:r>
    </w:p>
    <w:p w14:paraId="33E530DD">
      <w:pPr>
        <w:spacing w:before="162" w:line="230" w:lineRule="auto"/>
        <w:ind w:left="2645"/>
        <w:rPr>
          <w:rFonts w:ascii="宋体" w:hAnsi="宋体" w:eastAsia="宋体" w:cs="宋体"/>
          <w:color w:val="auto"/>
          <w:sz w:val="21"/>
          <w:szCs w:val="21"/>
          <w:highlight w:val="none"/>
        </w:rPr>
      </w:pPr>
      <w:r>
        <w:rPr>
          <w:rFonts w:ascii="宋体" w:hAnsi="宋体" w:eastAsia="宋体" w:cs="宋体"/>
          <w:color w:val="auto"/>
          <w:spacing w:val="-29"/>
          <w:w w:val="99"/>
          <w:sz w:val="21"/>
          <w:szCs w:val="21"/>
          <w:highlight w:val="none"/>
        </w:rPr>
        <w:t>地</w:t>
      </w:r>
      <w:r>
        <w:rPr>
          <w:rFonts w:ascii="宋体" w:hAnsi="宋体" w:eastAsia="宋体" w:cs="宋体"/>
          <w:color w:val="auto"/>
          <w:spacing w:val="4"/>
          <w:sz w:val="21"/>
          <w:szCs w:val="21"/>
          <w:highlight w:val="none"/>
        </w:rPr>
        <w:t xml:space="preserve">    </w:t>
      </w:r>
      <w:r>
        <w:rPr>
          <w:rFonts w:ascii="宋体" w:hAnsi="宋体" w:eastAsia="宋体" w:cs="宋体"/>
          <w:color w:val="auto"/>
          <w:spacing w:val="-29"/>
          <w:w w:val="99"/>
          <w:sz w:val="21"/>
          <w:szCs w:val="21"/>
          <w:highlight w:val="none"/>
        </w:rPr>
        <w:t>址：</w:t>
      </w:r>
      <w:r>
        <w:rPr>
          <w:rFonts w:ascii="宋体" w:hAnsi="宋体" w:eastAsia="宋体" w:cs="宋体"/>
          <w:color w:val="auto"/>
          <w:spacing w:val="-31"/>
          <w:sz w:val="21"/>
          <w:szCs w:val="21"/>
          <w:highlight w:val="none"/>
        </w:rPr>
        <w:t xml:space="preserve"> </w:t>
      </w:r>
      <w:r>
        <w:rPr>
          <w:rFonts w:ascii="宋体" w:hAnsi="宋体" w:eastAsia="宋体" w:cs="宋体"/>
          <w:color w:val="auto"/>
          <w:sz w:val="21"/>
          <w:szCs w:val="21"/>
          <w:highlight w:val="none"/>
          <w:u w:val="single" w:color="auto"/>
        </w:rPr>
        <w:t xml:space="preserve">                                        </w:t>
      </w:r>
    </w:p>
    <w:p w14:paraId="2731CAE4">
      <w:pPr>
        <w:spacing w:before="146" w:line="221" w:lineRule="auto"/>
        <w:ind w:left="2661"/>
        <w:rPr>
          <w:rFonts w:ascii="宋体" w:hAnsi="宋体" w:eastAsia="宋体" w:cs="宋体"/>
          <w:color w:val="auto"/>
          <w:sz w:val="21"/>
          <w:szCs w:val="21"/>
          <w:highlight w:val="none"/>
        </w:rPr>
      </w:pPr>
      <w:r>
        <w:rPr>
          <w:rFonts w:ascii="宋体" w:hAnsi="宋体" w:eastAsia="宋体" w:cs="宋体"/>
          <w:color w:val="auto"/>
          <w:spacing w:val="-24"/>
          <w:w w:val="98"/>
          <w:sz w:val="21"/>
          <w:szCs w:val="21"/>
          <w:highlight w:val="none"/>
        </w:rPr>
        <w:t>邮政编码：</w:t>
      </w:r>
      <w:r>
        <w:rPr>
          <w:rFonts w:ascii="宋体" w:hAnsi="宋体" w:eastAsia="宋体" w:cs="宋体"/>
          <w:color w:val="auto"/>
          <w:spacing w:val="17"/>
          <w:sz w:val="21"/>
          <w:szCs w:val="21"/>
          <w:highlight w:val="none"/>
        </w:rPr>
        <w:t xml:space="preserve"> </w:t>
      </w:r>
      <w:r>
        <w:rPr>
          <w:rFonts w:ascii="宋体" w:hAnsi="宋体" w:eastAsia="宋体" w:cs="宋体"/>
          <w:color w:val="auto"/>
          <w:sz w:val="21"/>
          <w:szCs w:val="21"/>
          <w:highlight w:val="none"/>
          <w:u w:val="single" w:color="auto"/>
        </w:rPr>
        <w:t xml:space="preserve">                                        </w:t>
      </w:r>
    </w:p>
    <w:p w14:paraId="73D0E184">
      <w:pPr>
        <w:spacing w:before="157" w:line="220" w:lineRule="auto"/>
        <w:ind w:left="2643"/>
        <w:rPr>
          <w:rFonts w:ascii="宋体" w:hAnsi="宋体" w:eastAsia="宋体" w:cs="宋体"/>
          <w:color w:val="auto"/>
          <w:sz w:val="21"/>
          <w:szCs w:val="21"/>
          <w:highlight w:val="none"/>
        </w:rPr>
      </w:pPr>
      <w:r>
        <w:rPr>
          <w:rFonts w:ascii="宋体" w:hAnsi="宋体" w:eastAsia="宋体" w:cs="宋体"/>
          <w:color w:val="auto"/>
          <w:spacing w:val="-28"/>
          <w:w w:val="99"/>
          <w:sz w:val="21"/>
          <w:szCs w:val="21"/>
          <w:highlight w:val="none"/>
        </w:rPr>
        <w:t>传</w:t>
      </w:r>
      <w:r>
        <w:rPr>
          <w:rFonts w:ascii="宋体" w:hAnsi="宋体" w:eastAsia="宋体" w:cs="宋体"/>
          <w:color w:val="auto"/>
          <w:spacing w:val="3"/>
          <w:sz w:val="21"/>
          <w:szCs w:val="21"/>
          <w:highlight w:val="none"/>
        </w:rPr>
        <w:t xml:space="preserve">    </w:t>
      </w:r>
      <w:r>
        <w:rPr>
          <w:rFonts w:ascii="宋体" w:hAnsi="宋体" w:eastAsia="宋体" w:cs="宋体"/>
          <w:color w:val="auto"/>
          <w:spacing w:val="-28"/>
          <w:w w:val="99"/>
          <w:sz w:val="21"/>
          <w:szCs w:val="21"/>
          <w:highlight w:val="none"/>
        </w:rPr>
        <w:t>真：</w:t>
      </w:r>
      <w:r>
        <w:rPr>
          <w:rFonts w:ascii="宋体" w:hAnsi="宋体" w:eastAsia="宋体" w:cs="宋体"/>
          <w:color w:val="auto"/>
          <w:spacing w:val="-29"/>
          <w:sz w:val="21"/>
          <w:szCs w:val="21"/>
          <w:highlight w:val="none"/>
        </w:rPr>
        <w:t xml:space="preserve"> </w:t>
      </w:r>
      <w:r>
        <w:rPr>
          <w:rFonts w:ascii="宋体" w:hAnsi="宋体" w:eastAsia="宋体" w:cs="宋体"/>
          <w:color w:val="auto"/>
          <w:sz w:val="21"/>
          <w:szCs w:val="21"/>
          <w:highlight w:val="none"/>
          <w:u w:val="single" w:color="auto"/>
        </w:rPr>
        <w:t xml:space="preserve">                                        </w:t>
      </w:r>
    </w:p>
    <w:p w14:paraId="00EDAF90">
      <w:pPr>
        <w:pStyle w:val="3"/>
        <w:spacing w:line="247" w:lineRule="auto"/>
        <w:rPr>
          <w:color w:val="auto"/>
          <w:highlight w:val="none"/>
        </w:rPr>
      </w:pPr>
    </w:p>
    <w:p w14:paraId="3B6F35B0">
      <w:pPr>
        <w:pStyle w:val="3"/>
        <w:spacing w:line="247" w:lineRule="auto"/>
        <w:rPr>
          <w:color w:val="auto"/>
          <w:highlight w:val="none"/>
        </w:rPr>
      </w:pPr>
    </w:p>
    <w:p w14:paraId="03C5B7E4">
      <w:pPr>
        <w:tabs>
          <w:tab w:val="left" w:pos="5580"/>
        </w:tabs>
        <w:spacing w:before="69" w:line="221" w:lineRule="auto"/>
        <w:ind w:left="401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6"/>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20"/>
          <w:sz w:val="21"/>
          <w:szCs w:val="21"/>
          <w:highlight w:val="none"/>
          <w:u w:val="single" w:color="auto"/>
        </w:rPr>
        <w:t xml:space="preserve">     </w:t>
      </w:r>
      <w:r>
        <w:rPr>
          <w:rFonts w:ascii="宋体" w:hAnsi="宋体" w:eastAsia="宋体" w:cs="宋体"/>
          <w:color w:val="auto"/>
          <w:spacing w:val="-87"/>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pacing w:val="20"/>
          <w:sz w:val="21"/>
          <w:szCs w:val="21"/>
          <w:highlight w:val="none"/>
          <w:u w:val="single" w:color="auto"/>
        </w:rPr>
        <w:t xml:space="preserve">     </w:t>
      </w:r>
      <w:r>
        <w:rPr>
          <w:rFonts w:ascii="宋体" w:hAnsi="宋体" w:eastAsia="宋体" w:cs="宋体"/>
          <w:color w:val="auto"/>
          <w:spacing w:val="-57"/>
          <w:sz w:val="21"/>
          <w:szCs w:val="21"/>
          <w:highlight w:val="none"/>
        </w:rPr>
        <w:t xml:space="preserve"> </w:t>
      </w:r>
      <w:r>
        <w:rPr>
          <w:rFonts w:ascii="宋体" w:hAnsi="宋体" w:eastAsia="宋体" w:cs="宋体"/>
          <w:color w:val="auto"/>
          <w:spacing w:val="-7"/>
          <w:sz w:val="21"/>
          <w:szCs w:val="21"/>
          <w:highlight w:val="none"/>
        </w:rPr>
        <w:t>日</w:t>
      </w:r>
    </w:p>
    <w:p w14:paraId="445D8AF9">
      <w:pPr>
        <w:spacing w:line="221" w:lineRule="auto"/>
        <w:rPr>
          <w:rFonts w:ascii="宋体" w:hAnsi="宋体" w:eastAsia="宋体" w:cs="宋体"/>
          <w:color w:val="auto"/>
          <w:sz w:val="21"/>
          <w:szCs w:val="21"/>
          <w:highlight w:val="none"/>
        </w:rPr>
        <w:sectPr>
          <w:footerReference r:id="rId169" w:type="default"/>
          <w:pgSz w:w="11905" w:h="16839"/>
          <w:pgMar w:top="400" w:right="1785" w:bottom="1004" w:left="1785" w:header="0" w:footer="828" w:gutter="0"/>
          <w:pgNumType w:fmt="decimal"/>
          <w:cols w:space="720" w:num="1"/>
        </w:sectPr>
      </w:pPr>
    </w:p>
    <w:p w14:paraId="36C1CEDB">
      <w:pPr>
        <w:pStyle w:val="3"/>
        <w:spacing w:line="276" w:lineRule="auto"/>
        <w:rPr>
          <w:color w:val="auto"/>
          <w:highlight w:val="none"/>
        </w:rPr>
      </w:pPr>
    </w:p>
    <w:p w14:paraId="62D77E4E">
      <w:pPr>
        <w:pStyle w:val="3"/>
        <w:spacing w:line="276" w:lineRule="auto"/>
        <w:rPr>
          <w:color w:val="auto"/>
          <w:highlight w:val="none"/>
        </w:rPr>
      </w:pPr>
    </w:p>
    <w:p w14:paraId="69463B2A">
      <w:pPr>
        <w:pStyle w:val="3"/>
        <w:spacing w:line="276" w:lineRule="auto"/>
        <w:rPr>
          <w:color w:val="auto"/>
          <w:highlight w:val="none"/>
        </w:rPr>
      </w:pPr>
    </w:p>
    <w:p w14:paraId="26F40750">
      <w:pPr>
        <w:pStyle w:val="3"/>
        <w:spacing w:line="276" w:lineRule="auto"/>
        <w:rPr>
          <w:color w:val="auto"/>
          <w:highlight w:val="none"/>
        </w:rPr>
      </w:pPr>
    </w:p>
    <w:p w14:paraId="0BED0902">
      <w:pPr>
        <w:spacing w:before="78" w:line="219" w:lineRule="auto"/>
        <w:ind w:left="143"/>
        <w:rPr>
          <w:rFonts w:ascii="宋体" w:hAnsi="宋体" w:eastAsia="宋体" w:cs="宋体"/>
          <w:color w:val="auto"/>
          <w:sz w:val="24"/>
          <w:szCs w:val="24"/>
          <w:highlight w:val="none"/>
        </w:rPr>
      </w:pPr>
      <w:r>
        <w:rPr>
          <w:rFonts w:ascii="宋体" w:hAnsi="宋体" w:eastAsia="宋体" w:cs="宋体"/>
          <w:color w:val="auto"/>
          <w:spacing w:val="-14"/>
          <w:sz w:val="24"/>
          <w:szCs w:val="24"/>
          <w:highlight w:val="none"/>
        </w:rPr>
        <w:t>附件</w:t>
      </w:r>
      <w:r>
        <w:rPr>
          <w:rFonts w:ascii="宋体" w:hAnsi="宋体" w:eastAsia="宋体" w:cs="宋体"/>
          <w:color w:val="auto"/>
          <w:spacing w:val="-31"/>
          <w:sz w:val="24"/>
          <w:szCs w:val="24"/>
          <w:highlight w:val="none"/>
        </w:rPr>
        <w:t xml:space="preserve"> </w:t>
      </w:r>
      <w:r>
        <w:rPr>
          <w:rFonts w:ascii="Times New Roman" w:hAnsi="Times New Roman" w:eastAsia="Times New Roman" w:cs="Times New Roman"/>
          <w:color w:val="auto"/>
          <w:spacing w:val="-14"/>
          <w:sz w:val="24"/>
          <w:szCs w:val="24"/>
          <w:highlight w:val="none"/>
        </w:rPr>
        <w:t>11</w:t>
      </w:r>
      <w:r>
        <w:rPr>
          <w:rFonts w:ascii="宋体" w:hAnsi="宋体" w:eastAsia="宋体" w:cs="宋体"/>
          <w:color w:val="auto"/>
          <w:spacing w:val="-14"/>
          <w:sz w:val="24"/>
          <w:szCs w:val="24"/>
          <w:highlight w:val="none"/>
        </w:rPr>
        <w:t>：</w:t>
      </w:r>
    </w:p>
    <w:p w14:paraId="4098D095">
      <w:pPr>
        <w:spacing w:before="243" w:line="225" w:lineRule="auto"/>
        <w:ind w:left="3072"/>
        <w:rPr>
          <w:rFonts w:ascii="黑体" w:hAnsi="黑体" w:eastAsia="黑体" w:cs="黑体"/>
          <w:color w:val="auto"/>
          <w:sz w:val="27"/>
          <w:szCs w:val="27"/>
          <w:highlight w:val="none"/>
        </w:rPr>
      </w:pPr>
      <w:bookmarkStart w:id="1288" w:name="bookmark234"/>
      <w:bookmarkEnd w:id="1288"/>
      <w:r>
        <w:rPr>
          <w:rFonts w:ascii="Times New Roman" w:hAnsi="Times New Roman" w:eastAsia="Times New Roman" w:cs="Times New Roman"/>
          <w:color w:val="auto"/>
          <w:spacing w:val="-1"/>
          <w:sz w:val="27"/>
          <w:szCs w:val="27"/>
          <w:highlight w:val="none"/>
        </w:rPr>
        <w:t>11-</w:t>
      </w:r>
      <w:r>
        <w:rPr>
          <w:rFonts w:ascii="Times New Roman" w:hAnsi="Times New Roman" w:eastAsia="Times New Roman" w:cs="Times New Roman"/>
          <w:color w:val="auto"/>
          <w:spacing w:val="-29"/>
          <w:sz w:val="27"/>
          <w:szCs w:val="27"/>
          <w:highlight w:val="none"/>
        </w:rPr>
        <w:t xml:space="preserve"> </w:t>
      </w:r>
      <w:r>
        <w:rPr>
          <w:rFonts w:ascii="Times New Roman" w:hAnsi="Times New Roman" w:eastAsia="Times New Roman" w:cs="Times New Roman"/>
          <w:color w:val="auto"/>
          <w:spacing w:val="-1"/>
          <w:sz w:val="27"/>
          <w:szCs w:val="27"/>
          <w:highlight w:val="none"/>
        </w:rPr>
        <w:t>1</w:t>
      </w:r>
      <w:r>
        <w:rPr>
          <w:rFonts w:ascii="黑体" w:hAnsi="黑体" w:eastAsia="黑体" w:cs="黑体"/>
          <w:color w:val="auto"/>
          <w:spacing w:val="-1"/>
          <w:sz w:val="27"/>
          <w:szCs w:val="27"/>
          <w:highlight w:val="none"/>
        </w:rPr>
        <w:t>：材料暂估价表</w:t>
      </w:r>
    </w:p>
    <w:p w14:paraId="7C3C15C5">
      <w:pPr>
        <w:spacing w:line="112" w:lineRule="exact"/>
        <w:rPr>
          <w:color w:val="auto"/>
          <w:highlight w:val="none"/>
        </w:rPr>
      </w:pPr>
    </w:p>
    <w:tbl>
      <w:tblPr>
        <w:tblStyle w:val="10"/>
        <w:tblW w:w="908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3"/>
        <w:gridCol w:w="1983"/>
        <w:gridCol w:w="847"/>
        <w:gridCol w:w="771"/>
        <w:gridCol w:w="1350"/>
        <w:gridCol w:w="1413"/>
        <w:gridCol w:w="1717"/>
      </w:tblGrid>
      <w:tr w14:paraId="2C955B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003" w:type="dxa"/>
            <w:tcBorders>
              <w:top w:val="single" w:color="000000" w:sz="10" w:space="0"/>
              <w:left w:val="single" w:color="000000" w:sz="10" w:space="0"/>
            </w:tcBorders>
            <w:vAlign w:val="top"/>
          </w:tcPr>
          <w:p w14:paraId="15B0873C">
            <w:pPr>
              <w:pStyle w:val="11"/>
              <w:spacing w:before="178" w:line="222" w:lineRule="auto"/>
              <w:ind w:left="290"/>
              <w:rPr>
                <w:color w:val="auto"/>
                <w:highlight w:val="none"/>
              </w:rPr>
            </w:pPr>
            <w:r>
              <w:rPr>
                <w:color w:val="auto"/>
                <w:spacing w:val="-2"/>
                <w:highlight w:val="none"/>
              </w:rPr>
              <w:t>序号</w:t>
            </w:r>
          </w:p>
        </w:tc>
        <w:tc>
          <w:tcPr>
            <w:tcW w:w="1983" w:type="dxa"/>
            <w:tcBorders>
              <w:top w:val="single" w:color="000000" w:sz="10" w:space="0"/>
            </w:tcBorders>
            <w:vAlign w:val="top"/>
          </w:tcPr>
          <w:p w14:paraId="553FB04C">
            <w:pPr>
              <w:pStyle w:val="11"/>
              <w:spacing w:before="177" w:line="223" w:lineRule="auto"/>
              <w:ind w:left="781"/>
              <w:rPr>
                <w:color w:val="auto"/>
                <w:highlight w:val="none"/>
              </w:rPr>
            </w:pPr>
            <w:r>
              <w:rPr>
                <w:color w:val="auto"/>
                <w:spacing w:val="-3"/>
                <w:highlight w:val="none"/>
              </w:rPr>
              <w:t>名称</w:t>
            </w:r>
          </w:p>
        </w:tc>
        <w:tc>
          <w:tcPr>
            <w:tcW w:w="847" w:type="dxa"/>
            <w:tcBorders>
              <w:top w:val="single" w:color="000000" w:sz="10" w:space="0"/>
            </w:tcBorders>
            <w:vAlign w:val="top"/>
          </w:tcPr>
          <w:p w14:paraId="79BC949E">
            <w:pPr>
              <w:pStyle w:val="11"/>
              <w:spacing w:before="178" w:line="221" w:lineRule="auto"/>
              <w:ind w:left="219"/>
              <w:rPr>
                <w:color w:val="auto"/>
                <w:highlight w:val="none"/>
              </w:rPr>
            </w:pPr>
            <w:r>
              <w:rPr>
                <w:color w:val="auto"/>
                <w:spacing w:val="-2"/>
                <w:highlight w:val="none"/>
              </w:rPr>
              <w:t>单位</w:t>
            </w:r>
          </w:p>
        </w:tc>
        <w:tc>
          <w:tcPr>
            <w:tcW w:w="771" w:type="dxa"/>
            <w:tcBorders>
              <w:top w:val="single" w:color="000000" w:sz="10" w:space="0"/>
            </w:tcBorders>
            <w:vAlign w:val="top"/>
          </w:tcPr>
          <w:p w14:paraId="4B51680E">
            <w:pPr>
              <w:pStyle w:val="11"/>
              <w:spacing w:before="177" w:line="221" w:lineRule="auto"/>
              <w:ind w:left="183"/>
              <w:rPr>
                <w:color w:val="auto"/>
                <w:highlight w:val="none"/>
              </w:rPr>
            </w:pPr>
            <w:r>
              <w:rPr>
                <w:color w:val="auto"/>
                <w:spacing w:val="-2"/>
                <w:highlight w:val="none"/>
              </w:rPr>
              <w:t>数量</w:t>
            </w:r>
          </w:p>
        </w:tc>
        <w:tc>
          <w:tcPr>
            <w:tcW w:w="1350" w:type="dxa"/>
            <w:tcBorders>
              <w:top w:val="single" w:color="000000" w:sz="10" w:space="0"/>
            </w:tcBorders>
            <w:vAlign w:val="top"/>
          </w:tcPr>
          <w:p w14:paraId="5E634793">
            <w:pPr>
              <w:pStyle w:val="11"/>
              <w:spacing w:before="178" w:line="219" w:lineRule="auto"/>
              <w:ind w:left="156"/>
              <w:rPr>
                <w:color w:val="auto"/>
                <w:highlight w:val="none"/>
              </w:rPr>
            </w:pPr>
            <w:r>
              <w:rPr>
                <w:color w:val="auto"/>
                <w:spacing w:val="-3"/>
                <w:highlight w:val="none"/>
              </w:rPr>
              <w:t>单价（元）</w:t>
            </w:r>
          </w:p>
        </w:tc>
        <w:tc>
          <w:tcPr>
            <w:tcW w:w="1413" w:type="dxa"/>
            <w:tcBorders>
              <w:top w:val="single" w:color="000000" w:sz="10" w:space="0"/>
            </w:tcBorders>
            <w:vAlign w:val="top"/>
          </w:tcPr>
          <w:p w14:paraId="68114270">
            <w:pPr>
              <w:pStyle w:val="11"/>
              <w:spacing w:before="178" w:line="219" w:lineRule="auto"/>
              <w:ind w:left="193"/>
              <w:rPr>
                <w:color w:val="auto"/>
                <w:highlight w:val="none"/>
              </w:rPr>
            </w:pPr>
            <w:r>
              <w:rPr>
                <w:color w:val="auto"/>
                <w:spacing w:val="-3"/>
                <w:highlight w:val="none"/>
              </w:rPr>
              <w:t>合价（元）</w:t>
            </w:r>
          </w:p>
        </w:tc>
        <w:tc>
          <w:tcPr>
            <w:tcW w:w="1717" w:type="dxa"/>
            <w:tcBorders>
              <w:top w:val="single" w:color="000000" w:sz="10" w:space="0"/>
              <w:right w:val="single" w:color="000000" w:sz="10" w:space="0"/>
            </w:tcBorders>
            <w:vAlign w:val="top"/>
          </w:tcPr>
          <w:p w14:paraId="3883CDB0">
            <w:pPr>
              <w:pStyle w:val="11"/>
              <w:spacing w:before="178" w:line="222" w:lineRule="auto"/>
              <w:ind w:left="659"/>
              <w:rPr>
                <w:color w:val="auto"/>
                <w:highlight w:val="none"/>
              </w:rPr>
            </w:pPr>
            <w:r>
              <w:rPr>
                <w:color w:val="auto"/>
                <w:spacing w:val="-3"/>
                <w:highlight w:val="none"/>
              </w:rPr>
              <w:t>备注</w:t>
            </w:r>
          </w:p>
        </w:tc>
      </w:tr>
      <w:tr w14:paraId="02554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03" w:type="dxa"/>
            <w:tcBorders>
              <w:left w:val="single" w:color="000000" w:sz="10" w:space="0"/>
            </w:tcBorders>
            <w:vAlign w:val="top"/>
          </w:tcPr>
          <w:p w14:paraId="379C512B">
            <w:pPr>
              <w:rPr>
                <w:rFonts w:ascii="Arial"/>
                <w:color w:val="auto"/>
                <w:sz w:val="21"/>
                <w:highlight w:val="none"/>
              </w:rPr>
            </w:pPr>
          </w:p>
        </w:tc>
        <w:tc>
          <w:tcPr>
            <w:tcW w:w="1983" w:type="dxa"/>
            <w:vAlign w:val="top"/>
          </w:tcPr>
          <w:p w14:paraId="22758E39">
            <w:pPr>
              <w:rPr>
                <w:rFonts w:ascii="Arial"/>
                <w:color w:val="auto"/>
                <w:sz w:val="21"/>
                <w:highlight w:val="none"/>
              </w:rPr>
            </w:pPr>
          </w:p>
        </w:tc>
        <w:tc>
          <w:tcPr>
            <w:tcW w:w="847" w:type="dxa"/>
            <w:vAlign w:val="top"/>
          </w:tcPr>
          <w:p w14:paraId="13E402B8">
            <w:pPr>
              <w:rPr>
                <w:rFonts w:ascii="Arial"/>
                <w:color w:val="auto"/>
                <w:sz w:val="21"/>
                <w:highlight w:val="none"/>
              </w:rPr>
            </w:pPr>
          </w:p>
        </w:tc>
        <w:tc>
          <w:tcPr>
            <w:tcW w:w="771" w:type="dxa"/>
            <w:vAlign w:val="top"/>
          </w:tcPr>
          <w:p w14:paraId="4A3BAD80">
            <w:pPr>
              <w:rPr>
                <w:rFonts w:ascii="Arial"/>
                <w:color w:val="auto"/>
                <w:sz w:val="21"/>
                <w:highlight w:val="none"/>
              </w:rPr>
            </w:pPr>
          </w:p>
        </w:tc>
        <w:tc>
          <w:tcPr>
            <w:tcW w:w="1350" w:type="dxa"/>
            <w:vAlign w:val="top"/>
          </w:tcPr>
          <w:p w14:paraId="33C417F3">
            <w:pPr>
              <w:rPr>
                <w:rFonts w:ascii="Arial"/>
                <w:color w:val="auto"/>
                <w:sz w:val="21"/>
                <w:highlight w:val="none"/>
              </w:rPr>
            </w:pPr>
          </w:p>
        </w:tc>
        <w:tc>
          <w:tcPr>
            <w:tcW w:w="1413" w:type="dxa"/>
            <w:vAlign w:val="top"/>
          </w:tcPr>
          <w:p w14:paraId="0331C21D">
            <w:pPr>
              <w:rPr>
                <w:rFonts w:ascii="Arial"/>
                <w:color w:val="auto"/>
                <w:sz w:val="21"/>
                <w:highlight w:val="none"/>
              </w:rPr>
            </w:pPr>
          </w:p>
        </w:tc>
        <w:tc>
          <w:tcPr>
            <w:tcW w:w="1717" w:type="dxa"/>
            <w:tcBorders>
              <w:right w:val="single" w:color="000000" w:sz="10" w:space="0"/>
            </w:tcBorders>
            <w:vAlign w:val="top"/>
          </w:tcPr>
          <w:p w14:paraId="2376227A">
            <w:pPr>
              <w:rPr>
                <w:rFonts w:ascii="Arial"/>
                <w:color w:val="auto"/>
                <w:sz w:val="21"/>
                <w:highlight w:val="none"/>
              </w:rPr>
            </w:pPr>
          </w:p>
        </w:tc>
      </w:tr>
      <w:tr w14:paraId="7F2FE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33B1124D">
            <w:pPr>
              <w:rPr>
                <w:rFonts w:ascii="Arial"/>
                <w:color w:val="auto"/>
                <w:sz w:val="21"/>
                <w:highlight w:val="none"/>
              </w:rPr>
            </w:pPr>
          </w:p>
        </w:tc>
        <w:tc>
          <w:tcPr>
            <w:tcW w:w="1983" w:type="dxa"/>
            <w:vAlign w:val="top"/>
          </w:tcPr>
          <w:p w14:paraId="5FD57C06">
            <w:pPr>
              <w:rPr>
                <w:rFonts w:ascii="Arial"/>
                <w:color w:val="auto"/>
                <w:sz w:val="21"/>
                <w:highlight w:val="none"/>
              </w:rPr>
            </w:pPr>
          </w:p>
        </w:tc>
        <w:tc>
          <w:tcPr>
            <w:tcW w:w="847" w:type="dxa"/>
            <w:vAlign w:val="top"/>
          </w:tcPr>
          <w:p w14:paraId="2289637E">
            <w:pPr>
              <w:rPr>
                <w:rFonts w:ascii="Arial"/>
                <w:color w:val="auto"/>
                <w:sz w:val="21"/>
                <w:highlight w:val="none"/>
              </w:rPr>
            </w:pPr>
          </w:p>
        </w:tc>
        <w:tc>
          <w:tcPr>
            <w:tcW w:w="771" w:type="dxa"/>
            <w:vAlign w:val="top"/>
          </w:tcPr>
          <w:p w14:paraId="2266A933">
            <w:pPr>
              <w:rPr>
                <w:rFonts w:ascii="Arial"/>
                <w:color w:val="auto"/>
                <w:sz w:val="21"/>
                <w:highlight w:val="none"/>
              </w:rPr>
            </w:pPr>
          </w:p>
        </w:tc>
        <w:tc>
          <w:tcPr>
            <w:tcW w:w="1350" w:type="dxa"/>
            <w:vAlign w:val="top"/>
          </w:tcPr>
          <w:p w14:paraId="25F6807D">
            <w:pPr>
              <w:rPr>
                <w:rFonts w:ascii="Arial"/>
                <w:color w:val="auto"/>
                <w:sz w:val="21"/>
                <w:highlight w:val="none"/>
              </w:rPr>
            </w:pPr>
          </w:p>
        </w:tc>
        <w:tc>
          <w:tcPr>
            <w:tcW w:w="1413" w:type="dxa"/>
            <w:vAlign w:val="top"/>
          </w:tcPr>
          <w:p w14:paraId="79F0E70D">
            <w:pPr>
              <w:rPr>
                <w:rFonts w:ascii="Arial"/>
                <w:color w:val="auto"/>
                <w:sz w:val="21"/>
                <w:highlight w:val="none"/>
              </w:rPr>
            </w:pPr>
          </w:p>
        </w:tc>
        <w:tc>
          <w:tcPr>
            <w:tcW w:w="1717" w:type="dxa"/>
            <w:tcBorders>
              <w:right w:val="single" w:color="000000" w:sz="10" w:space="0"/>
            </w:tcBorders>
            <w:vAlign w:val="top"/>
          </w:tcPr>
          <w:p w14:paraId="31747D07">
            <w:pPr>
              <w:rPr>
                <w:rFonts w:ascii="Arial"/>
                <w:color w:val="auto"/>
                <w:sz w:val="21"/>
                <w:highlight w:val="none"/>
              </w:rPr>
            </w:pPr>
          </w:p>
        </w:tc>
      </w:tr>
      <w:tr w14:paraId="3EA4D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23F4359D">
            <w:pPr>
              <w:rPr>
                <w:rFonts w:ascii="Arial"/>
                <w:color w:val="auto"/>
                <w:sz w:val="21"/>
                <w:highlight w:val="none"/>
              </w:rPr>
            </w:pPr>
          </w:p>
        </w:tc>
        <w:tc>
          <w:tcPr>
            <w:tcW w:w="1983" w:type="dxa"/>
            <w:vAlign w:val="top"/>
          </w:tcPr>
          <w:p w14:paraId="1C360DBE">
            <w:pPr>
              <w:rPr>
                <w:rFonts w:ascii="Arial"/>
                <w:color w:val="auto"/>
                <w:sz w:val="21"/>
                <w:highlight w:val="none"/>
              </w:rPr>
            </w:pPr>
          </w:p>
        </w:tc>
        <w:tc>
          <w:tcPr>
            <w:tcW w:w="847" w:type="dxa"/>
            <w:vAlign w:val="top"/>
          </w:tcPr>
          <w:p w14:paraId="688EFAB4">
            <w:pPr>
              <w:rPr>
                <w:rFonts w:ascii="Arial"/>
                <w:color w:val="auto"/>
                <w:sz w:val="21"/>
                <w:highlight w:val="none"/>
              </w:rPr>
            </w:pPr>
          </w:p>
        </w:tc>
        <w:tc>
          <w:tcPr>
            <w:tcW w:w="771" w:type="dxa"/>
            <w:vAlign w:val="top"/>
          </w:tcPr>
          <w:p w14:paraId="28CF16B0">
            <w:pPr>
              <w:rPr>
                <w:rFonts w:ascii="Arial"/>
                <w:color w:val="auto"/>
                <w:sz w:val="21"/>
                <w:highlight w:val="none"/>
              </w:rPr>
            </w:pPr>
          </w:p>
        </w:tc>
        <w:tc>
          <w:tcPr>
            <w:tcW w:w="1350" w:type="dxa"/>
            <w:vAlign w:val="top"/>
          </w:tcPr>
          <w:p w14:paraId="0DAC6F7F">
            <w:pPr>
              <w:rPr>
                <w:rFonts w:ascii="Arial"/>
                <w:color w:val="auto"/>
                <w:sz w:val="21"/>
                <w:highlight w:val="none"/>
              </w:rPr>
            </w:pPr>
          </w:p>
        </w:tc>
        <w:tc>
          <w:tcPr>
            <w:tcW w:w="1413" w:type="dxa"/>
            <w:vAlign w:val="top"/>
          </w:tcPr>
          <w:p w14:paraId="737A070C">
            <w:pPr>
              <w:rPr>
                <w:rFonts w:ascii="Arial"/>
                <w:color w:val="auto"/>
                <w:sz w:val="21"/>
                <w:highlight w:val="none"/>
              </w:rPr>
            </w:pPr>
          </w:p>
        </w:tc>
        <w:tc>
          <w:tcPr>
            <w:tcW w:w="1717" w:type="dxa"/>
            <w:tcBorders>
              <w:right w:val="single" w:color="000000" w:sz="10" w:space="0"/>
            </w:tcBorders>
            <w:vAlign w:val="top"/>
          </w:tcPr>
          <w:p w14:paraId="4ECEFE30">
            <w:pPr>
              <w:rPr>
                <w:rFonts w:ascii="Arial"/>
                <w:color w:val="auto"/>
                <w:sz w:val="21"/>
                <w:highlight w:val="none"/>
              </w:rPr>
            </w:pPr>
          </w:p>
        </w:tc>
      </w:tr>
      <w:tr w14:paraId="565B0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6EDF549C">
            <w:pPr>
              <w:rPr>
                <w:rFonts w:ascii="Arial"/>
                <w:color w:val="auto"/>
                <w:sz w:val="21"/>
                <w:highlight w:val="none"/>
              </w:rPr>
            </w:pPr>
          </w:p>
        </w:tc>
        <w:tc>
          <w:tcPr>
            <w:tcW w:w="1983" w:type="dxa"/>
            <w:vAlign w:val="top"/>
          </w:tcPr>
          <w:p w14:paraId="57B5CDB7">
            <w:pPr>
              <w:rPr>
                <w:rFonts w:ascii="Arial"/>
                <w:color w:val="auto"/>
                <w:sz w:val="21"/>
                <w:highlight w:val="none"/>
              </w:rPr>
            </w:pPr>
          </w:p>
        </w:tc>
        <w:tc>
          <w:tcPr>
            <w:tcW w:w="847" w:type="dxa"/>
            <w:vAlign w:val="top"/>
          </w:tcPr>
          <w:p w14:paraId="52BE6774">
            <w:pPr>
              <w:rPr>
                <w:rFonts w:ascii="Arial"/>
                <w:color w:val="auto"/>
                <w:sz w:val="21"/>
                <w:highlight w:val="none"/>
              </w:rPr>
            </w:pPr>
          </w:p>
        </w:tc>
        <w:tc>
          <w:tcPr>
            <w:tcW w:w="771" w:type="dxa"/>
            <w:vAlign w:val="top"/>
          </w:tcPr>
          <w:p w14:paraId="512D594A">
            <w:pPr>
              <w:rPr>
                <w:rFonts w:ascii="Arial"/>
                <w:color w:val="auto"/>
                <w:sz w:val="21"/>
                <w:highlight w:val="none"/>
              </w:rPr>
            </w:pPr>
          </w:p>
        </w:tc>
        <w:tc>
          <w:tcPr>
            <w:tcW w:w="1350" w:type="dxa"/>
            <w:vAlign w:val="top"/>
          </w:tcPr>
          <w:p w14:paraId="10CAD159">
            <w:pPr>
              <w:rPr>
                <w:rFonts w:ascii="Arial"/>
                <w:color w:val="auto"/>
                <w:sz w:val="21"/>
                <w:highlight w:val="none"/>
              </w:rPr>
            </w:pPr>
          </w:p>
        </w:tc>
        <w:tc>
          <w:tcPr>
            <w:tcW w:w="1413" w:type="dxa"/>
            <w:vAlign w:val="top"/>
          </w:tcPr>
          <w:p w14:paraId="2D908422">
            <w:pPr>
              <w:rPr>
                <w:rFonts w:ascii="Arial"/>
                <w:color w:val="auto"/>
                <w:sz w:val="21"/>
                <w:highlight w:val="none"/>
              </w:rPr>
            </w:pPr>
          </w:p>
        </w:tc>
        <w:tc>
          <w:tcPr>
            <w:tcW w:w="1717" w:type="dxa"/>
            <w:tcBorders>
              <w:right w:val="single" w:color="000000" w:sz="10" w:space="0"/>
            </w:tcBorders>
            <w:vAlign w:val="top"/>
          </w:tcPr>
          <w:p w14:paraId="0C725656">
            <w:pPr>
              <w:rPr>
                <w:rFonts w:ascii="Arial"/>
                <w:color w:val="auto"/>
                <w:sz w:val="21"/>
                <w:highlight w:val="none"/>
              </w:rPr>
            </w:pPr>
          </w:p>
        </w:tc>
      </w:tr>
      <w:tr w14:paraId="097C2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648F7D97">
            <w:pPr>
              <w:rPr>
                <w:rFonts w:ascii="Arial"/>
                <w:color w:val="auto"/>
                <w:sz w:val="21"/>
                <w:highlight w:val="none"/>
              </w:rPr>
            </w:pPr>
          </w:p>
        </w:tc>
        <w:tc>
          <w:tcPr>
            <w:tcW w:w="1983" w:type="dxa"/>
            <w:vAlign w:val="top"/>
          </w:tcPr>
          <w:p w14:paraId="00CE689D">
            <w:pPr>
              <w:rPr>
                <w:rFonts w:ascii="Arial"/>
                <w:color w:val="auto"/>
                <w:sz w:val="21"/>
                <w:highlight w:val="none"/>
              </w:rPr>
            </w:pPr>
          </w:p>
        </w:tc>
        <w:tc>
          <w:tcPr>
            <w:tcW w:w="847" w:type="dxa"/>
            <w:vAlign w:val="top"/>
          </w:tcPr>
          <w:p w14:paraId="7BE15F2C">
            <w:pPr>
              <w:rPr>
                <w:rFonts w:ascii="Arial"/>
                <w:color w:val="auto"/>
                <w:sz w:val="21"/>
                <w:highlight w:val="none"/>
              </w:rPr>
            </w:pPr>
          </w:p>
        </w:tc>
        <w:tc>
          <w:tcPr>
            <w:tcW w:w="771" w:type="dxa"/>
            <w:vAlign w:val="top"/>
          </w:tcPr>
          <w:p w14:paraId="69200239">
            <w:pPr>
              <w:rPr>
                <w:rFonts w:ascii="Arial"/>
                <w:color w:val="auto"/>
                <w:sz w:val="21"/>
                <w:highlight w:val="none"/>
              </w:rPr>
            </w:pPr>
          </w:p>
        </w:tc>
        <w:tc>
          <w:tcPr>
            <w:tcW w:w="1350" w:type="dxa"/>
            <w:vAlign w:val="top"/>
          </w:tcPr>
          <w:p w14:paraId="6A2B3A4A">
            <w:pPr>
              <w:rPr>
                <w:rFonts w:ascii="Arial"/>
                <w:color w:val="auto"/>
                <w:sz w:val="21"/>
                <w:highlight w:val="none"/>
              </w:rPr>
            </w:pPr>
          </w:p>
        </w:tc>
        <w:tc>
          <w:tcPr>
            <w:tcW w:w="1413" w:type="dxa"/>
            <w:vAlign w:val="top"/>
          </w:tcPr>
          <w:p w14:paraId="2577C31A">
            <w:pPr>
              <w:rPr>
                <w:rFonts w:ascii="Arial"/>
                <w:color w:val="auto"/>
                <w:sz w:val="21"/>
                <w:highlight w:val="none"/>
              </w:rPr>
            </w:pPr>
          </w:p>
        </w:tc>
        <w:tc>
          <w:tcPr>
            <w:tcW w:w="1717" w:type="dxa"/>
            <w:tcBorders>
              <w:right w:val="single" w:color="000000" w:sz="10" w:space="0"/>
            </w:tcBorders>
            <w:vAlign w:val="top"/>
          </w:tcPr>
          <w:p w14:paraId="34656A4F">
            <w:pPr>
              <w:rPr>
                <w:rFonts w:ascii="Arial"/>
                <w:color w:val="auto"/>
                <w:sz w:val="21"/>
                <w:highlight w:val="none"/>
              </w:rPr>
            </w:pPr>
          </w:p>
        </w:tc>
      </w:tr>
      <w:tr w14:paraId="35BAAD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7FA2F981">
            <w:pPr>
              <w:rPr>
                <w:rFonts w:ascii="Arial"/>
                <w:color w:val="auto"/>
                <w:sz w:val="21"/>
                <w:highlight w:val="none"/>
              </w:rPr>
            </w:pPr>
          </w:p>
        </w:tc>
        <w:tc>
          <w:tcPr>
            <w:tcW w:w="1983" w:type="dxa"/>
            <w:vAlign w:val="top"/>
          </w:tcPr>
          <w:p w14:paraId="3B9D66C5">
            <w:pPr>
              <w:rPr>
                <w:rFonts w:ascii="Arial"/>
                <w:color w:val="auto"/>
                <w:sz w:val="21"/>
                <w:highlight w:val="none"/>
              </w:rPr>
            </w:pPr>
          </w:p>
        </w:tc>
        <w:tc>
          <w:tcPr>
            <w:tcW w:w="847" w:type="dxa"/>
            <w:vAlign w:val="top"/>
          </w:tcPr>
          <w:p w14:paraId="7CA9BF54">
            <w:pPr>
              <w:rPr>
                <w:rFonts w:ascii="Arial"/>
                <w:color w:val="auto"/>
                <w:sz w:val="21"/>
                <w:highlight w:val="none"/>
              </w:rPr>
            </w:pPr>
          </w:p>
        </w:tc>
        <w:tc>
          <w:tcPr>
            <w:tcW w:w="771" w:type="dxa"/>
            <w:vAlign w:val="top"/>
          </w:tcPr>
          <w:p w14:paraId="1AD3490A">
            <w:pPr>
              <w:rPr>
                <w:rFonts w:ascii="Arial"/>
                <w:color w:val="auto"/>
                <w:sz w:val="21"/>
                <w:highlight w:val="none"/>
              </w:rPr>
            </w:pPr>
          </w:p>
        </w:tc>
        <w:tc>
          <w:tcPr>
            <w:tcW w:w="1350" w:type="dxa"/>
            <w:vAlign w:val="top"/>
          </w:tcPr>
          <w:p w14:paraId="6BD02DBC">
            <w:pPr>
              <w:rPr>
                <w:rFonts w:ascii="Arial"/>
                <w:color w:val="auto"/>
                <w:sz w:val="21"/>
                <w:highlight w:val="none"/>
              </w:rPr>
            </w:pPr>
          </w:p>
        </w:tc>
        <w:tc>
          <w:tcPr>
            <w:tcW w:w="1413" w:type="dxa"/>
            <w:vAlign w:val="top"/>
          </w:tcPr>
          <w:p w14:paraId="3DAC4875">
            <w:pPr>
              <w:rPr>
                <w:rFonts w:ascii="Arial"/>
                <w:color w:val="auto"/>
                <w:sz w:val="21"/>
                <w:highlight w:val="none"/>
              </w:rPr>
            </w:pPr>
          </w:p>
        </w:tc>
        <w:tc>
          <w:tcPr>
            <w:tcW w:w="1717" w:type="dxa"/>
            <w:tcBorders>
              <w:right w:val="single" w:color="000000" w:sz="10" w:space="0"/>
            </w:tcBorders>
            <w:vAlign w:val="top"/>
          </w:tcPr>
          <w:p w14:paraId="1B53269F">
            <w:pPr>
              <w:rPr>
                <w:rFonts w:ascii="Arial"/>
                <w:color w:val="auto"/>
                <w:sz w:val="21"/>
                <w:highlight w:val="none"/>
              </w:rPr>
            </w:pPr>
          </w:p>
        </w:tc>
      </w:tr>
      <w:tr w14:paraId="67430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3932358B">
            <w:pPr>
              <w:rPr>
                <w:rFonts w:ascii="Arial"/>
                <w:color w:val="auto"/>
                <w:sz w:val="21"/>
                <w:highlight w:val="none"/>
              </w:rPr>
            </w:pPr>
          </w:p>
        </w:tc>
        <w:tc>
          <w:tcPr>
            <w:tcW w:w="1983" w:type="dxa"/>
            <w:vAlign w:val="top"/>
          </w:tcPr>
          <w:p w14:paraId="5945A62C">
            <w:pPr>
              <w:rPr>
                <w:rFonts w:ascii="Arial"/>
                <w:color w:val="auto"/>
                <w:sz w:val="21"/>
                <w:highlight w:val="none"/>
              </w:rPr>
            </w:pPr>
          </w:p>
        </w:tc>
        <w:tc>
          <w:tcPr>
            <w:tcW w:w="847" w:type="dxa"/>
            <w:vAlign w:val="top"/>
          </w:tcPr>
          <w:p w14:paraId="7701426C">
            <w:pPr>
              <w:rPr>
                <w:rFonts w:ascii="Arial"/>
                <w:color w:val="auto"/>
                <w:sz w:val="21"/>
                <w:highlight w:val="none"/>
              </w:rPr>
            </w:pPr>
          </w:p>
        </w:tc>
        <w:tc>
          <w:tcPr>
            <w:tcW w:w="771" w:type="dxa"/>
            <w:vAlign w:val="top"/>
          </w:tcPr>
          <w:p w14:paraId="216535A5">
            <w:pPr>
              <w:rPr>
                <w:rFonts w:ascii="Arial"/>
                <w:color w:val="auto"/>
                <w:sz w:val="21"/>
                <w:highlight w:val="none"/>
              </w:rPr>
            </w:pPr>
          </w:p>
        </w:tc>
        <w:tc>
          <w:tcPr>
            <w:tcW w:w="1350" w:type="dxa"/>
            <w:vAlign w:val="top"/>
          </w:tcPr>
          <w:p w14:paraId="7D606D26">
            <w:pPr>
              <w:rPr>
                <w:rFonts w:ascii="Arial"/>
                <w:color w:val="auto"/>
                <w:sz w:val="21"/>
                <w:highlight w:val="none"/>
              </w:rPr>
            </w:pPr>
          </w:p>
        </w:tc>
        <w:tc>
          <w:tcPr>
            <w:tcW w:w="1413" w:type="dxa"/>
            <w:vAlign w:val="top"/>
          </w:tcPr>
          <w:p w14:paraId="5DE0D9D3">
            <w:pPr>
              <w:rPr>
                <w:rFonts w:ascii="Arial"/>
                <w:color w:val="auto"/>
                <w:sz w:val="21"/>
                <w:highlight w:val="none"/>
              </w:rPr>
            </w:pPr>
          </w:p>
        </w:tc>
        <w:tc>
          <w:tcPr>
            <w:tcW w:w="1717" w:type="dxa"/>
            <w:tcBorders>
              <w:right w:val="single" w:color="000000" w:sz="10" w:space="0"/>
            </w:tcBorders>
            <w:vAlign w:val="top"/>
          </w:tcPr>
          <w:p w14:paraId="073A073E">
            <w:pPr>
              <w:rPr>
                <w:rFonts w:ascii="Arial"/>
                <w:color w:val="auto"/>
                <w:sz w:val="21"/>
                <w:highlight w:val="none"/>
              </w:rPr>
            </w:pPr>
          </w:p>
        </w:tc>
      </w:tr>
      <w:tr w14:paraId="63958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6628D6EE">
            <w:pPr>
              <w:rPr>
                <w:rFonts w:ascii="Arial"/>
                <w:color w:val="auto"/>
                <w:sz w:val="21"/>
                <w:highlight w:val="none"/>
              </w:rPr>
            </w:pPr>
          </w:p>
        </w:tc>
        <w:tc>
          <w:tcPr>
            <w:tcW w:w="1983" w:type="dxa"/>
            <w:vAlign w:val="top"/>
          </w:tcPr>
          <w:p w14:paraId="3E7EB3DF">
            <w:pPr>
              <w:rPr>
                <w:rFonts w:ascii="Arial"/>
                <w:color w:val="auto"/>
                <w:sz w:val="21"/>
                <w:highlight w:val="none"/>
              </w:rPr>
            </w:pPr>
          </w:p>
        </w:tc>
        <w:tc>
          <w:tcPr>
            <w:tcW w:w="847" w:type="dxa"/>
            <w:vAlign w:val="top"/>
          </w:tcPr>
          <w:p w14:paraId="3DE65A6F">
            <w:pPr>
              <w:rPr>
                <w:rFonts w:ascii="Arial"/>
                <w:color w:val="auto"/>
                <w:sz w:val="21"/>
                <w:highlight w:val="none"/>
              </w:rPr>
            </w:pPr>
          </w:p>
        </w:tc>
        <w:tc>
          <w:tcPr>
            <w:tcW w:w="771" w:type="dxa"/>
            <w:vAlign w:val="top"/>
          </w:tcPr>
          <w:p w14:paraId="2932F04E">
            <w:pPr>
              <w:rPr>
                <w:rFonts w:ascii="Arial"/>
                <w:color w:val="auto"/>
                <w:sz w:val="21"/>
                <w:highlight w:val="none"/>
              </w:rPr>
            </w:pPr>
          </w:p>
        </w:tc>
        <w:tc>
          <w:tcPr>
            <w:tcW w:w="1350" w:type="dxa"/>
            <w:vAlign w:val="top"/>
          </w:tcPr>
          <w:p w14:paraId="563A1FCE">
            <w:pPr>
              <w:rPr>
                <w:rFonts w:ascii="Arial"/>
                <w:color w:val="auto"/>
                <w:sz w:val="21"/>
                <w:highlight w:val="none"/>
              </w:rPr>
            </w:pPr>
          </w:p>
        </w:tc>
        <w:tc>
          <w:tcPr>
            <w:tcW w:w="1413" w:type="dxa"/>
            <w:vAlign w:val="top"/>
          </w:tcPr>
          <w:p w14:paraId="2CDDF926">
            <w:pPr>
              <w:rPr>
                <w:rFonts w:ascii="Arial"/>
                <w:color w:val="auto"/>
                <w:sz w:val="21"/>
                <w:highlight w:val="none"/>
              </w:rPr>
            </w:pPr>
          </w:p>
        </w:tc>
        <w:tc>
          <w:tcPr>
            <w:tcW w:w="1717" w:type="dxa"/>
            <w:tcBorders>
              <w:right w:val="single" w:color="000000" w:sz="10" w:space="0"/>
            </w:tcBorders>
            <w:vAlign w:val="top"/>
          </w:tcPr>
          <w:p w14:paraId="7D60C1B8">
            <w:pPr>
              <w:rPr>
                <w:rFonts w:ascii="Arial"/>
                <w:color w:val="auto"/>
                <w:sz w:val="21"/>
                <w:highlight w:val="none"/>
              </w:rPr>
            </w:pPr>
          </w:p>
        </w:tc>
      </w:tr>
      <w:tr w14:paraId="06DDC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42B18358">
            <w:pPr>
              <w:rPr>
                <w:rFonts w:ascii="Arial"/>
                <w:color w:val="auto"/>
                <w:sz w:val="21"/>
                <w:highlight w:val="none"/>
              </w:rPr>
            </w:pPr>
          </w:p>
        </w:tc>
        <w:tc>
          <w:tcPr>
            <w:tcW w:w="1983" w:type="dxa"/>
            <w:vAlign w:val="top"/>
          </w:tcPr>
          <w:p w14:paraId="7B6B93FA">
            <w:pPr>
              <w:rPr>
                <w:rFonts w:ascii="Arial"/>
                <w:color w:val="auto"/>
                <w:sz w:val="21"/>
                <w:highlight w:val="none"/>
              </w:rPr>
            </w:pPr>
          </w:p>
        </w:tc>
        <w:tc>
          <w:tcPr>
            <w:tcW w:w="847" w:type="dxa"/>
            <w:vAlign w:val="top"/>
          </w:tcPr>
          <w:p w14:paraId="7FE03041">
            <w:pPr>
              <w:rPr>
                <w:rFonts w:ascii="Arial"/>
                <w:color w:val="auto"/>
                <w:sz w:val="21"/>
                <w:highlight w:val="none"/>
              </w:rPr>
            </w:pPr>
          </w:p>
        </w:tc>
        <w:tc>
          <w:tcPr>
            <w:tcW w:w="771" w:type="dxa"/>
            <w:vAlign w:val="top"/>
          </w:tcPr>
          <w:p w14:paraId="78D87333">
            <w:pPr>
              <w:rPr>
                <w:rFonts w:ascii="Arial"/>
                <w:color w:val="auto"/>
                <w:sz w:val="21"/>
                <w:highlight w:val="none"/>
              </w:rPr>
            </w:pPr>
          </w:p>
        </w:tc>
        <w:tc>
          <w:tcPr>
            <w:tcW w:w="1350" w:type="dxa"/>
            <w:vAlign w:val="top"/>
          </w:tcPr>
          <w:p w14:paraId="7A5EA668">
            <w:pPr>
              <w:rPr>
                <w:rFonts w:ascii="Arial"/>
                <w:color w:val="auto"/>
                <w:sz w:val="21"/>
                <w:highlight w:val="none"/>
              </w:rPr>
            </w:pPr>
          </w:p>
        </w:tc>
        <w:tc>
          <w:tcPr>
            <w:tcW w:w="1413" w:type="dxa"/>
            <w:vAlign w:val="top"/>
          </w:tcPr>
          <w:p w14:paraId="160CA6F9">
            <w:pPr>
              <w:rPr>
                <w:rFonts w:ascii="Arial"/>
                <w:color w:val="auto"/>
                <w:sz w:val="21"/>
                <w:highlight w:val="none"/>
              </w:rPr>
            </w:pPr>
          </w:p>
        </w:tc>
        <w:tc>
          <w:tcPr>
            <w:tcW w:w="1717" w:type="dxa"/>
            <w:tcBorders>
              <w:right w:val="single" w:color="000000" w:sz="10" w:space="0"/>
            </w:tcBorders>
            <w:vAlign w:val="top"/>
          </w:tcPr>
          <w:p w14:paraId="5CD93570">
            <w:pPr>
              <w:rPr>
                <w:rFonts w:ascii="Arial"/>
                <w:color w:val="auto"/>
                <w:sz w:val="21"/>
                <w:highlight w:val="none"/>
              </w:rPr>
            </w:pPr>
          </w:p>
        </w:tc>
      </w:tr>
      <w:tr w14:paraId="0DCEFB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6CF42EED">
            <w:pPr>
              <w:rPr>
                <w:rFonts w:ascii="Arial"/>
                <w:color w:val="auto"/>
                <w:sz w:val="21"/>
                <w:highlight w:val="none"/>
              </w:rPr>
            </w:pPr>
          </w:p>
        </w:tc>
        <w:tc>
          <w:tcPr>
            <w:tcW w:w="1983" w:type="dxa"/>
            <w:vAlign w:val="top"/>
          </w:tcPr>
          <w:p w14:paraId="7BE50964">
            <w:pPr>
              <w:rPr>
                <w:rFonts w:ascii="Arial"/>
                <w:color w:val="auto"/>
                <w:sz w:val="21"/>
                <w:highlight w:val="none"/>
              </w:rPr>
            </w:pPr>
          </w:p>
        </w:tc>
        <w:tc>
          <w:tcPr>
            <w:tcW w:w="847" w:type="dxa"/>
            <w:vAlign w:val="top"/>
          </w:tcPr>
          <w:p w14:paraId="18E904C8">
            <w:pPr>
              <w:rPr>
                <w:rFonts w:ascii="Arial"/>
                <w:color w:val="auto"/>
                <w:sz w:val="21"/>
                <w:highlight w:val="none"/>
              </w:rPr>
            </w:pPr>
          </w:p>
        </w:tc>
        <w:tc>
          <w:tcPr>
            <w:tcW w:w="771" w:type="dxa"/>
            <w:vAlign w:val="top"/>
          </w:tcPr>
          <w:p w14:paraId="2B1DF343">
            <w:pPr>
              <w:rPr>
                <w:rFonts w:ascii="Arial"/>
                <w:color w:val="auto"/>
                <w:sz w:val="21"/>
                <w:highlight w:val="none"/>
              </w:rPr>
            </w:pPr>
          </w:p>
        </w:tc>
        <w:tc>
          <w:tcPr>
            <w:tcW w:w="1350" w:type="dxa"/>
            <w:vAlign w:val="top"/>
          </w:tcPr>
          <w:p w14:paraId="50862946">
            <w:pPr>
              <w:rPr>
                <w:rFonts w:ascii="Arial"/>
                <w:color w:val="auto"/>
                <w:sz w:val="21"/>
                <w:highlight w:val="none"/>
              </w:rPr>
            </w:pPr>
          </w:p>
        </w:tc>
        <w:tc>
          <w:tcPr>
            <w:tcW w:w="1413" w:type="dxa"/>
            <w:vAlign w:val="top"/>
          </w:tcPr>
          <w:p w14:paraId="52CF9D17">
            <w:pPr>
              <w:rPr>
                <w:rFonts w:ascii="Arial"/>
                <w:color w:val="auto"/>
                <w:sz w:val="21"/>
                <w:highlight w:val="none"/>
              </w:rPr>
            </w:pPr>
          </w:p>
        </w:tc>
        <w:tc>
          <w:tcPr>
            <w:tcW w:w="1717" w:type="dxa"/>
            <w:tcBorders>
              <w:right w:val="single" w:color="000000" w:sz="10" w:space="0"/>
            </w:tcBorders>
            <w:vAlign w:val="top"/>
          </w:tcPr>
          <w:p w14:paraId="019E9CA8">
            <w:pPr>
              <w:rPr>
                <w:rFonts w:ascii="Arial"/>
                <w:color w:val="auto"/>
                <w:sz w:val="21"/>
                <w:highlight w:val="none"/>
              </w:rPr>
            </w:pPr>
          </w:p>
        </w:tc>
      </w:tr>
      <w:tr w14:paraId="22152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25EB5BBE">
            <w:pPr>
              <w:rPr>
                <w:rFonts w:ascii="Arial"/>
                <w:color w:val="auto"/>
                <w:sz w:val="21"/>
                <w:highlight w:val="none"/>
              </w:rPr>
            </w:pPr>
          </w:p>
        </w:tc>
        <w:tc>
          <w:tcPr>
            <w:tcW w:w="1983" w:type="dxa"/>
            <w:vAlign w:val="top"/>
          </w:tcPr>
          <w:p w14:paraId="6AD8B0E1">
            <w:pPr>
              <w:rPr>
                <w:rFonts w:ascii="Arial"/>
                <w:color w:val="auto"/>
                <w:sz w:val="21"/>
                <w:highlight w:val="none"/>
              </w:rPr>
            </w:pPr>
          </w:p>
        </w:tc>
        <w:tc>
          <w:tcPr>
            <w:tcW w:w="847" w:type="dxa"/>
            <w:vAlign w:val="top"/>
          </w:tcPr>
          <w:p w14:paraId="7F60148B">
            <w:pPr>
              <w:rPr>
                <w:rFonts w:ascii="Arial"/>
                <w:color w:val="auto"/>
                <w:sz w:val="21"/>
                <w:highlight w:val="none"/>
              </w:rPr>
            </w:pPr>
          </w:p>
        </w:tc>
        <w:tc>
          <w:tcPr>
            <w:tcW w:w="771" w:type="dxa"/>
            <w:vAlign w:val="top"/>
          </w:tcPr>
          <w:p w14:paraId="0F048050">
            <w:pPr>
              <w:rPr>
                <w:rFonts w:ascii="Arial"/>
                <w:color w:val="auto"/>
                <w:sz w:val="21"/>
                <w:highlight w:val="none"/>
              </w:rPr>
            </w:pPr>
          </w:p>
        </w:tc>
        <w:tc>
          <w:tcPr>
            <w:tcW w:w="1350" w:type="dxa"/>
            <w:vAlign w:val="top"/>
          </w:tcPr>
          <w:p w14:paraId="2F33D042">
            <w:pPr>
              <w:rPr>
                <w:rFonts w:ascii="Arial"/>
                <w:color w:val="auto"/>
                <w:sz w:val="21"/>
                <w:highlight w:val="none"/>
              </w:rPr>
            </w:pPr>
          </w:p>
        </w:tc>
        <w:tc>
          <w:tcPr>
            <w:tcW w:w="1413" w:type="dxa"/>
            <w:vAlign w:val="top"/>
          </w:tcPr>
          <w:p w14:paraId="42685B00">
            <w:pPr>
              <w:rPr>
                <w:rFonts w:ascii="Arial"/>
                <w:color w:val="auto"/>
                <w:sz w:val="21"/>
                <w:highlight w:val="none"/>
              </w:rPr>
            </w:pPr>
          </w:p>
        </w:tc>
        <w:tc>
          <w:tcPr>
            <w:tcW w:w="1717" w:type="dxa"/>
            <w:tcBorders>
              <w:right w:val="single" w:color="000000" w:sz="10" w:space="0"/>
            </w:tcBorders>
            <w:vAlign w:val="top"/>
          </w:tcPr>
          <w:p w14:paraId="0275792C">
            <w:pPr>
              <w:rPr>
                <w:rFonts w:ascii="Arial"/>
                <w:color w:val="auto"/>
                <w:sz w:val="21"/>
                <w:highlight w:val="none"/>
              </w:rPr>
            </w:pPr>
          </w:p>
        </w:tc>
      </w:tr>
      <w:tr w14:paraId="125FB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0CAB5A46">
            <w:pPr>
              <w:rPr>
                <w:rFonts w:ascii="Arial"/>
                <w:color w:val="auto"/>
                <w:sz w:val="21"/>
                <w:highlight w:val="none"/>
              </w:rPr>
            </w:pPr>
          </w:p>
        </w:tc>
        <w:tc>
          <w:tcPr>
            <w:tcW w:w="1983" w:type="dxa"/>
            <w:vAlign w:val="top"/>
          </w:tcPr>
          <w:p w14:paraId="4A64D355">
            <w:pPr>
              <w:rPr>
                <w:rFonts w:ascii="Arial"/>
                <w:color w:val="auto"/>
                <w:sz w:val="21"/>
                <w:highlight w:val="none"/>
              </w:rPr>
            </w:pPr>
          </w:p>
        </w:tc>
        <w:tc>
          <w:tcPr>
            <w:tcW w:w="847" w:type="dxa"/>
            <w:vAlign w:val="top"/>
          </w:tcPr>
          <w:p w14:paraId="7B46632A">
            <w:pPr>
              <w:rPr>
                <w:rFonts w:ascii="Arial"/>
                <w:color w:val="auto"/>
                <w:sz w:val="21"/>
                <w:highlight w:val="none"/>
              </w:rPr>
            </w:pPr>
          </w:p>
        </w:tc>
        <w:tc>
          <w:tcPr>
            <w:tcW w:w="771" w:type="dxa"/>
            <w:vAlign w:val="top"/>
          </w:tcPr>
          <w:p w14:paraId="50519B49">
            <w:pPr>
              <w:rPr>
                <w:rFonts w:ascii="Arial"/>
                <w:color w:val="auto"/>
                <w:sz w:val="21"/>
                <w:highlight w:val="none"/>
              </w:rPr>
            </w:pPr>
          </w:p>
        </w:tc>
        <w:tc>
          <w:tcPr>
            <w:tcW w:w="1350" w:type="dxa"/>
            <w:vAlign w:val="top"/>
          </w:tcPr>
          <w:p w14:paraId="6D91B6FC">
            <w:pPr>
              <w:rPr>
                <w:rFonts w:ascii="Arial"/>
                <w:color w:val="auto"/>
                <w:sz w:val="21"/>
                <w:highlight w:val="none"/>
              </w:rPr>
            </w:pPr>
          </w:p>
        </w:tc>
        <w:tc>
          <w:tcPr>
            <w:tcW w:w="1413" w:type="dxa"/>
            <w:vAlign w:val="top"/>
          </w:tcPr>
          <w:p w14:paraId="1FDD8D5F">
            <w:pPr>
              <w:rPr>
                <w:rFonts w:ascii="Arial"/>
                <w:color w:val="auto"/>
                <w:sz w:val="21"/>
                <w:highlight w:val="none"/>
              </w:rPr>
            </w:pPr>
          </w:p>
        </w:tc>
        <w:tc>
          <w:tcPr>
            <w:tcW w:w="1717" w:type="dxa"/>
            <w:tcBorders>
              <w:right w:val="single" w:color="000000" w:sz="10" w:space="0"/>
            </w:tcBorders>
            <w:vAlign w:val="top"/>
          </w:tcPr>
          <w:p w14:paraId="40DB7316">
            <w:pPr>
              <w:rPr>
                <w:rFonts w:ascii="Arial"/>
                <w:color w:val="auto"/>
                <w:sz w:val="21"/>
                <w:highlight w:val="none"/>
              </w:rPr>
            </w:pPr>
          </w:p>
        </w:tc>
      </w:tr>
      <w:tr w14:paraId="1B302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D8EB452">
            <w:pPr>
              <w:rPr>
                <w:rFonts w:ascii="Arial"/>
                <w:color w:val="auto"/>
                <w:sz w:val="21"/>
                <w:highlight w:val="none"/>
              </w:rPr>
            </w:pPr>
          </w:p>
        </w:tc>
        <w:tc>
          <w:tcPr>
            <w:tcW w:w="1983" w:type="dxa"/>
            <w:vAlign w:val="top"/>
          </w:tcPr>
          <w:p w14:paraId="11BA98F1">
            <w:pPr>
              <w:rPr>
                <w:rFonts w:ascii="Arial"/>
                <w:color w:val="auto"/>
                <w:sz w:val="21"/>
                <w:highlight w:val="none"/>
              </w:rPr>
            </w:pPr>
          </w:p>
        </w:tc>
        <w:tc>
          <w:tcPr>
            <w:tcW w:w="847" w:type="dxa"/>
            <w:vAlign w:val="top"/>
          </w:tcPr>
          <w:p w14:paraId="090D0270">
            <w:pPr>
              <w:rPr>
                <w:rFonts w:ascii="Arial"/>
                <w:color w:val="auto"/>
                <w:sz w:val="21"/>
                <w:highlight w:val="none"/>
              </w:rPr>
            </w:pPr>
          </w:p>
        </w:tc>
        <w:tc>
          <w:tcPr>
            <w:tcW w:w="771" w:type="dxa"/>
            <w:vAlign w:val="top"/>
          </w:tcPr>
          <w:p w14:paraId="268E8EA9">
            <w:pPr>
              <w:rPr>
                <w:rFonts w:ascii="Arial"/>
                <w:color w:val="auto"/>
                <w:sz w:val="21"/>
                <w:highlight w:val="none"/>
              </w:rPr>
            </w:pPr>
          </w:p>
        </w:tc>
        <w:tc>
          <w:tcPr>
            <w:tcW w:w="1350" w:type="dxa"/>
            <w:vAlign w:val="top"/>
          </w:tcPr>
          <w:p w14:paraId="16F280F8">
            <w:pPr>
              <w:rPr>
                <w:rFonts w:ascii="Arial"/>
                <w:color w:val="auto"/>
                <w:sz w:val="21"/>
                <w:highlight w:val="none"/>
              </w:rPr>
            </w:pPr>
          </w:p>
        </w:tc>
        <w:tc>
          <w:tcPr>
            <w:tcW w:w="1413" w:type="dxa"/>
            <w:vAlign w:val="top"/>
          </w:tcPr>
          <w:p w14:paraId="75D17046">
            <w:pPr>
              <w:rPr>
                <w:rFonts w:ascii="Arial"/>
                <w:color w:val="auto"/>
                <w:sz w:val="21"/>
                <w:highlight w:val="none"/>
              </w:rPr>
            </w:pPr>
          </w:p>
        </w:tc>
        <w:tc>
          <w:tcPr>
            <w:tcW w:w="1717" w:type="dxa"/>
            <w:tcBorders>
              <w:right w:val="single" w:color="000000" w:sz="10" w:space="0"/>
            </w:tcBorders>
            <w:vAlign w:val="top"/>
          </w:tcPr>
          <w:p w14:paraId="02633195">
            <w:pPr>
              <w:rPr>
                <w:rFonts w:ascii="Arial"/>
                <w:color w:val="auto"/>
                <w:sz w:val="21"/>
                <w:highlight w:val="none"/>
              </w:rPr>
            </w:pPr>
          </w:p>
        </w:tc>
      </w:tr>
      <w:tr w14:paraId="1EC23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26E3AC23">
            <w:pPr>
              <w:rPr>
                <w:rFonts w:ascii="Arial"/>
                <w:color w:val="auto"/>
                <w:sz w:val="21"/>
                <w:highlight w:val="none"/>
              </w:rPr>
            </w:pPr>
          </w:p>
        </w:tc>
        <w:tc>
          <w:tcPr>
            <w:tcW w:w="1983" w:type="dxa"/>
            <w:vAlign w:val="top"/>
          </w:tcPr>
          <w:p w14:paraId="34D8A377">
            <w:pPr>
              <w:rPr>
                <w:rFonts w:ascii="Arial"/>
                <w:color w:val="auto"/>
                <w:sz w:val="21"/>
                <w:highlight w:val="none"/>
              </w:rPr>
            </w:pPr>
          </w:p>
        </w:tc>
        <w:tc>
          <w:tcPr>
            <w:tcW w:w="847" w:type="dxa"/>
            <w:vAlign w:val="top"/>
          </w:tcPr>
          <w:p w14:paraId="3C015185">
            <w:pPr>
              <w:rPr>
                <w:rFonts w:ascii="Arial"/>
                <w:color w:val="auto"/>
                <w:sz w:val="21"/>
                <w:highlight w:val="none"/>
              </w:rPr>
            </w:pPr>
          </w:p>
        </w:tc>
        <w:tc>
          <w:tcPr>
            <w:tcW w:w="771" w:type="dxa"/>
            <w:vAlign w:val="top"/>
          </w:tcPr>
          <w:p w14:paraId="5E946DF6">
            <w:pPr>
              <w:rPr>
                <w:rFonts w:ascii="Arial"/>
                <w:color w:val="auto"/>
                <w:sz w:val="21"/>
                <w:highlight w:val="none"/>
              </w:rPr>
            </w:pPr>
          </w:p>
        </w:tc>
        <w:tc>
          <w:tcPr>
            <w:tcW w:w="1350" w:type="dxa"/>
            <w:vAlign w:val="top"/>
          </w:tcPr>
          <w:p w14:paraId="51F0B696">
            <w:pPr>
              <w:rPr>
                <w:rFonts w:ascii="Arial"/>
                <w:color w:val="auto"/>
                <w:sz w:val="21"/>
                <w:highlight w:val="none"/>
              </w:rPr>
            </w:pPr>
          </w:p>
        </w:tc>
        <w:tc>
          <w:tcPr>
            <w:tcW w:w="1413" w:type="dxa"/>
            <w:vAlign w:val="top"/>
          </w:tcPr>
          <w:p w14:paraId="0C08BE35">
            <w:pPr>
              <w:rPr>
                <w:rFonts w:ascii="Arial"/>
                <w:color w:val="auto"/>
                <w:sz w:val="21"/>
                <w:highlight w:val="none"/>
              </w:rPr>
            </w:pPr>
          </w:p>
        </w:tc>
        <w:tc>
          <w:tcPr>
            <w:tcW w:w="1717" w:type="dxa"/>
            <w:tcBorders>
              <w:right w:val="single" w:color="000000" w:sz="10" w:space="0"/>
            </w:tcBorders>
            <w:vAlign w:val="top"/>
          </w:tcPr>
          <w:p w14:paraId="4FCE7822">
            <w:pPr>
              <w:rPr>
                <w:rFonts w:ascii="Arial"/>
                <w:color w:val="auto"/>
                <w:sz w:val="21"/>
                <w:highlight w:val="none"/>
              </w:rPr>
            </w:pPr>
          </w:p>
        </w:tc>
      </w:tr>
      <w:tr w14:paraId="4D395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1003" w:type="dxa"/>
            <w:tcBorders>
              <w:left w:val="single" w:color="000000" w:sz="10" w:space="0"/>
            </w:tcBorders>
            <w:vAlign w:val="top"/>
          </w:tcPr>
          <w:p w14:paraId="389B5571">
            <w:pPr>
              <w:rPr>
                <w:rFonts w:ascii="Arial"/>
                <w:color w:val="auto"/>
                <w:sz w:val="21"/>
                <w:highlight w:val="none"/>
              </w:rPr>
            </w:pPr>
          </w:p>
        </w:tc>
        <w:tc>
          <w:tcPr>
            <w:tcW w:w="1983" w:type="dxa"/>
            <w:vAlign w:val="top"/>
          </w:tcPr>
          <w:p w14:paraId="38FAE689">
            <w:pPr>
              <w:rPr>
                <w:rFonts w:ascii="Arial"/>
                <w:color w:val="auto"/>
                <w:sz w:val="21"/>
                <w:highlight w:val="none"/>
              </w:rPr>
            </w:pPr>
          </w:p>
        </w:tc>
        <w:tc>
          <w:tcPr>
            <w:tcW w:w="847" w:type="dxa"/>
            <w:vAlign w:val="top"/>
          </w:tcPr>
          <w:p w14:paraId="3089A7B8">
            <w:pPr>
              <w:rPr>
                <w:rFonts w:ascii="Arial"/>
                <w:color w:val="auto"/>
                <w:sz w:val="21"/>
                <w:highlight w:val="none"/>
              </w:rPr>
            </w:pPr>
          </w:p>
        </w:tc>
        <w:tc>
          <w:tcPr>
            <w:tcW w:w="771" w:type="dxa"/>
            <w:vAlign w:val="top"/>
          </w:tcPr>
          <w:p w14:paraId="1F38EA0F">
            <w:pPr>
              <w:rPr>
                <w:rFonts w:ascii="Arial"/>
                <w:color w:val="auto"/>
                <w:sz w:val="21"/>
                <w:highlight w:val="none"/>
              </w:rPr>
            </w:pPr>
          </w:p>
        </w:tc>
        <w:tc>
          <w:tcPr>
            <w:tcW w:w="1350" w:type="dxa"/>
            <w:vAlign w:val="top"/>
          </w:tcPr>
          <w:p w14:paraId="39F6A996">
            <w:pPr>
              <w:rPr>
                <w:rFonts w:ascii="Arial"/>
                <w:color w:val="auto"/>
                <w:sz w:val="21"/>
                <w:highlight w:val="none"/>
              </w:rPr>
            </w:pPr>
          </w:p>
        </w:tc>
        <w:tc>
          <w:tcPr>
            <w:tcW w:w="1413" w:type="dxa"/>
            <w:vAlign w:val="top"/>
          </w:tcPr>
          <w:p w14:paraId="5967445B">
            <w:pPr>
              <w:rPr>
                <w:rFonts w:ascii="Arial"/>
                <w:color w:val="auto"/>
                <w:sz w:val="21"/>
                <w:highlight w:val="none"/>
              </w:rPr>
            </w:pPr>
          </w:p>
        </w:tc>
        <w:tc>
          <w:tcPr>
            <w:tcW w:w="1717" w:type="dxa"/>
            <w:tcBorders>
              <w:right w:val="single" w:color="000000" w:sz="10" w:space="0"/>
            </w:tcBorders>
            <w:vAlign w:val="top"/>
          </w:tcPr>
          <w:p w14:paraId="3499C544">
            <w:pPr>
              <w:rPr>
                <w:rFonts w:ascii="Arial"/>
                <w:color w:val="auto"/>
                <w:sz w:val="21"/>
                <w:highlight w:val="none"/>
              </w:rPr>
            </w:pPr>
          </w:p>
        </w:tc>
      </w:tr>
      <w:tr w14:paraId="6BD10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0D90F053">
            <w:pPr>
              <w:rPr>
                <w:rFonts w:ascii="Arial"/>
                <w:color w:val="auto"/>
                <w:sz w:val="21"/>
                <w:highlight w:val="none"/>
              </w:rPr>
            </w:pPr>
          </w:p>
        </w:tc>
        <w:tc>
          <w:tcPr>
            <w:tcW w:w="1983" w:type="dxa"/>
            <w:vAlign w:val="top"/>
          </w:tcPr>
          <w:p w14:paraId="5ABD53D1">
            <w:pPr>
              <w:rPr>
                <w:rFonts w:ascii="Arial"/>
                <w:color w:val="auto"/>
                <w:sz w:val="21"/>
                <w:highlight w:val="none"/>
              </w:rPr>
            </w:pPr>
          </w:p>
        </w:tc>
        <w:tc>
          <w:tcPr>
            <w:tcW w:w="847" w:type="dxa"/>
            <w:vAlign w:val="top"/>
          </w:tcPr>
          <w:p w14:paraId="0ECB9314">
            <w:pPr>
              <w:rPr>
                <w:rFonts w:ascii="Arial"/>
                <w:color w:val="auto"/>
                <w:sz w:val="21"/>
                <w:highlight w:val="none"/>
              </w:rPr>
            </w:pPr>
          </w:p>
        </w:tc>
        <w:tc>
          <w:tcPr>
            <w:tcW w:w="771" w:type="dxa"/>
            <w:vAlign w:val="top"/>
          </w:tcPr>
          <w:p w14:paraId="7936EF11">
            <w:pPr>
              <w:rPr>
                <w:rFonts w:ascii="Arial"/>
                <w:color w:val="auto"/>
                <w:sz w:val="21"/>
                <w:highlight w:val="none"/>
              </w:rPr>
            </w:pPr>
          </w:p>
        </w:tc>
        <w:tc>
          <w:tcPr>
            <w:tcW w:w="1350" w:type="dxa"/>
            <w:vAlign w:val="top"/>
          </w:tcPr>
          <w:p w14:paraId="6F296F55">
            <w:pPr>
              <w:rPr>
                <w:rFonts w:ascii="Arial"/>
                <w:color w:val="auto"/>
                <w:sz w:val="21"/>
                <w:highlight w:val="none"/>
              </w:rPr>
            </w:pPr>
          </w:p>
        </w:tc>
        <w:tc>
          <w:tcPr>
            <w:tcW w:w="1413" w:type="dxa"/>
            <w:vAlign w:val="top"/>
          </w:tcPr>
          <w:p w14:paraId="111E82A5">
            <w:pPr>
              <w:rPr>
                <w:rFonts w:ascii="Arial"/>
                <w:color w:val="auto"/>
                <w:sz w:val="21"/>
                <w:highlight w:val="none"/>
              </w:rPr>
            </w:pPr>
          </w:p>
        </w:tc>
        <w:tc>
          <w:tcPr>
            <w:tcW w:w="1717" w:type="dxa"/>
            <w:tcBorders>
              <w:right w:val="single" w:color="000000" w:sz="10" w:space="0"/>
            </w:tcBorders>
            <w:vAlign w:val="top"/>
          </w:tcPr>
          <w:p w14:paraId="194971A3">
            <w:pPr>
              <w:rPr>
                <w:rFonts w:ascii="Arial"/>
                <w:color w:val="auto"/>
                <w:sz w:val="21"/>
                <w:highlight w:val="none"/>
              </w:rPr>
            </w:pPr>
          </w:p>
        </w:tc>
      </w:tr>
      <w:tr w14:paraId="2B754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6237C3CB">
            <w:pPr>
              <w:rPr>
                <w:rFonts w:ascii="Arial"/>
                <w:color w:val="auto"/>
                <w:sz w:val="21"/>
                <w:highlight w:val="none"/>
              </w:rPr>
            </w:pPr>
          </w:p>
        </w:tc>
        <w:tc>
          <w:tcPr>
            <w:tcW w:w="1983" w:type="dxa"/>
            <w:vAlign w:val="top"/>
          </w:tcPr>
          <w:p w14:paraId="2A28C818">
            <w:pPr>
              <w:rPr>
                <w:rFonts w:ascii="Arial"/>
                <w:color w:val="auto"/>
                <w:sz w:val="21"/>
                <w:highlight w:val="none"/>
              </w:rPr>
            </w:pPr>
          </w:p>
        </w:tc>
        <w:tc>
          <w:tcPr>
            <w:tcW w:w="847" w:type="dxa"/>
            <w:vAlign w:val="top"/>
          </w:tcPr>
          <w:p w14:paraId="114A5AB1">
            <w:pPr>
              <w:rPr>
                <w:rFonts w:ascii="Arial"/>
                <w:color w:val="auto"/>
                <w:sz w:val="21"/>
                <w:highlight w:val="none"/>
              </w:rPr>
            </w:pPr>
          </w:p>
        </w:tc>
        <w:tc>
          <w:tcPr>
            <w:tcW w:w="771" w:type="dxa"/>
            <w:vAlign w:val="top"/>
          </w:tcPr>
          <w:p w14:paraId="0AEC5C6F">
            <w:pPr>
              <w:rPr>
                <w:rFonts w:ascii="Arial"/>
                <w:color w:val="auto"/>
                <w:sz w:val="21"/>
                <w:highlight w:val="none"/>
              </w:rPr>
            </w:pPr>
          </w:p>
        </w:tc>
        <w:tc>
          <w:tcPr>
            <w:tcW w:w="1350" w:type="dxa"/>
            <w:vAlign w:val="top"/>
          </w:tcPr>
          <w:p w14:paraId="249401F6">
            <w:pPr>
              <w:rPr>
                <w:rFonts w:ascii="Arial"/>
                <w:color w:val="auto"/>
                <w:sz w:val="21"/>
                <w:highlight w:val="none"/>
              </w:rPr>
            </w:pPr>
          </w:p>
        </w:tc>
        <w:tc>
          <w:tcPr>
            <w:tcW w:w="1413" w:type="dxa"/>
            <w:vAlign w:val="top"/>
          </w:tcPr>
          <w:p w14:paraId="1F993B27">
            <w:pPr>
              <w:rPr>
                <w:rFonts w:ascii="Arial"/>
                <w:color w:val="auto"/>
                <w:sz w:val="21"/>
                <w:highlight w:val="none"/>
              </w:rPr>
            </w:pPr>
          </w:p>
        </w:tc>
        <w:tc>
          <w:tcPr>
            <w:tcW w:w="1717" w:type="dxa"/>
            <w:tcBorders>
              <w:right w:val="single" w:color="000000" w:sz="10" w:space="0"/>
            </w:tcBorders>
            <w:vAlign w:val="top"/>
          </w:tcPr>
          <w:p w14:paraId="6616228F">
            <w:pPr>
              <w:rPr>
                <w:rFonts w:ascii="Arial"/>
                <w:color w:val="auto"/>
                <w:sz w:val="21"/>
                <w:highlight w:val="none"/>
              </w:rPr>
            </w:pPr>
          </w:p>
        </w:tc>
      </w:tr>
      <w:tr w14:paraId="15435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D9AFD7C">
            <w:pPr>
              <w:rPr>
                <w:rFonts w:ascii="Arial"/>
                <w:color w:val="auto"/>
                <w:sz w:val="21"/>
                <w:highlight w:val="none"/>
              </w:rPr>
            </w:pPr>
          </w:p>
        </w:tc>
        <w:tc>
          <w:tcPr>
            <w:tcW w:w="1983" w:type="dxa"/>
            <w:vAlign w:val="top"/>
          </w:tcPr>
          <w:p w14:paraId="0DBC2D58">
            <w:pPr>
              <w:rPr>
                <w:rFonts w:ascii="Arial"/>
                <w:color w:val="auto"/>
                <w:sz w:val="21"/>
                <w:highlight w:val="none"/>
              </w:rPr>
            </w:pPr>
          </w:p>
        </w:tc>
        <w:tc>
          <w:tcPr>
            <w:tcW w:w="847" w:type="dxa"/>
            <w:vAlign w:val="top"/>
          </w:tcPr>
          <w:p w14:paraId="54EC86A3">
            <w:pPr>
              <w:rPr>
                <w:rFonts w:ascii="Arial"/>
                <w:color w:val="auto"/>
                <w:sz w:val="21"/>
                <w:highlight w:val="none"/>
              </w:rPr>
            </w:pPr>
          </w:p>
        </w:tc>
        <w:tc>
          <w:tcPr>
            <w:tcW w:w="771" w:type="dxa"/>
            <w:vAlign w:val="top"/>
          </w:tcPr>
          <w:p w14:paraId="623A8FE2">
            <w:pPr>
              <w:rPr>
                <w:rFonts w:ascii="Arial"/>
                <w:color w:val="auto"/>
                <w:sz w:val="21"/>
                <w:highlight w:val="none"/>
              </w:rPr>
            </w:pPr>
          </w:p>
        </w:tc>
        <w:tc>
          <w:tcPr>
            <w:tcW w:w="1350" w:type="dxa"/>
            <w:vAlign w:val="top"/>
          </w:tcPr>
          <w:p w14:paraId="3BDD2C95">
            <w:pPr>
              <w:rPr>
                <w:rFonts w:ascii="Arial"/>
                <w:color w:val="auto"/>
                <w:sz w:val="21"/>
                <w:highlight w:val="none"/>
              </w:rPr>
            </w:pPr>
          </w:p>
        </w:tc>
        <w:tc>
          <w:tcPr>
            <w:tcW w:w="1413" w:type="dxa"/>
            <w:vAlign w:val="top"/>
          </w:tcPr>
          <w:p w14:paraId="557ABAF0">
            <w:pPr>
              <w:rPr>
                <w:rFonts w:ascii="Arial"/>
                <w:color w:val="auto"/>
                <w:sz w:val="21"/>
                <w:highlight w:val="none"/>
              </w:rPr>
            </w:pPr>
          </w:p>
        </w:tc>
        <w:tc>
          <w:tcPr>
            <w:tcW w:w="1717" w:type="dxa"/>
            <w:tcBorders>
              <w:right w:val="single" w:color="000000" w:sz="10" w:space="0"/>
            </w:tcBorders>
            <w:vAlign w:val="top"/>
          </w:tcPr>
          <w:p w14:paraId="3B1D02EB">
            <w:pPr>
              <w:rPr>
                <w:rFonts w:ascii="Arial"/>
                <w:color w:val="auto"/>
                <w:sz w:val="21"/>
                <w:highlight w:val="none"/>
              </w:rPr>
            </w:pPr>
          </w:p>
        </w:tc>
      </w:tr>
      <w:tr w14:paraId="581DE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4A96D181">
            <w:pPr>
              <w:rPr>
                <w:rFonts w:ascii="Arial"/>
                <w:color w:val="auto"/>
                <w:sz w:val="21"/>
                <w:highlight w:val="none"/>
              </w:rPr>
            </w:pPr>
          </w:p>
        </w:tc>
        <w:tc>
          <w:tcPr>
            <w:tcW w:w="1983" w:type="dxa"/>
            <w:vAlign w:val="top"/>
          </w:tcPr>
          <w:p w14:paraId="4095262E">
            <w:pPr>
              <w:rPr>
                <w:rFonts w:ascii="Arial"/>
                <w:color w:val="auto"/>
                <w:sz w:val="21"/>
                <w:highlight w:val="none"/>
              </w:rPr>
            </w:pPr>
          </w:p>
        </w:tc>
        <w:tc>
          <w:tcPr>
            <w:tcW w:w="847" w:type="dxa"/>
            <w:vAlign w:val="top"/>
          </w:tcPr>
          <w:p w14:paraId="21474F75">
            <w:pPr>
              <w:rPr>
                <w:rFonts w:ascii="Arial"/>
                <w:color w:val="auto"/>
                <w:sz w:val="21"/>
                <w:highlight w:val="none"/>
              </w:rPr>
            </w:pPr>
          </w:p>
        </w:tc>
        <w:tc>
          <w:tcPr>
            <w:tcW w:w="771" w:type="dxa"/>
            <w:vAlign w:val="top"/>
          </w:tcPr>
          <w:p w14:paraId="4680A929">
            <w:pPr>
              <w:rPr>
                <w:rFonts w:ascii="Arial"/>
                <w:color w:val="auto"/>
                <w:sz w:val="21"/>
                <w:highlight w:val="none"/>
              </w:rPr>
            </w:pPr>
          </w:p>
        </w:tc>
        <w:tc>
          <w:tcPr>
            <w:tcW w:w="1350" w:type="dxa"/>
            <w:vAlign w:val="top"/>
          </w:tcPr>
          <w:p w14:paraId="5570928D">
            <w:pPr>
              <w:rPr>
                <w:rFonts w:ascii="Arial"/>
                <w:color w:val="auto"/>
                <w:sz w:val="21"/>
                <w:highlight w:val="none"/>
              </w:rPr>
            </w:pPr>
          </w:p>
        </w:tc>
        <w:tc>
          <w:tcPr>
            <w:tcW w:w="1413" w:type="dxa"/>
            <w:vAlign w:val="top"/>
          </w:tcPr>
          <w:p w14:paraId="2CEE47B7">
            <w:pPr>
              <w:rPr>
                <w:rFonts w:ascii="Arial"/>
                <w:color w:val="auto"/>
                <w:sz w:val="21"/>
                <w:highlight w:val="none"/>
              </w:rPr>
            </w:pPr>
          </w:p>
        </w:tc>
        <w:tc>
          <w:tcPr>
            <w:tcW w:w="1717" w:type="dxa"/>
            <w:tcBorders>
              <w:right w:val="single" w:color="000000" w:sz="10" w:space="0"/>
            </w:tcBorders>
            <w:vAlign w:val="top"/>
          </w:tcPr>
          <w:p w14:paraId="3F85D9EC">
            <w:pPr>
              <w:rPr>
                <w:rFonts w:ascii="Arial"/>
                <w:color w:val="auto"/>
                <w:sz w:val="21"/>
                <w:highlight w:val="none"/>
              </w:rPr>
            </w:pPr>
          </w:p>
        </w:tc>
      </w:tr>
      <w:tr w14:paraId="2C2E5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309BE2D3">
            <w:pPr>
              <w:rPr>
                <w:rFonts w:ascii="Arial"/>
                <w:color w:val="auto"/>
                <w:sz w:val="21"/>
                <w:highlight w:val="none"/>
              </w:rPr>
            </w:pPr>
          </w:p>
        </w:tc>
        <w:tc>
          <w:tcPr>
            <w:tcW w:w="1983" w:type="dxa"/>
            <w:vAlign w:val="top"/>
          </w:tcPr>
          <w:p w14:paraId="69E18064">
            <w:pPr>
              <w:rPr>
                <w:rFonts w:ascii="Arial"/>
                <w:color w:val="auto"/>
                <w:sz w:val="21"/>
                <w:highlight w:val="none"/>
              </w:rPr>
            </w:pPr>
          </w:p>
        </w:tc>
        <w:tc>
          <w:tcPr>
            <w:tcW w:w="847" w:type="dxa"/>
            <w:vAlign w:val="top"/>
          </w:tcPr>
          <w:p w14:paraId="6AB0DDBA">
            <w:pPr>
              <w:rPr>
                <w:rFonts w:ascii="Arial"/>
                <w:color w:val="auto"/>
                <w:sz w:val="21"/>
                <w:highlight w:val="none"/>
              </w:rPr>
            </w:pPr>
          </w:p>
        </w:tc>
        <w:tc>
          <w:tcPr>
            <w:tcW w:w="771" w:type="dxa"/>
            <w:vAlign w:val="top"/>
          </w:tcPr>
          <w:p w14:paraId="597EB8D9">
            <w:pPr>
              <w:rPr>
                <w:rFonts w:ascii="Arial"/>
                <w:color w:val="auto"/>
                <w:sz w:val="21"/>
                <w:highlight w:val="none"/>
              </w:rPr>
            </w:pPr>
          </w:p>
        </w:tc>
        <w:tc>
          <w:tcPr>
            <w:tcW w:w="1350" w:type="dxa"/>
            <w:vAlign w:val="top"/>
          </w:tcPr>
          <w:p w14:paraId="7FE1414D">
            <w:pPr>
              <w:rPr>
                <w:rFonts w:ascii="Arial"/>
                <w:color w:val="auto"/>
                <w:sz w:val="21"/>
                <w:highlight w:val="none"/>
              </w:rPr>
            </w:pPr>
          </w:p>
        </w:tc>
        <w:tc>
          <w:tcPr>
            <w:tcW w:w="1413" w:type="dxa"/>
            <w:vAlign w:val="top"/>
          </w:tcPr>
          <w:p w14:paraId="01074B79">
            <w:pPr>
              <w:rPr>
                <w:rFonts w:ascii="Arial"/>
                <w:color w:val="auto"/>
                <w:sz w:val="21"/>
                <w:highlight w:val="none"/>
              </w:rPr>
            </w:pPr>
          </w:p>
        </w:tc>
        <w:tc>
          <w:tcPr>
            <w:tcW w:w="1717" w:type="dxa"/>
            <w:tcBorders>
              <w:right w:val="single" w:color="000000" w:sz="10" w:space="0"/>
            </w:tcBorders>
            <w:vAlign w:val="top"/>
          </w:tcPr>
          <w:p w14:paraId="5CF54E5A">
            <w:pPr>
              <w:rPr>
                <w:rFonts w:ascii="Arial"/>
                <w:color w:val="auto"/>
                <w:sz w:val="21"/>
                <w:highlight w:val="none"/>
              </w:rPr>
            </w:pPr>
          </w:p>
        </w:tc>
      </w:tr>
      <w:tr w14:paraId="20579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215547A4">
            <w:pPr>
              <w:rPr>
                <w:rFonts w:ascii="Arial"/>
                <w:color w:val="auto"/>
                <w:sz w:val="21"/>
                <w:highlight w:val="none"/>
              </w:rPr>
            </w:pPr>
          </w:p>
        </w:tc>
        <w:tc>
          <w:tcPr>
            <w:tcW w:w="1983" w:type="dxa"/>
            <w:vAlign w:val="top"/>
          </w:tcPr>
          <w:p w14:paraId="04C12EB0">
            <w:pPr>
              <w:rPr>
                <w:rFonts w:ascii="Arial"/>
                <w:color w:val="auto"/>
                <w:sz w:val="21"/>
                <w:highlight w:val="none"/>
              </w:rPr>
            </w:pPr>
          </w:p>
        </w:tc>
        <w:tc>
          <w:tcPr>
            <w:tcW w:w="847" w:type="dxa"/>
            <w:vAlign w:val="top"/>
          </w:tcPr>
          <w:p w14:paraId="3C5E777A">
            <w:pPr>
              <w:rPr>
                <w:rFonts w:ascii="Arial"/>
                <w:color w:val="auto"/>
                <w:sz w:val="21"/>
                <w:highlight w:val="none"/>
              </w:rPr>
            </w:pPr>
          </w:p>
        </w:tc>
        <w:tc>
          <w:tcPr>
            <w:tcW w:w="771" w:type="dxa"/>
            <w:vAlign w:val="top"/>
          </w:tcPr>
          <w:p w14:paraId="113DE714">
            <w:pPr>
              <w:rPr>
                <w:rFonts w:ascii="Arial"/>
                <w:color w:val="auto"/>
                <w:sz w:val="21"/>
                <w:highlight w:val="none"/>
              </w:rPr>
            </w:pPr>
          </w:p>
        </w:tc>
        <w:tc>
          <w:tcPr>
            <w:tcW w:w="1350" w:type="dxa"/>
            <w:vAlign w:val="top"/>
          </w:tcPr>
          <w:p w14:paraId="007DF16A">
            <w:pPr>
              <w:rPr>
                <w:rFonts w:ascii="Arial"/>
                <w:color w:val="auto"/>
                <w:sz w:val="21"/>
                <w:highlight w:val="none"/>
              </w:rPr>
            </w:pPr>
          </w:p>
        </w:tc>
        <w:tc>
          <w:tcPr>
            <w:tcW w:w="1413" w:type="dxa"/>
            <w:vAlign w:val="top"/>
          </w:tcPr>
          <w:p w14:paraId="77941036">
            <w:pPr>
              <w:rPr>
                <w:rFonts w:ascii="Arial"/>
                <w:color w:val="auto"/>
                <w:sz w:val="21"/>
                <w:highlight w:val="none"/>
              </w:rPr>
            </w:pPr>
          </w:p>
        </w:tc>
        <w:tc>
          <w:tcPr>
            <w:tcW w:w="1717" w:type="dxa"/>
            <w:tcBorders>
              <w:right w:val="single" w:color="000000" w:sz="10" w:space="0"/>
            </w:tcBorders>
            <w:vAlign w:val="top"/>
          </w:tcPr>
          <w:p w14:paraId="191824A0">
            <w:pPr>
              <w:rPr>
                <w:rFonts w:ascii="Arial"/>
                <w:color w:val="auto"/>
                <w:sz w:val="21"/>
                <w:highlight w:val="none"/>
              </w:rPr>
            </w:pPr>
          </w:p>
        </w:tc>
      </w:tr>
      <w:tr w14:paraId="78F26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29AA5F1F">
            <w:pPr>
              <w:rPr>
                <w:rFonts w:ascii="Arial"/>
                <w:color w:val="auto"/>
                <w:sz w:val="21"/>
                <w:highlight w:val="none"/>
              </w:rPr>
            </w:pPr>
          </w:p>
        </w:tc>
        <w:tc>
          <w:tcPr>
            <w:tcW w:w="1983" w:type="dxa"/>
            <w:vAlign w:val="top"/>
          </w:tcPr>
          <w:p w14:paraId="6E202DA6">
            <w:pPr>
              <w:rPr>
                <w:rFonts w:ascii="Arial"/>
                <w:color w:val="auto"/>
                <w:sz w:val="21"/>
                <w:highlight w:val="none"/>
              </w:rPr>
            </w:pPr>
          </w:p>
        </w:tc>
        <w:tc>
          <w:tcPr>
            <w:tcW w:w="847" w:type="dxa"/>
            <w:vAlign w:val="top"/>
          </w:tcPr>
          <w:p w14:paraId="75FEBE0F">
            <w:pPr>
              <w:rPr>
                <w:rFonts w:ascii="Arial"/>
                <w:color w:val="auto"/>
                <w:sz w:val="21"/>
                <w:highlight w:val="none"/>
              </w:rPr>
            </w:pPr>
          </w:p>
        </w:tc>
        <w:tc>
          <w:tcPr>
            <w:tcW w:w="771" w:type="dxa"/>
            <w:vAlign w:val="top"/>
          </w:tcPr>
          <w:p w14:paraId="578A0FA8">
            <w:pPr>
              <w:rPr>
                <w:rFonts w:ascii="Arial"/>
                <w:color w:val="auto"/>
                <w:sz w:val="21"/>
                <w:highlight w:val="none"/>
              </w:rPr>
            </w:pPr>
          </w:p>
        </w:tc>
        <w:tc>
          <w:tcPr>
            <w:tcW w:w="1350" w:type="dxa"/>
            <w:vAlign w:val="top"/>
          </w:tcPr>
          <w:p w14:paraId="783472FB">
            <w:pPr>
              <w:rPr>
                <w:rFonts w:ascii="Arial"/>
                <w:color w:val="auto"/>
                <w:sz w:val="21"/>
                <w:highlight w:val="none"/>
              </w:rPr>
            </w:pPr>
          </w:p>
        </w:tc>
        <w:tc>
          <w:tcPr>
            <w:tcW w:w="1413" w:type="dxa"/>
            <w:vAlign w:val="top"/>
          </w:tcPr>
          <w:p w14:paraId="3893F63E">
            <w:pPr>
              <w:rPr>
                <w:rFonts w:ascii="Arial"/>
                <w:color w:val="auto"/>
                <w:sz w:val="21"/>
                <w:highlight w:val="none"/>
              </w:rPr>
            </w:pPr>
          </w:p>
        </w:tc>
        <w:tc>
          <w:tcPr>
            <w:tcW w:w="1717" w:type="dxa"/>
            <w:tcBorders>
              <w:right w:val="single" w:color="000000" w:sz="10" w:space="0"/>
            </w:tcBorders>
            <w:vAlign w:val="top"/>
          </w:tcPr>
          <w:p w14:paraId="559E1F31">
            <w:pPr>
              <w:rPr>
                <w:rFonts w:ascii="Arial"/>
                <w:color w:val="auto"/>
                <w:sz w:val="21"/>
                <w:highlight w:val="none"/>
              </w:rPr>
            </w:pPr>
          </w:p>
        </w:tc>
      </w:tr>
      <w:tr w14:paraId="08A532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tcBorders>
              <w:left w:val="single" w:color="000000" w:sz="10" w:space="0"/>
              <w:bottom w:val="single" w:color="000000" w:sz="10" w:space="0"/>
            </w:tcBorders>
            <w:vAlign w:val="top"/>
          </w:tcPr>
          <w:p w14:paraId="21E8B04F">
            <w:pPr>
              <w:rPr>
                <w:rFonts w:ascii="Arial"/>
                <w:color w:val="auto"/>
                <w:sz w:val="21"/>
                <w:highlight w:val="none"/>
              </w:rPr>
            </w:pPr>
          </w:p>
        </w:tc>
        <w:tc>
          <w:tcPr>
            <w:tcW w:w="1983" w:type="dxa"/>
            <w:tcBorders>
              <w:bottom w:val="single" w:color="000000" w:sz="10" w:space="0"/>
            </w:tcBorders>
            <w:vAlign w:val="top"/>
          </w:tcPr>
          <w:p w14:paraId="67720F17">
            <w:pPr>
              <w:rPr>
                <w:rFonts w:ascii="Arial"/>
                <w:color w:val="auto"/>
                <w:sz w:val="21"/>
                <w:highlight w:val="none"/>
              </w:rPr>
            </w:pPr>
          </w:p>
        </w:tc>
        <w:tc>
          <w:tcPr>
            <w:tcW w:w="847" w:type="dxa"/>
            <w:tcBorders>
              <w:bottom w:val="single" w:color="000000" w:sz="10" w:space="0"/>
            </w:tcBorders>
            <w:vAlign w:val="top"/>
          </w:tcPr>
          <w:p w14:paraId="33D72E10">
            <w:pPr>
              <w:rPr>
                <w:rFonts w:ascii="Arial"/>
                <w:color w:val="auto"/>
                <w:sz w:val="21"/>
                <w:highlight w:val="none"/>
              </w:rPr>
            </w:pPr>
          </w:p>
        </w:tc>
        <w:tc>
          <w:tcPr>
            <w:tcW w:w="771" w:type="dxa"/>
            <w:tcBorders>
              <w:bottom w:val="single" w:color="000000" w:sz="10" w:space="0"/>
            </w:tcBorders>
            <w:vAlign w:val="top"/>
          </w:tcPr>
          <w:p w14:paraId="08230344">
            <w:pPr>
              <w:rPr>
                <w:rFonts w:ascii="Arial"/>
                <w:color w:val="auto"/>
                <w:sz w:val="21"/>
                <w:highlight w:val="none"/>
              </w:rPr>
            </w:pPr>
          </w:p>
        </w:tc>
        <w:tc>
          <w:tcPr>
            <w:tcW w:w="1350" w:type="dxa"/>
            <w:tcBorders>
              <w:bottom w:val="single" w:color="000000" w:sz="10" w:space="0"/>
            </w:tcBorders>
            <w:vAlign w:val="top"/>
          </w:tcPr>
          <w:p w14:paraId="52D76DC2">
            <w:pPr>
              <w:rPr>
                <w:rFonts w:ascii="Arial"/>
                <w:color w:val="auto"/>
                <w:sz w:val="21"/>
                <w:highlight w:val="none"/>
              </w:rPr>
            </w:pPr>
          </w:p>
        </w:tc>
        <w:tc>
          <w:tcPr>
            <w:tcW w:w="1413" w:type="dxa"/>
            <w:tcBorders>
              <w:bottom w:val="single" w:color="000000" w:sz="10" w:space="0"/>
            </w:tcBorders>
            <w:vAlign w:val="top"/>
          </w:tcPr>
          <w:p w14:paraId="21943807">
            <w:pPr>
              <w:rPr>
                <w:rFonts w:ascii="Arial"/>
                <w:color w:val="auto"/>
                <w:sz w:val="21"/>
                <w:highlight w:val="none"/>
              </w:rPr>
            </w:pPr>
          </w:p>
        </w:tc>
        <w:tc>
          <w:tcPr>
            <w:tcW w:w="1717" w:type="dxa"/>
            <w:tcBorders>
              <w:bottom w:val="single" w:color="000000" w:sz="10" w:space="0"/>
              <w:right w:val="single" w:color="000000" w:sz="10" w:space="0"/>
            </w:tcBorders>
            <w:vAlign w:val="top"/>
          </w:tcPr>
          <w:p w14:paraId="6B0B0510">
            <w:pPr>
              <w:rPr>
                <w:rFonts w:ascii="Arial"/>
                <w:color w:val="auto"/>
                <w:sz w:val="21"/>
                <w:highlight w:val="none"/>
              </w:rPr>
            </w:pPr>
          </w:p>
        </w:tc>
      </w:tr>
    </w:tbl>
    <w:p w14:paraId="30CBEE96">
      <w:pPr>
        <w:pStyle w:val="3"/>
        <w:rPr>
          <w:color w:val="auto"/>
          <w:highlight w:val="none"/>
        </w:rPr>
      </w:pPr>
    </w:p>
    <w:p w14:paraId="24E984DF">
      <w:pPr>
        <w:rPr>
          <w:color w:val="auto"/>
          <w:highlight w:val="none"/>
        </w:rPr>
        <w:sectPr>
          <w:footerReference r:id="rId170" w:type="default"/>
          <w:pgSz w:w="11905" w:h="16839"/>
          <w:pgMar w:top="400" w:right="1114" w:bottom="1004" w:left="1680" w:header="0" w:footer="828" w:gutter="0"/>
          <w:pgNumType w:fmt="decimal"/>
          <w:cols w:space="720" w:num="1"/>
        </w:sectPr>
      </w:pPr>
    </w:p>
    <w:p w14:paraId="6EC41667">
      <w:pPr>
        <w:pStyle w:val="3"/>
        <w:spacing w:line="265" w:lineRule="auto"/>
        <w:rPr>
          <w:color w:val="auto"/>
          <w:highlight w:val="none"/>
        </w:rPr>
      </w:pPr>
    </w:p>
    <w:p w14:paraId="7567FA0B">
      <w:pPr>
        <w:pStyle w:val="3"/>
        <w:spacing w:line="265" w:lineRule="auto"/>
        <w:rPr>
          <w:color w:val="auto"/>
          <w:highlight w:val="none"/>
        </w:rPr>
      </w:pPr>
    </w:p>
    <w:p w14:paraId="03A02883">
      <w:pPr>
        <w:pStyle w:val="3"/>
        <w:spacing w:line="265" w:lineRule="auto"/>
        <w:rPr>
          <w:color w:val="auto"/>
          <w:highlight w:val="none"/>
        </w:rPr>
      </w:pPr>
    </w:p>
    <w:p w14:paraId="2BC20560">
      <w:pPr>
        <w:pStyle w:val="3"/>
        <w:spacing w:line="266" w:lineRule="auto"/>
        <w:rPr>
          <w:color w:val="auto"/>
          <w:highlight w:val="none"/>
        </w:rPr>
      </w:pPr>
    </w:p>
    <w:p w14:paraId="73234234">
      <w:pPr>
        <w:spacing w:before="88" w:line="225" w:lineRule="auto"/>
        <w:ind w:left="2847"/>
        <w:rPr>
          <w:rFonts w:ascii="黑体" w:hAnsi="黑体" w:eastAsia="黑体" w:cs="黑体"/>
          <w:color w:val="auto"/>
          <w:sz w:val="27"/>
          <w:szCs w:val="27"/>
          <w:highlight w:val="none"/>
        </w:rPr>
      </w:pPr>
      <w:bookmarkStart w:id="1289" w:name="bookmark235"/>
      <w:bookmarkEnd w:id="1289"/>
      <w:r>
        <w:rPr>
          <w:rFonts w:ascii="Times New Roman" w:hAnsi="Times New Roman" w:eastAsia="Times New Roman" w:cs="Times New Roman"/>
          <w:color w:val="auto"/>
          <w:spacing w:val="2"/>
          <w:sz w:val="24"/>
          <w:szCs w:val="24"/>
          <w:highlight w:val="none"/>
        </w:rPr>
        <w:t>11-2</w:t>
      </w:r>
      <w:r>
        <w:rPr>
          <w:rFonts w:ascii="宋体" w:hAnsi="宋体" w:eastAsia="宋体" w:cs="宋体"/>
          <w:color w:val="auto"/>
          <w:spacing w:val="2"/>
          <w:sz w:val="24"/>
          <w:szCs w:val="24"/>
          <w:highlight w:val="none"/>
        </w:rPr>
        <w:t>：</w:t>
      </w:r>
      <w:r>
        <w:rPr>
          <w:rFonts w:ascii="黑体" w:hAnsi="黑体" w:eastAsia="黑体" w:cs="黑体"/>
          <w:color w:val="auto"/>
          <w:spacing w:val="2"/>
          <w:sz w:val="27"/>
          <w:szCs w:val="27"/>
          <w:highlight w:val="none"/>
        </w:rPr>
        <w:t>工程设备暂估价表</w:t>
      </w:r>
    </w:p>
    <w:p w14:paraId="297D78D4">
      <w:pPr>
        <w:spacing w:line="117" w:lineRule="exact"/>
        <w:rPr>
          <w:color w:val="auto"/>
          <w:highlight w:val="none"/>
        </w:rPr>
      </w:pPr>
    </w:p>
    <w:tbl>
      <w:tblPr>
        <w:tblStyle w:val="10"/>
        <w:tblW w:w="908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3"/>
        <w:gridCol w:w="1983"/>
        <w:gridCol w:w="847"/>
        <w:gridCol w:w="771"/>
        <w:gridCol w:w="1350"/>
        <w:gridCol w:w="1413"/>
        <w:gridCol w:w="1717"/>
      </w:tblGrid>
      <w:tr w14:paraId="75BF6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003" w:type="dxa"/>
            <w:tcBorders>
              <w:top w:val="single" w:color="000000" w:sz="10" w:space="0"/>
              <w:left w:val="single" w:color="000000" w:sz="10" w:space="0"/>
            </w:tcBorders>
            <w:vAlign w:val="top"/>
          </w:tcPr>
          <w:p w14:paraId="16A260B4">
            <w:pPr>
              <w:pStyle w:val="11"/>
              <w:spacing w:before="177" w:line="222" w:lineRule="auto"/>
              <w:ind w:left="290"/>
              <w:rPr>
                <w:color w:val="auto"/>
                <w:highlight w:val="none"/>
              </w:rPr>
            </w:pPr>
            <w:r>
              <w:rPr>
                <w:color w:val="auto"/>
                <w:spacing w:val="-2"/>
                <w:highlight w:val="none"/>
              </w:rPr>
              <w:t>序号</w:t>
            </w:r>
          </w:p>
        </w:tc>
        <w:tc>
          <w:tcPr>
            <w:tcW w:w="1983" w:type="dxa"/>
            <w:tcBorders>
              <w:top w:val="single" w:color="000000" w:sz="10" w:space="0"/>
            </w:tcBorders>
            <w:vAlign w:val="top"/>
          </w:tcPr>
          <w:p w14:paraId="51A8B273">
            <w:pPr>
              <w:pStyle w:val="11"/>
              <w:spacing w:before="177" w:line="223" w:lineRule="auto"/>
              <w:ind w:left="781"/>
              <w:rPr>
                <w:color w:val="auto"/>
                <w:highlight w:val="none"/>
              </w:rPr>
            </w:pPr>
            <w:r>
              <w:rPr>
                <w:color w:val="auto"/>
                <w:spacing w:val="-3"/>
                <w:highlight w:val="none"/>
              </w:rPr>
              <w:t>名称</w:t>
            </w:r>
          </w:p>
        </w:tc>
        <w:tc>
          <w:tcPr>
            <w:tcW w:w="847" w:type="dxa"/>
            <w:tcBorders>
              <w:top w:val="single" w:color="000000" w:sz="10" w:space="0"/>
            </w:tcBorders>
            <w:vAlign w:val="top"/>
          </w:tcPr>
          <w:p w14:paraId="4F411B43">
            <w:pPr>
              <w:pStyle w:val="11"/>
              <w:spacing w:before="177" w:line="221" w:lineRule="auto"/>
              <w:ind w:left="219"/>
              <w:rPr>
                <w:color w:val="auto"/>
                <w:highlight w:val="none"/>
              </w:rPr>
            </w:pPr>
            <w:r>
              <w:rPr>
                <w:color w:val="auto"/>
                <w:spacing w:val="-2"/>
                <w:highlight w:val="none"/>
              </w:rPr>
              <w:t>单位</w:t>
            </w:r>
          </w:p>
        </w:tc>
        <w:tc>
          <w:tcPr>
            <w:tcW w:w="771" w:type="dxa"/>
            <w:tcBorders>
              <w:top w:val="single" w:color="000000" w:sz="10" w:space="0"/>
            </w:tcBorders>
            <w:vAlign w:val="top"/>
          </w:tcPr>
          <w:p w14:paraId="24035889">
            <w:pPr>
              <w:pStyle w:val="11"/>
              <w:spacing w:before="177" w:line="221" w:lineRule="auto"/>
              <w:ind w:left="183"/>
              <w:rPr>
                <w:color w:val="auto"/>
                <w:highlight w:val="none"/>
              </w:rPr>
            </w:pPr>
            <w:r>
              <w:rPr>
                <w:color w:val="auto"/>
                <w:spacing w:val="-2"/>
                <w:highlight w:val="none"/>
              </w:rPr>
              <w:t>数量</w:t>
            </w:r>
          </w:p>
        </w:tc>
        <w:tc>
          <w:tcPr>
            <w:tcW w:w="1350" w:type="dxa"/>
            <w:tcBorders>
              <w:top w:val="single" w:color="000000" w:sz="10" w:space="0"/>
            </w:tcBorders>
            <w:vAlign w:val="top"/>
          </w:tcPr>
          <w:p w14:paraId="52166B03">
            <w:pPr>
              <w:pStyle w:val="11"/>
              <w:spacing w:before="177" w:line="219" w:lineRule="auto"/>
              <w:ind w:left="156"/>
              <w:rPr>
                <w:color w:val="auto"/>
                <w:highlight w:val="none"/>
              </w:rPr>
            </w:pPr>
            <w:r>
              <w:rPr>
                <w:color w:val="auto"/>
                <w:spacing w:val="-3"/>
                <w:highlight w:val="none"/>
              </w:rPr>
              <w:t>单价（元）</w:t>
            </w:r>
          </w:p>
        </w:tc>
        <w:tc>
          <w:tcPr>
            <w:tcW w:w="1413" w:type="dxa"/>
            <w:tcBorders>
              <w:top w:val="single" w:color="000000" w:sz="10" w:space="0"/>
            </w:tcBorders>
            <w:vAlign w:val="top"/>
          </w:tcPr>
          <w:p w14:paraId="61CAE009">
            <w:pPr>
              <w:pStyle w:val="11"/>
              <w:spacing w:before="177" w:line="219" w:lineRule="auto"/>
              <w:ind w:left="193"/>
              <w:rPr>
                <w:color w:val="auto"/>
                <w:highlight w:val="none"/>
              </w:rPr>
            </w:pPr>
            <w:r>
              <w:rPr>
                <w:color w:val="auto"/>
                <w:spacing w:val="-3"/>
                <w:highlight w:val="none"/>
              </w:rPr>
              <w:t>合价（元）</w:t>
            </w:r>
          </w:p>
        </w:tc>
        <w:tc>
          <w:tcPr>
            <w:tcW w:w="1717" w:type="dxa"/>
            <w:tcBorders>
              <w:top w:val="single" w:color="000000" w:sz="10" w:space="0"/>
              <w:right w:val="single" w:color="000000" w:sz="10" w:space="0"/>
            </w:tcBorders>
            <w:vAlign w:val="top"/>
          </w:tcPr>
          <w:p w14:paraId="297C7213">
            <w:pPr>
              <w:pStyle w:val="11"/>
              <w:spacing w:before="177" w:line="222" w:lineRule="auto"/>
              <w:ind w:left="659"/>
              <w:rPr>
                <w:color w:val="auto"/>
                <w:highlight w:val="none"/>
              </w:rPr>
            </w:pPr>
            <w:r>
              <w:rPr>
                <w:color w:val="auto"/>
                <w:spacing w:val="-3"/>
                <w:highlight w:val="none"/>
              </w:rPr>
              <w:t>备注</w:t>
            </w:r>
          </w:p>
        </w:tc>
      </w:tr>
      <w:tr w14:paraId="4FD17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03" w:type="dxa"/>
            <w:tcBorders>
              <w:left w:val="single" w:color="000000" w:sz="10" w:space="0"/>
            </w:tcBorders>
            <w:vAlign w:val="top"/>
          </w:tcPr>
          <w:p w14:paraId="71477B43">
            <w:pPr>
              <w:rPr>
                <w:rFonts w:ascii="Arial"/>
                <w:color w:val="auto"/>
                <w:sz w:val="21"/>
                <w:highlight w:val="none"/>
              </w:rPr>
            </w:pPr>
          </w:p>
        </w:tc>
        <w:tc>
          <w:tcPr>
            <w:tcW w:w="1983" w:type="dxa"/>
            <w:vAlign w:val="top"/>
          </w:tcPr>
          <w:p w14:paraId="26172C40">
            <w:pPr>
              <w:rPr>
                <w:rFonts w:ascii="Arial"/>
                <w:color w:val="auto"/>
                <w:sz w:val="21"/>
                <w:highlight w:val="none"/>
              </w:rPr>
            </w:pPr>
          </w:p>
        </w:tc>
        <w:tc>
          <w:tcPr>
            <w:tcW w:w="847" w:type="dxa"/>
            <w:vAlign w:val="top"/>
          </w:tcPr>
          <w:p w14:paraId="4B0489D5">
            <w:pPr>
              <w:rPr>
                <w:rFonts w:ascii="Arial"/>
                <w:color w:val="auto"/>
                <w:sz w:val="21"/>
                <w:highlight w:val="none"/>
              </w:rPr>
            </w:pPr>
          </w:p>
        </w:tc>
        <w:tc>
          <w:tcPr>
            <w:tcW w:w="771" w:type="dxa"/>
            <w:vAlign w:val="top"/>
          </w:tcPr>
          <w:p w14:paraId="64B81402">
            <w:pPr>
              <w:rPr>
                <w:rFonts w:ascii="Arial"/>
                <w:color w:val="auto"/>
                <w:sz w:val="21"/>
                <w:highlight w:val="none"/>
              </w:rPr>
            </w:pPr>
          </w:p>
        </w:tc>
        <w:tc>
          <w:tcPr>
            <w:tcW w:w="1350" w:type="dxa"/>
            <w:vAlign w:val="top"/>
          </w:tcPr>
          <w:p w14:paraId="0FC55789">
            <w:pPr>
              <w:rPr>
                <w:rFonts w:ascii="Arial"/>
                <w:color w:val="auto"/>
                <w:sz w:val="21"/>
                <w:highlight w:val="none"/>
              </w:rPr>
            </w:pPr>
          </w:p>
        </w:tc>
        <w:tc>
          <w:tcPr>
            <w:tcW w:w="1413" w:type="dxa"/>
            <w:vAlign w:val="top"/>
          </w:tcPr>
          <w:p w14:paraId="653DD43B">
            <w:pPr>
              <w:rPr>
                <w:rFonts w:ascii="Arial"/>
                <w:color w:val="auto"/>
                <w:sz w:val="21"/>
                <w:highlight w:val="none"/>
              </w:rPr>
            </w:pPr>
          </w:p>
        </w:tc>
        <w:tc>
          <w:tcPr>
            <w:tcW w:w="1717" w:type="dxa"/>
            <w:tcBorders>
              <w:right w:val="single" w:color="000000" w:sz="10" w:space="0"/>
            </w:tcBorders>
            <w:vAlign w:val="top"/>
          </w:tcPr>
          <w:p w14:paraId="2DEBC3FE">
            <w:pPr>
              <w:rPr>
                <w:rFonts w:ascii="Arial"/>
                <w:color w:val="auto"/>
                <w:sz w:val="21"/>
                <w:highlight w:val="none"/>
              </w:rPr>
            </w:pPr>
          </w:p>
        </w:tc>
      </w:tr>
      <w:tr w14:paraId="6EA5A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0C2C152B">
            <w:pPr>
              <w:rPr>
                <w:rFonts w:ascii="Arial"/>
                <w:color w:val="auto"/>
                <w:sz w:val="21"/>
                <w:highlight w:val="none"/>
              </w:rPr>
            </w:pPr>
          </w:p>
        </w:tc>
        <w:tc>
          <w:tcPr>
            <w:tcW w:w="1983" w:type="dxa"/>
            <w:vAlign w:val="top"/>
          </w:tcPr>
          <w:p w14:paraId="7A73469E">
            <w:pPr>
              <w:rPr>
                <w:rFonts w:ascii="Arial"/>
                <w:color w:val="auto"/>
                <w:sz w:val="21"/>
                <w:highlight w:val="none"/>
              </w:rPr>
            </w:pPr>
          </w:p>
        </w:tc>
        <w:tc>
          <w:tcPr>
            <w:tcW w:w="847" w:type="dxa"/>
            <w:vAlign w:val="top"/>
          </w:tcPr>
          <w:p w14:paraId="759FEA59">
            <w:pPr>
              <w:rPr>
                <w:rFonts w:ascii="Arial"/>
                <w:color w:val="auto"/>
                <w:sz w:val="21"/>
                <w:highlight w:val="none"/>
              </w:rPr>
            </w:pPr>
          </w:p>
        </w:tc>
        <w:tc>
          <w:tcPr>
            <w:tcW w:w="771" w:type="dxa"/>
            <w:vAlign w:val="top"/>
          </w:tcPr>
          <w:p w14:paraId="2D1D6D96">
            <w:pPr>
              <w:rPr>
                <w:rFonts w:ascii="Arial"/>
                <w:color w:val="auto"/>
                <w:sz w:val="21"/>
                <w:highlight w:val="none"/>
              </w:rPr>
            </w:pPr>
          </w:p>
        </w:tc>
        <w:tc>
          <w:tcPr>
            <w:tcW w:w="1350" w:type="dxa"/>
            <w:vAlign w:val="top"/>
          </w:tcPr>
          <w:p w14:paraId="4EC604EF">
            <w:pPr>
              <w:rPr>
                <w:rFonts w:ascii="Arial"/>
                <w:color w:val="auto"/>
                <w:sz w:val="21"/>
                <w:highlight w:val="none"/>
              </w:rPr>
            </w:pPr>
          </w:p>
        </w:tc>
        <w:tc>
          <w:tcPr>
            <w:tcW w:w="1413" w:type="dxa"/>
            <w:vAlign w:val="top"/>
          </w:tcPr>
          <w:p w14:paraId="0E6407CC">
            <w:pPr>
              <w:rPr>
                <w:rFonts w:ascii="Arial"/>
                <w:color w:val="auto"/>
                <w:sz w:val="21"/>
                <w:highlight w:val="none"/>
              </w:rPr>
            </w:pPr>
          </w:p>
        </w:tc>
        <w:tc>
          <w:tcPr>
            <w:tcW w:w="1717" w:type="dxa"/>
            <w:tcBorders>
              <w:right w:val="single" w:color="000000" w:sz="10" w:space="0"/>
            </w:tcBorders>
            <w:vAlign w:val="top"/>
          </w:tcPr>
          <w:p w14:paraId="1594EE6B">
            <w:pPr>
              <w:rPr>
                <w:rFonts w:ascii="Arial"/>
                <w:color w:val="auto"/>
                <w:sz w:val="21"/>
                <w:highlight w:val="none"/>
              </w:rPr>
            </w:pPr>
          </w:p>
        </w:tc>
      </w:tr>
      <w:tr w14:paraId="629AC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254E6EF6">
            <w:pPr>
              <w:rPr>
                <w:rFonts w:ascii="Arial"/>
                <w:color w:val="auto"/>
                <w:sz w:val="21"/>
                <w:highlight w:val="none"/>
              </w:rPr>
            </w:pPr>
          </w:p>
        </w:tc>
        <w:tc>
          <w:tcPr>
            <w:tcW w:w="1983" w:type="dxa"/>
            <w:vAlign w:val="top"/>
          </w:tcPr>
          <w:p w14:paraId="327F2B17">
            <w:pPr>
              <w:rPr>
                <w:rFonts w:ascii="Arial"/>
                <w:color w:val="auto"/>
                <w:sz w:val="21"/>
                <w:highlight w:val="none"/>
              </w:rPr>
            </w:pPr>
          </w:p>
        </w:tc>
        <w:tc>
          <w:tcPr>
            <w:tcW w:w="847" w:type="dxa"/>
            <w:vAlign w:val="top"/>
          </w:tcPr>
          <w:p w14:paraId="44E9C5C9">
            <w:pPr>
              <w:rPr>
                <w:rFonts w:ascii="Arial"/>
                <w:color w:val="auto"/>
                <w:sz w:val="21"/>
                <w:highlight w:val="none"/>
              </w:rPr>
            </w:pPr>
          </w:p>
        </w:tc>
        <w:tc>
          <w:tcPr>
            <w:tcW w:w="771" w:type="dxa"/>
            <w:vAlign w:val="top"/>
          </w:tcPr>
          <w:p w14:paraId="45786884">
            <w:pPr>
              <w:rPr>
                <w:rFonts w:ascii="Arial"/>
                <w:color w:val="auto"/>
                <w:sz w:val="21"/>
                <w:highlight w:val="none"/>
              </w:rPr>
            </w:pPr>
          </w:p>
        </w:tc>
        <w:tc>
          <w:tcPr>
            <w:tcW w:w="1350" w:type="dxa"/>
            <w:vAlign w:val="top"/>
          </w:tcPr>
          <w:p w14:paraId="3F13D3CF">
            <w:pPr>
              <w:rPr>
                <w:rFonts w:ascii="Arial"/>
                <w:color w:val="auto"/>
                <w:sz w:val="21"/>
                <w:highlight w:val="none"/>
              </w:rPr>
            </w:pPr>
          </w:p>
        </w:tc>
        <w:tc>
          <w:tcPr>
            <w:tcW w:w="1413" w:type="dxa"/>
            <w:vAlign w:val="top"/>
          </w:tcPr>
          <w:p w14:paraId="1434E60A">
            <w:pPr>
              <w:rPr>
                <w:rFonts w:ascii="Arial"/>
                <w:color w:val="auto"/>
                <w:sz w:val="21"/>
                <w:highlight w:val="none"/>
              </w:rPr>
            </w:pPr>
          </w:p>
        </w:tc>
        <w:tc>
          <w:tcPr>
            <w:tcW w:w="1717" w:type="dxa"/>
            <w:tcBorders>
              <w:right w:val="single" w:color="000000" w:sz="10" w:space="0"/>
            </w:tcBorders>
            <w:vAlign w:val="top"/>
          </w:tcPr>
          <w:p w14:paraId="30964802">
            <w:pPr>
              <w:rPr>
                <w:rFonts w:ascii="Arial"/>
                <w:color w:val="auto"/>
                <w:sz w:val="21"/>
                <w:highlight w:val="none"/>
              </w:rPr>
            </w:pPr>
          </w:p>
        </w:tc>
      </w:tr>
      <w:tr w14:paraId="01DE83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5B71387C">
            <w:pPr>
              <w:rPr>
                <w:rFonts w:ascii="Arial"/>
                <w:color w:val="auto"/>
                <w:sz w:val="21"/>
                <w:highlight w:val="none"/>
              </w:rPr>
            </w:pPr>
          </w:p>
        </w:tc>
        <w:tc>
          <w:tcPr>
            <w:tcW w:w="1983" w:type="dxa"/>
            <w:vAlign w:val="top"/>
          </w:tcPr>
          <w:p w14:paraId="046676FE">
            <w:pPr>
              <w:rPr>
                <w:rFonts w:ascii="Arial"/>
                <w:color w:val="auto"/>
                <w:sz w:val="21"/>
                <w:highlight w:val="none"/>
              </w:rPr>
            </w:pPr>
          </w:p>
        </w:tc>
        <w:tc>
          <w:tcPr>
            <w:tcW w:w="847" w:type="dxa"/>
            <w:vAlign w:val="top"/>
          </w:tcPr>
          <w:p w14:paraId="12B7AF60">
            <w:pPr>
              <w:rPr>
                <w:rFonts w:ascii="Arial"/>
                <w:color w:val="auto"/>
                <w:sz w:val="21"/>
                <w:highlight w:val="none"/>
              </w:rPr>
            </w:pPr>
          </w:p>
        </w:tc>
        <w:tc>
          <w:tcPr>
            <w:tcW w:w="771" w:type="dxa"/>
            <w:vAlign w:val="top"/>
          </w:tcPr>
          <w:p w14:paraId="18EDD77B">
            <w:pPr>
              <w:rPr>
                <w:rFonts w:ascii="Arial"/>
                <w:color w:val="auto"/>
                <w:sz w:val="21"/>
                <w:highlight w:val="none"/>
              </w:rPr>
            </w:pPr>
          </w:p>
        </w:tc>
        <w:tc>
          <w:tcPr>
            <w:tcW w:w="1350" w:type="dxa"/>
            <w:vAlign w:val="top"/>
          </w:tcPr>
          <w:p w14:paraId="44CBA27C">
            <w:pPr>
              <w:rPr>
                <w:rFonts w:ascii="Arial"/>
                <w:color w:val="auto"/>
                <w:sz w:val="21"/>
                <w:highlight w:val="none"/>
              </w:rPr>
            </w:pPr>
          </w:p>
        </w:tc>
        <w:tc>
          <w:tcPr>
            <w:tcW w:w="1413" w:type="dxa"/>
            <w:vAlign w:val="top"/>
          </w:tcPr>
          <w:p w14:paraId="3EC66991">
            <w:pPr>
              <w:rPr>
                <w:rFonts w:ascii="Arial"/>
                <w:color w:val="auto"/>
                <w:sz w:val="21"/>
                <w:highlight w:val="none"/>
              </w:rPr>
            </w:pPr>
          </w:p>
        </w:tc>
        <w:tc>
          <w:tcPr>
            <w:tcW w:w="1717" w:type="dxa"/>
            <w:tcBorders>
              <w:right w:val="single" w:color="000000" w:sz="10" w:space="0"/>
            </w:tcBorders>
            <w:vAlign w:val="top"/>
          </w:tcPr>
          <w:p w14:paraId="55D62465">
            <w:pPr>
              <w:rPr>
                <w:rFonts w:ascii="Arial"/>
                <w:color w:val="auto"/>
                <w:sz w:val="21"/>
                <w:highlight w:val="none"/>
              </w:rPr>
            </w:pPr>
          </w:p>
        </w:tc>
      </w:tr>
      <w:tr w14:paraId="6F73F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6CE4F1C">
            <w:pPr>
              <w:rPr>
                <w:rFonts w:ascii="Arial"/>
                <w:color w:val="auto"/>
                <w:sz w:val="21"/>
                <w:highlight w:val="none"/>
              </w:rPr>
            </w:pPr>
          </w:p>
        </w:tc>
        <w:tc>
          <w:tcPr>
            <w:tcW w:w="1983" w:type="dxa"/>
            <w:vAlign w:val="top"/>
          </w:tcPr>
          <w:p w14:paraId="6714D9E3">
            <w:pPr>
              <w:rPr>
                <w:rFonts w:ascii="Arial"/>
                <w:color w:val="auto"/>
                <w:sz w:val="21"/>
                <w:highlight w:val="none"/>
              </w:rPr>
            </w:pPr>
          </w:p>
        </w:tc>
        <w:tc>
          <w:tcPr>
            <w:tcW w:w="847" w:type="dxa"/>
            <w:vAlign w:val="top"/>
          </w:tcPr>
          <w:p w14:paraId="1C984763">
            <w:pPr>
              <w:rPr>
                <w:rFonts w:ascii="Arial"/>
                <w:color w:val="auto"/>
                <w:sz w:val="21"/>
                <w:highlight w:val="none"/>
              </w:rPr>
            </w:pPr>
          </w:p>
        </w:tc>
        <w:tc>
          <w:tcPr>
            <w:tcW w:w="771" w:type="dxa"/>
            <w:vAlign w:val="top"/>
          </w:tcPr>
          <w:p w14:paraId="0E0CDAD4">
            <w:pPr>
              <w:rPr>
                <w:rFonts w:ascii="Arial"/>
                <w:color w:val="auto"/>
                <w:sz w:val="21"/>
                <w:highlight w:val="none"/>
              </w:rPr>
            </w:pPr>
          </w:p>
        </w:tc>
        <w:tc>
          <w:tcPr>
            <w:tcW w:w="1350" w:type="dxa"/>
            <w:vAlign w:val="top"/>
          </w:tcPr>
          <w:p w14:paraId="391778F9">
            <w:pPr>
              <w:rPr>
                <w:rFonts w:ascii="Arial"/>
                <w:color w:val="auto"/>
                <w:sz w:val="21"/>
                <w:highlight w:val="none"/>
              </w:rPr>
            </w:pPr>
          </w:p>
        </w:tc>
        <w:tc>
          <w:tcPr>
            <w:tcW w:w="1413" w:type="dxa"/>
            <w:vAlign w:val="top"/>
          </w:tcPr>
          <w:p w14:paraId="7A54645A">
            <w:pPr>
              <w:rPr>
                <w:rFonts w:ascii="Arial"/>
                <w:color w:val="auto"/>
                <w:sz w:val="21"/>
                <w:highlight w:val="none"/>
              </w:rPr>
            </w:pPr>
          </w:p>
        </w:tc>
        <w:tc>
          <w:tcPr>
            <w:tcW w:w="1717" w:type="dxa"/>
            <w:tcBorders>
              <w:right w:val="single" w:color="000000" w:sz="10" w:space="0"/>
            </w:tcBorders>
            <w:vAlign w:val="top"/>
          </w:tcPr>
          <w:p w14:paraId="495C7AE9">
            <w:pPr>
              <w:rPr>
                <w:rFonts w:ascii="Arial"/>
                <w:color w:val="auto"/>
                <w:sz w:val="21"/>
                <w:highlight w:val="none"/>
              </w:rPr>
            </w:pPr>
          </w:p>
        </w:tc>
      </w:tr>
      <w:tr w14:paraId="111F1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33A3E6EC">
            <w:pPr>
              <w:rPr>
                <w:rFonts w:ascii="Arial"/>
                <w:color w:val="auto"/>
                <w:sz w:val="21"/>
                <w:highlight w:val="none"/>
              </w:rPr>
            </w:pPr>
          </w:p>
        </w:tc>
        <w:tc>
          <w:tcPr>
            <w:tcW w:w="1983" w:type="dxa"/>
            <w:vAlign w:val="top"/>
          </w:tcPr>
          <w:p w14:paraId="60CB05FE">
            <w:pPr>
              <w:rPr>
                <w:rFonts w:ascii="Arial"/>
                <w:color w:val="auto"/>
                <w:sz w:val="21"/>
                <w:highlight w:val="none"/>
              </w:rPr>
            </w:pPr>
          </w:p>
        </w:tc>
        <w:tc>
          <w:tcPr>
            <w:tcW w:w="847" w:type="dxa"/>
            <w:vAlign w:val="top"/>
          </w:tcPr>
          <w:p w14:paraId="4AF0C2F3">
            <w:pPr>
              <w:rPr>
                <w:rFonts w:ascii="Arial"/>
                <w:color w:val="auto"/>
                <w:sz w:val="21"/>
                <w:highlight w:val="none"/>
              </w:rPr>
            </w:pPr>
          </w:p>
        </w:tc>
        <w:tc>
          <w:tcPr>
            <w:tcW w:w="771" w:type="dxa"/>
            <w:vAlign w:val="top"/>
          </w:tcPr>
          <w:p w14:paraId="3C92F92A">
            <w:pPr>
              <w:rPr>
                <w:rFonts w:ascii="Arial"/>
                <w:color w:val="auto"/>
                <w:sz w:val="21"/>
                <w:highlight w:val="none"/>
              </w:rPr>
            </w:pPr>
          </w:p>
        </w:tc>
        <w:tc>
          <w:tcPr>
            <w:tcW w:w="1350" w:type="dxa"/>
            <w:vAlign w:val="top"/>
          </w:tcPr>
          <w:p w14:paraId="2C143E62">
            <w:pPr>
              <w:rPr>
                <w:rFonts w:ascii="Arial"/>
                <w:color w:val="auto"/>
                <w:sz w:val="21"/>
                <w:highlight w:val="none"/>
              </w:rPr>
            </w:pPr>
          </w:p>
        </w:tc>
        <w:tc>
          <w:tcPr>
            <w:tcW w:w="1413" w:type="dxa"/>
            <w:vAlign w:val="top"/>
          </w:tcPr>
          <w:p w14:paraId="66020DDB">
            <w:pPr>
              <w:rPr>
                <w:rFonts w:ascii="Arial"/>
                <w:color w:val="auto"/>
                <w:sz w:val="21"/>
                <w:highlight w:val="none"/>
              </w:rPr>
            </w:pPr>
          </w:p>
        </w:tc>
        <w:tc>
          <w:tcPr>
            <w:tcW w:w="1717" w:type="dxa"/>
            <w:tcBorders>
              <w:right w:val="single" w:color="000000" w:sz="10" w:space="0"/>
            </w:tcBorders>
            <w:vAlign w:val="top"/>
          </w:tcPr>
          <w:p w14:paraId="58A67BFD">
            <w:pPr>
              <w:rPr>
                <w:rFonts w:ascii="Arial"/>
                <w:color w:val="auto"/>
                <w:sz w:val="21"/>
                <w:highlight w:val="none"/>
              </w:rPr>
            </w:pPr>
          </w:p>
        </w:tc>
      </w:tr>
      <w:tr w14:paraId="4DF159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1395C67A">
            <w:pPr>
              <w:rPr>
                <w:rFonts w:ascii="Arial"/>
                <w:color w:val="auto"/>
                <w:sz w:val="21"/>
                <w:highlight w:val="none"/>
              </w:rPr>
            </w:pPr>
          </w:p>
        </w:tc>
        <w:tc>
          <w:tcPr>
            <w:tcW w:w="1983" w:type="dxa"/>
            <w:vAlign w:val="top"/>
          </w:tcPr>
          <w:p w14:paraId="7247AF63">
            <w:pPr>
              <w:rPr>
                <w:rFonts w:ascii="Arial"/>
                <w:color w:val="auto"/>
                <w:sz w:val="21"/>
                <w:highlight w:val="none"/>
              </w:rPr>
            </w:pPr>
          </w:p>
        </w:tc>
        <w:tc>
          <w:tcPr>
            <w:tcW w:w="847" w:type="dxa"/>
            <w:vAlign w:val="top"/>
          </w:tcPr>
          <w:p w14:paraId="758ED350">
            <w:pPr>
              <w:rPr>
                <w:rFonts w:ascii="Arial"/>
                <w:color w:val="auto"/>
                <w:sz w:val="21"/>
                <w:highlight w:val="none"/>
              </w:rPr>
            </w:pPr>
          </w:p>
        </w:tc>
        <w:tc>
          <w:tcPr>
            <w:tcW w:w="771" w:type="dxa"/>
            <w:vAlign w:val="top"/>
          </w:tcPr>
          <w:p w14:paraId="0883005D">
            <w:pPr>
              <w:rPr>
                <w:rFonts w:ascii="Arial"/>
                <w:color w:val="auto"/>
                <w:sz w:val="21"/>
                <w:highlight w:val="none"/>
              </w:rPr>
            </w:pPr>
          </w:p>
        </w:tc>
        <w:tc>
          <w:tcPr>
            <w:tcW w:w="1350" w:type="dxa"/>
            <w:vAlign w:val="top"/>
          </w:tcPr>
          <w:p w14:paraId="3BA625A5">
            <w:pPr>
              <w:rPr>
                <w:rFonts w:ascii="Arial"/>
                <w:color w:val="auto"/>
                <w:sz w:val="21"/>
                <w:highlight w:val="none"/>
              </w:rPr>
            </w:pPr>
          </w:p>
        </w:tc>
        <w:tc>
          <w:tcPr>
            <w:tcW w:w="1413" w:type="dxa"/>
            <w:vAlign w:val="top"/>
          </w:tcPr>
          <w:p w14:paraId="3DE81FBD">
            <w:pPr>
              <w:rPr>
                <w:rFonts w:ascii="Arial"/>
                <w:color w:val="auto"/>
                <w:sz w:val="21"/>
                <w:highlight w:val="none"/>
              </w:rPr>
            </w:pPr>
          </w:p>
        </w:tc>
        <w:tc>
          <w:tcPr>
            <w:tcW w:w="1717" w:type="dxa"/>
            <w:tcBorders>
              <w:right w:val="single" w:color="000000" w:sz="10" w:space="0"/>
            </w:tcBorders>
            <w:vAlign w:val="top"/>
          </w:tcPr>
          <w:p w14:paraId="1542411D">
            <w:pPr>
              <w:rPr>
                <w:rFonts w:ascii="Arial"/>
                <w:color w:val="auto"/>
                <w:sz w:val="21"/>
                <w:highlight w:val="none"/>
              </w:rPr>
            </w:pPr>
          </w:p>
        </w:tc>
      </w:tr>
      <w:tr w14:paraId="37ECD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43AEF7FB">
            <w:pPr>
              <w:rPr>
                <w:rFonts w:ascii="Arial"/>
                <w:color w:val="auto"/>
                <w:sz w:val="21"/>
                <w:highlight w:val="none"/>
              </w:rPr>
            </w:pPr>
          </w:p>
        </w:tc>
        <w:tc>
          <w:tcPr>
            <w:tcW w:w="1983" w:type="dxa"/>
            <w:vAlign w:val="top"/>
          </w:tcPr>
          <w:p w14:paraId="181FE521">
            <w:pPr>
              <w:rPr>
                <w:rFonts w:ascii="Arial"/>
                <w:color w:val="auto"/>
                <w:sz w:val="21"/>
                <w:highlight w:val="none"/>
              </w:rPr>
            </w:pPr>
          </w:p>
        </w:tc>
        <w:tc>
          <w:tcPr>
            <w:tcW w:w="847" w:type="dxa"/>
            <w:vAlign w:val="top"/>
          </w:tcPr>
          <w:p w14:paraId="40D4B591">
            <w:pPr>
              <w:rPr>
                <w:rFonts w:ascii="Arial"/>
                <w:color w:val="auto"/>
                <w:sz w:val="21"/>
                <w:highlight w:val="none"/>
              </w:rPr>
            </w:pPr>
          </w:p>
        </w:tc>
        <w:tc>
          <w:tcPr>
            <w:tcW w:w="771" w:type="dxa"/>
            <w:vAlign w:val="top"/>
          </w:tcPr>
          <w:p w14:paraId="439A7C05">
            <w:pPr>
              <w:rPr>
                <w:rFonts w:ascii="Arial"/>
                <w:color w:val="auto"/>
                <w:sz w:val="21"/>
                <w:highlight w:val="none"/>
              </w:rPr>
            </w:pPr>
          </w:p>
        </w:tc>
        <w:tc>
          <w:tcPr>
            <w:tcW w:w="1350" w:type="dxa"/>
            <w:vAlign w:val="top"/>
          </w:tcPr>
          <w:p w14:paraId="18F9DE7D">
            <w:pPr>
              <w:rPr>
                <w:rFonts w:ascii="Arial"/>
                <w:color w:val="auto"/>
                <w:sz w:val="21"/>
                <w:highlight w:val="none"/>
              </w:rPr>
            </w:pPr>
          </w:p>
        </w:tc>
        <w:tc>
          <w:tcPr>
            <w:tcW w:w="1413" w:type="dxa"/>
            <w:vAlign w:val="top"/>
          </w:tcPr>
          <w:p w14:paraId="3EEDD548">
            <w:pPr>
              <w:rPr>
                <w:rFonts w:ascii="Arial"/>
                <w:color w:val="auto"/>
                <w:sz w:val="21"/>
                <w:highlight w:val="none"/>
              </w:rPr>
            </w:pPr>
          </w:p>
        </w:tc>
        <w:tc>
          <w:tcPr>
            <w:tcW w:w="1717" w:type="dxa"/>
            <w:tcBorders>
              <w:right w:val="single" w:color="000000" w:sz="10" w:space="0"/>
            </w:tcBorders>
            <w:vAlign w:val="top"/>
          </w:tcPr>
          <w:p w14:paraId="05071D36">
            <w:pPr>
              <w:rPr>
                <w:rFonts w:ascii="Arial"/>
                <w:color w:val="auto"/>
                <w:sz w:val="21"/>
                <w:highlight w:val="none"/>
              </w:rPr>
            </w:pPr>
          </w:p>
        </w:tc>
      </w:tr>
      <w:tr w14:paraId="61C05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266C4070">
            <w:pPr>
              <w:rPr>
                <w:rFonts w:ascii="Arial"/>
                <w:color w:val="auto"/>
                <w:sz w:val="21"/>
                <w:highlight w:val="none"/>
              </w:rPr>
            </w:pPr>
          </w:p>
        </w:tc>
        <w:tc>
          <w:tcPr>
            <w:tcW w:w="1983" w:type="dxa"/>
            <w:vAlign w:val="top"/>
          </w:tcPr>
          <w:p w14:paraId="3DD45FBA">
            <w:pPr>
              <w:rPr>
                <w:rFonts w:ascii="Arial"/>
                <w:color w:val="auto"/>
                <w:sz w:val="21"/>
                <w:highlight w:val="none"/>
              </w:rPr>
            </w:pPr>
          </w:p>
        </w:tc>
        <w:tc>
          <w:tcPr>
            <w:tcW w:w="847" w:type="dxa"/>
            <w:vAlign w:val="top"/>
          </w:tcPr>
          <w:p w14:paraId="4ABBF274">
            <w:pPr>
              <w:rPr>
                <w:rFonts w:ascii="Arial"/>
                <w:color w:val="auto"/>
                <w:sz w:val="21"/>
                <w:highlight w:val="none"/>
              </w:rPr>
            </w:pPr>
          </w:p>
        </w:tc>
        <w:tc>
          <w:tcPr>
            <w:tcW w:w="771" w:type="dxa"/>
            <w:vAlign w:val="top"/>
          </w:tcPr>
          <w:p w14:paraId="6EED4221">
            <w:pPr>
              <w:rPr>
                <w:rFonts w:ascii="Arial"/>
                <w:color w:val="auto"/>
                <w:sz w:val="21"/>
                <w:highlight w:val="none"/>
              </w:rPr>
            </w:pPr>
          </w:p>
        </w:tc>
        <w:tc>
          <w:tcPr>
            <w:tcW w:w="1350" w:type="dxa"/>
            <w:vAlign w:val="top"/>
          </w:tcPr>
          <w:p w14:paraId="26727011">
            <w:pPr>
              <w:rPr>
                <w:rFonts w:ascii="Arial"/>
                <w:color w:val="auto"/>
                <w:sz w:val="21"/>
                <w:highlight w:val="none"/>
              </w:rPr>
            </w:pPr>
          </w:p>
        </w:tc>
        <w:tc>
          <w:tcPr>
            <w:tcW w:w="1413" w:type="dxa"/>
            <w:vAlign w:val="top"/>
          </w:tcPr>
          <w:p w14:paraId="5DB80334">
            <w:pPr>
              <w:rPr>
                <w:rFonts w:ascii="Arial"/>
                <w:color w:val="auto"/>
                <w:sz w:val="21"/>
                <w:highlight w:val="none"/>
              </w:rPr>
            </w:pPr>
          </w:p>
        </w:tc>
        <w:tc>
          <w:tcPr>
            <w:tcW w:w="1717" w:type="dxa"/>
            <w:tcBorders>
              <w:right w:val="single" w:color="000000" w:sz="10" w:space="0"/>
            </w:tcBorders>
            <w:vAlign w:val="top"/>
          </w:tcPr>
          <w:p w14:paraId="739D9C0B">
            <w:pPr>
              <w:rPr>
                <w:rFonts w:ascii="Arial"/>
                <w:color w:val="auto"/>
                <w:sz w:val="21"/>
                <w:highlight w:val="none"/>
              </w:rPr>
            </w:pPr>
          </w:p>
        </w:tc>
      </w:tr>
      <w:tr w14:paraId="115FA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268C0535">
            <w:pPr>
              <w:rPr>
                <w:rFonts w:ascii="Arial"/>
                <w:color w:val="auto"/>
                <w:sz w:val="21"/>
                <w:highlight w:val="none"/>
              </w:rPr>
            </w:pPr>
          </w:p>
        </w:tc>
        <w:tc>
          <w:tcPr>
            <w:tcW w:w="1983" w:type="dxa"/>
            <w:vAlign w:val="top"/>
          </w:tcPr>
          <w:p w14:paraId="2DCCC6EA">
            <w:pPr>
              <w:rPr>
                <w:rFonts w:ascii="Arial"/>
                <w:color w:val="auto"/>
                <w:sz w:val="21"/>
                <w:highlight w:val="none"/>
              </w:rPr>
            </w:pPr>
          </w:p>
        </w:tc>
        <w:tc>
          <w:tcPr>
            <w:tcW w:w="847" w:type="dxa"/>
            <w:vAlign w:val="top"/>
          </w:tcPr>
          <w:p w14:paraId="1CC98177">
            <w:pPr>
              <w:rPr>
                <w:rFonts w:ascii="Arial"/>
                <w:color w:val="auto"/>
                <w:sz w:val="21"/>
                <w:highlight w:val="none"/>
              </w:rPr>
            </w:pPr>
          </w:p>
        </w:tc>
        <w:tc>
          <w:tcPr>
            <w:tcW w:w="771" w:type="dxa"/>
            <w:vAlign w:val="top"/>
          </w:tcPr>
          <w:p w14:paraId="206B8AAD">
            <w:pPr>
              <w:rPr>
                <w:rFonts w:ascii="Arial"/>
                <w:color w:val="auto"/>
                <w:sz w:val="21"/>
                <w:highlight w:val="none"/>
              </w:rPr>
            </w:pPr>
          </w:p>
        </w:tc>
        <w:tc>
          <w:tcPr>
            <w:tcW w:w="1350" w:type="dxa"/>
            <w:vAlign w:val="top"/>
          </w:tcPr>
          <w:p w14:paraId="249CA2F3">
            <w:pPr>
              <w:rPr>
                <w:rFonts w:ascii="Arial"/>
                <w:color w:val="auto"/>
                <w:sz w:val="21"/>
                <w:highlight w:val="none"/>
              </w:rPr>
            </w:pPr>
          </w:p>
        </w:tc>
        <w:tc>
          <w:tcPr>
            <w:tcW w:w="1413" w:type="dxa"/>
            <w:vAlign w:val="top"/>
          </w:tcPr>
          <w:p w14:paraId="1BECCB48">
            <w:pPr>
              <w:rPr>
                <w:rFonts w:ascii="Arial"/>
                <w:color w:val="auto"/>
                <w:sz w:val="21"/>
                <w:highlight w:val="none"/>
              </w:rPr>
            </w:pPr>
          </w:p>
        </w:tc>
        <w:tc>
          <w:tcPr>
            <w:tcW w:w="1717" w:type="dxa"/>
            <w:tcBorders>
              <w:right w:val="single" w:color="000000" w:sz="10" w:space="0"/>
            </w:tcBorders>
            <w:vAlign w:val="top"/>
          </w:tcPr>
          <w:p w14:paraId="5FCDFD82">
            <w:pPr>
              <w:rPr>
                <w:rFonts w:ascii="Arial"/>
                <w:color w:val="auto"/>
                <w:sz w:val="21"/>
                <w:highlight w:val="none"/>
              </w:rPr>
            </w:pPr>
          </w:p>
        </w:tc>
      </w:tr>
      <w:tr w14:paraId="0A1F6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0A21CA8">
            <w:pPr>
              <w:rPr>
                <w:rFonts w:ascii="Arial"/>
                <w:color w:val="auto"/>
                <w:sz w:val="21"/>
                <w:highlight w:val="none"/>
              </w:rPr>
            </w:pPr>
          </w:p>
        </w:tc>
        <w:tc>
          <w:tcPr>
            <w:tcW w:w="1983" w:type="dxa"/>
            <w:vAlign w:val="top"/>
          </w:tcPr>
          <w:p w14:paraId="5B3C8A3A">
            <w:pPr>
              <w:rPr>
                <w:rFonts w:ascii="Arial"/>
                <w:color w:val="auto"/>
                <w:sz w:val="21"/>
                <w:highlight w:val="none"/>
              </w:rPr>
            </w:pPr>
          </w:p>
        </w:tc>
        <w:tc>
          <w:tcPr>
            <w:tcW w:w="847" w:type="dxa"/>
            <w:vAlign w:val="top"/>
          </w:tcPr>
          <w:p w14:paraId="10757D63">
            <w:pPr>
              <w:rPr>
                <w:rFonts w:ascii="Arial"/>
                <w:color w:val="auto"/>
                <w:sz w:val="21"/>
                <w:highlight w:val="none"/>
              </w:rPr>
            </w:pPr>
          </w:p>
        </w:tc>
        <w:tc>
          <w:tcPr>
            <w:tcW w:w="771" w:type="dxa"/>
            <w:vAlign w:val="top"/>
          </w:tcPr>
          <w:p w14:paraId="1A906AE5">
            <w:pPr>
              <w:rPr>
                <w:rFonts w:ascii="Arial"/>
                <w:color w:val="auto"/>
                <w:sz w:val="21"/>
                <w:highlight w:val="none"/>
              </w:rPr>
            </w:pPr>
          </w:p>
        </w:tc>
        <w:tc>
          <w:tcPr>
            <w:tcW w:w="1350" w:type="dxa"/>
            <w:vAlign w:val="top"/>
          </w:tcPr>
          <w:p w14:paraId="7D5C416B">
            <w:pPr>
              <w:rPr>
                <w:rFonts w:ascii="Arial"/>
                <w:color w:val="auto"/>
                <w:sz w:val="21"/>
                <w:highlight w:val="none"/>
              </w:rPr>
            </w:pPr>
          </w:p>
        </w:tc>
        <w:tc>
          <w:tcPr>
            <w:tcW w:w="1413" w:type="dxa"/>
            <w:vAlign w:val="top"/>
          </w:tcPr>
          <w:p w14:paraId="081FD00D">
            <w:pPr>
              <w:rPr>
                <w:rFonts w:ascii="Arial"/>
                <w:color w:val="auto"/>
                <w:sz w:val="21"/>
                <w:highlight w:val="none"/>
              </w:rPr>
            </w:pPr>
          </w:p>
        </w:tc>
        <w:tc>
          <w:tcPr>
            <w:tcW w:w="1717" w:type="dxa"/>
            <w:tcBorders>
              <w:right w:val="single" w:color="000000" w:sz="10" w:space="0"/>
            </w:tcBorders>
            <w:vAlign w:val="top"/>
          </w:tcPr>
          <w:p w14:paraId="182F4BBF">
            <w:pPr>
              <w:rPr>
                <w:rFonts w:ascii="Arial"/>
                <w:color w:val="auto"/>
                <w:sz w:val="21"/>
                <w:highlight w:val="none"/>
              </w:rPr>
            </w:pPr>
          </w:p>
        </w:tc>
      </w:tr>
      <w:tr w14:paraId="24C33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16743C54">
            <w:pPr>
              <w:rPr>
                <w:rFonts w:ascii="Arial"/>
                <w:color w:val="auto"/>
                <w:sz w:val="21"/>
                <w:highlight w:val="none"/>
              </w:rPr>
            </w:pPr>
          </w:p>
        </w:tc>
        <w:tc>
          <w:tcPr>
            <w:tcW w:w="1983" w:type="dxa"/>
            <w:vAlign w:val="top"/>
          </w:tcPr>
          <w:p w14:paraId="6372982E">
            <w:pPr>
              <w:rPr>
                <w:rFonts w:ascii="Arial"/>
                <w:color w:val="auto"/>
                <w:sz w:val="21"/>
                <w:highlight w:val="none"/>
              </w:rPr>
            </w:pPr>
          </w:p>
        </w:tc>
        <w:tc>
          <w:tcPr>
            <w:tcW w:w="847" w:type="dxa"/>
            <w:vAlign w:val="top"/>
          </w:tcPr>
          <w:p w14:paraId="066DCA37">
            <w:pPr>
              <w:rPr>
                <w:rFonts w:ascii="Arial"/>
                <w:color w:val="auto"/>
                <w:sz w:val="21"/>
                <w:highlight w:val="none"/>
              </w:rPr>
            </w:pPr>
          </w:p>
        </w:tc>
        <w:tc>
          <w:tcPr>
            <w:tcW w:w="771" w:type="dxa"/>
            <w:vAlign w:val="top"/>
          </w:tcPr>
          <w:p w14:paraId="5522F68D">
            <w:pPr>
              <w:rPr>
                <w:rFonts w:ascii="Arial"/>
                <w:color w:val="auto"/>
                <w:sz w:val="21"/>
                <w:highlight w:val="none"/>
              </w:rPr>
            </w:pPr>
          </w:p>
        </w:tc>
        <w:tc>
          <w:tcPr>
            <w:tcW w:w="1350" w:type="dxa"/>
            <w:vAlign w:val="top"/>
          </w:tcPr>
          <w:p w14:paraId="0A0C3E2F">
            <w:pPr>
              <w:rPr>
                <w:rFonts w:ascii="Arial"/>
                <w:color w:val="auto"/>
                <w:sz w:val="21"/>
                <w:highlight w:val="none"/>
              </w:rPr>
            </w:pPr>
          </w:p>
        </w:tc>
        <w:tc>
          <w:tcPr>
            <w:tcW w:w="1413" w:type="dxa"/>
            <w:vAlign w:val="top"/>
          </w:tcPr>
          <w:p w14:paraId="54A2EA81">
            <w:pPr>
              <w:rPr>
                <w:rFonts w:ascii="Arial"/>
                <w:color w:val="auto"/>
                <w:sz w:val="21"/>
                <w:highlight w:val="none"/>
              </w:rPr>
            </w:pPr>
          </w:p>
        </w:tc>
        <w:tc>
          <w:tcPr>
            <w:tcW w:w="1717" w:type="dxa"/>
            <w:tcBorders>
              <w:right w:val="single" w:color="000000" w:sz="10" w:space="0"/>
            </w:tcBorders>
            <w:vAlign w:val="top"/>
          </w:tcPr>
          <w:p w14:paraId="02254F39">
            <w:pPr>
              <w:rPr>
                <w:rFonts w:ascii="Arial"/>
                <w:color w:val="auto"/>
                <w:sz w:val="21"/>
                <w:highlight w:val="none"/>
              </w:rPr>
            </w:pPr>
          </w:p>
        </w:tc>
      </w:tr>
      <w:tr w14:paraId="08727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3F17BD6B">
            <w:pPr>
              <w:rPr>
                <w:rFonts w:ascii="Arial"/>
                <w:color w:val="auto"/>
                <w:sz w:val="21"/>
                <w:highlight w:val="none"/>
              </w:rPr>
            </w:pPr>
          </w:p>
        </w:tc>
        <w:tc>
          <w:tcPr>
            <w:tcW w:w="1983" w:type="dxa"/>
            <w:vAlign w:val="top"/>
          </w:tcPr>
          <w:p w14:paraId="256E6E49">
            <w:pPr>
              <w:rPr>
                <w:rFonts w:ascii="Arial"/>
                <w:color w:val="auto"/>
                <w:sz w:val="21"/>
                <w:highlight w:val="none"/>
              </w:rPr>
            </w:pPr>
          </w:p>
        </w:tc>
        <w:tc>
          <w:tcPr>
            <w:tcW w:w="847" w:type="dxa"/>
            <w:vAlign w:val="top"/>
          </w:tcPr>
          <w:p w14:paraId="3C4F0C42">
            <w:pPr>
              <w:rPr>
                <w:rFonts w:ascii="Arial"/>
                <w:color w:val="auto"/>
                <w:sz w:val="21"/>
                <w:highlight w:val="none"/>
              </w:rPr>
            </w:pPr>
          </w:p>
        </w:tc>
        <w:tc>
          <w:tcPr>
            <w:tcW w:w="771" w:type="dxa"/>
            <w:vAlign w:val="top"/>
          </w:tcPr>
          <w:p w14:paraId="2610C1E2">
            <w:pPr>
              <w:rPr>
                <w:rFonts w:ascii="Arial"/>
                <w:color w:val="auto"/>
                <w:sz w:val="21"/>
                <w:highlight w:val="none"/>
              </w:rPr>
            </w:pPr>
          </w:p>
        </w:tc>
        <w:tc>
          <w:tcPr>
            <w:tcW w:w="1350" w:type="dxa"/>
            <w:vAlign w:val="top"/>
          </w:tcPr>
          <w:p w14:paraId="646F22B1">
            <w:pPr>
              <w:rPr>
                <w:rFonts w:ascii="Arial"/>
                <w:color w:val="auto"/>
                <w:sz w:val="21"/>
                <w:highlight w:val="none"/>
              </w:rPr>
            </w:pPr>
          </w:p>
        </w:tc>
        <w:tc>
          <w:tcPr>
            <w:tcW w:w="1413" w:type="dxa"/>
            <w:vAlign w:val="top"/>
          </w:tcPr>
          <w:p w14:paraId="04EAB497">
            <w:pPr>
              <w:rPr>
                <w:rFonts w:ascii="Arial"/>
                <w:color w:val="auto"/>
                <w:sz w:val="21"/>
                <w:highlight w:val="none"/>
              </w:rPr>
            </w:pPr>
          </w:p>
        </w:tc>
        <w:tc>
          <w:tcPr>
            <w:tcW w:w="1717" w:type="dxa"/>
            <w:tcBorders>
              <w:right w:val="single" w:color="000000" w:sz="10" w:space="0"/>
            </w:tcBorders>
            <w:vAlign w:val="top"/>
          </w:tcPr>
          <w:p w14:paraId="3F1C5364">
            <w:pPr>
              <w:rPr>
                <w:rFonts w:ascii="Arial"/>
                <w:color w:val="auto"/>
                <w:sz w:val="21"/>
                <w:highlight w:val="none"/>
              </w:rPr>
            </w:pPr>
          </w:p>
        </w:tc>
      </w:tr>
      <w:tr w14:paraId="24DAB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5B039874">
            <w:pPr>
              <w:rPr>
                <w:rFonts w:ascii="Arial"/>
                <w:color w:val="auto"/>
                <w:sz w:val="21"/>
                <w:highlight w:val="none"/>
              </w:rPr>
            </w:pPr>
          </w:p>
        </w:tc>
        <w:tc>
          <w:tcPr>
            <w:tcW w:w="1983" w:type="dxa"/>
            <w:vAlign w:val="top"/>
          </w:tcPr>
          <w:p w14:paraId="22942A84">
            <w:pPr>
              <w:rPr>
                <w:rFonts w:ascii="Arial"/>
                <w:color w:val="auto"/>
                <w:sz w:val="21"/>
                <w:highlight w:val="none"/>
              </w:rPr>
            </w:pPr>
          </w:p>
        </w:tc>
        <w:tc>
          <w:tcPr>
            <w:tcW w:w="847" w:type="dxa"/>
            <w:vAlign w:val="top"/>
          </w:tcPr>
          <w:p w14:paraId="6C386774">
            <w:pPr>
              <w:rPr>
                <w:rFonts w:ascii="Arial"/>
                <w:color w:val="auto"/>
                <w:sz w:val="21"/>
                <w:highlight w:val="none"/>
              </w:rPr>
            </w:pPr>
          </w:p>
        </w:tc>
        <w:tc>
          <w:tcPr>
            <w:tcW w:w="771" w:type="dxa"/>
            <w:vAlign w:val="top"/>
          </w:tcPr>
          <w:p w14:paraId="7AFD7195">
            <w:pPr>
              <w:rPr>
                <w:rFonts w:ascii="Arial"/>
                <w:color w:val="auto"/>
                <w:sz w:val="21"/>
                <w:highlight w:val="none"/>
              </w:rPr>
            </w:pPr>
          </w:p>
        </w:tc>
        <w:tc>
          <w:tcPr>
            <w:tcW w:w="1350" w:type="dxa"/>
            <w:vAlign w:val="top"/>
          </w:tcPr>
          <w:p w14:paraId="66CB7343">
            <w:pPr>
              <w:rPr>
                <w:rFonts w:ascii="Arial"/>
                <w:color w:val="auto"/>
                <w:sz w:val="21"/>
                <w:highlight w:val="none"/>
              </w:rPr>
            </w:pPr>
          </w:p>
        </w:tc>
        <w:tc>
          <w:tcPr>
            <w:tcW w:w="1413" w:type="dxa"/>
            <w:vAlign w:val="top"/>
          </w:tcPr>
          <w:p w14:paraId="7FA62771">
            <w:pPr>
              <w:rPr>
                <w:rFonts w:ascii="Arial"/>
                <w:color w:val="auto"/>
                <w:sz w:val="21"/>
                <w:highlight w:val="none"/>
              </w:rPr>
            </w:pPr>
          </w:p>
        </w:tc>
        <w:tc>
          <w:tcPr>
            <w:tcW w:w="1717" w:type="dxa"/>
            <w:tcBorders>
              <w:right w:val="single" w:color="000000" w:sz="10" w:space="0"/>
            </w:tcBorders>
            <w:vAlign w:val="top"/>
          </w:tcPr>
          <w:p w14:paraId="62A95FB4">
            <w:pPr>
              <w:rPr>
                <w:rFonts w:ascii="Arial"/>
                <w:color w:val="auto"/>
                <w:sz w:val="21"/>
                <w:highlight w:val="none"/>
              </w:rPr>
            </w:pPr>
          </w:p>
        </w:tc>
      </w:tr>
      <w:tr w14:paraId="59748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656516E6">
            <w:pPr>
              <w:rPr>
                <w:rFonts w:ascii="Arial"/>
                <w:color w:val="auto"/>
                <w:sz w:val="21"/>
                <w:highlight w:val="none"/>
              </w:rPr>
            </w:pPr>
          </w:p>
        </w:tc>
        <w:tc>
          <w:tcPr>
            <w:tcW w:w="1983" w:type="dxa"/>
            <w:vAlign w:val="top"/>
          </w:tcPr>
          <w:p w14:paraId="2BAFB119">
            <w:pPr>
              <w:rPr>
                <w:rFonts w:ascii="Arial"/>
                <w:color w:val="auto"/>
                <w:sz w:val="21"/>
                <w:highlight w:val="none"/>
              </w:rPr>
            </w:pPr>
          </w:p>
        </w:tc>
        <w:tc>
          <w:tcPr>
            <w:tcW w:w="847" w:type="dxa"/>
            <w:vAlign w:val="top"/>
          </w:tcPr>
          <w:p w14:paraId="5A04D0FE">
            <w:pPr>
              <w:rPr>
                <w:rFonts w:ascii="Arial"/>
                <w:color w:val="auto"/>
                <w:sz w:val="21"/>
                <w:highlight w:val="none"/>
              </w:rPr>
            </w:pPr>
          </w:p>
        </w:tc>
        <w:tc>
          <w:tcPr>
            <w:tcW w:w="771" w:type="dxa"/>
            <w:vAlign w:val="top"/>
          </w:tcPr>
          <w:p w14:paraId="3F642F2A">
            <w:pPr>
              <w:rPr>
                <w:rFonts w:ascii="Arial"/>
                <w:color w:val="auto"/>
                <w:sz w:val="21"/>
                <w:highlight w:val="none"/>
              </w:rPr>
            </w:pPr>
          </w:p>
        </w:tc>
        <w:tc>
          <w:tcPr>
            <w:tcW w:w="1350" w:type="dxa"/>
            <w:vAlign w:val="top"/>
          </w:tcPr>
          <w:p w14:paraId="3ED37DA0">
            <w:pPr>
              <w:rPr>
                <w:rFonts w:ascii="Arial"/>
                <w:color w:val="auto"/>
                <w:sz w:val="21"/>
                <w:highlight w:val="none"/>
              </w:rPr>
            </w:pPr>
          </w:p>
        </w:tc>
        <w:tc>
          <w:tcPr>
            <w:tcW w:w="1413" w:type="dxa"/>
            <w:vAlign w:val="top"/>
          </w:tcPr>
          <w:p w14:paraId="1ECB9B81">
            <w:pPr>
              <w:rPr>
                <w:rFonts w:ascii="Arial"/>
                <w:color w:val="auto"/>
                <w:sz w:val="21"/>
                <w:highlight w:val="none"/>
              </w:rPr>
            </w:pPr>
          </w:p>
        </w:tc>
        <w:tc>
          <w:tcPr>
            <w:tcW w:w="1717" w:type="dxa"/>
            <w:tcBorders>
              <w:right w:val="single" w:color="000000" w:sz="10" w:space="0"/>
            </w:tcBorders>
            <w:vAlign w:val="top"/>
          </w:tcPr>
          <w:p w14:paraId="4652CD6D">
            <w:pPr>
              <w:rPr>
                <w:rFonts w:ascii="Arial"/>
                <w:color w:val="auto"/>
                <w:sz w:val="21"/>
                <w:highlight w:val="none"/>
              </w:rPr>
            </w:pPr>
          </w:p>
        </w:tc>
      </w:tr>
      <w:tr w14:paraId="0978B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765C631B">
            <w:pPr>
              <w:rPr>
                <w:rFonts w:ascii="Arial"/>
                <w:color w:val="auto"/>
                <w:sz w:val="21"/>
                <w:highlight w:val="none"/>
              </w:rPr>
            </w:pPr>
          </w:p>
        </w:tc>
        <w:tc>
          <w:tcPr>
            <w:tcW w:w="1983" w:type="dxa"/>
            <w:vAlign w:val="top"/>
          </w:tcPr>
          <w:p w14:paraId="5EFED994">
            <w:pPr>
              <w:rPr>
                <w:rFonts w:ascii="Arial"/>
                <w:color w:val="auto"/>
                <w:sz w:val="21"/>
                <w:highlight w:val="none"/>
              </w:rPr>
            </w:pPr>
          </w:p>
        </w:tc>
        <w:tc>
          <w:tcPr>
            <w:tcW w:w="847" w:type="dxa"/>
            <w:vAlign w:val="top"/>
          </w:tcPr>
          <w:p w14:paraId="7C0BE703">
            <w:pPr>
              <w:rPr>
                <w:rFonts w:ascii="Arial"/>
                <w:color w:val="auto"/>
                <w:sz w:val="21"/>
                <w:highlight w:val="none"/>
              </w:rPr>
            </w:pPr>
          </w:p>
        </w:tc>
        <w:tc>
          <w:tcPr>
            <w:tcW w:w="771" w:type="dxa"/>
            <w:vAlign w:val="top"/>
          </w:tcPr>
          <w:p w14:paraId="5402BCEE">
            <w:pPr>
              <w:rPr>
                <w:rFonts w:ascii="Arial"/>
                <w:color w:val="auto"/>
                <w:sz w:val="21"/>
                <w:highlight w:val="none"/>
              </w:rPr>
            </w:pPr>
          </w:p>
        </w:tc>
        <w:tc>
          <w:tcPr>
            <w:tcW w:w="1350" w:type="dxa"/>
            <w:vAlign w:val="top"/>
          </w:tcPr>
          <w:p w14:paraId="2C7117DC">
            <w:pPr>
              <w:rPr>
                <w:rFonts w:ascii="Arial"/>
                <w:color w:val="auto"/>
                <w:sz w:val="21"/>
                <w:highlight w:val="none"/>
              </w:rPr>
            </w:pPr>
          </w:p>
        </w:tc>
        <w:tc>
          <w:tcPr>
            <w:tcW w:w="1413" w:type="dxa"/>
            <w:vAlign w:val="top"/>
          </w:tcPr>
          <w:p w14:paraId="381BA837">
            <w:pPr>
              <w:rPr>
                <w:rFonts w:ascii="Arial"/>
                <w:color w:val="auto"/>
                <w:sz w:val="21"/>
                <w:highlight w:val="none"/>
              </w:rPr>
            </w:pPr>
          </w:p>
        </w:tc>
        <w:tc>
          <w:tcPr>
            <w:tcW w:w="1717" w:type="dxa"/>
            <w:tcBorders>
              <w:right w:val="single" w:color="000000" w:sz="10" w:space="0"/>
            </w:tcBorders>
            <w:vAlign w:val="top"/>
          </w:tcPr>
          <w:p w14:paraId="7E285D9C">
            <w:pPr>
              <w:rPr>
                <w:rFonts w:ascii="Arial"/>
                <w:color w:val="auto"/>
                <w:sz w:val="21"/>
                <w:highlight w:val="none"/>
              </w:rPr>
            </w:pPr>
          </w:p>
        </w:tc>
      </w:tr>
      <w:tr w14:paraId="27D07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5E80DD8A">
            <w:pPr>
              <w:rPr>
                <w:rFonts w:ascii="Arial"/>
                <w:color w:val="auto"/>
                <w:sz w:val="21"/>
                <w:highlight w:val="none"/>
              </w:rPr>
            </w:pPr>
          </w:p>
        </w:tc>
        <w:tc>
          <w:tcPr>
            <w:tcW w:w="1983" w:type="dxa"/>
            <w:vAlign w:val="top"/>
          </w:tcPr>
          <w:p w14:paraId="6A00E8BA">
            <w:pPr>
              <w:rPr>
                <w:rFonts w:ascii="Arial"/>
                <w:color w:val="auto"/>
                <w:sz w:val="21"/>
                <w:highlight w:val="none"/>
              </w:rPr>
            </w:pPr>
          </w:p>
        </w:tc>
        <w:tc>
          <w:tcPr>
            <w:tcW w:w="847" w:type="dxa"/>
            <w:vAlign w:val="top"/>
          </w:tcPr>
          <w:p w14:paraId="7F40D73D">
            <w:pPr>
              <w:rPr>
                <w:rFonts w:ascii="Arial"/>
                <w:color w:val="auto"/>
                <w:sz w:val="21"/>
                <w:highlight w:val="none"/>
              </w:rPr>
            </w:pPr>
          </w:p>
        </w:tc>
        <w:tc>
          <w:tcPr>
            <w:tcW w:w="771" w:type="dxa"/>
            <w:vAlign w:val="top"/>
          </w:tcPr>
          <w:p w14:paraId="1CB039A6">
            <w:pPr>
              <w:rPr>
                <w:rFonts w:ascii="Arial"/>
                <w:color w:val="auto"/>
                <w:sz w:val="21"/>
                <w:highlight w:val="none"/>
              </w:rPr>
            </w:pPr>
          </w:p>
        </w:tc>
        <w:tc>
          <w:tcPr>
            <w:tcW w:w="1350" w:type="dxa"/>
            <w:vAlign w:val="top"/>
          </w:tcPr>
          <w:p w14:paraId="790ECA8D">
            <w:pPr>
              <w:rPr>
                <w:rFonts w:ascii="Arial"/>
                <w:color w:val="auto"/>
                <w:sz w:val="21"/>
                <w:highlight w:val="none"/>
              </w:rPr>
            </w:pPr>
          </w:p>
        </w:tc>
        <w:tc>
          <w:tcPr>
            <w:tcW w:w="1413" w:type="dxa"/>
            <w:vAlign w:val="top"/>
          </w:tcPr>
          <w:p w14:paraId="759B07DD">
            <w:pPr>
              <w:rPr>
                <w:rFonts w:ascii="Arial"/>
                <w:color w:val="auto"/>
                <w:sz w:val="21"/>
                <w:highlight w:val="none"/>
              </w:rPr>
            </w:pPr>
          </w:p>
        </w:tc>
        <w:tc>
          <w:tcPr>
            <w:tcW w:w="1717" w:type="dxa"/>
            <w:tcBorders>
              <w:right w:val="single" w:color="000000" w:sz="10" w:space="0"/>
            </w:tcBorders>
            <w:vAlign w:val="top"/>
          </w:tcPr>
          <w:p w14:paraId="0261165D">
            <w:pPr>
              <w:rPr>
                <w:rFonts w:ascii="Arial"/>
                <w:color w:val="auto"/>
                <w:sz w:val="21"/>
                <w:highlight w:val="none"/>
              </w:rPr>
            </w:pPr>
          </w:p>
        </w:tc>
      </w:tr>
      <w:tr w14:paraId="5E534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B500C92">
            <w:pPr>
              <w:rPr>
                <w:rFonts w:ascii="Arial"/>
                <w:color w:val="auto"/>
                <w:sz w:val="21"/>
                <w:highlight w:val="none"/>
              </w:rPr>
            </w:pPr>
          </w:p>
        </w:tc>
        <w:tc>
          <w:tcPr>
            <w:tcW w:w="1983" w:type="dxa"/>
            <w:vAlign w:val="top"/>
          </w:tcPr>
          <w:p w14:paraId="2910105C">
            <w:pPr>
              <w:rPr>
                <w:rFonts w:ascii="Arial"/>
                <w:color w:val="auto"/>
                <w:sz w:val="21"/>
                <w:highlight w:val="none"/>
              </w:rPr>
            </w:pPr>
          </w:p>
        </w:tc>
        <w:tc>
          <w:tcPr>
            <w:tcW w:w="847" w:type="dxa"/>
            <w:vAlign w:val="top"/>
          </w:tcPr>
          <w:p w14:paraId="7A1DC3FD">
            <w:pPr>
              <w:rPr>
                <w:rFonts w:ascii="Arial"/>
                <w:color w:val="auto"/>
                <w:sz w:val="21"/>
                <w:highlight w:val="none"/>
              </w:rPr>
            </w:pPr>
          </w:p>
        </w:tc>
        <w:tc>
          <w:tcPr>
            <w:tcW w:w="771" w:type="dxa"/>
            <w:vAlign w:val="top"/>
          </w:tcPr>
          <w:p w14:paraId="5560DCC3">
            <w:pPr>
              <w:rPr>
                <w:rFonts w:ascii="Arial"/>
                <w:color w:val="auto"/>
                <w:sz w:val="21"/>
                <w:highlight w:val="none"/>
              </w:rPr>
            </w:pPr>
          </w:p>
        </w:tc>
        <w:tc>
          <w:tcPr>
            <w:tcW w:w="1350" w:type="dxa"/>
            <w:vAlign w:val="top"/>
          </w:tcPr>
          <w:p w14:paraId="3A6131AF">
            <w:pPr>
              <w:rPr>
                <w:rFonts w:ascii="Arial"/>
                <w:color w:val="auto"/>
                <w:sz w:val="21"/>
                <w:highlight w:val="none"/>
              </w:rPr>
            </w:pPr>
          </w:p>
        </w:tc>
        <w:tc>
          <w:tcPr>
            <w:tcW w:w="1413" w:type="dxa"/>
            <w:vAlign w:val="top"/>
          </w:tcPr>
          <w:p w14:paraId="06D4B863">
            <w:pPr>
              <w:rPr>
                <w:rFonts w:ascii="Arial"/>
                <w:color w:val="auto"/>
                <w:sz w:val="21"/>
                <w:highlight w:val="none"/>
              </w:rPr>
            </w:pPr>
          </w:p>
        </w:tc>
        <w:tc>
          <w:tcPr>
            <w:tcW w:w="1717" w:type="dxa"/>
            <w:tcBorders>
              <w:right w:val="single" w:color="000000" w:sz="10" w:space="0"/>
            </w:tcBorders>
            <w:vAlign w:val="top"/>
          </w:tcPr>
          <w:p w14:paraId="2290CE46">
            <w:pPr>
              <w:rPr>
                <w:rFonts w:ascii="Arial"/>
                <w:color w:val="auto"/>
                <w:sz w:val="21"/>
                <w:highlight w:val="none"/>
              </w:rPr>
            </w:pPr>
          </w:p>
        </w:tc>
      </w:tr>
      <w:tr w14:paraId="52315F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76FC7253">
            <w:pPr>
              <w:rPr>
                <w:rFonts w:ascii="Arial"/>
                <w:color w:val="auto"/>
                <w:sz w:val="21"/>
                <w:highlight w:val="none"/>
              </w:rPr>
            </w:pPr>
          </w:p>
        </w:tc>
        <w:tc>
          <w:tcPr>
            <w:tcW w:w="1983" w:type="dxa"/>
            <w:vAlign w:val="top"/>
          </w:tcPr>
          <w:p w14:paraId="7E34C78A">
            <w:pPr>
              <w:rPr>
                <w:rFonts w:ascii="Arial"/>
                <w:color w:val="auto"/>
                <w:sz w:val="21"/>
                <w:highlight w:val="none"/>
              </w:rPr>
            </w:pPr>
          </w:p>
        </w:tc>
        <w:tc>
          <w:tcPr>
            <w:tcW w:w="847" w:type="dxa"/>
            <w:vAlign w:val="top"/>
          </w:tcPr>
          <w:p w14:paraId="39A60411">
            <w:pPr>
              <w:rPr>
                <w:rFonts w:ascii="Arial"/>
                <w:color w:val="auto"/>
                <w:sz w:val="21"/>
                <w:highlight w:val="none"/>
              </w:rPr>
            </w:pPr>
          </w:p>
        </w:tc>
        <w:tc>
          <w:tcPr>
            <w:tcW w:w="771" w:type="dxa"/>
            <w:vAlign w:val="top"/>
          </w:tcPr>
          <w:p w14:paraId="5F3C670B">
            <w:pPr>
              <w:rPr>
                <w:rFonts w:ascii="Arial"/>
                <w:color w:val="auto"/>
                <w:sz w:val="21"/>
                <w:highlight w:val="none"/>
              </w:rPr>
            </w:pPr>
          </w:p>
        </w:tc>
        <w:tc>
          <w:tcPr>
            <w:tcW w:w="1350" w:type="dxa"/>
            <w:vAlign w:val="top"/>
          </w:tcPr>
          <w:p w14:paraId="01DA483E">
            <w:pPr>
              <w:rPr>
                <w:rFonts w:ascii="Arial"/>
                <w:color w:val="auto"/>
                <w:sz w:val="21"/>
                <w:highlight w:val="none"/>
              </w:rPr>
            </w:pPr>
          </w:p>
        </w:tc>
        <w:tc>
          <w:tcPr>
            <w:tcW w:w="1413" w:type="dxa"/>
            <w:vAlign w:val="top"/>
          </w:tcPr>
          <w:p w14:paraId="74436BBA">
            <w:pPr>
              <w:rPr>
                <w:rFonts w:ascii="Arial"/>
                <w:color w:val="auto"/>
                <w:sz w:val="21"/>
                <w:highlight w:val="none"/>
              </w:rPr>
            </w:pPr>
          </w:p>
        </w:tc>
        <w:tc>
          <w:tcPr>
            <w:tcW w:w="1717" w:type="dxa"/>
            <w:tcBorders>
              <w:right w:val="single" w:color="000000" w:sz="10" w:space="0"/>
            </w:tcBorders>
            <w:vAlign w:val="top"/>
          </w:tcPr>
          <w:p w14:paraId="5D27395C">
            <w:pPr>
              <w:rPr>
                <w:rFonts w:ascii="Arial"/>
                <w:color w:val="auto"/>
                <w:sz w:val="21"/>
                <w:highlight w:val="none"/>
              </w:rPr>
            </w:pPr>
          </w:p>
        </w:tc>
      </w:tr>
      <w:tr w14:paraId="5A653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70A76547">
            <w:pPr>
              <w:rPr>
                <w:rFonts w:ascii="Arial"/>
                <w:color w:val="auto"/>
                <w:sz w:val="21"/>
                <w:highlight w:val="none"/>
              </w:rPr>
            </w:pPr>
          </w:p>
        </w:tc>
        <w:tc>
          <w:tcPr>
            <w:tcW w:w="1983" w:type="dxa"/>
            <w:vAlign w:val="top"/>
          </w:tcPr>
          <w:p w14:paraId="222908F6">
            <w:pPr>
              <w:rPr>
                <w:rFonts w:ascii="Arial"/>
                <w:color w:val="auto"/>
                <w:sz w:val="21"/>
                <w:highlight w:val="none"/>
              </w:rPr>
            </w:pPr>
          </w:p>
        </w:tc>
        <w:tc>
          <w:tcPr>
            <w:tcW w:w="847" w:type="dxa"/>
            <w:vAlign w:val="top"/>
          </w:tcPr>
          <w:p w14:paraId="6E12879E">
            <w:pPr>
              <w:rPr>
                <w:rFonts w:ascii="Arial"/>
                <w:color w:val="auto"/>
                <w:sz w:val="21"/>
                <w:highlight w:val="none"/>
              </w:rPr>
            </w:pPr>
          </w:p>
        </w:tc>
        <w:tc>
          <w:tcPr>
            <w:tcW w:w="771" w:type="dxa"/>
            <w:vAlign w:val="top"/>
          </w:tcPr>
          <w:p w14:paraId="7D955821">
            <w:pPr>
              <w:rPr>
                <w:rFonts w:ascii="Arial"/>
                <w:color w:val="auto"/>
                <w:sz w:val="21"/>
                <w:highlight w:val="none"/>
              </w:rPr>
            </w:pPr>
          </w:p>
        </w:tc>
        <w:tc>
          <w:tcPr>
            <w:tcW w:w="1350" w:type="dxa"/>
            <w:vAlign w:val="top"/>
          </w:tcPr>
          <w:p w14:paraId="7A2C6060">
            <w:pPr>
              <w:rPr>
                <w:rFonts w:ascii="Arial"/>
                <w:color w:val="auto"/>
                <w:sz w:val="21"/>
                <w:highlight w:val="none"/>
              </w:rPr>
            </w:pPr>
          </w:p>
        </w:tc>
        <w:tc>
          <w:tcPr>
            <w:tcW w:w="1413" w:type="dxa"/>
            <w:vAlign w:val="top"/>
          </w:tcPr>
          <w:p w14:paraId="325CDB76">
            <w:pPr>
              <w:rPr>
                <w:rFonts w:ascii="Arial"/>
                <w:color w:val="auto"/>
                <w:sz w:val="21"/>
                <w:highlight w:val="none"/>
              </w:rPr>
            </w:pPr>
          </w:p>
        </w:tc>
        <w:tc>
          <w:tcPr>
            <w:tcW w:w="1717" w:type="dxa"/>
            <w:tcBorders>
              <w:right w:val="single" w:color="000000" w:sz="10" w:space="0"/>
            </w:tcBorders>
            <w:vAlign w:val="top"/>
          </w:tcPr>
          <w:p w14:paraId="0424B8CF">
            <w:pPr>
              <w:rPr>
                <w:rFonts w:ascii="Arial"/>
                <w:color w:val="auto"/>
                <w:sz w:val="21"/>
                <w:highlight w:val="none"/>
              </w:rPr>
            </w:pPr>
          </w:p>
        </w:tc>
      </w:tr>
      <w:tr w14:paraId="5E3E5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15EFC2AD">
            <w:pPr>
              <w:rPr>
                <w:rFonts w:ascii="Arial"/>
                <w:color w:val="auto"/>
                <w:sz w:val="21"/>
                <w:highlight w:val="none"/>
              </w:rPr>
            </w:pPr>
          </w:p>
        </w:tc>
        <w:tc>
          <w:tcPr>
            <w:tcW w:w="1983" w:type="dxa"/>
            <w:vAlign w:val="top"/>
          </w:tcPr>
          <w:p w14:paraId="5EEB991C">
            <w:pPr>
              <w:rPr>
                <w:rFonts w:ascii="Arial"/>
                <w:color w:val="auto"/>
                <w:sz w:val="21"/>
                <w:highlight w:val="none"/>
              </w:rPr>
            </w:pPr>
          </w:p>
        </w:tc>
        <w:tc>
          <w:tcPr>
            <w:tcW w:w="847" w:type="dxa"/>
            <w:vAlign w:val="top"/>
          </w:tcPr>
          <w:p w14:paraId="51F62838">
            <w:pPr>
              <w:rPr>
                <w:rFonts w:ascii="Arial"/>
                <w:color w:val="auto"/>
                <w:sz w:val="21"/>
                <w:highlight w:val="none"/>
              </w:rPr>
            </w:pPr>
          </w:p>
        </w:tc>
        <w:tc>
          <w:tcPr>
            <w:tcW w:w="771" w:type="dxa"/>
            <w:vAlign w:val="top"/>
          </w:tcPr>
          <w:p w14:paraId="0C8B5A4C">
            <w:pPr>
              <w:rPr>
                <w:rFonts w:ascii="Arial"/>
                <w:color w:val="auto"/>
                <w:sz w:val="21"/>
                <w:highlight w:val="none"/>
              </w:rPr>
            </w:pPr>
          </w:p>
        </w:tc>
        <w:tc>
          <w:tcPr>
            <w:tcW w:w="1350" w:type="dxa"/>
            <w:vAlign w:val="top"/>
          </w:tcPr>
          <w:p w14:paraId="52E807F1">
            <w:pPr>
              <w:rPr>
                <w:rFonts w:ascii="Arial"/>
                <w:color w:val="auto"/>
                <w:sz w:val="21"/>
                <w:highlight w:val="none"/>
              </w:rPr>
            </w:pPr>
          </w:p>
        </w:tc>
        <w:tc>
          <w:tcPr>
            <w:tcW w:w="1413" w:type="dxa"/>
            <w:vAlign w:val="top"/>
          </w:tcPr>
          <w:p w14:paraId="4E361CFD">
            <w:pPr>
              <w:rPr>
                <w:rFonts w:ascii="Arial"/>
                <w:color w:val="auto"/>
                <w:sz w:val="21"/>
                <w:highlight w:val="none"/>
              </w:rPr>
            </w:pPr>
          </w:p>
        </w:tc>
        <w:tc>
          <w:tcPr>
            <w:tcW w:w="1717" w:type="dxa"/>
            <w:tcBorders>
              <w:right w:val="single" w:color="000000" w:sz="10" w:space="0"/>
            </w:tcBorders>
            <w:vAlign w:val="top"/>
          </w:tcPr>
          <w:p w14:paraId="770BC3C6">
            <w:pPr>
              <w:rPr>
                <w:rFonts w:ascii="Arial"/>
                <w:color w:val="auto"/>
                <w:sz w:val="21"/>
                <w:highlight w:val="none"/>
              </w:rPr>
            </w:pPr>
          </w:p>
        </w:tc>
      </w:tr>
      <w:tr w14:paraId="6B312A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00AA684D">
            <w:pPr>
              <w:rPr>
                <w:rFonts w:ascii="Arial"/>
                <w:color w:val="auto"/>
                <w:sz w:val="21"/>
                <w:highlight w:val="none"/>
              </w:rPr>
            </w:pPr>
          </w:p>
        </w:tc>
        <w:tc>
          <w:tcPr>
            <w:tcW w:w="1983" w:type="dxa"/>
            <w:vAlign w:val="top"/>
          </w:tcPr>
          <w:p w14:paraId="526D3A85">
            <w:pPr>
              <w:rPr>
                <w:rFonts w:ascii="Arial"/>
                <w:color w:val="auto"/>
                <w:sz w:val="21"/>
                <w:highlight w:val="none"/>
              </w:rPr>
            </w:pPr>
          </w:p>
        </w:tc>
        <w:tc>
          <w:tcPr>
            <w:tcW w:w="847" w:type="dxa"/>
            <w:vAlign w:val="top"/>
          </w:tcPr>
          <w:p w14:paraId="3B38ADFD">
            <w:pPr>
              <w:rPr>
                <w:rFonts w:ascii="Arial"/>
                <w:color w:val="auto"/>
                <w:sz w:val="21"/>
                <w:highlight w:val="none"/>
              </w:rPr>
            </w:pPr>
          </w:p>
        </w:tc>
        <w:tc>
          <w:tcPr>
            <w:tcW w:w="771" w:type="dxa"/>
            <w:vAlign w:val="top"/>
          </w:tcPr>
          <w:p w14:paraId="46071EE1">
            <w:pPr>
              <w:rPr>
                <w:rFonts w:ascii="Arial"/>
                <w:color w:val="auto"/>
                <w:sz w:val="21"/>
                <w:highlight w:val="none"/>
              </w:rPr>
            </w:pPr>
          </w:p>
        </w:tc>
        <w:tc>
          <w:tcPr>
            <w:tcW w:w="1350" w:type="dxa"/>
            <w:vAlign w:val="top"/>
          </w:tcPr>
          <w:p w14:paraId="58B1E8AA">
            <w:pPr>
              <w:rPr>
                <w:rFonts w:ascii="Arial"/>
                <w:color w:val="auto"/>
                <w:sz w:val="21"/>
                <w:highlight w:val="none"/>
              </w:rPr>
            </w:pPr>
          </w:p>
        </w:tc>
        <w:tc>
          <w:tcPr>
            <w:tcW w:w="1413" w:type="dxa"/>
            <w:vAlign w:val="top"/>
          </w:tcPr>
          <w:p w14:paraId="6401B678">
            <w:pPr>
              <w:rPr>
                <w:rFonts w:ascii="Arial"/>
                <w:color w:val="auto"/>
                <w:sz w:val="21"/>
                <w:highlight w:val="none"/>
              </w:rPr>
            </w:pPr>
          </w:p>
        </w:tc>
        <w:tc>
          <w:tcPr>
            <w:tcW w:w="1717" w:type="dxa"/>
            <w:tcBorders>
              <w:right w:val="single" w:color="000000" w:sz="10" w:space="0"/>
            </w:tcBorders>
            <w:vAlign w:val="top"/>
          </w:tcPr>
          <w:p w14:paraId="00A12AC3">
            <w:pPr>
              <w:rPr>
                <w:rFonts w:ascii="Arial"/>
                <w:color w:val="auto"/>
                <w:sz w:val="21"/>
                <w:highlight w:val="none"/>
              </w:rPr>
            </w:pPr>
          </w:p>
        </w:tc>
      </w:tr>
      <w:tr w14:paraId="723D8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66D5EE4B">
            <w:pPr>
              <w:rPr>
                <w:rFonts w:ascii="Arial"/>
                <w:color w:val="auto"/>
                <w:sz w:val="21"/>
                <w:highlight w:val="none"/>
              </w:rPr>
            </w:pPr>
          </w:p>
        </w:tc>
        <w:tc>
          <w:tcPr>
            <w:tcW w:w="1983" w:type="dxa"/>
            <w:vAlign w:val="top"/>
          </w:tcPr>
          <w:p w14:paraId="0D195DDE">
            <w:pPr>
              <w:rPr>
                <w:rFonts w:ascii="Arial"/>
                <w:color w:val="auto"/>
                <w:sz w:val="21"/>
                <w:highlight w:val="none"/>
              </w:rPr>
            </w:pPr>
          </w:p>
        </w:tc>
        <w:tc>
          <w:tcPr>
            <w:tcW w:w="847" w:type="dxa"/>
            <w:vAlign w:val="top"/>
          </w:tcPr>
          <w:p w14:paraId="5A2E5E1C">
            <w:pPr>
              <w:rPr>
                <w:rFonts w:ascii="Arial"/>
                <w:color w:val="auto"/>
                <w:sz w:val="21"/>
                <w:highlight w:val="none"/>
              </w:rPr>
            </w:pPr>
          </w:p>
        </w:tc>
        <w:tc>
          <w:tcPr>
            <w:tcW w:w="771" w:type="dxa"/>
            <w:vAlign w:val="top"/>
          </w:tcPr>
          <w:p w14:paraId="16F8289A">
            <w:pPr>
              <w:rPr>
                <w:rFonts w:ascii="Arial"/>
                <w:color w:val="auto"/>
                <w:sz w:val="21"/>
                <w:highlight w:val="none"/>
              </w:rPr>
            </w:pPr>
          </w:p>
        </w:tc>
        <w:tc>
          <w:tcPr>
            <w:tcW w:w="1350" w:type="dxa"/>
            <w:vAlign w:val="top"/>
          </w:tcPr>
          <w:p w14:paraId="53B82006">
            <w:pPr>
              <w:rPr>
                <w:rFonts w:ascii="Arial"/>
                <w:color w:val="auto"/>
                <w:sz w:val="21"/>
                <w:highlight w:val="none"/>
              </w:rPr>
            </w:pPr>
          </w:p>
        </w:tc>
        <w:tc>
          <w:tcPr>
            <w:tcW w:w="1413" w:type="dxa"/>
            <w:vAlign w:val="top"/>
          </w:tcPr>
          <w:p w14:paraId="183F6D26">
            <w:pPr>
              <w:rPr>
                <w:rFonts w:ascii="Arial"/>
                <w:color w:val="auto"/>
                <w:sz w:val="21"/>
                <w:highlight w:val="none"/>
              </w:rPr>
            </w:pPr>
          </w:p>
        </w:tc>
        <w:tc>
          <w:tcPr>
            <w:tcW w:w="1717" w:type="dxa"/>
            <w:tcBorders>
              <w:right w:val="single" w:color="000000" w:sz="10" w:space="0"/>
            </w:tcBorders>
            <w:vAlign w:val="top"/>
          </w:tcPr>
          <w:p w14:paraId="5ACD2DCC">
            <w:pPr>
              <w:rPr>
                <w:rFonts w:ascii="Arial"/>
                <w:color w:val="auto"/>
                <w:sz w:val="21"/>
                <w:highlight w:val="none"/>
              </w:rPr>
            </w:pPr>
          </w:p>
        </w:tc>
      </w:tr>
      <w:tr w14:paraId="0B6E9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405DA743">
            <w:pPr>
              <w:rPr>
                <w:rFonts w:ascii="Arial"/>
                <w:color w:val="auto"/>
                <w:sz w:val="21"/>
                <w:highlight w:val="none"/>
              </w:rPr>
            </w:pPr>
          </w:p>
        </w:tc>
        <w:tc>
          <w:tcPr>
            <w:tcW w:w="1983" w:type="dxa"/>
            <w:vAlign w:val="top"/>
          </w:tcPr>
          <w:p w14:paraId="5DCED684">
            <w:pPr>
              <w:rPr>
                <w:rFonts w:ascii="Arial"/>
                <w:color w:val="auto"/>
                <w:sz w:val="21"/>
                <w:highlight w:val="none"/>
              </w:rPr>
            </w:pPr>
          </w:p>
        </w:tc>
        <w:tc>
          <w:tcPr>
            <w:tcW w:w="847" w:type="dxa"/>
            <w:vAlign w:val="top"/>
          </w:tcPr>
          <w:p w14:paraId="72F24032">
            <w:pPr>
              <w:rPr>
                <w:rFonts w:ascii="Arial"/>
                <w:color w:val="auto"/>
                <w:sz w:val="21"/>
                <w:highlight w:val="none"/>
              </w:rPr>
            </w:pPr>
          </w:p>
        </w:tc>
        <w:tc>
          <w:tcPr>
            <w:tcW w:w="771" w:type="dxa"/>
            <w:vAlign w:val="top"/>
          </w:tcPr>
          <w:p w14:paraId="4A936B3F">
            <w:pPr>
              <w:rPr>
                <w:rFonts w:ascii="Arial"/>
                <w:color w:val="auto"/>
                <w:sz w:val="21"/>
                <w:highlight w:val="none"/>
              </w:rPr>
            </w:pPr>
          </w:p>
        </w:tc>
        <w:tc>
          <w:tcPr>
            <w:tcW w:w="1350" w:type="dxa"/>
            <w:vAlign w:val="top"/>
          </w:tcPr>
          <w:p w14:paraId="2634F951">
            <w:pPr>
              <w:rPr>
                <w:rFonts w:ascii="Arial"/>
                <w:color w:val="auto"/>
                <w:sz w:val="21"/>
                <w:highlight w:val="none"/>
              </w:rPr>
            </w:pPr>
          </w:p>
        </w:tc>
        <w:tc>
          <w:tcPr>
            <w:tcW w:w="1413" w:type="dxa"/>
            <w:vAlign w:val="top"/>
          </w:tcPr>
          <w:p w14:paraId="505B1550">
            <w:pPr>
              <w:rPr>
                <w:rFonts w:ascii="Arial"/>
                <w:color w:val="auto"/>
                <w:sz w:val="21"/>
                <w:highlight w:val="none"/>
              </w:rPr>
            </w:pPr>
          </w:p>
        </w:tc>
        <w:tc>
          <w:tcPr>
            <w:tcW w:w="1717" w:type="dxa"/>
            <w:tcBorders>
              <w:right w:val="single" w:color="000000" w:sz="10" w:space="0"/>
            </w:tcBorders>
            <w:vAlign w:val="top"/>
          </w:tcPr>
          <w:p w14:paraId="76E3809D">
            <w:pPr>
              <w:rPr>
                <w:rFonts w:ascii="Arial"/>
                <w:color w:val="auto"/>
                <w:sz w:val="21"/>
                <w:highlight w:val="none"/>
              </w:rPr>
            </w:pPr>
          </w:p>
        </w:tc>
      </w:tr>
      <w:tr w14:paraId="33836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tcBorders>
              <w:left w:val="single" w:color="000000" w:sz="10" w:space="0"/>
              <w:bottom w:val="single" w:color="000000" w:sz="10" w:space="0"/>
            </w:tcBorders>
            <w:vAlign w:val="top"/>
          </w:tcPr>
          <w:p w14:paraId="596FD0D0">
            <w:pPr>
              <w:rPr>
                <w:rFonts w:ascii="Arial"/>
                <w:color w:val="auto"/>
                <w:sz w:val="21"/>
                <w:highlight w:val="none"/>
              </w:rPr>
            </w:pPr>
          </w:p>
        </w:tc>
        <w:tc>
          <w:tcPr>
            <w:tcW w:w="1983" w:type="dxa"/>
            <w:tcBorders>
              <w:bottom w:val="single" w:color="000000" w:sz="10" w:space="0"/>
            </w:tcBorders>
            <w:vAlign w:val="top"/>
          </w:tcPr>
          <w:p w14:paraId="45519F4A">
            <w:pPr>
              <w:rPr>
                <w:rFonts w:ascii="Arial"/>
                <w:color w:val="auto"/>
                <w:sz w:val="21"/>
                <w:highlight w:val="none"/>
              </w:rPr>
            </w:pPr>
          </w:p>
        </w:tc>
        <w:tc>
          <w:tcPr>
            <w:tcW w:w="847" w:type="dxa"/>
            <w:tcBorders>
              <w:bottom w:val="single" w:color="000000" w:sz="10" w:space="0"/>
            </w:tcBorders>
            <w:vAlign w:val="top"/>
          </w:tcPr>
          <w:p w14:paraId="4FD14631">
            <w:pPr>
              <w:rPr>
                <w:rFonts w:ascii="Arial"/>
                <w:color w:val="auto"/>
                <w:sz w:val="21"/>
                <w:highlight w:val="none"/>
              </w:rPr>
            </w:pPr>
          </w:p>
        </w:tc>
        <w:tc>
          <w:tcPr>
            <w:tcW w:w="771" w:type="dxa"/>
            <w:tcBorders>
              <w:bottom w:val="single" w:color="000000" w:sz="10" w:space="0"/>
            </w:tcBorders>
            <w:vAlign w:val="top"/>
          </w:tcPr>
          <w:p w14:paraId="484117CD">
            <w:pPr>
              <w:rPr>
                <w:rFonts w:ascii="Arial"/>
                <w:color w:val="auto"/>
                <w:sz w:val="21"/>
                <w:highlight w:val="none"/>
              </w:rPr>
            </w:pPr>
          </w:p>
        </w:tc>
        <w:tc>
          <w:tcPr>
            <w:tcW w:w="1350" w:type="dxa"/>
            <w:tcBorders>
              <w:bottom w:val="single" w:color="000000" w:sz="10" w:space="0"/>
            </w:tcBorders>
            <w:vAlign w:val="top"/>
          </w:tcPr>
          <w:p w14:paraId="3A85AAF6">
            <w:pPr>
              <w:rPr>
                <w:rFonts w:ascii="Arial"/>
                <w:color w:val="auto"/>
                <w:sz w:val="21"/>
                <w:highlight w:val="none"/>
              </w:rPr>
            </w:pPr>
          </w:p>
        </w:tc>
        <w:tc>
          <w:tcPr>
            <w:tcW w:w="1413" w:type="dxa"/>
            <w:tcBorders>
              <w:bottom w:val="single" w:color="000000" w:sz="10" w:space="0"/>
            </w:tcBorders>
            <w:vAlign w:val="top"/>
          </w:tcPr>
          <w:p w14:paraId="0DEEBA85">
            <w:pPr>
              <w:rPr>
                <w:rFonts w:ascii="Arial"/>
                <w:color w:val="auto"/>
                <w:sz w:val="21"/>
                <w:highlight w:val="none"/>
              </w:rPr>
            </w:pPr>
          </w:p>
        </w:tc>
        <w:tc>
          <w:tcPr>
            <w:tcW w:w="1717" w:type="dxa"/>
            <w:tcBorders>
              <w:bottom w:val="single" w:color="000000" w:sz="10" w:space="0"/>
              <w:right w:val="single" w:color="000000" w:sz="10" w:space="0"/>
            </w:tcBorders>
            <w:vAlign w:val="top"/>
          </w:tcPr>
          <w:p w14:paraId="17C9579A">
            <w:pPr>
              <w:rPr>
                <w:rFonts w:ascii="Arial"/>
                <w:color w:val="auto"/>
                <w:sz w:val="21"/>
                <w:highlight w:val="none"/>
              </w:rPr>
            </w:pPr>
          </w:p>
        </w:tc>
      </w:tr>
    </w:tbl>
    <w:p w14:paraId="71396889">
      <w:pPr>
        <w:pStyle w:val="3"/>
        <w:rPr>
          <w:color w:val="auto"/>
          <w:highlight w:val="none"/>
        </w:rPr>
      </w:pPr>
    </w:p>
    <w:p w14:paraId="523D0814">
      <w:pPr>
        <w:rPr>
          <w:color w:val="auto"/>
          <w:highlight w:val="none"/>
        </w:rPr>
        <w:sectPr>
          <w:footerReference r:id="rId171" w:type="default"/>
          <w:pgSz w:w="11905" w:h="16839"/>
          <w:pgMar w:top="400" w:right="1114" w:bottom="1004" w:left="1680" w:header="0" w:footer="828" w:gutter="0"/>
          <w:pgNumType w:fmt="decimal"/>
          <w:cols w:space="720" w:num="1"/>
        </w:sectPr>
      </w:pPr>
    </w:p>
    <w:p w14:paraId="76ED6C4E">
      <w:pPr>
        <w:pStyle w:val="3"/>
        <w:spacing w:line="265" w:lineRule="auto"/>
        <w:rPr>
          <w:color w:val="auto"/>
          <w:highlight w:val="none"/>
        </w:rPr>
      </w:pPr>
    </w:p>
    <w:p w14:paraId="44B51CDC">
      <w:pPr>
        <w:pStyle w:val="3"/>
        <w:spacing w:line="265" w:lineRule="auto"/>
        <w:rPr>
          <w:color w:val="auto"/>
          <w:highlight w:val="none"/>
        </w:rPr>
      </w:pPr>
    </w:p>
    <w:p w14:paraId="51DFD9E5">
      <w:pPr>
        <w:pStyle w:val="3"/>
        <w:spacing w:line="265" w:lineRule="auto"/>
        <w:rPr>
          <w:color w:val="auto"/>
          <w:highlight w:val="none"/>
        </w:rPr>
      </w:pPr>
    </w:p>
    <w:p w14:paraId="25AAC75A">
      <w:pPr>
        <w:pStyle w:val="3"/>
        <w:spacing w:line="266" w:lineRule="auto"/>
        <w:rPr>
          <w:color w:val="auto"/>
          <w:highlight w:val="none"/>
        </w:rPr>
      </w:pPr>
    </w:p>
    <w:p w14:paraId="27BF3E3F">
      <w:pPr>
        <w:spacing w:before="88" w:line="225" w:lineRule="auto"/>
        <w:ind w:left="2742"/>
        <w:rPr>
          <w:rFonts w:ascii="黑体" w:hAnsi="黑体" w:eastAsia="黑体" w:cs="黑体"/>
          <w:color w:val="auto"/>
          <w:sz w:val="27"/>
          <w:szCs w:val="27"/>
          <w:highlight w:val="none"/>
        </w:rPr>
      </w:pPr>
      <w:bookmarkStart w:id="1290" w:name="bookmark236"/>
      <w:bookmarkEnd w:id="1290"/>
      <w:r>
        <w:rPr>
          <w:rFonts w:ascii="Times New Roman" w:hAnsi="Times New Roman" w:eastAsia="Times New Roman" w:cs="Times New Roman"/>
          <w:color w:val="auto"/>
          <w:spacing w:val="2"/>
          <w:sz w:val="24"/>
          <w:szCs w:val="24"/>
          <w:highlight w:val="none"/>
        </w:rPr>
        <w:t>11-3</w:t>
      </w:r>
      <w:r>
        <w:rPr>
          <w:rFonts w:ascii="宋体" w:hAnsi="宋体" w:eastAsia="宋体" w:cs="宋体"/>
          <w:color w:val="auto"/>
          <w:spacing w:val="2"/>
          <w:sz w:val="24"/>
          <w:szCs w:val="24"/>
          <w:highlight w:val="none"/>
        </w:rPr>
        <w:t>：</w:t>
      </w:r>
      <w:r>
        <w:rPr>
          <w:rFonts w:ascii="黑体" w:hAnsi="黑体" w:eastAsia="黑体" w:cs="黑体"/>
          <w:color w:val="auto"/>
          <w:spacing w:val="2"/>
          <w:sz w:val="27"/>
          <w:szCs w:val="27"/>
          <w:highlight w:val="none"/>
        </w:rPr>
        <w:t>专业工程暂估价表</w:t>
      </w:r>
    </w:p>
    <w:p w14:paraId="1D62A455">
      <w:pPr>
        <w:spacing w:line="117" w:lineRule="exact"/>
        <w:rPr>
          <w:color w:val="auto"/>
          <w:highlight w:val="none"/>
        </w:rPr>
      </w:pPr>
    </w:p>
    <w:tbl>
      <w:tblPr>
        <w:tblStyle w:val="10"/>
        <w:tblW w:w="8825"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8"/>
        <w:gridCol w:w="1983"/>
        <w:gridCol w:w="4664"/>
        <w:gridCol w:w="1290"/>
      </w:tblGrid>
      <w:tr w14:paraId="7A6A7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888" w:type="dxa"/>
            <w:tcBorders>
              <w:top w:val="single" w:color="000000" w:sz="10" w:space="0"/>
              <w:left w:val="single" w:color="000000" w:sz="10" w:space="0"/>
            </w:tcBorders>
            <w:vAlign w:val="top"/>
          </w:tcPr>
          <w:p w14:paraId="0B11E4A6">
            <w:pPr>
              <w:pStyle w:val="11"/>
              <w:spacing w:before="177" w:line="222" w:lineRule="auto"/>
              <w:ind w:left="227"/>
              <w:rPr>
                <w:color w:val="auto"/>
                <w:highlight w:val="none"/>
              </w:rPr>
            </w:pPr>
            <w:r>
              <w:rPr>
                <w:color w:val="auto"/>
                <w:spacing w:val="-2"/>
                <w:highlight w:val="none"/>
              </w:rPr>
              <w:t>序号</w:t>
            </w:r>
          </w:p>
        </w:tc>
        <w:tc>
          <w:tcPr>
            <w:tcW w:w="1983" w:type="dxa"/>
            <w:tcBorders>
              <w:top w:val="single" w:color="000000" w:sz="10" w:space="0"/>
            </w:tcBorders>
            <w:vAlign w:val="top"/>
          </w:tcPr>
          <w:p w14:paraId="1AA82C96">
            <w:pPr>
              <w:pStyle w:val="11"/>
              <w:spacing w:before="177" w:line="221" w:lineRule="auto"/>
              <w:ind w:left="362"/>
              <w:rPr>
                <w:color w:val="auto"/>
                <w:highlight w:val="none"/>
              </w:rPr>
            </w:pPr>
            <w:r>
              <w:rPr>
                <w:color w:val="auto"/>
                <w:spacing w:val="-1"/>
                <w:highlight w:val="none"/>
              </w:rPr>
              <w:t>专业工程名称</w:t>
            </w:r>
          </w:p>
        </w:tc>
        <w:tc>
          <w:tcPr>
            <w:tcW w:w="4664" w:type="dxa"/>
            <w:tcBorders>
              <w:top w:val="single" w:color="000000" w:sz="10" w:space="0"/>
            </w:tcBorders>
            <w:vAlign w:val="top"/>
          </w:tcPr>
          <w:p w14:paraId="44716059">
            <w:pPr>
              <w:pStyle w:val="11"/>
              <w:spacing w:before="177" w:line="221" w:lineRule="auto"/>
              <w:ind w:left="1924"/>
              <w:rPr>
                <w:color w:val="auto"/>
                <w:highlight w:val="none"/>
              </w:rPr>
            </w:pPr>
            <w:r>
              <w:rPr>
                <w:color w:val="auto"/>
                <w:spacing w:val="-2"/>
                <w:highlight w:val="none"/>
              </w:rPr>
              <w:t>工程内容</w:t>
            </w:r>
          </w:p>
        </w:tc>
        <w:tc>
          <w:tcPr>
            <w:tcW w:w="1290" w:type="dxa"/>
            <w:tcBorders>
              <w:top w:val="single" w:color="000000" w:sz="10" w:space="0"/>
              <w:right w:val="single" w:color="000000" w:sz="10" w:space="0"/>
            </w:tcBorders>
            <w:vAlign w:val="top"/>
          </w:tcPr>
          <w:p w14:paraId="66AA04D4">
            <w:pPr>
              <w:pStyle w:val="11"/>
              <w:spacing w:before="177" w:line="221" w:lineRule="auto"/>
              <w:ind w:left="443"/>
              <w:rPr>
                <w:color w:val="auto"/>
                <w:highlight w:val="none"/>
              </w:rPr>
            </w:pPr>
            <w:r>
              <w:rPr>
                <w:color w:val="auto"/>
                <w:spacing w:val="-2"/>
                <w:highlight w:val="none"/>
              </w:rPr>
              <w:t>金额</w:t>
            </w:r>
          </w:p>
        </w:tc>
      </w:tr>
      <w:tr w14:paraId="08D9F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888" w:type="dxa"/>
            <w:tcBorders>
              <w:left w:val="single" w:color="000000" w:sz="10" w:space="0"/>
            </w:tcBorders>
            <w:vAlign w:val="top"/>
          </w:tcPr>
          <w:p w14:paraId="3F007216">
            <w:pPr>
              <w:rPr>
                <w:rFonts w:ascii="Arial"/>
                <w:color w:val="auto"/>
                <w:sz w:val="21"/>
                <w:highlight w:val="none"/>
              </w:rPr>
            </w:pPr>
          </w:p>
        </w:tc>
        <w:tc>
          <w:tcPr>
            <w:tcW w:w="1983" w:type="dxa"/>
            <w:vAlign w:val="top"/>
          </w:tcPr>
          <w:p w14:paraId="5EB45CBA">
            <w:pPr>
              <w:rPr>
                <w:rFonts w:ascii="Arial"/>
                <w:color w:val="auto"/>
                <w:sz w:val="21"/>
                <w:highlight w:val="none"/>
              </w:rPr>
            </w:pPr>
          </w:p>
        </w:tc>
        <w:tc>
          <w:tcPr>
            <w:tcW w:w="4664" w:type="dxa"/>
            <w:vAlign w:val="top"/>
          </w:tcPr>
          <w:p w14:paraId="4C59A60B">
            <w:pPr>
              <w:rPr>
                <w:rFonts w:ascii="Arial"/>
                <w:color w:val="auto"/>
                <w:sz w:val="21"/>
                <w:highlight w:val="none"/>
              </w:rPr>
            </w:pPr>
          </w:p>
        </w:tc>
        <w:tc>
          <w:tcPr>
            <w:tcW w:w="1290" w:type="dxa"/>
            <w:tcBorders>
              <w:right w:val="single" w:color="000000" w:sz="10" w:space="0"/>
            </w:tcBorders>
            <w:vAlign w:val="top"/>
          </w:tcPr>
          <w:p w14:paraId="1F287651">
            <w:pPr>
              <w:rPr>
                <w:rFonts w:ascii="Arial"/>
                <w:color w:val="auto"/>
                <w:sz w:val="21"/>
                <w:highlight w:val="none"/>
              </w:rPr>
            </w:pPr>
          </w:p>
        </w:tc>
      </w:tr>
      <w:tr w14:paraId="1905A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1F1285F7">
            <w:pPr>
              <w:rPr>
                <w:rFonts w:ascii="Arial"/>
                <w:color w:val="auto"/>
                <w:sz w:val="21"/>
                <w:highlight w:val="none"/>
              </w:rPr>
            </w:pPr>
          </w:p>
        </w:tc>
        <w:tc>
          <w:tcPr>
            <w:tcW w:w="1983" w:type="dxa"/>
            <w:vAlign w:val="top"/>
          </w:tcPr>
          <w:p w14:paraId="65FF9DF2">
            <w:pPr>
              <w:rPr>
                <w:rFonts w:ascii="Arial"/>
                <w:color w:val="auto"/>
                <w:sz w:val="21"/>
                <w:highlight w:val="none"/>
              </w:rPr>
            </w:pPr>
          </w:p>
        </w:tc>
        <w:tc>
          <w:tcPr>
            <w:tcW w:w="4664" w:type="dxa"/>
            <w:vAlign w:val="top"/>
          </w:tcPr>
          <w:p w14:paraId="3FC212A9">
            <w:pPr>
              <w:rPr>
                <w:rFonts w:ascii="Arial"/>
                <w:color w:val="auto"/>
                <w:sz w:val="21"/>
                <w:highlight w:val="none"/>
              </w:rPr>
            </w:pPr>
          </w:p>
        </w:tc>
        <w:tc>
          <w:tcPr>
            <w:tcW w:w="1290" w:type="dxa"/>
            <w:tcBorders>
              <w:right w:val="single" w:color="000000" w:sz="10" w:space="0"/>
            </w:tcBorders>
            <w:vAlign w:val="top"/>
          </w:tcPr>
          <w:p w14:paraId="00495653">
            <w:pPr>
              <w:rPr>
                <w:rFonts w:ascii="Arial"/>
                <w:color w:val="auto"/>
                <w:sz w:val="21"/>
                <w:highlight w:val="none"/>
              </w:rPr>
            </w:pPr>
          </w:p>
        </w:tc>
      </w:tr>
      <w:tr w14:paraId="3F9CD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261667BA">
            <w:pPr>
              <w:rPr>
                <w:rFonts w:ascii="Arial"/>
                <w:color w:val="auto"/>
                <w:sz w:val="21"/>
                <w:highlight w:val="none"/>
              </w:rPr>
            </w:pPr>
          </w:p>
        </w:tc>
        <w:tc>
          <w:tcPr>
            <w:tcW w:w="1983" w:type="dxa"/>
            <w:vAlign w:val="top"/>
          </w:tcPr>
          <w:p w14:paraId="17B103BD">
            <w:pPr>
              <w:rPr>
                <w:rFonts w:ascii="Arial"/>
                <w:color w:val="auto"/>
                <w:sz w:val="21"/>
                <w:highlight w:val="none"/>
              </w:rPr>
            </w:pPr>
          </w:p>
        </w:tc>
        <w:tc>
          <w:tcPr>
            <w:tcW w:w="4664" w:type="dxa"/>
            <w:vAlign w:val="top"/>
          </w:tcPr>
          <w:p w14:paraId="0FAED6CA">
            <w:pPr>
              <w:rPr>
                <w:rFonts w:ascii="Arial"/>
                <w:color w:val="auto"/>
                <w:sz w:val="21"/>
                <w:highlight w:val="none"/>
              </w:rPr>
            </w:pPr>
          </w:p>
        </w:tc>
        <w:tc>
          <w:tcPr>
            <w:tcW w:w="1290" w:type="dxa"/>
            <w:tcBorders>
              <w:right w:val="single" w:color="000000" w:sz="10" w:space="0"/>
            </w:tcBorders>
            <w:vAlign w:val="top"/>
          </w:tcPr>
          <w:p w14:paraId="79F03282">
            <w:pPr>
              <w:rPr>
                <w:rFonts w:ascii="Arial"/>
                <w:color w:val="auto"/>
                <w:sz w:val="21"/>
                <w:highlight w:val="none"/>
              </w:rPr>
            </w:pPr>
          </w:p>
        </w:tc>
      </w:tr>
      <w:tr w14:paraId="7A1CC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27F3FB11">
            <w:pPr>
              <w:rPr>
                <w:rFonts w:ascii="Arial"/>
                <w:color w:val="auto"/>
                <w:sz w:val="21"/>
                <w:highlight w:val="none"/>
              </w:rPr>
            </w:pPr>
          </w:p>
        </w:tc>
        <w:tc>
          <w:tcPr>
            <w:tcW w:w="1983" w:type="dxa"/>
            <w:vAlign w:val="top"/>
          </w:tcPr>
          <w:p w14:paraId="29281B06">
            <w:pPr>
              <w:rPr>
                <w:rFonts w:ascii="Arial"/>
                <w:color w:val="auto"/>
                <w:sz w:val="21"/>
                <w:highlight w:val="none"/>
              </w:rPr>
            </w:pPr>
          </w:p>
        </w:tc>
        <w:tc>
          <w:tcPr>
            <w:tcW w:w="4664" w:type="dxa"/>
            <w:vAlign w:val="top"/>
          </w:tcPr>
          <w:p w14:paraId="4AEE2D6E">
            <w:pPr>
              <w:rPr>
                <w:rFonts w:ascii="Arial"/>
                <w:color w:val="auto"/>
                <w:sz w:val="21"/>
                <w:highlight w:val="none"/>
              </w:rPr>
            </w:pPr>
          </w:p>
        </w:tc>
        <w:tc>
          <w:tcPr>
            <w:tcW w:w="1290" w:type="dxa"/>
            <w:tcBorders>
              <w:right w:val="single" w:color="000000" w:sz="10" w:space="0"/>
            </w:tcBorders>
            <w:vAlign w:val="top"/>
          </w:tcPr>
          <w:p w14:paraId="695AAD9B">
            <w:pPr>
              <w:rPr>
                <w:rFonts w:ascii="Arial"/>
                <w:color w:val="auto"/>
                <w:sz w:val="21"/>
                <w:highlight w:val="none"/>
              </w:rPr>
            </w:pPr>
          </w:p>
        </w:tc>
      </w:tr>
      <w:tr w14:paraId="2D502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779F8A2B">
            <w:pPr>
              <w:rPr>
                <w:rFonts w:ascii="Arial"/>
                <w:color w:val="auto"/>
                <w:sz w:val="21"/>
                <w:highlight w:val="none"/>
              </w:rPr>
            </w:pPr>
          </w:p>
        </w:tc>
        <w:tc>
          <w:tcPr>
            <w:tcW w:w="1983" w:type="dxa"/>
            <w:vAlign w:val="top"/>
          </w:tcPr>
          <w:p w14:paraId="54E64013">
            <w:pPr>
              <w:rPr>
                <w:rFonts w:ascii="Arial"/>
                <w:color w:val="auto"/>
                <w:sz w:val="21"/>
                <w:highlight w:val="none"/>
              </w:rPr>
            </w:pPr>
          </w:p>
        </w:tc>
        <w:tc>
          <w:tcPr>
            <w:tcW w:w="4664" w:type="dxa"/>
            <w:vAlign w:val="top"/>
          </w:tcPr>
          <w:p w14:paraId="4304F8DD">
            <w:pPr>
              <w:rPr>
                <w:rFonts w:ascii="Arial"/>
                <w:color w:val="auto"/>
                <w:sz w:val="21"/>
                <w:highlight w:val="none"/>
              </w:rPr>
            </w:pPr>
          </w:p>
        </w:tc>
        <w:tc>
          <w:tcPr>
            <w:tcW w:w="1290" w:type="dxa"/>
            <w:tcBorders>
              <w:right w:val="single" w:color="000000" w:sz="10" w:space="0"/>
            </w:tcBorders>
            <w:vAlign w:val="top"/>
          </w:tcPr>
          <w:p w14:paraId="69F35FCA">
            <w:pPr>
              <w:rPr>
                <w:rFonts w:ascii="Arial"/>
                <w:color w:val="auto"/>
                <w:sz w:val="21"/>
                <w:highlight w:val="none"/>
              </w:rPr>
            </w:pPr>
          </w:p>
        </w:tc>
      </w:tr>
      <w:tr w14:paraId="08D55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7D7D3D5A">
            <w:pPr>
              <w:rPr>
                <w:rFonts w:ascii="Arial"/>
                <w:color w:val="auto"/>
                <w:sz w:val="21"/>
                <w:highlight w:val="none"/>
              </w:rPr>
            </w:pPr>
          </w:p>
        </w:tc>
        <w:tc>
          <w:tcPr>
            <w:tcW w:w="1983" w:type="dxa"/>
            <w:vAlign w:val="top"/>
          </w:tcPr>
          <w:p w14:paraId="115CC456">
            <w:pPr>
              <w:rPr>
                <w:rFonts w:ascii="Arial"/>
                <w:color w:val="auto"/>
                <w:sz w:val="21"/>
                <w:highlight w:val="none"/>
              </w:rPr>
            </w:pPr>
          </w:p>
        </w:tc>
        <w:tc>
          <w:tcPr>
            <w:tcW w:w="4664" w:type="dxa"/>
            <w:vAlign w:val="top"/>
          </w:tcPr>
          <w:p w14:paraId="7E910D16">
            <w:pPr>
              <w:rPr>
                <w:rFonts w:ascii="Arial"/>
                <w:color w:val="auto"/>
                <w:sz w:val="21"/>
                <w:highlight w:val="none"/>
              </w:rPr>
            </w:pPr>
          </w:p>
        </w:tc>
        <w:tc>
          <w:tcPr>
            <w:tcW w:w="1290" w:type="dxa"/>
            <w:tcBorders>
              <w:right w:val="single" w:color="000000" w:sz="10" w:space="0"/>
            </w:tcBorders>
            <w:vAlign w:val="top"/>
          </w:tcPr>
          <w:p w14:paraId="24977A6A">
            <w:pPr>
              <w:rPr>
                <w:rFonts w:ascii="Arial"/>
                <w:color w:val="auto"/>
                <w:sz w:val="21"/>
                <w:highlight w:val="none"/>
              </w:rPr>
            </w:pPr>
          </w:p>
        </w:tc>
      </w:tr>
      <w:tr w14:paraId="2CE20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57315746">
            <w:pPr>
              <w:rPr>
                <w:rFonts w:ascii="Arial"/>
                <w:color w:val="auto"/>
                <w:sz w:val="21"/>
                <w:highlight w:val="none"/>
              </w:rPr>
            </w:pPr>
          </w:p>
        </w:tc>
        <w:tc>
          <w:tcPr>
            <w:tcW w:w="1983" w:type="dxa"/>
            <w:vAlign w:val="top"/>
          </w:tcPr>
          <w:p w14:paraId="59229003">
            <w:pPr>
              <w:rPr>
                <w:rFonts w:ascii="Arial"/>
                <w:color w:val="auto"/>
                <w:sz w:val="21"/>
                <w:highlight w:val="none"/>
              </w:rPr>
            </w:pPr>
          </w:p>
        </w:tc>
        <w:tc>
          <w:tcPr>
            <w:tcW w:w="4664" w:type="dxa"/>
            <w:vAlign w:val="top"/>
          </w:tcPr>
          <w:p w14:paraId="639DC460">
            <w:pPr>
              <w:rPr>
                <w:rFonts w:ascii="Arial"/>
                <w:color w:val="auto"/>
                <w:sz w:val="21"/>
                <w:highlight w:val="none"/>
              </w:rPr>
            </w:pPr>
          </w:p>
        </w:tc>
        <w:tc>
          <w:tcPr>
            <w:tcW w:w="1290" w:type="dxa"/>
            <w:tcBorders>
              <w:right w:val="single" w:color="000000" w:sz="10" w:space="0"/>
            </w:tcBorders>
            <w:vAlign w:val="top"/>
          </w:tcPr>
          <w:p w14:paraId="15C5960B">
            <w:pPr>
              <w:rPr>
                <w:rFonts w:ascii="Arial"/>
                <w:color w:val="auto"/>
                <w:sz w:val="21"/>
                <w:highlight w:val="none"/>
              </w:rPr>
            </w:pPr>
          </w:p>
        </w:tc>
      </w:tr>
      <w:tr w14:paraId="68A8D3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00B39F89">
            <w:pPr>
              <w:rPr>
                <w:rFonts w:ascii="Arial"/>
                <w:color w:val="auto"/>
                <w:sz w:val="21"/>
                <w:highlight w:val="none"/>
              </w:rPr>
            </w:pPr>
          </w:p>
        </w:tc>
        <w:tc>
          <w:tcPr>
            <w:tcW w:w="1983" w:type="dxa"/>
            <w:vAlign w:val="top"/>
          </w:tcPr>
          <w:p w14:paraId="156ACA71">
            <w:pPr>
              <w:rPr>
                <w:rFonts w:ascii="Arial"/>
                <w:color w:val="auto"/>
                <w:sz w:val="21"/>
                <w:highlight w:val="none"/>
              </w:rPr>
            </w:pPr>
          </w:p>
        </w:tc>
        <w:tc>
          <w:tcPr>
            <w:tcW w:w="4664" w:type="dxa"/>
            <w:vAlign w:val="top"/>
          </w:tcPr>
          <w:p w14:paraId="4BDF934C">
            <w:pPr>
              <w:rPr>
                <w:rFonts w:ascii="Arial"/>
                <w:color w:val="auto"/>
                <w:sz w:val="21"/>
                <w:highlight w:val="none"/>
              </w:rPr>
            </w:pPr>
          </w:p>
        </w:tc>
        <w:tc>
          <w:tcPr>
            <w:tcW w:w="1290" w:type="dxa"/>
            <w:tcBorders>
              <w:right w:val="single" w:color="000000" w:sz="10" w:space="0"/>
            </w:tcBorders>
            <w:vAlign w:val="top"/>
          </w:tcPr>
          <w:p w14:paraId="685821DB">
            <w:pPr>
              <w:rPr>
                <w:rFonts w:ascii="Arial"/>
                <w:color w:val="auto"/>
                <w:sz w:val="21"/>
                <w:highlight w:val="none"/>
              </w:rPr>
            </w:pPr>
          </w:p>
        </w:tc>
      </w:tr>
      <w:tr w14:paraId="4124C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14:paraId="482BF388">
            <w:pPr>
              <w:rPr>
                <w:rFonts w:ascii="Arial"/>
                <w:color w:val="auto"/>
                <w:sz w:val="21"/>
                <w:highlight w:val="none"/>
              </w:rPr>
            </w:pPr>
          </w:p>
        </w:tc>
        <w:tc>
          <w:tcPr>
            <w:tcW w:w="1983" w:type="dxa"/>
            <w:vAlign w:val="top"/>
          </w:tcPr>
          <w:p w14:paraId="268F84C7">
            <w:pPr>
              <w:rPr>
                <w:rFonts w:ascii="Arial"/>
                <w:color w:val="auto"/>
                <w:sz w:val="21"/>
                <w:highlight w:val="none"/>
              </w:rPr>
            </w:pPr>
          </w:p>
        </w:tc>
        <w:tc>
          <w:tcPr>
            <w:tcW w:w="4664" w:type="dxa"/>
            <w:vAlign w:val="top"/>
          </w:tcPr>
          <w:p w14:paraId="34BCFB2A">
            <w:pPr>
              <w:rPr>
                <w:rFonts w:ascii="Arial"/>
                <w:color w:val="auto"/>
                <w:sz w:val="21"/>
                <w:highlight w:val="none"/>
              </w:rPr>
            </w:pPr>
          </w:p>
        </w:tc>
        <w:tc>
          <w:tcPr>
            <w:tcW w:w="1290" w:type="dxa"/>
            <w:tcBorders>
              <w:right w:val="single" w:color="000000" w:sz="10" w:space="0"/>
            </w:tcBorders>
            <w:vAlign w:val="top"/>
          </w:tcPr>
          <w:p w14:paraId="15E9EFC3">
            <w:pPr>
              <w:rPr>
                <w:rFonts w:ascii="Arial"/>
                <w:color w:val="auto"/>
                <w:sz w:val="21"/>
                <w:highlight w:val="none"/>
              </w:rPr>
            </w:pPr>
          </w:p>
        </w:tc>
      </w:tr>
      <w:tr w14:paraId="50447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63F21EC1">
            <w:pPr>
              <w:rPr>
                <w:rFonts w:ascii="Arial"/>
                <w:color w:val="auto"/>
                <w:sz w:val="21"/>
                <w:highlight w:val="none"/>
              </w:rPr>
            </w:pPr>
          </w:p>
        </w:tc>
        <w:tc>
          <w:tcPr>
            <w:tcW w:w="1983" w:type="dxa"/>
            <w:vAlign w:val="top"/>
          </w:tcPr>
          <w:p w14:paraId="015A808E">
            <w:pPr>
              <w:rPr>
                <w:rFonts w:ascii="Arial"/>
                <w:color w:val="auto"/>
                <w:sz w:val="21"/>
                <w:highlight w:val="none"/>
              </w:rPr>
            </w:pPr>
          </w:p>
        </w:tc>
        <w:tc>
          <w:tcPr>
            <w:tcW w:w="4664" w:type="dxa"/>
            <w:vAlign w:val="top"/>
          </w:tcPr>
          <w:p w14:paraId="2D11FBC2">
            <w:pPr>
              <w:rPr>
                <w:rFonts w:ascii="Arial"/>
                <w:color w:val="auto"/>
                <w:sz w:val="21"/>
                <w:highlight w:val="none"/>
              </w:rPr>
            </w:pPr>
          </w:p>
        </w:tc>
        <w:tc>
          <w:tcPr>
            <w:tcW w:w="1290" w:type="dxa"/>
            <w:tcBorders>
              <w:right w:val="single" w:color="000000" w:sz="10" w:space="0"/>
            </w:tcBorders>
            <w:vAlign w:val="top"/>
          </w:tcPr>
          <w:p w14:paraId="3742DBA3">
            <w:pPr>
              <w:rPr>
                <w:rFonts w:ascii="Arial"/>
                <w:color w:val="auto"/>
                <w:sz w:val="21"/>
                <w:highlight w:val="none"/>
              </w:rPr>
            </w:pPr>
          </w:p>
        </w:tc>
      </w:tr>
      <w:tr w14:paraId="5A75B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2072CAD9">
            <w:pPr>
              <w:rPr>
                <w:rFonts w:ascii="Arial"/>
                <w:color w:val="auto"/>
                <w:sz w:val="21"/>
                <w:highlight w:val="none"/>
              </w:rPr>
            </w:pPr>
          </w:p>
        </w:tc>
        <w:tc>
          <w:tcPr>
            <w:tcW w:w="1983" w:type="dxa"/>
            <w:vAlign w:val="top"/>
          </w:tcPr>
          <w:p w14:paraId="18553165">
            <w:pPr>
              <w:rPr>
                <w:rFonts w:ascii="Arial"/>
                <w:color w:val="auto"/>
                <w:sz w:val="21"/>
                <w:highlight w:val="none"/>
              </w:rPr>
            </w:pPr>
          </w:p>
        </w:tc>
        <w:tc>
          <w:tcPr>
            <w:tcW w:w="4664" w:type="dxa"/>
            <w:vAlign w:val="top"/>
          </w:tcPr>
          <w:p w14:paraId="2EC72AE3">
            <w:pPr>
              <w:rPr>
                <w:rFonts w:ascii="Arial"/>
                <w:color w:val="auto"/>
                <w:sz w:val="21"/>
                <w:highlight w:val="none"/>
              </w:rPr>
            </w:pPr>
          </w:p>
        </w:tc>
        <w:tc>
          <w:tcPr>
            <w:tcW w:w="1290" w:type="dxa"/>
            <w:tcBorders>
              <w:right w:val="single" w:color="000000" w:sz="10" w:space="0"/>
            </w:tcBorders>
            <w:vAlign w:val="top"/>
          </w:tcPr>
          <w:p w14:paraId="6A1CD000">
            <w:pPr>
              <w:rPr>
                <w:rFonts w:ascii="Arial"/>
                <w:color w:val="auto"/>
                <w:sz w:val="21"/>
                <w:highlight w:val="none"/>
              </w:rPr>
            </w:pPr>
          </w:p>
        </w:tc>
      </w:tr>
      <w:tr w14:paraId="1E4EE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208EAEE5">
            <w:pPr>
              <w:rPr>
                <w:rFonts w:ascii="Arial"/>
                <w:color w:val="auto"/>
                <w:sz w:val="21"/>
                <w:highlight w:val="none"/>
              </w:rPr>
            </w:pPr>
          </w:p>
        </w:tc>
        <w:tc>
          <w:tcPr>
            <w:tcW w:w="1983" w:type="dxa"/>
            <w:vAlign w:val="top"/>
          </w:tcPr>
          <w:p w14:paraId="0D618D05">
            <w:pPr>
              <w:rPr>
                <w:rFonts w:ascii="Arial"/>
                <w:color w:val="auto"/>
                <w:sz w:val="21"/>
                <w:highlight w:val="none"/>
              </w:rPr>
            </w:pPr>
          </w:p>
        </w:tc>
        <w:tc>
          <w:tcPr>
            <w:tcW w:w="4664" w:type="dxa"/>
            <w:vAlign w:val="top"/>
          </w:tcPr>
          <w:p w14:paraId="72DF61C4">
            <w:pPr>
              <w:rPr>
                <w:rFonts w:ascii="Arial"/>
                <w:color w:val="auto"/>
                <w:sz w:val="21"/>
                <w:highlight w:val="none"/>
              </w:rPr>
            </w:pPr>
          </w:p>
        </w:tc>
        <w:tc>
          <w:tcPr>
            <w:tcW w:w="1290" w:type="dxa"/>
            <w:tcBorders>
              <w:right w:val="single" w:color="000000" w:sz="10" w:space="0"/>
            </w:tcBorders>
            <w:vAlign w:val="top"/>
          </w:tcPr>
          <w:p w14:paraId="01142771">
            <w:pPr>
              <w:rPr>
                <w:rFonts w:ascii="Arial"/>
                <w:color w:val="auto"/>
                <w:sz w:val="21"/>
                <w:highlight w:val="none"/>
              </w:rPr>
            </w:pPr>
          </w:p>
        </w:tc>
      </w:tr>
      <w:tr w14:paraId="7806A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352F8602">
            <w:pPr>
              <w:rPr>
                <w:rFonts w:ascii="Arial"/>
                <w:color w:val="auto"/>
                <w:sz w:val="21"/>
                <w:highlight w:val="none"/>
              </w:rPr>
            </w:pPr>
          </w:p>
        </w:tc>
        <w:tc>
          <w:tcPr>
            <w:tcW w:w="1983" w:type="dxa"/>
            <w:vAlign w:val="top"/>
          </w:tcPr>
          <w:p w14:paraId="6C348E63">
            <w:pPr>
              <w:rPr>
                <w:rFonts w:ascii="Arial"/>
                <w:color w:val="auto"/>
                <w:sz w:val="21"/>
                <w:highlight w:val="none"/>
              </w:rPr>
            </w:pPr>
          </w:p>
        </w:tc>
        <w:tc>
          <w:tcPr>
            <w:tcW w:w="4664" w:type="dxa"/>
            <w:vAlign w:val="top"/>
          </w:tcPr>
          <w:p w14:paraId="224C1D10">
            <w:pPr>
              <w:rPr>
                <w:rFonts w:ascii="Arial"/>
                <w:color w:val="auto"/>
                <w:sz w:val="21"/>
                <w:highlight w:val="none"/>
              </w:rPr>
            </w:pPr>
          </w:p>
        </w:tc>
        <w:tc>
          <w:tcPr>
            <w:tcW w:w="1290" w:type="dxa"/>
            <w:tcBorders>
              <w:right w:val="single" w:color="000000" w:sz="10" w:space="0"/>
            </w:tcBorders>
            <w:vAlign w:val="top"/>
          </w:tcPr>
          <w:p w14:paraId="5E79B946">
            <w:pPr>
              <w:rPr>
                <w:rFonts w:ascii="Arial"/>
                <w:color w:val="auto"/>
                <w:sz w:val="21"/>
                <w:highlight w:val="none"/>
              </w:rPr>
            </w:pPr>
          </w:p>
        </w:tc>
      </w:tr>
      <w:tr w14:paraId="78BDE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188ABFD8">
            <w:pPr>
              <w:rPr>
                <w:rFonts w:ascii="Arial"/>
                <w:color w:val="auto"/>
                <w:sz w:val="21"/>
                <w:highlight w:val="none"/>
              </w:rPr>
            </w:pPr>
          </w:p>
        </w:tc>
        <w:tc>
          <w:tcPr>
            <w:tcW w:w="1983" w:type="dxa"/>
            <w:vAlign w:val="top"/>
          </w:tcPr>
          <w:p w14:paraId="448B4DB6">
            <w:pPr>
              <w:rPr>
                <w:rFonts w:ascii="Arial"/>
                <w:color w:val="auto"/>
                <w:sz w:val="21"/>
                <w:highlight w:val="none"/>
              </w:rPr>
            </w:pPr>
          </w:p>
        </w:tc>
        <w:tc>
          <w:tcPr>
            <w:tcW w:w="4664" w:type="dxa"/>
            <w:vAlign w:val="top"/>
          </w:tcPr>
          <w:p w14:paraId="74A07F13">
            <w:pPr>
              <w:rPr>
                <w:rFonts w:ascii="Arial"/>
                <w:color w:val="auto"/>
                <w:sz w:val="21"/>
                <w:highlight w:val="none"/>
              </w:rPr>
            </w:pPr>
          </w:p>
        </w:tc>
        <w:tc>
          <w:tcPr>
            <w:tcW w:w="1290" w:type="dxa"/>
            <w:tcBorders>
              <w:right w:val="single" w:color="000000" w:sz="10" w:space="0"/>
            </w:tcBorders>
            <w:vAlign w:val="top"/>
          </w:tcPr>
          <w:p w14:paraId="56A94B3D">
            <w:pPr>
              <w:rPr>
                <w:rFonts w:ascii="Arial"/>
                <w:color w:val="auto"/>
                <w:sz w:val="21"/>
                <w:highlight w:val="none"/>
              </w:rPr>
            </w:pPr>
          </w:p>
        </w:tc>
      </w:tr>
      <w:tr w14:paraId="09C132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4F4CF095">
            <w:pPr>
              <w:rPr>
                <w:rFonts w:ascii="Arial"/>
                <w:color w:val="auto"/>
                <w:sz w:val="21"/>
                <w:highlight w:val="none"/>
              </w:rPr>
            </w:pPr>
          </w:p>
        </w:tc>
        <w:tc>
          <w:tcPr>
            <w:tcW w:w="1983" w:type="dxa"/>
            <w:vAlign w:val="top"/>
          </w:tcPr>
          <w:p w14:paraId="1B461321">
            <w:pPr>
              <w:rPr>
                <w:rFonts w:ascii="Arial"/>
                <w:color w:val="auto"/>
                <w:sz w:val="21"/>
                <w:highlight w:val="none"/>
              </w:rPr>
            </w:pPr>
          </w:p>
        </w:tc>
        <w:tc>
          <w:tcPr>
            <w:tcW w:w="4664" w:type="dxa"/>
            <w:vAlign w:val="top"/>
          </w:tcPr>
          <w:p w14:paraId="7995C28A">
            <w:pPr>
              <w:rPr>
                <w:rFonts w:ascii="Arial"/>
                <w:color w:val="auto"/>
                <w:sz w:val="21"/>
                <w:highlight w:val="none"/>
              </w:rPr>
            </w:pPr>
          </w:p>
        </w:tc>
        <w:tc>
          <w:tcPr>
            <w:tcW w:w="1290" w:type="dxa"/>
            <w:tcBorders>
              <w:right w:val="single" w:color="000000" w:sz="10" w:space="0"/>
            </w:tcBorders>
            <w:vAlign w:val="top"/>
          </w:tcPr>
          <w:p w14:paraId="0186780E">
            <w:pPr>
              <w:rPr>
                <w:rFonts w:ascii="Arial"/>
                <w:color w:val="auto"/>
                <w:sz w:val="21"/>
                <w:highlight w:val="none"/>
              </w:rPr>
            </w:pPr>
          </w:p>
        </w:tc>
      </w:tr>
      <w:tr w14:paraId="192C0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14:paraId="25108910">
            <w:pPr>
              <w:rPr>
                <w:rFonts w:ascii="Arial"/>
                <w:color w:val="auto"/>
                <w:sz w:val="21"/>
                <w:highlight w:val="none"/>
              </w:rPr>
            </w:pPr>
          </w:p>
        </w:tc>
        <w:tc>
          <w:tcPr>
            <w:tcW w:w="1983" w:type="dxa"/>
            <w:vAlign w:val="top"/>
          </w:tcPr>
          <w:p w14:paraId="5A0F2AD6">
            <w:pPr>
              <w:rPr>
                <w:rFonts w:ascii="Arial"/>
                <w:color w:val="auto"/>
                <w:sz w:val="21"/>
                <w:highlight w:val="none"/>
              </w:rPr>
            </w:pPr>
          </w:p>
        </w:tc>
        <w:tc>
          <w:tcPr>
            <w:tcW w:w="4664" w:type="dxa"/>
            <w:vAlign w:val="top"/>
          </w:tcPr>
          <w:p w14:paraId="05698A3C">
            <w:pPr>
              <w:rPr>
                <w:rFonts w:ascii="Arial"/>
                <w:color w:val="auto"/>
                <w:sz w:val="21"/>
                <w:highlight w:val="none"/>
              </w:rPr>
            </w:pPr>
          </w:p>
        </w:tc>
        <w:tc>
          <w:tcPr>
            <w:tcW w:w="1290" w:type="dxa"/>
            <w:tcBorders>
              <w:right w:val="single" w:color="000000" w:sz="10" w:space="0"/>
            </w:tcBorders>
            <w:vAlign w:val="top"/>
          </w:tcPr>
          <w:p w14:paraId="0D98D83E">
            <w:pPr>
              <w:rPr>
                <w:rFonts w:ascii="Arial"/>
                <w:color w:val="auto"/>
                <w:sz w:val="21"/>
                <w:highlight w:val="none"/>
              </w:rPr>
            </w:pPr>
          </w:p>
        </w:tc>
      </w:tr>
      <w:tr w14:paraId="5E949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09BAA58A">
            <w:pPr>
              <w:rPr>
                <w:rFonts w:ascii="Arial"/>
                <w:color w:val="auto"/>
                <w:sz w:val="21"/>
                <w:highlight w:val="none"/>
              </w:rPr>
            </w:pPr>
          </w:p>
        </w:tc>
        <w:tc>
          <w:tcPr>
            <w:tcW w:w="1983" w:type="dxa"/>
            <w:vAlign w:val="top"/>
          </w:tcPr>
          <w:p w14:paraId="51950DC8">
            <w:pPr>
              <w:rPr>
                <w:rFonts w:ascii="Arial"/>
                <w:color w:val="auto"/>
                <w:sz w:val="21"/>
                <w:highlight w:val="none"/>
              </w:rPr>
            </w:pPr>
          </w:p>
        </w:tc>
        <w:tc>
          <w:tcPr>
            <w:tcW w:w="4664" w:type="dxa"/>
            <w:vAlign w:val="top"/>
          </w:tcPr>
          <w:p w14:paraId="35561A2D">
            <w:pPr>
              <w:rPr>
                <w:rFonts w:ascii="Arial"/>
                <w:color w:val="auto"/>
                <w:sz w:val="21"/>
                <w:highlight w:val="none"/>
              </w:rPr>
            </w:pPr>
          </w:p>
        </w:tc>
        <w:tc>
          <w:tcPr>
            <w:tcW w:w="1290" w:type="dxa"/>
            <w:tcBorders>
              <w:right w:val="single" w:color="000000" w:sz="10" w:space="0"/>
            </w:tcBorders>
            <w:vAlign w:val="top"/>
          </w:tcPr>
          <w:p w14:paraId="20D2CB29">
            <w:pPr>
              <w:rPr>
                <w:rFonts w:ascii="Arial"/>
                <w:color w:val="auto"/>
                <w:sz w:val="21"/>
                <w:highlight w:val="none"/>
              </w:rPr>
            </w:pPr>
          </w:p>
        </w:tc>
      </w:tr>
      <w:tr w14:paraId="50A3A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5" w:hRule="atLeast"/>
        </w:trPr>
        <w:tc>
          <w:tcPr>
            <w:tcW w:w="888" w:type="dxa"/>
            <w:tcBorders>
              <w:left w:val="single" w:color="000000" w:sz="10" w:space="0"/>
            </w:tcBorders>
            <w:vAlign w:val="top"/>
          </w:tcPr>
          <w:p w14:paraId="56F48F83">
            <w:pPr>
              <w:rPr>
                <w:rFonts w:ascii="Arial"/>
                <w:color w:val="auto"/>
                <w:sz w:val="21"/>
                <w:highlight w:val="none"/>
              </w:rPr>
            </w:pPr>
          </w:p>
        </w:tc>
        <w:tc>
          <w:tcPr>
            <w:tcW w:w="1983" w:type="dxa"/>
            <w:vAlign w:val="top"/>
          </w:tcPr>
          <w:p w14:paraId="2E4C2582">
            <w:pPr>
              <w:rPr>
                <w:rFonts w:ascii="Arial"/>
                <w:color w:val="auto"/>
                <w:sz w:val="21"/>
                <w:highlight w:val="none"/>
              </w:rPr>
            </w:pPr>
          </w:p>
        </w:tc>
        <w:tc>
          <w:tcPr>
            <w:tcW w:w="4664" w:type="dxa"/>
            <w:vAlign w:val="top"/>
          </w:tcPr>
          <w:p w14:paraId="5FC29018">
            <w:pPr>
              <w:rPr>
                <w:rFonts w:ascii="Arial"/>
                <w:color w:val="auto"/>
                <w:sz w:val="21"/>
                <w:highlight w:val="none"/>
              </w:rPr>
            </w:pPr>
          </w:p>
        </w:tc>
        <w:tc>
          <w:tcPr>
            <w:tcW w:w="1290" w:type="dxa"/>
            <w:tcBorders>
              <w:right w:val="single" w:color="000000" w:sz="10" w:space="0"/>
            </w:tcBorders>
            <w:vAlign w:val="top"/>
          </w:tcPr>
          <w:p w14:paraId="44D498A3">
            <w:pPr>
              <w:rPr>
                <w:rFonts w:ascii="Arial"/>
                <w:color w:val="auto"/>
                <w:sz w:val="21"/>
                <w:highlight w:val="none"/>
              </w:rPr>
            </w:pPr>
          </w:p>
        </w:tc>
      </w:tr>
      <w:tr w14:paraId="3784D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67CF7488">
            <w:pPr>
              <w:rPr>
                <w:rFonts w:ascii="Arial"/>
                <w:color w:val="auto"/>
                <w:sz w:val="21"/>
                <w:highlight w:val="none"/>
              </w:rPr>
            </w:pPr>
          </w:p>
        </w:tc>
        <w:tc>
          <w:tcPr>
            <w:tcW w:w="1983" w:type="dxa"/>
            <w:vAlign w:val="top"/>
          </w:tcPr>
          <w:p w14:paraId="72344F18">
            <w:pPr>
              <w:rPr>
                <w:rFonts w:ascii="Arial"/>
                <w:color w:val="auto"/>
                <w:sz w:val="21"/>
                <w:highlight w:val="none"/>
              </w:rPr>
            </w:pPr>
          </w:p>
        </w:tc>
        <w:tc>
          <w:tcPr>
            <w:tcW w:w="4664" w:type="dxa"/>
            <w:vAlign w:val="top"/>
          </w:tcPr>
          <w:p w14:paraId="4F09A06C">
            <w:pPr>
              <w:rPr>
                <w:rFonts w:ascii="Arial"/>
                <w:color w:val="auto"/>
                <w:sz w:val="21"/>
                <w:highlight w:val="none"/>
              </w:rPr>
            </w:pPr>
          </w:p>
        </w:tc>
        <w:tc>
          <w:tcPr>
            <w:tcW w:w="1290" w:type="dxa"/>
            <w:tcBorders>
              <w:right w:val="single" w:color="000000" w:sz="10" w:space="0"/>
            </w:tcBorders>
            <w:vAlign w:val="top"/>
          </w:tcPr>
          <w:p w14:paraId="71744439">
            <w:pPr>
              <w:rPr>
                <w:rFonts w:ascii="Arial"/>
                <w:color w:val="auto"/>
                <w:sz w:val="21"/>
                <w:highlight w:val="none"/>
              </w:rPr>
            </w:pPr>
          </w:p>
        </w:tc>
      </w:tr>
      <w:tr w14:paraId="5C9DB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14:paraId="651E2BA5">
            <w:pPr>
              <w:rPr>
                <w:rFonts w:ascii="Arial"/>
                <w:color w:val="auto"/>
                <w:sz w:val="21"/>
                <w:highlight w:val="none"/>
              </w:rPr>
            </w:pPr>
          </w:p>
        </w:tc>
        <w:tc>
          <w:tcPr>
            <w:tcW w:w="1983" w:type="dxa"/>
            <w:vAlign w:val="top"/>
          </w:tcPr>
          <w:p w14:paraId="742E89C5">
            <w:pPr>
              <w:rPr>
                <w:rFonts w:ascii="Arial"/>
                <w:color w:val="auto"/>
                <w:sz w:val="21"/>
                <w:highlight w:val="none"/>
              </w:rPr>
            </w:pPr>
          </w:p>
        </w:tc>
        <w:tc>
          <w:tcPr>
            <w:tcW w:w="4664" w:type="dxa"/>
            <w:vAlign w:val="top"/>
          </w:tcPr>
          <w:p w14:paraId="531C9B0F">
            <w:pPr>
              <w:rPr>
                <w:rFonts w:ascii="Arial"/>
                <w:color w:val="auto"/>
                <w:sz w:val="21"/>
                <w:highlight w:val="none"/>
              </w:rPr>
            </w:pPr>
          </w:p>
        </w:tc>
        <w:tc>
          <w:tcPr>
            <w:tcW w:w="1290" w:type="dxa"/>
            <w:tcBorders>
              <w:right w:val="single" w:color="000000" w:sz="10" w:space="0"/>
            </w:tcBorders>
            <w:vAlign w:val="top"/>
          </w:tcPr>
          <w:p w14:paraId="42F1C2BF">
            <w:pPr>
              <w:rPr>
                <w:rFonts w:ascii="Arial"/>
                <w:color w:val="auto"/>
                <w:sz w:val="21"/>
                <w:highlight w:val="none"/>
              </w:rPr>
            </w:pPr>
          </w:p>
        </w:tc>
      </w:tr>
      <w:tr w14:paraId="65A14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3F9D621D">
            <w:pPr>
              <w:rPr>
                <w:rFonts w:ascii="Arial"/>
                <w:color w:val="auto"/>
                <w:sz w:val="21"/>
                <w:highlight w:val="none"/>
              </w:rPr>
            </w:pPr>
          </w:p>
        </w:tc>
        <w:tc>
          <w:tcPr>
            <w:tcW w:w="1983" w:type="dxa"/>
            <w:vAlign w:val="top"/>
          </w:tcPr>
          <w:p w14:paraId="3B392C4C">
            <w:pPr>
              <w:rPr>
                <w:rFonts w:ascii="Arial"/>
                <w:color w:val="auto"/>
                <w:sz w:val="21"/>
                <w:highlight w:val="none"/>
              </w:rPr>
            </w:pPr>
          </w:p>
        </w:tc>
        <w:tc>
          <w:tcPr>
            <w:tcW w:w="4664" w:type="dxa"/>
            <w:vAlign w:val="top"/>
          </w:tcPr>
          <w:p w14:paraId="278645C5">
            <w:pPr>
              <w:rPr>
                <w:rFonts w:ascii="Arial"/>
                <w:color w:val="auto"/>
                <w:sz w:val="21"/>
                <w:highlight w:val="none"/>
              </w:rPr>
            </w:pPr>
          </w:p>
        </w:tc>
        <w:tc>
          <w:tcPr>
            <w:tcW w:w="1290" w:type="dxa"/>
            <w:tcBorders>
              <w:right w:val="single" w:color="000000" w:sz="10" w:space="0"/>
            </w:tcBorders>
            <w:vAlign w:val="top"/>
          </w:tcPr>
          <w:p w14:paraId="17B44339">
            <w:pPr>
              <w:rPr>
                <w:rFonts w:ascii="Arial"/>
                <w:color w:val="auto"/>
                <w:sz w:val="21"/>
                <w:highlight w:val="none"/>
              </w:rPr>
            </w:pPr>
          </w:p>
        </w:tc>
      </w:tr>
      <w:tr w14:paraId="19EEC2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731C1DC6">
            <w:pPr>
              <w:rPr>
                <w:rFonts w:ascii="Arial"/>
                <w:color w:val="auto"/>
                <w:sz w:val="21"/>
                <w:highlight w:val="none"/>
              </w:rPr>
            </w:pPr>
          </w:p>
        </w:tc>
        <w:tc>
          <w:tcPr>
            <w:tcW w:w="1983" w:type="dxa"/>
            <w:vAlign w:val="top"/>
          </w:tcPr>
          <w:p w14:paraId="4AE6445F">
            <w:pPr>
              <w:rPr>
                <w:rFonts w:ascii="Arial"/>
                <w:color w:val="auto"/>
                <w:sz w:val="21"/>
                <w:highlight w:val="none"/>
              </w:rPr>
            </w:pPr>
          </w:p>
        </w:tc>
        <w:tc>
          <w:tcPr>
            <w:tcW w:w="4664" w:type="dxa"/>
            <w:vAlign w:val="top"/>
          </w:tcPr>
          <w:p w14:paraId="2210D948">
            <w:pPr>
              <w:rPr>
                <w:rFonts w:ascii="Arial"/>
                <w:color w:val="auto"/>
                <w:sz w:val="21"/>
                <w:highlight w:val="none"/>
              </w:rPr>
            </w:pPr>
          </w:p>
        </w:tc>
        <w:tc>
          <w:tcPr>
            <w:tcW w:w="1290" w:type="dxa"/>
            <w:tcBorders>
              <w:right w:val="single" w:color="000000" w:sz="10" w:space="0"/>
            </w:tcBorders>
            <w:vAlign w:val="top"/>
          </w:tcPr>
          <w:p w14:paraId="5555BE65">
            <w:pPr>
              <w:rPr>
                <w:rFonts w:ascii="Arial"/>
                <w:color w:val="auto"/>
                <w:sz w:val="21"/>
                <w:highlight w:val="none"/>
              </w:rPr>
            </w:pPr>
          </w:p>
        </w:tc>
      </w:tr>
      <w:tr w14:paraId="41A2C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074ED0A6">
            <w:pPr>
              <w:rPr>
                <w:rFonts w:ascii="Arial"/>
                <w:color w:val="auto"/>
                <w:sz w:val="21"/>
                <w:highlight w:val="none"/>
              </w:rPr>
            </w:pPr>
          </w:p>
        </w:tc>
        <w:tc>
          <w:tcPr>
            <w:tcW w:w="1983" w:type="dxa"/>
            <w:vAlign w:val="top"/>
          </w:tcPr>
          <w:p w14:paraId="163ED2FB">
            <w:pPr>
              <w:rPr>
                <w:rFonts w:ascii="Arial"/>
                <w:color w:val="auto"/>
                <w:sz w:val="21"/>
                <w:highlight w:val="none"/>
              </w:rPr>
            </w:pPr>
          </w:p>
        </w:tc>
        <w:tc>
          <w:tcPr>
            <w:tcW w:w="4664" w:type="dxa"/>
            <w:vAlign w:val="top"/>
          </w:tcPr>
          <w:p w14:paraId="10A96183">
            <w:pPr>
              <w:rPr>
                <w:rFonts w:ascii="Arial"/>
                <w:color w:val="auto"/>
                <w:sz w:val="21"/>
                <w:highlight w:val="none"/>
              </w:rPr>
            </w:pPr>
          </w:p>
        </w:tc>
        <w:tc>
          <w:tcPr>
            <w:tcW w:w="1290" w:type="dxa"/>
            <w:tcBorders>
              <w:right w:val="single" w:color="000000" w:sz="10" w:space="0"/>
            </w:tcBorders>
            <w:vAlign w:val="top"/>
          </w:tcPr>
          <w:p w14:paraId="086B696C">
            <w:pPr>
              <w:rPr>
                <w:rFonts w:ascii="Arial"/>
                <w:color w:val="auto"/>
                <w:sz w:val="21"/>
                <w:highlight w:val="none"/>
              </w:rPr>
            </w:pPr>
          </w:p>
        </w:tc>
      </w:tr>
      <w:tr w14:paraId="6A2EF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14:paraId="7FE45CFF">
            <w:pPr>
              <w:rPr>
                <w:rFonts w:ascii="Arial"/>
                <w:color w:val="auto"/>
                <w:sz w:val="21"/>
                <w:highlight w:val="none"/>
              </w:rPr>
            </w:pPr>
          </w:p>
        </w:tc>
        <w:tc>
          <w:tcPr>
            <w:tcW w:w="1983" w:type="dxa"/>
            <w:vAlign w:val="top"/>
          </w:tcPr>
          <w:p w14:paraId="3021E167">
            <w:pPr>
              <w:rPr>
                <w:rFonts w:ascii="Arial"/>
                <w:color w:val="auto"/>
                <w:sz w:val="21"/>
                <w:highlight w:val="none"/>
              </w:rPr>
            </w:pPr>
          </w:p>
        </w:tc>
        <w:tc>
          <w:tcPr>
            <w:tcW w:w="4664" w:type="dxa"/>
            <w:vAlign w:val="top"/>
          </w:tcPr>
          <w:p w14:paraId="10C0E48E">
            <w:pPr>
              <w:rPr>
                <w:rFonts w:ascii="Arial"/>
                <w:color w:val="auto"/>
                <w:sz w:val="21"/>
                <w:highlight w:val="none"/>
              </w:rPr>
            </w:pPr>
          </w:p>
        </w:tc>
        <w:tc>
          <w:tcPr>
            <w:tcW w:w="1290" w:type="dxa"/>
            <w:tcBorders>
              <w:right w:val="single" w:color="000000" w:sz="10" w:space="0"/>
            </w:tcBorders>
            <w:vAlign w:val="top"/>
          </w:tcPr>
          <w:p w14:paraId="55AD994A">
            <w:pPr>
              <w:rPr>
                <w:rFonts w:ascii="Arial"/>
                <w:color w:val="auto"/>
                <w:sz w:val="21"/>
                <w:highlight w:val="none"/>
              </w:rPr>
            </w:pPr>
          </w:p>
        </w:tc>
      </w:tr>
      <w:tr w14:paraId="05553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825" w:type="dxa"/>
            <w:gridSpan w:val="4"/>
            <w:tcBorders>
              <w:left w:val="single" w:color="000000" w:sz="10" w:space="0"/>
              <w:bottom w:val="single" w:color="000000" w:sz="10" w:space="0"/>
              <w:right w:val="single" w:color="000000" w:sz="10" w:space="0"/>
            </w:tcBorders>
            <w:vAlign w:val="top"/>
          </w:tcPr>
          <w:p w14:paraId="7DD4091B">
            <w:pPr>
              <w:pStyle w:val="11"/>
              <w:spacing w:before="195" w:line="222" w:lineRule="auto"/>
              <w:ind w:left="95"/>
              <w:rPr>
                <w:color w:val="auto"/>
                <w:highlight w:val="none"/>
              </w:rPr>
            </w:pPr>
            <w:r>
              <w:rPr>
                <w:color w:val="auto"/>
                <w:spacing w:val="-14"/>
                <w:highlight w:val="none"/>
              </w:rPr>
              <w:t>小计：</w:t>
            </w:r>
          </w:p>
        </w:tc>
      </w:tr>
    </w:tbl>
    <w:p w14:paraId="7CCAA1C1">
      <w:pPr>
        <w:pStyle w:val="3"/>
        <w:rPr>
          <w:color w:val="auto"/>
          <w:highlight w:val="none"/>
        </w:rPr>
      </w:pPr>
    </w:p>
    <w:p w14:paraId="22512820">
      <w:pPr>
        <w:rPr>
          <w:color w:val="auto"/>
          <w:highlight w:val="none"/>
        </w:rPr>
        <w:sectPr>
          <w:footerReference r:id="rId172" w:type="default"/>
          <w:pgSz w:w="11905" w:h="16839"/>
          <w:pgMar w:top="400" w:right="1258" w:bottom="1004" w:left="1785" w:header="0" w:footer="828" w:gutter="0"/>
          <w:pgNumType w:fmt="decimal"/>
          <w:cols w:space="720" w:num="1"/>
        </w:sectPr>
      </w:pPr>
    </w:p>
    <w:p w14:paraId="61440776">
      <w:pPr>
        <w:pStyle w:val="3"/>
        <w:spacing w:line="251" w:lineRule="auto"/>
        <w:rPr>
          <w:color w:val="auto"/>
          <w:highlight w:val="none"/>
        </w:rPr>
      </w:pPr>
    </w:p>
    <w:p w14:paraId="0B04EA99">
      <w:pPr>
        <w:pStyle w:val="3"/>
        <w:spacing w:line="251" w:lineRule="auto"/>
        <w:rPr>
          <w:color w:val="auto"/>
          <w:highlight w:val="none"/>
        </w:rPr>
      </w:pPr>
    </w:p>
    <w:p w14:paraId="52CE14AE">
      <w:pPr>
        <w:pStyle w:val="3"/>
        <w:spacing w:line="251" w:lineRule="auto"/>
        <w:rPr>
          <w:color w:val="auto"/>
          <w:highlight w:val="none"/>
        </w:rPr>
      </w:pPr>
    </w:p>
    <w:p w14:paraId="07FDDFFF">
      <w:pPr>
        <w:pStyle w:val="3"/>
        <w:spacing w:line="251" w:lineRule="auto"/>
        <w:rPr>
          <w:color w:val="auto"/>
          <w:highlight w:val="none"/>
        </w:rPr>
      </w:pPr>
    </w:p>
    <w:p w14:paraId="695686F8">
      <w:pPr>
        <w:pStyle w:val="3"/>
        <w:spacing w:line="251" w:lineRule="auto"/>
        <w:rPr>
          <w:color w:val="auto"/>
          <w:highlight w:val="none"/>
        </w:rPr>
      </w:pPr>
    </w:p>
    <w:p w14:paraId="0D895B7A">
      <w:pPr>
        <w:pStyle w:val="3"/>
        <w:spacing w:line="251" w:lineRule="auto"/>
        <w:rPr>
          <w:color w:val="auto"/>
          <w:highlight w:val="none"/>
        </w:rPr>
      </w:pPr>
    </w:p>
    <w:p w14:paraId="736928DD">
      <w:pPr>
        <w:pStyle w:val="3"/>
        <w:spacing w:line="251" w:lineRule="auto"/>
        <w:rPr>
          <w:color w:val="auto"/>
          <w:highlight w:val="none"/>
        </w:rPr>
      </w:pPr>
    </w:p>
    <w:p w14:paraId="2C61A553">
      <w:pPr>
        <w:pStyle w:val="3"/>
        <w:spacing w:line="251" w:lineRule="auto"/>
        <w:rPr>
          <w:color w:val="auto"/>
          <w:highlight w:val="none"/>
        </w:rPr>
      </w:pPr>
    </w:p>
    <w:p w14:paraId="25D5E89C">
      <w:pPr>
        <w:pStyle w:val="3"/>
        <w:spacing w:line="251" w:lineRule="auto"/>
        <w:rPr>
          <w:color w:val="auto"/>
          <w:highlight w:val="none"/>
        </w:rPr>
      </w:pPr>
    </w:p>
    <w:p w14:paraId="07FCA9B9">
      <w:pPr>
        <w:pStyle w:val="3"/>
        <w:spacing w:line="251" w:lineRule="auto"/>
        <w:rPr>
          <w:color w:val="auto"/>
          <w:highlight w:val="none"/>
        </w:rPr>
      </w:pPr>
    </w:p>
    <w:p w14:paraId="4A992AE0">
      <w:pPr>
        <w:pStyle w:val="3"/>
        <w:spacing w:line="251" w:lineRule="auto"/>
        <w:rPr>
          <w:color w:val="auto"/>
          <w:highlight w:val="none"/>
        </w:rPr>
      </w:pPr>
    </w:p>
    <w:p w14:paraId="650CCA37">
      <w:pPr>
        <w:pStyle w:val="3"/>
        <w:spacing w:line="251" w:lineRule="auto"/>
        <w:rPr>
          <w:color w:val="auto"/>
          <w:highlight w:val="none"/>
        </w:rPr>
      </w:pPr>
    </w:p>
    <w:p w14:paraId="3D198817">
      <w:pPr>
        <w:pStyle w:val="3"/>
        <w:spacing w:line="251" w:lineRule="auto"/>
        <w:rPr>
          <w:color w:val="auto"/>
          <w:highlight w:val="none"/>
        </w:rPr>
      </w:pPr>
    </w:p>
    <w:p w14:paraId="7A08E310">
      <w:pPr>
        <w:pStyle w:val="3"/>
        <w:spacing w:line="252" w:lineRule="auto"/>
        <w:rPr>
          <w:color w:val="auto"/>
          <w:highlight w:val="none"/>
        </w:rPr>
      </w:pPr>
    </w:p>
    <w:p w14:paraId="42891E6A">
      <w:pPr>
        <w:pStyle w:val="3"/>
        <w:spacing w:line="252" w:lineRule="auto"/>
        <w:rPr>
          <w:color w:val="auto"/>
          <w:highlight w:val="none"/>
        </w:rPr>
      </w:pPr>
    </w:p>
    <w:p w14:paraId="65ADEB59">
      <w:pPr>
        <w:pStyle w:val="3"/>
        <w:spacing w:line="252" w:lineRule="auto"/>
        <w:rPr>
          <w:color w:val="auto"/>
          <w:highlight w:val="none"/>
        </w:rPr>
      </w:pPr>
    </w:p>
    <w:p w14:paraId="7C806A4B">
      <w:pPr>
        <w:spacing w:before="104" w:line="220" w:lineRule="auto"/>
        <w:ind w:left="2740"/>
        <w:rPr>
          <w:rFonts w:ascii="黑体" w:hAnsi="黑体" w:eastAsia="黑体" w:cs="黑体"/>
          <w:color w:val="auto"/>
          <w:sz w:val="32"/>
          <w:szCs w:val="32"/>
          <w:highlight w:val="none"/>
        </w:rPr>
      </w:pPr>
      <w:bookmarkStart w:id="1291" w:name="bookmark237"/>
      <w:bookmarkEnd w:id="1291"/>
      <w:r>
        <w:rPr>
          <w:rFonts w:ascii="黑体" w:hAnsi="黑体" w:eastAsia="黑体" w:cs="黑体"/>
          <w:color w:val="auto"/>
          <w:spacing w:val="-1"/>
          <w:sz w:val="32"/>
          <w:szCs w:val="32"/>
          <w:highlight w:val="none"/>
        </w:rPr>
        <w:t>第五章  工程量清单</w:t>
      </w:r>
    </w:p>
    <w:p w14:paraId="68B7878F">
      <w:pPr>
        <w:spacing w:line="220" w:lineRule="auto"/>
        <w:rPr>
          <w:rFonts w:ascii="黑体" w:hAnsi="黑体" w:eastAsia="黑体" w:cs="黑体"/>
          <w:color w:val="auto"/>
          <w:sz w:val="32"/>
          <w:szCs w:val="32"/>
          <w:highlight w:val="none"/>
        </w:rPr>
        <w:sectPr>
          <w:footerReference r:id="rId173" w:type="default"/>
          <w:pgSz w:w="11905" w:h="16839"/>
          <w:pgMar w:top="400" w:right="1785" w:bottom="1004" w:left="1785" w:header="0" w:footer="828" w:gutter="0"/>
          <w:pgNumType w:fmt="decimal"/>
          <w:cols w:space="720" w:num="1"/>
        </w:sectPr>
      </w:pPr>
    </w:p>
    <w:p w14:paraId="7F6DA96C">
      <w:pPr>
        <w:pStyle w:val="3"/>
        <w:spacing w:line="252" w:lineRule="auto"/>
        <w:rPr>
          <w:color w:val="auto"/>
          <w:highlight w:val="none"/>
        </w:rPr>
      </w:pPr>
    </w:p>
    <w:p w14:paraId="38AF416F">
      <w:pPr>
        <w:pStyle w:val="3"/>
        <w:spacing w:line="252" w:lineRule="auto"/>
        <w:rPr>
          <w:color w:val="auto"/>
          <w:highlight w:val="none"/>
        </w:rPr>
      </w:pPr>
    </w:p>
    <w:p w14:paraId="100E1185">
      <w:pPr>
        <w:pStyle w:val="3"/>
        <w:spacing w:line="252" w:lineRule="auto"/>
        <w:rPr>
          <w:color w:val="auto"/>
          <w:highlight w:val="none"/>
        </w:rPr>
      </w:pPr>
    </w:p>
    <w:p w14:paraId="6D792532">
      <w:pPr>
        <w:pStyle w:val="3"/>
        <w:spacing w:line="253" w:lineRule="auto"/>
        <w:rPr>
          <w:color w:val="auto"/>
          <w:highlight w:val="none"/>
        </w:rPr>
      </w:pPr>
    </w:p>
    <w:p w14:paraId="22D290FE">
      <w:pPr>
        <w:spacing w:before="87" w:line="225" w:lineRule="auto"/>
        <w:ind w:left="3200"/>
        <w:outlineLvl w:val="0"/>
        <w:rPr>
          <w:rFonts w:ascii="黑体" w:hAnsi="黑体" w:eastAsia="黑体" w:cs="黑体"/>
          <w:color w:val="auto"/>
          <w:sz w:val="27"/>
          <w:szCs w:val="27"/>
          <w:highlight w:val="none"/>
        </w:rPr>
      </w:pPr>
      <w:bookmarkStart w:id="1292" w:name="bookmark238"/>
      <w:bookmarkEnd w:id="1292"/>
      <w:r>
        <w:rPr>
          <w:rFonts w:ascii="黑体" w:hAnsi="黑体" w:eastAsia="黑体" w:cs="黑体"/>
          <w:color w:val="auto"/>
          <w:spacing w:val="7"/>
          <w:sz w:val="27"/>
          <w:szCs w:val="27"/>
          <w:highlight w:val="none"/>
        </w:rPr>
        <w:t>第五章  工程量清单</w:t>
      </w:r>
    </w:p>
    <w:p w14:paraId="495D2C7B">
      <w:pPr>
        <w:pStyle w:val="3"/>
        <w:spacing w:line="382" w:lineRule="auto"/>
        <w:rPr>
          <w:color w:val="auto"/>
          <w:highlight w:val="none"/>
        </w:rPr>
      </w:pPr>
    </w:p>
    <w:p w14:paraId="4D30700A">
      <w:pPr>
        <w:spacing w:before="78" w:line="218"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5"/>
          <w:sz w:val="24"/>
          <w:szCs w:val="24"/>
          <w:highlight w:val="none"/>
        </w:rPr>
        <w:t>1</w:t>
      </w:r>
      <w:r>
        <w:rPr>
          <w:rFonts w:ascii="黑体" w:hAnsi="黑体" w:eastAsia="黑体" w:cs="黑体"/>
          <w:color w:val="auto"/>
          <w:spacing w:val="-5"/>
          <w:sz w:val="24"/>
          <w:szCs w:val="24"/>
          <w:highlight w:val="none"/>
        </w:rPr>
        <w:t>、招标工程量清单说明</w:t>
      </w:r>
    </w:p>
    <w:p w14:paraId="51907649">
      <w:pPr>
        <w:spacing w:before="164" w:line="219" w:lineRule="auto"/>
        <w:jc w:val="right"/>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1.1    </w:t>
      </w:r>
      <w:r>
        <w:rPr>
          <w:rFonts w:ascii="宋体" w:hAnsi="宋体" w:eastAsia="宋体" w:cs="宋体"/>
          <w:color w:val="auto"/>
          <w:sz w:val="21"/>
          <w:szCs w:val="21"/>
          <w:highlight w:val="none"/>
        </w:rPr>
        <w:t>本招标工程量清单是依据中华人民共和国国家标准《建设工程</w:t>
      </w:r>
      <w:r>
        <w:rPr>
          <w:rFonts w:ascii="宋体" w:hAnsi="宋体" w:eastAsia="宋体" w:cs="宋体"/>
          <w:color w:val="auto"/>
          <w:spacing w:val="-1"/>
          <w:sz w:val="21"/>
          <w:szCs w:val="21"/>
          <w:highlight w:val="none"/>
        </w:rPr>
        <w:t>工程量清单计价规范》</w:t>
      </w:r>
    </w:p>
    <w:p w14:paraId="7A8CFB5E">
      <w:pPr>
        <w:spacing w:before="181" w:line="378" w:lineRule="auto"/>
        <w:ind w:left="783" w:right="196" w:firstLine="10"/>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GB/T50500-2024</w:t>
      </w:r>
      <w:r>
        <w:rPr>
          <w:rFonts w:ascii="宋体" w:hAnsi="宋体" w:eastAsia="宋体" w:cs="宋体"/>
          <w:color w:val="auto"/>
          <w:sz w:val="21"/>
          <w:szCs w:val="21"/>
          <w:highlight w:val="none"/>
        </w:rPr>
        <w:t>）和配套的工程量计算规范（</w:t>
      </w:r>
      <w:r>
        <w:rPr>
          <w:rFonts w:hint="eastAsia" w:ascii="宋体" w:hAnsi="宋体" w:eastAsia="宋体" w:cs="宋体"/>
          <w:color w:val="auto"/>
          <w:sz w:val="21"/>
          <w:szCs w:val="21"/>
          <w:highlight w:val="none"/>
          <w:lang w:eastAsia="zh-CN"/>
        </w:rPr>
        <w:t>GB/T50854-2024</w:t>
      </w:r>
      <w:r>
        <w:rPr>
          <w:rFonts w:ascii="宋体" w:hAnsi="宋体" w:eastAsia="宋体" w:cs="宋体"/>
          <w:color w:val="auto"/>
          <w:spacing w:val="79"/>
          <w:sz w:val="21"/>
          <w:szCs w:val="21"/>
          <w:highlight w:val="none"/>
        </w:rPr>
        <w:t xml:space="preserve"> </w:t>
      </w:r>
      <w:r>
        <w:rPr>
          <w:rFonts w:ascii="宋体" w:hAnsi="宋体" w:eastAsia="宋体" w:cs="宋体"/>
          <w:color w:val="auto"/>
          <w:sz w:val="21"/>
          <w:szCs w:val="21"/>
          <w:highlight w:val="none"/>
        </w:rPr>
        <w:t>～GB</w:t>
      </w:r>
      <w:r>
        <w:rPr>
          <w:rFonts w:hint="eastAsia" w:ascii="宋体" w:hAnsi="宋体" w:eastAsia="宋体" w:cs="宋体"/>
          <w:color w:val="auto"/>
          <w:sz w:val="21"/>
          <w:szCs w:val="21"/>
          <w:highlight w:val="none"/>
          <w:lang w:val="en-US" w:eastAsia="zh-CN"/>
        </w:rPr>
        <w:t>/T</w:t>
      </w:r>
      <w:r>
        <w:rPr>
          <w:rFonts w:ascii="宋体" w:hAnsi="宋体" w:eastAsia="宋体" w:cs="宋体"/>
          <w:color w:val="auto"/>
          <w:sz w:val="21"/>
          <w:szCs w:val="21"/>
          <w:highlight w:val="none"/>
        </w:rPr>
        <w:t>50862-20</w:t>
      </w:r>
      <w:r>
        <w:rPr>
          <w:rFonts w:hint="eastAsia" w:ascii="宋体" w:hAnsi="宋体" w:eastAsia="宋体" w:cs="宋体"/>
          <w:color w:val="auto"/>
          <w:sz w:val="21"/>
          <w:szCs w:val="21"/>
          <w:highlight w:val="none"/>
          <w:lang w:val="en-US" w:eastAsia="zh-CN"/>
        </w:rPr>
        <w:t>24</w:t>
      </w:r>
      <w:r>
        <w:rPr>
          <w:rFonts w:ascii="宋体" w:hAnsi="宋体" w:eastAsia="宋体" w:cs="宋体"/>
          <w:color w:val="auto"/>
          <w:sz w:val="21"/>
          <w:szCs w:val="21"/>
          <w:highlight w:val="none"/>
        </w:rPr>
        <w:t xml:space="preserve">）、 </w:t>
      </w:r>
      <w:r>
        <w:rPr>
          <w:rFonts w:hint="eastAsia" w:ascii="Times New Roman" w:hAnsi="Times New Roman" w:eastAsia="宋体" w:cs="Times New Roman"/>
          <w:color w:val="auto"/>
          <w:spacing w:val="-3"/>
          <w:sz w:val="21"/>
          <w:szCs w:val="21"/>
          <w:highlight w:val="none"/>
          <w:lang w:eastAsia="zh-CN"/>
        </w:rPr>
        <w:t>2024年辽宁省建设工程计价依据</w:t>
      </w:r>
      <w:r>
        <w:rPr>
          <w:rFonts w:ascii="宋体" w:hAnsi="宋体" w:eastAsia="宋体" w:cs="宋体"/>
          <w:color w:val="auto"/>
          <w:spacing w:val="-3"/>
          <w:sz w:val="21"/>
          <w:szCs w:val="21"/>
          <w:highlight w:val="none"/>
        </w:rPr>
        <w:t>（以下简称“计价规范”、“计量规范”或“计价</w:t>
      </w:r>
    </w:p>
    <w:p w14:paraId="0B8B38FE">
      <w:pPr>
        <w:spacing w:before="1" w:line="220" w:lineRule="auto"/>
        <w:ind w:left="786"/>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计量规范”）以及招标文件中包括的图纸等编制。</w:t>
      </w:r>
    </w:p>
    <w:p w14:paraId="6C6F8BB7">
      <w:pPr>
        <w:spacing w:before="176" w:line="300" w:lineRule="auto"/>
        <w:ind w:left="777" w:right="228" w:hanging="748"/>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1.2    </w:t>
      </w:r>
      <w:r>
        <w:rPr>
          <w:rFonts w:ascii="宋体" w:hAnsi="宋体" w:eastAsia="宋体" w:cs="宋体"/>
          <w:color w:val="auto"/>
          <w:spacing w:val="-1"/>
          <w:sz w:val="21"/>
          <w:szCs w:val="21"/>
          <w:highlight w:val="none"/>
        </w:rPr>
        <w:t>本招标工程量清单应与招标文件中的投标人须知、通用合同条款、专用合同条款、</w:t>
      </w:r>
      <w:r>
        <w:rPr>
          <w:rFonts w:ascii="宋体" w:hAnsi="宋体" w:eastAsia="宋体" w:cs="宋体"/>
          <w:color w:val="auto"/>
          <w:spacing w:val="15"/>
          <w:sz w:val="21"/>
          <w:szCs w:val="21"/>
          <w:highlight w:val="none"/>
        </w:rPr>
        <w:t xml:space="preserve"> </w:t>
      </w:r>
      <w:r>
        <w:rPr>
          <w:rFonts w:ascii="宋体" w:hAnsi="宋体" w:eastAsia="宋体" w:cs="宋体"/>
          <w:color w:val="auto"/>
          <w:spacing w:val="-1"/>
          <w:sz w:val="21"/>
          <w:szCs w:val="21"/>
          <w:highlight w:val="none"/>
        </w:rPr>
        <w:t>技术标准和要求及图纸等章节内容一起阅读和理解。</w:t>
      </w:r>
    </w:p>
    <w:p w14:paraId="1BC3E424">
      <w:pPr>
        <w:spacing w:before="182" w:line="220" w:lineRule="auto"/>
        <w:ind w:left="34"/>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1</w:t>
      </w:r>
      <w:r>
        <w:rPr>
          <w:rFonts w:ascii="黑体" w:hAnsi="黑体" w:eastAsia="黑体" w:cs="黑体"/>
          <w:color w:val="auto"/>
          <w:spacing w:val="-3"/>
          <w:sz w:val="21"/>
          <w:szCs w:val="21"/>
          <w:highlight w:val="none"/>
        </w:rPr>
        <w:t>.3</w:t>
      </w:r>
      <w:r>
        <w:rPr>
          <w:rFonts w:ascii="黑体" w:hAnsi="黑体" w:eastAsia="黑体" w:cs="黑体"/>
          <w:color w:val="auto"/>
          <w:spacing w:val="31"/>
          <w:sz w:val="21"/>
          <w:szCs w:val="21"/>
          <w:highlight w:val="none"/>
        </w:rPr>
        <w:t xml:space="preserve">  </w:t>
      </w:r>
      <w:r>
        <w:rPr>
          <w:rFonts w:ascii="宋体" w:hAnsi="宋体" w:eastAsia="宋体" w:cs="宋体"/>
          <w:color w:val="auto"/>
          <w:spacing w:val="-3"/>
          <w:sz w:val="21"/>
          <w:szCs w:val="21"/>
          <w:highlight w:val="none"/>
        </w:rPr>
        <w:t>本招标工程量清单作为招标文件的组成部分，</w:t>
      </w:r>
      <w:r>
        <w:rPr>
          <w:rFonts w:ascii="宋体" w:hAnsi="宋体" w:eastAsia="宋体" w:cs="宋体"/>
          <w:color w:val="auto"/>
          <w:spacing w:val="-25"/>
          <w:sz w:val="21"/>
          <w:szCs w:val="21"/>
          <w:highlight w:val="none"/>
        </w:rPr>
        <w:t xml:space="preserve"> </w:t>
      </w:r>
      <w:r>
        <w:rPr>
          <w:rFonts w:ascii="宋体" w:hAnsi="宋体" w:eastAsia="宋体" w:cs="宋体"/>
          <w:color w:val="auto"/>
          <w:spacing w:val="-4"/>
          <w:sz w:val="21"/>
          <w:szCs w:val="21"/>
          <w:highlight w:val="none"/>
        </w:rPr>
        <w:t>其准确性和完整性应由招标人负责。</w:t>
      </w:r>
    </w:p>
    <w:p w14:paraId="16070174">
      <w:pPr>
        <w:spacing w:before="177" w:line="301" w:lineRule="auto"/>
        <w:ind w:left="735" w:right="197" w:hanging="706"/>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1.4    </w:t>
      </w:r>
      <w:r>
        <w:rPr>
          <w:rFonts w:ascii="宋体" w:hAnsi="宋体" w:eastAsia="宋体" w:cs="宋体"/>
          <w:color w:val="auto"/>
          <w:sz w:val="21"/>
          <w:szCs w:val="21"/>
          <w:highlight w:val="none"/>
        </w:rPr>
        <w:t>分部分项工程和单价措施项目清单必须载明项目编码、项目名称、项目特征、计量</w:t>
      </w:r>
      <w:r>
        <w:rPr>
          <w:rFonts w:ascii="宋体" w:hAnsi="宋体" w:eastAsia="宋体" w:cs="宋体"/>
          <w:color w:val="auto"/>
          <w:spacing w:val="3"/>
          <w:sz w:val="21"/>
          <w:szCs w:val="21"/>
          <w:highlight w:val="none"/>
        </w:rPr>
        <w:t xml:space="preserve"> </w:t>
      </w:r>
      <w:r>
        <w:rPr>
          <w:rFonts w:ascii="宋体" w:hAnsi="宋体" w:eastAsia="宋体" w:cs="宋体"/>
          <w:color w:val="auto"/>
          <w:spacing w:val="-3"/>
          <w:sz w:val="21"/>
          <w:szCs w:val="21"/>
          <w:highlight w:val="none"/>
        </w:rPr>
        <w:t>单位和工程量。</w:t>
      </w:r>
    </w:p>
    <w:p w14:paraId="0BA9C2E0">
      <w:pPr>
        <w:spacing w:before="176" w:line="300" w:lineRule="auto"/>
        <w:ind w:left="805" w:right="197" w:hanging="772"/>
        <w:rPr>
          <w:rFonts w:ascii="宋体" w:hAnsi="宋体" w:eastAsia="宋体" w:cs="宋体"/>
          <w:color w:val="auto"/>
          <w:sz w:val="21"/>
          <w:szCs w:val="21"/>
          <w:highlight w:val="none"/>
        </w:rPr>
      </w:pPr>
      <w:r>
        <w:rPr>
          <w:rFonts w:ascii="宋体" w:hAnsi="宋体" w:eastAsia="宋体" w:cs="宋体"/>
          <w:color w:val="auto"/>
          <w:sz w:val="21"/>
          <w:szCs w:val="21"/>
          <w:highlight w:val="none"/>
        </w:rPr>
        <w:t>1</w:t>
      </w:r>
      <w:r>
        <w:rPr>
          <w:rFonts w:ascii="黑体" w:hAnsi="黑体" w:eastAsia="黑体" w:cs="黑体"/>
          <w:color w:val="auto"/>
          <w:sz w:val="21"/>
          <w:szCs w:val="21"/>
          <w:highlight w:val="none"/>
        </w:rPr>
        <w:t xml:space="preserve">.5    </w:t>
      </w:r>
      <w:r>
        <w:rPr>
          <w:rFonts w:ascii="宋体" w:hAnsi="宋体" w:eastAsia="宋体" w:cs="宋体"/>
          <w:color w:val="auto"/>
          <w:sz w:val="21"/>
          <w:szCs w:val="21"/>
          <w:highlight w:val="none"/>
        </w:rPr>
        <w:t>分部分项工程和单价措施项目清单必须根据相关工程现行国家及省计价计量规</w:t>
      </w:r>
      <w:r>
        <w:rPr>
          <w:rFonts w:ascii="宋体" w:hAnsi="宋体" w:eastAsia="宋体" w:cs="宋体"/>
          <w:color w:val="auto"/>
          <w:spacing w:val="-1"/>
          <w:sz w:val="21"/>
          <w:szCs w:val="21"/>
          <w:highlight w:val="none"/>
        </w:rPr>
        <w:t>范规</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定的项目编码、项目名称、项目特征、计量单位和工程量计算规则进行编制。</w:t>
      </w:r>
    </w:p>
    <w:p w14:paraId="0F0F0128">
      <w:pPr>
        <w:spacing w:before="181" w:line="219" w:lineRule="auto"/>
        <w:ind w:left="3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w:t>
      </w:r>
      <w:r>
        <w:rPr>
          <w:rFonts w:ascii="黑体" w:hAnsi="黑体" w:eastAsia="黑体" w:cs="黑体"/>
          <w:color w:val="auto"/>
          <w:spacing w:val="-1"/>
          <w:sz w:val="21"/>
          <w:szCs w:val="21"/>
          <w:highlight w:val="none"/>
        </w:rPr>
        <w:t xml:space="preserve">.6    </w:t>
      </w:r>
      <w:r>
        <w:rPr>
          <w:rFonts w:ascii="宋体" w:hAnsi="宋体" w:eastAsia="宋体" w:cs="宋体"/>
          <w:color w:val="auto"/>
          <w:spacing w:val="-1"/>
          <w:sz w:val="21"/>
          <w:szCs w:val="21"/>
          <w:highlight w:val="none"/>
        </w:rPr>
        <w:t>总价措施项目清单必须根据相关工程现行国家及省计价计量规范的规定编制。</w:t>
      </w:r>
    </w:p>
    <w:p w14:paraId="5390631B">
      <w:pPr>
        <w:spacing w:before="178" w:line="219" w:lineRule="auto"/>
        <w:ind w:left="29"/>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1.7    </w:t>
      </w:r>
      <w:r>
        <w:rPr>
          <w:rFonts w:ascii="宋体" w:hAnsi="宋体" w:eastAsia="宋体" w:cs="宋体"/>
          <w:color w:val="auto"/>
          <w:spacing w:val="-1"/>
          <w:sz w:val="21"/>
          <w:szCs w:val="21"/>
          <w:highlight w:val="none"/>
        </w:rPr>
        <w:t>其他项目、规费和税金项目清单应按照现行国家及省计价计量规范的规定编制。</w:t>
      </w:r>
    </w:p>
    <w:p w14:paraId="4472B1F2">
      <w:pPr>
        <w:spacing w:before="183" w:line="298" w:lineRule="auto"/>
        <w:ind w:left="753" w:right="206" w:hanging="724"/>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1.8    </w:t>
      </w:r>
      <w:r>
        <w:rPr>
          <w:rFonts w:ascii="宋体" w:hAnsi="宋体" w:eastAsia="宋体" w:cs="宋体"/>
          <w:color w:val="auto"/>
          <w:sz w:val="21"/>
          <w:szCs w:val="21"/>
          <w:highlight w:val="none"/>
        </w:rPr>
        <w:t>编制招标工程量清单出现相关工程现行国家计量规范附录中未包括的</w:t>
      </w:r>
      <w:r>
        <w:rPr>
          <w:rFonts w:ascii="宋体" w:hAnsi="宋体" w:eastAsia="宋体" w:cs="宋体"/>
          <w:color w:val="auto"/>
          <w:spacing w:val="-1"/>
          <w:sz w:val="21"/>
          <w:szCs w:val="21"/>
          <w:highlight w:val="none"/>
        </w:rPr>
        <w:t>项目，编制人</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应做补充。</w:t>
      </w:r>
    </w:p>
    <w:p w14:paraId="472615CC">
      <w:pPr>
        <w:spacing w:before="181" w:line="428" w:lineRule="exact"/>
        <w:ind w:left="758"/>
        <w:rPr>
          <w:rFonts w:ascii="宋体" w:hAnsi="宋体" w:eastAsia="宋体" w:cs="宋体"/>
          <w:color w:val="auto"/>
          <w:sz w:val="21"/>
          <w:szCs w:val="21"/>
          <w:highlight w:val="none"/>
        </w:rPr>
      </w:pPr>
      <w:r>
        <w:rPr>
          <w:rFonts w:ascii="宋体" w:hAnsi="宋体" w:eastAsia="宋体" w:cs="宋体"/>
          <w:color w:val="auto"/>
          <w:position w:val="16"/>
          <w:sz w:val="21"/>
          <w:szCs w:val="21"/>
          <w:highlight w:val="none"/>
        </w:rPr>
        <w:t>补充项目的编码规则按相关工程现行国家及省计价计量规范的规定编制，同一招标</w:t>
      </w:r>
    </w:p>
    <w:p w14:paraId="73F8EB0B">
      <w:pPr>
        <w:spacing w:before="1" w:line="220" w:lineRule="auto"/>
        <w:ind w:left="76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工程的同一个单位工程内项目不得重码。</w:t>
      </w:r>
    </w:p>
    <w:p w14:paraId="0D68F34E">
      <w:pPr>
        <w:spacing w:before="181" w:line="432" w:lineRule="exact"/>
        <w:ind w:right="14"/>
        <w:jc w:val="right"/>
        <w:rPr>
          <w:rFonts w:ascii="宋体" w:hAnsi="宋体" w:eastAsia="宋体" w:cs="宋体"/>
          <w:color w:val="auto"/>
          <w:sz w:val="21"/>
          <w:szCs w:val="21"/>
          <w:highlight w:val="none"/>
        </w:rPr>
      </w:pPr>
      <w:r>
        <w:rPr>
          <w:rFonts w:ascii="宋体" w:hAnsi="宋体" w:eastAsia="宋体" w:cs="宋体"/>
          <w:color w:val="auto"/>
          <w:position w:val="16"/>
          <w:sz w:val="21"/>
          <w:szCs w:val="21"/>
          <w:highlight w:val="none"/>
        </w:rPr>
        <w:t>补充的工程量清单需附有补充项目的名称、</w:t>
      </w:r>
      <w:r>
        <w:rPr>
          <w:rFonts w:ascii="宋体" w:hAnsi="宋体" w:eastAsia="宋体" w:cs="宋体"/>
          <w:color w:val="auto"/>
          <w:spacing w:val="-1"/>
          <w:position w:val="16"/>
          <w:sz w:val="21"/>
          <w:szCs w:val="21"/>
          <w:highlight w:val="none"/>
        </w:rPr>
        <w:t>项目特征、计量单位、工程量计算规则、</w:t>
      </w:r>
    </w:p>
    <w:p w14:paraId="68681D98">
      <w:pPr>
        <w:spacing w:before="1" w:line="219" w:lineRule="auto"/>
        <w:ind w:right="14"/>
        <w:jc w:val="right"/>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工作内容。不能计量的措施项目，需附有补充项目的名称、工作内容及包含范围。</w:t>
      </w:r>
    </w:p>
    <w:p w14:paraId="112BE4F5">
      <w:pPr>
        <w:spacing w:before="176" w:line="339" w:lineRule="auto"/>
        <w:ind w:left="757" w:right="197" w:hanging="728"/>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1.9    </w:t>
      </w:r>
      <w:r>
        <w:rPr>
          <w:rFonts w:ascii="宋体" w:hAnsi="宋体" w:eastAsia="宋体" w:cs="宋体"/>
          <w:color w:val="auto"/>
          <w:sz w:val="21"/>
          <w:szCs w:val="21"/>
          <w:highlight w:val="none"/>
        </w:rPr>
        <w:t>本招标工程量清单仅是投标报价的共同基础，采用工程量清单方式招标形成的无论</w:t>
      </w:r>
      <w:r>
        <w:rPr>
          <w:rFonts w:ascii="宋体" w:hAnsi="宋体" w:eastAsia="宋体" w:cs="宋体"/>
          <w:color w:val="auto"/>
          <w:spacing w:val="3"/>
          <w:sz w:val="21"/>
          <w:szCs w:val="21"/>
          <w:highlight w:val="none"/>
        </w:rPr>
        <w:t xml:space="preserve"> </w:t>
      </w:r>
      <w:r>
        <w:rPr>
          <w:rFonts w:ascii="宋体" w:hAnsi="宋体" w:eastAsia="宋体" w:cs="宋体"/>
          <w:color w:val="auto"/>
          <w:sz w:val="21"/>
          <w:szCs w:val="21"/>
          <w:highlight w:val="none"/>
        </w:rPr>
        <w:t>是单价合同还是总价合同，其工程量必须以承包人完成合同工程应予计量的工程量</w:t>
      </w:r>
      <w:r>
        <w:rPr>
          <w:rFonts w:ascii="宋体" w:hAnsi="宋体" w:eastAsia="宋体" w:cs="宋体"/>
          <w:color w:val="auto"/>
          <w:spacing w:val="7"/>
          <w:sz w:val="21"/>
          <w:szCs w:val="21"/>
          <w:highlight w:val="none"/>
        </w:rPr>
        <w:t xml:space="preserve"> </w:t>
      </w:r>
      <w:r>
        <w:rPr>
          <w:rFonts w:ascii="宋体" w:hAnsi="宋体" w:eastAsia="宋体" w:cs="宋体"/>
          <w:color w:val="auto"/>
          <w:spacing w:val="-3"/>
          <w:sz w:val="21"/>
          <w:szCs w:val="21"/>
          <w:highlight w:val="none"/>
        </w:rPr>
        <w:t>确定。 合同价格的确定以及价款支付应遵循合同条款（包括通用合同条款和专用合</w:t>
      </w:r>
      <w:r>
        <w:rPr>
          <w:rFonts w:ascii="宋体" w:hAnsi="宋体" w:eastAsia="宋体" w:cs="宋体"/>
          <w:color w:val="auto"/>
          <w:spacing w:val="12"/>
          <w:sz w:val="21"/>
          <w:szCs w:val="21"/>
          <w:highlight w:val="none"/>
        </w:rPr>
        <w:t xml:space="preserve"> </w:t>
      </w:r>
      <w:r>
        <w:rPr>
          <w:rFonts w:ascii="宋体" w:hAnsi="宋体" w:eastAsia="宋体" w:cs="宋体"/>
          <w:color w:val="auto"/>
          <w:spacing w:val="-5"/>
          <w:sz w:val="21"/>
          <w:szCs w:val="21"/>
          <w:highlight w:val="none"/>
        </w:rPr>
        <w:t>同条款）、技术标准和要求以及本章的有关约定。</w:t>
      </w:r>
    </w:p>
    <w:p w14:paraId="1E55A2FC">
      <w:pPr>
        <w:spacing w:before="182" w:line="219" w:lineRule="auto"/>
        <w:ind w:left="29"/>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1.10   </w:t>
      </w:r>
      <w:r>
        <w:rPr>
          <w:rFonts w:ascii="宋体" w:hAnsi="宋体" w:eastAsia="宋体" w:cs="宋体"/>
          <w:color w:val="auto"/>
          <w:spacing w:val="-1"/>
          <w:sz w:val="21"/>
          <w:szCs w:val="21"/>
          <w:highlight w:val="none"/>
        </w:rPr>
        <w:t>除招标文件另有约定外，本条第</w:t>
      </w:r>
      <w:r>
        <w:rPr>
          <w:rFonts w:ascii="宋体" w:hAnsi="宋体" w:eastAsia="宋体" w:cs="宋体"/>
          <w:color w:val="auto"/>
          <w:spacing w:val="-8"/>
          <w:sz w:val="21"/>
          <w:szCs w:val="21"/>
          <w:highlight w:val="none"/>
        </w:rPr>
        <w:t xml:space="preserve"> </w:t>
      </w:r>
      <w:r>
        <w:rPr>
          <w:rFonts w:ascii="宋体" w:hAnsi="宋体" w:eastAsia="宋体" w:cs="宋体"/>
          <w:color w:val="auto"/>
          <w:spacing w:val="-1"/>
          <w:sz w:val="21"/>
          <w:szCs w:val="21"/>
          <w:highlight w:val="none"/>
        </w:rPr>
        <w:t>1.1</w:t>
      </w:r>
      <w:r>
        <w:rPr>
          <w:rFonts w:ascii="宋体" w:hAnsi="宋体" w:eastAsia="宋体" w:cs="宋体"/>
          <w:color w:val="auto"/>
          <w:spacing w:val="-48"/>
          <w:sz w:val="21"/>
          <w:szCs w:val="21"/>
          <w:highlight w:val="none"/>
        </w:rPr>
        <w:t xml:space="preserve"> </w:t>
      </w:r>
      <w:r>
        <w:rPr>
          <w:rFonts w:ascii="宋体" w:hAnsi="宋体" w:eastAsia="宋体" w:cs="宋体"/>
          <w:color w:val="auto"/>
          <w:spacing w:val="-1"/>
          <w:sz w:val="21"/>
          <w:szCs w:val="21"/>
          <w:highlight w:val="none"/>
        </w:rPr>
        <w:t>款中约定的计量和计价规则适用于本招标工程</w:t>
      </w:r>
    </w:p>
    <w:p w14:paraId="014B5A0F">
      <w:pPr>
        <w:spacing w:before="180" w:line="378" w:lineRule="auto"/>
        <w:ind w:left="802" w:right="202" w:firstLine="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发承包及实施阶段的计价活动包括：招标工程量清单、最高投标</w:t>
      </w:r>
      <w:r>
        <w:rPr>
          <w:rFonts w:ascii="宋体" w:hAnsi="宋体" w:eastAsia="宋体" w:cs="宋体"/>
          <w:color w:val="auto"/>
          <w:spacing w:val="4"/>
          <w:sz w:val="21"/>
          <w:szCs w:val="21"/>
          <w:highlight w:val="none"/>
        </w:rPr>
        <w:t>限价、投标报价</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的编制，工程合同价款的约定，竣工结算的办理以及施工过程中的工程量计量、</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合同价款支付、施工索赔与现场签证、合同价款调整和合同价款争议</w:t>
      </w:r>
      <w:r>
        <w:rPr>
          <w:rFonts w:ascii="宋体" w:hAnsi="宋体" w:eastAsia="宋体" w:cs="宋体"/>
          <w:color w:val="auto"/>
          <w:spacing w:val="4"/>
          <w:sz w:val="21"/>
          <w:szCs w:val="21"/>
          <w:highlight w:val="none"/>
        </w:rPr>
        <w:t>的解决等活</w:t>
      </w:r>
    </w:p>
    <w:p w14:paraId="4A2740AD">
      <w:pPr>
        <w:spacing w:line="221" w:lineRule="auto"/>
        <w:ind w:left="802"/>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动。</w:t>
      </w:r>
    </w:p>
    <w:p w14:paraId="5D4A780B">
      <w:pPr>
        <w:spacing w:before="176" w:line="219" w:lineRule="auto"/>
        <w:ind w:left="29"/>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1.11   </w:t>
      </w:r>
      <w:r>
        <w:rPr>
          <w:rFonts w:ascii="宋体" w:hAnsi="宋体" w:eastAsia="宋体" w:cs="宋体"/>
          <w:color w:val="auto"/>
          <w:spacing w:val="-1"/>
          <w:sz w:val="21"/>
          <w:szCs w:val="21"/>
          <w:highlight w:val="none"/>
        </w:rPr>
        <w:t>本条与下述第</w:t>
      </w:r>
      <w:r>
        <w:rPr>
          <w:rFonts w:ascii="宋体" w:hAnsi="宋体" w:eastAsia="宋体" w:cs="宋体"/>
          <w:color w:val="auto"/>
          <w:spacing w:val="-39"/>
          <w:sz w:val="21"/>
          <w:szCs w:val="21"/>
          <w:highlight w:val="none"/>
        </w:rPr>
        <w:t xml:space="preserve"> </w:t>
      </w:r>
      <w:r>
        <w:rPr>
          <w:rFonts w:ascii="宋体" w:hAnsi="宋体" w:eastAsia="宋体" w:cs="宋体"/>
          <w:color w:val="auto"/>
          <w:spacing w:val="-1"/>
          <w:sz w:val="21"/>
          <w:szCs w:val="21"/>
          <w:highlight w:val="none"/>
        </w:rPr>
        <w:t>2</w:t>
      </w:r>
      <w:r>
        <w:rPr>
          <w:rFonts w:ascii="宋体" w:hAnsi="宋体" w:eastAsia="宋体" w:cs="宋体"/>
          <w:color w:val="auto"/>
          <w:spacing w:val="-43"/>
          <w:sz w:val="21"/>
          <w:szCs w:val="21"/>
          <w:highlight w:val="none"/>
        </w:rPr>
        <w:t xml:space="preserve"> </w:t>
      </w:r>
      <w:r>
        <w:rPr>
          <w:rFonts w:ascii="宋体" w:hAnsi="宋体" w:eastAsia="宋体" w:cs="宋体"/>
          <w:color w:val="auto"/>
          <w:spacing w:val="-1"/>
          <w:sz w:val="21"/>
          <w:szCs w:val="21"/>
          <w:highlight w:val="none"/>
        </w:rPr>
        <w:t>条和第</w:t>
      </w:r>
      <w:r>
        <w:rPr>
          <w:rFonts w:ascii="宋体" w:hAnsi="宋体" w:eastAsia="宋体" w:cs="宋体"/>
          <w:color w:val="auto"/>
          <w:spacing w:val="-39"/>
          <w:sz w:val="21"/>
          <w:szCs w:val="21"/>
          <w:highlight w:val="none"/>
        </w:rPr>
        <w:t xml:space="preserve"> </w:t>
      </w:r>
      <w:r>
        <w:rPr>
          <w:rFonts w:ascii="宋体" w:hAnsi="宋体" w:eastAsia="宋体" w:cs="宋体"/>
          <w:color w:val="auto"/>
          <w:spacing w:val="-1"/>
          <w:sz w:val="21"/>
          <w:szCs w:val="21"/>
          <w:highlight w:val="none"/>
        </w:rPr>
        <w:t>3</w:t>
      </w:r>
      <w:r>
        <w:rPr>
          <w:rFonts w:ascii="宋体" w:hAnsi="宋体" w:eastAsia="宋体" w:cs="宋体"/>
          <w:color w:val="auto"/>
          <w:spacing w:val="-42"/>
          <w:sz w:val="21"/>
          <w:szCs w:val="21"/>
          <w:highlight w:val="none"/>
        </w:rPr>
        <w:t xml:space="preserve"> </w:t>
      </w:r>
      <w:r>
        <w:rPr>
          <w:rFonts w:ascii="宋体" w:hAnsi="宋体" w:eastAsia="宋体" w:cs="宋体"/>
          <w:color w:val="auto"/>
          <w:spacing w:val="-1"/>
          <w:sz w:val="21"/>
          <w:szCs w:val="21"/>
          <w:highlight w:val="none"/>
        </w:rPr>
        <w:t>条的说明内容是构成合同文件的已标价工程量清单的组成</w:t>
      </w:r>
    </w:p>
    <w:p w14:paraId="0CC12CE9">
      <w:pPr>
        <w:spacing w:line="219" w:lineRule="auto"/>
        <w:rPr>
          <w:rFonts w:ascii="宋体" w:hAnsi="宋体" w:eastAsia="宋体" w:cs="宋体"/>
          <w:color w:val="auto"/>
          <w:sz w:val="21"/>
          <w:szCs w:val="21"/>
          <w:highlight w:val="none"/>
        </w:rPr>
        <w:sectPr>
          <w:footerReference r:id="rId174" w:type="default"/>
          <w:pgSz w:w="11905" w:h="16839"/>
          <w:pgMar w:top="400" w:right="1592" w:bottom="1004" w:left="1785" w:header="0" w:footer="828" w:gutter="0"/>
          <w:pgNumType w:fmt="decimal"/>
          <w:cols w:space="720" w:num="1"/>
        </w:sectPr>
      </w:pPr>
    </w:p>
    <w:p w14:paraId="44FF4F5A">
      <w:pPr>
        <w:pStyle w:val="3"/>
        <w:spacing w:line="282" w:lineRule="auto"/>
        <w:rPr>
          <w:color w:val="auto"/>
          <w:highlight w:val="none"/>
        </w:rPr>
      </w:pPr>
    </w:p>
    <w:p w14:paraId="2DEC3306">
      <w:pPr>
        <w:pStyle w:val="3"/>
        <w:spacing w:line="282" w:lineRule="auto"/>
        <w:rPr>
          <w:color w:val="auto"/>
          <w:highlight w:val="none"/>
        </w:rPr>
      </w:pPr>
    </w:p>
    <w:p w14:paraId="2405EF24">
      <w:pPr>
        <w:pStyle w:val="3"/>
        <w:spacing w:line="282" w:lineRule="auto"/>
        <w:rPr>
          <w:color w:val="auto"/>
          <w:highlight w:val="none"/>
        </w:rPr>
      </w:pPr>
    </w:p>
    <w:p w14:paraId="47A36346">
      <w:pPr>
        <w:pStyle w:val="3"/>
        <w:spacing w:line="282" w:lineRule="auto"/>
        <w:rPr>
          <w:color w:val="auto"/>
          <w:highlight w:val="none"/>
        </w:rPr>
      </w:pPr>
    </w:p>
    <w:p w14:paraId="292B3AF0">
      <w:pPr>
        <w:spacing w:before="69" w:line="221" w:lineRule="auto"/>
        <w:ind w:left="789"/>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部分。</w:t>
      </w:r>
    </w:p>
    <w:p w14:paraId="1228BE82">
      <w:pPr>
        <w:spacing w:before="228" w:line="218" w:lineRule="auto"/>
        <w:ind w:left="15"/>
        <w:rPr>
          <w:rFonts w:ascii="黑体" w:hAnsi="黑体" w:eastAsia="黑体" w:cs="黑体"/>
          <w:color w:val="auto"/>
          <w:sz w:val="24"/>
          <w:szCs w:val="24"/>
          <w:highlight w:val="none"/>
        </w:rPr>
      </w:pPr>
      <w:bookmarkStart w:id="1293" w:name="bookmark239"/>
      <w:bookmarkEnd w:id="1293"/>
      <w:r>
        <w:rPr>
          <w:rFonts w:ascii="Times New Roman" w:hAnsi="Times New Roman" w:eastAsia="Times New Roman" w:cs="Times New Roman"/>
          <w:color w:val="auto"/>
          <w:spacing w:val="-4"/>
          <w:sz w:val="24"/>
          <w:szCs w:val="24"/>
          <w:highlight w:val="none"/>
        </w:rPr>
        <w:t>2</w:t>
      </w:r>
      <w:r>
        <w:rPr>
          <w:rFonts w:ascii="黑体" w:hAnsi="黑体" w:eastAsia="黑体" w:cs="黑体"/>
          <w:color w:val="auto"/>
          <w:spacing w:val="-4"/>
          <w:sz w:val="24"/>
          <w:szCs w:val="24"/>
          <w:highlight w:val="none"/>
        </w:rPr>
        <w:t>、投标报价说明</w:t>
      </w:r>
    </w:p>
    <w:p w14:paraId="147CB567">
      <w:pPr>
        <w:spacing w:before="164" w:line="432" w:lineRule="exact"/>
        <w:ind w:left="16"/>
        <w:rPr>
          <w:rFonts w:ascii="宋体" w:hAnsi="宋体" w:eastAsia="宋体" w:cs="宋体"/>
          <w:color w:val="auto"/>
          <w:sz w:val="21"/>
          <w:szCs w:val="21"/>
          <w:highlight w:val="none"/>
        </w:rPr>
      </w:pPr>
      <w:r>
        <w:rPr>
          <w:rFonts w:ascii="黑体" w:hAnsi="黑体" w:eastAsia="黑体" w:cs="黑体"/>
          <w:color w:val="auto"/>
          <w:spacing w:val="-1"/>
          <w:position w:val="16"/>
          <w:sz w:val="21"/>
          <w:szCs w:val="21"/>
          <w:highlight w:val="none"/>
        </w:rPr>
        <w:t xml:space="preserve">2.1    </w:t>
      </w:r>
      <w:r>
        <w:rPr>
          <w:rFonts w:ascii="宋体" w:hAnsi="宋体" w:eastAsia="宋体" w:cs="宋体"/>
          <w:color w:val="auto"/>
          <w:spacing w:val="-1"/>
          <w:position w:val="16"/>
          <w:sz w:val="21"/>
          <w:szCs w:val="21"/>
          <w:highlight w:val="none"/>
        </w:rPr>
        <w:t>投标报价应根据招标文件中的有关计价要求，并按照下列依据自主报价。</w:t>
      </w:r>
    </w:p>
    <w:p w14:paraId="18F52184">
      <w:pPr>
        <w:spacing w:line="219" w:lineRule="auto"/>
        <w:ind w:left="758"/>
        <w:rPr>
          <w:rFonts w:ascii="宋体" w:hAnsi="宋体" w:eastAsia="宋体" w:cs="宋体"/>
          <w:color w:val="auto"/>
          <w:sz w:val="21"/>
          <w:szCs w:val="21"/>
          <w:highlight w:val="none"/>
        </w:rPr>
      </w:pPr>
      <w:r>
        <w:rPr>
          <w:rFonts w:ascii="黑体" w:hAnsi="黑体" w:eastAsia="黑体" w:cs="黑体"/>
          <w:color w:val="auto"/>
          <w:spacing w:val="-6"/>
          <w:sz w:val="21"/>
          <w:szCs w:val="21"/>
          <w:highlight w:val="none"/>
        </w:rPr>
        <w:t>（1）</w:t>
      </w:r>
      <w:r>
        <w:rPr>
          <w:rFonts w:ascii="黑体" w:hAnsi="黑体" w:eastAsia="黑体" w:cs="黑体"/>
          <w:color w:val="auto"/>
          <w:spacing w:val="56"/>
          <w:sz w:val="21"/>
          <w:szCs w:val="21"/>
          <w:highlight w:val="none"/>
        </w:rPr>
        <w:t xml:space="preserve"> </w:t>
      </w:r>
      <w:r>
        <w:rPr>
          <w:rFonts w:ascii="宋体" w:hAnsi="宋体" w:eastAsia="宋体" w:cs="宋体"/>
          <w:color w:val="auto"/>
          <w:spacing w:val="-6"/>
          <w:sz w:val="21"/>
          <w:szCs w:val="21"/>
          <w:highlight w:val="none"/>
        </w:rPr>
        <w:t>《建设工程工程量清单计价规范》（</w:t>
      </w:r>
      <w:r>
        <w:rPr>
          <w:rFonts w:hint="eastAsia" w:ascii="宋体" w:hAnsi="宋体" w:eastAsia="宋体" w:cs="宋体"/>
          <w:color w:val="auto"/>
          <w:spacing w:val="-6"/>
          <w:sz w:val="21"/>
          <w:szCs w:val="21"/>
          <w:highlight w:val="none"/>
          <w:lang w:eastAsia="zh-CN"/>
        </w:rPr>
        <w:t>GB/T50500-2024</w:t>
      </w:r>
      <w:r>
        <w:rPr>
          <w:rFonts w:ascii="宋体" w:hAnsi="宋体" w:eastAsia="宋体" w:cs="宋体"/>
          <w:color w:val="auto"/>
          <w:spacing w:val="-37"/>
          <w:sz w:val="21"/>
          <w:szCs w:val="21"/>
          <w:highlight w:val="none"/>
        </w:rPr>
        <w:t>）；</w:t>
      </w:r>
    </w:p>
    <w:p w14:paraId="720B43FA">
      <w:pPr>
        <w:spacing w:before="182" w:line="219" w:lineRule="auto"/>
        <w:ind w:left="758"/>
        <w:rPr>
          <w:rFonts w:ascii="宋体" w:hAnsi="宋体" w:eastAsia="宋体" w:cs="宋体"/>
          <w:color w:val="auto"/>
          <w:sz w:val="21"/>
          <w:szCs w:val="21"/>
          <w:highlight w:val="none"/>
        </w:rPr>
      </w:pPr>
      <w:r>
        <w:rPr>
          <w:rFonts w:ascii="黑体" w:hAnsi="黑体" w:eastAsia="黑体" w:cs="黑体"/>
          <w:color w:val="auto"/>
          <w:spacing w:val="-2"/>
          <w:sz w:val="21"/>
          <w:szCs w:val="21"/>
          <w:highlight w:val="none"/>
        </w:rPr>
        <w:t xml:space="preserve">（2）  </w:t>
      </w:r>
      <w:r>
        <w:rPr>
          <w:rFonts w:ascii="宋体" w:hAnsi="宋体" w:eastAsia="宋体" w:cs="宋体"/>
          <w:color w:val="auto"/>
          <w:spacing w:val="-2"/>
          <w:sz w:val="21"/>
          <w:szCs w:val="21"/>
          <w:highlight w:val="none"/>
        </w:rPr>
        <w:t>国家或省级、行业建设主管部门颁发的计价办法；</w:t>
      </w:r>
    </w:p>
    <w:p w14:paraId="67A1F237">
      <w:pPr>
        <w:spacing w:before="177" w:line="433" w:lineRule="exact"/>
        <w:ind w:left="758"/>
        <w:rPr>
          <w:rFonts w:ascii="宋体" w:hAnsi="宋体" w:eastAsia="宋体" w:cs="宋体"/>
          <w:color w:val="auto"/>
          <w:sz w:val="21"/>
          <w:szCs w:val="21"/>
          <w:highlight w:val="none"/>
        </w:rPr>
      </w:pPr>
      <w:r>
        <w:rPr>
          <w:rFonts w:ascii="黑体" w:hAnsi="黑体" w:eastAsia="黑体" w:cs="黑体"/>
          <w:color w:val="auto"/>
          <w:spacing w:val="-2"/>
          <w:position w:val="17"/>
          <w:sz w:val="21"/>
          <w:szCs w:val="21"/>
          <w:highlight w:val="none"/>
        </w:rPr>
        <w:t xml:space="preserve">（3）  </w:t>
      </w:r>
      <w:r>
        <w:rPr>
          <w:rFonts w:ascii="宋体" w:hAnsi="宋体" w:eastAsia="宋体" w:cs="宋体"/>
          <w:color w:val="auto"/>
          <w:spacing w:val="-2"/>
          <w:position w:val="17"/>
          <w:sz w:val="21"/>
          <w:szCs w:val="21"/>
          <w:highlight w:val="none"/>
        </w:rPr>
        <w:t>企业定额，国家或省级、行业建设主管部门颁发的计价定额和计价办法；</w:t>
      </w:r>
    </w:p>
    <w:p w14:paraId="7AFC00B8">
      <w:pPr>
        <w:spacing w:line="220" w:lineRule="auto"/>
        <w:ind w:left="758"/>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（4）  </w:t>
      </w:r>
      <w:r>
        <w:rPr>
          <w:rFonts w:ascii="宋体" w:hAnsi="宋体" w:eastAsia="宋体" w:cs="宋体"/>
          <w:color w:val="auto"/>
          <w:spacing w:val="-1"/>
          <w:sz w:val="21"/>
          <w:szCs w:val="21"/>
          <w:highlight w:val="none"/>
        </w:rPr>
        <w:t>招标文件（包括招标工程量清单）及其澄清、修改文件；</w:t>
      </w:r>
    </w:p>
    <w:p w14:paraId="4B372214">
      <w:pPr>
        <w:spacing w:before="176" w:line="221" w:lineRule="auto"/>
        <w:ind w:left="758"/>
        <w:rPr>
          <w:rFonts w:ascii="宋体" w:hAnsi="宋体" w:eastAsia="宋体" w:cs="宋体"/>
          <w:color w:val="auto"/>
          <w:sz w:val="21"/>
          <w:szCs w:val="21"/>
          <w:highlight w:val="none"/>
        </w:rPr>
      </w:pPr>
      <w:r>
        <w:rPr>
          <w:rFonts w:ascii="黑体" w:hAnsi="黑体" w:eastAsia="黑体" w:cs="黑体"/>
          <w:color w:val="auto"/>
          <w:spacing w:val="-3"/>
          <w:sz w:val="21"/>
          <w:szCs w:val="21"/>
          <w:highlight w:val="none"/>
        </w:rPr>
        <w:t xml:space="preserve">（5）  </w:t>
      </w:r>
      <w:r>
        <w:rPr>
          <w:rFonts w:ascii="宋体" w:hAnsi="宋体" w:eastAsia="宋体" w:cs="宋体"/>
          <w:color w:val="auto"/>
          <w:spacing w:val="-3"/>
          <w:sz w:val="21"/>
          <w:szCs w:val="21"/>
          <w:highlight w:val="none"/>
        </w:rPr>
        <w:t>建设工程设计文件及相关资料；</w:t>
      </w:r>
    </w:p>
    <w:p w14:paraId="5958266F">
      <w:pPr>
        <w:spacing w:before="181" w:line="423" w:lineRule="exact"/>
        <w:ind w:left="758"/>
        <w:rPr>
          <w:rFonts w:ascii="宋体" w:hAnsi="宋体" w:eastAsia="宋体" w:cs="宋体"/>
          <w:color w:val="auto"/>
          <w:sz w:val="21"/>
          <w:szCs w:val="21"/>
          <w:highlight w:val="none"/>
        </w:rPr>
      </w:pPr>
      <w:r>
        <w:rPr>
          <w:rFonts w:ascii="黑体" w:hAnsi="黑体" w:eastAsia="黑体" w:cs="黑体"/>
          <w:color w:val="auto"/>
          <w:spacing w:val="-1"/>
          <w:position w:val="16"/>
          <w:sz w:val="21"/>
          <w:szCs w:val="21"/>
          <w:highlight w:val="none"/>
        </w:rPr>
        <w:t xml:space="preserve">（6）  </w:t>
      </w:r>
      <w:r>
        <w:rPr>
          <w:rFonts w:ascii="宋体" w:hAnsi="宋体" w:eastAsia="宋体" w:cs="宋体"/>
          <w:color w:val="auto"/>
          <w:spacing w:val="-1"/>
          <w:position w:val="16"/>
          <w:sz w:val="21"/>
          <w:szCs w:val="21"/>
          <w:highlight w:val="none"/>
        </w:rPr>
        <w:t>施工现场情况、工程特点及投标时拟定的施</w:t>
      </w:r>
      <w:r>
        <w:rPr>
          <w:rFonts w:ascii="宋体" w:hAnsi="宋体" w:eastAsia="宋体" w:cs="宋体"/>
          <w:color w:val="auto"/>
          <w:spacing w:val="-2"/>
          <w:position w:val="16"/>
          <w:sz w:val="21"/>
          <w:szCs w:val="21"/>
          <w:highlight w:val="none"/>
        </w:rPr>
        <w:t>工组织设计或施工方案；</w:t>
      </w:r>
    </w:p>
    <w:p w14:paraId="5424FB7C">
      <w:pPr>
        <w:spacing w:line="220" w:lineRule="auto"/>
        <w:ind w:left="758"/>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（7） </w:t>
      </w:r>
      <w:r>
        <w:rPr>
          <w:rFonts w:ascii="宋体" w:hAnsi="宋体" w:eastAsia="宋体" w:cs="宋体"/>
          <w:color w:val="auto"/>
          <w:spacing w:val="-1"/>
          <w:sz w:val="21"/>
          <w:szCs w:val="21"/>
          <w:highlight w:val="none"/>
        </w:rPr>
        <w:t>与建设项目相关的标准、规范等技术资料；</w:t>
      </w:r>
    </w:p>
    <w:p w14:paraId="3ED32F19">
      <w:pPr>
        <w:spacing w:before="172" w:line="418" w:lineRule="exact"/>
        <w:ind w:left="758"/>
        <w:rPr>
          <w:rFonts w:ascii="宋体" w:hAnsi="宋体" w:eastAsia="宋体" w:cs="宋体"/>
          <w:color w:val="auto"/>
          <w:sz w:val="21"/>
          <w:szCs w:val="21"/>
          <w:highlight w:val="none"/>
        </w:rPr>
      </w:pPr>
      <w:r>
        <w:rPr>
          <w:rFonts w:ascii="黑体" w:hAnsi="黑体" w:eastAsia="黑体" w:cs="黑体"/>
          <w:color w:val="auto"/>
          <w:spacing w:val="-1"/>
          <w:position w:val="15"/>
          <w:sz w:val="21"/>
          <w:szCs w:val="21"/>
          <w:highlight w:val="none"/>
        </w:rPr>
        <w:t xml:space="preserve">（8） </w:t>
      </w:r>
      <w:r>
        <w:rPr>
          <w:rFonts w:ascii="宋体" w:hAnsi="宋体" w:eastAsia="宋体" w:cs="宋体"/>
          <w:color w:val="auto"/>
          <w:spacing w:val="-1"/>
          <w:position w:val="15"/>
          <w:sz w:val="21"/>
          <w:szCs w:val="21"/>
          <w:highlight w:val="none"/>
        </w:rPr>
        <w:t>市场价格信息或官方机构发布的工程造价信息；</w:t>
      </w:r>
    </w:p>
    <w:p w14:paraId="5B9C5DCD">
      <w:pPr>
        <w:spacing w:line="221" w:lineRule="auto"/>
        <w:ind w:left="758"/>
        <w:rPr>
          <w:rFonts w:ascii="宋体" w:hAnsi="宋体" w:eastAsia="宋体" w:cs="宋体"/>
          <w:color w:val="auto"/>
          <w:sz w:val="21"/>
          <w:szCs w:val="21"/>
          <w:highlight w:val="none"/>
        </w:rPr>
      </w:pPr>
      <w:r>
        <w:rPr>
          <w:rFonts w:ascii="黑体" w:hAnsi="黑体" w:eastAsia="黑体" w:cs="黑体"/>
          <w:color w:val="auto"/>
          <w:spacing w:val="-3"/>
          <w:sz w:val="21"/>
          <w:szCs w:val="21"/>
          <w:highlight w:val="none"/>
        </w:rPr>
        <w:t xml:space="preserve">（9）  </w:t>
      </w:r>
      <w:r>
        <w:rPr>
          <w:rFonts w:ascii="宋体" w:hAnsi="宋体" w:eastAsia="宋体" w:cs="宋体"/>
          <w:color w:val="auto"/>
          <w:spacing w:val="-3"/>
          <w:sz w:val="21"/>
          <w:szCs w:val="21"/>
          <w:highlight w:val="none"/>
        </w:rPr>
        <w:t>其他的相关资料。</w:t>
      </w:r>
    </w:p>
    <w:p w14:paraId="1447112B">
      <w:pPr>
        <w:spacing w:before="172" w:line="294" w:lineRule="auto"/>
        <w:ind w:left="755" w:right="175" w:hanging="739"/>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2.2  </w:t>
      </w:r>
      <w:r>
        <w:rPr>
          <w:rFonts w:ascii="宋体" w:hAnsi="宋体" w:eastAsia="宋体" w:cs="宋体"/>
          <w:color w:val="auto"/>
          <w:sz w:val="21"/>
          <w:szCs w:val="21"/>
          <w:highlight w:val="none"/>
        </w:rPr>
        <w:t>投标人必须按招标工程量清单填报价格。项目编码、项目名称、项目特征、计量单位</w:t>
      </w:r>
      <w:r>
        <w:rPr>
          <w:rFonts w:ascii="宋体" w:hAnsi="宋体" w:eastAsia="宋体" w:cs="宋体"/>
          <w:color w:val="auto"/>
          <w:spacing w:val="15"/>
          <w:sz w:val="21"/>
          <w:szCs w:val="21"/>
          <w:highlight w:val="none"/>
        </w:rPr>
        <w:t xml:space="preserve"> </w:t>
      </w:r>
      <w:r>
        <w:rPr>
          <w:rFonts w:ascii="宋体" w:hAnsi="宋体" w:eastAsia="宋体" w:cs="宋体"/>
          <w:color w:val="auto"/>
          <w:spacing w:val="-2"/>
          <w:sz w:val="21"/>
          <w:szCs w:val="21"/>
          <w:highlight w:val="none"/>
        </w:rPr>
        <w:t>必须与招标工程量清单一致。</w:t>
      </w:r>
    </w:p>
    <w:p w14:paraId="51686E30">
      <w:pPr>
        <w:spacing w:before="169" w:line="340" w:lineRule="auto"/>
        <w:ind w:left="786" w:right="175" w:hanging="770"/>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2.3  </w:t>
      </w:r>
      <w:r>
        <w:rPr>
          <w:rFonts w:ascii="宋体" w:hAnsi="宋体" w:eastAsia="宋体" w:cs="宋体"/>
          <w:color w:val="auto"/>
          <w:sz w:val="21"/>
          <w:szCs w:val="21"/>
          <w:highlight w:val="none"/>
        </w:rPr>
        <w:t>工程量清单应采用综合单价计价。综合单价中应包括招标文件中划分的应由投标人承</w:t>
      </w:r>
      <w:r>
        <w:rPr>
          <w:rFonts w:ascii="宋体" w:hAnsi="宋体" w:eastAsia="宋体" w:cs="宋体"/>
          <w:color w:val="auto"/>
          <w:spacing w:val="15"/>
          <w:sz w:val="21"/>
          <w:szCs w:val="21"/>
          <w:highlight w:val="none"/>
        </w:rPr>
        <w:t xml:space="preserve"> </w:t>
      </w:r>
      <w:r>
        <w:rPr>
          <w:rFonts w:ascii="宋体" w:hAnsi="宋体" w:eastAsia="宋体" w:cs="宋体"/>
          <w:color w:val="auto"/>
          <w:spacing w:val="3"/>
          <w:sz w:val="21"/>
          <w:szCs w:val="21"/>
          <w:highlight w:val="none"/>
        </w:rPr>
        <w:t>担的风险范围及其费用，招标文件中没有明确的，</w:t>
      </w:r>
      <w:r>
        <w:rPr>
          <w:rFonts w:ascii="宋体" w:hAnsi="宋体" w:eastAsia="宋体" w:cs="宋体"/>
          <w:color w:val="auto"/>
          <w:spacing w:val="-17"/>
          <w:sz w:val="21"/>
          <w:szCs w:val="21"/>
          <w:highlight w:val="none"/>
        </w:rPr>
        <w:t xml:space="preserve"> </w:t>
      </w:r>
      <w:r>
        <w:rPr>
          <w:rFonts w:ascii="宋体" w:hAnsi="宋体" w:eastAsia="宋体" w:cs="宋体"/>
          <w:color w:val="auto"/>
          <w:spacing w:val="3"/>
          <w:sz w:val="21"/>
          <w:szCs w:val="21"/>
          <w:highlight w:val="none"/>
        </w:rPr>
        <w:t>应提请招标人</w:t>
      </w:r>
      <w:r>
        <w:rPr>
          <w:rFonts w:ascii="宋体" w:hAnsi="宋体" w:eastAsia="宋体" w:cs="宋体"/>
          <w:color w:val="auto"/>
          <w:spacing w:val="2"/>
          <w:sz w:val="21"/>
          <w:szCs w:val="21"/>
          <w:highlight w:val="none"/>
        </w:rPr>
        <w:t>明确。即工程量</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清单中标价的单价或金额，应包括所需人工费、材料费、施工机械使用费和企业</w:t>
      </w:r>
      <w:r>
        <w:rPr>
          <w:rFonts w:ascii="宋体" w:hAnsi="宋体" w:eastAsia="宋体" w:cs="宋体"/>
          <w:color w:val="auto"/>
          <w:spacing w:val="11"/>
          <w:sz w:val="21"/>
          <w:szCs w:val="21"/>
          <w:highlight w:val="none"/>
        </w:rPr>
        <w:t xml:space="preserve"> </w:t>
      </w:r>
      <w:r>
        <w:rPr>
          <w:rFonts w:ascii="宋体" w:hAnsi="宋体" w:eastAsia="宋体" w:cs="宋体"/>
          <w:color w:val="auto"/>
          <w:spacing w:val="5"/>
          <w:sz w:val="21"/>
          <w:szCs w:val="21"/>
          <w:highlight w:val="none"/>
        </w:rPr>
        <w:t>管理费及利润，以及一定范围内的风险费用。所谓“一定范围内的风险”是指合</w:t>
      </w:r>
      <w:r>
        <w:rPr>
          <w:rFonts w:ascii="宋体" w:hAnsi="宋体" w:eastAsia="宋体" w:cs="宋体"/>
          <w:color w:val="auto"/>
          <w:spacing w:val="11"/>
          <w:sz w:val="21"/>
          <w:szCs w:val="21"/>
          <w:highlight w:val="none"/>
        </w:rPr>
        <w:t xml:space="preserve"> </w:t>
      </w:r>
      <w:r>
        <w:rPr>
          <w:rFonts w:ascii="宋体" w:hAnsi="宋体" w:eastAsia="宋体" w:cs="宋体"/>
          <w:color w:val="auto"/>
          <w:spacing w:val="-3"/>
          <w:sz w:val="21"/>
          <w:szCs w:val="21"/>
          <w:highlight w:val="none"/>
        </w:rPr>
        <w:t>同约定的风险。</w:t>
      </w:r>
    </w:p>
    <w:p w14:paraId="56B9010A">
      <w:pPr>
        <w:spacing w:before="167" w:line="332" w:lineRule="auto"/>
        <w:ind w:left="777" w:right="175" w:hanging="746"/>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2.4  </w:t>
      </w:r>
      <w:r>
        <w:rPr>
          <w:rFonts w:ascii="宋体" w:hAnsi="宋体" w:eastAsia="宋体" w:cs="宋体"/>
          <w:color w:val="auto"/>
          <w:sz w:val="21"/>
          <w:szCs w:val="21"/>
          <w:highlight w:val="none"/>
        </w:rPr>
        <w:t>招标工程量清单与计价表中列明的所有需要填写单价和合价的项目，投标人均应填写</w:t>
      </w:r>
      <w:r>
        <w:rPr>
          <w:rFonts w:ascii="宋体" w:hAnsi="宋体" w:eastAsia="宋体" w:cs="宋体"/>
          <w:color w:val="auto"/>
          <w:spacing w:val="1"/>
          <w:sz w:val="21"/>
          <w:szCs w:val="21"/>
          <w:highlight w:val="none"/>
        </w:rPr>
        <w:t xml:space="preserve"> </w:t>
      </w:r>
      <w:r>
        <w:rPr>
          <w:rFonts w:ascii="宋体" w:hAnsi="宋体" w:eastAsia="宋体" w:cs="宋体"/>
          <w:color w:val="auto"/>
          <w:spacing w:val="6"/>
          <w:sz w:val="21"/>
          <w:szCs w:val="21"/>
          <w:highlight w:val="none"/>
        </w:rPr>
        <w:t>且只允许有一个报价。未填写单价和合价的项</w:t>
      </w:r>
      <w:r>
        <w:rPr>
          <w:rFonts w:ascii="宋体" w:hAnsi="宋体" w:eastAsia="宋体" w:cs="宋体"/>
          <w:color w:val="auto"/>
          <w:spacing w:val="5"/>
          <w:sz w:val="21"/>
          <w:szCs w:val="21"/>
          <w:highlight w:val="none"/>
        </w:rPr>
        <w:t>目，可视为此项费用已经包含在已</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标价工程量清单中其他项目的单价或合价之中</w:t>
      </w:r>
      <w:r>
        <w:rPr>
          <w:rFonts w:ascii="宋体" w:hAnsi="宋体" w:eastAsia="宋体" w:cs="宋体"/>
          <w:color w:val="auto"/>
          <w:spacing w:val="5"/>
          <w:sz w:val="21"/>
          <w:szCs w:val="21"/>
          <w:highlight w:val="none"/>
        </w:rPr>
        <w:t>。当竣工结算时，此项目不得重新</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组价予以调整。</w:t>
      </w:r>
    </w:p>
    <w:p w14:paraId="242235FB">
      <w:pPr>
        <w:spacing w:before="168" w:line="320" w:lineRule="auto"/>
        <w:ind w:left="786" w:hanging="770"/>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2.5  </w:t>
      </w:r>
      <w:r>
        <w:rPr>
          <w:rFonts w:ascii="宋体" w:hAnsi="宋体" w:eastAsia="宋体" w:cs="宋体"/>
          <w:color w:val="auto"/>
          <w:sz w:val="21"/>
          <w:szCs w:val="21"/>
          <w:highlight w:val="none"/>
        </w:rPr>
        <w:t xml:space="preserve">“投标报价汇总表”中的投标总价由分部分项工程费、措施项目费、其他项目费、规  </w:t>
      </w:r>
      <w:r>
        <w:rPr>
          <w:rFonts w:ascii="宋体" w:hAnsi="宋体" w:eastAsia="宋体" w:cs="宋体"/>
          <w:color w:val="auto"/>
          <w:spacing w:val="5"/>
          <w:sz w:val="21"/>
          <w:szCs w:val="21"/>
          <w:highlight w:val="none"/>
        </w:rPr>
        <w:t>费和税金组成，并且“投标报价汇总表”中的投标总价应当与构</w:t>
      </w:r>
      <w:r>
        <w:rPr>
          <w:rFonts w:ascii="宋体" w:hAnsi="宋体" w:eastAsia="宋体" w:cs="宋体"/>
          <w:color w:val="auto"/>
          <w:spacing w:val="4"/>
          <w:sz w:val="21"/>
          <w:szCs w:val="21"/>
          <w:highlight w:val="none"/>
        </w:rPr>
        <w:t>成已标价工程量  清单的分部分项工程费、措施项目费、其他项目费、规费、税金的合计金额一致。</w:t>
      </w:r>
    </w:p>
    <w:p w14:paraId="6D2A5AA7">
      <w:pPr>
        <w:spacing w:before="171" w:line="219" w:lineRule="auto"/>
        <w:ind w:left="16"/>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2.6  </w:t>
      </w:r>
      <w:r>
        <w:rPr>
          <w:rFonts w:ascii="宋体" w:hAnsi="宋体" w:eastAsia="宋体" w:cs="宋体"/>
          <w:color w:val="auto"/>
          <w:sz w:val="21"/>
          <w:szCs w:val="21"/>
          <w:highlight w:val="none"/>
        </w:rPr>
        <w:t>分部分项工程和单价措施项目按下列要</w:t>
      </w:r>
      <w:r>
        <w:rPr>
          <w:rFonts w:ascii="宋体" w:hAnsi="宋体" w:eastAsia="宋体" w:cs="宋体"/>
          <w:color w:val="auto"/>
          <w:spacing w:val="-1"/>
          <w:sz w:val="21"/>
          <w:szCs w:val="21"/>
          <w:highlight w:val="none"/>
        </w:rPr>
        <w:t>求报价：</w:t>
      </w:r>
    </w:p>
    <w:p w14:paraId="7CF50DAC">
      <w:pPr>
        <w:spacing w:before="170" w:line="295" w:lineRule="auto"/>
        <w:ind w:left="752" w:right="195" w:hanging="736"/>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2.6.1</w:t>
      </w:r>
      <w:r>
        <w:rPr>
          <w:rFonts w:ascii="黑体" w:hAnsi="黑体" w:eastAsia="黑体" w:cs="黑体"/>
          <w:color w:val="auto"/>
          <w:spacing w:val="59"/>
          <w:sz w:val="21"/>
          <w:szCs w:val="21"/>
          <w:highlight w:val="none"/>
        </w:rPr>
        <w:t xml:space="preserve"> </w:t>
      </w:r>
      <w:r>
        <w:rPr>
          <w:rFonts w:ascii="宋体" w:hAnsi="宋体" w:eastAsia="宋体" w:cs="宋体"/>
          <w:color w:val="auto"/>
          <w:spacing w:val="1"/>
          <w:sz w:val="21"/>
          <w:szCs w:val="21"/>
          <w:highlight w:val="none"/>
        </w:rPr>
        <w:t>分部分项工程和单价措施项目，应根据招标文件和招标工程量清单中的项目特征描</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述确定综合单价。</w:t>
      </w:r>
    </w:p>
    <w:p w14:paraId="1C9BF431">
      <w:pPr>
        <w:spacing w:before="169" w:line="295" w:lineRule="auto"/>
        <w:ind w:left="790" w:right="183" w:hanging="774"/>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2.6.2</w:t>
      </w:r>
      <w:r>
        <w:rPr>
          <w:rFonts w:ascii="黑体" w:hAnsi="黑体" w:eastAsia="黑体" w:cs="黑体"/>
          <w:color w:val="auto"/>
          <w:spacing w:val="71"/>
          <w:sz w:val="21"/>
          <w:szCs w:val="21"/>
          <w:highlight w:val="none"/>
        </w:rPr>
        <w:t xml:space="preserve"> </w:t>
      </w:r>
      <w:r>
        <w:rPr>
          <w:rFonts w:ascii="宋体" w:hAnsi="宋体" w:eastAsia="宋体" w:cs="宋体"/>
          <w:color w:val="auto"/>
          <w:spacing w:val="1"/>
          <w:sz w:val="21"/>
          <w:szCs w:val="21"/>
          <w:highlight w:val="none"/>
        </w:rPr>
        <w:t>如果分部分项工程和单价措施项目清单中涉及“材料（工程设备）暂估单价表”中</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列出的材料和工程设备，则按照本节第</w:t>
      </w:r>
      <w:r>
        <w:rPr>
          <w:rFonts w:ascii="宋体" w:hAnsi="宋体" w:eastAsia="宋体" w:cs="宋体"/>
          <w:color w:val="auto"/>
          <w:spacing w:val="-39"/>
          <w:sz w:val="21"/>
          <w:szCs w:val="21"/>
          <w:highlight w:val="none"/>
        </w:rPr>
        <w:t xml:space="preserve"> </w:t>
      </w:r>
      <w:r>
        <w:rPr>
          <w:rFonts w:ascii="Times New Roman" w:hAnsi="Times New Roman" w:eastAsia="Times New Roman" w:cs="Times New Roman"/>
          <w:color w:val="auto"/>
          <w:spacing w:val="-1"/>
          <w:sz w:val="21"/>
          <w:szCs w:val="21"/>
          <w:highlight w:val="none"/>
        </w:rPr>
        <w:t xml:space="preserve">3.3.2 </w:t>
      </w:r>
      <w:r>
        <w:rPr>
          <w:rFonts w:ascii="宋体" w:hAnsi="宋体" w:eastAsia="宋体" w:cs="宋体"/>
          <w:color w:val="auto"/>
          <w:spacing w:val="-1"/>
          <w:sz w:val="21"/>
          <w:szCs w:val="21"/>
          <w:highlight w:val="none"/>
        </w:rPr>
        <w:t>项的报价原则计价。</w:t>
      </w:r>
    </w:p>
    <w:p w14:paraId="26A9D3C6">
      <w:pPr>
        <w:spacing w:before="168" w:line="219" w:lineRule="auto"/>
        <w:ind w:left="16"/>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2.6.3  </w:t>
      </w:r>
      <w:r>
        <w:rPr>
          <w:rFonts w:ascii="宋体" w:hAnsi="宋体" w:eastAsia="宋体" w:cs="宋体"/>
          <w:color w:val="auto"/>
          <w:sz w:val="21"/>
          <w:szCs w:val="21"/>
          <w:highlight w:val="none"/>
        </w:rPr>
        <w:t>如果分部分项工程和单价措施项目清单中涉及“发包人提供的材料和工程设备一览</w:t>
      </w:r>
    </w:p>
    <w:p w14:paraId="3FCAABA7">
      <w:pPr>
        <w:spacing w:line="219" w:lineRule="auto"/>
        <w:rPr>
          <w:rFonts w:ascii="宋体" w:hAnsi="宋体" w:eastAsia="宋体" w:cs="宋体"/>
          <w:color w:val="auto"/>
          <w:sz w:val="21"/>
          <w:szCs w:val="21"/>
          <w:highlight w:val="none"/>
        </w:rPr>
        <w:sectPr>
          <w:footerReference r:id="rId175" w:type="default"/>
          <w:pgSz w:w="11905" w:h="16839"/>
          <w:pgMar w:top="400" w:right="1614" w:bottom="1004" w:left="1785" w:header="0" w:footer="828" w:gutter="0"/>
          <w:pgNumType w:fmt="decimal"/>
          <w:cols w:space="720" w:num="1"/>
        </w:sectPr>
      </w:pPr>
    </w:p>
    <w:p w14:paraId="07589E8A">
      <w:pPr>
        <w:pStyle w:val="3"/>
        <w:spacing w:line="281" w:lineRule="auto"/>
        <w:rPr>
          <w:color w:val="auto"/>
          <w:highlight w:val="none"/>
        </w:rPr>
      </w:pPr>
    </w:p>
    <w:p w14:paraId="01984048">
      <w:pPr>
        <w:pStyle w:val="3"/>
        <w:spacing w:line="281" w:lineRule="auto"/>
        <w:rPr>
          <w:color w:val="auto"/>
          <w:highlight w:val="none"/>
        </w:rPr>
      </w:pPr>
    </w:p>
    <w:p w14:paraId="5CA77618">
      <w:pPr>
        <w:pStyle w:val="3"/>
        <w:spacing w:line="281" w:lineRule="auto"/>
        <w:rPr>
          <w:color w:val="auto"/>
          <w:highlight w:val="none"/>
        </w:rPr>
      </w:pPr>
    </w:p>
    <w:p w14:paraId="74217461">
      <w:pPr>
        <w:pStyle w:val="3"/>
        <w:spacing w:line="281" w:lineRule="auto"/>
        <w:rPr>
          <w:color w:val="auto"/>
          <w:highlight w:val="none"/>
        </w:rPr>
      </w:pPr>
    </w:p>
    <w:p w14:paraId="29D2C82A">
      <w:pPr>
        <w:spacing w:before="68" w:line="220" w:lineRule="auto"/>
        <w:ind w:left="785"/>
        <w:rPr>
          <w:rFonts w:ascii="宋体" w:hAnsi="宋体" w:eastAsia="宋体" w:cs="宋体"/>
          <w:color w:val="auto"/>
          <w:sz w:val="21"/>
          <w:szCs w:val="21"/>
          <w:highlight w:val="none"/>
        </w:rPr>
      </w:pPr>
      <w:bookmarkStart w:id="1294" w:name="bookmark240"/>
      <w:bookmarkEnd w:id="1294"/>
      <w:r>
        <w:rPr>
          <w:rFonts w:ascii="宋体" w:hAnsi="宋体" w:eastAsia="宋体" w:cs="宋体"/>
          <w:color w:val="auto"/>
          <w:spacing w:val="-3"/>
          <w:sz w:val="21"/>
          <w:szCs w:val="21"/>
          <w:highlight w:val="none"/>
        </w:rPr>
        <w:t>表”</w:t>
      </w:r>
      <w:r>
        <w:rPr>
          <w:rFonts w:ascii="宋体" w:hAnsi="宋体" w:eastAsia="宋体" w:cs="宋体"/>
          <w:color w:val="auto"/>
          <w:spacing w:val="28"/>
          <w:sz w:val="21"/>
          <w:szCs w:val="21"/>
          <w:highlight w:val="none"/>
        </w:rPr>
        <w:t xml:space="preserve"> </w:t>
      </w:r>
      <w:r>
        <w:rPr>
          <w:rFonts w:ascii="宋体" w:hAnsi="宋体" w:eastAsia="宋体" w:cs="宋体"/>
          <w:color w:val="auto"/>
          <w:spacing w:val="-3"/>
          <w:sz w:val="21"/>
          <w:szCs w:val="21"/>
          <w:highlight w:val="none"/>
        </w:rPr>
        <w:t>列出的材料和工程设备。</w:t>
      </w:r>
    </w:p>
    <w:p w14:paraId="272C69D6">
      <w:pPr>
        <w:spacing w:before="167" w:line="423" w:lineRule="exact"/>
        <w:ind w:left="785"/>
        <w:rPr>
          <w:rFonts w:ascii="宋体" w:hAnsi="宋体" w:eastAsia="宋体" w:cs="宋体"/>
          <w:color w:val="auto"/>
          <w:sz w:val="21"/>
          <w:szCs w:val="21"/>
          <w:highlight w:val="none"/>
        </w:rPr>
      </w:pPr>
      <w:r>
        <w:rPr>
          <w:rFonts w:ascii="宋体" w:hAnsi="宋体" w:eastAsia="宋体" w:cs="宋体"/>
          <w:color w:val="auto"/>
          <w:spacing w:val="-1"/>
          <w:position w:val="16"/>
          <w:sz w:val="21"/>
          <w:szCs w:val="21"/>
          <w:highlight w:val="none"/>
        </w:rPr>
        <w:t>采用一般计税方法的，甲供材不计入除税工程造价。</w:t>
      </w:r>
    </w:p>
    <w:p w14:paraId="20ED5D3B">
      <w:pPr>
        <w:spacing w:line="219" w:lineRule="auto"/>
        <w:ind w:left="752"/>
        <w:rPr>
          <w:rFonts w:ascii="宋体" w:hAnsi="宋体" w:eastAsia="宋体" w:cs="宋体"/>
          <w:color w:val="auto"/>
          <w:sz w:val="21"/>
          <w:szCs w:val="21"/>
          <w:highlight w:val="none"/>
        </w:rPr>
      </w:pPr>
      <w:r>
        <w:rPr>
          <w:rFonts w:ascii="宋体" w:hAnsi="宋体" w:eastAsia="宋体" w:cs="宋体"/>
          <w:color w:val="auto"/>
          <w:sz w:val="21"/>
          <w:szCs w:val="21"/>
          <w:highlight w:val="none"/>
        </w:rPr>
        <w:t>采用简易计税方法的，甲供材计入除税工程</w:t>
      </w:r>
      <w:r>
        <w:rPr>
          <w:rFonts w:ascii="宋体" w:hAnsi="宋体" w:eastAsia="宋体" w:cs="宋体"/>
          <w:color w:val="auto"/>
          <w:spacing w:val="-1"/>
          <w:sz w:val="21"/>
          <w:szCs w:val="21"/>
          <w:highlight w:val="none"/>
        </w:rPr>
        <w:t>造价。</w:t>
      </w:r>
    </w:p>
    <w:p w14:paraId="678EB4EC">
      <w:pPr>
        <w:spacing w:before="168" w:line="219" w:lineRule="auto"/>
        <w:ind w:left="16"/>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2.6.4  </w:t>
      </w:r>
      <w:r>
        <w:rPr>
          <w:rFonts w:ascii="宋体" w:hAnsi="宋体" w:eastAsia="宋体" w:cs="宋体"/>
          <w:color w:val="auto"/>
          <w:sz w:val="21"/>
          <w:szCs w:val="21"/>
          <w:highlight w:val="none"/>
        </w:rPr>
        <w:t>“分部分项工程和单价措施项目清单与计价表”所列各项目的综合单价组成中</w:t>
      </w:r>
      <w:r>
        <w:rPr>
          <w:rFonts w:ascii="宋体" w:hAnsi="宋体" w:eastAsia="宋体" w:cs="宋体"/>
          <w:color w:val="auto"/>
          <w:spacing w:val="-1"/>
          <w:sz w:val="21"/>
          <w:szCs w:val="21"/>
          <w:highlight w:val="none"/>
        </w:rPr>
        <w:t>，各</w:t>
      </w:r>
    </w:p>
    <w:p w14:paraId="7D180F6B">
      <w:pPr>
        <w:spacing w:before="173" w:line="417" w:lineRule="exact"/>
        <w:ind w:right="8"/>
        <w:jc w:val="right"/>
        <w:rPr>
          <w:rFonts w:ascii="宋体" w:hAnsi="宋体" w:eastAsia="宋体" w:cs="宋体"/>
          <w:color w:val="auto"/>
          <w:sz w:val="21"/>
          <w:szCs w:val="21"/>
          <w:highlight w:val="none"/>
        </w:rPr>
      </w:pPr>
      <w:r>
        <w:rPr>
          <w:rFonts w:ascii="宋体" w:hAnsi="宋体" w:eastAsia="宋体" w:cs="宋体"/>
          <w:color w:val="auto"/>
          <w:spacing w:val="5"/>
          <w:position w:val="15"/>
          <w:sz w:val="21"/>
          <w:szCs w:val="21"/>
          <w:highlight w:val="none"/>
        </w:rPr>
        <w:t>项目的人工、材料和机械台班消耗量由投标人按照其自身情况做充分的竞争性考</w:t>
      </w:r>
    </w:p>
    <w:p w14:paraId="5017AC05">
      <w:pPr>
        <w:spacing w:before="1" w:line="219" w:lineRule="auto"/>
        <w:ind w:left="78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虑。材料消耗量包括损耗量。</w:t>
      </w:r>
    </w:p>
    <w:p w14:paraId="07AA375F">
      <w:pPr>
        <w:spacing w:before="172" w:line="418" w:lineRule="exact"/>
        <w:ind w:left="16"/>
        <w:rPr>
          <w:rFonts w:ascii="宋体" w:hAnsi="宋体" w:eastAsia="宋体" w:cs="宋体"/>
          <w:color w:val="auto"/>
          <w:sz w:val="21"/>
          <w:szCs w:val="21"/>
          <w:highlight w:val="none"/>
        </w:rPr>
      </w:pPr>
      <w:r>
        <w:rPr>
          <w:rFonts w:ascii="黑体" w:hAnsi="黑体" w:eastAsia="黑体" w:cs="黑体"/>
          <w:color w:val="auto"/>
          <w:spacing w:val="1"/>
          <w:position w:val="15"/>
          <w:sz w:val="21"/>
          <w:szCs w:val="21"/>
          <w:highlight w:val="none"/>
        </w:rPr>
        <w:t>2.6.5</w:t>
      </w:r>
      <w:r>
        <w:rPr>
          <w:rFonts w:ascii="黑体" w:hAnsi="黑体" w:eastAsia="黑体" w:cs="黑体"/>
          <w:color w:val="auto"/>
          <w:spacing w:val="71"/>
          <w:position w:val="15"/>
          <w:sz w:val="21"/>
          <w:szCs w:val="21"/>
          <w:highlight w:val="none"/>
        </w:rPr>
        <w:t xml:space="preserve"> </w:t>
      </w:r>
      <w:r>
        <w:rPr>
          <w:rFonts w:ascii="宋体" w:hAnsi="宋体" w:eastAsia="宋体" w:cs="宋体"/>
          <w:color w:val="auto"/>
          <w:spacing w:val="1"/>
          <w:position w:val="15"/>
          <w:sz w:val="21"/>
          <w:szCs w:val="21"/>
          <w:highlight w:val="none"/>
        </w:rPr>
        <w:t>投标人在投标文件中提交并构成合同文件的“承包人提供主要材料和工程设备一览</w:t>
      </w:r>
    </w:p>
    <w:p w14:paraId="7092F25F">
      <w:pPr>
        <w:spacing w:before="1" w:line="220" w:lineRule="auto"/>
        <w:ind w:left="78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表”应符合下列要求。</w:t>
      </w:r>
    </w:p>
    <w:p w14:paraId="6386AE29">
      <w:pPr>
        <w:spacing w:before="172" w:line="417" w:lineRule="exact"/>
        <w:ind w:left="752"/>
        <w:rPr>
          <w:rFonts w:ascii="宋体" w:hAnsi="宋体" w:eastAsia="宋体" w:cs="宋体"/>
          <w:color w:val="auto"/>
          <w:sz w:val="21"/>
          <w:szCs w:val="21"/>
          <w:highlight w:val="none"/>
        </w:rPr>
      </w:pPr>
      <w:r>
        <w:rPr>
          <w:rFonts w:ascii="宋体" w:hAnsi="宋体" w:eastAsia="宋体" w:cs="宋体"/>
          <w:color w:val="auto"/>
          <w:position w:val="15"/>
          <w:sz w:val="21"/>
          <w:szCs w:val="21"/>
          <w:highlight w:val="none"/>
        </w:rPr>
        <w:t>采用一般计税方法的，进入综合单价的材料和工程设备的价格为除</w:t>
      </w:r>
      <w:r>
        <w:rPr>
          <w:rFonts w:ascii="宋体" w:hAnsi="宋体" w:eastAsia="宋体" w:cs="宋体"/>
          <w:color w:val="auto"/>
          <w:spacing w:val="-1"/>
          <w:position w:val="15"/>
          <w:sz w:val="21"/>
          <w:szCs w:val="21"/>
          <w:highlight w:val="none"/>
        </w:rPr>
        <w:t>税价格。</w:t>
      </w:r>
    </w:p>
    <w:p w14:paraId="50D2E393">
      <w:pPr>
        <w:spacing w:line="219" w:lineRule="auto"/>
        <w:ind w:left="752"/>
        <w:rPr>
          <w:rFonts w:ascii="宋体" w:hAnsi="宋体" w:eastAsia="宋体" w:cs="宋体"/>
          <w:color w:val="auto"/>
          <w:sz w:val="21"/>
          <w:szCs w:val="21"/>
          <w:highlight w:val="none"/>
        </w:rPr>
      </w:pPr>
      <w:r>
        <w:rPr>
          <w:rFonts w:ascii="宋体" w:hAnsi="宋体" w:eastAsia="宋体" w:cs="宋体"/>
          <w:color w:val="auto"/>
          <w:sz w:val="21"/>
          <w:szCs w:val="21"/>
          <w:highlight w:val="none"/>
        </w:rPr>
        <w:t>采用简易计税方法的，进入综合单价的材料和工程设备的价格为含</w:t>
      </w:r>
      <w:r>
        <w:rPr>
          <w:rFonts w:ascii="宋体" w:hAnsi="宋体" w:eastAsia="宋体" w:cs="宋体"/>
          <w:color w:val="auto"/>
          <w:spacing w:val="-1"/>
          <w:sz w:val="21"/>
          <w:szCs w:val="21"/>
          <w:highlight w:val="none"/>
        </w:rPr>
        <w:t>税价格。</w:t>
      </w:r>
    </w:p>
    <w:p w14:paraId="1EE1932D">
      <w:pPr>
        <w:spacing w:before="174" w:line="219" w:lineRule="auto"/>
        <w:ind w:left="16"/>
        <w:rPr>
          <w:rFonts w:ascii="宋体" w:hAnsi="宋体" w:eastAsia="宋体" w:cs="宋体"/>
          <w:color w:val="auto"/>
          <w:sz w:val="21"/>
          <w:szCs w:val="21"/>
          <w:highlight w:val="none"/>
        </w:rPr>
      </w:pPr>
      <w:r>
        <w:rPr>
          <w:rFonts w:ascii="黑体" w:hAnsi="黑体" w:eastAsia="黑体" w:cs="黑体"/>
          <w:color w:val="auto"/>
          <w:spacing w:val="-2"/>
          <w:sz w:val="21"/>
          <w:szCs w:val="21"/>
          <w:highlight w:val="none"/>
        </w:rPr>
        <w:t xml:space="preserve">2.6.6   </w:t>
      </w:r>
      <w:r>
        <w:rPr>
          <w:rFonts w:ascii="宋体" w:hAnsi="宋体" w:eastAsia="宋体" w:cs="宋体"/>
          <w:color w:val="auto"/>
          <w:spacing w:val="-2"/>
          <w:sz w:val="21"/>
          <w:szCs w:val="21"/>
          <w:highlight w:val="none"/>
        </w:rPr>
        <w:t>投标人应对每一个分部分项工程和单价措施项目编制“综合单价分析表”</w:t>
      </w:r>
      <w:r>
        <w:rPr>
          <w:rFonts w:ascii="宋体" w:hAnsi="宋体" w:eastAsia="宋体" w:cs="宋体"/>
          <w:color w:val="auto"/>
          <w:spacing w:val="-3"/>
          <w:sz w:val="21"/>
          <w:szCs w:val="21"/>
          <w:highlight w:val="none"/>
        </w:rPr>
        <w:t>，并按分</w:t>
      </w:r>
    </w:p>
    <w:p w14:paraId="012E6B79">
      <w:pPr>
        <w:spacing w:before="169" w:line="369" w:lineRule="auto"/>
        <w:ind w:left="787" w:right="5" w:firstLine="1"/>
        <w:jc w:val="both"/>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部分项工程和单价措施项目的顺序附在“分部分项工程和单价措施项目清单与计</w:t>
      </w:r>
      <w:r>
        <w:rPr>
          <w:rFonts w:ascii="宋体" w:hAnsi="宋体" w:eastAsia="宋体" w:cs="宋体"/>
          <w:color w:val="auto"/>
          <w:spacing w:val="11"/>
          <w:sz w:val="21"/>
          <w:szCs w:val="21"/>
          <w:highlight w:val="none"/>
        </w:rPr>
        <w:t xml:space="preserve"> </w:t>
      </w:r>
      <w:r>
        <w:rPr>
          <w:rFonts w:ascii="宋体" w:hAnsi="宋体" w:eastAsia="宋体" w:cs="宋体"/>
          <w:color w:val="auto"/>
          <w:spacing w:val="-1"/>
          <w:sz w:val="21"/>
          <w:szCs w:val="21"/>
          <w:highlight w:val="none"/>
        </w:rPr>
        <w:t>价表”之后，“综合单价分析表”中的综合单价应与“分部分项工程和单价措施项</w:t>
      </w:r>
    </w:p>
    <w:p w14:paraId="3D462AAA">
      <w:pPr>
        <w:spacing w:line="219" w:lineRule="auto"/>
        <w:ind w:left="82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目清单与计价表”中相应的综合单价一致。</w:t>
      </w:r>
    </w:p>
    <w:p w14:paraId="0BD16EF0">
      <w:pPr>
        <w:spacing w:before="135" w:line="219" w:lineRule="auto"/>
        <w:ind w:left="16"/>
        <w:rPr>
          <w:rFonts w:ascii="宋体" w:hAnsi="宋体" w:eastAsia="宋体" w:cs="宋体"/>
          <w:color w:val="auto"/>
          <w:sz w:val="21"/>
          <w:szCs w:val="21"/>
          <w:highlight w:val="none"/>
        </w:rPr>
      </w:pPr>
      <w:r>
        <w:rPr>
          <w:rFonts w:ascii="黑体" w:hAnsi="黑体" w:eastAsia="黑体" w:cs="黑体"/>
          <w:color w:val="auto"/>
          <w:spacing w:val="-2"/>
          <w:sz w:val="21"/>
          <w:szCs w:val="21"/>
          <w:highlight w:val="none"/>
        </w:rPr>
        <w:t xml:space="preserve">2.7  </w:t>
      </w:r>
      <w:r>
        <w:rPr>
          <w:rFonts w:ascii="宋体" w:hAnsi="宋体" w:eastAsia="宋体" w:cs="宋体"/>
          <w:color w:val="auto"/>
          <w:spacing w:val="-2"/>
          <w:sz w:val="21"/>
          <w:szCs w:val="21"/>
          <w:highlight w:val="none"/>
        </w:rPr>
        <w:t>总价措施项目按下列要求报价：</w:t>
      </w:r>
    </w:p>
    <w:p w14:paraId="1582C6F1">
      <w:pPr>
        <w:spacing w:before="169" w:line="293" w:lineRule="auto"/>
        <w:ind w:left="787" w:right="1" w:hanging="771"/>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2.7.1</w:t>
      </w:r>
      <w:r>
        <w:rPr>
          <w:rFonts w:ascii="黑体" w:hAnsi="黑体" w:eastAsia="黑体" w:cs="黑体"/>
          <w:color w:val="auto"/>
          <w:spacing w:val="63"/>
          <w:sz w:val="21"/>
          <w:szCs w:val="21"/>
          <w:highlight w:val="none"/>
        </w:rPr>
        <w:t xml:space="preserve"> </w:t>
      </w:r>
      <w:r>
        <w:rPr>
          <w:rFonts w:ascii="宋体" w:hAnsi="宋体" w:eastAsia="宋体" w:cs="宋体"/>
          <w:color w:val="auto"/>
          <w:spacing w:val="1"/>
          <w:sz w:val="21"/>
          <w:szCs w:val="21"/>
          <w:highlight w:val="none"/>
        </w:rPr>
        <w:t>总价措施项目应根据招标文件及投标时拟定的施工组织设计或施工方案，</w:t>
      </w:r>
      <w:r>
        <w:rPr>
          <w:rFonts w:ascii="宋体" w:hAnsi="宋体" w:eastAsia="宋体" w:cs="宋体"/>
          <w:color w:val="auto"/>
          <w:spacing w:val="-63"/>
          <w:sz w:val="21"/>
          <w:szCs w:val="21"/>
          <w:highlight w:val="none"/>
        </w:rPr>
        <w:t xml:space="preserve"> </w:t>
      </w:r>
      <w:r>
        <w:rPr>
          <w:rFonts w:ascii="宋体" w:hAnsi="宋体" w:eastAsia="宋体" w:cs="宋体"/>
          <w:color w:val="auto"/>
          <w:spacing w:val="1"/>
          <w:sz w:val="21"/>
          <w:szCs w:val="21"/>
          <w:highlight w:val="none"/>
        </w:rPr>
        <w:t>以</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项</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为</w:t>
      </w:r>
      <w:r>
        <w:rPr>
          <w:rFonts w:ascii="宋体" w:hAnsi="宋体" w:eastAsia="宋体" w:cs="宋体"/>
          <w:color w:val="auto"/>
          <w:sz w:val="21"/>
          <w:szCs w:val="21"/>
          <w:highlight w:val="none"/>
        </w:rPr>
        <w:t xml:space="preserve"> 单位自主确定价格</w:t>
      </w:r>
      <w:r>
        <w:rPr>
          <w:rFonts w:ascii="宋体" w:hAnsi="宋体" w:eastAsia="宋体" w:cs="宋体"/>
          <w:color w:val="auto"/>
          <w:sz w:val="19"/>
          <w:szCs w:val="19"/>
          <w:highlight w:val="none"/>
        </w:rPr>
        <w:t>。</w:t>
      </w:r>
      <w:r>
        <w:rPr>
          <w:rFonts w:ascii="宋体" w:hAnsi="宋体" w:eastAsia="宋体" w:cs="宋体"/>
          <w:color w:val="auto"/>
          <w:sz w:val="21"/>
          <w:szCs w:val="21"/>
          <w:highlight w:val="none"/>
        </w:rPr>
        <w:t>投标人所填报价格应包括除规费、税金外的</w:t>
      </w:r>
      <w:r>
        <w:rPr>
          <w:rFonts w:ascii="宋体" w:hAnsi="宋体" w:eastAsia="宋体" w:cs="宋体"/>
          <w:color w:val="auto"/>
          <w:spacing w:val="-1"/>
          <w:sz w:val="21"/>
          <w:szCs w:val="21"/>
          <w:highlight w:val="none"/>
        </w:rPr>
        <w:t>全部费用。</w:t>
      </w:r>
    </w:p>
    <w:p w14:paraId="3980B71C">
      <w:pPr>
        <w:spacing w:before="173" w:line="294" w:lineRule="auto"/>
        <w:ind w:left="791" w:right="14" w:hanging="775"/>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2.7.2</w:t>
      </w:r>
      <w:r>
        <w:rPr>
          <w:rFonts w:ascii="黑体" w:hAnsi="黑体" w:eastAsia="黑体" w:cs="黑体"/>
          <w:color w:val="auto"/>
          <w:spacing w:val="70"/>
          <w:sz w:val="21"/>
          <w:szCs w:val="21"/>
          <w:highlight w:val="none"/>
        </w:rPr>
        <w:t xml:space="preserve"> </w:t>
      </w:r>
      <w:r>
        <w:rPr>
          <w:rFonts w:ascii="宋体" w:hAnsi="宋体" w:eastAsia="宋体" w:cs="宋体"/>
          <w:color w:val="auto"/>
          <w:spacing w:val="1"/>
          <w:sz w:val="21"/>
          <w:szCs w:val="21"/>
          <w:highlight w:val="none"/>
        </w:rPr>
        <w:t>总价措施项目清单中的安全文明施工费必须按国家或省级、行业建设主管部门的规</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定计算，不得作为竞争性费用。</w:t>
      </w:r>
    </w:p>
    <w:p w14:paraId="73BAA9E1">
      <w:pPr>
        <w:spacing w:before="172" w:line="219" w:lineRule="auto"/>
        <w:ind w:left="16"/>
        <w:rPr>
          <w:rFonts w:ascii="宋体" w:hAnsi="宋体" w:eastAsia="宋体" w:cs="宋体"/>
          <w:color w:val="auto"/>
          <w:sz w:val="21"/>
          <w:szCs w:val="21"/>
          <w:highlight w:val="none"/>
        </w:rPr>
      </w:pPr>
      <w:r>
        <w:rPr>
          <w:rFonts w:ascii="黑体" w:hAnsi="黑体" w:eastAsia="黑体" w:cs="黑体"/>
          <w:color w:val="auto"/>
          <w:spacing w:val="2"/>
          <w:sz w:val="21"/>
          <w:szCs w:val="21"/>
          <w:highlight w:val="none"/>
        </w:rPr>
        <w:t>2.7.3</w:t>
      </w:r>
      <w:r>
        <w:rPr>
          <w:rFonts w:ascii="黑体" w:hAnsi="黑体" w:eastAsia="黑体" w:cs="黑体"/>
          <w:color w:val="auto"/>
          <w:spacing w:val="50"/>
          <w:sz w:val="21"/>
          <w:szCs w:val="21"/>
          <w:highlight w:val="none"/>
        </w:rPr>
        <w:t xml:space="preserve"> </w:t>
      </w:r>
      <w:r>
        <w:rPr>
          <w:rFonts w:ascii="宋体" w:hAnsi="宋体" w:eastAsia="宋体" w:cs="宋体"/>
          <w:color w:val="auto"/>
          <w:spacing w:val="2"/>
          <w:sz w:val="21"/>
          <w:szCs w:val="21"/>
          <w:highlight w:val="none"/>
        </w:rPr>
        <w:t>“总价措施项目清单与计价表”中</w:t>
      </w:r>
      <w:r>
        <w:rPr>
          <w:rFonts w:ascii="宋体" w:hAnsi="宋体" w:eastAsia="宋体" w:cs="宋体"/>
          <w:color w:val="auto"/>
          <w:spacing w:val="1"/>
          <w:sz w:val="21"/>
          <w:szCs w:val="21"/>
          <w:highlight w:val="none"/>
        </w:rPr>
        <w:t>所填写的报价金额，应全面涵盖招标文件约定的</w:t>
      </w:r>
    </w:p>
    <w:p w14:paraId="25FBF991">
      <w:pPr>
        <w:spacing w:before="168" w:line="423" w:lineRule="exact"/>
        <w:ind w:right="8"/>
        <w:jc w:val="right"/>
        <w:rPr>
          <w:rFonts w:ascii="宋体" w:hAnsi="宋体" w:eastAsia="宋体" w:cs="宋体"/>
          <w:color w:val="auto"/>
          <w:sz w:val="21"/>
          <w:szCs w:val="21"/>
          <w:highlight w:val="none"/>
        </w:rPr>
      </w:pPr>
      <w:r>
        <w:rPr>
          <w:rFonts w:ascii="宋体" w:hAnsi="宋体" w:eastAsia="宋体" w:cs="宋体"/>
          <w:color w:val="auto"/>
          <w:spacing w:val="5"/>
          <w:position w:val="16"/>
          <w:sz w:val="21"/>
          <w:szCs w:val="21"/>
          <w:highlight w:val="none"/>
        </w:rPr>
        <w:t>投标人中标后施工、竣工、交付本工程并维修其任何缺陷所需要履行的责任和义</w:t>
      </w:r>
    </w:p>
    <w:p w14:paraId="03EFBE6A">
      <w:pPr>
        <w:spacing w:line="220" w:lineRule="auto"/>
        <w:ind w:left="78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务的全部费用。</w:t>
      </w:r>
    </w:p>
    <w:p w14:paraId="2E573539">
      <w:pPr>
        <w:spacing w:before="134" w:line="219" w:lineRule="auto"/>
        <w:ind w:left="16"/>
        <w:rPr>
          <w:rFonts w:ascii="宋体" w:hAnsi="宋体" w:eastAsia="宋体" w:cs="宋体"/>
          <w:color w:val="auto"/>
          <w:sz w:val="21"/>
          <w:szCs w:val="21"/>
          <w:highlight w:val="none"/>
        </w:rPr>
      </w:pPr>
      <w:r>
        <w:rPr>
          <w:rFonts w:ascii="黑体" w:hAnsi="黑体" w:eastAsia="黑体" w:cs="黑体"/>
          <w:color w:val="auto"/>
          <w:spacing w:val="-2"/>
          <w:sz w:val="21"/>
          <w:szCs w:val="21"/>
          <w:highlight w:val="none"/>
        </w:rPr>
        <w:t xml:space="preserve">2.8  </w:t>
      </w:r>
      <w:r>
        <w:rPr>
          <w:rFonts w:ascii="宋体" w:hAnsi="宋体" w:eastAsia="宋体" w:cs="宋体"/>
          <w:color w:val="auto"/>
          <w:spacing w:val="-2"/>
          <w:sz w:val="21"/>
          <w:szCs w:val="21"/>
          <w:highlight w:val="none"/>
        </w:rPr>
        <w:t>其他项目应按下列规定报价：</w:t>
      </w:r>
    </w:p>
    <w:p w14:paraId="2D5198D1">
      <w:pPr>
        <w:spacing w:before="163" w:line="221" w:lineRule="auto"/>
        <w:ind w:left="21"/>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2.8.1 </w:t>
      </w:r>
      <w:r>
        <w:rPr>
          <w:rFonts w:ascii="宋体" w:hAnsi="宋体" w:eastAsia="宋体" w:cs="宋体"/>
          <w:color w:val="auto"/>
          <w:spacing w:val="-1"/>
          <w:sz w:val="21"/>
          <w:szCs w:val="21"/>
          <w:highlight w:val="none"/>
        </w:rPr>
        <w:t>暂列金额应按招标工程量清单“暂列金额明细表”中列出的金额填写，不得变动。</w:t>
      </w:r>
    </w:p>
    <w:p w14:paraId="416C9915">
      <w:pPr>
        <w:spacing w:before="171" w:line="344" w:lineRule="auto"/>
        <w:ind w:left="737" w:right="2" w:hanging="716"/>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2.8.2</w:t>
      </w:r>
      <w:r>
        <w:rPr>
          <w:rFonts w:ascii="黑体" w:hAnsi="黑体" w:eastAsia="黑体" w:cs="黑体"/>
          <w:color w:val="auto"/>
          <w:spacing w:val="65"/>
          <w:sz w:val="21"/>
          <w:szCs w:val="21"/>
          <w:highlight w:val="none"/>
        </w:rPr>
        <w:t xml:space="preserve"> </w:t>
      </w:r>
      <w:r>
        <w:rPr>
          <w:rFonts w:ascii="宋体" w:hAnsi="宋体" w:eastAsia="宋体" w:cs="宋体"/>
          <w:color w:val="auto"/>
          <w:spacing w:val="1"/>
          <w:sz w:val="21"/>
          <w:szCs w:val="21"/>
          <w:highlight w:val="none"/>
        </w:rPr>
        <w:t>暂估价分为材料（工程设备）暂估单价和专业工程暂估价两类。其中材料、工程设</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备暂估单价应按招标工程量清单“材料（工程设备） 暂估单价表”中列出的单</w:t>
      </w:r>
      <w:r>
        <w:rPr>
          <w:rFonts w:ascii="宋体" w:hAnsi="宋体" w:eastAsia="宋体" w:cs="宋体"/>
          <w:color w:val="auto"/>
          <w:spacing w:val="-3"/>
          <w:sz w:val="21"/>
          <w:szCs w:val="21"/>
          <w:highlight w:val="none"/>
        </w:rPr>
        <w:t>价和</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 xml:space="preserve">本节第 </w:t>
      </w:r>
      <w:r>
        <w:rPr>
          <w:rFonts w:ascii="Times New Roman" w:hAnsi="Times New Roman" w:eastAsia="Times New Roman" w:cs="Times New Roman"/>
          <w:color w:val="auto"/>
          <w:spacing w:val="1"/>
          <w:sz w:val="21"/>
          <w:szCs w:val="21"/>
          <w:highlight w:val="none"/>
        </w:rPr>
        <w:t xml:space="preserve">3.3.2  </w:t>
      </w:r>
      <w:r>
        <w:rPr>
          <w:rFonts w:ascii="宋体" w:hAnsi="宋体" w:eastAsia="宋体" w:cs="宋体"/>
          <w:color w:val="auto"/>
          <w:spacing w:val="1"/>
          <w:sz w:val="21"/>
          <w:szCs w:val="21"/>
          <w:highlight w:val="none"/>
        </w:rPr>
        <w:t>项的报价原则进入分部分</w:t>
      </w:r>
      <w:r>
        <w:rPr>
          <w:rFonts w:ascii="宋体" w:hAnsi="宋体" w:eastAsia="宋体" w:cs="宋体"/>
          <w:color w:val="auto"/>
          <w:sz w:val="21"/>
          <w:szCs w:val="21"/>
          <w:highlight w:val="none"/>
        </w:rPr>
        <w:t xml:space="preserve">项工程和单价措施项目清单之综合单价，不 </w:t>
      </w:r>
      <w:r>
        <w:rPr>
          <w:rFonts w:ascii="宋体" w:hAnsi="宋体" w:eastAsia="宋体" w:cs="宋体"/>
          <w:color w:val="auto"/>
          <w:spacing w:val="1"/>
          <w:sz w:val="21"/>
          <w:szCs w:val="21"/>
          <w:highlight w:val="none"/>
        </w:rPr>
        <w:t>得变动，不在“其他项目清单与计价汇总表”中汇总；专业工程暂估价</w:t>
      </w:r>
      <w:r>
        <w:rPr>
          <w:rFonts w:ascii="宋体" w:hAnsi="宋体" w:eastAsia="宋体" w:cs="宋体"/>
          <w:color w:val="auto"/>
          <w:sz w:val="21"/>
          <w:szCs w:val="21"/>
          <w:highlight w:val="none"/>
        </w:rPr>
        <w:t xml:space="preserve">应按招标工 </w:t>
      </w:r>
      <w:r>
        <w:rPr>
          <w:rFonts w:ascii="宋体" w:hAnsi="宋体" w:eastAsia="宋体" w:cs="宋体"/>
          <w:color w:val="auto"/>
          <w:spacing w:val="-2"/>
          <w:sz w:val="21"/>
          <w:szCs w:val="21"/>
          <w:highlight w:val="none"/>
        </w:rPr>
        <w:t>程量清单</w:t>
      </w:r>
      <w:r>
        <w:rPr>
          <w:rFonts w:ascii="宋体" w:hAnsi="宋体" w:eastAsia="宋体" w:cs="宋体"/>
          <w:color w:val="auto"/>
          <w:spacing w:val="40"/>
          <w:sz w:val="21"/>
          <w:szCs w:val="21"/>
          <w:highlight w:val="none"/>
        </w:rPr>
        <w:t xml:space="preserve"> </w:t>
      </w:r>
      <w:r>
        <w:rPr>
          <w:rFonts w:ascii="宋体" w:hAnsi="宋体" w:eastAsia="宋体" w:cs="宋体"/>
          <w:color w:val="auto"/>
          <w:spacing w:val="-2"/>
          <w:sz w:val="21"/>
          <w:szCs w:val="21"/>
          <w:highlight w:val="none"/>
        </w:rPr>
        <w:t>“专业工程暂估价表”中列出的金额</w:t>
      </w:r>
      <w:r>
        <w:rPr>
          <w:rFonts w:ascii="宋体" w:hAnsi="宋体" w:eastAsia="宋体" w:cs="宋体"/>
          <w:color w:val="auto"/>
          <w:spacing w:val="-3"/>
          <w:sz w:val="21"/>
          <w:szCs w:val="21"/>
          <w:highlight w:val="none"/>
        </w:rPr>
        <w:t xml:space="preserve">和本节第 </w:t>
      </w:r>
      <w:r>
        <w:rPr>
          <w:rFonts w:ascii="Times New Roman" w:hAnsi="Times New Roman" w:eastAsia="Times New Roman" w:cs="Times New Roman"/>
          <w:color w:val="auto"/>
          <w:spacing w:val="-3"/>
          <w:sz w:val="21"/>
          <w:szCs w:val="21"/>
          <w:highlight w:val="none"/>
        </w:rPr>
        <w:t>3.3.3</w:t>
      </w:r>
      <w:r>
        <w:rPr>
          <w:rFonts w:ascii="Times New Roman" w:hAnsi="Times New Roman" w:eastAsia="Times New Roman" w:cs="Times New Roman"/>
          <w:color w:val="auto"/>
          <w:spacing w:val="31"/>
          <w:w w:val="101"/>
          <w:sz w:val="21"/>
          <w:szCs w:val="21"/>
          <w:highlight w:val="none"/>
        </w:rPr>
        <w:t xml:space="preserve"> </w:t>
      </w:r>
      <w:r>
        <w:rPr>
          <w:rFonts w:ascii="宋体" w:hAnsi="宋体" w:eastAsia="宋体" w:cs="宋体"/>
          <w:color w:val="auto"/>
          <w:spacing w:val="-3"/>
          <w:sz w:val="21"/>
          <w:szCs w:val="21"/>
          <w:highlight w:val="none"/>
        </w:rPr>
        <w:t>项的报价原则计入其</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他项目清单报价，不得变动。</w:t>
      </w:r>
    </w:p>
    <w:p w14:paraId="0C5B78A6">
      <w:pPr>
        <w:spacing w:before="174" w:line="319" w:lineRule="auto"/>
        <w:ind w:left="757" w:right="8" w:hanging="736"/>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2.8.3</w:t>
      </w:r>
      <w:r>
        <w:rPr>
          <w:rFonts w:ascii="黑体" w:hAnsi="黑体" w:eastAsia="黑体" w:cs="黑体"/>
          <w:color w:val="auto"/>
          <w:spacing w:val="65"/>
          <w:sz w:val="21"/>
          <w:szCs w:val="21"/>
          <w:highlight w:val="none"/>
        </w:rPr>
        <w:t xml:space="preserve"> </w:t>
      </w:r>
      <w:r>
        <w:rPr>
          <w:rFonts w:ascii="宋体" w:hAnsi="宋体" w:eastAsia="宋体" w:cs="宋体"/>
          <w:color w:val="auto"/>
          <w:spacing w:val="1"/>
          <w:sz w:val="21"/>
          <w:szCs w:val="21"/>
          <w:highlight w:val="none"/>
        </w:rPr>
        <w:t>计日工应按招标工程量清单“计日工表”中列出的项目和数量，自主确定单价并计</w:t>
      </w:r>
      <w:r>
        <w:rPr>
          <w:rFonts w:ascii="宋体" w:hAnsi="宋体" w:eastAsia="宋体" w:cs="宋体"/>
          <w:color w:val="auto"/>
          <w:sz w:val="21"/>
          <w:szCs w:val="21"/>
          <w:highlight w:val="none"/>
        </w:rPr>
        <w:t xml:space="preserve"> 取企业管理费与利润。计日工单价不包括规费和税金。总承包服务费应按招标工程</w:t>
      </w:r>
      <w:r>
        <w:rPr>
          <w:rFonts w:ascii="宋体" w:hAnsi="宋体" w:eastAsia="宋体" w:cs="宋体"/>
          <w:color w:val="auto"/>
          <w:spacing w:val="4"/>
          <w:sz w:val="21"/>
          <w:szCs w:val="21"/>
          <w:highlight w:val="none"/>
        </w:rPr>
        <w:t xml:space="preserve"> </w:t>
      </w:r>
      <w:r>
        <w:rPr>
          <w:rFonts w:ascii="宋体" w:hAnsi="宋体" w:eastAsia="宋体" w:cs="宋体"/>
          <w:color w:val="auto"/>
          <w:spacing w:val="-1"/>
          <w:sz w:val="21"/>
          <w:szCs w:val="21"/>
          <w:highlight w:val="none"/>
        </w:rPr>
        <w:t>量清单“总承包服务费计价表”中列出的内容和提出的要求自主报价。</w:t>
      </w:r>
    </w:p>
    <w:p w14:paraId="06D86D1B">
      <w:pPr>
        <w:spacing w:line="319" w:lineRule="auto"/>
        <w:rPr>
          <w:rFonts w:ascii="宋体" w:hAnsi="宋体" w:eastAsia="宋体" w:cs="宋体"/>
          <w:color w:val="auto"/>
          <w:sz w:val="21"/>
          <w:szCs w:val="21"/>
          <w:highlight w:val="none"/>
        </w:rPr>
        <w:sectPr>
          <w:footerReference r:id="rId176" w:type="default"/>
          <w:pgSz w:w="11905" w:h="16839"/>
          <w:pgMar w:top="400" w:right="1785" w:bottom="1004" w:left="1785" w:header="0" w:footer="828" w:gutter="0"/>
          <w:pgNumType w:fmt="decimal"/>
          <w:cols w:space="720" w:num="1"/>
        </w:sectPr>
      </w:pPr>
    </w:p>
    <w:p w14:paraId="42F49891">
      <w:pPr>
        <w:pStyle w:val="3"/>
        <w:spacing w:line="281" w:lineRule="auto"/>
        <w:rPr>
          <w:color w:val="auto"/>
          <w:highlight w:val="none"/>
        </w:rPr>
      </w:pPr>
    </w:p>
    <w:p w14:paraId="701143CB">
      <w:pPr>
        <w:pStyle w:val="3"/>
        <w:spacing w:line="281" w:lineRule="auto"/>
        <w:rPr>
          <w:color w:val="auto"/>
          <w:highlight w:val="none"/>
        </w:rPr>
      </w:pPr>
    </w:p>
    <w:p w14:paraId="03AC4630">
      <w:pPr>
        <w:pStyle w:val="3"/>
        <w:spacing w:line="281" w:lineRule="auto"/>
        <w:rPr>
          <w:color w:val="auto"/>
          <w:highlight w:val="none"/>
        </w:rPr>
      </w:pPr>
    </w:p>
    <w:p w14:paraId="44797FDE">
      <w:pPr>
        <w:pStyle w:val="3"/>
        <w:spacing w:line="281" w:lineRule="auto"/>
        <w:rPr>
          <w:color w:val="auto"/>
          <w:highlight w:val="none"/>
        </w:rPr>
      </w:pPr>
    </w:p>
    <w:p w14:paraId="40F18EF2">
      <w:pPr>
        <w:spacing w:before="69" w:line="219" w:lineRule="auto"/>
        <w:ind w:left="21"/>
        <w:rPr>
          <w:rFonts w:ascii="宋体" w:hAnsi="宋体" w:eastAsia="宋体" w:cs="宋体"/>
          <w:color w:val="auto"/>
          <w:sz w:val="21"/>
          <w:szCs w:val="21"/>
          <w:highlight w:val="none"/>
        </w:rPr>
      </w:pPr>
      <w:bookmarkStart w:id="1295" w:name="bookmark241"/>
      <w:bookmarkEnd w:id="1295"/>
      <w:r>
        <w:rPr>
          <w:rFonts w:ascii="黑体" w:hAnsi="黑体" w:eastAsia="黑体" w:cs="黑体"/>
          <w:color w:val="auto"/>
          <w:spacing w:val="-3"/>
          <w:sz w:val="21"/>
          <w:szCs w:val="21"/>
          <w:highlight w:val="none"/>
        </w:rPr>
        <w:t>2.9</w:t>
      </w:r>
      <w:r>
        <w:rPr>
          <w:rFonts w:ascii="黑体" w:hAnsi="黑体" w:eastAsia="黑体" w:cs="黑体"/>
          <w:color w:val="auto"/>
          <w:spacing w:val="69"/>
          <w:sz w:val="21"/>
          <w:szCs w:val="21"/>
          <w:highlight w:val="none"/>
        </w:rPr>
        <w:t xml:space="preserve"> </w:t>
      </w:r>
      <w:r>
        <w:rPr>
          <w:rFonts w:ascii="宋体" w:hAnsi="宋体" w:eastAsia="宋体" w:cs="宋体"/>
          <w:color w:val="auto"/>
          <w:spacing w:val="-3"/>
          <w:sz w:val="21"/>
          <w:szCs w:val="21"/>
          <w:highlight w:val="none"/>
        </w:rPr>
        <w:t>规费和税金项目按下列要求报价：</w:t>
      </w:r>
    </w:p>
    <w:p w14:paraId="0F5FDA3C">
      <w:pPr>
        <w:spacing w:before="168" w:line="423" w:lineRule="exact"/>
        <w:ind w:left="653"/>
        <w:rPr>
          <w:rFonts w:ascii="宋体" w:hAnsi="宋体" w:eastAsia="宋体" w:cs="宋体"/>
          <w:color w:val="auto"/>
          <w:sz w:val="21"/>
          <w:szCs w:val="21"/>
          <w:highlight w:val="none"/>
        </w:rPr>
      </w:pPr>
      <w:r>
        <w:rPr>
          <w:rFonts w:ascii="宋体" w:hAnsi="宋体" w:eastAsia="宋体" w:cs="宋体"/>
          <w:color w:val="auto"/>
          <w:position w:val="16"/>
          <w:sz w:val="21"/>
          <w:szCs w:val="21"/>
          <w:highlight w:val="none"/>
        </w:rPr>
        <w:t>规费和税金必须按国家或省级、行业建设主管部门的规定计算， 不得作为竞争性费</w:t>
      </w:r>
    </w:p>
    <w:p w14:paraId="5A59B5C9">
      <w:pPr>
        <w:spacing w:line="222" w:lineRule="auto"/>
        <w:ind w:left="654"/>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用。</w:t>
      </w:r>
    </w:p>
    <w:p w14:paraId="12F0E940">
      <w:pPr>
        <w:spacing w:before="165" w:line="219" w:lineRule="auto"/>
        <w:ind w:left="21"/>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2.10   </w:t>
      </w:r>
      <w:r>
        <w:rPr>
          <w:rFonts w:ascii="宋体" w:hAnsi="宋体" w:eastAsia="宋体" w:cs="宋体"/>
          <w:color w:val="auto"/>
          <w:sz w:val="21"/>
          <w:szCs w:val="21"/>
          <w:highlight w:val="none"/>
        </w:rPr>
        <w:t>除招标文件有强制性规定以及不可竞争部分以外，投标报价由投标人自主确定，但</w:t>
      </w:r>
    </w:p>
    <w:p w14:paraId="05F35FB0">
      <w:pPr>
        <w:spacing w:before="172" w:line="220" w:lineRule="auto"/>
        <w:ind w:left="66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不得低于其工程成本。</w:t>
      </w:r>
    </w:p>
    <w:p w14:paraId="3E12FBD7">
      <w:pPr>
        <w:spacing w:before="166" w:line="333" w:lineRule="auto"/>
        <w:ind w:left="649" w:hanging="633"/>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2.11 </w:t>
      </w:r>
      <w:r>
        <w:rPr>
          <w:rFonts w:ascii="宋体" w:hAnsi="宋体" w:eastAsia="宋体" w:cs="宋体"/>
          <w:color w:val="auto"/>
          <w:sz w:val="21"/>
          <w:szCs w:val="21"/>
          <w:highlight w:val="none"/>
        </w:rPr>
        <w:t>工程量清单计价所涉及的生产资源（包括各类人工、材料、工程</w:t>
      </w:r>
      <w:r>
        <w:rPr>
          <w:rFonts w:ascii="宋体" w:hAnsi="宋体" w:eastAsia="宋体" w:cs="宋体"/>
          <w:color w:val="auto"/>
          <w:spacing w:val="-1"/>
          <w:sz w:val="21"/>
          <w:szCs w:val="21"/>
          <w:highlight w:val="none"/>
        </w:rPr>
        <w:t xml:space="preserve">设备、施工设备、临  </w:t>
      </w:r>
      <w:r>
        <w:rPr>
          <w:rFonts w:ascii="宋体" w:hAnsi="宋体" w:eastAsia="宋体" w:cs="宋体"/>
          <w:color w:val="auto"/>
          <w:spacing w:val="2"/>
          <w:sz w:val="21"/>
          <w:szCs w:val="21"/>
          <w:highlight w:val="none"/>
        </w:rPr>
        <w:t>时设施、临时用水、临时用电等）的投标价格，应根据自身的信息渠道和采购</w:t>
      </w:r>
      <w:r>
        <w:rPr>
          <w:rFonts w:ascii="宋体" w:hAnsi="宋体" w:eastAsia="宋体" w:cs="宋体"/>
          <w:color w:val="auto"/>
          <w:spacing w:val="1"/>
          <w:sz w:val="21"/>
          <w:szCs w:val="21"/>
          <w:highlight w:val="none"/>
        </w:rPr>
        <w:t>渠道，</w:t>
      </w:r>
      <w:r>
        <w:rPr>
          <w:rFonts w:ascii="宋体" w:hAnsi="宋体" w:eastAsia="宋体" w:cs="宋体"/>
          <w:color w:val="auto"/>
          <w:sz w:val="21"/>
          <w:szCs w:val="21"/>
          <w:highlight w:val="none"/>
        </w:rPr>
        <w:t xml:space="preserve"> 分析其市场价格水平并判断其整个施工周期内的变化趋势</w:t>
      </w:r>
      <w:r>
        <w:rPr>
          <w:rFonts w:ascii="宋体" w:hAnsi="宋体" w:eastAsia="宋体" w:cs="宋体"/>
          <w:color w:val="auto"/>
          <w:spacing w:val="-1"/>
          <w:sz w:val="21"/>
          <w:szCs w:val="21"/>
          <w:highlight w:val="none"/>
        </w:rPr>
        <w:t xml:space="preserve">， 体现投标人自身的管理  </w:t>
      </w:r>
      <w:r>
        <w:rPr>
          <w:rFonts w:ascii="宋体" w:hAnsi="宋体" w:eastAsia="宋体" w:cs="宋体"/>
          <w:color w:val="auto"/>
          <w:spacing w:val="-3"/>
          <w:sz w:val="21"/>
          <w:szCs w:val="21"/>
          <w:highlight w:val="none"/>
        </w:rPr>
        <w:t>水平、技术水平和综合实力。</w:t>
      </w:r>
    </w:p>
    <w:p w14:paraId="4CCEDC6D">
      <w:pPr>
        <w:spacing w:before="167" w:line="295" w:lineRule="auto"/>
        <w:ind w:left="681" w:right="163" w:hanging="660"/>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2.12 </w:t>
      </w:r>
      <w:r>
        <w:rPr>
          <w:rFonts w:ascii="宋体" w:hAnsi="宋体" w:eastAsia="宋体" w:cs="宋体"/>
          <w:color w:val="auto"/>
          <w:sz w:val="21"/>
          <w:szCs w:val="21"/>
          <w:highlight w:val="none"/>
        </w:rPr>
        <w:t>企业管理费应由投标人在保证不低于其成本的基础上合理报价；利润由投标人根据自</w:t>
      </w:r>
      <w:r>
        <w:rPr>
          <w:rFonts w:ascii="宋体" w:hAnsi="宋体" w:eastAsia="宋体" w:cs="宋体"/>
          <w:color w:val="auto"/>
          <w:spacing w:val="11"/>
          <w:sz w:val="21"/>
          <w:szCs w:val="21"/>
          <w:highlight w:val="none"/>
        </w:rPr>
        <w:t xml:space="preserve"> </w:t>
      </w:r>
      <w:r>
        <w:rPr>
          <w:rFonts w:ascii="宋体" w:hAnsi="宋体" w:eastAsia="宋体" w:cs="宋体"/>
          <w:color w:val="auto"/>
          <w:spacing w:val="-3"/>
          <w:sz w:val="21"/>
          <w:szCs w:val="21"/>
          <w:highlight w:val="none"/>
        </w:rPr>
        <w:t>身情况和综合实力合理报价。</w:t>
      </w:r>
    </w:p>
    <w:p w14:paraId="0154E52F">
      <w:pPr>
        <w:spacing w:before="135" w:line="219" w:lineRule="auto"/>
        <w:ind w:left="16"/>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2.13 </w:t>
      </w:r>
      <w:r>
        <w:rPr>
          <w:rFonts w:ascii="宋体" w:hAnsi="宋体" w:eastAsia="宋体" w:cs="宋体"/>
          <w:color w:val="auto"/>
          <w:spacing w:val="-1"/>
          <w:sz w:val="21"/>
          <w:szCs w:val="21"/>
          <w:highlight w:val="none"/>
        </w:rPr>
        <w:t>投标报价中应考虑招标文件中要求投标人承担的风险范围以及相关的费用。</w:t>
      </w:r>
    </w:p>
    <w:p w14:paraId="65E767A6">
      <w:pPr>
        <w:spacing w:before="163" w:line="320" w:lineRule="auto"/>
        <w:ind w:left="705" w:right="163" w:hanging="684"/>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2.14 </w:t>
      </w:r>
      <w:r>
        <w:rPr>
          <w:rFonts w:ascii="宋体" w:hAnsi="宋体" w:eastAsia="宋体" w:cs="宋体"/>
          <w:color w:val="auto"/>
          <w:sz w:val="21"/>
          <w:szCs w:val="21"/>
          <w:highlight w:val="none"/>
        </w:rPr>
        <w:t>投标总价为投标人在投标文件中提出的各项支付金额的总和，为实施、完成招标工程</w:t>
      </w:r>
      <w:r>
        <w:rPr>
          <w:rFonts w:ascii="宋体" w:hAnsi="宋体" w:eastAsia="宋体" w:cs="宋体"/>
          <w:color w:val="auto"/>
          <w:spacing w:val="11"/>
          <w:sz w:val="21"/>
          <w:szCs w:val="21"/>
          <w:highlight w:val="none"/>
        </w:rPr>
        <w:t xml:space="preserve"> </w:t>
      </w:r>
      <w:r>
        <w:rPr>
          <w:rFonts w:ascii="宋体" w:hAnsi="宋体" w:eastAsia="宋体" w:cs="宋体"/>
          <w:color w:val="auto"/>
          <w:spacing w:val="1"/>
          <w:sz w:val="21"/>
          <w:szCs w:val="21"/>
          <w:highlight w:val="none"/>
        </w:rPr>
        <w:t>并修补缺陷以及履行招标文件中约定的风险范围内的所有责任和义务所发生的全部</w:t>
      </w:r>
      <w:r>
        <w:rPr>
          <w:rFonts w:ascii="宋体" w:hAnsi="宋体" w:eastAsia="宋体" w:cs="宋体"/>
          <w:color w:val="auto"/>
          <w:spacing w:val="11"/>
          <w:sz w:val="21"/>
          <w:szCs w:val="21"/>
          <w:highlight w:val="none"/>
        </w:rPr>
        <w:t xml:space="preserve"> </w:t>
      </w:r>
      <w:r>
        <w:rPr>
          <w:rFonts w:ascii="宋体" w:hAnsi="宋体" w:eastAsia="宋体" w:cs="宋体"/>
          <w:color w:val="auto"/>
          <w:spacing w:val="-10"/>
          <w:sz w:val="21"/>
          <w:szCs w:val="21"/>
          <w:highlight w:val="none"/>
        </w:rPr>
        <w:t>费用。</w:t>
      </w:r>
    </w:p>
    <w:p w14:paraId="2942B7A3">
      <w:pPr>
        <w:spacing w:before="133" w:line="219" w:lineRule="auto"/>
        <w:ind w:left="16"/>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2.15 </w:t>
      </w:r>
      <w:r>
        <w:rPr>
          <w:rFonts w:ascii="宋体" w:hAnsi="宋体" w:eastAsia="宋体" w:cs="宋体"/>
          <w:color w:val="auto"/>
          <w:sz w:val="21"/>
          <w:szCs w:val="21"/>
          <w:highlight w:val="none"/>
        </w:rPr>
        <w:t>有关投标报价的其他说明：</w:t>
      </w:r>
    </w:p>
    <w:p w14:paraId="7B8E0D93">
      <w:pPr>
        <w:pStyle w:val="3"/>
        <w:tabs>
          <w:tab w:val="left" w:pos="4370"/>
        </w:tabs>
        <w:spacing w:before="143" w:line="242" w:lineRule="exact"/>
        <w:ind w:left="432"/>
        <w:rPr>
          <w:color w:val="auto"/>
          <w:highlight w:val="none"/>
        </w:rPr>
      </w:pPr>
      <w:r>
        <w:rPr>
          <w:color w:val="auto"/>
          <w:highlight w:val="none"/>
          <w:u w:val="single" w:color="auto"/>
        </w:rPr>
        <w:tab/>
      </w:r>
    </w:p>
    <w:p w14:paraId="5B625FC9">
      <w:pPr>
        <w:spacing w:before="219" w:line="409" w:lineRule="exact"/>
        <w:ind w:left="19"/>
        <w:rPr>
          <w:rFonts w:ascii="黑体" w:hAnsi="黑体" w:eastAsia="黑体" w:cs="黑体"/>
          <w:color w:val="auto"/>
          <w:sz w:val="24"/>
          <w:szCs w:val="24"/>
          <w:highlight w:val="none"/>
        </w:rPr>
      </w:pPr>
      <w:r>
        <w:rPr>
          <w:rFonts w:ascii="Times New Roman" w:hAnsi="Times New Roman" w:eastAsia="Times New Roman" w:cs="Times New Roman"/>
          <w:color w:val="auto"/>
          <w:spacing w:val="-5"/>
          <w:position w:val="12"/>
          <w:sz w:val="24"/>
          <w:szCs w:val="24"/>
          <w:highlight w:val="none"/>
        </w:rPr>
        <w:t>3</w:t>
      </w:r>
      <w:r>
        <w:rPr>
          <w:rFonts w:ascii="黑体" w:hAnsi="黑体" w:eastAsia="黑体" w:cs="黑体"/>
          <w:color w:val="auto"/>
          <w:spacing w:val="-5"/>
          <w:position w:val="12"/>
          <w:sz w:val="24"/>
          <w:szCs w:val="24"/>
          <w:highlight w:val="none"/>
        </w:rPr>
        <w:t>、其他说明</w:t>
      </w:r>
    </w:p>
    <w:p w14:paraId="381EECF0">
      <w:pPr>
        <w:spacing w:before="1" w:line="220" w:lineRule="auto"/>
        <w:ind w:left="18"/>
        <w:rPr>
          <w:rFonts w:ascii="黑体" w:hAnsi="黑体" w:eastAsia="黑体" w:cs="黑体"/>
          <w:color w:val="auto"/>
          <w:sz w:val="21"/>
          <w:szCs w:val="21"/>
          <w:highlight w:val="none"/>
        </w:rPr>
      </w:pPr>
      <w:r>
        <w:rPr>
          <w:rFonts w:ascii="黑体" w:hAnsi="黑体" w:eastAsia="黑体" w:cs="黑体"/>
          <w:color w:val="auto"/>
          <w:spacing w:val="-2"/>
          <w:sz w:val="21"/>
          <w:szCs w:val="21"/>
          <w:highlight w:val="none"/>
        </w:rPr>
        <w:t>3.1</w:t>
      </w:r>
      <w:r>
        <w:rPr>
          <w:rFonts w:ascii="黑体" w:hAnsi="黑体" w:eastAsia="黑体" w:cs="黑体"/>
          <w:color w:val="auto"/>
          <w:spacing w:val="-39"/>
          <w:sz w:val="21"/>
          <w:szCs w:val="21"/>
          <w:highlight w:val="none"/>
        </w:rPr>
        <w:t xml:space="preserve"> </w:t>
      </w:r>
      <w:r>
        <w:rPr>
          <w:rFonts w:ascii="黑体" w:hAnsi="黑体" w:eastAsia="黑体" w:cs="黑体"/>
          <w:color w:val="auto"/>
          <w:spacing w:val="-2"/>
          <w:sz w:val="21"/>
          <w:szCs w:val="21"/>
          <w:highlight w:val="none"/>
        </w:rPr>
        <w:t>词语和定义</w:t>
      </w:r>
    </w:p>
    <w:p w14:paraId="25C8D5F0">
      <w:pPr>
        <w:spacing w:before="249" w:line="221" w:lineRule="auto"/>
        <w:ind w:left="18"/>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3.1.1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工程量清单</w:t>
      </w:r>
    </w:p>
    <w:p w14:paraId="6373F740">
      <w:pPr>
        <w:spacing w:before="175" w:line="379" w:lineRule="exact"/>
        <w:ind w:left="756"/>
        <w:rPr>
          <w:rFonts w:ascii="宋体" w:hAnsi="宋体" w:eastAsia="宋体" w:cs="宋体"/>
          <w:color w:val="auto"/>
          <w:sz w:val="21"/>
          <w:szCs w:val="21"/>
          <w:highlight w:val="none"/>
        </w:rPr>
      </w:pPr>
      <w:r>
        <w:rPr>
          <w:rFonts w:ascii="宋体" w:hAnsi="宋体" w:eastAsia="宋体" w:cs="宋体"/>
          <w:color w:val="auto"/>
          <w:position w:val="12"/>
          <w:sz w:val="21"/>
          <w:szCs w:val="21"/>
          <w:highlight w:val="none"/>
        </w:rPr>
        <w:t>是表现建设工程分部分项工程项目、措施项目、其他项目的名称和相应数量以及规</w:t>
      </w:r>
    </w:p>
    <w:p w14:paraId="6A3A73BC">
      <w:pPr>
        <w:spacing w:before="1" w:line="220" w:lineRule="auto"/>
        <w:ind w:left="76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费和税金项目等内容的明细清单。</w:t>
      </w:r>
    </w:p>
    <w:p w14:paraId="001D6F68">
      <w:pPr>
        <w:spacing w:before="167" w:line="221" w:lineRule="auto"/>
        <w:ind w:left="18"/>
        <w:rPr>
          <w:rFonts w:ascii="宋体" w:hAnsi="宋体" w:eastAsia="宋体" w:cs="宋体"/>
          <w:color w:val="auto"/>
          <w:sz w:val="21"/>
          <w:szCs w:val="21"/>
          <w:highlight w:val="none"/>
        </w:rPr>
      </w:pPr>
      <w:r>
        <w:rPr>
          <w:rFonts w:ascii="黑体" w:hAnsi="黑体" w:eastAsia="黑体" w:cs="黑体"/>
          <w:color w:val="auto"/>
          <w:sz w:val="21"/>
          <w:szCs w:val="21"/>
          <w:highlight w:val="none"/>
        </w:rPr>
        <w:t xml:space="preserve">3.1.2  </w:t>
      </w: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招标工程量清单</w:t>
      </w:r>
    </w:p>
    <w:p w14:paraId="3FC71ED9">
      <w:pPr>
        <w:spacing w:before="167" w:line="369" w:lineRule="auto"/>
        <w:ind w:left="754" w:right="166" w:firstLine="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是招标人依据国家标准、招标文件、设计文件以及施工现场实际情况编制的，随招</w:t>
      </w:r>
      <w:r>
        <w:rPr>
          <w:rFonts w:ascii="宋体" w:hAnsi="宋体" w:eastAsia="宋体" w:cs="宋体"/>
          <w:color w:val="auto"/>
          <w:spacing w:val="6"/>
          <w:sz w:val="21"/>
          <w:szCs w:val="21"/>
          <w:highlight w:val="none"/>
        </w:rPr>
        <w:t xml:space="preserve"> </w:t>
      </w:r>
      <w:r>
        <w:rPr>
          <w:rFonts w:ascii="宋体" w:hAnsi="宋体" w:eastAsia="宋体" w:cs="宋体"/>
          <w:color w:val="auto"/>
          <w:sz w:val="21"/>
          <w:szCs w:val="21"/>
          <w:highlight w:val="none"/>
        </w:rPr>
        <w:t>标文件发布供投标报价的工程量清单，包括其说明和表格，同时也是编制招标控制</w:t>
      </w:r>
    </w:p>
    <w:p w14:paraId="04B1C4DD">
      <w:pPr>
        <w:spacing w:line="219" w:lineRule="auto"/>
        <w:ind w:left="75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价的依据之一。</w:t>
      </w:r>
    </w:p>
    <w:p w14:paraId="575600E7">
      <w:pPr>
        <w:spacing w:before="159" w:line="219" w:lineRule="auto"/>
        <w:ind w:left="18"/>
        <w:rPr>
          <w:rFonts w:ascii="宋体" w:hAnsi="宋体" w:eastAsia="宋体" w:cs="宋体"/>
          <w:color w:val="auto"/>
          <w:sz w:val="21"/>
          <w:szCs w:val="21"/>
          <w:highlight w:val="none"/>
        </w:rPr>
      </w:pPr>
      <w:r>
        <w:rPr>
          <w:rFonts w:ascii="黑体" w:hAnsi="黑体" w:eastAsia="黑体" w:cs="黑体"/>
          <w:color w:val="auto"/>
          <w:spacing w:val="-2"/>
          <w:sz w:val="21"/>
          <w:szCs w:val="21"/>
          <w:highlight w:val="none"/>
        </w:rPr>
        <w:t>3.1.3</w:t>
      </w:r>
      <w:r>
        <w:rPr>
          <w:rFonts w:ascii="黑体" w:hAnsi="黑体" w:eastAsia="黑体" w:cs="黑体"/>
          <w:color w:val="auto"/>
          <w:spacing w:val="67"/>
          <w:sz w:val="21"/>
          <w:szCs w:val="21"/>
          <w:highlight w:val="none"/>
        </w:rPr>
        <w:t xml:space="preserve"> </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总价项目</w:t>
      </w:r>
    </w:p>
    <w:p w14:paraId="6B103396">
      <w:pPr>
        <w:spacing w:before="177" w:line="336" w:lineRule="auto"/>
        <w:ind w:left="753" w:right="168" w:firstLine="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工程量清单中以总价计价的项目，即此类项目在相关工程国家计量规范中无工程量</w:t>
      </w:r>
      <w:r>
        <w:rPr>
          <w:rFonts w:ascii="宋体" w:hAnsi="宋体" w:eastAsia="宋体" w:cs="宋体"/>
          <w:color w:val="auto"/>
          <w:spacing w:val="7"/>
          <w:sz w:val="21"/>
          <w:szCs w:val="21"/>
          <w:highlight w:val="none"/>
        </w:rPr>
        <w:t xml:space="preserve"> </w:t>
      </w:r>
      <w:r>
        <w:rPr>
          <w:rFonts w:ascii="宋体" w:hAnsi="宋体" w:eastAsia="宋体" w:cs="宋体"/>
          <w:color w:val="auto"/>
          <w:sz w:val="21"/>
          <w:szCs w:val="21"/>
          <w:highlight w:val="none"/>
        </w:rPr>
        <w:t>计算规则以总价（或计算基础乘费率）计算的项目，通常以“项”为计量单位，除</w:t>
      </w:r>
    </w:p>
    <w:p w14:paraId="2F06A71E">
      <w:pPr>
        <w:spacing w:line="219" w:lineRule="auto"/>
        <w:ind w:left="75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专用合同条款另有约定外，总价固定包干。</w:t>
      </w:r>
    </w:p>
    <w:p w14:paraId="64FFC530">
      <w:pPr>
        <w:spacing w:before="155" w:line="219" w:lineRule="auto"/>
        <w:ind w:left="18"/>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3.1.4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单价项目</w:t>
      </w:r>
    </w:p>
    <w:p w14:paraId="738F6338">
      <w:pPr>
        <w:spacing w:before="177" w:line="380" w:lineRule="exact"/>
        <w:ind w:left="755"/>
        <w:rPr>
          <w:rFonts w:ascii="宋体" w:hAnsi="宋体" w:eastAsia="宋体" w:cs="宋体"/>
          <w:color w:val="auto"/>
          <w:sz w:val="21"/>
          <w:szCs w:val="21"/>
          <w:highlight w:val="none"/>
        </w:rPr>
      </w:pPr>
      <w:r>
        <w:rPr>
          <w:rFonts w:ascii="宋体" w:hAnsi="宋体" w:eastAsia="宋体" w:cs="宋体"/>
          <w:color w:val="auto"/>
          <w:position w:val="12"/>
          <w:sz w:val="21"/>
          <w:szCs w:val="21"/>
          <w:highlight w:val="none"/>
        </w:rPr>
        <w:t>工程量清单中以单价计价的项目，即根据合同工程图纸（含设计变更）和相关工程</w:t>
      </w:r>
    </w:p>
    <w:p w14:paraId="1060E362">
      <w:pPr>
        <w:spacing w:line="219" w:lineRule="auto"/>
        <w:ind w:left="773"/>
        <w:rPr>
          <w:rFonts w:ascii="宋体" w:hAnsi="宋体" w:eastAsia="宋体" w:cs="宋体"/>
          <w:color w:val="auto"/>
          <w:sz w:val="21"/>
          <w:szCs w:val="21"/>
          <w:highlight w:val="none"/>
        </w:rPr>
      </w:pPr>
      <w:r>
        <w:rPr>
          <w:rFonts w:ascii="宋体" w:hAnsi="宋体" w:eastAsia="宋体" w:cs="宋体"/>
          <w:color w:val="auto"/>
          <w:sz w:val="21"/>
          <w:szCs w:val="21"/>
          <w:highlight w:val="none"/>
        </w:rPr>
        <w:t>国家计量规范规定的工程量计算规则进行计量，与已标</w:t>
      </w:r>
      <w:r>
        <w:rPr>
          <w:rFonts w:ascii="宋体" w:hAnsi="宋体" w:eastAsia="宋体" w:cs="宋体"/>
          <w:color w:val="auto"/>
          <w:spacing w:val="-1"/>
          <w:sz w:val="21"/>
          <w:szCs w:val="21"/>
          <w:highlight w:val="none"/>
        </w:rPr>
        <w:t>价工程量清单相应综合单价</w:t>
      </w:r>
    </w:p>
    <w:p w14:paraId="352E4023">
      <w:pPr>
        <w:spacing w:line="219" w:lineRule="auto"/>
        <w:rPr>
          <w:rFonts w:ascii="宋体" w:hAnsi="宋体" w:eastAsia="宋体" w:cs="宋体"/>
          <w:color w:val="auto"/>
          <w:sz w:val="21"/>
          <w:szCs w:val="21"/>
          <w:highlight w:val="none"/>
        </w:rPr>
        <w:sectPr>
          <w:footerReference r:id="rId177" w:type="default"/>
          <w:pgSz w:w="11905" w:h="16839"/>
          <w:pgMar w:top="400" w:right="1626" w:bottom="1004" w:left="1785" w:header="0" w:footer="828" w:gutter="0"/>
          <w:pgNumType w:fmt="decimal"/>
          <w:cols w:space="720" w:num="1"/>
        </w:sectPr>
      </w:pPr>
    </w:p>
    <w:p w14:paraId="2730E293">
      <w:pPr>
        <w:pStyle w:val="3"/>
        <w:spacing w:line="271" w:lineRule="auto"/>
        <w:rPr>
          <w:color w:val="auto"/>
          <w:highlight w:val="none"/>
        </w:rPr>
      </w:pPr>
    </w:p>
    <w:p w14:paraId="48BA6D9E">
      <w:pPr>
        <w:pStyle w:val="3"/>
        <w:spacing w:line="271" w:lineRule="auto"/>
        <w:rPr>
          <w:color w:val="auto"/>
          <w:highlight w:val="none"/>
        </w:rPr>
      </w:pPr>
    </w:p>
    <w:p w14:paraId="0E182142">
      <w:pPr>
        <w:pStyle w:val="3"/>
        <w:spacing w:line="272" w:lineRule="auto"/>
        <w:rPr>
          <w:color w:val="auto"/>
          <w:highlight w:val="none"/>
        </w:rPr>
      </w:pPr>
    </w:p>
    <w:p w14:paraId="689DC1AC">
      <w:pPr>
        <w:pStyle w:val="3"/>
        <w:spacing w:line="272" w:lineRule="auto"/>
        <w:rPr>
          <w:color w:val="auto"/>
          <w:highlight w:val="none"/>
        </w:rPr>
      </w:pPr>
    </w:p>
    <w:p w14:paraId="3105BEC5">
      <w:pPr>
        <w:spacing w:before="68" w:line="219" w:lineRule="auto"/>
        <w:ind w:left="751"/>
        <w:rPr>
          <w:rFonts w:ascii="宋体" w:hAnsi="宋体" w:eastAsia="宋体" w:cs="宋体"/>
          <w:color w:val="auto"/>
          <w:sz w:val="21"/>
          <w:szCs w:val="21"/>
          <w:highlight w:val="none"/>
        </w:rPr>
      </w:pPr>
      <w:bookmarkStart w:id="1296" w:name="bookmark242"/>
      <w:bookmarkEnd w:id="1296"/>
      <w:r>
        <w:rPr>
          <w:rFonts w:ascii="宋体" w:hAnsi="宋体" w:eastAsia="宋体" w:cs="宋体"/>
          <w:color w:val="auto"/>
          <w:spacing w:val="-1"/>
          <w:sz w:val="21"/>
          <w:szCs w:val="21"/>
          <w:highlight w:val="none"/>
        </w:rPr>
        <w:t>进行价款计算的项目。</w:t>
      </w:r>
    </w:p>
    <w:p w14:paraId="12CFE9E0">
      <w:pPr>
        <w:spacing w:before="153" w:line="221" w:lineRule="auto"/>
        <w:ind w:left="18"/>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3.1.5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项目编码</w:t>
      </w:r>
    </w:p>
    <w:p w14:paraId="72706131">
      <w:pPr>
        <w:spacing w:before="176" w:line="220" w:lineRule="auto"/>
        <w:ind w:left="74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分部分项工程和措施项目清单名称的阿拉伯数字标识。项目编码与子目编码同义。</w:t>
      </w:r>
    </w:p>
    <w:p w14:paraId="7C053067">
      <w:pPr>
        <w:spacing w:before="177" w:line="221" w:lineRule="auto"/>
        <w:ind w:left="18"/>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3.1.6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项目特征</w:t>
      </w:r>
    </w:p>
    <w:p w14:paraId="7E26E399">
      <w:pPr>
        <w:spacing w:before="181" w:line="379" w:lineRule="exact"/>
        <w:ind w:left="774"/>
        <w:rPr>
          <w:rFonts w:ascii="宋体" w:hAnsi="宋体" w:eastAsia="宋体" w:cs="宋体"/>
          <w:color w:val="auto"/>
          <w:sz w:val="21"/>
          <w:szCs w:val="21"/>
          <w:highlight w:val="none"/>
        </w:rPr>
      </w:pPr>
      <w:r>
        <w:rPr>
          <w:rFonts w:ascii="宋体" w:hAnsi="宋体" w:eastAsia="宋体" w:cs="宋体"/>
          <w:color w:val="auto"/>
          <w:spacing w:val="5"/>
          <w:position w:val="12"/>
          <w:sz w:val="21"/>
          <w:szCs w:val="21"/>
          <w:highlight w:val="none"/>
        </w:rPr>
        <w:t>构成分部分项工程项目、措施项目自身价值的本质特征，项目特征与子目特征同</w:t>
      </w:r>
    </w:p>
    <w:p w14:paraId="5F713499">
      <w:pPr>
        <w:spacing w:line="221" w:lineRule="auto"/>
        <w:ind w:left="741"/>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义。</w:t>
      </w:r>
    </w:p>
    <w:p w14:paraId="7013F3D8">
      <w:pPr>
        <w:spacing w:before="176" w:line="221" w:lineRule="auto"/>
        <w:ind w:left="18"/>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3.1.7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规费</w:t>
      </w:r>
    </w:p>
    <w:p w14:paraId="31DD62EC">
      <w:pPr>
        <w:spacing w:before="175" w:line="380" w:lineRule="exact"/>
        <w:jc w:val="right"/>
        <w:rPr>
          <w:rFonts w:ascii="宋体" w:hAnsi="宋体" w:eastAsia="宋体" w:cs="宋体"/>
          <w:color w:val="auto"/>
          <w:sz w:val="21"/>
          <w:szCs w:val="21"/>
          <w:highlight w:val="none"/>
        </w:rPr>
      </w:pPr>
      <w:r>
        <w:rPr>
          <w:rFonts w:ascii="宋体" w:hAnsi="宋体" w:eastAsia="宋体" w:cs="宋体"/>
          <w:color w:val="auto"/>
          <w:spacing w:val="-1"/>
          <w:position w:val="12"/>
          <w:sz w:val="21"/>
          <w:szCs w:val="21"/>
          <w:highlight w:val="none"/>
        </w:rPr>
        <w:t>根据国家法律、法规规定，由省级政府或省级有关权力部门规定承包人必须缴纳的，</w:t>
      </w:r>
    </w:p>
    <w:p w14:paraId="19C56A4C">
      <w:pPr>
        <w:spacing w:line="219" w:lineRule="auto"/>
        <w:ind w:left="75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应计入建筑安装工程造价的费用。</w:t>
      </w:r>
    </w:p>
    <w:p w14:paraId="681C6F6B">
      <w:pPr>
        <w:spacing w:before="178" w:line="221" w:lineRule="auto"/>
        <w:ind w:left="18"/>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3.1.8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税金</w:t>
      </w:r>
    </w:p>
    <w:p w14:paraId="760949B3">
      <w:pPr>
        <w:spacing w:before="180" w:line="380" w:lineRule="exact"/>
        <w:ind w:left="773"/>
        <w:rPr>
          <w:rFonts w:ascii="宋体" w:hAnsi="宋体" w:eastAsia="宋体" w:cs="宋体"/>
          <w:color w:val="auto"/>
          <w:sz w:val="21"/>
          <w:szCs w:val="21"/>
          <w:highlight w:val="none"/>
        </w:rPr>
      </w:pPr>
      <w:r>
        <w:rPr>
          <w:rFonts w:ascii="宋体" w:hAnsi="宋体" w:eastAsia="宋体" w:cs="宋体"/>
          <w:color w:val="auto"/>
          <w:position w:val="12"/>
          <w:sz w:val="21"/>
          <w:szCs w:val="21"/>
          <w:highlight w:val="none"/>
        </w:rPr>
        <w:t>国家税法规定的应计入建筑安装工程造价内的营业税、</w:t>
      </w:r>
      <w:r>
        <w:rPr>
          <w:rFonts w:ascii="宋体" w:hAnsi="宋体" w:eastAsia="宋体" w:cs="宋体"/>
          <w:color w:val="auto"/>
          <w:spacing w:val="-1"/>
          <w:position w:val="12"/>
          <w:sz w:val="21"/>
          <w:szCs w:val="21"/>
          <w:highlight w:val="none"/>
        </w:rPr>
        <w:t>城市维护建设税及教育费附</w:t>
      </w:r>
    </w:p>
    <w:p w14:paraId="5D5DE694">
      <w:pPr>
        <w:spacing w:before="1" w:line="220" w:lineRule="auto"/>
        <w:ind w:left="753"/>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加等。</w:t>
      </w:r>
    </w:p>
    <w:p w14:paraId="674A2BDD">
      <w:pPr>
        <w:spacing w:before="176" w:line="221" w:lineRule="auto"/>
        <w:ind w:left="18"/>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 xml:space="preserve">3.1.9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总承包服务费</w:t>
      </w:r>
    </w:p>
    <w:p w14:paraId="1B9429FC">
      <w:pPr>
        <w:spacing w:before="186" w:line="388" w:lineRule="exact"/>
        <w:ind w:left="792"/>
        <w:rPr>
          <w:rFonts w:ascii="宋体" w:hAnsi="宋体" w:eastAsia="宋体" w:cs="宋体"/>
          <w:color w:val="auto"/>
          <w:sz w:val="21"/>
          <w:szCs w:val="21"/>
          <w:highlight w:val="none"/>
        </w:rPr>
      </w:pPr>
      <w:r>
        <w:rPr>
          <w:rFonts w:ascii="宋体" w:hAnsi="宋体" w:eastAsia="宋体" w:cs="宋体"/>
          <w:color w:val="auto"/>
          <w:spacing w:val="3"/>
          <w:position w:val="13"/>
          <w:sz w:val="21"/>
          <w:szCs w:val="21"/>
          <w:highlight w:val="none"/>
        </w:rPr>
        <w:t>总承包人为配合协调发包人进行的专业工程发包，</w:t>
      </w:r>
      <w:r>
        <w:rPr>
          <w:rFonts w:ascii="宋体" w:hAnsi="宋体" w:eastAsia="宋体" w:cs="宋体"/>
          <w:color w:val="auto"/>
          <w:spacing w:val="-18"/>
          <w:position w:val="13"/>
          <w:sz w:val="21"/>
          <w:szCs w:val="21"/>
          <w:highlight w:val="none"/>
        </w:rPr>
        <w:t xml:space="preserve"> </w:t>
      </w:r>
      <w:r>
        <w:rPr>
          <w:rFonts w:ascii="宋体" w:hAnsi="宋体" w:eastAsia="宋体" w:cs="宋体"/>
          <w:color w:val="auto"/>
          <w:spacing w:val="3"/>
          <w:position w:val="13"/>
          <w:sz w:val="21"/>
          <w:szCs w:val="21"/>
          <w:highlight w:val="none"/>
        </w:rPr>
        <w:t>对</w:t>
      </w:r>
      <w:r>
        <w:rPr>
          <w:rFonts w:ascii="宋体" w:hAnsi="宋体" w:eastAsia="宋体" w:cs="宋体"/>
          <w:color w:val="auto"/>
          <w:spacing w:val="2"/>
          <w:position w:val="13"/>
          <w:sz w:val="21"/>
          <w:szCs w:val="21"/>
          <w:highlight w:val="none"/>
        </w:rPr>
        <w:t>发包人自行采购的材料、工</w:t>
      </w:r>
    </w:p>
    <w:p w14:paraId="7C45934B">
      <w:pPr>
        <w:spacing w:before="1" w:line="220" w:lineRule="auto"/>
        <w:ind w:left="80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程设备等进行保管以及施工现场管理、竣工资料汇总整理等服务所需的费用。</w:t>
      </w:r>
    </w:p>
    <w:p w14:paraId="29B53A22">
      <w:pPr>
        <w:spacing w:before="182" w:line="221" w:lineRule="auto"/>
        <w:ind w:left="18"/>
        <w:rPr>
          <w:rFonts w:ascii="宋体" w:hAnsi="宋体" w:eastAsia="宋体" w:cs="宋体"/>
          <w:color w:val="auto"/>
          <w:sz w:val="21"/>
          <w:szCs w:val="21"/>
          <w:highlight w:val="none"/>
        </w:rPr>
      </w:pPr>
      <w:r>
        <w:rPr>
          <w:rFonts w:ascii="黑体" w:hAnsi="黑体" w:eastAsia="黑体" w:cs="黑体"/>
          <w:color w:val="auto"/>
          <w:spacing w:val="-3"/>
          <w:sz w:val="21"/>
          <w:szCs w:val="21"/>
          <w:highlight w:val="none"/>
        </w:rPr>
        <w:t>3.1.10</w:t>
      </w:r>
      <w:r>
        <w:rPr>
          <w:rFonts w:ascii="黑体" w:hAnsi="黑体" w:eastAsia="黑体" w:cs="黑体"/>
          <w:color w:val="auto"/>
          <w:spacing w:val="-22"/>
          <w:sz w:val="21"/>
          <w:szCs w:val="21"/>
          <w:highlight w:val="none"/>
        </w:rPr>
        <w:t xml:space="preserve"> </w:t>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同义词语</w:t>
      </w:r>
    </w:p>
    <w:p w14:paraId="39229C4B">
      <w:pPr>
        <w:spacing w:before="185" w:line="389" w:lineRule="exact"/>
        <w:ind w:left="859"/>
        <w:rPr>
          <w:rFonts w:ascii="宋体" w:hAnsi="宋体" w:eastAsia="宋体" w:cs="宋体"/>
          <w:color w:val="auto"/>
          <w:sz w:val="21"/>
          <w:szCs w:val="21"/>
          <w:highlight w:val="none"/>
        </w:rPr>
      </w:pPr>
      <w:r>
        <w:rPr>
          <w:rFonts w:ascii="宋体" w:hAnsi="宋体" w:eastAsia="宋体" w:cs="宋体"/>
          <w:color w:val="auto"/>
          <w:spacing w:val="6"/>
          <w:position w:val="13"/>
          <w:sz w:val="21"/>
          <w:szCs w:val="21"/>
          <w:highlight w:val="none"/>
        </w:rPr>
        <w:t>本章中使用的词语“招标人”和“投标人”分别与合同条款中定义的“发包人”</w:t>
      </w:r>
    </w:p>
    <w:p w14:paraId="2EE72993">
      <w:pPr>
        <w:spacing w:line="220" w:lineRule="auto"/>
        <w:ind w:left="75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和“承包人”同义；就工程量清单而言，“项目”与</w:t>
      </w:r>
      <w:r>
        <w:rPr>
          <w:rFonts w:ascii="宋体" w:hAnsi="宋体" w:eastAsia="宋体" w:cs="宋体"/>
          <w:color w:val="auto"/>
          <w:spacing w:val="-5"/>
          <w:sz w:val="21"/>
          <w:szCs w:val="21"/>
          <w:highlight w:val="none"/>
        </w:rPr>
        <w:t>“子目”同义。</w:t>
      </w:r>
    </w:p>
    <w:p w14:paraId="36DE5B7E">
      <w:pPr>
        <w:spacing w:before="176" w:line="220" w:lineRule="auto"/>
        <w:ind w:left="18"/>
        <w:rPr>
          <w:rFonts w:ascii="黑体" w:hAnsi="黑体" w:eastAsia="黑体" w:cs="黑体"/>
          <w:color w:val="auto"/>
          <w:sz w:val="21"/>
          <w:szCs w:val="21"/>
          <w:highlight w:val="none"/>
        </w:rPr>
      </w:pPr>
      <w:r>
        <w:rPr>
          <w:rFonts w:ascii="黑体" w:hAnsi="黑体" w:eastAsia="黑体" w:cs="黑体"/>
          <w:color w:val="auto"/>
          <w:spacing w:val="-2"/>
          <w:sz w:val="21"/>
          <w:szCs w:val="21"/>
          <w:highlight w:val="none"/>
        </w:rPr>
        <w:t>3.2</w:t>
      </w:r>
      <w:r>
        <w:rPr>
          <w:rFonts w:ascii="黑体" w:hAnsi="黑体" w:eastAsia="黑体" w:cs="黑体"/>
          <w:color w:val="auto"/>
          <w:spacing w:val="-36"/>
          <w:sz w:val="21"/>
          <w:szCs w:val="21"/>
          <w:highlight w:val="none"/>
        </w:rPr>
        <w:t xml:space="preserve"> </w:t>
      </w:r>
      <w:r>
        <w:rPr>
          <w:rFonts w:ascii="黑体" w:hAnsi="黑体" w:eastAsia="黑体" w:cs="黑体"/>
          <w:color w:val="auto"/>
          <w:spacing w:val="-2"/>
          <w:sz w:val="21"/>
          <w:szCs w:val="21"/>
          <w:highlight w:val="none"/>
        </w:rPr>
        <w:t>工程量差异调整</w:t>
      </w:r>
    </w:p>
    <w:p w14:paraId="29968FE1">
      <w:pPr>
        <w:spacing w:before="179" w:line="297" w:lineRule="auto"/>
        <w:ind w:left="737" w:right="155" w:hanging="734"/>
        <w:rPr>
          <w:rFonts w:ascii="宋体" w:hAnsi="宋体" w:eastAsia="宋体" w:cs="宋体"/>
          <w:color w:val="auto"/>
          <w:sz w:val="21"/>
          <w:szCs w:val="21"/>
          <w:highlight w:val="none"/>
        </w:rPr>
      </w:pPr>
      <w:r>
        <w:rPr>
          <w:rFonts w:ascii="黑体" w:hAnsi="黑体" w:eastAsia="黑体" w:cs="黑体"/>
          <w:color w:val="auto"/>
          <w:spacing w:val="2"/>
          <w:sz w:val="21"/>
          <w:szCs w:val="21"/>
          <w:highlight w:val="none"/>
        </w:rPr>
        <w:t>3.2.1</w:t>
      </w:r>
      <w:r>
        <w:rPr>
          <w:rFonts w:ascii="黑体" w:hAnsi="黑体" w:eastAsia="黑体" w:cs="黑体"/>
          <w:color w:val="auto"/>
          <w:spacing w:val="58"/>
          <w:sz w:val="21"/>
          <w:szCs w:val="21"/>
          <w:highlight w:val="none"/>
        </w:rPr>
        <w:t xml:space="preserve"> </w:t>
      </w:r>
      <w:r>
        <w:rPr>
          <w:rFonts w:ascii="宋体" w:hAnsi="宋体" w:eastAsia="宋体" w:cs="宋体"/>
          <w:color w:val="auto"/>
          <w:spacing w:val="2"/>
          <w:sz w:val="21"/>
          <w:szCs w:val="21"/>
          <w:highlight w:val="none"/>
        </w:rPr>
        <w:t>招标工程量清单中的工作内容分类、项目列项、特征描述以及“分部分项</w:t>
      </w:r>
      <w:r>
        <w:rPr>
          <w:rFonts w:ascii="宋体" w:hAnsi="宋体" w:eastAsia="宋体" w:cs="宋体"/>
          <w:color w:val="auto"/>
          <w:spacing w:val="1"/>
          <w:sz w:val="21"/>
          <w:szCs w:val="21"/>
          <w:highlight w:val="none"/>
        </w:rPr>
        <w:t>工程和单</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价措施项目清单与计价表”中附带的工程量都不应理解为是对承</w:t>
      </w:r>
      <w:r>
        <w:rPr>
          <w:rFonts w:ascii="宋体" w:hAnsi="宋体" w:eastAsia="宋体" w:cs="宋体"/>
          <w:color w:val="auto"/>
          <w:sz w:val="21"/>
          <w:szCs w:val="21"/>
          <w:highlight w:val="none"/>
        </w:rPr>
        <w:t>包（招标）范围以 及合同工作内容的唯一的、最终的或全部的</w:t>
      </w:r>
      <w:r>
        <w:rPr>
          <w:rFonts w:ascii="宋体" w:hAnsi="宋体" w:eastAsia="宋体" w:cs="宋体"/>
          <w:color w:val="auto"/>
          <w:spacing w:val="-1"/>
          <w:sz w:val="21"/>
          <w:szCs w:val="21"/>
          <w:highlight w:val="none"/>
        </w:rPr>
        <w:t>定义。</w:t>
      </w:r>
    </w:p>
    <w:p w14:paraId="017F59E7">
      <w:pPr>
        <w:spacing w:before="127" w:line="318" w:lineRule="auto"/>
        <w:ind w:left="738" w:right="156" w:hanging="720"/>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3.2.2</w:t>
      </w:r>
      <w:r>
        <w:rPr>
          <w:rFonts w:ascii="黑体" w:hAnsi="黑体" w:eastAsia="黑体" w:cs="黑体"/>
          <w:color w:val="auto"/>
          <w:spacing w:val="68"/>
          <w:sz w:val="21"/>
          <w:szCs w:val="21"/>
          <w:highlight w:val="none"/>
        </w:rPr>
        <w:t xml:space="preserve"> </w:t>
      </w:r>
      <w:r>
        <w:rPr>
          <w:rFonts w:ascii="宋体" w:hAnsi="宋体" w:eastAsia="宋体" w:cs="宋体"/>
          <w:color w:val="auto"/>
          <w:spacing w:val="1"/>
          <w:sz w:val="21"/>
          <w:szCs w:val="21"/>
          <w:highlight w:val="none"/>
        </w:rPr>
        <w:t>投标人可以对招标工程量清单进行复核。这种复核包括对招标工程量清单中的项目</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编码、项目名称、项目特征描述、计量单位、工程量的准确性以及</w:t>
      </w:r>
      <w:r>
        <w:rPr>
          <w:rFonts w:ascii="宋体" w:hAnsi="宋体" w:eastAsia="宋体" w:cs="宋体"/>
          <w:color w:val="auto"/>
          <w:sz w:val="21"/>
          <w:szCs w:val="21"/>
          <w:highlight w:val="none"/>
        </w:rPr>
        <w:t xml:space="preserve">可能存在的任何 </w:t>
      </w:r>
      <w:r>
        <w:rPr>
          <w:rFonts w:ascii="宋体" w:hAnsi="宋体" w:eastAsia="宋体" w:cs="宋体"/>
          <w:color w:val="auto"/>
          <w:spacing w:val="1"/>
          <w:sz w:val="21"/>
          <w:szCs w:val="21"/>
          <w:highlight w:val="none"/>
        </w:rPr>
        <w:t>书写、打印错误进行检查和复核。如果投标人经过检查和复核以后</w:t>
      </w:r>
      <w:r>
        <w:rPr>
          <w:rFonts w:ascii="宋体" w:hAnsi="宋体" w:eastAsia="宋体" w:cs="宋体"/>
          <w:color w:val="auto"/>
          <w:sz w:val="21"/>
          <w:szCs w:val="21"/>
          <w:highlight w:val="none"/>
        </w:rPr>
        <w:t xml:space="preserve">认为招标工程量 </w:t>
      </w:r>
      <w:r>
        <w:rPr>
          <w:rFonts w:ascii="宋体" w:hAnsi="宋体" w:eastAsia="宋体" w:cs="宋体"/>
          <w:color w:val="auto"/>
          <w:spacing w:val="-2"/>
          <w:sz w:val="21"/>
          <w:szCs w:val="21"/>
          <w:highlight w:val="none"/>
        </w:rPr>
        <w:t>清单存在差异，这种差异的存在可能对造价产生重大影响的， 则投标人应将此类差</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异的详细情况连同按投标人须知规定提交的要求招标人澄清的其他</w:t>
      </w:r>
      <w:r>
        <w:rPr>
          <w:rFonts w:ascii="宋体" w:hAnsi="宋体" w:eastAsia="宋体" w:cs="宋体"/>
          <w:color w:val="auto"/>
          <w:sz w:val="21"/>
          <w:szCs w:val="21"/>
          <w:highlight w:val="none"/>
        </w:rPr>
        <w:t xml:space="preserve">问题一起提交给 </w:t>
      </w:r>
      <w:r>
        <w:rPr>
          <w:rFonts w:ascii="宋体" w:hAnsi="宋体" w:eastAsia="宋体" w:cs="宋体"/>
          <w:color w:val="auto"/>
          <w:spacing w:val="1"/>
          <w:sz w:val="21"/>
          <w:szCs w:val="21"/>
          <w:highlight w:val="none"/>
        </w:rPr>
        <w:t>招标人，招标人在核实差异后将根据实际情况决定是否颁发招标工程</w:t>
      </w:r>
      <w:r>
        <w:rPr>
          <w:rFonts w:ascii="宋体" w:hAnsi="宋体" w:eastAsia="宋体" w:cs="宋体"/>
          <w:color w:val="auto"/>
          <w:sz w:val="21"/>
          <w:szCs w:val="21"/>
          <w:highlight w:val="none"/>
        </w:rPr>
        <w:t xml:space="preserve">量清单的澄清 </w:t>
      </w:r>
      <w:r>
        <w:rPr>
          <w:rFonts w:ascii="宋体" w:hAnsi="宋体" w:eastAsia="宋体" w:cs="宋体"/>
          <w:color w:val="auto"/>
          <w:spacing w:val="-3"/>
          <w:sz w:val="21"/>
          <w:szCs w:val="21"/>
          <w:highlight w:val="none"/>
        </w:rPr>
        <w:t>和（或）修改文件。</w:t>
      </w:r>
    </w:p>
    <w:p w14:paraId="36426833">
      <w:pPr>
        <w:spacing w:before="131" w:line="311" w:lineRule="auto"/>
        <w:ind w:left="737" w:right="157" w:hanging="734"/>
        <w:rPr>
          <w:rFonts w:ascii="宋体" w:hAnsi="宋体" w:eastAsia="宋体" w:cs="宋体"/>
          <w:color w:val="auto"/>
          <w:sz w:val="21"/>
          <w:szCs w:val="21"/>
          <w:highlight w:val="none"/>
        </w:rPr>
      </w:pPr>
      <w:r>
        <w:rPr>
          <w:rFonts w:ascii="黑体" w:hAnsi="黑体" w:eastAsia="黑体" w:cs="黑体"/>
          <w:color w:val="auto"/>
          <w:spacing w:val="-1"/>
          <w:sz w:val="21"/>
          <w:szCs w:val="21"/>
          <w:highlight w:val="none"/>
        </w:rPr>
        <w:t>3.2.3</w:t>
      </w:r>
      <w:r>
        <w:rPr>
          <w:rFonts w:ascii="黑体" w:hAnsi="黑体" w:eastAsia="黑体" w:cs="黑体"/>
          <w:color w:val="auto"/>
          <w:spacing w:val="64"/>
          <w:sz w:val="21"/>
          <w:szCs w:val="21"/>
          <w:highlight w:val="none"/>
        </w:rPr>
        <w:t xml:space="preserve"> </w:t>
      </w:r>
      <w:r>
        <w:rPr>
          <w:rFonts w:ascii="宋体" w:hAnsi="宋体" w:eastAsia="宋体" w:cs="宋体"/>
          <w:color w:val="auto"/>
          <w:spacing w:val="-1"/>
          <w:sz w:val="21"/>
          <w:szCs w:val="21"/>
          <w:highlight w:val="none"/>
        </w:rPr>
        <w:t>如果招标人在检查投标人根据上文第</w:t>
      </w:r>
      <w:r>
        <w:rPr>
          <w:rFonts w:ascii="宋体" w:hAnsi="宋体" w:eastAsia="宋体" w:cs="宋体"/>
          <w:color w:val="auto"/>
          <w:spacing w:val="-42"/>
          <w:sz w:val="21"/>
          <w:szCs w:val="21"/>
          <w:highlight w:val="none"/>
        </w:rPr>
        <w:t xml:space="preserve"> </w:t>
      </w:r>
      <w:r>
        <w:rPr>
          <w:rFonts w:ascii="Times New Roman" w:hAnsi="Times New Roman" w:eastAsia="Times New Roman" w:cs="Times New Roman"/>
          <w:color w:val="auto"/>
          <w:spacing w:val="-1"/>
          <w:sz w:val="21"/>
          <w:szCs w:val="21"/>
          <w:highlight w:val="none"/>
        </w:rPr>
        <w:t xml:space="preserve">3.2.2 </w:t>
      </w:r>
      <w:r>
        <w:rPr>
          <w:rFonts w:ascii="宋体" w:hAnsi="宋体" w:eastAsia="宋体" w:cs="宋体"/>
          <w:color w:val="auto"/>
          <w:spacing w:val="-1"/>
          <w:sz w:val="21"/>
          <w:szCs w:val="21"/>
          <w:highlight w:val="none"/>
        </w:rPr>
        <w:t>项提交的差异问题后认为没有必要对招标</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工程量清单进行澄清和（或）修改，或者招标人根据上文第</w:t>
      </w:r>
      <w:r>
        <w:rPr>
          <w:rFonts w:ascii="宋体" w:hAnsi="宋体" w:eastAsia="宋体" w:cs="宋体"/>
          <w:color w:val="auto"/>
          <w:sz w:val="21"/>
          <w:szCs w:val="21"/>
          <w:highlight w:val="none"/>
        </w:rPr>
        <w:t xml:space="preserve"> </w:t>
      </w:r>
      <w:r>
        <w:rPr>
          <w:rFonts w:ascii="Times New Roman" w:hAnsi="Times New Roman" w:eastAsia="Times New Roman" w:cs="Times New Roman"/>
          <w:color w:val="auto"/>
          <w:sz w:val="21"/>
          <w:szCs w:val="21"/>
          <w:highlight w:val="none"/>
        </w:rPr>
        <w:t xml:space="preserve">3.2.2  </w:t>
      </w:r>
      <w:r>
        <w:rPr>
          <w:rFonts w:ascii="宋体" w:hAnsi="宋体" w:eastAsia="宋体" w:cs="宋体"/>
          <w:color w:val="auto"/>
          <w:sz w:val="21"/>
          <w:szCs w:val="21"/>
          <w:highlight w:val="none"/>
        </w:rPr>
        <w:t xml:space="preserve">项对招标工程量 </w:t>
      </w:r>
      <w:r>
        <w:rPr>
          <w:rFonts w:ascii="宋体" w:hAnsi="宋体" w:eastAsia="宋体" w:cs="宋体"/>
          <w:color w:val="auto"/>
          <w:spacing w:val="1"/>
          <w:sz w:val="21"/>
          <w:szCs w:val="21"/>
          <w:highlight w:val="none"/>
        </w:rPr>
        <w:t>清单进行了澄清和（或）修改，但投标人认为招标工程量</w:t>
      </w:r>
      <w:r>
        <w:rPr>
          <w:rFonts w:ascii="宋体" w:hAnsi="宋体" w:eastAsia="宋体" w:cs="宋体"/>
          <w:color w:val="auto"/>
          <w:sz w:val="21"/>
          <w:szCs w:val="21"/>
          <w:highlight w:val="none"/>
        </w:rPr>
        <w:t xml:space="preserve">清单依然存在差异，则此 </w:t>
      </w:r>
      <w:r>
        <w:rPr>
          <w:rFonts w:ascii="宋体" w:hAnsi="宋体" w:eastAsia="宋体" w:cs="宋体"/>
          <w:color w:val="auto"/>
          <w:spacing w:val="1"/>
          <w:sz w:val="21"/>
          <w:szCs w:val="21"/>
          <w:highlight w:val="none"/>
        </w:rPr>
        <w:t>类差异不再提交招标人要求澄清和（或）修改，而是直接按招</w:t>
      </w:r>
      <w:r>
        <w:rPr>
          <w:rFonts w:ascii="宋体" w:hAnsi="宋体" w:eastAsia="宋体" w:cs="宋体"/>
          <w:color w:val="auto"/>
          <w:sz w:val="21"/>
          <w:szCs w:val="21"/>
          <w:highlight w:val="none"/>
        </w:rPr>
        <w:t xml:space="preserve">标工程量清单（包括 </w:t>
      </w:r>
      <w:r>
        <w:rPr>
          <w:rFonts w:ascii="宋体" w:hAnsi="宋体" w:eastAsia="宋体" w:cs="宋体"/>
          <w:color w:val="auto"/>
          <w:spacing w:val="-2"/>
          <w:sz w:val="21"/>
          <w:szCs w:val="21"/>
          <w:highlight w:val="none"/>
        </w:rPr>
        <w:t>招标人可能的澄清和（或）修改）进行报价。</w:t>
      </w:r>
    </w:p>
    <w:p w14:paraId="192FC6F6">
      <w:pPr>
        <w:spacing w:line="311" w:lineRule="auto"/>
        <w:rPr>
          <w:rFonts w:ascii="宋体" w:hAnsi="宋体" w:eastAsia="宋体" w:cs="宋体"/>
          <w:color w:val="auto"/>
          <w:sz w:val="21"/>
          <w:szCs w:val="21"/>
          <w:highlight w:val="none"/>
        </w:rPr>
        <w:sectPr>
          <w:footerReference r:id="rId178" w:type="default"/>
          <w:pgSz w:w="11905" w:h="16839"/>
          <w:pgMar w:top="400" w:right="1630" w:bottom="1004" w:left="1785" w:header="0" w:footer="828" w:gutter="0"/>
          <w:pgNumType w:fmt="decimal"/>
          <w:cols w:space="720" w:num="1"/>
        </w:sectPr>
      </w:pPr>
    </w:p>
    <w:p w14:paraId="7CCD2024">
      <w:pPr>
        <w:pStyle w:val="3"/>
        <w:spacing w:line="271" w:lineRule="auto"/>
        <w:rPr>
          <w:color w:val="auto"/>
          <w:highlight w:val="none"/>
        </w:rPr>
      </w:pPr>
    </w:p>
    <w:p w14:paraId="3B4C7C02">
      <w:pPr>
        <w:pStyle w:val="3"/>
        <w:spacing w:line="271" w:lineRule="auto"/>
        <w:rPr>
          <w:color w:val="auto"/>
          <w:highlight w:val="none"/>
        </w:rPr>
      </w:pPr>
    </w:p>
    <w:p w14:paraId="523EABC7">
      <w:pPr>
        <w:pStyle w:val="3"/>
        <w:spacing w:line="272" w:lineRule="auto"/>
        <w:rPr>
          <w:color w:val="auto"/>
          <w:highlight w:val="none"/>
        </w:rPr>
      </w:pPr>
    </w:p>
    <w:p w14:paraId="017C4F31">
      <w:pPr>
        <w:pStyle w:val="3"/>
        <w:spacing w:line="272" w:lineRule="auto"/>
        <w:rPr>
          <w:color w:val="auto"/>
          <w:highlight w:val="none"/>
        </w:rPr>
      </w:pPr>
    </w:p>
    <w:p w14:paraId="1E6C8223">
      <w:pPr>
        <w:spacing w:before="68" w:line="219" w:lineRule="auto"/>
        <w:ind w:left="18"/>
        <w:rPr>
          <w:rFonts w:ascii="宋体" w:hAnsi="宋体" w:eastAsia="宋体" w:cs="宋体"/>
          <w:color w:val="auto"/>
          <w:sz w:val="21"/>
          <w:szCs w:val="21"/>
          <w:highlight w:val="none"/>
        </w:rPr>
      </w:pPr>
      <w:bookmarkStart w:id="1297" w:name="bookmark243"/>
      <w:bookmarkEnd w:id="1297"/>
      <w:r>
        <w:rPr>
          <w:rFonts w:ascii="黑体" w:hAnsi="黑体" w:eastAsia="黑体" w:cs="黑体"/>
          <w:color w:val="auto"/>
          <w:spacing w:val="-3"/>
          <w:sz w:val="21"/>
          <w:szCs w:val="21"/>
          <w:highlight w:val="none"/>
        </w:rPr>
        <w:t xml:space="preserve">3.2.4  </w:t>
      </w:r>
      <w:r>
        <w:rPr>
          <w:rFonts w:ascii="宋体" w:hAnsi="宋体" w:eastAsia="宋体" w:cs="宋体"/>
          <w:color w:val="auto"/>
          <w:spacing w:val="-3"/>
          <w:sz w:val="21"/>
          <w:szCs w:val="21"/>
          <w:highlight w:val="none"/>
        </w:rPr>
        <w:t>投标人在按照招标工程量清单进行报价时， 不得改变招标工程量清单的项目编码、</w:t>
      </w:r>
    </w:p>
    <w:p w14:paraId="1E14605C">
      <w:pPr>
        <w:spacing w:before="129" w:line="335" w:lineRule="auto"/>
        <w:ind w:left="765" w:right="8" w:hanging="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项目名称、项目特征描述、计量单位以及工程量，</w:t>
      </w:r>
      <w:r>
        <w:rPr>
          <w:rFonts w:ascii="宋体" w:hAnsi="宋体" w:eastAsia="宋体" w:cs="宋体"/>
          <w:color w:val="auto"/>
          <w:spacing w:val="56"/>
          <w:sz w:val="21"/>
          <w:szCs w:val="21"/>
          <w:highlight w:val="none"/>
        </w:rPr>
        <w:t xml:space="preserve"> </w:t>
      </w:r>
      <w:r>
        <w:rPr>
          <w:rFonts w:ascii="宋体" w:hAnsi="宋体" w:eastAsia="宋体" w:cs="宋体"/>
          <w:color w:val="auto"/>
          <w:spacing w:val="-4"/>
          <w:sz w:val="21"/>
          <w:szCs w:val="21"/>
          <w:highlight w:val="none"/>
        </w:rPr>
        <w:t>也不得</w:t>
      </w:r>
      <w:r>
        <w:rPr>
          <w:rFonts w:ascii="宋体" w:hAnsi="宋体" w:eastAsia="宋体" w:cs="宋体"/>
          <w:color w:val="auto"/>
          <w:spacing w:val="-5"/>
          <w:sz w:val="21"/>
          <w:szCs w:val="21"/>
          <w:highlight w:val="none"/>
        </w:rPr>
        <w:t>改变其他项目清单及其载</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明的暂列金额和暂估价等内容。即使按照图纸和</w:t>
      </w:r>
      <w:r>
        <w:rPr>
          <w:rFonts w:ascii="宋体" w:hAnsi="宋体" w:eastAsia="宋体" w:cs="宋体"/>
          <w:color w:val="auto"/>
          <w:spacing w:val="-2"/>
          <w:sz w:val="21"/>
          <w:szCs w:val="21"/>
          <w:highlight w:val="none"/>
        </w:rPr>
        <w:t>招标范围的约定并不存在的项目，</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rPr>
        <w:t>只要在招标人提供的招标工程量清单中已经列明，</w:t>
      </w:r>
      <w:r>
        <w:rPr>
          <w:rFonts w:ascii="宋体" w:hAnsi="宋体" w:eastAsia="宋体" w:cs="宋体"/>
          <w:color w:val="auto"/>
          <w:spacing w:val="65"/>
          <w:sz w:val="21"/>
          <w:szCs w:val="21"/>
          <w:highlight w:val="none"/>
        </w:rPr>
        <w:t xml:space="preserve"> </w:t>
      </w:r>
      <w:r>
        <w:rPr>
          <w:rFonts w:ascii="宋体" w:hAnsi="宋体" w:eastAsia="宋体" w:cs="宋体"/>
          <w:color w:val="auto"/>
          <w:spacing w:val="-5"/>
          <w:sz w:val="21"/>
          <w:szCs w:val="21"/>
          <w:highlight w:val="none"/>
        </w:rPr>
        <w:t>投标人都需要对其报价，并纳入</w:t>
      </w:r>
    </w:p>
    <w:p w14:paraId="570EA01F">
      <w:pPr>
        <w:spacing w:line="219" w:lineRule="auto"/>
        <w:ind w:left="75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投标总价的计算。</w:t>
      </w:r>
    </w:p>
    <w:p w14:paraId="02AFEE2B">
      <w:pPr>
        <w:spacing w:before="129" w:line="220" w:lineRule="auto"/>
        <w:ind w:left="18"/>
        <w:rPr>
          <w:rFonts w:ascii="黑体" w:hAnsi="黑体" w:eastAsia="黑体" w:cs="黑体"/>
          <w:color w:val="auto"/>
          <w:sz w:val="21"/>
          <w:szCs w:val="21"/>
          <w:highlight w:val="none"/>
        </w:rPr>
      </w:pPr>
      <w:r>
        <w:rPr>
          <w:rFonts w:ascii="黑体" w:hAnsi="黑体" w:eastAsia="黑体" w:cs="黑体"/>
          <w:color w:val="auto"/>
          <w:spacing w:val="-2"/>
          <w:sz w:val="21"/>
          <w:szCs w:val="21"/>
          <w:highlight w:val="none"/>
        </w:rPr>
        <w:t>3.3</w:t>
      </w:r>
      <w:r>
        <w:rPr>
          <w:rFonts w:ascii="黑体" w:hAnsi="黑体" w:eastAsia="黑体" w:cs="黑体"/>
          <w:color w:val="auto"/>
          <w:spacing w:val="-34"/>
          <w:sz w:val="21"/>
          <w:szCs w:val="21"/>
          <w:highlight w:val="none"/>
        </w:rPr>
        <w:t xml:space="preserve"> </w:t>
      </w:r>
      <w:r>
        <w:rPr>
          <w:rFonts w:ascii="黑体" w:hAnsi="黑体" w:eastAsia="黑体" w:cs="黑体"/>
          <w:color w:val="auto"/>
          <w:spacing w:val="-2"/>
          <w:sz w:val="21"/>
          <w:szCs w:val="21"/>
          <w:highlight w:val="none"/>
        </w:rPr>
        <w:t>暂列金额和暂估价</w:t>
      </w:r>
    </w:p>
    <w:p w14:paraId="7283C860">
      <w:pPr>
        <w:spacing w:before="129" w:line="220" w:lineRule="auto"/>
        <w:ind w:left="18"/>
        <w:rPr>
          <w:rFonts w:ascii="宋体" w:hAnsi="宋体" w:eastAsia="宋体" w:cs="宋体"/>
          <w:color w:val="auto"/>
          <w:sz w:val="21"/>
          <w:szCs w:val="21"/>
          <w:highlight w:val="none"/>
        </w:rPr>
      </w:pPr>
      <w:r>
        <w:rPr>
          <w:rFonts w:ascii="黑体" w:hAnsi="黑体" w:eastAsia="黑体" w:cs="黑体"/>
          <w:color w:val="auto"/>
          <w:spacing w:val="-2"/>
          <w:sz w:val="21"/>
          <w:szCs w:val="21"/>
          <w:highlight w:val="none"/>
        </w:rPr>
        <w:t xml:space="preserve">3.3.1   </w:t>
      </w:r>
      <w:r>
        <w:rPr>
          <w:rFonts w:ascii="宋体" w:hAnsi="宋体" w:eastAsia="宋体" w:cs="宋体"/>
          <w:color w:val="auto"/>
          <w:spacing w:val="-2"/>
          <w:sz w:val="21"/>
          <w:szCs w:val="21"/>
          <w:highlight w:val="none"/>
        </w:rPr>
        <w:t>采用一般计税方法的，“暂列金额明细表”中所列暂列金额为不含进项税</w:t>
      </w:r>
      <w:r>
        <w:rPr>
          <w:rFonts w:ascii="宋体" w:hAnsi="宋体" w:eastAsia="宋体" w:cs="宋体"/>
          <w:color w:val="auto"/>
          <w:spacing w:val="-3"/>
          <w:sz w:val="21"/>
          <w:szCs w:val="21"/>
          <w:highlight w:val="none"/>
        </w:rPr>
        <w:t>额和销项</w:t>
      </w:r>
    </w:p>
    <w:p w14:paraId="4C0F4847">
      <w:pPr>
        <w:spacing w:before="129" w:line="380" w:lineRule="exact"/>
        <w:ind w:right="8"/>
        <w:jc w:val="right"/>
        <w:rPr>
          <w:rFonts w:ascii="宋体" w:hAnsi="宋体" w:eastAsia="宋体" w:cs="宋体"/>
          <w:color w:val="auto"/>
          <w:sz w:val="21"/>
          <w:szCs w:val="21"/>
          <w:highlight w:val="none"/>
        </w:rPr>
      </w:pPr>
      <w:r>
        <w:rPr>
          <w:rFonts w:ascii="宋体" w:hAnsi="宋体" w:eastAsia="宋体" w:cs="宋体"/>
          <w:color w:val="auto"/>
          <w:position w:val="12"/>
          <w:sz w:val="21"/>
          <w:szCs w:val="21"/>
          <w:highlight w:val="none"/>
        </w:rPr>
        <w:t>税额的金额。投标人应按本招标文件规定将此类暂列金额直接纳入其他项目清单的</w:t>
      </w:r>
    </w:p>
    <w:p w14:paraId="764195D6">
      <w:pPr>
        <w:spacing w:line="219" w:lineRule="auto"/>
        <w:ind w:left="755"/>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投标价格，</w:t>
      </w:r>
      <w:r>
        <w:rPr>
          <w:rFonts w:ascii="宋体" w:hAnsi="宋体" w:eastAsia="宋体" w:cs="宋体"/>
          <w:color w:val="auto"/>
          <w:spacing w:val="59"/>
          <w:sz w:val="21"/>
          <w:szCs w:val="21"/>
          <w:highlight w:val="none"/>
        </w:rPr>
        <w:t xml:space="preserve"> </w:t>
      </w:r>
      <w:r>
        <w:rPr>
          <w:rFonts w:ascii="宋体" w:hAnsi="宋体" w:eastAsia="宋体" w:cs="宋体"/>
          <w:color w:val="auto"/>
          <w:spacing w:val="-12"/>
          <w:sz w:val="21"/>
          <w:szCs w:val="21"/>
          <w:highlight w:val="none"/>
        </w:rPr>
        <w:t>并计取相应的销项税额。</w:t>
      </w:r>
    </w:p>
    <w:p w14:paraId="2FC6C3C8">
      <w:pPr>
        <w:spacing w:before="135" w:line="333" w:lineRule="auto"/>
        <w:ind w:left="752" w:right="8"/>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采用简易计税方法，</w:t>
      </w:r>
      <w:r>
        <w:rPr>
          <w:rFonts w:ascii="宋体" w:hAnsi="宋体" w:eastAsia="宋体" w:cs="宋体"/>
          <w:color w:val="auto"/>
          <w:spacing w:val="-61"/>
          <w:sz w:val="21"/>
          <w:szCs w:val="21"/>
          <w:highlight w:val="none"/>
        </w:rPr>
        <w:t xml:space="preserve"> </w:t>
      </w:r>
      <w:r>
        <w:rPr>
          <w:rFonts w:ascii="宋体" w:hAnsi="宋体" w:eastAsia="宋体" w:cs="宋体"/>
          <w:color w:val="auto"/>
          <w:spacing w:val="-1"/>
          <w:sz w:val="21"/>
          <w:szCs w:val="21"/>
          <w:highlight w:val="none"/>
        </w:rPr>
        <w:t>“暂列金额明细表”中所列暂列金额为含进项税额但不含销项</w:t>
      </w:r>
      <w:r>
        <w:rPr>
          <w:rFonts w:ascii="宋体" w:hAnsi="宋体" w:eastAsia="宋体" w:cs="宋体"/>
          <w:color w:val="auto"/>
          <w:sz w:val="21"/>
          <w:szCs w:val="21"/>
          <w:highlight w:val="none"/>
        </w:rPr>
        <w:t xml:space="preserve"> 税额的金额。投标人应按本招标文件规定将此类暂列金额直接纳入其他项目清单的</w:t>
      </w:r>
    </w:p>
    <w:p w14:paraId="6B872933">
      <w:pPr>
        <w:spacing w:before="1" w:line="219" w:lineRule="auto"/>
        <w:ind w:left="755"/>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投标价格，</w:t>
      </w:r>
      <w:r>
        <w:rPr>
          <w:rFonts w:ascii="宋体" w:hAnsi="宋体" w:eastAsia="宋体" w:cs="宋体"/>
          <w:color w:val="auto"/>
          <w:spacing w:val="69"/>
          <w:sz w:val="21"/>
          <w:szCs w:val="21"/>
          <w:highlight w:val="none"/>
        </w:rPr>
        <w:t xml:space="preserve"> </w:t>
      </w:r>
      <w:r>
        <w:rPr>
          <w:rFonts w:ascii="宋体" w:hAnsi="宋体" w:eastAsia="宋体" w:cs="宋体"/>
          <w:color w:val="auto"/>
          <w:spacing w:val="-10"/>
          <w:sz w:val="21"/>
          <w:szCs w:val="21"/>
          <w:highlight w:val="none"/>
        </w:rPr>
        <w:t>并计取相应的增值税征收率。</w:t>
      </w:r>
    </w:p>
    <w:p w14:paraId="28DF3801">
      <w:pPr>
        <w:spacing w:before="130" w:line="219" w:lineRule="auto"/>
        <w:ind w:left="18"/>
        <w:rPr>
          <w:rFonts w:ascii="宋体" w:hAnsi="宋体" w:eastAsia="宋体" w:cs="宋体"/>
          <w:color w:val="auto"/>
          <w:sz w:val="21"/>
          <w:szCs w:val="21"/>
          <w:highlight w:val="none"/>
        </w:rPr>
      </w:pPr>
      <w:r>
        <w:rPr>
          <w:rFonts w:ascii="黑体" w:hAnsi="黑体" w:eastAsia="黑体" w:cs="黑体"/>
          <w:color w:val="auto"/>
          <w:spacing w:val="-2"/>
          <w:sz w:val="21"/>
          <w:szCs w:val="21"/>
          <w:highlight w:val="none"/>
        </w:rPr>
        <w:t xml:space="preserve">3.3.2   </w:t>
      </w:r>
      <w:r>
        <w:rPr>
          <w:rFonts w:ascii="宋体" w:hAnsi="宋体" w:eastAsia="宋体" w:cs="宋体"/>
          <w:color w:val="auto"/>
          <w:spacing w:val="-2"/>
          <w:sz w:val="21"/>
          <w:szCs w:val="21"/>
          <w:highlight w:val="none"/>
        </w:rPr>
        <w:t>“材料（工程设备）暂估单价表”中所列的材料和工程设备暂估价是此类材</w:t>
      </w:r>
      <w:r>
        <w:rPr>
          <w:rFonts w:ascii="宋体" w:hAnsi="宋体" w:eastAsia="宋体" w:cs="宋体"/>
          <w:color w:val="auto"/>
          <w:spacing w:val="-3"/>
          <w:sz w:val="21"/>
          <w:szCs w:val="21"/>
          <w:highlight w:val="none"/>
        </w:rPr>
        <w:t>料、工</w:t>
      </w:r>
    </w:p>
    <w:p w14:paraId="351D5830">
      <w:pPr>
        <w:spacing w:before="129" w:line="335" w:lineRule="auto"/>
        <w:ind w:left="754" w:right="5" w:hanging="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程设备本身运至施工现场内的工地地面价，除应按本招标文件规定将此类暂估价本</w:t>
      </w:r>
      <w:r>
        <w:rPr>
          <w:rFonts w:ascii="宋体" w:hAnsi="宋体" w:eastAsia="宋体" w:cs="宋体"/>
          <w:color w:val="auto"/>
          <w:spacing w:val="10"/>
          <w:sz w:val="21"/>
          <w:szCs w:val="21"/>
          <w:highlight w:val="none"/>
        </w:rPr>
        <w:t xml:space="preserve"> </w:t>
      </w:r>
      <w:r>
        <w:rPr>
          <w:rFonts w:ascii="宋体" w:hAnsi="宋体" w:eastAsia="宋体" w:cs="宋体"/>
          <w:color w:val="auto"/>
          <w:sz w:val="21"/>
          <w:szCs w:val="21"/>
          <w:highlight w:val="none"/>
        </w:rPr>
        <w:t>身纳入分部分项工程和单价措施项目清单相应项目的综合单价以外，投标人还应将</w:t>
      </w:r>
      <w:r>
        <w:rPr>
          <w:rFonts w:ascii="宋体" w:hAnsi="宋体" w:eastAsia="宋体" w:cs="宋体"/>
          <w:color w:val="auto"/>
          <w:spacing w:val="7"/>
          <w:sz w:val="21"/>
          <w:szCs w:val="21"/>
          <w:highlight w:val="none"/>
        </w:rPr>
        <w:t xml:space="preserve"> </w:t>
      </w:r>
      <w:r>
        <w:rPr>
          <w:rFonts w:ascii="宋体" w:hAnsi="宋体" w:eastAsia="宋体" w:cs="宋体"/>
          <w:color w:val="auto"/>
          <w:sz w:val="21"/>
          <w:szCs w:val="21"/>
          <w:highlight w:val="none"/>
        </w:rPr>
        <w:t>上述材料和工程设备的安装及辅助工作所发生的费用以及与此类费用有关的企业管</w:t>
      </w:r>
    </w:p>
    <w:p w14:paraId="546825BC">
      <w:pPr>
        <w:spacing w:before="1" w:line="219" w:lineRule="auto"/>
        <w:ind w:left="75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理费和利润包含在分部分项工程和单价措施项目清单相应项目的综合单价中。</w:t>
      </w:r>
    </w:p>
    <w:p w14:paraId="49DF5DBE">
      <w:pPr>
        <w:spacing w:before="130" w:line="219" w:lineRule="auto"/>
        <w:ind w:left="18"/>
        <w:rPr>
          <w:rFonts w:ascii="宋体" w:hAnsi="宋体" w:eastAsia="宋体" w:cs="宋体"/>
          <w:color w:val="auto"/>
          <w:sz w:val="21"/>
          <w:szCs w:val="21"/>
          <w:highlight w:val="none"/>
        </w:rPr>
      </w:pPr>
      <w:r>
        <w:rPr>
          <w:rFonts w:ascii="黑体" w:hAnsi="黑体" w:eastAsia="黑体" w:cs="黑体"/>
          <w:color w:val="auto"/>
          <w:spacing w:val="-2"/>
          <w:sz w:val="21"/>
          <w:szCs w:val="21"/>
          <w:highlight w:val="none"/>
        </w:rPr>
        <w:t xml:space="preserve">3.3.3   </w:t>
      </w:r>
      <w:r>
        <w:rPr>
          <w:rFonts w:ascii="宋体" w:hAnsi="宋体" w:eastAsia="宋体" w:cs="宋体"/>
          <w:color w:val="auto"/>
          <w:spacing w:val="-2"/>
          <w:sz w:val="21"/>
          <w:szCs w:val="21"/>
          <w:highlight w:val="none"/>
        </w:rPr>
        <w:t>采用一般计税方法的，“专业工程暂估价表”中所列专业工程暂估价为不</w:t>
      </w:r>
      <w:r>
        <w:rPr>
          <w:rFonts w:ascii="宋体" w:hAnsi="宋体" w:eastAsia="宋体" w:cs="宋体"/>
          <w:color w:val="auto"/>
          <w:spacing w:val="-3"/>
          <w:sz w:val="21"/>
          <w:szCs w:val="21"/>
          <w:highlight w:val="none"/>
        </w:rPr>
        <w:t>含进项税</w:t>
      </w:r>
    </w:p>
    <w:p w14:paraId="0363B06B">
      <w:pPr>
        <w:spacing w:before="130" w:line="379" w:lineRule="exact"/>
        <w:ind w:right="18"/>
        <w:jc w:val="right"/>
        <w:rPr>
          <w:rFonts w:ascii="宋体" w:hAnsi="宋体" w:eastAsia="宋体" w:cs="宋体"/>
          <w:color w:val="auto"/>
          <w:sz w:val="21"/>
          <w:szCs w:val="21"/>
          <w:highlight w:val="none"/>
        </w:rPr>
      </w:pPr>
      <w:r>
        <w:rPr>
          <w:rFonts w:ascii="宋体" w:hAnsi="宋体" w:eastAsia="宋体" w:cs="宋体"/>
          <w:color w:val="auto"/>
          <w:position w:val="12"/>
          <w:sz w:val="21"/>
          <w:szCs w:val="21"/>
          <w:highlight w:val="none"/>
        </w:rPr>
        <w:t>额和销项税额的金额。投标人应按本招标文件规定将此类专业工程暂估金额直接纳</w:t>
      </w:r>
    </w:p>
    <w:p w14:paraId="5E167870">
      <w:pPr>
        <w:spacing w:line="219" w:lineRule="auto"/>
        <w:ind w:left="75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入其他项目清单的投标价格， 并计取相应的销项税额。</w:t>
      </w:r>
    </w:p>
    <w:p w14:paraId="77255B75">
      <w:pPr>
        <w:spacing w:before="129" w:line="336" w:lineRule="auto"/>
        <w:ind w:left="751" w:right="10"/>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采用简易计税方法的，“专业工程暂估价表”中所列专业工程暂估价为含进项税额</w:t>
      </w:r>
      <w:r>
        <w:rPr>
          <w:rFonts w:ascii="宋体" w:hAnsi="宋体" w:eastAsia="宋体" w:cs="宋体"/>
          <w:color w:val="auto"/>
          <w:spacing w:val="9"/>
          <w:sz w:val="21"/>
          <w:szCs w:val="21"/>
          <w:highlight w:val="none"/>
        </w:rPr>
        <w:t xml:space="preserve"> </w:t>
      </w:r>
      <w:r>
        <w:rPr>
          <w:rFonts w:ascii="宋体" w:hAnsi="宋体" w:eastAsia="宋体" w:cs="宋体"/>
          <w:color w:val="auto"/>
          <w:sz w:val="21"/>
          <w:szCs w:val="21"/>
          <w:highlight w:val="none"/>
        </w:rPr>
        <w:t>但不含销项税额的金额。投标人应按本招标文件规定将此类专业工程暂估金额直接</w:t>
      </w:r>
    </w:p>
    <w:p w14:paraId="46D88D8A">
      <w:pPr>
        <w:spacing w:before="1" w:line="219" w:lineRule="auto"/>
        <w:ind w:left="75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纳入其他项目清单的投标价格，并计取相应的增值</w:t>
      </w:r>
      <w:r>
        <w:rPr>
          <w:rFonts w:ascii="宋体" w:hAnsi="宋体" w:eastAsia="宋体" w:cs="宋体"/>
          <w:color w:val="auto"/>
          <w:spacing w:val="-2"/>
          <w:sz w:val="21"/>
          <w:szCs w:val="21"/>
          <w:highlight w:val="none"/>
        </w:rPr>
        <w:t>税征收率。</w:t>
      </w:r>
    </w:p>
    <w:p w14:paraId="5B9E1CD9">
      <w:pPr>
        <w:spacing w:before="130" w:line="219" w:lineRule="auto"/>
        <w:ind w:left="18"/>
        <w:rPr>
          <w:rFonts w:ascii="黑体" w:hAnsi="黑体" w:eastAsia="黑体" w:cs="黑体"/>
          <w:color w:val="auto"/>
          <w:sz w:val="21"/>
          <w:szCs w:val="21"/>
          <w:highlight w:val="none"/>
        </w:rPr>
      </w:pPr>
      <w:r>
        <w:rPr>
          <w:rFonts w:ascii="黑体" w:hAnsi="黑体" w:eastAsia="黑体" w:cs="黑体"/>
          <w:color w:val="auto"/>
          <w:spacing w:val="-2"/>
          <w:sz w:val="21"/>
          <w:szCs w:val="21"/>
          <w:highlight w:val="none"/>
        </w:rPr>
        <w:t>3.4</w:t>
      </w:r>
      <w:r>
        <w:rPr>
          <w:rFonts w:ascii="黑体" w:hAnsi="黑体" w:eastAsia="黑体" w:cs="黑体"/>
          <w:color w:val="auto"/>
          <w:spacing w:val="-38"/>
          <w:sz w:val="21"/>
          <w:szCs w:val="21"/>
          <w:highlight w:val="none"/>
        </w:rPr>
        <w:t xml:space="preserve"> </w:t>
      </w:r>
      <w:r>
        <w:rPr>
          <w:rFonts w:ascii="黑体" w:hAnsi="黑体" w:eastAsia="黑体" w:cs="黑体"/>
          <w:color w:val="auto"/>
          <w:spacing w:val="-2"/>
          <w:sz w:val="21"/>
          <w:szCs w:val="21"/>
          <w:highlight w:val="none"/>
        </w:rPr>
        <w:t>其他补充说明</w:t>
      </w:r>
    </w:p>
    <w:p w14:paraId="638FBA8F">
      <w:pPr>
        <w:pStyle w:val="3"/>
        <w:spacing w:line="338" w:lineRule="auto"/>
        <w:rPr>
          <w:color w:val="auto"/>
          <w:highlight w:val="none"/>
        </w:rPr>
      </w:pPr>
    </w:p>
    <w:p w14:paraId="78A447FB">
      <w:pPr>
        <w:spacing w:line="389" w:lineRule="exact"/>
        <w:ind w:firstLine="432"/>
        <w:rPr>
          <w:color w:val="auto"/>
          <w:highlight w:val="none"/>
        </w:rPr>
      </w:pPr>
      <w:r>
        <w:rPr>
          <w:color w:val="auto"/>
          <w:position w:val="-7"/>
          <w:highlight w:val="none"/>
        </w:rPr>
        <w:pict>
          <v:shape id="_x0000_s2073" o:spid="_x0000_s2073" style="height:19.45pt;width:394.75pt;" fillcolor="#000000" filled="t" stroked="f" coordsize="7895,389" path="m0,9l7894,9,7894,0,0,0,0,9xem0,388l7894,388,7894,379,0,379,0,388xe">
            <v:path/>
            <v:fill on="t" focussize="0,0"/>
            <v:stroke on="f"/>
            <v:imagedata o:title=""/>
            <o:lock v:ext="edit"/>
            <w10:wrap type="none"/>
            <w10:anchorlock/>
          </v:shape>
        </w:pict>
      </w:r>
    </w:p>
    <w:p w14:paraId="6FD79396">
      <w:pPr>
        <w:pStyle w:val="3"/>
        <w:spacing w:line="326" w:lineRule="auto"/>
        <w:rPr>
          <w:color w:val="auto"/>
          <w:highlight w:val="none"/>
        </w:rPr>
      </w:pPr>
    </w:p>
    <w:p w14:paraId="586A80F2">
      <w:pPr>
        <w:pStyle w:val="3"/>
        <w:spacing w:line="327" w:lineRule="auto"/>
        <w:rPr>
          <w:color w:val="auto"/>
          <w:highlight w:val="none"/>
        </w:rPr>
      </w:pPr>
    </w:p>
    <w:p w14:paraId="477374E0">
      <w:pPr>
        <w:spacing w:before="87" w:line="225" w:lineRule="auto"/>
        <w:ind w:left="14"/>
        <w:rPr>
          <w:rFonts w:ascii="黑体" w:hAnsi="黑体" w:eastAsia="黑体" w:cs="黑体"/>
          <w:color w:val="auto"/>
          <w:sz w:val="27"/>
          <w:szCs w:val="27"/>
          <w:highlight w:val="none"/>
        </w:rPr>
      </w:pPr>
      <w:r>
        <w:rPr>
          <w:rFonts w:ascii="Times New Roman" w:hAnsi="Times New Roman" w:eastAsia="Times New Roman" w:cs="Times New Roman"/>
          <w:color w:val="auto"/>
          <w:spacing w:val="7"/>
          <w:sz w:val="27"/>
          <w:szCs w:val="27"/>
          <w:highlight w:val="none"/>
        </w:rPr>
        <w:t>4</w:t>
      </w:r>
      <w:r>
        <w:rPr>
          <w:rFonts w:ascii="黑体" w:hAnsi="黑体" w:eastAsia="黑体" w:cs="黑体"/>
          <w:color w:val="auto"/>
          <w:spacing w:val="7"/>
          <w:sz w:val="27"/>
          <w:szCs w:val="27"/>
          <w:highlight w:val="none"/>
        </w:rPr>
        <w:t>、工程量清单与计价表</w:t>
      </w:r>
    </w:p>
    <w:p w14:paraId="10805C3D">
      <w:pPr>
        <w:pStyle w:val="3"/>
        <w:spacing w:line="264" w:lineRule="auto"/>
        <w:rPr>
          <w:color w:val="auto"/>
          <w:highlight w:val="none"/>
        </w:rPr>
      </w:pPr>
    </w:p>
    <w:p w14:paraId="6625A58E">
      <w:pPr>
        <w:pStyle w:val="3"/>
        <w:spacing w:line="265" w:lineRule="auto"/>
        <w:rPr>
          <w:color w:val="auto"/>
          <w:highlight w:val="none"/>
        </w:rPr>
      </w:pPr>
    </w:p>
    <w:p w14:paraId="41368D34">
      <w:pPr>
        <w:pStyle w:val="3"/>
        <w:spacing w:line="265" w:lineRule="auto"/>
        <w:rPr>
          <w:color w:val="auto"/>
          <w:highlight w:val="none"/>
        </w:rPr>
      </w:pPr>
    </w:p>
    <w:p w14:paraId="0917A855">
      <w:pPr>
        <w:spacing w:before="69" w:line="220" w:lineRule="auto"/>
        <w:ind w:left="20"/>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备注： 1.</w:t>
      </w:r>
      <w:r>
        <w:rPr>
          <w:rFonts w:ascii="宋体" w:hAnsi="宋体" w:eastAsia="宋体" w:cs="宋体"/>
          <w:color w:val="auto"/>
          <w:spacing w:val="43"/>
          <w:sz w:val="21"/>
          <w:szCs w:val="21"/>
          <w:highlight w:val="none"/>
        </w:rPr>
        <w:t xml:space="preserve"> </w:t>
      </w:r>
      <w:r>
        <w:rPr>
          <w:rFonts w:ascii="宋体" w:hAnsi="宋体" w:eastAsia="宋体" w:cs="宋体"/>
          <w:color w:val="auto"/>
          <w:spacing w:val="-10"/>
          <w:sz w:val="21"/>
          <w:szCs w:val="21"/>
          <w:highlight w:val="none"/>
        </w:rPr>
        <w:t>以下表格供招标人参考。</w:t>
      </w:r>
    </w:p>
    <w:p w14:paraId="1ADC0460">
      <w:pPr>
        <w:spacing w:before="129" w:line="384" w:lineRule="exact"/>
        <w:ind w:left="650"/>
        <w:rPr>
          <w:rFonts w:ascii="宋体" w:hAnsi="宋体" w:eastAsia="宋体" w:cs="宋体"/>
          <w:color w:val="auto"/>
          <w:sz w:val="21"/>
          <w:szCs w:val="21"/>
          <w:highlight w:val="none"/>
        </w:rPr>
      </w:pPr>
      <w:r>
        <w:rPr>
          <w:rFonts w:ascii="宋体" w:hAnsi="宋体" w:eastAsia="宋体" w:cs="宋体"/>
          <w:color w:val="auto"/>
          <w:spacing w:val="-3"/>
          <w:position w:val="13"/>
          <w:sz w:val="21"/>
          <w:szCs w:val="21"/>
          <w:highlight w:val="none"/>
        </w:rPr>
        <w:t>2.</w:t>
      </w:r>
      <w:r>
        <w:rPr>
          <w:rFonts w:ascii="宋体" w:hAnsi="宋体" w:eastAsia="宋体" w:cs="宋体"/>
          <w:color w:val="auto"/>
          <w:spacing w:val="48"/>
          <w:position w:val="13"/>
          <w:sz w:val="21"/>
          <w:szCs w:val="21"/>
          <w:highlight w:val="none"/>
        </w:rPr>
        <w:t xml:space="preserve"> </w:t>
      </w:r>
      <w:r>
        <w:rPr>
          <w:rFonts w:ascii="宋体" w:hAnsi="宋体" w:eastAsia="宋体" w:cs="宋体"/>
          <w:color w:val="auto"/>
          <w:spacing w:val="-3"/>
          <w:position w:val="13"/>
          <w:sz w:val="21"/>
          <w:szCs w:val="21"/>
          <w:highlight w:val="none"/>
        </w:rPr>
        <w:t>以下表格中的单价应根据所选用计税方法不同进行调整。</w:t>
      </w:r>
    </w:p>
    <w:p w14:paraId="513CCC72">
      <w:pPr>
        <w:spacing w:line="219" w:lineRule="auto"/>
        <w:ind w:left="651"/>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一般计税方法应为除税价格， 简易计税方法应为含税价格。</w:t>
      </w:r>
    </w:p>
    <w:p w14:paraId="57838F67">
      <w:pPr>
        <w:spacing w:line="219" w:lineRule="auto"/>
        <w:rPr>
          <w:rFonts w:ascii="宋体" w:hAnsi="宋体" w:eastAsia="宋体" w:cs="宋体"/>
          <w:color w:val="auto"/>
          <w:sz w:val="21"/>
          <w:szCs w:val="21"/>
          <w:highlight w:val="none"/>
        </w:rPr>
        <w:sectPr>
          <w:footerReference r:id="rId179" w:type="default"/>
          <w:pgSz w:w="11905" w:h="16839"/>
          <w:pgMar w:top="400" w:right="1785" w:bottom="1004" w:left="1785" w:header="0" w:footer="828" w:gutter="0"/>
          <w:pgNumType w:fmt="decimal"/>
          <w:cols w:space="720" w:num="1"/>
        </w:sectPr>
      </w:pPr>
    </w:p>
    <w:p w14:paraId="49536662">
      <w:pPr>
        <w:pStyle w:val="3"/>
        <w:spacing w:line="267" w:lineRule="auto"/>
        <w:rPr>
          <w:color w:val="auto"/>
          <w:highlight w:val="none"/>
        </w:rPr>
      </w:pPr>
    </w:p>
    <w:p w14:paraId="55A88D66">
      <w:pPr>
        <w:pStyle w:val="3"/>
        <w:spacing w:line="267" w:lineRule="auto"/>
        <w:rPr>
          <w:color w:val="auto"/>
          <w:highlight w:val="none"/>
        </w:rPr>
      </w:pPr>
    </w:p>
    <w:p w14:paraId="7FDCCE92">
      <w:pPr>
        <w:pStyle w:val="3"/>
        <w:spacing w:line="268" w:lineRule="auto"/>
        <w:rPr>
          <w:color w:val="auto"/>
          <w:highlight w:val="none"/>
        </w:rPr>
      </w:pPr>
    </w:p>
    <w:p w14:paraId="7366D331">
      <w:pPr>
        <w:pStyle w:val="3"/>
        <w:spacing w:line="268" w:lineRule="auto"/>
        <w:rPr>
          <w:color w:val="auto"/>
          <w:highlight w:val="none"/>
        </w:rPr>
      </w:pPr>
    </w:p>
    <w:p w14:paraId="2C14790E">
      <w:pPr>
        <w:spacing w:before="78" w:line="219" w:lineRule="auto"/>
        <w:ind w:left="13"/>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4.1 </w:t>
      </w:r>
      <w:r>
        <w:rPr>
          <w:rFonts w:ascii="黑体" w:hAnsi="黑体" w:eastAsia="黑体" w:cs="黑体"/>
          <w:color w:val="auto"/>
          <w:spacing w:val="-1"/>
          <w:sz w:val="24"/>
          <w:szCs w:val="24"/>
          <w:highlight w:val="none"/>
        </w:rPr>
        <w:t>招标工程量清单封面</w:t>
      </w:r>
    </w:p>
    <w:p w14:paraId="02BC64DD">
      <w:pPr>
        <w:pStyle w:val="3"/>
        <w:spacing w:line="277" w:lineRule="auto"/>
        <w:rPr>
          <w:color w:val="auto"/>
          <w:highlight w:val="none"/>
        </w:rPr>
      </w:pPr>
    </w:p>
    <w:p w14:paraId="0F4F2B89">
      <w:pPr>
        <w:pStyle w:val="3"/>
        <w:spacing w:line="277" w:lineRule="auto"/>
        <w:rPr>
          <w:color w:val="auto"/>
          <w:highlight w:val="none"/>
        </w:rPr>
      </w:pPr>
    </w:p>
    <w:p w14:paraId="358BA9E8">
      <w:pPr>
        <w:pStyle w:val="3"/>
        <w:spacing w:line="278" w:lineRule="auto"/>
        <w:rPr>
          <w:color w:val="auto"/>
          <w:highlight w:val="none"/>
        </w:rPr>
      </w:pPr>
    </w:p>
    <w:p w14:paraId="2E6B2BAB">
      <w:pPr>
        <w:pStyle w:val="3"/>
        <w:spacing w:line="278" w:lineRule="auto"/>
        <w:rPr>
          <w:color w:val="auto"/>
          <w:highlight w:val="none"/>
        </w:rPr>
      </w:pPr>
    </w:p>
    <w:p w14:paraId="39863FEB">
      <w:pPr>
        <w:tabs>
          <w:tab w:val="left" w:pos="6352"/>
        </w:tabs>
        <w:spacing w:before="87" w:line="226" w:lineRule="auto"/>
        <w:ind w:left="1734"/>
        <w:rPr>
          <w:rFonts w:ascii="宋体" w:hAnsi="宋体" w:eastAsia="宋体" w:cs="宋体"/>
          <w:color w:val="auto"/>
          <w:sz w:val="27"/>
          <w:szCs w:val="27"/>
          <w:highlight w:val="none"/>
        </w:rPr>
      </w:pPr>
      <w:r>
        <w:rPr>
          <w:rFonts w:ascii="宋体" w:hAnsi="宋体" w:eastAsia="宋体" w:cs="宋体"/>
          <w:color w:val="auto"/>
          <w:sz w:val="27"/>
          <w:szCs w:val="27"/>
          <w:highlight w:val="none"/>
          <w:u w:val="single" w:color="auto"/>
        </w:rPr>
        <w:tab/>
      </w:r>
      <w:r>
        <w:rPr>
          <w:rFonts w:ascii="宋体" w:hAnsi="宋体" w:eastAsia="宋体" w:cs="宋体"/>
          <w:color w:val="auto"/>
          <w:spacing w:val="-120"/>
          <w:sz w:val="27"/>
          <w:szCs w:val="27"/>
          <w:highlight w:val="none"/>
        </w:rPr>
        <w:t xml:space="preserve"> </w:t>
      </w:r>
      <w:r>
        <w:rPr>
          <w:rFonts w:ascii="宋体" w:hAnsi="宋体" w:eastAsia="宋体" w:cs="宋体"/>
          <w:color w:val="auto"/>
          <w:spacing w:val="3"/>
          <w:sz w:val="27"/>
          <w:szCs w:val="27"/>
          <w:highlight w:val="none"/>
          <w14:textOutline w14:w="5050" w14:cap="flat" w14:cmpd="sng">
            <w14:solidFill>
              <w14:srgbClr w14:val="000000"/>
            </w14:solidFill>
            <w14:prstDash w14:val="solid"/>
            <w14:miter w14:val="0"/>
          </w14:textOutline>
        </w:rPr>
        <w:t>工程</w:t>
      </w:r>
    </w:p>
    <w:p w14:paraId="260A5E6F">
      <w:pPr>
        <w:pStyle w:val="3"/>
        <w:spacing w:line="266" w:lineRule="auto"/>
        <w:rPr>
          <w:color w:val="auto"/>
          <w:highlight w:val="none"/>
        </w:rPr>
      </w:pPr>
    </w:p>
    <w:p w14:paraId="153AF0EA">
      <w:pPr>
        <w:pStyle w:val="3"/>
        <w:spacing w:line="266" w:lineRule="auto"/>
        <w:rPr>
          <w:color w:val="auto"/>
          <w:highlight w:val="none"/>
        </w:rPr>
      </w:pPr>
    </w:p>
    <w:p w14:paraId="43548CC1">
      <w:pPr>
        <w:pStyle w:val="3"/>
        <w:spacing w:line="266" w:lineRule="auto"/>
        <w:rPr>
          <w:color w:val="auto"/>
          <w:highlight w:val="none"/>
        </w:rPr>
      </w:pPr>
    </w:p>
    <w:p w14:paraId="4F27A36F">
      <w:pPr>
        <w:pStyle w:val="3"/>
        <w:spacing w:line="266" w:lineRule="auto"/>
        <w:rPr>
          <w:color w:val="auto"/>
          <w:highlight w:val="none"/>
        </w:rPr>
      </w:pPr>
    </w:p>
    <w:p w14:paraId="1E3F994B">
      <w:pPr>
        <w:pStyle w:val="3"/>
        <w:spacing w:line="266" w:lineRule="auto"/>
        <w:rPr>
          <w:color w:val="auto"/>
          <w:highlight w:val="none"/>
        </w:rPr>
      </w:pPr>
    </w:p>
    <w:p w14:paraId="5CC68AD1">
      <w:pPr>
        <w:pStyle w:val="3"/>
        <w:spacing w:line="266" w:lineRule="auto"/>
        <w:rPr>
          <w:color w:val="auto"/>
          <w:highlight w:val="none"/>
        </w:rPr>
      </w:pPr>
    </w:p>
    <w:p w14:paraId="22F12604">
      <w:pPr>
        <w:pStyle w:val="3"/>
        <w:spacing w:line="266" w:lineRule="auto"/>
        <w:rPr>
          <w:color w:val="auto"/>
          <w:highlight w:val="none"/>
        </w:rPr>
      </w:pPr>
    </w:p>
    <w:p w14:paraId="555932BD">
      <w:pPr>
        <w:pStyle w:val="3"/>
        <w:spacing w:line="266" w:lineRule="auto"/>
        <w:rPr>
          <w:color w:val="auto"/>
          <w:highlight w:val="none"/>
        </w:rPr>
      </w:pPr>
    </w:p>
    <w:p w14:paraId="194F646B">
      <w:pPr>
        <w:spacing w:before="117" w:line="219" w:lineRule="auto"/>
        <w:ind w:left="2740"/>
        <w:rPr>
          <w:rFonts w:ascii="黑体" w:hAnsi="黑体" w:eastAsia="黑体" w:cs="黑体"/>
          <w:color w:val="auto"/>
          <w:sz w:val="36"/>
          <w:szCs w:val="36"/>
          <w:highlight w:val="none"/>
        </w:rPr>
      </w:pPr>
      <w:bookmarkStart w:id="1298" w:name="bookmark244"/>
      <w:bookmarkEnd w:id="1298"/>
      <w:r>
        <w:rPr>
          <w:rFonts w:ascii="黑体" w:hAnsi="黑体" w:eastAsia="黑体" w:cs="黑体"/>
          <w:color w:val="auto"/>
          <w:spacing w:val="-10"/>
          <w:sz w:val="36"/>
          <w:szCs w:val="36"/>
          <w:highlight w:val="none"/>
        </w:rPr>
        <w:t>招 标</w:t>
      </w:r>
      <w:r>
        <w:rPr>
          <w:rFonts w:ascii="黑体" w:hAnsi="黑体" w:eastAsia="黑体" w:cs="黑体"/>
          <w:color w:val="auto"/>
          <w:spacing w:val="22"/>
          <w:sz w:val="36"/>
          <w:szCs w:val="36"/>
          <w:highlight w:val="none"/>
        </w:rPr>
        <w:t xml:space="preserve"> </w:t>
      </w:r>
      <w:r>
        <w:rPr>
          <w:rFonts w:ascii="黑体" w:hAnsi="黑体" w:eastAsia="黑体" w:cs="黑体"/>
          <w:color w:val="auto"/>
          <w:spacing w:val="-10"/>
          <w:sz w:val="36"/>
          <w:szCs w:val="36"/>
          <w:highlight w:val="none"/>
        </w:rPr>
        <w:t>工</w:t>
      </w:r>
      <w:r>
        <w:rPr>
          <w:rFonts w:ascii="黑体" w:hAnsi="黑体" w:eastAsia="黑体" w:cs="黑体"/>
          <w:color w:val="auto"/>
          <w:spacing w:val="10"/>
          <w:sz w:val="36"/>
          <w:szCs w:val="36"/>
          <w:highlight w:val="none"/>
        </w:rPr>
        <w:t xml:space="preserve"> </w:t>
      </w:r>
      <w:r>
        <w:rPr>
          <w:rFonts w:ascii="黑体" w:hAnsi="黑体" w:eastAsia="黑体" w:cs="黑体"/>
          <w:color w:val="auto"/>
          <w:spacing w:val="-10"/>
          <w:sz w:val="36"/>
          <w:szCs w:val="36"/>
          <w:highlight w:val="none"/>
        </w:rPr>
        <w:t>程</w:t>
      </w:r>
      <w:r>
        <w:rPr>
          <w:rFonts w:ascii="黑体" w:hAnsi="黑体" w:eastAsia="黑体" w:cs="黑体"/>
          <w:color w:val="auto"/>
          <w:spacing w:val="21"/>
          <w:sz w:val="36"/>
          <w:szCs w:val="36"/>
          <w:highlight w:val="none"/>
        </w:rPr>
        <w:t xml:space="preserve"> </w:t>
      </w:r>
      <w:r>
        <w:rPr>
          <w:rFonts w:ascii="黑体" w:hAnsi="黑体" w:eastAsia="黑体" w:cs="黑体"/>
          <w:color w:val="auto"/>
          <w:spacing w:val="-10"/>
          <w:sz w:val="36"/>
          <w:szCs w:val="36"/>
          <w:highlight w:val="none"/>
        </w:rPr>
        <w:t>量</w:t>
      </w:r>
      <w:r>
        <w:rPr>
          <w:rFonts w:ascii="黑体" w:hAnsi="黑体" w:eastAsia="黑体" w:cs="黑体"/>
          <w:color w:val="auto"/>
          <w:spacing w:val="16"/>
          <w:sz w:val="36"/>
          <w:szCs w:val="36"/>
          <w:highlight w:val="none"/>
        </w:rPr>
        <w:t xml:space="preserve"> </w:t>
      </w:r>
      <w:r>
        <w:rPr>
          <w:rFonts w:ascii="黑体" w:hAnsi="黑体" w:eastAsia="黑体" w:cs="黑体"/>
          <w:color w:val="auto"/>
          <w:spacing w:val="-10"/>
          <w:sz w:val="36"/>
          <w:szCs w:val="36"/>
          <w:highlight w:val="none"/>
        </w:rPr>
        <w:t>清</w:t>
      </w:r>
      <w:r>
        <w:rPr>
          <w:rFonts w:ascii="黑体" w:hAnsi="黑体" w:eastAsia="黑体" w:cs="黑体"/>
          <w:color w:val="auto"/>
          <w:spacing w:val="26"/>
          <w:sz w:val="36"/>
          <w:szCs w:val="36"/>
          <w:highlight w:val="none"/>
        </w:rPr>
        <w:t xml:space="preserve"> </w:t>
      </w:r>
      <w:r>
        <w:rPr>
          <w:rFonts w:ascii="黑体" w:hAnsi="黑体" w:eastAsia="黑体" w:cs="黑体"/>
          <w:color w:val="auto"/>
          <w:spacing w:val="-10"/>
          <w:sz w:val="36"/>
          <w:szCs w:val="36"/>
          <w:highlight w:val="none"/>
        </w:rPr>
        <w:t>单</w:t>
      </w:r>
    </w:p>
    <w:p w14:paraId="370978AF">
      <w:pPr>
        <w:pStyle w:val="3"/>
        <w:spacing w:line="249" w:lineRule="auto"/>
        <w:rPr>
          <w:color w:val="auto"/>
          <w:highlight w:val="none"/>
        </w:rPr>
      </w:pPr>
    </w:p>
    <w:p w14:paraId="13C1A157">
      <w:pPr>
        <w:pStyle w:val="3"/>
        <w:spacing w:line="249" w:lineRule="auto"/>
        <w:rPr>
          <w:color w:val="auto"/>
          <w:highlight w:val="none"/>
        </w:rPr>
      </w:pPr>
    </w:p>
    <w:p w14:paraId="18FC075C">
      <w:pPr>
        <w:pStyle w:val="3"/>
        <w:spacing w:line="249" w:lineRule="auto"/>
        <w:rPr>
          <w:color w:val="auto"/>
          <w:highlight w:val="none"/>
        </w:rPr>
      </w:pPr>
    </w:p>
    <w:p w14:paraId="680CF8F5">
      <w:pPr>
        <w:pStyle w:val="3"/>
        <w:spacing w:line="249" w:lineRule="auto"/>
        <w:rPr>
          <w:color w:val="auto"/>
          <w:highlight w:val="none"/>
        </w:rPr>
      </w:pPr>
    </w:p>
    <w:p w14:paraId="34BADFAB">
      <w:pPr>
        <w:pStyle w:val="3"/>
        <w:spacing w:line="249" w:lineRule="auto"/>
        <w:rPr>
          <w:color w:val="auto"/>
          <w:highlight w:val="none"/>
        </w:rPr>
      </w:pPr>
    </w:p>
    <w:p w14:paraId="7847BF7F">
      <w:pPr>
        <w:pStyle w:val="3"/>
        <w:spacing w:line="249" w:lineRule="auto"/>
        <w:rPr>
          <w:color w:val="auto"/>
          <w:highlight w:val="none"/>
        </w:rPr>
      </w:pPr>
    </w:p>
    <w:p w14:paraId="45235E66">
      <w:pPr>
        <w:pStyle w:val="3"/>
        <w:spacing w:line="249" w:lineRule="auto"/>
        <w:rPr>
          <w:color w:val="auto"/>
          <w:highlight w:val="none"/>
        </w:rPr>
      </w:pPr>
    </w:p>
    <w:p w14:paraId="7354407B">
      <w:pPr>
        <w:pStyle w:val="3"/>
        <w:spacing w:line="249" w:lineRule="auto"/>
        <w:rPr>
          <w:color w:val="auto"/>
          <w:highlight w:val="none"/>
        </w:rPr>
      </w:pPr>
    </w:p>
    <w:p w14:paraId="3BAE663B">
      <w:pPr>
        <w:pStyle w:val="3"/>
        <w:spacing w:line="249" w:lineRule="auto"/>
        <w:rPr>
          <w:color w:val="auto"/>
          <w:highlight w:val="none"/>
        </w:rPr>
      </w:pPr>
    </w:p>
    <w:p w14:paraId="2FF668E4">
      <w:pPr>
        <w:pStyle w:val="3"/>
        <w:spacing w:line="249" w:lineRule="auto"/>
        <w:rPr>
          <w:color w:val="auto"/>
          <w:highlight w:val="none"/>
        </w:rPr>
      </w:pPr>
    </w:p>
    <w:p w14:paraId="7BD190C1">
      <w:pPr>
        <w:pStyle w:val="3"/>
        <w:spacing w:line="249" w:lineRule="auto"/>
        <w:rPr>
          <w:color w:val="auto"/>
          <w:highlight w:val="none"/>
        </w:rPr>
      </w:pPr>
    </w:p>
    <w:p w14:paraId="6FA022DB">
      <w:pPr>
        <w:pStyle w:val="3"/>
        <w:spacing w:line="250" w:lineRule="auto"/>
        <w:rPr>
          <w:color w:val="auto"/>
          <w:highlight w:val="none"/>
        </w:rPr>
      </w:pPr>
    </w:p>
    <w:p w14:paraId="109F71D7">
      <w:pPr>
        <w:pStyle w:val="3"/>
        <w:spacing w:line="250" w:lineRule="auto"/>
        <w:rPr>
          <w:color w:val="auto"/>
          <w:highlight w:val="none"/>
        </w:rPr>
      </w:pPr>
    </w:p>
    <w:p w14:paraId="60201D20">
      <w:pPr>
        <w:pStyle w:val="3"/>
        <w:spacing w:line="250" w:lineRule="auto"/>
        <w:rPr>
          <w:color w:val="auto"/>
          <w:highlight w:val="none"/>
        </w:rPr>
      </w:pPr>
    </w:p>
    <w:p w14:paraId="3451231F">
      <w:pPr>
        <w:pStyle w:val="3"/>
        <w:spacing w:line="250" w:lineRule="auto"/>
        <w:rPr>
          <w:color w:val="auto"/>
          <w:highlight w:val="none"/>
        </w:rPr>
      </w:pPr>
    </w:p>
    <w:p w14:paraId="1577C720">
      <w:pPr>
        <w:pStyle w:val="3"/>
        <w:spacing w:line="250" w:lineRule="auto"/>
        <w:rPr>
          <w:color w:val="auto"/>
          <w:highlight w:val="none"/>
        </w:rPr>
      </w:pPr>
    </w:p>
    <w:p w14:paraId="2B168D16">
      <w:pPr>
        <w:pStyle w:val="3"/>
        <w:spacing w:line="250" w:lineRule="auto"/>
        <w:rPr>
          <w:color w:val="auto"/>
          <w:highlight w:val="none"/>
        </w:rPr>
      </w:pPr>
    </w:p>
    <w:p w14:paraId="66F1178E">
      <w:pPr>
        <w:spacing w:before="79" w:line="188" w:lineRule="auto"/>
        <w:ind w:left="1941"/>
        <w:rPr>
          <w:rFonts w:ascii="宋体" w:hAnsi="宋体" w:eastAsia="宋体" w:cs="宋体"/>
          <w:color w:val="auto"/>
          <w:sz w:val="24"/>
          <w:szCs w:val="24"/>
          <w:highlight w:val="none"/>
        </w:rPr>
      </w:pPr>
      <w:r>
        <w:rPr>
          <w:rFonts w:ascii="宋体" w:hAnsi="宋体" w:eastAsia="宋体" w:cs="宋体"/>
          <w:color w:val="auto"/>
          <w:spacing w:val="-29"/>
          <w:sz w:val="24"/>
          <w:szCs w:val="24"/>
          <w:highlight w:val="none"/>
        </w:rPr>
        <w:t>招</w:t>
      </w:r>
      <w:r>
        <w:rPr>
          <w:rFonts w:ascii="宋体" w:hAnsi="宋体" w:eastAsia="宋体" w:cs="宋体"/>
          <w:color w:val="auto"/>
          <w:spacing w:val="5"/>
          <w:sz w:val="24"/>
          <w:szCs w:val="24"/>
          <w:highlight w:val="none"/>
        </w:rPr>
        <w:t xml:space="preserve">  </w:t>
      </w:r>
      <w:r>
        <w:rPr>
          <w:rFonts w:ascii="宋体" w:hAnsi="宋体" w:eastAsia="宋体" w:cs="宋体"/>
          <w:color w:val="auto"/>
          <w:spacing w:val="-29"/>
          <w:sz w:val="24"/>
          <w:szCs w:val="24"/>
          <w:highlight w:val="none"/>
        </w:rPr>
        <w:t>标</w:t>
      </w:r>
      <w:r>
        <w:rPr>
          <w:rFonts w:ascii="宋体" w:hAnsi="宋体" w:eastAsia="宋体" w:cs="宋体"/>
          <w:color w:val="auto"/>
          <w:spacing w:val="6"/>
          <w:sz w:val="24"/>
          <w:szCs w:val="24"/>
          <w:highlight w:val="none"/>
        </w:rPr>
        <w:t xml:space="preserve">  </w:t>
      </w:r>
      <w:r>
        <w:rPr>
          <w:rFonts w:ascii="宋体" w:hAnsi="宋体" w:eastAsia="宋体" w:cs="宋体"/>
          <w:color w:val="auto"/>
          <w:spacing w:val="-29"/>
          <w:sz w:val="24"/>
          <w:szCs w:val="24"/>
          <w:highlight w:val="none"/>
        </w:rPr>
        <w:t>人：</w:t>
      </w:r>
      <w:r>
        <w:rPr>
          <w:rFonts w:ascii="宋体" w:hAnsi="宋体" w:eastAsia="宋体" w:cs="宋体"/>
          <w:color w:val="auto"/>
          <w:spacing w:val="-37"/>
          <w:sz w:val="24"/>
          <w:szCs w:val="24"/>
          <w:highlight w:val="none"/>
        </w:rPr>
        <w:t xml:space="preserve"> </w:t>
      </w:r>
      <w:r>
        <w:rPr>
          <w:rFonts w:ascii="宋体" w:hAnsi="宋体" w:eastAsia="宋体" w:cs="宋体"/>
          <w:color w:val="auto"/>
          <w:sz w:val="24"/>
          <w:szCs w:val="24"/>
          <w:highlight w:val="none"/>
          <w:u w:val="single" w:color="auto"/>
        </w:rPr>
        <w:t xml:space="preserve">                           </w:t>
      </w:r>
    </w:p>
    <w:p w14:paraId="2D9A6770">
      <w:pPr>
        <w:spacing w:before="14" w:line="219" w:lineRule="auto"/>
        <w:ind w:left="410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（单位盖章）</w:t>
      </w:r>
    </w:p>
    <w:p w14:paraId="5750A763">
      <w:pPr>
        <w:pStyle w:val="3"/>
        <w:spacing w:line="338" w:lineRule="auto"/>
        <w:rPr>
          <w:color w:val="auto"/>
          <w:highlight w:val="none"/>
        </w:rPr>
      </w:pPr>
    </w:p>
    <w:p w14:paraId="2B719470">
      <w:pPr>
        <w:pStyle w:val="3"/>
        <w:spacing w:line="338" w:lineRule="auto"/>
        <w:rPr>
          <w:color w:val="auto"/>
          <w:highlight w:val="none"/>
        </w:rPr>
      </w:pPr>
    </w:p>
    <w:p w14:paraId="33EC0C08">
      <w:pPr>
        <w:spacing w:before="78" w:line="199" w:lineRule="auto"/>
        <w:ind w:left="1939"/>
        <w:rPr>
          <w:rFonts w:ascii="宋体" w:hAnsi="宋体" w:eastAsia="宋体" w:cs="宋体"/>
          <w:color w:val="auto"/>
          <w:sz w:val="24"/>
          <w:szCs w:val="24"/>
          <w:highlight w:val="none"/>
        </w:rPr>
      </w:pPr>
      <w:r>
        <w:rPr>
          <w:rFonts w:ascii="宋体" w:hAnsi="宋体" w:eastAsia="宋体" w:cs="宋体"/>
          <w:color w:val="auto"/>
          <w:spacing w:val="-25"/>
          <w:w w:val="97"/>
          <w:sz w:val="24"/>
          <w:szCs w:val="24"/>
          <w:highlight w:val="none"/>
        </w:rPr>
        <w:t>造价咨询人：</w:t>
      </w:r>
      <w:r>
        <w:rPr>
          <w:rFonts w:ascii="宋体" w:hAnsi="宋体" w:eastAsia="宋体" w:cs="宋体"/>
          <w:color w:val="auto"/>
          <w:spacing w:val="64"/>
          <w:sz w:val="24"/>
          <w:szCs w:val="24"/>
          <w:highlight w:val="none"/>
        </w:rPr>
        <w:t xml:space="preserve"> </w:t>
      </w:r>
      <w:r>
        <w:rPr>
          <w:rFonts w:ascii="宋体" w:hAnsi="宋体" w:eastAsia="宋体" w:cs="宋体"/>
          <w:color w:val="auto"/>
          <w:sz w:val="24"/>
          <w:szCs w:val="24"/>
          <w:highlight w:val="none"/>
          <w:u w:val="single" w:color="auto"/>
        </w:rPr>
        <w:t xml:space="preserve">                           </w:t>
      </w:r>
    </w:p>
    <w:p w14:paraId="63081565">
      <w:pPr>
        <w:spacing w:before="1" w:line="218" w:lineRule="auto"/>
        <w:ind w:left="410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（单位盖章）</w:t>
      </w:r>
    </w:p>
    <w:p w14:paraId="7A767F98">
      <w:pPr>
        <w:pStyle w:val="3"/>
        <w:spacing w:line="294" w:lineRule="auto"/>
        <w:rPr>
          <w:color w:val="auto"/>
          <w:highlight w:val="none"/>
        </w:rPr>
      </w:pPr>
    </w:p>
    <w:p w14:paraId="5D3BB63A">
      <w:pPr>
        <w:pStyle w:val="3"/>
        <w:spacing w:line="294" w:lineRule="auto"/>
        <w:rPr>
          <w:color w:val="auto"/>
          <w:highlight w:val="none"/>
        </w:rPr>
      </w:pPr>
    </w:p>
    <w:p w14:paraId="52623BE8">
      <w:pPr>
        <w:spacing w:before="78" w:line="220" w:lineRule="auto"/>
        <w:ind w:left="3982"/>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年</w:t>
      </w:r>
      <w:r>
        <w:rPr>
          <w:rFonts w:ascii="宋体" w:hAnsi="宋体" w:eastAsia="宋体" w:cs="宋体"/>
          <w:color w:val="auto"/>
          <w:spacing w:val="3"/>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pacing w:val="13"/>
          <w:sz w:val="24"/>
          <w:szCs w:val="24"/>
          <w:highlight w:val="none"/>
        </w:rPr>
        <w:t xml:space="preserve">    </w:t>
      </w:r>
      <w:r>
        <w:rPr>
          <w:rFonts w:ascii="宋体" w:hAnsi="宋体" w:eastAsia="宋体" w:cs="宋体"/>
          <w:color w:val="auto"/>
          <w:spacing w:val="-9"/>
          <w:sz w:val="24"/>
          <w:szCs w:val="24"/>
          <w:highlight w:val="none"/>
        </w:rPr>
        <w:t>日</w:t>
      </w:r>
    </w:p>
    <w:p w14:paraId="10F17365">
      <w:pPr>
        <w:spacing w:line="220" w:lineRule="auto"/>
        <w:rPr>
          <w:rFonts w:ascii="宋体" w:hAnsi="宋体" w:eastAsia="宋体" w:cs="宋体"/>
          <w:color w:val="auto"/>
          <w:sz w:val="24"/>
          <w:szCs w:val="24"/>
          <w:highlight w:val="none"/>
        </w:rPr>
        <w:sectPr>
          <w:footerReference r:id="rId180" w:type="default"/>
          <w:pgSz w:w="11905" w:h="16839"/>
          <w:pgMar w:top="400" w:right="1785" w:bottom="1004" w:left="1785" w:header="0" w:footer="828" w:gutter="0"/>
          <w:pgNumType w:fmt="decimal"/>
          <w:cols w:space="720" w:num="1"/>
        </w:sectPr>
      </w:pPr>
    </w:p>
    <w:p w14:paraId="305DD94D">
      <w:pPr>
        <w:pStyle w:val="3"/>
        <w:spacing w:line="267" w:lineRule="auto"/>
        <w:rPr>
          <w:color w:val="auto"/>
          <w:highlight w:val="none"/>
        </w:rPr>
      </w:pPr>
    </w:p>
    <w:p w14:paraId="6131F7BB">
      <w:pPr>
        <w:pStyle w:val="3"/>
        <w:spacing w:line="267" w:lineRule="auto"/>
        <w:rPr>
          <w:color w:val="auto"/>
          <w:highlight w:val="none"/>
        </w:rPr>
      </w:pPr>
    </w:p>
    <w:p w14:paraId="2CDFB331">
      <w:pPr>
        <w:pStyle w:val="3"/>
        <w:spacing w:line="268" w:lineRule="auto"/>
        <w:rPr>
          <w:color w:val="auto"/>
          <w:highlight w:val="none"/>
        </w:rPr>
      </w:pPr>
    </w:p>
    <w:p w14:paraId="26C06F7A">
      <w:pPr>
        <w:pStyle w:val="3"/>
        <w:spacing w:line="268" w:lineRule="auto"/>
        <w:rPr>
          <w:color w:val="auto"/>
          <w:highlight w:val="none"/>
        </w:rPr>
      </w:pPr>
    </w:p>
    <w:p w14:paraId="76AF8C0B">
      <w:pPr>
        <w:spacing w:before="78" w:line="219" w:lineRule="auto"/>
        <w:ind w:left="13"/>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4.2 </w:t>
      </w:r>
      <w:r>
        <w:rPr>
          <w:rFonts w:ascii="黑体" w:hAnsi="黑体" w:eastAsia="黑体" w:cs="黑体"/>
          <w:color w:val="auto"/>
          <w:spacing w:val="-1"/>
          <w:sz w:val="24"/>
          <w:szCs w:val="24"/>
          <w:highlight w:val="none"/>
        </w:rPr>
        <w:t>招标工程量清单扉页</w:t>
      </w:r>
    </w:p>
    <w:p w14:paraId="47243598">
      <w:pPr>
        <w:pStyle w:val="3"/>
        <w:spacing w:line="270" w:lineRule="auto"/>
        <w:rPr>
          <w:color w:val="auto"/>
          <w:highlight w:val="none"/>
        </w:rPr>
      </w:pPr>
    </w:p>
    <w:p w14:paraId="172DBBEF">
      <w:pPr>
        <w:pStyle w:val="3"/>
        <w:spacing w:line="270" w:lineRule="auto"/>
        <w:rPr>
          <w:color w:val="auto"/>
          <w:highlight w:val="none"/>
        </w:rPr>
      </w:pPr>
    </w:p>
    <w:p w14:paraId="1956B11F">
      <w:pPr>
        <w:pStyle w:val="3"/>
        <w:spacing w:line="270" w:lineRule="auto"/>
        <w:rPr>
          <w:color w:val="auto"/>
          <w:highlight w:val="none"/>
        </w:rPr>
      </w:pPr>
    </w:p>
    <w:p w14:paraId="1BA97E06">
      <w:pPr>
        <w:tabs>
          <w:tab w:val="left" w:pos="6477"/>
        </w:tabs>
        <w:spacing w:before="68" w:line="221" w:lineRule="auto"/>
        <w:ind w:left="1858"/>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3"/>
          <w:sz w:val="21"/>
          <w:szCs w:val="21"/>
          <w:highlight w:val="none"/>
        </w:rPr>
        <w:t xml:space="preserve"> </w:t>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工程</w:t>
      </w:r>
    </w:p>
    <w:p w14:paraId="2BC8FE07">
      <w:pPr>
        <w:pStyle w:val="3"/>
        <w:spacing w:line="341" w:lineRule="auto"/>
        <w:rPr>
          <w:color w:val="auto"/>
          <w:highlight w:val="none"/>
        </w:rPr>
      </w:pPr>
    </w:p>
    <w:p w14:paraId="31F2BB71">
      <w:pPr>
        <w:pStyle w:val="3"/>
        <w:spacing w:line="341" w:lineRule="auto"/>
        <w:rPr>
          <w:color w:val="auto"/>
          <w:highlight w:val="none"/>
        </w:rPr>
      </w:pPr>
    </w:p>
    <w:p w14:paraId="08158A13">
      <w:pPr>
        <w:spacing w:before="104" w:line="220" w:lineRule="auto"/>
        <w:ind w:left="2898"/>
        <w:rPr>
          <w:rFonts w:ascii="黑体" w:hAnsi="黑体" w:eastAsia="黑体" w:cs="黑体"/>
          <w:color w:val="auto"/>
          <w:sz w:val="32"/>
          <w:szCs w:val="32"/>
          <w:highlight w:val="none"/>
        </w:rPr>
      </w:pPr>
      <w:bookmarkStart w:id="1299" w:name="bookmark245"/>
      <w:bookmarkEnd w:id="1299"/>
      <w:r>
        <w:rPr>
          <w:rFonts w:ascii="黑体" w:hAnsi="黑体" w:eastAsia="黑体" w:cs="黑体"/>
          <w:color w:val="auto"/>
          <w:spacing w:val="-8"/>
          <w:sz w:val="32"/>
          <w:szCs w:val="32"/>
          <w:highlight w:val="none"/>
        </w:rPr>
        <w:t>招 标</w:t>
      </w:r>
      <w:r>
        <w:rPr>
          <w:rFonts w:ascii="黑体" w:hAnsi="黑体" w:eastAsia="黑体" w:cs="黑体"/>
          <w:color w:val="auto"/>
          <w:spacing w:val="19"/>
          <w:sz w:val="32"/>
          <w:szCs w:val="32"/>
          <w:highlight w:val="none"/>
        </w:rPr>
        <w:t xml:space="preserve"> </w:t>
      </w:r>
      <w:r>
        <w:rPr>
          <w:rFonts w:ascii="黑体" w:hAnsi="黑体" w:eastAsia="黑体" w:cs="黑体"/>
          <w:color w:val="auto"/>
          <w:spacing w:val="-8"/>
          <w:sz w:val="32"/>
          <w:szCs w:val="32"/>
          <w:highlight w:val="none"/>
        </w:rPr>
        <w:t>工</w:t>
      </w:r>
      <w:r>
        <w:rPr>
          <w:rFonts w:ascii="黑体" w:hAnsi="黑体" w:eastAsia="黑体" w:cs="黑体"/>
          <w:color w:val="auto"/>
          <w:spacing w:val="9"/>
          <w:sz w:val="32"/>
          <w:szCs w:val="32"/>
          <w:highlight w:val="none"/>
        </w:rPr>
        <w:t xml:space="preserve"> </w:t>
      </w:r>
      <w:r>
        <w:rPr>
          <w:rFonts w:ascii="黑体" w:hAnsi="黑体" w:eastAsia="黑体" w:cs="黑体"/>
          <w:color w:val="auto"/>
          <w:spacing w:val="-8"/>
          <w:sz w:val="32"/>
          <w:szCs w:val="32"/>
          <w:highlight w:val="none"/>
        </w:rPr>
        <w:t>程</w:t>
      </w:r>
      <w:r>
        <w:rPr>
          <w:rFonts w:ascii="黑体" w:hAnsi="黑体" w:eastAsia="黑体" w:cs="黑体"/>
          <w:color w:val="auto"/>
          <w:spacing w:val="15"/>
          <w:sz w:val="32"/>
          <w:szCs w:val="32"/>
          <w:highlight w:val="none"/>
        </w:rPr>
        <w:t xml:space="preserve"> </w:t>
      </w:r>
      <w:r>
        <w:rPr>
          <w:rFonts w:ascii="黑体" w:hAnsi="黑体" w:eastAsia="黑体" w:cs="黑体"/>
          <w:color w:val="auto"/>
          <w:spacing w:val="-8"/>
          <w:sz w:val="32"/>
          <w:szCs w:val="32"/>
          <w:highlight w:val="none"/>
        </w:rPr>
        <w:t>量</w:t>
      </w:r>
      <w:r>
        <w:rPr>
          <w:rFonts w:ascii="黑体" w:hAnsi="黑体" w:eastAsia="黑体" w:cs="黑体"/>
          <w:color w:val="auto"/>
          <w:spacing w:val="15"/>
          <w:sz w:val="32"/>
          <w:szCs w:val="32"/>
          <w:highlight w:val="none"/>
        </w:rPr>
        <w:t xml:space="preserve"> </w:t>
      </w:r>
      <w:r>
        <w:rPr>
          <w:rFonts w:ascii="黑体" w:hAnsi="黑体" w:eastAsia="黑体" w:cs="黑体"/>
          <w:color w:val="auto"/>
          <w:spacing w:val="-8"/>
          <w:sz w:val="32"/>
          <w:szCs w:val="32"/>
          <w:highlight w:val="none"/>
        </w:rPr>
        <w:t>清</w:t>
      </w:r>
      <w:r>
        <w:rPr>
          <w:rFonts w:ascii="黑体" w:hAnsi="黑体" w:eastAsia="黑体" w:cs="黑体"/>
          <w:color w:val="auto"/>
          <w:spacing w:val="20"/>
          <w:sz w:val="32"/>
          <w:szCs w:val="32"/>
          <w:highlight w:val="none"/>
        </w:rPr>
        <w:t xml:space="preserve"> </w:t>
      </w:r>
      <w:r>
        <w:rPr>
          <w:rFonts w:ascii="黑体" w:hAnsi="黑体" w:eastAsia="黑体" w:cs="黑体"/>
          <w:color w:val="auto"/>
          <w:spacing w:val="-8"/>
          <w:sz w:val="32"/>
          <w:szCs w:val="32"/>
          <w:highlight w:val="none"/>
        </w:rPr>
        <w:t>单</w:t>
      </w:r>
    </w:p>
    <w:p w14:paraId="031791ED">
      <w:pPr>
        <w:pStyle w:val="3"/>
        <w:spacing w:line="266" w:lineRule="auto"/>
        <w:rPr>
          <w:color w:val="auto"/>
          <w:highlight w:val="none"/>
        </w:rPr>
      </w:pPr>
    </w:p>
    <w:p w14:paraId="2BB501AE">
      <w:pPr>
        <w:pStyle w:val="3"/>
        <w:spacing w:line="266" w:lineRule="auto"/>
        <w:rPr>
          <w:color w:val="auto"/>
          <w:highlight w:val="none"/>
        </w:rPr>
      </w:pPr>
    </w:p>
    <w:p w14:paraId="1C370BBD">
      <w:pPr>
        <w:pStyle w:val="3"/>
        <w:spacing w:line="266" w:lineRule="auto"/>
        <w:rPr>
          <w:color w:val="auto"/>
          <w:highlight w:val="none"/>
        </w:rPr>
      </w:pPr>
    </w:p>
    <w:p w14:paraId="1EA6BAA4">
      <w:pPr>
        <w:pStyle w:val="3"/>
        <w:spacing w:line="266" w:lineRule="auto"/>
        <w:rPr>
          <w:color w:val="auto"/>
          <w:highlight w:val="none"/>
        </w:rPr>
      </w:pPr>
    </w:p>
    <w:p w14:paraId="4CCD9A27">
      <w:pPr>
        <w:pStyle w:val="3"/>
        <w:spacing w:line="266" w:lineRule="auto"/>
        <w:rPr>
          <w:color w:val="auto"/>
          <w:highlight w:val="none"/>
        </w:rPr>
      </w:pPr>
    </w:p>
    <w:p w14:paraId="0A54A365">
      <w:pPr>
        <w:pStyle w:val="3"/>
        <w:spacing w:line="266" w:lineRule="auto"/>
        <w:rPr>
          <w:color w:val="auto"/>
          <w:highlight w:val="none"/>
        </w:rPr>
      </w:pPr>
    </w:p>
    <w:p w14:paraId="00CD14B3">
      <w:pPr>
        <w:pStyle w:val="3"/>
        <w:spacing w:line="266" w:lineRule="auto"/>
        <w:rPr>
          <w:color w:val="auto"/>
          <w:highlight w:val="none"/>
        </w:rPr>
      </w:pPr>
    </w:p>
    <w:p w14:paraId="62A64720">
      <w:pPr>
        <w:pStyle w:val="3"/>
        <w:spacing w:line="267" w:lineRule="auto"/>
        <w:rPr>
          <w:color w:val="auto"/>
          <w:highlight w:val="none"/>
        </w:rPr>
      </w:pPr>
    </w:p>
    <w:p w14:paraId="06F8A09C">
      <w:pPr>
        <w:pStyle w:val="3"/>
        <w:spacing w:line="267" w:lineRule="auto"/>
        <w:rPr>
          <w:color w:val="auto"/>
          <w:highlight w:val="none"/>
        </w:rPr>
      </w:pPr>
    </w:p>
    <w:p w14:paraId="11F1C391">
      <w:pPr>
        <w:spacing w:before="69" w:line="219" w:lineRule="auto"/>
        <w:ind w:left="19"/>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 xml:space="preserve">招标人：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8"/>
          <w:sz w:val="21"/>
          <w:szCs w:val="21"/>
          <w:highlight w:val="none"/>
        </w:rPr>
        <w:t>造价咨询人：</w:t>
      </w:r>
      <w:r>
        <w:rPr>
          <w:rFonts w:ascii="宋体" w:hAnsi="宋体" w:eastAsia="宋体" w:cs="宋体"/>
          <w:color w:val="auto"/>
          <w:spacing w:val="-8"/>
          <w:sz w:val="21"/>
          <w:szCs w:val="21"/>
          <w:highlight w:val="none"/>
          <w:u w:val="single" w:color="auto"/>
        </w:rPr>
        <w:t xml:space="preserve">        </w:t>
      </w:r>
      <w:r>
        <w:rPr>
          <w:rFonts w:ascii="宋体" w:hAnsi="宋体" w:eastAsia="宋体" w:cs="宋体"/>
          <w:color w:val="auto"/>
          <w:spacing w:val="-9"/>
          <w:sz w:val="21"/>
          <w:szCs w:val="21"/>
          <w:highlight w:val="none"/>
          <w:u w:val="single" w:color="auto"/>
        </w:rPr>
        <w:t xml:space="preserve">                    </w:t>
      </w:r>
    </w:p>
    <w:p w14:paraId="26185859">
      <w:pPr>
        <w:spacing w:before="9" w:line="220" w:lineRule="auto"/>
        <w:ind w:left="160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（单位盖章</w:t>
      </w:r>
      <w:r>
        <w:rPr>
          <w:rFonts w:ascii="宋体" w:hAnsi="宋体" w:eastAsia="宋体" w:cs="宋体"/>
          <w:color w:val="auto"/>
          <w:spacing w:val="-12"/>
          <w:sz w:val="21"/>
          <w:szCs w:val="21"/>
          <w:highlight w:val="none"/>
        </w:rPr>
        <w:t>）</w:t>
      </w:r>
      <w:r>
        <w:rPr>
          <w:rFonts w:ascii="宋体" w:hAnsi="宋体" w:eastAsia="宋体" w:cs="宋体"/>
          <w:color w:val="auto"/>
          <w:spacing w:val="3"/>
          <w:sz w:val="21"/>
          <w:szCs w:val="21"/>
          <w:highlight w:val="none"/>
        </w:rPr>
        <w:t xml:space="preserve">                            </w:t>
      </w:r>
      <w:r>
        <w:rPr>
          <w:rFonts w:ascii="宋体" w:hAnsi="宋体" w:eastAsia="宋体" w:cs="宋体"/>
          <w:color w:val="auto"/>
          <w:spacing w:val="-12"/>
          <w:sz w:val="21"/>
          <w:szCs w:val="21"/>
          <w:highlight w:val="none"/>
        </w:rPr>
        <w:t>（</w:t>
      </w:r>
      <w:r>
        <w:rPr>
          <w:rFonts w:ascii="宋体" w:hAnsi="宋体" w:eastAsia="宋体" w:cs="宋体"/>
          <w:color w:val="auto"/>
          <w:spacing w:val="1"/>
          <w:sz w:val="21"/>
          <w:szCs w:val="21"/>
          <w:highlight w:val="none"/>
        </w:rPr>
        <w:t>单位盖章）</w:t>
      </w:r>
    </w:p>
    <w:p w14:paraId="3FAEFEA7">
      <w:pPr>
        <w:pStyle w:val="3"/>
        <w:spacing w:line="247" w:lineRule="auto"/>
        <w:rPr>
          <w:color w:val="auto"/>
          <w:highlight w:val="none"/>
        </w:rPr>
      </w:pPr>
    </w:p>
    <w:p w14:paraId="57D58EC5">
      <w:pPr>
        <w:pStyle w:val="3"/>
        <w:spacing w:line="247" w:lineRule="auto"/>
        <w:rPr>
          <w:color w:val="auto"/>
          <w:highlight w:val="none"/>
        </w:rPr>
      </w:pPr>
    </w:p>
    <w:p w14:paraId="7716DAC0">
      <w:pPr>
        <w:pStyle w:val="3"/>
        <w:spacing w:line="248" w:lineRule="auto"/>
        <w:rPr>
          <w:color w:val="auto"/>
          <w:highlight w:val="none"/>
        </w:rPr>
      </w:pPr>
    </w:p>
    <w:p w14:paraId="2A7DD35C">
      <w:pPr>
        <w:pStyle w:val="3"/>
        <w:spacing w:line="248" w:lineRule="auto"/>
        <w:rPr>
          <w:color w:val="auto"/>
          <w:highlight w:val="none"/>
        </w:rPr>
      </w:pPr>
    </w:p>
    <w:p w14:paraId="3E6A323D">
      <w:pPr>
        <w:pStyle w:val="3"/>
        <w:spacing w:line="248" w:lineRule="auto"/>
        <w:rPr>
          <w:color w:val="auto"/>
          <w:highlight w:val="none"/>
        </w:rPr>
      </w:pPr>
    </w:p>
    <w:p w14:paraId="10491BFA">
      <w:pPr>
        <w:pStyle w:val="3"/>
        <w:spacing w:line="248" w:lineRule="auto"/>
        <w:rPr>
          <w:color w:val="auto"/>
          <w:highlight w:val="none"/>
        </w:rPr>
      </w:pPr>
    </w:p>
    <w:p w14:paraId="6B095030">
      <w:pPr>
        <w:spacing w:before="69" w:line="221" w:lineRule="auto"/>
        <w:ind w:left="19"/>
        <w:rPr>
          <w:rFonts w:ascii="宋体" w:hAnsi="宋体" w:eastAsia="宋体" w:cs="宋体"/>
          <w:color w:val="auto"/>
          <w:sz w:val="21"/>
          <w:szCs w:val="21"/>
          <w:highlight w:val="none"/>
        </w:rPr>
      </w:pPr>
      <w:r>
        <w:rPr>
          <w:rFonts w:ascii="宋体" w:hAnsi="宋体" w:eastAsia="宋体" w:cs="宋体"/>
          <w:color w:val="auto"/>
          <w:sz w:val="21"/>
          <w:szCs w:val="21"/>
          <w:highlight w:val="none"/>
        </w:rPr>
        <w:t xml:space="preserve">法定代表人                            </w:t>
      </w:r>
      <w:r>
        <w:rPr>
          <w:rFonts w:ascii="宋体" w:hAnsi="宋体" w:eastAsia="宋体" w:cs="宋体"/>
          <w:color w:val="auto"/>
          <w:spacing w:val="-1"/>
          <w:sz w:val="21"/>
          <w:szCs w:val="21"/>
          <w:highlight w:val="none"/>
        </w:rPr>
        <w:t>法定代表人</w:t>
      </w:r>
    </w:p>
    <w:p w14:paraId="1FBADC5C">
      <w:pPr>
        <w:spacing w:before="157" w:line="221" w:lineRule="auto"/>
        <w:ind w:left="20"/>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或其授权人：</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6"/>
          <w:sz w:val="21"/>
          <w:szCs w:val="21"/>
          <w:highlight w:val="none"/>
        </w:rPr>
        <w:t xml:space="preserve">    或其授权人：</w:t>
      </w:r>
      <w:r>
        <w:rPr>
          <w:rFonts w:ascii="宋体" w:hAnsi="宋体" w:eastAsia="宋体" w:cs="宋体"/>
          <w:color w:val="auto"/>
          <w:spacing w:val="-18"/>
          <w:sz w:val="21"/>
          <w:szCs w:val="21"/>
          <w:highlight w:val="none"/>
        </w:rPr>
        <w:t xml:space="preserve"> </w:t>
      </w:r>
      <w:r>
        <w:rPr>
          <w:rFonts w:ascii="宋体" w:hAnsi="宋体" w:eastAsia="宋体" w:cs="宋体"/>
          <w:color w:val="auto"/>
          <w:sz w:val="21"/>
          <w:szCs w:val="21"/>
          <w:highlight w:val="none"/>
          <w:u w:val="single" w:color="auto"/>
        </w:rPr>
        <w:t xml:space="preserve">                          </w:t>
      </w:r>
    </w:p>
    <w:p w14:paraId="089CE1C3">
      <w:pPr>
        <w:spacing w:before="157" w:line="220" w:lineRule="auto"/>
        <w:ind w:left="160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（签字或盖章</w:t>
      </w:r>
      <w:r>
        <w:rPr>
          <w:rFonts w:ascii="宋体" w:hAnsi="宋体" w:eastAsia="宋体" w:cs="宋体"/>
          <w:color w:val="auto"/>
          <w:spacing w:val="-12"/>
          <w:sz w:val="21"/>
          <w:szCs w:val="21"/>
          <w:highlight w:val="none"/>
        </w:rPr>
        <w:t>）</w:t>
      </w:r>
      <w:r>
        <w:rPr>
          <w:rFonts w:ascii="宋体" w:hAnsi="宋体" w:eastAsia="宋体" w:cs="宋体"/>
          <w:color w:val="auto"/>
          <w:spacing w:val="4"/>
          <w:sz w:val="21"/>
          <w:szCs w:val="21"/>
          <w:highlight w:val="none"/>
        </w:rPr>
        <w:t xml:space="preserve">                   </w:t>
      </w:r>
      <w:r>
        <w:rPr>
          <w:rFonts w:ascii="宋体" w:hAnsi="宋体" w:eastAsia="宋体" w:cs="宋体"/>
          <w:color w:val="auto"/>
          <w:spacing w:val="3"/>
          <w:sz w:val="21"/>
          <w:szCs w:val="21"/>
          <w:highlight w:val="none"/>
        </w:rPr>
        <w:t xml:space="preserve">        </w:t>
      </w:r>
      <w:r>
        <w:rPr>
          <w:rFonts w:ascii="宋体" w:hAnsi="宋体" w:eastAsia="宋体" w:cs="宋体"/>
          <w:color w:val="auto"/>
          <w:spacing w:val="-12"/>
          <w:sz w:val="21"/>
          <w:szCs w:val="21"/>
          <w:highlight w:val="none"/>
        </w:rPr>
        <w:t>（</w:t>
      </w:r>
      <w:r>
        <w:rPr>
          <w:rFonts w:ascii="宋体" w:hAnsi="宋体" w:eastAsia="宋体" w:cs="宋体"/>
          <w:color w:val="auto"/>
          <w:spacing w:val="1"/>
          <w:sz w:val="21"/>
          <w:szCs w:val="21"/>
          <w:highlight w:val="none"/>
        </w:rPr>
        <w:t>签字或盖章）</w:t>
      </w:r>
    </w:p>
    <w:p w14:paraId="4A77192B">
      <w:pPr>
        <w:pStyle w:val="3"/>
        <w:spacing w:line="266" w:lineRule="auto"/>
        <w:rPr>
          <w:color w:val="auto"/>
          <w:highlight w:val="none"/>
        </w:rPr>
      </w:pPr>
    </w:p>
    <w:p w14:paraId="47BF2608">
      <w:pPr>
        <w:pStyle w:val="3"/>
        <w:spacing w:line="266" w:lineRule="auto"/>
        <w:rPr>
          <w:color w:val="auto"/>
          <w:highlight w:val="none"/>
        </w:rPr>
      </w:pPr>
    </w:p>
    <w:p w14:paraId="12C717BB">
      <w:pPr>
        <w:pStyle w:val="3"/>
        <w:spacing w:line="266" w:lineRule="auto"/>
        <w:rPr>
          <w:color w:val="auto"/>
          <w:highlight w:val="none"/>
        </w:rPr>
      </w:pPr>
    </w:p>
    <w:p w14:paraId="3E5A5BE7">
      <w:pPr>
        <w:pStyle w:val="3"/>
        <w:spacing w:line="266" w:lineRule="auto"/>
        <w:rPr>
          <w:color w:val="auto"/>
          <w:highlight w:val="none"/>
        </w:rPr>
      </w:pPr>
    </w:p>
    <w:p w14:paraId="6B1627B4">
      <w:pPr>
        <w:pStyle w:val="3"/>
        <w:spacing w:line="266" w:lineRule="auto"/>
        <w:rPr>
          <w:color w:val="auto"/>
          <w:highlight w:val="none"/>
        </w:rPr>
      </w:pPr>
    </w:p>
    <w:p w14:paraId="430E705B">
      <w:pPr>
        <w:pStyle w:val="3"/>
        <w:spacing w:line="267" w:lineRule="auto"/>
        <w:rPr>
          <w:color w:val="auto"/>
          <w:highlight w:val="none"/>
        </w:rPr>
      </w:pPr>
    </w:p>
    <w:p w14:paraId="00A1C292">
      <w:pPr>
        <w:spacing w:before="69" w:line="220" w:lineRule="auto"/>
        <w:ind w:left="20"/>
        <w:rPr>
          <w:rFonts w:ascii="宋体" w:hAnsi="宋体" w:eastAsia="宋体" w:cs="宋体"/>
          <w:color w:val="auto"/>
          <w:sz w:val="21"/>
          <w:szCs w:val="21"/>
          <w:highlight w:val="none"/>
        </w:rPr>
      </w:pPr>
      <w:r>
        <w:rPr>
          <w:rFonts w:ascii="宋体" w:hAnsi="宋体" w:eastAsia="宋体" w:cs="宋体"/>
          <w:color w:val="auto"/>
          <w:spacing w:val="-27"/>
          <w:sz w:val="21"/>
          <w:szCs w:val="21"/>
          <w:highlight w:val="none"/>
        </w:rPr>
        <w:t>编制人：</w:t>
      </w:r>
      <w:r>
        <w:rPr>
          <w:rFonts w:ascii="宋体" w:hAnsi="宋体" w:eastAsia="宋体" w:cs="宋体"/>
          <w:color w:val="auto"/>
          <w:spacing w:val="15"/>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3"/>
          <w:sz w:val="21"/>
          <w:szCs w:val="21"/>
          <w:highlight w:val="none"/>
        </w:rPr>
        <w:t xml:space="preserve">    </w:t>
      </w:r>
      <w:r>
        <w:rPr>
          <w:rFonts w:ascii="宋体" w:hAnsi="宋体" w:eastAsia="宋体" w:cs="宋体"/>
          <w:color w:val="auto"/>
          <w:spacing w:val="-27"/>
          <w:sz w:val="21"/>
          <w:szCs w:val="21"/>
          <w:highlight w:val="none"/>
        </w:rPr>
        <w:t>复核人：</w:t>
      </w:r>
      <w:r>
        <w:rPr>
          <w:rFonts w:ascii="宋体" w:hAnsi="宋体" w:eastAsia="宋体" w:cs="宋体"/>
          <w:color w:val="auto"/>
          <w:spacing w:val="-32"/>
          <w:sz w:val="21"/>
          <w:szCs w:val="21"/>
          <w:highlight w:val="none"/>
        </w:rPr>
        <w:t xml:space="preserve"> </w:t>
      </w:r>
      <w:r>
        <w:rPr>
          <w:rFonts w:ascii="宋体" w:hAnsi="宋体" w:eastAsia="宋体" w:cs="宋体"/>
          <w:color w:val="auto"/>
          <w:sz w:val="21"/>
          <w:szCs w:val="21"/>
          <w:highlight w:val="none"/>
          <w:u w:val="single" w:color="auto"/>
        </w:rPr>
        <w:t xml:space="preserve">                               </w:t>
      </w:r>
    </w:p>
    <w:p w14:paraId="182299FC">
      <w:pPr>
        <w:spacing w:before="9" w:line="219" w:lineRule="auto"/>
        <w:ind w:left="1076"/>
        <w:rPr>
          <w:rFonts w:ascii="宋体" w:hAnsi="宋体" w:eastAsia="宋体" w:cs="宋体"/>
          <w:color w:val="auto"/>
          <w:sz w:val="21"/>
          <w:szCs w:val="21"/>
          <w:highlight w:val="none"/>
        </w:rPr>
      </w:pPr>
      <w:r>
        <w:rPr>
          <w:rFonts w:ascii="宋体" w:hAnsi="宋体" w:eastAsia="宋体" w:cs="宋体"/>
          <w:color w:val="auto"/>
          <w:sz w:val="21"/>
          <w:szCs w:val="21"/>
          <w:highlight w:val="none"/>
        </w:rPr>
        <w:t>（造价人员签字盖章</w:t>
      </w:r>
      <w:r>
        <w:rPr>
          <w:rFonts w:ascii="宋体" w:hAnsi="宋体" w:eastAsia="宋体" w:cs="宋体"/>
          <w:color w:val="auto"/>
          <w:spacing w:val="-9"/>
          <w:sz w:val="21"/>
          <w:szCs w:val="21"/>
          <w:highlight w:val="none"/>
        </w:rPr>
        <w:t>）</w:t>
      </w:r>
      <w:r>
        <w:rPr>
          <w:rFonts w:ascii="宋体" w:hAnsi="宋体" w:eastAsia="宋体" w:cs="宋体"/>
          <w:color w:val="auto"/>
          <w:sz w:val="21"/>
          <w:szCs w:val="21"/>
          <w:highlight w:val="none"/>
        </w:rPr>
        <w:t xml:space="preserve">                   </w:t>
      </w:r>
      <w:r>
        <w:rPr>
          <w:rFonts w:ascii="宋体" w:hAnsi="宋体" w:eastAsia="宋体" w:cs="宋体"/>
          <w:color w:val="auto"/>
          <w:spacing w:val="-9"/>
          <w:sz w:val="21"/>
          <w:szCs w:val="21"/>
          <w:highlight w:val="none"/>
        </w:rPr>
        <w:t>（</w:t>
      </w:r>
      <w:r>
        <w:rPr>
          <w:rFonts w:ascii="宋体" w:hAnsi="宋体" w:eastAsia="宋体" w:cs="宋体"/>
          <w:color w:val="auto"/>
          <w:sz w:val="21"/>
          <w:szCs w:val="21"/>
          <w:highlight w:val="none"/>
        </w:rPr>
        <w:t>造价人员签字盖章）</w:t>
      </w:r>
    </w:p>
    <w:p w14:paraId="0C3AEB3A">
      <w:pPr>
        <w:pStyle w:val="3"/>
        <w:spacing w:line="269" w:lineRule="auto"/>
        <w:rPr>
          <w:color w:val="auto"/>
          <w:highlight w:val="none"/>
        </w:rPr>
      </w:pPr>
    </w:p>
    <w:p w14:paraId="08769653">
      <w:pPr>
        <w:pStyle w:val="3"/>
        <w:spacing w:line="270" w:lineRule="auto"/>
        <w:rPr>
          <w:color w:val="auto"/>
          <w:highlight w:val="none"/>
        </w:rPr>
      </w:pPr>
    </w:p>
    <w:p w14:paraId="0A2B1B15">
      <w:pPr>
        <w:pStyle w:val="3"/>
        <w:spacing w:line="270" w:lineRule="auto"/>
        <w:rPr>
          <w:color w:val="auto"/>
          <w:highlight w:val="none"/>
        </w:rPr>
      </w:pPr>
    </w:p>
    <w:p w14:paraId="4F312923">
      <w:pPr>
        <w:pStyle w:val="3"/>
        <w:spacing w:line="270" w:lineRule="auto"/>
        <w:rPr>
          <w:color w:val="auto"/>
          <w:highlight w:val="none"/>
        </w:rPr>
      </w:pPr>
    </w:p>
    <w:p w14:paraId="7F0AFD8E">
      <w:pPr>
        <w:pStyle w:val="3"/>
        <w:spacing w:line="270" w:lineRule="auto"/>
        <w:rPr>
          <w:color w:val="auto"/>
          <w:highlight w:val="none"/>
        </w:rPr>
      </w:pPr>
    </w:p>
    <w:p w14:paraId="6227F4AA">
      <w:pPr>
        <w:spacing w:before="69" w:line="221" w:lineRule="auto"/>
        <w:ind w:left="20"/>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编制时间：</w:t>
      </w:r>
      <w:r>
        <w:rPr>
          <w:rFonts w:ascii="宋体" w:hAnsi="宋体" w:eastAsia="宋体" w:cs="宋体"/>
          <w:color w:val="auto"/>
          <w:spacing w:val="6"/>
          <w:sz w:val="21"/>
          <w:szCs w:val="21"/>
          <w:highlight w:val="none"/>
        </w:rPr>
        <w:t xml:space="preserve">     </w:t>
      </w:r>
      <w:r>
        <w:rPr>
          <w:rFonts w:ascii="宋体" w:hAnsi="宋体" w:eastAsia="宋体" w:cs="宋体"/>
          <w:color w:val="auto"/>
          <w:spacing w:val="-14"/>
          <w:sz w:val="21"/>
          <w:szCs w:val="21"/>
          <w:highlight w:val="none"/>
        </w:rPr>
        <w:t>年</w:t>
      </w:r>
      <w:r>
        <w:rPr>
          <w:rFonts w:ascii="宋体" w:hAnsi="宋体" w:eastAsia="宋体" w:cs="宋体"/>
          <w:color w:val="auto"/>
          <w:spacing w:val="3"/>
          <w:sz w:val="21"/>
          <w:szCs w:val="21"/>
          <w:highlight w:val="none"/>
        </w:rPr>
        <w:t xml:space="preserve">    </w:t>
      </w:r>
      <w:r>
        <w:rPr>
          <w:rFonts w:ascii="宋体" w:hAnsi="宋体" w:eastAsia="宋体" w:cs="宋体"/>
          <w:color w:val="auto"/>
          <w:spacing w:val="-14"/>
          <w:sz w:val="21"/>
          <w:szCs w:val="21"/>
          <w:highlight w:val="none"/>
        </w:rPr>
        <w:t>月</w:t>
      </w:r>
      <w:r>
        <w:rPr>
          <w:rFonts w:ascii="宋体" w:hAnsi="宋体" w:eastAsia="宋体" w:cs="宋体"/>
          <w:color w:val="auto"/>
          <w:spacing w:val="10"/>
          <w:sz w:val="21"/>
          <w:szCs w:val="21"/>
          <w:highlight w:val="none"/>
        </w:rPr>
        <w:t xml:space="preserve">    </w:t>
      </w:r>
      <w:r>
        <w:rPr>
          <w:rFonts w:ascii="宋体" w:hAnsi="宋体" w:eastAsia="宋体" w:cs="宋体"/>
          <w:color w:val="auto"/>
          <w:spacing w:val="-14"/>
          <w:sz w:val="21"/>
          <w:szCs w:val="21"/>
          <w:highlight w:val="none"/>
        </w:rPr>
        <w:t>日            复核时间：</w:t>
      </w:r>
      <w:r>
        <w:rPr>
          <w:rFonts w:ascii="宋体" w:hAnsi="宋体" w:eastAsia="宋体" w:cs="宋体"/>
          <w:color w:val="auto"/>
          <w:spacing w:val="22"/>
          <w:sz w:val="21"/>
          <w:szCs w:val="21"/>
          <w:highlight w:val="none"/>
        </w:rPr>
        <w:t xml:space="preserve">    </w:t>
      </w:r>
      <w:r>
        <w:rPr>
          <w:rFonts w:ascii="宋体" w:hAnsi="宋体" w:eastAsia="宋体" w:cs="宋体"/>
          <w:color w:val="auto"/>
          <w:spacing w:val="-14"/>
          <w:sz w:val="21"/>
          <w:szCs w:val="21"/>
          <w:highlight w:val="none"/>
        </w:rPr>
        <w:t>年</w:t>
      </w:r>
      <w:r>
        <w:rPr>
          <w:rFonts w:ascii="宋体" w:hAnsi="宋体" w:eastAsia="宋体" w:cs="宋体"/>
          <w:color w:val="auto"/>
          <w:spacing w:val="3"/>
          <w:sz w:val="21"/>
          <w:szCs w:val="21"/>
          <w:highlight w:val="none"/>
        </w:rPr>
        <w:t xml:space="preserve">    </w:t>
      </w:r>
      <w:r>
        <w:rPr>
          <w:rFonts w:ascii="宋体" w:hAnsi="宋体" w:eastAsia="宋体" w:cs="宋体"/>
          <w:color w:val="auto"/>
          <w:spacing w:val="-14"/>
          <w:sz w:val="21"/>
          <w:szCs w:val="21"/>
          <w:highlight w:val="none"/>
        </w:rPr>
        <w:t>月     日</w:t>
      </w:r>
    </w:p>
    <w:p w14:paraId="5788D4A8">
      <w:pPr>
        <w:spacing w:line="221" w:lineRule="auto"/>
        <w:rPr>
          <w:rFonts w:ascii="宋体" w:hAnsi="宋体" w:eastAsia="宋体" w:cs="宋体"/>
          <w:color w:val="auto"/>
          <w:sz w:val="21"/>
          <w:szCs w:val="21"/>
          <w:highlight w:val="none"/>
        </w:rPr>
        <w:sectPr>
          <w:footerReference r:id="rId181" w:type="default"/>
          <w:pgSz w:w="11905" w:h="16839"/>
          <w:pgMar w:top="400" w:right="1785" w:bottom="1004" w:left="1785" w:header="0" w:footer="828" w:gutter="0"/>
          <w:pgNumType w:fmt="decimal"/>
          <w:cols w:space="720" w:num="1"/>
        </w:sectPr>
      </w:pPr>
    </w:p>
    <w:p w14:paraId="1F169441">
      <w:pPr>
        <w:pStyle w:val="3"/>
        <w:spacing w:line="267" w:lineRule="auto"/>
        <w:rPr>
          <w:color w:val="auto"/>
          <w:highlight w:val="none"/>
        </w:rPr>
      </w:pPr>
    </w:p>
    <w:p w14:paraId="105DE210">
      <w:pPr>
        <w:pStyle w:val="3"/>
        <w:spacing w:line="267" w:lineRule="auto"/>
        <w:rPr>
          <w:color w:val="auto"/>
          <w:highlight w:val="none"/>
        </w:rPr>
      </w:pPr>
    </w:p>
    <w:p w14:paraId="22F6310B">
      <w:pPr>
        <w:pStyle w:val="3"/>
        <w:spacing w:line="268" w:lineRule="auto"/>
        <w:rPr>
          <w:color w:val="auto"/>
          <w:highlight w:val="none"/>
        </w:rPr>
      </w:pPr>
    </w:p>
    <w:p w14:paraId="370F3DFC">
      <w:pPr>
        <w:pStyle w:val="3"/>
        <w:spacing w:line="268" w:lineRule="auto"/>
        <w:rPr>
          <w:color w:val="auto"/>
          <w:highlight w:val="none"/>
        </w:rPr>
      </w:pPr>
    </w:p>
    <w:p w14:paraId="767E14F4">
      <w:pPr>
        <w:spacing w:before="78" w:line="219" w:lineRule="auto"/>
        <w:ind w:left="13"/>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 xml:space="preserve">4.3 </w:t>
      </w:r>
      <w:r>
        <w:rPr>
          <w:rFonts w:ascii="黑体" w:hAnsi="黑体" w:eastAsia="黑体" w:cs="黑体"/>
          <w:color w:val="auto"/>
          <w:spacing w:val="-2"/>
          <w:sz w:val="24"/>
          <w:szCs w:val="24"/>
          <w:highlight w:val="none"/>
        </w:rPr>
        <w:t>投标总价封面</w:t>
      </w:r>
    </w:p>
    <w:p w14:paraId="22C3404F">
      <w:pPr>
        <w:pStyle w:val="3"/>
        <w:spacing w:line="247" w:lineRule="auto"/>
        <w:rPr>
          <w:color w:val="auto"/>
          <w:highlight w:val="none"/>
        </w:rPr>
      </w:pPr>
    </w:p>
    <w:p w14:paraId="2860657B">
      <w:pPr>
        <w:pStyle w:val="3"/>
        <w:spacing w:line="247" w:lineRule="auto"/>
        <w:rPr>
          <w:color w:val="auto"/>
          <w:highlight w:val="none"/>
        </w:rPr>
      </w:pPr>
    </w:p>
    <w:p w14:paraId="4344A179">
      <w:pPr>
        <w:pStyle w:val="3"/>
        <w:spacing w:line="247" w:lineRule="auto"/>
        <w:rPr>
          <w:color w:val="auto"/>
          <w:highlight w:val="none"/>
        </w:rPr>
      </w:pPr>
    </w:p>
    <w:p w14:paraId="737DD625">
      <w:pPr>
        <w:pStyle w:val="3"/>
        <w:spacing w:line="247" w:lineRule="auto"/>
        <w:rPr>
          <w:color w:val="auto"/>
          <w:highlight w:val="none"/>
        </w:rPr>
      </w:pPr>
    </w:p>
    <w:p w14:paraId="3447CF80">
      <w:pPr>
        <w:pStyle w:val="3"/>
        <w:spacing w:line="247" w:lineRule="auto"/>
        <w:rPr>
          <w:color w:val="auto"/>
          <w:highlight w:val="none"/>
        </w:rPr>
      </w:pPr>
    </w:p>
    <w:p w14:paraId="7B7D43EE">
      <w:pPr>
        <w:pStyle w:val="3"/>
        <w:spacing w:line="247" w:lineRule="auto"/>
        <w:rPr>
          <w:color w:val="auto"/>
          <w:highlight w:val="none"/>
        </w:rPr>
      </w:pPr>
    </w:p>
    <w:p w14:paraId="1FF24C6F">
      <w:pPr>
        <w:pStyle w:val="3"/>
        <w:spacing w:line="247" w:lineRule="auto"/>
        <w:rPr>
          <w:color w:val="auto"/>
          <w:highlight w:val="none"/>
        </w:rPr>
      </w:pPr>
    </w:p>
    <w:p w14:paraId="67C4341A">
      <w:pPr>
        <w:pStyle w:val="3"/>
        <w:spacing w:line="247" w:lineRule="auto"/>
        <w:rPr>
          <w:color w:val="auto"/>
          <w:highlight w:val="none"/>
        </w:rPr>
      </w:pPr>
    </w:p>
    <w:p w14:paraId="3DD1B775">
      <w:pPr>
        <w:pStyle w:val="3"/>
        <w:spacing w:line="247" w:lineRule="auto"/>
        <w:rPr>
          <w:color w:val="auto"/>
          <w:highlight w:val="none"/>
        </w:rPr>
      </w:pPr>
    </w:p>
    <w:p w14:paraId="1E788B0C">
      <w:pPr>
        <w:pStyle w:val="3"/>
        <w:spacing w:line="248" w:lineRule="auto"/>
        <w:rPr>
          <w:color w:val="auto"/>
          <w:highlight w:val="none"/>
        </w:rPr>
      </w:pPr>
    </w:p>
    <w:p w14:paraId="319F99BA">
      <w:pPr>
        <w:pStyle w:val="3"/>
        <w:spacing w:line="248" w:lineRule="auto"/>
        <w:rPr>
          <w:color w:val="auto"/>
          <w:highlight w:val="none"/>
        </w:rPr>
      </w:pPr>
    </w:p>
    <w:p w14:paraId="0074F565">
      <w:pPr>
        <w:spacing w:before="117" w:line="219" w:lineRule="auto"/>
        <w:ind w:left="3795"/>
        <w:rPr>
          <w:rFonts w:ascii="黑体" w:hAnsi="黑体" w:eastAsia="黑体" w:cs="黑体"/>
          <w:color w:val="auto"/>
          <w:sz w:val="36"/>
          <w:szCs w:val="36"/>
          <w:highlight w:val="none"/>
        </w:rPr>
      </w:pPr>
      <w:bookmarkStart w:id="1300" w:name="bookmark246"/>
      <w:bookmarkEnd w:id="1300"/>
      <w:r>
        <w:rPr>
          <w:rFonts w:ascii="黑体" w:hAnsi="黑体" w:eastAsia="黑体" w:cs="黑体"/>
          <w:color w:val="auto"/>
          <w:spacing w:val="11"/>
          <w:sz w:val="36"/>
          <w:szCs w:val="36"/>
          <w:highlight w:val="none"/>
        </w:rPr>
        <w:t>投标总价</w:t>
      </w:r>
    </w:p>
    <w:p w14:paraId="2BD0203F">
      <w:pPr>
        <w:pStyle w:val="3"/>
        <w:spacing w:line="245" w:lineRule="auto"/>
        <w:rPr>
          <w:color w:val="auto"/>
          <w:highlight w:val="none"/>
        </w:rPr>
      </w:pPr>
    </w:p>
    <w:p w14:paraId="102071E3">
      <w:pPr>
        <w:pStyle w:val="3"/>
        <w:spacing w:line="245" w:lineRule="auto"/>
        <w:rPr>
          <w:color w:val="auto"/>
          <w:highlight w:val="none"/>
        </w:rPr>
      </w:pPr>
    </w:p>
    <w:p w14:paraId="5D8A458C">
      <w:pPr>
        <w:pStyle w:val="3"/>
        <w:spacing w:line="245" w:lineRule="auto"/>
        <w:rPr>
          <w:color w:val="auto"/>
          <w:highlight w:val="none"/>
        </w:rPr>
      </w:pPr>
    </w:p>
    <w:p w14:paraId="20DF1D1A">
      <w:pPr>
        <w:pStyle w:val="3"/>
        <w:spacing w:line="245" w:lineRule="auto"/>
        <w:rPr>
          <w:color w:val="auto"/>
          <w:highlight w:val="none"/>
        </w:rPr>
      </w:pPr>
    </w:p>
    <w:p w14:paraId="639C163C">
      <w:pPr>
        <w:pStyle w:val="3"/>
        <w:spacing w:line="245" w:lineRule="auto"/>
        <w:rPr>
          <w:color w:val="auto"/>
          <w:highlight w:val="none"/>
        </w:rPr>
      </w:pPr>
    </w:p>
    <w:p w14:paraId="37D251F2">
      <w:pPr>
        <w:pStyle w:val="3"/>
        <w:spacing w:line="245" w:lineRule="auto"/>
        <w:rPr>
          <w:color w:val="auto"/>
          <w:highlight w:val="none"/>
        </w:rPr>
      </w:pPr>
    </w:p>
    <w:p w14:paraId="4F84ACC7">
      <w:pPr>
        <w:pStyle w:val="3"/>
        <w:spacing w:line="245" w:lineRule="auto"/>
        <w:rPr>
          <w:color w:val="auto"/>
          <w:highlight w:val="none"/>
        </w:rPr>
      </w:pPr>
    </w:p>
    <w:p w14:paraId="6340787A">
      <w:pPr>
        <w:pStyle w:val="3"/>
        <w:spacing w:line="245" w:lineRule="auto"/>
        <w:rPr>
          <w:color w:val="auto"/>
          <w:highlight w:val="none"/>
        </w:rPr>
      </w:pPr>
    </w:p>
    <w:p w14:paraId="2D276DF0">
      <w:pPr>
        <w:pStyle w:val="3"/>
        <w:spacing w:line="245" w:lineRule="auto"/>
        <w:rPr>
          <w:color w:val="auto"/>
          <w:highlight w:val="none"/>
        </w:rPr>
      </w:pPr>
    </w:p>
    <w:p w14:paraId="1AAEF868">
      <w:pPr>
        <w:pStyle w:val="3"/>
        <w:spacing w:line="245" w:lineRule="auto"/>
        <w:rPr>
          <w:color w:val="auto"/>
          <w:highlight w:val="none"/>
        </w:rPr>
      </w:pPr>
    </w:p>
    <w:p w14:paraId="443CA4BB">
      <w:pPr>
        <w:pStyle w:val="3"/>
        <w:spacing w:line="245" w:lineRule="auto"/>
        <w:rPr>
          <w:color w:val="auto"/>
          <w:highlight w:val="none"/>
        </w:rPr>
      </w:pPr>
    </w:p>
    <w:p w14:paraId="5CDA1B44">
      <w:pPr>
        <w:pStyle w:val="3"/>
        <w:spacing w:line="245" w:lineRule="auto"/>
        <w:rPr>
          <w:color w:val="auto"/>
          <w:highlight w:val="none"/>
        </w:rPr>
      </w:pPr>
    </w:p>
    <w:p w14:paraId="6631EDC0">
      <w:pPr>
        <w:pStyle w:val="3"/>
        <w:spacing w:line="245" w:lineRule="auto"/>
        <w:rPr>
          <w:color w:val="auto"/>
          <w:highlight w:val="none"/>
        </w:rPr>
      </w:pPr>
    </w:p>
    <w:p w14:paraId="3C484604">
      <w:pPr>
        <w:pStyle w:val="3"/>
        <w:spacing w:line="245" w:lineRule="auto"/>
        <w:rPr>
          <w:color w:val="auto"/>
          <w:highlight w:val="none"/>
        </w:rPr>
      </w:pPr>
    </w:p>
    <w:p w14:paraId="4BCB8B97">
      <w:pPr>
        <w:pStyle w:val="3"/>
        <w:spacing w:line="245" w:lineRule="auto"/>
        <w:rPr>
          <w:color w:val="auto"/>
          <w:highlight w:val="none"/>
        </w:rPr>
      </w:pPr>
    </w:p>
    <w:p w14:paraId="13EBDEF1">
      <w:pPr>
        <w:pStyle w:val="3"/>
        <w:spacing w:line="245" w:lineRule="auto"/>
        <w:rPr>
          <w:color w:val="auto"/>
          <w:highlight w:val="none"/>
        </w:rPr>
      </w:pPr>
    </w:p>
    <w:p w14:paraId="5D72CA56">
      <w:pPr>
        <w:pStyle w:val="3"/>
        <w:spacing w:line="245" w:lineRule="auto"/>
        <w:rPr>
          <w:color w:val="auto"/>
          <w:highlight w:val="none"/>
        </w:rPr>
      </w:pPr>
    </w:p>
    <w:p w14:paraId="2D47785C">
      <w:pPr>
        <w:pStyle w:val="3"/>
        <w:spacing w:line="245" w:lineRule="auto"/>
        <w:rPr>
          <w:color w:val="auto"/>
          <w:highlight w:val="none"/>
        </w:rPr>
      </w:pPr>
    </w:p>
    <w:p w14:paraId="787940CC">
      <w:pPr>
        <w:pStyle w:val="3"/>
        <w:spacing w:line="245" w:lineRule="auto"/>
        <w:rPr>
          <w:color w:val="auto"/>
          <w:highlight w:val="none"/>
        </w:rPr>
      </w:pPr>
    </w:p>
    <w:p w14:paraId="226F1E19">
      <w:pPr>
        <w:pStyle w:val="3"/>
        <w:spacing w:line="246" w:lineRule="auto"/>
        <w:rPr>
          <w:color w:val="auto"/>
          <w:highlight w:val="none"/>
        </w:rPr>
      </w:pPr>
    </w:p>
    <w:p w14:paraId="1A115885">
      <w:pPr>
        <w:pStyle w:val="3"/>
        <w:spacing w:line="246" w:lineRule="auto"/>
        <w:rPr>
          <w:color w:val="auto"/>
          <w:highlight w:val="none"/>
        </w:rPr>
      </w:pPr>
    </w:p>
    <w:p w14:paraId="4B63B50F">
      <w:pPr>
        <w:pStyle w:val="3"/>
        <w:spacing w:line="246" w:lineRule="auto"/>
        <w:rPr>
          <w:color w:val="auto"/>
          <w:highlight w:val="none"/>
        </w:rPr>
      </w:pPr>
    </w:p>
    <w:p w14:paraId="5EC1FA3A">
      <w:pPr>
        <w:pStyle w:val="3"/>
        <w:spacing w:line="246" w:lineRule="auto"/>
        <w:rPr>
          <w:color w:val="auto"/>
          <w:highlight w:val="none"/>
        </w:rPr>
      </w:pPr>
    </w:p>
    <w:p w14:paraId="30AC69E9">
      <w:pPr>
        <w:pStyle w:val="3"/>
        <w:spacing w:line="246" w:lineRule="auto"/>
        <w:rPr>
          <w:color w:val="auto"/>
          <w:highlight w:val="none"/>
        </w:rPr>
      </w:pPr>
    </w:p>
    <w:p w14:paraId="5631BFE6">
      <w:pPr>
        <w:pStyle w:val="3"/>
        <w:spacing w:line="246" w:lineRule="auto"/>
        <w:rPr>
          <w:color w:val="auto"/>
          <w:highlight w:val="none"/>
        </w:rPr>
      </w:pPr>
    </w:p>
    <w:p w14:paraId="3D4A32F6">
      <w:pPr>
        <w:pStyle w:val="3"/>
        <w:spacing w:line="246" w:lineRule="auto"/>
        <w:rPr>
          <w:color w:val="auto"/>
          <w:highlight w:val="none"/>
        </w:rPr>
      </w:pPr>
    </w:p>
    <w:p w14:paraId="1BB3BB8F">
      <w:pPr>
        <w:spacing w:before="78" w:line="233" w:lineRule="auto"/>
        <w:ind w:left="4467" w:right="1359" w:hanging="2404"/>
        <w:rPr>
          <w:rFonts w:ascii="宋体" w:hAnsi="宋体" w:eastAsia="宋体" w:cs="宋体"/>
          <w:color w:val="auto"/>
          <w:sz w:val="24"/>
          <w:szCs w:val="24"/>
          <w:highlight w:val="none"/>
        </w:rPr>
      </w:pPr>
      <w:r>
        <w:rPr>
          <w:rFonts w:ascii="宋体" w:hAnsi="宋体" w:eastAsia="宋体" w:cs="宋体"/>
          <w:color w:val="auto"/>
          <w:spacing w:val="-29"/>
          <w:sz w:val="24"/>
          <w:szCs w:val="24"/>
          <w:highlight w:val="none"/>
        </w:rPr>
        <w:t>投</w:t>
      </w:r>
      <w:r>
        <w:rPr>
          <w:rFonts w:ascii="宋体" w:hAnsi="宋体" w:eastAsia="宋体" w:cs="宋体"/>
          <w:color w:val="auto"/>
          <w:spacing w:val="10"/>
          <w:sz w:val="24"/>
          <w:szCs w:val="24"/>
          <w:highlight w:val="none"/>
        </w:rPr>
        <w:t xml:space="preserve"> </w:t>
      </w:r>
      <w:r>
        <w:rPr>
          <w:rFonts w:ascii="宋体" w:hAnsi="宋体" w:eastAsia="宋体" w:cs="宋体"/>
          <w:color w:val="auto"/>
          <w:spacing w:val="-29"/>
          <w:sz w:val="24"/>
          <w:szCs w:val="24"/>
          <w:highlight w:val="none"/>
        </w:rPr>
        <w:t>标</w:t>
      </w:r>
      <w:r>
        <w:rPr>
          <w:rFonts w:ascii="宋体" w:hAnsi="宋体" w:eastAsia="宋体" w:cs="宋体"/>
          <w:color w:val="auto"/>
          <w:spacing w:val="11"/>
          <w:sz w:val="24"/>
          <w:szCs w:val="24"/>
          <w:highlight w:val="none"/>
        </w:rPr>
        <w:t xml:space="preserve"> </w:t>
      </w:r>
      <w:r>
        <w:rPr>
          <w:rFonts w:ascii="宋体" w:hAnsi="宋体" w:eastAsia="宋体" w:cs="宋体"/>
          <w:color w:val="auto"/>
          <w:spacing w:val="-29"/>
          <w:sz w:val="24"/>
          <w:szCs w:val="24"/>
          <w:highlight w:val="none"/>
        </w:rPr>
        <w:t>人：</w:t>
      </w:r>
      <w:r>
        <w:rPr>
          <w:rFonts w:ascii="宋体" w:hAnsi="宋体" w:eastAsia="宋体" w:cs="宋体"/>
          <w:color w:val="auto"/>
          <w:spacing w:val="-38"/>
          <w:sz w:val="24"/>
          <w:szCs w:val="24"/>
          <w:highlight w:val="none"/>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
          <w:sz w:val="24"/>
          <w:szCs w:val="24"/>
          <w:highlight w:val="none"/>
        </w:rPr>
        <w:t xml:space="preserve"> </w:t>
      </w:r>
      <w:r>
        <w:rPr>
          <w:rFonts w:ascii="宋体" w:hAnsi="宋体" w:eastAsia="宋体" w:cs="宋体"/>
          <w:color w:val="auto"/>
          <w:spacing w:val="-3"/>
          <w:sz w:val="24"/>
          <w:szCs w:val="24"/>
          <w:highlight w:val="none"/>
        </w:rPr>
        <w:t>（单位盖章）</w:t>
      </w:r>
    </w:p>
    <w:p w14:paraId="681E5063">
      <w:pPr>
        <w:pStyle w:val="3"/>
        <w:spacing w:line="251" w:lineRule="auto"/>
        <w:rPr>
          <w:color w:val="auto"/>
          <w:highlight w:val="none"/>
        </w:rPr>
      </w:pPr>
    </w:p>
    <w:p w14:paraId="58BCB1BC">
      <w:pPr>
        <w:pStyle w:val="3"/>
        <w:spacing w:line="252" w:lineRule="auto"/>
        <w:rPr>
          <w:color w:val="auto"/>
          <w:highlight w:val="none"/>
        </w:rPr>
      </w:pPr>
    </w:p>
    <w:p w14:paraId="540E8184">
      <w:pPr>
        <w:pStyle w:val="3"/>
        <w:spacing w:line="252" w:lineRule="auto"/>
        <w:rPr>
          <w:color w:val="auto"/>
          <w:highlight w:val="none"/>
        </w:rPr>
      </w:pPr>
    </w:p>
    <w:p w14:paraId="5CC46A1B">
      <w:pPr>
        <w:spacing w:before="78" w:line="220" w:lineRule="auto"/>
        <w:ind w:left="4169"/>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年</w:t>
      </w:r>
      <w:r>
        <w:rPr>
          <w:rFonts w:ascii="宋体" w:hAnsi="宋体" w:eastAsia="宋体" w:cs="宋体"/>
          <w:color w:val="auto"/>
          <w:spacing w:val="1"/>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pacing w:val="9"/>
          <w:sz w:val="24"/>
          <w:szCs w:val="24"/>
          <w:highlight w:val="none"/>
        </w:rPr>
        <w:t xml:space="preserve">      </w:t>
      </w:r>
      <w:r>
        <w:rPr>
          <w:rFonts w:ascii="宋体" w:hAnsi="宋体" w:eastAsia="宋体" w:cs="宋体"/>
          <w:color w:val="auto"/>
          <w:spacing w:val="-9"/>
          <w:sz w:val="24"/>
          <w:szCs w:val="24"/>
          <w:highlight w:val="none"/>
        </w:rPr>
        <w:t>日</w:t>
      </w:r>
    </w:p>
    <w:p w14:paraId="77ADB62F">
      <w:pPr>
        <w:spacing w:line="220" w:lineRule="auto"/>
        <w:rPr>
          <w:rFonts w:ascii="宋体" w:hAnsi="宋体" w:eastAsia="宋体" w:cs="宋体"/>
          <w:color w:val="auto"/>
          <w:sz w:val="24"/>
          <w:szCs w:val="24"/>
          <w:highlight w:val="none"/>
        </w:rPr>
        <w:sectPr>
          <w:footerReference r:id="rId182" w:type="default"/>
          <w:pgSz w:w="11905" w:h="16839"/>
          <w:pgMar w:top="400" w:right="1785" w:bottom="1004" w:left="1785" w:header="0" w:footer="828" w:gutter="0"/>
          <w:pgNumType w:fmt="decimal"/>
          <w:cols w:space="720" w:num="1"/>
        </w:sectPr>
      </w:pPr>
    </w:p>
    <w:p w14:paraId="250C61AF">
      <w:pPr>
        <w:pStyle w:val="3"/>
        <w:spacing w:line="267" w:lineRule="auto"/>
        <w:rPr>
          <w:color w:val="auto"/>
          <w:highlight w:val="none"/>
        </w:rPr>
      </w:pPr>
    </w:p>
    <w:p w14:paraId="434313FB">
      <w:pPr>
        <w:pStyle w:val="3"/>
        <w:spacing w:line="267" w:lineRule="auto"/>
        <w:rPr>
          <w:color w:val="auto"/>
          <w:highlight w:val="none"/>
        </w:rPr>
      </w:pPr>
    </w:p>
    <w:p w14:paraId="273B6BB5">
      <w:pPr>
        <w:pStyle w:val="3"/>
        <w:spacing w:line="268" w:lineRule="auto"/>
        <w:rPr>
          <w:color w:val="auto"/>
          <w:highlight w:val="none"/>
        </w:rPr>
      </w:pPr>
    </w:p>
    <w:p w14:paraId="07F7511A">
      <w:pPr>
        <w:pStyle w:val="3"/>
        <w:spacing w:line="268" w:lineRule="auto"/>
        <w:rPr>
          <w:color w:val="auto"/>
          <w:highlight w:val="none"/>
        </w:rPr>
      </w:pPr>
    </w:p>
    <w:p w14:paraId="742105D1">
      <w:pPr>
        <w:spacing w:before="78" w:line="219" w:lineRule="auto"/>
        <w:ind w:left="13"/>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 xml:space="preserve">4.4 </w:t>
      </w:r>
      <w:r>
        <w:rPr>
          <w:rFonts w:ascii="黑体" w:hAnsi="黑体" w:eastAsia="黑体" w:cs="黑体"/>
          <w:color w:val="auto"/>
          <w:spacing w:val="-2"/>
          <w:sz w:val="24"/>
          <w:szCs w:val="24"/>
          <w:highlight w:val="none"/>
        </w:rPr>
        <w:t>投标总价扉页</w:t>
      </w:r>
    </w:p>
    <w:p w14:paraId="31CE5FCC">
      <w:pPr>
        <w:pStyle w:val="3"/>
        <w:spacing w:line="264" w:lineRule="auto"/>
        <w:rPr>
          <w:color w:val="auto"/>
          <w:highlight w:val="none"/>
        </w:rPr>
      </w:pPr>
    </w:p>
    <w:p w14:paraId="39E1A23D">
      <w:pPr>
        <w:pStyle w:val="3"/>
        <w:spacing w:line="264" w:lineRule="auto"/>
        <w:rPr>
          <w:color w:val="auto"/>
          <w:highlight w:val="none"/>
        </w:rPr>
      </w:pPr>
    </w:p>
    <w:p w14:paraId="66D5606D">
      <w:pPr>
        <w:pStyle w:val="3"/>
        <w:spacing w:line="264" w:lineRule="auto"/>
        <w:rPr>
          <w:color w:val="auto"/>
          <w:highlight w:val="none"/>
        </w:rPr>
      </w:pPr>
    </w:p>
    <w:p w14:paraId="0A612E8C">
      <w:pPr>
        <w:pStyle w:val="3"/>
        <w:spacing w:line="264" w:lineRule="auto"/>
        <w:rPr>
          <w:color w:val="auto"/>
          <w:highlight w:val="none"/>
        </w:rPr>
      </w:pPr>
    </w:p>
    <w:p w14:paraId="51CEE13A">
      <w:pPr>
        <w:spacing w:before="104" w:line="220" w:lineRule="auto"/>
        <w:ind w:left="3837"/>
        <w:rPr>
          <w:rFonts w:ascii="黑体" w:hAnsi="黑体" w:eastAsia="黑体" w:cs="黑体"/>
          <w:color w:val="auto"/>
          <w:sz w:val="32"/>
          <w:szCs w:val="32"/>
          <w:highlight w:val="none"/>
        </w:rPr>
      </w:pPr>
      <w:bookmarkStart w:id="1301" w:name="bookmark247"/>
      <w:bookmarkEnd w:id="1301"/>
      <w:r>
        <w:rPr>
          <w:rFonts w:ascii="黑体" w:hAnsi="黑体" w:eastAsia="黑体" w:cs="黑体"/>
          <w:color w:val="auto"/>
          <w:spacing w:val="13"/>
          <w:sz w:val="32"/>
          <w:szCs w:val="32"/>
          <w:highlight w:val="none"/>
        </w:rPr>
        <w:t>投标总价</w:t>
      </w:r>
    </w:p>
    <w:p w14:paraId="561102CA">
      <w:pPr>
        <w:pStyle w:val="3"/>
        <w:spacing w:line="255" w:lineRule="auto"/>
        <w:rPr>
          <w:color w:val="auto"/>
          <w:highlight w:val="none"/>
        </w:rPr>
      </w:pPr>
    </w:p>
    <w:p w14:paraId="0887C26E">
      <w:pPr>
        <w:pStyle w:val="3"/>
        <w:spacing w:line="255" w:lineRule="auto"/>
        <w:rPr>
          <w:color w:val="auto"/>
          <w:highlight w:val="none"/>
        </w:rPr>
      </w:pPr>
    </w:p>
    <w:p w14:paraId="60E52972">
      <w:pPr>
        <w:pStyle w:val="3"/>
        <w:spacing w:line="255" w:lineRule="auto"/>
        <w:rPr>
          <w:color w:val="auto"/>
          <w:highlight w:val="none"/>
        </w:rPr>
      </w:pPr>
    </w:p>
    <w:p w14:paraId="0BD8E89E">
      <w:pPr>
        <w:pStyle w:val="3"/>
        <w:spacing w:line="256" w:lineRule="auto"/>
        <w:rPr>
          <w:color w:val="auto"/>
          <w:highlight w:val="none"/>
        </w:rPr>
      </w:pPr>
    </w:p>
    <w:p w14:paraId="4D7BA30B">
      <w:pPr>
        <w:pStyle w:val="3"/>
        <w:spacing w:line="256" w:lineRule="auto"/>
        <w:rPr>
          <w:color w:val="auto"/>
          <w:highlight w:val="none"/>
        </w:rPr>
      </w:pPr>
    </w:p>
    <w:p w14:paraId="6938AF9E">
      <w:pPr>
        <w:pStyle w:val="3"/>
        <w:spacing w:line="256" w:lineRule="auto"/>
        <w:rPr>
          <w:color w:val="auto"/>
          <w:highlight w:val="none"/>
        </w:rPr>
      </w:pPr>
    </w:p>
    <w:p w14:paraId="0E9F531A">
      <w:pPr>
        <w:spacing w:before="68" w:line="221" w:lineRule="auto"/>
        <w:ind w:left="442"/>
        <w:rPr>
          <w:rFonts w:ascii="宋体" w:hAnsi="宋体" w:eastAsia="宋体" w:cs="宋体"/>
          <w:color w:val="auto"/>
          <w:sz w:val="21"/>
          <w:szCs w:val="21"/>
          <w:highlight w:val="none"/>
        </w:rPr>
      </w:pPr>
      <w:r>
        <w:rPr>
          <w:rFonts w:ascii="宋体" w:hAnsi="宋体" w:eastAsia="宋体" w:cs="宋体"/>
          <w:color w:val="auto"/>
          <w:spacing w:val="-25"/>
          <w:sz w:val="21"/>
          <w:szCs w:val="21"/>
          <w:highlight w:val="none"/>
        </w:rPr>
        <w:t>招</w:t>
      </w:r>
      <w:r>
        <w:rPr>
          <w:rFonts w:ascii="宋体" w:hAnsi="宋体" w:eastAsia="宋体" w:cs="宋体"/>
          <w:color w:val="auto"/>
          <w:spacing w:val="12"/>
          <w:sz w:val="21"/>
          <w:szCs w:val="21"/>
          <w:highlight w:val="none"/>
        </w:rPr>
        <w:t xml:space="preserve"> </w:t>
      </w:r>
      <w:r>
        <w:rPr>
          <w:rFonts w:ascii="宋体" w:hAnsi="宋体" w:eastAsia="宋体" w:cs="宋体"/>
          <w:color w:val="auto"/>
          <w:spacing w:val="-25"/>
          <w:sz w:val="21"/>
          <w:szCs w:val="21"/>
          <w:highlight w:val="none"/>
        </w:rPr>
        <w:t>标</w:t>
      </w:r>
      <w:r>
        <w:rPr>
          <w:rFonts w:ascii="宋体" w:hAnsi="宋体" w:eastAsia="宋体" w:cs="宋体"/>
          <w:color w:val="auto"/>
          <w:spacing w:val="10"/>
          <w:sz w:val="21"/>
          <w:szCs w:val="21"/>
          <w:highlight w:val="none"/>
        </w:rPr>
        <w:t xml:space="preserve"> </w:t>
      </w:r>
      <w:r>
        <w:rPr>
          <w:rFonts w:ascii="宋体" w:hAnsi="宋体" w:eastAsia="宋体" w:cs="宋体"/>
          <w:color w:val="auto"/>
          <w:spacing w:val="-25"/>
          <w:sz w:val="21"/>
          <w:szCs w:val="21"/>
          <w:highlight w:val="none"/>
        </w:rPr>
        <w:t>人：</w:t>
      </w:r>
      <w:r>
        <w:rPr>
          <w:rFonts w:ascii="宋体" w:hAnsi="宋体" w:eastAsia="宋体" w:cs="宋体"/>
          <w:color w:val="auto"/>
          <w:spacing w:val="-31"/>
          <w:sz w:val="21"/>
          <w:szCs w:val="21"/>
          <w:highlight w:val="none"/>
        </w:rPr>
        <w:t xml:space="preserve"> </w:t>
      </w:r>
      <w:r>
        <w:rPr>
          <w:rFonts w:ascii="宋体" w:hAnsi="宋体" w:eastAsia="宋体" w:cs="宋体"/>
          <w:color w:val="auto"/>
          <w:sz w:val="21"/>
          <w:szCs w:val="21"/>
          <w:highlight w:val="none"/>
          <w:u w:val="single" w:color="auto"/>
        </w:rPr>
        <w:t xml:space="preserve">                                                               </w:t>
      </w:r>
    </w:p>
    <w:p w14:paraId="0CF25158">
      <w:pPr>
        <w:pStyle w:val="3"/>
        <w:spacing w:line="278" w:lineRule="auto"/>
        <w:rPr>
          <w:color w:val="auto"/>
          <w:highlight w:val="none"/>
        </w:rPr>
      </w:pPr>
    </w:p>
    <w:p w14:paraId="1EF5BDAB">
      <w:pPr>
        <w:spacing w:before="68" w:line="221" w:lineRule="auto"/>
        <w:ind w:left="443"/>
        <w:rPr>
          <w:rFonts w:ascii="宋体" w:hAnsi="宋体" w:eastAsia="宋体" w:cs="宋体"/>
          <w:color w:val="auto"/>
          <w:sz w:val="21"/>
          <w:szCs w:val="21"/>
          <w:highlight w:val="none"/>
        </w:rPr>
      </w:pPr>
      <w:r>
        <w:rPr>
          <w:rFonts w:ascii="宋体" w:hAnsi="宋体" w:eastAsia="宋体" w:cs="宋体"/>
          <w:color w:val="auto"/>
          <w:spacing w:val="-25"/>
          <w:w w:val="99"/>
          <w:sz w:val="21"/>
          <w:szCs w:val="21"/>
          <w:highlight w:val="none"/>
        </w:rPr>
        <w:t>工程名称：</w:t>
      </w:r>
      <w:r>
        <w:rPr>
          <w:rFonts w:ascii="宋体" w:hAnsi="宋体" w:eastAsia="宋体" w:cs="宋体"/>
          <w:color w:val="auto"/>
          <w:spacing w:val="25"/>
          <w:sz w:val="21"/>
          <w:szCs w:val="21"/>
          <w:highlight w:val="none"/>
        </w:rPr>
        <w:t xml:space="preserve"> </w:t>
      </w:r>
      <w:r>
        <w:rPr>
          <w:rFonts w:ascii="宋体" w:hAnsi="宋体" w:eastAsia="宋体" w:cs="宋体"/>
          <w:color w:val="auto"/>
          <w:sz w:val="21"/>
          <w:szCs w:val="21"/>
          <w:highlight w:val="none"/>
          <w:u w:val="single" w:color="auto"/>
        </w:rPr>
        <w:t xml:space="preserve">                                                               </w:t>
      </w:r>
    </w:p>
    <w:p w14:paraId="77714263">
      <w:pPr>
        <w:pStyle w:val="3"/>
        <w:spacing w:line="279" w:lineRule="auto"/>
        <w:rPr>
          <w:color w:val="auto"/>
          <w:highlight w:val="none"/>
        </w:rPr>
      </w:pPr>
    </w:p>
    <w:p w14:paraId="5742E081">
      <w:pPr>
        <w:spacing w:before="69" w:line="527" w:lineRule="auto"/>
        <w:ind w:left="44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投标总价（小写</w:t>
      </w:r>
      <w:r>
        <w:rPr>
          <w:rFonts w:ascii="宋体" w:hAnsi="宋体" w:eastAsia="宋体" w:cs="宋体"/>
          <w:color w:val="auto"/>
          <w:spacing w:val="-11"/>
          <w:sz w:val="21"/>
          <w:szCs w:val="21"/>
          <w:highlight w:val="none"/>
        </w:rPr>
        <w:t>）</w:t>
      </w:r>
      <w:r>
        <w:rPr>
          <w:rFonts w:ascii="宋体" w:hAnsi="宋体" w:eastAsia="宋体" w:cs="宋体"/>
          <w:color w:val="auto"/>
          <w:spacing w:val="28"/>
          <w:sz w:val="21"/>
          <w:szCs w:val="21"/>
          <w:highlight w:val="none"/>
        </w:rPr>
        <w:t xml:space="preserve"> </w:t>
      </w:r>
      <w:r>
        <w:rPr>
          <w:rFonts w:ascii="宋体" w:hAnsi="宋体" w:eastAsia="宋体" w:cs="宋体"/>
          <w:color w:val="auto"/>
          <w:spacing w:val="-11"/>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元   </w:t>
      </w:r>
    </w:p>
    <w:p w14:paraId="5B8DDF77">
      <w:pPr>
        <w:spacing w:line="221" w:lineRule="auto"/>
        <w:ind w:left="128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（大写</w:t>
      </w:r>
      <w:r>
        <w:rPr>
          <w:rFonts w:ascii="宋体" w:hAnsi="宋体" w:eastAsia="宋体" w:cs="宋体"/>
          <w:color w:val="auto"/>
          <w:spacing w:val="-16"/>
          <w:sz w:val="21"/>
          <w:szCs w:val="21"/>
          <w:highlight w:val="none"/>
        </w:rPr>
        <w:t>）</w:t>
      </w:r>
      <w:r>
        <w:rPr>
          <w:rFonts w:ascii="宋体" w:hAnsi="宋体" w:eastAsia="宋体" w:cs="宋体"/>
          <w:color w:val="auto"/>
          <w:spacing w:val="29"/>
          <w:sz w:val="21"/>
          <w:szCs w:val="21"/>
          <w:highlight w:val="none"/>
        </w:rPr>
        <w:t xml:space="preserve"> </w:t>
      </w:r>
      <w:r>
        <w:rPr>
          <w:rFonts w:ascii="宋体" w:hAnsi="宋体" w:eastAsia="宋体" w:cs="宋体"/>
          <w:color w:val="auto"/>
          <w:spacing w:val="-16"/>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4"/>
          <w:sz w:val="21"/>
          <w:szCs w:val="21"/>
          <w:highlight w:val="none"/>
          <w:u w:val="single" w:color="auto"/>
        </w:rPr>
        <w:t xml:space="preserve">元   </w:t>
      </w:r>
    </w:p>
    <w:p w14:paraId="3062C679">
      <w:pPr>
        <w:pStyle w:val="3"/>
        <w:spacing w:line="250" w:lineRule="auto"/>
        <w:rPr>
          <w:color w:val="auto"/>
          <w:highlight w:val="none"/>
        </w:rPr>
      </w:pPr>
    </w:p>
    <w:p w14:paraId="5954E974">
      <w:pPr>
        <w:pStyle w:val="3"/>
        <w:spacing w:line="250" w:lineRule="auto"/>
        <w:rPr>
          <w:color w:val="auto"/>
          <w:highlight w:val="none"/>
        </w:rPr>
      </w:pPr>
    </w:p>
    <w:p w14:paraId="2EB9059C">
      <w:pPr>
        <w:pStyle w:val="3"/>
        <w:spacing w:line="250" w:lineRule="auto"/>
        <w:rPr>
          <w:color w:val="auto"/>
          <w:highlight w:val="none"/>
        </w:rPr>
      </w:pPr>
    </w:p>
    <w:p w14:paraId="17A74283">
      <w:pPr>
        <w:pStyle w:val="3"/>
        <w:spacing w:line="251" w:lineRule="auto"/>
        <w:rPr>
          <w:color w:val="auto"/>
          <w:highlight w:val="none"/>
        </w:rPr>
      </w:pPr>
    </w:p>
    <w:p w14:paraId="514C0A83">
      <w:pPr>
        <w:pStyle w:val="3"/>
        <w:spacing w:line="251" w:lineRule="auto"/>
        <w:rPr>
          <w:color w:val="auto"/>
          <w:highlight w:val="none"/>
        </w:rPr>
      </w:pPr>
    </w:p>
    <w:p w14:paraId="1FC5583A">
      <w:pPr>
        <w:spacing w:before="69" w:line="251" w:lineRule="auto"/>
        <w:ind w:left="4225" w:right="231" w:hanging="3782"/>
        <w:rPr>
          <w:rFonts w:ascii="宋体" w:hAnsi="宋体" w:eastAsia="宋体" w:cs="宋体"/>
          <w:color w:val="auto"/>
          <w:sz w:val="21"/>
          <w:szCs w:val="21"/>
          <w:highlight w:val="none"/>
        </w:rPr>
      </w:pPr>
      <w:r>
        <w:rPr>
          <w:rFonts w:ascii="宋体" w:hAnsi="宋体" w:eastAsia="宋体" w:cs="宋体"/>
          <w:color w:val="auto"/>
          <w:spacing w:val="-25"/>
          <w:sz w:val="21"/>
          <w:szCs w:val="21"/>
          <w:highlight w:val="none"/>
        </w:rPr>
        <w:t>投</w:t>
      </w:r>
      <w:r>
        <w:rPr>
          <w:rFonts w:ascii="宋体" w:hAnsi="宋体" w:eastAsia="宋体" w:cs="宋体"/>
          <w:color w:val="auto"/>
          <w:spacing w:val="10"/>
          <w:sz w:val="21"/>
          <w:szCs w:val="21"/>
          <w:highlight w:val="none"/>
        </w:rPr>
        <w:t xml:space="preserve"> </w:t>
      </w:r>
      <w:r>
        <w:rPr>
          <w:rFonts w:ascii="宋体" w:hAnsi="宋体" w:eastAsia="宋体" w:cs="宋体"/>
          <w:color w:val="auto"/>
          <w:spacing w:val="-25"/>
          <w:sz w:val="21"/>
          <w:szCs w:val="21"/>
          <w:highlight w:val="none"/>
        </w:rPr>
        <w:t>标</w:t>
      </w:r>
      <w:r>
        <w:rPr>
          <w:rFonts w:ascii="宋体" w:hAnsi="宋体" w:eastAsia="宋体" w:cs="宋体"/>
          <w:color w:val="auto"/>
          <w:spacing w:val="10"/>
          <w:sz w:val="21"/>
          <w:szCs w:val="21"/>
          <w:highlight w:val="none"/>
        </w:rPr>
        <w:t xml:space="preserve"> </w:t>
      </w:r>
      <w:r>
        <w:rPr>
          <w:rFonts w:ascii="宋体" w:hAnsi="宋体" w:eastAsia="宋体" w:cs="宋体"/>
          <w:color w:val="auto"/>
          <w:spacing w:val="-25"/>
          <w:sz w:val="21"/>
          <w:szCs w:val="21"/>
          <w:highlight w:val="none"/>
        </w:rPr>
        <w:t>人：</w:t>
      </w:r>
      <w:r>
        <w:rPr>
          <w:rFonts w:ascii="宋体" w:hAnsi="宋体" w:eastAsia="宋体" w:cs="宋体"/>
          <w:color w:val="auto"/>
          <w:spacing w:val="-31"/>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2"/>
          <w:sz w:val="21"/>
          <w:szCs w:val="21"/>
          <w:highlight w:val="none"/>
        </w:rPr>
        <w:t>（单位盖章）</w:t>
      </w:r>
    </w:p>
    <w:p w14:paraId="7CA4FF81">
      <w:pPr>
        <w:pStyle w:val="3"/>
        <w:spacing w:line="422" w:lineRule="auto"/>
        <w:rPr>
          <w:color w:val="auto"/>
          <w:highlight w:val="none"/>
        </w:rPr>
      </w:pPr>
    </w:p>
    <w:p w14:paraId="770C0A28">
      <w:pPr>
        <w:spacing w:before="69" w:line="221"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法定代表人</w:t>
      </w:r>
    </w:p>
    <w:p w14:paraId="771955F4">
      <w:pPr>
        <w:spacing w:before="158" w:line="249" w:lineRule="auto"/>
        <w:ind w:left="4014" w:right="231" w:hanging="3571"/>
        <w:rPr>
          <w:rFonts w:ascii="宋体" w:hAnsi="宋体" w:eastAsia="宋体" w:cs="宋体"/>
          <w:color w:val="auto"/>
          <w:sz w:val="21"/>
          <w:szCs w:val="21"/>
          <w:highlight w:val="none"/>
        </w:rPr>
      </w:pPr>
      <w:r>
        <w:rPr>
          <w:rFonts w:ascii="宋体" w:hAnsi="宋体" w:eastAsia="宋体" w:cs="宋体"/>
          <w:color w:val="auto"/>
          <w:sz w:val="21"/>
          <w:szCs w:val="21"/>
          <w:highlight w:val="none"/>
        </w:rPr>
        <w:t>或其授权人：</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（签字或盖章）</w:t>
      </w:r>
    </w:p>
    <w:p w14:paraId="36F4A80D">
      <w:pPr>
        <w:pStyle w:val="3"/>
        <w:spacing w:line="319" w:lineRule="auto"/>
        <w:rPr>
          <w:color w:val="auto"/>
          <w:highlight w:val="none"/>
        </w:rPr>
      </w:pPr>
    </w:p>
    <w:p w14:paraId="06F1A251">
      <w:pPr>
        <w:pStyle w:val="3"/>
        <w:spacing w:line="319" w:lineRule="auto"/>
        <w:rPr>
          <w:color w:val="auto"/>
          <w:highlight w:val="none"/>
        </w:rPr>
      </w:pPr>
    </w:p>
    <w:p w14:paraId="1D0EEAFF">
      <w:pPr>
        <w:spacing w:before="68" w:line="251" w:lineRule="auto"/>
        <w:ind w:left="3596" w:right="231" w:hanging="3154"/>
        <w:rPr>
          <w:rFonts w:ascii="宋体" w:hAnsi="宋体" w:eastAsia="宋体" w:cs="宋体"/>
          <w:color w:val="auto"/>
          <w:sz w:val="21"/>
          <w:szCs w:val="21"/>
          <w:highlight w:val="none"/>
        </w:rPr>
      </w:pPr>
      <w:r>
        <w:rPr>
          <w:rFonts w:ascii="宋体" w:hAnsi="宋体" w:eastAsia="宋体" w:cs="宋体"/>
          <w:color w:val="auto"/>
          <w:spacing w:val="-26"/>
          <w:w w:val="98"/>
          <w:sz w:val="21"/>
          <w:szCs w:val="21"/>
          <w:highlight w:val="none"/>
        </w:rPr>
        <w:t>编制人：</w:t>
      </w:r>
      <w:r>
        <w:rPr>
          <w:rFonts w:ascii="宋体" w:hAnsi="宋体" w:eastAsia="宋体" w:cs="宋体"/>
          <w:color w:val="auto"/>
          <w:spacing w:val="10"/>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2"/>
          <w:sz w:val="21"/>
          <w:szCs w:val="21"/>
          <w:highlight w:val="none"/>
        </w:rPr>
        <w:t>（造价人员签字或盖章）</w:t>
      </w:r>
    </w:p>
    <w:p w14:paraId="7A28B4E8">
      <w:pPr>
        <w:pStyle w:val="3"/>
        <w:spacing w:line="266" w:lineRule="auto"/>
        <w:rPr>
          <w:color w:val="auto"/>
          <w:highlight w:val="none"/>
        </w:rPr>
      </w:pPr>
    </w:p>
    <w:p w14:paraId="521FC3D8">
      <w:pPr>
        <w:pStyle w:val="3"/>
        <w:spacing w:line="267" w:lineRule="auto"/>
        <w:rPr>
          <w:color w:val="auto"/>
          <w:highlight w:val="none"/>
        </w:rPr>
      </w:pPr>
    </w:p>
    <w:p w14:paraId="0BF8EC6E">
      <w:pPr>
        <w:pStyle w:val="3"/>
        <w:spacing w:line="267" w:lineRule="auto"/>
        <w:rPr>
          <w:color w:val="auto"/>
          <w:highlight w:val="none"/>
        </w:rPr>
      </w:pPr>
    </w:p>
    <w:p w14:paraId="720EA382">
      <w:pPr>
        <w:spacing w:before="69" w:line="221" w:lineRule="auto"/>
        <w:ind w:left="442"/>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编制时间：</w:t>
      </w:r>
      <w:r>
        <w:rPr>
          <w:rFonts w:ascii="宋体" w:hAnsi="宋体" w:eastAsia="宋体" w:cs="宋体"/>
          <w:color w:val="auto"/>
          <w:spacing w:val="1"/>
          <w:sz w:val="21"/>
          <w:szCs w:val="21"/>
          <w:highlight w:val="none"/>
        </w:rPr>
        <w:t xml:space="preserve">               </w:t>
      </w:r>
      <w:r>
        <w:rPr>
          <w:rFonts w:ascii="宋体" w:hAnsi="宋体" w:eastAsia="宋体" w:cs="宋体"/>
          <w:color w:val="auto"/>
          <w:spacing w:val="-14"/>
          <w:sz w:val="21"/>
          <w:szCs w:val="21"/>
          <w:highlight w:val="none"/>
        </w:rPr>
        <w:t>年</w:t>
      </w:r>
      <w:r>
        <w:rPr>
          <w:rFonts w:ascii="宋体" w:hAnsi="宋体" w:eastAsia="宋体" w:cs="宋体"/>
          <w:color w:val="auto"/>
          <w:spacing w:val="4"/>
          <w:sz w:val="21"/>
          <w:szCs w:val="21"/>
          <w:highlight w:val="none"/>
        </w:rPr>
        <w:t xml:space="preserve">      </w:t>
      </w:r>
      <w:r>
        <w:rPr>
          <w:rFonts w:ascii="宋体" w:hAnsi="宋体" w:eastAsia="宋体" w:cs="宋体"/>
          <w:color w:val="auto"/>
          <w:spacing w:val="-14"/>
          <w:sz w:val="21"/>
          <w:szCs w:val="21"/>
          <w:highlight w:val="none"/>
        </w:rPr>
        <w:t>月       日</w:t>
      </w:r>
    </w:p>
    <w:p w14:paraId="48B94802">
      <w:pPr>
        <w:spacing w:line="221" w:lineRule="auto"/>
        <w:rPr>
          <w:rFonts w:ascii="宋体" w:hAnsi="宋体" w:eastAsia="宋体" w:cs="宋体"/>
          <w:color w:val="auto"/>
          <w:sz w:val="21"/>
          <w:szCs w:val="21"/>
          <w:highlight w:val="none"/>
        </w:rPr>
        <w:sectPr>
          <w:footerReference r:id="rId183" w:type="default"/>
          <w:pgSz w:w="11905" w:h="16839"/>
          <w:pgMar w:top="400" w:right="1785" w:bottom="1004" w:left="1785" w:header="0" w:footer="828" w:gutter="0"/>
          <w:pgNumType w:fmt="decimal"/>
          <w:cols w:space="720" w:num="1"/>
        </w:sectPr>
      </w:pPr>
    </w:p>
    <w:p w14:paraId="03FACE3D">
      <w:pPr>
        <w:pStyle w:val="3"/>
        <w:spacing w:line="267" w:lineRule="auto"/>
        <w:rPr>
          <w:color w:val="auto"/>
          <w:highlight w:val="none"/>
        </w:rPr>
      </w:pPr>
    </w:p>
    <w:p w14:paraId="4C727122">
      <w:pPr>
        <w:pStyle w:val="3"/>
        <w:spacing w:line="268" w:lineRule="auto"/>
        <w:rPr>
          <w:color w:val="auto"/>
          <w:highlight w:val="none"/>
        </w:rPr>
      </w:pPr>
    </w:p>
    <w:p w14:paraId="4DBA8920">
      <w:pPr>
        <w:pStyle w:val="3"/>
        <w:spacing w:line="268" w:lineRule="auto"/>
        <w:rPr>
          <w:color w:val="auto"/>
          <w:highlight w:val="none"/>
        </w:rPr>
      </w:pPr>
    </w:p>
    <w:p w14:paraId="1C0DCF70">
      <w:pPr>
        <w:pStyle w:val="3"/>
        <w:spacing w:line="268" w:lineRule="auto"/>
        <w:rPr>
          <w:color w:val="auto"/>
          <w:highlight w:val="none"/>
        </w:rPr>
      </w:pPr>
    </w:p>
    <w:p w14:paraId="33EE994D">
      <w:pPr>
        <w:spacing w:before="78" w:line="218" w:lineRule="auto"/>
        <w:ind w:left="13"/>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 xml:space="preserve">4.5 </w:t>
      </w:r>
      <w:r>
        <w:rPr>
          <w:rFonts w:ascii="黑体" w:hAnsi="黑体" w:eastAsia="黑体" w:cs="黑体"/>
          <w:color w:val="auto"/>
          <w:spacing w:val="-2"/>
          <w:sz w:val="24"/>
          <w:szCs w:val="24"/>
          <w:highlight w:val="none"/>
        </w:rPr>
        <w:t>总说明表</w:t>
      </w:r>
    </w:p>
    <w:p w14:paraId="0A9AE049">
      <w:pPr>
        <w:spacing w:before="62" w:line="224" w:lineRule="auto"/>
        <w:ind w:left="3906"/>
        <w:rPr>
          <w:rFonts w:ascii="黑体" w:hAnsi="黑体" w:eastAsia="黑体" w:cs="黑体"/>
          <w:color w:val="auto"/>
          <w:sz w:val="27"/>
          <w:szCs w:val="27"/>
          <w:highlight w:val="none"/>
        </w:rPr>
      </w:pPr>
      <w:bookmarkStart w:id="1302" w:name="bookmark248"/>
      <w:bookmarkEnd w:id="1302"/>
      <w:r>
        <w:rPr>
          <w:rFonts w:ascii="黑体" w:hAnsi="黑体" w:eastAsia="黑体" w:cs="黑体"/>
          <w:color w:val="auto"/>
          <w:spacing w:val="-5"/>
          <w:sz w:val="27"/>
          <w:szCs w:val="27"/>
          <w:highlight w:val="none"/>
        </w:rPr>
        <w:t>总</w:t>
      </w:r>
      <w:r>
        <w:rPr>
          <w:rFonts w:ascii="黑体" w:hAnsi="黑体" w:eastAsia="黑体" w:cs="黑体"/>
          <w:color w:val="auto"/>
          <w:spacing w:val="19"/>
          <w:sz w:val="27"/>
          <w:szCs w:val="27"/>
          <w:highlight w:val="none"/>
        </w:rPr>
        <w:t xml:space="preserve"> </w:t>
      </w:r>
      <w:r>
        <w:rPr>
          <w:rFonts w:ascii="黑体" w:hAnsi="黑体" w:eastAsia="黑体" w:cs="黑体"/>
          <w:color w:val="auto"/>
          <w:spacing w:val="-5"/>
          <w:sz w:val="27"/>
          <w:szCs w:val="27"/>
          <w:highlight w:val="none"/>
        </w:rPr>
        <w:t>说</w:t>
      </w:r>
      <w:r>
        <w:rPr>
          <w:rFonts w:ascii="黑体" w:hAnsi="黑体" w:eastAsia="黑体" w:cs="黑体"/>
          <w:color w:val="auto"/>
          <w:spacing w:val="28"/>
          <w:sz w:val="27"/>
          <w:szCs w:val="27"/>
          <w:highlight w:val="none"/>
        </w:rPr>
        <w:t xml:space="preserve"> </w:t>
      </w:r>
      <w:r>
        <w:rPr>
          <w:rFonts w:ascii="黑体" w:hAnsi="黑体" w:eastAsia="黑体" w:cs="黑体"/>
          <w:color w:val="auto"/>
          <w:spacing w:val="-5"/>
          <w:sz w:val="27"/>
          <w:szCs w:val="27"/>
          <w:highlight w:val="none"/>
        </w:rPr>
        <w:t>明</w:t>
      </w:r>
    </w:p>
    <w:p w14:paraId="713B5F3E">
      <w:pPr>
        <w:pStyle w:val="3"/>
        <w:spacing w:line="284" w:lineRule="auto"/>
        <w:rPr>
          <w:color w:val="auto"/>
          <w:highlight w:val="none"/>
        </w:rPr>
      </w:pPr>
    </w:p>
    <w:p w14:paraId="09463ADC">
      <w:pPr>
        <w:spacing w:before="68" w:line="221" w:lineRule="auto"/>
        <w:ind w:left="20"/>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工程名称：</w:t>
      </w:r>
      <w:r>
        <w:rPr>
          <w:rFonts w:ascii="宋体" w:hAnsi="宋体" w:eastAsia="宋体" w:cs="宋体"/>
          <w:color w:val="auto"/>
          <w:spacing w:val="1"/>
          <w:sz w:val="21"/>
          <w:szCs w:val="21"/>
          <w:highlight w:val="none"/>
        </w:rPr>
        <w:t xml:space="preserve">                      </w:t>
      </w:r>
      <w:r>
        <w:rPr>
          <w:rFonts w:ascii="宋体" w:hAnsi="宋体" w:eastAsia="宋体" w:cs="宋体"/>
          <w:color w:val="auto"/>
          <w:sz w:val="21"/>
          <w:szCs w:val="21"/>
          <w:highlight w:val="none"/>
        </w:rPr>
        <w:t xml:space="preserve">                    </w:t>
      </w:r>
      <w:r>
        <w:rPr>
          <w:rFonts w:ascii="宋体" w:hAnsi="宋体" w:eastAsia="宋体" w:cs="宋体"/>
          <w:color w:val="auto"/>
          <w:spacing w:val="-15"/>
          <w:sz w:val="21"/>
          <w:szCs w:val="21"/>
          <w:highlight w:val="none"/>
        </w:rPr>
        <w:t>第</w:t>
      </w:r>
      <w:r>
        <w:rPr>
          <w:rFonts w:ascii="宋体" w:hAnsi="宋体" w:eastAsia="宋体" w:cs="宋体"/>
          <w:color w:val="auto"/>
          <w:spacing w:val="7"/>
          <w:sz w:val="21"/>
          <w:szCs w:val="21"/>
          <w:highlight w:val="none"/>
        </w:rPr>
        <w:t xml:space="preserve">  </w:t>
      </w:r>
      <w:r>
        <w:rPr>
          <w:rFonts w:ascii="宋体" w:hAnsi="宋体" w:eastAsia="宋体" w:cs="宋体"/>
          <w:color w:val="auto"/>
          <w:spacing w:val="-15"/>
          <w:sz w:val="21"/>
          <w:szCs w:val="21"/>
          <w:highlight w:val="none"/>
        </w:rPr>
        <w:t>页 共</w:t>
      </w:r>
      <w:r>
        <w:rPr>
          <w:rFonts w:ascii="宋体" w:hAnsi="宋体" w:eastAsia="宋体" w:cs="宋体"/>
          <w:color w:val="auto"/>
          <w:spacing w:val="8"/>
          <w:sz w:val="21"/>
          <w:szCs w:val="21"/>
          <w:highlight w:val="none"/>
        </w:rPr>
        <w:t xml:space="preserve">  </w:t>
      </w:r>
      <w:r>
        <w:rPr>
          <w:rFonts w:ascii="宋体" w:hAnsi="宋体" w:eastAsia="宋体" w:cs="宋体"/>
          <w:color w:val="auto"/>
          <w:spacing w:val="-15"/>
          <w:sz w:val="21"/>
          <w:szCs w:val="21"/>
          <w:highlight w:val="none"/>
        </w:rPr>
        <w:t>页</w:t>
      </w:r>
    </w:p>
    <w:p w14:paraId="67E8AF5A">
      <w:pPr>
        <w:spacing w:before="127" w:line="10745" w:lineRule="exact"/>
        <w:ind w:firstLine="10"/>
        <w:rPr>
          <w:color w:val="auto"/>
          <w:highlight w:val="none"/>
        </w:rPr>
      </w:pPr>
      <w:r>
        <w:rPr>
          <w:color w:val="auto"/>
          <w:position w:val="-214"/>
          <w:highlight w:val="none"/>
        </w:rPr>
        <w:pict>
          <v:shape id="_x0000_s2074" o:spid="_x0000_s2074" style="height:537.3pt;width:415.85pt;" fillcolor="#000000" filled="t" stroked="f" coordsize="8317,10745" path="m0,9l9,9,9,0,0,0,0,9xem0,9l9,9,9,0,0,0,0,9xem9,9l8307,9,8307,0,9,0,9,9xem8307,9l8316,9,8316,0,8307,0,8307,9xem8307,9l8316,9,8316,0,8307,0,8307,9xem0,10735l9,10735,9,9,0,9,0,10735xem0,10745l9,10745,9,10735,0,10735,0,10745xem0,10745l9,10745,9,10735,0,10735,0,10745xem9,10745l8307,10745,8307,10735,9,10735,9,10745xem8307,10735l8316,10735,8316,9,8307,9,8307,10735xem8307,10745l8316,10745,8316,10735,8307,10735,8307,10745xem8307,10745l8316,10745,8316,10735,8307,10735,8307,10745xe">
            <v:path/>
            <v:fill on="t" focussize="0,0"/>
            <v:stroke on="f"/>
            <v:imagedata o:title=""/>
            <o:lock v:ext="edit"/>
            <w10:wrap type="none"/>
            <w10:anchorlock/>
          </v:shape>
        </w:pict>
      </w:r>
    </w:p>
    <w:p w14:paraId="7949BED8">
      <w:pPr>
        <w:spacing w:line="10745" w:lineRule="exact"/>
        <w:rPr>
          <w:color w:val="auto"/>
          <w:highlight w:val="none"/>
        </w:rPr>
        <w:sectPr>
          <w:footerReference r:id="rId184" w:type="default"/>
          <w:pgSz w:w="11905" w:h="16839"/>
          <w:pgMar w:top="400" w:right="1785" w:bottom="1004" w:left="1785" w:header="0" w:footer="828" w:gutter="0"/>
          <w:pgNumType w:fmt="decimal"/>
          <w:cols w:space="720" w:num="1"/>
        </w:sectPr>
      </w:pPr>
    </w:p>
    <w:p w14:paraId="15F9B416">
      <w:pPr>
        <w:pStyle w:val="3"/>
        <w:spacing w:line="267" w:lineRule="auto"/>
        <w:rPr>
          <w:color w:val="auto"/>
          <w:highlight w:val="none"/>
        </w:rPr>
      </w:pPr>
    </w:p>
    <w:p w14:paraId="5E4710E4">
      <w:pPr>
        <w:pStyle w:val="3"/>
        <w:spacing w:line="267" w:lineRule="auto"/>
        <w:rPr>
          <w:color w:val="auto"/>
          <w:highlight w:val="none"/>
        </w:rPr>
      </w:pPr>
    </w:p>
    <w:p w14:paraId="62A07DF5">
      <w:pPr>
        <w:pStyle w:val="3"/>
        <w:spacing w:line="268" w:lineRule="auto"/>
        <w:rPr>
          <w:color w:val="auto"/>
          <w:highlight w:val="none"/>
        </w:rPr>
      </w:pPr>
    </w:p>
    <w:p w14:paraId="5023AD3F">
      <w:pPr>
        <w:pStyle w:val="3"/>
        <w:spacing w:line="268" w:lineRule="auto"/>
        <w:rPr>
          <w:color w:val="auto"/>
          <w:highlight w:val="none"/>
        </w:rPr>
      </w:pPr>
    </w:p>
    <w:p w14:paraId="1A464D45">
      <w:pPr>
        <w:spacing w:before="78" w:line="219" w:lineRule="auto"/>
        <w:ind w:left="138"/>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4.6 </w:t>
      </w:r>
      <w:r>
        <w:rPr>
          <w:rFonts w:ascii="黑体" w:hAnsi="黑体" w:eastAsia="黑体" w:cs="黑体"/>
          <w:color w:val="auto"/>
          <w:spacing w:val="-1"/>
          <w:sz w:val="24"/>
          <w:szCs w:val="24"/>
          <w:highlight w:val="none"/>
        </w:rPr>
        <w:t>建设项目投标报价汇总表</w:t>
      </w:r>
    </w:p>
    <w:p w14:paraId="02FC7E90">
      <w:pPr>
        <w:spacing w:before="61" w:line="225" w:lineRule="auto"/>
        <w:ind w:left="3041"/>
        <w:rPr>
          <w:rFonts w:ascii="黑体" w:hAnsi="黑体" w:eastAsia="黑体" w:cs="黑体"/>
          <w:color w:val="auto"/>
          <w:sz w:val="27"/>
          <w:szCs w:val="27"/>
          <w:highlight w:val="none"/>
        </w:rPr>
      </w:pPr>
      <w:bookmarkStart w:id="1303" w:name="bookmark249"/>
      <w:bookmarkEnd w:id="1303"/>
      <w:r>
        <w:rPr>
          <w:rFonts w:ascii="黑体" w:hAnsi="黑体" w:eastAsia="黑体" w:cs="黑体"/>
          <w:color w:val="auto"/>
          <w:spacing w:val="8"/>
          <w:sz w:val="27"/>
          <w:szCs w:val="27"/>
          <w:highlight w:val="none"/>
        </w:rPr>
        <w:t>建设项目投标报价汇总表</w:t>
      </w:r>
    </w:p>
    <w:p w14:paraId="7B2FE533">
      <w:pPr>
        <w:pStyle w:val="3"/>
        <w:spacing w:line="283" w:lineRule="auto"/>
        <w:rPr>
          <w:color w:val="auto"/>
          <w:highlight w:val="none"/>
        </w:rPr>
      </w:pPr>
    </w:p>
    <w:p w14:paraId="57B6F1D3">
      <w:pPr>
        <w:spacing w:before="68" w:line="221" w:lineRule="auto"/>
        <w:ind w:left="145"/>
        <w:rPr>
          <w:rFonts w:ascii="宋体" w:hAnsi="宋体" w:eastAsia="宋体" w:cs="宋体"/>
          <w:color w:val="auto"/>
          <w:sz w:val="21"/>
          <w:szCs w:val="21"/>
          <w:highlight w:val="none"/>
        </w:rPr>
      </w:pPr>
      <w:r>
        <w:rPr>
          <w:rFonts w:ascii="宋体" w:hAnsi="宋体" w:eastAsia="宋体" w:cs="宋体"/>
          <w:color w:val="auto"/>
          <w:spacing w:val="-17"/>
          <w:sz w:val="21"/>
          <w:szCs w:val="21"/>
          <w:highlight w:val="none"/>
        </w:rPr>
        <w:t>工程名称：</w:t>
      </w:r>
      <w:r>
        <w:rPr>
          <w:rFonts w:ascii="宋体" w:hAnsi="宋体" w:eastAsia="宋体" w:cs="宋体"/>
          <w:color w:val="auto"/>
          <w:spacing w:val="1"/>
          <w:sz w:val="21"/>
          <w:szCs w:val="21"/>
          <w:highlight w:val="none"/>
        </w:rPr>
        <w:t xml:space="preserve">                       </w:t>
      </w:r>
      <w:r>
        <w:rPr>
          <w:rFonts w:ascii="宋体" w:hAnsi="宋体" w:eastAsia="宋体" w:cs="宋体"/>
          <w:color w:val="auto"/>
          <w:sz w:val="21"/>
          <w:szCs w:val="21"/>
          <w:highlight w:val="none"/>
        </w:rPr>
        <w:t xml:space="preserve">                     </w:t>
      </w:r>
      <w:r>
        <w:rPr>
          <w:rFonts w:ascii="宋体" w:hAnsi="宋体" w:eastAsia="宋体" w:cs="宋体"/>
          <w:color w:val="auto"/>
          <w:spacing w:val="-17"/>
          <w:sz w:val="21"/>
          <w:szCs w:val="21"/>
          <w:highlight w:val="none"/>
        </w:rPr>
        <w:t>第</w:t>
      </w:r>
      <w:r>
        <w:rPr>
          <w:rFonts w:ascii="宋体" w:hAnsi="宋体" w:eastAsia="宋体" w:cs="宋体"/>
          <w:color w:val="auto"/>
          <w:spacing w:val="5"/>
          <w:sz w:val="21"/>
          <w:szCs w:val="21"/>
          <w:highlight w:val="none"/>
        </w:rPr>
        <w:t xml:space="preserve">  </w:t>
      </w:r>
      <w:r>
        <w:rPr>
          <w:rFonts w:ascii="宋体" w:hAnsi="宋体" w:eastAsia="宋体" w:cs="宋体"/>
          <w:color w:val="auto"/>
          <w:spacing w:val="-17"/>
          <w:sz w:val="21"/>
          <w:szCs w:val="21"/>
          <w:highlight w:val="none"/>
        </w:rPr>
        <w:t>页</w:t>
      </w:r>
      <w:r>
        <w:rPr>
          <w:rFonts w:ascii="宋体" w:hAnsi="宋体" w:eastAsia="宋体" w:cs="宋体"/>
          <w:color w:val="auto"/>
          <w:spacing w:val="5"/>
          <w:sz w:val="21"/>
          <w:szCs w:val="21"/>
          <w:highlight w:val="none"/>
        </w:rPr>
        <w:t xml:space="preserve">  </w:t>
      </w:r>
      <w:r>
        <w:rPr>
          <w:rFonts w:ascii="宋体" w:hAnsi="宋体" w:eastAsia="宋体" w:cs="宋体"/>
          <w:color w:val="auto"/>
          <w:spacing w:val="-17"/>
          <w:sz w:val="21"/>
          <w:szCs w:val="21"/>
          <w:highlight w:val="none"/>
        </w:rPr>
        <w:t>共</w:t>
      </w:r>
      <w:r>
        <w:rPr>
          <w:rFonts w:ascii="宋体" w:hAnsi="宋体" w:eastAsia="宋体" w:cs="宋体"/>
          <w:color w:val="auto"/>
          <w:spacing w:val="5"/>
          <w:sz w:val="21"/>
          <w:szCs w:val="21"/>
          <w:highlight w:val="none"/>
        </w:rPr>
        <w:t xml:space="preserve">  </w:t>
      </w:r>
      <w:r>
        <w:rPr>
          <w:rFonts w:ascii="宋体" w:hAnsi="宋体" w:eastAsia="宋体" w:cs="宋体"/>
          <w:color w:val="auto"/>
          <w:spacing w:val="-17"/>
          <w:sz w:val="21"/>
          <w:szCs w:val="21"/>
          <w:highlight w:val="none"/>
        </w:rPr>
        <w:t>页</w:t>
      </w:r>
    </w:p>
    <w:p w14:paraId="65D73670">
      <w:pPr>
        <w:spacing w:line="127" w:lineRule="exact"/>
        <w:rPr>
          <w:color w:val="auto"/>
          <w:highlight w:val="none"/>
        </w:rPr>
      </w:pPr>
    </w:p>
    <w:tbl>
      <w:tblPr>
        <w:tblStyle w:val="10"/>
        <w:tblW w:w="85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3321"/>
        <w:gridCol w:w="1214"/>
        <w:gridCol w:w="964"/>
        <w:gridCol w:w="1402"/>
        <w:gridCol w:w="930"/>
      </w:tblGrid>
      <w:tr w14:paraId="609EF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54" w:type="dxa"/>
            <w:vMerge w:val="restart"/>
            <w:tcBorders>
              <w:bottom w:val="nil"/>
            </w:tcBorders>
            <w:vAlign w:val="top"/>
          </w:tcPr>
          <w:p w14:paraId="5F266022">
            <w:pPr>
              <w:spacing w:line="410" w:lineRule="auto"/>
              <w:rPr>
                <w:rFonts w:ascii="Arial"/>
                <w:color w:val="auto"/>
                <w:sz w:val="21"/>
                <w:highlight w:val="none"/>
              </w:rPr>
            </w:pPr>
          </w:p>
          <w:p w14:paraId="2C0D6C27">
            <w:pPr>
              <w:pStyle w:val="11"/>
              <w:spacing w:before="68" w:line="222" w:lineRule="auto"/>
              <w:ind w:left="170"/>
              <w:rPr>
                <w:color w:val="auto"/>
                <w:highlight w:val="none"/>
              </w:rPr>
            </w:pPr>
            <w:r>
              <w:rPr>
                <w:color w:val="auto"/>
                <w:spacing w:val="-2"/>
                <w:highlight w:val="none"/>
              </w:rPr>
              <w:t>序号</w:t>
            </w:r>
          </w:p>
        </w:tc>
        <w:tc>
          <w:tcPr>
            <w:tcW w:w="3321" w:type="dxa"/>
            <w:vMerge w:val="restart"/>
            <w:tcBorders>
              <w:bottom w:val="nil"/>
            </w:tcBorders>
            <w:vAlign w:val="top"/>
          </w:tcPr>
          <w:p w14:paraId="6DBEB4C8">
            <w:pPr>
              <w:spacing w:line="410" w:lineRule="auto"/>
              <w:rPr>
                <w:rFonts w:ascii="Arial"/>
                <w:color w:val="auto"/>
                <w:sz w:val="21"/>
                <w:highlight w:val="none"/>
              </w:rPr>
            </w:pPr>
          </w:p>
          <w:p w14:paraId="0CFAA1F9">
            <w:pPr>
              <w:pStyle w:val="11"/>
              <w:spacing w:before="68" w:line="221" w:lineRule="auto"/>
              <w:ind w:left="1037"/>
              <w:rPr>
                <w:color w:val="auto"/>
                <w:highlight w:val="none"/>
              </w:rPr>
            </w:pPr>
            <w:r>
              <w:rPr>
                <w:color w:val="auto"/>
                <w:spacing w:val="-1"/>
                <w:highlight w:val="none"/>
              </w:rPr>
              <w:t>单项工程名称</w:t>
            </w:r>
          </w:p>
        </w:tc>
        <w:tc>
          <w:tcPr>
            <w:tcW w:w="1214" w:type="dxa"/>
            <w:vMerge w:val="restart"/>
            <w:tcBorders>
              <w:bottom w:val="nil"/>
            </w:tcBorders>
            <w:vAlign w:val="top"/>
          </w:tcPr>
          <w:p w14:paraId="5D8F2F1A">
            <w:pPr>
              <w:pStyle w:val="11"/>
              <w:spacing w:before="288" w:line="384" w:lineRule="exact"/>
              <w:ind w:left="405"/>
              <w:rPr>
                <w:color w:val="auto"/>
                <w:highlight w:val="none"/>
              </w:rPr>
            </w:pPr>
            <w:r>
              <w:rPr>
                <w:color w:val="auto"/>
                <w:spacing w:val="-2"/>
                <w:position w:val="13"/>
                <w:highlight w:val="none"/>
              </w:rPr>
              <w:t>金额</w:t>
            </w:r>
          </w:p>
          <w:p w14:paraId="1983B5EE">
            <w:pPr>
              <w:pStyle w:val="11"/>
              <w:spacing w:line="221" w:lineRule="auto"/>
              <w:ind w:left="304"/>
              <w:rPr>
                <w:color w:val="auto"/>
                <w:highlight w:val="none"/>
              </w:rPr>
            </w:pPr>
            <w:r>
              <w:rPr>
                <w:color w:val="auto"/>
                <w:spacing w:val="-6"/>
                <w:highlight w:val="none"/>
              </w:rPr>
              <w:t>（元）</w:t>
            </w:r>
          </w:p>
        </w:tc>
        <w:tc>
          <w:tcPr>
            <w:tcW w:w="3296" w:type="dxa"/>
            <w:gridSpan w:val="3"/>
            <w:vAlign w:val="top"/>
          </w:tcPr>
          <w:p w14:paraId="0B8B289D">
            <w:pPr>
              <w:pStyle w:val="11"/>
              <w:spacing w:before="173" w:line="221" w:lineRule="auto"/>
              <w:ind w:left="971"/>
              <w:rPr>
                <w:color w:val="auto"/>
                <w:highlight w:val="none"/>
              </w:rPr>
            </w:pPr>
            <w:r>
              <w:rPr>
                <w:color w:val="auto"/>
                <w:spacing w:val="-20"/>
                <w:highlight w:val="none"/>
              </w:rPr>
              <w:t>其</w:t>
            </w:r>
            <w:r>
              <w:rPr>
                <w:color w:val="auto"/>
                <w:spacing w:val="15"/>
                <w:highlight w:val="none"/>
              </w:rPr>
              <w:t xml:space="preserve">  </w:t>
            </w:r>
            <w:r>
              <w:rPr>
                <w:color w:val="auto"/>
                <w:spacing w:val="-20"/>
                <w:highlight w:val="none"/>
              </w:rPr>
              <w:t>中</w:t>
            </w:r>
            <w:r>
              <w:rPr>
                <w:color w:val="auto"/>
                <w:spacing w:val="-34"/>
                <w:highlight w:val="none"/>
              </w:rPr>
              <w:t>：（</w:t>
            </w:r>
            <w:r>
              <w:rPr>
                <w:color w:val="auto"/>
                <w:spacing w:val="-20"/>
                <w:highlight w:val="none"/>
              </w:rPr>
              <w:t>元）</w:t>
            </w:r>
          </w:p>
        </w:tc>
      </w:tr>
      <w:tr w14:paraId="4CEF5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54" w:type="dxa"/>
            <w:vMerge w:val="continue"/>
            <w:tcBorders>
              <w:top w:val="nil"/>
            </w:tcBorders>
            <w:vAlign w:val="top"/>
          </w:tcPr>
          <w:p w14:paraId="3C38DED9">
            <w:pPr>
              <w:rPr>
                <w:rFonts w:ascii="Arial"/>
                <w:color w:val="auto"/>
                <w:sz w:val="21"/>
                <w:highlight w:val="none"/>
              </w:rPr>
            </w:pPr>
          </w:p>
        </w:tc>
        <w:tc>
          <w:tcPr>
            <w:tcW w:w="3321" w:type="dxa"/>
            <w:vMerge w:val="continue"/>
            <w:tcBorders>
              <w:top w:val="nil"/>
            </w:tcBorders>
            <w:vAlign w:val="top"/>
          </w:tcPr>
          <w:p w14:paraId="751BBBBA">
            <w:pPr>
              <w:rPr>
                <w:rFonts w:ascii="Arial"/>
                <w:color w:val="auto"/>
                <w:sz w:val="21"/>
                <w:highlight w:val="none"/>
              </w:rPr>
            </w:pPr>
          </w:p>
        </w:tc>
        <w:tc>
          <w:tcPr>
            <w:tcW w:w="1214" w:type="dxa"/>
            <w:vMerge w:val="continue"/>
            <w:tcBorders>
              <w:top w:val="nil"/>
            </w:tcBorders>
            <w:vAlign w:val="top"/>
          </w:tcPr>
          <w:p w14:paraId="19DFDAEF">
            <w:pPr>
              <w:rPr>
                <w:rFonts w:ascii="Arial"/>
                <w:color w:val="auto"/>
                <w:sz w:val="21"/>
                <w:highlight w:val="none"/>
              </w:rPr>
            </w:pPr>
          </w:p>
        </w:tc>
        <w:tc>
          <w:tcPr>
            <w:tcW w:w="964" w:type="dxa"/>
            <w:vAlign w:val="top"/>
          </w:tcPr>
          <w:p w14:paraId="6F5E86AC">
            <w:pPr>
              <w:pStyle w:val="11"/>
              <w:spacing w:before="207" w:line="219" w:lineRule="auto"/>
              <w:ind w:left="180"/>
              <w:rPr>
                <w:color w:val="auto"/>
                <w:highlight w:val="none"/>
              </w:rPr>
            </w:pPr>
            <w:r>
              <w:rPr>
                <w:color w:val="auto"/>
                <w:spacing w:val="-3"/>
                <w:highlight w:val="none"/>
              </w:rPr>
              <w:t>暂估价</w:t>
            </w:r>
          </w:p>
        </w:tc>
        <w:tc>
          <w:tcPr>
            <w:tcW w:w="1402" w:type="dxa"/>
            <w:vAlign w:val="top"/>
          </w:tcPr>
          <w:p w14:paraId="085E7292">
            <w:pPr>
              <w:pStyle w:val="11"/>
              <w:spacing w:before="59" w:line="235" w:lineRule="auto"/>
              <w:ind w:left="394" w:right="269" w:hanging="100"/>
              <w:rPr>
                <w:color w:val="auto"/>
                <w:highlight w:val="none"/>
              </w:rPr>
            </w:pPr>
            <w:r>
              <w:rPr>
                <w:color w:val="auto"/>
                <w:spacing w:val="-2"/>
                <w:highlight w:val="none"/>
              </w:rPr>
              <w:t>安全文明</w:t>
            </w:r>
            <w:r>
              <w:rPr>
                <w:color w:val="auto"/>
                <w:highlight w:val="none"/>
              </w:rPr>
              <w:t xml:space="preserve"> </w:t>
            </w:r>
            <w:r>
              <w:rPr>
                <w:color w:val="auto"/>
                <w:spacing w:val="-1"/>
                <w:highlight w:val="none"/>
              </w:rPr>
              <w:t>施工费</w:t>
            </w:r>
          </w:p>
        </w:tc>
        <w:tc>
          <w:tcPr>
            <w:tcW w:w="930" w:type="dxa"/>
            <w:vAlign w:val="top"/>
          </w:tcPr>
          <w:p w14:paraId="79166153">
            <w:pPr>
              <w:pStyle w:val="11"/>
              <w:spacing w:before="59" w:line="221" w:lineRule="auto"/>
              <w:ind w:left="258"/>
              <w:rPr>
                <w:color w:val="auto"/>
                <w:highlight w:val="none"/>
              </w:rPr>
            </w:pPr>
            <w:r>
              <w:rPr>
                <w:color w:val="auto"/>
                <w:spacing w:val="-2"/>
                <w:highlight w:val="none"/>
              </w:rPr>
              <w:t>规费</w:t>
            </w:r>
          </w:p>
        </w:tc>
      </w:tr>
      <w:tr w14:paraId="04A50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754" w:type="dxa"/>
            <w:vAlign w:val="top"/>
          </w:tcPr>
          <w:p w14:paraId="6D9621D4">
            <w:pPr>
              <w:pStyle w:val="11"/>
              <w:spacing w:before="194" w:line="183" w:lineRule="auto"/>
              <w:ind w:left="340"/>
              <w:rPr>
                <w:color w:val="auto"/>
                <w:highlight w:val="none"/>
              </w:rPr>
            </w:pPr>
            <w:r>
              <w:rPr>
                <w:color w:val="auto"/>
                <w:highlight w:val="none"/>
              </w:rPr>
              <w:t>1</w:t>
            </w:r>
          </w:p>
        </w:tc>
        <w:tc>
          <w:tcPr>
            <w:tcW w:w="3321" w:type="dxa"/>
            <w:vAlign w:val="top"/>
          </w:tcPr>
          <w:p w14:paraId="25DF6458">
            <w:pPr>
              <w:pStyle w:val="11"/>
              <w:spacing w:before="160" w:line="221" w:lineRule="auto"/>
              <w:ind w:left="115"/>
              <w:rPr>
                <w:color w:val="auto"/>
                <w:highlight w:val="none"/>
              </w:rPr>
            </w:pPr>
            <w:r>
              <w:rPr>
                <w:color w:val="auto"/>
                <w:spacing w:val="-1"/>
                <w:highlight w:val="none"/>
              </w:rPr>
              <w:t>单项工程</w:t>
            </w:r>
          </w:p>
        </w:tc>
        <w:tc>
          <w:tcPr>
            <w:tcW w:w="1214" w:type="dxa"/>
            <w:vAlign w:val="top"/>
          </w:tcPr>
          <w:p w14:paraId="6C9CDA00">
            <w:pPr>
              <w:rPr>
                <w:rFonts w:ascii="Arial"/>
                <w:color w:val="auto"/>
                <w:sz w:val="21"/>
                <w:highlight w:val="none"/>
              </w:rPr>
            </w:pPr>
          </w:p>
        </w:tc>
        <w:tc>
          <w:tcPr>
            <w:tcW w:w="964" w:type="dxa"/>
            <w:vAlign w:val="top"/>
          </w:tcPr>
          <w:p w14:paraId="642221ED">
            <w:pPr>
              <w:rPr>
                <w:rFonts w:ascii="Arial"/>
                <w:color w:val="auto"/>
                <w:sz w:val="21"/>
                <w:highlight w:val="none"/>
              </w:rPr>
            </w:pPr>
          </w:p>
        </w:tc>
        <w:tc>
          <w:tcPr>
            <w:tcW w:w="1402" w:type="dxa"/>
            <w:vAlign w:val="top"/>
          </w:tcPr>
          <w:p w14:paraId="7B8C3714">
            <w:pPr>
              <w:rPr>
                <w:rFonts w:ascii="Arial"/>
                <w:color w:val="auto"/>
                <w:sz w:val="21"/>
                <w:highlight w:val="none"/>
              </w:rPr>
            </w:pPr>
          </w:p>
        </w:tc>
        <w:tc>
          <w:tcPr>
            <w:tcW w:w="930" w:type="dxa"/>
            <w:vAlign w:val="top"/>
          </w:tcPr>
          <w:p w14:paraId="40E93949">
            <w:pPr>
              <w:rPr>
                <w:rFonts w:ascii="Arial"/>
                <w:color w:val="auto"/>
                <w:sz w:val="21"/>
                <w:highlight w:val="none"/>
              </w:rPr>
            </w:pPr>
          </w:p>
        </w:tc>
      </w:tr>
      <w:tr w14:paraId="18B8CE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14:paraId="416DA5E6">
            <w:pPr>
              <w:rPr>
                <w:rFonts w:ascii="Arial"/>
                <w:color w:val="auto"/>
                <w:sz w:val="21"/>
                <w:highlight w:val="none"/>
              </w:rPr>
            </w:pPr>
          </w:p>
        </w:tc>
        <w:tc>
          <w:tcPr>
            <w:tcW w:w="3321" w:type="dxa"/>
            <w:vAlign w:val="top"/>
          </w:tcPr>
          <w:p w14:paraId="0CBB0701">
            <w:pPr>
              <w:rPr>
                <w:rFonts w:ascii="Arial"/>
                <w:color w:val="auto"/>
                <w:sz w:val="21"/>
                <w:highlight w:val="none"/>
              </w:rPr>
            </w:pPr>
          </w:p>
        </w:tc>
        <w:tc>
          <w:tcPr>
            <w:tcW w:w="1214" w:type="dxa"/>
            <w:vAlign w:val="top"/>
          </w:tcPr>
          <w:p w14:paraId="61375C7C">
            <w:pPr>
              <w:rPr>
                <w:rFonts w:ascii="Arial"/>
                <w:color w:val="auto"/>
                <w:sz w:val="21"/>
                <w:highlight w:val="none"/>
              </w:rPr>
            </w:pPr>
          </w:p>
        </w:tc>
        <w:tc>
          <w:tcPr>
            <w:tcW w:w="964" w:type="dxa"/>
            <w:vAlign w:val="top"/>
          </w:tcPr>
          <w:p w14:paraId="103EA770">
            <w:pPr>
              <w:rPr>
                <w:rFonts w:ascii="Arial"/>
                <w:color w:val="auto"/>
                <w:sz w:val="21"/>
                <w:highlight w:val="none"/>
              </w:rPr>
            </w:pPr>
          </w:p>
        </w:tc>
        <w:tc>
          <w:tcPr>
            <w:tcW w:w="1402" w:type="dxa"/>
            <w:vAlign w:val="top"/>
          </w:tcPr>
          <w:p w14:paraId="24198505">
            <w:pPr>
              <w:rPr>
                <w:rFonts w:ascii="Arial"/>
                <w:color w:val="auto"/>
                <w:sz w:val="21"/>
                <w:highlight w:val="none"/>
              </w:rPr>
            </w:pPr>
          </w:p>
        </w:tc>
        <w:tc>
          <w:tcPr>
            <w:tcW w:w="930" w:type="dxa"/>
            <w:vAlign w:val="top"/>
          </w:tcPr>
          <w:p w14:paraId="1001FA40">
            <w:pPr>
              <w:rPr>
                <w:rFonts w:ascii="Arial"/>
                <w:color w:val="auto"/>
                <w:sz w:val="21"/>
                <w:highlight w:val="none"/>
              </w:rPr>
            </w:pPr>
          </w:p>
        </w:tc>
      </w:tr>
      <w:tr w14:paraId="7EA70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14:paraId="17408B77">
            <w:pPr>
              <w:rPr>
                <w:rFonts w:ascii="Arial"/>
                <w:color w:val="auto"/>
                <w:sz w:val="21"/>
                <w:highlight w:val="none"/>
              </w:rPr>
            </w:pPr>
          </w:p>
        </w:tc>
        <w:tc>
          <w:tcPr>
            <w:tcW w:w="3321" w:type="dxa"/>
            <w:vAlign w:val="top"/>
          </w:tcPr>
          <w:p w14:paraId="6A783609">
            <w:pPr>
              <w:pStyle w:val="11"/>
              <w:spacing w:before="160" w:line="221" w:lineRule="auto"/>
              <w:ind w:left="116"/>
              <w:rPr>
                <w:color w:val="auto"/>
                <w:highlight w:val="none"/>
              </w:rPr>
            </w:pPr>
            <w:r>
              <w:rPr>
                <w:color w:val="auto"/>
                <w:spacing w:val="-5"/>
                <w:highlight w:val="none"/>
              </w:rPr>
              <w:t>建设项目数据：</w:t>
            </w:r>
          </w:p>
        </w:tc>
        <w:tc>
          <w:tcPr>
            <w:tcW w:w="1214" w:type="dxa"/>
            <w:vAlign w:val="top"/>
          </w:tcPr>
          <w:p w14:paraId="67D37451">
            <w:pPr>
              <w:rPr>
                <w:rFonts w:ascii="Arial"/>
                <w:color w:val="auto"/>
                <w:sz w:val="21"/>
                <w:highlight w:val="none"/>
              </w:rPr>
            </w:pPr>
          </w:p>
        </w:tc>
        <w:tc>
          <w:tcPr>
            <w:tcW w:w="964" w:type="dxa"/>
            <w:vAlign w:val="top"/>
          </w:tcPr>
          <w:p w14:paraId="73F7113C">
            <w:pPr>
              <w:rPr>
                <w:rFonts w:ascii="Arial"/>
                <w:color w:val="auto"/>
                <w:sz w:val="21"/>
                <w:highlight w:val="none"/>
              </w:rPr>
            </w:pPr>
          </w:p>
        </w:tc>
        <w:tc>
          <w:tcPr>
            <w:tcW w:w="1402" w:type="dxa"/>
            <w:vAlign w:val="top"/>
          </w:tcPr>
          <w:p w14:paraId="37FD4AC1">
            <w:pPr>
              <w:rPr>
                <w:rFonts w:ascii="Arial"/>
                <w:color w:val="auto"/>
                <w:sz w:val="21"/>
                <w:highlight w:val="none"/>
              </w:rPr>
            </w:pPr>
          </w:p>
        </w:tc>
        <w:tc>
          <w:tcPr>
            <w:tcW w:w="930" w:type="dxa"/>
            <w:vAlign w:val="top"/>
          </w:tcPr>
          <w:p w14:paraId="10A07BEC">
            <w:pPr>
              <w:rPr>
                <w:rFonts w:ascii="Arial"/>
                <w:color w:val="auto"/>
                <w:sz w:val="21"/>
                <w:highlight w:val="none"/>
              </w:rPr>
            </w:pPr>
          </w:p>
        </w:tc>
      </w:tr>
      <w:tr w14:paraId="7D7B5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754" w:type="dxa"/>
            <w:vAlign w:val="top"/>
          </w:tcPr>
          <w:p w14:paraId="58623DA5">
            <w:pPr>
              <w:rPr>
                <w:rFonts w:ascii="Arial"/>
                <w:color w:val="auto"/>
                <w:sz w:val="21"/>
                <w:highlight w:val="none"/>
              </w:rPr>
            </w:pPr>
          </w:p>
        </w:tc>
        <w:tc>
          <w:tcPr>
            <w:tcW w:w="3321" w:type="dxa"/>
            <w:vAlign w:val="top"/>
          </w:tcPr>
          <w:p w14:paraId="189B7094">
            <w:pPr>
              <w:pStyle w:val="11"/>
              <w:spacing w:before="161" w:line="221" w:lineRule="auto"/>
              <w:ind w:left="115"/>
              <w:rPr>
                <w:color w:val="auto"/>
                <w:highlight w:val="none"/>
              </w:rPr>
            </w:pPr>
            <w:r>
              <w:rPr>
                <w:color w:val="auto"/>
                <w:spacing w:val="-2"/>
                <w:highlight w:val="none"/>
              </w:rPr>
              <w:t>人工费</w:t>
            </w:r>
          </w:p>
        </w:tc>
        <w:tc>
          <w:tcPr>
            <w:tcW w:w="1214" w:type="dxa"/>
            <w:vAlign w:val="top"/>
          </w:tcPr>
          <w:p w14:paraId="128F278F">
            <w:pPr>
              <w:rPr>
                <w:rFonts w:ascii="Arial"/>
                <w:color w:val="auto"/>
                <w:sz w:val="21"/>
                <w:highlight w:val="none"/>
              </w:rPr>
            </w:pPr>
          </w:p>
        </w:tc>
        <w:tc>
          <w:tcPr>
            <w:tcW w:w="964" w:type="dxa"/>
            <w:vAlign w:val="top"/>
          </w:tcPr>
          <w:p w14:paraId="21636ABD">
            <w:pPr>
              <w:rPr>
                <w:rFonts w:ascii="Arial"/>
                <w:color w:val="auto"/>
                <w:sz w:val="21"/>
                <w:highlight w:val="none"/>
              </w:rPr>
            </w:pPr>
          </w:p>
        </w:tc>
        <w:tc>
          <w:tcPr>
            <w:tcW w:w="1402" w:type="dxa"/>
            <w:vAlign w:val="top"/>
          </w:tcPr>
          <w:p w14:paraId="4FE64CEF">
            <w:pPr>
              <w:rPr>
                <w:rFonts w:ascii="Arial"/>
                <w:color w:val="auto"/>
                <w:sz w:val="21"/>
                <w:highlight w:val="none"/>
              </w:rPr>
            </w:pPr>
          </w:p>
        </w:tc>
        <w:tc>
          <w:tcPr>
            <w:tcW w:w="930" w:type="dxa"/>
            <w:vAlign w:val="top"/>
          </w:tcPr>
          <w:p w14:paraId="48E707C4">
            <w:pPr>
              <w:rPr>
                <w:rFonts w:ascii="Arial"/>
                <w:color w:val="auto"/>
                <w:sz w:val="21"/>
                <w:highlight w:val="none"/>
              </w:rPr>
            </w:pPr>
          </w:p>
        </w:tc>
      </w:tr>
      <w:tr w14:paraId="5CD28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14:paraId="65CCA205">
            <w:pPr>
              <w:rPr>
                <w:rFonts w:ascii="Arial"/>
                <w:color w:val="auto"/>
                <w:sz w:val="21"/>
                <w:highlight w:val="none"/>
              </w:rPr>
            </w:pPr>
          </w:p>
        </w:tc>
        <w:tc>
          <w:tcPr>
            <w:tcW w:w="3321" w:type="dxa"/>
            <w:vAlign w:val="top"/>
          </w:tcPr>
          <w:p w14:paraId="1408204E">
            <w:pPr>
              <w:pStyle w:val="11"/>
              <w:spacing w:before="161" w:line="220" w:lineRule="auto"/>
              <w:ind w:left="113"/>
              <w:rPr>
                <w:color w:val="auto"/>
                <w:highlight w:val="none"/>
              </w:rPr>
            </w:pPr>
            <w:r>
              <w:rPr>
                <w:color w:val="auto"/>
                <w:spacing w:val="-2"/>
                <w:highlight w:val="none"/>
              </w:rPr>
              <w:t>材料费</w:t>
            </w:r>
          </w:p>
        </w:tc>
        <w:tc>
          <w:tcPr>
            <w:tcW w:w="1214" w:type="dxa"/>
            <w:vAlign w:val="top"/>
          </w:tcPr>
          <w:p w14:paraId="4E9E3851">
            <w:pPr>
              <w:rPr>
                <w:rFonts w:ascii="Arial"/>
                <w:color w:val="auto"/>
                <w:sz w:val="21"/>
                <w:highlight w:val="none"/>
              </w:rPr>
            </w:pPr>
          </w:p>
        </w:tc>
        <w:tc>
          <w:tcPr>
            <w:tcW w:w="964" w:type="dxa"/>
            <w:vAlign w:val="top"/>
          </w:tcPr>
          <w:p w14:paraId="678BD2C1">
            <w:pPr>
              <w:rPr>
                <w:rFonts w:ascii="Arial"/>
                <w:color w:val="auto"/>
                <w:sz w:val="21"/>
                <w:highlight w:val="none"/>
              </w:rPr>
            </w:pPr>
          </w:p>
        </w:tc>
        <w:tc>
          <w:tcPr>
            <w:tcW w:w="1402" w:type="dxa"/>
            <w:vAlign w:val="top"/>
          </w:tcPr>
          <w:p w14:paraId="3893EB21">
            <w:pPr>
              <w:rPr>
                <w:rFonts w:ascii="Arial"/>
                <w:color w:val="auto"/>
                <w:sz w:val="21"/>
                <w:highlight w:val="none"/>
              </w:rPr>
            </w:pPr>
          </w:p>
        </w:tc>
        <w:tc>
          <w:tcPr>
            <w:tcW w:w="930" w:type="dxa"/>
            <w:vAlign w:val="top"/>
          </w:tcPr>
          <w:p w14:paraId="0117B8E1">
            <w:pPr>
              <w:rPr>
                <w:rFonts w:ascii="Arial"/>
                <w:color w:val="auto"/>
                <w:sz w:val="21"/>
                <w:highlight w:val="none"/>
              </w:rPr>
            </w:pPr>
          </w:p>
        </w:tc>
      </w:tr>
      <w:tr w14:paraId="399A5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14:paraId="4120DD2D">
            <w:pPr>
              <w:rPr>
                <w:rFonts w:ascii="Arial"/>
                <w:color w:val="auto"/>
                <w:sz w:val="21"/>
                <w:highlight w:val="none"/>
              </w:rPr>
            </w:pPr>
          </w:p>
        </w:tc>
        <w:tc>
          <w:tcPr>
            <w:tcW w:w="3321" w:type="dxa"/>
            <w:vAlign w:val="top"/>
          </w:tcPr>
          <w:p w14:paraId="05482175">
            <w:pPr>
              <w:pStyle w:val="11"/>
              <w:spacing w:before="161" w:line="220" w:lineRule="auto"/>
              <w:ind w:left="112"/>
              <w:rPr>
                <w:color w:val="auto"/>
                <w:highlight w:val="none"/>
              </w:rPr>
            </w:pPr>
            <w:r>
              <w:rPr>
                <w:color w:val="auto"/>
                <w:spacing w:val="-1"/>
                <w:highlight w:val="none"/>
              </w:rPr>
              <w:t>机械费</w:t>
            </w:r>
          </w:p>
        </w:tc>
        <w:tc>
          <w:tcPr>
            <w:tcW w:w="1214" w:type="dxa"/>
            <w:vAlign w:val="top"/>
          </w:tcPr>
          <w:p w14:paraId="0A375E80">
            <w:pPr>
              <w:rPr>
                <w:rFonts w:ascii="Arial"/>
                <w:color w:val="auto"/>
                <w:sz w:val="21"/>
                <w:highlight w:val="none"/>
              </w:rPr>
            </w:pPr>
          </w:p>
        </w:tc>
        <w:tc>
          <w:tcPr>
            <w:tcW w:w="964" w:type="dxa"/>
            <w:vAlign w:val="top"/>
          </w:tcPr>
          <w:p w14:paraId="64AE6CB6">
            <w:pPr>
              <w:rPr>
                <w:rFonts w:ascii="Arial"/>
                <w:color w:val="auto"/>
                <w:sz w:val="21"/>
                <w:highlight w:val="none"/>
              </w:rPr>
            </w:pPr>
          </w:p>
        </w:tc>
        <w:tc>
          <w:tcPr>
            <w:tcW w:w="1402" w:type="dxa"/>
            <w:vAlign w:val="top"/>
          </w:tcPr>
          <w:p w14:paraId="28F5963B">
            <w:pPr>
              <w:rPr>
                <w:rFonts w:ascii="Arial"/>
                <w:color w:val="auto"/>
                <w:sz w:val="21"/>
                <w:highlight w:val="none"/>
              </w:rPr>
            </w:pPr>
          </w:p>
        </w:tc>
        <w:tc>
          <w:tcPr>
            <w:tcW w:w="930" w:type="dxa"/>
            <w:vAlign w:val="top"/>
          </w:tcPr>
          <w:p w14:paraId="3196B7E3">
            <w:pPr>
              <w:rPr>
                <w:rFonts w:ascii="Arial"/>
                <w:color w:val="auto"/>
                <w:sz w:val="21"/>
                <w:highlight w:val="none"/>
              </w:rPr>
            </w:pPr>
          </w:p>
        </w:tc>
      </w:tr>
      <w:tr w14:paraId="0F1C0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754" w:type="dxa"/>
            <w:vAlign w:val="top"/>
          </w:tcPr>
          <w:p w14:paraId="5B60EA73">
            <w:pPr>
              <w:rPr>
                <w:rFonts w:ascii="Arial"/>
                <w:color w:val="auto"/>
                <w:sz w:val="21"/>
                <w:highlight w:val="none"/>
              </w:rPr>
            </w:pPr>
          </w:p>
        </w:tc>
        <w:tc>
          <w:tcPr>
            <w:tcW w:w="3321" w:type="dxa"/>
            <w:vAlign w:val="top"/>
          </w:tcPr>
          <w:p w14:paraId="621745C1">
            <w:pPr>
              <w:pStyle w:val="11"/>
              <w:spacing w:before="162" w:line="221" w:lineRule="auto"/>
              <w:ind w:left="117"/>
              <w:rPr>
                <w:color w:val="auto"/>
                <w:highlight w:val="none"/>
              </w:rPr>
            </w:pPr>
            <w:r>
              <w:rPr>
                <w:color w:val="auto"/>
                <w:spacing w:val="-2"/>
                <w:highlight w:val="none"/>
              </w:rPr>
              <w:t>设备费</w:t>
            </w:r>
          </w:p>
        </w:tc>
        <w:tc>
          <w:tcPr>
            <w:tcW w:w="1214" w:type="dxa"/>
            <w:vAlign w:val="top"/>
          </w:tcPr>
          <w:p w14:paraId="537BC2AE">
            <w:pPr>
              <w:rPr>
                <w:rFonts w:ascii="Arial"/>
                <w:color w:val="auto"/>
                <w:sz w:val="21"/>
                <w:highlight w:val="none"/>
              </w:rPr>
            </w:pPr>
          </w:p>
        </w:tc>
        <w:tc>
          <w:tcPr>
            <w:tcW w:w="964" w:type="dxa"/>
            <w:vAlign w:val="top"/>
          </w:tcPr>
          <w:p w14:paraId="715D2B33">
            <w:pPr>
              <w:rPr>
                <w:rFonts w:ascii="Arial"/>
                <w:color w:val="auto"/>
                <w:sz w:val="21"/>
                <w:highlight w:val="none"/>
              </w:rPr>
            </w:pPr>
          </w:p>
        </w:tc>
        <w:tc>
          <w:tcPr>
            <w:tcW w:w="1402" w:type="dxa"/>
            <w:vAlign w:val="top"/>
          </w:tcPr>
          <w:p w14:paraId="2C2A8395">
            <w:pPr>
              <w:rPr>
                <w:rFonts w:ascii="Arial"/>
                <w:color w:val="auto"/>
                <w:sz w:val="21"/>
                <w:highlight w:val="none"/>
              </w:rPr>
            </w:pPr>
          </w:p>
        </w:tc>
        <w:tc>
          <w:tcPr>
            <w:tcW w:w="930" w:type="dxa"/>
            <w:vAlign w:val="top"/>
          </w:tcPr>
          <w:p w14:paraId="0E0A94D4">
            <w:pPr>
              <w:rPr>
                <w:rFonts w:ascii="Arial"/>
                <w:color w:val="auto"/>
                <w:sz w:val="21"/>
                <w:highlight w:val="none"/>
              </w:rPr>
            </w:pPr>
          </w:p>
        </w:tc>
      </w:tr>
      <w:tr w14:paraId="6E48F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14:paraId="59CE41EC">
            <w:pPr>
              <w:rPr>
                <w:rFonts w:ascii="Arial"/>
                <w:color w:val="auto"/>
                <w:sz w:val="21"/>
                <w:highlight w:val="none"/>
              </w:rPr>
            </w:pPr>
          </w:p>
        </w:tc>
        <w:tc>
          <w:tcPr>
            <w:tcW w:w="3321" w:type="dxa"/>
            <w:vAlign w:val="top"/>
          </w:tcPr>
          <w:p w14:paraId="4AC18DDB">
            <w:pPr>
              <w:pStyle w:val="11"/>
              <w:spacing w:before="161" w:line="220" w:lineRule="auto"/>
              <w:ind w:left="115"/>
              <w:rPr>
                <w:color w:val="auto"/>
                <w:highlight w:val="none"/>
              </w:rPr>
            </w:pPr>
            <w:r>
              <w:rPr>
                <w:color w:val="auto"/>
                <w:spacing w:val="-2"/>
                <w:highlight w:val="none"/>
              </w:rPr>
              <w:t>主材费</w:t>
            </w:r>
          </w:p>
        </w:tc>
        <w:tc>
          <w:tcPr>
            <w:tcW w:w="1214" w:type="dxa"/>
            <w:vAlign w:val="top"/>
          </w:tcPr>
          <w:p w14:paraId="6DE810FF">
            <w:pPr>
              <w:rPr>
                <w:rFonts w:ascii="Arial"/>
                <w:color w:val="auto"/>
                <w:sz w:val="21"/>
                <w:highlight w:val="none"/>
              </w:rPr>
            </w:pPr>
          </w:p>
        </w:tc>
        <w:tc>
          <w:tcPr>
            <w:tcW w:w="964" w:type="dxa"/>
            <w:vAlign w:val="top"/>
          </w:tcPr>
          <w:p w14:paraId="72FF7414">
            <w:pPr>
              <w:rPr>
                <w:rFonts w:ascii="Arial"/>
                <w:color w:val="auto"/>
                <w:sz w:val="21"/>
                <w:highlight w:val="none"/>
              </w:rPr>
            </w:pPr>
          </w:p>
        </w:tc>
        <w:tc>
          <w:tcPr>
            <w:tcW w:w="1402" w:type="dxa"/>
            <w:vAlign w:val="top"/>
          </w:tcPr>
          <w:p w14:paraId="6AA86F26">
            <w:pPr>
              <w:rPr>
                <w:rFonts w:ascii="Arial"/>
                <w:color w:val="auto"/>
                <w:sz w:val="21"/>
                <w:highlight w:val="none"/>
              </w:rPr>
            </w:pPr>
          </w:p>
        </w:tc>
        <w:tc>
          <w:tcPr>
            <w:tcW w:w="930" w:type="dxa"/>
            <w:vAlign w:val="top"/>
          </w:tcPr>
          <w:p w14:paraId="642C95B2">
            <w:pPr>
              <w:rPr>
                <w:rFonts w:ascii="Arial"/>
                <w:color w:val="auto"/>
                <w:sz w:val="21"/>
                <w:highlight w:val="none"/>
              </w:rPr>
            </w:pPr>
          </w:p>
        </w:tc>
      </w:tr>
      <w:tr w14:paraId="0D137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14:paraId="0F4EF412">
            <w:pPr>
              <w:rPr>
                <w:rFonts w:ascii="Arial"/>
                <w:color w:val="auto"/>
                <w:sz w:val="21"/>
                <w:highlight w:val="none"/>
              </w:rPr>
            </w:pPr>
          </w:p>
        </w:tc>
        <w:tc>
          <w:tcPr>
            <w:tcW w:w="3321" w:type="dxa"/>
            <w:vAlign w:val="top"/>
          </w:tcPr>
          <w:p w14:paraId="65BBBDF1">
            <w:pPr>
              <w:rPr>
                <w:rFonts w:ascii="Arial"/>
                <w:color w:val="auto"/>
                <w:sz w:val="21"/>
                <w:highlight w:val="none"/>
              </w:rPr>
            </w:pPr>
          </w:p>
        </w:tc>
        <w:tc>
          <w:tcPr>
            <w:tcW w:w="1214" w:type="dxa"/>
            <w:vAlign w:val="top"/>
          </w:tcPr>
          <w:p w14:paraId="05AEC8E1">
            <w:pPr>
              <w:rPr>
                <w:rFonts w:ascii="Arial"/>
                <w:color w:val="auto"/>
                <w:sz w:val="21"/>
                <w:highlight w:val="none"/>
              </w:rPr>
            </w:pPr>
          </w:p>
        </w:tc>
        <w:tc>
          <w:tcPr>
            <w:tcW w:w="964" w:type="dxa"/>
            <w:vAlign w:val="top"/>
          </w:tcPr>
          <w:p w14:paraId="020445A9">
            <w:pPr>
              <w:rPr>
                <w:rFonts w:ascii="Arial"/>
                <w:color w:val="auto"/>
                <w:sz w:val="21"/>
                <w:highlight w:val="none"/>
              </w:rPr>
            </w:pPr>
          </w:p>
        </w:tc>
        <w:tc>
          <w:tcPr>
            <w:tcW w:w="1402" w:type="dxa"/>
            <w:vAlign w:val="top"/>
          </w:tcPr>
          <w:p w14:paraId="128FF846">
            <w:pPr>
              <w:rPr>
                <w:rFonts w:ascii="Arial"/>
                <w:color w:val="auto"/>
                <w:sz w:val="21"/>
                <w:highlight w:val="none"/>
              </w:rPr>
            </w:pPr>
          </w:p>
        </w:tc>
        <w:tc>
          <w:tcPr>
            <w:tcW w:w="930" w:type="dxa"/>
            <w:vAlign w:val="top"/>
          </w:tcPr>
          <w:p w14:paraId="02CB1DFD">
            <w:pPr>
              <w:rPr>
                <w:rFonts w:ascii="Arial"/>
                <w:color w:val="auto"/>
                <w:sz w:val="21"/>
                <w:highlight w:val="none"/>
              </w:rPr>
            </w:pPr>
          </w:p>
        </w:tc>
      </w:tr>
      <w:tr w14:paraId="47CAA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754" w:type="dxa"/>
            <w:vAlign w:val="top"/>
          </w:tcPr>
          <w:p w14:paraId="0337E52D">
            <w:pPr>
              <w:rPr>
                <w:rFonts w:ascii="Arial"/>
                <w:color w:val="auto"/>
                <w:sz w:val="21"/>
                <w:highlight w:val="none"/>
              </w:rPr>
            </w:pPr>
          </w:p>
        </w:tc>
        <w:tc>
          <w:tcPr>
            <w:tcW w:w="3321" w:type="dxa"/>
            <w:vAlign w:val="top"/>
          </w:tcPr>
          <w:p w14:paraId="75C99160">
            <w:pPr>
              <w:rPr>
                <w:rFonts w:ascii="Arial"/>
                <w:color w:val="auto"/>
                <w:sz w:val="21"/>
                <w:highlight w:val="none"/>
              </w:rPr>
            </w:pPr>
          </w:p>
        </w:tc>
        <w:tc>
          <w:tcPr>
            <w:tcW w:w="1214" w:type="dxa"/>
            <w:vAlign w:val="top"/>
          </w:tcPr>
          <w:p w14:paraId="54B47136">
            <w:pPr>
              <w:rPr>
                <w:rFonts w:ascii="Arial"/>
                <w:color w:val="auto"/>
                <w:sz w:val="21"/>
                <w:highlight w:val="none"/>
              </w:rPr>
            </w:pPr>
          </w:p>
        </w:tc>
        <w:tc>
          <w:tcPr>
            <w:tcW w:w="964" w:type="dxa"/>
            <w:vAlign w:val="top"/>
          </w:tcPr>
          <w:p w14:paraId="16E37BB8">
            <w:pPr>
              <w:rPr>
                <w:rFonts w:ascii="Arial"/>
                <w:color w:val="auto"/>
                <w:sz w:val="21"/>
                <w:highlight w:val="none"/>
              </w:rPr>
            </w:pPr>
          </w:p>
        </w:tc>
        <w:tc>
          <w:tcPr>
            <w:tcW w:w="1402" w:type="dxa"/>
            <w:vAlign w:val="top"/>
          </w:tcPr>
          <w:p w14:paraId="5D775CF0">
            <w:pPr>
              <w:rPr>
                <w:rFonts w:ascii="Arial"/>
                <w:color w:val="auto"/>
                <w:sz w:val="21"/>
                <w:highlight w:val="none"/>
              </w:rPr>
            </w:pPr>
          </w:p>
        </w:tc>
        <w:tc>
          <w:tcPr>
            <w:tcW w:w="930" w:type="dxa"/>
            <w:vAlign w:val="top"/>
          </w:tcPr>
          <w:p w14:paraId="77DD9464">
            <w:pPr>
              <w:rPr>
                <w:rFonts w:ascii="Arial"/>
                <w:color w:val="auto"/>
                <w:sz w:val="21"/>
                <w:highlight w:val="none"/>
              </w:rPr>
            </w:pPr>
          </w:p>
        </w:tc>
      </w:tr>
      <w:tr w14:paraId="1D5AA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5" w:hRule="atLeast"/>
        </w:trPr>
        <w:tc>
          <w:tcPr>
            <w:tcW w:w="754" w:type="dxa"/>
            <w:vAlign w:val="top"/>
          </w:tcPr>
          <w:p w14:paraId="6FBF8DAD">
            <w:pPr>
              <w:rPr>
                <w:rFonts w:ascii="Arial"/>
                <w:color w:val="auto"/>
                <w:sz w:val="21"/>
                <w:highlight w:val="none"/>
              </w:rPr>
            </w:pPr>
          </w:p>
        </w:tc>
        <w:tc>
          <w:tcPr>
            <w:tcW w:w="3321" w:type="dxa"/>
            <w:vAlign w:val="top"/>
          </w:tcPr>
          <w:p w14:paraId="4C59A10E">
            <w:pPr>
              <w:rPr>
                <w:rFonts w:ascii="Arial"/>
                <w:color w:val="auto"/>
                <w:sz w:val="21"/>
                <w:highlight w:val="none"/>
              </w:rPr>
            </w:pPr>
          </w:p>
        </w:tc>
        <w:tc>
          <w:tcPr>
            <w:tcW w:w="1214" w:type="dxa"/>
            <w:vAlign w:val="top"/>
          </w:tcPr>
          <w:p w14:paraId="109D90BB">
            <w:pPr>
              <w:rPr>
                <w:rFonts w:ascii="Arial"/>
                <w:color w:val="auto"/>
                <w:sz w:val="21"/>
                <w:highlight w:val="none"/>
              </w:rPr>
            </w:pPr>
          </w:p>
        </w:tc>
        <w:tc>
          <w:tcPr>
            <w:tcW w:w="964" w:type="dxa"/>
            <w:vAlign w:val="top"/>
          </w:tcPr>
          <w:p w14:paraId="182CA510">
            <w:pPr>
              <w:rPr>
                <w:rFonts w:ascii="Arial"/>
                <w:color w:val="auto"/>
                <w:sz w:val="21"/>
                <w:highlight w:val="none"/>
              </w:rPr>
            </w:pPr>
          </w:p>
        </w:tc>
        <w:tc>
          <w:tcPr>
            <w:tcW w:w="1402" w:type="dxa"/>
            <w:vAlign w:val="top"/>
          </w:tcPr>
          <w:p w14:paraId="17BC4FD0">
            <w:pPr>
              <w:rPr>
                <w:rFonts w:ascii="Arial"/>
                <w:color w:val="auto"/>
                <w:sz w:val="21"/>
                <w:highlight w:val="none"/>
              </w:rPr>
            </w:pPr>
          </w:p>
        </w:tc>
        <w:tc>
          <w:tcPr>
            <w:tcW w:w="930" w:type="dxa"/>
            <w:vAlign w:val="top"/>
          </w:tcPr>
          <w:p w14:paraId="31A23C93">
            <w:pPr>
              <w:rPr>
                <w:rFonts w:ascii="Arial"/>
                <w:color w:val="auto"/>
                <w:sz w:val="21"/>
                <w:highlight w:val="none"/>
              </w:rPr>
            </w:pPr>
          </w:p>
        </w:tc>
      </w:tr>
      <w:tr w14:paraId="30C7F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0" w:hRule="atLeast"/>
        </w:trPr>
        <w:tc>
          <w:tcPr>
            <w:tcW w:w="754" w:type="dxa"/>
            <w:vAlign w:val="top"/>
          </w:tcPr>
          <w:p w14:paraId="6C684048">
            <w:pPr>
              <w:rPr>
                <w:rFonts w:ascii="Arial"/>
                <w:color w:val="auto"/>
                <w:sz w:val="21"/>
                <w:highlight w:val="none"/>
              </w:rPr>
            </w:pPr>
          </w:p>
        </w:tc>
        <w:tc>
          <w:tcPr>
            <w:tcW w:w="3321" w:type="dxa"/>
            <w:vAlign w:val="top"/>
          </w:tcPr>
          <w:p w14:paraId="75641E7F">
            <w:pPr>
              <w:rPr>
                <w:rFonts w:ascii="Arial"/>
                <w:color w:val="auto"/>
                <w:sz w:val="21"/>
                <w:highlight w:val="none"/>
              </w:rPr>
            </w:pPr>
          </w:p>
        </w:tc>
        <w:tc>
          <w:tcPr>
            <w:tcW w:w="1214" w:type="dxa"/>
            <w:vAlign w:val="top"/>
          </w:tcPr>
          <w:p w14:paraId="03F67C90">
            <w:pPr>
              <w:rPr>
                <w:rFonts w:ascii="Arial"/>
                <w:color w:val="auto"/>
                <w:sz w:val="21"/>
                <w:highlight w:val="none"/>
              </w:rPr>
            </w:pPr>
          </w:p>
        </w:tc>
        <w:tc>
          <w:tcPr>
            <w:tcW w:w="964" w:type="dxa"/>
            <w:vAlign w:val="top"/>
          </w:tcPr>
          <w:p w14:paraId="7C0E18AB">
            <w:pPr>
              <w:rPr>
                <w:rFonts w:ascii="Arial"/>
                <w:color w:val="auto"/>
                <w:sz w:val="21"/>
                <w:highlight w:val="none"/>
              </w:rPr>
            </w:pPr>
          </w:p>
        </w:tc>
        <w:tc>
          <w:tcPr>
            <w:tcW w:w="1402" w:type="dxa"/>
            <w:vAlign w:val="top"/>
          </w:tcPr>
          <w:p w14:paraId="5EC3B41B">
            <w:pPr>
              <w:rPr>
                <w:rFonts w:ascii="Arial"/>
                <w:color w:val="auto"/>
                <w:sz w:val="21"/>
                <w:highlight w:val="none"/>
              </w:rPr>
            </w:pPr>
          </w:p>
        </w:tc>
        <w:tc>
          <w:tcPr>
            <w:tcW w:w="930" w:type="dxa"/>
            <w:vAlign w:val="top"/>
          </w:tcPr>
          <w:p w14:paraId="68952A4D">
            <w:pPr>
              <w:rPr>
                <w:rFonts w:ascii="Arial"/>
                <w:color w:val="auto"/>
                <w:sz w:val="21"/>
                <w:highlight w:val="none"/>
              </w:rPr>
            </w:pPr>
          </w:p>
        </w:tc>
      </w:tr>
      <w:tr w14:paraId="6934C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754" w:type="dxa"/>
            <w:vAlign w:val="top"/>
          </w:tcPr>
          <w:p w14:paraId="538BA848">
            <w:pPr>
              <w:rPr>
                <w:rFonts w:ascii="Arial"/>
                <w:color w:val="auto"/>
                <w:sz w:val="21"/>
                <w:highlight w:val="none"/>
              </w:rPr>
            </w:pPr>
          </w:p>
        </w:tc>
        <w:tc>
          <w:tcPr>
            <w:tcW w:w="3321" w:type="dxa"/>
            <w:vAlign w:val="top"/>
          </w:tcPr>
          <w:p w14:paraId="49EE9011">
            <w:pPr>
              <w:rPr>
                <w:rFonts w:ascii="Arial"/>
                <w:color w:val="auto"/>
                <w:sz w:val="21"/>
                <w:highlight w:val="none"/>
              </w:rPr>
            </w:pPr>
          </w:p>
        </w:tc>
        <w:tc>
          <w:tcPr>
            <w:tcW w:w="1214" w:type="dxa"/>
            <w:vAlign w:val="top"/>
          </w:tcPr>
          <w:p w14:paraId="50F4FC02">
            <w:pPr>
              <w:rPr>
                <w:rFonts w:ascii="Arial"/>
                <w:color w:val="auto"/>
                <w:sz w:val="21"/>
                <w:highlight w:val="none"/>
              </w:rPr>
            </w:pPr>
          </w:p>
        </w:tc>
        <w:tc>
          <w:tcPr>
            <w:tcW w:w="964" w:type="dxa"/>
            <w:vAlign w:val="top"/>
          </w:tcPr>
          <w:p w14:paraId="19A801F1">
            <w:pPr>
              <w:rPr>
                <w:rFonts w:ascii="Arial"/>
                <w:color w:val="auto"/>
                <w:sz w:val="21"/>
                <w:highlight w:val="none"/>
              </w:rPr>
            </w:pPr>
          </w:p>
        </w:tc>
        <w:tc>
          <w:tcPr>
            <w:tcW w:w="1402" w:type="dxa"/>
            <w:vAlign w:val="top"/>
          </w:tcPr>
          <w:p w14:paraId="79DC1614">
            <w:pPr>
              <w:rPr>
                <w:rFonts w:ascii="Arial"/>
                <w:color w:val="auto"/>
                <w:sz w:val="21"/>
                <w:highlight w:val="none"/>
              </w:rPr>
            </w:pPr>
          </w:p>
        </w:tc>
        <w:tc>
          <w:tcPr>
            <w:tcW w:w="930" w:type="dxa"/>
            <w:vAlign w:val="top"/>
          </w:tcPr>
          <w:p w14:paraId="3A11C29B">
            <w:pPr>
              <w:rPr>
                <w:rFonts w:ascii="Arial"/>
                <w:color w:val="auto"/>
                <w:sz w:val="21"/>
                <w:highlight w:val="none"/>
              </w:rPr>
            </w:pPr>
          </w:p>
        </w:tc>
      </w:tr>
      <w:tr w14:paraId="383480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14:paraId="199BBE13">
            <w:pPr>
              <w:rPr>
                <w:rFonts w:ascii="Arial"/>
                <w:color w:val="auto"/>
                <w:sz w:val="21"/>
                <w:highlight w:val="none"/>
              </w:rPr>
            </w:pPr>
          </w:p>
        </w:tc>
        <w:tc>
          <w:tcPr>
            <w:tcW w:w="3321" w:type="dxa"/>
            <w:vAlign w:val="top"/>
          </w:tcPr>
          <w:p w14:paraId="3C8902F9">
            <w:pPr>
              <w:rPr>
                <w:rFonts w:ascii="Arial"/>
                <w:color w:val="auto"/>
                <w:sz w:val="21"/>
                <w:highlight w:val="none"/>
              </w:rPr>
            </w:pPr>
          </w:p>
        </w:tc>
        <w:tc>
          <w:tcPr>
            <w:tcW w:w="1214" w:type="dxa"/>
            <w:vAlign w:val="top"/>
          </w:tcPr>
          <w:p w14:paraId="13D20616">
            <w:pPr>
              <w:rPr>
                <w:rFonts w:ascii="Arial"/>
                <w:color w:val="auto"/>
                <w:sz w:val="21"/>
                <w:highlight w:val="none"/>
              </w:rPr>
            </w:pPr>
          </w:p>
        </w:tc>
        <w:tc>
          <w:tcPr>
            <w:tcW w:w="964" w:type="dxa"/>
            <w:vAlign w:val="top"/>
          </w:tcPr>
          <w:p w14:paraId="7BF890BE">
            <w:pPr>
              <w:rPr>
                <w:rFonts w:ascii="Arial"/>
                <w:color w:val="auto"/>
                <w:sz w:val="21"/>
                <w:highlight w:val="none"/>
              </w:rPr>
            </w:pPr>
          </w:p>
        </w:tc>
        <w:tc>
          <w:tcPr>
            <w:tcW w:w="1402" w:type="dxa"/>
            <w:vAlign w:val="top"/>
          </w:tcPr>
          <w:p w14:paraId="582D417B">
            <w:pPr>
              <w:rPr>
                <w:rFonts w:ascii="Arial"/>
                <w:color w:val="auto"/>
                <w:sz w:val="21"/>
                <w:highlight w:val="none"/>
              </w:rPr>
            </w:pPr>
          </w:p>
        </w:tc>
        <w:tc>
          <w:tcPr>
            <w:tcW w:w="930" w:type="dxa"/>
            <w:vAlign w:val="top"/>
          </w:tcPr>
          <w:p w14:paraId="29C66718">
            <w:pPr>
              <w:rPr>
                <w:rFonts w:ascii="Arial"/>
                <w:color w:val="auto"/>
                <w:sz w:val="21"/>
                <w:highlight w:val="none"/>
              </w:rPr>
            </w:pPr>
          </w:p>
        </w:tc>
      </w:tr>
      <w:tr w14:paraId="401CB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14:paraId="08FA486C">
            <w:pPr>
              <w:rPr>
                <w:rFonts w:ascii="Arial"/>
                <w:color w:val="auto"/>
                <w:sz w:val="21"/>
                <w:highlight w:val="none"/>
              </w:rPr>
            </w:pPr>
          </w:p>
        </w:tc>
        <w:tc>
          <w:tcPr>
            <w:tcW w:w="3321" w:type="dxa"/>
            <w:vAlign w:val="top"/>
          </w:tcPr>
          <w:p w14:paraId="113C373F">
            <w:pPr>
              <w:rPr>
                <w:rFonts w:ascii="Arial"/>
                <w:color w:val="auto"/>
                <w:sz w:val="21"/>
                <w:highlight w:val="none"/>
              </w:rPr>
            </w:pPr>
          </w:p>
        </w:tc>
        <w:tc>
          <w:tcPr>
            <w:tcW w:w="1214" w:type="dxa"/>
            <w:vAlign w:val="top"/>
          </w:tcPr>
          <w:p w14:paraId="256E9B43">
            <w:pPr>
              <w:rPr>
                <w:rFonts w:ascii="Arial"/>
                <w:color w:val="auto"/>
                <w:sz w:val="21"/>
                <w:highlight w:val="none"/>
              </w:rPr>
            </w:pPr>
          </w:p>
        </w:tc>
        <w:tc>
          <w:tcPr>
            <w:tcW w:w="964" w:type="dxa"/>
            <w:vAlign w:val="top"/>
          </w:tcPr>
          <w:p w14:paraId="4C132346">
            <w:pPr>
              <w:rPr>
                <w:rFonts w:ascii="Arial"/>
                <w:color w:val="auto"/>
                <w:sz w:val="21"/>
                <w:highlight w:val="none"/>
              </w:rPr>
            </w:pPr>
          </w:p>
        </w:tc>
        <w:tc>
          <w:tcPr>
            <w:tcW w:w="1402" w:type="dxa"/>
            <w:vAlign w:val="top"/>
          </w:tcPr>
          <w:p w14:paraId="237E1A84">
            <w:pPr>
              <w:rPr>
                <w:rFonts w:ascii="Arial"/>
                <w:color w:val="auto"/>
                <w:sz w:val="21"/>
                <w:highlight w:val="none"/>
              </w:rPr>
            </w:pPr>
          </w:p>
        </w:tc>
        <w:tc>
          <w:tcPr>
            <w:tcW w:w="930" w:type="dxa"/>
            <w:vAlign w:val="top"/>
          </w:tcPr>
          <w:p w14:paraId="10029D77">
            <w:pPr>
              <w:rPr>
                <w:rFonts w:ascii="Arial"/>
                <w:color w:val="auto"/>
                <w:sz w:val="21"/>
                <w:highlight w:val="none"/>
              </w:rPr>
            </w:pPr>
          </w:p>
        </w:tc>
      </w:tr>
      <w:tr w14:paraId="19980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1" w:hRule="atLeast"/>
        </w:trPr>
        <w:tc>
          <w:tcPr>
            <w:tcW w:w="754" w:type="dxa"/>
            <w:vAlign w:val="top"/>
          </w:tcPr>
          <w:p w14:paraId="2E63C31B">
            <w:pPr>
              <w:rPr>
                <w:rFonts w:ascii="Arial"/>
                <w:color w:val="auto"/>
                <w:sz w:val="21"/>
                <w:highlight w:val="none"/>
              </w:rPr>
            </w:pPr>
          </w:p>
        </w:tc>
        <w:tc>
          <w:tcPr>
            <w:tcW w:w="3321" w:type="dxa"/>
            <w:vAlign w:val="top"/>
          </w:tcPr>
          <w:p w14:paraId="22BCFC78">
            <w:pPr>
              <w:rPr>
                <w:rFonts w:ascii="Arial"/>
                <w:color w:val="auto"/>
                <w:sz w:val="21"/>
                <w:highlight w:val="none"/>
              </w:rPr>
            </w:pPr>
          </w:p>
        </w:tc>
        <w:tc>
          <w:tcPr>
            <w:tcW w:w="1214" w:type="dxa"/>
            <w:vAlign w:val="top"/>
          </w:tcPr>
          <w:p w14:paraId="1CCEBE3B">
            <w:pPr>
              <w:rPr>
                <w:rFonts w:ascii="Arial"/>
                <w:color w:val="auto"/>
                <w:sz w:val="21"/>
                <w:highlight w:val="none"/>
              </w:rPr>
            </w:pPr>
          </w:p>
        </w:tc>
        <w:tc>
          <w:tcPr>
            <w:tcW w:w="964" w:type="dxa"/>
            <w:vAlign w:val="top"/>
          </w:tcPr>
          <w:p w14:paraId="1D8266E2">
            <w:pPr>
              <w:rPr>
                <w:rFonts w:ascii="Arial"/>
                <w:color w:val="auto"/>
                <w:sz w:val="21"/>
                <w:highlight w:val="none"/>
              </w:rPr>
            </w:pPr>
          </w:p>
        </w:tc>
        <w:tc>
          <w:tcPr>
            <w:tcW w:w="1402" w:type="dxa"/>
            <w:vAlign w:val="top"/>
          </w:tcPr>
          <w:p w14:paraId="3703C030">
            <w:pPr>
              <w:rPr>
                <w:rFonts w:ascii="Arial"/>
                <w:color w:val="auto"/>
                <w:sz w:val="21"/>
                <w:highlight w:val="none"/>
              </w:rPr>
            </w:pPr>
          </w:p>
        </w:tc>
        <w:tc>
          <w:tcPr>
            <w:tcW w:w="930" w:type="dxa"/>
            <w:vAlign w:val="top"/>
          </w:tcPr>
          <w:p w14:paraId="18DF408D">
            <w:pPr>
              <w:rPr>
                <w:rFonts w:ascii="Arial"/>
                <w:color w:val="auto"/>
                <w:sz w:val="21"/>
                <w:highlight w:val="none"/>
              </w:rPr>
            </w:pPr>
          </w:p>
        </w:tc>
      </w:tr>
      <w:tr w14:paraId="7F5D6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075" w:type="dxa"/>
            <w:gridSpan w:val="2"/>
            <w:vAlign w:val="top"/>
          </w:tcPr>
          <w:p w14:paraId="49B64989">
            <w:pPr>
              <w:pStyle w:val="11"/>
              <w:spacing w:before="184" w:line="222" w:lineRule="auto"/>
              <w:ind w:left="1781"/>
              <w:rPr>
                <w:color w:val="auto"/>
                <w:highlight w:val="none"/>
              </w:rPr>
            </w:pPr>
            <w:r>
              <w:rPr>
                <w:color w:val="auto"/>
                <w:spacing w:val="-4"/>
                <w:highlight w:val="none"/>
              </w:rPr>
              <w:t>合</w:t>
            </w:r>
            <w:r>
              <w:rPr>
                <w:color w:val="auto"/>
                <w:spacing w:val="8"/>
                <w:highlight w:val="none"/>
              </w:rPr>
              <w:t xml:space="preserve"> </w:t>
            </w:r>
            <w:r>
              <w:rPr>
                <w:color w:val="auto"/>
                <w:spacing w:val="-4"/>
                <w:highlight w:val="none"/>
              </w:rPr>
              <w:t>计</w:t>
            </w:r>
          </w:p>
        </w:tc>
        <w:tc>
          <w:tcPr>
            <w:tcW w:w="1214" w:type="dxa"/>
            <w:vAlign w:val="top"/>
          </w:tcPr>
          <w:p w14:paraId="64F1605D">
            <w:pPr>
              <w:rPr>
                <w:rFonts w:ascii="Arial"/>
                <w:color w:val="auto"/>
                <w:sz w:val="21"/>
                <w:highlight w:val="none"/>
              </w:rPr>
            </w:pPr>
          </w:p>
        </w:tc>
        <w:tc>
          <w:tcPr>
            <w:tcW w:w="964" w:type="dxa"/>
            <w:vAlign w:val="top"/>
          </w:tcPr>
          <w:p w14:paraId="349092FB">
            <w:pPr>
              <w:rPr>
                <w:rFonts w:ascii="Arial"/>
                <w:color w:val="auto"/>
                <w:sz w:val="21"/>
                <w:highlight w:val="none"/>
              </w:rPr>
            </w:pPr>
          </w:p>
        </w:tc>
        <w:tc>
          <w:tcPr>
            <w:tcW w:w="1402" w:type="dxa"/>
            <w:vAlign w:val="top"/>
          </w:tcPr>
          <w:p w14:paraId="4428E662">
            <w:pPr>
              <w:rPr>
                <w:rFonts w:ascii="Arial"/>
                <w:color w:val="auto"/>
                <w:sz w:val="21"/>
                <w:highlight w:val="none"/>
              </w:rPr>
            </w:pPr>
          </w:p>
        </w:tc>
        <w:tc>
          <w:tcPr>
            <w:tcW w:w="930" w:type="dxa"/>
            <w:vAlign w:val="top"/>
          </w:tcPr>
          <w:p w14:paraId="683AE7A6">
            <w:pPr>
              <w:rPr>
                <w:rFonts w:ascii="Arial"/>
                <w:color w:val="auto"/>
                <w:sz w:val="21"/>
                <w:highlight w:val="none"/>
              </w:rPr>
            </w:pPr>
          </w:p>
        </w:tc>
      </w:tr>
    </w:tbl>
    <w:p w14:paraId="29FC3951">
      <w:pPr>
        <w:pStyle w:val="3"/>
        <w:rPr>
          <w:color w:val="auto"/>
          <w:highlight w:val="none"/>
        </w:rPr>
      </w:pPr>
    </w:p>
    <w:p w14:paraId="514C383A">
      <w:pPr>
        <w:rPr>
          <w:color w:val="auto"/>
          <w:highlight w:val="none"/>
        </w:rPr>
        <w:sectPr>
          <w:footerReference r:id="rId185" w:type="default"/>
          <w:pgSz w:w="11905" w:h="16839"/>
          <w:pgMar w:top="400" w:right="1652" w:bottom="1004" w:left="1661" w:header="0" w:footer="828" w:gutter="0"/>
          <w:pgNumType w:fmt="decimal"/>
          <w:cols w:space="720" w:num="1"/>
        </w:sectPr>
      </w:pPr>
    </w:p>
    <w:p w14:paraId="742B98FB">
      <w:pPr>
        <w:pStyle w:val="3"/>
        <w:spacing w:line="267" w:lineRule="auto"/>
        <w:rPr>
          <w:color w:val="auto"/>
          <w:highlight w:val="none"/>
        </w:rPr>
      </w:pPr>
    </w:p>
    <w:p w14:paraId="015ED3D2">
      <w:pPr>
        <w:pStyle w:val="3"/>
        <w:spacing w:line="267" w:lineRule="auto"/>
        <w:rPr>
          <w:color w:val="auto"/>
          <w:highlight w:val="none"/>
        </w:rPr>
      </w:pPr>
    </w:p>
    <w:p w14:paraId="04E112F5">
      <w:pPr>
        <w:pStyle w:val="3"/>
        <w:spacing w:line="268" w:lineRule="auto"/>
        <w:rPr>
          <w:color w:val="auto"/>
          <w:highlight w:val="none"/>
        </w:rPr>
      </w:pPr>
    </w:p>
    <w:p w14:paraId="14F03C43">
      <w:pPr>
        <w:pStyle w:val="3"/>
        <w:spacing w:line="268" w:lineRule="auto"/>
        <w:rPr>
          <w:color w:val="auto"/>
          <w:highlight w:val="none"/>
        </w:rPr>
      </w:pPr>
    </w:p>
    <w:p w14:paraId="61D7228F">
      <w:pPr>
        <w:spacing w:before="78" w:line="219" w:lineRule="auto"/>
        <w:ind w:left="138"/>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4.7 </w:t>
      </w:r>
      <w:r>
        <w:rPr>
          <w:rFonts w:ascii="黑体" w:hAnsi="黑体" w:eastAsia="黑体" w:cs="黑体"/>
          <w:color w:val="auto"/>
          <w:spacing w:val="-1"/>
          <w:sz w:val="24"/>
          <w:szCs w:val="24"/>
          <w:highlight w:val="none"/>
        </w:rPr>
        <w:t>单项工程投标报价汇总表</w:t>
      </w:r>
    </w:p>
    <w:p w14:paraId="3D44164A">
      <w:pPr>
        <w:spacing w:before="61" w:line="225" w:lineRule="auto"/>
        <w:ind w:left="2770"/>
        <w:rPr>
          <w:rFonts w:ascii="黑体" w:hAnsi="黑体" w:eastAsia="黑体" w:cs="黑体"/>
          <w:color w:val="auto"/>
          <w:sz w:val="27"/>
          <w:szCs w:val="27"/>
          <w:highlight w:val="none"/>
        </w:rPr>
      </w:pPr>
      <w:bookmarkStart w:id="1304" w:name="bookmark250"/>
      <w:bookmarkEnd w:id="1304"/>
      <w:r>
        <w:rPr>
          <w:rFonts w:ascii="黑体" w:hAnsi="黑体" w:eastAsia="黑体" w:cs="黑体"/>
          <w:color w:val="auto"/>
          <w:spacing w:val="7"/>
          <w:sz w:val="27"/>
          <w:szCs w:val="27"/>
          <w:highlight w:val="none"/>
        </w:rPr>
        <w:t>单项工程投标报价汇总表</w:t>
      </w:r>
    </w:p>
    <w:p w14:paraId="40EDD8DE">
      <w:pPr>
        <w:spacing w:before="233" w:line="221" w:lineRule="auto"/>
        <w:ind w:left="145"/>
        <w:rPr>
          <w:rFonts w:ascii="宋体" w:hAnsi="宋体" w:eastAsia="宋体" w:cs="宋体"/>
          <w:color w:val="auto"/>
          <w:sz w:val="21"/>
          <w:szCs w:val="21"/>
          <w:highlight w:val="none"/>
        </w:rPr>
      </w:pPr>
      <w:r>
        <w:rPr>
          <w:rFonts w:ascii="宋体" w:hAnsi="宋体" w:eastAsia="宋体" w:cs="宋体"/>
          <w:color w:val="auto"/>
          <w:spacing w:val="-17"/>
          <w:sz w:val="21"/>
          <w:szCs w:val="21"/>
          <w:highlight w:val="none"/>
        </w:rPr>
        <w:t>工程名称：</w:t>
      </w:r>
      <w:r>
        <w:rPr>
          <w:rFonts w:ascii="宋体" w:hAnsi="宋体" w:eastAsia="宋体" w:cs="宋体"/>
          <w:color w:val="auto"/>
          <w:spacing w:val="1"/>
          <w:sz w:val="21"/>
          <w:szCs w:val="21"/>
          <w:highlight w:val="none"/>
        </w:rPr>
        <w:t xml:space="preserve">                     </w:t>
      </w:r>
      <w:r>
        <w:rPr>
          <w:rFonts w:ascii="宋体" w:hAnsi="宋体" w:eastAsia="宋体" w:cs="宋体"/>
          <w:color w:val="auto"/>
          <w:sz w:val="21"/>
          <w:szCs w:val="21"/>
          <w:highlight w:val="none"/>
        </w:rPr>
        <w:t xml:space="preserve">                           </w:t>
      </w:r>
      <w:r>
        <w:rPr>
          <w:rFonts w:ascii="宋体" w:hAnsi="宋体" w:eastAsia="宋体" w:cs="宋体"/>
          <w:color w:val="auto"/>
          <w:spacing w:val="-17"/>
          <w:sz w:val="21"/>
          <w:szCs w:val="21"/>
          <w:highlight w:val="none"/>
        </w:rPr>
        <w:t>第</w:t>
      </w:r>
      <w:r>
        <w:rPr>
          <w:rFonts w:ascii="宋体" w:hAnsi="宋体" w:eastAsia="宋体" w:cs="宋体"/>
          <w:color w:val="auto"/>
          <w:spacing w:val="8"/>
          <w:sz w:val="21"/>
          <w:szCs w:val="21"/>
          <w:highlight w:val="none"/>
        </w:rPr>
        <w:t xml:space="preserve">  </w:t>
      </w:r>
      <w:r>
        <w:rPr>
          <w:rFonts w:ascii="宋体" w:hAnsi="宋体" w:eastAsia="宋体" w:cs="宋体"/>
          <w:color w:val="auto"/>
          <w:spacing w:val="-17"/>
          <w:sz w:val="21"/>
          <w:szCs w:val="21"/>
          <w:highlight w:val="none"/>
        </w:rPr>
        <w:t>页</w:t>
      </w:r>
      <w:r>
        <w:rPr>
          <w:rFonts w:ascii="宋体" w:hAnsi="宋体" w:eastAsia="宋体" w:cs="宋体"/>
          <w:color w:val="auto"/>
          <w:spacing w:val="1"/>
          <w:sz w:val="21"/>
          <w:szCs w:val="21"/>
          <w:highlight w:val="none"/>
        </w:rPr>
        <w:t xml:space="preserve">  </w:t>
      </w:r>
      <w:r>
        <w:rPr>
          <w:rFonts w:ascii="宋体" w:hAnsi="宋体" w:eastAsia="宋体" w:cs="宋体"/>
          <w:color w:val="auto"/>
          <w:spacing w:val="-17"/>
          <w:sz w:val="21"/>
          <w:szCs w:val="21"/>
          <w:highlight w:val="none"/>
        </w:rPr>
        <w:t>共</w:t>
      </w:r>
      <w:r>
        <w:rPr>
          <w:rFonts w:ascii="宋体" w:hAnsi="宋体" w:eastAsia="宋体" w:cs="宋体"/>
          <w:color w:val="auto"/>
          <w:spacing w:val="8"/>
          <w:sz w:val="21"/>
          <w:szCs w:val="21"/>
          <w:highlight w:val="none"/>
        </w:rPr>
        <w:t xml:space="preserve">  </w:t>
      </w:r>
      <w:r>
        <w:rPr>
          <w:rFonts w:ascii="宋体" w:hAnsi="宋体" w:eastAsia="宋体" w:cs="宋体"/>
          <w:color w:val="auto"/>
          <w:spacing w:val="-17"/>
          <w:sz w:val="21"/>
          <w:szCs w:val="21"/>
          <w:highlight w:val="none"/>
        </w:rPr>
        <w:t>页</w:t>
      </w:r>
    </w:p>
    <w:p w14:paraId="2B28B8D0">
      <w:pPr>
        <w:spacing w:line="127" w:lineRule="exact"/>
        <w:rPr>
          <w:color w:val="auto"/>
          <w:highlight w:val="none"/>
        </w:rPr>
      </w:pPr>
    </w:p>
    <w:tbl>
      <w:tblPr>
        <w:tblStyle w:val="10"/>
        <w:tblW w:w="85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3306"/>
        <w:gridCol w:w="1200"/>
        <w:gridCol w:w="926"/>
        <w:gridCol w:w="1469"/>
        <w:gridCol w:w="930"/>
      </w:tblGrid>
      <w:tr w14:paraId="5F5EB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54" w:type="dxa"/>
            <w:vMerge w:val="restart"/>
            <w:tcBorders>
              <w:bottom w:val="nil"/>
            </w:tcBorders>
            <w:vAlign w:val="top"/>
          </w:tcPr>
          <w:p w14:paraId="12836CEF">
            <w:pPr>
              <w:spacing w:line="410" w:lineRule="auto"/>
              <w:rPr>
                <w:rFonts w:ascii="Arial"/>
                <w:color w:val="auto"/>
                <w:sz w:val="21"/>
                <w:highlight w:val="none"/>
              </w:rPr>
            </w:pPr>
          </w:p>
          <w:p w14:paraId="753C5382">
            <w:pPr>
              <w:pStyle w:val="11"/>
              <w:spacing w:before="68" w:line="222" w:lineRule="auto"/>
              <w:ind w:left="170"/>
              <w:rPr>
                <w:color w:val="auto"/>
                <w:highlight w:val="none"/>
              </w:rPr>
            </w:pPr>
            <w:r>
              <w:rPr>
                <w:color w:val="auto"/>
                <w:spacing w:val="-2"/>
                <w:highlight w:val="none"/>
              </w:rPr>
              <w:t>序号</w:t>
            </w:r>
          </w:p>
        </w:tc>
        <w:tc>
          <w:tcPr>
            <w:tcW w:w="3306" w:type="dxa"/>
            <w:vMerge w:val="restart"/>
            <w:tcBorders>
              <w:bottom w:val="nil"/>
            </w:tcBorders>
            <w:vAlign w:val="top"/>
          </w:tcPr>
          <w:p w14:paraId="0D13D315">
            <w:pPr>
              <w:spacing w:line="410" w:lineRule="auto"/>
              <w:rPr>
                <w:rFonts w:ascii="Arial"/>
                <w:color w:val="auto"/>
                <w:sz w:val="21"/>
                <w:highlight w:val="none"/>
              </w:rPr>
            </w:pPr>
          </w:p>
          <w:p w14:paraId="068C54F3">
            <w:pPr>
              <w:pStyle w:val="11"/>
              <w:spacing w:before="68" w:line="221" w:lineRule="auto"/>
              <w:ind w:left="1027"/>
              <w:rPr>
                <w:color w:val="auto"/>
                <w:highlight w:val="none"/>
              </w:rPr>
            </w:pPr>
            <w:r>
              <w:rPr>
                <w:color w:val="auto"/>
                <w:spacing w:val="-1"/>
                <w:highlight w:val="none"/>
              </w:rPr>
              <w:t>单项工程名称</w:t>
            </w:r>
          </w:p>
        </w:tc>
        <w:tc>
          <w:tcPr>
            <w:tcW w:w="1200" w:type="dxa"/>
            <w:vMerge w:val="restart"/>
            <w:tcBorders>
              <w:bottom w:val="nil"/>
            </w:tcBorders>
            <w:vAlign w:val="top"/>
          </w:tcPr>
          <w:p w14:paraId="142BA4E7">
            <w:pPr>
              <w:pStyle w:val="11"/>
              <w:spacing w:before="288" w:line="384" w:lineRule="exact"/>
              <w:ind w:left="396"/>
              <w:rPr>
                <w:color w:val="auto"/>
                <w:highlight w:val="none"/>
              </w:rPr>
            </w:pPr>
            <w:r>
              <w:rPr>
                <w:color w:val="auto"/>
                <w:spacing w:val="-2"/>
                <w:position w:val="13"/>
                <w:highlight w:val="none"/>
              </w:rPr>
              <w:t>金额</w:t>
            </w:r>
          </w:p>
          <w:p w14:paraId="432098FE">
            <w:pPr>
              <w:pStyle w:val="11"/>
              <w:spacing w:line="221" w:lineRule="auto"/>
              <w:ind w:left="295"/>
              <w:rPr>
                <w:color w:val="auto"/>
                <w:highlight w:val="none"/>
              </w:rPr>
            </w:pPr>
            <w:r>
              <w:rPr>
                <w:color w:val="auto"/>
                <w:spacing w:val="-6"/>
                <w:highlight w:val="none"/>
              </w:rPr>
              <w:t>（元）</w:t>
            </w:r>
          </w:p>
        </w:tc>
        <w:tc>
          <w:tcPr>
            <w:tcW w:w="3325" w:type="dxa"/>
            <w:gridSpan w:val="3"/>
            <w:vAlign w:val="top"/>
          </w:tcPr>
          <w:p w14:paraId="678E8513">
            <w:pPr>
              <w:pStyle w:val="11"/>
              <w:spacing w:before="173" w:line="221" w:lineRule="auto"/>
              <w:ind w:left="986"/>
              <w:rPr>
                <w:color w:val="auto"/>
                <w:highlight w:val="none"/>
              </w:rPr>
            </w:pPr>
            <w:r>
              <w:rPr>
                <w:color w:val="auto"/>
                <w:spacing w:val="-20"/>
                <w:highlight w:val="none"/>
              </w:rPr>
              <w:t>其</w:t>
            </w:r>
            <w:r>
              <w:rPr>
                <w:color w:val="auto"/>
                <w:spacing w:val="15"/>
                <w:highlight w:val="none"/>
              </w:rPr>
              <w:t xml:space="preserve">  </w:t>
            </w:r>
            <w:r>
              <w:rPr>
                <w:color w:val="auto"/>
                <w:spacing w:val="-20"/>
                <w:highlight w:val="none"/>
              </w:rPr>
              <w:t>中</w:t>
            </w:r>
            <w:r>
              <w:rPr>
                <w:color w:val="auto"/>
                <w:spacing w:val="-34"/>
                <w:highlight w:val="none"/>
              </w:rPr>
              <w:t>：（</w:t>
            </w:r>
            <w:r>
              <w:rPr>
                <w:color w:val="auto"/>
                <w:spacing w:val="-20"/>
                <w:highlight w:val="none"/>
              </w:rPr>
              <w:t>元）</w:t>
            </w:r>
          </w:p>
        </w:tc>
      </w:tr>
      <w:tr w14:paraId="606A0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54" w:type="dxa"/>
            <w:vMerge w:val="continue"/>
            <w:tcBorders>
              <w:top w:val="nil"/>
            </w:tcBorders>
            <w:vAlign w:val="top"/>
          </w:tcPr>
          <w:p w14:paraId="276813FC">
            <w:pPr>
              <w:rPr>
                <w:rFonts w:ascii="Arial"/>
                <w:color w:val="auto"/>
                <w:sz w:val="21"/>
                <w:highlight w:val="none"/>
              </w:rPr>
            </w:pPr>
          </w:p>
        </w:tc>
        <w:tc>
          <w:tcPr>
            <w:tcW w:w="3306" w:type="dxa"/>
            <w:vMerge w:val="continue"/>
            <w:tcBorders>
              <w:top w:val="nil"/>
            </w:tcBorders>
            <w:vAlign w:val="top"/>
          </w:tcPr>
          <w:p w14:paraId="692BCE31">
            <w:pPr>
              <w:rPr>
                <w:rFonts w:ascii="Arial"/>
                <w:color w:val="auto"/>
                <w:sz w:val="21"/>
                <w:highlight w:val="none"/>
              </w:rPr>
            </w:pPr>
          </w:p>
        </w:tc>
        <w:tc>
          <w:tcPr>
            <w:tcW w:w="1200" w:type="dxa"/>
            <w:vMerge w:val="continue"/>
            <w:tcBorders>
              <w:top w:val="nil"/>
            </w:tcBorders>
            <w:vAlign w:val="top"/>
          </w:tcPr>
          <w:p w14:paraId="600C8D5D">
            <w:pPr>
              <w:rPr>
                <w:rFonts w:ascii="Arial"/>
                <w:color w:val="auto"/>
                <w:sz w:val="21"/>
                <w:highlight w:val="none"/>
              </w:rPr>
            </w:pPr>
          </w:p>
        </w:tc>
        <w:tc>
          <w:tcPr>
            <w:tcW w:w="926" w:type="dxa"/>
            <w:vAlign w:val="top"/>
          </w:tcPr>
          <w:p w14:paraId="3432D05E">
            <w:pPr>
              <w:pStyle w:val="11"/>
              <w:spacing w:before="207" w:line="219" w:lineRule="auto"/>
              <w:ind w:left="161"/>
              <w:rPr>
                <w:color w:val="auto"/>
                <w:highlight w:val="none"/>
              </w:rPr>
            </w:pPr>
            <w:r>
              <w:rPr>
                <w:color w:val="auto"/>
                <w:spacing w:val="-3"/>
                <w:highlight w:val="none"/>
              </w:rPr>
              <w:t>暂估价</w:t>
            </w:r>
          </w:p>
        </w:tc>
        <w:tc>
          <w:tcPr>
            <w:tcW w:w="1469" w:type="dxa"/>
            <w:vAlign w:val="top"/>
          </w:tcPr>
          <w:p w14:paraId="6F55236A">
            <w:pPr>
              <w:pStyle w:val="11"/>
              <w:spacing w:before="58" w:line="298" w:lineRule="exact"/>
              <w:ind w:left="323"/>
              <w:rPr>
                <w:color w:val="auto"/>
                <w:highlight w:val="none"/>
              </w:rPr>
            </w:pPr>
            <w:r>
              <w:rPr>
                <w:color w:val="auto"/>
                <w:spacing w:val="-2"/>
                <w:position w:val="6"/>
                <w:highlight w:val="none"/>
              </w:rPr>
              <w:t>安全文明</w:t>
            </w:r>
          </w:p>
          <w:p w14:paraId="1055EAF0">
            <w:pPr>
              <w:pStyle w:val="11"/>
              <w:spacing w:before="1" w:line="208" w:lineRule="auto"/>
              <w:ind w:left="424"/>
              <w:rPr>
                <w:color w:val="auto"/>
                <w:highlight w:val="none"/>
              </w:rPr>
            </w:pPr>
            <w:r>
              <w:rPr>
                <w:color w:val="auto"/>
                <w:spacing w:val="-1"/>
                <w:highlight w:val="none"/>
              </w:rPr>
              <w:t>施工费</w:t>
            </w:r>
          </w:p>
        </w:tc>
        <w:tc>
          <w:tcPr>
            <w:tcW w:w="930" w:type="dxa"/>
            <w:vAlign w:val="top"/>
          </w:tcPr>
          <w:p w14:paraId="6D87532B">
            <w:pPr>
              <w:pStyle w:val="11"/>
              <w:spacing w:before="207" w:line="221" w:lineRule="auto"/>
              <w:ind w:left="258"/>
              <w:rPr>
                <w:color w:val="auto"/>
                <w:highlight w:val="none"/>
              </w:rPr>
            </w:pPr>
            <w:r>
              <w:rPr>
                <w:color w:val="auto"/>
                <w:spacing w:val="-2"/>
                <w:highlight w:val="none"/>
              </w:rPr>
              <w:t>规费</w:t>
            </w:r>
          </w:p>
        </w:tc>
      </w:tr>
      <w:tr w14:paraId="40183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754" w:type="dxa"/>
            <w:vAlign w:val="top"/>
          </w:tcPr>
          <w:p w14:paraId="7FD84105">
            <w:pPr>
              <w:rPr>
                <w:rFonts w:ascii="Arial"/>
                <w:color w:val="auto"/>
                <w:sz w:val="21"/>
                <w:highlight w:val="none"/>
              </w:rPr>
            </w:pPr>
          </w:p>
        </w:tc>
        <w:tc>
          <w:tcPr>
            <w:tcW w:w="3306" w:type="dxa"/>
            <w:vAlign w:val="top"/>
          </w:tcPr>
          <w:p w14:paraId="38417130">
            <w:pPr>
              <w:rPr>
                <w:rFonts w:ascii="Arial"/>
                <w:color w:val="auto"/>
                <w:sz w:val="21"/>
                <w:highlight w:val="none"/>
              </w:rPr>
            </w:pPr>
          </w:p>
        </w:tc>
        <w:tc>
          <w:tcPr>
            <w:tcW w:w="1200" w:type="dxa"/>
            <w:vAlign w:val="top"/>
          </w:tcPr>
          <w:p w14:paraId="5F0D431C">
            <w:pPr>
              <w:rPr>
                <w:rFonts w:ascii="Arial"/>
                <w:color w:val="auto"/>
                <w:sz w:val="21"/>
                <w:highlight w:val="none"/>
              </w:rPr>
            </w:pPr>
          </w:p>
        </w:tc>
        <w:tc>
          <w:tcPr>
            <w:tcW w:w="926" w:type="dxa"/>
            <w:vAlign w:val="top"/>
          </w:tcPr>
          <w:p w14:paraId="262842FE">
            <w:pPr>
              <w:rPr>
                <w:rFonts w:ascii="Arial"/>
                <w:color w:val="auto"/>
                <w:sz w:val="21"/>
                <w:highlight w:val="none"/>
              </w:rPr>
            </w:pPr>
          </w:p>
        </w:tc>
        <w:tc>
          <w:tcPr>
            <w:tcW w:w="1469" w:type="dxa"/>
            <w:vAlign w:val="top"/>
          </w:tcPr>
          <w:p w14:paraId="4C295394">
            <w:pPr>
              <w:rPr>
                <w:rFonts w:ascii="Arial"/>
                <w:color w:val="auto"/>
                <w:sz w:val="21"/>
                <w:highlight w:val="none"/>
              </w:rPr>
            </w:pPr>
          </w:p>
        </w:tc>
        <w:tc>
          <w:tcPr>
            <w:tcW w:w="930" w:type="dxa"/>
            <w:vAlign w:val="top"/>
          </w:tcPr>
          <w:p w14:paraId="00634CFF">
            <w:pPr>
              <w:rPr>
                <w:rFonts w:ascii="Arial"/>
                <w:color w:val="auto"/>
                <w:sz w:val="21"/>
                <w:highlight w:val="none"/>
              </w:rPr>
            </w:pPr>
          </w:p>
        </w:tc>
      </w:tr>
      <w:tr w14:paraId="71EB9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2C9FFDA5">
            <w:pPr>
              <w:rPr>
                <w:rFonts w:ascii="Arial"/>
                <w:color w:val="auto"/>
                <w:sz w:val="21"/>
                <w:highlight w:val="none"/>
              </w:rPr>
            </w:pPr>
          </w:p>
        </w:tc>
        <w:tc>
          <w:tcPr>
            <w:tcW w:w="3306" w:type="dxa"/>
            <w:vAlign w:val="top"/>
          </w:tcPr>
          <w:p w14:paraId="71B63773">
            <w:pPr>
              <w:rPr>
                <w:rFonts w:ascii="Arial"/>
                <w:color w:val="auto"/>
                <w:sz w:val="21"/>
                <w:highlight w:val="none"/>
              </w:rPr>
            </w:pPr>
          </w:p>
        </w:tc>
        <w:tc>
          <w:tcPr>
            <w:tcW w:w="1200" w:type="dxa"/>
            <w:vAlign w:val="top"/>
          </w:tcPr>
          <w:p w14:paraId="3EA239C7">
            <w:pPr>
              <w:rPr>
                <w:rFonts w:ascii="Arial"/>
                <w:color w:val="auto"/>
                <w:sz w:val="21"/>
                <w:highlight w:val="none"/>
              </w:rPr>
            </w:pPr>
          </w:p>
        </w:tc>
        <w:tc>
          <w:tcPr>
            <w:tcW w:w="926" w:type="dxa"/>
            <w:vAlign w:val="top"/>
          </w:tcPr>
          <w:p w14:paraId="675497E8">
            <w:pPr>
              <w:rPr>
                <w:rFonts w:ascii="Arial"/>
                <w:color w:val="auto"/>
                <w:sz w:val="21"/>
                <w:highlight w:val="none"/>
              </w:rPr>
            </w:pPr>
          </w:p>
        </w:tc>
        <w:tc>
          <w:tcPr>
            <w:tcW w:w="1469" w:type="dxa"/>
            <w:vAlign w:val="top"/>
          </w:tcPr>
          <w:p w14:paraId="0FE49578">
            <w:pPr>
              <w:rPr>
                <w:rFonts w:ascii="Arial"/>
                <w:color w:val="auto"/>
                <w:sz w:val="21"/>
                <w:highlight w:val="none"/>
              </w:rPr>
            </w:pPr>
          </w:p>
        </w:tc>
        <w:tc>
          <w:tcPr>
            <w:tcW w:w="930" w:type="dxa"/>
            <w:vAlign w:val="top"/>
          </w:tcPr>
          <w:p w14:paraId="7BCBB3E3">
            <w:pPr>
              <w:rPr>
                <w:rFonts w:ascii="Arial"/>
                <w:color w:val="auto"/>
                <w:sz w:val="21"/>
                <w:highlight w:val="none"/>
              </w:rPr>
            </w:pPr>
          </w:p>
        </w:tc>
      </w:tr>
      <w:tr w14:paraId="0DC08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324D3B89">
            <w:pPr>
              <w:rPr>
                <w:rFonts w:ascii="Arial"/>
                <w:color w:val="auto"/>
                <w:sz w:val="21"/>
                <w:highlight w:val="none"/>
              </w:rPr>
            </w:pPr>
          </w:p>
        </w:tc>
        <w:tc>
          <w:tcPr>
            <w:tcW w:w="3306" w:type="dxa"/>
            <w:vAlign w:val="top"/>
          </w:tcPr>
          <w:p w14:paraId="53E81CAC">
            <w:pPr>
              <w:rPr>
                <w:rFonts w:ascii="Arial"/>
                <w:color w:val="auto"/>
                <w:sz w:val="21"/>
                <w:highlight w:val="none"/>
              </w:rPr>
            </w:pPr>
          </w:p>
        </w:tc>
        <w:tc>
          <w:tcPr>
            <w:tcW w:w="1200" w:type="dxa"/>
            <w:vAlign w:val="top"/>
          </w:tcPr>
          <w:p w14:paraId="6FB67725">
            <w:pPr>
              <w:rPr>
                <w:rFonts w:ascii="Arial"/>
                <w:color w:val="auto"/>
                <w:sz w:val="21"/>
                <w:highlight w:val="none"/>
              </w:rPr>
            </w:pPr>
          </w:p>
        </w:tc>
        <w:tc>
          <w:tcPr>
            <w:tcW w:w="926" w:type="dxa"/>
            <w:vAlign w:val="top"/>
          </w:tcPr>
          <w:p w14:paraId="777A1190">
            <w:pPr>
              <w:rPr>
                <w:rFonts w:ascii="Arial"/>
                <w:color w:val="auto"/>
                <w:sz w:val="21"/>
                <w:highlight w:val="none"/>
              </w:rPr>
            </w:pPr>
          </w:p>
        </w:tc>
        <w:tc>
          <w:tcPr>
            <w:tcW w:w="1469" w:type="dxa"/>
            <w:vAlign w:val="top"/>
          </w:tcPr>
          <w:p w14:paraId="1A8B08C8">
            <w:pPr>
              <w:rPr>
                <w:rFonts w:ascii="Arial"/>
                <w:color w:val="auto"/>
                <w:sz w:val="21"/>
                <w:highlight w:val="none"/>
              </w:rPr>
            </w:pPr>
          </w:p>
        </w:tc>
        <w:tc>
          <w:tcPr>
            <w:tcW w:w="930" w:type="dxa"/>
            <w:vAlign w:val="top"/>
          </w:tcPr>
          <w:p w14:paraId="44EFA43B">
            <w:pPr>
              <w:rPr>
                <w:rFonts w:ascii="Arial"/>
                <w:color w:val="auto"/>
                <w:sz w:val="21"/>
                <w:highlight w:val="none"/>
              </w:rPr>
            </w:pPr>
          </w:p>
        </w:tc>
      </w:tr>
      <w:tr w14:paraId="001AA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2B776FC6">
            <w:pPr>
              <w:rPr>
                <w:rFonts w:ascii="Arial"/>
                <w:color w:val="auto"/>
                <w:sz w:val="21"/>
                <w:highlight w:val="none"/>
              </w:rPr>
            </w:pPr>
          </w:p>
        </w:tc>
        <w:tc>
          <w:tcPr>
            <w:tcW w:w="3306" w:type="dxa"/>
            <w:vAlign w:val="top"/>
          </w:tcPr>
          <w:p w14:paraId="3D7057D9">
            <w:pPr>
              <w:rPr>
                <w:rFonts w:ascii="Arial"/>
                <w:color w:val="auto"/>
                <w:sz w:val="21"/>
                <w:highlight w:val="none"/>
              </w:rPr>
            </w:pPr>
          </w:p>
        </w:tc>
        <w:tc>
          <w:tcPr>
            <w:tcW w:w="1200" w:type="dxa"/>
            <w:vAlign w:val="top"/>
          </w:tcPr>
          <w:p w14:paraId="474EB7D0">
            <w:pPr>
              <w:rPr>
                <w:rFonts w:ascii="Arial"/>
                <w:color w:val="auto"/>
                <w:sz w:val="21"/>
                <w:highlight w:val="none"/>
              </w:rPr>
            </w:pPr>
          </w:p>
        </w:tc>
        <w:tc>
          <w:tcPr>
            <w:tcW w:w="926" w:type="dxa"/>
            <w:vAlign w:val="top"/>
          </w:tcPr>
          <w:p w14:paraId="3C220B75">
            <w:pPr>
              <w:rPr>
                <w:rFonts w:ascii="Arial"/>
                <w:color w:val="auto"/>
                <w:sz w:val="21"/>
                <w:highlight w:val="none"/>
              </w:rPr>
            </w:pPr>
          </w:p>
        </w:tc>
        <w:tc>
          <w:tcPr>
            <w:tcW w:w="1469" w:type="dxa"/>
            <w:vAlign w:val="top"/>
          </w:tcPr>
          <w:p w14:paraId="7EF3F578">
            <w:pPr>
              <w:rPr>
                <w:rFonts w:ascii="Arial"/>
                <w:color w:val="auto"/>
                <w:sz w:val="21"/>
                <w:highlight w:val="none"/>
              </w:rPr>
            </w:pPr>
          </w:p>
        </w:tc>
        <w:tc>
          <w:tcPr>
            <w:tcW w:w="930" w:type="dxa"/>
            <w:vAlign w:val="top"/>
          </w:tcPr>
          <w:p w14:paraId="4EA1A713">
            <w:pPr>
              <w:rPr>
                <w:rFonts w:ascii="Arial"/>
                <w:color w:val="auto"/>
                <w:sz w:val="21"/>
                <w:highlight w:val="none"/>
              </w:rPr>
            </w:pPr>
          </w:p>
        </w:tc>
      </w:tr>
      <w:tr w14:paraId="32A246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79F1CBC7">
            <w:pPr>
              <w:rPr>
                <w:rFonts w:ascii="Arial"/>
                <w:color w:val="auto"/>
                <w:sz w:val="21"/>
                <w:highlight w:val="none"/>
              </w:rPr>
            </w:pPr>
          </w:p>
        </w:tc>
        <w:tc>
          <w:tcPr>
            <w:tcW w:w="3306" w:type="dxa"/>
            <w:vAlign w:val="top"/>
          </w:tcPr>
          <w:p w14:paraId="3CAB2FE7">
            <w:pPr>
              <w:rPr>
                <w:rFonts w:ascii="Arial"/>
                <w:color w:val="auto"/>
                <w:sz w:val="21"/>
                <w:highlight w:val="none"/>
              </w:rPr>
            </w:pPr>
          </w:p>
        </w:tc>
        <w:tc>
          <w:tcPr>
            <w:tcW w:w="1200" w:type="dxa"/>
            <w:vAlign w:val="top"/>
          </w:tcPr>
          <w:p w14:paraId="04EC60C1">
            <w:pPr>
              <w:rPr>
                <w:rFonts w:ascii="Arial"/>
                <w:color w:val="auto"/>
                <w:sz w:val="21"/>
                <w:highlight w:val="none"/>
              </w:rPr>
            </w:pPr>
          </w:p>
        </w:tc>
        <w:tc>
          <w:tcPr>
            <w:tcW w:w="926" w:type="dxa"/>
            <w:vAlign w:val="top"/>
          </w:tcPr>
          <w:p w14:paraId="7468050F">
            <w:pPr>
              <w:rPr>
                <w:rFonts w:ascii="Arial"/>
                <w:color w:val="auto"/>
                <w:sz w:val="21"/>
                <w:highlight w:val="none"/>
              </w:rPr>
            </w:pPr>
          </w:p>
        </w:tc>
        <w:tc>
          <w:tcPr>
            <w:tcW w:w="1469" w:type="dxa"/>
            <w:vAlign w:val="top"/>
          </w:tcPr>
          <w:p w14:paraId="32496CC2">
            <w:pPr>
              <w:rPr>
                <w:rFonts w:ascii="Arial"/>
                <w:color w:val="auto"/>
                <w:sz w:val="21"/>
                <w:highlight w:val="none"/>
              </w:rPr>
            </w:pPr>
          </w:p>
        </w:tc>
        <w:tc>
          <w:tcPr>
            <w:tcW w:w="930" w:type="dxa"/>
            <w:vAlign w:val="top"/>
          </w:tcPr>
          <w:p w14:paraId="5E601585">
            <w:pPr>
              <w:rPr>
                <w:rFonts w:ascii="Arial"/>
                <w:color w:val="auto"/>
                <w:sz w:val="21"/>
                <w:highlight w:val="none"/>
              </w:rPr>
            </w:pPr>
          </w:p>
        </w:tc>
      </w:tr>
      <w:tr w14:paraId="2C563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7576D227">
            <w:pPr>
              <w:rPr>
                <w:rFonts w:ascii="Arial"/>
                <w:color w:val="auto"/>
                <w:sz w:val="21"/>
                <w:highlight w:val="none"/>
              </w:rPr>
            </w:pPr>
          </w:p>
        </w:tc>
        <w:tc>
          <w:tcPr>
            <w:tcW w:w="3306" w:type="dxa"/>
            <w:vAlign w:val="top"/>
          </w:tcPr>
          <w:p w14:paraId="578C7BC8">
            <w:pPr>
              <w:rPr>
                <w:rFonts w:ascii="Arial"/>
                <w:color w:val="auto"/>
                <w:sz w:val="21"/>
                <w:highlight w:val="none"/>
              </w:rPr>
            </w:pPr>
          </w:p>
        </w:tc>
        <w:tc>
          <w:tcPr>
            <w:tcW w:w="1200" w:type="dxa"/>
            <w:vAlign w:val="top"/>
          </w:tcPr>
          <w:p w14:paraId="7A763F03">
            <w:pPr>
              <w:rPr>
                <w:rFonts w:ascii="Arial"/>
                <w:color w:val="auto"/>
                <w:sz w:val="21"/>
                <w:highlight w:val="none"/>
              </w:rPr>
            </w:pPr>
          </w:p>
        </w:tc>
        <w:tc>
          <w:tcPr>
            <w:tcW w:w="926" w:type="dxa"/>
            <w:vAlign w:val="top"/>
          </w:tcPr>
          <w:p w14:paraId="354668ED">
            <w:pPr>
              <w:rPr>
                <w:rFonts w:ascii="Arial"/>
                <w:color w:val="auto"/>
                <w:sz w:val="21"/>
                <w:highlight w:val="none"/>
              </w:rPr>
            </w:pPr>
          </w:p>
        </w:tc>
        <w:tc>
          <w:tcPr>
            <w:tcW w:w="1469" w:type="dxa"/>
            <w:vAlign w:val="top"/>
          </w:tcPr>
          <w:p w14:paraId="7494D88A">
            <w:pPr>
              <w:rPr>
                <w:rFonts w:ascii="Arial"/>
                <w:color w:val="auto"/>
                <w:sz w:val="21"/>
                <w:highlight w:val="none"/>
              </w:rPr>
            </w:pPr>
          </w:p>
        </w:tc>
        <w:tc>
          <w:tcPr>
            <w:tcW w:w="930" w:type="dxa"/>
            <w:vAlign w:val="top"/>
          </w:tcPr>
          <w:p w14:paraId="19BA0FF5">
            <w:pPr>
              <w:rPr>
                <w:rFonts w:ascii="Arial"/>
                <w:color w:val="auto"/>
                <w:sz w:val="21"/>
                <w:highlight w:val="none"/>
              </w:rPr>
            </w:pPr>
          </w:p>
        </w:tc>
      </w:tr>
      <w:tr w14:paraId="133A6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4A2ACB0F">
            <w:pPr>
              <w:rPr>
                <w:rFonts w:ascii="Arial"/>
                <w:color w:val="auto"/>
                <w:sz w:val="21"/>
                <w:highlight w:val="none"/>
              </w:rPr>
            </w:pPr>
          </w:p>
        </w:tc>
        <w:tc>
          <w:tcPr>
            <w:tcW w:w="3306" w:type="dxa"/>
            <w:vAlign w:val="top"/>
          </w:tcPr>
          <w:p w14:paraId="4F77A6D9">
            <w:pPr>
              <w:rPr>
                <w:rFonts w:ascii="Arial"/>
                <w:color w:val="auto"/>
                <w:sz w:val="21"/>
                <w:highlight w:val="none"/>
              </w:rPr>
            </w:pPr>
          </w:p>
        </w:tc>
        <w:tc>
          <w:tcPr>
            <w:tcW w:w="1200" w:type="dxa"/>
            <w:vAlign w:val="top"/>
          </w:tcPr>
          <w:p w14:paraId="07756AF2">
            <w:pPr>
              <w:rPr>
                <w:rFonts w:ascii="Arial"/>
                <w:color w:val="auto"/>
                <w:sz w:val="21"/>
                <w:highlight w:val="none"/>
              </w:rPr>
            </w:pPr>
          </w:p>
        </w:tc>
        <w:tc>
          <w:tcPr>
            <w:tcW w:w="926" w:type="dxa"/>
            <w:vAlign w:val="top"/>
          </w:tcPr>
          <w:p w14:paraId="7C8E8495">
            <w:pPr>
              <w:rPr>
                <w:rFonts w:ascii="Arial"/>
                <w:color w:val="auto"/>
                <w:sz w:val="21"/>
                <w:highlight w:val="none"/>
              </w:rPr>
            </w:pPr>
          </w:p>
        </w:tc>
        <w:tc>
          <w:tcPr>
            <w:tcW w:w="1469" w:type="dxa"/>
            <w:vAlign w:val="top"/>
          </w:tcPr>
          <w:p w14:paraId="2300DB82">
            <w:pPr>
              <w:rPr>
                <w:rFonts w:ascii="Arial"/>
                <w:color w:val="auto"/>
                <w:sz w:val="21"/>
                <w:highlight w:val="none"/>
              </w:rPr>
            </w:pPr>
          </w:p>
        </w:tc>
        <w:tc>
          <w:tcPr>
            <w:tcW w:w="930" w:type="dxa"/>
            <w:vAlign w:val="top"/>
          </w:tcPr>
          <w:p w14:paraId="3FBA52FC">
            <w:pPr>
              <w:rPr>
                <w:rFonts w:ascii="Arial"/>
                <w:color w:val="auto"/>
                <w:sz w:val="21"/>
                <w:highlight w:val="none"/>
              </w:rPr>
            </w:pPr>
          </w:p>
        </w:tc>
      </w:tr>
      <w:tr w14:paraId="003C4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287618E4">
            <w:pPr>
              <w:rPr>
                <w:rFonts w:ascii="Arial"/>
                <w:color w:val="auto"/>
                <w:sz w:val="21"/>
                <w:highlight w:val="none"/>
              </w:rPr>
            </w:pPr>
          </w:p>
        </w:tc>
        <w:tc>
          <w:tcPr>
            <w:tcW w:w="3306" w:type="dxa"/>
            <w:vAlign w:val="top"/>
          </w:tcPr>
          <w:p w14:paraId="2F0126DF">
            <w:pPr>
              <w:rPr>
                <w:rFonts w:ascii="Arial"/>
                <w:color w:val="auto"/>
                <w:sz w:val="21"/>
                <w:highlight w:val="none"/>
              </w:rPr>
            </w:pPr>
          </w:p>
        </w:tc>
        <w:tc>
          <w:tcPr>
            <w:tcW w:w="1200" w:type="dxa"/>
            <w:vAlign w:val="top"/>
          </w:tcPr>
          <w:p w14:paraId="37696217">
            <w:pPr>
              <w:rPr>
                <w:rFonts w:ascii="Arial"/>
                <w:color w:val="auto"/>
                <w:sz w:val="21"/>
                <w:highlight w:val="none"/>
              </w:rPr>
            </w:pPr>
          </w:p>
        </w:tc>
        <w:tc>
          <w:tcPr>
            <w:tcW w:w="926" w:type="dxa"/>
            <w:vAlign w:val="top"/>
          </w:tcPr>
          <w:p w14:paraId="640DBB4A">
            <w:pPr>
              <w:rPr>
                <w:rFonts w:ascii="Arial"/>
                <w:color w:val="auto"/>
                <w:sz w:val="21"/>
                <w:highlight w:val="none"/>
              </w:rPr>
            </w:pPr>
          </w:p>
        </w:tc>
        <w:tc>
          <w:tcPr>
            <w:tcW w:w="1469" w:type="dxa"/>
            <w:vAlign w:val="top"/>
          </w:tcPr>
          <w:p w14:paraId="30702E40">
            <w:pPr>
              <w:rPr>
                <w:rFonts w:ascii="Arial"/>
                <w:color w:val="auto"/>
                <w:sz w:val="21"/>
                <w:highlight w:val="none"/>
              </w:rPr>
            </w:pPr>
          </w:p>
        </w:tc>
        <w:tc>
          <w:tcPr>
            <w:tcW w:w="930" w:type="dxa"/>
            <w:vAlign w:val="top"/>
          </w:tcPr>
          <w:p w14:paraId="0F24C2BC">
            <w:pPr>
              <w:rPr>
                <w:rFonts w:ascii="Arial"/>
                <w:color w:val="auto"/>
                <w:sz w:val="21"/>
                <w:highlight w:val="none"/>
              </w:rPr>
            </w:pPr>
          </w:p>
        </w:tc>
      </w:tr>
      <w:tr w14:paraId="06789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676E9E39">
            <w:pPr>
              <w:rPr>
                <w:rFonts w:ascii="Arial"/>
                <w:color w:val="auto"/>
                <w:sz w:val="21"/>
                <w:highlight w:val="none"/>
              </w:rPr>
            </w:pPr>
          </w:p>
        </w:tc>
        <w:tc>
          <w:tcPr>
            <w:tcW w:w="3306" w:type="dxa"/>
            <w:vAlign w:val="top"/>
          </w:tcPr>
          <w:p w14:paraId="065DF601">
            <w:pPr>
              <w:rPr>
                <w:rFonts w:ascii="Arial"/>
                <w:color w:val="auto"/>
                <w:sz w:val="21"/>
                <w:highlight w:val="none"/>
              </w:rPr>
            </w:pPr>
          </w:p>
        </w:tc>
        <w:tc>
          <w:tcPr>
            <w:tcW w:w="1200" w:type="dxa"/>
            <w:vAlign w:val="top"/>
          </w:tcPr>
          <w:p w14:paraId="14D449D2">
            <w:pPr>
              <w:rPr>
                <w:rFonts w:ascii="Arial"/>
                <w:color w:val="auto"/>
                <w:sz w:val="21"/>
                <w:highlight w:val="none"/>
              </w:rPr>
            </w:pPr>
          </w:p>
        </w:tc>
        <w:tc>
          <w:tcPr>
            <w:tcW w:w="926" w:type="dxa"/>
            <w:vAlign w:val="top"/>
          </w:tcPr>
          <w:p w14:paraId="51DEE4BC">
            <w:pPr>
              <w:rPr>
                <w:rFonts w:ascii="Arial"/>
                <w:color w:val="auto"/>
                <w:sz w:val="21"/>
                <w:highlight w:val="none"/>
              </w:rPr>
            </w:pPr>
          </w:p>
        </w:tc>
        <w:tc>
          <w:tcPr>
            <w:tcW w:w="1469" w:type="dxa"/>
            <w:vAlign w:val="top"/>
          </w:tcPr>
          <w:p w14:paraId="0F72D131">
            <w:pPr>
              <w:rPr>
                <w:rFonts w:ascii="Arial"/>
                <w:color w:val="auto"/>
                <w:sz w:val="21"/>
                <w:highlight w:val="none"/>
              </w:rPr>
            </w:pPr>
          </w:p>
        </w:tc>
        <w:tc>
          <w:tcPr>
            <w:tcW w:w="930" w:type="dxa"/>
            <w:vAlign w:val="top"/>
          </w:tcPr>
          <w:p w14:paraId="524B85FF">
            <w:pPr>
              <w:rPr>
                <w:rFonts w:ascii="Arial"/>
                <w:color w:val="auto"/>
                <w:sz w:val="21"/>
                <w:highlight w:val="none"/>
              </w:rPr>
            </w:pPr>
          </w:p>
        </w:tc>
      </w:tr>
      <w:tr w14:paraId="17C9F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11F31DF1">
            <w:pPr>
              <w:rPr>
                <w:rFonts w:ascii="Arial"/>
                <w:color w:val="auto"/>
                <w:sz w:val="21"/>
                <w:highlight w:val="none"/>
              </w:rPr>
            </w:pPr>
          </w:p>
        </w:tc>
        <w:tc>
          <w:tcPr>
            <w:tcW w:w="3306" w:type="dxa"/>
            <w:vAlign w:val="top"/>
          </w:tcPr>
          <w:p w14:paraId="270E6E81">
            <w:pPr>
              <w:rPr>
                <w:rFonts w:ascii="Arial"/>
                <w:color w:val="auto"/>
                <w:sz w:val="21"/>
                <w:highlight w:val="none"/>
              </w:rPr>
            </w:pPr>
          </w:p>
        </w:tc>
        <w:tc>
          <w:tcPr>
            <w:tcW w:w="1200" w:type="dxa"/>
            <w:vAlign w:val="top"/>
          </w:tcPr>
          <w:p w14:paraId="4566D1BB">
            <w:pPr>
              <w:rPr>
                <w:rFonts w:ascii="Arial"/>
                <w:color w:val="auto"/>
                <w:sz w:val="21"/>
                <w:highlight w:val="none"/>
              </w:rPr>
            </w:pPr>
          </w:p>
        </w:tc>
        <w:tc>
          <w:tcPr>
            <w:tcW w:w="926" w:type="dxa"/>
            <w:vAlign w:val="top"/>
          </w:tcPr>
          <w:p w14:paraId="7BA131C1">
            <w:pPr>
              <w:rPr>
                <w:rFonts w:ascii="Arial"/>
                <w:color w:val="auto"/>
                <w:sz w:val="21"/>
                <w:highlight w:val="none"/>
              </w:rPr>
            </w:pPr>
          </w:p>
        </w:tc>
        <w:tc>
          <w:tcPr>
            <w:tcW w:w="1469" w:type="dxa"/>
            <w:vAlign w:val="top"/>
          </w:tcPr>
          <w:p w14:paraId="130C3590">
            <w:pPr>
              <w:rPr>
                <w:rFonts w:ascii="Arial"/>
                <w:color w:val="auto"/>
                <w:sz w:val="21"/>
                <w:highlight w:val="none"/>
              </w:rPr>
            </w:pPr>
          </w:p>
        </w:tc>
        <w:tc>
          <w:tcPr>
            <w:tcW w:w="930" w:type="dxa"/>
            <w:vAlign w:val="top"/>
          </w:tcPr>
          <w:p w14:paraId="334BF97E">
            <w:pPr>
              <w:rPr>
                <w:rFonts w:ascii="Arial"/>
                <w:color w:val="auto"/>
                <w:sz w:val="21"/>
                <w:highlight w:val="none"/>
              </w:rPr>
            </w:pPr>
          </w:p>
        </w:tc>
      </w:tr>
      <w:tr w14:paraId="67059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64A16CDA">
            <w:pPr>
              <w:rPr>
                <w:rFonts w:ascii="Arial"/>
                <w:color w:val="auto"/>
                <w:sz w:val="21"/>
                <w:highlight w:val="none"/>
              </w:rPr>
            </w:pPr>
          </w:p>
        </w:tc>
        <w:tc>
          <w:tcPr>
            <w:tcW w:w="3306" w:type="dxa"/>
            <w:vAlign w:val="top"/>
          </w:tcPr>
          <w:p w14:paraId="6DF98306">
            <w:pPr>
              <w:rPr>
                <w:rFonts w:ascii="Arial"/>
                <w:color w:val="auto"/>
                <w:sz w:val="21"/>
                <w:highlight w:val="none"/>
              </w:rPr>
            </w:pPr>
          </w:p>
        </w:tc>
        <w:tc>
          <w:tcPr>
            <w:tcW w:w="1200" w:type="dxa"/>
            <w:vAlign w:val="top"/>
          </w:tcPr>
          <w:p w14:paraId="4067A6CE">
            <w:pPr>
              <w:rPr>
                <w:rFonts w:ascii="Arial"/>
                <w:color w:val="auto"/>
                <w:sz w:val="21"/>
                <w:highlight w:val="none"/>
              </w:rPr>
            </w:pPr>
          </w:p>
        </w:tc>
        <w:tc>
          <w:tcPr>
            <w:tcW w:w="926" w:type="dxa"/>
            <w:vAlign w:val="top"/>
          </w:tcPr>
          <w:p w14:paraId="54815EB1">
            <w:pPr>
              <w:rPr>
                <w:rFonts w:ascii="Arial"/>
                <w:color w:val="auto"/>
                <w:sz w:val="21"/>
                <w:highlight w:val="none"/>
              </w:rPr>
            </w:pPr>
          </w:p>
        </w:tc>
        <w:tc>
          <w:tcPr>
            <w:tcW w:w="1469" w:type="dxa"/>
            <w:vAlign w:val="top"/>
          </w:tcPr>
          <w:p w14:paraId="0514DC72">
            <w:pPr>
              <w:rPr>
                <w:rFonts w:ascii="Arial"/>
                <w:color w:val="auto"/>
                <w:sz w:val="21"/>
                <w:highlight w:val="none"/>
              </w:rPr>
            </w:pPr>
          </w:p>
        </w:tc>
        <w:tc>
          <w:tcPr>
            <w:tcW w:w="930" w:type="dxa"/>
            <w:vAlign w:val="top"/>
          </w:tcPr>
          <w:p w14:paraId="22625AE7">
            <w:pPr>
              <w:rPr>
                <w:rFonts w:ascii="Arial"/>
                <w:color w:val="auto"/>
                <w:sz w:val="21"/>
                <w:highlight w:val="none"/>
              </w:rPr>
            </w:pPr>
          </w:p>
        </w:tc>
      </w:tr>
      <w:tr w14:paraId="2EDBD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14153663">
            <w:pPr>
              <w:rPr>
                <w:rFonts w:ascii="Arial"/>
                <w:color w:val="auto"/>
                <w:sz w:val="21"/>
                <w:highlight w:val="none"/>
              </w:rPr>
            </w:pPr>
          </w:p>
        </w:tc>
        <w:tc>
          <w:tcPr>
            <w:tcW w:w="3306" w:type="dxa"/>
            <w:vAlign w:val="top"/>
          </w:tcPr>
          <w:p w14:paraId="7C9C06F6">
            <w:pPr>
              <w:rPr>
                <w:rFonts w:ascii="Arial"/>
                <w:color w:val="auto"/>
                <w:sz w:val="21"/>
                <w:highlight w:val="none"/>
              </w:rPr>
            </w:pPr>
          </w:p>
        </w:tc>
        <w:tc>
          <w:tcPr>
            <w:tcW w:w="1200" w:type="dxa"/>
            <w:vAlign w:val="top"/>
          </w:tcPr>
          <w:p w14:paraId="6C4E7D29">
            <w:pPr>
              <w:rPr>
                <w:rFonts w:ascii="Arial"/>
                <w:color w:val="auto"/>
                <w:sz w:val="21"/>
                <w:highlight w:val="none"/>
              </w:rPr>
            </w:pPr>
          </w:p>
        </w:tc>
        <w:tc>
          <w:tcPr>
            <w:tcW w:w="926" w:type="dxa"/>
            <w:vAlign w:val="top"/>
          </w:tcPr>
          <w:p w14:paraId="3125C532">
            <w:pPr>
              <w:rPr>
                <w:rFonts w:ascii="Arial"/>
                <w:color w:val="auto"/>
                <w:sz w:val="21"/>
                <w:highlight w:val="none"/>
              </w:rPr>
            </w:pPr>
          </w:p>
        </w:tc>
        <w:tc>
          <w:tcPr>
            <w:tcW w:w="1469" w:type="dxa"/>
            <w:vAlign w:val="top"/>
          </w:tcPr>
          <w:p w14:paraId="43BD88C9">
            <w:pPr>
              <w:rPr>
                <w:rFonts w:ascii="Arial"/>
                <w:color w:val="auto"/>
                <w:sz w:val="21"/>
                <w:highlight w:val="none"/>
              </w:rPr>
            </w:pPr>
          </w:p>
        </w:tc>
        <w:tc>
          <w:tcPr>
            <w:tcW w:w="930" w:type="dxa"/>
            <w:vAlign w:val="top"/>
          </w:tcPr>
          <w:p w14:paraId="18002E36">
            <w:pPr>
              <w:rPr>
                <w:rFonts w:ascii="Arial"/>
                <w:color w:val="auto"/>
                <w:sz w:val="21"/>
                <w:highlight w:val="none"/>
              </w:rPr>
            </w:pPr>
          </w:p>
        </w:tc>
      </w:tr>
      <w:tr w14:paraId="75CCD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2A4B5E75">
            <w:pPr>
              <w:rPr>
                <w:rFonts w:ascii="Arial"/>
                <w:color w:val="auto"/>
                <w:sz w:val="21"/>
                <w:highlight w:val="none"/>
              </w:rPr>
            </w:pPr>
          </w:p>
        </w:tc>
        <w:tc>
          <w:tcPr>
            <w:tcW w:w="3306" w:type="dxa"/>
            <w:vAlign w:val="top"/>
          </w:tcPr>
          <w:p w14:paraId="74B53532">
            <w:pPr>
              <w:rPr>
                <w:rFonts w:ascii="Arial"/>
                <w:color w:val="auto"/>
                <w:sz w:val="21"/>
                <w:highlight w:val="none"/>
              </w:rPr>
            </w:pPr>
          </w:p>
        </w:tc>
        <w:tc>
          <w:tcPr>
            <w:tcW w:w="1200" w:type="dxa"/>
            <w:vAlign w:val="top"/>
          </w:tcPr>
          <w:p w14:paraId="7476BCB8">
            <w:pPr>
              <w:rPr>
                <w:rFonts w:ascii="Arial"/>
                <w:color w:val="auto"/>
                <w:sz w:val="21"/>
                <w:highlight w:val="none"/>
              </w:rPr>
            </w:pPr>
          </w:p>
        </w:tc>
        <w:tc>
          <w:tcPr>
            <w:tcW w:w="926" w:type="dxa"/>
            <w:vAlign w:val="top"/>
          </w:tcPr>
          <w:p w14:paraId="095BB769">
            <w:pPr>
              <w:rPr>
                <w:rFonts w:ascii="Arial"/>
                <w:color w:val="auto"/>
                <w:sz w:val="21"/>
                <w:highlight w:val="none"/>
              </w:rPr>
            </w:pPr>
          </w:p>
        </w:tc>
        <w:tc>
          <w:tcPr>
            <w:tcW w:w="1469" w:type="dxa"/>
            <w:vAlign w:val="top"/>
          </w:tcPr>
          <w:p w14:paraId="389FB63A">
            <w:pPr>
              <w:rPr>
                <w:rFonts w:ascii="Arial"/>
                <w:color w:val="auto"/>
                <w:sz w:val="21"/>
                <w:highlight w:val="none"/>
              </w:rPr>
            </w:pPr>
          </w:p>
        </w:tc>
        <w:tc>
          <w:tcPr>
            <w:tcW w:w="930" w:type="dxa"/>
            <w:vAlign w:val="top"/>
          </w:tcPr>
          <w:p w14:paraId="048728C9">
            <w:pPr>
              <w:rPr>
                <w:rFonts w:ascii="Arial"/>
                <w:color w:val="auto"/>
                <w:sz w:val="21"/>
                <w:highlight w:val="none"/>
              </w:rPr>
            </w:pPr>
          </w:p>
        </w:tc>
      </w:tr>
      <w:tr w14:paraId="358FD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754" w:type="dxa"/>
            <w:vAlign w:val="top"/>
          </w:tcPr>
          <w:p w14:paraId="3FA04B69">
            <w:pPr>
              <w:rPr>
                <w:rFonts w:ascii="Arial"/>
                <w:color w:val="auto"/>
                <w:sz w:val="21"/>
                <w:highlight w:val="none"/>
              </w:rPr>
            </w:pPr>
          </w:p>
        </w:tc>
        <w:tc>
          <w:tcPr>
            <w:tcW w:w="3306" w:type="dxa"/>
            <w:vAlign w:val="top"/>
          </w:tcPr>
          <w:p w14:paraId="5999FB3E">
            <w:pPr>
              <w:rPr>
                <w:rFonts w:ascii="Arial"/>
                <w:color w:val="auto"/>
                <w:sz w:val="21"/>
                <w:highlight w:val="none"/>
              </w:rPr>
            </w:pPr>
          </w:p>
        </w:tc>
        <w:tc>
          <w:tcPr>
            <w:tcW w:w="1200" w:type="dxa"/>
            <w:vAlign w:val="top"/>
          </w:tcPr>
          <w:p w14:paraId="1F16C2E3">
            <w:pPr>
              <w:rPr>
                <w:rFonts w:ascii="Arial"/>
                <w:color w:val="auto"/>
                <w:sz w:val="21"/>
                <w:highlight w:val="none"/>
              </w:rPr>
            </w:pPr>
          </w:p>
        </w:tc>
        <w:tc>
          <w:tcPr>
            <w:tcW w:w="926" w:type="dxa"/>
            <w:vAlign w:val="top"/>
          </w:tcPr>
          <w:p w14:paraId="31259C81">
            <w:pPr>
              <w:rPr>
                <w:rFonts w:ascii="Arial"/>
                <w:color w:val="auto"/>
                <w:sz w:val="21"/>
                <w:highlight w:val="none"/>
              </w:rPr>
            </w:pPr>
          </w:p>
        </w:tc>
        <w:tc>
          <w:tcPr>
            <w:tcW w:w="1469" w:type="dxa"/>
            <w:vAlign w:val="top"/>
          </w:tcPr>
          <w:p w14:paraId="06EABE45">
            <w:pPr>
              <w:rPr>
                <w:rFonts w:ascii="Arial"/>
                <w:color w:val="auto"/>
                <w:sz w:val="21"/>
                <w:highlight w:val="none"/>
              </w:rPr>
            </w:pPr>
          </w:p>
        </w:tc>
        <w:tc>
          <w:tcPr>
            <w:tcW w:w="930" w:type="dxa"/>
            <w:vAlign w:val="top"/>
          </w:tcPr>
          <w:p w14:paraId="322639A9">
            <w:pPr>
              <w:rPr>
                <w:rFonts w:ascii="Arial"/>
                <w:color w:val="auto"/>
                <w:sz w:val="21"/>
                <w:highlight w:val="none"/>
              </w:rPr>
            </w:pPr>
          </w:p>
        </w:tc>
      </w:tr>
      <w:tr w14:paraId="1D351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35F55985">
            <w:pPr>
              <w:rPr>
                <w:rFonts w:ascii="Arial"/>
                <w:color w:val="auto"/>
                <w:sz w:val="21"/>
                <w:highlight w:val="none"/>
              </w:rPr>
            </w:pPr>
          </w:p>
        </w:tc>
        <w:tc>
          <w:tcPr>
            <w:tcW w:w="3306" w:type="dxa"/>
            <w:vAlign w:val="top"/>
          </w:tcPr>
          <w:p w14:paraId="6F27C27A">
            <w:pPr>
              <w:rPr>
                <w:rFonts w:ascii="Arial"/>
                <w:color w:val="auto"/>
                <w:sz w:val="21"/>
                <w:highlight w:val="none"/>
              </w:rPr>
            </w:pPr>
          </w:p>
        </w:tc>
        <w:tc>
          <w:tcPr>
            <w:tcW w:w="1200" w:type="dxa"/>
            <w:vAlign w:val="top"/>
          </w:tcPr>
          <w:p w14:paraId="6B9B3293">
            <w:pPr>
              <w:rPr>
                <w:rFonts w:ascii="Arial"/>
                <w:color w:val="auto"/>
                <w:sz w:val="21"/>
                <w:highlight w:val="none"/>
              </w:rPr>
            </w:pPr>
          </w:p>
        </w:tc>
        <w:tc>
          <w:tcPr>
            <w:tcW w:w="926" w:type="dxa"/>
            <w:vAlign w:val="top"/>
          </w:tcPr>
          <w:p w14:paraId="0C1C70F4">
            <w:pPr>
              <w:rPr>
                <w:rFonts w:ascii="Arial"/>
                <w:color w:val="auto"/>
                <w:sz w:val="21"/>
                <w:highlight w:val="none"/>
              </w:rPr>
            </w:pPr>
          </w:p>
        </w:tc>
        <w:tc>
          <w:tcPr>
            <w:tcW w:w="1469" w:type="dxa"/>
            <w:vAlign w:val="top"/>
          </w:tcPr>
          <w:p w14:paraId="2F5C14E5">
            <w:pPr>
              <w:rPr>
                <w:rFonts w:ascii="Arial"/>
                <w:color w:val="auto"/>
                <w:sz w:val="21"/>
                <w:highlight w:val="none"/>
              </w:rPr>
            </w:pPr>
          </w:p>
        </w:tc>
        <w:tc>
          <w:tcPr>
            <w:tcW w:w="930" w:type="dxa"/>
            <w:vAlign w:val="top"/>
          </w:tcPr>
          <w:p w14:paraId="33B81D91">
            <w:pPr>
              <w:rPr>
                <w:rFonts w:ascii="Arial"/>
                <w:color w:val="auto"/>
                <w:sz w:val="21"/>
                <w:highlight w:val="none"/>
              </w:rPr>
            </w:pPr>
          </w:p>
        </w:tc>
      </w:tr>
      <w:tr w14:paraId="62878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279E3ACF">
            <w:pPr>
              <w:rPr>
                <w:rFonts w:ascii="Arial"/>
                <w:color w:val="auto"/>
                <w:sz w:val="21"/>
                <w:highlight w:val="none"/>
              </w:rPr>
            </w:pPr>
          </w:p>
        </w:tc>
        <w:tc>
          <w:tcPr>
            <w:tcW w:w="3306" w:type="dxa"/>
            <w:vAlign w:val="top"/>
          </w:tcPr>
          <w:p w14:paraId="2DEE94FC">
            <w:pPr>
              <w:rPr>
                <w:rFonts w:ascii="Arial"/>
                <w:color w:val="auto"/>
                <w:sz w:val="21"/>
                <w:highlight w:val="none"/>
              </w:rPr>
            </w:pPr>
          </w:p>
        </w:tc>
        <w:tc>
          <w:tcPr>
            <w:tcW w:w="1200" w:type="dxa"/>
            <w:vAlign w:val="top"/>
          </w:tcPr>
          <w:p w14:paraId="6F220F43">
            <w:pPr>
              <w:rPr>
                <w:rFonts w:ascii="Arial"/>
                <w:color w:val="auto"/>
                <w:sz w:val="21"/>
                <w:highlight w:val="none"/>
              </w:rPr>
            </w:pPr>
          </w:p>
        </w:tc>
        <w:tc>
          <w:tcPr>
            <w:tcW w:w="926" w:type="dxa"/>
            <w:vAlign w:val="top"/>
          </w:tcPr>
          <w:p w14:paraId="25099289">
            <w:pPr>
              <w:rPr>
                <w:rFonts w:ascii="Arial"/>
                <w:color w:val="auto"/>
                <w:sz w:val="21"/>
                <w:highlight w:val="none"/>
              </w:rPr>
            </w:pPr>
          </w:p>
        </w:tc>
        <w:tc>
          <w:tcPr>
            <w:tcW w:w="1469" w:type="dxa"/>
            <w:vAlign w:val="top"/>
          </w:tcPr>
          <w:p w14:paraId="112FC661">
            <w:pPr>
              <w:rPr>
                <w:rFonts w:ascii="Arial"/>
                <w:color w:val="auto"/>
                <w:sz w:val="21"/>
                <w:highlight w:val="none"/>
              </w:rPr>
            </w:pPr>
          </w:p>
        </w:tc>
        <w:tc>
          <w:tcPr>
            <w:tcW w:w="930" w:type="dxa"/>
            <w:vAlign w:val="top"/>
          </w:tcPr>
          <w:p w14:paraId="5DCCBA8C">
            <w:pPr>
              <w:rPr>
                <w:rFonts w:ascii="Arial"/>
                <w:color w:val="auto"/>
                <w:sz w:val="21"/>
                <w:highlight w:val="none"/>
              </w:rPr>
            </w:pPr>
          </w:p>
        </w:tc>
      </w:tr>
      <w:tr w14:paraId="3033D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1B74F297">
            <w:pPr>
              <w:rPr>
                <w:rFonts w:ascii="Arial"/>
                <w:color w:val="auto"/>
                <w:sz w:val="21"/>
                <w:highlight w:val="none"/>
              </w:rPr>
            </w:pPr>
          </w:p>
        </w:tc>
        <w:tc>
          <w:tcPr>
            <w:tcW w:w="3306" w:type="dxa"/>
            <w:vAlign w:val="top"/>
          </w:tcPr>
          <w:p w14:paraId="60170003">
            <w:pPr>
              <w:rPr>
                <w:rFonts w:ascii="Arial"/>
                <w:color w:val="auto"/>
                <w:sz w:val="21"/>
                <w:highlight w:val="none"/>
              </w:rPr>
            </w:pPr>
          </w:p>
        </w:tc>
        <w:tc>
          <w:tcPr>
            <w:tcW w:w="1200" w:type="dxa"/>
            <w:vAlign w:val="top"/>
          </w:tcPr>
          <w:p w14:paraId="338DB5B7">
            <w:pPr>
              <w:rPr>
                <w:rFonts w:ascii="Arial"/>
                <w:color w:val="auto"/>
                <w:sz w:val="21"/>
                <w:highlight w:val="none"/>
              </w:rPr>
            </w:pPr>
          </w:p>
        </w:tc>
        <w:tc>
          <w:tcPr>
            <w:tcW w:w="926" w:type="dxa"/>
            <w:vAlign w:val="top"/>
          </w:tcPr>
          <w:p w14:paraId="6EC53AF7">
            <w:pPr>
              <w:rPr>
                <w:rFonts w:ascii="Arial"/>
                <w:color w:val="auto"/>
                <w:sz w:val="21"/>
                <w:highlight w:val="none"/>
              </w:rPr>
            </w:pPr>
          </w:p>
        </w:tc>
        <w:tc>
          <w:tcPr>
            <w:tcW w:w="1469" w:type="dxa"/>
            <w:vAlign w:val="top"/>
          </w:tcPr>
          <w:p w14:paraId="5185C579">
            <w:pPr>
              <w:rPr>
                <w:rFonts w:ascii="Arial"/>
                <w:color w:val="auto"/>
                <w:sz w:val="21"/>
                <w:highlight w:val="none"/>
              </w:rPr>
            </w:pPr>
          </w:p>
        </w:tc>
        <w:tc>
          <w:tcPr>
            <w:tcW w:w="930" w:type="dxa"/>
            <w:vAlign w:val="top"/>
          </w:tcPr>
          <w:p w14:paraId="7D82BB4E">
            <w:pPr>
              <w:rPr>
                <w:rFonts w:ascii="Arial"/>
                <w:color w:val="auto"/>
                <w:sz w:val="21"/>
                <w:highlight w:val="none"/>
              </w:rPr>
            </w:pPr>
          </w:p>
        </w:tc>
      </w:tr>
      <w:tr w14:paraId="65F64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4060" w:type="dxa"/>
            <w:gridSpan w:val="2"/>
            <w:vAlign w:val="top"/>
          </w:tcPr>
          <w:p w14:paraId="0299302E">
            <w:pPr>
              <w:pStyle w:val="11"/>
              <w:spacing w:before="178" w:line="222" w:lineRule="auto"/>
              <w:ind w:left="1771"/>
              <w:rPr>
                <w:color w:val="auto"/>
                <w:highlight w:val="none"/>
              </w:rPr>
            </w:pPr>
            <w:r>
              <w:rPr>
                <w:color w:val="auto"/>
                <w:spacing w:val="-4"/>
                <w:highlight w:val="none"/>
              </w:rPr>
              <w:t>合</w:t>
            </w:r>
            <w:r>
              <w:rPr>
                <w:color w:val="auto"/>
                <w:spacing w:val="8"/>
                <w:highlight w:val="none"/>
              </w:rPr>
              <w:t xml:space="preserve"> </w:t>
            </w:r>
            <w:r>
              <w:rPr>
                <w:color w:val="auto"/>
                <w:spacing w:val="-4"/>
                <w:highlight w:val="none"/>
              </w:rPr>
              <w:t>计</w:t>
            </w:r>
          </w:p>
        </w:tc>
        <w:tc>
          <w:tcPr>
            <w:tcW w:w="1200" w:type="dxa"/>
            <w:vAlign w:val="top"/>
          </w:tcPr>
          <w:p w14:paraId="69D1AFC5">
            <w:pPr>
              <w:rPr>
                <w:rFonts w:ascii="Arial"/>
                <w:color w:val="auto"/>
                <w:sz w:val="21"/>
                <w:highlight w:val="none"/>
              </w:rPr>
            </w:pPr>
          </w:p>
        </w:tc>
        <w:tc>
          <w:tcPr>
            <w:tcW w:w="926" w:type="dxa"/>
            <w:vAlign w:val="top"/>
          </w:tcPr>
          <w:p w14:paraId="4F7AF8E4">
            <w:pPr>
              <w:rPr>
                <w:rFonts w:ascii="Arial"/>
                <w:color w:val="auto"/>
                <w:sz w:val="21"/>
                <w:highlight w:val="none"/>
              </w:rPr>
            </w:pPr>
          </w:p>
        </w:tc>
        <w:tc>
          <w:tcPr>
            <w:tcW w:w="1469" w:type="dxa"/>
            <w:vAlign w:val="top"/>
          </w:tcPr>
          <w:p w14:paraId="6B1F3DE0">
            <w:pPr>
              <w:rPr>
                <w:rFonts w:ascii="Arial"/>
                <w:color w:val="auto"/>
                <w:sz w:val="21"/>
                <w:highlight w:val="none"/>
              </w:rPr>
            </w:pPr>
          </w:p>
        </w:tc>
        <w:tc>
          <w:tcPr>
            <w:tcW w:w="930" w:type="dxa"/>
            <w:vAlign w:val="top"/>
          </w:tcPr>
          <w:p w14:paraId="61277B41">
            <w:pPr>
              <w:rPr>
                <w:rFonts w:ascii="Arial"/>
                <w:color w:val="auto"/>
                <w:sz w:val="21"/>
                <w:highlight w:val="none"/>
              </w:rPr>
            </w:pPr>
          </w:p>
        </w:tc>
      </w:tr>
    </w:tbl>
    <w:p w14:paraId="46666FDB">
      <w:pPr>
        <w:pStyle w:val="3"/>
        <w:rPr>
          <w:color w:val="auto"/>
          <w:highlight w:val="none"/>
        </w:rPr>
      </w:pPr>
    </w:p>
    <w:p w14:paraId="4403DB1E">
      <w:pPr>
        <w:rPr>
          <w:color w:val="auto"/>
          <w:highlight w:val="none"/>
        </w:rPr>
        <w:sectPr>
          <w:footerReference r:id="rId186" w:type="default"/>
          <w:pgSz w:w="11905" w:h="16839"/>
          <w:pgMar w:top="400" w:right="1652" w:bottom="1004" w:left="1661" w:header="0" w:footer="828" w:gutter="0"/>
          <w:pgNumType w:fmt="decimal"/>
          <w:cols w:space="720" w:num="1"/>
        </w:sectPr>
      </w:pPr>
    </w:p>
    <w:p w14:paraId="679A65D2">
      <w:pPr>
        <w:pStyle w:val="3"/>
        <w:spacing w:line="267" w:lineRule="auto"/>
        <w:rPr>
          <w:color w:val="auto"/>
          <w:highlight w:val="none"/>
        </w:rPr>
      </w:pPr>
    </w:p>
    <w:p w14:paraId="2E2DD30E">
      <w:pPr>
        <w:pStyle w:val="3"/>
        <w:spacing w:line="267" w:lineRule="auto"/>
        <w:rPr>
          <w:color w:val="auto"/>
          <w:highlight w:val="none"/>
        </w:rPr>
      </w:pPr>
    </w:p>
    <w:p w14:paraId="3E05E395">
      <w:pPr>
        <w:pStyle w:val="3"/>
        <w:spacing w:line="268" w:lineRule="auto"/>
        <w:rPr>
          <w:color w:val="auto"/>
          <w:highlight w:val="none"/>
        </w:rPr>
      </w:pPr>
    </w:p>
    <w:p w14:paraId="075C5740">
      <w:pPr>
        <w:pStyle w:val="3"/>
        <w:spacing w:line="268" w:lineRule="auto"/>
        <w:rPr>
          <w:color w:val="auto"/>
          <w:highlight w:val="none"/>
        </w:rPr>
      </w:pPr>
    </w:p>
    <w:p w14:paraId="5FD7DD63">
      <w:pPr>
        <w:spacing w:before="78" w:line="219" w:lineRule="auto"/>
        <w:ind w:left="13"/>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4.8 </w:t>
      </w:r>
      <w:r>
        <w:rPr>
          <w:rFonts w:ascii="黑体" w:hAnsi="黑体" w:eastAsia="黑体" w:cs="黑体"/>
          <w:color w:val="auto"/>
          <w:spacing w:val="-1"/>
          <w:sz w:val="24"/>
          <w:szCs w:val="24"/>
          <w:highlight w:val="none"/>
        </w:rPr>
        <w:t>单位工程投标报价汇总表</w:t>
      </w:r>
    </w:p>
    <w:p w14:paraId="59F99E94">
      <w:pPr>
        <w:spacing w:before="161" w:line="225" w:lineRule="auto"/>
        <w:ind w:left="2645"/>
        <w:rPr>
          <w:rFonts w:ascii="黑体" w:hAnsi="黑体" w:eastAsia="黑体" w:cs="黑体"/>
          <w:color w:val="auto"/>
          <w:sz w:val="27"/>
          <w:szCs w:val="27"/>
          <w:highlight w:val="none"/>
        </w:rPr>
      </w:pPr>
      <w:bookmarkStart w:id="1305" w:name="bookmark251"/>
      <w:bookmarkEnd w:id="1305"/>
      <w:r>
        <w:rPr>
          <w:rFonts w:ascii="黑体" w:hAnsi="黑体" w:eastAsia="黑体" w:cs="黑体"/>
          <w:color w:val="auto"/>
          <w:spacing w:val="7"/>
          <w:sz w:val="27"/>
          <w:szCs w:val="27"/>
          <w:highlight w:val="none"/>
        </w:rPr>
        <w:t>单位工程投标报价汇总表</w:t>
      </w:r>
    </w:p>
    <w:p w14:paraId="29DB1981">
      <w:pPr>
        <w:spacing w:before="142" w:line="221" w:lineRule="auto"/>
        <w:ind w:left="20"/>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工程名称：</w:t>
      </w:r>
      <w:r>
        <w:rPr>
          <w:rFonts w:ascii="宋体" w:hAnsi="宋体" w:eastAsia="宋体" w:cs="宋体"/>
          <w:color w:val="auto"/>
          <w:spacing w:val="2"/>
          <w:sz w:val="21"/>
          <w:szCs w:val="21"/>
          <w:highlight w:val="none"/>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15"/>
          <w:sz w:val="21"/>
          <w:szCs w:val="21"/>
          <w:highlight w:val="none"/>
        </w:rPr>
        <w:t>第 页</w:t>
      </w:r>
      <w:r>
        <w:rPr>
          <w:rFonts w:ascii="宋体" w:hAnsi="宋体" w:eastAsia="宋体" w:cs="宋体"/>
          <w:color w:val="auto"/>
          <w:spacing w:val="61"/>
          <w:sz w:val="21"/>
          <w:szCs w:val="21"/>
          <w:highlight w:val="none"/>
        </w:rPr>
        <w:t xml:space="preserve"> </w:t>
      </w:r>
      <w:r>
        <w:rPr>
          <w:rFonts w:ascii="宋体" w:hAnsi="宋体" w:eastAsia="宋体" w:cs="宋体"/>
          <w:color w:val="auto"/>
          <w:spacing w:val="-15"/>
          <w:sz w:val="21"/>
          <w:szCs w:val="21"/>
          <w:highlight w:val="none"/>
        </w:rPr>
        <w:t>共</w:t>
      </w:r>
      <w:r>
        <w:rPr>
          <w:rFonts w:ascii="宋体" w:hAnsi="宋体" w:eastAsia="宋体" w:cs="宋体"/>
          <w:color w:val="auto"/>
          <w:spacing w:val="10"/>
          <w:sz w:val="21"/>
          <w:szCs w:val="21"/>
          <w:highlight w:val="none"/>
        </w:rPr>
        <w:t xml:space="preserve"> </w:t>
      </w:r>
      <w:r>
        <w:rPr>
          <w:rFonts w:ascii="宋体" w:hAnsi="宋体" w:eastAsia="宋体" w:cs="宋体"/>
          <w:color w:val="auto"/>
          <w:spacing w:val="-15"/>
          <w:sz w:val="21"/>
          <w:szCs w:val="21"/>
          <w:highlight w:val="none"/>
        </w:rPr>
        <w:t>页</w:t>
      </w:r>
    </w:p>
    <w:p w14:paraId="473C9095">
      <w:pPr>
        <w:spacing w:line="113" w:lineRule="exact"/>
        <w:rPr>
          <w:color w:val="auto"/>
          <w:highlight w:val="none"/>
        </w:rPr>
      </w:pPr>
    </w:p>
    <w:tbl>
      <w:tblPr>
        <w:tblStyle w:val="10"/>
        <w:tblW w:w="876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4"/>
        <w:gridCol w:w="2908"/>
        <w:gridCol w:w="3331"/>
        <w:gridCol w:w="1790"/>
      </w:tblGrid>
      <w:tr w14:paraId="70D89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734" w:type="dxa"/>
            <w:vAlign w:val="top"/>
          </w:tcPr>
          <w:p w14:paraId="0A374D81">
            <w:pPr>
              <w:pStyle w:val="11"/>
              <w:spacing w:before="168" w:line="222" w:lineRule="auto"/>
              <w:ind w:left="161"/>
              <w:rPr>
                <w:color w:val="auto"/>
                <w:highlight w:val="none"/>
              </w:rPr>
            </w:pPr>
            <w:r>
              <w:rPr>
                <w:color w:val="auto"/>
                <w:spacing w:val="-2"/>
                <w:highlight w:val="none"/>
              </w:rPr>
              <w:t>序号</w:t>
            </w:r>
          </w:p>
        </w:tc>
        <w:tc>
          <w:tcPr>
            <w:tcW w:w="2908" w:type="dxa"/>
            <w:vAlign w:val="top"/>
          </w:tcPr>
          <w:p w14:paraId="576D3120">
            <w:pPr>
              <w:pStyle w:val="11"/>
              <w:spacing w:before="168" w:line="221" w:lineRule="auto"/>
              <w:ind w:left="1036"/>
              <w:rPr>
                <w:color w:val="auto"/>
                <w:highlight w:val="none"/>
              </w:rPr>
            </w:pPr>
            <w:r>
              <w:rPr>
                <w:color w:val="auto"/>
                <w:spacing w:val="-1"/>
                <w:highlight w:val="none"/>
              </w:rPr>
              <w:t>汇总内容</w:t>
            </w:r>
          </w:p>
        </w:tc>
        <w:tc>
          <w:tcPr>
            <w:tcW w:w="3331" w:type="dxa"/>
            <w:vAlign w:val="top"/>
          </w:tcPr>
          <w:p w14:paraId="10A37978">
            <w:pPr>
              <w:pStyle w:val="11"/>
              <w:spacing w:before="168" w:line="221" w:lineRule="auto"/>
              <w:ind w:left="1150"/>
              <w:rPr>
                <w:color w:val="auto"/>
                <w:highlight w:val="none"/>
              </w:rPr>
            </w:pPr>
            <w:r>
              <w:rPr>
                <w:color w:val="auto"/>
                <w:spacing w:val="-1"/>
                <w:highlight w:val="none"/>
              </w:rPr>
              <w:t>金额（元）</w:t>
            </w:r>
          </w:p>
        </w:tc>
        <w:tc>
          <w:tcPr>
            <w:tcW w:w="1790" w:type="dxa"/>
            <w:vAlign w:val="top"/>
          </w:tcPr>
          <w:p w14:paraId="123C25B9">
            <w:pPr>
              <w:pStyle w:val="11"/>
              <w:spacing w:before="34" w:line="219" w:lineRule="auto"/>
              <w:ind w:left="272"/>
              <w:rPr>
                <w:color w:val="auto"/>
                <w:highlight w:val="none"/>
              </w:rPr>
            </w:pPr>
            <w:r>
              <w:rPr>
                <w:color w:val="auto"/>
                <w:spacing w:val="-1"/>
                <w:highlight w:val="none"/>
              </w:rPr>
              <w:t>其中：暂估价</w:t>
            </w:r>
          </w:p>
          <w:p w14:paraId="286E213F">
            <w:pPr>
              <w:pStyle w:val="11"/>
              <w:spacing w:before="19" w:line="209" w:lineRule="auto"/>
              <w:ind w:left="590"/>
              <w:rPr>
                <w:color w:val="auto"/>
                <w:highlight w:val="none"/>
              </w:rPr>
            </w:pPr>
            <w:r>
              <w:rPr>
                <w:color w:val="auto"/>
                <w:spacing w:val="-5"/>
                <w:highlight w:val="none"/>
              </w:rPr>
              <w:t>（元）</w:t>
            </w:r>
          </w:p>
        </w:tc>
      </w:tr>
      <w:tr w14:paraId="0D914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14:paraId="09D7E59F">
            <w:pPr>
              <w:pStyle w:val="11"/>
              <w:spacing w:before="165" w:line="183" w:lineRule="auto"/>
              <w:ind w:left="134"/>
              <w:rPr>
                <w:color w:val="auto"/>
                <w:highlight w:val="none"/>
              </w:rPr>
            </w:pPr>
            <w:r>
              <w:rPr>
                <w:color w:val="auto"/>
                <w:highlight w:val="none"/>
              </w:rPr>
              <w:t>1</w:t>
            </w:r>
          </w:p>
        </w:tc>
        <w:tc>
          <w:tcPr>
            <w:tcW w:w="2908" w:type="dxa"/>
            <w:vAlign w:val="top"/>
          </w:tcPr>
          <w:p w14:paraId="4FEDD4F3">
            <w:pPr>
              <w:pStyle w:val="11"/>
              <w:spacing w:before="130" w:line="221" w:lineRule="auto"/>
              <w:ind w:left="112"/>
              <w:rPr>
                <w:color w:val="auto"/>
                <w:highlight w:val="none"/>
              </w:rPr>
            </w:pPr>
            <w:r>
              <w:rPr>
                <w:color w:val="auto"/>
                <w:spacing w:val="-1"/>
                <w:highlight w:val="none"/>
              </w:rPr>
              <w:t>分部分项工程</w:t>
            </w:r>
          </w:p>
        </w:tc>
        <w:tc>
          <w:tcPr>
            <w:tcW w:w="3331" w:type="dxa"/>
            <w:vAlign w:val="top"/>
          </w:tcPr>
          <w:p w14:paraId="17E78368">
            <w:pPr>
              <w:rPr>
                <w:rFonts w:ascii="Arial"/>
                <w:color w:val="auto"/>
                <w:sz w:val="21"/>
                <w:highlight w:val="none"/>
              </w:rPr>
            </w:pPr>
          </w:p>
        </w:tc>
        <w:tc>
          <w:tcPr>
            <w:tcW w:w="1790" w:type="dxa"/>
            <w:vAlign w:val="top"/>
          </w:tcPr>
          <w:p w14:paraId="06814B0D">
            <w:pPr>
              <w:rPr>
                <w:rFonts w:ascii="Arial"/>
                <w:color w:val="auto"/>
                <w:sz w:val="21"/>
                <w:highlight w:val="none"/>
              </w:rPr>
            </w:pPr>
          </w:p>
        </w:tc>
      </w:tr>
      <w:tr w14:paraId="58A75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35D4F1E0">
            <w:pPr>
              <w:pStyle w:val="11"/>
              <w:spacing w:before="167" w:line="182" w:lineRule="auto"/>
              <w:ind w:left="121"/>
              <w:rPr>
                <w:color w:val="auto"/>
                <w:highlight w:val="none"/>
              </w:rPr>
            </w:pPr>
            <w:r>
              <w:rPr>
                <w:color w:val="auto"/>
                <w:highlight w:val="none"/>
              </w:rPr>
              <w:t>2</w:t>
            </w:r>
          </w:p>
        </w:tc>
        <w:tc>
          <w:tcPr>
            <w:tcW w:w="2908" w:type="dxa"/>
            <w:vAlign w:val="top"/>
          </w:tcPr>
          <w:p w14:paraId="4AEF7F29">
            <w:pPr>
              <w:pStyle w:val="11"/>
              <w:spacing w:before="132" w:line="221" w:lineRule="auto"/>
              <w:ind w:left="109"/>
              <w:rPr>
                <w:color w:val="auto"/>
                <w:highlight w:val="none"/>
              </w:rPr>
            </w:pPr>
            <w:r>
              <w:rPr>
                <w:color w:val="auto"/>
                <w:spacing w:val="-1"/>
                <w:highlight w:val="none"/>
              </w:rPr>
              <w:t>措施项目费</w:t>
            </w:r>
          </w:p>
        </w:tc>
        <w:tc>
          <w:tcPr>
            <w:tcW w:w="3331" w:type="dxa"/>
            <w:vAlign w:val="top"/>
          </w:tcPr>
          <w:p w14:paraId="20210580">
            <w:pPr>
              <w:rPr>
                <w:rFonts w:ascii="Arial"/>
                <w:color w:val="auto"/>
                <w:sz w:val="21"/>
                <w:highlight w:val="none"/>
              </w:rPr>
            </w:pPr>
          </w:p>
        </w:tc>
        <w:tc>
          <w:tcPr>
            <w:tcW w:w="1790" w:type="dxa"/>
            <w:vAlign w:val="top"/>
          </w:tcPr>
          <w:p w14:paraId="21FD05E0">
            <w:pPr>
              <w:rPr>
                <w:rFonts w:ascii="Arial"/>
                <w:color w:val="auto"/>
                <w:sz w:val="21"/>
                <w:highlight w:val="none"/>
              </w:rPr>
            </w:pPr>
          </w:p>
        </w:tc>
      </w:tr>
      <w:tr w14:paraId="4971C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734" w:type="dxa"/>
            <w:vAlign w:val="top"/>
          </w:tcPr>
          <w:p w14:paraId="2BDC4D79">
            <w:pPr>
              <w:pStyle w:val="11"/>
              <w:spacing w:before="199" w:line="183" w:lineRule="auto"/>
              <w:ind w:left="121"/>
              <w:rPr>
                <w:color w:val="auto"/>
                <w:highlight w:val="none"/>
              </w:rPr>
            </w:pPr>
            <w:r>
              <w:rPr>
                <w:color w:val="auto"/>
                <w:spacing w:val="-2"/>
                <w:highlight w:val="none"/>
              </w:rPr>
              <w:t>2.1</w:t>
            </w:r>
          </w:p>
        </w:tc>
        <w:tc>
          <w:tcPr>
            <w:tcW w:w="2908" w:type="dxa"/>
            <w:vAlign w:val="top"/>
          </w:tcPr>
          <w:p w14:paraId="66228088">
            <w:pPr>
              <w:pStyle w:val="11"/>
              <w:spacing w:before="31" w:line="222" w:lineRule="auto"/>
              <w:ind w:left="120" w:right="276" w:hanging="10"/>
              <w:rPr>
                <w:color w:val="auto"/>
                <w:highlight w:val="none"/>
              </w:rPr>
            </w:pPr>
            <w:r>
              <w:rPr>
                <w:color w:val="auto"/>
                <w:spacing w:val="-1"/>
                <w:highlight w:val="none"/>
              </w:rPr>
              <w:t>其中：文明施工和环境保护</w:t>
            </w:r>
            <w:r>
              <w:rPr>
                <w:color w:val="auto"/>
                <w:spacing w:val="6"/>
                <w:highlight w:val="none"/>
              </w:rPr>
              <w:t xml:space="preserve"> </w:t>
            </w:r>
            <w:r>
              <w:rPr>
                <w:color w:val="auto"/>
                <w:highlight w:val="none"/>
              </w:rPr>
              <w:t>费</w:t>
            </w:r>
          </w:p>
        </w:tc>
        <w:tc>
          <w:tcPr>
            <w:tcW w:w="3331" w:type="dxa"/>
            <w:vAlign w:val="top"/>
          </w:tcPr>
          <w:p w14:paraId="46C1CDB6">
            <w:pPr>
              <w:rPr>
                <w:rFonts w:ascii="Arial"/>
                <w:color w:val="auto"/>
                <w:sz w:val="21"/>
                <w:highlight w:val="none"/>
              </w:rPr>
            </w:pPr>
          </w:p>
        </w:tc>
        <w:tc>
          <w:tcPr>
            <w:tcW w:w="1790" w:type="dxa"/>
            <w:vAlign w:val="top"/>
          </w:tcPr>
          <w:p w14:paraId="5C2D5EEF">
            <w:pPr>
              <w:rPr>
                <w:rFonts w:ascii="Arial"/>
                <w:color w:val="auto"/>
                <w:sz w:val="21"/>
                <w:highlight w:val="none"/>
              </w:rPr>
            </w:pPr>
          </w:p>
        </w:tc>
      </w:tr>
      <w:tr w14:paraId="43CF9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14:paraId="4E70E5C0">
            <w:pPr>
              <w:pStyle w:val="11"/>
              <w:spacing w:before="167" w:line="182" w:lineRule="auto"/>
              <w:ind w:left="123"/>
              <w:rPr>
                <w:color w:val="auto"/>
                <w:highlight w:val="none"/>
              </w:rPr>
            </w:pPr>
            <w:r>
              <w:rPr>
                <w:color w:val="auto"/>
                <w:highlight w:val="none"/>
              </w:rPr>
              <w:t>3</w:t>
            </w:r>
          </w:p>
        </w:tc>
        <w:tc>
          <w:tcPr>
            <w:tcW w:w="2908" w:type="dxa"/>
            <w:vAlign w:val="top"/>
          </w:tcPr>
          <w:p w14:paraId="0ADEE8A4">
            <w:pPr>
              <w:pStyle w:val="11"/>
              <w:spacing w:before="132" w:line="221" w:lineRule="auto"/>
              <w:ind w:left="110"/>
              <w:rPr>
                <w:color w:val="auto"/>
                <w:highlight w:val="none"/>
              </w:rPr>
            </w:pPr>
            <w:r>
              <w:rPr>
                <w:color w:val="auto"/>
                <w:spacing w:val="-1"/>
                <w:highlight w:val="none"/>
              </w:rPr>
              <w:t>其他项目费</w:t>
            </w:r>
          </w:p>
        </w:tc>
        <w:tc>
          <w:tcPr>
            <w:tcW w:w="3331" w:type="dxa"/>
            <w:vAlign w:val="top"/>
          </w:tcPr>
          <w:p w14:paraId="628BA4F0">
            <w:pPr>
              <w:rPr>
                <w:rFonts w:ascii="Arial"/>
                <w:color w:val="auto"/>
                <w:sz w:val="21"/>
                <w:highlight w:val="none"/>
              </w:rPr>
            </w:pPr>
          </w:p>
        </w:tc>
        <w:tc>
          <w:tcPr>
            <w:tcW w:w="1790" w:type="dxa"/>
            <w:vAlign w:val="top"/>
          </w:tcPr>
          <w:p w14:paraId="60DD2FA9">
            <w:pPr>
              <w:rPr>
                <w:rFonts w:ascii="Arial"/>
                <w:color w:val="auto"/>
                <w:sz w:val="21"/>
                <w:highlight w:val="none"/>
              </w:rPr>
            </w:pPr>
          </w:p>
        </w:tc>
      </w:tr>
      <w:tr w14:paraId="3A8FB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555D067C">
            <w:pPr>
              <w:pStyle w:val="11"/>
              <w:spacing w:before="167" w:line="182" w:lineRule="auto"/>
              <w:ind w:left="118"/>
              <w:rPr>
                <w:color w:val="auto"/>
                <w:highlight w:val="none"/>
              </w:rPr>
            </w:pPr>
            <w:r>
              <w:rPr>
                <w:color w:val="auto"/>
                <w:highlight w:val="none"/>
              </w:rPr>
              <w:t>4</w:t>
            </w:r>
          </w:p>
        </w:tc>
        <w:tc>
          <w:tcPr>
            <w:tcW w:w="2908" w:type="dxa"/>
            <w:vAlign w:val="top"/>
          </w:tcPr>
          <w:p w14:paraId="748F0800">
            <w:pPr>
              <w:pStyle w:val="11"/>
              <w:spacing w:before="132" w:line="221" w:lineRule="auto"/>
              <w:ind w:left="110"/>
              <w:rPr>
                <w:color w:val="auto"/>
                <w:highlight w:val="none"/>
              </w:rPr>
            </w:pPr>
            <w:r>
              <w:rPr>
                <w:color w:val="auto"/>
                <w:spacing w:val="-2"/>
                <w:highlight w:val="none"/>
              </w:rPr>
              <w:t>规费</w:t>
            </w:r>
          </w:p>
        </w:tc>
        <w:tc>
          <w:tcPr>
            <w:tcW w:w="3331" w:type="dxa"/>
            <w:vAlign w:val="top"/>
          </w:tcPr>
          <w:p w14:paraId="3637D1BA">
            <w:pPr>
              <w:rPr>
                <w:rFonts w:ascii="Arial"/>
                <w:color w:val="auto"/>
                <w:sz w:val="21"/>
                <w:highlight w:val="none"/>
              </w:rPr>
            </w:pPr>
          </w:p>
        </w:tc>
        <w:tc>
          <w:tcPr>
            <w:tcW w:w="1790" w:type="dxa"/>
            <w:vAlign w:val="top"/>
          </w:tcPr>
          <w:p w14:paraId="6289327B">
            <w:pPr>
              <w:rPr>
                <w:rFonts w:ascii="Arial"/>
                <w:color w:val="auto"/>
                <w:sz w:val="21"/>
                <w:highlight w:val="none"/>
              </w:rPr>
            </w:pPr>
          </w:p>
        </w:tc>
      </w:tr>
      <w:tr w14:paraId="26D3B1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395FD3B1">
            <w:pPr>
              <w:pStyle w:val="11"/>
              <w:spacing w:before="169" w:line="181" w:lineRule="auto"/>
              <w:ind w:left="123"/>
              <w:rPr>
                <w:color w:val="auto"/>
                <w:highlight w:val="none"/>
              </w:rPr>
            </w:pPr>
            <w:r>
              <w:rPr>
                <w:color w:val="auto"/>
                <w:highlight w:val="none"/>
              </w:rPr>
              <w:t>5</w:t>
            </w:r>
          </w:p>
        </w:tc>
        <w:tc>
          <w:tcPr>
            <w:tcW w:w="2908" w:type="dxa"/>
            <w:vAlign w:val="top"/>
          </w:tcPr>
          <w:p w14:paraId="0F0B443F">
            <w:pPr>
              <w:pStyle w:val="11"/>
              <w:spacing w:before="133" w:line="221" w:lineRule="auto"/>
              <w:ind w:left="111"/>
              <w:rPr>
                <w:color w:val="auto"/>
                <w:highlight w:val="none"/>
              </w:rPr>
            </w:pPr>
            <w:r>
              <w:rPr>
                <w:color w:val="auto"/>
                <w:spacing w:val="-1"/>
                <w:highlight w:val="none"/>
              </w:rPr>
              <w:t>人工费动态调整</w:t>
            </w:r>
          </w:p>
        </w:tc>
        <w:tc>
          <w:tcPr>
            <w:tcW w:w="3331" w:type="dxa"/>
            <w:vAlign w:val="top"/>
          </w:tcPr>
          <w:p w14:paraId="4F3C998E">
            <w:pPr>
              <w:rPr>
                <w:rFonts w:ascii="Arial"/>
                <w:color w:val="auto"/>
                <w:sz w:val="21"/>
                <w:highlight w:val="none"/>
              </w:rPr>
            </w:pPr>
          </w:p>
        </w:tc>
        <w:tc>
          <w:tcPr>
            <w:tcW w:w="1790" w:type="dxa"/>
            <w:vAlign w:val="top"/>
          </w:tcPr>
          <w:p w14:paraId="75ADC158">
            <w:pPr>
              <w:rPr>
                <w:rFonts w:ascii="Arial"/>
                <w:color w:val="auto"/>
                <w:sz w:val="21"/>
                <w:highlight w:val="none"/>
              </w:rPr>
            </w:pPr>
          </w:p>
        </w:tc>
      </w:tr>
      <w:tr w14:paraId="52E69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748680BF">
            <w:pPr>
              <w:pStyle w:val="11"/>
              <w:spacing w:before="168" w:line="182" w:lineRule="auto"/>
              <w:ind w:left="120"/>
              <w:rPr>
                <w:color w:val="auto"/>
                <w:highlight w:val="none"/>
              </w:rPr>
            </w:pPr>
            <w:r>
              <w:rPr>
                <w:color w:val="auto"/>
                <w:highlight w:val="none"/>
              </w:rPr>
              <w:t>6</w:t>
            </w:r>
          </w:p>
        </w:tc>
        <w:tc>
          <w:tcPr>
            <w:tcW w:w="2908" w:type="dxa"/>
            <w:vAlign w:val="top"/>
          </w:tcPr>
          <w:p w14:paraId="091E59FF">
            <w:pPr>
              <w:pStyle w:val="11"/>
              <w:spacing w:before="133" w:line="221" w:lineRule="auto"/>
              <w:ind w:left="113"/>
              <w:rPr>
                <w:color w:val="auto"/>
                <w:highlight w:val="none"/>
              </w:rPr>
            </w:pPr>
            <w:r>
              <w:rPr>
                <w:color w:val="auto"/>
                <w:spacing w:val="-2"/>
                <w:highlight w:val="none"/>
              </w:rPr>
              <w:t>安全施工措施费</w:t>
            </w:r>
          </w:p>
        </w:tc>
        <w:tc>
          <w:tcPr>
            <w:tcW w:w="3331" w:type="dxa"/>
            <w:vAlign w:val="top"/>
          </w:tcPr>
          <w:p w14:paraId="34DB27D3">
            <w:pPr>
              <w:rPr>
                <w:rFonts w:ascii="Arial"/>
                <w:color w:val="auto"/>
                <w:sz w:val="21"/>
                <w:highlight w:val="none"/>
              </w:rPr>
            </w:pPr>
          </w:p>
        </w:tc>
        <w:tc>
          <w:tcPr>
            <w:tcW w:w="1790" w:type="dxa"/>
            <w:vAlign w:val="top"/>
          </w:tcPr>
          <w:p w14:paraId="5BF3B4D5">
            <w:pPr>
              <w:rPr>
                <w:rFonts w:ascii="Arial"/>
                <w:color w:val="auto"/>
                <w:sz w:val="21"/>
                <w:highlight w:val="none"/>
              </w:rPr>
            </w:pPr>
          </w:p>
        </w:tc>
      </w:tr>
      <w:tr w14:paraId="5B62C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4" w:hRule="atLeast"/>
        </w:trPr>
        <w:tc>
          <w:tcPr>
            <w:tcW w:w="734" w:type="dxa"/>
            <w:vAlign w:val="top"/>
          </w:tcPr>
          <w:p w14:paraId="521CB76C">
            <w:pPr>
              <w:pStyle w:val="11"/>
              <w:spacing w:before="169" w:line="181" w:lineRule="auto"/>
              <w:ind w:left="123"/>
              <w:rPr>
                <w:color w:val="auto"/>
                <w:highlight w:val="none"/>
              </w:rPr>
            </w:pPr>
            <w:r>
              <w:rPr>
                <w:color w:val="auto"/>
                <w:highlight w:val="none"/>
              </w:rPr>
              <w:t>7</w:t>
            </w:r>
          </w:p>
        </w:tc>
        <w:tc>
          <w:tcPr>
            <w:tcW w:w="2908" w:type="dxa"/>
            <w:vAlign w:val="top"/>
          </w:tcPr>
          <w:p w14:paraId="76664D2D">
            <w:pPr>
              <w:pStyle w:val="11"/>
              <w:spacing w:before="132" w:line="221" w:lineRule="auto"/>
              <w:ind w:left="114"/>
              <w:rPr>
                <w:color w:val="auto"/>
                <w:highlight w:val="none"/>
              </w:rPr>
            </w:pPr>
            <w:r>
              <w:rPr>
                <w:color w:val="auto"/>
                <w:spacing w:val="-2"/>
                <w:highlight w:val="none"/>
              </w:rPr>
              <w:t>实名制管理费用</w:t>
            </w:r>
          </w:p>
        </w:tc>
        <w:tc>
          <w:tcPr>
            <w:tcW w:w="3331" w:type="dxa"/>
            <w:vAlign w:val="top"/>
          </w:tcPr>
          <w:p w14:paraId="39F82773">
            <w:pPr>
              <w:rPr>
                <w:rFonts w:ascii="Arial"/>
                <w:color w:val="auto"/>
                <w:sz w:val="21"/>
                <w:highlight w:val="none"/>
              </w:rPr>
            </w:pPr>
          </w:p>
        </w:tc>
        <w:tc>
          <w:tcPr>
            <w:tcW w:w="1790" w:type="dxa"/>
            <w:vAlign w:val="top"/>
          </w:tcPr>
          <w:p w14:paraId="3BD027E1">
            <w:pPr>
              <w:rPr>
                <w:rFonts w:ascii="Arial"/>
                <w:color w:val="auto"/>
                <w:sz w:val="21"/>
                <w:highlight w:val="none"/>
              </w:rPr>
            </w:pPr>
          </w:p>
        </w:tc>
      </w:tr>
      <w:tr w14:paraId="4CA6C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734" w:type="dxa"/>
            <w:vAlign w:val="top"/>
          </w:tcPr>
          <w:p w14:paraId="7FA44A84">
            <w:pPr>
              <w:pStyle w:val="11"/>
              <w:spacing w:before="168" w:line="182" w:lineRule="auto"/>
              <w:ind w:left="119"/>
              <w:rPr>
                <w:color w:val="auto"/>
                <w:highlight w:val="none"/>
              </w:rPr>
            </w:pPr>
            <w:r>
              <w:rPr>
                <w:color w:val="auto"/>
                <w:highlight w:val="none"/>
              </w:rPr>
              <w:t>8</w:t>
            </w:r>
          </w:p>
        </w:tc>
        <w:tc>
          <w:tcPr>
            <w:tcW w:w="2908" w:type="dxa"/>
            <w:vAlign w:val="top"/>
          </w:tcPr>
          <w:p w14:paraId="2D921FD4">
            <w:pPr>
              <w:pStyle w:val="11"/>
              <w:spacing w:before="133" w:line="219" w:lineRule="auto"/>
              <w:ind w:left="108"/>
              <w:rPr>
                <w:color w:val="auto"/>
                <w:highlight w:val="none"/>
              </w:rPr>
            </w:pPr>
            <w:r>
              <w:rPr>
                <w:color w:val="auto"/>
                <w:spacing w:val="-1"/>
                <w:highlight w:val="none"/>
              </w:rPr>
              <w:t>税前工程造价合计</w:t>
            </w:r>
          </w:p>
        </w:tc>
        <w:tc>
          <w:tcPr>
            <w:tcW w:w="3331" w:type="dxa"/>
            <w:vAlign w:val="top"/>
          </w:tcPr>
          <w:p w14:paraId="599BDFB6">
            <w:pPr>
              <w:rPr>
                <w:rFonts w:ascii="Arial"/>
                <w:color w:val="auto"/>
                <w:sz w:val="21"/>
                <w:highlight w:val="none"/>
              </w:rPr>
            </w:pPr>
          </w:p>
        </w:tc>
        <w:tc>
          <w:tcPr>
            <w:tcW w:w="1790" w:type="dxa"/>
            <w:vAlign w:val="top"/>
          </w:tcPr>
          <w:p w14:paraId="2F910343">
            <w:pPr>
              <w:rPr>
                <w:rFonts w:ascii="Arial"/>
                <w:color w:val="auto"/>
                <w:sz w:val="21"/>
                <w:highlight w:val="none"/>
              </w:rPr>
            </w:pPr>
          </w:p>
        </w:tc>
      </w:tr>
      <w:tr w14:paraId="39CCD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04F305CB">
            <w:pPr>
              <w:pStyle w:val="11"/>
              <w:spacing w:before="169" w:line="182" w:lineRule="auto"/>
              <w:ind w:left="119"/>
              <w:rPr>
                <w:color w:val="auto"/>
                <w:highlight w:val="none"/>
              </w:rPr>
            </w:pPr>
            <w:r>
              <w:rPr>
                <w:color w:val="auto"/>
                <w:highlight w:val="none"/>
              </w:rPr>
              <w:t>9</w:t>
            </w:r>
          </w:p>
        </w:tc>
        <w:tc>
          <w:tcPr>
            <w:tcW w:w="2908" w:type="dxa"/>
            <w:vAlign w:val="top"/>
          </w:tcPr>
          <w:p w14:paraId="07918F44">
            <w:pPr>
              <w:pStyle w:val="11"/>
              <w:spacing w:before="134" w:line="221" w:lineRule="auto"/>
              <w:ind w:left="108"/>
              <w:rPr>
                <w:color w:val="auto"/>
                <w:highlight w:val="none"/>
              </w:rPr>
            </w:pPr>
            <w:r>
              <w:rPr>
                <w:color w:val="auto"/>
                <w:spacing w:val="-2"/>
                <w:highlight w:val="none"/>
              </w:rPr>
              <w:t>税金</w:t>
            </w:r>
          </w:p>
        </w:tc>
        <w:tc>
          <w:tcPr>
            <w:tcW w:w="3331" w:type="dxa"/>
            <w:vAlign w:val="top"/>
          </w:tcPr>
          <w:p w14:paraId="1D4121B1">
            <w:pPr>
              <w:rPr>
                <w:rFonts w:ascii="Arial"/>
                <w:color w:val="auto"/>
                <w:sz w:val="21"/>
                <w:highlight w:val="none"/>
              </w:rPr>
            </w:pPr>
          </w:p>
        </w:tc>
        <w:tc>
          <w:tcPr>
            <w:tcW w:w="1790" w:type="dxa"/>
            <w:vAlign w:val="top"/>
          </w:tcPr>
          <w:p w14:paraId="1E064172">
            <w:pPr>
              <w:rPr>
                <w:rFonts w:ascii="Arial"/>
                <w:color w:val="auto"/>
                <w:sz w:val="21"/>
                <w:highlight w:val="none"/>
              </w:rPr>
            </w:pPr>
          </w:p>
        </w:tc>
      </w:tr>
      <w:tr w14:paraId="0ACC0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734" w:type="dxa"/>
            <w:vAlign w:val="top"/>
          </w:tcPr>
          <w:p w14:paraId="23836A93">
            <w:pPr>
              <w:rPr>
                <w:rFonts w:ascii="Arial"/>
                <w:color w:val="auto"/>
                <w:sz w:val="21"/>
                <w:highlight w:val="none"/>
              </w:rPr>
            </w:pPr>
          </w:p>
        </w:tc>
        <w:tc>
          <w:tcPr>
            <w:tcW w:w="2908" w:type="dxa"/>
            <w:vAlign w:val="top"/>
          </w:tcPr>
          <w:p w14:paraId="773FE738">
            <w:pPr>
              <w:rPr>
                <w:rFonts w:ascii="Arial"/>
                <w:color w:val="auto"/>
                <w:sz w:val="21"/>
                <w:highlight w:val="none"/>
              </w:rPr>
            </w:pPr>
          </w:p>
        </w:tc>
        <w:tc>
          <w:tcPr>
            <w:tcW w:w="3331" w:type="dxa"/>
            <w:vAlign w:val="top"/>
          </w:tcPr>
          <w:p w14:paraId="340E649C">
            <w:pPr>
              <w:rPr>
                <w:rFonts w:ascii="Arial"/>
                <w:color w:val="auto"/>
                <w:sz w:val="21"/>
                <w:highlight w:val="none"/>
              </w:rPr>
            </w:pPr>
          </w:p>
        </w:tc>
        <w:tc>
          <w:tcPr>
            <w:tcW w:w="1790" w:type="dxa"/>
            <w:vAlign w:val="top"/>
          </w:tcPr>
          <w:p w14:paraId="48F53EBA">
            <w:pPr>
              <w:rPr>
                <w:rFonts w:ascii="Arial"/>
                <w:color w:val="auto"/>
                <w:sz w:val="21"/>
                <w:highlight w:val="none"/>
              </w:rPr>
            </w:pPr>
          </w:p>
        </w:tc>
      </w:tr>
      <w:tr w14:paraId="29D43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14:paraId="156D91BD">
            <w:pPr>
              <w:rPr>
                <w:rFonts w:ascii="Arial"/>
                <w:color w:val="auto"/>
                <w:sz w:val="21"/>
                <w:highlight w:val="none"/>
              </w:rPr>
            </w:pPr>
          </w:p>
        </w:tc>
        <w:tc>
          <w:tcPr>
            <w:tcW w:w="2908" w:type="dxa"/>
            <w:vAlign w:val="top"/>
          </w:tcPr>
          <w:p w14:paraId="573E1BBB">
            <w:pPr>
              <w:rPr>
                <w:rFonts w:ascii="Arial"/>
                <w:color w:val="auto"/>
                <w:sz w:val="21"/>
                <w:highlight w:val="none"/>
              </w:rPr>
            </w:pPr>
          </w:p>
        </w:tc>
        <w:tc>
          <w:tcPr>
            <w:tcW w:w="3331" w:type="dxa"/>
            <w:vAlign w:val="top"/>
          </w:tcPr>
          <w:p w14:paraId="58C8134E">
            <w:pPr>
              <w:rPr>
                <w:rFonts w:ascii="Arial"/>
                <w:color w:val="auto"/>
                <w:sz w:val="21"/>
                <w:highlight w:val="none"/>
              </w:rPr>
            </w:pPr>
          </w:p>
        </w:tc>
        <w:tc>
          <w:tcPr>
            <w:tcW w:w="1790" w:type="dxa"/>
            <w:vAlign w:val="top"/>
          </w:tcPr>
          <w:p w14:paraId="1DD340BF">
            <w:pPr>
              <w:rPr>
                <w:rFonts w:ascii="Arial"/>
                <w:color w:val="auto"/>
                <w:sz w:val="21"/>
                <w:highlight w:val="none"/>
              </w:rPr>
            </w:pPr>
          </w:p>
        </w:tc>
      </w:tr>
      <w:tr w14:paraId="7A626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7B792FD6">
            <w:pPr>
              <w:rPr>
                <w:rFonts w:ascii="Arial"/>
                <w:color w:val="auto"/>
                <w:sz w:val="21"/>
                <w:highlight w:val="none"/>
              </w:rPr>
            </w:pPr>
          </w:p>
        </w:tc>
        <w:tc>
          <w:tcPr>
            <w:tcW w:w="2908" w:type="dxa"/>
            <w:vAlign w:val="top"/>
          </w:tcPr>
          <w:p w14:paraId="4C56391F">
            <w:pPr>
              <w:rPr>
                <w:rFonts w:ascii="Arial"/>
                <w:color w:val="auto"/>
                <w:sz w:val="21"/>
                <w:highlight w:val="none"/>
              </w:rPr>
            </w:pPr>
          </w:p>
        </w:tc>
        <w:tc>
          <w:tcPr>
            <w:tcW w:w="3331" w:type="dxa"/>
            <w:vAlign w:val="top"/>
          </w:tcPr>
          <w:p w14:paraId="3DE6A4EE">
            <w:pPr>
              <w:rPr>
                <w:rFonts w:ascii="Arial"/>
                <w:color w:val="auto"/>
                <w:sz w:val="21"/>
                <w:highlight w:val="none"/>
              </w:rPr>
            </w:pPr>
          </w:p>
        </w:tc>
        <w:tc>
          <w:tcPr>
            <w:tcW w:w="1790" w:type="dxa"/>
            <w:vAlign w:val="top"/>
          </w:tcPr>
          <w:p w14:paraId="1B632AA4">
            <w:pPr>
              <w:rPr>
                <w:rFonts w:ascii="Arial"/>
                <w:color w:val="auto"/>
                <w:sz w:val="21"/>
                <w:highlight w:val="none"/>
              </w:rPr>
            </w:pPr>
          </w:p>
        </w:tc>
      </w:tr>
      <w:tr w14:paraId="5920D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3BFAC5D1">
            <w:pPr>
              <w:rPr>
                <w:rFonts w:ascii="Arial"/>
                <w:color w:val="auto"/>
                <w:sz w:val="21"/>
                <w:highlight w:val="none"/>
              </w:rPr>
            </w:pPr>
          </w:p>
        </w:tc>
        <w:tc>
          <w:tcPr>
            <w:tcW w:w="2908" w:type="dxa"/>
            <w:vAlign w:val="top"/>
          </w:tcPr>
          <w:p w14:paraId="43D47633">
            <w:pPr>
              <w:rPr>
                <w:rFonts w:ascii="Arial"/>
                <w:color w:val="auto"/>
                <w:sz w:val="21"/>
                <w:highlight w:val="none"/>
              </w:rPr>
            </w:pPr>
          </w:p>
        </w:tc>
        <w:tc>
          <w:tcPr>
            <w:tcW w:w="3331" w:type="dxa"/>
            <w:vAlign w:val="top"/>
          </w:tcPr>
          <w:p w14:paraId="53B15E24">
            <w:pPr>
              <w:rPr>
                <w:rFonts w:ascii="Arial"/>
                <w:color w:val="auto"/>
                <w:sz w:val="21"/>
                <w:highlight w:val="none"/>
              </w:rPr>
            </w:pPr>
          </w:p>
        </w:tc>
        <w:tc>
          <w:tcPr>
            <w:tcW w:w="1790" w:type="dxa"/>
            <w:vAlign w:val="top"/>
          </w:tcPr>
          <w:p w14:paraId="32A1BF53">
            <w:pPr>
              <w:rPr>
                <w:rFonts w:ascii="Arial"/>
                <w:color w:val="auto"/>
                <w:sz w:val="21"/>
                <w:highlight w:val="none"/>
              </w:rPr>
            </w:pPr>
          </w:p>
        </w:tc>
      </w:tr>
      <w:tr w14:paraId="4C916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0" w:hRule="atLeast"/>
        </w:trPr>
        <w:tc>
          <w:tcPr>
            <w:tcW w:w="734" w:type="dxa"/>
            <w:vAlign w:val="top"/>
          </w:tcPr>
          <w:p w14:paraId="13711251">
            <w:pPr>
              <w:rPr>
                <w:rFonts w:ascii="Arial"/>
                <w:color w:val="auto"/>
                <w:sz w:val="21"/>
                <w:highlight w:val="none"/>
              </w:rPr>
            </w:pPr>
          </w:p>
        </w:tc>
        <w:tc>
          <w:tcPr>
            <w:tcW w:w="2908" w:type="dxa"/>
            <w:vAlign w:val="top"/>
          </w:tcPr>
          <w:p w14:paraId="0D954077">
            <w:pPr>
              <w:rPr>
                <w:rFonts w:ascii="Arial"/>
                <w:color w:val="auto"/>
                <w:sz w:val="21"/>
                <w:highlight w:val="none"/>
              </w:rPr>
            </w:pPr>
          </w:p>
        </w:tc>
        <w:tc>
          <w:tcPr>
            <w:tcW w:w="3331" w:type="dxa"/>
            <w:vAlign w:val="top"/>
          </w:tcPr>
          <w:p w14:paraId="54DCFC96">
            <w:pPr>
              <w:rPr>
                <w:rFonts w:ascii="Arial"/>
                <w:color w:val="auto"/>
                <w:sz w:val="21"/>
                <w:highlight w:val="none"/>
              </w:rPr>
            </w:pPr>
          </w:p>
        </w:tc>
        <w:tc>
          <w:tcPr>
            <w:tcW w:w="1790" w:type="dxa"/>
            <w:vAlign w:val="top"/>
          </w:tcPr>
          <w:p w14:paraId="2B4B6216">
            <w:pPr>
              <w:rPr>
                <w:rFonts w:ascii="Arial"/>
                <w:color w:val="auto"/>
                <w:sz w:val="21"/>
                <w:highlight w:val="none"/>
              </w:rPr>
            </w:pPr>
          </w:p>
        </w:tc>
      </w:tr>
      <w:tr w14:paraId="3FCBB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14:paraId="2674A34B">
            <w:pPr>
              <w:rPr>
                <w:rFonts w:ascii="Arial"/>
                <w:color w:val="auto"/>
                <w:sz w:val="21"/>
                <w:highlight w:val="none"/>
              </w:rPr>
            </w:pPr>
          </w:p>
        </w:tc>
        <w:tc>
          <w:tcPr>
            <w:tcW w:w="2908" w:type="dxa"/>
            <w:vAlign w:val="top"/>
          </w:tcPr>
          <w:p w14:paraId="4A264B98">
            <w:pPr>
              <w:rPr>
                <w:rFonts w:ascii="Arial"/>
                <w:color w:val="auto"/>
                <w:sz w:val="21"/>
                <w:highlight w:val="none"/>
              </w:rPr>
            </w:pPr>
          </w:p>
        </w:tc>
        <w:tc>
          <w:tcPr>
            <w:tcW w:w="3331" w:type="dxa"/>
            <w:vAlign w:val="top"/>
          </w:tcPr>
          <w:p w14:paraId="7F346A44">
            <w:pPr>
              <w:rPr>
                <w:rFonts w:ascii="Arial"/>
                <w:color w:val="auto"/>
                <w:sz w:val="21"/>
                <w:highlight w:val="none"/>
              </w:rPr>
            </w:pPr>
          </w:p>
        </w:tc>
        <w:tc>
          <w:tcPr>
            <w:tcW w:w="1790" w:type="dxa"/>
            <w:vAlign w:val="top"/>
          </w:tcPr>
          <w:p w14:paraId="0F033299">
            <w:pPr>
              <w:rPr>
                <w:rFonts w:ascii="Arial"/>
                <w:color w:val="auto"/>
                <w:sz w:val="21"/>
                <w:highlight w:val="none"/>
              </w:rPr>
            </w:pPr>
          </w:p>
        </w:tc>
      </w:tr>
      <w:tr w14:paraId="0AE80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3642" w:type="dxa"/>
            <w:gridSpan w:val="2"/>
            <w:vAlign w:val="top"/>
          </w:tcPr>
          <w:p w14:paraId="6FFA12BB">
            <w:pPr>
              <w:pStyle w:val="11"/>
              <w:spacing w:before="136" w:line="222" w:lineRule="auto"/>
              <w:ind w:left="1622"/>
              <w:rPr>
                <w:color w:val="auto"/>
                <w:highlight w:val="none"/>
              </w:rPr>
            </w:pPr>
            <w:r>
              <w:rPr>
                <w:color w:val="auto"/>
                <w:spacing w:val="-2"/>
                <w:highlight w:val="none"/>
              </w:rPr>
              <w:t>合计</w:t>
            </w:r>
          </w:p>
        </w:tc>
        <w:tc>
          <w:tcPr>
            <w:tcW w:w="3331" w:type="dxa"/>
            <w:vAlign w:val="top"/>
          </w:tcPr>
          <w:p w14:paraId="67BA2E1A">
            <w:pPr>
              <w:rPr>
                <w:rFonts w:ascii="Arial"/>
                <w:color w:val="auto"/>
                <w:sz w:val="21"/>
                <w:highlight w:val="none"/>
              </w:rPr>
            </w:pPr>
          </w:p>
        </w:tc>
        <w:tc>
          <w:tcPr>
            <w:tcW w:w="1790" w:type="dxa"/>
            <w:vAlign w:val="top"/>
          </w:tcPr>
          <w:p w14:paraId="643F929F">
            <w:pPr>
              <w:rPr>
                <w:rFonts w:ascii="Arial"/>
                <w:color w:val="auto"/>
                <w:sz w:val="21"/>
                <w:highlight w:val="none"/>
              </w:rPr>
            </w:pPr>
          </w:p>
        </w:tc>
      </w:tr>
    </w:tbl>
    <w:p w14:paraId="67F04120">
      <w:pPr>
        <w:spacing w:before="270" w:line="231" w:lineRule="auto"/>
        <w:ind w:left="17" w:right="457"/>
        <w:rPr>
          <w:rFonts w:ascii="宋体" w:hAnsi="宋体" w:eastAsia="宋体" w:cs="宋体"/>
          <w:color w:val="auto"/>
          <w:sz w:val="21"/>
          <w:szCs w:val="21"/>
          <w:highlight w:val="none"/>
        </w:rPr>
      </w:pPr>
      <w:r>
        <w:rPr>
          <w:rFonts w:ascii="宋体" w:hAnsi="宋体" w:eastAsia="宋体" w:cs="宋体"/>
          <w:color w:val="auto"/>
          <w:sz w:val="21"/>
          <w:szCs w:val="21"/>
          <w:highlight w:val="none"/>
        </w:rPr>
        <w:t>注：本表适用于单位工程投标报价的汇总，如无单位工程的划分， 单项工程也使用本汇总</w:t>
      </w:r>
      <w:r>
        <w:rPr>
          <w:rFonts w:ascii="宋体" w:hAnsi="宋体" w:eastAsia="宋体" w:cs="宋体"/>
          <w:color w:val="auto"/>
          <w:spacing w:val="6"/>
          <w:sz w:val="21"/>
          <w:szCs w:val="21"/>
          <w:highlight w:val="none"/>
        </w:rPr>
        <w:t xml:space="preserve"> </w:t>
      </w:r>
      <w:r>
        <w:rPr>
          <w:rFonts w:ascii="宋体" w:hAnsi="宋体" w:eastAsia="宋体" w:cs="宋体"/>
          <w:color w:val="auto"/>
          <w:spacing w:val="-10"/>
          <w:sz w:val="21"/>
          <w:szCs w:val="21"/>
          <w:highlight w:val="none"/>
        </w:rPr>
        <w:t>表。</w:t>
      </w:r>
    </w:p>
    <w:p w14:paraId="6D865878">
      <w:pPr>
        <w:spacing w:line="231" w:lineRule="auto"/>
        <w:rPr>
          <w:rFonts w:ascii="宋体" w:hAnsi="宋体" w:eastAsia="宋体" w:cs="宋体"/>
          <w:color w:val="auto"/>
          <w:sz w:val="21"/>
          <w:szCs w:val="21"/>
          <w:highlight w:val="none"/>
        </w:rPr>
        <w:sectPr>
          <w:footerReference r:id="rId187" w:type="default"/>
          <w:pgSz w:w="11905" w:h="16839"/>
          <w:pgMar w:top="400" w:right="1339" w:bottom="1004" w:left="1785" w:header="0" w:footer="828" w:gutter="0"/>
          <w:pgNumType w:fmt="decimal"/>
          <w:cols w:space="720" w:num="1"/>
        </w:sectPr>
      </w:pPr>
    </w:p>
    <w:p w14:paraId="7BB38512">
      <w:pPr>
        <w:pStyle w:val="3"/>
        <w:spacing w:line="267" w:lineRule="auto"/>
        <w:rPr>
          <w:color w:val="auto"/>
          <w:highlight w:val="none"/>
        </w:rPr>
      </w:pPr>
    </w:p>
    <w:p w14:paraId="4BE722F0">
      <w:pPr>
        <w:pStyle w:val="3"/>
        <w:spacing w:line="267" w:lineRule="auto"/>
        <w:rPr>
          <w:color w:val="auto"/>
          <w:highlight w:val="none"/>
        </w:rPr>
      </w:pPr>
    </w:p>
    <w:p w14:paraId="01D35076">
      <w:pPr>
        <w:pStyle w:val="3"/>
        <w:spacing w:line="268" w:lineRule="auto"/>
        <w:rPr>
          <w:color w:val="auto"/>
          <w:highlight w:val="none"/>
        </w:rPr>
      </w:pPr>
    </w:p>
    <w:p w14:paraId="5F4D6D11">
      <w:pPr>
        <w:pStyle w:val="3"/>
        <w:spacing w:line="268" w:lineRule="auto"/>
        <w:rPr>
          <w:color w:val="auto"/>
          <w:highlight w:val="none"/>
        </w:rPr>
      </w:pPr>
    </w:p>
    <w:p w14:paraId="3D6C44DA">
      <w:pPr>
        <w:spacing w:before="78" w:line="219" w:lineRule="auto"/>
        <w:ind w:left="90"/>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4.9 </w:t>
      </w:r>
      <w:r>
        <w:rPr>
          <w:rFonts w:ascii="黑体" w:hAnsi="黑体" w:eastAsia="黑体" w:cs="黑体"/>
          <w:color w:val="auto"/>
          <w:spacing w:val="-1"/>
          <w:sz w:val="24"/>
          <w:szCs w:val="24"/>
          <w:highlight w:val="none"/>
        </w:rPr>
        <w:t>分部分项工程和单价措施项目清单与计价表</w:t>
      </w:r>
    </w:p>
    <w:p w14:paraId="15B91B26">
      <w:pPr>
        <w:spacing w:before="281" w:line="225" w:lineRule="auto"/>
        <w:ind w:left="1597"/>
        <w:rPr>
          <w:rFonts w:ascii="黑体" w:hAnsi="黑体" w:eastAsia="黑体" w:cs="黑体"/>
          <w:color w:val="auto"/>
          <w:sz w:val="27"/>
          <w:szCs w:val="27"/>
          <w:highlight w:val="none"/>
        </w:rPr>
      </w:pPr>
      <w:r>
        <w:rPr>
          <w:rFonts w:ascii="黑体" w:hAnsi="黑体" w:eastAsia="黑体" w:cs="黑体"/>
          <w:color w:val="auto"/>
          <w:spacing w:val="9"/>
          <w:sz w:val="27"/>
          <w:szCs w:val="27"/>
          <w:highlight w:val="none"/>
        </w:rPr>
        <w:t>分部分项工程和单价措施项目清单与计价表</w:t>
      </w:r>
    </w:p>
    <w:p w14:paraId="51179FD8">
      <w:pPr>
        <w:spacing w:before="262" w:line="221" w:lineRule="auto"/>
        <w:ind w:left="97"/>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工程名称：</w:t>
      </w:r>
      <w:r>
        <w:rPr>
          <w:rFonts w:ascii="宋体" w:hAnsi="宋体" w:eastAsia="宋体" w:cs="宋体"/>
          <w:color w:val="auto"/>
          <w:spacing w:val="7"/>
          <w:sz w:val="21"/>
          <w:szCs w:val="21"/>
          <w:highlight w:val="none"/>
        </w:rPr>
        <w:t xml:space="preserve">            </w:t>
      </w:r>
      <w:r>
        <w:rPr>
          <w:rFonts w:ascii="宋体" w:hAnsi="宋体" w:eastAsia="宋体" w:cs="宋体"/>
          <w:color w:val="auto"/>
          <w:spacing w:val="-11"/>
          <w:sz w:val="21"/>
          <w:szCs w:val="21"/>
          <w:highlight w:val="none"/>
        </w:rPr>
        <w:t>标段名称：                                     第 页</w:t>
      </w:r>
      <w:r>
        <w:rPr>
          <w:rFonts w:ascii="宋体" w:hAnsi="宋体" w:eastAsia="宋体" w:cs="宋体"/>
          <w:color w:val="auto"/>
          <w:spacing w:val="11"/>
          <w:sz w:val="21"/>
          <w:szCs w:val="21"/>
          <w:highlight w:val="none"/>
        </w:rPr>
        <w:t xml:space="preserve"> </w:t>
      </w:r>
      <w:r>
        <w:rPr>
          <w:rFonts w:ascii="宋体" w:hAnsi="宋体" w:eastAsia="宋体" w:cs="宋体"/>
          <w:color w:val="auto"/>
          <w:spacing w:val="-11"/>
          <w:sz w:val="21"/>
          <w:szCs w:val="21"/>
          <w:highlight w:val="none"/>
        </w:rPr>
        <w:t>共</w:t>
      </w:r>
      <w:r>
        <w:rPr>
          <w:rFonts w:ascii="宋体" w:hAnsi="宋体" w:eastAsia="宋体" w:cs="宋体"/>
          <w:color w:val="auto"/>
          <w:spacing w:val="10"/>
          <w:sz w:val="21"/>
          <w:szCs w:val="21"/>
          <w:highlight w:val="none"/>
        </w:rPr>
        <w:t xml:space="preserve"> </w:t>
      </w:r>
      <w:r>
        <w:rPr>
          <w:rFonts w:ascii="宋体" w:hAnsi="宋体" w:eastAsia="宋体" w:cs="宋体"/>
          <w:color w:val="auto"/>
          <w:spacing w:val="-11"/>
          <w:sz w:val="21"/>
          <w:szCs w:val="21"/>
          <w:highlight w:val="none"/>
        </w:rPr>
        <w:t>页</w:t>
      </w:r>
    </w:p>
    <w:p w14:paraId="5544AAC2">
      <w:pPr>
        <w:spacing w:line="233" w:lineRule="exact"/>
        <w:rPr>
          <w:color w:val="auto"/>
          <w:highlight w:val="none"/>
        </w:rPr>
      </w:pPr>
    </w:p>
    <w:tbl>
      <w:tblPr>
        <w:tblStyle w:val="10"/>
        <w:tblW w:w="8484"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3"/>
        <w:gridCol w:w="1043"/>
        <w:gridCol w:w="1027"/>
        <w:gridCol w:w="1455"/>
        <w:gridCol w:w="1019"/>
        <w:gridCol w:w="834"/>
        <w:gridCol w:w="770"/>
        <w:gridCol w:w="736"/>
        <w:gridCol w:w="947"/>
      </w:tblGrid>
      <w:tr w14:paraId="36ACBF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653" w:type="dxa"/>
            <w:vMerge w:val="restart"/>
            <w:tcBorders>
              <w:top w:val="single" w:color="000000" w:sz="4" w:space="0"/>
              <w:left w:val="single" w:color="000000" w:sz="4" w:space="0"/>
              <w:bottom w:val="nil"/>
            </w:tcBorders>
            <w:vAlign w:val="top"/>
          </w:tcPr>
          <w:p w14:paraId="6F715186">
            <w:pPr>
              <w:spacing w:line="436" w:lineRule="auto"/>
              <w:rPr>
                <w:rFonts w:ascii="Arial"/>
                <w:color w:val="auto"/>
                <w:sz w:val="21"/>
                <w:highlight w:val="none"/>
              </w:rPr>
            </w:pPr>
          </w:p>
          <w:p w14:paraId="601E030C">
            <w:pPr>
              <w:pStyle w:val="11"/>
              <w:spacing w:before="65" w:line="222" w:lineRule="auto"/>
              <w:ind w:left="127"/>
              <w:rPr>
                <w:color w:val="auto"/>
                <w:sz w:val="20"/>
                <w:szCs w:val="20"/>
                <w:highlight w:val="none"/>
              </w:rPr>
            </w:pPr>
            <w:r>
              <w:rPr>
                <w:color w:val="auto"/>
                <w:spacing w:val="-1"/>
                <w:sz w:val="20"/>
                <w:szCs w:val="20"/>
                <w:highlight w:val="none"/>
              </w:rPr>
              <w:t>序号</w:t>
            </w:r>
          </w:p>
        </w:tc>
        <w:tc>
          <w:tcPr>
            <w:tcW w:w="1043" w:type="dxa"/>
            <w:vMerge w:val="restart"/>
            <w:tcBorders>
              <w:top w:val="single" w:color="000000" w:sz="4" w:space="0"/>
              <w:bottom w:val="nil"/>
              <w:right w:val="single" w:color="000000" w:sz="4" w:space="0"/>
            </w:tcBorders>
            <w:vAlign w:val="top"/>
          </w:tcPr>
          <w:p w14:paraId="42D21852">
            <w:pPr>
              <w:spacing w:line="435" w:lineRule="auto"/>
              <w:rPr>
                <w:rFonts w:ascii="Arial"/>
                <w:color w:val="auto"/>
                <w:sz w:val="21"/>
                <w:highlight w:val="none"/>
              </w:rPr>
            </w:pPr>
          </w:p>
          <w:p w14:paraId="588D227C">
            <w:pPr>
              <w:pStyle w:val="11"/>
              <w:spacing w:before="65" w:line="221" w:lineRule="auto"/>
              <w:ind w:left="123"/>
              <w:rPr>
                <w:color w:val="auto"/>
                <w:sz w:val="20"/>
                <w:szCs w:val="20"/>
                <w:highlight w:val="none"/>
              </w:rPr>
            </w:pPr>
            <w:r>
              <w:rPr>
                <w:color w:val="auto"/>
                <w:spacing w:val="-1"/>
                <w:sz w:val="20"/>
                <w:szCs w:val="20"/>
                <w:highlight w:val="none"/>
              </w:rPr>
              <w:t>项目编码</w:t>
            </w:r>
          </w:p>
        </w:tc>
        <w:tc>
          <w:tcPr>
            <w:tcW w:w="1027" w:type="dxa"/>
            <w:vMerge w:val="restart"/>
            <w:tcBorders>
              <w:top w:val="single" w:color="000000" w:sz="4" w:space="0"/>
              <w:left w:val="single" w:color="000000" w:sz="4" w:space="0"/>
              <w:bottom w:val="nil"/>
              <w:right w:val="single" w:color="000000" w:sz="4" w:space="0"/>
            </w:tcBorders>
            <w:vAlign w:val="top"/>
          </w:tcPr>
          <w:p w14:paraId="6030EC86">
            <w:pPr>
              <w:spacing w:line="435" w:lineRule="auto"/>
              <w:rPr>
                <w:rFonts w:ascii="Arial"/>
                <w:color w:val="auto"/>
                <w:sz w:val="21"/>
                <w:highlight w:val="none"/>
              </w:rPr>
            </w:pPr>
          </w:p>
          <w:p w14:paraId="046412CF">
            <w:pPr>
              <w:pStyle w:val="11"/>
              <w:spacing w:before="65" w:line="222" w:lineRule="auto"/>
              <w:ind w:left="115"/>
              <w:rPr>
                <w:color w:val="auto"/>
                <w:sz w:val="20"/>
                <w:szCs w:val="20"/>
                <w:highlight w:val="none"/>
              </w:rPr>
            </w:pPr>
            <w:r>
              <w:rPr>
                <w:color w:val="auto"/>
                <w:spacing w:val="-1"/>
                <w:sz w:val="20"/>
                <w:szCs w:val="20"/>
                <w:highlight w:val="none"/>
              </w:rPr>
              <w:t>项目名称</w:t>
            </w:r>
          </w:p>
        </w:tc>
        <w:tc>
          <w:tcPr>
            <w:tcW w:w="1455" w:type="dxa"/>
            <w:vMerge w:val="restart"/>
            <w:tcBorders>
              <w:top w:val="single" w:color="000000" w:sz="4" w:space="0"/>
              <w:left w:val="single" w:color="000000" w:sz="4" w:space="0"/>
              <w:bottom w:val="nil"/>
            </w:tcBorders>
            <w:vAlign w:val="top"/>
          </w:tcPr>
          <w:p w14:paraId="3B4C636C">
            <w:pPr>
              <w:spacing w:line="435" w:lineRule="auto"/>
              <w:rPr>
                <w:rFonts w:ascii="Arial"/>
                <w:color w:val="auto"/>
                <w:sz w:val="21"/>
                <w:highlight w:val="none"/>
              </w:rPr>
            </w:pPr>
          </w:p>
          <w:p w14:paraId="52707277">
            <w:pPr>
              <w:pStyle w:val="11"/>
              <w:spacing w:before="65" w:line="221" w:lineRule="auto"/>
              <w:ind w:left="130"/>
              <w:rPr>
                <w:color w:val="auto"/>
                <w:sz w:val="20"/>
                <w:szCs w:val="20"/>
                <w:highlight w:val="none"/>
              </w:rPr>
            </w:pPr>
            <w:r>
              <w:rPr>
                <w:color w:val="auto"/>
                <w:spacing w:val="-1"/>
                <w:sz w:val="20"/>
                <w:szCs w:val="20"/>
                <w:highlight w:val="none"/>
              </w:rPr>
              <w:t>项目特征描述</w:t>
            </w:r>
          </w:p>
        </w:tc>
        <w:tc>
          <w:tcPr>
            <w:tcW w:w="1019" w:type="dxa"/>
            <w:vMerge w:val="restart"/>
            <w:tcBorders>
              <w:top w:val="single" w:color="000000" w:sz="4" w:space="0"/>
              <w:bottom w:val="nil"/>
              <w:right w:val="single" w:color="000000" w:sz="4" w:space="0"/>
            </w:tcBorders>
            <w:vAlign w:val="top"/>
          </w:tcPr>
          <w:p w14:paraId="65E0C51C">
            <w:pPr>
              <w:spacing w:line="435" w:lineRule="auto"/>
              <w:rPr>
                <w:rFonts w:ascii="Arial"/>
                <w:color w:val="auto"/>
                <w:sz w:val="21"/>
                <w:highlight w:val="none"/>
              </w:rPr>
            </w:pPr>
          </w:p>
          <w:p w14:paraId="67EF9C19">
            <w:pPr>
              <w:pStyle w:val="11"/>
              <w:spacing w:before="65" w:line="222" w:lineRule="auto"/>
              <w:ind w:left="110"/>
              <w:rPr>
                <w:color w:val="auto"/>
                <w:sz w:val="20"/>
                <w:szCs w:val="20"/>
                <w:highlight w:val="none"/>
              </w:rPr>
            </w:pPr>
            <w:r>
              <w:rPr>
                <w:color w:val="auto"/>
                <w:spacing w:val="-1"/>
                <w:sz w:val="20"/>
                <w:szCs w:val="20"/>
                <w:highlight w:val="none"/>
              </w:rPr>
              <w:t>计量单位</w:t>
            </w:r>
          </w:p>
        </w:tc>
        <w:tc>
          <w:tcPr>
            <w:tcW w:w="834" w:type="dxa"/>
            <w:vMerge w:val="restart"/>
            <w:tcBorders>
              <w:top w:val="single" w:color="000000" w:sz="4" w:space="0"/>
              <w:left w:val="single" w:color="000000" w:sz="4" w:space="0"/>
              <w:bottom w:val="nil"/>
              <w:right w:val="single" w:color="000000" w:sz="4" w:space="0"/>
            </w:tcBorders>
            <w:vAlign w:val="top"/>
          </w:tcPr>
          <w:p w14:paraId="23652BFB">
            <w:pPr>
              <w:spacing w:line="435" w:lineRule="auto"/>
              <w:rPr>
                <w:rFonts w:ascii="Arial"/>
                <w:color w:val="auto"/>
                <w:sz w:val="21"/>
                <w:highlight w:val="none"/>
              </w:rPr>
            </w:pPr>
          </w:p>
          <w:p w14:paraId="7E1F9E10">
            <w:pPr>
              <w:pStyle w:val="11"/>
              <w:spacing w:before="65" w:line="222" w:lineRule="auto"/>
              <w:ind w:left="124"/>
              <w:rPr>
                <w:color w:val="auto"/>
                <w:sz w:val="20"/>
                <w:szCs w:val="20"/>
                <w:highlight w:val="none"/>
              </w:rPr>
            </w:pPr>
            <w:r>
              <w:rPr>
                <w:color w:val="auto"/>
                <w:spacing w:val="-2"/>
                <w:sz w:val="20"/>
                <w:szCs w:val="20"/>
                <w:highlight w:val="none"/>
              </w:rPr>
              <w:t>工程量</w:t>
            </w:r>
          </w:p>
        </w:tc>
        <w:tc>
          <w:tcPr>
            <w:tcW w:w="2453" w:type="dxa"/>
            <w:gridSpan w:val="3"/>
            <w:tcBorders>
              <w:top w:val="single" w:color="000000" w:sz="4" w:space="0"/>
              <w:left w:val="single" w:color="000000" w:sz="4" w:space="0"/>
              <w:right w:val="single" w:color="000000" w:sz="4" w:space="0"/>
            </w:tcBorders>
            <w:vAlign w:val="top"/>
          </w:tcPr>
          <w:p w14:paraId="11CD8E5C">
            <w:pPr>
              <w:pStyle w:val="11"/>
              <w:spacing w:before="109" w:line="221" w:lineRule="auto"/>
              <w:ind w:left="729"/>
              <w:rPr>
                <w:color w:val="auto"/>
                <w:sz w:val="20"/>
                <w:szCs w:val="20"/>
                <w:highlight w:val="none"/>
              </w:rPr>
            </w:pPr>
            <w:r>
              <w:rPr>
                <w:color w:val="auto"/>
                <w:spacing w:val="-1"/>
                <w:sz w:val="20"/>
                <w:szCs w:val="20"/>
                <w:highlight w:val="none"/>
              </w:rPr>
              <w:t>金额（元）</w:t>
            </w:r>
          </w:p>
        </w:tc>
      </w:tr>
      <w:tr w14:paraId="2CB6E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653" w:type="dxa"/>
            <w:vMerge w:val="continue"/>
            <w:tcBorders>
              <w:top w:val="nil"/>
              <w:left w:val="single" w:color="000000" w:sz="4" w:space="0"/>
            </w:tcBorders>
            <w:vAlign w:val="top"/>
          </w:tcPr>
          <w:p w14:paraId="011B2977">
            <w:pPr>
              <w:rPr>
                <w:rFonts w:ascii="Arial"/>
                <w:color w:val="auto"/>
                <w:sz w:val="21"/>
                <w:highlight w:val="none"/>
              </w:rPr>
            </w:pPr>
          </w:p>
        </w:tc>
        <w:tc>
          <w:tcPr>
            <w:tcW w:w="1043" w:type="dxa"/>
            <w:vMerge w:val="continue"/>
            <w:tcBorders>
              <w:top w:val="nil"/>
              <w:right w:val="single" w:color="000000" w:sz="4" w:space="0"/>
            </w:tcBorders>
            <w:vAlign w:val="top"/>
          </w:tcPr>
          <w:p w14:paraId="20C8ADC9">
            <w:pPr>
              <w:rPr>
                <w:rFonts w:ascii="Arial"/>
                <w:color w:val="auto"/>
                <w:sz w:val="21"/>
                <w:highlight w:val="none"/>
              </w:rPr>
            </w:pPr>
          </w:p>
        </w:tc>
        <w:tc>
          <w:tcPr>
            <w:tcW w:w="1027" w:type="dxa"/>
            <w:vMerge w:val="continue"/>
            <w:tcBorders>
              <w:top w:val="nil"/>
              <w:left w:val="single" w:color="000000" w:sz="4" w:space="0"/>
              <w:right w:val="single" w:color="000000" w:sz="4" w:space="0"/>
            </w:tcBorders>
            <w:vAlign w:val="top"/>
          </w:tcPr>
          <w:p w14:paraId="3BA68064">
            <w:pPr>
              <w:rPr>
                <w:rFonts w:ascii="Arial"/>
                <w:color w:val="auto"/>
                <w:sz w:val="21"/>
                <w:highlight w:val="none"/>
              </w:rPr>
            </w:pPr>
          </w:p>
        </w:tc>
        <w:tc>
          <w:tcPr>
            <w:tcW w:w="1455" w:type="dxa"/>
            <w:vMerge w:val="continue"/>
            <w:tcBorders>
              <w:top w:val="nil"/>
              <w:left w:val="single" w:color="000000" w:sz="4" w:space="0"/>
            </w:tcBorders>
            <w:vAlign w:val="top"/>
          </w:tcPr>
          <w:p w14:paraId="1D53D8F9">
            <w:pPr>
              <w:rPr>
                <w:rFonts w:ascii="Arial"/>
                <w:color w:val="auto"/>
                <w:sz w:val="21"/>
                <w:highlight w:val="none"/>
              </w:rPr>
            </w:pPr>
          </w:p>
        </w:tc>
        <w:tc>
          <w:tcPr>
            <w:tcW w:w="1019" w:type="dxa"/>
            <w:vMerge w:val="continue"/>
            <w:tcBorders>
              <w:top w:val="nil"/>
              <w:right w:val="single" w:color="000000" w:sz="4" w:space="0"/>
            </w:tcBorders>
            <w:vAlign w:val="top"/>
          </w:tcPr>
          <w:p w14:paraId="6B61CB59">
            <w:pPr>
              <w:rPr>
                <w:rFonts w:ascii="Arial"/>
                <w:color w:val="auto"/>
                <w:sz w:val="21"/>
                <w:highlight w:val="none"/>
              </w:rPr>
            </w:pPr>
          </w:p>
        </w:tc>
        <w:tc>
          <w:tcPr>
            <w:tcW w:w="834" w:type="dxa"/>
            <w:vMerge w:val="continue"/>
            <w:tcBorders>
              <w:top w:val="nil"/>
              <w:left w:val="single" w:color="000000" w:sz="4" w:space="0"/>
              <w:right w:val="single" w:color="000000" w:sz="4" w:space="0"/>
            </w:tcBorders>
            <w:vAlign w:val="top"/>
          </w:tcPr>
          <w:p w14:paraId="65B054F6">
            <w:pPr>
              <w:rPr>
                <w:rFonts w:ascii="Arial"/>
                <w:color w:val="auto"/>
                <w:sz w:val="21"/>
                <w:highlight w:val="none"/>
              </w:rPr>
            </w:pPr>
          </w:p>
        </w:tc>
        <w:tc>
          <w:tcPr>
            <w:tcW w:w="770" w:type="dxa"/>
            <w:tcBorders>
              <w:left w:val="single" w:color="000000" w:sz="4" w:space="0"/>
            </w:tcBorders>
            <w:vAlign w:val="top"/>
          </w:tcPr>
          <w:p w14:paraId="3CCA4632">
            <w:pPr>
              <w:pStyle w:val="11"/>
              <w:spacing w:before="158" w:line="239" w:lineRule="auto"/>
              <w:ind w:left="187"/>
              <w:rPr>
                <w:color w:val="auto"/>
                <w:sz w:val="20"/>
                <w:szCs w:val="20"/>
                <w:highlight w:val="none"/>
              </w:rPr>
            </w:pPr>
            <w:r>
              <w:rPr>
                <w:color w:val="auto"/>
                <w:spacing w:val="-2"/>
                <w:sz w:val="20"/>
                <w:szCs w:val="20"/>
                <w:highlight w:val="none"/>
              </w:rPr>
              <w:t>综合</w:t>
            </w:r>
          </w:p>
          <w:p w14:paraId="6E02BBBD">
            <w:pPr>
              <w:pStyle w:val="11"/>
              <w:spacing w:line="219" w:lineRule="auto"/>
              <w:ind w:left="186"/>
              <w:rPr>
                <w:color w:val="auto"/>
                <w:sz w:val="20"/>
                <w:szCs w:val="20"/>
                <w:highlight w:val="none"/>
              </w:rPr>
            </w:pPr>
            <w:r>
              <w:rPr>
                <w:color w:val="auto"/>
                <w:spacing w:val="-2"/>
                <w:sz w:val="20"/>
                <w:szCs w:val="20"/>
                <w:highlight w:val="none"/>
              </w:rPr>
              <w:t>单价</w:t>
            </w:r>
          </w:p>
        </w:tc>
        <w:tc>
          <w:tcPr>
            <w:tcW w:w="736" w:type="dxa"/>
            <w:tcBorders>
              <w:right w:val="single" w:color="000000" w:sz="4" w:space="0"/>
            </w:tcBorders>
            <w:vAlign w:val="top"/>
          </w:tcPr>
          <w:p w14:paraId="13C6B4D8">
            <w:pPr>
              <w:pStyle w:val="11"/>
              <w:spacing w:before="287" w:line="220" w:lineRule="auto"/>
              <w:ind w:left="177"/>
              <w:rPr>
                <w:color w:val="auto"/>
                <w:sz w:val="20"/>
                <w:szCs w:val="20"/>
                <w:highlight w:val="none"/>
              </w:rPr>
            </w:pPr>
            <w:r>
              <w:rPr>
                <w:color w:val="auto"/>
                <w:spacing w:val="-2"/>
                <w:sz w:val="20"/>
                <w:szCs w:val="20"/>
                <w:highlight w:val="none"/>
              </w:rPr>
              <w:t>合价</w:t>
            </w:r>
          </w:p>
        </w:tc>
        <w:tc>
          <w:tcPr>
            <w:tcW w:w="947" w:type="dxa"/>
            <w:tcBorders>
              <w:left w:val="single" w:color="000000" w:sz="4" w:space="0"/>
              <w:right w:val="single" w:color="000000" w:sz="4" w:space="0"/>
            </w:tcBorders>
            <w:vAlign w:val="top"/>
          </w:tcPr>
          <w:p w14:paraId="20D65EFF">
            <w:pPr>
              <w:pStyle w:val="11"/>
              <w:spacing w:before="27" w:line="229" w:lineRule="auto"/>
              <w:ind w:left="121" w:right="110" w:firstLine="157"/>
              <w:rPr>
                <w:color w:val="auto"/>
                <w:sz w:val="20"/>
                <w:szCs w:val="20"/>
                <w:highlight w:val="none"/>
              </w:rPr>
            </w:pPr>
            <w:r>
              <w:rPr>
                <w:color w:val="auto"/>
                <w:spacing w:val="-3"/>
                <w:sz w:val="20"/>
                <w:szCs w:val="20"/>
                <w:highlight w:val="none"/>
              </w:rPr>
              <w:t>其中</w:t>
            </w:r>
            <w:r>
              <w:rPr>
                <w:color w:val="auto"/>
                <w:sz w:val="20"/>
                <w:szCs w:val="20"/>
                <w:highlight w:val="none"/>
              </w:rPr>
              <w:t xml:space="preserve">  </w:t>
            </w:r>
            <w:r>
              <w:rPr>
                <w:color w:val="auto"/>
                <w:spacing w:val="-3"/>
                <w:sz w:val="20"/>
                <w:szCs w:val="20"/>
                <w:highlight w:val="none"/>
              </w:rPr>
              <w:t>人工费</w:t>
            </w:r>
            <w:r>
              <w:rPr>
                <w:rFonts w:ascii="Times New Roman" w:hAnsi="Times New Roman" w:eastAsia="Times New Roman" w:cs="Times New Roman"/>
                <w:color w:val="auto"/>
                <w:spacing w:val="-3"/>
                <w:sz w:val="20"/>
                <w:szCs w:val="20"/>
                <w:highlight w:val="none"/>
              </w:rPr>
              <w:t>+</w:t>
            </w:r>
            <w:r>
              <w:rPr>
                <w:rFonts w:ascii="Times New Roman" w:hAnsi="Times New Roman" w:eastAsia="Times New Roman" w:cs="Times New Roman"/>
                <w:color w:val="auto"/>
                <w:spacing w:val="2"/>
                <w:sz w:val="20"/>
                <w:szCs w:val="20"/>
                <w:highlight w:val="none"/>
              </w:rPr>
              <w:t xml:space="preserve"> </w:t>
            </w:r>
            <w:r>
              <w:rPr>
                <w:color w:val="auto"/>
                <w:spacing w:val="17"/>
                <w:sz w:val="20"/>
                <w:szCs w:val="20"/>
                <w:highlight w:val="none"/>
              </w:rPr>
              <w:t>机械费</w:t>
            </w:r>
          </w:p>
        </w:tc>
      </w:tr>
      <w:tr w14:paraId="10AE8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14:paraId="44729BEA">
            <w:pPr>
              <w:rPr>
                <w:rFonts w:ascii="Arial"/>
                <w:color w:val="auto"/>
                <w:sz w:val="21"/>
                <w:highlight w:val="none"/>
              </w:rPr>
            </w:pPr>
          </w:p>
        </w:tc>
        <w:tc>
          <w:tcPr>
            <w:tcW w:w="1043" w:type="dxa"/>
            <w:tcBorders>
              <w:right w:val="single" w:color="000000" w:sz="4" w:space="0"/>
            </w:tcBorders>
            <w:vAlign w:val="top"/>
          </w:tcPr>
          <w:p w14:paraId="64825D9B">
            <w:pPr>
              <w:rPr>
                <w:rFonts w:ascii="Arial"/>
                <w:color w:val="auto"/>
                <w:sz w:val="21"/>
                <w:highlight w:val="none"/>
              </w:rPr>
            </w:pPr>
          </w:p>
        </w:tc>
        <w:tc>
          <w:tcPr>
            <w:tcW w:w="1027" w:type="dxa"/>
            <w:tcBorders>
              <w:left w:val="single" w:color="000000" w:sz="4" w:space="0"/>
              <w:right w:val="single" w:color="000000" w:sz="4" w:space="0"/>
            </w:tcBorders>
            <w:vAlign w:val="top"/>
          </w:tcPr>
          <w:p w14:paraId="05802C29">
            <w:pPr>
              <w:rPr>
                <w:rFonts w:ascii="Arial"/>
                <w:color w:val="auto"/>
                <w:sz w:val="21"/>
                <w:highlight w:val="none"/>
              </w:rPr>
            </w:pPr>
          </w:p>
        </w:tc>
        <w:tc>
          <w:tcPr>
            <w:tcW w:w="1455" w:type="dxa"/>
            <w:tcBorders>
              <w:left w:val="single" w:color="000000" w:sz="4" w:space="0"/>
            </w:tcBorders>
            <w:vAlign w:val="top"/>
          </w:tcPr>
          <w:p w14:paraId="499613E6">
            <w:pPr>
              <w:rPr>
                <w:rFonts w:ascii="Arial"/>
                <w:color w:val="auto"/>
                <w:sz w:val="21"/>
                <w:highlight w:val="none"/>
              </w:rPr>
            </w:pPr>
          </w:p>
        </w:tc>
        <w:tc>
          <w:tcPr>
            <w:tcW w:w="1019" w:type="dxa"/>
            <w:tcBorders>
              <w:right w:val="single" w:color="000000" w:sz="4" w:space="0"/>
            </w:tcBorders>
            <w:vAlign w:val="top"/>
          </w:tcPr>
          <w:p w14:paraId="403958F5">
            <w:pPr>
              <w:rPr>
                <w:rFonts w:ascii="Arial"/>
                <w:color w:val="auto"/>
                <w:sz w:val="21"/>
                <w:highlight w:val="none"/>
              </w:rPr>
            </w:pPr>
          </w:p>
        </w:tc>
        <w:tc>
          <w:tcPr>
            <w:tcW w:w="834" w:type="dxa"/>
            <w:tcBorders>
              <w:left w:val="single" w:color="000000" w:sz="4" w:space="0"/>
              <w:right w:val="single" w:color="000000" w:sz="4" w:space="0"/>
            </w:tcBorders>
            <w:vAlign w:val="top"/>
          </w:tcPr>
          <w:p w14:paraId="52A4A038">
            <w:pPr>
              <w:rPr>
                <w:rFonts w:ascii="Arial"/>
                <w:color w:val="auto"/>
                <w:sz w:val="21"/>
                <w:highlight w:val="none"/>
              </w:rPr>
            </w:pPr>
          </w:p>
        </w:tc>
        <w:tc>
          <w:tcPr>
            <w:tcW w:w="770" w:type="dxa"/>
            <w:tcBorders>
              <w:left w:val="single" w:color="000000" w:sz="4" w:space="0"/>
            </w:tcBorders>
            <w:vAlign w:val="top"/>
          </w:tcPr>
          <w:p w14:paraId="46762749">
            <w:pPr>
              <w:rPr>
                <w:rFonts w:ascii="Arial"/>
                <w:color w:val="auto"/>
                <w:sz w:val="21"/>
                <w:highlight w:val="none"/>
              </w:rPr>
            </w:pPr>
          </w:p>
        </w:tc>
        <w:tc>
          <w:tcPr>
            <w:tcW w:w="736" w:type="dxa"/>
            <w:tcBorders>
              <w:right w:val="single" w:color="000000" w:sz="4" w:space="0"/>
            </w:tcBorders>
            <w:vAlign w:val="top"/>
          </w:tcPr>
          <w:p w14:paraId="5289D6A9">
            <w:pPr>
              <w:rPr>
                <w:rFonts w:ascii="Arial"/>
                <w:color w:val="auto"/>
                <w:sz w:val="21"/>
                <w:highlight w:val="none"/>
              </w:rPr>
            </w:pPr>
          </w:p>
        </w:tc>
        <w:tc>
          <w:tcPr>
            <w:tcW w:w="947" w:type="dxa"/>
            <w:tcBorders>
              <w:left w:val="single" w:color="000000" w:sz="4" w:space="0"/>
              <w:right w:val="single" w:color="000000" w:sz="4" w:space="0"/>
            </w:tcBorders>
            <w:vAlign w:val="top"/>
          </w:tcPr>
          <w:p w14:paraId="186F0EE4">
            <w:pPr>
              <w:rPr>
                <w:rFonts w:ascii="Arial"/>
                <w:color w:val="auto"/>
                <w:sz w:val="21"/>
                <w:highlight w:val="none"/>
              </w:rPr>
            </w:pPr>
          </w:p>
        </w:tc>
      </w:tr>
      <w:tr w14:paraId="23D6E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14:paraId="78758A62">
            <w:pPr>
              <w:rPr>
                <w:rFonts w:ascii="Arial"/>
                <w:color w:val="auto"/>
                <w:sz w:val="21"/>
                <w:highlight w:val="none"/>
              </w:rPr>
            </w:pPr>
          </w:p>
        </w:tc>
        <w:tc>
          <w:tcPr>
            <w:tcW w:w="1043" w:type="dxa"/>
            <w:tcBorders>
              <w:right w:val="single" w:color="000000" w:sz="4" w:space="0"/>
            </w:tcBorders>
            <w:vAlign w:val="top"/>
          </w:tcPr>
          <w:p w14:paraId="14E13349">
            <w:pPr>
              <w:rPr>
                <w:rFonts w:ascii="Arial"/>
                <w:color w:val="auto"/>
                <w:sz w:val="21"/>
                <w:highlight w:val="none"/>
              </w:rPr>
            </w:pPr>
          </w:p>
        </w:tc>
        <w:tc>
          <w:tcPr>
            <w:tcW w:w="1027" w:type="dxa"/>
            <w:tcBorders>
              <w:left w:val="single" w:color="000000" w:sz="4" w:space="0"/>
              <w:right w:val="single" w:color="000000" w:sz="4" w:space="0"/>
            </w:tcBorders>
            <w:vAlign w:val="top"/>
          </w:tcPr>
          <w:p w14:paraId="37A8FA04">
            <w:pPr>
              <w:rPr>
                <w:rFonts w:ascii="Arial"/>
                <w:color w:val="auto"/>
                <w:sz w:val="21"/>
                <w:highlight w:val="none"/>
              </w:rPr>
            </w:pPr>
          </w:p>
        </w:tc>
        <w:tc>
          <w:tcPr>
            <w:tcW w:w="1455" w:type="dxa"/>
            <w:tcBorders>
              <w:left w:val="single" w:color="000000" w:sz="4" w:space="0"/>
            </w:tcBorders>
            <w:vAlign w:val="top"/>
          </w:tcPr>
          <w:p w14:paraId="400DE1B9">
            <w:pPr>
              <w:rPr>
                <w:rFonts w:ascii="Arial"/>
                <w:color w:val="auto"/>
                <w:sz w:val="21"/>
                <w:highlight w:val="none"/>
              </w:rPr>
            </w:pPr>
          </w:p>
        </w:tc>
        <w:tc>
          <w:tcPr>
            <w:tcW w:w="1019" w:type="dxa"/>
            <w:tcBorders>
              <w:right w:val="single" w:color="000000" w:sz="4" w:space="0"/>
            </w:tcBorders>
            <w:vAlign w:val="top"/>
          </w:tcPr>
          <w:p w14:paraId="249B414C">
            <w:pPr>
              <w:rPr>
                <w:rFonts w:ascii="Arial"/>
                <w:color w:val="auto"/>
                <w:sz w:val="21"/>
                <w:highlight w:val="none"/>
              </w:rPr>
            </w:pPr>
          </w:p>
        </w:tc>
        <w:tc>
          <w:tcPr>
            <w:tcW w:w="834" w:type="dxa"/>
            <w:tcBorders>
              <w:left w:val="single" w:color="000000" w:sz="4" w:space="0"/>
              <w:right w:val="single" w:color="000000" w:sz="4" w:space="0"/>
            </w:tcBorders>
            <w:vAlign w:val="top"/>
          </w:tcPr>
          <w:p w14:paraId="390A81C8">
            <w:pPr>
              <w:rPr>
                <w:rFonts w:ascii="Arial"/>
                <w:color w:val="auto"/>
                <w:sz w:val="21"/>
                <w:highlight w:val="none"/>
              </w:rPr>
            </w:pPr>
          </w:p>
        </w:tc>
        <w:tc>
          <w:tcPr>
            <w:tcW w:w="770" w:type="dxa"/>
            <w:tcBorders>
              <w:left w:val="single" w:color="000000" w:sz="4" w:space="0"/>
            </w:tcBorders>
            <w:vAlign w:val="top"/>
          </w:tcPr>
          <w:p w14:paraId="10736293">
            <w:pPr>
              <w:rPr>
                <w:rFonts w:ascii="Arial"/>
                <w:color w:val="auto"/>
                <w:sz w:val="21"/>
                <w:highlight w:val="none"/>
              </w:rPr>
            </w:pPr>
          </w:p>
        </w:tc>
        <w:tc>
          <w:tcPr>
            <w:tcW w:w="736" w:type="dxa"/>
            <w:tcBorders>
              <w:right w:val="single" w:color="000000" w:sz="4" w:space="0"/>
            </w:tcBorders>
            <w:vAlign w:val="top"/>
          </w:tcPr>
          <w:p w14:paraId="17FAFC89">
            <w:pPr>
              <w:rPr>
                <w:rFonts w:ascii="Arial"/>
                <w:color w:val="auto"/>
                <w:sz w:val="21"/>
                <w:highlight w:val="none"/>
              </w:rPr>
            </w:pPr>
          </w:p>
        </w:tc>
        <w:tc>
          <w:tcPr>
            <w:tcW w:w="947" w:type="dxa"/>
            <w:tcBorders>
              <w:left w:val="single" w:color="000000" w:sz="4" w:space="0"/>
              <w:right w:val="single" w:color="000000" w:sz="4" w:space="0"/>
            </w:tcBorders>
            <w:vAlign w:val="top"/>
          </w:tcPr>
          <w:p w14:paraId="6B8699DE">
            <w:pPr>
              <w:rPr>
                <w:rFonts w:ascii="Arial"/>
                <w:color w:val="auto"/>
                <w:sz w:val="21"/>
                <w:highlight w:val="none"/>
              </w:rPr>
            </w:pPr>
          </w:p>
        </w:tc>
      </w:tr>
      <w:tr w14:paraId="23ECF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14:paraId="2E803D63">
            <w:pPr>
              <w:rPr>
                <w:rFonts w:ascii="Arial"/>
                <w:color w:val="auto"/>
                <w:sz w:val="21"/>
                <w:highlight w:val="none"/>
              </w:rPr>
            </w:pPr>
          </w:p>
        </w:tc>
        <w:tc>
          <w:tcPr>
            <w:tcW w:w="1043" w:type="dxa"/>
            <w:tcBorders>
              <w:right w:val="single" w:color="000000" w:sz="4" w:space="0"/>
            </w:tcBorders>
            <w:vAlign w:val="top"/>
          </w:tcPr>
          <w:p w14:paraId="29C3790E">
            <w:pPr>
              <w:rPr>
                <w:rFonts w:ascii="Arial"/>
                <w:color w:val="auto"/>
                <w:sz w:val="21"/>
                <w:highlight w:val="none"/>
              </w:rPr>
            </w:pPr>
          </w:p>
        </w:tc>
        <w:tc>
          <w:tcPr>
            <w:tcW w:w="1027" w:type="dxa"/>
            <w:tcBorders>
              <w:left w:val="single" w:color="000000" w:sz="4" w:space="0"/>
              <w:right w:val="single" w:color="000000" w:sz="4" w:space="0"/>
            </w:tcBorders>
            <w:vAlign w:val="top"/>
          </w:tcPr>
          <w:p w14:paraId="093F819E">
            <w:pPr>
              <w:rPr>
                <w:rFonts w:ascii="Arial"/>
                <w:color w:val="auto"/>
                <w:sz w:val="21"/>
                <w:highlight w:val="none"/>
              </w:rPr>
            </w:pPr>
          </w:p>
        </w:tc>
        <w:tc>
          <w:tcPr>
            <w:tcW w:w="1455" w:type="dxa"/>
            <w:tcBorders>
              <w:left w:val="single" w:color="000000" w:sz="4" w:space="0"/>
            </w:tcBorders>
            <w:vAlign w:val="top"/>
          </w:tcPr>
          <w:p w14:paraId="2724D347">
            <w:pPr>
              <w:rPr>
                <w:rFonts w:ascii="Arial"/>
                <w:color w:val="auto"/>
                <w:sz w:val="21"/>
                <w:highlight w:val="none"/>
              </w:rPr>
            </w:pPr>
          </w:p>
        </w:tc>
        <w:tc>
          <w:tcPr>
            <w:tcW w:w="1019" w:type="dxa"/>
            <w:tcBorders>
              <w:right w:val="single" w:color="000000" w:sz="4" w:space="0"/>
            </w:tcBorders>
            <w:vAlign w:val="top"/>
          </w:tcPr>
          <w:p w14:paraId="390BD60C">
            <w:pPr>
              <w:rPr>
                <w:rFonts w:ascii="Arial"/>
                <w:color w:val="auto"/>
                <w:sz w:val="21"/>
                <w:highlight w:val="none"/>
              </w:rPr>
            </w:pPr>
          </w:p>
        </w:tc>
        <w:tc>
          <w:tcPr>
            <w:tcW w:w="834" w:type="dxa"/>
            <w:tcBorders>
              <w:left w:val="single" w:color="000000" w:sz="4" w:space="0"/>
              <w:right w:val="single" w:color="000000" w:sz="4" w:space="0"/>
            </w:tcBorders>
            <w:vAlign w:val="top"/>
          </w:tcPr>
          <w:p w14:paraId="0EA39D53">
            <w:pPr>
              <w:rPr>
                <w:rFonts w:ascii="Arial"/>
                <w:color w:val="auto"/>
                <w:sz w:val="21"/>
                <w:highlight w:val="none"/>
              </w:rPr>
            </w:pPr>
          </w:p>
        </w:tc>
        <w:tc>
          <w:tcPr>
            <w:tcW w:w="770" w:type="dxa"/>
            <w:tcBorders>
              <w:left w:val="single" w:color="000000" w:sz="4" w:space="0"/>
            </w:tcBorders>
            <w:vAlign w:val="top"/>
          </w:tcPr>
          <w:p w14:paraId="67DF5397">
            <w:pPr>
              <w:rPr>
                <w:rFonts w:ascii="Arial"/>
                <w:color w:val="auto"/>
                <w:sz w:val="21"/>
                <w:highlight w:val="none"/>
              </w:rPr>
            </w:pPr>
          </w:p>
        </w:tc>
        <w:tc>
          <w:tcPr>
            <w:tcW w:w="736" w:type="dxa"/>
            <w:tcBorders>
              <w:right w:val="single" w:color="000000" w:sz="4" w:space="0"/>
            </w:tcBorders>
            <w:vAlign w:val="top"/>
          </w:tcPr>
          <w:p w14:paraId="67D8E3BD">
            <w:pPr>
              <w:rPr>
                <w:rFonts w:ascii="Arial"/>
                <w:color w:val="auto"/>
                <w:sz w:val="21"/>
                <w:highlight w:val="none"/>
              </w:rPr>
            </w:pPr>
          </w:p>
        </w:tc>
        <w:tc>
          <w:tcPr>
            <w:tcW w:w="947" w:type="dxa"/>
            <w:tcBorders>
              <w:left w:val="single" w:color="000000" w:sz="4" w:space="0"/>
              <w:right w:val="single" w:color="000000" w:sz="4" w:space="0"/>
            </w:tcBorders>
            <w:vAlign w:val="top"/>
          </w:tcPr>
          <w:p w14:paraId="75194F4D">
            <w:pPr>
              <w:rPr>
                <w:rFonts w:ascii="Arial"/>
                <w:color w:val="auto"/>
                <w:sz w:val="21"/>
                <w:highlight w:val="none"/>
              </w:rPr>
            </w:pPr>
          </w:p>
        </w:tc>
      </w:tr>
      <w:tr w14:paraId="26202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53" w:type="dxa"/>
            <w:tcBorders>
              <w:left w:val="single" w:color="000000" w:sz="4" w:space="0"/>
            </w:tcBorders>
            <w:vAlign w:val="top"/>
          </w:tcPr>
          <w:p w14:paraId="6C3B40DF">
            <w:pPr>
              <w:rPr>
                <w:rFonts w:ascii="Arial"/>
                <w:color w:val="auto"/>
                <w:sz w:val="21"/>
                <w:highlight w:val="none"/>
              </w:rPr>
            </w:pPr>
          </w:p>
        </w:tc>
        <w:tc>
          <w:tcPr>
            <w:tcW w:w="1043" w:type="dxa"/>
            <w:tcBorders>
              <w:right w:val="single" w:color="000000" w:sz="4" w:space="0"/>
            </w:tcBorders>
            <w:vAlign w:val="top"/>
          </w:tcPr>
          <w:p w14:paraId="1D808D1B">
            <w:pPr>
              <w:rPr>
                <w:rFonts w:ascii="Arial"/>
                <w:color w:val="auto"/>
                <w:sz w:val="21"/>
                <w:highlight w:val="none"/>
              </w:rPr>
            </w:pPr>
          </w:p>
        </w:tc>
        <w:tc>
          <w:tcPr>
            <w:tcW w:w="1027" w:type="dxa"/>
            <w:tcBorders>
              <w:left w:val="single" w:color="000000" w:sz="4" w:space="0"/>
              <w:right w:val="single" w:color="000000" w:sz="4" w:space="0"/>
            </w:tcBorders>
            <w:vAlign w:val="top"/>
          </w:tcPr>
          <w:p w14:paraId="3B316897">
            <w:pPr>
              <w:rPr>
                <w:rFonts w:ascii="Arial"/>
                <w:color w:val="auto"/>
                <w:sz w:val="21"/>
                <w:highlight w:val="none"/>
              </w:rPr>
            </w:pPr>
          </w:p>
        </w:tc>
        <w:tc>
          <w:tcPr>
            <w:tcW w:w="1455" w:type="dxa"/>
            <w:tcBorders>
              <w:left w:val="single" w:color="000000" w:sz="4" w:space="0"/>
            </w:tcBorders>
            <w:vAlign w:val="top"/>
          </w:tcPr>
          <w:p w14:paraId="75E56FB4">
            <w:pPr>
              <w:rPr>
                <w:rFonts w:ascii="Arial"/>
                <w:color w:val="auto"/>
                <w:sz w:val="21"/>
                <w:highlight w:val="none"/>
              </w:rPr>
            </w:pPr>
          </w:p>
        </w:tc>
        <w:tc>
          <w:tcPr>
            <w:tcW w:w="1019" w:type="dxa"/>
            <w:tcBorders>
              <w:right w:val="single" w:color="000000" w:sz="4" w:space="0"/>
            </w:tcBorders>
            <w:vAlign w:val="top"/>
          </w:tcPr>
          <w:p w14:paraId="24727401">
            <w:pPr>
              <w:rPr>
                <w:rFonts w:ascii="Arial"/>
                <w:color w:val="auto"/>
                <w:sz w:val="21"/>
                <w:highlight w:val="none"/>
              </w:rPr>
            </w:pPr>
          </w:p>
        </w:tc>
        <w:tc>
          <w:tcPr>
            <w:tcW w:w="834" w:type="dxa"/>
            <w:tcBorders>
              <w:left w:val="single" w:color="000000" w:sz="4" w:space="0"/>
              <w:right w:val="single" w:color="000000" w:sz="4" w:space="0"/>
            </w:tcBorders>
            <w:vAlign w:val="top"/>
          </w:tcPr>
          <w:p w14:paraId="134CA411">
            <w:pPr>
              <w:rPr>
                <w:rFonts w:ascii="Arial"/>
                <w:color w:val="auto"/>
                <w:sz w:val="21"/>
                <w:highlight w:val="none"/>
              </w:rPr>
            </w:pPr>
          </w:p>
        </w:tc>
        <w:tc>
          <w:tcPr>
            <w:tcW w:w="770" w:type="dxa"/>
            <w:tcBorders>
              <w:left w:val="single" w:color="000000" w:sz="4" w:space="0"/>
            </w:tcBorders>
            <w:vAlign w:val="top"/>
          </w:tcPr>
          <w:p w14:paraId="5F8264FA">
            <w:pPr>
              <w:rPr>
                <w:rFonts w:ascii="Arial"/>
                <w:color w:val="auto"/>
                <w:sz w:val="21"/>
                <w:highlight w:val="none"/>
              </w:rPr>
            </w:pPr>
          </w:p>
        </w:tc>
        <w:tc>
          <w:tcPr>
            <w:tcW w:w="736" w:type="dxa"/>
            <w:tcBorders>
              <w:right w:val="single" w:color="000000" w:sz="4" w:space="0"/>
            </w:tcBorders>
            <w:vAlign w:val="top"/>
          </w:tcPr>
          <w:p w14:paraId="13BFA87D">
            <w:pPr>
              <w:rPr>
                <w:rFonts w:ascii="Arial"/>
                <w:color w:val="auto"/>
                <w:sz w:val="21"/>
                <w:highlight w:val="none"/>
              </w:rPr>
            </w:pPr>
          </w:p>
        </w:tc>
        <w:tc>
          <w:tcPr>
            <w:tcW w:w="947" w:type="dxa"/>
            <w:tcBorders>
              <w:left w:val="single" w:color="000000" w:sz="4" w:space="0"/>
              <w:right w:val="single" w:color="000000" w:sz="4" w:space="0"/>
            </w:tcBorders>
            <w:vAlign w:val="top"/>
          </w:tcPr>
          <w:p w14:paraId="1C955CE1">
            <w:pPr>
              <w:rPr>
                <w:rFonts w:ascii="Arial"/>
                <w:color w:val="auto"/>
                <w:sz w:val="21"/>
                <w:highlight w:val="none"/>
              </w:rPr>
            </w:pPr>
          </w:p>
        </w:tc>
      </w:tr>
      <w:tr w14:paraId="426DA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14:paraId="1F02C58F">
            <w:pPr>
              <w:rPr>
                <w:rFonts w:ascii="Arial"/>
                <w:color w:val="auto"/>
                <w:sz w:val="21"/>
                <w:highlight w:val="none"/>
              </w:rPr>
            </w:pPr>
          </w:p>
        </w:tc>
        <w:tc>
          <w:tcPr>
            <w:tcW w:w="1043" w:type="dxa"/>
            <w:tcBorders>
              <w:right w:val="single" w:color="000000" w:sz="4" w:space="0"/>
            </w:tcBorders>
            <w:vAlign w:val="top"/>
          </w:tcPr>
          <w:p w14:paraId="243180FC">
            <w:pPr>
              <w:rPr>
                <w:rFonts w:ascii="Arial"/>
                <w:color w:val="auto"/>
                <w:sz w:val="21"/>
                <w:highlight w:val="none"/>
              </w:rPr>
            </w:pPr>
          </w:p>
        </w:tc>
        <w:tc>
          <w:tcPr>
            <w:tcW w:w="1027" w:type="dxa"/>
            <w:tcBorders>
              <w:left w:val="single" w:color="000000" w:sz="4" w:space="0"/>
              <w:right w:val="single" w:color="000000" w:sz="4" w:space="0"/>
            </w:tcBorders>
            <w:vAlign w:val="top"/>
          </w:tcPr>
          <w:p w14:paraId="60032623">
            <w:pPr>
              <w:rPr>
                <w:rFonts w:ascii="Arial"/>
                <w:color w:val="auto"/>
                <w:sz w:val="21"/>
                <w:highlight w:val="none"/>
              </w:rPr>
            </w:pPr>
          </w:p>
        </w:tc>
        <w:tc>
          <w:tcPr>
            <w:tcW w:w="1455" w:type="dxa"/>
            <w:tcBorders>
              <w:left w:val="single" w:color="000000" w:sz="4" w:space="0"/>
            </w:tcBorders>
            <w:vAlign w:val="top"/>
          </w:tcPr>
          <w:p w14:paraId="3D34597D">
            <w:pPr>
              <w:rPr>
                <w:rFonts w:ascii="Arial"/>
                <w:color w:val="auto"/>
                <w:sz w:val="21"/>
                <w:highlight w:val="none"/>
              </w:rPr>
            </w:pPr>
          </w:p>
        </w:tc>
        <w:tc>
          <w:tcPr>
            <w:tcW w:w="1019" w:type="dxa"/>
            <w:tcBorders>
              <w:right w:val="single" w:color="000000" w:sz="4" w:space="0"/>
            </w:tcBorders>
            <w:vAlign w:val="top"/>
          </w:tcPr>
          <w:p w14:paraId="6C089B5C">
            <w:pPr>
              <w:rPr>
                <w:rFonts w:ascii="Arial"/>
                <w:color w:val="auto"/>
                <w:sz w:val="21"/>
                <w:highlight w:val="none"/>
              </w:rPr>
            </w:pPr>
          </w:p>
        </w:tc>
        <w:tc>
          <w:tcPr>
            <w:tcW w:w="834" w:type="dxa"/>
            <w:tcBorders>
              <w:left w:val="single" w:color="000000" w:sz="4" w:space="0"/>
              <w:right w:val="single" w:color="000000" w:sz="4" w:space="0"/>
            </w:tcBorders>
            <w:vAlign w:val="top"/>
          </w:tcPr>
          <w:p w14:paraId="645F1ED6">
            <w:pPr>
              <w:rPr>
                <w:rFonts w:ascii="Arial"/>
                <w:color w:val="auto"/>
                <w:sz w:val="21"/>
                <w:highlight w:val="none"/>
              </w:rPr>
            </w:pPr>
          </w:p>
        </w:tc>
        <w:tc>
          <w:tcPr>
            <w:tcW w:w="770" w:type="dxa"/>
            <w:tcBorders>
              <w:left w:val="single" w:color="000000" w:sz="4" w:space="0"/>
            </w:tcBorders>
            <w:vAlign w:val="top"/>
          </w:tcPr>
          <w:p w14:paraId="00F84F7D">
            <w:pPr>
              <w:rPr>
                <w:rFonts w:ascii="Arial"/>
                <w:color w:val="auto"/>
                <w:sz w:val="21"/>
                <w:highlight w:val="none"/>
              </w:rPr>
            </w:pPr>
          </w:p>
        </w:tc>
        <w:tc>
          <w:tcPr>
            <w:tcW w:w="736" w:type="dxa"/>
            <w:tcBorders>
              <w:right w:val="single" w:color="000000" w:sz="4" w:space="0"/>
            </w:tcBorders>
            <w:vAlign w:val="top"/>
          </w:tcPr>
          <w:p w14:paraId="6CF6B680">
            <w:pPr>
              <w:rPr>
                <w:rFonts w:ascii="Arial"/>
                <w:color w:val="auto"/>
                <w:sz w:val="21"/>
                <w:highlight w:val="none"/>
              </w:rPr>
            </w:pPr>
          </w:p>
        </w:tc>
        <w:tc>
          <w:tcPr>
            <w:tcW w:w="947" w:type="dxa"/>
            <w:tcBorders>
              <w:left w:val="single" w:color="000000" w:sz="4" w:space="0"/>
              <w:right w:val="single" w:color="000000" w:sz="4" w:space="0"/>
            </w:tcBorders>
            <w:vAlign w:val="top"/>
          </w:tcPr>
          <w:p w14:paraId="3F4B1E51">
            <w:pPr>
              <w:rPr>
                <w:rFonts w:ascii="Arial"/>
                <w:color w:val="auto"/>
                <w:sz w:val="21"/>
                <w:highlight w:val="none"/>
              </w:rPr>
            </w:pPr>
          </w:p>
        </w:tc>
      </w:tr>
      <w:tr w14:paraId="6F75E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14:paraId="7348FCCE">
            <w:pPr>
              <w:rPr>
                <w:rFonts w:ascii="Arial"/>
                <w:color w:val="auto"/>
                <w:sz w:val="21"/>
                <w:highlight w:val="none"/>
              </w:rPr>
            </w:pPr>
          </w:p>
        </w:tc>
        <w:tc>
          <w:tcPr>
            <w:tcW w:w="1043" w:type="dxa"/>
            <w:tcBorders>
              <w:right w:val="single" w:color="000000" w:sz="4" w:space="0"/>
            </w:tcBorders>
            <w:vAlign w:val="top"/>
          </w:tcPr>
          <w:p w14:paraId="1D1C093E">
            <w:pPr>
              <w:rPr>
                <w:rFonts w:ascii="Arial"/>
                <w:color w:val="auto"/>
                <w:sz w:val="21"/>
                <w:highlight w:val="none"/>
              </w:rPr>
            </w:pPr>
          </w:p>
        </w:tc>
        <w:tc>
          <w:tcPr>
            <w:tcW w:w="1027" w:type="dxa"/>
            <w:tcBorders>
              <w:left w:val="single" w:color="000000" w:sz="4" w:space="0"/>
              <w:right w:val="single" w:color="000000" w:sz="4" w:space="0"/>
            </w:tcBorders>
            <w:vAlign w:val="top"/>
          </w:tcPr>
          <w:p w14:paraId="31CAF042">
            <w:pPr>
              <w:rPr>
                <w:rFonts w:ascii="Arial"/>
                <w:color w:val="auto"/>
                <w:sz w:val="21"/>
                <w:highlight w:val="none"/>
              </w:rPr>
            </w:pPr>
          </w:p>
        </w:tc>
        <w:tc>
          <w:tcPr>
            <w:tcW w:w="1455" w:type="dxa"/>
            <w:tcBorders>
              <w:left w:val="single" w:color="000000" w:sz="4" w:space="0"/>
            </w:tcBorders>
            <w:vAlign w:val="top"/>
          </w:tcPr>
          <w:p w14:paraId="43CCDA0A">
            <w:pPr>
              <w:rPr>
                <w:rFonts w:ascii="Arial"/>
                <w:color w:val="auto"/>
                <w:sz w:val="21"/>
                <w:highlight w:val="none"/>
              </w:rPr>
            </w:pPr>
          </w:p>
        </w:tc>
        <w:tc>
          <w:tcPr>
            <w:tcW w:w="1019" w:type="dxa"/>
            <w:tcBorders>
              <w:right w:val="single" w:color="000000" w:sz="4" w:space="0"/>
            </w:tcBorders>
            <w:vAlign w:val="top"/>
          </w:tcPr>
          <w:p w14:paraId="4D69A2C5">
            <w:pPr>
              <w:rPr>
                <w:rFonts w:ascii="Arial"/>
                <w:color w:val="auto"/>
                <w:sz w:val="21"/>
                <w:highlight w:val="none"/>
              </w:rPr>
            </w:pPr>
          </w:p>
        </w:tc>
        <w:tc>
          <w:tcPr>
            <w:tcW w:w="834" w:type="dxa"/>
            <w:tcBorders>
              <w:left w:val="single" w:color="000000" w:sz="4" w:space="0"/>
              <w:right w:val="single" w:color="000000" w:sz="4" w:space="0"/>
            </w:tcBorders>
            <w:vAlign w:val="top"/>
          </w:tcPr>
          <w:p w14:paraId="000E5826">
            <w:pPr>
              <w:rPr>
                <w:rFonts w:ascii="Arial"/>
                <w:color w:val="auto"/>
                <w:sz w:val="21"/>
                <w:highlight w:val="none"/>
              </w:rPr>
            </w:pPr>
          </w:p>
        </w:tc>
        <w:tc>
          <w:tcPr>
            <w:tcW w:w="770" w:type="dxa"/>
            <w:tcBorders>
              <w:left w:val="single" w:color="000000" w:sz="4" w:space="0"/>
            </w:tcBorders>
            <w:vAlign w:val="top"/>
          </w:tcPr>
          <w:p w14:paraId="0EF1AE41">
            <w:pPr>
              <w:rPr>
                <w:rFonts w:ascii="Arial"/>
                <w:color w:val="auto"/>
                <w:sz w:val="21"/>
                <w:highlight w:val="none"/>
              </w:rPr>
            </w:pPr>
          </w:p>
        </w:tc>
        <w:tc>
          <w:tcPr>
            <w:tcW w:w="736" w:type="dxa"/>
            <w:tcBorders>
              <w:right w:val="single" w:color="000000" w:sz="4" w:space="0"/>
            </w:tcBorders>
            <w:vAlign w:val="top"/>
          </w:tcPr>
          <w:p w14:paraId="296F8648">
            <w:pPr>
              <w:rPr>
                <w:rFonts w:ascii="Arial"/>
                <w:color w:val="auto"/>
                <w:sz w:val="21"/>
                <w:highlight w:val="none"/>
              </w:rPr>
            </w:pPr>
          </w:p>
        </w:tc>
        <w:tc>
          <w:tcPr>
            <w:tcW w:w="947" w:type="dxa"/>
            <w:tcBorders>
              <w:left w:val="single" w:color="000000" w:sz="4" w:space="0"/>
              <w:right w:val="single" w:color="000000" w:sz="4" w:space="0"/>
            </w:tcBorders>
            <w:vAlign w:val="top"/>
          </w:tcPr>
          <w:p w14:paraId="2C080644">
            <w:pPr>
              <w:rPr>
                <w:rFonts w:ascii="Arial"/>
                <w:color w:val="auto"/>
                <w:sz w:val="21"/>
                <w:highlight w:val="none"/>
              </w:rPr>
            </w:pPr>
          </w:p>
        </w:tc>
      </w:tr>
      <w:tr w14:paraId="14CA3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2C6DA45A">
            <w:pPr>
              <w:rPr>
                <w:rFonts w:ascii="Arial"/>
                <w:color w:val="auto"/>
                <w:sz w:val="21"/>
                <w:highlight w:val="none"/>
              </w:rPr>
            </w:pPr>
          </w:p>
        </w:tc>
        <w:tc>
          <w:tcPr>
            <w:tcW w:w="1043" w:type="dxa"/>
            <w:tcBorders>
              <w:right w:val="single" w:color="000000" w:sz="4" w:space="0"/>
            </w:tcBorders>
            <w:vAlign w:val="top"/>
          </w:tcPr>
          <w:p w14:paraId="5A9B515A">
            <w:pPr>
              <w:rPr>
                <w:rFonts w:ascii="Arial"/>
                <w:color w:val="auto"/>
                <w:sz w:val="21"/>
                <w:highlight w:val="none"/>
              </w:rPr>
            </w:pPr>
          </w:p>
        </w:tc>
        <w:tc>
          <w:tcPr>
            <w:tcW w:w="1027" w:type="dxa"/>
            <w:tcBorders>
              <w:left w:val="single" w:color="000000" w:sz="4" w:space="0"/>
              <w:right w:val="single" w:color="000000" w:sz="4" w:space="0"/>
            </w:tcBorders>
            <w:vAlign w:val="top"/>
          </w:tcPr>
          <w:p w14:paraId="2463DA93">
            <w:pPr>
              <w:rPr>
                <w:rFonts w:ascii="Arial"/>
                <w:color w:val="auto"/>
                <w:sz w:val="21"/>
                <w:highlight w:val="none"/>
              </w:rPr>
            </w:pPr>
          </w:p>
        </w:tc>
        <w:tc>
          <w:tcPr>
            <w:tcW w:w="1455" w:type="dxa"/>
            <w:tcBorders>
              <w:left w:val="single" w:color="000000" w:sz="4" w:space="0"/>
            </w:tcBorders>
            <w:vAlign w:val="top"/>
          </w:tcPr>
          <w:p w14:paraId="381E77AB">
            <w:pPr>
              <w:rPr>
                <w:rFonts w:ascii="Arial"/>
                <w:color w:val="auto"/>
                <w:sz w:val="21"/>
                <w:highlight w:val="none"/>
              </w:rPr>
            </w:pPr>
          </w:p>
        </w:tc>
        <w:tc>
          <w:tcPr>
            <w:tcW w:w="1019" w:type="dxa"/>
            <w:tcBorders>
              <w:right w:val="single" w:color="000000" w:sz="4" w:space="0"/>
            </w:tcBorders>
            <w:vAlign w:val="top"/>
          </w:tcPr>
          <w:p w14:paraId="0E4B27AC">
            <w:pPr>
              <w:rPr>
                <w:rFonts w:ascii="Arial"/>
                <w:color w:val="auto"/>
                <w:sz w:val="21"/>
                <w:highlight w:val="none"/>
              </w:rPr>
            </w:pPr>
          </w:p>
        </w:tc>
        <w:tc>
          <w:tcPr>
            <w:tcW w:w="834" w:type="dxa"/>
            <w:tcBorders>
              <w:left w:val="single" w:color="000000" w:sz="4" w:space="0"/>
              <w:right w:val="single" w:color="000000" w:sz="4" w:space="0"/>
            </w:tcBorders>
            <w:vAlign w:val="top"/>
          </w:tcPr>
          <w:p w14:paraId="324E86AF">
            <w:pPr>
              <w:rPr>
                <w:rFonts w:ascii="Arial"/>
                <w:color w:val="auto"/>
                <w:sz w:val="21"/>
                <w:highlight w:val="none"/>
              </w:rPr>
            </w:pPr>
          </w:p>
        </w:tc>
        <w:tc>
          <w:tcPr>
            <w:tcW w:w="770" w:type="dxa"/>
            <w:tcBorders>
              <w:left w:val="single" w:color="000000" w:sz="4" w:space="0"/>
            </w:tcBorders>
            <w:vAlign w:val="top"/>
          </w:tcPr>
          <w:p w14:paraId="2E859F04">
            <w:pPr>
              <w:rPr>
                <w:rFonts w:ascii="Arial"/>
                <w:color w:val="auto"/>
                <w:sz w:val="21"/>
                <w:highlight w:val="none"/>
              </w:rPr>
            </w:pPr>
          </w:p>
        </w:tc>
        <w:tc>
          <w:tcPr>
            <w:tcW w:w="736" w:type="dxa"/>
            <w:tcBorders>
              <w:right w:val="single" w:color="000000" w:sz="4" w:space="0"/>
            </w:tcBorders>
            <w:vAlign w:val="top"/>
          </w:tcPr>
          <w:p w14:paraId="03CE228A">
            <w:pPr>
              <w:rPr>
                <w:rFonts w:ascii="Arial"/>
                <w:color w:val="auto"/>
                <w:sz w:val="21"/>
                <w:highlight w:val="none"/>
              </w:rPr>
            </w:pPr>
          </w:p>
        </w:tc>
        <w:tc>
          <w:tcPr>
            <w:tcW w:w="947" w:type="dxa"/>
            <w:tcBorders>
              <w:left w:val="single" w:color="000000" w:sz="4" w:space="0"/>
              <w:right w:val="single" w:color="000000" w:sz="4" w:space="0"/>
            </w:tcBorders>
            <w:vAlign w:val="top"/>
          </w:tcPr>
          <w:p w14:paraId="0C7918BA">
            <w:pPr>
              <w:rPr>
                <w:rFonts w:ascii="Arial"/>
                <w:color w:val="auto"/>
                <w:sz w:val="21"/>
                <w:highlight w:val="none"/>
              </w:rPr>
            </w:pPr>
          </w:p>
        </w:tc>
      </w:tr>
      <w:tr w14:paraId="1B399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4816382A">
            <w:pPr>
              <w:rPr>
                <w:rFonts w:ascii="Arial"/>
                <w:color w:val="auto"/>
                <w:sz w:val="21"/>
                <w:highlight w:val="none"/>
              </w:rPr>
            </w:pPr>
          </w:p>
        </w:tc>
        <w:tc>
          <w:tcPr>
            <w:tcW w:w="1043" w:type="dxa"/>
            <w:tcBorders>
              <w:right w:val="single" w:color="000000" w:sz="4" w:space="0"/>
            </w:tcBorders>
            <w:vAlign w:val="top"/>
          </w:tcPr>
          <w:p w14:paraId="4188353B">
            <w:pPr>
              <w:rPr>
                <w:rFonts w:ascii="Arial"/>
                <w:color w:val="auto"/>
                <w:sz w:val="21"/>
                <w:highlight w:val="none"/>
              </w:rPr>
            </w:pPr>
          </w:p>
        </w:tc>
        <w:tc>
          <w:tcPr>
            <w:tcW w:w="1027" w:type="dxa"/>
            <w:tcBorders>
              <w:left w:val="single" w:color="000000" w:sz="4" w:space="0"/>
              <w:right w:val="single" w:color="000000" w:sz="4" w:space="0"/>
            </w:tcBorders>
            <w:vAlign w:val="top"/>
          </w:tcPr>
          <w:p w14:paraId="3AA72119">
            <w:pPr>
              <w:rPr>
                <w:rFonts w:ascii="Arial"/>
                <w:color w:val="auto"/>
                <w:sz w:val="21"/>
                <w:highlight w:val="none"/>
              </w:rPr>
            </w:pPr>
          </w:p>
        </w:tc>
        <w:tc>
          <w:tcPr>
            <w:tcW w:w="1455" w:type="dxa"/>
            <w:tcBorders>
              <w:left w:val="single" w:color="000000" w:sz="4" w:space="0"/>
            </w:tcBorders>
            <w:vAlign w:val="top"/>
          </w:tcPr>
          <w:p w14:paraId="02112714">
            <w:pPr>
              <w:rPr>
                <w:rFonts w:ascii="Arial"/>
                <w:color w:val="auto"/>
                <w:sz w:val="21"/>
                <w:highlight w:val="none"/>
              </w:rPr>
            </w:pPr>
          </w:p>
        </w:tc>
        <w:tc>
          <w:tcPr>
            <w:tcW w:w="1019" w:type="dxa"/>
            <w:tcBorders>
              <w:right w:val="single" w:color="000000" w:sz="4" w:space="0"/>
            </w:tcBorders>
            <w:vAlign w:val="top"/>
          </w:tcPr>
          <w:p w14:paraId="49FE0250">
            <w:pPr>
              <w:rPr>
                <w:rFonts w:ascii="Arial"/>
                <w:color w:val="auto"/>
                <w:sz w:val="21"/>
                <w:highlight w:val="none"/>
              </w:rPr>
            </w:pPr>
          </w:p>
        </w:tc>
        <w:tc>
          <w:tcPr>
            <w:tcW w:w="834" w:type="dxa"/>
            <w:tcBorders>
              <w:left w:val="single" w:color="000000" w:sz="4" w:space="0"/>
              <w:right w:val="single" w:color="000000" w:sz="4" w:space="0"/>
            </w:tcBorders>
            <w:vAlign w:val="top"/>
          </w:tcPr>
          <w:p w14:paraId="4599B769">
            <w:pPr>
              <w:rPr>
                <w:rFonts w:ascii="Arial"/>
                <w:color w:val="auto"/>
                <w:sz w:val="21"/>
                <w:highlight w:val="none"/>
              </w:rPr>
            </w:pPr>
          </w:p>
        </w:tc>
        <w:tc>
          <w:tcPr>
            <w:tcW w:w="770" w:type="dxa"/>
            <w:tcBorders>
              <w:left w:val="single" w:color="000000" w:sz="4" w:space="0"/>
            </w:tcBorders>
            <w:vAlign w:val="top"/>
          </w:tcPr>
          <w:p w14:paraId="3CD62F0D">
            <w:pPr>
              <w:rPr>
                <w:rFonts w:ascii="Arial"/>
                <w:color w:val="auto"/>
                <w:sz w:val="21"/>
                <w:highlight w:val="none"/>
              </w:rPr>
            </w:pPr>
          </w:p>
        </w:tc>
        <w:tc>
          <w:tcPr>
            <w:tcW w:w="736" w:type="dxa"/>
            <w:tcBorders>
              <w:right w:val="single" w:color="000000" w:sz="4" w:space="0"/>
            </w:tcBorders>
            <w:vAlign w:val="top"/>
          </w:tcPr>
          <w:p w14:paraId="4A3FEECD">
            <w:pPr>
              <w:rPr>
                <w:rFonts w:ascii="Arial"/>
                <w:color w:val="auto"/>
                <w:sz w:val="21"/>
                <w:highlight w:val="none"/>
              </w:rPr>
            </w:pPr>
          </w:p>
        </w:tc>
        <w:tc>
          <w:tcPr>
            <w:tcW w:w="947" w:type="dxa"/>
            <w:tcBorders>
              <w:left w:val="single" w:color="000000" w:sz="4" w:space="0"/>
              <w:right w:val="single" w:color="000000" w:sz="4" w:space="0"/>
            </w:tcBorders>
            <w:vAlign w:val="top"/>
          </w:tcPr>
          <w:p w14:paraId="6A399DD3">
            <w:pPr>
              <w:rPr>
                <w:rFonts w:ascii="Arial"/>
                <w:color w:val="auto"/>
                <w:sz w:val="21"/>
                <w:highlight w:val="none"/>
              </w:rPr>
            </w:pPr>
          </w:p>
        </w:tc>
      </w:tr>
      <w:tr w14:paraId="63C3B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53" w:type="dxa"/>
            <w:tcBorders>
              <w:left w:val="single" w:color="000000" w:sz="4" w:space="0"/>
            </w:tcBorders>
            <w:vAlign w:val="top"/>
          </w:tcPr>
          <w:p w14:paraId="24091587">
            <w:pPr>
              <w:rPr>
                <w:rFonts w:ascii="Arial"/>
                <w:color w:val="auto"/>
                <w:sz w:val="21"/>
                <w:highlight w:val="none"/>
              </w:rPr>
            </w:pPr>
          </w:p>
        </w:tc>
        <w:tc>
          <w:tcPr>
            <w:tcW w:w="1043" w:type="dxa"/>
            <w:tcBorders>
              <w:right w:val="single" w:color="000000" w:sz="4" w:space="0"/>
            </w:tcBorders>
            <w:vAlign w:val="top"/>
          </w:tcPr>
          <w:p w14:paraId="71F37EB0">
            <w:pPr>
              <w:rPr>
                <w:rFonts w:ascii="Arial"/>
                <w:color w:val="auto"/>
                <w:sz w:val="21"/>
                <w:highlight w:val="none"/>
              </w:rPr>
            </w:pPr>
          </w:p>
        </w:tc>
        <w:tc>
          <w:tcPr>
            <w:tcW w:w="1027" w:type="dxa"/>
            <w:tcBorders>
              <w:left w:val="single" w:color="000000" w:sz="4" w:space="0"/>
              <w:right w:val="single" w:color="000000" w:sz="4" w:space="0"/>
            </w:tcBorders>
            <w:vAlign w:val="top"/>
          </w:tcPr>
          <w:p w14:paraId="4CC57B8D">
            <w:pPr>
              <w:rPr>
                <w:rFonts w:ascii="Arial"/>
                <w:color w:val="auto"/>
                <w:sz w:val="21"/>
                <w:highlight w:val="none"/>
              </w:rPr>
            </w:pPr>
          </w:p>
        </w:tc>
        <w:tc>
          <w:tcPr>
            <w:tcW w:w="1455" w:type="dxa"/>
            <w:tcBorders>
              <w:left w:val="single" w:color="000000" w:sz="4" w:space="0"/>
            </w:tcBorders>
            <w:vAlign w:val="top"/>
          </w:tcPr>
          <w:p w14:paraId="002E7597">
            <w:pPr>
              <w:rPr>
                <w:rFonts w:ascii="Arial"/>
                <w:color w:val="auto"/>
                <w:sz w:val="21"/>
                <w:highlight w:val="none"/>
              </w:rPr>
            </w:pPr>
          </w:p>
        </w:tc>
        <w:tc>
          <w:tcPr>
            <w:tcW w:w="1019" w:type="dxa"/>
            <w:tcBorders>
              <w:right w:val="single" w:color="000000" w:sz="4" w:space="0"/>
            </w:tcBorders>
            <w:vAlign w:val="top"/>
          </w:tcPr>
          <w:p w14:paraId="6340D7B1">
            <w:pPr>
              <w:rPr>
                <w:rFonts w:ascii="Arial"/>
                <w:color w:val="auto"/>
                <w:sz w:val="21"/>
                <w:highlight w:val="none"/>
              </w:rPr>
            </w:pPr>
          </w:p>
        </w:tc>
        <w:tc>
          <w:tcPr>
            <w:tcW w:w="834" w:type="dxa"/>
            <w:tcBorders>
              <w:left w:val="single" w:color="000000" w:sz="4" w:space="0"/>
              <w:right w:val="single" w:color="000000" w:sz="4" w:space="0"/>
            </w:tcBorders>
            <w:vAlign w:val="top"/>
          </w:tcPr>
          <w:p w14:paraId="0CF918AA">
            <w:pPr>
              <w:rPr>
                <w:rFonts w:ascii="Arial"/>
                <w:color w:val="auto"/>
                <w:sz w:val="21"/>
                <w:highlight w:val="none"/>
              </w:rPr>
            </w:pPr>
          </w:p>
        </w:tc>
        <w:tc>
          <w:tcPr>
            <w:tcW w:w="770" w:type="dxa"/>
            <w:tcBorders>
              <w:left w:val="single" w:color="000000" w:sz="4" w:space="0"/>
            </w:tcBorders>
            <w:vAlign w:val="top"/>
          </w:tcPr>
          <w:p w14:paraId="4BBCFC7D">
            <w:pPr>
              <w:rPr>
                <w:rFonts w:ascii="Arial"/>
                <w:color w:val="auto"/>
                <w:sz w:val="21"/>
                <w:highlight w:val="none"/>
              </w:rPr>
            </w:pPr>
          </w:p>
        </w:tc>
        <w:tc>
          <w:tcPr>
            <w:tcW w:w="736" w:type="dxa"/>
            <w:tcBorders>
              <w:right w:val="single" w:color="000000" w:sz="4" w:space="0"/>
            </w:tcBorders>
            <w:vAlign w:val="top"/>
          </w:tcPr>
          <w:p w14:paraId="34733516">
            <w:pPr>
              <w:rPr>
                <w:rFonts w:ascii="Arial"/>
                <w:color w:val="auto"/>
                <w:sz w:val="21"/>
                <w:highlight w:val="none"/>
              </w:rPr>
            </w:pPr>
          </w:p>
        </w:tc>
        <w:tc>
          <w:tcPr>
            <w:tcW w:w="947" w:type="dxa"/>
            <w:tcBorders>
              <w:left w:val="single" w:color="000000" w:sz="4" w:space="0"/>
              <w:right w:val="single" w:color="000000" w:sz="4" w:space="0"/>
            </w:tcBorders>
            <w:vAlign w:val="top"/>
          </w:tcPr>
          <w:p w14:paraId="55A85329">
            <w:pPr>
              <w:rPr>
                <w:rFonts w:ascii="Arial"/>
                <w:color w:val="auto"/>
                <w:sz w:val="21"/>
                <w:highlight w:val="none"/>
              </w:rPr>
            </w:pPr>
          </w:p>
        </w:tc>
      </w:tr>
      <w:tr w14:paraId="124B9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2E6C803D">
            <w:pPr>
              <w:rPr>
                <w:rFonts w:ascii="Arial"/>
                <w:color w:val="auto"/>
                <w:sz w:val="21"/>
                <w:highlight w:val="none"/>
              </w:rPr>
            </w:pPr>
          </w:p>
        </w:tc>
        <w:tc>
          <w:tcPr>
            <w:tcW w:w="1043" w:type="dxa"/>
            <w:tcBorders>
              <w:right w:val="single" w:color="000000" w:sz="4" w:space="0"/>
            </w:tcBorders>
            <w:vAlign w:val="top"/>
          </w:tcPr>
          <w:p w14:paraId="5FF88FE6">
            <w:pPr>
              <w:rPr>
                <w:rFonts w:ascii="Arial"/>
                <w:color w:val="auto"/>
                <w:sz w:val="21"/>
                <w:highlight w:val="none"/>
              </w:rPr>
            </w:pPr>
          </w:p>
        </w:tc>
        <w:tc>
          <w:tcPr>
            <w:tcW w:w="1027" w:type="dxa"/>
            <w:tcBorders>
              <w:left w:val="single" w:color="000000" w:sz="4" w:space="0"/>
              <w:right w:val="single" w:color="000000" w:sz="4" w:space="0"/>
            </w:tcBorders>
            <w:vAlign w:val="top"/>
          </w:tcPr>
          <w:p w14:paraId="212BD71C">
            <w:pPr>
              <w:rPr>
                <w:rFonts w:ascii="Arial"/>
                <w:color w:val="auto"/>
                <w:sz w:val="21"/>
                <w:highlight w:val="none"/>
              </w:rPr>
            </w:pPr>
          </w:p>
        </w:tc>
        <w:tc>
          <w:tcPr>
            <w:tcW w:w="1455" w:type="dxa"/>
            <w:tcBorders>
              <w:left w:val="single" w:color="000000" w:sz="4" w:space="0"/>
            </w:tcBorders>
            <w:vAlign w:val="top"/>
          </w:tcPr>
          <w:p w14:paraId="32D05B03">
            <w:pPr>
              <w:rPr>
                <w:rFonts w:ascii="Arial"/>
                <w:color w:val="auto"/>
                <w:sz w:val="21"/>
                <w:highlight w:val="none"/>
              </w:rPr>
            </w:pPr>
          </w:p>
        </w:tc>
        <w:tc>
          <w:tcPr>
            <w:tcW w:w="1019" w:type="dxa"/>
            <w:tcBorders>
              <w:right w:val="single" w:color="000000" w:sz="4" w:space="0"/>
            </w:tcBorders>
            <w:vAlign w:val="top"/>
          </w:tcPr>
          <w:p w14:paraId="7A2F18DE">
            <w:pPr>
              <w:rPr>
                <w:rFonts w:ascii="Arial"/>
                <w:color w:val="auto"/>
                <w:sz w:val="21"/>
                <w:highlight w:val="none"/>
              </w:rPr>
            </w:pPr>
          </w:p>
        </w:tc>
        <w:tc>
          <w:tcPr>
            <w:tcW w:w="834" w:type="dxa"/>
            <w:tcBorders>
              <w:left w:val="single" w:color="000000" w:sz="4" w:space="0"/>
              <w:right w:val="single" w:color="000000" w:sz="4" w:space="0"/>
            </w:tcBorders>
            <w:vAlign w:val="top"/>
          </w:tcPr>
          <w:p w14:paraId="36CB36EF">
            <w:pPr>
              <w:rPr>
                <w:rFonts w:ascii="Arial"/>
                <w:color w:val="auto"/>
                <w:sz w:val="21"/>
                <w:highlight w:val="none"/>
              </w:rPr>
            </w:pPr>
          </w:p>
        </w:tc>
        <w:tc>
          <w:tcPr>
            <w:tcW w:w="770" w:type="dxa"/>
            <w:tcBorders>
              <w:left w:val="single" w:color="000000" w:sz="4" w:space="0"/>
            </w:tcBorders>
            <w:vAlign w:val="top"/>
          </w:tcPr>
          <w:p w14:paraId="7BF8FA76">
            <w:pPr>
              <w:rPr>
                <w:rFonts w:ascii="Arial"/>
                <w:color w:val="auto"/>
                <w:sz w:val="21"/>
                <w:highlight w:val="none"/>
              </w:rPr>
            </w:pPr>
          </w:p>
        </w:tc>
        <w:tc>
          <w:tcPr>
            <w:tcW w:w="736" w:type="dxa"/>
            <w:tcBorders>
              <w:right w:val="single" w:color="000000" w:sz="4" w:space="0"/>
            </w:tcBorders>
            <w:vAlign w:val="top"/>
          </w:tcPr>
          <w:p w14:paraId="2294AAAA">
            <w:pPr>
              <w:rPr>
                <w:rFonts w:ascii="Arial"/>
                <w:color w:val="auto"/>
                <w:sz w:val="21"/>
                <w:highlight w:val="none"/>
              </w:rPr>
            </w:pPr>
          </w:p>
        </w:tc>
        <w:tc>
          <w:tcPr>
            <w:tcW w:w="947" w:type="dxa"/>
            <w:tcBorders>
              <w:left w:val="single" w:color="000000" w:sz="4" w:space="0"/>
              <w:right w:val="single" w:color="000000" w:sz="4" w:space="0"/>
            </w:tcBorders>
            <w:vAlign w:val="top"/>
          </w:tcPr>
          <w:p w14:paraId="5AB2C1E3">
            <w:pPr>
              <w:rPr>
                <w:rFonts w:ascii="Arial"/>
                <w:color w:val="auto"/>
                <w:sz w:val="21"/>
                <w:highlight w:val="none"/>
              </w:rPr>
            </w:pPr>
          </w:p>
        </w:tc>
      </w:tr>
      <w:tr w14:paraId="3ABAF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562FE807">
            <w:pPr>
              <w:rPr>
                <w:rFonts w:ascii="Arial"/>
                <w:color w:val="auto"/>
                <w:sz w:val="21"/>
                <w:highlight w:val="none"/>
              </w:rPr>
            </w:pPr>
          </w:p>
        </w:tc>
        <w:tc>
          <w:tcPr>
            <w:tcW w:w="1043" w:type="dxa"/>
            <w:tcBorders>
              <w:right w:val="single" w:color="000000" w:sz="4" w:space="0"/>
            </w:tcBorders>
            <w:vAlign w:val="top"/>
          </w:tcPr>
          <w:p w14:paraId="507C74DE">
            <w:pPr>
              <w:rPr>
                <w:rFonts w:ascii="Arial"/>
                <w:color w:val="auto"/>
                <w:sz w:val="21"/>
                <w:highlight w:val="none"/>
              </w:rPr>
            </w:pPr>
          </w:p>
        </w:tc>
        <w:tc>
          <w:tcPr>
            <w:tcW w:w="1027" w:type="dxa"/>
            <w:tcBorders>
              <w:left w:val="single" w:color="000000" w:sz="4" w:space="0"/>
              <w:right w:val="single" w:color="000000" w:sz="4" w:space="0"/>
            </w:tcBorders>
            <w:vAlign w:val="top"/>
          </w:tcPr>
          <w:p w14:paraId="798A2B09">
            <w:pPr>
              <w:rPr>
                <w:rFonts w:ascii="Arial"/>
                <w:color w:val="auto"/>
                <w:sz w:val="21"/>
                <w:highlight w:val="none"/>
              </w:rPr>
            </w:pPr>
          </w:p>
        </w:tc>
        <w:tc>
          <w:tcPr>
            <w:tcW w:w="1455" w:type="dxa"/>
            <w:tcBorders>
              <w:left w:val="single" w:color="000000" w:sz="4" w:space="0"/>
            </w:tcBorders>
            <w:vAlign w:val="top"/>
          </w:tcPr>
          <w:p w14:paraId="4E8261ED">
            <w:pPr>
              <w:rPr>
                <w:rFonts w:ascii="Arial"/>
                <w:color w:val="auto"/>
                <w:sz w:val="21"/>
                <w:highlight w:val="none"/>
              </w:rPr>
            </w:pPr>
          </w:p>
        </w:tc>
        <w:tc>
          <w:tcPr>
            <w:tcW w:w="1019" w:type="dxa"/>
            <w:tcBorders>
              <w:right w:val="single" w:color="000000" w:sz="4" w:space="0"/>
            </w:tcBorders>
            <w:vAlign w:val="top"/>
          </w:tcPr>
          <w:p w14:paraId="1FD36720">
            <w:pPr>
              <w:rPr>
                <w:rFonts w:ascii="Arial"/>
                <w:color w:val="auto"/>
                <w:sz w:val="21"/>
                <w:highlight w:val="none"/>
              </w:rPr>
            </w:pPr>
          </w:p>
        </w:tc>
        <w:tc>
          <w:tcPr>
            <w:tcW w:w="834" w:type="dxa"/>
            <w:tcBorders>
              <w:left w:val="single" w:color="000000" w:sz="4" w:space="0"/>
              <w:right w:val="single" w:color="000000" w:sz="4" w:space="0"/>
            </w:tcBorders>
            <w:vAlign w:val="top"/>
          </w:tcPr>
          <w:p w14:paraId="6E3ACB96">
            <w:pPr>
              <w:rPr>
                <w:rFonts w:ascii="Arial"/>
                <w:color w:val="auto"/>
                <w:sz w:val="21"/>
                <w:highlight w:val="none"/>
              </w:rPr>
            </w:pPr>
          </w:p>
        </w:tc>
        <w:tc>
          <w:tcPr>
            <w:tcW w:w="770" w:type="dxa"/>
            <w:tcBorders>
              <w:left w:val="single" w:color="000000" w:sz="4" w:space="0"/>
            </w:tcBorders>
            <w:vAlign w:val="top"/>
          </w:tcPr>
          <w:p w14:paraId="1C9D1AEA">
            <w:pPr>
              <w:rPr>
                <w:rFonts w:ascii="Arial"/>
                <w:color w:val="auto"/>
                <w:sz w:val="21"/>
                <w:highlight w:val="none"/>
              </w:rPr>
            </w:pPr>
          </w:p>
        </w:tc>
        <w:tc>
          <w:tcPr>
            <w:tcW w:w="736" w:type="dxa"/>
            <w:tcBorders>
              <w:right w:val="single" w:color="000000" w:sz="4" w:space="0"/>
            </w:tcBorders>
            <w:vAlign w:val="top"/>
          </w:tcPr>
          <w:p w14:paraId="1E953F0C">
            <w:pPr>
              <w:rPr>
                <w:rFonts w:ascii="Arial"/>
                <w:color w:val="auto"/>
                <w:sz w:val="21"/>
                <w:highlight w:val="none"/>
              </w:rPr>
            </w:pPr>
          </w:p>
        </w:tc>
        <w:tc>
          <w:tcPr>
            <w:tcW w:w="947" w:type="dxa"/>
            <w:tcBorders>
              <w:left w:val="single" w:color="000000" w:sz="4" w:space="0"/>
              <w:right w:val="single" w:color="000000" w:sz="4" w:space="0"/>
            </w:tcBorders>
            <w:vAlign w:val="top"/>
          </w:tcPr>
          <w:p w14:paraId="2B045E6D">
            <w:pPr>
              <w:rPr>
                <w:rFonts w:ascii="Arial"/>
                <w:color w:val="auto"/>
                <w:sz w:val="21"/>
                <w:highlight w:val="none"/>
              </w:rPr>
            </w:pPr>
          </w:p>
        </w:tc>
      </w:tr>
      <w:tr w14:paraId="44A35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710FE986">
            <w:pPr>
              <w:rPr>
                <w:rFonts w:ascii="Arial"/>
                <w:color w:val="auto"/>
                <w:sz w:val="21"/>
                <w:highlight w:val="none"/>
              </w:rPr>
            </w:pPr>
          </w:p>
        </w:tc>
        <w:tc>
          <w:tcPr>
            <w:tcW w:w="1043" w:type="dxa"/>
            <w:tcBorders>
              <w:right w:val="single" w:color="000000" w:sz="4" w:space="0"/>
            </w:tcBorders>
            <w:vAlign w:val="top"/>
          </w:tcPr>
          <w:p w14:paraId="50901771">
            <w:pPr>
              <w:rPr>
                <w:rFonts w:ascii="Arial"/>
                <w:color w:val="auto"/>
                <w:sz w:val="21"/>
                <w:highlight w:val="none"/>
              </w:rPr>
            </w:pPr>
          </w:p>
        </w:tc>
        <w:tc>
          <w:tcPr>
            <w:tcW w:w="1027" w:type="dxa"/>
            <w:tcBorders>
              <w:left w:val="single" w:color="000000" w:sz="4" w:space="0"/>
              <w:right w:val="single" w:color="000000" w:sz="4" w:space="0"/>
            </w:tcBorders>
            <w:vAlign w:val="top"/>
          </w:tcPr>
          <w:p w14:paraId="4A8A6522">
            <w:pPr>
              <w:rPr>
                <w:rFonts w:ascii="Arial"/>
                <w:color w:val="auto"/>
                <w:sz w:val="21"/>
                <w:highlight w:val="none"/>
              </w:rPr>
            </w:pPr>
          </w:p>
        </w:tc>
        <w:tc>
          <w:tcPr>
            <w:tcW w:w="1455" w:type="dxa"/>
            <w:tcBorders>
              <w:left w:val="single" w:color="000000" w:sz="4" w:space="0"/>
            </w:tcBorders>
            <w:vAlign w:val="top"/>
          </w:tcPr>
          <w:p w14:paraId="1A7E6324">
            <w:pPr>
              <w:rPr>
                <w:rFonts w:ascii="Arial"/>
                <w:color w:val="auto"/>
                <w:sz w:val="21"/>
                <w:highlight w:val="none"/>
              </w:rPr>
            </w:pPr>
          </w:p>
        </w:tc>
        <w:tc>
          <w:tcPr>
            <w:tcW w:w="1019" w:type="dxa"/>
            <w:tcBorders>
              <w:right w:val="single" w:color="000000" w:sz="4" w:space="0"/>
            </w:tcBorders>
            <w:vAlign w:val="top"/>
          </w:tcPr>
          <w:p w14:paraId="4AC65D4F">
            <w:pPr>
              <w:rPr>
                <w:rFonts w:ascii="Arial"/>
                <w:color w:val="auto"/>
                <w:sz w:val="21"/>
                <w:highlight w:val="none"/>
              </w:rPr>
            </w:pPr>
          </w:p>
        </w:tc>
        <w:tc>
          <w:tcPr>
            <w:tcW w:w="834" w:type="dxa"/>
            <w:tcBorders>
              <w:left w:val="single" w:color="000000" w:sz="4" w:space="0"/>
              <w:right w:val="single" w:color="000000" w:sz="4" w:space="0"/>
            </w:tcBorders>
            <w:vAlign w:val="top"/>
          </w:tcPr>
          <w:p w14:paraId="0B10F351">
            <w:pPr>
              <w:rPr>
                <w:rFonts w:ascii="Arial"/>
                <w:color w:val="auto"/>
                <w:sz w:val="21"/>
                <w:highlight w:val="none"/>
              </w:rPr>
            </w:pPr>
          </w:p>
        </w:tc>
        <w:tc>
          <w:tcPr>
            <w:tcW w:w="770" w:type="dxa"/>
            <w:tcBorders>
              <w:left w:val="single" w:color="000000" w:sz="4" w:space="0"/>
            </w:tcBorders>
            <w:vAlign w:val="top"/>
          </w:tcPr>
          <w:p w14:paraId="44D98B89">
            <w:pPr>
              <w:rPr>
                <w:rFonts w:ascii="Arial"/>
                <w:color w:val="auto"/>
                <w:sz w:val="21"/>
                <w:highlight w:val="none"/>
              </w:rPr>
            </w:pPr>
          </w:p>
        </w:tc>
        <w:tc>
          <w:tcPr>
            <w:tcW w:w="736" w:type="dxa"/>
            <w:tcBorders>
              <w:right w:val="single" w:color="000000" w:sz="4" w:space="0"/>
            </w:tcBorders>
            <w:vAlign w:val="top"/>
          </w:tcPr>
          <w:p w14:paraId="77DADEE2">
            <w:pPr>
              <w:rPr>
                <w:rFonts w:ascii="Arial"/>
                <w:color w:val="auto"/>
                <w:sz w:val="21"/>
                <w:highlight w:val="none"/>
              </w:rPr>
            </w:pPr>
          </w:p>
        </w:tc>
        <w:tc>
          <w:tcPr>
            <w:tcW w:w="947" w:type="dxa"/>
            <w:tcBorders>
              <w:left w:val="single" w:color="000000" w:sz="4" w:space="0"/>
              <w:right w:val="single" w:color="000000" w:sz="4" w:space="0"/>
            </w:tcBorders>
            <w:vAlign w:val="top"/>
          </w:tcPr>
          <w:p w14:paraId="73BEDBF9">
            <w:pPr>
              <w:rPr>
                <w:rFonts w:ascii="Arial"/>
                <w:color w:val="auto"/>
                <w:sz w:val="21"/>
                <w:highlight w:val="none"/>
              </w:rPr>
            </w:pPr>
          </w:p>
        </w:tc>
      </w:tr>
      <w:tr w14:paraId="5CBAD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53" w:type="dxa"/>
            <w:tcBorders>
              <w:left w:val="single" w:color="000000" w:sz="4" w:space="0"/>
            </w:tcBorders>
            <w:vAlign w:val="top"/>
          </w:tcPr>
          <w:p w14:paraId="0268DDD6">
            <w:pPr>
              <w:rPr>
                <w:rFonts w:ascii="Arial"/>
                <w:color w:val="auto"/>
                <w:sz w:val="21"/>
                <w:highlight w:val="none"/>
              </w:rPr>
            </w:pPr>
          </w:p>
        </w:tc>
        <w:tc>
          <w:tcPr>
            <w:tcW w:w="1043" w:type="dxa"/>
            <w:tcBorders>
              <w:right w:val="single" w:color="000000" w:sz="4" w:space="0"/>
            </w:tcBorders>
            <w:vAlign w:val="top"/>
          </w:tcPr>
          <w:p w14:paraId="46625667">
            <w:pPr>
              <w:rPr>
                <w:rFonts w:ascii="Arial"/>
                <w:color w:val="auto"/>
                <w:sz w:val="21"/>
                <w:highlight w:val="none"/>
              </w:rPr>
            </w:pPr>
          </w:p>
        </w:tc>
        <w:tc>
          <w:tcPr>
            <w:tcW w:w="1027" w:type="dxa"/>
            <w:tcBorders>
              <w:left w:val="single" w:color="000000" w:sz="4" w:space="0"/>
              <w:right w:val="single" w:color="000000" w:sz="4" w:space="0"/>
            </w:tcBorders>
            <w:vAlign w:val="top"/>
          </w:tcPr>
          <w:p w14:paraId="2905ED1C">
            <w:pPr>
              <w:rPr>
                <w:rFonts w:ascii="Arial"/>
                <w:color w:val="auto"/>
                <w:sz w:val="21"/>
                <w:highlight w:val="none"/>
              </w:rPr>
            </w:pPr>
          </w:p>
        </w:tc>
        <w:tc>
          <w:tcPr>
            <w:tcW w:w="1455" w:type="dxa"/>
            <w:tcBorders>
              <w:left w:val="single" w:color="000000" w:sz="4" w:space="0"/>
            </w:tcBorders>
            <w:vAlign w:val="top"/>
          </w:tcPr>
          <w:p w14:paraId="75DE9AD1">
            <w:pPr>
              <w:rPr>
                <w:rFonts w:ascii="Arial"/>
                <w:color w:val="auto"/>
                <w:sz w:val="21"/>
                <w:highlight w:val="none"/>
              </w:rPr>
            </w:pPr>
          </w:p>
        </w:tc>
        <w:tc>
          <w:tcPr>
            <w:tcW w:w="1019" w:type="dxa"/>
            <w:tcBorders>
              <w:right w:val="single" w:color="000000" w:sz="4" w:space="0"/>
            </w:tcBorders>
            <w:vAlign w:val="top"/>
          </w:tcPr>
          <w:p w14:paraId="6A0DEA39">
            <w:pPr>
              <w:rPr>
                <w:rFonts w:ascii="Arial"/>
                <w:color w:val="auto"/>
                <w:sz w:val="21"/>
                <w:highlight w:val="none"/>
              </w:rPr>
            </w:pPr>
          </w:p>
        </w:tc>
        <w:tc>
          <w:tcPr>
            <w:tcW w:w="834" w:type="dxa"/>
            <w:tcBorders>
              <w:left w:val="single" w:color="000000" w:sz="4" w:space="0"/>
              <w:right w:val="single" w:color="000000" w:sz="4" w:space="0"/>
            </w:tcBorders>
            <w:vAlign w:val="top"/>
          </w:tcPr>
          <w:p w14:paraId="62B2A56C">
            <w:pPr>
              <w:rPr>
                <w:rFonts w:ascii="Arial"/>
                <w:color w:val="auto"/>
                <w:sz w:val="21"/>
                <w:highlight w:val="none"/>
              </w:rPr>
            </w:pPr>
          </w:p>
        </w:tc>
        <w:tc>
          <w:tcPr>
            <w:tcW w:w="770" w:type="dxa"/>
            <w:tcBorders>
              <w:left w:val="single" w:color="000000" w:sz="4" w:space="0"/>
            </w:tcBorders>
            <w:vAlign w:val="top"/>
          </w:tcPr>
          <w:p w14:paraId="37626DF4">
            <w:pPr>
              <w:rPr>
                <w:rFonts w:ascii="Arial"/>
                <w:color w:val="auto"/>
                <w:sz w:val="21"/>
                <w:highlight w:val="none"/>
              </w:rPr>
            </w:pPr>
          </w:p>
        </w:tc>
        <w:tc>
          <w:tcPr>
            <w:tcW w:w="736" w:type="dxa"/>
            <w:tcBorders>
              <w:right w:val="single" w:color="000000" w:sz="4" w:space="0"/>
            </w:tcBorders>
            <w:vAlign w:val="top"/>
          </w:tcPr>
          <w:p w14:paraId="50BF90D0">
            <w:pPr>
              <w:rPr>
                <w:rFonts w:ascii="Arial"/>
                <w:color w:val="auto"/>
                <w:sz w:val="21"/>
                <w:highlight w:val="none"/>
              </w:rPr>
            </w:pPr>
          </w:p>
        </w:tc>
        <w:tc>
          <w:tcPr>
            <w:tcW w:w="947" w:type="dxa"/>
            <w:tcBorders>
              <w:left w:val="single" w:color="000000" w:sz="4" w:space="0"/>
              <w:right w:val="single" w:color="000000" w:sz="4" w:space="0"/>
            </w:tcBorders>
            <w:vAlign w:val="top"/>
          </w:tcPr>
          <w:p w14:paraId="31E4E4A9">
            <w:pPr>
              <w:rPr>
                <w:rFonts w:ascii="Arial"/>
                <w:color w:val="auto"/>
                <w:sz w:val="21"/>
                <w:highlight w:val="none"/>
              </w:rPr>
            </w:pPr>
          </w:p>
        </w:tc>
      </w:tr>
      <w:tr w14:paraId="2EF03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0764B696">
            <w:pPr>
              <w:rPr>
                <w:rFonts w:ascii="Arial"/>
                <w:color w:val="auto"/>
                <w:sz w:val="21"/>
                <w:highlight w:val="none"/>
              </w:rPr>
            </w:pPr>
          </w:p>
        </w:tc>
        <w:tc>
          <w:tcPr>
            <w:tcW w:w="1043" w:type="dxa"/>
            <w:tcBorders>
              <w:right w:val="single" w:color="000000" w:sz="4" w:space="0"/>
            </w:tcBorders>
            <w:vAlign w:val="top"/>
          </w:tcPr>
          <w:p w14:paraId="4D2552A1">
            <w:pPr>
              <w:rPr>
                <w:rFonts w:ascii="Arial"/>
                <w:color w:val="auto"/>
                <w:sz w:val="21"/>
                <w:highlight w:val="none"/>
              </w:rPr>
            </w:pPr>
          </w:p>
        </w:tc>
        <w:tc>
          <w:tcPr>
            <w:tcW w:w="1027" w:type="dxa"/>
            <w:tcBorders>
              <w:left w:val="single" w:color="000000" w:sz="4" w:space="0"/>
              <w:right w:val="single" w:color="000000" w:sz="4" w:space="0"/>
            </w:tcBorders>
            <w:vAlign w:val="top"/>
          </w:tcPr>
          <w:p w14:paraId="507B97FB">
            <w:pPr>
              <w:rPr>
                <w:rFonts w:ascii="Arial"/>
                <w:color w:val="auto"/>
                <w:sz w:val="21"/>
                <w:highlight w:val="none"/>
              </w:rPr>
            </w:pPr>
          </w:p>
        </w:tc>
        <w:tc>
          <w:tcPr>
            <w:tcW w:w="1455" w:type="dxa"/>
            <w:tcBorders>
              <w:left w:val="single" w:color="000000" w:sz="4" w:space="0"/>
            </w:tcBorders>
            <w:vAlign w:val="top"/>
          </w:tcPr>
          <w:p w14:paraId="465BA4EF">
            <w:pPr>
              <w:rPr>
                <w:rFonts w:ascii="Arial"/>
                <w:color w:val="auto"/>
                <w:sz w:val="21"/>
                <w:highlight w:val="none"/>
              </w:rPr>
            </w:pPr>
          </w:p>
        </w:tc>
        <w:tc>
          <w:tcPr>
            <w:tcW w:w="1019" w:type="dxa"/>
            <w:tcBorders>
              <w:right w:val="single" w:color="000000" w:sz="4" w:space="0"/>
            </w:tcBorders>
            <w:vAlign w:val="top"/>
          </w:tcPr>
          <w:p w14:paraId="290049CF">
            <w:pPr>
              <w:rPr>
                <w:rFonts w:ascii="Arial"/>
                <w:color w:val="auto"/>
                <w:sz w:val="21"/>
                <w:highlight w:val="none"/>
              </w:rPr>
            </w:pPr>
          </w:p>
        </w:tc>
        <w:tc>
          <w:tcPr>
            <w:tcW w:w="834" w:type="dxa"/>
            <w:tcBorders>
              <w:left w:val="single" w:color="000000" w:sz="4" w:space="0"/>
              <w:right w:val="single" w:color="000000" w:sz="4" w:space="0"/>
            </w:tcBorders>
            <w:vAlign w:val="top"/>
          </w:tcPr>
          <w:p w14:paraId="28ED24FC">
            <w:pPr>
              <w:rPr>
                <w:rFonts w:ascii="Arial"/>
                <w:color w:val="auto"/>
                <w:sz w:val="21"/>
                <w:highlight w:val="none"/>
              </w:rPr>
            </w:pPr>
          </w:p>
        </w:tc>
        <w:tc>
          <w:tcPr>
            <w:tcW w:w="770" w:type="dxa"/>
            <w:tcBorders>
              <w:left w:val="single" w:color="000000" w:sz="4" w:space="0"/>
            </w:tcBorders>
            <w:vAlign w:val="top"/>
          </w:tcPr>
          <w:p w14:paraId="541D5AA4">
            <w:pPr>
              <w:rPr>
                <w:rFonts w:ascii="Arial"/>
                <w:color w:val="auto"/>
                <w:sz w:val="21"/>
                <w:highlight w:val="none"/>
              </w:rPr>
            </w:pPr>
          </w:p>
        </w:tc>
        <w:tc>
          <w:tcPr>
            <w:tcW w:w="736" w:type="dxa"/>
            <w:tcBorders>
              <w:right w:val="single" w:color="000000" w:sz="4" w:space="0"/>
            </w:tcBorders>
            <w:vAlign w:val="top"/>
          </w:tcPr>
          <w:p w14:paraId="34A1CF1C">
            <w:pPr>
              <w:rPr>
                <w:rFonts w:ascii="Arial"/>
                <w:color w:val="auto"/>
                <w:sz w:val="21"/>
                <w:highlight w:val="none"/>
              </w:rPr>
            </w:pPr>
          </w:p>
        </w:tc>
        <w:tc>
          <w:tcPr>
            <w:tcW w:w="947" w:type="dxa"/>
            <w:tcBorders>
              <w:left w:val="single" w:color="000000" w:sz="4" w:space="0"/>
              <w:right w:val="single" w:color="000000" w:sz="4" w:space="0"/>
            </w:tcBorders>
            <w:vAlign w:val="top"/>
          </w:tcPr>
          <w:p w14:paraId="04B9F120">
            <w:pPr>
              <w:rPr>
                <w:rFonts w:ascii="Arial"/>
                <w:color w:val="auto"/>
                <w:sz w:val="21"/>
                <w:highlight w:val="none"/>
              </w:rPr>
            </w:pPr>
          </w:p>
        </w:tc>
      </w:tr>
      <w:tr w14:paraId="08C61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17EE4CA5">
            <w:pPr>
              <w:rPr>
                <w:rFonts w:ascii="Arial"/>
                <w:color w:val="auto"/>
                <w:sz w:val="21"/>
                <w:highlight w:val="none"/>
              </w:rPr>
            </w:pPr>
          </w:p>
        </w:tc>
        <w:tc>
          <w:tcPr>
            <w:tcW w:w="1043" w:type="dxa"/>
            <w:tcBorders>
              <w:right w:val="single" w:color="000000" w:sz="4" w:space="0"/>
            </w:tcBorders>
            <w:vAlign w:val="top"/>
          </w:tcPr>
          <w:p w14:paraId="763B079B">
            <w:pPr>
              <w:rPr>
                <w:rFonts w:ascii="Arial"/>
                <w:color w:val="auto"/>
                <w:sz w:val="21"/>
                <w:highlight w:val="none"/>
              </w:rPr>
            </w:pPr>
          </w:p>
        </w:tc>
        <w:tc>
          <w:tcPr>
            <w:tcW w:w="1027" w:type="dxa"/>
            <w:tcBorders>
              <w:left w:val="single" w:color="000000" w:sz="4" w:space="0"/>
              <w:right w:val="single" w:color="000000" w:sz="4" w:space="0"/>
            </w:tcBorders>
            <w:vAlign w:val="top"/>
          </w:tcPr>
          <w:p w14:paraId="7C2F805D">
            <w:pPr>
              <w:rPr>
                <w:rFonts w:ascii="Arial"/>
                <w:color w:val="auto"/>
                <w:sz w:val="21"/>
                <w:highlight w:val="none"/>
              </w:rPr>
            </w:pPr>
          </w:p>
        </w:tc>
        <w:tc>
          <w:tcPr>
            <w:tcW w:w="1455" w:type="dxa"/>
            <w:tcBorders>
              <w:left w:val="single" w:color="000000" w:sz="4" w:space="0"/>
            </w:tcBorders>
            <w:vAlign w:val="top"/>
          </w:tcPr>
          <w:p w14:paraId="23F84970">
            <w:pPr>
              <w:rPr>
                <w:rFonts w:ascii="Arial"/>
                <w:color w:val="auto"/>
                <w:sz w:val="21"/>
                <w:highlight w:val="none"/>
              </w:rPr>
            </w:pPr>
          </w:p>
        </w:tc>
        <w:tc>
          <w:tcPr>
            <w:tcW w:w="1019" w:type="dxa"/>
            <w:tcBorders>
              <w:right w:val="single" w:color="000000" w:sz="4" w:space="0"/>
            </w:tcBorders>
            <w:vAlign w:val="top"/>
          </w:tcPr>
          <w:p w14:paraId="3A6B020E">
            <w:pPr>
              <w:rPr>
                <w:rFonts w:ascii="Arial"/>
                <w:color w:val="auto"/>
                <w:sz w:val="21"/>
                <w:highlight w:val="none"/>
              </w:rPr>
            </w:pPr>
          </w:p>
        </w:tc>
        <w:tc>
          <w:tcPr>
            <w:tcW w:w="834" w:type="dxa"/>
            <w:tcBorders>
              <w:left w:val="single" w:color="000000" w:sz="4" w:space="0"/>
              <w:right w:val="single" w:color="000000" w:sz="4" w:space="0"/>
            </w:tcBorders>
            <w:vAlign w:val="top"/>
          </w:tcPr>
          <w:p w14:paraId="709D1E7E">
            <w:pPr>
              <w:rPr>
                <w:rFonts w:ascii="Arial"/>
                <w:color w:val="auto"/>
                <w:sz w:val="21"/>
                <w:highlight w:val="none"/>
              </w:rPr>
            </w:pPr>
          </w:p>
        </w:tc>
        <w:tc>
          <w:tcPr>
            <w:tcW w:w="770" w:type="dxa"/>
            <w:tcBorders>
              <w:left w:val="single" w:color="000000" w:sz="4" w:space="0"/>
            </w:tcBorders>
            <w:vAlign w:val="top"/>
          </w:tcPr>
          <w:p w14:paraId="5855A56B">
            <w:pPr>
              <w:rPr>
                <w:rFonts w:ascii="Arial"/>
                <w:color w:val="auto"/>
                <w:sz w:val="21"/>
                <w:highlight w:val="none"/>
              </w:rPr>
            </w:pPr>
          </w:p>
        </w:tc>
        <w:tc>
          <w:tcPr>
            <w:tcW w:w="736" w:type="dxa"/>
            <w:tcBorders>
              <w:right w:val="single" w:color="000000" w:sz="4" w:space="0"/>
            </w:tcBorders>
            <w:vAlign w:val="top"/>
          </w:tcPr>
          <w:p w14:paraId="3C064A53">
            <w:pPr>
              <w:rPr>
                <w:rFonts w:ascii="Arial"/>
                <w:color w:val="auto"/>
                <w:sz w:val="21"/>
                <w:highlight w:val="none"/>
              </w:rPr>
            </w:pPr>
          </w:p>
        </w:tc>
        <w:tc>
          <w:tcPr>
            <w:tcW w:w="947" w:type="dxa"/>
            <w:tcBorders>
              <w:left w:val="single" w:color="000000" w:sz="4" w:space="0"/>
              <w:right w:val="single" w:color="000000" w:sz="4" w:space="0"/>
            </w:tcBorders>
            <w:vAlign w:val="top"/>
          </w:tcPr>
          <w:p w14:paraId="63E204AF">
            <w:pPr>
              <w:rPr>
                <w:rFonts w:ascii="Arial"/>
                <w:color w:val="auto"/>
                <w:sz w:val="21"/>
                <w:highlight w:val="none"/>
              </w:rPr>
            </w:pPr>
          </w:p>
        </w:tc>
      </w:tr>
      <w:tr w14:paraId="203A8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53" w:type="dxa"/>
            <w:tcBorders>
              <w:left w:val="single" w:color="000000" w:sz="4" w:space="0"/>
            </w:tcBorders>
            <w:vAlign w:val="top"/>
          </w:tcPr>
          <w:p w14:paraId="58CF004A">
            <w:pPr>
              <w:rPr>
                <w:rFonts w:ascii="Arial"/>
                <w:color w:val="auto"/>
                <w:sz w:val="21"/>
                <w:highlight w:val="none"/>
              </w:rPr>
            </w:pPr>
          </w:p>
        </w:tc>
        <w:tc>
          <w:tcPr>
            <w:tcW w:w="1043" w:type="dxa"/>
            <w:tcBorders>
              <w:right w:val="single" w:color="000000" w:sz="4" w:space="0"/>
            </w:tcBorders>
            <w:vAlign w:val="top"/>
          </w:tcPr>
          <w:p w14:paraId="3A846A9C">
            <w:pPr>
              <w:rPr>
                <w:rFonts w:ascii="Arial"/>
                <w:color w:val="auto"/>
                <w:sz w:val="21"/>
                <w:highlight w:val="none"/>
              </w:rPr>
            </w:pPr>
          </w:p>
        </w:tc>
        <w:tc>
          <w:tcPr>
            <w:tcW w:w="1027" w:type="dxa"/>
            <w:tcBorders>
              <w:left w:val="single" w:color="000000" w:sz="4" w:space="0"/>
              <w:right w:val="single" w:color="000000" w:sz="4" w:space="0"/>
            </w:tcBorders>
            <w:vAlign w:val="top"/>
          </w:tcPr>
          <w:p w14:paraId="3E5E1DB0">
            <w:pPr>
              <w:rPr>
                <w:rFonts w:ascii="Arial"/>
                <w:color w:val="auto"/>
                <w:sz w:val="21"/>
                <w:highlight w:val="none"/>
              </w:rPr>
            </w:pPr>
          </w:p>
        </w:tc>
        <w:tc>
          <w:tcPr>
            <w:tcW w:w="1455" w:type="dxa"/>
            <w:tcBorders>
              <w:left w:val="single" w:color="000000" w:sz="4" w:space="0"/>
            </w:tcBorders>
            <w:vAlign w:val="top"/>
          </w:tcPr>
          <w:p w14:paraId="3E2AF0E4">
            <w:pPr>
              <w:rPr>
                <w:rFonts w:ascii="Arial"/>
                <w:color w:val="auto"/>
                <w:sz w:val="21"/>
                <w:highlight w:val="none"/>
              </w:rPr>
            </w:pPr>
          </w:p>
        </w:tc>
        <w:tc>
          <w:tcPr>
            <w:tcW w:w="1019" w:type="dxa"/>
            <w:tcBorders>
              <w:right w:val="single" w:color="000000" w:sz="4" w:space="0"/>
            </w:tcBorders>
            <w:vAlign w:val="top"/>
          </w:tcPr>
          <w:p w14:paraId="55301174">
            <w:pPr>
              <w:rPr>
                <w:rFonts w:ascii="Arial"/>
                <w:color w:val="auto"/>
                <w:sz w:val="21"/>
                <w:highlight w:val="none"/>
              </w:rPr>
            </w:pPr>
          </w:p>
        </w:tc>
        <w:tc>
          <w:tcPr>
            <w:tcW w:w="834" w:type="dxa"/>
            <w:tcBorders>
              <w:left w:val="single" w:color="000000" w:sz="4" w:space="0"/>
              <w:right w:val="single" w:color="000000" w:sz="4" w:space="0"/>
            </w:tcBorders>
            <w:vAlign w:val="top"/>
          </w:tcPr>
          <w:p w14:paraId="4CB5A470">
            <w:pPr>
              <w:rPr>
                <w:rFonts w:ascii="Arial"/>
                <w:color w:val="auto"/>
                <w:sz w:val="21"/>
                <w:highlight w:val="none"/>
              </w:rPr>
            </w:pPr>
          </w:p>
        </w:tc>
        <w:tc>
          <w:tcPr>
            <w:tcW w:w="770" w:type="dxa"/>
            <w:tcBorders>
              <w:left w:val="single" w:color="000000" w:sz="4" w:space="0"/>
            </w:tcBorders>
            <w:vAlign w:val="top"/>
          </w:tcPr>
          <w:p w14:paraId="74DC34B0">
            <w:pPr>
              <w:rPr>
                <w:rFonts w:ascii="Arial"/>
                <w:color w:val="auto"/>
                <w:sz w:val="21"/>
                <w:highlight w:val="none"/>
              </w:rPr>
            </w:pPr>
          </w:p>
        </w:tc>
        <w:tc>
          <w:tcPr>
            <w:tcW w:w="736" w:type="dxa"/>
            <w:tcBorders>
              <w:right w:val="single" w:color="000000" w:sz="4" w:space="0"/>
            </w:tcBorders>
            <w:vAlign w:val="top"/>
          </w:tcPr>
          <w:p w14:paraId="59DA6C97">
            <w:pPr>
              <w:rPr>
                <w:rFonts w:ascii="Arial"/>
                <w:color w:val="auto"/>
                <w:sz w:val="21"/>
                <w:highlight w:val="none"/>
              </w:rPr>
            </w:pPr>
          </w:p>
        </w:tc>
        <w:tc>
          <w:tcPr>
            <w:tcW w:w="947" w:type="dxa"/>
            <w:tcBorders>
              <w:left w:val="single" w:color="000000" w:sz="4" w:space="0"/>
              <w:right w:val="single" w:color="000000" w:sz="4" w:space="0"/>
            </w:tcBorders>
            <w:vAlign w:val="top"/>
          </w:tcPr>
          <w:p w14:paraId="7EBCDBE5">
            <w:pPr>
              <w:rPr>
                <w:rFonts w:ascii="Arial"/>
                <w:color w:val="auto"/>
                <w:sz w:val="21"/>
                <w:highlight w:val="none"/>
              </w:rPr>
            </w:pPr>
          </w:p>
        </w:tc>
      </w:tr>
      <w:tr w14:paraId="08D45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801" w:type="dxa"/>
            <w:gridSpan w:val="7"/>
            <w:tcBorders>
              <w:left w:val="single" w:color="000000" w:sz="4" w:space="0"/>
            </w:tcBorders>
            <w:vAlign w:val="top"/>
          </w:tcPr>
          <w:p w14:paraId="0CAEF0F4">
            <w:pPr>
              <w:pStyle w:val="11"/>
              <w:spacing w:before="148" w:line="220" w:lineRule="auto"/>
              <w:ind w:left="2986"/>
              <w:rPr>
                <w:color w:val="auto"/>
                <w:highlight w:val="none"/>
              </w:rPr>
            </w:pPr>
            <w:r>
              <w:rPr>
                <w:color w:val="auto"/>
                <w:spacing w:val="-1"/>
                <w:highlight w:val="none"/>
              </w:rPr>
              <w:t>本页小计</w:t>
            </w:r>
          </w:p>
        </w:tc>
        <w:tc>
          <w:tcPr>
            <w:tcW w:w="736" w:type="dxa"/>
            <w:tcBorders>
              <w:right w:val="single" w:color="000000" w:sz="4" w:space="0"/>
            </w:tcBorders>
            <w:vAlign w:val="top"/>
          </w:tcPr>
          <w:p w14:paraId="1198C302">
            <w:pPr>
              <w:rPr>
                <w:rFonts w:ascii="Arial"/>
                <w:color w:val="auto"/>
                <w:sz w:val="21"/>
                <w:highlight w:val="none"/>
              </w:rPr>
            </w:pPr>
          </w:p>
        </w:tc>
        <w:tc>
          <w:tcPr>
            <w:tcW w:w="947" w:type="dxa"/>
            <w:tcBorders>
              <w:left w:val="single" w:color="000000" w:sz="4" w:space="0"/>
              <w:right w:val="single" w:color="000000" w:sz="4" w:space="0"/>
            </w:tcBorders>
            <w:vAlign w:val="top"/>
          </w:tcPr>
          <w:p w14:paraId="058BEDCC">
            <w:pPr>
              <w:rPr>
                <w:rFonts w:ascii="Arial"/>
                <w:color w:val="auto"/>
                <w:sz w:val="21"/>
                <w:highlight w:val="none"/>
              </w:rPr>
            </w:pPr>
          </w:p>
        </w:tc>
      </w:tr>
      <w:tr w14:paraId="1DC46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6801" w:type="dxa"/>
            <w:gridSpan w:val="7"/>
            <w:tcBorders>
              <w:left w:val="single" w:color="000000" w:sz="4" w:space="0"/>
              <w:bottom w:val="single" w:color="000000" w:sz="4" w:space="0"/>
            </w:tcBorders>
            <w:vAlign w:val="top"/>
          </w:tcPr>
          <w:p w14:paraId="1674CC39">
            <w:pPr>
              <w:pStyle w:val="11"/>
              <w:spacing w:before="149" w:line="222" w:lineRule="auto"/>
              <w:ind w:left="3144"/>
              <w:rPr>
                <w:color w:val="auto"/>
                <w:highlight w:val="none"/>
              </w:rPr>
            </w:pPr>
            <w:r>
              <w:rPr>
                <w:color w:val="auto"/>
                <w:spacing w:val="-4"/>
                <w:highlight w:val="none"/>
              </w:rPr>
              <w:t>合</w:t>
            </w:r>
            <w:r>
              <w:rPr>
                <w:color w:val="auto"/>
                <w:spacing w:val="8"/>
                <w:highlight w:val="none"/>
              </w:rPr>
              <w:t xml:space="preserve"> </w:t>
            </w:r>
            <w:r>
              <w:rPr>
                <w:color w:val="auto"/>
                <w:spacing w:val="-4"/>
                <w:highlight w:val="none"/>
              </w:rPr>
              <w:t>计</w:t>
            </w:r>
          </w:p>
        </w:tc>
        <w:tc>
          <w:tcPr>
            <w:tcW w:w="736" w:type="dxa"/>
            <w:tcBorders>
              <w:bottom w:val="single" w:color="000000" w:sz="4" w:space="0"/>
              <w:right w:val="single" w:color="000000" w:sz="4" w:space="0"/>
            </w:tcBorders>
            <w:vAlign w:val="top"/>
          </w:tcPr>
          <w:p w14:paraId="3AA981AB">
            <w:pPr>
              <w:rPr>
                <w:rFonts w:ascii="Arial"/>
                <w:color w:val="auto"/>
                <w:sz w:val="21"/>
                <w:highlight w:val="none"/>
              </w:rPr>
            </w:pPr>
          </w:p>
        </w:tc>
        <w:tc>
          <w:tcPr>
            <w:tcW w:w="947" w:type="dxa"/>
            <w:tcBorders>
              <w:left w:val="single" w:color="000000" w:sz="4" w:space="0"/>
              <w:bottom w:val="single" w:color="000000" w:sz="4" w:space="0"/>
              <w:right w:val="single" w:color="000000" w:sz="4" w:space="0"/>
            </w:tcBorders>
            <w:vAlign w:val="top"/>
          </w:tcPr>
          <w:p w14:paraId="2AE08C0E">
            <w:pPr>
              <w:rPr>
                <w:rFonts w:ascii="Arial"/>
                <w:color w:val="auto"/>
                <w:sz w:val="21"/>
                <w:highlight w:val="none"/>
              </w:rPr>
            </w:pPr>
          </w:p>
        </w:tc>
      </w:tr>
    </w:tbl>
    <w:p w14:paraId="63A4FE20">
      <w:pPr>
        <w:pStyle w:val="3"/>
        <w:rPr>
          <w:color w:val="auto"/>
          <w:highlight w:val="none"/>
        </w:rPr>
      </w:pPr>
    </w:p>
    <w:p w14:paraId="0C354420">
      <w:pPr>
        <w:rPr>
          <w:color w:val="auto"/>
          <w:highlight w:val="none"/>
        </w:rPr>
        <w:sectPr>
          <w:footerReference r:id="rId188" w:type="default"/>
          <w:pgSz w:w="11905" w:h="16839"/>
          <w:pgMar w:top="400" w:right="1700" w:bottom="1004" w:left="1709" w:header="0" w:footer="828" w:gutter="0"/>
          <w:pgNumType w:fmt="decimal"/>
          <w:cols w:space="720" w:num="1"/>
        </w:sectPr>
      </w:pPr>
    </w:p>
    <w:p w14:paraId="155E90F3">
      <w:pPr>
        <w:pStyle w:val="3"/>
        <w:spacing w:line="267" w:lineRule="auto"/>
        <w:rPr>
          <w:color w:val="auto"/>
          <w:highlight w:val="none"/>
        </w:rPr>
      </w:pPr>
    </w:p>
    <w:p w14:paraId="49088947">
      <w:pPr>
        <w:pStyle w:val="3"/>
        <w:spacing w:line="267" w:lineRule="auto"/>
        <w:rPr>
          <w:color w:val="auto"/>
          <w:highlight w:val="none"/>
        </w:rPr>
      </w:pPr>
    </w:p>
    <w:p w14:paraId="61FE34D1">
      <w:pPr>
        <w:pStyle w:val="3"/>
        <w:spacing w:line="268" w:lineRule="auto"/>
        <w:rPr>
          <w:color w:val="auto"/>
          <w:highlight w:val="none"/>
        </w:rPr>
      </w:pPr>
    </w:p>
    <w:p w14:paraId="0E568A6A">
      <w:pPr>
        <w:pStyle w:val="3"/>
        <w:spacing w:line="268" w:lineRule="auto"/>
        <w:rPr>
          <w:color w:val="auto"/>
          <w:highlight w:val="none"/>
        </w:rPr>
      </w:pPr>
    </w:p>
    <w:p w14:paraId="5E4E5297">
      <w:pPr>
        <w:spacing w:before="78" w:line="219" w:lineRule="auto"/>
        <w:ind w:left="325"/>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4.10 </w:t>
      </w:r>
      <w:r>
        <w:rPr>
          <w:rFonts w:ascii="黑体" w:hAnsi="黑体" w:eastAsia="黑体" w:cs="黑体"/>
          <w:color w:val="auto"/>
          <w:spacing w:val="-1"/>
          <w:sz w:val="24"/>
          <w:szCs w:val="24"/>
          <w:highlight w:val="none"/>
        </w:rPr>
        <w:t>综合单价分析表</w:t>
      </w:r>
    </w:p>
    <w:p w14:paraId="618076B2">
      <w:pPr>
        <w:spacing w:before="161" w:line="225" w:lineRule="auto"/>
        <w:ind w:left="3509"/>
        <w:rPr>
          <w:rFonts w:ascii="黑体" w:hAnsi="黑体" w:eastAsia="黑体" w:cs="黑体"/>
          <w:color w:val="auto"/>
          <w:sz w:val="27"/>
          <w:szCs w:val="27"/>
          <w:highlight w:val="none"/>
        </w:rPr>
      </w:pPr>
      <w:r>
        <w:rPr>
          <w:rFonts w:ascii="黑体" w:hAnsi="黑体" w:eastAsia="黑体" w:cs="黑体"/>
          <w:color w:val="auto"/>
          <w:spacing w:val="7"/>
          <w:sz w:val="27"/>
          <w:szCs w:val="27"/>
          <w:highlight w:val="none"/>
        </w:rPr>
        <w:t>综合单价分析表</w:t>
      </w:r>
    </w:p>
    <w:p w14:paraId="4FC54A66">
      <w:pPr>
        <w:spacing w:before="143" w:line="234" w:lineRule="auto"/>
        <w:ind w:left="33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工程名称</w:t>
      </w:r>
      <w:r>
        <w:rPr>
          <w:rFonts w:ascii="Times New Roman" w:hAnsi="Times New Roman" w:eastAsia="Times New Roman" w:cs="Times New Roman"/>
          <w:color w:val="auto"/>
          <w:spacing w:val="-3"/>
          <w:sz w:val="21"/>
          <w:szCs w:val="21"/>
          <w:highlight w:val="none"/>
        </w:rPr>
        <w:t xml:space="preserve">:                           </w:t>
      </w:r>
      <w:r>
        <w:rPr>
          <w:rFonts w:ascii="Times New Roman" w:hAnsi="Times New Roman" w:eastAsia="Times New Roman" w:cs="Times New Roman"/>
          <w:color w:val="auto"/>
          <w:spacing w:val="-4"/>
          <w:sz w:val="21"/>
          <w:szCs w:val="21"/>
          <w:highlight w:val="none"/>
        </w:rPr>
        <w:t xml:space="preserve"> </w:t>
      </w:r>
      <w:r>
        <w:rPr>
          <w:rFonts w:ascii="宋体" w:hAnsi="宋体" w:eastAsia="宋体" w:cs="宋体"/>
          <w:color w:val="auto"/>
          <w:spacing w:val="-4"/>
          <w:sz w:val="21"/>
          <w:szCs w:val="21"/>
          <w:highlight w:val="none"/>
        </w:rPr>
        <w:t>标段名称：           第</w:t>
      </w:r>
      <w:r>
        <w:rPr>
          <w:rFonts w:ascii="宋体" w:hAnsi="宋体" w:eastAsia="宋体" w:cs="宋体"/>
          <w:color w:val="auto"/>
          <w:spacing w:val="4"/>
          <w:sz w:val="21"/>
          <w:szCs w:val="21"/>
          <w:highlight w:val="none"/>
        </w:rPr>
        <w:t xml:space="preserve"> </w:t>
      </w:r>
      <w:r>
        <w:rPr>
          <w:rFonts w:ascii="宋体" w:hAnsi="宋体" w:eastAsia="宋体" w:cs="宋体"/>
          <w:color w:val="auto"/>
          <w:spacing w:val="-4"/>
          <w:sz w:val="21"/>
          <w:szCs w:val="21"/>
          <w:highlight w:val="none"/>
        </w:rPr>
        <w:t>页</w:t>
      </w:r>
      <w:r>
        <w:rPr>
          <w:rFonts w:ascii="宋体" w:hAnsi="宋体" w:eastAsia="宋体" w:cs="宋体"/>
          <w:color w:val="auto"/>
          <w:spacing w:val="9"/>
          <w:sz w:val="21"/>
          <w:szCs w:val="21"/>
          <w:highlight w:val="none"/>
        </w:rPr>
        <w:t xml:space="preserve"> </w:t>
      </w:r>
      <w:r>
        <w:rPr>
          <w:rFonts w:ascii="宋体" w:hAnsi="宋体" w:eastAsia="宋体" w:cs="宋体"/>
          <w:color w:val="auto"/>
          <w:spacing w:val="-4"/>
          <w:sz w:val="21"/>
          <w:szCs w:val="21"/>
          <w:highlight w:val="none"/>
        </w:rPr>
        <w:t>共</w:t>
      </w:r>
      <w:r>
        <w:rPr>
          <w:rFonts w:ascii="宋体" w:hAnsi="宋体" w:eastAsia="宋体" w:cs="宋体"/>
          <w:color w:val="auto"/>
          <w:spacing w:val="14"/>
          <w:sz w:val="21"/>
          <w:szCs w:val="21"/>
          <w:highlight w:val="none"/>
        </w:rPr>
        <w:t xml:space="preserve"> </w:t>
      </w:r>
      <w:r>
        <w:rPr>
          <w:rFonts w:ascii="宋体" w:hAnsi="宋体" w:eastAsia="宋体" w:cs="宋体"/>
          <w:color w:val="auto"/>
          <w:spacing w:val="-4"/>
          <w:sz w:val="21"/>
          <w:szCs w:val="21"/>
          <w:highlight w:val="none"/>
        </w:rPr>
        <w:t>页</w:t>
      </w:r>
    </w:p>
    <w:p w14:paraId="1A57E721">
      <w:pPr>
        <w:spacing w:line="97" w:lineRule="exact"/>
        <w:rPr>
          <w:color w:val="auto"/>
          <w:highlight w:val="none"/>
        </w:rPr>
      </w:pPr>
    </w:p>
    <w:tbl>
      <w:tblPr>
        <w:tblStyle w:val="10"/>
        <w:tblW w:w="8945"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1"/>
        <w:gridCol w:w="511"/>
        <w:gridCol w:w="158"/>
        <w:gridCol w:w="672"/>
        <w:gridCol w:w="254"/>
        <w:gridCol w:w="173"/>
        <w:gridCol w:w="427"/>
        <w:gridCol w:w="434"/>
        <w:gridCol w:w="230"/>
        <w:gridCol w:w="419"/>
        <w:gridCol w:w="739"/>
        <w:gridCol w:w="844"/>
        <w:gridCol w:w="86"/>
        <w:gridCol w:w="873"/>
        <w:gridCol w:w="46"/>
        <w:gridCol w:w="338"/>
        <w:gridCol w:w="878"/>
        <w:gridCol w:w="57"/>
        <w:gridCol w:w="1105"/>
      </w:tblGrid>
      <w:tr w14:paraId="6A7F2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1212" w:type="dxa"/>
            <w:gridSpan w:val="2"/>
            <w:tcBorders>
              <w:top w:val="single" w:color="000000" w:sz="4" w:space="0"/>
              <w:left w:val="single" w:color="000000" w:sz="4" w:space="0"/>
              <w:right w:val="single" w:color="000000" w:sz="4" w:space="0"/>
            </w:tcBorders>
            <w:vAlign w:val="top"/>
          </w:tcPr>
          <w:p w14:paraId="3D4515DC">
            <w:pPr>
              <w:pStyle w:val="11"/>
              <w:spacing w:before="162" w:line="221" w:lineRule="auto"/>
              <w:ind w:left="217"/>
              <w:rPr>
                <w:color w:val="auto"/>
                <w:sz w:val="20"/>
                <w:szCs w:val="20"/>
                <w:highlight w:val="none"/>
              </w:rPr>
            </w:pPr>
            <w:r>
              <w:rPr>
                <w:color w:val="auto"/>
                <w:spacing w:val="-1"/>
                <w:sz w:val="20"/>
                <w:szCs w:val="20"/>
                <w:highlight w:val="none"/>
              </w:rPr>
              <w:t>项目编码</w:t>
            </w:r>
          </w:p>
        </w:tc>
        <w:tc>
          <w:tcPr>
            <w:tcW w:w="1084" w:type="dxa"/>
            <w:gridSpan w:val="3"/>
            <w:tcBorders>
              <w:top w:val="single" w:color="000000" w:sz="4" w:space="0"/>
              <w:left w:val="single" w:color="000000" w:sz="4" w:space="0"/>
              <w:right w:val="single" w:color="000000" w:sz="4" w:space="0"/>
            </w:tcBorders>
            <w:vAlign w:val="top"/>
          </w:tcPr>
          <w:p w14:paraId="4B633331">
            <w:pPr>
              <w:rPr>
                <w:rFonts w:ascii="Arial"/>
                <w:color w:val="auto"/>
                <w:sz w:val="21"/>
                <w:highlight w:val="none"/>
              </w:rPr>
            </w:pPr>
          </w:p>
        </w:tc>
        <w:tc>
          <w:tcPr>
            <w:tcW w:w="1034" w:type="dxa"/>
            <w:gridSpan w:val="3"/>
            <w:tcBorders>
              <w:top w:val="single" w:color="000000" w:sz="4" w:space="0"/>
              <w:left w:val="single" w:color="000000" w:sz="4" w:space="0"/>
            </w:tcBorders>
            <w:vAlign w:val="top"/>
          </w:tcPr>
          <w:p w14:paraId="24E7EC81">
            <w:pPr>
              <w:pStyle w:val="11"/>
              <w:spacing w:before="162" w:line="222" w:lineRule="auto"/>
              <w:ind w:left="115"/>
              <w:rPr>
                <w:color w:val="auto"/>
                <w:sz w:val="20"/>
                <w:szCs w:val="20"/>
                <w:highlight w:val="none"/>
              </w:rPr>
            </w:pPr>
            <w:r>
              <w:rPr>
                <w:color w:val="auto"/>
                <w:spacing w:val="-1"/>
                <w:sz w:val="20"/>
                <w:szCs w:val="20"/>
                <w:highlight w:val="none"/>
              </w:rPr>
              <w:t>项目名称</w:t>
            </w:r>
          </w:p>
        </w:tc>
        <w:tc>
          <w:tcPr>
            <w:tcW w:w="1388" w:type="dxa"/>
            <w:gridSpan w:val="3"/>
            <w:tcBorders>
              <w:top w:val="single" w:color="000000" w:sz="4" w:space="0"/>
              <w:right w:val="single" w:color="000000" w:sz="4" w:space="0"/>
            </w:tcBorders>
            <w:vAlign w:val="top"/>
          </w:tcPr>
          <w:p w14:paraId="5990C969">
            <w:pPr>
              <w:rPr>
                <w:rFonts w:ascii="Arial"/>
                <w:color w:val="auto"/>
                <w:sz w:val="21"/>
                <w:highlight w:val="none"/>
              </w:rPr>
            </w:pPr>
          </w:p>
        </w:tc>
        <w:tc>
          <w:tcPr>
            <w:tcW w:w="930" w:type="dxa"/>
            <w:gridSpan w:val="2"/>
            <w:tcBorders>
              <w:top w:val="single" w:color="000000" w:sz="4" w:space="0"/>
              <w:left w:val="single" w:color="000000" w:sz="4" w:space="0"/>
              <w:right w:val="single" w:color="000000" w:sz="4" w:space="0"/>
            </w:tcBorders>
            <w:vAlign w:val="top"/>
          </w:tcPr>
          <w:p w14:paraId="0B176426">
            <w:pPr>
              <w:pStyle w:val="11"/>
              <w:spacing w:before="33" w:line="239" w:lineRule="auto"/>
              <w:ind w:left="268"/>
              <w:rPr>
                <w:color w:val="auto"/>
                <w:sz w:val="20"/>
                <w:szCs w:val="20"/>
                <w:highlight w:val="none"/>
              </w:rPr>
            </w:pPr>
            <w:r>
              <w:rPr>
                <w:color w:val="auto"/>
                <w:spacing w:val="-2"/>
                <w:sz w:val="20"/>
                <w:szCs w:val="20"/>
                <w:highlight w:val="none"/>
              </w:rPr>
              <w:t>计量</w:t>
            </w:r>
          </w:p>
          <w:p w14:paraId="0403514C">
            <w:pPr>
              <w:pStyle w:val="11"/>
              <w:spacing w:line="207" w:lineRule="auto"/>
              <w:ind w:left="270"/>
              <w:rPr>
                <w:color w:val="auto"/>
                <w:sz w:val="20"/>
                <w:szCs w:val="20"/>
                <w:highlight w:val="none"/>
              </w:rPr>
            </w:pPr>
            <w:r>
              <w:rPr>
                <w:color w:val="auto"/>
                <w:spacing w:val="-2"/>
                <w:sz w:val="20"/>
                <w:szCs w:val="20"/>
                <w:highlight w:val="none"/>
              </w:rPr>
              <w:t>单位</w:t>
            </w:r>
          </w:p>
        </w:tc>
        <w:tc>
          <w:tcPr>
            <w:tcW w:w="873" w:type="dxa"/>
            <w:tcBorders>
              <w:top w:val="single" w:color="000000" w:sz="4" w:space="0"/>
              <w:left w:val="single" w:color="000000" w:sz="4" w:space="0"/>
              <w:right w:val="single" w:color="000000" w:sz="4" w:space="0"/>
            </w:tcBorders>
            <w:vAlign w:val="top"/>
          </w:tcPr>
          <w:p w14:paraId="49BC41EC">
            <w:pPr>
              <w:rPr>
                <w:rFonts w:ascii="Arial"/>
                <w:color w:val="auto"/>
                <w:sz w:val="21"/>
                <w:highlight w:val="none"/>
              </w:rPr>
            </w:pPr>
          </w:p>
        </w:tc>
        <w:tc>
          <w:tcPr>
            <w:tcW w:w="1262" w:type="dxa"/>
            <w:gridSpan w:val="3"/>
            <w:tcBorders>
              <w:top w:val="single" w:color="000000" w:sz="4" w:space="0"/>
              <w:left w:val="single" w:color="000000" w:sz="4" w:space="0"/>
              <w:right w:val="single" w:color="000000" w:sz="4" w:space="0"/>
            </w:tcBorders>
            <w:vAlign w:val="top"/>
          </w:tcPr>
          <w:p w14:paraId="521468D9">
            <w:pPr>
              <w:pStyle w:val="11"/>
              <w:spacing w:before="162" w:line="222" w:lineRule="auto"/>
              <w:ind w:left="341"/>
              <w:rPr>
                <w:color w:val="auto"/>
                <w:sz w:val="20"/>
                <w:szCs w:val="20"/>
                <w:highlight w:val="none"/>
              </w:rPr>
            </w:pPr>
            <w:r>
              <w:rPr>
                <w:color w:val="auto"/>
                <w:spacing w:val="-2"/>
                <w:sz w:val="20"/>
                <w:szCs w:val="20"/>
                <w:highlight w:val="none"/>
              </w:rPr>
              <w:t>工程量</w:t>
            </w:r>
          </w:p>
        </w:tc>
        <w:tc>
          <w:tcPr>
            <w:tcW w:w="1162" w:type="dxa"/>
            <w:gridSpan w:val="2"/>
            <w:tcBorders>
              <w:top w:val="single" w:color="000000" w:sz="4" w:space="0"/>
              <w:left w:val="single" w:color="000000" w:sz="4" w:space="0"/>
              <w:right w:val="single" w:color="000000" w:sz="4" w:space="0"/>
            </w:tcBorders>
            <w:vAlign w:val="top"/>
          </w:tcPr>
          <w:p w14:paraId="48DF08C7">
            <w:pPr>
              <w:rPr>
                <w:rFonts w:ascii="Arial"/>
                <w:color w:val="auto"/>
                <w:sz w:val="21"/>
                <w:highlight w:val="none"/>
              </w:rPr>
            </w:pPr>
          </w:p>
        </w:tc>
      </w:tr>
      <w:tr w14:paraId="2CF9E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945" w:type="dxa"/>
            <w:gridSpan w:val="19"/>
            <w:tcBorders>
              <w:left w:val="single" w:color="000000" w:sz="4" w:space="0"/>
              <w:right w:val="single" w:color="000000" w:sz="4" w:space="0"/>
            </w:tcBorders>
            <w:vAlign w:val="top"/>
          </w:tcPr>
          <w:p w14:paraId="1F380151">
            <w:pPr>
              <w:pStyle w:val="11"/>
              <w:spacing w:before="169" w:line="219" w:lineRule="auto"/>
              <w:ind w:left="3431"/>
              <w:rPr>
                <w:color w:val="auto"/>
                <w:highlight w:val="none"/>
              </w:rPr>
            </w:pPr>
            <w:r>
              <w:rPr>
                <w:color w:val="auto"/>
                <w:spacing w:val="-1"/>
                <w:highlight w:val="none"/>
              </w:rPr>
              <w:t>清单综合单价组成明细</w:t>
            </w:r>
          </w:p>
        </w:tc>
      </w:tr>
      <w:tr w14:paraId="01AFBA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restart"/>
            <w:tcBorders>
              <w:left w:val="single" w:color="000000" w:sz="4" w:space="0"/>
              <w:bottom w:val="nil"/>
            </w:tcBorders>
            <w:vAlign w:val="top"/>
          </w:tcPr>
          <w:p w14:paraId="36F5C4A3">
            <w:pPr>
              <w:spacing w:line="376" w:lineRule="auto"/>
              <w:rPr>
                <w:rFonts w:ascii="Arial"/>
                <w:color w:val="auto"/>
                <w:sz w:val="21"/>
                <w:highlight w:val="none"/>
              </w:rPr>
            </w:pPr>
          </w:p>
          <w:p w14:paraId="3FDDEEFD">
            <w:pPr>
              <w:pStyle w:val="11"/>
              <w:spacing w:before="69" w:line="231" w:lineRule="auto"/>
              <w:ind w:left="148" w:right="132" w:firstLine="3"/>
              <w:rPr>
                <w:color w:val="auto"/>
                <w:highlight w:val="none"/>
              </w:rPr>
            </w:pPr>
            <w:r>
              <w:rPr>
                <w:color w:val="auto"/>
                <w:spacing w:val="-6"/>
                <w:highlight w:val="none"/>
              </w:rPr>
              <w:t>定额</w:t>
            </w:r>
            <w:r>
              <w:rPr>
                <w:color w:val="auto"/>
                <w:highlight w:val="none"/>
              </w:rPr>
              <w:t xml:space="preserve"> </w:t>
            </w:r>
            <w:r>
              <w:rPr>
                <w:color w:val="auto"/>
                <w:spacing w:val="-4"/>
                <w:highlight w:val="none"/>
              </w:rPr>
              <w:t>编号</w:t>
            </w:r>
          </w:p>
        </w:tc>
        <w:tc>
          <w:tcPr>
            <w:tcW w:w="669" w:type="dxa"/>
            <w:gridSpan w:val="2"/>
            <w:vMerge w:val="restart"/>
            <w:tcBorders>
              <w:bottom w:val="nil"/>
              <w:right w:val="single" w:color="000000" w:sz="4" w:space="0"/>
            </w:tcBorders>
            <w:vAlign w:val="top"/>
          </w:tcPr>
          <w:p w14:paraId="6A8D8787">
            <w:pPr>
              <w:spacing w:line="245" w:lineRule="auto"/>
              <w:rPr>
                <w:rFonts w:ascii="Arial"/>
                <w:color w:val="auto"/>
                <w:sz w:val="21"/>
                <w:highlight w:val="none"/>
              </w:rPr>
            </w:pPr>
          </w:p>
          <w:p w14:paraId="405A8DB3">
            <w:pPr>
              <w:pStyle w:val="11"/>
              <w:spacing w:before="68" w:line="233" w:lineRule="auto"/>
              <w:ind w:left="133" w:right="116" w:firstLine="2"/>
              <w:jc w:val="both"/>
              <w:rPr>
                <w:color w:val="auto"/>
                <w:highlight w:val="none"/>
              </w:rPr>
            </w:pPr>
            <w:r>
              <w:rPr>
                <w:color w:val="auto"/>
                <w:spacing w:val="-6"/>
                <w:highlight w:val="none"/>
              </w:rPr>
              <w:t>定额</w:t>
            </w:r>
            <w:r>
              <w:rPr>
                <w:color w:val="auto"/>
                <w:highlight w:val="none"/>
              </w:rPr>
              <w:t xml:space="preserve"> </w:t>
            </w:r>
            <w:r>
              <w:rPr>
                <w:color w:val="auto"/>
                <w:spacing w:val="-5"/>
                <w:highlight w:val="none"/>
              </w:rPr>
              <w:t>项目</w:t>
            </w:r>
            <w:r>
              <w:rPr>
                <w:color w:val="auto"/>
                <w:highlight w:val="none"/>
              </w:rPr>
              <w:t xml:space="preserve"> </w:t>
            </w:r>
            <w:r>
              <w:rPr>
                <w:color w:val="auto"/>
                <w:spacing w:val="-5"/>
                <w:highlight w:val="none"/>
              </w:rPr>
              <w:t>名称</w:t>
            </w:r>
          </w:p>
        </w:tc>
        <w:tc>
          <w:tcPr>
            <w:tcW w:w="672" w:type="dxa"/>
            <w:vMerge w:val="restart"/>
            <w:tcBorders>
              <w:left w:val="single" w:color="000000" w:sz="4" w:space="0"/>
              <w:bottom w:val="nil"/>
              <w:right w:val="single" w:color="000000" w:sz="4" w:space="0"/>
            </w:tcBorders>
            <w:vAlign w:val="top"/>
          </w:tcPr>
          <w:p w14:paraId="7FBD9077">
            <w:pPr>
              <w:spacing w:line="377" w:lineRule="auto"/>
              <w:rPr>
                <w:rFonts w:ascii="Arial"/>
                <w:color w:val="auto"/>
                <w:sz w:val="21"/>
                <w:highlight w:val="none"/>
              </w:rPr>
            </w:pPr>
          </w:p>
          <w:p w14:paraId="568032B7">
            <w:pPr>
              <w:pStyle w:val="11"/>
              <w:spacing w:before="69" w:line="231" w:lineRule="auto"/>
              <w:ind w:left="132" w:right="116" w:firstLine="3"/>
              <w:rPr>
                <w:color w:val="auto"/>
                <w:highlight w:val="none"/>
              </w:rPr>
            </w:pPr>
            <w:r>
              <w:rPr>
                <w:color w:val="auto"/>
                <w:spacing w:val="-6"/>
                <w:highlight w:val="none"/>
              </w:rPr>
              <w:t>定额</w:t>
            </w:r>
            <w:r>
              <w:rPr>
                <w:color w:val="auto"/>
                <w:highlight w:val="none"/>
              </w:rPr>
              <w:t xml:space="preserve"> </w:t>
            </w:r>
            <w:r>
              <w:rPr>
                <w:color w:val="auto"/>
                <w:spacing w:val="-4"/>
                <w:highlight w:val="none"/>
              </w:rPr>
              <w:t>单位</w:t>
            </w:r>
          </w:p>
        </w:tc>
        <w:tc>
          <w:tcPr>
            <w:tcW w:w="427" w:type="dxa"/>
            <w:gridSpan w:val="2"/>
            <w:vMerge w:val="restart"/>
            <w:tcBorders>
              <w:left w:val="single" w:color="000000" w:sz="4" w:space="0"/>
              <w:bottom w:val="nil"/>
              <w:right w:val="single" w:color="000000" w:sz="4" w:space="0"/>
            </w:tcBorders>
            <w:textDirection w:val="tbRlV"/>
            <w:vAlign w:val="top"/>
          </w:tcPr>
          <w:p w14:paraId="6F89F4E2">
            <w:pPr>
              <w:pStyle w:val="11"/>
              <w:spacing w:before="101" w:line="209" w:lineRule="auto"/>
              <w:ind w:left="448"/>
              <w:rPr>
                <w:color w:val="auto"/>
                <w:highlight w:val="none"/>
              </w:rPr>
            </w:pPr>
            <w:r>
              <w:rPr>
                <w:color w:val="auto"/>
                <w:spacing w:val="1"/>
                <w:highlight w:val="none"/>
              </w:rPr>
              <w:t>数</w:t>
            </w:r>
            <w:r>
              <w:rPr>
                <w:color w:val="auto"/>
                <w:spacing w:val="-43"/>
                <w:highlight w:val="none"/>
              </w:rPr>
              <w:t xml:space="preserve"> </w:t>
            </w:r>
            <w:r>
              <w:rPr>
                <w:color w:val="auto"/>
                <w:spacing w:val="1"/>
                <w:highlight w:val="none"/>
              </w:rPr>
              <w:t>量</w:t>
            </w:r>
          </w:p>
        </w:tc>
        <w:tc>
          <w:tcPr>
            <w:tcW w:w="2249" w:type="dxa"/>
            <w:gridSpan w:val="5"/>
            <w:tcBorders>
              <w:left w:val="single" w:color="000000" w:sz="4" w:space="0"/>
              <w:right w:val="single" w:color="000000" w:sz="4" w:space="0"/>
            </w:tcBorders>
            <w:vAlign w:val="top"/>
          </w:tcPr>
          <w:p w14:paraId="0D7BF2A2">
            <w:pPr>
              <w:pStyle w:val="11"/>
              <w:spacing w:before="174" w:line="219" w:lineRule="auto"/>
              <w:ind w:left="921"/>
              <w:rPr>
                <w:color w:val="auto"/>
                <w:highlight w:val="none"/>
              </w:rPr>
            </w:pPr>
            <w:r>
              <w:rPr>
                <w:color w:val="auto"/>
                <w:spacing w:val="-2"/>
                <w:highlight w:val="none"/>
              </w:rPr>
              <w:t>单价</w:t>
            </w:r>
          </w:p>
        </w:tc>
        <w:tc>
          <w:tcPr>
            <w:tcW w:w="4227" w:type="dxa"/>
            <w:gridSpan w:val="8"/>
            <w:tcBorders>
              <w:left w:val="single" w:color="000000" w:sz="4" w:space="0"/>
              <w:right w:val="single" w:color="000000" w:sz="4" w:space="0"/>
            </w:tcBorders>
            <w:vAlign w:val="top"/>
          </w:tcPr>
          <w:p w14:paraId="20913A0F">
            <w:pPr>
              <w:pStyle w:val="11"/>
              <w:spacing w:before="174" w:line="219" w:lineRule="auto"/>
              <w:ind w:left="1908"/>
              <w:rPr>
                <w:color w:val="auto"/>
                <w:highlight w:val="none"/>
              </w:rPr>
            </w:pPr>
            <w:r>
              <w:rPr>
                <w:color w:val="auto"/>
                <w:spacing w:val="-2"/>
                <w:highlight w:val="none"/>
              </w:rPr>
              <w:t>合价</w:t>
            </w:r>
          </w:p>
        </w:tc>
      </w:tr>
      <w:tr w14:paraId="4C62A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701" w:type="dxa"/>
            <w:vMerge w:val="continue"/>
            <w:tcBorders>
              <w:top w:val="nil"/>
              <w:left w:val="single" w:color="000000" w:sz="4" w:space="0"/>
            </w:tcBorders>
            <w:vAlign w:val="top"/>
          </w:tcPr>
          <w:p w14:paraId="5FE5962D">
            <w:pPr>
              <w:rPr>
                <w:rFonts w:ascii="Arial"/>
                <w:color w:val="auto"/>
                <w:sz w:val="21"/>
                <w:highlight w:val="none"/>
              </w:rPr>
            </w:pPr>
          </w:p>
        </w:tc>
        <w:tc>
          <w:tcPr>
            <w:tcW w:w="669" w:type="dxa"/>
            <w:gridSpan w:val="2"/>
            <w:vMerge w:val="continue"/>
            <w:tcBorders>
              <w:top w:val="nil"/>
              <w:right w:val="single" w:color="000000" w:sz="4" w:space="0"/>
            </w:tcBorders>
            <w:vAlign w:val="top"/>
          </w:tcPr>
          <w:p w14:paraId="7EDBA1A6">
            <w:pPr>
              <w:rPr>
                <w:rFonts w:ascii="Arial"/>
                <w:color w:val="auto"/>
                <w:sz w:val="21"/>
                <w:highlight w:val="none"/>
              </w:rPr>
            </w:pPr>
          </w:p>
        </w:tc>
        <w:tc>
          <w:tcPr>
            <w:tcW w:w="672" w:type="dxa"/>
            <w:vMerge w:val="continue"/>
            <w:tcBorders>
              <w:top w:val="nil"/>
              <w:left w:val="single" w:color="000000" w:sz="4" w:space="0"/>
              <w:right w:val="single" w:color="000000" w:sz="4" w:space="0"/>
            </w:tcBorders>
            <w:vAlign w:val="top"/>
          </w:tcPr>
          <w:p w14:paraId="33F52842">
            <w:pPr>
              <w:rPr>
                <w:rFonts w:ascii="Arial"/>
                <w:color w:val="auto"/>
                <w:sz w:val="21"/>
                <w:highlight w:val="none"/>
              </w:rPr>
            </w:pPr>
          </w:p>
        </w:tc>
        <w:tc>
          <w:tcPr>
            <w:tcW w:w="427" w:type="dxa"/>
            <w:gridSpan w:val="2"/>
            <w:vMerge w:val="continue"/>
            <w:tcBorders>
              <w:top w:val="nil"/>
              <w:left w:val="single" w:color="000000" w:sz="4" w:space="0"/>
              <w:right w:val="single" w:color="000000" w:sz="4" w:space="0"/>
            </w:tcBorders>
            <w:textDirection w:val="tbRlV"/>
            <w:vAlign w:val="top"/>
          </w:tcPr>
          <w:p w14:paraId="7101E035">
            <w:pPr>
              <w:rPr>
                <w:rFonts w:ascii="Arial"/>
                <w:color w:val="auto"/>
                <w:sz w:val="21"/>
                <w:highlight w:val="none"/>
              </w:rPr>
            </w:pPr>
          </w:p>
        </w:tc>
        <w:tc>
          <w:tcPr>
            <w:tcW w:w="427" w:type="dxa"/>
            <w:tcBorders>
              <w:left w:val="single" w:color="000000" w:sz="4" w:space="0"/>
              <w:right w:val="single" w:color="000000" w:sz="4" w:space="0"/>
            </w:tcBorders>
            <w:textDirection w:val="tbRlV"/>
            <w:vAlign w:val="top"/>
          </w:tcPr>
          <w:p w14:paraId="4F962316">
            <w:pPr>
              <w:pStyle w:val="11"/>
              <w:spacing w:before="101" w:line="208" w:lineRule="auto"/>
              <w:ind w:left="31"/>
              <w:rPr>
                <w:color w:val="auto"/>
                <w:highlight w:val="none"/>
              </w:rPr>
            </w:pPr>
            <w:r>
              <w:rPr>
                <w:color w:val="auto"/>
                <w:spacing w:val="41"/>
                <w:highlight w:val="none"/>
              </w:rPr>
              <w:t>人工费</w:t>
            </w:r>
          </w:p>
        </w:tc>
        <w:tc>
          <w:tcPr>
            <w:tcW w:w="664" w:type="dxa"/>
            <w:gridSpan w:val="2"/>
            <w:tcBorders>
              <w:left w:val="single" w:color="000000" w:sz="4" w:space="0"/>
            </w:tcBorders>
            <w:vAlign w:val="top"/>
          </w:tcPr>
          <w:p w14:paraId="60094563">
            <w:pPr>
              <w:pStyle w:val="11"/>
              <w:spacing w:before="165" w:line="220" w:lineRule="auto"/>
              <w:ind w:left="127"/>
              <w:rPr>
                <w:color w:val="auto"/>
                <w:highlight w:val="none"/>
              </w:rPr>
            </w:pPr>
            <w:r>
              <w:rPr>
                <w:color w:val="auto"/>
                <w:spacing w:val="-2"/>
                <w:highlight w:val="none"/>
              </w:rPr>
              <w:t>材料</w:t>
            </w:r>
          </w:p>
          <w:p w14:paraId="004B3B5D">
            <w:pPr>
              <w:pStyle w:val="11"/>
              <w:spacing w:before="23" w:line="221" w:lineRule="auto"/>
              <w:ind w:left="240"/>
              <w:rPr>
                <w:color w:val="auto"/>
                <w:highlight w:val="none"/>
              </w:rPr>
            </w:pPr>
            <w:r>
              <w:rPr>
                <w:color w:val="auto"/>
                <w:highlight w:val="none"/>
              </w:rPr>
              <w:t>费</w:t>
            </w:r>
          </w:p>
        </w:tc>
        <w:tc>
          <w:tcPr>
            <w:tcW w:w="419" w:type="dxa"/>
            <w:tcBorders>
              <w:right w:val="single" w:color="000000" w:sz="4" w:space="0"/>
            </w:tcBorders>
            <w:textDirection w:val="tbRlV"/>
            <w:vAlign w:val="top"/>
          </w:tcPr>
          <w:p w14:paraId="41CFFFB7">
            <w:pPr>
              <w:pStyle w:val="11"/>
              <w:spacing w:before="94" w:line="209" w:lineRule="auto"/>
              <w:ind w:left="31"/>
              <w:rPr>
                <w:color w:val="auto"/>
                <w:highlight w:val="none"/>
              </w:rPr>
            </w:pPr>
            <w:r>
              <w:rPr>
                <w:color w:val="auto"/>
                <w:spacing w:val="41"/>
                <w:highlight w:val="none"/>
              </w:rPr>
              <w:t>机械费</w:t>
            </w:r>
          </w:p>
        </w:tc>
        <w:tc>
          <w:tcPr>
            <w:tcW w:w="739" w:type="dxa"/>
            <w:tcBorders>
              <w:left w:val="single" w:color="000000" w:sz="4" w:space="0"/>
              <w:right w:val="single" w:color="000000" w:sz="4" w:space="0"/>
            </w:tcBorders>
            <w:vAlign w:val="top"/>
          </w:tcPr>
          <w:p w14:paraId="65E51754">
            <w:pPr>
              <w:pStyle w:val="11"/>
              <w:spacing w:before="30" w:line="241" w:lineRule="auto"/>
              <w:ind w:left="168"/>
              <w:rPr>
                <w:color w:val="auto"/>
                <w:highlight w:val="none"/>
              </w:rPr>
            </w:pPr>
            <w:r>
              <w:rPr>
                <w:color w:val="auto"/>
                <w:spacing w:val="-3"/>
                <w:highlight w:val="none"/>
              </w:rPr>
              <w:t>管理</w:t>
            </w:r>
          </w:p>
          <w:p w14:paraId="2CBB0975">
            <w:pPr>
              <w:pStyle w:val="11"/>
              <w:spacing w:line="221" w:lineRule="auto"/>
              <w:ind w:left="175"/>
              <w:rPr>
                <w:color w:val="auto"/>
                <w:highlight w:val="none"/>
              </w:rPr>
            </w:pPr>
            <w:r>
              <w:rPr>
                <w:color w:val="auto"/>
                <w:spacing w:val="-5"/>
                <w:highlight w:val="none"/>
              </w:rPr>
              <w:t>费和</w:t>
            </w:r>
          </w:p>
          <w:p w14:paraId="707469B7">
            <w:pPr>
              <w:pStyle w:val="11"/>
              <w:spacing w:before="16" w:line="208" w:lineRule="auto"/>
              <w:ind w:left="164"/>
              <w:rPr>
                <w:color w:val="auto"/>
                <w:highlight w:val="none"/>
              </w:rPr>
            </w:pPr>
            <w:r>
              <w:rPr>
                <w:color w:val="auto"/>
                <w:spacing w:val="-2"/>
                <w:highlight w:val="none"/>
              </w:rPr>
              <w:t>利润</w:t>
            </w:r>
          </w:p>
        </w:tc>
        <w:tc>
          <w:tcPr>
            <w:tcW w:w="844" w:type="dxa"/>
            <w:tcBorders>
              <w:left w:val="single" w:color="000000" w:sz="4" w:space="0"/>
              <w:right w:val="single" w:color="000000" w:sz="4" w:space="0"/>
            </w:tcBorders>
            <w:vAlign w:val="top"/>
          </w:tcPr>
          <w:p w14:paraId="6D1EA32C">
            <w:pPr>
              <w:pStyle w:val="11"/>
              <w:spacing w:before="305" w:line="221" w:lineRule="auto"/>
              <w:ind w:left="112"/>
              <w:rPr>
                <w:color w:val="auto"/>
                <w:highlight w:val="none"/>
              </w:rPr>
            </w:pPr>
            <w:r>
              <w:rPr>
                <w:color w:val="auto"/>
                <w:spacing w:val="-2"/>
                <w:highlight w:val="none"/>
              </w:rPr>
              <w:t>人工费</w:t>
            </w:r>
          </w:p>
        </w:tc>
        <w:tc>
          <w:tcPr>
            <w:tcW w:w="1343" w:type="dxa"/>
            <w:gridSpan w:val="4"/>
            <w:tcBorders>
              <w:left w:val="single" w:color="000000" w:sz="4" w:space="0"/>
              <w:right w:val="single" w:color="000000" w:sz="4" w:space="0"/>
            </w:tcBorders>
            <w:vAlign w:val="top"/>
          </w:tcPr>
          <w:p w14:paraId="70C92B27">
            <w:pPr>
              <w:pStyle w:val="11"/>
              <w:spacing w:before="304" w:line="220" w:lineRule="auto"/>
              <w:ind w:left="366"/>
              <w:rPr>
                <w:color w:val="auto"/>
                <w:highlight w:val="none"/>
              </w:rPr>
            </w:pPr>
            <w:r>
              <w:rPr>
                <w:color w:val="auto"/>
                <w:spacing w:val="-2"/>
                <w:highlight w:val="none"/>
              </w:rPr>
              <w:t>材料费</w:t>
            </w:r>
          </w:p>
        </w:tc>
        <w:tc>
          <w:tcPr>
            <w:tcW w:w="935" w:type="dxa"/>
            <w:gridSpan w:val="2"/>
            <w:tcBorders>
              <w:left w:val="single" w:color="000000" w:sz="4" w:space="0"/>
              <w:right w:val="single" w:color="000000" w:sz="4" w:space="0"/>
            </w:tcBorders>
            <w:vAlign w:val="top"/>
          </w:tcPr>
          <w:p w14:paraId="375DB4C2">
            <w:pPr>
              <w:pStyle w:val="11"/>
              <w:spacing w:before="304" w:line="220" w:lineRule="auto"/>
              <w:ind w:left="156"/>
              <w:rPr>
                <w:color w:val="auto"/>
                <w:highlight w:val="none"/>
              </w:rPr>
            </w:pPr>
            <w:r>
              <w:rPr>
                <w:color w:val="auto"/>
                <w:spacing w:val="-1"/>
                <w:highlight w:val="none"/>
              </w:rPr>
              <w:t>机械费</w:t>
            </w:r>
          </w:p>
        </w:tc>
        <w:tc>
          <w:tcPr>
            <w:tcW w:w="1105" w:type="dxa"/>
            <w:tcBorders>
              <w:left w:val="single" w:color="000000" w:sz="4" w:space="0"/>
              <w:right w:val="single" w:color="000000" w:sz="4" w:space="0"/>
            </w:tcBorders>
            <w:vAlign w:val="top"/>
          </w:tcPr>
          <w:p w14:paraId="4AC30819">
            <w:pPr>
              <w:pStyle w:val="11"/>
              <w:spacing w:before="30" w:line="241" w:lineRule="auto"/>
              <w:ind w:left="355"/>
              <w:rPr>
                <w:color w:val="auto"/>
                <w:highlight w:val="none"/>
              </w:rPr>
            </w:pPr>
            <w:r>
              <w:rPr>
                <w:color w:val="auto"/>
                <w:spacing w:val="-3"/>
                <w:highlight w:val="none"/>
              </w:rPr>
              <w:t>管理</w:t>
            </w:r>
          </w:p>
          <w:p w14:paraId="1B36C746">
            <w:pPr>
              <w:pStyle w:val="11"/>
              <w:spacing w:line="221" w:lineRule="auto"/>
              <w:ind w:left="361"/>
              <w:rPr>
                <w:color w:val="auto"/>
                <w:highlight w:val="none"/>
              </w:rPr>
            </w:pPr>
            <w:r>
              <w:rPr>
                <w:color w:val="auto"/>
                <w:spacing w:val="-5"/>
                <w:highlight w:val="none"/>
              </w:rPr>
              <w:t>费和</w:t>
            </w:r>
          </w:p>
          <w:p w14:paraId="45AADB75">
            <w:pPr>
              <w:pStyle w:val="11"/>
              <w:spacing w:before="16" w:line="208" w:lineRule="auto"/>
              <w:ind w:left="351"/>
              <w:rPr>
                <w:color w:val="auto"/>
                <w:highlight w:val="none"/>
              </w:rPr>
            </w:pPr>
            <w:r>
              <w:rPr>
                <w:color w:val="auto"/>
                <w:spacing w:val="-2"/>
                <w:highlight w:val="none"/>
              </w:rPr>
              <w:t>利润</w:t>
            </w:r>
          </w:p>
        </w:tc>
      </w:tr>
      <w:tr w14:paraId="3D0AB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tcBorders>
              <w:left w:val="single" w:color="000000" w:sz="4" w:space="0"/>
            </w:tcBorders>
            <w:vAlign w:val="top"/>
          </w:tcPr>
          <w:p w14:paraId="58FF5C9E">
            <w:pPr>
              <w:rPr>
                <w:rFonts w:ascii="Arial"/>
                <w:color w:val="auto"/>
                <w:sz w:val="21"/>
                <w:highlight w:val="none"/>
              </w:rPr>
            </w:pPr>
          </w:p>
        </w:tc>
        <w:tc>
          <w:tcPr>
            <w:tcW w:w="669" w:type="dxa"/>
            <w:gridSpan w:val="2"/>
            <w:tcBorders>
              <w:right w:val="single" w:color="000000" w:sz="4" w:space="0"/>
            </w:tcBorders>
            <w:vAlign w:val="top"/>
          </w:tcPr>
          <w:p w14:paraId="06FCF535">
            <w:pPr>
              <w:rPr>
                <w:rFonts w:ascii="Arial"/>
                <w:color w:val="auto"/>
                <w:sz w:val="21"/>
                <w:highlight w:val="none"/>
              </w:rPr>
            </w:pPr>
          </w:p>
        </w:tc>
        <w:tc>
          <w:tcPr>
            <w:tcW w:w="672" w:type="dxa"/>
            <w:tcBorders>
              <w:left w:val="single" w:color="000000" w:sz="4" w:space="0"/>
              <w:right w:val="single" w:color="000000" w:sz="4" w:space="0"/>
            </w:tcBorders>
            <w:vAlign w:val="top"/>
          </w:tcPr>
          <w:p w14:paraId="6478D415">
            <w:pPr>
              <w:rPr>
                <w:rFonts w:ascii="Arial"/>
                <w:color w:val="auto"/>
                <w:sz w:val="21"/>
                <w:highlight w:val="none"/>
              </w:rPr>
            </w:pPr>
          </w:p>
        </w:tc>
        <w:tc>
          <w:tcPr>
            <w:tcW w:w="427" w:type="dxa"/>
            <w:gridSpan w:val="2"/>
            <w:tcBorders>
              <w:left w:val="single" w:color="000000" w:sz="4" w:space="0"/>
              <w:right w:val="single" w:color="000000" w:sz="4" w:space="0"/>
            </w:tcBorders>
            <w:vAlign w:val="top"/>
          </w:tcPr>
          <w:p w14:paraId="2673D720">
            <w:pPr>
              <w:rPr>
                <w:rFonts w:ascii="Arial"/>
                <w:color w:val="auto"/>
                <w:sz w:val="21"/>
                <w:highlight w:val="none"/>
              </w:rPr>
            </w:pPr>
          </w:p>
        </w:tc>
        <w:tc>
          <w:tcPr>
            <w:tcW w:w="427" w:type="dxa"/>
            <w:tcBorders>
              <w:left w:val="single" w:color="000000" w:sz="4" w:space="0"/>
              <w:right w:val="single" w:color="000000" w:sz="4" w:space="0"/>
            </w:tcBorders>
            <w:vAlign w:val="top"/>
          </w:tcPr>
          <w:p w14:paraId="196FC81E">
            <w:pPr>
              <w:rPr>
                <w:rFonts w:ascii="Arial"/>
                <w:color w:val="auto"/>
                <w:sz w:val="21"/>
                <w:highlight w:val="none"/>
              </w:rPr>
            </w:pPr>
          </w:p>
        </w:tc>
        <w:tc>
          <w:tcPr>
            <w:tcW w:w="664" w:type="dxa"/>
            <w:gridSpan w:val="2"/>
            <w:tcBorders>
              <w:left w:val="single" w:color="000000" w:sz="4" w:space="0"/>
            </w:tcBorders>
            <w:vAlign w:val="top"/>
          </w:tcPr>
          <w:p w14:paraId="23947FAE">
            <w:pPr>
              <w:rPr>
                <w:rFonts w:ascii="Arial"/>
                <w:color w:val="auto"/>
                <w:sz w:val="21"/>
                <w:highlight w:val="none"/>
              </w:rPr>
            </w:pPr>
          </w:p>
        </w:tc>
        <w:tc>
          <w:tcPr>
            <w:tcW w:w="419" w:type="dxa"/>
            <w:tcBorders>
              <w:right w:val="single" w:color="000000" w:sz="4" w:space="0"/>
            </w:tcBorders>
            <w:vAlign w:val="top"/>
          </w:tcPr>
          <w:p w14:paraId="2B04317E">
            <w:pPr>
              <w:rPr>
                <w:rFonts w:ascii="Arial"/>
                <w:color w:val="auto"/>
                <w:sz w:val="21"/>
                <w:highlight w:val="none"/>
              </w:rPr>
            </w:pPr>
          </w:p>
        </w:tc>
        <w:tc>
          <w:tcPr>
            <w:tcW w:w="739" w:type="dxa"/>
            <w:tcBorders>
              <w:left w:val="single" w:color="000000" w:sz="4" w:space="0"/>
              <w:right w:val="single" w:color="000000" w:sz="4" w:space="0"/>
            </w:tcBorders>
            <w:vAlign w:val="top"/>
          </w:tcPr>
          <w:p w14:paraId="1CFDA8BE">
            <w:pPr>
              <w:rPr>
                <w:rFonts w:ascii="Arial"/>
                <w:color w:val="auto"/>
                <w:sz w:val="21"/>
                <w:highlight w:val="none"/>
              </w:rPr>
            </w:pPr>
          </w:p>
        </w:tc>
        <w:tc>
          <w:tcPr>
            <w:tcW w:w="844" w:type="dxa"/>
            <w:tcBorders>
              <w:left w:val="single" w:color="000000" w:sz="4" w:space="0"/>
              <w:right w:val="single" w:color="000000" w:sz="4" w:space="0"/>
            </w:tcBorders>
            <w:vAlign w:val="top"/>
          </w:tcPr>
          <w:p w14:paraId="6B2582A7">
            <w:pPr>
              <w:rPr>
                <w:rFonts w:ascii="Arial"/>
                <w:color w:val="auto"/>
                <w:sz w:val="21"/>
                <w:highlight w:val="none"/>
              </w:rPr>
            </w:pPr>
          </w:p>
        </w:tc>
        <w:tc>
          <w:tcPr>
            <w:tcW w:w="1343" w:type="dxa"/>
            <w:gridSpan w:val="4"/>
            <w:tcBorders>
              <w:left w:val="single" w:color="000000" w:sz="4" w:space="0"/>
              <w:right w:val="single" w:color="000000" w:sz="4" w:space="0"/>
            </w:tcBorders>
            <w:vAlign w:val="top"/>
          </w:tcPr>
          <w:p w14:paraId="7B0857CA">
            <w:pPr>
              <w:rPr>
                <w:rFonts w:ascii="Arial"/>
                <w:color w:val="auto"/>
                <w:sz w:val="21"/>
                <w:highlight w:val="none"/>
              </w:rPr>
            </w:pPr>
          </w:p>
        </w:tc>
        <w:tc>
          <w:tcPr>
            <w:tcW w:w="935" w:type="dxa"/>
            <w:gridSpan w:val="2"/>
            <w:tcBorders>
              <w:left w:val="single" w:color="000000" w:sz="4" w:space="0"/>
              <w:right w:val="single" w:color="000000" w:sz="4" w:space="0"/>
            </w:tcBorders>
            <w:vAlign w:val="top"/>
          </w:tcPr>
          <w:p w14:paraId="628C4E5C">
            <w:pPr>
              <w:rPr>
                <w:rFonts w:ascii="Arial"/>
                <w:color w:val="auto"/>
                <w:sz w:val="21"/>
                <w:highlight w:val="none"/>
              </w:rPr>
            </w:pPr>
          </w:p>
        </w:tc>
        <w:tc>
          <w:tcPr>
            <w:tcW w:w="1105" w:type="dxa"/>
            <w:tcBorders>
              <w:left w:val="single" w:color="000000" w:sz="4" w:space="0"/>
              <w:right w:val="single" w:color="000000" w:sz="4" w:space="0"/>
            </w:tcBorders>
            <w:vAlign w:val="top"/>
          </w:tcPr>
          <w:p w14:paraId="63A7A949">
            <w:pPr>
              <w:rPr>
                <w:rFonts w:ascii="Arial"/>
                <w:color w:val="auto"/>
                <w:sz w:val="21"/>
                <w:highlight w:val="none"/>
              </w:rPr>
            </w:pPr>
          </w:p>
        </w:tc>
      </w:tr>
      <w:tr w14:paraId="4BEC4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tcBorders>
              <w:left w:val="single" w:color="000000" w:sz="4" w:space="0"/>
            </w:tcBorders>
            <w:vAlign w:val="top"/>
          </w:tcPr>
          <w:p w14:paraId="727A14BA">
            <w:pPr>
              <w:rPr>
                <w:rFonts w:ascii="Arial"/>
                <w:color w:val="auto"/>
                <w:sz w:val="21"/>
                <w:highlight w:val="none"/>
              </w:rPr>
            </w:pPr>
          </w:p>
        </w:tc>
        <w:tc>
          <w:tcPr>
            <w:tcW w:w="669" w:type="dxa"/>
            <w:gridSpan w:val="2"/>
            <w:tcBorders>
              <w:right w:val="single" w:color="000000" w:sz="4" w:space="0"/>
            </w:tcBorders>
            <w:vAlign w:val="top"/>
          </w:tcPr>
          <w:p w14:paraId="781EBD0C">
            <w:pPr>
              <w:rPr>
                <w:rFonts w:ascii="Arial"/>
                <w:color w:val="auto"/>
                <w:sz w:val="21"/>
                <w:highlight w:val="none"/>
              </w:rPr>
            </w:pPr>
          </w:p>
        </w:tc>
        <w:tc>
          <w:tcPr>
            <w:tcW w:w="672" w:type="dxa"/>
            <w:tcBorders>
              <w:left w:val="single" w:color="000000" w:sz="4" w:space="0"/>
              <w:right w:val="single" w:color="000000" w:sz="4" w:space="0"/>
            </w:tcBorders>
            <w:vAlign w:val="top"/>
          </w:tcPr>
          <w:p w14:paraId="7A8D0E45">
            <w:pPr>
              <w:rPr>
                <w:rFonts w:ascii="Arial"/>
                <w:color w:val="auto"/>
                <w:sz w:val="21"/>
                <w:highlight w:val="none"/>
              </w:rPr>
            </w:pPr>
          </w:p>
        </w:tc>
        <w:tc>
          <w:tcPr>
            <w:tcW w:w="427" w:type="dxa"/>
            <w:gridSpan w:val="2"/>
            <w:tcBorders>
              <w:left w:val="single" w:color="000000" w:sz="4" w:space="0"/>
              <w:right w:val="single" w:color="000000" w:sz="4" w:space="0"/>
            </w:tcBorders>
            <w:vAlign w:val="top"/>
          </w:tcPr>
          <w:p w14:paraId="63831DA4">
            <w:pPr>
              <w:rPr>
                <w:rFonts w:ascii="Arial"/>
                <w:color w:val="auto"/>
                <w:sz w:val="21"/>
                <w:highlight w:val="none"/>
              </w:rPr>
            </w:pPr>
          </w:p>
        </w:tc>
        <w:tc>
          <w:tcPr>
            <w:tcW w:w="427" w:type="dxa"/>
            <w:tcBorders>
              <w:left w:val="single" w:color="000000" w:sz="4" w:space="0"/>
              <w:right w:val="single" w:color="000000" w:sz="4" w:space="0"/>
            </w:tcBorders>
            <w:vAlign w:val="top"/>
          </w:tcPr>
          <w:p w14:paraId="039D783E">
            <w:pPr>
              <w:rPr>
                <w:rFonts w:ascii="Arial"/>
                <w:color w:val="auto"/>
                <w:sz w:val="21"/>
                <w:highlight w:val="none"/>
              </w:rPr>
            </w:pPr>
          </w:p>
        </w:tc>
        <w:tc>
          <w:tcPr>
            <w:tcW w:w="664" w:type="dxa"/>
            <w:gridSpan w:val="2"/>
            <w:tcBorders>
              <w:left w:val="single" w:color="000000" w:sz="4" w:space="0"/>
            </w:tcBorders>
            <w:vAlign w:val="top"/>
          </w:tcPr>
          <w:p w14:paraId="724745CD">
            <w:pPr>
              <w:rPr>
                <w:rFonts w:ascii="Arial"/>
                <w:color w:val="auto"/>
                <w:sz w:val="21"/>
                <w:highlight w:val="none"/>
              </w:rPr>
            </w:pPr>
          </w:p>
        </w:tc>
        <w:tc>
          <w:tcPr>
            <w:tcW w:w="419" w:type="dxa"/>
            <w:tcBorders>
              <w:right w:val="single" w:color="000000" w:sz="4" w:space="0"/>
            </w:tcBorders>
            <w:vAlign w:val="top"/>
          </w:tcPr>
          <w:p w14:paraId="46E80BC9">
            <w:pPr>
              <w:rPr>
                <w:rFonts w:ascii="Arial"/>
                <w:color w:val="auto"/>
                <w:sz w:val="21"/>
                <w:highlight w:val="none"/>
              </w:rPr>
            </w:pPr>
          </w:p>
        </w:tc>
        <w:tc>
          <w:tcPr>
            <w:tcW w:w="739" w:type="dxa"/>
            <w:tcBorders>
              <w:left w:val="single" w:color="000000" w:sz="4" w:space="0"/>
              <w:right w:val="single" w:color="000000" w:sz="4" w:space="0"/>
            </w:tcBorders>
            <w:vAlign w:val="top"/>
          </w:tcPr>
          <w:p w14:paraId="0BDFFF49">
            <w:pPr>
              <w:rPr>
                <w:rFonts w:ascii="Arial"/>
                <w:color w:val="auto"/>
                <w:sz w:val="21"/>
                <w:highlight w:val="none"/>
              </w:rPr>
            </w:pPr>
          </w:p>
        </w:tc>
        <w:tc>
          <w:tcPr>
            <w:tcW w:w="844" w:type="dxa"/>
            <w:tcBorders>
              <w:left w:val="single" w:color="000000" w:sz="4" w:space="0"/>
              <w:right w:val="single" w:color="000000" w:sz="4" w:space="0"/>
            </w:tcBorders>
            <w:vAlign w:val="top"/>
          </w:tcPr>
          <w:p w14:paraId="66959804">
            <w:pPr>
              <w:rPr>
                <w:rFonts w:ascii="Arial"/>
                <w:color w:val="auto"/>
                <w:sz w:val="21"/>
                <w:highlight w:val="none"/>
              </w:rPr>
            </w:pPr>
          </w:p>
        </w:tc>
        <w:tc>
          <w:tcPr>
            <w:tcW w:w="1343" w:type="dxa"/>
            <w:gridSpan w:val="4"/>
            <w:tcBorders>
              <w:left w:val="single" w:color="000000" w:sz="4" w:space="0"/>
              <w:right w:val="single" w:color="000000" w:sz="4" w:space="0"/>
            </w:tcBorders>
            <w:vAlign w:val="top"/>
          </w:tcPr>
          <w:p w14:paraId="4634B91D">
            <w:pPr>
              <w:rPr>
                <w:rFonts w:ascii="Arial"/>
                <w:color w:val="auto"/>
                <w:sz w:val="21"/>
                <w:highlight w:val="none"/>
              </w:rPr>
            </w:pPr>
          </w:p>
        </w:tc>
        <w:tc>
          <w:tcPr>
            <w:tcW w:w="935" w:type="dxa"/>
            <w:gridSpan w:val="2"/>
            <w:tcBorders>
              <w:left w:val="single" w:color="000000" w:sz="4" w:space="0"/>
              <w:right w:val="single" w:color="000000" w:sz="4" w:space="0"/>
            </w:tcBorders>
            <w:vAlign w:val="top"/>
          </w:tcPr>
          <w:p w14:paraId="27B40FB7">
            <w:pPr>
              <w:rPr>
                <w:rFonts w:ascii="Arial"/>
                <w:color w:val="auto"/>
                <w:sz w:val="21"/>
                <w:highlight w:val="none"/>
              </w:rPr>
            </w:pPr>
          </w:p>
        </w:tc>
        <w:tc>
          <w:tcPr>
            <w:tcW w:w="1105" w:type="dxa"/>
            <w:tcBorders>
              <w:left w:val="single" w:color="000000" w:sz="4" w:space="0"/>
              <w:right w:val="single" w:color="000000" w:sz="4" w:space="0"/>
            </w:tcBorders>
            <w:vAlign w:val="top"/>
          </w:tcPr>
          <w:p w14:paraId="2078609E">
            <w:pPr>
              <w:rPr>
                <w:rFonts w:ascii="Arial"/>
                <w:color w:val="auto"/>
                <w:sz w:val="21"/>
                <w:highlight w:val="none"/>
              </w:rPr>
            </w:pPr>
          </w:p>
        </w:tc>
      </w:tr>
      <w:tr w14:paraId="64ECA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tcBorders>
              <w:left w:val="single" w:color="000000" w:sz="4" w:space="0"/>
            </w:tcBorders>
            <w:vAlign w:val="top"/>
          </w:tcPr>
          <w:p w14:paraId="493C4B0D">
            <w:pPr>
              <w:rPr>
                <w:rFonts w:ascii="Arial"/>
                <w:color w:val="auto"/>
                <w:sz w:val="21"/>
                <w:highlight w:val="none"/>
              </w:rPr>
            </w:pPr>
          </w:p>
        </w:tc>
        <w:tc>
          <w:tcPr>
            <w:tcW w:w="669" w:type="dxa"/>
            <w:gridSpan w:val="2"/>
            <w:tcBorders>
              <w:right w:val="single" w:color="000000" w:sz="4" w:space="0"/>
            </w:tcBorders>
            <w:vAlign w:val="top"/>
          </w:tcPr>
          <w:p w14:paraId="21DE1497">
            <w:pPr>
              <w:rPr>
                <w:rFonts w:ascii="Arial"/>
                <w:color w:val="auto"/>
                <w:sz w:val="21"/>
                <w:highlight w:val="none"/>
              </w:rPr>
            </w:pPr>
          </w:p>
        </w:tc>
        <w:tc>
          <w:tcPr>
            <w:tcW w:w="672" w:type="dxa"/>
            <w:tcBorders>
              <w:left w:val="single" w:color="000000" w:sz="4" w:space="0"/>
              <w:right w:val="single" w:color="000000" w:sz="4" w:space="0"/>
            </w:tcBorders>
            <w:vAlign w:val="top"/>
          </w:tcPr>
          <w:p w14:paraId="5EDEEB1F">
            <w:pPr>
              <w:rPr>
                <w:rFonts w:ascii="Arial"/>
                <w:color w:val="auto"/>
                <w:sz w:val="21"/>
                <w:highlight w:val="none"/>
              </w:rPr>
            </w:pPr>
          </w:p>
        </w:tc>
        <w:tc>
          <w:tcPr>
            <w:tcW w:w="427" w:type="dxa"/>
            <w:gridSpan w:val="2"/>
            <w:tcBorders>
              <w:left w:val="single" w:color="000000" w:sz="4" w:space="0"/>
              <w:right w:val="single" w:color="000000" w:sz="4" w:space="0"/>
            </w:tcBorders>
            <w:vAlign w:val="top"/>
          </w:tcPr>
          <w:p w14:paraId="341A6575">
            <w:pPr>
              <w:rPr>
                <w:rFonts w:ascii="Arial"/>
                <w:color w:val="auto"/>
                <w:sz w:val="21"/>
                <w:highlight w:val="none"/>
              </w:rPr>
            </w:pPr>
          </w:p>
        </w:tc>
        <w:tc>
          <w:tcPr>
            <w:tcW w:w="427" w:type="dxa"/>
            <w:tcBorders>
              <w:left w:val="single" w:color="000000" w:sz="4" w:space="0"/>
              <w:right w:val="single" w:color="000000" w:sz="4" w:space="0"/>
            </w:tcBorders>
            <w:vAlign w:val="top"/>
          </w:tcPr>
          <w:p w14:paraId="5B3AD07F">
            <w:pPr>
              <w:rPr>
                <w:rFonts w:ascii="Arial"/>
                <w:color w:val="auto"/>
                <w:sz w:val="21"/>
                <w:highlight w:val="none"/>
              </w:rPr>
            </w:pPr>
          </w:p>
        </w:tc>
        <w:tc>
          <w:tcPr>
            <w:tcW w:w="664" w:type="dxa"/>
            <w:gridSpan w:val="2"/>
            <w:tcBorders>
              <w:left w:val="single" w:color="000000" w:sz="4" w:space="0"/>
            </w:tcBorders>
            <w:vAlign w:val="top"/>
          </w:tcPr>
          <w:p w14:paraId="085D0D1E">
            <w:pPr>
              <w:rPr>
                <w:rFonts w:ascii="Arial"/>
                <w:color w:val="auto"/>
                <w:sz w:val="21"/>
                <w:highlight w:val="none"/>
              </w:rPr>
            </w:pPr>
          </w:p>
        </w:tc>
        <w:tc>
          <w:tcPr>
            <w:tcW w:w="419" w:type="dxa"/>
            <w:tcBorders>
              <w:right w:val="single" w:color="000000" w:sz="4" w:space="0"/>
            </w:tcBorders>
            <w:vAlign w:val="top"/>
          </w:tcPr>
          <w:p w14:paraId="3656E1A4">
            <w:pPr>
              <w:rPr>
                <w:rFonts w:ascii="Arial"/>
                <w:color w:val="auto"/>
                <w:sz w:val="21"/>
                <w:highlight w:val="none"/>
              </w:rPr>
            </w:pPr>
          </w:p>
        </w:tc>
        <w:tc>
          <w:tcPr>
            <w:tcW w:w="739" w:type="dxa"/>
            <w:tcBorders>
              <w:left w:val="single" w:color="000000" w:sz="4" w:space="0"/>
              <w:right w:val="single" w:color="000000" w:sz="4" w:space="0"/>
            </w:tcBorders>
            <w:vAlign w:val="top"/>
          </w:tcPr>
          <w:p w14:paraId="2AAE6957">
            <w:pPr>
              <w:rPr>
                <w:rFonts w:ascii="Arial"/>
                <w:color w:val="auto"/>
                <w:sz w:val="21"/>
                <w:highlight w:val="none"/>
              </w:rPr>
            </w:pPr>
          </w:p>
        </w:tc>
        <w:tc>
          <w:tcPr>
            <w:tcW w:w="844" w:type="dxa"/>
            <w:tcBorders>
              <w:left w:val="single" w:color="000000" w:sz="4" w:space="0"/>
              <w:right w:val="single" w:color="000000" w:sz="4" w:space="0"/>
            </w:tcBorders>
            <w:vAlign w:val="top"/>
          </w:tcPr>
          <w:p w14:paraId="5F51C9F3">
            <w:pPr>
              <w:rPr>
                <w:rFonts w:ascii="Arial"/>
                <w:color w:val="auto"/>
                <w:sz w:val="21"/>
                <w:highlight w:val="none"/>
              </w:rPr>
            </w:pPr>
          </w:p>
        </w:tc>
        <w:tc>
          <w:tcPr>
            <w:tcW w:w="1343" w:type="dxa"/>
            <w:gridSpan w:val="4"/>
            <w:tcBorders>
              <w:left w:val="single" w:color="000000" w:sz="4" w:space="0"/>
              <w:right w:val="single" w:color="000000" w:sz="4" w:space="0"/>
            </w:tcBorders>
            <w:vAlign w:val="top"/>
          </w:tcPr>
          <w:p w14:paraId="2778106D">
            <w:pPr>
              <w:rPr>
                <w:rFonts w:ascii="Arial"/>
                <w:color w:val="auto"/>
                <w:sz w:val="21"/>
                <w:highlight w:val="none"/>
              </w:rPr>
            </w:pPr>
          </w:p>
        </w:tc>
        <w:tc>
          <w:tcPr>
            <w:tcW w:w="935" w:type="dxa"/>
            <w:gridSpan w:val="2"/>
            <w:tcBorders>
              <w:left w:val="single" w:color="000000" w:sz="4" w:space="0"/>
              <w:right w:val="single" w:color="000000" w:sz="4" w:space="0"/>
            </w:tcBorders>
            <w:vAlign w:val="top"/>
          </w:tcPr>
          <w:p w14:paraId="5F3C4E00">
            <w:pPr>
              <w:rPr>
                <w:rFonts w:ascii="Arial"/>
                <w:color w:val="auto"/>
                <w:sz w:val="21"/>
                <w:highlight w:val="none"/>
              </w:rPr>
            </w:pPr>
          </w:p>
        </w:tc>
        <w:tc>
          <w:tcPr>
            <w:tcW w:w="1105" w:type="dxa"/>
            <w:tcBorders>
              <w:left w:val="single" w:color="000000" w:sz="4" w:space="0"/>
              <w:right w:val="single" w:color="000000" w:sz="4" w:space="0"/>
            </w:tcBorders>
            <w:vAlign w:val="top"/>
          </w:tcPr>
          <w:p w14:paraId="2C93C650">
            <w:pPr>
              <w:rPr>
                <w:rFonts w:ascii="Arial"/>
                <w:color w:val="auto"/>
                <w:sz w:val="21"/>
                <w:highlight w:val="none"/>
              </w:rPr>
            </w:pPr>
          </w:p>
        </w:tc>
      </w:tr>
      <w:tr w14:paraId="002A3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701" w:type="dxa"/>
            <w:tcBorders>
              <w:left w:val="single" w:color="000000" w:sz="4" w:space="0"/>
            </w:tcBorders>
            <w:vAlign w:val="top"/>
          </w:tcPr>
          <w:p w14:paraId="10429F51">
            <w:pPr>
              <w:rPr>
                <w:rFonts w:ascii="Arial"/>
                <w:color w:val="auto"/>
                <w:sz w:val="21"/>
                <w:highlight w:val="none"/>
              </w:rPr>
            </w:pPr>
          </w:p>
        </w:tc>
        <w:tc>
          <w:tcPr>
            <w:tcW w:w="669" w:type="dxa"/>
            <w:gridSpan w:val="2"/>
            <w:tcBorders>
              <w:right w:val="single" w:color="000000" w:sz="4" w:space="0"/>
            </w:tcBorders>
            <w:vAlign w:val="top"/>
          </w:tcPr>
          <w:p w14:paraId="44542EAE">
            <w:pPr>
              <w:rPr>
                <w:rFonts w:ascii="Arial"/>
                <w:color w:val="auto"/>
                <w:sz w:val="21"/>
                <w:highlight w:val="none"/>
              </w:rPr>
            </w:pPr>
          </w:p>
        </w:tc>
        <w:tc>
          <w:tcPr>
            <w:tcW w:w="672" w:type="dxa"/>
            <w:tcBorders>
              <w:left w:val="single" w:color="000000" w:sz="4" w:space="0"/>
              <w:right w:val="single" w:color="000000" w:sz="4" w:space="0"/>
            </w:tcBorders>
            <w:vAlign w:val="top"/>
          </w:tcPr>
          <w:p w14:paraId="446934BF">
            <w:pPr>
              <w:rPr>
                <w:rFonts w:ascii="Arial"/>
                <w:color w:val="auto"/>
                <w:sz w:val="21"/>
                <w:highlight w:val="none"/>
              </w:rPr>
            </w:pPr>
          </w:p>
        </w:tc>
        <w:tc>
          <w:tcPr>
            <w:tcW w:w="427" w:type="dxa"/>
            <w:gridSpan w:val="2"/>
            <w:tcBorders>
              <w:left w:val="single" w:color="000000" w:sz="4" w:space="0"/>
              <w:right w:val="single" w:color="000000" w:sz="4" w:space="0"/>
            </w:tcBorders>
            <w:vAlign w:val="top"/>
          </w:tcPr>
          <w:p w14:paraId="28BDAEDB">
            <w:pPr>
              <w:rPr>
                <w:rFonts w:ascii="Arial"/>
                <w:color w:val="auto"/>
                <w:sz w:val="21"/>
                <w:highlight w:val="none"/>
              </w:rPr>
            </w:pPr>
          </w:p>
        </w:tc>
        <w:tc>
          <w:tcPr>
            <w:tcW w:w="427" w:type="dxa"/>
            <w:tcBorders>
              <w:left w:val="single" w:color="000000" w:sz="4" w:space="0"/>
              <w:right w:val="single" w:color="000000" w:sz="4" w:space="0"/>
            </w:tcBorders>
            <w:vAlign w:val="top"/>
          </w:tcPr>
          <w:p w14:paraId="16AAAFFB">
            <w:pPr>
              <w:rPr>
                <w:rFonts w:ascii="Arial"/>
                <w:color w:val="auto"/>
                <w:sz w:val="21"/>
                <w:highlight w:val="none"/>
              </w:rPr>
            </w:pPr>
          </w:p>
        </w:tc>
        <w:tc>
          <w:tcPr>
            <w:tcW w:w="664" w:type="dxa"/>
            <w:gridSpan w:val="2"/>
            <w:tcBorders>
              <w:left w:val="single" w:color="000000" w:sz="4" w:space="0"/>
            </w:tcBorders>
            <w:vAlign w:val="top"/>
          </w:tcPr>
          <w:p w14:paraId="500D907F">
            <w:pPr>
              <w:rPr>
                <w:rFonts w:ascii="Arial"/>
                <w:color w:val="auto"/>
                <w:sz w:val="21"/>
                <w:highlight w:val="none"/>
              </w:rPr>
            </w:pPr>
          </w:p>
        </w:tc>
        <w:tc>
          <w:tcPr>
            <w:tcW w:w="419" w:type="dxa"/>
            <w:tcBorders>
              <w:right w:val="single" w:color="000000" w:sz="4" w:space="0"/>
            </w:tcBorders>
            <w:vAlign w:val="top"/>
          </w:tcPr>
          <w:p w14:paraId="46D3C829">
            <w:pPr>
              <w:rPr>
                <w:rFonts w:ascii="Arial"/>
                <w:color w:val="auto"/>
                <w:sz w:val="21"/>
                <w:highlight w:val="none"/>
              </w:rPr>
            </w:pPr>
          </w:p>
        </w:tc>
        <w:tc>
          <w:tcPr>
            <w:tcW w:w="739" w:type="dxa"/>
            <w:tcBorders>
              <w:left w:val="single" w:color="000000" w:sz="4" w:space="0"/>
              <w:right w:val="single" w:color="000000" w:sz="4" w:space="0"/>
            </w:tcBorders>
            <w:vAlign w:val="top"/>
          </w:tcPr>
          <w:p w14:paraId="56FACFAE">
            <w:pPr>
              <w:rPr>
                <w:rFonts w:ascii="Arial"/>
                <w:color w:val="auto"/>
                <w:sz w:val="21"/>
                <w:highlight w:val="none"/>
              </w:rPr>
            </w:pPr>
          </w:p>
        </w:tc>
        <w:tc>
          <w:tcPr>
            <w:tcW w:w="844" w:type="dxa"/>
            <w:tcBorders>
              <w:left w:val="single" w:color="000000" w:sz="4" w:space="0"/>
              <w:right w:val="single" w:color="000000" w:sz="4" w:space="0"/>
            </w:tcBorders>
            <w:vAlign w:val="top"/>
          </w:tcPr>
          <w:p w14:paraId="684A52C4">
            <w:pPr>
              <w:rPr>
                <w:rFonts w:ascii="Arial"/>
                <w:color w:val="auto"/>
                <w:sz w:val="21"/>
                <w:highlight w:val="none"/>
              </w:rPr>
            </w:pPr>
          </w:p>
        </w:tc>
        <w:tc>
          <w:tcPr>
            <w:tcW w:w="1343" w:type="dxa"/>
            <w:gridSpan w:val="4"/>
            <w:tcBorders>
              <w:left w:val="single" w:color="000000" w:sz="4" w:space="0"/>
              <w:right w:val="single" w:color="000000" w:sz="4" w:space="0"/>
            </w:tcBorders>
            <w:vAlign w:val="top"/>
          </w:tcPr>
          <w:p w14:paraId="454E5E4B">
            <w:pPr>
              <w:rPr>
                <w:rFonts w:ascii="Arial"/>
                <w:color w:val="auto"/>
                <w:sz w:val="21"/>
                <w:highlight w:val="none"/>
              </w:rPr>
            </w:pPr>
          </w:p>
        </w:tc>
        <w:tc>
          <w:tcPr>
            <w:tcW w:w="935" w:type="dxa"/>
            <w:gridSpan w:val="2"/>
            <w:tcBorders>
              <w:left w:val="single" w:color="000000" w:sz="4" w:space="0"/>
              <w:right w:val="single" w:color="000000" w:sz="4" w:space="0"/>
            </w:tcBorders>
            <w:vAlign w:val="top"/>
          </w:tcPr>
          <w:p w14:paraId="5AAD204A">
            <w:pPr>
              <w:rPr>
                <w:rFonts w:ascii="Arial"/>
                <w:color w:val="auto"/>
                <w:sz w:val="21"/>
                <w:highlight w:val="none"/>
              </w:rPr>
            </w:pPr>
          </w:p>
        </w:tc>
        <w:tc>
          <w:tcPr>
            <w:tcW w:w="1105" w:type="dxa"/>
            <w:tcBorders>
              <w:left w:val="single" w:color="000000" w:sz="4" w:space="0"/>
              <w:right w:val="single" w:color="000000" w:sz="4" w:space="0"/>
            </w:tcBorders>
            <w:vAlign w:val="top"/>
          </w:tcPr>
          <w:p w14:paraId="4259C888">
            <w:pPr>
              <w:rPr>
                <w:rFonts w:ascii="Arial"/>
                <w:color w:val="auto"/>
                <w:sz w:val="21"/>
                <w:highlight w:val="none"/>
              </w:rPr>
            </w:pPr>
          </w:p>
        </w:tc>
      </w:tr>
      <w:tr w14:paraId="3EE36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370" w:type="dxa"/>
            <w:gridSpan w:val="3"/>
            <w:tcBorders>
              <w:left w:val="single" w:color="000000" w:sz="4" w:space="0"/>
              <w:right w:val="single" w:color="000000" w:sz="4" w:space="0"/>
            </w:tcBorders>
            <w:vAlign w:val="top"/>
          </w:tcPr>
          <w:p w14:paraId="3B3886BC">
            <w:pPr>
              <w:pStyle w:val="11"/>
              <w:spacing w:before="173" w:line="219" w:lineRule="auto"/>
              <w:ind w:left="273"/>
              <w:rPr>
                <w:color w:val="auto"/>
                <w:highlight w:val="none"/>
              </w:rPr>
            </w:pPr>
            <w:r>
              <w:rPr>
                <w:color w:val="auto"/>
                <w:spacing w:val="-1"/>
                <w:highlight w:val="none"/>
              </w:rPr>
              <w:t>人工单价</w:t>
            </w:r>
          </w:p>
        </w:tc>
        <w:tc>
          <w:tcPr>
            <w:tcW w:w="3348" w:type="dxa"/>
            <w:gridSpan w:val="8"/>
            <w:tcBorders>
              <w:left w:val="single" w:color="000000" w:sz="4" w:space="0"/>
              <w:right w:val="single" w:color="000000" w:sz="4" w:space="0"/>
            </w:tcBorders>
            <w:vAlign w:val="top"/>
          </w:tcPr>
          <w:p w14:paraId="163BAEC3">
            <w:pPr>
              <w:pStyle w:val="11"/>
              <w:spacing w:before="173" w:line="222" w:lineRule="auto"/>
              <w:ind w:left="1477"/>
              <w:rPr>
                <w:color w:val="auto"/>
                <w:highlight w:val="none"/>
              </w:rPr>
            </w:pPr>
            <w:r>
              <w:rPr>
                <w:color w:val="auto"/>
                <w:spacing w:val="-3"/>
                <w:highlight w:val="none"/>
              </w:rPr>
              <w:t>小计</w:t>
            </w:r>
          </w:p>
        </w:tc>
        <w:tc>
          <w:tcPr>
            <w:tcW w:w="844" w:type="dxa"/>
            <w:tcBorders>
              <w:left w:val="single" w:color="000000" w:sz="4" w:space="0"/>
              <w:right w:val="single" w:color="000000" w:sz="4" w:space="0"/>
            </w:tcBorders>
            <w:vAlign w:val="top"/>
          </w:tcPr>
          <w:p w14:paraId="4121376C">
            <w:pPr>
              <w:rPr>
                <w:rFonts w:ascii="Arial"/>
                <w:color w:val="auto"/>
                <w:sz w:val="21"/>
                <w:highlight w:val="none"/>
              </w:rPr>
            </w:pPr>
          </w:p>
        </w:tc>
        <w:tc>
          <w:tcPr>
            <w:tcW w:w="1343" w:type="dxa"/>
            <w:gridSpan w:val="4"/>
            <w:tcBorders>
              <w:left w:val="single" w:color="000000" w:sz="4" w:space="0"/>
              <w:right w:val="single" w:color="000000" w:sz="4" w:space="0"/>
            </w:tcBorders>
            <w:vAlign w:val="top"/>
          </w:tcPr>
          <w:p w14:paraId="317DDC49">
            <w:pPr>
              <w:rPr>
                <w:rFonts w:ascii="Arial"/>
                <w:color w:val="auto"/>
                <w:sz w:val="21"/>
                <w:highlight w:val="none"/>
              </w:rPr>
            </w:pPr>
          </w:p>
        </w:tc>
        <w:tc>
          <w:tcPr>
            <w:tcW w:w="935" w:type="dxa"/>
            <w:gridSpan w:val="2"/>
            <w:tcBorders>
              <w:left w:val="single" w:color="000000" w:sz="4" w:space="0"/>
              <w:right w:val="single" w:color="000000" w:sz="4" w:space="0"/>
            </w:tcBorders>
            <w:vAlign w:val="top"/>
          </w:tcPr>
          <w:p w14:paraId="58166917">
            <w:pPr>
              <w:rPr>
                <w:rFonts w:ascii="Arial"/>
                <w:color w:val="auto"/>
                <w:sz w:val="21"/>
                <w:highlight w:val="none"/>
              </w:rPr>
            </w:pPr>
          </w:p>
        </w:tc>
        <w:tc>
          <w:tcPr>
            <w:tcW w:w="1105" w:type="dxa"/>
            <w:tcBorders>
              <w:left w:val="single" w:color="000000" w:sz="4" w:space="0"/>
              <w:right w:val="single" w:color="000000" w:sz="4" w:space="0"/>
            </w:tcBorders>
            <w:vAlign w:val="top"/>
          </w:tcPr>
          <w:p w14:paraId="4193F6CC">
            <w:pPr>
              <w:rPr>
                <w:rFonts w:ascii="Arial"/>
                <w:color w:val="auto"/>
                <w:sz w:val="21"/>
                <w:highlight w:val="none"/>
              </w:rPr>
            </w:pPr>
          </w:p>
        </w:tc>
      </w:tr>
      <w:tr w14:paraId="58EF1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370" w:type="dxa"/>
            <w:gridSpan w:val="3"/>
            <w:tcBorders>
              <w:left w:val="single" w:color="000000" w:sz="4" w:space="0"/>
              <w:right w:val="single" w:color="000000" w:sz="4" w:space="0"/>
            </w:tcBorders>
            <w:vAlign w:val="top"/>
          </w:tcPr>
          <w:p w14:paraId="3372E81C">
            <w:pPr>
              <w:pStyle w:val="11"/>
              <w:spacing w:before="174" w:line="235" w:lineRule="auto"/>
              <w:ind w:left="456"/>
              <w:rPr>
                <w:color w:val="auto"/>
                <w:highlight w:val="none"/>
              </w:rPr>
            </w:pPr>
            <w:r>
              <w:rPr>
                <w:color w:val="auto"/>
                <w:spacing w:val="-2"/>
                <w:highlight w:val="none"/>
              </w:rPr>
              <w:t>元</w:t>
            </w:r>
            <w:r>
              <w:rPr>
                <w:rFonts w:ascii="Times New Roman" w:hAnsi="Times New Roman" w:eastAsia="Times New Roman" w:cs="Times New Roman"/>
                <w:color w:val="auto"/>
                <w:spacing w:val="-2"/>
                <w:highlight w:val="none"/>
              </w:rPr>
              <w:t>/</w:t>
            </w:r>
            <w:r>
              <w:rPr>
                <w:color w:val="auto"/>
                <w:spacing w:val="-2"/>
                <w:highlight w:val="none"/>
              </w:rPr>
              <w:t>工日</w:t>
            </w:r>
          </w:p>
        </w:tc>
        <w:tc>
          <w:tcPr>
            <w:tcW w:w="3348" w:type="dxa"/>
            <w:gridSpan w:val="8"/>
            <w:tcBorders>
              <w:left w:val="single" w:color="000000" w:sz="4" w:space="0"/>
              <w:right w:val="single" w:color="000000" w:sz="4" w:space="0"/>
            </w:tcBorders>
            <w:vAlign w:val="top"/>
          </w:tcPr>
          <w:p w14:paraId="46E07D0B">
            <w:pPr>
              <w:pStyle w:val="11"/>
              <w:spacing w:before="174" w:line="219" w:lineRule="auto"/>
              <w:ind w:left="1051"/>
              <w:rPr>
                <w:color w:val="auto"/>
                <w:highlight w:val="none"/>
              </w:rPr>
            </w:pPr>
            <w:r>
              <w:rPr>
                <w:color w:val="auto"/>
                <w:spacing w:val="-1"/>
                <w:highlight w:val="none"/>
              </w:rPr>
              <w:t>未计价材料费</w:t>
            </w:r>
          </w:p>
        </w:tc>
        <w:tc>
          <w:tcPr>
            <w:tcW w:w="4227" w:type="dxa"/>
            <w:gridSpan w:val="8"/>
            <w:tcBorders>
              <w:left w:val="single" w:color="000000" w:sz="4" w:space="0"/>
              <w:right w:val="single" w:color="000000" w:sz="4" w:space="0"/>
            </w:tcBorders>
            <w:vAlign w:val="top"/>
          </w:tcPr>
          <w:p w14:paraId="21117992">
            <w:pPr>
              <w:rPr>
                <w:rFonts w:ascii="Arial"/>
                <w:color w:val="auto"/>
                <w:sz w:val="21"/>
                <w:highlight w:val="none"/>
              </w:rPr>
            </w:pPr>
          </w:p>
        </w:tc>
      </w:tr>
      <w:tr w14:paraId="757E0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4718" w:type="dxa"/>
            <w:gridSpan w:val="11"/>
            <w:tcBorders>
              <w:left w:val="single" w:color="000000" w:sz="4" w:space="0"/>
              <w:right w:val="single" w:color="000000" w:sz="4" w:space="0"/>
            </w:tcBorders>
            <w:vAlign w:val="top"/>
          </w:tcPr>
          <w:p w14:paraId="5432A197">
            <w:pPr>
              <w:pStyle w:val="11"/>
              <w:spacing w:before="174" w:line="219" w:lineRule="auto"/>
              <w:ind w:left="1525"/>
              <w:rPr>
                <w:color w:val="auto"/>
                <w:highlight w:val="none"/>
              </w:rPr>
            </w:pPr>
            <w:r>
              <w:rPr>
                <w:color w:val="auto"/>
                <w:spacing w:val="-1"/>
                <w:highlight w:val="none"/>
              </w:rPr>
              <w:t>清单项目综合单价</w:t>
            </w:r>
          </w:p>
        </w:tc>
        <w:tc>
          <w:tcPr>
            <w:tcW w:w="4227" w:type="dxa"/>
            <w:gridSpan w:val="8"/>
            <w:tcBorders>
              <w:left w:val="single" w:color="000000" w:sz="4" w:space="0"/>
              <w:right w:val="single" w:color="000000" w:sz="4" w:space="0"/>
            </w:tcBorders>
            <w:vAlign w:val="top"/>
          </w:tcPr>
          <w:p w14:paraId="64F61805">
            <w:pPr>
              <w:rPr>
                <w:rFonts w:ascii="Arial"/>
                <w:color w:val="auto"/>
                <w:sz w:val="21"/>
                <w:highlight w:val="none"/>
              </w:rPr>
            </w:pPr>
          </w:p>
        </w:tc>
      </w:tr>
      <w:tr w14:paraId="21FB6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restart"/>
            <w:tcBorders>
              <w:left w:val="single" w:color="000000" w:sz="4" w:space="0"/>
              <w:bottom w:val="nil"/>
            </w:tcBorders>
            <w:textDirection w:val="tbRlV"/>
            <w:vAlign w:val="top"/>
          </w:tcPr>
          <w:p w14:paraId="70C033EA">
            <w:pPr>
              <w:pStyle w:val="11"/>
              <w:spacing w:before="242" w:line="208" w:lineRule="auto"/>
              <w:ind w:left="1331"/>
              <w:rPr>
                <w:color w:val="auto"/>
                <w:highlight w:val="none"/>
              </w:rPr>
            </w:pPr>
            <w:r>
              <w:rPr>
                <w:color w:val="auto"/>
                <w:spacing w:val="1"/>
                <w:highlight w:val="none"/>
              </w:rPr>
              <w:t>材</w:t>
            </w:r>
            <w:r>
              <w:rPr>
                <w:color w:val="auto"/>
                <w:spacing w:val="-43"/>
                <w:highlight w:val="none"/>
              </w:rPr>
              <w:t xml:space="preserve"> </w:t>
            </w:r>
            <w:r>
              <w:rPr>
                <w:color w:val="auto"/>
                <w:spacing w:val="1"/>
                <w:highlight w:val="none"/>
              </w:rPr>
              <w:t>料</w:t>
            </w:r>
            <w:r>
              <w:rPr>
                <w:color w:val="auto"/>
                <w:spacing w:val="-43"/>
                <w:highlight w:val="none"/>
              </w:rPr>
              <w:t xml:space="preserve"> </w:t>
            </w:r>
            <w:r>
              <w:rPr>
                <w:color w:val="auto"/>
                <w:spacing w:val="1"/>
                <w:highlight w:val="none"/>
              </w:rPr>
              <w:t>费</w:t>
            </w:r>
            <w:r>
              <w:rPr>
                <w:color w:val="auto"/>
                <w:spacing w:val="-47"/>
                <w:highlight w:val="none"/>
              </w:rPr>
              <w:t xml:space="preserve"> </w:t>
            </w:r>
            <w:r>
              <w:rPr>
                <w:color w:val="auto"/>
                <w:spacing w:val="1"/>
                <w:highlight w:val="none"/>
              </w:rPr>
              <w:t>明</w:t>
            </w:r>
            <w:r>
              <w:rPr>
                <w:color w:val="auto"/>
                <w:spacing w:val="-42"/>
                <w:highlight w:val="none"/>
              </w:rPr>
              <w:t xml:space="preserve"> </w:t>
            </w:r>
            <w:r>
              <w:rPr>
                <w:color w:val="auto"/>
                <w:spacing w:val="1"/>
                <w:highlight w:val="none"/>
              </w:rPr>
              <w:t>细</w:t>
            </w:r>
          </w:p>
        </w:tc>
        <w:tc>
          <w:tcPr>
            <w:tcW w:w="2195" w:type="dxa"/>
            <w:gridSpan w:val="6"/>
            <w:tcBorders>
              <w:right w:val="single" w:color="000000" w:sz="4" w:space="0"/>
            </w:tcBorders>
            <w:vAlign w:val="top"/>
          </w:tcPr>
          <w:p w14:paraId="7200BA8B">
            <w:pPr>
              <w:pStyle w:val="11"/>
              <w:spacing w:before="41" w:line="224" w:lineRule="auto"/>
              <w:ind w:left="681" w:right="250" w:hanging="420"/>
              <w:rPr>
                <w:color w:val="auto"/>
                <w:highlight w:val="none"/>
              </w:rPr>
            </w:pPr>
            <w:r>
              <w:rPr>
                <w:color w:val="auto"/>
                <w:spacing w:val="-1"/>
                <w:highlight w:val="none"/>
              </w:rPr>
              <w:t>主要材料名称、规</w:t>
            </w:r>
            <w:r>
              <w:rPr>
                <w:color w:val="auto"/>
                <w:spacing w:val="1"/>
                <w:highlight w:val="none"/>
              </w:rPr>
              <w:t xml:space="preserve"> </w:t>
            </w:r>
            <w:r>
              <w:rPr>
                <w:color w:val="auto"/>
                <w:spacing w:val="-1"/>
                <w:highlight w:val="none"/>
              </w:rPr>
              <w:t>格、型号</w:t>
            </w:r>
          </w:p>
        </w:tc>
        <w:tc>
          <w:tcPr>
            <w:tcW w:w="664" w:type="dxa"/>
            <w:gridSpan w:val="2"/>
            <w:tcBorders>
              <w:left w:val="single" w:color="000000" w:sz="4" w:space="0"/>
            </w:tcBorders>
            <w:vAlign w:val="top"/>
          </w:tcPr>
          <w:p w14:paraId="74F3061B">
            <w:pPr>
              <w:pStyle w:val="11"/>
              <w:spacing w:before="175" w:line="221" w:lineRule="auto"/>
              <w:ind w:left="129"/>
              <w:rPr>
                <w:color w:val="auto"/>
                <w:highlight w:val="none"/>
              </w:rPr>
            </w:pPr>
            <w:r>
              <w:rPr>
                <w:color w:val="auto"/>
                <w:spacing w:val="-2"/>
                <w:highlight w:val="none"/>
              </w:rPr>
              <w:t>单位</w:t>
            </w:r>
          </w:p>
        </w:tc>
        <w:tc>
          <w:tcPr>
            <w:tcW w:w="1158" w:type="dxa"/>
            <w:gridSpan w:val="2"/>
            <w:tcBorders>
              <w:right w:val="single" w:color="000000" w:sz="4" w:space="0"/>
            </w:tcBorders>
            <w:vAlign w:val="top"/>
          </w:tcPr>
          <w:p w14:paraId="5113D19A">
            <w:pPr>
              <w:pStyle w:val="11"/>
              <w:spacing w:before="174" w:line="221" w:lineRule="auto"/>
              <w:ind w:left="379"/>
              <w:rPr>
                <w:color w:val="auto"/>
                <w:highlight w:val="none"/>
              </w:rPr>
            </w:pPr>
            <w:r>
              <w:rPr>
                <w:color w:val="auto"/>
                <w:spacing w:val="-2"/>
                <w:highlight w:val="none"/>
              </w:rPr>
              <w:t>数量</w:t>
            </w:r>
          </w:p>
        </w:tc>
        <w:tc>
          <w:tcPr>
            <w:tcW w:w="844" w:type="dxa"/>
            <w:tcBorders>
              <w:left w:val="single" w:color="000000" w:sz="4" w:space="0"/>
              <w:right w:val="single" w:color="000000" w:sz="4" w:space="0"/>
            </w:tcBorders>
            <w:vAlign w:val="top"/>
          </w:tcPr>
          <w:p w14:paraId="5EBEB056">
            <w:pPr>
              <w:pStyle w:val="11"/>
              <w:spacing w:before="41" w:line="224" w:lineRule="auto"/>
              <w:ind w:left="117" w:right="112" w:firstLine="100"/>
              <w:rPr>
                <w:color w:val="auto"/>
                <w:highlight w:val="none"/>
              </w:rPr>
            </w:pPr>
            <w:r>
              <w:rPr>
                <w:color w:val="auto"/>
                <w:spacing w:val="-4"/>
                <w:highlight w:val="none"/>
              </w:rPr>
              <w:t>单价</w:t>
            </w:r>
            <w:r>
              <w:rPr>
                <w:color w:val="auto"/>
                <w:highlight w:val="none"/>
              </w:rPr>
              <w:t xml:space="preserve">  </w:t>
            </w:r>
            <w:r>
              <w:rPr>
                <w:color w:val="auto"/>
                <w:spacing w:val="-9"/>
                <w:highlight w:val="none"/>
              </w:rPr>
              <w:t>（元）</w:t>
            </w:r>
          </w:p>
        </w:tc>
        <w:tc>
          <w:tcPr>
            <w:tcW w:w="1005" w:type="dxa"/>
            <w:gridSpan w:val="3"/>
            <w:tcBorders>
              <w:left w:val="single" w:color="000000" w:sz="4" w:space="0"/>
            </w:tcBorders>
            <w:vAlign w:val="top"/>
          </w:tcPr>
          <w:p w14:paraId="0B80C73B">
            <w:pPr>
              <w:pStyle w:val="11"/>
              <w:spacing w:before="41" w:line="224" w:lineRule="auto"/>
              <w:ind w:left="200" w:right="192" w:firstLine="100"/>
              <w:rPr>
                <w:color w:val="auto"/>
                <w:highlight w:val="none"/>
              </w:rPr>
            </w:pPr>
            <w:r>
              <w:rPr>
                <w:color w:val="auto"/>
                <w:spacing w:val="-4"/>
                <w:highlight w:val="none"/>
              </w:rPr>
              <w:t>合价</w:t>
            </w:r>
            <w:r>
              <w:rPr>
                <w:color w:val="auto"/>
                <w:highlight w:val="none"/>
              </w:rPr>
              <w:t xml:space="preserve">  </w:t>
            </w:r>
            <w:r>
              <w:rPr>
                <w:color w:val="auto"/>
                <w:spacing w:val="-9"/>
                <w:highlight w:val="none"/>
              </w:rPr>
              <w:t>（元）</w:t>
            </w:r>
          </w:p>
        </w:tc>
        <w:tc>
          <w:tcPr>
            <w:tcW w:w="1273" w:type="dxa"/>
            <w:gridSpan w:val="3"/>
            <w:tcBorders>
              <w:right w:val="single" w:color="000000" w:sz="4" w:space="0"/>
            </w:tcBorders>
            <w:vAlign w:val="top"/>
          </w:tcPr>
          <w:p w14:paraId="712620C2">
            <w:pPr>
              <w:pStyle w:val="11"/>
              <w:spacing w:before="41" w:line="224" w:lineRule="auto"/>
              <w:ind w:left="340" w:right="200" w:hanging="105"/>
              <w:rPr>
                <w:color w:val="auto"/>
                <w:highlight w:val="none"/>
              </w:rPr>
            </w:pPr>
            <w:r>
              <w:rPr>
                <w:color w:val="auto"/>
                <w:spacing w:val="-3"/>
                <w:highlight w:val="none"/>
              </w:rPr>
              <w:t>暂估单价</w:t>
            </w:r>
            <w:r>
              <w:rPr>
                <w:color w:val="auto"/>
                <w:spacing w:val="1"/>
                <w:highlight w:val="none"/>
              </w:rPr>
              <w:t xml:space="preserve"> </w:t>
            </w:r>
            <w:r>
              <w:rPr>
                <w:color w:val="auto"/>
                <w:spacing w:val="-6"/>
                <w:highlight w:val="none"/>
              </w:rPr>
              <w:t>（元）</w:t>
            </w:r>
          </w:p>
        </w:tc>
        <w:tc>
          <w:tcPr>
            <w:tcW w:w="1105" w:type="dxa"/>
            <w:tcBorders>
              <w:left w:val="single" w:color="000000" w:sz="4" w:space="0"/>
              <w:right w:val="single" w:color="000000" w:sz="4" w:space="0"/>
            </w:tcBorders>
            <w:vAlign w:val="top"/>
          </w:tcPr>
          <w:p w14:paraId="42AC1BA9">
            <w:pPr>
              <w:pStyle w:val="11"/>
              <w:spacing w:before="41" w:line="224" w:lineRule="auto"/>
              <w:ind w:left="250" w:right="119" w:hanging="105"/>
              <w:rPr>
                <w:color w:val="auto"/>
                <w:highlight w:val="none"/>
              </w:rPr>
            </w:pPr>
            <w:r>
              <w:rPr>
                <w:color w:val="auto"/>
                <w:spacing w:val="-3"/>
                <w:highlight w:val="none"/>
              </w:rPr>
              <w:t>暂估合价</w:t>
            </w:r>
            <w:r>
              <w:rPr>
                <w:color w:val="auto"/>
                <w:spacing w:val="1"/>
                <w:highlight w:val="none"/>
              </w:rPr>
              <w:t xml:space="preserve"> </w:t>
            </w:r>
            <w:r>
              <w:rPr>
                <w:color w:val="auto"/>
                <w:spacing w:val="-6"/>
                <w:highlight w:val="none"/>
              </w:rPr>
              <w:t>（元）</w:t>
            </w:r>
          </w:p>
        </w:tc>
      </w:tr>
      <w:tr w14:paraId="6306B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continue"/>
            <w:tcBorders>
              <w:top w:val="nil"/>
              <w:left w:val="single" w:color="000000" w:sz="4" w:space="0"/>
              <w:bottom w:val="nil"/>
            </w:tcBorders>
            <w:textDirection w:val="tbRlV"/>
            <w:vAlign w:val="top"/>
          </w:tcPr>
          <w:p w14:paraId="55D813DC">
            <w:pPr>
              <w:rPr>
                <w:rFonts w:ascii="Arial"/>
                <w:color w:val="auto"/>
                <w:sz w:val="21"/>
                <w:highlight w:val="none"/>
              </w:rPr>
            </w:pPr>
          </w:p>
        </w:tc>
        <w:tc>
          <w:tcPr>
            <w:tcW w:w="2195" w:type="dxa"/>
            <w:gridSpan w:val="6"/>
            <w:tcBorders>
              <w:right w:val="single" w:color="000000" w:sz="4" w:space="0"/>
            </w:tcBorders>
            <w:vAlign w:val="top"/>
          </w:tcPr>
          <w:p w14:paraId="17E0A525">
            <w:pPr>
              <w:rPr>
                <w:rFonts w:ascii="Arial"/>
                <w:color w:val="auto"/>
                <w:sz w:val="21"/>
                <w:highlight w:val="none"/>
              </w:rPr>
            </w:pPr>
          </w:p>
        </w:tc>
        <w:tc>
          <w:tcPr>
            <w:tcW w:w="664" w:type="dxa"/>
            <w:gridSpan w:val="2"/>
            <w:tcBorders>
              <w:left w:val="single" w:color="000000" w:sz="4" w:space="0"/>
            </w:tcBorders>
            <w:vAlign w:val="top"/>
          </w:tcPr>
          <w:p w14:paraId="2341FC2C">
            <w:pPr>
              <w:rPr>
                <w:rFonts w:ascii="Arial"/>
                <w:color w:val="auto"/>
                <w:sz w:val="21"/>
                <w:highlight w:val="none"/>
              </w:rPr>
            </w:pPr>
          </w:p>
        </w:tc>
        <w:tc>
          <w:tcPr>
            <w:tcW w:w="1158" w:type="dxa"/>
            <w:gridSpan w:val="2"/>
            <w:tcBorders>
              <w:right w:val="single" w:color="000000" w:sz="4" w:space="0"/>
            </w:tcBorders>
            <w:vAlign w:val="top"/>
          </w:tcPr>
          <w:p w14:paraId="29CE563E">
            <w:pPr>
              <w:rPr>
                <w:rFonts w:ascii="Arial"/>
                <w:color w:val="auto"/>
                <w:sz w:val="21"/>
                <w:highlight w:val="none"/>
              </w:rPr>
            </w:pPr>
          </w:p>
        </w:tc>
        <w:tc>
          <w:tcPr>
            <w:tcW w:w="844" w:type="dxa"/>
            <w:tcBorders>
              <w:left w:val="single" w:color="000000" w:sz="4" w:space="0"/>
              <w:right w:val="single" w:color="000000" w:sz="4" w:space="0"/>
            </w:tcBorders>
            <w:vAlign w:val="top"/>
          </w:tcPr>
          <w:p w14:paraId="7578CF4C">
            <w:pPr>
              <w:rPr>
                <w:rFonts w:ascii="Arial"/>
                <w:color w:val="auto"/>
                <w:sz w:val="21"/>
                <w:highlight w:val="none"/>
              </w:rPr>
            </w:pPr>
          </w:p>
        </w:tc>
        <w:tc>
          <w:tcPr>
            <w:tcW w:w="1005" w:type="dxa"/>
            <w:gridSpan w:val="3"/>
            <w:tcBorders>
              <w:left w:val="single" w:color="000000" w:sz="4" w:space="0"/>
            </w:tcBorders>
            <w:vAlign w:val="top"/>
          </w:tcPr>
          <w:p w14:paraId="0C0543F4">
            <w:pPr>
              <w:rPr>
                <w:rFonts w:ascii="Arial"/>
                <w:color w:val="auto"/>
                <w:sz w:val="21"/>
                <w:highlight w:val="none"/>
              </w:rPr>
            </w:pPr>
          </w:p>
        </w:tc>
        <w:tc>
          <w:tcPr>
            <w:tcW w:w="1273" w:type="dxa"/>
            <w:gridSpan w:val="3"/>
            <w:tcBorders>
              <w:right w:val="single" w:color="000000" w:sz="4" w:space="0"/>
            </w:tcBorders>
            <w:vAlign w:val="top"/>
          </w:tcPr>
          <w:p w14:paraId="23ABBA40">
            <w:pPr>
              <w:rPr>
                <w:rFonts w:ascii="Arial"/>
                <w:color w:val="auto"/>
                <w:sz w:val="21"/>
                <w:highlight w:val="none"/>
              </w:rPr>
            </w:pPr>
          </w:p>
        </w:tc>
        <w:tc>
          <w:tcPr>
            <w:tcW w:w="1105" w:type="dxa"/>
            <w:tcBorders>
              <w:left w:val="single" w:color="000000" w:sz="4" w:space="0"/>
              <w:right w:val="single" w:color="000000" w:sz="4" w:space="0"/>
            </w:tcBorders>
            <w:vAlign w:val="top"/>
          </w:tcPr>
          <w:p w14:paraId="5F870CB2">
            <w:pPr>
              <w:rPr>
                <w:rFonts w:ascii="Arial"/>
                <w:color w:val="auto"/>
                <w:sz w:val="21"/>
                <w:highlight w:val="none"/>
              </w:rPr>
            </w:pPr>
          </w:p>
        </w:tc>
      </w:tr>
      <w:tr w14:paraId="3CFF3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continue"/>
            <w:tcBorders>
              <w:top w:val="nil"/>
              <w:left w:val="single" w:color="000000" w:sz="4" w:space="0"/>
              <w:bottom w:val="nil"/>
            </w:tcBorders>
            <w:textDirection w:val="tbRlV"/>
            <w:vAlign w:val="top"/>
          </w:tcPr>
          <w:p w14:paraId="154F02EB">
            <w:pPr>
              <w:rPr>
                <w:rFonts w:ascii="Arial"/>
                <w:color w:val="auto"/>
                <w:sz w:val="21"/>
                <w:highlight w:val="none"/>
              </w:rPr>
            </w:pPr>
          </w:p>
        </w:tc>
        <w:tc>
          <w:tcPr>
            <w:tcW w:w="2195" w:type="dxa"/>
            <w:gridSpan w:val="6"/>
            <w:tcBorders>
              <w:right w:val="single" w:color="000000" w:sz="4" w:space="0"/>
            </w:tcBorders>
            <w:vAlign w:val="top"/>
          </w:tcPr>
          <w:p w14:paraId="3DF09285">
            <w:pPr>
              <w:rPr>
                <w:rFonts w:ascii="Arial"/>
                <w:color w:val="auto"/>
                <w:sz w:val="21"/>
                <w:highlight w:val="none"/>
              </w:rPr>
            </w:pPr>
          </w:p>
        </w:tc>
        <w:tc>
          <w:tcPr>
            <w:tcW w:w="664" w:type="dxa"/>
            <w:gridSpan w:val="2"/>
            <w:tcBorders>
              <w:left w:val="single" w:color="000000" w:sz="4" w:space="0"/>
            </w:tcBorders>
            <w:vAlign w:val="top"/>
          </w:tcPr>
          <w:p w14:paraId="4E59A7BF">
            <w:pPr>
              <w:rPr>
                <w:rFonts w:ascii="Arial"/>
                <w:color w:val="auto"/>
                <w:sz w:val="21"/>
                <w:highlight w:val="none"/>
              </w:rPr>
            </w:pPr>
          </w:p>
        </w:tc>
        <w:tc>
          <w:tcPr>
            <w:tcW w:w="1158" w:type="dxa"/>
            <w:gridSpan w:val="2"/>
            <w:tcBorders>
              <w:right w:val="single" w:color="000000" w:sz="4" w:space="0"/>
            </w:tcBorders>
            <w:vAlign w:val="top"/>
          </w:tcPr>
          <w:p w14:paraId="4575F350">
            <w:pPr>
              <w:rPr>
                <w:rFonts w:ascii="Arial"/>
                <w:color w:val="auto"/>
                <w:sz w:val="21"/>
                <w:highlight w:val="none"/>
              </w:rPr>
            </w:pPr>
          </w:p>
        </w:tc>
        <w:tc>
          <w:tcPr>
            <w:tcW w:w="844" w:type="dxa"/>
            <w:tcBorders>
              <w:left w:val="single" w:color="000000" w:sz="4" w:space="0"/>
              <w:right w:val="single" w:color="000000" w:sz="4" w:space="0"/>
            </w:tcBorders>
            <w:vAlign w:val="top"/>
          </w:tcPr>
          <w:p w14:paraId="0F810016">
            <w:pPr>
              <w:rPr>
                <w:rFonts w:ascii="Arial"/>
                <w:color w:val="auto"/>
                <w:sz w:val="21"/>
                <w:highlight w:val="none"/>
              </w:rPr>
            </w:pPr>
          </w:p>
        </w:tc>
        <w:tc>
          <w:tcPr>
            <w:tcW w:w="1005" w:type="dxa"/>
            <w:gridSpan w:val="3"/>
            <w:tcBorders>
              <w:left w:val="single" w:color="000000" w:sz="4" w:space="0"/>
            </w:tcBorders>
            <w:vAlign w:val="top"/>
          </w:tcPr>
          <w:p w14:paraId="1FAE7A45">
            <w:pPr>
              <w:rPr>
                <w:rFonts w:ascii="Arial"/>
                <w:color w:val="auto"/>
                <w:sz w:val="21"/>
                <w:highlight w:val="none"/>
              </w:rPr>
            </w:pPr>
          </w:p>
        </w:tc>
        <w:tc>
          <w:tcPr>
            <w:tcW w:w="1273" w:type="dxa"/>
            <w:gridSpan w:val="3"/>
            <w:tcBorders>
              <w:right w:val="single" w:color="000000" w:sz="4" w:space="0"/>
            </w:tcBorders>
            <w:vAlign w:val="top"/>
          </w:tcPr>
          <w:p w14:paraId="2545BEE2">
            <w:pPr>
              <w:rPr>
                <w:rFonts w:ascii="Arial"/>
                <w:color w:val="auto"/>
                <w:sz w:val="21"/>
                <w:highlight w:val="none"/>
              </w:rPr>
            </w:pPr>
          </w:p>
        </w:tc>
        <w:tc>
          <w:tcPr>
            <w:tcW w:w="1105" w:type="dxa"/>
            <w:tcBorders>
              <w:left w:val="single" w:color="000000" w:sz="4" w:space="0"/>
              <w:right w:val="single" w:color="000000" w:sz="4" w:space="0"/>
            </w:tcBorders>
            <w:vAlign w:val="top"/>
          </w:tcPr>
          <w:p w14:paraId="7CE9B27A">
            <w:pPr>
              <w:rPr>
                <w:rFonts w:ascii="Arial"/>
                <w:color w:val="auto"/>
                <w:sz w:val="21"/>
                <w:highlight w:val="none"/>
              </w:rPr>
            </w:pPr>
          </w:p>
        </w:tc>
      </w:tr>
      <w:tr w14:paraId="76981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continue"/>
            <w:tcBorders>
              <w:top w:val="nil"/>
              <w:left w:val="single" w:color="000000" w:sz="4" w:space="0"/>
              <w:bottom w:val="nil"/>
            </w:tcBorders>
            <w:textDirection w:val="tbRlV"/>
            <w:vAlign w:val="top"/>
          </w:tcPr>
          <w:p w14:paraId="54A7CD05">
            <w:pPr>
              <w:rPr>
                <w:rFonts w:ascii="Arial"/>
                <w:color w:val="auto"/>
                <w:sz w:val="21"/>
                <w:highlight w:val="none"/>
              </w:rPr>
            </w:pPr>
          </w:p>
        </w:tc>
        <w:tc>
          <w:tcPr>
            <w:tcW w:w="2195" w:type="dxa"/>
            <w:gridSpan w:val="6"/>
            <w:tcBorders>
              <w:right w:val="single" w:color="000000" w:sz="4" w:space="0"/>
            </w:tcBorders>
            <w:vAlign w:val="top"/>
          </w:tcPr>
          <w:p w14:paraId="02788D8C">
            <w:pPr>
              <w:rPr>
                <w:rFonts w:ascii="Arial"/>
                <w:color w:val="auto"/>
                <w:sz w:val="21"/>
                <w:highlight w:val="none"/>
              </w:rPr>
            </w:pPr>
          </w:p>
        </w:tc>
        <w:tc>
          <w:tcPr>
            <w:tcW w:w="664" w:type="dxa"/>
            <w:gridSpan w:val="2"/>
            <w:tcBorders>
              <w:left w:val="single" w:color="000000" w:sz="4" w:space="0"/>
            </w:tcBorders>
            <w:vAlign w:val="top"/>
          </w:tcPr>
          <w:p w14:paraId="5B7DE348">
            <w:pPr>
              <w:rPr>
                <w:rFonts w:ascii="Arial"/>
                <w:color w:val="auto"/>
                <w:sz w:val="21"/>
                <w:highlight w:val="none"/>
              </w:rPr>
            </w:pPr>
          </w:p>
        </w:tc>
        <w:tc>
          <w:tcPr>
            <w:tcW w:w="1158" w:type="dxa"/>
            <w:gridSpan w:val="2"/>
            <w:tcBorders>
              <w:right w:val="single" w:color="000000" w:sz="4" w:space="0"/>
            </w:tcBorders>
            <w:vAlign w:val="top"/>
          </w:tcPr>
          <w:p w14:paraId="304FB0FA">
            <w:pPr>
              <w:rPr>
                <w:rFonts w:ascii="Arial"/>
                <w:color w:val="auto"/>
                <w:sz w:val="21"/>
                <w:highlight w:val="none"/>
              </w:rPr>
            </w:pPr>
          </w:p>
        </w:tc>
        <w:tc>
          <w:tcPr>
            <w:tcW w:w="844" w:type="dxa"/>
            <w:tcBorders>
              <w:left w:val="single" w:color="000000" w:sz="4" w:space="0"/>
              <w:right w:val="single" w:color="000000" w:sz="4" w:space="0"/>
            </w:tcBorders>
            <w:vAlign w:val="top"/>
          </w:tcPr>
          <w:p w14:paraId="043358CF">
            <w:pPr>
              <w:rPr>
                <w:rFonts w:ascii="Arial"/>
                <w:color w:val="auto"/>
                <w:sz w:val="21"/>
                <w:highlight w:val="none"/>
              </w:rPr>
            </w:pPr>
          </w:p>
        </w:tc>
        <w:tc>
          <w:tcPr>
            <w:tcW w:w="1005" w:type="dxa"/>
            <w:gridSpan w:val="3"/>
            <w:tcBorders>
              <w:left w:val="single" w:color="000000" w:sz="4" w:space="0"/>
            </w:tcBorders>
            <w:vAlign w:val="top"/>
          </w:tcPr>
          <w:p w14:paraId="60B50D4D">
            <w:pPr>
              <w:rPr>
                <w:rFonts w:ascii="Arial"/>
                <w:color w:val="auto"/>
                <w:sz w:val="21"/>
                <w:highlight w:val="none"/>
              </w:rPr>
            </w:pPr>
          </w:p>
        </w:tc>
        <w:tc>
          <w:tcPr>
            <w:tcW w:w="1273" w:type="dxa"/>
            <w:gridSpan w:val="3"/>
            <w:tcBorders>
              <w:right w:val="single" w:color="000000" w:sz="4" w:space="0"/>
            </w:tcBorders>
            <w:vAlign w:val="top"/>
          </w:tcPr>
          <w:p w14:paraId="04F96AEB">
            <w:pPr>
              <w:rPr>
                <w:rFonts w:ascii="Arial"/>
                <w:color w:val="auto"/>
                <w:sz w:val="21"/>
                <w:highlight w:val="none"/>
              </w:rPr>
            </w:pPr>
          </w:p>
        </w:tc>
        <w:tc>
          <w:tcPr>
            <w:tcW w:w="1105" w:type="dxa"/>
            <w:tcBorders>
              <w:left w:val="single" w:color="000000" w:sz="4" w:space="0"/>
              <w:right w:val="single" w:color="000000" w:sz="4" w:space="0"/>
            </w:tcBorders>
            <w:vAlign w:val="top"/>
          </w:tcPr>
          <w:p w14:paraId="1506553F">
            <w:pPr>
              <w:rPr>
                <w:rFonts w:ascii="Arial"/>
                <w:color w:val="auto"/>
                <w:sz w:val="21"/>
                <w:highlight w:val="none"/>
              </w:rPr>
            </w:pPr>
          </w:p>
        </w:tc>
      </w:tr>
      <w:tr w14:paraId="7FC6F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1" w:hRule="atLeast"/>
        </w:trPr>
        <w:tc>
          <w:tcPr>
            <w:tcW w:w="701" w:type="dxa"/>
            <w:vMerge w:val="continue"/>
            <w:tcBorders>
              <w:top w:val="nil"/>
              <w:left w:val="single" w:color="000000" w:sz="4" w:space="0"/>
              <w:bottom w:val="nil"/>
            </w:tcBorders>
            <w:textDirection w:val="tbRlV"/>
            <w:vAlign w:val="top"/>
          </w:tcPr>
          <w:p w14:paraId="3FFA5E6B">
            <w:pPr>
              <w:rPr>
                <w:rFonts w:ascii="Arial"/>
                <w:color w:val="auto"/>
                <w:sz w:val="21"/>
                <w:highlight w:val="none"/>
              </w:rPr>
            </w:pPr>
          </w:p>
        </w:tc>
        <w:tc>
          <w:tcPr>
            <w:tcW w:w="2195" w:type="dxa"/>
            <w:gridSpan w:val="6"/>
            <w:tcBorders>
              <w:right w:val="single" w:color="000000" w:sz="4" w:space="0"/>
            </w:tcBorders>
            <w:vAlign w:val="top"/>
          </w:tcPr>
          <w:p w14:paraId="218B18AA">
            <w:pPr>
              <w:rPr>
                <w:rFonts w:ascii="Arial"/>
                <w:color w:val="auto"/>
                <w:sz w:val="21"/>
                <w:highlight w:val="none"/>
              </w:rPr>
            </w:pPr>
          </w:p>
        </w:tc>
        <w:tc>
          <w:tcPr>
            <w:tcW w:w="664" w:type="dxa"/>
            <w:gridSpan w:val="2"/>
            <w:tcBorders>
              <w:left w:val="single" w:color="000000" w:sz="4" w:space="0"/>
            </w:tcBorders>
            <w:vAlign w:val="top"/>
          </w:tcPr>
          <w:p w14:paraId="308AD2C8">
            <w:pPr>
              <w:rPr>
                <w:rFonts w:ascii="Arial"/>
                <w:color w:val="auto"/>
                <w:sz w:val="21"/>
                <w:highlight w:val="none"/>
              </w:rPr>
            </w:pPr>
          </w:p>
        </w:tc>
        <w:tc>
          <w:tcPr>
            <w:tcW w:w="1158" w:type="dxa"/>
            <w:gridSpan w:val="2"/>
            <w:tcBorders>
              <w:right w:val="single" w:color="000000" w:sz="4" w:space="0"/>
            </w:tcBorders>
            <w:vAlign w:val="top"/>
          </w:tcPr>
          <w:p w14:paraId="698FFC3B">
            <w:pPr>
              <w:rPr>
                <w:rFonts w:ascii="Arial"/>
                <w:color w:val="auto"/>
                <w:sz w:val="21"/>
                <w:highlight w:val="none"/>
              </w:rPr>
            </w:pPr>
          </w:p>
        </w:tc>
        <w:tc>
          <w:tcPr>
            <w:tcW w:w="844" w:type="dxa"/>
            <w:tcBorders>
              <w:left w:val="single" w:color="000000" w:sz="4" w:space="0"/>
              <w:right w:val="single" w:color="000000" w:sz="4" w:space="0"/>
            </w:tcBorders>
            <w:vAlign w:val="top"/>
          </w:tcPr>
          <w:p w14:paraId="5EAE856C">
            <w:pPr>
              <w:rPr>
                <w:rFonts w:ascii="Arial"/>
                <w:color w:val="auto"/>
                <w:sz w:val="21"/>
                <w:highlight w:val="none"/>
              </w:rPr>
            </w:pPr>
          </w:p>
        </w:tc>
        <w:tc>
          <w:tcPr>
            <w:tcW w:w="1005" w:type="dxa"/>
            <w:gridSpan w:val="3"/>
            <w:tcBorders>
              <w:left w:val="single" w:color="000000" w:sz="4" w:space="0"/>
            </w:tcBorders>
            <w:vAlign w:val="top"/>
          </w:tcPr>
          <w:p w14:paraId="4F78D609">
            <w:pPr>
              <w:rPr>
                <w:rFonts w:ascii="Arial"/>
                <w:color w:val="auto"/>
                <w:sz w:val="21"/>
                <w:highlight w:val="none"/>
              </w:rPr>
            </w:pPr>
          </w:p>
        </w:tc>
        <w:tc>
          <w:tcPr>
            <w:tcW w:w="1273" w:type="dxa"/>
            <w:gridSpan w:val="3"/>
            <w:tcBorders>
              <w:right w:val="single" w:color="000000" w:sz="4" w:space="0"/>
            </w:tcBorders>
            <w:vAlign w:val="top"/>
          </w:tcPr>
          <w:p w14:paraId="4B95D6C9">
            <w:pPr>
              <w:rPr>
                <w:rFonts w:ascii="Arial"/>
                <w:color w:val="auto"/>
                <w:sz w:val="21"/>
                <w:highlight w:val="none"/>
              </w:rPr>
            </w:pPr>
          </w:p>
        </w:tc>
        <w:tc>
          <w:tcPr>
            <w:tcW w:w="1105" w:type="dxa"/>
            <w:tcBorders>
              <w:left w:val="single" w:color="000000" w:sz="4" w:space="0"/>
              <w:right w:val="single" w:color="000000" w:sz="4" w:space="0"/>
            </w:tcBorders>
            <w:vAlign w:val="top"/>
          </w:tcPr>
          <w:p w14:paraId="366FC4F2">
            <w:pPr>
              <w:rPr>
                <w:rFonts w:ascii="Arial"/>
                <w:color w:val="auto"/>
                <w:sz w:val="21"/>
                <w:highlight w:val="none"/>
              </w:rPr>
            </w:pPr>
          </w:p>
        </w:tc>
      </w:tr>
      <w:tr w14:paraId="37C27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continue"/>
            <w:tcBorders>
              <w:top w:val="nil"/>
              <w:left w:val="single" w:color="000000" w:sz="4" w:space="0"/>
              <w:bottom w:val="nil"/>
            </w:tcBorders>
            <w:textDirection w:val="tbRlV"/>
            <w:vAlign w:val="top"/>
          </w:tcPr>
          <w:p w14:paraId="1076FC9F">
            <w:pPr>
              <w:rPr>
                <w:rFonts w:ascii="Arial"/>
                <w:color w:val="auto"/>
                <w:sz w:val="21"/>
                <w:highlight w:val="none"/>
              </w:rPr>
            </w:pPr>
          </w:p>
        </w:tc>
        <w:tc>
          <w:tcPr>
            <w:tcW w:w="4017" w:type="dxa"/>
            <w:gridSpan w:val="10"/>
            <w:tcBorders>
              <w:right w:val="single" w:color="000000" w:sz="4" w:space="0"/>
            </w:tcBorders>
            <w:vAlign w:val="top"/>
          </w:tcPr>
          <w:p w14:paraId="33E8C556">
            <w:pPr>
              <w:pStyle w:val="11"/>
              <w:spacing w:before="182" w:line="220" w:lineRule="auto"/>
              <w:ind w:left="1490"/>
              <w:rPr>
                <w:color w:val="auto"/>
                <w:highlight w:val="none"/>
              </w:rPr>
            </w:pPr>
            <w:r>
              <w:rPr>
                <w:color w:val="auto"/>
                <w:spacing w:val="-1"/>
                <w:highlight w:val="none"/>
              </w:rPr>
              <w:t>其他材料费</w:t>
            </w:r>
          </w:p>
        </w:tc>
        <w:tc>
          <w:tcPr>
            <w:tcW w:w="844" w:type="dxa"/>
            <w:tcBorders>
              <w:left w:val="single" w:color="000000" w:sz="4" w:space="0"/>
              <w:right w:val="single" w:color="000000" w:sz="4" w:space="0"/>
            </w:tcBorders>
            <w:vAlign w:val="top"/>
          </w:tcPr>
          <w:p w14:paraId="789A555E">
            <w:pPr>
              <w:pStyle w:val="11"/>
              <w:spacing w:before="282" w:line="142" w:lineRule="exact"/>
              <w:ind w:left="315"/>
              <w:rPr>
                <w:color w:val="auto"/>
                <w:highlight w:val="none"/>
              </w:rPr>
            </w:pPr>
            <w:r>
              <w:rPr>
                <w:color w:val="auto"/>
                <w:position w:val="-3"/>
                <w:highlight w:val="none"/>
              </w:rPr>
              <w:t>—</w:t>
            </w:r>
          </w:p>
        </w:tc>
        <w:tc>
          <w:tcPr>
            <w:tcW w:w="1005" w:type="dxa"/>
            <w:gridSpan w:val="3"/>
            <w:tcBorders>
              <w:left w:val="single" w:color="000000" w:sz="4" w:space="0"/>
            </w:tcBorders>
            <w:vAlign w:val="top"/>
          </w:tcPr>
          <w:p w14:paraId="1F4434DF">
            <w:pPr>
              <w:rPr>
                <w:rFonts w:ascii="Arial"/>
                <w:color w:val="auto"/>
                <w:sz w:val="21"/>
                <w:highlight w:val="none"/>
              </w:rPr>
            </w:pPr>
          </w:p>
        </w:tc>
        <w:tc>
          <w:tcPr>
            <w:tcW w:w="1273" w:type="dxa"/>
            <w:gridSpan w:val="3"/>
            <w:tcBorders>
              <w:right w:val="single" w:color="000000" w:sz="4" w:space="0"/>
            </w:tcBorders>
            <w:vAlign w:val="top"/>
          </w:tcPr>
          <w:p w14:paraId="112C8593">
            <w:pPr>
              <w:pStyle w:val="11"/>
              <w:spacing w:before="282" w:line="142" w:lineRule="exact"/>
              <w:ind w:left="538"/>
              <w:rPr>
                <w:color w:val="auto"/>
                <w:highlight w:val="none"/>
              </w:rPr>
            </w:pPr>
            <w:r>
              <w:rPr>
                <w:color w:val="auto"/>
                <w:position w:val="-3"/>
                <w:highlight w:val="none"/>
              </w:rPr>
              <w:t>—</w:t>
            </w:r>
          </w:p>
        </w:tc>
        <w:tc>
          <w:tcPr>
            <w:tcW w:w="1105" w:type="dxa"/>
            <w:tcBorders>
              <w:left w:val="single" w:color="000000" w:sz="4" w:space="0"/>
              <w:right w:val="single" w:color="000000" w:sz="4" w:space="0"/>
            </w:tcBorders>
            <w:vAlign w:val="top"/>
          </w:tcPr>
          <w:p w14:paraId="31ED1A5C">
            <w:pPr>
              <w:rPr>
                <w:rFonts w:ascii="Arial"/>
                <w:color w:val="auto"/>
                <w:sz w:val="21"/>
                <w:highlight w:val="none"/>
              </w:rPr>
            </w:pPr>
          </w:p>
        </w:tc>
      </w:tr>
      <w:tr w14:paraId="10AF9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01" w:type="dxa"/>
            <w:vMerge w:val="continue"/>
            <w:tcBorders>
              <w:top w:val="nil"/>
              <w:left w:val="single" w:color="000000" w:sz="4" w:space="0"/>
              <w:bottom w:val="single" w:color="000000" w:sz="4" w:space="0"/>
            </w:tcBorders>
            <w:textDirection w:val="tbRlV"/>
            <w:vAlign w:val="top"/>
          </w:tcPr>
          <w:p w14:paraId="3FC99FB4">
            <w:pPr>
              <w:rPr>
                <w:rFonts w:ascii="Arial"/>
                <w:color w:val="auto"/>
                <w:sz w:val="21"/>
                <w:highlight w:val="none"/>
              </w:rPr>
            </w:pPr>
          </w:p>
        </w:tc>
        <w:tc>
          <w:tcPr>
            <w:tcW w:w="4017" w:type="dxa"/>
            <w:gridSpan w:val="10"/>
            <w:tcBorders>
              <w:bottom w:val="single" w:color="000000" w:sz="4" w:space="0"/>
              <w:right w:val="single" w:color="000000" w:sz="4" w:space="0"/>
            </w:tcBorders>
            <w:vAlign w:val="top"/>
          </w:tcPr>
          <w:p w14:paraId="412605FF">
            <w:pPr>
              <w:pStyle w:val="11"/>
              <w:spacing w:before="182" w:line="220" w:lineRule="auto"/>
              <w:ind w:left="1489"/>
              <w:rPr>
                <w:color w:val="auto"/>
                <w:highlight w:val="none"/>
              </w:rPr>
            </w:pPr>
            <w:r>
              <w:rPr>
                <w:color w:val="auto"/>
                <w:spacing w:val="-1"/>
                <w:highlight w:val="none"/>
              </w:rPr>
              <w:t>材料费小计</w:t>
            </w:r>
          </w:p>
        </w:tc>
        <w:tc>
          <w:tcPr>
            <w:tcW w:w="844" w:type="dxa"/>
            <w:tcBorders>
              <w:left w:val="single" w:color="000000" w:sz="4" w:space="0"/>
              <w:bottom w:val="single" w:color="000000" w:sz="4" w:space="0"/>
              <w:right w:val="single" w:color="000000" w:sz="4" w:space="0"/>
            </w:tcBorders>
            <w:vAlign w:val="top"/>
          </w:tcPr>
          <w:p w14:paraId="180CF62F">
            <w:pPr>
              <w:pStyle w:val="11"/>
              <w:spacing w:before="282" w:line="142" w:lineRule="exact"/>
              <w:ind w:left="315"/>
              <w:rPr>
                <w:color w:val="auto"/>
                <w:highlight w:val="none"/>
              </w:rPr>
            </w:pPr>
            <w:r>
              <w:rPr>
                <w:color w:val="auto"/>
                <w:position w:val="-3"/>
                <w:highlight w:val="none"/>
              </w:rPr>
              <w:t>—</w:t>
            </w:r>
          </w:p>
        </w:tc>
        <w:tc>
          <w:tcPr>
            <w:tcW w:w="1005" w:type="dxa"/>
            <w:gridSpan w:val="3"/>
            <w:tcBorders>
              <w:left w:val="single" w:color="000000" w:sz="4" w:space="0"/>
              <w:bottom w:val="single" w:color="000000" w:sz="4" w:space="0"/>
            </w:tcBorders>
            <w:vAlign w:val="top"/>
          </w:tcPr>
          <w:p w14:paraId="0950BA98">
            <w:pPr>
              <w:rPr>
                <w:rFonts w:ascii="Arial"/>
                <w:color w:val="auto"/>
                <w:sz w:val="21"/>
                <w:highlight w:val="none"/>
              </w:rPr>
            </w:pPr>
          </w:p>
        </w:tc>
        <w:tc>
          <w:tcPr>
            <w:tcW w:w="1273" w:type="dxa"/>
            <w:gridSpan w:val="3"/>
            <w:tcBorders>
              <w:bottom w:val="single" w:color="000000" w:sz="4" w:space="0"/>
              <w:right w:val="single" w:color="000000" w:sz="4" w:space="0"/>
            </w:tcBorders>
            <w:vAlign w:val="top"/>
          </w:tcPr>
          <w:p w14:paraId="03EED3AD">
            <w:pPr>
              <w:tabs>
                <w:tab w:val="left" w:pos="743"/>
              </w:tabs>
              <w:spacing w:before="90" w:line="241" w:lineRule="exact"/>
              <w:ind w:left="538"/>
              <w:rPr>
                <w:rFonts w:ascii="Arial"/>
                <w:color w:val="auto"/>
                <w:sz w:val="21"/>
                <w:highlight w:val="none"/>
              </w:rPr>
            </w:pPr>
            <w:r>
              <w:rPr>
                <w:rFonts w:ascii="Arial" w:hAnsi="Arial" w:eastAsia="Arial" w:cs="Arial"/>
                <w:color w:val="auto"/>
                <w:sz w:val="21"/>
                <w:szCs w:val="21"/>
                <w:highlight w:val="none"/>
                <w:u w:val="single" w:color="auto"/>
              </w:rPr>
              <w:tab/>
            </w:r>
          </w:p>
        </w:tc>
        <w:tc>
          <w:tcPr>
            <w:tcW w:w="1105" w:type="dxa"/>
            <w:tcBorders>
              <w:left w:val="single" w:color="000000" w:sz="4" w:space="0"/>
              <w:bottom w:val="single" w:color="000000" w:sz="4" w:space="0"/>
              <w:right w:val="single" w:color="000000" w:sz="4" w:space="0"/>
            </w:tcBorders>
            <w:vAlign w:val="top"/>
          </w:tcPr>
          <w:p w14:paraId="118E7541">
            <w:pPr>
              <w:rPr>
                <w:rFonts w:ascii="Arial"/>
                <w:color w:val="auto"/>
                <w:sz w:val="21"/>
                <w:highlight w:val="none"/>
              </w:rPr>
            </w:pPr>
          </w:p>
        </w:tc>
      </w:tr>
    </w:tbl>
    <w:p w14:paraId="498541E8">
      <w:pPr>
        <w:spacing w:before="25" w:line="219" w:lineRule="auto"/>
        <w:ind w:left="329"/>
        <w:rPr>
          <w:rFonts w:ascii="宋体" w:hAnsi="宋体" w:eastAsia="宋体" w:cs="宋体"/>
          <w:color w:val="auto"/>
          <w:sz w:val="21"/>
          <w:szCs w:val="21"/>
          <w:highlight w:val="none"/>
        </w:rPr>
      </w:pPr>
      <w:r>
        <w:rPr>
          <w:rFonts w:ascii="宋体" w:hAnsi="宋体" w:eastAsia="宋体" w:cs="宋体"/>
          <w:color w:val="auto"/>
          <w:sz w:val="21"/>
          <w:szCs w:val="21"/>
          <w:highlight w:val="none"/>
        </w:rPr>
        <w:t>注</w:t>
      </w:r>
      <w:r>
        <w:rPr>
          <w:rFonts w:ascii="黑体" w:hAnsi="黑体" w:eastAsia="黑体" w:cs="黑体"/>
          <w:color w:val="auto"/>
          <w:sz w:val="21"/>
          <w:szCs w:val="21"/>
          <w:highlight w:val="none"/>
        </w:rPr>
        <w:t>：1.</w:t>
      </w:r>
      <w:r>
        <w:rPr>
          <w:rFonts w:ascii="宋体" w:hAnsi="宋体" w:eastAsia="宋体" w:cs="宋体"/>
          <w:color w:val="auto"/>
          <w:sz w:val="21"/>
          <w:szCs w:val="21"/>
          <w:highlight w:val="none"/>
        </w:rPr>
        <w:t>招标文件提供了暂估单价的材料， 按暂估的单价填入表内“暂估单价”栏及“暂估</w:t>
      </w:r>
    </w:p>
    <w:p w14:paraId="00038B58">
      <w:pPr>
        <w:spacing w:before="25" w:line="219" w:lineRule="auto"/>
        <w:ind w:left="330"/>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合价”栏。</w:t>
      </w:r>
    </w:p>
    <w:p w14:paraId="5E908E12">
      <w:pPr>
        <w:spacing w:line="219" w:lineRule="auto"/>
        <w:rPr>
          <w:rFonts w:ascii="宋体" w:hAnsi="宋体" w:eastAsia="宋体" w:cs="宋体"/>
          <w:color w:val="auto"/>
          <w:sz w:val="21"/>
          <w:szCs w:val="21"/>
          <w:highlight w:val="none"/>
        </w:rPr>
        <w:sectPr>
          <w:footerReference r:id="rId189" w:type="default"/>
          <w:pgSz w:w="11905" w:h="16839"/>
          <w:pgMar w:top="400" w:right="1474" w:bottom="1004" w:left="1474" w:header="0" w:footer="828" w:gutter="0"/>
          <w:pgNumType w:fmt="decimal"/>
          <w:cols w:space="720" w:num="1"/>
        </w:sectPr>
      </w:pPr>
    </w:p>
    <w:p w14:paraId="29670188">
      <w:pPr>
        <w:pStyle w:val="3"/>
        <w:spacing w:line="267" w:lineRule="auto"/>
        <w:rPr>
          <w:color w:val="auto"/>
          <w:highlight w:val="none"/>
        </w:rPr>
      </w:pPr>
    </w:p>
    <w:p w14:paraId="6A312629">
      <w:pPr>
        <w:pStyle w:val="3"/>
        <w:spacing w:line="267" w:lineRule="auto"/>
        <w:rPr>
          <w:color w:val="auto"/>
          <w:highlight w:val="none"/>
        </w:rPr>
      </w:pPr>
    </w:p>
    <w:p w14:paraId="2F953D8D">
      <w:pPr>
        <w:pStyle w:val="3"/>
        <w:spacing w:line="268" w:lineRule="auto"/>
        <w:rPr>
          <w:color w:val="auto"/>
          <w:highlight w:val="none"/>
        </w:rPr>
      </w:pPr>
    </w:p>
    <w:p w14:paraId="284547C7">
      <w:pPr>
        <w:pStyle w:val="3"/>
        <w:spacing w:line="268" w:lineRule="auto"/>
        <w:rPr>
          <w:color w:val="auto"/>
          <w:highlight w:val="none"/>
        </w:rPr>
      </w:pPr>
    </w:p>
    <w:p w14:paraId="689893CF">
      <w:pPr>
        <w:spacing w:before="78" w:line="219" w:lineRule="auto"/>
        <w:ind w:left="258"/>
        <w:rPr>
          <w:rFonts w:ascii="黑体" w:hAnsi="黑体" w:eastAsia="黑体" w:cs="黑体"/>
          <w:color w:val="auto"/>
          <w:sz w:val="24"/>
          <w:szCs w:val="24"/>
          <w:highlight w:val="none"/>
        </w:rPr>
      </w:pPr>
      <w:r>
        <w:rPr>
          <w:rFonts w:ascii="Times New Roman" w:hAnsi="Times New Roman" w:eastAsia="Times New Roman" w:cs="Times New Roman"/>
          <w:color w:val="auto"/>
          <w:spacing w:val="-2"/>
          <w:sz w:val="24"/>
          <w:szCs w:val="24"/>
          <w:highlight w:val="none"/>
        </w:rPr>
        <w:t xml:space="preserve">4.11 </w:t>
      </w:r>
      <w:r>
        <w:rPr>
          <w:rFonts w:ascii="黑体" w:hAnsi="黑体" w:eastAsia="黑体" w:cs="黑体"/>
          <w:color w:val="auto"/>
          <w:spacing w:val="-2"/>
          <w:sz w:val="24"/>
          <w:szCs w:val="24"/>
          <w:highlight w:val="none"/>
        </w:rPr>
        <w:t>总价措施项目清单与计价表</w:t>
      </w:r>
    </w:p>
    <w:p w14:paraId="04C0110D">
      <w:pPr>
        <w:spacing w:before="161" w:line="225" w:lineRule="auto"/>
        <w:ind w:left="2748"/>
        <w:rPr>
          <w:rFonts w:ascii="黑体" w:hAnsi="黑体" w:eastAsia="黑体" w:cs="黑体"/>
          <w:color w:val="auto"/>
          <w:sz w:val="27"/>
          <w:szCs w:val="27"/>
          <w:highlight w:val="none"/>
        </w:rPr>
      </w:pPr>
      <w:bookmarkStart w:id="1306" w:name="bookmark252"/>
      <w:bookmarkEnd w:id="1306"/>
      <w:r>
        <w:rPr>
          <w:rFonts w:ascii="黑体" w:hAnsi="黑体" w:eastAsia="黑体" w:cs="黑体"/>
          <w:color w:val="auto"/>
          <w:spacing w:val="8"/>
          <w:sz w:val="27"/>
          <w:szCs w:val="27"/>
          <w:highlight w:val="none"/>
        </w:rPr>
        <w:t>总价措施项目清单与计价表</w:t>
      </w:r>
    </w:p>
    <w:p w14:paraId="4709B294">
      <w:pPr>
        <w:spacing w:before="143" w:line="214" w:lineRule="auto"/>
        <w:ind w:left="265"/>
        <w:rPr>
          <w:rFonts w:ascii="宋体" w:hAnsi="宋体" w:eastAsia="宋体" w:cs="宋体"/>
          <w:color w:val="auto"/>
          <w:sz w:val="21"/>
          <w:szCs w:val="21"/>
          <w:highlight w:val="none"/>
        </w:rPr>
      </w:pPr>
      <w:r>
        <w:rPr>
          <w:rFonts w:ascii="宋体" w:hAnsi="宋体" w:eastAsia="宋体" w:cs="宋体"/>
          <w:color w:val="auto"/>
          <w:spacing w:val="-17"/>
          <w:sz w:val="21"/>
          <w:szCs w:val="21"/>
          <w:highlight w:val="none"/>
        </w:rPr>
        <w:t>工程名称：</w:t>
      </w:r>
      <w:r>
        <w:rPr>
          <w:rFonts w:ascii="宋体" w:hAnsi="宋体" w:eastAsia="宋体" w:cs="宋体"/>
          <w:color w:val="auto"/>
          <w:spacing w:val="1"/>
          <w:sz w:val="21"/>
          <w:szCs w:val="21"/>
          <w:highlight w:val="none"/>
        </w:rPr>
        <w:t xml:space="preserve">             </w:t>
      </w:r>
      <w:r>
        <w:rPr>
          <w:rFonts w:ascii="宋体" w:hAnsi="宋体" w:eastAsia="宋体" w:cs="宋体"/>
          <w:color w:val="auto"/>
          <w:spacing w:val="-17"/>
          <w:sz w:val="21"/>
          <w:szCs w:val="21"/>
          <w:highlight w:val="none"/>
        </w:rPr>
        <w:t>标段名称：</w:t>
      </w:r>
      <w:r>
        <w:rPr>
          <w:rFonts w:ascii="宋体" w:hAnsi="宋体" w:eastAsia="宋体" w:cs="宋体"/>
          <w:color w:val="auto"/>
          <w:spacing w:val="2"/>
          <w:sz w:val="21"/>
          <w:szCs w:val="21"/>
          <w:highlight w:val="none"/>
        </w:rPr>
        <w:t xml:space="preserve">                               </w:t>
      </w:r>
      <w:r>
        <w:rPr>
          <w:rFonts w:ascii="宋体" w:hAnsi="宋体" w:eastAsia="宋体" w:cs="宋体"/>
          <w:color w:val="auto"/>
          <w:spacing w:val="-17"/>
          <w:sz w:val="21"/>
          <w:szCs w:val="21"/>
          <w:highlight w:val="none"/>
        </w:rPr>
        <w:t>第 页</w:t>
      </w:r>
      <w:r>
        <w:rPr>
          <w:rFonts w:ascii="宋体" w:hAnsi="宋体" w:eastAsia="宋体" w:cs="宋体"/>
          <w:color w:val="auto"/>
          <w:spacing w:val="-36"/>
          <w:sz w:val="21"/>
          <w:szCs w:val="21"/>
          <w:highlight w:val="none"/>
        </w:rPr>
        <w:t xml:space="preserve"> </w:t>
      </w:r>
      <w:r>
        <w:rPr>
          <w:rFonts w:ascii="宋体" w:hAnsi="宋体" w:eastAsia="宋体" w:cs="宋体"/>
          <w:color w:val="auto"/>
          <w:spacing w:val="-17"/>
          <w:sz w:val="21"/>
          <w:szCs w:val="21"/>
          <w:highlight w:val="none"/>
        </w:rPr>
        <w:t>共</w:t>
      </w:r>
      <w:r>
        <w:rPr>
          <w:rFonts w:ascii="宋体" w:hAnsi="宋体" w:eastAsia="宋体" w:cs="宋体"/>
          <w:color w:val="auto"/>
          <w:spacing w:val="15"/>
          <w:sz w:val="21"/>
          <w:szCs w:val="21"/>
          <w:highlight w:val="none"/>
        </w:rPr>
        <w:t xml:space="preserve"> </w:t>
      </w:r>
      <w:r>
        <w:rPr>
          <w:rFonts w:ascii="宋体" w:hAnsi="宋体" w:eastAsia="宋体" w:cs="宋体"/>
          <w:color w:val="auto"/>
          <w:spacing w:val="-17"/>
          <w:sz w:val="21"/>
          <w:szCs w:val="21"/>
          <w:highlight w:val="none"/>
        </w:rPr>
        <w:t>页</w:t>
      </w:r>
    </w:p>
    <w:tbl>
      <w:tblPr>
        <w:tblStyle w:val="10"/>
        <w:tblW w:w="8820"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1"/>
        <w:gridCol w:w="1127"/>
        <w:gridCol w:w="1386"/>
        <w:gridCol w:w="1271"/>
        <w:gridCol w:w="854"/>
        <w:gridCol w:w="1271"/>
        <w:gridCol w:w="853"/>
        <w:gridCol w:w="950"/>
        <w:gridCol w:w="527"/>
      </w:tblGrid>
      <w:tr w14:paraId="54741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81" w:type="dxa"/>
            <w:tcBorders>
              <w:top w:val="single" w:color="000000" w:sz="4" w:space="0"/>
              <w:left w:val="single" w:color="000000" w:sz="4" w:space="0"/>
            </w:tcBorders>
            <w:textDirection w:val="tbRlV"/>
            <w:vAlign w:val="top"/>
          </w:tcPr>
          <w:p w14:paraId="026CF7A1">
            <w:pPr>
              <w:pStyle w:val="11"/>
              <w:spacing w:before="185" w:line="211" w:lineRule="auto"/>
              <w:ind w:left="173"/>
              <w:rPr>
                <w:color w:val="auto"/>
                <w:highlight w:val="none"/>
              </w:rPr>
            </w:pPr>
            <w:r>
              <w:rPr>
                <w:color w:val="auto"/>
                <w:spacing w:val="1"/>
                <w:highlight w:val="none"/>
              </w:rPr>
              <w:t>序</w:t>
            </w:r>
            <w:r>
              <w:rPr>
                <w:color w:val="auto"/>
                <w:spacing w:val="-43"/>
                <w:highlight w:val="none"/>
              </w:rPr>
              <w:t xml:space="preserve"> </w:t>
            </w:r>
            <w:r>
              <w:rPr>
                <w:color w:val="auto"/>
                <w:spacing w:val="1"/>
                <w:highlight w:val="none"/>
              </w:rPr>
              <w:t>号</w:t>
            </w:r>
          </w:p>
        </w:tc>
        <w:tc>
          <w:tcPr>
            <w:tcW w:w="1127" w:type="dxa"/>
            <w:tcBorders>
              <w:top w:val="single" w:color="000000" w:sz="4" w:space="0"/>
            </w:tcBorders>
            <w:vAlign w:val="top"/>
          </w:tcPr>
          <w:p w14:paraId="696B4568">
            <w:pPr>
              <w:spacing w:line="242" w:lineRule="auto"/>
              <w:rPr>
                <w:rFonts w:ascii="Arial"/>
                <w:color w:val="auto"/>
                <w:sz w:val="21"/>
                <w:highlight w:val="none"/>
              </w:rPr>
            </w:pPr>
          </w:p>
          <w:p w14:paraId="37EFC88D">
            <w:pPr>
              <w:pStyle w:val="11"/>
              <w:spacing w:before="68" w:line="221" w:lineRule="auto"/>
              <w:ind w:left="143"/>
              <w:rPr>
                <w:color w:val="auto"/>
                <w:highlight w:val="none"/>
              </w:rPr>
            </w:pPr>
            <w:r>
              <w:rPr>
                <w:color w:val="auto"/>
                <w:spacing w:val="-2"/>
                <w:highlight w:val="none"/>
              </w:rPr>
              <w:t>项目编码</w:t>
            </w:r>
          </w:p>
        </w:tc>
        <w:tc>
          <w:tcPr>
            <w:tcW w:w="1386" w:type="dxa"/>
            <w:tcBorders>
              <w:top w:val="single" w:color="000000" w:sz="4" w:space="0"/>
            </w:tcBorders>
            <w:vAlign w:val="top"/>
          </w:tcPr>
          <w:p w14:paraId="7EA4D523">
            <w:pPr>
              <w:spacing w:line="243" w:lineRule="auto"/>
              <w:rPr>
                <w:rFonts w:ascii="Arial"/>
                <w:color w:val="auto"/>
                <w:sz w:val="21"/>
                <w:highlight w:val="none"/>
              </w:rPr>
            </w:pPr>
          </w:p>
          <w:p w14:paraId="2D87CB91">
            <w:pPr>
              <w:pStyle w:val="11"/>
              <w:spacing w:before="68" w:line="221" w:lineRule="auto"/>
              <w:ind w:left="274"/>
              <w:rPr>
                <w:color w:val="auto"/>
                <w:highlight w:val="none"/>
              </w:rPr>
            </w:pPr>
            <w:r>
              <w:rPr>
                <w:color w:val="auto"/>
                <w:spacing w:val="-2"/>
                <w:highlight w:val="none"/>
              </w:rPr>
              <w:t>项目名称</w:t>
            </w:r>
          </w:p>
        </w:tc>
        <w:tc>
          <w:tcPr>
            <w:tcW w:w="1271" w:type="dxa"/>
            <w:tcBorders>
              <w:top w:val="single" w:color="000000" w:sz="4" w:space="0"/>
            </w:tcBorders>
            <w:vAlign w:val="top"/>
          </w:tcPr>
          <w:p w14:paraId="179B60E2">
            <w:pPr>
              <w:spacing w:line="242" w:lineRule="auto"/>
              <w:rPr>
                <w:rFonts w:ascii="Arial"/>
                <w:color w:val="auto"/>
                <w:sz w:val="21"/>
                <w:highlight w:val="none"/>
              </w:rPr>
            </w:pPr>
          </w:p>
          <w:p w14:paraId="0F0DEEF1">
            <w:pPr>
              <w:pStyle w:val="11"/>
              <w:spacing w:before="68" w:line="221" w:lineRule="auto"/>
              <w:ind w:left="220"/>
              <w:rPr>
                <w:color w:val="auto"/>
                <w:highlight w:val="none"/>
              </w:rPr>
            </w:pPr>
            <w:r>
              <w:rPr>
                <w:color w:val="auto"/>
                <w:spacing w:val="-1"/>
                <w:highlight w:val="none"/>
              </w:rPr>
              <w:t>计算基础</w:t>
            </w:r>
          </w:p>
        </w:tc>
        <w:tc>
          <w:tcPr>
            <w:tcW w:w="854" w:type="dxa"/>
            <w:tcBorders>
              <w:top w:val="single" w:color="000000" w:sz="4" w:space="0"/>
            </w:tcBorders>
            <w:vAlign w:val="top"/>
          </w:tcPr>
          <w:p w14:paraId="3F354467">
            <w:pPr>
              <w:pStyle w:val="11"/>
              <w:spacing w:before="172" w:line="241" w:lineRule="auto"/>
              <w:ind w:left="233"/>
              <w:rPr>
                <w:color w:val="auto"/>
                <w:highlight w:val="none"/>
              </w:rPr>
            </w:pPr>
            <w:r>
              <w:rPr>
                <w:color w:val="auto"/>
                <w:spacing w:val="-5"/>
                <w:highlight w:val="none"/>
              </w:rPr>
              <w:t>费率</w:t>
            </w:r>
          </w:p>
          <w:p w14:paraId="58880706">
            <w:pPr>
              <w:pStyle w:val="11"/>
              <w:spacing w:line="223" w:lineRule="auto"/>
              <w:ind w:left="227"/>
              <w:rPr>
                <w:color w:val="auto"/>
                <w:highlight w:val="none"/>
              </w:rPr>
            </w:pPr>
            <w:r>
              <w:rPr>
                <w:color w:val="auto"/>
                <w:spacing w:val="14"/>
                <w:w w:val="111"/>
                <w:highlight w:val="none"/>
              </w:rPr>
              <w:t>(%)</w:t>
            </w:r>
          </w:p>
        </w:tc>
        <w:tc>
          <w:tcPr>
            <w:tcW w:w="1271" w:type="dxa"/>
            <w:tcBorders>
              <w:top w:val="single" w:color="000000" w:sz="4" w:space="0"/>
            </w:tcBorders>
            <w:vAlign w:val="top"/>
          </w:tcPr>
          <w:p w14:paraId="25133D86">
            <w:pPr>
              <w:spacing w:line="242" w:lineRule="auto"/>
              <w:rPr>
                <w:rFonts w:ascii="Arial"/>
                <w:color w:val="auto"/>
                <w:sz w:val="21"/>
                <w:highlight w:val="none"/>
              </w:rPr>
            </w:pPr>
          </w:p>
          <w:p w14:paraId="7A35D379">
            <w:pPr>
              <w:pStyle w:val="11"/>
              <w:spacing w:before="68" w:line="221" w:lineRule="auto"/>
              <w:ind w:left="118"/>
              <w:rPr>
                <w:color w:val="auto"/>
                <w:highlight w:val="none"/>
              </w:rPr>
            </w:pPr>
            <w:r>
              <w:rPr>
                <w:color w:val="auto"/>
                <w:spacing w:val="-2"/>
                <w:highlight w:val="none"/>
              </w:rPr>
              <w:t>金额（元）</w:t>
            </w:r>
          </w:p>
        </w:tc>
        <w:tc>
          <w:tcPr>
            <w:tcW w:w="853" w:type="dxa"/>
            <w:tcBorders>
              <w:top w:val="single" w:color="000000" w:sz="4" w:space="0"/>
            </w:tcBorders>
            <w:vAlign w:val="top"/>
          </w:tcPr>
          <w:p w14:paraId="1FB51896">
            <w:pPr>
              <w:pStyle w:val="11"/>
              <w:spacing w:before="37" w:line="231" w:lineRule="auto"/>
              <w:ind w:left="326" w:right="108" w:hanging="211"/>
              <w:rPr>
                <w:color w:val="auto"/>
                <w:highlight w:val="none"/>
              </w:rPr>
            </w:pPr>
            <w:r>
              <w:rPr>
                <w:color w:val="auto"/>
                <w:spacing w:val="-3"/>
                <w:highlight w:val="none"/>
              </w:rPr>
              <w:t>调整费</w:t>
            </w:r>
            <w:r>
              <w:rPr>
                <w:color w:val="auto"/>
                <w:spacing w:val="1"/>
                <w:highlight w:val="none"/>
              </w:rPr>
              <w:t xml:space="preserve"> </w:t>
            </w:r>
            <w:r>
              <w:rPr>
                <w:color w:val="auto"/>
                <w:highlight w:val="none"/>
              </w:rPr>
              <w:t>率</w:t>
            </w:r>
          </w:p>
          <w:p w14:paraId="57E4E7E9">
            <w:pPr>
              <w:pStyle w:val="11"/>
              <w:spacing w:before="23" w:line="213" w:lineRule="auto"/>
              <w:ind w:left="172"/>
              <w:rPr>
                <w:color w:val="auto"/>
                <w:highlight w:val="none"/>
              </w:rPr>
            </w:pPr>
            <w:r>
              <w:rPr>
                <w:color w:val="auto"/>
                <w:spacing w:val="-5"/>
                <w:highlight w:val="none"/>
              </w:rPr>
              <w:t>（%）</w:t>
            </w:r>
          </w:p>
        </w:tc>
        <w:tc>
          <w:tcPr>
            <w:tcW w:w="950" w:type="dxa"/>
            <w:tcBorders>
              <w:top w:val="single" w:color="000000" w:sz="4" w:space="0"/>
            </w:tcBorders>
            <w:vAlign w:val="top"/>
          </w:tcPr>
          <w:p w14:paraId="4549AE5D">
            <w:pPr>
              <w:pStyle w:val="11"/>
              <w:spacing w:before="37" w:line="232" w:lineRule="auto"/>
              <w:ind w:left="173" w:right="151" w:hanging="4"/>
              <w:rPr>
                <w:color w:val="auto"/>
                <w:highlight w:val="none"/>
              </w:rPr>
            </w:pPr>
            <w:r>
              <w:rPr>
                <w:color w:val="auto"/>
                <w:spacing w:val="-3"/>
                <w:highlight w:val="none"/>
              </w:rPr>
              <w:t>调整后</w:t>
            </w:r>
            <w:r>
              <w:rPr>
                <w:color w:val="auto"/>
                <w:spacing w:val="1"/>
                <w:highlight w:val="none"/>
              </w:rPr>
              <w:t xml:space="preserve"> </w:t>
            </w:r>
            <w:r>
              <w:rPr>
                <w:color w:val="auto"/>
                <w:spacing w:val="38"/>
                <w:highlight w:val="none"/>
              </w:rPr>
              <w:t xml:space="preserve">金额 </w:t>
            </w:r>
            <w:r>
              <w:rPr>
                <w:color w:val="auto"/>
                <w:spacing w:val="-4"/>
                <w:highlight w:val="none"/>
              </w:rPr>
              <w:t>（元）</w:t>
            </w:r>
          </w:p>
        </w:tc>
        <w:tc>
          <w:tcPr>
            <w:tcW w:w="527" w:type="dxa"/>
            <w:tcBorders>
              <w:top w:val="single" w:color="000000" w:sz="4" w:space="0"/>
              <w:right w:val="single" w:color="000000" w:sz="4" w:space="0"/>
            </w:tcBorders>
            <w:textDirection w:val="tbRlV"/>
            <w:vAlign w:val="top"/>
          </w:tcPr>
          <w:p w14:paraId="08968B35">
            <w:pPr>
              <w:pStyle w:val="11"/>
              <w:spacing w:before="152" w:line="210" w:lineRule="auto"/>
              <w:ind w:left="173"/>
              <w:rPr>
                <w:color w:val="auto"/>
                <w:highlight w:val="none"/>
              </w:rPr>
            </w:pPr>
            <w:r>
              <w:rPr>
                <w:color w:val="auto"/>
                <w:spacing w:val="1"/>
                <w:highlight w:val="none"/>
              </w:rPr>
              <w:t>备</w:t>
            </w:r>
            <w:r>
              <w:rPr>
                <w:color w:val="auto"/>
                <w:spacing w:val="-43"/>
                <w:highlight w:val="none"/>
              </w:rPr>
              <w:t xml:space="preserve"> </w:t>
            </w:r>
            <w:r>
              <w:rPr>
                <w:color w:val="auto"/>
                <w:spacing w:val="1"/>
                <w:highlight w:val="none"/>
              </w:rPr>
              <w:t>注</w:t>
            </w:r>
          </w:p>
        </w:tc>
      </w:tr>
      <w:tr w14:paraId="492DBA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581" w:type="dxa"/>
            <w:tcBorders>
              <w:left w:val="single" w:color="000000" w:sz="4" w:space="0"/>
            </w:tcBorders>
            <w:vAlign w:val="top"/>
          </w:tcPr>
          <w:p w14:paraId="5EF4D7FD">
            <w:pPr>
              <w:rPr>
                <w:rFonts w:ascii="Arial"/>
                <w:color w:val="auto"/>
                <w:sz w:val="21"/>
                <w:highlight w:val="none"/>
              </w:rPr>
            </w:pPr>
          </w:p>
        </w:tc>
        <w:tc>
          <w:tcPr>
            <w:tcW w:w="1127" w:type="dxa"/>
            <w:vAlign w:val="top"/>
          </w:tcPr>
          <w:p w14:paraId="7C1E5A07">
            <w:pPr>
              <w:rPr>
                <w:rFonts w:ascii="Arial"/>
                <w:color w:val="auto"/>
                <w:sz w:val="21"/>
                <w:highlight w:val="none"/>
              </w:rPr>
            </w:pPr>
          </w:p>
        </w:tc>
        <w:tc>
          <w:tcPr>
            <w:tcW w:w="1386" w:type="dxa"/>
            <w:vAlign w:val="top"/>
          </w:tcPr>
          <w:p w14:paraId="117859A3">
            <w:pPr>
              <w:rPr>
                <w:rFonts w:ascii="Arial"/>
                <w:color w:val="auto"/>
                <w:sz w:val="21"/>
                <w:highlight w:val="none"/>
              </w:rPr>
            </w:pPr>
          </w:p>
        </w:tc>
        <w:tc>
          <w:tcPr>
            <w:tcW w:w="1271" w:type="dxa"/>
            <w:vAlign w:val="top"/>
          </w:tcPr>
          <w:p w14:paraId="5DF45AEF">
            <w:pPr>
              <w:rPr>
                <w:rFonts w:ascii="Arial"/>
                <w:color w:val="auto"/>
                <w:sz w:val="21"/>
                <w:highlight w:val="none"/>
              </w:rPr>
            </w:pPr>
          </w:p>
        </w:tc>
        <w:tc>
          <w:tcPr>
            <w:tcW w:w="854" w:type="dxa"/>
            <w:vAlign w:val="top"/>
          </w:tcPr>
          <w:p w14:paraId="1F5AB5CC">
            <w:pPr>
              <w:rPr>
                <w:rFonts w:ascii="Arial"/>
                <w:color w:val="auto"/>
                <w:sz w:val="21"/>
                <w:highlight w:val="none"/>
              </w:rPr>
            </w:pPr>
          </w:p>
        </w:tc>
        <w:tc>
          <w:tcPr>
            <w:tcW w:w="1271" w:type="dxa"/>
            <w:vAlign w:val="top"/>
          </w:tcPr>
          <w:p w14:paraId="2A724C11">
            <w:pPr>
              <w:rPr>
                <w:rFonts w:ascii="Arial"/>
                <w:color w:val="auto"/>
                <w:sz w:val="21"/>
                <w:highlight w:val="none"/>
              </w:rPr>
            </w:pPr>
          </w:p>
        </w:tc>
        <w:tc>
          <w:tcPr>
            <w:tcW w:w="853" w:type="dxa"/>
            <w:vAlign w:val="top"/>
          </w:tcPr>
          <w:p w14:paraId="12AF3332">
            <w:pPr>
              <w:rPr>
                <w:rFonts w:ascii="Arial"/>
                <w:color w:val="auto"/>
                <w:sz w:val="21"/>
                <w:highlight w:val="none"/>
              </w:rPr>
            </w:pPr>
          </w:p>
        </w:tc>
        <w:tc>
          <w:tcPr>
            <w:tcW w:w="950" w:type="dxa"/>
            <w:vAlign w:val="top"/>
          </w:tcPr>
          <w:p w14:paraId="3871961A">
            <w:pPr>
              <w:rPr>
                <w:rFonts w:ascii="Arial"/>
                <w:color w:val="auto"/>
                <w:sz w:val="21"/>
                <w:highlight w:val="none"/>
              </w:rPr>
            </w:pPr>
          </w:p>
        </w:tc>
        <w:tc>
          <w:tcPr>
            <w:tcW w:w="527" w:type="dxa"/>
            <w:tcBorders>
              <w:right w:val="single" w:color="000000" w:sz="4" w:space="0"/>
            </w:tcBorders>
            <w:vAlign w:val="top"/>
          </w:tcPr>
          <w:p w14:paraId="55269D86">
            <w:pPr>
              <w:rPr>
                <w:rFonts w:ascii="Arial"/>
                <w:color w:val="auto"/>
                <w:sz w:val="21"/>
                <w:highlight w:val="none"/>
              </w:rPr>
            </w:pPr>
          </w:p>
        </w:tc>
      </w:tr>
      <w:tr w14:paraId="5DDD8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81" w:type="dxa"/>
            <w:tcBorders>
              <w:left w:val="single" w:color="000000" w:sz="4" w:space="0"/>
              <w:bottom w:val="single" w:color="000000" w:sz="4" w:space="0"/>
            </w:tcBorders>
            <w:vAlign w:val="top"/>
          </w:tcPr>
          <w:p w14:paraId="55FB5F6B">
            <w:pPr>
              <w:rPr>
                <w:rFonts w:ascii="Arial"/>
                <w:color w:val="auto"/>
                <w:sz w:val="21"/>
                <w:highlight w:val="none"/>
              </w:rPr>
            </w:pPr>
          </w:p>
        </w:tc>
        <w:tc>
          <w:tcPr>
            <w:tcW w:w="1127" w:type="dxa"/>
            <w:vAlign w:val="top"/>
          </w:tcPr>
          <w:p w14:paraId="67E4D8AD">
            <w:pPr>
              <w:rPr>
                <w:rFonts w:ascii="Arial"/>
                <w:color w:val="auto"/>
                <w:sz w:val="21"/>
                <w:highlight w:val="none"/>
              </w:rPr>
            </w:pPr>
          </w:p>
        </w:tc>
        <w:tc>
          <w:tcPr>
            <w:tcW w:w="1386" w:type="dxa"/>
            <w:vAlign w:val="top"/>
          </w:tcPr>
          <w:p w14:paraId="3AE89146">
            <w:pPr>
              <w:rPr>
                <w:rFonts w:ascii="Arial"/>
                <w:color w:val="auto"/>
                <w:sz w:val="21"/>
                <w:highlight w:val="none"/>
              </w:rPr>
            </w:pPr>
          </w:p>
        </w:tc>
        <w:tc>
          <w:tcPr>
            <w:tcW w:w="1271" w:type="dxa"/>
            <w:vAlign w:val="top"/>
          </w:tcPr>
          <w:p w14:paraId="09645294">
            <w:pPr>
              <w:rPr>
                <w:rFonts w:ascii="Arial"/>
                <w:color w:val="auto"/>
                <w:sz w:val="21"/>
                <w:highlight w:val="none"/>
              </w:rPr>
            </w:pPr>
          </w:p>
        </w:tc>
        <w:tc>
          <w:tcPr>
            <w:tcW w:w="854" w:type="dxa"/>
            <w:vAlign w:val="top"/>
          </w:tcPr>
          <w:p w14:paraId="73CCF189">
            <w:pPr>
              <w:rPr>
                <w:rFonts w:ascii="Arial"/>
                <w:color w:val="auto"/>
                <w:sz w:val="21"/>
                <w:highlight w:val="none"/>
              </w:rPr>
            </w:pPr>
          </w:p>
        </w:tc>
        <w:tc>
          <w:tcPr>
            <w:tcW w:w="1271" w:type="dxa"/>
            <w:vAlign w:val="top"/>
          </w:tcPr>
          <w:p w14:paraId="5E353A2E">
            <w:pPr>
              <w:rPr>
                <w:rFonts w:ascii="Arial"/>
                <w:color w:val="auto"/>
                <w:sz w:val="21"/>
                <w:highlight w:val="none"/>
              </w:rPr>
            </w:pPr>
          </w:p>
        </w:tc>
        <w:tc>
          <w:tcPr>
            <w:tcW w:w="853" w:type="dxa"/>
            <w:vAlign w:val="top"/>
          </w:tcPr>
          <w:p w14:paraId="416E4D4F">
            <w:pPr>
              <w:rPr>
                <w:rFonts w:ascii="Arial"/>
                <w:color w:val="auto"/>
                <w:sz w:val="21"/>
                <w:highlight w:val="none"/>
              </w:rPr>
            </w:pPr>
          </w:p>
        </w:tc>
        <w:tc>
          <w:tcPr>
            <w:tcW w:w="950" w:type="dxa"/>
            <w:vAlign w:val="top"/>
          </w:tcPr>
          <w:p w14:paraId="301069D1">
            <w:pPr>
              <w:rPr>
                <w:rFonts w:ascii="Arial"/>
                <w:color w:val="auto"/>
                <w:sz w:val="21"/>
                <w:highlight w:val="none"/>
              </w:rPr>
            </w:pPr>
          </w:p>
        </w:tc>
        <w:tc>
          <w:tcPr>
            <w:tcW w:w="527" w:type="dxa"/>
            <w:tcBorders>
              <w:right w:val="single" w:color="000000" w:sz="4" w:space="0"/>
            </w:tcBorders>
            <w:vAlign w:val="top"/>
          </w:tcPr>
          <w:p w14:paraId="3C3FDCA0">
            <w:pPr>
              <w:rPr>
                <w:rFonts w:ascii="Arial"/>
                <w:color w:val="auto"/>
                <w:sz w:val="21"/>
                <w:highlight w:val="none"/>
              </w:rPr>
            </w:pPr>
          </w:p>
        </w:tc>
      </w:tr>
      <w:tr w14:paraId="707EE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581" w:type="dxa"/>
            <w:tcBorders>
              <w:top w:val="single" w:color="000000" w:sz="4" w:space="0"/>
              <w:left w:val="single" w:color="000000" w:sz="4" w:space="0"/>
            </w:tcBorders>
            <w:vAlign w:val="top"/>
          </w:tcPr>
          <w:p w14:paraId="0BCC99D9">
            <w:pPr>
              <w:rPr>
                <w:rFonts w:ascii="Arial"/>
                <w:color w:val="auto"/>
                <w:sz w:val="21"/>
                <w:highlight w:val="none"/>
              </w:rPr>
            </w:pPr>
          </w:p>
        </w:tc>
        <w:tc>
          <w:tcPr>
            <w:tcW w:w="1127" w:type="dxa"/>
            <w:vAlign w:val="top"/>
          </w:tcPr>
          <w:p w14:paraId="2C857247">
            <w:pPr>
              <w:rPr>
                <w:rFonts w:ascii="Arial"/>
                <w:color w:val="auto"/>
                <w:sz w:val="21"/>
                <w:highlight w:val="none"/>
              </w:rPr>
            </w:pPr>
          </w:p>
        </w:tc>
        <w:tc>
          <w:tcPr>
            <w:tcW w:w="1386" w:type="dxa"/>
            <w:vAlign w:val="top"/>
          </w:tcPr>
          <w:p w14:paraId="6460D169">
            <w:pPr>
              <w:rPr>
                <w:rFonts w:ascii="Arial"/>
                <w:color w:val="auto"/>
                <w:sz w:val="21"/>
                <w:highlight w:val="none"/>
              </w:rPr>
            </w:pPr>
          </w:p>
        </w:tc>
        <w:tc>
          <w:tcPr>
            <w:tcW w:w="1271" w:type="dxa"/>
            <w:vAlign w:val="top"/>
          </w:tcPr>
          <w:p w14:paraId="1E4ED1E8">
            <w:pPr>
              <w:rPr>
                <w:rFonts w:ascii="Arial"/>
                <w:color w:val="auto"/>
                <w:sz w:val="21"/>
                <w:highlight w:val="none"/>
              </w:rPr>
            </w:pPr>
          </w:p>
        </w:tc>
        <w:tc>
          <w:tcPr>
            <w:tcW w:w="854" w:type="dxa"/>
            <w:vAlign w:val="top"/>
          </w:tcPr>
          <w:p w14:paraId="4A19F68D">
            <w:pPr>
              <w:rPr>
                <w:rFonts w:ascii="Arial"/>
                <w:color w:val="auto"/>
                <w:sz w:val="21"/>
                <w:highlight w:val="none"/>
              </w:rPr>
            </w:pPr>
          </w:p>
        </w:tc>
        <w:tc>
          <w:tcPr>
            <w:tcW w:w="1271" w:type="dxa"/>
            <w:vAlign w:val="top"/>
          </w:tcPr>
          <w:p w14:paraId="67FDF990">
            <w:pPr>
              <w:rPr>
                <w:rFonts w:ascii="Arial"/>
                <w:color w:val="auto"/>
                <w:sz w:val="21"/>
                <w:highlight w:val="none"/>
              </w:rPr>
            </w:pPr>
          </w:p>
        </w:tc>
        <w:tc>
          <w:tcPr>
            <w:tcW w:w="853" w:type="dxa"/>
            <w:vAlign w:val="top"/>
          </w:tcPr>
          <w:p w14:paraId="4E833921">
            <w:pPr>
              <w:rPr>
                <w:rFonts w:ascii="Arial"/>
                <w:color w:val="auto"/>
                <w:sz w:val="21"/>
                <w:highlight w:val="none"/>
              </w:rPr>
            </w:pPr>
          </w:p>
        </w:tc>
        <w:tc>
          <w:tcPr>
            <w:tcW w:w="950" w:type="dxa"/>
            <w:vAlign w:val="top"/>
          </w:tcPr>
          <w:p w14:paraId="684A44AC">
            <w:pPr>
              <w:rPr>
                <w:rFonts w:ascii="Arial"/>
                <w:color w:val="auto"/>
                <w:sz w:val="21"/>
                <w:highlight w:val="none"/>
              </w:rPr>
            </w:pPr>
          </w:p>
        </w:tc>
        <w:tc>
          <w:tcPr>
            <w:tcW w:w="527" w:type="dxa"/>
            <w:tcBorders>
              <w:right w:val="single" w:color="000000" w:sz="4" w:space="0"/>
            </w:tcBorders>
            <w:vAlign w:val="top"/>
          </w:tcPr>
          <w:p w14:paraId="73459262">
            <w:pPr>
              <w:rPr>
                <w:rFonts w:ascii="Arial"/>
                <w:color w:val="auto"/>
                <w:sz w:val="21"/>
                <w:highlight w:val="none"/>
              </w:rPr>
            </w:pPr>
          </w:p>
        </w:tc>
      </w:tr>
      <w:tr w14:paraId="5051B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581" w:type="dxa"/>
            <w:tcBorders>
              <w:left w:val="single" w:color="000000" w:sz="4" w:space="0"/>
            </w:tcBorders>
            <w:vAlign w:val="top"/>
          </w:tcPr>
          <w:p w14:paraId="2C554EA3">
            <w:pPr>
              <w:rPr>
                <w:rFonts w:ascii="Arial"/>
                <w:color w:val="auto"/>
                <w:sz w:val="21"/>
                <w:highlight w:val="none"/>
              </w:rPr>
            </w:pPr>
          </w:p>
        </w:tc>
        <w:tc>
          <w:tcPr>
            <w:tcW w:w="1127" w:type="dxa"/>
            <w:vAlign w:val="top"/>
          </w:tcPr>
          <w:p w14:paraId="5F8754E7">
            <w:pPr>
              <w:rPr>
                <w:rFonts w:ascii="Arial"/>
                <w:color w:val="auto"/>
                <w:sz w:val="21"/>
                <w:highlight w:val="none"/>
              </w:rPr>
            </w:pPr>
          </w:p>
        </w:tc>
        <w:tc>
          <w:tcPr>
            <w:tcW w:w="1386" w:type="dxa"/>
            <w:vAlign w:val="top"/>
          </w:tcPr>
          <w:p w14:paraId="366ED27A">
            <w:pPr>
              <w:rPr>
                <w:rFonts w:ascii="Arial"/>
                <w:color w:val="auto"/>
                <w:sz w:val="21"/>
                <w:highlight w:val="none"/>
              </w:rPr>
            </w:pPr>
          </w:p>
        </w:tc>
        <w:tc>
          <w:tcPr>
            <w:tcW w:w="1271" w:type="dxa"/>
            <w:vAlign w:val="top"/>
          </w:tcPr>
          <w:p w14:paraId="6D17A541">
            <w:pPr>
              <w:rPr>
                <w:rFonts w:ascii="Arial"/>
                <w:color w:val="auto"/>
                <w:sz w:val="21"/>
                <w:highlight w:val="none"/>
              </w:rPr>
            </w:pPr>
          </w:p>
        </w:tc>
        <w:tc>
          <w:tcPr>
            <w:tcW w:w="854" w:type="dxa"/>
            <w:vAlign w:val="top"/>
          </w:tcPr>
          <w:p w14:paraId="2E48DB57">
            <w:pPr>
              <w:rPr>
                <w:rFonts w:ascii="Arial"/>
                <w:color w:val="auto"/>
                <w:sz w:val="21"/>
                <w:highlight w:val="none"/>
              </w:rPr>
            </w:pPr>
          </w:p>
        </w:tc>
        <w:tc>
          <w:tcPr>
            <w:tcW w:w="1271" w:type="dxa"/>
            <w:vAlign w:val="top"/>
          </w:tcPr>
          <w:p w14:paraId="587C1B77">
            <w:pPr>
              <w:rPr>
                <w:rFonts w:ascii="Arial"/>
                <w:color w:val="auto"/>
                <w:sz w:val="21"/>
                <w:highlight w:val="none"/>
              </w:rPr>
            </w:pPr>
          </w:p>
        </w:tc>
        <w:tc>
          <w:tcPr>
            <w:tcW w:w="853" w:type="dxa"/>
            <w:vAlign w:val="top"/>
          </w:tcPr>
          <w:p w14:paraId="1C0AB611">
            <w:pPr>
              <w:rPr>
                <w:rFonts w:ascii="Arial"/>
                <w:color w:val="auto"/>
                <w:sz w:val="21"/>
                <w:highlight w:val="none"/>
              </w:rPr>
            </w:pPr>
          </w:p>
        </w:tc>
        <w:tc>
          <w:tcPr>
            <w:tcW w:w="950" w:type="dxa"/>
            <w:vAlign w:val="top"/>
          </w:tcPr>
          <w:p w14:paraId="44C26FB8">
            <w:pPr>
              <w:rPr>
                <w:rFonts w:ascii="Arial"/>
                <w:color w:val="auto"/>
                <w:sz w:val="21"/>
                <w:highlight w:val="none"/>
              </w:rPr>
            </w:pPr>
          </w:p>
        </w:tc>
        <w:tc>
          <w:tcPr>
            <w:tcW w:w="527" w:type="dxa"/>
            <w:tcBorders>
              <w:right w:val="single" w:color="000000" w:sz="4" w:space="0"/>
            </w:tcBorders>
            <w:vAlign w:val="top"/>
          </w:tcPr>
          <w:p w14:paraId="44C4663B">
            <w:pPr>
              <w:rPr>
                <w:rFonts w:ascii="Arial"/>
                <w:color w:val="auto"/>
                <w:sz w:val="21"/>
                <w:highlight w:val="none"/>
              </w:rPr>
            </w:pPr>
          </w:p>
        </w:tc>
      </w:tr>
      <w:tr w14:paraId="702F8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81" w:type="dxa"/>
            <w:tcBorders>
              <w:left w:val="single" w:color="000000" w:sz="4" w:space="0"/>
            </w:tcBorders>
            <w:vAlign w:val="top"/>
          </w:tcPr>
          <w:p w14:paraId="44C230AC">
            <w:pPr>
              <w:rPr>
                <w:rFonts w:ascii="Arial"/>
                <w:color w:val="auto"/>
                <w:sz w:val="21"/>
                <w:highlight w:val="none"/>
              </w:rPr>
            </w:pPr>
          </w:p>
        </w:tc>
        <w:tc>
          <w:tcPr>
            <w:tcW w:w="1127" w:type="dxa"/>
            <w:vAlign w:val="top"/>
          </w:tcPr>
          <w:p w14:paraId="4DDE047F">
            <w:pPr>
              <w:rPr>
                <w:rFonts w:ascii="Arial"/>
                <w:color w:val="auto"/>
                <w:sz w:val="21"/>
                <w:highlight w:val="none"/>
              </w:rPr>
            </w:pPr>
          </w:p>
        </w:tc>
        <w:tc>
          <w:tcPr>
            <w:tcW w:w="1386" w:type="dxa"/>
            <w:vAlign w:val="top"/>
          </w:tcPr>
          <w:p w14:paraId="14BDDE87">
            <w:pPr>
              <w:rPr>
                <w:rFonts w:ascii="Arial"/>
                <w:color w:val="auto"/>
                <w:sz w:val="21"/>
                <w:highlight w:val="none"/>
              </w:rPr>
            </w:pPr>
          </w:p>
        </w:tc>
        <w:tc>
          <w:tcPr>
            <w:tcW w:w="1271" w:type="dxa"/>
            <w:vAlign w:val="top"/>
          </w:tcPr>
          <w:p w14:paraId="757CB5C7">
            <w:pPr>
              <w:rPr>
                <w:rFonts w:ascii="Arial"/>
                <w:color w:val="auto"/>
                <w:sz w:val="21"/>
                <w:highlight w:val="none"/>
              </w:rPr>
            </w:pPr>
          </w:p>
        </w:tc>
        <w:tc>
          <w:tcPr>
            <w:tcW w:w="854" w:type="dxa"/>
            <w:vAlign w:val="top"/>
          </w:tcPr>
          <w:p w14:paraId="5666926F">
            <w:pPr>
              <w:rPr>
                <w:rFonts w:ascii="Arial"/>
                <w:color w:val="auto"/>
                <w:sz w:val="21"/>
                <w:highlight w:val="none"/>
              </w:rPr>
            </w:pPr>
          </w:p>
        </w:tc>
        <w:tc>
          <w:tcPr>
            <w:tcW w:w="1271" w:type="dxa"/>
            <w:vAlign w:val="top"/>
          </w:tcPr>
          <w:p w14:paraId="50A5EA59">
            <w:pPr>
              <w:rPr>
                <w:rFonts w:ascii="Arial"/>
                <w:color w:val="auto"/>
                <w:sz w:val="21"/>
                <w:highlight w:val="none"/>
              </w:rPr>
            </w:pPr>
          </w:p>
        </w:tc>
        <w:tc>
          <w:tcPr>
            <w:tcW w:w="853" w:type="dxa"/>
            <w:vAlign w:val="top"/>
          </w:tcPr>
          <w:p w14:paraId="5DEBD31F">
            <w:pPr>
              <w:rPr>
                <w:rFonts w:ascii="Arial"/>
                <w:color w:val="auto"/>
                <w:sz w:val="21"/>
                <w:highlight w:val="none"/>
              </w:rPr>
            </w:pPr>
          </w:p>
        </w:tc>
        <w:tc>
          <w:tcPr>
            <w:tcW w:w="950" w:type="dxa"/>
            <w:vAlign w:val="top"/>
          </w:tcPr>
          <w:p w14:paraId="4ADCBF31">
            <w:pPr>
              <w:rPr>
                <w:rFonts w:ascii="Arial"/>
                <w:color w:val="auto"/>
                <w:sz w:val="21"/>
                <w:highlight w:val="none"/>
              </w:rPr>
            </w:pPr>
          </w:p>
        </w:tc>
        <w:tc>
          <w:tcPr>
            <w:tcW w:w="527" w:type="dxa"/>
            <w:tcBorders>
              <w:right w:val="single" w:color="000000" w:sz="4" w:space="0"/>
            </w:tcBorders>
            <w:vAlign w:val="top"/>
          </w:tcPr>
          <w:p w14:paraId="7FD03DE8">
            <w:pPr>
              <w:rPr>
                <w:rFonts w:ascii="Arial"/>
                <w:color w:val="auto"/>
                <w:sz w:val="21"/>
                <w:highlight w:val="none"/>
              </w:rPr>
            </w:pPr>
          </w:p>
        </w:tc>
      </w:tr>
      <w:tr w14:paraId="3E0A9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581" w:type="dxa"/>
            <w:tcBorders>
              <w:left w:val="single" w:color="000000" w:sz="4" w:space="0"/>
            </w:tcBorders>
            <w:vAlign w:val="top"/>
          </w:tcPr>
          <w:p w14:paraId="127C5745">
            <w:pPr>
              <w:rPr>
                <w:rFonts w:ascii="Arial"/>
                <w:color w:val="auto"/>
                <w:sz w:val="21"/>
                <w:highlight w:val="none"/>
              </w:rPr>
            </w:pPr>
          </w:p>
        </w:tc>
        <w:tc>
          <w:tcPr>
            <w:tcW w:w="1127" w:type="dxa"/>
            <w:vAlign w:val="top"/>
          </w:tcPr>
          <w:p w14:paraId="2950B948">
            <w:pPr>
              <w:rPr>
                <w:rFonts w:ascii="Arial"/>
                <w:color w:val="auto"/>
                <w:sz w:val="21"/>
                <w:highlight w:val="none"/>
              </w:rPr>
            </w:pPr>
          </w:p>
        </w:tc>
        <w:tc>
          <w:tcPr>
            <w:tcW w:w="1386" w:type="dxa"/>
            <w:vAlign w:val="top"/>
          </w:tcPr>
          <w:p w14:paraId="7054F744">
            <w:pPr>
              <w:rPr>
                <w:rFonts w:ascii="Arial"/>
                <w:color w:val="auto"/>
                <w:sz w:val="21"/>
                <w:highlight w:val="none"/>
              </w:rPr>
            </w:pPr>
          </w:p>
        </w:tc>
        <w:tc>
          <w:tcPr>
            <w:tcW w:w="1271" w:type="dxa"/>
            <w:vAlign w:val="top"/>
          </w:tcPr>
          <w:p w14:paraId="31B8DC82">
            <w:pPr>
              <w:rPr>
                <w:rFonts w:ascii="Arial"/>
                <w:color w:val="auto"/>
                <w:sz w:val="21"/>
                <w:highlight w:val="none"/>
              </w:rPr>
            </w:pPr>
          </w:p>
        </w:tc>
        <w:tc>
          <w:tcPr>
            <w:tcW w:w="854" w:type="dxa"/>
            <w:vAlign w:val="top"/>
          </w:tcPr>
          <w:p w14:paraId="36234770">
            <w:pPr>
              <w:rPr>
                <w:rFonts w:ascii="Arial"/>
                <w:color w:val="auto"/>
                <w:sz w:val="21"/>
                <w:highlight w:val="none"/>
              </w:rPr>
            </w:pPr>
          </w:p>
        </w:tc>
        <w:tc>
          <w:tcPr>
            <w:tcW w:w="1271" w:type="dxa"/>
            <w:vAlign w:val="top"/>
          </w:tcPr>
          <w:p w14:paraId="24F9171C">
            <w:pPr>
              <w:rPr>
                <w:rFonts w:ascii="Arial"/>
                <w:color w:val="auto"/>
                <w:sz w:val="21"/>
                <w:highlight w:val="none"/>
              </w:rPr>
            </w:pPr>
          </w:p>
        </w:tc>
        <w:tc>
          <w:tcPr>
            <w:tcW w:w="853" w:type="dxa"/>
            <w:vAlign w:val="top"/>
          </w:tcPr>
          <w:p w14:paraId="25D09B66">
            <w:pPr>
              <w:rPr>
                <w:rFonts w:ascii="Arial"/>
                <w:color w:val="auto"/>
                <w:sz w:val="21"/>
                <w:highlight w:val="none"/>
              </w:rPr>
            </w:pPr>
          </w:p>
        </w:tc>
        <w:tc>
          <w:tcPr>
            <w:tcW w:w="950" w:type="dxa"/>
            <w:vAlign w:val="top"/>
          </w:tcPr>
          <w:p w14:paraId="6EECA2B4">
            <w:pPr>
              <w:rPr>
                <w:rFonts w:ascii="Arial"/>
                <w:color w:val="auto"/>
                <w:sz w:val="21"/>
                <w:highlight w:val="none"/>
              </w:rPr>
            </w:pPr>
          </w:p>
        </w:tc>
        <w:tc>
          <w:tcPr>
            <w:tcW w:w="527" w:type="dxa"/>
            <w:tcBorders>
              <w:right w:val="single" w:color="000000" w:sz="4" w:space="0"/>
            </w:tcBorders>
            <w:vAlign w:val="top"/>
          </w:tcPr>
          <w:p w14:paraId="3D236F2B">
            <w:pPr>
              <w:rPr>
                <w:rFonts w:ascii="Arial"/>
                <w:color w:val="auto"/>
                <w:sz w:val="21"/>
                <w:highlight w:val="none"/>
              </w:rPr>
            </w:pPr>
          </w:p>
        </w:tc>
      </w:tr>
      <w:tr w14:paraId="525CA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81" w:type="dxa"/>
            <w:tcBorders>
              <w:left w:val="single" w:color="000000" w:sz="4" w:space="0"/>
            </w:tcBorders>
            <w:vAlign w:val="top"/>
          </w:tcPr>
          <w:p w14:paraId="23DE6F7C">
            <w:pPr>
              <w:rPr>
                <w:rFonts w:ascii="Arial"/>
                <w:color w:val="auto"/>
                <w:sz w:val="21"/>
                <w:highlight w:val="none"/>
              </w:rPr>
            </w:pPr>
          </w:p>
        </w:tc>
        <w:tc>
          <w:tcPr>
            <w:tcW w:w="1127" w:type="dxa"/>
            <w:vAlign w:val="top"/>
          </w:tcPr>
          <w:p w14:paraId="2A475F61">
            <w:pPr>
              <w:rPr>
                <w:rFonts w:ascii="Arial"/>
                <w:color w:val="auto"/>
                <w:sz w:val="21"/>
                <w:highlight w:val="none"/>
              </w:rPr>
            </w:pPr>
          </w:p>
        </w:tc>
        <w:tc>
          <w:tcPr>
            <w:tcW w:w="1386" w:type="dxa"/>
            <w:vAlign w:val="top"/>
          </w:tcPr>
          <w:p w14:paraId="2A964088">
            <w:pPr>
              <w:rPr>
                <w:rFonts w:ascii="Arial"/>
                <w:color w:val="auto"/>
                <w:sz w:val="21"/>
                <w:highlight w:val="none"/>
              </w:rPr>
            </w:pPr>
          </w:p>
        </w:tc>
        <w:tc>
          <w:tcPr>
            <w:tcW w:w="1271" w:type="dxa"/>
            <w:vAlign w:val="top"/>
          </w:tcPr>
          <w:p w14:paraId="52FDB32F">
            <w:pPr>
              <w:rPr>
                <w:rFonts w:ascii="Arial"/>
                <w:color w:val="auto"/>
                <w:sz w:val="21"/>
                <w:highlight w:val="none"/>
              </w:rPr>
            </w:pPr>
          </w:p>
        </w:tc>
        <w:tc>
          <w:tcPr>
            <w:tcW w:w="854" w:type="dxa"/>
            <w:vAlign w:val="top"/>
          </w:tcPr>
          <w:p w14:paraId="30E5ABD5">
            <w:pPr>
              <w:rPr>
                <w:rFonts w:ascii="Arial"/>
                <w:color w:val="auto"/>
                <w:sz w:val="21"/>
                <w:highlight w:val="none"/>
              </w:rPr>
            </w:pPr>
          </w:p>
        </w:tc>
        <w:tc>
          <w:tcPr>
            <w:tcW w:w="1271" w:type="dxa"/>
            <w:vAlign w:val="top"/>
          </w:tcPr>
          <w:p w14:paraId="63A47D15">
            <w:pPr>
              <w:rPr>
                <w:rFonts w:ascii="Arial"/>
                <w:color w:val="auto"/>
                <w:sz w:val="21"/>
                <w:highlight w:val="none"/>
              </w:rPr>
            </w:pPr>
          </w:p>
        </w:tc>
        <w:tc>
          <w:tcPr>
            <w:tcW w:w="853" w:type="dxa"/>
            <w:vAlign w:val="top"/>
          </w:tcPr>
          <w:p w14:paraId="0F4C3779">
            <w:pPr>
              <w:rPr>
                <w:rFonts w:ascii="Arial"/>
                <w:color w:val="auto"/>
                <w:sz w:val="21"/>
                <w:highlight w:val="none"/>
              </w:rPr>
            </w:pPr>
          </w:p>
        </w:tc>
        <w:tc>
          <w:tcPr>
            <w:tcW w:w="950" w:type="dxa"/>
            <w:vAlign w:val="top"/>
          </w:tcPr>
          <w:p w14:paraId="4267CBCB">
            <w:pPr>
              <w:rPr>
                <w:rFonts w:ascii="Arial"/>
                <w:color w:val="auto"/>
                <w:sz w:val="21"/>
                <w:highlight w:val="none"/>
              </w:rPr>
            </w:pPr>
          </w:p>
        </w:tc>
        <w:tc>
          <w:tcPr>
            <w:tcW w:w="527" w:type="dxa"/>
            <w:tcBorders>
              <w:right w:val="single" w:color="000000" w:sz="4" w:space="0"/>
            </w:tcBorders>
            <w:vAlign w:val="top"/>
          </w:tcPr>
          <w:p w14:paraId="4A4EF608">
            <w:pPr>
              <w:rPr>
                <w:rFonts w:ascii="Arial"/>
                <w:color w:val="auto"/>
                <w:sz w:val="21"/>
                <w:highlight w:val="none"/>
              </w:rPr>
            </w:pPr>
          </w:p>
        </w:tc>
      </w:tr>
      <w:tr w14:paraId="5AFA6B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581" w:type="dxa"/>
            <w:tcBorders>
              <w:left w:val="single" w:color="000000" w:sz="4" w:space="0"/>
            </w:tcBorders>
            <w:vAlign w:val="top"/>
          </w:tcPr>
          <w:p w14:paraId="2639A5CE">
            <w:pPr>
              <w:rPr>
                <w:rFonts w:ascii="Arial"/>
                <w:color w:val="auto"/>
                <w:sz w:val="21"/>
                <w:highlight w:val="none"/>
              </w:rPr>
            </w:pPr>
          </w:p>
        </w:tc>
        <w:tc>
          <w:tcPr>
            <w:tcW w:w="1127" w:type="dxa"/>
            <w:vAlign w:val="top"/>
          </w:tcPr>
          <w:p w14:paraId="3D464D6D">
            <w:pPr>
              <w:rPr>
                <w:rFonts w:ascii="Arial"/>
                <w:color w:val="auto"/>
                <w:sz w:val="21"/>
                <w:highlight w:val="none"/>
              </w:rPr>
            </w:pPr>
          </w:p>
        </w:tc>
        <w:tc>
          <w:tcPr>
            <w:tcW w:w="1386" w:type="dxa"/>
            <w:vAlign w:val="top"/>
          </w:tcPr>
          <w:p w14:paraId="458E89BD">
            <w:pPr>
              <w:rPr>
                <w:rFonts w:ascii="Arial"/>
                <w:color w:val="auto"/>
                <w:sz w:val="21"/>
                <w:highlight w:val="none"/>
              </w:rPr>
            </w:pPr>
          </w:p>
        </w:tc>
        <w:tc>
          <w:tcPr>
            <w:tcW w:w="1271" w:type="dxa"/>
            <w:vAlign w:val="top"/>
          </w:tcPr>
          <w:p w14:paraId="3311C34B">
            <w:pPr>
              <w:rPr>
                <w:rFonts w:ascii="Arial"/>
                <w:color w:val="auto"/>
                <w:sz w:val="21"/>
                <w:highlight w:val="none"/>
              </w:rPr>
            </w:pPr>
          </w:p>
        </w:tc>
        <w:tc>
          <w:tcPr>
            <w:tcW w:w="854" w:type="dxa"/>
            <w:vAlign w:val="top"/>
          </w:tcPr>
          <w:p w14:paraId="79895B6E">
            <w:pPr>
              <w:rPr>
                <w:rFonts w:ascii="Arial"/>
                <w:color w:val="auto"/>
                <w:sz w:val="21"/>
                <w:highlight w:val="none"/>
              </w:rPr>
            </w:pPr>
          </w:p>
        </w:tc>
        <w:tc>
          <w:tcPr>
            <w:tcW w:w="1271" w:type="dxa"/>
            <w:vAlign w:val="top"/>
          </w:tcPr>
          <w:p w14:paraId="49D9AF0E">
            <w:pPr>
              <w:rPr>
                <w:rFonts w:ascii="Arial"/>
                <w:color w:val="auto"/>
                <w:sz w:val="21"/>
                <w:highlight w:val="none"/>
              </w:rPr>
            </w:pPr>
          </w:p>
        </w:tc>
        <w:tc>
          <w:tcPr>
            <w:tcW w:w="853" w:type="dxa"/>
            <w:vAlign w:val="top"/>
          </w:tcPr>
          <w:p w14:paraId="3C351236">
            <w:pPr>
              <w:rPr>
                <w:rFonts w:ascii="Arial"/>
                <w:color w:val="auto"/>
                <w:sz w:val="21"/>
                <w:highlight w:val="none"/>
              </w:rPr>
            </w:pPr>
          </w:p>
        </w:tc>
        <w:tc>
          <w:tcPr>
            <w:tcW w:w="950" w:type="dxa"/>
            <w:vAlign w:val="top"/>
          </w:tcPr>
          <w:p w14:paraId="7E88C9BB">
            <w:pPr>
              <w:rPr>
                <w:rFonts w:ascii="Arial"/>
                <w:color w:val="auto"/>
                <w:sz w:val="21"/>
                <w:highlight w:val="none"/>
              </w:rPr>
            </w:pPr>
          </w:p>
        </w:tc>
        <w:tc>
          <w:tcPr>
            <w:tcW w:w="527" w:type="dxa"/>
            <w:tcBorders>
              <w:right w:val="single" w:color="000000" w:sz="4" w:space="0"/>
            </w:tcBorders>
            <w:vAlign w:val="top"/>
          </w:tcPr>
          <w:p w14:paraId="5B3B827C">
            <w:pPr>
              <w:rPr>
                <w:rFonts w:ascii="Arial"/>
                <w:color w:val="auto"/>
                <w:sz w:val="21"/>
                <w:highlight w:val="none"/>
              </w:rPr>
            </w:pPr>
          </w:p>
        </w:tc>
      </w:tr>
      <w:tr w14:paraId="1A53A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581" w:type="dxa"/>
            <w:tcBorders>
              <w:left w:val="single" w:color="000000" w:sz="4" w:space="0"/>
            </w:tcBorders>
            <w:vAlign w:val="top"/>
          </w:tcPr>
          <w:p w14:paraId="6D900210">
            <w:pPr>
              <w:rPr>
                <w:rFonts w:ascii="Arial"/>
                <w:color w:val="auto"/>
                <w:sz w:val="21"/>
                <w:highlight w:val="none"/>
              </w:rPr>
            </w:pPr>
          </w:p>
        </w:tc>
        <w:tc>
          <w:tcPr>
            <w:tcW w:w="1127" w:type="dxa"/>
            <w:vAlign w:val="top"/>
          </w:tcPr>
          <w:p w14:paraId="5626F5B3">
            <w:pPr>
              <w:rPr>
                <w:rFonts w:ascii="Arial"/>
                <w:color w:val="auto"/>
                <w:sz w:val="21"/>
                <w:highlight w:val="none"/>
              </w:rPr>
            </w:pPr>
          </w:p>
        </w:tc>
        <w:tc>
          <w:tcPr>
            <w:tcW w:w="1386" w:type="dxa"/>
            <w:vAlign w:val="top"/>
          </w:tcPr>
          <w:p w14:paraId="7F208271">
            <w:pPr>
              <w:rPr>
                <w:rFonts w:ascii="Arial"/>
                <w:color w:val="auto"/>
                <w:sz w:val="21"/>
                <w:highlight w:val="none"/>
              </w:rPr>
            </w:pPr>
          </w:p>
        </w:tc>
        <w:tc>
          <w:tcPr>
            <w:tcW w:w="1271" w:type="dxa"/>
            <w:vAlign w:val="top"/>
          </w:tcPr>
          <w:p w14:paraId="31265DA3">
            <w:pPr>
              <w:rPr>
                <w:rFonts w:ascii="Arial"/>
                <w:color w:val="auto"/>
                <w:sz w:val="21"/>
                <w:highlight w:val="none"/>
              </w:rPr>
            </w:pPr>
          </w:p>
        </w:tc>
        <w:tc>
          <w:tcPr>
            <w:tcW w:w="854" w:type="dxa"/>
            <w:vAlign w:val="top"/>
          </w:tcPr>
          <w:p w14:paraId="7E8EF17C">
            <w:pPr>
              <w:rPr>
                <w:rFonts w:ascii="Arial"/>
                <w:color w:val="auto"/>
                <w:sz w:val="21"/>
                <w:highlight w:val="none"/>
              </w:rPr>
            </w:pPr>
          </w:p>
        </w:tc>
        <w:tc>
          <w:tcPr>
            <w:tcW w:w="1271" w:type="dxa"/>
            <w:vAlign w:val="top"/>
          </w:tcPr>
          <w:p w14:paraId="05E5C84C">
            <w:pPr>
              <w:rPr>
                <w:rFonts w:ascii="Arial"/>
                <w:color w:val="auto"/>
                <w:sz w:val="21"/>
                <w:highlight w:val="none"/>
              </w:rPr>
            </w:pPr>
          </w:p>
        </w:tc>
        <w:tc>
          <w:tcPr>
            <w:tcW w:w="853" w:type="dxa"/>
            <w:vAlign w:val="top"/>
          </w:tcPr>
          <w:p w14:paraId="0A34AB36">
            <w:pPr>
              <w:rPr>
                <w:rFonts w:ascii="Arial"/>
                <w:color w:val="auto"/>
                <w:sz w:val="21"/>
                <w:highlight w:val="none"/>
              </w:rPr>
            </w:pPr>
          </w:p>
        </w:tc>
        <w:tc>
          <w:tcPr>
            <w:tcW w:w="950" w:type="dxa"/>
            <w:vAlign w:val="top"/>
          </w:tcPr>
          <w:p w14:paraId="5886AFFA">
            <w:pPr>
              <w:rPr>
                <w:rFonts w:ascii="Arial"/>
                <w:color w:val="auto"/>
                <w:sz w:val="21"/>
                <w:highlight w:val="none"/>
              </w:rPr>
            </w:pPr>
          </w:p>
        </w:tc>
        <w:tc>
          <w:tcPr>
            <w:tcW w:w="527" w:type="dxa"/>
            <w:tcBorders>
              <w:right w:val="single" w:color="000000" w:sz="4" w:space="0"/>
            </w:tcBorders>
            <w:vAlign w:val="top"/>
          </w:tcPr>
          <w:p w14:paraId="71A5581E">
            <w:pPr>
              <w:rPr>
                <w:rFonts w:ascii="Arial"/>
                <w:color w:val="auto"/>
                <w:sz w:val="21"/>
                <w:highlight w:val="none"/>
              </w:rPr>
            </w:pPr>
          </w:p>
        </w:tc>
      </w:tr>
      <w:tr w14:paraId="3D459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5219" w:type="dxa"/>
            <w:gridSpan w:val="5"/>
            <w:tcBorders>
              <w:left w:val="single" w:color="000000" w:sz="4" w:space="0"/>
              <w:bottom w:val="single" w:color="000000" w:sz="4" w:space="0"/>
            </w:tcBorders>
            <w:vAlign w:val="top"/>
          </w:tcPr>
          <w:p w14:paraId="7E1C9DFB">
            <w:pPr>
              <w:spacing w:line="248" w:lineRule="auto"/>
              <w:rPr>
                <w:rFonts w:ascii="Arial"/>
                <w:color w:val="auto"/>
                <w:sz w:val="21"/>
                <w:highlight w:val="none"/>
              </w:rPr>
            </w:pPr>
          </w:p>
          <w:p w14:paraId="5B0E2CFB">
            <w:pPr>
              <w:pStyle w:val="11"/>
              <w:spacing w:before="68" w:line="222" w:lineRule="auto"/>
              <w:ind w:left="2404"/>
              <w:rPr>
                <w:color w:val="auto"/>
                <w:highlight w:val="none"/>
              </w:rPr>
            </w:pPr>
            <w:r>
              <w:rPr>
                <w:color w:val="auto"/>
                <w:spacing w:val="-2"/>
                <w:highlight w:val="none"/>
              </w:rPr>
              <w:t>合计</w:t>
            </w:r>
          </w:p>
        </w:tc>
        <w:tc>
          <w:tcPr>
            <w:tcW w:w="1271" w:type="dxa"/>
            <w:tcBorders>
              <w:bottom w:val="single" w:color="000000" w:sz="4" w:space="0"/>
            </w:tcBorders>
            <w:vAlign w:val="top"/>
          </w:tcPr>
          <w:p w14:paraId="23A2BB80">
            <w:pPr>
              <w:rPr>
                <w:rFonts w:ascii="Arial"/>
                <w:color w:val="auto"/>
                <w:sz w:val="21"/>
                <w:highlight w:val="none"/>
              </w:rPr>
            </w:pPr>
          </w:p>
        </w:tc>
        <w:tc>
          <w:tcPr>
            <w:tcW w:w="853" w:type="dxa"/>
            <w:tcBorders>
              <w:bottom w:val="single" w:color="000000" w:sz="4" w:space="0"/>
            </w:tcBorders>
            <w:vAlign w:val="top"/>
          </w:tcPr>
          <w:p w14:paraId="362795C3">
            <w:pPr>
              <w:rPr>
                <w:rFonts w:ascii="Arial"/>
                <w:color w:val="auto"/>
                <w:sz w:val="21"/>
                <w:highlight w:val="none"/>
              </w:rPr>
            </w:pPr>
          </w:p>
        </w:tc>
        <w:tc>
          <w:tcPr>
            <w:tcW w:w="950" w:type="dxa"/>
            <w:tcBorders>
              <w:bottom w:val="single" w:color="000000" w:sz="4" w:space="0"/>
            </w:tcBorders>
            <w:vAlign w:val="top"/>
          </w:tcPr>
          <w:p w14:paraId="1AAC4469">
            <w:pPr>
              <w:rPr>
                <w:rFonts w:ascii="Arial"/>
                <w:color w:val="auto"/>
                <w:sz w:val="21"/>
                <w:highlight w:val="none"/>
              </w:rPr>
            </w:pPr>
          </w:p>
        </w:tc>
        <w:tc>
          <w:tcPr>
            <w:tcW w:w="527" w:type="dxa"/>
            <w:tcBorders>
              <w:bottom w:val="single" w:color="000000" w:sz="4" w:space="0"/>
              <w:right w:val="single" w:color="000000" w:sz="4" w:space="0"/>
            </w:tcBorders>
            <w:vAlign w:val="top"/>
          </w:tcPr>
          <w:p w14:paraId="584150EE">
            <w:pPr>
              <w:rPr>
                <w:rFonts w:ascii="Arial"/>
                <w:color w:val="auto"/>
                <w:sz w:val="21"/>
                <w:highlight w:val="none"/>
              </w:rPr>
            </w:pPr>
          </w:p>
        </w:tc>
      </w:tr>
    </w:tbl>
    <w:p w14:paraId="743D3156">
      <w:pPr>
        <w:spacing w:before="274" w:line="219" w:lineRule="auto"/>
        <w:ind w:left="264"/>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编制人（造价人员</w:t>
      </w:r>
      <w:r>
        <w:rPr>
          <w:rFonts w:ascii="宋体" w:hAnsi="宋体" w:eastAsia="宋体" w:cs="宋体"/>
          <w:color w:val="auto"/>
          <w:spacing w:val="-13"/>
          <w:sz w:val="21"/>
          <w:szCs w:val="21"/>
          <w:highlight w:val="none"/>
        </w:rPr>
        <w:t>）：</w:t>
      </w:r>
      <w:r>
        <w:rPr>
          <w:rFonts w:ascii="宋体" w:hAnsi="宋体" w:eastAsia="宋体" w:cs="宋体"/>
          <w:color w:val="auto"/>
          <w:spacing w:val="1"/>
          <w:sz w:val="21"/>
          <w:szCs w:val="21"/>
          <w:highlight w:val="none"/>
        </w:rPr>
        <w:t xml:space="preserve">                         </w:t>
      </w:r>
      <w:r>
        <w:rPr>
          <w:rFonts w:ascii="宋体" w:hAnsi="宋体" w:eastAsia="宋体" w:cs="宋体"/>
          <w:color w:val="auto"/>
          <w:spacing w:val="-12"/>
          <w:sz w:val="21"/>
          <w:szCs w:val="21"/>
          <w:highlight w:val="none"/>
        </w:rPr>
        <w:t>复核人（造价工程师</w:t>
      </w:r>
      <w:r>
        <w:rPr>
          <w:rFonts w:ascii="宋体" w:hAnsi="宋体" w:eastAsia="宋体" w:cs="宋体"/>
          <w:color w:val="auto"/>
          <w:spacing w:val="-13"/>
          <w:sz w:val="21"/>
          <w:szCs w:val="21"/>
          <w:highlight w:val="none"/>
        </w:rPr>
        <w:t>）：</w:t>
      </w:r>
    </w:p>
    <w:p w14:paraId="4F5256C6">
      <w:pPr>
        <w:spacing w:before="298" w:line="219" w:lineRule="auto"/>
        <w:ind w:left="26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注： 1．“计价基础</w:t>
      </w:r>
      <w:r>
        <w:rPr>
          <w:rFonts w:ascii="宋体" w:hAnsi="宋体" w:eastAsia="宋体" w:cs="宋体"/>
          <w:color w:val="auto"/>
          <w:spacing w:val="-77"/>
          <w:sz w:val="21"/>
          <w:szCs w:val="21"/>
          <w:highlight w:val="none"/>
        </w:rPr>
        <w:t xml:space="preserve"> </w:t>
      </w:r>
      <w:r>
        <w:rPr>
          <w:rFonts w:ascii="宋体" w:hAnsi="宋体" w:eastAsia="宋体" w:cs="宋体"/>
          <w:color w:val="auto"/>
          <w:spacing w:val="-1"/>
          <w:sz w:val="21"/>
          <w:szCs w:val="21"/>
          <w:highlight w:val="none"/>
        </w:rPr>
        <w:t>”中安全文明施工费可为“定额人工费+定额</w:t>
      </w:r>
      <w:r>
        <w:rPr>
          <w:rFonts w:ascii="宋体" w:hAnsi="宋体" w:eastAsia="宋体" w:cs="宋体"/>
          <w:color w:val="auto"/>
          <w:spacing w:val="-2"/>
          <w:sz w:val="21"/>
          <w:szCs w:val="21"/>
          <w:highlight w:val="none"/>
        </w:rPr>
        <w:t>机械费</w:t>
      </w:r>
      <w:r>
        <w:rPr>
          <w:rFonts w:ascii="宋体" w:hAnsi="宋体" w:eastAsia="宋体" w:cs="宋体"/>
          <w:color w:val="auto"/>
          <w:spacing w:val="-76"/>
          <w:sz w:val="21"/>
          <w:szCs w:val="21"/>
          <w:highlight w:val="none"/>
        </w:rPr>
        <w:t xml:space="preserve"> </w:t>
      </w:r>
      <w:r>
        <w:rPr>
          <w:rFonts w:ascii="宋体" w:hAnsi="宋体" w:eastAsia="宋体" w:cs="宋体"/>
          <w:color w:val="auto"/>
          <w:spacing w:val="-2"/>
          <w:sz w:val="21"/>
          <w:szCs w:val="21"/>
          <w:highlight w:val="none"/>
        </w:rPr>
        <w:t>”，其他项目可为</w:t>
      </w:r>
    </w:p>
    <w:p w14:paraId="58C6BDD7">
      <w:pPr>
        <w:spacing w:before="25" w:line="220" w:lineRule="auto"/>
        <w:ind w:left="983"/>
        <w:rPr>
          <w:rFonts w:ascii="宋体" w:hAnsi="宋体" w:eastAsia="宋体" w:cs="宋体"/>
          <w:color w:val="auto"/>
          <w:sz w:val="21"/>
          <w:szCs w:val="21"/>
          <w:highlight w:val="none"/>
        </w:rPr>
      </w:pPr>
      <w:r>
        <w:rPr>
          <w:rFonts w:ascii="宋体" w:hAnsi="宋体" w:eastAsia="宋体" w:cs="宋体"/>
          <w:color w:val="auto"/>
          <w:sz w:val="21"/>
          <w:szCs w:val="21"/>
          <w:highlight w:val="none"/>
        </w:rPr>
        <w:t>“定额人工费+定额机械费</w:t>
      </w:r>
      <w:r>
        <w:rPr>
          <w:rFonts w:ascii="Times New Roman" w:hAnsi="Times New Roman" w:eastAsia="Times New Roman" w:cs="Times New Roman"/>
          <w:color w:val="auto"/>
          <w:sz w:val="21"/>
          <w:szCs w:val="21"/>
          <w:highlight w:val="none"/>
        </w:rPr>
        <w:t>”</w:t>
      </w:r>
      <w:r>
        <w:rPr>
          <w:rFonts w:ascii="宋体" w:hAnsi="宋体" w:eastAsia="宋体" w:cs="宋体"/>
          <w:color w:val="auto"/>
          <w:sz w:val="21"/>
          <w:szCs w:val="21"/>
          <w:highlight w:val="none"/>
        </w:rPr>
        <w:t>。</w:t>
      </w:r>
    </w:p>
    <w:p w14:paraId="252DE880">
      <w:pPr>
        <w:spacing w:before="24" w:line="228" w:lineRule="auto"/>
        <w:ind w:left="995" w:right="95" w:hanging="314"/>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2</w:t>
      </w:r>
      <w:r>
        <w:rPr>
          <w:rFonts w:ascii="Times New Roman" w:hAnsi="Times New Roman" w:eastAsia="Times New Roman" w:cs="Times New Roman"/>
          <w:color w:val="auto"/>
          <w:spacing w:val="-18"/>
          <w:sz w:val="21"/>
          <w:szCs w:val="21"/>
          <w:highlight w:val="none"/>
        </w:rPr>
        <w:t xml:space="preserve"> </w:t>
      </w:r>
      <w:r>
        <w:rPr>
          <w:rFonts w:ascii="宋体" w:hAnsi="宋体" w:eastAsia="宋体" w:cs="宋体"/>
          <w:color w:val="auto"/>
          <w:spacing w:val="-1"/>
          <w:sz w:val="21"/>
          <w:szCs w:val="21"/>
          <w:highlight w:val="none"/>
        </w:rPr>
        <w:t>．按施工方案计算的措施费，若无</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计算基础</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和</w:t>
      </w:r>
      <w:r>
        <w:rPr>
          <w:rFonts w:ascii="Times New Roman" w:hAnsi="Times New Roman" w:eastAsia="Times New Roman" w:cs="Times New Roman"/>
          <w:color w:val="auto"/>
          <w:spacing w:val="-1"/>
          <w:sz w:val="21"/>
          <w:szCs w:val="21"/>
          <w:highlight w:val="none"/>
        </w:rPr>
        <w:t>“</w:t>
      </w:r>
      <w:r>
        <w:rPr>
          <w:rFonts w:ascii="Times New Roman" w:hAnsi="Times New Roman" w:eastAsia="Times New Roman" w:cs="Times New Roman"/>
          <w:color w:val="auto"/>
          <w:spacing w:val="-36"/>
          <w:sz w:val="21"/>
          <w:szCs w:val="21"/>
          <w:highlight w:val="none"/>
        </w:rPr>
        <w:t xml:space="preserve"> </w:t>
      </w:r>
      <w:r>
        <w:rPr>
          <w:rFonts w:ascii="宋体" w:hAnsi="宋体" w:eastAsia="宋体" w:cs="宋体"/>
          <w:color w:val="auto"/>
          <w:spacing w:val="-1"/>
          <w:sz w:val="21"/>
          <w:szCs w:val="21"/>
          <w:highlight w:val="none"/>
        </w:rPr>
        <w:t>费率</w:t>
      </w:r>
      <w:r>
        <w:rPr>
          <w:rFonts w:ascii="Times New Roman" w:hAnsi="Times New Roman" w:eastAsia="Times New Roman" w:cs="Times New Roman"/>
          <w:color w:val="auto"/>
          <w:spacing w:val="-1"/>
          <w:sz w:val="21"/>
          <w:szCs w:val="21"/>
          <w:highlight w:val="none"/>
        </w:rPr>
        <w:t>”</w:t>
      </w:r>
      <w:r>
        <w:rPr>
          <w:rFonts w:ascii="Times New Roman" w:hAnsi="Times New Roman" w:eastAsia="Times New Roman" w:cs="Times New Roman"/>
          <w:color w:val="auto"/>
          <w:spacing w:val="-24"/>
          <w:sz w:val="21"/>
          <w:szCs w:val="21"/>
          <w:highlight w:val="none"/>
        </w:rPr>
        <w:t xml:space="preserve"> </w:t>
      </w:r>
      <w:r>
        <w:rPr>
          <w:rFonts w:ascii="宋体" w:hAnsi="宋体" w:eastAsia="宋体" w:cs="宋体"/>
          <w:color w:val="auto"/>
          <w:spacing w:val="-1"/>
          <w:sz w:val="21"/>
          <w:szCs w:val="21"/>
          <w:highlight w:val="none"/>
        </w:rPr>
        <w:t>的数值，也可只填</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金额</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数值，</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但应在备注栏说明施工方案出处或计算方法。</w:t>
      </w:r>
    </w:p>
    <w:p w14:paraId="368C3213">
      <w:pPr>
        <w:spacing w:line="228" w:lineRule="auto"/>
        <w:rPr>
          <w:rFonts w:ascii="宋体" w:hAnsi="宋体" w:eastAsia="宋体" w:cs="宋体"/>
          <w:color w:val="auto"/>
          <w:sz w:val="21"/>
          <w:szCs w:val="21"/>
          <w:highlight w:val="none"/>
        </w:rPr>
        <w:sectPr>
          <w:footerReference r:id="rId190" w:type="default"/>
          <w:pgSz w:w="11905" w:h="16839"/>
          <w:pgMar w:top="400" w:right="1532" w:bottom="1004" w:left="1541" w:header="0" w:footer="828" w:gutter="0"/>
          <w:pgNumType w:fmt="decimal"/>
          <w:cols w:space="720" w:num="1"/>
        </w:sectPr>
      </w:pPr>
    </w:p>
    <w:p w14:paraId="4B23B52D">
      <w:pPr>
        <w:pStyle w:val="3"/>
        <w:spacing w:line="267" w:lineRule="auto"/>
        <w:rPr>
          <w:color w:val="auto"/>
          <w:highlight w:val="none"/>
        </w:rPr>
      </w:pPr>
    </w:p>
    <w:p w14:paraId="441E3D38">
      <w:pPr>
        <w:pStyle w:val="3"/>
        <w:spacing w:line="267" w:lineRule="auto"/>
        <w:rPr>
          <w:color w:val="auto"/>
          <w:highlight w:val="none"/>
        </w:rPr>
      </w:pPr>
    </w:p>
    <w:p w14:paraId="3CAE438F">
      <w:pPr>
        <w:pStyle w:val="3"/>
        <w:spacing w:line="268" w:lineRule="auto"/>
        <w:rPr>
          <w:color w:val="auto"/>
          <w:highlight w:val="none"/>
        </w:rPr>
      </w:pPr>
    </w:p>
    <w:p w14:paraId="35D6A257">
      <w:pPr>
        <w:pStyle w:val="3"/>
        <w:spacing w:line="268" w:lineRule="auto"/>
        <w:rPr>
          <w:color w:val="auto"/>
          <w:highlight w:val="none"/>
        </w:rPr>
      </w:pPr>
    </w:p>
    <w:p w14:paraId="3BE6181C">
      <w:pPr>
        <w:spacing w:before="78" w:line="219" w:lineRule="auto"/>
        <w:ind w:left="85"/>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4.12 </w:t>
      </w:r>
      <w:r>
        <w:rPr>
          <w:rFonts w:ascii="黑体" w:hAnsi="黑体" w:eastAsia="黑体" w:cs="黑体"/>
          <w:color w:val="auto"/>
          <w:spacing w:val="-1"/>
          <w:sz w:val="24"/>
          <w:szCs w:val="24"/>
          <w:highlight w:val="none"/>
        </w:rPr>
        <w:t>其他项目清单与计价汇总表</w:t>
      </w:r>
    </w:p>
    <w:p w14:paraId="03C3205C">
      <w:pPr>
        <w:spacing w:before="161" w:line="225" w:lineRule="auto"/>
        <w:ind w:left="2573"/>
        <w:rPr>
          <w:rFonts w:ascii="黑体" w:hAnsi="黑体" w:eastAsia="黑体" w:cs="黑体"/>
          <w:color w:val="auto"/>
          <w:sz w:val="27"/>
          <w:szCs w:val="27"/>
          <w:highlight w:val="none"/>
        </w:rPr>
      </w:pPr>
      <w:bookmarkStart w:id="1307" w:name="bookmark253"/>
      <w:bookmarkEnd w:id="1307"/>
      <w:r>
        <w:rPr>
          <w:rFonts w:ascii="黑体" w:hAnsi="黑体" w:eastAsia="黑体" w:cs="黑体"/>
          <w:color w:val="auto"/>
          <w:spacing w:val="8"/>
          <w:sz w:val="27"/>
          <w:szCs w:val="27"/>
          <w:highlight w:val="none"/>
        </w:rPr>
        <w:t>其他项目清单与计价汇总表</w:t>
      </w:r>
    </w:p>
    <w:p w14:paraId="6D47D513">
      <w:pPr>
        <w:spacing w:before="143" w:line="214" w:lineRule="auto"/>
        <w:ind w:left="92"/>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工程名称：               标段名称：</w:t>
      </w:r>
      <w:r>
        <w:rPr>
          <w:rFonts w:ascii="宋体" w:hAnsi="宋体" w:eastAsia="宋体" w:cs="宋体"/>
          <w:color w:val="auto"/>
          <w:sz w:val="21"/>
          <w:szCs w:val="21"/>
          <w:highlight w:val="none"/>
        </w:rPr>
        <w:t xml:space="preserve">                           </w:t>
      </w:r>
      <w:r>
        <w:rPr>
          <w:rFonts w:ascii="宋体" w:hAnsi="宋体" w:eastAsia="宋体" w:cs="宋体"/>
          <w:color w:val="auto"/>
          <w:spacing w:val="-13"/>
          <w:sz w:val="21"/>
          <w:szCs w:val="21"/>
          <w:highlight w:val="none"/>
        </w:rPr>
        <w:t>第 页</w:t>
      </w:r>
      <w:r>
        <w:rPr>
          <w:rFonts w:ascii="宋体" w:hAnsi="宋体" w:eastAsia="宋体" w:cs="宋体"/>
          <w:color w:val="auto"/>
          <w:spacing w:val="-38"/>
          <w:sz w:val="21"/>
          <w:szCs w:val="21"/>
          <w:highlight w:val="none"/>
        </w:rPr>
        <w:t xml:space="preserve"> </w:t>
      </w:r>
      <w:r>
        <w:rPr>
          <w:rFonts w:ascii="宋体" w:hAnsi="宋体" w:eastAsia="宋体" w:cs="宋体"/>
          <w:color w:val="auto"/>
          <w:spacing w:val="-13"/>
          <w:sz w:val="21"/>
          <w:szCs w:val="21"/>
          <w:highlight w:val="none"/>
        </w:rPr>
        <w:t>共</w:t>
      </w:r>
      <w:r>
        <w:rPr>
          <w:rFonts w:ascii="宋体" w:hAnsi="宋体" w:eastAsia="宋体" w:cs="宋体"/>
          <w:color w:val="auto"/>
          <w:spacing w:val="14"/>
          <w:sz w:val="21"/>
          <w:szCs w:val="21"/>
          <w:highlight w:val="none"/>
        </w:rPr>
        <w:t xml:space="preserve"> </w:t>
      </w:r>
      <w:r>
        <w:rPr>
          <w:rFonts w:ascii="宋体" w:hAnsi="宋体" w:eastAsia="宋体" w:cs="宋体"/>
          <w:color w:val="auto"/>
          <w:spacing w:val="-13"/>
          <w:sz w:val="21"/>
          <w:szCs w:val="21"/>
          <w:highlight w:val="none"/>
        </w:rPr>
        <w:t>页</w:t>
      </w:r>
    </w:p>
    <w:tbl>
      <w:tblPr>
        <w:tblStyle w:val="10"/>
        <w:tblW w:w="8470"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5"/>
        <w:gridCol w:w="2921"/>
        <w:gridCol w:w="1573"/>
        <w:gridCol w:w="1573"/>
        <w:gridCol w:w="1578"/>
      </w:tblGrid>
      <w:tr w14:paraId="01359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825" w:type="dxa"/>
            <w:tcBorders>
              <w:top w:val="single" w:color="000000" w:sz="4" w:space="0"/>
              <w:left w:val="single" w:color="000000" w:sz="4" w:space="0"/>
            </w:tcBorders>
            <w:vAlign w:val="top"/>
          </w:tcPr>
          <w:p w14:paraId="573D75D5">
            <w:pPr>
              <w:spacing w:line="271" w:lineRule="auto"/>
              <w:rPr>
                <w:rFonts w:ascii="Arial"/>
                <w:color w:val="auto"/>
                <w:sz w:val="21"/>
                <w:highlight w:val="none"/>
              </w:rPr>
            </w:pPr>
          </w:p>
          <w:p w14:paraId="231AEFEA">
            <w:pPr>
              <w:pStyle w:val="11"/>
              <w:spacing w:before="68" w:line="222" w:lineRule="auto"/>
              <w:ind w:left="204"/>
              <w:rPr>
                <w:color w:val="auto"/>
                <w:highlight w:val="none"/>
              </w:rPr>
            </w:pPr>
            <w:r>
              <w:rPr>
                <w:color w:val="auto"/>
                <w:spacing w:val="-2"/>
                <w:highlight w:val="none"/>
              </w:rPr>
              <w:t>序号</w:t>
            </w:r>
          </w:p>
        </w:tc>
        <w:tc>
          <w:tcPr>
            <w:tcW w:w="2921" w:type="dxa"/>
            <w:tcBorders>
              <w:top w:val="single" w:color="000000" w:sz="4" w:space="0"/>
            </w:tcBorders>
            <w:vAlign w:val="top"/>
          </w:tcPr>
          <w:p w14:paraId="73E340E6">
            <w:pPr>
              <w:spacing w:line="271" w:lineRule="auto"/>
              <w:rPr>
                <w:rFonts w:ascii="Arial"/>
                <w:color w:val="auto"/>
                <w:sz w:val="21"/>
                <w:highlight w:val="none"/>
              </w:rPr>
            </w:pPr>
          </w:p>
          <w:p w14:paraId="37CA3CA7">
            <w:pPr>
              <w:pStyle w:val="11"/>
              <w:spacing w:before="69" w:line="221" w:lineRule="auto"/>
              <w:ind w:left="1047"/>
              <w:rPr>
                <w:color w:val="auto"/>
                <w:highlight w:val="none"/>
              </w:rPr>
            </w:pPr>
            <w:r>
              <w:rPr>
                <w:color w:val="auto"/>
                <w:spacing w:val="-2"/>
                <w:highlight w:val="none"/>
              </w:rPr>
              <w:t>项目名称</w:t>
            </w:r>
          </w:p>
        </w:tc>
        <w:tc>
          <w:tcPr>
            <w:tcW w:w="1573" w:type="dxa"/>
            <w:tcBorders>
              <w:top w:val="single" w:color="000000" w:sz="4" w:space="0"/>
            </w:tcBorders>
            <w:vAlign w:val="top"/>
          </w:tcPr>
          <w:p w14:paraId="1D466390">
            <w:pPr>
              <w:spacing w:line="270" w:lineRule="auto"/>
              <w:rPr>
                <w:rFonts w:ascii="Arial"/>
                <w:color w:val="auto"/>
                <w:sz w:val="21"/>
                <w:highlight w:val="none"/>
              </w:rPr>
            </w:pPr>
          </w:p>
          <w:p w14:paraId="5BDD771B">
            <w:pPr>
              <w:pStyle w:val="11"/>
              <w:spacing w:before="69" w:line="221" w:lineRule="auto"/>
              <w:ind w:left="271"/>
              <w:rPr>
                <w:color w:val="auto"/>
                <w:highlight w:val="none"/>
              </w:rPr>
            </w:pPr>
            <w:r>
              <w:rPr>
                <w:color w:val="auto"/>
                <w:spacing w:val="-2"/>
                <w:highlight w:val="none"/>
              </w:rPr>
              <w:t>金额（元）</w:t>
            </w:r>
          </w:p>
        </w:tc>
        <w:tc>
          <w:tcPr>
            <w:tcW w:w="1573" w:type="dxa"/>
            <w:tcBorders>
              <w:top w:val="single" w:color="000000" w:sz="4" w:space="0"/>
            </w:tcBorders>
            <w:vAlign w:val="top"/>
          </w:tcPr>
          <w:p w14:paraId="7DEAA8E1">
            <w:pPr>
              <w:pStyle w:val="11"/>
              <w:spacing w:before="206" w:line="241" w:lineRule="auto"/>
              <w:ind w:left="381"/>
              <w:rPr>
                <w:color w:val="auto"/>
                <w:highlight w:val="none"/>
              </w:rPr>
            </w:pPr>
            <w:r>
              <w:rPr>
                <w:color w:val="auto"/>
                <w:spacing w:val="-2"/>
                <w:highlight w:val="none"/>
              </w:rPr>
              <w:t>结算金额</w:t>
            </w:r>
          </w:p>
          <w:p w14:paraId="0CFFB0CF">
            <w:pPr>
              <w:pStyle w:val="11"/>
              <w:spacing w:line="221" w:lineRule="auto"/>
              <w:ind w:left="488"/>
              <w:rPr>
                <w:color w:val="auto"/>
                <w:highlight w:val="none"/>
              </w:rPr>
            </w:pPr>
            <w:r>
              <w:rPr>
                <w:color w:val="auto"/>
                <w:spacing w:val="-5"/>
                <w:highlight w:val="none"/>
              </w:rPr>
              <w:t>（元）</w:t>
            </w:r>
          </w:p>
        </w:tc>
        <w:tc>
          <w:tcPr>
            <w:tcW w:w="1578" w:type="dxa"/>
            <w:tcBorders>
              <w:top w:val="single" w:color="000000" w:sz="4" w:space="0"/>
              <w:right w:val="single" w:color="000000" w:sz="4" w:space="0"/>
            </w:tcBorders>
            <w:vAlign w:val="top"/>
          </w:tcPr>
          <w:p w14:paraId="5ABE0980">
            <w:pPr>
              <w:spacing w:line="271" w:lineRule="auto"/>
              <w:rPr>
                <w:rFonts w:ascii="Arial"/>
                <w:color w:val="auto"/>
                <w:sz w:val="21"/>
                <w:highlight w:val="none"/>
              </w:rPr>
            </w:pPr>
          </w:p>
          <w:p w14:paraId="2097D3A5">
            <w:pPr>
              <w:pStyle w:val="11"/>
              <w:spacing w:before="68" w:line="222" w:lineRule="auto"/>
              <w:ind w:left="587"/>
              <w:rPr>
                <w:color w:val="auto"/>
                <w:highlight w:val="none"/>
              </w:rPr>
            </w:pPr>
            <w:r>
              <w:rPr>
                <w:color w:val="auto"/>
                <w:spacing w:val="-3"/>
                <w:highlight w:val="none"/>
              </w:rPr>
              <w:t>备注</w:t>
            </w:r>
          </w:p>
        </w:tc>
      </w:tr>
      <w:tr w14:paraId="39ACC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14:paraId="1177CEFD">
            <w:pPr>
              <w:spacing w:line="306" w:lineRule="auto"/>
              <w:rPr>
                <w:rFonts w:ascii="Arial"/>
                <w:color w:val="auto"/>
                <w:sz w:val="21"/>
                <w:highlight w:val="none"/>
              </w:rPr>
            </w:pPr>
          </w:p>
          <w:p w14:paraId="19D6B476">
            <w:pPr>
              <w:spacing w:before="69" w:line="183" w:lineRule="auto"/>
              <w:ind w:left="374"/>
              <w:rPr>
                <w:rFonts w:ascii="黑体" w:hAnsi="黑体" w:eastAsia="黑体" w:cs="黑体"/>
                <w:color w:val="auto"/>
                <w:sz w:val="21"/>
                <w:szCs w:val="21"/>
                <w:highlight w:val="none"/>
              </w:rPr>
            </w:pPr>
            <w:r>
              <w:rPr>
                <w:rFonts w:ascii="黑体" w:hAnsi="黑体" w:eastAsia="黑体" w:cs="黑体"/>
                <w:color w:val="auto"/>
                <w:sz w:val="21"/>
                <w:szCs w:val="21"/>
                <w:highlight w:val="none"/>
              </w:rPr>
              <w:t>1</w:t>
            </w:r>
          </w:p>
        </w:tc>
        <w:tc>
          <w:tcPr>
            <w:tcW w:w="2921" w:type="dxa"/>
            <w:vAlign w:val="top"/>
          </w:tcPr>
          <w:p w14:paraId="0B4021EF">
            <w:pPr>
              <w:spacing w:line="272" w:lineRule="auto"/>
              <w:rPr>
                <w:rFonts w:ascii="Arial"/>
                <w:color w:val="auto"/>
                <w:sz w:val="21"/>
                <w:highlight w:val="none"/>
              </w:rPr>
            </w:pPr>
          </w:p>
          <w:p w14:paraId="4389A56F">
            <w:pPr>
              <w:pStyle w:val="11"/>
              <w:spacing w:before="68" w:line="221" w:lineRule="auto"/>
              <w:ind w:left="118"/>
              <w:rPr>
                <w:color w:val="auto"/>
                <w:highlight w:val="none"/>
              </w:rPr>
            </w:pPr>
            <w:r>
              <w:rPr>
                <w:color w:val="auto"/>
                <w:spacing w:val="-2"/>
                <w:highlight w:val="none"/>
              </w:rPr>
              <w:t>暂列金额</w:t>
            </w:r>
          </w:p>
        </w:tc>
        <w:tc>
          <w:tcPr>
            <w:tcW w:w="1573" w:type="dxa"/>
            <w:vAlign w:val="top"/>
          </w:tcPr>
          <w:p w14:paraId="45A9ECA9">
            <w:pPr>
              <w:rPr>
                <w:rFonts w:ascii="Arial"/>
                <w:color w:val="auto"/>
                <w:sz w:val="21"/>
                <w:highlight w:val="none"/>
              </w:rPr>
            </w:pPr>
          </w:p>
        </w:tc>
        <w:tc>
          <w:tcPr>
            <w:tcW w:w="1573" w:type="dxa"/>
            <w:vAlign w:val="top"/>
          </w:tcPr>
          <w:p w14:paraId="7BD20682">
            <w:pPr>
              <w:rPr>
                <w:rFonts w:ascii="Arial"/>
                <w:color w:val="auto"/>
                <w:sz w:val="21"/>
                <w:highlight w:val="none"/>
              </w:rPr>
            </w:pPr>
          </w:p>
        </w:tc>
        <w:tc>
          <w:tcPr>
            <w:tcW w:w="1578" w:type="dxa"/>
            <w:tcBorders>
              <w:right w:val="single" w:color="000000" w:sz="4" w:space="0"/>
            </w:tcBorders>
            <w:vAlign w:val="top"/>
          </w:tcPr>
          <w:p w14:paraId="1B5D4F28">
            <w:pPr>
              <w:pStyle w:val="11"/>
              <w:spacing w:before="208" w:line="236" w:lineRule="auto"/>
              <w:ind w:left="393"/>
              <w:rPr>
                <w:color w:val="auto"/>
                <w:highlight w:val="none"/>
              </w:rPr>
            </w:pPr>
            <w:r>
              <w:rPr>
                <w:color w:val="auto"/>
                <w:spacing w:val="-5"/>
                <w:highlight w:val="none"/>
              </w:rPr>
              <w:t>明细详见</w:t>
            </w:r>
          </w:p>
          <w:p w14:paraId="0EF5F336">
            <w:pPr>
              <w:pStyle w:val="11"/>
              <w:spacing w:line="222" w:lineRule="auto"/>
              <w:ind w:left="387"/>
              <w:rPr>
                <w:rFonts w:ascii="Times New Roman" w:hAnsi="Times New Roman" w:eastAsia="Times New Roman" w:cs="Times New Roman"/>
                <w:color w:val="auto"/>
                <w:highlight w:val="none"/>
              </w:rPr>
            </w:pPr>
            <w:r>
              <w:rPr>
                <w:color w:val="auto"/>
                <w:spacing w:val="-2"/>
                <w:highlight w:val="none"/>
              </w:rPr>
              <w:t>表</w:t>
            </w:r>
            <w:r>
              <w:rPr>
                <w:color w:val="auto"/>
                <w:spacing w:val="-43"/>
                <w:highlight w:val="none"/>
              </w:rPr>
              <w:t xml:space="preserve"> </w:t>
            </w:r>
            <w:r>
              <w:rPr>
                <w:rFonts w:ascii="Times New Roman" w:hAnsi="Times New Roman" w:eastAsia="Times New Roman" w:cs="Times New Roman"/>
                <w:color w:val="auto"/>
                <w:spacing w:val="-2"/>
                <w:highlight w:val="none"/>
              </w:rPr>
              <w:t>4.12-</w:t>
            </w:r>
            <w:r>
              <w:rPr>
                <w:rFonts w:ascii="Times New Roman" w:hAnsi="Times New Roman" w:eastAsia="Times New Roman" w:cs="Times New Roman"/>
                <w:color w:val="auto"/>
                <w:spacing w:val="-26"/>
                <w:highlight w:val="none"/>
              </w:rPr>
              <w:t xml:space="preserve"> </w:t>
            </w:r>
            <w:r>
              <w:rPr>
                <w:rFonts w:ascii="Times New Roman" w:hAnsi="Times New Roman" w:eastAsia="Times New Roman" w:cs="Times New Roman"/>
                <w:color w:val="auto"/>
                <w:spacing w:val="-2"/>
                <w:highlight w:val="none"/>
              </w:rPr>
              <w:t>1</w:t>
            </w:r>
          </w:p>
        </w:tc>
      </w:tr>
      <w:tr w14:paraId="4E0FE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825" w:type="dxa"/>
            <w:tcBorders>
              <w:left w:val="single" w:color="000000" w:sz="4" w:space="0"/>
              <w:bottom w:val="single" w:color="000000" w:sz="4" w:space="0"/>
            </w:tcBorders>
            <w:vAlign w:val="top"/>
          </w:tcPr>
          <w:p w14:paraId="38E628F3">
            <w:pPr>
              <w:spacing w:line="306" w:lineRule="auto"/>
              <w:rPr>
                <w:rFonts w:ascii="Arial"/>
                <w:color w:val="auto"/>
                <w:sz w:val="21"/>
                <w:highlight w:val="none"/>
              </w:rPr>
            </w:pPr>
          </w:p>
          <w:p w14:paraId="25E46199">
            <w:pPr>
              <w:spacing w:before="68" w:line="184" w:lineRule="auto"/>
              <w:ind w:left="361"/>
              <w:rPr>
                <w:rFonts w:ascii="黑体" w:hAnsi="黑体" w:eastAsia="黑体" w:cs="黑体"/>
                <w:color w:val="auto"/>
                <w:sz w:val="21"/>
                <w:szCs w:val="21"/>
                <w:highlight w:val="none"/>
              </w:rPr>
            </w:pPr>
            <w:r>
              <w:rPr>
                <w:rFonts w:ascii="黑体" w:hAnsi="黑体" w:eastAsia="黑体" w:cs="黑体"/>
                <w:color w:val="auto"/>
                <w:sz w:val="21"/>
                <w:szCs w:val="21"/>
                <w:highlight w:val="none"/>
              </w:rPr>
              <w:t>2</w:t>
            </w:r>
          </w:p>
        </w:tc>
        <w:tc>
          <w:tcPr>
            <w:tcW w:w="2921" w:type="dxa"/>
            <w:vAlign w:val="top"/>
          </w:tcPr>
          <w:p w14:paraId="1A033378">
            <w:pPr>
              <w:spacing w:line="273" w:lineRule="auto"/>
              <w:rPr>
                <w:rFonts w:ascii="Arial"/>
                <w:color w:val="auto"/>
                <w:sz w:val="21"/>
                <w:highlight w:val="none"/>
              </w:rPr>
            </w:pPr>
          </w:p>
          <w:p w14:paraId="102A22F9">
            <w:pPr>
              <w:pStyle w:val="11"/>
              <w:spacing w:before="68" w:line="219" w:lineRule="auto"/>
              <w:ind w:left="118"/>
              <w:rPr>
                <w:color w:val="auto"/>
                <w:highlight w:val="none"/>
              </w:rPr>
            </w:pPr>
            <w:r>
              <w:rPr>
                <w:color w:val="auto"/>
                <w:spacing w:val="-3"/>
                <w:highlight w:val="none"/>
              </w:rPr>
              <w:t>暂估价</w:t>
            </w:r>
          </w:p>
        </w:tc>
        <w:tc>
          <w:tcPr>
            <w:tcW w:w="1573" w:type="dxa"/>
            <w:vAlign w:val="top"/>
          </w:tcPr>
          <w:p w14:paraId="4908B3E6">
            <w:pPr>
              <w:rPr>
                <w:rFonts w:ascii="Arial"/>
                <w:color w:val="auto"/>
                <w:sz w:val="21"/>
                <w:highlight w:val="none"/>
              </w:rPr>
            </w:pPr>
          </w:p>
        </w:tc>
        <w:tc>
          <w:tcPr>
            <w:tcW w:w="1573" w:type="dxa"/>
            <w:vAlign w:val="top"/>
          </w:tcPr>
          <w:p w14:paraId="6A09EF7F">
            <w:pPr>
              <w:rPr>
                <w:rFonts w:ascii="Arial"/>
                <w:color w:val="auto"/>
                <w:sz w:val="21"/>
                <w:highlight w:val="none"/>
              </w:rPr>
            </w:pPr>
          </w:p>
        </w:tc>
        <w:tc>
          <w:tcPr>
            <w:tcW w:w="1578" w:type="dxa"/>
            <w:tcBorders>
              <w:right w:val="single" w:color="000000" w:sz="4" w:space="0"/>
            </w:tcBorders>
            <w:vAlign w:val="top"/>
          </w:tcPr>
          <w:p w14:paraId="59B2A671">
            <w:pPr>
              <w:rPr>
                <w:rFonts w:ascii="Arial"/>
                <w:color w:val="auto"/>
                <w:sz w:val="21"/>
                <w:highlight w:val="none"/>
              </w:rPr>
            </w:pPr>
          </w:p>
        </w:tc>
      </w:tr>
      <w:tr w14:paraId="72B1C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9" w:hRule="atLeast"/>
        </w:trPr>
        <w:tc>
          <w:tcPr>
            <w:tcW w:w="825" w:type="dxa"/>
            <w:tcBorders>
              <w:top w:val="single" w:color="000000" w:sz="4" w:space="0"/>
              <w:left w:val="single" w:color="000000" w:sz="4" w:space="0"/>
            </w:tcBorders>
            <w:vAlign w:val="top"/>
          </w:tcPr>
          <w:p w14:paraId="786F940C">
            <w:pPr>
              <w:spacing w:line="307" w:lineRule="auto"/>
              <w:rPr>
                <w:rFonts w:ascii="Arial"/>
                <w:color w:val="auto"/>
                <w:sz w:val="21"/>
                <w:highlight w:val="none"/>
              </w:rPr>
            </w:pPr>
          </w:p>
          <w:p w14:paraId="41E84C1A">
            <w:pPr>
              <w:spacing w:before="68" w:line="184" w:lineRule="auto"/>
              <w:ind w:left="256"/>
              <w:rPr>
                <w:rFonts w:ascii="黑体" w:hAnsi="黑体" w:eastAsia="黑体" w:cs="黑体"/>
                <w:color w:val="auto"/>
                <w:sz w:val="21"/>
                <w:szCs w:val="21"/>
                <w:highlight w:val="none"/>
              </w:rPr>
            </w:pPr>
            <w:r>
              <w:rPr>
                <w:rFonts w:ascii="黑体" w:hAnsi="黑体" w:eastAsia="黑体" w:cs="黑体"/>
                <w:color w:val="auto"/>
                <w:spacing w:val="-2"/>
                <w:sz w:val="21"/>
                <w:szCs w:val="21"/>
                <w:highlight w:val="none"/>
              </w:rPr>
              <w:t>2.1</w:t>
            </w:r>
          </w:p>
        </w:tc>
        <w:tc>
          <w:tcPr>
            <w:tcW w:w="2921" w:type="dxa"/>
            <w:vAlign w:val="top"/>
          </w:tcPr>
          <w:p w14:paraId="0A9EFF64">
            <w:pPr>
              <w:spacing w:line="274" w:lineRule="auto"/>
              <w:rPr>
                <w:rFonts w:ascii="Arial"/>
                <w:color w:val="auto"/>
                <w:sz w:val="21"/>
                <w:highlight w:val="none"/>
              </w:rPr>
            </w:pPr>
          </w:p>
          <w:p w14:paraId="3CBDAE76">
            <w:pPr>
              <w:pStyle w:val="11"/>
              <w:spacing w:before="68" w:line="219" w:lineRule="auto"/>
              <w:ind w:left="112"/>
              <w:rPr>
                <w:color w:val="auto"/>
                <w:highlight w:val="none"/>
              </w:rPr>
            </w:pPr>
            <w:r>
              <w:rPr>
                <w:color w:val="auto"/>
                <w:spacing w:val="-1"/>
                <w:highlight w:val="none"/>
              </w:rPr>
              <w:t>材料（工程设备）暂估价</w:t>
            </w:r>
          </w:p>
        </w:tc>
        <w:tc>
          <w:tcPr>
            <w:tcW w:w="1573" w:type="dxa"/>
            <w:vAlign w:val="top"/>
          </w:tcPr>
          <w:p w14:paraId="746DAC93">
            <w:pPr>
              <w:spacing w:line="373" w:lineRule="auto"/>
              <w:rPr>
                <w:rFonts w:ascii="Arial"/>
                <w:color w:val="auto"/>
                <w:sz w:val="21"/>
                <w:highlight w:val="none"/>
              </w:rPr>
            </w:pPr>
          </w:p>
          <w:p w14:paraId="5A39CF1D">
            <w:pPr>
              <w:pStyle w:val="11"/>
              <w:spacing w:before="68" w:line="142" w:lineRule="exact"/>
              <w:ind w:left="685"/>
              <w:rPr>
                <w:color w:val="auto"/>
                <w:highlight w:val="none"/>
              </w:rPr>
            </w:pPr>
            <w:r>
              <w:rPr>
                <w:color w:val="auto"/>
                <w:position w:val="-3"/>
                <w:highlight w:val="none"/>
              </w:rPr>
              <w:t>—</w:t>
            </w:r>
          </w:p>
        </w:tc>
        <w:tc>
          <w:tcPr>
            <w:tcW w:w="1573" w:type="dxa"/>
            <w:vAlign w:val="top"/>
          </w:tcPr>
          <w:p w14:paraId="027DC4D0">
            <w:pPr>
              <w:rPr>
                <w:rFonts w:ascii="Arial"/>
                <w:color w:val="auto"/>
                <w:sz w:val="21"/>
                <w:highlight w:val="none"/>
              </w:rPr>
            </w:pPr>
          </w:p>
        </w:tc>
        <w:tc>
          <w:tcPr>
            <w:tcW w:w="1578" w:type="dxa"/>
            <w:tcBorders>
              <w:right w:val="single" w:color="000000" w:sz="4" w:space="0"/>
            </w:tcBorders>
            <w:vAlign w:val="top"/>
          </w:tcPr>
          <w:p w14:paraId="6E0A2E0E">
            <w:pPr>
              <w:pStyle w:val="11"/>
              <w:spacing w:before="204" w:line="241" w:lineRule="auto"/>
              <w:ind w:left="393"/>
              <w:rPr>
                <w:color w:val="auto"/>
                <w:highlight w:val="none"/>
              </w:rPr>
            </w:pPr>
            <w:r>
              <w:rPr>
                <w:color w:val="auto"/>
                <w:spacing w:val="-5"/>
                <w:highlight w:val="none"/>
              </w:rPr>
              <w:t>明细详见</w:t>
            </w:r>
          </w:p>
          <w:p w14:paraId="7F88665B">
            <w:pPr>
              <w:pStyle w:val="11"/>
              <w:spacing w:line="222" w:lineRule="auto"/>
              <w:ind w:left="387"/>
              <w:rPr>
                <w:rFonts w:ascii="Times New Roman" w:hAnsi="Times New Roman" w:eastAsia="Times New Roman" w:cs="Times New Roman"/>
                <w:color w:val="auto"/>
                <w:highlight w:val="none"/>
              </w:rPr>
            </w:pPr>
            <w:r>
              <w:rPr>
                <w:color w:val="auto"/>
                <w:spacing w:val="-1"/>
                <w:highlight w:val="none"/>
              </w:rPr>
              <w:t>表</w:t>
            </w:r>
            <w:r>
              <w:rPr>
                <w:color w:val="auto"/>
                <w:spacing w:val="-48"/>
                <w:highlight w:val="none"/>
              </w:rPr>
              <w:t xml:space="preserve"> </w:t>
            </w:r>
            <w:r>
              <w:rPr>
                <w:rFonts w:ascii="Times New Roman" w:hAnsi="Times New Roman" w:eastAsia="Times New Roman" w:cs="Times New Roman"/>
                <w:color w:val="auto"/>
                <w:spacing w:val="-1"/>
                <w:highlight w:val="none"/>
              </w:rPr>
              <w:t>4.12-2</w:t>
            </w:r>
          </w:p>
        </w:tc>
      </w:tr>
      <w:tr w14:paraId="48B38A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825" w:type="dxa"/>
            <w:tcBorders>
              <w:left w:val="single" w:color="000000" w:sz="4" w:space="0"/>
            </w:tcBorders>
            <w:vAlign w:val="top"/>
          </w:tcPr>
          <w:p w14:paraId="4E656D08">
            <w:pPr>
              <w:spacing w:line="306" w:lineRule="auto"/>
              <w:rPr>
                <w:rFonts w:ascii="Arial"/>
                <w:color w:val="auto"/>
                <w:sz w:val="21"/>
                <w:highlight w:val="none"/>
              </w:rPr>
            </w:pPr>
          </w:p>
          <w:p w14:paraId="5ECB4C06">
            <w:pPr>
              <w:spacing w:before="68" w:line="184" w:lineRule="auto"/>
              <w:ind w:left="256"/>
              <w:rPr>
                <w:rFonts w:ascii="黑体" w:hAnsi="黑体" w:eastAsia="黑体" w:cs="黑体"/>
                <w:color w:val="auto"/>
                <w:sz w:val="21"/>
                <w:szCs w:val="21"/>
                <w:highlight w:val="none"/>
              </w:rPr>
            </w:pPr>
            <w:r>
              <w:rPr>
                <w:rFonts w:ascii="黑体" w:hAnsi="黑体" w:eastAsia="黑体" w:cs="黑体"/>
                <w:color w:val="auto"/>
                <w:spacing w:val="-2"/>
                <w:sz w:val="21"/>
                <w:szCs w:val="21"/>
                <w:highlight w:val="none"/>
              </w:rPr>
              <w:t>2.2</w:t>
            </w:r>
          </w:p>
        </w:tc>
        <w:tc>
          <w:tcPr>
            <w:tcW w:w="2921" w:type="dxa"/>
            <w:vAlign w:val="top"/>
          </w:tcPr>
          <w:p w14:paraId="0D558B2C">
            <w:pPr>
              <w:spacing w:line="273" w:lineRule="auto"/>
              <w:rPr>
                <w:rFonts w:ascii="Arial"/>
                <w:color w:val="auto"/>
                <w:sz w:val="21"/>
                <w:highlight w:val="none"/>
              </w:rPr>
            </w:pPr>
          </w:p>
          <w:p w14:paraId="465A2B13">
            <w:pPr>
              <w:pStyle w:val="11"/>
              <w:spacing w:before="68" w:line="219" w:lineRule="auto"/>
              <w:ind w:left="113"/>
              <w:rPr>
                <w:color w:val="auto"/>
                <w:highlight w:val="none"/>
              </w:rPr>
            </w:pPr>
            <w:r>
              <w:rPr>
                <w:color w:val="auto"/>
                <w:spacing w:val="-1"/>
                <w:highlight w:val="none"/>
              </w:rPr>
              <w:t>专业工程暂估价</w:t>
            </w:r>
          </w:p>
        </w:tc>
        <w:tc>
          <w:tcPr>
            <w:tcW w:w="1573" w:type="dxa"/>
            <w:vAlign w:val="top"/>
          </w:tcPr>
          <w:p w14:paraId="30945C9C">
            <w:pPr>
              <w:rPr>
                <w:rFonts w:ascii="Arial"/>
                <w:color w:val="auto"/>
                <w:sz w:val="21"/>
                <w:highlight w:val="none"/>
              </w:rPr>
            </w:pPr>
          </w:p>
        </w:tc>
        <w:tc>
          <w:tcPr>
            <w:tcW w:w="1573" w:type="dxa"/>
            <w:vAlign w:val="top"/>
          </w:tcPr>
          <w:p w14:paraId="349838F8">
            <w:pPr>
              <w:rPr>
                <w:rFonts w:ascii="Arial"/>
                <w:color w:val="auto"/>
                <w:sz w:val="21"/>
                <w:highlight w:val="none"/>
              </w:rPr>
            </w:pPr>
          </w:p>
        </w:tc>
        <w:tc>
          <w:tcPr>
            <w:tcW w:w="1578" w:type="dxa"/>
            <w:tcBorders>
              <w:right w:val="single" w:color="000000" w:sz="4" w:space="0"/>
            </w:tcBorders>
            <w:vAlign w:val="top"/>
          </w:tcPr>
          <w:p w14:paraId="241ED1E1">
            <w:pPr>
              <w:pStyle w:val="11"/>
              <w:spacing w:before="208" w:line="241" w:lineRule="auto"/>
              <w:ind w:left="393"/>
              <w:rPr>
                <w:color w:val="auto"/>
                <w:highlight w:val="none"/>
              </w:rPr>
            </w:pPr>
            <w:r>
              <w:rPr>
                <w:color w:val="auto"/>
                <w:spacing w:val="-5"/>
                <w:highlight w:val="none"/>
              </w:rPr>
              <w:t>明细详见</w:t>
            </w:r>
          </w:p>
          <w:p w14:paraId="1412D227">
            <w:pPr>
              <w:pStyle w:val="11"/>
              <w:spacing w:line="222" w:lineRule="auto"/>
              <w:ind w:left="387"/>
              <w:rPr>
                <w:rFonts w:ascii="Times New Roman" w:hAnsi="Times New Roman" w:eastAsia="Times New Roman" w:cs="Times New Roman"/>
                <w:color w:val="auto"/>
                <w:highlight w:val="none"/>
              </w:rPr>
            </w:pPr>
            <w:r>
              <w:rPr>
                <w:color w:val="auto"/>
                <w:spacing w:val="-1"/>
                <w:highlight w:val="none"/>
              </w:rPr>
              <w:t>表</w:t>
            </w:r>
            <w:r>
              <w:rPr>
                <w:color w:val="auto"/>
                <w:spacing w:val="-48"/>
                <w:highlight w:val="none"/>
              </w:rPr>
              <w:t xml:space="preserve"> </w:t>
            </w:r>
            <w:r>
              <w:rPr>
                <w:rFonts w:ascii="Times New Roman" w:hAnsi="Times New Roman" w:eastAsia="Times New Roman" w:cs="Times New Roman"/>
                <w:color w:val="auto"/>
                <w:spacing w:val="-1"/>
                <w:highlight w:val="none"/>
              </w:rPr>
              <w:t>4.12-3</w:t>
            </w:r>
          </w:p>
        </w:tc>
      </w:tr>
      <w:tr w14:paraId="16E77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14:paraId="6CCE57D5">
            <w:pPr>
              <w:spacing w:line="311" w:lineRule="auto"/>
              <w:rPr>
                <w:rFonts w:ascii="Arial"/>
                <w:color w:val="auto"/>
                <w:sz w:val="21"/>
                <w:highlight w:val="none"/>
              </w:rPr>
            </w:pPr>
          </w:p>
          <w:p w14:paraId="34FE0CDA">
            <w:pPr>
              <w:spacing w:before="68" w:line="184" w:lineRule="auto"/>
              <w:ind w:left="363"/>
              <w:rPr>
                <w:rFonts w:ascii="黑体" w:hAnsi="黑体" w:eastAsia="黑体" w:cs="黑体"/>
                <w:color w:val="auto"/>
                <w:sz w:val="21"/>
                <w:szCs w:val="21"/>
                <w:highlight w:val="none"/>
              </w:rPr>
            </w:pPr>
            <w:r>
              <w:rPr>
                <w:rFonts w:ascii="黑体" w:hAnsi="黑体" w:eastAsia="黑体" w:cs="黑体"/>
                <w:color w:val="auto"/>
                <w:sz w:val="21"/>
                <w:szCs w:val="21"/>
                <w:highlight w:val="none"/>
              </w:rPr>
              <w:t>3</w:t>
            </w:r>
          </w:p>
        </w:tc>
        <w:tc>
          <w:tcPr>
            <w:tcW w:w="2921" w:type="dxa"/>
            <w:vAlign w:val="top"/>
          </w:tcPr>
          <w:p w14:paraId="67BE4E4C">
            <w:pPr>
              <w:spacing w:line="278" w:lineRule="auto"/>
              <w:rPr>
                <w:rFonts w:ascii="Arial"/>
                <w:color w:val="auto"/>
                <w:sz w:val="21"/>
                <w:highlight w:val="none"/>
              </w:rPr>
            </w:pPr>
          </w:p>
          <w:p w14:paraId="76FE7E64">
            <w:pPr>
              <w:pStyle w:val="11"/>
              <w:spacing w:before="68" w:line="222" w:lineRule="auto"/>
              <w:ind w:left="112"/>
              <w:rPr>
                <w:color w:val="auto"/>
                <w:highlight w:val="none"/>
              </w:rPr>
            </w:pPr>
            <w:r>
              <w:rPr>
                <w:color w:val="auto"/>
                <w:spacing w:val="-2"/>
                <w:highlight w:val="none"/>
              </w:rPr>
              <w:t>计日工</w:t>
            </w:r>
          </w:p>
        </w:tc>
        <w:tc>
          <w:tcPr>
            <w:tcW w:w="1573" w:type="dxa"/>
            <w:vAlign w:val="top"/>
          </w:tcPr>
          <w:p w14:paraId="1C0D1C37">
            <w:pPr>
              <w:rPr>
                <w:rFonts w:ascii="Arial"/>
                <w:color w:val="auto"/>
                <w:sz w:val="21"/>
                <w:highlight w:val="none"/>
              </w:rPr>
            </w:pPr>
          </w:p>
        </w:tc>
        <w:tc>
          <w:tcPr>
            <w:tcW w:w="1573" w:type="dxa"/>
            <w:vAlign w:val="top"/>
          </w:tcPr>
          <w:p w14:paraId="29984B2F">
            <w:pPr>
              <w:rPr>
                <w:rFonts w:ascii="Arial"/>
                <w:color w:val="auto"/>
                <w:sz w:val="21"/>
                <w:highlight w:val="none"/>
              </w:rPr>
            </w:pPr>
          </w:p>
        </w:tc>
        <w:tc>
          <w:tcPr>
            <w:tcW w:w="1578" w:type="dxa"/>
            <w:tcBorders>
              <w:right w:val="single" w:color="000000" w:sz="4" w:space="0"/>
            </w:tcBorders>
            <w:vAlign w:val="top"/>
          </w:tcPr>
          <w:p w14:paraId="05FC66FA">
            <w:pPr>
              <w:pStyle w:val="11"/>
              <w:spacing w:before="214" w:line="236" w:lineRule="auto"/>
              <w:ind w:left="393"/>
              <w:rPr>
                <w:color w:val="auto"/>
                <w:highlight w:val="none"/>
              </w:rPr>
            </w:pPr>
            <w:r>
              <w:rPr>
                <w:color w:val="auto"/>
                <w:spacing w:val="-5"/>
                <w:highlight w:val="none"/>
              </w:rPr>
              <w:t>明细详见</w:t>
            </w:r>
          </w:p>
          <w:p w14:paraId="43557B64">
            <w:pPr>
              <w:pStyle w:val="11"/>
              <w:spacing w:line="222" w:lineRule="auto"/>
              <w:ind w:left="387"/>
              <w:rPr>
                <w:rFonts w:ascii="Times New Roman" w:hAnsi="Times New Roman" w:eastAsia="Times New Roman" w:cs="Times New Roman"/>
                <w:color w:val="auto"/>
                <w:highlight w:val="none"/>
              </w:rPr>
            </w:pPr>
            <w:r>
              <w:rPr>
                <w:color w:val="auto"/>
                <w:spacing w:val="-1"/>
                <w:highlight w:val="none"/>
              </w:rPr>
              <w:t>表</w:t>
            </w:r>
            <w:r>
              <w:rPr>
                <w:color w:val="auto"/>
                <w:spacing w:val="-48"/>
                <w:highlight w:val="none"/>
              </w:rPr>
              <w:t xml:space="preserve"> </w:t>
            </w:r>
            <w:r>
              <w:rPr>
                <w:rFonts w:ascii="Times New Roman" w:hAnsi="Times New Roman" w:eastAsia="Times New Roman" w:cs="Times New Roman"/>
                <w:color w:val="auto"/>
                <w:spacing w:val="-1"/>
                <w:highlight w:val="none"/>
              </w:rPr>
              <w:t>4.12-4</w:t>
            </w:r>
          </w:p>
        </w:tc>
      </w:tr>
      <w:tr w14:paraId="02731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14:paraId="1C58131E">
            <w:pPr>
              <w:spacing w:line="313" w:lineRule="auto"/>
              <w:rPr>
                <w:rFonts w:ascii="Arial"/>
                <w:color w:val="auto"/>
                <w:sz w:val="21"/>
                <w:highlight w:val="none"/>
              </w:rPr>
            </w:pPr>
          </w:p>
          <w:p w14:paraId="20B49E4F">
            <w:pPr>
              <w:spacing w:before="68" w:line="183" w:lineRule="auto"/>
              <w:ind w:left="357"/>
              <w:rPr>
                <w:rFonts w:ascii="黑体" w:hAnsi="黑体" w:eastAsia="黑体" w:cs="黑体"/>
                <w:color w:val="auto"/>
                <w:sz w:val="21"/>
                <w:szCs w:val="21"/>
                <w:highlight w:val="none"/>
              </w:rPr>
            </w:pPr>
            <w:r>
              <w:rPr>
                <w:rFonts w:ascii="黑体" w:hAnsi="黑体" w:eastAsia="黑体" w:cs="黑体"/>
                <w:color w:val="auto"/>
                <w:sz w:val="21"/>
                <w:szCs w:val="21"/>
                <w:highlight w:val="none"/>
              </w:rPr>
              <w:t>4</w:t>
            </w:r>
          </w:p>
        </w:tc>
        <w:tc>
          <w:tcPr>
            <w:tcW w:w="2921" w:type="dxa"/>
            <w:vAlign w:val="top"/>
          </w:tcPr>
          <w:p w14:paraId="03BD6493">
            <w:pPr>
              <w:spacing w:line="278" w:lineRule="auto"/>
              <w:rPr>
                <w:rFonts w:ascii="Arial"/>
                <w:color w:val="auto"/>
                <w:sz w:val="21"/>
                <w:highlight w:val="none"/>
              </w:rPr>
            </w:pPr>
          </w:p>
          <w:p w14:paraId="4D4AA944">
            <w:pPr>
              <w:pStyle w:val="11"/>
              <w:spacing w:before="68" w:line="221" w:lineRule="auto"/>
              <w:ind w:left="117"/>
              <w:rPr>
                <w:color w:val="auto"/>
                <w:highlight w:val="none"/>
              </w:rPr>
            </w:pPr>
            <w:r>
              <w:rPr>
                <w:color w:val="auto"/>
                <w:spacing w:val="-2"/>
                <w:highlight w:val="none"/>
              </w:rPr>
              <w:t>总承包服务费</w:t>
            </w:r>
          </w:p>
        </w:tc>
        <w:tc>
          <w:tcPr>
            <w:tcW w:w="1573" w:type="dxa"/>
            <w:vAlign w:val="top"/>
          </w:tcPr>
          <w:p w14:paraId="34B085FE">
            <w:pPr>
              <w:rPr>
                <w:rFonts w:ascii="Arial"/>
                <w:color w:val="auto"/>
                <w:sz w:val="21"/>
                <w:highlight w:val="none"/>
              </w:rPr>
            </w:pPr>
          </w:p>
        </w:tc>
        <w:tc>
          <w:tcPr>
            <w:tcW w:w="1573" w:type="dxa"/>
            <w:vAlign w:val="top"/>
          </w:tcPr>
          <w:p w14:paraId="394C8638">
            <w:pPr>
              <w:rPr>
                <w:rFonts w:ascii="Arial"/>
                <w:color w:val="auto"/>
                <w:sz w:val="21"/>
                <w:highlight w:val="none"/>
              </w:rPr>
            </w:pPr>
          </w:p>
        </w:tc>
        <w:tc>
          <w:tcPr>
            <w:tcW w:w="1578" w:type="dxa"/>
            <w:tcBorders>
              <w:right w:val="single" w:color="000000" w:sz="4" w:space="0"/>
            </w:tcBorders>
            <w:vAlign w:val="top"/>
          </w:tcPr>
          <w:p w14:paraId="6CA685F0">
            <w:pPr>
              <w:pStyle w:val="11"/>
              <w:spacing w:before="209" w:line="241" w:lineRule="auto"/>
              <w:ind w:left="393"/>
              <w:rPr>
                <w:color w:val="auto"/>
                <w:highlight w:val="none"/>
              </w:rPr>
            </w:pPr>
            <w:r>
              <w:rPr>
                <w:color w:val="auto"/>
                <w:spacing w:val="-5"/>
                <w:highlight w:val="none"/>
              </w:rPr>
              <w:t>明细详见</w:t>
            </w:r>
          </w:p>
          <w:p w14:paraId="2986DB75">
            <w:pPr>
              <w:pStyle w:val="11"/>
              <w:spacing w:line="222" w:lineRule="auto"/>
              <w:ind w:left="387"/>
              <w:rPr>
                <w:rFonts w:ascii="Times New Roman" w:hAnsi="Times New Roman" w:eastAsia="Times New Roman" w:cs="Times New Roman"/>
                <w:color w:val="auto"/>
                <w:highlight w:val="none"/>
              </w:rPr>
            </w:pPr>
            <w:r>
              <w:rPr>
                <w:color w:val="auto"/>
                <w:spacing w:val="-1"/>
                <w:highlight w:val="none"/>
              </w:rPr>
              <w:t>表</w:t>
            </w:r>
            <w:r>
              <w:rPr>
                <w:color w:val="auto"/>
                <w:spacing w:val="-48"/>
                <w:highlight w:val="none"/>
              </w:rPr>
              <w:t xml:space="preserve"> </w:t>
            </w:r>
            <w:r>
              <w:rPr>
                <w:rFonts w:ascii="Times New Roman" w:hAnsi="Times New Roman" w:eastAsia="Times New Roman" w:cs="Times New Roman"/>
                <w:color w:val="auto"/>
                <w:spacing w:val="-1"/>
                <w:highlight w:val="none"/>
              </w:rPr>
              <w:t>4.12-5</w:t>
            </w:r>
          </w:p>
        </w:tc>
      </w:tr>
      <w:tr w14:paraId="34203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825" w:type="dxa"/>
            <w:tcBorders>
              <w:left w:val="single" w:color="000000" w:sz="4" w:space="0"/>
            </w:tcBorders>
            <w:vAlign w:val="top"/>
          </w:tcPr>
          <w:p w14:paraId="0B337271">
            <w:pPr>
              <w:spacing w:line="326" w:lineRule="auto"/>
              <w:rPr>
                <w:rFonts w:ascii="Arial"/>
                <w:color w:val="auto"/>
                <w:sz w:val="21"/>
                <w:highlight w:val="none"/>
              </w:rPr>
            </w:pPr>
          </w:p>
          <w:p w14:paraId="28C6C358">
            <w:pPr>
              <w:spacing w:before="60" w:line="186" w:lineRule="auto"/>
              <w:ind w:left="365"/>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w:t>
            </w:r>
          </w:p>
        </w:tc>
        <w:tc>
          <w:tcPr>
            <w:tcW w:w="2921" w:type="dxa"/>
            <w:vAlign w:val="top"/>
          </w:tcPr>
          <w:p w14:paraId="6A4F20B3">
            <w:pPr>
              <w:spacing w:line="274" w:lineRule="auto"/>
              <w:rPr>
                <w:rFonts w:ascii="Arial"/>
                <w:color w:val="auto"/>
                <w:sz w:val="21"/>
                <w:highlight w:val="none"/>
              </w:rPr>
            </w:pPr>
          </w:p>
          <w:p w14:paraId="6414C23F">
            <w:pPr>
              <w:pStyle w:val="11"/>
              <w:spacing w:before="69" w:line="221" w:lineRule="auto"/>
              <w:ind w:left="113"/>
              <w:rPr>
                <w:color w:val="auto"/>
                <w:highlight w:val="none"/>
              </w:rPr>
            </w:pPr>
            <w:r>
              <w:rPr>
                <w:color w:val="auto"/>
                <w:spacing w:val="-2"/>
                <w:highlight w:val="none"/>
              </w:rPr>
              <w:t>其他</w:t>
            </w:r>
          </w:p>
        </w:tc>
        <w:tc>
          <w:tcPr>
            <w:tcW w:w="1573" w:type="dxa"/>
            <w:vAlign w:val="top"/>
          </w:tcPr>
          <w:p w14:paraId="6872A9B6">
            <w:pPr>
              <w:rPr>
                <w:rFonts w:ascii="Arial"/>
                <w:color w:val="auto"/>
                <w:sz w:val="21"/>
                <w:highlight w:val="none"/>
              </w:rPr>
            </w:pPr>
          </w:p>
        </w:tc>
        <w:tc>
          <w:tcPr>
            <w:tcW w:w="1573" w:type="dxa"/>
            <w:vAlign w:val="top"/>
          </w:tcPr>
          <w:p w14:paraId="22C59656">
            <w:pPr>
              <w:rPr>
                <w:rFonts w:ascii="Arial"/>
                <w:color w:val="auto"/>
                <w:sz w:val="21"/>
                <w:highlight w:val="none"/>
              </w:rPr>
            </w:pPr>
          </w:p>
        </w:tc>
        <w:tc>
          <w:tcPr>
            <w:tcW w:w="1578" w:type="dxa"/>
            <w:tcBorders>
              <w:right w:val="single" w:color="000000" w:sz="4" w:space="0"/>
            </w:tcBorders>
            <w:vAlign w:val="top"/>
          </w:tcPr>
          <w:p w14:paraId="746ECBF0">
            <w:pPr>
              <w:rPr>
                <w:rFonts w:ascii="Arial"/>
                <w:color w:val="auto"/>
                <w:sz w:val="21"/>
                <w:highlight w:val="none"/>
              </w:rPr>
            </w:pPr>
          </w:p>
        </w:tc>
      </w:tr>
      <w:tr w14:paraId="56A69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14:paraId="161F6031">
            <w:pPr>
              <w:rPr>
                <w:rFonts w:ascii="Arial"/>
                <w:color w:val="auto"/>
                <w:sz w:val="21"/>
                <w:highlight w:val="none"/>
              </w:rPr>
            </w:pPr>
          </w:p>
        </w:tc>
        <w:tc>
          <w:tcPr>
            <w:tcW w:w="2921" w:type="dxa"/>
            <w:vAlign w:val="top"/>
          </w:tcPr>
          <w:p w14:paraId="74FF89E9">
            <w:pPr>
              <w:rPr>
                <w:rFonts w:ascii="Arial"/>
                <w:color w:val="auto"/>
                <w:sz w:val="21"/>
                <w:highlight w:val="none"/>
              </w:rPr>
            </w:pPr>
          </w:p>
        </w:tc>
        <w:tc>
          <w:tcPr>
            <w:tcW w:w="1573" w:type="dxa"/>
            <w:vAlign w:val="top"/>
          </w:tcPr>
          <w:p w14:paraId="5AB117C5">
            <w:pPr>
              <w:rPr>
                <w:rFonts w:ascii="Arial"/>
                <w:color w:val="auto"/>
                <w:sz w:val="21"/>
                <w:highlight w:val="none"/>
              </w:rPr>
            </w:pPr>
          </w:p>
        </w:tc>
        <w:tc>
          <w:tcPr>
            <w:tcW w:w="1573" w:type="dxa"/>
            <w:vAlign w:val="top"/>
          </w:tcPr>
          <w:p w14:paraId="28321965">
            <w:pPr>
              <w:rPr>
                <w:rFonts w:ascii="Arial"/>
                <w:color w:val="auto"/>
                <w:sz w:val="21"/>
                <w:highlight w:val="none"/>
              </w:rPr>
            </w:pPr>
          </w:p>
        </w:tc>
        <w:tc>
          <w:tcPr>
            <w:tcW w:w="1578" w:type="dxa"/>
            <w:tcBorders>
              <w:right w:val="single" w:color="000000" w:sz="4" w:space="0"/>
            </w:tcBorders>
            <w:vAlign w:val="top"/>
          </w:tcPr>
          <w:p w14:paraId="2D0CD1BB">
            <w:pPr>
              <w:rPr>
                <w:rFonts w:ascii="Arial"/>
                <w:color w:val="auto"/>
                <w:sz w:val="21"/>
                <w:highlight w:val="none"/>
              </w:rPr>
            </w:pPr>
          </w:p>
        </w:tc>
      </w:tr>
      <w:tr w14:paraId="62C8F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14:paraId="105BEDD8">
            <w:pPr>
              <w:rPr>
                <w:rFonts w:ascii="Arial"/>
                <w:color w:val="auto"/>
                <w:sz w:val="21"/>
                <w:highlight w:val="none"/>
              </w:rPr>
            </w:pPr>
          </w:p>
        </w:tc>
        <w:tc>
          <w:tcPr>
            <w:tcW w:w="2921" w:type="dxa"/>
            <w:vAlign w:val="top"/>
          </w:tcPr>
          <w:p w14:paraId="531BEA3D">
            <w:pPr>
              <w:rPr>
                <w:rFonts w:ascii="Arial"/>
                <w:color w:val="auto"/>
                <w:sz w:val="21"/>
                <w:highlight w:val="none"/>
              </w:rPr>
            </w:pPr>
          </w:p>
        </w:tc>
        <w:tc>
          <w:tcPr>
            <w:tcW w:w="1573" w:type="dxa"/>
            <w:vAlign w:val="top"/>
          </w:tcPr>
          <w:p w14:paraId="1263B4CD">
            <w:pPr>
              <w:rPr>
                <w:rFonts w:ascii="Arial"/>
                <w:color w:val="auto"/>
                <w:sz w:val="21"/>
                <w:highlight w:val="none"/>
              </w:rPr>
            </w:pPr>
          </w:p>
        </w:tc>
        <w:tc>
          <w:tcPr>
            <w:tcW w:w="1573" w:type="dxa"/>
            <w:vAlign w:val="top"/>
          </w:tcPr>
          <w:p w14:paraId="774BADEE">
            <w:pPr>
              <w:rPr>
                <w:rFonts w:ascii="Arial"/>
                <w:color w:val="auto"/>
                <w:sz w:val="21"/>
                <w:highlight w:val="none"/>
              </w:rPr>
            </w:pPr>
          </w:p>
        </w:tc>
        <w:tc>
          <w:tcPr>
            <w:tcW w:w="1578" w:type="dxa"/>
            <w:tcBorders>
              <w:right w:val="single" w:color="000000" w:sz="4" w:space="0"/>
            </w:tcBorders>
            <w:vAlign w:val="top"/>
          </w:tcPr>
          <w:p w14:paraId="577BE111">
            <w:pPr>
              <w:rPr>
                <w:rFonts w:ascii="Arial"/>
                <w:color w:val="auto"/>
                <w:sz w:val="21"/>
                <w:highlight w:val="none"/>
              </w:rPr>
            </w:pPr>
          </w:p>
        </w:tc>
      </w:tr>
      <w:tr w14:paraId="4A074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11" w:hRule="atLeast"/>
        </w:trPr>
        <w:tc>
          <w:tcPr>
            <w:tcW w:w="3746" w:type="dxa"/>
            <w:gridSpan w:val="2"/>
            <w:tcBorders>
              <w:left w:val="single" w:color="000000" w:sz="4" w:space="0"/>
              <w:bottom w:val="single" w:color="000000" w:sz="4" w:space="0"/>
            </w:tcBorders>
            <w:vAlign w:val="top"/>
          </w:tcPr>
          <w:p w14:paraId="24A4A770">
            <w:pPr>
              <w:spacing w:line="276" w:lineRule="auto"/>
              <w:rPr>
                <w:rFonts w:ascii="Arial"/>
                <w:color w:val="auto"/>
                <w:sz w:val="21"/>
                <w:highlight w:val="none"/>
              </w:rPr>
            </w:pPr>
          </w:p>
          <w:p w14:paraId="1BC1BE54">
            <w:pPr>
              <w:pStyle w:val="11"/>
              <w:spacing w:before="68" w:line="222" w:lineRule="auto"/>
              <w:ind w:left="1670"/>
              <w:rPr>
                <w:color w:val="auto"/>
                <w:highlight w:val="none"/>
              </w:rPr>
            </w:pPr>
            <w:r>
              <w:rPr>
                <w:color w:val="auto"/>
                <w:spacing w:val="-2"/>
                <w:highlight w:val="none"/>
              </w:rPr>
              <w:t>合计</w:t>
            </w:r>
          </w:p>
        </w:tc>
        <w:tc>
          <w:tcPr>
            <w:tcW w:w="1573" w:type="dxa"/>
            <w:tcBorders>
              <w:bottom w:val="single" w:color="000000" w:sz="4" w:space="0"/>
            </w:tcBorders>
            <w:vAlign w:val="top"/>
          </w:tcPr>
          <w:p w14:paraId="49C79893">
            <w:pPr>
              <w:rPr>
                <w:rFonts w:ascii="Arial"/>
                <w:color w:val="auto"/>
                <w:sz w:val="21"/>
                <w:highlight w:val="none"/>
              </w:rPr>
            </w:pPr>
          </w:p>
        </w:tc>
        <w:tc>
          <w:tcPr>
            <w:tcW w:w="1573" w:type="dxa"/>
            <w:tcBorders>
              <w:bottom w:val="single" w:color="000000" w:sz="4" w:space="0"/>
            </w:tcBorders>
            <w:vAlign w:val="top"/>
          </w:tcPr>
          <w:p w14:paraId="3428035A">
            <w:pPr>
              <w:rPr>
                <w:rFonts w:ascii="Arial"/>
                <w:color w:val="auto"/>
                <w:sz w:val="21"/>
                <w:highlight w:val="none"/>
              </w:rPr>
            </w:pPr>
          </w:p>
        </w:tc>
        <w:tc>
          <w:tcPr>
            <w:tcW w:w="1578" w:type="dxa"/>
            <w:tcBorders>
              <w:bottom w:val="single" w:color="000000" w:sz="4" w:space="0"/>
              <w:right w:val="single" w:color="000000" w:sz="4" w:space="0"/>
            </w:tcBorders>
            <w:vAlign w:val="top"/>
          </w:tcPr>
          <w:p w14:paraId="73DA0CD3">
            <w:pPr>
              <w:spacing w:line="375" w:lineRule="auto"/>
              <w:rPr>
                <w:rFonts w:ascii="Arial"/>
                <w:color w:val="auto"/>
                <w:sz w:val="21"/>
                <w:highlight w:val="none"/>
              </w:rPr>
            </w:pPr>
          </w:p>
          <w:p w14:paraId="3BE12D5F">
            <w:pPr>
              <w:pStyle w:val="11"/>
              <w:spacing w:before="68" w:line="142" w:lineRule="exact"/>
              <w:ind w:left="684"/>
              <w:rPr>
                <w:color w:val="auto"/>
                <w:highlight w:val="none"/>
              </w:rPr>
            </w:pPr>
            <w:r>
              <w:rPr>
                <w:color w:val="auto"/>
                <w:position w:val="-3"/>
                <w:highlight w:val="none"/>
              </w:rPr>
              <w:t>—</w:t>
            </w:r>
          </w:p>
        </w:tc>
      </w:tr>
    </w:tbl>
    <w:p w14:paraId="44240C24">
      <w:pPr>
        <w:spacing w:before="145" w:line="219" w:lineRule="auto"/>
        <w:ind w:left="8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注：材料（工程设备）暂估单价进入清单项目综合单价，此处不汇总。</w:t>
      </w:r>
    </w:p>
    <w:p w14:paraId="68BDD11C">
      <w:pPr>
        <w:spacing w:line="219" w:lineRule="auto"/>
        <w:rPr>
          <w:rFonts w:ascii="宋体" w:hAnsi="宋体" w:eastAsia="宋体" w:cs="宋体"/>
          <w:color w:val="auto"/>
          <w:sz w:val="21"/>
          <w:szCs w:val="21"/>
          <w:highlight w:val="none"/>
        </w:rPr>
        <w:sectPr>
          <w:footerReference r:id="rId191" w:type="default"/>
          <w:pgSz w:w="11905" w:h="16839"/>
          <w:pgMar w:top="400" w:right="1709" w:bottom="1004" w:left="1714" w:header="0" w:footer="828" w:gutter="0"/>
          <w:pgNumType w:fmt="decimal"/>
          <w:cols w:space="720" w:num="1"/>
        </w:sectPr>
      </w:pPr>
    </w:p>
    <w:p w14:paraId="22909C5C">
      <w:pPr>
        <w:pStyle w:val="3"/>
        <w:spacing w:line="267" w:lineRule="auto"/>
        <w:rPr>
          <w:color w:val="auto"/>
          <w:highlight w:val="none"/>
        </w:rPr>
      </w:pPr>
    </w:p>
    <w:p w14:paraId="3C0B6DF8">
      <w:pPr>
        <w:pStyle w:val="3"/>
        <w:spacing w:line="268" w:lineRule="auto"/>
        <w:rPr>
          <w:color w:val="auto"/>
          <w:highlight w:val="none"/>
        </w:rPr>
      </w:pPr>
    </w:p>
    <w:p w14:paraId="67352B4B">
      <w:pPr>
        <w:pStyle w:val="3"/>
        <w:spacing w:line="268" w:lineRule="auto"/>
        <w:rPr>
          <w:color w:val="auto"/>
          <w:highlight w:val="none"/>
        </w:rPr>
      </w:pPr>
    </w:p>
    <w:p w14:paraId="2BE49F19">
      <w:pPr>
        <w:pStyle w:val="3"/>
        <w:spacing w:line="268" w:lineRule="auto"/>
        <w:rPr>
          <w:color w:val="auto"/>
          <w:highlight w:val="none"/>
        </w:rPr>
      </w:pPr>
    </w:p>
    <w:p w14:paraId="71F56E4F">
      <w:pPr>
        <w:spacing w:before="78" w:line="218" w:lineRule="auto"/>
        <w:ind w:left="90"/>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4.12-</w:t>
      </w:r>
      <w:r>
        <w:rPr>
          <w:rFonts w:ascii="Times New Roman" w:hAnsi="Times New Roman" w:eastAsia="Times New Roman" w:cs="Times New Roman"/>
          <w:color w:val="auto"/>
          <w:spacing w:val="-28"/>
          <w:sz w:val="24"/>
          <w:szCs w:val="24"/>
          <w:highlight w:val="none"/>
        </w:rPr>
        <w:t xml:space="preserve"> </w:t>
      </w:r>
      <w:r>
        <w:rPr>
          <w:rFonts w:ascii="Times New Roman" w:hAnsi="Times New Roman" w:eastAsia="Times New Roman" w:cs="Times New Roman"/>
          <w:color w:val="auto"/>
          <w:spacing w:val="-3"/>
          <w:sz w:val="24"/>
          <w:szCs w:val="24"/>
          <w:highlight w:val="none"/>
        </w:rPr>
        <w:t xml:space="preserve">1 </w:t>
      </w:r>
      <w:r>
        <w:rPr>
          <w:rFonts w:ascii="黑体" w:hAnsi="黑体" w:eastAsia="黑体" w:cs="黑体"/>
          <w:color w:val="auto"/>
          <w:spacing w:val="-3"/>
          <w:sz w:val="24"/>
          <w:szCs w:val="24"/>
          <w:highlight w:val="none"/>
        </w:rPr>
        <w:t>暂列金额明细表</w:t>
      </w:r>
    </w:p>
    <w:p w14:paraId="5D0CC61D">
      <w:pPr>
        <w:spacing w:before="163" w:line="224" w:lineRule="auto"/>
        <w:ind w:left="3286"/>
        <w:rPr>
          <w:rFonts w:ascii="黑体" w:hAnsi="黑体" w:eastAsia="黑体" w:cs="黑体"/>
          <w:color w:val="auto"/>
          <w:sz w:val="27"/>
          <w:szCs w:val="27"/>
          <w:highlight w:val="none"/>
        </w:rPr>
      </w:pPr>
      <w:bookmarkStart w:id="1308" w:name="bookmark254"/>
      <w:bookmarkEnd w:id="1308"/>
      <w:r>
        <w:rPr>
          <w:rFonts w:ascii="黑体" w:hAnsi="黑体" w:eastAsia="黑体" w:cs="黑体"/>
          <w:color w:val="auto"/>
          <w:spacing w:val="6"/>
          <w:sz w:val="27"/>
          <w:szCs w:val="27"/>
          <w:highlight w:val="none"/>
        </w:rPr>
        <w:t>暂列金额明细表</w:t>
      </w:r>
    </w:p>
    <w:p w14:paraId="125E33D5">
      <w:pPr>
        <w:spacing w:before="144" w:line="214" w:lineRule="auto"/>
        <w:ind w:left="97"/>
        <w:rPr>
          <w:rFonts w:ascii="宋体" w:hAnsi="宋体" w:eastAsia="宋体" w:cs="宋体"/>
          <w:color w:val="auto"/>
          <w:sz w:val="21"/>
          <w:szCs w:val="21"/>
          <w:highlight w:val="none"/>
        </w:rPr>
      </w:pPr>
      <w:r>
        <w:rPr>
          <w:rFonts w:ascii="宋体" w:hAnsi="宋体" w:eastAsia="宋体" w:cs="宋体"/>
          <w:color w:val="auto"/>
          <w:spacing w:val="-18"/>
          <w:sz w:val="21"/>
          <w:szCs w:val="21"/>
          <w:highlight w:val="none"/>
        </w:rPr>
        <w:t>工程名称：</w:t>
      </w:r>
      <w:r>
        <w:rPr>
          <w:rFonts w:ascii="宋体" w:hAnsi="宋体" w:eastAsia="宋体" w:cs="宋体"/>
          <w:color w:val="auto"/>
          <w:spacing w:val="2"/>
          <w:sz w:val="21"/>
          <w:szCs w:val="21"/>
          <w:highlight w:val="none"/>
        </w:rPr>
        <w:t xml:space="preserve">               </w:t>
      </w:r>
      <w:r>
        <w:rPr>
          <w:rFonts w:ascii="宋体" w:hAnsi="宋体" w:eastAsia="宋体" w:cs="宋体"/>
          <w:color w:val="auto"/>
          <w:spacing w:val="-18"/>
          <w:sz w:val="21"/>
          <w:szCs w:val="21"/>
          <w:highlight w:val="none"/>
        </w:rPr>
        <w:t>标段名称：</w:t>
      </w:r>
      <w:r>
        <w:rPr>
          <w:rFonts w:ascii="宋体" w:hAnsi="宋体" w:eastAsia="宋体" w:cs="宋体"/>
          <w:color w:val="auto"/>
          <w:spacing w:val="8"/>
          <w:sz w:val="21"/>
          <w:szCs w:val="21"/>
          <w:highlight w:val="none"/>
        </w:rPr>
        <w:t xml:space="preserve">        </w:t>
      </w:r>
      <w:r>
        <w:rPr>
          <w:rFonts w:ascii="宋体" w:hAnsi="宋体" w:eastAsia="宋体" w:cs="宋体"/>
          <w:color w:val="auto"/>
          <w:spacing w:val="-18"/>
          <w:sz w:val="21"/>
          <w:szCs w:val="21"/>
          <w:highlight w:val="none"/>
        </w:rPr>
        <w:t>第 页</w:t>
      </w:r>
      <w:r>
        <w:rPr>
          <w:rFonts w:ascii="宋体" w:hAnsi="宋体" w:eastAsia="宋体" w:cs="宋体"/>
          <w:color w:val="auto"/>
          <w:spacing w:val="9"/>
          <w:sz w:val="21"/>
          <w:szCs w:val="21"/>
          <w:highlight w:val="none"/>
        </w:rPr>
        <w:t xml:space="preserve"> </w:t>
      </w:r>
      <w:r>
        <w:rPr>
          <w:rFonts w:ascii="宋体" w:hAnsi="宋体" w:eastAsia="宋体" w:cs="宋体"/>
          <w:color w:val="auto"/>
          <w:spacing w:val="-18"/>
          <w:sz w:val="21"/>
          <w:szCs w:val="21"/>
          <w:highlight w:val="none"/>
        </w:rPr>
        <w:t>共</w:t>
      </w:r>
      <w:r>
        <w:rPr>
          <w:rFonts w:ascii="宋体" w:hAnsi="宋体" w:eastAsia="宋体" w:cs="宋体"/>
          <w:color w:val="auto"/>
          <w:spacing w:val="14"/>
          <w:sz w:val="21"/>
          <w:szCs w:val="21"/>
          <w:highlight w:val="none"/>
        </w:rPr>
        <w:t xml:space="preserve"> </w:t>
      </w:r>
      <w:r>
        <w:rPr>
          <w:rFonts w:ascii="宋体" w:hAnsi="宋体" w:eastAsia="宋体" w:cs="宋体"/>
          <w:color w:val="auto"/>
          <w:spacing w:val="-18"/>
          <w:sz w:val="21"/>
          <w:szCs w:val="21"/>
          <w:highlight w:val="none"/>
        </w:rPr>
        <w:t>页</w:t>
      </w:r>
    </w:p>
    <w:tbl>
      <w:tblPr>
        <w:tblStyle w:val="10"/>
        <w:tblW w:w="8474"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5"/>
        <w:gridCol w:w="3069"/>
        <w:gridCol w:w="1525"/>
        <w:gridCol w:w="1525"/>
        <w:gridCol w:w="1530"/>
      </w:tblGrid>
      <w:tr w14:paraId="6D999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top w:val="single" w:color="000000" w:sz="4" w:space="0"/>
              <w:left w:val="single" w:color="000000" w:sz="4" w:space="0"/>
            </w:tcBorders>
            <w:vAlign w:val="top"/>
          </w:tcPr>
          <w:p w14:paraId="78F7E161">
            <w:pPr>
              <w:spacing w:line="257" w:lineRule="auto"/>
              <w:rPr>
                <w:rFonts w:ascii="Arial"/>
                <w:color w:val="auto"/>
                <w:sz w:val="21"/>
                <w:highlight w:val="none"/>
              </w:rPr>
            </w:pPr>
          </w:p>
          <w:p w14:paraId="3383DC19">
            <w:pPr>
              <w:pStyle w:val="11"/>
              <w:spacing w:before="68" w:line="222" w:lineRule="auto"/>
              <w:ind w:left="209"/>
              <w:rPr>
                <w:color w:val="auto"/>
                <w:highlight w:val="none"/>
              </w:rPr>
            </w:pPr>
            <w:r>
              <w:rPr>
                <w:color w:val="auto"/>
                <w:spacing w:val="-2"/>
                <w:highlight w:val="none"/>
              </w:rPr>
              <w:t>序号</w:t>
            </w:r>
          </w:p>
        </w:tc>
        <w:tc>
          <w:tcPr>
            <w:tcW w:w="3069" w:type="dxa"/>
            <w:tcBorders>
              <w:top w:val="single" w:color="000000" w:sz="4" w:space="0"/>
            </w:tcBorders>
            <w:vAlign w:val="top"/>
          </w:tcPr>
          <w:p w14:paraId="2DE1766A">
            <w:pPr>
              <w:spacing w:line="257" w:lineRule="auto"/>
              <w:rPr>
                <w:rFonts w:ascii="Arial"/>
                <w:color w:val="auto"/>
                <w:sz w:val="21"/>
                <w:highlight w:val="none"/>
              </w:rPr>
            </w:pPr>
          </w:p>
          <w:p w14:paraId="103318FC">
            <w:pPr>
              <w:pStyle w:val="11"/>
              <w:spacing w:before="68" w:line="221" w:lineRule="auto"/>
              <w:ind w:left="1119"/>
              <w:rPr>
                <w:color w:val="auto"/>
                <w:highlight w:val="none"/>
              </w:rPr>
            </w:pPr>
            <w:r>
              <w:rPr>
                <w:color w:val="auto"/>
                <w:spacing w:val="-2"/>
                <w:highlight w:val="none"/>
              </w:rPr>
              <w:t>项目名称</w:t>
            </w:r>
          </w:p>
        </w:tc>
        <w:tc>
          <w:tcPr>
            <w:tcW w:w="1525" w:type="dxa"/>
            <w:tcBorders>
              <w:top w:val="single" w:color="000000" w:sz="4" w:space="0"/>
            </w:tcBorders>
            <w:vAlign w:val="top"/>
          </w:tcPr>
          <w:p w14:paraId="5B01A76A">
            <w:pPr>
              <w:spacing w:line="257" w:lineRule="auto"/>
              <w:rPr>
                <w:rFonts w:ascii="Arial"/>
                <w:color w:val="auto"/>
                <w:sz w:val="21"/>
                <w:highlight w:val="none"/>
              </w:rPr>
            </w:pPr>
          </w:p>
          <w:p w14:paraId="73052978">
            <w:pPr>
              <w:pStyle w:val="11"/>
              <w:spacing w:before="68" w:line="221" w:lineRule="auto"/>
              <w:ind w:left="351"/>
              <w:rPr>
                <w:color w:val="auto"/>
                <w:highlight w:val="none"/>
              </w:rPr>
            </w:pPr>
            <w:r>
              <w:rPr>
                <w:color w:val="auto"/>
                <w:spacing w:val="-1"/>
                <w:highlight w:val="none"/>
              </w:rPr>
              <w:t>计量单位</w:t>
            </w:r>
          </w:p>
        </w:tc>
        <w:tc>
          <w:tcPr>
            <w:tcW w:w="1525" w:type="dxa"/>
            <w:tcBorders>
              <w:top w:val="single" w:color="000000" w:sz="4" w:space="0"/>
            </w:tcBorders>
            <w:vAlign w:val="top"/>
          </w:tcPr>
          <w:p w14:paraId="21F25E71">
            <w:pPr>
              <w:pStyle w:val="11"/>
              <w:spacing w:before="187" w:line="241" w:lineRule="auto"/>
              <w:ind w:left="360"/>
              <w:rPr>
                <w:color w:val="auto"/>
                <w:highlight w:val="none"/>
              </w:rPr>
            </w:pPr>
            <w:r>
              <w:rPr>
                <w:color w:val="auto"/>
                <w:spacing w:val="-2"/>
                <w:highlight w:val="none"/>
              </w:rPr>
              <w:t>暂定金额</w:t>
            </w:r>
          </w:p>
          <w:p w14:paraId="54D5D2AE">
            <w:pPr>
              <w:pStyle w:val="11"/>
              <w:spacing w:line="221" w:lineRule="auto"/>
              <w:ind w:left="465"/>
              <w:rPr>
                <w:color w:val="auto"/>
                <w:highlight w:val="none"/>
              </w:rPr>
            </w:pPr>
            <w:r>
              <w:rPr>
                <w:color w:val="auto"/>
                <w:spacing w:val="-5"/>
                <w:highlight w:val="none"/>
              </w:rPr>
              <w:t>（元）</w:t>
            </w:r>
          </w:p>
        </w:tc>
        <w:tc>
          <w:tcPr>
            <w:tcW w:w="1530" w:type="dxa"/>
            <w:tcBorders>
              <w:top w:val="single" w:color="000000" w:sz="4" w:space="0"/>
              <w:right w:val="single" w:color="000000" w:sz="4" w:space="0"/>
            </w:tcBorders>
            <w:vAlign w:val="top"/>
          </w:tcPr>
          <w:p w14:paraId="3E80DF43">
            <w:pPr>
              <w:spacing w:line="257" w:lineRule="auto"/>
              <w:rPr>
                <w:rFonts w:ascii="Arial"/>
                <w:color w:val="auto"/>
                <w:sz w:val="21"/>
                <w:highlight w:val="none"/>
              </w:rPr>
            </w:pPr>
          </w:p>
          <w:p w14:paraId="5E4084D1">
            <w:pPr>
              <w:pStyle w:val="11"/>
              <w:spacing w:before="68" w:line="222" w:lineRule="auto"/>
              <w:ind w:left="569"/>
              <w:rPr>
                <w:color w:val="auto"/>
                <w:highlight w:val="none"/>
              </w:rPr>
            </w:pPr>
            <w:r>
              <w:rPr>
                <w:color w:val="auto"/>
                <w:spacing w:val="-3"/>
                <w:highlight w:val="none"/>
              </w:rPr>
              <w:t>备注</w:t>
            </w:r>
          </w:p>
        </w:tc>
      </w:tr>
      <w:tr w14:paraId="18790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825" w:type="dxa"/>
            <w:tcBorders>
              <w:left w:val="single" w:color="000000" w:sz="4" w:space="0"/>
            </w:tcBorders>
            <w:vAlign w:val="top"/>
          </w:tcPr>
          <w:p w14:paraId="298BA23A">
            <w:pPr>
              <w:rPr>
                <w:rFonts w:ascii="Arial"/>
                <w:color w:val="auto"/>
                <w:sz w:val="21"/>
                <w:highlight w:val="none"/>
              </w:rPr>
            </w:pPr>
          </w:p>
        </w:tc>
        <w:tc>
          <w:tcPr>
            <w:tcW w:w="3069" w:type="dxa"/>
            <w:vAlign w:val="top"/>
          </w:tcPr>
          <w:p w14:paraId="3B0433D3">
            <w:pPr>
              <w:rPr>
                <w:rFonts w:ascii="Arial"/>
                <w:color w:val="auto"/>
                <w:sz w:val="21"/>
                <w:highlight w:val="none"/>
              </w:rPr>
            </w:pPr>
          </w:p>
        </w:tc>
        <w:tc>
          <w:tcPr>
            <w:tcW w:w="1525" w:type="dxa"/>
            <w:vAlign w:val="top"/>
          </w:tcPr>
          <w:p w14:paraId="4C2C0555">
            <w:pPr>
              <w:rPr>
                <w:rFonts w:ascii="Arial"/>
                <w:color w:val="auto"/>
                <w:sz w:val="21"/>
                <w:highlight w:val="none"/>
              </w:rPr>
            </w:pPr>
          </w:p>
        </w:tc>
        <w:tc>
          <w:tcPr>
            <w:tcW w:w="1525" w:type="dxa"/>
            <w:vAlign w:val="top"/>
          </w:tcPr>
          <w:p w14:paraId="4ED9647B">
            <w:pPr>
              <w:rPr>
                <w:rFonts w:ascii="Arial"/>
                <w:color w:val="auto"/>
                <w:sz w:val="21"/>
                <w:highlight w:val="none"/>
              </w:rPr>
            </w:pPr>
          </w:p>
        </w:tc>
        <w:tc>
          <w:tcPr>
            <w:tcW w:w="1530" w:type="dxa"/>
            <w:tcBorders>
              <w:right w:val="single" w:color="000000" w:sz="4" w:space="0"/>
            </w:tcBorders>
            <w:vAlign w:val="top"/>
          </w:tcPr>
          <w:p w14:paraId="52FBBE7C">
            <w:pPr>
              <w:rPr>
                <w:rFonts w:ascii="Arial"/>
                <w:color w:val="auto"/>
                <w:sz w:val="21"/>
                <w:highlight w:val="none"/>
              </w:rPr>
            </w:pPr>
          </w:p>
        </w:tc>
      </w:tr>
      <w:tr w14:paraId="471D0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left w:val="single" w:color="000000" w:sz="4" w:space="0"/>
              <w:bottom w:val="single" w:color="000000" w:sz="4" w:space="0"/>
            </w:tcBorders>
            <w:vAlign w:val="top"/>
          </w:tcPr>
          <w:p w14:paraId="32C70E52">
            <w:pPr>
              <w:rPr>
                <w:rFonts w:ascii="Arial"/>
                <w:color w:val="auto"/>
                <w:sz w:val="21"/>
                <w:highlight w:val="none"/>
              </w:rPr>
            </w:pPr>
          </w:p>
        </w:tc>
        <w:tc>
          <w:tcPr>
            <w:tcW w:w="3069" w:type="dxa"/>
            <w:vAlign w:val="top"/>
          </w:tcPr>
          <w:p w14:paraId="5D1ACFCB">
            <w:pPr>
              <w:rPr>
                <w:rFonts w:ascii="Arial"/>
                <w:color w:val="auto"/>
                <w:sz w:val="21"/>
                <w:highlight w:val="none"/>
              </w:rPr>
            </w:pPr>
          </w:p>
        </w:tc>
        <w:tc>
          <w:tcPr>
            <w:tcW w:w="1525" w:type="dxa"/>
            <w:vAlign w:val="top"/>
          </w:tcPr>
          <w:p w14:paraId="1D7542B4">
            <w:pPr>
              <w:rPr>
                <w:rFonts w:ascii="Arial"/>
                <w:color w:val="auto"/>
                <w:sz w:val="21"/>
                <w:highlight w:val="none"/>
              </w:rPr>
            </w:pPr>
          </w:p>
        </w:tc>
        <w:tc>
          <w:tcPr>
            <w:tcW w:w="1525" w:type="dxa"/>
            <w:vAlign w:val="top"/>
          </w:tcPr>
          <w:p w14:paraId="5BA3CDB0">
            <w:pPr>
              <w:rPr>
                <w:rFonts w:ascii="Arial"/>
                <w:color w:val="auto"/>
                <w:sz w:val="21"/>
                <w:highlight w:val="none"/>
              </w:rPr>
            </w:pPr>
          </w:p>
        </w:tc>
        <w:tc>
          <w:tcPr>
            <w:tcW w:w="1530" w:type="dxa"/>
            <w:tcBorders>
              <w:right w:val="single" w:color="000000" w:sz="4" w:space="0"/>
            </w:tcBorders>
            <w:vAlign w:val="top"/>
          </w:tcPr>
          <w:p w14:paraId="4785CC7F">
            <w:pPr>
              <w:rPr>
                <w:rFonts w:ascii="Arial"/>
                <w:color w:val="auto"/>
                <w:sz w:val="21"/>
                <w:highlight w:val="none"/>
              </w:rPr>
            </w:pPr>
          </w:p>
        </w:tc>
      </w:tr>
      <w:tr w14:paraId="542F4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825" w:type="dxa"/>
            <w:tcBorders>
              <w:top w:val="single" w:color="000000" w:sz="4" w:space="0"/>
              <w:left w:val="single" w:color="000000" w:sz="4" w:space="0"/>
            </w:tcBorders>
            <w:vAlign w:val="top"/>
          </w:tcPr>
          <w:p w14:paraId="766AEC77">
            <w:pPr>
              <w:rPr>
                <w:rFonts w:ascii="Arial"/>
                <w:color w:val="auto"/>
                <w:sz w:val="21"/>
                <w:highlight w:val="none"/>
              </w:rPr>
            </w:pPr>
          </w:p>
        </w:tc>
        <w:tc>
          <w:tcPr>
            <w:tcW w:w="3069" w:type="dxa"/>
            <w:vAlign w:val="top"/>
          </w:tcPr>
          <w:p w14:paraId="1D84A419">
            <w:pPr>
              <w:rPr>
                <w:rFonts w:ascii="Arial"/>
                <w:color w:val="auto"/>
                <w:sz w:val="21"/>
                <w:highlight w:val="none"/>
              </w:rPr>
            </w:pPr>
          </w:p>
        </w:tc>
        <w:tc>
          <w:tcPr>
            <w:tcW w:w="1525" w:type="dxa"/>
            <w:vAlign w:val="top"/>
          </w:tcPr>
          <w:p w14:paraId="5EB9CCD1">
            <w:pPr>
              <w:rPr>
                <w:rFonts w:ascii="Arial"/>
                <w:color w:val="auto"/>
                <w:sz w:val="21"/>
                <w:highlight w:val="none"/>
              </w:rPr>
            </w:pPr>
          </w:p>
        </w:tc>
        <w:tc>
          <w:tcPr>
            <w:tcW w:w="1525" w:type="dxa"/>
            <w:vAlign w:val="top"/>
          </w:tcPr>
          <w:p w14:paraId="6F210ECB">
            <w:pPr>
              <w:rPr>
                <w:rFonts w:ascii="Arial"/>
                <w:color w:val="auto"/>
                <w:sz w:val="21"/>
                <w:highlight w:val="none"/>
              </w:rPr>
            </w:pPr>
          </w:p>
        </w:tc>
        <w:tc>
          <w:tcPr>
            <w:tcW w:w="1530" w:type="dxa"/>
            <w:tcBorders>
              <w:right w:val="single" w:color="000000" w:sz="4" w:space="0"/>
            </w:tcBorders>
            <w:vAlign w:val="top"/>
          </w:tcPr>
          <w:p w14:paraId="16295A9F">
            <w:pPr>
              <w:rPr>
                <w:rFonts w:ascii="Arial"/>
                <w:color w:val="auto"/>
                <w:sz w:val="21"/>
                <w:highlight w:val="none"/>
              </w:rPr>
            </w:pPr>
          </w:p>
        </w:tc>
      </w:tr>
      <w:tr w14:paraId="21BE6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68" w:hRule="atLeast"/>
        </w:trPr>
        <w:tc>
          <w:tcPr>
            <w:tcW w:w="825" w:type="dxa"/>
            <w:tcBorders>
              <w:left w:val="single" w:color="000000" w:sz="4" w:space="0"/>
            </w:tcBorders>
            <w:vAlign w:val="top"/>
          </w:tcPr>
          <w:p w14:paraId="45FAC45D">
            <w:pPr>
              <w:rPr>
                <w:rFonts w:ascii="Arial"/>
                <w:color w:val="auto"/>
                <w:sz w:val="21"/>
                <w:highlight w:val="none"/>
              </w:rPr>
            </w:pPr>
          </w:p>
        </w:tc>
        <w:tc>
          <w:tcPr>
            <w:tcW w:w="3069" w:type="dxa"/>
            <w:vAlign w:val="top"/>
          </w:tcPr>
          <w:p w14:paraId="30FD2DB5">
            <w:pPr>
              <w:rPr>
                <w:rFonts w:ascii="Arial"/>
                <w:color w:val="auto"/>
                <w:sz w:val="21"/>
                <w:highlight w:val="none"/>
              </w:rPr>
            </w:pPr>
          </w:p>
        </w:tc>
        <w:tc>
          <w:tcPr>
            <w:tcW w:w="1525" w:type="dxa"/>
            <w:vAlign w:val="top"/>
          </w:tcPr>
          <w:p w14:paraId="6848E289">
            <w:pPr>
              <w:rPr>
                <w:rFonts w:ascii="Arial"/>
                <w:color w:val="auto"/>
                <w:sz w:val="21"/>
                <w:highlight w:val="none"/>
              </w:rPr>
            </w:pPr>
          </w:p>
        </w:tc>
        <w:tc>
          <w:tcPr>
            <w:tcW w:w="1525" w:type="dxa"/>
            <w:vAlign w:val="top"/>
          </w:tcPr>
          <w:p w14:paraId="2AB76C75">
            <w:pPr>
              <w:rPr>
                <w:rFonts w:ascii="Arial"/>
                <w:color w:val="auto"/>
                <w:sz w:val="21"/>
                <w:highlight w:val="none"/>
              </w:rPr>
            </w:pPr>
          </w:p>
        </w:tc>
        <w:tc>
          <w:tcPr>
            <w:tcW w:w="1530" w:type="dxa"/>
            <w:tcBorders>
              <w:right w:val="single" w:color="000000" w:sz="4" w:space="0"/>
            </w:tcBorders>
            <w:vAlign w:val="top"/>
          </w:tcPr>
          <w:p w14:paraId="74655F87">
            <w:pPr>
              <w:rPr>
                <w:rFonts w:ascii="Arial"/>
                <w:color w:val="auto"/>
                <w:sz w:val="21"/>
                <w:highlight w:val="none"/>
              </w:rPr>
            </w:pPr>
          </w:p>
        </w:tc>
      </w:tr>
      <w:tr w14:paraId="64856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825" w:type="dxa"/>
            <w:tcBorders>
              <w:left w:val="single" w:color="000000" w:sz="4" w:space="0"/>
            </w:tcBorders>
            <w:vAlign w:val="top"/>
          </w:tcPr>
          <w:p w14:paraId="5B8CA2C7">
            <w:pPr>
              <w:rPr>
                <w:rFonts w:ascii="Arial"/>
                <w:color w:val="auto"/>
                <w:sz w:val="21"/>
                <w:highlight w:val="none"/>
              </w:rPr>
            </w:pPr>
          </w:p>
        </w:tc>
        <w:tc>
          <w:tcPr>
            <w:tcW w:w="3069" w:type="dxa"/>
            <w:vAlign w:val="top"/>
          </w:tcPr>
          <w:p w14:paraId="107C5659">
            <w:pPr>
              <w:rPr>
                <w:rFonts w:ascii="Arial"/>
                <w:color w:val="auto"/>
                <w:sz w:val="21"/>
                <w:highlight w:val="none"/>
              </w:rPr>
            </w:pPr>
          </w:p>
        </w:tc>
        <w:tc>
          <w:tcPr>
            <w:tcW w:w="1525" w:type="dxa"/>
            <w:vAlign w:val="top"/>
          </w:tcPr>
          <w:p w14:paraId="49459B45">
            <w:pPr>
              <w:rPr>
                <w:rFonts w:ascii="Arial"/>
                <w:color w:val="auto"/>
                <w:sz w:val="21"/>
                <w:highlight w:val="none"/>
              </w:rPr>
            </w:pPr>
          </w:p>
        </w:tc>
        <w:tc>
          <w:tcPr>
            <w:tcW w:w="1525" w:type="dxa"/>
            <w:vAlign w:val="top"/>
          </w:tcPr>
          <w:p w14:paraId="2469621B">
            <w:pPr>
              <w:rPr>
                <w:rFonts w:ascii="Arial"/>
                <w:color w:val="auto"/>
                <w:sz w:val="21"/>
                <w:highlight w:val="none"/>
              </w:rPr>
            </w:pPr>
          </w:p>
        </w:tc>
        <w:tc>
          <w:tcPr>
            <w:tcW w:w="1530" w:type="dxa"/>
            <w:tcBorders>
              <w:right w:val="single" w:color="000000" w:sz="4" w:space="0"/>
            </w:tcBorders>
            <w:vAlign w:val="top"/>
          </w:tcPr>
          <w:p w14:paraId="49567F17">
            <w:pPr>
              <w:rPr>
                <w:rFonts w:ascii="Arial"/>
                <w:color w:val="auto"/>
                <w:sz w:val="21"/>
                <w:highlight w:val="none"/>
              </w:rPr>
            </w:pPr>
          </w:p>
        </w:tc>
      </w:tr>
      <w:tr w14:paraId="163A4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left w:val="single" w:color="000000" w:sz="4" w:space="0"/>
            </w:tcBorders>
            <w:vAlign w:val="top"/>
          </w:tcPr>
          <w:p w14:paraId="2FFA4480">
            <w:pPr>
              <w:rPr>
                <w:rFonts w:ascii="Arial"/>
                <w:color w:val="auto"/>
                <w:sz w:val="21"/>
                <w:highlight w:val="none"/>
              </w:rPr>
            </w:pPr>
          </w:p>
        </w:tc>
        <w:tc>
          <w:tcPr>
            <w:tcW w:w="3069" w:type="dxa"/>
            <w:vAlign w:val="top"/>
          </w:tcPr>
          <w:p w14:paraId="2AE05235">
            <w:pPr>
              <w:rPr>
                <w:rFonts w:ascii="Arial"/>
                <w:color w:val="auto"/>
                <w:sz w:val="21"/>
                <w:highlight w:val="none"/>
              </w:rPr>
            </w:pPr>
          </w:p>
        </w:tc>
        <w:tc>
          <w:tcPr>
            <w:tcW w:w="1525" w:type="dxa"/>
            <w:vAlign w:val="top"/>
          </w:tcPr>
          <w:p w14:paraId="005B7BB0">
            <w:pPr>
              <w:rPr>
                <w:rFonts w:ascii="Arial"/>
                <w:color w:val="auto"/>
                <w:sz w:val="21"/>
                <w:highlight w:val="none"/>
              </w:rPr>
            </w:pPr>
          </w:p>
        </w:tc>
        <w:tc>
          <w:tcPr>
            <w:tcW w:w="1525" w:type="dxa"/>
            <w:vAlign w:val="top"/>
          </w:tcPr>
          <w:p w14:paraId="11FEC43F">
            <w:pPr>
              <w:rPr>
                <w:rFonts w:ascii="Arial"/>
                <w:color w:val="auto"/>
                <w:sz w:val="21"/>
                <w:highlight w:val="none"/>
              </w:rPr>
            </w:pPr>
          </w:p>
        </w:tc>
        <w:tc>
          <w:tcPr>
            <w:tcW w:w="1530" w:type="dxa"/>
            <w:tcBorders>
              <w:right w:val="single" w:color="000000" w:sz="4" w:space="0"/>
            </w:tcBorders>
            <w:vAlign w:val="top"/>
          </w:tcPr>
          <w:p w14:paraId="5948E234">
            <w:pPr>
              <w:rPr>
                <w:rFonts w:ascii="Arial"/>
                <w:color w:val="auto"/>
                <w:sz w:val="21"/>
                <w:highlight w:val="none"/>
              </w:rPr>
            </w:pPr>
          </w:p>
        </w:tc>
      </w:tr>
      <w:tr w14:paraId="2C95C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825" w:type="dxa"/>
            <w:tcBorders>
              <w:left w:val="single" w:color="000000" w:sz="4" w:space="0"/>
            </w:tcBorders>
            <w:vAlign w:val="top"/>
          </w:tcPr>
          <w:p w14:paraId="51551191">
            <w:pPr>
              <w:rPr>
                <w:rFonts w:ascii="Arial"/>
                <w:color w:val="auto"/>
                <w:sz w:val="21"/>
                <w:highlight w:val="none"/>
              </w:rPr>
            </w:pPr>
          </w:p>
        </w:tc>
        <w:tc>
          <w:tcPr>
            <w:tcW w:w="3069" w:type="dxa"/>
            <w:vAlign w:val="top"/>
          </w:tcPr>
          <w:p w14:paraId="463F4A83">
            <w:pPr>
              <w:rPr>
                <w:rFonts w:ascii="Arial"/>
                <w:color w:val="auto"/>
                <w:sz w:val="21"/>
                <w:highlight w:val="none"/>
              </w:rPr>
            </w:pPr>
          </w:p>
        </w:tc>
        <w:tc>
          <w:tcPr>
            <w:tcW w:w="1525" w:type="dxa"/>
            <w:vAlign w:val="top"/>
          </w:tcPr>
          <w:p w14:paraId="54BAE241">
            <w:pPr>
              <w:rPr>
                <w:rFonts w:ascii="Arial"/>
                <w:color w:val="auto"/>
                <w:sz w:val="21"/>
                <w:highlight w:val="none"/>
              </w:rPr>
            </w:pPr>
          </w:p>
        </w:tc>
        <w:tc>
          <w:tcPr>
            <w:tcW w:w="1525" w:type="dxa"/>
            <w:vAlign w:val="top"/>
          </w:tcPr>
          <w:p w14:paraId="56F566F9">
            <w:pPr>
              <w:rPr>
                <w:rFonts w:ascii="Arial"/>
                <w:color w:val="auto"/>
                <w:sz w:val="21"/>
                <w:highlight w:val="none"/>
              </w:rPr>
            </w:pPr>
          </w:p>
        </w:tc>
        <w:tc>
          <w:tcPr>
            <w:tcW w:w="1530" w:type="dxa"/>
            <w:tcBorders>
              <w:right w:val="single" w:color="000000" w:sz="4" w:space="0"/>
            </w:tcBorders>
            <w:vAlign w:val="top"/>
          </w:tcPr>
          <w:p w14:paraId="32F87CCE">
            <w:pPr>
              <w:rPr>
                <w:rFonts w:ascii="Arial"/>
                <w:color w:val="auto"/>
                <w:sz w:val="21"/>
                <w:highlight w:val="none"/>
              </w:rPr>
            </w:pPr>
          </w:p>
        </w:tc>
      </w:tr>
      <w:tr w14:paraId="29D43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825" w:type="dxa"/>
            <w:tcBorders>
              <w:left w:val="single" w:color="000000" w:sz="4" w:space="0"/>
            </w:tcBorders>
            <w:vAlign w:val="top"/>
          </w:tcPr>
          <w:p w14:paraId="31E6E9BC">
            <w:pPr>
              <w:rPr>
                <w:rFonts w:ascii="Arial"/>
                <w:color w:val="auto"/>
                <w:sz w:val="21"/>
                <w:highlight w:val="none"/>
              </w:rPr>
            </w:pPr>
          </w:p>
        </w:tc>
        <w:tc>
          <w:tcPr>
            <w:tcW w:w="3069" w:type="dxa"/>
            <w:vAlign w:val="top"/>
          </w:tcPr>
          <w:p w14:paraId="2AD8B055">
            <w:pPr>
              <w:rPr>
                <w:rFonts w:ascii="Arial"/>
                <w:color w:val="auto"/>
                <w:sz w:val="21"/>
                <w:highlight w:val="none"/>
              </w:rPr>
            </w:pPr>
          </w:p>
        </w:tc>
        <w:tc>
          <w:tcPr>
            <w:tcW w:w="1525" w:type="dxa"/>
            <w:vAlign w:val="top"/>
          </w:tcPr>
          <w:p w14:paraId="35B79EDF">
            <w:pPr>
              <w:rPr>
                <w:rFonts w:ascii="Arial"/>
                <w:color w:val="auto"/>
                <w:sz w:val="21"/>
                <w:highlight w:val="none"/>
              </w:rPr>
            </w:pPr>
          </w:p>
        </w:tc>
        <w:tc>
          <w:tcPr>
            <w:tcW w:w="1525" w:type="dxa"/>
            <w:vAlign w:val="top"/>
          </w:tcPr>
          <w:p w14:paraId="42EA95E0">
            <w:pPr>
              <w:rPr>
                <w:rFonts w:ascii="Arial"/>
                <w:color w:val="auto"/>
                <w:sz w:val="21"/>
                <w:highlight w:val="none"/>
              </w:rPr>
            </w:pPr>
          </w:p>
        </w:tc>
        <w:tc>
          <w:tcPr>
            <w:tcW w:w="1530" w:type="dxa"/>
            <w:tcBorders>
              <w:right w:val="single" w:color="000000" w:sz="4" w:space="0"/>
            </w:tcBorders>
            <w:vAlign w:val="top"/>
          </w:tcPr>
          <w:p w14:paraId="6AA9B886">
            <w:pPr>
              <w:rPr>
                <w:rFonts w:ascii="Arial"/>
                <w:color w:val="auto"/>
                <w:sz w:val="21"/>
                <w:highlight w:val="none"/>
              </w:rPr>
            </w:pPr>
          </w:p>
        </w:tc>
      </w:tr>
      <w:tr w14:paraId="1D3E5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left w:val="single" w:color="000000" w:sz="4" w:space="0"/>
            </w:tcBorders>
            <w:vAlign w:val="top"/>
          </w:tcPr>
          <w:p w14:paraId="04FBB917">
            <w:pPr>
              <w:rPr>
                <w:rFonts w:ascii="Arial"/>
                <w:color w:val="auto"/>
                <w:sz w:val="21"/>
                <w:highlight w:val="none"/>
              </w:rPr>
            </w:pPr>
          </w:p>
        </w:tc>
        <w:tc>
          <w:tcPr>
            <w:tcW w:w="3069" w:type="dxa"/>
            <w:vAlign w:val="top"/>
          </w:tcPr>
          <w:p w14:paraId="73C7659C">
            <w:pPr>
              <w:rPr>
                <w:rFonts w:ascii="Arial"/>
                <w:color w:val="auto"/>
                <w:sz w:val="21"/>
                <w:highlight w:val="none"/>
              </w:rPr>
            </w:pPr>
          </w:p>
        </w:tc>
        <w:tc>
          <w:tcPr>
            <w:tcW w:w="1525" w:type="dxa"/>
            <w:vAlign w:val="top"/>
          </w:tcPr>
          <w:p w14:paraId="5015CA04">
            <w:pPr>
              <w:rPr>
                <w:rFonts w:ascii="Arial"/>
                <w:color w:val="auto"/>
                <w:sz w:val="21"/>
                <w:highlight w:val="none"/>
              </w:rPr>
            </w:pPr>
          </w:p>
        </w:tc>
        <w:tc>
          <w:tcPr>
            <w:tcW w:w="1525" w:type="dxa"/>
            <w:vAlign w:val="top"/>
          </w:tcPr>
          <w:p w14:paraId="36FD05D6">
            <w:pPr>
              <w:rPr>
                <w:rFonts w:ascii="Arial"/>
                <w:color w:val="auto"/>
                <w:sz w:val="21"/>
                <w:highlight w:val="none"/>
              </w:rPr>
            </w:pPr>
          </w:p>
        </w:tc>
        <w:tc>
          <w:tcPr>
            <w:tcW w:w="1530" w:type="dxa"/>
            <w:tcBorders>
              <w:right w:val="single" w:color="000000" w:sz="4" w:space="0"/>
            </w:tcBorders>
            <w:vAlign w:val="top"/>
          </w:tcPr>
          <w:p w14:paraId="602BCAF5">
            <w:pPr>
              <w:rPr>
                <w:rFonts w:ascii="Arial"/>
                <w:color w:val="auto"/>
                <w:sz w:val="21"/>
                <w:highlight w:val="none"/>
              </w:rPr>
            </w:pPr>
          </w:p>
        </w:tc>
      </w:tr>
      <w:tr w14:paraId="49DBDA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825" w:type="dxa"/>
            <w:tcBorders>
              <w:left w:val="single" w:color="000000" w:sz="4" w:space="0"/>
            </w:tcBorders>
            <w:vAlign w:val="top"/>
          </w:tcPr>
          <w:p w14:paraId="5D61A290">
            <w:pPr>
              <w:rPr>
                <w:rFonts w:ascii="Arial"/>
                <w:color w:val="auto"/>
                <w:sz w:val="21"/>
                <w:highlight w:val="none"/>
              </w:rPr>
            </w:pPr>
          </w:p>
        </w:tc>
        <w:tc>
          <w:tcPr>
            <w:tcW w:w="3069" w:type="dxa"/>
            <w:vAlign w:val="top"/>
          </w:tcPr>
          <w:p w14:paraId="30D7CB0D">
            <w:pPr>
              <w:rPr>
                <w:rFonts w:ascii="Arial"/>
                <w:color w:val="auto"/>
                <w:sz w:val="21"/>
                <w:highlight w:val="none"/>
              </w:rPr>
            </w:pPr>
          </w:p>
        </w:tc>
        <w:tc>
          <w:tcPr>
            <w:tcW w:w="1525" w:type="dxa"/>
            <w:vAlign w:val="top"/>
          </w:tcPr>
          <w:p w14:paraId="0E0F64D9">
            <w:pPr>
              <w:rPr>
                <w:rFonts w:ascii="Arial"/>
                <w:color w:val="auto"/>
                <w:sz w:val="21"/>
                <w:highlight w:val="none"/>
              </w:rPr>
            </w:pPr>
          </w:p>
        </w:tc>
        <w:tc>
          <w:tcPr>
            <w:tcW w:w="1525" w:type="dxa"/>
            <w:vAlign w:val="top"/>
          </w:tcPr>
          <w:p w14:paraId="2CE93615">
            <w:pPr>
              <w:rPr>
                <w:rFonts w:ascii="Arial"/>
                <w:color w:val="auto"/>
                <w:sz w:val="21"/>
                <w:highlight w:val="none"/>
              </w:rPr>
            </w:pPr>
          </w:p>
        </w:tc>
        <w:tc>
          <w:tcPr>
            <w:tcW w:w="1530" w:type="dxa"/>
            <w:tcBorders>
              <w:right w:val="single" w:color="000000" w:sz="4" w:space="0"/>
            </w:tcBorders>
            <w:vAlign w:val="top"/>
          </w:tcPr>
          <w:p w14:paraId="7F6D014B">
            <w:pPr>
              <w:rPr>
                <w:rFonts w:ascii="Arial"/>
                <w:color w:val="auto"/>
                <w:sz w:val="21"/>
                <w:highlight w:val="none"/>
              </w:rPr>
            </w:pPr>
          </w:p>
        </w:tc>
      </w:tr>
      <w:tr w14:paraId="54F25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7" w:hRule="atLeast"/>
        </w:trPr>
        <w:tc>
          <w:tcPr>
            <w:tcW w:w="5419" w:type="dxa"/>
            <w:gridSpan w:val="3"/>
            <w:tcBorders>
              <w:left w:val="single" w:color="000000" w:sz="4" w:space="0"/>
              <w:bottom w:val="single" w:color="000000" w:sz="4" w:space="0"/>
            </w:tcBorders>
            <w:vAlign w:val="top"/>
          </w:tcPr>
          <w:p w14:paraId="68C63DD1">
            <w:pPr>
              <w:spacing w:line="261" w:lineRule="auto"/>
              <w:rPr>
                <w:rFonts w:ascii="Arial"/>
                <w:color w:val="auto"/>
                <w:sz w:val="21"/>
                <w:highlight w:val="none"/>
              </w:rPr>
            </w:pPr>
          </w:p>
          <w:p w14:paraId="74204A83">
            <w:pPr>
              <w:pStyle w:val="11"/>
              <w:spacing w:before="68" w:line="222" w:lineRule="auto"/>
              <w:ind w:left="2510"/>
              <w:rPr>
                <w:color w:val="auto"/>
                <w:highlight w:val="none"/>
              </w:rPr>
            </w:pPr>
            <w:r>
              <w:rPr>
                <w:color w:val="auto"/>
                <w:spacing w:val="-2"/>
                <w:highlight w:val="none"/>
              </w:rPr>
              <w:t>合计</w:t>
            </w:r>
          </w:p>
        </w:tc>
        <w:tc>
          <w:tcPr>
            <w:tcW w:w="1525" w:type="dxa"/>
            <w:tcBorders>
              <w:bottom w:val="single" w:color="000000" w:sz="4" w:space="0"/>
            </w:tcBorders>
            <w:vAlign w:val="top"/>
          </w:tcPr>
          <w:p w14:paraId="3526DB54">
            <w:pPr>
              <w:rPr>
                <w:rFonts w:ascii="Arial"/>
                <w:color w:val="auto"/>
                <w:sz w:val="21"/>
                <w:highlight w:val="none"/>
              </w:rPr>
            </w:pPr>
          </w:p>
        </w:tc>
        <w:tc>
          <w:tcPr>
            <w:tcW w:w="1530" w:type="dxa"/>
            <w:tcBorders>
              <w:bottom w:val="single" w:color="000000" w:sz="4" w:space="0"/>
              <w:right w:val="single" w:color="000000" w:sz="4" w:space="0"/>
            </w:tcBorders>
            <w:vAlign w:val="top"/>
          </w:tcPr>
          <w:p w14:paraId="34E2E70A">
            <w:pPr>
              <w:spacing w:line="360" w:lineRule="auto"/>
              <w:rPr>
                <w:rFonts w:ascii="Arial"/>
                <w:color w:val="auto"/>
                <w:sz w:val="21"/>
                <w:highlight w:val="none"/>
              </w:rPr>
            </w:pPr>
          </w:p>
          <w:p w14:paraId="64F24B40">
            <w:pPr>
              <w:pStyle w:val="11"/>
              <w:spacing w:before="68" w:line="142" w:lineRule="exact"/>
              <w:ind w:left="666"/>
              <w:rPr>
                <w:color w:val="auto"/>
                <w:highlight w:val="none"/>
              </w:rPr>
            </w:pPr>
            <w:r>
              <w:rPr>
                <w:color w:val="auto"/>
                <w:position w:val="-3"/>
                <w:highlight w:val="none"/>
              </w:rPr>
              <w:t>—</w:t>
            </w:r>
          </w:p>
        </w:tc>
      </w:tr>
    </w:tbl>
    <w:p w14:paraId="41F4A960">
      <w:pPr>
        <w:spacing w:before="149" w:line="228" w:lineRule="auto"/>
        <w:ind w:left="516" w:right="87" w:hanging="422"/>
        <w:rPr>
          <w:rFonts w:ascii="宋体" w:hAnsi="宋体" w:eastAsia="宋体" w:cs="宋体"/>
          <w:color w:val="auto"/>
          <w:sz w:val="21"/>
          <w:szCs w:val="21"/>
          <w:highlight w:val="none"/>
        </w:rPr>
      </w:pPr>
      <w:r>
        <w:rPr>
          <w:rFonts w:ascii="宋体" w:hAnsi="宋体" w:eastAsia="宋体" w:cs="宋体"/>
          <w:color w:val="auto"/>
          <w:sz w:val="21"/>
          <w:szCs w:val="21"/>
          <w:highlight w:val="none"/>
        </w:rPr>
        <w:t>注：此表由招标人填写，如不能详列明细，也可只列暂列金总额， 投标人应将上述暂列金</w:t>
      </w:r>
      <w:r>
        <w:rPr>
          <w:rFonts w:ascii="宋体" w:hAnsi="宋体" w:eastAsia="宋体" w:cs="宋体"/>
          <w:color w:val="auto"/>
          <w:spacing w:val="6"/>
          <w:sz w:val="21"/>
          <w:szCs w:val="21"/>
          <w:highlight w:val="none"/>
        </w:rPr>
        <w:t xml:space="preserve"> </w:t>
      </w:r>
      <w:r>
        <w:rPr>
          <w:rFonts w:ascii="宋体" w:hAnsi="宋体" w:eastAsia="宋体" w:cs="宋体"/>
          <w:color w:val="auto"/>
          <w:spacing w:val="-3"/>
          <w:sz w:val="21"/>
          <w:szCs w:val="21"/>
          <w:highlight w:val="none"/>
        </w:rPr>
        <w:t>额计入投标总价中。</w:t>
      </w:r>
    </w:p>
    <w:p w14:paraId="265EBE11">
      <w:pPr>
        <w:spacing w:line="228" w:lineRule="auto"/>
        <w:rPr>
          <w:rFonts w:ascii="宋体" w:hAnsi="宋体" w:eastAsia="宋体" w:cs="宋体"/>
          <w:color w:val="auto"/>
          <w:sz w:val="21"/>
          <w:szCs w:val="21"/>
          <w:highlight w:val="none"/>
        </w:rPr>
        <w:sectPr>
          <w:footerReference r:id="rId192" w:type="default"/>
          <w:pgSz w:w="11905" w:h="16839"/>
          <w:pgMar w:top="400" w:right="1709" w:bottom="1004" w:left="1709" w:header="0" w:footer="828" w:gutter="0"/>
          <w:pgNumType w:fmt="decimal"/>
          <w:cols w:space="720" w:num="1"/>
        </w:sectPr>
      </w:pPr>
    </w:p>
    <w:p w14:paraId="3CEA3EC1">
      <w:pPr>
        <w:pStyle w:val="3"/>
        <w:spacing w:line="267" w:lineRule="auto"/>
        <w:rPr>
          <w:color w:val="auto"/>
          <w:highlight w:val="none"/>
        </w:rPr>
      </w:pPr>
    </w:p>
    <w:p w14:paraId="2FCF9EFD">
      <w:pPr>
        <w:pStyle w:val="3"/>
        <w:spacing w:line="267" w:lineRule="auto"/>
        <w:rPr>
          <w:color w:val="auto"/>
          <w:highlight w:val="none"/>
        </w:rPr>
      </w:pPr>
    </w:p>
    <w:p w14:paraId="73345924">
      <w:pPr>
        <w:pStyle w:val="3"/>
        <w:spacing w:line="268" w:lineRule="auto"/>
        <w:rPr>
          <w:color w:val="auto"/>
          <w:highlight w:val="none"/>
        </w:rPr>
      </w:pPr>
    </w:p>
    <w:p w14:paraId="5A0ED8EF">
      <w:pPr>
        <w:pStyle w:val="3"/>
        <w:spacing w:line="268" w:lineRule="auto"/>
        <w:rPr>
          <w:color w:val="auto"/>
          <w:highlight w:val="none"/>
        </w:rPr>
      </w:pPr>
    </w:p>
    <w:p w14:paraId="7DA4785F">
      <w:pPr>
        <w:spacing w:before="78" w:line="219" w:lineRule="auto"/>
        <w:ind w:left="623"/>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4.12-2 </w:t>
      </w:r>
      <w:r>
        <w:rPr>
          <w:rFonts w:ascii="黑体" w:hAnsi="黑体" w:eastAsia="黑体" w:cs="黑体"/>
          <w:color w:val="auto"/>
          <w:spacing w:val="-1"/>
          <w:sz w:val="24"/>
          <w:szCs w:val="24"/>
          <w:highlight w:val="none"/>
        </w:rPr>
        <w:t>材料（工程设备）暂估单价及调整表</w:t>
      </w:r>
    </w:p>
    <w:p w14:paraId="7C85A807">
      <w:pPr>
        <w:pStyle w:val="3"/>
        <w:spacing w:line="383" w:lineRule="auto"/>
        <w:rPr>
          <w:color w:val="auto"/>
          <w:highlight w:val="none"/>
        </w:rPr>
      </w:pPr>
    </w:p>
    <w:p w14:paraId="43E1CD49">
      <w:pPr>
        <w:spacing w:before="88" w:line="225" w:lineRule="auto"/>
        <w:ind w:left="2545"/>
        <w:rPr>
          <w:rFonts w:ascii="黑体" w:hAnsi="黑体" w:eastAsia="黑体" w:cs="黑体"/>
          <w:color w:val="auto"/>
          <w:sz w:val="27"/>
          <w:szCs w:val="27"/>
          <w:highlight w:val="none"/>
        </w:rPr>
      </w:pPr>
      <w:bookmarkStart w:id="1309" w:name="bookmark255"/>
      <w:bookmarkEnd w:id="1309"/>
      <w:r>
        <w:rPr>
          <w:rFonts w:ascii="黑体" w:hAnsi="黑体" w:eastAsia="黑体" w:cs="黑体"/>
          <w:color w:val="auto"/>
          <w:spacing w:val="8"/>
          <w:sz w:val="27"/>
          <w:szCs w:val="27"/>
          <w:highlight w:val="none"/>
        </w:rPr>
        <w:t>材料（工程设备）暂估单价及调整表</w:t>
      </w:r>
    </w:p>
    <w:p w14:paraId="37680C78">
      <w:pPr>
        <w:spacing w:line="163" w:lineRule="exact"/>
        <w:rPr>
          <w:color w:val="auto"/>
          <w:highlight w:val="none"/>
        </w:rPr>
      </w:pPr>
    </w:p>
    <w:p w14:paraId="5821B737">
      <w:pPr>
        <w:spacing w:line="163" w:lineRule="exact"/>
        <w:rPr>
          <w:color w:val="auto"/>
          <w:highlight w:val="none"/>
        </w:rPr>
        <w:sectPr>
          <w:footerReference r:id="rId193" w:type="default"/>
          <w:pgSz w:w="11905" w:h="16839"/>
          <w:pgMar w:top="400" w:right="1171" w:bottom="1004" w:left="1176" w:header="0" w:footer="828" w:gutter="0"/>
          <w:pgNumType w:fmt="decimal"/>
          <w:cols w:equalWidth="0" w:num="1">
            <w:col w:w="9556"/>
          </w:cols>
        </w:sectPr>
      </w:pPr>
    </w:p>
    <w:p w14:paraId="0EEC1A22">
      <w:pPr>
        <w:spacing w:before="40" w:line="186" w:lineRule="auto"/>
        <w:ind w:left="125"/>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工程名称：</w:t>
      </w:r>
    </w:p>
    <w:p w14:paraId="2D7F0BF8">
      <w:pPr>
        <w:pStyle w:val="3"/>
        <w:spacing w:line="14" w:lineRule="auto"/>
        <w:rPr>
          <w:color w:val="auto"/>
          <w:sz w:val="2"/>
          <w:highlight w:val="none"/>
        </w:rPr>
      </w:pPr>
      <w:r>
        <w:rPr>
          <w:color w:val="auto"/>
          <w:sz w:val="2"/>
          <w:szCs w:val="2"/>
          <w:highlight w:val="none"/>
        </w:rPr>
        <w:br w:type="column"/>
      </w:r>
    </w:p>
    <w:p w14:paraId="02862D22">
      <w:pPr>
        <w:spacing w:before="39" w:line="186" w:lineRule="auto"/>
        <w:rPr>
          <w:rFonts w:ascii="宋体" w:hAnsi="宋体" w:eastAsia="宋体" w:cs="宋体"/>
          <w:color w:val="auto"/>
          <w:sz w:val="20"/>
          <w:szCs w:val="20"/>
          <w:highlight w:val="none"/>
        </w:rPr>
      </w:pPr>
      <w:r>
        <w:rPr>
          <w:rFonts w:ascii="宋体" w:hAnsi="宋体" w:eastAsia="宋体" w:cs="宋体"/>
          <w:color w:val="auto"/>
          <w:sz w:val="20"/>
          <w:szCs w:val="20"/>
          <w:highlight w:val="none"/>
        </w:rPr>
        <w:t>标段名称：              第</w:t>
      </w:r>
    </w:p>
    <w:p w14:paraId="6D9FBFA5">
      <w:pPr>
        <w:pStyle w:val="3"/>
        <w:spacing w:line="14" w:lineRule="auto"/>
        <w:rPr>
          <w:color w:val="auto"/>
          <w:sz w:val="2"/>
          <w:highlight w:val="none"/>
        </w:rPr>
      </w:pPr>
      <w:r>
        <w:rPr>
          <w:color w:val="auto"/>
          <w:sz w:val="2"/>
          <w:szCs w:val="2"/>
          <w:highlight w:val="none"/>
        </w:rPr>
        <w:br w:type="column"/>
      </w:r>
    </w:p>
    <w:p w14:paraId="7B755ECF">
      <w:pPr>
        <w:spacing w:before="39" w:line="186" w:lineRule="auto"/>
        <w:rPr>
          <w:rFonts w:ascii="宋体" w:hAnsi="宋体" w:eastAsia="宋体" w:cs="宋体"/>
          <w:color w:val="auto"/>
          <w:sz w:val="20"/>
          <w:szCs w:val="20"/>
          <w:highlight w:val="none"/>
        </w:rPr>
      </w:pPr>
      <w:r>
        <w:rPr>
          <w:rFonts w:ascii="宋体" w:hAnsi="宋体" w:eastAsia="宋体" w:cs="宋体"/>
          <w:color w:val="auto"/>
          <w:spacing w:val="-4"/>
          <w:sz w:val="20"/>
          <w:szCs w:val="20"/>
          <w:highlight w:val="none"/>
        </w:rPr>
        <w:t>页 共</w:t>
      </w:r>
      <w:r>
        <w:rPr>
          <w:rFonts w:ascii="宋体" w:hAnsi="宋体" w:eastAsia="宋体" w:cs="宋体"/>
          <w:color w:val="auto"/>
          <w:spacing w:val="7"/>
          <w:sz w:val="20"/>
          <w:szCs w:val="20"/>
          <w:highlight w:val="none"/>
        </w:rPr>
        <w:t xml:space="preserve">  </w:t>
      </w:r>
      <w:r>
        <w:rPr>
          <w:rFonts w:ascii="宋体" w:hAnsi="宋体" w:eastAsia="宋体" w:cs="宋体"/>
          <w:color w:val="auto"/>
          <w:spacing w:val="-4"/>
          <w:sz w:val="20"/>
          <w:szCs w:val="20"/>
          <w:highlight w:val="none"/>
        </w:rPr>
        <w:t>页</w:t>
      </w:r>
    </w:p>
    <w:p w14:paraId="7F87B1B2">
      <w:pPr>
        <w:spacing w:line="186" w:lineRule="auto"/>
        <w:rPr>
          <w:rFonts w:ascii="宋体" w:hAnsi="宋体" w:eastAsia="宋体" w:cs="宋体"/>
          <w:color w:val="auto"/>
          <w:sz w:val="20"/>
          <w:szCs w:val="20"/>
          <w:highlight w:val="none"/>
        </w:rPr>
        <w:sectPr>
          <w:type w:val="continuous"/>
          <w:pgSz w:w="11905" w:h="16839"/>
          <w:pgMar w:top="400" w:right="1171" w:bottom="1004" w:left="1176" w:header="0" w:footer="828" w:gutter="0"/>
          <w:pgNumType w:fmt="decimal"/>
          <w:cols w:equalWidth="0" w:num="3">
            <w:col w:w="5647" w:space="100"/>
            <w:col w:w="2714" w:space="100"/>
            <w:col w:w="996"/>
          </w:cols>
        </w:sectPr>
      </w:pPr>
    </w:p>
    <w:p w14:paraId="2E8B3BC7">
      <w:pPr>
        <w:spacing w:line="96" w:lineRule="exact"/>
        <w:rPr>
          <w:color w:val="auto"/>
          <w:highlight w:val="none"/>
        </w:rPr>
      </w:pPr>
    </w:p>
    <w:tbl>
      <w:tblPr>
        <w:tblStyle w:val="10"/>
        <w:tblW w:w="95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1"/>
        <w:gridCol w:w="2578"/>
        <w:gridCol w:w="806"/>
        <w:gridCol w:w="562"/>
        <w:gridCol w:w="556"/>
        <w:gridCol w:w="562"/>
        <w:gridCol w:w="676"/>
        <w:gridCol w:w="682"/>
        <w:gridCol w:w="681"/>
        <w:gridCol w:w="624"/>
        <w:gridCol w:w="628"/>
        <w:gridCol w:w="634"/>
      </w:tblGrid>
      <w:tr w14:paraId="53386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561" w:type="dxa"/>
            <w:vMerge w:val="restart"/>
            <w:tcBorders>
              <w:bottom w:val="nil"/>
            </w:tcBorders>
            <w:textDirection w:val="tbRlV"/>
            <w:vAlign w:val="top"/>
          </w:tcPr>
          <w:p w14:paraId="665A8E9C">
            <w:pPr>
              <w:pStyle w:val="11"/>
              <w:spacing w:before="177" w:line="211" w:lineRule="auto"/>
              <w:ind w:left="369"/>
              <w:rPr>
                <w:color w:val="auto"/>
                <w:sz w:val="20"/>
                <w:szCs w:val="20"/>
                <w:highlight w:val="none"/>
              </w:rPr>
            </w:pPr>
            <w:r>
              <w:rPr>
                <w:color w:val="auto"/>
                <w:spacing w:val="30"/>
                <w:sz w:val="20"/>
                <w:szCs w:val="20"/>
                <w:highlight w:val="none"/>
              </w:rPr>
              <w:t>序号</w:t>
            </w:r>
          </w:p>
        </w:tc>
        <w:tc>
          <w:tcPr>
            <w:tcW w:w="2578" w:type="dxa"/>
            <w:vMerge w:val="restart"/>
            <w:tcBorders>
              <w:bottom w:val="nil"/>
            </w:tcBorders>
            <w:vAlign w:val="top"/>
          </w:tcPr>
          <w:p w14:paraId="76B20ED7">
            <w:pPr>
              <w:spacing w:line="302" w:lineRule="auto"/>
              <w:rPr>
                <w:rFonts w:ascii="Arial"/>
                <w:color w:val="auto"/>
                <w:sz w:val="21"/>
                <w:highlight w:val="none"/>
              </w:rPr>
            </w:pPr>
          </w:p>
          <w:p w14:paraId="60C46A06">
            <w:pPr>
              <w:pStyle w:val="11"/>
              <w:spacing w:before="65" w:line="230" w:lineRule="auto"/>
              <w:ind w:left="495" w:right="484" w:hanging="2"/>
              <w:rPr>
                <w:color w:val="auto"/>
                <w:sz w:val="20"/>
                <w:szCs w:val="20"/>
                <w:highlight w:val="none"/>
              </w:rPr>
            </w:pPr>
            <w:r>
              <w:rPr>
                <w:color w:val="auto"/>
                <w:spacing w:val="-3"/>
                <w:sz w:val="20"/>
                <w:szCs w:val="20"/>
                <w:highlight w:val="none"/>
              </w:rPr>
              <w:t>材料（工程设备）</w:t>
            </w:r>
            <w:r>
              <w:rPr>
                <w:color w:val="auto"/>
                <w:spacing w:val="4"/>
                <w:sz w:val="20"/>
                <w:szCs w:val="20"/>
                <w:highlight w:val="none"/>
              </w:rPr>
              <w:t xml:space="preserve"> </w:t>
            </w:r>
            <w:r>
              <w:rPr>
                <w:color w:val="auto"/>
                <w:spacing w:val="-1"/>
                <w:sz w:val="20"/>
                <w:szCs w:val="20"/>
                <w:highlight w:val="none"/>
              </w:rPr>
              <w:t>名称、规格、型号</w:t>
            </w:r>
          </w:p>
        </w:tc>
        <w:tc>
          <w:tcPr>
            <w:tcW w:w="806" w:type="dxa"/>
            <w:vMerge w:val="restart"/>
            <w:tcBorders>
              <w:bottom w:val="nil"/>
            </w:tcBorders>
            <w:vAlign w:val="top"/>
          </w:tcPr>
          <w:p w14:paraId="78DB0791">
            <w:pPr>
              <w:spacing w:line="302" w:lineRule="auto"/>
              <w:rPr>
                <w:rFonts w:ascii="Arial"/>
                <w:color w:val="auto"/>
                <w:sz w:val="21"/>
                <w:highlight w:val="none"/>
              </w:rPr>
            </w:pPr>
          </w:p>
          <w:p w14:paraId="14ECF562">
            <w:pPr>
              <w:pStyle w:val="11"/>
              <w:spacing w:before="65" w:line="239" w:lineRule="auto"/>
              <w:ind w:left="210"/>
              <w:rPr>
                <w:color w:val="auto"/>
                <w:sz w:val="20"/>
                <w:szCs w:val="20"/>
                <w:highlight w:val="none"/>
              </w:rPr>
            </w:pPr>
            <w:r>
              <w:rPr>
                <w:color w:val="auto"/>
                <w:spacing w:val="-2"/>
                <w:sz w:val="20"/>
                <w:szCs w:val="20"/>
                <w:highlight w:val="none"/>
              </w:rPr>
              <w:t>计量</w:t>
            </w:r>
          </w:p>
          <w:p w14:paraId="7FB2D1F3">
            <w:pPr>
              <w:pStyle w:val="11"/>
              <w:spacing w:line="221" w:lineRule="auto"/>
              <w:ind w:left="212"/>
              <w:rPr>
                <w:color w:val="auto"/>
                <w:sz w:val="20"/>
                <w:szCs w:val="20"/>
                <w:highlight w:val="none"/>
              </w:rPr>
            </w:pPr>
            <w:r>
              <w:rPr>
                <w:color w:val="auto"/>
                <w:spacing w:val="-2"/>
                <w:sz w:val="20"/>
                <w:szCs w:val="20"/>
                <w:highlight w:val="none"/>
              </w:rPr>
              <w:t>单位</w:t>
            </w:r>
          </w:p>
        </w:tc>
        <w:tc>
          <w:tcPr>
            <w:tcW w:w="1118" w:type="dxa"/>
            <w:gridSpan w:val="2"/>
            <w:vAlign w:val="top"/>
          </w:tcPr>
          <w:p w14:paraId="27C13042">
            <w:pPr>
              <w:pStyle w:val="11"/>
              <w:spacing w:before="234" w:line="221" w:lineRule="auto"/>
              <w:ind w:left="366"/>
              <w:rPr>
                <w:color w:val="auto"/>
                <w:sz w:val="20"/>
                <w:szCs w:val="20"/>
                <w:highlight w:val="none"/>
              </w:rPr>
            </w:pPr>
            <w:r>
              <w:rPr>
                <w:color w:val="auto"/>
                <w:spacing w:val="-2"/>
                <w:sz w:val="20"/>
                <w:szCs w:val="20"/>
                <w:highlight w:val="none"/>
              </w:rPr>
              <w:t>数量</w:t>
            </w:r>
          </w:p>
        </w:tc>
        <w:tc>
          <w:tcPr>
            <w:tcW w:w="1238" w:type="dxa"/>
            <w:gridSpan w:val="2"/>
            <w:vAlign w:val="top"/>
          </w:tcPr>
          <w:p w14:paraId="2EA3DD38">
            <w:pPr>
              <w:pStyle w:val="11"/>
              <w:spacing w:before="234" w:line="220" w:lineRule="auto"/>
              <w:ind w:left="132"/>
              <w:rPr>
                <w:color w:val="auto"/>
                <w:sz w:val="20"/>
                <w:szCs w:val="20"/>
                <w:highlight w:val="none"/>
              </w:rPr>
            </w:pPr>
            <w:r>
              <w:rPr>
                <w:color w:val="auto"/>
                <w:spacing w:val="-2"/>
                <w:sz w:val="20"/>
                <w:szCs w:val="20"/>
                <w:highlight w:val="none"/>
              </w:rPr>
              <w:t>暂估（元）</w:t>
            </w:r>
          </w:p>
        </w:tc>
        <w:tc>
          <w:tcPr>
            <w:tcW w:w="1363" w:type="dxa"/>
            <w:gridSpan w:val="2"/>
            <w:vAlign w:val="top"/>
          </w:tcPr>
          <w:p w14:paraId="1C386940">
            <w:pPr>
              <w:pStyle w:val="11"/>
              <w:spacing w:before="234" w:line="222" w:lineRule="auto"/>
              <w:ind w:left="188"/>
              <w:rPr>
                <w:color w:val="auto"/>
                <w:sz w:val="20"/>
                <w:szCs w:val="20"/>
                <w:highlight w:val="none"/>
              </w:rPr>
            </w:pPr>
            <w:r>
              <w:rPr>
                <w:color w:val="auto"/>
                <w:spacing w:val="-1"/>
                <w:sz w:val="20"/>
                <w:szCs w:val="20"/>
                <w:highlight w:val="none"/>
              </w:rPr>
              <w:t>确认（元）</w:t>
            </w:r>
          </w:p>
        </w:tc>
        <w:tc>
          <w:tcPr>
            <w:tcW w:w="1252" w:type="dxa"/>
            <w:gridSpan w:val="2"/>
            <w:vAlign w:val="top"/>
          </w:tcPr>
          <w:p w14:paraId="592A095B">
            <w:pPr>
              <w:pStyle w:val="11"/>
              <w:spacing w:before="105" w:line="239" w:lineRule="auto"/>
              <w:ind w:left="336"/>
              <w:rPr>
                <w:color w:val="auto"/>
                <w:sz w:val="20"/>
                <w:szCs w:val="20"/>
                <w:highlight w:val="none"/>
              </w:rPr>
            </w:pPr>
            <w:r>
              <w:rPr>
                <w:color w:val="auto"/>
                <w:spacing w:val="-2"/>
                <w:sz w:val="20"/>
                <w:szCs w:val="20"/>
                <w:highlight w:val="none"/>
              </w:rPr>
              <w:t>差额±</w:t>
            </w:r>
          </w:p>
          <w:p w14:paraId="161F3F01">
            <w:pPr>
              <w:pStyle w:val="11"/>
              <w:spacing w:line="221" w:lineRule="auto"/>
              <w:ind w:left="340"/>
              <w:rPr>
                <w:color w:val="auto"/>
                <w:sz w:val="20"/>
                <w:szCs w:val="20"/>
                <w:highlight w:val="none"/>
              </w:rPr>
            </w:pPr>
            <w:r>
              <w:rPr>
                <w:color w:val="auto"/>
                <w:spacing w:val="-4"/>
                <w:sz w:val="20"/>
                <w:szCs w:val="20"/>
                <w:highlight w:val="none"/>
              </w:rPr>
              <w:t>（元）</w:t>
            </w:r>
          </w:p>
        </w:tc>
        <w:tc>
          <w:tcPr>
            <w:tcW w:w="634" w:type="dxa"/>
            <w:vMerge w:val="restart"/>
            <w:tcBorders>
              <w:bottom w:val="nil"/>
            </w:tcBorders>
            <w:vAlign w:val="top"/>
          </w:tcPr>
          <w:p w14:paraId="16F818A2">
            <w:pPr>
              <w:spacing w:line="431" w:lineRule="auto"/>
              <w:rPr>
                <w:rFonts w:ascii="Arial"/>
                <w:color w:val="auto"/>
                <w:sz w:val="21"/>
                <w:highlight w:val="none"/>
              </w:rPr>
            </w:pPr>
          </w:p>
          <w:p w14:paraId="77C6E50B">
            <w:pPr>
              <w:pStyle w:val="11"/>
              <w:spacing w:before="65" w:line="222" w:lineRule="auto"/>
              <w:ind w:left="126"/>
              <w:rPr>
                <w:color w:val="auto"/>
                <w:sz w:val="20"/>
                <w:szCs w:val="20"/>
                <w:highlight w:val="none"/>
              </w:rPr>
            </w:pPr>
            <w:r>
              <w:rPr>
                <w:color w:val="auto"/>
                <w:spacing w:val="-2"/>
                <w:sz w:val="20"/>
                <w:szCs w:val="20"/>
                <w:highlight w:val="none"/>
              </w:rPr>
              <w:t>备注</w:t>
            </w:r>
          </w:p>
        </w:tc>
      </w:tr>
      <w:tr w14:paraId="49EB7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561" w:type="dxa"/>
            <w:vMerge w:val="continue"/>
            <w:tcBorders>
              <w:top w:val="nil"/>
            </w:tcBorders>
            <w:textDirection w:val="tbRlV"/>
            <w:vAlign w:val="top"/>
          </w:tcPr>
          <w:p w14:paraId="23B29D05">
            <w:pPr>
              <w:rPr>
                <w:rFonts w:ascii="Arial"/>
                <w:color w:val="auto"/>
                <w:sz w:val="21"/>
                <w:highlight w:val="none"/>
              </w:rPr>
            </w:pPr>
          </w:p>
        </w:tc>
        <w:tc>
          <w:tcPr>
            <w:tcW w:w="2578" w:type="dxa"/>
            <w:vMerge w:val="continue"/>
            <w:tcBorders>
              <w:top w:val="nil"/>
            </w:tcBorders>
            <w:vAlign w:val="top"/>
          </w:tcPr>
          <w:p w14:paraId="22496F93">
            <w:pPr>
              <w:rPr>
                <w:rFonts w:ascii="Arial"/>
                <w:color w:val="auto"/>
                <w:sz w:val="21"/>
                <w:highlight w:val="none"/>
              </w:rPr>
            </w:pPr>
          </w:p>
        </w:tc>
        <w:tc>
          <w:tcPr>
            <w:tcW w:w="806" w:type="dxa"/>
            <w:vMerge w:val="continue"/>
            <w:tcBorders>
              <w:top w:val="nil"/>
            </w:tcBorders>
            <w:vAlign w:val="top"/>
          </w:tcPr>
          <w:p w14:paraId="4001A3BA">
            <w:pPr>
              <w:rPr>
                <w:rFonts w:ascii="Arial"/>
                <w:color w:val="auto"/>
                <w:sz w:val="21"/>
                <w:highlight w:val="none"/>
              </w:rPr>
            </w:pPr>
          </w:p>
        </w:tc>
        <w:tc>
          <w:tcPr>
            <w:tcW w:w="562" w:type="dxa"/>
            <w:textDirection w:val="tbRlV"/>
            <w:vAlign w:val="top"/>
          </w:tcPr>
          <w:p w14:paraId="504C2B71">
            <w:pPr>
              <w:pStyle w:val="11"/>
              <w:spacing w:before="180" w:line="208" w:lineRule="auto"/>
              <w:ind w:left="28"/>
              <w:rPr>
                <w:color w:val="auto"/>
                <w:sz w:val="20"/>
                <w:szCs w:val="20"/>
                <w:highlight w:val="none"/>
              </w:rPr>
            </w:pPr>
            <w:r>
              <w:rPr>
                <w:color w:val="auto"/>
                <w:spacing w:val="30"/>
                <w:sz w:val="20"/>
                <w:szCs w:val="20"/>
                <w:highlight w:val="none"/>
              </w:rPr>
              <w:t>暂估</w:t>
            </w:r>
          </w:p>
        </w:tc>
        <w:tc>
          <w:tcPr>
            <w:tcW w:w="556" w:type="dxa"/>
            <w:textDirection w:val="tbRlV"/>
            <w:vAlign w:val="top"/>
          </w:tcPr>
          <w:p w14:paraId="7650CB4C">
            <w:pPr>
              <w:pStyle w:val="11"/>
              <w:spacing w:before="174" w:line="210" w:lineRule="auto"/>
              <w:ind w:left="28"/>
              <w:rPr>
                <w:color w:val="auto"/>
                <w:sz w:val="20"/>
                <w:szCs w:val="20"/>
                <w:highlight w:val="none"/>
              </w:rPr>
            </w:pPr>
            <w:r>
              <w:rPr>
                <w:color w:val="auto"/>
                <w:spacing w:val="30"/>
                <w:sz w:val="20"/>
                <w:szCs w:val="20"/>
                <w:highlight w:val="none"/>
              </w:rPr>
              <w:t>确认</w:t>
            </w:r>
          </w:p>
        </w:tc>
        <w:tc>
          <w:tcPr>
            <w:tcW w:w="562" w:type="dxa"/>
            <w:textDirection w:val="tbRlV"/>
            <w:vAlign w:val="top"/>
          </w:tcPr>
          <w:p w14:paraId="1EB62D0D">
            <w:pPr>
              <w:pStyle w:val="11"/>
              <w:spacing w:before="179" w:line="207" w:lineRule="auto"/>
              <w:ind w:left="28"/>
              <w:rPr>
                <w:color w:val="auto"/>
                <w:sz w:val="20"/>
                <w:szCs w:val="20"/>
                <w:highlight w:val="none"/>
              </w:rPr>
            </w:pPr>
            <w:r>
              <w:rPr>
                <w:color w:val="auto"/>
                <w:spacing w:val="30"/>
                <w:sz w:val="20"/>
                <w:szCs w:val="20"/>
                <w:highlight w:val="none"/>
              </w:rPr>
              <w:t>单价</w:t>
            </w:r>
          </w:p>
        </w:tc>
        <w:tc>
          <w:tcPr>
            <w:tcW w:w="676" w:type="dxa"/>
            <w:vAlign w:val="top"/>
          </w:tcPr>
          <w:p w14:paraId="785FAEA5">
            <w:pPr>
              <w:pStyle w:val="11"/>
              <w:spacing w:before="157" w:line="220" w:lineRule="auto"/>
              <w:ind w:left="150"/>
              <w:rPr>
                <w:color w:val="auto"/>
                <w:sz w:val="20"/>
                <w:szCs w:val="20"/>
                <w:highlight w:val="none"/>
              </w:rPr>
            </w:pPr>
            <w:r>
              <w:rPr>
                <w:color w:val="auto"/>
                <w:spacing w:val="-2"/>
                <w:sz w:val="20"/>
                <w:szCs w:val="20"/>
                <w:highlight w:val="none"/>
              </w:rPr>
              <w:t>合价</w:t>
            </w:r>
          </w:p>
        </w:tc>
        <w:tc>
          <w:tcPr>
            <w:tcW w:w="682" w:type="dxa"/>
            <w:vAlign w:val="top"/>
          </w:tcPr>
          <w:p w14:paraId="18B6D4C0">
            <w:pPr>
              <w:pStyle w:val="11"/>
              <w:spacing w:before="157" w:line="220" w:lineRule="auto"/>
              <w:ind w:left="152"/>
              <w:rPr>
                <w:color w:val="auto"/>
                <w:sz w:val="20"/>
                <w:szCs w:val="20"/>
                <w:highlight w:val="none"/>
              </w:rPr>
            </w:pPr>
            <w:r>
              <w:rPr>
                <w:color w:val="auto"/>
                <w:spacing w:val="-2"/>
                <w:sz w:val="20"/>
                <w:szCs w:val="20"/>
                <w:highlight w:val="none"/>
              </w:rPr>
              <w:t>单价</w:t>
            </w:r>
          </w:p>
        </w:tc>
        <w:tc>
          <w:tcPr>
            <w:tcW w:w="681" w:type="dxa"/>
            <w:vAlign w:val="top"/>
          </w:tcPr>
          <w:p w14:paraId="267F632F">
            <w:pPr>
              <w:pStyle w:val="11"/>
              <w:spacing w:before="157" w:line="220" w:lineRule="auto"/>
              <w:ind w:left="151"/>
              <w:rPr>
                <w:color w:val="auto"/>
                <w:sz w:val="20"/>
                <w:szCs w:val="20"/>
                <w:highlight w:val="none"/>
              </w:rPr>
            </w:pPr>
            <w:r>
              <w:rPr>
                <w:color w:val="auto"/>
                <w:spacing w:val="-2"/>
                <w:sz w:val="20"/>
                <w:szCs w:val="20"/>
                <w:highlight w:val="none"/>
              </w:rPr>
              <w:t>合价</w:t>
            </w:r>
          </w:p>
        </w:tc>
        <w:tc>
          <w:tcPr>
            <w:tcW w:w="624" w:type="dxa"/>
            <w:vAlign w:val="top"/>
          </w:tcPr>
          <w:p w14:paraId="5EA82826">
            <w:pPr>
              <w:pStyle w:val="11"/>
              <w:spacing w:before="157" w:line="220" w:lineRule="auto"/>
              <w:ind w:left="124"/>
              <w:rPr>
                <w:color w:val="auto"/>
                <w:sz w:val="20"/>
                <w:szCs w:val="20"/>
                <w:highlight w:val="none"/>
              </w:rPr>
            </w:pPr>
            <w:r>
              <w:rPr>
                <w:color w:val="auto"/>
                <w:spacing w:val="-2"/>
                <w:sz w:val="20"/>
                <w:szCs w:val="20"/>
                <w:highlight w:val="none"/>
              </w:rPr>
              <w:t>单价</w:t>
            </w:r>
          </w:p>
        </w:tc>
        <w:tc>
          <w:tcPr>
            <w:tcW w:w="628" w:type="dxa"/>
            <w:vAlign w:val="top"/>
          </w:tcPr>
          <w:p w14:paraId="78E521DE">
            <w:pPr>
              <w:pStyle w:val="11"/>
              <w:spacing w:before="157" w:line="220" w:lineRule="auto"/>
              <w:ind w:left="123"/>
              <w:rPr>
                <w:color w:val="auto"/>
                <w:sz w:val="20"/>
                <w:szCs w:val="20"/>
                <w:highlight w:val="none"/>
              </w:rPr>
            </w:pPr>
            <w:r>
              <w:rPr>
                <w:color w:val="auto"/>
                <w:spacing w:val="-2"/>
                <w:sz w:val="20"/>
                <w:szCs w:val="20"/>
                <w:highlight w:val="none"/>
              </w:rPr>
              <w:t>合价</w:t>
            </w:r>
          </w:p>
        </w:tc>
        <w:tc>
          <w:tcPr>
            <w:tcW w:w="634" w:type="dxa"/>
            <w:vMerge w:val="continue"/>
            <w:tcBorders>
              <w:top w:val="nil"/>
            </w:tcBorders>
            <w:vAlign w:val="top"/>
          </w:tcPr>
          <w:p w14:paraId="352C591F">
            <w:pPr>
              <w:rPr>
                <w:rFonts w:ascii="Arial"/>
                <w:color w:val="auto"/>
                <w:sz w:val="21"/>
                <w:highlight w:val="none"/>
              </w:rPr>
            </w:pPr>
          </w:p>
        </w:tc>
      </w:tr>
      <w:tr w14:paraId="49068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74785EC4">
            <w:pPr>
              <w:rPr>
                <w:rFonts w:ascii="Arial"/>
                <w:color w:val="auto"/>
                <w:sz w:val="21"/>
                <w:highlight w:val="none"/>
              </w:rPr>
            </w:pPr>
          </w:p>
        </w:tc>
        <w:tc>
          <w:tcPr>
            <w:tcW w:w="2578" w:type="dxa"/>
            <w:vAlign w:val="top"/>
          </w:tcPr>
          <w:p w14:paraId="51EA6C1D">
            <w:pPr>
              <w:rPr>
                <w:rFonts w:ascii="Arial"/>
                <w:color w:val="auto"/>
                <w:sz w:val="21"/>
                <w:highlight w:val="none"/>
              </w:rPr>
            </w:pPr>
          </w:p>
        </w:tc>
        <w:tc>
          <w:tcPr>
            <w:tcW w:w="806" w:type="dxa"/>
            <w:vAlign w:val="top"/>
          </w:tcPr>
          <w:p w14:paraId="4E1549CA">
            <w:pPr>
              <w:rPr>
                <w:rFonts w:ascii="Arial"/>
                <w:color w:val="auto"/>
                <w:sz w:val="21"/>
                <w:highlight w:val="none"/>
              </w:rPr>
            </w:pPr>
          </w:p>
        </w:tc>
        <w:tc>
          <w:tcPr>
            <w:tcW w:w="562" w:type="dxa"/>
            <w:vAlign w:val="top"/>
          </w:tcPr>
          <w:p w14:paraId="5867063A">
            <w:pPr>
              <w:rPr>
                <w:rFonts w:ascii="Arial"/>
                <w:color w:val="auto"/>
                <w:sz w:val="21"/>
                <w:highlight w:val="none"/>
              </w:rPr>
            </w:pPr>
          </w:p>
        </w:tc>
        <w:tc>
          <w:tcPr>
            <w:tcW w:w="556" w:type="dxa"/>
            <w:vAlign w:val="top"/>
          </w:tcPr>
          <w:p w14:paraId="71E0B426">
            <w:pPr>
              <w:rPr>
                <w:rFonts w:ascii="Arial"/>
                <w:color w:val="auto"/>
                <w:sz w:val="21"/>
                <w:highlight w:val="none"/>
              </w:rPr>
            </w:pPr>
          </w:p>
        </w:tc>
        <w:tc>
          <w:tcPr>
            <w:tcW w:w="562" w:type="dxa"/>
            <w:vAlign w:val="top"/>
          </w:tcPr>
          <w:p w14:paraId="71419DBD">
            <w:pPr>
              <w:rPr>
                <w:rFonts w:ascii="Arial"/>
                <w:color w:val="auto"/>
                <w:sz w:val="21"/>
                <w:highlight w:val="none"/>
              </w:rPr>
            </w:pPr>
          </w:p>
        </w:tc>
        <w:tc>
          <w:tcPr>
            <w:tcW w:w="676" w:type="dxa"/>
            <w:vAlign w:val="top"/>
          </w:tcPr>
          <w:p w14:paraId="0CC8AB8A">
            <w:pPr>
              <w:rPr>
                <w:rFonts w:ascii="Arial"/>
                <w:color w:val="auto"/>
                <w:sz w:val="21"/>
                <w:highlight w:val="none"/>
              </w:rPr>
            </w:pPr>
          </w:p>
        </w:tc>
        <w:tc>
          <w:tcPr>
            <w:tcW w:w="682" w:type="dxa"/>
            <w:vAlign w:val="top"/>
          </w:tcPr>
          <w:p w14:paraId="1052B82C">
            <w:pPr>
              <w:rPr>
                <w:rFonts w:ascii="Arial"/>
                <w:color w:val="auto"/>
                <w:sz w:val="21"/>
                <w:highlight w:val="none"/>
              </w:rPr>
            </w:pPr>
          </w:p>
        </w:tc>
        <w:tc>
          <w:tcPr>
            <w:tcW w:w="681" w:type="dxa"/>
            <w:vAlign w:val="top"/>
          </w:tcPr>
          <w:p w14:paraId="1CCE59FC">
            <w:pPr>
              <w:rPr>
                <w:rFonts w:ascii="Arial"/>
                <w:color w:val="auto"/>
                <w:sz w:val="21"/>
                <w:highlight w:val="none"/>
              </w:rPr>
            </w:pPr>
          </w:p>
        </w:tc>
        <w:tc>
          <w:tcPr>
            <w:tcW w:w="624" w:type="dxa"/>
            <w:vAlign w:val="top"/>
          </w:tcPr>
          <w:p w14:paraId="718273C3">
            <w:pPr>
              <w:rPr>
                <w:rFonts w:ascii="Arial"/>
                <w:color w:val="auto"/>
                <w:sz w:val="21"/>
                <w:highlight w:val="none"/>
              </w:rPr>
            </w:pPr>
          </w:p>
        </w:tc>
        <w:tc>
          <w:tcPr>
            <w:tcW w:w="628" w:type="dxa"/>
            <w:vAlign w:val="top"/>
          </w:tcPr>
          <w:p w14:paraId="680B5E2D">
            <w:pPr>
              <w:rPr>
                <w:rFonts w:ascii="Arial"/>
                <w:color w:val="auto"/>
                <w:sz w:val="21"/>
                <w:highlight w:val="none"/>
              </w:rPr>
            </w:pPr>
          </w:p>
        </w:tc>
        <w:tc>
          <w:tcPr>
            <w:tcW w:w="634" w:type="dxa"/>
            <w:vAlign w:val="top"/>
          </w:tcPr>
          <w:p w14:paraId="678D23B2">
            <w:pPr>
              <w:rPr>
                <w:rFonts w:ascii="Arial"/>
                <w:color w:val="auto"/>
                <w:sz w:val="21"/>
                <w:highlight w:val="none"/>
              </w:rPr>
            </w:pPr>
          </w:p>
        </w:tc>
      </w:tr>
      <w:tr w14:paraId="3CE1E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465A9CF5">
            <w:pPr>
              <w:rPr>
                <w:rFonts w:ascii="Arial"/>
                <w:color w:val="auto"/>
                <w:sz w:val="21"/>
                <w:highlight w:val="none"/>
              </w:rPr>
            </w:pPr>
          </w:p>
        </w:tc>
        <w:tc>
          <w:tcPr>
            <w:tcW w:w="2578" w:type="dxa"/>
            <w:vAlign w:val="top"/>
          </w:tcPr>
          <w:p w14:paraId="4432771E">
            <w:pPr>
              <w:rPr>
                <w:rFonts w:ascii="Arial"/>
                <w:color w:val="auto"/>
                <w:sz w:val="21"/>
                <w:highlight w:val="none"/>
              </w:rPr>
            </w:pPr>
          </w:p>
        </w:tc>
        <w:tc>
          <w:tcPr>
            <w:tcW w:w="806" w:type="dxa"/>
            <w:vAlign w:val="top"/>
          </w:tcPr>
          <w:p w14:paraId="0AF267A4">
            <w:pPr>
              <w:rPr>
                <w:rFonts w:ascii="Arial"/>
                <w:color w:val="auto"/>
                <w:sz w:val="21"/>
                <w:highlight w:val="none"/>
              </w:rPr>
            </w:pPr>
          </w:p>
        </w:tc>
        <w:tc>
          <w:tcPr>
            <w:tcW w:w="562" w:type="dxa"/>
            <w:vAlign w:val="top"/>
          </w:tcPr>
          <w:p w14:paraId="2D2F2976">
            <w:pPr>
              <w:rPr>
                <w:rFonts w:ascii="Arial"/>
                <w:color w:val="auto"/>
                <w:sz w:val="21"/>
                <w:highlight w:val="none"/>
              </w:rPr>
            </w:pPr>
          </w:p>
        </w:tc>
        <w:tc>
          <w:tcPr>
            <w:tcW w:w="556" w:type="dxa"/>
            <w:vAlign w:val="top"/>
          </w:tcPr>
          <w:p w14:paraId="7BB90C1C">
            <w:pPr>
              <w:rPr>
                <w:rFonts w:ascii="Arial"/>
                <w:color w:val="auto"/>
                <w:sz w:val="21"/>
                <w:highlight w:val="none"/>
              </w:rPr>
            </w:pPr>
          </w:p>
        </w:tc>
        <w:tc>
          <w:tcPr>
            <w:tcW w:w="562" w:type="dxa"/>
            <w:vAlign w:val="top"/>
          </w:tcPr>
          <w:p w14:paraId="41DEB0AC">
            <w:pPr>
              <w:rPr>
                <w:rFonts w:ascii="Arial"/>
                <w:color w:val="auto"/>
                <w:sz w:val="21"/>
                <w:highlight w:val="none"/>
              </w:rPr>
            </w:pPr>
          </w:p>
        </w:tc>
        <w:tc>
          <w:tcPr>
            <w:tcW w:w="676" w:type="dxa"/>
            <w:vAlign w:val="top"/>
          </w:tcPr>
          <w:p w14:paraId="719052CB">
            <w:pPr>
              <w:rPr>
                <w:rFonts w:ascii="Arial"/>
                <w:color w:val="auto"/>
                <w:sz w:val="21"/>
                <w:highlight w:val="none"/>
              </w:rPr>
            </w:pPr>
          </w:p>
        </w:tc>
        <w:tc>
          <w:tcPr>
            <w:tcW w:w="682" w:type="dxa"/>
            <w:vAlign w:val="top"/>
          </w:tcPr>
          <w:p w14:paraId="1AFB23F2">
            <w:pPr>
              <w:rPr>
                <w:rFonts w:ascii="Arial"/>
                <w:color w:val="auto"/>
                <w:sz w:val="21"/>
                <w:highlight w:val="none"/>
              </w:rPr>
            </w:pPr>
          </w:p>
        </w:tc>
        <w:tc>
          <w:tcPr>
            <w:tcW w:w="681" w:type="dxa"/>
            <w:vAlign w:val="top"/>
          </w:tcPr>
          <w:p w14:paraId="5B63D1B4">
            <w:pPr>
              <w:rPr>
                <w:rFonts w:ascii="Arial"/>
                <w:color w:val="auto"/>
                <w:sz w:val="21"/>
                <w:highlight w:val="none"/>
              </w:rPr>
            </w:pPr>
          </w:p>
        </w:tc>
        <w:tc>
          <w:tcPr>
            <w:tcW w:w="624" w:type="dxa"/>
            <w:vAlign w:val="top"/>
          </w:tcPr>
          <w:p w14:paraId="0DDC71A0">
            <w:pPr>
              <w:rPr>
                <w:rFonts w:ascii="Arial"/>
                <w:color w:val="auto"/>
                <w:sz w:val="21"/>
                <w:highlight w:val="none"/>
              </w:rPr>
            </w:pPr>
          </w:p>
        </w:tc>
        <w:tc>
          <w:tcPr>
            <w:tcW w:w="628" w:type="dxa"/>
            <w:vAlign w:val="top"/>
          </w:tcPr>
          <w:p w14:paraId="04F2F043">
            <w:pPr>
              <w:rPr>
                <w:rFonts w:ascii="Arial"/>
                <w:color w:val="auto"/>
                <w:sz w:val="21"/>
                <w:highlight w:val="none"/>
              </w:rPr>
            </w:pPr>
          </w:p>
        </w:tc>
        <w:tc>
          <w:tcPr>
            <w:tcW w:w="634" w:type="dxa"/>
            <w:vAlign w:val="top"/>
          </w:tcPr>
          <w:p w14:paraId="794DD018">
            <w:pPr>
              <w:rPr>
                <w:rFonts w:ascii="Arial"/>
                <w:color w:val="auto"/>
                <w:sz w:val="21"/>
                <w:highlight w:val="none"/>
              </w:rPr>
            </w:pPr>
          </w:p>
        </w:tc>
      </w:tr>
      <w:tr w14:paraId="5BE61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0" w:hRule="atLeast"/>
        </w:trPr>
        <w:tc>
          <w:tcPr>
            <w:tcW w:w="561" w:type="dxa"/>
            <w:vAlign w:val="top"/>
          </w:tcPr>
          <w:p w14:paraId="131FBABD">
            <w:pPr>
              <w:rPr>
                <w:rFonts w:ascii="Arial"/>
                <w:color w:val="auto"/>
                <w:sz w:val="21"/>
                <w:highlight w:val="none"/>
              </w:rPr>
            </w:pPr>
          </w:p>
        </w:tc>
        <w:tc>
          <w:tcPr>
            <w:tcW w:w="2578" w:type="dxa"/>
            <w:vAlign w:val="top"/>
          </w:tcPr>
          <w:p w14:paraId="2F06EEED">
            <w:pPr>
              <w:rPr>
                <w:rFonts w:ascii="Arial"/>
                <w:color w:val="auto"/>
                <w:sz w:val="21"/>
                <w:highlight w:val="none"/>
              </w:rPr>
            </w:pPr>
          </w:p>
        </w:tc>
        <w:tc>
          <w:tcPr>
            <w:tcW w:w="806" w:type="dxa"/>
            <w:vAlign w:val="top"/>
          </w:tcPr>
          <w:p w14:paraId="6CBA0102">
            <w:pPr>
              <w:rPr>
                <w:rFonts w:ascii="Arial"/>
                <w:color w:val="auto"/>
                <w:sz w:val="21"/>
                <w:highlight w:val="none"/>
              </w:rPr>
            </w:pPr>
          </w:p>
        </w:tc>
        <w:tc>
          <w:tcPr>
            <w:tcW w:w="562" w:type="dxa"/>
            <w:vAlign w:val="top"/>
          </w:tcPr>
          <w:p w14:paraId="7FF2D6FC">
            <w:pPr>
              <w:rPr>
                <w:rFonts w:ascii="Arial"/>
                <w:color w:val="auto"/>
                <w:sz w:val="21"/>
                <w:highlight w:val="none"/>
              </w:rPr>
            </w:pPr>
          </w:p>
        </w:tc>
        <w:tc>
          <w:tcPr>
            <w:tcW w:w="556" w:type="dxa"/>
            <w:vAlign w:val="top"/>
          </w:tcPr>
          <w:p w14:paraId="5E4CC1F4">
            <w:pPr>
              <w:rPr>
                <w:rFonts w:ascii="Arial"/>
                <w:color w:val="auto"/>
                <w:sz w:val="21"/>
                <w:highlight w:val="none"/>
              </w:rPr>
            </w:pPr>
          </w:p>
        </w:tc>
        <w:tc>
          <w:tcPr>
            <w:tcW w:w="562" w:type="dxa"/>
            <w:vAlign w:val="top"/>
          </w:tcPr>
          <w:p w14:paraId="7ABF2956">
            <w:pPr>
              <w:rPr>
                <w:rFonts w:ascii="Arial"/>
                <w:color w:val="auto"/>
                <w:sz w:val="21"/>
                <w:highlight w:val="none"/>
              </w:rPr>
            </w:pPr>
          </w:p>
        </w:tc>
        <w:tc>
          <w:tcPr>
            <w:tcW w:w="676" w:type="dxa"/>
            <w:vAlign w:val="top"/>
          </w:tcPr>
          <w:p w14:paraId="6003820C">
            <w:pPr>
              <w:rPr>
                <w:rFonts w:ascii="Arial"/>
                <w:color w:val="auto"/>
                <w:sz w:val="21"/>
                <w:highlight w:val="none"/>
              </w:rPr>
            </w:pPr>
          </w:p>
        </w:tc>
        <w:tc>
          <w:tcPr>
            <w:tcW w:w="682" w:type="dxa"/>
            <w:vAlign w:val="top"/>
          </w:tcPr>
          <w:p w14:paraId="3D2D57B0">
            <w:pPr>
              <w:rPr>
                <w:rFonts w:ascii="Arial"/>
                <w:color w:val="auto"/>
                <w:sz w:val="21"/>
                <w:highlight w:val="none"/>
              </w:rPr>
            </w:pPr>
          </w:p>
        </w:tc>
        <w:tc>
          <w:tcPr>
            <w:tcW w:w="681" w:type="dxa"/>
            <w:vAlign w:val="top"/>
          </w:tcPr>
          <w:p w14:paraId="29066216">
            <w:pPr>
              <w:rPr>
                <w:rFonts w:ascii="Arial"/>
                <w:color w:val="auto"/>
                <w:sz w:val="21"/>
                <w:highlight w:val="none"/>
              </w:rPr>
            </w:pPr>
          </w:p>
        </w:tc>
        <w:tc>
          <w:tcPr>
            <w:tcW w:w="624" w:type="dxa"/>
            <w:vAlign w:val="top"/>
          </w:tcPr>
          <w:p w14:paraId="03CDCAEE">
            <w:pPr>
              <w:rPr>
                <w:rFonts w:ascii="Arial"/>
                <w:color w:val="auto"/>
                <w:sz w:val="21"/>
                <w:highlight w:val="none"/>
              </w:rPr>
            </w:pPr>
          </w:p>
        </w:tc>
        <w:tc>
          <w:tcPr>
            <w:tcW w:w="628" w:type="dxa"/>
            <w:vAlign w:val="top"/>
          </w:tcPr>
          <w:p w14:paraId="156A5047">
            <w:pPr>
              <w:rPr>
                <w:rFonts w:ascii="Arial"/>
                <w:color w:val="auto"/>
                <w:sz w:val="21"/>
                <w:highlight w:val="none"/>
              </w:rPr>
            </w:pPr>
          </w:p>
        </w:tc>
        <w:tc>
          <w:tcPr>
            <w:tcW w:w="634" w:type="dxa"/>
            <w:vAlign w:val="top"/>
          </w:tcPr>
          <w:p w14:paraId="2C3204E3">
            <w:pPr>
              <w:rPr>
                <w:rFonts w:ascii="Arial"/>
                <w:color w:val="auto"/>
                <w:sz w:val="21"/>
                <w:highlight w:val="none"/>
              </w:rPr>
            </w:pPr>
          </w:p>
        </w:tc>
      </w:tr>
      <w:tr w14:paraId="3F0F3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6" w:hRule="atLeast"/>
        </w:trPr>
        <w:tc>
          <w:tcPr>
            <w:tcW w:w="561" w:type="dxa"/>
            <w:vAlign w:val="top"/>
          </w:tcPr>
          <w:p w14:paraId="4462670C">
            <w:pPr>
              <w:rPr>
                <w:rFonts w:ascii="Arial"/>
                <w:color w:val="auto"/>
                <w:sz w:val="21"/>
                <w:highlight w:val="none"/>
              </w:rPr>
            </w:pPr>
          </w:p>
        </w:tc>
        <w:tc>
          <w:tcPr>
            <w:tcW w:w="2578" w:type="dxa"/>
            <w:vAlign w:val="top"/>
          </w:tcPr>
          <w:p w14:paraId="62DBCCEE">
            <w:pPr>
              <w:rPr>
                <w:rFonts w:ascii="Arial"/>
                <w:color w:val="auto"/>
                <w:sz w:val="21"/>
                <w:highlight w:val="none"/>
              </w:rPr>
            </w:pPr>
          </w:p>
        </w:tc>
        <w:tc>
          <w:tcPr>
            <w:tcW w:w="806" w:type="dxa"/>
            <w:vAlign w:val="top"/>
          </w:tcPr>
          <w:p w14:paraId="262B337C">
            <w:pPr>
              <w:rPr>
                <w:rFonts w:ascii="Arial"/>
                <w:color w:val="auto"/>
                <w:sz w:val="21"/>
                <w:highlight w:val="none"/>
              </w:rPr>
            </w:pPr>
          </w:p>
        </w:tc>
        <w:tc>
          <w:tcPr>
            <w:tcW w:w="562" w:type="dxa"/>
            <w:vAlign w:val="top"/>
          </w:tcPr>
          <w:p w14:paraId="5383B5C9">
            <w:pPr>
              <w:rPr>
                <w:rFonts w:ascii="Arial"/>
                <w:color w:val="auto"/>
                <w:sz w:val="21"/>
                <w:highlight w:val="none"/>
              </w:rPr>
            </w:pPr>
          </w:p>
        </w:tc>
        <w:tc>
          <w:tcPr>
            <w:tcW w:w="556" w:type="dxa"/>
            <w:vAlign w:val="top"/>
          </w:tcPr>
          <w:p w14:paraId="3D810612">
            <w:pPr>
              <w:rPr>
                <w:rFonts w:ascii="Arial"/>
                <w:color w:val="auto"/>
                <w:sz w:val="21"/>
                <w:highlight w:val="none"/>
              </w:rPr>
            </w:pPr>
          </w:p>
        </w:tc>
        <w:tc>
          <w:tcPr>
            <w:tcW w:w="562" w:type="dxa"/>
            <w:vAlign w:val="top"/>
          </w:tcPr>
          <w:p w14:paraId="3814AA48">
            <w:pPr>
              <w:rPr>
                <w:rFonts w:ascii="Arial"/>
                <w:color w:val="auto"/>
                <w:sz w:val="21"/>
                <w:highlight w:val="none"/>
              </w:rPr>
            </w:pPr>
          </w:p>
        </w:tc>
        <w:tc>
          <w:tcPr>
            <w:tcW w:w="676" w:type="dxa"/>
            <w:vAlign w:val="top"/>
          </w:tcPr>
          <w:p w14:paraId="512B9F9E">
            <w:pPr>
              <w:rPr>
                <w:rFonts w:ascii="Arial"/>
                <w:color w:val="auto"/>
                <w:sz w:val="21"/>
                <w:highlight w:val="none"/>
              </w:rPr>
            </w:pPr>
          </w:p>
        </w:tc>
        <w:tc>
          <w:tcPr>
            <w:tcW w:w="682" w:type="dxa"/>
            <w:vAlign w:val="top"/>
          </w:tcPr>
          <w:p w14:paraId="4EDD1E26">
            <w:pPr>
              <w:rPr>
                <w:rFonts w:ascii="Arial"/>
                <w:color w:val="auto"/>
                <w:sz w:val="21"/>
                <w:highlight w:val="none"/>
              </w:rPr>
            </w:pPr>
          </w:p>
        </w:tc>
        <w:tc>
          <w:tcPr>
            <w:tcW w:w="681" w:type="dxa"/>
            <w:vAlign w:val="top"/>
          </w:tcPr>
          <w:p w14:paraId="5309CECB">
            <w:pPr>
              <w:rPr>
                <w:rFonts w:ascii="Arial"/>
                <w:color w:val="auto"/>
                <w:sz w:val="21"/>
                <w:highlight w:val="none"/>
              </w:rPr>
            </w:pPr>
          </w:p>
        </w:tc>
        <w:tc>
          <w:tcPr>
            <w:tcW w:w="624" w:type="dxa"/>
            <w:vAlign w:val="top"/>
          </w:tcPr>
          <w:p w14:paraId="09DCEE86">
            <w:pPr>
              <w:rPr>
                <w:rFonts w:ascii="Arial"/>
                <w:color w:val="auto"/>
                <w:sz w:val="21"/>
                <w:highlight w:val="none"/>
              </w:rPr>
            </w:pPr>
          </w:p>
        </w:tc>
        <w:tc>
          <w:tcPr>
            <w:tcW w:w="628" w:type="dxa"/>
            <w:vAlign w:val="top"/>
          </w:tcPr>
          <w:p w14:paraId="568D8DE7">
            <w:pPr>
              <w:rPr>
                <w:rFonts w:ascii="Arial"/>
                <w:color w:val="auto"/>
                <w:sz w:val="21"/>
                <w:highlight w:val="none"/>
              </w:rPr>
            </w:pPr>
          </w:p>
        </w:tc>
        <w:tc>
          <w:tcPr>
            <w:tcW w:w="634" w:type="dxa"/>
            <w:vAlign w:val="top"/>
          </w:tcPr>
          <w:p w14:paraId="278C592A">
            <w:pPr>
              <w:rPr>
                <w:rFonts w:ascii="Arial"/>
                <w:color w:val="auto"/>
                <w:sz w:val="21"/>
                <w:highlight w:val="none"/>
              </w:rPr>
            </w:pPr>
          </w:p>
        </w:tc>
      </w:tr>
      <w:tr w14:paraId="59C1C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58300A89">
            <w:pPr>
              <w:rPr>
                <w:rFonts w:ascii="Arial"/>
                <w:color w:val="auto"/>
                <w:sz w:val="21"/>
                <w:highlight w:val="none"/>
              </w:rPr>
            </w:pPr>
          </w:p>
        </w:tc>
        <w:tc>
          <w:tcPr>
            <w:tcW w:w="2578" w:type="dxa"/>
            <w:vAlign w:val="top"/>
          </w:tcPr>
          <w:p w14:paraId="1230D00C">
            <w:pPr>
              <w:rPr>
                <w:rFonts w:ascii="Arial"/>
                <w:color w:val="auto"/>
                <w:sz w:val="21"/>
                <w:highlight w:val="none"/>
              </w:rPr>
            </w:pPr>
          </w:p>
        </w:tc>
        <w:tc>
          <w:tcPr>
            <w:tcW w:w="806" w:type="dxa"/>
            <w:vAlign w:val="top"/>
          </w:tcPr>
          <w:p w14:paraId="5049A72A">
            <w:pPr>
              <w:rPr>
                <w:rFonts w:ascii="Arial"/>
                <w:color w:val="auto"/>
                <w:sz w:val="21"/>
                <w:highlight w:val="none"/>
              </w:rPr>
            </w:pPr>
          </w:p>
        </w:tc>
        <w:tc>
          <w:tcPr>
            <w:tcW w:w="562" w:type="dxa"/>
            <w:vAlign w:val="top"/>
          </w:tcPr>
          <w:p w14:paraId="5C661BD0">
            <w:pPr>
              <w:rPr>
                <w:rFonts w:ascii="Arial"/>
                <w:color w:val="auto"/>
                <w:sz w:val="21"/>
                <w:highlight w:val="none"/>
              </w:rPr>
            </w:pPr>
          </w:p>
        </w:tc>
        <w:tc>
          <w:tcPr>
            <w:tcW w:w="556" w:type="dxa"/>
            <w:vAlign w:val="top"/>
          </w:tcPr>
          <w:p w14:paraId="3559209F">
            <w:pPr>
              <w:rPr>
                <w:rFonts w:ascii="Arial"/>
                <w:color w:val="auto"/>
                <w:sz w:val="21"/>
                <w:highlight w:val="none"/>
              </w:rPr>
            </w:pPr>
          </w:p>
        </w:tc>
        <w:tc>
          <w:tcPr>
            <w:tcW w:w="562" w:type="dxa"/>
            <w:vAlign w:val="top"/>
          </w:tcPr>
          <w:p w14:paraId="168B3C80">
            <w:pPr>
              <w:rPr>
                <w:rFonts w:ascii="Arial"/>
                <w:color w:val="auto"/>
                <w:sz w:val="21"/>
                <w:highlight w:val="none"/>
              </w:rPr>
            </w:pPr>
          </w:p>
        </w:tc>
        <w:tc>
          <w:tcPr>
            <w:tcW w:w="676" w:type="dxa"/>
            <w:vAlign w:val="top"/>
          </w:tcPr>
          <w:p w14:paraId="3137956F">
            <w:pPr>
              <w:rPr>
                <w:rFonts w:ascii="Arial"/>
                <w:color w:val="auto"/>
                <w:sz w:val="21"/>
                <w:highlight w:val="none"/>
              </w:rPr>
            </w:pPr>
          </w:p>
        </w:tc>
        <w:tc>
          <w:tcPr>
            <w:tcW w:w="682" w:type="dxa"/>
            <w:vAlign w:val="top"/>
          </w:tcPr>
          <w:p w14:paraId="6780C108">
            <w:pPr>
              <w:rPr>
                <w:rFonts w:ascii="Arial"/>
                <w:color w:val="auto"/>
                <w:sz w:val="21"/>
                <w:highlight w:val="none"/>
              </w:rPr>
            </w:pPr>
          </w:p>
        </w:tc>
        <w:tc>
          <w:tcPr>
            <w:tcW w:w="681" w:type="dxa"/>
            <w:vAlign w:val="top"/>
          </w:tcPr>
          <w:p w14:paraId="19A4B670">
            <w:pPr>
              <w:rPr>
                <w:rFonts w:ascii="Arial"/>
                <w:color w:val="auto"/>
                <w:sz w:val="21"/>
                <w:highlight w:val="none"/>
              </w:rPr>
            </w:pPr>
          </w:p>
        </w:tc>
        <w:tc>
          <w:tcPr>
            <w:tcW w:w="624" w:type="dxa"/>
            <w:vAlign w:val="top"/>
          </w:tcPr>
          <w:p w14:paraId="079600EF">
            <w:pPr>
              <w:rPr>
                <w:rFonts w:ascii="Arial"/>
                <w:color w:val="auto"/>
                <w:sz w:val="21"/>
                <w:highlight w:val="none"/>
              </w:rPr>
            </w:pPr>
          </w:p>
        </w:tc>
        <w:tc>
          <w:tcPr>
            <w:tcW w:w="628" w:type="dxa"/>
            <w:vAlign w:val="top"/>
          </w:tcPr>
          <w:p w14:paraId="231861C8">
            <w:pPr>
              <w:rPr>
                <w:rFonts w:ascii="Arial"/>
                <w:color w:val="auto"/>
                <w:sz w:val="21"/>
                <w:highlight w:val="none"/>
              </w:rPr>
            </w:pPr>
          </w:p>
        </w:tc>
        <w:tc>
          <w:tcPr>
            <w:tcW w:w="634" w:type="dxa"/>
            <w:vAlign w:val="top"/>
          </w:tcPr>
          <w:p w14:paraId="3093F267">
            <w:pPr>
              <w:rPr>
                <w:rFonts w:ascii="Arial"/>
                <w:color w:val="auto"/>
                <w:sz w:val="21"/>
                <w:highlight w:val="none"/>
              </w:rPr>
            </w:pPr>
          </w:p>
        </w:tc>
      </w:tr>
      <w:tr w14:paraId="7E557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1EF58165">
            <w:pPr>
              <w:rPr>
                <w:rFonts w:ascii="Arial"/>
                <w:color w:val="auto"/>
                <w:sz w:val="21"/>
                <w:highlight w:val="none"/>
              </w:rPr>
            </w:pPr>
          </w:p>
        </w:tc>
        <w:tc>
          <w:tcPr>
            <w:tcW w:w="2578" w:type="dxa"/>
            <w:vAlign w:val="top"/>
          </w:tcPr>
          <w:p w14:paraId="06597AC7">
            <w:pPr>
              <w:rPr>
                <w:rFonts w:ascii="Arial"/>
                <w:color w:val="auto"/>
                <w:sz w:val="21"/>
                <w:highlight w:val="none"/>
              </w:rPr>
            </w:pPr>
          </w:p>
        </w:tc>
        <w:tc>
          <w:tcPr>
            <w:tcW w:w="806" w:type="dxa"/>
            <w:vAlign w:val="top"/>
          </w:tcPr>
          <w:p w14:paraId="117B4E10">
            <w:pPr>
              <w:rPr>
                <w:rFonts w:ascii="Arial"/>
                <w:color w:val="auto"/>
                <w:sz w:val="21"/>
                <w:highlight w:val="none"/>
              </w:rPr>
            </w:pPr>
          </w:p>
        </w:tc>
        <w:tc>
          <w:tcPr>
            <w:tcW w:w="562" w:type="dxa"/>
            <w:vAlign w:val="top"/>
          </w:tcPr>
          <w:p w14:paraId="5BC99991">
            <w:pPr>
              <w:rPr>
                <w:rFonts w:ascii="Arial"/>
                <w:color w:val="auto"/>
                <w:sz w:val="21"/>
                <w:highlight w:val="none"/>
              </w:rPr>
            </w:pPr>
          </w:p>
        </w:tc>
        <w:tc>
          <w:tcPr>
            <w:tcW w:w="556" w:type="dxa"/>
            <w:vAlign w:val="top"/>
          </w:tcPr>
          <w:p w14:paraId="423645DC">
            <w:pPr>
              <w:rPr>
                <w:rFonts w:ascii="Arial"/>
                <w:color w:val="auto"/>
                <w:sz w:val="21"/>
                <w:highlight w:val="none"/>
              </w:rPr>
            </w:pPr>
          </w:p>
        </w:tc>
        <w:tc>
          <w:tcPr>
            <w:tcW w:w="562" w:type="dxa"/>
            <w:vAlign w:val="top"/>
          </w:tcPr>
          <w:p w14:paraId="47E376FF">
            <w:pPr>
              <w:rPr>
                <w:rFonts w:ascii="Arial"/>
                <w:color w:val="auto"/>
                <w:sz w:val="21"/>
                <w:highlight w:val="none"/>
              </w:rPr>
            </w:pPr>
          </w:p>
        </w:tc>
        <w:tc>
          <w:tcPr>
            <w:tcW w:w="676" w:type="dxa"/>
            <w:vAlign w:val="top"/>
          </w:tcPr>
          <w:p w14:paraId="751E6DA2">
            <w:pPr>
              <w:rPr>
                <w:rFonts w:ascii="Arial"/>
                <w:color w:val="auto"/>
                <w:sz w:val="21"/>
                <w:highlight w:val="none"/>
              </w:rPr>
            </w:pPr>
          </w:p>
        </w:tc>
        <w:tc>
          <w:tcPr>
            <w:tcW w:w="682" w:type="dxa"/>
            <w:vAlign w:val="top"/>
          </w:tcPr>
          <w:p w14:paraId="3D89D998">
            <w:pPr>
              <w:rPr>
                <w:rFonts w:ascii="Arial"/>
                <w:color w:val="auto"/>
                <w:sz w:val="21"/>
                <w:highlight w:val="none"/>
              </w:rPr>
            </w:pPr>
          </w:p>
        </w:tc>
        <w:tc>
          <w:tcPr>
            <w:tcW w:w="681" w:type="dxa"/>
            <w:vAlign w:val="top"/>
          </w:tcPr>
          <w:p w14:paraId="4DF04790">
            <w:pPr>
              <w:rPr>
                <w:rFonts w:ascii="Arial"/>
                <w:color w:val="auto"/>
                <w:sz w:val="21"/>
                <w:highlight w:val="none"/>
              </w:rPr>
            </w:pPr>
          </w:p>
        </w:tc>
        <w:tc>
          <w:tcPr>
            <w:tcW w:w="624" w:type="dxa"/>
            <w:vAlign w:val="top"/>
          </w:tcPr>
          <w:p w14:paraId="69EED55F">
            <w:pPr>
              <w:rPr>
                <w:rFonts w:ascii="Arial"/>
                <w:color w:val="auto"/>
                <w:sz w:val="21"/>
                <w:highlight w:val="none"/>
              </w:rPr>
            </w:pPr>
          </w:p>
        </w:tc>
        <w:tc>
          <w:tcPr>
            <w:tcW w:w="628" w:type="dxa"/>
            <w:vAlign w:val="top"/>
          </w:tcPr>
          <w:p w14:paraId="49CC411D">
            <w:pPr>
              <w:rPr>
                <w:rFonts w:ascii="Arial"/>
                <w:color w:val="auto"/>
                <w:sz w:val="21"/>
                <w:highlight w:val="none"/>
              </w:rPr>
            </w:pPr>
          </w:p>
        </w:tc>
        <w:tc>
          <w:tcPr>
            <w:tcW w:w="634" w:type="dxa"/>
            <w:vAlign w:val="top"/>
          </w:tcPr>
          <w:p w14:paraId="69723A7B">
            <w:pPr>
              <w:rPr>
                <w:rFonts w:ascii="Arial"/>
                <w:color w:val="auto"/>
                <w:sz w:val="21"/>
                <w:highlight w:val="none"/>
              </w:rPr>
            </w:pPr>
          </w:p>
        </w:tc>
      </w:tr>
      <w:tr w14:paraId="14D54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2F742E5C">
            <w:pPr>
              <w:rPr>
                <w:rFonts w:ascii="Arial"/>
                <w:color w:val="auto"/>
                <w:sz w:val="21"/>
                <w:highlight w:val="none"/>
              </w:rPr>
            </w:pPr>
          </w:p>
        </w:tc>
        <w:tc>
          <w:tcPr>
            <w:tcW w:w="2578" w:type="dxa"/>
            <w:vAlign w:val="top"/>
          </w:tcPr>
          <w:p w14:paraId="3A058D20">
            <w:pPr>
              <w:rPr>
                <w:rFonts w:ascii="Arial"/>
                <w:color w:val="auto"/>
                <w:sz w:val="21"/>
                <w:highlight w:val="none"/>
              </w:rPr>
            </w:pPr>
          </w:p>
        </w:tc>
        <w:tc>
          <w:tcPr>
            <w:tcW w:w="806" w:type="dxa"/>
            <w:vAlign w:val="top"/>
          </w:tcPr>
          <w:p w14:paraId="0C270597">
            <w:pPr>
              <w:rPr>
                <w:rFonts w:ascii="Arial"/>
                <w:color w:val="auto"/>
                <w:sz w:val="21"/>
                <w:highlight w:val="none"/>
              </w:rPr>
            </w:pPr>
          </w:p>
        </w:tc>
        <w:tc>
          <w:tcPr>
            <w:tcW w:w="562" w:type="dxa"/>
            <w:vAlign w:val="top"/>
          </w:tcPr>
          <w:p w14:paraId="1E8A8BAF">
            <w:pPr>
              <w:rPr>
                <w:rFonts w:ascii="Arial"/>
                <w:color w:val="auto"/>
                <w:sz w:val="21"/>
                <w:highlight w:val="none"/>
              </w:rPr>
            </w:pPr>
          </w:p>
        </w:tc>
        <w:tc>
          <w:tcPr>
            <w:tcW w:w="556" w:type="dxa"/>
            <w:vAlign w:val="top"/>
          </w:tcPr>
          <w:p w14:paraId="334C5FEA">
            <w:pPr>
              <w:rPr>
                <w:rFonts w:ascii="Arial"/>
                <w:color w:val="auto"/>
                <w:sz w:val="21"/>
                <w:highlight w:val="none"/>
              </w:rPr>
            </w:pPr>
          </w:p>
        </w:tc>
        <w:tc>
          <w:tcPr>
            <w:tcW w:w="562" w:type="dxa"/>
            <w:vAlign w:val="top"/>
          </w:tcPr>
          <w:p w14:paraId="37E490EB">
            <w:pPr>
              <w:rPr>
                <w:rFonts w:ascii="Arial"/>
                <w:color w:val="auto"/>
                <w:sz w:val="21"/>
                <w:highlight w:val="none"/>
              </w:rPr>
            </w:pPr>
          </w:p>
        </w:tc>
        <w:tc>
          <w:tcPr>
            <w:tcW w:w="676" w:type="dxa"/>
            <w:vAlign w:val="top"/>
          </w:tcPr>
          <w:p w14:paraId="79482B6B">
            <w:pPr>
              <w:rPr>
                <w:rFonts w:ascii="Arial"/>
                <w:color w:val="auto"/>
                <w:sz w:val="21"/>
                <w:highlight w:val="none"/>
              </w:rPr>
            </w:pPr>
          </w:p>
        </w:tc>
        <w:tc>
          <w:tcPr>
            <w:tcW w:w="682" w:type="dxa"/>
            <w:vAlign w:val="top"/>
          </w:tcPr>
          <w:p w14:paraId="07AF2C38">
            <w:pPr>
              <w:rPr>
                <w:rFonts w:ascii="Arial"/>
                <w:color w:val="auto"/>
                <w:sz w:val="21"/>
                <w:highlight w:val="none"/>
              </w:rPr>
            </w:pPr>
          </w:p>
        </w:tc>
        <w:tc>
          <w:tcPr>
            <w:tcW w:w="681" w:type="dxa"/>
            <w:vAlign w:val="top"/>
          </w:tcPr>
          <w:p w14:paraId="00D69D35">
            <w:pPr>
              <w:rPr>
                <w:rFonts w:ascii="Arial"/>
                <w:color w:val="auto"/>
                <w:sz w:val="21"/>
                <w:highlight w:val="none"/>
              </w:rPr>
            </w:pPr>
          </w:p>
        </w:tc>
        <w:tc>
          <w:tcPr>
            <w:tcW w:w="624" w:type="dxa"/>
            <w:vAlign w:val="top"/>
          </w:tcPr>
          <w:p w14:paraId="4FD2E2D1">
            <w:pPr>
              <w:rPr>
                <w:rFonts w:ascii="Arial"/>
                <w:color w:val="auto"/>
                <w:sz w:val="21"/>
                <w:highlight w:val="none"/>
              </w:rPr>
            </w:pPr>
          </w:p>
        </w:tc>
        <w:tc>
          <w:tcPr>
            <w:tcW w:w="628" w:type="dxa"/>
            <w:vAlign w:val="top"/>
          </w:tcPr>
          <w:p w14:paraId="51843BD2">
            <w:pPr>
              <w:rPr>
                <w:rFonts w:ascii="Arial"/>
                <w:color w:val="auto"/>
                <w:sz w:val="21"/>
                <w:highlight w:val="none"/>
              </w:rPr>
            </w:pPr>
          </w:p>
        </w:tc>
        <w:tc>
          <w:tcPr>
            <w:tcW w:w="634" w:type="dxa"/>
            <w:vAlign w:val="top"/>
          </w:tcPr>
          <w:p w14:paraId="77C67EE4">
            <w:pPr>
              <w:rPr>
                <w:rFonts w:ascii="Arial"/>
                <w:color w:val="auto"/>
                <w:sz w:val="21"/>
                <w:highlight w:val="none"/>
              </w:rPr>
            </w:pPr>
          </w:p>
        </w:tc>
      </w:tr>
      <w:tr w14:paraId="5B9CC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1" w:type="dxa"/>
            <w:vAlign w:val="top"/>
          </w:tcPr>
          <w:p w14:paraId="6A539EDA">
            <w:pPr>
              <w:rPr>
                <w:rFonts w:ascii="Arial"/>
                <w:color w:val="auto"/>
                <w:sz w:val="21"/>
                <w:highlight w:val="none"/>
              </w:rPr>
            </w:pPr>
          </w:p>
        </w:tc>
        <w:tc>
          <w:tcPr>
            <w:tcW w:w="2578" w:type="dxa"/>
            <w:vAlign w:val="top"/>
          </w:tcPr>
          <w:p w14:paraId="7514B3C7">
            <w:pPr>
              <w:rPr>
                <w:rFonts w:ascii="Arial"/>
                <w:color w:val="auto"/>
                <w:sz w:val="21"/>
                <w:highlight w:val="none"/>
              </w:rPr>
            </w:pPr>
          </w:p>
        </w:tc>
        <w:tc>
          <w:tcPr>
            <w:tcW w:w="806" w:type="dxa"/>
            <w:vAlign w:val="top"/>
          </w:tcPr>
          <w:p w14:paraId="262E0E5D">
            <w:pPr>
              <w:rPr>
                <w:rFonts w:ascii="Arial"/>
                <w:color w:val="auto"/>
                <w:sz w:val="21"/>
                <w:highlight w:val="none"/>
              </w:rPr>
            </w:pPr>
          </w:p>
        </w:tc>
        <w:tc>
          <w:tcPr>
            <w:tcW w:w="562" w:type="dxa"/>
            <w:vAlign w:val="top"/>
          </w:tcPr>
          <w:p w14:paraId="0EB31906">
            <w:pPr>
              <w:rPr>
                <w:rFonts w:ascii="Arial"/>
                <w:color w:val="auto"/>
                <w:sz w:val="21"/>
                <w:highlight w:val="none"/>
              </w:rPr>
            </w:pPr>
          </w:p>
        </w:tc>
        <w:tc>
          <w:tcPr>
            <w:tcW w:w="556" w:type="dxa"/>
            <w:vAlign w:val="top"/>
          </w:tcPr>
          <w:p w14:paraId="2970E1B3">
            <w:pPr>
              <w:rPr>
                <w:rFonts w:ascii="Arial"/>
                <w:color w:val="auto"/>
                <w:sz w:val="21"/>
                <w:highlight w:val="none"/>
              </w:rPr>
            </w:pPr>
          </w:p>
        </w:tc>
        <w:tc>
          <w:tcPr>
            <w:tcW w:w="562" w:type="dxa"/>
            <w:vAlign w:val="top"/>
          </w:tcPr>
          <w:p w14:paraId="2D1833EF">
            <w:pPr>
              <w:rPr>
                <w:rFonts w:ascii="Arial"/>
                <w:color w:val="auto"/>
                <w:sz w:val="21"/>
                <w:highlight w:val="none"/>
              </w:rPr>
            </w:pPr>
          </w:p>
        </w:tc>
        <w:tc>
          <w:tcPr>
            <w:tcW w:w="676" w:type="dxa"/>
            <w:vAlign w:val="top"/>
          </w:tcPr>
          <w:p w14:paraId="2B21BEA1">
            <w:pPr>
              <w:rPr>
                <w:rFonts w:ascii="Arial"/>
                <w:color w:val="auto"/>
                <w:sz w:val="21"/>
                <w:highlight w:val="none"/>
              </w:rPr>
            </w:pPr>
          </w:p>
        </w:tc>
        <w:tc>
          <w:tcPr>
            <w:tcW w:w="682" w:type="dxa"/>
            <w:vAlign w:val="top"/>
          </w:tcPr>
          <w:p w14:paraId="768C2537">
            <w:pPr>
              <w:rPr>
                <w:rFonts w:ascii="Arial"/>
                <w:color w:val="auto"/>
                <w:sz w:val="21"/>
                <w:highlight w:val="none"/>
              </w:rPr>
            </w:pPr>
          </w:p>
        </w:tc>
        <w:tc>
          <w:tcPr>
            <w:tcW w:w="681" w:type="dxa"/>
            <w:vAlign w:val="top"/>
          </w:tcPr>
          <w:p w14:paraId="6CBEEEE7">
            <w:pPr>
              <w:rPr>
                <w:rFonts w:ascii="Arial"/>
                <w:color w:val="auto"/>
                <w:sz w:val="21"/>
                <w:highlight w:val="none"/>
              </w:rPr>
            </w:pPr>
          </w:p>
        </w:tc>
        <w:tc>
          <w:tcPr>
            <w:tcW w:w="624" w:type="dxa"/>
            <w:vAlign w:val="top"/>
          </w:tcPr>
          <w:p w14:paraId="259FC724">
            <w:pPr>
              <w:rPr>
                <w:rFonts w:ascii="Arial"/>
                <w:color w:val="auto"/>
                <w:sz w:val="21"/>
                <w:highlight w:val="none"/>
              </w:rPr>
            </w:pPr>
          </w:p>
        </w:tc>
        <w:tc>
          <w:tcPr>
            <w:tcW w:w="628" w:type="dxa"/>
            <w:vAlign w:val="top"/>
          </w:tcPr>
          <w:p w14:paraId="7C864C61">
            <w:pPr>
              <w:rPr>
                <w:rFonts w:ascii="Arial"/>
                <w:color w:val="auto"/>
                <w:sz w:val="21"/>
                <w:highlight w:val="none"/>
              </w:rPr>
            </w:pPr>
          </w:p>
        </w:tc>
        <w:tc>
          <w:tcPr>
            <w:tcW w:w="634" w:type="dxa"/>
            <w:vAlign w:val="top"/>
          </w:tcPr>
          <w:p w14:paraId="70C169B7">
            <w:pPr>
              <w:rPr>
                <w:rFonts w:ascii="Arial"/>
                <w:color w:val="auto"/>
                <w:sz w:val="21"/>
                <w:highlight w:val="none"/>
              </w:rPr>
            </w:pPr>
          </w:p>
        </w:tc>
      </w:tr>
      <w:tr w14:paraId="5B551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343DF671">
            <w:pPr>
              <w:rPr>
                <w:rFonts w:ascii="Arial"/>
                <w:color w:val="auto"/>
                <w:sz w:val="21"/>
                <w:highlight w:val="none"/>
              </w:rPr>
            </w:pPr>
          </w:p>
        </w:tc>
        <w:tc>
          <w:tcPr>
            <w:tcW w:w="2578" w:type="dxa"/>
            <w:vAlign w:val="top"/>
          </w:tcPr>
          <w:p w14:paraId="3E3C08B7">
            <w:pPr>
              <w:rPr>
                <w:rFonts w:ascii="Arial"/>
                <w:color w:val="auto"/>
                <w:sz w:val="21"/>
                <w:highlight w:val="none"/>
              </w:rPr>
            </w:pPr>
          </w:p>
        </w:tc>
        <w:tc>
          <w:tcPr>
            <w:tcW w:w="806" w:type="dxa"/>
            <w:vAlign w:val="top"/>
          </w:tcPr>
          <w:p w14:paraId="33E5FD19">
            <w:pPr>
              <w:rPr>
                <w:rFonts w:ascii="Arial"/>
                <w:color w:val="auto"/>
                <w:sz w:val="21"/>
                <w:highlight w:val="none"/>
              </w:rPr>
            </w:pPr>
          </w:p>
        </w:tc>
        <w:tc>
          <w:tcPr>
            <w:tcW w:w="562" w:type="dxa"/>
            <w:vAlign w:val="top"/>
          </w:tcPr>
          <w:p w14:paraId="38C2812D">
            <w:pPr>
              <w:rPr>
                <w:rFonts w:ascii="Arial"/>
                <w:color w:val="auto"/>
                <w:sz w:val="21"/>
                <w:highlight w:val="none"/>
              </w:rPr>
            </w:pPr>
          </w:p>
        </w:tc>
        <w:tc>
          <w:tcPr>
            <w:tcW w:w="556" w:type="dxa"/>
            <w:vAlign w:val="top"/>
          </w:tcPr>
          <w:p w14:paraId="36CF11A2">
            <w:pPr>
              <w:rPr>
                <w:rFonts w:ascii="Arial"/>
                <w:color w:val="auto"/>
                <w:sz w:val="21"/>
                <w:highlight w:val="none"/>
              </w:rPr>
            </w:pPr>
          </w:p>
        </w:tc>
        <w:tc>
          <w:tcPr>
            <w:tcW w:w="562" w:type="dxa"/>
            <w:vAlign w:val="top"/>
          </w:tcPr>
          <w:p w14:paraId="47160490">
            <w:pPr>
              <w:rPr>
                <w:rFonts w:ascii="Arial"/>
                <w:color w:val="auto"/>
                <w:sz w:val="21"/>
                <w:highlight w:val="none"/>
              </w:rPr>
            </w:pPr>
          </w:p>
        </w:tc>
        <w:tc>
          <w:tcPr>
            <w:tcW w:w="676" w:type="dxa"/>
            <w:vAlign w:val="top"/>
          </w:tcPr>
          <w:p w14:paraId="2D0BB91D">
            <w:pPr>
              <w:rPr>
                <w:rFonts w:ascii="Arial"/>
                <w:color w:val="auto"/>
                <w:sz w:val="21"/>
                <w:highlight w:val="none"/>
              </w:rPr>
            </w:pPr>
          </w:p>
        </w:tc>
        <w:tc>
          <w:tcPr>
            <w:tcW w:w="682" w:type="dxa"/>
            <w:vAlign w:val="top"/>
          </w:tcPr>
          <w:p w14:paraId="3A385EB1">
            <w:pPr>
              <w:rPr>
                <w:rFonts w:ascii="Arial"/>
                <w:color w:val="auto"/>
                <w:sz w:val="21"/>
                <w:highlight w:val="none"/>
              </w:rPr>
            </w:pPr>
          </w:p>
        </w:tc>
        <w:tc>
          <w:tcPr>
            <w:tcW w:w="681" w:type="dxa"/>
            <w:vAlign w:val="top"/>
          </w:tcPr>
          <w:p w14:paraId="3B7D3991">
            <w:pPr>
              <w:rPr>
                <w:rFonts w:ascii="Arial"/>
                <w:color w:val="auto"/>
                <w:sz w:val="21"/>
                <w:highlight w:val="none"/>
              </w:rPr>
            </w:pPr>
          </w:p>
        </w:tc>
        <w:tc>
          <w:tcPr>
            <w:tcW w:w="624" w:type="dxa"/>
            <w:vAlign w:val="top"/>
          </w:tcPr>
          <w:p w14:paraId="24868941">
            <w:pPr>
              <w:rPr>
                <w:rFonts w:ascii="Arial"/>
                <w:color w:val="auto"/>
                <w:sz w:val="21"/>
                <w:highlight w:val="none"/>
              </w:rPr>
            </w:pPr>
          </w:p>
        </w:tc>
        <w:tc>
          <w:tcPr>
            <w:tcW w:w="628" w:type="dxa"/>
            <w:vAlign w:val="top"/>
          </w:tcPr>
          <w:p w14:paraId="438BB73A">
            <w:pPr>
              <w:rPr>
                <w:rFonts w:ascii="Arial"/>
                <w:color w:val="auto"/>
                <w:sz w:val="21"/>
                <w:highlight w:val="none"/>
              </w:rPr>
            </w:pPr>
          </w:p>
        </w:tc>
        <w:tc>
          <w:tcPr>
            <w:tcW w:w="634" w:type="dxa"/>
            <w:vAlign w:val="top"/>
          </w:tcPr>
          <w:p w14:paraId="7C7AD434">
            <w:pPr>
              <w:rPr>
                <w:rFonts w:ascii="Arial"/>
                <w:color w:val="auto"/>
                <w:sz w:val="21"/>
                <w:highlight w:val="none"/>
              </w:rPr>
            </w:pPr>
          </w:p>
        </w:tc>
      </w:tr>
      <w:tr w14:paraId="3C92B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7C6D4719">
            <w:pPr>
              <w:rPr>
                <w:rFonts w:ascii="Arial"/>
                <w:color w:val="auto"/>
                <w:sz w:val="21"/>
                <w:highlight w:val="none"/>
              </w:rPr>
            </w:pPr>
          </w:p>
        </w:tc>
        <w:tc>
          <w:tcPr>
            <w:tcW w:w="2578" w:type="dxa"/>
            <w:vAlign w:val="top"/>
          </w:tcPr>
          <w:p w14:paraId="5AB4C0F0">
            <w:pPr>
              <w:rPr>
                <w:rFonts w:ascii="Arial"/>
                <w:color w:val="auto"/>
                <w:sz w:val="21"/>
                <w:highlight w:val="none"/>
              </w:rPr>
            </w:pPr>
          </w:p>
        </w:tc>
        <w:tc>
          <w:tcPr>
            <w:tcW w:w="806" w:type="dxa"/>
            <w:vAlign w:val="top"/>
          </w:tcPr>
          <w:p w14:paraId="7F9BCEA9">
            <w:pPr>
              <w:rPr>
                <w:rFonts w:ascii="Arial"/>
                <w:color w:val="auto"/>
                <w:sz w:val="21"/>
                <w:highlight w:val="none"/>
              </w:rPr>
            </w:pPr>
          </w:p>
        </w:tc>
        <w:tc>
          <w:tcPr>
            <w:tcW w:w="562" w:type="dxa"/>
            <w:vAlign w:val="top"/>
          </w:tcPr>
          <w:p w14:paraId="02C43787">
            <w:pPr>
              <w:rPr>
                <w:rFonts w:ascii="Arial"/>
                <w:color w:val="auto"/>
                <w:sz w:val="21"/>
                <w:highlight w:val="none"/>
              </w:rPr>
            </w:pPr>
          </w:p>
        </w:tc>
        <w:tc>
          <w:tcPr>
            <w:tcW w:w="556" w:type="dxa"/>
            <w:vAlign w:val="top"/>
          </w:tcPr>
          <w:p w14:paraId="7565ECE3">
            <w:pPr>
              <w:rPr>
                <w:rFonts w:ascii="Arial"/>
                <w:color w:val="auto"/>
                <w:sz w:val="21"/>
                <w:highlight w:val="none"/>
              </w:rPr>
            </w:pPr>
          </w:p>
        </w:tc>
        <w:tc>
          <w:tcPr>
            <w:tcW w:w="562" w:type="dxa"/>
            <w:vAlign w:val="top"/>
          </w:tcPr>
          <w:p w14:paraId="3248D297">
            <w:pPr>
              <w:rPr>
                <w:rFonts w:ascii="Arial"/>
                <w:color w:val="auto"/>
                <w:sz w:val="21"/>
                <w:highlight w:val="none"/>
              </w:rPr>
            </w:pPr>
          </w:p>
        </w:tc>
        <w:tc>
          <w:tcPr>
            <w:tcW w:w="676" w:type="dxa"/>
            <w:vAlign w:val="top"/>
          </w:tcPr>
          <w:p w14:paraId="67131982">
            <w:pPr>
              <w:rPr>
                <w:rFonts w:ascii="Arial"/>
                <w:color w:val="auto"/>
                <w:sz w:val="21"/>
                <w:highlight w:val="none"/>
              </w:rPr>
            </w:pPr>
          </w:p>
        </w:tc>
        <w:tc>
          <w:tcPr>
            <w:tcW w:w="682" w:type="dxa"/>
            <w:vAlign w:val="top"/>
          </w:tcPr>
          <w:p w14:paraId="6486E0E2">
            <w:pPr>
              <w:rPr>
                <w:rFonts w:ascii="Arial"/>
                <w:color w:val="auto"/>
                <w:sz w:val="21"/>
                <w:highlight w:val="none"/>
              </w:rPr>
            </w:pPr>
          </w:p>
        </w:tc>
        <w:tc>
          <w:tcPr>
            <w:tcW w:w="681" w:type="dxa"/>
            <w:vAlign w:val="top"/>
          </w:tcPr>
          <w:p w14:paraId="7C2BA874">
            <w:pPr>
              <w:rPr>
                <w:rFonts w:ascii="Arial"/>
                <w:color w:val="auto"/>
                <w:sz w:val="21"/>
                <w:highlight w:val="none"/>
              </w:rPr>
            </w:pPr>
          </w:p>
        </w:tc>
        <w:tc>
          <w:tcPr>
            <w:tcW w:w="624" w:type="dxa"/>
            <w:vAlign w:val="top"/>
          </w:tcPr>
          <w:p w14:paraId="5A660B43">
            <w:pPr>
              <w:rPr>
                <w:rFonts w:ascii="Arial"/>
                <w:color w:val="auto"/>
                <w:sz w:val="21"/>
                <w:highlight w:val="none"/>
              </w:rPr>
            </w:pPr>
          </w:p>
        </w:tc>
        <w:tc>
          <w:tcPr>
            <w:tcW w:w="628" w:type="dxa"/>
            <w:vAlign w:val="top"/>
          </w:tcPr>
          <w:p w14:paraId="5275FECE">
            <w:pPr>
              <w:rPr>
                <w:rFonts w:ascii="Arial"/>
                <w:color w:val="auto"/>
                <w:sz w:val="21"/>
                <w:highlight w:val="none"/>
              </w:rPr>
            </w:pPr>
          </w:p>
        </w:tc>
        <w:tc>
          <w:tcPr>
            <w:tcW w:w="634" w:type="dxa"/>
            <w:vAlign w:val="top"/>
          </w:tcPr>
          <w:p w14:paraId="105A56D7">
            <w:pPr>
              <w:rPr>
                <w:rFonts w:ascii="Arial"/>
                <w:color w:val="auto"/>
                <w:sz w:val="21"/>
                <w:highlight w:val="none"/>
              </w:rPr>
            </w:pPr>
          </w:p>
        </w:tc>
      </w:tr>
      <w:tr w14:paraId="29BDE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29228CF7">
            <w:pPr>
              <w:rPr>
                <w:rFonts w:ascii="Arial"/>
                <w:color w:val="auto"/>
                <w:sz w:val="21"/>
                <w:highlight w:val="none"/>
              </w:rPr>
            </w:pPr>
          </w:p>
        </w:tc>
        <w:tc>
          <w:tcPr>
            <w:tcW w:w="2578" w:type="dxa"/>
            <w:vAlign w:val="top"/>
          </w:tcPr>
          <w:p w14:paraId="6B94CCFD">
            <w:pPr>
              <w:rPr>
                <w:rFonts w:ascii="Arial"/>
                <w:color w:val="auto"/>
                <w:sz w:val="21"/>
                <w:highlight w:val="none"/>
              </w:rPr>
            </w:pPr>
          </w:p>
        </w:tc>
        <w:tc>
          <w:tcPr>
            <w:tcW w:w="806" w:type="dxa"/>
            <w:vAlign w:val="top"/>
          </w:tcPr>
          <w:p w14:paraId="59B8299C">
            <w:pPr>
              <w:rPr>
                <w:rFonts w:ascii="Arial"/>
                <w:color w:val="auto"/>
                <w:sz w:val="21"/>
                <w:highlight w:val="none"/>
              </w:rPr>
            </w:pPr>
          </w:p>
        </w:tc>
        <w:tc>
          <w:tcPr>
            <w:tcW w:w="562" w:type="dxa"/>
            <w:vAlign w:val="top"/>
          </w:tcPr>
          <w:p w14:paraId="568530A5">
            <w:pPr>
              <w:rPr>
                <w:rFonts w:ascii="Arial"/>
                <w:color w:val="auto"/>
                <w:sz w:val="21"/>
                <w:highlight w:val="none"/>
              </w:rPr>
            </w:pPr>
          </w:p>
        </w:tc>
        <w:tc>
          <w:tcPr>
            <w:tcW w:w="556" w:type="dxa"/>
            <w:vAlign w:val="top"/>
          </w:tcPr>
          <w:p w14:paraId="317349E8">
            <w:pPr>
              <w:rPr>
                <w:rFonts w:ascii="Arial"/>
                <w:color w:val="auto"/>
                <w:sz w:val="21"/>
                <w:highlight w:val="none"/>
              </w:rPr>
            </w:pPr>
          </w:p>
        </w:tc>
        <w:tc>
          <w:tcPr>
            <w:tcW w:w="562" w:type="dxa"/>
            <w:vAlign w:val="top"/>
          </w:tcPr>
          <w:p w14:paraId="473BC036">
            <w:pPr>
              <w:rPr>
                <w:rFonts w:ascii="Arial"/>
                <w:color w:val="auto"/>
                <w:sz w:val="21"/>
                <w:highlight w:val="none"/>
              </w:rPr>
            </w:pPr>
          </w:p>
        </w:tc>
        <w:tc>
          <w:tcPr>
            <w:tcW w:w="676" w:type="dxa"/>
            <w:vAlign w:val="top"/>
          </w:tcPr>
          <w:p w14:paraId="1EA4A874">
            <w:pPr>
              <w:rPr>
                <w:rFonts w:ascii="Arial"/>
                <w:color w:val="auto"/>
                <w:sz w:val="21"/>
                <w:highlight w:val="none"/>
              </w:rPr>
            </w:pPr>
          </w:p>
        </w:tc>
        <w:tc>
          <w:tcPr>
            <w:tcW w:w="682" w:type="dxa"/>
            <w:vAlign w:val="top"/>
          </w:tcPr>
          <w:p w14:paraId="27649F1D">
            <w:pPr>
              <w:rPr>
                <w:rFonts w:ascii="Arial"/>
                <w:color w:val="auto"/>
                <w:sz w:val="21"/>
                <w:highlight w:val="none"/>
              </w:rPr>
            </w:pPr>
          </w:p>
        </w:tc>
        <w:tc>
          <w:tcPr>
            <w:tcW w:w="681" w:type="dxa"/>
            <w:vAlign w:val="top"/>
          </w:tcPr>
          <w:p w14:paraId="0B2144A8">
            <w:pPr>
              <w:rPr>
                <w:rFonts w:ascii="Arial"/>
                <w:color w:val="auto"/>
                <w:sz w:val="21"/>
                <w:highlight w:val="none"/>
              </w:rPr>
            </w:pPr>
          </w:p>
        </w:tc>
        <w:tc>
          <w:tcPr>
            <w:tcW w:w="624" w:type="dxa"/>
            <w:vAlign w:val="top"/>
          </w:tcPr>
          <w:p w14:paraId="346D16BD">
            <w:pPr>
              <w:rPr>
                <w:rFonts w:ascii="Arial"/>
                <w:color w:val="auto"/>
                <w:sz w:val="21"/>
                <w:highlight w:val="none"/>
              </w:rPr>
            </w:pPr>
          </w:p>
        </w:tc>
        <w:tc>
          <w:tcPr>
            <w:tcW w:w="628" w:type="dxa"/>
            <w:vAlign w:val="top"/>
          </w:tcPr>
          <w:p w14:paraId="130056A1">
            <w:pPr>
              <w:rPr>
                <w:rFonts w:ascii="Arial"/>
                <w:color w:val="auto"/>
                <w:sz w:val="21"/>
                <w:highlight w:val="none"/>
              </w:rPr>
            </w:pPr>
          </w:p>
        </w:tc>
        <w:tc>
          <w:tcPr>
            <w:tcW w:w="634" w:type="dxa"/>
            <w:vAlign w:val="top"/>
          </w:tcPr>
          <w:p w14:paraId="4E03DC38">
            <w:pPr>
              <w:rPr>
                <w:rFonts w:ascii="Arial"/>
                <w:color w:val="auto"/>
                <w:sz w:val="21"/>
                <w:highlight w:val="none"/>
              </w:rPr>
            </w:pPr>
          </w:p>
        </w:tc>
      </w:tr>
      <w:tr w14:paraId="24302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1" w:type="dxa"/>
            <w:vAlign w:val="top"/>
          </w:tcPr>
          <w:p w14:paraId="4D33080B">
            <w:pPr>
              <w:rPr>
                <w:rFonts w:ascii="Arial"/>
                <w:color w:val="auto"/>
                <w:sz w:val="21"/>
                <w:highlight w:val="none"/>
              </w:rPr>
            </w:pPr>
          </w:p>
        </w:tc>
        <w:tc>
          <w:tcPr>
            <w:tcW w:w="2578" w:type="dxa"/>
            <w:vAlign w:val="top"/>
          </w:tcPr>
          <w:p w14:paraId="6BE3FDD6">
            <w:pPr>
              <w:rPr>
                <w:rFonts w:ascii="Arial"/>
                <w:color w:val="auto"/>
                <w:sz w:val="21"/>
                <w:highlight w:val="none"/>
              </w:rPr>
            </w:pPr>
          </w:p>
        </w:tc>
        <w:tc>
          <w:tcPr>
            <w:tcW w:w="806" w:type="dxa"/>
            <w:vAlign w:val="top"/>
          </w:tcPr>
          <w:p w14:paraId="655B642D">
            <w:pPr>
              <w:rPr>
                <w:rFonts w:ascii="Arial"/>
                <w:color w:val="auto"/>
                <w:sz w:val="21"/>
                <w:highlight w:val="none"/>
              </w:rPr>
            </w:pPr>
          </w:p>
        </w:tc>
        <w:tc>
          <w:tcPr>
            <w:tcW w:w="562" w:type="dxa"/>
            <w:vAlign w:val="top"/>
          </w:tcPr>
          <w:p w14:paraId="0995B2FF">
            <w:pPr>
              <w:rPr>
                <w:rFonts w:ascii="Arial"/>
                <w:color w:val="auto"/>
                <w:sz w:val="21"/>
                <w:highlight w:val="none"/>
              </w:rPr>
            </w:pPr>
          </w:p>
        </w:tc>
        <w:tc>
          <w:tcPr>
            <w:tcW w:w="556" w:type="dxa"/>
            <w:vAlign w:val="top"/>
          </w:tcPr>
          <w:p w14:paraId="79F428EC">
            <w:pPr>
              <w:rPr>
                <w:rFonts w:ascii="Arial"/>
                <w:color w:val="auto"/>
                <w:sz w:val="21"/>
                <w:highlight w:val="none"/>
              </w:rPr>
            </w:pPr>
          </w:p>
        </w:tc>
        <w:tc>
          <w:tcPr>
            <w:tcW w:w="562" w:type="dxa"/>
            <w:vAlign w:val="top"/>
          </w:tcPr>
          <w:p w14:paraId="2D8CAE2A">
            <w:pPr>
              <w:rPr>
                <w:rFonts w:ascii="Arial"/>
                <w:color w:val="auto"/>
                <w:sz w:val="21"/>
                <w:highlight w:val="none"/>
              </w:rPr>
            </w:pPr>
          </w:p>
        </w:tc>
        <w:tc>
          <w:tcPr>
            <w:tcW w:w="676" w:type="dxa"/>
            <w:vAlign w:val="top"/>
          </w:tcPr>
          <w:p w14:paraId="240EA1DA">
            <w:pPr>
              <w:rPr>
                <w:rFonts w:ascii="Arial"/>
                <w:color w:val="auto"/>
                <w:sz w:val="21"/>
                <w:highlight w:val="none"/>
              </w:rPr>
            </w:pPr>
          </w:p>
        </w:tc>
        <w:tc>
          <w:tcPr>
            <w:tcW w:w="682" w:type="dxa"/>
            <w:vAlign w:val="top"/>
          </w:tcPr>
          <w:p w14:paraId="380AAE8A">
            <w:pPr>
              <w:rPr>
                <w:rFonts w:ascii="Arial"/>
                <w:color w:val="auto"/>
                <w:sz w:val="21"/>
                <w:highlight w:val="none"/>
              </w:rPr>
            </w:pPr>
          </w:p>
        </w:tc>
        <w:tc>
          <w:tcPr>
            <w:tcW w:w="681" w:type="dxa"/>
            <w:vAlign w:val="top"/>
          </w:tcPr>
          <w:p w14:paraId="41AB90F2">
            <w:pPr>
              <w:rPr>
                <w:rFonts w:ascii="Arial"/>
                <w:color w:val="auto"/>
                <w:sz w:val="21"/>
                <w:highlight w:val="none"/>
              </w:rPr>
            </w:pPr>
          </w:p>
        </w:tc>
        <w:tc>
          <w:tcPr>
            <w:tcW w:w="624" w:type="dxa"/>
            <w:vAlign w:val="top"/>
          </w:tcPr>
          <w:p w14:paraId="26D99828">
            <w:pPr>
              <w:rPr>
                <w:rFonts w:ascii="Arial"/>
                <w:color w:val="auto"/>
                <w:sz w:val="21"/>
                <w:highlight w:val="none"/>
              </w:rPr>
            </w:pPr>
          </w:p>
        </w:tc>
        <w:tc>
          <w:tcPr>
            <w:tcW w:w="628" w:type="dxa"/>
            <w:vAlign w:val="top"/>
          </w:tcPr>
          <w:p w14:paraId="25C9E88A">
            <w:pPr>
              <w:rPr>
                <w:rFonts w:ascii="Arial"/>
                <w:color w:val="auto"/>
                <w:sz w:val="21"/>
                <w:highlight w:val="none"/>
              </w:rPr>
            </w:pPr>
          </w:p>
        </w:tc>
        <w:tc>
          <w:tcPr>
            <w:tcW w:w="634" w:type="dxa"/>
            <w:vAlign w:val="top"/>
          </w:tcPr>
          <w:p w14:paraId="66798B26">
            <w:pPr>
              <w:rPr>
                <w:rFonts w:ascii="Arial"/>
                <w:color w:val="auto"/>
                <w:sz w:val="21"/>
                <w:highlight w:val="none"/>
              </w:rPr>
            </w:pPr>
          </w:p>
        </w:tc>
      </w:tr>
      <w:tr w14:paraId="389EF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5A2D91CE">
            <w:pPr>
              <w:rPr>
                <w:rFonts w:ascii="Arial"/>
                <w:color w:val="auto"/>
                <w:sz w:val="21"/>
                <w:highlight w:val="none"/>
              </w:rPr>
            </w:pPr>
          </w:p>
        </w:tc>
        <w:tc>
          <w:tcPr>
            <w:tcW w:w="2578" w:type="dxa"/>
            <w:vAlign w:val="top"/>
          </w:tcPr>
          <w:p w14:paraId="3BA7B971">
            <w:pPr>
              <w:rPr>
                <w:rFonts w:ascii="Arial"/>
                <w:color w:val="auto"/>
                <w:sz w:val="21"/>
                <w:highlight w:val="none"/>
              </w:rPr>
            </w:pPr>
          </w:p>
        </w:tc>
        <w:tc>
          <w:tcPr>
            <w:tcW w:w="806" w:type="dxa"/>
            <w:vAlign w:val="top"/>
          </w:tcPr>
          <w:p w14:paraId="4DD05862">
            <w:pPr>
              <w:rPr>
                <w:rFonts w:ascii="Arial"/>
                <w:color w:val="auto"/>
                <w:sz w:val="21"/>
                <w:highlight w:val="none"/>
              </w:rPr>
            </w:pPr>
          </w:p>
        </w:tc>
        <w:tc>
          <w:tcPr>
            <w:tcW w:w="562" w:type="dxa"/>
            <w:vAlign w:val="top"/>
          </w:tcPr>
          <w:p w14:paraId="6FE9928F">
            <w:pPr>
              <w:rPr>
                <w:rFonts w:ascii="Arial"/>
                <w:color w:val="auto"/>
                <w:sz w:val="21"/>
                <w:highlight w:val="none"/>
              </w:rPr>
            </w:pPr>
          </w:p>
        </w:tc>
        <w:tc>
          <w:tcPr>
            <w:tcW w:w="556" w:type="dxa"/>
            <w:vAlign w:val="top"/>
          </w:tcPr>
          <w:p w14:paraId="7BC5BE69">
            <w:pPr>
              <w:rPr>
                <w:rFonts w:ascii="Arial"/>
                <w:color w:val="auto"/>
                <w:sz w:val="21"/>
                <w:highlight w:val="none"/>
              </w:rPr>
            </w:pPr>
          </w:p>
        </w:tc>
        <w:tc>
          <w:tcPr>
            <w:tcW w:w="562" w:type="dxa"/>
            <w:vAlign w:val="top"/>
          </w:tcPr>
          <w:p w14:paraId="44E4DB70">
            <w:pPr>
              <w:rPr>
                <w:rFonts w:ascii="Arial"/>
                <w:color w:val="auto"/>
                <w:sz w:val="21"/>
                <w:highlight w:val="none"/>
              </w:rPr>
            </w:pPr>
          </w:p>
        </w:tc>
        <w:tc>
          <w:tcPr>
            <w:tcW w:w="676" w:type="dxa"/>
            <w:vAlign w:val="top"/>
          </w:tcPr>
          <w:p w14:paraId="44B9FF64">
            <w:pPr>
              <w:rPr>
                <w:rFonts w:ascii="Arial"/>
                <w:color w:val="auto"/>
                <w:sz w:val="21"/>
                <w:highlight w:val="none"/>
              </w:rPr>
            </w:pPr>
          </w:p>
        </w:tc>
        <w:tc>
          <w:tcPr>
            <w:tcW w:w="682" w:type="dxa"/>
            <w:vAlign w:val="top"/>
          </w:tcPr>
          <w:p w14:paraId="5499D4DC">
            <w:pPr>
              <w:rPr>
                <w:rFonts w:ascii="Arial"/>
                <w:color w:val="auto"/>
                <w:sz w:val="21"/>
                <w:highlight w:val="none"/>
              </w:rPr>
            </w:pPr>
          </w:p>
        </w:tc>
        <w:tc>
          <w:tcPr>
            <w:tcW w:w="681" w:type="dxa"/>
            <w:vAlign w:val="top"/>
          </w:tcPr>
          <w:p w14:paraId="294E889A">
            <w:pPr>
              <w:rPr>
                <w:rFonts w:ascii="Arial"/>
                <w:color w:val="auto"/>
                <w:sz w:val="21"/>
                <w:highlight w:val="none"/>
              </w:rPr>
            </w:pPr>
          </w:p>
        </w:tc>
        <w:tc>
          <w:tcPr>
            <w:tcW w:w="624" w:type="dxa"/>
            <w:vAlign w:val="top"/>
          </w:tcPr>
          <w:p w14:paraId="5CFCE76B">
            <w:pPr>
              <w:rPr>
                <w:rFonts w:ascii="Arial"/>
                <w:color w:val="auto"/>
                <w:sz w:val="21"/>
                <w:highlight w:val="none"/>
              </w:rPr>
            </w:pPr>
          </w:p>
        </w:tc>
        <w:tc>
          <w:tcPr>
            <w:tcW w:w="628" w:type="dxa"/>
            <w:vAlign w:val="top"/>
          </w:tcPr>
          <w:p w14:paraId="3CEB558A">
            <w:pPr>
              <w:rPr>
                <w:rFonts w:ascii="Arial"/>
                <w:color w:val="auto"/>
                <w:sz w:val="21"/>
                <w:highlight w:val="none"/>
              </w:rPr>
            </w:pPr>
          </w:p>
        </w:tc>
        <w:tc>
          <w:tcPr>
            <w:tcW w:w="634" w:type="dxa"/>
            <w:vAlign w:val="top"/>
          </w:tcPr>
          <w:p w14:paraId="29AB343D">
            <w:pPr>
              <w:rPr>
                <w:rFonts w:ascii="Arial"/>
                <w:color w:val="auto"/>
                <w:sz w:val="21"/>
                <w:highlight w:val="none"/>
              </w:rPr>
            </w:pPr>
          </w:p>
        </w:tc>
      </w:tr>
      <w:tr w14:paraId="72BBF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25B7F783">
            <w:pPr>
              <w:rPr>
                <w:rFonts w:ascii="Arial"/>
                <w:color w:val="auto"/>
                <w:sz w:val="21"/>
                <w:highlight w:val="none"/>
              </w:rPr>
            </w:pPr>
          </w:p>
        </w:tc>
        <w:tc>
          <w:tcPr>
            <w:tcW w:w="2578" w:type="dxa"/>
            <w:vAlign w:val="top"/>
          </w:tcPr>
          <w:p w14:paraId="3BC27DB6">
            <w:pPr>
              <w:rPr>
                <w:rFonts w:ascii="Arial"/>
                <w:color w:val="auto"/>
                <w:sz w:val="21"/>
                <w:highlight w:val="none"/>
              </w:rPr>
            </w:pPr>
          </w:p>
        </w:tc>
        <w:tc>
          <w:tcPr>
            <w:tcW w:w="806" w:type="dxa"/>
            <w:vAlign w:val="top"/>
          </w:tcPr>
          <w:p w14:paraId="2CE59C5E">
            <w:pPr>
              <w:rPr>
                <w:rFonts w:ascii="Arial"/>
                <w:color w:val="auto"/>
                <w:sz w:val="21"/>
                <w:highlight w:val="none"/>
              </w:rPr>
            </w:pPr>
          </w:p>
        </w:tc>
        <w:tc>
          <w:tcPr>
            <w:tcW w:w="562" w:type="dxa"/>
            <w:vAlign w:val="top"/>
          </w:tcPr>
          <w:p w14:paraId="40C80A61">
            <w:pPr>
              <w:rPr>
                <w:rFonts w:ascii="Arial"/>
                <w:color w:val="auto"/>
                <w:sz w:val="21"/>
                <w:highlight w:val="none"/>
              </w:rPr>
            </w:pPr>
          </w:p>
        </w:tc>
        <w:tc>
          <w:tcPr>
            <w:tcW w:w="556" w:type="dxa"/>
            <w:vAlign w:val="top"/>
          </w:tcPr>
          <w:p w14:paraId="46E729E3">
            <w:pPr>
              <w:rPr>
                <w:rFonts w:ascii="Arial"/>
                <w:color w:val="auto"/>
                <w:sz w:val="21"/>
                <w:highlight w:val="none"/>
              </w:rPr>
            </w:pPr>
          </w:p>
        </w:tc>
        <w:tc>
          <w:tcPr>
            <w:tcW w:w="562" w:type="dxa"/>
            <w:vAlign w:val="top"/>
          </w:tcPr>
          <w:p w14:paraId="072B5265">
            <w:pPr>
              <w:rPr>
                <w:rFonts w:ascii="Arial"/>
                <w:color w:val="auto"/>
                <w:sz w:val="21"/>
                <w:highlight w:val="none"/>
              </w:rPr>
            </w:pPr>
          </w:p>
        </w:tc>
        <w:tc>
          <w:tcPr>
            <w:tcW w:w="676" w:type="dxa"/>
            <w:vAlign w:val="top"/>
          </w:tcPr>
          <w:p w14:paraId="764BDDFA">
            <w:pPr>
              <w:rPr>
                <w:rFonts w:ascii="Arial"/>
                <w:color w:val="auto"/>
                <w:sz w:val="21"/>
                <w:highlight w:val="none"/>
              </w:rPr>
            </w:pPr>
          </w:p>
        </w:tc>
        <w:tc>
          <w:tcPr>
            <w:tcW w:w="682" w:type="dxa"/>
            <w:vAlign w:val="top"/>
          </w:tcPr>
          <w:p w14:paraId="2DDB75DB">
            <w:pPr>
              <w:rPr>
                <w:rFonts w:ascii="Arial"/>
                <w:color w:val="auto"/>
                <w:sz w:val="21"/>
                <w:highlight w:val="none"/>
              </w:rPr>
            </w:pPr>
          </w:p>
        </w:tc>
        <w:tc>
          <w:tcPr>
            <w:tcW w:w="681" w:type="dxa"/>
            <w:vAlign w:val="top"/>
          </w:tcPr>
          <w:p w14:paraId="60F237C6">
            <w:pPr>
              <w:rPr>
                <w:rFonts w:ascii="Arial"/>
                <w:color w:val="auto"/>
                <w:sz w:val="21"/>
                <w:highlight w:val="none"/>
              </w:rPr>
            </w:pPr>
          </w:p>
        </w:tc>
        <w:tc>
          <w:tcPr>
            <w:tcW w:w="624" w:type="dxa"/>
            <w:vAlign w:val="top"/>
          </w:tcPr>
          <w:p w14:paraId="161B7204">
            <w:pPr>
              <w:rPr>
                <w:rFonts w:ascii="Arial"/>
                <w:color w:val="auto"/>
                <w:sz w:val="21"/>
                <w:highlight w:val="none"/>
              </w:rPr>
            </w:pPr>
          </w:p>
        </w:tc>
        <w:tc>
          <w:tcPr>
            <w:tcW w:w="628" w:type="dxa"/>
            <w:vAlign w:val="top"/>
          </w:tcPr>
          <w:p w14:paraId="648FA4F1">
            <w:pPr>
              <w:rPr>
                <w:rFonts w:ascii="Arial"/>
                <w:color w:val="auto"/>
                <w:sz w:val="21"/>
                <w:highlight w:val="none"/>
              </w:rPr>
            </w:pPr>
          </w:p>
        </w:tc>
        <w:tc>
          <w:tcPr>
            <w:tcW w:w="634" w:type="dxa"/>
            <w:vAlign w:val="top"/>
          </w:tcPr>
          <w:p w14:paraId="55C7C0E0">
            <w:pPr>
              <w:rPr>
                <w:rFonts w:ascii="Arial"/>
                <w:color w:val="auto"/>
                <w:sz w:val="21"/>
                <w:highlight w:val="none"/>
              </w:rPr>
            </w:pPr>
          </w:p>
        </w:tc>
      </w:tr>
      <w:tr w14:paraId="2B2B7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16CD4B84">
            <w:pPr>
              <w:rPr>
                <w:rFonts w:ascii="Arial"/>
                <w:color w:val="auto"/>
                <w:sz w:val="21"/>
                <w:highlight w:val="none"/>
              </w:rPr>
            </w:pPr>
          </w:p>
        </w:tc>
        <w:tc>
          <w:tcPr>
            <w:tcW w:w="2578" w:type="dxa"/>
            <w:vAlign w:val="top"/>
          </w:tcPr>
          <w:p w14:paraId="344E234A">
            <w:pPr>
              <w:rPr>
                <w:rFonts w:ascii="Arial"/>
                <w:color w:val="auto"/>
                <w:sz w:val="21"/>
                <w:highlight w:val="none"/>
              </w:rPr>
            </w:pPr>
          </w:p>
        </w:tc>
        <w:tc>
          <w:tcPr>
            <w:tcW w:w="806" w:type="dxa"/>
            <w:vAlign w:val="top"/>
          </w:tcPr>
          <w:p w14:paraId="613C4AEB">
            <w:pPr>
              <w:rPr>
                <w:rFonts w:ascii="Arial"/>
                <w:color w:val="auto"/>
                <w:sz w:val="21"/>
                <w:highlight w:val="none"/>
              </w:rPr>
            </w:pPr>
          </w:p>
        </w:tc>
        <w:tc>
          <w:tcPr>
            <w:tcW w:w="562" w:type="dxa"/>
            <w:vAlign w:val="top"/>
          </w:tcPr>
          <w:p w14:paraId="147F2595">
            <w:pPr>
              <w:rPr>
                <w:rFonts w:ascii="Arial"/>
                <w:color w:val="auto"/>
                <w:sz w:val="21"/>
                <w:highlight w:val="none"/>
              </w:rPr>
            </w:pPr>
          </w:p>
        </w:tc>
        <w:tc>
          <w:tcPr>
            <w:tcW w:w="556" w:type="dxa"/>
            <w:vAlign w:val="top"/>
          </w:tcPr>
          <w:p w14:paraId="7BBD8608">
            <w:pPr>
              <w:rPr>
                <w:rFonts w:ascii="Arial"/>
                <w:color w:val="auto"/>
                <w:sz w:val="21"/>
                <w:highlight w:val="none"/>
              </w:rPr>
            </w:pPr>
          </w:p>
        </w:tc>
        <w:tc>
          <w:tcPr>
            <w:tcW w:w="562" w:type="dxa"/>
            <w:vAlign w:val="top"/>
          </w:tcPr>
          <w:p w14:paraId="14E81BCD">
            <w:pPr>
              <w:rPr>
                <w:rFonts w:ascii="Arial"/>
                <w:color w:val="auto"/>
                <w:sz w:val="21"/>
                <w:highlight w:val="none"/>
              </w:rPr>
            </w:pPr>
          </w:p>
        </w:tc>
        <w:tc>
          <w:tcPr>
            <w:tcW w:w="676" w:type="dxa"/>
            <w:vAlign w:val="top"/>
          </w:tcPr>
          <w:p w14:paraId="7A15B16E">
            <w:pPr>
              <w:rPr>
                <w:rFonts w:ascii="Arial"/>
                <w:color w:val="auto"/>
                <w:sz w:val="21"/>
                <w:highlight w:val="none"/>
              </w:rPr>
            </w:pPr>
          </w:p>
        </w:tc>
        <w:tc>
          <w:tcPr>
            <w:tcW w:w="682" w:type="dxa"/>
            <w:vAlign w:val="top"/>
          </w:tcPr>
          <w:p w14:paraId="71EB2C4A">
            <w:pPr>
              <w:rPr>
                <w:rFonts w:ascii="Arial"/>
                <w:color w:val="auto"/>
                <w:sz w:val="21"/>
                <w:highlight w:val="none"/>
              </w:rPr>
            </w:pPr>
          </w:p>
        </w:tc>
        <w:tc>
          <w:tcPr>
            <w:tcW w:w="681" w:type="dxa"/>
            <w:vAlign w:val="top"/>
          </w:tcPr>
          <w:p w14:paraId="4DCFFD8C">
            <w:pPr>
              <w:rPr>
                <w:rFonts w:ascii="Arial"/>
                <w:color w:val="auto"/>
                <w:sz w:val="21"/>
                <w:highlight w:val="none"/>
              </w:rPr>
            </w:pPr>
          </w:p>
        </w:tc>
        <w:tc>
          <w:tcPr>
            <w:tcW w:w="624" w:type="dxa"/>
            <w:vAlign w:val="top"/>
          </w:tcPr>
          <w:p w14:paraId="1E07FF6A">
            <w:pPr>
              <w:rPr>
                <w:rFonts w:ascii="Arial"/>
                <w:color w:val="auto"/>
                <w:sz w:val="21"/>
                <w:highlight w:val="none"/>
              </w:rPr>
            </w:pPr>
          </w:p>
        </w:tc>
        <w:tc>
          <w:tcPr>
            <w:tcW w:w="628" w:type="dxa"/>
            <w:vAlign w:val="top"/>
          </w:tcPr>
          <w:p w14:paraId="1F14D84F">
            <w:pPr>
              <w:rPr>
                <w:rFonts w:ascii="Arial"/>
                <w:color w:val="auto"/>
                <w:sz w:val="21"/>
                <w:highlight w:val="none"/>
              </w:rPr>
            </w:pPr>
          </w:p>
        </w:tc>
        <w:tc>
          <w:tcPr>
            <w:tcW w:w="634" w:type="dxa"/>
            <w:vAlign w:val="top"/>
          </w:tcPr>
          <w:p w14:paraId="2714B5BC">
            <w:pPr>
              <w:rPr>
                <w:rFonts w:ascii="Arial"/>
                <w:color w:val="auto"/>
                <w:sz w:val="21"/>
                <w:highlight w:val="none"/>
              </w:rPr>
            </w:pPr>
          </w:p>
        </w:tc>
      </w:tr>
      <w:tr w14:paraId="54DFC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70BC7F00">
            <w:pPr>
              <w:rPr>
                <w:rFonts w:ascii="Arial"/>
                <w:color w:val="auto"/>
                <w:sz w:val="21"/>
                <w:highlight w:val="none"/>
              </w:rPr>
            </w:pPr>
          </w:p>
        </w:tc>
        <w:tc>
          <w:tcPr>
            <w:tcW w:w="2578" w:type="dxa"/>
            <w:vAlign w:val="top"/>
          </w:tcPr>
          <w:p w14:paraId="180BF6AD">
            <w:pPr>
              <w:rPr>
                <w:rFonts w:ascii="Arial"/>
                <w:color w:val="auto"/>
                <w:sz w:val="21"/>
                <w:highlight w:val="none"/>
              </w:rPr>
            </w:pPr>
          </w:p>
        </w:tc>
        <w:tc>
          <w:tcPr>
            <w:tcW w:w="806" w:type="dxa"/>
            <w:vAlign w:val="top"/>
          </w:tcPr>
          <w:p w14:paraId="56030AEE">
            <w:pPr>
              <w:rPr>
                <w:rFonts w:ascii="Arial"/>
                <w:color w:val="auto"/>
                <w:sz w:val="21"/>
                <w:highlight w:val="none"/>
              </w:rPr>
            </w:pPr>
          </w:p>
        </w:tc>
        <w:tc>
          <w:tcPr>
            <w:tcW w:w="562" w:type="dxa"/>
            <w:vAlign w:val="top"/>
          </w:tcPr>
          <w:p w14:paraId="69D6D57E">
            <w:pPr>
              <w:rPr>
                <w:rFonts w:ascii="Arial"/>
                <w:color w:val="auto"/>
                <w:sz w:val="21"/>
                <w:highlight w:val="none"/>
              </w:rPr>
            </w:pPr>
          </w:p>
        </w:tc>
        <w:tc>
          <w:tcPr>
            <w:tcW w:w="556" w:type="dxa"/>
            <w:vAlign w:val="top"/>
          </w:tcPr>
          <w:p w14:paraId="672BD7F3">
            <w:pPr>
              <w:rPr>
                <w:rFonts w:ascii="Arial"/>
                <w:color w:val="auto"/>
                <w:sz w:val="21"/>
                <w:highlight w:val="none"/>
              </w:rPr>
            </w:pPr>
          </w:p>
        </w:tc>
        <w:tc>
          <w:tcPr>
            <w:tcW w:w="562" w:type="dxa"/>
            <w:vAlign w:val="top"/>
          </w:tcPr>
          <w:p w14:paraId="0A0C0DF1">
            <w:pPr>
              <w:rPr>
                <w:rFonts w:ascii="Arial"/>
                <w:color w:val="auto"/>
                <w:sz w:val="21"/>
                <w:highlight w:val="none"/>
              </w:rPr>
            </w:pPr>
          </w:p>
        </w:tc>
        <w:tc>
          <w:tcPr>
            <w:tcW w:w="676" w:type="dxa"/>
            <w:vAlign w:val="top"/>
          </w:tcPr>
          <w:p w14:paraId="1014534F">
            <w:pPr>
              <w:rPr>
                <w:rFonts w:ascii="Arial"/>
                <w:color w:val="auto"/>
                <w:sz w:val="21"/>
                <w:highlight w:val="none"/>
              </w:rPr>
            </w:pPr>
          </w:p>
        </w:tc>
        <w:tc>
          <w:tcPr>
            <w:tcW w:w="682" w:type="dxa"/>
            <w:vAlign w:val="top"/>
          </w:tcPr>
          <w:p w14:paraId="06F05B78">
            <w:pPr>
              <w:rPr>
                <w:rFonts w:ascii="Arial"/>
                <w:color w:val="auto"/>
                <w:sz w:val="21"/>
                <w:highlight w:val="none"/>
              </w:rPr>
            </w:pPr>
          </w:p>
        </w:tc>
        <w:tc>
          <w:tcPr>
            <w:tcW w:w="681" w:type="dxa"/>
            <w:vAlign w:val="top"/>
          </w:tcPr>
          <w:p w14:paraId="23BA8D45">
            <w:pPr>
              <w:rPr>
                <w:rFonts w:ascii="Arial"/>
                <w:color w:val="auto"/>
                <w:sz w:val="21"/>
                <w:highlight w:val="none"/>
              </w:rPr>
            </w:pPr>
          </w:p>
        </w:tc>
        <w:tc>
          <w:tcPr>
            <w:tcW w:w="624" w:type="dxa"/>
            <w:vAlign w:val="top"/>
          </w:tcPr>
          <w:p w14:paraId="1BA4962C">
            <w:pPr>
              <w:rPr>
                <w:rFonts w:ascii="Arial"/>
                <w:color w:val="auto"/>
                <w:sz w:val="21"/>
                <w:highlight w:val="none"/>
              </w:rPr>
            </w:pPr>
          </w:p>
        </w:tc>
        <w:tc>
          <w:tcPr>
            <w:tcW w:w="628" w:type="dxa"/>
            <w:vAlign w:val="top"/>
          </w:tcPr>
          <w:p w14:paraId="4B89D1F2">
            <w:pPr>
              <w:rPr>
                <w:rFonts w:ascii="Arial"/>
                <w:color w:val="auto"/>
                <w:sz w:val="21"/>
                <w:highlight w:val="none"/>
              </w:rPr>
            </w:pPr>
          </w:p>
        </w:tc>
        <w:tc>
          <w:tcPr>
            <w:tcW w:w="634" w:type="dxa"/>
            <w:vAlign w:val="top"/>
          </w:tcPr>
          <w:p w14:paraId="4832CF2F">
            <w:pPr>
              <w:rPr>
                <w:rFonts w:ascii="Arial"/>
                <w:color w:val="auto"/>
                <w:sz w:val="21"/>
                <w:highlight w:val="none"/>
              </w:rPr>
            </w:pPr>
          </w:p>
        </w:tc>
      </w:tr>
      <w:tr w14:paraId="54EC2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21FEBC7B">
            <w:pPr>
              <w:rPr>
                <w:rFonts w:ascii="Arial"/>
                <w:color w:val="auto"/>
                <w:sz w:val="21"/>
                <w:highlight w:val="none"/>
              </w:rPr>
            </w:pPr>
          </w:p>
        </w:tc>
        <w:tc>
          <w:tcPr>
            <w:tcW w:w="2578" w:type="dxa"/>
            <w:vAlign w:val="top"/>
          </w:tcPr>
          <w:p w14:paraId="5F6F7BD2">
            <w:pPr>
              <w:rPr>
                <w:rFonts w:ascii="Arial"/>
                <w:color w:val="auto"/>
                <w:sz w:val="21"/>
                <w:highlight w:val="none"/>
              </w:rPr>
            </w:pPr>
          </w:p>
        </w:tc>
        <w:tc>
          <w:tcPr>
            <w:tcW w:w="806" w:type="dxa"/>
            <w:vAlign w:val="top"/>
          </w:tcPr>
          <w:p w14:paraId="130BE34F">
            <w:pPr>
              <w:rPr>
                <w:rFonts w:ascii="Arial"/>
                <w:color w:val="auto"/>
                <w:sz w:val="21"/>
                <w:highlight w:val="none"/>
              </w:rPr>
            </w:pPr>
          </w:p>
        </w:tc>
        <w:tc>
          <w:tcPr>
            <w:tcW w:w="562" w:type="dxa"/>
            <w:vAlign w:val="top"/>
          </w:tcPr>
          <w:p w14:paraId="0D47583D">
            <w:pPr>
              <w:rPr>
                <w:rFonts w:ascii="Arial"/>
                <w:color w:val="auto"/>
                <w:sz w:val="21"/>
                <w:highlight w:val="none"/>
              </w:rPr>
            </w:pPr>
          </w:p>
        </w:tc>
        <w:tc>
          <w:tcPr>
            <w:tcW w:w="556" w:type="dxa"/>
            <w:vAlign w:val="top"/>
          </w:tcPr>
          <w:p w14:paraId="600C7CC5">
            <w:pPr>
              <w:rPr>
                <w:rFonts w:ascii="Arial"/>
                <w:color w:val="auto"/>
                <w:sz w:val="21"/>
                <w:highlight w:val="none"/>
              </w:rPr>
            </w:pPr>
          </w:p>
        </w:tc>
        <w:tc>
          <w:tcPr>
            <w:tcW w:w="562" w:type="dxa"/>
            <w:vAlign w:val="top"/>
          </w:tcPr>
          <w:p w14:paraId="5642FEDB">
            <w:pPr>
              <w:rPr>
                <w:rFonts w:ascii="Arial"/>
                <w:color w:val="auto"/>
                <w:sz w:val="21"/>
                <w:highlight w:val="none"/>
              </w:rPr>
            </w:pPr>
          </w:p>
        </w:tc>
        <w:tc>
          <w:tcPr>
            <w:tcW w:w="676" w:type="dxa"/>
            <w:vAlign w:val="top"/>
          </w:tcPr>
          <w:p w14:paraId="2FFA3C58">
            <w:pPr>
              <w:rPr>
                <w:rFonts w:ascii="Arial"/>
                <w:color w:val="auto"/>
                <w:sz w:val="21"/>
                <w:highlight w:val="none"/>
              </w:rPr>
            </w:pPr>
          </w:p>
        </w:tc>
        <w:tc>
          <w:tcPr>
            <w:tcW w:w="682" w:type="dxa"/>
            <w:vAlign w:val="top"/>
          </w:tcPr>
          <w:p w14:paraId="4DEDF854">
            <w:pPr>
              <w:rPr>
                <w:rFonts w:ascii="Arial"/>
                <w:color w:val="auto"/>
                <w:sz w:val="21"/>
                <w:highlight w:val="none"/>
              </w:rPr>
            </w:pPr>
          </w:p>
        </w:tc>
        <w:tc>
          <w:tcPr>
            <w:tcW w:w="681" w:type="dxa"/>
            <w:vAlign w:val="top"/>
          </w:tcPr>
          <w:p w14:paraId="3651E198">
            <w:pPr>
              <w:rPr>
                <w:rFonts w:ascii="Arial"/>
                <w:color w:val="auto"/>
                <w:sz w:val="21"/>
                <w:highlight w:val="none"/>
              </w:rPr>
            </w:pPr>
          </w:p>
        </w:tc>
        <w:tc>
          <w:tcPr>
            <w:tcW w:w="624" w:type="dxa"/>
            <w:vAlign w:val="top"/>
          </w:tcPr>
          <w:p w14:paraId="03A887E9">
            <w:pPr>
              <w:rPr>
                <w:rFonts w:ascii="Arial"/>
                <w:color w:val="auto"/>
                <w:sz w:val="21"/>
                <w:highlight w:val="none"/>
              </w:rPr>
            </w:pPr>
          </w:p>
        </w:tc>
        <w:tc>
          <w:tcPr>
            <w:tcW w:w="628" w:type="dxa"/>
            <w:vAlign w:val="top"/>
          </w:tcPr>
          <w:p w14:paraId="00EE952A">
            <w:pPr>
              <w:rPr>
                <w:rFonts w:ascii="Arial"/>
                <w:color w:val="auto"/>
                <w:sz w:val="21"/>
                <w:highlight w:val="none"/>
              </w:rPr>
            </w:pPr>
          </w:p>
        </w:tc>
        <w:tc>
          <w:tcPr>
            <w:tcW w:w="634" w:type="dxa"/>
            <w:vAlign w:val="top"/>
          </w:tcPr>
          <w:p w14:paraId="359E8F51">
            <w:pPr>
              <w:rPr>
                <w:rFonts w:ascii="Arial"/>
                <w:color w:val="auto"/>
                <w:sz w:val="21"/>
                <w:highlight w:val="none"/>
              </w:rPr>
            </w:pPr>
          </w:p>
        </w:tc>
      </w:tr>
      <w:tr w14:paraId="52C77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1" w:type="dxa"/>
            <w:vAlign w:val="top"/>
          </w:tcPr>
          <w:p w14:paraId="75EE42C8">
            <w:pPr>
              <w:rPr>
                <w:rFonts w:ascii="Arial"/>
                <w:color w:val="auto"/>
                <w:sz w:val="21"/>
                <w:highlight w:val="none"/>
              </w:rPr>
            </w:pPr>
          </w:p>
        </w:tc>
        <w:tc>
          <w:tcPr>
            <w:tcW w:w="2578" w:type="dxa"/>
            <w:vAlign w:val="top"/>
          </w:tcPr>
          <w:p w14:paraId="1B7E5545">
            <w:pPr>
              <w:rPr>
                <w:rFonts w:ascii="Arial"/>
                <w:color w:val="auto"/>
                <w:sz w:val="21"/>
                <w:highlight w:val="none"/>
              </w:rPr>
            </w:pPr>
          </w:p>
        </w:tc>
        <w:tc>
          <w:tcPr>
            <w:tcW w:w="806" w:type="dxa"/>
            <w:vAlign w:val="top"/>
          </w:tcPr>
          <w:p w14:paraId="4BA105D8">
            <w:pPr>
              <w:rPr>
                <w:rFonts w:ascii="Arial"/>
                <w:color w:val="auto"/>
                <w:sz w:val="21"/>
                <w:highlight w:val="none"/>
              </w:rPr>
            </w:pPr>
          </w:p>
        </w:tc>
        <w:tc>
          <w:tcPr>
            <w:tcW w:w="562" w:type="dxa"/>
            <w:vAlign w:val="top"/>
          </w:tcPr>
          <w:p w14:paraId="15D78B55">
            <w:pPr>
              <w:rPr>
                <w:rFonts w:ascii="Arial"/>
                <w:color w:val="auto"/>
                <w:sz w:val="21"/>
                <w:highlight w:val="none"/>
              </w:rPr>
            </w:pPr>
          </w:p>
        </w:tc>
        <w:tc>
          <w:tcPr>
            <w:tcW w:w="556" w:type="dxa"/>
            <w:vAlign w:val="top"/>
          </w:tcPr>
          <w:p w14:paraId="5823B32A">
            <w:pPr>
              <w:rPr>
                <w:rFonts w:ascii="Arial"/>
                <w:color w:val="auto"/>
                <w:sz w:val="21"/>
                <w:highlight w:val="none"/>
              </w:rPr>
            </w:pPr>
          </w:p>
        </w:tc>
        <w:tc>
          <w:tcPr>
            <w:tcW w:w="562" w:type="dxa"/>
            <w:vAlign w:val="top"/>
          </w:tcPr>
          <w:p w14:paraId="797D4E9E">
            <w:pPr>
              <w:rPr>
                <w:rFonts w:ascii="Arial"/>
                <w:color w:val="auto"/>
                <w:sz w:val="21"/>
                <w:highlight w:val="none"/>
              </w:rPr>
            </w:pPr>
          </w:p>
        </w:tc>
        <w:tc>
          <w:tcPr>
            <w:tcW w:w="676" w:type="dxa"/>
            <w:vAlign w:val="top"/>
          </w:tcPr>
          <w:p w14:paraId="51E1005B">
            <w:pPr>
              <w:rPr>
                <w:rFonts w:ascii="Arial"/>
                <w:color w:val="auto"/>
                <w:sz w:val="21"/>
                <w:highlight w:val="none"/>
              </w:rPr>
            </w:pPr>
          </w:p>
        </w:tc>
        <w:tc>
          <w:tcPr>
            <w:tcW w:w="682" w:type="dxa"/>
            <w:vAlign w:val="top"/>
          </w:tcPr>
          <w:p w14:paraId="0D4ADF62">
            <w:pPr>
              <w:rPr>
                <w:rFonts w:ascii="Arial"/>
                <w:color w:val="auto"/>
                <w:sz w:val="21"/>
                <w:highlight w:val="none"/>
              </w:rPr>
            </w:pPr>
          </w:p>
        </w:tc>
        <w:tc>
          <w:tcPr>
            <w:tcW w:w="681" w:type="dxa"/>
            <w:vAlign w:val="top"/>
          </w:tcPr>
          <w:p w14:paraId="736A47AC">
            <w:pPr>
              <w:rPr>
                <w:rFonts w:ascii="Arial"/>
                <w:color w:val="auto"/>
                <w:sz w:val="21"/>
                <w:highlight w:val="none"/>
              </w:rPr>
            </w:pPr>
          </w:p>
        </w:tc>
        <w:tc>
          <w:tcPr>
            <w:tcW w:w="624" w:type="dxa"/>
            <w:vAlign w:val="top"/>
          </w:tcPr>
          <w:p w14:paraId="047B2CA2">
            <w:pPr>
              <w:rPr>
                <w:rFonts w:ascii="Arial"/>
                <w:color w:val="auto"/>
                <w:sz w:val="21"/>
                <w:highlight w:val="none"/>
              </w:rPr>
            </w:pPr>
          </w:p>
        </w:tc>
        <w:tc>
          <w:tcPr>
            <w:tcW w:w="628" w:type="dxa"/>
            <w:vAlign w:val="top"/>
          </w:tcPr>
          <w:p w14:paraId="72F4FA15">
            <w:pPr>
              <w:rPr>
                <w:rFonts w:ascii="Arial"/>
                <w:color w:val="auto"/>
                <w:sz w:val="21"/>
                <w:highlight w:val="none"/>
              </w:rPr>
            </w:pPr>
          </w:p>
        </w:tc>
        <w:tc>
          <w:tcPr>
            <w:tcW w:w="634" w:type="dxa"/>
            <w:vAlign w:val="top"/>
          </w:tcPr>
          <w:p w14:paraId="23A63BA9">
            <w:pPr>
              <w:rPr>
                <w:rFonts w:ascii="Arial"/>
                <w:color w:val="auto"/>
                <w:sz w:val="21"/>
                <w:highlight w:val="none"/>
              </w:rPr>
            </w:pPr>
          </w:p>
        </w:tc>
      </w:tr>
      <w:tr w14:paraId="04A88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7B060594">
            <w:pPr>
              <w:rPr>
                <w:rFonts w:ascii="Arial"/>
                <w:color w:val="auto"/>
                <w:sz w:val="21"/>
                <w:highlight w:val="none"/>
              </w:rPr>
            </w:pPr>
          </w:p>
        </w:tc>
        <w:tc>
          <w:tcPr>
            <w:tcW w:w="2578" w:type="dxa"/>
            <w:vAlign w:val="top"/>
          </w:tcPr>
          <w:p w14:paraId="6C20E450">
            <w:pPr>
              <w:rPr>
                <w:rFonts w:ascii="Arial"/>
                <w:color w:val="auto"/>
                <w:sz w:val="21"/>
                <w:highlight w:val="none"/>
              </w:rPr>
            </w:pPr>
          </w:p>
        </w:tc>
        <w:tc>
          <w:tcPr>
            <w:tcW w:w="806" w:type="dxa"/>
            <w:vAlign w:val="top"/>
          </w:tcPr>
          <w:p w14:paraId="1DFEE37A">
            <w:pPr>
              <w:rPr>
                <w:rFonts w:ascii="Arial"/>
                <w:color w:val="auto"/>
                <w:sz w:val="21"/>
                <w:highlight w:val="none"/>
              </w:rPr>
            </w:pPr>
          </w:p>
        </w:tc>
        <w:tc>
          <w:tcPr>
            <w:tcW w:w="562" w:type="dxa"/>
            <w:vAlign w:val="top"/>
          </w:tcPr>
          <w:p w14:paraId="75B7C827">
            <w:pPr>
              <w:rPr>
                <w:rFonts w:ascii="Arial"/>
                <w:color w:val="auto"/>
                <w:sz w:val="21"/>
                <w:highlight w:val="none"/>
              </w:rPr>
            </w:pPr>
          </w:p>
        </w:tc>
        <w:tc>
          <w:tcPr>
            <w:tcW w:w="556" w:type="dxa"/>
            <w:vAlign w:val="top"/>
          </w:tcPr>
          <w:p w14:paraId="18A178A4">
            <w:pPr>
              <w:rPr>
                <w:rFonts w:ascii="Arial"/>
                <w:color w:val="auto"/>
                <w:sz w:val="21"/>
                <w:highlight w:val="none"/>
              </w:rPr>
            </w:pPr>
          </w:p>
        </w:tc>
        <w:tc>
          <w:tcPr>
            <w:tcW w:w="562" w:type="dxa"/>
            <w:vAlign w:val="top"/>
          </w:tcPr>
          <w:p w14:paraId="41D6506D">
            <w:pPr>
              <w:rPr>
                <w:rFonts w:ascii="Arial"/>
                <w:color w:val="auto"/>
                <w:sz w:val="21"/>
                <w:highlight w:val="none"/>
              </w:rPr>
            </w:pPr>
          </w:p>
        </w:tc>
        <w:tc>
          <w:tcPr>
            <w:tcW w:w="676" w:type="dxa"/>
            <w:vAlign w:val="top"/>
          </w:tcPr>
          <w:p w14:paraId="7AE81D7A">
            <w:pPr>
              <w:rPr>
                <w:rFonts w:ascii="Arial"/>
                <w:color w:val="auto"/>
                <w:sz w:val="21"/>
                <w:highlight w:val="none"/>
              </w:rPr>
            </w:pPr>
          </w:p>
        </w:tc>
        <w:tc>
          <w:tcPr>
            <w:tcW w:w="682" w:type="dxa"/>
            <w:vAlign w:val="top"/>
          </w:tcPr>
          <w:p w14:paraId="33F78CD8">
            <w:pPr>
              <w:rPr>
                <w:rFonts w:ascii="Arial"/>
                <w:color w:val="auto"/>
                <w:sz w:val="21"/>
                <w:highlight w:val="none"/>
              </w:rPr>
            </w:pPr>
          </w:p>
        </w:tc>
        <w:tc>
          <w:tcPr>
            <w:tcW w:w="681" w:type="dxa"/>
            <w:vAlign w:val="top"/>
          </w:tcPr>
          <w:p w14:paraId="3BF0C7BE">
            <w:pPr>
              <w:rPr>
                <w:rFonts w:ascii="Arial"/>
                <w:color w:val="auto"/>
                <w:sz w:val="21"/>
                <w:highlight w:val="none"/>
              </w:rPr>
            </w:pPr>
          </w:p>
        </w:tc>
        <w:tc>
          <w:tcPr>
            <w:tcW w:w="624" w:type="dxa"/>
            <w:vAlign w:val="top"/>
          </w:tcPr>
          <w:p w14:paraId="0A0E9BB7">
            <w:pPr>
              <w:rPr>
                <w:rFonts w:ascii="Arial"/>
                <w:color w:val="auto"/>
                <w:sz w:val="21"/>
                <w:highlight w:val="none"/>
              </w:rPr>
            </w:pPr>
          </w:p>
        </w:tc>
        <w:tc>
          <w:tcPr>
            <w:tcW w:w="628" w:type="dxa"/>
            <w:vAlign w:val="top"/>
          </w:tcPr>
          <w:p w14:paraId="28BC05FF">
            <w:pPr>
              <w:rPr>
                <w:rFonts w:ascii="Arial"/>
                <w:color w:val="auto"/>
                <w:sz w:val="21"/>
                <w:highlight w:val="none"/>
              </w:rPr>
            </w:pPr>
          </w:p>
        </w:tc>
        <w:tc>
          <w:tcPr>
            <w:tcW w:w="634" w:type="dxa"/>
            <w:vAlign w:val="top"/>
          </w:tcPr>
          <w:p w14:paraId="4CFE9F70">
            <w:pPr>
              <w:rPr>
                <w:rFonts w:ascii="Arial"/>
                <w:color w:val="auto"/>
                <w:sz w:val="21"/>
                <w:highlight w:val="none"/>
              </w:rPr>
            </w:pPr>
          </w:p>
        </w:tc>
      </w:tr>
      <w:tr w14:paraId="46030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3945" w:type="dxa"/>
            <w:gridSpan w:val="3"/>
            <w:vAlign w:val="top"/>
          </w:tcPr>
          <w:p w14:paraId="74857974">
            <w:pPr>
              <w:rPr>
                <w:rFonts w:ascii="Arial"/>
                <w:color w:val="auto"/>
                <w:sz w:val="21"/>
                <w:highlight w:val="none"/>
              </w:rPr>
            </w:pPr>
          </w:p>
        </w:tc>
        <w:tc>
          <w:tcPr>
            <w:tcW w:w="562" w:type="dxa"/>
            <w:vAlign w:val="top"/>
          </w:tcPr>
          <w:p w14:paraId="0845482A">
            <w:pPr>
              <w:rPr>
                <w:rFonts w:ascii="Arial"/>
                <w:color w:val="auto"/>
                <w:sz w:val="21"/>
                <w:highlight w:val="none"/>
              </w:rPr>
            </w:pPr>
          </w:p>
        </w:tc>
        <w:tc>
          <w:tcPr>
            <w:tcW w:w="556" w:type="dxa"/>
            <w:vAlign w:val="top"/>
          </w:tcPr>
          <w:p w14:paraId="1900B2A2">
            <w:pPr>
              <w:rPr>
                <w:rFonts w:ascii="Arial"/>
                <w:color w:val="auto"/>
                <w:sz w:val="21"/>
                <w:highlight w:val="none"/>
              </w:rPr>
            </w:pPr>
          </w:p>
        </w:tc>
        <w:tc>
          <w:tcPr>
            <w:tcW w:w="562" w:type="dxa"/>
            <w:vAlign w:val="top"/>
          </w:tcPr>
          <w:p w14:paraId="600BB352">
            <w:pPr>
              <w:rPr>
                <w:rFonts w:ascii="Arial"/>
                <w:color w:val="auto"/>
                <w:sz w:val="21"/>
                <w:highlight w:val="none"/>
              </w:rPr>
            </w:pPr>
          </w:p>
        </w:tc>
        <w:tc>
          <w:tcPr>
            <w:tcW w:w="676" w:type="dxa"/>
            <w:vAlign w:val="top"/>
          </w:tcPr>
          <w:p w14:paraId="41032BF7">
            <w:pPr>
              <w:rPr>
                <w:rFonts w:ascii="Arial"/>
                <w:color w:val="auto"/>
                <w:sz w:val="21"/>
                <w:highlight w:val="none"/>
              </w:rPr>
            </w:pPr>
          </w:p>
        </w:tc>
        <w:tc>
          <w:tcPr>
            <w:tcW w:w="682" w:type="dxa"/>
            <w:vAlign w:val="top"/>
          </w:tcPr>
          <w:p w14:paraId="32ABE29B">
            <w:pPr>
              <w:rPr>
                <w:rFonts w:ascii="Arial"/>
                <w:color w:val="auto"/>
                <w:sz w:val="21"/>
                <w:highlight w:val="none"/>
              </w:rPr>
            </w:pPr>
          </w:p>
        </w:tc>
        <w:tc>
          <w:tcPr>
            <w:tcW w:w="681" w:type="dxa"/>
            <w:vAlign w:val="top"/>
          </w:tcPr>
          <w:p w14:paraId="5609B1BD">
            <w:pPr>
              <w:rPr>
                <w:rFonts w:ascii="Arial"/>
                <w:color w:val="auto"/>
                <w:sz w:val="21"/>
                <w:highlight w:val="none"/>
              </w:rPr>
            </w:pPr>
          </w:p>
        </w:tc>
        <w:tc>
          <w:tcPr>
            <w:tcW w:w="624" w:type="dxa"/>
            <w:vAlign w:val="top"/>
          </w:tcPr>
          <w:p w14:paraId="615DAFC6">
            <w:pPr>
              <w:rPr>
                <w:rFonts w:ascii="Arial"/>
                <w:color w:val="auto"/>
                <w:sz w:val="21"/>
                <w:highlight w:val="none"/>
              </w:rPr>
            </w:pPr>
          </w:p>
        </w:tc>
        <w:tc>
          <w:tcPr>
            <w:tcW w:w="628" w:type="dxa"/>
            <w:vAlign w:val="top"/>
          </w:tcPr>
          <w:p w14:paraId="392B148C">
            <w:pPr>
              <w:rPr>
                <w:rFonts w:ascii="Arial"/>
                <w:color w:val="auto"/>
                <w:sz w:val="21"/>
                <w:highlight w:val="none"/>
              </w:rPr>
            </w:pPr>
          </w:p>
        </w:tc>
        <w:tc>
          <w:tcPr>
            <w:tcW w:w="634" w:type="dxa"/>
            <w:vAlign w:val="top"/>
          </w:tcPr>
          <w:p w14:paraId="280221D3">
            <w:pPr>
              <w:rPr>
                <w:rFonts w:ascii="Arial"/>
                <w:color w:val="auto"/>
                <w:sz w:val="21"/>
                <w:highlight w:val="none"/>
              </w:rPr>
            </w:pPr>
          </w:p>
        </w:tc>
      </w:tr>
    </w:tbl>
    <w:p w14:paraId="1A209088">
      <w:pPr>
        <w:spacing w:before="149" w:line="221" w:lineRule="auto"/>
        <w:ind w:left="1049" w:right="620" w:hanging="4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注：此表由招标人填写“暂估单价”，并在备注栏说明</w:t>
      </w:r>
      <w:r>
        <w:rPr>
          <w:rFonts w:ascii="宋体" w:hAnsi="宋体" w:eastAsia="宋体" w:cs="宋体"/>
          <w:color w:val="auto"/>
          <w:spacing w:val="-3"/>
          <w:sz w:val="21"/>
          <w:szCs w:val="21"/>
          <w:highlight w:val="none"/>
        </w:rPr>
        <w:t>暂估价的材料、工程设备拟用在那些</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 xml:space="preserve">清单项目上，投标人应将上述材料、工程设备暂估单价计入工程量清单综合单价报价 </w:t>
      </w:r>
      <w:r>
        <w:rPr>
          <w:rFonts w:ascii="宋体" w:hAnsi="宋体" w:eastAsia="宋体" w:cs="宋体"/>
          <w:color w:val="auto"/>
          <w:spacing w:val="-10"/>
          <w:sz w:val="21"/>
          <w:szCs w:val="21"/>
          <w:highlight w:val="none"/>
        </w:rPr>
        <w:t>中。</w:t>
      </w:r>
    </w:p>
    <w:p w14:paraId="5F14FDFE">
      <w:pPr>
        <w:spacing w:line="221" w:lineRule="auto"/>
        <w:rPr>
          <w:rFonts w:ascii="宋体" w:hAnsi="宋体" w:eastAsia="宋体" w:cs="宋体"/>
          <w:color w:val="auto"/>
          <w:sz w:val="21"/>
          <w:szCs w:val="21"/>
          <w:highlight w:val="none"/>
        </w:rPr>
        <w:sectPr>
          <w:type w:val="continuous"/>
          <w:pgSz w:w="11905" w:h="16839"/>
          <w:pgMar w:top="400" w:right="1171" w:bottom="1004" w:left="1176" w:header="0" w:footer="828" w:gutter="0"/>
          <w:pgNumType w:fmt="decimal"/>
          <w:cols w:equalWidth="0" w:num="1">
            <w:col w:w="9556"/>
          </w:cols>
        </w:sectPr>
      </w:pPr>
    </w:p>
    <w:p w14:paraId="0A64B0F2">
      <w:pPr>
        <w:pStyle w:val="3"/>
        <w:spacing w:line="267" w:lineRule="auto"/>
        <w:rPr>
          <w:color w:val="auto"/>
          <w:highlight w:val="none"/>
        </w:rPr>
      </w:pPr>
    </w:p>
    <w:p w14:paraId="2BE76E00">
      <w:pPr>
        <w:pStyle w:val="3"/>
        <w:spacing w:line="267" w:lineRule="auto"/>
        <w:rPr>
          <w:color w:val="auto"/>
          <w:highlight w:val="none"/>
        </w:rPr>
      </w:pPr>
    </w:p>
    <w:p w14:paraId="17EDD323">
      <w:pPr>
        <w:pStyle w:val="3"/>
        <w:spacing w:line="268" w:lineRule="auto"/>
        <w:rPr>
          <w:color w:val="auto"/>
          <w:highlight w:val="none"/>
        </w:rPr>
      </w:pPr>
    </w:p>
    <w:p w14:paraId="360039EA">
      <w:pPr>
        <w:pStyle w:val="3"/>
        <w:spacing w:line="268" w:lineRule="auto"/>
        <w:rPr>
          <w:color w:val="auto"/>
          <w:highlight w:val="none"/>
        </w:rPr>
      </w:pPr>
    </w:p>
    <w:p w14:paraId="57D5A575">
      <w:pPr>
        <w:spacing w:before="78" w:line="219" w:lineRule="auto"/>
        <w:ind w:left="613"/>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4.12-3 </w:t>
      </w:r>
      <w:r>
        <w:rPr>
          <w:rFonts w:ascii="黑体" w:hAnsi="黑体" w:eastAsia="黑体" w:cs="黑体"/>
          <w:color w:val="auto"/>
          <w:spacing w:val="-1"/>
          <w:sz w:val="24"/>
          <w:szCs w:val="24"/>
          <w:highlight w:val="none"/>
        </w:rPr>
        <w:t>专业工程暂估价及结算价表</w:t>
      </w:r>
    </w:p>
    <w:p w14:paraId="38253AB9">
      <w:pPr>
        <w:pStyle w:val="3"/>
        <w:spacing w:line="278" w:lineRule="auto"/>
        <w:rPr>
          <w:color w:val="auto"/>
          <w:highlight w:val="none"/>
        </w:rPr>
      </w:pPr>
    </w:p>
    <w:p w14:paraId="10DF2D72">
      <w:pPr>
        <w:pStyle w:val="3"/>
        <w:spacing w:line="278" w:lineRule="auto"/>
        <w:rPr>
          <w:color w:val="auto"/>
          <w:highlight w:val="none"/>
        </w:rPr>
      </w:pPr>
    </w:p>
    <w:p w14:paraId="6B3ABE45">
      <w:pPr>
        <w:spacing w:before="87" w:line="225" w:lineRule="auto"/>
        <w:ind w:left="3103"/>
        <w:rPr>
          <w:rFonts w:ascii="黑体" w:hAnsi="黑体" w:eastAsia="黑体" w:cs="黑体"/>
          <w:color w:val="auto"/>
          <w:sz w:val="27"/>
          <w:szCs w:val="27"/>
          <w:highlight w:val="none"/>
        </w:rPr>
      </w:pPr>
      <w:bookmarkStart w:id="1310" w:name="bookmark256"/>
      <w:bookmarkEnd w:id="1310"/>
      <w:r>
        <w:rPr>
          <w:rFonts w:ascii="黑体" w:hAnsi="黑体" w:eastAsia="黑体" w:cs="黑体"/>
          <w:color w:val="auto"/>
          <w:spacing w:val="8"/>
          <w:sz w:val="27"/>
          <w:szCs w:val="27"/>
          <w:highlight w:val="none"/>
        </w:rPr>
        <w:t>专业工程暂估价及结算价表</w:t>
      </w:r>
    </w:p>
    <w:p w14:paraId="167CCEA6">
      <w:pPr>
        <w:spacing w:line="162" w:lineRule="exact"/>
        <w:rPr>
          <w:color w:val="auto"/>
          <w:highlight w:val="none"/>
        </w:rPr>
      </w:pPr>
    </w:p>
    <w:p w14:paraId="72FF1C2C">
      <w:pPr>
        <w:spacing w:line="162" w:lineRule="exact"/>
        <w:rPr>
          <w:color w:val="auto"/>
          <w:highlight w:val="none"/>
        </w:rPr>
        <w:sectPr>
          <w:footerReference r:id="rId194" w:type="default"/>
          <w:pgSz w:w="11905" w:h="16839"/>
          <w:pgMar w:top="400" w:right="1176" w:bottom="1004" w:left="1186" w:header="0" w:footer="829" w:gutter="0"/>
          <w:pgNumType w:fmt="decimal"/>
          <w:cols w:equalWidth="0" w:num="1">
            <w:col w:w="9542"/>
          </w:cols>
        </w:sectPr>
      </w:pPr>
    </w:p>
    <w:p w14:paraId="47CA9A5C">
      <w:pPr>
        <w:spacing w:before="41" w:line="186" w:lineRule="auto"/>
        <w:ind w:left="120"/>
        <w:rPr>
          <w:rFonts w:ascii="宋体" w:hAnsi="宋体" w:eastAsia="宋体" w:cs="宋体"/>
          <w:color w:val="auto"/>
          <w:sz w:val="20"/>
          <w:szCs w:val="20"/>
          <w:highlight w:val="none"/>
        </w:rPr>
      </w:pPr>
      <w:r>
        <w:rPr>
          <w:rFonts w:ascii="宋体" w:hAnsi="宋体" w:eastAsia="宋体" w:cs="宋体"/>
          <w:color w:val="auto"/>
          <w:spacing w:val="-1"/>
          <w:sz w:val="20"/>
          <w:szCs w:val="20"/>
          <w:highlight w:val="none"/>
        </w:rPr>
        <w:t>工程名称：</w:t>
      </w:r>
    </w:p>
    <w:p w14:paraId="7336E402">
      <w:pPr>
        <w:pStyle w:val="3"/>
        <w:spacing w:line="14" w:lineRule="auto"/>
        <w:rPr>
          <w:color w:val="auto"/>
          <w:sz w:val="2"/>
          <w:highlight w:val="none"/>
        </w:rPr>
      </w:pPr>
      <w:r>
        <w:rPr>
          <w:color w:val="auto"/>
          <w:sz w:val="2"/>
          <w:szCs w:val="2"/>
          <w:highlight w:val="none"/>
        </w:rPr>
        <w:br w:type="column"/>
      </w:r>
    </w:p>
    <w:p w14:paraId="7697D356">
      <w:pPr>
        <w:spacing w:before="39" w:line="186" w:lineRule="auto"/>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标段名称：</w:t>
      </w:r>
      <w:r>
        <w:rPr>
          <w:rFonts w:ascii="宋体" w:hAnsi="宋体" w:eastAsia="宋体" w:cs="宋体"/>
          <w:color w:val="auto"/>
          <w:spacing w:val="2"/>
          <w:sz w:val="20"/>
          <w:szCs w:val="20"/>
          <w:highlight w:val="none"/>
        </w:rPr>
        <w:t xml:space="preserve">                       </w:t>
      </w:r>
      <w:r>
        <w:rPr>
          <w:rFonts w:ascii="宋体" w:hAnsi="宋体" w:eastAsia="宋体" w:cs="宋体"/>
          <w:color w:val="auto"/>
          <w:spacing w:val="-2"/>
          <w:sz w:val="20"/>
          <w:szCs w:val="20"/>
          <w:highlight w:val="none"/>
        </w:rPr>
        <w:t>第</w:t>
      </w:r>
    </w:p>
    <w:p w14:paraId="108945E7">
      <w:pPr>
        <w:pStyle w:val="3"/>
        <w:spacing w:line="14" w:lineRule="auto"/>
        <w:rPr>
          <w:color w:val="auto"/>
          <w:sz w:val="2"/>
          <w:highlight w:val="none"/>
        </w:rPr>
      </w:pPr>
      <w:r>
        <w:rPr>
          <w:color w:val="auto"/>
          <w:sz w:val="2"/>
          <w:szCs w:val="2"/>
          <w:highlight w:val="none"/>
        </w:rPr>
        <w:br w:type="column"/>
      </w:r>
    </w:p>
    <w:p w14:paraId="3663F6A5">
      <w:pPr>
        <w:spacing w:before="39" w:line="186" w:lineRule="auto"/>
        <w:rPr>
          <w:rFonts w:ascii="宋体" w:hAnsi="宋体" w:eastAsia="宋体" w:cs="宋体"/>
          <w:color w:val="auto"/>
          <w:sz w:val="20"/>
          <w:szCs w:val="20"/>
          <w:highlight w:val="none"/>
        </w:rPr>
      </w:pPr>
      <w:r>
        <w:rPr>
          <w:rFonts w:ascii="宋体" w:hAnsi="宋体" w:eastAsia="宋体" w:cs="宋体"/>
          <w:color w:val="auto"/>
          <w:spacing w:val="-4"/>
          <w:sz w:val="20"/>
          <w:szCs w:val="20"/>
          <w:highlight w:val="none"/>
        </w:rPr>
        <w:t>页 共</w:t>
      </w:r>
      <w:r>
        <w:rPr>
          <w:rFonts w:ascii="宋体" w:hAnsi="宋体" w:eastAsia="宋体" w:cs="宋体"/>
          <w:color w:val="auto"/>
          <w:spacing w:val="14"/>
          <w:sz w:val="20"/>
          <w:szCs w:val="20"/>
          <w:highlight w:val="none"/>
        </w:rPr>
        <w:t xml:space="preserve"> </w:t>
      </w:r>
      <w:r>
        <w:rPr>
          <w:rFonts w:ascii="宋体" w:hAnsi="宋体" w:eastAsia="宋体" w:cs="宋体"/>
          <w:color w:val="auto"/>
          <w:spacing w:val="-4"/>
          <w:sz w:val="20"/>
          <w:szCs w:val="20"/>
          <w:highlight w:val="none"/>
        </w:rPr>
        <w:t>页</w:t>
      </w:r>
    </w:p>
    <w:p w14:paraId="36B15953">
      <w:pPr>
        <w:spacing w:line="186" w:lineRule="auto"/>
        <w:rPr>
          <w:rFonts w:ascii="宋体" w:hAnsi="宋体" w:eastAsia="宋体" w:cs="宋体"/>
          <w:color w:val="auto"/>
          <w:sz w:val="20"/>
          <w:szCs w:val="20"/>
          <w:highlight w:val="none"/>
        </w:rPr>
        <w:sectPr>
          <w:type w:val="continuous"/>
          <w:pgSz w:w="11905" w:h="16839"/>
          <w:pgMar w:top="400" w:right="1176" w:bottom="1004" w:left="1186" w:header="0" w:footer="829" w:gutter="0"/>
          <w:pgNumType w:fmt="decimal"/>
          <w:cols w:equalWidth="0" w:num="3">
            <w:col w:w="4788" w:space="100"/>
            <w:col w:w="3655" w:space="100"/>
            <w:col w:w="900"/>
          </w:cols>
        </w:sectPr>
      </w:pPr>
    </w:p>
    <w:p w14:paraId="3C213222">
      <w:pPr>
        <w:spacing w:line="96" w:lineRule="exact"/>
        <w:rPr>
          <w:color w:val="auto"/>
          <w:highlight w:val="none"/>
        </w:rPr>
      </w:pPr>
    </w:p>
    <w:tbl>
      <w:tblPr>
        <w:tblStyle w:val="10"/>
        <w:tblW w:w="95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1934"/>
        <w:gridCol w:w="2376"/>
        <w:gridCol w:w="1219"/>
        <w:gridCol w:w="1262"/>
        <w:gridCol w:w="1099"/>
        <w:gridCol w:w="1186"/>
      </w:tblGrid>
      <w:tr w14:paraId="7CE3D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460" w:type="dxa"/>
            <w:textDirection w:val="tbRlV"/>
            <w:vAlign w:val="top"/>
          </w:tcPr>
          <w:p w14:paraId="74EC0E74">
            <w:pPr>
              <w:pStyle w:val="11"/>
              <w:spacing w:before="129" w:line="211" w:lineRule="auto"/>
              <w:ind w:left="105"/>
              <w:rPr>
                <w:color w:val="auto"/>
                <w:sz w:val="20"/>
                <w:szCs w:val="20"/>
                <w:highlight w:val="none"/>
              </w:rPr>
            </w:pPr>
            <w:r>
              <w:rPr>
                <w:color w:val="auto"/>
                <w:spacing w:val="30"/>
                <w:sz w:val="20"/>
                <w:szCs w:val="20"/>
                <w:highlight w:val="none"/>
              </w:rPr>
              <w:t>序号</w:t>
            </w:r>
          </w:p>
        </w:tc>
        <w:tc>
          <w:tcPr>
            <w:tcW w:w="1934" w:type="dxa"/>
            <w:vAlign w:val="top"/>
          </w:tcPr>
          <w:p w14:paraId="4679C69F">
            <w:pPr>
              <w:pStyle w:val="11"/>
              <w:spacing w:before="234" w:line="222" w:lineRule="auto"/>
              <w:ind w:left="573"/>
              <w:rPr>
                <w:color w:val="auto"/>
                <w:sz w:val="20"/>
                <w:szCs w:val="20"/>
                <w:highlight w:val="none"/>
              </w:rPr>
            </w:pPr>
            <w:r>
              <w:rPr>
                <w:color w:val="auto"/>
                <w:spacing w:val="-1"/>
                <w:sz w:val="20"/>
                <w:szCs w:val="20"/>
                <w:highlight w:val="none"/>
              </w:rPr>
              <w:t>工程名称</w:t>
            </w:r>
          </w:p>
        </w:tc>
        <w:tc>
          <w:tcPr>
            <w:tcW w:w="2376" w:type="dxa"/>
            <w:vAlign w:val="top"/>
          </w:tcPr>
          <w:p w14:paraId="2CA7B210">
            <w:pPr>
              <w:pStyle w:val="11"/>
              <w:spacing w:before="234" w:line="221" w:lineRule="auto"/>
              <w:ind w:left="795"/>
              <w:rPr>
                <w:color w:val="auto"/>
                <w:sz w:val="20"/>
                <w:szCs w:val="20"/>
                <w:highlight w:val="none"/>
              </w:rPr>
            </w:pPr>
            <w:r>
              <w:rPr>
                <w:color w:val="auto"/>
                <w:spacing w:val="-1"/>
                <w:sz w:val="20"/>
                <w:szCs w:val="20"/>
                <w:highlight w:val="none"/>
              </w:rPr>
              <w:t>工程内容</w:t>
            </w:r>
          </w:p>
        </w:tc>
        <w:tc>
          <w:tcPr>
            <w:tcW w:w="1219" w:type="dxa"/>
            <w:vAlign w:val="top"/>
          </w:tcPr>
          <w:p w14:paraId="202348BD">
            <w:pPr>
              <w:pStyle w:val="11"/>
              <w:spacing w:before="106" w:line="230" w:lineRule="auto"/>
              <w:ind w:left="318" w:right="203" w:hanging="100"/>
              <w:rPr>
                <w:color w:val="auto"/>
                <w:sz w:val="20"/>
                <w:szCs w:val="20"/>
                <w:highlight w:val="none"/>
              </w:rPr>
            </w:pPr>
            <w:r>
              <w:rPr>
                <w:color w:val="auto"/>
                <w:spacing w:val="-2"/>
                <w:sz w:val="20"/>
                <w:szCs w:val="20"/>
                <w:highlight w:val="none"/>
              </w:rPr>
              <w:t>暂估金额</w:t>
            </w:r>
            <w:r>
              <w:rPr>
                <w:color w:val="auto"/>
                <w:sz w:val="20"/>
                <w:szCs w:val="20"/>
                <w:highlight w:val="none"/>
              </w:rPr>
              <w:t xml:space="preserve"> </w:t>
            </w:r>
            <w:r>
              <w:rPr>
                <w:color w:val="auto"/>
                <w:spacing w:val="-4"/>
                <w:sz w:val="20"/>
                <w:szCs w:val="20"/>
                <w:highlight w:val="none"/>
              </w:rPr>
              <w:t>（元）</w:t>
            </w:r>
          </w:p>
        </w:tc>
        <w:tc>
          <w:tcPr>
            <w:tcW w:w="1262" w:type="dxa"/>
            <w:vAlign w:val="top"/>
          </w:tcPr>
          <w:p w14:paraId="1F3C39DA">
            <w:pPr>
              <w:pStyle w:val="11"/>
              <w:spacing w:before="106" w:line="230" w:lineRule="auto"/>
              <w:ind w:left="343" w:right="221" w:hanging="102"/>
              <w:rPr>
                <w:color w:val="auto"/>
                <w:sz w:val="20"/>
                <w:szCs w:val="20"/>
                <w:highlight w:val="none"/>
              </w:rPr>
            </w:pPr>
            <w:r>
              <w:rPr>
                <w:color w:val="auto"/>
                <w:spacing w:val="-2"/>
                <w:sz w:val="20"/>
                <w:szCs w:val="20"/>
                <w:highlight w:val="none"/>
              </w:rPr>
              <w:t>结算金额</w:t>
            </w:r>
            <w:r>
              <w:rPr>
                <w:color w:val="auto"/>
                <w:sz w:val="20"/>
                <w:szCs w:val="20"/>
                <w:highlight w:val="none"/>
              </w:rPr>
              <w:t xml:space="preserve"> </w:t>
            </w:r>
            <w:r>
              <w:rPr>
                <w:color w:val="auto"/>
                <w:spacing w:val="-4"/>
                <w:sz w:val="20"/>
                <w:szCs w:val="20"/>
                <w:highlight w:val="none"/>
              </w:rPr>
              <w:t>（元）</w:t>
            </w:r>
          </w:p>
        </w:tc>
        <w:tc>
          <w:tcPr>
            <w:tcW w:w="1099" w:type="dxa"/>
            <w:vAlign w:val="top"/>
          </w:tcPr>
          <w:p w14:paraId="15F44F0D">
            <w:pPr>
              <w:pStyle w:val="11"/>
              <w:spacing w:before="105" w:line="239" w:lineRule="auto"/>
              <w:ind w:left="254"/>
              <w:rPr>
                <w:color w:val="auto"/>
                <w:sz w:val="20"/>
                <w:szCs w:val="20"/>
                <w:highlight w:val="none"/>
              </w:rPr>
            </w:pPr>
            <w:r>
              <w:rPr>
                <w:color w:val="auto"/>
                <w:spacing w:val="-2"/>
                <w:sz w:val="20"/>
                <w:szCs w:val="20"/>
                <w:highlight w:val="none"/>
              </w:rPr>
              <w:t>差额±</w:t>
            </w:r>
          </w:p>
          <w:p w14:paraId="2A05999D">
            <w:pPr>
              <w:pStyle w:val="11"/>
              <w:spacing w:line="221" w:lineRule="auto"/>
              <w:ind w:left="258"/>
              <w:rPr>
                <w:color w:val="auto"/>
                <w:sz w:val="20"/>
                <w:szCs w:val="20"/>
                <w:highlight w:val="none"/>
              </w:rPr>
            </w:pPr>
            <w:r>
              <w:rPr>
                <w:color w:val="auto"/>
                <w:spacing w:val="-4"/>
                <w:sz w:val="20"/>
                <w:szCs w:val="20"/>
                <w:highlight w:val="none"/>
              </w:rPr>
              <w:t>（元）</w:t>
            </w:r>
          </w:p>
        </w:tc>
        <w:tc>
          <w:tcPr>
            <w:tcW w:w="1186" w:type="dxa"/>
            <w:vAlign w:val="top"/>
          </w:tcPr>
          <w:p w14:paraId="414D9D37">
            <w:pPr>
              <w:pStyle w:val="11"/>
              <w:spacing w:before="235" w:line="222" w:lineRule="auto"/>
              <w:ind w:left="399"/>
              <w:rPr>
                <w:color w:val="auto"/>
                <w:sz w:val="20"/>
                <w:szCs w:val="20"/>
                <w:highlight w:val="none"/>
              </w:rPr>
            </w:pPr>
            <w:r>
              <w:rPr>
                <w:color w:val="auto"/>
                <w:spacing w:val="-2"/>
                <w:sz w:val="20"/>
                <w:szCs w:val="20"/>
                <w:highlight w:val="none"/>
              </w:rPr>
              <w:t>备注</w:t>
            </w:r>
          </w:p>
        </w:tc>
      </w:tr>
      <w:tr w14:paraId="6EEAC5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460" w:type="dxa"/>
            <w:vAlign w:val="top"/>
          </w:tcPr>
          <w:p w14:paraId="1090C127">
            <w:pPr>
              <w:rPr>
                <w:rFonts w:ascii="Arial"/>
                <w:color w:val="auto"/>
                <w:sz w:val="21"/>
                <w:highlight w:val="none"/>
              </w:rPr>
            </w:pPr>
          </w:p>
        </w:tc>
        <w:tc>
          <w:tcPr>
            <w:tcW w:w="1934" w:type="dxa"/>
            <w:vAlign w:val="top"/>
          </w:tcPr>
          <w:p w14:paraId="57F3645B">
            <w:pPr>
              <w:rPr>
                <w:rFonts w:ascii="Arial"/>
                <w:color w:val="auto"/>
                <w:sz w:val="21"/>
                <w:highlight w:val="none"/>
              </w:rPr>
            </w:pPr>
          </w:p>
        </w:tc>
        <w:tc>
          <w:tcPr>
            <w:tcW w:w="2376" w:type="dxa"/>
            <w:vAlign w:val="top"/>
          </w:tcPr>
          <w:p w14:paraId="26B76368">
            <w:pPr>
              <w:rPr>
                <w:rFonts w:ascii="Arial"/>
                <w:color w:val="auto"/>
                <w:sz w:val="21"/>
                <w:highlight w:val="none"/>
              </w:rPr>
            </w:pPr>
          </w:p>
        </w:tc>
        <w:tc>
          <w:tcPr>
            <w:tcW w:w="1219" w:type="dxa"/>
            <w:vAlign w:val="top"/>
          </w:tcPr>
          <w:p w14:paraId="6451EF9F">
            <w:pPr>
              <w:rPr>
                <w:rFonts w:ascii="Arial"/>
                <w:color w:val="auto"/>
                <w:sz w:val="21"/>
                <w:highlight w:val="none"/>
              </w:rPr>
            </w:pPr>
          </w:p>
        </w:tc>
        <w:tc>
          <w:tcPr>
            <w:tcW w:w="1262" w:type="dxa"/>
            <w:vAlign w:val="top"/>
          </w:tcPr>
          <w:p w14:paraId="60D75AEC">
            <w:pPr>
              <w:rPr>
                <w:rFonts w:ascii="Arial"/>
                <w:color w:val="auto"/>
                <w:sz w:val="21"/>
                <w:highlight w:val="none"/>
              </w:rPr>
            </w:pPr>
          </w:p>
        </w:tc>
        <w:tc>
          <w:tcPr>
            <w:tcW w:w="1099" w:type="dxa"/>
            <w:vAlign w:val="top"/>
          </w:tcPr>
          <w:p w14:paraId="495F61BB">
            <w:pPr>
              <w:rPr>
                <w:rFonts w:ascii="Arial"/>
                <w:color w:val="auto"/>
                <w:sz w:val="21"/>
                <w:highlight w:val="none"/>
              </w:rPr>
            </w:pPr>
          </w:p>
        </w:tc>
        <w:tc>
          <w:tcPr>
            <w:tcW w:w="1186" w:type="dxa"/>
            <w:vAlign w:val="top"/>
          </w:tcPr>
          <w:p w14:paraId="388E4360">
            <w:pPr>
              <w:rPr>
                <w:rFonts w:ascii="Arial"/>
                <w:color w:val="auto"/>
                <w:sz w:val="21"/>
                <w:highlight w:val="none"/>
              </w:rPr>
            </w:pPr>
          </w:p>
        </w:tc>
      </w:tr>
      <w:tr w14:paraId="076BE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327A86FA">
            <w:pPr>
              <w:rPr>
                <w:rFonts w:ascii="Arial"/>
                <w:color w:val="auto"/>
                <w:sz w:val="21"/>
                <w:highlight w:val="none"/>
              </w:rPr>
            </w:pPr>
          </w:p>
        </w:tc>
        <w:tc>
          <w:tcPr>
            <w:tcW w:w="1934" w:type="dxa"/>
            <w:vAlign w:val="top"/>
          </w:tcPr>
          <w:p w14:paraId="7B1AD527">
            <w:pPr>
              <w:rPr>
                <w:rFonts w:ascii="Arial"/>
                <w:color w:val="auto"/>
                <w:sz w:val="21"/>
                <w:highlight w:val="none"/>
              </w:rPr>
            </w:pPr>
          </w:p>
        </w:tc>
        <w:tc>
          <w:tcPr>
            <w:tcW w:w="2376" w:type="dxa"/>
            <w:vAlign w:val="top"/>
          </w:tcPr>
          <w:p w14:paraId="6064B55E">
            <w:pPr>
              <w:rPr>
                <w:rFonts w:ascii="Arial"/>
                <w:color w:val="auto"/>
                <w:sz w:val="21"/>
                <w:highlight w:val="none"/>
              </w:rPr>
            </w:pPr>
          </w:p>
        </w:tc>
        <w:tc>
          <w:tcPr>
            <w:tcW w:w="1219" w:type="dxa"/>
            <w:vAlign w:val="top"/>
          </w:tcPr>
          <w:p w14:paraId="590CCE02">
            <w:pPr>
              <w:rPr>
                <w:rFonts w:ascii="Arial"/>
                <w:color w:val="auto"/>
                <w:sz w:val="21"/>
                <w:highlight w:val="none"/>
              </w:rPr>
            </w:pPr>
          </w:p>
        </w:tc>
        <w:tc>
          <w:tcPr>
            <w:tcW w:w="1262" w:type="dxa"/>
            <w:vAlign w:val="top"/>
          </w:tcPr>
          <w:p w14:paraId="026FD8B6">
            <w:pPr>
              <w:rPr>
                <w:rFonts w:ascii="Arial"/>
                <w:color w:val="auto"/>
                <w:sz w:val="21"/>
                <w:highlight w:val="none"/>
              </w:rPr>
            </w:pPr>
          </w:p>
        </w:tc>
        <w:tc>
          <w:tcPr>
            <w:tcW w:w="1099" w:type="dxa"/>
            <w:vAlign w:val="top"/>
          </w:tcPr>
          <w:p w14:paraId="343F05FD">
            <w:pPr>
              <w:rPr>
                <w:rFonts w:ascii="Arial"/>
                <w:color w:val="auto"/>
                <w:sz w:val="21"/>
                <w:highlight w:val="none"/>
              </w:rPr>
            </w:pPr>
          </w:p>
        </w:tc>
        <w:tc>
          <w:tcPr>
            <w:tcW w:w="1186" w:type="dxa"/>
            <w:vAlign w:val="top"/>
          </w:tcPr>
          <w:p w14:paraId="2E8CB3B6">
            <w:pPr>
              <w:rPr>
                <w:rFonts w:ascii="Arial"/>
                <w:color w:val="auto"/>
                <w:sz w:val="21"/>
                <w:highlight w:val="none"/>
              </w:rPr>
            </w:pPr>
          </w:p>
        </w:tc>
      </w:tr>
      <w:tr w14:paraId="66972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3A354C8F">
            <w:pPr>
              <w:rPr>
                <w:rFonts w:ascii="Arial"/>
                <w:color w:val="auto"/>
                <w:sz w:val="21"/>
                <w:highlight w:val="none"/>
              </w:rPr>
            </w:pPr>
          </w:p>
        </w:tc>
        <w:tc>
          <w:tcPr>
            <w:tcW w:w="1934" w:type="dxa"/>
            <w:vAlign w:val="top"/>
          </w:tcPr>
          <w:p w14:paraId="7A6D252A">
            <w:pPr>
              <w:rPr>
                <w:rFonts w:ascii="Arial"/>
                <w:color w:val="auto"/>
                <w:sz w:val="21"/>
                <w:highlight w:val="none"/>
              </w:rPr>
            </w:pPr>
          </w:p>
        </w:tc>
        <w:tc>
          <w:tcPr>
            <w:tcW w:w="2376" w:type="dxa"/>
            <w:vAlign w:val="top"/>
          </w:tcPr>
          <w:p w14:paraId="37A26CFA">
            <w:pPr>
              <w:rPr>
                <w:rFonts w:ascii="Arial"/>
                <w:color w:val="auto"/>
                <w:sz w:val="21"/>
                <w:highlight w:val="none"/>
              </w:rPr>
            </w:pPr>
          </w:p>
        </w:tc>
        <w:tc>
          <w:tcPr>
            <w:tcW w:w="1219" w:type="dxa"/>
            <w:vAlign w:val="top"/>
          </w:tcPr>
          <w:p w14:paraId="1F20DDC4">
            <w:pPr>
              <w:rPr>
                <w:rFonts w:ascii="Arial"/>
                <w:color w:val="auto"/>
                <w:sz w:val="21"/>
                <w:highlight w:val="none"/>
              </w:rPr>
            </w:pPr>
          </w:p>
        </w:tc>
        <w:tc>
          <w:tcPr>
            <w:tcW w:w="1262" w:type="dxa"/>
            <w:vAlign w:val="top"/>
          </w:tcPr>
          <w:p w14:paraId="3C3C861A">
            <w:pPr>
              <w:rPr>
                <w:rFonts w:ascii="Arial"/>
                <w:color w:val="auto"/>
                <w:sz w:val="21"/>
                <w:highlight w:val="none"/>
              </w:rPr>
            </w:pPr>
          </w:p>
        </w:tc>
        <w:tc>
          <w:tcPr>
            <w:tcW w:w="1099" w:type="dxa"/>
            <w:vAlign w:val="top"/>
          </w:tcPr>
          <w:p w14:paraId="488DD7D4">
            <w:pPr>
              <w:rPr>
                <w:rFonts w:ascii="Arial"/>
                <w:color w:val="auto"/>
                <w:sz w:val="21"/>
                <w:highlight w:val="none"/>
              </w:rPr>
            </w:pPr>
          </w:p>
        </w:tc>
        <w:tc>
          <w:tcPr>
            <w:tcW w:w="1186" w:type="dxa"/>
            <w:vAlign w:val="top"/>
          </w:tcPr>
          <w:p w14:paraId="1CF411B2">
            <w:pPr>
              <w:rPr>
                <w:rFonts w:ascii="Arial"/>
                <w:color w:val="auto"/>
                <w:sz w:val="21"/>
                <w:highlight w:val="none"/>
              </w:rPr>
            </w:pPr>
          </w:p>
        </w:tc>
      </w:tr>
      <w:tr w14:paraId="35307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0455739F">
            <w:pPr>
              <w:rPr>
                <w:rFonts w:ascii="Arial"/>
                <w:color w:val="auto"/>
                <w:sz w:val="21"/>
                <w:highlight w:val="none"/>
              </w:rPr>
            </w:pPr>
          </w:p>
        </w:tc>
        <w:tc>
          <w:tcPr>
            <w:tcW w:w="1934" w:type="dxa"/>
            <w:vAlign w:val="top"/>
          </w:tcPr>
          <w:p w14:paraId="5575EFDC">
            <w:pPr>
              <w:rPr>
                <w:rFonts w:ascii="Arial"/>
                <w:color w:val="auto"/>
                <w:sz w:val="21"/>
                <w:highlight w:val="none"/>
              </w:rPr>
            </w:pPr>
          </w:p>
        </w:tc>
        <w:tc>
          <w:tcPr>
            <w:tcW w:w="2376" w:type="dxa"/>
            <w:vAlign w:val="top"/>
          </w:tcPr>
          <w:p w14:paraId="24817864">
            <w:pPr>
              <w:rPr>
                <w:rFonts w:ascii="Arial"/>
                <w:color w:val="auto"/>
                <w:sz w:val="21"/>
                <w:highlight w:val="none"/>
              </w:rPr>
            </w:pPr>
          </w:p>
        </w:tc>
        <w:tc>
          <w:tcPr>
            <w:tcW w:w="1219" w:type="dxa"/>
            <w:vAlign w:val="top"/>
          </w:tcPr>
          <w:p w14:paraId="622A4F80">
            <w:pPr>
              <w:rPr>
                <w:rFonts w:ascii="Arial"/>
                <w:color w:val="auto"/>
                <w:sz w:val="21"/>
                <w:highlight w:val="none"/>
              </w:rPr>
            </w:pPr>
          </w:p>
        </w:tc>
        <w:tc>
          <w:tcPr>
            <w:tcW w:w="1262" w:type="dxa"/>
            <w:vAlign w:val="top"/>
          </w:tcPr>
          <w:p w14:paraId="64B3746D">
            <w:pPr>
              <w:rPr>
                <w:rFonts w:ascii="Arial"/>
                <w:color w:val="auto"/>
                <w:sz w:val="21"/>
                <w:highlight w:val="none"/>
              </w:rPr>
            </w:pPr>
          </w:p>
        </w:tc>
        <w:tc>
          <w:tcPr>
            <w:tcW w:w="1099" w:type="dxa"/>
            <w:vAlign w:val="top"/>
          </w:tcPr>
          <w:p w14:paraId="1FD4874F">
            <w:pPr>
              <w:rPr>
                <w:rFonts w:ascii="Arial"/>
                <w:color w:val="auto"/>
                <w:sz w:val="21"/>
                <w:highlight w:val="none"/>
              </w:rPr>
            </w:pPr>
          </w:p>
        </w:tc>
        <w:tc>
          <w:tcPr>
            <w:tcW w:w="1186" w:type="dxa"/>
            <w:vAlign w:val="top"/>
          </w:tcPr>
          <w:p w14:paraId="0E39F3FF">
            <w:pPr>
              <w:rPr>
                <w:rFonts w:ascii="Arial"/>
                <w:color w:val="auto"/>
                <w:sz w:val="21"/>
                <w:highlight w:val="none"/>
              </w:rPr>
            </w:pPr>
          </w:p>
        </w:tc>
      </w:tr>
      <w:tr w14:paraId="1AFFF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460" w:type="dxa"/>
            <w:vAlign w:val="top"/>
          </w:tcPr>
          <w:p w14:paraId="4477E57D">
            <w:pPr>
              <w:rPr>
                <w:rFonts w:ascii="Arial"/>
                <w:color w:val="auto"/>
                <w:sz w:val="21"/>
                <w:highlight w:val="none"/>
              </w:rPr>
            </w:pPr>
          </w:p>
        </w:tc>
        <w:tc>
          <w:tcPr>
            <w:tcW w:w="1934" w:type="dxa"/>
            <w:vAlign w:val="top"/>
          </w:tcPr>
          <w:p w14:paraId="7B6E6773">
            <w:pPr>
              <w:rPr>
                <w:rFonts w:ascii="Arial"/>
                <w:color w:val="auto"/>
                <w:sz w:val="21"/>
                <w:highlight w:val="none"/>
              </w:rPr>
            </w:pPr>
          </w:p>
        </w:tc>
        <w:tc>
          <w:tcPr>
            <w:tcW w:w="2376" w:type="dxa"/>
            <w:vAlign w:val="top"/>
          </w:tcPr>
          <w:p w14:paraId="4CF09EDE">
            <w:pPr>
              <w:rPr>
                <w:rFonts w:ascii="Arial"/>
                <w:color w:val="auto"/>
                <w:sz w:val="21"/>
                <w:highlight w:val="none"/>
              </w:rPr>
            </w:pPr>
          </w:p>
        </w:tc>
        <w:tc>
          <w:tcPr>
            <w:tcW w:w="1219" w:type="dxa"/>
            <w:vAlign w:val="top"/>
          </w:tcPr>
          <w:p w14:paraId="5B89174F">
            <w:pPr>
              <w:rPr>
                <w:rFonts w:ascii="Arial"/>
                <w:color w:val="auto"/>
                <w:sz w:val="21"/>
                <w:highlight w:val="none"/>
              </w:rPr>
            </w:pPr>
          </w:p>
        </w:tc>
        <w:tc>
          <w:tcPr>
            <w:tcW w:w="1262" w:type="dxa"/>
            <w:vAlign w:val="top"/>
          </w:tcPr>
          <w:p w14:paraId="509D1BA6">
            <w:pPr>
              <w:rPr>
                <w:rFonts w:ascii="Arial"/>
                <w:color w:val="auto"/>
                <w:sz w:val="21"/>
                <w:highlight w:val="none"/>
              </w:rPr>
            </w:pPr>
          </w:p>
        </w:tc>
        <w:tc>
          <w:tcPr>
            <w:tcW w:w="1099" w:type="dxa"/>
            <w:vAlign w:val="top"/>
          </w:tcPr>
          <w:p w14:paraId="377445F9">
            <w:pPr>
              <w:rPr>
                <w:rFonts w:ascii="Arial"/>
                <w:color w:val="auto"/>
                <w:sz w:val="21"/>
                <w:highlight w:val="none"/>
              </w:rPr>
            </w:pPr>
          </w:p>
        </w:tc>
        <w:tc>
          <w:tcPr>
            <w:tcW w:w="1186" w:type="dxa"/>
            <w:vAlign w:val="top"/>
          </w:tcPr>
          <w:p w14:paraId="06AEB4AB">
            <w:pPr>
              <w:rPr>
                <w:rFonts w:ascii="Arial"/>
                <w:color w:val="auto"/>
                <w:sz w:val="21"/>
                <w:highlight w:val="none"/>
              </w:rPr>
            </w:pPr>
          </w:p>
        </w:tc>
      </w:tr>
      <w:tr w14:paraId="17B01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70088988">
            <w:pPr>
              <w:rPr>
                <w:rFonts w:ascii="Arial"/>
                <w:color w:val="auto"/>
                <w:sz w:val="21"/>
                <w:highlight w:val="none"/>
              </w:rPr>
            </w:pPr>
          </w:p>
        </w:tc>
        <w:tc>
          <w:tcPr>
            <w:tcW w:w="1934" w:type="dxa"/>
            <w:vAlign w:val="top"/>
          </w:tcPr>
          <w:p w14:paraId="4A6BB9E3">
            <w:pPr>
              <w:rPr>
                <w:rFonts w:ascii="Arial"/>
                <w:color w:val="auto"/>
                <w:sz w:val="21"/>
                <w:highlight w:val="none"/>
              </w:rPr>
            </w:pPr>
          </w:p>
        </w:tc>
        <w:tc>
          <w:tcPr>
            <w:tcW w:w="2376" w:type="dxa"/>
            <w:vAlign w:val="top"/>
          </w:tcPr>
          <w:p w14:paraId="7DCCC3BB">
            <w:pPr>
              <w:rPr>
                <w:rFonts w:ascii="Arial"/>
                <w:color w:val="auto"/>
                <w:sz w:val="21"/>
                <w:highlight w:val="none"/>
              </w:rPr>
            </w:pPr>
          </w:p>
        </w:tc>
        <w:tc>
          <w:tcPr>
            <w:tcW w:w="1219" w:type="dxa"/>
            <w:vAlign w:val="top"/>
          </w:tcPr>
          <w:p w14:paraId="15D66189">
            <w:pPr>
              <w:rPr>
                <w:rFonts w:ascii="Arial"/>
                <w:color w:val="auto"/>
                <w:sz w:val="21"/>
                <w:highlight w:val="none"/>
              </w:rPr>
            </w:pPr>
          </w:p>
        </w:tc>
        <w:tc>
          <w:tcPr>
            <w:tcW w:w="1262" w:type="dxa"/>
            <w:vAlign w:val="top"/>
          </w:tcPr>
          <w:p w14:paraId="04FB0EE3">
            <w:pPr>
              <w:rPr>
                <w:rFonts w:ascii="Arial"/>
                <w:color w:val="auto"/>
                <w:sz w:val="21"/>
                <w:highlight w:val="none"/>
              </w:rPr>
            </w:pPr>
          </w:p>
        </w:tc>
        <w:tc>
          <w:tcPr>
            <w:tcW w:w="1099" w:type="dxa"/>
            <w:vAlign w:val="top"/>
          </w:tcPr>
          <w:p w14:paraId="5B62F88C">
            <w:pPr>
              <w:rPr>
                <w:rFonts w:ascii="Arial"/>
                <w:color w:val="auto"/>
                <w:sz w:val="21"/>
                <w:highlight w:val="none"/>
              </w:rPr>
            </w:pPr>
          </w:p>
        </w:tc>
        <w:tc>
          <w:tcPr>
            <w:tcW w:w="1186" w:type="dxa"/>
            <w:vAlign w:val="top"/>
          </w:tcPr>
          <w:p w14:paraId="1A45E83F">
            <w:pPr>
              <w:rPr>
                <w:rFonts w:ascii="Arial"/>
                <w:color w:val="auto"/>
                <w:sz w:val="21"/>
                <w:highlight w:val="none"/>
              </w:rPr>
            </w:pPr>
          </w:p>
        </w:tc>
      </w:tr>
      <w:tr w14:paraId="7D10B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6FC1DE55">
            <w:pPr>
              <w:rPr>
                <w:rFonts w:ascii="Arial"/>
                <w:color w:val="auto"/>
                <w:sz w:val="21"/>
                <w:highlight w:val="none"/>
              </w:rPr>
            </w:pPr>
          </w:p>
        </w:tc>
        <w:tc>
          <w:tcPr>
            <w:tcW w:w="1934" w:type="dxa"/>
            <w:vAlign w:val="top"/>
          </w:tcPr>
          <w:p w14:paraId="7041C672">
            <w:pPr>
              <w:rPr>
                <w:rFonts w:ascii="Arial"/>
                <w:color w:val="auto"/>
                <w:sz w:val="21"/>
                <w:highlight w:val="none"/>
              </w:rPr>
            </w:pPr>
          </w:p>
        </w:tc>
        <w:tc>
          <w:tcPr>
            <w:tcW w:w="2376" w:type="dxa"/>
            <w:vAlign w:val="top"/>
          </w:tcPr>
          <w:p w14:paraId="5EDA298B">
            <w:pPr>
              <w:rPr>
                <w:rFonts w:ascii="Arial"/>
                <w:color w:val="auto"/>
                <w:sz w:val="21"/>
                <w:highlight w:val="none"/>
              </w:rPr>
            </w:pPr>
          </w:p>
        </w:tc>
        <w:tc>
          <w:tcPr>
            <w:tcW w:w="1219" w:type="dxa"/>
            <w:vAlign w:val="top"/>
          </w:tcPr>
          <w:p w14:paraId="5912169F">
            <w:pPr>
              <w:rPr>
                <w:rFonts w:ascii="Arial"/>
                <w:color w:val="auto"/>
                <w:sz w:val="21"/>
                <w:highlight w:val="none"/>
              </w:rPr>
            </w:pPr>
          </w:p>
        </w:tc>
        <w:tc>
          <w:tcPr>
            <w:tcW w:w="1262" w:type="dxa"/>
            <w:vAlign w:val="top"/>
          </w:tcPr>
          <w:p w14:paraId="2DF8ADFF">
            <w:pPr>
              <w:rPr>
                <w:rFonts w:ascii="Arial"/>
                <w:color w:val="auto"/>
                <w:sz w:val="21"/>
                <w:highlight w:val="none"/>
              </w:rPr>
            </w:pPr>
          </w:p>
        </w:tc>
        <w:tc>
          <w:tcPr>
            <w:tcW w:w="1099" w:type="dxa"/>
            <w:vAlign w:val="top"/>
          </w:tcPr>
          <w:p w14:paraId="58FCA5D0">
            <w:pPr>
              <w:rPr>
                <w:rFonts w:ascii="Arial"/>
                <w:color w:val="auto"/>
                <w:sz w:val="21"/>
                <w:highlight w:val="none"/>
              </w:rPr>
            </w:pPr>
          </w:p>
        </w:tc>
        <w:tc>
          <w:tcPr>
            <w:tcW w:w="1186" w:type="dxa"/>
            <w:vAlign w:val="top"/>
          </w:tcPr>
          <w:p w14:paraId="237CFAF0">
            <w:pPr>
              <w:rPr>
                <w:rFonts w:ascii="Arial"/>
                <w:color w:val="auto"/>
                <w:sz w:val="21"/>
                <w:highlight w:val="none"/>
              </w:rPr>
            </w:pPr>
          </w:p>
        </w:tc>
      </w:tr>
      <w:tr w14:paraId="13FB6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003D29E6">
            <w:pPr>
              <w:rPr>
                <w:rFonts w:ascii="Arial"/>
                <w:color w:val="auto"/>
                <w:sz w:val="21"/>
                <w:highlight w:val="none"/>
              </w:rPr>
            </w:pPr>
          </w:p>
        </w:tc>
        <w:tc>
          <w:tcPr>
            <w:tcW w:w="1934" w:type="dxa"/>
            <w:vAlign w:val="top"/>
          </w:tcPr>
          <w:p w14:paraId="7626DD37">
            <w:pPr>
              <w:rPr>
                <w:rFonts w:ascii="Arial"/>
                <w:color w:val="auto"/>
                <w:sz w:val="21"/>
                <w:highlight w:val="none"/>
              </w:rPr>
            </w:pPr>
          </w:p>
        </w:tc>
        <w:tc>
          <w:tcPr>
            <w:tcW w:w="2376" w:type="dxa"/>
            <w:vAlign w:val="top"/>
          </w:tcPr>
          <w:p w14:paraId="6449110B">
            <w:pPr>
              <w:rPr>
                <w:rFonts w:ascii="Arial"/>
                <w:color w:val="auto"/>
                <w:sz w:val="21"/>
                <w:highlight w:val="none"/>
              </w:rPr>
            </w:pPr>
          </w:p>
        </w:tc>
        <w:tc>
          <w:tcPr>
            <w:tcW w:w="1219" w:type="dxa"/>
            <w:vAlign w:val="top"/>
          </w:tcPr>
          <w:p w14:paraId="2A3B6CD7">
            <w:pPr>
              <w:rPr>
                <w:rFonts w:ascii="Arial"/>
                <w:color w:val="auto"/>
                <w:sz w:val="21"/>
                <w:highlight w:val="none"/>
              </w:rPr>
            </w:pPr>
          </w:p>
        </w:tc>
        <w:tc>
          <w:tcPr>
            <w:tcW w:w="1262" w:type="dxa"/>
            <w:vAlign w:val="top"/>
          </w:tcPr>
          <w:p w14:paraId="36F6801A">
            <w:pPr>
              <w:rPr>
                <w:rFonts w:ascii="Arial"/>
                <w:color w:val="auto"/>
                <w:sz w:val="21"/>
                <w:highlight w:val="none"/>
              </w:rPr>
            </w:pPr>
          </w:p>
        </w:tc>
        <w:tc>
          <w:tcPr>
            <w:tcW w:w="1099" w:type="dxa"/>
            <w:vAlign w:val="top"/>
          </w:tcPr>
          <w:p w14:paraId="0938A999">
            <w:pPr>
              <w:rPr>
                <w:rFonts w:ascii="Arial"/>
                <w:color w:val="auto"/>
                <w:sz w:val="21"/>
                <w:highlight w:val="none"/>
              </w:rPr>
            </w:pPr>
          </w:p>
        </w:tc>
        <w:tc>
          <w:tcPr>
            <w:tcW w:w="1186" w:type="dxa"/>
            <w:vAlign w:val="top"/>
          </w:tcPr>
          <w:p w14:paraId="25FC508F">
            <w:pPr>
              <w:rPr>
                <w:rFonts w:ascii="Arial"/>
                <w:color w:val="auto"/>
                <w:sz w:val="21"/>
                <w:highlight w:val="none"/>
              </w:rPr>
            </w:pPr>
          </w:p>
        </w:tc>
      </w:tr>
      <w:tr w14:paraId="578CF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297B31D8">
            <w:pPr>
              <w:rPr>
                <w:rFonts w:ascii="Arial"/>
                <w:color w:val="auto"/>
                <w:sz w:val="21"/>
                <w:highlight w:val="none"/>
              </w:rPr>
            </w:pPr>
          </w:p>
        </w:tc>
        <w:tc>
          <w:tcPr>
            <w:tcW w:w="1934" w:type="dxa"/>
            <w:vAlign w:val="top"/>
          </w:tcPr>
          <w:p w14:paraId="62E69A18">
            <w:pPr>
              <w:rPr>
                <w:rFonts w:ascii="Arial"/>
                <w:color w:val="auto"/>
                <w:sz w:val="21"/>
                <w:highlight w:val="none"/>
              </w:rPr>
            </w:pPr>
          </w:p>
        </w:tc>
        <w:tc>
          <w:tcPr>
            <w:tcW w:w="2376" w:type="dxa"/>
            <w:vAlign w:val="top"/>
          </w:tcPr>
          <w:p w14:paraId="62F9F6C0">
            <w:pPr>
              <w:rPr>
                <w:rFonts w:ascii="Arial"/>
                <w:color w:val="auto"/>
                <w:sz w:val="21"/>
                <w:highlight w:val="none"/>
              </w:rPr>
            </w:pPr>
          </w:p>
        </w:tc>
        <w:tc>
          <w:tcPr>
            <w:tcW w:w="1219" w:type="dxa"/>
            <w:vAlign w:val="top"/>
          </w:tcPr>
          <w:p w14:paraId="302F5EC7">
            <w:pPr>
              <w:rPr>
                <w:rFonts w:ascii="Arial"/>
                <w:color w:val="auto"/>
                <w:sz w:val="21"/>
                <w:highlight w:val="none"/>
              </w:rPr>
            </w:pPr>
          </w:p>
        </w:tc>
        <w:tc>
          <w:tcPr>
            <w:tcW w:w="1262" w:type="dxa"/>
            <w:vAlign w:val="top"/>
          </w:tcPr>
          <w:p w14:paraId="17066B0F">
            <w:pPr>
              <w:rPr>
                <w:rFonts w:ascii="Arial"/>
                <w:color w:val="auto"/>
                <w:sz w:val="21"/>
                <w:highlight w:val="none"/>
              </w:rPr>
            </w:pPr>
          </w:p>
        </w:tc>
        <w:tc>
          <w:tcPr>
            <w:tcW w:w="1099" w:type="dxa"/>
            <w:vAlign w:val="top"/>
          </w:tcPr>
          <w:p w14:paraId="1A1E0E6E">
            <w:pPr>
              <w:rPr>
                <w:rFonts w:ascii="Arial"/>
                <w:color w:val="auto"/>
                <w:sz w:val="21"/>
                <w:highlight w:val="none"/>
              </w:rPr>
            </w:pPr>
          </w:p>
        </w:tc>
        <w:tc>
          <w:tcPr>
            <w:tcW w:w="1186" w:type="dxa"/>
            <w:vAlign w:val="top"/>
          </w:tcPr>
          <w:p w14:paraId="540DFB0B">
            <w:pPr>
              <w:rPr>
                <w:rFonts w:ascii="Arial"/>
                <w:color w:val="auto"/>
                <w:sz w:val="21"/>
                <w:highlight w:val="none"/>
              </w:rPr>
            </w:pPr>
          </w:p>
        </w:tc>
      </w:tr>
      <w:tr w14:paraId="758D0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260D4AB7">
            <w:pPr>
              <w:rPr>
                <w:rFonts w:ascii="Arial"/>
                <w:color w:val="auto"/>
                <w:sz w:val="21"/>
                <w:highlight w:val="none"/>
              </w:rPr>
            </w:pPr>
          </w:p>
        </w:tc>
        <w:tc>
          <w:tcPr>
            <w:tcW w:w="1934" w:type="dxa"/>
            <w:vAlign w:val="top"/>
          </w:tcPr>
          <w:p w14:paraId="7FEED472">
            <w:pPr>
              <w:rPr>
                <w:rFonts w:ascii="Arial"/>
                <w:color w:val="auto"/>
                <w:sz w:val="21"/>
                <w:highlight w:val="none"/>
              </w:rPr>
            </w:pPr>
          </w:p>
        </w:tc>
        <w:tc>
          <w:tcPr>
            <w:tcW w:w="2376" w:type="dxa"/>
            <w:vAlign w:val="top"/>
          </w:tcPr>
          <w:p w14:paraId="5B80CD18">
            <w:pPr>
              <w:rPr>
                <w:rFonts w:ascii="Arial"/>
                <w:color w:val="auto"/>
                <w:sz w:val="21"/>
                <w:highlight w:val="none"/>
              </w:rPr>
            </w:pPr>
          </w:p>
        </w:tc>
        <w:tc>
          <w:tcPr>
            <w:tcW w:w="1219" w:type="dxa"/>
            <w:vAlign w:val="top"/>
          </w:tcPr>
          <w:p w14:paraId="681E2273">
            <w:pPr>
              <w:rPr>
                <w:rFonts w:ascii="Arial"/>
                <w:color w:val="auto"/>
                <w:sz w:val="21"/>
                <w:highlight w:val="none"/>
              </w:rPr>
            </w:pPr>
          </w:p>
        </w:tc>
        <w:tc>
          <w:tcPr>
            <w:tcW w:w="1262" w:type="dxa"/>
            <w:vAlign w:val="top"/>
          </w:tcPr>
          <w:p w14:paraId="728BE65C">
            <w:pPr>
              <w:rPr>
                <w:rFonts w:ascii="Arial"/>
                <w:color w:val="auto"/>
                <w:sz w:val="21"/>
                <w:highlight w:val="none"/>
              </w:rPr>
            </w:pPr>
          </w:p>
        </w:tc>
        <w:tc>
          <w:tcPr>
            <w:tcW w:w="1099" w:type="dxa"/>
            <w:vAlign w:val="top"/>
          </w:tcPr>
          <w:p w14:paraId="58E29AAB">
            <w:pPr>
              <w:rPr>
                <w:rFonts w:ascii="Arial"/>
                <w:color w:val="auto"/>
                <w:sz w:val="21"/>
                <w:highlight w:val="none"/>
              </w:rPr>
            </w:pPr>
          </w:p>
        </w:tc>
        <w:tc>
          <w:tcPr>
            <w:tcW w:w="1186" w:type="dxa"/>
            <w:vAlign w:val="top"/>
          </w:tcPr>
          <w:p w14:paraId="6FBB809F">
            <w:pPr>
              <w:rPr>
                <w:rFonts w:ascii="Arial"/>
                <w:color w:val="auto"/>
                <w:sz w:val="21"/>
                <w:highlight w:val="none"/>
              </w:rPr>
            </w:pPr>
          </w:p>
        </w:tc>
      </w:tr>
      <w:tr w14:paraId="24557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0EE2A36A">
            <w:pPr>
              <w:rPr>
                <w:rFonts w:ascii="Arial"/>
                <w:color w:val="auto"/>
                <w:sz w:val="21"/>
                <w:highlight w:val="none"/>
              </w:rPr>
            </w:pPr>
          </w:p>
        </w:tc>
        <w:tc>
          <w:tcPr>
            <w:tcW w:w="1934" w:type="dxa"/>
            <w:vAlign w:val="top"/>
          </w:tcPr>
          <w:p w14:paraId="3FFF154B">
            <w:pPr>
              <w:rPr>
                <w:rFonts w:ascii="Arial"/>
                <w:color w:val="auto"/>
                <w:sz w:val="21"/>
                <w:highlight w:val="none"/>
              </w:rPr>
            </w:pPr>
          </w:p>
        </w:tc>
        <w:tc>
          <w:tcPr>
            <w:tcW w:w="2376" w:type="dxa"/>
            <w:vAlign w:val="top"/>
          </w:tcPr>
          <w:p w14:paraId="2ECCCCE4">
            <w:pPr>
              <w:rPr>
                <w:rFonts w:ascii="Arial"/>
                <w:color w:val="auto"/>
                <w:sz w:val="21"/>
                <w:highlight w:val="none"/>
              </w:rPr>
            </w:pPr>
          </w:p>
        </w:tc>
        <w:tc>
          <w:tcPr>
            <w:tcW w:w="1219" w:type="dxa"/>
            <w:vAlign w:val="top"/>
          </w:tcPr>
          <w:p w14:paraId="089489CE">
            <w:pPr>
              <w:rPr>
                <w:rFonts w:ascii="Arial"/>
                <w:color w:val="auto"/>
                <w:sz w:val="21"/>
                <w:highlight w:val="none"/>
              </w:rPr>
            </w:pPr>
          </w:p>
        </w:tc>
        <w:tc>
          <w:tcPr>
            <w:tcW w:w="1262" w:type="dxa"/>
            <w:vAlign w:val="top"/>
          </w:tcPr>
          <w:p w14:paraId="372D463B">
            <w:pPr>
              <w:rPr>
                <w:rFonts w:ascii="Arial"/>
                <w:color w:val="auto"/>
                <w:sz w:val="21"/>
                <w:highlight w:val="none"/>
              </w:rPr>
            </w:pPr>
          </w:p>
        </w:tc>
        <w:tc>
          <w:tcPr>
            <w:tcW w:w="1099" w:type="dxa"/>
            <w:vAlign w:val="top"/>
          </w:tcPr>
          <w:p w14:paraId="72F1F066">
            <w:pPr>
              <w:rPr>
                <w:rFonts w:ascii="Arial"/>
                <w:color w:val="auto"/>
                <w:sz w:val="21"/>
                <w:highlight w:val="none"/>
              </w:rPr>
            </w:pPr>
          </w:p>
        </w:tc>
        <w:tc>
          <w:tcPr>
            <w:tcW w:w="1186" w:type="dxa"/>
            <w:vAlign w:val="top"/>
          </w:tcPr>
          <w:p w14:paraId="594E2C03">
            <w:pPr>
              <w:rPr>
                <w:rFonts w:ascii="Arial"/>
                <w:color w:val="auto"/>
                <w:sz w:val="21"/>
                <w:highlight w:val="none"/>
              </w:rPr>
            </w:pPr>
          </w:p>
        </w:tc>
      </w:tr>
      <w:tr w14:paraId="46322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7A899535">
            <w:pPr>
              <w:rPr>
                <w:rFonts w:ascii="Arial"/>
                <w:color w:val="auto"/>
                <w:sz w:val="21"/>
                <w:highlight w:val="none"/>
              </w:rPr>
            </w:pPr>
          </w:p>
        </w:tc>
        <w:tc>
          <w:tcPr>
            <w:tcW w:w="1934" w:type="dxa"/>
            <w:vAlign w:val="top"/>
          </w:tcPr>
          <w:p w14:paraId="503D3753">
            <w:pPr>
              <w:rPr>
                <w:rFonts w:ascii="Arial"/>
                <w:color w:val="auto"/>
                <w:sz w:val="21"/>
                <w:highlight w:val="none"/>
              </w:rPr>
            </w:pPr>
          </w:p>
        </w:tc>
        <w:tc>
          <w:tcPr>
            <w:tcW w:w="2376" w:type="dxa"/>
            <w:vAlign w:val="top"/>
          </w:tcPr>
          <w:p w14:paraId="494A8475">
            <w:pPr>
              <w:rPr>
                <w:rFonts w:ascii="Arial"/>
                <w:color w:val="auto"/>
                <w:sz w:val="21"/>
                <w:highlight w:val="none"/>
              </w:rPr>
            </w:pPr>
          </w:p>
        </w:tc>
        <w:tc>
          <w:tcPr>
            <w:tcW w:w="1219" w:type="dxa"/>
            <w:vAlign w:val="top"/>
          </w:tcPr>
          <w:p w14:paraId="69427F30">
            <w:pPr>
              <w:rPr>
                <w:rFonts w:ascii="Arial"/>
                <w:color w:val="auto"/>
                <w:sz w:val="21"/>
                <w:highlight w:val="none"/>
              </w:rPr>
            </w:pPr>
          </w:p>
        </w:tc>
        <w:tc>
          <w:tcPr>
            <w:tcW w:w="1262" w:type="dxa"/>
            <w:vAlign w:val="top"/>
          </w:tcPr>
          <w:p w14:paraId="23A7D214">
            <w:pPr>
              <w:rPr>
                <w:rFonts w:ascii="Arial"/>
                <w:color w:val="auto"/>
                <w:sz w:val="21"/>
                <w:highlight w:val="none"/>
              </w:rPr>
            </w:pPr>
          </w:p>
        </w:tc>
        <w:tc>
          <w:tcPr>
            <w:tcW w:w="1099" w:type="dxa"/>
            <w:vAlign w:val="top"/>
          </w:tcPr>
          <w:p w14:paraId="4E8B1CFD">
            <w:pPr>
              <w:rPr>
                <w:rFonts w:ascii="Arial"/>
                <w:color w:val="auto"/>
                <w:sz w:val="21"/>
                <w:highlight w:val="none"/>
              </w:rPr>
            </w:pPr>
          </w:p>
        </w:tc>
        <w:tc>
          <w:tcPr>
            <w:tcW w:w="1186" w:type="dxa"/>
            <w:vAlign w:val="top"/>
          </w:tcPr>
          <w:p w14:paraId="0A852EFF">
            <w:pPr>
              <w:rPr>
                <w:rFonts w:ascii="Arial"/>
                <w:color w:val="auto"/>
                <w:sz w:val="21"/>
                <w:highlight w:val="none"/>
              </w:rPr>
            </w:pPr>
          </w:p>
        </w:tc>
      </w:tr>
      <w:tr w14:paraId="37AEF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460" w:type="dxa"/>
            <w:vAlign w:val="top"/>
          </w:tcPr>
          <w:p w14:paraId="0A429179">
            <w:pPr>
              <w:rPr>
                <w:rFonts w:ascii="Arial"/>
                <w:color w:val="auto"/>
                <w:sz w:val="21"/>
                <w:highlight w:val="none"/>
              </w:rPr>
            </w:pPr>
          </w:p>
        </w:tc>
        <w:tc>
          <w:tcPr>
            <w:tcW w:w="1934" w:type="dxa"/>
            <w:vAlign w:val="top"/>
          </w:tcPr>
          <w:p w14:paraId="54B301A9">
            <w:pPr>
              <w:rPr>
                <w:rFonts w:ascii="Arial"/>
                <w:color w:val="auto"/>
                <w:sz w:val="21"/>
                <w:highlight w:val="none"/>
              </w:rPr>
            </w:pPr>
          </w:p>
        </w:tc>
        <w:tc>
          <w:tcPr>
            <w:tcW w:w="2376" w:type="dxa"/>
            <w:vAlign w:val="top"/>
          </w:tcPr>
          <w:p w14:paraId="69567C34">
            <w:pPr>
              <w:rPr>
                <w:rFonts w:ascii="Arial"/>
                <w:color w:val="auto"/>
                <w:sz w:val="21"/>
                <w:highlight w:val="none"/>
              </w:rPr>
            </w:pPr>
          </w:p>
        </w:tc>
        <w:tc>
          <w:tcPr>
            <w:tcW w:w="1219" w:type="dxa"/>
            <w:vAlign w:val="top"/>
          </w:tcPr>
          <w:p w14:paraId="74B992BE">
            <w:pPr>
              <w:rPr>
                <w:rFonts w:ascii="Arial"/>
                <w:color w:val="auto"/>
                <w:sz w:val="21"/>
                <w:highlight w:val="none"/>
              </w:rPr>
            </w:pPr>
          </w:p>
        </w:tc>
        <w:tc>
          <w:tcPr>
            <w:tcW w:w="1262" w:type="dxa"/>
            <w:vAlign w:val="top"/>
          </w:tcPr>
          <w:p w14:paraId="58CD5B6D">
            <w:pPr>
              <w:rPr>
                <w:rFonts w:ascii="Arial"/>
                <w:color w:val="auto"/>
                <w:sz w:val="21"/>
                <w:highlight w:val="none"/>
              </w:rPr>
            </w:pPr>
          </w:p>
        </w:tc>
        <w:tc>
          <w:tcPr>
            <w:tcW w:w="1099" w:type="dxa"/>
            <w:vAlign w:val="top"/>
          </w:tcPr>
          <w:p w14:paraId="09678F1B">
            <w:pPr>
              <w:rPr>
                <w:rFonts w:ascii="Arial"/>
                <w:color w:val="auto"/>
                <w:sz w:val="21"/>
                <w:highlight w:val="none"/>
              </w:rPr>
            </w:pPr>
          </w:p>
        </w:tc>
        <w:tc>
          <w:tcPr>
            <w:tcW w:w="1186" w:type="dxa"/>
            <w:vAlign w:val="top"/>
          </w:tcPr>
          <w:p w14:paraId="2A615A95">
            <w:pPr>
              <w:rPr>
                <w:rFonts w:ascii="Arial"/>
                <w:color w:val="auto"/>
                <w:sz w:val="21"/>
                <w:highlight w:val="none"/>
              </w:rPr>
            </w:pPr>
          </w:p>
        </w:tc>
      </w:tr>
      <w:tr w14:paraId="329D2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33916F4E">
            <w:pPr>
              <w:rPr>
                <w:rFonts w:ascii="Arial"/>
                <w:color w:val="auto"/>
                <w:sz w:val="21"/>
                <w:highlight w:val="none"/>
              </w:rPr>
            </w:pPr>
          </w:p>
        </w:tc>
        <w:tc>
          <w:tcPr>
            <w:tcW w:w="1934" w:type="dxa"/>
            <w:vAlign w:val="top"/>
          </w:tcPr>
          <w:p w14:paraId="21BD4F24">
            <w:pPr>
              <w:rPr>
                <w:rFonts w:ascii="Arial"/>
                <w:color w:val="auto"/>
                <w:sz w:val="21"/>
                <w:highlight w:val="none"/>
              </w:rPr>
            </w:pPr>
          </w:p>
        </w:tc>
        <w:tc>
          <w:tcPr>
            <w:tcW w:w="2376" w:type="dxa"/>
            <w:vAlign w:val="top"/>
          </w:tcPr>
          <w:p w14:paraId="58620BDF">
            <w:pPr>
              <w:rPr>
                <w:rFonts w:ascii="Arial"/>
                <w:color w:val="auto"/>
                <w:sz w:val="21"/>
                <w:highlight w:val="none"/>
              </w:rPr>
            </w:pPr>
          </w:p>
        </w:tc>
        <w:tc>
          <w:tcPr>
            <w:tcW w:w="1219" w:type="dxa"/>
            <w:vAlign w:val="top"/>
          </w:tcPr>
          <w:p w14:paraId="771F8E01">
            <w:pPr>
              <w:rPr>
                <w:rFonts w:ascii="Arial"/>
                <w:color w:val="auto"/>
                <w:sz w:val="21"/>
                <w:highlight w:val="none"/>
              </w:rPr>
            </w:pPr>
          </w:p>
        </w:tc>
        <w:tc>
          <w:tcPr>
            <w:tcW w:w="1262" w:type="dxa"/>
            <w:vAlign w:val="top"/>
          </w:tcPr>
          <w:p w14:paraId="0308E263">
            <w:pPr>
              <w:rPr>
                <w:rFonts w:ascii="Arial"/>
                <w:color w:val="auto"/>
                <w:sz w:val="21"/>
                <w:highlight w:val="none"/>
              </w:rPr>
            </w:pPr>
          </w:p>
        </w:tc>
        <w:tc>
          <w:tcPr>
            <w:tcW w:w="1099" w:type="dxa"/>
            <w:vAlign w:val="top"/>
          </w:tcPr>
          <w:p w14:paraId="6EEBF47D">
            <w:pPr>
              <w:rPr>
                <w:rFonts w:ascii="Arial"/>
                <w:color w:val="auto"/>
                <w:sz w:val="21"/>
                <w:highlight w:val="none"/>
              </w:rPr>
            </w:pPr>
          </w:p>
        </w:tc>
        <w:tc>
          <w:tcPr>
            <w:tcW w:w="1186" w:type="dxa"/>
            <w:vAlign w:val="top"/>
          </w:tcPr>
          <w:p w14:paraId="112C15C7">
            <w:pPr>
              <w:rPr>
                <w:rFonts w:ascii="Arial"/>
                <w:color w:val="auto"/>
                <w:sz w:val="21"/>
                <w:highlight w:val="none"/>
              </w:rPr>
            </w:pPr>
          </w:p>
        </w:tc>
      </w:tr>
      <w:tr w14:paraId="155E4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6EF91342">
            <w:pPr>
              <w:rPr>
                <w:rFonts w:ascii="Arial"/>
                <w:color w:val="auto"/>
                <w:sz w:val="21"/>
                <w:highlight w:val="none"/>
              </w:rPr>
            </w:pPr>
          </w:p>
        </w:tc>
        <w:tc>
          <w:tcPr>
            <w:tcW w:w="1934" w:type="dxa"/>
            <w:vAlign w:val="top"/>
          </w:tcPr>
          <w:p w14:paraId="20A4CE9B">
            <w:pPr>
              <w:rPr>
                <w:rFonts w:ascii="Arial"/>
                <w:color w:val="auto"/>
                <w:sz w:val="21"/>
                <w:highlight w:val="none"/>
              </w:rPr>
            </w:pPr>
          </w:p>
        </w:tc>
        <w:tc>
          <w:tcPr>
            <w:tcW w:w="2376" w:type="dxa"/>
            <w:vAlign w:val="top"/>
          </w:tcPr>
          <w:p w14:paraId="74DCE66E">
            <w:pPr>
              <w:rPr>
                <w:rFonts w:ascii="Arial"/>
                <w:color w:val="auto"/>
                <w:sz w:val="21"/>
                <w:highlight w:val="none"/>
              </w:rPr>
            </w:pPr>
          </w:p>
        </w:tc>
        <w:tc>
          <w:tcPr>
            <w:tcW w:w="1219" w:type="dxa"/>
            <w:vAlign w:val="top"/>
          </w:tcPr>
          <w:p w14:paraId="68B8DBB3">
            <w:pPr>
              <w:rPr>
                <w:rFonts w:ascii="Arial"/>
                <w:color w:val="auto"/>
                <w:sz w:val="21"/>
                <w:highlight w:val="none"/>
              </w:rPr>
            </w:pPr>
          </w:p>
        </w:tc>
        <w:tc>
          <w:tcPr>
            <w:tcW w:w="1262" w:type="dxa"/>
            <w:vAlign w:val="top"/>
          </w:tcPr>
          <w:p w14:paraId="7E5583B9">
            <w:pPr>
              <w:rPr>
                <w:rFonts w:ascii="Arial"/>
                <w:color w:val="auto"/>
                <w:sz w:val="21"/>
                <w:highlight w:val="none"/>
              </w:rPr>
            </w:pPr>
          </w:p>
        </w:tc>
        <w:tc>
          <w:tcPr>
            <w:tcW w:w="1099" w:type="dxa"/>
            <w:vAlign w:val="top"/>
          </w:tcPr>
          <w:p w14:paraId="590C192D">
            <w:pPr>
              <w:rPr>
                <w:rFonts w:ascii="Arial"/>
                <w:color w:val="auto"/>
                <w:sz w:val="21"/>
                <w:highlight w:val="none"/>
              </w:rPr>
            </w:pPr>
          </w:p>
        </w:tc>
        <w:tc>
          <w:tcPr>
            <w:tcW w:w="1186" w:type="dxa"/>
            <w:vAlign w:val="top"/>
          </w:tcPr>
          <w:p w14:paraId="1024D43E">
            <w:pPr>
              <w:rPr>
                <w:rFonts w:ascii="Arial"/>
                <w:color w:val="auto"/>
                <w:sz w:val="21"/>
                <w:highlight w:val="none"/>
              </w:rPr>
            </w:pPr>
          </w:p>
        </w:tc>
      </w:tr>
      <w:tr w14:paraId="3196A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4B32219A">
            <w:pPr>
              <w:rPr>
                <w:rFonts w:ascii="Arial"/>
                <w:color w:val="auto"/>
                <w:sz w:val="21"/>
                <w:highlight w:val="none"/>
              </w:rPr>
            </w:pPr>
          </w:p>
        </w:tc>
        <w:tc>
          <w:tcPr>
            <w:tcW w:w="1934" w:type="dxa"/>
            <w:vAlign w:val="top"/>
          </w:tcPr>
          <w:p w14:paraId="25579BC8">
            <w:pPr>
              <w:rPr>
                <w:rFonts w:ascii="Arial"/>
                <w:color w:val="auto"/>
                <w:sz w:val="21"/>
                <w:highlight w:val="none"/>
              </w:rPr>
            </w:pPr>
          </w:p>
        </w:tc>
        <w:tc>
          <w:tcPr>
            <w:tcW w:w="2376" w:type="dxa"/>
            <w:vAlign w:val="top"/>
          </w:tcPr>
          <w:p w14:paraId="1C70AE58">
            <w:pPr>
              <w:rPr>
                <w:rFonts w:ascii="Arial"/>
                <w:color w:val="auto"/>
                <w:sz w:val="21"/>
                <w:highlight w:val="none"/>
              </w:rPr>
            </w:pPr>
          </w:p>
        </w:tc>
        <w:tc>
          <w:tcPr>
            <w:tcW w:w="1219" w:type="dxa"/>
            <w:vAlign w:val="top"/>
          </w:tcPr>
          <w:p w14:paraId="2FD6F1E9">
            <w:pPr>
              <w:rPr>
                <w:rFonts w:ascii="Arial"/>
                <w:color w:val="auto"/>
                <w:sz w:val="21"/>
                <w:highlight w:val="none"/>
              </w:rPr>
            </w:pPr>
          </w:p>
        </w:tc>
        <w:tc>
          <w:tcPr>
            <w:tcW w:w="1262" w:type="dxa"/>
            <w:vAlign w:val="top"/>
          </w:tcPr>
          <w:p w14:paraId="5955D3A5">
            <w:pPr>
              <w:rPr>
                <w:rFonts w:ascii="Arial"/>
                <w:color w:val="auto"/>
                <w:sz w:val="21"/>
                <w:highlight w:val="none"/>
              </w:rPr>
            </w:pPr>
          </w:p>
        </w:tc>
        <w:tc>
          <w:tcPr>
            <w:tcW w:w="1099" w:type="dxa"/>
            <w:vAlign w:val="top"/>
          </w:tcPr>
          <w:p w14:paraId="70F31488">
            <w:pPr>
              <w:rPr>
                <w:rFonts w:ascii="Arial"/>
                <w:color w:val="auto"/>
                <w:sz w:val="21"/>
                <w:highlight w:val="none"/>
              </w:rPr>
            </w:pPr>
          </w:p>
        </w:tc>
        <w:tc>
          <w:tcPr>
            <w:tcW w:w="1186" w:type="dxa"/>
            <w:vAlign w:val="top"/>
          </w:tcPr>
          <w:p w14:paraId="57B9ED39">
            <w:pPr>
              <w:rPr>
                <w:rFonts w:ascii="Arial"/>
                <w:color w:val="auto"/>
                <w:sz w:val="21"/>
                <w:highlight w:val="none"/>
              </w:rPr>
            </w:pPr>
          </w:p>
        </w:tc>
      </w:tr>
      <w:tr w14:paraId="585AF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460" w:type="dxa"/>
            <w:vAlign w:val="top"/>
          </w:tcPr>
          <w:p w14:paraId="3BFFAF38">
            <w:pPr>
              <w:rPr>
                <w:rFonts w:ascii="Arial"/>
                <w:color w:val="auto"/>
                <w:sz w:val="21"/>
                <w:highlight w:val="none"/>
              </w:rPr>
            </w:pPr>
          </w:p>
        </w:tc>
        <w:tc>
          <w:tcPr>
            <w:tcW w:w="1934" w:type="dxa"/>
            <w:vAlign w:val="top"/>
          </w:tcPr>
          <w:p w14:paraId="4BC1B2FC">
            <w:pPr>
              <w:rPr>
                <w:rFonts w:ascii="Arial"/>
                <w:color w:val="auto"/>
                <w:sz w:val="21"/>
                <w:highlight w:val="none"/>
              </w:rPr>
            </w:pPr>
          </w:p>
        </w:tc>
        <w:tc>
          <w:tcPr>
            <w:tcW w:w="2376" w:type="dxa"/>
            <w:vAlign w:val="top"/>
          </w:tcPr>
          <w:p w14:paraId="28107A5A">
            <w:pPr>
              <w:rPr>
                <w:rFonts w:ascii="Arial"/>
                <w:color w:val="auto"/>
                <w:sz w:val="21"/>
                <w:highlight w:val="none"/>
              </w:rPr>
            </w:pPr>
          </w:p>
        </w:tc>
        <w:tc>
          <w:tcPr>
            <w:tcW w:w="1219" w:type="dxa"/>
            <w:vAlign w:val="top"/>
          </w:tcPr>
          <w:p w14:paraId="002922FE">
            <w:pPr>
              <w:rPr>
                <w:rFonts w:ascii="Arial"/>
                <w:color w:val="auto"/>
                <w:sz w:val="21"/>
                <w:highlight w:val="none"/>
              </w:rPr>
            </w:pPr>
          </w:p>
        </w:tc>
        <w:tc>
          <w:tcPr>
            <w:tcW w:w="1262" w:type="dxa"/>
            <w:vAlign w:val="top"/>
          </w:tcPr>
          <w:p w14:paraId="3423BF60">
            <w:pPr>
              <w:rPr>
                <w:rFonts w:ascii="Arial"/>
                <w:color w:val="auto"/>
                <w:sz w:val="21"/>
                <w:highlight w:val="none"/>
              </w:rPr>
            </w:pPr>
          </w:p>
        </w:tc>
        <w:tc>
          <w:tcPr>
            <w:tcW w:w="1099" w:type="dxa"/>
            <w:vAlign w:val="top"/>
          </w:tcPr>
          <w:p w14:paraId="61F80C57">
            <w:pPr>
              <w:rPr>
                <w:rFonts w:ascii="Arial"/>
                <w:color w:val="auto"/>
                <w:sz w:val="21"/>
                <w:highlight w:val="none"/>
              </w:rPr>
            </w:pPr>
          </w:p>
        </w:tc>
        <w:tc>
          <w:tcPr>
            <w:tcW w:w="1186" w:type="dxa"/>
            <w:vAlign w:val="top"/>
          </w:tcPr>
          <w:p w14:paraId="7E2C4999">
            <w:pPr>
              <w:rPr>
                <w:rFonts w:ascii="Arial"/>
                <w:color w:val="auto"/>
                <w:sz w:val="21"/>
                <w:highlight w:val="none"/>
              </w:rPr>
            </w:pPr>
          </w:p>
        </w:tc>
      </w:tr>
      <w:tr w14:paraId="3C29A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575DE7B2">
            <w:pPr>
              <w:rPr>
                <w:rFonts w:ascii="Arial"/>
                <w:color w:val="auto"/>
                <w:sz w:val="21"/>
                <w:highlight w:val="none"/>
              </w:rPr>
            </w:pPr>
          </w:p>
        </w:tc>
        <w:tc>
          <w:tcPr>
            <w:tcW w:w="1934" w:type="dxa"/>
            <w:vAlign w:val="top"/>
          </w:tcPr>
          <w:p w14:paraId="249FD9C1">
            <w:pPr>
              <w:rPr>
                <w:rFonts w:ascii="Arial"/>
                <w:color w:val="auto"/>
                <w:sz w:val="21"/>
                <w:highlight w:val="none"/>
              </w:rPr>
            </w:pPr>
          </w:p>
        </w:tc>
        <w:tc>
          <w:tcPr>
            <w:tcW w:w="2376" w:type="dxa"/>
            <w:vAlign w:val="top"/>
          </w:tcPr>
          <w:p w14:paraId="7DFFD9F8">
            <w:pPr>
              <w:rPr>
                <w:rFonts w:ascii="Arial"/>
                <w:color w:val="auto"/>
                <w:sz w:val="21"/>
                <w:highlight w:val="none"/>
              </w:rPr>
            </w:pPr>
          </w:p>
        </w:tc>
        <w:tc>
          <w:tcPr>
            <w:tcW w:w="1219" w:type="dxa"/>
            <w:vAlign w:val="top"/>
          </w:tcPr>
          <w:p w14:paraId="0491BE1C">
            <w:pPr>
              <w:rPr>
                <w:rFonts w:ascii="Arial"/>
                <w:color w:val="auto"/>
                <w:sz w:val="21"/>
                <w:highlight w:val="none"/>
              </w:rPr>
            </w:pPr>
          </w:p>
        </w:tc>
        <w:tc>
          <w:tcPr>
            <w:tcW w:w="1262" w:type="dxa"/>
            <w:vAlign w:val="top"/>
          </w:tcPr>
          <w:p w14:paraId="53F33540">
            <w:pPr>
              <w:rPr>
                <w:rFonts w:ascii="Arial"/>
                <w:color w:val="auto"/>
                <w:sz w:val="21"/>
                <w:highlight w:val="none"/>
              </w:rPr>
            </w:pPr>
          </w:p>
        </w:tc>
        <w:tc>
          <w:tcPr>
            <w:tcW w:w="1099" w:type="dxa"/>
            <w:vAlign w:val="top"/>
          </w:tcPr>
          <w:p w14:paraId="2E8DDE8E">
            <w:pPr>
              <w:rPr>
                <w:rFonts w:ascii="Arial"/>
                <w:color w:val="auto"/>
                <w:sz w:val="21"/>
                <w:highlight w:val="none"/>
              </w:rPr>
            </w:pPr>
          </w:p>
        </w:tc>
        <w:tc>
          <w:tcPr>
            <w:tcW w:w="1186" w:type="dxa"/>
            <w:vAlign w:val="top"/>
          </w:tcPr>
          <w:p w14:paraId="022CE8D5">
            <w:pPr>
              <w:rPr>
                <w:rFonts w:ascii="Arial"/>
                <w:color w:val="auto"/>
                <w:sz w:val="21"/>
                <w:highlight w:val="none"/>
              </w:rPr>
            </w:pPr>
          </w:p>
        </w:tc>
      </w:tr>
      <w:tr w14:paraId="24531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274749A4">
            <w:pPr>
              <w:rPr>
                <w:rFonts w:ascii="Arial"/>
                <w:color w:val="auto"/>
                <w:sz w:val="21"/>
                <w:highlight w:val="none"/>
              </w:rPr>
            </w:pPr>
          </w:p>
        </w:tc>
        <w:tc>
          <w:tcPr>
            <w:tcW w:w="1934" w:type="dxa"/>
            <w:vAlign w:val="top"/>
          </w:tcPr>
          <w:p w14:paraId="19C40B31">
            <w:pPr>
              <w:rPr>
                <w:rFonts w:ascii="Arial"/>
                <w:color w:val="auto"/>
                <w:sz w:val="21"/>
                <w:highlight w:val="none"/>
              </w:rPr>
            </w:pPr>
          </w:p>
        </w:tc>
        <w:tc>
          <w:tcPr>
            <w:tcW w:w="2376" w:type="dxa"/>
            <w:vAlign w:val="top"/>
          </w:tcPr>
          <w:p w14:paraId="391BAA69">
            <w:pPr>
              <w:rPr>
                <w:rFonts w:ascii="Arial"/>
                <w:color w:val="auto"/>
                <w:sz w:val="21"/>
                <w:highlight w:val="none"/>
              </w:rPr>
            </w:pPr>
          </w:p>
        </w:tc>
        <w:tc>
          <w:tcPr>
            <w:tcW w:w="1219" w:type="dxa"/>
            <w:vAlign w:val="top"/>
          </w:tcPr>
          <w:p w14:paraId="75F3FB76">
            <w:pPr>
              <w:rPr>
                <w:rFonts w:ascii="Arial"/>
                <w:color w:val="auto"/>
                <w:sz w:val="21"/>
                <w:highlight w:val="none"/>
              </w:rPr>
            </w:pPr>
          </w:p>
        </w:tc>
        <w:tc>
          <w:tcPr>
            <w:tcW w:w="1262" w:type="dxa"/>
            <w:vAlign w:val="top"/>
          </w:tcPr>
          <w:p w14:paraId="28E55507">
            <w:pPr>
              <w:rPr>
                <w:rFonts w:ascii="Arial"/>
                <w:color w:val="auto"/>
                <w:sz w:val="21"/>
                <w:highlight w:val="none"/>
              </w:rPr>
            </w:pPr>
          </w:p>
        </w:tc>
        <w:tc>
          <w:tcPr>
            <w:tcW w:w="1099" w:type="dxa"/>
            <w:vAlign w:val="top"/>
          </w:tcPr>
          <w:p w14:paraId="768A7815">
            <w:pPr>
              <w:rPr>
                <w:rFonts w:ascii="Arial"/>
                <w:color w:val="auto"/>
                <w:sz w:val="21"/>
                <w:highlight w:val="none"/>
              </w:rPr>
            </w:pPr>
          </w:p>
        </w:tc>
        <w:tc>
          <w:tcPr>
            <w:tcW w:w="1186" w:type="dxa"/>
            <w:vAlign w:val="top"/>
          </w:tcPr>
          <w:p w14:paraId="0CBC0E0D">
            <w:pPr>
              <w:rPr>
                <w:rFonts w:ascii="Arial"/>
                <w:color w:val="auto"/>
                <w:sz w:val="21"/>
                <w:highlight w:val="none"/>
              </w:rPr>
            </w:pPr>
          </w:p>
        </w:tc>
      </w:tr>
      <w:tr w14:paraId="15BF6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5C4BE23B">
            <w:pPr>
              <w:rPr>
                <w:rFonts w:ascii="Arial"/>
                <w:color w:val="auto"/>
                <w:sz w:val="21"/>
                <w:highlight w:val="none"/>
              </w:rPr>
            </w:pPr>
          </w:p>
        </w:tc>
        <w:tc>
          <w:tcPr>
            <w:tcW w:w="1934" w:type="dxa"/>
            <w:vAlign w:val="top"/>
          </w:tcPr>
          <w:p w14:paraId="67854123">
            <w:pPr>
              <w:rPr>
                <w:rFonts w:ascii="Arial"/>
                <w:color w:val="auto"/>
                <w:sz w:val="21"/>
                <w:highlight w:val="none"/>
              </w:rPr>
            </w:pPr>
          </w:p>
        </w:tc>
        <w:tc>
          <w:tcPr>
            <w:tcW w:w="2376" w:type="dxa"/>
            <w:vAlign w:val="top"/>
          </w:tcPr>
          <w:p w14:paraId="51EA73F8">
            <w:pPr>
              <w:rPr>
                <w:rFonts w:ascii="Arial"/>
                <w:color w:val="auto"/>
                <w:sz w:val="21"/>
                <w:highlight w:val="none"/>
              </w:rPr>
            </w:pPr>
          </w:p>
        </w:tc>
        <w:tc>
          <w:tcPr>
            <w:tcW w:w="1219" w:type="dxa"/>
            <w:vAlign w:val="top"/>
          </w:tcPr>
          <w:p w14:paraId="6C8DFBAE">
            <w:pPr>
              <w:rPr>
                <w:rFonts w:ascii="Arial"/>
                <w:color w:val="auto"/>
                <w:sz w:val="21"/>
                <w:highlight w:val="none"/>
              </w:rPr>
            </w:pPr>
          </w:p>
        </w:tc>
        <w:tc>
          <w:tcPr>
            <w:tcW w:w="1262" w:type="dxa"/>
            <w:vAlign w:val="top"/>
          </w:tcPr>
          <w:p w14:paraId="2F956ED4">
            <w:pPr>
              <w:rPr>
                <w:rFonts w:ascii="Arial"/>
                <w:color w:val="auto"/>
                <w:sz w:val="21"/>
                <w:highlight w:val="none"/>
              </w:rPr>
            </w:pPr>
          </w:p>
        </w:tc>
        <w:tc>
          <w:tcPr>
            <w:tcW w:w="1099" w:type="dxa"/>
            <w:vAlign w:val="top"/>
          </w:tcPr>
          <w:p w14:paraId="48D764B9">
            <w:pPr>
              <w:rPr>
                <w:rFonts w:ascii="Arial"/>
                <w:color w:val="auto"/>
                <w:sz w:val="21"/>
                <w:highlight w:val="none"/>
              </w:rPr>
            </w:pPr>
          </w:p>
        </w:tc>
        <w:tc>
          <w:tcPr>
            <w:tcW w:w="1186" w:type="dxa"/>
            <w:vAlign w:val="top"/>
          </w:tcPr>
          <w:p w14:paraId="46EC7707">
            <w:pPr>
              <w:rPr>
                <w:rFonts w:ascii="Arial"/>
                <w:color w:val="auto"/>
                <w:sz w:val="21"/>
                <w:highlight w:val="none"/>
              </w:rPr>
            </w:pPr>
          </w:p>
        </w:tc>
      </w:tr>
      <w:tr w14:paraId="2548C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4770" w:type="dxa"/>
            <w:gridSpan w:val="3"/>
            <w:vAlign w:val="top"/>
          </w:tcPr>
          <w:p w14:paraId="64CFB1AB">
            <w:pPr>
              <w:rPr>
                <w:rFonts w:ascii="Arial"/>
                <w:color w:val="auto"/>
                <w:sz w:val="21"/>
                <w:highlight w:val="none"/>
              </w:rPr>
            </w:pPr>
          </w:p>
        </w:tc>
        <w:tc>
          <w:tcPr>
            <w:tcW w:w="1219" w:type="dxa"/>
            <w:vAlign w:val="top"/>
          </w:tcPr>
          <w:p w14:paraId="163CA1E2">
            <w:pPr>
              <w:rPr>
                <w:rFonts w:ascii="Arial"/>
                <w:color w:val="auto"/>
                <w:sz w:val="21"/>
                <w:highlight w:val="none"/>
              </w:rPr>
            </w:pPr>
          </w:p>
        </w:tc>
        <w:tc>
          <w:tcPr>
            <w:tcW w:w="1262" w:type="dxa"/>
            <w:vAlign w:val="top"/>
          </w:tcPr>
          <w:p w14:paraId="7AEA439C">
            <w:pPr>
              <w:rPr>
                <w:rFonts w:ascii="Arial"/>
                <w:color w:val="auto"/>
                <w:sz w:val="21"/>
                <w:highlight w:val="none"/>
              </w:rPr>
            </w:pPr>
          </w:p>
        </w:tc>
        <w:tc>
          <w:tcPr>
            <w:tcW w:w="1099" w:type="dxa"/>
            <w:vAlign w:val="top"/>
          </w:tcPr>
          <w:p w14:paraId="1D30AEFF">
            <w:pPr>
              <w:rPr>
                <w:rFonts w:ascii="Arial"/>
                <w:color w:val="auto"/>
                <w:sz w:val="21"/>
                <w:highlight w:val="none"/>
              </w:rPr>
            </w:pPr>
          </w:p>
        </w:tc>
        <w:tc>
          <w:tcPr>
            <w:tcW w:w="1186" w:type="dxa"/>
            <w:vAlign w:val="top"/>
          </w:tcPr>
          <w:p w14:paraId="3AB30192">
            <w:pPr>
              <w:rPr>
                <w:rFonts w:ascii="Arial"/>
                <w:color w:val="auto"/>
                <w:sz w:val="21"/>
                <w:highlight w:val="none"/>
              </w:rPr>
            </w:pPr>
          </w:p>
        </w:tc>
      </w:tr>
    </w:tbl>
    <w:p w14:paraId="6511AF4C">
      <w:pPr>
        <w:spacing w:before="150" w:line="213" w:lineRule="auto"/>
        <w:ind w:left="1041" w:right="620" w:hanging="42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注：此表“暂估金额”由招标人填写，投标人应将“暂估金额”计入投标总</w:t>
      </w:r>
      <w:r>
        <w:rPr>
          <w:rFonts w:ascii="宋体" w:hAnsi="宋体" w:eastAsia="宋体" w:cs="宋体"/>
          <w:color w:val="auto"/>
          <w:spacing w:val="2"/>
          <w:sz w:val="21"/>
          <w:szCs w:val="21"/>
          <w:highlight w:val="none"/>
        </w:rPr>
        <w:t>价中。结算时</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按合同约定结算金额填写。</w:t>
      </w:r>
    </w:p>
    <w:p w14:paraId="026F45CA">
      <w:pPr>
        <w:spacing w:line="213" w:lineRule="auto"/>
        <w:rPr>
          <w:rFonts w:ascii="宋体" w:hAnsi="宋体" w:eastAsia="宋体" w:cs="宋体"/>
          <w:color w:val="auto"/>
          <w:sz w:val="21"/>
          <w:szCs w:val="21"/>
          <w:highlight w:val="none"/>
        </w:rPr>
        <w:sectPr>
          <w:type w:val="continuous"/>
          <w:pgSz w:w="11905" w:h="16839"/>
          <w:pgMar w:top="400" w:right="1176" w:bottom="1004" w:left="1186" w:header="0" w:footer="829" w:gutter="0"/>
          <w:pgNumType w:fmt="decimal"/>
          <w:cols w:equalWidth="0" w:num="1">
            <w:col w:w="9542"/>
          </w:cols>
        </w:sectPr>
      </w:pPr>
    </w:p>
    <w:p w14:paraId="5883B717">
      <w:pPr>
        <w:pStyle w:val="3"/>
        <w:spacing w:line="267" w:lineRule="auto"/>
        <w:rPr>
          <w:color w:val="auto"/>
          <w:highlight w:val="none"/>
        </w:rPr>
      </w:pPr>
    </w:p>
    <w:p w14:paraId="73597BBA">
      <w:pPr>
        <w:pStyle w:val="3"/>
        <w:spacing w:line="268" w:lineRule="auto"/>
        <w:rPr>
          <w:color w:val="auto"/>
          <w:highlight w:val="none"/>
        </w:rPr>
      </w:pPr>
    </w:p>
    <w:p w14:paraId="2FE45611">
      <w:pPr>
        <w:pStyle w:val="3"/>
        <w:spacing w:line="268" w:lineRule="auto"/>
        <w:rPr>
          <w:color w:val="auto"/>
          <w:highlight w:val="none"/>
        </w:rPr>
      </w:pPr>
    </w:p>
    <w:p w14:paraId="1FE5F45D">
      <w:pPr>
        <w:pStyle w:val="3"/>
        <w:spacing w:line="268" w:lineRule="auto"/>
        <w:rPr>
          <w:color w:val="auto"/>
          <w:highlight w:val="none"/>
        </w:rPr>
      </w:pPr>
    </w:p>
    <w:p w14:paraId="356072DE">
      <w:pPr>
        <w:spacing w:before="78" w:line="220" w:lineRule="auto"/>
        <w:ind w:left="2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4.12-4 </w:t>
      </w:r>
      <w:r>
        <w:rPr>
          <w:rFonts w:ascii="黑体" w:hAnsi="黑体" w:eastAsia="黑体" w:cs="黑体"/>
          <w:color w:val="auto"/>
          <w:spacing w:val="-1"/>
          <w:sz w:val="24"/>
          <w:szCs w:val="24"/>
          <w:highlight w:val="none"/>
        </w:rPr>
        <w:t>计日工表</w:t>
      </w:r>
    </w:p>
    <w:p w14:paraId="603352CA">
      <w:pPr>
        <w:pStyle w:val="3"/>
        <w:spacing w:line="277" w:lineRule="auto"/>
        <w:rPr>
          <w:color w:val="auto"/>
          <w:highlight w:val="none"/>
        </w:rPr>
      </w:pPr>
    </w:p>
    <w:p w14:paraId="419D12A7">
      <w:pPr>
        <w:pStyle w:val="3"/>
        <w:spacing w:line="277" w:lineRule="auto"/>
        <w:rPr>
          <w:color w:val="auto"/>
          <w:highlight w:val="none"/>
        </w:rPr>
      </w:pPr>
    </w:p>
    <w:p w14:paraId="56BAF5CF">
      <w:pPr>
        <w:spacing w:before="88" w:line="226" w:lineRule="auto"/>
        <w:ind w:left="3824"/>
        <w:rPr>
          <w:rFonts w:ascii="黑体" w:hAnsi="黑体" w:eastAsia="黑体" w:cs="黑体"/>
          <w:color w:val="auto"/>
          <w:sz w:val="27"/>
          <w:szCs w:val="27"/>
          <w:highlight w:val="none"/>
        </w:rPr>
      </w:pPr>
      <w:bookmarkStart w:id="1311" w:name="bookmark257"/>
      <w:bookmarkEnd w:id="1311"/>
      <w:r>
        <w:rPr>
          <w:rFonts w:ascii="黑体" w:hAnsi="黑体" w:eastAsia="黑体" w:cs="黑体"/>
          <w:color w:val="auto"/>
          <w:spacing w:val="5"/>
          <w:sz w:val="27"/>
          <w:szCs w:val="27"/>
          <w:highlight w:val="none"/>
        </w:rPr>
        <w:t>计日工表</w:t>
      </w:r>
    </w:p>
    <w:p w14:paraId="4C5C83AE">
      <w:pPr>
        <w:pStyle w:val="3"/>
        <w:spacing w:line="274" w:lineRule="auto"/>
        <w:rPr>
          <w:color w:val="auto"/>
          <w:highlight w:val="none"/>
        </w:rPr>
      </w:pPr>
    </w:p>
    <w:p w14:paraId="261A69B5">
      <w:pPr>
        <w:pStyle w:val="3"/>
        <w:spacing w:line="274" w:lineRule="auto"/>
        <w:rPr>
          <w:color w:val="auto"/>
          <w:highlight w:val="none"/>
        </w:rPr>
      </w:pPr>
    </w:p>
    <w:p w14:paraId="3BE5D625">
      <w:pPr>
        <w:spacing w:before="69" w:line="214" w:lineRule="auto"/>
        <w:ind w:left="226"/>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 xml:space="preserve">工程名称：                标段名称：  </w:t>
      </w:r>
      <w:r>
        <w:rPr>
          <w:rFonts w:ascii="宋体" w:hAnsi="宋体" w:eastAsia="宋体" w:cs="宋体"/>
          <w:color w:val="auto"/>
          <w:spacing w:val="-13"/>
          <w:sz w:val="21"/>
          <w:szCs w:val="21"/>
          <w:highlight w:val="none"/>
        </w:rPr>
        <w:t xml:space="preserve">     第 页 共</w:t>
      </w:r>
      <w:r>
        <w:rPr>
          <w:rFonts w:ascii="宋体" w:hAnsi="宋体" w:eastAsia="宋体" w:cs="宋体"/>
          <w:color w:val="auto"/>
          <w:spacing w:val="10"/>
          <w:sz w:val="21"/>
          <w:szCs w:val="21"/>
          <w:highlight w:val="none"/>
        </w:rPr>
        <w:t xml:space="preserve"> </w:t>
      </w:r>
      <w:r>
        <w:rPr>
          <w:rFonts w:ascii="宋体" w:hAnsi="宋体" w:eastAsia="宋体" w:cs="宋体"/>
          <w:color w:val="auto"/>
          <w:spacing w:val="-13"/>
          <w:sz w:val="21"/>
          <w:szCs w:val="21"/>
          <w:highlight w:val="none"/>
        </w:rPr>
        <w:t>页</w:t>
      </w:r>
    </w:p>
    <w:tbl>
      <w:tblPr>
        <w:tblStyle w:val="10"/>
        <w:tblW w:w="8738"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2"/>
        <w:gridCol w:w="1911"/>
        <w:gridCol w:w="717"/>
        <w:gridCol w:w="899"/>
        <w:gridCol w:w="904"/>
        <w:gridCol w:w="1198"/>
        <w:gridCol w:w="20"/>
        <w:gridCol w:w="1131"/>
        <w:gridCol w:w="1166"/>
      </w:tblGrid>
      <w:tr w14:paraId="43DB2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92" w:type="dxa"/>
            <w:vMerge w:val="restart"/>
            <w:tcBorders>
              <w:top w:val="single" w:color="000000" w:sz="4" w:space="0"/>
              <w:left w:val="single" w:color="000000" w:sz="4" w:space="0"/>
              <w:bottom w:val="nil"/>
            </w:tcBorders>
            <w:vAlign w:val="top"/>
          </w:tcPr>
          <w:p w14:paraId="1AE5EA4C">
            <w:pPr>
              <w:spacing w:line="313" w:lineRule="auto"/>
              <w:rPr>
                <w:rFonts w:ascii="Arial"/>
                <w:color w:val="auto"/>
                <w:sz w:val="21"/>
                <w:highlight w:val="none"/>
              </w:rPr>
            </w:pPr>
          </w:p>
          <w:p w14:paraId="63408470">
            <w:pPr>
              <w:pStyle w:val="11"/>
              <w:spacing w:before="69" w:line="221" w:lineRule="auto"/>
              <w:ind w:left="187"/>
              <w:rPr>
                <w:color w:val="auto"/>
                <w:highlight w:val="none"/>
              </w:rPr>
            </w:pPr>
            <w:r>
              <w:rPr>
                <w:color w:val="auto"/>
                <w:spacing w:val="-2"/>
                <w:highlight w:val="none"/>
              </w:rPr>
              <w:t>编号</w:t>
            </w:r>
          </w:p>
        </w:tc>
        <w:tc>
          <w:tcPr>
            <w:tcW w:w="1911" w:type="dxa"/>
            <w:vMerge w:val="restart"/>
            <w:tcBorders>
              <w:top w:val="single" w:color="000000" w:sz="4" w:space="0"/>
              <w:bottom w:val="nil"/>
              <w:right w:val="single" w:color="000000" w:sz="4" w:space="0"/>
            </w:tcBorders>
            <w:vAlign w:val="top"/>
          </w:tcPr>
          <w:p w14:paraId="5A5882B0">
            <w:pPr>
              <w:spacing w:line="314" w:lineRule="auto"/>
              <w:rPr>
                <w:rFonts w:ascii="Arial"/>
                <w:color w:val="auto"/>
                <w:sz w:val="21"/>
                <w:highlight w:val="none"/>
              </w:rPr>
            </w:pPr>
          </w:p>
          <w:p w14:paraId="1CDDEADD">
            <w:pPr>
              <w:pStyle w:val="11"/>
              <w:spacing w:before="68" w:line="221" w:lineRule="auto"/>
              <w:ind w:left="537"/>
              <w:rPr>
                <w:color w:val="auto"/>
                <w:highlight w:val="none"/>
              </w:rPr>
            </w:pPr>
            <w:r>
              <w:rPr>
                <w:color w:val="auto"/>
                <w:spacing w:val="-2"/>
                <w:highlight w:val="none"/>
              </w:rPr>
              <w:t>项目名称</w:t>
            </w:r>
          </w:p>
        </w:tc>
        <w:tc>
          <w:tcPr>
            <w:tcW w:w="717" w:type="dxa"/>
            <w:vMerge w:val="restart"/>
            <w:tcBorders>
              <w:top w:val="single" w:color="000000" w:sz="4" w:space="0"/>
              <w:left w:val="single" w:color="000000" w:sz="4" w:space="0"/>
              <w:bottom w:val="nil"/>
            </w:tcBorders>
            <w:vAlign w:val="top"/>
          </w:tcPr>
          <w:p w14:paraId="0F2C55F7">
            <w:pPr>
              <w:spacing w:line="314" w:lineRule="auto"/>
              <w:rPr>
                <w:rFonts w:ascii="Arial"/>
                <w:color w:val="auto"/>
                <w:sz w:val="21"/>
                <w:highlight w:val="none"/>
              </w:rPr>
            </w:pPr>
          </w:p>
          <w:p w14:paraId="742DA1A3">
            <w:pPr>
              <w:pStyle w:val="11"/>
              <w:spacing w:before="68" w:line="221" w:lineRule="auto"/>
              <w:ind w:left="154"/>
              <w:rPr>
                <w:color w:val="auto"/>
                <w:highlight w:val="none"/>
              </w:rPr>
            </w:pPr>
            <w:r>
              <w:rPr>
                <w:color w:val="auto"/>
                <w:spacing w:val="-2"/>
                <w:highlight w:val="none"/>
              </w:rPr>
              <w:t>单位</w:t>
            </w:r>
          </w:p>
        </w:tc>
        <w:tc>
          <w:tcPr>
            <w:tcW w:w="899" w:type="dxa"/>
            <w:vMerge w:val="restart"/>
            <w:tcBorders>
              <w:top w:val="single" w:color="000000" w:sz="4" w:space="0"/>
              <w:bottom w:val="nil"/>
              <w:right w:val="single" w:color="000000" w:sz="4" w:space="0"/>
            </w:tcBorders>
            <w:vAlign w:val="top"/>
          </w:tcPr>
          <w:p w14:paraId="56EC0980">
            <w:pPr>
              <w:pStyle w:val="11"/>
              <w:spacing w:before="250" w:line="236" w:lineRule="auto"/>
              <w:ind w:left="256"/>
              <w:rPr>
                <w:color w:val="auto"/>
                <w:highlight w:val="none"/>
              </w:rPr>
            </w:pPr>
            <w:r>
              <w:rPr>
                <w:color w:val="auto"/>
                <w:spacing w:val="-4"/>
                <w:highlight w:val="none"/>
              </w:rPr>
              <w:t>暂定</w:t>
            </w:r>
          </w:p>
          <w:p w14:paraId="78792CE1">
            <w:pPr>
              <w:pStyle w:val="11"/>
              <w:spacing w:line="220" w:lineRule="auto"/>
              <w:ind w:left="251"/>
              <w:rPr>
                <w:color w:val="auto"/>
                <w:highlight w:val="none"/>
              </w:rPr>
            </w:pPr>
            <w:r>
              <w:rPr>
                <w:color w:val="auto"/>
                <w:spacing w:val="-2"/>
                <w:highlight w:val="none"/>
              </w:rPr>
              <w:t>数量</w:t>
            </w:r>
          </w:p>
        </w:tc>
        <w:tc>
          <w:tcPr>
            <w:tcW w:w="904" w:type="dxa"/>
            <w:vMerge w:val="restart"/>
            <w:tcBorders>
              <w:top w:val="single" w:color="000000" w:sz="4" w:space="0"/>
              <w:left w:val="single" w:color="000000" w:sz="4" w:space="0"/>
              <w:bottom w:val="nil"/>
            </w:tcBorders>
            <w:vAlign w:val="top"/>
          </w:tcPr>
          <w:p w14:paraId="044F1A21">
            <w:pPr>
              <w:pStyle w:val="11"/>
              <w:spacing w:before="250" w:line="236" w:lineRule="auto"/>
              <w:ind w:left="255"/>
              <w:rPr>
                <w:color w:val="auto"/>
                <w:highlight w:val="none"/>
              </w:rPr>
            </w:pPr>
            <w:r>
              <w:rPr>
                <w:color w:val="auto"/>
                <w:spacing w:val="-3"/>
                <w:highlight w:val="none"/>
              </w:rPr>
              <w:t>实际</w:t>
            </w:r>
          </w:p>
          <w:p w14:paraId="01D5205B">
            <w:pPr>
              <w:pStyle w:val="11"/>
              <w:spacing w:line="220" w:lineRule="auto"/>
              <w:ind w:left="252"/>
              <w:rPr>
                <w:color w:val="auto"/>
                <w:highlight w:val="none"/>
              </w:rPr>
            </w:pPr>
            <w:r>
              <w:rPr>
                <w:color w:val="auto"/>
                <w:spacing w:val="-2"/>
                <w:highlight w:val="none"/>
              </w:rPr>
              <w:t>数量</w:t>
            </w:r>
          </w:p>
        </w:tc>
        <w:tc>
          <w:tcPr>
            <w:tcW w:w="1218" w:type="dxa"/>
            <w:gridSpan w:val="2"/>
            <w:vMerge w:val="restart"/>
            <w:tcBorders>
              <w:top w:val="single" w:color="000000" w:sz="4" w:space="0"/>
              <w:bottom w:val="nil"/>
            </w:tcBorders>
            <w:vAlign w:val="top"/>
          </w:tcPr>
          <w:p w14:paraId="2DD346FF">
            <w:pPr>
              <w:pStyle w:val="11"/>
              <w:spacing w:before="250" w:line="236" w:lineRule="auto"/>
              <w:ind w:left="407"/>
              <w:rPr>
                <w:color w:val="auto"/>
                <w:highlight w:val="none"/>
              </w:rPr>
            </w:pPr>
            <w:r>
              <w:rPr>
                <w:color w:val="auto"/>
                <w:spacing w:val="-2"/>
                <w:highlight w:val="none"/>
              </w:rPr>
              <w:t>单价</w:t>
            </w:r>
          </w:p>
          <w:p w14:paraId="445CF3E2">
            <w:pPr>
              <w:pStyle w:val="11"/>
              <w:spacing w:line="221" w:lineRule="auto"/>
              <w:ind w:left="306"/>
              <w:rPr>
                <w:color w:val="auto"/>
                <w:highlight w:val="none"/>
              </w:rPr>
            </w:pPr>
            <w:r>
              <w:rPr>
                <w:color w:val="auto"/>
                <w:spacing w:val="-6"/>
                <w:highlight w:val="none"/>
              </w:rPr>
              <w:t>（元）</w:t>
            </w:r>
          </w:p>
        </w:tc>
        <w:tc>
          <w:tcPr>
            <w:tcW w:w="2297" w:type="dxa"/>
            <w:gridSpan w:val="2"/>
            <w:tcBorders>
              <w:top w:val="single" w:color="000000" w:sz="4" w:space="0"/>
              <w:right w:val="single" w:color="000000" w:sz="4" w:space="0"/>
            </w:tcBorders>
            <w:vAlign w:val="top"/>
          </w:tcPr>
          <w:p w14:paraId="338147B1">
            <w:pPr>
              <w:pStyle w:val="11"/>
              <w:spacing w:before="139" w:line="219" w:lineRule="auto"/>
              <w:ind w:left="629"/>
              <w:rPr>
                <w:color w:val="auto"/>
                <w:highlight w:val="none"/>
              </w:rPr>
            </w:pPr>
            <w:r>
              <w:rPr>
                <w:color w:val="auto"/>
                <w:spacing w:val="-3"/>
                <w:highlight w:val="none"/>
              </w:rPr>
              <w:t>合价（元）</w:t>
            </w:r>
          </w:p>
        </w:tc>
      </w:tr>
      <w:tr w14:paraId="74C87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792" w:type="dxa"/>
            <w:vMerge w:val="continue"/>
            <w:tcBorders>
              <w:top w:val="nil"/>
              <w:left w:val="single" w:color="000000" w:sz="4" w:space="0"/>
            </w:tcBorders>
            <w:vAlign w:val="top"/>
          </w:tcPr>
          <w:p w14:paraId="3FC281A0">
            <w:pPr>
              <w:rPr>
                <w:rFonts w:ascii="Arial"/>
                <w:color w:val="auto"/>
                <w:sz w:val="21"/>
                <w:highlight w:val="none"/>
              </w:rPr>
            </w:pPr>
          </w:p>
        </w:tc>
        <w:tc>
          <w:tcPr>
            <w:tcW w:w="1911" w:type="dxa"/>
            <w:vMerge w:val="continue"/>
            <w:tcBorders>
              <w:top w:val="nil"/>
              <w:right w:val="single" w:color="000000" w:sz="4" w:space="0"/>
            </w:tcBorders>
            <w:vAlign w:val="top"/>
          </w:tcPr>
          <w:p w14:paraId="3BCEF5D7">
            <w:pPr>
              <w:rPr>
                <w:rFonts w:ascii="Arial"/>
                <w:color w:val="auto"/>
                <w:sz w:val="21"/>
                <w:highlight w:val="none"/>
              </w:rPr>
            </w:pPr>
          </w:p>
        </w:tc>
        <w:tc>
          <w:tcPr>
            <w:tcW w:w="717" w:type="dxa"/>
            <w:vMerge w:val="continue"/>
            <w:tcBorders>
              <w:top w:val="nil"/>
              <w:left w:val="single" w:color="000000" w:sz="4" w:space="0"/>
            </w:tcBorders>
            <w:vAlign w:val="top"/>
          </w:tcPr>
          <w:p w14:paraId="169C0888">
            <w:pPr>
              <w:rPr>
                <w:rFonts w:ascii="Arial"/>
                <w:color w:val="auto"/>
                <w:sz w:val="21"/>
                <w:highlight w:val="none"/>
              </w:rPr>
            </w:pPr>
          </w:p>
        </w:tc>
        <w:tc>
          <w:tcPr>
            <w:tcW w:w="899" w:type="dxa"/>
            <w:vMerge w:val="continue"/>
            <w:tcBorders>
              <w:top w:val="nil"/>
              <w:right w:val="single" w:color="000000" w:sz="4" w:space="0"/>
            </w:tcBorders>
            <w:vAlign w:val="top"/>
          </w:tcPr>
          <w:p w14:paraId="36B77544">
            <w:pPr>
              <w:rPr>
                <w:rFonts w:ascii="Arial"/>
                <w:color w:val="auto"/>
                <w:sz w:val="21"/>
                <w:highlight w:val="none"/>
              </w:rPr>
            </w:pPr>
          </w:p>
        </w:tc>
        <w:tc>
          <w:tcPr>
            <w:tcW w:w="904" w:type="dxa"/>
            <w:vMerge w:val="continue"/>
            <w:tcBorders>
              <w:top w:val="nil"/>
              <w:left w:val="single" w:color="000000" w:sz="4" w:space="0"/>
            </w:tcBorders>
            <w:vAlign w:val="top"/>
          </w:tcPr>
          <w:p w14:paraId="6AD7AFB0">
            <w:pPr>
              <w:rPr>
                <w:rFonts w:ascii="Arial"/>
                <w:color w:val="auto"/>
                <w:sz w:val="21"/>
                <w:highlight w:val="none"/>
              </w:rPr>
            </w:pPr>
          </w:p>
        </w:tc>
        <w:tc>
          <w:tcPr>
            <w:tcW w:w="1218" w:type="dxa"/>
            <w:gridSpan w:val="2"/>
            <w:vMerge w:val="continue"/>
            <w:tcBorders>
              <w:top w:val="nil"/>
            </w:tcBorders>
            <w:vAlign w:val="top"/>
          </w:tcPr>
          <w:p w14:paraId="292720B7">
            <w:pPr>
              <w:rPr>
                <w:rFonts w:ascii="Arial"/>
                <w:color w:val="auto"/>
                <w:sz w:val="21"/>
                <w:highlight w:val="none"/>
              </w:rPr>
            </w:pPr>
          </w:p>
        </w:tc>
        <w:tc>
          <w:tcPr>
            <w:tcW w:w="1131" w:type="dxa"/>
            <w:vAlign w:val="top"/>
          </w:tcPr>
          <w:p w14:paraId="24B2EBA2">
            <w:pPr>
              <w:pStyle w:val="11"/>
              <w:spacing w:before="131" w:line="221" w:lineRule="auto"/>
              <w:ind w:left="370"/>
              <w:rPr>
                <w:color w:val="auto"/>
                <w:highlight w:val="none"/>
              </w:rPr>
            </w:pPr>
            <w:r>
              <w:rPr>
                <w:color w:val="auto"/>
                <w:spacing w:val="-4"/>
                <w:highlight w:val="none"/>
              </w:rPr>
              <w:t>暂定</w:t>
            </w:r>
          </w:p>
        </w:tc>
        <w:tc>
          <w:tcPr>
            <w:tcW w:w="1166" w:type="dxa"/>
            <w:tcBorders>
              <w:right w:val="single" w:color="000000" w:sz="4" w:space="0"/>
            </w:tcBorders>
            <w:vAlign w:val="top"/>
          </w:tcPr>
          <w:p w14:paraId="78A7CC65">
            <w:pPr>
              <w:pStyle w:val="11"/>
              <w:spacing w:before="131" w:line="221" w:lineRule="auto"/>
              <w:ind w:left="385"/>
              <w:rPr>
                <w:color w:val="auto"/>
                <w:highlight w:val="none"/>
              </w:rPr>
            </w:pPr>
            <w:r>
              <w:rPr>
                <w:color w:val="auto"/>
                <w:spacing w:val="-3"/>
                <w:highlight w:val="none"/>
              </w:rPr>
              <w:t>实际</w:t>
            </w:r>
          </w:p>
        </w:tc>
      </w:tr>
      <w:tr w14:paraId="49FE94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9" w:hRule="atLeast"/>
        </w:trPr>
        <w:tc>
          <w:tcPr>
            <w:tcW w:w="792" w:type="dxa"/>
            <w:tcBorders>
              <w:left w:val="single" w:color="000000" w:sz="4" w:space="0"/>
            </w:tcBorders>
            <w:vAlign w:val="top"/>
          </w:tcPr>
          <w:p w14:paraId="5C2E63FB">
            <w:pPr>
              <w:spacing w:before="226" w:line="151" w:lineRule="exact"/>
              <w:ind w:left="294"/>
              <w:rPr>
                <w:rFonts w:ascii="黑体" w:hAnsi="黑体" w:eastAsia="黑体" w:cs="黑体"/>
                <w:color w:val="auto"/>
                <w:sz w:val="21"/>
                <w:szCs w:val="21"/>
                <w:highlight w:val="none"/>
              </w:rPr>
            </w:pPr>
            <w:r>
              <w:rPr>
                <w:rFonts w:ascii="黑体" w:hAnsi="黑体" w:eastAsia="黑体" w:cs="黑体"/>
                <w:color w:val="auto"/>
                <w:position w:val="-3"/>
                <w:sz w:val="21"/>
                <w:szCs w:val="21"/>
                <w:highlight w:val="none"/>
              </w:rPr>
              <w:t>一</w:t>
            </w:r>
          </w:p>
        </w:tc>
        <w:tc>
          <w:tcPr>
            <w:tcW w:w="1911" w:type="dxa"/>
            <w:tcBorders>
              <w:right w:val="single" w:color="000000" w:sz="4" w:space="0"/>
            </w:tcBorders>
            <w:vAlign w:val="top"/>
          </w:tcPr>
          <w:p w14:paraId="4A5882B3">
            <w:pPr>
              <w:pStyle w:val="11"/>
              <w:spacing w:before="135" w:line="223" w:lineRule="auto"/>
              <w:ind w:left="747"/>
              <w:rPr>
                <w:color w:val="auto"/>
                <w:highlight w:val="none"/>
              </w:rPr>
            </w:pPr>
            <w:r>
              <w:rPr>
                <w:color w:val="auto"/>
                <w:spacing w:val="-2"/>
                <w:highlight w:val="none"/>
              </w:rPr>
              <w:t>人工</w:t>
            </w:r>
          </w:p>
        </w:tc>
        <w:tc>
          <w:tcPr>
            <w:tcW w:w="717" w:type="dxa"/>
            <w:tcBorders>
              <w:left w:val="single" w:color="000000" w:sz="4" w:space="0"/>
            </w:tcBorders>
            <w:vAlign w:val="top"/>
          </w:tcPr>
          <w:p w14:paraId="04E953E1">
            <w:pPr>
              <w:rPr>
                <w:rFonts w:ascii="Arial"/>
                <w:color w:val="auto"/>
                <w:sz w:val="21"/>
                <w:highlight w:val="none"/>
              </w:rPr>
            </w:pPr>
          </w:p>
        </w:tc>
        <w:tc>
          <w:tcPr>
            <w:tcW w:w="899" w:type="dxa"/>
            <w:tcBorders>
              <w:right w:val="single" w:color="000000" w:sz="4" w:space="0"/>
            </w:tcBorders>
            <w:vAlign w:val="top"/>
          </w:tcPr>
          <w:p w14:paraId="2B94962D">
            <w:pPr>
              <w:rPr>
                <w:rFonts w:ascii="Arial"/>
                <w:color w:val="auto"/>
                <w:sz w:val="21"/>
                <w:highlight w:val="none"/>
              </w:rPr>
            </w:pPr>
          </w:p>
        </w:tc>
        <w:tc>
          <w:tcPr>
            <w:tcW w:w="904" w:type="dxa"/>
            <w:tcBorders>
              <w:left w:val="single" w:color="000000" w:sz="4" w:space="0"/>
            </w:tcBorders>
            <w:vAlign w:val="top"/>
          </w:tcPr>
          <w:p w14:paraId="2C89C9AA">
            <w:pPr>
              <w:rPr>
                <w:rFonts w:ascii="Arial"/>
                <w:color w:val="auto"/>
                <w:sz w:val="21"/>
                <w:highlight w:val="none"/>
              </w:rPr>
            </w:pPr>
          </w:p>
        </w:tc>
        <w:tc>
          <w:tcPr>
            <w:tcW w:w="1218" w:type="dxa"/>
            <w:gridSpan w:val="2"/>
            <w:vAlign w:val="top"/>
          </w:tcPr>
          <w:p w14:paraId="54C88D96">
            <w:pPr>
              <w:rPr>
                <w:rFonts w:ascii="Arial"/>
                <w:color w:val="auto"/>
                <w:sz w:val="21"/>
                <w:highlight w:val="none"/>
              </w:rPr>
            </w:pPr>
          </w:p>
        </w:tc>
        <w:tc>
          <w:tcPr>
            <w:tcW w:w="1131" w:type="dxa"/>
            <w:vAlign w:val="top"/>
          </w:tcPr>
          <w:p w14:paraId="18B64BA2">
            <w:pPr>
              <w:rPr>
                <w:rFonts w:ascii="Arial"/>
                <w:color w:val="auto"/>
                <w:sz w:val="21"/>
                <w:highlight w:val="none"/>
              </w:rPr>
            </w:pPr>
          </w:p>
        </w:tc>
        <w:tc>
          <w:tcPr>
            <w:tcW w:w="1166" w:type="dxa"/>
            <w:tcBorders>
              <w:right w:val="single" w:color="000000" w:sz="4" w:space="0"/>
            </w:tcBorders>
            <w:vAlign w:val="top"/>
          </w:tcPr>
          <w:p w14:paraId="2256474D">
            <w:pPr>
              <w:rPr>
                <w:rFonts w:ascii="Arial"/>
                <w:color w:val="auto"/>
                <w:sz w:val="21"/>
                <w:highlight w:val="none"/>
              </w:rPr>
            </w:pPr>
          </w:p>
        </w:tc>
      </w:tr>
      <w:tr w14:paraId="34738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4" w:hRule="atLeast"/>
        </w:trPr>
        <w:tc>
          <w:tcPr>
            <w:tcW w:w="792" w:type="dxa"/>
            <w:tcBorders>
              <w:left w:val="single" w:color="000000" w:sz="4" w:space="0"/>
              <w:bottom w:val="single" w:color="000000" w:sz="4" w:space="0"/>
            </w:tcBorders>
            <w:vAlign w:val="top"/>
          </w:tcPr>
          <w:p w14:paraId="78AD995D">
            <w:pPr>
              <w:spacing w:before="165" w:line="183" w:lineRule="auto"/>
              <w:ind w:left="355"/>
              <w:rPr>
                <w:rFonts w:ascii="黑体" w:hAnsi="黑体" w:eastAsia="黑体" w:cs="黑体"/>
                <w:color w:val="auto"/>
                <w:sz w:val="21"/>
                <w:szCs w:val="21"/>
                <w:highlight w:val="none"/>
              </w:rPr>
            </w:pPr>
            <w:r>
              <w:rPr>
                <w:rFonts w:ascii="黑体" w:hAnsi="黑体" w:eastAsia="黑体" w:cs="黑体"/>
                <w:color w:val="auto"/>
                <w:sz w:val="21"/>
                <w:szCs w:val="21"/>
                <w:highlight w:val="none"/>
              </w:rPr>
              <w:t>1</w:t>
            </w:r>
          </w:p>
        </w:tc>
        <w:tc>
          <w:tcPr>
            <w:tcW w:w="1911" w:type="dxa"/>
            <w:tcBorders>
              <w:right w:val="single" w:color="000000" w:sz="4" w:space="0"/>
            </w:tcBorders>
            <w:vAlign w:val="top"/>
          </w:tcPr>
          <w:p w14:paraId="553D7286">
            <w:pPr>
              <w:rPr>
                <w:rFonts w:ascii="Arial"/>
                <w:color w:val="auto"/>
                <w:sz w:val="21"/>
                <w:highlight w:val="none"/>
              </w:rPr>
            </w:pPr>
          </w:p>
        </w:tc>
        <w:tc>
          <w:tcPr>
            <w:tcW w:w="717" w:type="dxa"/>
            <w:tcBorders>
              <w:left w:val="single" w:color="000000" w:sz="4" w:space="0"/>
            </w:tcBorders>
            <w:vAlign w:val="top"/>
          </w:tcPr>
          <w:p w14:paraId="3C1216C6">
            <w:pPr>
              <w:rPr>
                <w:rFonts w:ascii="Arial"/>
                <w:color w:val="auto"/>
                <w:sz w:val="21"/>
                <w:highlight w:val="none"/>
              </w:rPr>
            </w:pPr>
          </w:p>
        </w:tc>
        <w:tc>
          <w:tcPr>
            <w:tcW w:w="899" w:type="dxa"/>
            <w:tcBorders>
              <w:right w:val="single" w:color="000000" w:sz="4" w:space="0"/>
            </w:tcBorders>
            <w:vAlign w:val="top"/>
          </w:tcPr>
          <w:p w14:paraId="6B8F4A14">
            <w:pPr>
              <w:rPr>
                <w:rFonts w:ascii="Arial"/>
                <w:color w:val="auto"/>
                <w:sz w:val="21"/>
                <w:highlight w:val="none"/>
              </w:rPr>
            </w:pPr>
          </w:p>
        </w:tc>
        <w:tc>
          <w:tcPr>
            <w:tcW w:w="904" w:type="dxa"/>
            <w:tcBorders>
              <w:left w:val="single" w:color="000000" w:sz="4" w:space="0"/>
            </w:tcBorders>
            <w:vAlign w:val="top"/>
          </w:tcPr>
          <w:p w14:paraId="500C629D">
            <w:pPr>
              <w:rPr>
                <w:rFonts w:ascii="Arial"/>
                <w:color w:val="auto"/>
                <w:sz w:val="21"/>
                <w:highlight w:val="none"/>
              </w:rPr>
            </w:pPr>
          </w:p>
        </w:tc>
        <w:tc>
          <w:tcPr>
            <w:tcW w:w="1218" w:type="dxa"/>
            <w:gridSpan w:val="2"/>
            <w:vAlign w:val="top"/>
          </w:tcPr>
          <w:p w14:paraId="5B0E9750">
            <w:pPr>
              <w:rPr>
                <w:rFonts w:ascii="Arial"/>
                <w:color w:val="auto"/>
                <w:sz w:val="21"/>
                <w:highlight w:val="none"/>
              </w:rPr>
            </w:pPr>
          </w:p>
        </w:tc>
        <w:tc>
          <w:tcPr>
            <w:tcW w:w="1131" w:type="dxa"/>
            <w:vAlign w:val="top"/>
          </w:tcPr>
          <w:p w14:paraId="171C2618">
            <w:pPr>
              <w:rPr>
                <w:rFonts w:ascii="Arial"/>
                <w:color w:val="auto"/>
                <w:sz w:val="21"/>
                <w:highlight w:val="none"/>
              </w:rPr>
            </w:pPr>
          </w:p>
        </w:tc>
        <w:tc>
          <w:tcPr>
            <w:tcW w:w="1166" w:type="dxa"/>
            <w:tcBorders>
              <w:right w:val="single" w:color="000000" w:sz="4" w:space="0"/>
            </w:tcBorders>
            <w:vAlign w:val="top"/>
          </w:tcPr>
          <w:p w14:paraId="3C57B590">
            <w:pPr>
              <w:rPr>
                <w:rFonts w:ascii="Arial"/>
                <w:color w:val="auto"/>
                <w:sz w:val="21"/>
                <w:highlight w:val="none"/>
              </w:rPr>
            </w:pPr>
          </w:p>
        </w:tc>
      </w:tr>
      <w:tr w14:paraId="6122D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792" w:type="dxa"/>
            <w:tcBorders>
              <w:top w:val="single" w:color="000000" w:sz="4" w:space="0"/>
              <w:left w:val="single" w:color="000000" w:sz="4" w:space="0"/>
            </w:tcBorders>
            <w:vAlign w:val="top"/>
          </w:tcPr>
          <w:p w14:paraId="7A9F3E46">
            <w:pPr>
              <w:spacing w:before="169" w:line="184" w:lineRule="auto"/>
              <w:ind w:left="342"/>
              <w:rPr>
                <w:rFonts w:ascii="黑体" w:hAnsi="黑体" w:eastAsia="黑体" w:cs="黑体"/>
                <w:color w:val="auto"/>
                <w:sz w:val="21"/>
                <w:szCs w:val="21"/>
                <w:highlight w:val="none"/>
              </w:rPr>
            </w:pPr>
            <w:r>
              <w:rPr>
                <w:rFonts w:ascii="黑体" w:hAnsi="黑体" w:eastAsia="黑体" w:cs="黑体"/>
                <w:color w:val="auto"/>
                <w:sz w:val="21"/>
                <w:szCs w:val="21"/>
                <w:highlight w:val="none"/>
              </w:rPr>
              <w:t>2</w:t>
            </w:r>
          </w:p>
        </w:tc>
        <w:tc>
          <w:tcPr>
            <w:tcW w:w="1911" w:type="dxa"/>
            <w:tcBorders>
              <w:right w:val="single" w:color="000000" w:sz="4" w:space="0"/>
            </w:tcBorders>
            <w:vAlign w:val="top"/>
          </w:tcPr>
          <w:p w14:paraId="4399C8A6">
            <w:pPr>
              <w:rPr>
                <w:rFonts w:ascii="Arial"/>
                <w:color w:val="auto"/>
                <w:sz w:val="21"/>
                <w:highlight w:val="none"/>
              </w:rPr>
            </w:pPr>
          </w:p>
        </w:tc>
        <w:tc>
          <w:tcPr>
            <w:tcW w:w="717" w:type="dxa"/>
            <w:tcBorders>
              <w:left w:val="single" w:color="000000" w:sz="4" w:space="0"/>
            </w:tcBorders>
            <w:vAlign w:val="top"/>
          </w:tcPr>
          <w:p w14:paraId="25046F0E">
            <w:pPr>
              <w:rPr>
                <w:rFonts w:ascii="Arial"/>
                <w:color w:val="auto"/>
                <w:sz w:val="21"/>
                <w:highlight w:val="none"/>
              </w:rPr>
            </w:pPr>
          </w:p>
        </w:tc>
        <w:tc>
          <w:tcPr>
            <w:tcW w:w="899" w:type="dxa"/>
            <w:tcBorders>
              <w:right w:val="single" w:color="000000" w:sz="4" w:space="0"/>
            </w:tcBorders>
            <w:vAlign w:val="top"/>
          </w:tcPr>
          <w:p w14:paraId="2750AFB7">
            <w:pPr>
              <w:rPr>
                <w:rFonts w:ascii="Arial"/>
                <w:color w:val="auto"/>
                <w:sz w:val="21"/>
                <w:highlight w:val="none"/>
              </w:rPr>
            </w:pPr>
          </w:p>
        </w:tc>
        <w:tc>
          <w:tcPr>
            <w:tcW w:w="904" w:type="dxa"/>
            <w:tcBorders>
              <w:left w:val="single" w:color="000000" w:sz="4" w:space="0"/>
            </w:tcBorders>
            <w:vAlign w:val="top"/>
          </w:tcPr>
          <w:p w14:paraId="08B57B00">
            <w:pPr>
              <w:rPr>
                <w:rFonts w:ascii="Arial"/>
                <w:color w:val="auto"/>
                <w:sz w:val="21"/>
                <w:highlight w:val="none"/>
              </w:rPr>
            </w:pPr>
          </w:p>
        </w:tc>
        <w:tc>
          <w:tcPr>
            <w:tcW w:w="1218" w:type="dxa"/>
            <w:gridSpan w:val="2"/>
            <w:vAlign w:val="top"/>
          </w:tcPr>
          <w:p w14:paraId="516ED4D0">
            <w:pPr>
              <w:rPr>
                <w:rFonts w:ascii="Arial"/>
                <w:color w:val="auto"/>
                <w:sz w:val="21"/>
                <w:highlight w:val="none"/>
              </w:rPr>
            </w:pPr>
          </w:p>
        </w:tc>
        <w:tc>
          <w:tcPr>
            <w:tcW w:w="1131" w:type="dxa"/>
            <w:vAlign w:val="top"/>
          </w:tcPr>
          <w:p w14:paraId="4BBDE8BE">
            <w:pPr>
              <w:rPr>
                <w:rFonts w:ascii="Arial"/>
                <w:color w:val="auto"/>
                <w:sz w:val="21"/>
                <w:highlight w:val="none"/>
              </w:rPr>
            </w:pPr>
          </w:p>
        </w:tc>
        <w:tc>
          <w:tcPr>
            <w:tcW w:w="1166" w:type="dxa"/>
            <w:tcBorders>
              <w:right w:val="single" w:color="000000" w:sz="4" w:space="0"/>
            </w:tcBorders>
            <w:vAlign w:val="top"/>
          </w:tcPr>
          <w:p w14:paraId="12ADC82B">
            <w:pPr>
              <w:rPr>
                <w:rFonts w:ascii="Arial"/>
                <w:color w:val="auto"/>
                <w:sz w:val="21"/>
                <w:highlight w:val="none"/>
              </w:rPr>
            </w:pPr>
          </w:p>
        </w:tc>
      </w:tr>
      <w:tr w14:paraId="4C14A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792" w:type="dxa"/>
            <w:tcBorders>
              <w:left w:val="single" w:color="000000" w:sz="4" w:space="0"/>
            </w:tcBorders>
            <w:vAlign w:val="top"/>
          </w:tcPr>
          <w:p w14:paraId="1D8C4D26">
            <w:pPr>
              <w:spacing w:before="168" w:line="184" w:lineRule="auto"/>
              <w:ind w:left="344"/>
              <w:rPr>
                <w:rFonts w:ascii="黑体" w:hAnsi="黑体" w:eastAsia="黑体" w:cs="黑体"/>
                <w:color w:val="auto"/>
                <w:sz w:val="21"/>
                <w:szCs w:val="21"/>
                <w:highlight w:val="none"/>
              </w:rPr>
            </w:pPr>
            <w:r>
              <w:rPr>
                <w:rFonts w:ascii="黑体" w:hAnsi="黑体" w:eastAsia="黑体" w:cs="黑体"/>
                <w:color w:val="auto"/>
                <w:sz w:val="21"/>
                <w:szCs w:val="21"/>
                <w:highlight w:val="none"/>
              </w:rPr>
              <w:t>3</w:t>
            </w:r>
          </w:p>
        </w:tc>
        <w:tc>
          <w:tcPr>
            <w:tcW w:w="1911" w:type="dxa"/>
            <w:tcBorders>
              <w:right w:val="single" w:color="000000" w:sz="4" w:space="0"/>
            </w:tcBorders>
            <w:vAlign w:val="top"/>
          </w:tcPr>
          <w:p w14:paraId="1C31E786">
            <w:pPr>
              <w:rPr>
                <w:rFonts w:ascii="Arial"/>
                <w:color w:val="auto"/>
                <w:sz w:val="21"/>
                <w:highlight w:val="none"/>
              </w:rPr>
            </w:pPr>
          </w:p>
        </w:tc>
        <w:tc>
          <w:tcPr>
            <w:tcW w:w="717" w:type="dxa"/>
            <w:tcBorders>
              <w:left w:val="single" w:color="000000" w:sz="4" w:space="0"/>
            </w:tcBorders>
            <w:vAlign w:val="top"/>
          </w:tcPr>
          <w:p w14:paraId="407B83FE">
            <w:pPr>
              <w:rPr>
                <w:rFonts w:ascii="Arial"/>
                <w:color w:val="auto"/>
                <w:sz w:val="21"/>
                <w:highlight w:val="none"/>
              </w:rPr>
            </w:pPr>
          </w:p>
        </w:tc>
        <w:tc>
          <w:tcPr>
            <w:tcW w:w="899" w:type="dxa"/>
            <w:tcBorders>
              <w:right w:val="single" w:color="000000" w:sz="4" w:space="0"/>
            </w:tcBorders>
            <w:vAlign w:val="top"/>
          </w:tcPr>
          <w:p w14:paraId="620C3BFB">
            <w:pPr>
              <w:rPr>
                <w:rFonts w:ascii="Arial"/>
                <w:color w:val="auto"/>
                <w:sz w:val="21"/>
                <w:highlight w:val="none"/>
              </w:rPr>
            </w:pPr>
          </w:p>
        </w:tc>
        <w:tc>
          <w:tcPr>
            <w:tcW w:w="904" w:type="dxa"/>
            <w:tcBorders>
              <w:left w:val="single" w:color="000000" w:sz="4" w:space="0"/>
            </w:tcBorders>
            <w:vAlign w:val="top"/>
          </w:tcPr>
          <w:p w14:paraId="2CBBCCAD">
            <w:pPr>
              <w:rPr>
                <w:rFonts w:ascii="Arial"/>
                <w:color w:val="auto"/>
                <w:sz w:val="21"/>
                <w:highlight w:val="none"/>
              </w:rPr>
            </w:pPr>
          </w:p>
        </w:tc>
        <w:tc>
          <w:tcPr>
            <w:tcW w:w="1218" w:type="dxa"/>
            <w:gridSpan w:val="2"/>
            <w:vAlign w:val="top"/>
          </w:tcPr>
          <w:p w14:paraId="1F2AF190">
            <w:pPr>
              <w:rPr>
                <w:rFonts w:ascii="Arial"/>
                <w:color w:val="auto"/>
                <w:sz w:val="21"/>
                <w:highlight w:val="none"/>
              </w:rPr>
            </w:pPr>
          </w:p>
        </w:tc>
        <w:tc>
          <w:tcPr>
            <w:tcW w:w="1131" w:type="dxa"/>
            <w:vAlign w:val="top"/>
          </w:tcPr>
          <w:p w14:paraId="2D3B88AE">
            <w:pPr>
              <w:rPr>
                <w:rFonts w:ascii="Arial"/>
                <w:color w:val="auto"/>
                <w:sz w:val="21"/>
                <w:highlight w:val="none"/>
              </w:rPr>
            </w:pPr>
          </w:p>
        </w:tc>
        <w:tc>
          <w:tcPr>
            <w:tcW w:w="1166" w:type="dxa"/>
            <w:tcBorders>
              <w:right w:val="single" w:color="000000" w:sz="4" w:space="0"/>
            </w:tcBorders>
            <w:vAlign w:val="top"/>
          </w:tcPr>
          <w:p w14:paraId="3FFC6165">
            <w:pPr>
              <w:rPr>
                <w:rFonts w:ascii="Arial"/>
                <w:color w:val="auto"/>
                <w:sz w:val="21"/>
                <w:highlight w:val="none"/>
              </w:rPr>
            </w:pPr>
          </w:p>
        </w:tc>
      </w:tr>
      <w:tr w14:paraId="287C0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421" w:type="dxa"/>
            <w:gridSpan w:val="6"/>
            <w:tcBorders>
              <w:left w:val="single" w:color="000000" w:sz="4" w:space="0"/>
              <w:right w:val="single" w:color="000000" w:sz="4" w:space="0"/>
            </w:tcBorders>
            <w:vAlign w:val="top"/>
          </w:tcPr>
          <w:p w14:paraId="7F98C8C7">
            <w:pPr>
              <w:pStyle w:val="11"/>
              <w:spacing w:before="139" w:line="222" w:lineRule="auto"/>
              <w:ind w:left="2804"/>
              <w:rPr>
                <w:color w:val="auto"/>
                <w:highlight w:val="none"/>
              </w:rPr>
            </w:pPr>
            <w:r>
              <w:rPr>
                <w:color w:val="auto"/>
                <w:spacing w:val="-1"/>
                <w:highlight w:val="none"/>
              </w:rPr>
              <w:t>人工小计</w:t>
            </w:r>
          </w:p>
        </w:tc>
        <w:tc>
          <w:tcPr>
            <w:tcW w:w="1151" w:type="dxa"/>
            <w:gridSpan w:val="2"/>
            <w:tcBorders>
              <w:left w:val="single" w:color="000000" w:sz="4" w:space="0"/>
              <w:right w:val="single" w:color="000000" w:sz="4" w:space="0"/>
            </w:tcBorders>
            <w:vAlign w:val="top"/>
          </w:tcPr>
          <w:p w14:paraId="6C3B056C">
            <w:pPr>
              <w:rPr>
                <w:rFonts w:ascii="Arial"/>
                <w:color w:val="auto"/>
                <w:sz w:val="21"/>
                <w:highlight w:val="none"/>
              </w:rPr>
            </w:pPr>
          </w:p>
        </w:tc>
        <w:tc>
          <w:tcPr>
            <w:tcW w:w="1166" w:type="dxa"/>
            <w:tcBorders>
              <w:left w:val="single" w:color="000000" w:sz="4" w:space="0"/>
              <w:right w:val="single" w:color="000000" w:sz="4" w:space="0"/>
            </w:tcBorders>
            <w:vAlign w:val="top"/>
          </w:tcPr>
          <w:p w14:paraId="32788D7B">
            <w:pPr>
              <w:rPr>
                <w:rFonts w:ascii="Arial"/>
                <w:color w:val="auto"/>
                <w:sz w:val="21"/>
                <w:highlight w:val="none"/>
              </w:rPr>
            </w:pPr>
          </w:p>
        </w:tc>
      </w:tr>
      <w:tr w14:paraId="3A80F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2" w:type="dxa"/>
            <w:tcBorders>
              <w:left w:val="single" w:color="000000" w:sz="4" w:space="0"/>
            </w:tcBorders>
            <w:vAlign w:val="top"/>
          </w:tcPr>
          <w:p w14:paraId="0DC25C82">
            <w:pPr>
              <w:pStyle w:val="11"/>
              <w:spacing w:before="174" w:line="179" w:lineRule="auto"/>
              <w:ind w:left="294"/>
              <w:rPr>
                <w:color w:val="auto"/>
                <w:highlight w:val="none"/>
              </w:rPr>
            </w:pPr>
            <w:r>
              <w:rPr>
                <w:color w:val="auto"/>
                <w:highlight w:val="none"/>
              </w:rPr>
              <w:t>二</w:t>
            </w:r>
          </w:p>
        </w:tc>
        <w:tc>
          <w:tcPr>
            <w:tcW w:w="1911" w:type="dxa"/>
            <w:tcBorders>
              <w:right w:val="single" w:color="000000" w:sz="4" w:space="0"/>
            </w:tcBorders>
            <w:vAlign w:val="top"/>
          </w:tcPr>
          <w:p w14:paraId="3F256B31">
            <w:pPr>
              <w:pStyle w:val="11"/>
              <w:spacing w:before="135" w:line="220" w:lineRule="auto"/>
              <w:ind w:left="745"/>
              <w:rPr>
                <w:color w:val="auto"/>
                <w:highlight w:val="none"/>
              </w:rPr>
            </w:pPr>
            <w:r>
              <w:rPr>
                <w:color w:val="auto"/>
                <w:spacing w:val="-2"/>
                <w:highlight w:val="none"/>
              </w:rPr>
              <w:t>材料</w:t>
            </w:r>
          </w:p>
        </w:tc>
        <w:tc>
          <w:tcPr>
            <w:tcW w:w="717" w:type="dxa"/>
            <w:tcBorders>
              <w:left w:val="single" w:color="000000" w:sz="4" w:space="0"/>
            </w:tcBorders>
            <w:vAlign w:val="top"/>
          </w:tcPr>
          <w:p w14:paraId="37075142">
            <w:pPr>
              <w:rPr>
                <w:rFonts w:ascii="Arial"/>
                <w:color w:val="auto"/>
                <w:sz w:val="21"/>
                <w:highlight w:val="none"/>
              </w:rPr>
            </w:pPr>
          </w:p>
        </w:tc>
        <w:tc>
          <w:tcPr>
            <w:tcW w:w="899" w:type="dxa"/>
            <w:tcBorders>
              <w:right w:val="single" w:color="000000" w:sz="4" w:space="0"/>
            </w:tcBorders>
            <w:vAlign w:val="top"/>
          </w:tcPr>
          <w:p w14:paraId="08CA72EB">
            <w:pPr>
              <w:rPr>
                <w:rFonts w:ascii="Arial"/>
                <w:color w:val="auto"/>
                <w:sz w:val="21"/>
                <w:highlight w:val="none"/>
              </w:rPr>
            </w:pPr>
          </w:p>
        </w:tc>
        <w:tc>
          <w:tcPr>
            <w:tcW w:w="904" w:type="dxa"/>
            <w:tcBorders>
              <w:left w:val="single" w:color="000000" w:sz="4" w:space="0"/>
            </w:tcBorders>
            <w:vAlign w:val="top"/>
          </w:tcPr>
          <w:p w14:paraId="67BD3402">
            <w:pPr>
              <w:rPr>
                <w:rFonts w:ascii="Arial"/>
                <w:color w:val="auto"/>
                <w:sz w:val="21"/>
                <w:highlight w:val="none"/>
              </w:rPr>
            </w:pPr>
          </w:p>
        </w:tc>
        <w:tc>
          <w:tcPr>
            <w:tcW w:w="1218" w:type="dxa"/>
            <w:gridSpan w:val="2"/>
            <w:vAlign w:val="top"/>
          </w:tcPr>
          <w:p w14:paraId="60581DCF">
            <w:pPr>
              <w:rPr>
                <w:rFonts w:ascii="Arial"/>
                <w:color w:val="auto"/>
                <w:sz w:val="21"/>
                <w:highlight w:val="none"/>
              </w:rPr>
            </w:pPr>
          </w:p>
        </w:tc>
        <w:tc>
          <w:tcPr>
            <w:tcW w:w="1131" w:type="dxa"/>
            <w:vAlign w:val="top"/>
          </w:tcPr>
          <w:p w14:paraId="32610AE7">
            <w:pPr>
              <w:rPr>
                <w:rFonts w:ascii="Arial"/>
                <w:color w:val="auto"/>
                <w:sz w:val="21"/>
                <w:highlight w:val="none"/>
              </w:rPr>
            </w:pPr>
          </w:p>
        </w:tc>
        <w:tc>
          <w:tcPr>
            <w:tcW w:w="1166" w:type="dxa"/>
            <w:tcBorders>
              <w:right w:val="single" w:color="000000" w:sz="4" w:space="0"/>
            </w:tcBorders>
            <w:vAlign w:val="top"/>
          </w:tcPr>
          <w:p w14:paraId="162E7378">
            <w:pPr>
              <w:rPr>
                <w:rFonts w:ascii="Arial"/>
                <w:color w:val="auto"/>
                <w:sz w:val="21"/>
                <w:highlight w:val="none"/>
              </w:rPr>
            </w:pPr>
          </w:p>
        </w:tc>
      </w:tr>
      <w:tr w14:paraId="75117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14:paraId="1270B67C">
            <w:pPr>
              <w:spacing w:before="174" w:line="183" w:lineRule="auto"/>
              <w:ind w:left="355"/>
              <w:rPr>
                <w:rFonts w:ascii="黑体" w:hAnsi="黑体" w:eastAsia="黑体" w:cs="黑体"/>
                <w:color w:val="auto"/>
                <w:sz w:val="21"/>
                <w:szCs w:val="21"/>
                <w:highlight w:val="none"/>
              </w:rPr>
            </w:pPr>
            <w:r>
              <w:rPr>
                <w:rFonts w:ascii="黑体" w:hAnsi="黑体" w:eastAsia="黑体" w:cs="黑体"/>
                <w:color w:val="auto"/>
                <w:sz w:val="21"/>
                <w:szCs w:val="21"/>
                <w:highlight w:val="none"/>
              </w:rPr>
              <w:t>1</w:t>
            </w:r>
          </w:p>
        </w:tc>
        <w:tc>
          <w:tcPr>
            <w:tcW w:w="1911" w:type="dxa"/>
            <w:tcBorders>
              <w:right w:val="single" w:color="000000" w:sz="4" w:space="0"/>
            </w:tcBorders>
            <w:vAlign w:val="top"/>
          </w:tcPr>
          <w:p w14:paraId="7EDFE783">
            <w:pPr>
              <w:rPr>
                <w:rFonts w:ascii="Arial"/>
                <w:color w:val="auto"/>
                <w:sz w:val="21"/>
                <w:highlight w:val="none"/>
              </w:rPr>
            </w:pPr>
          </w:p>
        </w:tc>
        <w:tc>
          <w:tcPr>
            <w:tcW w:w="717" w:type="dxa"/>
            <w:tcBorders>
              <w:left w:val="single" w:color="000000" w:sz="4" w:space="0"/>
            </w:tcBorders>
            <w:vAlign w:val="top"/>
          </w:tcPr>
          <w:p w14:paraId="0A03C829">
            <w:pPr>
              <w:rPr>
                <w:rFonts w:ascii="Arial"/>
                <w:color w:val="auto"/>
                <w:sz w:val="21"/>
                <w:highlight w:val="none"/>
              </w:rPr>
            </w:pPr>
          </w:p>
        </w:tc>
        <w:tc>
          <w:tcPr>
            <w:tcW w:w="899" w:type="dxa"/>
            <w:tcBorders>
              <w:right w:val="single" w:color="000000" w:sz="4" w:space="0"/>
            </w:tcBorders>
            <w:vAlign w:val="top"/>
          </w:tcPr>
          <w:p w14:paraId="08844755">
            <w:pPr>
              <w:rPr>
                <w:rFonts w:ascii="Arial"/>
                <w:color w:val="auto"/>
                <w:sz w:val="21"/>
                <w:highlight w:val="none"/>
              </w:rPr>
            </w:pPr>
          </w:p>
        </w:tc>
        <w:tc>
          <w:tcPr>
            <w:tcW w:w="904" w:type="dxa"/>
            <w:tcBorders>
              <w:left w:val="single" w:color="000000" w:sz="4" w:space="0"/>
            </w:tcBorders>
            <w:vAlign w:val="top"/>
          </w:tcPr>
          <w:p w14:paraId="0A53511D">
            <w:pPr>
              <w:rPr>
                <w:rFonts w:ascii="Arial"/>
                <w:color w:val="auto"/>
                <w:sz w:val="21"/>
                <w:highlight w:val="none"/>
              </w:rPr>
            </w:pPr>
          </w:p>
        </w:tc>
        <w:tc>
          <w:tcPr>
            <w:tcW w:w="1218" w:type="dxa"/>
            <w:gridSpan w:val="2"/>
            <w:vAlign w:val="top"/>
          </w:tcPr>
          <w:p w14:paraId="4977962C">
            <w:pPr>
              <w:rPr>
                <w:rFonts w:ascii="Arial"/>
                <w:color w:val="auto"/>
                <w:sz w:val="21"/>
                <w:highlight w:val="none"/>
              </w:rPr>
            </w:pPr>
          </w:p>
        </w:tc>
        <w:tc>
          <w:tcPr>
            <w:tcW w:w="1131" w:type="dxa"/>
            <w:vAlign w:val="top"/>
          </w:tcPr>
          <w:p w14:paraId="2F9B208C">
            <w:pPr>
              <w:rPr>
                <w:rFonts w:ascii="Arial"/>
                <w:color w:val="auto"/>
                <w:sz w:val="21"/>
                <w:highlight w:val="none"/>
              </w:rPr>
            </w:pPr>
          </w:p>
        </w:tc>
        <w:tc>
          <w:tcPr>
            <w:tcW w:w="1166" w:type="dxa"/>
            <w:tcBorders>
              <w:right w:val="single" w:color="000000" w:sz="4" w:space="0"/>
            </w:tcBorders>
            <w:vAlign w:val="top"/>
          </w:tcPr>
          <w:p w14:paraId="492CFAD6">
            <w:pPr>
              <w:rPr>
                <w:rFonts w:ascii="Arial"/>
                <w:color w:val="auto"/>
                <w:sz w:val="21"/>
                <w:highlight w:val="none"/>
              </w:rPr>
            </w:pPr>
          </w:p>
        </w:tc>
      </w:tr>
      <w:tr w14:paraId="1760B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2" w:type="dxa"/>
            <w:tcBorders>
              <w:left w:val="single" w:color="000000" w:sz="4" w:space="0"/>
            </w:tcBorders>
            <w:vAlign w:val="top"/>
          </w:tcPr>
          <w:p w14:paraId="6C3E545D">
            <w:pPr>
              <w:spacing w:before="169" w:line="184" w:lineRule="auto"/>
              <w:ind w:left="342"/>
              <w:rPr>
                <w:rFonts w:ascii="黑体" w:hAnsi="黑体" w:eastAsia="黑体" w:cs="黑体"/>
                <w:color w:val="auto"/>
                <w:sz w:val="21"/>
                <w:szCs w:val="21"/>
                <w:highlight w:val="none"/>
              </w:rPr>
            </w:pPr>
            <w:r>
              <w:rPr>
                <w:rFonts w:ascii="黑体" w:hAnsi="黑体" w:eastAsia="黑体" w:cs="黑体"/>
                <w:color w:val="auto"/>
                <w:sz w:val="21"/>
                <w:szCs w:val="21"/>
                <w:highlight w:val="none"/>
              </w:rPr>
              <w:t>2</w:t>
            </w:r>
          </w:p>
        </w:tc>
        <w:tc>
          <w:tcPr>
            <w:tcW w:w="1911" w:type="dxa"/>
            <w:tcBorders>
              <w:right w:val="single" w:color="000000" w:sz="4" w:space="0"/>
            </w:tcBorders>
            <w:vAlign w:val="top"/>
          </w:tcPr>
          <w:p w14:paraId="71B9C117">
            <w:pPr>
              <w:rPr>
                <w:rFonts w:ascii="Arial"/>
                <w:color w:val="auto"/>
                <w:sz w:val="21"/>
                <w:highlight w:val="none"/>
              </w:rPr>
            </w:pPr>
          </w:p>
        </w:tc>
        <w:tc>
          <w:tcPr>
            <w:tcW w:w="717" w:type="dxa"/>
            <w:tcBorders>
              <w:left w:val="single" w:color="000000" w:sz="4" w:space="0"/>
            </w:tcBorders>
            <w:vAlign w:val="top"/>
          </w:tcPr>
          <w:p w14:paraId="7DBBEC4A">
            <w:pPr>
              <w:rPr>
                <w:rFonts w:ascii="Arial"/>
                <w:color w:val="auto"/>
                <w:sz w:val="21"/>
                <w:highlight w:val="none"/>
              </w:rPr>
            </w:pPr>
          </w:p>
        </w:tc>
        <w:tc>
          <w:tcPr>
            <w:tcW w:w="899" w:type="dxa"/>
            <w:tcBorders>
              <w:right w:val="single" w:color="000000" w:sz="4" w:space="0"/>
            </w:tcBorders>
            <w:vAlign w:val="top"/>
          </w:tcPr>
          <w:p w14:paraId="267EFF42">
            <w:pPr>
              <w:rPr>
                <w:rFonts w:ascii="Arial"/>
                <w:color w:val="auto"/>
                <w:sz w:val="21"/>
                <w:highlight w:val="none"/>
              </w:rPr>
            </w:pPr>
          </w:p>
        </w:tc>
        <w:tc>
          <w:tcPr>
            <w:tcW w:w="904" w:type="dxa"/>
            <w:tcBorders>
              <w:left w:val="single" w:color="000000" w:sz="4" w:space="0"/>
            </w:tcBorders>
            <w:vAlign w:val="top"/>
          </w:tcPr>
          <w:p w14:paraId="31E8FD0D">
            <w:pPr>
              <w:rPr>
                <w:rFonts w:ascii="Arial"/>
                <w:color w:val="auto"/>
                <w:sz w:val="21"/>
                <w:highlight w:val="none"/>
              </w:rPr>
            </w:pPr>
          </w:p>
        </w:tc>
        <w:tc>
          <w:tcPr>
            <w:tcW w:w="1218" w:type="dxa"/>
            <w:gridSpan w:val="2"/>
            <w:vAlign w:val="top"/>
          </w:tcPr>
          <w:p w14:paraId="74A7C50E">
            <w:pPr>
              <w:rPr>
                <w:rFonts w:ascii="Arial"/>
                <w:color w:val="auto"/>
                <w:sz w:val="21"/>
                <w:highlight w:val="none"/>
              </w:rPr>
            </w:pPr>
          </w:p>
        </w:tc>
        <w:tc>
          <w:tcPr>
            <w:tcW w:w="1131" w:type="dxa"/>
            <w:vAlign w:val="top"/>
          </w:tcPr>
          <w:p w14:paraId="2F5E7860">
            <w:pPr>
              <w:rPr>
                <w:rFonts w:ascii="Arial"/>
                <w:color w:val="auto"/>
                <w:sz w:val="21"/>
                <w:highlight w:val="none"/>
              </w:rPr>
            </w:pPr>
          </w:p>
        </w:tc>
        <w:tc>
          <w:tcPr>
            <w:tcW w:w="1166" w:type="dxa"/>
            <w:tcBorders>
              <w:right w:val="single" w:color="000000" w:sz="4" w:space="0"/>
            </w:tcBorders>
            <w:vAlign w:val="top"/>
          </w:tcPr>
          <w:p w14:paraId="0B19E80E">
            <w:pPr>
              <w:rPr>
                <w:rFonts w:ascii="Arial"/>
                <w:color w:val="auto"/>
                <w:sz w:val="21"/>
                <w:highlight w:val="none"/>
              </w:rPr>
            </w:pPr>
          </w:p>
        </w:tc>
      </w:tr>
      <w:tr w14:paraId="5DF19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14:paraId="5FD0441A">
            <w:pPr>
              <w:spacing w:before="175" w:line="184" w:lineRule="auto"/>
              <w:ind w:left="344"/>
              <w:rPr>
                <w:rFonts w:ascii="黑体" w:hAnsi="黑体" w:eastAsia="黑体" w:cs="黑体"/>
                <w:color w:val="auto"/>
                <w:sz w:val="21"/>
                <w:szCs w:val="21"/>
                <w:highlight w:val="none"/>
              </w:rPr>
            </w:pPr>
            <w:r>
              <w:rPr>
                <w:rFonts w:ascii="黑体" w:hAnsi="黑体" w:eastAsia="黑体" w:cs="黑体"/>
                <w:color w:val="auto"/>
                <w:sz w:val="21"/>
                <w:szCs w:val="21"/>
                <w:highlight w:val="none"/>
              </w:rPr>
              <w:t>3</w:t>
            </w:r>
          </w:p>
        </w:tc>
        <w:tc>
          <w:tcPr>
            <w:tcW w:w="1911" w:type="dxa"/>
            <w:tcBorders>
              <w:right w:val="single" w:color="000000" w:sz="4" w:space="0"/>
            </w:tcBorders>
            <w:vAlign w:val="top"/>
          </w:tcPr>
          <w:p w14:paraId="3D169665">
            <w:pPr>
              <w:rPr>
                <w:rFonts w:ascii="Arial"/>
                <w:color w:val="auto"/>
                <w:sz w:val="21"/>
                <w:highlight w:val="none"/>
              </w:rPr>
            </w:pPr>
          </w:p>
        </w:tc>
        <w:tc>
          <w:tcPr>
            <w:tcW w:w="717" w:type="dxa"/>
            <w:tcBorders>
              <w:left w:val="single" w:color="000000" w:sz="4" w:space="0"/>
            </w:tcBorders>
            <w:vAlign w:val="top"/>
          </w:tcPr>
          <w:p w14:paraId="3289E9E1">
            <w:pPr>
              <w:rPr>
                <w:rFonts w:ascii="Arial"/>
                <w:color w:val="auto"/>
                <w:sz w:val="21"/>
                <w:highlight w:val="none"/>
              </w:rPr>
            </w:pPr>
          </w:p>
        </w:tc>
        <w:tc>
          <w:tcPr>
            <w:tcW w:w="899" w:type="dxa"/>
            <w:tcBorders>
              <w:right w:val="single" w:color="000000" w:sz="4" w:space="0"/>
            </w:tcBorders>
            <w:vAlign w:val="top"/>
          </w:tcPr>
          <w:p w14:paraId="34B17FA5">
            <w:pPr>
              <w:rPr>
                <w:rFonts w:ascii="Arial"/>
                <w:color w:val="auto"/>
                <w:sz w:val="21"/>
                <w:highlight w:val="none"/>
              </w:rPr>
            </w:pPr>
          </w:p>
        </w:tc>
        <w:tc>
          <w:tcPr>
            <w:tcW w:w="904" w:type="dxa"/>
            <w:tcBorders>
              <w:left w:val="single" w:color="000000" w:sz="4" w:space="0"/>
            </w:tcBorders>
            <w:vAlign w:val="top"/>
          </w:tcPr>
          <w:p w14:paraId="56A1D690">
            <w:pPr>
              <w:rPr>
                <w:rFonts w:ascii="Arial"/>
                <w:color w:val="auto"/>
                <w:sz w:val="21"/>
                <w:highlight w:val="none"/>
              </w:rPr>
            </w:pPr>
          </w:p>
        </w:tc>
        <w:tc>
          <w:tcPr>
            <w:tcW w:w="1218" w:type="dxa"/>
            <w:gridSpan w:val="2"/>
            <w:vAlign w:val="top"/>
          </w:tcPr>
          <w:p w14:paraId="1F0C2C0B">
            <w:pPr>
              <w:rPr>
                <w:rFonts w:ascii="Arial"/>
                <w:color w:val="auto"/>
                <w:sz w:val="21"/>
                <w:highlight w:val="none"/>
              </w:rPr>
            </w:pPr>
          </w:p>
        </w:tc>
        <w:tc>
          <w:tcPr>
            <w:tcW w:w="1131" w:type="dxa"/>
            <w:vAlign w:val="top"/>
          </w:tcPr>
          <w:p w14:paraId="707B23FB">
            <w:pPr>
              <w:rPr>
                <w:rFonts w:ascii="Arial"/>
                <w:color w:val="auto"/>
                <w:sz w:val="21"/>
                <w:highlight w:val="none"/>
              </w:rPr>
            </w:pPr>
          </w:p>
        </w:tc>
        <w:tc>
          <w:tcPr>
            <w:tcW w:w="1166" w:type="dxa"/>
            <w:tcBorders>
              <w:right w:val="single" w:color="000000" w:sz="4" w:space="0"/>
            </w:tcBorders>
            <w:vAlign w:val="top"/>
          </w:tcPr>
          <w:p w14:paraId="122F9EDB">
            <w:pPr>
              <w:rPr>
                <w:rFonts w:ascii="Arial"/>
                <w:color w:val="auto"/>
                <w:sz w:val="21"/>
                <w:highlight w:val="none"/>
              </w:rPr>
            </w:pPr>
          </w:p>
        </w:tc>
      </w:tr>
      <w:tr w14:paraId="523D3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421" w:type="dxa"/>
            <w:gridSpan w:val="6"/>
            <w:tcBorders>
              <w:left w:val="single" w:color="000000" w:sz="4" w:space="0"/>
              <w:right w:val="single" w:color="000000" w:sz="4" w:space="0"/>
            </w:tcBorders>
            <w:vAlign w:val="top"/>
          </w:tcPr>
          <w:p w14:paraId="69DDE9B8">
            <w:pPr>
              <w:pStyle w:val="11"/>
              <w:spacing w:before="137" w:line="220" w:lineRule="auto"/>
              <w:ind w:left="2802"/>
              <w:rPr>
                <w:color w:val="auto"/>
                <w:highlight w:val="none"/>
              </w:rPr>
            </w:pPr>
            <w:r>
              <w:rPr>
                <w:color w:val="auto"/>
                <w:spacing w:val="-1"/>
                <w:highlight w:val="none"/>
              </w:rPr>
              <w:t>材料小计</w:t>
            </w:r>
          </w:p>
        </w:tc>
        <w:tc>
          <w:tcPr>
            <w:tcW w:w="1151" w:type="dxa"/>
            <w:gridSpan w:val="2"/>
            <w:tcBorders>
              <w:left w:val="single" w:color="000000" w:sz="4" w:space="0"/>
              <w:right w:val="single" w:color="000000" w:sz="4" w:space="0"/>
            </w:tcBorders>
            <w:vAlign w:val="top"/>
          </w:tcPr>
          <w:p w14:paraId="1F33100D">
            <w:pPr>
              <w:rPr>
                <w:rFonts w:ascii="Arial"/>
                <w:color w:val="auto"/>
                <w:sz w:val="21"/>
                <w:highlight w:val="none"/>
              </w:rPr>
            </w:pPr>
          </w:p>
        </w:tc>
        <w:tc>
          <w:tcPr>
            <w:tcW w:w="1166" w:type="dxa"/>
            <w:tcBorders>
              <w:left w:val="single" w:color="000000" w:sz="4" w:space="0"/>
              <w:right w:val="single" w:color="000000" w:sz="4" w:space="0"/>
            </w:tcBorders>
            <w:vAlign w:val="top"/>
          </w:tcPr>
          <w:p w14:paraId="3782BF2A">
            <w:pPr>
              <w:rPr>
                <w:rFonts w:ascii="Arial"/>
                <w:color w:val="auto"/>
                <w:sz w:val="21"/>
                <w:highlight w:val="none"/>
              </w:rPr>
            </w:pPr>
          </w:p>
        </w:tc>
      </w:tr>
      <w:tr w14:paraId="1F4CD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14:paraId="14D96068">
            <w:pPr>
              <w:pStyle w:val="11"/>
              <w:spacing w:before="143" w:line="238" w:lineRule="auto"/>
              <w:ind w:left="291"/>
              <w:rPr>
                <w:color w:val="auto"/>
                <w:highlight w:val="none"/>
              </w:rPr>
            </w:pPr>
            <w:r>
              <w:rPr>
                <w:color w:val="auto"/>
                <w:highlight w:val="none"/>
              </w:rPr>
              <w:t>三</w:t>
            </w:r>
          </w:p>
        </w:tc>
        <w:tc>
          <w:tcPr>
            <w:tcW w:w="1911" w:type="dxa"/>
            <w:tcBorders>
              <w:right w:val="single" w:color="000000" w:sz="4" w:space="0"/>
            </w:tcBorders>
            <w:vAlign w:val="top"/>
          </w:tcPr>
          <w:p w14:paraId="5A0F1C53">
            <w:pPr>
              <w:pStyle w:val="11"/>
              <w:spacing w:before="143" w:line="220" w:lineRule="auto"/>
              <w:ind w:left="533"/>
              <w:rPr>
                <w:color w:val="auto"/>
                <w:highlight w:val="none"/>
              </w:rPr>
            </w:pPr>
            <w:r>
              <w:rPr>
                <w:color w:val="auto"/>
                <w:spacing w:val="-1"/>
                <w:highlight w:val="none"/>
              </w:rPr>
              <w:t>施工机械</w:t>
            </w:r>
          </w:p>
        </w:tc>
        <w:tc>
          <w:tcPr>
            <w:tcW w:w="717" w:type="dxa"/>
            <w:tcBorders>
              <w:left w:val="single" w:color="000000" w:sz="4" w:space="0"/>
            </w:tcBorders>
            <w:vAlign w:val="top"/>
          </w:tcPr>
          <w:p w14:paraId="1C61E35D">
            <w:pPr>
              <w:rPr>
                <w:rFonts w:ascii="Arial"/>
                <w:color w:val="auto"/>
                <w:sz w:val="21"/>
                <w:highlight w:val="none"/>
              </w:rPr>
            </w:pPr>
          </w:p>
        </w:tc>
        <w:tc>
          <w:tcPr>
            <w:tcW w:w="899" w:type="dxa"/>
            <w:tcBorders>
              <w:right w:val="single" w:color="000000" w:sz="4" w:space="0"/>
            </w:tcBorders>
            <w:vAlign w:val="top"/>
          </w:tcPr>
          <w:p w14:paraId="7D2D386A">
            <w:pPr>
              <w:rPr>
                <w:rFonts w:ascii="Arial"/>
                <w:color w:val="auto"/>
                <w:sz w:val="21"/>
                <w:highlight w:val="none"/>
              </w:rPr>
            </w:pPr>
          </w:p>
        </w:tc>
        <w:tc>
          <w:tcPr>
            <w:tcW w:w="904" w:type="dxa"/>
            <w:tcBorders>
              <w:left w:val="single" w:color="000000" w:sz="4" w:space="0"/>
            </w:tcBorders>
            <w:vAlign w:val="top"/>
          </w:tcPr>
          <w:p w14:paraId="55B76676">
            <w:pPr>
              <w:rPr>
                <w:rFonts w:ascii="Arial"/>
                <w:color w:val="auto"/>
                <w:sz w:val="21"/>
                <w:highlight w:val="none"/>
              </w:rPr>
            </w:pPr>
          </w:p>
        </w:tc>
        <w:tc>
          <w:tcPr>
            <w:tcW w:w="1218" w:type="dxa"/>
            <w:gridSpan w:val="2"/>
            <w:vAlign w:val="top"/>
          </w:tcPr>
          <w:p w14:paraId="3B2A87D7">
            <w:pPr>
              <w:rPr>
                <w:rFonts w:ascii="Arial"/>
                <w:color w:val="auto"/>
                <w:sz w:val="21"/>
                <w:highlight w:val="none"/>
              </w:rPr>
            </w:pPr>
          </w:p>
        </w:tc>
        <w:tc>
          <w:tcPr>
            <w:tcW w:w="1131" w:type="dxa"/>
            <w:vAlign w:val="top"/>
          </w:tcPr>
          <w:p w14:paraId="6C50FF25">
            <w:pPr>
              <w:rPr>
                <w:rFonts w:ascii="Arial"/>
                <w:color w:val="auto"/>
                <w:sz w:val="21"/>
                <w:highlight w:val="none"/>
              </w:rPr>
            </w:pPr>
          </w:p>
        </w:tc>
        <w:tc>
          <w:tcPr>
            <w:tcW w:w="1166" w:type="dxa"/>
            <w:tcBorders>
              <w:right w:val="single" w:color="000000" w:sz="4" w:space="0"/>
            </w:tcBorders>
            <w:vAlign w:val="top"/>
          </w:tcPr>
          <w:p w14:paraId="7CFE0ACD">
            <w:pPr>
              <w:rPr>
                <w:rFonts w:ascii="Arial"/>
                <w:color w:val="auto"/>
                <w:sz w:val="21"/>
                <w:highlight w:val="none"/>
              </w:rPr>
            </w:pPr>
          </w:p>
        </w:tc>
      </w:tr>
      <w:tr w14:paraId="24C89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2" w:type="dxa"/>
            <w:tcBorders>
              <w:left w:val="single" w:color="000000" w:sz="4" w:space="0"/>
            </w:tcBorders>
            <w:vAlign w:val="top"/>
          </w:tcPr>
          <w:p w14:paraId="4EEF56E8">
            <w:pPr>
              <w:spacing w:before="173" w:line="183" w:lineRule="auto"/>
              <w:ind w:left="355"/>
              <w:rPr>
                <w:rFonts w:ascii="黑体" w:hAnsi="黑体" w:eastAsia="黑体" w:cs="黑体"/>
                <w:color w:val="auto"/>
                <w:sz w:val="21"/>
                <w:szCs w:val="21"/>
                <w:highlight w:val="none"/>
              </w:rPr>
            </w:pPr>
            <w:r>
              <w:rPr>
                <w:rFonts w:ascii="黑体" w:hAnsi="黑体" w:eastAsia="黑体" w:cs="黑体"/>
                <w:color w:val="auto"/>
                <w:sz w:val="21"/>
                <w:szCs w:val="21"/>
                <w:highlight w:val="none"/>
              </w:rPr>
              <w:t>1</w:t>
            </w:r>
          </w:p>
        </w:tc>
        <w:tc>
          <w:tcPr>
            <w:tcW w:w="1911" w:type="dxa"/>
            <w:tcBorders>
              <w:right w:val="single" w:color="000000" w:sz="4" w:space="0"/>
            </w:tcBorders>
            <w:vAlign w:val="top"/>
          </w:tcPr>
          <w:p w14:paraId="6F7E6328">
            <w:pPr>
              <w:rPr>
                <w:rFonts w:ascii="Arial"/>
                <w:color w:val="auto"/>
                <w:sz w:val="21"/>
                <w:highlight w:val="none"/>
              </w:rPr>
            </w:pPr>
          </w:p>
        </w:tc>
        <w:tc>
          <w:tcPr>
            <w:tcW w:w="717" w:type="dxa"/>
            <w:tcBorders>
              <w:left w:val="single" w:color="000000" w:sz="4" w:space="0"/>
            </w:tcBorders>
            <w:vAlign w:val="top"/>
          </w:tcPr>
          <w:p w14:paraId="502308D5">
            <w:pPr>
              <w:rPr>
                <w:rFonts w:ascii="Arial"/>
                <w:color w:val="auto"/>
                <w:sz w:val="21"/>
                <w:highlight w:val="none"/>
              </w:rPr>
            </w:pPr>
          </w:p>
        </w:tc>
        <w:tc>
          <w:tcPr>
            <w:tcW w:w="899" w:type="dxa"/>
            <w:tcBorders>
              <w:right w:val="single" w:color="000000" w:sz="4" w:space="0"/>
            </w:tcBorders>
            <w:vAlign w:val="top"/>
          </w:tcPr>
          <w:p w14:paraId="47C9AA69">
            <w:pPr>
              <w:rPr>
                <w:rFonts w:ascii="Arial"/>
                <w:color w:val="auto"/>
                <w:sz w:val="21"/>
                <w:highlight w:val="none"/>
              </w:rPr>
            </w:pPr>
          </w:p>
        </w:tc>
        <w:tc>
          <w:tcPr>
            <w:tcW w:w="904" w:type="dxa"/>
            <w:tcBorders>
              <w:left w:val="single" w:color="000000" w:sz="4" w:space="0"/>
            </w:tcBorders>
            <w:vAlign w:val="top"/>
          </w:tcPr>
          <w:p w14:paraId="36D12D65">
            <w:pPr>
              <w:rPr>
                <w:rFonts w:ascii="Arial"/>
                <w:color w:val="auto"/>
                <w:sz w:val="21"/>
                <w:highlight w:val="none"/>
              </w:rPr>
            </w:pPr>
          </w:p>
        </w:tc>
        <w:tc>
          <w:tcPr>
            <w:tcW w:w="1218" w:type="dxa"/>
            <w:gridSpan w:val="2"/>
            <w:vAlign w:val="top"/>
          </w:tcPr>
          <w:p w14:paraId="423BDA46">
            <w:pPr>
              <w:rPr>
                <w:rFonts w:ascii="Arial"/>
                <w:color w:val="auto"/>
                <w:sz w:val="21"/>
                <w:highlight w:val="none"/>
              </w:rPr>
            </w:pPr>
          </w:p>
        </w:tc>
        <w:tc>
          <w:tcPr>
            <w:tcW w:w="1131" w:type="dxa"/>
            <w:vAlign w:val="top"/>
          </w:tcPr>
          <w:p w14:paraId="0BE74779">
            <w:pPr>
              <w:rPr>
                <w:rFonts w:ascii="Arial"/>
                <w:color w:val="auto"/>
                <w:sz w:val="21"/>
                <w:highlight w:val="none"/>
              </w:rPr>
            </w:pPr>
          </w:p>
        </w:tc>
        <w:tc>
          <w:tcPr>
            <w:tcW w:w="1166" w:type="dxa"/>
            <w:tcBorders>
              <w:right w:val="single" w:color="000000" w:sz="4" w:space="0"/>
            </w:tcBorders>
            <w:vAlign w:val="top"/>
          </w:tcPr>
          <w:p w14:paraId="5C813FAC">
            <w:pPr>
              <w:rPr>
                <w:rFonts w:ascii="Arial"/>
                <w:color w:val="auto"/>
                <w:sz w:val="21"/>
                <w:highlight w:val="none"/>
              </w:rPr>
            </w:pPr>
          </w:p>
        </w:tc>
      </w:tr>
      <w:tr w14:paraId="7C243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14:paraId="43631178">
            <w:pPr>
              <w:spacing w:before="177" w:line="184" w:lineRule="auto"/>
              <w:ind w:left="342"/>
              <w:rPr>
                <w:rFonts w:ascii="黑体" w:hAnsi="黑体" w:eastAsia="黑体" w:cs="黑体"/>
                <w:color w:val="auto"/>
                <w:sz w:val="21"/>
                <w:szCs w:val="21"/>
                <w:highlight w:val="none"/>
              </w:rPr>
            </w:pPr>
            <w:r>
              <w:rPr>
                <w:rFonts w:ascii="黑体" w:hAnsi="黑体" w:eastAsia="黑体" w:cs="黑体"/>
                <w:color w:val="auto"/>
                <w:sz w:val="21"/>
                <w:szCs w:val="21"/>
                <w:highlight w:val="none"/>
              </w:rPr>
              <w:t>2</w:t>
            </w:r>
          </w:p>
        </w:tc>
        <w:tc>
          <w:tcPr>
            <w:tcW w:w="1911" w:type="dxa"/>
            <w:tcBorders>
              <w:right w:val="single" w:color="000000" w:sz="4" w:space="0"/>
            </w:tcBorders>
            <w:vAlign w:val="top"/>
          </w:tcPr>
          <w:p w14:paraId="3FA354BF">
            <w:pPr>
              <w:rPr>
                <w:rFonts w:ascii="Arial"/>
                <w:color w:val="auto"/>
                <w:sz w:val="21"/>
                <w:highlight w:val="none"/>
              </w:rPr>
            </w:pPr>
          </w:p>
        </w:tc>
        <w:tc>
          <w:tcPr>
            <w:tcW w:w="717" w:type="dxa"/>
            <w:tcBorders>
              <w:left w:val="single" w:color="000000" w:sz="4" w:space="0"/>
            </w:tcBorders>
            <w:vAlign w:val="top"/>
          </w:tcPr>
          <w:p w14:paraId="62B18060">
            <w:pPr>
              <w:rPr>
                <w:rFonts w:ascii="Arial"/>
                <w:color w:val="auto"/>
                <w:sz w:val="21"/>
                <w:highlight w:val="none"/>
              </w:rPr>
            </w:pPr>
          </w:p>
        </w:tc>
        <w:tc>
          <w:tcPr>
            <w:tcW w:w="899" w:type="dxa"/>
            <w:tcBorders>
              <w:right w:val="single" w:color="000000" w:sz="4" w:space="0"/>
            </w:tcBorders>
            <w:vAlign w:val="top"/>
          </w:tcPr>
          <w:p w14:paraId="5318962F">
            <w:pPr>
              <w:rPr>
                <w:rFonts w:ascii="Arial"/>
                <w:color w:val="auto"/>
                <w:sz w:val="21"/>
                <w:highlight w:val="none"/>
              </w:rPr>
            </w:pPr>
          </w:p>
        </w:tc>
        <w:tc>
          <w:tcPr>
            <w:tcW w:w="904" w:type="dxa"/>
            <w:tcBorders>
              <w:left w:val="single" w:color="000000" w:sz="4" w:space="0"/>
            </w:tcBorders>
            <w:vAlign w:val="top"/>
          </w:tcPr>
          <w:p w14:paraId="553F08CE">
            <w:pPr>
              <w:rPr>
                <w:rFonts w:ascii="Arial"/>
                <w:color w:val="auto"/>
                <w:sz w:val="21"/>
                <w:highlight w:val="none"/>
              </w:rPr>
            </w:pPr>
          </w:p>
        </w:tc>
        <w:tc>
          <w:tcPr>
            <w:tcW w:w="1218" w:type="dxa"/>
            <w:gridSpan w:val="2"/>
            <w:vAlign w:val="top"/>
          </w:tcPr>
          <w:p w14:paraId="7A41FBB6">
            <w:pPr>
              <w:rPr>
                <w:rFonts w:ascii="Arial"/>
                <w:color w:val="auto"/>
                <w:sz w:val="21"/>
                <w:highlight w:val="none"/>
              </w:rPr>
            </w:pPr>
          </w:p>
        </w:tc>
        <w:tc>
          <w:tcPr>
            <w:tcW w:w="1131" w:type="dxa"/>
            <w:vAlign w:val="top"/>
          </w:tcPr>
          <w:p w14:paraId="2050A795">
            <w:pPr>
              <w:rPr>
                <w:rFonts w:ascii="Arial"/>
                <w:color w:val="auto"/>
                <w:sz w:val="21"/>
                <w:highlight w:val="none"/>
              </w:rPr>
            </w:pPr>
          </w:p>
        </w:tc>
        <w:tc>
          <w:tcPr>
            <w:tcW w:w="1166" w:type="dxa"/>
            <w:tcBorders>
              <w:right w:val="single" w:color="000000" w:sz="4" w:space="0"/>
            </w:tcBorders>
            <w:vAlign w:val="top"/>
          </w:tcPr>
          <w:p w14:paraId="31D27B4B">
            <w:pPr>
              <w:rPr>
                <w:rFonts w:ascii="Arial"/>
                <w:color w:val="auto"/>
                <w:sz w:val="21"/>
                <w:highlight w:val="none"/>
              </w:rPr>
            </w:pPr>
          </w:p>
        </w:tc>
      </w:tr>
      <w:tr w14:paraId="0888F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5" w:hRule="atLeast"/>
        </w:trPr>
        <w:tc>
          <w:tcPr>
            <w:tcW w:w="792" w:type="dxa"/>
            <w:tcBorders>
              <w:left w:val="single" w:color="000000" w:sz="4" w:space="0"/>
            </w:tcBorders>
            <w:vAlign w:val="top"/>
          </w:tcPr>
          <w:p w14:paraId="032AA5AA">
            <w:pPr>
              <w:spacing w:before="173" w:line="184" w:lineRule="auto"/>
              <w:ind w:left="344"/>
              <w:rPr>
                <w:rFonts w:ascii="黑体" w:hAnsi="黑体" w:eastAsia="黑体" w:cs="黑体"/>
                <w:color w:val="auto"/>
                <w:sz w:val="21"/>
                <w:szCs w:val="21"/>
                <w:highlight w:val="none"/>
              </w:rPr>
            </w:pPr>
            <w:r>
              <w:rPr>
                <w:rFonts w:ascii="黑体" w:hAnsi="黑体" w:eastAsia="黑体" w:cs="黑体"/>
                <w:color w:val="auto"/>
                <w:sz w:val="21"/>
                <w:szCs w:val="21"/>
                <w:highlight w:val="none"/>
              </w:rPr>
              <w:t>3</w:t>
            </w:r>
          </w:p>
        </w:tc>
        <w:tc>
          <w:tcPr>
            <w:tcW w:w="1911" w:type="dxa"/>
            <w:tcBorders>
              <w:right w:val="single" w:color="000000" w:sz="4" w:space="0"/>
            </w:tcBorders>
            <w:vAlign w:val="top"/>
          </w:tcPr>
          <w:p w14:paraId="31DF57BE">
            <w:pPr>
              <w:rPr>
                <w:rFonts w:ascii="Arial"/>
                <w:color w:val="auto"/>
                <w:sz w:val="21"/>
                <w:highlight w:val="none"/>
              </w:rPr>
            </w:pPr>
          </w:p>
        </w:tc>
        <w:tc>
          <w:tcPr>
            <w:tcW w:w="717" w:type="dxa"/>
            <w:tcBorders>
              <w:left w:val="single" w:color="000000" w:sz="4" w:space="0"/>
            </w:tcBorders>
            <w:vAlign w:val="top"/>
          </w:tcPr>
          <w:p w14:paraId="1C1FE0E7">
            <w:pPr>
              <w:rPr>
                <w:rFonts w:ascii="Arial"/>
                <w:color w:val="auto"/>
                <w:sz w:val="21"/>
                <w:highlight w:val="none"/>
              </w:rPr>
            </w:pPr>
          </w:p>
        </w:tc>
        <w:tc>
          <w:tcPr>
            <w:tcW w:w="899" w:type="dxa"/>
            <w:tcBorders>
              <w:right w:val="single" w:color="000000" w:sz="4" w:space="0"/>
            </w:tcBorders>
            <w:vAlign w:val="top"/>
          </w:tcPr>
          <w:p w14:paraId="4C965CFF">
            <w:pPr>
              <w:rPr>
                <w:rFonts w:ascii="Arial"/>
                <w:color w:val="auto"/>
                <w:sz w:val="21"/>
                <w:highlight w:val="none"/>
              </w:rPr>
            </w:pPr>
          </w:p>
        </w:tc>
        <w:tc>
          <w:tcPr>
            <w:tcW w:w="904" w:type="dxa"/>
            <w:tcBorders>
              <w:left w:val="single" w:color="000000" w:sz="4" w:space="0"/>
            </w:tcBorders>
            <w:vAlign w:val="top"/>
          </w:tcPr>
          <w:p w14:paraId="3FCB68CC">
            <w:pPr>
              <w:rPr>
                <w:rFonts w:ascii="Arial"/>
                <w:color w:val="auto"/>
                <w:sz w:val="21"/>
                <w:highlight w:val="none"/>
              </w:rPr>
            </w:pPr>
          </w:p>
        </w:tc>
        <w:tc>
          <w:tcPr>
            <w:tcW w:w="1218" w:type="dxa"/>
            <w:gridSpan w:val="2"/>
            <w:vAlign w:val="top"/>
          </w:tcPr>
          <w:p w14:paraId="7737457D">
            <w:pPr>
              <w:rPr>
                <w:rFonts w:ascii="Arial"/>
                <w:color w:val="auto"/>
                <w:sz w:val="21"/>
                <w:highlight w:val="none"/>
              </w:rPr>
            </w:pPr>
          </w:p>
        </w:tc>
        <w:tc>
          <w:tcPr>
            <w:tcW w:w="1131" w:type="dxa"/>
            <w:vAlign w:val="top"/>
          </w:tcPr>
          <w:p w14:paraId="663DE40A">
            <w:pPr>
              <w:rPr>
                <w:rFonts w:ascii="Arial"/>
                <w:color w:val="auto"/>
                <w:sz w:val="21"/>
                <w:highlight w:val="none"/>
              </w:rPr>
            </w:pPr>
          </w:p>
        </w:tc>
        <w:tc>
          <w:tcPr>
            <w:tcW w:w="1166" w:type="dxa"/>
            <w:tcBorders>
              <w:right w:val="single" w:color="000000" w:sz="4" w:space="0"/>
            </w:tcBorders>
            <w:vAlign w:val="top"/>
          </w:tcPr>
          <w:p w14:paraId="539A49EE">
            <w:pPr>
              <w:rPr>
                <w:rFonts w:ascii="Arial"/>
                <w:color w:val="auto"/>
                <w:sz w:val="21"/>
                <w:highlight w:val="none"/>
              </w:rPr>
            </w:pPr>
          </w:p>
        </w:tc>
      </w:tr>
      <w:tr w14:paraId="33C6F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441" w:type="dxa"/>
            <w:gridSpan w:val="7"/>
            <w:tcBorders>
              <w:left w:val="single" w:color="000000" w:sz="4" w:space="0"/>
            </w:tcBorders>
            <w:vAlign w:val="top"/>
          </w:tcPr>
          <w:p w14:paraId="32404D34">
            <w:pPr>
              <w:pStyle w:val="11"/>
              <w:spacing w:before="144" w:line="220" w:lineRule="auto"/>
              <w:ind w:left="2595"/>
              <w:rPr>
                <w:color w:val="auto"/>
                <w:highlight w:val="none"/>
              </w:rPr>
            </w:pPr>
            <w:r>
              <w:rPr>
                <w:color w:val="auto"/>
                <w:spacing w:val="-1"/>
                <w:highlight w:val="none"/>
              </w:rPr>
              <w:t>施工机械小计</w:t>
            </w:r>
          </w:p>
        </w:tc>
        <w:tc>
          <w:tcPr>
            <w:tcW w:w="1131" w:type="dxa"/>
            <w:vAlign w:val="top"/>
          </w:tcPr>
          <w:p w14:paraId="0C7B2A4E">
            <w:pPr>
              <w:rPr>
                <w:rFonts w:ascii="Arial"/>
                <w:color w:val="auto"/>
                <w:sz w:val="21"/>
                <w:highlight w:val="none"/>
              </w:rPr>
            </w:pPr>
          </w:p>
        </w:tc>
        <w:tc>
          <w:tcPr>
            <w:tcW w:w="1166" w:type="dxa"/>
            <w:tcBorders>
              <w:right w:val="single" w:color="000000" w:sz="4" w:space="0"/>
            </w:tcBorders>
            <w:vAlign w:val="top"/>
          </w:tcPr>
          <w:p w14:paraId="2003F0C0">
            <w:pPr>
              <w:rPr>
                <w:rFonts w:ascii="Arial"/>
                <w:color w:val="auto"/>
                <w:sz w:val="21"/>
                <w:highlight w:val="none"/>
              </w:rPr>
            </w:pPr>
          </w:p>
        </w:tc>
      </w:tr>
      <w:tr w14:paraId="07623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441" w:type="dxa"/>
            <w:gridSpan w:val="7"/>
            <w:tcBorders>
              <w:left w:val="single" w:color="000000" w:sz="4" w:space="0"/>
            </w:tcBorders>
            <w:vAlign w:val="top"/>
          </w:tcPr>
          <w:p w14:paraId="7FDB4ABA">
            <w:pPr>
              <w:pStyle w:val="11"/>
              <w:spacing w:before="140" w:line="221" w:lineRule="auto"/>
              <w:ind w:left="133"/>
              <w:rPr>
                <w:color w:val="auto"/>
                <w:highlight w:val="none"/>
              </w:rPr>
            </w:pPr>
            <w:r>
              <w:rPr>
                <w:color w:val="auto"/>
                <w:spacing w:val="-2"/>
                <w:highlight w:val="none"/>
              </w:rPr>
              <w:t>四、企业管理费和利润小计</w:t>
            </w:r>
          </w:p>
        </w:tc>
        <w:tc>
          <w:tcPr>
            <w:tcW w:w="1131" w:type="dxa"/>
            <w:vAlign w:val="top"/>
          </w:tcPr>
          <w:p w14:paraId="4206FD6F">
            <w:pPr>
              <w:rPr>
                <w:rFonts w:ascii="Arial"/>
                <w:color w:val="auto"/>
                <w:sz w:val="21"/>
                <w:highlight w:val="none"/>
              </w:rPr>
            </w:pPr>
          </w:p>
        </w:tc>
        <w:tc>
          <w:tcPr>
            <w:tcW w:w="1166" w:type="dxa"/>
            <w:tcBorders>
              <w:right w:val="single" w:color="000000" w:sz="4" w:space="0"/>
            </w:tcBorders>
            <w:vAlign w:val="top"/>
          </w:tcPr>
          <w:p w14:paraId="65E9067F">
            <w:pPr>
              <w:rPr>
                <w:rFonts w:ascii="Arial"/>
                <w:color w:val="auto"/>
                <w:sz w:val="21"/>
                <w:highlight w:val="none"/>
              </w:rPr>
            </w:pPr>
          </w:p>
        </w:tc>
      </w:tr>
      <w:tr w14:paraId="0F394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441" w:type="dxa"/>
            <w:gridSpan w:val="7"/>
            <w:tcBorders>
              <w:left w:val="single" w:color="000000" w:sz="4" w:space="0"/>
              <w:bottom w:val="single" w:color="000000" w:sz="4" w:space="0"/>
            </w:tcBorders>
            <w:vAlign w:val="top"/>
          </w:tcPr>
          <w:p w14:paraId="5589BABB">
            <w:pPr>
              <w:pStyle w:val="11"/>
              <w:spacing w:before="145" w:line="222" w:lineRule="auto"/>
              <w:ind w:left="3019"/>
              <w:rPr>
                <w:color w:val="auto"/>
                <w:highlight w:val="none"/>
              </w:rPr>
            </w:pPr>
            <w:r>
              <w:rPr>
                <w:color w:val="auto"/>
                <w:spacing w:val="-3"/>
                <w:highlight w:val="none"/>
              </w:rPr>
              <w:t>总计</w:t>
            </w:r>
          </w:p>
        </w:tc>
        <w:tc>
          <w:tcPr>
            <w:tcW w:w="1131" w:type="dxa"/>
            <w:tcBorders>
              <w:bottom w:val="single" w:color="000000" w:sz="4" w:space="0"/>
            </w:tcBorders>
            <w:vAlign w:val="top"/>
          </w:tcPr>
          <w:p w14:paraId="69E62D0C">
            <w:pPr>
              <w:rPr>
                <w:rFonts w:ascii="Arial"/>
                <w:color w:val="auto"/>
                <w:sz w:val="21"/>
                <w:highlight w:val="none"/>
              </w:rPr>
            </w:pPr>
          </w:p>
        </w:tc>
        <w:tc>
          <w:tcPr>
            <w:tcW w:w="1166" w:type="dxa"/>
            <w:tcBorders>
              <w:bottom w:val="single" w:color="000000" w:sz="4" w:space="0"/>
              <w:right w:val="single" w:color="000000" w:sz="4" w:space="0"/>
            </w:tcBorders>
            <w:vAlign w:val="top"/>
          </w:tcPr>
          <w:p w14:paraId="7989A37E">
            <w:pPr>
              <w:rPr>
                <w:rFonts w:ascii="Arial"/>
                <w:color w:val="auto"/>
                <w:sz w:val="21"/>
                <w:highlight w:val="none"/>
              </w:rPr>
            </w:pPr>
          </w:p>
        </w:tc>
      </w:tr>
    </w:tbl>
    <w:p w14:paraId="51D8A9C5">
      <w:pPr>
        <w:spacing w:before="173" w:line="249" w:lineRule="auto"/>
        <w:ind w:left="647" w:right="36" w:hanging="4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注：此表项目名称、暂定数量由招标人填写， 编制招标控</w:t>
      </w:r>
      <w:r>
        <w:rPr>
          <w:rFonts w:ascii="宋体" w:hAnsi="宋体" w:eastAsia="宋体" w:cs="宋体"/>
          <w:color w:val="auto"/>
          <w:spacing w:val="-3"/>
          <w:sz w:val="21"/>
          <w:szCs w:val="21"/>
          <w:highlight w:val="none"/>
        </w:rPr>
        <w:t xml:space="preserve">制价时， 单价由招标人按有关计  </w:t>
      </w:r>
      <w:r>
        <w:rPr>
          <w:rFonts w:ascii="宋体" w:hAnsi="宋体" w:eastAsia="宋体" w:cs="宋体"/>
          <w:color w:val="auto"/>
          <w:spacing w:val="-1"/>
          <w:sz w:val="21"/>
          <w:szCs w:val="21"/>
          <w:highlight w:val="none"/>
        </w:rPr>
        <w:t>价规定确定：投标时， 单价由投标人自主报价，按暂定数量计算合价计入投标总价中。</w:t>
      </w:r>
      <w:r>
        <w:rPr>
          <w:rFonts w:ascii="宋体" w:hAnsi="宋体" w:eastAsia="宋体" w:cs="宋体"/>
          <w:color w:val="auto"/>
          <w:spacing w:val="17"/>
          <w:sz w:val="21"/>
          <w:szCs w:val="21"/>
          <w:highlight w:val="none"/>
        </w:rPr>
        <w:t xml:space="preserve"> </w:t>
      </w:r>
      <w:r>
        <w:rPr>
          <w:rFonts w:ascii="宋体" w:hAnsi="宋体" w:eastAsia="宋体" w:cs="宋体"/>
          <w:color w:val="auto"/>
          <w:spacing w:val="-1"/>
          <w:sz w:val="21"/>
          <w:szCs w:val="21"/>
          <w:highlight w:val="none"/>
        </w:rPr>
        <w:t>结算时，按承发包双方确认的实际数量计算合价。</w:t>
      </w:r>
    </w:p>
    <w:p w14:paraId="4B9DAB2F">
      <w:pPr>
        <w:spacing w:line="249" w:lineRule="auto"/>
        <w:rPr>
          <w:rFonts w:ascii="宋体" w:hAnsi="宋体" w:eastAsia="宋体" w:cs="宋体"/>
          <w:color w:val="auto"/>
          <w:sz w:val="21"/>
          <w:szCs w:val="21"/>
          <w:highlight w:val="none"/>
        </w:rPr>
        <w:sectPr>
          <w:footerReference r:id="rId195" w:type="default"/>
          <w:pgSz w:w="11905" w:h="16839"/>
          <w:pgMar w:top="400" w:right="1575" w:bottom="1004" w:left="1579" w:header="0" w:footer="829" w:gutter="0"/>
          <w:pgNumType w:fmt="decimal"/>
          <w:cols w:space="720" w:num="1"/>
        </w:sectPr>
      </w:pPr>
    </w:p>
    <w:p w14:paraId="51C22E6E">
      <w:pPr>
        <w:pStyle w:val="3"/>
        <w:spacing w:line="274" w:lineRule="auto"/>
        <w:rPr>
          <w:color w:val="auto"/>
          <w:highlight w:val="none"/>
        </w:rPr>
      </w:pPr>
    </w:p>
    <w:p w14:paraId="5BDDC939">
      <w:pPr>
        <w:pStyle w:val="3"/>
        <w:spacing w:line="274" w:lineRule="auto"/>
        <w:rPr>
          <w:color w:val="auto"/>
          <w:highlight w:val="none"/>
        </w:rPr>
      </w:pPr>
    </w:p>
    <w:p w14:paraId="458EC2FA">
      <w:pPr>
        <w:pStyle w:val="3"/>
        <w:spacing w:line="274" w:lineRule="auto"/>
        <w:rPr>
          <w:color w:val="auto"/>
          <w:highlight w:val="none"/>
        </w:rPr>
      </w:pPr>
    </w:p>
    <w:p w14:paraId="71360530">
      <w:pPr>
        <w:pStyle w:val="3"/>
        <w:spacing w:line="274" w:lineRule="auto"/>
        <w:rPr>
          <w:color w:val="auto"/>
          <w:highlight w:val="none"/>
        </w:rPr>
      </w:pPr>
    </w:p>
    <w:p w14:paraId="4AE98C73">
      <w:pPr>
        <w:pStyle w:val="3"/>
        <w:spacing w:line="275" w:lineRule="auto"/>
        <w:rPr>
          <w:color w:val="auto"/>
          <w:highlight w:val="none"/>
        </w:rPr>
      </w:pPr>
    </w:p>
    <w:p w14:paraId="36800DEE">
      <w:pPr>
        <w:spacing w:before="78" w:line="218" w:lineRule="auto"/>
        <w:ind w:left="123"/>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4.12-5 </w:t>
      </w:r>
      <w:r>
        <w:rPr>
          <w:rFonts w:ascii="黑体" w:hAnsi="黑体" w:eastAsia="黑体" w:cs="黑体"/>
          <w:color w:val="auto"/>
          <w:spacing w:val="-1"/>
          <w:sz w:val="24"/>
          <w:szCs w:val="24"/>
          <w:highlight w:val="none"/>
        </w:rPr>
        <w:t>总承包服务费计价表</w:t>
      </w:r>
    </w:p>
    <w:p w14:paraId="755AE56B">
      <w:pPr>
        <w:pStyle w:val="3"/>
        <w:spacing w:line="276" w:lineRule="auto"/>
        <w:rPr>
          <w:color w:val="auto"/>
          <w:highlight w:val="none"/>
        </w:rPr>
      </w:pPr>
    </w:p>
    <w:p w14:paraId="24CF9ADF">
      <w:pPr>
        <w:pStyle w:val="3"/>
        <w:spacing w:line="276" w:lineRule="auto"/>
        <w:rPr>
          <w:color w:val="auto"/>
          <w:highlight w:val="none"/>
        </w:rPr>
      </w:pPr>
    </w:p>
    <w:p w14:paraId="7E00F451">
      <w:pPr>
        <w:spacing w:before="88" w:line="224" w:lineRule="auto"/>
        <w:ind w:left="3032"/>
        <w:rPr>
          <w:rFonts w:ascii="黑体" w:hAnsi="黑体" w:eastAsia="黑体" w:cs="黑体"/>
          <w:color w:val="auto"/>
          <w:sz w:val="27"/>
          <w:szCs w:val="27"/>
          <w:highlight w:val="none"/>
        </w:rPr>
      </w:pPr>
      <w:bookmarkStart w:id="1312" w:name="bookmark258"/>
      <w:bookmarkEnd w:id="1312"/>
      <w:bookmarkStart w:id="1313" w:name="bookmark259"/>
      <w:bookmarkEnd w:id="1313"/>
      <w:r>
        <w:rPr>
          <w:rFonts w:ascii="黑体" w:hAnsi="黑体" w:eastAsia="黑体" w:cs="黑体"/>
          <w:color w:val="auto"/>
          <w:spacing w:val="7"/>
          <w:sz w:val="27"/>
          <w:szCs w:val="27"/>
          <w:highlight w:val="none"/>
        </w:rPr>
        <w:t>总承包服务费计价表</w:t>
      </w:r>
    </w:p>
    <w:p w14:paraId="10DD9D60">
      <w:pPr>
        <w:spacing w:before="142" w:line="221" w:lineRule="auto"/>
        <w:ind w:left="130"/>
        <w:rPr>
          <w:rFonts w:ascii="宋体" w:hAnsi="宋体" w:eastAsia="宋体" w:cs="宋体"/>
          <w:color w:val="auto"/>
          <w:sz w:val="21"/>
          <w:szCs w:val="21"/>
          <w:highlight w:val="none"/>
        </w:rPr>
      </w:pPr>
      <w:r>
        <w:rPr>
          <w:rFonts w:ascii="宋体" w:hAnsi="宋体" w:eastAsia="宋体" w:cs="宋体"/>
          <w:color w:val="auto"/>
          <w:spacing w:val="-17"/>
          <w:sz w:val="21"/>
          <w:szCs w:val="21"/>
          <w:highlight w:val="none"/>
        </w:rPr>
        <w:t>工程名称：</w:t>
      </w:r>
      <w:r>
        <w:rPr>
          <w:rFonts w:ascii="宋体" w:hAnsi="宋体" w:eastAsia="宋体" w:cs="宋体"/>
          <w:color w:val="auto"/>
          <w:spacing w:val="1"/>
          <w:sz w:val="21"/>
          <w:szCs w:val="21"/>
          <w:highlight w:val="none"/>
        </w:rPr>
        <w:t xml:space="preserve">             </w:t>
      </w:r>
      <w:r>
        <w:rPr>
          <w:rFonts w:ascii="宋体" w:hAnsi="宋体" w:eastAsia="宋体" w:cs="宋体"/>
          <w:color w:val="auto"/>
          <w:spacing w:val="-17"/>
          <w:sz w:val="21"/>
          <w:szCs w:val="21"/>
          <w:highlight w:val="none"/>
        </w:rPr>
        <w:t>标段名称：</w:t>
      </w:r>
      <w:r>
        <w:rPr>
          <w:rFonts w:ascii="宋体" w:hAnsi="宋体" w:eastAsia="宋体" w:cs="宋体"/>
          <w:color w:val="auto"/>
          <w:spacing w:val="8"/>
          <w:sz w:val="21"/>
          <w:szCs w:val="21"/>
          <w:highlight w:val="none"/>
        </w:rPr>
        <w:t xml:space="preserve">        </w:t>
      </w:r>
      <w:r>
        <w:rPr>
          <w:rFonts w:ascii="宋体" w:hAnsi="宋体" w:eastAsia="宋体" w:cs="宋体"/>
          <w:color w:val="auto"/>
          <w:spacing w:val="-17"/>
          <w:sz w:val="21"/>
          <w:szCs w:val="21"/>
          <w:highlight w:val="none"/>
        </w:rPr>
        <w:t>第 页</w:t>
      </w:r>
      <w:r>
        <w:rPr>
          <w:rFonts w:ascii="宋体" w:hAnsi="宋体" w:eastAsia="宋体" w:cs="宋体"/>
          <w:color w:val="auto"/>
          <w:spacing w:val="10"/>
          <w:sz w:val="21"/>
          <w:szCs w:val="21"/>
          <w:highlight w:val="none"/>
        </w:rPr>
        <w:t xml:space="preserve"> </w:t>
      </w:r>
      <w:r>
        <w:rPr>
          <w:rFonts w:ascii="宋体" w:hAnsi="宋体" w:eastAsia="宋体" w:cs="宋体"/>
          <w:color w:val="auto"/>
          <w:spacing w:val="-17"/>
          <w:sz w:val="21"/>
          <w:szCs w:val="21"/>
          <w:highlight w:val="none"/>
        </w:rPr>
        <w:t>共</w:t>
      </w:r>
      <w:r>
        <w:rPr>
          <w:rFonts w:ascii="宋体" w:hAnsi="宋体" w:eastAsia="宋体" w:cs="宋体"/>
          <w:color w:val="auto"/>
          <w:spacing w:val="14"/>
          <w:sz w:val="21"/>
          <w:szCs w:val="21"/>
          <w:highlight w:val="none"/>
        </w:rPr>
        <w:t xml:space="preserve"> </w:t>
      </w:r>
      <w:r>
        <w:rPr>
          <w:rFonts w:ascii="宋体" w:hAnsi="宋体" w:eastAsia="宋体" w:cs="宋体"/>
          <w:color w:val="auto"/>
          <w:spacing w:val="-17"/>
          <w:sz w:val="21"/>
          <w:szCs w:val="21"/>
          <w:highlight w:val="none"/>
        </w:rPr>
        <w:t>页</w:t>
      </w:r>
    </w:p>
    <w:p w14:paraId="0AC4E603">
      <w:pPr>
        <w:spacing w:line="112" w:lineRule="exact"/>
        <w:rPr>
          <w:color w:val="auto"/>
          <w:highlight w:val="none"/>
        </w:rPr>
      </w:pPr>
    </w:p>
    <w:tbl>
      <w:tblPr>
        <w:tblStyle w:val="10"/>
        <w:tblW w:w="8546"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8"/>
        <w:gridCol w:w="2173"/>
        <w:gridCol w:w="1076"/>
        <w:gridCol w:w="1081"/>
        <w:gridCol w:w="1165"/>
        <w:gridCol w:w="830"/>
        <w:gridCol w:w="1573"/>
      </w:tblGrid>
      <w:tr w14:paraId="199F9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top w:val="single" w:color="000000" w:sz="4" w:space="0"/>
              <w:left w:val="single" w:color="000000" w:sz="4" w:space="0"/>
            </w:tcBorders>
            <w:vAlign w:val="top"/>
          </w:tcPr>
          <w:p w14:paraId="7CC505E8">
            <w:pPr>
              <w:spacing w:line="281" w:lineRule="auto"/>
              <w:rPr>
                <w:rFonts w:ascii="Arial"/>
                <w:color w:val="auto"/>
                <w:sz w:val="21"/>
                <w:highlight w:val="none"/>
              </w:rPr>
            </w:pPr>
          </w:p>
          <w:p w14:paraId="63D7C943">
            <w:pPr>
              <w:pStyle w:val="11"/>
              <w:spacing w:before="68" w:line="222" w:lineRule="auto"/>
              <w:ind w:left="112"/>
              <w:rPr>
                <w:color w:val="auto"/>
                <w:highlight w:val="none"/>
              </w:rPr>
            </w:pPr>
            <w:r>
              <w:rPr>
                <w:color w:val="auto"/>
                <w:spacing w:val="-2"/>
                <w:highlight w:val="none"/>
              </w:rPr>
              <w:t>序号</w:t>
            </w:r>
          </w:p>
        </w:tc>
        <w:tc>
          <w:tcPr>
            <w:tcW w:w="2173" w:type="dxa"/>
            <w:tcBorders>
              <w:top w:val="single" w:color="000000" w:sz="4" w:space="0"/>
            </w:tcBorders>
            <w:vAlign w:val="top"/>
          </w:tcPr>
          <w:p w14:paraId="6C34AB10">
            <w:pPr>
              <w:spacing w:line="281" w:lineRule="auto"/>
              <w:rPr>
                <w:rFonts w:ascii="Arial"/>
                <w:color w:val="auto"/>
                <w:sz w:val="21"/>
                <w:highlight w:val="none"/>
              </w:rPr>
            </w:pPr>
          </w:p>
          <w:p w14:paraId="426CD53E">
            <w:pPr>
              <w:pStyle w:val="11"/>
              <w:spacing w:before="68" w:line="221" w:lineRule="auto"/>
              <w:ind w:left="666"/>
              <w:rPr>
                <w:color w:val="auto"/>
                <w:highlight w:val="none"/>
              </w:rPr>
            </w:pPr>
            <w:r>
              <w:rPr>
                <w:color w:val="auto"/>
                <w:spacing w:val="-2"/>
                <w:highlight w:val="none"/>
              </w:rPr>
              <w:t>工程名称</w:t>
            </w:r>
          </w:p>
        </w:tc>
        <w:tc>
          <w:tcPr>
            <w:tcW w:w="1076" w:type="dxa"/>
            <w:tcBorders>
              <w:top w:val="single" w:color="000000" w:sz="4" w:space="0"/>
              <w:right w:val="single" w:color="000000" w:sz="4" w:space="0"/>
            </w:tcBorders>
            <w:vAlign w:val="top"/>
          </w:tcPr>
          <w:p w14:paraId="3EFDD6C1">
            <w:pPr>
              <w:pStyle w:val="11"/>
              <w:spacing w:before="216" w:line="229" w:lineRule="auto"/>
              <w:ind w:left="235" w:right="108" w:hanging="108"/>
              <w:rPr>
                <w:color w:val="auto"/>
                <w:highlight w:val="none"/>
              </w:rPr>
            </w:pPr>
            <w:r>
              <w:rPr>
                <w:color w:val="auto"/>
                <w:spacing w:val="-2"/>
                <w:highlight w:val="none"/>
              </w:rPr>
              <w:t>项目价值</w:t>
            </w:r>
            <w:r>
              <w:rPr>
                <w:color w:val="auto"/>
                <w:highlight w:val="none"/>
              </w:rPr>
              <w:t xml:space="preserve"> </w:t>
            </w:r>
            <w:r>
              <w:rPr>
                <w:color w:val="auto"/>
                <w:spacing w:val="-6"/>
                <w:highlight w:val="none"/>
              </w:rPr>
              <w:t>（元）</w:t>
            </w:r>
          </w:p>
        </w:tc>
        <w:tc>
          <w:tcPr>
            <w:tcW w:w="1081" w:type="dxa"/>
            <w:tcBorders>
              <w:top w:val="single" w:color="000000" w:sz="4" w:space="0"/>
              <w:left w:val="single" w:color="000000" w:sz="4" w:space="0"/>
            </w:tcBorders>
            <w:vAlign w:val="top"/>
          </w:tcPr>
          <w:p w14:paraId="2F15C580">
            <w:pPr>
              <w:spacing w:line="280" w:lineRule="auto"/>
              <w:rPr>
                <w:rFonts w:ascii="Arial"/>
                <w:color w:val="auto"/>
                <w:sz w:val="21"/>
                <w:highlight w:val="none"/>
              </w:rPr>
            </w:pPr>
          </w:p>
          <w:p w14:paraId="35F27347">
            <w:pPr>
              <w:pStyle w:val="11"/>
              <w:spacing w:before="68" w:line="221" w:lineRule="auto"/>
              <w:ind w:left="125"/>
              <w:rPr>
                <w:color w:val="auto"/>
                <w:highlight w:val="none"/>
              </w:rPr>
            </w:pPr>
            <w:r>
              <w:rPr>
                <w:color w:val="auto"/>
                <w:spacing w:val="-1"/>
                <w:highlight w:val="none"/>
              </w:rPr>
              <w:t>服务内容</w:t>
            </w:r>
          </w:p>
        </w:tc>
        <w:tc>
          <w:tcPr>
            <w:tcW w:w="1165" w:type="dxa"/>
            <w:tcBorders>
              <w:top w:val="single" w:color="000000" w:sz="4" w:space="0"/>
            </w:tcBorders>
            <w:vAlign w:val="top"/>
          </w:tcPr>
          <w:p w14:paraId="5CC03C5A">
            <w:pPr>
              <w:spacing w:line="280" w:lineRule="auto"/>
              <w:rPr>
                <w:rFonts w:ascii="Arial"/>
                <w:color w:val="auto"/>
                <w:sz w:val="21"/>
                <w:highlight w:val="none"/>
              </w:rPr>
            </w:pPr>
          </w:p>
          <w:p w14:paraId="15D41A16">
            <w:pPr>
              <w:pStyle w:val="11"/>
              <w:spacing w:before="68" w:line="221" w:lineRule="auto"/>
              <w:ind w:left="170"/>
              <w:rPr>
                <w:color w:val="auto"/>
                <w:highlight w:val="none"/>
              </w:rPr>
            </w:pPr>
            <w:r>
              <w:rPr>
                <w:color w:val="auto"/>
                <w:spacing w:val="-1"/>
                <w:highlight w:val="none"/>
              </w:rPr>
              <w:t>计算基础</w:t>
            </w:r>
          </w:p>
        </w:tc>
        <w:tc>
          <w:tcPr>
            <w:tcW w:w="830" w:type="dxa"/>
            <w:tcBorders>
              <w:top w:val="single" w:color="000000" w:sz="4" w:space="0"/>
            </w:tcBorders>
            <w:vAlign w:val="top"/>
          </w:tcPr>
          <w:p w14:paraId="73E8287C">
            <w:pPr>
              <w:pStyle w:val="11"/>
              <w:spacing w:before="215" w:line="235" w:lineRule="auto"/>
              <w:ind w:left="163" w:right="161" w:firstLine="58"/>
              <w:rPr>
                <w:color w:val="auto"/>
                <w:highlight w:val="none"/>
              </w:rPr>
            </w:pPr>
            <w:r>
              <w:rPr>
                <w:color w:val="auto"/>
                <w:spacing w:val="-9"/>
                <w:highlight w:val="none"/>
              </w:rPr>
              <w:t>费率</w:t>
            </w:r>
            <w:r>
              <w:rPr>
                <w:color w:val="auto"/>
                <w:highlight w:val="none"/>
              </w:rPr>
              <w:t xml:space="preserve"> </w:t>
            </w:r>
            <w:r>
              <w:rPr>
                <w:color w:val="auto"/>
                <w:spacing w:val="-9"/>
                <w:highlight w:val="none"/>
              </w:rPr>
              <w:t>（%）</w:t>
            </w:r>
          </w:p>
        </w:tc>
        <w:tc>
          <w:tcPr>
            <w:tcW w:w="1573" w:type="dxa"/>
            <w:tcBorders>
              <w:top w:val="single" w:color="000000" w:sz="4" w:space="0"/>
              <w:right w:val="single" w:color="000000" w:sz="4" w:space="0"/>
            </w:tcBorders>
            <w:vAlign w:val="top"/>
          </w:tcPr>
          <w:p w14:paraId="1B0F1F81">
            <w:pPr>
              <w:spacing w:line="280" w:lineRule="auto"/>
              <w:rPr>
                <w:rFonts w:ascii="Arial"/>
                <w:color w:val="auto"/>
                <w:sz w:val="21"/>
                <w:highlight w:val="none"/>
              </w:rPr>
            </w:pPr>
          </w:p>
          <w:p w14:paraId="1DAB0C56">
            <w:pPr>
              <w:pStyle w:val="11"/>
              <w:spacing w:before="68" w:line="221" w:lineRule="auto"/>
              <w:ind w:left="270"/>
              <w:rPr>
                <w:color w:val="auto"/>
                <w:highlight w:val="none"/>
              </w:rPr>
            </w:pPr>
            <w:r>
              <w:rPr>
                <w:color w:val="auto"/>
                <w:spacing w:val="-3"/>
                <w:highlight w:val="none"/>
              </w:rPr>
              <w:t>金额（元）</w:t>
            </w:r>
          </w:p>
        </w:tc>
      </w:tr>
      <w:tr w14:paraId="34A2A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14:paraId="1D77BDF8">
            <w:pPr>
              <w:spacing w:line="316" w:lineRule="auto"/>
              <w:rPr>
                <w:rFonts w:ascii="Arial"/>
                <w:color w:val="auto"/>
                <w:sz w:val="21"/>
                <w:highlight w:val="none"/>
              </w:rPr>
            </w:pPr>
          </w:p>
          <w:p w14:paraId="2AAE2845">
            <w:pPr>
              <w:spacing w:before="68" w:line="183" w:lineRule="auto"/>
              <w:ind w:left="283"/>
              <w:rPr>
                <w:rFonts w:ascii="黑体" w:hAnsi="黑体" w:eastAsia="黑体" w:cs="黑体"/>
                <w:color w:val="auto"/>
                <w:sz w:val="21"/>
                <w:szCs w:val="21"/>
                <w:highlight w:val="none"/>
              </w:rPr>
            </w:pPr>
            <w:r>
              <w:rPr>
                <w:rFonts w:ascii="黑体" w:hAnsi="黑体" w:eastAsia="黑体" w:cs="黑体"/>
                <w:color w:val="auto"/>
                <w:sz w:val="21"/>
                <w:szCs w:val="21"/>
                <w:highlight w:val="none"/>
              </w:rPr>
              <w:t>1</w:t>
            </w:r>
          </w:p>
        </w:tc>
        <w:tc>
          <w:tcPr>
            <w:tcW w:w="2173" w:type="dxa"/>
            <w:vAlign w:val="top"/>
          </w:tcPr>
          <w:p w14:paraId="3AFFCA3E">
            <w:pPr>
              <w:spacing w:line="282" w:lineRule="auto"/>
              <w:rPr>
                <w:rFonts w:ascii="Arial"/>
                <w:color w:val="auto"/>
                <w:sz w:val="21"/>
                <w:highlight w:val="none"/>
              </w:rPr>
            </w:pPr>
          </w:p>
          <w:p w14:paraId="1415C237">
            <w:pPr>
              <w:pStyle w:val="11"/>
              <w:spacing w:before="68" w:line="221" w:lineRule="auto"/>
              <w:ind w:left="110"/>
              <w:rPr>
                <w:color w:val="auto"/>
                <w:highlight w:val="none"/>
              </w:rPr>
            </w:pPr>
            <w:r>
              <w:rPr>
                <w:color w:val="auto"/>
                <w:spacing w:val="-1"/>
                <w:highlight w:val="none"/>
              </w:rPr>
              <w:t>发包人发包专业工程</w:t>
            </w:r>
          </w:p>
        </w:tc>
        <w:tc>
          <w:tcPr>
            <w:tcW w:w="1076" w:type="dxa"/>
            <w:tcBorders>
              <w:right w:val="single" w:color="000000" w:sz="4" w:space="0"/>
            </w:tcBorders>
            <w:vAlign w:val="top"/>
          </w:tcPr>
          <w:p w14:paraId="55BB5D91">
            <w:pPr>
              <w:rPr>
                <w:rFonts w:ascii="Arial"/>
                <w:color w:val="auto"/>
                <w:sz w:val="21"/>
                <w:highlight w:val="none"/>
              </w:rPr>
            </w:pPr>
          </w:p>
        </w:tc>
        <w:tc>
          <w:tcPr>
            <w:tcW w:w="1081" w:type="dxa"/>
            <w:tcBorders>
              <w:left w:val="single" w:color="000000" w:sz="4" w:space="0"/>
            </w:tcBorders>
            <w:vAlign w:val="top"/>
          </w:tcPr>
          <w:p w14:paraId="23143A3D">
            <w:pPr>
              <w:rPr>
                <w:rFonts w:ascii="Arial"/>
                <w:color w:val="auto"/>
                <w:sz w:val="21"/>
                <w:highlight w:val="none"/>
              </w:rPr>
            </w:pPr>
          </w:p>
        </w:tc>
        <w:tc>
          <w:tcPr>
            <w:tcW w:w="1165" w:type="dxa"/>
            <w:vAlign w:val="top"/>
          </w:tcPr>
          <w:p w14:paraId="2C1568DB">
            <w:pPr>
              <w:rPr>
                <w:rFonts w:ascii="Arial"/>
                <w:color w:val="auto"/>
                <w:sz w:val="21"/>
                <w:highlight w:val="none"/>
              </w:rPr>
            </w:pPr>
          </w:p>
        </w:tc>
        <w:tc>
          <w:tcPr>
            <w:tcW w:w="830" w:type="dxa"/>
            <w:vAlign w:val="top"/>
          </w:tcPr>
          <w:p w14:paraId="3E998A57">
            <w:pPr>
              <w:rPr>
                <w:rFonts w:ascii="Arial"/>
                <w:color w:val="auto"/>
                <w:sz w:val="21"/>
                <w:highlight w:val="none"/>
              </w:rPr>
            </w:pPr>
          </w:p>
        </w:tc>
        <w:tc>
          <w:tcPr>
            <w:tcW w:w="1573" w:type="dxa"/>
            <w:tcBorders>
              <w:right w:val="single" w:color="000000" w:sz="4" w:space="0"/>
            </w:tcBorders>
            <w:vAlign w:val="top"/>
          </w:tcPr>
          <w:p w14:paraId="6CBB9F5F">
            <w:pPr>
              <w:rPr>
                <w:rFonts w:ascii="Arial"/>
                <w:color w:val="auto"/>
                <w:sz w:val="21"/>
                <w:highlight w:val="none"/>
              </w:rPr>
            </w:pPr>
          </w:p>
        </w:tc>
      </w:tr>
      <w:tr w14:paraId="17522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bottom w:val="single" w:color="000000" w:sz="4" w:space="0"/>
            </w:tcBorders>
            <w:vAlign w:val="top"/>
          </w:tcPr>
          <w:p w14:paraId="1B61D49B">
            <w:pPr>
              <w:spacing w:line="310" w:lineRule="auto"/>
              <w:rPr>
                <w:rFonts w:ascii="Arial"/>
                <w:color w:val="auto"/>
                <w:sz w:val="21"/>
                <w:highlight w:val="none"/>
              </w:rPr>
            </w:pPr>
          </w:p>
          <w:p w14:paraId="44D3E5ED">
            <w:pPr>
              <w:spacing w:before="69" w:line="184" w:lineRule="auto"/>
              <w:ind w:left="270"/>
              <w:rPr>
                <w:rFonts w:ascii="黑体" w:hAnsi="黑体" w:eastAsia="黑体" w:cs="黑体"/>
                <w:color w:val="auto"/>
                <w:sz w:val="21"/>
                <w:szCs w:val="21"/>
                <w:highlight w:val="none"/>
              </w:rPr>
            </w:pPr>
            <w:r>
              <w:rPr>
                <w:rFonts w:ascii="黑体" w:hAnsi="黑体" w:eastAsia="黑体" w:cs="黑体"/>
                <w:color w:val="auto"/>
                <w:sz w:val="21"/>
                <w:szCs w:val="21"/>
                <w:highlight w:val="none"/>
              </w:rPr>
              <w:t>2</w:t>
            </w:r>
          </w:p>
        </w:tc>
        <w:tc>
          <w:tcPr>
            <w:tcW w:w="2173" w:type="dxa"/>
            <w:vAlign w:val="top"/>
          </w:tcPr>
          <w:p w14:paraId="37B91A6C">
            <w:pPr>
              <w:spacing w:line="277" w:lineRule="auto"/>
              <w:rPr>
                <w:rFonts w:ascii="Arial"/>
                <w:color w:val="auto"/>
                <w:sz w:val="21"/>
                <w:highlight w:val="none"/>
              </w:rPr>
            </w:pPr>
          </w:p>
          <w:p w14:paraId="03667C9A">
            <w:pPr>
              <w:pStyle w:val="11"/>
              <w:spacing w:before="68" w:line="220" w:lineRule="auto"/>
              <w:ind w:left="110"/>
              <w:rPr>
                <w:color w:val="auto"/>
                <w:highlight w:val="none"/>
              </w:rPr>
            </w:pPr>
            <w:r>
              <w:rPr>
                <w:color w:val="auto"/>
                <w:spacing w:val="-1"/>
                <w:highlight w:val="none"/>
              </w:rPr>
              <w:t>发包人提供材料</w:t>
            </w:r>
          </w:p>
        </w:tc>
        <w:tc>
          <w:tcPr>
            <w:tcW w:w="1076" w:type="dxa"/>
            <w:tcBorders>
              <w:right w:val="single" w:color="000000" w:sz="4" w:space="0"/>
            </w:tcBorders>
            <w:vAlign w:val="top"/>
          </w:tcPr>
          <w:p w14:paraId="0E1DAA93">
            <w:pPr>
              <w:rPr>
                <w:rFonts w:ascii="Arial"/>
                <w:color w:val="auto"/>
                <w:sz w:val="21"/>
                <w:highlight w:val="none"/>
              </w:rPr>
            </w:pPr>
          </w:p>
        </w:tc>
        <w:tc>
          <w:tcPr>
            <w:tcW w:w="1081" w:type="dxa"/>
            <w:tcBorders>
              <w:left w:val="single" w:color="000000" w:sz="4" w:space="0"/>
            </w:tcBorders>
            <w:vAlign w:val="top"/>
          </w:tcPr>
          <w:p w14:paraId="083B6219">
            <w:pPr>
              <w:rPr>
                <w:rFonts w:ascii="Arial"/>
                <w:color w:val="auto"/>
                <w:sz w:val="21"/>
                <w:highlight w:val="none"/>
              </w:rPr>
            </w:pPr>
          </w:p>
        </w:tc>
        <w:tc>
          <w:tcPr>
            <w:tcW w:w="1165" w:type="dxa"/>
            <w:vAlign w:val="top"/>
          </w:tcPr>
          <w:p w14:paraId="12446C0D">
            <w:pPr>
              <w:rPr>
                <w:rFonts w:ascii="Arial"/>
                <w:color w:val="auto"/>
                <w:sz w:val="21"/>
                <w:highlight w:val="none"/>
              </w:rPr>
            </w:pPr>
          </w:p>
        </w:tc>
        <w:tc>
          <w:tcPr>
            <w:tcW w:w="830" w:type="dxa"/>
            <w:vAlign w:val="top"/>
          </w:tcPr>
          <w:p w14:paraId="4768CD02">
            <w:pPr>
              <w:rPr>
                <w:rFonts w:ascii="Arial"/>
                <w:color w:val="auto"/>
                <w:sz w:val="21"/>
                <w:highlight w:val="none"/>
              </w:rPr>
            </w:pPr>
          </w:p>
        </w:tc>
        <w:tc>
          <w:tcPr>
            <w:tcW w:w="1573" w:type="dxa"/>
            <w:tcBorders>
              <w:right w:val="single" w:color="000000" w:sz="4" w:space="0"/>
            </w:tcBorders>
            <w:vAlign w:val="top"/>
          </w:tcPr>
          <w:p w14:paraId="068426AA">
            <w:pPr>
              <w:rPr>
                <w:rFonts w:ascii="Arial"/>
                <w:color w:val="auto"/>
                <w:sz w:val="21"/>
                <w:highlight w:val="none"/>
              </w:rPr>
            </w:pPr>
          </w:p>
        </w:tc>
      </w:tr>
      <w:tr w14:paraId="0E3FD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648" w:type="dxa"/>
            <w:tcBorders>
              <w:top w:val="single" w:color="000000" w:sz="4" w:space="0"/>
              <w:left w:val="single" w:color="000000" w:sz="4" w:space="0"/>
            </w:tcBorders>
            <w:vAlign w:val="top"/>
          </w:tcPr>
          <w:p w14:paraId="392D7F2E">
            <w:pPr>
              <w:rPr>
                <w:rFonts w:ascii="Arial"/>
                <w:color w:val="auto"/>
                <w:sz w:val="21"/>
                <w:highlight w:val="none"/>
              </w:rPr>
            </w:pPr>
          </w:p>
        </w:tc>
        <w:tc>
          <w:tcPr>
            <w:tcW w:w="2173" w:type="dxa"/>
            <w:vAlign w:val="top"/>
          </w:tcPr>
          <w:p w14:paraId="314A9E8A">
            <w:pPr>
              <w:rPr>
                <w:rFonts w:ascii="Arial"/>
                <w:color w:val="auto"/>
                <w:sz w:val="21"/>
                <w:highlight w:val="none"/>
              </w:rPr>
            </w:pPr>
          </w:p>
        </w:tc>
        <w:tc>
          <w:tcPr>
            <w:tcW w:w="1076" w:type="dxa"/>
            <w:tcBorders>
              <w:right w:val="single" w:color="000000" w:sz="4" w:space="0"/>
            </w:tcBorders>
            <w:vAlign w:val="top"/>
          </w:tcPr>
          <w:p w14:paraId="790BD581">
            <w:pPr>
              <w:rPr>
                <w:rFonts w:ascii="Arial"/>
                <w:color w:val="auto"/>
                <w:sz w:val="21"/>
                <w:highlight w:val="none"/>
              </w:rPr>
            </w:pPr>
          </w:p>
        </w:tc>
        <w:tc>
          <w:tcPr>
            <w:tcW w:w="1081" w:type="dxa"/>
            <w:tcBorders>
              <w:left w:val="single" w:color="000000" w:sz="4" w:space="0"/>
            </w:tcBorders>
            <w:vAlign w:val="top"/>
          </w:tcPr>
          <w:p w14:paraId="7A300C66">
            <w:pPr>
              <w:rPr>
                <w:rFonts w:ascii="Arial"/>
                <w:color w:val="auto"/>
                <w:sz w:val="21"/>
                <w:highlight w:val="none"/>
              </w:rPr>
            </w:pPr>
          </w:p>
        </w:tc>
        <w:tc>
          <w:tcPr>
            <w:tcW w:w="1165" w:type="dxa"/>
            <w:vAlign w:val="top"/>
          </w:tcPr>
          <w:p w14:paraId="3509B36C">
            <w:pPr>
              <w:rPr>
                <w:rFonts w:ascii="Arial"/>
                <w:color w:val="auto"/>
                <w:sz w:val="21"/>
                <w:highlight w:val="none"/>
              </w:rPr>
            </w:pPr>
          </w:p>
        </w:tc>
        <w:tc>
          <w:tcPr>
            <w:tcW w:w="830" w:type="dxa"/>
            <w:vAlign w:val="top"/>
          </w:tcPr>
          <w:p w14:paraId="32ADEB21">
            <w:pPr>
              <w:rPr>
                <w:rFonts w:ascii="Arial"/>
                <w:color w:val="auto"/>
                <w:sz w:val="21"/>
                <w:highlight w:val="none"/>
              </w:rPr>
            </w:pPr>
          </w:p>
        </w:tc>
        <w:tc>
          <w:tcPr>
            <w:tcW w:w="1573" w:type="dxa"/>
            <w:tcBorders>
              <w:right w:val="single" w:color="000000" w:sz="4" w:space="0"/>
            </w:tcBorders>
            <w:vAlign w:val="top"/>
          </w:tcPr>
          <w:p w14:paraId="09A0F146">
            <w:pPr>
              <w:rPr>
                <w:rFonts w:ascii="Arial"/>
                <w:color w:val="auto"/>
                <w:sz w:val="21"/>
                <w:highlight w:val="none"/>
              </w:rPr>
            </w:pPr>
          </w:p>
        </w:tc>
      </w:tr>
      <w:tr w14:paraId="2C677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16" w:hRule="atLeast"/>
        </w:trPr>
        <w:tc>
          <w:tcPr>
            <w:tcW w:w="648" w:type="dxa"/>
            <w:tcBorders>
              <w:left w:val="single" w:color="000000" w:sz="4" w:space="0"/>
            </w:tcBorders>
            <w:vAlign w:val="top"/>
          </w:tcPr>
          <w:p w14:paraId="0EE3C843">
            <w:pPr>
              <w:rPr>
                <w:rFonts w:ascii="Arial"/>
                <w:color w:val="auto"/>
                <w:sz w:val="21"/>
                <w:highlight w:val="none"/>
              </w:rPr>
            </w:pPr>
          </w:p>
        </w:tc>
        <w:tc>
          <w:tcPr>
            <w:tcW w:w="2173" w:type="dxa"/>
            <w:vAlign w:val="top"/>
          </w:tcPr>
          <w:p w14:paraId="7F3F32C7">
            <w:pPr>
              <w:rPr>
                <w:rFonts w:ascii="Arial"/>
                <w:color w:val="auto"/>
                <w:sz w:val="21"/>
                <w:highlight w:val="none"/>
              </w:rPr>
            </w:pPr>
          </w:p>
        </w:tc>
        <w:tc>
          <w:tcPr>
            <w:tcW w:w="1076" w:type="dxa"/>
            <w:tcBorders>
              <w:right w:val="single" w:color="000000" w:sz="4" w:space="0"/>
            </w:tcBorders>
            <w:vAlign w:val="top"/>
          </w:tcPr>
          <w:p w14:paraId="09EAF235">
            <w:pPr>
              <w:rPr>
                <w:rFonts w:ascii="Arial"/>
                <w:color w:val="auto"/>
                <w:sz w:val="21"/>
                <w:highlight w:val="none"/>
              </w:rPr>
            </w:pPr>
          </w:p>
        </w:tc>
        <w:tc>
          <w:tcPr>
            <w:tcW w:w="1081" w:type="dxa"/>
            <w:tcBorders>
              <w:left w:val="single" w:color="000000" w:sz="4" w:space="0"/>
            </w:tcBorders>
            <w:vAlign w:val="top"/>
          </w:tcPr>
          <w:p w14:paraId="1AD3F243">
            <w:pPr>
              <w:rPr>
                <w:rFonts w:ascii="Arial"/>
                <w:color w:val="auto"/>
                <w:sz w:val="21"/>
                <w:highlight w:val="none"/>
              </w:rPr>
            </w:pPr>
          </w:p>
        </w:tc>
        <w:tc>
          <w:tcPr>
            <w:tcW w:w="1165" w:type="dxa"/>
            <w:vAlign w:val="top"/>
          </w:tcPr>
          <w:p w14:paraId="151ED73C">
            <w:pPr>
              <w:rPr>
                <w:rFonts w:ascii="Arial"/>
                <w:color w:val="auto"/>
                <w:sz w:val="21"/>
                <w:highlight w:val="none"/>
              </w:rPr>
            </w:pPr>
          </w:p>
        </w:tc>
        <w:tc>
          <w:tcPr>
            <w:tcW w:w="830" w:type="dxa"/>
            <w:vAlign w:val="top"/>
          </w:tcPr>
          <w:p w14:paraId="61650BAA">
            <w:pPr>
              <w:rPr>
                <w:rFonts w:ascii="Arial"/>
                <w:color w:val="auto"/>
                <w:sz w:val="21"/>
                <w:highlight w:val="none"/>
              </w:rPr>
            </w:pPr>
          </w:p>
        </w:tc>
        <w:tc>
          <w:tcPr>
            <w:tcW w:w="1573" w:type="dxa"/>
            <w:tcBorders>
              <w:right w:val="single" w:color="000000" w:sz="4" w:space="0"/>
            </w:tcBorders>
            <w:vAlign w:val="top"/>
          </w:tcPr>
          <w:p w14:paraId="1E1E07BB">
            <w:pPr>
              <w:rPr>
                <w:rFonts w:ascii="Arial"/>
                <w:color w:val="auto"/>
                <w:sz w:val="21"/>
                <w:highlight w:val="none"/>
              </w:rPr>
            </w:pPr>
          </w:p>
        </w:tc>
      </w:tr>
      <w:tr w14:paraId="7A2A5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14:paraId="6EBA957B">
            <w:pPr>
              <w:rPr>
                <w:rFonts w:ascii="Arial"/>
                <w:color w:val="auto"/>
                <w:sz w:val="21"/>
                <w:highlight w:val="none"/>
              </w:rPr>
            </w:pPr>
          </w:p>
        </w:tc>
        <w:tc>
          <w:tcPr>
            <w:tcW w:w="2173" w:type="dxa"/>
            <w:vAlign w:val="top"/>
          </w:tcPr>
          <w:p w14:paraId="7FD2282F">
            <w:pPr>
              <w:rPr>
                <w:rFonts w:ascii="Arial"/>
                <w:color w:val="auto"/>
                <w:sz w:val="21"/>
                <w:highlight w:val="none"/>
              </w:rPr>
            </w:pPr>
          </w:p>
        </w:tc>
        <w:tc>
          <w:tcPr>
            <w:tcW w:w="1076" w:type="dxa"/>
            <w:tcBorders>
              <w:right w:val="single" w:color="000000" w:sz="4" w:space="0"/>
            </w:tcBorders>
            <w:vAlign w:val="top"/>
          </w:tcPr>
          <w:p w14:paraId="5E19B200">
            <w:pPr>
              <w:rPr>
                <w:rFonts w:ascii="Arial"/>
                <w:color w:val="auto"/>
                <w:sz w:val="21"/>
                <w:highlight w:val="none"/>
              </w:rPr>
            </w:pPr>
          </w:p>
        </w:tc>
        <w:tc>
          <w:tcPr>
            <w:tcW w:w="1081" w:type="dxa"/>
            <w:tcBorders>
              <w:left w:val="single" w:color="000000" w:sz="4" w:space="0"/>
            </w:tcBorders>
            <w:vAlign w:val="top"/>
          </w:tcPr>
          <w:p w14:paraId="51C3578F">
            <w:pPr>
              <w:rPr>
                <w:rFonts w:ascii="Arial"/>
                <w:color w:val="auto"/>
                <w:sz w:val="21"/>
                <w:highlight w:val="none"/>
              </w:rPr>
            </w:pPr>
          </w:p>
        </w:tc>
        <w:tc>
          <w:tcPr>
            <w:tcW w:w="1165" w:type="dxa"/>
            <w:vAlign w:val="top"/>
          </w:tcPr>
          <w:p w14:paraId="31B06210">
            <w:pPr>
              <w:rPr>
                <w:rFonts w:ascii="Arial"/>
                <w:color w:val="auto"/>
                <w:sz w:val="21"/>
                <w:highlight w:val="none"/>
              </w:rPr>
            </w:pPr>
          </w:p>
        </w:tc>
        <w:tc>
          <w:tcPr>
            <w:tcW w:w="830" w:type="dxa"/>
            <w:vAlign w:val="top"/>
          </w:tcPr>
          <w:p w14:paraId="3E74957E">
            <w:pPr>
              <w:rPr>
                <w:rFonts w:ascii="Arial"/>
                <w:color w:val="auto"/>
                <w:sz w:val="21"/>
                <w:highlight w:val="none"/>
              </w:rPr>
            </w:pPr>
          </w:p>
        </w:tc>
        <w:tc>
          <w:tcPr>
            <w:tcW w:w="1573" w:type="dxa"/>
            <w:tcBorders>
              <w:right w:val="single" w:color="000000" w:sz="4" w:space="0"/>
            </w:tcBorders>
            <w:vAlign w:val="top"/>
          </w:tcPr>
          <w:p w14:paraId="7CBD0951">
            <w:pPr>
              <w:rPr>
                <w:rFonts w:ascii="Arial"/>
                <w:color w:val="auto"/>
                <w:sz w:val="21"/>
                <w:highlight w:val="none"/>
              </w:rPr>
            </w:pPr>
          </w:p>
        </w:tc>
      </w:tr>
      <w:tr w14:paraId="1254B3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48" w:type="dxa"/>
            <w:tcBorders>
              <w:left w:val="single" w:color="000000" w:sz="4" w:space="0"/>
            </w:tcBorders>
            <w:vAlign w:val="top"/>
          </w:tcPr>
          <w:p w14:paraId="5154881B">
            <w:pPr>
              <w:rPr>
                <w:rFonts w:ascii="Arial"/>
                <w:color w:val="auto"/>
                <w:sz w:val="21"/>
                <w:highlight w:val="none"/>
              </w:rPr>
            </w:pPr>
          </w:p>
        </w:tc>
        <w:tc>
          <w:tcPr>
            <w:tcW w:w="2173" w:type="dxa"/>
            <w:vAlign w:val="top"/>
          </w:tcPr>
          <w:p w14:paraId="015B77E8">
            <w:pPr>
              <w:rPr>
                <w:rFonts w:ascii="Arial"/>
                <w:color w:val="auto"/>
                <w:sz w:val="21"/>
                <w:highlight w:val="none"/>
              </w:rPr>
            </w:pPr>
          </w:p>
        </w:tc>
        <w:tc>
          <w:tcPr>
            <w:tcW w:w="1076" w:type="dxa"/>
            <w:tcBorders>
              <w:right w:val="single" w:color="000000" w:sz="4" w:space="0"/>
            </w:tcBorders>
            <w:vAlign w:val="top"/>
          </w:tcPr>
          <w:p w14:paraId="0E3974DA">
            <w:pPr>
              <w:rPr>
                <w:rFonts w:ascii="Arial"/>
                <w:color w:val="auto"/>
                <w:sz w:val="21"/>
                <w:highlight w:val="none"/>
              </w:rPr>
            </w:pPr>
          </w:p>
        </w:tc>
        <w:tc>
          <w:tcPr>
            <w:tcW w:w="1081" w:type="dxa"/>
            <w:tcBorders>
              <w:left w:val="single" w:color="000000" w:sz="4" w:space="0"/>
            </w:tcBorders>
            <w:vAlign w:val="top"/>
          </w:tcPr>
          <w:p w14:paraId="2DC0E5BD">
            <w:pPr>
              <w:rPr>
                <w:rFonts w:ascii="Arial"/>
                <w:color w:val="auto"/>
                <w:sz w:val="21"/>
                <w:highlight w:val="none"/>
              </w:rPr>
            </w:pPr>
          </w:p>
        </w:tc>
        <w:tc>
          <w:tcPr>
            <w:tcW w:w="1165" w:type="dxa"/>
            <w:vAlign w:val="top"/>
          </w:tcPr>
          <w:p w14:paraId="26ABB6F4">
            <w:pPr>
              <w:rPr>
                <w:rFonts w:ascii="Arial"/>
                <w:color w:val="auto"/>
                <w:sz w:val="21"/>
                <w:highlight w:val="none"/>
              </w:rPr>
            </w:pPr>
          </w:p>
        </w:tc>
        <w:tc>
          <w:tcPr>
            <w:tcW w:w="830" w:type="dxa"/>
            <w:vAlign w:val="top"/>
          </w:tcPr>
          <w:p w14:paraId="00498E00">
            <w:pPr>
              <w:rPr>
                <w:rFonts w:ascii="Arial"/>
                <w:color w:val="auto"/>
                <w:sz w:val="21"/>
                <w:highlight w:val="none"/>
              </w:rPr>
            </w:pPr>
          </w:p>
        </w:tc>
        <w:tc>
          <w:tcPr>
            <w:tcW w:w="1573" w:type="dxa"/>
            <w:tcBorders>
              <w:right w:val="single" w:color="000000" w:sz="4" w:space="0"/>
            </w:tcBorders>
            <w:vAlign w:val="top"/>
          </w:tcPr>
          <w:p w14:paraId="512FE7AA">
            <w:pPr>
              <w:rPr>
                <w:rFonts w:ascii="Arial"/>
                <w:color w:val="auto"/>
                <w:sz w:val="21"/>
                <w:highlight w:val="none"/>
              </w:rPr>
            </w:pPr>
          </w:p>
        </w:tc>
      </w:tr>
      <w:tr w14:paraId="2B1027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14:paraId="285EAEDB">
            <w:pPr>
              <w:rPr>
                <w:rFonts w:ascii="Arial"/>
                <w:color w:val="auto"/>
                <w:sz w:val="21"/>
                <w:highlight w:val="none"/>
              </w:rPr>
            </w:pPr>
          </w:p>
        </w:tc>
        <w:tc>
          <w:tcPr>
            <w:tcW w:w="2173" w:type="dxa"/>
            <w:vAlign w:val="top"/>
          </w:tcPr>
          <w:p w14:paraId="089B4F29">
            <w:pPr>
              <w:rPr>
                <w:rFonts w:ascii="Arial"/>
                <w:color w:val="auto"/>
                <w:sz w:val="21"/>
                <w:highlight w:val="none"/>
              </w:rPr>
            </w:pPr>
          </w:p>
        </w:tc>
        <w:tc>
          <w:tcPr>
            <w:tcW w:w="1076" w:type="dxa"/>
            <w:tcBorders>
              <w:right w:val="single" w:color="000000" w:sz="4" w:space="0"/>
            </w:tcBorders>
            <w:vAlign w:val="top"/>
          </w:tcPr>
          <w:p w14:paraId="17A5C24E">
            <w:pPr>
              <w:rPr>
                <w:rFonts w:ascii="Arial"/>
                <w:color w:val="auto"/>
                <w:sz w:val="21"/>
                <w:highlight w:val="none"/>
              </w:rPr>
            </w:pPr>
          </w:p>
        </w:tc>
        <w:tc>
          <w:tcPr>
            <w:tcW w:w="1081" w:type="dxa"/>
            <w:tcBorders>
              <w:left w:val="single" w:color="000000" w:sz="4" w:space="0"/>
            </w:tcBorders>
            <w:vAlign w:val="top"/>
          </w:tcPr>
          <w:p w14:paraId="445EBC45">
            <w:pPr>
              <w:rPr>
                <w:rFonts w:ascii="Arial"/>
                <w:color w:val="auto"/>
                <w:sz w:val="21"/>
                <w:highlight w:val="none"/>
              </w:rPr>
            </w:pPr>
          </w:p>
        </w:tc>
        <w:tc>
          <w:tcPr>
            <w:tcW w:w="1165" w:type="dxa"/>
            <w:vAlign w:val="top"/>
          </w:tcPr>
          <w:p w14:paraId="08052725">
            <w:pPr>
              <w:rPr>
                <w:rFonts w:ascii="Arial"/>
                <w:color w:val="auto"/>
                <w:sz w:val="21"/>
                <w:highlight w:val="none"/>
              </w:rPr>
            </w:pPr>
          </w:p>
        </w:tc>
        <w:tc>
          <w:tcPr>
            <w:tcW w:w="830" w:type="dxa"/>
            <w:vAlign w:val="top"/>
          </w:tcPr>
          <w:p w14:paraId="42918792">
            <w:pPr>
              <w:rPr>
                <w:rFonts w:ascii="Arial"/>
                <w:color w:val="auto"/>
                <w:sz w:val="21"/>
                <w:highlight w:val="none"/>
              </w:rPr>
            </w:pPr>
          </w:p>
        </w:tc>
        <w:tc>
          <w:tcPr>
            <w:tcW w:w="1573" w:type="dxa"/>
            <w:tcBorders>
              <w:right w:val="single" w:color="000000" w:sz="4" w:space="0"/>
            </w:tcBorders>
            <w:vAlign w:val="top"/>
          </w:tcPr>
          <w:p w14:paraId="3A0F8800">
            <w:pPr>
              <w:rPr>
                <w:rFonts w:ascii="Arial"/>
                <w:color w:val="auto"/>
                <w:sz w:val="21"/>
                <w:highlight w:val="none"/>
              </w:rPr>
            </w:pPr>
          </w:p>
        </w:tc>
      </w:tr>
      <w:tr w14:paraId="48DB5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48" w:type="dxa"/>
            <w:tcBorders>
              <w:left w:val="single" w:color="000000" w:sz="4" w:space="0"/>
            </w:tcBorders>
            <w:vAlign w:val="top"/>
          </w:tcPr>
          <w:p w14:paraId="167D1DF1">
            <w:pPr>
              <w:rPr>
                <w:rFonts w:ascii="Arial"/>
                <w:color w:val="auto"/>
                <w:sz w:val="21"/>
                <w:highlight w:val="none"/>
              </w:rPr>
            </w:pPr>
          </w:p>
        </w:tc>
        <w:tc>
          <w:tcPr>
            <w:tcW w:w="2173" w:type="dxa"/>
            <w:vAlign w:val="top"/>
          </w:tcPr>
          <w:p w14:paraId="388118C2">
            <w:pPr>
              <w:rPr>
                <w:rFonts w:ascii="Arial"/>
                <w:color w:val="auto"/>
                <w:sz w:val="21"/>
                <w:highlight w:val="none"/>
              </w:rPr>
            </w:pPr>
          </w:p>
        </w:tc>
        <w:tc>
          <w:tcPr>
            <w:tcW w:w="1076" w:type="dxa"/>
            <w:tcBorders>
              <w:right w:val="single" w:color="000000" w:sz="4" w:space="0"/>
            </w:tcBorders>
            <w:vAlign w:val="top"/>
          </w:tcPr>
          <w:p w14:paraId="6D42F636">
            <w:pPr>
              <w:rPr>
                <w:rFonts w:ascii="Arial"/>
                <w:color w:val="auto"/>
                <w:sz w:val="21"/>
                <w:highlight w:val="none"/>
              </w:rPr>
            </w:pPr>
          </w:p>
        </w:tc>
        <w:tc>
          <w:tcPr>
            <w:tcW w:w="1081" w:type="dxa"/>
            <w:tcBorders>
              <w:left w:val="single" w:color="000000" w:sz="4" w:space="0"/>
            </w:tcBorders>
            <w:vAlign w:val="top"/>
          </w:tcPr>
          <w:p w14:paraId="7065DAFE">
            <w:pPr>
              <w:rPr>
                <w:rFonts w:ascii="Arial"/>
                <w:color w:val="auto"/>
                <w:sz w:val="21"/>
                <w:highlight w:val="none"/>
              </w:rPr>
            </w:pPr>
          </w:p>
        </w:tc>
        <w:tc>
          <w:tcPr>
            <w:tcW w:w="1165" w:type="dxa"/>
            <w:vAlign w:val="top"/>
          </w:tcPr>
          <w:p w14:paraId="146F503B">
            <w:pPr>
              <w:rPr>
                <w:rFonts w:ascii="Arial"/>
                <w:color w:val="auto"/>
                <w:sz w:val="21"/>
                <w:highlight w:val="none"/>
              </w:rPr>
            </w:pPr>
          </w:p>
        </w:tc>
        <w:tc>
          <w:tcPr>
            <w:tcW w:w="830" w:type="dxa"/>
            <w:vAlign w:val="top"/>
          </w:tcPr>
          <w:p w14:paraId="1CB96A33">
            <w:pPr>
              <w:rPr>
                <w:rFonts w:ascii="Arial"/>
                <w:color w:val="auto"/>
                <w:sz w:val="21"/>
                <w:highlight w:val="none"/>
              </w:rPr>
            </w:pPr>
          </w:p>
        </w:tc>
        <w:tc>
          <w:tcPr>
            <w:tcW w:w="1573" w:type="dxa"/>
            <w:tcBorders>
              <w:right w:val="single" w:color="000000" w:sz="4" w:space="0"/>
            </w:tcBorders>
            <w:vAlign w:val="top"/>
          </w:tcPr>
          <w:p w14:paraId="2051C286">
            <w:pPr>
              <w:rPr>
                <w:rFonts w:ascii="Arial"/>
                <w:color w:val="auto"/>
                <w:sz w:val="21"/>
                <w:highlight w:val="none"/>
              </w:rPr>
            </w:pPr>
          </w:p>
        </w:tc>
      </w:tr>
      <w:tr w14:paraId="66188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16" w:hRule="atLeast"/>
        </w:trPr>
        <w:tc>
          <w:tcPr>
            <w:tcW w:w="648" w:type="dxa"/>
            <w:tcBorders>
              <w:left w:val="single" w:color="000000" w:sz="4" w:space="0"/>
            </w:tcBorders>
            <w:vAlign w:val="top"/>
          </w:tcPr>
          <w:p w14:paraId="02538FFC">
            <w:pPr>
              <w:rPr>
                <w:rFonts w:ascii="Arial"/>
                <w:color w:val="auto"/>
                <w:sz w:val="21"/>
                <w:highlight w:val="none"/>
              </w:rPr>
            </w:pPr>
          </w:p>
        </w:tc>
        <w:tc>
          <w:tcPr>
            <w:tcW w:w="2173" w:type="dxa"/>
            <w:vAlign w:val="top"/>
          </w:tcPr>
          <w:p w14:paraId="7880B7EA">
            <w:pPr>
              <w:rPr>
                <w:rFonts w:ascii="Arial"/>
                <w:color w:val="auto"/>
                <w:sz w:val="21"/>
                <w:highlight w:val="none"/>
              </w:rPr>
            </w:pPr>
          </w:p>
        </w:tc>
        <w:tc>
          <w:tcPr>
            <w:tcW w:w="1076" w:type="dxa"/>
            <w:tcBorders>
              <w:right w:val="single" w:color="000000" w:sz="4" w:space="0"/>
            </w:tcBorders>
            <w:vAlign w:val="top"/>
          </w:tcPr>
          <w:p w14:paraId="50750F41">
            <w:pPr>
              <w:rPr>
                <w:rFonts w:ascii="Arial"/>
                <w:color w:val="auto"/>
                <w:sz w:val="21"/>
                <w:highlight w:val="none"/>
              </w:rPr>
            </w:pPr>
          </w:p>
        </w:tc>
        <w:tc>
          <w:tcPr>
            <w:tcW w:w="1081" w:type="dxa"/>
            <w:tcBorders>
              <w:left w:val="single" w:color="000000" w:sz="4" w:space="0"/>
            </w:tcBorders>
            <w:vAlign w:val="top"/>
          </w:tcPr>
          <w:p w14:paraId="3E5F8260">
            <w:pPr>
              <w:rPr>
                <w:rFonts w:ascii="Arial"/>
                <w:color w:val="auto"/>
                <w:sz w:val="21"/>
                <w:highlight w:val="none"/>
              </w:rPr>
            </w:pPr>
          </w:p>
        </w:tc>
        <w:tc>
          <w:tcPr>
            <w:tcW w:w="1165" w:type="dxa"/>
            <w:vAlign w:val="top"/>
          </w:tcPr>
          <w:p w14:paraId="5BAF96E7">
            <w:pPr>
              <w:rPr>
                <w:rFonts w:ascii="Arial"/>
                <w:color w:val="auto"/>
                <w:sz w:val="21"/>
                <w:highlight w:val="none"/>
              </w:rPr>
            </w:pPr>
          </w:p>
        </w:tc>
        <w:tc>
          <w:tcPr>
            <w:tcW w:w="830" w:type="dxa"/>
            <w:vAlign w:val="top"/>
          </w:tcPr>
          <w:p w14:paraId="37CECE1E">
            <w:pPr>
              <w:rPr>
                <w:rFonts w:ascii="Arial"/>
                <w:color w:val="auto"/>
                <w:sz w:val="21"/>
                <w:highlight w:val="none"/>
              </w:rPr>
            </w:pPr>
          </w:p>
        </w:tc>
        <w:tc>
          <w:tcPr>
            <w:tcW w:w="1573" w:type="dxa"/>
            <w:tcBorders>
              <w:right w:val="single" w:color="000000" w:sz="4" w:space="0"/>
            </w:tcBorders>
            <w:vAlign w:val="top"/>
          </w:tcPr>
          <w:p w14:paraId="4F92DBAC">
            <w:pPr>
              <w:rPr>
                <w:rFonts w:ascii="Arial"/>
                <w:color w:val="auto"/>
                <w:sz w:val="21"/>
                <w:highlight w:val="none"/>
              </w:rPr>
            </w:pPr>
          </w:p>
        </w:tc>
      </w:tr>
      <w:tr w14:paraId="7436E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648" w:type="dxa"/>
            <w:tcBorders>
              <w:left w:val="single" w:color="000000" w:sz="4" w:space="0"/>
              <w:bottom w:val="single" w:color="000000" w:sz="4" w:space="0"/>
            </w:tcBorders>
            <w:vAlign w:val="top"/>
          </w:tcPr>
          <w:p w14:paraId="2031242F">
            <w:pPr>
              <w:rPr>
                <w:rFonts w:ascii="Arial"/>
                <w:color w:val="auto"/>
                <w:sz w:val="21"/>
                <w:highlight w:val="none"/>
              </w:rPr>
            </w:pPr>
          </w:p>
        </w:tc>
        <w:tc>
          <w:tcPr>
            <w:tcW w:w="2173" w:type="dxa"/>
            <w:tcBorders>
              <w:bottom w:val="single" w:color="000000" w:sz="4" w:space="0"/>
            </w:tcBorders>
            <w:vAlign w:val="top"/>
          </w:tcPr>
          <w:p w14:paraId="0F0562F8">
            <w:pPr>
              <w:spacing w:line="286" w:lineRule="auto"/>
              <w:rPr>
                <w:rFonts w:ascii="Arial"/>
                <w:color w:val="auto"/>
                <w:sz w:val="21"/>
                <w:highlight w:val="none"/>
              </w:rPr>
            </w:pPr>
          </w:p>
          <w:p w14:paraId="742876E0">
            <w:pPr>
              <w:pStyle w:val="11"/>
              <w:spacing w:before="68" w:line="222" w:lineRule="auto"/>
              <w:ind w:left="876"/>
              <w:rPr>
                <w:color w:val="auto"/>
                <w:highlight w:val="none"/>
              </w:rPr>
            </w:pPr>
            <w:r>
              <w:rPr>
                <w:color w:val="auto"/>
                <w:spacing w:val="-2"/>
                <w:highlight w:val="none"/>
              </w:rPr>
              <w:t>合计</w:t>
            </w:r>
          </w:p>
        </w:tc>
        <w:tc>
          <w:tcPr>
            <w:tcW w:w="1076" w:type="dxa"/>
            <w:tcBorders>
              <w:bottom w:val="single" w:color="000000" w:sz="4" w:space="0"/>
              <w:right w:val="single" w:color="000000" w:sz="4" w:space="0"/>
            </w:tcBorders>
            <w:vAlign w:val="top"/>
          </w:tcPr>
          <w:p w14:paraId="0AC88F24">
            <w:pPr>
              <w:spacing w:line="385" w:lineRule="auto"/>
              <w:rPr>
                <w:rFonts w:ascii="Arial"/>
                <w:color w:val="auto"/>
                <w:sz w:val="21"/>
                <w:highlight w:val="none"/>
              </w:rPr>
            </w:pPr>
          </w:p>
          <w:p w14:paraId="4898ABD2">
            <w:pPr>
              <w:pStyle w:val="11"/>
              <w:spacing w:before="68" w:line="142" w:lineRule="exact"/>
              <w:ind w:left="438"/>
              <w:rPr>
                <w:color w:val="auto"/>
                <w:highlight w:val="none"/>
              </w:rPr>
            </w:pPr>
            <w:r>
              <w:rPr>
                <w:color w:val="auto"/>
                <w:position w:val="-3"/>
                <w:highlight w:val="none"/>
              </w:rPr>
              <w:t>—</w:t>
            </w:r>
          </w:p>
        </w:tc>
        <w:tc>
          <w:tcPr>
            <w:tcW w:w="1081" w:type="dxa"/>
            <w:tcBorders>
              <w:left w:val="single" w:color="000000" w:sz="4" w:space="0"/>
              <w:bottom w:val="single" w:color="000000" w:sz="4" w:space="0"/>
            </w:tcBorders>
            <w:vAlign w:val="top"/>
          </w:tcPr>
          <w:p w14:paraId="09863C50">
            <w:pPr>
              <w:spacing w:line="385" w:lineRule="auto"/>
              <w:rPr>
                <w:rFonts w:ascii="Arial"/>
                <w:color w:val="auto"/>
                <w:sz w:val="21"/>
                <w:highlight w:val="none"/>
              </w:rPr>
            </w:pPr>
          </w:p>
          <w:p w14:paraId="2715E779">
            <w:pPr>
              <w:pStyle w:val="11"/>
              <w:spacing w:before="68" w:line="142" w:lineRule="exact"/>
              <w:ind w:left="440"/>
              <w:rPr>
                <w:color w:val="auto"/>
                <w:highlight w:val="none"/>
              </w:rPr>
            </w:pPr>
            <w:r>
              <w:rPr>
                <w:color w:val="auto"/>
                <w:position w:val="-3"/>
                <w:highlight w:val="none"/>
              </w:rPr>
              <w:t>—</w:t>
            </w:r>
          </w:p>
        </w:tc>
        <w:tc>
          <w:tcPr>
            <w:tcW w:w="1165" w:type="dxa"/>
            <w:tcBorders>
              <w:bottom w:val="single" w:color="000000" w:sz="4" w:space="0"/>
            </w:tcBorders>
            <w:vAlign w:val="top"/>
          </w:tcPr>
          <w:p w14:paraId="398AAD90">
            <w:pPr>
              <w:rPr>
                <w:rFonts w:ascii="Arial"/>
                <w:color w:val="auto"/>
                <w:sz w:val="21"/>
                <w:highlight w:val="none"/>
              </w:rPr>
            </w:pPr>
          </w:p>
        </w:tc>
        <w:tc>
          <w:tcPr>
            <w:tcW w:w="830" w:type="dxa"/>
            <w:tcBorders>
              <w:bottom w:val="single" w:color="000000" w:sz="4" w:space="0"/>
            </w:tcBorders>
            <w:vAlign w:val="top"/>
          </w:tcPr>
          <w:p w14:paraId="5F644603">
            <w:pPr>
              <w:spacing w:line="385" w:lineRule="auto"/>
              <w:rPr>
                <w:rFonts w:ascii="Arial"/>
                <w:color w:val="auto"/>
                <w:sz w:val="21"/>
                <w:highlight w:val="none"/>
              </w:rPr>
            </w:pPr>
          </w:p>
          <w:p w14:paraId="5B80D182">
            <w:pPr>
              <w:pStyle w:val="11"/>
              <w:spacing w:before="68" w:line="142" w:lineRule="exact"/>
              <w:ind w:left="314"/>
              <w:rPr>
                <w:color w:val="auto"/>
                <w:highlight w:val="none"/>
              </w:rPr>
            </w:pPr>
            <w:r>
              <w:rPr>
                <w:color w:val="auto"/>
                <w:position w:val="-3"/>
                <w:highlight w:val="none"/>
              </w:rPr>
              <w:t>—</w:t>
            </w:r>
          </w:p>
        </w:tc>
        <w:tc>
          <w:tcPr>
            <w:tcW w:w="1573" w:type="dxa"/>
            <w:tcBorders>
              <w:bottom w:val="single" w:color="000000" w:sz="4" w:space="0"/>
              <w:right w:val="single" w:color="000000" w:sz="4" w:space="0"/>
            </w:tcBorders>
            <w:vAlign w:val="top"/>
          </w:tcPr>
          <w:p w14:paraId="30D53902">
            <w:pPr>
              <w:rPr>
                <w:rFonts w:ascii="Arial"/>
                <w:color w:val="auto"/>
                <w:sz w:val="21"/>
                <w:highlight w:val="none"/>
              </w:rPr>
            </w:pPr>
          </w:p>
        </w:tc>
      </w:tr>
    </w:tbl>
    <w:p w14:paraId="0F63C18A">
      <w:pPr>
        <w:spacing w:before="150" w:line="228" w:lineRule="auto"/>
        <w:ind w:left="551" w:right="125" w:hanging="4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注：此表项目名称、服务内容由招标人填写， 编制招</w:t>
      </w:r>
      <w:r>
        <w:rPr>
          <w:rFonts w:ascii="宋体" w:hAnsi="宋体" w:eastAsia="宋体" w:cs="宋体"/>
          <w:color w:val="auto"/>
          <w:spacing w:val="-3"/>
          <w:sz w:val="21"/>
          <w:szCs w:val="21"/>
          <w:highlight w:val="none"/>
        </w:rPr>
        <w:t>标控制价时， 费率及金额由招标人按</w:t>
      </w:r>
      <w:r>
        <w:rPr>
          <w:rFonts w:ascii="宋体" w:hAnsi="宋体" w:eastAsia="宋体" w:cs="宋体"/>
          <w:color w:val="auto"/>
          <w:sz w:val="21"/>
          <w:szCs w:val="21"/>
          <w:highlight w:val="none"/>
        </w:rPr>
        <w:t xml:space="preserve"> </w:t>
      </w:r>
      <w:r>
        <w:rPr>
          <w:rFonts w:ascii="宋体" w:hAnsi="宋体" w:eastAsia="宋体" w:cs="宋体"/>
          <w:color w:val="auto"/>
          <w:spacing w:val="-7"/>
          <w:sz w:val="21"/>
          <w:szCs w:val="21"/>
          <w:highlight w:val="none"/>
        </w:rPr>
        <w:t>有关计价规定确定： 投标时，</w:t>
      </w:r>
      <w:r>
        <w:rPr>
          <w:rFonts w:ascii="宋体" w:hAnsi="宋体" w:eastAsia="宋体" w:cs="宋体"/>
          <w:color w:val="auto"/>
          <w:spacing w:val="23"/>
          <w:sz w:val="21"/>
          <w:szCs w:val="21"/>
          <w:highlight w:val="none"/>
        </w:rPr>
        <w:t xml:space="preserve"> </w:t>
      </w:r>
      <w:r>
        <w:rPr>
          <w:rFonts w:ascii="宋体" w:hAnsi="宋体" w:eastAsia="宋体" w:cs="宋体"/>
          <w:color w:val="auto"/>
          <w:spacing w:val="-7"/>
          <w:sz w:val="21"/>
          <w:szCs w:val="21"/>
          <w:highlight w:val="none"/>
        </w:rPr>
        <w:t>费率及金额由投标人自主报价</w:t>
      </w:r>
      <w:r>
        <w:rPr>
          <w:rFonts w:ascii="宋体" w:hAnsi="宋体" w:eastAsia="宋体" w:cs="宋体"/>
          <w:color w:val="auto"/>
          <w:spacing w:val="-8"/>
          <w:sz w:val="21"/>
          <w:szCs w:val="21"/>
          <w:highlight w:val="none"/>
        </w:rPr>
        <w:t>，计入投标总价中。</w:t>
      </w:r>
    </w:p>
    <w:p w14:paraId="5229DB34">
      <w:pPr>
        <w:spacing w:line="228" w:lineRule="auto"/>
        <w:rPr>
          <w:rFonts w:ascii="宋体" w:hAnsi="宋体" w:eastAsia="宋体" w:cs="宋体"/>
          <w:color w:val="auto"/>
          <w:sz w:val="21"/>
          <w:szCs w:val="21"/>
          <w:highlight w:val="none"/>
        </w:rPr>
        <w:sectPr>
          <w:footerReference r:id="rId196" w:type="default"/>
          <w:pgSz w:w="11905" w:h="16839"/>
          <w:pgMar w:top="400" w:right="1671" w:bottom="1004" w:left="1675" w:header="0" w:footer="828" w:gutter="0"/>
          <w:pgNumType w:fmt="decimal"/>
          <w:cols w:space="720" w:num="1"/>
        </w:sectPr>
      </w:pPr>
    </w:p>
    <w:p w14:paraId="193CA39E">
      <w:pPr>
        <w:pStyle w:val="3"/>
        <w:spacing w:line="267" w:lineRule="auto"/>
        <w:rPr>
          <w:color w:val="auto"/>
          <w:highlight w:val="none"/>
        </w:rPr>
      </w:pPr>
    </w:p>
    <w:p w14:paraId="2A8E5C12">
      <w:pPr>
        <w:pStyle w:val="3"/>
        <w:spacing w:line="268" w:lineRule="auto"/>
        <w:rPr>
          <w:color w:val="auto"/>
          <w:highlight w:val="none"/>
        </w:rPr>
      </w:pPr>
    </w:p>
    <w:p w14:paraId="53BF57F1">
      <w:pPr>
        <w:pStyle w:val="3"/>
        <w:spacing w:line="268" w:lineRule="auto"/>
        <w:rPr>
          <w:color w:val="auto"/>
          <w:highlight w:val="none"/>
        </w:rPr>
      </w:pPr>
    </w:p>
    <w:p w14:paraId="10FC9868">
      <w:pPr>
        <w:pStyle w:val="3"/>
        <w:spacing w:line="268" w:lineRule="auto"/>
        <w:rPr>
          <w:color w:val="auto"/>
          <w:highlight w:val="none"/>
        </w:rPr>
      </w:pPr>
    </w:p>
    <w:p w14:paraId="075D432D">
      <w:pPr>
        <w:spacing w:before="78" w:line="218" w:lineRule="auto"/>
        <w:ind w:left="119"/>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4.13 </w:t>
      </w:r>
      <w:r>
        <w:rPr>
          <w:rFonts w:ascii="黑体" w:hAnsi="黑体" w:eastAsia="黑体" w:cs="黑体"/>
          <w:color w:val="auto"/>
          <w:spacing w:val="-1"/>
          <w:sz w:val="24"/>
          <w:szCs w:val="24"/>
          <w:highlight w:val="none"/>
        </w:rPr>
        <w:t>规费、税金项目计价表</w:t>
      </w:r>
    </w:p>
    <w:p w14:paraId="4541AF17">
      <w:pPr>
        <w:pStyle w:val="3"/>
        <w:spacing w:line="385" w:lineRule="auto"/>
        <w:rPr>
          <w:color w:val="auto"/>
          <w:highlight w:val="none"/>
        </w:rPr>
      </w:pPr>
    </w:p>
    <w:p w14:paraId="49010067">
      <w:pPr>
        <w:spacing w:before="87" w:line="224" w:lineRule="auto"/>
        <w:ind w:left="2880"/>
        <w:rPr>
          <w:rFonts w:ascii="黑体" w:hAnsi="黑体" w:eastAsia="黑体" w:cs="黑体"/>
          <w:color w:val="auto"/>
          <w:sz w:val="27"/>
          <w:szCs w:val="27"/>
          <w:highlight w:val="none"/>
        </w:rPr>
      </w:pPr>
      <w:bookmarkStart w:id="1314" w:name="bookmark260"/>
      <w:bookmarkEnd w:id="1314"/>
      <w:r>
        <w:rPr>
          <w:rFonts w:ascii="黑体" w:hAnsi="黑体" w:eastAsia="黑体" w:cs="黑体"/>
          <w:color w:val="auto"/>
          <w:spacing w:val="8"/>
          <w:sz w:val="27"/>
          <w:szCs w:val="27"/>
          <w:highlight w:val="none"/>
        </w:rPr>
        <w:t>规费、税金项目计价表</w:t>
      </w:r>
    </w:p>
    <w:p w14:paraId="5D64FBBB">
      <w:pPr>
        <w:spacing w:before="49"/>
        <w:rPr>
          <w:color w:val="auto"/>
          <w:highlight w:val="none"/>
        </w:rPr>
      </w:pPr>
    </w:p>
    <w:p w14:paraId="23A8FCC7">
      <w:pPr>
        <w:spacing w:before="49"/>
        <w:rPr>
          <w:color w:val="auto"/>
          <w:highlight w:val="none"/>
        </w:rPr>
      </w:pPr>
    </w:p>
    <w:p w14:paraId="75319A5F">
      <w:pPr>
        <w:rPr>
          <w:color w:val="auto"/>
          <w:highlight w:val="none"/>
        </w:rPr>
        <w:sectPr>
          <w:footerReference r:id="rId197" w:type="default"/>
          <w:pgSz w:w="11905" w:h="16839"/>
          <w:pgMar w:top="400" w:right="1681" w:bottom="1004" w:left="1680" w:header="0" w:footer="829" w:gutter="0"/>
          <w:pgNumType w:fmt="decimal"/>
          <w:cols w:equalWidth="0" w:num="1">
            <w:col w:w="8543"/>
          </w:cols>
        </w:sectPr>
      </w:pPr>
    </w:p>
    <w:p w14:paraId="54D09F07">
      <w:pPr>
        <w:spacing w:before="41" w:line="186" w:lineRule="auto"/>
        <w:ind w:left="125"/>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工程名称：</w:t>
      </w:r>
    </w:p>
    <w:p w14:paraId="06400C15">
      <w:pPr>
        <w:pStyle w:val="3"/>
        <w:spacing w:line="14" w:lineRule="auto"/>
        <w:rPr>
          <w:color w:val="auto"/>
          <w:sz w:val="2"/>
          <w:highlight w:val="none"/>
        </w:rPr>
      </w:pPr>
      <w:r>
        <w:rPr>
          <w:color w:val="auto"/>
          <w:sz w:val="2"/>
          <w:szCs w:val="2"/>
          <w:highlight w:val="none"/>
        </w:rPr>
        <w:br w:type="column"/>
      </w:r>
    </w:p>
    <w:p w14:paraId="57A13FB9">
      <w:pPr>
        <w:spacing w:before="40" w:line="186" w:lineRule="auto"/>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标段名称：</w:t>
      </w:r>
      <w:r>
        <w:rPr>
          <w:rFonts w:ascii="宋体" w:hAnsi="宋体" w:eastAsia="宋体" w:cs="宋体"/>
          <w:color w:val="auto"/>
          <w:spacing w:val="6"/>
          <w:sz w:val="21"/>
          <w:szCs w:val="21"/>
          <w:highlight w:val="none"/>
        </w:rPr>
        <w:t xml:space="preserve">         </w:t>
      </w:r>
      <w:r>
        <w:rPr>
          <w:rFonts w:ascii="宋体" w:hAnsi="宋体" w:eastAsia="宋体" w:cs="宋体"/>
          <w:color w:val="auto"/>
          <w:spacing w:val="-13"/>
          <w:sz w:val="21"/>
          <w:szCs w:val="21"/>
          <w:highlight w:val="none"/>
        </w:rPr>
        <w:t>第 页</w:t>
      </w:r>
      <w:r>
        <w:rPr>
          <w:rFonts w:ascii="宋体" w:hAnsi="宋体" w:eastAsia="宋体" w:cs="宋体"/>
          <w:color w:val="auto"/>
          <w:spacing w:val="11"/>
          <w:sz w:val="21"/>
          <w:szCs w:val="21"/>
          <w:highlight w:val="none"/>
        </w:rPr>
        <w:t xml:space="preserve"> </w:t>
      </w:r>
      <w:r>
        <w:rPr>
          <w:rFonts w:ascii="宋体" w:hAnsi="宋体" w:eastAsia="宋体" w:cs="宋体"/>
          <w:color w:val="auto"/>
          <w:spacing w:val="-13"/>
          <w:sz w:val="21"/>
          <w:szCs w:val="21"/>
          <w:highlight w:val="none"/>
        </w:rPr>
        <w:t>共</w:t>
      </w:r>
      <w:r>
        <w:rPr>
          <w:rFonts w:ascii="宋体" w:hAnsi="宋体" w:eastAsia="宋体" w:cs="宋体"/>
          <w:color w:val="auto"/>
          <w:spacing w:val="14"/>
          <w:sz w:val="21"/>
          <w:szCs w:val="21"/>
          <w:highlight w:val="none"/>
        </w:rPr>
        <w:t xml:space="preserve"> </w:t>
      </w:r>
      <w:r>
        <w:rPr>
          <w:rFonts w:ascii="宋体" w:hAnsi="宋体" w:eastAsia="宋体" w:cs="宋体"/>
          <w:color w:val="auto"/>
          <w:spacing w:val="-13"/>
          <w:sz w:val="21"/>
          <w:szCs w:val="21"/>
          <w:highlight w:val="none"/>
        </w:rPr>
        <w:t>页</w:t>
      </w:r>
    </w:p>
    <w:p w14:paraId="0AF6E8F3">
      <w:pPr>
        <w:spacing w:line="186" w:lineRule="auto"/>
        <w:rPr>
          <w:rFonts w:ascii="宋体" w:hAnsi="宋体" w:eastAsia="宋体" w:cs="宋体"/>
          <w:color w:val="auto"/>
          <w:sz w:val="21"/>
          <w:szCs w:val="21"/>
          <w:highlight w:val="none"/>
        </w:rPr>
        <w:sectPr>
          <w:type w:val="continuous"/>
          <w:pgSz w:w="11905" w:h="16839"/>
          <w:pgMar w:top="400" w:right="1681" w:bottom="1004" w:left="1680" w:header="0" w:footer="829" w:gutter="0"/>
          <w:pgNumType w:fmt="decimal"/>
          <w:cols w:equalWidth="0" w:num="2">
            <w:col w:w="2339" w:space="100"/>
            <w:col w:w="6104"/>
          </w:cols>
        </w:sectPr>
      </w:pPr>
    </w:p>
    <w:p w14:paraId="4ADA7D68">
      <w:pPr>
        <w:spacing w:line="32" w:lineRule="exact"/>
        <w:rPr>
          <w:color w:val="auto"/>
          <w:highlight w:val="none"/>
        </w:rPr>
      </w:pPr>
    </w:p>
    <w:tbl>
      <w:tblPr>
        <w:tblStyle w:val="10"/>
        <w:tblW w:w="853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3"/>
        <w:gridCol w:w="1789"/>
        <w:gridCol w:w="1789"/>
        <w:gridCol w:w="1223"/>
        <w:gridCol w:w="1362"/>
        <w:gridCol w:w="1376"/>
      </w:tblGrid>
      <w:tr w14:paraId="25DF20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993" w:type="dxa"/>
            <w:tcBorders>
              <w:top w:val="single" w:color="000000" w:sz="4" w:space="0"/>
              <w:left w:val="single" w:color="000000" w:sz="4" w:space="0"/>
            </w:tcBorders>
            <w:vAlign w:val="top"/>
          </w:tcPr>
          <w:p w14:paraId="42EA2783">
            <w:pPr>
              <w:pStyle w:val="11"/>
              <w:spacing w:before="283" w:line="222" w:lineRule="auto"/>
              <w:ind w:left="285"/>
              <w:rPr>
                <w:color w:val="auto"/>
                <w:highlight w:val="none"/>
              </w:rPr>
            </w:pPr>
            <w:r>
              <w:rPr>
                <w:color w:val="auto"/>
                <w:spacing w:val="-2"/>
                <w:highlight w:val="none"/>
              </w:rPr>
              <w:t>序号</w:t>
            </w:r>
          </w:p>
        </w:tc>
        <w:tc>
          <w:tcPr>
            <w:tcW w:w="1789" w:type="dxa"/>
            <w:tcBorders>
              <w:top w:val="single" w:color="000000" w:sz="4" w:space="0"/>
            </w:tcBorders>
            <w:vAlign w:val="top"/>
          </w:tcPr>
          <w:p w14:paraId="28B19E66">
            <w:pPr>
              <w:pStyle w:val="11"/>
              <w:spacing w:before="284" w:line="221" w:lineRule="auto"/>
              <w:ind w:left="476"/>
              <w:rPr>
                <w:color w:val="auto"/>
                <w:highlight w:val="none"/>
              </w:rPr>
            </w:pPr>
            <w:r>
              <w:rPr>
                <w:color w:val="auto"/>
                <w:spacing w:val="-2"/>
                <w:highlight w:val="none"/>
              </w:rPr>
              <w:t>项目名称</w:t>
            </w:r>
          </w:p>
        </w:tc>
        <w:tc>
          <w:tcPr>
            <w:tcW w:w="1789" w:type="dxa"/>
            <w:tcBorders>
              <w:top w:val="single" w:color="000000" w:sz="4" w:space="0"/>
            </w:tcBorders>
            <w:vAlign w:val="top"/>
          </w:tcPr>
          <w:p w14:paraId="7B4AB927">
            <w:pPr>
              <w:pStyle w:val="11"/>
              <w:spacing w:before="283" w:line="221" w:lineRule="auto"/>
              <w:ind w:left="474"/>
              <w:rPr>
                <w:color w:val="auto"/>
                <w:highlight w:val="none"/>
              </w:rPr>
            </w:pPr>
            <w:r>
              <w:rPr>
                <w:color w:val="auto"/>
                <w:spacing w:val="-1"/>
                <w:highlight w:val="none"/>
              </w:rPr>
              <w:t>计算基础</w:t>
            </w:r>
          </w:p>
        </w:tc>
        <w:tc>
          <w:tcPr>
            <w:tcW w:w="1223" w:type="dxa"/>
            <w:tcBorders>
              <w:top w:val="single" w:color="000000" w:sz="4" w:space="0"/>
            </w:tcBorders>
            <w:vAlign w:val="top"/>
          </w:tcPr>
          <w:p w14:paraId="13BAF6BA">
            <w:pPr>
              <w:pStyle w:val="11"/>
              <w:spacing w:before="283" w:line="221" w:lineRule="auto"/>
              <w:ind w:left="193"/>
              <w:rPr>
                <w:color w:val="auto"/>
                <w:highlight w:val="none"/>
              </w:rPr>
            </w:pPr>
            <w:r>
              <w:rPr>
                <w:color w:val="auto"/>
                <w:spacing w:val="-1"/>
                <w:highlight w:val="none"/>
              </w:rPr>
              <w:t>计算基数</w:t>
            </w:r>
          </w:p>
        </w:tc>
        <w:tc>
          <w:tcPr>
            <w:tcW w:w="1362" w:type="dxa"/>
            <w:tcBorders>
              <w:top w:val="single" w:color="000000" w:sz="4" w:space="0"/>
            </w:tcBorders>
            <w:vAlign w:val="top"/>
          </w:tcPr>
          <w:p w14:paraId="5CCFADBE">
            <w:pPr>
              <w:pStyle w:val="11"/>
              <w:spacing w:before="284" w:line="234" w:lineRule="auto"/>
              <w:ind w:left="196"/>
              <w:rPr>
                <w:color w:val="auto"/>
                <w:highlight w:val="none"/>
              </w:rPr>
            </w:pPr>
            <w:r>
              <w:rPr>
                <w:color w:val="auto"/>
                <w:spacing w:val="-3"/>
                <w:highlight w:val="none"/>
              </w:rPr>
              <w:t>费率（</w:t>
            </w:r>
            <w:r>
              <w:rPr>
                <w:rFonts w:ascii="Times New Roman" w:hAnsi="Times New Roman" w:eastAsia="Times New Roman" w:cs="Times New Roman"/>
                <w:color w:val="auto"/>
                <w:spacing w:val="-3"/>
                <w:highlight w:val="none"/>
              </w:rPr>
              <w:t>%</w:t>
            </w:r>
            <w:r>
              <w:rPr>
                <w:color w:val="auto"/>
                <w:spacing w:val="-3"/>
                <w:highlight w:val="none"/>
              </w:rPr>
              <w:t>）</w:t>
            </w:r>
          </w:p>
        </w:tc>
        <w:tc>
          <w:tcPr>
            <w:tcW w:w="1376" w:type="dxa"/>
            <w:tcBorders>
              <w:top w:val="single" w:color="000000" w:sz="4" w:space="0"/>
              <w:right w:val="single" w:color="000000" w:sz="4" w:space="0"/>
            </w:tcBorders>
            <w:vAlign w:val="top"/>
          </w:tcPr>
          <w:p w14:paraId="478A163A">
            <w:pPr>
              <w:pStyle w:val="11"/>
              <w:spacing w:before="283" w:line="221" w:lineRule="auto"/>
              <w:ind w:left="174"/>
              <w:rPr>
                <w:color w:val="auto"/>
                <w:highlight w:val="none"/>
              </w:rPr>
            </w:pPr>
            <w:r>
              <w:rPr>
                <w:color w:val="auto"/>
                <w:spacing w:val="-3"/>
                <w:highlight w:val="none"/>
              </w:rPr>
              <w:t>金额（元）</w:t>
            </w:r>
          </w:p>
        </w:tc>
      </w:tr>
      <w:tr w14:paraId="7B5FC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993" w:type="dxa"/>
            <w:tcBorders>
              <w:left w:val="single" w:color="000000" w:sz="4" w:space="0"/>
            </w:tcBorders>
            <w:vAlign w:val="top"/>
          </w:tcPr>
          <w:p w14:paraId="74931910">
            <w:pPr>
              <w:spacing w:line="249" w:lineRule="auto"/>
              <w:rPr>
                <w:rFonts w:ascii="Arial"/>
                <w:color w:val="auto"/>
                <w:sz w:val="21"/>
                <w:highlight w:val="none"/>
              </w:rPr>
            </w:pPr>
          </w:p>
          <w:p w14:paraId="174E2943">
            <w:pPr>
              <w:spacing w:before="69" w:line="183" w:lineRule="auto"/>
              <w:ind w:left="455"/>
              <w:rPr>
                <w:rFonts w:ascii="黑体" w:hAnsi="黑体" w:eastAsia="黑体" w:cs="黑体"/>
                <w:color w:val="auto"/>
                <w:sz w:val="21"/>
                <w:szCs w:val="21"/>
                <w:highlight w:val="none"/>
              </w:rPr>
            </w:pPr>
            <w:r>
              <w:rPr>
                <w:rFonts w:ascii="黑体" w:hAnsi="黑体" w:eastAsia="黑体" w:cs="黑体"/>
                <w:color w:val="auto"/>
                <w:sz w:val="21"/>
                <w:szCs w:val="21"/>
                <w:highlight w:val="none"/>
              </w:rPr>
              <w:t>1</w:t>
            </w:r>
          </w:p>
        </w:tc>
        <w:tc>
          <w:tcPr>
            <w:tcW w:w="1789" w:type="dxa"/>
            <w:vAlign w:val="top"/>
          </w:tcPr>
          <w:p w14:paraId="2E096FA5">
            <w:pPr>
              <w:pStyle w:val="11"/>
              <w:spacing w:before="285" w:line="221" w:lineRule="auto"/>
              <w:ind w:left="684"/>
              <w:rPr>
                <w:color w:val="auto"/>
                <w:highlight w:val="none"/>
              </w:rPr>
            </w:pPr>
            <w:r>
              <w:rPr>
                <w:color w:val="auto"/>
                <w:spacing w:val="-2"/>
                <w:highlight w:val="none"/>
              </w:rPr>
              <w:t>规费</w:t>
            </w:r>
          </w:p>
        </w:tc>
        <w:tc>
          <w:tcPr>
            <w:tcW w:w="1789" w:type="dxa"/>
            <w:vAlign w:val="top"/>
          </w:tcPr>
          <w:p w14:paraId="4348001C">
            <w:pPr>
              <w:rPr>
                <w:rFonts w:ascii="Arial"/>
                <w:color w:val="auto"/>
                <w:sz w:val="21"/>
                <w:highlight w:val="none"/>
              </w:rPr>
            </w:pPr>
          </w:p>
        </w:tc>
        <w:tc>
          <w:tcPr>
            <w:tcW w:w="1223" w:type="dxa"/>
            <w:vAlign w:val="top"/>
          </w:tcPr>
          <w:p w14:paraId="04DAAD28">
            <w:pPr>
              <w:rPr>
                <w:rFonts w:ascii="Arial"/>
                <w:color w:val="auto"/>
                <w:sz w:val="21"/>
                <w:highlight w:val="none"/>
              </w:rPr>
            </w:pPr>
          </w:p>
        </w:tc>
        <w:tc>
          <w:tcPr>
            <w:tcW w:w="1362" w:type="dxa"/>
            <w:vAlign w:val="top"/>
          </w:tcPr>
          <w:p w14:paraId="1A25121B">
            <w:pPr>
              <w:rPr>
                <w:rFonts w:ascii="Arial"/>
                <w:color w:val="auto"/>
                <w:sz w:val="21"/>
                <w:highlight w:val="none"/>
              </w:rPr>
            </w:pPr>
          </w:p>
        </w:tc>
        <w:tc>
          <w:tcPr>
            <w:tcW w:w="1376" w:type="dxa"/>
            <w:tcBorders>
              <w:right w:val="single" w:color="000000" w:sz="4" w:space="0"/>
            </w:tcBorders>
            <w:vAlign w:val="top"/>
          </w:tcPr>
          <w:p w14:paraId="60600018">
            <w:pPr>
              <w:rPr>
                <w:rFonts w:ascii="Arial"/>
                <w:color w:val="auto"/>
                <w:sz w:val="21"/>
                <w:highlight w:val="none"/>
              </w:rPr>
            </w:pPr>
          </w:p>
        </w:tc>
      </w:tr>
      <w:tr w14:paraId="7E592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72" w:hRule="atLeast"/>
        </w:trPr>
        <w:tc>
          <w:tcPr>
            <w:tcW w:w="993" w:type="dxa"/>
            <w:tcBorders>
              <w:left w:val="single" w:color="000000" w:sz="4" w:space="0"/>
              <w:bottom w:val="single" w:color="000000" w:sz="4" w:space="0"/>
            </w:tcBorders>
            <w:vAlign w:val="top"/>
          </w:tcPr>
          <w:p w14:paraId="4672EE3A">
            <w:pPr>
              <w:rPr>
                <w:rFonts w:ascii="Arial"/>
                <w:color w:val="auto"/>
                <w:sz w:val="21"/>
                <w:highlight w:val="none"/>
              </w:rPr>
            </w:pPr>
          </w:p>
          <w:p w14:paraId="4A9F7615">
            <w:pPr>
              <w:spacing w:before="68" w:line="183" w:lineRule="auto"/>
              <w:ind w:left="350"/>
              <w:rPr>
                <w:rFonts w:ascii="黑体" w:hAnsi="黑体" w:eastAsia="黑体" w:cs="黑体"/>
                <w:color w:val="auto"/>
                <w:sz w:val="21"/>
                <w:szCs w:val="21"/>
                <w:highlight w:val="none"/>
              </w:rPr>
            </w:pPr>
            <w:r>
              <w:rPr>
                <w:rFonts w:ascii="黑体" w:hAnsi="黑体" w:eastAsia="黑体" w:cs="黑体"/>
                <w:color w:val="auto"/>
                <w:spacing w:val="-4"/>
                <w:sz w:val="21"/>
                <w:szCs w:val="21"/>
                <w:highlight w:val="none"/>
              </w:rPr>
              <w:t>1.1</w:t>
            </w:r>
          </w:p>
        </w:tc>
        <w:tc>
          <w:tcPr>
            <w:tcW w:w="1789" w:type="dxa"/>
            <w:vAlign w:val="top"/>
          </w:tcPr>
          <w:p w14:paraId="7FFF5945">
            <w:pPr>
              <w:pStyle w:val="11"/>
              <w:spacing w:before="275" w:line="220" w:lineRule="auto"/>
              <w:ind w:left="368"/>
              <w:rPr>
                <w:color w:val="auto"/>
                <w:highlight w:val="none"/>
              </w:rPr>
            </w:pPr>
            <w:r>
              <w:rPr>
                <w:color w:val="auto"/>
                <w:spacing w:val="-1"/>
                <w:highlight w:val="none"/>
              </w:rPr>
              <w:t>社会保险费</w:t>
            </w:r>
          </w:p>
        </w:tc>
        <w:tc>
          <w:tcPr>
            <w:tcW w:w="1789" w:type="dxa"/>
            <w:vAlign w:val="top"/>
          </w:tcPr>
          <w:p w14:paraId="64D5BFF0">
            <w:pPr>
              <w:rPr>
                <w:rFonts w:ascii="Arial"/>
                <w:color w:val="auto"/>
                <w:sz w:val="21"/>
                <w:highlight w:val="none"/>
              </w:rPr>
            </w:pPr>
          </w:p>
        </w:tc>
        <w:tc>
          <w:tcPr>
            <w:tcW w:w="1223" w:type="dxa"/>
            <w:vAlign w:val="top"/>
          </w:tcPr>
          <w:p w14:paraId="27837878">
            <w:pPr>
              <w:rPr>
                <w:rFonts w:ascii="Arial"/>
                <w:color w:val="auto"/>
                <w:sz w:val="21"/>
                <w:highlight w:val="none"/>
              </w:rPr>
            </w:pPr>
          </w:p>
        </w:tc>
        <w:tc>
          <w:tcPr>
            <w:tcW w:w="1362" w:type="dxa"/>
            <w:vAlign w:val="top"/>
          </w:tcPr>
          <w:p w14:paraId="252A03D9">
            <w:pPr>
              <w:rPr>
                <w:rFonts w:ascii="Arial"/>
                <w:color w:val="auto"/>
                <w:sz w:val="21"/>
                <w:highlight w:val="none"/>
              </w:rPr>
            </w:pPr>
          </w:p>
        </w:tc>
        <w:tc>
          <w:tcPr>
            <w:tcW w:w="1376" w:type="dxa"/>
            <w:tcBorders>
              <w:right w:val="single" w:color="000000" w:sz="4" w:space="0"/>
            </w:tcBorders>
            <w:vAlign w:val="top"/>
          </w:tcPr>
          <w:p w14:paraId="4C78037C">
            <w:pPr>
              <w:rPr>
                <w:rFonts w:ascii="Arial"/>
                <w:color w:val="auto"/>
                <w:sz w:val="21"/>
                <w:highlight w:val="none"/>
              </w:rPr>
            </w:pPr>
          </w:p>
        </w:tc>
      </w:tr>
      <w:tr w14:paraId="53EF6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993" w:type="dxa"/>
            <w:tcBorders>
              <w:top w:val="single" w:color="000000" w:sz="4" w:space="0"/>
              <w:left w:val="single" w:color="000000" w:sz="4" w:space="0"/>
            </w:tcBorders>
            <w:vAlign w:val="top"/>
          </w:tcPr>
          <w:p w14:paraId="06195C79">
            <w:pPr>
              <w:spacing w:before="277" w:line="231" w:lineRule="auto"/>
              <w:ind w:left="248"/>
              <w:rPr>
                <w:rFonts w:ascii="黑体" w:hAnsi="黑体" w:eastAsia="黑体" w:cs="黑体"/>
                <w:color w:val="auto"/>
                <w:sz w:val="21"/>
                <w:szCs w:val="21"/>
                <w:highlight w:val="none"/>
              </w:rPr>
            </w:pPr>
            <w:r>
              <w:rPr>
                <w:rFonts w:ascii="黑体" w:hAnsi="黑体" w:eastAsia="黑体" w:cs="黑体"/>
                <w:color w:val="auto"/>
                <w:spacing w:val="-7"/>
                <w:sz w:val="21"/>
                <w:szCs w:val="21"/>
                <w:highlight w:val="none"/>
              </w:rPr>
              <w:t>（1）</w:t>
            </w:r>
          </w:p>
        </w:tc>
        <w:tc>
          <w:tcPr>
            <w:tcW w:w="1789" w:type="dxa"/>
            <w:vAlign w:val="top"/>
          </w:tcPr>
          <w:p w14:paraId="1088AD3B">
            <w:pPr>
              <w:pStyle w:val="11"/>
              <w:spacing w:before="276" w:line="221" w:lineRule="auto"/>
              <w:ind w:left="367"/>
              <w:rPr>
                <w:color w:val="auto"/>
                <w:highlight w:val="none"/>
              </w:rPr>
            </w:pPr>
            <w:r>
              <w:rPr>
                <w:color w:val="auto"/>
                <w:spacing w:val="-1"/>
                <w:highlight w:val="none"/>
              </w:rPr>
              <w:t>养老保险费</w:t>
            </w:r>
          </w:p>
        </w:tc>
        <w:tc>
          <w:tcPr>
            <w:tcW w:w="1789" w:type="dxa"/>
            <w:vAlign w:val="top"/>
          </w:tcPr>
          <w:p w14:paraId="370127C8">
            <w:pPr>
              <w:rPr>
                <w:rFonts w:ascii="Arial"/>
                <w:color w:val="auto"/>
                <w:sz w:val="21"/>
                <w:highlight w:val="none"/>
              </w:rPr>
            </w:pPr>
          </w:p>
        </w:tc>
        <w:tc>
          <w:tcPr>
            <w:tcW w:w="1223" w:type="dxa"/>
            <w:vAlign w:val="top"/>
          </w:tcPr>
          <w:p w14:paraId="1EC5844E">
            <w:pPr>
              <w:rPr>
                <w:rFonts w:ascii="Arial"/>
                <w:color w:val="auto"/>
                <w:sz w:val="21"/>
                <w:highlight w:val="none"/>
              </w:rPr>
            </w:pPr>
          </w:p>
        </w:tc>
        <w:tc>
          <w:tcPr>
            <w:tcW w:w="1362" w:type="dxa"/>
            <w:vAlign w:val="top"/>
          </w:tcPr>
          <w:p w14:paraId="016F801F">
            <w:pPr>
              <w:rPr>
                <w:rFonts w:ascii="Arial"/>
                <w:color w:val="auto"/>
                <w:sz w:val="21"/>
                <w:highlight w:val="none"/>
              </w:rPr>
            </w:pPr>
          </w:p>
        </w:tc>
        <w:tc>
          <w:tcPr>
            <w:tcW w:w="1376" w:type="dxa"/>
            <w:tcBorders>
              <w:right w:val="single" w:color="000000" w:sz="4" w:space="0"/>
            </w:tcBorders>
            <w:vAlign w:val="top"/>
          </w:tcPr>
          <w:p w14:paraId="40AFEF1B">
            <w:pPr>
              <w:rPr>
                <w:rFonts w:ascii="Arial"/>
                <w:color w:val="auto"/>
                <w:sz w:val="21"/>
                <w:highlight w:val="none"/>
              </w:rPr>
            </w:pPr>
          </w:p>
        </w:tc>
      </w:tr>
      <w:tr w14:paraId="26471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993" w:type="dxa"/>
            <w:tcBorders>
              <w:left w:val="single" w:color="000000" w:sz="4" w:space="0"/>
            </w:tcBorders>
            <w:vAlign w:val="top"/>
          </w:tcPr>
          <w:p w14:paraId="0E5AC652">
            <w:pPr>
              <w:spacing w:before="207" w:line="231" w:lineRule="auto"/>
              <w:ind w:left="248"/>
              <w:rPr>
                <w:rFonts w:ascii="黑体" w:hAnsi="黑体" w:eastAsia="黑体" w:cs="黑体"/>
                <w:color w:val="auto"/>
                <w:sz w:val="21"/>
                <w:szCs w:val="21"/>
                <w:highlight w:val="none"/>
              </w:rPr>
            </w:pPr>
            <w:r>
              <w:rPr>
                <w:rFonts w:ascii="黑体" w:hAnsi="黑体" w:eastAsia="黑体" w:cs="黑体"/>
                <w:color w:val="auto"/>
                <w:spacing w:val="-7"/>
                <w:sz w:val="21"/>
                <w:szCs w:val="21"/>
                <w:highlight w:val="none"/>
              </w:rPr>
              <w:t>（2）</w:t>
            </w:r>
          </w:p>
        </w:tc>
        <w:tc>
          <w:tcPr>
            <w:tcW w:w="1789" w:type="dxa"/>
            <w:vAlign w:val="top"/>
          </w:tcPr>
          <w:p w14:paraId="2172797E">
            <w:pPr>
              <w:pStyle w:val="11"/>
              <w:spacing w:before="207" w:line="221" w:lineRule="auto"/>
              <w:ind w:left="371"/>
              <w:rPr>
                <w:color w:val="auto"/>
                <w:highlight w:val="none"/>
              </w:rPr>
            </w:pPr>
            <w:r>
              <w:rPr>
                <w:color w:val="auto"/>
                <w:spacing w:val="-2"/>
                <w:highlight w:val="none"/>
              </w:rPr>
              <w:t>失业保险费</w:t>
            </w:r>
          </w:p>
        </w:tc>
        <w:tc>
          <w:tcPr>
            <w:tcW w:w="1789" w:type="dxa"/>
            <w:vAlign w:val="top"/>
          </w:tcPr>
          <w:p w14:paraId="38DBCAB6">
            <w:pPr>
              <w:rPr>
                <w:rFonts w:ascii="Arial"/>
                <w:color w:val="auto"/>
                <w:sz w:val="21"/>
                <w:highlight w:val="none"/>
              </w:rPr>
            </w:pPr>
          </w:p>
        </w:tc>
        <w:tc>
          <w:tcPr>
            <w:tcW w:w="1223" w:type="dxa"/>
            <w:vAlign w:val="top"/>
          </w:tcPr>
          <w:p w14:paraId="4A8C86C7">
            <w:pPr>
              <w:rPr>
                <w:rFonts w:ascii="Arial"/>
                <w:color w:val="auto"/>
                <w:sz w:val="21"/>
                <w:highlight w:val="none"/>
              </w:rPr>
            </w:pPr>
          </w:p>
        </w:tc>
        <w:tc>
          <w:tcPr>
            <w:tcW w:w="1362" w:type="dxa"/>
            <w:vAlign w:val="top"/>
          </w:tcPr>
          <w:p w14:paraId="2EB7EFA9">
            <w:pPr>
              <w:rPr>
                <w:rFonts w:ascii="Arial"/>
                <w:color w:val="auto"/>
                <w:sz w:val="21"/>
                <w:highlight w:val="none"/>
              </w:rPr>
            </w:pPr>
          </w:p>
        </w:tc>
        <w:tc>
          <w:tcPr>
            <w:tcW w:w="1376" w:type="dxa"/>
            <w:tcBorders>
              <w:right w:val="single" w:color="000000" w:sz="4" w:space="0"/>
            </w:tcBorders>
            <w:vAlign w:val="top"/>
          </w:tcPr>
          <w:p w14:paraId="545B03F6">
            <w:pPr>
              <w:rPr>
                <w:rFonts w:ascii="Arial"/>
                <w:color w:val="auto"/>
                <w:sz w:val="21"/>
                <w:highlight w:val="none"/>
              </w:rPr>
            </w:pPr>
          </w:p>
        </w:tc>
      </w:tr>
      <w:tr w14:paraId="75725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993" w:type="dxa"/>
            <w:tcBorders>
              <w:left w:val="single" w:color="000000" w:sz="4" w:space="0"/>
            </w:tcBorders>
            <w:vAlign w:val="top"/>
          </w:tcPr>
          <w:p w14:paraId="4FD92B26">
            <w:pPr>
              <w:spacing w:before="204" w:line="231" w:lineRule="auto"/>
              <w:ind w:left="248"/>
              <w:rPr>
                <w:rFonts w:ascii="黑体" w:hAnsi="黑体" w:eastAsia="黑体" w:cs="黑体"/>
                <w:color w:val="auto"/>
                <w:sz w:val="21"/>
                <w:szCs w:val="21"/>
                <w:highlight w:val="none"/>
              </w:rPr>
            </w:pPr>
            <w:r>
              <w:rPr>
                <w:rFonts w:ascii="黑体" w:hAnsi="黑体" w:eastAsia="黑体" w:cs="黑体"/>
                <w:color w:val="auto"/>
                <w:spacing w:val="-7"/>
                <w:sz w:val="21"/>
                <w:szCs w:val="21"/>
                <w:highlight w:val="none"/>
              </w:rPr>
              <w:t>（3）</w:t>
            </w:r>
          </w:p>
        </w:tc>
        <w:tc>
          <w:tcPr>
            <w:tcW w:w="1789" w:type="dxa"/>
            <w:vAlign w:val="top"/>
          </w:tcPr>
          <w:p w14:paraId="64AE0CC4">
            <w:pPr>
              <w:pStyle w:val="11"/>
              <w:spacing w:before="203" w:line="221" w:lineRule="auto"/>
              <w:ind w:left="376"/>
              <w:rPr>
                <w:color w:val="auto"/>
                <w:highlight w:val="none"/>
              </w:rPr>
            </w:pPr>
            <w:r>
              <w:rPr>
                <w:color w:val="auto"/>
                <w:spacing w:val="-2"/>
                <w:highlight w:val="none"/>
              </w:rPr>
              <w:t>医疗保险费</w:t>
            </w:r>
          </w:p>
        </w:tc>
        <w:tc>
          <w:tcPr>
            <w:tcW w:w="1789" w:type="dxa"/>
            <w:vAlign w:val="top"/>
          </w:tcPr>
          <w:p w14:paraId="6F438E73">
            <w:pPr>
              <w:rPr>
                <w:rFonts w:ascii="Arial"/>
                <w:color w:val="auto"/>
                <w:sz w:val="21"/>
                <w:highlight w:val="none"/>
              </w:rPr>
            </w:pPr>
          </w:p>
        </w:tc>
        <w:tc>
          <w:tcPr>
            <w:tcW w:w="1223" w:type="dxa"/>
            <w:vAlign w:val="top"/>
          </w:tcPr>
          <w:p w14:paraId="4A549B07">
            <w:pPr>
              <w:rPr>
                <w:rFonts w:ascii="Arial"/>
                <w:color w:val="auto"/>
                <w:sz w:val="21"/>
                <w:highlight w:val="none"/>
              </w:rPr>
            </w:pPr>
          </w:p>
        </w:tc>
        <w:tc>
          <w:tcPr>
            <w:tcW w:w="1362" w:type="dxa"/>
            <w:vAlign w:val="top"/>
          </w:tcPr>
          <w:p w14:paraId="2D735C3E">
            <w:pPr>
              <w:rPr>
                <w:rFonts w:ascii="Arial"/>
                <w:color w:val="auto"/>
                <w:sz w:val="21"/>
                <w:highlight w:val="none"/>
              </w:rPr>
            </w:pPr>
          </w:p>
        </w:tc>
        <w:tc>
          <w:tcPr>
            <w:tcW w:w="1376" w:type="dxa"/>
            <w:tcBorders>
              <w:right w:val="single" w:color="000000" w:sz="4" w:space="0"/>
            </w:tcBorders>
            <w:vAlign w:val="top"/>
          </w:tcPr>
          <w:p w14:paraId="046A69CA">
            <w:pPr>
              <w:rPr>
                <w:rFonts w:ascii="Arial"/>
                <w:color w:val="auto"/>
                <w:sz w:val="21"/>
                <w:highlight w:val="none"/>
              </w:rPr>
            </w:pPr>
          </w:p>
        </w:tc>
      </w:tr>
      <w:tr w14:paraId="33183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93" w:type="dxa"/>
            <w:tcBorders>
              <w:left w:val="single" w:color="000000" w:sz="4" w:space="0"/>
            </w:tcBorders>
            <w:vAlign w:val="top"/>
          </w:tcPr>
          <w:p w14:paraId="33B80518">
            <w:pPr>
              <w:spacing w:before="209" w:line="231" w:lineRule="auto"/>
              <w:ind w:left="248"/>
              <w:rPr>
                <w:rFonts w:ascii="黑体" w:hAnsi="黑体" w:eastAsia="黑体" w:cs="黑体"/>
                <w:color w:val="auto"/>
                <w:sz w:val="21"/>
                <w:szCs w:val="21"/>
                <w:highlight w:val="none"/>
              </w:rPr>
            </w:pPr>
            <w:r>
              <w:rPr>
                <w:rFonts w:ascii="黑体" w:hAnsi="黑体" w:eastAsia="黑体" w:cs="黑体"/>
                <w:color w:val="auto"/>
                <w:spacing w:val="-7"/>
                <w:sz w:val="21"/>
                <w:szCs w:val="21"/>
                <w:highlight w:val="none"/>
              </w:rPr>
              <w:t>（4）</w:t>
            </w:r>
          </w:p>
        </w:tc>
        <w:tc>
          <w:tcPr>
            <w:tcW w:w="1789" w:type="dxa"/>
            <w:vAlign w:val="top"/>
          </w:tcPr>
          <w:p w14:paraId="3DB3CC4D">
            <w:pPr>
              <w:pStyle w:val="11"/>
              <w:spacing w:before="208" w:line="221" w:lineRule="auto"/>
              <w:ind w:left="369"/>
              <w:rPr>
                <w:color w:val="auto"/>
                <w:highlight w:val="none"/>
              </w:rPr>
            </w:pPr>
            <w:r>
              <w:rPr>
                <w:color w:val="auto"/>
                <w:spacing w:val="-1"/>
                <w:highlight w:val="none"/>
              </w:rPr>
              <w:t>工伤保险费</w:t>
            </w:r>
          </w:p>
        </w:tc>
        <w:tc>
          <w:tcPr>
            <w:tcW w:w="1789" w:type="dxa"/>
            <w:vAlign w:val="top"/>
          </w:tcPr>
          <w:p w14:paraId="36866753">
            <w:pPr>
              <w:rPr>
                <w:rFonts w:ascii="Arial"/>
                <w:color w:val="auto"/>
                <w:sz w:val="21"/>
                <w:highlight w:val="none"/>
              </w:rPr>
            </w:pPr>
          </w:p>
        </w:tc>
        <w:tc>
          <w:tcPr>
            <w:tcW w:w="1223" w:type="dxa"/>
            <w:vAlign w:val="top"/>
          </w:tcPr>
          <w:p w14:paraId="4FBFD1FC">
            <w:pPr>
              <w:rPr>
                <w:rFonts w:ascii="Arial"/>
                <w:color w:val="auto"/>
                <w:sz w:val="21"/>
                <w:highlight w:val="none"/>
              </w:rPr>
            </w:pPr>
          </w:p>
        </w:tc>
        <w:tc>
          <w:tcPr>
            <w:tcW w:w="1362" w:type="dxa"/>
            <w:vAlign w:val="top"/>
          </w:tcPr>
          <w:p w14:paraId="4CCC18A5">
            <w:pPr>
              <w:rPr>
                <w:rFonts w:ascii="Arial"/>
                <w:color w:val="auto"/>
                <w:sz w:val="21"/>
                <w:highlight w:val="none"/>
              </w:rPr>
            </w:pPr>
          </w:p>
        </w:tc>
        <w:tc>
          <w:tcPr>
            <w:tcW w:w="1376" w:type="dxa"/>
            <w:tcBorders>
              <w:right w:val="single" w:color="000000" w:sz="4" w:space="0"/>
            </w:tcBorders>
            <w:vAlign w:val="top"/>
          </w:tcPr>
          <w:p w14:paraId="3C7C2B4C">
            <w:pPr>
              <w:rPr>
                <w:rFonts w:ascii="Arial"/>
                <w:color w:val="auto"/>
                <w:sz w:val="21"/>
                <w:highlight w:val="none"/>
              </w:rPr>
            </w:pPr>
          </w:p>
        </w:tc>
      </w:tr>
      <w:tr w14:paraId="43D598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93" w:type="dxa"/>
            <w:tcBorders>
              <w:left w:val="single" w:color="000000" w:sz="4" w:space="0"/>
            </w:tcBorders>
            <w:vAlign w:val="top"/>
          </w:tcPr>
          <w:p w14:paraId="573A3D5A">
            <w:pPr>
              <w:spacing w:before="204" w:line="231" w:lineRule="auto"/>
              <w:ind w:left="248"/>
              <w:rPr>
                <w:rFonts w:ascii="黑体" w:hAnsi="黑体" w:eastAsia="黑体" w:cs="黑体"/>
                <w:color w:val="auto"/>
                <w:sz w:val="21"/>
                <w:szCs w:val="21"/>
                <w:highlight w:val="none"/>
              </w:rPr>
            </w:pPr>
            <w:r>
              <w:rPr>
                <w:rFonts w:ascii="黑体" w:hAnsi="黑体" w:eastAsia="黑体" w:cs="黑体"/>
                <w:color w:val="auto"/>
                <w:spacing w:val="-7"/>
                <w:sz w:val="21"/>
                <w:szCs w:val="21"/>
                <w:highlight w:val="none"/>
              </w:rPr>
              <w:t>（5）</w:t>
            </w:r>
          </w:p>
        </w:tc>
        <w:tc>
          <w:tcPr>
            <w:tcW w:w="1789" w:type="dxa"/>
            <w:vAlign w:val="top"/>
          </w:tcPr>
          <w:p w14:paraId="035AAB1B">
            <w:pPr>
              <w:pStyle w:val="11"/>
              <w:spacing w:before="203" w:line="221" w:lineRule="auto"/>
              <w:ind w:left="368"/>
              <w:rPr>
                <w:color w:val="auto"/>
                <w:highlight w:val="none"/>
              </w:rPr>
            </w:pPr>
            <w:r>
              <w:rPr>
                <w:color w:val="auto"/>
                <w:spacing w:val="-1"/>
                <w:highlight w:val="none"/>
              </w:rPr>
              <w:t>生育保险费</w:t>
            </w:r>
          </w:p>
        </w:tc>
        <w:tc>
          <w:tcPr>
            <w:tcW w:w="1789" w:type="dxa"/>
            <w:vAlign w:val="top"/>
          </w:tcPr>
          <w:p w14:paraId="06AF8E3C">
            <w:pPr>
              <w:rPr>
                <w:rFonts w:ascii="Arial"/>
                <w:color w:val="auto"/>
                <w:sz w:val="21"/>
                <w:highlight w:val="none"/>
              </w:rPr>
            </w:pPr>
          </w:p>
        </w:tc>
        <w:tc>
          <w:tcPr>
            <w:tcW w:w="1223" w:type="dxa"/>
            <w:vAlign w:val="top"/>
          </w:tcPr>
          <w:p w14:paraId="6F08F7DF">
            <w:pPr>
              <w:rPr>
                <w:rFonts w:ascii="Arial"/>
                <w:color w:val="auto"/>
                <w:sz w:val="21"/>
                <w:highlight w:val="none"/>
              </w:rPr>
            </w:pPr>
          </w:p>
        </w:tc>
        <w:tc>
          <w:tcPr>
            <w:tcW w:w="1362" w:type="dxa"/>
            <w:vAlign w:val="top"/>
          </w:tcPr>
          <w:p w14:paraId="0934B436">
            <w:pPr>
              <w:rPr>
                <w:rFonts w:ascii="Arial"/>
                <w:color w:val="auto"/>
                <w:sz w:val="21"/>
                <w:highlight w:val="none"/>
              </w:rPr>
            </w:pPr>
          </w:p>
        </w:tc>
        <w:tc>
          <w:tcPr>
            <w:tcW w:w="1376" w:type="dxa"/>
            <w:tcBorders>
              <w:right w:val="single" w:color="000000" w:sz="4" w:space="0"/>
            </w:tcBorders>
            <w:vAlign w:val="top"/>
          </w:tcPr>
          <w:p w14:paraId="6B690403">
            <w:pPr>
              <w:rPr>
                <w:rFonts w:ascii="Arial"/>
                <w:color w:val="auto"/>
                <w:sz w:val="21"/>
                <w:highlight w:val="none"/>
              </w:rPr>
            </w:pPr>
          </w:p>
        </w:tc>
      </w:tr>
      <w:tr w14:paraId="3D786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993" w:type="dxa"/>
            <w:tcBorders>
              <w:left w:val="single" w:color="000000" w:sz="4" w:space="0"/>
            </w:tcBorders>
            <w:vAlign w:val="top"/>
          </w:tcPr>
          <w:p w14:paraId="08211B75">
            <w:pPr>
              <w:spacing w:before="232" w:line="184" w:lineRule="auto"/>
              <w:ind w:left="350"/>
              <w:rPr>
                <w:rFonts w:ascii="黑体" w:hAnsi="黑体" w:eastAsia="黑体" w:cs="黑体"/>
                <w:color w:val="auto"/>
                <w:sz w:val="21"/>
                <w:szCs w:val="21"/>
                <w:highlight w:val="none"/>
              </w:rPr>
            </w:pPr>
            <w:r>
              <w:rPr>
                <w:rFonts w:ascii="黑体" w:hAnsi="黑体" w:eastAsia="黑体" w:cs="黑体"/>
                <w:color w:val="auto"/>
                <w:spacing w:val="-4"/>
                <w:sz w:val="21"/>
                <w:szCs w:val="21"/>
                <w:highlight w:val="none"/>
              </w:rPr>
              <w:t>1.2</w:t>
            </w:r>
          </w:p>
        </w:tc>
        <w:tc>
          <w:tcPr>
            <w:tcW w:w="1789" w:type="dxa"/>
            <w:vAlign w:val="top"/>
          </w:tcPr>
          <w:p w14:paraId="084B9C92">
            <w:pPr>
              <w:pStyle w:val="11"/>
              <w:spacing w:before="199" w:line="221" w:lineRule="auto"/>
              <w:ind w:left="365"/>
              <w:rPr>
                <w:color w:val="auto"/>
                <w:highlight w:val="none"/>
              </w:rPr>
            </w:pPr>
            <w:r>
              <w:rPr>
                <w:color w:val="auto"/>
                <w:spacing w:val="-1"/>
                <w:highlight w:val="none"/>
              </w:rPr>
              <w:t>住房公积金</w:t>
            </w:r>
          </w:p>
        </w:tc>
        <w:tc>
          <w:tcPr>
            <w:tcW w:w="1789" w:type="dxa"/>
            <w:vAlign w:val="top"/>
          </w:tcPr>
          <w:p w14:paraId="31D185DC">
            <w:pPr>
              <w:rPr>
                <w:rFonts w:ascii="Arial"/>
                <w:color w:val="auto"/>
                <w:sz w:val="21"/>
                <w:highlight w:val="none"/>
              </w:rPr>
            </w:pPr>
          </w:p>
        </w:tc>
        <w:tc>
          <w:tcPr>
            <w:tcW w:w="1223" w:type="dxa"/>
            <w:vAlign w:val="top"/>
          </w:tcPr>
          <w:p w14:paraId="0D6239D1">
            <w:pPr>
              <w:rPr>
                <w:rFonts w:ascii="Arial"/>
                <w:color w:val="auto"/>
                <w:sz w:val="21"/>
                <w:highlight w:val="none"/>
              </w:rPr>
            </w:pPr>
          </w:p>
        </w:tc>
        <w:tc>
          <w:tcPr>
            <w:tcW w:w="1362" w:type="dxa"/>
            <w:vAlign w:val="top"/>
          </w:tcPr>
          <w:p w14:paraId="426EB451">
            <w:pPr>
              <w:rPr>
                <w:rFonts w:ascii="Arial"/>
                <w:color w:val="auto"/>
                <w:sz w:val="21"/>
                <w:highlight w:val="none"/>
              </w:rPr>
            </w:pPr>
          </w:p>
        </w:tc>
        <w:tc>
          <w:tcPr>
            <w:tcW w:w="1376" w:type="dxa"/>
            <w:tcBorders>
              <w:right w:val="single" w:color="000000" w:sz="4" w:space="0"/>
            </w:tcBorders>
            <w:vAlign w:val="top"/>
          </w:tcPr>
          <w:p w14:paraId="1854951E">
            <w:pPr>
              <w:rPr>
                <w:rFonts w:ascii="Arial"/>
                <w:color w:val="auto"/>
                <w:sz w:val="21"/>
                <w:highlight w:val="none"/>
              </w:rPr>
            </w:pPr>
          </w:p>
        </w:tc>
      </w:tr>
      <w:tr w14:paraId="1E5E0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2" w:hRule="atLeast"/>
        </w:trPr>
        <w:tc>
          <w:tcPr>
            <w:tcW w:w="993" w:type="dxa"/>
            <w:tcBorders>
              <w:left w:val="single" w:color="000000" w:sz="4" w:space="0"/>
            </w:tcBorders>
            <w:vAlign w:val="top"/>
          </w:tcPr>
          <w:p w14:paraId="12783D92">
            <w:pPr>
              <w:spacing w:line="302" w:lineRule="auto"/>
              <w:rPr>
                <w:rFonts w:ascii="Arial"/>
                <w:color w:val="auto"/>
                <w:sz w:val="21"/>
                <w:highlight w:val="none"/>
              </w:rPr>
            </w:pPr>
          </w:p>
          <w:p w14:paraId="2E6C27B5">
            <w:pPr>
              <w:spacing w:before="68" w:line="184" w:lineRule="auto"/>
              <w:ind w:left="350"/>
              <w:rPr>
                <w:rFonts w:ascii="黑体" w:hAnsi="黑体" w:eastAsia="黑体" w:cs="黑体"/>
                <w:color w:val="auto"/>
                <w:sz w:val="21"/>
                <w:szCs w:val="21"/>
                <w:highlight w:val="none"/>
              </w:rPr>
            </w:pPr>
            <w:r>
              <w:rPr>
                <w:rFonts w:ascii="黑体" w:hAnsi="黑体" w:eastAsia="黑体" w:cs="黑体"/>
                <w:color w:val="auto"/>
                <w:spacing w:val="-4"/>
                <w:sz w:val="21"/>
                <w:szCs w:val="21"/>
                <w:highlight w:val="none"/>
              </w:rPr>
              <w:t>1.3</w:t>
            </w:r>
          </w:p>
        </w:tc>
        <w:tc>
          <w:tcPr>
            <w:tcW w:w="1789" w:type="dxa"/>
            <w:vAlign w:val="top"/>
          </w:tcPr>
          <w:p w14:paraId="45A7F5D2">
            <w:pPr>
              <w:spacing w:line="269" w:lineRule="auto"/>
              <w:rPr>
                <w:rFonts w:ascii="Arial"/>
                <w:color w:val="auto"/>
                <w:sz w:val="21"/>
                <w:highlight w:val="none"/>
              </w:rPr>
            </w:pPr>
          </w:p>
          <w:p w14:paraId="78F52C93">
            <w:pPr>
              <w:pStyle w:val="11"/>
              <w:spacing w:before="69" w:line="221" w:lineRule="auto"/>
              <w:ind w:left="369"/>
              <w:rPr>
                <w:color w:val="auto"/>
                <w:highlight w:val="none"/>
              </w:rPr>
            </w:pPr>
            <w:r>
              <w:rPr>
                <w:color w:val="auto"/>
                <w:spacing w:val="-1"/>
                <w:highlight w:val="none"/>
              </w:rPr>
              <w:t>工程排污费</w:t>
            </w:r>
          </w:p>
        </w:tc>
        <w:tc>
          <w:tcPr>
            <w:tcW w:w="1789" w:type="dxa"/>
            <w:vAlign w:val="top"/>
          </w:tcPr>
          <w:p w14:paraId="776B1041">
            <w:pPr>
              <w:rPr>
                <w:rFonts w:ascii="Arial"/>
                <w:color w:val="auto"/>
                <w:sz w:val="21"/>
                <w:highlight w:val="none"/>
              </w:rPr>
            </w:pPr>
          </w:p>
        </w:tc>
        <w:tc>
          <w:tcPr>
            <w:tcW w:w="1223" w:type="dxa"/>
            <w:vAlign w:val="top"/>
          </w:tcPr>
          <w:p w14:paraId="38B52897">
            <w:pPr>
              <w:rPr>
                <w:rFonts w:ascii="Arial"/>
                <w:color w:val="auto"/>
                <w:sz w:val="21"/>
                <w:highlight w:val="none"/>
              </w:rPr>
            </w:pPr>
          </w:p>
        </w:tc>
        <w:tc>
          <w:tcPr>
            <w:tcW w:w="1362" w:type="dxa"/>
            <w:vAlign w:val="top"/>
          </w:tcPr>
          <w:p w14:paraId="70B9642C">
            <w:pPr>
              <w:rPr>
                <w:rFonts w:ascii="Arial"/>
                <w:color w:val="auto"/>
                <w:sz w:val="21"/>
                <w:highlight w:val="none"/>
              </w:rPr>
            </w:pPr>
          </w:p>
        </w:tc>
        <w:tc>
          <w:tcPr>
            <w:tcW w:w="1376" w:type="dxa"/>
            <w:tcBorders>
              <w:right w:val="single" w:color="000000" w:sz="4" w:space="0"/>
            </w:tcBorders>
            <w:vAlign w:val="top"/>
          </w:tcPr>
          <w:p w14:paraId="443BA6A1">
            <w:pPr>
              <w:rPr>
                <w:rFonts w:ascii="Arial"/>
                <w:color w:val="auto"/>
                <w:sz w:val="21"/>
                <w:highlight w:val="none"/>
              </w:rPr>
            </w:pPr>
          </w:p>
        </w:tc>
      </w:tr>
      <w:tr w14:paraId="4380D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993" w:type="dxa"/>
            <w:tcBorders>
              <w:left w:val="single" w:color="000000" w:sz="4" w:space="0"/>
            </w:tcBorders>
            <w:vAlign w:val="top"/>
          </w:tcPr>
          <w:p w14:paraId="615F3BE9">
            <w:pPr>
              <w:rPr>
                <w:rFonts w:ascii="Arial"/>
                <w:color w:val="auto"/>
                <w:sz w:val="21"/>
                <w:highlight w:val="none"/>
              </w:rPr>
            </w:pPr>
          </w:p>
        </w:tc>
        <w:tc>
          <w:tcPr>
            <w:tcW w:w="1789" w:type="dxa"/>
            <w:vAlign w:val="top"/>
          </w:tcPr>
          <w:p w14:paraId="030AF35C">
            <w:pPr>
              <w:rPr>
                <w:rFonts w:ascii="Arial"/>
                <w:color w:val="auto"/>
                <w:sz w:val="21"/>
                <w:highlight w:val="none"/>
              </w:rPr>
            </w:pPr>
          </w:p>
        </w:tc>
        <w:tc>
          <w:tcPr>
            <w:tcW w:w="1789" w:type="dxa"/>
            <w:vAlign w:val="top"/>
          </w:tcPr>
          <w:p w14:paraId="32BE90F9">
            <w:pPr>
              <w:rPr>
                <w:rFonts w:ascii="Arial"/>
                <w:color w:val="auto"/>
                <w:sz w:val="21"/>
                <w:highlight w:val="none"/>
              </w:rPr>
            </w:pPr>
          </w:p>
        </w:tc>
        <w:tc>
          <w:tcPr>
            <w:tcW w:w="1223" w:type="dxa"/>
            <w:vAlign w:val="top"/>
          </w:tcPr>
          <w:p w14:paraId="5871E255">
            <w:pPr>
              <w:rPr>
                <w:rFonts w:ascii="Arial"/>
                <w:color w:val="auto"/>
                <w:sz w:val="21"/>
                <w:highlight w:val="none"/>
              </w:rPr>
            </w:pPr>
          </w:p>
        </w:tc>
        <w:tc>
          <w:tcPr>
            <w:tcW w:w="1362" w:type="dxa"/>
            <w:vAlign w:val="top"/>
          </w:tcPr>
          <w:p w14:paraId="0A7EE03F">
            <w:pPr>
              <w:rPr>
                <w:rFonts w:ascii="Arial"/>
                <w:color w:val="auto"/>
                <w:sz w:val="21"/>
                <w:highlight w:val="none"/>
              </w:rPr>
            </w:pPr>
          </w:p>
        </w:tc>
        <w:tc>
          <w:tcPr>
            <w:tcW w:w="1376" w:type="dxa"/>
            <w:tcBorders>
              <w:right w:val="single" w:color="000000" w:sz="4" w:space="0"/>
            </w:tcBorders>
            <w:vAlign w:val="top"/>
          </w:tcPr>
          <w:p w14:paraId="71DED3DF">
            <w:pPr>
              <w:rPr>
                <w:rFonts w:ascii="Arial"/>
                <w:color w:val="auto"/>
                <w:sz w:val="21"/>
                <w:highlight w:val="none"/>
              </w:rPr>
            </w:pPr>
          </w:p>
        </w:tc>
      </w:tr>
      <w:tr w14:paraId="628287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993" w:type="dxa"/>
            <w:tcBorders>
              <w:left w:val="single" w:color="000000" w:sz="4" w:space="0"/>
            </w:tcBorders>
            <w:vAlign w:val="top"/>
          </w:tcPr>
          <w:p w14:paraId="23D60982">
            <w:pPr>
              <w:spacing w:line="315" w:lineRule="auto"/>
              <w:rPr>
                <w:rFonts w:ascii="Arial"/>
                <w:color w:val="auto"/>
                <w:sz w:val="21"/>
                <w:highlight w:val="none"/>
              </w:rPr>
            </w:pPr>
          </w:p>
          <w:p w14:paraId="18B80E76">
            <w:pPr>
              <w:spacing w:before="61" w:line="189" w:lineRule="auto"/>
              <w:ind w:left="441"/>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2</w:t>
            </w:r>
          </w:p>
        </w:tc>
        <w:tc>
          <w:tcPr>
            <w:tcW w:w="1789" w:type="dxa"/>
            <w:vAlign w:val="top"/>
          </w:tcPr>
          <w:p w14:paraId="65865548">
            <w:pPr>
              <w:spacing w:line="271" w:lineRule="auto"/>
              <w:rPr>
                <w:rFonts w:ascii="Arial"/>
                <w:color w:val="auto"/>
                <w:sz w:val="21"/>
                <w:highlight w:val="none"/>
              </w:rPr>
            </w:pPr>
          </w:p>
          <w:p w14:paraId="7259E7CE">
            <w:pPr>
              <w:pStyle w:val="11"/>
              <w:spacing w:before="69" w:line="221" w:lineRule="auto"/>
              <w:ind w:left="683"/>
              <w:rPr>
                <w:color w:val="auto"/>
                <w:highlight w:val="none"/>
              </w:rPr>
            </w:pPr>
            <w:r>
              <w:rPr>
                <w:color w:val="auto"/>
                <w:spacing w:val="-2"/>
                <w:highlight w:val="none"/>
              </w:rPr>
              <w:t>税金</w:t>
            </w:r>
          </w:p>
        </w:tc>
        <w:tc>
          <w:tcPr>
            <w:tcW w:w="1789" w:type="dxa"/>
            <w:vAlign w:val="top"/>
          </w:tcPr>
          <w:p w14:paraId="4B18018C">
            <w:pPr>
              <w:rPr>
                <w:rFonts w:ascii="Arial"/>
                <w:color w:val="auto"/>
                <w:sz w:val="21"/>
                <w:highlight w:val="none"/>
              </w:rPr>
            </w:pPr>
          </w:p>
        </w:tc>
        <w:tc>
          <w:tcPr>
            <w:tcW w:w="1223" w:type="dxa"/>
            <w:vAlign w:val="top"/>
          </w:tcPr>
          <w:p w14:paraId="1519B95A">
            <w:pPr>
              <w:rPr>
                <w:rFonts w:ascii="Arial"/>
                <w:color w:val="auto"/>
                <w:sz w:val="21"/>
                <w:highlight w:val="none"/>
              </w:rPr>
            </w:pPr>
          </w:p>
        </w:tc>
        <w:tc>
          <w:tcPr>
            <w:tcW w:w="1362" w:type="dxa"/>
            <w:vAlign w:val="top"/>
          </w:tcPr>
          <w:p w14:paraId="10D2FC50">
            <w:pPr>
              <w:rPr>
                <w:rFonts w:ascii="Arial"/>
                <w:color w:val="auto"/>
                <w:sz w:val="21"/>
                <w:highlight w:val="none"/>
              </w:rPr>
            </w:pPr>
          </w:p>
        </w:tc>
        <w:tc>
          <w:tcPr>
            <w:tcW w:w="1376" w:type="dxa"/>
            <w:tcBorders>
              <w:right w:val="single" w:color="000000" w:sz="4" w:space="0"/>
            </w:tcBorders>
            <w:vAlign w:val="top"/>
          </w:tcPr>
          <w:p w14:paraId="4D2692A4">
            <w:pPr>
              <w:rPr>
                <w:rFonts w:ascii="Arial"/>
                <w:color w:val="auto"/>
                <w:sz w:val="21"/>
                <w:highlight w:val="none"/>
              </w:rPr>
            </w:pPr>
          </w:p>
        </w:tc>
      </w:tr>
      <w:tr w14:paraId="5EA40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92" w:hRule="atLeast"/>
        </w:trPr>
        <w:tc>
          <w:tcPr>
            <w:tcW w:w="5794" w:type="dxa"/>
            <w:gridSpan w:val="4"/>
            <w:tcBorders>
              <w:left w:val="single" w:color="000000" w:sz="4" w:space="0"/>
              <w:bottom w:val="single" w:color="000000" w:sz="4" w:space="0"/>
            </w:tcBorders>
            <w:vAlign w:val="top"/>
          </w:tcPr>
          <w:p w14:paraId="4E5DD517">
            <w:pPr>
              <w:spacing w:line="271" w:lineRule="auto"/>
              <w:rPr>
                <w:rFonts w:ascii="Arial"/>
                <w:color w:val="auto"/>
                <w:sz w:val="21"/>
                <w:highlight w:val="none"/>
              </w:rPr>
            </w:pPr>
          </w:p>
          <w:p w14:paraId="6958E44A">
            <w:pPr>
              <w:pStyle w:val="11"/>
              <w:spacing w:before="68" w:line="222" w:lineRule="auto"/>
              <w:ind w:left="2693"/>
              <w:rPr>
                <w:color w:val="auto"/>
                <w:highlight w:val="none"/>
              </w:rPr>
            </w:pPr>
            <w:r>
              <w:rPr>
                <w:color w:val="auto"/>
                <w:spacing w:val="-2"/>
                <w:highlight w:val="none"/>
              </w:rPr>
              <w:t>合计</w:t>
            </w:r>
          </w:p>
        </w:tc>
        <w:tc>
          <w:tcPr>
            <w:tcW w:w="1362" w:type="dxa"/>
            <w:tcBorders>
              <w:bottom w:val="single" w:color="000000" w:sz="4" w:space="0"/>
            </w:tcBorders>
            <w:vAlign w:val="top"/>
          </w:tcPr>
          <w:p w14:paraId="6C0B1955">
            <w:pPr>
              <w:rPr>
                <w:rFonts w:ascii="Arial"/>
                <w:color w:val="auto"/>
                <w:sz w:val="21"/>
                <w:highlight w:val="none"/>
              </w:rPr>
            </w:pPr>
          </w:p>
        </w:tc>
        <w:tc>
          <w:tcPr>
            <w:tcW w:w="1376" w:type="dxa"/>
            <w:tcBorders>
              <w:bottom w:val="single" w:color="000000" w:sz="4" w:space="0"/>
              <w:right w:val="single" w:color="000000" w:sz="4" w:space="0"/>
            </w:tcBorders>
            <w:vAlign w:val="top"/>
          </w:tcPr>
          <w:p w14:paraId="3442B093">
            <w:pPr>
              <w:rPr>
                <w:rFonts w:ascii="Arial"/>
                <w:color w:val="auto"/>
                <w:sz w:val="21"/>
                <w:highlight w:val="none"/>
              </w:rPr>
            </w:pPr>
          </w:p>
        </w:tc>
      </w:tr>
    </w:tbl>
    <w:p w14:paraId="0793455D">
      <w:pPr>
        <w:pStyle w:val="3"/>
        <w:spacing w:line="438" w:lineRule="auto"/>
        <w:rPr>
          <w:color w:val="auto"/>
          <w:highlight w:val="none"/>
        </w:rPr>
      </w:pPr>
    </w:p>
    <w:p w14:paraId="2CCB25F0">
      <w:pPr>
        <w:spacing w:before="70" w:line="186" w:lineRule="auto"/>
        <w:ind w:left="125"/>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编制人（造价人员</w:t>
      </w:r>
      <w:r>
        <w:rPr>
          <w:rFonts w:ascii="宋体" w:hAnsi="宋体" w:eastAsia="宋体" w:cs="宋体"/>
          <w:color w:val="auto"/>
          <w:spacing w:val="-15"/>
          <w:sz w:val="21"/>
          <w:szCs w:val="21"/>
          <w:highlight w:val="none"/>
        </w:rPr>
        <w:t>）：</w:t>
      </w:r>
      <w:r>
        <w:rPr>
          <w:rFonts w:ascii="宋体" w:hAnsi="宋体" w:eastAsia="宋体" w:cs="宋体"/>
          <w:color w:val="auto"/>
          <w:spacing w:val="6"/>
          <w:sz w:val="21"/>
          <w:szCs w:val="21"/>
          <w:highlight w:val="none"/>
        </w:rPr>
        <w:t xml:space="preserve">             </w:t>
      </w:r>
      <w:r>
        <w:rPr>
          <w:rFonts w:ascii="宋体" w:hAnsi="宋体" w:eastAsia="宋体" w:cs="宋体"/>
          <w:color w:val="auto"/>
          <w:spacing w:val="-12"/>
          <w:sz w:val="21"/>
          <w:szCs w:val="21"/>
          <w:highlight w:val="none"/>
        </w:rPr>
        <w:t>复核人（造价工程师</w:t>
      </w:r>
      <w:r>
        <w:rPr>
          <w:rFonts w:ascii="宋体" w:hAnsi="宋体" w:eastAsia="宋体" w:cs="宋体"/>
          <w:color w:val="auto"/>
          <w:spacing w:val="-15"/>
          <w:sz w:val="21"/>
          <w:szCs w:val="21"/>
          <w:highlight w:val="none"/>
        </w:rPr>
        <w:t>）：</w:t>
      </w:r>
    </w:p>
    <w:p w14:paraId="2CDF45BF">
      <w:pPr>
        <w:spacing w:line="186" w:lineRule="auto"/>
        <w:rPr>
          <w:rFonts w:ascii="宋体" w:hAnsi="宋体" w:eastAsia="宋体" w:cs="宋体"/>
          <w:color w:val="auto"/>
          <w:sz w:val="21"/>
          <w:szCs w:val="21"/>
          <w:highlight w:val="none"/>
        </w:rPr>
        <w:sectPr>
          <w:type w:val="continuous"/>
          <w:pgSz w:w="11905" w:h="16839"/>
          <w:pgMar w:top="400" w:right="1681" w:bottom="1004" w:left="1680" w:header="0" w:footer="829" w:gutter="0"/>
          <w:pgNumType w:fmt="decimal"/>
          <w:cols w:equalWidth="0" w:num="1">
            <w:col w:w="8543"/>
          </w:cols>
        </w:sectPr>
      </w:pPr>
    </w:p>
    <w:p w14:paraId="664FCB9B">
      <w:pPr>
        <w:pStyle w:val="3"/>
        <w:spacing w:line="267" w:lineRule="auto"/>
        <w:rPr>
          <w:color w:val="auto"/>
          <w:highlight w:val="none"/>
        </w:rPr>
      </w:pPr>
    </w:p>
    <w:p w14:paraId="2396D115">
      <w:pPr>
        <w:pStyle w:val="3"/>
        <w:spacing w:line="268" w:lineRule="auto"/>
        <w:rPr>
          <w:color w:val="auto"/>
          <w:highlight w:val="none"/>
        </w:rPr>
      </w:pPr>
    </w:p>
    <w:p w14:paraId="4D6F9E6A">
      <w:pPr>
        <w:pStyle w:val="3"/>
        <w:spacing w:line="268" w:lineRule="auto"/>
        <w:rPr>
          <w:color w:val="auto"/>
          <w:highlight w:val="none"/>
        </w:rPr>
      </w:pPr>
    </w:p>
    <w:p w14:paraId="558BF614">
      <w:pPr>
        <w:pStyle w:val="3"/>
        <w:spacing w:line="268" w:lineRule="auto"/>
        <w:rPr>
          <w:color w:val="auto"/>
          <w:highlight w:val="none"/>
        </w:rPr>
      </w:pPr>
    </w:p>
    <w:p w14:paraId="020249E3">
      <w:pPr>
        <w:spacing w:before="78" w:line="218" w:lineRule="auto"/>
        <w:ind w:left="13"/>
        <w:rPr>
          <w:rFonts w:ascii="黑体" w:hAnsi="黑体" w:eastAsia="黑体" w:cs="黑体"/>
          <w:color w:val="auto"/>
          <w:sz w:val="24"/>
          <w:szCs w:val="24"/>
          <w:highlight w:val="none"/>
        </w:rPr>
      </w:pPr>
      <w:r>
        <w:rPr>
          <w:rFonts w:ascii="Times New Roman" w:hAnsi="Times New Roman" w:eastAsia="Times New Roman" w:cs="Times New Roman"/>
          <w:color w:val="auto"/>
          <w:spacing w:val="-1"/>
          <w:sz w:val="24"/>
          <w:szCs w:val="24"/>
          <w:highlight w:val="none"/>
        </w:rPr>
        <w:t xml:space="preserve">4.14 </w:t>
      </w:r>
      <w:r>
        <w:rPr>
          <w:rFonts w:ascii="黑体" w:hAnsi="黑体" w:eastAsia="黑体" w:cs="黑体"/>
          <w:color w:val="auto"/>
          <w:spacing w:val="-1"/>
          <w:sz w:val="24"/>
          <w:szCs w:val="24"/>
          <w:highlight w:val="none"/>
        </w:rPr>
        <w:t>发包人提供材料和工程设备一览表</w:t>
      </w:r>
    </w:p>
    <w:p w14:paraId="38046D22">
      <w:pPr>
        <w:pStyle w:val="3"/>
        <w:spacing w:line="437" w:lineRule="auto"/>
        <w:rPr>
          <w:color w:val="auto"/>
          <w:highlight w:val="none"/>
        </w:rPr>
      </w:pPr>
    </w:p>
    <w:p w14:paraId="7AE32192">
      <w:pPr>
        <w:spacing w:before="88" w:line="224" w:lineRule="auto"/>
        <w:ind w:left="2078"/>
        <w:rPr>
          <w:rFonts w:ascii="黑体" w:hAnsi="黑体" w:eastAsia="黑体" w:cs="黑体"/>
          <w:color w:val="auto"/>
          <w:sz w:val="27"/>
          <w:szCs w:val="27"/>
          <w:highlight w:val="none"/>
        </w:rPr>
      </w:pPr>
      <w:bookmarkStart w:id="1315" w:name="bookmark261"/>
      <w:bookmarkEnd w:id="1315"/>
      <w:bookmarkStart w:id="1316" w:name="bookmark262"/>
      <w:bookmarkEnd w:id="1316"/>
      <w:r>
        <w:rPr>
          <w:rFonts w:ascii="黑体" w:hAnsi="黑体" w:eastAsia="黑体" w:cs="黑体"/>
          <w:color w:val="auto"/>
          <w:spacing w:val="8"/>
          <w:sz w:val="27"/>
          <w:szCs w:val="27"/>
          <w:highlight w:val="none"/>
        </w:rPr>
        <w:t>发包人提供材料和工程设备一览表</w:t>
      </w:r>
    </w:p>
    <w:p w14:paraId="35EF51BF">
      <w:pPr>
        <w:spacing w:line="221" w:lineRule="exact"/>
        <w:rPr>
          <w:color w:val="auto"/>
          <w:highlight w:val="none"/>
        </w:rPr>
      </w:pPr>
    </w:p>
    <w:p w14:paraId="7079417B">
      <w:pPr>
        <w:spacing w:line="221" w:lineRule="exact"/>
        <w:rPr>
          <w:color w:val="auto"/>
          <w:highlight w:val="none"/>
        </w:rPr>
        <w:sectPr>
          <w:footerReference r:id="rId198" w:type="default"/>
          <w:pgSz w:w="11905" w:h="16839"/>
          <w:pgMar w:top="400" w:right="1785" w:bottom="1004" w:left="1785" w:header="0" w:footer="828" w:gutter="0"/>
          <w:pgNumType w:fmt="decimal"/>
          <w:cols w:equalWidth="0" w:num="1">
            <w:col w:w="8333"/>
          </w:cols>
        </w:sectPr>
      </w:pPr>
    </w:p>
    <w:p w14:paraId="2CF8D65C">
      <w:pPr>
        <w:spacing w:before="41" w:line="186" w:lineRule="auto"/>
        <w:ind w:left="20"/>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工程名称：</w:t>
      </w:r>
    </w:p>
    <w:p w14:paraId="09D8DE4E">
      <w:pPr>
        <w:pStyle w:val="3"/>
        <w:spacing w:line="14" w:lineRule="auto"/>
        <w:rPr>
          <w:color w:val="auto"/>
          <w:sz w:val="2"/>
          <w:highlight w:val="none"/>
        </w:rPr>
      </w:pPr>
      <w:r>
        <w:rPr>
          <w:color w:val="auto"/>
          <w:sz w:val="2"/>
          <w:szCs w:val="2"/>
          <w:highlight w:val="none"/>
        </w:rPr>
        <w:br w:type="column"/>
      </w:r>
    </w:p>
    <w:p w14:paraId="7FECF53F">
      <w:pPr>
        <w:spacing w:before="40" w:line="186" w:lineRule="auto"/>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标段名称：</w:t>
      </w:r>
      <w:r>
        <w:rPr>
          <w:rFonts w:ascii="宋体" w:hAnsi="宋体" w:eastAsia="宋体" w:cs="宋体"/>
          <w:color w:val="auto"/>
          <w:spacing w:val="6"/>
          <w:sz w:val="21"/>
          <w:szCs w:val="21"/>
          <w:highlight w:val="none"/>
        </w:rPr>
        <w:t xml:space="preserve">          </w:t>
      </w:r>
      <w:r>
        <w:rPr>
          <w:rFonts w:ascii="宋体" w:hAnsi="宋体" w:eastAsia="宋体" w:cs="宋体"/>
          <w:color w:val="auto"/>
          <w:spacing w:val="-14"/>
          <w:sz w:val="21"/>
          <w:szCs w:val="21"/>
          <w:highlight w:val="none"/>
        </w:rPr>
        <w:t>第</w:t>
      </w:r>
      <w:r>
        <w:rPr>
          <w:rFonts w:ascii="宋体" w:hAnsi="宋体" w:eastAsia="宋体" w:cs="宋体"/>
          <w:color w:val="auto"/>
          <w:spacing w:val="16"/>
          <w:sz w:val="21"/>
          <w:szCs w:val="21"/>
          <w:highlight w:val="none"/>
        </w:rPr>
        <w:t xml:space="preserve"> </w:t>
      </w:r>
      <w:r>
        <w:rPr>
          <w:rFonts w:ascii="宋体" w:hAnsi="宋体" w:eastAsia="宋体" w:cs="宋体"/>
          <w:color w:val="auto"/>
          <w:spacing w:val="-14"/>
          <w:sz w:val="21"/>
          <w:szCs w:val="21"/>
          <w:highlight w:val="none"/>
        </w:rPr>
        <w:t>页 共</w:t>
      </w:r>
      <w:r>
        <w:rPr>
          <w:rFonts w:ascii="宋体" w:hAnsi="宋体" w:eastAsia="宋体" w:cs="宋体"/>
          <w:color w:val="auto"/>
          <w:spacing w:val="14"/>
          <w:sz w:val="21"/>
          <w:szCs w:val="21"/>
          <w:highlight w:val="none"/>
        </w:rPr>
        <w:t xml:space="preserve"> </w:t>
      </w:r>
      <w:r>
        <w:rPr>
          <w:rFonts w:ascii="宋体" w:hAnsi="宋体" w:eastAsia="宋体" w:cs="宋体"/>
          <w:color w:val="auto"/>
          <w:spacing w:val="-14"/>
          <w:sz w:val="21"/>
          <w:szCs w:val="21"/>
          <w:highlight w:val="none"/>
        </w:rPr>
        <w:t>页</w:t>
      </w:r>
    </w:p>
    <w:p w14:paraId="1FE3763D">
      <w:pPr>
        <w:spacing w:line="186" w:lineRule="auto"/>
        <w:rPr>
          <w:rFonts w:ascii="宋体" w:hAnsi="宋体" w:eastAsia="宋体" w:cs="宋体"/>
          <w:color w:val="auto"/>
          <w:sz w:val="21"/>
          <w:szCs w:val="21"/>
          <w:highlight w:val="none"/>
        </w:rPr>
        <w:sectPr>
          <w:type w:val="continuous"/>
          <w:pgSz w:w="11905" w:h="16839"/>
          <w:pgMar w:top="400" w:right="1785" w:bottom="1004" w:left="1785" w:header="0" w:footer="828" w:gutter="0"/>
          <w:pgNumType w:fmt="decimal"/>
          <w:cols w:equalWidth="0" w:num="2">
            <w:col w:w="2234" w:space="100"/>
            <w:col w:w="6000"/>
          </w:cols>
        </w:sectPr>
      </w:pPr>
    </w:p>
    <w:p w14:paraId="56364D11">
      <w:pPr>
        <w:spacing w:line="32" w:lineRule="exact"/>
        <w:rPr>
          <w:color w:val="auto"/>
          <w:highlight w:val="none"/>
        </w:rPr>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9"/>
        <w:gridCol w:w="1761"/>
        <w:gridCol w:w="826"/>
        <w:gridCol w:w="825"/>
        <w:gridCol w:w="844"/>
        <w:gridCol w:w="1209"/>
        <w:gridCol w:w="1397"/>
        <w:gridCol w:w="830"/>
      </w:tblGrid>
      <w:tr w14:paraId="3694D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2" w:hRule="atLeast"/>
        </w:trPr>
        <w:tc>
          <w:tcPr>
            <w:tcW w:w="619" w:type="dxa"/>
            <w:textDirection w:val="tbRlV"/>
            <w:vAlign w:val="top"/>
          </w:tcPr>
          <w:p w14:paraId="6F6A29DF">
            <w:pPr>
              <w:pStyle w:val="11"/>
              <w:spacing w:before="200" w:line="211" w:lineRule="auto"/>
              <w:ind w:left="202"/>
              <w:rPr>
                <w:color w:val="auto"/>
                <w:highlight w:val="none"/>
              </w:rPr>
            </w:pPr>
            <w:r>
              <w:rPr>
                <w:color w:val="auto"/>
                <w:spacing w:val="1"/>
                <w:highlight w:val="none"/>
              </w:rPr>
              <w:t>序</w:t>
            </w:r>
            <w:r>
              <w:rPr>
                <w:color w:val="auto"/>
                <w:spacing w:val="-43"/>
                <w:highlight w:val="none"/>
              </w:rPr>
              <w:t xml:space="preserve"> </w:t>
            </w:r>
            <w:r>
              <w:rPr>
                <w:color w:val="auto"/>
                <w:spacing w:val="1"/>
                <w:highlight w:val="none"/>
              </w:rPr>
              <w:t>号</w:t>
            </w:r>
          </w:p>
        </w:tc>
        <w:tc>
          <w:tcPr>
            <w:tcW w:w="1761" w:type="dxa"/>
            <w:vAlign w:val="top"/>
          </w:tcPr>
          <w:p w14:paraId="643A46CC">
            <w:pPr>
              <w:pStyle w:val="11"/>
              <w:spacing w:before="67" w:line="220" w:lineRule="auto"/>
              <w:ind w:left="253"/>
              <w:rPr>
                <w:color w:val="auto"/>
                <w:highlight w:val="none"/>
              </w:rPr>
            </w:pPr>
            <w:r>
              <w:rPr>
                <w:color w:val="auto"/>
                <w:spacing w:val="-1"/>
                <w:highlight w:val="none"/>
              </w:rPr>
              <w:t>材料（工程设</w:t>
            </w:r>
          </w:p>
          <w:p w14:paraId="265B111A">
            <w:pPr>
              <w:pStyle w:val="11"/>
              <w:spacing w:before="18" w:line="222" w:lineRule="auto"/>
              <w:ind w:left="256"/>
              <w:rPr>
                <w:color w:val="auto"/>
                <w:highlight w:val="none"/>
              </w:rPr>
            </w:pPr>
            <w:r>
              <w:rPr>
                <w:color w:val="auto"/>
                <w:spacing w:val="-2"/>
                <w:highlight w:val="none"/>
              </w:rPr>
              <w:t>备）名称、规</w:t>
            </w:r>
          </w:p>
          <w:p w14:paraId="58282C4D">
            <w:pPr>
              <w:pStyle w:val="11"/>
              <w:spacing w:before="20" w:line="221" w:lineRule="auto"/>
              <w:ind w:left="464"/>
              <w:rPr>
                <w:color w:val="auto"/>
                <w:highlight w:val="none"/>
              </w:rPr>
            </w:pPr>
            <w:r>
              <w:rPr>
                <w:color w:val="auto"/>
                <w:spacing w:val="-1"/>
                <w:highlight w:val="none"/>
              </w:rPr>
              <w:t>格、型号</w:t>
            </w:r>
          </w:p>
        </w:tc>
        <w:tc>
          <w:tcPr>
            <w:tcW w:w="826" w:type="dxa"/>
            <w:vAlign w:val="top"/>
          </w:tcPr>
          <w:p w14:paraId="5F78FEEE">
            <w:pPr>
              <w:spacing w:line="267" w:lineRule="auto"/>
              <w:rPr>
                <w:rFonts w:ascii="Arial"/>
                <w:color w:val="auto"/>
                <w:sz w:val="21"/>
                <w:highlight w:val="none"/>
              </w:rPr>
            </w:pPr>
          </w:p>
          <w:p w14:paraId="20580373">
            <w:pPr>
              <w:pStyle w:val="11"/>
              <w:spacing w:before="68" w:line="221" w:lineRule="auto"/>
              <w:ind w:left="213"/>
              <w:rPr>
                <w:color w:val="auto"/>
                <w:highlight w:val="none"/>
              </w:rPr>
            </w:pPr>
            <w:r>
              <w:rPr>
                <w:color w:val="auto"/>
                <w:spacing w:val="-2"/>
                <w:highlight w:val="none"/>
              </w:rPr>
              <w:t>单位</w:t>
            </w:r>
          </w:p>
        </w:tc>
        <w:tc>
          <w:tcPr>
            <w:tcW w:w="825" w:type="dxa"/>
            <w:vAlign w:val="top"/>
          </w:tcPr>
          <w:p w14:paraId="6C6056F2">
            <w:pPr>
              <w:spacing w:line="266" w:lineRule="auto"/>
              <w:rPr>
                <w:rFonts w:ascii="Arial"/>
                <w:color w:val="auto"/>
                <w:sz w:val="21"/>
                <w:highlight w:val="none"/>
              </w:rPr>
            </w:pPr>
          </w:p>
          <w:p w14:paraId="7B8AAC76">
            <w:pPr>
              <w:pStyle w:val="11"/>
              <w:spacing w:before="68" w:line="221" w:lineRule="auto"/>
              <w:ind w:left="213"/>
              <w:rPr>
                <w:color w:val="auto"/>
                <w:highlight w:val="none"/>
              </w:rPr>
            </w:pPr>
            <w:r>
              <w:rPr>
                <w:color w:val="auto"/>
                <w:spacing w:val="-2"/>
                <w:highlight w:val="none"/>
              </w:rPr>
              <w:t>数量</w:t>
            </w:r>
          </w:p>
        </w:tc>
        <w:tc>
          <w:tcPr>
            <w:tcW w:w="844" w:type="dxa"/>
            <w:vAlign w:val="top"/>
          </w:tcPr>
          <w:p w14:paraId="1FFFEB3B">
            <w:pPr>
              <w:pStyle w:val="11"/>
              <w:spacing w:before="202" w:line="231" w:lineRule="auto"/>
              <w:ind w:left="122" w:right="111" w:firstLine="100"/>
              <w:rPr>
                <w:color w:val="auto"/>
                <w:highlight w:val="none"/>
              </w:rPr>
            </w:pPr>
            <w:r>
              <w:rPr>
                <w:color w:val="auto"/>
                <w:spacing w:val="-4"/>
                <w:highlight w:val="none"/>
              </w:rPr>
              <w:t>单价</w:t>
            </w:r>
            <w:r>
              <w:rPr>
                <w:color w:val="auto"/>
                <w:highlight w:val="none"/>
              </w:rPr>
              <w:t xml:space="preserve">  </w:t>
            </w:r>
            <w:r>
              <w:rPr>
                <w:color w:val="auto"/>
                <w:spacing w:val="-9"/>
                <w:highlight w:val="none"/>
              </w:rPr>
              <w:t>（元）</w:t>
            </w:r>
          </w:p>
        </w:tc>
        <w:tc>
          <w:tcPr>
            <w:tcW w:w="1209" w:type="dxa"/>
            <w:vAlign w:val="top"/>
          </w:tcPr>
          <w:p w14:paraId="204AEF8D">
            <w:pPr>
              <w:pStyle w:val="11"/>
              <w:spacing w:before="201" w:line="241" w:lineRule="auto"/>
              <w:ind w:left="405"/>
              <w:rPr>
                <w:color w:val="auto"/>
                <w:highlight w:val="none"/>
              </w:rPr>
            </w:pPr>
            <w:r>
              <w:rPr>
                <w:color w:val="auto"/>
                <w:spacing w:val="-3"/>
                <w:highlight w:val="none"/>
              </w:rPr>
              <w:t>交货</w:t>
            </w:r>
          </w:p>
          <w:p w14:paraId="5538C753">
            <w:pPr>
              <w:pStyle w:val="11"/>
              <w:spacing w:line="222" w:lineRule="auto"/>
              <w:ind w:left="401"/>
              <w:rPr>
                <w:color w:val="auto"/>
                <w:highlight w:val="none"/>
              </w:rPr>
            </w:pPr>
            <w:r>
              <w:rPr>
                <w:color w:val="auto"/>
                <w:spacing w:val="-2"/>
                <w:highlight w:val="none"/>
              </w:rPr>
              <w:t>方式</w:t>
            </w:r>
          </w:p>
        </w:tc>
        <w:tc>
          <w:tcPr>
            <w:tcW w:w="1397" w:type="dxa"/>
            <w:vAlign w:val="top"/>
          </w:tcPr>
          <w:p w14:paraId="05AA64DA">
            <w:pPr>
              <w:pStyle w:val="11"/>
              <w:spacing w:before="201" w:line="241" w:lineRule="auto"/>
              <w:ind w:left="496"/>
              <w:rPr>
                <w:color w:val="auto"/>
                <w:highlight w:val="none"/>
              </w:rPr>
            </w:pPr>
            <w:r>
              <w:rPr>
                <w:color w:val="auto"/>
                <w:spacing w:val="-2"/>
                <w:highlight w:val="none"/>
              </w:rPr>
              <w:t>送达</w:t>
            </w:r>
          </w:p>
          <w:p w14:paraId="7E44B4A5">
            <w:pPr>
              <w:pStyle w:val="11"/>
              <w:spacing w:before="1" w:line="224" w:lineRule="auto"/>
              <w:ind w:left="498"/>
              <w:rPr>
                <w:color w:val="auto"/>
                <w:highlight w:val="none"/>
              </w:rPr>
            </w:pPr>
            <w:r>
              <w:rPr>
                <w:color w:val="auto"/>
                <w:spacing w:val="-2"/>
                <w:highlight w:val="none"/>
              </w:rPr>
              <w:t>地点</w:t>
            </w:r>
          </w:p>
        </w:tc>
        <w:tc>
          <w:tcPr>
            <w:tcW w:w="830" w:type="dxa"/>
            <w:vAlign w:val="top"/>
          </w:tcPr>
          <w:p w14:paraId="3E6915DC">
            <w:pPr>
              <w:spacing w:line="266" w:lineRule="auto"/>
              <w:rPr>
                <w:rFonts w:ascii="Arial"/>
                <w:color w:val="auto"/>
                <w:sz w:val="21"/>
                <w:highlight w:val="none"/>
              </w:rPr>
            </w:pPr>
          </w:p>
          <w:p w14:paraId="245FA1E6">
            <w:pPr>
              <w:pStyle w:val="11"/>
              <w:spacing w:before="69" w:line="222" w:lineRule="auto"/>
              <w:ind w:left="217"/>
              <w:rPr>
                <w:color w:val="auto"/>
                <w:highlight w:val="none"/>
              </w:rPr>
            </w:pPr>
            <w:r>
              <w:rPr>
                <w:color w:val="auto"/>
                <w:spacing w:val="-3"/>
                <w:highlight w:val="none"/>
              </w:rPr>
              <w:t>备注</w:t>
            </w:r>
          </w:p>
        </w:tc>
      </w:tr>
      <w:tr w14:paraId="1EE4C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14:paraId="34786146">
            <w:pPr>
              <w:rPr>
                <w:rFonts w:ascii="Arial"/>
                <w:color w:val="auto"/>
                <w:sz w:val="21"/>
                <w:highlight w:val="none"/>
              </w:rPr>
            </w:pPr>
          </w:p>
        </w:tc>
        <w:tc>
          <w:tcPr>
            <w:tcW w:w="1761" w:type="dxa"/>
            <w:vAlign w:val="top"/>
          </w:tcPr>
          <w:p w14:paraId="3708FCEE">
            <w:pPr>
              <w:rPr>
                <w:rFonts w:ascii="Arial"/>
                <w:color w:val="auto"/>
                <w:sz w:val="21"/>
                <w:highlight w:val="none"/>
              </w:rPr>
            </w:pPr>
          </w:p>
        </w:tc>
        <w:tc>
          <w:tcPr>
            <w:tcW w:w="826" w:type="dxa"/>
            <w:vAlign w:val="top"/>
          </w:tcPr>
          <w:p w14:paraId="3D3497CE">
            <w:pPr>
              <w:rPr>
                <w:rFonts w:ascii="Arial"/>
                <w:color w:val="auto"/>
                <w:sz w:val="21"/>
                <w:highlight w:val="none"/>
              </w:rPr>
            </w:pPr>
          </w:p>
        </w:tc>
        <w:tc>
          <w:tcPr>
            <w:tcW w:w="825" w:type="dxa"/>
            <w:vAlign w:val="top"/>
          </w:tcPr>
          <w:p w14:paraId="57A391E1">
            <w:pPr>
              <w:rPr>
                <w:rFonts w:ascii="Arial"/>
                <w:color w:val="auto"/>
                <w:sz w:val="21"/>
                <w:highlight w:val="none"/>
              </w:rPr>
            </w:pPr>
          </w:p>
        </w:tc>
        <w:tc>
          <w:tcPr>
            <w:tcW w:w="844" w:type="dxa"/>
            <w:vAlign w:val="top"/>
          </w:tcPr>
          <w:p w14:paraId="2DE84A38">
            <w:pPr>
              <w:rPr>
                <w:rFonts w:ascii="Arial"/>
                <w:color w:val="auto"/>
                <w:sz w:val="21"/>
                <w:highlight w:val="none"/>
              </w:rPr>
            </w:pPr>
          </w:p>
        </w:tc>
        <w:tc>
          <w:tcPr>
            <w:tcW w:w="1209" w:type="dxa"/>
            <w:vAlign w:val="top"/>
          </w:tcPr>
          <w:p w14:paraId="2CABE68D">
            <w:pPr>
              <w:rPr>
                <w:rFonts w:ascii="Arial"/>
                <w:color w:val="auto"/>
                <w:sz w:val="21"/>
                <w:highlight w:val="none"/>
              </w:rPr>
            </w:pPr>
          </w:p>
        </w:tc>
        <w:tc>
          <w:tcPr>
            <w:tcW w:w="1397" w:type="dxa"/>
            <w:vAlign w:val="top"/>
          </w:tcPr>
          <w:p w14:paraId="68C99AF9">
            <w:pPr>
              <w:rPr>
                <w:rFonts w:ascii="Arial"/>
                <w:color w:val="auto"/>
                <w:sz w:val="21"/>
                <w:highlight w:val="none"/>
              </w:rPr>
            </w:pPr>
          </w:p>
        </w:tc>
        <w:tc>
          <w:tcPr>
            <w:tcW w:w="830" w:type="dxa"/>
            <w:vAlign w:val="top"/>
          </w:tcPr>
          <w:p w14:paraId="233E2666">
            <w:pPr>
              <w:rPr>
                <w:rFonts w:ascii="Arial"/>
                <w:color w:val="auto"/>
                <w:sz w:val="21"/>
                <w:highlight w:val="none"/>
              </w:rPr>
            </w:pPr>
          </w:p>
        </w:tc>
      </w:tr>
      <w:tr w14:paraId="35B98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14:paraId="40FD330D">
            <w:pPr>
              <w:rPr>
                <w:rFonts w:ascii="Arial"/>
                <w:color w:val="auto"/>
                <w:sz w:val="21"/>
                <w:highlight w:val="none"/>
              </w:rPr>
            </w:pPr>
          </w:p>
        </w:tc>
        <w:tc>
          <w:tcPr>
            <w:tcW w:w="1761" w:type="dxa"/>
            <w:vAlign w:val="top"/>
          </w:tcPr>
          <w:p w14:paraId="671AB9DC">
            <w:pPr>
              <w:rPr>
                <w:rFonts w:ascii="Arial"/>
                <w:color w:val="auto"/>
                <w:sz w:val="21"/>
                <w:highlight w:val="none"/>
              </w:rPr>
            </w:pPr>
          </w:p>
        </w:tc>
        <w:tc>
          <w:tcPr>
            <w:tcW w:w="826" w:type="dxa"/>
            <w:vAlign w:val="top"/>
          </w:tcPr>
          <w:p w14:paraId="263537D5">
            <w:pPr>
              <w:rPr>
                <w:rFonts w:ascii="Arial"/>
                <w:color w:val="auto"/>
                <w:sz w:val="21"/>
                <w:highlight w:val="none"/>
              </w:rPr>
            </w:pPr>
          </w:p>
        </w:tc>
        <w:tc>
          <w:tcPr>
            <w:tcW w:w="825" w:type="dxa"/>
            <w:vAlign w:val="top"/>
          </w:tcPr>
          <w:p w14:paraId="61AB9601">
            <w:pPr>
              <w:rPr>
                <w:rFonts w:ascii="Arial"/>
                <w:color w:val="auto"/>
                <w:sz w:val="21"/>
                <w:highlight w:val="none"/>
              </w:rPr>
            </w:pPr>
          </w:p>
        </w:tc>
        <w:tc>
          <w:tcPr>
            <w:tcW w:w="844" w:type="dxa"/>
            <w:vAlign w:val="top"/>
          </w:tcPr>
          <w:p w14:paraId="6F364F3F">
            <w:pPr>
              <w:rPr>
                <w:rFonts w:ascii="Arial"/>
                <w:color w:val="auto"/>
                <w:sz w:val="21"/>
                <w:highlight w:val="none"/>
              </w:rPr>
            </w:pPr>
          </w:p>
        </w:tc>
        <w:tc>
          <w:tcPr>
            <w:tcW w:w="1209" w:type="dxa"/>
            <w:vAlign w:val="top"/>
          </w:tcPr>
          <w:p w14:paraId="6ABE46DD">
            <w:pPr>
              <w:rPr>
                <w:rFonts w:ascii="Arial"/>
                <w:color w:val="auto"/>
                <w:sz w:val="21"/>
                <w:highlight w:val="none"/>
              </w:rPr>
            </w:pPr>
          </w:p>
        </w:tc>
        <w:tc>
          <w:tcPr>
            <w:tcW w:w="1397" w:type="dxa"/>
            <w:vAlign w:val="top"/>
          </w:tcPr>
          <w:p w14:paraId="7EB5FFFA">
            <w:pPr>
              <w:rPr>
                <w:rFonts w:ascii="Arial"/>
                <w:color w:val="auto"/>
                <w:sz w:val="21"/>
                <w:highlight w:val="none"/>
              </w:rPr>
            </w:pPr>
          </w:p>
        </w:tc>
        <w:tc>
          <w:tcPr>
            <w:tcW w:w="830" w:type="dxa"/>
            <w:vAlign w:val="top"/>
          </w:tcPr>
          <w:p w14:paraId="28610E18">
            <w:pPr>
              <w:rPr>
                <w:rFonts w:ascii="Arial"/>
                <w:color w:val="auto"/>
                <w:sz w:val="21"/>
                <w:highlight w:val="none"/>
              </w:rPr>
            </w:pPr>
          </w:p>
        </w:tc>
      </w:tr>
      <w:tr w14:paraId="09A74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619" w:type="dxa"/>
            <w:vAlign w:val="top"/>
          </w:tcPr>
          <w:p w14:paraId="4478D1A3">
            <w:pPr>
              <w:rPr>
                <w:rFonts w:ascii="Arial"/>
                <w:color w:val="auto"/>
                <w:sz w:val="21"/>
                <w:highlight w:val="none"/>
              </w:rPr>
            </w:pPr>
          </w:p>
        </w:tc>
        <w:tc>
          <w:tcPr>
            <w:tcW w:w="1761" w:type="dxa"/>
            <w:vAlign w:val="top"/>
          </w:tcPr>
          <w:p w14:paraId="783B7944">
            <w:pPr>
              <w:rPr>
                <w:rFonts w:ascii="Arial"/>
                <w:color w:val="auto"/>
                <w:sz w:val="21"/>
                <w:highlight w:val="none"/>
              </w:rPr>
            </w:pPr>
          </w:p>
        </w:tc>
        <w:tc>
          <w:tcPr>
            <w:tcW w:w="826" w:type="dxa"/>
            <w:vAlign w:val="top"/>
          </w:tcPr>
          <w:p w14:paraId="22D07D3A">
            <w:pPr>
              <w:rPr>
                <w:rFonts w:ascii="Arial"/>
                <w:color w:val="auto"/>
                <w:sz w:val="21"/>
                <w:highlight w:val="none"/>
              </w:rPr>
            </w:pPr>
          </w:p>
        </w:tc>
        <w:tc>
          <w:tcPr>
            <w:tcW w:w="825" w:type="dxa"/>
            <w:vAlign w:val="top"/>
          </w:tcPr>
          <w:p w14:paraId="6D0F1928">
            <w:pPr>
              <w:rPr>
                <w:rFonts w:ascii="Arial"/>
                <w:color w:val="auto"/>
                <w:sz w:val="21"/>
                <w:highlight w:val="none"/>
              </w:rPr>
            </w:pPr>
          </w:p>
        </w:tc>
        <w:tc>
          <w:tcPr>
            <w:tcW w:w="844" w:type="dxa"/>
            <w:vAlign w:val="top"/>
          </w:tcPr>
          <w:p w14:paraId="081A69B4">
            <w:pPr>
              <w:rPr>
                <w:rFonts w:ascii="Arial"/>
                <w:color w:val="auto"/>
                <w:sz w:val="21"/>
                <w:highlight w:val="none"/>
              </w:rPr>
            </w:pPr>
          </w:p>
        </w:tc>
        <w:tc>
          <w:tcPr>
            <w:tcW w:w="1209" w:type="dxa"/>
            <w:vAlign w:val="top"/>
          </w:tcPr>
          <w:p w14:paraId="57DC7FB6">
            <w:pPr>
              <w:rPr>
                <w:rFonts w:ascii="Arial"/>
                <w:color w:val="auto"/>
                <w:sz w:val="21"/>
                <w:highlight w:val="none"/>
              </w:rPr>
            </w:pPr>
          </w:p>
        </w:tc>
        <w:tc>
          <w:tcPr>
            <w:tcW w:w="1397" w:type="dxa"/>
            <w:vAlign w:val="top"/>
          </w:tcPr>
          <w:p w14:paraId="734CDB3A">
            <w:pPr>
              <w:rPr>
                <w:rFonts w:ascii="Arial"/>
                <w:color w:val="auto"/>
                <w:sz w:val="21"/>
                <w:highlight w:val="none"/>
              </w:rPr>
            </w:pPr>
          </w:p>
        </w:tc>
        <w:tc>
          <w:tcPr>
            <w:tcW w:w="830" w:type="dxa"/>
            <w:vAlign w:val="top"/>
          </w:tcPr>
          <w:p w14:paraId="23521CF0">
            <w:pPr>
              <w:rPr>
                <w:rFonts w:ascii="Arial"/>
                <w:color w:val="auto"/>
                <w:sz w:val="21"/>
                <w:highlight w:val="none"/>
              </w:rPr>
            </w:pPr>
          </w:p>
        </w:tc>
      </w:tr>
      <w:tr w14:paraId="3B9FB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14:paraId="0929F457">
            <w:pPr>
              <w:rPr>
                <w:rFonts w:ascii="Arial"/>
                <w:color w:val="auto"/>
                <w:sz w:val="21"/>
                <w:highlight w:val="none"/>
              </w:rPr>
            </w:pPr>
          </w:p>
        </w:tc>
        <w:tc>
          <w:tcPr>
            <w:tcW w:w="1761" w:type="dxa"/>
            <w:vAlign w:val="top"/>
          </w:tcPr>
          <w:p w14:paraId="4C3437E5">
            <w:pPr>
              <w:rPr>
                <w:rFonts w:ascii="Arial"/>
                <w:color w:val="auto"/>
                <w:sz w:val="21"/>
                <w:highlight w:val="none"/>
              </w:rPr>
            </w:pPr>
          </w:p>
        </w:tc>
        <w:tc>
          <w:tcPr>
            <w:tcW w:w="826" w:type="dxa"/>
            <w:vAlign w:val="top"/>
          </w:tcPr>
          <w:p w14:paraId="6A119881">
            <w:pPr>
              <w:rPr>
                <w:rFonts w:ascii="Arial"/>
                <w:color w:val="auto"/>
                <w:sz w:val="21"/>
                <w:highlight w:val="none"/>
              </w:rPr>
            </w:pPr>
          </w:p>
        </w:tc>
        <w:tc>
          <w:tcPr>
            <w:tcW w:w="825" w:type="dxa"/>
            <w:vAlign w:val="top"/>
          </w:tcPr>
          <w:p w14:paraId="02418578">
            <w:pPr>
              <w:rPr>
                <w:rFonts w:ascii="Arial"/>
                <w:color w:val="auto"/>
                <w:sz w:val="21"/>
                <w:highlight w:val="none"/>
              </w:rPr>
            </w:pPr>
          </w:p>
        </w:tc>
        <w:tc>
          <w:tcPr>
            <w:tcW w:w="844" w:type="dxa"/>
            <w:vAlign w:val="top"/>
          </w:tcPr>
          <w:p w14:paraId="6B9BF0E3">
            <w:pPr>
              <w:rPr>
                <w:rFonts w:ascii="Arial"/>
                <w:color w:val="auto"/>
                <w:sz w:val="21"/>
                <w:highlight w:val="none"/>
              </w:rPr>
            </w:pPr>
          </w:p>
        </w:tc>
        <w:tc>
          <w:tcPr>
            <w:tcW w:w="1209" w:type="dxa"/>
            <w:vAlign w:val="top"/>
          </w:tcPr>
          <w:p w14:paraId="424F4EB6">
            <w:pPr>
              <w:rPr>
                <w:rFonts w:ascii="Arial"/>
                <w:color w:val="auto"/>
                <w:sz w:val="21"/>
                <w:highlight w:val="none"/>
              </w:rPr>
            </w:pPr>
          </w:p>
        </w:tc>
        <w:tc>
          <w:tcPr>
            <w:tcW w:w="1397" w:type="dxa"/>
            <w:vAlign w:val="top"/>
          </w:tcPr>
          <w:p w14:paraId="2B4FEAC6">
            <w:pPr>
              <w:rPr>
                <w:rFonts w:ascii="Arial"/>
                <w:color w:val="auto"/>
                <w:sz w:val="21"/>
                <w:highlight w:val="none"/>
              </w:rPr>
            </w:pPr>
          </w:p>
        </w:tc>
        <w:tc>
          <w:tcPr>
            <w:tcW w:w="830" w:type="dxa"/>
            <w:vAlign w:val="top"/>
          </w:tcPr>
          <w:p w14:paraId="3C855458">
            <w:pPr>
              <w:rPr>
                <w:rFonts w:ascii="Arial"/>
                <w:color w:val="auto"/>
                <w:sz w:val="21"/>
                <w:highlight w:val="none"/>
              </w:rPr>
            </w:pPr>
          </w:p>
        </w:tc>
      </w:tr>
      <w:tr w14:paraId="7D88E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14:paraId="0601834B">
            <w:pPr>
              <w:rPr>
                <w:rFonts w:ascii="Arial"/>
                <w:color w:val="auto"/>
                <w:sz w:val="21"/>
                <w:highlight w:val="none"/>
              </w:rPr>
            </w:pPr>
          </w:p>
        </w:tc>
        <w:tc>
          <w:tcPr>
            <w:tcW w:w="1761" w:type="dxa"/>
            <w:vAlign w:val="top"/>
          </w:tcPr>
          <w:p w14:paraId="50A9F623">
            <w:pPr>
              <w:rPr>
                <w:rFonts w:ascii="Arial"/>
                <w:color w:val="auto"/>
                <w:sz w:val="21"/>
                <w:highlight w:val="none"/>
              </w:rPr>
            </w:pPr>
          </w:p>
        </w:tc>
        <w:tc>
          <w:tcPr>
            <w:tcW w:w="826" w:type="dxa"/>
            <w:vAlign w:val="top"/>
          </w:tcPr>
          <w:p w14:paraId="756C459D">
            <w:pPr>
              <w:rPr>
                <w:rFonts w:ascii="Arial"/>
                <w:color w:val="auto"/>
                <w:sz w:val="21"/>
                <w:highlight w:val="none"/>
              </w:rPr>
            </w:pPr>
          </w:p>
        </w:tc>
        <w:tc>
          <w:tcPr>
            <w:tcW w:w="825" w:type="dxa"/>
            <w:vAlign w:val="top"/>
          </w:tcPr>
          <w:p w14:paraId="2905B899">
            <w:pPr>
              <w:rPr>
                <w:rFonts w:ascii="Arial"/>
                <w:color w:val="auto"/>
                <w:sz w:val="21"/>
                <w:highlight w:val="none"/>
              </w:rPr>
            </w:pPr>
          </w:p>
        </w:tc>
        <w:tc>
          <w:tcPr>
            <w:tcW w:w="844" w:type="dxa"/>
            <w:vAlign w:val="top"/>
          </w:tcPr>
          <w:p w14:paraId="3EC6AE2B">
            <w:pPr>
              <w:rPr>
                <w:rFonts w:ascii="Arial"/>
                <w:color w:val="auto"/>
                <w:sz w:val="21"/>
                <w:highlight w:val="none"/>
              </w:rPr>
            </w:pPr>
          </w:p>
        </w:tc>
        <w:tc>
          <w:tcPr>
            <w:tcW w:w="1209" w:type="dxa"/>
            <w:vAlign w:val="top"/>
          </w:tcPr>
          <w:p w14:paraId="42DAAA84">
            <w:pPr>
              <w:rPr>
                <w:rFonts w:ascii="Arial"/>
                <w:color w:val="auto"/>
                <w:sz w:val="21"/>
                <w:highlight w:val="none"/>
              </w:rPr>
            </w:pPr>
          </w:p>
        </w:tc>
        <w:tc>
          <w:tcPr>
            <w:tcW w:w="1397" w:type="dxa"/>
            <w:vAlign w:val="top"/>
          </w:tcPr>
          <w:p w14:paraId="1A55E738">
            <w:pPr>
              <w:rPr>
                <w:rFonts w:ascii="Arial"/>
                <w:color w:val="auto"/>
                <w:sz w:val="21"/>
                <w:highlight w:val="none"/>
              </w:rPr>
            </w:pPr>
          </w:p>
        </w:tc>
        <w:tc>
          <w:tcPr>
            <w:tcW w:w="830" w:type="dxa"/>
            <w:vAlign w:val="top"/>
          </w:tcPr>
          <w:p w14:paraId="5C020931">
            <w:pPr>
              <w:rPr>
                <w:rFonts w:ascii="Arial"/>
                <w:color w:val="auto"/>
                <w:sz w:val="21"/>
                <w:highlight w:val="none"/>
              </w:rPr>
            </w:pPr>
          </w:p>
        </w:tc>
      </w:tr>
      <w:tr w14:paraId="0EEE8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14:paraId="41FD26E7">
            <w:pPr>
              <w:rPr>
                <w:rFonts w:ascii="Arial"/>
                <w:color w:val="auto"/>
                <w:sz w:val="21"/>
                <w:highlight w:val="none"/>
              </w:rPr>
            </w:pPr>
          </w:p>
        </w:tc>
        <w:tc>
          <w:tcPr>
            <w:tcW w:w="1761" w:type="dxa"/>
            <w:vAlign w:val="top"/>
          </w:tcPr>
          <w:p w14:paraId="12620D4C">
            <w:pPr>
              <w:rPr>
                <w:rFonts w:ascii="Arial"/>
                <w:color w:val="auto"/>
                <w:sz w:val="21"/>
                <w:highlight w:val="none"/>
              </w:rPr>
            </w:pPr>
          </w:p>
        </w:tc>
        <w:tc>
          <w:tcPr>
            <w:tcW w:w="826" w:type="dxa"/>
            <w:vAlign w:val="top"/>
          </w:tcPr>
          <w:p w14:paraId="359512CF">
            <w:pPr>
              <w:rPr>
                <w:rFonts w:ascii="Arial"/>
                <w:color w:val="auto"/>
                <w:sz w:val="21"/>
                <w:highlight w:val="none"/>
              </w:rPr>
            </w:pPr>
          </w:p>
        </w:tc>
        <w:tc>
          <w:tcPr>
            <w:tcW w:w="825" w:type="dxa"/>
            <w:vAlign w:val="top"/>
          </w:tcPr>
          <w:p w14:paraId="112E70D1">
            <w:pPr>
              <w:rPr>
                <w:rFonts w:ascii="Arial"/>
                <w:color w:val="auto"/>
                <w:sz w:val="21"/>
                <w:highlight w:val="none"/>
              </w:rPr>
            </w:pPr>
          </w:p>
        </w:tc>
        <w:tc>
          <w:tcPr>
            <w:tcW w:w="844" w:type="dxa"/>
            <w:vAlign w:val="top"/>
          </w:tcPr>
          <w:p w14:paraId="69589347">
            <w:pPr>
              <w:rPr>
                <w:rFonts w:ascii="Arial"/>
                <w:color w:val="auto"/>
                <w:sz w:val="21"/>
                <w:highlight w:val="none"/>
              </w:rPr>
            </w:pPr>
          </w:p>
        </w:tc>
        <w:tc>
          <w:tcPr>
            <w:tcW w:w="1209" w:type="dxa"/>
            <w:vAlign w:val="top"/>
          </w:tcPr>
          <w:p w14:paraId="736003CD">
            <w:pPr>
              <w:rPr>
                <w:rFonts w:ascii="Arial"/>
                <w:color w:val="auto"/>
                <w:sz w:val="21"/>
                <w:highlight w:val="none"/>
              </w:rPr>
            </w:pPr>
          </w:p>
        </w:tc>
        <w:tc>
          <w:tcPr>
            <w:tcW w:w="1397" w:type="dxa"/>
            <w:vAlign w:val="top"/>
          </w:tcPr>
          <w:p w14:paraId="3BAB0A05">
            <w:pPr>
              <w:rPr>
                <w:rFonts w:ascii="Arial"/>
                <w:color w:val="auto"/>
                <w:sz w:val="21"/>
                <w:highlight w:val="none"/>
              </w:rPr>
            </w:pPr>
          </w:p>
        </w:tc>
        <w:tc>
          <w:tcPr>
            <w:tcW w:w="830" w:type="dxa"/>
            <w:vAlign w:val="top"/>
          </w:tcPr>
          <w:p w14:paraId="62343905">
            <w:pPr>
              <w:rPr>
                <w:rFonts w:ascii="Arial"/>
                <w:color w:val="auto"/>
                <w:sz w:val="21"/>
                <w:highlight w:val="none"/>
              </w:rPr>
            </w:pPr>
          </w:p>
        </w:tc>
      </w:tr>
      <w:tr w14:paraId="033BA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14:paraId="64085258">
            <w:pPr>
              <w:rPr>
                <w:rFonts w:ascii="Arial"/>
                <w:color w:val="auto"/>
                <w:sz w:val="21"/>
                <w:highlight w:val="none"/>
              </w:rPr>
            </w:pPr>
          </w:p>
        </w:tc>
        <w:tc>
          <w:tcPr>
            <w:tcW w:w="1761" w:type="dxa"/>
            <w:vAlign w:val="top"/>
          </w:tcPr>
          <w:p w14:paraId="61744B53">
            <w:pPr>
              <w:rPr>
                <w:rFonts w:ascii="Arial"/>
                <w:color w:val="auto"/>
                <w:sz w:val="21"/>
                <w:highlight w:val="none"/>
              </w:rPr>
            </w:pPr>
          </w:p>
        </w:tc>
        <w:tc>
          <w:tcPr>
            <w:tcW w:w="826" w:type="dxa"/>
            <w:vAlign w:val="top"/>
          </w:tcPr>
          <w:p w14:paraId="618DB8B5">
            <w:pPr>
              <w:rPr>
                <w:rFonts w:ascii="Arial"/>
                <w:color w:val="auto"/>
                <w:sz w:val="21"/>
                <w:highlight w:val="none"/>
              </w:rPr>
            </w:pPr>
          </w:p>
        </w:tc>
        <w:tc>
          <w:tcPr>
            <w:tcW w:w="825" w:type="dxa"/>
            <w:vAlign w:val="top"/>
          </w:tcPr>
          <w:p w14:paraId="6188044D">
            <w:pPr>
              <w:rPr>
                <w:rFonts w:ascii="Arial"/>
                <w:color w:val="auto"/>
                <w:sz w:val="21"/>
                <w:highlight w:val="none"/>
              </w:rPr>
            </w:pPr>
          </w:p>
        </w:tc>
        <w:tc>
          <w:tcPr>
            <w:tcW w:w="844" w:type="dxa"/>
            <w:vAlign w:val="top"/>
          </w:tcPr>
          <w:p w14:paraId="4E3FD923">
            <w:pPr>
              <w:rPr>
                <w:rFonts w:ascii="Arial"/>
                <w:color w:val="auto"/>
                <w:sz w:val="21"/>
                <w:highlight w:val="none"/>
              </w:rPr>
            </w:pPr>
          </w:p>
        </w:tc>
        <w:tc>
          <w:tcPr>
            <w:tcW w:w="1209" w:type="dxa"/>
            <w:vAlign w:val="top"/>
          </w:tcPr>
          <w:p w14:paraId="33FC91C2">
            <w:pPr>
              <w:rPr>
                <w:rFonts w:ascii="Arial"/>
                <w:color w:val="auto"/>
                <w:sz w:val="21"/>
                <w:highlight w:val="none"/>
              </w:rPr>
            </w:pPr>
          </w:p>
        </w:tc>
        <w:tc>
          <w:tcPr>
            <w:tcW w:w="1397" w:type="dxa"/>
            <w:vAlign w:val="top"/>
          </w:tcPr>
          <w:p w14:paraId="1FB84F06">
            <w:pPr>
              <w:rPr>
                <w:rFonts w:ascii="Arial"/>
                <w:color w:val="auto"/>
                <w:sz w:val="21"/>
                <w:highlight w:val="none"/>
              </w:rPr>
            </w:pPr>
          </w:p>
        </w:tc>
        <w:tc>
          <w:tcPr>
            <w:tcW w:w="830" w:type="dxa"/>
            <w:vAlign w:val="top"/>
          </w:tcPr>
          <w:p w14:paraId="1A224E04">
            <w:pPr>
              <w:rPr>
                <w:rFonts w:ascii="Arial"/>
                <w:color w:val="auto"/>
                <w:sz w:val="21"/>
                <w:highlight w:val="none"/>
              </w:rPr>
            </w:pPr>
          </w:p>
        </w:tc>
      </w:tr>
      <w:tr w14:paraId="213CE5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14:paraId="293B67F5">
            <w:pPr>
              <w:rPr>
                <w:rFonts w:ascii="Arial"/>
                <w:color w:val="auto"/>
                <w:sz w:val="21"/>
                <w:highlight w:val="none"/>
              </w:rPr>
            </w:pPr>
          </w:p>
        </w:tc>
        <w:tc>
          <w:tcPr>
            <w:tcW w:w="1761" w:type="dxa"/>
            <w:vAlign w:val="top"/>
          </w:tcPr>
          <w:p w14:paraId="0581ADEF">
            <w:pPr>
              <w:rPr>
                <w:rFonts w:ascii="Arial"/>
                <w:color w:val="auto"/>
                <w:sz w:val="21"/>
                <w:highlight w:val="none"/>
              </w:rPr>
            </w:pPr>
          </w:p>
        </w:tc>
        <w:tc>
          <w:tcPr>
            <w:tcW w:w="826" w:type="dxa"/>
            <w:vAlign w:val="top"/>
          </w:tcPr>
          <w:p w14:paraId="2F2DC953">
            <w:pPr>
              <w:rPr>
                <w:rFonts w:ascii="Arial"/>
                <w:color w:val="auto"/>
                <w:sz w:val="21"/>
                <w:highlight w:val="none"/>
              </w:rPr>
            </w:pPr>
          </w:p>
        </w:tc>
        <w:tc>
          <w:tcPr>
            <w:tcW w:w="825" w:type="dxa"/>
            <w:vAlign w:val="top"/>
          </w:tcPr>
          <w:p w14:paraId="21020B8F">
            <w:pPr>
              <w:rPr>
                <w:rFonts w:ascii="Arial"/>
                <w:color w:val="auto"/>
                <w:sz w:val="21"/>
                <w:highlight w:val="none"/>
              </w:rPr>
            </w:pPr>
          </w:p>
        </w:tc>
        <w:tc>
          <w:tcPr>
            <w:tcW w:w="844" w:type="dxa"/>
            <w:vAlign w:val="top"/>
          </w:tcPr>
          <w:p w14:paraId="3E17B5A4">
            <w:pPr>
              <w:rPr>
                <w:rFonts w:ascii="Arial"/>
                <w:color w:val="auto"/>
                <w:sz w:val="21"/>
                <w:highlight w:val="none"/>
              </w:rPr>
            </w:pPr>
          </w:p>
        </w:tc>
        <w:tc>
          <w:tcPr>
            <w:tcW w:w="1209" w:type="dxa"/>
            <w:vAlign w:val="top"/>
          </w:tcPr>
          <w:p w14:paraId="5129F92F">
            <w:pPr>
              <w:rPr>
                <w:rFonts w:ascii="Arial"/>
                <w:color w:val="auto"/>
                <w:sz w:val="21"/>
                <w:highlight w:val="none"/>
              </w:rPr>
            </w:pPr>
          </w:p>
        </w:tc>
        <w:tc>
          <w:tcPr>
            <w:tcW w:w="1397" w:type="dxa"/>
            <w:vAlign w:val="top"/>
          </w:tcPr>
          <w:p w14:paraId="6A20C821">
            <w:pPr>
              <w:rPr>
                <w:rFonts w:ascii="Arial"/>
                <w:color w:val="auto"/>
                <w:sz w:val="21"/>
                <w:highlight w:val="none"/>
              </w:rPr>
            </w:pPr>
          </w:p>
        </w:tc>
        <w:tc>
          <w:tcPr>
            <w:tcW w:w="830" w:type="dxa"/>
            <w:vAlign w:val="top"/>
          </w:tcPr>
          <w:p w14:paraId="57E80220">
            <w:pPr>
              <w:rPr>
                <w:rFonts w:ascii="Arial"/>
                <w:color w:val="auto"/>
                <w:sz w:val="21"/>
                <w:highlight w:val="none"/>
              </w:rPr>
            </w:pPr>
          </w:p>
        </w:tc>
      </w:tr>
      <w:tr w14:paraId="452E4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14:paraId="46CBB363">
            <w:pPr>
              <w:rPr>
                <w:rFonts w:ascii="Arial"/>
                <w:color w:val="auto"/>
                <w:sz w:val="21"/>
                <w:highlight w:val="none"/>
              </w:rPr>
            </w:pPr>
          </w:p>
        </w:tc>
        <w:tc>
          <w:tcPr>
            <w:tcW w:w="1761" w:type="dxa"/>
            <w:vAlign w:val="top"/>
          </w:tcPr>
          <w:p w14:paraId="3BD80ED6">
            <w:pPr>
              <w:rPr>
                <w:rFonts w:ascii="Arial"/>
                <w:color w:val="auto"/>
                <w:sz w:val="21"/>
                <w:highlight w:val="none"/>
              </w:rPr>
            </w:pPr>
          </w:p>
        </w:tc>
        <w:tc>
          <w:tcPr>
            <w:tcW w:w="826" w:type="dxa"/>
            <w:vAlign w:val="top"/>
          </w:tcPr>
          <w:p w14:paraId="374D4B5D">
            <w:pPr>
              <w:rPr>
                <w:rFonts w:ascii="Arial"/>
                <w:color w:val="auto"/>
                <w:sz w:val="21"/>
                <w:highlight w:val="none"/>
              </w:rPr>
            </w:pPr>
          </w:p>
        </w:tc>
        <w:tc>
          <w:tcPr>
            <w:tcW w:w="825" w:type="dxa"/>
            <w:vAlign w:val="top"/>
          </w:tcPr>
          <w:p w14:paraId="4A64B592">
            <w:pPr>
              <w:rPr>
                <w:rFonts w:ascii="Arial"/>
                <w:color w:val="auto"/>
                <w:sz w:val="21"/>
                <w:highlight w:val="none"/>
              </w:rPr>
            </w:pPr>
          </w:p>
        </w:tc>
        <w:tc>
          <w:tcPr>
            <w:tcW w:w="844" w:type="dxa"/>
            <w:vAlign w:val="top"/>
          </w:tcPr>
          <w:p w14:paraId="1064CCAC">
            <w:pPr>
              <w:rPr>
                <w:rFonts w:ascii="Arial"/>
                <w:color w:val="auto"/>
                <w:sz w:val="21"/>
                <w:highlight w:val="none"/>
              </w:rPr>
            </w:pPr>
          </w:p>
        </w:tc>
        <w:tc>
          <w:tcPr>
            <w:tcW w:w="1209" w:type="dxa"/>
            <w:vAlign w:val="top"/>
          </w:tcPr>
          <w:p w14:paraId="2FF7F46B">
            <w:pPr>
              <w:rPr>
                <w:rFonts w:ascii="Arial"/>
                <w:color w:val="auto"/>
                <w:sz w:val="21"/>
                <w:highlight w:val="none"/>
              </w:rPr>
            </w:pPr>
          </w:p>
        </w:tc>
        <w:tc>
          <w:tcPr>
            <w:tcW w:w="1397" w:type="dxa"/>
            <w:vAlign w:val="top"/>
          </w:tcPr>
          <w:p w14:paraId="407F3815">
            <w:pPr>
              <w:rPr>
                <w:rFonts w:ascii="Arial"/>
                <w:color w:val="auto"/>
                <w:sz w:val="21"/>
                <w:highlight w:val="none"/>
              </w:rPr>
            </w:pPr>
          </w:p>
        </w:tc>
        <w:tc>
          <w:tcPr>
            <w:tcW w:w="830" w:type="dxa"/>
            <w:vAlign w:val="top"/>
          </w:tcPr>
          <w:p w14:paraId="5CD34995">
            <w:pPr>
              <w:rPr>
                <w:rFonts w:ascii="Arial"/>
                <w:color w:val="auto"/>
                <w:sz w:val="21"/>
                <w:highlight w:val="none"/>
              </w:rPr>
            </w:pPr>
          </w:p>
        </w:tc>
      </w:tr>
      <w:tr w14:paraId="6F32B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14:paraId="5D1A1D3A">
            <w:pPr>
              <w:rPr>
                <w:rFonts w:ascii="Arial"/>
                <w:color w:val="auto"/>
                <w:sz w:val="21"/>
                <w:highlight w:val="none"/>
              </w:rPr>
            </w:pPr>
          </w:p>
        </w:tc>
        <w:tc>
          <w:tcPr>
            <w:tcW w:w="1761" w:type="dxa"/>
            <w:vAlign w:val="top"/>
          </w:tcPr>
          <w:p w14:paraId="62EE2DAB">
            <w:pPr>
              <w:rPr>
                <w:rFonts w:ascii="Arial"/>
                <w:color w:val="auto"/>
                <w:sz w:val="21"/>
                <w:highlight w:val="none"/>
              </w:rPr>
            </w:pPr>
          </w:p>
        </w:tc>
        <w:tc>
          <w:tcPr>
            <w:tcW w:w="826" w:type="dxa"/>
            <w:vAlign w:val="top"/>
          </w:tcPr>
          <w:p w14:paraId="2DC314CE">
            <w:pPr>
              <w:rPr>
                <w:rFonts w:ascii="Arial"/>
                <w:color w:val="auto"/>
                <w:sz w:val="21"/>
                <w:highlight w:val="none"/>
              </w:rPr>
            </w:pPr>
          </w:p>
        </w:tc>
        <w:tc>
          <w:tcPr>
            <w:tcW w:w="825" w:type="dxa"/>
            <w:vAlign w:val="top"/>
          </w:tcPr>
          <w:p w14:paraId="6DD982BF">
            <w:pPr>
              <w:rPr>
                <w:rFonts w:ascii="Arial"/>
                <w:color w:val="auto"/>
                <w:sz w:val="21"/>
                <w:highlight w:val="none"/>
              </w:rPr>
            </w:pPr>
          </w:p>
        </w:tc>
        <w:tc>
          <w:tcPr>
            <w:tcW w:w="844" w:type="dxa"/>
            <w:vAlign w:val="top"/>
          </w:tcPr>
          <w:p w14:paraId="2255C2F8">
            <w:pPr>
              <w:rPr>
                <w:rFonts w:ascii="Arial"/>
                <w:color w:val="auto"/>
                <w:sz w:val="21"/>
                <w:highlight w:val="none"/>
              </w:rPr>
            </w:pPr>
          </w:p>
        </w:tc>
        <w:tc>
          <w:tcPr>
            <w:tcW w:w="1209" w:type="dxa"/>
            <w:vAlign w:val="top"/>
          </w:tcPr>
          <w:p w14:paraId="5ABA32B4">
            <w:pPr>
              <w:rPr>
                <w:rFonts w:ascii="Arial"/>
                <w:color w:val="auto"/>
                <w:sz w:val="21"/>
                <w:highlight w:val="none"/>
              </w:rPr>
            </w:pPr>
          </w:p>
        </w:tc>
        <w:tc>
          <w:tcPr>
            <w:tcW w:w="1397" w:type="dxa"/>
            <w:vAlign w:val="top"/>
          </w:tcPr>
          <w:p w14:paraId="0D4A4A9D">
            <w:pPr>
              <w:rPr>
                <w:rFonts w:ascii="Arial"/>
                <w:color w:val="auto"/>
                <w:sz w:val="21"/>
                <w:highlight w:val="none"/>
              </w:rPr>
            </w:pPr>
          </w:p>
        </w:tc>
        <w:tc>
          <w:tcPr>
            <w:tcW w:w="830" w:type="dxa"/>
            <w:vAlign w:val="top"/>
          </w:tcPr>
          <w:p w14:paraId="15819958">
            <w:pPr>
              <w:rPr>
                <w:rFonts w:ascii="Arial"/>
                <w:color w:val="auto"/>
                <w:sz w:val="21"/>
                <w:highlight w:val="none"/>
              </w:rPr>
            </w:pPr>
          </w:p>
        </w:tc>
      </w:tr>
      <w:tr w14:paraId="407E7F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14:paraId="3C375E55">
            <w:pPr>
              <w:rPr>
                <w:rFonts w:ascii="Arial"/>
                <w:color w:val="auto"/>
                <w:sz w:val="21"/>
                <w:highlight w:val="none"/>
              </w:rPr>
            </w:pPr>
          </w:p>
        </w:tc>
        <w:tc>
          <w:tcPr>
            <w:tcW w:w="1761" w:type="dxa"/>
            <w:vAlign w:val="top"/>
          </w:tcPr>
          <w:p w14:paraId="59F5C59C">
            <w:pPr>
              <w:rPr>
                <w:rFonts w:ascii="Arial"/>
                <w:color w:val="auto"/>
                <w:sz w:val="21"/>
                <w:highlight w:val="none"/>
              </w:rPr>
            </w:pPr>
          </w:p>
        </w:tc>
        <w:tc>
          <w:tcPr>
            <w:tcW w:w="826" w:type="dxa"/>
            <w:vAlign w:val="top"/>
          </w:tcPr>
          <w:p w14:paraId="27DDF058">
            <w:pPr>
              <w:rPr>
                <w:rFonts w:ascii="Arial"/>
                <w:color w:val="auto"/>
                <w:sz w:val="21"/>
                <w:highlight w:val="none"/>
              </w:rPr>
            </w:pPr>
          </w:p>
        </w:tc>
        <w:tc>
          <w:tcPr>
            <w:tcW w:w="825" w:type="dxa"/>
            <w:vAlign w:val="top"/>
          </w:tcPr>
          <w:p w14:paraId="3B690752">
            <w:pPr>
              <w:rPr>
                <w:rFonts w:ascii="Arial"/>
                <w:color w:val="auto"/>
                <w:sz w:val="21"/>
                <w:highlight w:val="none"/>
              </w:rPr>
            </w:pPr>
          </w:p>
        </w:tc>
        <w:tc>
          <w:tcPr>
            <w:tcW w:w="844" w:type="dxa"/>
            <w:vAlign w:val="top"/>
          </w:tcPr>
          <w:p w14:paraId="53CD8902">
            <w:pPr>
              <w:rPr>
                <w:rFonts w:ascii="Arial"/>
                <w:color w:val="auto"/>
                <w:sz w:val="21"/>
                <w:highlight w:val="none"/>
              </w:rPr>
            </w:pPr>
          </w:p>
        </w:tc>
        <w:tc>
          <w:tcPr>
            <w:tcW w:w="1209" w:type="dxa"/>
            <w:vAlign w:val="top"/>
          </w:tcPr>
          <w:p w14:paraId="0EE0087C">
            <w:pPr>
              <w:rPr>
                <w:rFonts w:ascii="Arial"/>
                <w:color w:val="auto"/>
                <w:sz w:val="21"/>
                <w:highlight w:val="none"/>
              </w:rPr>
            </w:pPr>
          </w:p>
        </w:tc>
        <w:tc>
          <w:tcPr>
            <w:tcW w:w="1397" w:type="dxa"/>
            <w:vAlign w:val="top"/>
          </w:tcPr>
          <w:p w14:paraId="3B011578">
            <w:pPr>
              <w:rPr>
                <w:rFonts w:ascii="Arial"/>
                <w:color w:val="auto"/>
                <w:sz w:val="21"/>
                <w:highlight w:val="none"/>
              </w:rPr>
            </w:pPr>
          </w:p>
        </w:tc>
        <w:tc>
          <w:tcPr>
            <w:tcW w:w="830" w:type="dxa"/>
            <w:vAlign w:val="top"/>
          </w:tcPr>
          <w:p w14:paraId="6B03BBBE">
            <w:pPr>
              <w:rPr>
                <w:rFonts w:ascii="Arial"/>
                <w:color w:val="auto"/>
                <w:sz w:val="21"/>
                <w:highlight w:val="none"/>
              </w:rPr>
            </w:pPr>
          </w:p>
        </w:tc>
      </w:tr>
    </w:tbl>
    <w:p w14:paraId="595642EE">
      <w:pPr>
        <w:spacing w:before="269" w:line="186" w:lineRule="auto"/>
        <w:ind w:left="18"/>
        <w:rPr>
          <w:rFonts w:ascii="宋体" w:hAnsi="宋体" w:eastAsia="宋体" w:cs="宋体"/>
          <w:color w:val="auto"/>
          <w:sz w:val="21"/>
          <w:szCs w:val="21"/>
          <w:highlight w:val="none"/>
        </w:rPr>
      </w:pPr>
      <w:r>
        <w:rPr>
          <w:rFonts w:ascii="宋体" w:hAnsi="宋体" w:eastAsia="宋体" w:cs="宋体"/>
          <w:color w:val="auto"/>
          <w:sz w:val="21"/>
          <w:szCs w:val="21"/>
          <w:highlight w:val="none"/>
        </w:rPr>
        <w:t>注：此表由招标人填写，供投标人在投标报价、确定总承包服务</w:t>
      </w:r>
      <w:r>
        <w:rPr>
          <w:rFonts w:ascii="宋体" w:hAnsi="宋体" w:eastAsia="宋体" w:cs="宋体"/>
          <w:color w:val="auto"/>
          <w:spacing w:val="-1"/>
          <w:sz w:val="21"/>
          <w:szCs w:val="21"/>
          <w:highlight w:val="none"/>
        </w:rPr>
        <w:t>费时参考。</w:t>
      </w:r>
    </w:p>
    <w:p w14:paraId="5AA33585">
      <w:pPr>
        <w:spacing w:line="186" w:lineRule="auto"/>
        <w:rPr>
          <w:rFonts w:ascii="宋体" w:hAnsi="宋体" w:eastAsia="宋体" w:cs="宋体"/>
          <w:color w:val="auto"/>
          <w:sz w:val="21"/>
          <w:szCs w:val="21"/>
          <w:highlight w:val="none"/>
        </w:rPr>
        <w:sectPr>
          <w:type w:val="continuous"/>
          <w:pgSz w:w="11905" w:h="16839"/>
          <w:pgMar w:top="400" w:right="1785" w:bottom="1004" w:left="1785" w:header="0" w:footer="828" w:gutter="0"/>
          <w:pgNumType w:fmt="decimal"/>
          <w:cols w:equalWidth="0" w:num="1">
            <w:col w:w="8333"/>
          </w:cols>
        </w:sectPr>
      </w:pPr>
    </w:p>
    <w:p w14:paraId="14A3AA28">
      <w:pPr>
        <w:pStyle w:val="3"/>
        <w:spacing w:line="261" w:lineRule="auto"/>
        <w:rPr>
          <w:color w:val="auto"/>
          <w:highlight w:val="none"/>
        </w:rPr>
      </w:pPr>
    </w:p>
    <w:p w14:paraId="6AAAAD4C">
      <w:pPr>
        <w:pStyle w:val="3"/>
        <w:spacing w:line="262" w:lineRule="auto"/>
        <w:rPr>
          <w:color w:val="auto"/>
          <w:highlight w:val="none"/>
        </w:rPr>
      </w:pPr>
    </w:p>
    <w:p w14:paraId="34D76F69">
      <w:pPr>
        <w:pStyle w:val="3"/>
        <w:spacing w:line="262" w:lineRule="auto"/>
        <w:rPr>
          <w:color w:val="auto"/>
          <w:highlight w:val="none"/>
        </w:rPr>
      </w:pPr>
    </w:p>
    <w:p w14:paraId="30648E6C">
      <w:pPr>
        <w:pStyle w:val="3"/>
        <w:spacing w:line="262" w:lineRule="auto"/>
        <w:rPr>
          <w:color w:val="auto"/>
          <w:highlight w:val="none"/>
        </w:rPr>
      </w:pPr>
    </w:p>
    <w:p w14:paraId="52EF56C5">
      <w:pPr>
        <w:pStyle w:val="3"/>
        <w:spacing w:line="262" w:lineRule="auto"/>
        <w:rPr>
          <w:color w:val="auto"/>
          <w:highlight w:val="none"/>
        </w:rPr>
      </w:pPr>
    </w:p>
    <w:p w14:paraId="19879CA0">
      <w:pPr>
        <w:spacing w:before="78" w:line="218" w:lineRule="auto"/>
        <w:ind w:left="13"/>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 xml:space="preserve">4.15 </w:t>
      </w:r>
      <w:r>
        <w:rPr>
          <w:rFonts w:ascii="黑体" w:hAnsi="黑体" w:eastAsia="黑体" w:cs="黑体"/>
          <w:color w:val="auto"/>
          <w:spacing w:val="-1"/>
          <w:sz w:val="24"/>
          <w:szCs w:val="24"/>
          <w:highlight w:val="none"/>
        </w:rPr>
        <w:t>承包人提供主要材料和工程设备一览表</w:t>
      </w:r>
      <w:r>
        <w:rPr>
          <w:rFonts w:ascii="宋体" w:hAnsi="宋体" w:eastAsia="宋体" w:cs="宋体"/>
          <w:color w:val="auto"/>
          <w:spacing w:val="-1"/>
          <w:sz w:val="24"/>
          <w:szCs w:val="24"/>
          <w:highlight w:val="none"/>
        </w:rPr>
        <w:t>（适用于造价信息差额调整法）</w:t>
      </w:r>
    </w:p>
    <w:p w14:paraId="0EB38E8E">
      <w:pPr>
        <w:pStyle w:val="3"/>
        <w:spacing w:line="437" w:lineRule="auto"/>
        <w:rPr>
          <w:color w:val="auto"/>
          <w:highlight w:val="none"/>
        </w:rPr>
      </w:pPr>
    </w:p>
    <w:p w14:paraId="24E9B2C9">
      <w:pPr>
        <w:spacing w:before="88" w:line="225" w:lineRule="auto"/>
        <w:ind w:left="1796"/>
        <w:rPr>
          <w:rFonts w:ascii="黑体" w:hAnsi="黑体" w:eastAsia="黑体" w:cs="黑体"/>
          <w:color w:val="auto"/>
          <w:sz w:val="27"/>
          <w:szCs w:val="27"/>
          <w:highlight w:val="none"/>
        </w:rPr>
      </w:pPr>
      <w:bookmarkStart w:id="1317" w:name="bookmark264"/>
      <w:bookmarkEnd w:id="1317"/>
      <w:bookmarkStart w:id="1318" w:name="bookmark263"/>
      <w:bookmarkEnd w:id="1318"/>
      <w:r>
        <w:rPr>
          <w:rFonts w:ascii="黑体" w:hAnsi="黑体" w:eastAsia="黑体" w:cs="黑体"/>
          <w:color w:val="auto"/>
          <w:spacing w:val="9"/>
          <w:sz w:val="27"/>
          <w:szCs w:val="27"/>
          <w:highlight w:val="none"/>
        </w:rPr>
        <w:t>承包人提供主要材料和工程设备一览表</w:t>
      </w:r>
    </w:p>
    <w:p w14:paraId="707C7D55">
      <w:pPr>
        <w:spacing w:line="219" w:lineRule="exact"/>
        <w:rPr>
          <w:color w:val="auto"/>
          <w:highlight w:val="none"/>
        </w:rPr>
      </w:pPr>
    </w:p>
    <w:p w14:paraId="29A0A68E">
      <w:pPr>
        <w:spacing w:line="219" w:lineRule="exact"/>
        <w:rPr>
          <w:color w:val="auto"/>
          <w:highlight w:val="none"/>
        </w:rPr>
        <w:sectPr>
          <w:footerReference r:id="rId199" w:type="default"/>
          <w:pgSz w:w="11905" w:h="16839"/>
          <w:pgMar w:top="400" w:right="1785" w:bottom="1004" w:left="1785" w:header="0" w:footer="828" w:gutter="0"/>
          <w:pgNumType w:fmt="decimal"/>
          <w:cols w:equalWidth="0" w:num="1">
            <w:col w:w="8333"/>
          </w:cols>
        </w:sectPr>
      </w:pPr>
    </w:p>
    <w:p w14:paraId="6D3E7711">
      <w:pPr>
        <w:spacing w:before="42" w:line="186" w:lineRule="auto"/>
        <w:ind w:left="20"/>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工程名称：</w:t>
      </w:r>
    </w:p>
    <w:p w14:paraId="5A3D9368">
      <w:pPr>
        <w:pStyle w:val="3"/>
        <w:spacing w:line="14" w:lineRule="auto"/>
        <w:rPr>
          <w:color w:val="auto"/>
          <w:sz w:val="2"/>
          <w:highlight w:val="none"/>
        </w:rPr>
      </w:pPr>
      <w:r>
        <w:rPr>
          <w:color w:val="auto"/>
          <w:sz w:val="2"/>
          <w:szCs w:val="2"/>
          <w:highlight w:val="none"/>
        </w:rPr>
        <w:br w:type="column"/>
      </w:r>
    </w:p>
    <w:p w14:paraId="480AFA77">
      <w:pPr>
        <w:spacing w:before="40" w:line="186" w:lineRule="auto"/>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标段名称：</w:t>
      </w:r>
      <w:r>
        <w:rPr>
          <w:rFonts w:ascii="宋体" w:hAnsi="宋体" w:eastAsia="宋体" w:cs="宋体"/>
          <w:color w:val="auto"/>
          <w:sz w:val="21"/>
          <w:szCs w:val="21"/>
          <w:highlight w:val="none"/>
        </w:rPr>
        <w:t xml:space="preserve">                                 </w:t>
      </w:r>
      <w:r>
        <w:rPr>
          <w:rFonts w:ascii="宋体" w:hAnsi="宋体" w:eastAsia="宋体" w:cs="宋体"/>
          <w:color w:val="auto"/>
          <w:spacing w:val="-13"/>
          <w:sz w:val="21"/>
          <w:szCs w:val="21"/>
          <w:highlight w:val="none"/>
        </w:rPr>
        <w:t>第</w:t>
      </w:r>
      <w:r>
        <w:rPr>
          <w:rFonts w:ascii="宋体" w:hAnsi="宋体" w:eastAsia="宋体" w:cs="宋体"/>
          <w:color w:val="auto"/>
          <w:spacing w:val="18"/>
          <w:sz w:val="21"/>
          <w:szCs w:val="21"/>
          <w:highlight w:val="none"/>
        </w:rPr>
        <w:t xml:space="preserve"> </w:t>
      </w:r>
      <w:r>
        <w:rPr>
          <w:rFonts w:ascii="宋体" w:hAnsi="宋体" w:eastAsia="宋体" w:cs="宋体"/>
          <w:color w:val="auto"/>
          <w:spacing w:val="-13"/>
          <w:sz w:val="21"/>
          <w:szCs w:val="21"/>
          <w:highlight w:val="none"/>
        </w:rPr>
        <w:t>页 共</w:t>
      </w:r>
      <w:r>
        <w:rPr>
          <w:rFonts w:ascii="宋体" w:hAnsi="宋体" w:eastAsia="宋体" w:cs="宋体"/>
          <w:color w:val="auto"/>
          <w:spacing w:val="9"/>
          <w:sz w:val="21"/>
          <w:szCs w:val="21"/>
          <w:highlight w:val="none"/>
        </w:rPr>
        <w:t xml:space="preserve"> </w:t>
      </w:r>
      <w:r>
        <w:rPr>
          <w:rFonts w:ascii="宋体" w:hAnsi="宋体" w:eastAsia="宋体" w:cs="宋体"/>
          <w:color w:val="auto"/>
          <w:spacing w:val="-13"/>
          <w:sz w:val="21"/>
          <w:szCs w:val="21"/>
          <w:highlight w:val="none"/>
        </w:rPr>
        <w:t>页</w:t>
      </w:r>
    </w:p>
    <w:p w14:paraId="40DB8675">
      <w:pPr>
        <w:spacing w:line="186" w:lineRule="auto"/>
        <w:rPr>
          <w:rFonts w:ascii="宋体" w:hAnsi="宋体" w:eastAsia="宋体" w:cs="宋体"/>
          <w:color w:val="auto"/>
          <w:sz w:val="21"/>
          <w:szCs w:val="21"/>
          <w:highlight w:val="none"/>
        </w:rPr>
        <w:sectPr>
          <w:type w:val="continuous"/>
          <w:pgSz w:w="11905" w:h="16839"/>
          <w:pgMar w:top="400" w:right="1785" w:bottom="1004" w:left="1785" w:header="0" w:footer="828" w:gutter="0"/>
          <w:pgNumType w:fmt="decimal"/>
          <w:cols w:equalWidth="0" w:num="2">
            <w:col w:w="2234" w:space="100"/>
            <w:col w:w="6000"/>
          </w:cols>
        </w:sectPr>
      </w:pPr>
    </w:p>
    <w:p w14:paraId="66763B71">
      <w:pPr>
        <w:spacing w:line="32" w:lineRule="exact"/>
        <w:rPr>
          <w:color w:val="auto"/>
          <w:highlight w:val="none"/>
        </w:rPr>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2"/>
        <w:gridCol w:w="1468"/>
        <w:gridCol w:w="595"/>
        <w:gridCol w:w="686"/>
        <w:gridCol w:w="864"/>
        <w:gridCol w:w="907"/>
        <w:gridCol w:w="1248"/>
        <w:gridCol w:w="1382"/>
        <w:gridCol w:w="609"/>
      </w:tblGrid>
      <w:tr w14:paraId="0F93D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552" w:type="dxa"/>
            <w:textDirection w:val="tbRlV"/>
            <w:vAlign w:val="top"/>
          </w:tcPr>
          <w:p w14:paraId="6CB17B11">
            <w:pPr>
              <w:pStyle w:val="11"/>
              <w:spacing w:before="167" w:line="211" w:lineRule="auto"/>
              <w:ind w:left="202"/>
              <w:rPr>
                <w:color w:val="auto"/>
                <w:highlight w:val="none"/>
              </w:rPr>
            </w:pPr>
            <w:r>
              <w:rPr>
                <w:color w:val="auto"/>
                <w:spacing w:val="1"/>
                <w:highlight w:val="none"/>
              </w:rPr>
              <w:t>序</w:t>
            </w:r>
            <w:r>
              <w:rPr>
                <w:color w:val="auto"/>
                <w:spacing w:val="-43"/>
                <w:highlight w:val="none"/>
              </w:rPr>
              <w:t xml:space="preserve"> </w:t>
            </w:r>
            <w:r>
              <w:rPr>
                <w:color w:val="auto"/>
                <w:spacing w:val="1"/>
                <w:highlight w:val="none"/>
              </w:rPr>
              <w:t>号</w:t>
            </w:r>
          </w:p>
        </w:tc>
        <w:tc>
          <w:tcPr>
            <w:tcW w:w="1468" w:type="dxa"/>
            <w:vAlign w:val="top"/>
          </w:tcPr>
          <w:p w14:paraId="2C3CF949">
            <w:pPr>
              <w:pStyle w:val="11"/>
              <w:spacing w:before="201" w:line="241" w:lineRule="auto"/>
              <w:ind w:left="318"/>
              <w:rPr>
                <w:color w:val="auto"/>
                <w:highlight w:val="none"/>
              </w:rPr>
            </w:pPr>
            <w:r>
              <w:rPr>
                <w:color w:val="auto"/>
                <w:spacing w:val="-2"/>
                <w:highlight w:val="none"/>
              </w:rPr>
              <w:t>名称、规</w:t>
            </w:r>
          </w:p>
          <w:p w14:paraId="24B76D71">
            <w:pPr>
              <w:pStyle w:val="11"/>
              <w:spacing w:line="220" w:lineRule="auto"/>
              <w:ind w:left="315"/>
              <w:rPr>
                <w:color w:val="auto"/>
                <w:highlight w:val="none"/>
              </w:rPr>
            </w:pPr>
            <w:r>
              <w:rPr>
                <w:color w:val="auto"/>
                <w:spacing w:val="-1"/>
                <w:highlight w:val="none"/>
              </w:rPr>
              <w:t>格、型号</w:t>
            </w:r>
          </w:p>
        </w:tc>
        <w:tc>
          <w:tcPr>
            <w:tcW w:w="595" w:type="dxa"/>
            <w:textDirection w:val="tbRlV"/>
            <w:vAlign w:val="top"/>
          </w:tcPr>
          <w:p w14:paraId="1B6CC12D">
            <w:pPr>
              <w:pStyle w:val="11"/>
              <w:spacing w:before="195" w:line="209" w:lineRule="auto"/>
              <w:ind w:left="202"/>
              <w:rPr>
                <w:color w:val="auto"/>
                <w:highlight w:val="none"/>
              </w:rPr>
            </w:pPr>
            <w:r>
              <w:rPr>
                <w:color w:val="auto"/>
                <w:spacing w:val="1"/>
                <w:highlight w:val="none"/>
              </w:rPr>
              <w:t>单</w:t>
            </w:r>
            <w:r>
              <w:rPr>
                <w:color w:val="auto"/>
                <w:spacing w:val="-43"/>
                <w:highlight w:val="none"/>
              </w:rPr>
              <w:t xml:space="preserve"> </w:t>
            </w:r>
            <w:r>
              <w:rPr>
                <w:color w:val="auto"/>
                <w:spacing w:val="1"/>
                <w:highlight w:val="none"/>
              </w:rPr>
              <w:t>位</w:t>
            </w:r>
          </w:p>
        </w:tc>
        <w:tc>
          <w:tcPr>
            <w:tcW w:w="686" w:type="dxa"/>
            <w:vAlign w:val="top"/>
          </w:tcPr>
          <w:p w14:paraId="376C41F4">
            <w:pPr>
              <w:spacing w:line="271" w:lineRule="auto"/>
              <w:rPr>
                <w:rFonts w:ascii="Arial"/>
                <w:color w:val="auto"/>
                <w:sz w:val="21"/>
                <w:highlight w:val="none"/>
              </w:rPr>
            </w:pPr>
          </w:p>
          <w:p w14:paraId="1B34E57B">
            <w:pPr>
              <w:pStyle w:val="11"/>
              <w:spacing w:before="68" w:line="221" w:lineRule="auto"/>
              <w:ind w:left="141"/>
              <w:rPr>
                <w:color w:val="auto"/>
                <w:highlight w:val="none"/>
              </w:rPr>
            </w:pPr>
            <w:r>
              <w:rPr>
                <w:color w:val="auto"/>
                <w:spacing w:val="-2"/>
                <w:highlight w:val="none"/>
              </w:rPr>
              <w:t>数量</w:t>
            </w:r>
          </w:p>
        </w:tc>
        <w:tc>
          <w:tcPr>
            <w:tcW w:w="864" w:type="dxa"/>
            <w:vAlign w:val="top"/>
          </w:tcPr>
          <w:p w14:paraId="3784792A">
            <w:pPr>
              <w:pStyle w:val="11"/>
              <w:spacing w:before="67"/>
              <w:ind w:left="146" w:right="140" w:firstLine="85"/>
              <w:jc w:val="both"/>
              <w:rPr>
                <w:color w:val="auto"/>
                <w:highlight w:val="none"/>
              </w:rPr>
            </w:pPr>
            <w:r>
              <w:rPr>
                <w:color w:val="auto"/>
                <w:spacing w:val="-4"/>
                <w:highlight w:val="none"/>
              </w:rPr>
              <w:t>风险</w:t>
            </w:r>
            <w:r>
              <w:rPr>
                <w:color w:val="auto"/>
                <w:highlight w:val="none"/>
              </w:rPr>
              <w:t xml:space="preserve"> </w:t>
            </w:r>
            <w:r>
              <w:rPr>
                <w:color w:val="auto"/>
                <w:spacing w:val="39"/>
                <w:highlight w:val="none"/>
              </w:rPr>
              <w:t>系数</w:t>
            </w:r>
            <w:r>
              <w:rPr>
                <w:color w:val="auto"/>
                <w:highlight w:val="none"/>
              </w:rPr>
              <w:t xml:space="preserve"> </w:t>
            </w:r>
            <w:r>
              <w:rPr>
                <w:color w:val="auto"/>
                <w:spacing w:val="-8"/>
                <w:highlight w:val="none"/>
              </w:rPr>
              <w:t>（</w:t>
            </w:r>
            <w:r>
              <w:rPr>
                <w:rFonts w:ascii="Times New Roman" w:hAnsi="Times New Roman" w:eastAsia="Times New Roman" w:cs="Times New Roman"/>
                <w:color w:val="auto"/>
                <w:spacing w:val="-8"/>
                <w:highlight w:val="none"/>
              </w:rPr>
              <w:t>%</w:t>
            </w:r>
            <w:r>
              <w:rPr>
                <w:color w:val="auto"/>
                <w:spacing w:val="-8"/>
                <w:highlight w:val="none"/>
              </w:rPr>
              <w:t>）</w:t>
            </w:r>
          </w:p>
        </w:tc>
        <w:tc>
          <w:tcPr>
            <w:tcW w:w="907" w:type="dxa"/>
            <w:vAlign w:val="top"/>
          </w:tcPr>
          <w:p w14:paraId="4BA330B6">
            <w:pPr>
              <w:pStyle w:val="11"/>
              <w:spacing w:before="66" w:line="233" w:lineRule="auto"/>
              <w:ind w:left="152" w:right="145" w:firstLine="99"/>
              <w:jc w:val="both"/>
              <w:rPr>
                <w:color w:val="auto"/>
                <w:highlight w:val="none"/>
              </w:rPr>
            </w:pPr>
            <w:r>
              <w:rPr>
                <w:color w:val="auto"/>
                <w:spacing w:val="-3"/>
                <w:highlight w:val="none"/>
              </w:rPr>
              <w:t>基准</w:t>
            </w:r>
            <w:r>
              <w:rPr>
                <w:color w:val="auto"/>
                <w:highlight w:val="none"/>
              </w:rPr>
              <w:t xml:space="preserve">  </w:t>
            </w:r>
            <w:r>
              <w:rPr>
                <w:color w:val="auto"/>
                <w:spacing w:val="46"/>
                <w:highlight w:val="none"/>
              </w:rPr>
              <w:t>单价</w:t>
            </w:r>
            <w:r>
              <w:rPr>
                <w:color w:val="auto"/>
                <w:highlight w:val="none"/>
              </w:rPr>
              <w:t xml:space="preserve">  </w:t>
            </w:r>
            <w:r>
              <w:rPr>
                <w:color w:val="auto"/>
                <w:spacing w:val="-9"/>
                <w:highlight w:val="none"/>
              </w:rPr>
              <w:t>（元）</w:t>
            </w:r>
          </w:p>
        </w:tc>
        <w:tc>
          <w:tcPr>
            <w:tcW w:w="1248" w:type="dxa"/>
            <w:vAlign w:val="top"/>
          </w:tcPr>
          <w:p w14:paraId="595996F3">
            <w:pPr>
              <w:pStyle w:val="11"/>
              <w:spacing w:before="202" w:line="231" w:lineRule="auto"/>
              <w:ind w:left="325" w:right="192" w:hanging="109"/>
              <w:rPr>
                <w:color w:val="auto"/>
                <w:highlight w:val="none"/>
              </w:rPr>
            </w:pPr>
            <w:r>
              <w:rPr>
                <w:color w:val="auto"/>
                <w:spacing w:val="-2"/>
                <w:highlight w:val="none"/>
              </w:rPr>
              <w:t>投标单价</w:t>
            </w:r>
            <w:r>
              <w:rPr>
                <w:color w:val="auto"/>
                <w:spacing w:val="1"/>
                <w:highlight w:val="none"/>
              </w:rPr>
              <w:t xml:space="preserve"> </w:t>
            </w:r>
            <w:r>
              <w:rPr>
                <w:color w:val="auto"/>
                <w:spacing w:val="-6"/>
                <w:highlight w:val="none"/>
              </w:rPr>
              <w:t>（元）</w:t>
            </w:r>
          </w:p>
        </w:tc>
        <w:tc>
          <w:tcPr>
            <w:tcW w:w="1382" w:type="dxa"/>
            <w:vAlign w:val="top"/>
          </w:tcPr>
          <w:p w14:paraId="53F91756">
            <w:pPr>
              <w:pStyle w:val="11"/>
              <w:spacing w:before="67" w:line="230" w:lineRule="auto"/>
              <w:ind w:left="386" w:right="153" w:hanging="207"/>
              <w:rPr>
                <w:color w:val="auto"/>
                <w:highlight w:val="none"/>
              </w:rPr>
            </w:pPr>
            <w:r>
              <w:rPr>
                <w:color w:val="auto"/>
                <w:spacing w:val="-2"/>
                <w:highlight w:val="none"/>
              </w:rPr>
              <w:t>发承包人确</w:t>
            </w:r>
            <w:r>
              <w:rPr>
                <w:color w:val="auto"/>
                <w:spacing w:val="3"/>
                <w:highlight w:val="none"/>
              </w:rPr>
              <w:t xml:space="preserve"> </w:t>
            </w:r>
            <w:r>
              <w:rPr>
                <w:color w:val="auto"/>
                <w:spacing w:val="-2"/>
                <w:highlight w:val="none"/>
              </w:rPr>
              <w:t>认单价</w:t>
            </w:r>
          </w:p>
          <w:p w14:paraId="3FBF422F">
            <w:pPr>
              <w:pStyle w:val="11"/>
              <w:spacing w:before="19" w:line="221" w:lineRule="auto"/>
              <w:ind w:left="393"/>
              <w:rPr>
                <w:color w:val="auto"/>
                <w:highlight w:val="none"/>
              </w:rPr>
            </w:pPr>
            <w:r>
              <w:rPr>
                <w:color w:val="auto"/>
                <w:spacing w:val="-6"/>
                <w:highlight w:val="none"/>
              </w:rPr>
              <w:t>（元）</w:t>
            </w:r>
          </w:p>
        </w:tc>
        <w:tc>
          <w:tcPr>
            <w:tcW w:w="609" w:type="dxa"/>
            <w:textDirection w:val="tbRlV"/>
            <w:vAlign w:val="top"/>
          </w:tcPr>
          <w:p w14:paraId="510A9F4C">
            <w:pPr>
              <w:pStyle w:val="11"/>
              <w:spacing w:before="195" w:line="210" w:lineRule="auto"/>
              <w:ind w:left="202"/>
              <w:rPr>
                <w:color w:val="auto"/>
                <w:highlight w:val="none"/>
              </w:rPr>
            </w:pPr>
            <w:r>
              <w:rPr>
                <w:color w:val="auto"/>
                <w:spacing w:val="1"/>
                <w:highlight w:val="none"/>
              </w:rPr>
              <w:t>备</w:t>
            </w:r>
            <w:r>
              <w:rPr>
                <w:color w:val="auto"/>
                <w:spacing w:val="-43"/>
                <w:highlight w:val="none"/>
              </w:rPr>
              <w:t xml:space="preserve"> </w:t>
            </w:r>
            <w:r>
              <w:rPr>
                <w:color w:val="auto"/>
                <w:spacing w:val="1"/>
                <w:highlight w:val="none"/>
              </w:rPr>
              <w:t>注</w:t>
            </w:r>
          </w:p>
        </w:tc>
      </w:tr>
      <w:tr w14:paraId="1D2C0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0CEAFF87">
            <w:pPr>
              <w:rPr>
                <w:rFonts w:ascii="Arial"/>
                <w:color w:val="auto"/>
                <w:sz w:val="21"/>
                <w:highlight w:val="none"/>
              </w:rPr>
            </w:pPr>
          </w:p>
        </w:tc>
        <w:tc>
          <w:tcPr>
            <w:tcW w:w="1468" w:type="dxa"/>
            <w:vAlign w:val="top"/>
          </w:tcPr>
          <w:p w14:paraId="7E7C9C76">
            <w:pPr>
              <w:rPr>
                <w:rFonts w:ascii="Arial"/>
                <w:color w:val="auto"/>
                <w:sz w:val="21"/>
                <w:highlight w:val="none"/>
              </w:rPr>
            </w:pPr>
          </w:p>
        </w:tc>
        <w:tc>
          <w:tcPr>
            <w:tcW w:w="595" w:type="dxa"/>
            <w:vAlign w:val="top"/>
          </w:tcPr>
          <w:p w14:paraId="719D368A">
            <w:pPr>
              <w:rPr>
                <w:rFonts w:ascii="Arial"/>
                <w:color w:val="auto"/>
                <w:sz w:val="21"/>
                <w:highlight w:val="none"/>
              </w:rPr>
            </w:pPr>
          </w:p>
        </w:tc>
        <w:tc>
          <w:tcPr>
            <w:tcW w:w="686" w:type="dxa"/>
            <w:vAlign w:val="top"/>
          </w:tcPr>
          <w:p w14:paraId="79A4B508">
            <w:pPr>
              <w:rPr>
                <w:rFonts w:ascii="Arial"/>
                <w:color w:val="auto"/>
                <w:sz w:val="21"/>
                <w:highlight w:val="none"/>
              </w:rPr>
            </w:pPr>
          </w:p>
        </w:tc>
        <w:tc>
          <w:tcPr>
            <w:tcW w:w="864" w:type="dxa"/>
            <w:vAlign w:val="top"/>
          </w:tcPr>
          <w:p w14:paraId="0E26FA61">
            <w:pPr>
              <w:rPr>
                <w:rFonts w:ascii="Arial"/>
                <w:color w:val="auto"/>
                <w:sz w:val="21"/>
                <w:highlight w:val="none"/>
              </w:rPr>
            </w:pPr>
          </w:p>
        </w:tc>
        <w:tc>
          <w:tcPr>
            <w:tcW w:w="907" w:type="dxa"/>
            <w:vAlign w:val="top"/>
          </w:tcPr>
          <w:p w14:paraId="3AD1963A">
            <w:pPr>
              <w:rPr>
                <w:rFonts w:ascii="Arial"/>
                <w:color w:val="auto"/>
                <w:sz w:val="21"/>
                <w:highlight w:val="none"/>
              </w:rPr>
            </w:pPr>
          </w:p>
        </w:tc>
        <w:tc>
          <w:tcPr>
            <w:tcW w:w="1248" w:type="dxa"/>
            <w:vAlign w:val="top"/>
          </w:tcPr>
          <w:p w14:paraId="70DCB9AE">
            <w:pPr>
              <w:rPr>
                <w:rFonts w:ascii="Arial"/>
                <w:color w:val="auto"/>
                <w:sz w:val="21"/>
                <w:highlight w:val="none"/>
              </w:rPr>
            </w:pPr>
          </w:p>
        </w:tc>
        <w:tc>
          <w:tcPr>
            <w:tcW w:w="1382" w:type="dxa"/>
            <w:vAlign w:val="top"/>
          </w:tcPr>
          <w:p w14:paraId="130A22AA">
            <w:pPr>
              <w:rPr>
                <w:rFonts w:ascii="Arial"/>
                <w:color w:val="auto"/>
                <w:sz w:val="21"/>
                <w:highlight w:val="none"/>
              </w:rPr>
            </w:pPr>
          </w:p>
        </w:tc>
        <w:tc>
          <w:tcPr>
            <w:tcW w:w="609" w:type="dxa"/>
            <w:vAlign w:val="top"/>
          </w:tcPr>
          <w:p w14:paraId="1B248C8A">
            <w:pPr>
              <w:rPr>
                <w:rFonts w:ascii="Arial"/>
                <w:color w:val="auto"/>
                <w:sz w:val="21"/>
                <w:highlight w:val="none"/>
              </w:rPr>
            </w:pPr>
          </w:p>
        </w:tc>
      </w:tr>
      <w:tr w14:paraId="7EACB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40457A7F">
            <w:pPr>
              <w:rPr>
                <w:rFonts w:ascii="Arial"/>
                <w:color w:val="auto"/>
                <w:sz w:val="21"/>
                <w:highlight w:val="none"/>
              </w:rPr>
            </w:pPr>
          </w:p>
        </w:tc>
        <w:tc>
          <w:tcPr>
            <w:tcW w:w="1468" w:type="dxa"/>
            <w:vAlign w:val="top"/>
          </w:tcPr>
          <w:p w14:paraId="614E0001">
            <w:pPr>
              <w:rPr>
                <w:rFonts w:ascii="Arial"/>
                <w:color w:val="auto"/>
                <w:sz w:val="21"/>
                <w:highlight w:val="none"/>
              </w:rPr>
            </w:pPr>
          </w:p>
        </w:tc>
        <w:tc>
          <w:tcPr>
            <w:tcW w:w="595" w:type="dxa"/>
            <w:vAlign w:val="top"/>
          </w:tcPr>
          <w:p w14:paraId="572B89B8">
            <w:pPr>
              <w:rPr>
                <w:rFonts w:ascii="Arial"/>
                <w:color w:val="auto"/>
                <w:sz w:val="21"/>
                <w:highlight w:val="none"/>
              </w:rPr>
            </w:pPr>
          </w:p>
        </w:tc>
        <w:tc>
          <w:tcPr>
            <w:tcW w:w="686" w:type="dxa"/>
            <w:vAlign w:val="top"/>
          </w:tcPr>
          <w:p w14:paraId="1CF4DC7A">
            <w:pPr>
              <w:rPr>
                <w:rFonts w:ascii="Arial"/>
                <w:color w:val="auto"/>
                <w:sz w:val="21"/>
                <w:highlight w:val="none"/>
              </w:rPr>
            </w:pPr>
          </w:p>
        </w:tc>
        <w:tc>
          <w:tcPr>
            <w:tcW w:w="864" w:type="dxa"/>
            <w:vAlign w:val="top"/>
          </w:tcPr>
          <w:p w14:paraId="12BE8266">
            <w:pPr>
              <w:rPr>
                <w:rFonts w:ascii="Arial"/>
                <w:color w:val="auto"/>
                <w:sz w:val="21"/>
                <w:highlight w:val="none"/>
              </w:rPr>
            </w:pPr>
          </w:p>
        </w:tc>
        <w:tc>
          <w:tcPr>
            <w:tcW w:w="907" w:type="dxa"/>
            <w:vAlign w:val="top"/>
          </w:tcPr>
          <w:p w14:paraId="44B469B5">
            <w:pPr>
              <w:rPr>
                <w:rFonts w:ascii="Arial"/>
                <w:color w:val="auto"/>
                <w:sz w:val="21"/>
                <w:highlight w:val="none"/>
              </w:rPr>
            </w:pPr>
          </w:p>
        </w:tc>
        <w:tc>
          <w:tcPr>
            <w:tcW w:w="1248" w:type="dxa"/>
            <w:vAlign w:val="top"/>
          </w:tcPr>
          <w:p w14:paraId="7851D9F2">
            <w:pPr>
              <w:rPr>
                <w:rFonts w:ascii="Arial"/>
                <w:color w:val="auto"/>
                <w:sz w:val="21"/>
                <w:highlight w:val="none"/>
              </w:rPr>
            </w:pPr>
          </w:p>
        </w:tc>
        <w:tc>
          <w:tcPr>
            <w:tcW w:w="1382" w:type="dxa"/>
            <w:vAlign w:val="top"/>
          </w:tcPr>
          <w:p w14:paraId="45EFF555">
            <w:pPr>
              <w:rPr>
                <w:rFonts w:ascii="Arial"/>
                <w:color w:val="auto"/>
                <w:sz w:val="21"/>
                <w:highlight w:val="none"/>
              </w:rPr>
            </w:pPr>
          </w:p>
        </w:tc>
        <w:tc>
          <w:tcPr>
            <w:tcW w:w="609" w:type="dxa"/>
            <w:vAlign w:val="top"/>
          </w:tcPr>
          <w:p w14:paraId="3325984E">
            <w:pPr>
              <w:rPr>
                <w:rFonts w:ascii="Arial"/>
                <w:color w:val="auto"/>
                <w:sz w:val="21"/>
                <w:highlight w:val="none"/>
              </w:rPr>
            </w:pPr>
          </w:p>
        </w:tc>
      </w:tr>
      <w:tr w14:paraId="7061F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552" w:type="dxa"/>
            <w:vAlign w:val="top"/>
          </w:tcPr>
          <w:p w14:paraId="200F0940">
            <w:pPr>
              <w:rPr>
                <w:rFonts w:ascii="Arial"/>
                <w:color w:val="auto"/>
                <w:sz w:val="21"/>
                <w:highlight w:val="none"/>
              </w:rPr>
            </w:pPr>
          </w:p>
        </w:tc>
        <w:tc>
          <w:tcPr>
            <w:tcW w:w="1468" w:type="dxa"/>
            <w:vAlign w:val="top"/>
          </w:tcPr>
          <w:p w14:paraId="46E01F58">
            <w:pPr>
              <w:rPr>
                <w:rFonts w:ascii="Arial"/>
                <w:color w:val="auto"/>
                <w:sz w:val="21"/>
                <w:highlight w:val="none"/>
              </w:rPr>
            </w:pPr>
          </w:p>
        </w:tc>
        <w:tc>
          <w:tcPr>
            <w:tcW w:w="595" w:type="dxa"/>
            <w:vAlign w:val="top"/>
          </w:tcPr>
          <w:p w14:paraId="78EB3AC5">
            <w:pPr>
              <w:rPr>
                <w:rFonts w:ascii="Arial"/>
                <w:color w:val="auto"/>
                <w:sz w:val="21"/>
                <w:highlight w:val="none"/>
              </w:rPr>
            </w:pPr>
          </w:p>
        </w:tc>
        <w:tc>
          <w:tcPr>
            <w:tcW w:w="686" w:type="dxa"/>
            <w:vAlign w:val="top"/>
          </w:tcPr>
          <w:p w14:paraId="1BBD1C24">
            <w:pPr>
              <w:rPr>
                <w:rFonts w:ascii="Arial"/>
                <w:color w:val="auto"/>
                <w:sz w:val="21"/>
                <w:highlight w:val="none"/>
              </w:rPr>
            </w:pPr>
          </w:p>
        </w:tc>
        <w:tc>
          <w:tcPr>
            <w:tcW w:w="864" w:type="dxa"/>
            <w:vAlign w:val="top"/>
          </w:tcPr>
          <w:p w14:paraId="32CE0BE8">
            <w:pPr>
              <w:rPr>
                <w:rFonts w:ascii="Arial"/>
                <w:color w:val="auto"/>
                <w:sz w:val="21"/>
                <w:highlight w:val="none"/>
              </w:rPr>
            </w:pPr>
          </w:p>
        </w:tc>
        <w:tc>
          <w:tcPr>
            <w:tcW w:w="907" w:type="dxa"/>
            <w:vAlign w:val="top"/>
          </w:tcPr>
          <w:p w14:paraId="7B7A374E">
            <w:pPr>
              <w:rPr>
                <w:rFonts w:ascii="Arial"/>
                <w:color w:val="auto"/>
                <w:sz w:val="21"/>
                <w:highlight w:val="none"/>
              </w:rPr>
            </w:pPr>
          </w:p>
        </w:tc>
        <w:tc>
          <w:tcPr>
            <w:tcW w:w="1248" w:type="dxa"/>
            <w:vAlign w:val="top"/>
          </w:tcPr>
          <w:p w14:paraId="362931CA">
            <w:pPr>
              <w:rPr>
                <w:rFonts w:ascii="Arial"/>
                <w:color w:val="auto"/>
                <w:sz w:val="21"/>
                <w:highlight w:val="none"/>
              </w:rPr>
            </w:pPr>
          </w:p>
        </w:tc>
        <w:tc>
          <w:tcPr>
            <w:tcW w:w="1382" w:type="dxa"/>
            <w:vAlign w:val="top"/>
          </w:tcPr>
          <w:p w14:paraId="3F772E87">
            <w:pPr>
              <w:rPr>
                <w:rFonts w:ascii="Arial"/>
                <w:color w:val="auto"/>
                <w:sz w:val="21"/>
                <w:highlight w:val="none"/>
              </w:rPr>
            </w:pPr>
          </w:p>
        </w:tc>
        <w:tc>
          <w:tcPr>
            <w:tcW w:w="609" w:type="dxa"/>
            <w:vAlign w:val="top"/>
          </w:tcPr>
          <w:p w14:paraId="14668FE6">
            <w:pPr>
              <w:rPr>
                <w:rFonts w:ascii="Arial"/>
                <w:color w:val="auto"/>
                <w:sz w:val="21"/>
                <w:highlight w:val="none"/>
              </w:rPr>
            </w:pPr>
          </w:p>
        </w:tc>
      </w:tr>
      <w:tr w14:paraId="21E9B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7C3AC143">
            <w:pPr>
              <w:rPr>
                <w:rFonts w:ascii="Arial"/>
                <w:color w:val="auto"/>
                <w:sz w:val="21"/>
                <w:highlight w:val="none"/>
              </w:rPr>
            </w:pPr>
          </w:p>
        </w:tc>
        <w:tc>
          <w:tcPr>
            <w:tcW w:w="1468" w:type="dxa"/>
            <w:vAlign w:val="top"/>
          </w:tcPr>
          <w:p w14:paraId="3D75B725">
            <w:pPr>
              <w:rPr>
                <w:rFonts w:ascii="Arial"/>
                <w:color w:val="auto"/>
                <w:sz w:val="21"/>
                <w:highlight w:val="none"/>
              </w:rPr>
            </w:pPr>
          </w:p>
        </w:tc>
        <w:tc>
          <w:tcPr>
            <w:tcW w:w="595" w:type="dxa"/>
            <w:vAlign w:val="top"/>
          </w:tcPr>
          <w:p w14:paraId="5D1DFC43">
            <w:pPr>
              <w:rPr>
                <w:rFonts w:ascii="Arial"/>
                <w:color w:val="auto"/>
                <w:sz w:val="21"/>
                <w:highlight w:val="none"/>
              </w:rPr>
            </w:pPr>
          </w:p>
        </w:tc>
        <w:tc>
          <w:tcPr>
            <w:tcW w:w="686" w:type="dxa"/>
            <w:vAlign w:val="top"/>
          </w:tcPr>
          <w:p w14:paraId="25A3529D">
            <w:pPr>
              <w:rPr>
                <w:rFonts w:ascii="Arial"/>
                <w:color w:val="auto"/>
                <w:sz w:val="21"/>
                <w:highlight w:val="none"/>
              </w:rPr>
            </w:pPr>
          </w:p>
        </w:tc>
        <w:tc>
          <w:tcPr>
            <w:tcW w:w="864" w:type="dxa"/>
            <w:vAlign w:val="top"/>
          </w:tcPr>
          <w:p w14:paraId="3202D908">
            <w:pPr>
              <w:rPr>
                <w:rFonts w:ascii="Arial"/>
                <w:color w:val="auto"/>
                <w:sz w:val="21"/>
                <w:highlight w:val="none"/>
              </w:rPr>
            </w:pPr>
          </w:p>
        </w:tc>
        <w:tc>
          <w:tcPr>
            <w:tcW w:w="907" w:type="dxa"/>
            <w:vAlign w:val="top"/>
          </w:tcPr>
          <w:p w14:paraId="2FA6AAC1">
            <w:pPr>
              <w:rPr>
                <w:rFonts w:ascii="Arial"/>
                <w:color w:val="auto"/>
                <w:sz w:val="21"/>
                <w:highlight w:val="none"/>
              </w:rPr>
            </w:pPr>
          </w:p>
        </w:tc>
        <w:tc>
          <w:tcPr>
            <w:tcW w:w="1248" w:type="dxa"/>
            <w:vAlign w:val="top"/>
          </w:tcPr>
          <w:p w14:paraId="17D58B82">
            <w:pPr>
              <w:rPr>
                <w:rFonts w:ascii="Arial"/>
                <w:color w:val="auto"/>
                <w:sz w:val="21"/>
                <w:highlight w:val="none"/>
              </w:rPr>
            </w:pPr>
          </w:p>
        </w:tc>
        <w:tc>
          <w:tcPr>
            <w:tcW w:w="1382" w:type="dxa"/>
            <w:vAlign w:val="top"/>
          </w:tcPr>
          <w:p w14:paraId="278A4BD7">
            <w:pPr>
              <w:rPr>
                <w:rFonts w:ascii="Arial"/>
                <w:color w:val="auto"/>
                <w:sz w:val="21"/>
                <w:highlight w:val="none"/>
              </w:rPr>
            </w:pPr>
          </w:p>
        </w:tc>
        <w:tc>
          <w:tcPr>
            <w:tcW w:w="609" w:type="dxa"/>
            <w:vAlign w:val="top"/>
          </w:tcPr>
          <w:p w14:paraId="765C773B">
            <w:pPr>
              <w:rPr>
                <w:rFonts w:ascii="Arial"/>
                <w:color w:val="auto"/>
                <w:sz w:val="21"/>
                <w:highlight w:val="none"/>
              </w:rPr>
            </w:pPr>
          </w:p>
        </w:tc>
      </w:tr>
      <w:tr w14:paraId="11C87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552" w:type="dxa"/>
            <w:vAlign w:val="top"/>
          </w:tcPr>
          <w:p w14:paraId="0D666212">
            <w:pPr>
              <w:rPr>
                <w:rFonts w:ascii="Arial"/>
                <w:color w:val="auto"/>
                <w:sz w:val="21"/>
                <w:highlight w:val="none"/>
              </w:rPr>
            </w:pPr>
          </w:p>
        </w:tc>
        <w:tc>
          <w:tcPr>
            <w:tcW w:w="1468" w:type="dxa"/>
            <w:vAlign w:val="top"/>
          </w:tcPr>
          <w:p w14:paraId="3B62A343">
            <w:pPr>
              <w:rPr>
                <w:rFonts w:ascii="Arial"/>
                <w:color w:val="auto"/>
                <w:sz w:val="21"/>
                <w:highlight w:val="none"/>
              </w:rPr>
            </w:pPr>
          </w:p>
        </w:tc>
        <w:tc>
          <w:tcPr>
            <w:tcW w:w="595" w:type="dxa"/>
            <w:vAlign w:val="top"/>
          </w:tcPr>
          <w:p w14:paraId="36047119">
            <w:pPr>
              <w:rPr>
                <w:rFonts w:ascii="Arial"/>
                <w:color w:val="auto"/>
                <w:sz w:val="21"/>
                <w:highlight w:val="none"/>
              </w:rPr>
            </w:pPr>
          </w:p>
        </w:tc>
        <w:tc>
          <w:tcPr>
            <w:tcW w:w="686" w:type="dxa"/>
            <w:vAlign w:val="top"/>
          </w:tcPr>
          <w:p w14:paraId="67A37A6E">
            <w:pPr>
              <w:rPr>
                <w:rFonts w:ascii="Arial"/>
                <w:color w:val="auto"/>
                <w:sz w:val="21"/>
                <w:highlight w:val="none"/>
              </w:rPr>
            </w:pPr>
          </w:p>
        </w:tc>
        <w:tc>
          <w:tcPr>
            <w:tcW w:w="864" w:type="dxa"/>
            <w:vAlign w:val="top"/>
          </w:tcPr>
          <w:p w14:paraId="385F27D2">
            <w:pPr>
              <w:rPr>
                <w:rFonts w:ascii="Arial"/>
                <w:color w:val="auto"/>
                <w:sz w:val="21"/>
                <w:highlight w:val="none"/>
              </w:rPr>
            </w:pPr>
          </w:p>
        </w:tc>
        <w:tc>
          <w:tcPr>
            <w:tcW w:w="907" w:type="dxa"/>
            <w:vAlign w:val="top"/>
          </w:tcPr>
          <w:p w14:paraId="65E1739B">
            <w:pPr>
              <w:rPr>
                <w:rFonts w:ascii="Arial"/>
                <w:color w:val="auto"/>
                <w:sz w:val="21"/>
                <w:highlight w:val="none"/>
              </w:rPr>
            </w:pPr>
          </w:p>
        </w:tc>
        <w:tc>
          <w:tcPr>
            <w:tcW w:w="1248" w:type="dxa"/>
            <w:vAlign w:val="top"/>
          </w:tcPr>
          <w:p w14:paraId="2CDF69F1">
            <w:pPr>
              <w:rPr>
                <w:rFonts w:ascii="Arial"/>
                <w:color w:val="auto"/>
                <w:sz w:val="21"/>
                <w:highlight w:val="none"/>
              </w:rPr>
            </w:pPr>
          </w:p>
        </w:tc>
        <w:tc>
          <w:tcPr>
            <w:tcW w:w="1382" w:type="dxa"/>
            <w:vAlign w:val="top"/>
          </w:tcPr>
          <w:p w14:paraId="640F5CCC">
            <w:pPr>
              <w:rPr>
                <w:rFonts w:ascii="Arial"/>
                <w:color w:val="auto"/>
                <w:sz w:val="21"/>
                <w:highlight w:val="none"/>
              </w:rPr>
            </w:pPr>
          </w:p>
        </w:tc>
        <w:tc>
          <w:tcPr>
            <w:tcW w:w="609" w:type="dxa"/>
            <w:vAlign w:val="top"/>
          </w:tcPr>
          <w:p w14:paraId="651F233D">
            <w:pPr>
              <w:rPr>
                <w:rFonts w:ascii="Arial"/>
                <w:color w:val="auto"/>
                <w:sz w:val="21"/>
                <w:highlight w:val="none"/>
              </w:rPr>
            </w:pPr>
          </w:p>
        </w:tc>
      </w:tr>
      <w:tr w14:paraId="50BF3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552" w:type="dxa"/>
            <w:vAlign w:val="top"/>
          </w:tcPr>
          <w:p w14:paraId="06F60C09">
            <w:pPr>
              <w:rPr>
                <w:rFonts w:ascii="Arial"/>
                <w:color w:val="auto"/>
                <w:sz w:val="21"/>
                <w:highlight w:val="none"/>
              </w:rPr>
            </w:pPr>
          </w:p>
        </w:tc>
        <w:tc>
          <w:tcPr>
            <w:tcW w:w="1468" w:type="dxa"/>
            <w:vAlign w:val="top"/>
          </w:tcPr>
          <w:p w14:paraId="0A3FB656">
            <w:pPr>
              <w:rPr>
                <w:rFonts w:ascii="Arial"/>
                <w:color w:val="auto"/>
                <w:sz w:val="21"/>
                <w:highlight w:val="none"/>
              </w:rPr>
            </w:pPr>
          </w:p>
        </w:tc>
        <w:tc>
          <w:tcPr>
            <w:tcW w:w="595" w:type="dxa"/>
            <w:vAlign w:val="top"/>
          </w:tcPr>
          <w:p w14:paraId="7E94B504">
            <w:pPr>
              <w:rPr>
                <w:rFonts w:ascii="Arial"/>
                <w:color w:val="auto"/>
                <w:sz w:val="21"/>
                <w:highlight w:val="none"/>
              </w:rPr>
            </w:pPr>
          </w:p>
        </w:tc>
        <w:tc>
          <w:tcPr>
            <w:tcW w:w="686" w:type="dxa"/>
            <w:vAlign w:val="top"/>
          </w:tcPr>
          <w:p w14:paraId="4E819E79">
            <w:pPr>
              <w:rPr>
                <w:rFonts w:ascii="Arial"/>
                <w:color w:val="auto"/>
                <w:sz w:val="21"/>
                <w:highlight w:val="none"/>
              </w:rPr>
            </w:pPr>
          </w:p>
        </w:tc>
        <w:tc>
          <w:tcPr>
            <w:tcW w:w="864" w:type="dxa"/>
            <w:vAlign w:val="top"/>
          </w:tcPr>
          <w:p w14:paraId="4EDC6CC3">
            <w:pPr>
              <w:rPr>
                <w:rFonts w:ascii="Arial"/>
                <w:color w:val="auto"/>
                <w:sz w:val="21"/>
                <w:highlight w:val="none"/>
              </w:rPr>
            </w:pPr>
          </w:p>
        </w:tc>
        <w:tc>
          <w:tcPr>
            <w:tcW w:w="907" w:type="dxa"/>
            <w:vAlign w:val="top"/>
          </w:tcPr>
          <w:p w14:paraId="498A8E29">
            <w:pPr>
              <w:rPr>
                <w:rFonts w:ascii="Arial"/>
                <w:color w:val="auto"/>
                <w:sz w:val="21"/>
                <w:highlight w:val="none"/>
              </w:rPr>
            </w:pPr>
          </w:p>
        </w:tc>
        <w:tc>
          <w:tcPr>
            <w:tcW w:w="1248" w:type="dxa"/>
            <w:vAlign w:val="top"/>
          </w:tcPr>
          <w:p w14:paraId="1D23E0DA">
            <w:pPr>
              <w:rPr>
                <w:rFonts w:ascii="Arial"/>
                <w:color w:val="auto"/>
                <w:sz w:val="21"/>
                <w:highlight w:val="none"/>
              </w:rPr>
            </w:pPr>
          </w:p>
        </w:tc>
        <w:tc>
          <w:tcPr>
            <w:tcW w:w="1382" w:type="dxa"/>
            <w:vAlign w:val="top"/>
          </w:tcPr>
          <w:p w14:paraId="5118A3E4">
            <w:pPr>
              <w:rPr>
                <w:rFonts w:ascii="Arial"/>
                <w:color w:val="auto"/>
                <w:sz w:val="21"/>
                <w:highlight w:val="none"/>
              </w:rPr>
            </w:pPr>
          </w:p>
        </w:tc>
        <w:tc>
          <w:tcPr>
            <w:tcW w:w="609" w:type="dxa"/>
            <w:vAlign w:val="top"/>
          </w:tcPr>
          <w:p w14:paraId="6E778E76">
            <w:pPr>
              <w:rPr>
                <w:rFonts w:ascii="Arial"/>
                <w:color w:val="auto"/>
                <w:sz w:val="21"/>
                <w:highlight w:val="none"/>
              </w:rPr>
            </w:pPr>
          </w:p>
        </w:tc>
      </w:tr>
      <w:tr w14:paraId="6E6B1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2B1B7936">
            <w:pPr>
              <w:rPr>
                <w:rFonts w:ascii="Arial"/>
                <w:color w:val="auto"/>
                <w:sz w:val="21"/>
                <w:highlight w:val="none"/>
              </w:rPr>
            </w:pPr>
          </w:p>
        </w:tc>
        <w:tc>
          <w:tcPr>
            <w:tcW w:w="1468" w:type="dxa"/>
            <w:vAlign w:val="top"/>
          </w:tcPr>
          <w:p w14:paraId="7B51454D">
            <w:pPr>
              <w:rPr>
                <w:rFonts w:ascii="Arial"/>
                <w:color w:val="auto"/>
                <w:sz w:val="21"/>
                <w:highlight w:val="none"/>
              </w:rPr>
            </w:pPr>
          </w:p>
        </w:tc>
        <w:tc>
          <w:tcPr>
            <w:tcW w:w="595" w:type="dxa"/>
            <w:vAlign w:val="top"/>
          </w:tcPr>
          <w:p w14:paraId="01BAAA46">
            <w:pPr>
              <w:rPr>
                <w:rFonts w:ascii="Arial"/>
                <w:color w:val="auto"/>
                <w:sz w:val="21"/>
                <w:highlight w:val="none"/>
              </w:rPr>
            </w:pPr>
          </w:p>
        </w:tc>
        <w:tc>
          <w:tcPr>
            <w:tcW w:w="686" w:type="dxa"/>
            <w:vAlign w:val="top"/>
          </w:tcPr>
          <w:p w14:paraId="121D018D">
            <w:pPr>
              <w:rPr>
                <w:rFonts w:ascii="Arial"/>
                <w:color w:val="auto"/>
                <w:sz w:val="21"/>
                <w:highlight w:val="none"/>
              </w:rPr>
            </w:pPr>
          </w:p>
        </w:tc>
        <w:tc>
          <w:tcPr>
            <w:tcW w:w="864" w:type="dxa"/>
            <w:vAlign w:val="top"/>
          </w:tcPr>
          <w:p w14:paraId="0F83E1CB">
            <w:pPr>
              <w:rPr>
                <w:rFonts w:ascii="Arial"/>
                <w:color w:val="auto"/>
                <w:sz w:val="21"/>
                <w:highlight w:val="none"/>
              </w:rPr>
            </w:pPr>
          </w:p>
        </w:tc>
        <w:tc>
          <w:tcPr>
            <w:tcW w:w="907" w:type="dxa"/>
            <w:vAlign w:val="top"/>
          </w:tcPr>
          <w:p w14:paraId="31535B93">
            <w:pPr>
              <w:rPr>
                <w:rFonts w:ascii="Arial"/>
                <w:color w:val="auto"/>
                <w:sz w:val="21"/>
                <w:highlight w:val="none"/>
              </w:rPr>
            </w:pPr>
          </w:p>
        </w:tc>
        <w:tc>
          <w:tcPr>
            <w:tcW w:w="1248" w:type="dxa"/>
            <w:vAlign w:val="top"/>
          </w:tcPr>
          <w:p w14:paraId="0AC2D5E3">
            <w:pPr>
              <w:rPr>
                <w:rFonts w:ascii="Arial"/>
                <w:color w:val="auto"/>
                <w:sz w:val="21"/>
                <w:highlight w:val="none"/>
              </w:rPr>
            </w:pPr>
          </w:p>
        </w:tc>
        <w:tc>
          <w:tcPr>
            <w:tcW w:w="1382" w:type="dxa"/>
            <w:vAlign w:val="top"/>
          </w:tcPr>
          <w:p w14:paraId="125A11BF">
            <w:pPr>
              <w:rPr>
                <w:rFonts w:ascii="Arial"/>
                <w:color w:val="auto"/>
                <w:sz w:val="21"/>
                <w:highlight w:val="none"/>
              </w:rPr>
            </w:pPr>
          </w:p>
        </w:tc>
        <w:tc>
          <w:tcPr>
            <w:tcW w:w="609" w:type="dxa"/>
            <w:vAlign w:val="top"/>
          </w:tcPr>
          <w:p w14:paraId="697C0335">
            <w:pPr>
              <w:rPr>
                <w:rFonts w:ascii="Arial"/>
                <w:color w:val="auto"/>
                <w:sz w:val="21"/>
                <w:highlight w:val="none"/>
              </w:rPr>
            </w:pPr>
          </w:p>
        </w:tc>
      </w:tr>
      <w:tr w14:paraId="53C68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73" w:hRule="atLeast"/>
        </w:trPr>
        <w:tc>
          <w:tcPr>
            <w:tcW w:w="552" w:type="dxa"/>
            <w:vAlign w:val="top"/>
          </w:tcPr>
          <w:p w14:paraId="3E1060D8">
            <w:pPr>
              <w:rPr>
                <w:rFonts w:ascii="Arial"/>
                <w:color w:val="auto"/>
                <w:sz w:val="21"/>
                <w:highlight w:val="none"/>
              </w:rPr>
            </w:pPr>
          </w:p>
        </w:tc>
        <w:tc>
          <w:tcPr>
            <w:tcW w:w="1468" w:type="dxa"/>
            <w:vAlign w:val="top"/>
          </w:tcPr>
          <w:p w14:paraId="47F43D1C">
            <w:pPr>
              <w:rPr>
                <w:rFonts w:ascii="Arial"/>
                <w:color w:val="auto"/>
                <w:sz w:val="21"/>
                <w:highlight w:val="none"/>
              </w:rPr>
            </w:pPr>
          </w:p>
        </w:tc>
        <w:tc>
          <w:tcPr>
            <w:tcW w:w="595" w:type="dxa"/>
            <w:vAlign w:val="top"/>
          </w:tcPr>
          <w:p w14:paraId="727390A7">
            <w:pPr>
              <w:rPr>
                <w:rFonts w:ascii="Arial"/>
                <w:color w:val="auto"/>
                <w:sz w:val="21"/>
                <w:highlight w:val="none"/>
              </w:rPr>
            </w:pPr>
          </w:p>
        </w:tc>
        <w:tc>
          <w:tcPr>
            <w:tcW w:w="686" w:type="dxa"/>
            <w:vAlign w:val="top"/>
          </w:tcPr>
          <w:p w14:paraId="0E236A8A">
            <w:pPr>
              <w:rPr>
                <w:rFonts w:ascii="Arial"/>
                <w:color w:val="auto"/>
                <w:sz w:val="21"/>
                <w:highlight w:val="none"/>
              </w:rPr>
            </w:pPr>
          </w:p>
        </w:tc>
        <w:tc>
          <w:tcPr>
            <w:tcW w:w="864" w:type="dxa"/>
            <w:vAlign w:val="top"/>
          </w:tcPr>
          <w:p w14:paraId="554CE20E">
            <w:pPr>
              <w:rPr>
                <w:rFonts w:ascii="Arial"/>
                <w:color w:val="auto"/>
                <w:sz w:val="21"/>
                <w:highlight w:val="none"/>
              </w:rPr>
            </w:pPr>
          </w:p>
        </w:tc>
        <w:tc>
          <w:tcPr>
            <w:tcW w:w="907" w:type="dxa"/>
            <w:vAlign w:val="top"/>
          </w:tcPr>
          <w:p w14:paraId="0F5001EC">
            <w:pPr>
              <w:rPr>
                <w:rFonts w:ascii="Arial"/>
                <w:color w:val="auto"/>
                <w:sz w:val="21"/>
                <w:highlight w:val="none"/>
              </w:rPr>
            </w:pPr>
          </w:p>
        </w:tc>
        <w:tc>
          <w:tcPr>
            <w:tcW w:w="1248" w:type="dxa"/>
            <w:vAlign w:val="top"/>
          </w:tcPr>
          <w:p w14:paraId="54BEC51D">
            <w:pPr>
              <w:rPr>
                <w:rFonts w:ascii="Arial"/>
                <w:color w:val="auto"/>
                <w:sz w:val="21"/>
                <w:highlight w:val="none"/>
              </w:rPr>
            </w:pPr>
          </w:p>
        </w:tc>
        <w:tc>
          <w:tcPr>
            <w:tcW w:w="1382" w:type="dxa"/>
            <w:vAlign w:val="top"/>
          </w:tcPr>
          <w:p w14:paraId="5EBA81DE">
            <w:pPr>
              <w:rPr>
                <w:rFonts w:ascii="Arial"/>
                <w:color w:val="auto"/>
                <w:sz w:val="21"/>
                <w:highlight w:val="none"/>
              </w:rPr>
            </w:pPr>
          </w:p>
        </w:tc>
        <w:tc>
          <w:tcPr>
            <w:tcW w:w="609" w:type="dxa"/>
            <w:vAlign w:val="top"/>
          </w:tcPr>
          <w:p w14:paraId="29CE5185">
            <w:pPr>
              <w:rPr>
                <w:rFonts w:ascii="Arial"/>
                <w:color w:val="auto"/>
                <w:sz w:val="21"/>
                <w:highlight w:val="none"/>
              </w:rPr>
            </w:pPr>
          </w:p>
        </w:tc>
      </w:tr>
      <w:tr w14:paraId="0950C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552" w:type="dxa"/>
            <w:vAlign w:val="top"/>
          </w:tcPr>
          <w:p w14:paraId="0D85482D">
            <w:pPr>
              <w:rPr>
                <w:rFonts w:ascii="Arial"/>
                <w:color w:val="auto"/>
                <w:sz w:val="21"/>
                <w:highlight w:val="none"/>
              </w:rPr>
            </w:pPr>
          </w:p>
        </w:tc>
        <w:tc>
          <w:tcPr>
            <w:tcW w:w="1468" w:type="dxa"/>
            <w:vAlign w:val="top"/>
          </w:tcPr>
          <w:p w14:paraId="35CCF5D2">
            <w:pPr>
              <w:rPr>
                <w:rFonts w:ascii="Arial"/>
                <w:color w:val="auto"/>
                <w:sz w:val="21"/>
                <w:highlight w:val="none"/>
              </w:rPr>
            </w:pPr>
          </w:p>
        </w:tc>
        <w:tc>
          <w:tcPr>
            <w:tcW w:w="595" w:type="dxa"/>
            <w:vAlign w:val="top"/>
          </w:tcPr>
          <w:p w14:paraId="3304783D">
            <w:pPr>
              <w:rPr>
                <w:rFonts w:ascii="Arial"/>
                <w:color w:val="auto"/>
                <w:sz w:val="21"/>
                <w:highlight w:val="none"/>
              </w:rPr>
            </w:pPr>
          </w:p>
        </w:tc>
        <w:tc>
          <w:tcPr>
            <w:tcW w:w="686" w:type="dxa"/>
            <w:vAlign w:val="top"/>
          </w:tcPr>
          <w:p w14:paraId="0DFA6AAA">
            <w:pPr>
              <w:rPr>
                <w:rFonts w:ascii="Arial"/>
                <w:color w:val="auto"/>
                <w:sz w:val="21"/>
                <w:highlight w:val="none"/>
              </w:rPr>
            </w:pPr>
          </w:p>
        </w:tc>
        <w:tc>
          <w:tcPr>
            <w:tcW w:w="864" w:type="dxa"/>
            <w:vAlign w:val="top"/>
          </w:tcPr>
          <w:p w14:paraId="4E521019">
            <w:pPr>
              <w:rPr>
                <w:rFonts w:ascii="Arial"/>
                <w:color w:val="auto"/>
                <w:sz w:val="21"/>
                <w:highlight w:val="none"/>
              </w:rPr>
            </w:pPr>
          </w:p>
        </w:tc>
        <w:tc>
          <w:tcPr>
            <w:tcW w:w="907" w:type="dxa"/>
            <w:vAlign w:val="top"/>
          </w:tcPr>
          <w:p w14:paraId="0CB9B56E">
            <w:pPr>
              <w:rPr>
                <w:rFonts w:ascii="Arial"/>
                <w:color w:val="auto"/>
                <w:sz w:val="21"/>
                <w:highlight w:val="none"/>
              </w:rPr>
            </w:pPr>
          </w:p>
        </w:tc>
        <w:tc>
          <w:tcPr>
            <w:tcW w:w="1248" w:type="dxa"/>
            <w:vAlign w:val="top"/>
          </w:tcPr>
          <w:p w14:paraId="72E672C9">
            <w:pPr>
              <w:rPr>
                <w:rFonts w:ascii="Arial"/>
                <w:color w:val="auto"/>
                <w:sz w:val="21"/>
                <w:highlight w:val="none"/>
              </w:rPr>
            </w:pPr>
          </w:p>
        </w:tc>
        <w:tc>
          <w:tcPr>
            <w:tcW w:w="1382" w:type="dxa"/>
            <w:vAlign w:val="top"/>
          </w:tcPr>
          <w:p w14:paraId="7BA5625F">
            <w:pPr>
              <w:rPr>
                <w:rFonts w:ascii="Arial"/>
                <w:color w:val="auto"/>
                <w:sz w:val="21"/>
                <w:highlight w:val="none"/>
              </w:rPr>
            </w:pPr>
          </w:p>
        </w:tc>
        <w:tc>
          <w:tcPr>
            <w:tcW w:w="609" w:type="dxa"/>
            <w:vAlign w:val="top"/>
          </w:tcPr>
          <w:p w14:paraId="0394DFE7">
            <w:pPr>
              <w:rPr>
                <w:rFonts w:ascii="Arial"/>
                <w:color w:val="auto"/>
                <w:sz w:val="21"/>
                <w:highlight w:val="none"/>
              </w:rPr>
            </w:pPr>
          </w:p>
        </w:tc>
      </w:tr>
      <w:tr w14:paraId="6213C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7169D6C1">
            <w:pPr>
              <w:rPr>
                <w:rFonts w:ascii="Arial"/>
                <w:color w:val="auto"/>
                <w:sz w:val="21"/>
                <w:highlight w:val="none"/>
              </w:rPr>
            </w:pPr>
          </w:p>
        </w:tc>
        <w:tc>
          <w:tcPr>
            <w:tcW w:w="1468" w:type="dxa"/>
            <w:vAlign w:val="top"/>
          </w:tcPr>
          <w:p w14:paraId="52279F84">
            <w:pPr>
              <w:rPr>
                <w:rFonts w:ascii="Arial"/>
                <w:color w:val="auto"/>
                <w:sz w:val="21"/>
                <w:highlight w:val="none"/>
              </w:rPr>
            </w:pPr>
          </w:p>
        </w:tc>
        <w:tc>
          <w:tcPr>
            <w:tcW w:w="595" w:type="dxa"/>
            <w:vAlign w:val="top"/>
          </w:tcPr>
          <w:p w14:paraId="22861050">
            <w:pPr>
              <w:rPr>
                <w:rFonts w:ascii="Arial"/>
                <w:color w:val="auto"/>
                <w:sz w:val="21"/>
                <w:highlight w:val="none"/>
              </w:rPr>
            </w:pPr>
          </w:p>
        </w:tc>
        <w:tc>
          <w:tcPr>
            <w:tcW w:w="686" w:type="dxa"/>
            <w:vAlign w:val="top"/>
          </w:tcPr>
          <w:p w14:paraId="48FDB5FB">
            <w:pPr>
              <w:rPr>
                <w:rFonts w:ascii="Arial"/>
                <w:color w:val="auto"/>
                <w:sz w:val="21"/>
                <w:highlight w:val="none"/>
              </w:rPr>
            </w:pPr>
          </w:p>
        </w:tc>
        <w:tc>
          <w:tcPr>
            <w:tcW w:w="864" w:type="dxa"/>
            <w:vAlign w:val="top"/>
          </w:tcPr>
          <w:p w14:paraId="2A5E6D8E">
            <w:pPr>
              <w:rPr>
                <w:rFonts w:ascii="Arial"/>
                <w:color w:val="auto"/>
                <w:sz w:val="21"/>
                <w:highlight w:val="none"/>
              </w:rPr>
            </w:pPr>
          </w:p>
        </w:tc>
        <w:tc>
          <w:tcPr>
            <w:tcW w:w="907" w:type="dxa"/>
            <w:vAlign w:val="top"/>
          </w:tcPr>
          <w:p w14:paraId="31142E83">
            <w:pPr>
              <w:rPr>
                <w:rFonts w:ascii="Arial"/>
                <w:color w:val="auto"/>
                <w:sz w:val="21"/>
                <w:highlight w:val="none"/>
              </w:rPr>
            </w:pPr>
          </w:p>
        </w:tc>
        <w:tc>
          <w:tcPr>
            <w:tcW w:w="1248" w:type="dxa"/>
            <w:vAlign w:val="top"/>
          </w:tcPr>
          <w:p w14:paraId="4C2FA9BE">
            <w:pPr>
              <w:rPr>
                <w:rFonts w:ascii="Arial"/>
                <w:color w:val="auto"/>
                <w:sz w:val="21"/>
                <w:highlight w:val="none"/>
              </w:rPr>
            </w:pPr>
          </w:p>
        </w:tc>
        <w:tc>
          <w:tcPr>
            <w:tcW w:w="1382" w:type="dxa"/>
            <w:vAlign w:val="top"/>
          </w:tcPr>
          <w:p w14:paraId="5BC05DB0">
            <w:pPr>
              <w:rPr>
                <w:rFonts w:ascii="Arial"/>
                <w:color w:val="auto"/>
                <w:sz w:val="21"/>
                <w:highlight w:val="none"/>
              </w:rPr>
            </w:pPr>
          </w:p>
        </w:tc>
        <w:tc>
          <w:tcPr>
            <w:tcW w:w="609" w:type="dxa"/>
            <w:vAlign w:val="top"/>
          </w:tcPr>
          <w:p w14:paraId="09FB6664">
            <w:pPr>
              <w:rPr>
                <w:rFonts w:ascii="Arial"/>
                <w:color w:val="auto"/>
                <w:sz w:val="21"/>
                <w:highlight w:val="none"/>
              </w:rPr>
            </w:pPr>
          </w:p>
        </w:tc>
      </w:tr>
      <w:tr w14:paraId="4E470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552" w:type="dxa"/>
            <w:vAlign w:val="top"/>
          </w:tcPr>
          <w:p w14:paraId="4329C1DD">
            <w:pPr>
              <w:rPr>
                <w:rFonts w:ascii="Arial"/>
                <w:color w:val="auto"/>
                <w:sz w:val="21"/>
                <w:highlight w:val="none"/>
              </w:rPr>
            </w:pPr>
          </w:p>
        </w:tc>
        <w:tc>
          <w:tcPr>
            <w:tcW w:w="1468" w:type="dxa"/>
            <w:vAlign w:val="top"/>
          </w:tcPr>
          <w:p w14:paraId="7F4AE576">
            <w:pPr>
              <w:rPr>
                <w:rFonts w:ascii="Arial"/>
                <w:color w:val="auto"/>
                <w:sz w:val="21"/>
                <w:highlight w:val="none"/>
              </w:rPr>
            </w:pPr>
          </w:p>
        </w:tc>
        <w:tc>
          <w:tcPr>
            <w:tcW w:w="595" w:type="dxa"/>
            <w:vAlign w:val="top"/>
          </w:tcPr>
          <w:p w14:paraId="0580A782">
            <w:pPr>
              <w:rPr>
                <w:rFonts w:ascii="Arial"/>
                <w:color w:val="auto"/>
                <w:sz w:val="21"/>
                <w:highlight w:val="none"/>
              </w:rPr>
            </w:pPr>
          </w:p>
        </w:tc>
        <w:tc>
          <w:tcPr>
            <w:tcW w:w="686" w:type="dxa"/>
            <w:vAlign w:val="top"/>
          </w:tcPr>
          <w:p w14:paraId="08E4D74D">
            <w:pPr>
              <w:rPr>
                <w:rFonts w:ascii="Arial"/>
                <w:color w:val="auto"/>
                <w:sz w:val="21"/>
                <w:highlight w:val="none"/>
              </w:rPr>
            </w:pPr>
          </w:p>
        </w:tc>
        <w:tc>
          <w:tcPr>
            <w:tcW w:w="864" w:type="dxa"/>
            <w:vAlign w:val="top"/>
          </w:tcPr>
          <w:p w14:paraId="6DA56140">
            <w:pPr>
              <w:rPr>
                <w:rFonts w:ascii="Arial"/>
                <w:color w:val="auto"/>
                <w:sz w:val="21"/>
                <w:highlight w:val="none"/>
              </w:rPr>
            </w:pPr>
          </w:p>
        </w:tc>
        <w:tc>
          <w:tcPr>
            <w:tcW w:w="907" w:type="dxa"/>
            <w:vAlign w:val="top"/>
          </w:tcPr>
          <w:p w14:paraId="409B3C4F">
            <w:pPr>
              <w:rPr>
                <w:rFonts w:ascii="Arial"/>
                <w:color w:val="auto"/>
                <w:sz w:val="21"/>
                <w:highlight w:val="none"/>
              </w:rPr>
            </w:pPr>
          </w:p>
        </w:tc>
        <w:tc>
          <w:tcPr>
            <w:tcW w:w="1248" w:type="dxa"/>
            <w:vAlign w:val="top"/>
          </w:tcPr>
          <w:p w14:paraId="6788A21B">
            <w:pPr>
              <w:rPr>
                <w:rFonts w:ascii="Arial"/>
                <w:color w:val="auto"/>
                <w:sz w:val="21"/>
                <w:highlight w:val="none"/>
              </w:rPr>
            </w:pPr>
          </w:p>
        </w:tc>
        <w:tc>
          <w:tcPr>
            <w:tcW w:w="1382" w:type="dxa"/>
            <w:vAlign w:val="top"/>
          </w:tcPr>
          <w:p w14:paraId="52E2B972">
            <w:pPr>
              <w:rPr>
                <w:rFonts w:ascii="Arial"/>
                <w:color w:val="auto"/>
                <w:sz w:val="21"/>
                <w:highlight w:val="none"/>
              </w:rPr>
            </w:pPr>
          </w:p>
        </w:tc>
        <w:tc>
          <w:tcPr>
            <w:tcW w:w="609" w:type="dxa"/>
            <w:vAlign w:val="top"/>
          </w:tcPr>
          <w:p w14:paraId="32674536">
            <w:pPr>
              <w:rPr>
                <w:rFonts w:ascii="Arial"/>
                <w:color w:val="auto"/>
                <w:sz w:val="21"/>
                <w:highlight w:val="none"/>
              </w:rPr>
            </w:pPr>
          </w:p>
        </w:tc>
      </w:tr>
    </w:tbl>
    <w:p w14:paraId="52771148">
      <w:pPr>
        <w:spacing w:before="30" w:line="219" w:lineRule="auto"/>
        <w:ind w:left="1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注： 1.此表由招标人填写除“投标单价”栏的内容，</w:t>
      </w:r>
      <w:r>
        <w:rPr>
          <w:rFonts w:ascii="宋体" w:hAnsi="宋体" w:eastAsia="宋体" w:cs="宋体"/>
          <w:color w:val="auto"/>
          <w:spacing w:val="-24"/>
          <w:sz w:val="21"/>
          <w:szCs w:val="21"/>
          <w:highlight w:val="none"/>
        </w:rPr>
        <w:t xml:space="preserve"> </w:t>
      </w:r>
      <w:r>
        <w:rPr>
          <w:rFonts w:ascii="宋体" w:hAnsi="宋体" w:eastAsia="宋体" w:cs="宋体"/>
          <w:color w:val="auto"/>
          <w:spacing w:val="-5"/>
          <w:sz w:val="21"/>
          <w:szCs w:val="21"/>
          <w:highlight w:val="none"/>
        </w:rPr>
        <w:t>投标人在投标时自</w:t>
      </w:r>
      <w:r>
        <w:rPr>
          <w:rFonts w:ascii="宋体" w:hAnsi="宋体" w:eastAsia="宋体" w:cs="宋体"/>
          <w:color w:val="auto"/>
          <w:spacing w:val="-6"/>
          <w:sz w:val="21"/>
          <w:szCs w:val="21"/>
          <w:highlight w:val="none"/>
        </w:rPr>
        <w:t>主确定投标单价。</w:t>
      </w:r>
    </w:p>
    <w:p w14:paraId="26573B0B">
      <w:pPr>
        <w:spacing w:before="25" w:line="213" w:lineRule="auto"/>
        <w:ind w:left="17" w:right="6" w:firstLine="426"/>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2.招标人应优先采用工程造价管理机构发布的单价作为基准单价，未发布的，</w:t>
      </w:r>
      <w:r>
        <w:rPr>
          <w:rFonts w:ascii="宋体" w:hAnsi="宋体" w:eastAsia="宋体" w:cs="宋体"/>
          <w:color w:val="auto"/>
          <w:spacing w:val="2"/>
          <w:sz w:val="21"/>
          <w:szCs w:val="21"/>
          <w:highlight w:val="none"/>
        </w:rPr>
        <w:t>通过市</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场调查确定其基准单价。</w:t>
      </w:r>
    </w:p>
    <w:p w14:paraId="2E30501A">
      <w:pPr>
        <w:spacing w:line="213" w:lineRule="auto"/>
        <w:rPr>
          <w:rFonts w:ascii="宋体" w:hAnsi="宋体" w:eastAsia="宋体" w:cs="宋体"/>
          <w:color w:val="auto"/>
          <w:sz w:val="21"/>
          <w:szCs w:val="21"/>
          <w:highlight w:val="none"/>
        </w:rPr>
        <w:sectPr>
          <w:type w:val="continuous"/>
          <w:pgSz w:w="11905" w:h="16839"/>
          <w:pgMar w:top="400" w:right="1785" w:bottom="1004" w:left="1785" w:header="0" w:footer="828" w:gutter="0"/>
          <w:pgNumType w:fmt="decimal"/>
          <w:cols w:equalWidth="0" w:num="1">
            <w:col w:w="8333"/>
          </w:cols>
        </w:sectPr>
      </w:pPr>
    </w:p>
    <w:p w14:paraId="6CBE5A58">
      <w:pPr>
        <w:pStyle w:val="3"/>
        <w:spacing w:line="267" w:lineRule="auto"/>
        <w:rPr>
          <w:color w:val="auto"/>
          <w:highlight w:val="none"/>
        </w:rPr>
      </w:pPr>
    </w:p>
    <w:p w14:paraId="1AB84B63">
      <w:pPr>
        <w:pStyle w:val="3"/>
        <w:spacing w:line="268" w:lineRule="auto"/>
        <w:rPr>
          <w:color w:val="auto"/>
          <w:highlight w:val="none"/>
        </w:rPr>
      </w:pPr>
    </w:p>
    <w:p w14:paraId="3546B914">
      <w:pPr>
        <w:pStyle w:val="3"/>
        <w:spacing w:line="268" w:lineRule="auto"/>
        <w:rPr>
          <w:color w:val="auto"/>
          <w:highlight w:val="none"/>
        </w:rPr>
      </w:pPr>
    </w:p>
    <w:p w14:paraId="0D6F50E0">
      <w:pPr>
        <w:pStyle w:val="3"/>
        <w:spacing w:line="268" w:lineRule="auto"/>
        <w:rPr>
          <w:color w:val="auto"/>
          <w:highlight w:val="none"/>
        </w:rPr>
      </w:pPr>
    </w:p>
    <w:p w14:paraId="41530BB9">
      <w:pPr>
        <w:spacing w:before="78" w:line="218" w:lineRule="auto"/>
        <w:ind w:left="13"/>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 xml:space="preserve">4.16 </w:t>
      </w:r>
      <w:r>
        <w:rPr>
          <w:rFonts w:ascii="黑体" w:hAnsi="黑体" w:eastAsia="黑体" w:cs="黑体"/>
          <w:color w:val="auto"/>
          <w:spacing w:val="-1"/>
          <w:sz w:val="24"/>
          <w:szCs w:val="24"/>
          <w:highlight w:val="none"/>
        </w:rPr>
        <w:t>承包人提供主要材料和工程设备一览表</w:t>
      </w:r>
      <w:r>
        <w:rPr>
          <w:rFonts w:ascii="宋体" w:hAnsi="宋体" w:eastAsia="宋体" w:cs="宋体"/>
          <w:color w:val="auto"/>
          <w:spacing w:val="-1"/>
          <w:sz w:val="24"/>
          <w:szCs w:val="24"/>
          <w:highlight w:val="none"/>
        </w:rPr>
        <w:t>（适用于价格指数差额调整法）</w:t>
      </w:r>
    </w:p>
    <w:p w14:paraId="3830B90D">
      <w:pPr>
        <w:pStyle w:val="3"/>
        <w:spacing w:line="437" w:lineRule="auto"/>
        <w:rPr>
          <w:color w:val="auto"/>
          <w:highlight w:val="none"/>
        </w:rPr>
      </w:pPr>
    </w:p>
    <w:p w14:paraId="1B419A92">
      <w:pPr>
        <w:spacing w:before="87" w:line="225" w:lineRule="auto"/>
        <w:ind w:left="1796"/>
        <w:rPr>
          <w:rFonts w:ascii="黑体" w:hAnsi="黑体" w:eastAsia="黑体" w:cs="黑体"/>
          <w:color w:val="auto"/>
          <w:sz w:val="27"/>
          <w:szCs w:val="27"/>
          <w:highlight w:val="none"/>
        </w:rPr>
      </w:pPr>
      <w:r>
        <w:rPr>
          <w:rFonts w:ascii="黑体" w:hAnsi="黑体" w:eastAsia="黑体" w:cs="黑体"/>
          <w:color w:val="auto"/>
          <w:spacing w:val="9"/>
          <w:sz w:val="27"/>
          <w:szCs w:val="27"/>
          <w:highlight w:val="none"/>
        </w:rPr>
        <w:t>承包人提供主要材料和工程设备一览表</w:t>
      </w:r>
    </w:p>
    <w:p w14:paraId="693C98F1">
      <w:pPr>
        <w:spacing w:line="220" w:lineRule="exact"/>
        <w:rPr>
          <w:color w:val="auto"/>
          <w:highlight w:val="none"/>
        </w:rPr>
      </w:pPr>
    </w:p>
    <w:p w14:paraId="32D01DF8">
      <w:pPr>
        <w:spacing w:line="220" w:lineRule="exact"/>
        <w:rPr>
          <w:color w:val="auto"/>
          <w:highlight w:val="none"/>
        </w:rPr>
        <w:sectPr>
          <w:footerReference r:id="rId200" w:type="default"/>
          <w:pgSz w:w="11905" w:h="16839"/>
          <w:pgMar w:top="400" w:right="1195" w:bottom="1004" w:left="1785" w:header="0" w:footer="828" w:gutter="0"/>
          <w:pgNumType w:fmt="decimal"/>
          <w:cols w:equalWidth="0" w:num="1">
            <w:col w:w="8923"/>
          </w:cols>
        </w:sectPr>
      </w:pPr>
    </w:p>
    <w:p w14:paraId="1347F7AC">
      <w:pPr>
        <w:spacing w:before="41" w:line="186" w:lineRule="auto"/>
        <w:ind w:left="20"/>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工程名称：</w:t>
      </w:r>
    </w:p>
    <w:p w14:paraId="32DF3A44">
      <w:pPr>
        <w:pStyle w:val="3"/>
        <w:spacing w:line="14" w:lineRule="auto"/>
        <w:rPr>
          <w:color w:val="auto"/>
          <w:sz w:val="2"/>
          <w:highlight w:val="none"/>
        </w:rPr>
      </w:pPr>
      <w:r>
        <w:rPr>
          <w:color w:val="auto"/>
          <w:sz w:val="2"/>
          <w:szCs w:val="2"/>
          <w:highlight w:val="none"/>
        </w:rPr>
        <w:br w:type="column"/>
      </w:r>
    </w:p>
    <w:p w14:paraId="6766C2EC">
      <w:pPr>
        <w:spacing w:before="40" w:line="186" w:lineRule="auto"/>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标段名称：</w:t>
      </w:r>
      <w:r>
        <w:rPr>
          <w:rFonts w:ascii="宋体" w:hAnsi="宋体" w:eastAsia="宋体" w:cs="宋体"/>
          <w:color w:val="auto"/>
          <w:spacing w:val="6"/>
          <w:sz w:val="21"/>
          <w:szCs w:val="21"/>
          <w:highlight w:val="none"/>
        </w:rPr>
        <w:t xml:space="preserve">         </w:t>
      </w:r>
      <w:r>
        <w:rPr>
          <w:rFonts w:ascii="宋体" w:hAnsi="宋体" w:eastAsia="宋体" w:cs="宋体"/>
          <w:color w:val="auto"/>
          <w:spacing w:val="-13"/>
          <w:sz w:val="21"/>
          <w:szCs w:val="21"/>
          <w:highlight w:val="none"/>
        </w:rPr>
        <w:t>第 页</w:t>
      </w:r>
      <w:r>
        <w:rPr>
          <w:rFonts w:ascii="宋体" w:hAnsi="宋体" w:eastAsia="宋体" w:cs="宋体"/>
          <w:color w:val="auto"/>
          <w:spacing w:val="11"/>
          <w:sz w:val="21"/>
          <w:szCs w:val="21"/>
          <w:highlight w:val="none"/>
        </w:rPr>
        <w:t xml:space="preserve"> </w:t>
      </w:r>
      <w:r>
        <w:rPr>
          <w:rFonts w:ascii="宋体" w:hAnsi="宋体" w:eastAsia="宋体" w:cs="宋体"/>
          <w:color w:val="auto"/>
          <w:spacing w:val="-13"/>
          <w:sz w:val="21"/>
          <w:szCs w:val="21"/>
          <w:highlight w:val="none"/>
        </w:rPr>
        <w:t>共</w:t>
      </w:r>
      <w:r>
        <w:rPr>
          <w:rFonts w:ascii="宋体" w:hAnsi="宋体" w:eastAsia="宋体" w:cs="宋体"/>
          <w:color w:val="auto"/>
          <w:spacing w:val="14"/>
          <w:sz w:val="21"/>
          <w:szCs w:val="21"/>
          <w:highlight w:val="none"/>
        </w:rPr>
        <w:t xml:space="preserve"> </w:t>
      </w:r>
      <w:r>
        <w:rPr>
          <w:rFonts w:ascii="宋体" w:hAnsi="宋体" w:eastAsia="宋体" w:cs="宋体"/>
          <w:color w:val="auto"/>
          <w:spacing w:val="-13"/>
          <w:sz w:val="21"/>
          <w:szCs w:val="21"/>
          <w:highlight w:val="none"/>
        </w:rPr>
        <w:t>页</w:t>
      </w:r>
    </w:p>
    <w:p w14:paraId="7151A1A8">
      <w:pPr>
        <w:spacing w:line="186" w:lineRule="auto"/>
        <w:rPr>
          <w:rFonts w:ascii="宋体" w:hAnsi="宋体" w:eastAsia="宋体" w:cs="宋体"/>
          <w:color w:val="auto"/>
          <w:sz w:val="21"/>
          <w:szCs w:val="21"/>
          <w:highlight w:val="none"/>
        </w:rPr>
        <w:sectPr>
          <w:type w:val="continuous"/>
          <w:pgSz w:w="11905" w:h="16839"/>
          <w:pgMar w:top="400" w:right="1195" w:bottom="1004" w:left="1785" w:header="0" w:footer="828" w:gutter="0"/>
          <w:pgNumType w:fmt="decimal"/>
          <w:cols w:equalWidth="0" w:num="2">
            <w:col w:w="2234" w:space="100"/>
            <w:col w:w="6590"/>
          </w:cols>
        </w:sectPr>
      </w:pPr>
    </w:p>
    <w:p w14:paraId="6D5360F4">
      <w:pPr>
        <w:spacing w:line="32" w:lineRule="exact"/>
        <w:rPr>
          <w:color w:val="auto"/>
          <w:highlight w:val="none"/>
        </w:rPr>
      </w:pPr>
    </w:p>
    <w:tbl>
      <w:tblPr>
        <w:tblStyle w:val="10"/>
        <w:tblW w:w="890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0"/>
        <w:gridCol w:w="1843"/>
        <w:gridCol w:w="1440"/>
        <w:gridCol w:w="1799"/>
        <w:gridCol w:w="1732"/>
        <w:gridCol w:w="1483"/>
      </w:tblGrid>
      <w:tr w14:paraId="1C9D2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0" w:type="dxa"/>
            <w:textDirection w:val="tbRlV"/>
            <w:vAlign w:val="top"/>
          </w:tcPr>
          <w:p w14:paraId="17A83B40">
            <w:pPr>
              <w:pStyle w:val="11"/>
              <w:spacing w:before="196" w:line="211" w:lineRule="auto"/>
              <w:ind w:left="192"/>
              <w:rPr>
                <w:color w:val="auto"/>
                <w:highlight w:val="none"/>
              </w:rPr>
            </w:pPr>
            <w:r>
              <w:rPr>
                <w:color w:val="auto"/>
                <w:spacing w:val="1"/>
                <w:highlight w:val="none"/>
              </w:rPr>
              <w:t>序</w:t>
            </w:r>
            <w:r>
              <w:rPr>
                <w:color w:val="auto"/>
                <w:spacing w:val="-43"/>
                <w:highlight w:val="none"/>
              </w:rPr>
              <w:t xml:space="preserve"> </w:t>
            </w:r>
            <w:r>
              <w:rPr>
                <w:color w:val="auto"/>
                <w:spacing w:val="1"/>
                <w:highlight w:val="none"/>
              </w:rPr>
              <w:t>号</w:t>
            </w:r>
          </w:p>
        </w:tc>
        <w:tc>
          <w:tcPr>
            <w:tcW w:w="1843" w:type="dxa"/>
            <w:vAlign w:val="top"/>
          </w:tcPr>
          <w:p w14:paraId="0AE87176">
            <w:pPr>
              <w:pStyle w:val="11"/>
              <w:spacing w:before="193" w:line="231" w:lineRule="auto"/>
              <w:ind w:left="824" w:right="196" w:hanging="631"/>
              <w:rPr>
                <w:color w:val="auto"/>
                <w:highlight w:val="none"/>
              </w:rPr>
            </w:pPr>
            <w:r>
              <w:rPr>
                <w:color w:val="auto"/>
                <w:spacing w:val="-4"/>
                <w:highlight w:val="none"/>
              </w:rPr>
              <w:t>名称、规格、型</w:t>
            </w:r>
            <w:r>
              <w:rPr>
                <w:color w:val="auto"/>
                <w:spacing w:val="5"/>
                <w:highlight w:val="none"/>
              </w:rPr>
              <w:t xml:space="preserve"> </w:t>
            </w:r>
            <w:r>
              <w:rPr>
                <w:color w:val="auto"/>
                <w:highlight w:val="none"/>
              </w:rPr>
              <w:t>号</w:t>
            </w:r>
          </w:p>
        </w:tc>
        <w:tc>
          <w:tcPr>
            <w:tcW w:w="1440" w:type="dxa"/>
            <w:vAlign w:val="top"/>
          </w:tcPr>
          <w:p w14:paraId="2CD56AA9">
            <w:pPr>
              <w:spacing w:line="261" w:lineRule="auto"/>
              <w:rPr>
                <w:rFonts w:ascii="Arial"/>
                <w:color w:val="auto"/>
                <w:sz w:val="21"/>
                <w:highlight w:val="none"/>
              </w:rPr>
            </w:pPr>
          </w:p>
          <w:p w14:paraId="7D96210C">
            <w:pPr>
              <w:pStyle w:val="11"/>
              <w:spacing w:before="68" w:line="221" w:lineRule="auto"/>
              <w:ind w:left="210"/>
              <w:rPr>
                <w:rFonts w:ascii="Times New Roman" w:hAnsi="Times New Roman" w:eastAsia="Times New Roman" w:cs="Times New Roman"/>
                <w:color w:val="auto"/>
                <w:highlight w:val="none"/>
              </w:rPr>
            </w:pPr>
            <w:r>
              <w:rPr>
                <w:color w:val="auto"/>
                <w:spacing w:val="-1"/>
                <w:highlight w:val="none"/>
              </w:rPr>
              <w:t>变值权重</w:t>
            </w:r>
            <w:r>
              <w:rPr>
                <w:color w:val="auto"/>
                <w:spacing w:val="-49"/>
                <w:highlight w:val="none"/>
              </w:rPr>
              <w:t xml:space="preserve"> </w:t>
            </w:r>
            <w:r>
              <w:rPr>
                <w:rFonts w:ascii="Times New Roman" w:hAnsi="Times New Roman" w:eastAsia="Times New Roman" w:cs="Times New Roman"/>
                <w:color w:val="auto"/>
                <w:spacing w:val="-1"/>
                <w:highlight w:val="none"/>
              </w:rPr>
              <w:t>B</w:t>
            </w:r>
          </w:p>
        </w:tc>
        <w:tc>
          <w:tcPr>
            <w:tcW w:w="1799" w:type="dxa"/>
            <w:vAlign w:val="top"/>
          </w:tcPr>
          <w:p w14:paraId="01470F5B">
            <w:pPr>
              <w:spacing w:line="262" w:lineRule="auto"/>
              <w:rPr>
                <w:rFonts w:ascii="Arial"/>
                <w:color w:val="auto"/>
                <w:sz w:val="21"/>
                <w:highlight w:val="none"/>
              </w:rPr>
            </w:pPr>
          </w:p>
          <w:p w14:paraId="5854E27B">
            <w:pPr>
              <w:pStyle w:val="11"/>
              <w:spacing w:before="68" w:line="219" w:lineRule="auto"/>
              <w:ind w:left="158"/>
              <w:rPr>
                <w:rFonts w:ascii="Times New Roman" w:hAnsi="Times New Roman" w:eastAsia="Times New Roman" w:cs="Times New Roman"/>
                <w:color w:val="auto"/>
                <w:sz w:val="13"/>
                <w:szCs w:val="13"/>
                <w:highlight w:val="none"/>
              </w:rPr>
            </w:pPr>
            <w:r>
              <w:rPr>
                <w:color w:val="auto"/>
                <w:spacing w:val="-1"/>
                <w:highlight w:val="none"/>
              </w:rPr>
              <w:t>基本价格指数</w:t>
            </w:r>
            <w:r>
              <w:rPr>
                <w:color w:val="auto"/>
                <w:spacing w:val="-48"/>
                <w:highlight w:val="none"/>
              </w:rPr>
              <w:t xml:space="preserve"> </w:t>
            </w:r>
            <w:r>
              <w:rPr>
                <w:rFonts w:ascii="Times New Roman" w:hAnsi="Times New Roman" w:eastAsia="Times New Roman" w:cs="Times New Roman"/>
                <w:color w:val="auto"/>
                <w:spacing w:val="-1"/>
                <w:highlight w:val="none"/>
              </w:rPr>
              <w:t>F</w:t>
            </w:r>
            <w:r>
              <w:rPr>
                <w:rFonts w:ascii="Times New Roman" w:hAnsi="Times New Roman" w:eastAsia="Times New Roman" w:cs="Times New Roman"/>
                <w:color w:val="auto"/>
                <w:spacing w:val="-1"/>
                <w:position w:val="-1"/>
                <w:sz w:val="13"/>
                <w:szCs w:val="13"/>
                <w:highlight w:val="none"/>
              </w:rPr>
              <w:t>0</w:t>
            </w:r>
          </w:p>
        </w:tc>
        <w:tc>
          <w:tcPr>
            <w:tcW w:w="1732" w:type="dxa"/>
            <w:vAlign w:val="top"/>
          </w:tcPr>
          <w:p w14:paraId="5168AFA7">
            <w:pPr>
              <w:spacing w:line="262" w:lineRule="auto"/>
              <w:rPr>
                <w:rFonts w:ascii="Arial"/>
                <w:color w:val="auto"/>
                <w:sz w:val="21"/>
                <w:highlight w:val="none"/>
              </w:rPr>
            </w:pPr>
          </w:p>
          <w:p w14:paraId="0FF6EBBF">
            <w:pPr>
              <w:pStyle w:val="11"/>
              <w:spacing w:before="68" w:line="236" w:lineRule="auto"/>
              <w:ind w:left="142"/>
              <w:rPr>
                <w:rFonts w:ascii="Times New Roman" w:hAnsi="Times New Roman" w:eastAsia="Times New Roman" w:cs="Times New Roman"/>
                <w:color w:val="auto"/>
                <w:sz w:val="13"/>
                <w:szCs w:val="13"/>
                <w:highlight w:val="none"/>
              </w:rPr>
            </w:pPr>
            <w:r>
              <w:rPr>
                <w:color w:val="auto"/>
                <w:spacing w:val="-2"/>
                <w:highlight w:val="none"/>
              </w:rPr>
              <w:t>现行价格指数</w:t>
            </w:r>
            <w:r>
              <w:rPr>
                <w:color w:val="auto"/>
                <w:spacing w:val="-43"/>
                <w:highlight w:val="none"/>
              </w:rPr>
              <w:t xml:space="preserve"> </w:t>
            </w:r>
            <w:r>
              <w:rPr>
                <w:rFonts w:ascii="Times New Roman" w:hAnsi="Times New Roman" w:eastAsia="Times New Roman" w:cs="Times New Roman"/>
                <w:color w:val="auto"/>
                <w:spacing w:val="-2"/>
                <w:highlight w:val="none"/>
              </w:rPr>
              <w:t>F</w:t>
            </w:r>
            <w:r>
              <w:rPr>
                <w:rFonts w:ascii="Times New Roman" w:hAnsi="Times New Roman" w:eastAsia="Times New Roman" w:cs="Times New Roman"/>
                <w:color w:val="auto"/>
                <w:spacing w:val="-2"/>
                <w:position w:val="-1"/>
                <w:sz w:val="13"/>
                <w:szCs w:val="13"/>
                <w:highlight w:val="none"/>
              </w:rPr>
              <w:t>t</w:t>
            </w:r>
          </w:p>
        </w:tc>
        <w:tc>
          <w:tcPr>
            <w:tcW w:w="1483" w:type="dxa"/>
            <w:vAlign w:val="top"/>
          </w:tcPr>
          <w:p w14:paraId="6F0FB6F4">
            <w:pPr>
              <w:spacing w:line="262" w:lineRule="auto"/>
              <w:rPr>
                <w:rFonts w:ascii="Arial"/>
                <w:color w:val="auto"/>
                <w:sz w:val="21"/>
                <w:highlight w:val="none"/>
              </w:rPr>
            </w:pPr>
          </w:p>
          <w:p w14:paraId="0E6A7241">
            <w:pPr>
              <w:pStyle w:val="11"/>
              <w:spacing w:before="68" w:line="222" w:lineRule="auto"/>
              <w:ind w:left="543"/>
              <w:rPr>
                <w:color w:val="auto"/>
                <w:highlight w:val="none"/>
              </w:rPr>
            </w:pPr>
            <w:r>
              <w:rPr>
                <w:color w:val="auto"/>
                <w:spacing w:val="-3"/>
                <w:highlight w:val="none"/>
              </w:rPr>
              <w:t>备注</w:t>
            </w:r>
          </w:p>
        </w:tc>
      </w:tr>
      <w:tr w14:paraId="5D8A5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14:paraId="65DA46C9">
            <w:pPr>
              <w:rPr>
                <w:rFonts w:ascii="Arial"/>
                <w:color w:val="auto"/>
                <w:sz w:val="21"/>
                <w:highlight w:val="none"/>
              </w:rPr>
            </w:pPr>
          </w:p>
        </w:tc>
        <w:tc>
          <w:tcPr>
            <w:tcW w:w="1843" w:type="dxa"/>
            <w:vAlign w:val="top"/>
          </w:tcPr>
          <w:p w14:paraId="3F88DB94">
            <w:pPr>
              <w:rPr>
                <w:rFonts w:ascii="Arial"/>
                <w:color w:val="auto"/>
                <w:sz w:val="21"/>
                <w:highlight w:val="none"/>
              </w:rPr>
            </w:pPr>
          </w:p>
        </w:tc>
        <w:tc>
          <w:tcPr>
            <w:tcW w:w="1440" w:type="dxa"/>
            <w:vAlign w:val="top"/>
          </w:tcPr>
          <w:p w14:paraId="6F59E02F">
            <w:pPr>
              <w:rPr>
                <w:rFonts w:ascii="Arial"/>
                <w:color w:val="auto"/>
                <w:sz w:val="21"/>
                <w:highlight w:val="none"/>
              </w:rPr>
            </w:pPr>
          </w:p>
        </w:tc>
        <w:tc>
          <w:tcPr>
            <w:tcW w:w="1799" w:type="dxa"/>
            <w:vAlign w:val="top"/>
          </w:tcPr>
          <w:p w14:paraId="05829C0B">
            <w:pPr>
              <w:rPr>
                <w:rFonts w:ascii="Arial"/>
                <w:color w:val="auto"/>
                <w:sz w:val="21"/>
                <w:highlight w:val="none"/>
              </w:rPr>
            </w:pPr>
          </w:p>
        </w:tc>
        <w:tc>
          <w:tcPr>
            <w:tcW w:w="1732" w:type="dxa"/>
            <w:vAlign w:val="top"/>
          </w:tcPr>
          <w:p w14:paraId="2B7BB004">
            <w:pPr>
              <w:rPr>
                <w:rFonts w:ascii="Arial"/>
                <w:color w:val="auto"/>
                <w:sz w:val="21"/>
                <w:highlight w:val="none"/>
              </w:rPr>
            </w:pPr>
          </w:p>
        </w:tc>
        <w:tc>
          <w:tcPr>
            <w:tcW w:w="1483" w:type="dxa"/>
            <w:vAlign w:val="top"/>
          </w:tcPr>
          <w:p w14:paraId="7D72AD71">
            <w:pPr>
              <w:rPr>
                <w:rFonts w:ascii="Arial"/>
                <w:color w:val="auto"/>
                <w:sz w:val="21"/>
                <w:highlight w:val="none"/>
              </w:rPr>
            </w:pPr>
          </w:p>
        </w:tc>
      </w:tr>
      <w:tr w14:paraId="65809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0" w:type="dxa"/>
            <w:vAlign w:val="top"/>
          </w:tcPr>
          <w:p w14:paraId="376F591B">
            <w:pPr>
              <w:rPr>
                <w:rFonts w:ascii="Arial"/>
                <w:color w:val="auto"/>
                <w:sz w:val="21"/>
                <w:highlight w:val="none"/>
              </w:rPr>
            </w:pPr>
          </w:p>
        </w:tc>
        <w:tc>
          <w:tcPr>
            <w:tcW w:w="1843" w:type="dxa"/>
            <w:vAlign w:val="top"/>
          </w:tcPr>
          <w:p w14:paraId="771FBCAB">
            <w:pPr>
              <w:rPr>
                <w:rFonts w:ascii="Arial"/>
                <w:color w:val="auto"/>
                <w:sz w:val="21"/>
                <w:highlight w:val="none"/>
              </w:rPr>
            </w:pPr>
          </w:p>
        </w:tc>
        <w:tc>
          <w:tcPr>
            <w:tcW w:w="1440" w:type="dxa"/>
            <w:vAlign w:val="top"/>
          </w:tcPr>
          <w:p w14:paraId="3087BE4B">
            <w:pPr>
              <w:rPr>
                <w:rFonts w:ascii="Arial"/>
                <w:color w:val="auto"/>
                <w:sz w:val="21"/>
                <w:highlight w:val="none"/>
              </w:rPr>
            </w:pPr>
          </w:p>
        </w:tc>
        <w:tc>
          <w:tcPr>
            <w:tcW w:w="1799" w:type="dxa"/>
            <w:vAlign w:val="top"/>
          </w:tcPr>
          <w:p w14:paraId="4FC1A12A">
            <w:pPr>
              <w:rPr>
                <w:rFonts w:ascii="Arial"/>
                <w:color w:val="auto"/>
                <w:sz w:val="21"/>
                <w:highlight w:val="none"/>
              </w:rPr>
            </w:pPr>
          </w:p>
        </w:tc>
        <w:tc>
          <w:tcPr>
            <w:tcW w:w="1732" w:type="dxa"/>
            <w:vAlign w:val="top"/>
          </w:tcPr>
          <w:p w14:paraId="558DA61B">
            <w:pPr>
              <w:rPr>
                <w:rFonts w:ascii="Arial"/>
                <w:color w:val="auto"/>
                <w:sz w:val="21"/>
                <w:highlight w:val="none"/>
              </w:rPr>
            </w:pPr>
          </w:p>
        </w:tc>
        <w:tc>
          <w:tcPr>
            <w:tcW w:w="1483" w:type="dxa"/>
            <w:vAlign w:val="top"/>
          </w:tcPr>
          <w:p w14:paraId="7D3D9F66">
            <w:pPr>
              <w:rPr>
                <w:rFonts w:ascii="Arial"/>
                <w:color w:val="auto"/>
                <w:sz w:val="21"/>
                <w:highlight w:val="none"/>
              </w:rPr>
            </w:pPr>
          </w:p>
        </w:tc>
      </w:tr>
      <w:tr w14:paraId="7FFF2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14:paraId="0181F42E">
            <w:pPr>
              <w:rPr>
                <w:rFonts w:ascii="Arial"/>
                <w:color w:val="auto"/>
                <w:sz w:val="21"/>
                <w:highlight w:val="none"/>
              </w:rPr>
            </w:pPr>
          </w:p>
        </w:tc>
        <w:tc>
          <w:tcPr>
            <w:tcW w:w="1843" w:type="dxa"/>
            <w:vAlign w:val="top"/>
          </w:tcPr>
          <w:p w14:paraId="440EB08A">
            <w:pPr>
              <w:rPr>
                <w:rFonts w:ascii="Arial"/>
                <w:color w:val="auto"/>
                <w:sz w:val="21"/>
                <w:highlight w:val="none"/>
              </w:rPr>
            </w:pPr>
          </w:p>
        </w:tc>
        <w:tc>
          <w:tcPr>
            <w:tcW w:w="1440" w:type="dxa"/>
            <w:vAlign w:val="top"/>
          </w:tcPr>
          <w:p w14:paraId="233237DD">
            <w:pPr>
              <w:rPr>
                <w:rFonts w:ascii="Arial"/>
                <w:color w:val="auto"/>
                <w:sz w:val="21"/>
                <w:highlight w:val="none"/>
              </w:rPr>
            </w:pPr>
          </w:p>
        </w:tc>
        <w:tc>
          <w:tcPr>
            <w:tcW w:w="1799" w:type="dxa"/>
            <w:vAlign w:val="top"/>
          </w:tcPr>
          <w:p w14:paraId="1833D0A1">
            <w:pPr>
              <w:rPr>
                <w:rFonts w:ascii="Arial"/>
                <w:color w:val="auto"/>
                <w:sz w:val="21"/>
                <w:highlight w:val="none"/>
              </w:rPr>
            </w:pPr>
          </w:p>
        </w:tc>
        <w:tc>
          <w:tcPr>
            <w:tcW w:w="1732" w:type="dxa"/>
            <w:vAlign w:val="top"/>
          </w:tcPr>
          <w:p w14:paraId="2CAFF486">
            <w:pPr>
              <w:rPr>
                <w:rFonts w:ascii="Arial"/>
                <w:color w:val="auto"/>
                <w:sz w:val="21"/>
                <w:highlight w:val="none"/>
              </w:rPr>
            </w:pPr>
          </w:p>
        </w:tc>
        <w:tc>
          <w:tcPr>
            <w:tcW w:w="1483" w:type="dxa"/>
            <w:vAlign w:val="top"/>
          </w:tcPr>
          <w:p w14:paraId="7E9D6BCE">
            <w:pPr>
              <w:rPr>
                <w:rFonts w:ascii="Arial"/>
                <w:color w:val="auto"/>
                <w:sz w:val="21"/>
                <w:highlight w:val="none"/>
              </w:rPr>
            </w:pPr>
          </w:p>
        </w:tc>
      </w:tr>
      <w:tr w14:paraId="1AC03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14:paraId="1B8C4520">
            <w:pPr>
              <w:rPr>
                <w:rFonts w:ascii="Arial"/>
                <w:color w:val="auto"/>
                <w:sz w:val="21"/>
                <w:highlight w:val="none"/>
              </w:rPr>
            </w:pPr>
          </w:p>
        </w:tc>
        <w:tc>
          <w:tcPr>
            <w:tcW w:w="1843" w:type="dxa"/>
            <w:vAlign w:val="top"/>
          </w:tcPr>
          <w:p w14:paraId="742F973B">
            <w:pPr>
              <w:rPr>
                <w:rFonts w:ascii="Arial"/>
                <w:color w:val="auto"/>
                <w:sz w:val="21"/>
                <w:highlight w:val="none"/>
              </w:rPr>
            </w:pPr>
          </w:p>
        </w:tc>
        <w:tc>
          <w:tcPr>
            <w:tcW w:w="1440" w:type="dxa"/>
            <w:vAlign w:val="top"/>
          </w:tcPr>
          <w:p w14:paraId="26D2DB1D">
            <w:pPr>
              <w:rPr>
                <w:rFonts w:ascii="Arial"/>
                <w:color w:val="auto"/>
                <w:sz w:val="21"/>
                <w:highlight w:val="none"/>
              </w:rPr>
            </w:pPr>
          </w:p>
        </w:tc>
        <w:tc>
          <w:tcPr>
            <w:tcW w:w="1799" w:type="dxa"/>
            <w:vAlign w:val="top"/>
          </w:tcPr>
          <w:p w14:paraId="32255D74">
            <w:pPr>
              <w:rPr>
                <w:rFonts w:ascii="Arial"/>
                <w:color w:val="auto"/>
                <w:sz w:val="21"/>
                <w:highlight w:val="none"/>
              </w:rPr>
            </w:pPr>
          </w:p>
        </w:tc>
        <w:tc>
          <w:tcPr>
            <w:tcW w:w="1732" w:type="dxa"/>
            <w:vAlign w:val="top"/>
          </w:tcPr>
          <w:p w14:paraId="1BCCD3F7">
            <w:pPr>
              <w:rPr>
                <w:rFonts w:ascii="Arial"/>
                <w:color w:val="auto"/>
                <w:sz w:val="21"/>
                <w:highlight w:val="none"/>
              </w:rPr>
            </w:pPr>
          </w:p>
        </w:tc>
        <w:tc>
          <w:tcPr>
            <w:tcW w:w="1483" w:type="dxa"/>
            <w:vAlign w:val="top"/>
          </w:tcPr>
          <w:p w14:paraId="174D6DF0">
            <w:pPr>
              <w:rPr>
                <w:rFonts w:ascii="Arial"/>
                <w:color w:val="auto"/>
                <w:sz w:val="21"/>
                <w:highlight w:val="none"/>
              </w:rPr>
            </w:pPr>
          </w:p>
        </w:tc>
      </w:tr>
      <w:tr w14:paraId="56F94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0" w:type="dxa"/>
            <w:vAlign w:val="top"/>
          </w:tcPr>
          <w:p w14:paraId="4EA4B42E">
            <w:pPr>
              <w:rPr>
                <w:rFonts w:ascii="Arial"/>
                <w:color w:val="auto"/>
                <w:sz w:val="21"/>
                <w:highlight w:val="none"/>
              </w:rPr>
            </w:pPr>
          </w:p>
        </w:tc>
        <w:tc>
          <w:tcPr>
            <w:tcW w:w="1843" w:type="dxa"/>
            <w:vAlign w:val="top"/>
          </w:tcPr>
          <w:p w14:paraId="214FC7FB">
            <w:pPr>
              <w:rPr>
                <w:rFonts w:ascii="Arial"/>
                <w:color w:val="auto"/>
                <w:sz w:val="21"/>
                <w:highlight w:val="none"/>
              </w:rPr>
            </w:pPr>
          </w:p>
        </w:tc>
        <w:tc>
          <w:tcPr>
            <w:tcW w:w="1440" w:type="dxa"/>
            <w:vAlign w:val="top"/>
          </w:tcPr>
          <w:p w14:paraId="03D306CB">
            <w:pPr>
              <w:rPr>
                <w:rFonts w:ascii="Arial"/>
                <w:color w:val="auto"/>
                <w:sz w:val="21"/>
                <w:highlight w:val="none"/>
              </w:rPr>
            </w:pPr>
          </w:p>
        </w:tc>
        <w:tc>
          <w:tcPr>
            <w:tcW w:w="1799" w:type="dxa"/>
            <w:vAlign w:val="top"/>
          </w:tcPr>
          <w:p w14:paraId="48FFAEDB">
            <w:pPr>
              <w:rPr>
                <w:rFonts w:ascii="Arial"/>
                <w:color w:val="auto"/>
                <w:sz w:val="21"/>
                <w:highlight w:val="none"/>
              </w:rPr>
            </w:pPr>
          </w:p>
        </w:tc>
        <w:tc>
          <w:tcPr>
            <w:tcW w:w="1732" w:type="dxa"/>
            <w:vAlign w:val="top"/>
          </w:tcPr>
          <w:p w14:paraId="4EF16717">
            <w:pPr>
              <w:rPr>
                <w:rFonts w:ascii="Arial"/>
                <w:color w:val="auto"/>
                <w:sz w:val="21"/>
                <w:highlight w:val="none"/>
              </w:rPr>
            </w:pPr>
          </w:p>
        </w:tc>
        <w:tc>
          <w:tcPr>
            <w:tcW w:w="1483" w:type="dxa"/>
            <w:vAlign w:val="top"/>
          </w:tcPr>
          <w:p w14:paraId="73A851C9">
            <w:pPr>
              <w:rPr>
                <w:rFonts w:ascii="Arial"/>
                <w:color w:val="auto"/>
                <w:sz w:val="21"/>
                <w:highlight w:val="none"/>
              </w:rPr>
            </w:pPr>
          </w:p>
        </w:tc>
      </w:tr>
      <w:tr w14:paraId="51FB2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14:paraId="4DF15635">
            <w:pPr>
              <w:rPr>
                <w:rFonts w:ascii="Arial"/>
                <w:color w:val="auto"/>
                <w:sz w:val="21"/>
                <w:highlight w:val="none"/>
              </w:rPr>
            </w:pPr>
          </w:p>
        </w:tc>
        <w:tc>
          <w:tcPr>
            <w:tcW w:w="1843" w:type="dxa"/>
            <w:vAlign w:val="top"/>
          </w:tcPr>
          <w:p w14:paraId="182C52DF">
            <w:pPr>
              <w:rPr>
                <w:rFonts w:ascii="Arial"/>
                <w:color w:val="auto"/>
                <w:sz w:val="21"/>
                <w:highlight w:val="none"/>
              </w:rPr>
            </w:pPr>
          </w:p>
        </w:tc>
        <w:tc>
          <w:tcPr>
            <w:tcW w:w="1440" w:type="dxa"/>
            <w:vAlign w:val="top"/>
          </w:tcPr>
          <w:p w14:paraId="212A48AC">
            <w:pPr>
              <w:rPr>
                <w:rFonts w:ascii="Arial"/>
                <w:color w:val="auto"/>
                <w:sz w:val="21"/>
                <w:highlight w:val="none"/>
              </w:rPr>
            </w:pPr>
          </w:p>
        </w:tc>
        <w:tc>
          <w:tcPr>
            <w:tcW w:w="1799" w:type="dxa"/>
            <w:vAlign w:val="top"/>
          </w:tcPr>
          <w:p w14:paraId="779020A3">
            <w:pPr>
              <w:rPr>
                <w:rFonts w:ascii="Arial"/>
                <w:color w:val="auto"/>
                <w:sz w:val="21"/>
                <w:highlight w:val="none"/>
              </w:rPr>
            </w:pPr>
          </w:p>
        </w:tc>
        <w:tc>
          <w:tcPr>
            <w:tcW w:w="1732" w:type="dxa"/>
            <w:vAlign w:val="top"/>
          </w:tcPr>
          <w:p w14:paraId="610E8530">
            <w:pPr>
              <w:rPr>
                <w:rFonts w:ascii="Arial"/>
                <w:color w:val="auto"/>
                <w:sz w:val="21"/>
                <w:highlight w:val="none"/>
              </w:rPr>
            </w:pPr>
          </w:p>
        </w:tc>
        <w:tc>
          <w:tcPr>
            <w:tcW w:w="1483" w:type="dxa"/>
            <w:vAlign w:val="top"/>
          </w:tcPr>
          <w:p w14:paraId="03A13A72">
            <w:pPr>
              <w:rPr>
                <w:rFonts w:ascii="Arial"/>
                <w:color w:val="auto"/>
                <w:sz w:val="21"/>
                <w:highlight w:val="none"/>
              </w:rPr>
            </w:pPr>
          </w:p>
        </w:tc>
      </w:tr>
      <w:tr w14:paraId="4EF51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14:paraId="57D96724">
            <w:pPr>
              <w:rPr>
                <w:rFonts w:ascii="Arial"/>
                <w:color w:val="auto"/>
                <w:sz w:val="21"/>
                <w:highlight w:val="none"/>
              </w:rPr>
            </w:pPr>
          </w:p>
        </w:tc>
        <w:tc>
          <w:tcPr>
            <w:tcW w:w="1843" w:type="dxa"/>
            <w:vAlign w:val="top"/>
          </w:tcPr>
          <w:p w14:paraId="1A56844A">
            <w:pPr>
              <w:rPr>
                <w:rFonts w:ascii="Arial"/>
                <w:color w:val="auto"/>
                <w:sz w:val="21"/>
                <w:highlight w:val="none"/>
              </w:rPr>
            </w:pPr>
          </w:p>
        </w:tc>
        <w:tc>
          <w:tcPr>
            <w:tcW w:w="1440" w:type="dxa"/>
            <w:vAlign w:val="top"/>
          </w:tcPr>
          <w:p w14:paraId="32C720C6">
            <w:pPr>
              <w:rPr>
                <w:rFonts w:ascii="Arial"/>
                <w:color w:val="auto"/>
                <w:sz w:val="21"/>
                <w:highlight w:val="none"/>
              </w:rPr>
            </w:pPr>
          </w:p>
        </w:tc>
        <w:tc>
          <w:tcPr>
            <w:tcW w:w="1799" w:type="dxa"/>
            <w:vAlign w:val="top"/>
          </w:tcPr>
          <w:p w14:paraId="53F3773C">
            <w:pPr>
              <w:rPr>
                <w:rFonts w:ascii="Arial"/>
                <w:color w:val="auto"/>
                <w:sz w:val="21"/>
                <w:highlight w:val="none"/>
              </w:rPr>
            </w:pPr>
          </w:p>
        </w:tc>
        <w:tc>
          <w:tcPr>
            <w:tcW w:w="1732" w:type="dxa"/>
            <w:vAlign w:val="top"/>
          </w:tcPr>
          <w:p w14:paraId="4097B5EB">
            <w:pPr>
              <w:rPr>
                <w:rFonts w:ascii="Arial"/>
                <w:color w:val="auto"/>
                <w:sz w:val="21"/>
                <w:highlight w:val="none"/>
              </w:rPr>
            </w:pPr>
          </w:p>
        </w:tc>
        <w:tc>
          <w:tcPr>
            <w:tcW w:w="1483" w:type="dxa"/>
            <w:vAlign w:val="top"/>
          </w:tcPr>
          <w:p w14:paraId="6BD7C39D">
            <w:pPr>
              <w:rPr>
                <w:rFonts w:ascii="Arial"/>
                <w:color w:val="auto"/>
                <w:sz w:val="21"/>
                <w:highlight w:val="none"/>
              </w:rPr>
            </w:pPr>
          </w:p>
        </w:tc>
      </w:tr>
      <w:tr w14:paraId="1BD75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0" w:type="dxa"/>
            <w:vAlign w:val="top"/>
          </w:tcPr>
          <w:p w14:paraId="2AF117F8">
            <w:pPr>
              <w:rPr>
                <w:rFonts w:ascii="Arial"/>
                <w:color w:val="auto"/>
                <w:sz w:val="21"/>
                <w:highlight w:val="none"/>
              </w:rPr>
            </w:pPr>
          </w:p>
        </w:tc>
        <w:tc>
          <w:tcPr>
            <w:tcW w:w="1843" w:type="dxa"/>
            <w:vAlign w:val="top"/>
          </w:tcPr>
          <w:p w14:paraId="0FF585ED">
            <w:pPr>
              <w:spacing w:line="261" w:lineRule="auto"/>
              <w:rPr>
                <w:rFonts w:ascii="Arial"/>
                <w:color w:val="auto"/>
                <w:sz w:val="21"/>
                <w:highlight w:val="none"/>
              </w:rPr>
            </w:pPr>
          </w:p>
          <w:p w14:paraId="684AF7C8">
            <w:pPr>
              <w:pStyle w:val="11"/>
              <w:spacing w:before="68" w:line="221" w:lineRule="auto"/>
              <w:ind w:left="411"/>
              <w:rPr>
                <w:rFonts w:ascii="Times New Roman" w:hAnsi="Times New Roman" w:eastAsia="Times New Roman" w:cs="Times New Roman"/>
                <w:color w:val="auto"/>
                <w:highlight w:val="none"/>
              </w:rPr>
            </w:pPr>
            <w:r>
              <w:rPr>
                <w:color w:val="auto"/>
                <w:spacing w:val="-2"/>
                <w:highlight w:val="none"/>
              </w:rPr>
              <w:t>定值权重</w:t>
            </w:r>
            <w:r>
              <w:rPr>
                <w:color w:val="auto"/>
                <w:spacing w:val="-55"/>
                <w:highlight w:val="none"/>
              </w:rPr>
              <w:t xml:space="preserve"> </w:t>
            </w:r>
            <w:r>
              <w:rPr>
                <w:rFonts w:ascii="Times New Roman" w:hAnsi="Times New Roman" w:eastAsia="Times New Roman" w:cs="Times New Roman"/>
                <w:color w:val="auto"/>
                <w:spacing w:val="-2"/>
                <w:highlight w:val="none"/>
              </w:rPr>
              <w:t>A</w:t>
            </w:r>
          </w:p>
        </w:tc>
        <w:tc>
          <w:tcPr>
            <w:tcW w:w="1440" w:type="dxa"/>
            <w:vAlign w:val="top"/>
          </w:tcPr>
          <w:p w14:paraId="11EE35BB">
            <w:pPr>
              <w:rPr>
                <w:rFonts w:ascii="Arial"/>
                <w:color w:val="auto"/>
                <w:sz w:val="21"/>
                <w:highlight w:val="none"/>
              </w:rPr>
            </w:pPr>
          </w:p>
        </w:tc>
        <w:tc>
          <w:tcPr>
            <w:tcW w:w="1799" w:type="dxa"/>
            <w:vAlign w:val="top"/>
          </w:tcPr>
          <w:p w14:paraId="1FEFDBB8">
            <w:pPr>
              <w:spacing w:line="360" w:lineRule="auto"/>
              <w:rPr>
                <w:rFonts w:ascii="Arial"/>
                <w:color w:val="auto"/>
                <w:sz w:val="21"/>
                <w:highlight w:val="none"/>
              </w:rPr>
            </w:pPr>
          </w:p>
          <w:p w14:paraId="348D8368">
            <w:pPr>
              <w:pStyle w:val="11"/>
              <w:spacing w:before="68" w:line="143" w:lineRule="exact"/>
              <w:ind w:left="800"/>
              <w:rPr>
                <w:color w:val="auto"/>
                <w:highlight w:val="none"/>
              </w:rPr>
            </w:pPr>
            <w:r>
              <w:rPr>
                <w:color w:val="auto"/>
                <w:position w:val="-3"/>
                <w:highlight w:val="none"/>
              </w:rPr>
              <w:t>—</w:t>
            </w:r>
          </w:p>
        </w:tc>
        <w:tc>
          <w:tcPr>
            <w:tcW w:w="1732" w:type="dxa"/>
            <w:vAlign w:val="top"/>
          </w:tcPr>
          <w:p w14:paraId="1CFCB0E4">
            <w:pPr>
              <w:spacing w:line="360" w:lineRule="auto"/>
              <w:rPr>
                <w:rFonts w:ascii="Arial"/>
                <w:color w:val="auto"/>
                <w:sz w:val="21"/>
                <w:highlight w:val="none"/>
              </w:rPr>
            </w:pPr>
          </w:p>
          <w:p w14:paraId="129966F0">
            <w:pPr>
              <w:pStyle w:val="11"/>
              <w:spacing w:before="68" w:line="143" w:lineRule="exact"/>
              <w:ind w:left="768"/>
              <w:rPr>
                <w:color w:val="auto"/>
                <w:highlight w:val="none"/>
              </w:rPr>
            </w:pPr>
            <w:r>
              <w:rPr>
                <w:color w:val="auto"/>
                <w:position w:val="-3"/>
                <w:highlight w:val="none"/>
              </w:rPr>
              <w:t>—</w:t>
            </w:r>
          </w:p>
        </w:tc>
        <w:tc>
          <w:tcPr>
            <w:tcW w:w="1483" w:type="dxa"/>
            <w:vAlign w:val="top"/>
          </w:tcPr>
          <w:p w14:paraId="265D3967">
            <w:pPr>
              <w:rPr>
                <w:rFonts w:ascii="Arial"/>
                <w:color w:val="auto"/>
                <w:sz w:val="21"/>
                <w:highlight w:val="none"/>
              </w:rPr>
            </w:pPr>
          </w:p>
        </w:tc>
      </w:tr>
      <w:tr w14:paraId="7D884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2453" w:type="dxa"/>
            <w:gridSpan w:val="2"/>
            <w:vAlign w:val="top"/>
          </w:tcPr>
          <w:p w14:paraId="3085BA80">
            <w:pPr>
              <w:spacing w:line="262" w:lineRule="auto"/>
              <w:rPr>
                <w:rFonts w:ascii="Arial"/>
                <w:color w:val="auto"/>
                <w:sz w:val="21"/>
                <w:highlight w:val="none"/>
              </w:rPr>
            </w:pPr>
          </w:p>
          <w:p w14:paraId="22A2CF40">
            <w:pPr>
              <w:pStyle w:val="11"/>
              <w:spacing w:before="68" w:line="222" w:lineRule="auto"/>
              <w:ind w:left="1027"/>
              <w:rPr>
                <w:color w:val="auto"/>
                <w:highlight w:val="none"/>
              </w:rPr>
            </w:pPr>
            <w:r>
              <w:rPr>
                <w:color w:val="auto"/>
                <w:spacing w:val="-2"/>
                <w:highlight w:val="none"/>
              </w:rPr>
              <w:t>合计</w:t>
            </w:r>
          </w:p>
        </w:tc>
        <w:tc>
          <w:tcPr>
            <w:tcW w:w="1440" w:type="dxa"/>
            <w:vAlign w:val="top"/>
          </w:tcPr>
          <w:p w14:paraId="22FD2D6F">
            <w:pPr>
              <w:spacing w:line="306" w:lineRule="auto"/>
              <w:rPr>
                <w:rFonts w:ascii="Arial"/>
                <w:color w:val="auto"/>
                <w:sz w:val="21"/>
                <w:highlight w:val="none"/>
              </w:rPr>
            </w:pPr>
          </w:p>
          <w:p w14:paraId="2893B191">
            <w:pPr>
              <w:spacing w:before="61" w:line="189" w:lineRule="auto"/>
              <w:ind w:left="688"/>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1</w:t>
            </w:r>
          </w:p>
        </w:tc>
        <w:tc>
          <w:tcPr>
            <w:tcW w:w="1799" w:type="dxa"/>
            <w:vAlign w:val="top"/>
          </w:tcPr>
          <w:p w14:paraId="6BB14721">
            <w:pPr>
              <w:tabs>
                <w:tab w:val="left" w:pos="1004"/>
              </w:tabs>
              <w:spacing w:before="239" w:line="242" w:lineRule="exact"/>
              <w:ind w:left="800"/>
              <w:rPr>
                <w:rFonts w:ascii="Arial"/>
                <w:color w:val="auto"/>
                <w:sz w:val="21"/>
                <w:highlight w:val="none"/>
              </w:rPr>
            </w:pPr>
            <w:r>
              <w:rPr>
                <w:rFonts w:ascii="Arial" w:hAnsi="Arial" w:eastAsia="Arial" w:cs="Arial"/>
                <w:color w:val="auto"/>
                <w:sz w:val="21"/>
                <w:szCs w:val="21"/>
                <w:highlight w:val="none"/>
                <w:u w:val="single" w:color="auto"/>
              </w:rPr>
              <w:tab/>
            </w:r>
          </w:p>
        </w:tc>
        <w:tc>
          <w:tcPr>
            <w:tcW w:w="1732" w:type="dxa"/>
            <w:vAlign w:val="top"/>
          </w:tcPr>
          <w:p w14:paraId="5C6FA13F">
            <w:pPr>
              <w:spacing w:line="361" w:lineRule="auto"/>
              <w:rPr>
                <w:rFonts w:ascii="Arial"/>
                <w:color w:val="auto"/>
                <w:sz w:val="21"/>
                <w:highlight w:val="none"/>
              </w:rPr>
            </w:pPr>
          </w:p>
          <w:p w14:paraId="4BB4A049">
            <w:pPr>
              <w:pStyle w:val="11"/>
              <w:spacing w:before="68" w:line="143" w:lineRule="exact"/>
              <w:ind w:left="768"/>
              <w:rPr>
                <w:color w:val="auto"/>
                <w:highlight w:val="none"/>
              </w:rPr>
            </w:pPr>
            <w:r>
              <w:rPr>
                <w:color w:val="auto"/>
                <w:position w:val="-3"/>
                <w:highlight w:val="none"/>
              </w:rPr>
              <w:t>—</w:t>
            </w:r>
          </w:p>
        </w:tc>
        <w:tc>
          <w:tcPr>
            <w:tcW w:w="1483" w:type="dxa"/>
            <w:vAlign w:val="top"/>
          </w:tcPr>
          <w:p w14:paraId="440D3DB9">
            <w:pPr>
              <w:rPr>
                <w:rFonts w:ascii="Arial"/>
                <w:color w:val="auto"/>
                <w:sz w:val="21"/>
                <w:highlight w:val="none"/>
              </w:rPr>
            </w:pPr>
          </w:p>
        </w:tc>
      </w:tr>
    </w:tbl>
    <w:p w14:paraId="28D86595">
      <w:pPr>
        <w:pStyle w:val="3"/>
        <w:spacing w:line="437" w:lineRule="auto"/>
        <w:rPr>
          <w:color w:val="auto"/>
          <w:highlight w:val="none"/>
        </w:rPr>
      </w:pPr>
    </w:p>
    <w:p w14:paraId="68B877D7">
      <w:pPr>
        <w:spacing w:before="69" w:line="234" w:lineRule="auto"/>
        <w:ind w:left="857" w:right="597" w:hanging="839"/>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 xml:space="preserve">注： </w:t>
      </w:r>
      <w:r>
        <w:rPr>
          <w:rFonts w:ascii="Times New Roman" w:hAnsi="Times New Roman" w:eastAsia="Times New Roman" w:cs="Times New Roman"/>
          <w:color w:val="auto"/>
          <w:spacing w:val="-9"/>
          <w:sz w:val="21"/>
          <w:szCs w:val="21"/>
          <w:highlight w:val="none"/>
        </w:rPr>
        <w:t>1</w:t>
      </w:r>
      <w:r>
        <w:rPr>
          <w:rFonts w:ascii="宋体" w:hAnsi="宋体" w:eastAsia="宋体" w:cs="宋体"/>
          <w:color w:val="auto"/>
          <w:spacing w:val="-9"/>
          <w:sz w:val="21"/>
          <w:szCs w:val="21"/>
          <w:highlight w:val="none"/>
        </w:rPr>
        <w:t>．“名称、规格、型号”、“ 基本</w:t>
      </w:r>
      <w:r>
        <w:rPr>
          <w:rFonts w:ascii="宋体" w:hAnsi="宋体" w:eastAsia="宋体" w:cs="宋体"/>
          <w:color w:val="auto"/>
          <w:spacing w:val="-10"/>
          <w:sz w:val="21"/>
          <w:szCs w:val="21"/>
          <w:highlight w:val="none"/>
        </w:rPr>
        <w:t>价格指数”栏由招标人填写，基本价格指数应首先采</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用工程造价管理机构发布的价格指数， 没</w:t>
      </w:r>
      <w:r>
        <w:rPr>
          <w:rFonts w:ascii="宋体" w:hAnsi="宋体" w:eastAsia="宋体" w:cs="宋体"/>
          <w:color w:val="auto"/>
          <w:spacing w:val="-4"/>
          <w:sz w:val="21"/>
          <w:szCs w:val="21"/>
          <w:highlight w:val="none"/>
        </w:rPr>
        <w:t>有时， 可用发布的价格代替。如人工、</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机械也采用本法调整，由招标人在“名称”栏填写。</w:t>
      </w:r>
    </w:p>
    <w:p w14:paraId="35988CD7">
      <w:pPr>
        <w:spacing w:before="24" w:line="228" w:lineRule="auto"/>
        <w:ind w:left="873" w:right="600" w:hanging="422"/>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2</w:t>
      </w:r>
      <w:r>
        <w:rPr>
          <w:rFonts w:ascii="Times New Roman" w:hAnsi="Times New Roman" w:eastAsia="Times New Roman" w:cs="Times New Roman"/>
          <w:color w:val="auto"/>
          <w:spacing w:val="-20"/>
          <w:sz w:val="21"/>
          <w:szCs w:val="21"/>
          <w:highlight w:val="none"/>
        </w:rPr>
        <w:t xml:space="preserve"> </w:t>
      </w:r>
      <w:r>
        <w:rPr>
          <w:rFonts w:ascii="宋体" w:hAnsi="宋体" w:eastAsia="宋体" w:cs="宋体"/>
          <w:color w:val="auto"/>
          <w:spacing w:val="-1"/>
          <w:sz w:val="21"/>
          <w:szCs w:val="21"/>
          <w:highlight w:val="none"/>
        </w:rPr>
        <w:t>．“变值权重”栏由投标人根据该项人工、机械费和材料、工程设备价值在投标总报</w:t>
      </w:r>
      <w:r>
        <w:rPr>
          <w:rFonts w:ascii="宋体" w:hAnsi="宋体" w:eastAsia="宋体" w:cs="宋体"/>
          <w:color w:val="auto"/>
          <w:sz w:val="21"/>
          <w:szCs w:val="21"/>
          <w:highlight w:val="none"/>
        </w:rPr>
        <w:t xml:space="preserve"> </w:t>
      </w:r>
      <w:r>
        <w:rPr>
          <w:rFonts w:ascii="宋体" w:hAnsi="宋体" w:eastAsia="宋体" w:cs="宋体"/>
          <w:color w:val="auto"/>
          <w:spacing w:val="-8"/>
          <w:sz w:val="21"/>
          <w:szCs w:val="21"/>
          <w:highlight w:val="none"/>
        </w:rPr>
        <w:t>价中所站比例填写，</w:t>
      </w:r>
      <w:r>
        <w:rPr>
          <w:rFonts w:ascii="宋体" w:hAnsi="宋体" w:eastAsia="宋体" w:cs="宋体"/>
          <w:color w:val="auto"/>
          <w:spacing w:val="34"/>
          <w:sz w:val="21"/>
          <w:szCs w:val="21"/>
          <w:highlight w:val="none"/>
        </w:rPr>
        <w:t xml:space="preserve"> </w:t>
      </w:r>
      <w:r>
        <w:rPr>
          <w:rFonts w:ascii="Times New Roman" w:hAnsi="Times New Roman" w:eastAsia="Times New Roman" w:cs="Times New Roman"/>
          <w:color w:val="auto"/>
          <w:spacing w:val="-8"/>
          <w:sz w:val="21"/>
          <w:szCs w:val="21"/>
          <w:highlight w:val="none"/>
        </w:rPr>
        <w:t xml:space="preserve">1 </w:t>
      </w:r>
      <w:r>
        <w:rPr>
          <w:rFonts w:ascii="宋体" w:hAnsi="宋体" w:eastAsia="宋体" w:cs="宋体"/>
          <w:color w:val="auto"/>
          <w:spacing w:val="-8"/>
          <w:sz w:val="21"/>
          <w:szCs w:val="21"/>
          <w:highlight w:val="none"/>
        </w:rPr>
        <w:t>减去其比例为定值权重。</w:t>
      </w:r>
    </w:p>
    <w:p w14:paraId="49B06E9E">
      <w:pPr>
        <w:spacing w:before="25" w:line="222" w:lineRule="auto"/>
        <w:ind w:left="874" w:right="591" w:hanging="418"/>
        <w:rPr>
          <w:rFonts w:ascii="宋体" w:hAnsi="宋体" w:eastAsia="宋体" w:cs="宋体"/>
          <w:color w:val="auto"/>
          <w:sz w:val="21"/>
          <w:szCs w:val="21"/>
          <w:highlight w:val="none"/>
        </w:rPr>
      </w:pPr>
      <w:r>
        <w:rPr>
          <w:rFonts w:ascii="Times New Roman" w:hAnsi="Times New Roman" w:eastAsia="Times New Roman" w:cs="Times New Roman"/>
          <w:color w:val="auto"/>
          <w:spacing w:val="-3"/>
          <w:sz w:val="21"/>
          <w:szCs w:val="21"/>
          <w:highlight w:val="none"/>
        </w:rPr>
        <w:t>3</w:t>
      </w:r>
      <w:r>
        <w:rPr>
          <w:rFonts w:ascii="宋体" w:hAnsi="宋体" w:eastAsia="宋体" w:cs="宋体"/>
          <w:color w:val="auto"/>
          <w:spacing w:val="-3"/>
          <w:sz w:val="21"/>
          <w:szCs w:val="21"/>
          <w:highlight w:val="none"/>
        </w:rPr>
        <w:t>．“现行价格指数”按约定的付款证书相关周期最后一天的前</w:t>
      </w:r>
      <w:r>
        <w:rPr>
          <w:rFonts w:ascii="宋体" w:hAnsi="宋体" w:eastAsia="宋体" w:cs="宋体"/>
          <w:color w:val="auto"/>
          <w:spacing w:val="-39"/>
          <w:sz w:val="21"/>
          <w:szCs w:val="21"/>
          <w:highlight w:val="none"/>
        </w:rPr>
        <w:t xml:space="preserve"> </w:t>
      </w:r>
      <w:r>
        <w:rPr>
          <w:rFonts w:ascii="Times New Roman" w:hAnsi="Times New Roman" w:eastAsia="Times New Roman" w:cs="Times New Roman"/>
          <w:color w:val="auto"/>
          <w:spacing w:val="-3"/>
          <w:sz w:val="21"/>
          <w:szCs w:val="21"/>
          <w:highlight w:val="none"/>
        </w:rPr>
        <w:t xml:space="preserve">42 </w:t>
      </w:r>
      <w:r>
        <w:rPr>
          <w:rFonts w:ascii="宋体" w:hAnsi="宋体" w:eastAsia="宋体" w:cs="宋体"/>
          <w:color w:val="auto"/>
          <w:spacing w:val="-3"/>
          <w:sz w:val="21"/>
          <w:szCs w:val="21"/>
          <w:highlight w:val="none"/>
        </w:rPr>
        <w:t>天的各项价格指数填</w:t>
      </w:r>
      <w:r>
        <w:rPr>
          <w:rFonts w:ascii="宋体" w:hAnsi="宋体" w:eastAsia="宋体" w:cs="宋体"/>
          <w:color w:val="auto"/>
          <w:sz w:val="21"/>
          <w:szCs w:val="21"/>
          <w:highlight w:val="none"/>
        </w:rPr>
        <w:t xml:space="preserve"> 写，该指数应首先采用工程造价管理机构发布的价格指数， </w:t>
      </w:r>
      <w:r>
        <w:rPr>
          <w:rFonts w:ascii="宋体" w:hAnsi="宋体" w:eastAsia="宋体" w:cs="宋体"/>
          <w:color w:val="auto"/>
          <w:spacing w:val="-1"/>
          <w:sz w:val="21"/>
          <w:szCs w:val="21"/>
          <w:highlight w:val="none"/>
        </w:rPr>
        <w:t>没有时，可用发布的</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价格代替。</w:t>
      </w:r>
    </w:p>
    <w:p w14:paraId="6C16C399">
      <w:pPr>
        <w:spacing w:line="222" w:lineRule="auto"/>
        <w:rPr>
          <w:rFonts w:ascii="宋体" w:hAnsi="宋体" w:eastAsia="宋体" w:cs="宋体"/>
          <w:color w:val="auto"/>
          <w:sz w:val="21"/>
          <w:szCs w:val="21"/>
          <w:highlight w:val="none"/>
        </w:rPr>
        <w:sectPr>
          <w:type w:val="continuous"/>
          <w:pgSz w:w="11905" w:h="16839"/>
          <w:pgMar w:top="400" w:right="1195" w:bottom="1004" w:left="1785" w:header="0" w:footer="828" w:gutter="0"/>
          <w:pgNumType w:fmt="decimal"/>
          <w:cols w:equalWidth="0" w:num="1">
            <w:col w:w="8923"/>
          </w:cols>
        </w:sectPr>
      </w:pPr>
    </w:p>
    <w:p w14:paraId="0EECB9E6">
      <w:pPr>
        <w:pStyle w:val="3"/>
        <w:spacing w:line="249" w:lineRule="auto"/>
        <w:rPr>
          <w:color w:val="auto"/>
          <w:highlight w:val="none"/>
        </w:rPr>
      </w:pPr>
    </w:p>
    <w:p w14:paraId="0BDACFFE">
      <w:pPr>
        <w:pStyle w:val="3"/>
        <w:spacing w:line="249" w:lineRule="auto"/>
        <w:rPr>
          <w:color w:val="auto"/>
          <w:highlight w:val="none"/>
        </w:rPr>
      </w:pPr>
    </w:p>
    <w:p w14:paraId="3626C6C0">
      <w:pPr>
        <w:pStyle w:val="3"/>
        <w:spacing w:line="250" w:lineRule="auto"/>
        <w:rPr>
          <w:color w:val="auto"/>
          <w:highlight w:val="none"/>
        </w:rPr>
      </w:pPr>
    </w:p>
    <w:p w14:paraId="5424A713">
      <w:pPr>
        <w:pStyle w:val="3"/>
        <w:spacing w:line="250" w:lineRule="auto"/>
        <w:rPr>
          <w:color w:val="auto"/>
          <w:highlight w:val="none"/>
        </w:rPr>
      </w:pPr>
    </w:p>
    <w:p w14:paraId="7C4B49F2">
      <w:pPr>
        <w:pStyle w:val="3"/>
        <w:spacing w:line="250" w:lineRule="auto"/>
        <w:rPr>
          <w:color w:val="auto"/>
          <w:highlight w:val="none"/>
        </w:rPr>
      </w:pPr>
    </w:p>
    <w:p w14:paraId="4450F4FE">
      <w:pPr>
        <w:pStyle w:val="3"/>
        <w:spacing w:line="250" w:lineRule="auto"/>
        <w:rPr>
          <w:color w:val="auto"/>
          <w:highlight w:val="none"/>
        </w:rPr>
      </w:pPr>
    </w:p>
    <w:p w14:paraId="364ED821">
      <w:pPr>
        <w:pStyle w:val="3"/>
        <w:spacing w:line="250" w:lineRule="auto"/>
        <w:rPr>
          <w:color w:val="auto"/>
          <w:highlight w:val="none"/>
        </w:rPr>
      </w:pPr>
    </w:p>
    <w:p w14:paraId="24F2C51A">
      <w:pPr>
        <w:pStyle w:val="3"/>
        <w:spacing w:line="250" w:lineRule="auto"/>
        <w:rPr>
          <w:color w:val="auto"/>
          <w:highlight w:val="none"/>
        </w:rPr>
      </w:pPr>
    </w:p>
    <w:p w14:paraId="7501C7ED">
      <w:pPr>
        <w:pStyle w:val="3"/>
        <w:spacing w:line="250" w:lineRule="auto"/>
        <w:rPr>
          <w:color w:val="auto"/>
          <w:highlight w:val="none"/>
        </w:rPr>
      </w:pPr>
    </w:p>
    <w:p w14:paraId="73794DB9">
      <w:pPr>
        <w:pStyle w:val="3"/>
        <w:spacing w:line="250" w:lineRule="auto"/>
        <w:rPr>
          <w:color w:val="auto"/>
          <w:highlight w:val="none"/>
        </w:rPr>
      </w:pPr>
    </w:p>
    <w:p w14:paraId="739D8867">
      <w:pPr>
        <w:pStyle w:val="3"/>
        <w:spacing w:line="250" w:lineRule="auto"/>
        <w:rPr>
          <w:color w:val="auto"/>
          <w:highlight w:val="none"/>
        </w:rPr>
      </w:pPr>
    </w:p>
    <w:p w14:paraId="24F98706">
      <w:pPr>
        <w:pStyle w:val="3"/>
        <w:spacing w:line="250" w:lineRule="auto"/>
        <w:rPr>
          <w:color w:val="auto"/>
          <w:highlight w:val="none"/>
        </w:rPr>
      </w:pPr>
    </w:p>
    <w:p w14:paraId="0864EC77">
      <w:pPr>
        <w:pStyle w:val="3"/>
        <w:spacing w:line="250" w:lineRule="auto"/>
        <w:rPr>
          <w:color w:val="auto"/>
          <w:highlight w:val="none"/>
        </w:rPr>
      </w:pPr>
    </w:p>
    <w:p w14:paraId="59EB3222">
      <w:pPr>
        <w:pStyle w:val="3"/>
        <w:spacing w:line="250" w:lineRule="auto"/>
        <w:rPr>
          <w:color w:val="auto"/>
          <w:highlight w:val="none"/>
        </w:rPr>
      </w:pPr>
    </w:p>
    <w:p w14:paraId="184487EA">
      <w:pPr>
        <w:pStyle w:val="3"/>
        <w:spacing w:line="250" w:lineRule="auto"/>
        <w:rPr>
          <w:color w:val="auto"/>
          <w:highlight w:val="none"/>
        </w:rPr>
      </w:pPr>
    </w:p>
    <w:p w14:paraId="51DEB19A">
      <w:pPr>
        <w:pStyle w:val="3"/>
        <w:spacing w:line="250" w:lineRule="auto"/>
        <w:rPr>
          <w:color w:val="auto"/>
          <w:highlight w:val="none"/>
        </w:rPr>
      </w:pPr>
    </w:p>
    <w:p w14:paraId="5B2B36E5">
      <w:pPr>
        <w:pStyle w:val="3"/>
        <w:spacing w:line="250" w:lineRule="auto"/>
        <w:rPr>
          <w:color w:val="auto"/>
          <w:highlight w:val="none"/>
        </w:rPr>
      </w:pPr>
    </w:p>
    <w:p w14:paraId="74F01117">
      <w:pPr>
        <w:pStyle w:val="3"/>
        <w:spacing w:line="250" w:lineRule="auto"/>
        <w:rPr>
          <w:color w:val="auto"/>
          <w:highlight w:val="none"/>
        </w:rPr>
      </w:pPr>
    </w:p>
    <w:p w14:paraId="176E7E80">
      <w:pPr>
        <w:pStyle w:val="3"/>
        <w:spacing w:line="250" w:lineRule="auto"/>
        <w:rPr>
          <w:color w:val="auto"/>
          <w:highlight w:val="none"/>
        </w:rPr>
      </w:pPr>
    </w:p>
    <w:p w14:paraId="311DB600">
      <w:pPr>
        <w:spacing w:before="156" w:line="219" w:lineRule="auto"/>
        <w:ind w:left="3467"/>
        <w:rPr>
          <w:rFonts w:ascii="黑体" w:hAnsi="黑体" w:eastAsia="黑体" w:cs="黑体"/>
          <w:color w:val="auto"/>
          <w:sz w:val="48"/>
          <w:szCs w:val="48"/>
          <w:highlight w:val="none"/>
        </w:rPr>
      </w:pPr>
      <w:r>
        <w:rPr>
          <w:rFonts w:ascii="黑体" w:hAnsi="黑体" w:eastAsia="黑体" w:cs="黑体"/>
          <w:color w:val="auto"/>
          <w:spacing w:val="-5"/>
          <w:sz w:val="48"/>
          <w:szCs w:val="48"/>
          <w:highlight w:val="none"/>
        </w:rPr>
        <w:t>第二卷</w:t>
      </w:r>
    </w:p>
    <w:p w14:paraId="3AECB092">
      <w:pPr>
        <w:spacing w:line="219" w:lineRule="auto"/>
        <w:rPr>
          <w:rFonts w:ascii="黑体" w:hAnsi="黑体" w:eastAsia="黑体" w:cs="黑体"/>
          <w:color w:val="auto"/>
          <w:sz w:val="48"/>
          <w:szCs w:val="48"/>
          <w:highlight w:val="none"/>
        </w:rPr>
        <w:sectPr>
          <w:footerReference r:id="rId201" w:type="default"/>
          <w:pgSz w:w="11905" w:h="16839"/>
          <w:pgMar w:top="400" w:right="1785" w:bottom="1004" w:left="1785" w:header="0" w:footer="828" w:gutter="0"/>
          <w:pgNumType w:fmt="decimal"/>
          <w:cols w:space="720" w:num="1"/>
        </w:sectPr>
      </w:pPr>
    </w:p>
    <w:p w14:paraId="0219C5BE">
      <w:pPr>
        <w:pStyle w:val="3"/>
        <w:spacing w:line="242" w:lineRule="auto"/>
        <w:rPr>
          <w:color w:val="auto"/>
          <w:highlight w:val="none"/>
        </w:rPr>
      </w:pPr>
    </w:p>
    <w:p w14:paraId="20D1C215">
      <w:pPr>
        <w:pStyle w:val="3"/>
        <w:spacing w:line="242" w:lineRule="auto"/>
        <w:rPr>
          <w:color w:val="auto"/>
          <w:highlight w:val="none"/>
        </w:rPr>
      </w:pPr>
    </w:p>
    <w:p w14:paraId="0D41D4FC">
      <w:pPr>
        <w:pStyle w:val="3"/>
        <w:spacing w:line="242" w:lineRule="auto"/>
        <w:rPr>
          <w:color w:val="auto"/>
          <w:highlight w:val="none"/>
        </w:rPr>
      </w:pPr>
    </w:p>
    <w:p w14:paraId="12F1864C">
      <w:pPr>
        <w:pStyle w:val="3"/>
        <w:spacing w:line="242" w:lineRule="auto"/>
        <w:rPr>
          <w:color w:val="auto"/>
          <w:highlight w:val="none"/>
        </w:rPr>
      </w:pPr>
    </w:p>
    <w:p w14:paraId="5138195C">
      <w:pPr>
        <w:pStyle w:val="3"/>
        <w:spacing w:line="242" w:lineRule="auto"/>
        <w:rPr>
          <w:color w:val="auto"/>
          <w:highlight w:val="none"/>
        </w:rPr>
      </w:pPr>
    </w:p>
    <w:p w14:paraId="394A3E4C">
      <w:pPr>
        <w:pStyle w:val="3"/>
        <w:spacing w:line="242" w:lineRule="auto"/>
        <w:rPr>
          <w:color w:val="auto"/>
          <w:highlight w:val="none"/>
        </w:rPr>
      </w:pPr>
    </w:p>
    <w:p w14:paraId="27C81890">
      <w:pPr>
        <w:pStyle w:val="3"/>
        <w:spacing w:line="243" w:lineRule="auto"/>
        <w:rPr>
          <w:color w:val="auto"/>
          <w:highlight w:val="none"/>
        </w:rPr>
      </w:pPr>
    </w:p>
    <w:p w14:paraId="5E966794">
      <w:pPr>
        <w:pStyle w:val="3"/>
        <w:spacing w:line="243" w:lineRule="auto"/>
        <w:rPr>
          <w:color w:val="auto"/>
          <w:highlight w:val="none"/>
        </w:rPr>
      </w:pPr>
    </w:p>
    <w:p w14:paraId="1A385519">
      <w:pPr>
        <w:pStyle w:val="3"/>
        <w:spacing w:line="243" w:lineRule="auto"/>
        <w:rPr>
          <w:color w:val="auto"/>
          <w:highlight w:val="none"/>
        </w:rPr>
      </w:pPr>
    </w:p>
    <w:p w14:paraId="0287763B">
      <w:pPr>
        <w:pStyle w:val="3"/>
        <w:spacing w:line="243" w:lineRule="auto"/>
        <w:rPr>
          <w:color w:val="auto"/>
          <w:highlight w:val="none"/>
        </w:rPr>
      </w:pPr>
    </w:p>
    <w:p w14:paraId="0513F9B6">
      <w:pPr>
        <w:pStyle w:val="3"/>
        <w:spacing w:line="243" w:lineRule="auto"/>
        <w:rPr>
          <w:color w:val="auto"/>
          <w:highlight w:val="none"/>
        </w:rPr>
      </w:pPr>
    </w:p>
    <w:p w14:paraId="536DF172">
      <w:pPr>
        <w:pStyle w:val="3"/>
        <w:spacing w:line="243" w:lineRule="auto"/>
        <w:rPr>
          <w:color w:val="auto"/>
          <w:highlight w:val="none"/>
        </w:rPr>
      </w:pPr>
    </w:p>
    <w:p w14:paraId="355C7628">
      <w:pPr>
        <w:pStyle w:val="3"/>
        <w:spacing w:line="243" w:lineRule="auto"/>
        <w:rPr>
          <w:color w:val="auto"/>
          <w:highlight w:val="none"/>
        </w:rPr>
      </w:pPr>
    </w:p>
    <w:p w14:paraId="4FEF8F6D">
      <w:pPr>
        <w:pStyle w:val="3"/>
        <w:spacing w:line="243" w:lineRule="auto"/>
        <w:rPr>
          <w:color w:val="auto"/>
          <w:highlight w:val="none"/>
        </w:rPr>
      </w:pPr>
    </w:p>
    <w:p w14:paraId="0B108B89">
      <w:pPr>
        <w:pStyle w:val="3"/>
        <w:spacing w:line="243" w:lineRule="auto"/>
        <w:rPr>
          <w:color w:val="auto"/>
          <w:highlight w:val="none"/>
        </w:rPr>
      </w:pPr>
    </w:p>
    <w:p w14:paraId="52CD22E9">
      <w:pPr>
        <w:pStyle w:val="3"/>
        <w:spacing w:line="243" w:lineRule="auto"/>
        <w:rPr>
          <w:color w:val="auto"/>
          <w:highlight w:val="none"/>
        </w:rPr>
      </w:pPr>
    </w:p>
    <w:p w14:paraId="6B45AE6C">
      <w:pPr>
        <w:pStyle w:val="3"/>
        <w:spacing w:line="243" w:lineRule="auto"/>
        <w:rPr>
          <w:color w:val="auto"/>
          <w:highlight w:val="none"/>
        </w:rPr>
      </w:pPr>
    </w:p>
    <w:p w14:paraId="4BE73788">
      <w:pPr>
        <w:pStyle w:val="3"/>
        <w:spacing w:line="243" w:lineRule="auto"/>
        <w:rPr>
          <w:color w:val="auto"/>
          <w:highlight w:val="none"/>
        </w:rPr>
      </w:pPr>
    </w:p>
    <w:p w14:paraId="471CC5A8">
      <w:pPr>
        <w:pStyle w:val="3"/>
        <w:spacing w:line="243" w:lineRule="auto"/>
        <w:rPr>
          <w:color w:val="auto"/>
          <w:highlight w:val="none"/>
        </w:rPr>
      </w:pPr>
    </w:p>
    <w:p w14:paraId="63D54775">
      <w:pPr>
        <w:pStyle w:val="3"/>
        <w:spacing w:line="243" w:lineRule="auto"/>
        <w:rPr>
          <w:color w:val="auto"/>
          <w:highlight w:val="none"/>
        </w:rPr>
      </w:pPr>
    </w:p>
    <w:p w14:paraId="3132976A">
      <w:pPr>
        <w:spacing w:before="104" w:line="220" w:lineRule="auto"/>
        <w:ind w:left="3057"/>
        <w:outlineLvl w:val="0"/>
        <w:rPr>
          <w:rFonts w:ascii="黑体" w:hAnsi="黑体" w:eastAsia="黑体" w:cs="黑体"/>
          <w:color w:val="auto"/>
          <w:sz w:val="32"/>
          <w:szCs w:val="32"/>
          <w:highlight w:val="none"/>
        </w:rPr>
      </w:pPr>
      <w:r>
        <w:rPr>
          <w:rFonts w:ascii="黑体" w:hAnsi="黑体" w:eastAsia="黑体" w:cs="黑体"/>
          <w:color w:val="auto"/>
          <w:spacing w:val="-8"/>
          <w:sz w:val="32"/>
          <w:szCs w:val="32"/>
          <w:highlight w:val="none"/>
        </w:rPr>
        <w:t>第六章</w:t>
      </w:r>
      <w:r>
        <w:rPr>
          <w:rFonts w:ascii="黑体" w:hAnsi="黑体" w:eastAsia="黑体" w:cs="黑体"/>
          <w:color w:val="auto"/>
          <w:spacing w:val="15"/>
          <w:sz w:val="32"/>
          <w:szCs w:val="32"/>
          <w:highlight w:val="none"/>
        </w:rPr>
        <w:t xml:space="preserve">  </w:t>
      </w:r>
      <w:r>
        <w:rPr>
          <w:rFonts w:ascii="黑体" w:hAnsi="黑体" w:eastAsia="黑体" w:cs="黑体"/>
          <w:color w:val="auto"/>
          <w:spacing w:val="-8"/>
          <w:sz w:val="32"/>
          <w:szCs w:val="32"/>
          <w:highlight w:val="none"/>
        </w:rPr>
        <w:t>图</w:t>
      </w:r>
      <w:r>
        <w:rPr>
          <w:rFonts w:ascii="黑体" w:hAnsi="黑体" w:eastAsia="黑体" w:cs="黑体"/>
          <w:color w:val="auto"/>
          <w:spacing w:val="9"/>
          <w:sz w:val="32"/>
          <w:szCs w:val="32"/>
          <w:highlight w:val="none"/>
        </w:rPr>
        <w:t xml:space="preserve">  </w:t>
      </w:r>
      <w:r>
        <w:rPr>
          <w:rFonts w:ascii="黑体" w:hAnsi="黑体" w:eastAsia="黑体" w:cs="黑体"/>
          <w:color w:val="auto"/>
          <w:spacing w:val="-8"/>
          <w:sz w:val="32"/>
          <w:szCs w:val="32"/>
          <w:highlight w:val="none"/>
        </w:rPr>
        <w:t>纸</w:t>
      </w:r>
    </w:p>
    <w:p w14:paraId="4AE7809F">
      <w:pPr>
        <w:spacing w:line="220" w:lineRule="auto"/>
        <w:rPr>
          <w:rFonts w:ascii="黑体" w:hAnsi="黑体" w:eastAsia="黑体" w:cs="黑体"/>
          <w:color w:val="auto"/>
          <w:sz w:val="32"/>
          <w:szCs w:val="32"/>
          <w:highlight w:val="none"/>
        </w:rPr>
        <w:sectPr>
          <w:footerReference r:id="rId202" w:type="default"/>
          <w:pgSz w:w="11905" w:h="16839"/>
          <w:pgMar w:top="400" w:right="1785" w:bottom="1004" w:left="1785" w:header="0" w:footer="828" w:gutter="0"/>
          <w:pgNumType w:fmt="decimal"/>
          <w:cols w:space="720" w:num="1"/>
        </w:sectPr>
      </w:pPr>
    </w:p>
    <w:p w14:paraId="4C34BA85">
      <w:pPr>
        <w:pStyle w:val="3"/>
        <w:spacing w:line="266" w:lineRule="auto"/>
        <w:rPr>
          <w:color w:val="auto"/>
          <w:highlight w:val="none"/>
        </w:rPr>
      </w:pPr>
    </w:p>
    <w:p w14:paraId="332414A5">
      <w:pPr>
        <w:pStyle w:val="3"/>
        <w:spacing w:line="266" w:lineRule="auto"/>
        <w:rPr>
          <w:color w:val="auto"/>
          <w:highlight w:val="none"/>
        </w:rPr>
      </w:pPr>
    </w:p>
    <w:p w14:paraId="6D3F040B">
      <w:pPr>
        <w:pStyle w:val="3"/>
        <w:spacing w:line="267" w:lineRule="auto"/>
        <w:rPr>
          <w:color w:val="auto"/>
          <w:highlight w:val="none"/>
        </w:rPr>
      </w:pPr>
    </w:p>
    <w:p w14:paraId="7AFA5608">
      <w:pPr>
        <w:pStyle w:val="3"/>
        <w:spacing w:line="267" w:lineRule="auto"/>
        <w:rPr>
          <w:color w:val="auto"/>
          <w:highlight w:val="none"/>
        </w:rPr>
      </w:pPr>
    </w:p>
    <w:p w14:paraId="6B583A2D">
      <w:pPr>
        <w:spacing w:before="78" w:line="219" w:lineRule="auto"/>
        <w:ind w:left="38"/>
        <w:rPr>
          <w:rFonts w:ascii="黑体" w:hAnsi="黑体" w:eastAsia="黑体" w:cs="黑体"/>
          <w:color w:val="auto"/>
          <w:sz w:val="24"/>
          <w:szCs w:val="24"/>
          <w:highlight w:val="none"/>
        </w:rPr>
      </w:pPr>
      <w:r>
        <w:rPr>
          <w:rFonts w:ascii="Times New Roman" w:hAnsi="Times New Roman" w:eastAsia="Times New Roman" w:cs="Times New Roman"/>
          <w:color w:val="auto"/>
          <w:spacing w:val="-10"/>
          <w:sz w:val="24"/>
          <w:szCs w:val="24"/>
          <w:highlight w:val="none"/>
        </w:rPr>
        <w:t>1</w:t>
      </w:r>
      <w:r>
        <w:rPr>
          <w:rFonts w:ascii="Times New Roman" w:hAnsi="Times New Roman" w:eastAsia="Times New Roman" w:cs="Times New Roman"/>
          <w:color w:val="auto"/>
          <w:spacing w:val="-23"/>
          <w:sz w:val="24"/>
          <w:szCs w:val="24"/>
          <w:highlight w:val="none"/>
        </w:rPr>
        <w:t xml:space="preserve"> </w:t>
      </w:r>
      <w:r>
        <w:rPr>
          <w:rFonts w:ascii="黑体" w:hAnsi="黑体" w:eastAsia="黑体" w:cs="黑体"/>
          <w:color w:val="auto"/>
          <w:spacing w:val="-10"/>
          <w:sz w:val="24"/>
          <w:szCs w:val="24"/>
          <w:highlight w:val="none"/>
        </w:rPr>
        <w:t>．图纸目录</w:t>
      </w:r>
    </w:p>
    <w:p w14:paraId="59A0046A">
      <w:pPr>
        <w:spacing w:line="34" w:lineRule="auto"/>
        <w:rPr>
          <w:rFonts w:ascii="Arial"/>
          <w:color w:val="auto"/>
          <w:sz w:val="2"/>
          <w:highlight w:val="none"/>
        </w:rPr>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7"/>
        <w:gridCol w:w="1387"/>
        <w:gridCol w:w="1382"/>
        <w:gridCol w:w="1382"/>
        <w:gridCol w:w="1382"/>
        <w:gridCol w:w="1391"/>
      </w:tblGrid>
      <w:tr w14:paraId="3F85D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387" w:type="dxa"/>
            <w:vAlign w:val="top"/>
          </w:tcPr>
          <w:p w14:paraId="7A2F219C">
            <w:pPr>
              <w:pStyle w:val="11"/>
              <w:spacing w:before="125" w:line="222" w:lineRule="auto"/>
              <w:ind w:left="492"/>
              <w:rPr>
                <w:color w:val="auto"/>
                <w:highlight w:val="none"/>
              </w:rPr>
            </w:pPr>
            <w:r>
              <w:rPr>
                <w:color w:val="auto"/>
                <w:spacing w:val="-2"/>
                <w:highlight w:val="none"/>
              </w:rPr>
              <w:t>序号</w:t>
            </w:r>
          </w:p>
        </w:tc>
        <w:tc>
          <w:tcPr>
            <w:tcW w:w="1387" w:type="dxa"/>
            <w:vAlign w:val="top"/>
          </w:tcPr>
          <w:p w14:paraId="6FE59EB2">
            <w:pPr>
              <w:pStyle w:val="11"/>
              <w:spacing w:before="125" w:line="222" w:lineRule="auto"/>
              <w:ind w:left="509"/>
              <w:rPr>
                <w:color w:val="auto"/>
                <w:highlight w:val="none"/>
              </w:rPr>
            </w:pPr>
            <w:r>
              <w:rPr>
                <w:color w:val="auto"/>
                <w:spacing w:val="-7"/>
                <w:highlight w:val="none"/>
              </w:rPr>
              <w:t>图名</w:t>
            </w:r>
          </w:p>
        </w:tc>
        <w:tc>
          <w:tcPr>
            <w:tcW w:w="1382" w:type="dxa"/>
            <w:vAlign w:val="top"/>
          </w:tcPr>
          <w:p w14:paraId="64429482">
            <w:pPr>
              <w:pStyle w:val="11"/>
              <w:spacing w:before="125" w:line="222" w:lineRule="auto"/>
              <w:ind w:left="510"/>
              <w:rPr>
                <w:color w:val="auto"/>
                <w:highlight w:val="none"/>
              </w:rPr>
            </w:pPr>
            <w:r>
              <w:rPr>
                <w:color w:val="auto"/>
                <w:spacing w:val="-7"/>
                <w:highlight w:val="none"/>
              </w:rPr>
              <w:t>图号</w:t>
            </w:r>
          </w:p>
        </w:tc>
        <w:tc>
          <w:tcPr>
            <w:tcW w:w="1382" w:type="dxa"/>
            <w:vAlign w:val="top"/>
          </w:tcPr>
          <w:p w14:paraId="1D5C4A2C">
            <w:pPr>
              <w:pStyle w:val="11"/>
              <w:spacing w:before="125" w:line="220" w:lineRule="auto"/>
              <w:ind w:left="491"/>
              <w:rPr>
                <w:color w:val="auto"/>
                <w:highlight w:val="none"/>
              </w:rPr>
            </w:pPr>
            <w:r>
              <w:rPr>
                <w:color w:val="auto"/>
                <w:spacing w:val="-2"/>
                <w:highlight w:val="none"/>
              </w:rPr>
              <w:t>版本</w:t>
            </w:r>
          </w:p>
        </w:tc>
        <w:tc>
          <w:tcPr>
            <w:tcW w:w="1382" w:type="dxa"/>
            <w:vAlign w:val="top"/>
          </w:tcPr>
          <w:p w14:paraId="31BA952A">
            <w:pPr>
              <w:pStyle w:val="11"/>
              <w:spacing w:before="125" w:line="221" w:lineRule="auto"/>
              <w:ind w:left="298"/>
              <w:rPr>
                <w:color w:val="auto"/>
                <w:highlight w:val="none"/>
              </w:rPr>
            </w:pPr>
            <w:r>
              <w:rPr>
                <w:color w:val="auto"/>
                <w:spacing w:val="-5"/>
                <w:highlight w:val="none"/>
              </w:rPr>
              <w:t>出图日期</w:t>
            </w:r>
          </w:p>
        </w:tc>
        <w:tc>
          <w:tcPr>
            <w:tcW w:w="1391" w:type="dxa"/>
            <w:vAlign w:val="top"/>
          </w:tcPr>
          <w:p w14:paraId="259108F7">
            <w:pPr>
              <w:pStyle w:val="11"/>
              <w:spacing w:before="125" w:line="222" w:lineRule="auto"/>
              <w:ind w:left="495"/>
              <w:rPr>
                <w:color w:val="auto"/>
                <w:highlight w:val="none"/>
              </w:rPr>
            </w:pPr>
            <w:r>
              <w:rPr>
                <w:color w:val="auto"/>
                <w:spacing w:val="-3"/>
                <w:highlight w:val="none"/>
              </w:rPr>
              <w:t>备注</w:t>
            </w:r>
          </w:p>
        </w:tc>
      </w:tr>
      <w:tr w14:paraId="5AF74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25BD258E">
            <w:pPr>
              <w:rPr>
                <w:rFonts w:ascii="Arial"/>
                <w:color w:val="auto"/>
                <w:sz w:val="21"/>
                <w:highlight w:val="none"/>
              </w:rPr>
            </w:pPr>
          </w:p>
        </w:tc>
        <w:tc>
          <w:tcPr>
            <w:tcW w:w="1387" w:type="dxa"/>
            <w:vAlign w:val="top"/>
          </w:tcPr>
          <w:p w14:paraId="274B9C43">
            <w:pPr>
              <w:rPr>
                <w:rFonts w:ascii="Arial"/>
                <w:color w:val="auto"/>
                <w:sz w:val="21"/>
                <w:highlight w:val="none"/>
              </w:rPr>
            </w:pPr>
          </w:p>
        </w:tc>
        <w:tc>
          <w:tcPr>
            <w:tcW w:w="1382" w:type="dxa"/>
            <w:vAlign w:val="top"/>
          </w:tcPr>
          <w:p w14:paraId="598D0222">
            <w:pPr>
              <w:rPr>
                <w:rFonts w:ascii="Arial"/>
                <w:color w:val="auto"/>
                <w:sz w:val="21"/>
                <w:highlight w:val="none"/>
              </w:rPr>
            </w:pPr>
          </w:p>
        </w:tc>
        <w:tc>
          <w:tcPr>
            <w:tcW w:w="1382" w:type="dxa"/>
            <w:vAlign w:val="top"/>
          </w:tcPr>
          <w:p w14:paraId="40E1EEAF">
            <w:pPr>
              <w:rPr>
                <w:rFonts w:ascii="Arial"/>
                <w:color w:val="auto"/>
                <w:sz w:val="21"/>
                <w:highlight w:val="none"/>
              </w:rPr>
            </w:pPr>
          </w:p>
        </w:tc>
        <w:tc>
          <w:tcPr>
            <w:tcW w:w="1382" w:type="dxa"/>
            <w:vAlign w:val="top"/>
          </w:tcPr>
          <w:p w14:paraId="26CB701A">
            <w:pPr>
              <w:rPr>
                <w:rFonts w:ascii="Arial"/>
                <w:color w:val="auto"/>
                <w:sz w:val="21"/>
                <w:highlight w:val="none"/>
              </w:rPr>
            </w:pPr>
          </w:p>
        </w:tc>
        <w:tc>
          <w:tcPr>
            <w:tcW w:w="1391" w:type="dxa"/>
            <w:vAlign w:val="top"/>
          </w:tcPr>
          <w:p w14:paraId="239E10D2">
            <w:pPr>
              <w:rPr>
                <w:rFonts w:ascii="Arial"/>
                <w:color w:val="auto"/>
                <w:sz w:val="21"/>
                <w:highlight w:val="none"/>
              </w:rPr>
            </w:pPr>
          </w:p>
        </w:tc>
      </w:tr>
      <w:tr w14:paraId="0593C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62900BBF">
            <w:pPr>
              <w:rPr>
                <w:rFonts w:ascii="Arial"/>
                <w:color w:val="auto"/>
                <w:sz w:val="21"/>
                <w:highlight w:val="none"/>
              </w:rPr>
            </w:pPr>
          </w:p>
        </w:tc>
        <w:tc>
          <w:tcPr>
            <w:tcW w:w="1387" w:type="dxa"/>
            <w:vAlign w:val="top"/>
          </w:tcPr>
          <w:p w14:paraId="0313FC5E">
            <w:pPr>
              <w:rPr>
                <w:rFonts w:ascii="Arial"/>
                <w:color w:val="auto"/>
                <w:sz w:val="21"/>
                <w:highlight w:val="none"/>
              </w:rPr>
            </w:pPr>
          </w:p>
        </w:tc>
        <w:tc>
          <w:tcPr>
            <w:tcW w:w="1382" w:type="dxa"/>
            <w:vAlign w:val="top"/>
          </w:tcPr>
          <w:p w14:paraId="4C30F0EA">
            <w:pPr>
              <w:rPr>
                <w:rFonts w:ascii="Arial"/>
                <w:color w:val="auto"/>
                <w:sz w:val="21"/>
                <w:highlight w:val="none"/>
              </w:rPr>
            </w:pPr>
          </w:p>
        </w:tc>
        <w:tc>
          <w:tcPr>
            <w:tcW w:w="1382" w:type="dxa"/>
            <w:vAlign w:val="top"/>
          </w:tcPr>
          <w:p w14:paraId="64034A80">
            <w:pPr>
              <w:rPr>
                <w:rFonts w:ascii="Arial"/>
                <w:color w:val="auto"/>
                <w:sz w:val="21"/>
                <w:highlight w:val="none"/>
              </w:rPr>
            </w:pPr>
          </w:p>
        </w:tc>
        <w:tc>
          <w:tcPr>
            <w:tcW w:w="1382" w:type="dxa"/>
            <w:vAlign w:val="top"/>
          </w:tcPr>
          <w:p w14:paraId="72CC8E74">
            <w:pPr>
              <w:rPr>
                <w:rFonts w:ascii="Arial"/>
                <w:color w:val="auto"/>
                <w:sz w:val="21"/>
                <w:highlight w:val="none"/>
              </w:rPr>
            </w:pPr>
          </w:p>
        </w:tc>
        <w:tc>
          <w:tcPr>
            <w:tcW w:w="1391" w:type="dxa"/>
            <w:vAlign w:val="top"/>
          </w:tcPr>
          <w:p w14:paraId="747FA8A0">
            <w:pPr>
              <w:rPr>
                <w:rFonts w:ascii="Arial"/>
                <w:color w:val="auto"/>
                <w:sz w:val="21"/>
                <w:highlight w:val="none"/>
              </w:rPr>
            </w:pPr>
          </w:p>
        </w:tc>
      </w:tr>
      <w:tr w14:paraId="59E14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328B94FA">
            <w:pPr>
              <w:rPr>
                <w:rFonts w:ascii="Arial"/>
                <w:color w:val="auto"/>
                <w:sz w:val="21"/>
                <w:highlight w:val="none"/>
              </w:rPr>
            </w:pPr>
          </w:p>
        </w:tc>
        <w:tc>
          <w:tcPr>
            <w:tcW w:w="1387" w:type="dxa"/>
            <w:vAlign w:val="top"/>
          </w:tcPr>
          <w:p w14:paraId="02EEAC85">
            <w:pPr>
              <w:rPr>
                <w:rFonts w:ascii="Arial"/>
                <w:color w:val="auto"/>
                <w:sz w:val="21"/>
                <w:highlight w:val="none"/>
              </w:rPr>
            </w:pPr>
          </w:p>
        </w:tc>
        <w:tc>
          <w:tcPr>
            <w:tcW w:w="1382" w:type="dxa"/>
            <w:vAlign w:val="top"/>
          </w:tcPr>
          <w:p w14:paraId="0FDB7F36">
            <w:pPr>
              <w:rPr>
                <w:rFonts w:ascii="Arial"/>
                <w:color w:val="auto"/>
                <w:sz w:val="21"/>
                <w:highlight w:val="none"/>
              </w:rPr>
            </w:pPr>
          </w:p>
        </w:tc>
        <w:tc>
          <w:tcPr>
            <w:tcW w:w="1382" w:type="dxa"/>
            <w:vAlign w:val="top"/>
          </w:tcPr>
          <w:p w14:paraId="35DF7477">
            <w:pPr>
              <w:rPr>
                <w:rFonts w:ascii="Arial"/>
                <w:color w:val="auto"/>
                <w:sz w:val="21"/>
                <w:highlight w:val="none"/>
              </w:rPr>
            </w:pPr>
          </w:p>
        </w:tc>
        <w:tc>
          <w:tcPr>
            <w:tcW w:w="1382" w:type="dxa"/>
            <w:vAlign w:val="top"/>
          </w:tcPr>
          <w:p w14:paraId="5478D79C">
            <w:pPr>
              <w:rPr>
                <w:rFonts w:ascii="Arial"/>
                <w:color w:val="auto"/>
                <w:sz w:val="21"/>
                <w:highlight w:val="none"/>
              </w:rPr>
            </w:pPr>
          </w:p>
        </w:tc>
        <w:tc>
          <w:tcPr>
            <w:tcW w:w="1391" w:type="dxa"/>
            <w:vAlign w:val="top"/>
          </w:tcPr>
          <w:p w14:paraId="7EF07789">
            <w:pPr>
              <w:rPr>
                <w:rFonts w:ascii="Arial"/>
                <w:color w:val="auto"/>
                <w:sz w:val="21"/>
                <w:highlight w:val="none"/>
              </w:rPr>
            </w:pPr>
          </w:p>
        </w:tc>
      </w:tr>
      <w:tr w14:paraId="048570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6CD7DE8A">
            <w:pPr>
              <w:rPr>
                <w:rFonts w:ascii="Arial"/>
                <w:color w:val="auto"/>
                <w:sz w:val="21"/>
                <w:highlight w:val="none"/>
              </w:rPr>
            </w:pPr>
          </w:p>
        </w:tc>
        <w:tc>
          <w:tcPr>
            <w:tcW w:w="1387" w:type="dxa"/>
            <w:vAlign w:val="top"/>
          </w:tcPr>
          <w:p w14:paraId="13398896">
            <w:pPr>
              <w:rPr>
                <w:rFonts w:ascii="Arial"/>
                <w:color w:val="auto"/>
                <w:sz w:val="21"/>
                <w:highlight w:val="none"/>
              </w:rPr>
            </w:pPr>
          </w:p>
        </w:tc>
        <w:tc>
          <w:tcPr>
            <w:tcW w:w="1382" w:type="dxa"/>
            <w:vAlign w:val="top"/>
          </w:tcPr>
          <w:p w14:paraId="5345F848">
            <w:pPr>
              <w:rPr>
                <w:rFonts w:ascii="Arial"/>
                <w:color w:val="auto"/>
                <w:sz w:val="21"/>
                <w:highlight w:val="none"/>
              </w:rPr>
            </w:pPr>
          </w:p>
        </w:tc>
        <w:tc>
          <w:tcPr>
            <w:tcW w:w="1382" w:type="dxa"/>
            <w:vAlign w:val="top"/>
          </w:tcPr>
          <w:p w14:paraId="30745908">
            <w:pPr>
              <w:rPr>
                <w:rFonts w:ascii="Arial"/>
                <w:color w:val="auto"/>
                <w:sz w:val="21"/>
                <w:highlight w:val="none"/>
              </w:rPr>
            </w:pPr>
          </w:p>
        </w:tc>
        <w:tc>
          <w:tcPr>
            <w:tcW w:w="1382" w:type="dxa"/>
            <w:vAlign w:val="top"/>
          </w:tcPr>
          <w:p w14:paraId="42F07388">
            <w:pPr>
              <w:rPr>
                <w:rFonts w:ascii="Arial"/>
                <w:color w:val="auto"/>
                <w:sz w:val="21"/>
                <w:highlight w:val="none"/>
              </w:rPr>
            </w:pPr>
          </w:p>
        </w:tc>
        <w:tc>
          <w:tcPr>
            <w:tcW w:w="1391" w:type="dxa"/>
            <w:vAlign w:val="top"/>
          </w:tcPr>
          <w:p w14:paraId="07955649">
            <w:pPr>
              <w:rPr>
                <w:rFonts w:ascii="Arial"/>
                <w:color w:val="auto"/>
                <w:sz w:val="21"/>
                <w:highlight w:val="none"/>
              </w:rPr>
            </w:pPr>
          </w:p>
        </w:tc>
      </w:tr>
      <w:tr w14:paraId="42A76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6" w:hRule="atLeast"/>
        </w:trPr>
        <w:tc>
          <w:tcPr>
            <w:tcW w:w="1387" w:type="dxa"/>
            <w:vAlign w:val="top"/>
          </w:tcPr>
          <w:p w14:paraId="6D0B4CC0">
            <w:pPr>
              <w:rPr>
                <w:rFonts w:ascii="Arial"/>
                <w:color w:val="auto"/>
                <w:sz w:val="21"/>
                <w:highlight w:val="none"/>
              </w:rPr>
            </w:pPr>
          </w:p>
        </w:tc>
        <w:tc>
          <w:tcPr>
            <w:tcW w:w="1387" w:type="dxa"/>
            <w:vAlign w:val="top"/>
          </w:tcPr>
          <w:p w14:paraId="43A621BC">
            <w:pPr>
              <w:rPr>
                <w:rFonts w:ascii="Arial"/>
                <w:color w:val="auto"/>
                <w:sz w:val="21"/>
                <w:highlight w:val="none"/>
              </w:rPr>
            </w:pPr>
          </w:p>
        </w:tc>
        <w:tc>
          <w:tcPr>
            <w:tcW w:w="1382" w:type="dxa"/>
            <w:vAlign w:val="top"/>
          </w:tcPr>
          <w:p w14:paraId="2B81B3A6">
            <w:pPr>
              <w:rPr>
                <w:rFonts w:ascii="Arial"/>
                <w:color w:val="auto"/>
                <w:sz w:val="21"/>
                <w:highlight w:val="none"/>
              </w:rPr>
            </w:pPr>
          </w:p>
        </w:tc>
        <w:tc>
          <w:tcPr>
            <w:tcW w:w="1382" w:type="dxa"/>
            <w:vAlign w:val="top"/>
          </w:tcPr>
          <w:p w14:paraId="3ABDBC91">
            <w:pPr>
              <w:rPr>
                <w:rFonts w:ascii="Arial"/>
                <w:color w:val="auto"/>
                <w:sz w:val="21"/>
                <w:highlight w:val="none"/>
              </w:rPr>
            </w:pPr>
          </w:p>
        </w:tc>
        <w:tc>
          <w:tcPr>
            <w:tcW w:w="1382" w:type="dxa"/>
            <w:vAlign w:val="top"/>
          </w:tcPr>
          <w:p w14:paraId="47AEB343">
            <w:pPr>
              <w:rPr>
                <w:rFonts w:ascii="Arial"/>
                <w:color w:val="auto"/>
                <w:sz w:val="21"/>
                <w:highlight w:val="none"/>
              </w:rPr>
            </w:pPr>
          </w:p>
        </w:tc>
        <w:tc>
          <w:tcPr>
            <w:tcW w:w="1391" w:type="dxa"/>
            <w:vAlign w:val="top"/>
          </w:tcPr>
          <w:p w14:paraId="2ACA5421">
            <w:pPr>
              <w:rPr>
                <w:rFonts w:ascii="Arial"/>
                <w:color w:val="auto"/>
                <w:sz w:val="21"/>
                <w:highlight w:val="none"/>
              </w:rPr>
            </w:pPr>
          </w:p>
        </w:tc>
      </w:tr>
      <w:tr w14:paraId="3F87C3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13AFF6DB">
            <w:pPr>
              <w:rPr>
                <w:rFonts w:ascii="Arial"/>
                <w:color w:val="auto"/>
                <w:sz w:val="21"/>
                <w:highlight w:val="none"/>
              </w:rPr>
            </w:pPr>
          </w:p>
        </w:tc>
        <w:tc>
          <w:tcPr>
            <w:tcW w:w="1387" w:type="dxa"/>
            <w:vAlign w:val="top"/>
          </w:tcPr>
          <w:p w14:paraId="21DB098A">
            <w:pPr>
              <w:rPr>
                <w:rFonts w:ascii="Arial"/>
                <w:color w:val="auto"/>
                <w:sz w:val="21"/>
                <w:highlight w:val="none"/>
              </w:rPr>
            </w:pPr>
          </w:p>
        </w:tc>
        <w:tc>
          <w:tcPr>
            <w:tcW w:w="1382" w:type="dxa"/>
            <w:vAlign w:val="top"/>
          </w:tcPr>
          <w:p w14:paraId="6B390971">
            <w:pPr>
              <w:rPr>
                <w:rFonts w:ascii="Arial"/>
                <w:color w:val="auto"/>
                <w:sz w:val="21"/>
                <w:highlight w:val="none"/>
              </w:rPr>
            </w:pPr>
          </w:p>
        </w:tc>
        <w:tc>
          <w:tcPr>
            <w:tcW w:w="1382" w:type="dxa"/>
            <w:vAlign w:val="top"/>
          </w:tcPr>
          <w:p w14:paraId="067450BD">
            <w:pPr>
              <w:rPr>
                <w:rFonts w:ascii="Arial"/>
                <w:color w:val="auto"/>
                <w:sz w:val="21"/>
                <w:highlight w:val="none"/>
              </w:rPr>
            </w:pPr>
          </w:p>
        </w:tc>
        <w:tc>
          <w:tcPr>
            <w:tcW w:w="1382" w:type="dxa"/>
            <w:vAlign w:val="top"/>
          </w:tcPr>
          <w:p w14:paraId="18A10A84">
            <w:pPr>
              <w:rPr>
                <w:rFonts w:ascii="Arial"/>
                <w:color w:val="auto"/>
                <w:sz w:val="21"/>
                <w:highlight w:val="none"/>
              </w:rPr>
            </w:pPr>
          </w:p>
        </w:tc>
        <w:tc>
          <w:tcPr>
            <w:tcW w:w="1391" w:type="dxa"/>
            <w:vAlign w:val="top"/>
          </w:tcPr>
          <w:p w14:paraId="5DB5C662">
            <w:pPr>
              <w:rPr>
                <w:rFonts w:ascii="Arial"/>
                <w:color w:val="auto"/>
                <w:sz w:val="21"/>
                <w:highlight w:val="none"/>
              </w:rPr>
            </w:pPr>
          </w:p>
        </w:tc>
      </w:tr>
      <w:tr w14:paraId="0D6EE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147C99E9">
            <w:pPr>
              <w:rPr>
                <w:rFonts w:ascii="Arial"/>
                <w:color w:val="auto"/>
                <w:sz w:val="21"/>
                <w:highlight w:val="none"/>
              </w:rPr>
            </w:pPr>
          </w:p>
        </w:tc>
        <w:tc>
          <w:tcPr>
            <w:tcW w:w="1387" w:type="dxa"/>
            <w:vAlign w:val="top"/>
          </w:tcPr>
          <w:p w14:paraId="3D8FC44B">
            <w:pPr>
              <w:rPr>
                <w:rFonts w:ascii="Arial"/>
                <w:color w:val="auto"/>
                <w:sz w:val="21"/>
                <w:highlight w:val="none"/>
              </w:rPr>
            </w:pPr>
          </w:p>
        </w:tc>
        <w:tc>
          <w:tcPr>
            <w:tcW w:w="1382" w:type="dxa"/>
            <w:vAlign w:val="top"/>
          </w:tcPr>
          <w:p w14:paraId="065D7FD9">
            <w:pPr>
              <w:rPr>
                <w:rFonts w:ascii="Arial"/>
                <w:color w:val="auto"/>
                <w:sz w:val="21"/>
                <w:highlight w:val="none"/>
              </w:rPr>
            </w:pPr>
          </w:p>
        </w:tc>
        <w:tc>
          <w:tcPr>
            <w:tcW w:w="1382" w:type="dxa"/>
            <w:vAlign w:val="top"/>
          </w:tcPr>
          <w:p w14:paraId="3C3FE2D9">
            <w:pPr>
              <w:rPr>
                <w:rFonts w:ascii="Arial"/>
                <w:color w:val="auto"/>
                <w:sz w:val="21"/>
                <w:highlight w:val="none"/>
              </w:rPr>
            </w:pPr>
          </w:p>
        </w:tc>
        <w:tc>
          <w:tcPr>
            <w:tcW w:w="1382" w:type="dxa"/>
            <w:vAlign w:val="top"/>
          </w:tcPr>
          <w:p w14:paraId="345E5D8D">
            <w:pPr>
              <w:rPr>
                <w:rFonts w:ascii="Arial"/>
                <w:color w:val="auto"/>
                <w:sz w:val="21"/>
                <w:highlight w:val="none"/>
              </w:rPr>
            </w:pPr>
          </w:p>
        </w:tc>
        <w:tc>
          <w:tcPr>
            <w:tcW w:w="1391" w:type="dxa"/>
            <w:vAlign w:val="top"/>
          </w:tcPr>
          <w:p w14:paraId="6B34BF5F">
            <w:pPr>
              <w:rPr>
                <w:rFonts w:ascii="Arial"/>
                <w:color w:val="auto"/>
                <w:sz w:val="21"/>
                <w:highlight w:val="none"/>
              </w:rPr>
            </w:pPr>
          </w:p>
        </w:tc>
      </w:tr>
      <w:tr w14:paraId="740D8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2B6B96D7">
            <w:pPr>
              <w:rPr>
                <w:rFonts w:ascii="Arial"/>
                <w:color w:val="auto"/>
                <w:sz w:val="21"/>
                <w:highlight w:val="none"/>
              </w:rPr>
            </w:pPr>
          </w:p>
        </w:tc>
        <w:tc>
          <w:tcPr>
            <w:tcW w:w="1387" w:type="dxa"/>
            <w:vAlign w:val="top"/>
          </w:tcPr>
          <w:p w14:paraId="749A7832">
            <w:pPr>
              <w:rPr>
                <w:rFonts w:ascii="Arial"/>
                <w:color w:val="auto"/>
                <w:sz w:val="21"/>
                <w:highlight w:val="none"/>
              </w:rPr>
            </w:pPr>
          </w:p>
        </w:tc>
        <w:tc>
          <w:tcPr>
            <w:tcW w:w="1382" w:type="dxa"/>
            <w:vAlign w:val="top"/>
          </w:tcPr>
          <w:p w14:paraId="0AFF43D1">
            <w:pPr>
              <w:rPr>
                <w:rFonts w:ascii="Arial"/>
                <w:color w:val="auto"/>
                <w:sz w:val="21"/>
                <w:highlight w:val="none"/>
              </w:rPr>
            </w:pPr>
          </w:p>
        </w:tc>
        <w:tc>
          <w:tcPr>
            <w:tcW w:w="1382" w:type="dxa"/>
            <w:vAlign w:val="top"/>
          </w:tcPr>
          <w:p w14:paraId="235036BB">
            <w:pPr>
              <w:rPr>
                <w:rFonts w:ascii="Arial"/>
                <w:color w:val="auto"/>
                <w:sz w:val="21"/>
                <w:highlight w:val="none"/>
              </w:rPr>
            </w:pPr>
          </w:p>
        </w:tc>
        <w:tc>
          <w:tcPr>
            <w:tcW w:w="1382" w:type="dxa"/>
            <w:vAlign w:val="top"/>
          </w:tcPr>
          <w:p w14:paraId="4CF3AD39">
            <w:pPr>
              <w:rPr>
                <w:rFonts w:ascii="Arial"/>
                <w:color w:val="auto"/>
                <w:sz w:val="21"/>
                <w:highlight w:val="none"/>
              </w:rPr>
            </w:pPr>
          </w:p>
        </w:tc>
        <w:tc>
          <w:tcPr>
            <w:tcW w:w="1391" w:type="dxa"/>
            <w:vAlign w:val="top"/>
          </w:tcPr>
          <w:p w14:paraId="68D5BF51">
            <w:pPr>
              <w:rPr>
                <w:rFonts w:ascii="Arial"/>
                <w:color w:val="auto"/>
                <w:sz w:val="21"/>
                <w:highlight w:val="none"/>
              </w:rPr>
            </w:pPr>
          </w:p>
        </w:tc>
      </w:tr>
      <w:tr w14:paraId="6A8C0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42B8DFCC">
            <w:pPr>
              <w:rPr>
                <w:rFonts w:ascii="Arial"/>
                <w:color w:val="auto"/>
                <w:sz w:val="21"/>
                <w:highlight w:val="none"/>
              </w:rPr>
            </w:pPr>
          </w:p>
        </w:tc>
        <w:tc>
          <w:tcPr>
            <w:tcW w:w="1387" w:type="dxa"/>
            <w:vAlign w:val="top"/>
          </w:tcPr>
          <w:p w14:paraId="19447A31">
            <w:pPr>
              <w:rPr>
                <w:rFonts w:ascii="Arial"/>
                <w:color w:val="auto"/>
                <w:sz w:val="21"/>
                <w:highlight w:val="none"/>
              </w:rPr>
            </w:pPr>
          </w:p>
        </w:tc>
        <w:tc>
          <w:tcPr>
            <w:tcW w:w="1382" w:type="dxa"/>
            <w:vAlign w:val="top"/>
          </w:tcPr>
          <w:p w14:paraId="3FA92CD2">
            <w:pPr>
              <w:rPr>
                <w:rFonts w:ascii="Arial"/>
                <w:color w:val="auto"/>
                <w:sz w:val="21"/>
                <w:highlight w:val="none"/>
              </w:rPr>
            </w:pPr>
          </w:p>
        </w:tc>
        <w:tc>
          <w:tcPr>
            <w:tcW w:w="1382" w:type="dxa"/>
            <w:vAlign w:val="top"/>
          </w:tcPr>
          <w:p w14:paraId="77E9AED4">
            <w:pPr>
              <w:rPr>
                <w:rFonts w:ascii="Arial"/>
                <w:color w:val="auto"/>
                <w:sz w:val="21"/>
                <w:highlight w:val="none"/>
              </w:rPr>
            </w:pPr>
          </w:p>
        </w:tc>
        <w:tc>
          <w:tcPr>
            <w:tcW w:w="1382" w:type="dxa"/>
            <w:vAlign w:val="top"/>
          </w:tcPr>
          <w:p w14:paraId="5F5D99E0">
            <w:pPr>
              <w:rPr>
                <w:rFonts w:ascii="Arial"/>
                <w:color w:val="auto"/>
                <w:sz w:val="21"/>
                <w:highlight w:val="none"/>
              </w:rPr>
            </w:pPr>
          </w:p>
        </w:tc>
        <w:tc>
          <w:tcPr>
            <w:tcW w:w="1391" w:type="dxa"/>
            <w:vAlign w:val="top"/>
          </w:tcPr>
          <w:p w14:paraId="57EB2833">
            <w:pPr>
              <w:rPr>
                <w:rFonts w:ascii="Arial"/>
                <w:color w:val="auto"/>
                <w:sz w:val="21"/>
                <w:highlight w:val="none"/>
              </w:rPr>
            </w:pPr>
          </w:p>
        </w:tc>
      </w:tr>
      <w:tr w14:paraId="2C7BD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5C546874">
            <w:pPr>
              <w:rPr>
                <w:rFonts w:ascii="Arial"/>
                <w:color w:val="auto"/>
                <w:sz w:val="21"/>
                <w:highlight w:val="none"/>
              </w:rPr>
            </w:pPr>
          </w:p>
        </w:tc>
        <w:tc>
          <w:tcPr>
            <w:tcW w:w="1387" w:type="dxa"/>
            <w:vAlign w:val="top"/>
          </w:tcPr>
          <w:p w14:paraId="6DAC1B00">
            <w:pPr>
              <w:rPr>
                <w:rFonts w:ascii="Arial"/>
                <w:color w:val="auto"/>
                <w:sz w:val="21"/>
                <w:highlight w:val="none"/>
              </w:rPr>
            </w:pPr>
          </w:p>
        </w:tc>
        <w:tc>
          <w:tcPr>
            <w:tcW w:w="1382" w:type="dxa"/>
            <w:vAlign w:val="top"/>
          </w:tcPr>
          <w:p w14:paraId="04610100">
            <w:pPr>
              <w:rPr>
                <w:rFonts w:ascii="Arial"/>
                <w:color w:val="auto"/>
                <w:sz w:val="21"/>
                <w:highlight w:val="none"/>
              </w:rPr>
            </w:pPr>
          </w:p>
        </w:tc>
        <w:tc>
          <w:tcPr>
            <w:tcW w:w="1382" w:type="dxa"/>
            <w:vAlign w:val="top"/>
          </w:tcPr>
          <w:p w14:paraId="42D8C79A">
            <w:pPr>
              <w:rPr>
                <w:rFonts w:ascii="Arial"/>
                <w:color w:val="auto"/>
                <w:sz w:val="21"/>
                <w:highlight w:val="none"/>
              </w:rPr>
            </w:pPr>
          </w:p>
        </w:tc>
        <w:tc>
          <w:tcPr>
            <w:tcW w:w="1382" w:type="dxa"/>
            <w:vAlign w:val="top"/>
          </w:tcPr>
          <w:p w14:paraId="3599D402">
            <w:pPr>
              <w:rPr>
                <w:rFonts w:ascii="Arial"/>
                <w:color w:val="auto"/>
                <w:sz w:val="21"/>
                <w:highlight w:val="none"/>
              </w:rPr>
            </w:pPr>
          </w:p>
        </w:tc>
        <w:tc>
          <w:tcPr>
            <w:tcW w:w="1391" w:type="dxa"/>
            <w:vAlign w:val="top"/>
          </w:tcPr>
          <w:p w14:paraId="4B8E35E3">
            <w:pPr>
              <w:rPr>
                <w:rFonts w:ascii="Arial"/>
                <w:color w:val="auto"/>
                <w:sz w:val="21"/>
                <w:highlight w:val="none"/>
              </w:rPr>
            </w:pPr>
          </w:p>
        </w:tc>
      </w:tr>
      <w:tr w14:paraId="36985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1EA74759">
            <w:pPr>
              <w:rPr>
                <w:rFonts w:ascii="Arial"/>
                <w:color w:val="auto"/>
                <w:sz w:val="21"/>
                <w:highlight w:val="none"/>
              </w:rPr>
            </w:pPr>
          </w:p>
        </w:tc>
        <w:tc>
          <w:tcPr>
            <w:tcW w:w="1387" w:type="dxa"/>
            <w:vAlign w:val="top"/>
          </w:tcPr>
          <w:p w14:paraId="5532311B">
            <w:pPr>
              <w:rPr>
                <w:rFonts w:ascii="Arial"/>
                <w:color w:val="auto"/>
                <w:sz w:val="21"/>
                <w:highlight w:val="none"/>
              </w:rPr>
            </w:pPr>
          </w:p>
        </w:tc>
        <w:tc>
          <w:tcPr>
            <w:tcW w:w="1382" w:type="dxa"/>
            <w:vAlign w:val="top"/>
          </w:tcPr>
          <w:p w14:paraId="0E7DB2A1">
            <w:pPr>
              <w:rPr>
                <w:rFonts w:ascii="Arial"/>
                <w:color w:val="auto"/>
                <w:sz w:val="21"/>
                <w:highlight w:val="none"/>
              </w:rPr>
            </w:pPr>
          </w:p>
        </w:tc>
        <w:tc>
          <w:tcPr>
            <w:tcW w:w="1382" w:type="dxa"/>
            <w:vAlign w:val="top"/>
          </w:tcPr>
          <w:p w14:paraId="40AE33F4">
            <w:pPr>
              <w:rPr>
                <w:rFonts w:ascii="Arial"/>
                <w:color w:val="auto"/>
                <w:sz w:val="21"/>
                <w:highlight w:val="none"/>
              </w:rPr>
            </w:pPr>
          </w:p>
        </w:tc>
        <w:tc>
          <w:tcPr>
            <w:tcW w:w="1382" w:type="dxa"/>
            <w:vAlign w:val="top"/>
          </w:tcPr>
          <w:p w14:paraId="75C919C2">
            <w:pPr>
              <w:rPr>
                <w:rFonts w:ascii="Arial"/>
                <w:color w:val="auto"/>
                <w:sz w:val="21"/>
                <w:highlight w:val="none"/>
              </w:rPr>
            </w:pPr>
          </w:p>
        </w:tc>
        <w:tc>
          <w:tcPr>
            <w:tcW w:w="1391" w:type="dxa"/>
            <w:vAlign w:val="top"/>
          </w:tcPr>
          <w:p w14:paraId="3E6C53B1">
            <w:pPr>
              <w:rPr>
                <w:rFonts w:ascii="Arial"/>
                <w:color w:val="auto"/>
                <w:sz w:val="21"/>
                <w:highlight w:val="none"/>
              </w:rPr>
            </w:pPr>
          </w:p>
        </w:tc>
      </w:tr>
      <w:tr w14:paraId="485E1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02B80AB6">
            <w:pPr>
              <w:rPr>
                <w:rFonts w:ascii="Arial"/>
                <w:color w:val="auto"/>
                <w:sz w:val="21"/>
                <w:highlight w:val="none"/>
              </w:rPr>
            </w:pPr>
          </w:p>
        </w:tc>
        <w:tc>
          <w:tcPr>
            <w:tcW w:w="1387" w:type="dxa"/>
            <w:vAlign w:val="top"/>
          </w:tcPr>
          <w:p w14:paraId="4FF2F3F2">
            <w:pPr>
              <w:rPr>
                <w:rFonts w:ascii="Arial"/>
                <w:color w:val="auto"/>
                <w:sz w:val="21"/>
                <w:highlight w:val="none"/>
              </w:rPr>
            </w:pPr>
          </w:p>
        </w:tc>
        <w:tc>
          <w:tcPr>
            <w:tcW w:w="1382" w:type="dxa"/>
            <w:vAlign w:val="top"/>
          </w:tcPr>
          <w:p w14:paraId="4E62CB76">
            <w:pPr>
              <w:rPr>
                <w:rFonts w:ascii="Arial"/>
                <w:color w:val="auto"/>
                <w:sz w:val="21"/>
                <w:highlight w:val="none"/>
              </w:rPr>
            </w:pPr>
          </w:p>
        </w:tc>
        <w:tc>
          <w:tcPr>
            <w:tcW w:w="1382" w:type="dxa"/>
            <w:vAlign w:val="top"/>
          </w:tcPr>
          <w:p w14:paraId="4A6FEEE3">
            <w:pPr>
              <w:rPr>
                <w:rFonts w:ascii="Arial"/>
                <w:color w:val="auto"/>
                <w:sz w:val="21"/>
                <w:highlight w:val="none"/>
              </w:rPr>
            </w:pPr>
          </w:p>
        </w:tc>
        <w:tc>
          <w:tcPr>
            <w:tcW w:w="1382" w:type="dxa"/>
            <w:vAlign w:val="top"/>
          </w:tcPr>
          <w:p w14:paraId="4EF51BD0">
            <w:pPr>
              <w:rPr>
                <w:rFonts w:ascii="Arial"/>
                <w:color w:val="auto"/>
                <w:sz w:val="21"/>
                <w:highlight w:val="none"/>
              </w:rPr>
            </w:pPr>
          </w:p>
        </w:tc>
        <w:tc>
          <w:tcPr>
            <w:tcW w:w="1391" w:type="dxa"/>
            <w:vAlign w:val="top"/>
          </w:tcPr>
          <w:p w14:paraId="47D73771">
            <w:pPr>
              <w:rPr>
                <w:rFonts w:ascii="Arial"/>
                <w:color w:val="auto"/>
                <w:sz w:val="21"/>
                <w:highlight w:val="none"/>
              </w:rPr>
            </w:pPr>
          </w:p>
        </w:tc>
      </w:tr>
      <w:tr w14:paraId="039BBC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62D3C256">
            <w:pPr>
              <w:rPr>
                <w:rFonts w:ascii="Arial"/>
                <w:color w:val="auto"/>
                <w:sz w:val="21"/>
                <w:highlight w:val="none"/>
              </w:rPr>
            </w:pPr>
          </w:p>
        </w:tc>
        <w:tc>
          <w:tcPr>
            <w:tcW w:w="1387" w:type="dxa"/>
            <w:vAlign w:val="top"/>
          </w:tcPr>
          <w:p w14:paraId="68D3A566">
            <w:pPr>
              <w:rPr>
                <w:rFonts w:ascii="Arial"/>
                <w:color w:val="auto"/>
                <w:sz w:val="21"/>
                <w:highlight w:val="none"/>
              </w:rPr>
            </w:pPr>
          </w:p>
        </w:tc>
        <w:tc>
          <w:tcPr>
            <w:tcW w:w="1382" w:type="dxa"/>
            <w:vAlign w:val="top"/>
          </w:tcPr>
          <w:p w14:paraId="59564711">
            <w:pPr>
              <w:rPr>
                <w:rFonts w:ascii="Arial"/>
                <w:color w:val="auto"/>
                <w:sz w:val="21"/>
                <w:highlight w:val="none"/>
              </w:rPr>
            </w:pPr>
          </w:p>
        </w:tc>
        <w:tc>
          <w:tcPr>
            <w:tcW w:w="1382" w:type="dxa"/>
            <w:vAlign w:val="top"/>
          </w:tcPr>
          <w:p w14:paraId="3654514C">
            <w:pPr>
              <w:rPr>
                <w:rFonts w:ascii="Arial"/>
                <w:color w:val="auto"/>
                <w:sz w:val="21"/>
                <w:highlight w:val="none"/>
              </w:rPr>
            </w:pPr>
          </w:p>
        </w:tc>
        <w:tc>
          <w:tcPr>
            <w:tcW w:w="1382" w:type="dxa"/>
            <w:vAlign w:val="top"/>
          </w:tcPr>
          <w:p w14:paraId="3BD0793B">
            <w:pPr>
              <w:rPr>
                <w:rFonts w:ascii="Arial"/>
                <w:color w:val="auto"/>
                <w:sz w:val="21"/>
                <w:highlight w:val="none"/>
              </w:rPr>
            </w:pPr>
          </w:p>
        </w:tc>
        <w:tc>
          <w:tcPr>
            <w:tcW w:w="1391" w:type="dxa"/>
            <w:vAlign w:val="top"/>
          </w:tcPr>
          <w:p w14:paraId="4B9BACB0">
            <w:pPr>
              <w:rPr>
                <w:rFonts w:ascii="Arial"/>
                <w:color w:val="auto"/>
                <w:sz w:val="21"/>
                <w:highlight w:val="none"/>
              </w:rPr>
            </w:pPr>
          </w:p>
        </w:tc>
      </w:tr>
      <w:tr w14:paraId="7D7B0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05CF10F4">
            <w:pPr>
              <w:rPr>
                <w:rFonts w:ascii="Arial"/>
                <w:color w:val="auto"/>
                <w:sz w:val="21"/>
                <w:highlight w:val="none"/>
              </w:rPr>
            </w:pPr>
          </w:p>
        </w:tc>
        <w:tc>
          <w:tcPr>
            <w:tcW w:w="1387" w:type="dxa"/>
            <w:vAlign w:val="top"/>
          </w:tcPr>
          <w:p w14:paraId="68E0AD87">
            <w:pPr>
              <w:rPr>
                <w:rFonts w:ascii="Arial"/>
                <w:color w:val="auto"/>
                <w:sz w:val="21"/>
                <w:highlight w:val="none"/>
              </w:rPr>
            </w:pPr>
          </w:p>
        </w:tc>
        <w:tc>
          <w:tcPr>
            <w:tcW w:w="1382" w:type="dxa"/>
            <w:vAlign w:val="top"/>
          </w:tcPr>
          <w:p w14:paraId="1608D785">
            <w:pPr>
              <w:rPr>
                <w:rFonts w:ascii="Arial"/>
                <w:color w:val="auto"/>
                <w:sz w:val="21"/>
                <w:highlight w:val="none"/>
              </w:rPr>
            </w:pPr>
          </w:p>
        </w:tc>
        <w:tc>
          <w:tcPr>
            <w:tcW w:w="1382" w:type="dxa"/>
            <w:vAlign w:val="top"/>
          </w:tcPr>
          <w:p w14:paraId="7659063E">
            <w:pPr>
              <w:rPr>
                <w:rFonts w:ascii="Arial"/>
                <w:color w:val="auto"/>
                <w:sz w:val="21"/>
                <w:highlight w:val="none"/>
              </w:rPr>
            </w:pPr>
          </w:p>
        </w:tc>
        <w:tc>
          <w:tcPr>
            <w:tcW w:w="1382" w:type="dxa"/>
            <w:vAlign w:val="top"/>
          </w:tcPr>
          <w:p w14:paraId="4919FFE6">
            <w:pPr>
              <w:rPr>
                <w:rFonts w:ascii="Arial"/>
                <w:color w:val="auto"/>
                <w:sz w:val="21"/>
                <w:highlight w:val="none"/>
              </w:rPr>
            </w:pPr>
          </w:p>
        </w:tc>
        <w:tc>
          <w:tcPr>
            <w:tcW w:w="1391" w:type="dxa"/>
            <w:vAlign w:val="top"/>
          </w:tcPr>
          <w:p w14:paraId="2A66DC05">
            <w:pPr>
              <w:rPr>
                <w:rFonts w:ascii="Arial"/>
                <w:color w:val="auto"/>
                <w:sz w:val="21"/>
                <w:highlight w:val="none"/>
              </w:rPr>
            </w:pPr>
          </w:p>
        </w:tc>
      </w:tr>
      <w:tr w14:paraId="07159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3636556A">
            <w:pPr>
              <w:rPr>
                <w:rFonts w:ascii="Arial"/>
                <w:color w:val="auto"/>
                <w:sz w:val="21"/>
                <w:highlight w:val="none"/>
              </w:rPr>
            </w:pPr>
          </w:p>
        </w:tc>
        <w:tc>
          <w:tcPr>
            <w:tcW w:w="1387" w:type="dxa"/>
            <w:vAlign w:val="top"/>
          </w:tcPr>
          <w:p w14:paraId="675F0875">
            <w:pPr>
              <w:rPr>
                <w:rFonts w:ascii="Arial"/>
                <w:color w:val="auto"/>
                <w:sz w:val="21"/>
                <w:highlight w:val="none"/>
              </w:rPr>
            </w:pPr>
          </w:p>
        </w:tc>
        <w:tc>
          <w:tcPr>
            <w:tcW w:w="1382" w:type="dxa"/>
            <w:vAlign w:val="top"/>
          </w:tcPr>
          <w:p w14:paraId="528763EB">
            <w:pPr>
              <w:rPr>
                <w:rFonts w:ascii="Arial"/>
                <w:color w:val="auto"/>
                <w:sz w:val="21"/>
                <w:highlight w:val="none"/>
              </w:rPr>
            </w:pPr>
          </w:p>
        </w:tc>
        <w:tc>
          <w:tcPr>
            <w:tcW w:w="1382" w:type="dxa"/>
            <w:vAlign w:val="top"/>
          </w:tcPr>
          <w:p w14:paraId="107CD3CE">
            <w:pPr>
              <w:rPr>
                <w:rFonts w:ascii="Arial"/>
                <w:color w:val="auto"/>
                <w:sz w:val="21"/>
                <w:highlight w:val="none"/>
              </w:rPr>
            </w:pPr>
          </w:p>
        </w:tc>
        <w:tc>
          <w:tcPr>
            <w:tcW w:w="1382" w:type="dxa"/>
            <w:vAlign w:val="top"/>
          </w:tcPr>
          <w:p w14:paraId="53E07D1A">
            <w:pPr>
              <w:rPr>
                <w:rFonts w:ascii="Arial"/>
                <w:color w:val="auto"/>
                <w:sz w:val="21"/>
                <w:highlight w:val="none"/>
              </w:rPr>
            </w:pPr>
          </w:p>
        </w:tc>
        <w:tc>
          <w:tcPr>
            <w:tcW w:w="1391" w:type="dxa"/>
            <w:vAlign w:val="top"/>
          </w:tcPr>
          <w:p w14:paraId="1BFCF086">
            <w:pPr>
              <w:rPr>
                <w:rFonts w:ascii="Arial"/>
                <w:color w:val="auto"/>
                <w:sz w:val="21"/>
                <w:highlight w:val="none"/>
              </w:rPr>
            </w:pPr>
          </w:p>
        </w:tc>
      </w:tr>
      <w:tr w14:paraId="56B15A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1E5C9D50">
            <w:pPr>
              <w:rPr>
                <w:rFonts w:ascii="Arial"/>
                <w:color w:val="auto"/>
                <w:sz w:val="21"/>
                <w:highlight w:val="none"/>
              </w:rPr>
            </w:pPr>
          </w:p>
        </w:tc>
        <w:tc>
          <w:tcPr>
            <w:tcW w:w="1387" w:type="dxa"/>
            <w:vAlign w:val="top"/>
          </w:tcPr>
          <w:p w14:paraId="505C9BB4">
            <w:pPr>
              <w:rPr>
                <w:rFonts w:ascii="Arial"/>
                <w:color w:val="auto"/>
                <w:sz w:val="21"/>
                <w:highlight w:val="none"/>
              </w:rPr>
            </w:pPr>
          </w:p>
        </w:tc>
        <w:tc>
          <w:tcPr>
            <w:tcW w:w="1382" w:type="dxa"/>
            <w:vAlign w:val="top"/>
          </w:tcPr>
          <w:p w14:paraId="45631424">
            <w:pPr>
              <w:rPr>
                <w:rFonts w:ascii="Arial"/>
                <w:color w:val="auto"/>
                <w:sz w:val="21"/>
                <w:highlight w:val="none"/>
              </w:rPr>
            </w:pPr>
          </w:p>
        </w:tc>
        <w:tc>
          <w:tcPr>
            <w:tcW w:w="1382" w:type="dxa"/>
            <w:vAlign w:val="top"/>
          </w:tcPr>
          <w:p w14:paraId="555FD813">
            <w:pPr>
              <w:rPr>
                <w:rFonts w:ascii="Arial"/>
                <w:color w:val="auto"/>
                <w:sz w:val="21"/>
                <w:highlight w:val="none"/>
              </w:rPr>
            </w:pPr>
          </w:p>
        </w:tc>
        <w:tc>
          <w:tcPr>
            <w:tcW w:w="1382" w:type="dxa"/>
            <w:vAlign w:val="top"/>
          </w:tcPr>
          <w:p w14:paraId="112F4F03">
            <w:pPr>
              <w:rPr>
                <w:rFonts w:ascii="Arial"/>
                <w:color w:val="auto"/>
                <w:sz w:val="21"/>
                <w:highlight w:val="none"/>
              </w:rPr>
            </w:pPr>
          </w:p>
        </w:tc>
        <w:tc>
          <w:tcPr>
            <w:tcW w:w="1391" w:type="dxa"/>
            <w:vAlign w:val="top"/>
          </w:tcPr>
          <w:p w14:paraId="20D8D042">
            <w:pPr>
              <w:rPr>
                <w:rFonts w:ascii="Arial"/>
                <w:color w:val="auto"/>
                <w:sz w:val="21"/>
                <w:highlight w:val="none"/>
              </w:rPr>
            </w:pPr>
          </w:p>
        </w:tc>
      </w:tr>
      <w:tr w14:paraId="185C6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634CB37A">
            <w:pPr>
              <w:rPr>
                <w:rFonts w:ascii="Arial"/>
                <w:color w:val="auto"/>
                <w:sz w:val="21"/>
                <w:highlight w:val="none"/>
              </w:rPr>
            </w:pPr>
          </w:p>
        </w:tc>
        <w:tc>
          <w:tcPr>
            <w:tcW w:w="1387" w:type="dxa"/>
            <w:vAlign w:val="top"/>
          </w:tcPr>
          <w:p w14:paraId="64C4871E">
            <w:pPr>
              <w:rPr>
                <w:rFonts w:ascii="Arial"/>
                <w:color w:val="auto"/>
                <w:sz w:val="21"/>
                <w:highlight w:val="none"/>
              </w:rPr>
            </w:pPr>
          </w:p>
        </w:tc>
        <w:tc>
          <w:tcPr>
            <w:tcW w:w="1382" w:type="dxa"/>
            <w:vAlign w:val="top"/>
          </w:tcPr>
          <w:p w14:paraId="1EB5C5E7">
            <w:pPr>
              <w:rPr>
                <w:rFonts w:ascii="Arial"/>
                <w:color w:val="auto"/>
                <w:sz w:val="21"/>
                <w:highlight w:val="none"/>
              </w:rPr>
            </w:pPr>
          </w:p>
        </w:tc>
        <w:tc>
          <w:tcPr>
            <w:tcW w:w="1382" w:type="dxa"/>
            <w:vAlign w:val="top"/>
          </w:tcPr>
          <w:p w14:paraId="38A15E0C">
            <w:pPr>
              <w:rPr>
                <w:rFonts w:ascii="Arial"/>
                <w:color w:val="auto"/>
                <w:sz w:val="21"/>
                <w:highlight w:val="none"/>
              </w:rPr>
            </w:pPr>
          </w:p>
        </w:tc>
        <w:tc>
          <w:tcPr>
            <w:tcW w:w="1382" w:type="dxa"/>
            <w:vAlign w:val="top"/>
          </w:tcPr>
          <w:p w14:paraId="479A8AAC">
            <w:pPr>
              <w:rPr>
                <w:rFonts w:ascii="Arial"/>
                <w:color w:val="auto"/>
                <w:sz w:val="21"/>
                <w:highlight w:val="none"/>
              </w:rPr>
            </w:pPr>
          </w:p>
        </w:tc>
        <w:tc>
          <w:tcPr>
            <w:tcW w:w="1391" w:type="dxa"/>
            <w:vAlign w:val="top"/>
          </w:tcPr>
          <w:p w14:paraId="0B8A1D93">
            <w:pPr>
              <w:rPr>
                <w:rFonts w:ascii="Arial"/>
                <w:color w:val="auto"/>
                <w:sz w:val="21"/>
                <w:highlight w:val="none"/>
              </w:rPr>
            </w:pPr>
          </w:p>
        </w:tc>
      </w:tr>
      <w:tr w14:paraId="20CEE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29365629">
            <w:pPr>
              <w:rPr>
                <w:rFonts w:ascii="Arial"/>
                <w:color w:val="auto"/>
                <w:sz w:val="21"/>
                <w:highlight w:val="none"/>
              </w:rPr>
            </w:pPr>
          </w:p>
        </w:tc>
        <w:tc>
          <w:tcPr>
            <w:tcW w:w="1387" w:type="dxa"/>
            <w:vAlign w:val="top"/>
          </w:tcPr>
          <w:p w14:paraId="33C76C17">
            <w:pPr>
              <w:rPr>
                <w:rFonts w:ascii="Arial"/>
                <w:color w:val="auto"/>
                <w:sz w:val="21"/>
                <w:highlight w:val="none"/>
              </w:rPr>
            </w:pPr>
          </w:p>
        </w:tc>
        <w:tc>
          <w:tcPr>
            <w:tcW w:w="1382" w:type="dxa"/>
            <w:vAlign w:val="top"/>
          </w:tcPr>
          <w:p w14:paraId="13A9BF7B">
            <w:pPr>
              <w:rPr>
                <w:rFonts w:ascii="Arial"/>
                <w:color w:val="auto"/>
                <w:sz w:val="21"/>
                <w:highlight w:val="none"/>
              </w:rPr>
            </w:pPr>
          </w:p>
        </w:tc>
        <w:tc>
          <w:tcPr>
            <w:tcW w:w="1382" w:type="dxa"/>
            <w:vAlign w:val="top"/>
          </w:tcPr>
          <w:p w14:paraId="04CB1BEB">
            <w:pPr>
              <w:rPr>
                <w:rFonts w:ascii="Arial"/>
                <w:color w:val="auto"/>
                <w:sz w:val="21"/>
                <w:highlight w:val="none"/>
              </w:rPr>
            </w:pPr>
          </w:p>
        </w:tc>
        <w:tc>
          <w:tcPr>
            <w:tcW w:w="1382" w:type="dxa"/>
            <w:vAlign w:val="top"/>
          </w:tcPr>
          <w:p w14:paraId="5EA7D953">
            <w:pPr>
              <w:rPr>
                <w:rFonts w:ascii="Arial"/>
                <w:color w:val="auto"/>
                <w:sz w:val="21"/>
                <w:highlight w:val="none"/>
              </w:rPr>
            </w:pPr>
          </w:p>
        </w:tc>
        <w:tc>
          <w:tcPr>
            <w:tcW w:w="1391" w:type="dxa"/>
            <w:vAlign w:val="top"/>
          </w:tcPr>
          <w:p w14:paraId="3812EA9D">
            <w:pPr>
              <w:rPr>
                <w:rFonts w:ascii="Arial"/>
                <w:color w:val="auto"/>
                <w:sz w:val="21"/>
                <w:highlight w:val="none"/>
              </w:rPr>
            </w:pPr>
          </w:p>
        </w:tc>
      </w:tr>
      <w:tr w14:paraId="4D68D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5F0C997E">
            <w:pPr>
              <w:rPr>
                <w:rFonts w:ascii="Arial"/>
                <w:color w:val="auto"/>
                <w:sz w:val="21"/>
                <w:highlight w:val="none"/>
              </w:rPr>
            </w:pPr>
          </w:p>
        </w:tc>
        <w:tc>
          <w:tcPr>
            <w:tcW w:w="1387" w:type="dxa"/>
            <w:vAlign w:val="top"/>
          </w:tcPr>
          <w:p w14:paraId="2646BED8">
            <w:pPr>
              <w:rPr>
                <w:rFonts w:ascii="Arial"/>
                <w:color w:val="auto"/>
                <w:sz w:val="21"/>
                <w:highlight w:val="none"/>
              </w:rPr>
            </w:pPr>
          </w:p>
        </w:tc>
        <w:tc>
          <w:tcPr>
            <w:tcW w:w="1382" w:type="dxa"/>
            <w:vAlign w:val="top"/>
          </w:tcPr>
          <w:p w14:paraId="333E5C58">
            <w:pPr>
              <w:rPr>
                <w:rFonts w:ascii="Arial"/>
                <w:color w:val="auto"/>
                <w:sz w:val="21"/>
                <w:highlight w:val="none"/>
              </w:rPr>
            </w:pPr>
          </w:p>
        </w:tc>
        <w:tc>
          <w:tcPr>
            <w:tcW w:w="1382" w:type="dxa"/>
            <w:vAlign w:val="top"/>
          </w:tcPr>
          <w:p w14:paraId="0F0DE9C8">
            <w:pPr>
              <w:rPr>
                <w:rFonts w:ascii="Arial"/>
                <w:color w:val="auto"/>
                <w:sz w:val="21"/>
                <w:highlight w:val="none"/>
              </w:rPr>
            </w:pPr>
          </w:p>
        </w:tc>
        <w:tc>
          <w:tcPr>
            <w:tcW w:w="1382" w:type="dxa"/>
            <w:vAlign w:val="top"/>
          </w:tcPr>
          <w:p w14:paraId="4D32097A">
            <w:pPr>
              <w:rPr>
                <w:rFonts w:ascii="Arial"/>
                <w:color w:val="auto"/>
                <w:sz w:val="21"/>
                <w:highlight w:val="none"/>
              </w:rPr>
            </w:pPr>
          </w:p>
        </w:tc>
        <w:tc>
          <w:tcPr>
            <w:tcW w:w="1391" w:type="dxa"/>
            <w:vAlign w:val="top"/>
          </w:tcPr>
          <w:p w14:paraId="420B4BFC">
            <w:pPr>
              <w:rPr>
                <w:rFonts w:ascii="Arial"/>
                <w:color w:val="auto"/>
                <w:sz w:val="21"/>
                <w:highlight w:val="none"/>
              </w:rPr>
            </w:pPr>
          </w:p>
        </w:tc>
      </w:tr>
      <w:tr w14:paraId="55E5B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2259FB93">
            <w:pPr>
              <w:rPr>
                <w:rFonts w:ascii="Arial"/>
                <w:color w:val="auto"/>
                <w:sz w:val="21"/>
                <w:highlight w:val="none"/>
              </w:rPr>
            </w:pPr>
          </w:p>
        </w:tc>
        <w:tc>
          <w:tcPr>
            <w:tcW w:w="1387" w:type="dxa"/>
            <w:vAlign w:val="top"/>
          </w:tcPr>
          <w:p w14:paraId="323AEE3C">
            <w:pPr>
              <w:rPr>
                <w:rFonts w:ascii="Arial"/>
                <w:color w:val="auto"/>
                <w:sz w:val="21"/>
                <w:highlight w:val="none"/>
              </w:rPr>
            </w:pPr>
          </w:p>
        </w:tc>
        <w:tc>
          <w:tcPr>
            <w:tcW w:w="1382" w:type="dxa"/>
            <w:vAlign w:val="top"/>
          </w:tcPr>
          <w:p w14:paraId="0C88487F">
            <w:pPr>
              <w:rPr>
                <w:rFonts w:ascii="Arial"/>
                <w:color w:val="auto"/>
                <w:sz w:val="21"/>
                <w:highlight w:val="none"/>
              </w:rPr>
            </w:pPr>
          </w:p>
        </w:tc>
        <w:tc>
          <w:tcPr>
            <w:tcW w:w="1382" w:type="dxa"/>
            <w:vAlign w:val="top"/>
          </w:tcPr>
          <w:p w14:paraId="29AD1C5D">
            <w:pPr>
              <w:rPr>
                <w:rFonts w:ascii="Arial"/>
                <w:color w:val="auto"/>
                <w:sz w:val="21"/>
                <w:highlight w:val="none"/>
              </w:rPr>
            </w:pPr>
          </w:p>
        </w:tc>
        <w:tc>
          <w:tcPr>
            <w:tcW w:w="1382" w:type="dxa"/>
            <w:vAlign w:val="top"/>
          </w:tcPr>
          <w:p w14:paraId="15D9E0F6">
            <w:pPr>
              <w:rPr>
                <w:rFonts w:ascii="Arial"/>
                <w:color w:val="auto"/>
                <w:sz w:val="21"/>
                <w:highlight w:val="none"/>
              </w:rPr>
            </w:pPr>
          </w:p>
        </w:tc>
        <w:tc>
          <w:tcPr>
            <w:tcW w:w="1391" w:type="dxa"/>
            <w:vAlign w:val="top"/>
          </w:tcPr>
          <w:p w14:paraId="77C251A3">
            <w:pPr>
              <w:rPr>
                <w:rFonts w:ascii="Arial"/>
                <w:color w:val="auto"/>
                <w:sz w:val="21"/>
                <w:highlight w:val="none"/>
              </w:rPr>
            </w:pPr>
          </w:p>
        </w:tc>
      </w:tr>
      <w:tr w14:paraId="670B8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0593D440">
            <w:pPr>
              <w:rPr>
                <w:rFonts w:ascii="Arial"/>
                <w:color w:val="auto"/>
                <w:sz w:val="21"/>
                <w:highlight w:val="none"/>
              </w:rPr>
            </w:pPr>
          </w:p>
        </w:tc>
        <w:tc>
          <w:tcPr>
            <w:tcW w:w="1387" w:type="dxa"/>
            <w:vAlign w:val="top"/>
          </w:tcPr>
          <w:p w14:paraId="1C88EA96">
            <w:pPr>
              <w:rPr>
                <w:rFonts w:ascii="Arial"/>
                <w:color w:val="auto"/>
                <w:sz w:val="21"/>
                <w:highlight w:val="none"/>
              </w:rPr>
            </w:pPr>
          </w:p>
        </w:tc>
        <w:tc>
          <w:tcPr>
            <w:tcW w:w="1382" w:type="dxa"/>
            <w:vAlign w:val="top"/>
          </w:tcPr>
          <w:p w14:paraId="1391106C">
            <w:pPr>
              <w:rPr>
                <w:rFonts w:ascii="Arial"/>
                <w:color w:val="auto"/>
                <w:sz w:val="21"/>
                <w:highlight w:val="none"/>
              </w:rPr>
            </w:pPr>
          </w:p>
        </w:tc>
        <w:tc>
          <w:tcPr>
            <w:tcW w:w="1382" w:type="dxa"/>
            <w:vAlign w:val="top"/>
          </w:tcPr>
          <w:p w14:paraId="0FA03630">
            <w:pPr>
              <w:rPr>
                <w:rFonts w:ascii="Arial"/>
                <w:color w:val="auto"/>
                <w:sz w:val="21"/>
                <w:highlight w:val="none"/>
              </w:rPr>
            </w:pPr>
          </w:p>
        </w:tc>
        <w:tc>
          <w:tcPr>
            <w:tcW w:w="1382" w:type="dxa"/>
            <w:vAlign w:val="top"/>
          </w:tcPr>
          <w:p w14:paraId="18FC0857">
            <w:pPr>
              <w:rPr>
                <w:rFonts w:ascii="Arial"/>
                <w:color w:val="auto"/>
                <w:sz w:val="21"/>
                <w:highlight w:val="none"/>
              </w:rPr>
            </w:pPr>
          </w:p>
        </w:tc>
        <w:tc>
          <w:tcPr>
            <w:tcW w:w="1391" w:type="dxa"/>
            <w:vAlign w:val="top"/>
          </w:tcPr>
          <w:p w14:paraId="0746EC90">
            <w:pPr>
              <w:rPr>
                <w:rFonts w:ascii="Arial"/>
                <w:color w:val="auto"/>
                <w:sz w:val="21"/>
                <w:highlight w:val="none"/>
              </w:rPr>
            </w:pPr>
          </w:p>
        </w:tc>
      </w:tr>
      <w:tr w14:paraId="0D6605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6F671379">
            <w:pPr>
              <w:rPr>
                <w:rFonts w:ascii="Arial"/>
                <w:color w:val="auto"/>
                <w:sz w:val="21"/>
                <w:highlight w:val="none"/>
              </w:rPr>
            </w:pPr>
          </w:p>
        </w:tc>
        <w:tc>
          <w:tcPr>
            <w:tcW w:w="1387" w:type="dxa"/>
            <w:vAlign w:val="top"/>
          </w:tcPr>
          <w:p w14:paraId="3FDB9E4B">
            <w:pPr>
              <w:rPr>
                <w:rFonts w:ascii="Arial"/>
                <w:color w:val="auto"/>
                <w:sz w:val="21"/>
                <w:highlight w:val="none"/>
              </w:rPr>
            </w:pPr>
          </w:p>
        </w:tc>
        <w:tc>
          <w:tcPr>
            <w:tcW w:w="1382" w:type="dxa"/>
            <w:vAlign w:val="top"/>
          </w:tcPr>
          <w:p w14:paraId="2FFF67F9">
            <w:pPr>
              <w:rPr>
                <w:rFonts w:ascii="Arial"/>
                <w:color w:val="auto"/>
                <w:sz w:val="21"/>
                <w:highlight w:val="none"/>
              </w:rPr>
            </w:pPr>
          </w:p>
        </w:tc>
        <w:tc>
          <w:tcPr>
            <w:tcW w:w="1382" w:type="dxa"/>
            <w:vAlign w:val="top"/>
          </w:tcPr>
          <w:p w14:paraId="33191AEF">
            <w:pPr>
              <w:rPr>
                <w:rFonts w:ascii="Arial"/>
                <w:color w:val="auto"/>
                <w:sz w:val="21"/>
                <w:highlight w:val="none"/>
              </w:rPr>
            </w:pPr>
          </w:p>
        </w:tc>
        <w:tc>
          <w:tcPr>
            <w:tcW w:w="1382" w:type="dxa"/>
            <w:vAlign w:val="top"/>
          </w:tcPr>
          <w:p w14:paraId="0E5EE541">
            <w:pPr>
              <w:rPr>
                <w:rFonts w:ascii="Arial"/>
                <w:color w:val="auto"/>
                <w:sz w:val="21"/>
                <w:highlight w:val="none"/>
              </w:rPr>
            </w:pPr>
          </w:p>
        </w:tc>
        <w:tc>
          <w:tcPr>
            <w:tcW w:w="1391" w:type="dxa"/>
            <w:vAlign w:val="top"/>
          </w:tcPr>
          <w:p w14:paraId="71903231">
            <w:pPr>
              <w:rPr>
                <w:rFonts w:ascii="Arial"/>
                <w:color w:val="auto"/>
                <w:sz w:val="21"/>
                <w:highlight w:val="none"/>
              </w:rPr>
            </w:pPr>
          </w:p>
        </w:tc>
      </w:tr>
      <w:tr w14:paraId="4F1B1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6B232F80">
            <w:pPr>
              <w:rPr>
                <w:rFonts w:ascii="Arial"/>
                <w:color w:val="auto"/>
                <w:sz w:val="21"/>
                <w:highlight w:val="none"/>
              </w:rPr>
            </w:pPr>
          </w:p>
        </w:tc>
        <w:tc>
          <w:tcPr>
            <w:tcW w:w="1387" w:type="dxa"/>
            <w:vAlign w:val="top"/>
          </w:tcPr>
          <w:p w14:paraId="7386E4F8">
            <w:pPr>
              <w:rPr>
                <w:rFonts w:ascii="Arial"/>
                <w:color w:val="auto"/>
                <w:sz w:val="21"/>
                <w:highlight w:val="none"/>
              </w:rPr>
            </w:pPr>
          </w:p>
        </w:tc>
        <w:tc>
          <w:tcPr>
            <w:tcW w:w="1382" w:type="dxa"/>
            <w:vAlign w:val="top"/>
          </w:tcPr>
          <w:p w14:paraId="7F96400B">
            <w:pPr>
              <w:rPr>
                <w:rFonts w:ascii="Arial"/>
                <w:color w:val="auto"/>
                <w:sz w:val="21"/>
                <w:highlight w:val="none"/>
              </w:rPr>
            </w:pPr>
          </w:p>
        </w:tc>
        <w:tc>
          <w:tcPr>
            <w:tcW w:w="1382" w:type="dxa"/>
            <w:vAlign w:val="top"/>
          </w:tcPr>
          <w:p w14:paraId="3EDF293D">
            <w:pPr>
              <w:rPr>
                <w:rFonts w:ascii="Arial"/>
                <w:color w:val="auto"/>
                <w:sz w:val="21"/>
                <w:highlight w:val="none"/>
              </w:rPr>
            </w:pPr>
          </w:p>
        </w:tc>
        <w:tc>
          <w:tcPr>
            <w:tcW w:w="1382" w:type="dxa"/>
            <w:vAlign w:val="top"/>
          </w:tcPr>
          <w:p w14:paraId="74BF9832">
            <w:pPr>
              <w:rPr>
                <w:rFonts w:ascii="Arial"/>
                <w:color w:val="auto"/>
                <w:sz w:val="21"/>
                <w:highlight w:val="none"/>
              </w:rPr>
            </w:pPr>
          </w:p>
        </w:tc>
        <w:tc>
          <w:tcPr>
            <w:tcW w:w="1391" w:type="dxa"/>
            <w:vAlign w:val="top"/>
          </w:tcPr>
          <w:p w14:paraId="5D47C332">
            <w:pPr>
              <w:rPr>
                <w:rFonts w:ascii="Arial"/>
                <w:color w:val="auto"/>
                <w:sz w:val="21"/>
                <w:highlight w:val="none"/>
              </w:rPr>
            </w:pPr>
          </w:p>
        </w:tc>
      </w:tr>
      <w:tr w14:paraId="45BC1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1DF43E0D">
            <w:pPr>
              <w:rPr>
                <w:rFonts w:ascii="Arial"/>
                <w:color w:val="auto"/>
                <w:sz w:val="21"/>
                <w:highlight w:val="none"/>
              </w:rPr>
            </w:pPr>
          </w:p>
        </w:tc>
        <w:tc>
          <w:tcPr>
            <w:tcW w:w="1387" w:type="dxa"/>
            <w:vAlign w:val="top"/>
          </w:tcPr>
          <w:p w14:paraId="1C192F40">
            <w:pPr>
              <w:rPr>
                <w:rFonts w:ascii="Arial"/>
                <w:color w:val="auto"/>
                <w:sz w:val="21"/>
                <w:highlight w:val="none"/>
              </w:rPr>
            </w:pPr>
          </w:p>
        </w:tc>
        <w:tc>
          <w:tcPr>
            <w:tcW w:w="1382" w:type="dxa"/>
            <w:vAlign w:val="top"/>
          </w:tcPr>
          <w:p w14:paraId="6F44C430">
            <w:pPr>
              <w:rPr>
                <w:rFonts w:ascii="Arial"/>
                <w:color w:val="auto"/>
                <w:sz w:val="21"/>
                <w:highlight w:val="none"/>
              </w:rPr>
            </w:pPr>
          </w:p>
        </w:tc>
        <w:tc>
          <w:tcPr>
            <w:tcW w:w="1382" w:type="dxa"/>
            <w:vAlign w:val="top"/>
          </w:tcPr>
          <w:p w14:paraId="25136584">
            <w:pPr>
              <w:rPr>
                <w:rFonts w:ascii="Arial"/>
                <w:color w:val="auto"/>
                <w:sz w:val="21"/>
                <w:highlight w:val="none"/>
              </w:rPr>
            </w:pPr>
          </w:p>
        </w:tc>
        <w:tc>
          <w:tcPr>
            <w:tcW w:w="1382" w:type="dxa"/>
            <w:vAlign w:val="top"/>
          </w:tcPr>
          <w:p w14:paraId="7FD3D0C9">
            <w:pPr>
              <w:rPr>
                <w:rFonts w:ascii="Arial"/>
                <w:color w:val="auto"/>
                <w:sz w:val="21"/>
                <w:highlight w:val="none"/>
              </w:rPr>
            </w:pPr>
          </w:p>
        </w:tc>
        <w:tc>
          <w:tcPr>
            <w:tcW w:w="1391" w:type="dxa"/>
            <w:vAlign w:val="top"/>
          </w:tcPr>
          <w:p w14:paraId="1DEFD24A">
            <w:pPr>
              <w:rPr>
                <w:rFonts w:ascii="Arial"/>
                <w:color w:val="auto"/>
                <w:sz w:val="21"/>
                <w:highlight w:val="none"/>
              </w:rPr>
            </w:pPr>
          </w:p>
        </w:tc>
      </w:tr>
      <w:tr w14:paraId="29B32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387" w:type="dxa"/>
            <w:vAlign w:val="top"/>
          </w:tcPr>
          <w:p w14:paraId="1654EF78">
            <w:pPr>
              <w:rPr>
                <w:rFonts w:ascii="Arial"/>
                <w:color w:val="auto"/>
                <w:sz w:val="21"/>
                <w:highlight w:val="none"/>
              </w:rPr>
            </w:pPr>
          </w:p>
        </w:tc>
        <w:tc>
          <w:tcPr>
            <w:tcW w:w="1387" w:type="dxa"/>
            <w:vAlign w:val="top"/>
          </w:tcPr>
          <w:p w14:paraId="510D1960">
            <w:pPr>
              <w:rPr>
                <w:rFonts w:ascii="Arial"/>
                <w:color w:val="auto"/>
                <w:sz w:val="21"/>
                <w:highlight w:val="none"/>
              </w:rPr>
            </w:pPr>
          </w:p>
        </w:tc>
        <w:tc>
          <w:tcPr>
            <w:tcW w:w="1382" w:type="dxa"/>
            <w:vAlign w:val="top"/>
          </w:tcPr>
          <w:p w14:paraId="041CB308">
            <w:pPr>
              <w:rPr>
                <w:rFonts w:ascii="Arial"/>
                <w:color w:val="auto"/>
                <w:sz w:val="21"/>
                <w:highlight w:val="none"/>
              </w:rPr>
            </w:pPr>
          </w:p>
        </w:tc>
        <w:tc>
          <w:tcPr>
            <w:tcW w:w="1382" w:type="dxa"/>
            <w:vAlign w:val="top"/>
          </w:tcPr>
          <w:p w14:paraId="029D70A7">
            <w:pPr>
              <w:rPr>
                <w:rFonts w:ascii="Arial"/>
                <w:color w:val="auto"/>
                <w:sz w:val="21"/>
                <w:highlight w:val="none"/>
              </w:rPr>
            </w:pPr>
          </w:p>
        </w:tc>
        <w:tc>
          <w:tcPr>
            <w:tcW w:w="1382" w:type="dxa"/>
            <w:vAlign w:val="top"/>
          </w:tcPr>
          <w:p w14:paraId="1A996869">
            <w:pPr>
              <w:rPr>
                <w:rFonts w:ascii="Arial"/>
                <w:color w:val="auto"/>
                <w:sz w:val="21"/>
                <w:highlight w:val="none"/>
              </w:rPr>
            </w:pPr>
          </w:p>
        </w:tc>
        <w:tc>
          <w:tcPr>
            <w:tcW w:w="1391" w:type="dxa"/>
            <w:vAlign w:val="top"/>
          </w:tcPr>
          <w:p w14:paraId="75B4FFB9">
            <w:pPr>
              <w:rPr>
                <w:rFonts w:ascii="Arial"/>
                <w:color w:val="auto"/>
                <w:sz w:val="21"/>
                <w:highlight w:val="none"/>
              </w:rPr>
            </w:pPr>
          </w:p>
        </w:tc>
      </w:tr>
    </w:tbl>
    <w:p w14:paraId="3C38854E">
      <w:pPr>
        <w:pStyle w:val="3"/>
        <w:rPr>
          <w:color w:val="auto"/>
          <w:highlight w:val="none"/>
        </w:rPr>
      </w:pPr>
    </w:p>
    <w:p w14:paraId="702A5CE0">
      <w:pPr>
        <w:rPr>
          <w:color w:val="auto"/>
          <w:highlight w:val="none"/>
        </w:rPr>
        <w:sectPr>
          <w:footerReference r:id="rId203" w:type="default"/>
          <w:pgSz w:w="11905" w:h="16839"/>
          <w:pgMar w:top="400" w:right="1785" w:bottom="1004" w:left="1785" w:header="0" w:footer="828" w:gutter="0"/>
          <w:pgNumType w:fmt="decimal"/>
          <w:cols w:space="720" w:num="1"/>
        </w:sectPr>
      </w:pPr>
    </w:p>
    <w:p w14:paraId="38CAC314">
      <w:pPr>
        <w:pStyle w:val="3"/>
        <w:spacing w:line="266" w:lineRule="auto"/>
        <w:rPr>
          <w:color w:val="auto"/>
          <w:highlight w:val="none"/>
        </w:rPr>
      </w:pPr>
    </w:p>
    <w:p w14:paraId="3BD3ED8C">
      <w:pPr>
        <w:pStyle w:val="3"/>
        <w:spacing w:line="266" w:lineRule="auto"/>
        <w:rPr>
          <w:color w:val="auto"/>
          <w:highlight w:val="none"/>
        </w:rPr>
      </w:pPr>
    </w:p>
    <w:p w14:paraId="1CC76494">
      <w:pPr>
        <w:pStyle w:val="3"/>
        <w:spacing w:line="266" w:lineRule="auto"/>
        <w:rPr>
          <w:color w:val="auto"/>
          <w:highlight w:val="none"/>
        </w:rPr>
      </w:pPr>
    </w:p>
    <w:p w14:paraId="17D8B2E7">
      <w:pPr>
        <w:pStyle w:val="3"/>
        <w:spacing w:line="267" w:lineRule="auto"/>
        <w:rPr>
          <w:color w:val="auto"/>
          <w:highlight w:val="none"/>
        </w:rPr>
      </w:pPr>
    </w:p>
    <w:p w14:paraId="41224E80">
      <w:pPr>
        <w:spacing w:before="78" w:line="220" w:lineRule="auto"/>
        <w:ind w:left="15"/>
        <w:rPr>
          <w:rFonts w:ascii="黑体" w:hAnsi="黑体" w:eastAsia="黑体" w:cs="黑体"/>
          <w:color w:val="auto"/>
          <w:sz w:val="24"/>
          <w:szCs w:val="24"/>
          <w:highlight w:val="none"/>
        </w:rPr>
      </w:pPr>
      <w:r>
        <w:rPr>
          <w:rFonts w:ascii="Times New Roman" w:hAnsi="Times New Roman" w:eastAsia="Times New Roman" w:cs="Times New Roman"/>
          <w:color w:val="auto"/>
          <w:spacing w:val="-16"/>
          <w:sz w:val="24"/>
          <w:szCs w:val="24"/>
          <w:highlight w:val="none"/>
        </w:rPr>
        <w:t>2</w:t>
      </w:r>
      <w:r>
        <w:rPr>
          <w:rFonts w:ascii="Times New Roman" w:hAnsi="Times New Roman" w:eastAsia="Times New Roman" w:cs="Times New Roman"/>
          <w:color w:val="auto"/>
          <w:spacing w:val="-25"/>
          <w:sz w:val="24"/>
          <w:szCs w:val="24"/>
          <w:highlight w:val="none"/>
        </w:rPr>
        <w:t xml:space="preserve"> </w:t>
      </w:r>
      <w:r>
        <w:rPr>
          <w:rFonts w:ascii="黑体" w:hAnsi="黑体" w:eastAsia="黑体" w:cs="黑体"/>
          <w:color w:val="auto"/>
          <w:spacing w:val="-16"/>
          <w:sz w:val="24"/>
          <w:szCs w:val="24"/>
          <w:highlight w:val="none"/>
        </w:rPr>
        <w:t>．</w:t>
      </w:r>
      <w:r>
        <w:rPr>
          <w:rFonts w:ascii="黑体" w:hAnsi="黑体" w:eastAsia="黑体" w:cs="黑体"/>
          <w:color w:val="auto"/>
          <w:spacing w:val="-97"/>
          <w:sz w:val="24"/>
          <w:szCs w:val="24"/>
          <w:highlight w:val="none"/>
        </w:rPr>
        <w:t xml:space="preserve"> </w:t>
      </w:r>
      <w:r>
        <w:rPr>
          <w:rFonts w:ascii="黑体" w:hAnsi="黑体" w:eastAsia="黑体" w:cs="黑体"/>
          <w:color w:val="auto"/>
          <w:spacing w:val="-16"/>
          <w:sz w:val="24"/>
          <w:szCs w:val="24"/>
          <w:highlight w:val="none"/>
        </w:rPr>
        <w:t>图</w:t>
      </w:r>
      <w:r>
        <w:rPr>
          <w:rFonts w:ascii="黑体" w:hAnsi="黑体" w:eastAsia="黑体" w:cs="黑体"/>
          <w:color w:val="auto"/>
          <w:spacing w:val="18"/>
          <w:sz w:val="24"/>
          <w:szCs w:val="24"/>
          <w:highlight w:val="none"/>
        </w:rPr>
        <w:t xml:space="preserve"> </w:t>
      </w:r>
      <w:r>
        <w:rPr>
          <w:rFonts w:ascii="黑体" w:hAnsi="黑体" w:eastAsia="黑体" w:cs="黑体"/>
          <w:color w:val="auto"/>
          <w:spacing w:val="-16"/>
          <w:sz w:val="24"/>
          <w:szCs w:val="24"/>
          <w:highlight w:val="none"/>
        </w:rPr>
        <w:t>纸</w:t>
      </w:r>
    </w:p>
    <w:p w14:paraId="0ADAA315">
      <w:pPr>
        <w:spacing w:line="220" w:lineRule="auto"/>
        <w:rPr>
          <w:rFonts w:ascii="黑体" w:hAnsi="黑体" w:eastAsia="黑体" w:cs="黑体"/>
          <w:color w:val="auto"/>
          <w:sz w:val="24"/>
          <w:szCs w:val="24"/>
          <w:highlight w:val="none"/>
        </w:rPr>
        <w:sectPr>
          <w:footerReference r:id="rId204" w:type="default"/>
          <w:pgSz w:w="11905" w:h="16839"/>
          <w:pgMar w:top="400" w:right="1785" w:bottom="1004" w:left="1785" w:header="0" w:footer="829" w:gutter="0"/>
          <w:pgNumType w:fmt="decimal"/>
          <w:cols w:space="720" w:num="1"/>
        </w:sectPr>
      </w:pPr>
    </w:p>
    <w:p w14:paraId="05B9351B">
      <w:pPr>
        <w:pStyle w:val="3"/>
        <w:spacing w:line="252" w:lineRule="auto"/>
        <w:rPr>
          <w:color w:val="auto"/>
          <w:highlight w:val="none"/>
        </w:rPr>
      </w:pPr>
    </w:p>
    <w:p w14:paraId="06E53D1B">
      <w:pPr>
        <w:pStyle w:val="3"/>
        <w:spacing w:line="253" w:lineRule="auto"/>
        <w:rPr>
          <w:color w:val="auto"/>
          <w:highlight w:val="none"/>
        </w:rPr>
      </w:pPr>
    </w:p>
    <w:p w14:paraId="79D45AAB">
      <w:pPr>
        <w:pStyle w:val="3"/>
        <w:spacing w:line="253" w:lineRule="auto"/>
        <w:rPr>
          <w:color w:val="auto"/>
          <w:highlight w:val="none"/>
        </w:rPr>
      </w:pPr>
    </w:p>
    <w:p w14:paraId="78C88C6D">
      <w:pPr>
        <w:pStyle w:val="3"/>
        <w:spacing w:line="253" w:lineRule="auto"/>
        <w:rPr>
          <w:color w:val="auto"/>
          <w:highlight w:val="none"/>
        </w:rPr>
      </w:pPr>
    </w:p>
    <w:p w14:paraId="03FBB313">
      <w:pPr>
        <w:pStyle w:val="3"/>
        <w:spacing w:line="253" w:lineRule="auto"/>
        <w:rPr>
          <w:color w:val="auto"/>
          <w:highlight w:val="none"/>
        </w:rPr>
      </w:pPr>
    </w:p>
    <w:p w14:paraId="13B9CC8B">
      <w:pPr>
        <w:pStyle w:val="3"/>
        <w:spacing w:line="253" w:lineRule="auto"/>
        <w:rPr>
          <w:color w:val="auto"/>
          <w:highlight w:val="none"/>
        </w:rPr>
      </w:pPr>
    </w:p>
    <w:p w14:paraId="489D3C3A">
      <w:pPr>
        <w:pStyle w:val="3"/>
        <w:spacing w:line="253" w:lineRule="auto"/>
        <w:rPr>
          <w:color w:val="auto"/>
          <w:highlight w:val="none"/>
        </w:rPr>
      </w:pPr>
    </w:p>
    <w:p w14:paraId="0B168376">
      <w:pPr>
        <w:pStyle w:val="3"/>
        <w:spacing w:line="253" w:lineRule="auto"/>
        <w:rPr>
          <w:color w:val="auto"/>
          <w:highlight w:val="none"/>
        </w:rPr>
      </w:pPr>
    </w:p>
    <w:p w14:paraId="0E396064">
      <w:pPr>
        <w:pStyle w:val="3"/>
        <w:spacing w:line="253" w:lineRule="auto"/>
        <w:rPr>
          <w:color w:val="auto"/>
          <w:highlight w:val="none"/>
        </w:rPr>
      </w:pPr>
    </w:p>
    <w:p w14:paraId="79AA8BE6">
      <w:pPr>
        <w:pStyle w:val="3"/>
        <w:spacing w:line="253" w:lineRule="auto"/>
        <w:rPr>
          <w:color w:val="auto"/>
          <w:highlight w:val="none"/>
        </w:rPr>
      </w:pPr>
    </w:p>
    <w:p w14:paraId="10F4CAB2">
      <w:pPr>
        <w:pStyle w:val="3"/>
        <w:spacing w:line="253" w:lineRule="auto"/>
        <w:rPr>
          <w:color w:val="auto"/>
          <w:highlight w:val="none"/>
        </w:rPr>
      </w:pPr>
    </w:p>
    <w:p w14:paraId="468CFA54">
      <w:pPr>
        <w:pStyle w:val="3"/>
        <w:spacing w:line="253" w:lineRule="auto"/>
        <w:rPr>
          <w:color w:val="auto"/>
          <w:highlight w:val="none"/>
        </w:rPr>
      </w:pPr>
    </w:p>
    <w:p w14:paraId="68A3D6F5">
      <w:pPr>
        <w:pStyle w:val="3"/>
        <w:spacing w:line="253" w:lineRule="auto"/>
        <w:rPr>
          <w:color w:val="auto"/>
          <w:highlight w:val="none"/>
        </w:rPr>
      </w:pPr>
    </w:p>
    <w:p w14:paraId="6BE4BF5B">
      <w:pPr>
        <w:pStyle w:val="3"/>
        <w:spacing w:line="253" w:lineRule="auto"/>
        <w:rPr>
          <w:color w:val="auto"/>
          <w:highlight w:val="none"/>
        </w:rPr>
      </w:pPr>
    </w:p>
    <w:p w14:paraId="6966DC59">
      <w:pPr>
        <w:pStyle w:val="3"/>
        <w:spacing w:line="253" w:lineRule="auto"/>
        <w:rPr>
          <w:color w:val="auto"/>
          <w:highlight w:val="none"/>
        </w:rPr>
      </w:pPr>
    </w:p>
    <w:p w14:paraId="5970F6E0">
      <w:pPr>
        <w:pStyle w:val="3"/>
        <w:spacing w:line="253" w:lineRule="auto"/>
        <w:rPr>
          <w:color w:val="auto"/>
          <w:highlight w:val="none"/>
        </w:rPr>
      </w:pPr>
    </w:p>
    <w:p w14:paraId="493C50D3">
      <w:pPr>
        <w:pStyle w:val="3"/>
        <w:spacing w:line="253" w:lineRule="auto"/>
        <w:rPr>
          <w:color w:val="auto"/>
          <w:highlight w:val="none"/>
        </w:rPr>
      </w:pPr>
    </w:p>
    <w:p w14:paraId="776E7184">
      <w:pPr>
        <w:pStyle w:val="3"/>
        <w:spacing w:line="253" w:lineRule="auto"/>
        <w:rPr>
          <w:color w:val="auto"/>
          <w:highlight w:val="none"/>
        </w:rPr>
      </w:pPr>
    </w:p>
    <w:p w14:paraId="52025376">
      <w:pPr>
        <w:spacing w:before="156" w:line="219" w:lineRule="auto"/>
        <w:ind w:left="3467"/>
        <w:rPr>
          <w:rFonts w:ascii="黑体" w:hAnsi="黑体" w:eastAsia="黑体" w:cs="黑体"/>
          <w:color w:val="auto"/>
          <w:sz w:val="48"/>
          <w:szCs w:val="48"/>
          <w:highlight w:val="none"/>
        </w:rPr>
      </w:pPr>
      <w:r>
        <w:rPr>
          <w:rFonts w:ascii="黑体" w:hAnsi="黑体" w:eastAsia="黑体" w:cs="黑体"/>
          <w:color w:val="auto"/>
          <w:spacing w:val="-5"/>
          <w:sz w:val="48"/>
          <w:szCs w:val="48"/>
          <w:highlight w:val="none"/>
        </w:rPr>
        <w:t>第三卷</w:t>
      </w:r>
    </w:p>
    <w:p w14:paraId="3F1DD43D">
      <w:pPr>
        <w:spacing w:line="219" w:lineRule="auto"/>
        <w:rPr>
          <w:rFonts w:ascii="黑体" w:hAnsi="黑体" w:eastAsia="黑体" w:cs="黑体"/>
          <w:color w:val="auto"/>
          <w:sz w:val="48"/>
          <w:szCs w:val="48"/>
          <w:highlight w:val="none"/>
        </w:rPr>
        <w:sectPr>
          <w:footerReference r:id="rId205" w:type="default"/>
          <w:pgSz w:w="11905" w:h="16839"/>
          <w:pgMar w:top="400" w:right="1785" w:bottom="1004" w:left="1785" w:header="0" w:footer="829" w:gutter="0"/>
          <w:pgNumType w:fmt="decimal"/>
          <w:cols w:space="720" w:num="1"/>
        </w:sectPr>
      </w:pPr>
    </w:p>
    <w:p w14:paraId="3B72FC8C">
      <w:pPr>
        <w:pStyle w:val="3"/>
        <w:spacing w:line="246" w:lineRule="auto"/>
        <w:rPr>
          <w:color w:val="auto"/>
          <w:highlight w:val="none"/>
        </w:rPr>
      </w:pPr>
    </w:p>
    <w:p w14:paraId="0738F5FA">
      <w:pPr>
        <w:pStyle w:val="3"/>
        <w:spacing w:line="246" w:lineRule="auto"/>
        <w:rPr>
          <w:color w:val="auto"/>
          <w:highlight w:val="none"/>
        </w:rPr>
      </w:pPr>
    </w:p>
    <w:p w14:paraId="57EFD5CC">
      <w:pPr>
        <w:pStyle w:val="3"/>
        <w:spacing w:line="246" w:lineRule="auto"/>
        <w:rPr>
          <w:color w:val="auto"/>
          <w:highlight w:val="none"/>
        </w:rPr>
      </w:pPr>
    </w:p>
    <w:p w14:paraId="7CCA5627">
      <w:pPr>
        <w:pStyle w:val="3"/>
        <w:spacing w:line="246" w:lineRule="auto"/>
        <w:rPr>
          <w:color w:val="auto"/>
          <w:highlight w:val="none"/>
        </w:rPr>
      </w:pPr>
    </w:p>
    <w:p w14:paraId="0D21F610">
      <w:pPr>
        <w:pStyle w:val="3"/>
        <w:spacing w:line="246" w:lineRule="auto"/>
        <w:rPr>
          <w:color w:val="auto"/>
          <w:highlight w:val="none"/>
        </w:rPr>
      </w:pPr>
    </w:p>
    <w:p w14:paraId="4ECCADD7">
      <w:pPr>
        <w:pStyle w:val="3"/>
        <w:spacing w:line="246" w:lineRule="auto"/>
        <w:rPr>
          <w:color w:val="auto"/>
          <w:highlight w:val="none"/>
        </w:rPr>
      </w:pPr>
    </w:p>
    <w:p w14:paraId="367A87DB">
      <w:pPr>
        <w:pStyle w:val="3"/>
        <w:spacing w:line="246" w:lineRule="auto"/>
        <w:rPr>
          <w:color w:val="auto"/>
          <w:highlight w:val="none"/>
        </w:rPr>
      </w:pPr>
    </w:p>
    <w:p w14:paraId="23291477">
      <w:pPr>
        <w:pStyle w:val="3"/>
        <w:spacing w:line="246" w:lineRule="auto"/>
        <w:rPr>
          <w:color w:val="auto"/>
          <w:highlight w:val="none"/>
        </w:rPr>
      </w:pPr>
    </w:p>
    <w:p w14:paraId="683EDF22">
      <w:pPr>
        <w:pStyle w:val="3"/>
        <w:spacing w:line="246" w:lineRule="auto"/>
        <w:rPr>
          <w:color w:val="auto"/>
          <w:highlight w:val="none"/>
        </w:rPr>
      </w:pPr>
    </w:p>
    <w:p w14:paraId="00E17D17">
      <w:pPr>
        <w:pStyle w:val="3"/>
        <w:spacing w:line="246" w:lineRule="auto"/>
        <w:rPr>
          <w:color w:val="auto"/>
          <w:highlight w:val="none"/>
        </w:rPr>
      </w:pPr>
    </w:p>
    <w:p w14:paraId="36371614">
      <w:pPr>
        <w:pStyle w:val="3"/>
        <w:spacing w:line="246" w:lineRule="auto"/>
        <w:rPr>
          <w:color w:val="auto"/>
          <w:highlight w:val="none"/>
        </w:rPr>
      </w:pPr>
    </w:p>
    <w:p w14:paraId="2B30D6F4">
      <w:pPr>
        <w:pStyle w:val="3"/>
        <w:spacing w:line="246" w:lineRule="auto"/>
        <w:rPr>
          <w:color w:val="auto"/>
          <w:highlight w:val="none"/>
        </w:rPr>
      </w:pPr>
    </w:p>
    <w:p w14:paraId="3F98B5ED">
      <w:pPr>
        <w:pStyle w:val="3"/>
        <w:spacing w:line="247" w:lineRule="auto"/>
        <w:rPr>
          <w:color w:val="auto"/>
          <w:highlight w:val="none"/>
        </w:rPr>
      </w:pPr>
    </w:p>
    <w:p w14:paraId="7B205B0D">
      <w:pPr>
        <w:pStyle w:val="3"/>
        <w:spacing w:line="247" w:lineRule="auto"/>
        <w:rPr>
          <w:color w:val="auto"/>
          <w:highlight w:val="none"/>
        </w:rPr>
      </w:pPr>
    </w:p>
    <w:p w14:paraId="232293DC">
      <w:pPr>
        <w:pStyle w:val="3"/>
        <w:spacing w:line="247" w:lineRule="auto"/>
        <w:rPr>
          <w:color w:val="auto"/>
          <w:highlight w:val="none"/>
        </w:rPr>
      </w:pPr>
    </w:p>
    <w:p w14:paraId="30B2B371">
      <w:pPr>
        <w:pStyle w:val="3"/>
        <w:spacing w:line="247" w:lineRule="auto"/>
        <w:rPr>
          <w:color w:val="auto"/>
          <w:highlight w:val="none"/>
        </w:rPr>
      </w:pPr>
    </w:p>
    <w:p w14:paraId="0E48ED74">
      <w:pPr>
        <w:pStyle w:val="3"/>
        <w:spacing w:line="247" w:lineRule="auto"/>
        <w:rPr>
          <w:color w:val="auto"/>
          <w:highlight w:val="none"/>
        </w:rPr>
      </w:pPr>
    </w:p>
    <w:p w14:paraId="474FA40A">
      <w:pPr>
        <w:pStyle w:val="3"/>
        <w:spacing w:line="247" w:lineRule="auto"/>
        <w:rPr>
          <w:color w:val="auto"/>
          <w:highlight w:val="none"/>
        </w:rPr>
      </w:pPr>
    </w:p>
    <w:p w14:paraId="0460B10C">
      <w:pPr>
        <w:spacing w:before="104" w:line="220" w:lineRule="auto"/>
        <w:ind w:left="2418"/>
        <w:outlineLvl w:val="0"/>
        <w:rPr>
          <w:rFonts w:ascii="黑体" w:hAnsi="黑体" w:eastAsia="黑体" w:cs="黑体"/>
          <w:color w:val="auto"/>
          <w:sz w:val="32"/>
          <w:szCs w:val="32"/>
          <w:highlight w:val="none"/>
        </w:rPr>
      </w:pPr>
      <w:r>
        <w:rPr>
          <w:rFonts w:ascii="黑体" w:hAnsi="黑体" w:eastAsia="黑体" w:cs="黑体"/>
          <w:color w:val="auto"/>
          <w:spacing w:val="-1"/>
          <w:sz w:val="32"/>
          <w:szCs w:val="32"/>
          <w:highlight w:val="none"/>
        </w:rPr>
        <w:t>第七章  技术标准和要求</w:t>
      </w:r>
    </w:p>
    <w:p w14:paraId="469C72A7">
      <w:pPr>
        <w:spacing w:line="220" w:lineRule="auto"/>
        <w:rPr>
          <w:rFonts w:ascii="黑体" w:hAnsi="黑体" w:eastAsia="黑体" w:cs="黑体"/>
          <w:color w:val="auto"/>
          <w:sz w:val="32"/>
          <w:szCs w:val="32"/>
          <w:highlight w:val="none"/>
        </w:rPr>
        <w:sectPr>
          <w:footerReference r:id="rId206" w:type="default"/>
          <w:pgSz w:w="11905" w:h="16839"/>
          <w:pgMar w:top="400" w:right="1785" w:bottom="1004" w:left="1785" w:header="0" w:footer="828" w:gutter="0"/>
          <w:pgNumType w:fmt="decimal"/>
          <w:cols w:space="720" w:num="1"/>
        </w:sectPr>
      </w:pPr>
    </w:p>
    <w:p w14:paraId="014F827D">
      <w:pPr>
        <w:pStyle w:val="3"/>
        <w:spacing w:line="247" w:lineRule="auto"/>
        <w:rPr>
          <w:color w:val="auto"/>
          <w:highlight w:val="none"/>
        </w:rPr>
      </w:pPr>
    </w:p>
    <w:p w14:paraId="1072B8EC">
      <w:pPr>
        <w:pStyle w:val="3"/>
        <w:spacing w:line="247" w:lineRule="auto"/>
        <w:rPr>
          <w:color w:val="auto"/>
          <w:highlight w:val="none"/>
        </w:rPr>
      </w:pPr>
    </w:p>
    <w:p w14:paraId="11642E41">
      <w:pPr>
        <w:pStyle w:val="3"/>
        <w:spacing w:line="247" w:lineRule="auto"/>
        <w:rPr>
          <w:color w:val="auto"/>
          <w:highlight w:val="none"/>
        </w:rPr>
      </w:pPr>
    </w:p>
    <w:p w14:paraId="3B4E05F2">
      <w:pPr>
        <w:pStyle w:val="3"/>
        <w:spacing w:line="248" w:lineRule="auto"/>
        <w:rPr>
          <w:color w:val="auto"/>
          <w:highlight w:val="none"/>
        </w:rPr>
      </w:pPr>
    </w:p>
    <w:p w14:paraId="773C60D4">
      <w:pPr>
        <w:spacing w:before="88" w:line="225" w:lineRule="auto"/>
        <w:ind w:left="2638"/>
        <w:rPr>
          <w:rFonts w:ascii="黑体" w:hAnsi="黑体" w:eastAsia="黑体" w:cs="黑体"/>
          <w:color w:val="auto"/>
          <w:sz w:val="27"/>
          <w:szCs w:val="27"/>
          <w:highlight w:val="none"/>
        </w:rPr>
      </w:pPr>
      <w:r>
        <w:rPr>
          <w:rFonts w:ascii="黑体" w:hAnsi="黑体" w:eastAsia="黑体" w:cs="黑体"/>
          <w:color w:val="auto"/>
          <w:spacing w:val="7"/>
          <w:sz w:val="27"/>
          <w:szCs w:val="27"/>
          <w:highlight w:val="none"/>
        </w:rPr>
        <w:t>第七章  技术标准和要求</w:t>
      </w:r>
    </w:p>
    <w:p w14:paraId="7F3F98D7">
      <w:pPr>
        <w:spacing w:line="219" w:lineRule="auto"/>
        <w:rPr>
          <w:rFonts w:ascii="宋体" w:hAnsi="宋体" w:eastAsia="宋体" w:cs="宋体"/>
          <w:color w:val="auto"/>
          <w:sz w:val="21"/>
          <w:szCs w:val="21"/>
          <w:highlight w:val="none"/>
        </w:rPr>
      </w:pPr>
    </w:p>
    <w:p w14:paraId="6B57FA38">
      <w:pPr>
        <w:pStyle w:val="16"/>
        <w:spacing w:line="360" w:lineRule="auto"/>
        <w:rPr>
          <w:rStyle w:val="8"/>
          <w:rFonts w:hint="eastAsia" w:ascii="宋体" w:hAnsi="宋体" w:cs="宋体"/>
          <w:color w:val="auto"/>
          <w:sz w:val="24"/>
          <w:highlight w:val="none"/>
        </w:rPr>
      </w:pPr>
      <w:r>
        <w:rPr>
          <w:rStyle w:val="8"/>
          <w:rFonts w:hint="eastAsia" w:ascii="宋体" w:hAnsi="宋体" w:cs="宋体"/>
          <w:color w:val="auto"/>
          <w:sz w:val="24"/>
          <w:highlight w:val="none"/>
        </w:rPr>
        <w:t>1、工程说明</w:t>
      </w:r>
    </w:p>
    <w:p w14:paraId="33729DCA">
      <w:pPr>
        <w:pStyle w:val="16"/>
        <w:spacing w:line="360" w:lineRule="auto"/>
        <w:rPr>
          <w:rStyle w:val="8"/>
          <w:rFonts w:hint="eastAsia" w:ascii="宋体" w:hAnsi="宋体" w:eastAsia="宋体" w:cs="宋体"/>
          <w:color w:val="auto"/>
          <w:sz w:val="24"/>
          <w:highlight w:val="none"/>
          <w:lang w:eastAsia="zh-CN"/>
        </w:rPr>
      </w:pPr>
      <w:r>
        <w:rPr>
          <w:rStyle w:val="8"/>
          <w:rFonts w:hint="eastAsia" w:ascii="宋体" w:hAnsi="宋体" w:eastAsia="宋体" w:cs="宋体"/>
          <w:color w:val="auto"/>
          <w:sz w:val="24"/>
          <w:highlight w:val="none"/>
          <w:lang w:eastAsia="zh-CN"/>
        </w:rPr>
        <w:t>1.1 工程名称：</w:t>
      </w:r>
      <w:r>
        <w:rPr>
          <w:rStyle w:val="8"/>
          <w:rFonts w:hint="eastAsia" w:ascii="宋体" w:hAnsi="宋体" w:cs="宋体"/>
          <w:color w:val="auto"/>
          <w:sz w:val="24"/>
          <w:highlight w:val="none"/>
          <w:lang w:eastAsia="zh-CN"/>
        </w:rPr>
        <w:t>营口市保障性租赁住房(2025年第一批)项目</w:t>
      </w:r>
    </w:p>
    <w:p w14:paraId="37784EEB">
      <w:pPr>
        <w:pStyle w:val="16"/>
        <w:spacing w:line="360" w:lineRule="auto"/>
        <w:rPr>
          <w:rStyle w:val="8"/>
          <w:rFonts w:hint="eastAsia" w:ascii="宋体" w:hAnsi="宋体" w:eastAsia="宋体" w:cs="宋体"/>
          <w:color w:val="auto"/>
          <w:sz w:val="24"/>
          <w:highlight w:val="none"/>
          <w:lang w:eastAsia="zh-CN"/>
        </w:rPr>
      </w:pPr>
      <w:r>
        <w:rPr>
          <w:rStyle w:val="8"/>
          <w:rFonts w:hint="eastAsia" w:ascii="宋体" w:hAnsi="宋体" w:eastAsia="宋体" w:cs="宋体"/>
          <w:color w:val="auto"/>
          <w:sz w:val="24"/>
          <w:highlight w:val="none"/>
          <w:lang w:eastAsia="zh-CN"/>
        </w:rPr>
        <w:t>1.2 工程地点：</w:t>
      </w:r>
      <w:r>
        <w:rPr>
          <w:rStyle w:val="8"/>
          <w:rFonts w:hint="eastAsia" w:ascii="宋体" w:hAnsi="宋体" w:eastAsia="宋体" w:cs="宋体"/>
          <w:color w:val="auto"/>
          <w:sz w:val="24"/>
          <w:highlight w:val="none"/>
          <w:lang w:val="en-US" w:eastAsia="zh-CN"/>
        </w:rPr>
        <w:t>辽宁省</w:t>
      </w:r>
      <w:r>
        <w:rPr>
          <w:rStyle w:val="8"/>
          <w:rFonts w:hint="eastAsia" w:ascii="宋体" w:hAnsi="宋体" w:eastAsia="宋体" w:cs="宋体"/>
          <w:color w:val="auto"/>
          <w:sz w:val="24"/>
          <w:highlight w:val="none"/>
          <w:lang w:eastAsia="zh-CN"/>
        </w:rPr>
        <w:t>营口市</w:t>
      </w:r>
    </w:p>
    <w:p w14:paraId="52200E4E">
      <w:pPr>
        <w:pStyle w:val="16"/>
        <w:spacing w:line="360" w:lineRule="auto"/>
        <w:rPr>
          <w:rStyle w:val="8"/>
          <w:rFonts w:hint="eastAsia" w:ascii="宋体" w:hAnsi="宋体" w:eastAsia="宋体" w:cs="宋体"/>
          <w:color w:val="auto"/>
          <w:sz w:val="24"/>
          <w:highlight w:val="none"/>
          <w:lang w:eastAsia="zh-CN"/>
        </w:rPr>
      </w:pPr>
      <w:r>
        <w:rPr>
          <w:rStyle w:val="8"/>
          <w:rFonts w:hint="eastAsia" w:ascii="宋体" w:hAnsi="宋体" w:eastAsia="宋体" w:cs="宋体"/>
          <w:color w:val="auto"/>
          <w:sz w:val="24"/>
          <w:highlight w:val="none"/>
          <w:lang w:eastAsia="zh-CN"/>
        </w:rPr>
        <w:t>1.3 工程概况：</w:t>
      </w:r>
    </w:p>
    <w:p w14:paraId="44285B75">
      <w:pPr>
        <w:pStyle w:val="16"/>
        <w:spacing w:line="360" w:lineRule="auto"/>
        <w:rPr>
          <w:rStyle w:val="8"/>
          <w:rFonts w:hint="eastAsia" w:ascii="宋体" w:hAnsi="宋体" w:cs="宋体"/>
          <w:color w:val="auto"/>
          <w:sz w:val="24"/>
          <w:highlight w:val="none"/>
          <w:lang w:eastAsia="zh-CN"/>
        </w:rPr>
      </w:pPr>
      <w:r>
        <w:rPr>
          <w:rStyle w:val="8"/>
          <w:rFonts w:hint="eastAsia" w:ascii="宋体" w:hAnsi="宋体" w:cs="宋体"/>
          <w:color w:val="auto"/>
          <w:sz w:val="24"/>
          <w:highlight w:val="none"/>
          <w:lang w:eastAsia="zh-CN"/>
        </w:rPr>
        <w:t>本项目拟收购两个住宅项目用于保障性租赁住房，其中本标段为智胜新家园小区(一期项目)共319套住房，面积共计21273.46平方米，对其进行装修改造，并配置家具家电。</w:t>
      </w:r>
    </w:p>
    <w:p w14:paraId="75F22226">
      <w:pPr>
        <w:pStyle w:val="16"/>
        <w:spacing w:line="360" w:lineRule="auto"/>
        <w:rPr>
          <w:rStyle w:val="8"/>
          <w:rFonts w:hint="eastAsia" w:ascii="宋体" w:hAnsi="宋体" w:eastAsia="宋体" w:cs="宋体"/>
          <w:color w:val="auto"/>
          <w:sz w:val="24"/>
          <w:highlight w:val="none"/>
          <w:lang w:eastAsia="zh-CN"/>
        </w:rPr>
      </w:pPr>
      <w:r>
        <w:rPr>
          <w:rStyle w:val="8"/>
          <w:rFonts w:hint="eastAsia" w:ascii="宋体" w:hAnsi="宋体" w:eastAsia="宋体" w:cs="宋体"/>
          <w:color w:val="auto"/>
          <w:sz w:val="24"/>
          <w:highlight w:val="none"/>
          <w:lang w:eastAsia="zh-CN"/>
        </w:rPr>
        <w:t>2、招标范围</w:t>
      </w:r>
    </w:p>
    <w:p w14:paraId="03C0AE6C">
      <w:pPr>
        <w:pStyle w:val="16"/>
        <w:spacing w:line="360" w:lineRule="auto"/>
        <w:rPr>
          <w:rStyle w:val="8"/>
          <w:rFonts w:hint="eastAsia" w:ascii="宋体" w:hAnsi="宋体" w:cs="宋体"/>
          <w:color w:val="auto"/>
          <w:sz w:val="24"/>
          <w:highlight w:val="none"/>
        </w:rPr>
      </w:pPr>
      <w:r>
        <w:rPr>
          <w:rStyle w:val="8"/>
          <w:rFonts w:hint="eastAsia" w:ascii="宋体" w:hAnsi="宋体" w:cs="宋体"/>
          <w:color w:val="auto"/>
          <w:sz w:val="24"/>
          <w:highlight w:val="none"/>
        </w:rPr>
        <w:t>2.1 以下给出的工程承包范围和说明描述只是概括的，不应认为是全面的、无缺的，  承包人根据图纸去完全了解工程的实际范围。</w:t>
      </w:r>
    </w:p>
    <w:p w14:paraId="1F9AB94D">
      <w:pPr>
        <w:pStyle w:val="16"/>
        <w:spacing w:line="360" w:lineRule="auto"/>
        <w:rPr>
          <w:rStyle w:val="8"/>
          <w:rFonts w:hint="eastAsia" w:ascii="宋体" w:hAnsi="宋体" w:cs="宋体"/>
          <w:color w:val="auto"/>
          <w:sz w:val="24"/>
          <w:highlight w:val="none"/>
        </w:rPr>
      </w:pPr>
      <w:r>
        <w:rPr>
          <w:rStyle w:val="8"/>
          <w:rFonts w:hint="eastAsia" w:ascii="宋体" w:hAnsi="宋体" w:cs="宋体"/>
          <w:color w:val="auto"/>
          <w:sz w:val="24"/>
          <w:highlight w:val="none"/>
        </w:rPr>
        <w:t>2.2 承包人应详细阅读构成本工程合同文件及其它有关文件。尤其是已充分研究了招标文件、清单的内容。</w:t>
      </w:r>
    </w:p>
    <w:p w14:paraId="07BD86E2">
      <w:pPr>
        <w:pStyle w:val="16"/>
        <w:spacing w:line="360" w:lineRule="auto"/>
        <w:rPr>
          <w:rStyle w:val="8"/>
          <w:rFonts w:hint="eastAsia" w:ascii="宋体" w:hAnsi="宋体" w:cs="宋体"/>
          <w:color w:val="auto"/>
          <w:sz w:val="24"/>
          <w:highlight w:val="none"/>
        </w:rPr>
      </w:pPr>
      <w:r>
        <w:rPr>
          <w:rStyle w:val="8"/>
          <w:rFonts w:hint="eastAsia" w:ascii="宋体" w:hAnsi="宋体" w:cs="宋体"/>
          <w:color w:val="auto"/>
          <w:sz w:val="24"/>
          <w:highlight w:val="none"/>
        </w:rPr>
        <w:t>2.3 本工程承包方式：固定单价合同。</w:t>
      </w:r>
    </w:p>
    <w:p w14:paraId="4BBFB300">
      <w:pPr>
        <w:pStyle w:val="16"/>
        <w:spacing w:line="360" w:lineRule="auto"/>
        <w:rPr>
          <w:rStyle w:val="8"/>
          <w:rFonts w:hint="default" w:ascii="宋体" w:hAnsi="宋体" w:eastAsia="宋体" w:cs="宋体"/>
          <w:color w:val="auto"/>
          <w:sz w:val="24"/>
          <w:highlight w:val="none"/>
          <w:lang w:val="en-US" w:eastAsia="zh-CN"/>
        </w:rPr>
      </w:pPr>
      <w:r>
        <w:rPr>
          <w:rStyle w:val="8"/>
          <w:rFonts w:hint="eastAsia" w:ascii="宋体" w:hAnsi="宋体" w:cs="宋体"/>
          <w:color w:val="auto"/>
          <w:sz w:val="24"/>
          <w:highlight w:val="none"/>
        </w:rPr>
        <w:t>2.4 招标范围：</w:t>
      </w:r>
      <w:r>
        <w:rPr>
          <w:rStyle w:val="8"/>
          <w:rFonts w:hint="eastAsia" w:ascii="宋体" w:hAnsi="宋体" w:cs="宋体"/>
          <w:color w:val="auto"/>
          <w:sz w:val="24"/>
          <w:highlight w:val="none"/>
          <w:lang w:eastAsia="zh-CN"/>
        </w:rPr>
        <w:t>本项目拟收购两个住宅项目用于保障性租赁住房，其中本标段为智胜新家园小区(一期项目)共319套住房，面积共计21273.46平方米，对其进行装修改造，并配置家具家电。</w:t>
      </w:r>
    </w:p>
    <w:p w14:paraId="20AD2E5C">
      <w:pPr>
        <w:pStyle w:val="16"/>
        <w:numPr>
          <w:ilvl w:val="0"/>
          <w:numId w:val="3"/>
        </w:numPr>
        <w:spacing w:line="360" w:lineRule="auto"/>
        <w:rPr>
          <w:rStyle w:val="8"/>
          <w:rFonts w:hint="eastAsia" w:ascii="宋体" w:hAnsi="宋体" w:cs="宋体"/>
          <w:color w:val="auto"/>
          <w:sz w:val="24"/>
          <w:highlight w:val="none"/>
          <w:lang w:val="en-US" w:eastAsia="zh-CN"/>
        </w:rPr>
      </w:pPr>
      <w:r>
        <w:rPr>
          <w:rStyle w:val="8"/>
          <w:rFonts w:hint="eastAsia" w:ascii="宋体" w:hAnsi="宋体" w:cs="宋体"/>
          <w:color w:val="auto"/>
          <w:sz w:val="24"/>
          <w:highlight w:val="none"/>
        </w:rPr>
        <w:t>工期：</w:t>
      </w:r>
      <w:r>
        <w:rPr>
          <w:rStyle w:val="8"/>
          <w:rFonts w:hint="eastAsia" w:ascii="宋体" w:hAnsi="宋体" w:cs="宋体"/>
          <w:color w:val="auto"/>
          <w:sz w:val="24"/>
          <w:highlight w:val="none"/>
          <w:lang w:val="en-US" w:eastAsia="zh-CN"/>
        </w:rPr>
        <w:t>67日历天</w:t>
      </w:r>
    </w:p>
    <w:p w14:paraId="16E79148">
      <w:pPr>
        <w:pStyle w:val="16"/>
        <w:spacing w:line="360" w:lineRule="auto"/>
        <w:rPr>
          <w:rStyle w:val="8"/>
          <w:rFonts w:hint="default" w:ascii="宋体" w:hAnsi="宋体" w:eastAsia="宋体" w:cs="宋体"/>
          <w:color w:val="auto"/>
          <w:sz w:val="24"/>
          <w:highlight w:val="none"/>
          <w:lang w:val="en-US" w:eastAsia="zh-CN"/>
        </w:rPr>
      </w:pPr>
      <w:r>
        <w:rPr>
          <w:rStyle w:val="8"/>
          <w:rFonts w:hint="eastAsia" w:ascii="宋体" w:hAnsi="宋体" w:eastAsia="宋体" w:cs="宋体"/>
          <w:color w:val="auto"/>
          <w:sz w:val="24"/>
          <w:highlight w:val="none"/>
          <w:lang w:val="en-US" w:eastAsia="zh-CN"/>
        </w:rPr>
        <w:t>4、驻场要求：项目实施期间施工单位项目经理与项目班子成员应当按照合同约定驻场要求进行管理。</w:t>
      </w:r>
    </w:p>
    <w:p w14:paraId="79A8D171">
      <w:pPr>
        <w:pStyle w:val="16"/>
        <w:spacing w:line="360" w:lineRule="auto"/>
        <w:rPr>
          <w:rStyle w:val="8"/>
          <w:rFonts w:hint="eastAsia" w:ascii="宋体" w:hAnsi="宋体" w:cs="宋体"/>
          <w:color w:val="auto"/>
          <w:sz w:val="24"/>
          <w:highlight w:val="none"/>
        </w:rPr>
      </w:pPr>
      <w:r>
        <w:rPr>
          <w:rStyle w:val="8"/>
          <w:rFonts w:hint="eastAsia" w:ascii="宋体" w:hAnsi="宋体" w:cs="宋体"/>
          <w:color w:val="auto"/>
          <w:sz w:val="24"/>
          <w:highlight w:val="none"/>
          <w:lang w:val="en-US" w:eastAsia="zh-CN"/>
        </w:rPr>
        <w:t>5</w:t>
      </w:r>
      <w:r>
        <w:rPr>
          <w:rStyle w:val="8"/>
          <w:rFonts w:hint="eastAsia" w:ascii="宋体" w:hAnsi="宋体" w:cs="宋体"/>
          <w:color w:val="auto"/>
          <w:sz w:val="24"/>
          <w:highlight w:val="none"/>
        </w:rPr>
        <w:t>、特别说明</w:t>
      </w:r>
    </w:p>
    <w:p w14:paraId="772DBE19">
      <w:pPr>
        <w:pStyle w:val="16"/>
        <w:spacing w:line="360" w:lineRule="auto"/>
        <w:rPr>
          <w:rStyle w:val="8"/>
          <w:rFonts w:hint="eastAsia" w:ascii="宋体" w:hAnsi="宋体" w:cs="宋体"/>
          <w:color w:val="auto"/>
          <w:sz w:val="24"/>
          <w:highlight w:val="none"/>
        </w:rPr>
      </w:pPr>
      <w:r>
        <w:rPr>
          <w:rStyle w:val="8"/>
          <w:rFonts w:hint="eastAsia" w:ascii="宋体" w:hAnsi="宋体" w:cs="宋体"/>
          <w:color w:val="auto"/>
          <w:sz w:val="24"/>
          <w:highlight w:val="none"/>
        </w:rPr>
        <w:t>本招标工程质量标准必须符合中华人民共和国国家标准，如果本招标文件中规定的执行 标准高于国家标准，则按本招标文件中规定的标准执行，如果低于国家标准，则按国家 标准执行。</w:t>
      </w:r>
    </w:p>
    <w:p w14:paraId="25E6F80B">
      <w:pPr>
        <w:spacing w:line="219" w:lineRule="auto"/>
        <w:rPr>
          <w:rFonts w:ascii="宋体" w:hAnsi="宋体" w:eastAsia="宋体" w:cs="宋体"/>
          <w:color w:val="auto"/>
          <w:sz w:val="21"/>
          <w:szCs w:val="21"/>
          <w:highlight w:val="none"/>
        </w:rPr>
        <w:sectPr>
          <w:headerReference r:id="rId207" w:type="default"/>
          <w:footerReference r:id="rId208" w:type="default"/>
          <w:pgSz w:w="11905" w:h="16839"/>
          <w:pgMar w:top="400" w:right="1785" w:bottom="1004" w:left="1785" w:header="0" w:footer="828" w:gutter="0"/>
          <w:pgNumType w:fmt="decimal"/>
          <w:cols w:space="720" w:num="1"/>
        </w:sectPr>
      </w:pPr>
    </w:p>
    <w:p w14:paraId="64F48A88">
      <w:pPr>
        <w:pStyle w:val="3"/>
        <w:spacing w:line="251" w:lineRule="auto"/>
        <w:rPr>
          <w:color w:val="auto"/>
          <w:highlight w:val="none"/>
        </w:rPr>
      </w:pPr>
    </w:p>
    <w:p w14:paraId="195E9839">
      <w:pPr>
        <w:pStyle w:val="3"/>
        <w:spacing w:line="251" w:lineRule="auto"/>
        <w:rPr>
          <w:color w:val="auto"/>
          <w:highlight w:val="none"/>
        </w:rPr>
      </w:pPr>
    </w:p>
    <w:p w14:paraId="21A3137A">
      <w:pPr>
        <w:pStyle w:val="3"/>
        <w:spacing w:line="251" w:lineRule="auto"/>
        <w:rPr>
          <w:color w:val="auto"/>
          <w:highlight w:val="none"/>
        </w:rPr>
      </w:pPr>
    </w:p>
    <w:p w14:paraId="583F7CE0">
      <w:pPr>
        <w:pStyle w:val="3"/>
        <w:spacing w:line="251" w:lineRule="auto"/>
        <w:rPr>
          <w:color w:val="auto"/>
          <w:highlight w:val="none"/>
        </w:rPr>
      </w:pPr>
    </w:p>
    <w:p w14:paraId="1C3698A9">
      <w:pPr>
        <w:pStyle w:val="3"/>
        <w:spacing w:line="252" w:lineRule="auto"/>
        <w:rPr>
          <w:color w:val="auto"/>
          <w:highlight w:val="none"/>
        </w:rPr>
      </w:pPr>
    </w:p>
    <w:p w14:paraId="4F7B39CF">
      <w:pPr>
        <w:pStyle w:val="3"/>
        <w:spacing w:line="252" w:lineRule="auto"/>
        <w:rPr>
          <w:color w:val="auto"/>
          <w:highlight w:val="none"/>
        </w:rPr>
      </w:pPr>
    </w:p>
    <w:p w14:paraId="2D292DFD">
      <w:pPr>
        <w:pStyle w:val="3"/>
        <w:spacing w:line="252" w:lineRule="auto"/>
        <w:rPr>
          <w:color w:val="auto"/>
          <w:highlight w:val="none"/>
        </w:rPr>
      </w:pPr>
    </w:p>
    <w:p w14:paraId="55949F42">
      <w:pPr>
        <w:pStyle w:val="3"/>
        <w:spacing w:line="252" w:lineRule="auto"/>
        <w:rPr>
          <w:color w:val="auto"/>
          <w:highlight w:val="none"/>
        </w:rPr>
      </w:pPr>
    </w:p>
    <w:p w14:paraId="50397B18">
      <w:pPr>
        <w:pStyle w:val="3"/>
        <w:spacing w:line="252" w:lineRule="auto"/>
        <w:rPr>
          <w:color w:val="auto"/>
          <w:highlight w:val="none"/>
        </w:rPr>
      </w:pPr>
    </w:p>
    <w:p w14:paraId="3CEFAE7E">
      <w:pPr>
        <w:pStyle w:val="3"/>
        <w:spacing w:line="252" w:lineRule="auto"/>
        <w:rPr>
          <w:color w:val="auto"/>
          <w:highlight w:val="none"/>
        </w:rPr>
      </w:pPr>
    </w:p>
    <w:p w14:paraId="2F8B31B3">
      <w:pPr>
        <w:pStyle w:val="3"/>
        <w:spacing w:line="252" w:lineRule="auto"/>
        <w:rPr>
          <w:color w:val="auto"/>
          <w:highlight w:val="none"/>
        </w:rPr>
      </w:pPr>
    </w:p>
    <w:p w14:paraId="2640A68B">
      <w:pPr>
        <w:pStyle w:val="3"/>
        <w:spacing w:line="252" w:lineRule="auto"/>
        <w:rPr>
          <w:color w:val="auto"/>
          <w:highlight w:val="none"/>
        </w:rPr>
      </w:pPr>
    </w:p>
    <w:p w14:paraId="783420D0">
      <w:pPr>
        <w:pStyle w:val="3"/>
        <w:spacing w:line="252" w:lineRule="auto"/>
        <w:rPr>
          <w:color w:val="auto"/>
          <w:highlight w:val="none"/>
        </w:rPr>
      </w:pPr>
    </w:p>
    <w:p w14:paraId="51714FF2">
      <w:pPr>
        <w:pStyle w:val="3"/>
        <w:spacing w:line="252" w:lineRule="auto"/>
        <w:rPr>
          <w:color w:val="auto"/>
          <w:highlight w:val="none"/>
        </w:rPr>
      </w:pPr>
    </w:p>
    <w:p w14:paraId="6534EC64">
      <w:pPr>
        <w:pStyle w:val="3"/>
        <w:spacing w:line="252" w:lineRule="auto"/>
        <w:rPr>
          <w:color w:val="auto"/>
          <w:highlight w:val="none"/>
        </w:rPr>
      </w:pPr>
    </w:p>
    <w:p w14:paraId="7B4D080F">
      <w:pPr>
        <w:pStyle w:val="3"/>
        <w:spacing w:line="252" w:lineRule="auto"/>
        <w:rPr>
          <w:color w:val="auto"/>
          <w:highlight w:val="none"/>
        </w:rPr>
      </w:pPr>
    </w:p>
    <w:p w14:paraId="067A4FFC">
      <w:pPr>
        <w:spacing w:before="156" w:line="219" w:lineRule="auto"/>
        <w:ind w:left="3467"/>
        <w:rPr>
          <w:rFonts w:ascii="黑体" w:hAnsi="黑体" w:eastAsia="黑体" w:cs="黑体"/>
          <w:color w:val="auto"/>
          <w:sz w:val="48"/>
          <w:szCs w:val="48"/>
          <w:highlight w:val="none"/>
        </w:rPr>
      </w:pPr>
      <w:bookmarkStart w:id="1319" w:name="bookmark292"/>
      <w:bookmarkEnd w:id="1319"/>
      <w:r>
        <w:rPr>
          <w:rFonts w:ascii="黑体" w:hAnsi="黑体" w:eastAsia="黑体" w:cs="黑体"/>
          <w:color w:val="auto"/>
          <w:spacing w:val="-5"/>
          <w:sz w:val="48"/>
          <w:szCs w:val="48"/>
          <w:highlight w:val="none"/>
        </w:rPr>
        <w:t>第四卷</w:t>
      </w:r>
    </w:p>
    <w:p w14:paraId="46C0C089">
      <w:pPr>
        <w:spacing w:line="219" w:lineRule="auto"/>
        <w:rPr>
          <w:rFonts w:ascii="黑体" w:hAnsi="黑体" w:eastAsia="黑体" w:cs="黑体"/>
          <w:color w:val="auto"/>
          <w:sz w:val="48"/>
          <w:szCs w:val="48"/>
          <w:highlight w:val="none"/>
        </w:rPr>
        <w:sectPr>
          <w:footerReference r:id="rId209" w:type="default"/>
          <w:pgSz w:w="11905" w:h="16839"/>
          <w:pgMar w:top="400" w:right="1785" w:bottom="1004" w:left="1785" w:header="0" w:footer="828" w:gutter="0"/>
          <w:pgNumType w:fmt="decimal"/>
          <w:cols w:space="720" w:num="1"/>
        </w:sectPr>
      </w:pPr>
    </w:p>
    <w:p w14:paraId="77DD51AD">
      <w:pPr>
        <w:pStyle w:val="3"/>
        <w:spacing w:line="242" w:lineRule="auto"/>
        <w:rPr>
          <w:color w:val="auto"/>
          <w:highlight w:val="none"/>
        </w:rPr>
      </w:pPr>
    </w:p>
    <w:p w14:paraId="781ADE41">
      <w:pPr>
        <w:pStyle w:val="3"/>
        <w:spacing w:line="242" w:lineRule="auto"/>
        <w:rPr>
          <w:color w:val="auto"/>
          <w:highlight w:val="none"/>
        </w:rPr>
      </w:pPr>
    </w:p>
    <w:p w14:paraId="33E6E11F">
      <w:pPr>
        <w:pStyle w:val="3"/>
        <w:spacing w:line="242" w:lineRule="auto"/>
        <w:rPr>
          <w:color w:val="auto"/>
          <w:highlight w:val="none"/>
        </w:rPr>
      </w:pPr>
    </w:p>
    <w:p w14:paraId="52FD24E8">
      <w:pPr>
        <w:pStyle w:val="3"/>
        <w:spacing w:line="242" w:lineRule="auto"/>
        <w:rPr>
          <w:color w:val="auto"/>
          <w:highlight w:val="none"/>
        </w:rPr>
      </w:pPr>
    </w:p>
    <w:p w14:paraId="1CC09C91">
      <w:pPr>
        <w:pStyle w:val="3"/>
        <w:spacing w:line="242" w:lineRule="auto"/>
        <w:rPr>
          <w:color w:val="auto"/>
          <w:highlight w:val="none"/>
        </w:rPr>
      </w:pPr>
    </w:p>
    <w:p w14:paraId="395921B4">
      <w:pPr>
        <w:pStyle w:val="3"/>
        <w:spacing w:line="242" w:lineRule="auto"/>
        <w:rPr>
          <w:color w:val="auto"/>
          <w:highlight w:val="none"/>
        </w:rPr>
      </w:pPr>
    </w:p>
    <w:p w14:paraId="751D6AC4">
      <w:pPr>
        <w:pStyle w:val="3"/>
        <w:spacing w:line="243" w:lineRule="auto"/>
        <w:rPr>
          <w:color w:val="auto"/>
          <w:highlight w:val="none"/>
        </w:rPr>
      </w:pPr>
    </w:p>
    <w:p w14:paraId="77C5DDF7">
      <w:pPr>
        <w:pStyle w:val="3"/>
        <w:spacing w:line="243" w:lineRule="auto"/>
        <w:rPr>
          <w:color w:val="auto"/>
          <w:highlight w:val="none"/>
        </w:rPr>
      </w:pPr>
    </w:p>
    <w:p w14:paraId="51A9DBEC">
      <w:pPr>
        <w:pStyle w:val="3"/>
        <w:spacing w:line="243" w:lineRule="auto"/>
        <w:rPr>
          <w:color w:val="auto"/>
          <w:highlight w:val="none"/>
        </w:rPr>
      </w:pPr>
    </w:p>
    <w:p w14:paraId="5AD3BD60">
      <w:pPr>
        <w:pStyle w:val="3"/>
        <w:spacing w:line="243" w:lineRule="auto"/>
        <w:rPr>
          <w:color w:val="auto"/>
          <w:highlight w:val="none"/>
        </w:rPr>
      </w:pPr>
    </w:p>
    <w:p w14:paraId="7F27406C">
      <w:pPr>
        <w:pStyle w:val="3"/>
        <w:spacing w:line="243" w:lineRule="auto"/>
        <w:rPr>
          <w:color w:val="auto"/>
          <w:highlight w:val="none"/>
        </w:rPr>
      </w:pPr>
    </w:p>
    <w:p w14:paraId="3C1974A0">
      <w:pPr>
        <w:pStyle w:val="3"/>
        <w:spacing w:line="243" w:lineRule="auto"/>
        <w:rPr>
          <w:color w:val="auto"/>
          <w:highlight w:val="none"/>
        </w:rPr>
      </w:pPr>
    </w:p>
    <w:p w14:paraId="46B0CD95">
      <w:pPr>
        <w:pStyle w:val="3"/>
        <w:spacing w:line="243" w:lineRule="auto"/>
        <w:rPr>
          <w:color w:val="auto"/>
          <w:highlight w:val="none"/>
        </w:rPr>
      </w:pPr>
    </w:p>
    <w:p w14:paraId="3A21DE8E">
      <w:pPr>
        <w:pStyle w:val="3"/>
        <w:spacing w:line="243" w:lineRule="auto"/>
        <w:rPr>
          <w:color w:val="auto"/>
          <w:highlight w:val="none"/>
        </w:rPr>
      </w:pPr>
    </w:p>
    <w:p w14:paraId="26D9BF2E">
      <w:pPr>
        <w:pStyle w:val="3"/>
        <w:spacing w:line="243" w:lineRule="auto"/>
        <w:rPr>
          <w:color w:val="auto"/>
          <w:highlight w:val="none"/>
        </w:rPr>
      </w:pPr>
    </w:p>
    <w:p w14:paraId="7B82339B">
      <w:pPr>
        <w:pStyle w:val="3"/>
        <w:spacing w:line="243" w:lineRule="auto"/>
        <w:rPr>
          <w:color w:val="auto"/>
          <w:highlight w:val="none"/>
        </w:rPr>
      </w:pPr>
    </w:p>
    <w:p w14:paraId="404DA795">
      <w:pPr>
        <w:pStyle w:val="3"/>
        <w:spacing w:line="243" w:lineRule="auto"/>
        <w:rPr>
          <w:color w:val="auto"/>
          <w:highlight w:val="none"/>
        </w:rPr>
      </w:pPr>
    </w:p>
    <w:p w14:paraId="030745D3">
      <w:pPr>
        <w:pStyle w:val="3"/>
        <w:spacing w:line="243" w:lineRule="auto"/>
        <w:rPr>
          <w:color w:val="auto"/>
          <w:highlight w:val="none"/>
        </w:rPr>
      </w:pPr>
    </w:p>
    <w:p w14:paraId="4BBAAE8B">
      <w:pPr>
        <w:pStyle w:val="3"/>
        <w:spacing w:line="243" w:lineRule="auto"/>
        <w:rPr>
          <w:color w:val="auto"/>
          <w:highlight w:val="none"/>
        </w:rPr>
      </w:pPr>
    </w:p>
    <w:p w14:paraId="130F1605">
      <w:pPr>
        <w:pStyle w:val="3"/>
        <w:spacing w:line="243" w:lineRule="auto"/>
        <w:rPr>
          <w:color w:val="auto"/>
          <w:highlight w:val="none"/>
        </w:rPr>
      </w:pPr>
    </w:p>
    <w:p w14:paraId="2DD34378">
      <w:pPr>
        <w:spacing w:before="104" w:line="220" w:lineRule="auto"/>
        <w:ind w:left="2577"/>
        <w:outlineLvl w:val="0"/>
        <w:rPr>
          <w:rFonts w:ascii="黑体" w:hAnsi="黑体" w:eastAsia="黑体" w:cs="黑体"/>
          <w:color w:val="auto"/>
          <w:sz w:val="32"/>
          <w:szCs w:val="32"/>
          <w:highlight w:val="none"/>
        </w:rPr>
      </w:pPr>
      <w:r>
        <w:rPr>
          <w:rFonts w:ascii="黑体" w:hAnsi="黑体" w:eastAsia="黑体" w:cs="黑体"/>
          <w:color w:val="auto"/>
          <w:spacing w:val="-1"/>
          <w:sz w:val="32"/>
          <w:szCs w:val="32"/>
          <w:highlight w:val="none"/>
        </w:rPr>
        <w:t>第八章  投标文件格式</w:t>
      </w:r>
    </w:p>
    <w:p w14:paraId="74D222E4">
      <w:pPr>
        <w:spacing w:line="220" w:lineRule="auto"/>
        <w:rPr>
          <w:rFonts w:ascii="黑体" w:hAnsi="黑体" w:eastAsia="黑体" w:cs="黑体"/>
          <w:color w:val="auto"/>
          <w:sz w:val="32"/>
          <w:szCs w:val="32"/>
          <w:highlight w:val="none"/>
        </w:rPr>
        <w:sectPr>
          <w:footerReference r:id="rId210" w:type="default"/>
          <w:pgSz w:w="11905" w:h="16839"/>
          <w:pgMar w:top="400" w:right="1785" w:bottom="1004" w:left="1785" w:header="0" w:footer="828" w:gutter="0"/>
          <w:pgNumType w:fmt="decimal"/>
          <w:cols w:space="720" w:num="1"/>
        </w:sectPr>
      </w:pPr>
    </w:p>
    <w:p w14:paraId="207BDD60">
      <w:pPr>
        <w:pStyle w:val="3"/>
        <w:spacing w:line="263" w:lineRule="auto"/>
        <w:rPr>
          <w:color w:val="auto"/>
          <w:highlight w:val="none"/>
        </w:rPr>
      </w:pPr>
    </w:p>
    <w:p w14:paraId="50834384">
      <w:pPr>
        <w:pStyle w:val="3"/>
        <w:spacing w:line="263" w:lineRule="auto"/>
        <w:rPr>
          <w:color w:val="auto"/>
          <w:highlight w:val="none"/>
        </w:rPr>
      </w:pPr>
    </w:p>
    <w:p w14:paraId="499379CF">
      <w:pPr>
        <w:pStyle w:val="3"/>
        <w:spacing w:line="263" w:lineRule="auto"/>
        <w:rPr>
          <w:color w:val="auto"/>
          <w:highlight w:val="none"/>
        </w:rPr>
      </w:pPr>
    </w:p>
    <w:p w14:paraId="594E63E6">
      <w:pPr>
        <w:pStyle w:val="3"/>
        <w:spacing w:line="263" w:lineRule="auto"/>
        <w:rPr>
          <w:color w:val="auto"/>
          <w:highlight w:val="none"/>
        </w:rPr>
      </w:pPr>
    </w:p>
    <w:p w14:paraId="3612707F">
      <w:pPr>
        <w:pStyle w:val="3"/>
        <w:spacing w:line="264" w:lineRule="auto"/>
        <w:rPr>
          <w:color w:val="auto"/>
          <w:highlight w:val="none"/>
        </w:rPr>
      </w:pPr>
    </w:p>
    <w:p w14:paraId="6E02A3FF">
      <w:pPr>
        <w:pStyle w:val="3"/>
        <w:spacing w:line="264" w:lineRule="auto"/>
        <w:rPr>
          <w:color w:val="auto"/>
          <w:highlight w:val="none"/>
        </w:rPr>
      </w:pPr>
    </w:p>
    <w:p w14:paraId="7472F480">
      <w:pPr>
        <w:pStyle w:val="3"/>
        <w:spacing w:line="264" w:lineRule="auto"/>
        <w:rPr>
          <w:color w:val="auto"/>
          <w:highlight w:val="none"/>
        </w:rPr>
      </w:pPr>
    </w:p>
    <w:p w14:paraId="7A418264">
      <w:pPr>
        <w:pStyle w:val="3"/>
        <w:spacing w:line="264" w:lineRule="auto"/>
        <w:rPr>
          <w:color w:val="auto"/>
          <w:highlight w:val="none"/>
        </w:rPr>
      </w:pPr>
    </w:p>
    <w:p w14:paraId="79EE44FF">
      <w:pPr>
        <w:pStyle w:val="3"/>
        <w:spacing w:line="264" w:lineRule="auto"/>
        <w:rPr>
          <w:color w:val="auto"/>
          <w:highlight w:val="none"/>
        </w:rPr>
      </w:pPr>
    </w:p>
    <w:p w14:paraId="6AB0AEA7">
      <w:pPr>
        <w:pStyle w:val="3"/>
        <w:spacing w:line="264" w:lineRule="auto"/>
        <w:rPr>
          <w:color w:val="auto"/>
          <w:highlight w:val="none"/>
        </w:rPr>
      </w:pPr>
    </w:p>
    <w:p w14:paraId="61067250">
      <w:pPr>
        <w:tabs>
          <w:tab w:val="left" w:pos="4033"/>
        </w:tabs>
        <w:spacing w:before="88" w:line="225" w:lineRule="auto"/>
        <w:ind w:left="1494"/>
        <w:rPr>
          <w:rFonts w:ascii="黑体" w:hAnsi="黑体" w:eastAsia="黑体" w:cs="黑体"/>
          <w:color w:val="auto"/>
          <w:sz w:val="27"/>
          <w:szCs w:val="27"/>
          <w:highlight w:val="none"/>
        </w:rPr>
      </w:pPr>
      <w:r>
        <w:rPr>
          <w:rFonts w:ascii="宋体" w:hAnsi="宋体" w:eastAsia="宋体" w:cs="宋体"/>
          <w:color w:val="auto"/>
          <w:sz w:val="27"/>
          <w:szCs w:val="27"/>
          <w:highlight w:val="none"/>
          <w:u w:val="single" w:color="auto"/>
        </w:rPr>
        <w:tab/>
      </w:r>
      <w:r>
        <w:rPr>
          <w:rFonts w:ascii="宋体" w:hAnsi="宋体" w:eastAsia="宋体" w:cs="宋体"/>
          <w:color w:val="auto"/>
          <w:spacing w:val="25"/>
          <w:sz w:val="27"/>
          <w:szCs w:val="27"/>
          <w:highlight w:val="none"/>
        </w:rPr>
        <w:t xml:space="preserve"> </w:t>
      </w:r>
      <w:r>
        <w:rPr>
          <w:rFonts w:ascii="宋体" w:hAnsi="宋体" w:eastAsia="宋体" w:cs="宋体"/>
          <w:color w:val="auto"/>
          <w:spacing w:val="-18"/>
          <w:sz w:val="27"/>
          <w:szCs w:val="27"/>
          <w:highlight w:val="none"/>
        </w:rPr>
        <w:t xml:space="preserve">（标段名称） </w:t>
      </w:r>
      <w:r>
        <w:rPr>
          <w:rFonts w:ascii="黑体" w:hAnsi="黑体" w:eastAsia="黑体" w:cs="黑体"/>
          <w:color w:val="auto"/>
          <w:spacing w:val="-18"/>
          <w:sz w:val="27"/>
          <w:szCs w:val="27"/>
          <w:highlight w:val="none"/>
        </w:rPr>
        <w:t>项目招标</w:t>
      </w:r>
    </w:p>
    <w:p w14:paraId="6B70ABFB">
      <w:pPr>
        <w:pStyle w:val="3"/>
        <w:spacing w:line="289" w:lineRule="auto"/>
        <w:rPr>
          <w:color w:val="auto"/>
          <w:highlight w:val="none"/>
        </w:rPr>
      </w:pPr>
    </w:p>
    <w:p w14:paraId="6A5A67AD">
      <w:pPr>
        <w:pStyle w:val="3"/>
        <w:spacing w:line="289" w:lineRule="auto"/>
        <w:rPr>
          <w:color w:val="auto"/>
          <w:highlight w:val="none"/>
        </w:rPr>
      </w:pPr>
    </w:p>
    <w:p w14:paraId="3C66A909">
      <w:pPr>
        <w:pStyle w:val="3"/>
        <w:spacing w:line="290" w:lineRule="auto"/>
        <w:rPr>
          <w:color w:val="auto"/>
          <w:highlight w:val="none"/>
        </w:rPr>
      </w:pPr>
    </w:p>
    <w:p w14:paraId="1DA0EB49">
      <w:pPr>
        <w:spacing w:before="166" w:line="222" w:lineRule="auto"/>
        <w:ind w:left="2364"/>
        <w:rPr>
          <w:rFonts w:ascii="黑体" w:hAnsi="黑体" w:eastAsia="黑体" w:cs="黑体"/>
          <w:color w:val="auto"/>
          <w:sz w:val="51"/>
          <w:szCs w:val="51"/>
          <w:highlight w:val="none"/>
        </w:rPr>
      </w:pPr>
      <w:bookmarkStart w:id="1320" w:name="bookmark293"/>
      <w:bookmarkEnd w:id="1320"/>
      <w:r>
        <w:rPr>
          <w:rFonts w:ascii="黑体" w:hAnsi="黑体" w:eastAsia="黑体" w:cs="黑体"/>
          <w:color w:val="auto"/>
          <w:spacing w:val="-7"/>
          <w:sz w:val="51"/>
          <w:szCs w:val="51"/>
          <w:highlight w:val="none"/>
        </w:rPr>
        <w:t>投</w:t>
      </w:r>
      <w:r>
        <w:rPr>
          <w:rFonts w:ascii="黑体" w:hAnsi="黑体" w:eastAsia="黑体" w:cs="黑体"/>
          <w:color w:val="auto"/>
          <w:spacing w:val="9"/>
          <w:sz w:val="51"/>
          <w:szCs w:val="51"/>
          <w:highlight w:val="none"/>
        </w:rPr>
        <w:t xml:space="preserve">  </w:t>
      </w:r>
      <w:r>
        <w:rPr>
          <w:rFonts w:ascii="黑体" w:hAnsi="黑体" w:eastAsia="黑体" w:cs="黑体"/>
          <w:color w:val="auto"/>
          <w:spacing w:val="-7"/>
          <w:sz w:val="51"/>
          <w:szCs w:val="51"/>
          <w:highlight w:val="none"/>
        </w:rPr>
        <w:t>标</w:t>
      </w:r>
      <w:r>
        <w:rPr>
          <w:rFonts w:ascii="黑体" w:hAnsi="黑体" w:eastAsia="黑体" w:cs="黑体"/>
          <w:color w:val="auto"/>
          <w:spacing w:val="20"/>
          <w:sz w:val="51"/>
          <w:szCs w:val="51"/>
          <w:highlight w:val="none"/>
        </w:rPr>
        <w:t xml:space="preserve">  </w:t>
      </w:r>
      <w:r>
        <w:rPr>
          <w:rFonts w:ascii="黑体" w:hAnsi="黑体" w:eastAsia="黑体" w:cs="黑体"/>
          <w:color w:val="auto"/>
          <w:spacing w:val="-7"/>
          <w:sz w:val="51"/>
          <w:szCs w:val="51"/>
          <w:highlight w:val="none"/>
        </w:rPr>
        <w:t>文</w:t>
      </w:r>
      <w:r>
        <w:rPr>
          <w:rFonts w:ascii="黑体" w:hAnsi="黑体" w:eastAsia="黑体" w:cs="黑体"/>
          <w:color w:val="auto"/>
          <w:spacing w:val="12"/>
          <w:sz w:val="51"/>
          <w:szCs w:val="51"/>
          <w:highlight w:val="none"/>
        </w:rPr>
        <w:t xml:space="preserve">  </w:t>
      </w:r>
      <w:r>
        <w:rPr>
          <w:rFonts w:ascii="黑体" w:hAnsi="黑体" w:eastAsia="黑体" w:cs="黑体"/>
          <w:color w:val="auto"/>
          <w:spacing w:val="-7"/>
          <w:sz w:val="51"/>
          <w:szCs w:val="51"/>
          <w:highlight w:val="none"/>
        </w:rPr>
        <w:t>件</w:t>
      </w:r>
    </w:p>
    <w:p w14:paraId="019C0944">
      <w:pPr>
        <w:pStyle w:val="3"/>
        <w:spacing w:line="254" w:lineRule="auto"/>
        <w:rPr>
          <w:color w:val="auto"/>
          <w:highlight w:val="none"/>
        </w:rPr>
      </w:pPr>
    </w:p>
    <w:p w14:paraId="1E1686D1">
      <w:pPr>
        <w:pStyle w:val="3"/>
        <w:spacing w:line="255" w:lineRule="auto"/>
        <w:rPr>
          <w:color w:val="auto"/>
          <w:highlight w:val="none"/>
        </w:rPr>
      </w:pPr>
    </w:p>
    <w:p w14:paraId="39C523E2">
      <w:pPr>
        <w:pStyle w:val="3"/>
        <w:spacing w:line="255" w:lineRule="auto"/>
        <w:rPr>
          <w:color w:val="auto"/>
          <w:highlight w:val="none"/>
        </w:rPr>
      </w:pPr>
    </w:p>
    <w:p w14:paraId="1F6B4D1E">
      <w:pPr>
        <w:spacing w:before="88" w:line="236" w:lineRule="auto"/>
        <w:ind w:left="1512" w:right="1508"/>
        <w:rPr>
          <w:rFonts w:ascii="楷体" w:hAnsi="楷体" w:eastAsia="楷体" w:cs="楷体"/>
          <w:color w:val="auto"/>
          <w:sz w:val="27"/>
          <w:szCs w:val="27"/>
          <w:highlight w:val="none"/>
        </w:rPr>
      </w:pPr>
      <w:r>
        <w:rPr>
          <w:rFonts w:ascii="楷体" w:hAnsi="楷体" w:eastAsia="楷体" w:cs="楷体"/>
          <w:color w:val="auto"/>
          <w:spacing w:val="-5"/>
          <w:sz w:val="27"/>
          <w:szCs w:val="27"/>
          <w:highlight w:val="none"/>
        </w:rPr>
        <w:t>（标段唯一标识码</w:t>
      </w:r>
      <w:r>
        <w:rPr>
          <w:rFonts w:ascii="楷体" w:hAnsi="楷体" w:eastAsia="楷体" w:cs="楷体"/>
          <w:color w:val="auto"/>
          <w:spacing w:val="-20"/>
          <w:sz w:val="27"/>
          <w:szCs w:val="27"/>
          <w:highlight w:val="none"/>
        </w:rPr>
        <w:t>：</w:t>
      </w:r>
      <w:r>
        <w:rPr>
          <w:rFonts w:ascii="楷体" w:hAnsi="楷体" w:eastAsia="楷体" w:cs="楷体"/>
          <w:color w:val="auto"/>
          <w:spacing w:val="-16"/>
          <w:sz w:val="27"/>
          <w:szCs w:val="27"/>
          <w:highlight w:val="none"/>
        </w:rPr>
        <w:t xml:space="preserve"> </w:t>
      </w:r>
      <w:r>
        <w:rPr>
          <w:rFonts w:ascii="楷体" w:hAnsi="楷体" w:eastAsia="楷体" w:cs="楷体"/>
          <w:color w:val="auto"/>
          <w:spacing w:val="5"/>
          <w:sz w:val="27"/>
          <w:szCs w:val="27"/>
          <w:highlight w:val="none"/>
          <w:u w:val="single" w:color="auto"/>
        </w:rPr>
        <w:t xml:space="preserve">                  </w:t>
      </w:r>
      <w:r>
        <w:rPr>
          <w:rFonts w:ascii="楷体" w:hAnsi="楷体" w:eastAsia="楷体" w:cs="楷体"/>
          <w:color w:val="auto"/>
          <w:spacing w:val="-83"/>
          <w:sz w:val="27"/>
          <w:szCs w:val="27"/>
          <w:highlight w:val="none"/>
        </w:rPr>
        <w:t xml:space="preserve"> </w:t>
      </w:r>
      <w:r>
        <w:rPr>
          <w:rFonts w:ascii="楷体" w:hAnsi="楷体" w:eastAsia="楷体" w:cs="楷体"/>
          <w:color w:val="auto"/>
          <w:spacing w:val="-20"/>
          <w:sz w:val="27"/>
          <w:szCs w:val="27"/>
          <w:highlight w:val="none"/>
        </w:rPr>
        <w:t>）</w:t>
      </w:r>
      <w:r>
        <w:rPr>
          <w:rFonts w:ascii="楷体" w:hAnsi="楷体" w:eastAsia="楷体" w:cs="楷体"/>
          <w:color w:val="auto"/>
          <w:sz w:val="27"/>
          <w:szCs w:val="27"/>
          <w:highlight w:val="none"/>
        </w:rPr>
        <w:t xml:space="preserve"> </w:t>
      </w:r>
      <w:r>
        <w:rPr>
          <w:rFonts w:ascii="楷体" w:hAnsi="楷体" w:eastAsia="楷体" w:cs="楷体"/>
          <w:color w:val="auto"/>
          <w:spacing w:val="-16"/>
          <w:sz w:val="27"/>
          <w:szCs w:val="27"/>
          <w:highlight w:val="none"/>
        </w:rPr>
        <w:t>（标段编号</w:t>
      </w:r>
      <w:r>
        <w:rPr>
          <w:rFonts w:ascii="楷体" w:hAnsi="楷体" w:eastAsia="楷体" w:cs="楷体"/>
          <w:color w:val="auto"/>
          <w:spacing w:val="-21"/>
          <w:sz w:val="27"/>
          <w:szCs w:val="27"/>
          <w:highlight w:val="none"/>
        </w:rPr>
        <w:t>：</w:t>
      </w:r>
      <w:r>
        <w:rPr>
          <w:rFonts w:ascii="楷体" w:hAnsi="楷体" w:eastAsia="楷体" w:cs="楷体"/>
          <w:color w:val="auto"/>
          <w:spacing w:val="-4"/>
          <w:sz w:val="27"/>
          <w:szCs w:val="27"/>
          <w:highlight w:val="none"/>
        </w:rPr>
        <w:t xml:space="preserve"> </w:t>
      </w:r>
      <w:r>
        <w:rPr>
          <w:rFonts w:ascii="楷体" w:hAnsi="楷体" w:eastAsia="楷体" w:cs="楷体"/>
          <w:color w:val="auto"/>
          <w:spacing w:val="5"/>
          <w:sz w:val="27"/>
          <w:szCs w:val="27"/>
          <w:highlight w:val="none"/>
          <w:u w:val="single" w:color="auto"/>
        </w:rPr>
        <w:t xml:space="preserve">                        </w:t>
      </w:r>
      <w:r>
        <w:rPr>
          <w:rFonts w:ascii="楷体" w:hAnsi="楷体" w:eastAsia="楷体" w:cs="楷体"/>
          <w:color w:val="auto"/>
          <w:spacing w:val="-84"/>
          <w:sz w:val="27"/>
          <w:szCs w:val="27"/>
          <w:highlight w:val="none"/>
        </w:rPr>
        <w:t xml:space="preserve"> </w:t>
      </w:r>
      <w:r>
        <w:rPr>
          <w:rFonts w:ascii="楷体" w:hAnsi="楷体" w:eastAsia="楷体" w:cs="楷体"/>
          <w:color w:val="auto"/>
          <w:spacing w:val="-21"/>
          <w:sz w:val="27"/>
          <w:szCs w:val="27"/>
          <w:highlight w:val="none"/>
        </w:rPr>
        <w:t>）</w:t>
      </w:r>
    </w:p>
    <w:p w14:paraId="46593C95">
      <w:pPr>
        <w:pStyle w:val="3"/>
        <w:spacing w:line="244" w:lineRule="auto"/>
        <w:rPr>
          <w:color w:val="auto"/>
          <w:highlight w:val="none"/>
        </w:rPr>
      </w:pPr>
    </w:p>
    <w:p w14:paraId="12828DA0">
      <w:pPr>
        <w:pStyle w:val="3"/>
        <w:spacing w:line="244" w:lineRule="auto"/>
        <w:rPr>
          <w:color w:val="auto"/>
          <w:highlight w:val="none"/>
        </w:rPr>
      </w:pPr>
    </w:p>
    <w:p w14:paraId="3F81D7C6">
      <w:pPr>
        <w:pStyle w:val="3"/>
        <w:spacing w:line="245" w:lineRule="auto"/>
        <w:rPr>
          <w:color w:val="auto"/>
          <w:highlight w:val="none"/>
        </w:rPr>
      </w:pPr>
    </w:p>
    <w:p w14:paraId="0C891554">
      <w:pPr>
        <w:pStyle w:val="3"/>
        <w:spacing w:line="245" w:lineRule="auto"/>
        <w:rPr>
          <w:color w:val="auto"/>
          <w:highlight w:val="none"/>
        </w:rPr>
      </w:pPr>
    </w:p>
    <w:p w14:paraId="1A16BB42">
      <w:pPr>
        <w:pStyle w:val="3"/>
        <w:spacing w:line="245" w:lineRule="auto"/>
        <w:rPr>
          <w:color w:val="auto"/>
          <w:highlight w:val="none"/>
        </w:rPr>
      </w:pPr>
    </w:p>
    <w:p w14:paraId="18F92AE1">
      <w:pPr>
        <w:pStyle w:val="3"/>
        <w:spacing w:line="245" w:lineRule="auto"/>
        <w:rPr>
          <w:color w:val="auto"/>
          <w:highlight w:val="none"/>
        </w:rPr>
      </w:pPr>
    </w:p>
    <w:p w14:paraId="6A1E5EFF">
      <w:pPr>
        <w:pStyle w:val="3"/>
        <w:spacing w:line="245" w:lineRule="auto"/>
        <w:rPr>
          <w:color w:val="auto"/>
          <w:highlight w:val="none"/>
        </w:rPr>
      </w:pPr>
    </w:p>
    <w:p w14:paraId="5B92EC45">
      <w:pPr>
        <w:pStyle w:val="3"/>
        <w:spacing w:line="245" w:lineRule="auto"/>
        <w:rPr>
          <w:color w:val="auto"/>
          <w:highlight w:val="none"/>
        </w:rPr>
      </w:pPr>
    </w:p>
    <w:p w14:paraId="436C108B">
      <w:pPr>
        <w:pStyle w:val="3"/>
        <w:spacing w:line="245" w:lineRule="auto"/>
        <w:rPr>
          <w:color w:val="auto"/>
          <w:highlight w:val="none"/>
        </w:rPr>
      </w:pPr>
    </w:p>
    <w:p w14:paraId="3A4BBEAE">
      <w:pPr>
        <w:pStyle w:val="3"/>
        <w:spacing w:line="245" w:lineRule="auto"/>
        <w:rPr>
          <w:color w:val="auto"/>
          <w:highlight w:val="none"/>
        </w:rPr>
      </w:pPr>
    </w:p>
    <w:p w14:paraId="6A349EFC">
      <w:pPr>
        <w:pStyle w:val="3"/>
        <w:spacing w:line="245" w:lineRule="auto"/>
        <w:rPr>
          <w:color w:val="auto"/>
          <w:highlight w:val="none"/>
        </w:rPr>
      </w:pPr>
    </w:p>
    <w:p w14:paraId="2DEE374A">
      <w:pPr>
        <w:pStyle w:val="3"/>
        <w:spacing w:line="245" w:lineRule="auto"/>
        <w:rPr>
          <w:color w:val="auto"/>
          <w:highlight w:val="none"/>
        </w:rPr>
      </w:pPr>
    </w:p>
    <w:p w14:paraId="6D7CC2EC">
      <w:pPr>
        <w:pStyle w:val="3"/>
        <w:spacing w:line="245" w:lineRule="auto"/>
        <w:rPr>
          <w:color w:val="auto"/>
          <w:highlight w:val="none"/>
        </w:rPr>
      </w:pPr>
    </w:p>
    <w:p w14:paraId="53ABD489">
      <w:pPr>
        <w:pStyle w:val="3"/>
        <w:spacing w:line="245" w:lineRule="auto"/>
        <w:rPr>
          <w:color w:val="auto"/>
          <w:highlight w:val="none"/>
        </w:rPr>
      </w:pPr>
    </w:p>
    <w:p w14:paraId="1DD020AA">
      <w:pPr>
        <w:pStyle w:val="3"/>
        <w:spacing w:line="245" w:lineRule="auto"/>
        <w:rPr>
          <w:color w:val="auto"/>
          <w:highlight w:val="none"/>
        </w:rPr>
      </w:pPr>
    </w:p>
    <w:p w14:paraId="00E25DCD">
      <w:pPr>
        <w:pStyle w:val="3"/>
        <w:spacing w:line="245" w:lineRule="auto"/>
        <w:rPr>
          <w:color w:val="auto"/>
          <w:highlight w:val="none"/>
        </w:rPr>
      </w:pPr>
    </w:p>
    <w:p w14:paraId="6C07F46D">
      <w:pPr>
        <w:pStyle w:val="3"/>
        <w:spacing w:line="245" w:lineRule="auto"/>
        <w:rPr>
          <w:color w:val="auto"/>
          <w:highlight w:val="none"/>
        </w:rPr>
      </w:pPr>
    </w:p>
    <w:p w14:paraId="3A0D7F07">
      <w:pPr>
        <w:pStyle w:val="3"/>
        <w:spacing w:line="245" w:lineRule="auto"/>
        <w:rPr>
          <w:color w:val="auto"/>
          <w:highlight w:val="none"/>
        </w:rPr>
      </w:pPr>
    </w:p>
    <w:p w14:paraId="2BFE2799">
      <w:pPr>
        <w:pStyle w:val="3"/>
        <w:spacing w:line="245" w:lineRule="auto"/>
        <w:rPr>
          <w:color w:val="auto"/>
          <w:highlight w:val="none"/>
        </w:rPr>
      </w:pPr>
    </w:p>
    <w:p w14:paraId="3A11C358">
      <w:pPr>
        <w:pStyle w:val="3"/>
        <w:spacing w:line="245" w:lineRule="auto"/>
        <w:rPr>
          <w:color w:val="auto"/>
          <w:highlight w:val="none"/>
        </w:rPr>
      </w:pPr>
    </w:p>
    <w:p w14:paraId="5FF25F30">
      <w:pPr>
        <w:spacing w:before="88" w:line="225" w:lineRule="auto"/>
        <w:ind w:left="883"/>
        <w:rPr>
          <w:rFonts w:ascii="黑体" w:hAnsi="黑体" w:eastAsia="黑体" w:cs="黑体"/>
          <w:color w:val="auto"/>
          <w:sz w:val="27"/>
          <w:szCs w:val="27"/>
          <w:highlight w:val="none"/>
        </w:rPr>
      </w:pPr>
      <w:r>
        <w:rPr>
          <w:rFonts w:ascii="黑体" w:hAnsi="黑体" w:eastAsia="黑体" w:cs="黑体"/>
          <w:color w:val="auto"/>
          <w:spacing w:val="-24"/>
          <w:w w:val="98"/>
          <w:sz w:val="27"/>
          <w:szCs w:val="27"/>
          <w:highlight w:val="none"/>
        </w:rPr>
        <w:t>投标人</w:t>
      </w:r>
      <w:r>
        <w:rPr>
          <w:rFonts w:ascii="黑体" w:hAnsi="黑体" w:eastAsia="黑体" w:cs="黑体"/>
          <w:color w:val="auto"/>
          <w:spacing w:val="-19"/>
          <w:sz w:val="27"/>
          <w:szCs w:val="27"/>
          <w:highlight w:val="none"/>
        </w:rPr>
        <w:t>：</w:t>
      </w:r>
      <w:r>
        <w:rPr>
          <w:rFonts w:ascii="黑体" w:hAnsi="黑体" w:eastAsia="黑体" w:cs="黑体"/>
          <w:color w:val="auto"/>
          <w:spacing w:val="16"/>
          <w:sz w:val="27"/>
          <w:szCs w:val="27"/>
          <w:highlight w:val="none"/>
        </w:rPr>
        <w:t xml:space="preserve"> </w:t>
      </w:r>
      <w:r>
        <w:rPr>
          <w:rFonts w:ascii="黑体" w:hAnsi="黑体" w:eastAsia="黑体" w:cs="黑体"/>
          <w:color w:val="auto"/>
          <w:sz w:val="27"/>
          <w:szCs w:val="27"/>
          <w:highlight w:val="none"/>
          <w:u w:val="single" w:color="auto"/>
        </w:rPr>
        <w:t xml:space="preserve">                            </w:t>
      </w:r>
      <w:r>
        <w:rPr>
          <w:rFonts w:ascii="黑体" w:hAnsi="黑体" w:eastAsia="黑体" w:cs="黑体"/>
          <w:color w:val="auto"/>
          <w:spacing w:val="42"/>
          <w:sz w:val="27"/>
          <w:szCs w:val="27"/>
          <w:highlight w:val="none"/>
        </w:rPr>
        <w:t xml:space="preserve"> </w:t>
      </w:r>
      <w:r>
        <w:rPr>
          <w:rFonts w:ascii="黑体" w:hAnsi="黑体" w:eastAsia="黑体" w:cs="黑体"/>
          <w:color w:val="auto"/>
          <w:spacing w:val="-19"/>
          <w:sz w:val="27"/>
          <w:szCs w:val="27"/>
          <w:highlight w:val="none"/>
        </w:rPr>
        <w:t>（</w:t>
      </w:r>
      <w:r>
        <w:rPr>
          <w:rFonts w:ascii="黑体" w:hAnsi="黑体" w:eastAsia="黑体" w:cs="黑体"/>
          <w:color w:val="auto"/>
          <w:spacing w:val="-24"/>
          <w:w w:val="98"/>
          <w:sz w:val="27"/>
          <w:szCs w:val="27"/>
          <w:highlight w:val="none"/>
        </w:rPr>
        <w:t>盖单位章）</w:t>
      </w:r>
    </w:p>
    <w:p w14:paraId="5977D176">
      <w:pPr>
        <w:spacing w:before="213" w:line="225" w:lineRule="auto"/>
        <w:ind w:left="887"/>
        <w:rPr>
          <w:rFonts w:ascii="黑体" w:hAnsi="黑体" w:eastAsia="黑体" w:cs="黑体"/>
          <w:color w:val="auto"/>
          <w:sz w:val="27"/>
          <w:szCs w:val="27"/>
          <w:highlight w:val="none"/>
        </w:rPr>
      </w:pPr>
      <w:r>
        <w:rPr>
          <w:rFonts w:ascii="黑体" w:hAnsi="黑体" w:eastAsia="黑体" w:cs="黑体"/>
          <w:color w:val="auto"/>
          <w:spacing w:val="-7"/>
          <w:sz w:val="27"/>
          <w:szCs w:val="27"/>
          <w:highlight w:val="none"/>
        </w:rPr>
        <w:t>法定代表人或授权委托人</w:t>
      </w:r>
      <w:r>
        <w:rPr>
          <w:rFonts w:ascii="黑体" w:hAnsi="黑体" w:eastAsia="黑体" w:cs="黑体"/>
          <w:color w:val="auto"/>
          <w:spacing w:val="5"/>
          <w:sz w:val="27"/>
          <w:szCs w:val="27"/>
          <w:highlight w:val="none"/>
        </w:rPr>
        <w:t>：</w:t>
      </w:r>
      <w:r>
        <w:rPr>
          <w:rFonts w:ascii="黑体" w:hAnsi="黑体" w:eastAsia="黑体" w:cs="黑体"/>
          <w:color w:val="auto"/>
          <w:spacing w:val="-26"/>
          <w:sz w:val="27"/>
          <w:szCs w:val="27"/>
          <w:highlight w:val="none"/>
        </w:rPr>
        <w:t xml:space="preserve"> </w:t>
      </w:r>
      <w:r>
        <w:rPr>
          <w:rFonts w:ascii="黑体" w:hAnsi="黑体" w:eastAsia="黑体" w:cs="黑体"/>
          <w:color w:val="auto"/>
          <w:spacing w:val="5"/>
          <w:sz w:val="27"/>
          <w:szCs w:val="27"/>
          <w:highlight w:val="none"/>
          <w:u w:val="single" w:color="auto"/>
        </w:rPr>
        <w:t xml:space="preserve">               </w:t>
      </w:r>
      <w:r>
        <w:rPr>
          <w:rFonts w:ascii="黑体" w:hAnsi="黑体" w:eastAsia="黑体" w:cs="黑体"/>
          <w:color w:val="auto"/>
          <w:spacing w:val="-44"/>
          <w:sz w:val="27"/>
          <w:szCs w:val="27"/>
          <w:highlight w:val="none"/>
        </w:rPr>
        <w:t xml:space="preserve"> </w:t>
      </w:r>
      <w:r>
        <w:rPr>
          <w:rFonts w:ascii="黑体" w:hAnsi="黑体" w:eastAsia="黑体" w:cs="黑体"/>
          <w:color w:val="auto"/>
          <w:spacing w:val="5"/>
          <w:sz w:val="27"/>
          <w:szCs w:val="27"/>
          <w:highlight w:val="none"/>
        </w:rPr>
        <w:t>（</w:t>
      </w:r>
      <w:r>
        <w:rPr>
          <w:rFonts w:ascii="黑体" w:hAnsi="黑体" w:eastAsia="黑体" w:cs="黑体"/>
          <w:color w:val="auto"/>
          <w:spacing w:val="-7"/>
          <w:sz w:val="27"/>
          <w:szCs w:val="27"/>
          <w:highlight w:val="none"/>
        </w:rPr>
        <w:t>签章）</w:t>
      </w:r>
    </w:p>
    <w:p w14:paraId="75EB6542">
      <w:pPr>
        <w:pStyle w:val="3"/>
        <w:spacing w:line="244" w:lineRule="auto"/>
        <w:rPr>
          <w:color w:val="auto"/>
          <w:highlight w:val="none"/>
        </w:rPr>
      </w:pPr>
    </w:p>
    <w:p w14:paraId="43256820">
      <w:pPr>
        <w:pStyle w:val="3"/>
        <w:spacing w:line="244" w:lineRule="auto"/>
        <w:rPr>
          <w:color w:val="auto"/>
          <w:highlight w:val="none"/>
        </w:rPr>
      </w:pPr>
    </w:p>
    <w:p w14:paraId="3EDBA647">
      <w:pPr>
        <w:tabs>
          <w:tab w:val="left" w:pos="3390"/>
        </w:tabs>
        <w:spacing w:before="88" w:line="226" w:lineRule="auto"/>
        <w:ind w:left="2555"/>
        <w:rPr>
          <w:rFonts w:ascii="黑体" w:hAnsi="黑体" w:eastAsia="黑体" w:cs="黑体"/>
          <w:color w:val="auto"/>
          <w:sz w:val="27"/>
          <w:szCs w:val="27"/>
          <w:highlight w:val="none"/>
        </w:rPr>
      </w:pPr>
      <w:r>
        <w:rPr>
          <w:rFonts w:ascii="黑体" w:hAnsi="黑体" w:eastAsia="黑体" w:cs="黑体"/>
          <w:color w:val="auto"/>
          <w:sz w:val="27"/>
          <w:szCs w:val="27"/>
          <w:highlight w:val="none"/>
          <w:u w:val="single" w:color="auto"/>
        </w:rPr>
        <w:tab/>
      </w:r>
      <w:r>
        <w:rPr>
          <w:rFonts w:ascii="黑体" w:hAnsi="黑体" w:eastAsia="黑体" w:cs="黑体"/>
          <w:color w:val="auto"/>
          <w:spacing w:val="-121"/>
          <w:sz w:val="27"/>
          <w:szCs w:val="27"/>
          <w:highlight w:val="none"/>
        </w:rPr>
        <w:t xml:space="preserve"> </w:t>
      </w:r>
      <w:r>
        <w:rPr>
          <w:rFonts w:ascii="黑体" w:hAnsi="黑体" w:eastAsia="黑体" w:cs="黑体"/>
          <w:color w:val="auto"/>
          <w:spacing w:val="-5"/>
          <w:sz w:val="27"/>
          <w:szCs w:val="27"/>
          <w:highlight w:val="none"/>
        </w:rPr>
        <w:t>年</w:t>
      </w:r>
      <w:r>
        <w:rPr>
          <w:rFonts w:ascii="黑体" w:hAnsi="黑体" w:eastAsia="黑体" w:cs="黑体"/>
          <w:color w:val="auto"/>
          <w:spacing w:val="-135"/>
          <w:sz w:val="27"/>
          <w:szCs w:val="27"/>
          <w:highlight w:val="none"/>
        </w:rPr>
        <w:t xml:space="preserve"> </w:t>
      </w:r>
      <w:r>
        <w:rPr>
          <w:rFonts w:ascii="黑体" w:hAnsi="黑体" w:eastAsia="黑体" w:cs="黑体"/>
          <w:color w:val="auto"/>
          <w:spacing w:val="5"/>
          <w:sz w:val="27"/>
          <w:szCs w:val="27"/>
          <w:highlight w:val="none"/>
          <w:u w:val="single" w:color="auto"/>
        </w:rPr>
        <w:t xml:space="preserve">      </w:t>
      </w:r>
      <w:r>
        <w:rPr>
          <w:rFonts w:ascii="黑体" w:hAnsi="黑体" w:eastAsia="黑体" w:cs="黑体"/>
          <w:color w:val="auto"/>
          <w:spacing w:val="-113"/>
          <w:sz w:val="27"/>
          <w:szCs w:val="27"/>
          <w:highlight w:val="none"/>
        </w:rPr>
        <w:t xml:space="preserve"> </w:t>
      </w:r>
      <w:r>
        <w:rPr>
          <w:rFonts w:ascii="黑体" w:hAnsi="黑体" w:eastAsia="黑体" w:cs="黑体"/>
          <w:color w:val="auto"/>
          <w:spacing w:val="-5"/>
          <w:sz w:val="27"/>
          <w:szCs w:val="27"/>
          <w:highlight w:val="none"/>
        </w:rPr>
        <w:t>月</w:t>
      </w:r>
      <w:r>
        <w:rPr>
          <w:rFonts w:ascii="黑体" w:hAnsi="黑体" w:eastAsia="黑体" w:cs="黑体"/>
          <w:color w:val="auto"/>
          <w:spacing w:val="5"/>
          <w:sz w:val="27"/>
          <w:szCs w:val="27"/>
          <w:highlight w:val="none"/>
          <w:u w:val="single" w:color="auto"/>
        </w:rPr>
        <w:t xml:space="preserve">     </w:t>
      </w:r>
      <w:r>
        <w:rPr>
          <w:rFonts w:ascii="黑体" w:hAnsi="黑体" w:eastAsia="黑体" w:cs="黑体"/>
          <w:color w:val="auto"/>
          <w:spacing w:val="-79"/>
          <w:sz w:val="27"/>
          <w:szCs w:val="27"/>
          <w:highlight w:val="none"/>
        </w:rPr>
        <w:t xml:space="preserve"> </w:t>
      </w:r>
      <w:r>
        <w:rPr>
          <w:rFonts w:ascii="黑体" w:hAnsi="黑体" w:eastAsia="黑体" w:cs="黑体"/>
          <w:color w:val="auto"/>
          <w:spacing w:val="-5"/>
          <w:sz w:val="27"/>
          <w:szCs w:val="27"/>
          <w:highlight w:val="none"/>
        </w:rPr>
        <w:t>日</w:t>
      </w:r>
    </w:p>
    <w:p w14:paraId="5284D2AC">
      <w:pPr>
        <w:spacing w:line="226" w:lineRule="auto"/>
        <w:rPr>
          <w:rFonts w:ascii="黑体" w:hAnsi="黑体" w:eastAsia="黑体" w:cs="黑体"/>
          <w:color w:val="auto"/>
          <w:sz w:val="27"/>
          <w:szCs w:val="27"/>
          <w:highlight w:val="none"/>
        </w:rPr>
        <w:sectPr>
          <w:footerReference r:id="rId211" w:type="default"/>
          <w:pgSz w:w="11905" w:h="16839"/>
          <w:pgMar w:top="400" w:right="1785" w:bottom="1004" w:left="1785" w:header="0" w:footer="828" w:gutter="0"/>
          <w:pgNumType w:fmt="decimal"/>
          <w:cols w:space="720" w:num="1"/>
        </w:sectPr>
      </w:pPr>
    </w:p>
    <w:p w14:paraId="36077099">
      <w:pPr>
        <w:pStyle w:val="3"/>
        <w:spacing w:line="255" w:lineRule="auto"/>
        <w:rPr>
          <w:color w:val="auto"/>
          <w:highlight w:val="none"/>
        </w:rPr>
      </w:pPr>
    </w:p>
    <w:p w14:paraId="065877AE">
      <w:pPr>
        <w:pStyle w:val="3"/>
        <w:spacing w:line="256" w:lineRule="auto"/>
        <w:rPr>
          <w:color w:val="auto"/>
          <w:highlight w:val="none"/>
        </w:rPr>
      </w:pPr>
    </w:p>
    <w:p w14:paraId="0E78E2B5">
      <w:pPr>
        <w:pStyle w:val="3"/>
        <w:spacing w:line="256" w:lineRule="auto"/>
        <w:rPr>
          <w:color w:val="auto"/>
          <w:highlight w:val="none"/>
        </w:rPr>
      </w:pPr>
    </w:p>
    <w:p w14:paraId="68B81444">
      <w:pPr>
        <w:pStyle w:val="3"/>
        <w:spacing w:line="256" w:lineRule="auto"/>
        <w:rPr>
          <w:color w:val="auto"/>
          <w:highlight w:val="none"/>
        </w:rPr>
      </w:pPr>
    </w:p>
    <w:p w14:paraId="61450712">
      <w:pPr>
        <w:spacing w:before="88" w:line="225" w:lineRule="auto"/>
        <w:ind w:left="3792"/>
        <w:rPr>
          <w:rFonts w:ascii="黑体" w:hAnsi="黑体" w:eastAsia="黑体" w:cs="黑体"/>
          <w:color w:val="auto"/>
          <w:sz w:val="27"/>
          <w:szCs w:val="27"/>
          <w:highlight w:val="none"/>
        </w:rPr>
      </w:pPr>
      <w:bookmarkStart w:id="1321" w:name="bookmark294"/>
      <w:bookmarkEnd w:id="1321"/>
      <w:bookmarkStart w:id="1322" w:name="bookmark295"/>
      <w:bookmarkEnd w:id="1322"/>
      <w:r>
        <w:rPr>
          <w:rFonts w:ascii="黑体" w:hAnsi="黑体" w:eastAsia="黑体" w:cs="黑体"/>
          <w:color w:val="auto"/>
          <w:spacing w:val="-19"/>
          <w:sz w:val="27"/>
          <w:szCs w:val="27"/>
          <w:highlight w:val="none"/>
        </w:rPr>
        <w:t>目</w:t>
      </w:r>
      <w:r>
        <w:rPr>
          <w:rFonts w:ascii="黑体" w:hAnsi="黑体" w:eastAsia="黑体" w:cs="黑体"/>
          <w:color w:val="auto"/>
          <w:spacing w:val="15"/>
          <w:sz w:val="27"/>
          <w:szCs w:val="27"/>
          <w:highlight w:val="none"/>
        </w:rPr>
        <w:t xml:space="preserve">  </w:t>
      </w:r>
      <w:r>
        <w:rPr>
          <w:rFonts w:ascii="黑体" w:hAnsi="黑体" w:eastAsia="黑体" w:cs="黑体"/>
          <w:color w:val="auto"/>
          <w:spacing w:val="-19"/>
          <w:sz w:val="27"/>
          <w:szCs w:val="27"/>
          <w:highlight w:val="none"/>
        </w:rPr>
        <w:t>录</w:t>
      </w:r>
    </w:p>
    <w:p w14:paraId="05A5A697">
      <w:pPr>
        <w:pStyle w:val="3"/>
        <w:spacing w:line="272" w:lineRule="auto"/>
        <w:rPr>
          <w:color w:val="auto"/>
          <w:highlight w:val="none"/>
        </w:rPr>
      </w:pPr>
    </w:p>
    <w:p w14:paraId="0D8C9C67">
      <w:pPr>
        <w:pStyle w:val="3"/>
        <w:spacing w:line="273" w:lineRule="auto"/>
        <w:rPr>
          <w:color w:val="auto"/>
          <w:highlight w:val="none"/>
        </w:rPr>
      </w:pPr>
    </w:p>
    <w:p w14:paraId="1AB8C730">
      <w:pPr>
        <w:pStyle w:val="3"/>
        <w:spacing w:line="273" w:lineRule="auto"/>
        <w:rPr>
          <w:color w:val="auto"/>
          <w:highlight w:val="none"/>
        </w:rPr>
      </w:pPr>
    </w:p>
    <w:p w14:paraId="00B79626">
      <w:pPr>
        <w:spacing w:before="68" w:line="600" w:lineRule="exact"/>
        <w:ind w:left="21"/>
        <w:rPr>
          <w:rFonts w:ascii="宋体" w:hAnsi="宋体" w:eastAsia="宋体" w:cs="宋体"/>
          <w:color w:val="auto"/>
          <w:sz w:val="21"/>
          <w:szCs w:val="21"/>
          <w:highlight w:val="none"/>
        </w:rPr>
      </w:pPr>
      <w:r>
        <w:rPr>
          <w:rFonts w:ascii="宋体" w:hAnsi="宋体" w:eastAsia="宋体" w:cs="宋体"/>
          <w:color w:val="auto"/>
          <w:spacing w:val="-2"/>
          <w:position w:val="30"/>
          <w:sz w:val="21"/>
          <w:szCs w:val="21"/>
          <w:highlight w:val="none"/>
        </w:rPr>
        <w:t>一、投标函及投标函附录等</w:t>
      </w:r>
    </w:p>
    <w:p w14:paraId="5D12E4F5">
      <w:pPr>
        <w:spacing w:line="220"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二、法定代表人身份证明</w:t>
      </w:r>
    </w:p>
    <w:p w14:paraId="3754A255">
      <w:pPr>
        <w:pStyle w:val="3"/>
        <w:spacing w:line="278" w:lineRule="auto"/>
        <w:rPr>
          <w:color w:val="auto"/>
          <w:highlight w:val="none"/>
        </w:rPr>
      </w:pPr>
    </w:p>
    <w:p w14:paraId="1772E49E">
      <w:pPr>
        <w:spacing w:before="69" w:line="220"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二、授权委托书</w:t>
      </w:r>
    </w:p>
    <w:p w14:paraId="5E5186EF">
      <w:pPr>
        <w:pStyle w:val="3"/>
        <w:spacing w:line="280" w:lineRule="auto"/>
        <w:rPr>
          <w:color w:val="auto"/>
          <w:highlight w:val="none"/>
        </w:rPr>
      </w:pPr>
    </w:p>
    <w:p w14:paraId="7E00B153">
      <w:pPr>
        <w:spacing w:before="68" w:line="221"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三、投标保证金</w:t>
      </w:r>
    </w:p>
    <w:p w14:paraId="423D9297">
      <w:pPr>
        <w:pStyle w:val="3"/>
        <w:spacing w:line="278" w:lineRule="auto"/>
        <w:rPr>
          <w:color w:val="auto"/>
          <w:highlight w:val="none"/>
        </w:rPr>
      </w:pPr>
    </w:p>
    <w:p w14:paraId="47404CBD">
      <w:pPr>
        <w:spacing w:before="68" w:line="600" w:lineRule="exact"/>
        <w:ind w:left="38"/>
        <w:rPr>
          <w:rFonts w:ascii="宋体" w:hAnsi="宋体" w:eastAsia="宋体" w:cs="宋体"/>
          <w:color w:val="auto"/>
          <w:sz w:val="21"/>
          <w:szCs w:val="21"/>
          <w:highlight w:val="none"/>
        </w:rPr>
      </w:pPr>
      <w:r>
        <w:rPr>
          <w:rFonts w:ascii="宋体" w:hAnsi="宋体" w:eastAsia="宋体" w:cs="宋体"/>
          <w:color w:val="auto"/>
          <w:spacing w:val="-4"/>
          <w:position w:val="30"/>
          <w:sz w:val="21"/>
          <w:szCs w:val="21"/>
          <w:highlight w:val="none"/>
        </w:rPr>
        <w:t>四、联合体协议书（如有）</w:t>
      </w:r>
    </w:p>
    <w:p w14:paraId="68978CDF">
      <w:pPr>
        <w:spacing w:before="1" w:line="219" w:lineRule="auto"/>
        <w:ind w:left="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五、拟分包计划表（如有）</w:t>
      </w:r>
    </w:p>
    <w:p w14:paraId="0FF65B8C">
      <w:pPr>
        <w:pStyle w:val="3"/>
        <w:spacing w:line="280" w:lineRule="auto"/>
        <w:rPr>
          <w:color w:val="auto"/>
          <w:highlight w:val="none"/>
        </w:rPr>
      </w:pPr>
    </w:p>
    <w:p w14:paraId="0BBC5514">
      <w:pPr>
        <w:spacing w:before="69" w:line="600" w:lineRule="exact"/>
        <w:ind w:left="20"/>
        <w:rPr>
          <w:rFonts w:ascii="宋体" w:hAnsi="宋体" w:eastAsia="宋体" w:cs="宋体"/>
          <w:color w:val="auto"/>
          <w:sz w:val="21"/>
          <w:szCs w:val="21"/>
          <w:highlight w:val="none"/>
        </w:rPr>
      </w:pPr>
      <w:r>
        <w:rPr>
          <w:rFonts w:ascii="宋体" w:hAnsi="宋体" w:eastAsia="宋体" w:cs="宋体"/>
          <w:color w:val="auto"/>
          <w:spacing w:val="-1"/>
          <w:position w:val="30"/>
          <w:sz w:val="21"/>
          <w:szCs w:val="21"/>
          <w:highlight w:val="none"/>
        </w:rPr>
        <w:t>六、项目管理机构</w:t>
      </w:r>
    </w:p>
    <w:p w14:paraId="2D92D499">
      <w:pPr>
        <w:spacing w:before="1" w:line="220"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七、资格审查资料</w:t>
      </w:r>
    </w:p>
    <w:p w14:paraId="1787D845">
      <w:pPr>
        <w:pStyle w:val="3"/>
        <w:spacing w:line="279" w:lineRule="auto"/>
        <w:rPr>
          <w:color w:val="auto"/>
          <w:highlight w:val="none"/>
        </w:rPr>
      </w:pPr>
    </w:p>
    <w:p w14:paraId="4EBF1084">
      <w:pPr>
        <w:spacing w:before="68" w:line="601" w:lineRule="exact"/>
        <w:ind w:left="21"/>
        <w:rPr>
          <w:rFonts w:ascii="宋体" w:hAnsi="宋体" w:eastAsia="宋体" w:cs="宋体"/>
          <w:color w:val="auto"/>
          <w:sz w:val="21"/>
          <w:szCs w:val="21"/>
          <w:highlight w:val="none"/>
        </w:rPr>
      </w:pPr>
      <w:r>
        <w:rPr>
          <w:rFonts w:ascii="宋体" w:hAnsi="宋体" w:eastAsia="宋体" w:cs="宋体"/>
          <w:color w:val="auto"/>
          <w:spacing w:val="-1"/>
          <w:position w:val="30"/>
          <w:sz w:val="21"/>
          <w:szCs w:val="21"/>
          <w:highlight w:val="none"/>
        </w:rPr>
        <w:t>八、已标价工程量清单</w:t>
      </w:r>
    </w:p>
    <w:p w14:paraId="3A3884A4">
      <w:pPr>
        <w:spacing w:line="222" w:lineRule="auto"/>
        <w:ind w:left="2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九、施工组织设计</w:t>
      </w:r>
    </w:p>
    <w:p w14:paraId="1FF9B168">
      <w:pPr>
        <w:pStyle w:val="3"/>
        <w:spacing w:line="277" w:lineRule="auto"/>
        <w:rPr>
          <w:color w:val="auto"/>
          <w:highlight w:val="none"/>
        </w:rPr>
      </w:pPr>
    </w:p>
    <w:p w14:paraId="2A6E2103">
      <w:pPr>
        <w:spacing w:before="68"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十、其他材料</w:t>
      </w:r>
    </w:p>
    <w:p w14:paraId="794C44AE">
      <w:pPr>
        <w:spacing w:line="220" w:lineRule="auto"/>
        <w:rPr>
          <w:rFonts w:ascii="宋体" w:hAnsi="宋体" w:eastAsia="宋体" w:cs="宋体"/>
          <w:color w:val="auto"/>
          <w:sz w:val="21"/>
          <w:szCs w:val="21"/>
          <w:highlight w:val="none"/>
        </w:rPr>
        <w:sectPr>
          <w:footerReference r:id="rId212" w:type="default"/>
          <w:pgSz w:w="11905" w:h="16839"/>
          <w:pgMar w:top="400" w:right="1785" w:bottom="1004" w:left="1785" w:header="0" w:footer="828" w:gutter="0"/>
          <w:pgNumType w:fmt="decimal"/>
          <w:cols w:space="720" w:num="1"/>
        </w:sectPr>
      </w:pPr>
    </w:p>
    <w:p w14:paraId="1D95F4C3">
      <w:pPr>
        <w:pStyle w:val="3"/>
        <w:spacing w:line="255" w:lineRule="auto"/>
        <w:rPr>
          <w:color w:val="auto"/>
          <w:highlight w:val="none"/>
        </w:rPr>
      </w:pPr>
    </w:p>
    <w:p w14:paraId="2943E76C">
      <w:pPr>
        <w:pStyle w:val="3"/>
        <w:spacing w:line="256" w:lineRule="auto"/>
        <w:rPr>
          <w:color w:val="auto"/>
          <w:highlight w:val="none"/>
        </w:rPr>
      </w:pPr>
    </w:p>
    <w:p w14:paraId="46A93A48">
      <w:pPr>
        <w:pStyle w:val="3"/>
        <w:spacing w:line="256" w:lineRule="auto"/>
        <w:rPr>
          <w:color w:val="auto"/>
          <w:highlight w:val="none"/>
        </w:rPr>
      </w:pPr>
    </w:p>
    <w:p w14:paraId="0428F573">
      <w:pPr>
        <w:pStyle w:val="3"/>
        <w:spacing w:line="256" w:lineRule="auto"/>
        <w:rPr>
          <w:color w:val="auto"/>
          <w:highlight w:val="none"/>
        </w:rPr>
      </w:pPr>
    </w:p>
    <w:p w14:paraId="29407842">
      <w:pPr>
        <w:spacing w:before="88" w:line="403" w:lineRule="exact"/>
        <w:ind w:left="2503"/>
        <w:rPr>
          <w:rFonts w:ascii="黑体" w:hAnsi="黑体" w:eastAsia="黑体" w:cs="黑体"/>
          <w:color w:val="auto"/>
          <w:sz w:val="27"/>
          <w:szCs w:val="27"/>
          <w:highlight w:val="none"/>
        </w:rPr>
      </w:pPr>
      <w:bookmarkStart w:id="1323" w:name="bookmark296"/>
      <w:bookmarkEnd w:id="1323"/>
      <w:r>
        <w:rPr>
          <w:rFonts w:ascii="黑体" w:hAnsi="黑体" w:eastAsia="黑体" w:cs="黑体"/>
          <w:color w:val="auto"/>
          <w:spacing w:val="7"/>
          <w:position w:val="9"/>
          <w:sz w:val="27"/>
          <w:szCs w:val="27"/>
          <w:highlight w:val="none"/>
        </w:rPr>
        <w:t>一、投标函及投标函附录等</w:t>
      </w:r>
    </w:p>
    <w:p w14:paraId="7B293743">
      <w:pPr>
        <w:spacing w:line="225" w:lineRule="auto"/>
        <w:ind w:left="3361"/>
        <w:rPr>
          <w:rFonts w:ascii="黑体" w:hAnsi="黑体" w:eastAsia="黑体" w:cs="黑体"/>
          <w:color w:val="auto"/>
          <w:sz w:val="27"/>
          <w:szCs w:val="27"/>
          <w:highlight w:val="none"/>
        </w:rPr>
      </w:pPr>
      <w:r>
        <w:rPr>
          <w:rFonts w:ascii="黑体" w:hAnsi="黑体" w:eastAsia="黑体" w:cs="黑体"/>
          <w:color w:val="auto"/>
          <w:spacing w:val="-2"/>
          <w:sz w:val="27"/>
          <w:szCs w:val="27"/>
          <w:highlight w:val="none"/>
        </w:rPr>
        <w:t>（一）投标函</w:t>
      </w:r>
    </w:p>
    <w:p w14:paraId="55080909">
      <w:pPr>
        <w:tabs>
          <w:tab w:val="left" w:pos="1273"/>
        </w:tabs>
        <w:spacing w:before="160" w:line="221" w:lineRule="auto"/>
        <w:ind w:left="1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27"/>
          <w:sz w:val="21"/>
          <w:szCs w:val="21"/>
          <w:highlight w:val="none"/>
        </w:rPr>
        <w:t xml:space="preserve"> </w:t>
      </w:r>
      <w:r>
        <w:rPr>
          <w:rFonts w:ascii="宋体" w:hAnsi="宋体" w:eastAsia="宋体" w:cs="宋体"/>
          <w:color w:val="auto"/>
          <w:spacing w:val="-24"/>
          <w:w w:val="98"/>
          <w:sz w:val="21"/>
          <w:szCs w:val="21"/>
          <w:highlight w:val="none"/>
        </w:rPr>
        <w:t>（招标人名称</w:t>
      </w:r>
      <w:r>
        <w:rPr>
          <w:rFonts w:ascii="宋体" w:hAnsi="宋体" w:eastAsia="宋体" w:cs="宋体"/>
          <w:color w:val="auto"/>
          <w:spacing w:val="-13"/>
          <w:sz w:val="21"/>
          <w:szCs w:val="21"/>
          <w:highlight w:val="none"/>
        </w:rPr>
        <w:t>）：</w:t>
      </w:r>
    </w:p>
    <w:p w14:paraId="45A8B9D8">
      <w:pPr>
        <w:spacing w:before="189" w:line="387" w:lineRule="auto"/>
        <w:ind w:left="19" w:right="1" w:firstLine="438"/>
        <w:jc w:val="both"/>
        <w:rPr>
          <w:rFonts w:ascii="宋体" w:hAnsi="宋体" w:eastAsia="宋体" w:cs="宋体"/>
          <w:color w:val="auto"/>
          <w:sz w:val="21"/>
          <w:szCs w:val="21"/>
          <w:highlight w:val="none"/>
        </w:rPr>
      </w:pPr>
      <w:r>
        <w:rPr>
          <w:rFonts w:ascii="Times New Roman" w:hAnsi="Times New Roman" w:eastAsia="Times New Roman" w:cs="Times New Roman"/>
          <w:color w:val="auto"/>
          <w:spacing w:val="-6"/>
          <w:sz w:val="21"/>
          <w:szCs w:val="21"/>
          <w:highlight w:val="none"/>
        </w:rPr>
        <w:t>1.</w:t>
      </w:r>
      <w:r>
        <w:rPr>
          <w:rFonts w:ascii="宋体" w:hAnsi="宋体" w:eastAsia="宋体" w:cs="宋体"/>
          <w:color w:val="auto"/>
          <w:spacing w:val="-6"/>
          <w:sz w:val="21"/>
          <w:szCs w:val="21"/>
          <w:highlight w:val="none"/>
        </w:rPr>
        <w:t>我方已仔细研究了</w:t>
      </w:r>
      <w:r>
        <w:rPr>
          <w:rFonts w:ascii="宋体" w:hAnsi="宋体" w:eastAsia="宋体" w:cs="宋体"/>
          <w:color w:val="auto"/>
          <w:spacing w:val="-89"/>
          <w:sz w:val="21"/>
          <w:szCs w:val="21"/>
          <w:highlight w:val="none"/>
        </w:rPr>
        <w:t xml:space="preserve"> </w:t>
      </w:r>
      <w:r>
        <w:rPr>
          <w:rFonts w:ascii="宋体" w:hAnsi="宋体" w:eastAsia="宋体" w:cs="宋体"/>
          <w:color w:val="auto"/>
          <w:spacing w:val="9"/>
          <w:sz w:val="21"/>
          <w:szCs w:val="21"/>
          <w:highlight w:val="none"/>
          <w:u w:val="single" w:color="auto"/>
        </w:rPr>
        <w:t xml:space="preserve">       </w:t>
      </w:r>
      <w:r>
        <w:rPr>
          <w:rFonts w:ascii="宋体" w:hAnsi="宋体" w:eastAsia="宋体" w:cs="宋体"/>
          <w:color w:val="auto"/>
          <w:spacing w:val="-23"/>
          <w:sz w:val="21"/>
          <w:szCs w:val="21"/>
          <w:highlight w:val="none"/>
        </w:rPr>
        <w:t xml:space="preserve"> </w:t>
      </w:r>
      <w:r>
        <w:rPr>
          <w:rFonts w:ascii="宋体" w:hAnsi="宋体" w:eastAsia="宋体" w:cs="宋体"/>
          <w:color w:val="auto"/>
          <w:spacing w:val="-6"/>
          <w:sz w:val="21"/>
          <w:szCs w:val="21"/>
          <w:highlight w:val="none"/>
        </w:rPr>
        <w:t>（标段名称） 项目招标文件的全部内容，愿意以【人民币</w:t>
      </w:r>
      <w:r>
        <w:rPr>
          <w:rFonts w:ascii="宋体" w:hAnsi="宋体" w:eastAsia="宋体" w:cs="宋体"/>
          <w:color w:val="auto"/>
          <w:sz w:val="21"/>
          <w:szCs w:val="21"/>
          <w:highlight w:val="none"/>
        </w:rPr>
        <w:t xml:space="preserve"> </w:t>
      </w:r>
      <w:r>
        <w:rPr>
          <w:rFonts w:ascii="宋体" w:hAnsi="宋体" w:eastAsia="宋体" w:cs="宋体"/>
          <w:color w:val="auto"/>
          <w:spacing w:val="-8"/>
          <w:sz w:val="21"/>
          <w:szCs w:val="21"/>
          <w:highlight w:val="none"/>
        </w:rPr>
        <w:t xml:space="preserve">（大写）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2"/>
          <w:sz w:val="21"/>
          <w:szCs w:val="21"/>
          <w:highlight w:val="none"/>
        </w:rPr>
        <w:t xml:space="preserve"> </w:t>
      </w:r>
      <w:r>
        <w:rPr>
          <w:rFonts w:ascii="宋体" w:hAnsi="宋体" w:eastAsia="宋体" w:cs="宋体"/>
          <w:color w:val="auto"/>
          <w:spacing w:val="-8"/>
          <w:sz w:val="21"/>
          <w:szCs w:val="21"/>
          <w:highlight w:val="none"/>
        </w:rPr>
        <w:t>元(</w:t>
      </w:r>
      <w:r>
        <w:rPr>
          <w:rFonts w:ascii="Times New Roman" w:hAnsi="Times New Roman" w:eastAsia="Times New Roman" w:cs="Times New Roman"/>
          <w:color w:val="auto"/>
          <w:spacing w:val="-8"/>
          <w:sz w:val="21"/>
          <w:szCs w:val="21"/>
          <w:highlight w:val="none"/>
        </w:rPr>
        <w:t>¥</w:t>
      </w:r>
      <w:r>
        <w:rPr>
          <w:rFonts w:ascii="Times New Roman" w:hAnsi="Times New Roman" w:eastAsia="Times New Roman" w:cs="Times New Roman"/>
          <w:color w:val="auto"/>
          <w:spacing w:val="-8"/>
          <w:sz w:val="21"/>
          <w:szCs w:val="21"/>
          <w:highlight w:val="none"/>
          <w:u w:val="single" w:color="auto"/>
        </w:rPr>
        <w:t xml:space="preserve">              </w:t>
      </w:r>
      <w:r>
        <w:rPr>
          <w:rFonts w:ascii="Times New Roman" w:hAnsi="Times New Roman" w:eastAsia="Times New Roman" w:cs="Times New Roman"/>
          <w:color w:val="auto"/>
          <w:spacing w:val="-42"/>
          <w:sz w:val="21"/>
          <w:szCs w:val="21"/>
          <w:highlight w:val="none"/>
        </w:rPr>
        <w:t xml:space="preserve"> </w:t>
      </w:r>
      <w:r>
        <w:rPr>
          <w:rFonts w:ascii="宋体" w:hAnsi="宋体" w:eastAsia="宋体" w:cs="宋体"/>
          <w:color w:val="auto"/>
          <w:spacing w:val="-8"/>
          <w:sz w:val="21"/>
          <w:szCs w:val="21"/>
          <w:highlight w:val="none"/>
        </w:rPr>
        <w:t>元）】【综合费率</w:t>
      </w:r>
      <w:r>
        <w:rPr>
          <w:rFonts w:ascii="宋体" w:hAnsi="宋体" w:eastAsia="宋体" w:cs="宋体"/>
          <w:color w:val="auto"/>
          <w:spacing w:val="-8"/>
          <w:sz w:val="21"/>
          <w:szCs w:val="21"/>
          <w:highlight w:val="none"/>
          <w:u w:val="single" w:color="auto"/>
        </w:rPr>
        <w:t xml:space="preserve"> </w:t>
      </w:r>
      <w:r>
        <w:rPr>
          <w:rFonts w:ascii="宋体" w:hAnsi="宋体" w:eastAsia="宋体" w:cs="宋体"/>
          <w:color w:val="auto"/>
          <w:spacing w:val="-9"/>
          <w:sz w:val="21"/>
          <w:szCs w:val="21"/>
          <w:highlight w:val="none"/>
          <w:u w:val="single" w:color="auto"/>
        </w:rPr>
        <w:t xml:space="preserve">   </w:t>
      </w:r>
      <w:r>
        <w:rPr>
          <w:rFonts w:ascii="Times New Roman" w:hAnsi="Times New Roman" w:eastAsia="Times New Roman" w:cs="Times New Roman"/>
          <w:color w:val="auto"/>
          <w:spacing w:val="-9"/>
          <w:sz w:val="21"/>
          <w:szCs w:val="21"/>
          <w:highlight w:val="none"/>
        </w:rPr>
        <w:t>/</w:t>
      </w:r>
      <w:r>
        <w:rPr>
          <w:rFonts w:ascii="宋体" w:hAnsi="宋体" w:eastAsia="宋体" w:cs="宋体"/>
          <w:color w:val="auto"/>
          <w:spacing w:val="-9"/>
          <w:sz w:val="21"/>
          <w:szCs w:val="21"/>
          <w:highlight w:val="none"/>
        </w:rPr>
        <w:t>下浮率</w:t>
      </w:r>
      <w:r>
        <w:rPr>
          <w:rFonts w:ascii="宋体" w:hAnsi="宋体" w:eastAsia="宋体" w:cs="宋体"/>
          <w:color w:val="auto"/>
          <w:spacing w:val="-9"/>
          <w:sz w:val="21"/>
          <w:szCs w:val="21"/>
          <w:highlight w:val="none"/>
          <w:u w:val="single" w:color="auto"/>
        </w:rPr>
        <w:t xml:space="preserve">    </w:t>
      </w:r>
      <w:r>
        <w:rPr>
          <w:rFonts w:ascii="Times New Roman" w:hAnsi="Times New Roman" w:eastAsia="Times New Roman" w:cs="Times New Roman"/>
          <w:color w:val="auto"/>
          <w:spacing w:val="-9"/>
          <w:sz w:val="21"/>
          <w:szCs w:val="21"/>
          <w:highlight w:val="none"/>
        </w:rPr>
        <w:t>/</w:t>
      </w:r>
      <w:r>
        <w:rPr>
          <w:rFonts w:ascii="宋体" w:hAnsi="宋体" w:eastAsia="宋体" w:cs="宋体"/>
          <w:color w:val="auto"/>
          <w:spacing w:val="-9"/>
          <w:sz w:val="21"/>
          <w:szCs w:val="21"/>
          <w:highlight w:val="none"/>
        </w:rPr>
        <w:t>综合单价</w:t>
      </w:r>
      <w:r>
        <w:rPr>
          <w:rFonts w:ascii="宋体" w:hAnsi="宋体" w:eastAsia="宋体" w:cs="宋体"/>
          <w:color w:val="auto"/>
          <w:spacing w:val="-104"/>
          <w:sz w:val="21"/>
          <w:szCs w:val="21"/>
          <w:highlight w:val="none"/>
        </w:rPr>
        <w:t xml:space="preserve"> </w:t>
      </w:r>
      <w:r>
        <w:rPr>
          <w:rFonts w:ascii="宋体" w:hAnsi="宋体" w:eastAsia="宋体" w:cs="宋体"/>
          <w:color w:val="auto"/>
          <w:spacing w:val="18"/>
          <w:sz w:val="21"/>
          <w:szCs w:val="21"/>
          <w:highlight w:val="none"/>
          <w:u w:val="single" w:color="auto"/>
        </w:rPr>
        <w:t xml:space="preserve">   </w:t>
      </w:r>
      <w:r>
        <w:rPr>
          <w:rFonts w:ascii="宋体" w:hAnsi="宋体" w:eastAsia="宋体" w:cs="宋体"/>
          <w:color w:val="auto"/>
          <w:spacing w:val="-44"/>
          <w:sz w:val="21"/>
          <w:szCs w:val="21"/>
          <w:highlight w:val="none"/>
        </w:rPr>
        <w:t xml:space="preserve"> </w:t>
      </w:r>
      <w:r>
        <w:rPr>
          <w:rFonts w:ascii="宋体" w:hAnsi="宋体" w:eastAsia="宋体" w:cs="宋体"/>
          <w:color w:val="auto"/>
          <w:spacing w:val="-9"/>
          <w:sz w:val="21"/>
          <w:szCs w:val="21"/>
          <w:highlight w:val="none"/>
        </w:rPr>
        <w:t>（如有）】的投</w:t>
      </w:r>
      <w:r>
        <w:rPr>
          <w:rFonts w:ascii="宋体" w:hAnsi="宋体" w:eastAsia="宋体" w:cs="宋体"/>
          <w:color w:val="auto"/>
          <w:sz w:val="21"/>
          <w:szCs w:val="21"/>
          <w:highlight w:val="none"/>
        </w:rPr>
        <w:t xml:space="preserve"> </w:t>
      </w:r>
      <w:r>
        <w:rPr>
          <w:rFonts w:ascii="宋体" w:hAnsi="宋体" w:eastAsia="宋体" w:cs="宋体"/>
          <w:color w:val="auto"/>
          <w:spacing w:val="-11"/>
          <w:sz w:val="21"/>
          <w:szCs w:val="21"/>
          <w:highlight w:val="none"/>
        </w:rPr>
        <w:t>标报价，</w:t>
      </w:r>
      <w:r>
        <w:rPr>
          <w:rFonts w:ascii="宋体" w:hAnsi="宋体" w:eastAsia="宋体" w:cs="宋体"/>
          <w:color w:val="auto"/>
          <w:spacing w:val="20"/>
          <w:sz w:val="21"/>
          <w:szCs w:val="21"/>
          <w:highlight w:val="none"/>
        </w:rPr>
        <w:t xml:space="preserve"> </w:t>
      </w:r>
      <w:r>
        <w:rPr>
          <w:rFonts w:ascii="宋体" w:hAnsi="宋体" w:eastAsia="宋体" w:cs="宋体"/>
          <w:color w:val="auto"/>
          <w:spacing w:val="-11"/>
          <w:sz w:val="21"/>
          <w:szCs w:val="21"/>
          <w:highlight w:val="none"/>
        </w:rPr>
        <w:t>工期</w:t>
      </w:r>
      <w:r>
        <w:rPr>
          <w:rFonts w:ascii="宋体" w:hAnsi="宋体" w:eastAsia="宋体" w:cs="宋体"/>
          <w:color w:val="auto"/>
          <w:spacing w:val="-104"/>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58"/>
          <w:sz w:val="21"/>
          <w:szCs w:val="21"/>
          <w:highlight w:val="none"/>
        </w:rPr>
        <w:t xml:space="preserve"> </w:t>
      </w:r>
      <w:r>
        <w:rPr>
          <w:rFonts w:ascii="宋体" w:hAnsi="宋体" w:eastAsia="宋体" w:cs="宋体"/>
          <w:color w:val="auto"/>
          <w:spacing w:val="-11"/>
          <w:sz w:val="21"/>
          <w:szCs w:val="21"/>
          <w:highlight w:val="none"/>
        </w:rPr>
        <w:t>日历天， 按合同约定实施和完成承包工程，</w:t>
      </w:r>
      <w:r>
        <w:rPr>
          <w:rFonts w:ascii="宋体" w:hAnsi="宋体" w:eastAsia="宋体" w:cs="宋体"/>
          <w:color w:val="auto"/>
          <w:spacing w:val="51"/>
          <w:sz w:val="21"/>
          <w:szCs w:val="21"/>
          <w:highlight w:val="none"/>
        </w:rPr>
        <w:t xml:space="preserve"> </w:t>
      </w:r>
      <w:r>
        <w:rPr>
          <w:rFonts w:ascii="宋体" w:hAnsi="宋体" w:eastAsia="宋体" w:cs="宋体"/>
          <w:color w:val="auto"/>
          <w:spacing w:val="-11"/>
          <w:sz w:val="21"/>
          <w:szCs w:val="21"/>
          <w:highlight w:val="none"/>
        </w:rPr>
        <w:t>修补工程中</w:t>
      </w:r>
      <w:r>
        <w:rPr>
          <w:rFonts w:ascii="宋体" w:hAnsi="宋体" w:eastAsia="宋体" w:cs="宋体"/>
          <w:color w:val="auto"/>
          <w:spacing w:val="-12"/>
          <w:sz w:val="21"/>
          <w:szCs w:val="21"/>
          <w:highlight w:val="none"/>
        </w:rPr>
        <w:t>的任何缺陷，工</w:t>
      </w:r>
    </w:p>
    <w:p w14:paraId="2DE04E5F">
      <w:pPr>
        <w:spacing w:before="1" w:line="221"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程质量达到</w:t>
      </w:r>
      <w:r>
        <w:rPr>
          <w:rFonts w:ascii="宋体" w:hAnsi="宋体" w:eastAsia="宋体" w:cs="宋体"/>
          <w:color w:val="auto"/>
          <w:spacing w:val="-101"/>
          <w:sz w:val="21"/>
          <w:szCs w:val="21"/>
          <w:highlight w:val="none"/>
        </w:rPr>
        <w:t xml:space="preserve"> </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1"/>
          <w:sz w:val="21"/>
          <w:szCs w:val="21"/>
          <w:highlight w:val="none"/>
        </w:rPr>
        <w:t>。</w:t>
      </w:r>
    </w:p>
    <w:p w14:paraId="73E48821">
      <w:pPr>
        <w:spacing w:before="219" w:line="422" w:lineRule="auto"/>
        <w:ind w:right="1"/>
        <w:jc w:val="right"/>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 xml:space="preserve">在我方的上述投标总报价中， 包括：安全文明施工费 </w:t>
      </w:r>
      <w:r>
        <w:rPr>
          <w:rFonts w:ascii="Times New Roman" w:hAnsi="Times New Roman" w:eastAsia="Times New Roman" w:cs="Times New Roman"/>
          <w:color w:val="auto"/>
          <w:spacing w:val="-2"/>
          <w:sz w:val="21"/>
          <w:szCs w:val="21"/>
          <w:highlight w:val="none"/>
        </w:rPr>
        <w:t>¥</w:t>
      </w:r>
      <w:r>
        <w:rPr>
          <w:rFonts w:ascii="宋体" w:hAnsi="宋体" w:eastAsia="宋体" w:cs="宋体"/>
          <w:color w:val="auto"/>
          <w:spacing w:val="-2"/>
          <w:sz w:val="21"/>
          <w:szCs w:val="21"/>
          <w:highlight w:val="none"/>
        </w:rPr>
        <w:t>：</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95"/>
          <w:sz w:val="21"/>
          <w:szCs w:val="21"/>
          <w:highlight w:val="none"/>
        </w:rPr>
        <w:t xml:space="preserve"> </w:t>
      </w:r>
      <w:r>
        <w:rPr>
          <w:rFonts w:ascii="宋体" w:hAnsi="宋体" w:eastAsia="宋体" w:cs="宋体"/>
          <w:color w:val="auto"/>
          <w:spacing w:val="-3"/>
          <w:sz w:val="21"/>
          <w:szCs w:val="21"/>
          <w:highlight w:val="none"/>
        </w:rPr>
        <w:t>元；暂列金额</w:t>
      </w:r>
    </w:p>
    <w:p w14:paraId="5E2F8892">
      <w:pPr>
        <w:spacing w:line="219" w:lineRule="auto"/>
        <w:ind w:left="10"/>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90"/>
          <w:sz w:val="21"/>
          <w:szCs w:val="21"/>
          <w:highlight w:val="none"/>
        </w:rPr>
        <w:t xml:space="preserve"> </w:t>
      </w:r>
      <w:r>
        <w:rPr>
          <w:rFonts w:ascii="宋体" w:hAnsi="宋体" w:eastAsia="宋体" w:cs="宋体"/>
          <w:color w:val="auto"/>
          <w:spacing w:val="-1"/>
          <w:sz w:val="21"/>
          <w:szCs w:val="21"/>
          <w:highlight w:val="none"/>
        </w:rPr>
        <w:t xml:space="preserve">元；专业工程暂估价 </w:t>
      </w:r>
      <w:r>
        <w:rPr>
          <w:rFonts w:ascii="Times New Roman" w:hAnsi="Times New Roman" w:eastAsia="Times New Roman" w:cs="Times New Roman"/>
          <w:color w:val="auto"/>
          <w:spacing w:val="-1"/>
          <w:sz w:val="21"/>
          <w:szCs w:val="21"/>
          <w:highlight w:val="none"/>
        </w:rPr>
        <w:t>¥</w:t>
      </w:r>
      <w:r>
        <w:rPr>
          <w:rFonts w:ascii="宋体" w:hAnsi="宋体" w:eastAsia="宋体" w:cs="宋体"/>
          <w:color w:val="auto"/>
          <w:spacing w:val="-1"/>
          <w:sz w:val="21"/>
          <w:szCs w:val="21"/>
          <w:highlight w:val="none"/>
        </w:rPr>
        <w:t>：</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95"/>
          <w:sz w:val="21"/>
          <w:szCs w:val="21"/>
          <w:highlight w:val="none"/>
        </w:rPr>
        <w:t xml:space="preserve"> </w:t>
      </w:r>
      <w:r>
        <w:rPr>
          <w:rFonts w:ascii="宋体" w:hAnsi="宋体" w:eastAsia="宋体" w:cs="宋体"/>
          <w:color w:val="auto"/>
          <w:spacing w:val="-1"/>
          <w:sz w:val="21"/>
          <w:szCs w:val="21"/>
          <w:highlight w:val="none"/>
        </w:rPr>
        <w:t>元。</w:t>
      </w:r>
    </w:p>
    <w:p w14:paraId="7004FA48">
      <w:pPr>
        <w:spacing w:before="231" w:line="397" w:lineRule="auto"/>
        <w:ind w:right="2"/>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2.</w:t>
      </w:r>
      <w:r>
        <w:rPr>
          <w:rFonts w:ascii="宋体" w:hAnsi="宋体" w:eastAsia="宋体" w:cs="宋体"/>
          <w:color w:val="auto"/>
          <w:spacing w:val="-2"/>
          <w:sz w:val="21"/>
          <w:szCs w:val="21"/>
          <w:highlight w:val="none"/>
        </w:rPr>
        <w:t>我方拟派的项目经理</w:t>
      </w:r>
      <w:r>
        <w:rPr>
          <w:rFonts w:ascii="宋体" w:hAnsi="宋体" w:eastAsia="宋体" w:cs="宋体"/>
          <w:color w:val="auto"/>
          <w:spacing w:val="-20"/>
          <w:sz w:val="21"/>
          <w:szCs w:val="21"/>
          <w:highlight w:val="none"/>
        </w:rPr>
        <w:t>：</w:t>
      </w:r>
      <w:r>
        <w:rPr>
          <w:rFonts w:ascii="宋体" w:hAnsi="宋体" w:eastAsia="宋体" w:cs="宋体"/>
          <w:color w:val="auto"/>
          <w:spacing w:val="10"/>
          <w:sz w:val="21"/>
          <w:szCs w:val="21"/>
          <w:highlight w:val="none"/>
          <w:u w:val="single" w:color="auto"/>
        </w:rPr>
        <w:t xml:space="preserve">       </w:t>
      </w:r>
      <w:r>
        <w:rPr>
          <w:rFonts w:ascii="宋体" w:hAnsi="宋体" w:eastAsia="宋体" w:cs="宋体"/>
          <w:color w:val="auto"/>
          <w:spacing w:val="-28"/>
          <w:sz w:val="21"/>
          <w:szCs w:val="21"/>
          <w:highlight w:val="none"/>
        </w:rPr>
        <w:t xml:space="preserve"> </w:t>
      </w:r>
      <w:r>
        <w:rPr>
          <w:rFonts w:ascii="宋体" w:hAnsi="宋体" w:eastAsia="宋体" w:cs="宋体"/>
          <w:color w:val="auto"/>
          <w:spacing w:val="-20"/>
          <w:sz w:val="21"/>
          <w:szCs w:val="21"/>
          <w:highlight w:val="none"/>
        </w:rPr>
        <w:t>（</w:t>
      </w:r>
      <w:r>
        <w:rPr>
          <w:rFonts w:ascii="宋体" w:hAnsi="宋体" w:eastAsia="宋体" w:cs="宋体"/>
          <w:color w:val="auto"/>
          <w:spacing w:val="-2"/>
          <w:sz w:val="21"/>
          <w:szCs w:val="21"/>
          <w:highlight w:val="none"/>
        </w:rPr>
        <w:t>姓名</w:t>
      </w:r>
      <w:r>
        <w:rPr>
          <w:rFonts w:ascii="宋体" w:hAnsi="宋体" w:eastAsia="宋体" w:cs="宋体"/>
          <w:color w:val="auto"/>
          <w:spacing w:val="-20"/>
          <w:sz w:val="21"/>
          <w:szCs w:val="21"/>
          <w:highlight w:val="none"/>
        </w:rPr>
        <w:t>），</w:t>
      </w:r>
      <w:r>
        <w:rPr>
          <w:rFonts w:ascii="宋体" w:hAnsi="宋体" w:eastAsia="宋体" w:cs="宋体"/>
          <w:color w:val="auto"/>
          <w:spacing w:val="-2"/>
          <w:sz w:val="21"/>
          <w:szCs w:val="21"/>
          <w:highlight w:val="none"/>
        </w:rPr>
        <w:t>证书名称</w:t>
      </w:r>
      <w:r>
        <w:rPr>
          <w:rFonts w:ascii="宋体" w:hAnsi="宋体" w:eastAsia="宋体" w:cs="宋体"/>
          <w:color w:val="auto"/>
          <w:spacing w:val="-20"/>
          <w:sz w:val="21"/>
          <w:szCs w:val="21"/>
          <w:highlight w:val="none"/>
        </w:rPr>
        <w:t>：</w:t>
      </w:r>
      <w:r>
        <w:rPr>
          <w:rFonts w:ascii="宋体" w:hAnsi="宋体" w:eastAsia="宋体" w:cs="宋体"/>
          <w:color w:val="auto"/>
          <w:spacing w:val="13"/>
          <w:sz w:val="21"/>
          <w:szCs w:val="21"/>
          <w:highlight w:val="none"/>
          <w:u w:val="single" w:color="auto"/>
        </w:rPr>
        <w:t xml:space="preserve">      </w:t>
      </w:r>
      <w:r>
        <w:rPr>
          <w:rFonts w:ascii="宋体" w:hAnsi="宋体" w:eastAsia="宋体" w:cs="宋体"/>
          <w:color w:val="auto"/>
          <w:spacing w:val="-77"/>
          <w:sz w:val="21"/>
          <w:szCs w:val="21"/>
          <w:highlight w:val="none"/>
        </w:rPr>
        <w:t xml:space="preserve"> </w:t>
      </w:r>
      <w:r>
        <w:rPr>
          <w:rFonts w:ascii="宋体" w:hAnsi="宋体" w:eastAsia="宋体" w:cs="宋体"/>
          <w:color w:val="auto"/>
          <w:spacing w:val="-20"/>
          <w:sz w:val="21"/>
          <w:szCs w:val="21"/>
          <w:highlight w:val="none"/>
        </w:rPr>
        <w:t>，</w:t>
      </w:r>
      <w:r>
        <w:rPr>
          <w:rFonts w:ascii="宋体" w:hAnsi="宋体" w:eastAsia="宋体" w:cs="宋体"/>
          <w:color w:val="auto"/>
          <w:spacing w:val="-2"/>
          <w:sz w:val="21"/>
          <w:szCs w:val="21"/>
          <w:highlight w:val="none"/>
        </w:rPr>
        <w:t>证书编号：</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3"/>
          <w:sz w:val="21"/>
          <w:szCs w:val="21"/>
          <w:highlight w:val="none"/>
        </w:rPr>
        <w:t>。</w:t>
      </w:r>
    </w:p>
    <w:p w14:paraId="047259FD">
      <w:pPr>
        <w:spacing w:line="220"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我方承诺在投标有效期</w:t>
      </w:r>
      <w:r>
        <w:rPr>
          <w:rFonts w:ascii="宋体" w:hAnsi="宋体" w:eastAsia="宋体" w:cs="宋体"/>
          <w:color w:val="auto"/>
          <w:spacing w:val="-93"/>
          <w:sz w:val="21"/>
          <w:szCs w:val="21"/>
          <w:highlight w:val="none"/>
        </w:rPr>
        <w:t xml:space="preserve"> </w:t>
      </w:r>
      <w:r>
        <w:rPr>
          <w:rFonts w:ascii="宋体" w:hAnsi="宋体" w:eastAsia="宋体" w:cs="宋体"/>
          <w:color w:val="auto"/>
          <w:spacing w:val="26"/>
          <w:sz w:val="21"/>
          <w:szCs w:val="21"/>
          <w:highlight w:val="none"/>
          <w:u w:val="single" w:color="auto"/>
        </w:rPr>
        <w:t xml:space="preserve">    </w:t>
      </w:r>
      <w:r>
        <w:rPr>
          <w:rFonts w:ascii="宋体" w:hAnsi="宋体" w:eastAsia="宋体" w:cs="宋体"/>
          <w:color w:val="auto"/>
          <w:spacing w:val="-93"/>
          <w:sz w:val="21"/>
          <w:szCs w:val="21"/>
          <w:highlight w:val="none"/>
        </w:rPr>
        <w:t xml:space="preserve"> </w:t>
      </w:r>
      <w:r>
        <w:rPr>
          <w:rFonts w:ascii="宋体" w:hAnsi="宋体" w:eastAsia="宋体" w:cs="宋体"/>
          <w:color w:val="auto"/>
          <w:spacing w:val="-2"/>
          <w:sz w:val="21"/>
          <w:szCs w:val="21"/>
          <w:highlight w:val="none"/>
        </w:rPr>
        <w:t>天内不修改、撤销投标文件。</w:t>
      </w:r>
    </w:p>
    <w:p w14:paraId="11CAC76A">
      <w:pPr>
        <w:spacing w:before="187" w:line="388"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4.</w:t>
      </w:r>
      <w:r>
        <w:rPr>
          <w:rFonts w:ascii="宋体" w:hAnsi="宋体" w:eastAsia="宋体" w:cs="宋体"/>
          <w:color w:val="auto"/>
          <w:spacing w:val="-2"/>
          <w:sz w:val="21"/>
          <w:szCs w:val="21"/>
          <w:highlight w:val="none"/>
        </w:rPr>
        <w:t>随同本投标函提交投标保证金一份，</w:t>
      </w:r>
      <w:r>
        <w:rPr>
          <w:rFonts w:ascii="宋体" w:hAnsi="宋体" w:eastAsia="宋体" w:cs="宋体"/>
          <w:color w:val="auto"/>
          <w:spacing w:val="-22"/>
          <w:sz w:val="21"/>
          <w:szCs w:val="21"/>
          <w:highlight w:val="none"/>
        </w:rPr>
        <w:t xml:space="preserve"> </w:t>
      </w:r>
      <w:r>
        <w:rPr>
          <w:rFonts w:ascii="宋体" w:hAnsi="宋体" w:eastAsia="宋体" w:cs="宋体"/>
          <w:color w:val="auto"/>
          <w:spacing w:val="-2"/>
          <w:sz w:val="21"/>
          <w:szCs w:val="21"/>
          <w:highlight w:val="none"/>
        </w:rPr>
        <w:t>金额为人民币（大</w:t>
      </w:r>
      <w:r>
        <w:rPr>
          <w:rFonts w:ascii="宋体" w:hAnsi="宋体" w:eastAsia="宋体" w:cs="宋体"/>
          <w:color w:val="auto"/>
          <w:spacing w:val="-3"/>
          <w:sz w:val="21"/>
          <w:szCs w:val="21"/>
          <w:highlight w:val="none"/>
        </w:rPr>
        <w:t xml:space="preserve">写） </w:t>
      </w:r>
      <w:r>
        <w:rPr>
          <w:rFonts w:ascii="宋体" w:hAnsi="宋体" w:eastAsia="宋体" w:cs="宋体"/>
          <w:color w:val="auto"/>
          <w:spacing w:val="8"/>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3"/>
          <w:sz w:val="21"/>
          <w:szCs w:val="21"/>
          <w:highlight w:val="none"/>
        </w:rPr>
        <w:t>元(</w:t>
      </w:r>
      <w:r>
        <w:rPr>
          <w:rFonts w:ascii="Times New Roman" w:hAnsi="Times New Roman" w:eastAsia="Times New Roman" w:cs="Times New Roman"/>
          <w:color w:val="auto"/>
          <w:spacing w:val="-3"/>
          <w:sz w:val="21"/>
          <w:szCs w:val="21"/>
          <w:highlight w:val="none"/>
        </w:rPr>
        <w:t>¥</w:t>
      </w:r>
      <w:r>
        <w:rPr>
          <w:rFonts w:ascii="Times New Roman" w:hAnsi="Times New Roman" w:eastAsia="Times New Roman" w:cs="Times New Roman"/>
          <w:color w:val="auto"/>
          <w:spacing w:val="-3"/>
          <w:sz w:val="21"/>
          <w:szCs w:val="21"/>
          <w:highlight w:val="none"/>
          <w:u w:val="single" w:color="auto"/>
        </w:rPr>
        <w:t xml:space="preserve">            </w:t>
      </w:r>
      <w:r>
        <w:rPr>
          <w:rFonts w:ascii="Times New Roman" w:hAnsi="Times New Roman" w:eastAsia="Times New Roman" w:cs="Times New Roman"/>
          <w:color w:val="auto"/>
          <w:spacing w:val="-22"/>
          <w:sz w:val="21"/>
          <w:szCs w:val="21"/>
          <w:highlight w:val="none"/>
        </w:rPr>
        <w:t xml:space="preserve"> </w:t>
      </w:r>
      <w:r>
        <w:rPr>
          <w:rFonts w:ascii="宋体" w:hAnsi="宋体" w:eastAsia="宋体" w:cs="宋体"/>
          <w:color w:val="auto"/>
          <w:spacing w:val="-3"/>
          <w:sz w:val="21"/>
          <w:szCs w:val="21"/>
          <w:highlight w:val="none"/>
        </w:rPr>
        <w:t>)。</w:t>
      </w:r>
    </w:p>
    <w:p w14:paraId="3019B668">
      <w:pPr>
        <w:spacing w:line="221" w:lineRule="auto"/>
        <w:ind w:left="44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5.</w:t>
      </w:r>
      <w:r>
        <w:rPr>
          <w:rFonts w:ascii="宋体" w:hAnsi="宋体" w:eastAsia="宋体" w:cs="宋体"/>
          <w:color w:val="auto"/>
          <w:spacing w:val="-1"/>
          <w:sz w:val="21"/>
          <w:szCs w:val="21"/>
          <w:highlight w:val="none"/>
        </w:rPr>
        <w:t>如我方中标：</w:t>
      </w:r>
    </w:p>
    <w:p w14:paraId="6CF98B0F">
      <w:pPr>
        <w:spacing w:before="190" w:line="437" w:lineRule="exact"/>
        <w:ind w:left="447"/>
        <w:rPr>
          <w:rFonts w:ascii="宋体" w:hAnsi="宋体" w:eastAsia="宋体" w:cs="宋体"/>
          <w:color w:val="auto"/>
          <w:sz w:val="21"/>
          <w:szCs w:val="21"/>
          <w:highlight w:val="none"/>
        </w:rPr>
      </w:pPr>
      <w:r>
        <w:rPr>
          <w:rFonts w:ascii="宋体" w:hAnsi="宋体" w:eastAsia="宋体" w:cs="宋体"/>
          <w:color w:val="auto"/>
          <w:position w:val="17"/>
          <w:sz w:val="21"/>
          <w:szCs w:val="21"/>
          <w:highlight w:val="none"/>
        </w:rPr>
        <w:t>（</w:t>
      </w:r>
      <w:r>
        <w:rPr>
          <w:rFonts w:ascii="Times New Roman" w:hAnsi="Times New Roman" w:eastAsia="Times New Roman" w:cs="Times New Roman"/>
          <w:color w:val="auto"/>
          <w:position w:val="17"/>
          <w:sz w:val="21"/>
          <w:szCs w:val="21"/>
          <w:highlight w:val="none"/>
        </w:rPr>
        <w:t>1</w:t>
      </w:r>
      <w:r>
        <w:rPr>
          <w:rFonts w:ascii="宋体" w:hAnsi="宋体" w:eastAsia="宋体" w:cs="宋体"/>
          <w:color w:val="auto"/>
          <w:position w:val="17"/>
          <w:sz w:val="21"/>
          <w:szCs w:val="21"/>
          <w:highlight w:val="none"/>
        </w:rPr>
        <w:t>）我方承诺在收到中标通知书后，在中标通知书规定</w:t>
      </w:r>
      <w:r>
        <w:rPr>
          <w:rFonts w:ascii="宋体" w:hAnsi="宋体" w:eastAsia="宋体" w:cs="宋体"/>
          <w:color w:val="auto"/>
          <w:spacing w:val="-1"/>
          <w:position w:val="17"/>
          <w:sz w:val="21"/>
          <w:szCs w:val="21"/>
          <w:highlight w:val="none"/>
        </w:rPr>
        <w:t>的期限内与你方签订合同。</w:t>
      </w:r>
    </w:p>
    <w:p w14:paraId="7155A8E7">
      <w:pPr>
        <w:spacing w:before="1" w:line="219"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）随同本投标函递交的投标函附录属于合同文件的组成部分。</w:t>
      </w:r>
    </w:p>
    <w:p w14:paraId="39008056">
      <w:pPr>
        <w:spacing w:before="191"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3</w:t>
      </w:r>
      <w:r>
        <w:rPr>
          <w:rFonts w:ascii="宋体" w:hAnsi="宋体" w:eastAsia="宋体" w:cs="宋体"/>
          <w:color w:val="auto"/>
          <w:spacing w:val="-1"/>
          <w:sz w:val="21"/>
          <w:szCs w:val="21"/>
          <w:highlight w:val="none"/>
        </w:rPr>
        <w:t>）我方承诺按照招标文件规定向你方递交履约保证金。</w:t>
      </w:r>
    </w:p>
    <w:p w14:paraId="00010D1A">
      <w:pPr>
        <w:spacing w:before="191" w:line="436" w:lineRule="exact"/>
        <w:ind w:left="447"/>
        <w:rPr>
          <w:rFonts w:ascii="宋体" w:hAnsi="宋体" w:eastAsia="宋体" w:cs="宋体"/>
          <w:color w:val="auto"/>
          <w:sz w:val="21"/>
          <w:szCs w:val="21"/>
          <w:highlight w:val="none"/>
        </w:rPr>
      </w:pPr>
      <w:r>
        <w:rPr>
          <w:rFonts w:ascii="宋体" w:hAnsi="宋体" w:eastAsia="宋体" w:cs="宋体"/>
          <w:color w:val="auto"/>
          <w:spacing w:val="-1"/>
          <w:position w:val="17"/>
          <w:sz w:val="21"/>
          <w:szCs w:val="21"/>
          <w:highlight w:val="none"/>
        </w:rPr>
        <w:t>（</w:t>
      </w:r>
      <w:r>
        <w:rPr>
          <w:rFonts w:ascii="Times New Roman" w:hAnsi="Times New Roman" w:eastAsia="Times New Roman" w:cs="Times New Roman"/>
          <w:color w:val="auto"/>
          <w:spacing w:val="-1"/>
          <w:position w:val="17"/>
          <w:sz w:val="21"/>
          <w:szCs w:val="21"/>
          <w:highlight w:val="none"/>
        </w:rPr>
        <w:t>4</w:t>
      </w:r>
      <w:r>
        <w:rPr>
          <w:rFonts w:ascii="宋体" w:hAnsi="宋体" w:eastAsia="宋体" w:cs="宋体"/>
          <w:color w:val="auto"/>
          <w:spacing w:val="-1"/>
          <w:position w:val="17"/>
          <w:sz w:val="21"/>
          <w:szCs w:val="21"/>
          <w:highlight w:val="none"/>
        </w:rPr>
        <w:t>）我方承诺在合同约定的期限内完成并</w:t>
      </w:r>
      <w:r>
        <w:rPr>
          <w:rFonts w:ascii="宋体" w:hAnsi="宋体" w:eastAsia="宋体" w:cs="宋体"/>
          <w:color w:val="auto"/>
          <w:spacing w:val="-2"/>
          <w:position w:val="17"/>
          <w:sz w:val="21"/>
          <w:szCs w:val="21"/>
          <w:highlight w:val="none"/>
        </w:rPr>
        <w:t>移交全部合同工程。</w:t>
      </w:r>
    </w:p>
    <w:p w14:paraId="2BE1E8CB">
      <w:pPr>
        <w:spacing w:before="1" w:line="232" w:lineRule="auto"/>
        <w:ind w:left="44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（5）</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3"/>
          <w:sz w:val="21"/>
          <w:szCs w:val="21"/>
          <w:highlight w:val="none"/>
        </w:rPr>
        <w:t>。</w:t>
      </w:r>
    </w:p>
    <w:p w14:paraId="77687EE7">
      <w:pPr>
        <w:spacing w:before="178" w:line="441" w:lineRule="exact"/>
        <w:ind w:right="8"/>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4"/>
          <w:position w:val="17"/>
          <w:sz w:val="21"/>
          <w:szCs w:val="21"/>
          <w:highlight w:val="none"/>
        </w:rPr>
        <w:t>6.</w:t>
      </w:r>
      <w:r>
        <w:rPr>
          <w:rFonts w:ascii="宋体" w:hAnsi="宋体" w:eastAsia="宋体" w:cs="宋体"/>
          <w:color w:val="auto"/>
          <w:spacing w:val="4"/>
          <w:position w:val="17"/>
          <w:sz w:val="21"/>
          <w:szCs w:val="21"/>
          <w:highlight w:val="none"/>
        </w:rPr>
        <w:t>我方在此声明，所递交的投标文件及有关资料内容完整、真实和准确，且不存在第</w:t>
      </w:r>
    </w:p>
    <w:p w14:paraId="1B943620">
      <w:pPr>
        <w:spacing w:before="1" w:line="219" w:lineRule="auto"/>
        <w:ind w:left="2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二章“投标人须知”第</w:t>
      </w:r>
      <w:r>
        <w:rPr>
          <w:rFonts w:ascii="宋体" w:hAnsi="宋体" w:eastAsia="宋体" w:cs="宋体"/>
          <w:color w:val="auto"/>
          <w:spacing w:val="-17"/>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1.4.3 </w:t>
      </w:r>
      <w:r>
        <w:rPr>
          <w:rFonts w:ascii="宋体" w:hAnsi="宋体" w:eastAsia="宋体" w:cs="宋体"/>
          <w:color w:val="auto"/>
          <w:spacing w:val="-2"/>
          <w:sz w:val="21"/>
          <w:szCs w:val="21"/>
          <w:highlight w:val="none"/>
        </w:rPr>
        <w:t>项规定的任何一种情形。</w:t>
      </w:r>
    </w:p>
    <w:p w14:paraId="156CE6C3">
      <w:pPr>
        <w:spacing w:before="186" w:line="221" w:lineRule="auto"/>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7.</w:t>
      </w:r>
      <w:r>
        <w:rPr>
          <w:rFonts w:ascii="Times New Roman" w:hAnsi="Times New Roman" w:eastAsia="Times New Roman" w:cs="Times New Roman"/>
          <w:color w:val="auto"/>
          <w:spacing w:val="-52"/>
          <w:sz w:val="21"/>
          <w:szCs w:val="21"/>
          <w:highlight w:val="none"/>
        </w:rPr>
        <w:t xml:space="preserve"> </w:t>
      </w:r>
      <w:r>
        <w:rPr>
          <w:rFonts w:ascii="Times New Roman" w:hAnsi="Times New Roman" w:eastAsia="Times New Roman" w:cs="Times New Roman"/>
          <w:color w:val="auto"/>
          <w:spacing w:val="-4"/>
          <w:sz w:val="21"/>
          <w:szCs w:val="21"/>
          <w:highlight w:val="none"/>
          <w:u w:val="single" w:color="auto"/>
        </w:rPr>
        <w:t xml:space="preserve">                            </w:t>
      </w:r>
      <w:r>
        <w:rPr>
          <w:rFonts w:ascii="Times New Roman" w:hAnsi="Times New Roman" w:eastAsia="Times New Roman" w:cs="Times New Roman"/>
          <w:color w:val="auto"/>
          <w:spacing w:val="-5"/>
          <w:sz w:val="21"/>
          <w:szCs w:val="21"/>
          <w:highlight w:val="none"/>
          <w:u w:val="single" w:color="auto"/>
        </w:rPr>
        <w:t xml:space="preserve">             </w:t>
      </w:r>
      <w:r>
        <w:rPr>
          <w:rFonts w:ascii="宋体" w:hAnsi="宋体" w:eastAsia="宋体" w:cs="宋体"/>
          <w:color w:val="auto"/>
          <w:spacing w:val="-5"/>
          <w:sz w:val="21"/>
          <w:szCs w:val="21"/>
          <w:highlight w:val="none"/>
        </w:rPr>
        <w:t>（其他补充说明）。</w:t>
      </w:r>
    </w:p>
    <w:p w14:paraId="7BBA3C87">
      <w:pPr>
        <w:spacing w:before="191" w:line="388" w:lineRule="auto"/>
        <w:ind w:left="3699"/>
        <w:rPr>
          <w:rFonts w:ascii="宋体" w:hAnsi="宋体" w:eastAsia="宋体" w:cs="宋体"/>
          <w:color w:val="auto"/>
          <w:sz w:val="21"/>
          <w:szCs w:val="21"/>
          <w:highlight w:val="none"/>
        </w:rPr>
      </w:pPr>
      <w:r>
        <w:rPr>
          <w:rFonts w:ascii="宋体" w:hAnsi="宋体" w:eastAsia="宋体" w:cs="宋体"/>
          <w:color w:val="auto"/>
          <w:spacing w:val="-24"/>
          <w:sz w:val="21"/>
          <w:szCs w:val="21"/>
          <w:highlight w:val="none"/>
        </w:rPr>
        <w:t>投</w:t>
      </w:r>
      <w:r>
        <w:rPr>
          <w:rFonts w:ascii="宋体" w:hAnsi="宋体" w:eastAsia="宋体" w:cs="宋体"/>
          <w:color w:val="auto"/>
          <w:spacing w:val="-42"/>
          <w:sz w:val="21"/>
          <w:szCs w:val="21"/>
          <w:highlight w:val="none"/>
        </w:rPr>
        <w:t xml:space="preserve"> </w:t>
      </w:r>
      <w:r>
        <w:rPr>
          <w:rFonts w:ascii="宋体" w:hAnsi="宋体" w:eastAsia="宋体" w:cs="宋体"/>
          <w:color w:val="auto"/>
          <w:spacing w:val="-24"/>
          <w:sz w:val="21"/>
          <w:szCs w:val="21"/>
          <w:highlight w:val="none"/>
        </w:rPr>
        <w:t>标</w:t>
      </w:r>
      <w:r>
        <w:rPr>
          <w:rFonts w:ascii="宋体" w:hAnsi="宋体" w:eastAsia="宋体" w:cs="宋体"/>
          <w:color w:val="auto"/>
          <w:spacing w:val="-43"/>
          <w:sz w:val="21"/>
          <w:szCs w:val="21"/>
          <w:highlight w:val="none"/>
        </w:rPr>
        <w:t xml:space="preserve"> </w:t>
      </w:r>
      <w:r>
        <w:rPr>
          <w:rFonts w:ascii="宋体" w:hAnsi="宋体" w:eastAsia="宋体" w:cs="宋体"/>
          <w:color w:val="auto"/>
          <w:spacing w:val="-24"/>
          <w:sz w:val="21"/>
          <w:szCs w:val="21"/>
          <w:highlight w:val="none"/>
        </w:rPr>
        <w:t>人</w:t>
      </w:r>
      <w:r>
        <w:rPr>
          <w:rFonts w:ascii="宋体" w:hAnsi="宋体" w:eastAsia="宋体" w:cs="宋体"/>
          <w:color w:val="auto"/>
          <w:spacing w:val="2"/>
          <w:sz w:val="21"/>
          <w:szCs w:val="21"/>
          <w:highlight w:val="none"/>
        </w:rPr>
        <w:t>：</w:t>
      </w:r>
      <w:r>
        <w:rPr>
          <w:rFonts w:ascii="宋体" w:hAnsi="宋体" w:eastAsia="宋体" w:cs="宋体"/>
          <w:color w:val="auto"/>
          <w:spacing w:val="-31"/>
          <w:sz w:val="21"/>
          <w:szCs w:val="21"/>
          <w:highlight w:val="none"/>
        </w:rPr>
        <w:t xml:space="preserve"> </w:t>
      </w:r>
      <w:r>
        <w:rPr>
          <w:rFonts w:ascii="宋体" w:hAnsi="宋体" w:eastAsia="宋体" w:cs="宋体"/>
          <w:color w:val="auto"/>
          <w:spacing w:val="10"/>
          <w:sz w:val="21"/>
          <w:szCs w:val="21"/>
          <w:highlight w:val="none"/>
          <w:u w:val="single" w:color="auto"/>
        </w:rPr>
        <w:t xml:space="preserve">          </w:t>
      </w:r>
      <w:r>
        <w:rPr>
          <w:rFonts w:ascii="宋体" w:hAnsi="宋体" w:eastAsia="宋体" w:cs="宋体"/>
          <w:color w:val="auto"/>
          <w:spacing w:val="-25"/>
          <w:sz w:val="21"/>
          <w:szCs w:val="21"/>
          <w:highlight w:val="none"/>
        </w:rPr>
        <w:t xml:space="preserve"> </w:t>
      </w:r>
      <w:r>
        <w:rPr>
          <w:rFonts w:ascii="宋体" w:hAnsi="宋体" w:eastAsia="宋体" w:cs="宋体"/>
          <w:color w:val="auto"/>
          <w:spacing w:val="2"/>
          <w:sz w:val="21"/>
          <w:szCs w:val="21"/>
          <w:highlight w:val="none"/>
        </w:rPr>
        <w:t>（</w:t>
      </w:r>
      <w:r>
        <w:rPr>
          <w:rFonts w:ascii="宋体" w:hAnsi="宋体" w:eastAsia="宋体" w:cs="宋体"/>
          <w:color w:val="auto"/>
          <w:spacing w:val="-24"/>
          <w:sz w:val="21"/>
          <w:szCs w:val="21"/>
          <w:highlight w:val="none"/>
        </w:rPr>
        <w:t>盖单位章）</w:t>
      </w:r>
    </w:p>
    <w:p w14:paraId="0916E5EB">
      <w:pPr>
        <w:spacing w:before="1" w:line="219" w:lineRule="auto"/>
        <w:ind w:left="2434"/>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法定代表人或授权委托人</w:t>
      </w:r>
      <w:r>
        <w:rPr>
          <w:rFonts w:ascii="宋体" w:hAnsi="宋体" w:eastAsia="宋体" w:cs="宋体"/>
          <w:color w:val="auto"/>
          <w:spacing w:val="3"/>
          <w:sz w:val="21"/>
          <w:szCs w:val="21"/>
          <w:highlight w:val="none"/>
        </w:rPr>
        <w:t>：</w:t>
      </w:r>
      <w:r>
        <w:rPr>
          <w:rFonts w:ascii="宋体" w:hAnsi="宋体" w:eastAsia="宋体" w:cs="宋体"/>
          <w:color w:val="auto"/>
          <w:spacing w:val="9"/>
          <w:sz w:val="21"/>
          <w:szCs w:val="21"/>
          <w:highlight w:val="none"/>
          <w:u w:val="single" w:color="auto"/>
        </w:rPr>
        <w:t xml:space="preserve">           </w:t>
      </w:r>
      <w:r>
        <w:rPr>
          <w:rFonts w:ascii="宋体" w:hAnsi="宋体" w:eastAsia="宋体" w:cs="宋体"/>
          <w:color w:val="auto"/>
          <w:spacing w:val="-26"/>
          <w:sz w:val="21"/>
          <w:szCs w:val="21"/>
          <w:highlight w:val="none"/>
        </w:rPr>
        <w:t xml:space="preserve"> </w:t>
      </w:r>
      <w:r>
        <w:rPr>
          <w:rFonts w:ascii="宋体" w:hAnsi="宋体" w:eastAsia="宋体" w:cs="宋体"/>
          <w:color w:val="auto"/>
          <w:spacing w:val="3"/>
          <w:sz w:val="21"/>
          <w:szCs w:val="21"/>
          <w:highlight w:val="none"/>
        </w:rPr>
        <w:t>（</w:t>
      </w:r>
      <w:r>
        <w:rPr>
          <w:rFonts w:ascii="宋体" w:hAnsi="宋体" w:eastAsia="宋体" w:cs="宋体"/>
          <w:color w:val="auto"/>
          <w:spacing w:val="-7"/>
          <w:sz w:val="21"/>
          <w:szCs w:val="21"/>
          <w:highlight w:val="none"/>
        </w:rPr>
        <w:t>签章）</w:t>
      </w:r>
    </w:p>
    <w:p w14:paraId="356B7C79">
      <w:pPr>
        <w:tabs>
          <w:tab w:val="left" w:pos="6844"/>
        </w:tabs>
        <w:spacing w:before="189" w:line="387" w:lineRule="auto"/>
        <w:ind w:left="3694" w:right="1488" w:firstLine="1"/>
        <w:jc w:val="both"/>
        <w:rPr>
          <w:rFonts w:ascii="宋体" w:hAnsi="宋体" w:eastAsia="宋体" w:cs="宋体"/>
          <w:color w:val="auto"/>
          <w:sz w:val="21"/>
          <w:szCs w:val="21"/>
          <w:highlight w:val="none"/>
        </w:rPr>
      </w:pPr>
      <w:r>
        <w:rPr>
          <w:rFonts w:ascii="宋体" w:hAnsi="宋体" w:eastAsia="宋体" w:cs="宋体"/>
          <w:color w:val="auto"/>
          <w:spacing w:val="-28"/>
          <w:w w:val="96"/>
          <w:sz w:val="21"/>
          <w:szCs w:val="21"/>
          <w:highlight w:val="none"/>
        </w:rPr>
        <w:t>地址：</w:t>
      </w:r>
      <w:r>
        <w:rPr>
          <w:rFonts w:ascii="宋体" w:hAnsi="宋体" w:eastAsia="宋体" w:cs="宋体"/>
          <w:color w:val="auto"/>
          <w:spacing w:val="-3"/>
          <w:sz w:val="21"/>
          <w:szCs w:val="21"/>
          <w:highlight w:val="none"/>
        </w:rPr>
        <w:t xml:space="preserve"> </w:t>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 xml:space="preserve"> </w:t>
      </w:r>
      <w:r>
        <w:rPr>
          <w:rFonts w:ascii="宋体" w:hAnsi="宋体" w:eastAsia="宋体" w:cs="宋体"/>
          <w:color w:val="auto"/>
          <w:spacing w:val="-35"/>
          <w:sz w:val="21"/>
          <w:szCs w:val="21"/>
          <w:highlight w:val="none"/>
        </w:rPr>
        <w:t>网址：</w:t>
      </w:r>
      <w:r>
        <w:rPr>
          <w:rFonts w:ascii="宋体" w:hAnsi="宋体" w:eastAsia="宋体" w:cs="宋体"/>
          <w:color w:val="auto"/>
          <w:spacing w:val="-5"/>
          <w:sz w:val="21"/>
          <w:szCs w:val="21"/>
          <w:highlight w:val="none"/>
        </w:rPr>
        <w:t xml:space="preserve"> </w:t>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 xml:space="preserve"> </w:t>
      </w:r>
      <w:r>
        <w:rPr>
          <w:rFonts w:ascii="宋体" w:hAnsi="宋体" w:eastAsia="宋体" w:cs="宋体"/>
          <w:color w:val="auto"/>
          <w:spacing w:val="-30"/>
          <w:w w:val="97"/>
          <w:sz w:val="21"/>
          <w:szCs w:val="21"/>
          <w:highlight w:val="none"/>
        </w:rPr>
        <w:t>电话：</w:t>
      </w:r>
      <w:r>
        <w:rPr>
          <w:rFonts w:ascii="宋体" w:hAnsi="宋体" w:eastAsia="宋体" w:cs="宋体"/>
          <w:color w:val="auto"/>
          <w:spacing w:val="-2"/>
          <w:sz w:val="21"/>
          <w:szCs w:val="21"/>
          <w:highlight w:val="none"/>
        </w:rPr>
        <w:t xml:space="preserve"> </w:t>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 xml:space="preserve"> </w:t>
      </w:r>
      <w:r>
        <w:rPr>
          <w:rFonts w:ascii="宋体" w:hAnsi="宋体" w:eastAsia="宋体" w:cs="宋体"/>
          <w:color w:val="auto"/>
          <w:spacing w:val="-26"/>
          <w:w w:val="95"/>
          <w:sz w:val="21"/>
          <w:szCs w:val="21"/>
          <w:highlight w:val="none"/>
        </w:rPr>
        <w:t>传真：</w:t>
      </w:r>
      <w:r>
        <w:rPr>
          <w:rFonts w:ascii="宋体" w:hAnsi="宋体" w:eastAsia="宋体" w:cs="宋体"/>
          <w:color w:val="auto"/>
          <w:spacing w:val="-1"/>
          <w:sz w:val="21"/>
          <w:szCs w:val="21"/>
          <w:highlight w:val="none"/>
        </w:rPr>
        <w:t xml:space="preserve"> </w:t>
      </w:r>
      <w:r>
        <w:rPr>
          <w:rFonts w:ascii="宋体" w:hAnsi="宋体" w:eastAsia="宋体" w:cs="宋体"/>
          <w:color w:val="auto"/>
          <w:sz w:val="21"/>
          <w:szCs w:val="21"/>
          <w:highlight w:val="none"/>
          <w:u w:val="single" w:color="auto"/>
        </w:rPr>
        <w:t xml:space="preserve">                         </w:t>
      </w:r>
    </w:p>
    <w:p w14:paraId="3E3A571C">
      <w:pPr>
        <w:spacing w:line="220" w:lineRule="auto"/>
        <w:ind w:left="3712"/>
        <w:rPr>
          <w:rFonts w:ascii="宋体" w:hAnsi="宋体" w:eastAsia="宋体" w:cs="宋体"/>
          <w:color w:val="auto"/>
          <w:sz w:val="21"/>
          <w:szCs w:val="21"/>
          <w:highlight w:val="none"/>
        </w:rPr>
      </w:pPr>
      <w:r>
        <w:rPr>
          <w:rFonts w:ascii="宋体" w:hAnsi="宋体" w:eastAsia="宋体" w:cs="宋体"/>
          <w:color w:val="auto"/>
          <w:spacing w:val="-24"/>
          <w:w w:val="98"/>
          <w:sz w:val="21"/>
          <w:szCs w:val="21"/>
          <w:highlight w:val="none"/>
        </w:rPr>
        <w:t>邮政编码：</w:t>
      </w:r>
      <w:r>
        <w:rPr>
          <w:rFonts w:ascii="宋体" w:hAnsi="宋体" w:eastAsia="宋体" w:cs="宋体"/>
          <w:color w:val="auto"/>
          <w:spacing w:val="16"/>
          <w:sz w:val="21"/>
          <w:szCs w:val="21"/>
          <w:highlight w:val="none"/>
        </w:rPr>
        <w:t xml:space="preserve"> </w:t>
      </w:r>
      <w:r>
        <w:rPr>
          <w:rFonts w:ascii="宋体" w:hAnsi="宋体" w:eastAsia="宋体" w:cs="宋体"/>
          <w:color w:val="auto"/>
          <w:sz w:val="21"/>
          <w:szCs w:val="21"/>
          <w:highlight w:val="none"/>
          <w:u w:val="single" w:color="auto"/>
        </w:rPr>
        <w:t xml:space="preserve">                     </w:t>
      </w:r>
    </w:p>
    <w:p w14:paraId="39F01647">
      <w:pPr>
        <w:tabs>
          <w:tab w:val="left" w:pos="5580"/>
        </w:tabs>
        <w:spacing w:before="191" w:line="221" w:lineRule="auto"/>
        <w:ind w:left="5157"/>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6"/>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pacing w:val="-105"/>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58"/>
          <w:sz w:val="21"/>
          <w:szCs w:val="21"/>
          <w:highlight w:val="none"/>
        </w:rPr>
        <w:t xml:space="preserve"> </w:t>
      </w:r>
      <w:r>
        <w:rPr>
          <w:rFonts w:ascii="宋体" w:hAnsi="宋体" w:eastAsia="宋体" w:cs="宋体"/>
          <w:color w:val="auto"/>
          <w:spacing w:val="-7"/>
          <w:sz w:val="21"/>
          <w:szCs w:val="21"/>
          <w:highlight w:val="none"/>
        </w:rPr>
        <w:t>日</w:t>
      </w:r>
    </w:p>
    <w:p w14:paraId="1EE8BCFB">
      <w:pPr>
        <w:spacing w:line="221" w:lineRule="auto"/>
        <w:rPr>
          <w:rFonts w:ascii="宋体" w:hAnsi="宋体" w:eastAsia="宋体" w:cs="宋体"/>
          <w:color w:val="auto"/>
          <w:sz w:val="21"/>
          <w:szCs w:val="21"/>
          <w:highlight w:val="none"/>
        </w:rPr>
        <w:sectPr>
          <w:footerReference r:id="rId213" w:type="default"/>
          <w:pgSz w:w="11905" w:h="16839"/>
          <w:pgMar w:top="400" w:right="1785" w:bottom="1004" w:left="1785" w:header="0" w:footer="828" w:gutter="0"/>
          <w:pgNumType w:fmt="decimal"/>
          <w:cols w:space="720" w:num="1"/>
        </w:sectPr>
      </w:pPr>
    </w:p>
    <w:p w14:paraId="27604D88">
      <w:pPr>
        <w:pStyle w:val="3"/>
        <w:spacing w:line="257" w:lineRule="auto"/>
        <w:rPr>
          <w:color w:val="auto"/>
          <w:highlight w:val="none"/>
        </w:rPr>
      </w:pPr>
    </w:p>
    <w:p w14:paraId="55DE7FD4">
      <w:pPr>
        <w:pStyle w:val="3"/>
        <w:spacing w:line="257" w:lineRule="auto"/>
        <w:rPr>
          <w:color w:val="auto"/>
          <w:highlight w:val="none"/>
        </w:rPr>
      </w:pPr>
    </w:p>
    <w:p w14:paraId="0966D744">
      <w:pPr>
        <w:pStyle w:val="3"/>
        <w:spacing w:line="257" w:lineRule="auto"/>
        <w:rPr>
          <w:color w:val="auto"/>
          <w:highlight w:val="none"/>
        </w:rPr>
      </w:pPr>
    </w:p>
    <w:p w14:paraId="62ABBF25">
      <w:pPr>
        <w:pStyle w:val="3"/>
        <w:spacing w:line="257" w:lineRule="auto"/>
        <w:rPr>
          <w:color w:val="auto"/>
          <w:highlight w:val="none"/>
        </w:rPr>
      </w:pPr>
    </w:p>
    <w:p w14:paraId="1797D2A6">
      <w:pPr>
        <w:spacing w:before="87" w:line="225" w:lineRule="auto"/>
        <w:ind w:left="3390"/>
        <w:rPr>
          <w:rFonts w:ascii="黑体" w:hAnsi="黑体" w:eastAsia="黑体" w:cs="黑体"/>
          <w:color w:val="auto"/>
          <w:sz w:val="27"/>
          <w:szCs w:val="27"/>
          <w:highlight w:val="none"/>
        </w:rPr>
      </w:pPr>
      <w:bookmarkStart w:id="1324" w:name="bookmark297"/>
      <w:bookmarkEnd w:id="1324"/>
      <w:r>
        <w:rPr>
          <w:rFonts w:ascii="黑体" w:hAnsi="黑体" w:eastAsia="黑体" w:cs="黑体"/>
          <w:color w:val="auto"/>
          <w:spacing w:val="3"/>
          <w:sz w:val="27"/>
          <w:szCs w:val="27"/>
          <w:highlight w:val="none"/>
        </w:rPr>
        <w:t>（二）投标函附录</w:t>
      </w:r>
    </w:p>
    <w:p w14:paraId="3014A402">
      <w:pPr>
        <w:spacing w:before="291" w:line="214" w:lineRule="auto"/>
        <w:ind w:left="330"/>
        <w:rPr>
          <w:rFonts w:ascii="宋体" w:hAnsi="宋体" w:eastAsia="宋体" w:cs="宋体"/>
          <w:color w:val="auto"/>
          <w:sz w:val="21"/>
          <w:szCs w:val="21"/>
          <w:highlight w:val="none"/>
        </w:rPr>
      </w:pPr>
      <w:r>
        <w:rPr>
          <w:rFonts w:ascii="宋体" w:hAnsi="宋体" w:eastAsia="宋体" w:cs="宋体"/>
          <w:color w:val="auto"/>
          <w:spacing w:val="-23"/>
          <w:w w:val="95"/>
          <w:sz w:val="21"/>
          <w:szCs w:val="21"/>
          <w:highlight w:val="none"/>
        </w:rPr>
        <w:t>标段名称：</w:t>
      </w:r>
      <w:r>
        <w:rPr>
          <w:rFonts w:ascii="宋体" w:hAnsi="宋体" w:eastAsia="宋体" w:cs="宋体"/>
          <w:color w:val="auto"/>
          <w:spacing w:val="58"/>
          <w:sz w:val="21"/>
          <w:szCs w:val="21"/>
          <w:highlight w:val="none"/>
        </w:rPr>
        <w:t xml:space="preserve"> </w:t>
      </w:r>
      <w:r>
        <w:rPr>
          <w:rFonts w:ascii="宋体" w:hAnsi="宋体" w:eastAsia="宋体" w:cs="宋体"/>
          <w:color w:val="auto"/>
          <w:sz w:val="21"/>
          <w:szCs w:val="21"/>
          <w:highlight w:val="none"/>
          <w:u w:val="single" w:color="auto"/>
        </w:rPr>
        <w:t xml:space="preserve">                                                            </w:t>
      </w:r>
    </w:p>
    <w:tbl>
      <w:tblPr>
        <w:tblStyle w:val="10"/>
        <w:tblW w:w="89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5"/>
        <w:gridCol w:w="2400"/>
        <w:gridCol w:w="1315"/>
        <w:gridCol w:w="3786"/>
        <w:gridCol w:w="729"/>
      </w:tblGrid>
      <w:tr w14:paraId="32AB4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25" w:type="dxa"/>
            <w:vAlign w:val="top"/>
          </w:tcPr>
          <w:p w14:paraId="20BE94FB">
            <w:pPr>
              <w:pStyle w:val="11"/>
              <w:spacing w:before="178" w:line="222" w:lineRule="auto"/>
              <w:ind w:left="160"/>
              <w:rPr>
                <w:color w:val="auto"/>
                <w:highlight w:val="none"/>
              </w:rPr>
            </w:pPr>
            <w:r>
              <w:rPr>
                <w:color w:val="auto"/>
                <w:spacing w:val="-2"/>
                <w:highlight w:val="none"/>
              </w:rPr>
              <w:t>序号</w:t>
            </w:r>
          </w:p>
        </w:tc>
        <w:tc>
          <w:tcPr>
            <w:tcW w:w="2400" w:type="dxa"/>
            <w:vAlign w:val="top"/>
          </w:tcPr>
          <w:p w14:paraId="2E4E816D">
            <w:pPr>
              <w:pStyle w:val="11"/>
              <w:spacing w:before="178" w:line="221" w:lineRule="auto"/>
              <w:ind w:left="787"/>
              <w:rPr>
                <w:color w:val="auto"/>
                <w:highlight w:val="none"/>
              </w:rPr>
            </w:pPr>
            <w:r>
              <w:rPr>
                <w:color w:val="auto"/>
                <w:spacing w:val="-1"/>
                <w:highlight w:val="none"/>
              </w:rPr>
              <w:t>条款内容</w:t>
            </w:r>
          </w:p>
        </w:tc>
        <w:tc>
          <w:tcPr>
            <w:tcW w:w="1315" w:type="dxa"/>
            <w:vAlign w:val="top"/>
          </w:tcPr>
          <w:p w14:paraId="520ACB74">
            <w:pPr>
              <w:pStyle w:val="11"/>
              <w:spacing w:before="178" w:line="221" w:lineRule="auto"/>
              <w:ind w:left="135"/>
              <w:rPr>
                <w:color w:val="auto"/>
                <w:highlight w:val="none"/>
              </w:rPr>
            </w:pPr>
            <w:r>
              <w:rPr>
                <w:color w:val="auto"/>
                <w:spacing w:val="-1"/>
                <w:highlight w:val="none"/>
              </w:rPr>
              <w:t>合同条款号</w:t>
            </w:r>
          </w:p>
        </w:tc>
        <w:tc>
          <w:tcPr>
            <w:tcW w:w="3786" w:type="dxa"/>
            <w:vAlign w:val="top"/>
          </w:tcPr>
          <w:p w14:paraId="1A177D79">
            <w:pPr>
              <w:pStyle w:val="11"/>
              <w:spacing w:before="178" w:line="221" w:lineRule="auto"/>
              <w:ind w:left="1479"/>
              <w:rPr>
                <w:color w:val="auto"/>
                <w:highlight w:val="none"/>
              </w:rPr>
            </w:pPr>
            <w:r>
              <w:rPr>
                <w:color w:val="auto"/>
                <w:spacing w:val="-2"/>
                <w:highlight w:val="none"/>
              </w:rPr>
              <w:t>约定内容</w:t>
            </w:r>
          </w:p>
        </w:tc>
        <w:tc>
          <w:tcPr>
            <w:tcW w:w="729" w:type="dxa"/>
            <w:vAlign w:val="top"/>
          </w:tcPr>
          <w:p w14:paraId="044566AB">
            <w:pPr>
              <w:pStyle w:val="11"/>
              <w:spacing w:before="178" w:line="222" w:lineRule="auto"/>
              <w:ind w:left="159"/>
              <w:rPr>
                <w:color w:val="auto"/>
                <w:highlight w:val="none"/>
              </w:rPr>
            </w:pPr>
            <w:r>
              <w:rPr>
                <w:color w:val="auto"/>
                <w:spacing w:val="-3"/>
                <w:highlight w:val="none"/>
              </w:rPr>
              <w:t>备注</w:t>
            </w:r>
          </w:p>
        </w:tc>
      </w:tr>
      <w:tr w14:paraId="210E4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25" w:type="dxa"/>
            <w:vAlign w:val="top"/>
          </w:tcPr>
          <w:p w14:paraId="0C56F64B">
            <w:pPr>
              <w:pStyle w:val="11"/>
              <w:spacing w:before="155" w:line="183" w:lineRule="auto"/>
              <w:ind w:left="330"/>
              <w:rPr>
                <w:color w:val="auto"/>
                <w:highlight w:val="none"/>
              </w:rPr>
            </w:pPr>
            <w:r>
              <w:rPr>
                <w:color w:val="auto"/>
                <w:highlight w:val="none"/>
              </w:rPr>
              <w:t>1</w:t>
            </w:r>
          </w:p>
        </w:tc>
        <w:tc>
          <w:tcPr>
            <w:tcW w:w="2400" w:type="dxa"/>
            <w:vAlign w:val="top"/>
          </w:tcPr>
          <w:p w14:paraId="4D2ECEE3">
            <w:pPr>
              <w:pStyle w:val="11"/>
              <w:spacing w:before="121" w:line="221" w:lineRule="auto"/>
              <w:ind w:left="117"/>
              <w:rPr>
                <w:color w:val="auto"/>
                <w:highlight w:val="none"/>
              </w:rPr>
            </w:pPr>
            <w:r>
              <w:rPr>
                <w:color w:val="auto"/>
                <w:spacing w:val="-2"/>
                <w:highlight w:val="none"/>
              </w:rPr>
              <w:t>项目经理</w:t>
            </w:r>
          </w:p>
        </w:tc>
        <w:tc>
          <w:tcPr>
            <w:tcW w:w="1315" w:type="dxa"/>
            <w:vAlign w:val="top"/>
          </w:tcPr>
          <w:p w14:paraId="162CF09E">
            <w:pPr>
              <w:pStyle w:val="11"/>
              <w:spacing w:before="179" w:line="183" w:lineRule="auto"/>
              <w:ind w:left="308"/>
              <w:rPr>
                <w:color w:val="auto"/>
                <w:highlight w:val="none"/>
              </w:rPr>
            </w:pPr>
            <w:r>
              <w:rPr>
                <w:color w:val="auto"/>
                <w:highlight w:val="none"/>
              </w:rPr>
              <w:fldChar w:fldCharType="begin"/>
            </w:r>
            <w:r>
              <w:rPr>
                <w:color w:val="auto"/>
                <w:highlight w:val="none"/>
              </w:rPr>
              <w:instrText xml:space="preserve"> HYPERLINK "1.1.2.8" </w:instrText>
            </w:r>
            <w:r>
              <w:rPr>
                <w:color w:val="auto"/>
                <w:highlight w:val="none"/>
              </w:rPr>
              <w:fldChar w:fldCharType="separate"/>
            </w:r>
            <w:r>
              <w:rPr>
                <w:color w:val="auto"/>
                <w:spacing w:val="-3"/>
                <w:highlight w:val="none"/>
              </w:rPr>
              <w:t>1.1.2.8</w:t>
            </w:r>
            <w:r>
              <w:rPr>
                <w:color w:val="auto"/>
                <w:spacing w:val="-3"/>
                <w:highlight w:val="none"/>
              </w:rPr>
              <w:fldChar w:fldCharType="end"/>
            </w:r>
          </w:p>
        </w:tc>
        <w:tc>
          <w:tcPr>
            <w:tcW w:w="3786" w:type="dxa"/>
            <w:vAlign w:val="top"/>
          </w:tcPr>
          <w:p w14:paraId="0892F8FE">
            <w:pPr>
              <w:pStyle w:val="11"/>
              <w:spacing w:before="120" w:line="221" w:lineRule="auto"/>
              <w:ind w:left="117"/>
              <w:rPr>
                <w:color w:val="auto"/>
                <w:highlight w:val="none"/>
              </w:rPr>
            </w:pPr>
            <w:r>
              <w:rPr>
                <w:color w:val="auto"/>
                <w:spacing w:val="-5"/>
                <w:highlight w:val="none"/>
              </w:rPr>
              <w:t>（见投标函）</w:t>
            </w:r>
          </w:p>
        </w:tc>
        <w:tc>
          <w:tcPr>
            <w:tcW w:w="729" w:type="dxa"/>
            <w:vAlign w:val="top"/>
          </w:tcPr>
          <w:p w14:paraId="50D4FEC9">
            <w:pPr>
              <w:rPr>
                <w:rFonts w:ascii="Arial"/>
                <w:color w:val="auto"/>
                <w:sz w:val="21"/>
                <w:highlight w:val="none"/>
              </w:rPr>
            </w:pPr>
          </w:p>
        </w:tc>
      </w:tr>
      <w:tr w14:paraId="433019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25" w:type="dxa"/>
            <w:vAlign w:val="top"/>
          </w:tcPr>
          <w:p w14:paraId="64A78398">
            <w:pPr>
              <w:pStyle w:val="11"/>
              <w:spacing w:before="137" w:line="182" w:lineRule="auto"/>
              <w:ind w:left="317"/>
              <w:rPr>
                <w:color w:val="auto"/>
                <w:highlight w:val="none"/>
              </w:rPr>
            </w:pPr>
            <w:r>
              <w:rPr>
                <w:color w:val="auto"/>
                <w:highlight w:val="none"/>
              </w:rPr>
              <w:t>2</w:t>
            </w:r>
          </w:p>
        </w:tc>
        <w:tc>
          <w:tcPr>
            <w:tcW w:w="2400" w:type="dxa"/>
            <w:vAlign w:val="top"/>
          </w:tcPr>
          <w:p w14:paraId="13388AAF">
            <w:pPr>
              <w:pStyle w:val="11"/>
              <w:spacing w:before="102" w:line="221" w:lineRule="auto"/>
              <w:ind w:left="116"/>
              <w:rPr>
                <w:color w:val="auto"/>
                <w:highlight w:val="none"/>
              </w:rPr>
            </w:pPr>
            <w:r>
              <w:rPr>
                <w:color w:val="auto"/>
                <w:spacing w:val="-3"/>
                <w:highlight w:val="none"/>
              </w:rPr>
              <w:t>工期</w:t>
            </w:r>
          </w:p>
        </w:tc>
        <w:tc>
          <w:tcPr>
            <w:tcW w:w="1315" w:type="dxa"/>
            <w:vAlign w:val="top"/>
          </w:tcPr>
          <w:p w14:paraId="0B2F8429">
            <w:pPr>
              <w:pStyle w:val="11"/>
              <w:spacing w:before="165" w:line="183" w:lineRule="auto"/>
              <w:ind w:left="308"/>
              <w:rPr>
                <w:color w:val="auto"/>
                <w:highlight w:val="none"/>
              </w:rPr>
            </w:pPr>
            <w:r>
              <w:rPr>
                <w:color w:val="auto"/>
                <w:highlight w:val="none"/>
              </w:rPr>
              <w:fldChar w:fldCharType="begin"/>
            </w:r>
            <w:r>
              <w:rPr>
                <w:color w:val="auto"/>
                <w:highlight w:val="none"/>
              </w:rPr>
              <w:instrText xml:space="preserve"> HYPERLINK "1.1.4.3" </w:instrText>
            </w:r>
            <w:r>
              <w:rPr>
                <w:color w:val="auto"/>
                <w:highlight w:val="none"/>
              </w:rPr>
              <w:fldChar w:fldCharType="separate"/>
            </w:r>
            <w:r>
              <w:rPr>
                <w:color w:val="auto"/>
                <w:spacing w:val="-3"/>
                <w:highlight w:val="none"/>
              </w:rPr>
              <w:t>1.1.4.3</w:t>
            </w:r>
            <w:r>
              <w:rPr>
                <w:color w:val="auto"/>
                <w:spacing w:val="-3"/>
                <w:highlight w:val="none"/>
              </w:rPr>
              <w:fldChar w:fldCharType="end"/>
            </w:r>
          </w:p>
        </w:tc>
        <w:tc>
          <w:tcPr>
            <w:tcW w:w="3786" w:type="dxa"/>
            <w:vAlign w:val="top"/>
          </w:tcPr>
          <w:p w14:paraId="6D8625FF">
            <w:pPr>
              <w:pStyle w:val="11"/>
              <w:spacing w:before="101" w:line="221" w:lineRule="auto"/>
              <w:ind w:left="117"/>
              <w:rPr>
                <w:color w:val="auto"/>
                <w:highlight w:val="none"/>
              </w:rPr>
            </w:pPr>
            <w:r>
              <w:rPr>
                <w:color w:val="auto"/>
                <w:spacing w:val="-5"/>
                <w:highlight w:val="none"/>
              </w:rPr>
              <w:t>（见投标函）</w:t>
            </w:r>
          </w:p>
        </w:tc>
        <w:tc>
          <w:tcPr>
            <w:tcW w:w="729" w:type="dxa"/>
            <w:vAlign w:val="top"/>
          </w:tcPr>
          <w:p w14:paraId="2F964580">
            <w:pPr>
              <w:rPr>
                <w:rFonts w:ascii="Arial"/>
                <w:color w:val="auto"/>
                <w:sz w:val="21"/>
                <w:highlight w:val="none"/>
              </w:rPr>
            </w:pPr>
          </w:p>
        </w:tc>
      </w:tr>
      <w:tr w14:paraId="01D98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25" w:type="dxa"/>
            <w:vAlign w:val="top"/>
          </w:tcPr>
          <w:p w14:paraId="018C9990">
            <w:pPr>
              <w:pStyle w:val="11"/>
              <w:spacing w:before="137" w:line="182" w:lineRule="auto"/>
              <w:ind w:left="319"/>
              <w:rPr>
                <w:color w:val="auto"/>
                <w:highlight w:val="none"/>
              </w:rPr>
            </w:pPr>
            <w:r>
              <w:rPr>
                <w:color w:val="auto"/>
                <w:highlight w:val="none"/>
              </w:rPr>
              <w:t>3</w:t>
            </w:r>
          </w:p>
        </w:tc>
        <w:tc>
          <w:tcPr>
            <w:tcW w:w="2400" w:type="dxa"/>
            <w:vAlign w:val="top"/>
          </w:tcPr>
          <w:p w14:paraId="74F208AC">
            <w:pPr>
              <w:pStyle w:val="11"/>
              <w:spacing w:before="101" w:line="221" w:lineRule="auto"/>
              <w:ind w:left="113"/>
              <w:rPr>
                <w:color w:val="auto"/>
                <w:highlight w:val="none"/>
              </w:rPr>
            </w:pPr>
            <w:r>
              <w:rPr>
                <w:color w:val="auto"/>
                <w:spacing w:val="-1"/>
                <w:highlight w:val="none"/>
              </w:rPr>
              <w:t>缺陷责任期</w:t>
            </w:r>
          </w:p>
        </w:tc>
        <w:tc>
          <w:tcPr>
            <w:tcW w:w="1315" w:type="dxa"/>
            <w:vAlign w:val="top"/>
          </w:tcPr>
          <w:p w14:paraId="0CBFB2A1">
            <w:pPr>
              <w:pStyle w:val="11"/>
              <w:spacing w:before="160" w:line="183" w:lineRule="auto"/>
              <w:ind w:left="336"/>
              <w:rPr>
                <w:color w:val="auto"/>
                <w:highlight w:val="none"/>
              </w:rPr>
            </w:pPr>
            <w:r>
              <w:rPr>
                <w:color w:val="auto"/>
                <w:highlight w:val="none"/>
              </w:rPr>
              <w:fldChar w:fldCharType="begin"/>
            </w:r>
            <w:r>
              <w:rPr>
                <w:color w:val="auto"/>
                <w:highlight w:val="none"/>
              </w:rPr>
              <w:instrText xml:space="preserve"> HYPERLINK "1.1.4.4" </w:instrText>
            </w:r>
            <w:r>
              <w:rPr>
                <w:color w:val="auto"/>
                <w:highlight w:val="none"/>
              </w:rPr>
              <w:fldChar w:fldCharType="separate"/>
            </w:r>
            <w:r>
              <w:rPr>
                <w:color w:val="auto"/>
                <w:spacing w:val="-3"/>
                <w:highlight w:val="none"/>
              </w:rPr>
              <w:t>1.1.4.4</w:t>
            </w:r>
            <w:r>
              <w:rPr>
                <w:color w:val="auto"/>
                <w:spacing w:val="-3"/>
                <w:highlight w:val="none"/>
              </w:rPr>
              <w:fldChar w:fldCharType="end"/>
            </w:r>
          </w:p>
        </w:tc>
        <w:tc>
          <w:tcPr>
            <w:tcW w:w="3786" w:type="dxa"/>
            <w:vAlign w:val="top"/>
          </w:tcPr>
          <w:p w14:paraId="1D6A76F4">
            <w:pPr>
              <w:rPr>
                <w:rFonts w:ascii="Arial"/>
                <w:color w:val="auto"/>
                <w:sz w:val="21"/>
                <w:highlight w:val="none"/>
              </w:rPr>
            </w:pPr>
          </w:p>
        </w:tc>
        <w:tc>
          <w:tcPr>
            <w:tcW w:w="729" w:type="dxa"/>
            <w:vAlign w:val="top"/>
          </w:tcPr>
          <w:p w14:paraId="6D59886E">
            <w:pPr>
              <w:rPr>
                <w:rFonts w:ascii="Arial"/>
                <w:color w:val="auto"/>
                <w:sz w:val="21"/>
                <w:highlight w:val="none"/>
              </w:rPr>
            </w:pPr>
          </w:p>
        </w:tc>
      </w:tr>
      <w:tr w14:paraId="01D8B6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25" w:type="dxa"/>
            <w:vAlign w:val="top"/>
          </w:tcPr>
          <w:p w14:paraId="752343C8">
            <w:pPr>
              <w:pStyle w:val="11"/>
              <w:spacing w:before="210" w:line="182" w:lineRule="auto"/>
              <w:ind w:left="314"/>
              <w:rPr>
                <w:color w:val="auto"/>
                <w:highlight w:val="none"/>
              </w:rPr>
            </w:pPr>
            <w:r>
              <w:rPr>
                <w:color w:val="auto"/>
                <w:highlight w:val="none"/>
              </w:rPr>
              <w:t>4</w:t>
            </w:r>
          </w:p>
        </w:tc>
        <w:tc>
          <w:tcPr>
            <w:tcW w:w="2400" w:type="dxa"/>
            <w:vAlign w:val="top"/>
          </w:tcPr>
          <w:p w14:paraId="5D33EADB">
            <w:pPr>
              <w:pStyle w:val="11"/>
              <w:spacing w:before="40" w:line="229" w:lineRule="auto"/>
              <w:ind w:left="113" w:right="102" w:firstLine="4"/>
              <w:rPr>
                <w:color w:val="auto"/>
                <w:highlight w:val="none"/>
              </w:rPr>
            </w:pPr>
            <w:r>
              <w:rPr>
                <w:color w:val="auto"/>
                <w:spacing w:val="7"/>
                <w:highlight w:val="none"/>
              </w:rPr>
              <w:t>项目经理每月在施工现</w:t>
            </w:r>
            <w:r>
              <w:rPr>
                <w:color w:val="auto"/>
                <w:spacing w:val="3"/>
                <w:highlight w:val="none"/>
              </w:rPr>
              <w:t xml:space="preserve"> </w:t>
            </w:r>
            <w:r>
              <w:rPr>
                <w:color w:val="auto"/>
                <w:spacing w:val="-1"/>
                <w:highlight w:val="none"/>
              </w:rPr>
              <w:t>场的时间</w:t>
            </w:r>
          </w:p>
        </w:tc>
        <w:tc>
          <w:tcPr>
            <w:tcW w:w="1315" w:type="dxa"/>
            <w:vAlign w:val="top"/>
          </w:tcPr>
          <w:p w14:paraId="0A5D9DA9">
            <w:pPr>
              <w:pStyle w:val="11"/>
              <w:spacing w:before="233" w:line="183" w:lineRule="auto"/>
              <w:ind w:left="431"/>
              <w:rPr>
                <w:color w:val="auto"/>
                <w:highlight w:val="none"/>
              </w:rPr>
            </w:pPr>
            <w:r>
              <w:rPr>
                <w:color w:val="auto"/>
                <w:spacing w:val="-2"/>
                <w:highlight w:val="none"/>
              </w:rPr>
              <w:t>3.2.1</w:t>
            </w:r>
          </w:p>
        </w:tc>
        <w:tc>
          <w:tcPr>
            <w:tcW w:w="3786" w:type="dxa"/>
            <w:vAlign w:val="top"/>
          </w:tcPr>
          <w:p w14:paraId="7C2CC04C">
            <w:pPr>
              <w:rPr>
                <w:rFonts w:ascii="Arial"/>
                <w:color w:val="auto"/>
                <w:sz w:val="21"/>
                <w:highlight w:val="none"/>
              </w:rPr>
            </w:pPr>
          </w:p>
        </w:tc>
        <w:tc>
          <w:tcPr>
            <w:tcW w:w="729" w:type="dxa"/>
            <w:vAlign w:val="top"/>
          </w:tcPr>
          <w:p w14:paraId="3E55231A">
            <w:pPr>
              <w:rPr>
                <w:rFonts w:ascii="Arial"/>
                <w:color w:val="auto"/>
                <w:sz w:val="21"/>
                <w:highlight w:val="none"/>
              </w:rPr>
            </w:pPr>
          </w:p>
        </w:tc>
      </w:tr>
      <w:tr w14:paraId="07B19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725" w:type="dxa"/>
            <w:vAlign w:val="top"/>
          </w:tcPr>
          <w:p w14:paraId="6A60ADD4">
            <w:pPr>
              <w:pStyle w:val="11"/>
              <w:spacing w:before="211" w:line="181" w:lineRule="auto"/>
              <w:ind w:left="319"/>
              <w:rPr>
                <w:color w:val="auto"/>
                <w:highlight w:val="none"/>
              </w:rPr>
            </w:pPr>
            <w:r>
              <w:rPr>
                <w:color w:val="auto"/>
                <w:highlight w:val="none"/>
              </w:rPr>
              <w:t>5</w:t>
            </w:r>
          </w:p>
        </w:tc>
        <w:tc>
          <w:tcPr>
            <w:tcW w:w="2400" w:type="dxa"/>
            <w:vAlign w:val="top"/>
          </w:tcPr>
          <w:p w14:paraId="152C160E">
            <w:pPr>
              <w:pStyle w:val="11"/>
              <w:spacing w:before="40" w:line="229" w:lineRule="auto"/>
              <w:ind w:left="115" w:right="102" w:firstLine="1"/>
              <w:rPr>
                <w:color w:val="auto"/>
                <w:highlight w:val="none"/>
              </w:rPr>
            </w:pPr>
            <w:r>
              <w:rPr>
                <w:color w:val="auto"/>
                <w:spacing w:val="7"/>
                <w:highlight w:val="none"/>
              </w:rPr>
              <w:t>项目经理擅自离开施工</w:t>
            </w:r>
            <w:r>
              <w:rPr>
                <w:color w:val="auto"/>
                <w:spacing w:val="3"/>
                <w:highlight w:val="none"/>
              </w:rPr>
              <w:t xml:space="preserve"> </w:t>
            </w:r>
            <w:r>
              <w:rPr>
                <w:color w:val="auto"/>
                <w:spacing w:val="-1"/>
                <w:highlight w:val="none"/>
              </w:rPr>
              <w:t>现场的违约责任</w:t>
            </w:r>
          </w:p>
        </w:tc>
        <w:tc>
          <w:tcPr>
            <w:tcW w:w="1315" w:type="dxa"/>
            <w:vAlign w:val="top"/>
          </w:tcPr>
          <w:p w14:paraId="538DB474">
            <w:pPr>
              <w:pStyle w:val="11"/>
              <w:spacing w:before="233" w:line="183" w:lineRule="auto"/>
              <w:ind w:left="431"/>
              <w:rPr>
                <w:color w:val="auto"/>
                <w:highlight w:val="none"/>
              </w:rPr>
            </w:pPr>
            <w:r>
              <w:rPr>
                <w:color w:val="auto"/>
                <w:spacing w:val="-2"/>
                <w:highlight w:val="none"/>
              </w:rPr>
              <w:t>3.2.1</w:t>
            </w:r>
          </w:p>
        </w:tc>
        <w:tc>
          <w:tcPr>
            <w:tcW w:w="3786" w:type="dxa"/>
            <w:vAlign w:val="top"/>
          </w:tcPr>
          <w:p w14:paraId="037ADBFD">
            <w:pPr>
              <w:rPr>
                <w:rFonts w:ascii="Arial"/>
                <w:color w:val="auto"/>
                <w:sz w:val="21"/>
                <w:highlight w:val="none"/>
              </w:rPr>
            </w:pPr>
          </w:p>
        </w:tc>
        <w:tc>
          <w:tcPr>
            <w:tcW w:w="729" w:type="dxa"/>
            <w:vAlign w:val="top"/>
          </w:tcPr>
          <w:p w14:paraId="71C2326F">
            <w:pPr>
              <w:rPr>
                <w:rFonts w:ascii="Arial"/>
                <w:color w:val="auto"/>
                <w:sz w:val="21"/>
                <w:highlight w:val="none"/>
              </w:rPr>
            </w:pPr>
          </w:p>
        </w:tc>
      </w:tr>
      <w:tr w14:paraId="32C7F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725" w:type="dxa"/>
            <w:vAlign w:val="top"/>
          </w:tcPr>
          <w:p w14:paraId="0F34723A">
            <w:pPr>
              <w:pStyle w:val="11"/>
              <w:spacing w:before="215" w:line="182" w:lineRule="auto"/>
              <w:ind w:left="316"/>
              <w:rPr>
                <w:color w:val="auto"/>
                <w:highlight w:val="none"/>
              </w:rPr>
            </w:pPr>
            <w:r>
              <w:rPr>
                <w:color w:val="auto"/>
                <w:highlight w:val="none"/>
              </w:rPr>
              <w:t>6</w:t>
            </w:r>
          </w:p>
        </w:tc>
        <w:tc>
          <w:tcPr>
            <w:tcW w:w="2400" w:type="dxa"/>
            <w:vAlign w:val="top"/>
          </w:tcPr>
          <w:p w14:paraId="7DBB76D2">
            <w:pPr>
              <w:pStyle w:val="11"/>
              <w:spacing w:before="40" w:line="229" w:lineRule="auto"/>
              <w:ind w:left="118" w:right="102" w:hanging="4"/>
              <w:rPr>
                <w:color w:val="auto"/>
                <w:highlight w:val="none"/>
              </w:rPr>
            </w:pPr>
            <w:r>
              <w:rPr>
                <w:color w:val="auto"/>
                <w:spacing w:val="7"/>
                <w:highlight w:val="none"/>
              </w:rPr>
              <w:t>擅自更换项目经理的违</w:t>
            </w:r>
            <w:r>
              <w:rPr>
                <w:color w:val="auto"/>
                <w:spacing w:val="6"/>
                <w:highlight w:val="none"/>
              </w:rPr>
              <w:t xml:space="preserve"> </w:t>
            </w:r>
            <w:r>
              <w:rPr>
                <w:color w:val="auto"/>
                <w:spacing w:val="-3"/>
                <w:highlight w:val="none"/>
              </w:rPr>
              <w:t>约责任</w:t>
            </w:r>
          </w:p>
        </w:tc>
        <w:tc>
          <w:tcPr>
            <w:tcW w:w="1315" w:type="dxa"/>
            <w:vAlign w:val="top"/>
          </w:tcPr>
          <w:p w14:paraId="64315953">
            <w:pPr>
              <w:pStyle w:val="11"/>
              <w:spacing w:before="239" w:line="182" w:lineRule="auto"/>
              <w:ind w:left="431"/>
              <w:rPr>
                <w:color w:val="auto"/>
                <w:highlight w:val="none"/>
              </w:rPr>
            </w:pPr>
            <w:r>
              <w:rPr>
                <w:color w:val="auto"/>
                <w:spacing w:val="-2"/>
                <w:highlight w:val="none"/>
              </w:rPr>
              <w:t>3.2.3</w:t>
            </w:r>
          </w:p>
        </w:tc>
        <w:tc>
          <w:tcPr>
            <w:tcW w:w="3786" w:type="dxa"/>
            <w:vAlign w:val="top"/>
          </w:tcPr>
          <w:p w14:paraId="017E9D46">
            <w:pPr>
              <w:rPr>
                <w:rFonts w:ascii="Arial"/>
                <w:color w:val="auto"/>
                <w:sz w:val="21"/>
                <w:highlight w:val="none"/>
              </w:rPr>
            </w:pPr>
          </w:p>
        </w:tc>
        <w:tc>
          <w:tcPr>
            <w:tcW w:w="729" w:type="dxa"/>
            <w:vAlign w:val="top"/>
          </w:tcPr>
          <w:p w14:paraId="26237D24">
            <w:pPr>
              <w:rPr>
                <w:rFonts w:ascii="Arial"/>
                <w:color w:val="auto"/>
                <w:sz w:val="21"/>
                <w:highlight w:val="none"/>
              </w:rPr>
            </w:pPr>
          </w:p>
        </w:tc>
      </w:tr>
      <w:tr w14:paraId="683AD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25" w:type="dxa"/>
            <w:vAlign w:val="top"/>
          </w:tcPr>
          <w:p w14:paraId="1B3D8F8A">
            <w:pPr>
              <w:pStyle w:val="11"/>
              <w:spacing w:before="216" w:line="181" w:lineRule="auto"/>
              <w:ind w:left="320"/>
              <w:rPr>
                <w:color w:val="auto"/>
                <w:highlight w:val="none"/>
              </w:rPr>
            </w:pPr>
            <w:r>
              <w:rPr>
                <w:color w:val="auto"/>
                <w:highlight w:val="none"/>
              </w:rPr>
              <w:t>7</w:t>
            </w:r>
          </w:p>
        </w:tc>
        <w:tc>
          <w:tcPr>
            <w:tcW w:w="2400" w:type="dxa"/>
            <w:vAlign w:val="top"/>
          </w:tcPr>
          <w:p w14:paraId="64EFE5BF">
            <w:pPr>
              <w:pStyle w:val="11"/>
              <w:spacing w:before="40" w:line="231" w:lineRule="auto"/>
              <w:ind w:left="153" w:right="102" w:hanging="38"/>
              <w:rPr>
                <w:color w:val="auto"/>
                <w:highlight w:val="none"/>
              </w:rPr>
            </w:pPr>
            <w:r>
              <w:rPr>
                <w:color w:val="auto"/>
                <w:spacing w:val="7"/>
                <w:highlight w:val="none"/>
              </w:rPr>
              <w:t>无正当理由拒绝更换项</w:t>
            </w:r>
            <w:r>
              <w:rPr>
                <w:color w:val="auto"/>
                <w:spacing w:val="5"/>
                <w:highlight w:val="none"/>
              </w:rPr>
              <w:t xml:space="preserve"> </w:t>
            </w:r>
            <w:r>
              <w:rPr>
                <w:color w:val="auto"/>
                <w:spacing w:val="-6"/>
                <w:highlight w:val="none"/>
              </w:rPr>
              <w:t>目经理的违约责任</w:t>
            </w:r>
          </w:p>
        </w:tc>
        <w:tc>
          <w:tcPr>
            <w:tcW w:w="1315" w:type="dxa"/>
            <w:vAlign w:val="top"/>
          </w:tcPr>
          <w:p w14:paraId="6D811C01">
            <w:pPr>
              <w:pStyle w:val="11"/>
              <w:spacing w:before="239" w:line="182" w:lineRule="auto"/>
              <w:ind w:left="431"/>
              <w:rPr>
                <w:color w:val="auto"/>
                <w:highlight w:val="none"/>
              </w:rPr>
            </w:pPr>
            <w:r>
              <w:rPr>
                <w:color w:val="auto"/>
                <w:spacing w:val="-2"/>
                <w:highlight w:val="none"/>
              </w:rPr>
              <w:t>3.2.4</w:t>
            </w:r>
          </w:p>
        </w:tc>
        <w:tc>
          <w:tcPr>
            <w:tcW w:w="3786" w:type="dxa"/>
            <w:vAlign w:val="top"/>
          </w:tcPr>
          <w:p w14:paraId="1D9D2756">
            <w:pPr>
              <w:rPr>
                <w:rFonts w:ascii="Arial"/>
                <w:color w:val="auto"/>
                <w:sz w:val="21"/>
                <w:highlight w:val="none"/>
              </w:rPr>
            </w:pPr>
          </w:p>
        </w:tc>
        <w:tc>
          <w:tcPr>
            <w:tcW w:w="729" w:type="dxa"/>
            <w:vAlign w:val="top"/>
          </w:tcPr>
          <w:p w14:paraId="059C47FE">
            <w:pPr>
              <w:rPr>
                <w:rFonts w:ascii="Arial"/>
                <w:color w:val="auto"/>
                <w:sz w:val="21"/>
                <w:highlight w:val="none"/>
              </w:rPr>
            </w:pPr>
          </w:p>
        </w:tc>
      </w:tr>
      <w:tr w14:paraId="0D6C26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725" w:type="dxa"/>
            <w:vAlign w:val="top"/>
          </w:tcPr>
          <w:p w14:paraId="50F4C809">
            <w:pPr>
              <w:pStyle w:val="11"/>
              <w:spacing w:before="119" w:line="182" w:lineRule="auto"/>
              <w:ind w:left="316"/>
              <w:rPr>
                <w:color w:val="auto"/>
                <w:highlight w:val="none"/>
              </w:rPr>
            </w:pPr>
            <w:r>
              <w:rPr>
                <w:color w:val="auto"/>
                <w:highlight w:val="none"/>
              </w:rPr>
              <w:t>8</w:t>
            </w:r>
          </w:p>
        </w:tc>
        <w:tc>
          <w:tcPr>
            <w:tcW w:w="2400" w:type="dxa"/>
            <w:vAlign w:val="top"/>
          </w:tcPr>
          <w:p w14:paraId="5ED48048">
            <w:pPr>
              <w:pStyle w:val="11"/>
              <w:spacing w:before="83" w:line="221" w:lineRule="auto"/>
              <w:ind w:left="113"/>
              <w:rPr>
                <w:color w:val="auto"/>
                <w:highlight w:val="none"/>
              </w:rPr>
            </w:pPr>
            <w:r>
              <w:rPr>
                <w:color w:val="auto"/>
                <w:spacing w:val="-1"/>
                <w:highlight w:val="none"/>
              </w:rPr>
              <w:t>承包人履约担保金额</w:t>
            </w:r>
          </w:p>
        </w:tc>
        <w:tc>
          <w:tcPr>
            <w:tcW w:w="1315" w:type="dxa"/>
            <w:vAlign w:val="top"/>
          </w:tcPr>
          <w:p w14:paraId="12A7D7C5">
            <w:pPr>
              <w:pStyle w:val="11"/>
              <w:spacing w:before="119" w:line="182" w:lineRule="auto"/>
              <w:ind w:left="536"/>
              <w:rPr>
                <w:color w:val="auto"/>
                <w:highlight w:val="none"/>
              </w:rPr>
            </w:pPr>
            <w:r>
              <w:rPr>
                <w:color w:val="auto"/>
                <w:spacing w:val="-3"/>
                <w:highlight w:val="none"/>
              </w:rPr>
              <w:t>3.7</w:t>
            </w:r>
          </w:p>
        </w:tc>
        <w:tc>
          <w:tcPr>
            <w:tcW w:w="3786" w:type="dxa"/>
            <w:vAlign w:val="top"/>
          </w:tcPr>
          <w:p w14:paraId="085B90B5">
            <w:pPr>
              <w:rPr>
                <w:rFonts w:ascii="Arial"/>
                <w:color w:val="auto"/>
                <w:sz w:val="21"/>
                <w:highlight w:val="none"/>
              </w:rPr>
            </w:pPr>
          </w:p>
        </w:tc>
        <w:tc>
          <w:tcPr>
            <w:tcW w:w="729" w:type="dxa"/>
            <w:vAlign w:val="top"/>
          </w:tcPr>
          <w:p w14:paraId="6A38D1A2">
            <w:pPr>
              <w:rPr>
                <w:rFonts w:ascii="Arial"/>
                <w:color w:val="auto"/>
                <w:sz w:val="21"/>
                <w:highlight w:val="none"/>
              </w:rPr>
            </w:pPr>
          </w:p>
        </w:tc>
      </w:tr>
      <w:tr w14:paraId="2A00C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725" w:type="dxa"/>
            <w:vAlign w:val="top"/>
          </w:tcPr>
          <w:p w14:paraId="541E4FBC">
            <w:pPr>
              <w:pStyle w:val="11"/>
              <w:spacing w:before="104" w:line="182" w:lineRule="auto"/>
              <w:ind w:left="316"/>
              <w:rPr>
                <w:color w:val="auto"/>
                <w:highlight w:val="none"/>
              </w:rPr>
            </w:pPr>
            <w:r>
              <w:rPr>
                <w:color w:val="auto"/>
                <w:highlight w:val="none"/>
              </w:rPr>
              <w:t>9</w:t>
            </w:r>
          </w:p>
        </w:tc>
        <w:tc>
          <w:tcPr>
            <w:tcW w:w="2400" w:type="dxa"/>
            <w:vAlign w:val="top"/>
          </w:tcPr>
          <w:p w14:paraId="4BBA1BAC">
            <w:pPr>
              <w:pStyle w:val="11"/>
              <w:spacing w:before="69" w:line="221" w:lineRule="auto"/>
              <w:ind w:left="116"/>
              <w:rPr>
                <w:color w:val="auto"/>
                <w:highlight w:val="none"/>
              </w:rPr>
            </w:pPr>
            <w:r>
              <w:rPr>
                <w:color w:val="auto"/>
                <w:spacing w:val="-3"/>
                <w:highlight w:val="none"/>
              </w:rPr>
              <w:t>分包</w:t>
            </w:r>
          </w:p>
        </w:tc>
        <w:tc>
          <w:tcPr>
            <w:tcW w:w="1315" w:type="dxa"/>
            <w:vAlign w:val="top"/>
          </w:tcPr>
          <w:p w14:paraId="383BECA2">
            <w:pPr>
              <w:pStyle w:val="11"/>
              <w:spacing w:before="104" w:line="182" w:lineRule="auto"/>
              <w:ind w:left="431"/>
              <w:rPr>
                <w:color w:val="auto"/>
                <w:highlight w:val="none"/>
              </w:rPr>
            </w:pPr>
            <w:r>
              <w:rPr>
                <w:color w:val="auto"/>
                <w:spacing w:val="-2"/>
                <w:highlight w:val="none"/>
              </w:rPr>
              <w:t>3.5.2</w:t>
            </w:r>
          </w:p>
        </w:tc>
        <w:tc>
          <w:tcPr>
            <w:tcW w:w="3786" w:type="dxa"/>
            <w:vAlign w:val="top"/>
          </w:tcPr>
          <w:p w14:paraId="20E87D79">
            <w:pPr>
              <w:pStyle w:val="11"/>
              <w:spacing w:before="69" w:line="220" w:lineRule="auto"/>
              <w:ind w:left="114"/>
              <w:rPr>
                <w:color w:val="auto"/>
                <w:highlight w:val="none"/>
              </w:rPr>
            </w:pPr>
            <w:r>
              <w:rPr>
                <w:color w:val="auto"/>
                <w:spacing w:val="-1"/>
                <w:highlight w:val="none"/>
              </w:rPr>
              <w:t>见拟分包计划表</w:t>
            </w:r>
          </w:p>
        </w:tc>
        <w:tc>
          <w:tcPr>
            <w:tcW w:w="729" w:type="dxa"/>
            <w:vAlign w:val="top"/>
          </w:tcPr>
          <w:p w14:paraId="4D5B4B9B">
            <w:pPr>
              <w:rPr>
                <w:rFonts w:ascii="Arial"/>
                <w:color w:val="auto"/>
                <w:sz w:val="21"/>
                <w:highlight w:val="none"/>
              </w:rPr>
            </w:pPr>
          </w:p>
        </w:tc>
      </w:tr>
      <w:tr w14:paraId="3D693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25" w:type="dxa"/>
            <w:vAlign w:val="top"/>
          </w:tcPr>
          <w:p w14:paraId="5EFE1E60">
            <w:pPr>
              <w:pStyle w:val="11"/>
              <w:spacing w:before="137" w:line="183" w:lineRule="auto"/>
              <w:ind w:left="278"/>
              <w:rPr>
                <w:color w:val="auto"/>
                <w:highlight w:val="none"/>
              </w:rPr>
            </w:pPr>
            <w:r>
              <w:rPr>
                <w:color w:val="auto"/>
                <w:spacing w:val="-6"/>
                <w:highlight w:val="none"/>
              </w:rPr>
              <w:t>10</w:t>
            </w:r>
          </w:p>
        </w:tc>
        <w:tc>
          <w:tcPr>
            <w:tcW w:w="2400" w:type="dxa"/>
            <w:vAlign w:val="top"/>
          </w:tcPr>
          <w:p w14:paraId="57497EE0">
            <w:pPr>
              <w:pStyle w:val="11"/>
              <w:spacing w:before="102" w:line="221" w:lineRule="auto"/>
              <w:ind w:left="112"/>
              <w:rPr>
                <w:color w:val="auto"/>
                <w:highlight w:val="none"/>
              </w:rPr>
            </w:pPr>
            <w:r>
              <w:rPr>
                <w:color w:val="auto"/>
                <w:spacing w:val="-1"/>
                <w:highlight w:val="none"/>
              </w:rPr>
              <w:t>逾期竣工违约金</w:t>
            </w:r>
          </w:p>
        </w:tc>
        <w:tc>
          <w:tcPr>
            <w:tcW w:w="1315" w:type="dxa"/>
            <w:vAlign w:val="top"/>
          </w:tcPr>
          <w:p w14:paraId="0C798ACA">
            <w:pPr>
              <w:pStyle w:val="11"/>
              <w:spacing w:before="138" w:line="182" w:lineRule="auto"/>
              <w:ind w:left="432"/>
              <w:rPr>
                <w:color w:val="auto"/>
                <w:highlight w:val="none"/>
              </w:rPr>
            </w:pPr>
            <w:r>
              <w:rPr>
                <w:color w:val="auto"/>
                <w:spacing w:val="-2"/>
                <w:highlight w:val="none"/>
              </w:rPr>
              <w:t>7.5.2</w:t>
            </w:r>
          </w:p>
        </w:tc>
        <w:tc>
          <w:tcPr>
            <w:tcW w:w="3786" w:type="dxa"/>
            <w:vAlign w:val="top"/>
          </w:tcPr>
          <w:p w14:paraId="6C718C6D">
            <w:pPr>
              <w:pStyle w:val="11"/>
              <w:tabs>
                <w:tab w:val="left" w:pos="1259"/>
              </w:tabs>
              <w:spacing w:before="103" w:line="221" w:lineRule="auto"/>
              <w:ind w:left="102"/>
              <w:rPr>
                <w:color w:val="auto"/>
                <w:highlight w:val="none"/>
              </w:rPr>
            </w:pPr>
            <w:r>
              <w:rPr>
                <w:color w:val="auto"/>
                <w:highlight w:val="none"/>
                <w:u w:val="single" w:color="auto"/>
              </w:rPr>
              <w:tab/>
            </w:r>
            <w:r>
              <w:rPr>
                <w:color w:val="auto"/>
                <w:spacing w:val="-94"/>
                <w:highlight w:val="none"/>
              </w:rPr>
              <w:t xml:space="preserve"> </w:t>
            </w:r>
            <w:r>
              <w:rPr>
                <w:color w:val="auto"/>
                <w:spacing w:val="-3"/>
                <w:highlight w:val="none"/>
              </w:rPr>
              <w:t>元/天</w:t>
            </w:r>
          </w:p>
        </w:tc>
        <w:tc>
          <w:tcPr>
            <w:tcW w:w="729" w:type="dxa"/>
            <w:vAlign w:val="top"/>
          </w:tcPr>
          <w:p w14:paraId="7AD4256B">
            <w:pPr>
              <w:rPr>
                <w:rFonts w:ascii="Arial"/>
                <w:color w:val="auto"/>
                <w:sz w:val="21"/>
                <w:highlight w:val="none"/>
              </w:rPr>
            </w:pPr>
          </w:p>
        </w:tc>
      </w:tr>
      <w:tr w14:paraId="23E7F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25" w:type="dxa"/>
            <w:vAlign w:val="top"/>
          </w:tcPr>
          <w:p w14:paraId="37D8E6DE">
            <w:pPr>
              <w:pStyle w:val="11"/>
              <w:spacing w:before="137" w:line="183" w:lineRule="auto"/>
              <w:ind w:left="278"/>
              <w:rPr>
                <w:color w:val="auto"/>
                <w:highlight w:val="none"/>
              </w:rPr>
            </w:pPr>
            <w:r>
              <w:rPr>
                <w:color w:val="auto"/>
                <w:spacing w:val="-6"/>
                <w:highlight w:val="none"/>
              </w:rPr>
              <w:t>11</w:t>
            </w:r>
          </w:p>
        </w:tc>
        <w:tc>
          <w:tcPr>
            <w:tcW w:w="2400" w:type="dxa"/>
            <w:vAlign w:val="top"/>
          </w:tcPr>
          <w:p w14:paraId="4ADEE838">
            <w:pPr>
              <w:pStyle w:val="11"/>
              <w:spacing w:before="102" w:line="221" w:lineRule="auto"/>
              <w:ind w:left="112"/>
              <w:rPr>
                <w:color w:val="auto"/>
                <w:highlight w:val="none"/>
              </w:rPr>
            </w:pPr>
            <w:r>
              <w:rPr>
                <w:color w:val="auto"/>
                <w:spacing w:val="-1"/>
                <w:highlight w:val="none"/>
              </w:rPr>
              <w:t>逾期竣工违约金的上限</w:t>
            </w:r>
          </w:p>
        </w:tc>
        <w:tc>
          <w:tcPr>
            <w:tcW w:w="1315" w:type="dxa"/>
            <w:vAlign w:val="top"/>
          </w:tcPr>
          <w:p w14:paraId="42398410">
            <w:pPr>
              <w:pStyle w:val="11"/>
              <w:spacing w:before="138" w:line="182" w:lineRule="auto"/>
              <w:ind w:left="432"/>
              <w:rPr>
                <w:color w:val="auto"/>
                <w:highlight w:val="none"/>
              </w:rPr>
            </w:pPr>
            <w:r>
              <w:rPr>
                <w:color w:val="auto"/>
                <w:spacing w:val="-2"/>
                <w:highlight w:val="none"/>
              </w:rPr>
              <w:t>7.5.2</w:t>
            </w:r>
          </w:p>
        </w:tc>
        <w:tc>
          <w:tcPr>
            <w:tcW w:w="3786" w:type="dxa"/>
            <w:vAlign w:val="top"/>
          </w:tcPr>
          <w:p w14:paraId="4400F831">
            <w:pPr>
              <w:rPr>
                <w:rFonts w:ascii="Arial"/>
                <w:color w:val="auto"/>
                <w:sz w:val="21"/>
                <w:highlight w:val="none"/>
              </w:rPr>
            </w:pPr>
            <w:r>
              <w:rPr>
                <w:color w:val="auto"/>
                <w:highlight w:val="none"/>
              </w:rPr>
              <w:pict>
                <v:rect id="_x0000_s2075" o:spid="_x0000_s2075" o:spt="1" style="position:absolute;left:0pt;margin-left:5.3pt;margin-top:15.9pt;height:0.5pt;width:68.2pt;mso-position-horizontal-relative:page;mso-position-vertical-relative:page;z-index:251728896;mso-width-relative:page;mso-height-relative:page;" fillcolor="#000000" filled="t" stroked="f" coordsize="21600,21600">
                  <v:path/>
                  <v:fill on="t" focussize="0,0"/>
                  <v:stroke on="f"/>
                  <v:imagedata o:title=""/>
                  <o:lock v:ext="edit"/>
                </v:rect>
              </w:pict>
            </w:r>
          </w:p>
        </w:tc>
        <w:tc>
          <w:tcPr>
            <w:tcW w:w="729" w:type="dxa"/>
            <w:vAlign w:val="top"/>
          </w:tcPr>
          <w:p w14:paraId="46BD2B55">
            <w:pPr>
              <w:rPr>
                <w:rFonts w:ascii="Arial"/>
                <w:color w:val="auto"/>
                <w:sz w:val="21"/>
                <w:highlight w:val="none"/>
              </w:rPr>
            </w:pPr>
          </w:p>
        </w:tc>
      </w:tr>
      <w:tr w14:paraId="79444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25" w:type="dxa"/>
            <w:vAlign w:val="top"/>
          </w:tcPr>
          <w:p w14:paraId="68DD3C6B">
            <w:pPr>
              <w:pStyle w:val="11"/>
              <w:spacing w:before="214" w:line="183" w:lineRule="auto"/>
              <w:ind w:left="278"/>
              <w:rPr>
                <w:color w:val="auto"/>
                <w:highlight w:val="none"/>
              </w:rPr>
            </w:pPr>
            <w:r>
              <w:rPr>
                <w:color w:val="auto"/>
                <w:spacing w:val="-6"/>
                <w:highlight w:val="none"/>
              </w:rPr>
              <w:t>12</w:t>
            </w:r>
          </w:p>
        </w:tc>
        <w:tc>
          <w:tcPr>
            <w:tcW w:w="2400" w:type="dxa"/>
            <w:vAlign w:val="top"/>
          </w:tcPr>
          <w:p w14:paraId="2266504F">
            <w:pPr>
              <w:pStyle w:val="11"/>
              <w:spacing w:before="180" w:line="219" w:lineRule="auto"/>
              <w:ind w:left="114"/>
              <w:rPr>
                <w:color w:val="auto"/>
                <w:highlight w:val="none"/>
              </w:rPr>
            </w:pPr>
            <w:r>
              <w:rPr>
                <w:color w:val="auto"/>
                <w:spacing w:val="-1"/>
                <w:highlight w:val="none"/>
              </w:rPr>
              <w:t>价格调整的差额计算</w:t>
            </w:r>
          </w:p>
        </w:tc>
        <w:tc>
          <w:tcPr>
            <w:tcW w:w="1315" w:type="dxa"/>
            <w:vAlign w:val="top"/>
          </w:tcPr>
          <w:p w14:paraId="5655175C">
            <w:pPr>
              <w:pStyle w:val="11"/>
              <w:spacing w:before="214" w:line="183" w:lineRule="auto"/>
              <w:ind w:left="495"/>
              <w:rPr>
                <w:color w:val="auto"/>
                <w:highlight w:val="none"/>
              </w:rPr>
            </w:pPr>
            <w:r>
              <w:rPr>
                <w:color w:val="auto"/>
                <w:spacing w:val="-5"/>
                <w:highlight w:val="none"/>
              </w:rPr>
              <w:t>11.1</w:t>
            </w:r>
          </w:p>
        </w:tc>
        <w:tc>
          <w:tcPr>
            <w:tcW w:w="3786" w:type="dxa"/>
            <w:vAlign w:val="top"/>
          </w:tcPr>
          <w:p w14:paraId="27833A10">
            <w:pPr>
              <w:pStyle w:val="11"/>
              <w:spacing w:before="46" w:line="228" w:lineRule="auto"/>
              <w:ind w:left="112" w:right="101" w:hanging="3"/>
              <w:rPr>
                <w:color w:val="auto"/>
                <w:highlight w:val="none"/>
              </w:rPr>
            </w:pPr>
            <w:r>
              <w:rPr>
                <w:color w:val="auto"/>
                <w:spacing w:val="-6"/>
                <w:highlight w:val="none"/>
              </w:rPr>
              <w:t>采用价格指数进行价格调整时， 见价格</w:t>
            </w:r>
            <w:r>
              <w:rPr>
                <w:color w:val="auto"/>
                <w:spacing w:val="1"/>
                <w:highlight w:val="none"/>
              </w:rPr>
              <w:t xml:space="preserve"> </w:t>
            </w:r>
            <w:r>
              <w:rPr>
                <w:color w:val="auto"/>
                <w:spacing w:val="-1"/>
                <w:highlight w:val="none"/>
              </w:rPr>
              <w:t>指数权重表</w:t>
            </w:r>
          </w:p>
        </w:tc>
        <w:tc>
          <w:tcPr>
            <w:tcW w:w="729" w:type="dxa"/>
            <w:vAlign w:val="top"/>
          </w:tcPr>
          <w:p w14:paraId="5BD82183">
            <w:pPr>
              <w:rPr>
                <w:rFonts w:ascii="Arial"/>
                <w:color w:val="auto"/>
                <w:sz w:val="21"/>
                <w:highlight w:val="none"/>
              </w:rPr>
            </w:pPr>
          </w:p>
        </w:tc>
      </w:tr>
      <w:tr w14:paraId="52449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25" w:type="dxa"/>
            <w:vAlign w:val="top"/>
          </w:tcPr>
          <w:p w14:paraId="0FB24372">
            <w:pPr>
              <w:pStyle w:val="11"/>
              <w:spacing w:before="148" w:line="183" w:lineRule="auto"/>
              <w:ind w:left="278"/>
              <w:rPr>
                <w:color w:val="auto"/>
                <w:highlight w:val="none"/>
              </w:rPr>
            </w:pPr>
            <w:r>
              <w:rPr>
                <w:color w:val="auto"/>
                <w:spacing w:val="-6"/>
                <w:highlight w:val="none"/>
              </w:rPr>
              <w:t>13</w:t>
            </w:r>
          </w:p>
        </w:tc>
        <w:tc>
          <w:tcPr>
            <w:tcW w:w="2400" w:type="dxa"/>
            <w:vAlign w:val="top"/>
          </w:tcPr>
          <w:p w14:paraId="746888A0">
            <w:pPr>
              <w:pStyle w:val="11"/>
              <w:spacing w:before="113" w:line="221" w:lineRule="auto"/>
              <w:ind w:left="115"/>
              <w:rPr>
                <w:color w:val="auto"/>
                <w:highlight w:val="none"/>
              </w:rPr>
            </w:pPr>
            <w:r>
              <w:rPr>
                <w:color w:val="auto"/>
                <w:spacing w:val="-1"/>
                <w:highlight w:val="none"/>
              </w:rPr>
              <w:t>预付款支付比例或金额</w:t>
            </w:r>
          </w:p>
        </w:tc>
        <w:tc>
          <w:tcPr>
            <w:tcW w:w="1315" w:type="dxa"/>
            <w:vAlign w:val="top"/>
          </w:tcPr>
          <w:p w14:paraId="2CFFAB4F">
            <w:pPr>
              <w:pStyle w:val="11"/>
              <w:spacing w:before="148" w:line="183" w:lineRule="auto"/>
              <w:ind w:left="389"/>
              <w:rPr>
                <w:color w:val="auto"/>
                <w:highlight w:val="none"/>
              </w:rPr>
            </w:pPr>
            <w:r>
              <w:rPr>
                <w:color w:val="auto"/>
                <w:spacing w:val="-3"/>
                <w:highlight w:val="none"/>
              </w:rPr>
              <w:t>12.2.1</w:t>
            </w:r>
          </w:p>
        </w:tc>
        <w:tc>
          <w:tcPr>
            <w:tcW w:w="3786" w:type="dxa"/>
            <w:vAlign w:val="top"/>
          </w:tcPr>
          <w:p w14:paraId="49534C2A">
            <w:pPr>
              <w:rPr>
                <w:rFonts w:ascii="Arial"/>
                <w:color w:val="auto"/>
                <w:sz w:val="21"/>
                <w:highlight w:val="none"/>
              </w:rPr>
            </w:pPr>
          </w:p>
        </w:tc>
        <w:tc>
          <w:tcPr>
            <w:tcW w:w="729" w:type="dxa"/>
            <w:vAlign w:val="top"/>
          </w:tcPr>
          <w:p w14:paraId="45D9291C">
            <w:pPr>
              <w:rPr>
                <w:rFonts w:ascii="Arial"/>
                <w:color w:val="auto"/>
                <w:sz w:val="21"/>
                <w:highlight w:val="none"/>
              </w:rPr>
            </w:pPr>
          </w:p>
        </w:tc>
      </w:tr>
      <w:tr w14:paraId="002D3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1" w:hRule="atLeast"/>
        </w:trPr>
        <w:tc>
          <w:tcPr>
            <w:tcW w:w="725" w:type="dxa"/>
            <w:vAlign w:val="top"/>
          </w:tcPr>
          <w:p w14:paraId="48F32540">
            <w:pPr>
              <w:pStyle w:val="11"/>
              <w:spacing w:before="181" w:line="183" w:lineRule="auto"/>
              <w:ind w:left="278"/>
              <w:rPr>
                <w:color w:val="auto"/>
                <w:highlight w:val="none"/>
              </w:rPr>
            </w:pPr>
            <w:r>
              <w:rPr>
                <w:color w:val="auto"/>
                <w:spacing w:val="-6"/>
                <w:highlight w:val="none"/>
              </w:rPr>
              <w:t>14</w:t>
            </w:r>
          </w:p>
        </w:tc>
        <w:tc>
          <w:tcPr>
            <w:tcW w:w="2400" w:type="dxa"/>
            <w:vAlign w:val="top"/>
          </w:tcPr>
          <w:p w14:paraId="4D307160">
            <w:pPr>
              <w:pStyle w:val="11"/>
              <w:spacing w:before="113" w:line="221" w:lineRule="auto"/>
              <w:ind w:left="114"/>
              <w:rPr>
                <w:color w:val="auto"/>
                <w:highlight w:val="none"/>
              </w:rPr>
            </w:pPr>
            <w:r>
              <w:rPr>
                <w:color w:val="auto"/>
                <w:spacing w:val="-1"/>
                <w:highlight w:val="none"/>
              </w:rPr>
              <w:t>质量保证金额度</w:t>
            </w:r>
          </w:p>
        </w:tc>
        <w:tc>
          <w:tcPr>
            <w:tcW w:w="1315" w:type="dxa"/>
            <w:vAlign w:val="top"/>
          </w:tcPr>
          <w:p w14:paraId="67F998A5">
            <w:pPr>
              <w:pStyle w:val="11"/>
              <w:spacing w:before="148" w:line="183" w:lineRule="auto"/>
              <w:ind w:left="389"/>
              <w:rPr>
                <w:color w:val="auto"/>
                <w:highlight w:val="none"/>
              </w:rPr>
            </w:pPr>
            <w:r>
              <w:rPr>
                <w:color w:val="auto"/>
                <w:spacing w:val="-3"/>
                <w:highlight w:val="none"/>
              </w:rPr>
              <w:t>15.3.1</w:t>
            </w:r>
          </w:p>
        </w:tc>
        <w:tc>
          <w:tcPr>
            <w:tcW w:w="3786" w:type="dxa"/>
            <w:vAlign w:val="top"/>
          </w:tcPr>
          <w:p w14:paraId="6F2CDFA5">
            <w:pPr>
              <w:rPr>
                <w:rFonts w:ascii="Arial"/>
                <w:color w:val="auto"/>
                <w:sz w:val="21"/>
                <w:highlight w:val="none"/>
              </w:rPr>
            </w:pPr>
          </w:p>
        </w:tc>
        <w:tc>
          <w:tcPr>
            <w:tcW w:w="729" w:type="dxa"/>
            <w:vAlign w:val="top"/>
          </w:tcPr>
          <w:p w14:paraId="3FBCFE38">
            <w:pPr>
              <w:rPr>
                <w:rFonts w:ascii="Arial"/>
                <w:color w:val="auto"/>
                <w:sz w:val="21"/>
                <w:highlight w:val="none"/>
              </w:rPr>
            </w:pPr>
          </w:p>
        </w:tc>
      </w:tr>
      <w:tr w14:paraId="622130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25" w:type="dxa"/>
            <w:vAlign w:val="top"/>
          </w:tcPr>
          <w:p w14:paraId="00097F10">
            <w:pPr>
              <w:pStyle w:val="11"/>
              <w:spacing w:before="139" w:line="183" w:lineRule="auto"/>
              <w:ind w:left="278"/>
              <w:rPr>
                <w:color w:val="auto"/>
                <w:highlight w:val="none"/>
              </w:rPr>
            </w:pPr>
            <w:r>
              <w:rPr>
                <w:color w:val="auto"/>
                <w:spacing w:val="-6"/>
                <w:highlight w:val="none"/>
              </w:rPr>
              <w:t>15</w:t>
            </w:r>
          </w:p>
        </w:tc>
        <w:tc>
          <w:tcPr>
            <w:tcW w:w="2400" w:type="dxa"/>
            <w:vAlign w:val="top"/>
          </w:tcPr>
          <w:p w14:paraId="1DF7B800">
            <w:pPr>
              <w:pStyle w:val="11"/>
              <w:spacing w:before="105" w:line="221" w:lineRule="auto"/>
              <w:ind w:left="114"/>
              <w:rPr>
                <w:color w:val="auto"/>
                <w:highlight w:val="none"/>
              </w:rPr>
            </w:pPr>
            <w:r>
              <w:rPr>
                <w:color w:val="auto"/>
                <w:spacing w:val="-1"/>
                <w:highlight w:val="none"/>
              </w:rPr>
              <w:t>质量保证金的扣留方式</w:t>
            </w:r>
          </w:p>
        </w:tc>
        <w:tc>
          <w:tcPr>
            <w:tcW w:w="1315" w:type="dxa"/>
            <w:vAlign w:val="top"/>
          </w:tcPr>
          <w:p w14:paraId="5DE508E2">
            <w:pPr>
              <w:pStyle w:val="11"/>
              <w:spacing w:before="139" w:line="183" w:lineRule="auto"/>
              <w:ind w:left="389"/>
              <w:rPr>
                <w:color w:val="auto"/>
                <w:highlight w:val="none"/>
              </w:rPr>
            </w:pPr>
            <w:r>
              <w:rPr>
                <w:color w:val="auto"/>
                <w:spacing w:val="-3"/>
                <w:highlight w:val="none"/>
              </w:rPr>
              <w:t>15.3.2</w:t>
            </w:r>
          </w:p>
        </w:tc>
        <w:tc>
          <w:tcPr>
            <w:tcW w:w="3786" w:type="dxa"/>
            <w:vAlign w:val="top"/>
          </w:tcPr>
          <w:p w14:paraId="1C7D1C87">
            <w:pPr>
              <w:rPr>
                <w:rFonts w:ascii="Arial"/>
                <w:color w:val="auto"/>
                <w:sz w:val="21"/>
                <w:highlight w:val="none"/>
              </w:rPr>
            </w:pPr>
          </w:p>
        </w:tc>
        <w:tc>
          <w:tcPr>
            <w:tcW w:w="729" w:type="dxa"/>
            <w:vAlign w:val="top"/>
          </w:tcPr>
          <w:p w14:paraId="762D5A0E">
            <w:pPr>
              <w:rPr>
                <w:rFonts w:ascii="Arial"/>
                <w:color w:val="auto"/>
                <w:sz w:val="21"/>
                <w:highlight w:val="none"/>
              </w:rPr>
            </w:pPr>
          </w:p>
        </w:tc>
      </w:tr>
      <w:tr w14:paraId="03817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725" w:type="dxa"/>
            <w:vAlign w:val="top"/>
          </w:tcPr>
          <w:p w14:paraId="0D2F6351">
            <w:pPr>
              <w:pStyle w:val="11"/>
              <w:spacing w:before="231" w:line="183" w:lineRule="auto"/>
              <w:ind w:left="278"/>
              <w:rPr>
                <w:color w:val="auto"/>
                <w:highlight w:val="none"/>
              </w:rPr>
            </w:pPr>
            <w:r>
              <w:rPr>
                <w:color w:val="auto"/>
                <w:spacing w:val="-6"/>
                <w:highlight w:val="none"/>
              </w:rPr>
              <w:t>16</w:t>
            </w:r>
          </w:p>
        </w:tc>
        <w:tc>
          <w:tcPr>
            <w:tcW w:w="2400" w:type="dxa"/>
            <w:vAlign w:val="top"/>
          </w:tcPr>
          <w:p w14:paraId="045156C2">
            <w:pPr>
              <w:pStyle w:val="11"/>
              <w:spacing w:before="196" w:line="221" w:lineRule="auto"/>
              <w:ind w:left="114"/>
              <w:rPr>
                <w:color w:val="auto"/>
                <w:highlight w:val="none"/>
              </w:rPr>
            </w:pPr>
            <w:r>
              <w:rPr>
                <w:color w:val="auto"/>
                <w:spacing w:val="-1"/>
                <w:highlight w:val="none"/>
              </w:rPr>
              <w:t>技术标准和要求</w:t>
            </w:r>
          </w:p>
        </w:tc>
        <w:tc>
          <w:tcPr>
            <w:tcW w:w="1315" w:type="dxa"/>
            <w:vAlign w:val="top"/>
          </w:tcPr>
          <w:p w14:paraId="2623F596">
            <w:pPr>
              <w:rPr>
                <w:rFonts w:ascii="Arial"/>
                <w:color w:val="auto"/>
                <w:sz w:val="21"/>
                <w:highlight w:val="none"/>
              </w:rPr>
            </w:pPr>
          </w:p>
        </w:tc>
        <w:tc>
          <w:tcPr>
            <w:tcW w:w="3786" w:type="dxa"/>
            <w:vAlign w:val="top"/>
          </w:tcPr>
          <w:p w14:paraId="23DC96B7">
            <w:pPr>
              <w:pStyle w:val="11"/>
              <w:spacing w:before="196" w:line="220" w:lineRule="auto"/>
              <w:ind w:left="112"/>
              <w:rPr>
                <w:color w:val="auto"/>
                <w:highlight w:val="none"/>
              </w:rPr>
            </w:pPr>
            <w:r>
              <w:rPr>
                <w:color w:val="auto"/>
                <w:spacing w:val="-1"/>
                <w:highlight w:val="none"/>
              </w:rPr>
              <w:t>符合第七章“技术标准和要求”规定</w:t>
            </w:r>
          </w:p>
        </w:tc>
        <w:tc>
          <w:tcPr>
            <w:tcW w:w="729" w:type="dxa"/>
            <w:vAlign w:val="top"/>
          </w:tcPr>
          <w:p w14:paraId="14B4478B">
            <w:pPr>
              <w:rPr>
                <w:rFonts w:ascii="Arial"/>
                <w:color w:val="auto"/>
                <w:sz w:val="21"/>
                <w:highlight w:val="none"/>
              </w:rPr>
            </w:pPr>
          </w:p>
        </w:tc>
      </w:tr>
      <w:tr w14:paraId="6F57E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955" w:type="dxa"/>
            <w:gridSpan w:val="5"/>
            <w:vAlign w:val="top"/>
          </w:tcPr>
          <w:p w14:paraId="34A17459">
            <w:pPr>
              <w:pStyle w:val="11"/>
              <w:spacing w:before="116" w:line="230" w:lineRule="auto"/>
              <w:ind w:left="134" w:right="106" w:hanging="14"/>
              <w:rPr>
                <w:color w:val="auto"/>
                <w:highlight w:val="none"/>
              </w:rPr>
            </w:pPr>
            <w:r>
              <w:rPr>
                <w:color w:val="auto"/>
                <w:highlight w:val="none"/>
              </w:rPr>
              <w:t>备注： 投标人在响应招标文件中规定的实质性要求和条件的基础上，可做出其他有利于招标人</w:t>
            </w:r>
            <w:r>
              <w:rPr>
                <w:color w:val="auto"/>
                <w:spacing w:val="6"/>
                <w:highlight w:val="none"/>
              </w:rPr>
              <w:t xml:space="preserve"> </w:t>
            </w:r>
            <w:r>
              <w:rPr>
                <w:color w:val="auto"/>
                <w:spacing w:val="-3"/>
                <w:highlight w:val="none"/>
              </w:rPr>
              <w:t>的承诺。此类承诺可在本表中予以补充填写。</w:t>
            </w:r>
          </w:p>
        </w:tc>
      </w:tr>
    </w:tbl>
    <w:p w14:paraId="7C26ADB6">
      <w:pPr>
        <w:pStyle w:val="3"/>
        <w:spacing w:line="269" w:lineRule="auto"/>
        <w:rPr>
          <w:color w:val="auto"/>
          <w:highlight w:val="none"/>
        </w:rPr>
      </w:pPr>
    </w:p>
    <w:p w14:paraId="2CD31C80">
      <w:pPr>
        <w:pStyle w:val="3"/>
        <w:spacing w:line="270" w:lineRule="auto"/>
        <w:rPr>
          <w:color w:val="auto"/>
          <w:highlight w:val="none"/>
        </w:rPr>
      </w:pPr>
    </w:p>
    <w:p w14:paraId="75966C29">
      <w:pPr>
        <w:spacing w:before="69" w:line="388" w:lineRule="auto"/>
        <w:ind w:left="4010"/>
        <w:rPr>
          <w:rFonts w:ascii="宋体" w:hAnsi="宋体" w:eastAsia="宋体" w:cs="宋体"/>
          <w:color w:val="auto"/>
          <w:sz w:val="21"/>
          <w:szCs w:val="21"/>
          <w:highlight w:val="none"/>
        </w:rPr>
      </w:pPr>
      <w:r>
        <w:rPr>
          <w:rFonts w:ascii="宋体" w:hAnsi="宋体" w:eastAsia="宋体" w:cs="宋体"/>
          <w:color w:val="auto"/>
          <w:spacing w:val="-22"/>
          <w:sz w:val="21"/>
          <w:szCs w:val="21"/>
          <w:highlight w:val="none"/>
        </w:rPr>
        <w:t>投</w:t>
      </w:r>
      <w:r>
        <w:rPr>
          <w:rFonts w:ascii="宋体" w:hAnsi="宋体" w:eastAsia="宋体" w:cs="宋体"/>
          <w:color w:val="auto"/>
          <w:spacing w:val="-43"/>
          <w:sz w:val="21"/>
          <w:szCs w:val="21"/>
          <w:highlight w:val="none"/>
        </w:rPr>
        <w:t xml:space="preserve"> </w:t>
      </w:r>
      <w:r>
        <w:rPr>
          <w:rFonts w:ascii="宋体" w:hAnsi="宋体" w:eastAsia="宋体" w:cs="宋体"/>
          <w:color w:val="auto"/>
          <w:spacing w:val="-22"/>
          <w:sz w:val="21"/>
          <w:szCs w:val="21"/>
          <w:highlight w:val="none"/>
        </w:rPr>
        <w:t>标</w:t>
      </w:r>
      <w:r>
        <w:rPr>
          <w:rFonts w:ascii="宋体" w:hAnsi="宋体" w:eastAsia="宋体" w:cs="宋体"/>
          <w:color w:val="auto"/>
          <w:spacing w:val="-43"/>
          <w:sz w:val="21"/>
          <w:szCs w:val="21"/>
          <w:highlight w:val="none"/>
        </w:rPr>
        <w:t xml:space="preserve"> </w:t>
      </w:r>
      <w:r>
        <w:rPr>
          <w:rFonts w:ascii="宋体" w:hAnsi="宋体" w:eastAsia="宋体" w:cs="宋体"/>
          <w:color w:val="auto"/>
          <w:spacing w:val="-22"/>
          <w:sz w:val="21"/>
          <w:szCs w:val="21"/>
          <w:highlight w:val="none"/>
        </w:rPr>
        <w:t>人</w:t>
      </w:r>
      <w:r>
        <w:rPr>
          <w:rFonts w:ascii="宋体" w:hAnsi="宋体" w:eastAsia="宋体" w:cs="宋体"/>
          <w:color w:val="auto"/>
          <w:sz w:val="21"/>
          <w:szCs w:val="21"/>
          <w:highlight w:val="none"/>
        </w:rPr>
        <w:t>：</w:t>
      </w:r>
      <w:r>
        <w:rPr>
          <w:rFonts w:ascii="宋体" w:hAnsi="宋体" w:eastAsia="宋体" w:cs="宋体"/>
          <w:color w:val="auto"/>
          <w:spacing w:val="-31"/>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19"/>
          <w:sz w:val="21"/>
          <w:szCs w:val="21"/>
          <w:highlight w:val="none"/>
        </w:rPr>
        <w:t xml:space="preserve"> </w:t>
      </w:r>
      <w:r>
        <w:rPr>
          <w:rFonts w:ascii="宋体" w:hAnsi="宋体" w:eastAsia="宋体" w:cs="宋体"/>
          <w:color w:val="auto"/>
          <w:sz w:val="21"/>
          <w:szCs w:val="21"/>
          <w:highlight w:val="none"/>
        </w:rPr>
        <w:t>（</w:t>
      </w:r>
      <w:r>
        <w:rPr>
          <w:rFonts w:ascii="宋体" w:hAnsi="宋体" w:eastAsia="宋体" w:cs="宋体"/>
          <w:color w:val="auto"/>
          <w:spacing w:val="-22"/>
          <w:sz w:val="21"/>
          <w:szCs w:val="21"/>
          <w:highlight w:val="none"/>
        </w:rPr>
        <w:t>盖单位章）</w:t>
      </w:r>
    </w:p>
    <w:p w14:paraId="695545BB">
      <w:pPr>
        <w:spacing w:line="219" w:lineRule="auto"/>
        <w:ind w:left="274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法定代表人或授权委托人</w:t>
      </w:r>
      <w:r>
        <w:rPr>
          <w:rFonts w:ascii="宋体" w:hAnsi="宋体" w:eastAsia="宋体" w:cs="宋体"/>
          <w:color w:val="auto"/>
          <w:spacing w:val="-10"/>
          <w:sz w:val="21"/>
          <w:szCs w:val="21"/>
          <w:highlight w:val="none"/>
        </w:rPr>
        <w:t>：</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10"/>
          <w:sz w:val="21"/>
          <w:szCs w:val="21"/>
          <w:highlight w:val="none"/>
        </w:rPr>
        <w:t>（</w:t>
      </w:r>
      <w:r>
        <w:rPr>
          <w:rFonts w:ascii="宋体" w:hAnsi="宋体" w:eastAsia="宋体" w:cs="宋体"/>
          <w:color w:val="auto"/>
          <w:spacing w:val="1"/>
          <w:sz w:val="21"/>
          <w:szCs w:val="21"/>
          <w:highlight w:val="none"/>
        </w:rPr>
        <w:t>签章）</w:t>
      </w:r>
    </w:p>
    <w:p w14:paraId="6B25EA10">
      <w:pPr>
        <w:tabs>
          <w:tab w:val="left" w:pos="5839"/>
        </w:tabs>
        <w:spacing w:before="191" w:line="221" w:lineRule="auto"/>
        <w:ind w:left="5363"/>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6"/>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34"/>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pacing w:val="-105"/>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58"/>
          <w:sz w:val="21"/>
          <w:szCs w:val="21"/>
          <w:highlight w:val="none"/>
        </w:rPr>
        <w:t xml:space="preserve"> </w:t>
      </w:r>
      <w:r>
        <w:rPr>
          <w:rFonts w:ascii="宋体" w:hAnsi="宋体" w:eastAsia="宋体" w:cs="宋体"/>
          <w:color w:val="auto"/>
          <w:spacing w:val="-7"/>
          <w:sz w:val="21"/>
          <w:szCs w:val="21"/>
          <w:highlight w:val="none"/>
        </w:rPr>
        <w:t>日</w:t>
      </w:r>
    </w:p>
    <w:p w14:paraId="372788FA">
      <w:pPr>
        <w:spacing w:line="221" w:lineRule="auto"/>
        <w:rPr>
          <w:rFonts w:ascii="宋体" w:hAnsi="宋体" w:eastAsia="宋体" w:cs="宋体"/>
          <w:color w:val="auto"/>
          <w:sz w:val="21"/>
          <w:szCs w:val="21"/>
          <w:highlight w:val="none"/>
        </w:rPr>
        <w:sectPr>
          <w:footerReference r:id="rId214" w:type="default"/>
          <w:pgSz w:w="11905" w:h="16839"/>
          <w:pgMar w:top="400" w:right="1469" w:bottom="1004" w:left="1474" w:header="0" w:footer="828" w:gutter="0"/>
          <w:pgNumType w:fmt="decimal"/>
          <w:cols w:space="720" w:num="1"/>
        </w:sectPr>
      </w:pPr>
    </w:p>
    <w:p w14:paraId="6C5484DC">
      <w:pPr>
        <w:pStyle w:val="3"/>
        <w:spacing w:line="257" w:lineRule="auto"/>
        <w:rPr>
          <w:color w:val="auto"/>
          <w:highlight w:val="none"/>
        </w:rPr>
      </w:pPr>
    </w:p>
    <w:p w14:paraId="70DCF7A0">
      <w:pPr>
        <w:pStyle w:val="3"/>
        <w:spacing w:line="257" w:lineRule="auto"/>
        <w:rPr>
          <w:color w:val="auto"/>
          <w:highlight w:val="none"/>
        </w:rPr>
      </w:pPr>
    </w:p>
    <w:p w14:paraId="656E44FD">
      <w:pPr>
        <w:pStyle w:val="3"/>
        <w:spacing w:line="257" w:lineRule="auto"/>
        <w:rPr>
          <w:color w:val="auto"/>
          <w:highlight w:val="none"/>
        </w:rPr>
      </w:pPr>
    </w:p>
    <w:p w14:paraId="4B815C33">
      <w:pPr>
        <w:pStyle w:val="3"/>
        <w:spacing w:line="258" w:lineRule="auto"/>
        <w:rPr>
          <w:color w:val="auto"/>
          <w:highlight w:val="none"/>
        </w:rPr>
      </w:pPr>
    </w:p>
    <w:p w14:paraId="0D0024EA">
      <w:pPr>
        <w:spacing w:before="87" w:line="225" w:lineRule="auto"/>
        <w:ind w:left="3078"/>
        <w:rPr>
          <w:rFonts w:ascii="黑体" w:hAnsi="黑体" w:eastAsia="黑体" w:cs="黑体"/>
          <w:color w:val="auto"/>
          <w:sz w:val="27"/>
          <w:szCs w:val="27"/>
          <w:highlight w:val="none"/>
        </w:rPr>
      </w:pPr>
      <w:bookmarkStart w:id="1325" w:name="bookmark298"/>
      <w:bookmarkEnd w:id="1325"/>
      <w:r>
        <w:rPr>
          <w:rFonts w:ascii="黑体" w:hAnsi="黑体" w:eastAsia="黑体" w:cs="黑体"/>
          <w:color w:val="auto"/>
          <w:spacing w:val="3"/>
          <w:sz w:val="27"/>
          <w:szCs w:val="27"/>
          <w:highlight w:val="none"/>
        </w:rPr>
        <w:t>（三）告知承诺函</w:t>
      </w:r>
    </w:p>
    <w:p w14:paraId="041042D4">
      <w:pPr>
        <w:spacing w:before="161" w:line="386" w:lineRule="auto"/>
        <w:ind w:left="19" w:right="153" w:firstLine="423"/>
        <w:rPr>
          <w:rFonts w:ascii="宋体" w:hAnsi="宋体" w:eastAsia="宋体" w:cs="宋体"/>
          <w:color w:val="auto"/>
          <w:sz w:val="21"/>
          <w:szCs w:val="21"/>
          <w:highlight w:val="none"/>
        </w:rPr>
      </w:pPr>
      <w:r>
        <w:rPr>
          <w:rFonts w:ascii="宋体" w:hAnsi="宋体" w:eastAsia="宋体" w:cs="宋体"/>
          <w:color w:val="auto"/>
          <w:sz w:val="21"/>
          <w:szCs w:val="21"/>
          <w:highlight w:val="none"/>
        </w:rPr>
        <w:t>我单位参与</w:t>
      </w:r>
      <w:r>
        <w:rPr>
          <w:rFonts w:ascii="宋体" w:hAnsi="宋体" w:eastAsia="宋体" w:cs="宋体"/>
          <w:color w:val="auto"/>
          <w:sz w:val="21"/>
          <w:szCs w:val="21"/>
          <w:highlight w:val="none"/>
          <w:u w:val="single" w:color="auto"/>
        </w:rPr>
        <w:t xml:space="preserve">  （标段名称 ）  </w:t>
      </w:r>
      <w:r>
        <w:rPr>
          <w:rFonts w:ascii="宋体" w:hAnsi="宋体" w:eastAsia="宋体" w:cs="宋体"/>
          <w:color w:val="auto"/>
          <w:spacing w:val="-80"/>
          <w:sz w:val="21"/>
          <w:szCs w:val="21"/>
          <w:highlight w:val="none"/>
        </w:rPr>
        <w:t xml:space="preserve"> </w:t>
      </w:r>
      <w:r>
        <w:rPr>
          <w:rFonts w:ascii="宋体" w:hAnsi="宋体" w:eastAsia="宋体" w:cs="宋体"/>
          <w:color w:val="auto"/>
          <w:sz w:val="21"/>
          <w:szCs w:val="21"/>
          <w:highlight w:val="none"/>
        </w:rPr>
        <w:t>的投标。根据《中华</w:t>
      </w:r>
      <w:r>
        <w:rPr>
          <w:rFonts w:ascii="宋体" w:hAnsi="宋体" w:eastAsia="宋体" w:cs="宋体"/>
          <w:color w:val="auto"/>
          <w:spacing w:val="-1"/>
          <w:sz w:val="21"/>
          <w:szCs w:val="21"/>
          <w:highlight w:val="none"/>
        </w:rPr>
        <w:t>人民共和国招标投标法》等法律法</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规的规定，我已知悉本单位相关权利义务，作为法定代表人（或授权委托人</w:t>
      </w:r>
      <w:r>
        <w:rPr>
          <w:rFonts w:ascii="宋体" w:hAnsi="宋体" w:eastAsia="宋体" w:cs="宋体"/>
          <w:color w:val="auto"/>
          <w:spacing w:val="-30"/>
          <w:sz w:val="21"/>
          <w:szCs w:val="21"/>
          <w:highlight w:val="none"/>
        </w:rPr>
        <w:t>），</w:t>
      </w:r>
      <w:r>
        <w:rPr>
          <w:rFonts w:ascii="宋体" w:hAnsi="宋体" w:eastAsia="宋体" w:cs="宋体"/>
          <w:color w:val="auto"/>
          <w:spacing w:val="-1"/>
          <w:sz w:val="21"/>
          <w:szCs w:val="21"/>
          <w:highlight w:val="none"/>
        </w:rPr>
        <w:t>本人清楚知</w:t>
      </w:r>
    </w:p>
    <w:p w14:paraId="61E48988">
      <w:pPr>
        <w:spacing w:line="219" w:lineRule="auto"/>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晓我单位在本项目投标活动的情况。本人已详细阅读告知承诺函的内容，并在此郑重承诺：</w:t>
      </w:r>
    </w:p>
    <w:p w14:paraId="63D25D04">
      <w:pPr>
        <w:spacing w:before="192" w:line="441" w:lineRule="exact"/>
        <w:ind w:left="444"/>
        <w:rPr>
          <w:rFonts w:ascii="宋体" w:hAnsi="宋体" w:eastAsia="宋体" w:cs="宋体"/>
          <w:color w:val="auto"/>
          <w:sz w:val="21"/>
          <w:szCs w:val="21"/>
          <w:highlight w:val="none"/>
        </w:rPr>
      </w:pPr>
      <w:r>
        <w:rPr>
          <w:rFonts w:ascii="宋体" w:hAnsi="宋体" w:eastAsia="宋体" w:cs="宋体"/>
          <w:color w:val="auto"/>
          <w:spacing w:val="-3"/>
          <w:position w:val="17"/>
          <w:sz w:val="21"/>
          <w:szCs w:val="21"/>
          <w:highlight w:val="none"/>
        </w:rPr>
        <w:t>一、我单位和我本人遵循公开、公平、公正、诚实守信的原则，  依法依规参与本项目</w:t>
      </w:r>
    </w:p>
    <w:p w14:paraId="125BF810">
      <w:pPr>
        <w:spacing w:line="221" w:lineRule="auto"/>
        <w:ind w:left="20"/>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投标。</w:t>
      </w:r>
    </w:p>
    <w:p w14:paraId="6882836A">
      <w:pPr>
        <w:spacing w:before="185" w:line="442" w:lineRule="exact"/>
        <w:ind w:left="444"/>
        <w:rPr>
          <w:rFonts w:ascii="宋体" w:hAnsi="宋体" w:eastAsia="宋体" w:cs="宋体"/>
          <w:color w:val="auto"/>
          <w:sz w:val="21"/>
          <w:szCs w:val="21"/>
          <w:highlight w:val="none"/>
        </w:rPr>
      </w:pPr>
      <w:r>
        <w:rPr>
          <w:rFonts w:ascii="宋体" w:hAnsi="宋体" w:eastAsia="宋体" w:cs="宋体"/>
          <w:color w:val="auto"/>
          <w:spacing w:val="-3"/>
          <w:position w:val="17"/>
          <w:sz w:val="21"/>
          <w:szCs w:val="21"/>
          <w:highlight w:val="none"/>
        </w:rPr>
        <w:t>二、我单位具有参与本次投标的资质和能力，公司运营状况良好，</w:t>
      </w:r>
      <w:r>
        <w:rPr>
          <w:rFonts w:ascii="宋体" w:hAnsi="宋体" w:eastAsia="宋体" w:cs="宋体"/>
          <w:color w:val="auto"/>
          <w:spacing w:val="-4"/>
          <w:position w:val="17"/>
          <w:sz w:val="21"/>
          <w:szCs w:val="21"/>
          <w:highlight w:val="none"/>
        </w:rPr>
        <w:t xml:space="preserve">  不存在挂靠投标、</w:t>
      </w:r>
    </w:p>
    <w:p w14:paraId="2EBA30F5">
      <w:pPr>
        <w:spacing w:before="1" w:line="219"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不受让、租借、出租、出借资格或资质证书，无处罚期内的不良行为。</w:t>
      </w:r>
    </w:p>
    <w:p w14:paraId="5CECD241">
      <w:pPr>
        <w:spacing w:before="192" w:line="436" w:lineRule="exact"/>
        <w:ind w:left="441"/>
        <w:rPr>
          <w:rFonts w:ascii="宋体" w:hAnsi="宋体" w:eastAsia="宋体" w:cs="宋体"/>
          <w:color w:val="auto"/>
          <w:sz w:val="21"/>
          <w:szCs w:val="21"/>
          <w:highlight w:val="none"/>
        </w:rPr>
      </w:pPr>
      <w:r>
        <w:rPr>
          <w:rFonts w:ascii="宋体" w:hAnsi="宋体" w:eastAsia="宋体" w:cs="宋体"/>
          <w:color w:val="auto"/>
          <w:spacing w:val="1"/>
          <w:position w:val="16"/>
          <w:sz w:val="21"/>
          <w:szCs w:val="21"/>
          <w:highlight w:val="none"/>
        </w:rPr>
        <w:t>三、我单位在本项目投标过程中从招标公告</w:t>
      </w:r>
      <w:r>
        <w:rPr>
          <w:rFonts w:ascii="Times New Roman" w:hAnsi="Times New Roman" w:eastAsia="Times New Roman" w:cs="Times New Roman"/>
          <w:color w:val="auto"/>
          <w:spacing w:val="1"/>
          <w:position w:val="16"/>
          <w:sz w:val="21"/>
          <w:szCs w:val="21"/>
          <w:highlight w:val="none"/>
        </w:rPr>
        <w:t>/</w:t>
      </w:r>
      <w:r>
        <w:rPr>
          <w:rFonts w:ascii="宋体" w:hAnsi="宋体" w:eastAsia="宋体" w:cs="宋体"/>
          <w:color w:val="auto"/>
          <w:spacing w:val="1"/>
          <w:position w:val="16"/>
          <w:sz w:val="21"/>
          <w:szCs w:val="21"/>
          <w:highlight w:val="none"/>
        </w:rPr>
        <w:t>投标邀请书列明的渠道获取招标文件，没</w:t>
      </w:r>
    </w:p>
    <w:p w14:paraId="242E3FF8">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有通过其他不正当渠道获取招标文件。</w:t>
      </w:r>
    </w:p>
    <w:p w14:paraId="031DC0D8">
      <w:pPr>
        <w:spacing w:before="191" w:line="442" w:lineRule="exact"/>
        <w:ind w:left="461"/>
        <w:rPr>
          <w:rFonts w:ascii="宋体" w:hAnsi="宋体" w:eastAsia="宋体" w:cs="宋体"/>
          <w:color w:val="auto"/>
          <w:sz w:val="21"/>
          <w:szCs w:val="21"/>
          <w:highlight w:val="none"/>
        </w:rPr>
      </w:pPr>
      <w:r>
        <w:rPr>
          <w:rFonts w:ascii="宋体" w:hAnsi="宋体" w:eastAsia="宋体" w:cs="宋体"/>
          <w:color w:val="auto"/>
          <w:spacing w:val="3"/>
          <w:position w:val="17"/>
          <w:sz w:val="21"/>
          <w:szCs w:val="21"/>
          <w:highlight w:val="none"/>
        </w:rPr>
        <w:t>四、我单位承诺投标文件由本单位员工独立编</w:t>
      </w:r>
      <w:r>
        <w:rPr>
          <w:rFonts w:ascii="宋体" w:hAnsi="宋体" w:eastAsia="宋体" w:cs="宋体"/>
          <w:color w:val="auto"/>
          <w:spacing w:val="2"/>
          <w:position w:val="17"/>
          <w:sz w:val="21"/>
          <w:szCs w:val="21"/>
          <w:highlight w:val="none"/>
        </w:rPr>
        <w:t>制，严格遵守保密义务。所提供的一切</w:t>
      </w:r>
    </w:p>
    <w:p w14:paraId="7D52CAA5">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投标相关材料都是真实、有效、合法的。</w:t>
      </w:r>
    </w:p>
    <w:p w14:paraId="36B80E4C">
      <w:pPr>
        <w:spacing w:before="187" w:line="441" w:lineRule="exact"/>
        <w:ind w:left="444"/>
        <w:rPr>
          <w:rFonts w:ascii="宋体" w:hAnsi="宋体" w:eastAsia="宋体" w:cs="宋体"/>
          <w:color w:val="auto"/>
          <w:sz w:val="21"/>
          <w:szCs w:val="21"/>
          <w:highlight w:val="none"/>
        </w:rPr>
      </w:pPr>
      <w:r>
        <w:rPr>
          <w:rFonts w:ascii="宋体" w:hAnsi="宋体" w:eastAsia="宋体" w:cs="宋体"/>
          <w:color w:val="auto"/>
          <w:position w:val="17"/>
          <w:sz w:val="21"/>
          <w:szCs w:val="21"/>
          <w:highlight w:val="none"/>
        </w:rPr>
        <w:t>五、我单位不与其他投标人相互串通投标报价， 不恶意压低或抬高投标报价，不排挤</w:t>
      </w:r>
    </w:p>
    <w:p w14:paraId="6BEEE723">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z w:val="21"/>
          <w:szCs w:val="21"/>
          <w:highlight w:val="none"/>
        </w:rPr>
        <w:t>其他投标人的公平竞争，不损害招标人或其他投标人</w:t>
      </w:r>
      <w:r>
        <w:rPr>
          <w:rFonts w:ascii="宋体" w:hAnsi="宋体" w:eastAsia="宋体" w:cs="宋体"/>
          <w:color w:val="auto"/>
          <w:spacing w:val="-1"/>
          <w:sz w:val="21"/>
          <w:szCs w:val="21"/>
          <w:highlight w:val="none"/>
        </w:rPr>
        <w:t>的合法权益。</w:t>
      </w:r>
    </w:p>
    <w:p w14:paraId="3585AB99">
      <w:pPr>
        <w:spacing w:before="190" w:line="438" w:lineRule="exact"/>
        <w:ind w:left="442"/>
        <w:rPr>
          <w:rFonts w:ascii="宋体" w:hAnsi="宋体" w:eastAsia="宋体" w:cs="宋体"/>
          <w:color w:val="auto"/>
          <w:sz w:val="21"/>
          <w:szCs w:val="21"/>
          <w:highlight w:val="none"/>
        </w:rPr>
      </w:pPr>
      <w:r>
        <w:rPr>
          <w:rFonts w:ascii="宋体" w:hAnsi="宋体" w:eastAsia="宋体" w:cs="宋体"/>
          <w:color w:val="auto"/>
          <w:spacing w:val="3"/>
          <w:position w:val="17"/>
          <w:sz w:val="21"/>
          <w:szCs w:val="21"/>
          <w:highlight w:val="none"/>
        </w:rPr>
        <w:t>六、我单位不与招标人或招标代理机构串通投标，损害国家利益、社会公共利益或者</w:t>
      </w:r>
    </w:p>
    <w:p w14:paraId="17BE5F2C">
      <w:pPr>
        <w:spacing w:line="220" w:lineRule="auto"/>
        <w:ind w:left="1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他人的合法权益。</w:t>
      </w:r>
    </w:p>
    <w:p w14:paraId="1DB95CAC">
      <w:pPr>
        <w:spacing w:before="191" w:line="442" w:lineRule="exact"/>
        <w:ind w:left="440"/>
        <w:rPr>
          <w:rFonts w:ascii="宋体" w:hAnsi="宋体" w:eastAsia="宋体" w:cs="宋体"/>
          <w:color w:val="auto"/>
          <w:sz w:val="21"/>
          <w:szCs w:val="21"/>
          <w:highlight w:val="none"/>
        </w:rPr>
      </w:pPr>
      <w:r>
        <w:rPr>
          <w:rFonts w:ascii="宋体" w:hAnsi="宋体" w:eastAsia="宋体" w:cs="宋体"/>
          <w:color w:val="auto"/>
          <w:spacing w:val="3"/>
          <w:position w:val="17"/>
          <w:sz w:val="21"/>
          <w:szCs w:val="21"/>
          <w:highlight w:val="none"/>
        </w:rPr>
        <w:t>七、我单位不向招标人或者评标委员会成员行贿以牟取中标，不在开标后进行虚假恶</w:t>
      </w:r>
    </w:p>
    <w:p w14:paraId="0581ED9E">
      <w:pPr>
        <w:spacing w:line="221" w:lineRule="auto"/>
        <w:ind w:left="24"/>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意投诉。</w:t>
      </w:r>
    </w:p>
    <w:p w14:paraId="384F2F79">
      <w:pPr>
        <w:spacing w:before="185" w:line="387" w:lineRule="auto"/>
        <w:ind w:left="20" w:right="156" w:firstLine="42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八、我单位和我个人清楚并知晓《中华人民共和国刑法》第二百二十三条“投标人相</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互串通投标报价， 损害招标人或者其他投标人利益</w:t>
      </w:r>
      <w:r>
        <w:rPr>
          <w:rFonts w:ascii="宋体" w:hAnsi="宋体" w:eastAsia="宋体" w:cs="宋体"/>
          <w:color w:val="auto"/>
          <w:spacing w:val="-3"/>
          <w:sz w:val="21"/>
          <w:szCs w:val="21"/>
          <w:highlight w:val="none"/>
        </w:rPr>
        <w:t>，情节严重的， 处三年以下有期徒刑或</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者拘役，并处或者单处罚金。投标人与招标人串通投标，损害国家、集体</w:t>
      </w:r>
      <w:r>
        <w:rPr>
          <w:rFonts w:ascii="宋体" w:hAnsi="宋体" w:eastAsia="宋体" w:cs="宋体"/>
          <w:color w:val="auto"/>
          <w:spacing w:val="2"/>
          <w:sz w:val="21"/>
          <w:szCs w:val="21"/>
          <w:highlight w:val="none"/>
        </w:rPr>
        <w:t>、公民的合法利</w:t>
      </w:r>
    </w:p>
    <w:p w14:paraId="4D6132C5">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益的，依照前款的规定处罚”的规定。</w:t>
      </w:r>
    </w:p>
    <w:p w14:paraId="6F1C04B2">
      <w:pPr>
        <w:spacing w:before="191" w:line="443" w:lineRule="exact"/>
        <w:ind w:left="446"/>
        <w:rPr>
          <w:rFonts w:ascii="宋体" w:hAnsi="宋体" w:eastAsia="宋体" w:cs="宋体"/>
          <w:color w:val="auto"/>
          <w:sz w:val="21"/>
          <w:szCs w:val="21"/>
          <w:highlight w:val="none"/>
        </w:rPr>
      </w:pPr>
      <w:r>
        <w:rPr>
          <w:rFonts w:ascii="宋体" w:hAnsi="宋体" w:eastAsia="宋体" w:cs="宋体"/>
          <w:color w:val="auto"/>
          <w:spacing w:val="3"/>
          <w:position w:val="17"/>
          <w:sz w:val="21"/>
          <w:szCs w:val="21"/>
          <w:highlight w:val="none"/>
        </w:rPr>
        <w:t>九、我单位如在本项目招标投标活动评标工作中存在串通投标、弄</w:t>
      </w:r>
      <w:r>
        <w:rPr>
          <w:rFonts w:ascii="宋体" w:hAnsi="宋体" w:eastAsia="宋体" w:cs="宋体"/>
          <w:color w:val="auto"/>
          <w:spacing w:val="2"/>
          <w:position w:val="17"/>
          <w:sz w:val="21"/>
          <w:szCs w:val="21"/>
          <w:highlight w:val="none"/>
        </w:rPr>
        <w:t>虚作假等行为的，</w:t>
      </w:r>
    </w:p>
    <w:p w14:paraId="3BA042AB">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本单位及本人自愿承担法律责任，接受相应刑事、纪律和行政处罚以及失信惩戒。</w:t>
      </w:r>
    </w:p>
    <w:p w14:paraId="79EDCB31">
      <w:pPr>
        <w:spacing w:before="187" w:line="220" w:lineRule="auto"/>
        <w:ind w:left="442"/>
        <w:rPr>
          <w:rFonts w:ascii="宋体" w:hAnsi="宋体" w:eastAsia="宋体" w:cs="宋体"/>
          <w:color w:val="auto"/>
          <w:sz w:val="21"/>
          <w:szCs w:val="21"/>
          <w:highlight w:val="none"/>
        </w:rPr>
      </w:pPr>
      <w:r>
        <w:rPr>
          <w:rFonts w:ascii="宋体" w:hAnsi="宋体" w:eastAsia="宋体" w:cs="宋体"/>
          <w:color w:val="auto"/>
          <w:sz w:val="21"/>
          <w:szCs w:val="21"/>
          <w:highlight w:val="none"/>
        </w:rPr>
        <w:t>十、本承诺函由我单位盖章及法定代表人（授权委托人）本人亲自盖章</w:t>
      </w:r>
      <w:r>
        <w:rPr>
          <w:rFonts w:ascii="宋体" w:hAnsi="宋体" w:eastAsia="宋体" w:cs="宋体"/>
          <w:color w:val="auto"/>
          <w:spacing w:val="-1"/>
          <w:sz w:val="21"/>
          <w:szCs w:val="21"/>
          <w:highlight w:val="none"/>
        </w:rPr>
        <w:t>或签字确认。</w:t>
      </w:r>
    </w:p>
    <w:p w14:paraId="7A667E49">
      <w:pPr>
        <w:pStyle w:val="3"/>
        <w:spacing w:line="280" w:lineRule="auto"/>
        <w:rPr>
          <w:color w:val="auto"/>
          <w:highlight w:val="none"/>
        </w:rPr>
      </w:pPr>
    </w:p>
    <w:p w14:paraId="6A8B41A1">
      <w:pPr>
        <w:pStyle w:val="3"/>
        <w:spacing w:line="281" w:lineRule="auto"/>
        <w:rPr>
          <w:color w:val="auto"/>
          <w:highlight w:val="none"/>
        </w:rPr>
      </w:pPr>
    </w:p>
    <w:p w14:paraId="6DE00184">
      <w:pPr>
        <w:spacing w:before="69" w:line="437" w:lineRule="exact"/>
        <w:ind w:left="5166"/>
        <w:rPr>
          <w:rFonts w:ascii="宋体" w:hAnsi="宋体" w:eastAsia="宋体" w:cs="宋体"/>
          <w:color w:val="auto"/>
          <w:sz w:val="21"/>
          <w:szCs w:val="21"/>
          <w:highlight w:val="none"/>
        </w:rPr>
      </w:pPr>
      <w:r>
        <w:rPr>
          <w:rFonts w:ascii="宋体" w:hAnsi="宋体" w:eastAsia="宋体" w:cs="宋体"/>
          <w:color w:val="auto"/>
          <w:spacing w:val="-11"/>
          <w:position w:val="17"/>
          <w:sz w:val="21"/>
          <w:szCs w:val="21"/>
          <w:highlight w:val="none"/>
        </w:rPr>
        <w:t>承诺单位</w:t>
      </w:r>
      <w:r>
        <w:rPr>
          <w:rFonts w:ascii="宋体" w:hAnsi="宋体" w:eastAsia="宋体" w:cs="宋体"/>
          <w:color w:val="auto"/>
          <w:spacing w:val="-5"/>
          <w:position w:val="17"/>
          <w:sz w:val="21"/>
          <w:szCs w:val="21"/>
          <w:highlight w:val="none"/>
        </w:rPr>
        <w:t>：（</w:t>
      </w:r>
      <w:r>
        <w:rPr>
          <w:rFonts w:ascii="宋体" w:hAnsi="宋体" w:eastAsia="宋体" w:cs="宋体"/>
          <w:color w:val="auto"/>
          <w:spacing w:val="-11"/>
          <w:position w:val="17"/>
          <w:sz w:val="21"/>
          <w:szCs w:val="21"/>
          <w:highlight w:val="none"/>
        </w:rPr>
        <w:t>盖单位章）</w:t>
      </w:r>
    </w:p>
    <w:p w14:paraId="68EF01C3">
      <w:pPr>
        <w:spacing w:before="1" w:line="219" w:lineRule="auto"/>
        <w:ind w:left="4115"/>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法定代表人或授权委托人</w:t>
      </w:r>
      <w:r>
        <w:rPr>
          <w:rFonts w:ascii="宋体" w:hAnsi="宋体" w:eastAsia="宋体" w:cs="宋体"/>
          <w:color w:val="auto"/>
          <w:spacing w:val="-12"/>
          <w:sz w:val="21"/>
          <w:szCs w:val="21"/>
          <w:highlight w:val="none"/>
        </w:rPr>
        <w:t>：（</w:t>
      </w:r>
      <w:r>
        <w:rPr>
          <w:rFonts w:ascii="宋体" w:hAnsi="宋体" w:eastAsia="宋体" w:cs="宋体"/>
          <w:color w:val="auto"/>
          <w:spacing w:val="-7"/>
          <w:sz w:val="21"/>
          <w:szCs w:val="21"/>
          <w:highlight w:val="none"/>
        </w:rPr>
        <w:t>签章）</w:t>
      </w:r>
    </w:p>
    <w:p w14:paraId="4D4EF1CC">
      <w:pPr>
        <w:spacing w:before="191" w:line="221" w:lineRule="auto"/>
        <w:ind w:left="4441"/>
        <w:rPr>
          <w:rFonts w:ascii="宋体" w:hAnsi="宋体" w:eastAsia="宋体" w:cs="宋体"/>
          <w:color w:val="auto"/>
          <w:sz w:val="21"/>
          <w:szCs w:val="21"/>
          <w:highlight w:val="none"/>
        </w:rPr>
      </w:pPr>
      <w:r>
        <w:rPr>
          <w:rFonts w:ascii="宋体" w:hAnsi="宋体" w:eastAsia="宋体" w:cs="宋体"/>
          <w:color w:val="auto"/>
          <w:spacing w:val="-17"/>
          <w:sz w:val="21"/>
          <w:szCs w:val="21"/>
          <w:highlight w:val="none"/>
        </w:rPr>
        <w:t>承诺时间：</w:t>
      </w:r>
      <w:r>
        <w:rPr>
          <w:rFonts w:ascii="宋体" w:hAnsi="宋体" w:eastAsia="宋体" w:cs="宋体"/>
          <w:color w:val="auto"/>
          <w:spacing w:val="30"/>
          <w:sz w:val="21"/>
          <w:szCs w:val="21"/>
          <w:highlight w:val="none"/>
        </w:rPr>
        <w:t xml:space="preserve">  </w:t>
      </w:r>
      <w:r>
        <w:rPr>
          <w:rFonts w:ascii="宋体" w:hAnsi="宋体" w:eastAsia="宋体" w:cs="宋体"/>
          <w:color w:val="auto"/>
          <w:spacing w:val="-17"/>
          <w:sz w:val="21"/>
          <w:szCs w:val="21"/>
          <w:highlight w:val="none"/>
        </w:rPr>
        <w:t>年</w:t>
      </w:r>
      <w:r>
        <w:rPr>
          <w:rFonts w:ascii="宋体" w:hAnsi="宋体" w:eastAsia="宋体" w:cs="宋体"/>
          <w:color w:val="auto"/>
          <w:spacing w:val="3"/>
          <w:sz w:val="21"/>
          <w:szCs w:val="21"/>
          <w:highlight w:val="none"/>
        </w:rPr>
        <w:t xml:space="preserve">   </w:t>
      </w:r>
      <w:r>
        <w:rPr>
          <w:rFonts w:ascii="宋体" w:hAnsi="宋体" w:eastAsia="宋体" w:cs="宋体"/>
          <w:color w:val="auto"/>
          <w:spacing w:val="-17"/>
          <w:sz w:val="21"/>
          <w:szCs w:val="21"/>
          <w:highlight w:val="none"/>
        </w:rPr>
        <w:t>月</w:t>
      </w:r>
      <w:r>
        <w:rPr>
          <w:rFonts w:ascii="宋体" w:hAnsi="宋体" w:eastAsia="宋体" w:cs="宋体"/>
          <w:color w:val="auto"/>
          <w:spacing w:val="11"/>
          <w:sz w:val="21"/>
          <w:szCs w:val="21"/>
          <w:highlight w:val="none"/>
        </w:rPr>
        <w:t xml:space="preserve">    </w:t>
      </w:r>
      <w:r>
        <w:rPr>
          <w:rFonts w:ascii="宋体" w:hAnsi="宋体" w:eastAsia="宋体" w:cs="宋体"/>
          <w:color w:val="auto"/>
          <w:spacing w:val="-17"/>
          <w:sz w:val="21"/>
          <w:szCs w:val="21"/>
          <w:highlight w:val="none"/>
        </w:rPr>
        <w:t>日</w:t>
      </w:r>
    </w:p>
    <w:p w14:paraId="459B0CFE">
      <w:pPr>
        <w:spacing w:line="221" w:lineRule="auto"/>
        <w:rPr>
          <w:rFonts w:ascii="宋体" w:hAnsi="宋体" w:eastAsia="宋体" w:cs="宋体"/>
          <w:color w:val="auto"/>
          <w:sz w:val="21"/>
          <w:szCs w:val="21"/>
          <w:highlight w:val="none"/>
        </w:rPr>
        <w:sectPr>
          <w:footerReference r:id="rId215" w:type="default"/>
          <w:pgSz w:w="11905" w:h="16839"/>
          <w:pgMar w:top="400" w:right="1635" w:bottom="1004" w:left="1785" w:header="0" w:footer="828" w:gutter="0"/>
          <w:pgNumType w:fmt="decimal"/>
          <w:cols w:space="720" w:num="1"/>
        </w:sectPr>
      </w:pPr>
    </w:p>
    <w:p w14:paraId="4CA3F243">
      <w:pPr>
        <w:pStyle w:val="3"/>
        <w:spacing w:line="257" w:lineRule="auto"/>
        <w:rPr>
          <w:color w:val="auto"/>
          <w:highlight w:val="none"/>
        </w:rPr>
      </w:pPr>
    </w:p>
    <w:p w14:paraId="114707FE">
      <w:pPr>
        <w:pStyle w:val="3"/>
        <w:spacing w:line="257" w:lineRule="auto"/>
        <w:rPr>
          <w:color w:val="auto"/>
          <w:highlight w:val="none"/>
        </w:rPr>
      </w:pPr>
    </w:p>
    <w:p w14:paraId="0BDD6067">
      <w:pPr>
        <w:pStyle w:val="3"/>
        <w:spacing w:line="257" w:lineRule="auto"/>
        <w:rPr>
          <w:color w:val="auto"/>
          <w:highlight w:val="none"/>
        </w:rPr>
      </w:pPr>
    </w:p>
    <w:p w14:paraId="28F10729">
      <w:pPr>
        <w:pStyle w:val="3"/>
        <w:spacing w:line="257" w:lineRule="auto"/>
        <w:rPr>
          <w:color w:val="auto"/>
          <w:highlight w:val="none"/>
        </w:rPr>
      </w:pPr>
    </w:p>
    <w:p w14:paraId="1D0687D6">
      <w:pPr>
        <w:spacing w:before="88" w:line="224" w:lineRule="auto"/>
        <w:ind w:left="3361"/>
        <w:rPr>
          <w:rFonts w:ascii="黑体" w:hAnsi="黑体" w:eastAsia="黑体" w:cs="黑体"/>
          <w:color w:val="auto"/>
          <w:sz w:val="27"/>
          <w:szCs w:val="27"/>
          <w:highlight w:val="none"/>
        </w:rPr>
      </w:pPr>
      <w:bookmarkStart w:id="1326" w:name="bookmark300"/>
      <w:bookmarkEnd w:id="1326"/>
      <w:bookmarkStart w:id="1327" w:name="bookmark301"/>
      <w:bookmarkEnd w:id="1327"/>
      <w:bookmarkStart w:id="1328" w:name="bookmark299"/>
      <w:bookmarkEnd w:id="1328"/>
      <w:r>
        <w:rPr>
          <w:rFonts w:ascii="黑体" w:hAnsi="黑体" w:eastAsia="黑体" w:cs="黑体"/>
          <w:color w:val="auto"/>
          <w:spacing w:val="-2"/>
          <w:sz w:val="27"/>
          <w:szCs w:val="27"/>
          <w:highlight w:val="none"/>
        </w:rPr>
        <w:t>（四）声明函</w:t>
      </w:r>
    </w:p>
    <w:p w14:paraId="6BABDD18">
      <w:pPr>
        <w:pStyle w:val="3"/>
        <w:spacing w:line="266" w:lineRule="auto"/>
        <w:rPr>
          <w:color w:val="auto"/>
          <w:highlight w:val="none"/>
        </w:rPr>
      </w:pPr>
    </w:p>
    <w:p w14:paraId="3BAF52E9">
      <w:pPr>
        <w:pStyle w:val="3"/>
        <w:spacing w:line="266" w:lineRule="auto"/>
        <w:rPr>
          <w:color w:val="auto"/>
          <w:highlight w:val="none"/>
        </w:rPr>
      </w:pPr>
    </w:p>
    <w:p w14:paraId="400E1AF3">
      <w:pPr>
        <w:spacing w:before="69" w:line="220" w:lineRule="auto"/>
        <w:ind w:left="440"/>
        <w:rPr>
          <w:rFonts w:ascii="宋体" w:hAnsi="宋体" w:eastAsia="宋体" w:cs="宋体"/>
          <w:color w:val="auto"/>
          <w:sz w:val="21"/>
          <w:szCs w:val="21"/>
          <w:highlight w:val="none"/>
        </w:rPr>
      </w:pPr>
      <w:r>
        <w:rPr>
          <w:rFonts w:ascii="宋体" w:hAnsi="宋体" w:eastAsia="宋体" w:cs="宋体"/>
          <w:color w:val="auto"/>
          <w:sz w:val="21"/>
          <w:szCs w:val="21"/>
          <w:highlight w:val="none"/>
        </w:rPr>
        <w:t>在本项目编制投标文件过程中，我单位声明</w:t>
      </w:r>
      <w:r>
        <w:rPr>
          <w:rFonts w:ascii="宋体" w:hAnsi="宋体" w:eastAsia="宋体" w:cs="宋体"/>
          <w:color w:val="auto"/>
          <w:spacing w:val="-1"/>
          <w:sz w:val="21"/>
          <w:szCs w:val="21"/>
          <w:highlight w:val="none"/>
        </w:rPr>
        <w:t>如下：</w:t>
      </w:r>
    </w:p>
    <w:p w14:paraId="13CF6E01">
      <w:pPr>
        <w:spacing w:before="186" w:line="220" w:lineRule="auto"/>
        <w:ind w:left="444"/>
        <w:rPr>
          <w:rFonts w:ascii="宋体" w:hAnsi="宋体" w:eastAsia="宋体" w:cs="宋体"/>
          <w:color w:val="auto"/>
          <w:sz w:val="21"/>
          <w:szCs w:val="21"/>
          <w:highlight w:val="none"/>
        </w:rPr>
      </w:pPr>
      <w:r>
        <w:rPr>
          <w:rFonts w:ascii="宋体" w:hAnsi="宋体" w:eastAsia="宋体" w:cs="宋体"/>
          <w:color w:val="auto"/>
          <w:sz w:val="21"/>
          <w:szCs w:val="21"/>
          <w:highlight w:val="none"/>
        </w:rPr>
        <w:t>一、未与本标段其他投标人委托同一单位或同</w:t>
      </w:r>
      <w:r>
        <w:rPr>
          <w:rFonts w:ascii="宋体" w:hAnsi="宋体" w:eastAsia="宋体" w:cs="宋体"/>
          <w:color w:val="auto"/>
          <w:spacing w:val="-1"/>
          <w:sz w:val="21"/>
          <w:szCs w:val="21"/>
          <w:highlight w:val="none"/>
        </w:rPr>
        <w:t>一人编制投标文件；</w:t>
      </w:r>
    </w:p>
    <w:p w14:paraId="52037957">
      <w:pPr>
        <w:spacing w:before="191" w:line="219" w:lineRule="auto"/>
        <w:ind w:left="44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二、未与本标段其他投标人协商投标报价；</w:t>
      </w:r>
    </w:p>
    <w:p w14:paraId="521736A9">
      <w:pPr>
        <w:spacing w:before="192" w:line="220"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三、未与本标段其他投标人使用同一电脑等电子设备编制投标文</w:t>
      </w:r>
      <w:r>
        <w:rPr>
          <w:rFonts w:ascii="宋体" w:hAnsi="宋体" w:eastAsia="宋体" w:cs="宋体"/>
          <w:color w:val="auto"/>
          <w:spacing w:val="-2"/>
          <w:sz w:val="21"/>
          <w:szCs w:val="21"/>
          <w:highlight w:val="none"/>
        </w:rPr>
        <w:t>件；</w:t>
      </w:r>
    </w:p>
    <w:p w14:paraId="6E7DFC56">
      <w:pPr>
        <w:spacing w:before="186" w:line="220" w:lineRule="auto"/>
        <w:ind w:left="461"/>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四、未使用“网络虚拟设备”等无法识别电子设备归属的电脑编制投标文件；</w:t>
      </w:r>
    </w:p>
    <w:p w14:paraId="71D470F9">
      <w:pPr>
        <w:spacing w:before="192" w:line="386" w:lineRule="auto"/>
        <w:ind w:left="39" w:right="428" w:firstLine="40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xml:space="preserve">五、本项目技术标（施工组织设计）是针对本项目现场实际、技术特点以及施工 </w:t>
      </w:r>
      <w:r>
        <w:rPr>
          <w:rFonts w:ascii="宋体" w:hAnsi="宋体" w:eastAsia="宋体" w:cs="宋体"/>
          <w:color w:val="auto"/>
          <w:sz w:val="21"/>
          <w:szCs w:val="21"/>
          <w:highlight w:val="none"/>
        </w:rPr>
        <w:t>图纸而编制的相应的技术方案， 在编制过程中未抄袭、摘</w:t>
      </w:r>
      <w:r>
        <w:rPr>
          <w:rFonts w:ascii="宋体" w:hAnsi="宋体" w:eastAsia="宋体" w:cs="宋体"/>
          <w:color w:val="auto"/>
          <w:spacing w:val="-1"/>
          <w:sz w:val="21"/>
          <w:szCs w:val="21"/>
          <w:highlight w:val="none"/>
        </w:rPr>
        <w:t>抄网络或其他项目相关技术</w:t>
      </w:r>
    </w:p>
    <w:p w14:paraId="6FB9EF41">
      <w:pPr>
        <w:spacing w:before="1" w:line="220" w:lineRule="auto"/>
        <w:ind w:left="2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资料，对文件内容具有独立自主知识产权；</w:t>
      </w:r>
    </w:p>
    <w:p w14:paraId="0042A6A1">
      <w:pPr>
        <w:spacing w:before="190" w:line="443" w:lineRule="exact"/>
        <w:ind w:left="442"/>
        <w:rPr>
          <w:rFonts w:ascii="宋体" w:hAnsi="宋体" w:eastAsia="宋体" w:cs="宋体"/>
          <w:color w:val="auto"/>
          <w:sz w:val="21"/>
          <w:szCs w:val="21"/>
          <w:highlight w:val="none"/>
        </w:rPr>
      </w:pPr>
      <w:r>
        <w:rPr>
          <w:rFonts w:ascii="宋体" w:hAnsi="宋体" w:eastAsia="宋体" w:cs="宋体"/>
          <w:color w:val="auto"/>
          <w:spacing w:val="3"/>
          <w:position w:val="17"/>
          <w:sz w:val="21"/>
          <w:szCs w:val="21"/>
          <w:highlight w:val="none"/>
        </w:rPr>
        <w:t>六、本项目经济标（投标报价）是依据本项目给定的图纸、工程量清单、最高投</w:t>
      </w:r>
    </w:p>
    <w:p w14:paraId="3D8A607E">
      <w:pPr>
        <w:spacing w:line="219" w:lineRule="auto"/>
        <w:ind w:left="19"/>
        <w:rPr>
          <w:rFonts w:ascii="宋体" w:hAnsi="宋体" w:eastAsia="宋体" w:cs="宋体"/>
          <w:color w:val="auto"/>
          <w:sz w:val="21"/>
          <w:szCs w:val="21"/>
          <w:highlight w:val="none"/>
        </w:rPr>
      </w:pPr>
      <w:r>
        <w:rPr>
          <w:rFonts w:ascii="宋体" w:hAnsi="宋体" w:eastAsia="宋体" w:cs="宋体"/>
          <w:color w:val="auto"/>
          <w:sz w:val="21"/>
          <w:szCs w:val="21"/>
          <w:highlight w:val="none"/>
        </w:rPr>
        <w:t>标限价以及现场实际独立编制的，对投标报价编制的完整性、</w:t>
      </w:r>
      <w:r>
        <w:rPr>
          <w:rFonts w:ascii="宋体" w:hAnsi="宋体" w:eastAsia="宋体" w:cs="宋体"/>
          <w:color w:val="auto"/>
          <w:spacing w:val="-1"/>
          <w:sz w:val="21"/>
          <w:szCs w:val="21"/>
          <w:highlight w:val="none"/>
        </w:rPr>
        <w:t>准确性负责；</w:t>
      </w:r>
    </w:p>
    <w:p w14:paraId="0614B375">
      <w:pPr>
        <w:spacing w:before="187" w:line="387" w:lineRule="auto"/>
        <w:ind w:left="18" w:right="425" w:firstLine="422"/>
        <w:rPr>
          <w:rFonts w:ascii="宋体" w:hAnsi="宋体" w:eastAsia="宋体" w:cs="宋体"/>
          <w:color w:val="auto"/>
          <w:sz w:val="21"/>
          <w:szCs w:val="21"/>
          <w:highlight w:val="none"/>
        </w:rPr>
      </w:pPr>
      <w:r>
        <w:rPr>
          <w:rFonts w:ascii="宋体" w:hAnsi="宋体" w:eastAsia="宋体" w:cs="宋体"/>
          <w:color w:val="auto"/>
          <w:sz w:val="21"/>
          <w:szCs w:val="21"/>
          <w:highlight w:val="none"/>
        </w:rPr>
        <w:t>七、本项目资信标提供的材料均为我单位真实、有效和完整的材料， 不存在任何</w:t>
      </w:r>
      <w:r>
        <w:rPr>
          <w:rFonts w:ascii="宋体" w:hAnsi="宋体" w:eastAsia="宋体" w:cs="宋体"/>
          <w:color w:val="auto"/>
          <w:spacing w:val="8"/>
          <w:sz w:val="21"/>
          <w:szCs w:val="21"/>
          <w:highlight w:val="none"/>
        </w:rPr>
        <w:t xml:space="preserve"> </w:t>
      </w:r>
      <w:r>
        <w:rPr>
          <w:rFonts w:ascii="宋体" w:hAnsi="宋体" w:eastAsia="宋体" w:cs="宋体"/>
          <w:color w:val="auto"/>
          <w:spacing w:val="3"/>
          <w:sz w:val="21"/>
          <w:szCs w:val="21"/>
          <w:highlight w:val="none"/>
        </w:rPr>
        <w:t>弄虚作假行为。投标文件所附的各类材料均为我单位提供相关材料和填写的内容在主 体信息库依据规则生成，我单位已对材料进行确认，并认可提供材料的有效性、真实</w:t>
      </w:r>
    </w:p>
    <w:p w14:paraId="6EBA084E">
      <w:pPr>
        <w:spacing w:before="1" w:line="220"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性和完整性。</w:t>
      </w:r>
    </w:p>
    <w:p w14:paraId="2E56BAB0">
      <w:pPr>
        <w:spacing w:before="191" w:line="386" w:lineRule="auto"/>
        <w:ind w:left="19" w:right="428" w:firstLine="423"/>
        <w:rPr>
          <w:rFonts w:ascii="宋体" w:hAnsi="宋体" w:eastAsia="宋体" w:cs="宋体"/>
          <w:color w:val="auto"/>
          <w:sz w:val="21"/>
          <w:szCs w:val="21"/>
          <w:highlight w:val="none"/>
        </w:rPr>
      </w:pPr>
      <w:r>
        <w:rPr>
          <w:rFonts w:ascii="宋体" w:hAnsi="宋体" w:eastAsia="宋体" w:cs="宋体"/>
          <w:color w:val="auto"/>
          <w:sz w:val="21"/>
          <w:szCs w:val="21"/>
          <w:highlight w:val="none"/>
        </w:rPr>
        <w:t>我单位对以上声明内容完全负责， 如违反以上任一一款，评标委员会有权依据招</w:t>
      </w:r>
      <w:r>
        <w:rPr>
          <w:rFonts w:ascii="宋体" w:hAnsi="宋体" w:eastAsia="宋体" w:cs="宋体"/>
          <w:color w:val="auto"/>
          <w:spacing w:val="5"/>
          <w:sz w:val="21"/>
          <w:szCs w:val="21"/>
          <w:highlight w:val="none"/>
        </w:rPr>
        <w:t xml:space="preserve"> </w:t>
      </w:r>
      <w:r>
        <w:rPr>
          <w:rFonts w:ascii="宋体" w:hAnsi="宋体" w:eastAsia="宋体" w:cs="宋体"/>
          <w:color w:val="auto"/>
          <w:spacing w:val="3"/>
          <w:sz w:val="21"/>
          <w:szCs w:val="21"/>
          <w:highlight w:val="none"/>
        </w:rPr>
        <w:t>标文件相应条款否决我单位投标文件，招标人有权依据相关法律不接受我单位投标并</w:t>
      </w:r>
    </w:p>
    <w:p w14:paraId="41D270DA">
      <w:pPr>
        <w:spacing w:line="220" w:lineRule="auto"/>
        <w:ind w:left="2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没收我单位投标保证金，由此造成的一切法律责任和经济损失我单位均予以承担。</w:t>
      </w:r>
    </w:p>
    <w:p w14:paraId="7835A53C">
      <w:pPr>
        <w:spacing w:before="191" w:line="221" w:lineRule="auto"/>
        <w:ind w:left="441"/>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特此声明！</w:t>
      </w:r>
    </w:p>
    <w:p w14:paraId="7FC13E9D">
      <w:pPr>
        <w:pStyle w:val="3"/>
        <w:spacing w:line="286" w:lineRule="auto"/>
        <w:rPr>
          <w:color w:val="auto"/>
          <w:highlight w:val="none"/>
        </w:rPr>
      </w:pPr>
    </w:p>
    <w:p w14:paraId="4A0EF29A">
      <w:pPr>
        <w:pStyle w:val="3"/>
        <w:spacing w:line="287" w:lineRule="auto"/>
        <w:rPr>
          <w:color w:val="auto"/>
          <w:highlight w:val="none"/>
        </w:rPr>
      </w:pPr>
    </w:p>
    <w:p w14:paraId="02B00976">
      <w:pPr>
        <w:pStyle w:val="3"/>
        <w:spacing w:line="287" w:lineRule="auto"/>
        <w:rPr>
          <w:color w:val="auto"/>
          <w:highlight w:val="none"/>
        </w:rPr>
      </w:pPr>
    </w:p>
    <w:p w14:paraId="3F8B65DA">
      <w:pPr>
        <w:pStyle w:val="3"/>
        <w:spacing w:line="287" w:lineRule="auto"/>
        <w:rPr>
          <w:color w:val="auto"/>
          <w:highlight w:val="none"/>
        </w:rPr>
      </w:pPr>
    </w:p>
    <w:p w14:paraId="100563F1">
      <w:pPr>
        <w:pStyle w:val="3"/>
        <w:spacing w:line="287" w:lineRule="auto"/>
        <w:rPr>
          <w:color w:val="auto"/>
          <w:highlight w:val="none"/>
        </w:rPr>
      </w:pPr>
    </w:p>
    <w:p w14:paraId="4FDBD72E">
      <w:pPr>
        <w:spacing w:before="68" w:line="220" w:lineRule="auto"/>
        <w:ind w:left="4118"/>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声明单位</w:t>
      </w:r>
      <w:r>
        <w:rPr>
          <w:rFonts w:ascii="宋体" w:hAnsi="宋体" w:eastAsia="宋体" w:cs="宋体"/>
          <w:color w:val="auto"/>
          <w:spacing w:val="-7"/>
          <w:sz w:val="21"/>
          <w:szCs w:val="21"/>
          <w:highlight w:val="none"/>
        </w:rPr>
        <w:t>：（</w:t>
      </w:r>
      <w:r>
        <w:rPr>
          <w:rFonts w:ascii="宋体" w:hAnsi="宋体" w:eastAsia="宋体" w:cs="宋体"/>
          <w:color w:val="auto"/>
          <w:spacing w:val="-11"/>
          <w:sz w:val="21"/>
          <w:szCs w:val="21"/>
          <w:highlight w:val="none"/>
        </w:rPr>
        <w:t>盖单位章）</w:t>
      </w:r>
    </w:p>
    <w:p w14:paraId="71C6C8BE">
      <w:pPr>
        <w:spacing w:before="187" w:line="220" w:lineRule="auto"/>
        <w:ind w:left="4115"/>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法定代表人或授权委托人</w:t>
      </w:r>
      <w:r>
        <w:rPr>
          <w:rFonts w:ascii="宋体" w:hAnsi="宋体" w:eastAsia="宋体" w:cs="宋体"/>
          <w:color w:val="auto"/>
          <w:spacing w:val="-12"/>
          <w:sz w:val="21"/>
          <w:szCs w:val="21"/>
          <w:highlight w:val="none"/>
        </w:rPr>
        <w:t>：（</w:t>
      </w:r>
      <w:r>
        <w:rPr>
          <w:rFonts w:ascii="宋体" w:hAnsi="宋体" w:eastAsia="宋体" w:cs="宋体"/>
          <w:color w:val="auto"/>
          <w:spacing w:val="-7"/>
          <w:sz w:val="21"/>
          <w:szCs w:val="21"/>
          <w:highlight w:val="none"/>
        </w:rPr>
        <w:t>签章）</w:t>
      </w:r>
    </w:p>
    <w:p w14:paraId="430DC9EB">
      <w:pPr>
        <w:spacing w:before="191" w:line="221" w:lineRule="auto"/>
        <w:ind w:left="4133"/>
        <w:rPr>
          <w:rFonts w:ascii="宋体" w:hAnsi="宋体" w:eastAsia="宋体" w:cs="宋体"/>
          <w:color w:val="auto"/>
          <w:sz w:val="21"/>
          <w:szCs w:val="21"/>
          <w:highlight w:val="none"/>
        </w:rPr>
      </w:pPr>
      <w:r>
        <w:rPr>
          <w:rFonts w:ascii="宋体" w:hAnsi="宋体" w:eastAsia="宋体" w:cs="宋体"/>
          <w:color w:val="auto"/>
          <w:spacing w:val="-19"/>
          <w:sz w:val="21"/>
          <w:szCs w:val="21"/>
          <w:highlight w:val="none"/>
        </w:rPr>
        <w:t>声明时间：</w:t>
      </w:r>
      <w:r>
        <w:rPr>
          <w:rFonts w:ascii="宋体" w:hAnsi="宋体" w:eastAsia="宋体" w:cs="宋体"/>
          <w:color w:val="auto"/>
          <w:spacing w:val="22"/>
          <w:sz w:val="21"/>
          <w:szCs w:val="21"/>
          <w:highlight w:val="none"/>
        </w:rPr>
        <w:t xml:space="preserve">   </w:t>
      </w:r>
      <w:r>
        <w:rPr>
          <w:rFonts w:ascii="宋体" w:hAnsi="宋体" w:eastAsia="宋体" w:cs="宋体"/>
          <w:color w:val="auto"/>
          <w:spacing w:val="-19"/>
          <w:sz w:val="21"/>
          <w:szCs w:val="21"/>
          <w:highlight w:val="none"/>
        </w:rPr>
        <w:t>年</w:t>
      </w:r>
      <w:r>
        <w:rPr>
          <w:rFonts w:ascii="宋体" w:hAnsi="宋体" w:eastAsia="宋体" w:cs="宋体"/>
          <w:color w:val="auto"/>
          <w:spacing w:val="5"/>
          <w:sz w:val="21"/>
          <w:szCs w:val="21"/>
          <w:highlight w:val="none"/>
        </w:rPr>
        <w:t xml:space="preserve">   </w:t>
      </w:r>
      <w:r>
        <w:rPr>
          <w:rFonts w:ascii="宋体" w:hAnsi="宋体" w:eastAsia="宋体" w:cs="宋体"/>
          <w:color w:val="auto"/>
          <w:spacing w:val="-19"/>
          <w:sz w:val="21"/>
          <w:szCs w:val="21"/>
          <w:highlight w:val="none"/>
        </w:rPr>
        <w:t>月</w:t>
      </w:r>
      <w:r>
        <w:rPr>
          <w:rFonts w:ascii="宋体" w:hAnsi="宋体" w:eastAsia="宋体" w:cs="宋体"/>
          <w:color w:val="auto"/>
          <w:spacing w:val="11"/>
          <w:sz w:val="21"/>
          <w:szCs w:val="21"/>
          <w:highlight w:val="none"/>
        </w:rPr>
        <w:t xml:space="preserve">    </w:t>
      </w:r>
      <w:r>
        <w:rPr>
          <w:rFonts w:ascii="宋体" w:hAnsi="宋体" w:eastAsia="宋体" w:cs="宋体"/>
          <w:color w:val="auto"/>
          <w:spacing w:val="-19"/>
          <w:sz w:val="21"/>
          <w:szCs w:val="21"/>
          <w:highlight w:val="none"/>
        </w:rPr>
        <w:t>日</w:t>
      </w:r>
    </w:p>
    <w:p w14:paraId="09F0A004">
      <w:pPr>
        <w:spacing w:line="221" w:lineRule="auto"/>
        <w:rPr>
          <w:rFonts w:ascii="宋体" w:hAnsi="宋体" w:eastAsia="宋体" w:cs="宋体"/>
          <w:color w:val="auto"/>
          <w:sz w:val="21"/>
          <w:szCs w:val="21"/>
          <w:highlight w:val="none"/>
        </w:rPr>
        <w:sectPr>
          <w:footerReference r:id="rId216" w:type="default"/>
          <w:pgSz w:w="11905" w:h="16839"/>
          <w:pgMar w:top="400" w:right="1785" w:bottom="1004" w:left="1785" w:header="0" w:footer="828" w:gutter="0"/>
          <w:pgNumType w:fmt="decimal"/>
          <w:cols w:space="720" w:num="1"/>
        </w:sectPr>
      </w:pPr>
    </w:p>
    <w:p w14:paraId="5F4CA4FA">
      <w:pPr>
        <w:pStyle w:val="3"/>
        <w:spacing w:line="255" w:lineRule="auto"/>
        <w:rPr>
          <w:color w:val="auto"/>
          <w:highlight w:val="none"/>
        </w:rPr>
      </w:pPr>
    </w:p>
    <w:p w14:paraId="06E761E2">
      <w:pPr>
        <w:pStyle w:val="3"/>
        <w:spacing w:line="256" w:lineRule="auto"/>
        <w:rPr>
          <w:color w:val="auto"/>
          <w:highlight w:val="none"/>
        </w:rPr>
      </w:pPr>
    </w:p>
    <w:p w14:paraId="1749E70C">
      <w:pPr>
        <w:pStyle w:val="3"/>
        <w:spacing w:line="256" w:lineRule="auto"/>
        <w:rPr>
          <w:color w:val="auto"/>
          <w:highlight w:val="none"/>
        </w:rPr>
      </w:pPr>
    </w:p>
    <w:p w14:paraId="4CACFDD5">
      <w:pPr>
        <w:pStyle w:val="3"/>
        <w:spacing w:line="256" w:lineRule="auto"/>
        <w:rPr>
          <w:color w:val="auto"/>
          <w:highlight w:val="none"/>
        </w:rPr>
      </w:pPr>
    </w:p>
    <w:p w14:paraId="3B48E0D3">
      <w:pPr>
        <w:spacing w:before="88" w:line="224" w:lineRule="auto"/>
        <w:ind w:left="2642"/>
        <w:rPr>
          <w:rFonts w:ascii="黑体" w:hAnsi="黑体" w:eastAsia="黑体" w:cs="黑体"/>
          <w:color w:val="auto"/>
          <w:sz w:val="27"/>
          <w:szCs w:val="27"/>
          <w:highlight w:val="none"/>
        </w:rPr>
      </w:pPr>
      <w:bookmarkStart w:id="1329" w:name="bookmark302"/>
      <w:bookmarkEnd w:id="1329"/>
      <w:r>
        <w:rPr>
          <w:rFonts w:ascii="黑体" w:hAnsi="黑体" w:eastAsia="黑体" w:cs="黑体"/>
          <w:color w:val="auto"/>
          <w:spacing w:val="8"/>
          <w:sz w:val="27"/>
          <w:szCs w:val="27"/>
          <w:highlight w:val="none"/>
        </w:rPr>
        <w:t>二、法定代表人身份证明</w:t>
      </w:r>
    </w:p>
    <w:p w14:paraId="3FAA9101">
      <w:pPr>
        <w:tabs>
          <w:tab w:val="left" w:pos="6939"/>
        </w:tabs>
        <w:spacing w:before="211" w:line="440" w:lineRule="auto"/>
        <w:ind w:left="18" w:right="1393" w:firstLine="2"/>
        <w:jc w:val="both"/>
        <w:rPr>
          <w:rFonts w:ascii="宋体" w:hAnsi="宋体" w:eastAsia="宋体" w:cs="宋体"/>
          <w:color w:val="auto"/>
          <w:sz w:val="21"/>
          <w:szCs w:val="21"/>
          <w:highlight w:val="none"/>
        </w:rPr>
      </w:pPr>
      <w:r>
        <w:rPr>
          <w:rFonts w:ascii="宋体" w:hAnsi="宋体" w:eastAsia="宋体" w:cs="宋体"/>
          <w:color w:val="auto"/>
          <w:spacing w:val="-25"/>
          <w:sz w:val="21"/>
          <w:szCs w:val="21"/>
          <w:highlight w:val="none"/>
        </w:rPr>
        <w:t>投</w:t>
      </w:r>
      <w:r>
        <w:rPr>
          <w:rFonts w:ascii="宋体" w:hAnsi="宋体" w:eastAsia="宋体" w:cs="宋体"/>
          <w:color w:val="auto"/>
          <w:spacing w:val="10"/>
          <w:sz w:val="21"/>
          <w:szCs w:val="21"/>
          <w:highlight w:val="none"/>
        </w:rPr>
        <w:t xml:space="preserve"> </w:t>
      </w:r>
      <w:r>
        <w:rPr>
          <w:rFonts w:ascii="宋体" w:hAnsi="宋体" w:eastAsia="宋体" w:cs="宋体"/>
          <w:color w:val="auto"/>
          <w:spacing w:val="-25"/>
          <w:sz w:val="21"/>
          <w:szCs w:val="21"/>
          <w:highlight w:val="none"/>
        </w:rPr>
        <w:t>标</w:t>
      </w:r>
      <w:r>
        <w:rPr>
          <w:rFonts w:ascii="宋体" w:hAnsi="宋体" w:eastAsia="宋体" w:cs="宋体"/>
          <w:color w:val="auto"/>
          <w:spacing w:val="11"/>
          <w:sz w:val="21"/>
          <w:szCs w:val="21"/>
          <w:highlight w:val="none"/>
        </w:rPr>
        <w:t xml:space="preserve"> </w:t>
      </w:r>
      <w:r>
        <w:rPr>
          <w:rFonts w:ascii="宋体" w:hAnsi="宋体" w:eastAsia="宋体" w:cs="宋体"/>
          <w:color w:val="auto"/>
          <w:spacing w:val="-25"/>
          <w:sz w:val="21"/>
          <w:szCs w:val="21"/>
          <w:highlight w:val="none"/>
        </w:rPr>
        <w:t>人：</w:t>
      </w:r>
      <w:r>
        <w:rPr>
          <w:rFonts w:ascii="宋体" w:hAnsi="宋体" w:eastAsia="宋体" w:cs="宋体"/>
          <w:color w:val="auto"/>
          <w:spacing w:val="-32"/>
          <w:sz w:val="21"/>
          <w:szCs w:val="21"/>
          <w:highlight w:val="none"/>
        </w:rPr>
        <w:t xml:space="preserve"> </w:t>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 xml:space="preserve"> </w:t>
      </w:r>
      <w:r>
        <w:rPr>
          <w:rFonts w:ascii="宋体" w:hAnsi="宋体" w:eastAsia="宋体" w:cs="宋体"/>
          <w:color w:val="auto"/>
          <w:spacing w:val="-23"/>
          <w:w w:val="96"/>
          <w:sz w:val="21"/>
          <w:szCs w:val="21"/>
          <w:highlight w:val="none"/>
        </w:rPr>
        <w:t>单位性质：</w:t>
      </w:r>
      <w:r>
        <w:rPr>
          <w:rFonts w:ascii="宋体" w:hAnsi="宋体" w:eastAsia="宋体" w:cs="宋体"/>
          <w:color w:val="auto"/>
          <w:spacing w:val="49"/>
          <w:sz w:val="21"/>
          <w:szCs w:val="21"/>
          <w:highlight w:val="none"/>
        </w:rPr>
        <w:t xml:space="preserve"> </w:t>
      </w:r>
      <w:r>
        <w:rPr>
          <w:rFonts w:ascii="宋体" w:hAnsi="宋体" w:eastAsia="宋体" w:cs="宋体"/>
          <w:color w:val="auto"/>
          <w:sz w:val="21"/>
          <w:szCs w:val="21"/>
          <w:highlight w:val="none"/>
          <w:u w:val="single" w:color="auto"/>
        </w:rPr>
        <w:tab/>
      </w:r>
      <w:r>
        <w:rPr>
          <w:rFonts w:ascii="宋体" w:hAnsi="宋体" w:eastAsia="宋体" w:cs="宋体"/>
          <w:color w:val="auto"/>
          <w:sz w:val="21"/>
          <w:szCs w:val="21"/>
          <w:highlight w:val="none"/>
        </w:rPr>
        <w:t xml:space="preserve"> </w:t>
      </w:r>
      <w:r>
        <w:rPr>
          <w:rFonts w:ascii="宋体" w:hAnsi="宋体" w:eastAsia="宋体" w:cs="宋体"/>
          <w:color w:val="auto"/>
          <w:spacing w:val="-29"/>
          <w:w w:val="99"/>
          <w:sz w:val="21"/>
          <w:szCs w:val="21"/>
          <w:highlight w:val="none"/>
        </w:rPr>
        <w:t>地</w:t>
      </w:r>
      <w:r>
        <w:rPr>
          <w:rFonts w:ascii="宋体" w:hAnsi="宋体" w:eastAsia="宋体" w:cs="宋体"/>
          <w:color w:val="auto"/>
          <w:spacing w:val="4"/>
          <w:sz w:val="21"/>
          <w:szCs w:val="21"/>
          <w:highlight w:val="none"/>
        </w:rPr>
        <w:t xml:space="preserve">    </w:t>
      </w:r>
      <w:r>
        <w:rPr>
          <w:rFonts w:ascii="宋体" w:hAnsi="宋体" w:eastAsia="宋体" w:cs="宋体"/>
          <w:color w:val="auto"/>
          <w:spacing w:val="-29"/>
          <w:w w:val="99"/>
          <w:sz w:val="21"/>
          <w:szCs w:val="21"/>
          <w:highlight w:val="none"/>
        </w:rPr>
        <w:t>址：</w:t>
      </w:r>
      <w:r>
        <w:rPr>
          <w:rFonts w:ascii="宋体" w:hAnsi="宋体" w:eastAsia="宋体" w:cs="宋体"/>
          <w:color w:val="auto"/>
          <w:spacing w:val="-31"/>
          <w:sz w:val="21"/>
          <w:szCs w:val="21"/>
          <w:highlight w:val="none"/>
        </w:rPr>
        <w:t xml:space="preserve"> </w:t>
      </w:r>
      <w:r>
        <w:rPr>
          <w:rFonts w:ascii="宋体" w:hAnsi="宋体" w:eastAsia="宋体" w:cs="宋体"/>
          <w:color w:val="auto"/>
          <w:sz w:val="21"/>
          <w:szCs w:val="21"/>
          <w:highlight w:val="none"/>
          <w:u w:val="single" w:color="auto"/>
        </w:rPr>
        <w:t xml:space="preserve">                                                        </w:t>
      </w:r>
    </w:p>
    <w:p w14:paraId="66FE4000">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19"/>
          <w:sz w:val="21"/>
          <w:szCs w:val="21"/>
          <w:highlight w:val="none"/>
        </w:rPr>
        <w:t>成立时间：</w:t>
      </w:r>
      <w:r>
        <w:rPr>
          <w:rFonts w:ascii="宋体" w:hAnsi="宋体" w:eastAsia="宋体" w:cs="宋体"/>
          <w:color w:val="auto"/>
          <w:spacing w:val="22"/>
          <w:sz w:val="21"/>
          <w:szCs w:val="21"/>
          <w:highlight w:val="none"/>
        </w:rPr>
        <w:t xml:space="preserve"> </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90"/>
          <w:sz w:val="21"/>
          <w:szCs w:val="21"/>
          <w:highlight w:val="none"/>
        </w:rPr>
        <w:t xml:space="preserve"> </w:t>
      </w:r>
      <w:r>
        <w:rPr>
          <w:rFonts w:ascii="宋体" w:hAnsi="宋体" w:eastAsia="宋体" w:cs="宋体"/>
          <w:color w:val="auto"/>
          <w:spacing w:val="-19"/>
          <w:sz w:val="21"/>
          <w:szCs w:val="21"/>
          <w:highlight w:val="none"/>
        </w:rPr>
        <w:t>年</w:t>
      </w:r>
      <w:r>
        <w:rPr>
          <w:rFonts w:ascii="宋体" w:hAnsi="宋体" w:eastAsia="宋体" w:cs="宋体"/>
          <w:color w:val="auto"/>
          <w:spacing w:val="8"/>
          <w:sz w:val="21"/>
          <w:szCs w:val="21"/>
          <w:highlight w:val="none"/>
          <w:u w:val="single" w:color="auto"/>
        </w:rPr>
        <w:t xml:space="preserve">             </w:t>
      </w:r>
      <w:r>
        <w:rPr>
          <w:rFonts w:ascii="宋体" w:hAnsi="宋体" w:eastAsia="宋体" w:cs="宋体"/>
          <w:color w:val="auto"/>
          <w:spacing w:val="-92"/>
          <w:sz w:val="21"/>
          <w:szCs w:val="21"/>
          <w:highlight w:val="none"/>
        </w:rPr>
        <w:t xml:space="preserve"> </w:t>
      </w:r>
      <w:r>
        <w:rPr>
          <w:rFonts w:ascii="宋体" w:hAnsi="宋体" w:eastAsia="宋体" w:cs="宋体"/>
          <w:color w:val="auto"/>
          <w:spacing w:val="-19"/>
          <w:sz w:val="21"/>
          <w:szCs w:val="21"/>
          <w:highlight w:val="none"/>
        </w:rPr>
        <w:t>月</w:t>
      </w:r>
      <w:r>
        <w:rPr>
          <w:rFonts w:ascii="宋体" w:hAnsi="宋体" w:eastAsia="宋体" w:cs="宋体"/>
          <w:color w:val="auto"/>
          <w:spacing w:val="8"/>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19"/>
          <w:sz w:val="21"/>
          <w:szCs w:val="21"/>
          <w:highlight w:val="none"/>
        </w:rPr>
        <w:t>日</w:t>
      </w:r>
    </w:p>
    <w:p w14:paraId="67EB2524">
      <w:pPr>
        <w:spacing w:before="248" w:line="221" w:lineRule="auto"/>
        <w:ind w:left="20"/>
        <w:rPr>
          <w:rFonts w:ascii="宋体" w:hAnsi="宋体" w:eastAsia="宋体" w:cs="宋体"/>
          <w:color w:val="auto"/>
          <w:sz w:val="21"/>
          <w:szCs w:val="21"/>
          <w:highlight w:val="none"/>
        </w:rPr>
      </w:pPr>
      <w:r>
        <w:rPr>
          <w:rFonts w:ascii="宋体" w:hAnsi="宋体" w:eastAsia="宋体" w:cs="宋体"/>
          <w:color w:val="auto"/>
          <w:spacing w:val="-26"/>
          <w:sz w:val="21"/>
          <w:szCs w:val="21"/>
          <w:highlight w:val="none"/>
        </w:rPr>
        <w:t>经营期限：</w:t>
      </w:r>
      <w:r>
        <w:rPr>
          <w:rFonts w:ascii="宋体" w:hAnsi="宋体" w:eastAsia="宋体" w:cs="宋体"/>
          <w:color w:val="auto"/>
          <w:spacing w:val="20"/>
          <w:sz w:val="21"/>
          <w:szCs w:val="21"/>
          <w:highlight w:val="none"/>
        </w:rPr>
        <w:t xml:space="preserve"> </w:t>
      </w:r>
      <w:r>
        <w:rPr>
          <w:rFonts w:ascii="宋体" w:hAnsi="宋体" w:eastAsia="宋体" w:cs="宋体"/>
          <w:color w:val="auto"/>
          <w:sz w:val="21"/>
          <w:szCs w:val="21"/>
          <w:highlight w:val="none"/>
          <w:u w:val="single" w:color="auto"/>
        </w:rPr>
        <w:t xml:space="preserve">                                                        </w:t>
      </w:r>
    </w:p>
    <w:p w14:paraId="0296FA23">
      <w:pPr>
        <w:spacing w:before="248" w:line="221" w:lineRule="auto"/>
        <w:ind w:left="18"/>
        <w:rPr>
          <w:rFonts w:ascii="宋体" w:hAnsi="宋体" w:eastAsia="宋体" w:cs="宋体"/>
          <w:color w:val="auto"/>
          <w:sz w:val="21"/>
          <w:szCs w:val="21"/>
          <w:highlight w:val="none"/>
        </w:rPr>
      </w:pPr>
      <w:r>
        <w:rPr>
          <w:rFonts w:ascii="宋体" w:hAnsi="宋体" w:eastAsia="宋体" w:cs="宋体"/>
          <w:color w:val="auto"/>
          <w:spacing w:val="-30"/>
          <w:sz w:val="21"/>
          <w:szCs w:val="21"/>
          <w:highlight w:val="none"/>
        </w:rPr>
        <w:t>姓</w:t>
      </w:r>
      <w:r>
        <w:rPr>
          <w:rFonts w:ascii="宋体" w:hAnsi="宋体" w:eastAsia="宋体" w:cs="宋体"/>
          <w:color w:val="auto"/>
          <w:spacing w:val="3"/>
          <w:sz w:val="21"/>
          <w:szCs w:val="21"/>
          <w:highlight w:val="none"/>
        </w:rPr>
        <w:t xml:space="preserve">    </w:t>
      </w:r>
      <w:r>
        <w:rPr>
          <w:rFonts w:ascii="宋体" w:hAnsi="宋体" w:eastAsia="宋体" w:cs="宋体"/>
          <w:color w:val="auto"/>
          <w:spacing w:val="-30"/>
          <w:sz w:val="21"/>
          <w:szCs w:val="21"/>
          <w:highlight w:val="none"/>
        </w:rPr>
        <w:t>名：</w:t>
      </w:r>
      <w:r>
        <w:rPr>
          <w:rFonts w:ascii="宋体" w:hAnsi="宋体" w:eastAsia="宋体" w:cs="宋体"/>
          <w:color w:val="auto"/>
          <w:spacing w:val="-31"/>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30"/>
          <w:sz w:val="21"/>
          <w:szCs w:val="21"/>
          <w:highlight w:val="none"/>
        </w:rPr>
        <w:t>性</w:t>
      </w:r>
      <w:r>
        <w:rPr>
          <w:rFonts w:ascii="宋体" w:hAnsi="宋体" w:eastAsia="宋体" w:cs="宋体"/>
          <w:color w:val="auto"/>
          <w:sz w:val="21"/>
          <w:szCs w:val="21"/>
          <w:highlight w:val="none"/>
        </w:rPr>
        <w:t xml:space="preserve">        </w:t>
      </w:r>
      <w:r>
        <w:rPr>
          <w:rFonts w:ascii="宋体" w:hAnsi="宋体" w:eastAsia="宋体" w:cs="宋体"/>
          <w:color w:val="auto"/>
          <w:spacing w:val="-30"/>
          <w:sz w:val="21"/>
          <w:szCs w:val="21"/>
          <w:highlight w:val="none"/>
        </w:rPr>
        <w:t>别：</w:t>
      </w:r>
      <w:r>
        <w:rPr>
          <w:rFonts w:ascii="宋体" w:hAnsi="宋体" w:eastAsia="宋体" w:cs="宋体"/>
          <w:color w:val="auto"/>
          <w:spacing w:val="-26"/>
          <w:sz w:val="21"/>
          <w:szCs w:val="21"/>
          <w:highlight w:val="none"/>
        </w:rPr>
        <w:t xml:space="preserve"> </w:t>
      </w:r>
      <w:r>
        <w:rPr>
          <w:rFonts w:ascii="宋体" w:hAnsi="宋体" w:eastAsia="宋体" w:cs="宋体"/>
          <w:color w:val="auto"/>
          <w:sz w:val="21"/>
          <w:szCs w:val="21"/>
          <w:highlight w:val="none"/>
          <w:u w:val="single" w:color="auto"/>
        </w:rPr>
        <w:t xml:space="preserve">                </w:t>
      </w:r>
    </w:p>
    <w:p w14:paraId="05C7CAE4">
      <w:pPr>
        <w:spacing w:before="247" w:line="221" w:lineRule="auto"/>
        <w:ind w:left="19"/>
        <w:rPr>
          <w:rFonts w:ascii="宋体" w:hAnsi="宋体" w:eastAsia="宋体" w:cs="宋体"/>
          <w:color w:val="auto"/>
          <w:sz w:val="21"/>
          <w:szCs w:val="21"/>
          <w:highlight w:val="none"/>
        </w:rPr>
      </w:pPr>
      <w:r>
        <w:rPr>
          <w:rFonts w:ascii="宋体" w:hAnsi="宋体" w:eastAsia="宋体" w:cs="宋体"/>
          <w:color w:val="auto"/>
          <w:spacing w:val="-29"/>
          <w:w w:val="99"/>
          <w:sz w:val="21"/>
          <w:szCs w:val="21"/>
          <w:highlight w:val="none"/>
        </w:rPr>
        <w:t>年</w:t>
      </w:r>
      <w:r>
        <w:rPr>
          <w:rFonts w:ascii="宋体" w:hAnsi="宋体" w:eastAsia="宋体" w:cs="宋体"/>
          <w:color w:val="auto"/>
          <w:spacing w:val="4"/>
          <w:sz w:val="21"/>
          <w:szCs w:val="21"/>
          <w:highlight w:val="none"/>
        </w:rPr>
        <w:t xml:space="preserve">    </w:t>
      </w:r>
      <w:r>
        <w:rPr>
          <w:rFonts w:ascii="宋体" w:hAnsi="宋体" w:eastAsia="宋体" w:cs="宋体"/>
          <w:color w:val="auto"/>
          <w:spacing w:val="-29"/>
          <w:w w:val="99"/>
          <w:sz w:val="21"/>
          <w:szCs w:val="21"/>
          <w:highlight w:val="none"/>
        </w:rPr>
        <w:t>龄：</w:t>
      </w:r>
      <w:r>
        <w:rPr>
          <w:rFonts w:ascii="宋体" w:hAnsi="宋体" w:eastAsia="宋体" w:cs="宋体"/>
          <w:color w:val="auto"/>
          <w:spacing w:val="-27"/>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93"/>
          <w:sz w:val="21"/>
          <w:szCs w:val="21"/>
          <w:highlight w:val="none"/>
        </w:rPr>
        <w:t xml:space="preserve"> </w:t>
      </w:r>
      <w:r>
        <w:rPr>
          <w:rFonts w:ascii="宋体" w:hAnsi="宋体" w:eastAsia="宋体" w:cs="宋体"/>
          <w:color w:val="auto"/>
          <w:spacing w:val="-29"/>
          <w:w w:val="99"/>
          <w:sz w:val="21"/>
          <w:szCs w:val="21"/>
          <w:highlight w:val="none"/>
        </w:rPr>
        <w:t>职</w:t>
      </w:r>
      <w:r>
        <w:rPr>
          <w:rFonts w:ascii="宋体" w:hAnsi="宋体" w:eastAsia="宋体" w:cs="宋体"/>
          <w:color w:val="auto"/>
          <w:sz w:val="21"/>
          <w:szCs w:val="21"/>
          <w:highlight w:val="none"/>
        </w:rPr>
        <w:t xml:space="preserve">        </w:t>
      </w:r>
      <w:r>
        <w:rPr>
          <w:rFonts w:ascii="宋体" w:hAnsi="宋体" w:eastAsia="宋体" w:cs="宋体"/>
          <w:color w:val="auto"/>
          <w:spacing w:val="-29"/>
          <w:w w:val="99"/>
          <w:sz w:val="21"/>
          <w:szCs w:val="21"/>
          <w:highlight w:val="none"/>
        </w:rPr>
        <w:t>务：</w:t>
      </w:r>
      <w:r>
        <w:rPr>
          <w:rFonts w:ascii="宋体" w:hAnsi="宋体" w:eastAsia="宋体" w:cs="宋体"/>
          <w:color w:val="auto"/>
          <w:spacing w:val="-26"/>
          <w:sz w:val="21"/>
          <w:szCs w:val="21"/>
          <w:highlight w:val="none"/>
        </w:rPr>
        <w:t xml:space="preserve"> </w:t>
      </w:r>
      <w:r>
        <w:rPr>
          <w:rFonts w:ascii="宋体" w:hAnsi="宋体" w:eastAsia="宋体" w:cs="宋体"/>
          <w:color w:val="auto"/>
          <w:sz w:val="21"/>
          <w:szCs w:val="21"/>
          <w:highlight w:val="none"/>
          <w:u w:val="single" w:color="auto"/>
        </w:rPr>
        <w:t xml:space="preserve">                </w:t>
      </w:r>
    </w:p>
    <w:p w14:paraId="57182E84">
      <w:pPr>
        <w:spacing w:before="254" w:line="439" w:lineRule="auto"/>
        <w:ind w:left="22"/>
        <w:rPr>
          <w:rFonts w:ascii="宋体" w:hAnsi="宋体" w:eastAsia="宋体" w:cs="宋体"/>
          <w:color w:val="auto"/>
          <w:sz w:val="21"/>
          <w:szCs w:val="21"/>
          <w:highlight w:val="none"/>
        </w:rPr>
      </w:pPr>
      <w:r>
        <w:rPr>
          <w:rFonts w:ascii="宋体" w:hAnsi="宋体" w:eastAsia="宋体" w:cs="宋体"/>
          <w:color w:val="auto"/>
          <w:spacing w:val="-17"/>
          <w:sz w:val="21"/>
          <w:szCs w:val="21"/>
          <w:highlight w:val="none"/>
        </w:rPr>
        <w:t>系</w:t>
      </w:r>
      <w:r>
        <w:rPr>
          <w:rFonts w:ascii="宋体" w:hAnsi="宋体" w:eastAsia="宋体" w:cs="宋体"/>
          <w:color w:val="auto"/>
          <w:spacing w:val="-99"/>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4"/>
          <w:sz w:val="21"/>
          <w:szCs w:val="21"/>
          <w:highlight w:val="none"/>
        </w:rPr>
        <w:t xml:space="preserve"> </w:t>
      </w:r>
      <w:r>
        <w:rPr>
          <w:rFonts w:ascii="宋体" w:hAnsi="宋体" w:eastAsia="宋体" w:cs="宋体"/>
          <w:color w:val="auto"/>
          <w:spacing w:val="-17"/>
          <w:sz w:val="21"/>
          <w:szCs w:val="21"/>
          <w:highlight w:val="none"/>
        </w:rPr>
        <w:t>（投标人名称）</w:t>
      </w:r>
      <w:r>
        <w:rPr>
          <w:rFonts w:ascii="宋体" w:hAnsi="宋体" w:eastAsia="宋体" w:cs="宋体"/>
          <w:color w:val="auto"/>
          <w:spacing w:val="35"/>
          <w:sz w:val="21"/>
          <w:szCs w:val="21"/>
          <w:highlight w:val="none"/>
        </w:rPr>
        <w:t xml:space="preserve"> </w:t>
      </w:r>
      <w:r>
        <w:rPr>
          <w:rFonts w:ascii="宋体" w:hAnsi="宋体" w:eastAsia="宋体" w:cs="宋体"/>
          <w:color w:val="auto"/>
          <w:spacing w:val="-17"/>
          <w:sz w:val="21"/>
          <w:szCs w:val="21"/>
          <w:highlight w:val="none"/>
        </w:rPr>
        <w:t>的法定代表人。</w:t>
      </w:r>
    </w:p>
    <w:p w14:paraId="731486E5">
      <w:pPr>
        <w:spacing w:before="1" w:line="220" w:lineRule="auto"/>
        <w:ind w:left="18"/>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特此证明。</w:t>
      </w:r>
    </w:p>
    <w:p w14:paraId="59913685">
      <w:pPr>
        <w:pStyle w:val="3"/>
        <w:spacing w:line="292" w:lineRule="auto"/>
        <w:rPr>
          <w:color w:val="auto"/>
          <w:highlight w:val="none"/>
        </w:rPr>
      </w:pPr>
    </w:p>
    <w:p w14:paraId="54B14888">
      <w:pPr>
        <w:pStyle w:val="3"/>
        <w:spacing w:line="293" w:lineRule="auto"/>
        <w:rPr>
          <w:color w:val="auto"/>
          <w:highlight w:val="none"/>
        </w:rPr>
      </w:pPr>
    </w:p>
    <w:p w14:paraId="42662FD7">
      <w:pPr>
        <w:pStyle w:val="3"/>
        <w:spacing w:line="293" w:lineRule="auto"/>
        <w:rPr>
          <w:color w:val="auto"/>
          <w:highlight w:val="none"/>
        </w:rPr>
      </w:pPr>
    </w:p>
    <w:p w14:paraId="4A95D93A">
      <w:pPr>
        <w:pStyle w:val="3"/>
        <w:spacing w:line="293" w:lineRule="auto"/>
        <w:rPr>
          <w:color w:val="auto"/>
          <w:highlight w:val="none"/>
        </w:rPr>
      </w:pPr>
    </w:p>
    <w:p w14:paraId="47B56104">
      <w:pPr>
        <w:spacing w:before="68" w:line="439" w:lineRule="auto"/>
        <w:ind w:right="11"/>
        <w:jc w:val="right"/>
        <w:rPr>
          <w:rFonts w:ascii="宋体" w:hAnsi="宋体" w:eastAsia="宋体" w:cs="宋体"/>
          <w:color w:val="auto"/>
          <w:sz w:val="21"/>
          <w:szCs w:val="21"/>
          <w:highlight w:val="none"/>
        </w:rPr>
      </w:pPr>
      <w:r>
        <w:rPr>
          <w:rFonts w:ascii="宋体" w:hAnsi="宋体" w:eastAsia="宋体" w:cs="宋体"/>
          <w:color w:val="auto"/>
          <w:spacing w:val="-23"/>
          <w:w w:val="98"/>
          <w:sz w:val="21"/>
          <w:szCs w:val="21"/>
          <w:highlight w:val="none"/>
        </w:rPr>
        <w:t>投标人</w:t>
      </w:r>
      <w:r>
        <w:rPr>
          <w:rFonts w:ascii="宋体" w:hAnsi="宋体" w:eastAsia="宋体" w:cs="宋体"/>
          <w:color w:val="auto"/>
          <w:spacing w:val="-16"/>
          <w:sz w:val="21"/>
          <w:szCs w:val="21"/>
          <w:highlight w:val="none"/>
        </w:rPr>
        <w:t>：</w:t>
      </w:r>
      <w:r>
        <w:rPr>
          <w:rFonts w:ascii="宋体" w:hAnsi="宋体" w:eastAsia="宋体" w:cs="宋体"/>
          <w:color w:val="auto"/>
          <w:spacing w:val="10"/>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17"/>
          <w:sz w:val="21"/>
          <w:szCs w:val="21"/>
          <w:highlight w:val="none"/>
        </w:rPr>
        <w:t xml:space="preserve"> </w:t>
      </w:r>
      <w:r>
        <w:rPr>
          <w:rFonts w:ascii="宋体" w:hAnsi="宋体" w:eastAsia="宋体" w:cs="宋体"/>
          <w:color w:val="auto"/>
          <w:spacing w:val="-16"/>
          <w:sz w:val="21"/>
          <w:szCs w:val="21"/>
          <w:highlight w:val="none"/>
        </w:rPr>
        <w:t>（</w:t>
      </w:r>
      <w:r>
        <w:rPr>
          <w:rFonts w:ascii="宋体" w:hAnsi="宋体" w:eastAsia="宋体" w:cs="宋体"/>
          <w:color w:val="auto"/>
          <w:spacing w:val="-23"/>
          <w:w w:val="98"/>
          <w:sz w:val="21"/>
          <w:szCs w:val="21"/>
          <w:highlight w:val="none"/>
        </w:rPr>
        <w:t>盖单位章）</w:t>
      </w:r>
    </w:p>
    <w:p w14:paraId="77E06089">
      <w:pPr>
        <w:tabs>
          <w:tab w:val="left" w:pos="5915"/>
        </w:tabs>
        <w:spacing w:before="1" w:line="220" w:lineRule="auto"/>
        <w:ind w:left="4965"/>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6"/>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14"/>
          <w:sz w:val="21"/>
          <w:szCs w:val="21"/>
          <w:highlight w:val="none"/>
          <w:u w:val="single" w:color="auto"/>
        </w:rPr>
        <w:t xml:space="preserve">       </w:t>
      </w:r>
      <w:r>
        <w:rPr>
          <w:rFonts w:ascii="宋体" w:hAnsi="宋体" w:eastAsia="宋体" w:cs="宋体"/>
          <w:color w:val="auto"/>
          <w:spacing w:val="-89"/>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pacing w:val="-105"/>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7"/>
          <w:sz w:val="21"/>
          <w:szCs w:val="21"/>
          <w:highlight w:val="none"/>
        </w:rPr>
        <w:t>日</w:t>
      </w:r>
    </w:p>
    <w:p w14:paraId="22ECF52F">
      <w:pPr>
        <w:spacing w:line="220" w:lineRule="auto"/>
        <w:rPr>
          <w:rFonts w:ascii="宋体" w:hAnsi="宋体" w:eastAsia="宋体" w:cs="宋体"/>
          <w:color w:val="auto"/>
          <w:sz w:val="21"/>
          <w:szCs w:val="21"/>
          <w:highlight w:val="none"/>
        </w:rPr>
        <w:sectPr>
          <w:footerReference r:id="rId217" w:type="default"/>
          <w:pgSz w:w="11905" w:h="16839"/>
          <w:pgMar w:top="400" w:right="1785" w:bottom="1004" w:left="1785" w:header="0" w:footer="828" w:gutter="0"/>
          <w:pgNumType w:fmt="decimal"/>
          <w:cols w:space="720" w:num="1"/>
        </w:sectPr>
      </w:pPr>
    </w:p>
    <w:p w14:paraId="6AEFCEF3">
      <w:pPr>
        <w:pStyle w:val="3"/>
        <w:spacing w:line="256" w:lineRule="auto"/>
        <w:rPr>
          <w:color w:val="auto"/>
          <w:highlight w:val="none"/>
        </w:rPr>
      </w:pPr>
    </w:p>
    <w:p w14:paraId="193C9775">
      <w:pPr>
        <w:pStyle w:val="3"/>
        <w:spacing w:line="256" w:lineRule="auto"/>
        <w:rPr>
          <w:color w:val="auto"/>
          <w:highlight w:val="none"/>
        </w:rPr>
      </w:pPr>
    </w:p>
    <w:p w14:paraId="7FDA7E2C">
      <w:pPr>
        <w:pStyle w:val="3"/>
        <w:spacing w:line="256" w:lineRule="auto"/>
        <w:rPr>
          <w:color w:val="auto"/>
          <w:highlight w:val="none"/>
        </w:rPr>
      </w:pPr>
    </w:p>
    <w:p w14:paraId="0A301CCF">
      <w:pPr>
        <w:pStyle w:val="3"/>
        <w:spacing w:line="256" w:lineRule="auto"/>
        <w:rPr>
          <w:color w:val="auto"/>
          <w:highlight w:val="none"/>
        </w:rPr>
      </w:pPr>
    </w:p>
    <w:p w14:paraId="5B025143">
      <w:pPr>
        <w:spacing w:before="88" w:line="225" w:lineRule="auto"/>
        <w:ind w:left="3204"/>
        <w:rPr>
          <w:rFonts w:ascii="黑体" w:hAnsi="黑体" w:eastAsia="黑体" w:cs="黑体"/>
          <w:color w:val="auto"/>
          <w:sz w:val="27"/>
          <w:szCs w:val="27"/>
          <w:highlight w:val="none"/>
        </w:rPr>
      </w:pPr>
      <w:bookmarkStart w:id="1330" w:name="bookmark303"/>
      <w:bookmarkEnd w:id="1330"/>
      <w:r>
        <w:rPr>
          <w:rFonts w:ascii="黑体" w:hAnsi="黑体" w:eastAsia="黑体" w:cs="黑体"/>
          <w:color w:val="auto"/>
          <w:spacing w:val="6"/>
          <w:sz w:val="27"/>
          <w:szCs w:val="27"/>
          <w:highlight w:val="none"/>
        </w:rPr>
        <w:t>二、授权委托书</w:t>
      </w:r>
    </w:p>
    <w:p w14:paraId="52ED1904">
      <w:pPr>
        <w:pStyle w:val="3"/>
        <w:spacing w:line="320" w:lineRule="auto"/>
        <w:rPr>
          <w:color w:val="auto"/>
          <w:highlight w:val="none"/>
        </w:rPr>
      </w:pPr>
    </w:p>
    <w:p w14:paraId="69F9804F">
      <w:pPr>
        <w:pStyle w:val="3"/>
        <w:spacing w:line="320" w:lineRule="auto"/>
        <w:rPr>
          <w:color w:val="auto"/>
          <w:highlight w:val="none"/>
        </w:rPr>
      </w:pPr>
    </w:p>
    <w:p w14:paraId="5C7A7DAD">
      <w:pPr>
        <w:spacing w:before="68" w:line="439" w:lineRule="auto"/>
        <w:ind w:left="18" w:firstLine="423"/>
        <w:jc w:val="both"/>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本人</w:t>
      </w:r>
      <w:r>
        <w:rPr>
          <w:rFonts w:ascii="宋体" w:hAnsi="宋体" w:eastAsia="宋体" w:cs="宋体"/>
          <w:color w:val="auto"/>
          <w:spacing w:val="-10"/>
          <w:sz w:val="21"/>
          <w:szCs w:val="21"/>
          <w:highlight w:val="none"/>
          <w:u w:val="single" w:color="auto"/>
        </w:rPr>
        <w:t xml:space="preserve">         </w:t>
      </w:r>
      <w:r>
        <w:rPr>
          <w:rFonts w:ascii="宋体" w:hAnsi="宋体" w:eastAsia="宋体" w:cs="宋体"/>
          <w:color w:val="auto"/>
          <w:spacing w:val="-10"/>
          <w:sz w:val="21"/>
          <w:szCs w:val="21"/>
          <w:highlight w:val="none"/>
        </w:rPr>
        <w:t xml:space="preserve"> （姓名）系</w:t>
      </w:r>
      <w:r>
        <w:rPr>
          <w:rFonts w:ascii="宋体" w:hAnsi="宋体" w:eastAsia="宋体" w:cs="宋体"/>
          <w:color w:val="auto"/>
          <w:spacing w:val="-70"/>
          <w:sz w:val="21"/>
          <w:szCs w:val="21"/>
          <w:highlight w:val="none"/>
        </w:rPr>
        <w:t xml:space="preserve"> </w:t>
      </w:r>
      <w:r>
        <w:rPr>
          <w:rFonts w:ascii="宋体" w:hAnsi="宋体" w:eastAsia="宋体" w:cs="宋体"/>
          <w:color w:val="auto"/>
          <w:spacing w:val="8"/>
          <w:sz w:val="21"/>
          <w:szCs w:val="21"/>
          <w:highlight w:val="none"/>
          <w:u w:val="single" w:color="auto"/>
        </w:rPr>
        <w:t xml:space="preserve">        </w:t>
      </w:r>
      <w:r>
        <w:rPr>
          <w:rFonts w:ascii="宋体" w:hAnsi="宋体" w:eastAsia="宋体" w:cs="宋体"/>
          <w:color w:val="auto"/>
          <w:spacing w:val="17"/>
          <w:sz w:val="21"/>
          <w:szCs w:val="21"/>
          <w:highlight w:val="none"/>
        </w:rPr>
        <w:t xml:space="preserve"> </w:t>
      </w:r>
      <w:r>
        <w:rPr>
          <w:rFonts w:ascii="宋体" w:hAnsi="宋体" w:eastAsia="宋体" w:cs="宋体"/>
          <w:color w:val="auto"/>
          <w:spacing w:val="-10"/>
          <w:sz w:val="21"/>
          <w:szCs w:val="21"/>
          <w:highlight w:val="none"/>
        </w:rPr>
        <w:t>（投标人名称）的法定代表人，现委托</w:t>
      </w:r>
      <w:r>
        <w:rPr>
          <w:rFonts w:ascii="宋体" w:hAnsi="宋体" w:eastAsia="宋体" w:cs="宋体"/>
          <w:color w:val="auto"/>
          <w:spacing w:val="-103"/>
          <w:sz w:val="21"/>
          <w:szCs w:val="21"/>
          <w:highlight w:val="none"/>
        </w:rPr>
        <w:t xml:space="preserve"> </w:t>
      </w:r>
      <w:r>
        <w:rPr>
          <w:rFonts w:ascii="宋体" w:hAnsi="宋体" w:eastAsia="宋体" w:cs="宋体"/>
          <w:color w:val="auto"/>
          <w:spacing w:val="16"/>
          <w:sz w:val="21"/>
          <w:szCs w:val="21"/>
          <w:highlight w:val="none"/>
          <w:u w:val="single" w:color="auto"/>
        </w:rPr>
        <w:t xml:space="preserve">     </w:t>
      </w:r>
      <w:r>
        <w:rPr>
          <w:rFonts w:ascii="宋体" w:hAnsi="宋体" w:eastAsia="宋体" w:cs="宋体"/>
          <w:color w:val="auto"/>
          <w:spacing w:val="-48"/>
          <w:sz w:val="21"/>
          <w:szCs w:val="21"/>
          <w:highlight w:val="none"/>
        </w:rPr>
        <w:t xml:space="preserve"> </w:t>
      </w:r>
      <w:r>
        <w:rPr>
          <w:rFonts w:ascii="宋体" w:hAnsi="宋体" w:eastAsia="宋体" w:cs="宋体"/>
          <w:color w:val="auto"/>
          <w:spacing w:val="-10"/>
          <w:sz w:val="21"/>
          <w:szCs w:val="21"/>
          <w:highlight w:val="none"/>
        </w:rPr>
        <w:t>（姓</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名）为我方代理人。代理人根据授权，以我方名义签署、澄清、说明、补正、递交、撤回、</w:t>
      </w:r>
      <w:r>
        <w:rPr>
          <w:rFonts w:ascii="宋体" w:hAnsi="宋体" w:eastAsia="宋体" w:cs="宋体"/>
          <w:color w:val="auto"/>
          <w:spacing w:val="1"/>
          <w:sz w:val="21"/>
          <w:szCs w:val="21"/>
          <w:highlight w:val="none"/>
        </w:rPr>
        <w:t xml:space="preserve"> </w:t>
      </w:r>
      <w:r>
        <w:rPr>
          <w:rFonts w:ascii="宋体" w:hAnsi="宋体" w:eastAsia="宋体" w:cs="宋体"/>
          <w:color w:val="auto"/>
          <w:spacing w:val="-7"/>
          <w:sz w:val="21"/>
          <w:szCs w:val="21"/>
          <w:highlight w:val="none"/>
        </w:rPr>
        <w:t>修改</w:t>
      </w:r>
      <w:r>
        <w:rPr>
          <w:rFonts w:ascii="宋体" w:hAnsi="宋体" w:eastAsia="宋体" w:cs="宋体"/>
          <w:color w:val="auto"/>
          <w:spacing w:val="-104"/>
          <w:sz w:val="21"/>
          <w:szCs w:val="21"/>
          <w:highlight w:val="none"/>
        </w:rPr>
        <w:t xml:space="preserve"> </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7"/>
          <w:sz w:val="21"/>
          <w:szCs w:val="21"/>
          <w:highlight w:val="none"/>
        </w:rPr>
        <w:t xml:space="preserve"> （标段名称）项目</w:t>
      </w:r>
      <w:r>
        <w:rPr>
          <w:rFonts w:ascii="宋体" w:hAnsi="宋体" w:eastAsia="宋体" w:cs="宋体"/>
          <w:color w:val="auto"/>
          <w:spacing w:val="-26"/>
          <w:sz w:val="21"/>
          <w:szCs w:val="21"/>
          <w:highlight w:val="none"/>
        </w:rPr>
        <w:t xml:space="preserve"> </w:t>
      </w:r>
      <w:r>
        <w:rPr>
          <w:rFonts w:ascii="宋体" w:hAnsi="宋体" w:eastAsia="宋体" w:cs="宋体"/>
          <w:color w:val="auto"/>
          <w:spacing w:val="-7"/>
          <w:sz w:val="21"/>
          <w:szCs w:val="21"/>
          <w:highlight w:val="none"/>
        </w:rPr>
        <w:t>（标段唯一标识码</w:t>
      </w:r>
      <w:r>
        <w:rPr>
          <w:rFonts w:ascii="宋体" w:hAnsi="宋体" w:eastAsia="宋体" w:cs="宋体"/>
          <w:color w:val="auto"/>
          <w:spacing w:val="-12"/>
          <w:sz w:val="21"/>
          <w:szCs w:val="21"/>
          <w:highlight w:val="none"/>
        </w:rPr>
        <w:t>：</w:t>
      </w:r>
      <w:r>
        <w:rPr>
          <w:rFonts w:ascii="宋体" w:hAnsi="宋体" w:eastAsia="宋体" w:cs="宋体"/>
          <w:color w:val="auto"/>
          <w:spacing w:val="-28"/>
          <w:sz w:val="21"/>
          <w:szCs w:val="21"/>
          <w:highlight w:val="none"/>
        </w:rPr>
        <w:t xml:space="preserve"> </w:t>
      </w:r>
      <w:r>
        <w:rPr>
          <w:rFonts w:ascii="宋体" w:hAnsi="宋体" w:eastAsia="宋体" w:cs="宋体"/>
          <w:color w:val="auto"/>
          <w:spacing w:val="8"/>
          <w:sz w:val="21"/>
          <w:szCs w:val="21"/>
          <w:highlight w:val="none"/>
          <w:u w:val="single" w:color="auto"/>
        </w:rPr>
        <w:t xml:space="preserve">     </w:t>
      </w:r>
      <w:r>
        <w:rPr>
          <w:rFonts w:ascii="宋体" w:hAnsi="宋体" w:eastAsia="宋体" w:cs="宋体"/>
          <w:color w:val="auto"/>
          <w:spacing w:val="-73"/>
          <w:sz w:val="21"/>
          <w:szCs w:val="21"/>
          <w:highlight w:val="none"/>
        </w:rPr>
        <w:t xml:space="preserve"> </w:t>
      </w:r>
      <w:r>
        <w:rPr>
          <w:rFonts w:ascii="宋体" w:hAnsi="宋体" w:eastAsia="宋体" w:cs="宋体"/>
          <w:color w:val="auto"/>
          <w:spacing w:val="-12"/>
          <w:sz w:val="21"/>
          <w:szCs w:val="21"/>
          <w:highlight w:val="none"/>
        </w:rPr>
        <w:t>）</w:t>
      </w:r>
      <w:r>
        <w:rPr>
          <w:rFonts w:ascii="宋体" w:hAnsi="宋体" w:eastAsia="宋体" w:cs="宋体"/>
          <w:color w:val="auto"/>
          <w:spacing w:val="-7"/>
          <w:sz w:val="21"/>
          <w:szCs w:val="21"/>
          <w:highlight w:val="none"/>
        </w:rPr>
        <w:t>投标文件、签订合同和处</w:t>
      </w:r>
    </w:p>
    <w:p w14:paraId="7D098CF1">
      <w:pPr>
        <w:spacing w:line="22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理有关事宜，其法律后果由我方承担。</w:t>
      </w:r>
    </w:p>
    <w:p w14:paraId="2B52D14B">
      <w:pPr>
        <w:pStyle w:val="3"/>
        <w:spacing w:line="298" w:lineRule="auto"/>
        <w:rPr>
          <w:color w:val="auto"/>
          <w:highlight w:val="none"/>
        </w:rPr>
      </w:pPr>
    </w:p>
    <w:p w14:paraId="1F894DD1">
      <w:pPr>
        <w:spacing w:before="69" w:line="221" w:lineRule="auto"/>
        <w:ind w:left="440"/>
        <w:rPr>
          <w:rFonts w:ascii="宋体" w:hAnsi="宋体" w:eastAsia="宋体" w:cs="宋体"/>
          <w:color w:val="auto"/>
          <w:sz w:val="21"/>
          <w:szCs w:val="21"/>
          <w:highlight w:val="none"/>
        </w:rPr>
      </w:pPr>
      <w:r>
        <w:rPr>
          <w:rFonts w:ascii="宋体" w:hAnsi="宋体" w:eastAsia="宋体" w:cs="宋体"/>
          <w:color w:val="auto"/>
          <w:spacing w:val="-26"/>
          <w:sz w:val="21"/>
          <w:szCs w:val="21"/>
          <w:highlight w:val="none"/>
        </w:rPr>
        <w:t>委托期限：</w:t>
      </w:r>
      <w:r>
        <w:rPr>
          <w:rFonts w:ascii="宋体" w:hAnsi="宋体" w:eastAsia="宋体" w:cs="宋体"/>
          <w:color w:val="auto"/>
          <w:spacing w:val="49"/>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26"/>
          <w:sz w:val="21"/>
          <w:szCs w:val="21"/>
          <w:highlight w:val="none"/>
        </w:rPr>
        <w:t>。</w:t>
      </w:r>
    </w:p>
    <w:p w14:paraId="37E3BECD">
      <w:pPr>
        <w:pStyle w:val="3"/>
        <w:spacing w:line="416" w:lineRule="auto"/>
        <w:rPr>
          <w:color w:val="auto"/>
          <w:highlight w:val="none"/>
        </w:rPr>
      </w:pPr>
    </w:p>
    <w:p w14:paraId="4470AB77">
      <w:pPr>
        <w:spacing w:before="68" w:line="221" w:lineRule="auto"/>
        <w:ind w:left="44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代理人无转委托权。</w:t>
      </w:r>
    </w:p>
    <w:p w14:paraId="2B3D047A">
      <w:pPr>
        <w:pStyle w:val="3"/>
        <w:spacing w:line="422" w:lineRule="auto"/>
        <w:rPr>
          <w:color w:val="auto"/>
          <w:highlight w:val="none"/>
        </w:rPr>
      </w:pPr>
    </w:p>
    <w:p w14:paraId="2B57555D">
      <w:pPr>
        <w:spacing w:before="68" w:line="220" w:lineRule="auto"/>
        <w:ind w:left="239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（附授权委托人身份证正反面复印件）</w:t>
      </w:r>
    </w:p>
    <w:p w14:paraId="6310AE34">
      <w:pPr>
        <w:pStyle w:val="3"/>
        <w:spacing w:line="262" w:lineRule="auto"/>
        <w:rPr>
          <w:color w:val="auto"/>
          <w:highlight w:val="none"/>
        </w:rPr>
      </w:pPr>
    </w:p>
    <w:p w14:paraId="482F70F5">
      <w:pPr>
        <w:pStyle w:val="3"/>
        <w:spacing w:line="262" w:lineRule="auto"/>
        <w:rPr>
          <w:color w:val="auto"/>
          <w:highlight w:val="none"/>
        </w:rPr>
      </w:pPr>
    </w:p>
    <w:p w14:paraId="083DD987">
      <w:pPr>
        <w:pStyle w:val="3"/>
        <w:spacing w:line="262" w:lineRule="auto"/>
        <w:rPr>
          <w:color w:val="auto"/>
          <w:highlight w:val="none"/>
        </w:rPr>
      </w:pPr>
    </w:p>
    <w:p w14:paraId="6BCBD4DC">
      <w:pPr>
        <w:pStyle w:val="3"/>
        <w:spacing w:line="262" w:lineRule="auto"/>
        <w:rPr>
          <w:color w:val="auto"/>
          <w:highlight w:val="none"/>
        </w:rPr>
      </w:pPr>
    </w:p>
    <w:p w14:paraId="0B03B74D">
      <w:pPr>
        <w:pStyle w:val="3"/>
        <w:spacing w:line="262" w:lineRule="auto"/>
        <w:rPr>
          <w:color w:val="auto"/>
          <w:highlight w:val="none"/>
        </w:rPr>
      </w:pPr>
    </w:p>
    <w:p w14:paraId="7BCEA1E9">
      <w:pPr>
        <w:pStyle w:val="3"/>
        <w:spacing w:line="263" w:lineRule="auto"/>
        <w:rPr>
          <w:color w:val="auto"/>
          <w:highlight w:val="none"/>
        </w:rPr>
      </w:pPr>
    </w:p>
    <w:p w14:paraId="68004FF0">
      <w:pPr>
        <w:spacing w:before="69" w:line="220" w:lineRule="auto"/>
        <w:ind w:left="3593"/>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投</w:t>
      </w:r>
      <w:r>
        <w:rPr>
          <w:rFonts w:ascii="宋体" w:hAnsi="宋体" w:eastAsia="宋体" w:cs="宋体"/>
          <w:color w:val="auto"/>
          <w:spacing w:val="5"/>
          <w:sz w:val="21"/>
          <w:szCs w:val="21"/>
          <w:highlight w:val="none"/>
        </w:rPr>
        <w:t xml:space="preserve">  </w:t>
      </w:r>
      <w:r>
        <w:rPr>
          <w:rFonts w:ascii="宋体" w:hAnsi="宋体" w:eastAsia="宋体" w:cs="宋体"/>
          <w:color w:val="auto"/>
          <w:spacing w:val="-10"/>
          <w:sz w:val="21"/>
          <w:szCs w:val="21"/>
          <w:highlight w:val="none"/>
        </w:rPr>
        <w:t>标</w:t>
      </w:r>
      <w:r>
        <w:rPr>
          <w:rFonts w:ascii="宋体" w:hAnsi="宋体" w:eastAsia="宋体" w:cs="宋体"/>
          <w:color w:val="auto"/>
          <w:spacing w:val="5"/>
          <w:sz w:val="21"/>
          <w:szCs w:val="21"/>
          <w:highlight w:val="none"/>
        </w:rPr>
        <w:t xml:space="preserve">  </w:t>
      </w:r>
      <w:r>
        <w:rPr>
          <w:rFonts w:ascii="宋体" w:hAnsi="宋体" w:eastAsia="宋体" w:cs="宋体"/>
          <w:color w:val="auto"/>
          <w:spacing w:val="-10"/>
          <w:sz w:val="21"/>
          <w:szCs w:val="21"/>
          <w:highlight w:val="none"/>
        </w:rPr>
        <w:t>人</w:t>
      </w:r>
      <w:r>
        <w:rPr>
          <w:rFonts w:ascii="宋体" w:hAnsi="宋体" w:eastAsia="宋体" w:cs="宋体"/>
          <w:color w:val="auto"/>
          <w:spacing w:val="-15"/>
          <w:sz w:val="21"/>
          <w:szCs w:val="21"/>
          <w:highlight w:val="none"/>
        </w:rPr>
        <w:t>：</w:t>
      </w:r>
      <w:r>
        <w:rPr>
          <w:rFonts w:ascii="宋体" w:hAnsi="宋体" w:eastAsia="宋体" w:cs="宋体"/>
          <w:color w:val="auto"/>
          <w:spacing w:val="-33"/>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5"/>
          <w:sz w:val="21"/>
          <w:szCs w:val="21"/>
          <w:highlight w:val="none"/>
        </w:rPr>
        <w:t>（</w:t>
      </w:r>
      <w:r>
        <w:rPr>
          <w:rFonts w:ascii="宋体" w:hAnsi="宋体" w:eastAsia="宋体" w:cs="宋体"/>
          <w:color w:val="auto"/>
          <w:spacing w:val="-10"/>
          <w:sz w:val="21"/>
          <w:szCs w:val="21"/>
          <w:highlight w:val="none"/>
        </w:rPr>
        <w:t>盖单位章）</w:t>
      </w:r>
    </w:p>
    <w:p w14:paraId="70F69503">
      <w:pPr>
        <w:pStyle w:val="3"/>
        <w:rPr>
          <w:color w:val="auto"/>
          <w:highlight w:val="none"/>
        </w:rPr>
      </w:pPr>
    </w:p>
    <w:p w14:paraId="3D2C5102">
      <w:pPr>
        <w:pStyle w:val="3"/>
        <w:rPr>
          <w:color w:val="auto"/>
          <w:highlight w:val="none"/>
        </w:rPr>
      </w:pPr>
    </w:p>
    <w:p w14:paraId="714CB80B">
      <w:pPr>
        <w:spacing w:before="68" w:line="220" w:lineRule="auto"/>
        <w:ind w:left="3591"/>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法定代表人</w:t>
      </w:r>
      <w:r>
        <w:rPr>
          <w:rFonts w:ascii="宋体" w:hAnsi="宋体" w:eastAsia="宋体" w:cs="宋体"/>
          <w:color w:val="auto"/>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rPr>
        <w:t>（</w:t>
      </w:r>
      <w:r>
        <w:rPr>
          <w:rFonts w:ascii="宋体" w:hAnsi="宋体" w:eastAsia="宋体" w:cs="宋体"/>
          <w:color w:val="auto"/>
          <w:spacing w:val="-12"/>
          <w:sz w:val="21"/>
          <w:szCs w:val="21"/>
          <w:highlight w:val="none"/>
        </w:rPr>
        <w:t>签章）</w:t>
      </w:r>
    </w:p>
    <w:p w14:paraId="5A98E06B">
      <w:pPr>
        <w:pStyle w:val="3"/>
        <w:spacing w:line="475" w:lineRule="auto"/>
        <w:rPr>
          <w:color w:val="auto"/>
          <w:highlight w:val="none"/>
        </w:rPr>
      </w:pPr>
    </w:p>
    <w:p w14:paraId="2ECFECA3">
      <w:pPr>
        <w:spacing w:before="69" w:line="221" w:lineRule="auto"/>
        <w:ind w:left="359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身份证号码：</w:t>
      </w:r>
      <w:r>
        <w:rPr>
          <w:rFonts w:ascii="宋体" w:hAnsi="宋体" w:eastAsia="宋体" w:cs="宋体"/>
          <w:color w:val="auto"/>
          <w:sz w:val="21"/>
          <w:szCs w:val="21"/>
          <w:highlight w:val="none"/>
          <w:u w:val="single" w:color="auto"/>
        </w:rPr>
        <w:t xml:space="preserve">                        </w:t>
      </w:r>
    </w:p>
    <w:p w14:paraId="29D1BBFF">
      <w:pPr>
        <w:pStyle w:val="3"/>
        <w:spacing w:line="479" w:lineRule="auto"/>
        <w:rPr>
          <w:color w:val="auto"/>
          <w:highlight w:val="none"/>
        </w:rPr>
      </w:pPr>
    </w:p>
    <w:p w14:paraId="07A83921">
      <w:pPr>
        <w:spacing w:before="68" w:line="220" w:lineRule="auto"/>
        <w:ind w:left="3590"/>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委托代理人</w:t>
      </w:r>
      <w:r>
        <w:rPr>
          <w:rFonts w:ascii="宋体" w:hAnsi="宋体" w:eastAsia="宋体" w:cs="宋体"/>
          <w:color w:val="auto"/>
          <w:spacing w:val="1"/>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8"/>
          <w:sz w:val="21"/>
          <w:szCs w:val="21"/>
          <w:highlight w:val="none"/>
        </w:rPr>
        <w:t xml:space="preserve"> </w:t>
      </w:r>
      <w:r>
        <w:rPr>
          <w:rFonts w:ascii="宋体" w:hAnsi="宋体" w:eastAsia="宋体" w:cs="宋体"/>
          <w:color w:val="auto"/>
          <w:spacing w:val="1"/>
          <w:sz w:val="21"/>
          <w:szCs w:val="21"/>
          <w:highlight w:val="none"/>
        </w:rPr>
        <w:t>（</w:t>
      </w:r>
      <w:r>
        <w:rPr>
          <w:rFonts w:ascii="宋体" w:hAnsi="宋体" w:eastAsia="宋体" w:cs="宋体"/>
          <w:color w:val="auto"/>
          <w:spacing w:val="-12"/>
          <w:sz w:val="21"/>
          <w:szCs w:val="21"/>
          <w:highlight w:val="none"/>
        </w:rPr>
        <w:t>签章）</w:t>
      </w:r>
    </w:p>
    <w:p w14:paraId="3864C4F4">
      <w:pPr>
        <w:pStyle w:val="3"/>
        <w:spacing w:line="479" w:lineRule="auto"/>
        <w:rPr>
          <w:color w:val="auto"/>
          <w:highlight w:val="none"/>
        </w:rPr>
      </w:pPr>
    </w:p>
    <w:p w14:paraId="1F493D7F">
      <w:pPr>
        <w:spacing w:before="69" w:line="221" w:lineRule="auto"/>
        <w:ind w:left="359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身份证号码：</w:t>
      </w:r>
      <w:r>
        <w:rPr>
          <w:rFonts w:ascii="宋体" w:hAnsi="宋体" w:eastAsia="宋体" w:cs="宋体"/>
          <w:color w:val="auto"/>
          <w:sz w:val="21"/>
          <w:szCs w:val="21"/>
          <w:highlight w:val="none"/>
          <w:u w:val="single" w:color="auto"/>
        </w:rPr>
        <w:t xml:space="preserve">                        </w:t>
      </w:r>
    </w:p>
    <w:p w14:paraId="5ED9D106">
      <w:pPr>
        <w:pStyle w:val="3"/>
        <w:spacing w:line="474" w:lineRule="auto"/>
        <w:rPr>
          <w:color w:val="auto"/>
          <w:highlight w:val="none"/>
        </w:rPr>
      </w:pPr>
    </w:p>
    <w:p w14:paraId="79AAC06D">
      <w:pPr>
        <w:tabs>
          <w:tab w:val="left" w:pos="5685"/>
        </w:tabs>
        <w:spacing w:before="69" w:line="221" w:lineRule="auto"/>
        <w:ind w:left="484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6"/>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105"/>
          <w:sz w:val="21"/>
          <w:szCs w:val="21"/>
          <w:highlight w:val="none"/>
        </w:rPr>
        <w:t xml:space="preserve"> </w:t>
      </w:r>
      <w:r>
        <w:rPr>
          <w:rFonts w:ascii="宋体" w:hAnsi="宋体" w:eastAsia="宋体" w:cs="宋体"/>
          <w:color w:val="auto"/>
          <w:spacing w:val="14"/>
          <w:sz w:val="21"/>
          <w:szCs w:val="21"/>
          <w:highlight w:val="none"/>
          <w:u w:val="single" w:color="auto"/>
        </w:rPr>
        <w:t xml:space="preserve">       </w:t>
      </w:r>
      <w:r>
        <w:rPr>
          <w:rFonts w:ascii="宋体" w:hAnsi="宋体" w:eastAsia="宋体" w:cs="宋体"/>
          <w:color w:val="auto"/>
          <w:spacing w:val="-89"/>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7"/>
          <w:sz w:val="21"/>
          <w:szCs w:val="21"/>
          <w:highlight w:val="none"/>
        </w:rPr>
        <w:t>日</w:t>
      </w:r>
    </w:p>
    <w:p w14:paraId="05BE73A9">
      <w:pPr>
        <w:spacing w:line="221" w:lineRule="auto"/>
        <w:rPr>
          <w:rFonts w:ascii="宋体" w:hAnsi="宋体" w:eastAsia="宋体" w:cs="宋体"/>
          <w:color w:val="auto"/>
          <w:sz w:val="21"/>
          <w:szCs w:val="21"/>
          <w:highlight w:val="none"/>
        </w:rPr>
        <w:sectPr>
          <w:footerReference r:id="rId218" w:type="default"/>
          <w:pgSz w:w="11905" w:h="16839"/>
          <w:pgMar w:top="400" w:right="1617" w:bottom="1004" w:left="1785" w:header="0" w:footer="828" w:gutter="0"/>
          <w:pgNumType w:fmt="decimal"/>
          <w:cols w:space="720" w:num="1"/>
        </w:sectPr>
      </w:pPr>
    </w:p>
    <w:p w14:paraId="72EA65F6">
      <w:pPr>
        <w:pStyle w:val="3"/>
        <w:spacing w:line="256" w:lineRule="auto"/>
        <w:rPr>
          <w:color w:val="auto"/>
          <w:highlight w:val="none"/>
        </w:rPr>
      </w:pPr>
    </w:p>
    <w:p w14:paraId="19C704F1">
      <w:pPr>
        <w:pStyle w:val="3"/>
        <w:spacing w:line="256" w:lineRule="auto"/>
        <w:rPr>
          <w:color w:val="auto"/>
          <w:highlight w:val="none"/>
        </w:rPr>
      </w:pPr>
    </w:p>
    <w:p w14:paraId="15D96D3E">
      <w:pPr>
        <w:pStyle w:val="3"/>
        <w:spacing w:line="256" w:lineRule="auto"/>
        <w:rPr>
          <w:color w:val="auto"/>
          <w:highlight w:val="none"/>
        </w:rPr>
      </w:pPr>
    </w:p>
    <w:p w14:paraId="47171762">
      <w:pPr>
        <w:pStyle w:val="3"/>
        <w:spacing w:line="256" w:lineRule="auto"/>
        <w:rPr>
          <w:color w:val="auto"/>
          <w:highlight w:val="none"/>
        </w:rPr>
      </w:pPr>
    </w:p>
    <w:p w14:paraId="14157CA5">
      <w:pPr>
        <w:spacing w:before="88" w:line="225" w:lineRule="auto"/>
        <w:ind w:left="3205"/>
        <w:rPr>
          <w:rFonts w:ascii="黑体" w:hAnsi="黑体" w:eastAsia="黑体" w:cs="黑体"/>
          <w:color w:val="auto"/>
          <w:sz w:val="27"/>
          <w:szCs w:val="27"/>
          <w:highlight w:val="none"/>
        </w:rPr>
      </w:pPr>
      <w:bookmarkStart w:id="1331" w:name="bookmark304"/>
      <w:bookmarkEnd w:id="1331"/>
      <w:r>
        <w:rPr>
          <w:rFonts w:ascii="黑体" w:hAnsi="黑体" w:eastAsia="黑体" w:cs="黑体"/>
          <w:color w:val="auto"/>
          <w:spacing w:val="6"/>
          <w:sz w:val="27"/>
          <w:szCs w:val="27"/>
          <w:highlight w:val="none"/>
        </w:rPr>
        <w:t>三、投标保证金</w:t>
      </w:r>
    </w:p>
    <w:p w14:paraId="79A66039">
      <w:pPr>
        <w:pStyle w:val="3"/>
        <w:spacing w:line="477" w:lineRule="auto"/>
        <w:rPr>
          <w:color w:val="auto"/>
          <w:highlight w:val="none"/>
        </w:rPr>
      </w:pPr>
    </w:p>
    <w:p w14:paraId="19A5F50E">
      <w:pPr>
        <w:spacing w:before="68" w:line="215" w:lineRule="auto"/>
        <w:ind w:left="413"/>
        <w:rPr>
          <w:rFonts w:ascii="宋体" w:hAnsi="宋体" w:eastAsia="宋体" w:cs="宋体"/>
          <w:color w:val="auto"/>
          <w:sz w:val="21"/>
          <w:szCs w:val="21"/>
          <w:highlight w:val="none"/>
        </w:rPr>
      </w:pPr>
      <w:r>
        <w:rPr>
          <w:rFonts w:ascii="宋体" w:hAnsi="宋体" w:eastAsia="宋体" w:cs="宋体"/>
          <w:color w:val="auto"/>
          <w:sz w:val="21"/>
          <w:szCs w:val="21"/>
          <w:highlight w:val="none"/>
          <w14:textOutline w14:w="3831" w14:cap="flat" w14:cmpd="sng">
            <w14:solidFill>
              <w14:srgbClr w14:val="000000"/>
            </w14:solidFill>
            <w14:prstDash w14:val="solid"/>
            <w14:miter w14:val="0"/>
          </w14:textOutline>
        </w:rPr>
        <w:t>（一）若采用现金或支票，投标人应填写以下表格信息并提</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供汇款凭证的扫描件。</w:t>
      </w:r>
    </w:p>
    <w:tbl>
      <w:tblPr>
        <w:tblStyle w:val="10"/>
        <w:tblW w:w="8196"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5"/>
        <w:gridCol w:w="3033"/>
        <w:gridCol w:w="1104"/>
        <w:gridCol w:w="2644"/>
      </w:tblGrid>
      <w:tr w14:paraId="1EC72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8196" w:type="dxa"/>
            <w:gridSpan w:val="4"/>
            <w:vAlign w:val="top"/>
          </w:tcPr>
          <w:p w14:paraId="09A9ABF3">
            <w:pPr>
              <w:pStyle w:val="11"/>
              <w:spacing w:before="34" w:line="209" w:lineRule="auto"/>
              <w:ind w:left="3471"/>
              <w:rPr>
                <w:color w:val="auto"/>
                <w:highlight w:val="none"/>
              </w:rPr>
            </w:pPr>
            <w:r>
              <w:rPr>
                <w:color w:val="auto"/>
                <w:spacing w:val="-1"/>
                <w:highlight w:val="none"/>
                <w14:textOutline w14:w="3831" w14:cap="flat" w14:cmpd="sng">
                  <w14:solidFill>
                    <w14:srgbClr w14:val="000000"/>
                  </w14:solidFill>
                  <w14:prstDash w14:val="solid"/>
                  <w14:miter w14:val="0"/>
                </w14:textOutline>
              </w:rPr>
              <w:t>现金汇款信息</w:t>
            </w:r>
          </w:p>
        </w:tc>
      </w:tr>
      <w:tr w14:paraId="6B42BD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Align w:val="top"/>
          </w:tcPr>
          <w:p w14:paraId="5EAAD538">
            <w:pPr>
              <w:pStyle w:val="11"/>
              <w:spacing w:before="30" w:line="209" w:lineRule="auto"/>
              <w:ind w:left="298"/>
              <w:rPr>
                <w:color w:val="auto"/>
                <w:highlight w:val="none"/>
              </w:rPr>
            </w:pPr>
            <w:r>
              <w:rPr>
                <w:color w:val="auto"/>
                <w:spacing w:val="-3"/>
                <w:highlight w:val="none"/>
              </w:rPr>
              <w:t>收款账户</w:t>
            </w:r>
          </w:p>
        </w:tc>
        <w:tc>
          <w:tcPr>
            <w:tcW w:w="3033" w:type="dxa"/>
            <w:vAlign w:val="top"/>
          </w:tcPr>
          <w:p w14:paraId="7E08699F">
            <w:pPr>
              <w:rPr>
                <w:rFonts w:ascii="Arial"/>
                <w:color w:val="auto"/>
                <w:sz w:val="21"/>
                <w:highlight w:val="none"/>
              </w:rPr>
            </w:pPr>
          </w:p>
        </w:tc>
        <w:tc>
          <w:tcPr>
            <w:tcW w:w="1104" w:type="dxa"/>
            <w:vAlign w:val="top"/>
          </w:tcPr>
          <w:p w14:paraId="45C43E4D">
            <w:pPr>
              <w:pStyle w:val="11"/>
              <w:spacing w:before="30" w:line="209" w:lineRule="auto"/>
              <w:ind w:left="140"/>
              <w:rPr>
                <w:color w:val="auto"/>
                <w:highlight w:val="none"/>
              </w:rPr>
            </w:pPr>
            <w:r>
              <w:rPr>
                <w:color w:val="auto"/>
                <w:spacing w:val="-1"/>
                <w:highlight w:val="none"/>
              </w:rPr>
              <w:t>汇款账户</w:t>
            </w:r>
          </w:p>
        </w:tc>
        <w:tc>
          <w:tcPr>
            <w:tcW w:w="2644" w:type="dxa"/>
            <w:vAlign w:val="top"/>
          </w:tcPr>
          <w:p w14:paraId="516359B5">
            <w:pPr>
              <w:rPr>
                <w:rFonts w:ascii="Arial"/>
                <w:color w:val="auto"/>
                <w:sz w:val="21"/>
                <w:highlight w:val="none"/>
              </w:rPr>
            </w:pPr>
          </w:p>
        </w:tc>
      </w:tr>
      <w:tr w14:paraId="2FE77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15" w:type="dxa"/>
            <w:vAlign w:val="top"/>
          </w:tcPr>
          <w:p w14:paraId="27FDA657">
            <w:pPr>
              <w:pStyle w:val="11"/>
              <w:spacing w:before="26" w:line="208" w:lineRule="auto"/>
              <w:ind w:left="298"/>
              <w:rPr>
                <w:color w:val="auto"/>
                <w:highlight w:val="none"/>
              </w:rPr>
            </w:pPr>
            <w:r>
              <w:rPr>
                <w:color w:val="auto"/>
                <w:spacing w:val="-3"/>
                <w:highlight w:val="none"/>
              </w:rPr>
              <w:t>收款账号</w:t>
            </w:r>
          </w:p>
        </w:tc>
        <w:tc>
          <w:tcPr>
            <w:tcW w:w="3033" w:type="dxa"/>
            <w:vAlign w:val="top"/>
          </w:tcPr>
          <w:p w14:paraId="42E36F02">
            <w:pPr>
              <w:rPr>
                <w:rFonts w:ascii="Arial"/>
                <w:color w:val="auto"/>
                <w:sz w:val="21"/>
                <w:highlight w:val="none"/>
              </w:rPr>
            </w:pPr>
          </w:p>
        </w:tc>
        <w:tc>
          <w:tcPr>
            <w:tcW w:w="1104" w:type="dxa"/>
            <w:vAlign w:val="top"/>
          </w:tcPr>
          <w:p w14:paraId="5F2BC4B3">
            <w:pPr>
              <w:pStyle w:val="11"/>
              <w:spacing w:before="26" w:line="208" w:lineRule="auto"/>
              <w:ind w:left="140"/>
              <w:rPr>
                <w:color w:val="auto"/>
                <w:highlight w:val="none"/>
              </w:rPr>
            </w:pPr>
            <w:r>
              <w:rPr>
                <w:color w:val="auto"/>
                <w:spacing w:val="-1"/>
                <w:highlight w:val="none"/>
              </w:rPr>
              <w:t>汇款账号</w:t>
            </w:r>
          </w:p>
        </w:tc>
        <w:tc>
          <w:tcPr>
            <w:tcW w:w="2644" w:type="dxa"/>
            <w:vAlign w:val="top"/>
          </w:tcPr>
          <w:p w14:paraId="47A636E3">
            <w:pPr>
              <w:rPr>
                <w:rFonts w:ascii="Arial"/>
                <w:color w:val="auto"/>
                <w:sz w:val="21"/>
                <w:highlight w:val="none"/>
              </w:rPr>
            </w:pPr>
          </w:p>
        </w:tc>
      </w:tr>
      <w:tr w14:paraId="45170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15" w:type="dxa"/>
            <w:vAlign w:val="top"/>
          </w:tcPr>
          <w:p w14:paraId="6AB6C7A1">
            <w:pPr>
              <w:pStyle w:val="11"/>
              <w:spacing w:before="31" w:line="207" w:lineRule="auto"/>
              <w:ind w:left="291"/>
              <w:rPr>
                <w:color w:val="auto"/>
                <w:highlight w:val="none"/>
              </w:rPr>
            </w:pPr>
            <w:r>
              <w:rPr>
                <w:color w:val="auto"/>
                <w:spacing w:val="-1"/>
                <w:highlight w:val="none"/>
              </w:rPr>
              <w:t>汇款金额</w:t>
            </w:r>
          </w:p>
        </w:tc>
        <w:tc>
          <w:tcPr>
            <w:tcW w:w="3033" w:type="dxa"/>
            <w:vAlign w:val="top"/>
          </w:tcPr>
          <w:p w14:paraId="48F72224">
            <w:pPr>
              <w:rPr>
                <w:rFonts w:ascii="Arial"/>
                <w:color w:val="auto"/>
                <w:sz w:val="21"/>
                <w:highlight w:val="none"/>
              </w:rPr>
            </w:pPr>
          </w:p>
        </w:tc>
        <w:tc>
          <w:tcPr>
            <w:tcW w:w="1104" w:type="dxa"/>
            <w:vAlign w:val="top"/>
          </w:tcPr>
          <w:p w14:paraId="5EF4F912">
            <w:pPr>
              <w:pStyle w:val="11"/>
              <w:spacing w:before="31" w:line="207" w:lineRule="auto"/>
              <w:ind w:left="140"/>
              <w:rPr>
                <w:color w:val="auto"/>
                <w:highlight w:val="none"/>
              </w:rPr>
            </w:pPr>
            <w:r>
              <w:rPr>
                <w:color w:val="auto"/>
                <w:spacing w:val="-1"/>
                <w:highlight w:val="none"/>
              </w:rPr>
              <w:t>汇款时间</w:t>
            </w:r>
          </w:p>
        </w:tc>
        <w:tc>
          <w:tcPr>
            <w:tcW w:w="2644" w:type="dxa"/>
            <w:vAlign w:val="top"/>
          </w:tcPr>
          <w:p w14:paraId="0B12F6D2">
            <w:pPr>
              <w:rPr>
                <w:rFonts w:ascii="Arial"/>
                <w:color w:val="auto"/>
                <w:sz w:val="21"/>
                <w:highlight w:val="none"/>
              </w:rPr>
            </w:pPr>
          </w:p>
        </w:tc>
      </w:tr>
      <w:tr w14:paraId="28A5E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restart"/>
            <w:tcBorders>
              <w:bottom w:val="nil"/>
            </w:tcBorders>
            <w:vAlign w:val="top"/>
          </w:tcPr>
          <w:p w14:paraId="07C0EC44">
            <w:pPr>
              <w:spacing w:line="332" w:lineRule="auto"/>
              <w:rPr>
                <w:rFonts w:ascii="Arial"/>
                <w:color w:val="auto"/>
                <w:sz w:val="21"/>
                <w:highlight w:val="none"/>
              </w:rPr>
            </w:pPr>
          </w:p>
          <w:p w14:paraId="3DD59D49">
            <w:pPr>
              <w:spacing w:line="333" w:lineRule="auto"/>
              <w:rPr>
                <w:rFonts w:ascii="Arial"/>
                <w:color w:val="auto"/>
                <w:sz w:val="21"/>
                <w:highlight w:val="none"/>
              </w:rPr>
            </w:pPr>
          </w:p>
          <w:p w14:paraId="7243B768">
            <w:pPr>
              <w:pStyle w:val="11"/>
              <w:spacing w:before="69" w:line="220" w:lineRule="auto"/>
              <w:ind w:left="518"/>
              <w:rPr>
                <w:color w:val="auto"/>
                <w:highlight w:val="none"/>
              </w:rPr>
            </w:pPr>
            <w:r>
              <w:rPr>
                <w:color w:val="auto"/>
                <w:spacing w:val="-6"/>
                <w:highlight w:val="none"/>
              </w:rPr>
              <w:t>附件</w:t>
            </w:r>
          </w:p>
        </w:tc>
        <w:tc>
          <w:tcPr>
            <w:tcW w:w="6781" w:type="dxa"/>
            <w:gridSpan w:val="3"/>
            <w:vAlign w:val="top"/>
          </w:tcPr>
          <w:p w14:paraId="4A71F4BA">
            <w:pPr>
              <w:pStyle w:val="11"/>
              <w:spacing w:before="32" w:line="207" w:lineRule="auto"/>
              <w:ind w:left="115"/>
              <w:rPr>
                <w:color w:val="auto"/>
                <w:highlight w:val="none"/>
              </w:rPr>
            </w:pPr>
            <w:r>
              <w:rPr>
                <w:color w:val="auto"/>
                <w:spacing w:val="-1"/>
                <w:highlight w:val="none"/>
              </w:rPr>
              <w:t>汇款凭证扫描件</w:t>
            </w:r>
          </w:p>
        </w:tc>
      </w:tr>
      <w:tr w14:paraId="3B4BC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continue"/>
            <w:tcBorders>
              <w:top w:val="nil"/>
              <w:bottom w:val="nil"/>
            </w:tcBorders>
            <w:vAlign w:val="top"/>
          </w:tcPr>
          <w:p w14:paraId="00DBD9CF">
            <w:pPr>
              <w:rPr>
                <w:rFonts w:ascii="Arial"/>
                <w:color w:val="auto"/>
                <w:sz w:val="21"/>
                <w:highlight w:val="none"/>
              </w:rPr>
            </w:pPr>
          </w:p>
        </w:tc>
        <w:tc>
          <w:tcPr>
            <w:tcW w:w="6781" w:type="dxa"/>
            <w:gridSpan w:val="3"/>
            <w:vAlign w:val="top"/>
          </w:tcPr>
          <w:p w14:paraId="68778844">
            <w:pPr>
              <w:rPr>
                <w:rFonts w:ascii="Arial"/>
                <w:color w:val="auto"/>
                <w:sz w:val="21"/>
                <w:highlight w:val="none"/>
              </w:rPr>
            </w:pPr>
          </w:p>
        </w:tc>
      </w:tr>
      <w:tr w14:paraId="54B98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continue"/>
            <w:tcBorders>
              <w:top w:val="nil"/>
              <w:bottom w:val="nil"/>
            </w:tcBorders>
            <w:vAlign w:val="top"/>
          </w:tcPr>
          <w:p w14:paraId="7EFF3F3E">
            <w:pPr>
              <w:rPr>
                <w:rFonts w:ascii="Arial"/>
                <w:color w:val="auto"/>
                <w:sz w:val="21"/>
                <w:highlight w:val="none"/>
              </w:rPr>
            </w:pPr>
          </w:p>
        </w:tc>
        <w:tc>
          <w:tcPr>
            <w:tcW w:w="6781" w:type="dxa"/>
            <w:gridSpan w:val="3"/>
            <w:vAlign w:val="top"/>
          </w:tcPr>
          <w:p w14:paraId="7D85F3C8">
            <w:pPr>
              <w:pStyle w:val="11"/>
              <w:spacing w:before="33" w:line="206" w:lineRule="auto"/>
              <w:ind w:left="115"/>
              <w:rPr>
                <w:color w:val="auto"/>
                <w:highlight w:val="none"/>
              </w:rPr>
            </w:pPr>
            <w:r>
              <w:rPr>
                <w:color w:val="auto"/>
                <w:highlight w:val="none"/>
              </w:rPr>
              <w:t>基本户开户许可证（基本存款账户信息）扫描件</w:t>
            </w:r>
          </w:p>
        </w:tc>
      </w:tr>
      <w:tr w14:paraId="0365D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continue"/>
            <w:tcBorders>
              <w:top w:val="nil"/>
              <w:bottom w:val="nil"/>
            </w:tcBorders>
            <w:vAlign w:val="top"/>
          </w:tcPr>
          <w:p w14:paraId="6F55DBDB">
            <w:pPr>
              <w:rPr>
                <w:rFonts w:ascii="Arial"/>
                <w:color w:val="auto"/>
                <w:sz w:val="21"/>
                <w:highlight w:val="none"/>
              </w:rPr>
            </w:pPr>
          </w:p>
        </w:tc>
        <w:tc>
          <w:tcPr>
            <w:tcW w:w="6781" w:type="dxa"/>
            <w:gridSpan w:val="3"/>
            <w:vAlign w:val="top"/>
          </w:tcPr>
          <w:p w14:paraId="3518CBEC">
            <w:pPr>
              <w:rPr>
                <w:rFonts w:ascii="Arial"/>
                <w:color w:val="auto"/>
                <w:sz w:val="21"/>
                <w:highlight w:val="none"/>
              </w:rPr>
            </w:pPr>
          </w:p>
        </w:tc>
      </w:tr>
      <w:tr w14:paraId="7F484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15" w:type="dxa"/>
            <w:vMerge w:val="continue"/>
            <w:tcBorders>
              <w:top w:val="nil"/>
              <w:bottom w:val="nil"/>
            </w:tcBorders>
            <w:vAlign w:val="top"/>
          </w:tcPr>
          <w:p w14:paraId="17DB4BEF">
            <w:pPr>
              <w:rPr>
                <w:rFonts w:ascii="Arial"/>
                <w:color w:val="auto"/>
                <w:sz w:val="21"/>
                <w:highlight w:val="none"/>
              </w:rPr>
            </w:pPr>
          </w:p>
        </w:tc>
        <w:tc>
          <w:tcPr>
            <w:tcW w:w="6781" w:type="dxa"/>
            <w:gridSpan w:val="3"/>
            <w:vAlign w:val="top"/>
          </w:tcPr>
          <w:p w14:paraId="054DC8CF">
            <w:pPr>
              <w:pStyle w:val="11"/>
              <w:spacing w:before="28" w:line="206" w:lineRule="auto"/>
              <w:ind w:left="115"/>
              <w:rPr>
                <w:color w:val="auto"/>
                <w:highlight w:val="none"/>
              </w:rPr>
            </w:pPr>
            <w:r>
              <w:rPr>
                <w:color w:val="auto"/>
                <w:spacing w:val="-1"/>
                <w:highlight w:val="none"/>
              </w:rPr>
              <w:t>其他材料</w:t>
            </w:r>
          </w:p>
        </w:tc>
      </w:tr>
      <w:tr w14:paraId="55B33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415" w:type="dxa"/>
            <w:vMerge w:val="continue"/>
            <w:tcBorders>
              <w:top w:val="nil"/>
            </w:tcBorders>
            <w:vAlign w:val="top"/>
          </w:tcPr>
          <w:p w14:paraId="15EF6CFE">
            <w:pPr>
              <w:rPr>
                <w:rFonts w:ascii="Arial"/>
                <w:color w:val="auto"/>
                <w:sz w:val="21"/>
                <w:highlight w:val="none"/>
              </w:rPr>
            </w:pPr>
          </w:p>
        </w:tc>
        <w:tc>
          <w:tcPr>
            <w:tcW w:w="6781" w:type="dxa"/>
            <w:gridSpan w:val="3"/>
            <w:vAlign w:val="top"/>
          </w:tcPr>
          <w:p w14:paraId="63521083">
            <w:pPr>
              <w:rPr>
                <w:rFonts w:ascii="Arial"/>
                <w:color w:val="auto"/>
                <w:sz w:val="21"/>
                <w:highlight w:val="none"/>
              </w:rPr>
            </w:pPr>
          </w:p>
        </w:tc>
      </w:tr>
    </w:tbl>
    <w:p w14:paraId="6079A1AE">
      <w:pPr>
        <w:pStyle w:val="3"/>
        <w:spacing w:line="473" w:lineRule="auto"/>
        <w:rPr>
          <w:color w:val="auto"/>
          <w:highlight w:val="none"/>
        </w:rPr>
      </w:pPr>
    </w:p>
    <w:p w14:paraId="22E2A342">
      <w:pPr>
        <w:spacing w:before="68" w:line="352" w:lineRule="auto"/>
        <w:ind w:left="18" w:right="10" w:firstLine="395"/>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（二）</w:t>
      </w:r>
      <w:r>
        <w:rPr>
          <w:rFonts w:ascii="宋体" w:hAnsi="宋体" w:eastAsia="宋体" w:cs="宋体"/>
          <w:color w:val="auto"/>
          <w:spacing w:val="-1"/>
          <w:sz w:val="21"/>
          <w:szCs w:val="21"/>
          <w:highlight w:val="none"/>
        </w:rPr>
        <w:t xml:space="preserve">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若采用辽宁省工程建设项目电子保函保险基础服务平台</w:t>
      </w:r>
      <w:r>
        <w:rPr>
          <w:rFonts w:ascii="宋体" w:hAnsi="宋体" w:eastAsia="宋体" w:cs="宋体"/>
          <w:color w:val="auto"/>
          <w:spacing w:val="-35"/>
          <w:sz w:val="21"/>
          <w:szCs w:val="21"/>
          <w:highlight w:val="none"/>
        </w:rPr>
        <w:t xml:space="preserve">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（包含辽宁省建设工程</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14:textOutline w14:w="3831" w14:cap="flat" w14:cmpd="sng">
            <w14:solidFill>
              <w14:srgbClr w14:val="000000"/>
            </w14:solidFill>
            <w14:prstDash w14:val="solid"/>
            <w14:miter w14:val="0"/>
          </w14:textOutline>
        </w:rPr>
        <w:t>领域电子保函保险基础公共服务平台及跨地区、跨行业自由服务试</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点的金融平台或金融机</w:t>
      </w:r>
    </w:p>
    <w:p w14:paraId="00B3F192">
      <w:pPr>
        <w:spacing w:line="214" w:lineRule="auto"/>
        <w:ind w:left="20"/>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14:textOutline w14:w="3831" w14:cap="flat" w14:cmpd="sng">
            <w14:solidFill>
              <w14:srgbClr w14:val="000000"/>
            </w14:solidFill>
            <w14:prstDash w14:val="solid"/>
            <w14:miter w14:val="0"/>
          </w14:textOutline>
        </w:rPr>
        <w:t>构）</w:t>
      </w:r>
      <w:r>
        <w:rPr>
          <w:rFonts w:ascii="宋体" w:hAnsi="宋体" w:eastAsia="宋体" w:cs="宋体"/>
          <w:color w:val="auto"/>
          <w:spacing w:val="-5"/>
          <w:sz w:val="21"/>
          <w:szCs w:val="21"/>
          <w:highlight w:val="none"/>
        </w:rPr>
        <w:t xml:space="preserve"> </w:t>
      </w:r>
      <w:r>
        <w:rPr>
          <w:rFonts w:ascii="宋体" w:hAnsi="宋体" w:eastAsia="宋体" w:cs="宋体"/>
          <w:color w:val="auto"/>
          <w:spacing w:val="-5"/>
          <w:sz w:val="21"/>
          <w:szCs w:val="21"/>
          <w:highlight w:val="none"/>
          <w14:textOutline w14:w="3831" w14:cap="flat" w14:cmpd="sng">
            <w14:solidFill>
              <w14:srgbClr w14:val="000000"/>
            </w14:solidFill>
            <w14:prstDash w14:val="solid"/>
            <w14:miter w14:val="0"/>
          </w14:textOutline>
        </w:rPr>
        <w:t>电子保函，投标人应填写以下表格信息。</w:t>
      </w:r>
    </w:p>
    <w:tbl>
      <w:tblPr>
        <w:tblStyle w:val="10"/>
        <w:tblW w:w="8109"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9"/>
        <w:gridCol w:w="6560"/>
      </w:tblGrid>
      <w:tr w14:paraId="40E22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109" w:type="dxa"/>
            <w:gridSpan w:val="2"/>
            <w:vAlign w:val="top"/>
          </w:tcPr>
          <w:p w14:paraId="52D8A123">
            <w:pPr>
              <w:pStyle w:val="11"/>
              <w:spacing w:before="57" w:line="221" w:lineRule="auto"/>
              <w:ind w:left="1424"/>
              <w:rPr>
                <w:color w:val="auto"/>
                <w:highlight w:val="none"/>
              </w:rPr>
            </w:pPr>
            <w:r>
              <w:rPr>
                <w:color w:val="auto"/>
                <w:highlight w:val="none"/>
                <w14:textOutline w14:w="3831" w14:cap="flat" w14:cmpd="sng">
                  <w14:solidFill>
                    <w14:srgbClr w14:val="000000"/>
                  </w14:solidFill>
                  <w14:prstDash w14:val="solid"/>
                  <w14:miter w14:val="0"/>
                </w14:textOutline>
              </w:rPr>
              <w:t>辽宁省工程建设项目电子保函保险基础服务平台保函信息</w:t>
            </w:r>
          </w:p>
        </w:tc>
      </w:tr>
      <w:tr w14:paraId="4A230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549" w:type="dxa"/>
            <w:vAlign w:val="top"/>
          </w:tcPr>
          <w:p w14:paraId="5EEFE561">
            <w:pPr>
              <w:pStyle w:val="11"/>
              <w:spacing w:before="63" w:line="221" w:lineRule="auto"/>
              <w:ind w:left="359"/>
              <w:rPr>
                <w:color w:val="auto"/>
                <w:highlight w:val="none"/>
              </w:rPr>
            </w:pPr>
            <w:r>
              <w:rPr>
                <w:color w:val="auto"/>
                <w:spacing w:val="-1"/>
                <w:highlight w:val="none"/>
              </w:rPr>
              <w:t>保函编号</w:t>
            </w:r>
          </w:p>
        </w:tc>
        <w:tc>
          <w:tcPr>
            <w:tcW w:w="6560" w:type="dxa"/>
            <w:vAlign w:val="top"/>
          </w:tcPr>
          <w:p w14:paraId="3A380EE1">
            <w:pPr>
              <w:rPr>
                <w:rFonts w:ascii="Arial"/>
                <w:color w:val="auto"/>
                <w:sz w:val="21"/>
                <w:highlight w:val="none"/>
              </w:rPr>
            </w:pPr>
          </w:p>
        </w:tc>
      </w:tr>
      <w:tr w14:paraId="38849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549" w:type="dxa"/>
            <w:vMerge w:val="restart"/>
            <w:tcBorders>
              <w:bottom w:val="nil"/>
            </w:tcBorders>
            <w:vAlign w:val="top"/>
          </w:tcPr>
          <w:p w14:paraId="29F4BB25">
            <w:pPr>
              <w:pStyle w:val="11"/>
              <w:spacing w:before="200" w:line="220" w:lineRule="auto"/>
              <w:ind w:left="586"/>
              <w:rPr>
                <w:color w:val="auto"/>
                <w:highlight w:val="none"/>
              </w:rPr>
            </w:pPr>
            <w:r>
              <w:rPr>
                <w:color w:val="auto"/>
                <w:spacing w:val="-6"/>
                <w:highlight w:val="none"/>
              </w:rPr>
              <w:t>附件</w:t>
            </w:r>
          </w:p>
        </w:tc>
        <w:tc>
          <w:tcPr>
            <w:tcW w:w="6560" w:type="dxa"/>
            <w:vAlign w:val="top"/>
          </w:tcPr>
          <w:p w14:paraId="60D55037">
            <w:pPr>
              <w:pStyle w:val="11"/>
              <w:spacing w:before="61" w:line="221" w:lineRule="auto"/>
              <w:ind w:left="140"/>
              <w:rPr>
                <w:color w:val="auto"/>
                <w:highlight w:val="none"/>
              </w:rPr>
            </w:pPr>
            <w:r>
              <w:rPr>
                <w:color w:val="auto"/>
                <w:spacing w:val="-5"/>
                <w:highlight w:val="none"/>
              </w:rPr>
              <w:t>电子保函扫描件</w:t>
            </w:r>
          </w:p>
        </w:tc>
      </w:tr>
      <w:tr w14:paraId="219BA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549" w:type="dxa"/>
            <w:vMerge w:val="continue"/>
            <w:tcBorders>
              <w:top w:val="nil"/>
            </w:tcBorders>
            <w:vAlign w:val="top"/>
          </w:tcPr>
          <w:p w14:paraId="18BBDDE2">
            <w:pPr>
              <w:rPr>
                <w:rFonts w:ascii="Arial"/>
                <w:color w:val="auto"/>
                <w:sz w:val="21"/>
                <w:highlight w:val="none"/>
              </w:rPr>
            </w:pPr>
          </w:p>
        </w:tc>
        <w:tc>
          <w:tcPr>
            <w:tcW w:w="6560" w:type="dxa"/>
            <w:vAlign w:val="top"/>
          </w:tcPr>
          <w:p w14:paraId="40C9CA25">
            <w:pPr>
              <w:rPr>
                <w:rFonts w:ascii="Arial"/>
                <w:color w:val="auto"/>
                <w:sz w:val="21"/>
                <w:highlight w:val="none"/>
              </w:rPr>
            </w:pPr>
          </w:p>
        </w:tc>
      </w:tr>
    </w:tbl>
    <w:p w14:paraId="0D6D99DB">
      <w:pPr>
        <w:pStyle w:val="3"/>
        <w:spacing w:line="243" w:lineRule="auto"/>
        <w:rPr>
          <w:color w:val="auto"/>
          <w:highlight w:val="none"/>
        </w:rPr>
      </w:pPr>
    </w:p>
    <w:p w14:paraId="16F26F28">
      <w:pPr>
        <w:pStyle w:val="3"/>
        <w:spacing w:line="243" w:lineRule="auto"/>
        <w:rPr>
          <w:color w:val="auto"/>
          <w:highlight w:val="none"/>
        </w:rPr>
      </w:pPr>
    </w:p>
    <w:p w14:paraId="4164AC6A">
      <w:pPr>
        <w:spacing w:before="68" w:line="220" w:lineRule="auto"/>
        <w:ind w:right="1"/>
        <w:jc w:val="right"/>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（三）</w:t>
      </w:r>
      <w:r>
        <w:rPr>
          <w:rFonts w:ascii="宋体" w:hAnsi="宋体" w:eastAsia="宋体" w:cs="宋体"/>
          <w:color w:val="auto"/>
          <w:spacing w:val="1"/>
          <w:sz w:val="21"/>
          <w:szCs w:val="21"/>
          <w:highlight w:val="none"/>
        </w:rPr>
        <w:t xml:space="preserve"> </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若采用纸质保函或其他平台电子保函，投标人应填写以下表格信息，并提供相</w:t>
      </w:r>
    </w:p>
    <w:p w14:paraId="61624187">
      <w:pPr>
        <w:spacing w:before="149" w:line="214" w:lineRule="auto"/>
        <w:ind w:left="2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14:textOutline w14:w="3831" w14:cap="flat" w14:cmpd="sng">
            <w14:solidFill>
              <w14:srgbClr w14:val="000000"/>
            </w14:solidFill>
            <w14:prstDash w14:val="solid"/>
            <w14:miter w14:val="0"/>
          </w14:textOutline>
        </w:rPr>
        <w:t>关材料扫描件信息。</w:t>
      </w:r>
    </w:p>
    <w:tbl>
      <w:tblPr>
        <w:tblStyle w:val="10"/>
        <w:tblW w:w="8196"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5"/>
        <w:gridCol w:w="3028"/>
        <w:gridCol w:w="1526"/>
        <w:gridCol w:w="2217"/>
      </w:tblGrid>
      <w:tr w14:paraId="5E10A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8196" w:type="dxa"/>
            <w:gridSpan w:val="4"/>
            <w:vAlign w:val="top"/>
          </w:tcPr>
          <w:p w14:paraId="13343CE4">
            <w:pPr>
              <w:pStyle w:val="11"/>
              <w:spacing w:before="35" w:line="209" w:lineRule="auto"/>
              <w:ind w:left="625"/>
              <w:rPr>
                <w:color w:val="auto"/>
                <w:highlight w:val="none"/>
              </w:rPr>
            </w:pPr>
            <w:r>
              <w:rPr>
                <w:color w:val="auto"/>
                <w:spacing w:val="1"/>
                <w:highlight w:val="none"/>
                <w14:textOutline w14:w="3831" w14:cap="flat" w14:cmpd="sng">
                  <w14:solidFill>
                    <w14:srgbClr w14:val="000000"/>
                  </w14:solidFill>
                  <w14:prstDash w14:val="solid"/>
                  <w14:miter w14:val="0"/>
                </w14:textOutline>
              </w:rPr>
              <w:t>非辽宁省工程建设项目电子保函保险基础服</w:t>
            </w:r>
            <w:r>
              <w:rPr>
                <w:color w:val="auto"/>
                <w:highlight w:val="none"/>
                <w14:textOutline w14:w="3831" w14:cap="flat" w14:cmpd="sng">
                  <w14:solidFill>
                    <w14:srgbClr w14:val="000000"/>
                  </w14:solidFill>
                  <w14:prstDash w14:val="solid"/>
                  <w14:miter w14:val="0"/>
                </w14:textOutline>
              </w:rPr>
              <w:t>务平台电子保函或纸质保函信息</w:t>
            </w:r>
          </w:p>
        </w:tc>
      </w:tr>
      <w:tr w14:paraId="0DFD7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425" w:type="dxa"/>
            <w:vAlign w:val="top"/>
          </w:tcPr>
          <w:p w14:paraId="48287577">
            <w:pPr>
              <w:pStyle w:val="11"/>
              <w:spacing w:before="29" w:line="225" w:lineRule="auto"/>
              <w:ind w:left="612" w:right="181" w:hanging="421"/>
              <w:rPr>
                <w:color w:val="auto"/>
                <w:highlight w:val="none"/>
              </w:rPr>
            </w:pPr>
            <w:r>
              <w:rPr>
                <w:color w:val="auto"/>
                <w:spacing w:val="-1"/>
                <w:highlight w:val="none"/>
              </w:rPr>
              <w:t>保函承保单</w:t>
            </w:r>
            <w:r>
              <w:rPr>
                <w:color w:val="auto"/>
                <w:highlight w:val="none"/>
              </w:rPr>
              <w:t xml:space="preserve"> 位</w:t>
            </w:r>
          </w:p>
        </w:tc>
        <w:tc>
          <w:tcPr>
            <w:tcW w:w="3028" w:type="dxa"/>
            <w:vAlign w:val="top"/>
          </w:tcPr>
          <w:p w14:paraId="5A769FC1">
            <w:pPr>
              <w:rPr>
                <w:rFonts w:ascii="Arial"/>
                <w:color w:val="auto"/>
                <w:sz w:val="21"/>
                <w:highlight w:val="none"/>
              </w:rPr>
            </w:pPr>
          </w:p>
        </w:tc>
        <w:tc>
          <w:tcPr>
            <w:tcW w:w="1526" w:type="dxa"/>
            <w:vAlign w:val="top"/>
          </w:tcPr>
          <w:p w14:paraId="54CBECF5">
            <w:pPr>
              <w:pStyle w:val="11"/>
              <w:spacing w:before="163" w:line="221" w:lineRule="auto"/>
              <w:ind w:left="352"/>
              <w:rPr>
                <w:color w:val="auto"/>
                <w:highlight w:val="none"/>
              </w:rPr>
            </w:pPr>
            <w:r>
              <w:rPr>
                <w:color w:val="auto"/>
                <w:spacing w:val="-1"/>
                <w:highlight w:val="none"/>
              </w:rPr>
              <w:t>保函额度</w:t>
            </w:r>
          </w:p>
        </w:tc>
        <w:tc>
          <w:tcPr>
            <w:tcW w:w="2217" w:type="dxa"/>
            <w:vAlign w:val="top"/>
          </w:tcPr>
          <w:p w14:paraId="69B9FCB9">
            <w:pPr>
              <w:rPr>
                <w:rFonts w:ascii="Arial"/>
                <w:color w:val="auto"/>
                <w:sz w:val="21"/>
                <w:highlight w:val="none"/>
              </w:rPr>
            </w:pPr>
          </w:p>
        </w:tc>
      </w:tr>
      <w:tr w14:paraId="6DF4A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425" w:type="dxa"/>
            <w:vAlign w:val="top"/>
          </w:tcPr>
          <w:p w14:paraId="69AD954F">
            <w:pPr>
              <w:pStyle w:val="11"/>
              <w:spacing w:before="30" w:line="222" w:lineRule="auto"/>
              <w:ind w:left="611" w:right="181" w:hanging="423"/>
              <w:rPr>
                <w:color w:val="auto"/>
                <w:highlight w:val="none"/>
              </w:rPr>
            </w:pPr>
            <w:r>
              <w:rPr>
                <w:color w:val="auto"/>
                <w:spacing w:val="-1"/>
                <w:highlight w:val="none"/>
              </w:rPr>
              <w:t>缴费账户名</w:t>
            </w:r>
            <w:r>
              <w:rPr>
                <w:color w:val="auto"/>
                <w:spacing w:val="3"/>
                <w:highlight w:val="none"/>
              </w:rPr>
              <w:t xml:space="preserve"> </w:t>
            </w:r>
            <w:r>
              <w:rPr>
                <w:color w:val="auto"/>
                <w:highlight w:val="none"/>
              </w:rPr>
              <w:t>称</w:t>
            </w:r>
          </w:p>
        </w:tc>
        <w:tc>
          <w:tcPr>
            <w:tcW w:w="3028" w:type="dxa"/>
            <w:vAlign w:val="top"/>
          </w:tcPr>
          <w:p w14:paraId="19B76C93">
            <w:pPr>
              <w:rPr>
                <w:rFonts w:ascii="Arial"/>
                <w:color w:val="auto"/>
                <w:sz w:val="21"/>
                <w:highlight w:val="none"/>
              </w:rPr>
            </w:pPr>
          </w:p>
        </w:tc>
        <w:tc>
          <w:tcPr>
            <w:tcW w:w="1526" w:type="dxa"/>
            <w:vAlign w:val="top"/>
          </w:tcPr>
          <w:p w14:paraId="373861B5">
            <w:pPr>
              <w:pStyle w:val="11"/>
              <w:spacing w:before="164" w:line="221" w:lineRule="auto"/>
              <w:ind w:left="141"/>
              <w:rPr>
                <w:color w:val="auto"/>
                <w:highlight w:val="none"/>
              </w:rPr>
            </w:pPr>
            <w:r>
              <w:rPr>
                <w:color w:val="auto"/>
                <w:spacing w:val="-1"/>
                <w:highlight w:val="none"/>
              </w:rPr>
              <w:t>保函办理时间</w:t>
            </w:r>
          </w:p>
        </w:tc>
        <w:tc>
          <w:tcPr>
            <w:tcW w:w="2217" w:type="dxa"/>
            <w:vAlign w:val="top"/>
          </w:tcPr>
          <w:p w14:paraId="11C39687">
            <w:pPr>
              <w:rPr>
                <w:rFonts w:ascii="Arial"/>
                <w:color w:val="auto"/>
                <w:sz w:val="21"/>
                <w:highlight w:val="none"/>
              </w:rPr>
            </w:pPr>
          </w:p>
        </w:tc>
      </w:tr>
      <w:tr w14:paraId="3E4DC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Align w:val="top"/>
          </w:tcPr>
          <w:p w14:paraId="3E0D1FF8">
            <w:pPr>
              <w:pStyle w:val="11"/>
              <w:spacing w:before="31" w:line="208" w:lineRule="auto"/>
              <w:ind w:left="294"/>
              <w:rPr>
                <w:color w:val="auto"/>
                <w:highlight w:val="none"/>
              </w:rPr>
            </w:pPr>
            <w:r>
              <w:rPr>
                <w:color w:val="auto"/>
                <w:spacing w:val="-1"/>
                <w:highlight w:val="none"/>
              </w:rPr>
              <w:t>缴费账号</w:t>
            </w:r>
          </w:p>
        </w:tc>
        <w:tc>
          <w:tcPr>
            <w:tcW w:w="3028" w:type="dxa"/>
            <w:vAlign w:val="top"/>
          </w:tcPr>
          <w:p w14:paraId="62557869">
            <w:pPr>
              <w:rPr>
                <w:rFonts w:ascii="Arial"/>
                <w:color w:val="auto"/>
                <w:sz w:val="21"/>
                <w:highlight w:val="none"/>
              </w:rPr>
            </w:pPr>
          </w:p>
        </w:tc>
        <w:tc>
          <w:tcPr>
            <w:tcW w:w="1526" w:type="dxa"/>
            <w:vAlign w:val="top"/>
          </w:tcPr>
          <w:p w14:paraId="7B6E53B9">
            <w:pPr>
              <w:pStyle w:val="11"/>
              <w:spacing w:before="31" w:line="208" w:lineRule="auto"/>
              <w:ind w:left="246"/>
              <w:rPr>
                <w:color w:val="auto"/>
                <w:highlight w:val="none"/>
              </w:rPr>
            </w:pPr>
            <w:r>
              <w:rPr>
                <w:color w:val="auto"/>
                <w:spacing w:val="-1"/>
                <w:highlight w:val="none"/>
              </w:rPr>
              <w:t>保函有效期</w:t>
            </w:r>
          </w:p>
        </w:tc>
        <w:tc>
          <w:tcPr>
            <w:tcW w:w="2217" w:type="dxa"/>
            <w:vAlign w:val="top"/>
          </w:tcPr>
          <w:p w14:paraId="5571EA41">
            <w:pPr>
              <w:rPr>
                <w:rFonts w:ascii="Arial"/>
                <w:color w:val="auto"/>
                <w:sz w:val="21"/>
                <w:highlight w:val="none"/>
              </w:rPr>
            </w:pPr>
          </w:p>
        </w:tc>
      </w:tr>
      <w:tr w14:paraId="5F79B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425" w:type="dxa"/>
            <w:vAlign w:val="top"/>
          </w:tcPr>
          <w:p w14:paraId="58783379">
            <w:pPr>
              <w:pStyle w:val="11"/>
              <w:spacing w:before="32" w:line="224" w:lineRule="auto"/>
              <w:ind w:left="417" w:right="181" w:hanging="226"/>
              <w:rPr>
                <w:color w:val="auto"/>
                <w:highlight w:val="none"/>
              </w:rPr>
            </w:pPr>
            <w:r>
              <w:rPr>
                <w:color w:val="auto"/>
                <w:spacing w:val="-1"/>
                <w:highlight w:val="none"/>
              </w:rPr>
              <w:t>保函验真平</w:t>
            </w:r>
            <w:r>
              <w:rPr>
                <w:color w:val="auto"/>
                <w:highlight w:val="none"/>
              </w:rPr>
              <w:t xml:space="preserve"> </w:t>
            </w:r>
            <w:r>
              <w:rPr>
                <w:color w:val="auto"/>
                <w:spacing w:val="-5"/>
                <w:highlight w:val="none"/>
              </w:rPr>
              <w:t>台网址</w:t>
            </w:r>
          </w:p>
        </w:tc>
        <w:tc>
          <w:tcPr>
            <w:tcW w:w="6771" w:type="dxa"/>
            <w:gridSpan w:val="3"/>
            <w:vAlign w:val="top"/>
          </w:tcPr>
          <w:p w14:paraId="1FBF9917">
            <w:pPr>
              <w:rPr>
                <w:rFonts w:ascii="Arial"/>
                <w:color w:val="auto"/>
                <w:sz w:val="21"/>
                <w:highlight w:val="none"/>
              </w:rPr>
            </w:pPr>
          </w:p>
        </w:tc>
      </w:tr>
      <w:tr w14:paraId="29B59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25" w:type="dxa"/>
            <w:vMerge w:val="restart"/>
            <w:tcBorders>
              <w:bottom w:val="nil"/>
            </w:tcBorders>
            <w:vAlign w:val="top"/>
          </w:tcPr>
          <w:p w14:paraId="2FECC446">
            <w:pPr>
              <w:spacing w:line="314" w:lineRule="auto"/>
              <w:rPr>
                <w:rFonts w:ascii="Arial"/>
                <w:color w:val="auto"/>
                <w:sz w:val="21"/>
                <w:highlight w:val="none"/>
              </w:rPr>
            </w:pPr>
          </w:p>
          <w:p w14:paraId="55D8DE05">
            <w:pPr>
              <w:spacing w:line="314" w:lineRule="auto"/>
              <w:rPr>
                <w:rFonts w:ascii="Arial"/>
                <w:color w:val="auto"/>
                <w:sz w:val="21"/>
                <w:highlight w:val="none"/>
              </w:rPr>
            </w:pPr>
          </w:p>
          <w:p w14:paraId="3B3A62B8">
            <w:pPr>
              <w:spacing w:line="314" w:lineRule="auto"/>
              <w:rPr>
                <w:rFonts w:ascii="Arial"/>
                <w:color w:val="auto"/>
                <w:sz w:val="21"/>
                <w:highlight w:val="none"/>
              </w:rPr>
            </w:pPr>
          </w:p>
          <w:p w14:paraId="302B5245">
            <w:pPr>
              <w:pStyle w:val="11"/>
              <w:spacing w:before="68" w:line="220" w:lineRule="auto"/>
              <w:ind w:left="523"/>
              <w:rPr>
                <w:color w:val="auto"/>
                <w:highlight w:val="none"/>
              </w:rPr>
            </w:pPr>
            <w:r>
              <w:rPr>
                <w:color w:val="auto"/>
                <w:spacing w:val="-6"/>
                <w:highlight w:val="none"/>
              </w:rPr>
              <w:t>附件</w:t>
            </w:r>
          </w:p>
        </w:tc>
        <w:tc>
          <w:tcPr>
            <w:tcW w:w="6771" w:type="dxa"/>
            <w:gridSpan w:val="3"/>
            <w:vAlign w:val="top"/>
          </w:tcPr>
          <w:p w14:paraId="295F51CB">
            <w:pPr>
              <w:pStyle w:val="11"/>
              <w:spacing w:before="27" w:line="207" w:lineRule="auto"/>
              <w:ind w:left="115"/>
              <w:rPr>
                <w:color w:val="auto"/>
                <w:highlight w:val="none"/>
              </w:rPr>
            </w:pPr>
            <w:r>
              <w:rPr>
                <w:color w:val="auto"/>
                <w:spacing w:val="-1"/>
                <w:highlight w:val="none"/>
              </w:rPr>
              <w:t>保函扫描件</w:t>
            </w:r>
          </w:p>
        </w:tc>
      </w:tr>
      <w:tr w14:paraId="6C14B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053F8965">
            <w:pPr>
              <w:rPr>
                <w:rFonts w:ascii="Arial"/>
                <w:color w:val="auto"/>
                <w:sz w:val="21"/>
                <w:highlight w:val="none"/>
              </w:rPr>
            </w:pPr>
          </w:p>
        </w:tc>
        <w:tc>
          <w:tcPr>
            <w:tcW w:w="6771" w:type="dxa"/>
            <w:gridSpan w:val="3"/>
            <w:vAlign w:val="top"/>
          </w:tcPr>
          <w:p w14:paraId="1D1B804A">
            <w:pPr>
              <w:rPr>
                <w:rFonts w:ascii="Arial"/>
                <w:color w:val="auto"/>
                <w:sz w:val="21"/>
                <w:highlight w:val="none"/>
              </w:rPr>
            </w:pPr>
          </w:p>
        </w:tc>
      </w:tr>
      <w:tr w14:paraId="64A35A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2EC6BA1A">
            <w:pPr>
              <w:rPr>
                <w:rFonts w:ascii="Arial"/>
                <w:color w:val="auto"/>
                <w:sz w:val="21"/>
                <w:highlight w:val="none"/>
              </w:rPr>
            </w:pPr>
          </w:p>
        </w:tc>
        <w:tc>
          <w:tcPr>
            <w:tcW w:w="6771" w:type="dxa"/>
            <w:gridSpan w:val="3"/>
            <w:vAlign w:val="top"/>
          </w:tcPr>
          <w:p w14:paraId="38DFE5E8">
            <w:pPr>
              <w:pStyle w:val="11"/>
              <w:spacing w:before="32" w:line="207" w:lineRule="auto"/>
              <w:ind w:left="112"/>
              <w:rPr>
                <w:color w:val="auto"/>
                <w:highlight w:val="none"/>
              </w:rPr>
            </w:pPr>
            <w:r>
              <w:rPr>
                <w:color w:val="auto"/>
                <w:spacing w:val="-1"/>
                <w:highlight w:val="none"/>
              </w:rPr>
              <w:t>缴费凭证扫描件</w:t>
            </w:r>
          </w:p>
        </w:tc>
      </w:tr>
      <w:tr w14:paraId="53993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68790B43">
            <w:pPr>
              <w:rPr>
                <w:rFonts w:ascii="Arial"/>
                <w:color w:val="auto"/>
                <w:sz w:val="21"/>
                <w:highlight w:val="none"/>
              </w:rPr>
            </w:pPr>
          </w:p>
        </w:tc>
        <w:tc>
          <w:tcPr>
            <w:tcW w:w="6771" w:type="dxa"/>
            <w:gridSpan w:val="3"/>
            <w:vAlign w:val="top"/>
          </w:tcPr>
          <w:p w14:paraId="72E37A6F">
            <w:pPr>
              <w:rPr>
                <w:rFonts w:ascii="Arial"/>
                <w:color w:val="auto"/>
                <w:sz w:val="21"/>
                <w:highlight w:val="none"/>
              </w:rPr>
            </w:pPr>
          </w:p>
        </w:tc>
      </w:tr>
      <w:tr w14:paraId="59F0C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44E54439">
            <w:pPr>
              <w:rPr>
                <w:rFonts w:ascii="Arial"/>
                <w:color w:val="auto"/>
                <w:sz w:val="21"/>
                <w:highlight w:val="none"/>
              </w:rPr>
            </w:pPr>
          </w:p>
        </w:tc>
        <w:tc>
          <w:tcPr>
            <w:tcW w:w="6771" w:type="dxa"/>
            <w:gridSpan w:val="3"/>
            <w:vAlign w:val="top"/>
          </w:tcPr>
          <w:p w14:paraId="0145F753">
            <w:pPr>
              <w:pStyle w:val="11"/>
              <w:spacing w:before="33" w:line="206" w:lineRule="auto"/>
              <w:ind w:left="114"/>
              <w:rPr>
                <w:color w:val="auto"/>
                <w:highlight w:val="none"/>
              </w:rPr>
            </w:pPr>
            <w:r>
              <w:rPr>
                <w:color w:val="auto"/>
                <w:spacing w:val="-4"/>
                <w:highlight w:val="none"/>
              </w:rPr>
              <w:t>基本户开户许可证扫（基本存款账户信息）</w:t>
            </w:r>
            <w:r>
              <w:rPr>
                <w:color w:val="auto"/>
                <w:spacing w:val="-20"/>
                <w:highlight w:val="none"/>
              </w:rPr>
              <w:t xml:space="preserve"> </w:t>
            </w:r>
            <w:r>
              <w:rPr>
                <w:color w:val="auto"/>
                <w:spacing w:val="-4"/>
                <w:highlight w:val="none"/>
              </w:rPr>
              <w:t>描件</w:t>
            </w:r>
          </w:p>
        </w:tc>
      </w:tr>
      <w:tr w14:paraId="0DE1A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47BEB2CB">
            <w:pPr>
              <w:rPr>
                <w:rFonts w:ascii="Arial"/>
                <w:color w:val="auto"/>
                <w:sz w:val="21"/>
                <w:highlight w:val="none"/>
              </w:rPr>
            </w:pPr>
          </w:p>
        </w:tc>
        <w:tc>
          <w:tcPr>
            <w:tcW w:w="6771" w:type="dxa"/>
            <w:gridSpan w:val="3"/>
            <w:vAlign w:val="top"/>
          </w:tcPr>
          <w:p w14:paraId="334E835B">
            <w:pPr>
              <w:rPr>
                <w:rFonts w:ascii="Arial"/>
                <w:color w:val="auto"/>
                <w:sz w:val="21"/>
                <w:highlight w:val="none"/>
              </w:rPr>
            </w:pPr>
          </w:p>
        </w:tc>
      </w:tr>
      <w:tr w14:paraId="6E485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25" w:type="dxa"/>
            <w:vMerge w:val="continue"/>
            <w:tcBorders>
              <w:top w:val="nil"/>
              <w:bottom w:val="nil"/>
            </w:tcBorders>
            <w:vAlign w:val="top"/>
          </w:tcPr>
          <w:p w14:paraId="34A08B7E">
            <w:pPr>
              <w:rPr>
                <w:rFonts w:ascii="Arial"/>
                <w:color w:val="auto"/>
                <w:sz w:val="21"/>
                <w:highlight w:val="none"/>
              </w:rPr>
            </w:pPr>
          </w:p>
        </w:tc>
        <w:tc>
          <w:tcPr>
            <w:tcW w:w="6771" w:type="dxa"/>
            <w:gridSpan w:val="3"/>
            <w:vAlign w:val="top"/>
          </w:tcPr>
          <w:p w14:paraId="56EC353D">
            <w:pPr>
              <w:pStyle w:val="11"/>
              <w:spacing w:before="29" w:line="205" w:lineRule="auto"/>
              <w:ind w:left="115"/>
              <w:rPr>
                <w:color w:val="auto"/>
                <w:highlight w:val="none"/>
              </w:rPr>
            </w:pPr>
            <w:r>
              <w:rPr>
                <w:color w:val="auto"/>
                <w:spacing w:val="-1"/>
                <w:highlight w:val="none"/>
              </w:rPr>
              <w:t>其他材料</w:t>
            </w:r>
          </w:p>
        </w:tc>
      </w:tr>
      <w:tr w14:paraId="3712B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425" w:type="dxa"/>
            <w:vMerge w:val="continue"/>
            <w:tcBorders>
              <w:top w:val="nil"/>
            </w:tcBorders>
            <w:vAlign w:val="top"/>
          </w:tcPr>
          <w:p w14:paraId="7297B219">
            <w:pPr>
              <w:rPr>
                <w:rFonts w:ascii="Arial"/>
                <w:color w:val="auto"/>
                <w:sz w:val="21"/>
                <w:highlight w:val="none"/>
              </w:rPr>
            </w:pPr>
          </w:p>
        </w:tc>
        <w:tc>
          <w:tcPr>
            <w:tcW w:w="6771" w:type="dxa"/>
            <w:gridSpan w:val="3"/>
            <w:vAlign w:val="top"/>
          </w:tcPr>
          <w:p w14:paraId="356298FE">
            <w:pPr>
              <w:rPr>
                <w:rFonts w:ascii="Arial"/>
                <w:color w:val="auto"/>
                <w:sz w:val="21"/>
                <w:highlight w:val="none"/>
              </w:rPr>
            </w:pPr>
          </w:p>
        </w:tc>
      </w:tr>
    </w:tbl>
    <w:p w14:paraId="1A1947F5">
      <w:pPr>
        <w:pStyle w:val="3"/>
        <w:rPr>
          <w:color w:val="auto"/>
          <w:highlight w:val="none"/>
        </w:rPr>
      </w:pPr>
    </w:p>
    <w:p w14:paraId="240C5E10">
      <w:pPr>
        <w:rPr>
          <w:color w:val="auto"/>
          <w:highlight w:val="none"/>
        </w:rPr>
        <w:sectPr>
          <w:footerReference r:id="rId219" w:type="default"/>
          <w:pgSz w:w="11905" w:h="16839"/>
          <w:pgMar w:top="400" w:right="1785" w:bottom="1004" w:left="1785" w:header="0" w:footer="828" w:gutter="0"/>
          <w:pgNumType w:fmt="decimal"/>
          <w:cols w:space="720" w:num="1"/>
        </w:sectPr>
      </w:pPr>
    </w:p>
    <w:p w14:paraId="3F870B98">
      <w:pPr>
        <w:pStyle w:val="3"/>
        <w:spacing w:line="255" w:lineRule="auto"/>
        <w:rPr>
          <w:color w:val="auto"/>
          <w:highlight w:val="none"/>
        </w:rPr>
      </w:pPr>
    </w:p>
    <w:p w14:paraId="71406B93">
      <w:pPr>
        <w:pStyle w:val="3"/>
        <w:spacing w:line="256" w:lineRule="auto"/>
        <w:rPr>
          <w:color w:val="auto"/>
          <w:highlight w:val="none"/>
        </w:rPr>
      </w:pPr>
    </w:p>
    <w:p w14:paraId="6445DF9A">
      <w:pPr>
        <w:pStyle w:val="3"/>
        <w:spacing w:line="256" w:lineRule="auto"/>
        <w:rPr>
          <w:color w:val="auto"/>
          <w:highlight w:val="none"/>
        </w:rPr>
      </w:pPr>
    </w:p>
    <w:p w14:paraId="005D0774">
      <w:pPr>
        <w:pStyle w:val="3"/>
        <w:spacing w:line="256" w:lineRule="auto"/>
        <w:rPr>
          <w:color w:val="auto"/>
          <w:highlight w:val="none"/>
        </w:rPr>
      </w:pPr>
    </w:p>
    <w:p w14:paraId="739B49C5">
      <w:pPr>
        <w:spacing w:before="88" w:line="225" w:lineRule="auto"/>
        <w:ind w:left="3072"/>
        <w:rPr>
          <w:rFonts w:ascii="黑体" w:hAnsi="黑体" w:eastAsia="黑体" w:cs="黑体"/>
          <w:color w:val="auto"/>
          <w:sz w:val="27"/>
          <w:szCs w:val="27"/>
          <w:highlight w:val="none"/>
        </w:rPr>
      </w:pPr>
      <w:bookmarkStart w:id="1332" w:name="bookmark305"/>
      <w:bookmarkEnd w:id="1332"/>
      <w:r>
        <w:rPr>
          <w:rFonts w:ascii="黑体" w:hAnsi="黑体" w:eastAsia="黑体" w:cs="黑体"/>
          <w:color w:val="auto"/>
          <w:spacing w:val="6"/>
          <w:sz w:val="27"/>
          <w:szCs w:val="27"/>
          <w:highlight w:val="none"/>
        </w:rPr>
        <w:t>四、联合体协议书</w:t>
      </w:r>
    </w:p>
    <w:p w14:paraId="6CDF8217">
      <w:pPr>
        <w:spacing w:before="128" w:line="221" w:lineRule="auto"/>
        <w:ind w:left="3760"/>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14:textOutline w14:w="3831" w14:cap="flat" w14:cmpd="sng">
            <w14:solidFill>
              <w14:srgbClr w14:val="000000"/>
            </w14:solidFill>
            <w14:prstDash w14:val="solid"/>
            <w14:miter w14:val="0"/>
          </w14:textOutline>
        </w:rPr>
        <w:t>（如有）</w:t>
      </w:r>
    </w:p>
    <w:p w14:paraId="7A8D5DEC">
      <w:pPr>
        <w:pStyle w:val="3"/>
        <w:spacing w:line="465" w:lineRule="auto"/>
        <w:rPr>
          <w:color w:val="auto"/>
          <w:highlight w:val="none"/>
        </w:rPr>
      </w:pPr>
    </w:p>
    <w:p w14:paraId="7C06AD7F">
      <w:pPr>
        <w:spacing w:before="68" w:line="350"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牵头人名称：</w:t>
      </w:r>
      <w:r>
        <w:rPr>
          <w:rFonts w:ascii="宋体" w:hAnsi="宋体" w:eastAsia="宋体" w:cs="宋体"/>
          <w:color w:val="auto"/>
          <w:sz w:val="21"/>
          <w:szCs w:val="21"/>
          <w:highlight w:val="none"/>
          <w:u w:val="single" w:color="auto"/>
        </w:rPr>
        <w:t xml:space="preserve">                                                  </w:t>
      </w:r>
    </w:p>
    <w:p w14:paraId="287A81DC">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法定代表人：</w:t>
      </w:r>
      <w:r>
        <w:rPr>
          <w:rFonts w:ascii="宋体" w:hAnsi="宋体" w:eastAsia="宋体" w:cs="宋体"/>
          <w:color w:val="auto"/>
          <w:sz w:val="21"/>
          <w:szCs w:val="21"/>
          <w:highlight w:val="none"/>
          <w:u w:val="single" w:color="auto"/>
        </w:rPr>
        <w:t xml:space="preserve">                                                  </w:t>
      </w:r>
    </w:p>
    <w:p w14:paraId="10584676">
      <w:pPr>
        <w:spacing w:before="143" w:line="221" w:lineRule="auto"/>
        <w:ind w:left="19"/>
        <w:rPr>
          <w:rFonts w:ascii="宋体" w:hAnsi="宋体" w:eastAsia="宋体" w:cs="宋体"/>
          <w:color w:val="auto"/>
          <w:sz w:val="21"/>
          <w:szCs w:val="21"/>
          <w:highlight w:val="none"/>
        </w:rPr>
      </w:pPr>
      <w:r>
        <w:rPr>
          <w:rFonts w:ascii="宋体" w:hAnsi="宋体" w:eastAsia="宋体" w:cs="宋体"/>
          <w:color w:val="auto"/>
          <w:spacing w:val="-23"/>
          <w:w w:val="95"/>
          <w:sz w:val="21"/>
          <w:szCs w:val="21"/>
          <w:highlight w:val="none"/>
        </w:rPr>
        <w:t>法定住所：</w:t>
      </w:r>
      <w:r>
        <w:rPr>
          <w:rFonts w:ascii="宋体" w:hAnsi="宋体" w:eastAsia="宋体" w:cs="宋体"/>
          <w:color w:val="auto"/>
          <w:spacing w:val="58"/>
          <w:sz w:val="21"/>
          <w:szCs w:val="21"/>
          <w:highlight w:val="none"/>
        </w:rPr>
        <w:t xml:space="preserve"> </w:t>
      </w:r>
      <w:r>
        <w:rPr>
          <w:rFonts w:ascii="宋体" w:hAnsi="宋体" w:eastAsia="宋体" w:cs="宋体"/>
          <w:color w:val="auto"/>
          <w:sz w:val="21"/>
          <w:szCs w:val="21"/>
          <w:highlight w:val="none"/>
          <w:u w:val="single" w:color="auto"/>
        </w:rPr>
        <w:t xml:space="preserve">                                                    </w:t>
      </w:r>
    </w:p>
    <w:p w14:paraId="7C41C57E">
      <w:pPr>
        <w:pStyle w:val="3"/>
        <w:spacing w:line="464" w:lineRule="auto"/>
        <w:rPr>
          <w:color w:val="auto"/>
          <w:highlight w:val="none"/>
        </w:rPr>
      </w:pPr>
    </w:p>
    <w:p w14:paraId="6E0D029F">
      <w:pPr>
        <w:spacing w:before="69" w:line="346" w:lineRule="auto"/>
        <w:ind w:left="2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成员二名称：</w:t>
      </w:r>
      <w:r>
        <w:rPr>
          <w:rFonts w:ascii="宋体" w:hAnsi="宋体" w:eastAsia="宋体" w:cs="宋体"/>
          <w:color w:val="auto"/>
          <w:sz w:val="21"/>
          <w:szCs w:val="21"/>
          <w:highlight w:val="none"/>
          <w:u w:val="single" w:color="auto"/>
        </w:rPr>
        <w:t xml:space="preserve">                                                  </w:t>
      </w:r>
    </w:p>
    <w:p w14:paraId="2027AE24">
      <w:pPr>
        <w:spacing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法定代表人：</w:t>
      </w:r>
      <w:r>
        <w:rPr>
          <w:rFonts w:ascii="宋体" w:hAnsi="宋体" w:eastAsia="宋体" w:cs="宋体"/>
          <w:color w:val="auto"/>
          <w:sz w:val="21"/>
          <w:szCs w:val="21"/>
          <w:highlight w:val="none"/>
          <w:u w:val="single" w:color="auto"/>
        </w:rPr>
        <w:t xml:space="preserve">                                                  </w:t>
      </w:r>
    </w:p>
    <w:p w14:paraId="32CBA147">
      <w:pPr>
        <w:spacing w:before="143" w:line="221" w:lineRule="auto"/>
        <w:ind w:left="19"/>
        <w:rPr>
          <w:rFonts w:ascii="宋体" w:hAnsi="宋体" w:eastAsia="宋体" w:cs="宋体"/>
          <w:color w:val="auto"/>
          <w:sz w:val="21"/>
          <w:szCs w:val="21"/>
          <w:highlight w:val="none"/>
        </w:rPr>
      </w:pPr>
      <w:r>
        <w:rPr>
          <w:rFonts w:ascii="宋体" w:hAnsi="宋体" w:eastAsia="宋体" w:cs="宋体"/>
          <w:color w:val="auto"/>
          <w:spacing w:val="-23"/>
          <w:w w:val="95"/>
          <w:sz w:val="21"/>
          <w:szCs w:val="21"/>
          <w:highlight w:val="none"/>
        </w:rPr>
        <w:t>法定住所：</w:t>
      </w:r>
      <w:r>
        <w:rPr>
          <w:rFonts w:ascii="宋体" w:hAnsi="宋体" w:eastAsia="宋体" w:cs="宋体"/>
          <w:color w:val="auto"/>
          <w:spacing w:val="58"/>
          <w:sz w:val="21"/>
          <w:szCs w:val="21"/>
          <w:highlight w:val="none"/>
        </w:rPr>
        <w:t xml:space="preserve"> </w:t>
      </w:r>
      <w:r>
        <w:rPr>
          <w:rFonts w:ascii="宋体" w:hAnsi="宋体" w:eastAsia="宋体" w:cs="宋体"/>
          <w:color w:val="auto"/>
          <w:sz w:val="21"/>
          <w:szCs w:val="21"/>
          <w:highlight w:val="none"/>
          <w:u w:val="single" w:color="auto"/>
        </w:rPr>
        <w:t xml:space="preserve">                                                    </w:t>
      </w:r>
    </w:p>
    <w:p w14:paraId="289D8BEA">
      <w:pPr>
        <w:spacing w:before="141" w:line="333" w:lineRule="exact"/>
        <w:ind w:left="555"/>
        <w:rPr>
          <w:rFonts w:ascii="宋体" w:hAnsi="宋体" w:eastAsia="宋体" w:cs="宋体"/>
          <w:color w:val="auto"/>
          <w:sz w:val="21"/>
          <w:szCs w:val="21"/>
          <w:highlight w:val="none"/>
        </w:rPr>
      </w:pPr>
      <w:r>
        <w:rPr>
          <w:rFonts w:ascii="宋体" w:hAnsi="宋体" w:eastAsia="宋体" w:cs="宋体"/>
          <w:color w:val="auto"/>
          <w:spacing w:val="-5"/>
          <w:position w:val="2"/>
          <w:sz w:val="21"/>
          <w:szCs w:val="21"/>
          <w:highlight w:val="none"/>
        </w:rPr>
        <w:t>……</w:t>
      </w:r>
    </w:p>
    <w:p w14:paraId="199FD9E7">
      <w:pPr>
        <w:spacing w:before="62" w:line="346" w:lineRule="auto"/>
        <w:ind w:left="18" w:right="12" w:firstLine="425"/>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鉴于上述各成员单位经过友好协商，自愿组成</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27"/>
          <w:sz w:val="21"/>
          <w:szCs w:val="21"/>
          <w:highlight w:val="none"/>
        </w:rPr>
        <w:t xml:space="preserve"> </w:t>
      </w:r>
      <w:r>
        <w:rPr>
          <w:rFonts w:ascii="宋体" w:hAnsi="宋体" w:eastAsia="宋体" w:cs="宋体"/>
          <w:color w:val="auto"/>
          <w:spacing w:val="-7"/>
          <w:sz w:val="21"/>
          <w:szCs w:val="21"/>
          <w:highlight w:val="none"/>
        </w:rPr>
        <w:t>（联合</w:t>
      </w:r>
      <w:r>
        <w:rPr>
          <w:rFonts w:ascii="宋体" w:hAnsi="宋体" w:eastAsia="宋体" w:cs="宋体"/>
          <w:color w:val="auto"/>
          <w:spacing w:val="-8"/>
          <w:sz w:val="21"/>
          <w:szCs w:val="21"/>
          <w:highlight w:val="none"/>
        </w:rPr>
        <w:t>体名称）</w:t>
      </w:r>
      <w:r>
        <w:rPr>
          <w:rFonts w:ascii="宋体" w:hAnsi="宋体" w:eastAsia="宋体" w:cs="宋体"/>
          <w:color w:val="auto"/>
          <w:spacing w:val="18"/>
          <w:sz w:val="21"/>
          <w:szCs w:val="21"/>
          <w:highlight w:val="none"/>
        </w:rPr>
        <w:t xml:space="preserve"> </w:t>
      </w:r>
      <w:r>
        <w:rPr>
          <w:rFonts w:ascii="宋体" w:hAnsi="宋体" w:eastAsia="宋体" w:cs="宋体"/>
          <w:color w:val="auto"/>
          <w:spacing w:val="-8"/>
          <w:sz w:val="21"/>
          <w:szCs w:val="21"/>
          <w:highlight w:val="none"/>
        </w:rPr>
        <w:t>联合体， 共同参</w:t>
      </w:r>
      <w:r>
        <w:rPr>
          <w:rFonts w:ascii="宋体" w:hAnsi="宋体" w:eastAsia="宋体" w:cs="宋体"/>
          <w:color w:val="auto"/>
          <w:sz w:val="21"/>
          <w:szCs w:val="21"/>
          <w:highlight w:val="none"/>
        </w:rPr>
        <w:t xml:space="preserve"> </w:t>
      </w:r>
      <w:r>
        <w:rPr>
          <w:rFonts w:ascii="宋体" w:hAnsi="宋体" w:eastAsia="宋体" w:cs="宋体"/>
          <w:color w:val="auto"/>
          <w:spacing w:val="-13"/>
          <w:sz w:val="21"/>
          <w:szCs w:val="21"/>
          <w:highlight w:val="none"/>
        </w:rPr>
        <w:t>加</w:t>
      </w:r>
      <w:r>
        <w:rPr>
          <w:rFonts w:ascii="宋体" w:hAnsi="宋体" w:eastAsia="宋体" w:cs="宋体"/>
          <w:color w:val="auto"/>
          <w:spacing w:val="-105"/>
          <w:sz w:val="21"/>
          <w:szCs w:val="21"/>
          <w:highlight w:val="none"/>
        </w:rPr>
        <w:t xml:space="preserve"> </w:t>
      </w:r>
      <w:r>
        <w:rPr>
          <w:rFonts w:ascii="宋体" w:hAnsi="宋体" w:eastAsia="宋体" w:cs="宋体"/>
          <w:color w:val="auto"/>
          <w:spacing w:val="-13"/>
          <w:sz w:val="21"/>
          <w:szCs w:val="21"/>
          <w:highlight w:val="none"/>
          <w:u w:val="single" w:color="auto"/>
        </w:rPr>
        <w:t xml:space="preserve">                   </w:t>
      </w:r>
      <w:r>
        <w:rPr>
          <w:rFonts w:ascii="宋体" w:hAnsi="宋体" w:eastAsia="宋体" w:cs="宋体"/>
          <w:color w:val="auto"/>
          <w:spacing w:val="-13"/>
          <w:sz w:val="21"/>
          <w:szCs w:val="21"/>
          <w:highlight w:val="none"/>
        </w:rPr>
        <w:t xml:space="preserve"> （招标人名称</w:t>
      </w:r>
      <w:r>
        <w:rPr>
          <w:rFonts w:ascii="宋体" w:hAnsi="宋体" w:eastAsia="宋体" w:cs="宋体"/>
          <w:color w:val="auto"/>
          <w:spacing w:val="-11"/>
          <w:sz w:val="21"/>
          <w:szCs w:val="21"/>
          <w:highlight w:val="none"/>
        </w:rPr>
        <w:t>）（</w:t>
      </w:r>
      <w:r>
        <w:rPr>
          <w:rFonts w:ascii="宋体" w:hAnsi="宋体" w:eastAsia="宋体" w:cs="宋体"/>
          <w:color w:val="auto"/>
          <w:spacing w:val="-13"/>
          <w:sz w:val="21"/>
          <w:szCs w:val="21"/>
          <w:highlight w:val="none"/>
        </w:rPr>
        <w:t>以下简称招标人</w:t>
      </w:r>
      <w:r>
        <w:rPr>
          <w:rFonts w:ascii="宋体" w:hAnsi="宋体" w:eastAsia="宋体" w:cs="宋体"/>
          <w:color w:val="auto"/>
          <w:spacing w:val="-11"/>
          <w:sz w:val="21"/>
          <w:szCs w:val="21"/>
          <w:highlight w:val="none"/>
        </w:rPr>
        <w:t>）</w:t>
      </w:r>
      <w:r>
        <w:rPr>
          <w:rFonts w:ascii="宋体" w:hAnsi="宋体" w:eastAsia="宋体" w:cs="宋体"/>
          <w:color w:val="auto"/>
          <w:spacing w:val="-45"/>
          <w:sz w:val="21"/>
          <w:szCs w:val="21"/>
          <w:highlight w:val="none"/>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20"/>
          <w:sz w:val="21"/>
          <w:szCs w:val="21"/>
          <w:highlight w:val="none"/>
        </w:rPr>
        <w:t xml:space="preserve"> </w:t>
      </w:r>
      <w:r>
        <w:rPr>
          <w:rFonts w:ascii="宋体" w:hAnsi="宋体" w:eastAsia="宋体" w:cs="宋体"/>
          <w:color w:val="auto"/>
          <w:spacing w:val="-11"/>
          <w:sz w:val="21"/>
          <w:szCs w:val="21"/>
          <w:highlight w:val="none"/>
        </w:rPr>
        <w:t>（</w:t>
      </w:r>
      <w:r>
        <w:rPr>
          <w:rFonts w:ascii="宋体" w:hAnsi="宋体" w:eastAsia="宋体" w:cs="宋体"/>
          <w:color w:val="auto"/>
          <w:spacing w:val="-13"/>
          <w:sz w:val="21"/>
          <w:szCs w:val="21"/>
          <w:highlight w:val="none"/>
        </w:rPr>
        <w:t>标段名称）</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（以下简称本工程）</w:t>
      </w:r>
      <w:r>
        <w:rPr>
          <w:rFonts w:ascii="宋体" w:hAnsi="宋体" w:eastAsia="宋体" w:cs="宋体"/>
          <w:color w:val="auto"/>
          <w:spacing w:val="36"/>
          <w:sz w:val="21"/>
          <w:szCs w:val="21"/>
          <w:highlight w:val="none"/>
        </w:rPr>
        <w:t xml:space="preserve"> </w:t>
      </w:r>
      <w:r>
        <w:rPr>
          <w:rFonts w:ascii="宋体" w:hAnsi="宋体" w:eastAsia="宋体" w:cs="宋体"/>
          <w:color w:val="auto"/>
          <w:spacing w:val="-6"/>
          <w:sz w:val="21"/>
          <w:szCs w:val="21"/>
          <w:highlight w:val="none"/>
        </w:rPr>
        <w:t>的施工投标并争取赢得本工程施工承包合同（以下简称合同）。现就联</w:t>
      </w:r>
    </w:p>
    <w:p w14:paraId="07C786A3">
      <w:pPr>
        <w:spacing w:line="221" w:lineRule="auto"/>
        <w:ind w:left="19"/>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合体投标事宜订立如下协议：</w:t>
      </w:r>
    </w:p>
    <w:p w14:paraId="7AB997CB">
      <w:pPr>
        <w:spacing w:before="142" w:line="220" w:lineRule="auto"/>
        <w:ind w:left="456"/>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1</w:t>
      </w:r>
      <w:r>
        <w:rPr>
          <w:rFonts w:ascii="宋体" w:hAnsi="宋体" w:eastAsia="宋体" w:cs="宋体"/>
          <w:color w:val="auto"/>
          <w:spacing w:val="-6"/>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1"/>
          <w:sz w:val="21"/>
          <w:szCs w:val="21"/>
          <w:highlight w:val="none"/>
        </w:rPr>
        <w:t xml:space="preserve"> </w:t>
      </w:r>
      <w:r>
        <w:rPr>
          <w:rFonts w:ascii="宋体" w:hAnsi="宋体" w:eastAsia="宋体" w:cs="宋体"/>
          <w:color w:val="auto"/>
          <w:spacing w:val="-6"/>
          <w:sz w:val="21"/>
          <w:szCs w:val="21"/>
          <w:highlight w:val="none"/>
        </w:rPr>
        <w:t>（</w:t>
      </w:r>
      <w:r>
        <w:rPr>
          <w:rFonts w:ascii="宋体" w:hAnsi="宋体" w:eastAsia="宋体" w:cs="宋体"/>
          <w:color w:val="auto"/>
          <w:spacing w:val="-10"/>
          <w:sz w:val="21"/>
          <w:szCs w:val="21"/>
          <w:highlight w:val="none"/>
        </w:rPr>
        <w:t>某成员单位名称）为</w:t>
      </w:r>
      <w:r>
        <w:rPr>
          <w:rFonts w:ascii="宋体" w:hAnsi="宋体" w:eastAsia="宋体" w:cs="宋体"/>
          <w:color w:val="auto"/>
          <w:spacing w:val="-93"/>
          <w:sz w:val="21"/>
          <w:szCs w:val="21"/>
          <w:highlight w:val="none"/>
        </w:rPr>
        <w:t xml:space="preserve"> </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10"/>
          <w:sz w:val="21"/>
          <w:szCs w:val="21"/>
          <w:highlight w:val="none"/>
        </w:rPr>
        <w:t xml:space="preserve"> （联合体名称）牵头人。</w:t>
      </w:r>
    </w:p>
    <w:p w14:paraId="46F8C2A2">
      <w:pPr>
        <w:spacing w:before="149" w:line="346" w:lineRule="auto"/>
        <w:ind w:left="18" w:right="8" w:firstLine="425"/>
        <w:rPr>
          <w:rFonts w:ascii="宋体" w:hAnsi="宋体" w:eastAsia="宋体" w:cs="宋体"/>
          <w:color w:val="auto"/>
          <w:sz w:val="21"/>
          <w:szCs w:val="21"/>
          <w:highlight w:val="none"/>
        </w:rPr>
      </w:pPr>
      <w:r>
        <w:rPr>
          <w:rFonts w:ascii="宋体" w:hAnsi="宋体" w:eastAsia="宋体" w:cs="宋体"/>
          <w:color w:val="auto"/>
          <w:sz w:val="21"/>
          <w:szCs w:val="21"/>
          <w:highlight w:val="none"/>
        </w:rPr>
        <w:t>2．在本工程投标阶段，联合体牵头人合法代表联合体各成员负责本工程投标文件编制</w:t>
      </w:r>
      <w:r>
        <w:rPr>
          <w:rFonts w:ascii="宋体" w:hAnsi="宋体" w:eastAsia="宋体" w:cs="宋体"/>
          <w:color w:val="auto"/>
          <w:spacing w:val="4"/>
          <w:sz w:val="21"/>
          <w:szCs w:val="21"/>
          <w:highlight w:val="none"/>
        </w:rPr>
        <w:t xml:space="preserve"> </w:t>
      </w:r>
      <w:r>
        <w:rPr>
          <w:rFonts w:ascii="宋体" w:hAnsi="宋体" w:eastAsia="宋体" w:cs="宋体"/>
          <w:color w:val="auto"/>
          <w:sz w:val="21"/>
          <w:szCs w:val="21"/>
          <w:highlight w:val="none"/>
        </w:rPr>
        <w:t>活动， 代表联合体提交和接收相关的资料、信息及指示，并处理与投标和中标有关的一切</w:t>
      </w:r>
      <w:r>
        <w:rPr>
          <w:rFonts w:ascii="宋体" w:hAnsi="宋体" w:eastAsia="宋体" w:cs="宋体"/>
          <w:color w:val="auto"/>
          <w:spacing w:val="6"/>
          <w:sz w:val="21"/>
          <w:szCs w:val="21"/>
          <w:highlight w:val="none"/>
        </w:rPr>
        <w:t xml:space="preserve"> </w:t>
      </w:r>
      <w:r>
        <w:rPr>
          <w:rFonts w:ascii="宋体" w:hAnsi="宋体" w:eastAsia="宋体" w:cs="宋体"/>
          <w:color w:val="auto"/>
          <w:spacing w:val="-2"/>
          <w:sz w:val="21"/>
          <w:szCs w:val="21"/>
          <w:highlight w:val="none"/>
        </w:rPr>
        <w:t>事务； 联合体中标后， 联合体牵头人负责合同订立</w:t>
      </w:r>
      <w:r>
        <w:rPr>
          <w:rFonts w:ascii="宋体" w:hAnsi="宋体" w:eastAsia="宋体" w:cs="宋体"/>
          <w:color w:val="auto"/>
          <w:spacing w:val="-3"/>
          <w:sz w:val="21"/>
          <w:szCs w:val="21"/>
          <w:highlight w:val="none"/>
        </w:rPr>
        <w:t>和合同实施阶段的主办、组织和协调工</w:t>
      </w:r>
    </w:p>
    <w:p w14:paraId="2AFF4B25">
      <w:pPr>
        <w:spacing w:line="221" w:lineRule="auto"/>
        <w:ind w:left="19"/>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作。</w:t>
      </w:r>
    </w:p>
    <w:p w14:paraId="43F2A8AB">
      <w:pPr>
        <w:spacing w:before="142" w:line="346" w:lineRule="auto"/>
        <w:ind w:left="19" w:right="8" w:firstLine="426"/>
        <w:rPr>
          <w:rFonts w:ascii="宋体" w:hAnsi="宋体" w:eastAsia="宋体" w:cs="宋体"/>
          <w:color w:val="auto"/>
          <w:sz w:val="21"/>
          <w:szCs w:val="21"/>
          <w:highlight w:val="none"/>
        </w:rPr>
      </w:pPr>
      <w:r>
        <w:rPr>
          <w:rFonts w:ascii="宋体" w:hAnsi="宋体" w:eastAsia="宋体" w:cs="宋体"/>
          <w:color w:val="auto"/>
          <w:sz w:val="21"/>
          <w:szCs w:val="21"/>
          <w:highlight w:val="none"/>
        </w:rPr>
        <w:t>3．联合体将严格按照招标文件的各项要求，递交投标文件，履行投标义务和中标后的</w:t>
      </w:r>
      <w:r>
        <w:rPr>
          <w:rFonts w:ascii="宋体" w:hAnsi="宋体" w:eastAsia="宋体" w:cs="宋体"/>
          <w:color w:val="auto"/>
          <w:spacing w:val="2"/>
          <w:sz w:val="21"/>
          <w:szCs w:val="21"/>
          <w:highlight w:val="none"/>
        </w:rPr>
        <w:t xml:space="preserve"> </w:t>
      </w:r>
      <w:r>
        <w:rPr>
          <w:rFonts w:ascii="宋体" w:hAnsi="宋体" w:eastAsia="宋体" w:cs="宋体"/>
          <w:color w:val="auto"/>
          <w:spacing w:val="-5"/>
          <w:sz w:val="21"/>
          <w:szCs w:val="21"/>
          <w:highlight w:val="none"/>
        </w:rPr>
        <w:t>合同， 共同承担合同规定的一切义务和责任， 联合体各成员单位按照内部职责的部分， 承</w:t>
      </w:r>
    </w:p>
    <w:p w14:paraId="539EB1D1">
      <w:pPr>
        <w:spacing w:before="1" w:line="220" w:lineRule="auto"/>
        <w:ind w:left="19"/>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担各自所负的责任和风险，并向招标人承担连带责任。</w:t>
      </w:r>
    </w:p>
    <w:p w14:paraId="3F70A18B">
      <w:pPr>
        <w:spacing w:before="142" w:line="221" w:lineRule="auto"/>
        <w:ind w:left="44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4．联合体各成员单位内部的职责分工如下：</w:t>
      </w:r>
      <w:r>
        <w:rPr>
          <w:rFonts w:ascii="宋体" w:hAnsi="宋体" w:eastAsia="宋体" w:cs="宋体"/>
          <w:color w:val="auto"/>
          <w:spacing w:val="-28"/>
          <w:sz w:val="21"/>
          <w:szCs w:val="21"/>
          <w:highlight w:val="none"/>
        </w:rPr>
        <w:t xml:space="preserve"> </w:t>
      </w:r>
      <w:r>
        <w:rPr>
          <w:rFonts w:ascii="宋体" w:hAnsi="宋体" w:eastAsia="宋体" w:cs="宋体"/>
          <w:color w:val="auto"/>
          <w:sz w:val="21"/>
          <w:szCs w:val="21"/>
          <w:highlight w:val="none"/>
          <w:u w:val="single" w:color="auto"/>
        </w:rPr>
        <w:t xml:space="preserve">                                    </w:t>
      </w:r>
    </w:p>
    <w:p w14:paraId="0247CE79">
      <w:pPr>
        <w:pStyle w:val="3"/>
        <w:spacing w:line="251" w:lineRule="auto"/>
        <w:rPr>
          <w:color w:val="auto"/>
          <w:highlight w:val="none"/>
        </w:rPr>
      </w:pPr>
    </w:p>
    <w:p w14:paraId="4D10B139">
      <w:pPr>
        <w:tabs>
          <w:tab w:val="left" w:pos="7784"/>
        </w:tabs>
        <w:spacing w:before="26" w:line="159" w:lineRule="auto"/>
        <w:ind w:left="10"/>
        <w:rPr>
          <w:rFonts w:ascii="宋体" w:hAnsi="宋体" w:eastAsia="宋体" w:cs="宋体"/>
          <w:color w:val="auto"/>
          <w:sz w:val="8"/>
          <w:szCs w:val="8"/>
          <w:highlight w:val="none"/>
        </w:rPr>
      </w:pPr>
      <w:r>
        <w:rPr>
          <w:rFonts w:ascii="宋体" w:hAnsi="宋体" w:eastAsia="宋体" w:cs="宋体"/>
          <w:color w:val="auto"/>
          <w:sz w:val="8"/>
          <w:szCs w:val="8"/>
          <w:highlight w:val="none"/>
          <w:u w:val="single" w:color="auto"/>
        </w:rPr>
        <w:tab/>
      </w:r>
      <w:r>
        <w:rPr>
          <w:rFonts w:ascii="宋体" w:hAnsi="宋体" w:eastAsia="宋体" w:cs="宋体"/>
          <w:color w:val="auto"/>
          <w:spacing w:val="-11"/>
          <w:sz w:val="8"/>
          <w:szCs w:val="8"/>
          <w:highlight w:val="none"/>
        </w:rPr>
        <w:t xml:space="preserve"> </w:t>
      </w:r>
      <w:r>
        <w:rPr>
          <w:rFonts w:ascii="宋体" w:hAnsi="宋体" w:eastAsia="宋体" w:cs="宋体"/>
          <w:color w:val="auto"/>
          <w:spacing w:val="6"/>
          <w:sz w:val="8"/>
          <w:szCs w:val="8"/>
          <w:highlight w:val="none"/>
        </w:rPr>
        <w:t>。</w:t>
      </w:r>
    </w:p>
    <w:p w14:paraId="4DADC179">
      <w:pPr>
        <w:spacing w:before="190" w:line="346" w:lineRule="auto"/>
        <w:ind w:left="442" w:right="54" w:firstLine="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5．投标工作和联合体在中标后工程实施过程中的有关费用按各自承担的</w:t>
      </w:r>
      <w:r>
        <w:rPr>
          <w:rFonts w:ascii="宋体" w:hAnsi="宋体" w:eastAsia="宋体" w:cs="宋体"/>
          <w:color w:val="auto"/>
          <w:spacing w:val="-2"/>
          <w:sz w:val="21"/>
          <w:szCs w:val="21"/>
          <w:highlight w:val="none"/>
        </w:rPr>
        <w:t>工作量分摊。</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6．联合体中标后，本联合体协议是合同的附件，对联合体各成员单位有合同约</w:t>
      </w:r>
      <w:r>
        <w:rPr>
          <w:rFonts w:ascii="宋体" w:hAnsi="宋体" w:eastAsia="宋体" w:cs="宋体"/>
          <w:color w:val="auto"/>
          <w:spacing w:val="-2"/>
          <w:sz w:val="21"/>
          <w:szCs w:val="21"/>
          <w:highlight w:val="none"/>
        </w:rPr>
        <w:t>束力。</w:t>
      </w:r>
    </w:p>
    <w:p w14:paraId="3E327D20">
      <w:pPr>
        <w:spacing w:before="1" w:line="219" w:lineRule="auto"/>
        <w:ind w:left="446"/>
        <w:rPr>
          <w:rFonts w:ascii="宋体" w:hAnsi="宋体" w:eastAsia="宋体" w:cs="宋体"/>
          <w:color w:val="auto"/>
          <w:sz w:val="21"/>
          <w:szCs w:val="21"/>
          <w:highlight w:val="none"/>
        </w:rPr>
      </w:pPr>
      <w:r>
        <w:rPr>
          <w:rFonts w:ascii="宋体" w:hAnsi="宋体" w:eastAsia="宋体" w:cs="宋体"/>
          <w:color w:val="auto"/>
          <w:sz w:val="21"/>
          <w:szCs w:val="21"/>
          <w:highlight w:val="none"/>
        </w:rPr>
        <w:t>7．本协议书自签署之日起生效，联合体未中标或者中标合</w:t>
      </w:r>
      <w:r>
        <w:rPr>
          <w:rFonts w:ascii="宋体" w:hAnsi="宋体" w:eastAsia="宋体" w:cs="宋体"/>
          <w:color w:val="auto"/>
          <w:spacing w:val="-1"/>
          <w:sz w:val="21"/>
          <w:szCs w:val="21"/>
          <w:highlight w:val="none"/>
        </w:rPr>
        <w:t>同履行完毕后自动失效。</w:t>
      </w:r>
    </w:p>
    <w:p w14:paraId="6D402017">
      <w:pPr>
        <w:spacing w:before="148" w:line="220"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8．本协议书一式</w:t>
      </w:r>
      <w:r>
        <w:rPr>
          <w:rFonts w:ascii="宋体" w:hAnsi="宋体" w:eastAsia="宋体" w:cs="宋体"/>
          <w:color w:val="auto"/>
          <w:spacing w:val="-105"/>
          <w:sz w:val="21"/>
          <w:szCs w:val="21"/>
          <w:highlight w:val="none"/>
        </w:rPr>
        <w:t xml:space="preserve"> </w:t>
      </w:r>
      <w:r>
        <w:rPr>
          <w:rFonts w:ascii="宋体" w:hAnsi="宋体" w:eastAsia="宋体" w:cs="宋体"/>
          <w:color w:val="auto"/>
          <w:spacing w:val="9"/>
          <w:sz w:val="21"/>
          <w:szCs w:val="21"/>
          <w:highlight w:val="none"/>
          <w:u w:val="single" w:color="auto"/>
        </w:rPr>
        <w:t xml:space="preserve">           </w:t>
      </w:r>
      <w:r>
        <w:rPr>
          <w:rFonts w:ascii="宋体" w:hAnsi="宋体" w:eastAsia="宋体" w:cs="宋体"/>
          <w:color w:val="auto"/>
          <w:spacing w:val="-92"/>
          <w:sz w:val="21"/>
          <w:szCs w:val="21"/>
          <w:highlight w:val="none"/>
        </w:rPr>
        <w:t xml:space="preserve"> </w:t>
      </w:r>
      <w:r>
        <w:rPr>
          <w:rFonts w:ascii="宋体" w:hAnsi="宋体" w:eastAsia="宋体" w:cs="宋体"/>
          <w:color w:val="auto"/>
          <w:spacing w:val="-1"/>
          <w:sz w:val="21"/>
          <w:szCs w:val="21"/>
          <w:highlight w:val="none"/>
        </w:rPr>
        <w:t>份，联合体成员和招标人</w:t>
      </w:r>
      <w:r>
        <w:rPr>
          <w:rFonts w:ascii="宋体" w:hAnsi="宋体" w:eastAsia="宋体" w:cs="宋体"/>
          <w:color w:val="auto"/>
          <w:spacing w:val="-2"/>
          <w:sz w:val="21"/>
          <w:szCs w:val="21"/>
          <w:highlight w:val="none"/>
        </w:rPr>
        <w:t>各执一份。</w:t>
      </w:r>
    </w:p>
    <w:p w14:paraId="1F0A4C3D">
      <w:pPr>
        <w:pStyle w:val="3"/>
        <w:spacing w:line="466" w:lineRule="auto"/>
        <w:rPr>
          <w:color w:val="auto"/>
          <w:highlight w:val="none"/>
        </w:rPr>
      </w:pPr>
    </w:p>
    <w:p w14:paraId="73797E23">
      <w:pPr>
        <w:spacing w:before="68" w:line="346" w:lineRule="auto"/>
        <w:ind w:left="1806"/>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牵头人名称</w:t>
      </w:r>
      <w:r>
        <w:rPr>
          <w:rFonts w:ascii="宋体" w:hAnsi="宋体" w:eastAsia="宋体" w:cs="宋体"/>
          <w:color w:val="auto"/>
          <w:spacing w:val="-13"/>
          <w:sz w:val="21"/>
          <w:szCs w:val="21"/>
          <w:highlight w:val="none"/>
        </w:rPr>
        <w:t>：</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6"/>
          <w:sz w:val="21"/>
          <w:szCs w:val="21"/>
          <w:highlight w:val="none"/>
        </w:rPr>
        <w:t xml:space="preserve"> </w:t>
      </w:r>
      <w:r>
        <w:rPr>
          <w:rFonts w:ascii="宋体" w:hAnsi="宋体" w:eastAsia="宋体" w:cs="宋体"/>
          <w:color w:val="auto"/>
          <w:spacing w:val="-13"/>
          <w:sz w:val="21"/>
          <w:szCs w:val="21"/>
          <w:highlight w:val="none"/>
        </w:rPr>
        <w:t>（</w:t>
      </w:r>
      <w:r>
        <w:rPr>
          <w:rFonts w:ascii="宋体" w:hAnsi="宋体" w:eastAsia="宋体" w:cs="宋体"/>
          <w:color w:val="auto"/>
          <w:spacing w:val="-11"/>
          <w:sz w:val="21"/>
          <w:szCs w:val="21"/>
          <w:highlight w:val="none"/>
        </w:rPr>
        <w:t>盖单位章）</w:t>
      </w:r>
    </w:p>
    <w:p w14:paraId="16ABB3D8">
      <w:pPr>
        <w:spacing w:before="1" w:line="219" w:lineRule="auto"/>
        <w:ind w:left="1805"/>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法定代表人或授权委托人</w:t>
      </w:r>
      <w:r>
        <w:rPr>
          <w:rFonts w:ascii="宋体" w:hAnsi="宋体" w:eastAsia="宋体" w:cs="宋体"/>
          <w:color w:val="auto"/>
          <w:spacing w:val="3"/>
          <w:sz w:val="21"/>
          <w:szCs w:val="21"/>
          <w:highlight w:val="none"/>
        </w:rPr>
        <w:t>：</w:t>
      </w:r>
      <w:r>
        <w:rPr>
          <w:rFonts w:ascii="宋体" w:hAnsi="宋体" w:eastAsia="宋体" w:cs="宋体"/>
          <w:color w:val="auto"/>
          <w:spacing w:val="-1"/>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48"/>
          <w:sz w:val="21"/>
          <w:szCs w:val="21"/>
          <w:highlight w:val="none"/>
        </w:rPr>
        <w:t xml:space="preserve"> </w:t>
      </w:r>
      <w:r>
        <w:rPr>
          <w:rFonts w:ascii="宋体" w:hAnsi="宋体" w:eastAsia="宋体" w:cs="宋体"/>
          <w:color w:val="auto"/>
          <w:spacing w:val="3"/>
          <w:sz w:val="21"/>
          <w:szCs w:val="21"/>
          <w:highlight w:val="none"/>
        </w:rPr>
        <w:t>（</w:t>
      </w:r>
      <w:r>
        <w:rPr>
          <w:rFonts w:ascii="宋体" w:hAnsi="宋体" w:eastAsia="宋体" w:cs="宋体"/>
          <w:color w:val="auto"/>
          <w:spacing w:val="-13"/>
          <w:sz w:val="21"/>
          <w:szCs w:val="21"/>
          <w:highlight w:val="none"/>
        </w:rPr>
        <w:t>签章）</w:t>
      </w:r>
    </w:p>
    <w:p w14:paraId="6EB801DA">
      <w:pPr>
        <w:pStyle w:val="3"/>
        <w:spacing w:line="466" w:lineRule="auto"/>
        <w:rPr>
          <w:color w:val="auto"/>
          <w:highlight w:val="none"/>
        </w:rPr>
      </w:pPr>
    </w:p>
    <w:p w14:paraId="0FD46C5D">
      <w:pPr>
        <w:spacing w:before="69" w:line="346" w:lineRule="auto"/>
        <w:ind w:left="1806"/>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成员二名称</w:t>
      </w:r>
      <w:r>
        <w:rPr>
          <w:rFonts w:ascii="宋体" w:hAnsi="宋体" w:eastAsia="宋体" w:cs="宋体"/>
          <w:color w:val="auto"/>
          <w:spacing w:val="-13"/>
          <w:sz w:val="21"/>
          <w:szCs w:val="21"/>
          <w:highlight w:val="none"/>
        </w:rPr>
        <w:t>：</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6"/>
          <w:sz w:val="21"/>
          <w:szCs w:val="21"/>
          <w:highlight w:val="none"/>
        </w:rPr>
        <w:t xml:space="preserve"> </w:t>
      </w:r>
      <w:r>
        <w:rPr>
          <w:rFonts w:ascii="宋体" w:hAnsi="宋体" w:eastAsia="宋体" w:cs="宋体"/>
          <w:color w:val="auto"/>
          <w:spacing w:val="-13"/>
          <w:sz w:val="21"/>
          <w:szCs w:val="21"/>
          <w:highlight w:val="none"/>
        </w:rPr>
        <w:t>（</w:t>
      </w:r>
      <w:r>
        <w:rPr>
          <w:rFonts w:ascii="宋体" w:hAnsi="宋体" w:eastAsia="宋体" w:cs="宋体"/>
          <w:color w:val="auto"/>
          <w:spacing w:val="-11"/>
          <w:sz w:val="21"/>
          <w:szCs w:val="21"/>
          <w:highlight w:val="none"/>
        </w:rPr>
        <w:t>盖单位章）</w:t>
      </w:r>
    </w:p>
    <w:p w14:paraId="34D35249">
      <w:pPr>
        <w:spacing w:before="1" w:line="219" w:lineRule="auto"/>
        <w:ind w:left="1805"/>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法定代表人或授权委托人</w:t>
      </w:r>
      <w:r>
        <w:rPr>
          <w:rFonts w:ascii="宋体" w:hAnsi="宋体" w:eastAsia="宋体" w:cs="宋体"/>
          <w:color w:val="auto"/>
          <w:spacing w:val="3"/>
          <w:sz w:val="21"/>
          <w:szCs w:val="21"/>
          <w:highlight w:val="none"/>
        </w:rPr>
        <w:t>：</w:t>
      </w:r>
      <w:r>
        <w:rPr>
          <w:rFonts w:ascii="宋体" w:hAnsi="宋体" w:eastAsia="宋体" w:cs="宋体"/>
          <w:color w:val="auto"/>
          <w:spacing w:val="-1"/>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48"/>
          <w:sz w:val="21"/>
          <w:szCs w:val="21"/>
          <w:highlight w:val="none"/>
        </w:rPr>
        <w:t xml:space="preserve"> </w:t>
      </w:r>
      <w:r>
        <w:rPr>
          <w:rFonts w:ascii="宋体" w:hAnsi="宋体" w:eastAsia="宋体" w:cs="宋体"/>
          <w:color w:val="auto"/>
          <w:spacing w:val="3"/>
          <w:sz w:val="21"/>
          <w:szCs w:val="21"/>
          <w:highlight w:val="none"/>
        </w:rPr>
        <w:t>（</w:t>
      </w:r>
      <w:r>
        <w:rPr>
          <w:rFonts w:ascii="宋体" w:hAnsi="宋体" w:eastAsia="宋体" w:cs="宋体"/>
          <w:color w:val="auto"/>
          <w:spacing w:val="-13"/>
          <w:sz w:val="21"/>
          <w:szCs w:val="21"/>
          <w:highlight w:val="none"/>
        </w:rPr>
        <w:t>签章）</w:t>
      </w:r>
    </w:p>
    <w:p w14:paraId="0007B4AB">
      <w:pPr>
        <w:spacing w:line="219" w:lineRule="auto"/>
        <w:rPr>
          <w:rFonts w:ascii="宋体" w:hAnsi="宋体" w:eastAsia="宋体" w:cs="宋体"/>
          <w:color w:val="auto"/>
          <w:sz w:val="21"/>
          <w:szCs w:val="21"/>
          <w:highlight w:val="none"/>
        </w:rPr>
        <w:sectPr>
          <w:footerReference r:id="rId220" w:type="default"/>
          <w:pgSz w:w="11905" w:h="16839"/>
          <w:pgMar w:top="400" w:right="1785" w:bottom="1004" w:left="1785" w:header="0" w:footer="828" w:gutter="0"/>
          <w:pgNumType w:fmt="decimal"/>
          <w:cols w:space="720" w:num="1"/>
        </w:sectPr>
      </w:pPr>
    </w:p>
    <w:p w14:paraId="041A403E">
      <w:pPr>
        <w:pStyle w:val="3"/>
        <w:spacing w:line="275" w:lineRule="auto"/>
        <w:rPr>
          <w:color w:val="auto"/>
          <w:highlight w:val="none"/>
        </w:rPr>
      </w:pPr>
    </w:p>
    <w:p w14:paraId="547B2A1A">
      <w:pPr>
        <w:pStyle w:val="3"/>
        <w:spacing w:line="275" w:lineRule="auto"/>
        <w:rPr>
          <w:color w:val="auto"/>
          <w:highlight w:val="none"/>
        </w:rPr>
      </w:pPr>
    </w:p>
    <w:p w14:paraId="10F59810">
      <w:pPr>
        <w:pStyle w:val="3"/>
        <w:spacing w:line="275" w:lineRule="auto"/>
        <w:rPr>
          <w:color w:val="auto"/>
          <w:highlight w:val="none"/>
        </w:rPr>
      </w:pPr>
    </w:p>
    <w:p w14:paraId="28DF6884">
      <w:pPr>
        <w:pStyle w:val="3"/>
        <w:spacing w:line="275" w:lineRule="auto"/>
        <w:rPr>
          <w:color w:val="auto"/>
          <w:highlight w:val="none"/>
        </w:rPr>
      </w:pPr>
    </w:p>
    <w:p w14:paraId="05EC740C">
      <w:pPr>
        <w:spacing w:before="68" w:line="333" w:lineRule="exact"/>
        <w:ind w:left="2134"/>
        <w:rPr>
          <w:rFonts w:ascii="宋体" w:hAnsi="宋体" w:eastAsia="宋体" w:cs="宋体"/>
          <w:color w:val="auto"/>
          <w:sz w:val="21"/>
          <w:szCs w:val="21"/>
          <w:highlight w:val="none"/>
        </w:rPr>
      </w:pPr>
      <w:bookmarkStart w:id="1333" w:name="bookmark306"/>
      <w:bookmarkEnd w:id="1333"/>
      <w:r>
        <w:rPr>
          <w:rFonts w:ascii="宋体" w:hAnsi="宋体" w:eastAsia="宋体" w:cs="宋体"/>
          <w:color w:val="auto"/>
          <w:spacing w:val="-5"/>
          <w:position w:val="2"/>
          <w:sz w:val="21"/>
          <w:szCs w:val="21"/>
          <w:highlight w:val="none"/>
        </w:rPr>
        <w:t>……</w:t>
      </w:r>
    </w:p>
    <w:p w14:paraId="3C7CBB5C">
      <w:pPr>
        <w:tabs>
          <w:tab w:val="left" w:pos="4863"/>
        </w:tabs>
        <w:spacing w:before="61" w:line="221" w:lineRule="auto"/>
        <w:ind w:left="402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6"/>
          <w:sz w:val="21"/>
          <w:szCs w:val="21"/>
          <w:highlight w:val="none"/>
        </w:rPr>
        <w:t xml:space="preserve"> </w:t>
      </w:r>
      <w:r>
        <w:rPr>
          <w:rFonts w:ascii="宋体" w:hAnsi="宋体" w:eastAsia="宋体" w:cs="宋体"/>
          <w:color w:val="auto"/>
          <w:spacing w:val="-7"/>
          <w:sz w:val="21"/>
          <w:szCs w:val="21"/>
          <w:highlight w:val="none"/>
        </w:rPr>
        <w:t>年</w:t>
      </w:r>
      <w:r>
        <w:rPr>
          <w:rFonts w:ascii="宋体" w:hAnsi="宋体" w:eastAsia="宋体" w:cs="宋体"/>
          <w:color w:val="auto"/>
          <w:spacing w:val="-104"/>
          <w:sz w:val="21"/>
          <w:szCs w:val="21"/>
          <w:highlight w:val="none"/>
        </w:rPr>
        <w:t xml:space="preserve"> </w:t>
      </w:r>
      <w:r>
        <w:rPr>
          <w:rFonts w:ascii="宋体" w:hAnsi="宋体" w:eastAsia="宋体" w:cs="宋体"/>
          <w:color w:val="auto"/>
          <w:spacing w:val="14"/>
          <w:sz w:val="21"/>
          <w:szCs w:val="21"/>
          <w:highlight w:val="none"/>
          <w:u w:val="single" w:color="auto"/>
        </w:rPr>
        <w:t xml:space="preserve">       </w:t>
      </w:r>
      <w:r>
        <w:rPr>
          <w:rFonts w:ascii="宋体" w:hAnsi="宋体" w:eastAsia="宋体" w:cs="宋体"/>
          <w:color w:val="auto"/>
          <w:spacing w:val="-90"/>
          <w:sz w:val="21"/>
          <w:szCs w:val="21"/>
          <w:highlight w:val="none"/>
        </w:rPr>
        <w:t xml:space="preserve"> </w:t>
      </w:r>
      <w:r>
        <w:rPr>
          <w:rFonts w:ascii="宋体" w:hAnsi="宋体" w:eastAsia="宋体" w:cs="宋体"/>
          <w:color w:val="auto"/>
          <w:spacing w:val="-7"/>
          <w:sz w:val="21"/>
          <w:szCs w:val="21"/>
          <w:highlight w:val="none"/>
        </w:rPr>
        <w:t>月</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7"/>
          <w:sz w:val="21"/>
          <w:szCs w:val="21"/>
          <w:highlight w:val="none"/>
        </w:rPr>
        <w:t>日</w:t>
      </w:r>
    </w:p>
    <w:p w14:paraId="1F3AE91F">
      <w:pPr>
        <w:pStyle w:val="3"/>
        <w:spacing w:line="251" w:lineRule="auto"/>
        <w:rPr>
          <w:color w:val="auto"/>
          <w:highlight w:val="none"/>
        </w:rPr>
      </w:pPr>
    </w:p>
    <w:p w14:paraId="2C0C0A9D">
      <w:pPr>
        <w:pStyle w:val="3"/>
        <w:spacing w:line="251" w:lineRule="auto"/>
        <w:rPr>
          <w:color w:val="auto"/>
          <w:highlight w:val="none"/>
        </w:rPr>
      </w:pPr>
    </w:p>
    <w:p w14:paraId="14CB96E0">
      <w:pPr>
        <w:pStyle w:val="3"/>
        <w:spacing w:line="251" w:lineRule="auto"/>
        <w:rPr>
          <w:color w:val="auto"/>
          <w:highlight w:val="none"/>
        </w:rPr>
      </w:pPr>
    </w:p>
    <w:p w14:paraId="5286875F">
      <w:pPr>
        <w:pStyle w:val="3"/>
        <w:spacing w:line="251" w:lineRule="auto"/>
        <w:rPr>
          <w:color w:val="auto"/>
          <w:highlight w:val="none"/>
        </w:rPr>
      </w:pPr>
    </w:p>
    <w:p w14:paraId="515A34B5">
      <w:pPr>
        <w:pStyle w:val="3"/>
        <w:spacing w:line="251" w:lineRule="auto"/>
        <w:rPr>
          <w:color w:val="auto"/>
          <w:highlight w:val="none"/>
        </w:rPr>
      </w:pPr>
    </w:p>
    <w:p w14:paraId="19130BF1">
      <w:pPr>
        <w:pStyle w:val="3"/>
        <w:spacing w:line="251" w:lineRule="auto"/>
        <w:rPr>
          <w:color w:val="auto"/>
          <w:highlight w:val="none"/>
        </w:rPr>
      </w:pPr>
    </w:p>
    <w:p w14:paraId="24741741">
      <w:pPr>
        <w:pStyle w:val="3"/>
        <w:spacing w:line="251" w:lineRule="auto"/>
        <w:rPr>
          <w:color w:val="auto"/>
          <w:highlight w:val="none"/>
        </w:rPr>
      </w:pPr>
    </w:p>
    <w:p w14:paraId="108B3331">
      <w:pPr>
        <w:pStyle w:val="3"/>
        <w:spacing w:line="251" w:lineRule="auto"/>
        <w:rPr>
          <w:color w:val="auto"/>
          <w:highlight w:val="none"/>
        </w:rPr>
      </w:pPr>
    </w:p>
    <w:p w14:paraId="37D26235">
      <w:pPr>
        <w:pStyle w:val="3"/>
        <w:spacing w:line="251" w:lineRule="auto"/>
        <w:rPr>
          <w:color w:val="auto"/>
          <w:highlight w:val="none"/>
        </w:rPr>
      </w:pPr>
    </w:p>
    <w:p w14:paraId="485285B9">
      <w:pPr>
        <w:pStyle w:val="3"/>
        <w:spacing w:line="252" w:lineRule="auto"/>
        <w:rPr>
          <w:color w:val="auto"/>
          <w:highlight w:val="none"/>
        </w:rPr>
      </w:pPr>
    </w:p>
    <w:p w14:paraId="1794F434">
      <w:pPr>
        <w:pStyle w:val="3"/>
        <w:spacing w:line="252" w:lineRule="auto"/>
        <w:rPr>
          <w:color w:val="auto"/>
          <w:highlight w:val="none"/>
        </w:rPr>
      </w:pPr>
    </w:p>
    <w:p w14:paraId="0523C5F8">
      <w:pPr>
        <w:pStyle w:val="3"/>
        <w:spacing w:line="252" w:lineRule="auto"/>
        <w:rPr>
          <w:color w:val="auto"/>
          <w:highlight w:val="none"/>
        </w:rPr>
      </w:pPr>
    </w:p>
    <w:p w14:paraId="4D7D6AE2">
      <w:pPr>
        <w:pStyle w:val="3"/>
        <w:spacing w:line="252" w:lineRule="auto"/>
        <w:rPr>
          <w:color w:val="auto"/>
          <w:highlight w:val="none"/>
        </w:rPr>
      </w:pPr>
    </w:p>
    <w:p w14:paraId="24AF51B9">
      <w:pPr>
        <w:pStyle w:val="3"/>
        <w:spacing w:line="252" w:lineRule="auto"/>
        <w:rPr>
          <w:color w:val="auto"/>
          <w:highlight w:val="none"/>
        </w:rPr>
      </w:pPr>
    </w:p>
    <w:p w14:paraId="79D91537">
      <w:pPr>
        <w:pStyle w:val="3"/>
        <w:spacing w:line="252" w:lineRule="auto"/>
        <w:rPr>
          <w:color w:val="auto"/>
          <w:highlight w:val="none"/>
        </w:rPr>
      </w:pPr>
    </w:p>
    <w:p w14:paraId="66E67F33">
      <w:pPr>
        <w:pStyle w:val="3"/>
        <w:spacing w:line="252" w:lineRule="auto"/>
        <w:rPr>
          <w:color w:val="auto"/>
          <w:highlight w:val="none"/>
        </w:rPr>
      </w:pPr>
    </w:p>
    <w:p w14:paraId="55A71C3C">
      <w:pPr>
        <w:pStyle w:val="3"/>
        <w:spacing w:line="252" w:lineRule="auto"/>
        <w:rPr>
          <w:color w:val="auto"/>
          <w:highlight w:val="none"/>
        </w:rPr>
      </w:pPr>
    </w:p>
    <w:p w14:paraId="41C538E1">
      <w:pPr>
        <w:pStyle w:val="3"/>
        <w:spacing w:line="252" w:lineRule="auto"/>
        <w:rPr>
          <w:color w:val="auto"/>
          <w:highlight w:val="none"/>
        </w:rPr>
      </w:pPr>
    </w:p>
    <w:p w14:paraId="7BDA3DD0">
      <w:pPr>
        <w:pStyle w:val="3"/>
        <w:spacing w:line="252" w:lineRule="auto"/>
        <w:rPr>
          <w:color w:val="auto"/>
          <w:highlight w:val="none"/>
        </w:rPr>
      </w:pPr>
    </w:p>
    <w:p w14:paraId="77685A50">
      <w:pPr>
        <w:spacing w:before="68" w:line="220"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备注： 1.本协议书由委托代理人签字的，应附法定代表人签字的授权委托书。</w:t>
      </w:r>
    </w:p>
    <w:p w14:paraId="7BCE055E">
      <w:pPr>
        <w:spacing w:before="143" w:line="399" w:lineRule="exact"/>
        <w:ind w:right="9"/>
        <w:jc w:val="right"/>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2.投标人未采用联合体投标的，投标文件中不需联合体协议书， 也无须盖单位章和</w:t>
      </w:r>
    </w:p>
    <w:p w14:paraId="205DF343">
      <w:pPr>
        <w:spacing w:line="220" w:lineRule="auto"/>
        <w:ind w:left="858"/>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签字。</w:t>
      </w:r>
    </w:p>
    <w:p w14:paraId="4A40938B">
      <w:pPr>
        <w:spacing w:line="220" w:lineRule="auto"/>
        <w:rPr>
          <w:rFonts w:ascii="宋体" w:hAnsi="宋体" w:eastAsia="宋体" w:cs="宋体"/>
          <w:color w:val="auto"/>
          <w:sz w:val="21"/>
          <w:szCs w:val="21"/>
          <w:highlight w:val="none"/>
        </w:rPr>
        <w:sectPr>
          <w:footerReference r:id="rId221" w:type="default"/>
          <w:pgSz w:w="11905" w:h="16839"/>
          <w:pgMar w:top="400" w:right="1785" w:bottom="1004" w:left="1785" w:header="0" w:footer="828" w:gutter="0"/>
          <w:pgNumType w:fmt="decimal"/>
          <w:cols w:space="720" w:num="1"/>
        </w:sectPr>
      </w:pPr>
    </w:p>
    <w:p w14:paraId="48170E29">
      <w:pPr>
        <w:pStyle w:val="3"/>
        <w:spacing w:line="256" w:lineRule="auto"/>
        <w:rPr>
          <w:color w:val="auto"/>
          <w:highlight w:val="none"/>
        </w:rPr>
      </w:pPr>
    </w:p>
    <w:p w14:paraId="6D33DB53">
      <w:pPr>
        <w:pStyle w:val="3"/>
        <w:spacing w:line="256" w:lineRule="auto"/>
        <w:rPr>
          <w:color w:val="auto"/>
          <w:highlight w:val="none"/>
        </w:rPr>
      </w:pPr>
    </w:p>
    <w:p w14:paraId="1EE7ED3C">
      <w:pPr>
        <w:pStyle w:val="3"/>
        <w:spacing w:line="256" w:lineRule="auto"/>
        <w:rPr>
          <w:color w:val="auto"/>
          <w:highlight w:val="none"/>
        </w:rPr>
      </w:pPr>
    </w:p>
    <w:p w14:paraId="11582678">
      <w:pPr>
        <w:pStyle w:val="3"/>
        <w:spacing w:line="256" w:lineRule="auto"/>
        <w:rPr>
          <w:color w:val="auto"/>
          <w:highlight w:val="none"/>
        </w:rPr>
      </w:pPr>
    </w:p>
    <w:p w14:paraId="66A326F0">
      <w:pPr>
        <w:spacing w:before="88" w:line="225" w:lineRule="auto"/>
        <w:ind w:left="3063"/>
        <w:rPr>
          <w:rFonts w:ascii="黑体" w:hAnsi="黑体" w:eastAsia="黑体" w:cs="黑体"/>
          <w:color w:val="auto"/>
          <w:sz w:val="27"/>
          <w:szCs w:val="27"/>
          <w:highlight w:val="none"/>
        </w:rPr>
      </w:pPr>
      <w:bookmarkStart w:id="1334" w:name="bookmark308"/>
      <w:bookmarkEnd w:id="1334"/>
      <w:bookmarkStart w:id="1335" w:name="bookmark307"/>
      <w:bookmarkEnd w:id="1335"/>
      <w:r>
        <w:rPr>
          <w:rFonts w:ascii="黑体" w:hAnsi="黑体" w:eastAsia="黑体" w:cs="黑体"/>
          <w:color w:val="auto"/>
          <w:spacing w:val="7"/>
          <w:sz w:val="27"/>
          <w:szCs w:val="27"/>
          <w:highlight w:val="none"/>
        </w:rPr>
        <w:t>五、拟分包计划表</w:t>
      </w:r>
    </w:p>
    <w:p w14:paraId="5D44ABE5">
      <w:pPr>
        <w:spacing w:before="165" w:line="221" w:lineRule="auto"/>
        <w:ind w:left="3549"/>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14:textOutline w14:w="3831" w14:cap="flat" w14:cmpd="sng">
            <w14:solidFill>
              <w14:srgbClr w14:val="000000"/>
            </w14:solidFill>
            <w14:prstDash w14:val="solid"/>
            <w14:miter w14:val="0"/>
          </w14:textOutline>
        </w:rPr>
        <w:t>（如有）</w:t>
      </w:r>
    </w:p>
    <w:p w14:paraId="0A465609">
      <w:pPr>
        <w:spacing w:before="216"/>
        <w:rPr>
          <w:color w:val="auto"/>
          <w:highlight w:val="none"/>
        </w:rPr>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7"/>
        <w:gridCol w:w="1703"/>
        <w:gridCol w:w="826"/>
        <w:gridCol w:w="921"/>
        <w:gridCol w:w="1099"/>
        <w:gridCol w:w="1060"/>
        <w:gridCol w:w="1166"/>
        <w:gridCol w:w="969"/>
      </w:tblGrid>
      <w:tr w14:paraId="08326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textDirection w:val="tbRlV"/>
            <w:vAlign w:val="top"/>
          </w:tcPr>
          <w:p w14:paraId="0CA4BDBE">
            <w:pPr>
              <w:pStyle w:val="11"/>
              <w:spacing w:before="172" w:line="211" w:lineRule="auto"/>
              <w:ind w:left="216"/>
              <w:rPr>
                <w:color w:val="auto"/>
                <w:highlight w:val="none"/>
              </w:rPr>
            </w:pPr>
            <w:r>
              <w:rPr>
                <w:color w:val="auto"/>
                <w:spacing w:val="1"/>
                <w:highlight w:val="none"/>
              </w:rPr>
              <w:t>序</w:t>
            </w:r>
            <w:r>
              <w:rPr>
                <w:color w:val="auto"/>
                <w:spacing w:val="-43"/>
                <w:highlight w:val="none"/>
              </w:rPr>
              <w:t xml:space="preserve"> </w:t>
            </w:r>
            <w:r>
              <w:rPr>
                <w:color w:val="auto"/>
                <w:spacing w:val="1"/>
                <w:highlight w:val="none"/>
              </w:rPr>
              <w:t>号</w:t>
            </w:r>
          </w:p>
        </w:tc>
        <w:tc>
          <w:tcPr>
            <w:tcW w:w="1703" w:type="dxa"/>
            <w:vMerge w:val="restart"/>
            <w:tcBorders>
              <w:bottom w:val="nil"/>
            </w:tcBorders>
            <w:vAlign w:val="top"/>
          </w:tcPr>
          <w:p w14:paraId="1019B586">
            <w:pPr>
              <w:pStyle w:val="11"/>
              <w:spacing w:before="216" w:line="231" w:lineRule="auto"/>
              <w:ind w:left="117" w:right="114" w:firstLine="106"/>
              <w:rPr>
                <w:color w:val="auto"/>
                <w:highlight w:val="none"/>
              </w:rPr>
            </w:pPr>
            <w:r>
              <w:rPr>
                <w:color w:val="auto"/>
                <w:spacing w:val="-1"/>
                <w:highlight w:val="none"/>
              </w:rPr>
              <w:t>拟分包项目名</w:t>
            </w:r>
            <w:r>
              <w:rPr>
                <w:color w:val="auto"/>
                <w:highlight w:val="none"/>
              </w:rPr>
              <w:t xml:space="preserve">  </w:t>
            </w:r>
            <w:r>
              <w:rPr>
                <w:color w:val="auto"/>
                <w:spacing w:val="-1"/>
                <w:highlight w:val="none"/>
              </w:rPr>
              <w:t>称、范围及理由</w:t>
            </w:r>
          </w:p>
        </w:tc>
        <w:tc>
          <w:tcPr>
            <w:tcW w:w="5072" w:type="dxa"/>
            <w:gridSpan w:val="5"/>
            <w:vAlign w:val="top"/>
          </w:tcPr>
          <w:p w14:paraId="5AEC87E2">
            <w:pPr>
              <w:pStyle w:val="11"/>
              <w:spacing w:before="120" w:line="220" w:lineRule="auto"/>
              <w:ind w:left="2016"/>
              <w:rPr>
                <w:color w:val="auto"/>
                <w:highlight w:val="none"/>
              </w:rPr>
            </w:pPr>
            <w:r>
              <w:rPr>
                <w:color w:val="auto"/>
                <w:spacing w:val="-1"/>
                <w:highlight w:val="none"/>
              </w:rPr>
              <w:t>拟选分包人</w:t>
            </w:r>
          </w:p>
        </w:tc>
        <w:tc>
          <w:tcPr>
            <w:tcW w:w="969" w:type="dxa"/>
            <w:vMerge w:val="restart"/>
            <w:tcBorders>
              <w:bottom w:val="nil"/>
            </w:tcBorders>
            <w:vAlign w:val="top"/>
          </w:tcPr>
          <w:p w14:paraId="03267634">
            <w:pPr>
              <w:spacing w:line="285" w:lineRule="auto"/>
              <w:rPr>
                <w:rFonts w:ascii="Arial"/>
                <w:color w:val="auto"/>
                <w:sz w:val="21"/>
                <w:highlight w:val="none"/>
              </w:rPr>
            </w:pPr>
          </w:p>
          <w:p w14:paraId="345CE6CC">
            <w:pPr>
              <w:pStyle w:val="11"/>
              <w:spacing w:before="69" w:line="222" w:lineRule="auto"/>
              <w:ind w:left="284"/>
              <w:rPr>
                <w:color w:val="auto"/>
                <w:highlight w:val="none"/>
              </w:rPr>
            </w:pPr>
            <w:r>
              <w:rPr>
                <w:color w:val="auto"/>
                <w:spacing w:val="-3"/>
                <w:highlight w:val="none"/>
              </w:rPr>
              <w:t>备注</w:t>
            </w:r>
          </w:p>
        </w:tc>
      </w:tr>
      <w:tr w14:paraId="2B394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continue"/>
            <w:tcBorders>
              <w:top w:val="nil"/>
            </w:tcBorders>
            <w:textDirection w:val="tbRlV"/>
            <w:vAlign w:val="top"/>
          </w:tcPr>
          <w:p w14:paraId="23B4025F">
            <w:pPr>
              <w:rPr>
                <w:rFonts w:ascii="Arial"/>
                <w:color w:val="auto"/>
                <w:sz w:val="21"/>
                <w:highlight w:val="none"/>
              </w:rPr>
            </w:pPr>
          </w:p>
        </w:tc>
        <w:tc>
          <w:tcPr>
            <w:tcW w:w="1703" w:type="dxa"/>
            <w:vMerge w:val="continue"/>
            <w:tcBorders>
              <w:top w:val="nil"/>
            </w:tcBorders>
            <w:vAlign w:val="top"/>
          </w:tcPr>
          <w:p w14:paraId="5D5A8D3C">
            <w:pPr>
              <w:rPr>
                <w:rFonts w:ascii="Arial"/>
                <w:color w:val="auto"/>
                <w:sz w:val="21"/>
                <w:highlight w:val="none"/>
              </w:rPr>
            </w:pPr>
          </w:p>
        </w:tc>
        <w:tc>
          <w:tcPr>
            <w:tcW w:w="1747" w:type="dxa"/>
            <w:gridSpan w:val="2"/>
            <w:vAlign w:val="top"/>
          </w:tcPr>
          <w:p w14:paraId="00C93911">
            <w:pPr>
              <w:pStyle w:val="11"/>
              <w:spacing w:before="121" w:line="220" w:lineRule="auto"/>
              <w:ind w:left="143"/>
              <w:rPr>
                <w:color w:val="auto"/>
                <w:highlight w:val="none"/>
              </w:rPr>
            </w:pPr>
            <w:r>
              <w:rPr>
                <w:color w:val="auto"/>
                <w:spacing w:val="-1"/>
                <w:highlight w:val="none"/>
              </w:rPr>
              <w:t>拟选分包人名称</w:t>
            </w:r>
          </w:p>
        </w:tc>
        <w:tc>
          <w:tcPr>
            <w:tcW w:w="1099" w:type="dxa"/>
            <w:vAlign w:val="top"/>
          </w:tcPr>
          <w:p w14:paraId="7B65C9D3">
            <w:pPr>
              <w:pStyle w:val="11"/>
              <w:spacing w:before="121" w:line="222" w:lineRule="auto"/>
              <w:ind w:left="135"/>
              <w:rPr>
                <w:color w:val="auto"/>
                <w:highlight w:val="none"/>
              </w:rPr>
            </w:pPr>
            <w:r>
              <w:rPr>
                <w:color w:val="auto"/>
                <w:spacing w:val="-1"/>
                <w:highlight w:val="none"/>
              </w:rPr>
              <w:t>注册地点</w:t>
            </w:r>
          </w:p>
        </w:tc>
        <w:tc>
          <w:tcPr>
            <w:tcW w:w="1060" w:type="dxa"/>
            <w:vAlign w:val="top"/>
          </w:tcPr>
          <w:p w14:paraId="68DC0CC7">
            <w:pPr>
              <w:pStyle w:val="11"/>
              <w:spacing w:before="121" w:line="221" w:lineRule="auto"/>
              <w:ind w:left="124"/>
              <w:rPr>
                <w:color w:val="auto"/>
                <w:highlight w:val="none"/>
              </w:rPr>
            </w:pPr>
            <w:r>
              <w:rPr>
                <w:color w:val="auto"/>
                <w:spacing w:val="-2"/>
                <w:highlight w:val="none"/>
              </w:rPr>
              <w:t>企业资质</w:t>
            </w:r>
          </w:p>
        </w:tc>
        <w:tc>
          <w:tcPr>
            <w:tcW w:w="1166" w:type="dxa"/>
            <w:vAlign w:val="top"/>
          </w:tcPr>
          <w:p w14:paraId="6ED9F9A7">
            <w:pPr>
              <w:pStyle w:val="11"/>
              <w:spacing w:before="121" w:line="221" w:lineRule="auto"/>
              <w:ind w:left="171"/>
              <w:rPr>
                <w:color w:val="auto"/>
                <w:highlight w:val="none"/>
              </w:rPr>
            </w:pPr>
            <w:r>
              <w:rPr>
                <w:color w:val="auto"/>
                <w:spacing w:val="-1"/>
                <w:highlight w:val="none"/>
              </w:rPr>
              <w:t>有关业绩</w:t>
            </w:r>
          </w:p>
        </w:tc>
        <w:tc>
          <w:tcPr>
            <w:tcW w:w="969" w:type="dxa"/>
            <w:vMerge w:val="continue"/>
            <w:tcBorders>
              <w:top w:val="nil"/>
            </w:tcBorders>
            <w:vAlign w:val="top"/>
          </w:tcPr>
          <w:p w14:paraId="12F06A1C">
            <w:pPr>
              <w:rPr>
                <w:rFonts w:ascii="Arial"/>
                <w:color w:val="auto"/>
                <w:sz w:val="21"/>
                <w:highlight w:val="none"/>
              </w:rPr>
            </w:pPr>
          </w:p>
        </w:tc>
      </w:tr>
      <w:tr w14:paraId="3C74A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vAlign w:val="top"/>
          </w:tcPr>
          <w:p w14:paraId="1AC5F826">
            <w:pPr>
              <w:rPr>
                <w:rFonts w:ascii="Arial"/>
                <w:color w:val="auto"/>
                <w:sz w:val="21"/>
                <w:highlight w:val="none"/>
              </w:rPr>
            </w:pPr>
          </w:p>
        </w:tc>
        <w:tc>
          <w:tcPr>
            <w:tcW w:w="1703" w:type="dxa"/>
            <w:vMerge w:val="restart"/>
            <w:tcBorders>
              <w:bottom w:val="nil"/>
            </w:tcBorders>
            <w:vAlign w:val="top"/>
          </w:tcPr>
          <w:p w14:paraId="1D3FD9CE">
            <w:pPr>
              <w:rPr>
                <w:rFonts w:ascii="Arial"/>
                <w:color w:val="auto"/>
                <w:sz w:val="21"/>
                <w:highlight w:val="none"/>
              </w:rPr>
            </w:pPr>
          </w:p>
        </w:tc>
        <w:tc>
          <w:tcPr>
            <w:tcW w:w="826" w:type="dxa"/>
            <w:vAlign w:val="top"/>
          </w:tcPr>
          <w:p w14:paraId="5035A8A2">
            <w:pPr>
              <w:spacing w:before="156" w:line="183" w:lineRule="auto"/>
              <w:ind w:left="375"/>
              <w:rPr>
                <w:rFonts w:ascii="黑体" w:hAnsi="黑体" w:eastAsia="黑体" w:cs="黑体"/>
                <w:color w:val="auto"/>
                <w:sz w:val="21"/>
                <w:szCs w:val="21"/>
                <w:highlight w:val="none"/>
              </w:rPr>
            </w:pPr>
            <w:r>
              <w:rPr>
                <w:rFonts w:ascii="黑体" w:hAnsi="黑体" w:eastAsia="黑体" w:cs="黑体"/>
                <w:color w:val="auto"/>
                <w:sz w:val="21"/>
                <w:szCs w:val="21"/>
                <w:highlight w:val="none"/>
              </w:rPr>
              <w:t>1</w:t>
            </w:r>
          </w:p>
        </w:tc>
        <w:tc>
          <w:tcPr>
            <w:tcW w:w="921" w:type="dxa"/>
            <w:vAlign w:val="top"/>
          </w:tcPr>
          <w:p w14:paraId="39013BF0">
            <w:pPr>
              <w:rPr>
                <w:rFonts w:ascii="Arial"/>
                <w:color w:val="auto"/>
                <w:sz w:val="21"/>
                <w:highlight w:val="none"/>
              </w:rPr>
            </w:pPr>
          </w:p>
        </w:tc>
        <w:tc>
          <w:tcPr>
            <w:tcW w:w="1099" w:type="dxa"/>
            <w:vAlign w:val="top"/>
          </w:tcPr>
          <w:p w14:paraId="56205C65">
            <w:pPr>
              <w:rPr>
                <w:rFonts w:ascii="Arial"/>
                <w:color w:val="auto"/>
                <w:sz w:val="21"/>
                <w:highlight w:val="none"/>
              </w:rPr>
            </w:pPr>
          </w:p>
        </w:tc>
        <w:tc>
          <w:tcPr>
            <w:tcW w:w="1060" w:type="dxa"/>
            <w:vAlign w:val="top"/>
          </w:tcPr>
          <w:p w14:paraId="3343294B">
            <w:pPr>
              <w:rPr>
                <w:rFonts w:ascii="Arial"/>
                <w:color w:val="auto"/>
                <w:sz w:val="21"/>
                <w:highlight w:val="none"/>
              </w:rPr>
            </w:pPr>
          </w:p>
        </w:tc>
        <w:tc>
          <w:tcPr>
            <w:tcW w:w="1166" w:type="dxa"/>
            <w:vAlign w:val="top"/>
          </w:tcPr>
          <w:p w14:paraId="6649F0C7">
            <w:pPr>
              <w:rPr>
                <w:rFonts w:ascii="Arial"/>
                <w:color w:val="auto"/>
                <w:sz w:val="21"/>
                <w:highlight w:val="none"/>
              </w:rPr>
            </w:pPr>
          </w:p>
        </w:tc>
        <w:tc>
          <w:tcPr>
            <w:tcW w:w="969" w:type="dxa"/>
            <w:vAlign w:val="top"/>
          </w:tcPr>
          <w:p w14:paraId="0345B61F">
            <w:pPr>
              <w:rPr>
                <w:rFonts w:ascii="Arial"/>
                <w:color w:val="auto"/>
                <w:sz w:val="21"/>
                <w:highlight w:val="none"/>
              </w:rPr>
            </w:pPr>
          </w:p>
        </w:tc>
      </w:tr>
      <w:tr w14:paraId="66BB5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7" w:type="dxa"/>
            <w:vMerge w:val="continue"/>
            <w:tcBorders>
              <w:top w:val="nil"/>
              <w:bottom w:val="nil"/>
            </w:tcBorders>
            <w:vAlign w:val="top"/>
          </w:tcPr>
          <w:p w14:paraId="71E43D21">
            <w:pPr>
              <w:rPr>
                <w:rFonts w:ascii="Arial"/>
                <w:color w:val="auto"/>
                <w:sz w:val="21"/>
                <w:highlight w:val="none"/>
              </w:rPr>
            </w:pPr>
          </w:p>
        </w:tc>
        <w:tc>
          <w:tcPr>
            <w:tcW w:w="1703" w:type="dxa"/>
            <w:vMerge w:val="continue"/>
            <w:tcBorders>
              <w:top w:val="nil"/>
              <w:bottom w:val="nil"/>
            </w:tcBorders>
            <w:vAlign w:val="top"/>
          </w:tcPr>
          <w:p w14:paraId="681D75DB">
            <w:pPr>
              <w:rPr>
                <w:rFonts w:ascii="Arial"/>
                <w:color w:val="auto"/>
                <w:sz w:val="21"/>
                <w:highlight w:val="none"/>
              </w:rPr>
            </w:pPr>
          </w:p>
        </w:tc>
        <w:tc>
          <w:tcPr>
            <w:tcW w:w="826" w:type="dxa"/>
            <w:vAlign w:val="top"/>
          </w:tcPr>
          <w:p w14:paraId="02C9EE64">
            <w:pPr>
              <w:spacing w:before="151" w:line="184" w:lineRule="auto"/>
              <w:ind w:left="363"/>
              <w:rPr>
                <w:rFonts w:ascii="黑体" w:hAnsi="黑体" w:eastAsia="黑体" w:cs="黑体"/>
                <w:color w:val="auto"/>
                <w:sz w:val="21"/>
                <w:szCs w:val="21"/>
                <w:highlight w:val="none"/>
              </w:rPr>
            </w:pPr>
            <w:r>
              <w:rPr>
                <w:rFonts w:ascii="黑体" w:hAnsi="黑体" w:eastAsia="黑体" w:cs="黑体"/>
                <w:color w:val="auto"/>
                <w:sz w:val="21"/>
                <w:szCs w:val="21"/>
                <w:highlight w:val="none"/>
              </w:rPr>
              <w:t>2</w:t>
            </w:r>
          </w:p>
        </w:tc>
        <w:tc>
          <w:tcPr>
            <w:tcW w:w="921" w:type="dxa"/>
            <w:vAlign w:val="top"/>
          </w:tcPr>
          <w:p w14:paraId="7CF1C752">
            <w:pPr>
              <w:rPr>
                <w:rFonts w:ascii="Arial"/>
                <w:color w:val="auto"/>
                <w:sz w:val="21"/>
                <w:highlight w:val="none"/>
              </w:rPr>
            </w:pPr>
          </w:p>
        </w:tc>
        <w:tc>
          <w:tcPr>
            <w:tcW w:w="1099" w:type="dxa"/>
            <w:vAlign w:val="top"/>
          </w:tcPr>
          <w:p w14:paraId="1FA091A7">
            <w:pPr>
              <w:rPr>
                <w:rFonts w:ascii="Arial"/>
                <w:color w:val="auto"/>
                <w:sz w:val="21"/>
                <w:highlight w:val="none"/>
              </w:rPr>
            </w:pPr>
          </w:p>
        </w:tc>
        <w:tc>
          <w:tcPr>
            <w:tcW w:w="1060" w:type="dxa"/>
            <w:vAlign w:val="top"/>
          </w:tcPr>
          <w:p w14:paraId="74884E34">
            <w:pPr>
              <w:rPr>
                <w:rFonts w:ascii="Arial"/>
                <w:color w:val="auto"/>
                <w:sz w:val="21"/>
                <w:highlight w:val="none"/>
              </w:rPr>
            </w:pPr>
          </w:p>
        </w:tc>
        <w:tc>
          <w:tcPr>
            <w:tcW w:w="1166" w:type="dxa"/>
            <w:vAlign w:val="top"/>
          </w:tcPr>
          <w:p w14:paraId="55CB4F56">
            <w:pPr>
              <w:rPr>
                <w:rFonts w:ascii="Arial"/>
                <w:color w:val="auto"/>
                <w:sz w:val="21"/>
                <w:highlight w:val="none"/>
              </w:rPr>
            </w:pPr>
          </w:p>
        </w:tc>
        <w:tc>
          <w:tcPr>
            <w:tcW w:w="969" w:type="dxa"/>
            <w:vAlign w:val="top"/>
          </w:tcPr>
          <w:p w14:paraId="262D6F10">
            <w:pPr>
              <w:rPr>
                <w:rFonts w:ascii="Arial"/>
                <w:color w:val="auto"/>
                <w:sz w:val="21"/>
                <w:highlight w:val="none"/>
              </w:rPr>
            </w:pPr>
          </w:p>
        </w:tc>
      </w:tr>
      <w:tr w14:paraId="57585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0" w:hRule="atLeast"/>
        </w:trPr>
        <w:tc>
          <w:tcPr>
            <w:tcW w:w="567" w:type="dxa"/>
            <w:vMerge w:val="continue"/>
            <w:tcBorders>
              <w:top w:val="nil"/>
            </w:tcBorders>
            <w:vAlign w:val="top"/>
          </w:tcPr>
          <w:p w14:paraId="3BF2E27C">
            <w:pPr>
              <w:rPr>
                <w:rFonts w:ascii="Arial"/>
                <w:color w:val="auto"/>
                <w:sz w:val="21"/>
                <w:highlight w:val="none"/>
              </w:rPr>
            </w:pPr>
          </w:p>
        </w:tc>
        <w:tc>
          <w:tcPr>
            <w:tcW w:w="1703" w:type="dxa"/>
            <w:vMerge w:val="continue"/>
            <w:tcBorders>
              <w:top w:val="nil"/>
            </w:tcBorders>
            <w:vAlign w:val="top"/>
          </w:tcPr>
          <w:p w14:paraId="525D2D75">
            <w:pPr>
              <w:rPr>
                <w:rFonts w:ascii="Arial"/>
                <w:color w:val="auto"/>
                <w:sz w:val="21"/>
                <w:highlight w:val="none"/>
              </w:rPr>
            </w:pPr>
          </w:p>
        </w:tc>
        <w:tc>
          <w:tcPr>
            <w:tcW w:w="826" w:type="dxa"/>
            <w:vAlign w:val="top"/>
          </w:tcPr>
          <w:p w14:paraId="4BFEA7DC">
            <w:pPr>
              <w:spacing w:before="155" w:line="184" w:lineRule="auto"/>
              <w:ind w:left="365"/>
              <w:rPr>
                <w:rFonts w:ascii="黑体" w:hAnsi="黑体" w:eastAsia="黑体" w:cs="黑体"/>
                <w:color w:val="auto"/>
                <w:sz w:val="21"/>
                <w:szCs w:val="21"/>
                <w:highlight w:val="none"/>
              </w:rPr>
            </w:pPr>
            <w:r>
              <w:rPr>
                <w:rFonts w:ascii="黑体" w:hAnsi="黑体" w:eastAsia="黑体" w:cs="黑体"/>
                <w:color w:val="auto"/>
                <w:sz w:val="21"/>
                <w:szCs w:val="21"/>
                <w:highlight w:val="none"/>
              </w:rPr>
              <w:t>3</w:t>
            </w:r>
          </w:p>
        </w:tc>
        <w:tc>
          <w:tcPr>
            <w:tcW w:w="921" w:type="dxa"/>
            <w:vAlign w:val="top"/>
          </w:tcPr>
          <w:p w14:paraId="41419F29">
            <w:pPr>
              <w:rPr>
                <w:rFonts w:ascii="Arial"/>
                <w:color w:val="auto"/>
                <w:sz w:val="21"/>
                <w:highlight w:val="none"/>
              </w:rPr>
            </w:pPr>
          </w:p>
        </w:tc>
        <w:tc>
          <w:tcPr>
            <w:tcW w:w="1099" w:type="dxa"/>
            <w:vAlign w:val="top"/>
          </w:tcPr>
          <w:p w14:paraId="7F47108E">
            <w:pPr>
              <w:rPr>
                <w:rFonts w:ascii="Arial"/>
                <w:color w:val="auto"/>
                <w:sz w:val="21"/>
                <w:highlight w:val="none"/>
              </w:rPr>
            </w:pPr>
          </w:p>
        </w:tc>
        <w:tc>
          <w:tcPr>
            <w:tcW w:w="1060" w:type="dxa"/>
            <w:vAlign w:val="top"/>
          </w:tcPr>
          <w:p w14:paraId="2D951D6B">
            <w:pPr>
              <w:rPr>
                <w:rFonts w:ascii="Arial"/>
                <w:color w:val="auto"/>
                <w:sz w:val="21"/>
                <w:highlight w:val="none"/>
              </w:rPr>
            </w:pPr>
          </w:p>
        </w:tc>
        <w:tc>
          <w:tcPr>
            <w:tcW w:w="1166" w:type="dxa"/>
            <w:vAlign w:val="top"/>
          </w:tcPr>
          <w:p w14:paraId="1B5901B0">
            <w:pPr>
              <w:rPr>
                <w:rFonts w:ascii="Arial"/>
                <w:color w:val="auto"/>
                <w:sz w:val="21"/>
                <w:highlight w:val="none"/>
              </w:rPr>
            </w:pPr>
          </w:p>
        </w:tc>
        <w:tc>
          <w:tcPr>
            <w:tcW w:w="969" w:type="dxa"/>
            <w:vAlign w:val="top"/>
          </w:tcPr>
          <w:p w14:paraId="6555C0BC">
            <w:pPr>
              <w:rPr>
                <w:rFonts w:ascii="Arial"/>
                <w:color w:val="auto"/>
                <w:sz w:val="21"/>
                <w:highlight w:val="none"/>
              </w:rPr>
            </w:pPr>
          </w:p>
        </w:tc>
      </w:tr>
      <w:tr w14:paraId="00672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vAlign w:val="top"/>
          </w:tcPr>
          <w:p w14:paraId="31F5E4AA">
            <w:pPr>
              <w:rPr>
                <w:rFonts w:ascii="Arial"/>
                <w:color w:val="auto"/>
                <w:sz w:val="21"/>
                <w:highlight w:val="none"/>
              </w:rPr>
            </w:pPr>
          </w:p>
        </w:tc>
        <w:tc>
          <w:tcPr>
            <w:tcW w:w="1703" w:type="dxa"/>
            <w:vMerge w:val="restart"/>
            <w:tcBorders>
              <w:bottom w:val="nil"/>
            </w:tcBorders>
            <w:vAlign w:val="top"/>
          </w:tcPr>
          <w:p w14:paraId="1AA289E6">
            <w:pPr>
              <w:rPr>
                <w:rFonts w:ascii="Arial"/>
                <w:color w:val="auto"/>
                <w:sz w:val="21"/>
                <w:highlight w:val="none"/>
              </w:rPr>
            </w:pPr>
          </w:p>
        </w:tc>
        <w:tc>
          <w:tcPr>
            <w:tcW w:w="826" w:type="dxa"/>
            <w:vAlign w:val="top"/>
          </w:tcPr>
          <w:p w14:paraId="433AB3B0">
            <w:pPr>
              <w:spacing w:before="157" w:line="183" w:lineRule="auto"/>
              <w:ind w:left="375"/>
              <w:rPr>
                <w:rFonts w:ascii="黑体" w:hAnsi="黑体" w:eastAsia="黑体" w:cs="黑体"/>
                <w:color w:val="auto"/>
                <w:sz w:val="21"/>
                <w:szCs w:val="21"/>
                <w:highlight w:val="none"/>
              </w:rPr>
            </w:pPr>
            <w:r>
              <w:rPr>
                <w:rFonts w:ascii="黑体" w:hAnsi="黑体" w:eastAsia="黑体" w:cs="黑体"/>
                <w:color w:val="auto"/>
                <w:sz w:val="21"/>
                <w:szCs w:val="21"/>
                <w:highlight w:val="none"/>
              </w:rPr>
              <w:t>1</w:t>
            </w:r>
          </w:p>
        </w:tc>
        <w:tc>
          <w:tcPr>
            <w:tcW w:w="921" w:type="dxa"/>
            <w:vAlign w:val="top"/>
          </w:tcPr>
          <w:p w14:paraId="7BE0CEA0">
            <w:pPr>
              <w:rPr>
                <w:rFonts w:ascii="Arial"/>
                <w:color w:val="auto"/>
                <w:sz w:val="21"/>
                <w:highlight w:val="none"/>
              </w:rPr>
            </w:pPr>
          </w:p>
        </w:tc>
        <w:tc>
          <w:tcPr>
            <w:tcW w:w="1099" w:type="dxa"/>
            <w:vAlign w:val="top"/>
          </w:tcPr>
          <w:p w14:paraId="15E31FD4">
            <w:pPr>
              <w:rPr>
                <w:rFonts w:ascii="Arial"/>
                <w:color w:val="auto"/>
                <w:sz w:val="21"/>
                <w:highlight w:val="none"/>
              </w:rPr>
            </w:pPr>
          </w:p>
        </w:tc>
        <w:tc>
          <w:tcPr>
            <w:tcW w:w="1060" w:type="dxa"/>
            <w:vAlign w:val="top"/>
          </w:tcPr>
          <w:p w14:paraId="584DDD4A">
            <w:pPr>
              <w:rPr>
                <w:rFonts w:ascii="Arial"/>
                <w:color w:val="auto"/>
                <w:sz w:val="21"/>
                <w:highlight w:val="none"/>
              </w:rPr>
            </w:pPr>
          </w:p>
        </w:tc>
        <w:tc>
          <w:tcPr>
            <w:tcW w:w="1166" w:type="dxa"/>
            <w:vAlign w:val="top"/>
          </w:tcPr>
          <w:p w14:paraId="4173ECA6">
            <w:pPr>
              <w:rPr>
                <w:rFonts w:ascii="Arial"/>
                <w:color w:val="auto"/>
                <w:sz w:val="21"/>
                <w:highlight w:val="none"/>
              </w:rPr>
            </w:pPr>
          </w:p>
        </w:tc>
        <w:tc>
          <w:tcPr>
            <w:tcW w:w="969" w:type="dxa"/>
            <w:vAlign w:val="top"/>
          </w:tcPr>
          <w:p w14:paraId="724B4C6D">
            <w:pPr>
              <w:rPr>
                <w:rFonts w:ascii="Arial"/>
                <w:color w:val="auto"/>
                <w:sz w:val="21"/>
                <w:highlight w:val="none"/>
              </w:rPr>
            </w:pPr>
          </w:p>
        </w:tc>
      </w:tr>
      <w:tr w14:paraId="0974B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7" w:type="dxa"/>
            <w:vMerge w:val="continue"/>
            <w:tcBorders>
              <w:top w:val="nil"/>
              <w:bottom w:val="nil"/>
            </w:tcBorders>
            <w:vAlign w:val="top"/>
          </w:tcPr>
          <w:p w14:paraId="54526DB6">
            <w:pPr>
              <w:rPr>
                <w:rFonts w:ascii="Arial"/>
                <w:color w:val="auto"/>
                <w:sz w:val="21"/>
                <w:highlight w:val="none"/>
              </w:rPr>
            </w:pPr>
          </w:p>
        </w:tc>
        <w:tc>
          <w:tcPr>
            <w:tcW w:w="1703" w:type="dxa"/>
            <w:vMerge w:val="continue"/>
            <w:tcBorders>
              <w:top w:val="nil"/>
              <w:bottom w:val="nil"/>
            </w:tcBorders>
            <w:vAlign w:val="top"/>
          </w:tcPr>
          <w:p w14:paraId="40FD7024">
            <w:pPr>
              <w:rPr>
                <w:rFonts w:ascii="Arial"/>
                <w:color w:val="auto"/>
                <w:sz w:val="21"/>
                <w:highlight w:val="none"/>
              </w:rPr>
            </w:pPr>
          </w:p>
        </w:tc>
        <w:tc>
          <w:tcPr>
            <w:tcW w:w="826" w:type="dxa"/>
            <w:vAlign w:val="top"/>
          </w:tcPr>
          <w:p w14:paraId="68A0C40C">
            <w:pPr>
              <w:spacing w:before="152" w:line="184" w:lineRule="auto"/>
              <w:ind w:left="363"/>
              <w:rPr>
                <w:rFonts w:ascii="黑体" w:hAnsi="黑体" w:eastAsia="黑体" w:cs="黑体"/>
                <w:color w:val="auto"/>
                <w:sz w:val="21"/>
                <w:szCs w:val="21"/>
                <w:highlight w:val="none"/>
              </w:rPr>
            </w:pPr>
            <w:r>
              <w:rPr>
                <w:rFonts w:ascii="黑体" w:hAnsi="黑体" w:eastAsia="黑体" w:cs="黑体"/>
                <w:color w:val="auto"/>
                <w:sz w:val="21"/>
                <w:szCs w:val="21"/>
                <w:highlight w:val="none"/>
              </w:rPr>
              <w:t>2</w:t>
            </w:r>
          </w:p>
        </w:tc>
        <w:tc>
          <w:tcPr>
            <w:tcW w:w="921" w:type="dxa"/>
            <w:vAlign w:val="top"/>
          </w:tcPr>
          <w:p w14:paraId="40E7C137">
            <w:pPr>
              <w:rPr>
                <w:rFonts w:ascii="Arial"/>
                <w:color w:val="auto"/>
                <w:sz w:val="21"/>
                <w:highlight w:val="none"/>
              </w:rPr>
            </w:pPr>
          </w:p>
        </w:tc>
        <w:tc>
          <w:tcPr>
            <w:tcW w:w="1099" w:type="dxa"/>
            <w:vAlign w:val="top"/>
          </w:tcPr>
          <w:p w14:paraId="45E7094C">
            <w:pPr>
              <w:rPr>
                <w:rFonts w:ascii="Arial"/>
                <w:color w:val="auto"/>
                <w:sz w:val="21"/>
                <w:highlight w:val="none"/>
              </w:rPr>
            </w:pPr>
          </w:p>
        </w:tc>
        <w:tc>
          <w:tcPr>
            <w:tcW w:w="1060" w:type="dxa"/>
            <w:vAlign w:val="top"/>
          </w:tcPr>
          <w:p w14:paraId="71CB3232">
            <w:pPr>
              <w:rPr>
                <w:rFonts w:ascii="Arial"/>
                <w:color w:val="auto"/>
                <w:sz w:val="21"/>
                <w:highlight w:val="none"/>
              </w:rPr>
            </w:pPr>
          </w:p>
        </w:tc>
        <w:tc>
          <w:tcPr>
            <w:tcW w:w="1166" w:type="dxa"/>
            <w:vAlign w:val="top"/>
          </w:tcPr>
          <w:p w14:paraId="74A4E0B9">
            <w:pPr>
              <w:rPr>
                <w:rFonts w:ascii="Arial"/>
                <w:color w:val="auto"/>
                <w:sz w:val="21"/>
                <w:highlight w:val="none"/>
              </w:rPr>
            </w:pPr>
          </w:p>
        </w:tc>
        <w:tc>
          <w:tcPr>
            <w:tcW w:w="969" w:type="dxa"/>
            <w:vAlign w:val="top"/>
          </w:tcPr>
          <w:p w14:paraId="5CF9DE2F">
            <w:pPr>
              <w:rPr>
                <w:rFonts w:ascii="Arial"/>
                <w:color w:val="auto"/>
                <w:sz w:val="21"/>
                <w:highlight w:val="none"/>
              </w:rPr>
            </w:pPr>
          </w:p>
        </w:tc>
      </w:tr>
      <w:tr w14:paraId="61902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1" w:hRule="atLeast"/>
        </w:trPr>
        <w:tc>
          <w:tcPr>
            <w:tcW w:w="567" w:type="dxa"/>
            <w:vMerge w:val="continue"/>
            <w:tcBorders>
              <w:top w:val="nil"/>
            </w:tcBorders>
            <w:vAlign w:val="top"/>
          </w:tcPr>
          <w:p w14:paraId="111195F3">
            <w:pPr>
              <w:rPr>
                <w:rFonts w:ascii="Arial"/>
                <w:color w:val="auto"/>
                <w:sz w:val="21"/>
                <w:highlight w:val="none"/>
              </w:rPr>
            </w:pPr>
          </w:p>
        </w:tc>
        <w:tc>
          <w:tcPr>
            <w:tcW w:w="1703" w:type="dxa"/>
            <w:vMerge w:val="continue"/>
            <w:tcBorders>
              <w:top w:val="nil"/>
            </w:tcBorders>
            <w:vAlign w:val="top"/>
          </w:tcPr>
          <w:p w14:paraId="6951D8F3">
            <w:pPr>
              <w:rPr>
                <w:rFonts w:ascii="Arial"/>
                <w:color w:val="auto"/>
                <w:sz w:val="21"/>
                <w:highlight w:val="none"/>
              </w:rPr>
            </w:pPr>
          </w:p>
        </w:tc>
        <w:tc>
          <w:tcPr>
            <w:tcW w:w="826" w:type="dxa"/>
            <w:vAlign w:val="top"/>
          </w:tcPr>
          <w:p w14:paraId="20EB88D5">
            <w:pPr>
              <w:spacing w:before="157" w:line="184" w:lineRule="auto"/>
              <w:ind w:left="365"/>
              <w:rPr>
                <w:rFonts w:ascii="黑体" w:hAnsi="黑体" w:eastAsia="黑体" w:cs="黑体"/>
                <w:color w:val="auto"/>
                <w:sz w:val="21"/>
                <w:szCs w:val="21"/>
                <w:highlight w:val="none"/>
              </w:rPr>
            </w:pPr>
            <w:r>
              <w:rPr>
                <w:rFonts w:ascii="黑体" w:hAnsi="黑体" w:eastAsia="黑体" w:cs="黑体"/>
                <w:color w:val="auto"/>
                <w:sz w:val="21"/>
                <w:szCs w:val="21"/>
                <w:highlight w:val="none"/>
              </w:rPr>
              <w:t>3</w:t>
            </w:r>
          </w:p>
        </w:tc>
        <w:tc>
          <w:tcPr>
            <w:tcW w:w="921" w:type="dxa"/>
            <w:vAlign w:val="top"/>
          </w:tcPr>
          <w:p w14:paraId="4BCAAA7A">
            <w:pPr>
              <w:rPr>
                <w:rFonts w:ascii="Arial"/>
                <w:color w:val="auto"/>
                <w:sz w:val="21"/>
                <w:highlight w:val="none"/>
              </w:rPr>
            </w:pPr>
          </w:p>
        </w:tc>
        <w:tc>
          <w:tcPr>
            <w:tcW w:w="1099" w:type="dxa"/>
            <w:vAlign w:val="top"/>
          </w:tcPr>
          <w:p w14:paraId="1B96A33D">
            <w:pPr>
              <w:rPr>
                <w:rFonts w:ascii="Arial"/>
                <w:color w:val="auto"/>
                <w:sz w:val="21"/>
                <w:highlight w:val="none"/>
              </w:rPr>
            </w:pPr>
          </w:p>
        </w:tc>
        <w:tc>
          <w:tcPr>
            <w:tcW w:w="1060" w:type="dxa"/>
            <w:vAlign w:val="top"/>
          </w:tcPr>
          <w:p w14:paraId="321465F9">
            <w:pPr>
              <w:rPr>
                <w:rFonts w:ascii="Arial"/>
                <w:color w:val="auto"/>
                <w:sz w:val="21"/>
                <w:highlight w:val="none"/>
              </w:rPr>
            </w:pPr>
          </w:p>
        </w:tc>
        <w:tc>
          <w:tcPr>
            <w:tcW w:w="1166" w:type="dxa"/>
            <w:vAlign w:val="top"/>
          </w:tcPr>
          <w:p w14:paraId="33B7DFCB">
            <w:pPr>
              <w:rPr>
                <w:rFonts w:ascii="Arial"/>
                <w:color w:val="auto"/>
                <w:sz w:val="21"/>
                <w:highlight w:val="none"/>
              </w:rPr>
            </w:pPr>
          </w:p>
        </w:tc>
        <w:tc>
          <w:tcPr>
            <w:tcW w:w="969" w:type="dxa"/>
            <w:vAlign w:val="top"/>
          </w:tcPr>
          <w:p w14:paraId="3CB05A9C">
            <w:pPr>
              <w:rPr>
                <w:rFonts w:ascii="Arial"/>
                <w:color w:val="auto"/>
                <w:sz w:val="21"/>
                <w:highlight w:val="none"/>
              </w:rPr>
            </w:pPr>
          </w:p>
        </w:tc>
      </w:tr>
      <w:tr w14:paraId="6D01A9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vAlign w:val="top"/>
          </w:tcPr>
          <w:p w14:paraId="1591BF8B">
            <w:pPr>
              <w:rPr>
                <w:rFonts w:ascii="Arial"/>
                <w:color w:val="auto"/>
                <w:sz w:val="21"/>
                <w:highlight w:val="none"/>
              </w:rPr>
            </w:pPr>
          </w:p>
        </w:tc>
        <w:tc>
          <w:tcPr>
            <w:tcW w:w="1703" w:type="dxa"/>
            <w:vMerge w:val="restart"/>
            <w:tcBorders>
              <w:bottom w:val="nil"/>
            </w:tcBorders>
            <w:vAlign w:val="top"/>
          </w:tcPr>
          <w:p w14:paraId="5060C2A3">
            <w:pPr>
              <w:rPr>
                <w:rFonts w:ascii="Arial"/>
                <w:color w:val="auto"/>
                <w:sz w:val="21"/>
                <w:highlight w:val="none"/>
              </w:rPr>
            </w:pPr>
          </w:p>
        </w:tc>
        <w:tc>
          <w:tcPr>
            <w:tcW w:w="826" w:type="dxa"/>
            <w:vAlign w:val="top"/>
          </w:tcPr>
          <w:p w14:paraId="68689281">
            <w:pPr>
              <w:spacing w:before="158" w:line="183" w:lineRule="auto"/>
              <w:ind w:left="375"/>
              <w:rPr>
                <w:rFonts w:ascii="黑体" w:hAnsi="黑体" w:eastAsia="黑体" w:cs="黑体"/>
                <w:color w:val="auto"/>
                <w:sz w:val="21"/>
                <w:szCs w:val="21"/>
                <w:highlight w:val="none"/>
              </w:rPr>
            </w:pPr>
            <w:r>
              <w:rPr>
                <w:rFonts w:ascii="黑体" w:hAnsi="黑体" w:eastAsia="黑体" w:cs="黑体"/>
                <w:color w:val="auto"/>
                <w:sz w:val="21"/>
                <w:szCs w:val="21"/>
                <w:highlight w:val="none"/>
              </w:rPr>
              <w:t>1</w:t>
            </w:r>
          </w:p>
        </w:tc>
        <w:tc>
          <w:tcPr>
            <w:tcW w:w="921" w:type="dxa"/>
            <w:vAlign w:val="top"/>
          </w:tcPr>
          <w:p w14:paraId="5048287E">
            <w:pPr>
              <w:rPr>
                <w:rFonts w:ascii="Arial"/>
                <w:color w:val="auto"/>
                <w:sz w:val="21"/>
                <w:highlight w:val="none"/>
              </w:rPr>
            </w:pPr>
          </w:p>
        </w:tc>
        <w:tc>
          <w:tcPr>
            <w:tcW w:w="1099" w:type="dxa"/>
            <w:vAlign w:val="top"/>
          </w:tcPr>
          <w:p w14:paraId="425003FF">
            <w:pPr>
              <w:rPr>
                <w:rFonts w:ascii="Arial"/>
                <w:color w:val="auto"/>
                <w:sz w:val="21"/>
                <w:highlight w:val="none"/>
              </w:rPr>
            </w:pPr>
          </w:p>
        </w:tc>
        <w:tc>
          <w:tcPr>
            <w:tcW w:w="1060" w:type="dxa"/>
            <w:vAlign w:val="top"/>
          </w:tcPr>
          <w:p w14:paraId="10252A0F">
            <w:pPr>
              <w:rPr>
                <w:rFonts w:ascii="Arial"/>
                <w:color w:val="auto"/>
                <w:sz w:val="21"/>
                <w:highlight w:val="none"/>
              </w:rPr>
            </w:pPr>
          </w:p>
        </w:tc>
        <w:tc>
          <w:tcPr>
            <w:tcW w:w="1166" w:type="dxa"/>
            <w:vAlign w:val="top"/>
          </w:tcPr>
          <w:p w14:paraId="5BE0DF7C">
            <w:pPr>
              <w:rPr>
                <w:rFonts w:ascii="Arial"/>
                <w:color w:val="auto"/>
                <w:sz w:val="21"/>
                <w:highlight w:val="none"/>
              </w:rPr>
            </w:pPr>
          </w:p>
        </w:tc>
        <w:tc>
          <w:tcPr>
            <w:tcW w:w="969" w:type="dxa"/>
            <w:vAlign w:val="top"/>
          </w:tcPr>
          <w:p w14:paraId="7434B814">
            <w:pPr>
              <w:rPr>
                <w:rFonts w:ascii="Arial"/>
                <w:color w:val="auto"/>
                <w:sz w:val="21"/>
                <w:highlight w:val="none"/>
              </w:rPr>
            </w:pPr>
          </w:p>
        </w:tc>
      </w:tr>
      <w:tr w14:paraId="084E4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5" w:hRule="atLeast"/>
        </w:trPr>
        <w:tc>
          <w:tcPr>
            <w:tcW w:w="567" w:type="dxa"/>
            <w:vMerge w:val="continue"/>
            <w:tcBorders>
              <w:top w:val="nil"/>
              <w:bottom w:val="nil"/>
            </w:tcBorders>
            <w:vAlign w:val="top"/>
          </w:tcPr>
          <w:p w14:paraId="663A0342">
            <w:pPr>
              <w:rPr>
                <w:rFonts w:ascii="Arial"/>
                <w:color w:val="auto"/>
                <w:sz w:val="21"/>
                <w:highlight w:val="none"/>
              </w:rPr>
            </w:pPr>
          </w:p>
        </w:tc>
        <w:tc>
          <w:tcPr>
            <w:tcW w:w="1703" w:type="dxa"/>
            <w:vMerge w:val="continue"/>
            <w:tcBorders>
              <w:top w:val="nil"/>
              <w:bottom w:val="nil"/>
            </w:tcBorders>
            <w:vAlign w:val="top"/>
          </w:tcPr>
          <w:p w14:paraId="2D95FFD2">
            <w:pPr>
              <w:rPr>
                <w:rFonts w:ascii="Arial"/>
                <w:color w:val="auto"/>
                <w:sz w:val="21"/>
                <w:highlight w:val="none"/>
              </w:rPr>
            </w:pPr>
          </w:p>
        </w:tc>
        <w:tc>
          <w:tcPr>
            <w:tcW w:w="826" w:type="dxa"/>
            <w:vAlign w:val="top"/>
          </w:tcPr>
          <w:p w14:paraId="29404A57">
            <w:pPr>
              <w:spacing w:before="152" w:line="184" w:lineRule="auto"/>
              <w:ind w:left="363"/>
              <w:rPr>
                <w:rFonts w:ascii="黑体" w:hAnsi="黑体" w:eastAsia="黑体" w:cs="黑体"/>
                <w:color w:val="auto"/>
                <w:sz w:val="21"/>
                <w:szCs w:val="21"/>
                <w:highlight w:val="none"/>
              </w:rPr>
            </w:pPr>
            <w:r>
              <w:rPr>
                <w:rFonts w:ascii="黑体" w:hAnsi="黑体" w:eastAsia="黑体" w:cs="黑体"/>
                <w:color w:val="auto"/>
                <w:sz w:val="21"/>
                <w:szCs w:val="21"/>
                <w:highlight w:val="none"/>
              </w:rPr>
              <w:t>2</w:t>
            </w:r>
          </w:p>
        </w:tc>
        <w:tc>
          <w:tcPr>
            <w:tcW w:w="921" w:type="dxa"/>
            <w:vAlign w:val="top"/>
          </w:tcPr>
          <w:p w14:paraId="6599D5D3">
            <w:pPr>
              <w:rPr>
                <w:rFonts w:ascii="Arial"/>
                <w:color w:val="auto"/>
                <w:sz w:val="21"/>
                <w:highlight w:val="none"/>
              </w:rPr>
            </w:pPr>
          </w:p>
        </w:tc>
        <w:tc>
          <w:tcPr>
            <w:tcW w:w="1099" w:type="dxa"/>
            <w:vAlign w:val="top"/>
          </w:tcPr>
          <w:p w14:paraId="2D405F56">
            <w:pPr>
              <w:rPr>
                <w:rFonts w:ascii="Arial"/>
                <w:color w:val="auto"/>
                <w:sz w:val="21"/>
                <w:highlight w:val="none"/>
              </w:rPr>
            </w:pPr>
          </w:p>
        </w:tc>
        <w:tc>
          <w:tcPr>
            <w:tcW w:w="1060" w:type="dxa"/>
            <w:vAlign w:val="top"/>
          </w:tcPr>
          <w:p w14:paraId="288C522D">
            <w:pPr>
              <w:rPr>
                <w:rFonts w:ascii="Arial"/>
                <w:color w:val="auto"/>
                <w:sz w:val="21"/>
                <w:highlight w:val="none"/>
              </w:rPr>
            </w:pPr>
          </w:p>
        </w:tc>
        <w:tc>
          <w:tcPr>
            <w:tcW w:w="1166" w:type="dxa"/>
            <w:vAlign w:val="top"/>
          </w:tcPr>
          <w:p w14:paraId="65339533">
            <w:pPr>
              <w:rPr>
                <w:rFonts w:ascii="Arial"/>
                <w:color w:val="auto"/>
                <w:sz w:val="21"/>
                <w:highlight w:val="none"/>
              </w:rPr>
            </w:pPr>
          </w:p>
        </w:tc>
        <w:tc>
          <w:tcPr>
            <w:tcW w:w="969" w:type="dxa"/>
            <w:vAlign w:val="top"/>
          </w:tcPr>
          <w:p w14:paraId="1DD44C14">
            <w:pPr>
              <w:rPr>
                <w:rFonts w:ascii="Arial"/>
                <w:color w:val="auto"/>
                <w:sz w:val="21"/>
                <w:highlight w:val="none"/>
              </w:rPr>
            </w:pPr>
          </w:p>
        </w:tc>
      </w:tr>
      <w:tr w14:paraId="455BB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continue"/>
            <w:tcBorders>
              <w:top w:val="nil"/>
            </w:tcBorders>
            <w:vAlign w:val="top"/>
          </w:tcPr>
          <w:p w14:paraId="0CAAAC26">
            <w:pPr>
              <w:rPr>
                <w:rFonts w:ascii="Arial"/>
                <w:color w:val="auto"/>
                <w:sz w:val="21"/>
                <w:highlight w:val="none"/>
              </w:rPr>
            </w:pPr>
          </w:p>
        </w:tc>
        <w:tc>
          <w:tcPr>
            <w:tcW w:w="1703" w:type="dxa"/>
            <w:vMerge w:val="continue"/>
            <w:tcBorders>
              <w:top w:val="nil"/>
            </w:tcBorders>
            <w:vAlign w:val="top"/>
          </w:tcPr>
          <w:p w14:paraId="380F4941">
            <w:pPr>
              <w:rPr>
                <w:rFonts w:ascii="Arial"/>
                <w:color w:val="auto"/>
                <w:sz w:val="21"/>
                <w:highlight w:val="none"/>
              </w:rPr>
            </w:pPr>
          </w:p>
        </w:tc>
        <w:tc>
          <w:tcPr>
            <w:tcW w:w="826" w:type="dxa"/>
            <w:vAlign w:val="top"/>
          </w:tcPr>
          <w:p w14:paraId="63FA4FB0">
            <w:pPr>
              <w:spacing w:before="158" w:line="184" w:lineRule="auto"/>
              <w:ind w:left="365"/>
              <w:rPr>
                <w:rFonts w:ascii="黑体" w:hAnsi="黑体" w:eastAsia="黑体" w:cs="黑体"/>
                <w:color w:val="auto"/>
                <w:sz w:val="21"/>
                <w:szCs w:val="21"/>
                <w:highlight w:val="none"/>
              </w:rPr>
            </w:pPr>
            <w:r>
              <w:rPr>
                <w:rFonts w:ascii="黑体" w:hAnsi="黑体" w:eastAsia="黑体" w:cs="黑体"/>
                <w:color w:val="auto"/>
                <w:sz w:val="21"/>
                <w:szCs w:val="21"/>
                <w:highlight w:val="none"/>
              </w:rPr>
              <w:t>3</w:t>
            </w:r>
          </w:p>
        </w:tc>
        <w:tc>
          <w:tcPr>
            <w:tcW w:w="921" w:type="dxa"/>
            <w:vAlign w:val="top"/>
          </w:tcPr>
          <w:p w14:paraId="2577A5A7">
            <w:pPr>
              <w:rPr>
                <w:rFonts w:ascii="Arial"/>
                <w:color w:val="auto"/>
                <w:sz w:val="21"/>
                <w:highlight w:val="none"/>
              </w:rPr>
            </w:pPr>
          </w:p>
        </w:tc>
        <w:tc>
          <w:tcPr>
            <w:tcW w:w="1099" w:type="dxa"/>
            <w:vAlign w:val="top"/>
          </w:tcPr>
          <w:p w14:paraId="6E28373A">
            <w:pPr>
              <w:rPr>
                <w:rFonts w:ascii="Arial"/>
                <w:color w:val="auto"/>
                <w:sz w:val="21"/>
                <w:highlight w:val="none"/>
              </w:rPr>
            </w:pPr>
          </w:p>
        </w:tc>
        <w:tc>
          <w:tcPr>
            <w:tcW w:w="1060" w:type="dxa"/>
            <w:vAlign w:val="top"/>
          </w:tcPr>
          <w:p w14:paraId="63BA8720">
            <w:pPr>
              <w:rPr>
                <w:rFonts w:ascii="Arial"/>
                <w:color w:val="auto"/>
                <w:sz w:val="21"/>
                <w:highlight w:val="none"/>
              </w:rPr>
            </w:pPr>
          </w:p>
        </w:tc>
        <w:tc>
          <w:tcPr>
            <w:tcW w:w="1166" w:type="dxa"/>
            <w:vAlign w:val="top"/>
          </w:tcPr>
          <w:p w14:paraId="49D83EBF">
            <w:pPr>
              <w:rPr>
                <w:rFonts w:ascii="Arial"/>
                <w:color w:val="auto"/>
                <w:sz w:val="21"/>
                <w:highlight w:val="none"/>
              </w:rPr>
            </w:pPr>
          </w:p>
        </w:tc>
        <w:tc>
          <w:tcPr>
            <w:tcW w:w="969" w:type="dxa"/>
            <w:vAlign w:val="top"/>
          </w:tcPr>
          <w:p w14:paraId="30BE9620">
            <w:pPr>
              <w:rPr>
                <w:rFonts w:ascii="Arial"/>
                <w:color w:val="auto"/>
                <w:sz w:val="21"/>
                <w:highlight w:val="none"/>
              </w:rPr>
            </w:pPr>
          </w:p>
        </w:tc>
      </w:tr>
      <w:tr w14:paraId="42107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7" w:type="dxa"/>
            <w:vMerge w:val="restart"/>
            <w:tcBorders>
              <w:bottom w:val="nil"/>
            </w:tcBorders>
            <w:vAlign w:val="top"/>
          </w:tcPr>
          <w:p w14:paraId="64AEB566">
            <w:pPr>
              <w:rPr>
                <w:rFonts w:ascii="Arial"/>
                <w:color w:val="auto"/>
                <w:sz w:val="21"/>
                <w:highlight w:val="none"/>
              </w:rPr>
            </w:pPr>
          </w:p>
        </w:tc>
        <w:tc>
          <w:tcPr>
            <w:tcW w:w="1703" w:type="dxa"/>
            <w:vMerge w:val="restart"/>
            <w:tcBorders>
              <w:bottom w:val="nil"/>
            </w:tcBorders>
            <w:vAlign w:val="top"/>
          </w:tcPr>
          <w:p w14:paraId="52BF65B3">
            <w:pPr>
              <w:rPr>
                <w:rFonts w:ascii="Arial"/>
                <w:color w:val="auto"/>
                <w:sz w:val="21"/>
                <w:highlight w:val="none"/>
              </w:rPr>
            </w:pPr>
          </w:p>
        </w:tc>
        <w:tc>
          <w:tcPr>
            <w:tcW w:w="826" w:type="dxa"/>
            <w:vAlign w:val="top"/>
          </w:tcPr>
          <w:p w14:paraId="2EDB5E87">
            <w:pPr>
              <w:spacing w:before="160" w:line="183" w:lineRule="auto"/>
              <w:ind w:left="375"/>
              <w:rPr>
                <w:rFonts w:ascii="黑体" w:hAnsi="黑体" w:eastAsia="黑体" w:cs="黑体"/>
                <w:color w:val="auto"/>
                <w:sz w:val="21"/>
                <w:szCs w:val="21"/>
                <w:highlight w:val="none"/>
              </w:rPr>
            </w:pPr>
            <w:r>
              <w:rPr>
                <w:rFonts w:ascii="黑体" w:hAnsi="黑体" w:eastAsia="黑体" w:cs="黑体"/>
                <w:color w:val="auto"/>
                <w:sz w:val="21"/>
                <w:szCs w:val="21"/>
                <w:highlight w:val="none"/>
              </w:rPr>
              <w:t>1</w:t>
            </w:r>
          </w:p>
        </w:tc>
        <w:tc>
          <w:tcPr>
            <w:tcW w:w="921" w:type="dxa"/>
            <w:vAlign w:val="top"/>
          </w:tcPr>
          <w:p w14:paraId="1A4E586E">
            <w:pPr>
              <w:rPr>
                <w:rFonts w:ascii="Arial"/>
                <w:color w:val="auto"/>
                <w:sz w:val="21"/>
                <w:highlight w:val="none"/>
              </w:rPr>
            </w:pPr>
          </w:p>
        </w:tc>
        <w:tc>
          <w:tcPr>
            <w:tcW w:w="1099" w:type="dxa"/>
            <w:vAlign w:val="top"/>
          </w:tcPr>
          <w:p w14:paraId="7B6262EA">
            <w:pPr>
              <w:rPr>
                <w:rFonts w:ascii="Arial"/>
                <w:color w:val="auto"/>
                <w:sz w:val="21"/>
                <w:highlight w:val="none"/>
              </w:rPr>
            </w:pPr>
          </w:p>
        </w:tc>
        <w:tc>
          <w:tcPr>
            <w:tcW w:w="1060" w:type="dxa"/>
            <w:vAlign w:val="top"/>
          </w:tcPr>
          <w:p w14:paraId="61474C91">
            <w:pPr>
              <w:rPr>
                <w:rFonts w:ascii="Arial"/>
                <w:color w:val="auto"/>
                <w:sz w:val="21"/>
                <w:highlight w:val="none"/>
              </w:rPr>
            </w:pPr>
          </w:p>
        </w:tc>
        <w:tc>
          <w:tcPr>
            <w:tcW w:w="1166" w:type="dxa"/>
            <w:vAlign w:val="top"/>
          </w:tcPr>
          <w:p w14:paraId="4FB80DCE">
            <w:pPr>
              <w:rPr>
                <w:rFonts w:ascii="Arial"/>
                <w:color w:val="auto"/>
                <w:sz w:val="21"/>
                <w:highlight w:val="none"/>
              </w:rPr>
            </w:pPr>
          </w:p>
        </w:tc>
        <w:tc>
          <w:tcPr>
            <w:tcW w:w="969" w:type="dxa"/>
            <w:vAlign w:val="top"/>
          </w:tcPr>
          <w:p w14:paraId="67A8548C">
            <w:pPr>
              <w:rPr>
                <w:rFonts w:ascii="Arial"/>
                <w:color w:val="auto"/>
                <w:sz w:val="21"/>
                <w:highlight w:val="none"/>
              </w:rPr>
            </w:pPr>
          </w:p>
        </w:tc>
      </w:tr>
      <w:tr w14:paraId="1DC56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7" w:type="dxa"/>
            <w:vMerge w:val="continue"/>
            <w:tcBorders>
              <w:top w:val="nil"/>
              <w:bottom w:val="nil"/>
            </w:tcBorders>
            <w:vAlign w:val="top"/>
          </w:tcPr>
          <w:p w14:paraId="5E8050FC">
            <w:pPr>
              <w:rPr>
                <w:rFonts w:ascii="Arial"/>
                <w:color w:val="auto"/>
                <w:sz w:val="21"/>
                <w:highlight w:val="none"/>
              </w:rPr>
            </w:pPr>
          </w:p>
        </w:tc>
        <w:tc>
          <w:tcPr>
            <w:tcW w:w="1703" w:type="dxa"/>
            <w:vMerge w:val="continue"/>
            <w:tcBorders>
              <w:top w:val="nil"/>
              <w:bottom w:val="nil"/>
            </w:tcBorders>
            <w:vAlign w:val="top"/>
          </w:tcPr>
          <w:p w14:paraId="4C8EEAB5">
            <w:pPr>
              <w:rPr>
                <w:rFonts w:ascii="Arial"/>
                <w:color w:val="auto"/>
                <w:sz w:val="21"/>
                <w:highlight w:val="none"/>
              </w:rPr>
            </w:pPr>
          </w:p>
        </w:tc>
        <w:tc>
          <w:tcPr>
            <w:tcW w:w="826" w:type="dxa"/>
            <w:vAlign w:val="top"/>
          </w:tcPr>
          <w:p w14:paraId="5F3C0890">
            <w:pPr>
              <w:spacing w:before="154" w:line="184" w:lineRule="auto"/>
              <w:ind w:left="363"/>
              <w:rPr>
                <w:rFonts w:ascii="黑体" w:hAnsi="黑体" w:eastAsia="黑体" w:cs="黑体"/>
                <w:color w:val="auto"/>
                <w:sz w:val="21"/>
                <w:szCs w:val="21"/>
                <w:highlight w:val="none"/>
              </w:rPr>
            </w:pPr>
            <w:r>
              <w:rPr>
                <w:rFonts w:ascii="黑体" w:hAnsi="黑体" w:eastAsia="黑体" w:cs="黑体"/>
                <w:color w:val="auto"/>
                <w:sz w:val="21"/>
                <w:szCs w:val="21"/>
                <w:highlight w:val="none"/>
              </w:rPr>
              <w:t>2</w:t>
            </w:r>
          </w:p>
        </w:tc>
        <w:tc>
          <w:tcPr>
            <w:tcW w:w="921" w:type="dxa"/>
            <w:vAlign w:val="top"/>
          </w:tcPr>
          <w:p w14:paraId="06DB5DF1">
            <w:pPr>
              <w:rPr>
                <w:rFonts w:ascii="Arial"/>
                <w:color w:val="auto"/>
                <w:sz w:val="21"/>
                <w:highlight w:val="none"/>
              </w:rPr>
            </w:pPr>
          </w:p>
        </w:tc>
        <w:tc>
          <w:tcPr>
            <w:tcW w:w="1099" w:type="dxa"/>
            <w:vAlign w:val="top"/>
          </w:tcPr>
          <w:p w14:paraId="13F28562">
            <w:pPr>
              <w:rPr>
                <w:rFonts w:ascii="Arial"/>
                <w:color w:val="auto"/>
                <w:sz w:val="21"/>
                <w:highlight w:val="none"/>
              </w:rPr>
            </w:pPr>
          </w:p>
        </w:tc>
        <w:tc>
          <w:tcPr>
            <w:tcW w:w="1060" w:type="dxa"/>
            <w:vAlign w:val="top"/>
          </w:tcPr>
          <w:p w14:paraId="327F641C">
            <w:pPr>
              <w:rPr>
                <w:rFonts w:ascii="Arial"/>
                <w:color w:val="auto"/>
                <w:sz w:val="21"/>
                <w:highlight w:val="none"/>
              </w:rPr>
            </w:pPr>
          </w:p>
        </w:tc>
        <w:tc>
          <w:tcPr>
            <w:tcW w:w="1166" w:type="dxa"/>
            <w:vAlign w:val="top"/>
          </w:tcPr>
          <w:p w14:paraId="66E5EF00">
            <w:pPr>
              <w:rPr>
                <w:rFonts w:ascii="Arial"/>
                <w:color w:val="auto"/>
                <w:sz w:val="21"/>
                <w:highlight w:val="none"/>
              </w:rPr>
            </w:pPr>
          </w:p>
        </w:tc>
        <w:tc>
          <w:tcPr>
            <w:tcW w:w="969" w:type="dxa"/>
            <w:vAlign w:val="top"/>
          </w:tcPr>
          <w:p w14:paraId="45F70D8C">
            <w:pPr>
              <w:rPr>
                <w:rFonts w:ascii="Arial"/>
                <w:color w:val="auto"/>
                <w:sz w:val="21"/>
                <w:highlight w:val="none"/>
              </w:rPr>
            </w:pPr>
          </w:p>
        </w:tc>
      </w:tr>
      <w:tr w14:paraId="1F908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567" w:type="dxa"/>
            <w:vMerge w:val="continue"/>
            <w:tcBorders>
              <w:top w:val="nil"/>
            </w:tcBorders>
            <w:vAlign w:val="top"/>
          </w:tcPr>
          <w:p w14:paraId="75154E02">
            <w:pPr>
              <w:rPr>
                <w:rFonts w:ascii="Arial"/>
                <w:color w:val="auto"/>
                <w:sz w:val="21"/>
                <w:highlight w:val="none"/>
              </w:rPr>
            </w:pPr>
          </w:p>
        </w:tc>
        <w:tc>
          <w:tcPr>
            <w:tcW w:w="1703" w:type="dxa"/>
            <w:vMerge w:val="continue"/>
            <w:tcBorders>
              <w:top w:val="nil"/>
            </w:tcBorders>
            <w:vAlign w:val="top"/>
          </w:tcPr>
          <w:p w14:paraId="2E58ECD1">
            <w:pPr>
              <w:rPr>
                <w:rFonts w:ascii="Arial"/>
                <w:color w:val="auto"/>
                <w:sz w:val="21"/>
                <w:highlight w:val="none"/>
              </w:rPr>
            </w:pPr>
          </w:p>
        </w:tc>
        <w:tc>
          <w:tcPr>
            <w:tcW w:w="826" w:type="dxa"/>
            <w:vAlign w:val="top"/>
          </w:tcPr>
          <w:p w14:paraId="7A0D289B">
            <w:pPr>
              <w:spacing w:before="158" w:line="184" w:lineRule="auto"/>
              <w:ind w:left="365"/>
              <w:rPr>
                <w:rFonts w:ascii="黑体" w:hAnsi="黑体" w:eastAsia="黑体" w:cs="黑体"/>
                <w:color w:val="auto"/>
                <w:sz w:val="21"/>
                <w:szCs w:val="21"/>
                <w:highlight w:val="none"/>
              </w:rPr>
            </w:pPr>
            <w:r>
              <w:rPr>
                <w:rFonts w:ascii="黑体" w:hAnsi="黑体" w:eastAsia="黑体" w:cs="黑体"/>
                <w:color w:val="auto"/>
                <w:sz w:val="21"/>
                <w:szCs w:val="21"/>
                <w:highlight w:val="none"/>
              </w:rPr>
              <w:t>3</w:t>
            </w:r>
          </w:p>
        </w:tc>
        <w:tc>
          <w:tcPr>
            <w:tcW w:w="921" w:type="dxa"/>
            <w:vAlign w:val="top"/>
          </w:tcPr>
          <w:p w14:paraId="71696AB2">
            <w:pPr>
              <w:rPr>
                <w:rFonts w:ascii="Arial"/>
                <w:color w:val="auto"/>
                <w:sz w:val="21"/>
                <w:highlight w:val="none"/>
              </w:rPr>
            </w:pPr>
          </w:p>
        </w:tc>
        <w:tc>
          <w:tcPr>
            <w:tcW w:w="1099" w:type="dxa"/>
            <w:vAlign w:val="top"/>
          </w:tcPr>
          <w:p w14:paraId="4B973F5F">
            <w:pPr>
              <w:rPr>
                <w:rFonts w:ascii="Arial"/>
                <w:color w:val="auto"/>
                <w:sz w:val="21"/>
                <w:highlight w:val="none"/>
              </w:rPr>
            </w:pPr>
          </w:p>
        </w:tc>
        <w:tc>
          <w:tcPr>
            <w:tcW w:w="1060" w:type="dxa"/>
            <w:vAlign w:val="top"/>
          </w:tcPr>
          <w:p w14:paraId="4E0A1552">
            <w:pPr>
              <w:rPr>
                <w:rFonts w:ascii="Arial"/>
                <w:color w:val="auto"/>
                <w:sz w:val="21"/>
                <w:highlight w:val="none"/>
              </w:rPr>
            </w:pPr>
          </w:p>
        </w:tc>
        <w:tc>
          <w:tcPr>
            <w:tcW w:w="1166" w:type="dxa"/>
            <w:vAlign w:val="top"/>
          </w:tcPr>
          <w:p w14:paraId="3E54D2D5">
            <w:pPr>
              <w:rPr>
                <w:rFonts w:ascii="Arial"/>
                <w:color w:val="auto"/>
                <w:sz w:val="21"/>
                <w:highlight w:val="none"/>
              </w:rPr>
            </w:pPr>
          </w:p>
        </w:tc>
        <w:tc>
          <w:tcPr>
            <w:tcW w:w="969" w:type="dxa"/>
            <w:vAlign w:val="top"/>
          </w:tcPr>
          <w:p w14:paraId="152EC5F4">
            <w:pPr>
              <w:rPr>
                <w:rFonts w:ascii="Arial"/>
                <w:color w:val="auto"/>
                <w:sz w:val="21"/>
                <w:highlight w:val="none"/>
              </w:rPr>
            </w:pPr>
          </w:p>
        </w:tc>
      </w:tr>
    </w:tbl>
    <w:p w14:paraId="3B4586AF">
      <w:pPr>
        <w:pStyle w:val="3"/>
        <w:spacing w:line="244" w:lineRule="auto"/>
        <w:rPr>
          <w:color w:val="auto"/>
          <w:highlight w:val="none"/>
        </w:rPr>
      </w:pPr>
    </w:p>
    <w:p w14:paraId="1C1365F9">
      <w:pPr>
        <w:pStyle w:val="3"/>
        <w:spacing w:line="244" w:lineRule="auto"/>
        <w:rPr>
          <w:color w:val="auto"/>
          <w:highlight w:val="none"/>
        </w:rPr>
      </w:pPr>
    </w:p>
    <w:p w14:paraId="6EF64CB6">
      <w:pPr>
        <w:pStyle w:val="3"/>
        <w:spacing w:line="244" w:lineRule="auto"/>
        <w:rPr>
          <w:color w:val="auto"/>
          <w:highlight w:val="none"/>
        </w:rPr>
      </w:pPr>
    </w:p>
    <w:p w14:paraId="128B9C17">
      <w:pPr>
        <w:pStyle w:val="3"/>
        <w:spacing w:line="245" w:lineRule="auto"/>
        <w:rPr>
          <w:color w:val="auto"/>
          <w:highlight w:val="none"/>
        </w:rPr>
      </w:pPr>
    </w:p>
    <w:p w14:paraId="18F57A4D">
      <w:pPr>
        <w:spacing w:before="69" w:line="221" w:lineRule="auto"/>
        <w:ind w:left="4587"/>
        <w:rPr>
          <w:rFonts w:ascii="宋体" w:hAnsi="宋体" w:eastAsia="宋体" w:cs="宋体"/>
          <w:color w:val="auto"/>
          <w:sz w:val="21"/>
          <w:szCs w:val="21"/>
          <w:highlight w:val="none"/>
        </w:rPr>
      </w:pPr>
      <w:r>
        <w:rPr>
          <w:rFonts w:ascii="宋体" w:hAnsi="宋体" w:eastAsia="宋体" w:cs="宋体"/>
          <w:color w:val="auto"/>
          <w:spacing w:val="-25"/>
          <w:sz w:val="21"/>
          <w:szCs w:val="21"/>
          <w:highlight w:val="none"/>
        </w:rPr>
        <w:t>日</w:t>
      </w:r>
      <w:r>
        <w:rPr>
          <w:rFonts w:ascii="宋体" w:hAnsi="宋体" w:eastAsia="宋体" w:cs="宋体"/>
          <w:color w:val="auto"/>
          <w:spacing w:val="15"/>
          <w:sz w:val="21"/>
          <w:szCs w:val="21"/>
          <w:highlight w:val="none"/>
        </w:rPr>
        <w:t xml:space="preserve"> </w:t>
      </w:r>
      <w:r>
        <w:rPr>
          <w:rFonts w:ascii="宋体" w:hAnsi="宋体" w:eastAsia="宋体" w:cs="宋体"/>
          <w:color w:val="auto"/>
          <w:spacing w:val="-25"/>
          <w:sz w:val="21"/>
          <w:szCs w:val="21"/>
          <w:highlight w:val="none"/>
        </w:rPr>
        <w:t>期：</w:t>
      </w:r>
      <w:r>
        <w:rPr>
          <w:rFonts w:ascii="宋体" w:hAnsi="宋体" w:eastAsia="宋体" w:cs="宋体"/>
          <w:color w:val="auto"/>
          <w:spacing w:val="74"/>
          <w:sz w:val="21"/>
          <w:szCs w:val="21"/>
          <w:highlight w:val="none"/>
        </w:rPr>
        <w:t xml:space="preserve"> </w:t>
      </w:r>
      <w:r>
        <w:rPr>
          <w:rFonts w:ascii="宋体" w:hAnsi="宋体" w:eastAsia="宋体" w:cs="宋体"/>
          <w:color w:val="auto"/>
          <w:spacing w:val="20"/>
          <w:sz w:val="21"/>
          <w:szCs w:val="21"/>
          <w:highlight w:val="none"/>
          <w:u w:val="single" w:color="auto"/>
        </w:rPr>
        <w:t xml:space="preserve">     </w:t>
      </w:r>
      <w:r>
        <w:rPr>
          <w:rFonts w:ascii="宋体" w:hAnsi="宋体" w:eastAsia="宋体" w:cs="宋体"/>
          <w:color w:val="auto"/>
          <w:spacing w:val="-92"/>
          <w:sz w:val="21"/>
          <w:szCs w:val="21"/>
          <w:highlight w:val="none"/>
        </w:rPr>
        <w:t xml:space="preserve"> </w:t>
      </w:r>
      <w:r>
        <w:rPr>
          <w:rFonts w:ascii="宋体" w:hAnsi="宋体" w:eastAsia="宋体" w:cs="宋体"/>
          <w:color w:val="auto"/>
          <w:spacing w:val="-25"/>
          <w:sz w:val="21"/>
          <w:szCs w:val="21"/>
          <w:highlight w:val="none"/>
        </w:rPr>
        <w:t>年</w:t>
      </w:r>
      <w:r>
        <w:rPr>
          <w:rFonts w:ascii="宋体" w:hAnsi="宋体" w:eastAsia="宋体" w:cs="宋体"/>
          <w:color w:val="auto"/>
          <w:spacing w:val="-104"/>
          <w:sz w:val="21"/>
          <w:szCs w:val="21"/>
          <w:highlight w:val="none"/>
        </w:rPr>
        <w:t xml:space="preserve"> </w:t>
      </w:r>
      <w:r>
        <w:rPr>
          <w:rFonts w:ascii="宋体" w:hAnsi="宋体" w:eastAsia="宋体" w:cs="宋体"/>
          <w:color w:val="auto"/>
          <w:spacing w:val="25"/>
          <w:sz w:val="21"/>
          <w:szCs w:val="21"/>
          <w:highlight w:val="none"/>
          <w:u w:val="single" w:color="auto"/>
        </w:rPr>
        <w:t xml:space="preserve">    </w:t>
      </w:r>
      <w:r>
        <w:rPr>
          <w:rFonts w:ascii="宋体" w:hAnsi="宋体" w:eastAsia="宋体" w:cs="宋体"/>
          <w:color w:val="auto"/>
          <w:spacing w:val="-89"/>
          <w:sz w:val="21"/>
          <w:szCs w:val="21"/>
          <w:highlight w:val="none"/>
        </w:rPr>
        <w:t xml:space="preserve"> </w:t>
      </w:r>
      <w:r>
        <w:rPr>
          <w:rFonts w:ascii="宋体" w:hAnsi="宋体" w:eastAsia="宋体" w:cs="宋体"/>
          <w:color w:val="auto"/>
          <w:spacing w:val="-25"/>
          <w:sz w:val="21"/>
          <w:szCs w:val="21"/>
          <w:highlight w:val="none"/>
        </w:rPr>
        <w:t>月</w:t>
      </w:r>
      <w:r>
        <w:rPr>
          <w:rFonts w:ascii="宋体" w:hAnsi="宋体" w:eastAsia="宋体" w:cs="宋体"/>
          <w:color w:val="auto"/>
          <w:spacing w:val="26"/>
          <w:sz w:val="21"/>
          <w:szCs w:val="21"/>
          <w:highlight w:val="none"/>
          <w:u w:val="single" w:color="auto"/>
        </w:rPr>
        <w:t xml:space="preserve">    </w:t>
      </w:r>
      <w:r>
        <w:rPr>
          <w:rFonts w:ascii="宋体" w:hAnsi="宋体" w:eastAsia="宋体" w:cs="宋体"/>
          <w:color w:val="auto"/>
          <w:spacing w:val="-61"/>
          <w:sz w:val="21"/>
          <w:szCs w:val="21"/>
          <w:highlight w:val="none"/>
        </w:rPr>
        <w:t xml:space="preserve"> </w:t>
      </w:r>
      <w:r>
        <w:rPr>
          <w:rFonts w:ascii="宋体" w:hAnsi="宋体" w:eastAsia="宋体" w:cs="宋体"/>
          <w:color w:val="auto"/>
          <w:spacing w:val="-25"/>
          <w:sz w:val="21"/>
          <w:szCs w:val="21"/>
          <w:highlight w:val="none"/>
        </w:rPr>
        <w:t>日</w:t>
      </w:r>
    </w:p>
    <w:p w14:paraId="64C41191">
      <w:pPr>
        <w:pStyle w:val="3"/>
        <w:spacing w:line="277" w:lineRule="auto"/>
        <w:rPr>
          <w:color w:val="auto"/>
          <w:highlight w:val="none"/>
        </w:rPr>
      </w:pPr>
    </w:p>
    <w:p w14:paraId="16FE7FBA">
      <w:pPr>
        <w:pStyle w:val="3"/>
        <w:spacing w:line="278" w:lineRule="auto"/>
        <w:rPr>
          <w:color w:val="auto"/>
          <w:highlight w:val="none"/>
        </w:rPr>
      </w:pPr>
    </w:p>
    <w:p w14:paraId="7B43336D">
      <w:pPr>
        <w:spacing w:before="69" w:line="442" w:lineRule="exact"/>
        <w:ind w:left="20"/>
        <w:rPr>
          <w:rFonts w:ascii="宋体" w:hAnsi="宋体" w:eastAsia="宋体" w:cs="宋体"/>
          <w:color w:val="auto"/>
          <w:sz w:val="21"/>
          <w:szCs w:val="21"/>
          <w:highlight w:val="none"/>
        </w:rPr>
      </w:pPr>
      <w:r>
        <w:rPr>
          <w:rFonts w:ascii="宋体" w:hAnsi="宋体" w:eastAsia="宋体" w:cs="宋体"/>
          <w:color w:val="auto"/>
          <w:position w:val="17"/>
          <w:sz w:val="21"/>
          <w:szCs w:val="21"/>
          <w:highlight w:val="none"/>
        </w:rPr>
        <w:t>备注： 本表所列分包仅限于承包人自行施工范围内的非主体、非关键工程。没有可不</w:t>
      </w:r>
    </w:p>
    <w:p w14:paraId="4A7E375F">
      <w:pPr>
        <w:spacing w:line="221" w:lineRule="auto"/>
        <w:ind w:left="649"/>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填写。</w:t>
      </w:r>
    </w:p>
    <w:p w14:paraId="2DC8B35F">
      <w:pPr>
        <w:spacing w:line="221" w:lineRule="auto"/>
        <w:rPr>
          <w:rFonts w:ascii="宋体" w:hAnsi="宋体" w:eastAsia="宋体" w:cs="宋体"/>
          <w:color w:val="auto"/>
          <w:sz w:val="21"/>
          <w:szCs w:val="21"/>
          <w:highlight w:val="none"/>
        </w:rPr>
        <w:sectPr>
          <w:footerReference r:id="rId222" w:type="default"/>
          <w:pgSz w:w="11905" w:h="16839"/>
          <w:pgMar w:top="400" w:right="1785" w:bottom="1004" w:left="1785" w:header="0" w:footer="828" w:gutter="0"/>
          <w:pgNumType w:fmt="decimal"/>
          <w:cols w:space="720" w:num="1"/>
        </w:sectPr>
      </w:pPr>
    </w:p>
    <w:p w14:paraId="7B6B4263">
      <w:pPr>
        <w:pStyle w:val="3"/>
        <w:spacing w:line="246" w:lineRule="auto"/>
        <w:rPr>
          <w:color w:val="auto"/>
          <w:highlight w:val="none"/>
        </w:rPr>
      </w:pPr>
    </w:p>
    <w:p w14:paraId="212960FF">
      <w:pPr>
        <w:pStyle w:val="3"/>
        <w:spacing w:line="246" w:lineRule="auto"/>
        <w:rPr>
          <w:color w:val="auto"/>
          <w:highlight w:val="none"/>
        </w:rPr>
      </w:pPr>
    </w:p>
    <w:p w14:paraId="4FCBDB0A">
      <w:pPr>
        <w:pStyle w:val="3"/>
        <w:spacing w:line="246" w:lineRule="auto"/>
        <w:rPr>
          <w:color w:val="auto"/>
          <w:highlight w:val="none"/>
        </w:rPr>
      </w:pPr>
    </w:p>
    <w:p w14:paraId="68572A55">
      <w:pPr>
        <w:pStyle w:val="3"/>
        <w:spacing w:line="246" w:lineRule="auto"/>
        <w:rPr>
          <w:color w:val="auto"/>
          <w:highlight w:val="none"/>
        </w:rPr>
      </w:pPr>
    </w:p>
    <w:p w14:paraId="4F1EC39B">
      <w:pPr>
        <w:pStyle w:val="3"/>
        <w:spacing w:line="246" w:lineRule="auto"/>
        <w:rPr>
          <w:color w:val="auto"/>
          <w:highlight w:val="none"/>
        </w:rPr>
      </w:pPr>
    </w:p>
    <w:p w14:paraId="4ED80E63">
      <w:pPr>
        <w:pStyle w:val="3"/>
        <w:spacing w:line="247" w:lineRule="auto"/>
        <w:rPr>
          <w:color w:val="auto"/>
          <w:highlight w:val="none"/>
        </w:rPr>
      </w:pPr>
    </w:p>
    <w:p w14:paraId="7C08B0E5">
      <w:pPr>
        <w:spacing w:before="87" w:line="225" w:lineRule="auto"/>
        <w:ind w:left="6117"/>
        <w:rPr>
          <w:rFonts w:ascii="黑体" w:hAnsi="黑体" w:eastAsia="黑体" w:cs="黑体"/>
          <w:color w:val="auto"/>
          <w:sz w:val="27"/>
          <w:szCs w:val="27"/>
          <w:highlight w:val="none"/>
        </w:rPr>
      </w:pPr>
      <w:bookmarkStart w:id="1336" w:name="bookmark309"/>
      <w:bookmarkEnd w:id="1336"/>
      <w:r>
        <w:rPr>
          <w:rFonts w:ascii="黑体" w:hAnsi="黑体" w:eastAsia="黑体" w:cs="黑体"/>
          <w:color w:val="auto"/>
          <w:spacing w:val="7"/>
          <w:sz w:val="27"/>
          <w:szCs w:val="27"/>
          <w:highlight w:val="none"/>
        </w:rPr>
        <w:t>六、项目管理机构</w:t>
      </w:r>
    </w:p>
    <w:p w14:paraId="38534BB4">
      <w:pPr>
        <w:pStyle w:val="3"/>
        <w:spacing w:line="349" w:lineRule="auto"/>
        <w:rPr>
          <w:color w:val="auto"/>
          <w:highlight w:val="none"/>
        </w:rPr>
      </w:pPr>
    </w:p>
    <w:p w14:paraId="58FA9857">
      <w:pPr>
        <w:spacing w:before="87" w:line="220" w:lineRule="auto"/>
        <w:ind w:left="5290"/>
        <w:rPr>
          <w:rFonts w:ascii="黑体" w:hAnsi="黑体" w:eastAsia="黑体" w:cs="黑体"/>
          <w:color w:val="auto"/>
          <w:sz w:val="27"/>
          <w:szCs w:val="27"/>
          <w:highlight w:val="none"/>
        </w:rPr>
      </w:pPr>
      <w:r>
        <w:rPr>
          <w:rFonts w:ascii="黑体" w:hAnsi="黑体" w:eastAsia="黑体" w:cs="黑体"/>
          <w:color w:val="auto"/>
          <w:spacing w:val="6"/>
          <w:sz w:val="27"/>
          <w:szCs w:val="27"/>
          <w:highlight w:val="none"/>
        </w:rPr>
        <w:t>（一）项目管理机构主要人员表</w:t>
      </w:r>
    </w:p>
    <w:tbl>
      <w:tblPr>
        <w:tblStyle w:val="10"/>
        <w:tblW w:w="144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9"/>
        <w:gridCol w:w="1272"/>
        <w:gridCol w:w="825"/>
        <w:gridCol w:w="533"/>
        <w:gridCol w:w="749"/>
        <w:gridCol w:w="753"/>
        <w:gridCol w:w="965"/>
        <w:gridCol w:w="1032"/>
        <w:gridCol w:w="855"/>
        <w:gridCol w:w="854"/>
        <w:gridCol w:w="854"/>
        <w:gridCol w:w="849"/>
        <w:gridCol w:w="850"/>
        <w:gridCol w:w="854"/>
        <w:gridCol w:w="744"/>
        <w:gridCol w:w="1128"/>
        <w:gridCol w:w="946"/>
      </w:tblGrid>
      <w:tr w14:paraId="73A10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379" w:type="dxa"/>
            <w:vMerge w:val="restart"/>
            <w:tcBorders>
              <w:bottom w:val="nil"/>
            </w:tcBorders>
            <w:textDirection w:val="tbRlV"/>
            <w:vAlign w:val="top"/>
          </w:tcPr>
          <w:p w14:paraId="26EC0FF6">
            <w:pPr>
              <w:pStyle w:val="11"/>
              <w:spacing w:before="81" w:line="211" w:lineRule="auto"/>
              <w:ind w:left="245"/>
              <w:rPr>
                <w:color w:val="auto"/>
                <w:highlight w:val="none"/>
              </w:rPr>
            </w:pPr>
            <w:r>
              <w:rPr>
                <w:color w:val="auto"/>
                <w:spacing w:val="1"/>
                <w:highlight w:val="none"/>
              </w:rPr>
              <w:t>序</w:t>
            </w:r>
            <w:r>
              <w:rPr>
                <w:color w:val="auto"/>
                <w:spacing w:val="-43"/>
                <w:highlight w:val="none"/>
              </w:rPr>
              <w:t xml:space="preserve"> </w:t>
            </w:r>
            <w:r>
              <w:rPr>
                <w:color w:val="auto"/>
                <w:spacing w:val="1"/>
                <w:highlight w:val="none"/>
              </w:rPr>
              <w:t>号</w:t>
            </w:r>
          </w:p>
        </w:tc>
        <w:tc>
          <w:tcPr>
            <w:tcW w:w="1272" w:type="dxa"/>
            <w:vMerge w:val="restart"/>
            <w:tcBorders>
              <w:bottom w:val="nil"/>
            </w:tcBorders>
            <w:vAlign w:val="top"/>
          </w:tcPr>
          <w:p w14:paraId="73464ED5">
            <w:pPr>
              <w:pStyle w:val="11"/>
              <w:spacing w:before="244" w:line="231" w:lineRule="auto"/>
              <w:ind w:left="225" w:right="225" w:firstLine="227"/>
              <w:rPr>
                <w:color w:val="auto"/>
                <w:highlight w:val="none"/>
              </w:rPr>
            </w:pPr>
            <w:r>
              <w:rPr>
                <w:color w:val="auto"/>
                <w:spacing w:val="-15"/>
                <w:highlight w:val="none"/>
              </w:rPr>
              <w:t>岗位</w:t>
            </w:r>
            <w:r>
              <w:rPr>
                <w:color w:val="auto"/>
                <w:highlight w:val="none"/>
              </w:rPr>
              <w:t xml:space="preserve">   </w:t>
            </w:r>
            <w:r>
              <w:rPr>
                <w:color w:val="auto"/>
                <w:spacing w:val="-7"/>
                <w:highlight w:val="none"/>
              </w:rPr>
              <w:t>（职务）</w:t>
            </w:r>
          </w:p>
        </w:tc>
        <w:tc>
          <w:tcPr>
            <w:tcW w:w="825" w:type="dxa"/>
            <w:vMerge w:val="restart"/>
            <w:tcBorders>
              <w:bottom w:val="nil"/>
            </w:tcBorders>
            <w:vAlign w:val="top"/>
          </w:tcPr>
          <w:p w14:paraId="1EA1F979">
            <w:pPr>
              <w:spacing w:line="309" w:lineRule="auto"/>
              <w:rPr>
                <w:rFonts w:ascii="Arial"/>
                <w:color w:val="auto"/>
                <w:sz w:val="21"/>
                <w:highlight w:val="none"/>
              </w:rPr>
            </w:pPr>
          </w:p>
          <w:p w14:paraId="2A0CC1FF">
            <w:pPr>
              <w:pStyle w:val="11"/>
              <w:spacing w:before="68" w:line="221" w:lineRule="auto"/>
              <w:ind w:left="205"/>
              <w:rPr>
                <w:color w:val="auto"/>
                <w:highlight w:val="none"/>
              </w:rPr>
            </w:pPr>
            <w:r>
              <w:rPr>
                <w:color w:val="auto"/>
                <w:spacing w:val="-2"/>
                <w:highlight w:val="none"/>
              </w:rPr>
              <w:t>姓名</w:t>
            </w:r>
          </w:p>
        </w:tc>
        <w:tc>
          <w:tcPr>
            <w:tcW w:w="533" w:type="dxa"/>
            <w:vMerge w:val="restart"/>
            <w:tcBorders>
              <w:bottom w:val="nil"/>
            </w:tcBorders>
            <w:vAlign w:val="top"/>
          </w:tcPr>
          <w:p w14:paraId="68C07816">
            <w:pPr>
              <w:spacing w:line="310" w:lineRule="auto"/>
              <w:rPr>
                <w:rFonts w:ascii="Arial"/>
                <w:color w:val="auto"/>
                <w:sz w:val="21"/>
                <w:highlight w:val="none"/>
              </w:rPr>
            </w:pPr>
          </w:p>
          <w:p w14:paraId="14C342AB">
            <w:pPr>
              <w:pStyle w:val="11"/>
              <w:spacing w:before="68" w:line="221" w:lineRule="auto"/>
              <w:ind w:left="64"/>
              <w:rPr>
                <w:color w:val="auto"/>
                <w:highlight w:val="none"/>
              </w:rPr>
            </w:pPr>
            <w:r>
              <w:rPr>
                <w:color w:val="auto"/>
                <w:spacing w:val="-3"/>
                <w:highlight w:val="none"/>
              </w:rPr>
              <w:t>性别</w:t>
            </w:r>
          </w:p>
        </w:tc>
        <w:tc>
          <w:tcPr>
            <w:tcW w:w="749" w:type="dxa"/>
            <w:vMerge w:val="restart"/>
            <w:tcBorders>
              <w:bottom w:val="nil"/>
            </w:tcBorders>
            <w:vAlign w:val="top"/>
          </w:tcPr>
          <w:p w14:paraId="507E2A6E">
            <w:pPr>
              <w:spacing w:line="309" w:lineRule="auto"/>
              <w:rPr>
                <w:rFonts w:ascii="Arial"/>
                <w:color w:val="auto"/>
                <w:sz w:val="21"/>
                <w:highlight w:val="none"/>
              </w:rPr>
            </w:pPr>
          </w:p>
          <w:p w14:paraId="2C6FB368">
            <w:pPr>
              <w:pStyle w:val="11"/>
              <w:spacing w:before="68" w:line="221" w:lineRule="auto"/>
              <w:ind w:left="163"/>
              <w:rPr>
                <w:color w:val="auto"/>
                <w:highlight w:val="none"/>
              </w:rPr>
            </w:pPr>
            <w:r>
              <w:rPr>
                <w:color w:val="auto"/>
                <w:spacing w:val="-2"/>
                <w:highlight w:val="none"/>
              </w:rPr>
              <w:t>年龄</w:t>
            </w:r>
          </w:p>
        </w:tc>
        <w:tc>
          <w:tcPr>
            <w:tcW w:w="753" w:type="dxa"/>
            <w:vMerge w:val="restart"/>
            <w:tcBorders>
              <w:bottom w:val="nil"/>
            </w:tcBorders>
            <w:vAlign w:val="top"/>
          </w:tcPr>
          <w:p w14:paraId="7EAC8EA3">
            <w:pPr>
              <w:spacing w:line="309" w:lineRule="auto"/>
              <w:rPr>
                <w:rFonts w:ascii="Arial"/>
                <w:color w:val="auto"/>
                <w:sz w:val="21"/>
                <w:highlight w:val="none"/>
              </w:rPr>
            </w:pPr>
          </w:p>
          <w:p w14:paraId="2FE094B0">
            <w:pPr>
              <w:pStyle w:val="11"/>
              <w:spacing w:before="69" w:line="222" w:lineRule="auto"/>
              <w:ind w:left="171"/>
              <w:rPr>
                <w:color w:val="auto"/>
                <w:highlight w:val="none"/>
              </w:rPr>
            </w:pPr>
            <w:r>
              <w:rPr>
                <w:color w:val="auto"/>
                <w:spacing w:val="-3"/>
                <w:highlight w:val="none"/>
              </w:rPr>
              <w:t>学历</w:t>
            </w:r>
          </w:p>
        </w:tc>
        <w:tc>
          <w:tcPr>
            <w:tcW w:w="965" w:type="dxa"/>
            <w:vMerge w:val="restart"/>
            <w:tcBorders>
              <w:bottom w:val="nil"/>
            </w:tcBorders>
            <w:vAlign w:val="top"/>
          </w:tcPr>
          <w:p w14:paraId="21B1F6C1">
            <w:pPr>
              <w:spacing w:line="310" w:lineRule="auto"/>
              <w:rPr>
                <w:rFonts w:ascii="Arial"/>
                <w:color w:val="auto"/>
                <w:sz w:val="21"/>
                <w:highlight w:val="none"/>
              </w:rPr>
            </w:pPr>
          </w:p>
          <w:p w14:paraId="6B238EF2">
            <w:pPr>
              <w:pStyle w:val="11"/>
              <w:spacing w:before="68" w:line="221" w:lineRule="auto"/>
              <w:ind w:left="62"/>
              <w:rPr>
                <w:color w:val="auto"/>
                <w:highlight w:val="none"/>
              </w:rPr>
            </w:pPr>
            <w:r>
              <w:rPr>
                <w:color w:val="auto"/>
                <w:spacing w:val="-1"/>
                <w:highlight w:val="none"/>
              </w:rPr>
              <w:t>所学专业</w:t>
            </w:r>
          </w:p>
        </w:tc>
        <w:tc>
          <w:tcPr>
            <w:tcW w:w="1032" w:type="dxa"/>
            <w:vMerge w:val="restart"/>
            <w:tcBorders>
              <w:bottom w:val="nil"/>
            </w:tcBorders>
            <w:vAlign w:val="top"/>
          </w:tcPr>
          <w:p w14:paraId="51EDD6B5">
            <w:pPr>
              <w:pStyle w:val="11"/>
              <w:spacing w:before="244" w:line="231" w:lineRule="auto"/>
              <w:ind w:left="308" w:right="93" w:hanging="211"/>
              <w:rPr>
                <w:color w:val="auto"/>
                <w:highlight w:val="none"/>
              </w:rPr>
            </w:pPr>
            <w:r>
              <w:rPr>
                <w:color w:val="auto"/>
                <w:spacing w:val="-2"/>
                <w:highlight w:val="none"/>
              </w:rPr>
              <w:t>专业工作</w:t>
            </w:r>
            <w:r>
              <w:rPr>
                <w:color w:val="auto"/>
                <w:spacing w:val="2"/>
                <w:highlight w:val="none"/>
              </w:rPr>
              <w:t xml:space="preserve"> </w:t>
            </w:r>
            <w:r>
              <w:rPr>
                <w:color w:val="auto"/>
                <w:spacing w:val="-2"/>
                <w:highlight w:val="none"/>
              </w:rPr>
              <w:t>年限</w:t>
            </w:r>
          </w:p>
        </w:tc>
        <w:tc>
          <w:tcPr>
            <w:tcW w:w="2563" w:type="dxa"/>
            <w:gridSpan w:val="3"/>
            <w:vAlign w:val="top"/>
          </w:tcPr>
          <w:p w14:paraId="508D23FD">
            <w:pPr>
              <w:pStyle w:val="11"/>
              <w:spacing w:before="105" w:line="221" w:lineRule="auto"/>
              <w:ind w:left="659"/>
              <w:rPr>
                <w:color w:val="auto"/>
                <w:highlight w:val="none"/>
              </w:rPr>
            </w:pPr>
            <w:r>
              <w:rPr>
                <w:color w:val="auto"/>
                <w:spacing w:val="-1"/>
                <w:highlight w:val="none"/>
              </w:rPr>
              <w:t>专业技术职称</w:t>
            </w:r>
          </w:p>
        </w:tc>
        <w:tc>
          <w:tcPr>
            <w:tcW w:w="3297" w:type="dxa"/>
            <w:gridSpan w:val="4"/>
            <w:vAlign w:val="top"/>
          </w:tcPr>
          <w:p w14:paraId="31AB8120">
            <w:pPr>
              <w:pStyle w:val="11"/>
              <w:spacing w:before="158" w:line="221" w:lineRule="auto"/>
              <w:ind w:left="707"/>
              <w:rPr>
                <w:color w:val="auto"/>
                <w:highlight w:val="none"/>
              </w:rPr>
            </w:pPr>
            <w:r>
              <w:rPr>
                <w:color w:val="auto"/>
                <w:spacing w:val="-1"/>
                <w:highlight w:val="none"/>
              </w:rPr>
              <w:t>执业或职业资格证明</w:t>
            </w:r>
          </w:p>
        </w:tc>
        <w:tc>
          <w:tcPr>
            <w:tcW w:w="1128" w:type="dxa"/>
            <w:vMerge w:val="restart"/>
            <w:tcBorders>
              <w:bottom w:val="nil"/>
            </w:tcBorders>
            <w:vAlign w:val="top"/>
          </w:tcPr>
          <w:p w14:paraId="48D06EA6">
            <w:pPr>
              <w:spacing w:line="366" w:lineRule="auto"/>
              <w:rPr>
                <w:rFonts w:ascii="Arial"/>
                <w:color w:val="auto"/>
                <w:sz w:val="21"/>
                <w:highlight w:val="none"/>
              </w:rPr>
            </w:pPr>
          </w:p>
          <w:p w14:paraId="41588B38">
            <w:pPr>
              <w:pStyle w:val="11"/>
              <w:spacing w:before="69" w:line="220" w:lineRule="auto"/>
              <w:ind w:left="153"/>
              <w:rPr>
                <w:color w:val="auto"/>
                <w:highlight w:val="none"/>
              </w:rPr>
            </w:pPr>
            <w:r>
              <w:rPr>
                <w:color w:val="auto"/>
                <w:spacing w:val="-1"/>
                <w:highlight w:val="none"/>
              </w:rPr>
              <w:t>社会保险</w:t>
            </w:r>
          </w:p>
        </w:tc>
        <w:tc>
          <w:tcPr>
            <w:tcW w:w="946" w:type="dxa"/>
            <w:vMerge w:val="restart"/>
            <w:tcBorders>
              <w:bottom w:val="nil"/>
            </w:tcBorders>
            <w:vAlign w:val="top"/>
          </w:tcPr>
          <w:p w14:paraId="43EE597A">
            <w:pPr>
              <w:pStyle w:val="11"/>
              <w:spacing w:before="226" w:line="422" w:lineRule="exact"/>
              <w:ind w:left="161"/>
              <w:rPr>
                <w:color w:val="auto"/>
                <w:highlight w:val="none"/>
              </w:rPr>
            </w:pPr>
            <w:r>
              <w:rPr>
                <w:color w:val="auto"/>
                <w:spacing w:val="-2"/>
                <w:position w:val="16"/>
                <w:highlight w:val="none"/>
              </w:rPr>
              <w:t>执业或</w:t>
            </w:r>
          </w:p>
          <w:p w14:paraId="70F7327F">
            <w:pPr>
              <w:pStyle w:val="11"/>
              <w:spacing w:line="221" w:lineRule="auto"/>
              <w:ind w:left="57"/>
              <w:rPr>
                <w:color w:val="auto"/>
                <w:highlight w:val="none"/>
              </w:rPr>
            </w:pPr>
            <w:r>
              <w:rPr>
                <w:color w:val="auto"/>
                <w:spacing w:val="-1"/>
                <w:highlight w:val="none"/>
              </w:rPr>
              <w:t>职业单位</w:t>
            </w:r>
          </w:p>
        </w:tc>
      </w:tr>
      <w:tr w14:paraId="10E49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379" w:type="dxa"/>
            <w:vMerge w:val="continue"/>
            <w:tcBorders>
              <w:top w:val="nil"/>
            </w:tcBorders>
            <w:textDirection w:val="tbRlV"/>
            <w:vAlign w:val="top"/>
          </w:tcPr>
          <w:p w14:paraId="399E27E3">
            <w:pPr>
              <w:rPr>
                <w:rFonts w:ascii="Arial"/>
                <w:color w:val="auto"/>
                <w:sz w:val="21"/>
                <w:highlight w:val="none"/>
              </w:rPr>
            </w:pPr>
          </w:p>
        </w:tc>
        <w:tc>
          <w:tcPr>
            <w:tcW w:w="1272" w:type="dxa"/>
            <w:vMerge w:val="continue"/>
            <w:tcBorders>
              <w:top w:val="nil"/>
            </w:tcBorders>
            <w:vAlign w:val="top"/>
          </w:tcPr>
          <w:p w14:paraId="1B6992FC">
            <w:pPr>
              <w:rPr>
                <w:rFonts w:ascii="Arial"/>
                <w:color w:val="auto"/>
                <w:sz w:val="21"/>
                <w:highlight w:val="none"/>
              </w:rPr>
            </w:pPr>
          </w:p>
        </w:tc>
        <w:tc>
          <w:tcPr>
            <w:tcW w:w="825" w:type="dxa"/>
            <w:vMerge w:val="continue"/>
            <w:tcBorders>
              <w:top w:val="nil"/>
            </w:tcBorders>
            <w:vAlign w:val="top"/>
          </w:tcPr>
          <w:p w14:paraId="23A56747">
            <w:pPr>
              <w:rPr>
                <w:rFonts w:ascii="Arial"/>
                <w:color w:val="auto"/>
                <w:sz w:val="21"/>
                <w:highlight w:val="none"/>
              </w:rPr>
            </w:pPr>
          </w:p>
        </w:tc>
        <w:tc>
          <w:tcPr>
            <w:tcW w:w="533" w:type="dxa"/>
            <w:vMerge w:val="continue"/>
            <w:tcBorders>
              <w:top w:val="nil"/>
            </w:tcBorders>
            <w:vAlign w:val="top"/>
          </w:tcPr>
          <w:p w14:paraId="13583A47">
            <w:pPr>
              <w:rPr>
                <w:rFonts w:ascii="Arial"/>
                <w:color w:val="auto"/>
                <w:sz w:val="21"/>
                <w:highlight w:val="none"/>
              </w:rPr>
            </w:pPr>
          </w:p>
        </w:tc>
        <w:tc>
          <w:tcPr>
            <w:tcW w:w="749" w:type="dxa"/>
            <w:vMerge w:val="continue"/>
            <w:tcBorders>
              <w:top w:val="nil"/>
            </w:tcBorders>
            <w:vAlign w:val="top"/>
          </w:tcPr>
          <w:p w14:paraId="057DCBF1">
            <w:pPr>
              <w:rPr>
                <w:rFonts w:ascii="Arial"/>
                <w:color w:val="auto"/>
                <w:sz w:val="21"/>
                <w:highlight w:val="none"/>
              </w:rPr>
            </w:pPr>
          </w:p>
        </w:tc>
        <w:tc>
          <w:tcPr>
            <w:tcW w:w="753" w:type="dxa"/>
            <w:vMerge w:val="continue"/>
            <w:tcBorders>
              <w:top w:val="nil"/>
            </w:tcBorders>
            <w:vAlign w:val="top"/>
          </w:tcPr>
          <w:p w14:paraId="405C5849">
            <w:pPr>
              <w:rPr>
                <w:rFonts w:ascii="Arial"/>
                <w:color w:val="auto"/>
                <w:sz w:val="21"/>
                <w:highlight w:val="none"/>
              </w:rPr>
            </w:pPr>
          </w:p>
        </w:tc>
        <w:tc>
          <w:tcPr>
            <w:tcW w:w="965" w:type="dxa"/>
            <w:vMerge w:val="continue"/>
            <w:tcBorders>
              <w:top w:val="nil"/>
            </w:tcBorders>
            <w:vAlign w:val="top"/>
          </w:tcPr>
          <w:p w14:paraId="5C65FEC8">
            <w:pPr>
              <w:rPr>
                <w:rFonts w:ascii="Arial"/>
                <w:color w:val="auto"/>
                <w:sz w:val="21"/>
                <w:highlight w:val="none"/>
              </w:rPr>
            </w:pPr>
          </w:p>
        </w:tc>
        <w:tc>
          <w:tcPr>
            <w:tcW w:w="1032" w:type="dxa"/>
            <w:vMerge w:val="continue"/>
            <w:tcBorders>
              <w:top w:val="nil"/>
            </w:tcBorders>
            <w:vAlign w:val="top"/>
          </w:tcPr>
          <w:p w14:paraId="1D99E768">
            <w:pPr>
              <w:rPr>
                <w:rFonts w:ascii="Arial"/>
                <w:color w:val="auto"/>
                <w:sz w:val="21"/>
                <w:highlight w:val="none"/>
              </w:rPr>
            </w:pPr>
          </w:p>
        </w:tc>
        <w:tc>
          <w:tcPr>
            <w:tcW w:w="855" w:type="dxa"/>
            <w:vAlign w:val="top"/>
          </w:tcPr>
          <w:p w14:paraId="5531148E">
            <w:pPr>
              <w:pStyle w:val="11"/>
              <w:spacing w:before="164" w:line="221" w:lineRule="auto"/>
              <w:ind w:left="224"/>
              <w:rPr>
                <w:color w:val="auto"/>
                <w:highlight w:val="none"/>
              </w:rPr>
            </w:pPr>
            <w:r>
              <w:rPr>
                <w:color w:val="auto"/>
                <w:spacing w:val="-3"/>
                <w:highlight w:val="none"/>
              </w:rPr>
              <w:t>级别</w:t>
            </w:r>
          </w:p>
        </w:tc>
        <w:tc>
          <w:tcPr>
            <w:tcW w:w="854" w:type="dxa"/>
            <w:vAlign w:val="top"/>
          </w:tcPr>
          <w:p w14:paraId="7E3E5332">
            <w:pPr>
              <w:pStyle w:val="11"/>
              <w:spacing w:before="164" w:line="221" w:lineRule="auto"/>
              <w:ind w:right="1"/>
              <w:jc w:val="right"/>
              <w:rPr>
                <w:color w:val="auto"/>
                <w:highlight w:val="none"/>
              </w:rPr>
            </w:pPr>
            <w:r>
              <w:rPr>
                <w:color w:val="auto"/>
                <w:spacing w:val="-1"/>
                <w:highlight w:val="none"/>
              </w:rPr>
              <w:t>职称专业</w:t>
            </w:r>
          </w:p>
        </w:tc>
        <w:tc>
          <w:tcPr>
            <w:tcW w:w="854" w:type="dxa"/>
            <w:vAlign w:val="top"/>
          </w:tcPr>
          <w:p w14:paraId="179E5B8B">
            <w:pPr>
              <w:pStyle w:val="11"/>
              <w:spacing w:before="29" w:line="225" w:lineRule="auto"/>
              <w:ind w:left="221" w:right="1" w:hanging="210"/>
              <w:rPr>
                <w:color w:val="auto"/>
                <w:highlight w:val="none"/>
              </w:rPr>
            </w:pPr>
            <w:r>
              <w:rPr>
                <w:color w:val="auto"/>
                <w:spacing w:val="-2"/>
                <w:highlight w:val="none"/>
              </w:rPr>
              <w:t>职称专业</w:t>
            </w:r>
            <w:r>
              <w:rPr>
                <w:color w:val="auto"/>
                <w:spacing w:val="2"/>
                <w:highlight w:val="none"/>
              </w:rPr>
              <w:t xml:space="preserve"> </w:t>
            </w:r>
            <w:r>
              <w:rPr>
                <w:color w:val="auto"/>
                <w:spacing w:val="-2"/>
                <w:highlight w:val="none"/>
              </w:rPr>
              <w:t>类别</w:t>
            </w:r>
          </w:p>
        </w:tc>
        <w:tc>
          <w:tcPr>
            <w:tcW w:w="849" w:type="dxa"/>
            <w:vAlign w:val="top"/>
          </w:tcPr>
          <w:p w14:paraId="0B791037">
            <w:pPr>
              <w:pStyle w:val="11"/>
              <w:spacing w:before="163" w:line="220" w:lineRule="auto"/>
              <w:jc w:val="right"/>
              <w:rPr>
                <w:color w:val="auto"/>
                <w:highlight w:val="none"/>
              </w:rPr>
            </w:pPr>
            <w:r>
              <w:rPr>
                <w:color w:val="auto"/>
                <w:spacing w:val="-2"/>
                <w:highlight w:val="none"/>
              </w:rPr>
              <w:t>证书名称</w:t>
            </w:r>
          </w:p>
        </w:tc>
        <w:tc>
          <w:tcPr>
            <w:tcW w:w="850" w:type="dxa"/>
            <w:vAlign w:val="top"/>
          </w:tcPr>
          <w:p w14:paraId="42A22CF0">
            <w:pPr>
              <w:pStyle w:val="11"/>
              <w:spacing w:before="164" w:line="221" w:lineRule="auto"/>
              <w:ind w:left="226"/>
              <w:rPr>
                <w:color w:val="auto"/>
                <w:highlight w:val="none"/>
              </w:rPr>
            </w:pPr>
            <w:r>
              <w:rPr>
                <w:color w:val="auto"/>
                <w:spacing w:val="-3"/>
                <w:highlight w:val="none"/>
              </w:rPr>
              <w:t>级别</w:t>
            </w:r>
          </w:p>
        </w:tc>
        <w:tc>
          <w:tcPr>
            <w:tcW w:w="854" w:type="dxa"/>
            <w:vAlign w:val="top"/>
          </w:tcPr>
          <w:p w14:paraId="571CF72B">
            <w:pPr>
              <w:pStyle w:val="11"/>
              <w:spacing w:before="163" w:line="222" w:lineRule="auto"/>
              <w:ind w:left="223"/>
              <w:rPr>
                <w:color w:val="auto"/>
                <w:highlight w:val="none"/>
              </w:rPr>
            </w:pPr>
            <w:r>
              <w:rPr>
                <w:color w:val="auto"/>
                <w:spacing w:val="-2"/>
                <w:highlight w:val="none"/>
              </w:rPr>
              <w:t>证号</w:t>
            </w:r>
          </w:p>
        </w:tc>
        <w:tc>
          <w:tcPr>
            <w:tcW w:w="744" w:type="dxa"/>
            <w:vAlign w:val="top"/>
          </w:tcPr>
          <w:p w14:paraId="5354ED16">
            <w:pPr>
              <w:pStyle w:val="11"/>
              <w:spacing w:before="164" w:line="221" w:lineRule="auto"/>
              <w:ind w:left="167"/>
              <w:rPr>
                <w:color w:val="auto"/>
                <w:highlight w:val="none"/>
              </w:rPr>
            </w:pPr>
            <w:r>
              <w:rPr>
                <w:color w:val="auto"/>
                <w:spacing w:val="-2"/>
                <w:highlight w:val="none"/>
              </w:rPr>
              <w:t>专业</w:t>
            </w:r>
          </w:p>
        </w:tc>
        <w:tc>
          <w:tcPr>
            <w:tcW w:w="1128" w:type="dxa"/>
            <w:vMerge w:val="continue"/>
            <w:tcBorders>
              <w:top w:val="nil"/>
            </w:tcBorders>
            <w:vAlign w:val="top"/>
          </w:tcPr>
          <w:p w14:paraId="3204D913">
            <w:pPr>
              <w:rPr>
                <w:rFonts w:ascii="Arial"/>
                <w:color w:val="auto"/>
                <w:sz w:val="21"/>
                <w:highlight w:val="none"/>
              </w:rPr>
            </w:pPr>
          </w:p>
        </w:tc>
        <w:tc>
          <w:tcPr>
            <w:tcW w:w="946" w:type="dxa"/>
            <w:vMerge w:val="continue"/>
            <w:tcBorders>
              <w:top w:val="nil"/>
            </w:tcBorders>
            <w:vAlign w:val="top"/>
          </w:tcPr>
          <w:p w14:paraId="1B7FB449">
            <w:pPr>
              <w:rPr>
                <w:rFonts w:ascii="Arial"/>
                <w:color w:val="auto"/>
                <w:sz w:val="21"/>
                <w:highlight w:val="none"/>
              </w:rPr>
            </w:pPr>
          </w:p>
        </w:tc>
      </w:tr>
      <w:tr w14:paraId="13D6BD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79" w:type="dxa"/>
            <w:vAlign w:val="top"/>
          </w:tcPr>
          <w:p w14:paraId="2F51BDEE">
            <w:pPr>
              <w:spacing w:before="154" w:line="189" w:lineRule="auto"/>
              <w:ind w:left="158"/>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1</w:t>
            </w:r>
          </w:p>
        </w:tc>
        <w:tc>
          <w:tcPr>
            <w:tcW w:w="1272" w:type="dxa"/>
            <w:vAlign w:val="top"/>
          </w:tcPr>
          <w:p w14:paraId="42282351">
            <w:pPr>
              <w:rPr>
                <w:rFonts w:ascii="Arial"/>
                <w:color w:val="auto"/>
                <w:sz w:val="21"/>
                <w:highlight w:val="none"/>
              </w:rPr>
            </w:pPr>
          </w:p>
        </w:tc>
        <w:tc>
          <w:tcPr>
            <w:tcW w:w="825" w:type="dxa"/>
            <w:vAlign w:val="top"/>
          </w:tcPr>
          <w:p w14:paraId="552D5547">
            <w:pPr>
              <w:rPr>
                <w:rFonts w:ascii="Arial"/>
                <w:color w:val="auto"/>
                <w:sz w:val="21"/>
                <w:highlight w:val="none"/>
              </w:rPr>
            </w:pPr>
          </w:p>
        </w:tc>
        <w:tc>
          <w:tcPr>
            <w:tcW w:w="533" w:type="dxa"/>
            <w:vAlign w:val="top"/>
          </w:tcPr>
          <w:p w14:paraId="56BF81F1">
            <w:pPr>
              <w:rPr>
                <w:rFonts w:ascii="Arial"/>
                <w:color w:val="auto"/>
                <w:sz w:val="21"/>
                <w:highlight w:val="none"/>
              </w:rPr>
            </w:pPr>
          </w:p>
        </w:tc>
        <w:tc>
          <w:tcPr>
            <w:tcW w:w="749" w:type="dxa"/>
            <w:vAlign w:val="top"/>
          </w:tcPr>
          <w:p w14:paraId="2E48EA74">
            <w:pPr>
              <w:rPr>
                <w:rFonts w:ascii="Arial"/>
                <w:color w:val="auto"/>
                <w:sz w:val="21"/>
                <w:highlight w:val="none"/>
              </w:rPr>
            </w:pPr>
          </w:p>
        </w:tc>
        <w:tc>
          <w:tcPr>
            <w:tcW w:w="753" w:type="dxa"/>
            <w:vAlign w:val="top"/>
          </w:tcPr>
          <w:p w14:paraId="7726288F">
            <w:pPr>
              <w:rPr>
                <w:rFonts w:ascii="Arial"/>
                <w:color w:val="auto"/>
                <w:sz w:val="21"/>
                <w:highlight w:val="none"/>
              </w:rPr>
            </w:pPr>
          </w:p>
        </w:tc>
        <w:tc>
          <w:tcPr>
            <w:tcW w:w="965" w:type="dxa"/>
            <w:vAlign w:val="top"/>
          </w:tcPr>
          <w:p w14:paraId="00EA6C8A">
            <w:pPr>
              <w:rPr>
                <w:rFonts w:ascii="Arial"/>
                <w:color w:val="auto"/>
                <w:sz w:val="21"/>
                <w:highlight w:val="none"/>
              </w:rPr>
            </w:pPr>
          </w:p>
        </w:tc>
        <w:tc>
          <w:tcPr>
            <w:tcW w:w="1032" w:type="dxa"/>
            <w:vAlign w:val="top"/>
          </w:tcPr>
          <w:p w14:paraId="1BBA9A5B">
            <w:pPr>
              <w:rPr>
                <w:rFonts w:ascii="Arial"/>
                <w:color w:val="auto"/>
                <w:sz w:val="21"/>
                <w:highlight w:val="none"/>
              </w:rPr>
            </w:pPr>
          </w:p>
        </w:tc>
        <w:tc>
          <w:tcPr>
            <w:tcW w:w="855" w:type="dxa"/>
            <w:vAlign w:val="top"/>
          </w:tcPr>
          <w:p w14:paraId="4CED09B9">
            <w:pPr>
              <w:rPr>
                <w:rFonts w:ascii="Arial"/>
                <w:color w:val="auto"/>
                <w:sz w:val="21"/>
                <w:highlight w:val="none"/>
              </w:rPr>
            </w:pPr>
          </w:p>
        </w:tc>
        <w:tc>
          <w:tcPr>
            <w:tcW w:w="854" w:type="dxa"/>
            <w:vAlign w:val="top"/>
          </w:tcPr>
          <w:p w14:paraId="032251E2">
            <w:pPr>
              <w:rPr>
                <w:rFonts w:ascii="Arial"/>
                <w:color w:val="auto"/>
                <w:sz w:val="21"/>
                <w:highlight w:val="none"/>
              </w:rPr>
            </w:pPr>
          </w:p>
        </w:tc>
        <w:tc>
          <w:tcPr>
            <w:tcW w:w="854" w:type="dxa"/>
            <w:vAlign w:val="top"/>
          </w:tcPr>
          <w:p w14:paraId="171135B4">
            <w:pPr>
              <w:rPr>
                <w:rFonts w:ascii="Arial"/>
                <w:color w:val="auto"/>
                <w:sz w:val="21"/>
                <w:highlight w:val="none"/>
              </w:rPr>
            </w:pPr>
          </w:p>
        </w:tc>
        <w:tc>
          <w:tcPr>
            <w:tcW w:w="849" w:type="dxa"/>
            <w:vAlign w:val="top"/>
          </w:tcPr>
          <w:p w14:paraId="687653B6">
            <w:pPr>
              <w:rPr>
                <w:rFonts w:ascii="Arial"/>
                <w:color w:val="auto"/>
                <w:sz w:val="21"/>
                <w:highlight w:val="none"/>
              </w:rPr>
            </w:pPr>
          </w:p>
        </w:tc>
        <w:tc>
          <w:tcPr>
            <w:tcW w:w="850" w:type="dxa"/>
            <w:vAlign w:val="top"/>
          </w:tcPr>
          <w:p w14:paraId="34FF0F7D">
            <w:pPr>
              <w:rPr>
                <w:rFonts w:ascii="Arial"/>
                <w:color w:val="auto"/>
                <w:sz w:val="21"/>
                <w:highlight w:val="none"/>
              </w:rPr>
            </w:pPr>
          </w:p>
        </w:tc>
        <w:tc>
          <w:tcPr>
            <w:tcW w:w="854" w:type="dxa"/>
            <w:vAlign w:val="top"/>
          </w:tcPr>
          <w:p w14:paraId="24F66DDA">
            <w:pPr>
              <w:rPr>
                <w:rFonts w:ascii="Arial"/>
                <w:color w:val="auto"/>
                <w:sz w:val="21"/>
                <w:highlight w:val="none"/>
              </w:rPr>
            </w:pPr>
          </w:p>
        </w:tc>
        <w:tc>
          <w:tcPr>
            <w:tcW w:w="744" w:type="dxa"/>
            <w:vAlign w:val="top"/>
          </w:tcPr>
          <w:p w14:paraId="14161211">
            <w:pPr>
              <w:rPr>
                <w:rFonts w:ascii="Arial"/>
                <w:color w:val="auto"/>
                <w:sz w:val="21"/>
                <w:highlight w:val="none"/>
              </w:rPr>
            </w:pPr>
          </w:p>
        </w:tc>
        <w:tc>
          <w:tcPr>
            <w:tcW w:w="1128" w:type="dxa"/>
            <w:vAlign w:val="top"/>
          </w:tcPr>
          <w:p w14:paraId="089BCE3E">
            <w:pPr>
              <w:rPr>
                <w:rFonts w:ascii="Arial"/>
                <w:color w:val="auto"/>
                <w:sz w:val="21"/>
                <w:highlight w:val="none"/>
              </w:rPr>
            </w:pPr>
          </w:p>
        </w:tc>
        <w:tc>
          <w:tcPr>
            <w:tcW w:w="946" w:type="dxa"/>
            <w:vAlign w:val="top"/>
          </w:tcPr>
          <w:p w14:paraId="645E054A">
            <w:pPr>
              <w:rPr>
                <w:rFonts w:ascii="Arial"/>
                <w:color w:val="auto"/>
                <w:sz w:val="21"/>
                <w:highlight w:val="none"/>
              </w:rPr>
            </w:pPr>
          </w:p>
        </w:tc>
      </w:tr>
      <w:tr w14:paraId="19D95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379" w:type="dxa"/>
            <w:vAlign w:val="top"/>
          </w:tcPr>
          <w:p w14:paraId="512BC89E">
            <w:pPr>
              <w:spacing w:before="154" w:line="189" w:lineRule="auto"/>
              <w:ind w:left="138"/>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2</w:t>
            </w:r>
          </w:p>
        </w:tc>
        <w:tc>
          <w:tcPr>
            <w:tcW w:w="1272" w:type="dxa"/>
            <w:vAlign w:val="top"/>
          </w:tcPr>
          <w:p w14:paraId="43F64496">
            <w:pPr>
              <w:rPr>
                <w:rFonts w:ascii="Arial"/>
                <w:color w:val="auto"/>
                <w:sz w:val="21"/>
                <w:highlight w:val="none"/>
              </w:rPr>
            </w:pPr>
          </w:p>
        </w:tc>
        <w:tc>
          <w:tcPr>
            <w:tcW w:w="825" w:type="dxa"/>
            <w:vAlign w:val="top"/>
          </w:tcPr>
          <w:p w14:paraId="7D3B486A">
            <w:pPr>
              <w:rPr>
                <w:rFonts w:ascii="Arial"/>
                <w:color w:val="auto"/>
                <w:sz w:val="21"/>
                <w:highlight w:val="none"/>
              </w:rPr>
            </w:pPr>
          </w:p>
        </w:tc>
        <w:tc>
          <w:tcPr>
            <w:tcW w:w="533" w:type="dxa"/>
            <w:vAlign w:val="top"/>
          </w:tcPr>
          <w:p w14:paraId="61B64158">
            <w:pPr>
              <w:rPr>
                <w:rFonts w:ascii="Arial"/>
                <w:color w:val="auto"/>
                <w:sz w:val="21"/>
                <w:highlight w:val="none"/>
              </w:rPr>
            </w:pPr>
          </w:p>
        </w:tc>
        <w:tc>
          <w:tcPr>
            <w:tcW w:w="749" w:type="dxa"/>
            <w:vAlign w:val="top"/>
          </w:tcPr>
          <w:p w14:paraId="283A7844">
            <w:pPr>
              <w:rPr>
                <w:rFonts w:ascii="Arial"/>
                <w:color w:val="auto"/>
                <w:sz w:val="21"/>
                <w:highlight w:val="none"/>
              </w:rPr>
            </w:pPr>
          </w:p>
        </w:tc>
        <w:tc>
          <w:tcPr>
            <w:tcW w:w="753" w:type="dxa"/>
            <w:vAlign w:val="top"/>
          </w:tcPr>
          <w:p w14:paraId="2C173CAC">
            <w:pPr>
              <w:rPr>
                <w:rFonts w:ascii="Arial"/>
                <w:color w:val="auto"/>
                <w:sz w:val="21"/>
                <w:highlight w:val="none"/>
              </w:rPr>
            </w:pPr>
          </w:p>
        </w:tc>
        <w:tc>
          <w:tcPr>
            <w:tcW w:w="965" w:type="dxa"/>
            <w:vAlign w:val="top"/>
          </w:tcPr>
          <w:p w14:paraId="1D4A509A">
            <w:pPr>
              <w:rPr>
                <w:rFonts w:ascii="Arial"/>
                <w:color w:val="auto"/>
                <w:sz w:val="21"/>
                <w:highlight w:val="none"/>
              </w:rPr>
            </w:pPr>
          </w:p>
        </w:tc>
        <w:tc>
          <w:tcPr>
            <w:tcW w:w="1032" w:type="dxa"/>
            <w:vAlign w:val="top"/>
          </w:tcPr>
          <w:p w14:paraId="52E2D78E">
            <w:pPr>
              <w:rPr>
                <w:rFonts w:ascii="Arial"/>
                <w:color w:val="auto"/>
                <w:sz w:val="21"/>
                <w:highlight w:val="none"/>
              </w:rPr>
            </w:pPr>
          </w:p>
        </w:tc>
        <w:tc>
          <w:tcPr>
            <w:tcW w:w="855" w:type="dxa"/>
            <w:vAlign w:val="top"/>
          </w:tcPr>
          <w:p w14:paraId="66AC6662">
            <w:pPr>
              <w:rPr>
                <w:rFonts w:ascii="Arial"/>
                <w:color w:val="auto"/>
                <w:sz w:val="21"/>
                <w:highlight w:val="none"/>
              </w:rPr>
            </w:pPr>
          </w:p>
        </w:tc>
        <w:tc>
          <w:tcPr>
            <w:tcW w:w="854" w:type="dxa"/>
            <w:vAlign w:val="top"/>
          </w:tcPr>
          <w:p w14:paraId="4389BB4D">
            <w:pPr>
              <w:rPr>
                <w:rFonts w:ascii="Arial"/>
                <w:color w:val="auto"/>
                <w:sz w:val="21"/>
                <w:highlight w:val="none"/>
              </w:rPr>
            </w:pPr>
          </w:p>
        </w:tc>
        <w:tc>
          <w:tcPr>
            <w:tcW w:w="854" w:type="dxa"/>
            <w:vAlign w:val="top"/>
          </w:tcPr>
          <w:p w14:paraId="31F3E91A">
            <w:pPr>
              <w:rPr>
                <w:rFonts w:ascii="Arial"/>
                <w:color w:val="auto"/>
                <w:sz w:val="21"/>
                <w:highlight w:val="none"/>
              </w:rPr>
            </w:pPr>
          </w:p>
        </w:tc>
        <w:tc>
          <w:tcPr>
            <w:tcW w:w="849" w:type="dxa"/>
            <w:vAlign w:val="top"/>
          </w:tcPr>
          <w:p w14:paraId="3E7D73CA">
            <w:pPr>
              <w:rPr>
                <w:rFonts w:ascii="Arial"/>
                <w:color w:val="auto"/>
                <w:sz w:val="21"/>
                <w:highlight w:val="none"/>
              </w:rPr>
            </w:pPr>
          </w:p>
        </w:tc>
        <w:tc>
          <w:tcPr>
            <w:tcW w:w="850" w:type="dxa"/>
            <w:vAlign w:val="top"/>
          </w:tcPr>
          <w:p w14:paraId="7852AC35">
            <w:pPr>
              <w:rPr>
                <w:rFonts w:ascii="Arial"/>
                <w:color w:val="auto"/>
                <w:sz w:val="21"/>
                <w:highlight w:val="none"/>
              </w:rPr>
            </w:pPr>
          </w:p>
        </w:tc>
        <w:tc>
          <w:tcPr>
            <w:tcW w:w="854" w:type="dxa"/>
            <w:vAlign w:val="top"/>
          </w:tcPr>
          <w:p w14:paraId="1BCF8905">
            <w:pPr>
              <w:rPr>
                <w:rFonts w:ascii="Arial"/>
                <w:color w:val="auto"/>
                <w:sz w:val="21"/>
                <w:highlight w:val="none"/>
              </w:rPr>
            </w:pPr>
          </w:p>
        </w:tc>
        <w:tc>
          <w:tcPr>
            <w:tcW w:w="744" w:type="dxa"/>
            <w:vAlign w:val="top"/>
          </w:tcPr>
          <w:p w14:paraId="681C600C">
            <w:pPr>
              <w:rPr>
                <w:rFonts w:ascii="Arial"/>
                <w:color w:val="auto"/>
                <w:sz w:val="21"/>
                <w:highlight w:val="none"/>
              </w:rPr>
            </w:pPr>
          </w:p>
        </w:tc>
        <w:tc>
          <w:tcPr>
            <w:tcW w:w="1128" w:type="dxa"/>
            <w:vAlign w:val="top"/>
          </w:tcPr>
          <w:p w14:paraId="596B676C">
            <w:pPr>
              <w:rPr>
                <w:rFonts w:ascii="Arial"/>
                <w:color w:val="auto"/>
                <w:sz w:val="21"/>
                <w:highlight w:val="none"/>
              </w:rPr>
            </w:pPr>
          </w:p>
        </w:tc>
        <w:tc>
          <w:tcPr>
            <w:tcW w:w="946" w:type="dxa"/>
            <w:vAlign w:val="top"/>
          </w:tcPr>
          <w:p w14:paraId="15EF590A">
            <w:pPr>
              <w:rPr>
                <w:rFonts w:ascii="Arial"/>
                <w:color w:val="auto"/>
                <w:sz w:val="21"/>
                <w:highlight w:val="none"/>
              </w:rPr>
            </w:pPr>
          </w:p>
        </w:tc>
      </w:tr>
      <w:tr w14:paraId="3AE23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6" w:hRule="atLeast"/>
        </w:trPr>
        <w:tc>
          <w:tcPr>
            <w:tcW w:w="379" w:type="dxa"/>
            <w:vAlign w:val="top"/>
          </w:tcPr>
          <w:p w14:paraId="379864B3">
            <w:pPr>
              <w:spacing w:before="154" w:line="189" w:lineRule="auto"/>
              <w:ind w:left="142"/>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3</w:t>
            </w:r>
          </w:p>
        </w:tc>
        <w:tc>
          <w:tcPr>
            <w:tcW w:w="1272" w:type="dxa"/>
            <w:vAlign w:val="top"/>
          </w:tcPr>
          <w:p w14:paraId="109C161E">
            <w:pPr>
              <w:rPr>
                <w:rFonts w:ascii="Arial"/>
                <w:color w:val="auto"/>
                <w:sz w:val="21"/>
                <w:highlight w:val="none"/>
              </w:rPr>
            </w:pPr>
          </w:p>
        </w:tc>
        <w:tc>
          <w:tcPr>
            <w:tcW w:w="825" w:type="dxa"/>
            <w:vAlign w:val="top"/>
          </w:tcPr>
          <w:p w14:paraId="354ECFE8">
            <w:pPr>
              <w:rPr>
                <w:rFonts w:ascii="Arial"/>
                <w:color w:val="auto"/>
                <w:sz w:val="21"/>
                <w:highlight w:val="none"/>
              </w:rPr>
            </w:pPr>
          </w:p>
        </w:tc>
        <w:tc>
          <w:tcPr>
            <w:tcW w:w="533" w:type="dxa"/>
            <w:vAlign w:val="top"/>
          </w:tcPr>
          <w:p w14:paraId="32D602EC">
            <w:pPr>
              <w:rPr>
                <w:rFonts w:ascii="Arial"/>
                <w:color w:val="auto"/>
                <w:sz w:val="21"/>
                <w:highlight w:val="none"/>
              </w:rPr>
            </w:pPr>
          </w:p>
        </w:tc>
        <w:tc>
          <w:tcPr>
            <w:tcW w:w="749" w:type="dxa"/>
            <w:vAlign w:val="top"/>
          </w:tcPr>
          <w:p w14:paraId="4A0F9082">
            <w:pPr>
              <w:rPr>
                <w:rFonts w:ascii="Arial"/>
                <w:color w:val="auto"/>
                <w:sz w:val="21"/>
                <w:highlight w:val="none"/>
              </w:rPr>
            </w:pPr>
          </w:p>
        </w:tc>
        <w:tc>
          <w:tcPr>
            <w:tcW w:w="753" w:type="dxa"/>
            <w:vAlign w:val="top"/>
          </w:tcPr>
          <w:p w14:paraId="3DC204C3">
            <w:pPr>
              <w:rPr>
                <w:rFonts w:ascii="Arial"/>
                <w:color w:val="auto"/>
                <w:sz w:val="21"/>
                <w:highlight w:val="none"/>
              </w:rPr>
            </w:pPr>
          </w:p>
        </w:tc>
        <w:tc>
          <w:tcPr>
            <w:tcW w:w="965" w:type="dxa"/>
            <w:vAlign w:val="top"/>
          </w:tcPr>
          <w:p w14:paraId="4721FCEC">
            <w:pPr>
              <w:rPr>
                <w:rFonts w:ascii="Arial"/>
                <w:color w:val="auto"/>
                <w:sz w:val="21"/>
                <w:highlight w:val="none"/>
              </w:rPr>
            </w:pPr>
          </w:p>
        </w:tc>
        <w:tc>
          <w:tcPr>
            <w:tcW w:w="1032" w:type="dxa"/>
            <w:vAlign w:val="top"/>
          </w:tcPr>
          <w:p w14:paraId="2B019806">
            <w:pPr>
              <w:rPr>
                <w:rFonts w:ascii="Arial"/>
                <w:color w:val="auto"/>
                <w:sz w:val="21"/>
                <w:highlight w:val="none"/>
              </w:rPr>
            </w:pPr>
          </w:p>
        </w:tc>
        <w:tc>
          <w:tcPr>
            <w:tcW w:w="855" w:type="dxa"/>
            <w:vAlign w:val="top"/>
          </w:tcPr>
          <w:p w14:paraId="53AC684B">
            <w:pPr>
              <w:rPr>
                <w:rFonts w:ascii="Arial"/>
                <w:color w:val="auto"/>
                <w:sz w:val="21"/>
                <w:highlight w:val="none"/>
              </w:rPr>
            </w:pPr>
          </w:p>
        </w:tc>
        <w:tc>
          <w:tcPr>
            <w:tcW w:w="854" w:type="dxa"/>
            <w:vAlign w:val="top"/>
          </w:tcPr>
          <w:p w14:paraId="63BB2820">
            <w:pPr>
              <w:rPr>
                <w:rFonts w:ascii="Arial"/>
                <w:color w:val="auto"/>
                <w:sz w:val="21"/>
                <w:highlight w:val="none"/>
              </w:rPr>
            </w:pPr>
          </w:p>
        </w:tc>
        <w:tc>
          <w:tcPr>
            <w:tcW w:w="854" w:type="dxa"/>
            <w:vAlign w:val="top"/>
          </w:tcPr>
          <w:p w14:paraId="690582A9">
            <w:pPr>
              <w:rPr>
                <w:rFonts w:ascii="Arial"/>
                <w:color w:val="auto"/>
                <w:sz w:val="21"/>
                <w:highlight w:val="none"/>
              </w:rPr>
            </w:pPr>
          </w:p>
        </w:tc>
        <w:tc>
          <w:tcPr>
            <w:tcW w:w="849" w:type="dxa"/>
            <w:vAlign w:val="top"/>
          </w:tcPr>
          <w:p w14:paraId="265C6D4A">
            <w:pPr>
              <w:rPr>
                <w:rFonts w:ascii="Arial"/>
                <w:color w:val="auto"/>
                <w:sz w:val="21"/>
                <w:highlight w:val="none"/>
              </w:rPr>
            </w:pPr>
          </w:p>
        </w:tc>
        <w:tc>
          <w:tcPr>
            <w:tcW w:w="850" w:type="dxa"/>
            <w:vAlign w:val="top"/>
          </w:tcPr>
          <w:p w14:paraId="1D364FA7">
            <w:pPr>
              <w:rPr>
                <w:rFonts w:ascii="Arial"/>
                <w:color w:val="auto"/>
                <w:sz w:val="21"/>
                <w:highlight w:val="none"/>
              </w:rPr>
            </w:pPr>
          </w:p>
        </w:tc>
        <w:tc>
          <w:tcPr>
            <w:tcW w:w="854" w:type="dxa"/>
            <w:vAlign w:val="top"/>
          </w:tcPr>
          <w:p w14:paraId="5D0D98D5">
            <w:pPr>
              <w:rPr>
                <w:rFonts w:ascii="Arial"/>
                <w:color w:val="auto"/>
                <w:sz w:val="21"/>
                <w:highlight w:val="none"/>
              </w:rPr>
            </w:pPr>
          </w:p>
        </w:tc>
        <w:tc>
          <w:tcPr>
            <w:tcW w:w="744" w:type="dxa"/>
            <w:vAlign w:val="top"/>
          </w:tcPr>
          <w:p w14:paraId="0B867704">
            <w:pPr>
              <w:rPr>
                <w:rFonts w:ascii="Arial"/>
                <w:color w:val="auto"/>
                <w:sz w:val="21"/>
                <w:highlight w:val="none"/>
              </w:rPr>
            </w:pPr>
          </w:p>
        </w:tc>
        <w:tc>
          <w:tcPr>
            <w:tcW w:w="1128" w:type="dxa"/>
            <w:vAlign w:val="top"/>
          </w:tcPr>
          <w:p w14:paraId="2B9BFB4C">
            <w:pPr>
              <w:rPr>
                <w:rFonts w:ascii="Arial"/>
                <w:color w:val="auto"/>
                <w:sz w:val="21"/>
                <w:highlight w:val="none"/>
              </w:rPr>
            </w:pPr>
          </w:p>
        </w:tc>
        <w:tc>
          <w:tcPr>
            <w:tcW w:w="946" w:type="dxa"/>
            <w:vAlign w:val="top"/>
          </w:tcPr>
          <w:p w14:paraId="5A4428C4">
            <w:pPr>
              <w:rPr>
                <w:rFonts w:ascii="Arial"/>
                <w:color w:val="auto"/>
                <w:sz w:val="21"/>
                <w:highlight w:val="none"/>
              </w:rPr>
            </w:pPr>
          </w:p>
        </w:tc>
      </w:tr>
      <w:tr w14:paraId="09F93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379" w:type="dxa"/>
            <w:vAlign w:val="top"/>
          </w:tcPr>
          <w:p w14:paraId="11542EA9">
            <w:pPr>
              <w:spacing w:before="159" w:line="189" w:lineRule="auto"/>
              <w:ind w:left="137"/>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4</w:t>
            </w:r>
          </w:p>
        </w:tc>
        <w:tc>
          <w:tcPr>
            <w:tcW w:w="1272" w:type="dxa"/>
            <w:vAlign w:val="top"/>
          </w:tcPr>
          <w:p w14:paraId="4990888F">
            <w:pPr>
              <w:rPr>
                <w:rFonts w:ascii="Arial"/>
                <w:color w:val="auto"/>
                <w:sz w:val="21"/>
                <w:highlight w:val="none"/>
              </w:rPr>
            </w:pPr>
          </w:p>
        </w:tc>
        <w:tc>
          <w:tcPr>
            <w:tcW w:w="825" w:type="dxa"/>
            <w:vAlign w:val="top"/>
          </w:tcPr>
          <w:p w14:paraId="70960ABD">
            <w:pPr>
              <w:rPr>
                <w:rFonts w:ascii="Arial"/>
                <w:color w:val="auto"/>
                <w:sz w:val="21"/>
                <w:highlight w:val="none"/>
              </w:rPr>
            </w:pPr>
          </w:p>
        </w:tc>
        <w:tc>
          <w:tcPr>
            <w:tcW w:w="533" w:type="dxa"/>
            <w:vAlign w:val="top"/>
          </w:tcPr>
          <w:p w14:paraId="7FCA7E3A">
            <w:pPr>
              <w:rPr>
                <w:rFonts w:ascii="Arial"/>
                <w:color w:val="auto"/>
                <w:sz w:val="21"/>
                <w:highlight w:val="none"/>
              </w:rPr>
            </w:pPr>
          </w:p>
        </w:tc>
        <w:tc>
          <w:tcPr>
            <w:tcW w:w="749" w:type="dxa"/>
            <w:vAlign w:val="top"/>
          </w:tcPr>
          <w:p w14:paraId="4AA5E37E">
            <w:pPr>
              <w:rPr>
                <w:rFonts w:ascii="Arial"/>
                <w:color w:val="auto"/>
                <w:sz w:val="21"/>
                <w:highlight w:val="none"/>
              </w:rPr>
            </w:pPr>
          </w:p>
        </w:tc>
        <w:tc>
          <w:tcPr>
            <w:tcW w:w="753" w:type="dxa"/>
            <w:vAlign w:val="top"/>
          </w:tcPr>
          <w:p w14:paraId="55ACCBFD">
            <w:pPr>
              <w:rPr>
                <w:rFonts w:ascii="Arial"/>
                <w:color w:val="auto"/>
                <w:sz w:val="21"/>
                <w:highlight w:val="none"/>
              </w:rPr>
            </w:pPr>
          </w:p>
        </w:tc>
        <w:tc>
          <w:tcPr>
            <w:tcW w:w="965" w:type="dxa"/>
            <w:vAlign w:val="top"/>
          </w:tcPr>
          <w:p w14:paraId="64A1237F">
            <w:pPr>
              <w:rPr>
                <w:rFonts w:ascii="Arial"/>
                <w:color w:val="auto"/>
                <w:sz w:val="21"/>
                <w:highlight w:val="none"/>
              </w:rPr>
            </w:pPr>
          </w:p>
        </w:tc>
        <w:tc>
          <w:tcPr>
            <w:tcW w:w="1032" w:type="dxa"/>
            <w:vAlign w:val="top"/>
          </w:tcPr>
          <w:p w14:paraId="6CAE9789">
            <w:pPr>
              <w:rPr>
                <w:rFonts w:ascii="Arial"/>
                <w:color w:val="auto"/>
                <w:sz w:val="21"/>
                <w:highlight w:val="none"/>
              </w:rPr>
            </w:pPr>
          </w:p>
        </w:tc>
        <w:tc>
          <w:tcPr>
            <w:tcW w:w="855" w:type="dxa"/>
            <w:vAlign w:val="top"/>
          </w:tcPr>
          <w:p w14:paraId="0B4E0845">
            <w:pPr>
              <w:rPr>
                <w:rFonts w:ascii="Arial"/>
                <w:color w:val="auto"/>
                <w:sz w:val="21"/>
                <w:highlight w:val="none"/>
              </w:rPr>
            </w:pPr>
          </w:p>
        </w:tc>
        <w:tc>
          <w:tcPr>
            <w:tcW w:w="854" w:type="dxa"/>
            <w:vAlign w:val="top"/>
          </w:tcPr>
          <w:p w14:paraId="252F1E54">
            <w:pPr>
              <w:rPr>
                <w:rFonts w:ascii="Arial"/>
                <w:color w:val="auto"/>
                <w:sz w:val="21"/>
                <w:highlight w:val="none"/>
              </w:rPr>
            </w:pPr>
          </w:p>
        </w:tc>
        <w:tc>
          <w:tcPr>
            <w:tcW w:w="854" w:type="dxa"/>
            <w:vAlign w:val="top"/>
          </w:tcPr>
          <w:p w14:paraId="12AC617A">
            <w:pPr>
              <w:rPr>
                <w:rFonts w:ascii="Arial"/>
                <w:color w:val="auto"/>
                <w:sz w:val="21"/>
                <w:highlight w:val="none"/>
              </w:rPr>
            </w:pPr>
          </w:p>
        </w:tc>
        <w:tc>
          <w:tcPr>
            <w:tcW w:w="849" w:type="dxa"/>
            <w:vAlign w:val="top"/>
          </w:tcPr>
          <w:p w14:paraId="4954CB17">
            <w:pPr>
              <w:rPr>
                <w:rFonts w:ascii="Arial"/>
                <w:color w:val="auto"/>
                <w:sz w:val="21"/>
                <w:highlight w:val="none"/>
              </w:rPr>
            </w:pPr>
          </w:p>
        </w:tc>
        <w:tc>
          <w:tcPr>
            <w:tcW w:w="850" w:type="dxa"/>
            <w:vAlign w:val="top"/>
          </w:tcPr>
          <w:p w14:paraId="58927B33">
            <w:pPr>
              <w:rPr>
                <w:rFonts w:ascii="Arial"/>
                <w:color w:val="auto"/>
                <w:sz w:val="21"/>
                <w:highlight w:val="none"/>
              </w:rPr>
            </w:pPr>
          </w:p>
        </w:tc>
        <w:tc>
          <w:tcPr>
            <w:tcW w:w="854" w:type="dxa"/>
            <w:vAlign w:val="top"/>
          </w:tcPr>
          <w:p w14:paraId="6CBB2B6F">
            <w:pPr>
              <w:rPr>
                <w:rFonts w:ascii="Arial"/>
                <w:color w:val="auto"/>
                <w:sz w:val="21"/>
                <w:highlight w:val="none"/>
              </w:rPr>
            </w:pPr>
          </w:p>
        </w:tc>
        <w:tc>
          <w:tcPr>
            <w:tcW w:w="744" w:type="dxa"/>
            <w:vAlign w:val="top"/>
          </w:tcPr>
          <w:p w14:paraId="15045A11">
            <w:pPr>
              <w:rPr>
                <w:rFonts w:ascii="Arial"/>
                <w:color w:val="auto"/>
                <w:sz w:val="21"/>
                <w:highlight w:val="none"/>
              </w:rPr>
            </w:pPr>
          </w:p>
        </w:tc>
        <w:tc>
          <w:tcPr>
            <w:tcW w:w="1128" w:type="dxa"/>
            <w:vAlign w:val="top"/>
          </w:tcPr>
          <w:p w14:paraId="65EAF933">
            <w:pPr>
              <w:rPr>
                <w:rFonts w:ascii="Arial"/>
                <w:color w:val="auto"/>
                <w:sz w:val="21"/>
                <w:highlight w:val="none"/>
              </w:rPr>
            </w:pPr>
          </w:p>
        </w:tc>
        <w:tc>
          <w:tcPr>
            <w:tcW w:w="946" w:type="dxa"/>
            <w:vAlign w:val="top"/>
          </w:tcPr>
          <w:p w14:paraId="07DC0FC8">
            <w:pPr>
              <w:rPr>
                <w:rFonts w:ascii="Arial"/>
                <w:color w:val="auto"/>
                <w:sz w:val="21"/>
                <w:highlight w:val="none"/>
              </w:rPr>
            </w:pPr>
          </w:p>
        </w:tc>
      </w:tr>
      <w:tr w14:paraId="4BFFA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379" w:type="dxa"/>
            <w:vAlign w:val="top"/>
          </w:tcPr>
          <w:p w14:paraId="7DD6A447">
            <w:pPr>
              <w:spacing w:before="157" w:line="186" w:lineRule="auto"/>
              <w:ind w:left="144"/>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5</w:t>
            </w:r>
          </w:p>
        </w:tc>
        <w:tc>
          <w:tcPr>
            <w:tcW w:w="1272" w:type="dxa"/>
            <w:vAlign w:val="top"/>
          </w:tcPr>
          <w:p w14:paraId="5DD74CD3">
            <w:pPr>
              <w:rPr>
                <w:rFonts w:ascii="Arial"/>
                <w:color w:val="auto"/>
                <w:sz w:val="21"/>
                <w:highlight w:val="none"/>
              </w:rPr>
            </w:pPr>
          </w:p>
        </w:tc>
        <w:tc>
          <w:tcPr>
            <w:tcW w:w="825" w:type="dxa"/>
            <w:vAlign w:val="top"/>
          </w:tcPr>
          <w:p w14:paraId="50852413">
            <w:pPr>
              <w:rPr>
                <w:rFonts w:ascii="Arial"/>
                <w:color w:val="auto"/>
                <w:sz w:val="21"/>
                <w:highlight w:val="none"/>
              </w:rPr>
            </w:pPr>
          </w:p>
        </w:tc>
        <w:tc>
          <w:tcPr>
            <w:tcW w:w="533" w:type="dxa"/>
            <w:vAlign w:val="top"/>
          </w:tcPr>
          <w:p w14:paraId="13A6DD0B">
            <w:pPr>
              <w:rPr>
                <w:rFonts w:ascii="Arial"/>
                <w:color w:val="auto"/>
                <w:sz w:val="21"/>
                <w:highlight w:val="none"/>
              </w:rPr>
            </w:pPr>
          </w:p>
        </w:tc>
        <w:tc>
          <w:tcPr>
            <w:tcW w:w="749" w:type="dxa"/>
            <w:vAlign w:val="top"/>
          </w:tcPr>
          <w:p w14:paraId="0B2FAAF9">
            <w:pPr>
              <w:rPr>
                <w:rFonts w:ascii="Arial"/>
                <w:color w:val="auto"/>
                <w:sz w:val="21"/>
                <w:highlight w:val="none"/>
              </w:rPr>
            </w:pPr>
          </w:p>
        </w:tc>
        <w:tc>
          <w:tcPr>
            <w:tcW w:w="753" w:type="dxa"/>
            <w:vAlign w:val="top"/>
          </w:tcPr>
          <w:p w14:paraId="32AABB09">
            <w:pPr>
              <w:rPr>
                <w:rFonts w:ascii="Arial"/>
                <w:color w:val="auto"/>
                <w:sz w:val="21"/>
                <w:highlight w:val="none"/>
              </w:rPr>
            </w:pPr>
          </w:p>
        </w:tc>
        <w:tc>
          <w:tcPr>
            <w:tcW w:w="965" w:type="dxa"/>
            <w:vAlign w:val="top"/>
          </w:tcPr>
          <w:p w14:paraId="6E0DCCDE">
            <w:pPr>
              <w:rPr>
                <w:rFonts w:ascii="Arial"/>
                <w:color w:val="auto"/>
                <w:sz w:val="21"/>
                <w:highlight w:val="none"/>
              </w:rPr>
            </w:pPr>
          </w:p>
        </w:tc>
        <w:tc>
          <w:tcPr>
            <w:tcW w:w="1032" w:type="dxa"/>
            <w:vAlign w:val="top"/>
          </w:tcPr>
          <w:p w14:paraId="0B3CD951">
            <w:pPr>
              <w:rPr>
                <w:rFonts w:ascii="Arial"/>
                <w:color w:val="auto"/>
                <w:sz w:val="21"/>
                <w:highlight w:val="none"/>
              </w:rPr>
            </w:pPr>
          </w:p>
        </w:tc>
        <w:tc>
          <w:tcPr>
            <w:tcW w:w="855" w:type="dxa"/>
            <w:vAlign w:val="top"/>
          </w:tcPr>
          <w:p w14:paraId="1F3EA5BE">
            <w:pPr>
              <w:rPr>
                <w:rFonts w:ascii="Arial"/>
                <w:color w:val="auto"/>
                <w:sz w:val="21"/>
                <w:highlight w:val="none"/>
              </w:rPr>
            </w:pPr>
          </w:p>
        </w:tc>
        <w:tc>
          <w:tcPr>
            <w:tcW w:w="854" w:type="dxa"/>
            <w:vAlign w:val="top"/>
          </w:tcPr>
          <w:p w14:paraId="35DC68D0">
            <w:pPr>
              <w:rPr>
                <w:rFonts w:ascii="Arial"/>
                <w:color w:val="auto"/>
                <w:sz w:val="21"/>
                <w:highlight w:val="none"/>
              </w:rPr>
            </w:pPr>
          </w:p>
        </w:tc>
        <w:tc>
          <w:tcPr>
            <w:tcW w:w="854" w:type="dxa"/>
            <w:vAlign w:val="top"/>
          </w:tcPr>
          <w:p w14:paraId="4BC6E87B">
            <w:pPr>
              <w:rPr>
                <w:rFonts w:ascii="Arial"/>
                <w:color w:val="auto"/>
                <w:sz w:val="21"/>
                <w:highlight w:val="none"/>
              </w:rPr>
            </w:pPr>
          </w:p>
        </w:tc>
        <w:tc>
          <w:tcPr>
            <w:tcW w:w="849" w:type="dxa"/>
            <w:vAlign w:val="top"/>
          </w:tcPr>
          <w:p w14:paraId="55CF6982">
            <w:pPr>
              <w:rPr>
                <w:rFonts w:ascii="Arial"/>
                <w:color w:val="auto"/>
                <w:sz w:val="21"/>
                <w:highlight w:val="none"/>
              </w:rPr>
            </w:pPr>
          </w:p>
        </w:tc>
        <w:tc>
          <w:tcPr>
            <w:tcW w:w="850" w:type="dxa"/>
            <w:vAlign w:val="top"/>
          </w:tcPr>
          <w:p w14:paraId="17F78232">
            <w:pPr>
              <w:rPr>
                <w:rFonts w:ascii="Arial"/>
                <w:color w:val="auto"/>
                <w:sz w:val="21"/>
                <w:highlight w:val="none"/>
              </w:rPr>
            </w:pPr>
          </w:p>
        </w:tc>
        <w:tc>
          <w:tcPr>
            <w:tcW w:w="854" w:type="dxa"/>
            <w:vAlign w:val="top"/>
          </w:tcPr>
          <w:p w14:paraId="18209591">
            <w:pPr>
              <w:rPr>
                <w:rFonts w:ascii="Arial"/>
                <w:color w:val="auto"/>
                <w:sz w:val="21"/>
                <w:highlight w:val="none"/>
              </w:rPr>
            </w:pPr>
          </w:p>
        </w:tc>
        <w:tc>
          <w:tcPr>
            <w:tcW w:w="744" w:type="dxa"/>
            <w:vAlign w:val="top"/>
          </w:tcPr>
          <w:p w14:paraId="7BF9DC1E">
            <w:pPr>
              <w:rPr>
                <w:rFonts w:ascii="Arial"/>
                <w:color w:val="auto"/>
                <w:sz w:val="21"/>
                <w:highlight w:val="none"/>
              </w:rPr>
            </w:pPr>
          </w:p>
        </w:tc>
        <w:tc>
          <w:tcPr>
            <w:tcW w:w="1128" w:type="dxa"/>
            <w:vAlign w:val="top"/>
          </w:tcPr>
          <w:p w14:paraId="44948129">
            <w:pPr>
              <w:rPr>
                <w:rFonts w:ascii="Arial"/>
                <w:color w:val="auto"/>
                <w:sz w:val="21"/>
                <w:highlight w:val="none"/>
              </w:rPr>
            </w:pPr>
          </w:p>
        </w:tc>
        <w:tc>
          <w:tcPr>
            <w:tcW w:w="946" w:type="dxa"/>
            <w:vAlign w:val="top"/>
          </w:tcPr>
          <w:p w14:paraId="3276239A">
            <w:pPr>
              <w:rPr>
                <w:rFonts w:ascii="Arial"/>
                <w:color w:val="auto"/>
                <w:sz w:val="21"/>
                <w:highlight w:val="none"/>
              </w:rPr>
            </w:pPr>
          </w:p>
        </w:tc>
      </w:tr>
      <w:tr w14:paraId="35E607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79" w:type="dxa"/>
            <w:vAlign w:val="top"/>
          </w:tcPr>
          <w:p w14:paraId="7E53278A">
            <w:pPr>
              <w:spacing w:before="154" w:line="189" w:lineRule="auto"/>
              <w:ind w:left="143"/>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6</w:t>
            </w:r>
          </w:p>
        </w:tc>
        <w:tc>
          <w:tcPr>
            <w:tcW w:w="1272" w:type="dxa"/>
            <w:vAlign w:val="top"/>
          </w:tcPr>
          <w:p w14:paraId="6945F973">
            <w:pPr>
              <w:rPr>
                <w:rFonts w:ascii="Arial"/>
                <w:color w:val="auto"/>
                <w:sz w:val="21"/>
                <w:highlight w:val="none"/>
              </w:rPr>
            </w:pPr>
          </w:p>
        </w:tc>
        <w:tc>
          <w:tcPr>
            <w:tcW w:w="825" w:type="dxa"/>
            <w:vAlign w:val="top"/>
          </w:tcPr>
          <w:p w14:paraId="33B0BF3C">
            <w:pPr>
              <w:rPr>
                <w:rFonts w:ascii="Arial"/>
                <w:color w:val="auto"/>
                <w:sz w:val="21"/>
                <w:highlight w:val="none"/>
              </w:rPr>
            </w:pPr>
          </w:p>
        </w:tc>
        <w:tc>
          <w:tcPr>
            <w:tcW w:w="533" w:type="dxa"/>
            <w:vAlign w:val="top"/>
          </w:tcPr>
          <w:p w14:paraId="6769EB23">
            <w:pPr>
              <w:rPr>
                <w:rFonts w:ascii="Arial"/>
                <w:color w:val="auto"/>
                <w:sz w:val="21"/>
                <w:highlight w:val="none"/>
              </w:rPr>
            </w:pPr>
          </w:p>
        </w:tc>
        <w:tc>
          <w:tcPr>
            <w:tcW w:w="749" w:type="dxa"/>
            <w:vAlign w:val="top"/>
          </w:tcPr>
          <w:p w14:paraId="10BA2A2A">
            <w:pPr>
              <w:rPr>
                <w:rFonts w:ascii="Arial"/>
                <w:color w:val="auto"/>
                <w:sz w:val="21"/>
                <w:highlight w:val="none"/>
              </w:rPr>
            </w:pPr>
          </w:p>
        </w:tc>
        <w:tc>
          <w:tcPr>
            <w:tcW w:w="753" w:type="dxa"/>
            <w:vAlign w:val="top"/>
          </w:tcPr>
          <w:p w14:paraId="4DDD53A7">
            <w:pPr>
              <w:rPr>
                <w:rFonts w:ascii="Arial"/>
                <w:color w:val="auto"/>
                <w:sz w:val="21"/>
                <w:highlight w:val="none"/>
              </w:rPr>
            </w:pPr>
          </w:p>
        </w:tc>
        <w:tc>
          <w:tcPr>
            <w:tcW w:w="965" w:type="dxa"/>
            <w:vAlign w:val="top"/>
          </w:tcPr>
          <w:p w14:paraId="01285E23">
            <w:pPr>
              <w:rPr>
                <w:rFonts w:ascii="Arial"/>
                <w:color w:val="auto"/>
                <w:sz w:val="21"/>
                <w:highlight w:val="none"/>
              </w:rPr>
            </w:pPr>
          </w:p>
        </w:tc>
        <w:tc>
          <w:tcPr>
            <w:tcW w:w="1032" w:type="dxa"/>
            <w:vAlign w:val="top"/>
          </w:tcPr>
          <w:p w14:paraId="79A065E1">
            <w:pPr>
              <w:rPr>
                <w:rFonts w:ascii="Arial"/>
                <w:color w:val="auto"/>
                <w:sz w:val="21"/>
                <w:highlight w:val="none"/>
              </w:rPr>
            </w:pPr>
          </w:p>
        </w:tc>
        <w:tc>
          <w:tcPr>
            <w:tcW w:w="855" w:type="dxa"/>
            <w:vAlign w:val="top"/>
          </w:tcPr>
          <w:p w14:paraId="17BE8BC2">
            <w:pPr>
              <w:rPr>
                <w:rFonts w:ascii="Arial"/>
                <w:color w:val="auto"/>
                <w:sz w:val="21"/>
                <w:highlight w:val="none"/>
              </w:rPr>
            </w:pPr>
          </w:p>
        </w:tc>
        <w:tc>
          <w:tcPr>
            <w:tcW w:w="854" w:type="dxa"/>
            <w:vAlign w:val="top"/>
          </w:tcPr>
          <w:p w14:paraId="2100F60F">
            <w:pPr>
              <w:rPr>
                <w:rFonts w:ascii="Arial"/>
                <w:color w:val="auto"/>
                <w:sz w:val="21"/>
                <w:highlight w:val="none"/>
              </w:rPr>
            </w:pPr>
          </w:p>
        </w:tc>
        <w:tc>
          <w:tcPr>
            <w:tcW w:w="854" w:type="dxa"/>
            <w:vAlign w:val="top"/>
          </w:tcPr>
          <w:p w14:paraId="644E3BF8">
            <w:pPr>
              <w:rPr>
                <w:rFonts w:ascii="Arial"/>
                <w:color w:val="auto"/>
                <w:sz w:val="21"/>
                <w:highlight w:val="none"/>
              </w:rPr>
            </w:pPr>
          </w:p>
        </w:tc>
        <w:tc>
          <w:tcPr>
            <w:tcW w:w="849" w:type="dxa"/>
            <w:vAlign w:val="top"/>
          </w:tcPr>
          <w:p w14:paraId="586B46B0">
            <w:pPr>
              <w:rPr>
                <w:rFonts w:ascii="Arial"/>
                <w:color w:val="auto"/>
                <w:sz w:val="21"/>
                <w:highlight w:val="none"/>
              </w:rPr>
            </w:pPr>
          </w:p>
        </w:tc>
        <w:tc>
          <w:tcPr>
            <w:tcW w:w="850" w:type="dxa"/>
            <w:vAlign w:val="top"/>
          </w:tcPr>
          <w:p w14:paraId="36C7169C">
            <w:pPr>
              <w:rPr>
                <w:rFonts w:ascii="Arial"/>
                <w:color w:val="auto"/>
                <w:sz w:val="21"/>
                <w:highlight w:val="none"/>
              </w:rPr>
            </w:pPr>
          </w:p>
        </w:tc>
        <w:tc>
          <w:tcPr>
            <w:tcW w:w="854" w:type="dxa"/>
            <w:vAlign w:val="top"/>
          </w:tcPr>
          <w:p w14:paraId="44EBBCA8">
            <w:pPr>
              <w:rPr>
                <w:rFonts w:ascii="Arial"/>
                <w:color w:val="auto"/>
                <w:sz w:val="21"/>
                <w:highlight w:val="none"/>
              </w:rPr>
            </w:pPr>
          </w:p>
        </w:tc>
        <w:tc>
          <w:tcPr>
            <w:tcW w:w="744" w:type="dxa"/>
            <w:vAlign w:val="top"/>
          </w:tcPr>
          <w:p w14:paraId="7F1D3C83">
            <w:pPr>
              <w:rPr>
                <w:rFonts w:ascii="Arial"/>
                <w:color w:val="auto"/>
                <w:sz w:val="21"/>
                <w:highlight w:val="none"/>
              </w:rPr>
            </w:pPr>
          </w:p>
        </w:tc>
        <w:tc>
          <w:tcPr>
            <w:tcW w:w="1128" w:type="dxa"/>
            <w:vAlign w:val="top"/>
          </w:tcPr>
          <w:p w14:paraId="3011F85A">
            <w:pPr>
              <w:rPr>
                <w:rFonts w:ascii="Arial"/>
                <w:color w:val="auto"/>
                <w:sz w:val="21"/>
                <w:highlight w:val="none"/>
              </w:rPr>
            </w:pPr>
          </w:p>
        </w:tc>
        <w:tc>
          <w:tcPr>
            <w:tcW w:w="946" w:type="dxa"/>
            <w:vAlign w:val="top"/>
          </w:tcPr>
          <w:p w14:paraId="1FE8BA71">
            <w:pPr>
              <w:rPr>
                <w:rFonts w:ascii="Arial"/>
                <w:color w:val="auto"/>
                <w:sz w:val="21"/>
                <w:highlight w:val="none"/>
              </w:rPr>
            </w:pPr>
          </w:p>
        </w:tc>
      </w:tr>
      <w:tr w14:paraId="5BFF0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379" w:type="dxa"/>
            <w:vAlign w:val="top"/>
          </w:tcPr>
          <w:p w14:paraId="01E18647">
            <w:pPr>
              <w:spacing w:before="158" w:line="186" w:lineRule="auto"/>
              <w:ind w:left="142"/>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7</w:t>
            </w:r>
          </w:p>
        </w:tc>
        <w:tc>
          <w:tcPr>
            <w:tcW w:w="1272" w:type="dxa"/>
            <w:vAlign w:val="top"/>
          </w:tcPr>
          <w:p w14:paraId="7D080B58">
            <w:pPr>
              <w:rPr>
                <w:rFonts w:ascii="Arial"/>
                <w:color w:val="auto"/>
                <w:sz w:val="21"/>
                <w:highlight w:val="none"/>
              </w:rPr>
            </w:pPr>
          </w:p>
        </w:tc>
        <w:tc>
          <w:tcPr>
            <w:tcW w:w="825" w:type="dxa"/>
            <w:vAlign w:val="top"/>
          </w:tcPr>
          <w:p w14:paraId="0A840C5F">
            <w:pPr>
              <w:rPr>
                <w:rFonts w:ascii="Arial"/>
                <w:color w:val="auto"/>
                <w:sz w:val="21"/>
                <w:highlight w:val="none"/>
              </w:rPr>
            </w:pPr>
          </w:p>
        </w:tc>
        <w:tc>
          <w:tcPr>
            <w:tcW w:w="533" w:type="dxa"/>
            <w:vAlign w:val="top"/>
          </w:tcPr>
          <w:p w14:paraId="6B1FD23B">
            <w:pPr>
              <w:rPr>
                <w:rFonts w:ascii="Arial"/>
                <w:color w:val="auto"/>
                <w:sz w:val="21"/>
                <w:highlight w:val="none"/>
              </w:rPr>
            </w:pPr>
          </w:p>
        </w:tc>
        <w:tc>
          <w:tcPr>
            <w:tcW w:w="749" w:type="dxa"/>
            <w:vAlign w:val="top"/>
          </w:tcPr>
          <w:p w14:paraId="20EA672C">
            <w:pPr>
              <w:rPr>
                <w:rFonts w:ascii="Arial"/>
                <w:color w:val="auto"/>
                <w:sz w:val="21"/>
                <w:highlight w:val="none"/>
              </w:rPr>
            </w:pPr>
          </w:p>
        </w:tc>
        <w:tc>
          <w:tcPr>
            <w:tcW w:w="753" w:type="dxa"/>
            <w:vAlign w:val="top"/>
          </w:tcPr>
          <w:p w14:paraId="1B3BD0F6">
            <w:pPr>
              <w:rPr>
                <w:rFonts w:ascii="Arial"/>
                <w:color w:val="auto"/>
                <w:sz w:val="21"/>
                <w:highlight w:val="none"/>
              </w:rPr>
            </w:pPr>
          </w:p>
        </w:tc>
        <w:tc>
          <w:tcPr>
            <w:tcW w:w="965" w:type="dxa"/>
            <w:vAlign w:val="top"/>
          </w:tcPr>
          <w:p w14:paraId="309C0A5A">
            <w:pPr>
              <w:rPr>
                <w:rFonts w:ascii="Arial"/>
                <w:color w:val="auto"/>
                <w:sz w:val="21"/>
                <w:highlight w:val="none"/>
              </w:rPr>
            </w:pPr>
          </w:p>
        </w:tc>
        <w:tc>
          <w:tcPr>
            <w:tcW w:w="1032" w:type="dxa"/>
            <w:vAlign w:val="top"/>
          </w:tcPr>
          <w:p w14:paraId="660EC71F">
            <w:pPr>
              <w:rPr>
                <w:rFonts w:ascii="Arial"/>
                <w:color w:val="auto"/>
                <w:sz w:val="21"/>
                <w:highlight w:val="none"/>
              </w:rPr>
            </w:pPr>
          </w:p>
        </w:tc>
        <w:tc>
          <w:tcPr>
            <w:tcW w:w="855" w:type="dxa"/>
            <w:vAlign w:val="top"/>
          </w:tcPr>
          <w:p w14:paraId="5606CE68">
            <w:pPr>
              <w:rPr>
                <w:rFonts w:ascii="Arial"/>
                <w:color w:val="auto"/>
                <w:sz w:val="21"/>
                <w:highlight w:val="none"/>
              </w:rPr>
            </w:pPr>
          </w:p>
        </w:tc>
        <w:tc>
          <w:tcPr>
            <w:tcW w:w="854" w:type="dxa"/>
            <w:vAlign w:val="top"/>
          </w:tcPr>
          <w:p w14:paraId="48D13453">
            <w:pPr>
              <w:rPr>
                <w:rFonts w:ascii="Arial"/>
                <w:color w:val="auto"/>
                <w:sz w:val="21"/>
                <w:highlight w:val="none"/>
              </w:rPr>
            </w:pPr>
          </w:p>
        </w:tc>
        <w:tc>
          <w:tcPr>
            <w:tcW w:w="854" w:type="dxa"/>
            <w:vAlign w:val="top"/>
          </w:tcPr>
          <w:p w14:paraId="6176245E">
            <w:pPr>
              <w:rPr>
                <w:rFonts w:ascii="Arial"/>
                <w:color w:val="auto"/>
                <w:sz w:val="21"/>
                <w:highlight w:val="none"/>
              </w:rPr>
            </w:pPr>
          </w:p>
        </w:tc>
        <w:tc>
          <w:tcPr>
            <w:tcW w:w="849" w:type="dxa"/>
            <w:vAlign w:val="top"/>
          </w:tcPr>
          <w:p w14:paraId="09FA2A28">
            <w:pPr>
              <w:rPr>
                <w:rFonts w:ascii="Arial"/>
                <w:color w:val="auto"/>
                <w:sz w:val="21"/>
                <w:highlight w:val="none"/>
              </w:rPr>
            </w:pPr>
          </w:p>
        </w:tc>
        <w:tc>
          <w:tcPr>
            <w:tcW w:w="850" w:type="dxa"/>
            <w:vAlign w:val="top"/>
          </w:tcPr>
          <w:p w14:paraId="207BBBEB">
            <w:pPr>
              <w:rPr>
                <w:rFonts w:ascii="Arial"/>
                <w:color w:val="auto"/>
                <w:sz w:val="21"/>
                <w:highlight w:val="none"/>
              </w:rPr>
            </w:pPr>
          </w:p>
        </w:tc>
        <w:tc>
          <w:tcPr>
            <w:tcW w:w="854" w:type="dxa"/>
            <w:vAlign w:val="top"/>
          </w:tcPr>
          <w:p w14:paraId="66596012">
            <w:pPr>
              <w:rPr>
                <w:rFonts w:ascii="Arial"/>
                <w:color w:val="auto"/>
                <w:sz w:val="21"/>
                <w:highlight w:val="none"/>
              </w:rPr>
            </w:pPr>
          </w:p>
        </w:tc>
        <w:tc>
          <w:tcPr>
            <w:tcW w:w="744" w:type="dxa"/>
            <w:vAlign w:val="top"/>
          </w:tcPr>
          <w:p w14:paraId="7B3EA15C">
            <w:pPr>
              <w:rPr>
                <w:rFonts w:ascii="Arial"/>
                <w:color w:val="auto"/>
                <w:sz w:val="21"/>
                <w:highlight w:val="none"/>
              </w:rPr>
            </w:pPr>
          </w:p>
        </w:tc>
        <w:tc>
          <w:tcPr>
            <w:tcW w:w="1128" w:type="dxa"/>
            <w:vAlign w:val="top"/>
          </w:tcPr>
          <w:p w14:paraId="56F5A302">
            <w:pPr>
              <w:rPr>
                <w:rFonts w:ascii="Arial"/>
                <w:color w:val="auto"/>
                <w:sz w:val="21"/>
                <w:highlight w:val="none"/>
              </w:rPr>
            </w:pPr>
          </w:p>
        </w:tc>
        <w:tc>
          <w:tcPr>
            <w:tcW w:w="946" w:type="dxa"/>
            <w:vAlign w:val="top"/>
          </w:tcPr>
          <w:p w14:paraId="7D62B8BC">
            <w:pPr>
              <w:rPr>
                <w:rFonts w:ascii="Arial"/>
                <w:color w:val="auto"/>
                <w:sz w:val="21"/>
                <w:highlight w:val="none"/>
              </w:rPr>
            </w:pPr>
          </w:p>
        </w:tc>
      </w:tr>
      <w:tr w14:paraId="02865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79" w:type="dxa"/>
            <w:vAlign w:val="top"/>
          </w:tcPr>
          <w:p w14:paraId="5BC5688B">
            <w:pPr>
              <w:spacing w:before="156" w:line="189" w:lineRule="auto"/>
              <w:ind w:left="147"/>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8</w:t>
            </w:r>
          </w:p>
        </w:tc>
        <w:tc>
          <w:tcPr>
            <w:tcW w:w="1272" w:type="dxa"/>
            <w:vAlign w:val="top"/>
          </w:tcPr>
          <w:p w14:paraId="5FC63E61">
            <w:pPr>
              <w:rPr>
                <w:rFonts w:ascii="Arial"/>
                <w:color w:val="auto"/>
                <w:sz w:val="21"/>
                <w:highlight w:val="none"/>
              </w:rPr>
            </w:pPr>
          </w:p>
        </w:tc>
        <w:tc>
          <w:tcPr>
            <w:tcW w:w="825" w:type="dxa"/>
            <w:vAlign w:val="top"/>
          </w:tcPr>
          <w:p w14:paraId="699A6034">
            <w:pPr>
              <w:rPr>
                <w:rFonts w:ascii="Arial"/>
                <w:color w:val="auto"/>
                <w:sz w:val="21"/>
                <w:highlight w:val="none"/>
              </w:rPr>
            </w:pPr>
          </w:p>
        </w:tc>
        <w:tc>
          <w:tcPr>
            <w:tcW w:w="533" w:type="dxa"/>
            <w:vAlign w:val="top"/>
          </w:tcPr>
          <w:p w14:paraId="68F29F8E">
            <w:pPr>
              <w:rPr>
                <w:rFonts w:ascii="Arial"/>
                <w:color w:val="auto"/>
                <w:sz w:val="21"/>
                <w:highlight w:val="none"/>
              </w:rPr>
            </w:pPr>
          </w:p>
        </w:tc>
        <w:tc>
          <w:tcPr>
            <w:tcW w:w="749" w:type="dxa"/>
            <w:vAlign w:val="top"/>
          </w:tcPr>
          <w:p w14:paraId="76BC82C4">
            <w:pPr>
              <w:rPr>
                <w:rFonts w:ascii="Arial"/>
                <w:color w:val="auto"/>
                <w:sz w:val="21"/>
                <w:highlight w:val="none"/>
              </w:rPr>
            </w:pPr>
          </w:p>
        </w:tc>
        <w:tc>
          <w:tcPr>
            <w:tcW w:w="753" w:type="dxa"/>
            <w:vAlign w:val="top"/>
          </w:tcPr>
          <w:p w14:paraId="30D1EB55">
            <w:pPr>
              <w:rPr>
                <w:rFonts w:ascii="Arial"/>
                <w:color w:val="auto"/>
                <w:sz w:val="21"/>
                <w:highlight w:val="none"/>
              </w:rPr>
            </w:pPr>
          </w:p>
        </w:tc>
        <w:tc>
          <w:tcPr>
            <w:tcW w:w="965" w:type="dxa"/>
            <w:vAlign w:val="top"/>
          </w:tcPr>
          <w:p w14:paraId="74F3FBDA">
            <w:pPr>
              <w:rPr>
                <w:rFonts w:ascii="Arial"/>
                <w:color w:val="auto"/>
                <w:sz w:val="21"/>
                <w:highlight w:val="none"/>
              </w:rPr>
            </w:pPr>
          </w:p>
        </w:tc>
        <w:tc>
          <w:tcPr>
            <w:tcW w:w="1032" w:type="dxa"/>
            <w:vAlign w:val="top"/>
          </w:tcPr>
          <w:p w14:paraId="09506C33">
            <w:pPr>
              <w:rPr>
                <w:rFonts w:ascii="Arial"/>
                <w:color w:val="auto"/>
                <w:sz w:val="21"/>
                <w:highlight w:val="none"/>
              </w:rPr>
            </w:pPr>
          </w:p>
        </w:tc>
        <w:tc>
          <w:tcPr>
            <w:tcW w:w="855" w:type="dxa"/>
            <w:vAlign w:val="top"/>
          </w:tcPr>
          <w:p w14:paraId="337A8AED">
            <w:pPr>
              <w:rPr>
                <w:rFonts w:ascii="Arial"/>
                <w:color w:val="auto"/>
                <w:sz w:val="21"/>
                <w:highlight w:val="none"/>
              </w:rPr>
            </w:pPr>
          </w:p>
        </w:tc>
        <w:tc>
          <w:tcPr>
            <w:tcW w:w="854" w:type="dxa"/>
            <w:vAlign w:val="top"/>
          </w:tcPr>
          <w:p w14:paraId="07E1A707">
            <w:pPr>
              <w:rPr>
                <w:rFonts w:ascii="Arial"/>
                <w:color w:val="auto"/>
                <w:sz w:val="21"/>
                <w:highlight w:val="none"/>
              </w:rPr>
            </w:pPr>
          </w:p>
        </w:tc>
        <w:tc>
          <w:tcPr>
            <w:tcW w:w="854" w:type="dxa"/>
            <w:vAlign w:val="top"/>
          </w:tcPr>
          <w:p w14:paraId="674B3FB5">
            <w:pPr>
              <w:rPr>
                <w:rFonts w:ascii="Arial"/>
                <w:color w:val="auto"/>
                <w:sz w:val="21"/>
                <w:highlight w:val="none"/>
              </w:rPr>
            </w:pPr>
          </w:p>
        </w:tc>
        <w:tc>
          <w:tcPr>
            <w:tcW w:w="849" w:type="dxa"/>
            <w:vAlign w:val="top"/>
          </w:tcPr>
          <w:p w14:paraId="328F50F2">
            <w:pPr>
              <w:rPr>
                <w:rFonts w:ascii="Arial"/>
                <w:color w:val="auto"/>
                <w:sz w:val="21"/>
                <w:highlight w:val="none"/>
              </w:rPr>
            </w:pPr>
          </w:p>
        </w:tc>
        <w:tc>
          <w:tcPr>
            <w:tcW w:w="850" w:type="dxa"/>
            <w:vAlign w:val="top"/>
          </w:tcPr>
          <w:p w14:paraId="20BCD902">
            <w:pPr>
              <w:rPr>
                <w:rFonts w:ascii="Arial"/>
                <w:color w:val="auto"/>
                <w:sz w:val="21"/>
                <w:highlight w:val="none"/>
              </w:rPr>
            </w:pPr>
          </w:p>
        </w:tc>
        <w:tc>
          <w:tcPr>
            <w:tcW w:w="854" w:type="dxa"/>
            <w:vAlign w:val="top"/>
          </w:tcPr>
          <w:p w14:paraId="401C0CBA">
            <w:pPr>
              <w:rPr>
                <w:rFonts w:ascii="Arial"/>
                <w:color w:val="auto"/>
                <w:sz w:val="21"/>
                <w:highlight w:val="none"/>
              </w:rPr>
            </w:pPr>
          </w:p>
        </w:tc>
        <w:tc>
          <w:tcPr>
            <w:tcW w:w="744" w:type="dxa"/>
            <w:vAlign w:val="top"/>
          </w:tcPr>
          <w:p w14:paraId="0B5358C9">
            <w:pPr>
              <w:rPr>
                <w:rFonts w:ascii="Arial"/>
                <w:color w:val="auto"/>
                <w:sz w:val="21"/>
                <w:highlight w:val="none"/>
              </w:rPr>
            </w:pPr>
          </w:p>
        </w:tc>
        <w:tc>
          <w:tcPr>
            <w:tcW w:w="1128" w:type="dxa"/>
            <w:vAlign w:val="top"/>
          </w:tcPr>
          <w:p w14:paraId="58857F38">
            <w:pPr>
              <w:rPr>
                <w:rFonts w:ascii="Arial"/>
                <w:color w:val="auto"/>
                <w:sz w:val="21"/>
                <w:highlight w:val="none"/>
              </w:rPr>
            </w:pPr>
          </w:p>
        </w:tc>
        <w:tc>
          <w:tcPr>
            <w:tcW w:w="946" w:type="dxa"/>
            <w:vAlign w:val="top"/>
          </w:tcPr>
          <w:p w14:paraId="75BF5A7E">
            <w:pPr>
              <w:rPr>
                <w:rFonts w:ascii="Arial"/>
                <w:color w:val="auto"/>
                <w:sz w:val="21"/>
                <w:highlight w:val="none"/>
              </w:rPr>
            </w:pPr>
          </w:p>
        </w:tc>
      </w:tr>
      <w:tr w14:paraId="0E056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379" w:type="dxa"/>
            <w:vAlign w:val="top"/>
          </w:tcPr>
          <w:p w14:paraId="602CABF1">
            <w:pPr>
              <w:spacing w:before="161" w:line="189" w:lineRule="auto"/>
              <w:ind w:left="142"/>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9</w:t>
            </w:r>
          </w:p>
        </w:tc>
        <w:tc>
          <w:tcPr>
            <w:tcW w:w="1272" w:type="dxa"/>
            <w:vAlign w:val="top"/>
          </w:tcPr>
          <w:p w14:paraId="357E001F">
            <w:pPr>
              <w:rPr>
                <w:rFonts w:ascii="Arial"/>
                <w:color w:val="auto"/>
                <w:sz w:val="21"/>
                <w:highlight w:val="none"/>
              </w:rPr>
            </w:pPr>
          </w:p>
        </w:tc>
        <w:tc>
          <w:tcPr>
            <w:tcW w:w="825" w:type="dxa"/>
            <w:vAlign w:val="top"/>
          </w:tcPr>
          <w:p w14:paraId="1E579BA5">
            <w:pPr>
              <w:rPr>
                <w:rFonts w:ascii="Arial"/>
                <w:color w:val="auto"/>
                <w:sz w:val="21"/>
                <w:highlight w:val="none"/>
              </w:rPr>
            </w:pPr>
          </w:p>
        </w:tc>
        <w:tc>
          <w:tcPr>
            <w:tcW w:w="533" w:type="dxa"/>
            <w:vAlign w:val="top"/>
          </w:tcPr>
          <w:p w14:paraId="38558841">
            <w:pPr>
              <w:rPr>
                <w:rFonts w:ascii="Arial"/>
                <w:color w:val="auto"/>
                <w:sz w:val="21"/>
                <w:highlight w:val="none"/>
              </w:rPr>
            </w:pPr>
          </w:p>
        </w:tc>
        <w:tc>
          <w:tcPr>
            <w:tcW w:w="749" w:type="dxa"/>
            <w:vAlign w:val="top"/>
          </w:tcPr>
          <w:p w14:paraId="6024424B">
            <w:pPr>
              <w:rPr>
                <w:rFonts w:ascii="Arial"/>
                <w:color w:val="auto"/>
                <w:sz w:val="21"/>
                <w:highlight w:val="none"/>
              </w:rPr>
            </w:pPr>
          </w:p>
        </w:tc>
        <w:tc>
          <w:tcPr>
            <w:tcW w:w="753" w:type="dxa"/>
            <w:vAlign w:val="top"/>
          </w:tcPr>
          <w:p w14:paraId="6BD56C4B">
            <w:pPr>
              <w:rPr>
                <w:rFonts w:ascii="Arial"/>
                <w:color w:val="auto"/>
                <w:sz w:val="21"/>
                <w:highlight w:val="none"/>
              </w:rPr>
            </w:pPr>
          </w:p>
        </w:tc>
        <w:tc>
          <w:tcPr>
            <w:tcW w:w="965" w:type="dxa"/>
            <w:vAlign w:val="top"/>
          </w:tcPr>
          <w:p w14:paraId="175871BF">
            <w:pPr>
              <w:rPr>
                <w:rFonts w:ascii="Arial"/>
                <w:color w:val="auto"/>
                <w:sz w:val="21"/>
                <w:highlight w:val="none"/>
              </w:rPr>
            </w:pPr>
          </w:p>
        </w:tc>
        <w:tc>
          <w:tcPr>
            <w:tcW w:w="1032" w:type="dxa"/>
            <w:vAlign w:val="top"/>
          </w:tcPr>
          <w:p w14:paraId="1E852466">
            <w:pPr>
              <w:rPr>
                <w:rFonts w:ascii="Arial"/>
                <w:color w:val="auto"/>
                <w:sz w:val="21"/>
                <w:highlight w:val="none"/>
              </w:rPr>
            </w:pPr>
          </w:p>
        </w:tc>
        <w:tc>
          <w:tcPr>
            <w:tcW w:w="855" w:type="dxa"/>
            <w:vAlign w:val="top"/>
          </w:tcPr>
          <w:p w14:paraId="5F863496">
            <w:pPr>
              <w:rPr>
                <w:rFonts w:ascii="Arial"/>
                <w:color w:val="auto"/>
                <w:sz w:val="21"/>
                <w:highlight w:val="none"/>
              </w:rPr>
            </w:pPr>
          </w:p>
        </w:tc>
        <w:tc>
          <w:tcPr>
            <w:tcW w:w="854" w:type="dxa"/>
            <w:vAlign w:val="top"/>
          </w:tcPr>
          <w:p w14:paraId="1318B9D5">
            <w:pPr>
              <w:rPr>
                <w:rFonts w:ascii="Arial"/>
                <w:color w:val="auto"/>
                <w:sz w:val="21"/>
                <w:highlight w:val="none"/>
              </w:rPr>
            </w:pPr>
          </w:p>
        </w:tc>
        <w:tc>
          <w:tcPr>
            <w:tcW w:w="854" w:type="dxa"/>
            <w:vAlign w:val="top"/>
          </w:tcPr>
          <w:p w14:paraId="463036CA">
            <w:pPr>
              <w:rPr>
                <w:rFonts w:ascii="Arial"/>
                <w:color w:val="auto"/>
                <w:sz w:val="21"/>
                <w:highlight w:val="none"/>
              </w:rPr>
            </w:pPr>
          </w:p>
        </w:tc>
        <w:tc>
          <w:tcPr>
            <w:tcW w:w="849" w:type="dxa"/>
            <w:vAlign w:val="top"/>
          </w:tcPr>
          <w:p w14:paraId="6340BE29">
            <w:pPr>
              <w:rPr>
                <w:rFonts w:ascii="Arial"/>
                <w:color w:val="auto"/>
                <w:sz w:val="21"/>
                <w:highlight w:val="none"/>
              </w:rPr>
            </w:pPr>
          </w:p>
        </w:tc>
        <w:tc>
          <w:tcPr>
            <w:tcW w:w="850" w:type="dxa"/>
            <w:vAlign w:val="top"/>
          </w:tcPr>
          <w:p w14:paraId="3D45CF5D">
            <w:pPr>
              <w:rPr>
                <w:rFonts w:ascii="Arial"/>
                <w:color w:val="auto"/>
                <w:sz w:val="21"/>
                <w:highlight w:val="none"/>
              </w:rPr>
            </w:pPr>
          </w:p>
        </w:tc>
        <w:tc>
          <w:tcPr>
            <w:tcW w:w="854" w:type="dxa"/>
            <w:vAlign w:val="top"/>
          </w:tcPr>
          <w:p w14:paraId="781A79E0">
            <w:pPr>
              <w:rPr>
                <w:rFonts w:ascii="Arial"/>
                <w:color w:val="auto"/>
                <w:sz w:val="21"/>
                <w:highlight w:val="none"/>
              </w:rPr>
            </w:pPr>
          </w:p>
        </w:tc>
        <w:tc>
          <w:tcPr>
            <w:tcW w:w="744" w:type="dxa"/>
            <w:vAlign w:val="top"/>
          </w:tcPr>
          <w:p w14:paraId="249FEA17">
            <w:pPr>
              <w:rPr>
                <w:rFonts w:ascii="Arial"/>
                <w:color w:val="auto"/>
                <w:sz w:val="21"/>
                <w:highlight w:val="none"/>
              </w:rPr>
            </w:pPr>
          </w:p>
        </w:tc>
        <w:tc>
          <w:tcPr>
            <w:tcW w:w="1128" w:type="dxa"/>
            <w:vAlign w:val="top"/>
          </w:tcPr>
          <w:p w14:paraId="007226FB">
            <w:pPr>
              <w:rPr>
                <w:rFonts w:ascii="Arial"/>
                <w:color w:val="auto"/>
                <w:sz w:val="21"/>
                <w:highlight w:val="none"/>
              </w:rPr>
            </w:pPr>
          </w:p>
        </w:tc>
        <w:tc>
          <w:tcPr>
            <w:tcW w:w="946" w:type="dxa"/>
            <w:vAlign w:val="top"/>
          </w:tcPr>
          <w:p w14:paraId="29D9BE73">
            <w:pPr>
              <w:rPr>
                <w:rFonts w:ascii="Arial"/>
                <w:color w:val="auto"/>
                <w:sz w:val="21"/>
                <w:highlight w:val="none"/>
              </w:rPr>
            </w:pPr>
          </w:p>
        </w:tc>
      </w:tr>
      <w:tr w14:paraId="084D6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379" w:type="dxa"/>
            <w:vAlign w:val="top"/>
          </w:tcPr>
          <w:p w14:paraId="43486ECC">
            <w:pPr>
              <w:pStyle w:val="11"/>
              <w:spacing w:before="120" w:line="325" w:lineRule="exact"/>
              <w:ind w:left="102"/>
              <w:rPr>
                <w:color w:val="auto"/>
                <w:highlight w:val="none"/>
              </w:rPr>
            </w:pPr>
            <w:r>
              <w:rPr>
                <w:color w:val="auto"/>
                <w:position w:val="2"/>
                <w:highlight w:val="none"/>
              </w:rPr>
              <w:t>…</w:t>
            </w:r>
          </w:p>
        </w:tc>
        <w:tc>
          <w:tcPr>
            <w:tcW w:w="1272" w:type="dxa"/>
            <w:vAlign w:val="top"/>
          </w:tcPr>
          <w:p w14:paraId="28135119">
            <w:pPr>
              <w:rPr>
                <w:rFonts w:ascii="Arial"/>
                <w:color w:val="auto"/>
                <w:sz w:val="21"/>
                <w:highlight w:val="none"/>
              </w:rPr>
            </w:pPr>
          </w:p>
        </w:tc>
        <w:tc>
          <w:tcPr>
            <w:tcW w:w="825" w:type="dxa"/>
            <w:vAlign w:val="top"/>
          </w:tcPr>
          <w:p w14:paraId="16F2D4C8">
            <w:pPr>
              <w:rPr>
                <w:rFonts w:ascii="Arial"/>
                <w:color w:val="auto"/>
                <w:sz w:val="21"/>
                <w:highlight w:val="none"/>
              </w:rPr>
            </w:pPr>
          </w:p>
        </w:tc>
        <w:tc>
          <w:tcPr>
            <w:tcW w:w="533" w:type="dxa"/>
            <w:vAlign w:val="top"/>
          </w:tcPr>
          <w:p w14:paraId="45C2B185">
            <w:pPr>
              <w:rPr>
                <w:rFonts w:ascii="Arial"/>
                <w:color w:val="auto"/>
                <w:sz w:val="21"/>
                <w:highlight w:val="none"/>
              </w:rPr>
            </w:pPr>
          </w:p>
        </w:tc>
        <w:tc>
          <w:tcPr>
            <w:tcW w:w="749" w:type="dxa"/>
            <w:vAlign w:val="top"/>
          </w:tcPr>
          <w:p w14:paraId="6E268505">
            <w:pPr>
              <w:rPr>
                <w:rFonts w:ascii="Arial"/>
                <w:color w:val="auto"/>
                <w:sz w:val="21"/>
                <w:highlight w:val="none"/>
              </w:rPr>
            </w:pPr>
          </w:p>
        </w:tc>
        <w:tc>
          <w:tcPr>
            <w:tcW w:w="753" w:type="dxa"/>
            <w:vAlign w:val="top"/>
          </w:tcPr>
          <w:p w14:paraId="5B572A53">
            <w:pPr>
              <w:rPr>
                <w:rFonts w:ascii="Arial"/>
                <w:color w:val="auto"/>
                <w:sz w:val="21"/>
                <w:highlight w:val="none"/>
              </w:rPr>
            </w:pPr>
          </w:p>
        </w:tc>
        <w:tc>
          <w:tcPr>
            <w:tcW w:w="965" w:type="dxa"/>
            <w:vAlign w:val="top"/>
          </w:tcPr>
          <w:p w14:paraId="1F0E507E">
            <w:pPr>
              <w:rPr>
                <w:rFonts w:ascii="Arial"/>
                <w:color w:val="auto"/>
                <w:sz w:val="21"/>
                <w:highlight w:val="none"/>
              </w:rPr>
            </w:pPr>
          </w:p>
        </w:tc>
        <w:tc>
          <w:tcPr>
            <w:tcW w:w="1032" w:type="dxa"/>
            <w:vAlign w:val="top"/>
          </w:tcPr>
          <w:p w14:paraId="73AF42E6">
            <w:pPr>
              <w:rPr>
                <w:rFonts w:ascii="Arial"/>
                <w:color w:val="auto"/>
                <w:sz w:val="21"/>
                <w:highlight w:val="none"/>
              </w:rPr>
            </w:pPr>
          </w:p>
        </w:tc>
        <w:tc>
          <w:tcPr>
            <w:tcW w:w="855" w:type="dxa"/>
            <w:vAlign w:val="top"/>
          </w:tcPr>
          <w:p w14:paraId="3573431E">
            <w:pPr>
              <w:rPr>
                <w:rFonts w:ascii="Arial"/>
                <w:color w:val="auto"/>
                <w:sz w:val="21"/>
                <w:highlight w:val="none"/>
              </w:rPr>
            </w:pPr>
          </w:p>
        </w:tc>
        <w:tc>
          <w:tcPr>
            <w:tcW w:w="854" w:type="dxa"/>
            <w:vAlign w:val="top"/>
          </w:tcPr>
          <w:p w14:paraId="263410F6">
            <w:pPr>
              <w:rPr>
                <w:rFonts w:ascii="Arial"/>
                <w:color w:val="auto"/>
                <w:sz w:val="21"/>
                <w:highlight w:val="none"/>
              </w:rPr>
            </w:pPr>
          </w:p>
        </w:tc>
        <w:tc>
          <w:tcPr>
            <w:tcW w:w="854" w:type="dxa"/>
            <w:vAlign w:val="top"/>
          </w:tcPr>
          <w:p w14:paraId="3369DEED">
            <w:pPr>
              <w:rPr>
                <w:rFonts w:ascii="Arial"/>
                <w:color w:val="auto"/>
                <w:sz w:val="21"/>
                <w:highlight w:val="none"/>
              </w:rPr>
            </w:pPr>
          </w:p>
        </w:tc>
        <w:tc>
          <w:tcPr>
            <w:tcW w:w="849" w:type="dxa"/>
            <w:vAlign w:val="top"/>
          </w:tcPr>
          <w:p w14:paraId="43B152E0">
            <w:pPr>
              <w:rPr>
                <w:rFonts w:ascii="Arial"/>
                <w:color w:val="auto"/>
                <w:sz w:val="21"/>
                <w:highlight w:val="none"/>
              </w:rPr>
            </w:pPr>
          </w:p>
        </w:tc>
        <w:tc>
          <w:tcPr>
            <w:tcW w:w="850" w:type="dxa"/>
            <w:vAlign w:val="top"/>
          </w:tcPr>
          <w:p w14:paraId="19BE1EB3">
            <w:pPr>
              <w:rPr>
                <w:rFonts w:ascii="Arial"/>
                <w:color w:val="auto"/>
                <w:sz w:val="21"/>
                <w:highlight w:val="none"/>
              </w:rPr>
            </w:pPr>
          </w:p>
        </w:tc>
        <w:tc>
          <w:tcPr>
            <w:tcW w:w="854" w:type="dxa"/>
            <w:vAlign w:val="top"/>
          </w:tcPr>
          <w:p w14:paraId="263C2EDF">
            <w:pPr>
              <w:rPr>
                <w:rFonts w:ascii="Arial"/>
                <w:color w:val="auto"/>
                <w:sz w:val="21"/>
                <w:highlight w:val="none"/>
              </w:rPr>
            </w:pPr>
          </w:p>
        </w:tc>
        <w:tc>
          <w:tcPr>
            <w:tcW w:w="744" w:type="dxa"/>
            <w:vAlign w:val="top"/>
          </w:tcPr>
          <w:p w14:paraId="038DAF02">
            <w:pPr>
              <w:rPr>
                <w:rFonts w:ascii="Arial"/>
                <w:color w:val="auto"/>
                <w:sz w:val="21"/>
                <w:highlight w:val="none"/>
              </w:rPr>
            </w:pPr>
          </w:p>
        </w:tc>
        <w:tc>
          <w:tcPr>
            <w:tcW w:w="1128" w:type="dxa"/>
            <w:vAlign w:val="top"/>
          </w:tcPr>
          <w:p w14:paraId="4CA44AB1">
            <w:pPr>
              <w:rPr>
                <w:rFonts w:ascii="Arial"/>
                <w:color w:val="auto"/>
                <w:sz w:val="21"/>
                <w:highlight w:val="none"/>
              </w:rPr>
            </w:pPr>
          </w:p>
        </w:tc>
        <w:tc>
          <w:tcPr>
            <w:tcW w:w="946" w:type="dxa"/>
            <w:vAlign w:val="top"/>
          </w:tcPr>
          <w:p w14:paraId="508F90F4">
            <w:pPr>
              <w:rPr>
                <w:rFonts w:ascii="Arial"/>
                <w:color w:val="auto"/>
                <w:sz w:val="21"/>
                <w:highlight w:val="none"/>
              </w:rPr>
            </w:pPr>
          </w:p>
        </w:tc>
      </w:tr>
    </w:tbl>
    <w:p w14:paraId="4ADFE1BA">
      <w:pPr>
        <w:spacing w:before="154" w:line="399" w:lineRule="exact"/>
        <w:ind w:left="250"/>
        <w:rPr>
          <w:rFonts w:ascii="宋体" w:hAnsi="宋体" w:eastAsia="宋体" w:cs="宋体"/>
          <w:color w:val="auto"/>
          <w:sz w:val="21"/>
          <w:szCs w:val="21"/>
          <w:highlight w:val="none"/>
        </w:rPr>
      </w:pPr>
      <w:r>
        <w:rPr>
          <w:rFonts w:ascii="宋体" w:hAnsi="宋体" w:eastAsia="宋体" w:cs="宋体"/>
          <w:color w:val="auto"/>
          <w:position w:val="14"/>
          <w:sz w:val="21"/>
          <w:szCs w:val="21"/>
          <w:highlight w:val="none"/>
        </w:rPr>
        <w:t>备注：1.执业、职业单位是指拟投入的项目管理机构人员目前是否在投标人处注</w:t>
      </w:r>
      <w:r>
        <w:rPr>
          <w:rFonts w:ascii="宋体" w:hAnsi="宋体" w:eastAsia="宋体" w:cs="宋体"/>
          <w:color w:val="auto"/>
          <w:spacing w:val="-1"/>
          <w:position w:val="14"/>
          <w:sz w:val="21"/>
          <w:szCs w:val="21"/>
          <w:highlight w:val="none"/>
        </w:rPr>
        <w:t>册执业或岗位登记。</w:t>
      </w:r>
    </w:p>
    <w:p w14:paraId="03E1DBCA">
      <w:pPr>
        <w:spacing w:before="1" w:line="219" w:lineRule="auto"/>
        <w:ind w:left="879"/>
        <w:rPr>
          <w:rFonts w:ascii="宋体" w:hAnsi="宋体" w:eastAsia="宋体" w:cs="宋体"/>
          <w:color w:val="auto"/>
          <w:sz w:val="21"/>
          <w:szCs w:val="21"/>
          <w:highlight w:val="none"/>
        </w:rPr>
      </w:pPr>
      <w:r>
        <w:rPr>
          <w:rFonts w:ascii="宋体" w:hAnsi="宋体" w:eastAsia="宋体" w:cs="宋体"/>
          <w:color w:val="auto"/>
          <w:sz w:val="21"/>
          <w:szCs w:val="21"/>
          <w:highlight w:val="none"/>
        </w:rPr>
        <w:t>2.附项目管理机构主要人员社会保险证明。社会保险证明中缴费单位应</w:t>
      </w:r>
      <w:r>
        <w:rPr>
          <w:rFonts w:ascii="宋体" w:hAnsi="宋体" w:eastAsia="宋体" w:cs="宋体"/>
          <w:color w:val="auto"/>
          <w:spacing w:val="-1"/>
          <w:sz w:val="21"/>
          <w:szCs w:val="21"/>
          <w:highlight w:val="none"/>
        </w:rPr>
        <w:t>与投标单位一致。</w:t>
      </w:r>
    </w:p>
    <w:p w14:paraId="7EE8B1D9">
      <w:pPr>
        <w:spacing w:line="219" w:lineRule="auto"/>
        <w:rPr>
          <w:rFonts w:ascii="宋体" w:hAnsi="宋体" w:eastAsia="宋体" w:cs="宋体"/>
          <w:color w:val="auto"/>
          <w:sz w:val="21"/>
          <w:szCs w:val="21"/>
          <w:highlight w:val="none"/>
        </w:rPr>
        <w:sectPr>
          <w:footerReference r:id="rId223" w:type="default"/>
          <w:pgSz w:w="16839" w:h="11905"/>
          <w:pgMar w:top="400" w:right="1190" w:bottom="999" w:left="1200" w:header="0" w:footer="823" w:gutter="0"/>
          <w:pgNumType w:fmt="decimal"/>
          <w:cols w:space="720" w:num="1"/>
        </w:sectPr>
      </w:pPr>
    </w:p>
    <w:p w14:paraId="26BB0DDF">
      <w:pPr>
        <w:pStyle w:val="3"/>
        <w:spacing w:line="257" w:lineRule="auto"/>
        <w:rPr>
          <w:color w:val="auto"/>
          <w:highlight w:val="none"/>
        </w:rPr>
      </w:pPr>
    </w:p>
    <w:p w14:paraId="5939CD49">
      <w:pPr>
        <w:pStyle w:val="3"/>
        <w:spacing w:line="257" w:lineRule="auto"/>
        <w:rPr>
          <w:color w:val="auto"/>
          <w:highlight w:val="none"/>
        </w:rPr>
      </w:pPr>
    </w:p>
    <w:p w14:paraId="75289ABB">
      <w:pPr>
        <w:pStyle w:val="3"/>
        <w:spacing w:line="257" w:lineRule="auto"/>
        <w:rPr>
          <w:color w:val="auto"/>
          <w:highlight w:val="none"/>
        </w:rPr>
      </w:pPr>
    </w:p>
    <w:p w14:paraId="1A8E4E1D">
      <w:pPr>
        <w:pStyle w:val="3"/>
        <w:spacing w:line="257" w:lineRule="auto"/>
        <w:rPr>
          <w:color w:val="auto"/>
          <w:highlight w:val="none"/>
        </w:rPr>
      </w:pPr>
    </w:p>
    <w:p w14:paraId="263BDFBC">
      <w:pPr>
        <w:spacing w:before="87" w:line="225" w:lineRule="auto"/>
        <w:ind w:left="2800"/>
        <w:rPr>
          <w:rFonts w:ascii="黑体" w:hAnsi="黑体" w:eastAsia="黑体" w:cs="黑体"/>
          <w:color w:val="auto"/>
          <w:sz w:val="27"/>
          <w:szCs w:val="27"/>
          <w:highlight w:val="none"/>
        </w:rPr>
      </w:pPr>
      <w:bookmarkStart w:id="1337" w:name="bookmark311"/>
      <w:bookmarkEnd w:id="1337"/>
      <w:bookmarkStart w:id="1338" w:name="bookmark310"/>
      <w:bookmarkEnd w:id="1338"/>
      <w:r>
        <w:rPr>
          <w:rFonts w:ascii="黑体" w:hAnsi="黑体" w:eastAsia="黑体" w:cs="黑体"/>
          <w:color w:val="auto"/>
          <w:spacing w:val="4"/>
          <w:sz w:val="27"/>
          <w:szCs w:val="27"/>
          <w:highlight w:val="none"/>
        </w:rPr>
        <w:t>（二）项目经理简历表</w:t>
      </w:r>
    </w:p>
    <w:p w14:paraId="5AAC2E4C">
      <w:pPr>
        <w:spacing w:before="168"/>
        <w:rPr>
          <w:color w:val="auto"/>
          <w:highlight w:val="none"/>
        </w:rPr>
      </w:pPr>
    </w:p>
    <w:tbl>
      <w:tblPr>
        <w:tblStyle w:val="10"/>
        <w:tblW w:w="8201"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8"/>
        <w:gridCol w:w="878"/>
        <w:gridCol w:w="1066"/>
        <w:gridCol w:w="1190"/>
        <w:gridCol w:w="1963"/>
        <w:gridCol w:w="1996"/>
      </w:tblGrid>
      <w:tr w14:paraId="4F432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108" w:type="dxa"/>
            <w:vAlign w:val="top"/>
          </w:tcPr>
          <w:p w14:paraId="73674FA0">
            <w:pPr>
              <w:pStyle w:val="11"/>
              <w:spacing w:before="125" w:line="221" w:lineRule="auto"/>
              <w:ind w:left="243"/>
              <w:rPr>
                <w:color w:val="auto"/>
                <w:highlight w:val="none"/>
              </w:rPr>
            </w:pPr>
            <w:r>
              <w:rPr>
                <w:color w:val="auto"/>
                <w:spacing w:val="-4"/>
                <w:highlight w:val="none"/>
              </w:rPr>
              <w:t>姓</w:t>
            </w:r>
            <w:r>
              <w:rPr>
                <w:color w:val="auto"/>
                <w:spacing w:val="5"/>
                <w:highlight w:val="none"/>
              </w:rPr>
              <w:t xml:space="preserve">  </w:t>
            </w:r>
            <w:r>
              <w:rPr>
                <w:color w:val="auto"/>
                <w:spacing w:val="-4"/>
                <w:highlight w:val="none"/>
              </w:rPr>
              <w:t>名</w:t>
            </w:r>
          </w:p>
        </w:tc>
        <w:tc>
          <w:tcPr>
            <w:tcW w:w="878" w:type="dxa"/>
            <w:vAlign w:val="top"/>
          </w:tcPr>
          <w:p w14:paraId="2B787E99">
            <w:pPr>
              <w:rPr>
                <w:rFonts w:ascii="Arial"/>
                <w:color w:val="auto"/>
                <w:sz w:val="21"/>
                <w:highlight w:val="none"/>
              </w:rPr>
            </w:pPr>
          </w:p>
        </w:tc>
        <w:tc>
          <w:tcPr>
            <w:tcW w:w="1066" w:type="dxa"/>
            <w:vAlign w:val="top"/>
          </w:tcPr>
          <w:p w14:paraId="6D50DCF3">
            <w:pPr>
              <w:pStyle w:val="11"/>
              <w:spacing w:before="125" w:line="221" w:lineRule="auto"/>
              <w:ind w:left="226"/>
              <w:rPr>
                <w:color w:val="auto"/>
                <w:highlight w:val="none"/>
              </w:rPr>
            </w:pPr>
            <w:r>
              <w:rPr>
                <w:color w:val="auto"/>
                <w:spacing w:val="-4"/>
                <w:highlight w:val="none"/>
              </w:rPr>
              <w:t>年</w:t>
            </w:r>
            <w:r>
              <w:rPr>
                <w:color w:val="auto"/>
                <w:spacing w:val="4"/>
                <w:highlight w:val="none"/>
              </w:rPr>
              <w:t xml:space="preserve">  </w:t>
            </w:r>
            <w:r>
              <w:rPr>
                <w:color w:val="auto"/>
                <w:spacing w:val="-4"/>
                <w:highlight w:val="none"/>
              </w:rPr>
              <w:t>龄</w:t>
            </w:r>
          </w:p>
        </w:tc>
        <w:tc>
          <w:tcPr>
            <w:tcW w:w="1190" w:type="dxa"/>
            <w:vAlign w:val="top"/>
          </w:tcPr>
          <w:p w14:paraId="55818EF1">
            <w:pPr>
              <w:rPr>
                <w:rFonts w:ascii="Arial"/>
                <w:color w:val="auto"/>
                <w:sz w:val="21"/>
                <w:highlight w:val="none"/>
              </w:rPr>
            </w:pPr>
          </w:p>
        </w:tc>
        <w:tc>
          <w:tcPr>
            <w:tcW w:w="1963" w:type="dxa"/>
            <w:vAlign w:val="top"/>
          </w:tcPr>
          <w:p w14:paraId="524BD4AE">
            <w:pPr>
              <w:pStyle w:val="11"/>
              <w:spacing w:before="125" w:line="222" w:lineRule="auto"/>
              <w:ind w:left="783"/>
              <w:rPr>
                <w:color w:val="auto"/>
                <w:highlight w:val="none"/>
              </w:rPr>
            </w:pPr>
            <w:r>
              <w:rPr>
                <w:color w:val="auto"/>
                <w:spacing w:val="-3"/>
                <w:highlight w:val="none"/>
              </w:rPr>
              <w:t>学历</w:t>
            </w:r>
          </w:p>
        </w:tc>
        <w:tc>
          <w:tcPr>
            <w:tcW w:w="1996" w:type="dxa"/>
            <w:vAlign w:val="top"/>
          </w:tcPr>
          <w:p w14:paraId="0232A04B">
            <w:pPr>
              <w:rPr>
                <w:rFonts w:ascii="Arial"/>
                <w:color w:val="auto"/>
                <w:sz w:val="21"/>
                <w:highlight w:val="none"/>
              </w:rPr>
            </w:pPr>
          </w:p>
        </w:tc>
      </w:tr>
      <w:tr w14:paraId="754FA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108" w:type="dxa"/>
            <w:vAlign w:val="top"/>
          </w:tcPr>
          <w:p w14:paraId="13F9A54F">
            <w:pPr>
              <w:pStyle w:val="11"/>
              <w:spacing w:before="120" w:line="223" w:lineRule="auto"/>
              <w:ind w:left="244"/>
              <w:rPr>
                <w:color w:val="auto"/>
                <w:highlight w:val="none"/>
              </w:rPr>
            </w:pPr>
            <w:r>
              <w:rPr>
                <w:color w:val="auto"/>
                <w:spacing w:val="-4"/>
                <w:highlight w:val="none"/>
              </w:rPr>
              <w:t>职</w:t>
            </w:r>
            <w:r>
              <w:rPr>
                <w:color w:val="auto"/>
                <w:spacing w:val="4"/>
                <w:highlight w:val="none"/>
              </w:rPr>
              <w:t xml:space="preserve">  </w:t>
            </w:r>
            <w:r>
              <w:rPr>
                <w:color w:val="auto"/>
                <w:spacing w:val="-4"/>
                <w:highlight w:val="none"/>
              </w:rPr>
              <w:t>称</w:t>
            </w:r>
          </w:p>
        </w:tc>
        <w:tc>
          <w:tcPr>
            <w:tcW w:w="878" w:type="dxa"/>
            <w:vAlign w:val="top"/>
          </w:tcPr>
          <w:p w14:paraId="5D2D6946">
            <w:pPr>
              <w:rPr>
                <w:rFonts w:ascii="Arial"/>
                <w:color w:val="auto"/>
                <w:sz w:val="21"/>
                <w:highlight w:val="none"/>
              </w:rPr>
            </w:pPr>
          </w:p>
        </w:tc>
        <w:tc>
          <w:tcPr>
            <w:tcW w:w="1066" w:type="dxa"/>
            <w:vAlign w:val="top"/>
          </w:tcPr>
          <w:p w14:paraId="41860986">
            <w:pPr>
              <w:pStyle w:val="11"/>
              <w:spacing w:before="120" w:line="221" w:lineRule="auto"/>
              <w:ind w:left="226"/>
              <w:rPr>
                <w:color w:val="auto"/>
                <w:highlight w:val="none"/>
              </w:rPr>
            </w:pPr>
            <w:r>
              <w:rPr>
                <w:color w:val="auto"/>
                <w:spacing w:val="-4"/>
                <w:highlight w:val="none"/>
              </w:rPr>
              <w:t>职</w:t>
            </w:r>
            <w:r>
              <w:rPr>
                <w:color w:val="auto"/>
                <w:spacing w:val="5"/>
                <w:highlight w:val="none"/>
              </w:rPr>
              <w:t xml:space="preserve">  </w:t>
            </w:r>
            <w:r>
              <w:rPr>
                <w:color w:val="auto"/>
                <w:spacing w:val="-4"/>
                <w:highlight w:val="none"/>
              </w:rPr>
              <w:t>务</w:t>
            </w:r>
          </w:p>
        </w:tc>
        <w:tc>
          <w:tcPr>
            <w:tcW w:w="1190" w:type="dxa"/>
            <w:vAlign w:val="top"/>
          </w:tcPr>
          <w:p w14:paraId="70C05111">
            <w:pPr>
              <w:rPr>
                <w:rFonts w:ascii="Arial"/>
                <w:color w:val="auto"/>
                <w:sz w:val="21"/>
                <w:highlight w:val="none"/>
              </w:rPr>
            </w:pPr>
          </w:p>
        </w:tc>
        <w:tc>
          <w:tcPr>
            <w:tcW w:w="1963" w:type="dxa"/>
            <w:vAlign w:val="top"/>
          </w:tcPr>
          <w:p w14:paraId="2C1788A0">
            <w:pPr>
              <w:pStyle w:val="11"/>
              <w:spacing w:before="120" w:line="220" w:lineRule="auto"/>
              <w:ind w:left="250"/>
              <w:rPr>
                <w:color w:val="auto"/>
                <w:highlight w:val="none"/>
              </w:rPr>
            </w:pPr>
            <w:r>
              <w:rPr>
                <w:color w:val="auto"/>
                <w:spacing w:val="-1"/>
                <w:highlight w:val="none"/>
              </w:rPr>
              <w:t>拟在本工程任职</w:t>
            </w:r>
          </w:p>
        </w:tc>
        <w:tc>
          <w:tcPr>
            <w:tcW w:w="1996" w:type="dxa"/>
            <w:vAlign w:val="top"/>
          </w:tcPr>
          <w:p w14:paraId="19ADADF1">
            <w:pPr>
              <w:pStyle w:val="11"/>
              <w:spacing w:before="121" w:line="221" w:lineRule="auto"/>
              <w:ind w:left="586"/>
              <w:rPr>
                <w:color w:val="auto"/>
                <w:highlight w:val="none"/>
              </w:rPr>
            </w:pPr>
            <w:r>
              <w:rPr>
                <w:color w:val="auto"/>
                <w:spacing w:val="-2"/>
                <w:highlight w:val="none"/>
              </w:rPr>
              <w:t>项目经理</w:t>
            </w:r>
          </w:p>
        </w:tc>
      </w:tr>
      <w:tr w14:paraId="6520F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3052" w:type="dxa"/>
            <w:gridSpan w:val="3"/>
            <w:vAlign w:val="top"/>
          </w:tcPr>
          <w:p w14:paraId="74DE8DF2">
            <w:pPr>
              <w:pStyle w:val="11"/>
              <w:spacing w:before="121" w:line="221" w:lineRule="auto"/>
              <w:ind w:left="372"/>
              <w:rPr>
                <w:color w:val="auto"/>
                <w:highlight w:val="none"/>
              </w:rPr>
            </w:pPr>
            <w:r>
              <w:rPr>
                <w:color w:val="auto"/>
                <w:spacing w:val="-1"/>
                <w:highlight w:val="none"/>
              </w:rPr>
              <w:t>注册建造师执业资格等级</w:t>
            </w:r>
          </w:p>
        </w:tc>
        <w:tc>
          <w:tcPr>
            <w:tcW w:w="1190" w:type="dxa"/>
            <w:vAlign w:val="top"/>
          </w:tcPr>
          <w:p w14:paraId="1F54D7EF">
            <w:pPr>
              <w:pStyle w:val="11"/>
              <w:spacing w:before="121" w:line="223" w:lineRule="auto"/>
              <w:ind w:left="820"/>
              <w:rPr>
                <w:color w:val="auto"/>
                <w:highlight w:val="none"/>
              </w:rPr>
            </w:pPr>
            <w:r>
              <w:rPr>
                <w:color w:val="auto"/>
                <w:highlight w:val="none"/>
              </w:rPr>
              <w:t>级</w:t>
            </w:r>
          </w:p>
        </w:tc>
        <w:tc>
          <w:tcPr>
            <w:tcW w:w="1963" w:type="dxa"/>
            <w:vAlign w:val="top"/>
          </w:tcPr>
          <w:p w14:paraId="5D87CDBB">
            <w:pPr>
              <w:pStyle w:val="11"/>
              <w:spacing w:before="121" w:line="221" w:lineRule="auto"/>
              <w:ind w:left="464"/>
              <w:rPr>
                <w:color w:val="auto"/>
                <w:highlight w:val="none"/>
              </w:rPr>
            </w:pPr>
            <w:r>
              <w:rPr>
                <w:color w:val="auto"/>
                <w:spacing w:val="-1"/>
                <w:highlight w:val="none"/>
              </w:rPr>
              <w:t>建造师专业</w:t>
            </w:r>
          </w:p>
        </w:tc>
        <w:tc>
          <w:tcPr>
            <w:tcW w:w="1996" w:type="dxa"/>
            <w:vAlign w:val="top"/>
          </w:tcPr>
          <w:p w14:paraId="60EFC32C">
            <w:pPr>
              <w:rPr>
                <w:rFonts w:ascii="Arial"/>
                <w:color w:val="auto"/>
                <w:sz w:val="21"/>
                <w:highlight w:val="none"/>
              </w:rPr>
            </w:pPr>
          </w:p>
        </w:tc>
      </w:tr>
      <w:tr w14:paraId="2C66A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3052" w:type="dxa"/>
            <w:gridSpan w:val="3"/>
            <w:vAlign w:val="top"/>
          </w:tcPr>
          <w:p w14:paraId="0B6C16AA">
            <w:pPr>
              <w:pStyle w:val="11"/>
              <w:spacing w:before="122" w:line="220" w:lineRule="auto"/>
              <w:ind w:left="482"/>
              <w:rPr>
                <w:color w:val="auto"/>
                <w:highlight w:val="none"/>
              </w:rPr>
            </w:pPr>
            <w:r>
              <w:rPr>
                <w:color w:val="auto"/>
                <w:spacing w:val="-1"/>
                <w:highlight w:val="none"/>
              </w:rPr>
              <w:t>安全生产考核合格证书</w:t>
            </w:r>
          </w:p>
        </w:tc>
        <w:tc>
          <w:tcPr>
            <w:tcW w:w="5149" w:type="dxa"/>
            <w:gridSpan w:val="3"/>
            <w:vAlign w:val="top"/>
          </w:tcPr>
          <w:p w14:paraId="328206F4">
            <w:pPr>
              <w:rPr>
                <w:rFonts w:ascii="Arial"/>
                <w:color w:val="auto"/>
                <w:sz w:val="21"/>
                <w:highlight w:val="none"/>
              </w:rPr>
            </w:pPr>
          </w:p>
        </w:tc>
      </w:tr>
      <w:tr w14:paraId="348CF0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108" w:type="dxa"/>
            <w:vAlign w:val="top"/>
          </w:tcPr>
          <w:p w14:paraId="7130E55D">
            <w:pPr>
              <w:pStyle w:val="11"/>
              <w:spacing w:before="121" w:line="221" w:lineRule="auto"/>
              <w:ind w:left="141"/>
              <w:rPr>
                <w:color w:val="auto"/>
                <w:highlight w:val="none"/>
              </w:rPr>
            </w:pPr>
            <w:r>
              <w:rPr>
                <w:color w:val="auto"/>
                <w:spacing w:val="-2"/>
                <w:highlight w:val="none"/>
              </w:rPr>
              <w:t>毕业学校</w:t>
            </w:r>
          </w:p>
        </w:tc>
        <w:tc>
          <w:tcPr>
            <w:tcW w:w="7093" w:type="dxa"/>
            <w:gridSpan w:val="5"/>
            <w:vAlign w:val="top"/>
          </w:tcPr>
          <w:p w14:paraId="7808621A">
            <w:pPr>
              <w:pStyle w:val="11"/>
              <w:spacing w:before="121" w:line="221" w:lineRule="auto"/>
              <w:ind w:left="955"/>
              <w:rPr>
                <w:color w:val="auto"/>
                <w:highlight w:val="none"/>
              </w:rPr>
            </w:pPr>
            <w:r>
              <w:rPr>
                <w:color w:val="auto"/>
                <w:spacing w:val="-1"/>
                <w:highlight w:val="none"/>
              </w:rPr>
              <w:t>年毕业于                  学校</w:t>
            </w:r>
            <w:r>
              <w:rPr>
                <w:color w:val="auto"/>
                <w:spacing w:val="2"/>
                <w:highlight w:val="none"/>
              </w:rPr>
              <w:t xml:space="preserve">            </w:t>
            </w:r>
            <w:r>
              <w:rPr>
                <w:color w:val="auto"/>
                <w:spacing w:val="-1"/>
                <w:highlight w:val="none"/>
              </w:rPr>
              <w:t>专业</w:t>
            </w:r>
          </w:p>
        </w:tc>
      </w:tr>
      <w:tr w14:paraId="3E82B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201" w:type="dxa"/>
            <w:gridSpan w:val="6"/>
            <w:vAlign w:val="top"/>
          </w:tcPr>
          <w:p w14:paraId="5CE2412F">
            <w:pPr>
              <w:pStyle w:val="11"/>
              <w:spacing w:before="122" w:line="221" w:lineRule="auto"/>
              <w:ind w:left="3476"/>
              <w:rPr>
                <w:color w:val="auto"/>
                <w:highlight w:val="none"/>
              </w:rPr>
            </w:pPr>
            <w:r>
              <w:rPr>
                <w:color w:val="auto"/>
                <w:spacing w:val="-1"/>
                <w:highlight w:val="none"/>
              </w:rPr>
              <w:t>主要工作经历</w:t>
            </w:r>
          </w:p>
        </w:tc>
      </w:tr>
      <w:tr w14:paraId="02E89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108" w:type="dxa"/>
            <w:vAlign w:val="top"/>
          </w:tcPr>
          <w:p w14:paraId="07EB0E7B">
            <w:pPr>
              <w:pStyle w:val="11"/>
              <w:spacing w:before="122" w:line="223" w:lineRule="auto"/>
              <w:ind w:left="253"/>
              <w:rPr>
                <w:color w:val="auto"/>
                <w:highlight w:val="none"/>
              </w:rPr>
            </w:pPr>
            <w:r>
              <w:rPr>
                <w:color w:val="auto"/>
                <w:spacing w:val="-9"/>
                <w:highlight w:val="none"/>
              </w:rPr>
              <w:t>时</w:t>
            </w:r>
            <w:r>
              <w:rPr>
                <w:color w:val="auto"/>
                <w:spacing w:val="12"/>
                <w:highlight w:val="none"/>
              </w:rPr>
              <w:t xml:space="preserve">  </w:t>
            </w:r>
            <w:r>
              <w:rPr>
                <w:color w:val="auto"/>
                <w:spacing w:val="-9"/>
                <w:highlight w:val="none"/>
              </w:rPr>
              <w:t>间</w:t>
            </w:r>
          </w:p>
        </w:tc>
        <w:tc>
          <w:tcPr>
            <w:tcW w:w="3134" w:type="dxa"/>
            <w:gridSpan w:val="3"/>
            <w:vAlign w:val="top"/>
          </w:tcPr>
          <w:p w14:paraId="3EE57E87">
            <w:pPr>
              <w:pStyle w:val="11"/>
              <w:spacing w:before="122" w:line="221" w:lineRule="auto"/>
              <w:ind w:left="524"/>
              <w:rPr>
                <w:color w:val="auto"/>
                <w:highlight w:val="none"/>
              </w:rPr>
            </w:pPr>
            <w:r>
              <w:rPr>
                <w:color w:val="auto"/>
                <w:spacing w:val="-1"/>
                <w:highlight w:val="none"/>
              </w:rPr>
              <w:t>参加过的类似项目名称</w:t>
            </w:r>
          </w:p>
        </w:tc>
        <w:tc>
          <w:tcPr>
            <w:tcW w:w="1963" w:type="dxa"/>
            <w:vAlign w:val="top"/>
          </w:tcPr>
          <w:p w14:paraId="0056415A">
            <w:pPr>
              <w:pStyle w:val="11"/>
              <w:spacing w:before="122" w:line="221" w:lineRule="auto"/>
              <w:ind w:left="358"/>
              <w:rPr>
                <w:color w:val="auto"/>
                <w:highlight w:val="none"/>
              </w:rPr>
            </w:pPr>
            <w:r>
              <w:rPr>
                <w:color w:val="auto"/>
                <w:spacing w:val="-1"/>
                <w:highlight w:val="none"/>
              </w:rPr>
              <w:t>工程概况说明</w:t>
            </w:r>
          </w:p>
        </w:tc>
        <w:tc>
          <w:tcPr>
            <w:tcW w:w="1996" w:type="dxa"/>
            <w:vAlign w:val="top"/>
          </w:tcPr>
          <w:p w14:paraId="231625EA">
            <w:pPr>
              <w:pStyle w:val="11"/>
              <w:spacing w:before="122" w:line="221" w:lineRule="auto"/>
              <w:ind w:left="168"/>
              <w:rPr>
                <w:color w:val="auto"/>
                <w:highlight w:val="none"/>
              </w:rPr>
            </w:pPr>
            <w:r>
              <w:rPr>
                <w:color w:val="auto"/>
                <w:spacing w:val="-1"/>
                <w:highlight w:val="none"/>
              </w:rPr>
              <w:t>发包人及联系电话</w:t>
            </w:r>
          </w:p>
        </w:tc>
      </w:tr>
      <w:tr w14:paraId="10504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6E00C97B">
            <w:pPr>
              <w:rPr>
                <w:rFonts w:ascii="Arial"/>
                <w:color w:val="auto"/>
                <w:sz w:val="21"/>
                <w:highlight w:val="none"/>
              </w:rPr>
            </w:pPr>
          </w:p>
        </w:tc>
        <w:tc>
          <w:tcPr>
            <w:tcW w:w="3134" w:type="dxa"/>
            <w:gridSpan w:val="3"/>
            <w:vAlign w:val="top"/>
          </w:tcPr>
          <w:p w14:paraId="40439E54">
            <w:pPr>
              <w:rPr>
                <w:rFonts w:ascii="Arial"/>
                <w:color w:val="auto"/>
                <w:sz w:val="21"/>
                <w:highlight w:val="none"/>
              </w:rPr>
            </w:pPr>
          </w:p>
        </w:tc>
        <w:tc>
          <w:tcPr>
            <w:tcW w:w="1963" w:type="dxa"/>
            <w:vAlign w:val="top"/>
          </w:tcPr>
          <w:p w14:paraId="247420B2">
            <w:pPr>
              <w:rPr>
                <w:rFonts w:ascii="Arial"/>
                <w:color w:val="auto"/>
                <w:sz w:val="21"/>
                <w:highlight w:val="none"/>
              </w:rPr>
            </w:pPr>
          </w:p>
        </w:tc>
        <w:tc>
          <w:tcPr>
            <w:tcW w:w="1996" w:type="dxa"/>
            <w:vAlign w:val="top"/>
          </w:tcPr>
          <w:p w14:paraId="0FF97E48">
            <w:pPr>
              <w:rPr>
                <w:rFonts w:ascii="Arial"/>
                <w:color w:val="auto"/>
                <w:sz w:val="21"/>
                <w:highlight w:val="none"/>
              </w:rPr>
            </w:pPr>
          </w:p>
        </w:tc>
      </w:tr>
      <w:tr w14:paraId="0381E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6" w:hRule="atLeast"/>
        </w:trPr>
        <w:tc>
          <w:tcPr>
            <w:tcW w:w="1108" w:type="dxa"/>
            <w:vAlign w:val="top"/>
          </w:tcPr>
          <w:p w14:paraId="1D790F33">
            <w:pPr>
              <w:rPr>
                <w:rFonts w:ascii="Arial"/>
                <w:color w:val="auto"/>
                <w:sz w:val="21"/>
                <w:highlight w:val="none"/>
              </w:rPr>
            </w:pPr>
          </w:p>
        </w:tc>
        <w:tc>
          <w:tcPr>
            <w:tcW w:w="3134" w:type="dxa"/>
            <w:gridSpan w:val="3"/>
            <w:vAlign w:val="top"/>
          </w:tcPr>
          <w:p w14:paraId="5ACEC281">
            <w:pPr>
              <w:rPr>
                <w:rFonts w:ascii="Arial"/>
                <w:color w:val="auto"/>
                <w:sz w:val="21"/>
                <w:highlight w:val="none"/>
              </w:rPr>
            </w:pPr>
          </w:p>
        </w:tc>
        <w:tc>
          <w:tcPr>
            <w:tcW w:w="1963" w:type="dxa"/>
            <w:vAlign w:val="top"/>
          </w:tcPr>
          <w:p w14:paraId="4056FE74">
            <w:pPr>
              <w:rPr>
                <w:rFonts w:ascii="Arial"/>
                <w:color w:val="auto"/>
                <w:sz w:val="21"/>
                <w:highlight w:val="none"/>
              </w:rPr>
            </w:pPr>
          </w:p>
        </w:tc>
        <w:tc>
          <w:tcPr>
            <w:tcW w:w="1996" w:type="dxa"/>
            <w:vAlign w:val="top"/>
          </w:tcPr>
          <w:p w14:paraId="27CA833A">
            <w:pPr>
              <w:rPr>
                <w:rFonts w:ascii="Arial"/>
                <w:color w:val="auto"/>
                <w:sz w:val="21"/>
                <w:highlight w:val="none"/>
              </w:rPr>
            </w:pPr>
          </w:p>
        </w:tc>
      </w:tr>
      <w:tr w14:paraId="7E4A8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56AEF3D8">
            <w:pPr>
              <w:rPr>
                <w:rFonts w:ascii="Arial"/>
                <w:color w:val="auto"/>
                <w:sz w:val="21"/>
                <w:highlight w:val="none"/>
              </w:rPr>
            </w:pPr>
          </w:p>
        </w:tc>
        <w:tc>
          <w:tcPr>
            <w:tcW w:w="3134" w:type="dxa"/>
            <w:gridSpan w:val="3"/>
            <w:vAlign w:val="top"/>
          </w:tcPr>
          <w:p w14:paraId="6E9F43C7">
            <w:pPr>
              <w:rPr>
                <w:rFonts w:ascii="Arial"/>
                <w:color w:val="auto"/>
                <w:sz w:val="21"/>
                <w:highlight w:val="none"/>
              </w:rPr>
            </w:pPr>
          </w:p>
        </w:tc>
        <w:tc>
          <w:tcPr>
            <w:tcW w:w="1963" w:type="dxa"/>
            <w:vAlign w:val="top"/>
          </w:tcPr>
          <w:p w14:paraId="51FE9FD3">
            <w:pPr>
              <w:rPr>
                <w:rFonts w:ascii="Arial"/>
                <w:color w:val="auto"/>
                <w:sz w:val="21"/>
                <w:highlight w:val="none"/>
              </w:rPr>
            </w:pPr>
          </w:p>
        </w:tc>
        <w:tc>
          <w:tcPr>
            <w:tcW w:w="1996" w:type="dxa"/>
            <w:vAlign w:val="top"/>
          </w:tcPr>
          <w:p w14:paraId="09CCE6CF">
            <w:pPr>
              <w:rPr>
                <w:rFonts w:ascii="Arial"/>
                <w:color w:val="auto"/>
                <w:sz w:val="21"/>
                <w:highlight w:val="none"/>
              </w:rPr>
            </w:pPr>
          </w:p>
        </w:tc>
      </w:tr>
      <w:tr w14:paraId="04D7FF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1108" w:type="dxa"/>
            <w:vAlign w:val="top"/>
          </w:tcPr>
          <w:p w14:paraId="6A2F1F55">
            <w:pPr>
              <w:rPr>
                <w:rFonts w:ascii="Arial"/>
                <w:color w:val="auto"/>
                <w:sz w:val="21"/>
                <w:highlight w:val="none"/>
              </w:rPr>
            </w:pPr>
          </w:p>
        </w:tc>
        <w:tc>
          <w:tcPr>
            <w:tcW w:w="3134" w:type="dxa"/>
            <w:gridSpan w:val="3"/>
            <w:vAlign w:val="top"/>
          </w:tcPr>
          <w:p w14:paraId="222D3B0A">
            <w:pPr>
              <w:rPr>
                <w:rFonts w:ascii="Arial"/>
                <w:color w:val="auto"/>
                <w:sz w:val="21"/>
                <w:highlight w:val="none"/>
              </w:rPr>
            </w:pPr>
          </w:p>
        </w:tc>
        <w:tc>
          <w:tcPr>
            <w:tcW w:w="1963" w:type="dxa"/>
            <w:vAlign w:val="top"/>
          </w:tcPr>
          <w:p w14:paraId="2C253A86">
            <w:pPr>
              <w:rPr>
                <w:rFonts w:ascii="Arial"/>
                <w:color w:val="auto"/>
                <w:sz w:val="21"/>
                <w:highlight w:val="none"/>
              </w:rPr>
            </w:pPr>
          </w:p>
        </w:tc>
        <w:tc>
          <w:tcPr>
            <w:tcW w:w="1996" w:type="dxa"/>
            <w:vAlign w:val="top"/>
          </w:tcPr>
          <w:p w14:paraId="1586F470">
            <w:pPr>
              <w:rPr>
                <w:rFonts w:ascii="Arial"/>
                <w:color w:val="auto"/>
                <w:sz w:val="21"/>
                <w:highlight w:val="none"/>
              </w:rPr>
            </w:pPr>
          </w:p>
        </w:tc>
      </w:tr>
      <w:tr w14:paraId="6DFFB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52C8CD60">
            <w:pPr>
              <w:rPr>
                <w:rFonts w:ascii="Arial"/>
                <w:color w:val="auto"/>
                <w:sz w:val="21"/>
                <w:highlight w:val="none"/>
              </w:rPr>
            </w:pPr>
          </w:p>
        </w:tc>
        <w:tc>
          <w:tcPr>
            <w:tcW w:w="3134" w:type="dxa"/>
            <w:gridSpan w:val="3"/>
            <w:vAlign w:val="top"/>
          </w:tcPr>
          <w:p w14:paraId="74416799">
            <w:pPr>
              <w:rPr>
                <w:rFonts w:ascii="Arial"/>
                <w:color w:val="auto"/>
                <w:sz w:val="21"/>
                <w:highlight w:val="none"/>
              </w:rPr>
            </w:pPr>
          </w:p>
        </w:tc>
        <w:tc>
          <w:tcPr>
            <w:tcW w:w="1963" w:type="dxa"/>
            <w:vAlign w:val="top"/>
          </w:tcPr>
          <w:p w14:paraId="5DD7CC78">
            <w:pPr>
              <w:rPr>
                <w:rFonts w:ascii="Arial"/>
                <w:color w:val="auto"/>
                <w:sz w:val="21"/>
                <w:highlight w:val="none"/>
              </w:rPr>
            </w:pPr>
          </w:p>
        </w:tc>
        <w:tc>
          <w:tcPr>
            <w:tcW w:w="1996" w:type="dxa"/>
            <w:vAlign w:val="top"/>
          </w:tcPr>
          <w:p w14:paraId="1F10689D">
            <w:pPr>
              <w:rPr>
                <w:rFonts w:ascii="Arial"/>
                <w:color w:val="auto"/>
                <w:sz w:val="21"/>
                <w:highlight w:val="none"/>
              </w:rPr>
            </w:pPr>
          </w:p>
        </w:tc>
      </w:tr>
      <w:tr w14:paraId="76142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3ED70514">
            <w:pPr>
              <w:rPr>
                <w:rFonts w:ascii="Arial"/>
                <w:color w:val="auto"/>
                <w:sz w:val="21"/>
                <w:highlight w:val="none"/>
              </w:rPr>
            </w:pPr>
          </w:p>
        </w:tc>
        <w:tc>
          <w:tcPr>
            <w:tcW w:w="3134" w:type="dxa"/>
            <w:gridSpan w:val="3"/>
            <w:vAlign w:val="top"/>
          </w:tcPr>
          <w:p w14:paraId="765A48C6">
            <w:pPr>
              <w:rPr>
                <w:rFonts w:ascii="Arial"/>
                <w:color w:val="auto"/>
                <w:sz w:val="21"/>
                <w:highlight w:val="none"/>
              </w:rPr>
            </w:pPr>
          </w:p>
        </w:tc>
        <w:tc>
          <w:tcPr>
            <w:tcW w:w="1963" w:type="dxa"/>
            <w:vAlign w:val="top"/>
          </w:tcPr>
          <w:p w14:paraId="1138BB91">
            <w:pPr>
              <w:rPr>
                <w:rFonts w:ascii="Arial"/>
                <w:color w:val="auto"/>
                <w:sz w:val="21"/>
                <w:highlight w:val="none"/>
              </w:rPr>
            </w:pPr>
          </w:p>
        </w:tc>
        <w:tc>
          <w:tcPr>
            <w:tcW w:w="1996" w:type="dxa"/>
            <w:vAlign w:val="top"/>
          </w:tcPr>
          <w:p w14:paraId="35B85C98">
            <w:pPr>
              <w:rPr>
                <w:rFonts w:ascii="Arial"/>
                <w:color w:val="auto"/>
                <w:sz w:val="21"/>
                <w:highlight w:val="none"/>
              </w:rPr>
            </w:pPr>
          </w:p>
        </w:tc>
      </w:tr>
      <w:tr w14:paraId="7A4F3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601B047E">
            <w:pPr>
              <w:rPr>
                <w:rFonts w:ascii="Arial"/>
                <w:color w:val="auto"/>
                <w:sz w:val="21"/>
                <w:highlight w:val="none"/>
              </w:rPr>
            </w:pPr>
          </w:p>
        </w:tc>
        <w:tc>
          <w:tcPr>
            <w:tcW w:w="3134" w:type="dxa"/>
            <w:gridSpan w:val="3"/>
            <w:vAlign w:val="top"/>
          </w:tcPr>
          <w:p w14:paraId="784C57A1">
            <w:pPr>
              <w:rPr>
                <w:rFonts w:ascii="Arial"/>
                <w:color w:val="auto"/>
                <w:sz w:val="21"/>
                <w:highlight w:val="none"/>
              </w:rPr>
            </w:pPr>
          </w:p>
        </w:tc>
        <w:tc>
          <w:tcPr>
            <w:tcW w:w="1963" w:type="dxa"/>
            <w:vAlign w:val="top"/>
          </w:tcPr>
          <w:p w14:paraId="33C3BF9D">
            <w:pPr>
              <w:rPr>
                <w:rFonts w:ascii="Arial"/>
                <w:color w:val="auto"/>
                <w:sz w:val="21"/>
                <w:highlight w:val="none"/>
              </w:rPr>
            </w:pPr>
          </w:p>
        </w:tc>
        <w:tc>
          <w:tcPr>
            <w:tcW w:w="1996" w:type="dxa"/>
            <w:vAlign w:val="top"/>
          </w:tcPr>
          <w:p w14:paraId="4D14EA62">
            <w:pPr>
              <w:rPr>
                <w:rFonts w:ascii="Arial"/>
                <w:color w:val="auto"/>
                <w:sz w:val="21"/>
                <w:highlight w:val="none"/>
              </w:rPr>
            </w:pPr>
          </w:p>
        </w:tc>
      </w:tr>
      <w:tr w14:paraId="508AB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1108" w:type="dxa"/>
            <w:vAlign w:val="top"/>
          </w:tcPr>
          <w:p w14:paraId="62BDD2C1">
            <w:pPr>
              <w:rPr>
                <w:rFonts w:ascii="Arial"/>
                <w:color w:val="auto"/>
                <w:sz w:val="21"/>
                <w:highlight w:val="none"/>
              </w:rPr>
            </w:pPr>
          </w:p>
        </w:tc>
        <w:tc>
          <w:tcPr>
            <w:tcW w:w="3134" w:type="dxa"/>
            <w:gridSpan w:val="3"/>
            <w:vAlign w:val="top"/>
          </w:tcPr>
          <w:p w14:paraId="2E4B7EFC">
            <w:pPr>
              <w:rPr>
                <w:rFonts w:ascii="Arial"/>
                <w:color w:val="auto"/>
                <w:sz w:val="21"/>
                <w:highlight w:val="none"/>
              </w:rPr>
            </w:pPr>
          </w:p>
        </w:tc>
        <w:tc>
          <w:tcPr>
            <w:tcW w:w="1963" w:type="dxa"/>
            <w:vAlign w:val="top"/>
          </w:tcPr>
          <w:p w14:paraId="61AC3D57">
            <w:pPr>
              <w:rPr>
                <w:rFonts w:ascii="Arial"/>
                <w:color w:val="auto"/>
                <w:sz w:val="21"/>
                <w:highlight w:val="none"/>
              </w:rPr>
            </w:pPr>
          </w:p>
        </w:tc>
        <w:tc>
          <w:tcPr>
            <w:tcW w:w="1996" w:type="dxa"/>
            <w:vAlign w:val="top"/>
          </w:tcPr>
          <w:p w14:paraId="2756EE11">
            <w:pPr>
              <w:rPr>
                <w:rFonts w:ascii="Arial"/>
                <w:color w:val="auto"/>
                <w:sz w:val="21"/>
                <w:highlight w:val="none"/>
              </w:rPr>
            </w:pPr>
          </w:p>
        </w:tc>
      </w:tr>
      <w:tr w14:paraId="0FBE7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108" w:type="dxa"/>
            <w:vAlign w:val="top"/>
          </w:tcPr>
          <w:p w14:paraId="31BF6A2F">
            <w:pPr>
              <w:rPr>
                <w:rFonts w:ascii="Arial"/>
                <w:color w:val="auto"/>
                <w:sz w:val="21"/>
                <w:highlight w:val="none"/>
              </w:rPr>
            </w:pPr>
          </w:p>
        </w:tc>
        <w:tc>
          <w:tcPr>
            <w:tcW w:w="3134" w:type="dxa"/>
            <w:gridSpan w:val="3"/>
            <w:vAlign w:val="top"/>
          </w:tcPr>
          <w:p w14:paraId="0542CF7E">
            <w:pPr>
              <w:rPr>
                <w:rFonts w:ascii="Arial"/>
                <w:color w:val="auto"/>
                <w:sz w:val="21"/>
                <w:highlight w:val="none"/>
              </w:rPr>
            </w:pPr>
          </w:p>
        </w:tc>
        <w:tc>
          <w:tcPr>
            <w:tcW w:w="1963" w:type="dxa"/>
            <w:vAlign w:val="top"/>
          </w:tcPr>
          <w:p w14:paraId="375D69EB">
            <w:pPr>
              <w:rPr>
                <w:rFonts w:ascii="Arial"/>
                <w:color w:val="auto"/>
                <w:sz w:val="21"/>
                <w:highlight w:val="none"/>
              </w:rPr>
            </w:pPr>
          </w:p>
        </w:tc>
        <w:tc>
          <w:tcPr>
            <w:tcW w:w="1996" w:type="dxa"/>
            <w:vAlign w:val="top"/>
          </w:tcPr>
          <w:p w14:paraId="5AE85CB6">
            <w:pPr>
              <w:rPr>
                <w:rFonts w:ascii="Arial"/>
                <w:color w:val="auto"/>
                <w:sz w:val="21"/>
                <w:highlight w:val="none"/>
              </w:rPr>
            </w:pPr>
          </w:p>
        </w:tc>
      </w:tr>
    </w:tbl>
    <w:p w14:paraId="7CA8FAA6">
      <w:pPr>
        <w:spacing w:before="78" w:line="253" w:lineRule="auto"/>
        <w:ind w:left="963" w:right="29" w:hanging="94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备注： 1.项目经理应附建造师注册证书、安全生产考核合格证书（</w:t>
      </w:r>
      <w:r>
        <w:rPr>
          <w:rFonts w:ascii="Times New Roman" w:hAnsi="Times New Roman" w:eastAsia="Times New Roman" w:cs="Times New Roman"/>
          <w:color w:val="auto"/>
          <w:spacing w:val="-4"/>
          <w:sz w:val="21"/>
          <w:szCs w:val="21"/>
          <w:highlight w:val="none"/>
        </w:rPr>
        <w:t>B</w:t>
      </w:r>
      <w:r>
        <w:rPr>
          <w:rFonts w:ascii="宋体" w:hAnsi="宋体" w:eastAsia="宋体" w:cs="宋体"/>
          <w:color w:val="auto"/>
          <w:spacing w:val="-4"/>
          <w:sz w:val="21"/>
          <w:szCs w:val="21"/>
          <w:highlight w:val="none"/>
        </w:rPr>
        <w:t>证）、职称证书、学历</w:t>
      </w:r>
      <w:r>
        <w:rPr>
          <w:rFonts w:ascii="宋体" w:hAnsi="宋体" w:eastAsia="宋体" w:cs="宋体"/>
          <w:color w:val="auto"/>
          <w:spacing w:val="13"/>
          <w:sz w:val="21"/>
          <w:szCs w:val="21"/>
          <w:highlight w:val="none"/>
        </w:rPr>
        <w:t xml:space="preserve"> </w:t>
      </w:r>
      <w:r>
        <w:rPr>
          <w:rFonts w:ascii="宋体" w:hAnsi="宋体" w:eastAsia="宋体" w:cs="宋体"/>
          <w:color w:val="auto"/>
          <w:spacing w:val="-1"/>
          <w:sz w:val="21"/>
          <w:szCs w:val="21"/>
          <w:highlight w:val="none"/>
        </w:rPr>
        <w:t>证书等材料。</w:t>
      </w:r>
    </w:p>
    <w:p w14:paraId="775559D0">
      <w:pPr>
        <w:spacing w:before="71" w:line="220" w:lineRule="auto"/>
        <w:ind w:left="650"/>
        <w:rPr>
          <w:rFonts w:ascii="宋体" w:hAnsi="宋体" w:eastAsia="宋体" w:cs="宋体"/>
          <w:color w:val="auto"/>
          <w:sz w:val="21"/>
          <w:szCs w:val="21"/>
          <w:highlight w:val="none"/>
        </w:rPr>
      </w:pPr>
      <w:r>
        <w:rPr>
          <w:rFonts w:ascii="宋体" w:hAnsi="宋体" w:eastAsia="宋体" w:cs="宋体"/>
          <w:color w:val="auto"/>
          <w:sz w:val="21"/>
          <w:szCs w:val="21"/>
          <w:highlight w:val="none"/>
        </w:rPr>
        <w:t>2.类似项目限于以项目经理身份参与的项目。须</w:t>
      </w:r>
      <w:r>
        <w:rPr>
          <w:rFonts w:ascii="宋体" w:hAnsi="宋体" w:eastAsia="宋体" w:cs="宋体"/>
          <w:color w:val="auto"/>
          <w:spacing w:val="-1"/>
          <w:sz w:val="21"/>
          <w:szCs w:val="21"/>
          <w:highlight w:val="none"/>
        </w:rPr>
        <w:t>附业绩证明材料。</w:t>
      </w:r>
    </w:p>
    <w:p w14:paraId="67A755F8">
      <w:pPr>
        <w:spacing w:line="220" w:lineRule="auto"/>
        <w:rPr>
          <w:rFonts w:ascii="宋体" w:hAnsi="宋体" w:eastAsia="宋体" w:cs="宋体"/>
          <w:color w:val="auto"/>
          <w:sz w:val="21"/>
          <w:szCs w:val="21"/>
          <w:highlight w:val="none"/>
        </w:rPr>
        <w:sectPr>
          <w:footerReference r:id="rId224" w:type="default"/>
          <w:pgSz w:w="11905" w:h="16839"/>
          <w:pgMar w:top="400" w:right="1785" w:bottom="1004" w:left="1785" w:header="0" w:footer="828" w:gutter="0"/>
          <w:pgNumType w:fmt="decimal"/>
          <w:cols w:space="720" w:num="1"/>
        </w:sectPr>
      </w:pPr>
    </w:p>
    <w:p w14:paraId="292440A2">
      <w:pPr>
        <w:pStyle w:val="3"/>
        <w:spacing w:line="260" w:lineRule="auto"/>
        <w:rPr>
          <w:color w:val="auto"/>
          <w:highlight w:val="none"/>
        </w:rPr>
      </w:pPr>
    </w:p>
    <w:p w14:paraId="242254BA">
      <w:pPr>
        <w:pStyle w:val="3"/>
        <w:spacing w:line="260" w:lineRule="auto"/>
        <w:rPr>
          <w:color w:val="auto"/>
          <w:highlight w:val="none"/>
        </w:rPr>
      </w:pPr>
    </w:p>
    <w:p w14:paraId="1F0BA53D">
      <w:pPr>
        <w:pStyle w:val="3"/>
        <w:spacing w:line="260" w:lineRule="auto"/>
        <w:rPr>
          <w:color w:val="auto"/>
          <w:highlight w:val="none"/>
        </w:rPr>
      </w:pPr>
    </w:p>
    <w:p w14:paraId="07CBECA1">
      <w:pPr>
        <w:pStyle w:val="3"/>
        <w:spacing w:line="260" w:lineRule="auto"/>
        <w:rPr>
          <w:color w:val="auto"/>
          <w:highlight w:val="none"/>
        </w:rPr>
      </w:pPr>
    </w:p>
    <w:p w14:paraId="2576F853">
      <w:pPr>
        <w:pStyle w:val="3"/>
        <w:spacing w:line="261" w:lineRule="auto"/>
        <w:rPr>
          <w:color w:val="auto"/>
          <w:highlight w:val="none"/>
        </w:rPr>
      </w:pPr>
    </w:p>
    <w:p w14:paraId="6B4F4412">
      <w:pPr>
        <w:spacing w:before="87" w:line="225" w:lineRule="auto"/>
        <w:ind w:left="3361"/>
        <w:rPr>
          <w:rFonts w:ascii="黑体" w:hAnsi="黑体" w:eastAsia="黑体" w:cs="黑体"/>
          <w:color w:val="auto"/>
          <w:sz w:val="27"/>
          <w:szCs w:val="27"/>
          <w:highlight w:val="none"/>
        </w:rPr>
      </w:pPr>
      <w:bookmarkStart w:id="1339" w:name="bookmark312"/>
      <w:bookmarkEnd w:id="1339"/>
      <w:r>
        <w:rPr>
          <w:rFonts w:ascii="黑体" w:hAnsi="黑体" w:eastAsia="黑体" w:cs="黑体"/>
          <w:color w:val="auto"/>
          <w:spacing w:val="-1"/>
          <w:sz w:val="27"/>
          <w:szCs w:val="27"/>
          <w:highlight w:val="none"/>
        </w:rPr>
        <w:t>（三）承诺书</w:t>
      </w:r>
    </w:p>
    <w:p w14:paraId="4BBBBE1D">
      <w:pPr>
        <w:tabs>
          <w:tab w:val="left" w:pos="2218"/>
        </w:tabs>
        <w:spacing w:before="290" w:line="221" w:lineRule="auto"/>
        <w:ind w:left="1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27"/>
          <w:sz w:val="21"/>
          <w:szCs w:val="21"/>
          <w:highlight w:val="none"/>
        </w:rPr>
        <w:t xml:space="preserve"> </w:t>
      </w:r>
      <w:r>
        <w:rPr>
          <w:rFonts w:ascii="宋体" w:hAnsi="宋体" w:eastAsia="宋体" w:cs="宋体"/>
          <w:color w:val="auto"/>
          <w:spacing w:val="-24"/>
          <w:w w:val="98"/>
          <w:sz w:val="21"/>
          <w:szCs w:val="21"/>
          <w:highlight w:val="none"/>
        </w:rPr>
        <w:t>（招标人名称</w:t>
      </w:r>
      <w:r>
        <w:rPr>
          <w:rFonts w:ascii="宋体" w:hAnsi="宋体" w:eastAsia="宋体" w:cs="宋体"/>
          <w:color w:val="auto"/>
          <w:spacing w:val="-13"/>
          <w:sz w:val="21"/>
          <w:szCs w:val="21"/>
          <w:highlight w:val="none"/>
        </w:rPr>
        <w:t>）：</w:t>
      </w:r>
    </w:p>
    <w:p w14:paraId="5B2FCBEC">
      <w:pPr>
        <w:spacing w:before="162" w:line="388" w:lineRule="auto"/>
        <w:ind w:left="35" w:right="1" w:firstLine="40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我方在此声明，我方拟派往</w:t>
      </w:r>
      <w:r>
        <w:rPr>
          <w:rFonts w:ascii="宋体" w:hAnsi="宋体" w:eastAsia="宋体" w:cs="宋体"/>
          <w:color w:val="auto"/>
          <w:spacing w:val="-103"/>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4"/>
          <w:sz w:val="21"/>
          <w:szCs w:val="21"/>
          <w:highlight w:val="none"/>
        </w:rPr>
        <w:t>（标段名称</w:t>
      </w:r>
      <w:r>
        <w:rPr>
          <w:rFonts w:ascii="宋体" w:hAnsi="宋体" w:eastAsia="宋体" w:cs="宋体"/>
          <w:color w:val="auto"/>
          <w:spacing w:val="-8"/>
          <w:sz w:val="21"/>
          <w:szCs w:val="21"/>
          <w:highlight w:val="none"/>
        </w:rPr>
        <w:t>）（</w:t>
      </w:r>
      <w:r>
        <w:rPr>
          <w:rFonts w:ascii="宋体" w:hAnsi="宋体" w:eastAsia="宋体" w:cs="宋体"/>
          <w:color w:val="auto"/>
          <w:spacing w:val="-4"/>
          <w:sz w:val="21"/>
          <w:szCs w:val="21"/>
          <w:highlight w:val="none"/>
        </w:rPr>
        <w:t>以下简称“本工程”）</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rPr>
        <w:t>的项目经理</w:t>
      </w:r>
      <w:r>
        <w:rPr>
          <w:rFonts w:ascii="宋体" w:hAnsi="宋体" w:eastAsia="宋体" w:cs="宋体"/>
          <w:color w:val="auto"/>
          <w:spacing w:val="-104"/>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6"/>
          <w:sz w:val="21"/>
          <w:szCs w:val="21"/>
          <w:highlight w:val="none"/>
        </w:rPr>
        <w:t xml:space="preserve">  （项目经理姓名） 现阶段（投标截止时间之前）没有担任</w:t>
      </w:r>
      <w:r>
        <w:rPr>
          <w:rFonts w:ascii="宋体" w:hAnsi="宋体" w:eastAsia="宋体" w:cs="宋体"/>
          <w:color w:val="auto"/>
          <w:spacing w:val="-7"/>
          <w:sz w:val="21"/>
          <w:szCs w:val="21"/>
          <w:highlight w:val="none"/>
        </w:rPr>
        <w:t>其他在</w:t>
      </w:r>
    </w:p>
    <w:p w14:paraId="719FCC1A">
      <w:pPr>
        <w:spacing w:line="221" w:lineRule="auto"/>
        <w:ind w:left="1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施建设工程项目的项目经理。</w:t>
      </w:r>
    </w:p>
    <w:p w14:paraId="292E9C78">
      <w:pPr>
        <w:spacing w:before="185" w:line="388" w:lineRule="auto"/>
        <w:ind w:left="17" w:right="7" w:firstLine="42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根据《注册建造师执业管理办法（试行）》第九条规定“注册建造师不得同时担任两个</w:t>
      </w:r>
      <w:r>
        <w:rPr>
          <w:rFonts w:ascii="宋体" w:hAnsi="宋体" w:eastAsia="宋体" w:cs="宋体"/>
          <w:color w:val="auto"/>
          <w:spacing w:val="17"/>
          <w:sz w:val="21"/>
          <w:szCs w:val="21"/>
          <w:highlight w:val="none"/>
        </w:rPr>
        <w:t xml:space="preserve"> </w:t>
      </w:r>
      <w:r>
        <w:rPr>
          <w:rFonts w:ascii="宋体" w:hAnsi="宋体" w:eastAsia="宋体" w:cs="宋体"/>
          <w:color w:val="auto"/>
          <w:spacing w:val="-2"/>
          <w:sz w:val="21"/>
          <w:szCs w:val="21"/>
          <w:highlight w:val="none"/>
        </w:rPr>
        <w:t>及以上建设工程施工项目负责人”，第十条规定“注册建造</w:t>
      </w:r>
      <w:r>
        <w:rPr>
          <w:rFonts w:ascii="宋体" w:hAnsi="宋体" w:eastAsia="宋体" w:cs="宋体"/>
          <w:color w:val="auto"/>
          <w:spacing w:val="-3"/>
          <w:sz w:val="21"/>
          <w:szCs w:val="21"/>
          <w:highlight w:val="none"/>
        </w:rPr>
        <w:t>师担任施工项目负责人期间原则</w:t>
      </w:r>
    </w:p>
    <w:p w14:paraId="77C45BDE">
      <w:pPr>
        <w:spacing w:before="1" w:line="219"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上不得更换”。我方拟派项目经理的能够参加本工程的投标是基于以下理</w:t>
      </w:r>
      <w:r>
        <w:rPr>
          <w:rFonts w:ascii="宋体" w:hAnsi="宋体" w:eastAsia="宋体" w:cs="宋体"/>
          <w:color w:val="auto"/>
          <w:spacing w:val="-5"/>
          <w:sz w:val="21"/>
          <w:szCs w:val="21"/>
          <w:highlight w:val="none"/>
        </w:rPr>
        <w:t>由：</w:t>
      </w:r>
    </w:p>
    <w:p w14:paraId="74A23C24">
      <w:pPr>
        <w:spacing w:before="187" w:line="220" w:lineRule="auto"/>
        <w:ind w:left="56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 拟派项目经理无在建工程。</w:t>
      </w:r>
    </w:p>
    <w:p w14:paraId="463DFB5B">
      <w:pPr>
        <w:spacing w:before="191" w:line="220" w:lineRule="auto"/>
        <w:ind w:right="22"/>
        <w:jc w:val="right"/>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 拟派项目经理存在《注册建造师执业管理办法</w:t>
      </w:r>
      <w:r>
        <w:rPr>
          <w:rFonts w:ascii="宋体" w:hAnsi="宋体" w:eastAsia="宋体" w:cs="宋体"/>
          <w:color w:val="auto"/>
          <w:spacing w:val="-4"/>
          <w:sz w:val="21"/>
          <w:szCs w:val="21"/>
          <w:highlight w:val="none"/>
        </w:rPr>
        <w:t>（试行）》第九条规定的下列情形：</w:t>
      </w:r>
    </w:p>
    <w:p w14:paraId="7C1D563B">
      <w:pPr>
        <w:spacing w:before="192" w:line="221" w:lineRule="auto"/>
        <w:ind w:left="98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□同一工程相邻分段发包或分期施工的</w:t>
      </w:r>
      <w:r>
        <w:rPr>
          <w:rFonts w:ascii="宋体" w:hAnsi="宋体" w:eastAsia="宋体" w:cs="宋体"/>
          <w:color w:val="auto"/>
          <w:spacing w:val="-51"/>
          <w:sz w:val="21"/>
          <w:szCs w:val="21"/>
          <w:highlight w:val="none"/>
        </w:rPr>
        <w:t xml:space="preserve"> </w:t>
      </w:r>
      <w:r>
        <w:rPr>
          <w:rFonts w:ascii="宋体" w:hAnsi="宋体" w:eastAsia="宋体" w:cs="宋体"/>
          <w:color w:val="auto"/>
          <w:spacing w:val="-2"/>
          <w:sz w:val="21"/>
          <w:szCs w:val="21"/>
          <w:highlight w:val="none"/>
        </w:rPr>
        <w:t>;</w:t>
      </w:r>
    </w:p>
    <w:p w14:paraId="7282604F">
      <w:pPr>
        <w:spacing w:before="185" w:line="221" w:lineRule="auto"/>
        <w:ind w:left="98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□合同约定的工程验收合格的；</w:t>
      </w:r>
    </w:p>
    <w:p w14:paraId="4AD1671E">
      <w:pPr>
        <w:spacing w:before="190" w:line="221" w:lineRule="auto"/>
        <w:ind w:left="98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□因非承包方原因致使工程项目停工超过</w:t>
      </w:r>
      <w:r>
        <w:rPr>
          <w:rFonts w:ascii="宋体" w:hAnsi="宋体" w:eastAsia="宋体" w:cs="宋体"/>
          <w:color w:val="auto"/>
          <w:spacing w:val="-27"/>
          <w:sz w:val="21"/>
          <w:szCs w:val="21"/>
          <w:highlight w:val="none"/>
        </w:rPr>
        <w:t xml:space="preserve"> </w:t>
      </w:r>
      <w:r>
        <w:rPr>
          <w:rFonts w:ascii="宋体" w:hAnsi="宋体" w:eastAsia="宋体" w:cs="宋体"/>
          <w:color w:val="auto"/>
          <w:spacing w:val="-2"/>
          <w:sz w:val="21"/>
          <w:szCs w:val="21"/>
          <w:highlight w:val="none"/>
        </w:rPr>
        <w:t>120</w:t>
      </w:r>
      <w:r>
        <w:rPr>
          <w:rFonts w:ascii="宋体" w:hAnsi="宋体" w:eastAsia="宋体" w:cs="宋体"/>
          <w:color w:val="auto"/>
          <w:spacing w:val="-39"/>
          <w:sz w:val="21"/>
          <w:szCs w:val="21"/>
          <w:highlight w:val="none"/>
        </w:rPr>
        <w:t xml:space="preserve"> </w:t>
      </w:r>
      <w:r>
        <w:rPr>
          <w:rFonts w:ascii="宋体" w:hAnsi="宋体" w:eastAsia="宋体" w:cs="宋体"/>
          <w:color w:val="auto"/>
          <w:spacing w:val="-2"/>
          <w:sz w:val="21"/>
          <w:szCs w:val="21"/>
          <w:highlight w:val="none"/>
        </w:rPr>
        <w:t>天（含</w:t>
      </w:r>
      <w:r>
        <w:rPr>
          <w:rFonts w:ascii="宋体" w:hAnsi="宋体" w:eastAsia="宋体" w:cs="宋体"/>
          <w:color w:val="auto"/>
          <w:spacing w:val="-51"/>
          <w:sz w:val="21"/>
          <w:szCs w:val="21"/>
          <w:highlight w:val="none"/>
        </w:rPr>
        <w:t>），</w:t>
      </w:r>
      <w:r>
        <w:rPr>
          <w:rFonts w:ascii="宋体" w:hAnsi="宋体" w:eastAsia="宋体" w:cs="宋体"/>
          <w:color w:val="auto"/>
          <w:spacing w:val="-2"/>
          <w:sz w:val="21"/>
          <w:szCs w:val="21"/>
          <w:highlight w:val="none"/>
        </w:rPr>
        <w:t>经建设单位同意的。</w:t>
      </w:r>
    </w:p>
    <w:p w14:paraId="4EA9A9C3">
      <w:pPr>
        <w:spacing w:before="191" w:line="220" w:lineRule="auto"/>
        <w:ind w:right="28"/>
        <w:jc w:val="right"/>
        <w:rPr>
          <w:rFonts w:ascii="宋体" w:hAnsi="宋体" w:eastAsia="宋体" w:cs="宋体"/>
          <w:color w:val="auto"/>
          <w:sz w:val="21"/>
          <w:szCs w:val="21"/>
          <w:highlight w:val="none"/>
        </w:rPr>
      </w:pPr>
      <w:r>
        <w:rPr>
          <w:rFonts w:ascii="宋体" w:hAnsi="宋体" w:eastAsia="宋体" w:cs="宋体"/>
          <w:color w:val="auto"/>
          <w:sz w:val="21"/>
          <w:szCs w:val="21"/>
          <w:highlight w:val="none"/>
        </w:rPr>
        <w:t>□</w:t>
      </w:r>
      <w:r>
        <w:rPr>
          <w:rFonts w:ascii="宋体" w:hAnsi="宋体" w:eastAsia="宋体" w:cs="宋体"/>
          <w:color w:val="auto"/>
          <w:spacing w:val="75"/>
          <w:sz w:val="21"/>
          <w:szCs w:val="21"/>
          <w:highlight w:val="none"/>
        </w:rPr>
        <w:t xml:space="preserve"> </w:t>
      </w:r>
      <w:r>
        <w:rPr>
          <w:rFonts w:ascii="宋体" w:hAnsi="宋体" w:eastAsia="宋体" w:cs="宋体"/>
          <w:color w:val="auto"/>
          <w:sz w:val="21"/>
          <w:szCs w:val="21"/>
          <w:highlight w:val="none"/>
        </w:rPr>
        <w:t>拟派项目经理担任其他施工项目负责人期间因下列原因进行了更换，并办理书面</w:t>
      </w:r>
    </w:p>
    <w:p w14:paraId="548BD215">
      <w:pPr>
        <w:spacing w:before="187" w:line="221" w:lineRule="auto"/>
        <w:ind w:left="22"/>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交接手续：</w:t>
      </w:r>
    </w:p>
    <w:p w14:paraId="3A27A868">
      <w:pPr>
        <w:spacing w:before="190" w:line="221" w:lineRule="auto"/>
        <w:ind w:left="985"/>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□发包方与注册建造师受聘企业已解除承包合同的；</w:t>
      </w:r>
    </w:p>
    <w:p w14:paraId="505FD237">
      <w:pPr>
        <w:spacing w:before="190" w:line="221" w:lineRule="auto"/>
        <w:ind w:left="98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□发包方同意更换项目负责人的；</w:t>
      </w:r>
    </w:p>
    <w:p w14:paraId="3A770622">
      <w:pPr>
        <w:spacing w:before="185" w:line="221" w:lineRule="auto"/>
        <w:ind w:left="98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□因不可抗力等特殊情况必须更换项目负责人的。</w:t>
      </w:r>
    </w:p>
    <w:p w14:paraId="1AC44A0C">
      <w:pPr>
        <w:spacing w:before="191" w:line="239" w:lineRule="auto"/>
        <w:ind w:left="563"/>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w:t>
      </w:r>
      <w:r>
        <w:rPr>
          <w:rFonts w:ascii="宋体" w:hAnsi="宋体" w:eastAsia="宋体" w:cs="宋体"/>
          <w:color w:val="auto"/>
          <w:spacing w:val="-52"/>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48"/>
          <w:sz w:val="21"/>
          <w:szCs w:val="21"/>
          <w:highlight w:val="none"/>
        </w:rPr>
        <w:t xml:space="preserve"> </w:t>
      </w:r>
      <w:r>
        <w:rPr>
          <w:rFonts w:ascii="宋体" w:hAnsi="宋体" w:eastAsia="宋体" w:cs="宋体"/>
          <w:color w:val="auto"/>
          <w:spacing w:val="-15"/>
          <w:sz w:val="21"/>
          <w:szCs w:val="21"/>
          <w:highlight w:val="none"/>
        </w:rPr>
        <w:t>。</w:t>
      </w:r>
    </w:p>
    <w:p w14:paraId="05F4771F">
      <w:pPr>
        <w:spacing w:before="170" w:line="437" w:lineRule="exact"/>
        <w:ind w:left="442"/>
        <w:rPr>
          <w:rFonts w:ascii="宋体" w:hAnsi="宋体" w:eastAsia="宋体" w:cs="宋体"/>
          <w:color w:val="auto"/>
          <w:sz w:val="21"/>
          <w:szCs w:val="21"/>
          <w:highlight w:val="none"/>
        </w:rPr>
      </w:pPr>
      <w:r>
        <w:rPr>
          <w:rFonts w:ascii="宋体" w:hAnsi="宋体" w:eastAsia="宋体" w:cs="宋体"/>
          <w:color w:val="auto"/>
          <w:spacing w:val="-5"/>
          <w:position w:val="17"/>
          <w:sz w:val="21"/>
          <w:szCs w:val="21"/>
          <w:highlight w:val="none"/>
        </w:rPr>
        <w:t>我方保证上述信息的真实性和准确性， 并承担相应的法律责任。</w:t>
      </w:r>
    </w:p>
    <w:p w14:paraId="56131F6E">
      <w:pPr>
        <w:spacing w:line="220" w:lineRule="auto"/>
        <w:ind w:left="44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特此承诺</w:t>
      </w:r>
    </w:p>
    <w:p w14:paraId="35743EFA">
      <w:pPr>
        <w:pStyle w:val="3"/>
        <w:spacing w:line="417" w:lineRule="auto"/>
        <w:rPr>
          <w:color w:val="auto"/>
          <w:highlight w:val="none"/>
        </w:rPr>
      </w:pPr>
    </w:p>
    <w:p w14:paraId="1022C669">
      <w:pPr>
        <w:spacing w:before="69" w:line="359" w:lineRule="auto"/>
        <w:ind w:right="7"/>
        <w:jc w:val="right"/>
        <w:rPr>
          <w:rFonts w:ascii="宋体" w:hAnsi="宋体" w:eastAsia="宋体" w:cs="宋体"/>
          <w:color w:val="auto"/>
          <w:sz w:val="21"/>
          <w:szCs w:val="21"/>
          <w:highlight w:val="none"/>
        </w:rPr>
      </w:pPr>
      <w:r>
        <w:rPr>
          <w:rFonts w:ascii="宋体" w:hAnsi="宋体" w:eastAsia="宋体" w:cs="宋体"/>
          <w:color w:val="auto"/>
          <w:spacing w:val="-24"/>
          <w:sz w:val="21"/>
          <w:szCs w:val="21"/>
          <w:highlight w:val="none"/>
        </w:rPr>
        <w:t>投标人</w:t>
      </w:r>
      <w:r>
        <w:rPr>
          <w:rFonts w:ascii="宋体" w:hAnsi="宋体" w:eastAsia="宋体" w:cs="宋体"/>
          <w:color w:val="auto"/>
          <w:spacing w:val="3"/>
          <w:sz w:val="21"/>
          <w:szCs w:val="21"/>
          <w:highlight w:val="none"/>
        </w:rPr>
        <w:t>：</w:t>
      </w:r>
      <w:r>
        <w:rPr>
          <w:rFonts w:ascii="宋体" w:hAnsi="宋体" w:eastAsia="宋体" w:cs="宋体"/>
          <w:color w:val="auto"/>
          <w:spacing w:val="9"/>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48"/>
          <w:sz w:val="21"/>
          <w:szCs w:val="21"/>
          <w:highlight w:val="none"/>
        </w:rPr>
        <w:t xml:space="preserve"> </w:t>
      </w:r>
      <w:r>
        <w:rPr>
          <w:rFonts w:ascii="宋体" w:hAnsi="宋体" w:eastAsia="宋体" w:cs="宋体"/>
          <w:color w:val="auto"/>
          <w:spacing w:val="3"/>
          <w:sz w:val="21"/>
          <w:szCs w:val="21"/>
          <w:highlight w:val="none"/>
        </w:rPr>
        <w:t>（</w:t>
      </w:r>
      <w:r>
        <w:rPr>
          <w:rFonts w:ascii="宋体" w:hAnsi="宋体" w:eastAsia="宋体" w:cs="宋体"/>
          <w:color w:val="auto"/>
          <w:spacing w:val="-24"/>
          <w:sz w:val="21"/>
          <w:szCs w:val="21"/>
          <w:highlight w:val="none"/>
        </w:rPr>
        <w:t>盖单位章）</w:t>
      </w:r>
    </w:p>
    <w:p w14:paraId="763D190F">
      <w:pPr>
        <w:spacing w:before="1" w:line="219" w:lineRule="auto"/>
        <w:ind w:right="11"/>
        <w:jc w:val="right"/>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法定代表人或授权委托人</w:t>
      </w:r>
      <w:r>
        <w:rPr>
          <w:rFonts w:ascii="宋体" w:hAnsi="宋体" w:eastAsia="宋体" w:cs="宋体"/>
          <w:color w:val="auto"/>
          <w:spacing w:val="3"/>
          <w:sz w:val="21"/>
          <w:szCs w:val="21"/>
          <w:highlight w:val="none"/>
        </w:rPr>
        <w:t>：</w:t>
      </w:r>
      <w:r>
        <w:rPr>
          <w:rFonts w:ascii="宋体" w:hAnsi="宋体" w:eastAsia="宋体" w:cs="宋体"/>
          <w:color w:val="auto"/>
          <w:spacing w:val="-1"/>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48"/>
          <w:sz w:val="21"/>
          <w:szCs w:val="21"/>
          <w:highlight w:val="none"/>
        </w:rPr>
        <w:t xml:space="preserve"> </w:t>
      </w:r>
      <w:r>
        <w:rPr>
          <w:rFonts w:ascii="宋体" w:hAnsi="宋体" w:eastAsia="宋体" w:cs="宋体"/>
          <w:color w:val="auto"/>
          <w:spacing w:val="3"/>
          <w:sz w:val="21"/>
          <w:szCs w:val="21"/>
          <w:highlight w:val="none"/>
        </w:rPr>
        <w:t>（</w:t>
      </w:r>
      <w:r>
        <w:rPr>
          <w:rFonts w:ascii="宋体" w:hAnsi="宋体" w:eastAsia="宋体" w:cs="宋体"/>
          <w:color w:val="auto"/>
          <w:spacing w:val="-13"/>
          <w:sz w:val="21"/>
          <w:szCs w:val="21"/>
          <w:highlight w:val="none"/>
        </w:rPr>
        <w:t>签章）</w:t>
      </w:r>
    </w:p>
    <w:p w14:paraId="4A7F388A">
      <w:pPr>
        <w:tabs>
          <w:tab w:val="left" w:pos="6017"/>
        </w:tabs>
        <w:spacing w:before="158" w:line="221" w:lineRule="auto"/>
        <w:ind w:left="4965"/>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95"/>
          <w:sz w:val="21"/>
          <w:szCs w:val="21"/>
          <w:highlight w:val="none"/>
        </w:rPr>
        <w:t xml:space="preserve"> </w:t>
      </w:r>
      <w:r>
        <w:rPr>
          <w:rFonts w:ascii="宋体" w:hAnsi="宋体" w:eastAsia="宋体" w:cs="宋体"/>
          <w:color w:val="auto"/>
          <w:spacing w:val="-22"/>
          <w:sz w:val="21"/>
          <w:szCs w:val="21"/>
          <w:highlight w:val="none"/>
        </w:rPr>
        <w:t>年</w:t>
      </w:r>
      <w:r>
        <w:rPr>
          <w:rFonts w:ascii="宋体" w:hAnsi="宋体" w:eastAsia="宋体" w:cs="宋体"/>
          <w:color w:val="auto"/>
          <w:spacing w:val="-104"/>
          <w:sz w:val="21"/>
          <w:szCs w:val="21"/>
          <w:highlight w:val="none"/>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2"/>
          <w:sz w:val="21"/>
          <w:szCs w:val="21"/>
          <w:highlight w:val="none"/>
        </w:rPr>
        <w:t xml:space="preserve"> </w:t>
      </w:r>
      <w:r>
        <w:rPr>
          <w:rFonts w:ascii="宋体" w:hAnsi="宋体" w:eastAsia="宋体" w:cs="宋体"/>
          <w:color w:val="auto"/>
          <w:spacing w:val="-22"/>
          <w:sz w:val="21"/>
          <w:szCs w:val="21"/>
          <w:highlight w:val="none"/>
        </w:rPr>
        <w:t>月</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60"/>
          <w:sz w:val="21"/>
          <w:szCs w:val="21"/>
          <w:highlight w:val="none"/>
        </w:rPr>
        <w:t xml:space="preserve"> </w:t>
      </w:r>
      <w:r>
        <w:rPr>
          <w:rFonts w:ascii="宋体" w:hAnsi="宋体" w:eastAsia="宋体" w:cs="宋体"/>
          <w:color w:val="auto"/>
          <w:spacing w:val="-22"/>
          <w:sz w:val="21"/>
          <w:szCs w:val="21"/>
          <w:highlight w:val="none"/>
        </w:rPr>
        <w:t>日</w:t>
      </w:r>
    </w:p>
    <w:p w14:paraId="56D9770E">
      <w:pPr>
        <w:spacing w:line="221" w:lineRule="auto"/>
        <w:rPr>
          <w:rFonts w:ascii="宋体" w:hAnsi="宋体" w:eastAsia="宋体" w:cs="宋体"/>
          <w:color w:val="auto"/>
          <w:sz w:val="21"/>
          <w:szCs w:val="21"/>
          <w:highlight w:val="none"/>
        </w:rPr>
        <w:sectPr>
          <w:footerReference r:id="rId225" w:type="default"/>
          <w:pgSz w:w="11905" w:h="16839"/>
          <w:pgMar w:top="400" w:right="1785" w:bottom="1004" w:left="1785" w:header="0" w:footer="828" w:gutter="0"/>
          <w:pgNumType w:fmt="decimal"/>
          <w:cols w:space="720" w:num="1"/>
        </w:sectPr>
      </w:pPr>
    </w:p>
    <w:p w14:paraId="1862B8DA">
      <w:pPr>
        <w:pStyle w:val="3"/>
        <w:spacing w:line="257" w:lineRule="auto"/>
        <w:rPr>
          <w:color w:val="auto"/>
          <w:highlight w:val="none"/>
        </w:rPr>
      </w:pPr>
    </w:p>
    <w:p w14:paraId="5F18184D">
      <w:pPr>
        <w:pStyle w:val="3"/>
        <w:spacing w:line="257" w:lineRule="auto"/>
        <w:rPr>
          <w:color w:val="auto"/>
          <w:highlight w:val="none"/>
        </w:rPr>
      </w:pPr>
    </w:p>
    <w:p w14:paraId="2A13E1AA">
      <w:pPr>
        <w:pStyle w:val="3"/>
        <w:spacing w:line="257" w:lineRule="auto"/>
        <w:rPr>
          <w:color w:val="auto"/>
          <w:highlight w:val="none"/>
        </w:rPr>
      </w:pPr>
    </w:p>
    <w:p w14:paraId="51B89552">
      <w:pPr>
        <w:pStyle w:val="3"/>
        <w:spacing w:line="257" w:lineRule="auto"/>
        <w:rPr>
          <w:color w:val="auto"/>
          <w:highlight w:val="none"/>
        </w:rPr>
      </w:pPr>
    </w:p>
    <w:p w14:paraId="70C0BF90">
      <w:pPr>
        <w:spacing w:before="88" w:line="224" w:lineRule="auto"/>
        <w:ind w:left="1959"/>
        <w:rPr>
          <w:rFonts w:ascii="黑体" w:hAnsi="黑体" w:eastAsia="黑体" w:cs="黑体"/>
          <w:color w:val="auto"/>
          <w:sz w:val="27"/>
          <w:szCs w:val="27"/>
          <w:highlight w:val="none"/>
        </w:rPr>
      </w:pPr>
      <w:bookmarkStart w:id="1340" w:name="bookmark314"/>
      <w:bookmarkEnd w:id="1340"/>
      <w:bookmarkStart w:id="1341" w:name="bookmark313"/>
      <w:bookmarkEnd w:id="1341"/>
      <w:r>
        <w:rPr>
          <w:rFonts w:ascii="黑体" w:hAnsi="黑体" w:eastAsia="黑体" w:cs="黑体"/>
          <w:color w:val="auto"/>
          <w:spacing w:val="6"/>
          <w:sz w:val="27"/>
          <w:szCs w:val="27"/>
          <w:highlight w:val="none"/>
        </w:rPr>
        <w:t>（四）其他主要项目管理人员简历表</w:t>
      </w:r>
    </w:p>
    <w:p w14:paraId="70910A59">
      <w:pPr>
        <w:spacing w:before="20"/>
        <w:rPr>
          <w:color w:val="auto"/>
          <w:highlight w:val="none"/>
        </w:rPr>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0"/>
        <w:gridCol w:w="2654"/>
        <w:gridCol w:w="1684"/>
        <w:gridCol w:w="2663"/>
      </w:tblGrid>
      <w:tr w14:paraId="78013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1310" w:type="dxa"/>
            <w:vAlign w:val="top"/>
          </w:tcPr>
          <w:p w14:paraId="64DAECF2">
            <w:pPr>
              <w:pStyle w:val="11"/>
              <w:spacing w:before="91" w:line="231" w:lineRule="auto"/>
              <w:ind w:left="250" w:right="224" w:firstLine="16"/>
              <w:rPr>
                <w:color w:val="auto"/>
                <w:highlight w:val="none"/>
              </w:rPr>
            </w:pPr>
            <w:r>
              <w:rPr>
                <w:color w:val="auto"/>
                <w:spacing w:val="-7"/>
                <w:highlight w:val="none"/>
              </w:rPr>
              <w:t>岗位名称</w:t>
            </w:r>
            <w:r>
              <w:rPr>
                <w:color w:val="auto"/>
                <w:highlight w:val="none"/>
              </w:rPr>
              <w:t xml:space="preserve"> </w:t>
            </w:r>
            <w:r>
              <w:rPr>
                <w:color w:val="auto"/>
                <w:spacing w:val="-5"/>
                <w:highlight w:val="none"/>
              </w:rPr>
              <w:t>（职务）</w:t>
            </w:r>
          </w:p>
        </w:tc>
        <w:tc>
          <w:tcPr>
            <w:tcW w:w="7001" w:type="dxa"/>
            <w:gridSpan w:val="3"/>
            <w:vAlign w:val="top"/>
          </w:tcPr>
          <w:p w14:paraId="51B0D472">
            <w:pPr>
              <w:rPr>
                <w:rFonts w:ascii="Arial"/>
                <w:color w:val="auto"/>
                <w:sz w:val="21"/>
                <w:highlight w:val="none"/>
              </w:rPr>
            </w:pPr>
          </w:p>
        </w:tc>
      </w:tr>
      <w:tr w14:paraId="27928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1310" w:type="dxa"/>
            <w:vAlign w:val="top"/>
          </w:tcPr>
          <w:p w14:paraId="12F39A76">
            <w:pPr>
              <w:pStyle w:val="11"/>
              <w:spacing w:before="221" w:line="221" w:lineRule="auto"/>
              <w:ind w:left="243"/>
              <w:rPr>
                <w:color w:val="auto"/>
                <w:highlight w:val="none"/>
              </w:rPr>
            </w:pPr>
            <w:r>
              <w:rPr>
                <w:color w:val="auto"/>
                <w:spacing w:val="-4"/>
                <w:highlight w:val="none"/>
              </w:rPr>
              <w:t>姓</w:t>
            </w:r>
            <w:r>
              <w:rPr>
                <w:color w:val="auto"/>
                <w:spacing w:val="3"/>
                <w:highlight w:val="none"/>
              </w:rPr>
              <w:t xml:space="preserve">    </w:t>
            </w:r>
            <w:r>
              <w:rPr>
                <w:color w:val="auto"/>
                <w:spacing w:val="-4"/>
                <w:highlight w:val="none"/>
              </w:rPr>
              <w:t>名</w:t>
            </w:r>
          </w:p>
        </w:tc>
        <w:tc>
          <w:tcPr>
            <w:tcW w:w="2654" w:type="dxa"/>
            <w:vAlign w:val="top"/>
          </w:tcPr>
          <w:p w14:paraId="0EB7B6C9">
            <w:pPr>
              <w:rPr>
                <w:rFonts w:ascii="Arial"/>
                <w:color w:val="auto"/>
                <w:sz w:val="21"/>
                <w:highlight w:val="none"/>
              </w:rPr>
            </w:pPr>
          </w:p>
        </w:tc>
        <w:tc>
          <w:tcPr>
            <w:tcW w:w="1684" w:type="dxa"/>
            <w:vAlign w:val="top"/>
          </w:tcPr>
          <w:p w14:paraId="415DA078">
            <w:pPr>
              <w:pStyle w:val="11"/>
              <w:spacing w:before="221" w:line="221" w:lineRule="auto"/>
              <w:ind w:left="429"/>
              <w:rPr>
                <w:color w:val="auto"/>
                <w:highlight w:val="none"/>
              </w:rPr>
            </w:pPr>
            <w:r>
              <w:rPr>
                <w:color w:val="auto"/>
                <w:spacing w:val="-4"/>
                <w:highlight w:val="none"/>
              </w:rPr>
              <w:t>年</w:t>
            </w:r>
            <w:r>
              <w:rPr>
                <w:color w:val="auto"/>
                <w:spacing w:val="2"/>
                <w:highlight w:val="none"/>
              </w:rPr>
              <w:t xml:space="preserve">    </w:t>
            </w:r>
            <w:r>
              <w:rPr>
                <w:color w:val="auto"/>
                <w:spacing w:val="-4"/>
                <w:highlight w:val="none"/>
              </w:rPr>
              <w:t>龄</w:t>
            </w:r>
          </w:p>
        </w:tc>
        <w:tc>
          <w:tcPr>
            <w:tcW w:w="2663" w:type="dxa"/>
            <w:vAlign w:val="top"/>
          </w:tcPr>
          <w:p w14:paraId="4E8E80E6">
            <w:pPr>
              <w:rPr>
                <w:rFonts w:ascii="Arial"/>
                <w:color w:val="auto"/>
                <w:sz w:val="21"/>
                <w:highlight w:val="none"/>
              </w:rPr>
            </w:pPr>
          </w:p>
        </w:tc>
      </w:tr>
      <w:tr w14:paraId="043A0F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310" w:type="dxa"/>
            <w:vAlign w:val="top"/>
          </w:tcPr>
          <w:p w14:paraId="42AF6857">
            <w:pPr>
              <w:pStyle w:val="11"/>
              <w:spacing w:before="222" w:line="221" w:lineRule="auto"/>
              <w:ind w:left="246"/>
              <w:rPr>
                <w:color w:val="auto"/>
                <w:highlight w:val="none"/>
              </w:rPr>
            </w:pPr>
            <w:r>
              <w:rPr>
                <w:color w:val="auto"/>
                <w:spacing w:val="-5"/>
                <w:highlight w:val="none"/>
              </w:rPr>
              <w:t>性</w:t>
            </w:r>
            <w:r>
              <w:rPr>
                <w:color w:val="auto"/>
                <w:spacing w:val="3"/>
                <w:highlight w:val="none"/>
              </w:rPr>
              <w:t xml:space="preserve">    </w:t>
            </w:r>
            <w:r>
              <w:rPr>
                <w:color w:val="auto"/>
                <w:spacing w:val="-5"/>
                <w:highlight w:val="none"/>
              </w:rPr>
              <w:t>别</w:t>
            </w:r>
          </w:p>
        </w:tc>
        <w:tc>
          <w:tcPr>
            <w:tcW w:w="2654" w:type="dxa"/>
            <w:vAlign w:val="top"/>
          </w:tcPr>
          <w:p w14:paraId="59C56E4E">
            <w:pPr>
              <w:rPr>
                <w:rFonts w:ascii="Arial"/>
                <w:color w:val="auto"/>
                <w:sz w:val="21"/>
                <w:highlight w:val="none"/>
              </w:rPr>
            </w:pPr>
          </w:p>
        </w:tc>
        <w:tc>
          <w:tcPr>
            <w:tcW w:w="1684" w:type="dxa"/>
            <w:vAlign w:val="top"/>
          </w:tcPr>
          <w:p w14:paraId="54E14A54">
            <w:pPr>
              <w:pStyle w:val="11"/>
              <w:spacing w:before="221" w:line="221" w:lineRule="auto"/>
              <w:ind w:left="432"/>
              <w:rPr>
                <w:color w:val="auto"/>
                <w:highlight w:val="none"/>
              </w:rPr>
            </w:pPr>
            <w:r>
              <w:rPr>
                <w:color w:val="auto"/>
                <w:spacing w:val="-2"/>
                <w:highlight w:val="none"/>
              </w:rPr>
              <w:t>毕业学校</w:t>
            </w:r>
          </w:p>
        </w:tc>
        <w:tc>
          <w:tcPr>
            <w:tcW w:w="2663" w:type="dxa"/>
            <w:vAlign w:val="top"/>
          </w:tcPr>
          <w:p w14:paraId="5AD23E94">
            <w:pPr>
              <w:rPr>
                <w:rFonts w:ascii="Arial"/>
                <w:color w:val="auto"/>
                <w:sz w:val="21"/>
                <w:highlight w:val="none"/>
              </w:rPr>
            </w:pPr>
          </w:p>
        </w:tc>
      </w:tr>
      <w:tr w14:paraId="2D7F7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1310" w:type="dxa"/>
            <w:vAlign w:val="top"/>
          </w:tcPr>
          <w:p w14:paraId="22998747">
            <w:pPr>
              <w:pStyle w:val="11"/>
              <w:spacing w:before="223" w:line="221" w:lineRule="auto"/>
              <w:ind w:left="142"/>
              <w:rPr>
                <w:color w:val="auto"/>
                <w:highlight w:val="none"/>
              </w:rPr>
            </w:pPr>
            <w:r>
              <w:rPr>
                <w:color w:val="auto"/>
                <w:spacing w:val="-2"/>
                <w:highlight w:val="none"/>
              </w:rPr>
              <w:t>学历和专业</w:t>
            </w:r>
          </w:p>
        </w:tc>
        <w:tc>
          <w:tcPr>
            <w:tcW w:w="2654" w:type="dxa"/>
            <w:vAlign w:val="top"/>
          </w:tcPr>
          <w:p w14:paraId="54F3734D">
            <w:pPr>
              <w:rPr>
                <w:rFonts w:ascii="Arial"/>
                <w:color w:val="auto"/>
                <w:sz w:val="21"/>
                <w:highlight w:val="none"/>
              </w:rPr>
            </w:pPr>
          </w:p>
        </w:tc>
        <w:tc>
          <w:tcPr>
            <w:tcW w:w="1684" w:type="dxa"/>
            <w:vAlign w:val="top"/>
          </w:tcPr>
          <w:p w14:paraId="628EF886">
            <w:pPr>
              <w:pStyle w:val="11"/>
              <w:spacing w:before="223" w:line="221" w:lineRule="auto"/>
              <w:ind w:left="432"/>
              <w:rPr>
                <w:color w:val="auto"/>
                <w:highlight w:val="none"/>
              </w:rPr>
            </w:pPr>
            <w:r>
              <w:rPr>
                <w:color w:val="auto"/>
                <w:spacing w:val="-2"/>
                <w:highlight w:val="none"/>
              </w:rPr>
              <w:t>毕业时间</w:t>
            </w:r>
          </w:p>
        </w:tc>
        <w:tc>
          <w:tcPr>
            <w:tcW w:w="2663" w:type="dxa"/>
            <w:vAlign w:val="top"/>
          </w:tcPr>
          <w:p w14:paraId="49A74165">
            <w:pPr>
              <w:rPr>
                <w:rFonts w:ascii="Arial"/>
                <w:color w:val="auto"/>
                <w:sz w:val="21"/>
                <w:highlight w:val="none"/>
              </w:rPr>
            </w:pPr>
          </w:p>
        </w:tc>
      </w:tr>
      <w:tr w14:paraId="4A7E4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1310" w:type="dxa"/>
            <w:vAlign w:val="top"/>
          </w:tcPr>
          <w:p w14:paraId="5CF49D70">
            <w:pPr>
              <w:pStyle w:val="11"/>
              <w:spacing w:before="88" w:line="231" w:lineRule="auto"/>
              <w:ind w:left="463" w:right="171" w:hanging="273"/>
              <w:rPr>
                <w:color w:val="auto"/>
                <w:highlight w:val="none"/>
              </w:rPr>
            </w:pPr>
            <w:r>
              <w:rPr>
                <w:color w:val="auto"/>
                <w:spacing w:val="-1"/>
                <w:highlight w:val="none"/>
              </w:rPr>
              <w:t>执业/岗位</w:t>
            </w:r>
            <w:r>
              <w:rPr>
                <w:color w:val="auto"/>
                <w:spacing w:val="1"/>
                <w:highlight w:val="none"/>
              </w:rPr>
              <w:t xml:space="preserve"> </w:t>
            </w:r>
            <w:r>
              <w:rPr>
                <w:color w:val="auto"/>
                <w:spacing w:val="-4"/>
                <w:highlight w:val="none"/>
              </w:rPr>
              <w:t>资格</w:t>
            </w:r>
          </w:p>
        </w:tc>
        <w:tc>
          <w:tcPr>
            <w:tcW w:w="2654" w:type="dxa"/>
            <w:vAlign w:val="top"/>
          </w:tcPr>
          <w:p w14:paraId="401DD2BB">
            <w:pPr>
              <w:rPr>
                <w:rFonts w:ascii="Arial"/>
                <w:color w:val="auto"/>
                <w:sz w:val="21"/>
                <w:highlight w:val="none"/>
              </w:rPr>
            </w:pPr>
          </w:p>
        </w:tc>
        <w:tc>
          <w:tcPr>
            <w:tcW w:w="1684" w:type="dxa"/>
            <w:vAlign w:val="top"/>
          </w:tcPr>
          <w:p w14:paraId="35128159">
            <w:pPr>
              <w:pStyle w:val="11"/>
              <w:spacing w:before="228" w:line="221" w:lineRule="auto"/>
              <w:ind w:left="429"/>
              <w:rPr>
                <w:color w:val="auto"/>
                <w:highlight w:val="none"/>
              </w:rPr>
            </w:pPr>
            <w:r>
              <w:rPr>
                <w:color w:val="auto"/>
                <w:spacing w:val="-1"/>
                <w:highlight w:val="none"/>
              </w:rPr>
              <w:t>专业职称</w:t>
            </w:r>
          </w:p>
        </w:tc>
        <w:tc>
          <w:tcPr>
            <w:tcW w:w="2663" w:type="dxa"/>
            <w:vAlign w:val="top"/>
          </w:tcPr>
          <w:p w14:paraId="6C844FEE">
            <w:pPr>
              <w:rPr>
                <w:rFonts w:ascii="Arial"/>
                <w:color w:val="auto"/>
                <w:sz w:val="21"/>
                <w:highlight w:val="none"/>
              </w:rPr>
            </w:pPr>
          </w:p>
        </w:tc>
      </w:tr>
      <w:tr w14:paraId="26F7F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1310" w:type="dxa"/>
            <w:vAlign w:val="top"/>
          </w:tcPr>
          <w:p w14:paraId="0467351D">
            <w:pPr>
              <w:pStyle w:val="11"/>
              <w:spacing w:before="89" w:line="230" w:lineRule="auto"/>
              <w:ind w:left="242" w:right="171" w:hanging="52"/>
              <w:rPr>
                <w:color w:val="auto"/>
                <w:highlight w:val="none"/>
              </w:rPr>
            </w:pPr>
            <w:r>
              <w:rPr>
                <w:color w:val="auto"/>
                <w:spacing w:val="-1"/>
                <w:highlight w:val="none"/>
              </w:rPr>
              <w:t>执业/岗位</w:t>
            </w:r>
            <w:r>
              <w:rPr>
                <w:color w:val="auto"/>
                <w:spacing w:val="1"/>
                <w:highlight w:val="none"/>
              </w:rPr>
              <w:t xml:space="preserve"> </w:t>
            </w:r>
            <w:r>
              <w:rPr>
                <w:color w:val="auto"/>
                <w:spacing w:val="-1"/>
                <w:highlight w:val="none"/>
              </w:rPr>
              <w:t>证书编号</w:t>
            </w:r>
          </w:p>
        </w:tc>
        <w:tc>
          <w:tcPr>
            <w:tcW w:w="2654" w:type="dxa"/>
            <w:vAlign w:val="top"/>
          </w:tcPr>
          <w:p w14:paraId="7D3D458D">
            <w:pPr>
              <w:rPr>
                <w:rFonts w:ascii="Arial"/>
                <w:color w:val="auto"/>
                <w:sz w:val="21"/>
                <w:highlight w:val="none"/>
              </w:rPr>
            </w:pPr>
          </w:p>
        </w:tc>
        <w:tc>
          <w:tcPr>
            <w:tcW w:w="1684" w:type="dxa"/>
            <w:vAlign w:val="top"/>
          </w:tcPr>
          <w:p w14:paraId="3791005A">
            <w:pPr>
              <w:pStyle w:val="11"/>
              <w:spacing w:before="223" w:line="221" w:lineRule="auto"/>
              <w:ind w:left="222"/>
              <w:rPr>
                <w:color w:val="auto"/>
                <w:highlight w:val="none"/>
              </w:rPr>
            </w:pPr>
            <w:r>
              <w:rPr>
                <w:color w:val="auto"/>
                <w:spacing w:val="-1"/>
                <w:highlight w:val="none"/>
              </w:rPr>
              <w:t>专业工作年限</w:t>
            </w:r>
          </w:p>
        </w:tc>
        <w:tc>
          <w:tcPr>
            <w:tcW w:w="2663" w:type="dxa"/>
            <w:vAlign w:val="top"/>
          </w:tcPr>
          <w:p w14:paraId="103DB79B">
            <w:pPr>
              <w:rPr>
                <w:rFonts w:ascii="Arial"/>
                <w:color w:val="auto"/>
                <w:sz w:val="21"/>
                <w:highlight w:val="none"/>
              </w:rPr>
            </w:pPr>
          </w:p>
        </w:tc>
      </w:tr>
      <w:tr w14:paraId="7CADB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8" w:hRule="atLeast"/>
        </w:trPr>
        <w:tc>
          <w:tcPr>
            <w:tcW w:w="1310" w:type="dxa"/>
            <w:textDirection w:val="tbRlV"/>
            <w:vAlign w:val="top"/>
          </w:tcPr>
          <w:p w14:paraId="545A679E">
            <w:pPr>
              <w:spacing w:line="358" w:lineRule="auto"/>
              <w:rPr>
                <w:rFonts w:ascii="Arial"/>
                <w:color w:val="auto"/>
                <w:sz w:val="21"/>
                <w:highlight w:val="none"/>
              </w:rPr>
            </w:pPr>
          </w:p>
          <w:p w14:paraId="082D451E">
            <w:pPr>
              <w:pStyle w:val="11"/>
              <w:spacing w:before="71" w:line="210" w:lineRule="auto"/>
              <w:ind w:left="1126"/>
              <w:rPr>
                <w:color w:val="auto"/>
                <w:highlight w:val="none"/>
              </w:rPr>
            </w:pPr>
            <w:r>
              <w:rPr>
                <w:color w:val="auto"/>
                <w:spacing w:val="1"/>
                <w:highlight w:val="none"/>
              </w:rPr>
              <w:t>主</w:t>
            </w:r>
            <w:r>
              <w:rPr>
                <w:color w:val="auto"/>
                <w:spacing w:val="-46"/>
                <w:highlight w:val="none"/>
              </w:rPr>
              <w:t xml:space="preserve"> </w:t>
            </w:r>
            <w:r>
              <w:rPr>
                <w:color w:val="auto"/>
                <w:spacing w:val="1"/>
                <w:highlight w:val="none"/>
              </w:rPr>
              <w:t>要</w:t>
            </w:r>
            <w:r>
              <w:rPr>
                <w:color w:val="auto"/>
                <w:spacing w:val="-42"/>
                <w:highlight w:val="none"/>
              </w:rPr>
              <w:t xml:space="preserve"> </w:t>
            </w:r>
            <w:r>
              <w:rPr>
                <w:color w:val="auto"/>
                <w:spacing w:val="1"/>
                <w:highlight w:val="none"/>
              </w:rPr>
              <w:t>工</w:t>
            </w:r>
            <w:r>
              <w:rPr>
                <w:color w:val="auto"/>
                <w:spacing w:val="-43"/>
                <w:highlight w:val="none"/>
              </w:rPr>
              <w:t xml:space="preserve"> </w:t>
            </w:r>
            <w:r>
              <w:rPr>
                <w:color w:val="auto"/>
                <w:spacing w:val="1"/>
                <w:highlight w:val="none"/>
              </w:rPr>
              <w:t>作</w:t>
            </w:r>
            <w:r>
              <w:rPr>
                <w:color w:val="auto"/>
                <w:spacing w:val="-47"/>
                <w:highlight w:val="none"/>
              </w:rPr>
              <w:t xml:space="preserve"> </w:t>
            </w:r>
            <w:r>
              <w:rPr>
                <w:color w:val="auto"/>
                <w:spacing w:val="1"/>
                <w:highlight w:val="none"/>
              </w:rPr>
              <w:t>业</w:t>
            </w:r>
            <w:r>
              <w:rPr>
                <w:color w:val="auto"/>
                <w:spacing w:val="-43"/>
                <w:highlight w:val="none"/>
              </w:rPr>
              <w:t xml:space="preserve"> </w:t>
            </w:r>
            <w:r>
              <w:rPr>
                <w:color w:val="auto"/>
                <w:spacing w:val="1"/>
                <w:highlight w:val="none"/>
              </w:rPr>
              <w:t>绩</w:t>
            </w:r>
            <w:r>
              <w:rPr>
                <w:color w:val="auto"/>
                <w:spacing w:val="-43"/>
                <w:highlight w:val="none"/>
              </w:rPr>
              <w:t xml:space="preserve"> </w:t>
            </w:r>
            <w:r>
              <w:rPr>
                <w:color w:val="auto"/>
                <w:spacing w:val="1"/>
                <w:highlight w:val="none"/>
              </w:rPr>
              <w:t>及</w:t>
            </w:r>
            <w:r>
              <w:rPr>
                <w:color w:val="auto"/>
                <w:spacing w:val="-42"/>
                <w:highlight w:val="none"/>
              </w:rPr>
              <w:t xml:space="preserve"> </w:t>
            </w:r>
            <w:r>
              <w:rPr>
                <w:color w:val="auto"/>
                <w:spacing w:val="1"/>
                <w:highlight w:val="none"/>
              </w:rPr>
              <w:t>担</w:t>
            </w:r>
            <w:r>
              <w:rPr>
                <w:color w:val="auto"/>
                <w:spacing w:val="-48"/>
                <w:highlight w:val="none"/>
              </w:rPr>
              <w:t xml:space="preserve"> </w:t>
            </w:r>
            <w:r>
              <w:rPr>
                <w:color w:val="auto"/>
                <w:spacing w:val="1"/>
                <w:highlight w:val="none"/>
              </w:rPr>
              <w:t>任</w:t>
            </w:r>
            <w:r>
              <w:rPr>
                <w:color w:val="auto"/>
                <w:spacing w:val="-42"/>
                <w:highlight w:val="none"/>
              </w:rPr>
              <w:t xml:space="preserve"> </w:t>
            </w:r>
            <w:r>
              <w:rPr>
                <w:color w:val="auto"/>
                <w:spacing w:val="1"/>
                <w:highlight w:val="none"/>
              </w:rPr>
              <w:t>的</w:t>
            </w:r>
            <w:r>
              <w:rPr>
                <w:color w:val="auto"/>
                <w:spacing w:val="-42"/>
                <w:highlight w:val="none"/>
              </w:rPr>
              <w:t xml:space="preserve"> </w:t>
            </w:r>
            <w:r>
              <w:rPr>
                <w:color w:val="auto"/>
                <w:spacing w:val="1"/>
                <w:highlight w:val="none"/>
              </w:rPr>
              <w:t>主</w:t>
            </w:r>
            <w:r>
              <w:rPr>
                <w:color w:val="auto"/>
                <w:spacing w:val="-43"/>
                <w:highlight w:val="none"/>
              </w:rPr>
              <w:t xml:space="preserve"> </w:t>
            </w:r>
            <w:r>
              <w:rPr>
                <w:color w:val="auto"/>
                <w:spacing w:val="1"/>
                <w:highlight w:val="none"/>
              </w:rPr>
              <w:t>要</w:t>
            </w:r>
            <w:r>
              <w:rPr>
                <w:color w:val="auto"/>
                <w:spacing w:val="-47"/>
                <w:highlight w:val="none"/>
              </w:rPr>
              <w:t xml:space="preserve"> </w:t>
            </w:r>
            <w:r>
              <w:rPr>
                <w:color w:val="auto"/>
                <w:spacing w:val="1"/>
                <w:highlight w:val="none"/>
              </w:rPr>
              <w:t>工</w:t>
            </w:r>
            <w:r>
              <w:rPr>
                <w:color w:val="auto"/>
                <w:spacing w:val="-43"/>
                <w:highlight w:val="none"/>
              </w:rPr>
              <w:t xml:space="preserve"> </w:t>
            </w:r>
            <w:r>
              <w:rPr>
                <w:color w:val="auto"/>
                <w:spacing w:val="1"/>
                <w:highlight w:val="none"/>
              </w:rPr>
              <w:t>作</w:t>
            </w:r>
          </w:p>
        </w:tc>
        <w:tc>
          <w:tcPr>
            <w:tcW w:w="7001" w:type="dxa"/>
            <w:gridSpan w:val="3"/>
            <w:vAlign w:val="top"/>
          </w:tcPr>
          <w:p w14:paraId="06165AAC">
            <w:pPr>
              <w:rPr>
                <w:rFonts w:ascii="Arial"/>
                <w:color w:val="auto"/>
                <w:sz w:val="21"/>
                <w:highlight w:val="none"/>
              </w:rPr>
            </w:pPr>
          </w:p>
        </w:tc>
      </w:tr>
    </w:tbl>
    <w:p w14:paraId="1C8C27E0">
      <w:pPr>
        <w:spacing w:before="32" w:line="236" w:lineRule="auto"/>
        <w:ind w:left="646" w:right="5" w:hanging="626"/>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备注：其他主要项目管理人员指项目副经理（如有）、项目技术负责人、</w:t>
      </w:r>
      <w:r>
        <w:rPr>
          <w:rFonts w:ascii="宋体" w:hAnsi="宋体" w:eastAsia="宋体" w:cs="宋体"/>
          <w:color w:val="auto"/>
          <w:spacing w:val="40"/>
          <w:sz w:val="21"/>
          <w:szCs w:val="21"/>
          <w:highlight w:val="none"/>
        </w:rPr>
        <w:t xml:space="preserve"> </w:t>
      </w:r>
      <w:r>
        <w:rPr>
          <w:rFonts w:ascii="宋体" w:hAnsi="宋体" w:eastAsia="宋体" w:cs="宋体"/>
          <w:color w:val="auto"/>
          <w:spacing w:val="-6"/>
          <w:sz w:val="21"/>
          <w:szCs w:val="21"/>
          <w:highlight w:val="none"/>
        </w:rPr>
        <w:t>施工管理、质量管</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理、安全管理及资格条件要求的其他岗位人员。其中项目副经理（如有）、项目技术</w:t>
      </w:r>
      <w:r>
        <w:rPr>
          <w:rFonts w:ascii="宋体" w:hAnsi="宋体" w:eastAsia="宋体" w:cs="宋体"/>
          <w:color w:val="auto"/>
          <w:spacing w:val="16"/>
          <w:sz w:val="21"/>
          <w:szCs w:val="21"/>
          <w:highlight w:val="none"/>
        </w:rPr>
        <w:t xml:space="preserve"> </w:t>
      </w:r>
      <w:r>
        <w:rPr>
          <w:rFonts w:ascii="宋体" w:hAnsi="宋体" w:eastAsia="宋体" w:cs="宋体"/>
          <w:color w:val="auto"/>
          <w:spacing w:val="-10"/>
          <w:sz w:val="21"/>
          <w:szCs w:val="21"/>
          <w:highlight w:val="none"/>
        </w:rPr>
        <w:t>负责人应附资格证书（如有）、注册证书（如有）、职称证书（如有）、学历证书</w:t>
      </w:r>
      <w:r>
        <w:rPr>
          <w:rFonts w:ascii="宋体" w:hAnsi="宋体" w:eastAsia="宋体" w:cs="宋体"/>
          <w:color w:val="auto"/>
          <w:spacing w:val="-43"/>
          <w:sz w:val="21"/>
          <w:szCs w:val="21"/>
          <w:highlight w:val="none"/>
        </w:rPr>
        <w:t xml:space="preserve"> </w:t>
      </w:r>
      <w:r>
        <w:rPr>
          <w:rFonts w:ascii="宋体" w:hAnsi="宋体" w:eastAsia="宋体" w:cs="宋体"/>
          <w:color w:val="auto"/>
          <w:spacing w:val="-10"/>
          <w:sz w:val="21"/>
          <w:szCs w:val="21"/>
          <w:highlight w:val="none"/>
        </w:rPr>
        <w:t>（如</w:t>
      </w:r>
      <w:r>
        <w:rPr>
          <w:rFonts w:ascii="宋体" w:hAnsi="宋体" w:eastAsia="宋体" w:cs="宋体"/>
          <w:color w:val="auto"/>
          <w:sz w:val="21"/>
          <w:szCs w:val="21"/>
          <w:highlight w:val="none"/>
        </w:rPr>
        <w:t xml:space="preserve"> 有）</w:t>
      </w:r>
      <w:r>
        <w:rPr>
          <w:rFonts w:ascii="宋体" w:hAnsi="宋体" w:eastAsia="宋体" w:cs="宋体"/>
          <w:color w:val="auto"/>
          <w:spacing w:val="-33"/>
          <w:sz w:val="21"/>
          <w:szCs w:val="21"/>
          <w:highlight w:val="none"/>
        </w:rPr>
        <w:t xml:space="preserve"> </w:t>
      </w:r>
      <w:r>
        <w:rPr>
          <w:rFonts w:ascii="宋体" w:hAnsi="宋体" w:eastAsia="宋体" w:cs="宋体"/>
          <w:color w:val="auto"/>
          <w:sz w:val="21"/>
          <w:szCs w:val="21"/>
          <w:highlight w:val="none"/>
        </w:rPr>
        <w:t>,主要业绩证明材料（如有</w:t>
      </w:r>
      <w:r>
        <w:rPr>
          <w:rFonts w:ascii="宋体" w:hAnsi="宋体" w:eastAsia="宋体" w:cs="宋体"/>
          <w:color w:val="auto"/>
          <w:spacing w:val="-31"/>
          <w:sz w:val="21"/>
          <w:szCs w:val="21"/>
          <w:highlight w:val="none"/>
        </w:rPr>
        <w:t>）；</w:t>
      </w:r>
      <w:r>
        <w:rPr>
          <w:rFonts w:ascii="宋体" w:hAnsi="宋体" w:eastAsia="宋体" w:cs="宋体"/>
          <w:color w:val="auto"/>
          <w:sz w:val="21"/>
          <w:szCs w:val="21"/>
          <w:highlight w:val="none"/>
        </w:rPr>
        <w:t xml:space="preserve">安全管理人员应附有效的安全生产考核合格证书 </w:t>
      </w:r>
      <w:r>
        <w:rPr>
          <w:rFonts w:ascii="宋体" w:hAnsi="宋体" w:eastAsia="宋体" w:cs="宋体"/>
          <w:color w:val="auto"/>
          <w:spacing w:val="-2"/>
          <w:sz w:val="21"/>
          <w:szCs w:val="21"/>
          <w:highlight w:val="none"/>
        </w:rPr>
        <w:t>（C 证</w:t>
      </w:r>
      <w:r>
        <w:rPr>
          <w:rFonts w:ascii="宋体" w:hAnsi="宋体" w:eastAsia="宋体" w:cs="宋体"/>
          <w:color w:val="auto"/>
          <w:spacing w:val="-11"/>
          <w:sz w:val="21"/>
          <w:szCs w:val="21"/>
          <w:highlight w:val="none"/>
        </w:rPr>
        <w:t>）；</w:t>
      </w:r>
      <w:r>
        <w:rPr>
          <w:rFonts w:ascii="宋体" w:hAnsi="宋体" w:eastAsia="宋体" w:cs="宋体"/>
          <w:color w:val="auto"/>
          <w:spacing w:val="-2"/>
          <w:sz w:val="21"/>
          <w:szCs w:val="21"/>
          <w:highlight w:val="none"/>
        </w:rPr>
        <w:t>施工管理、质量管理及资格条件要求的其他岗位人员应附岗位培训考核合</w:t>
      </w:r>
      <w:r>
        <w:rPr>
          <w:rFonts w:ascii="宋体" w:hAnsi="宋体" w:eastAsia="宋体" w:cs="宋体"/>
          <w:color w:val="auto"/>
          <w:sz w:val="21"/>
          <w:szCs w:val="21"/>
          <w:highlight w:val="none"/>
        </w:rPr>
        <w:t xml:space="preserve"> </w:t>
      </w:r>
      <w:r>
        <w:rPr>
          <w:rFonts w:ascii="宋体" w:hAnsi="宋体" w:eastAsia="宋体" w:cs="宋体"/>
          <w:color w:val="auto"/>
          <w:spacing w:val="-7"/>
          <w:sz w:val="21"/>
          <w:szCs w:val="21"/>
          <w:highlight w:val="none"/>
        </w:rPr>
        <w:t>格证书。</w:t>
      </w:r>
    </w:p>
    <w:p w14:paraId="763088A0">
      <w:pPr>
        <w:spacing w:line="236" w:lineRule="auto"/>
        <w:rPr>
          <w:rFonts w:ascii="宋体" w:hAnsi="宋体" w:eastAsia="宋体" w:cs="宋体"/>
          <w:color w:val="auto"/>
          <w:sz w:val="21"/>
          <w:szCs w:val="21"/>
          <w:highlight w:val="none"/>
        </w:rPr>
        <w:sectPr>
          <w:footerReference r:id="rId226" w:type="default"/>
          <w:pgSz w:w="11905" w:h="16839"/>
          <w:pgMar w:top="400" w:right="1785" w:bottom="1004" w:left="1785" w:header="0" w:footer="828" w:gutter="0"/>
          <w:pgNumType w:fmt="decimal"/>
          <w:cols w:space="720" w:num="1"/>
        </w:sectPr>
      </w:pPr>
    </w:p>
    <w:p w14:paraId="48C83E96">
      <w:pPr>
        <w:pStyle w:val="3"/>
        <w:spacing w:line="255" w:lineRule="auto"/>
        <w:rPr>
          <w:color w:val="auto"/>
          <w:highlight w:val="none"/>
        </w:rPr>
      </w:pPr>
    </w:p>
    <w:p w14:paraId="465A3B05">
      <w:pPr>
        <w:pStyle w:val="3"/>
        <w:spacing w:line="256" w:lineRule="auto"/>
        <w:rPr>
          <w:color w:val="auto"/>
          <w:highlight w:val="none"/>
        </w:rPr>
      </w:pPr>
    </w:p>
    <w:p w14:paraId="0A5B0C70">
      <w:pPr>
        <w:pStyle w:val="3"/>
        <w:spacing w:line="256" w:lineRule="auto"/>
        <w:rPr>
          <w:color w:val="auto"/>
          <w:highlight w:val="none"/>
        </w:rPr>
      </w:pPr>
    </w:p>
    <w:p w14:paraId="0F2A530F">
      <w:pPr>
        <w:pStyle w:val="3"/>
        <w:spacing w:line="256" w:lineRule="auto"/>
        <w:rPr>
          <w:color w:val="auto"/>
          <w:highlight w:val="none"/>
        </w:rPr>
      </w:pPr>
    </w:p>
    <w:p w14:paraId="18BD22D3">
      <w:pPr>
        <w:spacing w:before="88" w:line="436" w:lineRule="exact"/>
        <w:ind w:left="3054"/>
        <w:rPr>
          <w:rFonts w:ascii="黑体" w:hAnsi="黑体" w:eastAsia="黑体" w:cs="黑体"/>
          <w:color w:val="auto"/>
          <w:sz w:val="27"/>
          <w:szCs w:val="27"/>
          <w:highlight w:val="none"/>
        </w:rPr>
      </w:pPr>
      <w:bookmarkStart w:id="1342" w:name="bookmark315"/>
      <w:bookmarkEnd w:id="1342"/>
      <w:r>
        <w:rPr>
          <w:rFonts w:ascii="黑体" w:hAnsi="黑体" w:eastAsia="黑体" w:cs="黑体"/>
          <w:color w:val="auto"/>
          <w:spacing w:val="8"/>
          <w:position w:val="11"/>
          <w:sz w:val="27"/>
          <w:szCs w:val="27"/>
          <w:highlight w:val="none"/>
        </w:rPr>
        <w:t>七、资格审查资料</w:t>
      </w:r>
    </w:p>
    <w:p w14:paraId="637B6298">
      <w:pPr>
        <w:spacing w:line="219" w:lineRule="auto"/>
        <w:ind w:left="2993"/>
        <w:rPr>
          <w:rFonts w:ascii="黑体" w:hAnsi="黑体" w:eastAsia="黑体" w:cs="黑体"/>
          <w:color w:val="auto"/>
          <w:sz w:val="24"/>
          <w:szCs w:val="24"/>
          <w:highlight w:val="none"/>
        </w:rPr>
      </w:pPr>
      <w:r>
        <w:rPr>
          <w:rFonts w:ascii="黑体" w:hAnsi="黑体" w:eastAsia="黑体" w:cs="黑体"/>
          <w:color w:val="auto"/>
          <w:spacing w:val="-4"/>
          <w:sz w:val="24"/>
          <w:szCs w:val="24"/>
          <w:highlight w:val="none"/>
        </w:rPr>
        <w:t>（一）投标人基本情况</w:t>
      </w:r>
    </w:p>
    <w:p w14:paraId="7A68F8B3">
      <w:pPr>
        <w:spacing w:before="117" w:line="218" w:lineRule="auto"/>
        <w:ind w:left="3049"/>
        <w:rPr>
          <w:rFonts w:ascii="黑体" w:hAnsi="黑体" w:eastAsia="黑体" w:cs="黑体"/>
          <w:color w:val="auto"/>
          <w:sz w:val="24"/>
          <w:szCs w:val="24"/>
          <w:highlight w:val="none"/>
        </w:rPr>
      </w:pPr>
      <w:r>
        <w:rPr>
          <w:rFonts w:ascii="Times New Roman" w:hAnsi="Times New Roman" w:eastAsia="Times New Roman" w:cs="Times New Roman"/>
          <w:color w:val="auto"/>
          <w:spacing w:val="-6"/>
          <w:sz w:val="24"/>
          <w:szCs w:val="24"/>
          <w:highlight w:val="none"/>
        </w:rPr>
        <w:t>1-</w:t>
      </w:r>
      <w:r>
        <w:rPr>
          <w:rFonts w:ascii="Times New Roman" w:hAnsi="Times New Roman" w:eastAsia="Times New Roman" w:cs="Times New Roman"/>
          <w:color w:val="auto"/>
          <w:spacing w:val="-27"/>
          <w:sz w:val="24"/>
          <w:szCs w:val="24"/>
          <w:highlight w:val="none"/>
        </w:rPr>
        <w:t xml:space="preserve"> </w:t>
      </w:r>
      <w:r>
        <w:rPr>
          <w:rFonts w:ascii="Times New Roman" w:hAnsi="Times New Roman" w:eastAsia="Times New Roman" w:cs="Times New Roman"/>
          <w:color w:val="auto"/>
          <w:spacing w:val="-6"/>
          <w:sz w:val="24"/>
          <w:szCs w:val="24"/>
          <w:highlight w:val="none"/>
        </w:rPr>
        <w:t xml:space="preserve">1 </w:t>
      </w:r>
      <w:r>
        <w:rPr>
          <w:rFonts w:ascii="黑体" w:hAnsi="黑体" w:eastAsia="黑体" w:cs="黑体"/>
          <w:color w:val="auto"/>
          <w:spacing w:val="-6"/>
          <w:sz w:val="24"/>
          <w:szCs w:val="24"/>
          <w:highlight w:val="none"/>
        </w:rPr>
        <w:t>投标人基本情况表</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0"/>
        <w:gridCol w:w="854"/>
        <w:gridCol w:w="1142"/>
        <w:gridCol w:w="1165"/>
        <w:gridCol w:w="1171"/>
        <w:gridCol w:w="346"/>
        <w:gridCol w:w="854"/>
        <w:gridCol w:w="1219"/>
      </w:tblGrid>
      <w:tr w14:paraId="53B8E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Align w:val="top"/>
          </w:tcPr>
          <w:p w14:paraId="17FEACDE">
            <w:pPr>
              <w:pStyle w:val="11"/>
              <w:spacing w:before="183" w:line="221" w:lineRule="auto"/>
              <w:ind w:left="265"/>
              <w:rPr>
                <w:color w:val="auto"/>
                <w:highlight w:val="none"/>
              </w:rPr>
            </w:pPr>
            <w:r>
              <w:rPr>
                <w:color w:val="auto"/>
                <w:spacing w:val="-1"/>
                <w:highlight w:val="none"/>
              </w:rPr>
              <w:t>投标人名称</w:t>
            </w:r>
          </w:p>
        </w:tc>
        <w:tc>
          <w:tcPr>
            <w:tcW w:w="6751" w:type="dxa"/>
            <w:gridSpan w:val="7"/>
            <w:vAlign w:val="top"/>
          </w:tcPr>
          <w:p w14:paraId="0E44343D">
            <w:pPr>
              <w:rPr>
                <w:rFonts w:ascii="Arial"/>
                <w:color w:val="auto"/>
                <w:sz w:val="21"/>
                <w:highlight w:val="none"/>
              </w:rPr>
            </w:pPr>
          </w:p>
        </w:tc>
      </w:tr>
      <w:tr w14:paraId="3C8E8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2A025AF5">
            <w:pPr>
              <w:pStyle w:val="11"/>
              <w:spacing w:before="179" w:line="222" w:lineRule="auto"/>
              <w:ind w:left="368"/>
              <w:rPr>
                <w:color w:val="auto"/>
                <w:highlight w:val="none"/>
              </w:rPr>
            </w:pPr>
            <w:r>
              <w:rPr>
                <w:color w:val="auto"/>
                <w:spacing w:val="-1"/>
                <w:highlight w:val="none"/>
              </w:rPr>
              <w:t>注册地址</w:t>
            </w:r>
          </w:p>
        </w:tc>
        <w:tc>
          <w:tcPr>
            <w:tcW w:w="3161" w:type="dxa"/>
            <w:gridSpan w:val="3"/>
            <w:vAlign w:val="top"/>
          </w:tcPr>
          <w:p w14:paraId="2688611B">
            <w:pPr>
              <w:rPr>
                <w:rFonts w:ascii="Arial"/>
                <w:color w:val="auto"/>
                <w:sz w:val="21"/>
                <w:highlight w:val="none"/>
              </w:rPr>
            </w:pPr>
          </w:p>
        </w:tc>
        <w:tc>
          <w:tcPr>
            <w:tcW w:w="1171" w:type="dxa"/>
            <w:vAlign w:val="top"/>
          </w:tcPr>
          <w:p w14:paraId="13A6CDB0">
            <w:pPr>
              <w:pStyle w:val="11"/>
              <w:spacing w:before="178" w:line="221" w:lineRule="auto"/>
              <w:ind w:left="210"/>
              <w:rPr>
                <w:color w:val="auto"/>
                <w:highlight w:val="none"/>
              </w:rPr>
            </w:pPr>
            <w:r>
              <w:rPr>
                <w:color w:val="auto"/>
                <w:spacing w:val="-4"/>
                <w:highlight w:val="none"/>
              </w:rPr>
              <w:t>邮政编码</w:t>
            </w:r>
          </w:p>
        </w:tc>
        <w:tc>
          <w:tcPr>
            <w:tcW w:w="2419" w:type="dxa"/>
            <w:gridSpan w:val="3"/>
            <w:vAlign w:val="top"/>
          </w:tcPr>
          <w:p w14:paraId="006A19CF">
            <w:pPr>
              <w:rPr>
                <w:rFonts w:ascii="Arial"/>
                <w:color w:val="auto"/>
                <w:sz w:val="21"/>
                <w:highlight w:val="none"/>
              </w:rPr>
            </w:pPr>
          </w:p>
        </w:tc>
      </w:tr>
      <w:tr w14:paraId="74459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Merge w:val="restart"/>
            <w:tcBorders>
              <w:bottom w:val="nil"/>
            </w:tcBorders>
            <w:vAlign w:val="top"/>
          </w:tcPr>
          <w:p w14:paraId="7741FD71">
            <w:pPr>
              <w:spacing w:line="396" w:lineRule="auto"/>
              <w:rPr>
                <w:rFonts w:ascii="Arial"/>
                <w:color w:val="auto"/>
                <w:sz w:val="21"/>
                <w:highlight w:val="none"/>
              </w:rPr>
            </w:pPr>
          </w:p>
          <w:p w14:paraId="1949615E">
            <w:pPr>
              <w:pStyle w:val="11"/>
              <w:spacing w:before="69" w:line="222" w:lineRule="auto"/>
              <w:ind w:left="369"/>
              <w:rPr>
                <w:color w:val="auto"/>
                <w:highlight w:val="none"/>
              </w:rPr>
            </w:pPr>
            <w:r>
              <w:rPr>
                <w:color w:val="auto"/>
                <w:spacing w:val="-1"/>
                <w:highlight w:val="none"/>
              </w:rPr>
              <w:t>联系方式</w:t>
            </w:r>
          </w:p>
        </w:tc>
        <w:tc>
          <w:tcPr>
            <w:tcW w:w="854" w:type="dxa"/>
            <w:vAlign w:val="top"/>
          </w:tcPr>
          <w:p w14:paraId="05065BD4">
            <w:pPr>
              <w:pStyle w:val="11"/>
              <w:spacing w:before="178" w:line="223" w:lineRule="auto"/>
              <w:ind w:left="120"/>
              <w:rPr>
                <w:color w:val="auto"/>
                <w:highlight w:val="none"/>
              </w:rPr>
            </w:pPr>
            <w:r>
              <w:rPr>
                <w:color w:val="auto"/>
                <w:spacing w:val="-2"/>
                <w:highlight w:val="none"/>
              </w:rPr>
              <w:t>联系人</w:t>
            </w:r>
          </w:p>
        </w:tc>
        <w:tc>
          <w:tcPr>
            <w:tcW w:w="2307" w:type="dxa"/>
            <w:gridSpan w:val="2"/>
            <w:vAlign w:val="top"/>
          </w:tcPr>
          <w:p w14:paraId="652909B7">
            <w:pPr>
              <w:rPr>
                <w:rFonts w:ascii="Arial"/>
                <w:color w:val="auto"/>
                <w:sz w:val="21"/>
                <w:highlight w:val="none"/>
              </w:rPr>
            </w:pPr>
          </w:p>
        </w:tc>
        <w:tc>
          <w:tcPr>
            <w:tcW w:w="1171" w:type="dxa"/>
            <w:vAlign w:val="top"/>
          </w:tcPr>
          <w:p w14:paraId="7C894AA2">
            <w:pPr>
              <w:pStyle w:val="11"/>
              <w:spacing w:before="178" w:line="223" w:lineRule="auto"/>
              <w:ind w:left="325"/>
              <w:rPr>
                <w:color w:val="auto"/>
                <w:highlight w:val="none"/>
              </w:rPr>
            </w:pPr>
            <w:r>
              <w:rPr>
                <w:color w:val="auto"/>
                <w:spacing w:val="-16"/>
                <w:highlight w:val="none"/>
              </w:rPr>
              <w:t>电</w:t>
            </w:r>
            <w:r>
              <w:rPr>
                <w:color w:val="auto"/>
                <w:spacing w:val="4"/>
                <w:highlight w:val="none"/>
              </w:rPr>
              <w:t xml:space="preserve">  </w:t>
            </w:r>
            <w:r>
              <w:rPr>
                <w:color w:val="auto"/>
                <w:spacing w:val="-16"/>
                <w:highlight w:val="none"/>
              </w:rPr>
              <w:t>话</w:t>
            </w:r>
          </w:p>
        </w:tc>
        <w:tc>
          <w:tcPr>
            <w:tcW w:w="2419" w:type="dxa"/>
            <w:gridSpan w:val="3"/>
            <w:vAlign w:val="top"/>
          </w:tcPr>
          <w:p w14:paraId="1E2B4280">
            <w:pPr>
              <w:rPr>
                <w:rFonts w:ascii="Arial"/>
                <w:color w:val="auto"/>
                <w:sz w:val="21"/>
                <w:highlight w:val="none"/>
              </w:rPr>
            </w:pPr>
          </w:p>
        </w:tc>
      </w:tr>
      <w:tr w14:paraId="2E37D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Merge w:val="continue"/>
            <w:tcBorders>
              <w:top w:val="nil"/>
            </w:tcBorders>
            <w:vAlign w:val="top"/>
          </w:tcPr>
          <w:p w14:paraId="0FE57165">
            <w:pPr>
              <w:rPr>
                <w:rFonts w:ascii="Arial"/>
                <w:color w:val="auto"/>
                <w:sz w:val="21"/>
                <w:highlight w:val="none"/>
              </w:rPr>
            </w:pPr>
          </w:p>
        </w:tc>
        <w:tc>
          <w:tcPr>
            <w:tcW w:w="854" w:type="dxa"/>
            <w:vAlign w:val="top"/>
          </w:tcPr>
          <w:p w14:paraId="57645713">
            <w:pPr>
              <w:pStyle w:val="11"/>
              <w:spacing w:before="175" w:line="220" w:lineRule="auto"/>
              <w:ind w:left="117"/>
              <w:rPr>
                <w:color w:val="auto"/>
                <w:highlight w:val="none"/>
              </w:rPr>
            </w:pPr>
            <w:r>
              <w:rPr>
                <w:color w:val="auto"/>
                <w:spacing w:val="-3"/>
                <w:highlight w:val="none"/>
              </w:rPr>
              <w:t>传</w:t>
            </w:r>
            <w:r>
              <w:rPr>
                <w:color w:val="auto"/>
                <w:spacing w:val="5"/>
                <w:highlight w:val="none"/>
              </w:rPr>
              <w:t xml:space="preserve">  </w:t>
            </w:r>
            <w:r>
              <w:rPr>
                <w:color w:val="auto"/>
                <w:spacing w:val="-3"/>
                <w:highlight w:val="none"/>
              </w:rPr>
              <w:t>真</w:t>
            </w:r>
          </w:p>
        </w:tc>
        <w:tc>
          <w:tcPr>
            <w:tcW w:w="2307" w:type="dxa"/>
            <w:gridSpan w:val="2"/>
            <w:vAlign w:val="top"/>
          </w:tcPr>
          <w:p w14:paraId="02827A65">
            <w:pPr>
              <w:rPr>
                <w:rFonts w:ascii="Arial"/>
                <w:color w:val="auto"/>
                <w:sz w:val="21"/>
                <w:highlight w:val="none"/>
              </w:rPr>
            </w:pPr>
          </w:p>
        </w:tc>
        <w:tc>
          <w:tcPr>
            <w:tcW w:w="1171" w:type="dxa"/>
            <w:vAlign w:val="top"/>
          </w:tcPr>
          <w:p w14:paraId="2099BFEB">
            <w:pPr>
              <w:pStyle w:val="11"/>
              <w:spacing w:before="175" w:line="226" w:lineRule="auto"/>
              <w:ind w:left="317"/>
              <w:rPr>
                <w:color w:val="auto"/>
                <w:highlight w:val="none"/>
              </w:rPr>
            </w:pPr>
            <w:r>
              <w:rPr>
                <w:color w:val="auto"/>
                <w:spacing w:val="-12"/>
                <w:highlight w:val="none"/>
              </w:rPr>
              <w:t>网</w:t>
            </w:r>
            <w:r>
              <w:rPr>
                <w:color w:val="auto"/>
                <w:spacing w:val="5"/>
                <w:highlight w:val="none"/>
              </w:rPr>
              <w:t xml:space="preserve">  </w:t>
            </w:r>
            <w:r>
              <w:rPr>
                <w:color w:val="auto"/>
                <w:spacing w:val="-12"/>
                <w:highlight w:val="none"/>
              </w:rPr>
              <w:t>址</w:t>
            </w:r>
          </w:p>
        </w:tc>
        <w:tc>
          <w:tcPr>
            <w:tcW w:w="2419" w:type="dxa"/>
            <w:gridSpan w:val="3"/>
            <w:vAlign w:val="top"/>
          </w:tcPr>
          <w:p w14:paraId="67118297">
            <w:pPr>
              <w:rPr>
                <w:rFonts w:ascii="Arial"/>
                <w:color w:val="auto"/>
                <w:sz w:val="21"/>
                <w:highlight w:val="none"/>
              </w:rPr>
            </w:pPr>
          </w:p>
        </w:tc>
      </w:tr>
      <w:tr w14:paraId="0FC84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20ECBE92">
            <w:pPr>
              <w:pStyle w:val="11"/>
              <w:spacing w:before="175" w:line="221" w:lineRule="auto"/>
              <w:ind w:left="371"/>
              <w:rPr>
                <w:color w:val="auto"/>
                <w:highlight w:val="none"/>
              </w:rPr>
            </w:pPr>
            <w:r>
              <w:rPr>
                <w:color w:val="auto"/>
                <w:spacing w:val="-2"/>
                <w:highlight w:val="none"/>
              </w:rPr>
              <w:t>组织结构</w:t>
            </w:r>
          </w:p>
        </w:tc>
        <w:tc>
          <w:tcPr>
            <w:tcW w:w="6751" w:type="dxa"/>
            <w:gridSpan w:val="7"/>
            <w:vAlign w:val="top"/>
          </w:tcPr>
          <w:p w14:paraId="655BDECB">
            <w:pPr>
              <w:rPr>
                <w:rFonts w:ascii="Arial"/>
                <w:color w:val="auto"/>
                <w:sz w:val="21"/>
                <w:highlight w:val="none"/>
              </w:rPr>
            </w:pPr>
          </w:p>
        </w:tc>
      </w:tr>
      <w:tr w14:paraId="2B5FF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147186D8">
            <w:pPr>
              <w:pStyle w:val="11"/>
              <w:spacing w:before="179" w:line="221" w:lineRule="auto"/>
              <w:ind w:left="263"/>
              <w:rPr>
                <w:color w:val="auto"/>
                <w:highlight w:val="none"/>
              </w:rPr>
            </w:pPr>
            <w:r>
              <w:rPr>
                <w:color w:val="auto"/>
                <w:spacing w:val="-1"/>
                <w:highlight w:val="none"/>
              </w:rPr>
              <w:t>法定代表人</w:t>
            </w:r>
          </w:p>
        </w:tc>
        <w:tc>
          <w:tcPr>
            <w:tcW w:w="854" w:type="dxa"/>
            <w:vAlign w:val="top"/>
          </w:tcPr>
          <w:p w14:paraId="006B6D8F">
            <w:pPr>
              <w:pStyle w:val="11"/>
              <w:spacing w:before="179" w:line="221" w:lineRule="auto"/>
              <w:ind w:left="224"/>
              <w:rPr>
                <w:color w:val="auto"/>
                <w:highlight w:val="none"/>
              </w:rPr>
            </w:pPr>
            <w:r>
              <w:rPr>
                <w:color w:val="auto"/>
                <w:spacing w:val="-2"/>
                <w:highlight w:val="none"/>
              </w:rPr>
              <w:t>姓名</w:t>
            </w:r>
          </w:p>
        </w:tc>
        <w:tc>
          <w:tcPr>
            <w:tcW w:w="1142" w:type="dxa"/>
            <w:vAlign w:val="top"/>
          </w:tcPr>
          <w:p w14:paraId="71B1AEF8">
            <w:pPr>
              <w:rPr>
                <w:rFonts w:ascii="Arial"/>
                <w:color w:val="auto"/>
                <w:sz w:val="21"/>
                <w:highlight w:val="none"/>
              </w:rPr>
            </w:pPr>
          </w:p>
        </w:tc>
        <w:tc>
          <w:tcPr>
            <w:tcW w:w="1165" w:type="dxa"/>
            <w:vAlign w:val="top"/>
          </w:tcPr>
          <w:p w14:paraId="50B52E2A">
            <w:pPr>
              <w:pStyle w:val="11"/>
              <w:spacing w:before="179" w:line="221" w:lineRule="auto"/>
              <w:ind w:left="164"/>
              <w:rPr>
                <w:color w:val="auto"/>
                <w:highlight w:val="none"/>
              </w:rPr>
            </w:pPr>
            <w:r>
              <w:rPr>
                <w:color w:val="auto"/>
                <w:spacing w:val="-1"/>
                <w:highlight w:val="none"/>
              </w:rPr>
              <w:t>技术职称</w:t>
            </w:r>
          </w:p>
        </w:tc>
        <w:tc>
          <w:tcPr>
            <w:tcW w:w="1517" w:type="dxa"/>
            <w:gridSpan w:val="2"/>
            <w:vAlign w:val="top"/>
          </w:tcPr>
          <w:p w14:paraId="32796DDE">
            <w:pPr>
              <w:rPr>
                <w:rFonts w:ascii="Arial"/>
                <w:color w:val="auto"/>
                <w:sz w:val="21"/>
                <w:highlight w:val="none"/>
              </w:rPr>
            </w:pPr>
          </w:p>
        </w:tc>
        <w:tc>
          <w:tcPr>
            <w:tcW w:w="854" w:type="dxa"/>
            <w:vAlign w:val="top"/>
          </w:tcPr>
          <w:p w14:paraId="14089405">
            <w:pPr>
              <w:pStyle w:val="11"/>
              <w:spacing w:before="180" w:line="223" w:lineRule="auto"/>
              <w:ind w:left="239"/>
              <w:rPr>
                <w:color w:val="auto"/>
                <w:highlight w:val="none"/>
              </w:rPr>
            </w:pPr>
            <w:r>
              <w:rPr>
                <w:color w:val="auto"/>
                <w:spacing w:val="-8"/>
                <w:highlight w:val="none"/>
              </w:rPr>
              <w:t>电话</w:t>
            </w:r>
          </w:p>
        </w:tc>
        <w:tc>
          <w:tcPr>
            <w:tcW w:w="1219" w:type="dxa"/>
            <w:vAlign w:val="top"/>
          </w:tcPr>
          <w:p w14:paraId="297C6CFA">
            <w:pPr>
              <w:rPr>
                <w:rFonts w:ascii="Arial"/>
                <w:color w:val="auto"/>
                <w:sz w:val="21"/>
                <w:highlight w:val="none"/>
              </w:rPr>
            </w:pPr>
          </w:p>
        </w:tc>
      </w:tr>
      <w:tr w14:paraId="3E49C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4910B2C7">
            <w:pPr>
              <w:pStyle w:val="11"/>
              <w:spacing w:before="180" w:line="221" w:lineRule="auto"/>
              <w:ind w:left="263"/>
              <w:rPr>
                <w:color w:val="auto"/>
                <w:highlight w:val="none"/>
              </w:rPr>
            </w:pPr>
            <w:r>
              <w:rPr>
                <w:color w:val="auto"/>
                <w:spacing w:val="-1"/>
                <w:highlight w:val="none"/>
              </w:rPr>
              <w:t>技术负责人</w:t>
            </w:r>
          </w:p>
        </w:tc>
        <w:tc>
          <w:tcPr>
            <w:tcW w:w="854" w:type="dxa"/>
            <w:vAlign w:val="top"/>
          </w:tcPr>
          <w:p w14:paraId="2D21CF4B">
            <w:pPr>
              <w:pStyle w:val="11"/>
              <w:spacing w:before="180" w:line="221" w:lineRule="auto"/>
              <w:ind w:left="224"/>
              <w:rPr>
                <w:color w:val="auto"/>
                <w:highlight w:val="none"/>
              </w:rPr>
            </w:pPr>
            <w:r>
              <w:rPr>
                <w:color w:val="auto"/>
                <w:spacing w:val="-2"/>
                <w:highlight w:val="none"/>
              </w:rPr>
              <w:t>姓名</w:t>
            </w:r>
          </w:p>
        </w:tc>
        <w:tc>
          <w:tcPr>
            <w:tcW w:w="1142" w:type="dxa"/>
            <w:vAlign w:val="top"/>
          </w:tcPr>
          <w:p w14:paraId="5EFBC4D7">
            <w:pPr>
              <w:rPr>
                <w:rFonts w:ascii="Arial"/>
                <w:color w:val="auto"/>
                <w:sz w:val="21"/>
                <w:highlight w:val="none"/>
              </w:rPr>
            </w:pPr>
          </w:p>
        </w:tc>
        <w:tc>
          <w:tcPr>
            <w:tcW w:w="1165" w:type="dxa"/>
            <w:vAlign w:val="top"/>
          </w:tcPr>
          <w:p w14:paraId="551F374C">
            <w:pPr>
              <w:pStyle w:val="11"/>
              <w:spacing w:before="180" w:line="221" w:lineRule="auto"/>
              <w:ind w:left="164"/>
              <w:rPr>
                <w:color w:val="auto"/>
                <w:highlight w:val="none"/>
              </w:rPr>
            </w:pPr>
            <w:r>
              <w:rPr>
                <w:color w:val="auto"/>
                <w:spacing w:val="-1"/>
                <w:highlight w:val="none"/>
              </w:rPr>
              <w:t>技术职称</w:t>
            </w:r>
          </w:p>
        </w:tc>
        <w:tc>
          <w:tcPr>
            <w:tcW w:w="1517" w:type="dxa"/>
            <w:gridSpan w:val="2"/>
            <w:vAlign w:val="top"/>
          </w:tcPr>
          <w:p w14:paraId="6F62A09D">
            <w:pPr>
              <w:rPr>
                <w:rFonts w:ascii="Arial"/>
                <w:color w:val="auto"/>
                <w:sz w:val="21"/>
                <w:highlight w:val="none"/>
              </w:rPr>
            </w:pPr>
          </w:p>
        </w:tc>
        <w:tc>
          <w:tcPr>
            <w:tcW w:w="854" w:type="dxa"/>
            <w:vAlign w:val="top"/>
          </w:tcPr>
          <w:p w14:paraId="49D29FA6">
            <w:pPr>
              <w:pStyle w:val="11"/>
              <w:spacing w:before="180" w:line="223" w:lineRule="auto"/>
              <w:ind w:left="239"/>
              <w:rPr>
                <w:color w:val="auto"/>
                <w:highlight w:val="none"/>
              </w:rPr>
            </w:pPr>
            <w:r>
              <w:rPr>
                <w:color w:val="auto"/>
                <w:spacing w:val="-8"/>
                <w:highlight w:val="none"/>
              </w:rPr>
              <w:t>电话</w:t>
            </w:r>
          </w:p>
        </w:tc>
        <w:tc>
          <w:tcPr>
            <w:tcW w:w="1219" w:type="dxa"/>
            <w:vAlign w:val="top"/>
          </w:tcPr>
          <w:p w14:paraId="5B13F816">
            <w:pPr>
              <w:rPr>
                <w:rFonts w:ascii="Arial"/>
                <w:color w:val="auto"/>
                <w:sz w:val="21"/>
                <w:highlight w:val="none"/>
              </w:rPr>
            </w:pPr>
          </w:p>
        </w:tc>
      </w:tr>
      <w:tr w14:paraId="32D26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Align w:val="top"/>
          </w:tcPr>
          <w:p w14:paraId="723A651E">
            <w:pPr>
              <w:pStyle w:val="11"/>
              <w:spacing w:before="180" w:line="222" w:lineRule="auto"/>
              <w:ind w:left="370"/>
              <w:rPr>
                <w:color w:val="auto"/>
                <w:highlight w:val="none"/>
              </w:rPr>
            </w:pPr>
            <w:r>
              <w:rPr>
                <w:color w:val="auto"/>
                <w:spacing w:val="-1"/>
                <w:highlight w:val="none"/>
              </w:rPr>
              <w:t>成立时间</w:t>
            </w:r>
          </w:p>
        </w:tc>
        <w:tc>
          <w:tcPr>
            <w:tcW w:w="1996" w:type="dxa"/>
            <w:gridSpan w:val="2"/>
            <w:vAlign w:val="top"/>
          </w:tcPr>
          <w:p w14:paraId="6AC6C2FE">
            <w:pPr>
              <w:rPr>
                <w:rFonts w:ascii="Arial"/>
                <w:color w:val="auto"/>
                <w:sz w:val="21"/>
                <w:highlight w:val="none"/>
              </w:rPr>
            </w:pPr>
          </w:p>
        </w:tc>
        <w:tc>
          <w:tcPr>
            <w:tcW w:w="4755" w:type="dxa"/>
            <w:gridSpan w:val="5"/>
            <w:vAlign w:val="top"/>
          </w:tcPr>
          <w:p w14:paraId="43C7AD04">
            <w:pPr>
              <w:pStyle w:val="11"/>
              <w:spacing w:before="180" w:line="221" w:lineRule="auto"/>
              <w:ind w:left="124"/>
              <w:rPr>
                <w:color w:val="auto"/>
                <w:highlight w:val="none"/>
              </w:rPr>
            </w:pPr>
            <w:r>
              <w:rPr>
                <w:color w:val="auto"/>
                <w:spacing w:val="-2"/>
                <w:highlight w:val="none"/>
              </w:rPr>
              <w:t>员工总人数：</w:t>
            </w:r>
          </w:p>
        </w:tc>
      </w:tr>
      <w:tr w14:paraId="15090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572DFA88">
            <w:pPr>
              <w:pStyle w:val="11"/>
              <w:spacing w:before="176" w:line="221" w:lineRule="auto"/>
              <w:ind w:left="160"/>
              <w:rPr>
                <w:color w:val="auto"/>
                <w:highlight w:val="none"/>
              </w:rPr>
            </w:pPr>
            <w:r>
              <w:rPr>
                <w:color w:val="auto"/>
                <w:spacing w:val="-1"/>
                <w:highlight w:val="none"/>
              </w:rPr>
              <w:t>企业资质等级</w:t>
            </w:r>
          </w:p>
        </w:tc>
        <w:tc>
          <w:tcPr>
            <w:tcW w:w="1996" w:type="dxa"/>
            <w:gridSpan w:val="2"/>
            <w:vAlign w:val="top"/>
          </w:tcPr>
          <w:p w14:paraId="5547660D">
            <w:pPr>
              <w:rPr>
                <w:rFonts w:ascii="Arial"/>
                <w:color w:val="auto"/>
                <w:sz w:val="21"/>
                <w:highlight w:val="none"/>
              </w:rPr>
            </w:pPr>
          </w:p>
        </w:tc>
        <w:tc>
          <w:tcPr>
            <w:tcW w:w="1165" w:type="dxa"/>
            <w:vMerge w:val="restart"/>
            <w:tcBorders>
              <w:bottom w:val="nil"/>
            </w:tcBorders>
            <w:vAlign w:val="top"/>
          </w:tcPr>
          <w:p w14:paraId="673DC2BE">
            <w:pPr>
              <w:spacing w:line="251" w:lineRule="auto"/>
              <w:rPr>
                <w:rFonts w:ascii="Arial"/>
                <w:color w:val="auto"/>
                <w:sz w:val="21"/>
                <w:highlight w:val="none"/>
              </w:rPr>
            </w:pPr>
          </w:p>
          <w:p w14:paraId="3F6684EE">
            <w:pPr>
              <w:spacing w:line="251" w:lineRule="auto"/>
              <w:rPr>
                <w:rFonts w:ascii="Arial"/>
                <w:color w:val="auto"/>
                <w:sz w:val="21"/>
                <w:highlight w:val="none"/>
              </w:rPr>
            </w:pPr>
          </w:p>
          <w:p w14:paraId="2F445DFF">
            <w:pPr>
              <w:spacing w:line="252" w:lineRule="auto"/>
              <w:rPr>
                <w:rFonts w:ascii="Arial"/>
                <w:color w:val="auto"/>
                <w:sz w:val="21"/>
                <w:highlight w:val="none"/>
              </w:rPr>
            </w:pPr>
          </w:p>
          <w:p w14:paraId="06612AAF">
            <w:pPr>
              <w:spacing w:line="252" w:lineRule="auto"/>
              <w:rPr>
                <w:rFonts w:ascii="Arial"/>
                <w:color w:val="auto"/>
                <w:sz w:val="21"/>
                <w:highlight w:val="none"/>
              </w:rPr>
            </w:pPr>
          </w:p>
          <w:p w14:paraId="07329129">
            <w:pPr>
              <w:spacing w:line="252" w:lineRule="auto"/>
              <w:rPr>
                <w:rFonts w:ascii="Arial"/>
                <w:color w:val="auto"/>
                <w:sz w:val="21"/>
                <w:highlight w:val="none"/>
              </w:rPr>
            </w:pPr>
          </w:p>
          <w:p w14:paraId="5ECE8499">
            <w:pPr>
              <w:pStyle w:val="11"/>
              <w:spacing w:before="68" w:line="221" w:lineRule="auto"/>
              <w:ind w:left="376"/>
              <w:rPr>
                <w:color w:val="auto"/>
                <w:highlight w:val="none"/>
              </w:rPr>
            </w:pPr>
            <w:r>
              <w:rPr>
                <w:color w:val="auto"/>
                <w:spacing w:val="-2"/>
                <w:highlight w:val="none"/>
              </w:rPr>
              <w:t>其中</w:t>
            </w:r>
          </w:p>
        </w:tc>
        <w:tc>
          <w:tcPr>
            <w:tcW w:w="1517" w:type="dxa"/>
            <w:gridSpan w:val="2"/>
            <w:vAlign w:val="top"/>
          </w:tcPr>
          <w:p w14:paraId="4FCA70D4">
            <w:pPr>
              <w:pStyle w:val="11"/>
              <w:spacing w:before="176" w:line="221" w:lineRule="auto"/>
              <w:ind w:left="232"/>
              <w:rPr>
                <w:color w:val="auto"/>
                <w:highlight w:val="none"/>
              </w:rPr>
            </w:pPr>
            <w:r>
              <w:rPr>
                <w:color w:val="auto"/>
                <w:spacing w:val="-1"/>
                <w:highlight w:val="none"/>
              </w:rPr>
              <w:t>注册建造师</w:t>
            </w:r>
          </w:p>
        </w:tc>
        <w:tc>
          <w:tcPr>
            <w:tcW w:w="2073" w:type="dxa"/>
            <w:gridSpan w:val="2"/>
            <w:vAlign w:val="top"/>
          </w:tcPr>
          <w:p w14:paraId="6048E1B0">
            <w:pPr>
              <w:rPr>
                <w:rFonts w:ascii="Arial"/>
                <w:color w:val="auto"/>
                <w:sz w:val="21"/>
                <w:highlight w:val="none"/>
              </w:rPr>
            </w:pPr>
          </w:p>
        </w:tc>
      </w:tr>
      <w:tr w14:paraId="4C9B1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3C1D60C6">
            <w:pPr>
              <w:pStyle w:val="11"/>
              <w:spacing w:before="176" w:line="221" w:lineRule="auto"/>
              <w:ind w:left="269"/>
              <w:rPr>
                <w:color w:val="auto"/>
                <w:highlight w:val="none"/>
              </w:rPr>
            </w:pPr>
            <w:r>
              <w:rPr>
                <w:color w:val="auto"/>
                <w:spacing w:val="-2"/>
                <w:highlight w:val="none"/>
              </w:rPr>
              <w:t>营业执照号</w:t>
            </w:r>
          </w:p>
        </w:tc>
        <w:tc>
          <w:tcPr>
            <w:tcW w:w="1996" w:type="dxa"/>
            <w:gridSpan w:val="2"/>
            <w:vAlign w:val="top"/>
          </w:tcPr>
          <w:p w14:paraId="60503E7D">
            <w:pPr>
              <w:rPr>
                <w:rFonts w:ascii="Arial"/>
                <w:color w:val="auto"/>
                <w:sz w:val="21"/>
                <w:highlight w:val="none"/>
              </w:rPr>
            </w:pPr>
          </w:p>
        </w:tc>
        <w:tc>
          <w:tcPr>
            <w:tcW w:w="1165" w:type="dxa"/>
            <w:vMerge w:val="continue"/>
            <w:tcBorders>
              <w:top w:val="nil"/>
              <w:bottom w:val="nil"/>
            </w:tcBorders>
            <w:vAlign w:val="top"/>
          </w:tcPr>
          <w:p w14:paraId="31D099C6">
            <w:pPr>
              <w:rPr>
                <w:rFonts w:ascii="Arial"/>
                <w:color w:val="auto"/>
                <w:sz w:val="21"/>
                <w:highlight w:val="none"/>
              </w:rPr>
            </w:pPr>
          </w:p>
        </w:tc>
        <w:tc>
          <w:tcPr>
            <w:tcW w:w="1517" w:type="dxa"/>
            <w:gridSpan w:val="2"/>
            <w:vAlign w:val="top"/>
          </w:tcPr>
          <w:p w14:paraId="31F6C9DA">
            <w:pPr>
              <w:pStyle w:val="11"/>
              <w:spacing w:before="176" w:line="221" w:lineRule="auto"/>
              <w:ind w:left="133"/>
              <w:rPr>
                <w:color w:val="auto"/>
                <w:highlight w:val="none"/>
              </w:rPr>
            </w:pPr>
            <w:r>
              <w:rPr>
                <w:color w:val="auto"/>
                <w:spacing w:val="-2"/>
                <w:highlight w:val="none"/>
              </w:rPr>
              <w:t>高级职称人员</w:t>
            </w:r>
          </w:p>
        </w:tc>
        <w:tc>
          <w:tcPr>
            <w:tcW w:w="2073" w:type="dxa"/>
            <w:gridSpan w:val="2"/>
            <w:vAlign w:val="top"/>
          </w:tcPr>
          <w:p w14:paraId="5F5827F2">
            <w:pPr>
              <w:rPr>
                <w:rFonts w:ascii="Arial"/>
                <w:color w:val="auto"/>
                <w:sz w:val="21"/>
                <w:highlight w:val="none"/>
              </w:rPr>
            </w:pPr>
          </w:p>
        </w:tc>
      </w:tr>
      <w:tr w14:paraId="75D59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6F759388">
            <w:pPr>
              <w:pStyle w:val="11"/>
              <w:spacing w:before="182" w:line="222" w:lineRule="auto"/>
              <w:ind w:left="368"/>
              <w:rPr>
                <w:color w:val="auto"/>
                <w:highlight w:val="none"/>
              </w:rPr>
            </w:pPr>
            <w:r>
              <w:rPr>
                <w:color w:val="auto"/>
                <w:spacing w:val="-1"/>
                <w:highlight w:val="none"/>
              </w:rPr>
              <w:t>注册资金</w:t>
            </w:r>
          </w:p>
        </w:tc>
        <w:tc>
          <w:tcPr>
            <w:tcW w:w="1996" w:type="dxa"/>
            <w:gridSpan w:val="2"/>
            <w:vAlign w:val="top"/>
          </w:tcPr>
          <w:p w14:paraId="5D8BDCF4">
            <w:pPr>
              <w:rPr>
                <w:rFonts w:ascii="Arial"/>
                <w:color w:val="auto"/>
                <w:sz w:val="21"/>
                <w:highlight w:val="none"/>
              </w:rPr>
            </w:pPr>
          </w:p>
        </w:tc>
        <w:tc>
          <w:tcPr>
            <w:tcW w:w="1165" w:type="dxa"/>
            <w:vMerge w:val="continue"/>
            <w:tcBorders>
              <w:top w:val="nil"/>
              <w:bottom w:val="nil"/>
            </w:tcBorders>
            <w:vAlign w:val="top"/>
          </w:tcPr>
          <w:p w14:paraId="5CEBCC36">
            <w:pPr>
              <w:rPr>
                <w:rFonts w:ascii="Arial"/>
                <w:color w:val="auto"/>
                <w:sz w:val="21"/>
                <w:highlight w:val="none"/>
              </w:rPr>
            </w:pPr>
          </w:p>
        </w:tc>
        <w:tc>
          <w:tcPr>
            <w:tcW w:w="1517" w:type="dxa"/>
            <w:gridSpan w:val="2"/>
            <w:vAlign w:val="top"/>
          </w:tcPr>
          <w:p w14:paraId="6B60C0EA">
            <w:pPr>
              <w:pStyle w:val="11"/>
              <w:spacing w:before="182" w:line="221" w:lineRule="auto"/>
              <w:ind w:left="147"/>
              <w:rPr>
                <w:color w:val="auto"/>
                <w:highlight w:val="none"/>
              </w:rPr>
            </w:pPr>
            <w:r>
              <w:rPr>
                <w:color w:val="auto"/>
                <w:spacing w:val="-4"/>
                <w:highlight w:val="none"/>
              </w:rPr>
              <w:t>中级职称人员</w:t>
            </w:r>
          </w:p>
        </w:tc>
        <w:tc>
          <w:tcPr>
            <w:tcW w:w="2073" w:type="dxa"/>
            <w:gridSpan w:val="2"/>
            <w:vAlign w:val="top"/>
          </w:tcPr>
          <w:p w14:paraId="5343B35D">
            <w:pPr>
              <w:rPr>
                <w:rFonts w:ascii="Arial"/>
                <w:color w:val="auto"/>
                <w:sz w:val="21"/>
                <w:highlight w:val="none"/>
              </w:rPr>
            </w:pPr>
          </w:p>
        </w:tc>
      </w:tr>
      <w:tr w14:paraId="6B33F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560" w:type="dxa"/>
            <w:vAlign w:val="top"/>
          </w:tcPr>
          <w:p w14:paraId="4221DA4B">
            <w:pPr>
              <w:pStyle w:val="11"/>
              <w:spacing w:before="42" w:line="241" w:lineRule="auto"/>
              <w:ind w:left="368"/>
              <w:rPr>
                <w:color w:val="auto"/>
                <w:highlight w:val="none"/>
              </w:rPr>
            </w:pPr>
            <w:r>
              <w:rPr>
                <w:color w:val="auto"/>
                <w:spacing w:val="-1"/>
                <w:highlight w:val="none"/>
              </w:rPr>
              <w:t>基本账户</w:t>
            </w:r>
          </w:p>
          <w:p w14:paraId="21DF7516">
            <w:pPr>
              <w:pStyle w:val="11"/>
              <w:spacing w:line="219" w:lineRule="auto"/>
              <w:ind w:left="369"/>
              <w:rPr>
                <w:color w:val="auto"/>
                <w:highlight w:val="none"/>
              </w:rPr>
            </w:pPr>
            <w:r>
              <w:rPr>
                <w:color w:val="auto"/>
                <w:spacing w:val="-1"/>
                <w:highlight w:val="none"/>
              </w:rPr>
              <w:t>开户银行</w:t>
            </w:r>
          </w:p>
        </w:tc>
        <w:tc>
          <w:tcPr>
            <w:tcW w:w="1996" w:type="dxa"/>
            <w:gridSpan w:val="2"/>
            <w:vAlign w:val="top"/>
          </w:tcPr>
          <w:p w14:paraId="1A7DE756">
            <w:pPr>
              <w:rPr>
                <w:rFonts w:ascii="Arial"/>
                <w:color w:val="auto"/>
                <w:sz w:val="21"/>
                <w:highlight w:val="none"/>
              </w:rPr>
            </w:pPr>
          </w:p>
        </w:tc>
        <w:tc>
          <w:tcPr>
            <w:tcW w:w="1165" w:type="dxa"/>
            <w:vMerge w:val="continue"/>
            <w:tcBorders>
              <w:top w:val="nil"/>
              <w:bottom w:val="nil"/>
            </w:tcBorders>
            <w:vAlign w:val="top"/>
          </w:tcPr>
          <w:p w14:paraId="5F63CDB2">
            <w:pPr>
              <w:rPr>
                <w:rFonts w:ascii="Arial"/>
                <w:color w:val="auto"/>
                <w:sz w:val="21"/>
                <w:highlight w:val="none"/>
              </w:rPr>
            </w:pPr>
          </w:p>
        </w:tc>
        <w:tc>
          <w:tcPr>
            <w:tcW w:w="1517" w:type="dxa"/>
            <w:gridSpan w:val="2"/>
            <w:vAlign w:val="top"/>
          </w:tcPr>
          <w:p w14:paraId="371BA822">
            <w:pPr>
              <w:pStyle w:val="11"/>
              <w:spacing w:before="182" w:line="222" w:lineRule="auto"/>
              <w:ind w:left="126"/>
              <w:rPr>
                <w:color w:val="auto"/>
                <w:highlight w:val="none"/>
              </w:rPr>
            </w:pPr>
            <w:r>
              <w:rPr>
                <w:color w:val="auto"/>
                <w:spacing w:val="-1"/>
                <w:highlight w:val="none"/>
              </w:rPr>
              <w:t>初级职称人员</w:t>
            </w:r>
          </w:p>
        </w:tc>
        <w:tc>
          <w:tcPr>
            <w:tcW w:w="2073" w:type="dxa"/>
            <w:gridSpan w:val="2"/>
            <w:vAlign w:val="top"/>
          </w:tcPr>
          <w:p w14:paraId="2623F187">
            <w:pPr>
              <w:rPr>
                <w:rFonts w:ascii="Arial"/>
                <w:color w:val="auto"/>
                <w:sz w:val="21"/>
                <w:highlight w:val="none"/>
              </w:rPr>
            </w:pPr>
          </w:p>
        </w:tc>
      </w:tr>
      <w:tr w14:paraId="2878D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3F27A221">
            <w:pPr>
              <w:pStyle w:val="11"/>
              <w:spacing w:before="43" w:line="236" w:lineRule="auto"/>
              <w:ind w:left="368"/>
              <w:rPr>
                <w:color w:val="auto"/>
                <w:highlight w:val="none"/>
              </w:rPr>
            </w:pPr>
            <w:r>
              <w:rPr>
                <w:color w:val="auto"/>
                <w:spacing w:val="-1"/>
                <w:highlight w:val="none"/>
              </w:rPr>
              <w:t>基本账户</w:t>
            </w:r>
          </w:p>
          <w:p w14:paraId="5EC7E131">
            <w:pPr>
              <w:pStyle w:val="11"/>
              <w:spacing w:before="1" w:line="218" w:lineRule="auto"/>
              <w:ind w:left="583"/>
              <w:rPr>
                <w:color w:val="auto"/>
                <w:highlight w:val="none"/>
              </w:rPr>
            </w:pPr>
            <w:r>
              <w:rPr>
                <w:color w:val="auto"/>
                <w:spacing w:val="-3"/>
                <w:highlight w:val="none"/>
              </w:rPr>
              <w:t>账号</w:t>
            </w:r>
          </w:p>
        </w:tc>
        <w:tc>
          <w:tcPr>
            <w:tcW w:w="1996" w:type="dxa"/>
            <w:gridSpan w:val="2"/>
            <w:vAlign w:val="top"/>
          </w:tcPr>
          <w:p w14:paraId="32F0D9BA">
            <w:pPr>
              <w:rPr>
                <w:rFonts w:ascii="Arial"/>
                <w:color w:val="auto"/>
                <w:sz w:val="21"/>
                <w:highlight w:val="none"/>
              </w:rPr>
            </w:pPr>
          </w:p>
        </w:tc>
        <w:tc>
          <w:tcPr>
            <w:tcW w:w="1165" w:type="dxa"/>
            <w:vMerge w:val="continue"/>
            <w:tcBorders>
              <w:top w:val="nil"/>
            </w:tcBorders>
            <w:vAlign w:val="top"/>
          </w:tcPr>
          <w:p w14:paraId="04607BBC">
            <w:pPr>
              <w:rPr>
                <w:rFonts w:ascii="Arial"/>
                <w:color w:val="auto"/>
                <w:sz w:val="21"/>
                <w:highlight w:val="none"/>
              </w:rPr>
            </w:pPr>
          </w:p>
        </w:tc>
        <w:tc>
          <w:tcPr>
            <w:tcW w:w="1517" w:type="dxa"/>
            <w:gridSpan w:val="2"/>
            <w:vAlign w:val="top"/>
          </w:tcPr>
          <w:p w14:paraId="2F453A93">
            <w:pPr>
              <w:pStyle w:val="11"/>
              <w:spacing w:before="177" w:line="222" w:lineRule="auto"/>
              <w:ind w:left="445"/>
              <w:rPr>
                <w:color w:val="auto"/>
                <w:highlight w:val="none"/>
              </w:rPr>
            </w:pPr>
            <w:r>
              <w:rPr>
                <w:color w:val="auto"/>
                <w:spacing w:val="-4"/>
                <w:highlight w:val="none"/>
              </w:rPr>
              <w:t>技</w:t>
            </w:r>
            <w:r>
              <w:rPr>
                <w:color w:val="auto"/>
                <w:spacing w:val="5"/>
                <w:highlight w:val="none"/>
              </w:rPr>
              <w:t xml:space="preserve">  </w:t>
            </w:r>
            <w:r>
              <w:rPr>
                <w:color w:val="auto"/>
                <w:spacing w:val="-4"/>
                <w:highlight w:val="none"/>
              </w:rPr>
              <w:t>工</w:t>
            </w:r>
          </w:p>
        </w:tc>
        <w:tc>
          <w:tcPr>
            <w:tcW w:w="2073" w:type="dxa"/>
            <w:gridSpan w:val="2"/>
            <w:vAlign w:val="top"/>
          </w:tcPr>
          <w:p w14:paraId="1F148EAC">
            <w:pPr>
              <w:rPr>
                <w:rFonts w:ascii="Arial"/>
                <w:color w:val="auto"/>
                <w:sz w:val="21"/>
                <w:highlight w:val="none"/>
              </w:rPr>
            </w:pPr>
          </w:p>
        </w:tc>
      </w:tr>
      <w:tr w14:paraId="5675A7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4" w:hRule="atLeast"/>
        </w:trPr>
        <w:tc>
          <w:tcPr>
            <w:tcW w:w="1560" w:type="dxa"/>
            <w:vAlign w:val="top"/>
          </w:tcPr>
          <w:p w14:paraId="00AA6864">
            <w:pPr>
              <w:spacing w:line="273" w:lineRule="auto"/>
              <w:rPr>
                <w:rFonts w:ascii="Arial"/>
                <w:color w:val="auto"/>
                <w:sz w:val="21"/>
                <w:highlight w:val="none"/>
              </w:rPr>
            </w:pPr>
          </w:p>
          <w:p w14:paraId="27C01FAC">
            <w:pPr>
              <w:spacing w:line="274" w:lineRule="auto"/>
              <w:rPr>
                <w:rFonts w:ascii="Arial"/>
                <w:color w:val="auto"/>
                <w:sz w:val="21"/>
                <w:highlight w:val="none"/>
              </w:rPr>
            </w:pPr>
          </w:p>
          <w:p w14:paraId="37634F01">
            <w:pPr>
              <w:pStyle w:val="11"/>
              <w:spacing w:before="69" w:line="221" w:lineRule="auto"/>
              <w:ind w:left="370"/>
              <w:rPr>
                <w:color w:val="auto"/>
                <w:highlight w:val="none"/>
              </w:rPr>
            </w:pPr>
            <w:r>
              <w:rPr>
                <w:color w:val="auto"/>
                <w:spacing w:val="-1"/>
                <w:highlight w:val="none"/>
              </w:rPr>
              <w:t>经营范围</w:t>
            </w:r>
          </w:p>
        </w:tc>
        <w:tc>
          <w:tcPr>
            <w:tcW w:w="6751" w:type="dxa"/>
            <w:gridSpan w:val="7"/>
            <w:vAlign w:val="top"/>
          </w:tcPr>
          <w:p w14:paraId="4057FF4A">
            <w:pPr>
              <w:rPr>
                <w:rFonts w:ascii="Arial"/>
                <w:color w:val="auto"/>
                <w:sz w:val="21"/>
                <w:highlight w:val="none"/>
              </w:rPr>
            </w:pPr>
          </w:p>
        </w:tc>
      </w:tr>
      <w:tr w14:paraId="6537D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Align w:val="top"/>
          </w:tcPr>
          <w:p w14:paraId="3854EB09">
            <w:pPr>
              <w:pStyle w:val="11"/>
              <w:spacing w:before="178" w:line="222" w:lineRule="auto"/>
              <w:ind w:left="582"/>
              <w:rPr>
                <w:color w:val="auto"/>
                <w:highlight w:val="none"/>
              </w:rPr>
            </w:pPr>
            <w:r>
              <w:rPr>
                <w:color w:val="auto"/>
                <w:spacing w:val="-3"/>
                <w:highlight w:val="none"/>
              </w:rPr>
              <w:t>备注</w:t>
            </w:r>
          </w:p>
        </w:tc>
        <w:tc>
          <w:tcPr>
            <w:tcW w:w="6751" w:type="dxa"/>
            <w:gridSpan w:val="7"/>
            <w:vAlign w:val="top"/>
          </w:tcPr>
          <w:p w14:paraId="3D751A19">
            <w:pPr>
              <w:rPr>
                <w:rFonts w:ascii="Arial"/>
                <w:color w:val="auto"/>
                <w:sz w:val="21"/>
                <w:highlight w:val="none"/>
              </w:rPr>
            </w:pPr>
          </w:p>
        </w:tc>
      </w:tr>
    </w:tbl>
    <w:p w14:paraId="04DFD3AB">
      <w:pPr>
        <w:spacing w:before="155" w:line="403" w:lineRule="exact"/>
        <w:ind w:left="20"/>
        <w:rPr>
          <w:rFonts w:ascii="宋体" w:hAnsi="宋体" w:eastAsia="宋体" w:cs="宋体"/>
          <w:color w:val="auto"/>
          <w:sz w:val="21"/>
          <w:szCs w:val="21"/>
          <w:highlight w:val="none"/>
        </w:rPr>
      </w:pPr>
      <w:r>
        <w:rPr>
          <w:rFonts w:ascii="宋体" w:hAnsi="宋体" w:eastAsia="宋体" w:cs="宋体"/>
          <w:color w:val="auto"/>
          <w:spacing w:val="-3"/>
          <w:position w:val="14"/>
          <w:sz w:val="21"/>
          <w:szCs w:val="21"/>
          <w:highlight w:val="none"/>
        </w:rPr>
        <w:t>备注： 1.本表后应附营业执照、企业资质证书、安全生产许可证、基本账户开户许可证</w:t>
      </w:r>
    </w:p>
    <w:p w14:paraId="79D45A34">
      <w:pPr>
        <w:spacing w:before="1" w:line="219" w:lineRule="auto"/>
        <w:ind w:left="86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（基本存款账户信息）、质量、环境、职业健康安全管理体系认证证书等材料。</w:t>
      </w:r>
    </w:p>
    <w:p w14:paraId="50E34713">
      <w:pPr>
        <w:spacing w:before="149" w:line="221" w:lineRule="auto"/>
        <w:ind w:left="643"/>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2.</w:t>
      </w:r>
      <w:r>
        <w:rPr>
          <w:rFonts w:ascii="宋体" w:hAnsi="宋体" w:eastAsia="宋体" w:cs="宋体"/>
          <w:color w:val="auto"/>
          <w:spacing w:val="-1"/>
          <w:sz w:val="21"/>
          <w:szCs w:val="21"/>
          <w:highlight w:val="none"/>
        </w:rPr>
        <w:t>联合体投标的，联合体各成员应分别填写。</w:t>
      </w:r>
    </w:p>
    <w:p w14:paraId="5501D770">
      <w:pPr>
        <w:spacing w:line="221" w:lineRule="auto"/>
        <w:rPr>
          <w:rFonts w:ascii="宋体" w:hAnsi="宋体" w:eastAsia="宋体" w:cs="宋体"/>
          <w:color w:val="auto"/>
          <w:sz w:val="21"/>
          <w:szCs w:val="21"/>
          <w:highlight w:val="none"/>
        </w:rPr>
        <w:sectPr>
          <w:footerReference r:id="rId227" w:type="default"/>
          <w:pgSz w:w="11905" w:h="16839"/>
          <w:pgMar w:top="400" w:right="1785" w:bottom="1004" w:left="1785" w:header="0" w:footer="828" w:gutter="0"/>
          <w:pgNumType w:fmt="decimal"/>
          <w:cols w:space="720" w:num="1"/>
        </w:sectPr>
      </w:pPr>
    </w:p>
    <w:p w14:paraId="2AF5D39C">
      <w:pPr>
        <w:pStyle w:val="3"/>
        <w:spacing w:line="267" w:lineRule="auto"/>
        <w:rPr>
          <w:color w:val="auto"/>
          <w:highlight w:val="none"/>
        </w:rPr>
      </w:pPr>
    </w:p>
    <w:p w14:paraId="68B797C6">
      <w:pPr>
        <w:pStyle w:val="3"/>
        <w:spacing w:line="268" w:lineRule="auto"/>
        <w:rPr>
          <w:color w:val="auto"/>
          <w:highlight w:val="none"/>
        </w:rPr>
      </w:pPr>
    </w:p>
    <w:p w14:paraId="11E184AB">
      <w:pPr>
        <w:pStyle w:val="3"/>
        <w:spacing w:line="268" w:lineRule="auto"/>
        <w:rPr>
          <w:color w:val="auto"/>
          <w:highlight w:val="none"/>
        </w:rPr>
      </w:pPr>
    </w:p>
    <w:p w14:paraId="393369C4">
      <w:pPr>
        <w:pStyle w:val="3"/>
        <w:spacing w:line="268" w:lineRule="auto"/>
        <w:rPr>
          <w:color w:val="auto"/>
          <w:highlight w:val="none"/>
        </w:rPr>
      </w:pPr>
    </w:p>
    <w:p w14:paraId="37D7044E">
      <w:pPr>
        <w:spacing w:before="78" w:line="218" w:lineRule="auto"/>
        <w:ind w:left="3226"/>
        <w:rPr>
          <w:rFonts w:ascii="黑体" w:hAnsi="黑体" w:eastAsia="黑体" w:cs="黑体"/>
          <w:color w:val="auto"/>
          <w:sz w:val="24"/>
          <w:szCs w:val="24"/>
          <w:highlight w:val="none"/>
        </w:rPr>
      </w:pPr>
      <w:bookmarkStart w:id="1343" w:name="bookmark316"/>
      <w:bookmarkEnd w:id="1343"/>
      <w:r>
        <w:rPr>
          <w:rFonts w:ascii="Times New Roman" w:hAnsi="Times New Roman" w:eastAsia="Times New Roman" w:cs="Times New Roman"/>
          <w:color w:val="auto"/>
          <w:spacing w:val="-4"/>
          <w:sz w:val="24"/>
          <w:szCs w:val="24"/>
          <w:highlight w:val="none"/>
        </w:rPr>
        <w:t xml:space="preserve">1-2 </w:t>
      </w:r>
      <w:r>
        <w:rPr>
          <w:rFonts w:ascii="黑体" w:hAnsi="黑体" w:eastAsia="黑体" w:cs="黑体"/>
          <w:color w:val="auto"/>
          <w:spacing w:val="-4"/>
          <w:sz w:val="24"/>
          <w:szCs w:val="24"/>
          <w:highlight w:val="none"/>
        </w:rPr>
        <w:t>关联单位情况说明</w:t>
      </w:r>
    </w:p>
    <w:p w14:paraId="1011F495">
      <w:pPr>
        <w:spacing w:before="2"/>
        <w:rPr>
          <w:color w:val="auto"/>
          <w:highlight w:val="none"/>
        </w:rPr>
      </w:pPr>
    </w:p>
    <w:tbl>
      <w:tblPr>
        <w:tblStyle w:val="10"/>
        <w:tblW w:w="869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691"/>
      </w:tblGrid>
      <w:tr w14:paraId="5B9DB3A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8411" w:hRule="atLeast"/>
        </w:trPr>
        <w:tc>
          <w:tcPr>
            <w:tcW w:w="8691" w:type="dxa"/>
            <w:vAlign w:val="top"/>
          </w:tcPr>
          <w:p w14:paraId="021B9E4E">
            <w:pPr>
              <w:spacing w:line="319" w:lineRule="auto"/>
              <w:rPr>
                <w:rFonts w:ascii="Arial"/>
                <w:color w:val="auto"/>
                <w:sz w:val="21"/>
                <w:highlight w:val="none"/>
              </w:rPr>
            </w:pPr>
          </w:p>
          <w:p w14:paraId="45EB0B39">
            <w:pPr>
              <w:pStyle w:val="11"/>
              <w:spacing w:before="69" w:line="220" w:lineRule="auto"/>
              <w:ind w:left="14"/>
              <w:rPr>
                <w:color w:val="auto"/>
                <w:highlight w:val="none"/>
              </w:rPr>
            </w:pPr>
            <w:r>
              <w:rPr>
                <w:color w:val="auto"/>
                <w:spacing w:val="-2"/>
                <w:highlight w:val="none"/>
              </w:rPr>
              <w:t>单位负责人与本单位负责人为同一人的单位：</w:t>
            </w:r>
          </w:p>
          <w:p w14:paraId="3BF64E84">
            <w:pPr>
              <w:spacing w:line="263" w:lineRule="auto"/>
              <w:rPr>
                <w:rFonts w:ascii="Arial"/>
                <w:color w:val="auto"/>
                <w:sz w:val="21"/>
                <w:highlight w:val="none"/>
              </w:rPr>
            </w:pPr>
          </w:p>
          <w:p w14:paraId="4C5E98E7">
            <w:pPr>
              <w:spacing w:line="263" w:lineRule="auto"/>
              <w:rPr>
                <w:rFonts w:ascii="Arial"/>
                <w:color w:val="auto"/>
                <w:sz w:val="21"/>
                <w:highlight w:val="none"/>
              </w:rPr>
            </w:pPr>
          </w:p>
          <w:p w14:paraId="149EBA63">
            <w:pPr>
              <w:spacing w:line="264" w:lineRule="auto"/>
              <w:rPr>
                <w:rFonts w:ascii="Arial"/>
                <w:color w:val="auto"/>
                <w:sz w:val="21"/>
                <w:highlight w:val="none"/>
              </w:rPr>
            </w:pPr>
          </w:p>
          <w:p w14:paraId="3F3CE826">
            <w:pPr>
              <w:spacing w:line="264" w:lineRule="auto"/>
              <w:rPr>
                <w:rFonts w:ascii="Arial"/>
                <w:color w:val="auto"/>
                <w:sz w:val="21"/>
                <w:highlight w:val="none"/>
              </w:rPr>
            </w:pPr>
          </w:p>
          <w:p w14:paraId="3C3DF54E">
            <w:pPr>
              <w:spacing w:line="264" w:lineRule="auto"/>
              <w:rPr>
                <w:rFonts w:ascii="Arial"/>
                <w:color w:val="auto"/>
                <w:sz w:val="21"/>
                <w:highlight w:val="none"/>
              </w:rPr>
            </w:pPr>
          </w:p>
          <w:p w14:paraId="77EB118F">
            <w:pPr>
              <w:spacing w:line="264" w:lineRule="auto"/>
              <w:rPr>
                <w:rFonts w:ascii="Arial"/>
                <w:color w:val="auto"/>
                <w:sz w:val="21"/>
                <w:highlight w:val="none"/>
              </w:rPr>
            </w:pPr>
          </w:p>
          <w:p w14:paraId="72B9A3FA">
            <w:pPr>
              <w:pStyle w:val="11"/>
              <w:spacing w:before="68" w:line="220" w:lineRule="auto"/>
              <w:ind w:left="17"/>
              <w:rPr>
                <w:color w:val="auto"/>
                <w:highlight w:val="none"/>
              </w:rPr>
            </w:pPr>
            <w:r>
              <w:rPr>
                <w:color w:val="auto"/>
                <w:spacing w:val="-1"/>
                <w:highlight w:val="none"/>
              </w:rPr>
              <w:t>与本单位存在控股与被控股关系的单位：</w:t>
            </w:r>
          </w:p>
          <w:p w14:paraId="3FAE624C">
            <w:pPr>
              <w:spacing w:line="265" w:lineRule="auto"/>
              <w:rPr>
                <w:rFonts w:ascii="Arial"/>
                <w:color w:val="auto"/>
                <w:sz w:val="21"/>
                <w:highlight w:val="none"/>
              </w:rPr>
            </w:pPr>
          </w:p>
          <w:p w14:paraId="120425D8">
            <w:pPr>
              <w:spacing w:line="265" w:lineRule="auto"/>
              <w:rPr>
                <w:rFonts w:ascii="Arial"/>
                <w:color w:val="auto"/>
                <w:sz w:val="21"/>
                <w:highlight w:val="none"/>
              </w:rPr>
            </w:pPr>
          </w:p>
          <w:p w14:paraId="64EFBF30">
            <w:pPr>
              <w:spacing w:line="265" w:lineRule="auto"/>
              <w:rPr>
                <w:rFonts w:ascii="Arial"/>
                <w:color w:val="auto"/>
                <w:sz w:val="21"/>
                <w:highlight w:val="none"/>
              </w:rPr>
            </w:pPr>
          </w:p>
          <w:p w14:paraId="20A02FFB">
            <w:pPr>
              <w:spacing w:line="265" w:lineRule="auto"/>
              <w:rPr>
                <w:rFonts w:ascii="Arial"/>
                <w:color w:val="auto"/>
                <w:sz w:val="21"/>
                <w:highlight w:val="none"/>
              </w:rPr>
            </w:pPr>
          </w:p>
          <w:p w14:paraId="05D5DBA2">
            <w:pPr>
              <w:spacing w:line="265" w:lineRule="auto"/>
              <w:rPr>
                <w:rFonts w:ascii="Arial"/>
                <w:color w:val="auto"/>
                <w:sz w:val="21"/>
                <w:highlight w:val="none"/>
              </w:rPr>
            </w:pPr>
          </w:p>
          <w:p w14:paraId="61DB87C3">
            <w:pPr>
              <w:spacing w:line="265" w:lineRule="auto"/>
              <w:rPr>
                <w:rFonts w:ascii="Arial"/>
                <w:color w:val="auto"/>
                <w:sz w:val="21"/>
                <w:highlight w:val="none"/>
              </w:rPr>
            </w:pPr>
          </w:p>
          <w:p w14:paraId="16E117EC">
            <w:pPr>
              <w:spacing w:line="266" w:lineRule="auto"/>
              <w:rPr>
                <w:rFonts w:ascii="Arial"/>
                <w:color w:val="auto"/>
                <w:sz w:val="21"/>
                <w:highlight w:val="none"/>
              </w:rPr>
            </w:pPr>
          </w:p>
          <w:p w14:paraId="025277FF">
            <w:pPr>
              <w:spacing w:line="266" w:lineRule="auto"/>
              <w:rPr>
                <w:rFonts w:ascii="Arial"/>
                <w:color w:val="auto"/>
                <w:sz w:val="21"/>
                <w:highlight w:val="none"/>
              </w:rPr>
            </w:pPr>
          </w:p>
          <w:p w14:paraId="0EDFE097">
            <w:pPr>
              <w:spacing w:line="266" w:lineRule="auto"/>
              <w:rPr>
                <w:rFonts w:ascii="Arial"/>
                <w:color w:val="auto"/>
                <w:sz w:val="21"/>
                <w:highlight w:val="none"/>
              </w:rPr>
            </w:pPr>
          </w:p>
          <w:p w14:paraId="6D591B3F">
            <w:pPr>
              <w:pStyle w:val="11"/>
              <w:spacing w:before="69" w:line="220" w:lineRule="auto"/>
              <w:ind w:left="17"/>
              <w:rPr>
                <w:color w:val="auto"/>
                <w:highlight w:val="none"/>
              </w:rPr>
            </w:pPr>
            <w:r>
              <w:rPr>
                <w:color w:val="auto"/>
                <w:spacing w:val="-1"/>
                <w:highlight w:val="none"/>
              </w:rPr>
              <w:t>与本单位存在管理与被管理关系的单位：</w:t>
            </w:r>
          </w:p>
        </w:tc>
      </w:tr>
    </w:tbl>
    <w:p w14:paraId="629F00F8">
      <w:pPr>
        <w:spacing w:before="29" w:line="229" w:lineRule="auto"/>
        <w:ind w:left="826" w:right="452" w:hanging="629"/>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备注： 1.投标人应当如实披露相关关联单位的情况。没有相关关联单位的明确填</w:t>
      </w:r>
      <w:r>
        <w:rPr>
          <w:rFonts w:ascii="宋体" w:hAnsi="宋体" w:eastAsia="宋体" w:cs="宋体"/>
          <w:color w:val="auto"/>
          <w:spacing w:val="-7"/>
          <w:sz w:val="21"/>
          <w:szCs w:val="21"/>
          <w:highlight w:val="none"/>
        </w:rPr>
        <w:t>“无”。</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2.联合体投标的，联合体各成员应分别填写。</w:t>
      </w:r>
    </w:p>
    <w:p w14:paraId="2205BEC1">
      <w:pPr>
        <w:spacing w:line="229" w:lineRule="auto"/>
        <w:rPr>
          <w:rFonts w:ascii="宋体" w:hAnsi="宋体" w:eastAsia="宋体" w:cs="宋体"/>
          <w:color w:val="auto"/>
          <w:sz w:val="21"/>
          <w:szCs w:val="21"/>
          <w:highlight w:val="none"/>
        </w:rPr>
        <w:sectPr>
          <w:footerReference r:id="rId228" w:type="default"/>
          <w:pgSz w:w="11905" w:h="16839"/>
          <w:pgMar w:top="400" w:right="1599" w:bottom="1004" w:left="1608" w:header="0" w:footer="828" w:gutter="0"/>
          <w:pgNumType w:fmt="decimal"/>
          <w:cols w:space="720" w:num="1"/>
        </w:sectPr>
      </w:pPr>
    </w:p>
    <w:p w14:paraId="1D6E29A5">
      <w:pPr>
        <w:pStyle w:val="3"/>
        <w:spacing w:line="267" w:lineRule="auto"/>
        <w:rPr>
          <w:color w:val="auto"/>
          <w:highlight w:val="none"/>
        </w:rPr>
      </w:pPr>
    </w:p>
    <w:p w14:paraId="153CCFBB">
      <w:pPr>
        <w:pStyle w:val="3"/>
        <w:spacing w:line="267" w:lineRule="auto"/>
        <w:rPr>
          <w:color w:val="auto"/>
          <w:highlight w:val="none"/>
        </w:rPr>
      </w:pPr>
    </w:p>
    <w:p w14:paraId="42626D88">
      <w:pPr>
        <w:pStyle w:val="3"/>
        <w:spacing w:line="268" w:lineRule="auto"/>
        <w:rPr>
          <w:color w:val="auto"/>
          <w:highlight w:val="none"/>
        </w:rPr>
      </w:pPr>
    </w:p>
    <w:p w14:paraId="29344C53">
      <w:pPr>
        <w:pStyle w:val="3"/>
        <w:spacing w:line="268" w:lineRule="auto"/>
        <w:rPr>
          <w:color w:val="auto"/>
          <w:highlight w:val="none"/>
        </w:rPr>
      </w:pPr>
    </w:p>
    <w:p w14:paraId="200DF9F4">
      <w:pPr>
        <w:spacing w:before="78" w:line="220" w:lineRule="auto"/>
        <w:ind w:left="2689"/>
        <w:rPr>
          <w:rFonts w:ascii="黑体" w:hAnsi="黑体" w:eastAsia="黑体" w:cs="黑体"/>
          <w:color w:val="auto"/>
          <w:sz w:val="24"/>
          <w:szCs w:val="24"/>
          <w:highlight w:val="none"/>
        </w:rPr>
      </w:pPr>
      <w:bookmarkStart w:id="1344" w:name="bookmark317"/>
      <w:bookmarkEnd w:id="1344"/>
      <w:r>
        <w:rPr>
          <w:rFonts w:ascii="Times New Roman" w:hAnsi="Times New Roman" w:eastAsia="Times New Roman" w:cs="Times New Roman"/>
          <w:color w:val="auto"/>
          <w:spacing w:val="-3"/>
          <w:sz w:val="24"/>
          <w:szCs w:val="24"/>
          <w:highlight w:val="none"/>
        </w:rPr>
        <w:t xml:space="preserve">1-3 </w:t>
      </w:r>
      <w:r>
        <w:rPr>
          <w:rFonts w:ascii="黑体" w:hAnsi="黑体" w:eastAsia="黑体" w:cs="黑体"/>
          <w:color w:val="auto"/>
          <w:spacing w:val="-3"/>
          <w:sz w:val="24"/>
          <w:szCs w:val="24"/>
          <w:highlight w:val="none"/>
        </w:rPr>
        <w:t>企业在辽基本信息登记单</w:t>
      </w:r>
    </w:p>
    <w:p w14:paraId="6DB1BB4B">
      <w:pPr>
        <w:spacing w:before="29"/>
        <w:rPr>
          <w:color w:val="auto"/>
          <w:highlight w:val="none"/>
        </w:rPr>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2"/>
        <w:gridCol w:w="2064"/>
        <w:gridCol w:w="2083"/>
        <w:gridCol w:w="2072"/>
      </w:tblGrid>
      <w:tr w14:paraId="2E537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2092" w:type="dxa"/>
            <w:vAlign w:val="top"/>
          </w:tcPr>
          <w:p w14:paraId="042902F5">
            <w:pPr>
              <w:pStyle w:val="11"/>
              <w:spacing w:before="250" w:line="221" w:lineRule="auto"/>
              <w:ind w:left="634"/>
              <w:rPr>
                <w:color w:val="auto"/>
                <w:highlight w:val="none"/>
              </w:rPr>
            </w:pPr>
            <w:r>
              <w:rPr>
                <w:color w:val="auto"/>
                <w:spacing w:val="-1"/>
                <w:highlight w:val="none"/>
              </w:rPr>
              <w:t>单位名称</w:t>
            </w:r>
          </w:p>
        </w:tc>
        <w:tc>
          <w:tcPr>
            <w:tcW w:w="6219" w:type="dxa"/>
            <w:gridSpan w:val="3"/>
            <w:vAlign w:val="top"/>
          </w:tcPr>
          <w:p w14:paraId="2F4B60F0">
            <w:pPr>
              <w:rPr>
                <w:rFonts w:ascii="Arial"/>
                <w:color w:val="auto"/>
                <w:sz w:val="21"/>
                <w:highlight w:val="none"/>
              </w:rPr>
            </w:pPr>
          </w:p>
        </w:tc>
      </w:tr>
      <w:tr w14:paraId="35249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2092" w:type="dxa"/>
            <w:vAlign w:val="top"/>
          </w:tcPr>
          <w:p w14:paraId="40FB06CF">
            <w:pPr>
              <w:pStyle w:val="11"/>
              <w:spacing w:before="240" w:line="221" w:lineRule="auto"/>
              <w:ind w:left="321"/>
              <w:rPr>
                <w:color w:val="auto"/>
                <w:highlight w:val="none"/>
              </w:rPr>
            </w:pPr>
            <w:r>
              <w:rPr>
                <w:color w:val="auto"/>
                <w:spacing w:val="-1"/>
                <w:highlight w:val="none"/>
              </w:rPr>
              <w:t>法定代表人姓名</w:t>
            </w:r>
          </w:p>
        </w:tc>
        <w:tc>
          <w:tcPr>
            <w:tcW w:w="2064" w:type="dxa"/>
            <w:vAlign w:val="top"/>
          </w:tcPr>
          <w:p w14:paraId="44EA571B">
            <w:pPr>
              <w:rPr>
                <w:rFonts w:ascii="Arial"/>
                <w:color w:val="auto"/>
                <w:sz w:val="21"/>
                <w:highlight w:val="none"/>
              </w:rPr>
            </w:pPr>
          </w:p>
        </w:tc>
        <w:tc>
          <w:tcPr>
            <w:tcW w:w="2083" w:type="dxa"/>
            <w:vAlign w:val="top"/>
          </w:tcPr>
          <w:p w14:paraId="4BBA7705">
            <w:pPr>
              <w:pStyle w:val="11"/>
              <w:spacing w:before="241" w:line="221" w:lineRule="auto"/>
              <w:ind w:left="530"/>
              <w:rPr>
                <w:color w:val="auto"/>
                <w:highlight w:val="none"/>
              </w:rPr>
            </w:pPr>
            <w:r>
              <w:rPr>
                <w:color w:val="auto"/>
                <w:spacing w:val="-2"/>
                <w:highlight w:val="none"/>
              </w:rPr>
              <w:t>公司所在地</w:t>
            </w:r>
          </w:p>
        </w:tc>
        <w:tc>
          <w:tcPr>
            <w:tcW w:w="2072" w:type="dxa"/>
            <w:vAlign w:val="top"/>
          </w:tcPr>
          <w:p w14:paraId="7AD621FC">
            <w:pPr>
              <w:rPr>
                <w:rFonts w:ascii="Arial"/>
                <w:color w:val="auto"/>
                <w:sz w:val="21"/>
                <w:highlight w:val="none"/>
              </w:rPr>
            </w:pPr>
          </w:p>
        </w:tc>
      </w:tr>
      <w:tr w14:paraId="0EFC4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2092" w:type="dxa"/>
            <w:vAlign w:val="top"/>
          </w:tcPr>
          <w:p w14:paraId="2DCCA065">
            <w:pPr>
              <w:pStyle w:val="11"/>
              <w:spacing w:before="236" w:line="221" w:lineRule="auto"/>
              <w:ind w:left="219"/>
              <w:rPr>
                <w:color w:val="auto"/>
                <w:highlight w:val="none"/>
              </w:rPr>
            </w:pPr>
            <w:r>
              <w:rPr>
                <w:color w:val="auto"/>
                <w:spacing w:val="-1"/>
                <w:highlight w:val="none"/>
              </w:rPr>
              <w:t>安全生产许可证号</w:t>
            </w:r>
          </w:p>
        </w:tc>
        <w:tc>
          <w:tcPr>
            <w:tcW w:w="6219" w:type="dxa"/>
            <w:gridSpan w:val="3"/>
            <w:vAlign w:val="top"/>
          </w:tcPr>
          <w:p w14:paraId="43300828">
            <w:pPr>
              <w:rPr>
                <w:rFonts w:ascii="Arial"/>
                <w:color w:val="auto"/>
                <w:sz w:val="21"/>
                <w:highlight w:val="none"/>
              </w:rPr>
            </w:pPr>
          </w:p>
        </w:tc>
      </w:tr>
      <w:tr w14:paraId="65FFF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2092" w:type="dxa"/>
            <w:vAlign w:val="top"/>
          </w:tcPr>
          <w:p w14:paraId="314B56B0">
            <w:pPr>
              <w:pStyle w:val="11"/>
              <w:spacing w:before="242" w:line="220" w:lineRule="auto"/>
              <w:ind w:left="536"/>
              <w:rPr>
                <w:color w:val="auto"/>
                <w:highlight w:val="none"/>
              </w:rPr>
            </w:pPr>
            <w:r>
              <w:rPr>
                <w:color w:val="auto"/>
                <w:spacing w:val="-2"/>
                <w:highlight w:val="none"/>
              </w:rPr>
              <w:t>资质证书号</w:t>
            </w:r>
          </w:p>
        </w:tc>
        <w:tc>
          <w:tcPr>
            <w:tcW w:w="6219" w:type="dxa"/>
            <w:gridSpan w:val="3"/>
            <w:vAlign w:val="top"/>
          </w:tcPr>
          <w:p w14:paraId="20D2CD1D">
            <w:pPr>
              <w:pStyle w:val="11"/>
              <w:spacing w:before="242" w:line="221" w:lineRule="auto"/>
              <w:ind w:left="2391"/>
              <w:rPr>
                <w:color w:val="auto"/>
                <w:highlight w:val="none"/>
              </w:rPr>
            </w:pPr>
            <w:r>
              <w:rPr>
                <w:color w:val="auto"/>
                <w:spacing w:val="-2"/>
                <w:highlight w:val="none"/>
              </w:rPr>
              <w:t>资质类别及等级</w:t>
            </w:r>
          </w:p>
        </w:tc>
      </w:tr>
      <w:tr w14:paraId="49CCF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2092" w:type="dxa"/>
            <w:vAlign w:val="top"/>
          </w:tcPr>
          <w:p w14:paraId="37E61FAB">
            <w:pPr>
              <w:pStyle w:val="11"/>
              <w:spacing w:before="242" w:line="332" w:lineRule="exact"/>
              <w:ind w:left="962"/>
              <w:rPr>
                <w:color w:val="auto"/>
                <w:highlight w:val="none"/>
              </w:rPr>
            </w:pPr>
            <w:r>
              <w:rPr>
                <w:color w:val="auto"/>
                <w:position w:val="2"/>
                <w:highlight w:val="none"/>
              </w:rPr>
              <w:t>…</w:t>
            </w:r>
          </w:p>
        </w:tc>
        <w:tc>
          <w:tcPr>
            <w:tcW w:w="6219" w:type="dxa"/>
            <w:gridSpan w:val="3"/>
            <w:vAlign w:val="top"/>
          </w:tcPr>
          <w:p w14:paraId="489A6EA3">
            <w:pPr>
              <w:rPr>
                <w:rFonts w:ascii="Arial"/>
                <w:color w:val="auto"/>
                <w:sz w:val="21"/>
                <w:highlight w:val="none"/>
              </w:rPr>
            </w:pPr>
          </w:p>
        </w:tc>
      </w:tr>
      <w:tr w14:paraId="364B0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trPr>
        <w:tc>
          <w:tcPr>
            <w:tcW w:w="2092" w:type="dxa"/>
            <w:vAlign w:val="top"/>
          </w:tcPr>
          <w:p w14:paraId="55D51336">
            <w:pPr>
              <w:pStyle w:val="11"/>
              <w:spacing w:before="243" w:line="332" w:lineRule="exact"/>
              <w:ind w:left="962"/>
              <w:rPr>
                <w:color w:val="auto"/>
                <w:highlight w:val="none"/>
              </w:rPr>
            </w:pPr>
            <w:r>
              <w:rPr>
                <w:color w:val="auto"/>
                <w:position w:val="2"/>
                <w:highlight w:val="none"/>
              </w:rPr>
              <w:t>…</w:t>
            </w:r>
          </w:p>
        </w:tc>
        <w:tc>
          <w:tcPr>
            <w:tcW w:w="6219" w:type="dxa"/>
            <w:gridSpan w:val="3"/>
            <w:vAlign w:val="top"/>
          </w:tcPr>
          <w:p w14:paraId="68356E27">
            <w:pPr>
              <w:rPr>
                <w:rFonts w:ascii="Arial"/>
                <w:color w:val="auto"/>
                <w:sz w:val="21"/>
                <w:highlight w:val="none"/>
              </w:rPr>
            </w:pPr>
          </w:p>
        </w:tc>
      </w:tr>
      <w:tr w14:paraId="11599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2092" w:type="dxa"/>
            <w:vAlign w:val="top"/>
          </w:tcPr>
          <w:p w14:paraId="14447595">
            <w:pPr>
              <w:pStyle w:val="11"/>
              <w:spacing w:before="238" w:line="333" w:lineRule="exact"/>
              <w:ind w:left="962"/>
              <w:rPr>
                <w:color w:val="auto"/>
                <w:highlight w:val="none"/>
              </w:rPr>
            </w:pPr>
            <w:r>
              <w:rPr>
                <w:color w:val="auto"/>
                <w:position w:val="2"/>
                <w:highlight w:val="none"/>
              </w:rPr>
              <w:t>…</w:t>
            </w:r>
          </w:p>
        </w:tc>
        <w:tc>
          <w:tcPr>
            <w:tcW w:w="6219" w:type="dxa"/>
            <w:gridSpan w:val="3"/>
            <w:vAlign w:val="top"/>
          </w:tcPr>
          <w:p w14:paraId="00B96483">
            <w:pPr>
              <w:rPr>
                <w:rFonts w:ascii="Arial"/>
                <w:color w:val="auto"/>
                <w:sz w:val="21"/>
                <w:highlight w:val="none"/>
              </w:rPr>
            </w:pPr>
          </w:p>
        </w:tc>
      </w:tr>
      <w:tr w14:paraId="45EEA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2092" w:type="dxa"/>
            <w:vAlign w:val="top"/>
          </w:tcPr>
          <w:p w14:paraId="3D6BB24F">
            <w:pPr>
              <w:pStyle w:val="11"/>
              <w:spacing w:before="248" w:line="221" w:lineRule="auto"/>
              <w:ind w:left="530"/>
              <w:rPr>
                <w:color w:val="auto"/>
                <w:highlight w:val="none"/>
              </w:rPr>
            </w:pPr>
            <w:r>
              <w:rPr>
                <w:color w:val="auto"/>
                <w:spacing w:val="-1"/>
                <w:highlight w:val="none"/>
              </w:rPr>
              <w:t>企业归属地</w:t>
            </w:r>
          </w:p>
        </w:tc>
        <w:tc>
          <w:tcPr>
            <w:tcW w:w="6219" w:type="dxa"/>
            <w:gridSpan w:val="3"/>
            <w:vAlign w:val="top"/>
          </w:tcPr>
          <w:p w14:paraId="6F346858">
            <w:pPr>
              <w:pStyle w:val="11"/>
              <w:spacing w:before="248" w:line="221" w:lineRule="auto"/>
              <w:ind w:left="1669"/>
              <w:rPr>
                <w:color w:val="auto"/>
                <w:highlight w:val="none"/>
              </w:rPr>
            </w:pPr>
            <w:r>
              <w:rPr>
                <w:color w:val="auto"/>
                <w:spacing w:val="-5"/>
                <w:highlight w:val="none"/>
              </w:rPr>
              <w:t>□省内企业</w:t>
            </w:r>
            <w:r>
              <w:rPr>
                <w:color w:val="auto"/>
                <w:spacing w:val="3"/>
                <w:highlight w:val="none"/>
              </w:rPr>
              <w:t xml:space="preserve">        </w:t>
            </w:r>
            <w:r>
              <w:rPr>
                <w:color w:val="auto"/>
                <w:spacing w:val="-5"/>
                <w:highlight w:val="none"/>
              </w:rPr>
              <w:t>□省外企业</w:t>
            </w:r>
          </w:p>
        </w:tc>
      </w:tr>
      <w:tr w14:paraId="438AC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2092" w:type="dxa"/>
            <w:vAlign w:val="top"/>
          </w:tcPr>
          <w:p w14:paraId="10E090A0">
            <w:pPr>
              <w:pStyle w:val="11"/>
              <w:spacing w:before="250" w:line="221" w:lineRule="auto"/>
              <w:ind w:left="319"/>
              <w:rPr>
                <w:color w:val="auto"/>
                <w:highlight w:val="none"/>
              </w:rPr>
            </w:pPr>
            <w:r>
              <w:rPr>
                <w:color w:val="auto"/>
                <w:spacing w:val="-1"/>
                <w:highlight w:val="none"/>
              </w:rPr>
              <w:t>在辽负责人姓名</w:t>
            </w:r>
          </w:p>
        </w:tc>
        <w:tc>
          <w:tcPr>
            <w:tcW w:w="2064" w:type="dxa"/>
            <w:vAlign w:val="top"/>
          </w:tcPr>
          <w:p w14:paraId="230835E3">
            <w:pPr>
              <w:rPr>
                <w:rFonts w:ascii="Arial"/>
                <w:color w:val="auto"/>
                <w:sz w:val="21"/>
                <w:highlight w:val="none"/>
              </w:rPr>
            </w:pPr>
          </w:p>
        </w:tc>
        <w:tc>
          <w:tcPr>
            <w:tcW w:w="2083" w:type="dxa"/>
            <w:vAlign w:val="top"/>
          </w:tcPr>
          <w:p w14:paraId="738AF9B2">
            <w:pPr>
              <w:pStyle w:val="11"/>
              <w:spacing w:before="250" w:line="223" w:lineRule="auto"/>
              <w:ind w:left="866"/>
              <w:rPr>
                <w:color w:val="auto"/>
                <w:highlight w:val="none"/>
              </w:rPr>
            </w:pPr>
            <w:r>
              <w:rPr>
                <w:color w:val="auto"/>
                <w:spacing w:val="-8"/>
                <w:highlight w:val="none"/>
              </w:rPr>
              <w:t>电话</w:t>
            </w:r>
          </w:p>
        </w:tc>
        <w:tc>
          <w:tcPr>
            <w:tcW w:w="2072" w:type="dxa"/>
            <w:vAlign w:val="top"/>
          </w:tcPr>
          <w:p w14:paraId="5E1E8CEC">
            <w:pPr>
              <w:rPr>
                <w:rFonts w:ascii="Arial"/>
                <w:color w:val="auto"/>
                <w:sz w:val="21"/>
                <w:highlight w:val="none"/>
              </w:rPr>
            </w:pPr>
          </w:p>
        </w:tc>
      </w:tr>
      <w:tr w14:paraId="79275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2092" w:type="dxa"/>
            <w:vAlign w:val="top"/>
          </w:tcPr>
          <w:p w14:paraId="17254CA5">
            <w:pPr>
              <w:pStyle w:val="11"/>
              <w:spacing w:before="246" w:line="221" w:lineRule="auto"/>
              <w:ind w:left="319"/>
              <w:rPr>
                <w:color w:val="auto"/>
                <w:highlight w:val="none"/>
              </w:rPr>
            </w:pPr>
            <w:r>
              <w:rPr>
                <w:color w:val="auto"/>
                <w:spacing w:val="-1"/>
                <w:highlight w:val="none"/>
              </w:rPr>
              <w:t>入辽登记有效期</w:t>
            </w:r>
          </w:p>
        </w:tc>
        <w:tc>
          <w:tcPr>
            <w:tcW w:w="6219" w:type="dxa"/>
            <w:gridSpan w:val="3"/>
            <w:vAlign w:val="top"/>
          </w:tcPr>
          <w:p w14:paraId="1929E088">
            <w:pPr>
              <w:pStyle w:val="11"/>
              <w:spacing w:before="245" w:line="221" w:lineRule="auto"/>
              <w:ind w:left="2435"/>
              <w:rPr>
                <w:color w:val="auto"/>
                <w:highlight w:val="none"/>
              </w:rPr>
            </w:pPr>
            <w:r>
              <w:rPr>
                <w:color w:val="auto"/>
                <w:spacing w:val="-7"/>
                <w:highlight w:val="none"/>
              </w:rPr>
              <w:t>年</w:t>
            </w:r>
            <w:r>
              <w:rPr>
                <w:color w:val="auto"/>
                <w:spacing w:val="5"/>
                <w:highlight w:val="none"/>
              </w:rPr>
              <w:t xml:space="preserve">   </w:t>
            </w:r>
            <w:r>
              <w:rPr>
                <w:color w:val="auto"/>
                <w:spacing w:val="-7"/>
                <w:highlight w:val="none"/>
              </w:rPr>
              <w:t>月</w:t>
            </w:r>
            <w:r>
              <w:rPr>
                <w:color w:val="auto"/>
                <w:spacing w:val="10"/>
                <w:highlight w:val="none"/>
              </w:rPr>
              <w:t xml:space="preserve">    </w:t>
            </w:r>
            <w:r>
              <w:rPr>
                <w:color w:val="auto"/>
                <w:spacing w:val="-7"/>
                <w:highlight w:val="none"/>
              </w:rPr>
              <w:t>日</w:t>
            </w:r>
          </w:p>
        </w:tc>
      </w:tr>
    </w:tbl>
    <w:p w14:paraId="2D1EF751">
      <w:pPr>
        <w:spacing w:before="24" w:line="220" w:lineRule="auto"/>
        <w:ind w:left="20"/>
        <w:rPr>
          <w:rFonts w:ascii="宋体" w:hAnsi="宋体" w:eastAsia="宋体" w:cs="宋体"/>
          <w:color w:val="auto"/>
          <w:sz w:val="21"/>
          <w:szCs w:val="21"/>
          <w:highlight w:val="none"/>
        </w:rPr>
      </w:pPr>
      <w:r>
        <w:rPr>
          <w:rFonts w:ascii="宋体" w:hAnsi="宋体" w:eastAsia="宋体" w:cs="宋体"/>
          <w:color w:val="auto"/>
          <w:sz w:val="21"/>
          <w:szCs w:val="21"/>
          <w:highlight w:val="none"/>
        </w:rPr>
        <w:t>备注：联合体投标的，联合体各成员均应附在辽基本</w:t>
      </w:r>
      <w:r>
        <w:rPr>
          <w:rFonts w:ascii="宋体" w:hAnsi="宋体" w:eastAsia="宋体" w:cs="宋体"/>
          <w:color w:val="auto"/>
          <w:spacing w:val="-1"/>
          <w:sz w:val="21"/>
          <w:szCs w:val="21"/>
          <w:highlight w:val="none"/>
        </w:rPr>
        <w:t>信息登记单。</w:t>
      </w:r>
    </w:p>
    <w:p w14:paraId="24DA15B3">
      <w:pPr>
        <w:spacing w:line="220" w:lineRule="auto"/>
        <w:rPr>
          <w:rFonts w:ascii="宋体" w:hAnsi="宋体" w:eastAsia="宋体" w:cs="宋体"/>
          <w:color w:val="auto"/>
          <w:sz w:val="21"/>
          <w:szCs w:val="21"/>
          <w:highlight w:val="none"/>
        </w:rPr>
        <w:sectPr>
          <w:footerReference r:id="rId229" w:type="default"/>
          <w:pgSz w:w="11905" w:h="16839"/>
          <w:pgMar w:top="400" w:right="1785" w:bottom="1004" w:left="1785" w:header="0" w:footer="828" w:gutter="0"/>
          <w:pgNumType w:fmt="decimal"/>
          <w:cols w:space="720" w:num="1"/>
        </w:sectPr>
      </w:pPr>
    </w:p>
    <w:p w14:paraId="4838A343">
      <w:pPr>
        <w:pStyle w:val="3"/>
        <w:spacing w:line="276" w:lineRule="auto"/>
        <w:rPr>
          <w:color w:val="auto"/>
          <w:highlight w:val="none"/>
        </w:rPr>
      </w:pPr>
    </w:p>
    <w:p w14:paraId="0D264BCC">
      <w:pPr>
        <w:pStyle w:val="3"/>
        <w:spacing w:line="276" w:lineRule="auto"/>
        <w:rPr>
          <w:color w:val="auto"/>
          <w:highlight w:val="none"/>
        </w:rPr>
      </w:pPr>
    </w:p>
    <w:p w14:paraId="15B083DF">
      <w:pPr>
        <w:pStyle w:val="3"/>
        <w:spacing w:line="276" w:lineRule="auto"/>
        <w:rPr>
          <w:color w:val="auto"/>
          <w:highlight w:val="none"/>
        </w:rPr>
      </w:pPr>
    </w:p>
    <w:p w14:paraId="5D868585">
      <w:pPr>
        <w:pStyle w:val="3"/>
        <w:spacing w:line="276" w:lineRule="auto"/>
        <w:rPr>
          <w:color w:val="auto"/>
          <w:highlight w:val="none"/>
        </w:rPr>
      </w:pPr>
    </w:p>
    <w:p w14:paraId="375029D5">
      <w:pPr>
        <w:pStyle w:val="3"/>
        <w:spacing w:line="277" w:lineRule="auto"/>
        <w:rPr>
          <w:color w:val="auto"/>
          <w:highlight w:val="none"/>
        </w:rPr>
      </w:pPr>
    </w:p>
    <w:p w14:paraId="6CF022B4">
      <w:pPr>
        <w:spacing w:before="78" w:line="218" w:lineRule="auto"/>
        <w:ind w:left="2328"/>
        <w:rPr>
          <w:rFonts w:ascii="黑体" w:hAnsi="黑体" w:eastAsia="黑体" w:cs="黑体"/>
          <w:color w:val="auto"/>
          <w:sz w:val="24"/>
          <w:szCs w:val="24"/>
          <w:highlight w:val="none"/>
        </w:rPr>
      </w:pPr>
      <w:bookmarkStart w:id="1345" w:name="bookmark318"/>
      <w:bookmarkEnd w:id="1345"/>
      <w:r>
        <w:rPr>
          <w:rFonts w:ascii="Times New Roman" w:hAnsi="Times New Roman" w:eastAsia="Times New Roman" w:cs="Times New Roman"/>
          <w:color w:val="auto"/>
          <w:spacing w:val="-3"/>
          <w:sz w:val="24"/>
          <w:szCs w:val="24"/>
          <w:highlight w:val="none"/>
        </w:rPr>
        <w:t xml:space="preserve">1-4 </w:t>
      </w:r>
      <w:r>
        <w:rPr>
          <w:rFonts w:ascii="黑体" w:hAnsi="黑体" w:eastAsia="黑体" w:cs="黑体"/>
          <w:color w:val="auto"/>
          <w:spacing w:val="-3"/>
          <w:sz w:val="24"/>
          <w:szCs w:val="24"/>
          <w:highlight w:val="none"/>
        </w:rPr>
        <w:t>项目管理机构主要人员及简历表</w:t>
      </w:r>
    </w:p>
    <w:p w14:paraId="5BF9CC9E">
      <w:pPr>
        <w:pStyle w:val="3"/>
        <w:spacing w:line="243" w:lineRule="auto"/>
        <w:rPr>
          <w:color w:val="auto"/>
          <w:highlight w:val="none"/>
        </w:rPr>
      </w:pPr>
    </w:p>
    <w:p w14:paraId="7E9AC75D">
      <w:pPr>
        <w:pStyle w:val="3"/>
        <w:spacing w:line="243" w:lineRule="auto"/>
        <w:rPr>
          <w:color w:val="auto"/>
          <w:highlight w:val="none"/>
        </w:rPr>
      </w:pPr>
    </w:p>
    <w:p w14:paraId="18196D85">
      <w:pPr>
        <w:spacing w:before="68" w:line="219" w:lineRule="auto"/>
        <w:ind w:left="651"/>
        <w:rPr>
          <w:rFonts w:ascii="宋体" w:hAnsi="宋体" w:eastAsia="宋体" w:cs="宋体"/>
          <w:color w:val="auto"/>
          <w:sz w:val="21"/>
          <w:szCs w:val="21"/>
          <w:highlight w:val="none"/>
        </w:rPr>
      </w:pPr>
      <w:r>
        <w:rPr>
          <w:rFonts w:ascii="黑体" w:hAnsi="黑体" w:eastAsia="黑体" w:cs="黑体"/>
          <w:color w:val="auto"/>
          <w:spacing w:val="-6"/>
          <w:sz w:val="21"/>
          <w:szCs w:val="21"/>
          <w:highlight w:val="none"/>
        </w:rPr>
        <w:t>说明：</w:t>
      </w:r>
      <w:r>
        <w:rPr>
          <w:rFonts w:ascii="黑体" w:hAnsi="黑体" w:eastAsia="黑体" w:cs="黑体"/>
          <w:color w:val="auto"/>
          <w:spacing w:val="-34"/>
          <w:sz w:val="21"/>
          <w:szCs w:val="21"/>
          <w:highlight w:val="none"/>
        </w:rPr>
        <w:t xml:space="preserve"> </w:t>
      </w:r>
      <w:r>
        <w:rPr>
          <w:rFonts w:ascii="宋体" w:hAnsi="宋体" w:eastAsia="宋体" w:cs="宋体"/>
          <w:color w:val="auto"/>
          <w:spacing w:val="-6"/>
          <w:sz w:val="21"/>
          <w:szCs w:val="21"/>
          <w:highlight w:val="none"/>
        </w:rPr>
        <w:t>“项目管理机构主要人员及简历表”同本章六、项目管理机构。</w:t>
      </w:r>
    </w:p>
    <w:p w14:paraId="629A242A">
      <w:pPr>
        <w:spacing w:line="219" w:lineRule="auto"/>
        <w:rPr>
          <w:rFonts w:ascii="宋体" w:hAnsi="宋体" w:eastAsia="宋体" w:cs="宋体"/>
          <w:color w:val="auto"/>
          <w:sz w:val="21"/>
          <w:szCs w:val="21"/>
          <w:highlight w:val="none"/>
        </w:rPr>
        <w:sectPr>
          <w:footerReference r:id="rId230" w:type="default"/>
          <w:pgSz w:w="11905" w:h="16839"/>
          <w:pgMar w:top="400" w:right="1785" w:bottom="1004" w:left="1785" w:header="0" w:footer="828" w:gutter="0"/>
          <w:pgNumType w:fmt="decimal"/>
          <w:cols w:space="720" w:num="1"/>
        </w:sectPr>
      </w:pPr>
    </w:p>
    <w:p w14:paraId="534F0C69">
      <w:pPr>
        <w:pStyle w:val="3"/>
        <w:spacing w:line="267" w:lineRule="auto"/>
        <w:rPr>
          <w:color w:val="auto"/>
          <w:highlight w:val="none"/>
        </w:rPr>
      </w:pPr>
    </w:p>
    <w:p w14:paraId="4AA62072">
      <w:pPr>
        <w:pStyle w:val="3"/>
        <w:spacing w:line="267" w:lineRule="auto"/>
        <w:rPr>
          <w:color w:val="auto"/>
          <w:highlight w:val="none"/>
        </w:rPr>
      </w:pPr>
    </w:p>
    <w:p w14:paraId="3C828ACD">
      <w:pPr>
        <w:pStyle w:val="3"/>
        <w:spacing w:line="268" w:lineRule="auto"/>
        <w:rPr>
          <w:color w:val="auto"/>
          <w:highlight w:val="none"/>
        </w:rPr>
      </w:pPr>
    </w:p>
    <w:p w14:paraId="3894CEE6">
      <w:pPr>
        <w:pStyle w:val="3"/>
        <w:spacing w:line="268" w:lineRule="auto"/>
        <w:rPr>
          <w:color w:val="auto"/>
          <w:highlight w:val="none"/>
        </w:rPr>
      </w:pPr>
    </w:p>
    <w:p w14:paraId="713745A6">
      <w:pPr>
        <w:spacing w:before="78" w:line="219" w:lineRule="auto"/>
        <w:ind w:left="2328"/>
        <w:rPr>
          <w:rFonts w:ascii="黑体" w:hAnsi="黑体" w:eastAsia="黑体" w:cs="黑体"/>
          <w:color w:val="auto"/>
          <w:sz w:val="24"/>
          <w:szCs w:val="24"/>
          <w:highlight w:val="none"/>
        </w:rPr>
      </w:pPr>
      <w:bookmarkStart w:id="1346" w:name="bookmark319"/>
      <w:bookmarkEnd w:id="1346"/>
      <w:r>
        <w:rPr>
          <w:rFonts w:ascii="Times New Roman" w:hAnsi="Times New Roman" w:eastAsia="Times New Roman" w:cs="Times New Roman"/>
          <w:color w:val="auto"/>
          <w:spacing w:val="-3"/>
          <w:sz w:val="24"/>
          <w:szCs w:val="24"/>
          <w:highlight w:val="none"/>
        </w:rPr>
        <w:t xml:space="preserve">1-5 </w:t>
      </w:r>
      <w:r>
        <w:rPr>
          <w:rFonts w:ascii="黑体" w:hAnsi="黑体" w:eastAsia="黑体" w:cs="黑体"/>
          <w:color w:val="auto"/>
          <w:spacing w:val="-3"/>
          <w:sz w:val="24"/>
          <w:szCs w:val="24"/>
          <w:highlight w:val="none"/>
        </w:rPr>
        <w:t>拟投入主要施工机械设备情况表</w:t>
      </w:r>
    </w:p>
    <w:p w14:paraId="642BF793">
      <w:pPr>
        <w:spacing w:before="160"/>
        <w:rPr>
          <w:color w:val="auto"/>
          <w:highlight w:val="none"/>
        </w:rPr>
      </w:pPr>
    </w:p>
    <w:tbl>
      <w:tblPr>
        <w:tblStyle w:val="10"/>
        <w:tblW w:w="8301"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3"/>
        <w:gridCol w:w="1179"/>
        <w:gridCol w:w="1184"/>
        <w:gridCol w:w="1184"/>
        <w:gridCol w:w="1184"/>
        <w:gridCol w:w="1184"/>
        <w:gridCol w:w="1193"/>
      </w:tblGrid>
      <w:tr w14:paraId="2E336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193" w:type="dxa"/>
            <w:tcBorders>
              <w:top w:val="single" w:color="000000" w:sz="6" w:space="0"/>
              <w:left w:val="single" w:color="000000" w:sz="6" w:space="0"/>
            </w:tcBorders>
            <w:vAlign w:val="top"/>
          </w:tcPr>
          <w:p w14:paraId="104A317D">
            <w:pPr>
              <w:pStyle w:val="11"/>
              <w:spacing w:before="100" w:line="230" w:lineRule="auto"/>
              <w:ind w:left="389" w:right="170" w:hanging="214"/>
              <w:rPr>
                <w:color w:val="auto"/>
                <w:highlight w:val="none"/>
              </w:rPr>
            </w:pPr>
            <w:r>
              <w:rPr>
                <w:color w:val="auto"/>
                <w:spacing w:val="-1"/>
                <w:highlight w:val="none"/>
              </w:rPr>
              <w:t>机械设备</w:t>
            </w:r>
            <w:r>
              <w:rPr>
                <w:color w:val="auto"/>
                <w:highlight w:val="none"/>
              </w:rPr>
              <w:t xml:space="preserve"> </w:t>
            </w:r>
            <w:r>
              <w:rPr>
                <w:color w:val="auto"/>
                <w:spacing w:val="-3"/>
                <w:highlight w:val="none"/>
              </w:rPr>
              <w:t>名称</w:t>
            </w:r>
          </w:p>
        </w:tc>
        <w:tc>
          <w:tcPr>
            <w:tcW w:w="1179" w:type="dxa"/>
            <w:tcBorders>
              <w:top w:val="single" w:color="000000" w:sz="6" w:space="0"/>
            </w:tcBorders>
            <w:vAlign w:val="top"/>
          </w:tcPr>
          <w:p w14:paraId="45EE4AF8">
            <w:pPr>
              <w:pStyle w:val="11"/>
              <w:spacing w:before="235" w:line="221" w:lineRule="auto"/>
              <w:ind w:left="180"/>
              <w:rPr>
                <w:color w:val="auto"/>
                <w:highlight w:val="none"/>
              </w:rPr>
            </w:pPr>
            <w:r>
              <w:rPr>
                <w:color w:val="auto"/>
                <w:spacing w:val="-2"/>
                <w:highlight w:val="none"/>
              </w:rPr>
              <w:t>型号规格</w:t>
            </w:r>
          </w:p>
        </w:tc>
        <w:tc>
          <w:tcPr>
            <w:tcW w:w="1184" w:type="dxa"/>
            <w:tcBorders>
              <w:top w:val="single" w:color="000000" w:sz="6" w:space="0"/>
            </w:tcBorders>
            <w:vAlign w:val="top"/>
          </w:tcPr>
          <w:p w14:paraId="6FA47E6C">
            <w:pPr>
              <w:pStyle w:val="11"/>
              <w:spacing w:before="235" w:line="221" w:lineRule="auto"/>
              <w:ind w:left="283"/>
              <w:rPr>
                <w:color w:val="auto"/>
                <w:highlight w:val="none"/>
              </w:rPr>
            </w:pPr>
            <w:r>
              <w:rPr>
                <w:color w:val="auto"/>
                <w:spacing w:val="-5"/>
                <w:highlight w:val="none"/>
              </w:rPr>
              <w:t>数</w:t>
            </w:r>
            <w:r>
              <w:rPr>
                <w:color w:val="auto"/>
                <w:spacing w:val="4"/>
                <w:highlight w:val="none"/>
              </w:rPr>
              <w:t xml:space="preserve">  </w:t>
            </w:r>
            <w:r>
              <w:rPr>
                <w:color w:val="auto"/>
                <w:spacing w:val="-5"/>
                <w:highlight w:val="none"/>
              </w:rPr>
              <w:t>量</w:t>
            </w:r>
          </w:p>
        </w:tc>
        <w:tc>
          <w:tcPr>
            <w:tcW w:w="1184" w:type="dxa"/>
            <w:tcBorders>
              <w:top w:val="single" w:color="000000" w:sz="6" w:space="0"/>
            </w:tcBorders>
            <w:vAlign w:val="top"/>
          </w:tcPr>
          <w:p w14:paraId="1F9CF11A">
            <w:pPr>
              <w:pStyle w:val="11"/>
              <w:spacing w:before="235" w:line="221" w:lineRule="auto"/>
              <w:ind w:left="218"/>
              <w:rPr>
                <w:color w:val="auto"/>
                <w:highlight w:val="none"/>
              </w:rPr>
            </w:pPr>
            <w:r>
              <w:rPr>
                <w:color w:val="auto"/>
                <w:spacing w:val="-9"/>
                <w:highlight w:val="none"/>
              </w:rPr>
              <w:t>目前状况</w:t>
            </w:r>
          </w:p>
        </w:tc>
        <w:tc>
          <w:tcPr>
            <w:tcW w:w="1184" w:type="dxa"/>
            <w:tcBorders>
              <w:top w:val="single" w:color="000000" w:sz="6" w:space="0"/>
            </w:tcBorders>
            <w:vAlign w:val="top"/>
          </w:tcPr>
          <w:p w14:paraId="79A74112">
            <w:pPr>
              <w:pStyle w:val="11"/>
              <w:spacing w:before="235" w:line="221" w:lineRule="auto"/>
              <w:ind w:left="287"/>
              <w:rPr>
                <w:color w:val="auto"/>
                <w:highlight w:val="none"/>
              </w:rPr>
            </w:pPr>
            <w:r>
              <w:rPr>
                <w:color w:val="auto"/>
                <w:spacing w:val="-4"/>
                <w:highlight w:val="none"/>
              </w:rPr>
              <w:t>来</w:t>
            </w:r>
            <w:r>
              <w:rPr>
                <w:color w:val="auto"/>
                <w:spacing w:val="4"/>
                <w:highlight w:val="none"/>
              </w:rPr>
              <w:t xml:space="preserve">  </w:t>
            </w:r>
            <w:r>
              <w:rPr>
                <w:color w:val="auto"/>
                <w:spacing w:val="-4"/>
                <w:highlight w:val="none"/>
              </w:rPr>
              <w:t>源</w:t>
            </w:r>
          </w:p>
        </w:tc>
        <w:tc>
          <w:tcPr>
            <w:tcW w:w="1184" w:type="dxa"/>
            <w:tcBorders>
              <w:top w:val="single" w:color="000000" w:sz="6" w:space="0"/>
            </w:tcBorders>
            <w:vAlign w:val="top"/>
          </w:tcPr>
          <w:p w14:paraId="61CE6C62">
            <w:pPr>
              <w:pStyle w:val="11"/>
              <w:spacing w:before="100" w:line="231" w:lineRule="auto"/>
              <w:ind w:left="509" w:right="160" w:hanging="326"/>
              <w:rPr>
                <w:color w:val="auto"/>
                <w:highlight w:val="none"/>
              </w:rPr>
            </w:pPr>
            <w:r>
              <w:rPr>
                <w:color w:val="auto"/>
                <w:spacing w:val="-2"/>
                <w:highlight w:val="none"/>
              </w:rPr>
              <w:t>现停放地</w:t>
            </w:r>
            <w:r>
              <w:rPr>
                <w:color w:val="auto"/>
                <w:spacing w:val="1"/>
                <w:highlight w:val="none"/>
              </w:rPr>
              <w:t xml:space="preserve"> </w:t>
            </w:r>
            <w:r>
              <w:rPr>
                <w:color w:val="auto"/>
                <w:highlight w:val="none"/>
              </w:rPr>
              <w:t>点</w:t>
            </w:r>
          </w:p>
        </w:tc>
        <w:tc>
          <w:tcPr>
            <w:tcW w:w="1193" w:type="dxa"/>
            <w:tcBorders>
              <w:top w:val="single" w:color="000000" w:sz="6" w:space="0"/>
              <w:right w:val="single" w:color="000000" w:sz="6" w:space="0"/>
            </w:tcBorders>
            <w:vAlign w:val="top"/>
          </w:tcPr>
          <w:p w14:paraId="4AB59A08">
            <w:pPr>
              <w:pStyle w:val="11"/>
              <w:spacing w:before="236" w:line="222" w:lineRule="auto"/>
              <w:ind w:left="292"/>
              <w:rPr>
                <w:color w:val="auto"/>
                <w:highlight w:val="none"/>
              </w:rPr>
            </w:pPr>
            <w:r>
              <w:rPr>
                <w:color w:val="auto"/>
                <w:spacing w:val="-5"/>
                <w:highlight w:val="none"/>
              </w:rPr>
              <w:t>备</w:t>
            </w:r>
            <w:r>
              <w:rPr>
                <w:color w:val="auto"/>
                <w:spacing w:val="4"/>
                <w:highlight w:val="none"/>
              </w:rPr>
              <w:t xml:space="preserve">  </w:t>
            </w:r>
            <w:r>
              <w:rPr>
                <w:color w:val="auto"/>
                <w:spacing w:val="-5"/>
                <w:highlight w:val="none"/>
              </w:rPr>
              <w:t>注</w:t>
            </w:r>
          </w:p>
        </w:tc>
      </w:tr>
      <w:tr w14:paraId="17278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193" w:type="dxa"/>
            <w:tcBorders>
              <w:left w:val="single" w:color="000000" w:sz="6" w:space="0"/>
            </w:tcBorders>
            <w:vAlign w:val="top"/>
          </w:tcPr>
          <w:p w14:paraId="49295CD1">
            <w:pPr>
              <w:rPr>
                <w:rFonts w:ascii="Arial"/>
                <w:color w:val="auto"/>
                <w:sz w:val="21"/>
                <w:highlight w:val="none"/>
              </w:rPr>
            </w:pPr>
          </w:p>
        </w:tc>
        <w:tc>
          <w:tcPr>
            <w:tcW w:w="1179" w:type="dxa"/>
            <w:vAlign w:val="top"/>
          </w:tcPr>
          <w:p w14:paraId="2F0D649B">
            <w:pPr>
              <w:rPr>
                <w:rFonts w:ascii="Arial"/>
                <w:color w:val="auto"/>
                <w:sz w:val="21"/>
                <w:highlight w:val="none"/>
              </w:rPr>
            </w:pPr>
          </w:p>
        </w:tc>
        <w:tc>
          <w:tcPr>
            <w:tcW w:w="1184" w:type="dxa"/>
            <w:vAlign w:val="top"/>
          </w:tcPr>
          <w:p w14:paraId="02C0038B">
            <w:pPr>
              <w:rPr>
                <w:rFonts w:ascii="Arial"/>
                <w:color w:val="auto"/>
                <w:sz w:val="21"/>
                <w:highlight w:val="none"/>
              </w:rPr>
            </w:pPr>
          </w:p>
        </w:tc>
        <w:tc>
          <w:tcPr>
            <w:tcW w:w="1184" w:type="dxa"/>
            <w:vAlign w:val="top"/>
          </w:tcPr>
          <w:p w14:paraId="554C7930">
            <w:pPr>
              <w:rPr>
                <w:rFonts w:ascii="Arial"/>
                <w:color w:val="auto"/>
                <w:sz w:val="21"/>
                <w:highlight w:val="none"/>
              </w:rPr>
            </w:pPr>
          </w:p>
        </w:tc>
        <w:tc>
          <w:tcPr>
            <w:tcW w:w="1184" w:type="dxa"/>
            <w:vAlign w:val="top"/>
          </w:tcPr>
          <w:p w14:paraId="6EF256E2">
            <w:pPr>
              <w:rPr>
                <w:rFonts w:ascii="Arial"/>
                <w:color w:val="auto"/>
                <w:sz w:val="21"/>
                <w:highlight w:val="none"/>
              </w:rPr>
            </w:pPr>
          </w:p>
        </w:tc>
        <w:tc>
          <w:tcPr>
            <w:tcW w:w="1184" w:type="dxa"/>
            <w:vAlign w:val="top"/>
          </w:tcPr>
          <w:p w14:paraId="4A2DC4EE">
            <w:pPr>
              <w:rPr>
                <w:rFonts w:ascii="Arial"/>
                <w:color w:val="auto"/>
                <w:sz w:val="21"/>
                <w:highlight w:val="none"/>
              </w:rPr>
            </w:pPr>
          </w:p>
        </w:tc>
        <w:tc>
          <w:tcPr>
            <w:tcW w:w="1193" w:type="dxa"/>
            <w:tcBorders>
              <w:right w:val="single" w:color="000000" w:sz="6" w:space="0"/>
            </w:tcBorders>
            <w:vAlign w:val="top"/>
          </w:tcPr>
          <w:p w14:paraId="6C6F697A">
            <w:pPr>
              <w:rPr>
                <w:rFonts w:ascii="Arial"/>
                <w:color w:val="auto"/>
                <w:sz w:val="21"/>
                <w:highlight w:val="none"/>
              </w:rPr>
            </w:pPr>
          </w:p>
        </w:tc>
      </w:tr>
      <w:tr w14:paraId="03B55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193" w:type="dxa"/>
            <w:tcBorders>
              <w:left w:val="single" w:color="000000" w:sz="6" w:space="0"/>
            </w:tcBorders>
            <w:vAlign w:val="top"/>
          </w:tcPr>
          <w:p w14:paraId="719E655B">
            <w:pPr>
              <w:rPr>
                <w:rFonts w:ascii="Arial"/>
                <w:color w:val="auto"/>
                <w:sz w:val="21"/>
                <w:highlight w:val="none"/>
              </w:rPr>
            </w:pPr>
          </w:p>
        </w:tc>
        <w:tc>
          <w:tcPr>
            <w:tcW w:w="1179" w:type="dxa"/>
            <w:vAlign w:val="top"/>
          </w:tcPr>
          <w:p w14:paraId="7BBBEDF3">
            <w:pPr>
              <w:rPr>
                <w:rFonts w:ascii="Arial"/>
                <w:color w:val="auto"/>
                <w:sz w:val="21"/>
                <w:highlight w:val="none"/>
              </w:rPr>
            </w:pPr>
          </w:p>
        </w:tc>
        <w:tc>
          <w:tcPr>
            <w:tcW w:w="1184" w:type="dxa"/>
            <w:vAlign w:val="top"/>
          </w:tcPr>
          <w:p w14:paraId="1287B313">
            <w:pPr>
              <w:rPr>
                <w:rFonts w:ascii="Arial"/>
                <w:color w:val="auto"/>
                <w:sz w:val="21"/>
                <w:highlight w:val="none"/>
              </w:rPr>
            </w:pPr>
          </w:p>
        </w:tc>
        <w:tc>
          <w:tcPr>
            <w:tcW w:w="1184" w:type="dxa"/>
            <w:vAlign w:val="top"/>
          </w:tcPr>
          <w:p w14:paraId="506FB456">
            <w:pPr>
              <w:rPr>
                <w:rFonts w:ascii="Arial"/>
                <w:color w:val="auto"/>
                <w:sz w:val="21"/>
                <w:highlight w:val="none"/>
              </w:rPr>
            </w:pPr>
          </w:p>
        </w:tc>
        <w:tc>
          <w:tcPr>
            <w:tcW w:w="1184" w:type="dxa"/>
            <w:vAlign w:val="top"/>
          </w:tcPr>
          <w:p w14:paraId="117168EC">
            <w:pPr>
              <w:rPr>
                <w:rFonts w:ascii="Arial"/>
                <w:color w:val="auto"/>
                <w:sz w:val="21"/>
                <w:highlight w:val="none"/>
              </w:rPr>
            </w:pPr>
          </w:p>
        </w:tc>
        <w:tc>
          <w:tcPr>
            <w:tcW w:w="1184" w:type="dxa"/>
            <w:vAlign w:val="top"/>
          </w:tcPr>
          <w:p w14:paraId="1966B7D2">
            <w:pPr>
              <w:rPr>
                <w:rFonts w:ascii="Arial"/>
                <w:color w:val="auto"/>
                <w:sz w:val="21"/>
                <w:highlight w:val="none"/>
              </w:rPr>
            </w:pPr>
          </w:p>
        </w:tc>
        <w:tc>
          <w:tcPr>
            <w:tcW w:w="1193" w:type="dxa"/>
            <w:tcBorders>
              <w:right w:val="single" w:color="000000" w:sz="6" w:space="0"/>
            </w:tcBorders>
            <w:vAlign w:val="top"/>
          </w:tcPr>
          <w:p w14:paraId="48E6FA90">
            <w:pPr>
              <w:rPr>
                <w:rFonts w:ascii="Arial"/>
                <w:color w:val="auto"/>
                <w:sz w:val="21"/>
                <w:highlight w:val="none"/>
              </w:rPr>
            </w:pPr>
          </w:p>
        </w:tc>
      </w:tr>
      <w:tr w14:paraId="6A9FA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193" w:type="dxa"/>
            <w:tcBorders>
              <w:left w:val="single" w:color="000000" w:sz="6" w:space="0"/>
            </w:tcBorders>
            <w:vAlign w:val="top"/>
          </w:tcPr>
          <w:p w14:paraId="180B0A49">
            <w:pPr>
              <w:rPr>
                <w:rFonts w:ascii="Arial"/>
                <w:color w:val="auto"/>
                <w:sz w:val="21"/>
                <w:highlight w:val="none"/>
              </w:rPr>
            </w:pPr>
          </w:p>
        </w:tc>
        <w:tc>
          <w:tcPr>
            <w:tcW w:w="1179" w:type="dxa"/>
            <w:vAlign w:val="top"/>
          </w:tcPr>
          <w:p w14:paraId="7ACA3C2D">
            <w:pPr>
              <w:rPr>
                <w:rFonts w:ascii="Arial"/>
                <w:color w:val="auto"/>
                <w:sz w:val="21"/>
                <w:highlight w:val="none"/>
              </w:rPr>
            </w:pPr>
          </w:p>
        </w:tc>
        <w:tc>
          <w:tcPr>
            <w:tcW w:w="1184" w:type="dxa"/>
            <w:vAlign w:val="top"/>
          </w:tcPr>
          <w:p w14:paraId="0C13BB1D">
            <w:pPr>
              <w:rPr>
                <w:rFonts w:ascii="Arial"/>
                <w:color w:val="auto"/>
                <w:sz w:val="21"/>
                <w:highlight w:val="none"/>
              </w:rPr>
            </w:pPr>
          </w:p>
        </w:tc>
        <w:tc>
          <w:tcPr>
            <w:tcW w:w="1184" w:type="dxa"/>
            <w:vAlign w:val="top"/>
          </w:tcPr>
          <w:p w14:paraId="13EB70D9">
            <w:pPr>
              <w:rPr>
                <w:rFonts w:ascii="Arial"/>
                <w:color w:val="auto"/>
                <w:sz w:val="21"/>
                <w:highlight w:val="none"/>
              </w:rPr>
            </w:pPr>
          </w:p>
        </w:tc>
        <w:tc>
          <w:tcPr>
            <w:tcW w:w="1184" w:type="dxa"/>
            <w:vAlign w:val="top"/>
          </w:tcPr>
          <w:p w14:paraId="227683BE">
            <w:pPr>
              <w:rPr>
                <w:rFonts w:ascii="Arial"/>
                <w:color w:val="auto"/>
                <w:sz w:val="21"/>
                <w:highlight w:val="none"/>
              </w:rPr>
            </w:pPr>
          </w:p>
        </w:tc>
        <w:tc>
          <w:tcPr>
            <w:tcW w:w="1184" w:type="dxa"/>
            <w:vAlign w:val="top"/>
          </w:tcPr>
          <w:p w14:paraId="13596C06">
            <w:pPr>
              <w:rPr>
                <w:rFonts w:ascii="Arial"/>
                <w:color w:val="auto"/>
                <w:sz w:val="21"/>
                <w:highlight w:val="none"/>
              </w:rPr>
            </w:pPr>
          </w:p>
        </w:tc>
        <w:tc>
          <w:tcPr>
            <w:tcW w:w="1193" w:type="dxa"/>
            <w:tcBorders>
              <w:right w:val="single" w:color="000000" w:sz="6" w:space="0"/>
            </w:tcBorders>
            <w:vAlign w:val="top"/>
          </w:tcPr>
          <w:p w14:paraId="40B826BC">
            <w:pPr>
              <w:rPr>
                <w:rFonts w:ascii="Arial"/>
                <w:color w:val="auto"/>
                <w:sz w:val="21"/>
                <w:highlight w:val="none"/>
              </w:rPr>
            </w:pPr>
          </w:p>
        </w:tc>
      </w:tr>
      <w:tr w14:paraId="28BB1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193" w:type="dxa"/>
            <w:tcBorders>
              <w:left w:val="single" w:color="000000" w:sz="6" w:space="0"/>
            </w:tcBorders>
            <w:vAlign w:val="top"/>
          </w:tcPr>
          <w:p w14:paraId="74A87FBB">
            <w:pPr>
              <w:rPr>
                <w:rFonts w:ascii="Arial"/>
                <w:color w:val="auto"/>
                <w:sz w:val="21"/>
                <w:highlight w:val="none"/>
              </w:rPr>
            </w:pPr>
          </w:p>
        </w:tc>
        <w:tc>
          <w:tcPr>
            <w:tcW w:w="1179" w:type="dxa"/>
            <w:vAlign w:val="top"/>
          </w:tcPr>
          <w:p w14:paraId="3A2F8E70">
            <w:pPr>
              <w:rPr>
                <w:rFonts w:ascii="Arial"/>
                <w:color w:val="auto"/>
                <w:sz w:val="21"/>
                <w:highlight w:val="none"/>
              </w:rPr>
            </w:pPr>
          </w:p>
        </w:tc>
        <w:tc>
          <w:tcPr>
            <w:tcW w:w="1184" w:type="dxa"/>
            <w:vAlign w:val="top"/>
          </w:tcPr>
          <w:p w14:paraId="33B7B952">
            <w:pPr>
              <w:rPr>
                <w:rFonts w:ascii="Arial"/>
                <w:color w:val="auto"/>
                <w:sz w:val="21"/>
                <w:highlight w:val="none"/>
              </w:rPr>
            </w:pPr>
          </w:p>
        </w:tc>
        <w:tc>
          <w:tcPr>
            <w:tcW w:w="1184" w:type="dxa"/>
            <w:vAlign w:val="top"/>
          </w:tcPr>
          <w:p w14:paraId="746298E7">
            <w:pPr>
              <w:rPr>
                <w:rFonts w:ascii="Arial"/>
                <w:color w:val="auto"/>
                <w:sz w:val="21"/>
                <w:highlight w:val="none"/>
              </w:rPr>
            </w:pPr>
          </w:p>
        </w:tc>
        <w:tc>
          <w:tcPr>
            <w:tcW w:w="1184" w:type="dxa"/>
            <w:vAlign w:val="top"/>
          </w:tcPr>
          <w:p w14:paraId="7B6A593D">
            <w:pPr>
              <w:rPr>
                <w:rFonts w:ascii="Arial"/>
                <w:color w:val="auto"/>
                <w:sz w:val="21"/>
                <w:highlight w:val="none"/>
              </w:rPr>
            </w:pPr>
          </w:p>
        </w:tc>
        <w:tc>
          <w:tcPr>
            <w:tcW w:w="1184" w:type="dxa"/>
            <w:vAlign w:val="top"/>
          </w:tcPr>
          <w:p w14:paraId="2CC31E85">
            <w:pPr>
              <w:rPr>
                <w:rFonts w:ascii="Arial"/>
                <w:color w:val="auto"/>
                <w:sz w:val="21"/>
                <w:highlight w:val="none"/>
              </w:rPr>
            </w:pPr>
          </w:p>
        </w:tc>
        <w:tc>
          <w:tcPr>
            <w:tcW w:w="1193" w:type="dxa"/>
            <w:tcBorders>
              <w:right w:val="single" w:color="000000" w:sz="6" w:space="0"/>
            </w:tcBorders>
            <w:vAlign w:val="top"/>
          </w:tcPr>
          <w:p w14:paraId="7CE2CAED">
            <w:pPr>
              <w:rPr>
                <w:rFonts w:ascii="Arial"/>
                <w:color w:val="auto"/>
                <w:sz w:val="21"/>
                <w:highlight w:val="none"/>
              </w:rPr>
            </w:pPr>
          </w:p>
        </w:tc>
      </w:tr>
      <w:tr w14:paraId="76300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193" w:type="dxa"/>
            <w:tcBorders>
              <w:left w:val="single" w:color="000000" w:sz="6" w:space="0"/>
            </w:tcBorders>
            <w:vAlign w:val="top"/>
          </w:tcPr>
          <w:p w14:paraId="7C467D78">
            <w:pPr>
              <w:rPr>
                <w:rFonts w:ascii="Arial"/>
                <w:color w:val="auto"/>
                <w:sz w:val="21"/>
                <w:highlight w:val="none"/>
              </w:rPr>
            </w:pPr>
          </w:p>
        </w:tc>
        <w:tc>
          <w:tcPr>
            <w:tcW w:w="1179" w:type="dxa"/>
            <w:vAlign w:val="top"/>
          </w:tcPr>
          <w:p w14:paraId="5031374A">
            <w:pPr>
              <w:rPr>
                <w:rFonts w:ascii="Arial"/>
                <w:color w:val="auto"/>
                <w:sz w:val="21"/>
                <w:highlight w:val="none"/>
              </w:rPr>
            </w:pPr>
          </w:p>
        </w:tc>
        <w:tc>
          <w:tcPr>
            <w:tcW w:w="1184" w:type="dxa"/>
            <w:vAlign w:val="top"/>
          </w:tcPr>
          <w:p w14:paraId="41B9E615">
            <w:pPr>
              <w:rPr>
                <w:rFonts w:ascii="Arial"/>
                <w:color w:val="auto"/>
                <w:sz w:val="21"/>
                <w:highlight w:val="none"/>
              </w:rPr>
            </w:pPr>
          </w:p>
        </w:tc>
        <w:tc>
          <w:tcPr>
            <w:tcW w:w="1184" w:type="dxa"/>
            <w:vAlign w:val="top"/>
          </w:tcPr>
          <w:p w14:paraId="52BF5B99">
            <w:pPr>
              <w:rPr>
                <w:rFonts w:ascii="Arial"/>
                <w:color w:val="auto"/>
                <w:sz w:val="21"/>
                <w:highlight w:val="none"/>
              </w:rPr>
            </w:pPr>
          </w:p>
        </w:tc>
        <w:tc>
          <w:tcPr>
            <w:tcW w:w="1184" w:type="dxa"/>
            <w:vAlign w:val="top"/>
          </w:tcPr>
          <w:p w14:paraId="74424CA8">
            <w:pPr>
              <w:rPr>
                <w:rFonts w:ascii="Arial"/>
                <w:color w:val="auto"/>
                <w:sz w:val="21"/>
                <w:highlight w:val="none"/>
              </w:rPr>
            </w:pPr>
          </w:p>
        </w:tc>
        <w:tc>
          <w:tcPr>
            <w:tcW w:w="1184" w:type="dxa"/>
            <w:vAlign w:val="top"/>
          </w:tcPr>
          <w:p w14:paraId="2EECE2F5">
            <w:pPr>
              <w:rPr>
                <w:rFonts w:ascii="Arial"/>
                <w:color w:val="auto"/>
                <w:sz w:val="21"/>
                <w:highlight w:val="none"/>
              </w:rPr>
            </w:pPr>
          </w:p>
        </w:tc>
        <w:tc>
          <w:tcPr>
            <w:tcW w:w="1193" w:type="dxa"/>
            <w:tcBorders>
              <w:right w:val="single" w:color="000000" w:sz="6" w:space="0"/>
            </w:tcBorders>
            <w:vAlign w:val="top"/>
          </w:tcPr>
          <w:p w14:paraId="76F62A22">
            <w:pPr>
              <w:rPr>
                <w:rFonts w:ascii="Arial"/>
                <w:color w:val="auto"/>
                <w:sz w:val="21"/>
                <w:highlight w:val="none"/>
              </w:rPr>
            </w:pPr>
          </w:p>
        </w:tc>
      </w:tr>
      <w:tr w14:paraId="5CD45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193" w:type="dxa"/>
            <w:tcBorders>
              <w:left w:val="single" w:color="000000" w:sz="6" w:space="0"/>
            </w:tcBorders>
            <w:vAlign w:val="top"/>
          </w:tcPr>
          <w:p w14:paraId="246CD781">
            <w:pPr>
              <w:rPr>
                <w:rFonts w:ascii="Arial"/>
                <w:color w:val="auto"/>
                <w:sz w:val="21"/>
                <w:highlight w:val="none"/>
              </w:rPr>
            </w:pPr>
          </w:p>
        </w:tc>
        <w:tc>
          <w:tcPr>
            <w:tcW w:w="1179" w:type="dxa"/>
            <w:vAlign w:val="top"/>
          </w:tcPr>
          <w:p w14:paraId="28C7B573">
            <w:pPr>
              <w:rPr>
                <w:rFonts w:ascii="Arial"/>
                <w:color w:val="auto"/>
                <w:sz w:val="21"/>
                <w:highlight w:val="none"/>
              </w:rPr>
            </w:pPr>
          </w:p>
        </w:tc>
        <w:tc>
          <w:tcPr>
            <w:tcW w:w="1184" w:type="dxa"/>
            <w:vAlign w:val="top"/>
          </w:tcPr>
          <w:p w14:paraId="1421663A">
            <w:pPr>
              <w:rPr>
                <w:rFonts w:ascii="Arial"/>
                <w:color w:val="auto"/>
                <w:sz w:val="21"/>
                <w:highlight w:val="none"/>
              </w:rPr>
            </w:pPr>
          </w:p>
        </w:tc>
        <w:tc>
          <w:tcPr>
            <w:tcW w:w="1184" w:type="dxa"/>
            <w:vAlign w:val="top"/>
          </w:tcPr>
          <w:p w14:paraId="71D7AFBE">
            <w:pPr>
              <w:rPr>
                <w:rFonts w:ascii="Arial"/>
                <w:color w:val="auto"/>
                <w:sz w:val="21"/>
                <w:highlight w:val="none"/>
              </w:rPr>
            </w:pPr>
          </w:p>
        </w:tc>
        <w:tc>
          <w:tcPr>
            <w:tcW w:w="1184" w:type="dxa"/>
            <w:vAlign w:val="top"/>
          </w:tcPr>
          <w:p w14:paraId="3AD5F5E6">
            <w:pPr>
              <w:rPr>
                <w:rFonts w:ascii="Arial"/>
                <w:color w:val="auto"/>
                <w:sz w:val="21"/>
                <w:highlight w:val="none"/>
              </w:rPr>
            </w:pPr>
          </w:p>
        </w:tc>
        <w:tc>
          <w:tcPr>
            <w:tcW w:w="1184" w:type="dxa"/>
            <w:vAlign w:val="top"/>
          </w:tcPr>
          <w:p w14:paraId="4BDAE657">
            <w:pPr>
              <w:rPr>
                <w:rFonts w:ascii="Arial"/>
                <w:color w:val="auto"/>
                <w:sz w:val="21"/>
                <w:highlight w:val="none"/>
              </w:rPr>
            </w:pPr>
          </w:p>
        </w:tc>
        <w:tc>
          <w:tcPr>
            <w:tcW w:w="1193" w:type="dxa"/>
            <w:tcBorders>
              <w:right w:val="single" w:color="000000" w:sz="6" w:space="0"/>
            </w:tcBorders>
            <w:vAlign w:val="top"/>
          </w:tcPr>
          <w:p w14:paraId="5C83C5ED">
            <w:pPr>
              <w:rPr>
                <w:rFonts w:ascii="Arial"/>
                <w:color w:val="auto"/>
                <w:sz w:val="21"/>
                <w:highlight w:val="none"/>
              </w:rPr>
            </w:pPr>
          </w:p>
        </w:tc>
      </w:tr>
      <w:tr w14:paraId="6F444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193" w:type="dxa"/>
            <w:tcBorders>
              <w:left w:val="single" w:color="000000" w:sz="6" w:space="0"/>
            </w:tcBorders>
            <w:vAlign w:val="top"/>
          </w:tcPr>
          <w:p w14:paraId="3AF12AB3">
            <w:pPr>
              <w:rPr>
                <w:rFonts w:ascii="Arial"/>
                <w:color w:val="auto"/>
                <w:sz w:val="21"/>
                <w:highlight w:val="none"/>
              </w:rPr>
            </w:pPr>
          </w:p>
        </w:tc>
        <w:tc>
          <w:tcPr>
            <w:tcW w:w="1179" w:type="dxa"/>
            <w:vAlign w:val="top"/>
          </w:tcPr>
          <w:p w14:paraId="4A933FA5">
            <w:pPr>
              <w:rPr>
                <w:rFonts w:ascii="Arial"/>
                <w:color w:val="auto"/>
                <w:sz w:val="21"/>
                <w:highlight w:val="none"/>
              </w:rPr>
            </w:pPr>
          </w:p>
        </w:tc>
        <w:tc>
          <w:tcPr>
            <w:tcW w:w="1184" w:type="dxa"/>
            <w:vAlign w:val="top"/>
          </w:tcPr>
          <w:p w14:paraId="1ED07502">
            <w:pPr>
              <w:rPr>
                <w:rFonts w:ascii="Arial"/>
                <w:color w:val="auto"/>
                <w:sz w:val="21"/>
                <w:highlight w:val="none"/>
              </w:rPr>
            </w:pPr>
          </w:p>
        </w:tc>
        <w:tc>
          <w:tcPr>
            <w:tcW w:w="1184" w:type="dxa"/>
            <w:vAlign w:val="top"/>
          </w:tcPr>
          <w:p w14:paraId="081CDD56">
            <w:pPr>
              <w:rPr>
                <w:rFonts w:ascii="Arial"/>
                <w:color w:val="auto"/>
                <w:sz w:val="21"/>
                <w:highlight w:val="none"/>
              </w:rPr>
            </w:pPr>
          </w:p>
        </w:tc>
        <w:tc>
          <w:tcPr>
            <w:tcW w:w="1184" w:type="dxa"/>
            <w:vAlign w:val="top"/>
          </w:tcPr>
          <w:p w14:paraId="161C0A80">
            <w:pPr>
              <w:rPr>
                <w:rFonts w:ascii="Arial"/>
                <w:color w:val="auto"/>
                <w:sz w:val="21"/>
                <w:highlight w:val="none"/>
              </w:rPr>
            </w:pPr>
          </w:p>
        </w:tc>
        <w:tc>
          <w:tcPr>
            <w:tcW w:w="1184" w:type="dxa"/>
            <w:vAlign w:val="top"/>
          </w:tcPr>
          <w:p w14:paraId="42E31B47">
            <w:pPr>
              <w:rPr>
                <w:rFonts w:ascii="Arial"/>
                <w:color w:val="auto"/>
                <w:sz w:val="21"/>
                <w:highlight w:val="none"/>
              </w:rPr>
            </w:pPr>
          </w:p>
        </w:tc>
        <w:tc>
          <w:tcPr>
            <w:tcW w:w="1193" w:type="dxa"/>
            <w:tcBorders>
              <w:right w:val="single" w:color="000000" w:sz="6" w:space="0"/>
            </w:tcBorders>
            <w:vAlign w:val="top"/>
          </w:tcPr>
          <w:p w14:paraId="5B4E9164">
            <w:pPr>
              <w:rPr>
                <w:rFonts w:ascii="Arial"/>
                <w:color w:val="auto"/>
                <w:sz w:val="21"/>
                <w:highlight w:val="none"/>
              </w:rPr>
            </w:pPr>
          </w:p>
        </w:tc>
      </w:tr>
      <w:tr w14:paraId="400BE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193" w:type="dxa"/>
            <w:tcBorders>
              <w:left w:val="single" w:color="000000" w:sz="6" w:space="0"/>
              <w:bottom w:val="single" w:color="000000" w:sz="6" w:space="0"/>
            </w:tcBorders>
            <w:vAlign w:val="top"/>
          </w:tcPr>
          <w:p w14:paraId="70471BA2">
            <w:pPr>
              <w:rPr>
                <w:rFonts w:ascii="Arial"/>
                <w:color w:val="auto"/>
                <w:sz w:val="21"/>
                <w:highlight w:val="none"/>
              </w:rPr>
            </w:pPr>
          </w:p>
        </w:tc>
        <w:tc>
          <w:tcPr>
            <w:tcW w:w="1179" w:type="dxa"/>
            <w:tcBorders>
              <w:bottom w:val="single" w:color="000000" w:sz="6" w:space="0"/>
            </w:tcBorders>
            <w:vAlign w:val="top"/>
          </w:tcPr>
          <w:p w14:paraId="405C8D7B">
            <w:pPr>
              <w:rPr>
                <w:rFonts w:ascii="Arial"/>
                <w:color w:val="auto"/>
                <w:sz w:val="21"/>
                <w:highlight w:val="none"/>
              </w:rPr>
            </w:pPr>
          </w:p>
        </w:tc>
        <w:tc>
          <w:tcPr>
            <w:tcW w:w="1184" w:type="dxa"/>
            <w:tcBorders>
              <w:bottom w:val="single" w:color="000000" w:sz="6" w:space="0"/>
            </w:tcBorders>
            <w:vAlign w:val="top"/>
          </w:tcPr>
          <w:p w14:paraId="5BC055F7">
            <w:pPr>
              <w:rPr>
                <w:rFonts w:ascii="Arial"/>
                <w:color w:val="auto"/>
                <w:sz w:val="21"/>
                <w:highlight w:val="none"/>
              </w:rPr>
            </w:pPr>
          </w:p>
        </w:tc>
        <w:tc>
          <w:tcPr>
            <w:tcW w:w="1184" w:type="dxa"/>
            <w:tcBorders>
              <w:bottom w:val="single" w:color="000000" w:sz="6" w:space="0"/>
            </w:tcBorders>
            <w:vAlign w:val="top"/>
          </w:tcPr>
          <w:p w14:paraId="2D0808B1">
            <w:pPr>
              <w:rPr>
                <w:rFonts w:ascii="Arial"/>
                <w:color w:val="auto"/>
                <w:sz w:val="21"/>
                <w:highlight w:val="none"/>
              </w:rPr>
            </w:pPr>
          </w:p>
        </w:tc>
        <w:tc>
          <w:tcPr>
            <w:tcW w:w="1184" w:type="dxa"/>
            <w:tcBorders>
              <w:bottom w:val="single" w:color="000000" w:sz="6" w:space="0"/>
            </w:tcBorders>
            <w:vAlign w:val="top"/>
          </w:tcPr>
          <w:p w14:paraId="69E746F0">
            <w:pPr>
              <w:rPr>
                <w:rFonts w:ascii="Arial"/>
                <w:color w:val="auto"/>
                <w:sz w:val="21"/>
                <w:highlight w:val="none"/>
              </w:rPr>
            </w:pPr>
          </w:p>
        </w:tc>
        <w:tc>
          <w:tcPr>
            <w:tcW w:w="1184" w:type="dxa"/>
            <w:tcBorders>
              <w:bottom w:val="single" w:color="000000" w:sz="6" w:space="0"/>
            </w:tcBorders>
            <w:vAlign w:val="top"/>
          </w:tcPr>
          <w:p w14:paraId="3354BC7E">
            <w:pPr>
              <w:rPr>
                <w:rFonts w:ascii="Arial"/>
                <w:color w:val="auto"/>
                <w:sz w:val="21"/>
                <w:highlight w:val="none"/>
              </w:rPr>
            </w:pPr>
          </w:p>
        </w:tc>
        <w:tc>
          <w:tcPr>
            <w:tcW w:w="1193" w:type="dxa"/>
            <w:tcBorders>
              <w:bottom w:val="single" w:color="000000" w:sz="6" w:space="0"/>
              <w:right w:val="single" w:color="000000" w:sz="6" w:space="0"/>
            </w:tcBorders>
            <w:vAlign w:val="top"/>
          </w:tcPr>
          <w:p w14:paraId="79C32B2E">
            <w:pPr>
              <w:rPr>
                <w:rFonts w:ascii="Arial"/>
                <w:color w:val="auto"/>
                <w:sz w:val="21"/>
                <w:highlight w:val="none"/>
              </w:rPr>
            </w:pPr>
          </w:p>
        </w:tc>
      </w:tr>
    </w:tbl>
    <w:p w14:paraId="02ECB84E">
      <w:pPr>
        <w:spacing w:before="139" w:line="352" w:lineRule="auto"/>
        <w:ind w:left="632" w:right="11" w:hanging="61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备注：“目前状况”应说明已使用年限、是否完好以及目前是否正</w:t>
      </w:r>
      <w:r>
        <w:rPr>
          <w:rFonts w:ascii="宋体" w:hAnsi="宋体" w:eastAsia="宋体" w:cs="宋体"/>
          <w:color w:val="auto"/>
          <w:spacing w:val="2"/>
          <w:sz w:val="21"/>
          <w:szCs w:val="21"/>
          <w:highlight w:val="none"/>
        </w:rPr>
        <w:t>在使用，“来源”分为</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“自有”和“市场租赁”两种情况，正在使</w:t>
      </w:r>
      <w:r>
        <w:rPr>
          <w:rFonts w:ascii="宋体" w:hAnsi="宋体" w:eastAsia="宋体" w:cs="宋体"/>
          <w:color w:val="auto"/>
          <w:spacing w:val="3"/>
          <w:sz w:val="21"/>
          <w:szCs w:val="21"/>
          <w:highlight w:val="none"/>
        </w:rPr>
        <w:t>用中的设备应在“备注”中注明何时能</w:t>
      </w:r>
      <w:r>
        <w:rPr>
          <w:rFonts w:ascii="宋体" w:hAnsi="宋体" w:eastAsia="宋体" w:cs="宋体"/>
          <w:color w:val="auto"/>
          <w:sz w:val="21"/>
          <w:szCs w:val="21"/>
          <w:highlight w:val="none"/>
        </w:rPr>
        <w:t xml:space="preserve"> </w:t>
      </w:r>
      <w:r>
        <w:rPr>
          <w:rFonts w:ascii="宋体" w:hAnsi="宋体" w:eastAsia="宋体" w:cs="宋体"/>
          <w:color w:val="auto"/>
          <w:spacing w:val="4"/>
          <w:sz w:val="21"/>
          <w:szCs w:val="21"/>
          <w:highlight w:val="none"/>
        </w:rPr>
        <w:t>够投入本项目。本招标项目（标段）投标人</w:t>
      </w:r>
      <w:r>
        <w:rPr>
          <w:rFonts w:ascii="宋体" w:hAnsi="宋体" w:eastAsia="宋体" w:cs="宋体"/>
          <w:color w:val="auto"/>
          <w:spacing w:val="3"/>
          <w:sz w:val="21"/>
          <w:szCs w:val="21"/>
          <w:highlight w:val="none"/>
        </w:rPr>
        <w:t>资质条件、能力和信誉中要求的主要施</w:t>
      </w:r>
    </w:p>
    <w:p w14:paraId="0C483DEE">
      <w:pPr>
        <w:spacing w:line="219" w:lineRule="auto"/>
        <w:ind w:left="65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工机械设备，投标人应提供相关证明材料。</w:t>
      </w:r>
    </w:p>
    <w:p w14:paraId="7DFF595F">
      <w:pPr>
        <w:spacing w:line="219" w:lineRule="auto"/>
        <w:rPr>
          <w:rFonts w:ascii="宋体" w:hAnsi="宋体" w:eastAsia="宋体" w:cs="宋体"/>
          <w:color w:val="auto"/>
          <w:sz w:val="21"/>
          <w:szCs w:val="21"/>
          <w:highlight w:val="none"/>
        </w:rPr>
        <w:sectPr>
          <w:footerReference r:id="rId231" w:type="default"/>
          <w:pgSz w:w="11905" w:h="16839"/>
          <w:pgMar w:top="400" w:right="1785" w:bottom="1004" w:left="1785" w:header="0" w:footer="828" w:gutter="0"/>
          <w:pgNumType w:fmt="decimal"/>
          <w:cols w:space="720" w:num="1"/>
        </w:sectPr>
      </w:pPr>
    </w:p>
    <w:p w14:paraId="4EF4EDBB">
      <w:pPr>
        <w:pStyle w:val="3"/>
        <w:spacing w:line="267" w:lineRule="auto"/>
        <w:rPr>
          <w:color w:val="auto"/>
          <w:highlight w:val="none"/>
        </w:rPr>
      </w:pPr>
    </w:p>
    <w:p w14:paraId="5422096F">
      <w:pPr>
        <w:pStyle w:val="3"/>
        <w:spacing w:line="268" w:lineRule="auto"/>
        <w:rPr>
          <w:color w:val="auto"/>
          <w:highlight w:val="none"/>
        </w:rPr>
      </w:pPr>
    </w:p>
    <w:p w14:paraId="0B3C50C2">
      <w:pPr>
        <w:pStyle w:val="3"/>
        <w:spacing w:line="268" w:lineRule="auto"/>
        <w:rPr>
          <w:color w:val="auto"/>
          <w:highlight w:val="none"/>
        </w:rPr>
      </w:pPr>
    </w:p>
    <w:p w14:paraId="4488230E">
      <w:pPr>
        <w:pStyle w:val="3"/>
        <w:spacing w:line="268" w:lineRule="auto"/>
        <w:rPr>
          <w:color w:val="auto"/>
          <w:highlight w:val="none"/>
        </w:rPr>
      </w:pPr>
    </w:p>
    <w:p w14:paraId="3280A8B3">
      <w:pPr>
        <w:spacing w:before="78" w:line="218" w:lineRule="auto"/>
        <w:ind w:left="2993"/>
        <w:rPr>
          <w:rFonts w:ascii="黑体" w:hAnsi="黑体" w:eastAsia="黑体" w:cs="黑体"/>
          <w:color w:val="auto"/>
          <w:sz w:val="24"/>
          <w:szCs w:val="24"/>
          <w:highlight w:val="none"/>
        </w:rPr>
      </w:pPr>
      <w:bookmarkStart w:id="1347" w:name="bookmark320"/>
      <w:bookmarkEnd w:id="1347"/>
      <w:r>
        <w:rPr>
          <w:rFonts w:ascii="黑体" w:hAnsi="黑体" w:eastAsia="黑体" w:cs="黑体"/>
          <w:color w:val="auto"/>
          <w:spacing w:val="-3"/>
          <w:sz w:val="24"/>
          <w:szCs w:val="24"/>
          <w:highlight w:val="none"/>
        </w:rPr>
        <w:t>（二）近年财务状况表</w:t>
      </w:r>
    </w:p>
    <w:p w14:paraId="01FF72AD">
      <w:pPr>
        <w:spacing w:before="161"/>
        <w:rPr>
          <w:color w:val="auto"/>
          <w:highlight w:val="none"/>
        </w:rPr>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24"/>
        <w:gridCol w:w="773"/>
        <w:gridCol w:w="1430"/>
        <w:gridCol w:w="1425"/>
        <w:gridCol w:w="1425"/>
        <w:gridCol w:w="1434"/>
      </w:tblGrid>
      <w:tr w14:paraId="5B837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7C4B6D40">
            <w:pPr>
              <w:pStyle w:val="11"/>
              <w:spacing w:before="149" w:line="223" w:lineRule="auto"/>
              <w:ind w:left="711"/>
              <w:rPr>
                <w:color w:val="auto"/>
                <w:highlight w:val="none"/>
              </w:rPr>
            </w:pPr>
            <w:r>
              <w:rPr>
                <w:color w:val="auto"/>
                <w:spacing w:val="-3"/>
                <w:highlight w:val="none"/>
                <w14:textOutline w14:w="3831" w14:cap="flat" w14:cmpd="sng">
                  <w14:solidFill>
                    <w14:srgbClr w14:val="000000"/>
                  </w14:solidFill>
                  <w14:prstDash w14:val="solid"/>
                  <w14:miter w14:val="0"/>
                </w14:textOutline>
              </w:rPr>
              <w:t>名称</w:t>
            </w:r>
          </w:p>
        </w:tc>
        <w:tc>
          <w:tcPr>
            <w:tcW w:w="773" w:type="dxa"/>
            <w:vAlign w:val="top"/>
          </w:tcPr>
          <w:p w14:paraId="0D8EAF7F">
            <w:pPr>
              <w:pStyle w:val="11"/>
              <w:spacing w:before="149" w:line="221" w:lineRule="auto"/>
              <w:ind w:left="178"/>
              <w:rPr>
                <w:color w:val="auto"/>
                <w:highlight w:val="none"/>
              </w:rPr>
            </w:pPr>
            <w:r>
              <w:rPr>
                <w:color w:val="auto"/>
                <w:spacing w:val="-2"/>
                <w:highlight w:val="none"/>
                <w14:textOutline w14:w="3831" w14:cap="flat" w14:cmpd="sng">
                  <w14:solidFill>
                    <w14:srgbClr w14:val="000000"/>
                  </w14:solidFill>
                  <w14:prstDash w14:val="solid"/>
                  <w14:miter w14:val="0"/>
                </w14:textOutline>
              </w:rPr>
              <w:t>单位</w:t>
            </w:r>
          </w:p>
        </w:tc>
        <w:tc>
          <w:tcPr>
            <w:tcW w:w="1430" w:type="dxa"/>
            <w:vAlign w:val="top"/>
          </w:tcPr>
          <w:p w14:paraId="45166FD0">
            <w:pPr>
              <w:pStyle w:val="11"/>
              <w:tabs>
                <w:tab w:val="left" w:pos="764"/>
              </w:tabs>
              <w:spacing w:before="149" w:line="221" w:lineRule="auto"/>
              <w:ind w:left="447"/>
              <w:rPr>
                <w:color w:val="auto"/>
                <w:highlight w:val="none"/>
              </w:rPr>
            </w:pPr>
            <w:r>
              <w:rPr>
                <w:color w:val="auto"/>
                <w:highlight w:val="none"/>
                <w:u w:val="single" w:color="auto"/>
              </w:rPr>
              <w:tab/>
            </w:r>
            <w:r>
              <w:rPr>
                <w:color w:val="auto"/>
                <w:spacing w:val="-96"/>
                <w:highlight w:val="none"/>
              </w:rPr>
              <w:t xml:space="preserve"> </w:t>
            </w:r>
            <w:r>
              <w:rPr>
                <w:color w:val="auto"/>
                <w:highlight w:val="none"/>
                <w14:textOutline w14:w="3831" w14:cap="flat" w14:cmpd="sng">
                  <w14:solidFill>
                    <w14:srgbClr w14:val="000000"/>
                  </w14:solidFill>
                  <w14:prstDash w14:val="solid"/>
                  <w14:miter w14:val="0"/>
                </w14:textOutline>
              </w:rPr>
              <w:t>年</w:t>
            </w:r>
          </w:p>
        </w:tc>
        <w:tc>
          <w:tcPr>
            <w:tcW w:w="1425" w:type="dxa"/>
            <w:vAlign w:val="top"/>
          </w:tcPr>
          <w:p w14:paraId="20042887">
            <w:pPr>
              <w:pStyle w:val="11"/>
              <w:tabs>
                <w:tab w:val="left" w:pos="816"/>
              </w:tabs>
              <w:spacing w:before="149" w:line="221" w:lineRule="auto"/>
              <w:ind w:left="501"/>
              <w:rPr>
                <w:color w:val="auto"/>
                <w:highlight w:val="none"/>
              </w:rPr>
            </w:pPr>
            <w:r>
              <w:rPr>
                <w:color w:val="auto"/>
                <w:highlight w:val="none"/>
                <w:u w:val="single" w:color="auto"/>
              </w:rPr>
              <w:tab/>
            </w:r>
            <w:r>
              <w:rPr>
                <w:color w:val="auto"/>
                <w:spacing w:val="-95"/>
                <w:highlight w:val="none"/>
              </w:rPr>
              <w:t xml:space="preserve"> </w:t>
            </w:r>
            <w:r>
              <w:rPr>
                <w:color w:val="auto"/>
                <w:highlight w:val="none"/>
                <w14:textOutline w14:w="3831" w14:cap="flat" w14:cmpd="sng">
                  <w14:solidFill>
                    <w14:srgbClr w14:val="000000"/>
                  </w14:solidFill>
                  <w14:prstDash w14:val="solid"/>
                  <w14:miter w14:val="0"/>
                </w14:textOutline>
              </w:rPr>
              <w:t>年</w:t>
            </w:r>
          </w:p>
        </w:tc>
        <w:tc>
          <w:tcPr>
            <w:tcW w:w="1425" w:type="dxa"/>
            <w:vAlign w:val="top"/>
          </w:tcPr>
          <w:p w14:paraId="3B278896">
            <w:pPr>
              <w:pStyle w:val="11"/>
              <w:tabs>
                <w:tab w:val="left" w:pos="765"/>
              </w:tabs>
              <w:spacing w:before="149" w:line="221" w:lineRule="auto"/>
              <w:ind w:left="449"/>
              <w:rPr>
                <w:color w:val="auto"/>
                <w:highlight w:val="none"/>
              </w:rPr>
            </w:pPr>
            <w:r>
              <w:rPr>
                <w:color w:val="auto"/>
                <w:highlight w:val="none"/>
                <w:u w:val="single" w:color="auto"/>
              </w:rPr>
              <w:tab/>
            </w:r>
            <w:r>
              <w:rPr>
                <w:color w:val="auto"/>
                <w:spacing w:val="-96"/>
                <w:highlight w:val="none"/>
              </w:rPr>
              <w:t xml:space="preserve"> </w:t>
            </w:r>
            <w:r>
              <w:rPr>
                <w:color w:val="auto"/>
                <w:highlight w:val="none"/>
                <w14:textOutline w14:w="3831" w14:cap="flat" w14:cmpd="sng">
                  <w14:solidFill>
                    <w14:srgbClr w14:val="000000"/>
                  </w14:solidFill>
                  <w14:prstDash w14:val="solid"/>
                  <w14:miter w14:val="0"/>
                </w14:textOutline>
              </w:rPr>
              <w:t>年</w:t>
            </w:r>
          </w:p>
        </w:tc>
        <w:tc>
          <w:tcPr>
            <w:tcW w:w="1434" w:type="dxa"/>
            <w:vAlign w:val="top"/>
          </w:tcPr>
          <w:p w14:paraId="28FD44A1">
            <w:pPr>
              <w:pStyle w:val="11"/>
              <w:spacing w:before="149" w:line="221" w:lineRule="auto"/>
              <w:ind w:left="193"/>
              <w:rPr>
                <w:color w:val="auto"/>
                <w:highlight w:val="none"/>
              </w:rPr>
            </w:pPr>
            <w:r>
              <w:rPr>
                <w:color w:val="auto"/>
                <w:spacing w:val="-1"/>
                <w:highlight w:val="none"/>
                <w14:textOutline w14:w="3831" w14:cap="flat" w14:cmpd="sng">
                  <w14:solidFill>
                    <w14:srgbClr w14:val="000000"/>
                  </w14:solidFill>
                  <w14:prstDash w14:val="solid"/>
                  <w14:miter w14:val="0"/>
                </w14:textOutline>
              </w:rPr>
              <w:t>近年平均值</w:t>
            </w:r>
          </w:p>
        </w:tc>
      </w:tr>
      <w:tr w14:paraId="60D6D2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576C3739">
            <w:pPr>
              <w:pStyle w:val="11"/>
              <w:spacing w:before="150" w:line="222" w:lineRule="auto"/>
              <w:ind w:left="122"/>
              <w:rPr>
                <w:color w:val="auto"/>
                <w:highlight w:val="none"/>
              </w:rPr>
            </w:pPr>
            <w:r>
              <w:rPr>
                <w:color w:val="auto"/>
                <w:spacing w:val="-1"/>
                <w:highlight w:val="none"/>
              </w:rPr>
              <w:t>一．注册资金</w:t>
            </w:r>
          </w:p>
        </w:tc>
        <w:tc>
          <w:tcPr>
            <w:tcW w:w="773" w:type="dxa"/>
            <w:vAlign w:val="top"/>
          </w:tcPr>
          <w:p w14:paraId="0886CB02">
            <w:pPr>
              <w:pStyle w:val="11"/>
              <w:spacing w:before="150" w:line="221" w:lineRule="auto"/>
              <w:ind w:left="284"/>
              <w:rPr>
                <w:color w:val="auto"/>
                <w:highlight w:val="none"/>
              </w:rPr>
            </w:pPr>
            <w:r>
              <w:rPr>
                <w:color w:val="auto"/>
                <w:highlight w:val="none"/>
              </w:rPr>
              <w:t>元</w:t>
            </w:r>
          </w:p>
        </w:tc>
        <w:tc>
          <w:tcPr>
            <w:tcW w:w="1430" w:type="dxa"/>
            <w:vAlign w:val="top"/>
          </w:tcPr>
          <w:p w14:paraId="705E8FD6">
            <w:pPr>
              <w:rPr>
                <w:rFonts w:ascii="Arial"/>
                <w:color w:val="auto"/>
                <w:sz w:val="21"/>
                <w:highlight w:val="none"/>
              </w:rPr>
            </w:pPr>
          </w:p>
        </w:tc>
        <w:tc>
          <w:tcPr>
            <w:tcW w:w="1425" w:type="dxa"/>
            <w:vAlign w:val="top"/>
          </w:tcPr>
          <w:p w14:paraId="4C7D0E1A">
            <w:pPr>
              <w:rPr>
                <w:rFonts w:ascii="Arial"/>
                <w:color w:val="auto"/>
                <w:sz w:val="21"/>
                <w:highlight w:val="none"/>
              </w:rPr>
            </w:pPr>
          </w:p>
        </w:tc>
        <w:tc>
          <w:tcPr>
            <w:tcW w:w="1425" w:type="dxa"/>
            <w:vAlign w:val="top"/>
          </w:tcPr>
          <w:p w14:paraId="4787CFC5">
            <w:pPr>
              <w:rPr>
                <w:rFonts w:ascii="Arial"/>
                <w:color w:val="auto"/>
                <w:sz w:val="21"/>
                <w:highlight w:val="none"/>
              </w:rPr>
            </w:pPr>
          </w:p>
        </w:tc>
        <w:tc>
          <w:tcPr>
            <w:tcW w:w="1434" w:type="dxa"/>
            <w:vAlign w:val="top"/>
          </w:tcPr>
          <w:p w14:paraId="1213FD65">
            <w:pPr>
              <w:pStyle w:val="11"/>
              <w:spacing w:before="250" w:line="142" w:lineRule="exact"/>
              <w:ind w:left="668"/>
              <w:rPr>
                <w:color w:val="auto"/>
                <w:highlight w:val="none"/>
              </w:rPr>
            </w:pPr>
            <w:r>
              <w:rPr>
                <w:color w:val="auto"/>
                <w:position w:val="-3"/>
                <w:highlight w:val="none"/>
              </w:rPr>
              <w:t>-</w:t>
            </w:r>
          </w:p>
        </w:tc>
      </w:tr>
      <w:tr w14:paraId="4E39B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2D76C5A2">
            <w:pPr>
              <w:pStyle w:val="11"/>
              <w:spacing w:before="150" w:line="221" w:lineRule="auto"/>
              <w:ind w:left="122"/>
              <w:rPr>
                <w:color w:val="auto"/>
                <w:highlight w:val="none"/>
              </w:rPr>
            </w:pPr>
            <w:r>
              <w:rPr>
                <w:color w:val="auto"/>
                <w:spacing w:val="-1"/>
                <w:highlight w:val="none"/>
              </w:rPr>
              <w:t>二．净资产</w:t>
            </w:r>
          </w:p>
        </w:tc>
        <w:tc>
          <w:tcPr>
            <w:tcW w:w="773" w:type="dxa"/>
            <w:vAlign w:val="top"/>
          </w:tcPr>
          <w:p w14:paraId="783AF92B">
            <w:pPr>
              <w:pStyle w:val="11"/>
              <w:spacing w:before="151" w:line="221" w:lineRule="auto"/>
              <w:ind w:left="284"/>
              <w:rPr>
                <w:color w:val="auto"/>
                <w:highlight w:val="none"/>
              </w:rPr>
            </w:pPr>
            <w:r>
              <w:rPr>
                <w:color w:val="auto"/>
                <w:highlight w:val="none"/>
              </w:rPr>
              <w:t>元</w:t>
            </w:r>
          </w:p>
        </w:tc>
        <w:tc>
          <w:tcPr>
            <w:tcW w:w="1430" w:type="dxa"/>
            <w:vAlign w:val="top"/>
          </w:tcPr>
          <w:p w14:paraId="6B0A6A7B">
            <w:pPr>
              <w:rPr>
                <w:rFonts w:ascii="Arial"/>
                <w:color w:val="auto"/>
                <w:sz w:val="21"/>
                <w:highlight w:val="none"/>
              </w:rPr>
            </w:pPr>
          </w:p>
        </w:tc>
        <w:tc>
          <w:tcPr>
            <w:tcW w:w="1425" w:type="dxa"/>
            <w:vAlign w:val="top"/>
          </w:tcPr>
          <w:p w14:paraId="3CB29D5E">
            <w:pPr>
              <w:rPr>
                <w:rFonts w:ascii="Arial"/>
                <w:color w:val="auto"/>
                <w:sz w:val="21"/>
                <w:highlight w:val="none"/>
              </w:rPr>
            </w:pPr>
          </w:p>
        </w:tc>
        <w:tc>
          <w:tcPr>
            <w:tcW w:w="1425" w:type="dxa"/>
            <w:vAlign w:val="top"/>
          </w:tcPr>
          <w:p w14:paraId="71ED586E">
            <w:pPr>
              <w:rPr>
                <w:rFonts w:ascii="Arial"/>
                <w:color w:val="auto"/>
                <w:sz w:val="21"/>
                <w:highlight w:val="none"/>
              </w:rPr>
            </w:pPr>
          </w:p>
        </w:tc>
        <w:tc>
          <w:tcPr>
            <w:tcW w:w="1434" w:type="dxa"/>
            <w:vAlign w:val="top"/>
          </w:tcPr>
          <w:p w14:paraId="16EE9D50">
            <w:pPr>
              <w:pStyle w:val="11"/>
              <w:spacing w:before="251" w:line="141" w:lineRule="exact"/>
              <w:ind w:left="668"/>
              <w:rPr>
                <w:color w:val="auto"/>
                <w:highlight w:val="none"/>
              </w:rPr>
            </w:pPr>
            <w:r>
              <w:rPr>
                <w:color w:val="auto"/>
                <w:position w:val="-3"/>
                <w:highlight w:val="none"/>
              </w:rPr>
              <w:t>-</w:t>
            </w:r>
          </w:p>
        </w:tc>
      </w:tr>
      <w:tr w14:paraId="2D53C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351E2721">
            <w:pPr>
              <w:pStyle w:val="11"/>
              <w:spacing w:before="145" w:line="221" w:lineRule="auto"/>
              <w:ind w:left="118"/>
              <w:rPr>
                <w:color w:val="auto"/>
                <w:highlight w:val="none"/>
              </w:rPr>
            </w:pPr>
            <w:r>
              <w:rPr>
                <w:color w:val="auto"/>
                <w:highlight w:val="none"/>
              </w:rPr>
              <w:t>三．总资产</w:t>
            </w:r>
          </w:p>
        </w:tc>
        <w:tc>
          <w:tcPr>
            <w:tcW w:w="773" w:type="dxa"/>
            <w:vAlign w:val="top"/>
          </w:tcPr>
          <w:p w14:paraId="5DEF2371">
            <w:pPr>
              <w:pStyle w:val="11"/>
              <w:spacing w:before="146" w:line="221" w:lineRule="auto"/>
              <w:ind w:left="284"/>
              <w:rPr>
                <w:color w:val="auto"/>
                <w:highlight w:val="none"/>
              </w:rPr>
            </w:pPr>
            <w:r>
              <w:rPr>
                <w:color w:val="auto"/>
                <w:highlight w:val="none"/>
              </w:rPr>
              <w:t>元</w:t>
            </w:r>
          </w:p>
        </w:tc>
        <w:tc>
          <w:tcPr>
            <w:tcW w:w="1430" w:type="dxa"/>
            <w:vAlign w:val="top"/>
          </w:tcPr>
          <w:p w14:paraId="196B16C8">
            <w:pPr>
              <w:rPr>
                <w:rFonts w:ascii="Arial"/>
                <w:color w:val="auto"/>
                <w:sz w:val="21"/>
                <w:highlight w:val="none"/>
              </w:rPr>
            </w:pPr>
          </w:p>
        </w:tc>
        <w:tc>
          <w:tcPr>
            <w:tcW w:w="1425" w:type="dxa"/>
            <w:vAlign w:val="top"/>
          </w:tcPr>
          <w:p w14:paraId="3F6BC94E">
            <w:pPr>
              <w:rPr>
                <w:rFonts w:ascii="Arial"/>
                <w:color w:val="auto"/>
                <w:sz w:val="21"/>
                <w:highlight w:val="none"/>
              </w:rPr>
            </w:pPr>
          </w:p>
        </w:tc>
        <w:tc>
          <w:tcPr>
            <w:tcW w:w="1425" w:type="dxa"/>
            <w:vAlign w:val="top"/>
          </w:tcPr>
          <w:p w14:paraId="46E255C2">
            <w:pPr>
              <w:rPr>
                <w:rFonts w:ascii="Arial"/>
                <w:color w:val="auto"/>
                <w:sz w:val="21"/>
                <w:highlight w:val="none"/>
              </w:rPr>
            </w:pPr>
          </w:p>
        </w:tc>
        <w:tc>
          <w:tcPr>
            <w:tcW w:w="1434" w:type="dxa"/>
            <w:vAlign w:val="top"/>
          </w:tcPr>
          <w:p w14:paraId="69E94194">
            <w:pPr>
              <w:rPr>
                <w:rFonts w:ascii="Arial"/>
                <w:color w:val="auto"/>
                <w:sz w:val="21"/>
                <w:highlight w:val="none"/>
              </w:rPr>
            </w:pPr>
          </w:p>
        </w:tc>
      </w:tr>
      <w:tr w14:paraId="194A8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4" w:hRule="atLeast"/>
        </w:trPr>
        <w:tc>
          <w:tcPr>
            <w:tcW w:w="1824" w:type="dxa"/>
            <w:vAlign w:val="top"/>
          </w:tcPr>
          <w:p w14:paraId="0FDC0045">
            <w:pPr>
              <w:pStyle w:val="11"/>
              <w:spacing w:before="151" w:line="221" w:lineRule="auto"/>
              <w:ind w:left="138"/>
              <w:rPr>
                <w:color w:val="auto"/>
                <w:highlight w:val="none"/>
              </w:rPr>
            </w:pPr>
            <w:r>
              <w:rPr>
                <w:color w:val="auto"/>
                <w:spacing w:val="-4"/>
                <w:highlight w:val="none"/>
              </w:rPr>
              <w:t>四．固定资产</w:t>
            </w:r>
          </w:p>
        </w:tc>
        <w:tc>
          <w:tcPr>
            <w:tcW w:w="773" w:type="dxa"/>
            <w:vAlign w:val="top"/>
          </w:tcPr>
          <w:p w14:paraId="556D3273">
            <w:pPr>
              <w:pStyle w:val="11"/>
              <w:spacing w:before="152" w:line="221" w:lineRule="auto"/>
              <w:ind w:left="284"/>
              <w:rPr>
                <w:color w:val="auto"/>
                <w:highlight w:val="none"/>
              </w:rPr>
            </w:pPr>
            <w:r>
              <w:rPr>
                <w:color w:val="auto"/>
                <w:highlight w:val="none"/>
              </w:rPr>
              <w:t>元</w:t>
            </w:r>
          </w:p>
        </w:tc>
        <w:tc>
          <w:tcPr>
            <w:tcW w:w="1430" w:type="dxa"/>
            <w:vAlign w:val="top"/>
          </w:tcPr>
          <w:p w14:paraId="68A25D89">
            <w:pPr>
              <w:rPr>
                <w:rFonts w:ascii="Arial"/>
                <w:color w:val="auto"/>
                <w:sz w:val="21"/>
                <w:highlight w:val="none"/>
              </w:rPr>
            </w:pPr>
          </w:p>
        </w:tc>
        <w:tc>
          <w:tcPr>
            <w:tcW w:w="1425" w:type="dxa"/>
            <w:vAlign w:val="top"/>
          </w:tcPr>
          <w:p w14:paraId="2F238A82">
            <w:pPr>
              <w:rPr>
                <w:rFonts w:ascii="Arial"/>
                <w:color w:val="auto"/>
                <w:sz w:val="21"/>
                <w:highlight w:val="none"/>
              </w:rPr>
            </w:pPr>
          </w:p>
        </w:tc>
        <w:tc>
          <w:tcPr>
            <w:tcW w:w="1425" w:type="dxa"/>
            <w:vAlign w:val="top"/>
          </w:tcPr>
          <w:p w14:paraId="1AA209C8">
            <w:pPr>
              <w:rPr>
                <w:rFonts w:ascii="Arial"/>
                <w:color w:val="auto"/>
                <w:sz w:val="21"/>
                <w:highlight w:val="none"/>
              </w:rPr>
            </w:pPr>
          </w:p>
        </w:tc>
        <w:tc>
          <w:tcPr>
            <w:tcW w:w="1434" w:type="dxa"/>
            <w:vAlign w:val="top"/>
          </w:tcPr>
          <w:p w14:paraId="4E1D6130">
            <w:pPr>
              <w:pStyle w:val="11"/>
              <w:spacing w:before="252" w:line="141" w:lineRule="exact"/>
              <w:ind w:left="668"/>
              <w:rPr>
                <w:color w:val="auto"/>
                <w:highlight w:val="none"/>
              </w:rPr>
            </w:pPr>
            <w:r>
              <w:rPr>
                <w:color w:val="auto"/>
                <w:position w:val="-3"/>
                <w:highlight w:val="none"/>
              </w:rPr>
              <w:t>-</w:t>
            </w:r>
          </w:p>
        </w:tc>
      </w:tr>
      <w:tr w14:paraId="1BBF5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01D36690">
            <w:pPr>
              <w:pStyle w:val="11"/>
              <w:spacing w:before="150" w:line="221" w:lineRule="auto"/>
              <w:ind w:left="122"/>
              <w:rPr>
                <w:color w:val="auto"/>
                <w:highlight w:val="none"/>
              </w:rPr>
            </w:pPr>
            <w:r>
              <w:rPr>
                <w:color w:val="auto"/>
                <w:spacing w:val="-1"/>
                <w:highlight w:val="none"/>
              </w:rPr>
              <w:t>五．流动资产</w:t>
            </w:r>
          </w:p>
        </w:tc>
        <w:tc>
          <w:tcPr>
            <w:tcW w:w="773" w:type="dxa"/>
            <w:vAlign w:val="top"/>
          </w:tcPr>
          <w:p w14:paraId="12823EF0">
            <w:pPr>
              <w:pStyle w:val="11"/>
              <w:spacing w:before="151" w:line="221" w:lineRule="auto"/>
              <w:ind w:left="284"/>
              <w:rPr>
                <w:color w:val="auto"/>
                <w:highlight w:val="none"/>
              </w:rPr>
            </w:pPr>
            <w:r>
              <w:rPr>
                <w:color w:val="auto"/>
                <w:highlight w:val="none"/>
              </w:rPr>
              <w:t>元</w:t>
            </w:r>
          </w:p>
        </w:tc>
        <w:tc>
          <w:tcPr>
            <w:tcW w:w="1430" w:type="dxa"/>
            <w:vAlign w:val="top"/>
          </w:tcPr>
          <w:p w14:paraId="590C95A7">
            <w:pPr>
              <w:rPr>
                <w:rFonts w:ascii="Arial"/>
                <w:color w:val="auto"/>
                <w:sz w:val="21"/>
                <w:highlight w:val="none"/>
              </w:rPr>
            </w:pPr>
          </w:p>
        </w:tc>
        <w:tc>
          <w:tcPr>
            <w:tcW w:w="1425" w:type="dxa"/>
            <w:vAlign w:val="top"/>
          </w:tcPr>
          <w:p w14:paraId="31D922A2">
            <w:pPr>
              <w:rPr>
                <w:rFonts w:ascii="Arial"/>
                <w:color w:val="auto"/>
                <w:sz w:val="21"/>
                <w:highlight w:val="none"/>
              </w:rPr>
            </w:pPr>
          </w:p>
        </w:tc>
        <w:tc>
          <w:tcPr>
            <w:tcW w:w="1425" w:type="dxa"/>
            <w:vAlign w:val="top"/>
          </w:tcPr>
          <w:p w14:paraId="3FE6C529">
            <w:pPr>
              <w:rPr>
                <w:rFonts w:ascii="Arial"/>
                <w:color w:val="auto"/>
                <w:sz w:val="21"/>
                <w:highlight w:val="none"/>
              </w:rPr>
            </w:pPr>
          </w:p>
        </w:tc>
        <w:tc>
          <w:tcPr>
            <w:tcW w:w="1434" w:type="dxa"/>
            <w:vAlign w:val="top"/>
          </w:tcPr>
          <w:p w14:paraId="05C6E434">
            <w:pPr>
              <w:rPr>
                <w:rFonts w:ascii="Arial"/>
                <w:color w:val="auto"/>
                <w:sz w:val="21"/>
                <w:highlight w:val="none"/>
              </w:rPr>
            </w:pPr>
          </w:p>
        </w:tc>
      </w:tr>
      <w:tr w14:paraId="7A367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66799B30">
            <w:pPr>
              <w:pStyle w:val="11"/>
              <w:spacing w:before="146" w:line="221" w:lineRule="auto"/>
              <w:ind w:left="120"/>
              <w:rPr>
                <w:color w:val="auto"/>
                <w:highlight w:val="none"/>
              </w:rPr>
            </w:pPr>
            <w:r>
              <w:rPr>
                <w:color w:val="auto"/>
                <w:spacing w:val="-1"/>
                <w:highlight w:val="none"/>
              </w:rPr>
              <w:t>六．流动负债</w:t>
            </w:r>
          </w:p>
        </w:tc>
        <w:tc>
          <w:tcPr>
            <w:tcW w:w="773" w:type="dxa"/>
            <w:vAlign w:val="top"/>
          </w:tcPr>
          <w:p w14:paraId="4DFF93B5">
            <w:pPr>
              <w:pStyle w:val="11"/>
              <w:spacing w:before="146" w:line="221" w:lineRule="auto"/>
              <w:ind w:left="284"/>
              <w:rPr>
                <w:color w:val="auto"/>
                <w:highlight w:val="none"/>
              </w:rPr>
            </w:pPr>
            <w:r>
              <w:rPr>
                <w:color w:val="auto"/>
                <w:highlight w:val="none"/>
              </w:rPr>
              <w:t>元</w:t>
            </w:r>
          </w:p>
        </w:tc>
        <w:tc>
          <w:tcPr>
            <w:tcW w:w="1430" w:type="dxa"/>
            <w:vAlign w:val="top"/>
          </w:tcPr>
          <w:p w14:paraId="1B973C5A">
            <w:pPr>
              <w:rPr>
                <w:rFonts w:ascii="Arial"/>
                <w:color w:val="auto"/>
                <w:sz w:val="21"/>
                <w:highlight w:val="none"/>
              </w:rPr>
            </w:pPr>
          </w:p>
        </w:tc>
        <w:tc>
          <w:tcPr>
            <w:tcW w:w="1425" w:type="dxa"/>
            <w:vAlign w:val="top"/>
          </w:tcPr>
          <w:p w14:paraId="5CEBA513">
            <w:pPr>
              <w:rPr>
                <w:rFonts w:ascii="Arial"/>
                <w:color w:val="auto"/>
                <w:sz w:val="21"/>
                <w:highlight w:val="none"/>
              </w:rPr>
            </w:pPr>
          </w:p>
        </w:tc>
        <w:tc>
          <w:tcPr>
            <w:tcW w:w="1425" w:type="dxa"/>
            <w:vAlign w:val="top"/>
          </w:tcPr>
          <w:p w14:paraId="73C0F64F">
            <w:pPr>
              <w:rPr>
                <w:rFonts w:ascii="Arial"/>
                <w:color w:val="auto"/>
                <w:sz w:val="21"/>
                <w:highlight w:val="none"/>
              </w:rPr>
            </w:pPr>
          </w:p>
        </w:tc>
        <w:tc>
          <w:tcPr>
            <w:tcW w:w="1434" w:type="dxa"/>
            <w:vAlign w:val="top"/>
          </w:tcPr>
          <w:p w14:paraId="3F08720A">
            <w:pPr>
              <w:rPr>
                <w:rFonts w:ascii="Arial"/>
                <w:color w:val="auto"/>
                <w:sz w:val="21"/>
                <w:highlight w:val="none"/>
              </w:rPr>
            </w:pPr>
          </w:p>
        </w:tc>
      </w:tr>
      <w:tr w14:paraId="4DBFD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4" w:hRule="atLeast"/>
        </w:trPr>
        <w:tc>
          <w:tcPr>
            <w:tcW w:w="1824" w:type="dxa"/>
            <w:vAlign w:val="top"/>
          </w:tcPr>
          <w:p w14:paraId="0762BCE9">
            <w:pPr>
              <w:pStyle w:val="11"/>
              <w:spacing w:before="151" w:line="221" w:lineRule="auto"/>
              <w:ind w:left="118"/>
              <w:rPr>
                <w:color w:val="auto"/>
                <w:highlight w:val="none"/>
              </w:rPr>
            </w:pPr>
            <w:r>
              <w:rPr>
                <w:color w:val="auto"/>
                <w:spacing w:val="-1"/>
                <w:highlight w:val="none"/>
              </w:rPr>
              <w:t>七．负债合计</w:t>
            </w:r>
          </w:p>
        </w:tc>
        <w:tc>
          <w:tcPr>
            <w:tcW w:w="773" w:type="dxa"/>
            <w:vAlign w:val="top"/>
          </w:tcPr>
          <w:p w14:paraId="70F12431">
            <w:pPr>
              <w:pStyle w:val="11"/>
              <w:spacing w:before="152" w:line="221" w:lineRule="auto"/>
              <w:ind w:left="284"/>
              <w:rPr>
                <w:color w:val="auto"/>
                <w:highlight w:val="none"/>
              </w:rPr>
            </w:pPr>
            <w:r>
              <w:rPr>
                <w:color w:val="auto"/>
                <w:highlight w:val="none"/>
              </w:rPr>
              <w:t>元</w:t>
            </w:r>
          </w:p>
        </w:tc>
        <w:tc>
          <w:tcPr>
            <w:tcW w:w="1430" w:type="dxa"/>
            <w:vAlign w:val="top"/>
          </w:tcPr>
          <w:p w14:paraId="5A6D48C0">
            <w:pPr>
              <w:rPr>
                <w:rFonts w:ascii="Arial"/>
                <w:color w:val="auto"/>
                <w:sz w:val="21"/>
                <w:highlight w:val="none"/>
              </w:rPr>
            </w:pPr>
          </w:p>
        </w:tc>
        <w:tc>
          <w:tcPr>
            <w:tcW w:w="1425" w:type="dxa"/>
            <w:vAlign w:val="top"/>
          </w:tcPr>
          <w:p w14:paraId="70CA02A0">
            <w:pPr>
              <w:rPr>
                <w:rFonts w:ascii="Arial"/>
                <w:color w:val="auto"/>
                <w:sz w:val="21"/>
                <w:highlight w:val="none"/>
              </w:rPr>
            </w:pPr>
          </w:p>
        </w:tc>
        <w:tc>
          <w:tcPr>
            <w:tcW w:w="1425" w:type="dxa"/>
            <w:vAlign w:val="top"/>
          </w:tcPr>
          <w:p w14:paraId="24BC0A9C">
            <w:pPr>
              <w:rPr>
                <w:rFonts w:ascii="Arial"/>
                <w:color w:val="auto"/>
                <w:sz w:val="21"/>
                <w:highlight w:val="none"/>
              </w:rPr>
            </w:pPr>
          </w:p>
        </w:tc>
        <w:tc>
          <w:tcPr>
            <w:tcW w:w="1434" w:type="dxa"/>
            <w:vAlign w:val="top"/>
          </w:tcPr>
          <w:p w14:paraId="12CCD368">
            <w:pPr>
              <w:rPr>
                <w:rFonts w:ascii="Arial"/>
                <w:color w:val="auto"/>
                <w:sz w:val="21"/>
                <w:highlight w:val="none"/>
              </w:rPr>
            </w:pPr>
          </w:p>
        </w:tc>
      </w:tr>
      <w:tr w14:paraId="65B49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4BF70C92">
            <w:pPr>
              <w:pStyle w:val="11"/>
              <w:spacing w:before="151" w:line="221" w:lineRule="auto"/>
              <w:ind w:left="122"/>
              <w:rPr>
                <w:color w:val="auto"/>
                <w:highlight w:val="none"/>
              </w:rPr>
            </w:pPr>
            <w:r>
              <w:rPr>
                <w:color w:val="auto"/>
                <w:spacing w:val="-1"/>
                <w:highlight w:val="none"/>
              </w:rPr>
              <w:t>八．营业收入</w:t>
            </w:r>
          </w:p>
        </w:tc>
        <w:tc>
          <w:tcPr>
            <w:tcW w:w="773" w:type="dxa"/>
            <w:vAlign w:val="top"/>
          </w:tcPr>
          <w:p w14:paraId="5203D169">
            <w:pPr>
              <w:pStyle w:val="11"/>
              <w:spacing w:before="152" w:line="221" w:lineRule="auto"/>
              <w:ind w:left="284"/>
              <w:rPr>
                <w:color w:val="auto"/>
                <w:highlight w:val="none"/>
              </w:rPr>
            </w:pPr>
            <w:r>
              <w:rPr>
                <w:color w:val="auto"/>
                <w:highlight w:val="none"/>
              </w:rPr>
              <w:t>元</w:t>
            </w:r>
          </w:p>
        </w:tc>
        <w:tc>
          <w:tcPr>
            <w:tcW w:w="1430" w:type="dxa"/>
            <w:vAlign w:val="top"/>
          </w:tcPr>
          <w:p w14:paraId="6EA7D9C9">
            <w:pPr>
              <w:rPr>
                <w:rFonts w:ascii="Arial"/>
                <w:color w:val="auto"/>
                <w:sz w:val="21"/>
                <w:highlight w:val="none"/>
              </w:rPr>
            </w:pPr>
          </w:p>
        </w:tc>
        <w:tc>
          <w:tcPr>
            <w:tcW w:w="1425" w:type="dxa"/>
            <w:vAlign w:val="top"/>
          </w:tcPr>
          <w:p w14:paraId="3C5FF73E">
            <w:pPr>
              <w:rPr>
                <w:rFonts w:ascii="Arial"/>
                <w:color w:val="auto"/>
                <w:sz w:val="21"/>
                <w:highlight w:val="none"/>
              </w:rPr>
            </w:pPr>
          </w:p>
        </w:tc>
        <w:tc>
          <w:tcPr>
            <w:tcW w:w="1425" w:type="dxa"/>
            <w:vAlign w:val="top"/>
          </w:tcPr>
          <w:p w14:paraId="00DC891E">
            <w:pPr>
              <w:rPr>
                <w:rFonts w:ascii="Arial"/>
                <w:color w:val="auto"/>
                <w:sz w:val="21"/>
                <w:highlight w:val="none"/>
              </w:rPr>
            </w:pPr>
          </w:p>
        </w:tc>
        <w:tc>
          <w:tcPr>
            <w:tcW w:w="1434" w:type="dxa"/>
            <w:vAlign w:val="top"/>
          </w:tcPr>
          <w:p w14:paraId="39023271">
            <w:pPr>
              <w:rPr>
                <w:rFonts w:ascii="Arial"/>
                <w:color w:val="auto"/>
                <w:sz w:val="21"/>
                <w:highlight w:val="none"/>
              </w:rPr>
            </w:pPr>
          </w:p>
        </w:tc>
      </w:tr>
      <w:tr w14:paraId="0D8B5B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7368C208">
            <w:pPr>
              <w:pStyle w:val="11"/>
              <w:spacing w:before="147" w:line="221" w:lineRule="auto"/>
              <w:ind w:left="123"/>
              <w:rPr>
                <w:color w:val="auto"/>
                <w:highlight w:val="none"/>
              </w:rPr>
            </w:pPr>
            <w:r>
              <w:rPr>
                <w:color w:val="auto"/>
                <w:spacing w:val="-1"/>
                <w:highlight w:val="none"/>
              </w:rPr>
              <w:t>九．净利润</w:t>
            </w:r>
          </w:p>
        </w:tc>
        <w:tc>
          <w:tcPr>
            <w:tcW w:w="773" w:type="dxa"/>
            <w:vAlign w:val="top"/>
          </w:tcPr>
          <w:p w14:paraId="5B930527">
            <w:pPr>
              <w:pStyle w:val="11"/>
              <w:spacing w:before="147" w:line="221" w:lineRule="auto"/>
              <w:ind w:left="284"/>
              <w:rPr>
                <w:color w:val="auto"/>
                <w:highlight w:val="none"/>
              </w:rPr>
            </w:pPr>
            <w:r>
              <w:rPr>
                <w:color w:val="auto"/>
                <w:highlight w:val="none"/>
              </w:rPr>
              <w:t>元</w:t>
            </w:r>
          </w:p>
        </w:tc>
        <w:tc>
          <w:tcPr>
            <w:tcW w:w="1430" w:type="dxa"/>
            <w:vAlign w:val="top"/>
          </w:tcPr>
          <w:p w14:paraId="233220D8">
            <w:pPr>
              <w:rPr>
                <w:rFonts w:ascii="Arial"/>
                <w:color w:val="auto"/>
                <w:sz w:val="21"/>
                <w:highlight w:val="none"/>
              </w:rPr>
            </w:pPr>
          </w:p>
        </w:tc>
        <w:tc>
          <w:tcPr>
            <w:tcW w:w="1425" w:type="dxa"/>
            <w:vAlign w:val="top"/>
          </w:tcPr>
          <w:p w14:paraId="144E4815">
            <w:pPr>
              <w:rPr>
                <w:rFonts w:ascii="Arial"/>
                <w:color w:val="auto"/>
                <w:sz w:val="21"/>
                <w:highlight w:val="none"/>
              </w:rPr>
            </w:pPr>
          </w:p>
        </w:tc>
        <w:tc>
          <w:tcPr>
            <w:tcW w:w="1425" w:type="dxa"/>
            <w:vAlign w:val="top"/>
          </w:tcPr>
          <w:p w14:paraId="6C70FE4F">
            <w:pPr>
              <w:rPr>
                <w:rFonts w:ascii="Arial"/>
                <w:color w:val="auto"/>
                <w:sz w:val="21"/>
                <w:highlight w:val="none"/>
              </w:rPr>
            </w:pPr>
          </w:p>
        </w:tc>
        <w:tc>
          <w:tcPr>
            <w:tcW w:w="1434" w:type="dxa"/>
            <w:vAlign w:val="top"/>
          </w:tcPr>
          <w:p w14:paraId="7B836D38">
            <w:pPr>
              <w:pStyle w:val="11"/>
              <w:spacing w:before="247" w:line="142" w:lineRule="exact"/>
              <w:ind w:left="668"/>
              <w:rPr>
                <w:color w:val="auto"/>
                <w:highlight w:val="none"/>
              </w:rPr>
            </w:pPr>
            <w:r>
              <w:rPr>
                <w:color w:val="auto"/>
                <w:position w:val="-3"/>
                <w:highlight w:val="none"/>
              </w:rPr>
              <w:t>-</w:t>
            </w:r>
          </w:p>
        </w:tc>
      </w:tr>
      <w:tr w14:paraId="7CC72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824" w:type="dxa"/>
            <w:vAlign w:val="top"/>
          </w:tcPr>
          <w:p w14:paraId="314F445C">
            <w:pPr>
              <w:pStyle w:val="11"/>
              <w:spacing w:before="32" w:line="224" w:lineRule="auto"/>
              <w:ind w:left="118" w:right="106"/>
              <w:rPr>
                <w:color w:val="auto"/>
                <w:highlight w:val="none"/>
              </w:rPr>
            </w:pPr>
            <w:r>
              <w:rPr>
                <w:color w:val="auto"/>
                <w:spacing w:val="10"/>
                <w:highlight w:val="none"/>
              </w:rPr>
              <w:t>十</w:t>
            </w:r>
            <w:r>
              <w:rPr>
                <w:color w:val="auto"/>
                <w:spacing w:val="-53"/>
                <w:highlight w:val="none"/>
              </w:rPr>
              <w:t xml:space="preserve"> </w:t>
            </w:r>
            <w:r>
              <w:rPr>
                <w:color w:val="auto"/>
                <w:spacing w:val="10"/>
                <w:highlight w:val="none"/>
              </w:rPr>
              <w:t>．现金流量净</w:t>
            </w:r>
            <w:r>
              <w:rPr>
                <w:color w:val="auto"/>
                <w:highlight w:val="none"/>
              </w:rPr>
              <w:t xml:space="preserve"> 额</w:t>
            </w:r>
          </w:p>
        </w:tc>
        <w:tc>
          <w:tcPr>
            <w:tcW w:w="773" w:type="dxa"/>
            <w:vAlign w:val="top"/>
          </w:tcPr>
          <w:p w14:paraId="633C2683">
            <w:pPr>
              <w:pStyle w:val="11"/>
              <w:spacing w:before="167" w:line="221" w:lineRule="auto"/>
              <w:ind w:left="284"/>
              <w:rPr>
                <w:color w:val="auto"/>
                <w:highlight w:val="none"/>
              </w:rPr>
            </w:pPr>
            <w:r>
              <w:rPr>
                <w:color w:val="auto"/>
                <w:highlight w:val="none"/>
              </w:rPr>
              <w:t>元</w:t>
            </w:r>
          </w:p>
        </w:tc>
        <w:tc>
          <w:tcPr>
            <w:tcW w:w="1430" w:type="dxa"/>
            <w:vAlign w:val="top"/>
          </w:tcPr>
          <w:p w14:paraId="4EFE4D86">
            <w:pPr>
              <w:rPr>
                <w:rFonts w:ascii="Arial"/>
                <w:color w:val="auto"/>
                <w:sz w:val="21"/>
                <w:highlight w:val="none"/>
              </w:rPr>
            </w:pPr>
          </w:p>
        </w:tc>
        <w:tc>
          <w:tcPr>
            <w:tcW w:w="1425" w:type="dxa"/>
            <w:vAlign w:val="top"/>
          </w:tcPr>
          <w:p w14:paraId="46E9C4EC">
            <w:pPr>
              <w:rPr>
                <w:rFonts w:ascii="Arial"/>
                <w:color w:val="auto"/>
                <w:sz w:val="21"/>
                <w:highlight w:val="none"/>
              </w:rPr>
            </w:pPr>
          </w:p>
        </w:tc>
        <w:tc>
          <w:tcPr>
            <w:tcW w:w="1425" w:type="dxa"/>
            <w:vAlign w:val="top"/>
          </w:tcPr>
          <w:p w14:paraId="20FD73F9">
            <w:pPr>
              <w:rPr>
                <w:rFonts w:ascii="Arial"/>
                <w:color w:val="auto"/>
                <w:sz w:val="21"/>
                <w:highlight w:val="none"/>
              </w:rPr>
            </w:pPr>
          </w:p>
        </w:tc>
        <w:tc>
          <w:tcPr>
            <w:tcW w:w="1434" w:type="dxa"/>
            <w:vAlign w:val="top"/>
          </w:tcPr>
          <w:p w14:paraId="071ED705">
            <w:pPr>
              <w:pStyle w:val="11"/>
              <w:spacing w:before="267" w:line="141" w:lineRule="exact"/>
              <w:ind w:left="668"/>
              <w:rPr>
                <w:color w:val="auto"/>
                <w:highlight w:val="none"/>
              </w:rPr>
            </w:pPr>
            <w:r>
              <w:rPr>
                <w:color w:val="auto"/>
                <w:position w:val="-3"/>
                <w:highlight w:val="none"/>
              </w:rPr>
              <w:t>-</w:t>
            </w:r>
          </w:p>
        </w:tc>
      </w:tr>
      <w:tr w14:paraId="0356D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824" w:type="dxa"/>
            <w:vAlign w:val="top"/>
          </w:tcPr>
          <w:p w14:paraId="0DEA8E3D">
            <w:pPr>
              <w:pStyle w:val="11"/>
              <w:spacing w:before="27" w:line="224" w:lineRule="auto"/>
              <w:ind w:left="120" w:right="106" w:hanging="1"/>
              <w:rPr>
                <w:color w:val="auto"/>
                <w:highlight w:val="none"/>
              </w:rPr>
            </w:pPr>
            <w:r>
              <w:rPr>
                <w:color w:val="auto"/>
                <w:spacing w:val="10"/>
                <w:highlight w:val="none"/>
              </w:rPr>
              <w:t>十一</w:t>
            </w:r>
            <w:r>
              <w:rPr>
                <w:color w:val="auto"/>
                <w:spacing w:val="-53"/>
                <w:highlight w:val="none"/>
              </w:rPr>
              <w:t xml:space="preserve"> </w:t>
            </w:r>
            <w:r>
              <w:rPr>
                <w:color w:val="auto"/>
                <w:spacing w:val="10"/>
                <w:highlight w:val="none"/>
              </w:rPr>
              <w:t>．主要财务</w:t>
            </w:r>
            <w:r>
              <w:rPr>
                <w:color w:val="auto"/>
                <w:highlight w:val="none"/>
              </w:rPr>
              <w:t xml:space="preserve"> </w:t>
            </w:r>
            <w:r>
              <w:rPr>
                <w:color w:val="auto"/>
                <w:spacing w:val="-3"/>
                <w:highlight w:val="none"/>
              </w:rPr>
              <w:t>指标</w:t>
            </w:r>
          </w:p>
        </w:tc>
        <w:tc>
          <w:tcPr>
            <w:tcW w:w="773" w:type="dxa"/>
            <w:vAlign w:val="top"/>
          </w:tcPr>
          <w:p w14:paraId="652155DF">
            <w:pPr>
              <w:rPr>
                <w:rFonts w:ascii="Arial"/>
                <w:color w:val="auto"/>
                <w:sz w:val="21"/>
                <w:highlight w:val="none"/>
              </w:rPr>
            </w:pPr>
          </w:p>
        </w:tc>
        <w:tc>
          <w:tcPr>
            <w:tcW w:w="1430" w:type="dxa"/>
            <w:vAlign w:val="top"/>
          </w:tcPr>
          <w:p w14:paraId="22FCDAF5">
            <w:pPr>
              <w:rPr>
                <w:rFonts w:ascii="Arial"/>
                <w:color w:val="auto"/>
                <w:sz w:val="21"/>
                <w:highlight w:val="none"/>
              </w:rPr>
            </w:pPr>
          </w:p>
        </w:tc>
        <w:tc>
          <w:tcPr>
            <w:tcW w:w="1425" w:type="dxa"/>
            <w:vAlign w:val="top"/>
          </w:tcPr>
          <w:p w14:paraId="3C7025A3">
            <w:pPr>
              <w:rPr>
                <w:rFonts w:ascii="Arial"/>
                <w:color w:val="auto"/>
                <w:sz w:val="21"/>
                <w:highlight w:val="none"/>
              </w:rPr>
            </w:pPr>
          </w:p>
        </w:tc>
        <w:tc>
          <w:tcPr>
            <w:tcW w:w="1425" w:type="dxa"/>
            <w:vAlign w:val="top"/>
          </w:tcPr>
          <w:p w14:paraId="44773372">
            <w:pPr>
              <w:rPr>
                <w:rFonts w:ascii="Arial"/>
                <w:color w:val="auto"/>
                <w:sz w:val="21"/>
                <w:highlight w:val="none"/>
              </w:rPr>
            </w:pPr>
          </w:p>
        </w:tc>
        <w:tc>
          <w:tcPr>
            <w:tcW w:w="1434" w:type="dxa"/>
            <w:vAlign w:val="top"/>
          </w:tcPr>
          <w:p w14:paraId="41C4C38D">
            <w:pPr>
              <w:pStyle w:val="11"/>
              <w:spacing w:before="267" w:line="141" w:lineRule="exact"/>
              <w:ind w:left="668"/>
              <w:rPr>
                <w:color w:val="auto"/>
                <w:highlight w:val="none"/>
              </w:rPr>
            </w:pPr>
            <w:r>
              <w:rPr>
                <w:color w:val="auto"/>
                <w:position w:val="-3"/>
                <w:highlight w:val="none"/>
              </w:rPr>
              <w:t>-</w:t>
            </w:r>
          </w:p>
        </w:tc>
      </w:tr>
      <w:tr w14:paraId="526A59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3" w:hRule="atLeast"/>
        </w:trPr>
        <w:tc>
          <w:tcPr>
            <w:tcW w:w="1824" w:type="dxa"/>
            <w:vAlign w:val="top"/>
          </w:tcPr>
          <w:p w14:paraId="5775B1E9">
            <w:pPr>
              <w:pStyle w:val="11"/>
              <w:spacing w:before="152" w:line="221" w:lineRule="auto"/>
              <w:ind w:left="134"/>
              <w:rPr>
                <w:color w:val="auto"/>
                <w:highlight w:val="none"/>
              </w:rPr>
            </w:pPr>
            <w:r>
              <w:rPr>
                <w:color w:val="auto"/>
                <w:spacing w:val="-3"/>
                <w:highlight w:val="none"/>
              </w:rPr>
              <w:t>1．净资产收益率</w:t>
            </w:r>
          </w:p>
        </w:tc>
        <w:tc>
          <w:tcPr>
            <w:tcW w:w="773" w:type="dxa"/>
            <w:vAlign w:val="top"/>
          </w:tcPr>
          <w:p w14:paraId="41A4A40F">
            <w:pPr>
              <w:spacing w:before="206" w:line="296" w:lineRule="exact"/>
              <w:ind w:left="31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7"/>
                <w:w w:val="125"/>
                <w:position w:val="-1"/>
                <w:sz w:val="21"/>
                <w:szCs w:val="21"/>
                <w:highlight w:val="none"/>
              </w:rPr>
              <w:t>*</w:t>
            </w:r>
          </w:p>
        </w:tc>
        <w:tc>
          <w:tcPr>
            <w:tcW w:w="1430" w:type="dxa"/>
            <w:vAlign w:val="top"/>
          </w:tcPr>
          <w:p w14:paraId="02EA9BEB">
            <w:pPr>
              <w:rPr>
                <w:rFonts w:ascii="Arial"/>
                <w:color w:val="auto"/>
                <w:sz w:val="21"/>
                <w:highlight w:val="none"/>
              </w:rPr>
            </w:pPr>
          </w:p>
        </w:tc>
        <w:tc>
          <w:tcPr>
            <w:tcW w:w="1425" w:type="dxa"/>
            <w:vAlign w:val="top"/>
          </w:tcPr>
          <w:p w14:paraId="52D28FAC">
            <w:pPr>
              <w:rPr>
                <w:rFonts w:ascii="Arial"/>
                <w:color w:val="auto"/>
                <w:sz w:val="21"/>
                <w:highlight w:val="none"/>
              </w:rPr>
            </w:pPr>
          </w:p>
        </w:tc>
        <w:tc>
          <w:tcPr>
            <w:tcW w:w="1425" w:type="dxa"/>
            <w:vAlign w:val="top"/>
          </w:tcPr>
          <w:p w14:paraId="09D5275C">
            <w:pPr>
              <w:rPr>
                <w:rFonts w:ascii="Arial"/>
                <w:color w:val="auto"/>
                <w:sz w:val="21"/>
                <w:highlight w:val="none"/>
              </w:rPr>
            </w:pPr>
          </w:p>
        </w:tc>
        <w:tc>
          <w:tcPr>
            <w:tcW w:w="1434" w:type="dxa"/>
            <w:vAlign w:val="top"/>
          </w:tcPr>
          <w:p w14:paraId="5447D7C4">
            <w:pPr>
              <w:rPr>
                <w:rFonts w:ascii="Arial"/>
                <w:color w:val="auto"/>
                <w:sz w:val="21"/>
                <w:highlight w:val="none"/>
              </w:rPr>
            </w:pPr>
          </w:p>
        </w:tc>
      </w:tr>
      <w:tr w14:paraId="713CD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8" w:hRule="atLeast"/>
        </w:trPr>
        <w:tc>
          <w:tcPr>
            <w:tcW w:w="1824" w:type="dxa"/>
            <w:vAlign w:val="top"/>
          </w:tcPr>
          <w:p w14:paraId="24C5D366">
            <w:pPr>
              <w:pStyle w:val="11"/>
              <w:spacing w:before="152" w:line="221" w:lineRule="auto"/>
              <w:ind w:left="121"/>
              <w:rPr>
                <w:color w:val="auto"/>
                <w:highlight w:val="none"/>
              </w:rPr>
            </w:pPr>
            <w:r>
              <w:rPr>
                <w:color w:val="auto"/>
                <w:spacing w:val="-1"/>
                <w:highlight w:val="none"/>
              </w:rPr>
              <w:t>2．总资产报酬率</w:t>
            </w:r>
          </w:p>
        </w:tc>
        <w:tc>
          <w:tcPr>
            <w:tcW w:w="773" w:type="dxa"/>
            <w:vAlign w:val="top"/>
          </w:tcPr>
          <w:p w14:paraId="09ACF635">
            <w:pPr>
              <w:spacing w:before="212" w:line="295" w:lineRule="exact"/>
              <w:ind w:left="31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7"/>
                <w:w w:val="125"/>
                <w:position w:val="-1"/>
                <w:sz w:val="21"/>
                <w:szCs w:val="21"/>
                <w:highlight w:val="none"/>
              </w:rPr>
              <w:t>*</w:t>
            </w:r>
          </w:p>
        </w:tc>
        <w:tc>
          <w:tcPr>
            <w:tcW w:w="1430" w:type="dxa"/>
            <w:vAlign w:val="top"/>
          </w:tcPr>
          <w:p w14:paraId="5CFF68B0">
            <w:pPr>
              <w:rPr>
                <w:rFonts w:ascii="Arial"/>
                <w:color w:val="auto"/>
                <w:sz w:val="21"/>
                <w:highlight w:val="none"/>
              </w:rPr>
            </w:pPr>
          </w:p>
        </w:tc>
        <w:tc>
          <w:tcPr>
            <w:tcW w:w="1425" w:type="dxa"/>
            <w:vAlign w:val="top"/>
          </w:tcPr>
          <w:p w14:paraId="0F779CAF">
            <w:pPr>
              <w:rPr>
                <w:rFonts w:ascii="Arial"/>
                <w:color w:val="auto"/>
                <w:sz w:val="21"/>
                <w:highlight w:val="none"/>
              </w:rPr>
            </w:pPr>
          </w:p>
        </w:tc>
        <w:tc>
          <w:tcPr>
            <w:tcW w:w="1425" w:type="dxa"/>
            <w:vAlign w:val="top"/>
          </w:tcPr>
          <w:p w14:paraId="456E8DF3">
            <w:pPr>
              <w:rPr>
                <w:rFonts w:ascii="Arial"/>
                <w:color w:val="auto"/>
                <w:sz w:val="21"/>
                <w:highlight w:val="none"/>
              </w:rPr>
            </w:pPr>
          </w:p>
        </w:tc>
        <w:tc>
          <w:tcPr>
            <w:tcW w:w="1434" w:type="dxa"/>
            <w:vAlign w:val="top"/>
          </w:tcPr>
          <w:p w14:paraId="6646A038">
            <w:pPr>
              <w:rPr>
                <w:rFonts w:ascii="Arial"/>
                <w:color w:val="auto"/>
                <w:sz w:val="21"/>
                <w:highlight w:val="none"/>
              </w:rPr>
            </w:pPr>
          </w:p>
        </w:tc>
      </w:tr>
      <w:tr w14:paraId="48C88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824" w:type="dxa"/>
            <w:vAlign w:val="top"/>
          </w:tcPr>
          <w:p w14:paraId="09D26D66">
            <w:pPr>
              <w:pStyle w:val="11"/>
              <w:spacing w:before="34" w:line="221" w:lineRule="auto"/>
              <w:ind w:left="120" w:right="105" w:firstLine="2"/>
              <w:rPr>
                <w:color w:val="auto"/>
                <w:highlight w:val="none"/>
              </w:rPr>
            </w:pPr>
            <w:r>
              <w:rPr>
                <w:color w:val="auto"/>
                <w:spacing w:val="1"/>
                <w:highlight w:val="none"/>
              </w:rPr>
              <w:t>3．主营业务利润</w:t>
            </w:r>
            <w:r>
              <w:rPr>
                <w:color w:val="auto"/>
                <w:spacing w:val="6"/>
                <w:highlight w:val="none"/>
              </w:rPr>
              <w:t xml:space="preserve"> </w:t>
            </w:r>
            <w:r>
              <w:rPr>
                <w:color w:val="auto"/>
                <w:highlight w:val="none"/>
              </w:rPr>
              <w:t>率</w:t>
            </w:r>
          </w:p>
        </w:tc>
        <w:tc>
          <w:tcPr>
            <w:tcW w:w="773" w:type="dxa"/>
            <w:vAlign w:val="top"/>
          </w:tcPr>
          <w:p w14:paraId="00D3A7B8">
            <w:pPr>
              <w:spacing w:before="207" w:line="298" w:lineRule="exact"/>
              <w:ind w:left="31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7"/>
                <w:w w:val="125"/>
                <w:position w:val="-1"/>
                <w:sz w:val="21"/>
                <w:szCs w:val="21"/>
                <w:highlight w:val="none"/>
              </w:rPr>
              <w:t>*</w:t>
            </w:r>
          </w:p>
        </w:tc>
        <w:tc>
          <w:tcPr>
            <w:tcW w:w="1430" w:type="dxa"/>
            <w:vAlign w:val="top"/>
          </w:tcPr>
          <w:p w14:paraId="00F7C28E">
            <w:pPr>
              <w:rPr>
                <w:rFonts w:ascii="Arial"/>
                <w:color w:val="auto"/>
                <w:sz w:val="21"/>
                <w:highlight w:val="none"/>
              </w:rPr>
            </w:pPr>
          </w:p>
        </w:tc>
        <w:tc>
          <w:tcPr>
            <w:tcW w:w="1425" w:type="dxa"/>
            <w:vAlign w:val="top"/>
          </w:tcPr>
          <w:p w14:paraId="52DF1C61">
            <w:pPr>
              <w:rPr>
                <w:rFonts w:ascii="Arial"/>
                <w:color w:val="auto"/>
                <w:sz w:val="21"/>
                <w:highlight w:val="none"/>
              </w:rPr>
            </w:pPr>
          </w:p>
        </w:tc>
        <w:tc>
          <w:tcPr>
            <w:tcW w:w="1425" w:type="dxa"/>
            <w:vAlign w:val="top"/>
          </w:tcPr>
          <w:p w14:paraId="4FC23BD6">
            <w:pPr>
              <w:rPr>
                <w:rFonts w:ascii="Arial"/>
                <w:color w:val="auto"/>
                <w:sz w:val="21"/>
                <w:highlight w:val="none"/>
              </w:rPr>
            </w:pPr>
          </w:p>
        </w:tc>
        <w:tc>
          <w:tcPr>
            <w:tcW w:w="1434" w:type="dxa"/>
            <w:vAlign w:val="top"/>
          </w:tcPr>
          <w:p w14:paraId="795B1611">
            <w:pPr>
              <w:pStyle w:val="11"/>
              <w:spacing w:before="268" w:line="141" w:lineRule="exact"/>
              <w:ind w:left="668"/>
              <w:rPr>
                <w:color w:val="auto"/>
                <w:highlight w:val="none"/>
              </w:rPr>
            </w:pPr>
            <w:r>
              <w:rPr>
                <w:color w:val="auto"/>
                <w:position w:val="-3"/>
                <w:highlight w:val="none"/>
              </w:rPr>
              <w:t>-</w:t>
            </w:r>
          </w:p>
        </w:tc>
      </w:tr>
      <w:tr w14:paraId="1C73A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3DDAEC0C">
            <w:pPr>
              <w:pStyle w:val="11"/>
              <w:spacing w:before="153" w:line="221" w:lineRule="auto"/>
              <w:ind w:left="118"/>
              <w:rPr>
                <w:color w:val="auto"/>
                <w:highlight w:val="none"/>
              </w:rPr>
            </w:pPr>
            <w:r>
              <w:rPr>
                <w:color w:val="auto"/>
                <w:spacing w:val="-1"/>
                <w:highlight w:val="none"/>
              </w:rPr>
              <w:t>4．资产负债率</w:t>
            </w:r>
          </w:p>
        </w:tc>
        <w:tc>
          <w:tcPr>
            <w:tcW w:w="773" w:type="dxa"/>
            <w:vAlign w:val="top"/>
          </w:tcPr>
          <w:p w14:paraId="0E10DDA1">
            <w:pPr>
              <w:spacing w:before="207" w:line="298" w:lineRule="exact"/>
              <w:ind w:left="31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7"/>
                <w:w w:val="125"/>
                <w:position w:val="-1"/>
                <w:sz w:val="21"/>
                <w:szCs w:val="21"/>
                <w:highlight w:val="none"/>
              </w:rPr>
              <w:t>*</w:t>
            </w:r>
          </w:p>
        </w:tc>
        <w:tc>
          <w:tcPr>
            <w:tcW w:w="1430" w:type="dxa"/>
            <w:vAlign w:val="top"/>
          </w:tcPr>
          <w:p w14:paraId="7E371712">
            <w:pPr>
              <w:rPr>
                <w:rFonts w:ascii="Arial"/>
                <w:color w:val="auto"/>
                <w:sz w:val="21"/>
                <w:highlight w:val="none"/>
              </w:rPr>
            </w:pPr>
          </w:p>
        </w:tc>
        <w:tc>
          <w:tcPr>
            <w:tcW w:w="1425" w:type="dxa"/>
            <w:vAlign w:val="top"/>
          </w:tcPr>
          <w:p w14:paraId="3CC4B75D">
            <w:pPr>
              <w:rPr>
                <w:rFonts w:ascii="Arial"/>
                <w:color w:val="auto"/>
                <w:sz w:val="21"/>
                <w:highlight w:val="none"/>
              </w:rPr>
            </w:pPr>
          </w:p>
        </w:tc>
        <w:tc>
          <w:tcPr>
            <w:tcW w:w="1425" w:type="dxa"/>
            <w:vAlign w:val="top"/>
          </w:tcPr>
          <w:p w14:paraId="7B7421E8">
            <w:pPr>
              <w:rPr>
                <w:rFonts w:ascii="Arial"/>
                <w:color w:val="auto"/>
                <w:sz w:val="21"/>
                <w:highlight w:val="none"/>
              </w:rPr>
            </w:pPr>
          </w:p>
        </w:tc>
        <w:tc>
          <w:tcPr>
            <w:tcW w:w="1434" w:type="dxa"/>
            <w:vAlign w:val="top"/>
          </w:tcPr>
          <w:p w14:paraId="2B4916D8">
            <w:pPr>
              <w:rPr>
                <w:rFonts w:ascii="Arial"/>
                <w:color w:val="auto"/>
                <w:sz w:val="21"/>
                <w:highlight w:val="none"/>
              </w:rPr>
            </w:pPr>
          </w:p>
        </w:tc>
      </w:tr>
      <w:tr w14:paraId="79CB3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1DE5E514">
            <w:pPr>
              <w:pStyle w:val="11"/>
              <w:spacing w:before="148" w:line="221" w:lineRule="auto"/>
              <w:ind w:left="123"/>
              <w:rPr>
                <w:color w:val="auto"/>
                <w:highlight w:val="none"/>
              </w:rPr>
            </w:pPr>
            <w:r>
              <w:rPr>
                <w:color w:val="auto"/>
                <w:spacing w:val="-1"/>
                <w:highlight w:val="none"/>
              </w:rPr>
              <w:t>5．流动比率</w:t>
            </w:r>
          </w:p>
        </w:tc>
        <w:tc>
          <w:tcPr>
            <w:tcW w:w="773" w:type="dxa"/>
            <w:vAlign w:val="top"/>
          </w:tcPr>
          <w:p w14:paraId="4769B46E">
            <w:pPr>
              <w:spacing w:before="208" w:line="294" w:lineRule="exact"/>
              <w:ind w:left="31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7"/>
                <w:w w:val="125"/>
                <w:position w:val="-1"/>
                <w:sz w:val="21"/>
                <w:szCs w:val="21"/>
                <w:highlight w:val="none"/>
              </w:rPr>
              <w:t>*</w:t>
            </w:r>
          </w:p>
        </w:tc>
        <w:tc>
          <w:tcPr>
            <w:tcW w:w="1430" w:type="dxa"/>
            <w:vAlign w:val="top"/>
          </w:tcPr>
          <w:p w14:paraId="2CFA5786">
            <w:pPr>
              <w:rPr>
                <w:rFonts w:ascii="Arial"/>
                <w:color w:val="auto"/>
                <w:sz w:val="21"/>
                <w:highlight w:val="none"/>
              </w:rPr>
            </w:pPr>
          </w:p>
        </w:tc>
        <w:tc>
          <w:tcPr>
            <w:tcW w:w="1425" w:type="dxa"/>
            <w:vAlign w:val="top"/>
          </w:tcPr>
          <w:p w14:paraId="28368B76">
            <w:pPr>
              <w:rPr>
                <w:rFonts w:ascii="Arial"/>
                <w:color w:val="auto"/>
                <w:sz w:val="21"/>
                <w:highlight w:val="none"/>
              </w:rPr>
            </w:pPr>
          </w:p>
        </w:tc>
        <w:tc>
          <w:tcPr>
            <w:tcW w:w="1425" w:type="dxa"/>
            <w:vAlign w:val="top"/>
          </w:tcPr>
          <w:p w14:paraId="513CD892">
            <w:pPr>
              <w:rPr>
                <w:rFonts w:ascii="Arial"/>
                <w:color w:val="auto"/>
                <w:sz w:val="21"/>
                <w:highlight w:val="none"/>
              </w:rPr>
            </w:pPr>
          </w:p>
        </w:tc>
        <w:tc>
          <w:tcPr>
            <w:tcW w:w="1434" w:type="dxa"/>
            <w:vAlign w:val="top"/>
          </w:tcPr>
          <w:p w14:paraId="0AD1714E">
            <w:pPr>
              <w:rPr>
                <w:rFonts w:ascii="Arial"/>
                <w:color w:val="auto"/>
                <w:sz w:val="21"/>
                <w:highlight w:val="none"/>
              </w:rPr>
            </w:pPr>
          </w:p>
        </w:tc>
      </w:tr>
      <w:tr w14:paraId="37E1C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7828CD8A">
            <w:pPr>
              <w:pStyle w:val="11"/>
              <w:spacing w:before="154" w:line="221" w:lineRule="auto"/>
              <w:ind w:left="120"/>
              <w:rPr>
                <w:color w:val="auto"/>
                <w:highlight w:val="none"/>
              </w:rPr>
            </w:pPr>
            <w:r>
              <w:rPr>
                <w:color w:val="auto"/>
                <w:spacing w:val="-1"/>
                <w:highlight w:val="none"/>
              </w:rPr>
              <w:t>6．速动比率</w:t>
            </w:r>
          </w:p>
        </w:tc>
        <w:tc>
          <w:tcPr>
            <w:tcW w:w="773" w:type="dxa"/>
            <w:vAlign w:val="top"/>
          </w:tcPr>
          <w:p w14:paraId="04F4E52D">
            <w:pPr>
              <w:spacing w:before="209" w:line="298" w:lineRule="exact"/>
              <w:ind w:left="31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7"/>
                <w:w w:val="125"/>
                <w:position w:val="-1"/>
                <w:sz w:val="21"/>
                <w:szCs w:val="21"/>
                <w:highlight w:val="none"/>
              </w:rPr>
              <w:t>*</w:t>
            </w:r>
          </w:p>
        </w:tc>
        <w:tc>
          <w:tcPr>
            <w:tcW w:w="1430" w:type="dxa"/>
            <w:vAlign w:val="top"/>
          </w:tcPr>
          <w:p w14:paraId="4D9C935C">
            <w:pPr>
              <w:rPr>
                <w:rFonts w:ascii="Arial"/>
                <w:color w:val="auto"/>
                <w:sz w:val="21"/>
                <w:highlight w:val="none"/>
              </w:rPr>
            </w:pPr>
          </w:p>
        </w:tc>
        <w:tc>
          <w:tcPr>
            <w:tcW w:w="1425" w:type="dxa"/>
            <w:vAlign w:val="top"/>
          </w:tcPr>
          <w:p w14:paraId="26B5F0FF">
            <w:pPr>
              <w:rPr>
                <w:rFonts w:ascii="Arial"/>
                <w:color w:val="auto"/>
                <w:sz w:val="21"/>
                <w:highlight w:val="none"/>
              </w:rPr>
            </w:pPr>
          </w:p>
        </w:tc>
        <w:tc>
          <w:tcPr>
            <w:tcW w:w="1425" w:type="dxa"/>
            <w:vAlign w:val="top"/>
          </w:tcPr>
          <w:p w14:paraId="2359413F">
            <w:pPr>
              <w:rPr>
                <w:rFonts w:ascii="Arial"/>
                <w:color w:val="auto"/>
                <w:sz w:val="21"/>
                <w:highlight w:val="none"/>
              </w:rPr>
            </w:pPr>
          </w:p>
        </w:tc>
        <w:tc>
          <w:tcPr>
            <w:tcW w:w="1434" w:type="dxa"/>
            <w:vAlign w:val="top"/>
          </w:tcPr>
          <w:p w14:paraId="4CA17C77">
            <w:pPr>
              <w:rPr>
                <w:rFonts w:ascii="Arial"/>
                <w:color w:val="auto"/>
                <w:sz w:val="21"/>
                <w:highlight w:val="none"/>
              </w:rPr>
            </w:pPr>
          </w:p>
        </w:tc>
      </w:tr>
    </w:tbl>
    <w:p w14:paraId="1F09677F">
      <w:pPr>
        <w:spacing w:before="77" w:line="220" w:lineRule="auto"/>
        <w:ind w:left="2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备注： 1.本表后应附近年经会计师事务所或审计机构审计的</w:t>
      </w:r>
      <w:r>
        <w:rPr>
          <w:rFonts w:ascii="宋体" w:hAnsi="宋体" w:eastAsia="宋体" w:cs="宋体"/>
          <w:color w:val="auto"/>
          <w:spacing w:val="-4"/>
          <w:sz w:val="21"/>
          <w:szCs w:val="21"/>
          <w:highlight w:val="none"/>
        </w:rPr>
        <w:t>财务会计报表。</w:t>
      </w:r>
    </w:p>
    <w:p w14:paraId="0BD0EA4C">
      <w:pPr>
        <w:spacing w:before="75" w:line="254" w:lineRule="auto"/>
        <w:ind w:left="965" w:right="2" w:hanging="311"/>
        <w:rPr>
          <w:rFonts w:ascii="宋体" w:hAnsi="宋体" w:eastAsia="宋体" w:cs="宋体"/>
          <w:color w:val="auto"/>
          <w:sz w:val="21"/>
          <w:szCs w:val="21"/>
          <w:highlight w:val="none"/>
        </w:rPr>
      </w:pPr>
      <w:r>
        <w:rPr>
          <w:rFonts w:ascii="宋体" w:hAnsi="宋体" w:eastAsia="宋体" w:cs="宋体"/>
          <w:color w:val="auto"/>
          <w:sz w:val="21"/>
          <w:szCs w:val="21"/>
          <w:highlight w:val="none"/>
        </w:rPr>
        <w:t>2.本表所列数据必须与本表各附件中的数据相一致。 如果有不一致之处，以不利于</w:t>
      </w:r>
      <w:r>
        <w:rPr>
          <w:rFonts w:ascii="宋体" w:hAnsi="宋体" w:eastAsia="宋体" w:cs="宋体"/>
          <w:color w:val="auto"/>
          <w:spacing w:val="8"/>
          <w:sz w:val="21"/>
          <w:szCs w:val="21"/>
          <w:highlight w:val="none"/>
        </w:rPr>
        <w:t xml:space="preserve"> </w:t>
      </w:r>
      <w:r>
        <w:rPr>
          <w:rFonts w:ascii="宋体" w:hAnsi="宋体" w:eastAsia="宋体" w:cs="宋体"/>
          <w:color w:val="auto"/>
          <w:spacing w:val="-4"/>
          <w:sz w:val="21"/>
          <w:szCs w:val="21"/>
          <w:highlight w:val="none"/>
        </w:rPr>
        <w:t>投标人的数据为准。</w:t>
      </w:r>
    </w:p>
    <w:p w14:paraId="190D2E0A">
      <w:pPr>
        <w:spacing w:before="71" w:line="221" w:lineRule="auto"/>
        <w:ind w:left="65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3.联合体投标的，联合体各成员应分别填写。</w:t>
      </w:r>
    </w:p>
    <w:p w14:paraId="6E491528">
      <w:pPr>
        <w:spacing w:line="221" w:lineRule="auto"/>
        <w:rPr>
          <w:rFonts w:ascii="宋体" w:hAnsi="宋体" w:eastAsia="宋体" w:cs="宋体"/>
          <w:color w:val="auto"/>
          <w:sz w:val="21"/>
          <w:szCs w:val="21"/>
          <w:highlight w:val="none"/>
        </w:rPr>
        <w:sectPr>
          <w:footerReference r:id="rId232" w:type="default"/>
          <w:pgSz w:w="11905" w:h="16839"/>
          <w:pgMar w:top="400" w:right="1785" w:bottom="1004" w:left="1785" w:header="0" w:footer="828" w:gutter="0"/>
          <w:pgNumType w:fmt="decimal"/>
          <w:cols w:space="720" w:num="1"/>
        </w:sectPr>
      </w:pPr>
    </w:p>
    <w:p w14:paraId="13D0B2D0">
      <w:pPr>
        <w:pStyle w:val="3"/>
        <w:spacing w:line="267" w:lineRule="auto"/>
        <w:rPr>
          <w:color w:val="auto"/>
          <w:highlight w:val="none"/>
        </w:rPr>
      </w:pPr>
    </w:p>
    <w:p w14:paraId="021A593B">
      <w:pPr>
        <w:pStyle w:val="3"/>
        <w:spacing w:line="268" w:lineRule="auto"/>
        <w:rPr>
          <w:color w:val="auto"/>
          <w:highlight w:val="none"/>
        </w:rPr>
      </w:pPr>
    </w:p>
    <w:p w14:paraId="4DCC0B07">
      <w:pPr>
        <w:pStyle w:val="3"/>
        <w:spacing w:line="268" w:lineRule="auto"/>
        <w:rPr>
          <w:color w:val="auto"/>
          <w:highlight w:val="none"/>
        </w:rPr>
      </w:pPr>
    </w:p>
    <w:p w14:paraId="68693D7A">
      <w:pPr>
        <w:pStyle w:val="3"/>
        <w:spacing w:line="268" w:lineRule="auto"/>
        <w:rPr>
          <w:color w:val="auto"/>
          <w:highlight w:val="none"/>
        </w:rPr>
      </w:pPr>
    </w:p>
    <w:p w14:paraId="27F54EFD">
      <w:pPr>
        <w:spacing w:before="78" w:line="218" w:lineRule="auto"/>
        <w:ind w:left="2766"/>
        <w:rPr>
          <w:rFonts w:ascii="黑体" w:hAnsi="黑体" w:eastAsia="黑体" w:cs="黑体"/>
          <w:color w:val="auto"/>
          <w:sz w:val="24"/>
          <w:szCs w:val="24"/>
          <w:highlight w:val="none"/>
        </w:rPr>
      </w:pPr>
      <w:bookmarkStart w:id="1348" w:name="bookmark321"/>
      <w:bookmarkEnd w:id="1348"/>
      <w:r>
        <w:rPr>
          <w:rFonts w:ascii="黑体" w:hAnsi="黑体" w:eastAsia="黑体" w:cs="黑体"/>
          <w:color w:val="auto"/>
          <w:spacing w:val="-3"/>
          <w:sz w:val="24"/>
          <w:szCs w:val="24"/>
          <w:highlight w:val="none"/>
        </w:rPr>
        <w:t>（三）近年完成的类似项目情况</w:t>
      </w:r>
    </w:p>
    <w:p w14:paraId="41780F5D">
      <w:pPr>
        <w:pStyle w:val="3"/>
        <w:spacing w:line="475" w:lineRule="auto"/>
        <w:rPr>
          <w:color w:val="auto"/>
          <w:highlight w:val="none"/>
        </w:rPr>
      </w:pPr>
    </w:p>
    <w:p w14:paraId="72473425">
      <w:pPr>
        <w:spacing w:before="78" w:line="218" w:lineRule="auto"/>
        <w:ind w:left="2800"/>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3-</w:t>
      </w:r>
      <w:r>
        <w:rPr>
          <w:rFonts w:ascii="Times New Roman" w:hAnsi="Times New Roman" w:eastAsia="Times New Roman" w:cs="Times New Roman"/>
          <w:color w:val="auto"/>
          <w:spacing w:val="-18"/>
          <w:sz w:val="24"/>
          <w:szCs w:val="24"/>
          <w:highlight w:val="none"/>
        </w:rPr>
        <w:t xml:space="preserve"> </w:t>
      </w:r>
      <w:r>
        <w:rPr>
          <w:rFonts w:ascii="Times New Roman" w:hAnsi="Times New Roman" w:eastAsia="Times New Roman" w:cs="Times New Roman"/>
          <w:color w:val="auto"/>
          <w:spacing w:val="-3"/>
          <w:sz w:val="24"/>
          <w:szCs w:val="24"/>
          <w:highlight w:val="none"/>
        </w:rPr>
        <w:t xml:space="preserve">1 </w:t>
      </w:r>
      <w:r>
        <w:rPr>
          <w:rFonts w:ascii="黑体" w:hAnsi="黑体" w:eastAsia="黑体" w:cs="黑体"/>
          <w:color w:val="auto"/>
          <w:spacing w:val="-3"/>
          <w:sz w:val="24"/>
          <w:szCs w:val="24"/>
          <w:highlight w:val="none"/>
        </w:rPr>
        <w:t>近年完成的类似项目汇总表</w:t>
      </w:r>
    </w:p>
    <w:tbl>
      <w:tblPr>
        <w:tblStyle w:val="10"/>
        <w:tblW w:w="88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1842"/>
        <w:gridCol w:w="1397"/>
        <w:gridCol w:w="1080"/>
        <w:gridCol w:w="1108"/>
        <w:gridCol w:w="1781"/>
        <w:gridCol w:w="1084"/>
      </w:tblGrid>
      <w:tr w14:paraId="5B29D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547" w:type="dxa"/>
            <w:textDirection w:val="tbRlV"/>
            <w:vAlign w:val="top"/>
          </w:tcPr>
          <w:p w14:paraId="30CF4C32">
            <w:pPr>
              <w:pStyle w:val="11"/>
              <w:spacing w:before="167" w:line="211" w:lineRule="auto"/>
              <w:ind w:left="159"/>
              <w:rPr>
                <w:color w:val="auto"/>
                <w:highlight w:val="none"/>
              </w:rPr>
            </w:pPr>
            <w:r>
              <w:rPr>
                <w:color w:val="auto"/>
                <w:spacing w:val="1"/>
                <w:highlight w:val="none"/>
              </w:rPr>
              <w:t>序</w:t>
            </w:r>
            <w:r>
              <w:rPr>
                <w:color w:val="auto"/>
                <w:spacing w:val="86"/>
                <w:highlight w:val="none"/>
              </w:rPr>
              <w:t xml:space="preserve"> </w:t>
            </w:r>
            <w:r>
              <w:rPr>
                <w:color w:val="auto"/>
                <w:spacing w:val="1"/>
                <w:highlight w:val="none"/>
              </w:rPr>
              <w:t>号</w:t>
            </w:r>
          </w:p>
        </w:tc>
        <w:tc>
          <w:tcPr>
            <w:tcW w:w="1842" w:type="dxa"/>
            <w:vAlign w:val="top"/>
          </w:tcPr>
          <w:p w14:paraId="77A1969F">
            <w:pPr>
              <w:spacing w:line="291" w:lineRule="auto"/>
              <w:rPr>
                <w:rFonts w:ascii="Arial"/>
                <w:color w:val="auto"/>
                <w:sz w:val="21"/>
                <w:highlight w:val="none"/>
              </w:rPr>
            </w:pPr>
          </w:p>
          <w:p w14:paraId="0E04316B">
            <w:pPr>
              <w:pStyle w:val="11"/>
              <w:spacing w:before="68" w:line="221" w:lineRule="auto"/>
              <w:ind w:left="506"/>
              <w:rPr>
                <w:color w:val="auto"/>
                <w:highlight w:val="none"/>
              </w:rPr>
            </w:pPr>
            <w:r>
              <w:rPr>
                <w:color w:val="auto"/>
                <w:spacing w:val="-2"/>
                <w:highlight w:val="none"/>
              </w:rPr>
              <w:t>项目名称</w:t>
            </w:r>
          </w:p>
        </w:tc>
        <w:tc>
          <w:tcPr>
            <w:tcW w:w="1397" w:type="dxa"/>
            <w:vAlign w:val="top"/>
          </w:tcPr>
          <w:p w14:paraId="17567BB4">
            <w:pPr>
              <w:spacing w:line="291" w:lineRule="auto"/>
              <w:rPr>
                <w:rFonts w:ascii="Arial"/>
                <w:color w:val="auto"/>
                <w:sz w:val="21"/>
                <w:highlight w:val="none"/>
              </w:rPr>
            </w:pPr>
          </w:p>
          <w:p w14:paraId="23D5B634">
            <w:pPr>
              <w:pStyle w:val="11"/>
              <w:spacing w:before="68" w:line="221" w:lineRule="auto"/>
              <w:ind w:left="181"/>
              <w:rPr>
                <w:color w:val="auto"/>
                <w:highlight w:val="none"/>
              </w:rPr>
            </w:pPr>
            <w:r>
              <w:rPr>
                <w:color w:val="auto"/>
                <w:spacing w:val="-1"/>
                <w:highlight w:val="none"/>
              </w:rPr>
              <w:t>发包人名称</w:t>
            </w:r>
          </w:p>
        </w:tc>
        <w:tc>
          <w:tcPr>
            <w:tcW w:w="1080" w:type="dxa"/>
            <w:vAlign w:val="top"/>
          </w:tcPr>
          <w:p w14:paraId="3E655799">
            <w:pPr>
              <w:spacing w:line="290" w:lineRule="auto"/>
              <w:rPr>
                <w:rFonts w:ascii="Arial"/>
                <w:color w:val="auto"/>
                <w:sz w:val="21"/>
                <w:highlight w:val="none"/>
              </w:rPr>
            </w:pPr>
          </w:p>
          <w:p w14:paraId="7777C560">
            <w:pPr>
              <w:pStyle w:val="11"/>
              <w:spacing w:before="68" w:line="221" w:lineRule="auto"/>
              <w:ind w:left="123"/>
              <w:rPr>
                <w:color w:val="auto"/>
                <w:highlight w:val="none"/>
              </w:rPr>
            </w:pPr>
            <w:r>
              <w:rPr>
                <w:color w:val="auto"/>
                <w:spacing w:val="-2"/>
                <w:highlight w:val="none"/>
              </w:rPr>
              <w:t>工程规模</w:t>
            </w:r>
          </w:p>
        </w:tc>
        <w:tc>
          <w:tcPr>
            <w:tcW w:w="1108" w:type="dxa"/>
            <w:vAlign w:val="top"/>
          </w:tcPr>
          <w:p w14:paraId="6952E943">
            <w:pPr>
              <w:pStyle w:val="11"/>
              <w:spacing w:before="159" w:line="403" w:lineRule="exact"/>
              <w:ind w:left="141"/>
              <w:rPr>
                <w:color w:val="auto"/>
                <w:highlight w:val="none"/>
              </w:rPr>
            </w:pPr>
            <w:r>
              <w:rPr>
                <w:color w:val="auto"/>
                <w:spacing w:val="-1"/>
                <w:position w:val="14"/>
                <w:highlight w:val="none"/>
              </w:rPr>
              <w:t>合同价格</w:t>
            </w:r>
          </w:p>
          <w:p w14:paraId="7AF56AEE">
            <w:pPr>
              <w:pStyle w:val="11"/>
              <w:spacing w:line="209" w:lineRule="auto"/>
              <w:ind w:left="199"/>
              <w:rPr>
                <w:color w:val="auto"/>
                <w:highlight w:val="none"/>
              </w:rPr>
            </w:pPr>
            <w:r>
              <w:rPr>
                <w:color w:val="auto"/>
                <w:spacing w:val="-6"/>
                <w:highlight w:val="none"/>
              </w:rPr>
              <w:t>（元）</w:t>
            </w:r>
          </w:p>
        </w:tc>
        <w:tc>
          <w:tcPr>
            <w:tcW w:w="1781" w:type="dxa"/>
            <w:vAlign w:val="top"/>
          </w:tcPr>
          <w:p w14:paraId="40145C8C">
            <w:pPr>
              <w:spacing w:line="290" w:lineRule="auto"/>
              <w:rPr>
                <w:rFonts w:ascii="Arial"/>
                <w:color w:val="auto"/>
                <w:sz w:val="21"/>
                <w:highlight w:val="none"/>
              </w:rPr>
            </w:pPr>
          </w:p>
          <w:p w14:paraId="58D39A8D">
            <w:pPr>
              <w:pStyle w:val="11"/>
              <w:spacing w:before="68" w:line="221" w:lineRule="auto"/>
              <w:ind w:left="267"/>
              <w:rPr>
                <w:color w:val="auto"/>
                <w:highlight w:val="none"/>
              </w:rPr>
            </w:pPr>
            <w:r>
              <w:rPr>
                <w:color w:val="auto"/>
                <w:spacing w:val="-1"/>
                <w:highlight w:val="none"/>
              </w:rPr>
              <w:t>开、竣工日期</w:t>
            </w:r>
          </w:p>
        </w:tc>
        <w:tc>
          <w:tcPr>
            <w:tcW w:w="1084" w:type="dxa"/>
            <w:vAlign w:val="top"/>
          </w:tcPr>
          <w:p w14:paraId="6E8B63C9">
            <w:pPr>
              <w:spacing w:line="291" w:lineRule="auto"/>
              <w:rPr>
                <w:rFonts w:ascii="Arial"/>
                <w:color w:val="auto"/>
                <w:sz w:val="21"/>
                <w:highlight w:val="none"/>
              </w:rPr>
            </w:pPr>
          </w:p>
          <w:p w14:paraId="59861886">
            <w:pPr>
              <w:pStyle w:val="11"/>
              <w:spacing w:before="68" w:line="221" w:lineRule="auto"/>
              <w:ind w:left="131"/>
              <w:rPr>
                <w:color w:val="auto"/>
                <w:highlight w:val="none"/>
              </w:rPr>
            </w:pPr>
            <w:r>
              <w:rPr>
                <w:color w:val="auto"/>
                <w:spacing w:val="-2"/>
                <w:highlight w:val="none"/>
              </w:rPr>
              <w:t>项目经理</w:t>
            </w:r>
          </w:p>
        </w:tc>
      </w:tr>
      <w:tr w14:paraId="6E28E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4998CEDE">
            <w:pPr>
              <w:rPr>
                <w:rFonts w:ascii="Arial"/>
                <w:color w:val="auto"/>
                <w:sz w:val="21"/>
                <w:highlight w:val="none"/>
              </w:rPr>
            </w:pPr>
          </w:p>
        </w:tc>
        <w:tc>
          <w:tcPr>
            <w:tcW w:w="1842" w:type="dxa"/>
            <w:vAlign w:val="top"/>
          </w:tcPr>
          <w:p w14:paraId="0983F29D">
            <w:pPr>
              <w:rPr>
                <w:rFonts w:ascii="Arial"/>
                <w:color w:val="auto"/>
                <w:sz w:val="21"/>
                <w:highlight w:val="none"/>
              </w:rPr>
            </w:pPr>
          </w:p>
        </w:tc>
        <w:tc>
          <w:tcPr>
            <w:tcW w:w="1397" w:type="dxa"/>
            <w:vAlign w:val="top"/>
          </w:tcPr>
          <w:p w14:paraId="6B4D0EC9">
            <w:pPr>
              <w:rPr>
                <w:rFonts w:ascii="Arial"/>
                <w:color w:val="auto"/>
                <w:sz w:val="21"/>
                <w:highlight w:val="none"/>
              </w:rPr>
            </w:pPr>
          </w:p>
        </w:tc>
        <w:tc>
          <w:tcPr>
            <w:tcW w:w="1080" w:type="dxa"/>
            <w:vAlign w:val="top"/>
          </w:tcPr>
          <w:p w14:paraId="7A29D6D5">
            <w:pPr>
              <w:rPr>
                <w:rFonts w:ascii="Arial"/>
                <w:color w:val="auto"/>
                <w:sz w:val="21"/>
                <w:highlight w:val="none"/>
              </w:rPr>
            </w:pPr>
          </w:p>
        </w:tc>
        <w:tc>
          <w:tcPr>
            <w:tcW w:w="1108" w:type="dxa"/>
            <w:vAlign w:val="top"/>
          </w:tcPr>
          <w:p w14:paraId="497151FD">
            <w:pPr>
              <w:rPr>
                <w:rFonts w:ascii="Arial"/>
                <w:color w:val="auto"/>
                <w:sz w:val="21"/>
                <w:highlight w:val="none"/>
              </w:rPr>
            </w:pPr>
          </w:p>
        </w:tc>
        <w:tc>
          <w:tcPr>
            <w:tcW w:w="1781" w:type="dxa"/>
            <w:vAlign w:val="top"/>
          </w:tcPr>
          <w:p w14:paraId="70437D12">
            <w:pPr>
              <w:rPr>
                <w:rFonts w:ascii="Arial"/>
                <w:color w:val="auto"/>
                <w:sz w:val="21"/>
                <w:highlight w:val="none"/>
              </w:rPr>
            </w:pPr>
          </w:p>
        </w:tc>
        <w:tc>
          <w:tcPr>
            <w:tcW w:w="1084" w:type="dxa"/>
            <w:vAlign w:val="top"/>
          </w:tcPr>
          <w:p w14:paraId="4A9DC5CC">
            <w:pPr>
              <w:rPr>
                <w:rFonts w:ascii="Arial"/>
                <w:color w:val="auto"/>
                <w:sz w:val="21"/>
                <w:highlight w:val="none"/>
              </w:rPr>
            </w:pPr>
          </w:p>
        </w:tc>
      </w:tr>
      <w:tr w14:paraId="2E019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499ACD48">
            <w:pPr>
              <w:rPr>
                <w:rFonts w:ascii="Arial"/>
                <w:color w:val="auto"/>
                <w:sz w:val="21"/>
                <w:highlight w:val="none"/>
              </w:rPr>
            </w:pPr>
          </w:p>
        </w:tc>
        <w:tc>
          <w:tcPr>
            <w:tcW w:w="1842" w:type="dxa"/>
            <w:vAlign w:val="top"/>
          </w:tcPr>
          <w:p w14:paraId="022A0CFE">
            <w:pPr>
              <w:rPr>
                <w:rFonts w:ascii="Arial"/>
                <w:color w:val="auto"/>
                <w:sz w:val="21"/>
                <w:highlight w:val="none"/>
              </w:rPr>
            </w:pPr>
          </w:p>
        </w:tc>
        <w:tc>
          <w:tcPr>
            <w:tcW w:w="1397" w:type="dxa"/>
            <w:vAlign w:val="top"/>
          </w:tcPr>
          <w:p w14:paraId="1A52B57D">
            <w:pPr>
              <w:rPr>
                <w:rFonts w:ascii="Arial"/>
                <w:color w:val="auto"/>
                <w:sz w:val="21"/>
                <w:highlight w:val="none"/>
              </w:rPr>
            </w:pPr>
          </w:p>
        </w:tc>
        <w:tc>
          <w:tcPr>
            <w:tcW w:w="1080" w:type="dxa"/>
            <w:vAlign w:val="top"/>
          </w:tcPr>
          <w:p w14:paraId="11B39B93">
            <w:pPr>
              <w:rPr>
                <w:rFonts w:ascii="Arial"/>
                <w:color w:val="auto"/>
                <w:sz w:val="21"/>
                <w:highlight w:val="none"/>
              </w:rPr>
            </w:pPr>
          </w:p>
        </w:tc>
        <w:tc>
          <w:tcPr>
            <w:tcW w:w="1108" w:type="dxa"/>
            <w:vAlign w:val="top"/>
          </w:tcPr>
          <w:p w14:paraId="08C793F0">
            <w:pPr>
              <w:rPr>
                <w:rFonts w:ascii="Arial"/>
                <w:color w:val="auto"/>
                <w:sz w:val="21"/>
                <w:highlight w:val="none"/>
              </w:rPr>
            </w:pPr>
          </w:p>
        </w:tc>
        <w:tc>
          <w:tcPr>
            <w:tcW w:w="1781" w:type="dxa"/>
            <w:vAlign w:val="top"/>
          </w:tcPr>
          <w:p w14:paraId="5D900C22">
            <w:pPr>
              <w:rPr>
                <w:rFonts w:ascii="Arial"/>
                <w:color w:val="auto"/>
                <w:sz w:val="21"/>
                <w:highlight w:val="none"/>
              </w:rPr>
            </w:pPr>
          </w:p>
        </w:tc>
        <w:tc>
          <w:tcPr>
            <w:tcW w:w="1084" w:type="dxa"/>
            <w:vAlign w:val="top"/>
          </w:tcPr>
          <w:p w14:paraId="1E991E4B">
            <w:pPr>
              <w:rPr>
                <w:rFonts w:ascii="Arial"/>
                <w:color w:val="auto"/>
                <w:sz w:val="21"/>
                <w:highlight w:val="none"/>
              </w:rPr>
            </w:pPr>
          </w:p>
        </w:tc>
      </w:tr>
      <w:tr w14:paraId="565BC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61F1E547">
            <w:pPr>
              <w:rPr>
                <w:rFonts w:ascii="Arial"/>
                <w:color w:val="auto"/>
                <w:sz w:val="21"/>
                <w:highlight w:val="none"/>
              </w:rPr>
            </w:pPr>
          </w:p>
        </w:tc>
        <w:tc>
          <w:tcPr>
            <w:tcW w:w="1842" w:type="dxa"/>
            <w:vAlign w:val="top"/>
          </w:tcPr>
          <w:p w14:paraId="61340EF3">
            <w:pPr>
              <w:rPr>
                <w:rFonts w:ascii="Arial"/>
                <w:color w:val="auto"/>
                <w:sz w:val="21"/>
                <w:highlight w:val="none"/>
              </w:rPr>
            </w:pPr>
          </w:p>
        </w:tc>
        <w:tc>
          <w:tcPr>
            <w:tcW w:w="1397" w:type="dxa"/>
            <w:vAlign w:val="top"/>
          </w:tcPr>
          <w:p w14:paraId="3C252A55">
            <w:pPr>
              <w:rPr>
                <w:rFonts w:ascii="Arial"/>
                <w:color w:val="auto"/>
                <w:sz w:val="21"/>
                <w:highlight w:val="none"/>
              </w:rPr>
            </w:pPr>
          </w:p>
        </w:tc>
        <w:tc>
          <w:tcPr>
            <w:tcW w:w="1080" w:type="dxa"/>
            <w:vAlign w:val="top"/>
          </w:tcPr>
          <w:p w14:paraId="5F80769F">
            <w:pPr>
              <w:rPr>
                <w:rFonts w:ascii="Arial"/>
                <w:color w:val="auto"/>
                <w:sz w:val="21"/>
                <w:highlight w:val="none"/>
              </w:rPr>
            </w:pPr>
          </w:p>
        </w:tc>
        <w:tc>
          <w:tcPr>
            <w:tcW w:w="1108" w:type="dxa"/>
            <w:vAlign w:val="top"/>
          </w:tcPr>
          <w:p w14:paraId="209FD6FB">
            <w:pPr>
              <w:rPr>
                <w:rFonts w:ascii="Arial"/>
                <w:color w:val="auto"/>
                <w:sz w:val="21"/>
                <w:highlight w:val="none"/>
              </w:rPr>
            </w:pPr>
          </w:p>
        </w:tc>
        <w:tc>
          <w:tcPr>
            <w:tcW w:w="1781" w:type="dxa"/>
            <w:vAlign w:val="top"/>
          </w:tcPr>
          <w:p w14:paraId="64BAE183">
            <w:pPr>
              <w:rPr>
                <w:rFonts w:ascii="Arial"/>
                <w:color w:val="auto"/>
                <w:sz w:val="21"/>
                <w:highlight w:val="none"/>
              </w:rPr>
            </w:pPr>
          </w:p>
        </w:tc>
        <w:tc>
          <w:tcPr>
            <w:tcW w:w="1084" w:type="dxa"/>
            <w:vAlign w:val="top"/>
          </w:tcPr>
          <w:p w14:paraId="0EB6206C">
            <w:pPr>
              <w:rPr>
                <w:rFonts w:ascii="Arial"/>
                <w:color w:val="auto"/>
                <w:sz w:val="21"/>
                <w:highlight w:val="none"/>
              </w:rPr>
            </w:pPr>
          </w:p>
        </w:tc>
      </w:tr>
      <w:tr w14:paraId="639C6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3CA36C31">
            <w:pPr>
              <w:rPr>
                <w:rFonts w:ascii="Arial"/>
                <w:color w:val="auto"/>
                <w:sz w:val="21"/>
                <w:highlight w:val="none"/>
              </w:rPr>
            </w:pPr>
          </w:p>
        </w:tc>
        <w:tc>
          <w:tcPr>
            <w:tcW w:w="1842" w:type="dxa"/>
            <w:vAlign w:val="top"/>
          </w:tcPr>
          <w:p w14:paraId="31981CA9">
            <w:pPr>
              <w:rPr>
                <w:rFonts w:ascii="Arial"/>
                <w:color w:val="auto"/>
                <w:sz w:val="21"/>
                <w:highlight w:val="none"/>
              </w:rPr>
            </w:pPr>
          </w:p>
        </w:tc>
        <w:tc>
          <w:tcPr>
            <w:tcW w:w="1397" w:type="dxa"/>
            <w:vAlign w:val="top"/>
          </w:tcPr>
          <w:p w14:paraId="05C1A8B0">
            <w:pPr>
              <w:rPr>
                <w:rFonts w:ascii="Arial"/>
                <w:color w:val="auto"/>
                <w:sz w:val="21"/>
                <w:highlight w:val="none"/>
              </w:rPr>
            </w:pPr>
          </w:p>
        </w:tc>
        <w:tc>
          <w:tcPr>
            <w:tcW w:w="1080" w:type="dxa"/>
            <w:vAlign w:val="top"/>
          </w:tcPr>
          <w:p w14:paraId="05D6C482">
            <w:pPr>
              <w:rPr>
                <w:rFonts w:ascii="Arial"/>
                <w:color w:val="auto"/>
                <w:sz w:val="21"/>
                <w:highlight w:val="none"/>
              </w:rPr>
            </w:pPr>
          </w:p>
        </w:tc>
        <w:tc>
          <w:tcPr>
            <w:tcW w:w="1108" w:type="dxa"/>
            <w:vAlign w:val="top"/>
          </w:tcPr>
          <w:p w14:paraId="62DB9212">
            <w:pPr>
              <w:rPr>
                <w:rFonts w:ascii="Arial"/>
                <w:color w:val="auto"/>
                <w:sz w:val="21"/>
                <w:highlight w:val="none"/>
              </w:rPr>
            </w:pPr>
          </w:p>
        </w:tc>
        <w:tc>
          <w:tcPr>
            <w:tcW w:w="1781" w:type="dxa"/>
            <w:vAlign w:val="top"/>
          </w:tcPr>
          <w:p w14:paraId="04E4A2B5">
            <w:pPr>
              <w:rPr>
                <w:rFonts w:ascii="Arial"/>
                <w:color w:val="auto"/>
                <w:sz w:val="21"/>
                <w:highlight w:val="none"/>
              </w:rPr>
            </w:pPr>
          </w:p>
        </w:tc>
        <w:tc>
          <w:tcPr>
            <w:tcW w:w="1084" w:type="dxa"/>
            <w:vAlign w:val="top"/>
          </w:tcPr>
          <w:p w14:paraId="3DFB4312">
            <w:pPr>
              <w:rPr>
                <w:rFonts w:ascii="Arial"/>
                <w:color w:val="auto"/>
                <w:sz w:val="21"/>
                <w:highlight w:val="none"/>
              </w:rPr>
            </w:pPr>
          </w:p>
        </w:tc>
      </w:tr>
      <w:tr w14:paraId="56577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12E19999">
            <w:pPr>
              <w:rPr>
                <w:rFonts w:ascii="Arial"/>
                <w:color w:val="auto"/>
                <w:sz w:val="21"/>
                <w:highlight w:val="none"/>
              </w:rPr>
            </w:pPr>
          </w:p>
        </w:tc>
        <w:tc>
          <w:tcPr>
            <w:tcW w:w="1842" w:type="dxa"/>
            <w:vAlign w:val="top"/>
          </w:tcPr>
          <w:p w14:paraId="12FAA668">
            <w:pPr>
              <w:rPr>
                <w:rFonts w:ascii="Arial"/>
                <w:color w:val="auto"/>
                <w:sz w:val="21"/>
                <w:highlight w:val="none"/>
              </w:rPr>
            </w:pPr>
          </w:p>
        </w:tc>
        <w:tc>
          <w:tcPr>
            <w:tcW w:w="1397" w:type="dxa"/>
            <w:vAlign w:val="top"/>
          </w:tcPr>
          <w:p w14:paraId="149B22B9">
            <w:pPr>
              <w:rPr>
                <w:rFonts w:ascii="Arial"/>
                <w:color w:val="auto"/>
                <w:sz w:val="21"/>
                <w:highlight w:val="none"/>
              </w:rPr>
            </w:pPr>
          </w:p>
        </w:tc>
        <w:tc>
          <w:tcPr>
            <w:tcW w:w="1080" w:type="dxa"/>
            <w:vAlign w:val="top"/>
          </w:tcPr>
          <w:p w14:paraId="40BBF4D0">
            <w:pPr>
              <w:rPr>
                <w:rFonts w:ascii="Arial"/>
                <w:color w:val="auto"/>
                <w:sz w:val="21"/>
                <w:highlight w:val="none"/>
              </w:rPr>
            </w:pPr>
          </w:p>
        </w:tc>
        <w:tc>
          <w:tcPr>
            <w:tcW w:w="1108" w:type="dxa"/>
            <w:vAlign w:val="top"/>
          </w:tcPr>
          <w:p w14:paraId="78FAEDD0">
            <w:pPr>
              <w:rPr>
                <w:rFonts w:ascii="Arial"/>
                <w:color w:val="auto"/>
                <w:sz w:val="21"/>
                <w:highlight w:val="none"/>
              </w:rPr>
            </w:pPr>
          </w:p>
        </w:tc>
        <w:tc>
          <w:tcPr>
            <w:tcW w:w="1781" w:type="dxa"/>
            <w:vAlign w:val="top"/>
          </w:tcPr>
          <w:p w14:paraId="18163FE6">
            <w:pPr>
              <w:rPr>
                <w:rFonts w:ascii="Arial"/>
                <w:color w:val="auto"/>
                <w:sz w:val="21"/>
                <w:highlight w:val="none"/>
              </w:rPr>
            </w:pPr>
          </w:p>
        </w:tc>
        <w:tc>
          <w:tcPr>
            <w:tcW w:w="1084" w:type="dxa"/>
            <w:vAlign w:val="top"/>
          </w:tcPr>
          <w:p w14:paraId="32947A54">
            <w:pPr>
              <w:rPr>
                <w:rFonts w:ascii="Arial"/>
                <w:color w:val="auto"/>
                <w:sz w:val="21"/>
                <w:highlight w:val="none"/>
              </w:rPr>
            </w:pPr>
          </w:p>
        </w:tc>
      </w:tr>
      <w:tr w14:paraId="20B17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4" w:hRule="atLeast"/>
        </w:trPr>
        <w:tc>
          <w:tcPr>
            <w:tcW w:w="547" w:type="dxa"/>
            <w:vAlign w:val="top"/>
          </w:tcPr>
          <w:p w14:paraId="06C6450A">
            <w:pPr>
              <w:rPr>
                <w:rFonts w:ascii="Arial"/>
                <w:color w:val="auto"/>
                <w:sz w:val="21"/>
                <w:highlight w:val="none"/>
              </w:rPr>
            </w:pPr>
          </w:p>
        </w:tc>
        <w:tc>
          <w:tcPr>
            <w:tcW w:w="1842" w:type="dxa"/>
            <w:vAlign w:val="top"/>
          </w:tcPr>
          <w:p w14:paraId="70C3A178">
            <w:pPr>
              <w:rPr>
                <w:rFonts w:ascii="Arial"/>
                <w:color w:val="auto"/>
                <w:sz w:val="21"/>
                <w:highlight w:val="none"/>
              </w:rPr>
            </w:pPr>
          </w:p>
        </w:tc>
        <w:tc>
          <w:tcPr>
            <w:tcW w:w="1397" w:type="dxa"/>
            <w:vAlign w:val="top"/>
          </w:tcPr>
          <w:p w14:paraId="7A040B95">
            <w:pPr>
              <w:rPr>
                <w:rFonts w:ascii="Arial"/>
                <w:color w:val="auto"/>
                <w:sz w:val="21"/>
                <w:highlight w:val="none"/>
              </w:rPr>
            </w:pPr>
          </w:p>
        </w:tc>
        <w:tc>
          <w:tcPr>
            <w:tcW w:w="1080" w:type="dxa"/>
            <w:vAlign w:val="top"/>
          </w:tcPr>
          <w:p w14:paraId="749D3254">
            <w:pPr>
              <w:rPr>
                <w:rFonts w:ascii="Arial"/>
                <w:color w:val="auto"/>
                <w:sz w:val="21"/>
                <w:highlight w:val="none"/>
              </w:rPr>
            </w:pPr>
          </w:p>
        </w:tc>
        <w:tc>
          <w:tcPr>
            <w:tcW w:w="1108" w:type="dxa"/>
            <w:vAlign w:val="top"/>
          </w:tcPr>
          <w:p w14:paraId="18E1D91D">
            <w:pPr>
              <w:rPr>
                <w:rFonts w:ascii="Arial"/>
                <w:color w:val="auto"/>
                <w:sz w:val="21"/>
                <w:highlight w:val="none"/>
              </w:rPr>
            </w:pPr>
          </w:p>
        </w:tc>
        <w:tc>
          <w:tcPr>
            <w:tcW w:w="1781" w:type="dxa"/>
            <w:vAlign w:val="top"/>
          </w:tcPr>
          <w:p w14:paraId="0B7C6C72">
            <w:pPr>
              <w:rPr>
                <w:rFonts w:ascii="Arial"/>
                <w:color w:val="auto"/>
                <w:sz w:val="21"/>
                <w:highlight w:val="none"/>
              </w:rPr>
            </w:pPr>
          </w:p>
        </w:tc>
        <w:tc>
          <w:tcPr>
            <w:tcW w:w="1084" w:type="dxa"/>
            <w:vAlign w:val="top"/>
          </w:tcPr>
          <w:p w14:paraId="65908A45">
            <w:pPr>
              <w:rPr>
                <w:rFonts w:ascii="Arial"/>
                <w:color w:val="auto"/>
                <w:sz w:val="21"/>
                <w:highlight w:val="none"/>
              </w:rPr>
            </w:pPr>
          </w:p>
        </w:tc>
      </w:tr>
      <w:tr w14:paraId="6A4AD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70A49561">
            <w:pPr>
              <w:rPr>
                <w:rFonts w:ascii="Arial"/>
                <w:color w:val="auto"/>
                <w:sz w:val="21"/>
                <w:highlight w:val="none"/>
              </w:rPr>
            </w:pPr>
          </w:p>
        </w:tc>
        <w:tc>
          <w:tcPr>
            <w:tcW w:w="1842" w:type="dxa"/>
            <w:vAlign w:val="top"/>
          </w:tcPr>
          <w:p w14:paraId="7D52853B">
            <w:pPr>
              <w:rPr>
                <w:rFonts w:ascii="Arial"/>
                <w:color w:val="auto"/>
                <w:sz w:val="21"/>
                <w:highlight w:val="none"/>
              </w:rPr>
            </w:pPr>
          </w:p>
        </w:tc>
        <w:tc>
          <w:tcPr>
            <w:tcW w:w="1397" w:type="dxa"/>
            <w:vAlign w:val="top"/>
          </w:tcPr>
          <w:p w14:paraId="1FB88B5A">
            <w:pPr>
              <w:rPr>
                <w:rFonts w:ascii="Arial"/>
                <w:color w:val="auto"/>
                <w:sz w:val="21"/>
                <w:highlight w:val="none"/>
              </w:rPr>
            </w:pPr>
          </w:p>
        </w:tc>
        <w:tc>
          <w:tcPr>
            <w:tcW w:w="1080" w:type="dxa"/>
            <w:vAlign w:val="top"/>
          </w:tcPr>
          <w:p w14:paraId="4A9B91E5">
            <w:pPr>
              <w:rPr>
                <w:rFonts w:ascii="Arial"/>
                <w:color w:val="auto"/>
                <w:sz w:val="21"/>
                <w:highlight w:val="none"/>
              </w:rPr>
            </w:pPr>
          </w:p>
        </w:tc>
        <w:tc>
          <w:tcPr>
            <w:tcW w:w="1108" w:type="dxa"/>
            <w:vAlign w:val="top"/>
          </w:tcPr>
          <w:p w14:paraId="6CC8B4F6">
            <w:pPr>
              <w:rPr>
                <w:rFonts w:ascii="Arial"/>
                <w:color w:val="auto"/>
                <w:sz w:val="21"/>
                <w:highlight w:val="none"/>
              </w:rPr>
            </w:pPr>
          </w:p>
        </w:tc>
        <w:tc>
          <w:tcPr>
            <w:tcW w:w="1781" w:type="dxa"/>
            <w:vAlign w:val="top"/>
          </w:tcPr>
          <w:p w14:paraId="3896F077">
            <w:pPr>
              <w:rPr>
                <w:rFonts w:ascii="Arial"/>
                <w:color w:val="auto"/>
                <w:sz w:val="21"/>
                <w:highlight w:val="none"/>
              </w:rPr>
            </w:pPr>
          </w:p>
        </w:tc>
        <w:tc>
          <w:tcPr>
            <w:tcW w:w="1084" w:type="dxa"/>
            <w:vAlign w:val="top"/>
          </w:tcPr>
          <w:p w14:paraId="7362F813">
            <w:pPr>
              <w:rPr>
                <w:rFonts w:ascii="Arial"/>
                <w:color w:val="auto"/>
                <w:sz w:val="21"/>
                <w:highlight w:val="none"/>
              </w:rPr>
            </w:pPr>
          </w:p>
        </w:tc>
      </w:tr>
      <w:tr w14:paraId="5B912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61C2EF08">
            <w:pPr>
              <w:rPr>
                <w:rFonts w:ascii="Arial"/>
                <w:color w:val="auto"/>
                <w:sz w:val="21"/>
                <w:highlight w:val="none"/>
              </w:rPr>
            </w:pPr>
          </w:p>
        </w:tc>
        <w:tc>
          <w:tcPr>
            <w:tcW w:w="1842" w:type="dxa"/>
            <w:vAlign w:val="top"/>
          </w:tcPr>
          <w:p w14:paraId="7CCBBD8C">
            <w:pPr>
              <w:rPr>
                <w:rFonts w:ascii="Arial"/>
                <w:color w:val="auto"/>
                <w:sz w:val="21"/>
                <w:highlight w:val="none"/>
              </w:rPr>
            </w:pPr>
          </w:p>
        </w:tc>
        <w:tc>
          <w:tcPr>
            <w:tcW w:w="1397" w:type="dxa"/>
            <w:vAlign w:val="top"/>
          </w:tcPr>
          <w:p w14:paraId="271DBE6E">
            <w:pPr>
              <w:rPr>
                <w:rFonts w:ascii="Arial"/>
                <w:color w:val="auto"/>
                <w:sz w:val="21"/>
                <w:highlight w:val="none"/>
              </w:rPr>
            </w:pPr>
          </w:p>
        </w:tc>
        <w:tc>
          <w:tcPr>
            <w:tcW w:w="1080" w:type="dxa"/>
            <w:vAlign w:val="top"/>
          </w:tcPr>
          <w:p w14:paraId="13EA6A2C">
            <w:pPr>
              <w:rPr>
                <w:rFonts w:ascii="Arial"/>
                <w:color w:val="auto"/>
                <w:sz w:val="21"/>
                <w:highlight w:val="none"/>
              </w:rPr>
            </w:pPr>
          </w:p>
        </w:tc>
        <w:tc>
          <w:tcPr>
            <w:tcW w:w="1108" w:type="dxa"/>
            <w:vAlign w:val="top"/>
          </w:tcPr>
          <w:p w14:paraId="506F6F2E">
            <w:pPr>
              <w:rPr>
                <w:rFonts w:ascii="Arial"/>
                <w:color w:val="auto"/>
                <w:sz w:val="21"/>
                <w:highlight w:val="none"/>
              </w:rPr>
            </w:pPr>
          </w:p>
        </w:tc>
        <w:tc>
          <w:tcPr>
            <w:tcW w:w="1781" w:type="dxa"/>
            <w:vAlign w:val="top"/>
          </w:tcPr>
          <w:p w14:paraId="7EA19955">
            <w:pPr>
              <w:rPr>
                <w:rFonts w:ascii="Arial"/>
                <w:color w:val="auto"/>
                <w:sz w:val="21"/>
                <w:highlight w:val="none"/>
              </w:rPr>
            </w:pPr>
          </w:p>
        </w:tc>
        <w:tc>
          <w:tcPr>
            <w:tcW w:w="1084" w:type="dxa"/>
            <w:vAlign w:val="top"/>
          </w:tcPr>
          <w:p w14:paraId="577C305A">
            <w:pPr>
              <w:rPr>
                <w:rFonts w:ascii="Arial"/>
                <w:color w:val="auto"/>
                <w:sz w:val="21"/>
                <w:highlight w:val="none"/>
              </w:rPr>
            </w:pPr>
          </w:p>
        </w:tc>
      </w:tr>
      <w:tr w14:paraId="4CB50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2DA5F301">
            <w:pPr>
              <w:rPr>
                <w:rFonts w:ascii="Arial"/>
                <w:color w:val="auto"/>
                <w:sz w:val="21"/>
                <w:highlight w:val="none"/>
              </w:rPr>
            </w:pPr>
          </w:p>
        </w:tc>
        <w:tc>
          <w:tcPr>
            <w:tcW w:w="1842" w:type="dxa"/>
            <w:vAlign w:val="top"/>
          </w:tcPr>
          <w:p w14:paraId="6DDDAC61">
            <w:pPr>
              <w:rPr>
                <w:rFonts w:ascii="Arial"/>
                <w:color w:val="auto"/>
                <w:sz w:val="21"/>
                <w:highlight w:val="none"/>
              </w:rPr>
            </w:pPr>
          </w:p>
        </w:tc>
        <w:tc>
          <w:tcPr>
            <w:tcW w:w="1397" w:type="dxa"/>
            <w:vAlign w:val="top"/>
          </w:tcPr>
          <w:p w14:paraId="06604275">
            <w:pPr>
              <w:rPr>
                <w:rFonts w:ascii="Arial"/>
                <w:color w:val="auto"/>
                <w:sz w:val="21"/>
                <w:highlight w:val="none"/>
              </w:rPr>
            </w:pPr>
          </w:p>
        </w:tc>
        <w:tc>
          <w:tcPr>
            <w:tcW w:w="1080" w:type="dxa"/>
            <w:vAlign w:val="top"/>
          </w:tcPr>
          <w:p w14:paraId="6F818180">
            <w:pPr>
              <w:rPr>
                <w:rFonts w:ascii="Arial"/>
                <w:color w:val="auto"/>
                <w:sz w:val="21"/>
                <w:highlight w:val="none"/>
              </w:rPr>
            </w:pPr>
          </w:p>
        </w:tc>
        <w:tc>
          <w:tcPr>
            <w:tcW w:w="1108" w:type="dxa"/>
            <w:vAlign w:val="top"/>
          </w:tcPr>
          <w:p w14:paraId="37F4BD16">
            <w:pPr>
              <w:rPr>
                <w:rFonts w:ascii="Arial"/>
                <w:color w:val="auto"/>
                <w:sz w:val="21"/>
                <w:highlight w:val="none"/>
              </w:rPr>
            </w:pPr>
          </w:p>
        </w:tc>
        <w:tc>
          <w:tcPr>
            <w:tcW w:w="1781" w:type="dxa"/>
            <w:vAlign w:val="top"/>
          </w:tcPr>
          <w:p w14:paraId="5663CA07">
            <w:pPr>
              <w:rPr>
                <w:rFonts w:ascii="Arial"/>
                <w:color w:val="auto"/>
                <w:sz w:val="21"/>
                <w:highlight w:val="none"/>
              </w:rPr>
            </w:pPr>
          </w:p>
        </w:tc>
        <w:tc>
          <w:tcPr>
            <w:tcW w:w="1084" w:type="dxa"/>
            <w:vAlign w:val="top"/>
          </w:tcPr>
          <w:p w14:paraId="6C5EAA72">
            <w:pPr>
              <w:rPr>
                <w:rFonts w:ascii="Arial"/>
                <w:color w:val="auto"/>
                <w:sz w:val="21"/>
                <w:highlight w:val="none"/>
              </w:rPr>
            </w:pPr>
          </w:p>
        </w:tc>
      </w:tr>
      <w:tr w14:paraId="61CBE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485CF111">
            <w:pPr>
              <w:rPr>
                <w:rFonts w:ascii="Arial"/>
                <w:color w:val="auto"/>
                <w:sz w:val="21"/>
                <w:highlight w:val="none"/>
              </w:rPr>
            </w:pPr>
          </w:p>
        </w:tc>
        <w:tc>
          <w:tcPr>
            <w:tcW w:w="1842" w:type="dxa"/>
            <w:vAlign w:val="top"/>
          </w:tcPr>
          <w:p w14:paraId="5D7BE5D7">
            <w:pPr>
              <w:rPr>
                <w:rFonts w:ascii="Arial"/>
                <w:color w:val="auto"/>
                <w:sz w:val="21"/>
                <w:highlight w:val="none"/>
              </w:rPr>
            </w:pPr>
          </w:p>
        </w:tc>
        <w:tc>
          <w:tcPr>
            <w:tcW w:w="1397" w:type="dxa"/>
            <w:vAlign w:val="top"/>
          </w:tcPr>
          <w:p w14:paraId="05D54E52">
            <w:pPr>
              <w:rPr>
                <w:rFonts w:ascii="Arial"/>
                <w:color w:val="auto"/>
                <w:sz w:val="21"/>
                <w:highlight w:val="none"/>
              </w:rPr>
            </w:pPr>
          </w:p>
        </w:tc>
        <w:tc>
          <w:tcPr>
            <w:tcW w:w="1080" w:type="dxa"/>
            <w:vAlign w:val="top"/>
          </w:tcPr>
          <w:p w14:paraId="7F5A6029">
            <w:pPr>
              <w:rPr>
                <w:rFonts w:ascii="Arial"/>
                <w:color w:val="auto"/>
                <w:sz w:val="21"/>
                <w:highlight w:val="none"/>
              </w:rPr>
            </w:pPr>
          </w:p>
        </w:tc>
        <w:tc>
          <w:tcPr>
            <w:tcW w:w="1108" w:type="dxa"/>
            <w:vAlign w:val="top"/>
          </w:tcPr>
          <w:p w14:paraId="2F6FFA96">
            <w:pPr>
              <w:rPr>
                <w:rFonts w:ascii="Arial"/>
                <w:color w:val="auto"/>
                <w:sz w:val="21"/>
                <w:highlight w:val="none"/>
              </w:rPr>
            </w:pPr>
          </w:p>
        </w:tc>
        <w:tc>
          <w:tcPr>
            <w:tcW w:w="1781" w:type="dxa"/>
            <w:vAlign w:val="top"/>
          </w:tcPr>
          <w:p w14:paraId="00D3EF30">
            <w:pPr>
              <w:rPr>
                <w:rFonts w:ascii="Arial"/>
                <w:color w:val="auto"/>
                <w:sz w:val="21"/>
                <w:highlight w:val="none"/>
              </w:rPr>
            </w:pPr>
          </w:p>
        </w:tc>
        <w:tc>
          <w:tcPr>
            <w:tcW w:w="1084" w:type="dxa"/>
            <w:vAlign w:val="top"/>
          </w:tcPr>
          <w:p w14:paraId="627D5615">
            <w:pPr>
              <w:rPr>
                <w:rFonts w:ascii="Arial"/>
                <w:color w:val="auto"/>
                <w:sz w:val="21"/>
                <w:highlight w:val="none"/>
              </w:rPr>
            </w:pPr>
          </w:p>
        </w:tc>
      </w:tr>
      <w:tr w14:paraId="4D62B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5228418B">
            <w:pPr>
              <w:rPr>
                <w:rFonts w:ascii="Arial"/>
                <w:color w:val="auto"/>
                <w:sz w:val="21"/>
                <w:highlight w:val="none"/>
              </w:rPr>
            </w:pPr>
          </w:p>
        </w:tc>
        <w:tc>
          <w:tcPr>
            <w:tcW w:w="1842" w:type="dxa"/>
            <w:vAlign w:val="top"/>
          </w:tcPr>
          <w:p w14:paraId="7B943477">
            <w:pPr>
              <w:rPr>
                <w:rFonts w:ascii="Arial"/>
                <w:color w:val="auto"/>
                <w:sz w:val="21"/>
                <w:highlight w:val="none"/>
              </w:rPr>
            </w:pPr>
          </w:p>
        </w:tc>
        <w:tc>
          <w:tcPr>
            <w:tcW w:w="1397" w:type="dxa"/>
            <w:vAlign w:val="top"/>
          </w:tcPr>
          <w:p w14:paraId="611F1337">
            <w:pPr>
              <w:rPr>
                <w:rFonts w:ascii="Arial"/>
                <w:color w:val="auto"/>
                <w:sz w:val="21"/>
                <w:highlight w:val="none"/>
              </w:rPr>
            </w:pPr>
          </w:p>
        </w:tc>
        <w:tc>
          <w:tcPr>
            <w:tcW w:w="1080" w:type="dxa"/>
            <w:vAlign w:val="top"/>
          </w:tcPr>
          <w:p w14:paraId="2911300C">
            <w:pPr>
              <w:rPr>
                <w:rFonts w:ascii="Arial"/>
                <w:color w:val="auto"/>
                <w:sz w:val="21"/>
                <w:highlight w:val="none"/>
              </w:rPr>
            </w:pPr>
          </w:p>
        </w:tc>
        <w:tc>
          <w:tcPr>
            <w:tcW w:w="1108" w:type="dxa"/>
            <w:vAlign w:val="top"/>
          </w:tcPr>
          <w:p w14:paraId="4E8EB9CD">
            <w:pPr>
              <w:rPr>
                <w:rFonts w:ascii="Arial"/>
                <w:color w:val="auto"/>
                <w:sz w:val="21"/>
                <w:highlight w:val="none"/>
              </w:rPr>
            </w:pPr>
          </w:p>
        </w:tc>
        <w:tc>
          <w:tcPr>
            <w:tcW w:w="1781" w:type="dxa"/>
            <w:vAlign w:val="top"/>
          </w:tcPr>
          <w:p w14:paraId="39342DDD">
            <w:pPr>
              <w:rPr>
                <w:rFonts w:ascii="Arial"/>
                <w:color w:val="auto"/>
                <w:sz w:val="21"/>
                <w:highlight w:val="none"/>
              </w:rPr>
            </w:pPr>
          </w:p>
        </w:tc>
        <w:tc>
          <w:tcPr>
            <w:tcW w:w="1084" w:type="dxa"/>
            <w:vAlign w:val="top"/>
          </w:tcPr>
          <w:p w14:paraId="44005A18">
            <w:pPr>
              <w:rPr>
                <w:rFonts w:ascii="Arial"/>
                <w:color w:val="auto"/>
                <w:sz w:val="21"/>
                <w:highlight w:val="none"/>
              </w:rPr>
            </w:pPr>
          </w:p>
        </w:tc>
      </w:tr>
      <w:tr w14:paraId="12E09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68E7A1C0">
            <w:pPr>
              <w:rPr>
                <w:rFonts w:ascii="Arial"/>
                <w:color w:val="auto"/>
                <w:sz w:val="21"/>
                <w:highlight w:val="none"/>
              </w:rPr>
            </w:pPr>
          </w:p>
        </w:tc>
        <w:tc>
          <w:tcPr>
            <w:tcW w:w="1842" w:type="dxa"/>
            <w:vAlign w:val="top"/>
          </w:tcPr>
          <w:p w14:paraId="5C9F39C8">
            <w:pPr>
              <w:rPr>
                <w:rFonts w:ascii="Arial"/>
                <w:color w:val="auto"/>
                <w:sz w:val="21"/>
                <w:highlight w:val="none"/>
              </w:rPr>
            </w:pPr>
          </w:p>
        </w:tc>
        <w:tc>
          <w:tcPr>
            <w:tcW w:w="1397" w:type="dxa"/>
            <w:vAlign w:val="top"/>
          </w:tcPr>
          <w:p w14:paraId="7A32E2A3">
            <w:pPr>
              <w:rPr>
                <w:rFonts w:ascii="Arial"/>
                <w:color w:val="auto"/>
                <w:sz w:val="21"/>
                <w:highlight w:val="none"/>
              </w:rPr>
            </w:pPr>
          </w:p>
        </w:tc>
        <w:tc>
          <w:tcPr>
            <w:tcW w:w="1080" w:type="dxa"/>
            <w:vAlign w:val="top"/>
          </w:tcPr>
          <w:p w14:paraId="401109D2">
            <w:pPr>
              <w:rPr>
                <w:rFonts w:ascii="Arial"/>
                <w:color w:val="auto"/>
                <w:sz w:val="21"/>
                <w:highlight w:val="none"/>
              </w:rPr>
            </w:pPr>
          </w:p>
        </w:tc>
        <w:tc>
          <w:tcPr>
            <w:tcW w:w="1108" w:type="dxa"/>
            <w:vAlign w:val="top"/>
          </w:tcPr>
          <w:p w14:paraId="728375AD">
            <w:pPr>
              <w:rPr>
                <w:rFonts w:ascii="Arial"/>
                <w:color w:val="auto"/>
                <w:sz w:val="21"/>
                <w:highlight w:val="none"/>
              </w:rPr>
            </w:pPr>
          </w:p>
        </w:tc>
        <w:tc>
          <w:tcPr>
            <w:tcW w:w="1781" w:type="dxa"/>
            <w:vAlign w:val="top"/>
          </w:tcPr>
          <w:p w14:paraId="1A8EB65A">
            <w:pPr>
              <w:rPr>
                <w:rFonts w:ascii="Arial"/>
                <w:color w:val="auto"/>
                <w:sz w:val="21"/>
                <w:highlight w:val="none"/>
              </w:rPr>
            </w:pPr>
          </w:p>
        </w:tc>
        <w:tc>
          <w:tcPr>
            <w:tcW w:w="1084" w:type="dxa"/>
            <w:vAlign w:val="top"/>
          </w:tcPr>
          <w:p w14:paraId="7737B4EE">
            <w:pPr>
              <w:rPr>
                <w:rFonts w:ascii="Arial"/>
                <w:color w:val="auto"/>
                <w:sz w:val="21"/>
                <w:highlight w:val="none"/>
              </w:rPr>
            </w:pPr>
          </w:p>
        </w:tc>
      </w:tr>
      <w:tr w14:paraId="180C2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547" w:type="dxa"/>
            <w:vAlign w:val="top"/>
          </w:tcPr>
          <w:p w14:paraId="30470183">
            <w:pPr>
              <w:rPr>
                <w:rFonts w:ascii="Arial"/>
                <w:color w:val="auto"/>
                <w:sz w:val="21"/>
                <w:highlight w:val="none"/>
              </w:rPr>
            </w:pPr>
          </w:p>
        </w:tc>
        <w:tc>
          <w:tcPr>
            <w:tcW w:w="1842" w:type="dxa"/>
            <w:vAlign w:val="top"/>
          </w:tcPr>
          <w:p w14:paraId="7CB26320">
            <w:pPr>
              <w:rPr>
                <w:rFonts w:ascii="Arial"/>
                <w:color w:val="auto"/>
                <w:sz w:val="21"/>
                <w:highlight w:val="none"/>
              </w:rPr>
            </w:pPr>
          </w:p>
        </w:tc>
        <w:tc>
          <w:tcPr>
            <w:tcW w:w="1397" w:type="dxa"/>
            <w:vAlign w:val="top"/>
          </w:tcPr>
          <w:p w14:paraId="6D0B68E0">
            <w:pPr>
              <w:rPr>
                <w:rFonts w:ascii="Arial"/>
                <w:color w:val="auto"/>
                <w:sz w:val="21"/>
                <w:highlight w:val="none"/>
              </w:rPr>
            </w:pPr>
          </w:p>
        </w:tc>
        <w:tc>
          <w:tcPr>
            <w:tcW w:w="1080" w:type="dxa"/>
            <w:vAlign w:val="top"/>
          </w:tcPr>
          <w:p w14:paraId="156AA6BA">
            <w:pPr>
              <w:rPr>
                <w:rFonts w:ascii="Arial"/>
                <w:color w:val="auto"/>
                <w:sz w:val="21"/>
                <w:highlight w:val="none"/>
              </w:rPr>
            </w:pPr>
          </w:p>
        </w:tc>
        <w:tc>
          <w:tcPr>
            <w:tcW w:w="1108" w:type="dxa"/>
            <w:vAlign w:val="top"/>
          </w:tcPr>
          <w:p w14:paraId="46ED062A">
            <w:pPr>
              <w:rPr>
                <w:rFonts w:ascii="Arial"/>
                <w:color w:val="auto"/>
                <w:sz w:val="21"/>
                <w:highlight w:val="none"/>
              </w:rPr>
            </w:pPr>
          </w:p>
        </w:tc>
        <w:tc>
          <w:tcPr>
            <w:tcW w:w="1781" w:type="dxa"/>
            <w:vAlign w:val="top"/>
          </w:tcPr>
          <w:p w14:paraId="3857B6CC">
            <w:pPr>
              <w:rPr>
                <w:rFonts w:ascii="Arial"/>
                <w:color w:val="auto"/>
                <w:sz w:val="21"/>
                <w:highlight w:val="none"/>
              </w:rPr>
            </w:pPr>
          </w:p>
        </w:tc>
        <w:tc>
          <w:tcPr>
            <w:tcW w:w="1084" w:type="dxa"/>
            <w:vAlign w:val="top"/>
          </w:tcPr>
          <w:p w14:paraId="0E0CEBBD">
            <w:pPr>
              <w:rPr>
                <w:rFonts w:ascii="Arial"/>
                <w:color w:val="auto"/>
                <w:sz w:val="21"/>
                <w:highlight w:val="none"/>
              </w:rPr>
            </w:pPr>
          </w:p>
        </w:tc>
      </w:tr>
      <w:tr w14:paraId="7B9102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425A0BDD">
            <w:pPr>
              <w:rPr>
                <w:rFonts w:ascii="Arial"/>
                <w:color w:val="auto"/>
                <w:sz w:val="21"/>
                <w:highlight w:val="none"/>
              </w:rPr>
            </w:pPr>
          </w:p>
        </w:tc>
        <w:tc>
          <w:tcPr>
            <w:tcW w:w="1842" w:type="dxa"/>
            <w:vAlign w:val="top"/>
          </w:tcPr>
          <w:p w14:paraId="21545CFE">
            <w:pPr>
              <w:rPr>
                <w:rFonts w:ascii="Arial"/>
                <w:color w:val="auto"/>
                <w:sz w:val="21"/>
                <w:highlight w:val="none"/>
              </w:rPr>
            </w:pPr>
          </w:p>
        </w:tc>
        <w:tc>
          <w:tcPr>
            <w:tcW w:w="1397" w:type="dxa"/>
            <w:vAlign w:val="top"/>
          </w:tcPr>
          <w:p w14:paraId="64AD3404">
            <w:pPr>
              <w:rPr>
                <w:rFonts w:ascii="Arial"/>
                <w:color w:val="auto"/>
                <w:sz w:val="21"/>
                <w:highlight w:val="none"/>
              </w:rPr>
            </w:pPr>
          </w:p>
        </w:tc>
        <w:tc>
          <w:tcPr>
            <w:tcW w:w="1080" w:type="dxa"/>
            <w:vAlign w:val="top"/>
          </w:tcPr>
          <w:p w14:paraId="7C65E057">
            <w:pPr>
              <w:rPr>
                <w:rFonts w:ascii="Arial"/>
                <w:color w:val="auto"/>
                <w:sz w:val="21"/>
                <w:highlight w:val="none"/>
              </w:rPr>
            </w:pPr>
          </w:p>
        </w:tc>
        <w:tc>
          <w:tcPr>
            <w:tcW w:w="1108" w:type="dxa"/>
            <w:vAlign w:val="top"/>
          </w:tcPr>
          <w:p w14:paraId="56BB92C1">
            <w:pPr>
              <w:rPr>
                <w:rFonts w:ascii="Arial"/>
                <w:color w:val="auto"/>
                <w:sz w:val="21"/>
                <w:highlight w:val="none"/>
              </w:rPr>
            </w:pPr>
          </w:p>
        </w:tc>
        <w:tc>
          <w:tcPr>
            <w:tcW w:w="1781" w:type="dxa"/>
            <w:vAlign w:val="top"/>
          </w:tcPr>
          <w:p w14:paraId="63883246">
            <w:pPr>
              <w:rPr>
                <w:rFonts w:ascii="Arial"/>
                <w:color w:val="auto"/>
                <w:sz w:val="21"/>
                <w:highlight w:val="none"/>
              </w:rPr>
            </w:pPr>
          </w:p>
        </w:tc>
        <w:tc>
          <w:tcPr>
            <w:tcW w:w="1084" w:type="dxa"/>
            <w:vAlign w:val="top"/>
          </w:tcPr>
          <w:p w14:paraId="57857721">
            <w:pPr>
              <w:rPr>
                <w:rFonts w:ascii="Arial"/>
                <w:color w:val="auto"/>
                <w:sz w:val="21"/>
                <w:highlight w:val="none"/>
              </w:rPr>
            </w:pPr>
          </w:p>
        </w:tc>
      </w:tr>
      <w:tr w14:paraId="4F6B8E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3" w:hRule="atLeast"/>
        </w:trPr>
        <w:tc>
          <w:tcPr>
            <w:tcW w:w="547" w:type="dxa"/>
            <w:vAlign w:val="top"/>
          </w:tcPr>
          <w:p w14:paraId="402986BA">
            <w:pPr>
              <w:rPr>
                <w:rFonts w:ascii="Arial"/>
                <w:color w:val="auto"/>
                <w:sz w:val="21"/>
                <w:highlight w:val="none"/>
              </w:rPr>
            </w:pPr>
          </w:p>
        </w:tc>
        <w:tc>
          <w:tcPr>
            <w:tcW w:w="1842" w:type="dxa"/>
            <w:vAlign w:val="top"/>
          </w:tcPr>
          <w:p w14:paraId="0E944FDA">
            <w:pPr>
              <w:rPr>
                <w:rFonts w:ascii="Arial"/>
                <w:color w:val="auto"/>
                <w:sz w:val="21"/>
                <w:highlight w:val="none"/>
              </w:rPr>
            </w:pPr>
          </w:p>
        </w:tc>
        <w:tc>
          <w:tcPr>
            <w:tcW w:w="1397" w:type="dxa"/>
            <w:vAlign w:val="top"/>
          </w:tcPr>
          <w:p w14:paraId="3DB7B4E2">
            <w:pPr>
              <w:rPr>
                <w:rFonts w:ascii="Arial"/>
                <w:color w:val="auto"/>
                <w:sz w:val="21"/>
                <w:highlight w:val="none"/>
              </w:rPr>
            </w:pPr>
          </w:p>
        </w:tc>
        <w:tc>
          <w:tcPr>
            <w:tcW w:w="1080" w:type="dxa"/>
            <w:vAlign w:val="top"/>
          </w:tcPr>
          <w:p w14:paraId="40D23CA8">
            <w:pPr>
              <w:rPr>
                <w:rFonts w:ascii="Arial"/>
                <w:color w:val="auto"/>
                <w:sz w:val="21"/>
                <w:highlight w:val="none"/>
              </w:rPr>
            </w:pPr>
          </w:p>
        </w:tc>
        <w:tc>
          <w:tcPr>
            <w:tcW w:w="1108" w:type="dxa"/>
            <w:vAlign w:val="top"/>
          </w:tcPr>
          <w:p w14:paraId="029CD0FD">
            <w:pPr>
              <w:rPr>
                <w:rFonts w:ascii="Arial"/>
                <w:color w:val="auto"/>
                <w:sz w:val="21"/>
                <w:highlight w:val="none"/>
              </w:rPr>
            </w:pPr>
          </w:p>
        </w:tc>
        <w:tc>
          <w:tcPr>
            <w:tcW w:w="1781" w:type="dxa"/>
            <w:vAlign w:val="top"/>
          </w:tcPr>
          <w:p w14:paraId="49105EAA">
            <w:pPr>
              <w:rPr>
                <w:rFonts w:ascii="Arial"/>
                <w:color w:val="auto"/>
                <w:sz w:val="21"/>
                <w:highlight w:val="none"/>
              </w:rPr>
            </w:pPr>
          </w:p>
        </w:tc>
        <w:tc>
          <w:tcPr>
            <w:tcW w:w="1084" w:type="dxa"/>
            <w:vAlign w:val="top"/>
          </w:tcPr>
          <w:p w14:paraId="3A268FB0">
            <w:pPr>
              <w:rPr>
                <w:rFonts w:ascii="Arial"/>
                <w:color w:val="auto"/>
                <w:sz w:val="21"/>
                <w:highlight w:val="none"/>
              </w:rPr>
            </w:pPr>
          </w:p>
        </w:tc>
      </w:tr>
      <w:tr w14:paraId="16DA2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547" w:type="dxa"/>
            <w:vAlign w:val="top"/>
          </w:tcPr>
          <w:p w14:paraId="1F4691D1">
            <w:pPr>
              <w:rPr>
                <w:rFonts w:ascii="Arial"/>
                <w:color w:val="auto"/>
                <w:sz w:val="21"/>
                <w:highlight w:val="none"/>
              </w:rPr>
            </w:pPr>
          </w:p>
        </w:tc>
        <w:tc>
          <w:tcPr>
            <w:tcW w:w="1842" w:type="dxa"/>
            <w:vAlign w:val="top"/>
          </w:tcPr>
          <w:p w14:paraId="556B2DB7">
            <w:pPr>
              <w:rPr>
                <w:rFonts w:ascii="Arial"/>
                <w:color w:val="auto"/>
                <w:sz w:val="21"/>
                <w:highlight w:val="none"/>
              </w:rPr>
            </w:pPr>
          </w:p>
        </w:tc>
        <w:tc>
          <w:tcPr>
            <w:tcW w:w="1397" w:type="dxa"/>
            <w:vAlign w:val="top"/>
          </w:tcPr>
          <w:p w14:paraId="09F9DE25">
            <w:pPr>
              <w:rPr>
                <w:rFonts w:ascii="Arial"/>
                <w:color w:val="auto"/>
                <w:sz w:val="21"/>
                <w:highlight w:val="none"/>
              </w:rPr>
            </w:pPr>
          </w:p>
        </w:tc>
        <w:tc>
          <w:tcPr>
            <w:tcW w:w="1080" w:type="dxa"/>
            <w:vAlign w:val="top"/>
          </w:tcPr>
          <w:p w14:paraId="2B6B59D4">
            <w:pPr>
              <w:rPr>
                <w:rFonts w:ascii="Arial"/>
                <w:color w:val="auto"/>
                <w:sz w:val="21"/>
                <w:highlight w:val="none"/>
              </w:rPr>
            </w:pPr>
          </w:p>
        </w:tc>
        <w:tc>
          <w:tcPr>
            <w:tcW w:w="1108" w:type="dxa"/>
            <w:vAlign w:val="top"/>
          </w:tcPr>
          <w:p w14:paraId="4074DCD5">
            <w:pPr>
              <w:rPr>
                <w:rFonts w:ascii="Arial"/>
                <w:color w:val="auto"/>
                <w:sz w:val="21"/>
                <w:highlight w:val="none"/>
              </w:rPr>
            </w:pPr>
          </w:p>
        </w:tc>
        <w:tc>
          <w:tcPr>
            <w:tcW w:w="1781" w:type="dxa"/>
            <w:vAlign w:val="top"/>
          </w:tcPr>
          <w:p w14:paraId="4A0661BE">
            <w:pPr>
              <w:rPr>
                <w:rFonts w:ascii="Arial"/>
                <w:color w:val="auto"/>
                <w:sz w:val="21"/>
                <w:highlight w:val="none"/>
              </w:rPr>
            </w:pPr>
          </w:p>
        </w:tc>
        <w:tc>
          <w:tcPr>
            <w:tcW w:w="1084" w:type="dxa"/>
            <w:vAlign w:val="top"/>
          </w:tcPr>
          <w:p w14:paraId="5BB58C14">
            <w:pPr>
              <w:rPr>
                <w:rFonts w:ascii="Arial"/>
                <w:color w:val="auto"/>
                <w:sz w:val="21"/>
                <w:highlight w:val="none"/>
              </w:rPr>
            </w:pPr>
          </w:p>
        </w:tc>
      </w:tr>
    </w:tbl>
    <w:p w14:paraId="7FB42053">
      <w:pPr>
        <w:pStyle w:val="3"/>
        <w:rPr>
          <w:color w:val="auto"/>
          <w:highlight w:val="none"/>
        </w:rPr>
      </w:pPr>
    </w:p>
    <w:p w14:paraId="72BA82E9">
      <w:pPr>
        <w:rPr>
          <w:color w:val="auto"/>
          <w:highlight w:val="none"/>
        </w:rPr>
        <w:sectPr>
          <w:footerReference r:id="rId233" w:type="default"/>
          <w:pgSz w:w="11905" w:h="16839"/>
          <w:pgMar w:top="400" w:right="1527" w:bottom="1004" w:left="1531" w:header="0" w:footer="828" w:gutter="0"/>
          <w:pgNumType w:fmt="decimal"/>
          <w:cols w:space="720" w:num="1"/>
        </w:sectPr>
      </w:pPr>
    </w:p>
    <w:p w14:paraId="7C6FF767">
      <w:pPr>
        <w:pStyle w:val="3"/>
        <w:spacing w:line="267" w:lineRule="auto"/>
        <w:rPr>
          <w:color w:val="auto"/>
          <w:highlight w:val="none"/>
        </w:rPr>
      </w:pPr>
    </w:p>
    <w:p w14:paraId="692ADCC4">
      <w:pPr>
        <w:pStyle w:val="3"/>
        <w:spacing w:line="268" w:lineRule="auto"/>
        <w:rPr>
          <w:color w:val="auto"/>
          <w:highlight w:val="none"/>
        </w:rPr>
      </w:pPr>
    </w:p>
    <w:p w14:paraId="2BC50E61">
      <w:pPr>
        <w:pStyle w:val="3"/>
        <w:spacing w:line="268" w:lineRule="auto"/>
        <w:rPr>
          <w:color w:val="auto"/>
          <w:highlight w:val="none"/>
        </w:rPr>
      </w:pPr>
    </w:p>
    <w:p w14:paraId="3C9380CF">
      <w:pPr>
        <w:pStyle w:val="3"/>
        <w:spacing w:line="268" w:lineRule="auto"/>
        <w:rPr>
          <w:color w:val="auto"/>
          <w:highlight w:val="none"/>
        </w:rPr>
      </w:pPr>
    </w:p>
    <w:p w14:paraId="13900CB9">
      <w:pPr>
        <w:spacing w:before="78" w:line="218" w:lineRule="auto"/>
        <w:ind w:left="2546"/>
        <w:rPr>
          <w:rFonts w:ascii="黑体" w:hAnsi="黑体" w:eastAsia="黑体" w:cs="黑体"/>
          <w:color w:val="auto"/>
          <w:sz w:val="24"/>
          <w:szCs w:val="24"/>
          <w:highlight w:val="none"/>
        </w:rPr>
      </w:pPr>
      <w:bookmarkStart w:id="1349" w:name="bookmark322"/>
      <w:bookmarkEnd w:id="1349"/>
      <w:r>
        <w:rPr>
          <w:rFonts w:ascii="Times New Roman" w:hAnsi="Times New Roman" w:eastAsia="Times New Roman" w:cs="Times New Roman"/>
          <w:color w:val="auto"/>
          <w:spacing w:val="-1"/>
          <w:sz w:val="24"/>
          <w:szCs w:val="24"/>
          <w:highlight w:val="none"/>
        </w:rPr>
        <w:t xml:space="preserve">3-2 </w:t>
      </w:r>
      <w:r>
        <w:rPr>
          <w:rFonts w:ascii="黑体" w:hAnsi="黑体" w:eastAsia="黑体" w:cs="黑体"/>
          <w:color w:val="auto"/>
          <w:spacing w:val="-1"/>
          <w:sz w:val="24"/>
          <w:szCs w:val="24"/>
          <w:highlight w:val="none"/>
        </w:rPr>
        <w:t>近年完成的类似项目情况表</w:t>
      </w:r>
    </w:p>
    <w:p w14:paraId="6BEDFB22">
      <w:pPr>
        <w:spacing w:before="199"/>
        <w:rPr>
          <w:color w:val="auto"/>
          <w:highlight w:val="none"/>
        </w:rPr>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0"/>
        <w:gridCol w:w="5941"/>
      </w:tblGrid>
      <w:tr w14:paraId="2FBD7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2E693BE2">
            <w:pPr>
              <w:pStyle w:val="11"/>
              <w:spacing w:before="208" w:line="221" w:lineRule="auto"/>
              <w:ind w:left="775"/>
              <w:rPr>
                <w:color w:val="auto"/>
                <w:highlight w:val="none"/>
              </w:rPr>
            </w:pPr>
            <w:r>
              <w:rPr>
                <w:color w:val="auto"/>
                <w:spacing w:val="-2"/>
                <w:highlight w:val="none"/>
              </w:rPr>
              <w:t>项目名称</w:t>
            </w:r>
          </w:p>
        </w:tc>
        <w:tc>
          <w:tcPr>
            <w:tcW w:w="5941" w:type="dxa"/>
            <w:vAlign w:val="top"/>
          </w:tcPr>
          <w:p w14:paraId="2E0295E5">
            <w:pPr>
              <w:rPr>
                <w:rFonts w:ascii="Arial"/>
                <w:color w:val="auto"/>
                <w:sz w:val="21"/>
                <w:highlight w:val="none"/>
              </w:rPr>
            </w:pPr>
          </w:p>
        </w:tc>
      </w:tr>
      <w:tr w14:paraId="77397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2E847F12">
            <w:pPr>
              <w:pStyle w:val="11"/>
              <w:spacing w:before="207" w:line="221" w:lineRule="auto"/>
              <w:ind w:left="669"/>
              <w:rPr>
                <w:color w:val="auto"/>
                <w:highlight w:val="none"/>
              </w:rPr>
            </w:pPr>
            <w:r>
              <w:rPr>
                <w:color w:val="auto"/>
                <w:spacing w:val="-1"/>
                <w:highlight w:val="none"/>
              </w:rPr>
              <w:t>项目所在地</w:t>
            </w:r>
          </w:p>
        </w:tc>
        <w:tc>
          <w:tcPr>
            <w:tcW w:w="5941" w:type="dxa"/>
            <w:vAlign w:val="top"/>
          </w:tcPr>
          <w:p w14:paraId="59A6BBB6">
            <w:pPr>
              <w:rPr>
                <w:rFonts w:ascii="Arial"/>
                <w:color w:val="auto"/>
                <w:sz w:val="21"/>
                <w:highlight w:val="none"/>
              </w:rPr>
            </w:pPr>
          </w:p>
        </w:tc>
      </w:tr>
      <w:tr w14:paraId="7779A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5FD940F6">
            <w:pPr>
              <w:pStyle w:val="11"/>
              <w:spacing w:before="208" w:line="221" w:lineRule="auto"/>
              <w:ind w:left="669"/>
              <w:rPr>
                <w:color w:val="auto"/>
                <w:highlight w:val="none"/>
              </w:rPr>
            </w:pPr>
            <w:r>
              <w:rPr>
                <w:color w:val="auto"/>
                <w:spacing w:val="-1"/>
                <w:highlight w:val="none"/>
              </w:rPr>
              <w:t>发包人名称</w:t>
            </w:r>
          </w:p>
        </w:tc>
        <w:tc>
          <w:tcPr>
            <w:tcW w:w="5941" w:type="dxa"/>
            <w:vAlign w:val="top"/>
          </w:tcPr>
          <w:p w14:paraId="12484A08">
            <w:pPr>
              <w:rPr>
                <w:rFonts w:ascii="Arial"/>
                <w:color w:val="auto"/>
                <w:sz w:val="21"/>
                <w:highlight w:val="none"/>
              </w:rPr>
            </w:pPr>
          </w:p>
        </w:tc>
      </w:tr>
      <w:tr w14:paraId="56D88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609643FD">
            <w:pPr>
              <w:pStyle w:val="11"/>
              <w:spacing w:before="209" w:line="221" w:lineRule="auto"/>
              <w:ind w:left="669"/>
              <w:rPr>
                <w:color w:val="auto"/>
                <w:highlight w:val="none"/>
              </w:rPr>
            </w:pPr>
            <w:r>
              <w:rPr>
                <w:color w:val="auto"/>
                <w:spacing w:val="-1"/>
                <w:highlight w:val="none"/>
              </w:rPr>
              <w:t>发包人地址</w:t>
            </w:r>
          </w:p>
        </w:tc>
        <w:tc>
          <w:tcPr>
            <w:tcW w:w="5941" w:type="dxa"/>
            <w:vAlign w:val="top"/>
          </w:tcPr>
          <w:p w14:paraId="7EDEB8B9">
            <w:pPr>
              <w:rPr>
                <w:rFonts w:ascii="Arial"/>
                <w:color w:val="auto"/>
                <w:sz w:val="21"/>
                <w:highlight w:val="none"/>
              </w:rPr>
            </w:pPr>
          </w:p>
        </w:tc>
      </w:tr>
      <w:tr w14:paraId="4535C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3DAD4617">
            <w:pPr>
              <w:pStyle w:val="11"/>
              <w:spacing w:before="208" w:line="221" w:lineRule="auto"/>
              <w:ind w:left="251"/>
              <w:rPr>
                <w:color w:val="auto"/>
                <w:highlight w:val="none"/>
              </w:rPr>
            </w:pPr>
            <w:r>
              <w:rPr>
                <w:color w:val="auto"/>
                <w:spacing w:val="-1"/>
                <w:highlight w:val="none"/>
              </w:rPr>
              <w:t>发包人联系人及电话</w:t>
            </w:r>
          </w:p>
        </w:tc>
        <w:tc>
          <w:tcPr>
            <w:tcW w:w="5941" w:type="dxa"/>
            <w:vAlign w:val="top"/>
          </w:tcPr>
          <w:p w14:paraId="368613BF">
            <w:pPr>
              <w:rPr>
                <w:rFonts w:ascii="Arial"/>
                <w:color w:val="auto"/>
                <w:sz w:val="21"/>
                <w:highlight w:val="none"/>
              </w:rPr>
            </w:pPr>
          </w:p>
        </w:tc>
      </w:tr>
      <w:tr w14:paraId="1DA08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65DD9766">
            <w:pPr>
              <w:pStyle w:val="11"/>
              <w:spacing w:before="209" w:line="219" w:lineRule="auto"/>
              <w:ind w:left="460"/>
              <w:rPr>
                <w:color w:val="auto"/>
                <w:highlight w:val="none"/>
              </w:rPr>
            </w:pPr>
            <w:r>
              <w:rPr>
                <w:color w:val="auto"/>
                <w:spacing w:val="-3"/>
                <w:highlight w:val="none"/>
              </w:rPr>
              <w:t>合同价格（元）</w:t>
            </w:r>
          </w:p>
        </w:tc>
        <w:tc>
          <w:tcPr>
            <w:tcW w:w="5941" w:type="dxa"/>
            <w:vAlign w:val="top"/>
          </w:tcPr>
          <w:p w14:paraId="55EE400D">
            <w:pPr>
              <w:rPr>
                <w:rFonts w:ascii="Arial"/>
                <w:color w:val="auto"/>
                <w:sz w:val="21"/>
                <w:highlight w:val="none"/>
              </w:rPr>
            </w:pPr>
          </w:p>
        </w:tc>
      </w:tr>
      <w:tr w14:paraId="60410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5BBE112E">
            <w:pPr>
              <w:pStyle w:val="11"/>
              <w:spacing w:before="210" w:line="221" w:lineRule="auto"/>
              <w:ind w:left="772"/>
              <w:rPr>
                <w:color w:val="auto"/>
                <w:highlight w:val="none"/>
              </w:rPr>
            </w:pPr>
            <w:r>
              <w:rPr>
                <w:color w:val="auto"/>
                <w:spacing w:val="-1"/>
                <w:highlight w:val="none"/>
              </w:rPr>
              <w:t>开工日期</w:t>
            </w:r>
          </w:p>
        </w:tc>
        <w:tc>
          <w:tcPr>
            <w:tcW w:w="5941" w:type="dxa"/>
            <w:vAlign w:val="top"/>
          </w:tcPr>
          <w:p w14:paraId="16AD76A9">
            <w:pPr>
              <w:rPr>
                <w:rFonts w:ascii="Arial"/>
                <w:color w:val="auto"/>
                <w:sz w:val="21"/>
                <w:highlight w:val="none"/>
              </w:rPr>
            </w:pPr>
          </w:p>
        </w:tc>
      </w:tr>
      <w:tr w14:paraId="1F43E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07666079">
            <w:pPr>
              <w:pStyle w:val="11"/>
              <w:spacing w:before="204" w:line="221" w:lineRule="auto"/>
              <w:ind w:left="772"/>
              <w:rPr>
                <w:color w:val="auto"/>
                <w:highlight w:val="none"/>
              </w:rPr>
            </w:pPr>
            <w:r>
              <w:rPr>
                <w:color w:val="auto"/>
                <w:spacing w:val="-1"/>
                <w:highlight w:val="none"/>
              </w:rPr>
              <w:t>竣工日期</w:t>
            </w:r>
          </w:p>
        </w:tc>
        <w:tc>
          <w:tcPr>
            <w:tcW w:w="5941" w:type="dxa"/>
            <w:vAlign w:val="top"/>
          </w:tcPr>
          <w:p w14:paraId="64E5FF34">
            <w:pPr>
              <w:rPr>
                <w:rFonts w:ascii="Arial"/>
                <w:color w:val="auto"/>
                <w:sz w:val="21"/>
                <w:highlight w:val="none"/>
              </w:rPr>
            </w:pPr>
          </w:p>
        </w:tc>
      </w:tr>
      <w:tr w14:paraId="1E1C9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1A8495B2">
            <w:pPr>
              <w:pStyle w:val="11"/>
              <w:spacing w:before="204" w:line="221" w:lineRule="auto"/>
              <w:ind w:left="666"/>
              <w:rPr>
                <w:color w:val="auto"/>
                <w:highlight w:val="none"/>
              </w:rPr>
            </w:pPr>
            <w:r>
              <w:rPr>
                <w:color w:val="auto"/>
                <w:spacing w:val="-1"/>
                <w:highlight w:val="none"/>
              </w:rPr>
              <w:t>承担的工作</w:t>
            </w:r>
          </w:p>
        </w:tc>
        <w:tc>
          <w:tcPr>
            <w:tcW w:w="5941" w:type="dxa"/>
            <w:vAlign w:val="top"/>
          </w:tcPr>
          <w:p w14:paraId="05DEDFC6">
            <w:pPr>
              <w:rPr>
                <w:rFonts w:ascii="Arial"/>
                <w:color w:val="auto"/>
                <w:sz w:val="21"/>
                <w:highlight w:val="none"/>
              </w:rPr>
            </w:pPr>
          </w:p>
        </w:tc>
      </w:tr>
      <w:tr w14:paraId="246E6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0E760B22">
            <w:pPr>
              <w:pStyle w:val="11"/>
              <w:spacing w:before="205" w:line="221" w:lineRule="auto"/>
              <w:ind w:left="774"/>
              <w:rPr>
                <w:color w:val="auto"/>
                <w:highlight w:val="none"/>
              </w:rPr>
            </w:pPr>
            <w:r>
              <w:rPr>
                <w:color w:val="auto"/>
                <w:spacing w:val="-2"/>
                <w:highlight w:val="none"/>
              </w:rPr>
              <w:t>工程质量</w:t>
            </w:r>
          </w:p>
        </w:tc>
        <w:tc>
          <w:tcPr>
            <w:tcW w:w="5941" w:type="dxa"/>
            <w:vAlign w:val="top"/>
          </w:tcPr>
          <w:p w14:paraId="5BDA9527">
            <w:pPr>
              <w:rPr>
                <w:rFonts w:ascii="Arial"/>
                <w:color w:val="auto"/>
                <w:sz w:val="21"/>
                <w:highlight w:val="none"/>
              </w:rPr>
            </w:pPr>
          </w:p>
        </w:tc>
      </w:tr>
      <w:tr w14:paraId="35F57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6A0EA46B">
            <w:pPr>
              <w:pStyle w:val="11"/>
              <w:spacing w:before="206" w:line="221" w:lineRule="auto"/>
              <w:ind w:left="775"/>
              <w:rPr>
                <w:color w:val="auto"/>
                <w:highlight w:val="none"/>
              </w:rPr>
            </w:pPr>
            <w:r>
              <w:rPr>
                <w:color w:val="auto"/>
                <w:spacing w:val="-2"/>
                <w:highlight w:val="none"/>
              </w:rPr>
              <w:t>项目经理</w:t>
            </w:r>
          </w:p>
        </w:tc>
        <w:tc>
          <w:tcPr>
            <w:tcW w:w="5941" w:type="dxa"/>
            <w:vAlign w:val="top"/>
          </w:tcPr>
          <w:p w14:paraId="5FF1EA9A">
            <w:pPr>
              <w:rPr>
                <w:rFonts w:ascii="Arial"/>
                <w:color w:val="auto"/>
                <w:sz w:val="21"/>
                <w:highlight w:val="none"/>
              </w:rPr>
            </w:pPr>
          </w:p>
        </w:tc>
      </w:tr>
      <w:tr w14:paraId="1A6EF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58D79A89">
            <w:pPr>
              <w:pStyle w:val="11"/>
              <w:spacing w:before="206" w:line="221" w:lineRule="auto"/>
              <w:ind w:left="667"/>
              <w:rPr>
                <w:color w:val="auto"/>
                <w:highlight w:val="none"/>
              </w:rPr>
            </w:pPr>
            <w:r>
              <w:rPr>
                <w:color w:val="auto"/>
                <w:spacing w:val="-1"/>
                <w:highlight w:val="none"/>
              </w:rPr>
              <w:t>技术负责人</w:t>
            </w:r>
          </w:p>
        </w:tc>
        <w:tc>
          <w:tcPr>
            <w:tcW w:w="5941" w:type="dxa"/>
            <w:vAlign w:val="top"/>
          </w:tcPr>
          <w:p w14:paraId="12FDF038">
            <w:pPr>
              <w:rPr>
                <w:rFonts w:ascii="Arial"/>
                <w:color w:val="auto"/>
                <w:sz w:val="21"/>
                <w:highlight w:val="none"/>
              </w:rPr>
            </w:pPr>
          </w:p>
        </w:tc>
      </w:tr>
      <w:tr w14:paraId="51742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30AA8904">
            <w:pPr>
              <w:pStyle w:val="11"/>
              <w:spacing w:before="206" w:line="221" w:lineRule="auto"/>
              <w:ind w:left="254"/>
              <w:rPr>
                <w:color w:val="auto"/>
                <w:highlight w:val="none"/>
              </w:rPr>
            </w:pPr>
            <w:r>
              <w:rPr>
                <w:color w:val="auto"/>
                <w:spacing w:val="-1"/>
                <w:highlight w:val="none"/>
              </w:rPr>
              <w:t>总监理工程师及电话</w:t>
            </w:r>
          </w:p>
        </w:tc>
        <w:tc>
          <w:tcPr>
            <w:tcW w:w="5941" w:type="dxa"/>
            <w:vAlign w:val="top"/>
          </w:tcPr>
          <w:p w14:paraId="09AC4021">
            <w:pPr>
              <w:rPr>
                <w:rFonts w:ascii="Arial"/>
                <w:color w:val="auto"/>
                <w:sz w:val="21"/>
                <w:highlight w:val="none"/>
              </w:rPr>
            </w:pPr>
          </w:p>
        </w:tc>
      </w:tr>
      <w:tr w14:paraId="0636E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trPr>
        <w:tc>
          <w:tcPr>
            <w:tcW w:w="2370" w:type="dxa"/>
            <w:vAlign w:val="top"/>
          </w:tcPr>
          <w:p w14:paraId="36424900">
            <w:pPr>
              <w:pStyle w:val="11"/>
              <w:spacing w:before="298" w:line="221" w:lineRule="auto"/>
              <w:ind w:left="775"/>
              <w:rPr>
                <w:color w:val="auto"/>
                <w:highlight w:val="none"/>
              </w:rPr>
            </w:pPr>
            <w:r>
              <w:rPr>
                <w:color w:val="auto"/>
                <w:spacing w:val="-2"/>
                <w:highlight w:val="none"/>
              </w:rPr>
              <w:t>项目描述</w:t>
            </w:r>
          </w:p>
        </w:tc>
        <w:tc>
          <w:tcPr>
            <w:tcW w:w="5941" w:type="dxa"/>
            <w:vAlign w:val="top"/>
          </w:tcPr>
          <w:p w14:paraId="694289B0">
            <w:pPr>
              <w:rPr>
                <w:rFonts w:ascii="Arial"/>
                <w:color w:val="auto"/>
                <w:sz w:val="21"/>
                <w:highlight w:val="none"/>
              </w:rPr>
            </w:pPr>
          </w:p>
        </w:tc>
      </w:tr>
      <w:tr w14:paraId="01046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14ECD8C3">
            <w:pPr>
              <w:pStyle w:val="11"/>
              <w:spacing w:before="208" w:line="222" w:lineRule="auto"/>
              <w:ind w:left="985"/>
              <w:rPr>
                <w:color w:val="auto"/>
                <w:highlight w:val="none"/>
              </w:rPr>
            </w:pPr>
            <w:r>
              <w:rPr>
                <w:color w:val="auto"/>
                <w:spacing w:val="-3"/>
                <w:highlight w:val="none"/>
              </w:rPr>
              <w:t>备注</w:t>
            </w:r>
          </w:p>
        </w:tc>
        <w:tc>
          <w:tcPr>
            <w:tcW w:w="5941" w:type="dxa"/>
            <w:vAlign w:val="top"/>
          </w:tcPr>
          <w:p w14:paraId="1CCE4F1E">
            <w:pPr>
              <w:rPr>
                <w:rFonts w:ascii="Arial"/>
                <w:color w:val="auto"/>
                <w:sz w:val="21"/>
                <w:highlight w:val="none"/>
              </w:rPr>
            </w:pPr>
          </w:p>
        </w:tc>
      </w:tr>
    </w:tbl>
    <w:p w14:paraId="2A165C24">
      <w:pPr>
        <w:spacing w:before="29" w:line="220" w:lineRule="auto"/>
        <w:ind w:left="338"/>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备注： 1.类似项目含义和近年具体要求见投标人须</w:t>
      </w:r>
      <w:r>
        <w:rPr>
          <w:rFonts w:ascii="宋体" w:hAnsi="宋体" w:eastAsia="宋体" w:cs="宋体"/>
          <w:color w:val="auto"/>
          <w:spacing w:val="-6"/>
          <w:sz w:val="21"/>
          <w:szCs w:val="21"/>
          <w:highlight w:val="none"/>
        </w:rPr>
        <w:t>知前附表，</w:t>
      </w:r>
    </w:p>
    <w:p w14:paraId="796A1246">
      <w:pPr>
        <w:spacing w:before="18" w:line="220" w:lineRule="auto"/>
        <w:ind w:left="966"/>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2.本表后附业绩材料。每张表格只填写一个项目，</w:t>
      </w:r>
      <w:r>
        <w:rPr>
          <w:rFonts w:ascii="宋体" w:hAnsi="宋体" w:eastAsia="宋体" w:cs="宋体"/>
          <w:color w:val="auto"/>
          <w:spacing w:val="-2"/>
          <w:sz w:val="21"/>
          <w:szCs w:val="21"/>
          <w:highlight w:val="none"/>
        </w:rPr>
        <w:t>并标明序号。</w:t>
      </w:r>
    </w:p>
    <w:p w14:paraId="5536EF6B">
      <w:pPr>
        <w:spacing w:line="220" w:lineRule="auto"/>
        <w:rPr>
          <w:rFonts w:ascii="宋体" w:hAnsi="宋体" w:eastAsia="宋体" w:cs="宋体"/>
          <w:color w:val="auto"/>
          <w:sz w:val="21"/>
          <w:szCs w:val="21"/>
          <w:highlight w:val="none"/>
        </w:rPr>
        <w:sectPr>
          <w:footerReference r:id="rId234" w:type="default"/>
          <w:pgSz w:w="11905" w:h="16839"/>
          <w:pgMar w:top="400" w:right="1785" w:bottom="1004" w:left="1785" w:header="0" w:footer="828" w:gutter="0"/>
          <w:pgNumType w:fmt="decimal"/>
          <w:cols w:space="720" w:num="1"/>
        </w:sectPr>
      </w:pPr>
    </w:p>
    <w:p w14:paraId="72BA1AFD">
      <w:pPr>
        <w:pStyle w:val="3"/>
        <w:spacing w:line="267" w:lineRule="auto"/>
        <w:rPr>
          <w:color w:val="auto"/>
          <w:highlight w:val="none"/>
        </w:rPr>
      </w:pPr>
    </w:p>
    <w:p w14:paraId="17076B12">
      <w:pPr>
        <w:pStyle w:val="3"/>
        <w:spacing w:line="268" w:lineRule="auto"/>
        <w:rPr>
          <w:color w:val="auto"/>
          <w:highlight w:val="none"/>
        </w:rPr>
      </w:pPr>
    </w:p>
    <w:p w14:paraId="1C1F95F2">
      <w:pPr>
        <w:pStyle w:val="3"/>
        <w:spacing w:line="268" w:lineRule="auto"/>
        <w:rPr>
          <w:color w:val="auto"/>
          <w:highlight w:val="none"/>
        </w:rPr>
      </w:pPr>
    </w:p>
    <w:p w14:paraId="7B2527DA">
      <w:pPr>
        <w:pStyle w:val="3"/>
        <w:spacing w:line="268" w:lineRule="auto"/>
        <w:rPr>
          <w:color w:val="auto"/>
          <w:highlight w:val="none"/>
        </w:rPr>
      </w:pPr>
    </w:p>
    <w:p w14:paraId="150B8960">
      <w:pPr>
        <w:spacing w:before="78" w:line="398" w:lineRule="exact"/>
        <w:ind w:left="2406"/>
        <w:rPr>
          <w:rFonts w:ascii="黑体" w:hAnsi="黑体" w:eastAsia="黑体" w:cs="黑体"/>
          <w:color w:val="auto"/>
          <w:sz w:val="24"/>
          <w:szCs w:val="24"/>
          <w:highlight w:val="none"/>
        </w:rPr>
      </w:pPr>
      <w:r>
        <w:rPr>
          <w:rFonts w:ascii="黑体" w:hAnsi="黑体" w:eastAsia="黑体" w:cs="黑体"/>
          <w:color w:val="auto"/>
          <w:spacing w:val="-2"/>
          <w:position w:val="11"/>
          <w:sz w:val="24"/>
          <w:szCs w:val="24"/>
          <w:highlight w:val="none"/>
        </w:rPr>
        <w:t>（四）正在施工的和新承接的项目情况</w:t>
      </w:r>
    </w:p>
    <w:p w14:paraId="587B5CE6">
      <w:pPr>
        <w:spacing w:line="218" w:lineRule="auto"/>
        <w:ind w:left="2433"/>
        <w:rPr>
          <w:rFonts w:ascii="黑体" w:hAnsi="黑体" w:eastAsia="黑体" w:cs="黑体"/>
          <w:color w:val="auto"/>
          <w:sz w:val="24"/>
          <w:szCs w:val="24"/>
          <w:highlight w:val="none"/>
        </w:rPr>
      </w:pPr>
      <w:r>
        <w:rPr>
          <w:rFonts w:ascii="Times New Roman" w:hAnsi="Times New Roman" w:eastAsia="Times New Roman" w:cs="Times New Roman"/>
          <w:color w:val="auto"/>
          <w:spacing w:val="-3"/>
          <w:sz w:val="24"/>
          <w:szCs w:val="24"/>
          <w:highlight w:val="none"/>
        </w:rPr>
        <w:t>4-</w:t>
      </w:r>
      <w:r>
        <w:rPr>
          <w:rFonts w:ascii="Times New Roman" w:hAnsi="Times New Roman" w:eastAsia="Times New Roman" w:cs="Times New Roman"/>
          <w:color w:val="auto"/>
          <w:spacing w:val="-23"/>
          <w:sz w:val="24"/>
          <w:szCs w:val="24"/>
          <w:highlight w:val="none"/>
        </w:rPr>
        <w:t xml:space="preserve"> </w:t>
      </w:r>
      <w:r>
        <w:rPr>
          <w:rFonts w:ascii="Times New Roman" w:hAnsi="Times New Roman" w:eastAsia="Times New Roman" w:cs="Times New Roman"/>
          <w:color w:val="auto"/>
          <w:spacing w:val="-3"/>
          <w:sz w:val="24"/>
          <w:szCs w:val="24"/>
          <w:highlight w:val="none"/>
        </w:rPr>
        <w:t>1</w:t>
      </w:r>
      <w:r>
        <w:rPr>
          <w:rFonts w:ascii="Times New Roman" w:hAnsi="Times New Roman" w:eastAsia="Times New Roman" w:cs="Times New Roman"/>
          <w:color w:val="auto"/>
          <w:spacing w:val="17"/>
          <w:w w:val="101"/>
          <w:sz w:val="24"/>
          <w:szCs w:val="24"/>
          <w:highlight w:val="none"/>
        </w:rPr>
        <w:t xml:space="preserve"> </w:t>
      </w:r>
      <w:r>
        <w:rPr>
          <w:rFonts w:ascii="黑体" w:hAnsi="黑体" w:eastAsia="黑体" w:cs="黑体"/>
          <w:color w:val="auto"/>
          <w:spacing w:val="-3"/>
          <w:sz w:val="24"/>
          <w:szCs w:val="24"/>
          <w:highlight w:val="none"/>
        </w:rPr>
        <w:t>正在施工的和新承接的项目汇总表</w:t>
      </w:r>
    </w:p>
    <w:p w14:paraId="3D5F0B1C">
      <w:pPr>
        <w:spacing w:line="44" w:lineRule="auto"/>
        <w:rPr>
          <w:rFonts w:ascii="Arial"/>
          <w:color w:val="auto"/>
          <w:sz w:val="2"/>
          <w:highlight w:val="none"/>
        </w:rPr>
      </w:pPr>
    </w:p>
    <w:tbl>
      <w:tblPr>
        <w:tblStyle w:val="10"/>
        <w:tblW w:w="88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1842"/>
        <w:gridCol w:w="1397"/>
        <w:gridCol w:w="1080"/>
        <w:gridCol w:w="1108"/>
        <w:gridCol w:w="1781"/>
        <w:gridCol w:w="1084"/>
      </w:tblGrid>
      <w:tr w14:paraId="0084A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 w:hRule="atLeast"/>
        </w:trPr>
        <w:tc>
          <w:tcPr>
            <w:tcW w:w="547" w:type="dxa"/>
            <w:textDirection w:val="tbRlV"/>
            <w:vAlign w:val="top"/>
          </w:tcPr>
          <w:p w14:paraId="5A6CF045">
            <w:pPr>
              <w:pStyle w:val="11"/>
              <w:spacing w:before="167" w:line="211" w:lineRule="auto"/>
              <w:ind w:left="159"/>
              <w:rPr>
                <w:color w:val="auto"/>
                <w:highlight w:val="none"/>
              </w:rPr>
            </w:pPr>
            <w:r>
              <w:rPr>
                <w:color w:val="auto"/>
                <w:spacing w:val="1"/>
                <w:highlight w:val="none"/>
              </w:rPr>
              <w:t>序</w:t>
            </w:r>
            <w:r>
              <w:rPr>
                <w:color w:val="auto"/>
                <w:spacing w:val="82"/>
                <w:highlight w:val="none"/>
              </w:rPr>
              <w:t xml:space="preserve"> </w:t>
            </w:r>
            <w:r>
              <w:rPr>
                <w:color w:val="auto"/>
                <w:spacing w:val="1"/>
                <w:highlight w:val="none"/>
              </w:rPr>
              <w:t>号</w:t>
            </w:r>
          </w:p>
        </w:tc>
        <w:tc>
          <w:tcPr>
            <w:tcW w:w="1842" w:type="dxa"/>
            <w:vAlign w:val="top"/>
          </w:tcPr>
          <w:p w14:paraId="62FD5A5D">
            <w:pPr>
              <w:spacing w:line="286" w:lineRule="auto"/>
              <w:rPr>
                <w:rFonts w:ascii="Arial"/>
                <w:color w:val="auto"/>
                <w:sz w:val="21"/>
                <w:highlight w:val="none"/>
              </w:rPr>
            </w:pPr>
          </w:p>
          <w:p w14:paraId="0A3582C2">
            <w:pPr>
              <w:pStyle w:val="11"/>
              <w:spacing w:before="69" w:line="221" w:lineRule="auto"/>
              <w:ind w:left="506"/>
              <w:rPr>
                <w:color w:val="auto"/>
                <w:highlight w:val="none"/>
              </w:rPr>
            </w:pPr>
            <w:r>
              <w:rPr>
                <w:color w:val="auto"/>
                <w:spacing w:val="-2"/>
                <w:highlight w:val="none"/>
              </w:rPr>
              <w:t>项目名称</w:t>
            </w:r>
          </w:p>
        </w:tc>
        <w:tc>
          <w:tcPr>
            <w:tcW w:w="1397" w:type="dxa"/>
            <w:vAlign w:val="top"/>
          </w:tcPr>
          <w:p w14:paraId="1A5B22FD">
            <w:pPr>
              <w:spacing w:line="286" w:lineRule="auto"/>
              <w:rPr>
                <w:rFonts w:ascii="Arial"/>
                <w:color w:val="auto"/>
                <w:sz w:val="21"/>
                <w:highlight w:val="none"/>
              </w:rPr>
            </w:pPr>
          </w:p>
          <w:p w14:paraId="26CAB207">
            <w:pPr>
              <w:pStyle w:val="11"/>
              <w:spacing w:before="69" w:line="221" w:lineRule="auto"/>
              <w:ind w:left="181"/>
              <w:rPr>
                <w:color w:val="auto"/>
                <w:highlight w:val="none"/>
              </w:rPr>
            </w:pPr>
            <w:r>
              <w:rPr>
                <w:color w:val="auto"/>
                <w:spacing w:val="-1"/>
                <w:highlight w:val="none"/>
              </w:rPr>
              <w:t>发包人名称</w:t>
            </w:r>
          </w:p>
        </w:tc>
        <w:tc>
          <w:tcPr>
            <w:tcW w:w="1080" w:type="dxa"/>
            <w:vAlign w:val="top"/>
          </w:tcPr>
          <w:p w14:paraId="62A324DB">
            <w:pPr>
              <w:spacing w:line="286" w:lineRule="auto"/>
              <w:rPr>
                <w:rFonts w:ascii="Arial"/>
                <w:color w:val="auto"/>
                <w:sz w:val="21"/>
                <w:highlight w:val="none"/>
              </w:rPr>
            </w:pPr>
          </w:p>
          <w:p w14:paraId="2BF9A43F">
            <w:pPr>
              <w:pStyle w:val="11"/>
              <w:spacing w:before="68" w:line="221" w:lineRule="auto"/>
              <w:ind w:left="123"/>
              <w:rPr>
                <w:color w:val="auto"/>
                <w:highlight w:val="none"/>
              </w:rPr>
            </w:pPr>
            <w:r>
              <w:rPr>
                <w:color w:val="auto"/>
                <w:spacing w:val="-2"/>
                <w:highlight w:val="none"/>
              </w:rPr>
              <w:t>工程规模</w:t>
            </w:r>
          </w:p>
        </w:tc>
        <w:tc>
          <w:tcPr>
            <w:tcW w:w="1108" w:type="dxa"/>
            <w:vAlign w:val="top"/>
          </w:tcPr>
          <w:p w14:paraId="5D7DA81A">
            <w:pPr>
              <w:pStyle w:val="11"/>
              <w:spacing w:before="159" w:line="399" w:lineRule="exact"/>
              <w:ind w:left="141"/>
              <w:rPr>
                <w:color w:val="auto"/>
                <w:highlight w:val="none"/>
              </w:rPr>
            </w:pPr>
            <w:r>
              <w:rPr>
                <w:color w:val="auto"/>
                <w:spacing w:val="-1"/>
                <w:position w:val="14"/>
                <w:highlight w:val="none"/>
              </w:rPr>
              <w:t>合同价格</w:t>
            </w:r>
          </w:p>
          <w:p w14:paraId="18048CF8">
            <w:pPr>
              <w:pStyle w:val="11"/>
              <w:spacing w:line="209" w:lineRule="auto"/>
              <w:ind w:left="199"/>
              <w:rPr>
                <w:color w:val="auto"/>
                <w:highlight w:val="none"/>
              </w:rPr>
            </w:pPr>
            <w:r>
              <w:rPr>
                <w:color w:val="auto"/>
                <w:spacing w:val="-6"/>
                <w:highlight w:val="none"/>
              </w:rPr>
              <w:t>（元）</w:t>
            </w:r>
          </w:p>
        </w:tc>
        <w:tc>
          <w:tcPr>
            <w:tcW w:w="1781" w:type="dxa"/>
            <w:vAlign w:val="top"/>
          </w:tcPr>
          <w:p w14:paraId="22BE07F6">
            <w:pPr>
              <w:pStyle w:val="11"/>
              <w:spacing w:before="159" w:line="399" w:lineRule="exact"/>
              <w:ind w:left="372"/>
              <w:rPr>
                <w:color w:val="auto"/>
                <w:highlight w:val="none"/>
              </w:rPr>
            </w:pPr>
            <w:r>
              <w:rPr>
                <w:color w:val="auto"/>
                <w:spacing w:val="-1"/>
                <w:position w:val="14"/>
                <w:highlight w:val="none"/>
              </w:rPr>
              <w:t>计划开、竣</w:t>
            </w:r>
          </w:p>
          <w:p w14:paraId="60FF5A51">
            <w:pPr>
              <w:pStyle w:val="11"/>
              <w:spacing w:line="209" w:lineRule="auto"/>
              <w:ind w:left="586"/>
              <w:rPr>
                <w:color w:val="auto"/>
                <w:highlight w:val="none"/>
              </w:rPr>
            </w:pPr>
            <w:r>
              <w:rPr>
                <w:color w:val="auto"/>
                <w:spacing w:val="-2"/>
                <w:highlight w:val="none"/>
              </w:rPr>
              <w:t>工日期</w:t>
            </w:r>
          </w:p>
        </w:tc>
        <w:tc>
          <w:tcPr>
            <w:tcW w:w="1084" w:type="dxa"/>
            <w:vAlign w:val="top"/>
          </w:tcPr>
          <w:p w14:paraId="0E0BA3F4">
            <w:pPr>
              <w:spacing w:line="286" w:lineRule="auto"/>
              <w:rPr>
                <w:rFonts w:ascii="Arial"/>
                <w:color w:val="auto"/>
                <w:sz w:val="21"/>
                <w:highlight w:val="none"/>
              </w:rPr>
            </w:pPr>
          </w:p>
          <w:p w14:paraId="0D886CC1">
            <w:pPr>
              <w:pStyle w:val="11"/>
              <w:spacing w:before="69" w:line="221" w:lineRule="auto"/>
              <w:ind w:left="131"/>
              <w:rPr>
                <w:color w:val="auto"/>
                <w:highlight w:val="none"/>
              </w:rPr>
            </w:pPr>
            <w:r>
              <w:rPr>
                <w:color w:val="auto"/>
                <w:spacing w:val="-2"/>
                <w:highlight w:val="none"/>
              </w:rPr>
              <w:t>项目经理</w:t>
            </w:r>
          </w:p>
        </w:tc>
      </w:tr>
      <w:tr w14:paraId="19510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35B722C6">
            <w:pPr>
              <w:rPr>
                <w:rFonts w:ascii="Arial"/>
                <w:color w:val="auto"/>
                <w:sz w:val="21"/>
                <w:highlight w:val="none"/>
              </w:rPr>
            </w:pPr>
          </w:p>
        </w:tc>
        <w:tc>
          <w:tcPr>
            <w:tcW w:w="1842" w:type="dxa"/>
            <w:vAlign w:val="top"/>
          </w:tcPr>
          <w:p w14:paraId="5446F5C0">
            <w:pPr>
              <w:rPr>
                <w:rFonts w:ascii="Arial"/>
                <w:color w:val="auto"/>
                <w:sz w:val="21"/>
                <w:highlight w:val="none"/>
              </w:rPr>
            </w:pPr>
          </w:p>
        </w:tc>
        <w:tc>
          <w:tcPr>
            <w:tcW w:w="1397" w:type="dxa"/>
            <w:vAlign w:val="top"/>
          </w:tcPr>
          <w:p w14:paraId="65EF3001">
            <w:pPr>
              <w:rPr>
                <w:rFonts w:ascii="Arial"/>
                <w:color w:val="auto"/>
                <w:sz w:val="21"/>
                <w:highlight w:val="none"/>
              </w:rPr>
            </w:pPr>
          </w:p>
        </w:tc>
        <w:tc>
          <w:tcPr>
            <w:tcW w:w="1080" w:type="dxa"/>
            <w:vAlign w:val="top"/>
          </w:tcPr>
          <w:p w14:paraId="4C75C212">
            <w:pPr>
              <w:rPr>
                <w:rFonts w:ascii="Arial"/>
                <w:color w:val="auto"/>
                <w:sz w:val="21"/>
                <w:highlight w:val="none"/>
              </w:rPr>
            </w:pPr>
          </w:p>
        </w:tc>
        <w:tc>
          <w:tcPr>
            <w:tcW w:w="1108" w:type="dxa"/>
            <w:vAlign w:val="top"/>
          </w:tcPr>
          <w:p w14:paraId="40C42AF9">
            <w:pPr>
              <w:rPr>
                <w:rFonts w:ascii="Arial"/>
                <w:color w:val="auto"/>
                <w:sz w:val="21"/>
                <w:highlight w:val="none"/>
              </w:rPr>
            </w:pPr>
          </w:p>
        </w:tc>
        <w:tc>
          <w:tcPr>
            <w:tcW w:w="1781" w:type="dxa"/>
            <w:vAlign w:val="top"/>
          </w:tcPr>
          <w:p w14:paraId="71610DC8">
            <w:pPr>
              <w:rPr>
                <w:rFonts w:ascii="Arial"/>
                <w:color w:val="auto"/>
                <w:sz w:val="21"/>
                <w:highlight w:val="none"/>
              </w:rPr>
            </w:pPr>
          </w:p>
        </w:tc>
        <w:tc>
          <w:tcPr>
            <w:tcW w:w="1084" w:type="dxa"/>
            <w:vAlign w:val="top"/>
          </w:tcPr>
          <w:p w14:paraId="477E8B45">
            <w:pPr>
              <w:rPr>
                <w:rFonts w:ascii="Arial"/>
                <w:color w:val="auto"/>
                <w:sz w:val="21"/>
                <w:highlight w:val="none"/>
              </w:rPr>
            </w:pPr>
          </w:p>
        </w:tc>
      </w:tr>
      <w:tr w14:paraId="1B792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0D875C08">
            <w:pPr>
              <w:rPr>
                <w:rFonts w:ascii="Arial"/>
                <w:color w:val="auto"/>
                <w:sz w:val="21"/>
                <w:highlight w:val="none"/>
              </w:rPr>
            </w:pPr>
          </w:p>
        </w:tc>
        <w:tc>
          <w:tcPr>
            <w:tcW w:w="1842" w:type="dxa"/>
            <w:vAlign w:val="top"/>
          </w:tcPr>
          <w:p w14:paraId="15D5C473">
            <w:pPr>
              <w:rPr>
                <w:rFonts w:ascii="Arial"/>
                <w:color w:val="auto"/>
                <w:sz w:val="21"/>
                <w:highlight w:val="none"/>
              </w:rPr>
            </w:pPr>
          </w:p>
        </w:tc>
        <w:tc>
          <w:tcPr>
            <w:tcW w:w="1397" w:type="dxa"/>
            <w:vAlign w:val="top"/>
          </w:tcPr>
          <w:p w14:paraId="7B7EF1DB">
            <w:pPr>
              <w:rPr>
                <w:rFonts w:ascii="Arial"/>
                <w:color w:val="auto"/>
                <w:sz w:val="21"/>
                <w:highlight w:val="none"/>
              </w:rPr>
            </w:pPr>
          </w:p>
        </w:tc>
        <w:tc>
          <w:tcPr>
            <w:tcW w:w="1080" w:type="dxa"/>
            <w:vAlign w:val="top"/>
          </w:tcPr>
          <w:p w14:paraId="18CA7B77">
            <w:pPr>
              <w:rPr>
                <w:rFonts w:ascii="Arial"/>
                <w:color w:val="auto"/>
                <w:sz w:val="21"/>
                <w:highlight w:val="none"/>
              </w:rPr>
            </w:pPr>
          </w:p>
        </w:tc>
        <w:tc>
          <w:tcPr>
            <w:tcW w:w="1108" w:type="dxa"/>
            <w:vAlign w:val="top"/>
          </w:tcPr>
          <w:p w14:paraId="144FCF9A">
            <w:pPr>
              <w:rPr>
                <w:rFonts w:ascii="Arial"/>
                <w:color w:val="auto"/>
                <w:sz w:val="21"/>
                <w:highlight w:val="none"/>
              </w:rPr>
            </w:pPr>
          </w:p>
        </w:tc>
        <w:tc>
          <w:tcPr>
            <w:tcW w:w="1781" w:type="dxa"/>
            <w:vAlign w:val="top"/>
          </w:tcPr>
          <w:p w14:paraId="3B7D2DB1">
            <w:pPr>
              <w:rPr>
                <w:rFonts w:ascii="Arial"/>
                <w:color w:val="auto"/>
                <w:sz w:val="21"/>
                <w:highlight w:val="none"/>
              </w:rPr>
            </w:pPr>
          </w:p>
        </w:tc>
        <w:tc>
          <w:tcPr>
            <w:tcW w:w="1084" w:type="dxa"/>
            <w:vAlign w:val="top"/>
          </w:tcPr>
          <w:p w14:paraId="76A929C7">
            <w:pPr>
              <w:rPr>
                <w:rFonts w:ascii="Arial"/>
                <w:color w:val="auto"/>
                <w:sz w:val="21"/>
                <w:highlight w:val="none"/>
              </w:rPr>
            </w:pPr>
          </w:p>
        </w:tc>
      </w:tr>
      <w:tr w14:paraId="79BBF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547" w:type="dxa"/>
            <w:vAlign w:val="top"/>
          </w:tcPr>
          <w:p w14:paraId="030D7C70">
            <w:pPr>
              <w:rPr>
                <w:rFonts w:ascii="Arial"/>
                <w:color w:val="auto"/>
                <w:sz w:val="21"/>
                <w:highlight w:val="none"/>
              </w:rPr>
            </w:pPr>
          </w:p>
        </w:tc>
        <w:tc>
          <w:tcPr>
            <w:tcW w:w="1842" w:type="dxa"/>
            <w:vAlign w:val="top"/>
          </w:tcPr>
          <w:p w14:paraId="53631715">
            <w:pPr>
              <w:rPr>
                <w:rFonts w:ascii="Arial"/>
                <w:color w:val="auto"/>
                <w:sz w:val="21"/>
                <w:highlight w:val="none"/>
              </w:rPr>
            </w:pPr>
          </w:p>
        </w:tc>
        <w:tc>
          <w:tcPr>
            <w:tcW w:w="1397" w:type="dxa"/>
            <w:vAlign w:val="top"/>
          </w:tcPr>
          <w:p w14:paraId="124C26FE">
            <w:pPr>
              <w:rPr>
                <w:rFonts w:ascii="Arial"/>
                <w:color w:val="auto"/>
                <w:sz w:val="21"/>
                <w:highlight w:val="none"/>
              </w:rPr>
            </w:pPr>
          </w:p>
        </w:tc>
        <w:tc>
          <w:tcPr>
            <w:tcW w:w="1080" w:type="dxa"/>
            <w:vAlign w:val="top"/>
          </w:tcPr>
          <w:p w14:paraId="481A61B4">
            <w:pPr>
              <w:rPr>
                <w:rFonts w:ascii="Arial"/>
                <w:color w:val="auto"/>
                <w:sz w:val="21"/>
                <w:highlight w:val="none"/>
              </w:rPr>
            </w:pPr>
          </w:p>
        </w:tc>
        <w:tc>
          <w:tcPr>
            <w:tcW w:w="1108" w:type="dxa"/>
            <w:vAlign w:val="top"/>
          </w:tcPr>
          <w:p w14:paraId="43D6017C">
            <w:pPr>
              <w:rPr>
                <w:rFonts w:ascii="Arial"/>
                <w:color w:val="auto"/>
                <w:sz w:val="21"/>
                <w:highlight w:val="none"/>
              </w:rPr>
            </w:pPr>
          </w:p>
        </w:tc>
        <w:tc>
          <w:tcPr>
            <w:tcW w:w="1781" w:type="dxa"/>
            <w:vAlign w:val="top"/>
          </w:tcPr>
          <w:p w14:paraId="160D9CD3">
            <w:pPr>
              <w:rPr>
                <w:rFonts w:ascii="Arial"/>
                <w:color w:val="auto"/>
                <w:sz w:val="21"/>
                <w:highlight w:val="none"/>
              </w:rPr>
            </w:pPr>
          </w:p>
        </w:tc>
        <w:tc>
          <w:tcPr>
            <w:tcW w:w="1084" w:type="dxa"/>
            <w:vAlign w:val="top"/>
          </w:tcPr>
          <w:p w14:paraId="4C1BF0EA">
            <w:pPr>
              <w:rPr>
                <w:rFonts w:ascii="Arial"/>
                <w:color w:val="auto"/>
                <w:sz w:val="21"/>
                <w:highlight w:val="none"/>
              </w:rPr>
            </w:pPr>
          </w:p>
        </w:tc>
      </w:tr>
      <w:tr w14:paraId="3D950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8" w:hRule="atLeast"/>
        </w:trPr>
        <w:tc>
          <w:tcPr>
            <w:tcW w:w="547" w:type="dxa"/>
            <w:vAlign w:val="top"/>
          </w:tcPr>
          <w:p w14:paraId="5CA8DAF6">
            <w:pPr>
              <w:rPr>
                <w:rFonts w:ascii="Arial"/>
                <w:color w:val="auto"/>
                <w:sz w:val="21"/>
                <w:highlight w:val="none"/>
              </w:rPr>
            </w:pPr>
          </w:p>
        </w:tc>
        <w:tc>
          <w:tcPr>
            <w:tcW w:w="1842" w:type="dxa"/>
            <w:vAlign w:val="top"/>
          </w:tcPr>
          <w:p w14:paraId="07D31F99">
            <w:pPr>
              <w:rPr>
                <w:rFonts w:ascii="Arial"/>
                <w:color w:val="auto"/>
                <w:sz w:val="21"/>
                <w:highlight w:val="none"/>
              </w:rPr>
            </w:pPr>
          </w:p>
        </w:tc>
        <w:tc>
          <w:tcPr>
            <w:tcW w:w="1397" w:type="dxa"/>
            <w:vAlign w:val="top"/>
          </w:tcPr>
          <w:p w14:paraId="492AF54A">
            <w:pPr>
              <w:rPr>
                <w:rFonts w:ascii="Arial"/>
                <w:color w:val="auto"/>
                <w:sz w:val="21"/>
                <w:highlight w:val="none"/>
              </w:rPr>
            </w:pPr>
          </w:p>
        </w:tc>
        <w:tc>
          <w:tcPr>
            <w:tcW w:w="1080" w:type="dxa"/>
            <w:vAlign w:val="top"/>
          </w:tcPr>
          <w:p w14:paraId="1D0F84C6">
            <w:pPr>
              <w:rPr>
                <w:rFonts w:ascii="Arial"/>
                <w:color w:val="auto"/>
                <w:sz w:val="21"/>
                <w:highlight w:val="none"/>
              </w:rPr>
            </w:pPr>
          </w:p>
        </w:tc>
        <w:tc>
          <w:tcPr>
            <w:tcW w:w="1108" w:type="dxa"/>
            <w:vAlign w:val="top"/>
          </w:tcPr>
          <w:p w14:paraId="69E3D623">
            <w:pPr>
              <w:rPr>
                <w:rFonts w:ascii="Arial"/>
                <w:color w:val="auto"/>
                <w:sz w:val="21"/>
                <w:highlight w:val="none"/>
              </w:rPr>
            </w:pPr>
          </w:p>
        </w:tc>
        <w:tc>
          <w:tcPr>
            <w:tcW w:w="1781" w:type="dxa"/>
            <w:vAlign w:val="top"/>
          </w:tcPr>
          <w:p w14:paraId="723DDD85">
            <w:pPr>
              <w:rPr>
                <w:rFonts w:ascii="Arial"/>
                <w:color w:val="auto"/>
                <w:sz w:val="21"/>
                <w:highlight w:val="none"/>
              </w:rPr>
            </w:pPr>
          </w:p>
        </w:tc>
        <w:tc>
          <w:tcPr>
            <w:tcW w:w="1084" w:type="dxa"/>
            <w:vAlign w:val="top"/>
          </w:tcPr>
          <w:p w14:paraId="0F62D497">
            <w:pPr>
              <w:rPr>
                <w:rFonts w:ascii="Arial"/>
                <w:color w:val="auto"/>
                <w:sz w:val="21"/>
                <w:highlight w:val="none"/>
              </w:rPr>
            </w:pPr>
          </w:p>
        </w:tc>
      </w:tr>
      <w:tr w14:paraId="4B5A71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3" w:hRule="atLeast"/>
        </w:trPr>
        <w:tc>
          <w:tcPr>
            <w:tcW w:w="547" w:type="dxa"/>
            <w:vAlign w:val="top"/>
          </w:tcPr>
          <w:p w14:paraId="674ECEB2">
            <w:pPr>
              <w:rPr>
                <w:rFonts w:ascii="Arial"/>
                <w:color w:val="auto"/>
                <w:sz w:val="21"/>
                <w:highlight w:val="none"/>
              </w:rPr>
            </w:pPr>
          </w:p>
        </w:tc>
        <w:tc>
          <w:tcPr>
            <w:tcW w:w="1842" w:type="dxa"/>
            <w:vAlign w:val="top"/>
          </w:tcPr>
          <w:p w14:paraId="74BF20F3">
            <w:pPr>
              <w:rPr>
                <w:rFonts w:ascii="Arial"/>
                <w:color w:val="auto"/>
                <w:sz w:val="21"/>
                <w:highlight w:val="none"/>
              </w:rPr>
            </w:pPr>
          </w:p>
        </w:tc>
        <w:tc>
          <w:tcPr>
            <w:tcW w:w="1397" w:type="dxa"/>
            <w:vAlign w:val="top"/>
          </w:tcPr>
          <w:p w14:paraId="78C7097C">
            <w:pPr>
              <w:rPr>
                <w:rFonts w:ascii="Arial"/>
                <w:color w:val="auto"/>
                <w:sz w:val="21"/>
                <w:highlight w:val="none"/>
              </w:rPr>
            </w:pPr>
          </w:p>
        </w:tc>
        <w:tc>
          <w:tcPr>
            <w:tcW w:w="1080" w:type="dxa"/>
            <w:vAlign w:val="top"/>
          </w:tcPr>
          <w:p w14:paraId="526B9D2D">
            <w:pPr>
              <w:rPr>
                <w:rFonts w:ascii="Arial"/>
                <w:color w:val="auto"/>
                <w:sz w:val="21"/>
                <w:highlight w:val="none"/>
              </w:rPr>
            </w:pPr>
          </w:p>
        </w:tc>
        <w:tc>
          <w:tcPr>
            <w:tcW w:w="1108" w:type="dxa"/>
            <w:vAlign w:val="top"/>
          </w:tcPr>
          <w:p w14:paraId="4A4E1669">
            <w:pPr>
              <w:rPr>
                <w:rFonts w:ascii="Arial"/>
                <w:color w:val="auto"/>
                <w:sz w:val="21"/>
                <w:highlight w:val="none"/>
              </w:rPr>
            </w:pPr>
          </w:p>
        </w:tc>
        <w:tc>
          <w:tcPr>
            <w:tcW w:w="1781" w:type="dxa"/>
            <w:vAlign w:val="top"/>
          </w:tcPr>
          <w:p w14:paraId="32469457">
            <w:pPr>
              <w:rPr>
                <w:rFonts w:ascii="Arial"/>
                <w:color w:val="auto"/>
                <w:sz w:val="21"/>
                <w:highlight w:val="none"/>
              </w:rPr>
            </w:pPr>
          </w:p>
        </w:tc>
        <w:tc>
          <w:tcPr>
            <w:tcW w:w="1084" w:type="dxa"/>
            <w:vAlign w:val="top"/>
          </w:tcPr>
          <w:p w14:paraId="436E0CCD">
            <w:pPr>
              <w:rPr>
                <w:rFonts w:ascii="Arial"/>
                <w:color w:val="auto"/>
                <w:sz w:val="21"/>
                <w:highlight w:val="none"/>
              </w:rPr>
            </w:pPr>
          </w:p>
        </w:tc>
      </w:tr>
      <w:tr w14:paraId="5214C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127858A0">
            <w:pPr>
              <w:rPr>
                <w:rFonts w:ascii="Arial"/>
                <w:color w:val="auto"/>
                <w:sz w:val="21"/>
                <w:highlight w:val="none"/>
              </w:rPr>
            </w:pPr>
          </w:p>
        </w:tc>
        <w:tc>
          <w:tcPr>
            <w:tcW w:w="1842" w:type="dxa"/>
            <w:vAlign w:val="top"/>
          </w:tcPr>
          <w:p w14:paraId="7E979E63">
            <w:pPr>
              <w:rPr>
                <w:rFonts w:ascii="Arial"/>
                <w:color w:val="auto"/>
                <w:sz w:val="21"/>
                <w:highlight w:val="none"/>
              </w:rPr>
            </w:pPr>
          </w:p>
        </w:tc>
        <w:tc>
          <w:tcPr>
            <w:tcW w:w="1397" w:type="dxa"/>
            <w:vAlign w:val="top"/>
          </w:tcPr>
          <w:p w14:paraId="3E5D78F0">
            <w:pPr>
              <w:rPr>
                <w:rFonts w:ascii="Arial"/>
                <w:color w:val="auto"/>
                <w:sz w:val="21"/>
                <w:highlight w:val="none"/>
              </w:rPr>
            </w:pPr>
          </w:p>
        </w:tc>
        <w:tc>
          <w:tcPr>
            <w:tcW w:w="1080" w:type="dxa"/>
            <w:vAlign w:val="top"/>
          </w:tcPr>
          <w:p w14:paraId="62D20A9F">
            <w:pPr>
              <w:rPr>
                <w:rFonts w:ascii="Arial"/>
                <w:color w:val="auto"/>
                <w:sz w:val="21"/>
                <w:highlight w:val="none"/>
              </w:rPr>
            </w:pPr>
          </w:p>
        </w:tc>
        <w:tc>
          <w:tcPr>
            <w:tcW w:w="1108" w:type="dxa"/>
            <w:vAlign w:val="top"/>
          </w:tcPr>
          <w:p w14:paraId="36D75AC7">
            <w:pPr>
              <w:rPr>
                <w:rFonts w:ascii="Arial"/>
                <w:color w:val="auto"/>
                <w:sz w:val="21"/>
                <w:highlight w:val="none"/>
              </w:rPr>
            </w:pPr>
          </w:p>
        </w:tc>
        <w:tc>
          <w:tcPr>
            <w:tcW w:w="1781" w:type="dxa"/>
            <w:vAlign w:val="top"/>
          </w:tcPr>
          <w:p w14:paraId="6C31F6BF">
            <w:pPr>
              <w:rPr>
                <w:rFonts w:ascii="Arial"/>
                <w:color w:val="auto"/>
                <w:sz w:val="21"/>
                <w:highlight w:val="none"/>
              </w:rPr>
            </w:pPr>
          </w:p>
        </w:tc>
        <w:tc>
          <w:tcPr>
            <w:tcW w:w="1084" w:type="dxa"/>
            <w:vAlign w:val="top"/>
          </w:tcPr>
          <w:p w14:paraId="6B25F57F">
            <w:pPr>
              <w:rPr>
                <w:rFonts w:ascii="Arial"/>
                <w:color w:val="auto"/>
                <w:sz w:val="21"/>
                <w:highlight w:val="none"/>
              </w:rPr>
            </w:pPr>
          </w:p>
        </w:tc>
      </w:tr>
      <w:tr w14:paraId="52F20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547" w:type="dxa"/>
            <w:vAlign w:val="top"/>
          </w:tcPr>
          <w:p w14:paraId="0837AE8E">
            <w:pPr>
              <w:rPr>
                <w:rFonts w:ascii="Arial"/>
                <w:color w:val="auto"/>
                <w:sz w:val="21"/>
                <w:highlight w:val="none"/>
              </w:rPr>
            </w:pPr>
          </w:p>
        </w:tc>
        <w:tc>
          <w:tcPr>
            <w:tcW w:w="1842" w:type="dxa"/>
            <w:vAlign w:val="top"/>
          </w:tcPr>
          <w:p w14:paraId="21F417D3">
            <w:pPr>
              <w:rPr>
                <w:rFonts w:ascii="Arial"/>
                <w:color w:val="auto"/>
                <w:sz w:val="21"/>
                <w:highlight w:val="none"/>
              </w:rPr>
            </w:pPr>
          </w:p>
        </w:tc>
        <w:tc>
          <w:tcPr>
            <w:tcW w:w="1397" w:type="dxa"/>
            <w:vAlign w:val="top"/>
          </w:tcPr>
          <w:p w14:paraId="5F9DA967">
            <w:pPr>
              <w:rPr>
                <w:rFonts w:ascii="Arial"/>
                <w:color w:val="auto"/>
                <w:sz w:val="21"/>
                <w:highlight w:val="none"/>
              </w:rPr>
            </w:pPr>
          </w:p>
        </w:tc>
        <w:tc>
          <w:tcPr>
            <w:tcW w:w="1080" w:type="dxa"/>
            <w:vAlign w:val="top"/>
          </w:tcPr>
          <w:p w14:paraId="5D6579DC">
            <w:pPr>
              <w:rPr>
                <w:rFonts w:ascii="Arial"/>
                <w:color w:val="auto"/>
                <w:sz w:val="21"/>
                <w:highlight w:val="none"/>
              </w:rPr>
            </w:pPr>
          </w:p>
        </w:tc>
        <w:tc>
          <w:tcPr>
            <w:tcW w:w="1108" w:type="dxa"/>
            <w:vAlign w:val="top"/>
          </w:tcPr>
          <w:p w14:paraId="6C90B8D1">
            <w:pPr>
              <w:rPr>
                <w:rFonts w:ascii="Arial"/>
                <w:color w:val="auto"/>
                <w:sz w:val="21"/>
                <w:highlight w:val="none"/>
              </w:rPr>
            </w:pPr>
          </w:p>
        </w:tc>
        <w:tc>
          <w:tcPr>
            <w:tcW w:w="1781" w:type="dxa"/>
            <w:vAlign w:val="top"/>
          </w:tcPr>
          <w:p w14:paraId="70F36766">
            <w:pPr>
              <w:rPr>
                <w:rFonts w:ascii="Arial"/>
                <w:color w:val="auto"/>
                <w:sz w:val="21"/>
                <w:highlight w:val="none"/>
              </w:rPr>
            </w:pPr>
          </w:p>
        </w:tc>
        <w:tc>
          <w:tcPr>
            <w:tcW w:w="1084" w:type="dxa"/>
            <w:vAlign w:val="top"/>
          </w:tcPr>
          <w:p w14:paraId="0C102D0D">
            <w:pPr>
              <w:rPr>
                <w:rFonts w:ascii="Arial"/>
                <w:color w:val="auto"/>
                <w:sz w:val="21"/>
                <w:highlight w:val="none"/>
              </w:rPr>
            </w:pPr>
          </w:p>
        </w:tc>
      </w:tr>
      <w:tr w14:paraId="26C55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584D0F7D">
            <w:pPr>
              <w:rPr>
                <w:rFonts w:ascii="Arial"/>
                <w:color w:val="auto"/>
                <w:sz w:val="21"/>
                <w:highlight w:val="none"/>
              </w:rPr>
            </w:pPr>
          </w:p>
        </w:tc>
        <w:tc>
          <w:tcPr>
            <w:tcW w:w="1842" w:type="dxa"/>
            <w:vAlign w:val="top"/>
          </w:tcPr>
          <w:p w14:paraId="48E362B1">
            <w:pPr>
              <w:rPr>
                <w:rFonts w:ascii="Arial"/>
                <w:color w:val="auto"/>
                <w:sz w:val="21"/>
                <w:highlight w:val="none"/>
              </w:rPr>
            </w:pPr>
          </w:p>
        </w:tc>
        <w:tc>
          <w:tcPr>
            <w:tcW w:w="1397" w:type="dxa"/>
            <w:vAlign w:val="top"/>
          </w:tcPr>
          <w:p w14:paraId="45B4E09D">
            <w:pPr>
              <w:rPr>
                <w:rFonts w:ascii="Arial"/>
                <w:color w:val="auto"/>
                <w:sz w:val="21"/>
                <w:highlight w:val="none"/>
              </w:rPr>
            </w:pPr>
          </w:p>
        </w:tc>
        <w:tc>
          <w:tcPr>
            <w:tcW w:w="1080" w:type="dxa"/>
            <w:vAlign w:val="top"/>
          </w:tcPr>
          <w:p w14:paraId="29B12F86">
            <w:pPr>
              <w:rPr>
                <w:rFonts w:ascii="Arial"/>
                <w:color w:val="auto"/>
                <w:sz w:val="21"/>
                <w:highlight w:val="none"/>
              </w:rPr>
            </w:pPr>
          </w:p>
        </w:tc>
        <w:tc>
          <w:tcPr>
            <w:tcW w:w="1108" w:type="dxa"/>
            <w:vAlign w:val="top"/>
          </w:tcPr>
          <w:p w14:paraId="77A119D1">
            <w:pPr>
              <w:rPr>
                <w:rFonts w:ascii="Arial"/>
                <w:color w:val="auto"/>
                <w:sz w:val="21"/>
                <w:highlight w:val="none"/>
              </w:rPr>
            </w:pPr>
          </w:p>
        </w:tc>
        <w:tc>
          <w:tcPr>
            <w:tcW w:w="1781" w:type="dxa"/>
            <w:vAlign w:val="top"/>
          </w:tcPr>
          <w:p w14:paraId="151AFD86">
            <w:pPr>
              <w:rPr>
                <w:rFonts w:ascii="Arial"/>
                <w:color w:val="auto"/>
                <w:sz w:val="21"/>
                <w:highlight w:val="none"/>
              </w:rPr>
            </w:pPr>
          </w:p>
        </w:tc>
        <w:tc>
          <w:tcPr>
            <w:tcW w:w="1084" w:type="dxa"/>
            <w:vAlign w:val="top"/>
          </w:tcPr>
          <w:p w14:paraId="439C3312">
            <w:pPr>
              <w:rPr>
                <w:rFonts w:ascii="Arial"/>
                <w:color w:val="auto"/>
                <w:sz w:val="21"/>
                <w:highlight w:val="none"/>
              </w:rPr>
            </w:pPr>
          </w:p>
        </w:tc>
      </w:tr>
      <w:tr w14:paraId="3FDF1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579E87BB">
            <w:pPr>
              <w:rPr>
                <w:rFonts w:ascii="Arial"/>
                <w:color w:val="auto"/>
                <w:sz w:val="21"/>
                <w:highlight w:val="none"/>
              </w:rPr>
            </w:pPr>
          </w:p>
        </w:tc>
        <w:tc>
          <w:tcPr>
            <w:tcW w:w="1842" w:type="dxa"/>
            <w:vAlign w:val="top"/>
          </w:tcPr>
          <w:p w14:paraId="29DEB507">
            <w:pPr>
              <w:rPr>
                <w:rFonts w:ascii="Arial"/>
                <w:color w:val="auto"/>
                <w:sz w:val="21"/>
                <w:highlight w:val="none"/>
              </w:rPr>
            </w:pPr>
          </w:p>
        </w:tc>
        <w:tc>
          <w:tcPr>
            <w:tcW w:w="1397" w:type="dxa"/>
            <w:vAlign w:val="top"/>
          </w:tcPr>
          <w:p w14:paraId="44CF419C">
            <w:pPr>
              <w:rPr>
                <w:rFonts w:ascii="Arial"/>
                <w:color w:val="auto"/>
                <w:sz w:val="21"/>
                <w:highlight w:val="none"/>
              </w:rPr>
            </w:pPr>
          </w:p>
        </w:tc>
        <w:tc>
          <w:tcPr>
            <w:tcW w:w="1080" w:type="dxa"/>
            <w:vAlign w:val="top"/>
          </w:tcPr>
          <w:p w14:paraId="3BFA22DA">
            <w:pPr>
              <w:rPr>
                <w:rFonts w:ascii="Arial"/>
                <w:color w:val="auto"/>
                <w:sz w:val="21"/>
                <w:highlight w:val="none"/>
              </w:rPr>
            </w:pPr>
          </w:p>
        </w:tc>
        <w:tc>
          <w:tcPr>
            <w:tcW w:w="1108" w:type="dxa"/>
            <w:vAlign w:val="top"/>
          </w:tcPr>
          <w:p w14:paraId="60C398B6">
            <w:pPr>
              <w:rPr>
                <w:rFonts w:ascii="Arial"/>
                <w:color w:val="auto"/>
                <w:sz w:val="21"/>
                <w:highlight w:val="none"/>
              </w:rPr>
            </w:pPr>
          </w:p>
        </w:tc>
        <w:tc>
          <w:tcPr>
            <w:tcW w:w="1781" w:type="dxa"/>
            <w:vAlign w:val="top"/>
          </w:tcPr>
          <w:p w14:paraId="7C036940">
            <w:pPr>
              <w:rPr>
                <w:rFonts w:ascii="Arial"/>
                <w:color w:val="auto"/>
                <w:sz w:val="21"/>
                <w:highlight w:val="none"/>
              </w:rPr>
            </w:pPr>
          </w:p>
        </w:tc>
        <w:tc>
          <w:tcPr>
            <w:tcW w:w="1084" w:type="dxa"/>
            <w:vAlign w:val="top"/>
          </w:tcPr>
          <w:p w14:paraId="4A0C6B21">
            <w:pPr>
              <w:rPr>
                <w:rFonts w:ascii="Arial"/>
                <w:color w:val="auto"/>
                <w:sz w:val="21"/>
                <w:highlight w:val="none"/>
              </w:rPr>
            </w:pPr>
          </w:p>
        </w:tc>
      </w:tr>
      <w:tr w14:paraId="1174B3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042B79D9">
            <w:pPr>
              <w:rPr>
                <w:rFonts w:ascii="Arial"/>
                <w:color w:val="auto"/>
                <w:sz w:val="21"/>
                <w:highlight w:val="none"/>
              </w:rPr>
            </w:pPr>
          </w:p>
        </w:tc>
        <w:tc>
          <w:tcPr>
            <w:tcW w:w="1842" w:type="dxa"/>
            <w:vAlign w:val="top"/>
          </w:tcPr>
          <w:p w14:paraId="5391FB2A">
            <w:pPr>
              <w:rPr>
                <w:rFonts w:ascii="Arial"/>
                <w:color w:val="auto"/>
                <w:sz w:val="21"/>
                <w:highlight w:val="none"/>
              </w:rPr>
            </w:pPr>
          </w:p>
        </w:tc>
        <w:tc>
          <w:tcPr>
            <w:tcW w:w="1397" w:type="dxa"/>
            <w:vAlign w:val="top"/>
          </w:tcPr>
          <w:p w14:paraId="3F649733">
            <w:pPr>
              <w:rPr>
                <w:rFonts w:ascii="Arial"/>
                <w:color w:val="auto"/>
                <w:sz w:val="21"/>
                <w:highlight w:val="none"/>
              </w:rPr>
            </w:pPr>
          </w:p>
        </w:tc>
        <w:tc>
          <w:tcPr>
            <w:tcW w:w="1080" w:type="dxa"/>
            <w:vAlign w:val="top"/>
          </w:tcPr>
          <w:p w14:paraId="3DF67E39">
            <w:pPr>
              <w:rPr>
                <w:rFonts w:ascii="Arial"/>
                <w:color w:val="auto"/>
                <w:sz w:val="21"/>
                <w:highlight w:val="none"/>
              </w:rPr>
            </w:pPr>
          </w:p>
        </w:tc>
        <w:tc>
          <w:tcPr>
            <w:tcW w:w="1108" w:type="dxa"/>
            <w:vAlign w:val="top"/>
          </w:tcPr>
          <w:p w14:paraId="6B654383">
            <w:pPr>
              <w:rPr>
                <w:rFonts w:ascii="Arial"/>
                <w:color w:val="auto"/>
                <w:sz w:val="21"/>
                <w:highlight w:val="none"/>
              </w:rPr>
            </w:pPr>
          </w:p>
        </w:tc>
        <w:tc>
          <w:tcPr>
            <w:tcW w:w="1781" w:type="dxa"/>
            <w:vAlign w:val="top"/>
          </w:tcPr>
          <w:p w14:paraId="5B43D0B5">
            <w:pPr>
              <w:rPr>
                <w:rFonts w:ascii="Arial"/>
                <w:color w:val="auto"/>
                <w:sz w:val="21"/>
                <w:highlight w:val="none"/>
              </w:rPr>
            </w:pPr>
          </w:p>
        </w:tc>
        <w:tc>
          <w:tcPr>
            <w:tcW w:w="1084" w:type="dxa"/>
            <w:vAlign w:val="top"/>
          </w:tcPr>
          <w:p w14:paraId="646E005C">
            <w:pPr>
              <w:rPr>
                <w:rFonts w:ascii="Arial"/>
                <w:color w:val="auto"/>
                <w:sz w:val="21"/>
                <w:highlight w:val="none"/>
              </w:rPr>
            </w:pPr>
          </w:p>
        </w:tc>
      </w:tr>
      <w:tr w14:paraId="7D2BC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74D9C258">
            <w:pPr>
              <w:rPr>
                <w:rFonts w:ascii="Arial"/>
                <w:color w:val="auto"/>
                <w:sz w:val="21"/>
                <w:highlight w:val="none"/>
              </w:rPr>
            </w:pPr>
          </w:p>
        </w:tc>
        <w:tc>
          <w:tcPr>
            <w:tcW w:w="1842" w:type="dxa"/>
            <w:vAlign w:val="top"/>
          </w:tcPr>
          <w:p w14:paraId="4F0F4C31">
            <w:pPr>
              <w:rPr>
                <w:rFonts w:ascii="Arial"/>
                <w:color w:val="auto"/>
                <w:sz w:val="21"/>
                <w:highlight w:val="none"/>
              </w:rPr>
            </w:pPr>
          </w:p>
        </w:tc>
        <w:tc>
          <w:tcPr>
            <w:tcW w:w="1397" w:type="dxa"/>
            <w:vAlign w:val="top"/>
          </w:tcPr>
          <w:p w14:paraId="17212233">
            <w:pPr>
              <w:rPr>
                <w:rFonts w:ascii="Arial"/>
                <w:color w:val="auto"/>
                <w:sz w:val="21"/>
                <w:highlight w:val="none"/>
              </w:rPr>
            </w:pPr>
          </w:p>
        </w:tc>
        <w:tc>
          <w:tcPr>
            <w:tcW w:w="1080" w:type="dxa"/>
            <w:vAlign w:val="top"/>
          </w:tcPr>
          <w:p w14:paraId="0BEEF043">
            <w:pPr>
              <w:rPr>
                <w:rFonts w:ascii="Arial"/>
                <w:color w:val="auto"/>
                <w:sz w:val="21"/>
                <w:highlight w:val="none"/>
              </w:rPr>
            </w:pPr>
          </w:p>
        </w:tc>
        <w:tc>
          <w:tcPr>
            <w:tcW w:w="1108" w:type="dxa"/>
            <w:vAlign w:val="top"/>
          </w:tcPr>
          <w:p w14:paraId="3E314B14">
            <w:pPr>
              <w:rPr>
                <w:rFonts w:ascii="Arial"/>
                <w:color w:val="auto"/>
                <w:sz w:val="21"/>
                <w:highlight w:val="none"/>
              </w:rPr>
            </w:pPr>
          </w:p>
        </w:tc>
        <w:tc>
          <w:tcPr>
            <w:tcW w:w="1781" w:type="dxa"/>
            <w:vAlign w:val="top"/>
          </w:tcPr>
          <w:p w14:paraId="28148507">
            <w:pPr>
              <w:rPr>
                <w:rFonts w:ascii="Arial"/>
                <w:color w:val="auto"/>
                <w:sz w:val="21"/>
                <w:highlight w:val="none"/>
              </w:rPr>
            </w:pPr>
          </w:p>
        </w:tc>
        <w:tc>
          <w:tcPr>
            <w:tcW w:w="1084" w:type="dxa"/>
            <w:vAlign w:val="top"/>
          </w:tcPr>
          <w:p w14:paraId="2358C523">
            <w:pPr>
              <w:rPr>
                <w:rFonts w:ascii="Arial"/>
                <w:color w:val="auto"/>
                <w:sz w:val="21"/>
                <w:highlight w:val="none"/>
              </w:rPr>
            </w:pPr>
          </w:p>
        </w:tc>
      </w:tr>
      <w:tr w14:paraId="2D5FD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3" w:hRule="atLeast"/>
        </w:trPr>
        <w:tc>
          <w:tcPr>
            <w:tcW w:w="547" w:type="dxa"/>
            <w:vAlign w:val="top"/>
          </w:tcPr>
          <w:p w14:paraId="2000C811">
            <w:pPr>
              <w:rPr>
                <w:rFonts w:ascii="Arial"/>
                <w:color w:val="auto"/>
                <w:sz w:val="21"/>
                <w:highlight w:val="none"/>
              </w:rPr>
            </w:pPr>
          </w:p>
        </w:tc>
        <w:tc>
          <w:tcPr>
            <w:tcW w:w="1842" w:type="dxa"/>
            <w:vAlign w:val="top"/>
          </w:tcPr>
          <w:p w14:paraId="11B9418F">
            <w:pPr>
              <w:rPr>
                <w:rFonts w:ascii="Arial"/>
                <w:color w:val="auto"/>
                <w:sz w:val="21"/>
                <w:highlight w:val="none"/>
              </w:rPr>
            </w:pPr>
          </w:p>
        </w:tc>
        <w:tc>
          <w:tcPr>
            <w:tcW w:w="1397" w:type="dxa"/>
            <w:vAlign w:val="top"/>
          </w:tcPr>
          <w:p w14:paraId="11FC1C87">
            <w:pPr>
              <w:rPr>
                <w:rFonts w:ascii="Arial"/>
                <w:color w:val="auto"/>
                <w:sz w:val="21"/>
                <w:highlight w:val="none"/>
              </w:rPr>
            </w:pPr>
          </w:p>
        </w:tc>
        <w:tc>
          <w:tcPr>
            <w:tcW w:w="1080" w:type="dxa"/>
            <w:vAlign w:val="top"/>
          </w:tcPr>
          <w:p w14:paraId="438C46A7">
            <w:pPr>
              <w:rPr>
                <w:rFonts w:ascii="Arial"/>
                <w:color w:val="auto"/>
                <w:sz w:val="21"/>
                <w:highlight w:val="none"/>
              </w:rPr>
            </w:pPr>
          </w:p>
        </w:tc>
        <w:tc>
          <w:tcPr>
            <w:tcW w:w="1108" w:type="dxa"/>
            <w:vAlign w:val="top"/>
          </w:tcPr>
          <w:p w14:paraId="0A730B08">
            <w:pPr>
              <w:rPr>
                <w:rFonts w:ascii="Arial"/>
                <w:color w:val="auto"/>
                <w:sz w:val="21"/>
                <w:highlight w:val="none"/>
              </w:rPr>
            </w:pPr>
          </w:p>
        </w:tc>
        <w:tc>
          <w:tcPr>
            <w:tcW w:w="1781" w:type="dxa"/>
            <w:vAlign w:val="top"/>
          </w:tcPr>
          <w:p w14:paraId="33FCB1AD">
            <w:pPr>
              <w:rPr>
                <w:rFonts w:ascii="Arial"/>
                <w:color w:val="auto"/>
                <w:sz w:val="21"/>
                <w:highlight w:val="none"/>
              </w:rPr>
            </w:pPr>
          </w:p>
        </w:tc>
        <w:tc>
          <w:tcPr>
            <w:tcW w:w="1084" w:type="dxa"/>
            <w:vAlign w:val="top"/>
          </w:tcPr>
          <w:p w14:paraId="7A08D747">
            <w:pPr>
              <w:rPr>
                <w:rFonts w:ascii="Arial"/>
                <w:color w:val="auto"/>
                <w:sz w:val="21"/>
                <w:highlight w:val="none"/>
              </w:rPr>
            </w:pPr>
          </w:p>
        </w:tc>
      </w:tr>
      <w:tr w14:paraId="30FE9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1260947B">
            <w:pPr>
              <w:rPr>
                <w:rFonts w:ascii="Arial"/>
                <w:color w:val="auto"/>
                <w:sz w:val="21"/>
                <w:highlight w:val="none"/>
              </w:rPr>
            </w:pPr>
          </w:p>
        </w:tc>
        <w:tc>
          <w:tcPr>
            <w:tcW w:w="1842" w:type="dxa"/>
            <w:vAlign w:val="top"/>
          </w:tcPr>
          <w:p w14:paraId="2DB76EA4">
            <w:pPr>
              <w:rPr>
                <w:rFonts w:ascii="Arial"/>
                <w:color w:val="auto"/>
                <w:sz w:val="21"/>
                <w:highlight w:val="none"/>
              </w:rPr>
            </w:pPr>
          </w:p>
        </w:tc>
        <w:tc>
          <w:tcPr>
            <w:tcW w:w="1397" w:type="dxa"/>
            <w:vAlign w:val="top"/>
          </w:tcPr>
          <w:p w14:paraId="22A5C9E6">
            <w:pPr>
              <w:rPr>
                <w:rFonts w:ascii="Arial"/>
                <w:color w:val="auto"/>
                <w:sz w:val="21"/>
                <w:highlight w:val="none"/>
              </w:rPr>
            </w:pPr>
          </w:p>
        </w:tc>
        <w:tc>
          <w:tcPr>
            <w:tcW w:w="1080" w:type="dxa"/>
            <w:vAlign w:val="top"/>
          </w:tcPr>
          <w:p w14:paraId="76F5C167">
            <w:pPr>
              <w:rPr>
                <w:rFonts w:ascii="Arial"/>
                <w:color w:val="auto"/>
                <w:sz w:val="21"/>
                <w:highlight w:val="none"/>
              </w:rPr>
            </w:pPr>
          </w:p>
        </w:tc>
        <w:tc>
          <w:tcPr>
            <w:tcW w:w="1108" w:type="dxa"/>
            <w:vAlign w:val="top"/>
          </w:tcPr>
          <w:p w14:paraId="6065FB98">
            <w:pPr>
              <w:rPr>
                <w:rFonts w:ascii="Arial"/>
                <w:color w:val="auto"/>
                <w:sz w:val="21"/>
                <w:highlight w:val="none"/>
              </w:rPr>
            </w:pPr>
          </w:p>
        </w:tc>
        <w:tc>
          <w:tcPr>
            <w:tcW w:w="1781" w:type="dxa"/>
            <w:vAlign w:val="top"/>
          </w:tcPr>
          <w:p w14:paraId="703803DA">
            <w:pPr>
              <w:rPr>
                <w:rFonts w:ascii="Arial"/>
                <w:color w:val="auto"/>
                <w:sz w:val="21"/>
                <w:highlight w:val="none"/>
              </w:rPr>
            </w:pPr>
          </w:p>
        </w:tc>
        <w:tc>
          <w:tcPr>
            <w:tcW w:w="1084" w:type="dxa"/>
            <w:vAlign w:val="top"/>
          </w:tcPr>
          <w:p w14:paraId="072545EC">
            <w:pPr>
              <w:rPr>
                <w:rFonts w:ascii="Arial"/>
                <w:color w:val="auto"/>
                <w:sz w:val="21"/>
                <w:highlight w:val="none"/>
              </w:rPr>
            </w:pPr>
          </w:p>
        </w:tc>
      </w:tr>
      <w:tr w14:paraId="216C1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68B83770">
            <w:pPr>
              <w:rPr>
                <w:rFonts w:ascii="Arial"/>
                <w:color w:val="auto"/>
                <w:sz w:val="21"/>
                <w:highlight w:val="none"/>
              </w:rPr>
            </w:pPr>
          </w:p>
        </w:tc>
        <w:tc>
          <w:tcPr>
            <w:tcW w:w="1842" w:type="dxa"/>
            <w:vAlign w:val="top"/>
          </w:tcPr>
          <w:p w14:paraId="5942FEFA">
            <w:pPr>
              <w:rPr>
                <w:rFonts w:ascii="Arial"/>
                <w:color w:val="auto"/>
                <w:sz w:val="21"/>
                <w:highlight w:val="none"/>
              </w:rPr>
            </w:pPr>
          </w:p>
        </w:tc>
        <w:tc>
          <w:tcPr>
            <w:tcW w:w="1397" w:type="dxa"/>
            <w:vAlign w:val="top"/>
          </w:tcPr>
          <w:p w14:paraId="136AE24B">
            <w:pPr>
              <w:rPr>
                <w:rFonts w:ascii="Arial"/>
                <w:color w:val="auto"/>
                <w:sz w:val="21"/>
                <w:highlight w:val="none"/>
              </w:rPr>
            </w:pPr>
          </w:p>
        </w:tc>
        <w:tc>
          <w:tcPr>
            <w:tcW w:w="1080" w:type="dxa"/>
            <w:vAlign w:val="top"/>
          </w:tcPr>
          <w:p w14:paraId="4471C713">
            <w:pPr>
              <w:rPr>
                <w:rFonts w:ascii="Arial"/>
                <w:color w:val="auto"/>
                <w:sz w:val="21"/>
                <w:highlight w:val="none"/>
              </w:rPr>
            </w:pPr>
          </w:p>
        </w:tc>
        <w:tc>
          <w:tcPr>
            <w:tcW w:w="1108" w:type="dxa"/>
            <w:vAlign w:val="top"/>
          </w:tcPr>
          <w:p w14:paraId="655D2971">
            <w:pPr>
              <w:rPr>
                <w:rFonts w:ascii="Arial"/>
                <w:color w:val="auto"/>
                <w:sz w:val="21"/>
                <w:highlight w:val="none"/>
              </w:rPr>
            </w:pPr>
          </w:p>
        </w:tc>
        <w:tc>
          <w:tcPr>
            <w:tcW w:w="1781" w:type="dxa"/>
            <w:vAlign w:val="top"/>
          </w:tcPr>
          <w:p w14:paraId="7DF7BFB3">
            <w:pPr>
              <w:rPr>
                <w:rFonts w:ascii="Arial"/>
                <w:color w:val="auto"/>
                <w:sz w:val="21"/>
                <w:highlight w:val="none"/>
              </w:rPr>
            </w:pPr>
          </w:p>
        </w:tc>
        <w:tc>
          <w:tcPr>
            <w:tcW w:w="1084" w:type="dxa"/>
            <w:vAlign w:val="top"/>
          </w:tcPr>
          <w:p w14:paraId="09408987">
            <w:pPr>
              <w:rPr>
                <w:rFonts w:ascii="Arial"/>
                <w:color w:val="auto"/>
                <w:sz w:val="21"/>
                <w:highlight w:val="none"/>
              </w:rPr>
            </w:pPr>
          </w:p>
        </w:tc>
      </w:tr>
      <w:tr w14:paraId="3518A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6C99B8C5">
            <w:pPr>
              <w:rPr>
                <w:rFonts w:ascii="Arial"/>
                <w:color w:val="auto"/>
                <w:sz w:val="21"/>
                <w:highlight w:val="none"/>
              </w:rPr>
            </w:pPr>
          </w:p>
        </w:tc>
        <w:tc>
          <w:tcPr>
            <w:tcW w:w="1842" w:type="dxa"/>
            <w:vAlign w:val="top"/>
          </w:tcPr>
          <w:p w14:paraId="2CD9091D">
            <w:pPr>
              <w:rPr>
                <w:rFonts w:ascii="Arial"/>
                <w:color w:val="auto"/>
                <w:sz w:val="21"/>
                <w:highlight w:val="none"/>
              </w:rPr>
            </w:pPr>
          </w:p>
        </w:tc>
        <w:tc>
          <w:tcPr>
            <w:tcW w:w="1397" w:type="dxa"/>
            <w:vAlign w:val="top"/>
          </w:tcPr>
          <w:p w14:paraId="4917F1BB">
            <w:pPr>
              <w:rPr>
                <w:rFonts w:ascii="Arial"/>
                <w:color w:val="auto"/>
                <w:sz w:val="21"/>
                <w:highlight w:val="none"/>
              </w:rPr>
            </w:pPr>
          </w:p>
        </w:tc>
        <w:tc>
          <w:tcPr>
            <w:tcW w:w="1080" w:type="dxa"/>
            <w:vAlign w:val="top"/>
          </w:tcPr>
          <w:p w14:paraId="7AD22FEF">
            <w:pPr>
              <w:rPr>
                <w:rFonts w:ascii="Arial"/>
                <w:color w:val="auto"/>
                <w:sz w:val="21"/>
                <w:highlight w:val="none"/>
              </w:rPr>
            </w:pPr>
          </w:p>
        </w:tc>
        <w:tc>
          <w:tcPr>
            <w:tcW w:w="1108" w:type="dxa"/>
            <w:vAlign w:val="top"/>
          </w:tcPr>
          <w:p w14:paraId="327912A9">
            <w:pPr>
              <w:rPr>
                <w:rFonts w:ascii="Arial"/>
                <w:color w:val="auto"/>
                <w:sz w:val="21"/>
                <w:highlight w:val="none"/>
              </w:rPr>
            </w:pPr>
          </w:p>
        </w:tc>
        <w:tc>
          <w:tcPr>
            <w:tcW w:w="1781" w:type="dxa"/>
            <w:vAlign w:val="top"/>
          </w:tcPr>
          <w:p w14:paraId="7F6B0170">
            <w:pPr>
              <w:rPr>
                <w:rFonts w:ascii="Arial"/>
                <w:color w:val="auto"/>
                <w:sz w:val="21"/>
                <w:highlight w:val="none"/>
              </w:rPr>
            </w:pPr>
          </w:p>
        </w:tc>
        <w:tc>
          <w:tcPr>
            <w:tcW w:w="1084" w:type="dxa"/>
            <w:vAlign w:val="top"/>
          </w:tcPr>
          <w:p w14:paraId="31867E7E">
            <w:pPr>
              <w:rPr>
                <w:rFonts w:ascii="Arial"/>
                <w:color w:val="auto"/>
                <w:sz w:val="21"/>
                <w:highlight w:val="none"/>
              </w:rPr>
            </w:pPr>
          </w:p>
        </w:tc>
      </w:tr>
      <w:tr w14:paraId="297EA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547" w:type="dxa"/>
            <w:vAlign w:val="top"/>
          </w:tcPr>
          <w:p w14:paraId="29113340">
            <w:pPr>
              <w:rPr>
                <w:rFonts w:ascii="Arial"/>
                <w:color w:val="auto"/>
                <w:sz w:val="21"/>
                <w:highlight w:val="none"/>
              </w:rPr>
            </w:pPr>
          </w:p>
        </w:tc>
        <w:tc>
          <w:tcPr>
            <w:tcW w:w="1842" w:type="dxa"/>
            <w:vAlign w:val="top"/>
          </w:tcPr>
          <w:p w14:paraId="7B3FBFBA">
            <w:pPr>
              <w:rPr>
                <w:rFonts w:ascii="Arial"/>
                <w:color w:val="auto"/>
                <w:sz w:val="21"/>
                <w:highlight w:val="none"/>
              </w:rPr>
            </w:pPr>
          </w:p>
        </w:tc>
        <w:tc>
          <w:tcPr>
            <w:tcW w:w="1397" w:type="dxa"/>
            <w:vAlign w:val="top"/>
          </w:tcPr>
          <w:p w14:paraId="28FFD400">
            <w:pPr>
              <w:rPr>
                <w:rFonts w:ascii="Arial"/>
                <w:color w:val="auto"/>
                <w:sz w:val="21"/>
                <w:highlight w:val="none"/>
              </w:rPr>
            </w:pPr>
          </w:p>
        </w:tc>
        <w:tc>
          <w:tcPr>
            <w:tcW w:w="1080" w:type="dxa"/>
            <w:vAlign w:val="top"/>
          </w:tcPr>
          <w:p w14:paraId="754D2E62">
            <w:pPr>
              <w:rPr>
                <w:rFonts w:ascii="Arial"/>
                <w:color w:val="auto"/>
                <w:sz w:val="21"/>
                <w:highlight w:val="none"/>
              </w:rPr>
            </w:pPr>
          </w:p>
        </w:tc>
        <w:tc>
          <w:tcPr>
            <w:tcW w:w="1108" w:type="dxa"/>
            <w:vAlign w:val="top"/>
          </w:tcPr>
          <w:p w14:paraId="123B16ED">
            <w:pPr>
              <w:rPr>
                <w:rFonts w:ascii="Arial"/>
                <w:color w:val="auto"/>
                <w:sz w:val="21"/>
                <w:highlight w:val="none"/>
              </w:rPr>
            </w:pPr>
          </w:p>
        </w:tc>
        <w:tc>
          <w:tcPr>
            <w:tcW w:w="1781" w:type="dxa"/>
            <w:vAlign w:val="top"/>
          </w:tcPr>
          <w:p w14:paraId="218D1BFC">
            <w:pPr>
              <w:rPr>
                <w:rFonts w:ascii="Arial"/>
                <w:color w:val="auto"/>
                <w:sz w:val="21"/>
                <w:highlight w:val="none"/>
              </w:rPr>
            </w:pPr>
          </w:p>
        </w:tc>
        <w:tc>
          <w:tcPr>
            <w:tcW w:w="1084" w:type="dxa"/>
            <w:vAlign w:val="top"/>
          </w:tcPr>
          <w:p w14:paraId="1A12D22E">
            <w:pPr>
              <w:rPr>
                <w:rFonts w:ascii="Arial"/>
                <w:color w:val="auto"/>
                <w:sz w:val="21"/>
                <w:highlight w:val="none"/>
              </w:rPr>
            </w:pPr>
          </w:p>
        </w:tc>
      </w:tr>
    </w:tbl>
    <w:p w14:paraId="44115C3D">
      <w:pPr>
        <w:pStyle w:val="3"/>
        <w:rPr>
          <w:color w:val="auto"/>
          <w:highlight w:val="none"/>
        </w:rPr>
      </w:pPr>
    </w:p>
    <w:p w14:paraId="26096FF9">
      <w:pPr>
        <w:rPr>
          <w:color w:val="auto"/>
          <w:highlight w:val="none"/>
        </w:rPr>
        <w:sectPr>
          <w:footerReference r:id="rId235" w:type="default"/>
          <w:pgSz w:w="11905" w:h="16839"/>
          <w:pgMar w:top="400" w:right="1527" w:bottom="1004" w:left="1531" w:header="0" w:footer="828" w:gutter="0"/>
          <w:pgNumType w:fmt="decimal"/>
          <w:cols w:space="720" w:num="1"/>
        </w:sectPr>
      </w:pPr>
    </w:p>
    <w:p w14:paraId="4A87E344">
      <w:pPr>
        <w:pStyle w:val="3"/>
        <w:spacing w:line="267" w:lineRule="auto"/>
        <w:rPr>
          <w:color w:val="auto"/>
          <w:highlight w:val="none"/>
        </w:rPr>
      </w:pPr>
    </w:p>
    <w:p w14:paraId="15B2A1AD">
      <w:pPr>
        <w:pStyle w:val="3"/>
        <w:spacing w:line="268" w:lineRule="auto"/>
        <w:rPr>
          <w:color w:val="auto"/>
          <w:highlight w:val="none"/>
        </w:rPr>
      </w:pPr>
    </w:p>
    <w:p w14:paraId="33D2102C">
      <w:pPr>
        <w:pStyle w:val="3"/>
        <w:spacing w:line="268" w:lineRule="auto"/>
        <w:rPr>
          <w:color w:val="auto"/>
          <w:highlight w:val="none"/>
        </w:rPr>
      </w:pPr>
    </w:p>
    <w:p w14:paraId="1063FD66">
      <w:pPr>
        <w:pStyle w:val="3"/>
        <w:spacing w:line="268" w:lineRule="auto"/>
        <w:rPr>
          <w:color w:val="auto"/>
          <w:highlight w:val="none"/>
        </w:rPr>
      </w:pPr>
    </w:p>
    <w:p w14:paraId="4DD1EC58">
      <w:pPr>
        <w:spacing w:before="78" w:line="218" w:lineRule="auto"/>
        <w:ind w:left="2179"/>
        <w:rPr>
          <w:rFonts w:ascii="黑体" w:hAnsi="黑体" w:eastAsia="黑体" w:cs="黑体"/>
          <w:color w:val="auto"/>
          <w:sz w:val="24"/>
          <w:szCs w:val="24"/>
          <w:highlight w:val="none"/>
        </w:rPr>
      </w:pPr>
      <w:bookmarkStart w:id="1350" w:name="bookmark323"/>
      <w:bookmarkEnd w:id="1350"/>
      <w:r>
        <w:rPr>
          <w:rFonts w:ascii="Times New Roman" w:hAnsi="Times New Roman" w:eastAsia="Times New Roman" w:cs="Times New Roman"/>
          <w:color w:val="auto"/>
          <w:spacing w:val="-1"/>
          <w:sz w:val="24"/>
          <w:szCs w:val="24"/>
          <w:highlight w:val="none"/>
        </w:rPr>
        <w:t>4-2</w:t>
      </w:r>
      <w:r>
        <w:rPr>
          <w:rFonts w:ascii="Times New Roman" w:hAnsi="Times New Roman" w:eastAsia="Times New Roman" w:cs="Times New Roman"/>
          <w:color w:val="auto"/>
          <w:spacing w:val="18"/>
          <w:w w:val="101"/>
          <w:sz w:val="24"/>
          <w:szCs w:val="24"/>
          <w:highlight w:val="none"/>
        </w:rPr>
        <w:t xml:space="preserve"> </w:t>
      </w:r>
      <w:r>
        <w:rPr>
          <w:rFonts w:ascii="黑体" w:hAnsi="黑体" w:eastAsia="黑体" w:cs="黑体"/>
          <w:color w:val="auto"/>
          <w:spacing w:val="-1"/>
          <w:sz w:val="24"/>
          <w:szCs w:val="24"/>
          <w:highlight w:val="none"/>
        </w:rPr>
        <w:t>正在施工的和新承接的项目情况表</w:t>
      </w:r>
    </w:p>
    <w:p w14:paraId="6C0F2D16">
      <w:pPr>
        <w:spacing w:before="199"/>
        <w:rPr>
          <w:color w:val="auto"/>
          <w:highlight w:val="none"/>
        </w:rPr>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0"/>
        <w:gridCol w:w="5941"/>
      </w:tblGrid>
      <w:tr w14:paraId="7FB66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41A6AF23">
            <w:pPr>
              <w:pStyle w:val="11"/>
              <w:spacing w:before="208" w:line="221" w:lineRule="auto"/>
              <w:ind w:left="775"/>
              <w:rPr>
                <w:color w:val="auto"/>
                <w:highlight w:val="none"/>
              </w:rPr>
            </w:pPr>
            <w:r>
              <w:rPr>
                <w:color w:val="auto"/>
                <w:spacing w:val="-2"/>
                <w:highlight w:val="none"/>
              </w:rPr>
              <w:t>项目名称</w:t>
            </w:r>
          </w:p>
        </w:tc>
        <w:tc>
          <w:tcPr>
            <w:tcW w:w="5941" w:type="dxa"/>
            <w:vAlign w:val="top"/>
          </w:tcPr>
          <w:p w14:paraId="0896F2B8">
            <w:pPr>
              <w:rPr>
                <w:rFonts w:ascii="Arial"/>
                <w:color w:val="auto"/>
                <w:sz w:val="21"/>
                <w:highlight w:val="none"/>
              </w:rPr>
            </w:pPr>
          </w:p>
        </w:tc>
      </w:tr>
      <w:tr w14:paraId="28B81A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0024CC50">
            <w:pPr>
              <w:pStyle w:val="11"/>
              <w:spacing w:before="207" w:line="221" w:lineRule="auto"/>
              <w:ind w:left="669"/>
              <w:rPr>
                <w:color w:val="auto"/>
                <w:highlight w:val="none"/>
              </w:rPr>
            </w:pPr>
            <w:r>
              <w:rPr>
                <w:color w:val="auto"/>
                <w:spacing w:val="-1"/>
                <w:highlight w:val="none"/>
              </w:rPr>
              <w:t>项目所在地</w:t>
            </w:r>
          </w:p>
        </w:tc>
        <w:tc>
          <w:tcPr>
            <w:tcW w:w="5941" w:type="dxa"/>
            <w:vAlign w:val="top"/>
          </w:tcPr>
          <w:p w14:paraId="335F4A81">
            <w:pPr>
              <w:rPr>
                <w:rFonts w:ascii="Arial"/>
                <w:color w:val="auto"/>
                <w:sz w:val="21"/>
                <w:highlight w:val="none"/>
              </w:rPr>
            </w:pPr>
          </w:p>
        </w:tc>
      </w:tr>
      <w:tr w14:paraId="71A75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5F7FAC32">
            <w:pPr>
              <w:pStyle w:val="11"/>
              <w:spacing w:before="208" w:line="221" w:lineRule="auto"/>
              <w:ind w:left="669"/>
              <w:rPr>
                <w:color w:val="auto"/>
                <w:highlight w:val="none"/>
              </w:rPr>
            </w:pPr>
            <w:r>
              <w:rPr>
                <w:color w:val="auto"/>
                <w:spacing w:val="-1"/>
                <w:highlight w:val="none"/>
              </w:rPr>
              <w:t>发包人名称</w:t>
            </w:r>
          </w:p>
        </w:tc>
        <w:tc>
          <w:tcPr>
            <w:tcW w:w="5941" w:type="dxa"/>
            <w:vAlign w:val="top"/>
          </w:tcPr>
          <w:p w14:paraId="0752D945">
            <w:pPr>
              <w:rPr>
                <w:rFonts w:ascii="Arial"/>
                <w:color w:val="auto"/>
                <w:sz w:val="21"/>
                <w:highlight w:val="none"/>
              </w:rPr>
            </w:pPr>
          </w:p>
        </w:tc>
      </w:tr>
      <w:tr w14:paraId="32F18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092358E5">
            <w:pPr>
              <w:pStyle w:val="11"/>
              <w:spacing w:before="209" w:line="221" w:lineRule="auto"/>
              <w:ind w:left="669"/>
              <w:rPr>
                <w:color w:val="auto"/>
                <w:highlight w:val="none"/>
              </w:rPr>
            </w:pPr>
            <w:r>
              <w:rPr>
                <w:color w:val="auto"/>
                <w:spacing w:val="-1"/>
                <w:highlight w:val="none"/>
              </w:rPr>
              <w:t>发包人地址</w:t>
            </w:r>
          </w:p>
        </w:tc>
        <w:tc>
          <w:tcPr>
            <w:tcW w:w="5941" w:type="dxa"/>
            <w:vAlign w:val="top"/>
          </w:tcPr>
          <w:p w14:paraId="47188C60">
            <w:pPr>
              <w:rPr>
                <w:rFonts w:ascii="Arial"/>
                <w:color w:val="auto"/>
                <w:sz w:val="21"/>
                <w:highlight w:val="none"/>
              </w:rPr>
            </w:pPr>
          </w:p>
        </w:tc>
      </w:tr>
      <w:tr w14:paraId="5763B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64006EF5">
            <w:pPr>
              <w:pStyle w:val="11"/>
              <w:spacing w:before="208" w:line="221" w:lineRule="auto"/>
              <w:ind w:left="669"/>
              <w:rPr>
                <w:color w:val="auto"/>
                <w:highlight w:val="none"/>
              </w:rPr>
            </w:pPr>
            <w:r>
              <w:rPr>
                <w:color w:val="auto"/>
                <w:spacing w:val="-1"/>
                <w:highlight w:val="none"/>
              </w:rPr>
              <w:t>发包人电话</w:t>
            </w:r>
          </w:p>
        </w:tc>
        <w:tc>
          <w:tcPr>
            <w:tcW w:w="5941" w:type="dxa"/>
            <w:vAlign w:val="top"/>
          </w:tcPr>
          <w:p w14:paraId="7C962C20">
            <w:pPr>
              <w:rPr>
                <w:rFonts w:ascii="Arial"/>
                <w:color w:val="auto"/>
                <w:sz w:val="21"/>
                <w:highlight w:val="none"/>
              </w:rPr>
            </w:pPr>
          </w:p>
        </w:tc>
      </w:tr>
      <w:tr w14:paraId="058FD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2FFA8F1F">
            <w:pPr>
              <w:pStyle w:val="11"/>
              <w:spacing w:before="209" w:line="219" w:lineRule="auto"/>
              <w:ind w:left="354"/>
              <w:rPr>
                <w:color w:val="auto"/>
                <w:highlight w:val="none"/>
              </w:rPr>
            </w:pPr>
            <w:r>
              <w:rPr>
                <w:color w:val="auto"/>
                <w:spacing w:val="-2"/>
                <w:highlight w:val="none"/>
              </w:rPr>
              <w:t>签约合同价（元）</w:t>
            </w:r>
          </w:p>
        </w:tc>
        <w:tc>
          <w:tcPr>
            <w:tcW w:w="5941" w:type="dxa"/>
            <w:vAlign w:val="top"/>
          </w:tcPr>
          <w:p w14:paraId="43CCC45A">
            <w:pPr>
              <w:rPr>
                <w:rFonts w:ascii="Arial"/>
                <w:color w:val="auto"/>
                <w:sz w:val="21"/>
                <w:highlight w:val="none"/>
              </w:rPr>
            </w:pPr>
          </w:p>
        </w:tc>
      </w:tr>
      <w:tr w14:paraId="2F9F2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17652EF2">
            <w:pPr>
              <w:pStyle w:val="11"/>
              <w:spacing w:before="210" w:line="221" w:lineRule="auto"/>
              <w:ind w:left="772"/>
              <w:rPr>
                <w:color w:val="auto"/>
                <w:highlight w:val="none"/>
              </w:rPr>
            </w:pPr>
            <w:r>
              <w:rPr>
                <w:color w:val="auto"/>
                <w:spacing w:val="-1"/>
                <w:highlight w:val="none"/>
              </w:rPr>
              <w:t>开工日期</w:t>
            </w:r>
          </w:p>
        </w:tc>
        <w:tc>
          <w:tcPr>
            <w:tcW w:w="5941" w:type="dxa"/>
            <w:vAlign w:val="top"/>
          </w:tcPr>
          <w:p w14:paraId="6DB0AA35">
            <w:pPr>
              <w:rPr>
                <w:rFonts w:ascii="Arial"/>
                <w:color w:val="auto"/>
                <w:sz w:val="21"/>
                <w:highlight w:val="none"/>
              </w:rPr>
            </w:pPr>
          </w:p>
        </w:tc>
      </w:tr>
      <w:tr w14:paraId="27FA6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53EDD603">
            <w:pPr>
              <w:pStyle w:val="11"/>
              <w:spacing w:before="204" w:line="221" w:lineRule="auto"/>
              <w:ind w:left="565"/>
              <w:rPr>
                <w:color w:val="auto"/>
                <w:highlight w:val="none"/>
              </w:rPr>
            </w:pPr>
            <w:r>
              <w:rPr>
                <w:color w:val="auto"/>
                <w:spacing w:val="-1"/>
                <w:highlight w:val="none"/>
              </w:rPr>
              <w:t>计划竣工日期</w:t>
            </w:r>
          </w:p>
        </w:tc>
        <w:tc>
          <w:tcPr>
            <w:tcW w:w="5941" w:type="dxa"/>
            <w:vAlign w:val="top"/>
          </w:tcPr>
          <w:p w14:paraId="16318866">
            <w:pPr>
              <w:rPr>
                <w:rFonts w:ascii="Arial"/>
                <w:color w:val="auto"/>
                <w:sz w:val="21"/>
                <w:highlight w:val="none"/>
              </w:rPr>
            </w:pPr>
          </w:p>
        </w:tc>
      </w:tr>
      <w:tr w14:paraId="2443B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28A624BC">
            <w:pPr>
              <w:pStyle w:val="11"/>
              <w:spacing w:before="204" w:line="221" w:lineRule="auto"/>
              <w:ind w:left="666"/>
              <w:rPr>
                <w:color w:val="auto"/>
                <w:highlight w:val="none"/>
              </w:rPr>
            </w:pPr>
            <w:r>
              <w:rPr>
                <w:color w:val="auto"/>
                <w:spacing w:val="-1"/>
                <w:highlight w:val="none"/>
              </w:rPr>
              <w:t>承担的工作</w:t>
            </w:r>
          </w:p>
        </w:tc>
        <w:tc>
          <w:tcPr>
            <w:tcW w:w="5941" w:type="dxa"/>
            <w:vAlign w:val="top"/>
          </w:tcPr>
          <w:p w14:paraId="139D6BA4">
            <w:pPr>
              <w:rPr>
                <w:rFonts w:ascii="Arial"/>
                <w:color w:val="auto"/>
                <w:sz w:val="21"/>
                <w:highlight w:val="none"/>
              </w:rPr>
            </w:pPr>
          </w:p>
        </w:tc>
      </w:tr>
      <w:tr w14:paraId="2AA20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2370" w:type="dxa"/>
            <w:vAlign w:val="top"/>
          </w:tcPr>
          <w:p w14:paraId="67C9667B">
            <w:pPr>
              <w:pStyle w:val="11"/>
              <w:spacing w:before="205" w:line="221" w:lineRule="auto"/>
              <w:ind w:left="774"/>
              <w:rPr>
                <w:color w:val="auto"/>
                <w:highlight w:val="none"/>
              </w:rPr>
            </w:pPr>
            <w:r>
              <w:rPr>
                <w:color w:val="auto"/>
                <w:spacing w:val="-2"/>
                <w:highlight w:val="none"/>
              </w:rPr>
              <w:t>工程质量</w:t>
            </w:r>
          </w:p>
        </w:tc>
        <w:tc>
          <w:tcPr>
            <w:tcW w:w="5941" w:type="dxa"/>
            <w:vAlign w:val="top"/>
          </w:tcPr>
          <w:p w14:paraId="01C6E05A">
            <w:pPr>
              <w:rPr>
                <w:rFonts w:ascii="Arial"/>
                <w:color w:val="auto"/>
                <w:sz w:val="21"/>
                <w:highlight w:val="none"/>
              </w:rPr>
            </w:pPr>
          </w:p>
        </w:tc>
      </w:tr>
      <w:tr w14:paraId="1321D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098AC337">
            <w:pPr>
              <w:pStyle w:val="11"/>
              <w:spacing w:before="206" w:line="221" w:lineRule="auto"/>
              <w:ind w:left="775"/>
              <w:rPr>
                <w:color w:val="auto"/>
                <w:highlight w:val="none"/>
              </w:rPr>
            </w:pPr>
            <w:r>
              <w:rPr>
                <w:color w:val="auto"/>
                <w:spacing w:val="-2"/>
                <w:highlight w:val="none"/>
              </w:rPr>
              <w:t>项目经理</w:t>
            </w:r>
          </w:p>
        </w:tc>
        <w:tc>
          <w:tcPr>
            <w:tcW w:w="5941" w:type="dxa"/>
            <w:vAlign w:val="top"/>
          </w:tcPr>
          <w:p w14:paraId="4348923C">
            <w:pPr>
              <w:rPr>
                <w:rFonts w:ascii="Arial"/>
                <w:color w:val="auto"/>
                <w:sz w:val="21"/>
                <w:highlight w:val="none"/>
              </w:rPr>
            </w:pPr>
          </w:p>
        </w:tc>
      </w:tr>
      <w:tr w14:paraId="24223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04125D69">
            <w:pPr>
              <w:pStyle w:val="11"/>
              <w:spacing w:before="206" w:line="221" w:lineRule="auto"/>
              <w:ind w:left="667"/>
              <w:rPr>
                <w:color w:val="auto"/>
                <w:highlight w:val="none"/>
              </w:rPr>
            </w:pPr>
            <w:r>
              <w:rPr>
                <w:color w:val="auto"/>
                <w:spacing w:val="-1"/>
                <w:highlight w:val="none"/>
              </w:rPr>
              <w:t>技术负责人</w:t>
            </w:r>
          </w:p>
        </w:tc>
        <w:tc>
          <w:tcPr>
            <w:tcW w:w="5941" w:type="dxa"/>
            <w:vAlign w:val="top"/>
          </w:tcPr>
          <w:p w14:paraId="2EC0A329">
            <w:pPr>
              <w:rPr>
                <w:rFonts w:ascii="Arial"/>
                <w:color w:val="auto"/>
                <w:sz w:val="21"/>
                <w:highlight w:val="none"/>
              </w:rPr>
            </w:pPr>
          </w:p>
        </w:tc>
      </w:tr>
      <w:tr w14:paraId="2C20E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7F0A49F8">
            <w:pPr>
              <w:pStyle w:val="11"/>
              <w:spacing w:before="206" w:line="221" w:lineRule="auto"/>
              <w:ind w:left="254"/>
              <w:rPr>
                <w:color w:val="auto"/>
                <w:highlight w:val="none"/>
              </w:rPr>
            </w:pPr>
            <w:r>
              <w:rPr>
                <w:color w:val="auto"/>
                <w:spacing w:val="-1"/>
                <w:highlight w:val="none"/>
              </w:rPr>
              <w:t>总监理工程师及电话</w:t>
            </w:r>
          </w:p>
        </w:tc>
        <w:tc>
          <w:tcPr>
            <w:tcW w:w="5941" w:type="dxa"/>
            <w:vAlign w:val="top"/>
          </w:tcPr>
          <w:p w14:paraId="61266B9A">
            <w:pPr>
              <w:rPr>
                <w:rFonts w:ascii="Arial"/>
                <w:color w:val="auto"/>
                <w:sz w:val="21"/>
                <w:highlight w:val="none"/>
              </w:rPr>
            </w:pPr>
          </w:p>
        </w:tc>
      </w:tr>
      <w:tr w14:paraId="7DC69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8" w:hRule="atLeast"/>
        </w:trPr>
        <w:tc>
          <w:tcPr>
            <w:tcW w:w="2370" w:type="dxa"/>
            <w:vAlign w:val="top"/>
          </w:tcPr>
          <w:p w14:paraId="4D8E9667">
            <w:pPr>
              <w:spacing w:line="274" w:lineRule="auto"/>
              <w:rPr>
                <w:rFonts w:ascii="Arial"/>
                <w:color w:val="auto"/>
                <w:sz w:val="21"/>
                <w:highlight w:val="none"/>
              </w:rPr>
            </w:pPr>
          </w:p>
          <w:p w14:paraId="5DEF2C7B">
            <w:pPr>
              <w:spacing w:line="274" w:lineRule="auto"/>
              <w:rPr>
                <w:rFonts w:ascii="Arial"/>
                <w:color w:val="auto"/>
                <w:sz w:val="21"/>
                <w:highlight w:val="none"/>
              </w:rPr>
            </w:pPr>
          </w:p>
          <w:p w14:paraId="55FCA949">
            <w:pPr>
              <w:spacing w:line="274" w:lineRule="auto"/>
              <w:rPr>
                <w:rFonts w:ascii="Arial"/>
                <w:color w:val="auto"/>
                <w:sz w:val="21"/>
                <w:highlight w:val="none"/>
              </w:rPr>
            </w:pPr>
          </w:p>
          <w:p w14:paraId="1D0C3007">
            <w:pPr>
              <w:spacing w:line="275" w:lineRule="auto"/>
              <w:rPr>
                <w:rFonts w:ascii="Arial"/>
                <w:color w:val="auto"/>
                <w:sz w:val="21"/>
                <w:highlight w:val="none"/>
              </w:rPr>
            </w:pPr>
          </w:p>
          <w:p w14:paraId="2669ECAF">
            <w:pPr>
              <w:pStyle w:val="11"/>
              <w:spacing w:before="69" w:line="221" w:lineRule="auto"/>
              <w:ind w:left="775"/>
              <w:rPr>
                <w:color w:val="auto"/>
                <w:highlight w:val="none"/>
              </w:rPr>
            </w:pPr>
            <w:r>
              <w:rPr>
                <w:color w:val="auto"/>
                <w:spacing w:val="-2"/>
                <w:highlight w:val="none"/>
              </w:rPr>
              <w:t>项目描述</w:t>
            </w:r>
          </w:p>
        </w:tc>
        <w:tc>
          <w:tcPr>
            <w:tcW w:w="5941" w:type="dxa"/>
            <w:vAlign w:val="top"/>
          </w:tcPr>
          <w:p w14:paraId="39BB2667">
            <w:pPr>
              <w:rPr>
                <w:rFonts w:ascii="Arial"/>
                <w:color w:val="auto"/>
                <w:sz w:val="21"/>
                <w:highlight w:val="none"/>
              </w:rPr>
            </w:pPr>
          </w:p>
        </w:tc>
      </w:tr>
      <w:tr w14:paraId="33584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10839BCE">
            <w:pPr>
              <w:pStyle w:val="11"/>
              <w:spacing w:before="208" w:line="222" w:lineRule="auto"/>
              <w:ind w:left="985"/>
              <w:rPr>
                <w:color w:val="auto"/>
                <w:highlight w:val="none"/>
              </w:rPr>
            </w:pPr>
            <w:r>
              <w:rPr>
                <w:color w:val="auto"/>
                <w:spacing w:val="-3"/>
                <w:highlight w:val="none"/>
              </w:rPr>
              <w:t>备注</w:t>
            </w:r>
          </w:p>
        </w:tc>
        <w:tc>
          <w:tcPr>
            <w:tcW w:w="5941" w:type="dxa"/>
            <w:vAlign w:val="top"/>
          </w:tcPr>
          <w:p w14:paraId="0F52EA49">
            <w:pPr>
              <w:rPr>
                <w:rFonts w:ascii="Arial"/>
                <w:color w:val="auto"/>
                <w:sz w:val="21"/>
                <w:highlight w:val="none"/>
              </w:rPr>
            </w:pPr>
          </w:p>
        </w:tc>
      </w:tr>
    </w:tbl>
    <w:p w14:paraId="6C2287BE">
      <w:pPr>
        <w:spacing w:before="29" w:line="220" w:lineRule="auto"/>
        <w:ind w:left="33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备注：类似项目含义和近年具体要求见投标人须</w:t>
      </w:r>
      <w:r>
        <w:rPr>
          <w:rFonts w:ascii="宋体" w:hAnsi="宋体" w:eastAsia="宋体" w:cs="宋体"/>
          <w:color w:val="auto"/>
          <w:spacing w:val="-2"/>
          <w:sz w:val="21"/>
          <w:szCs w:val="21"/>
          <w:highlight w:val="none"/>
        </w:rPr>
        <w:t>知前附表。</w:t>
      </w:r>
    </w:p>
    <w:p w14:paraId="66825306">
      <w:pPr>
        <w:spacing w:line="220" w:lineRule="auto"/>
        <w:rPr>
          <w:rFonts w:ascii="宋体" w:hAnsi="宋体" w:eastAsia="宋体" w:cs="宋体"/>
          <w:color w:val="auto"/>
          <w:sz w:val="21"/>
          <w:szCs w:val="21"/>
          <w:highlight w:val="none"/>
        </w:rPr>
        <w:sectPr>
          <w:footerReference r:id="rId236" w:type="default"/>
          <w:pgSz w:w="11905" w:h="16839"/>
          <w:pgMar w:top="400" w:right="1785" w:bottom="1004" w:left="1785" w:header="0" w:footer="828" w:gutter="0"/>
          <w:pgNumType w:fmt="decimal"/>
          <w:cols w:space="720" w:num="1"/>
        </w:sectPr>
      </w:pPr>
    </w:p>
    <w:p w14:paraId="1AF4B30B">
      <w:pPr>
        <w:pStyle w:val="3"/>
        <w:spacing w:line="267" w:lineRule="auto"/>
        <w:rPr>
          <w:color w:val="auto"/>
          <w:highlight w:val="none"/>
        </w:rPr>
      </w:pPr>
    </w:p>
    <w:p w14:paraId="329CFDD7">
      <w:pPr>
        <w:pStyle w:val="3"/>
        <w:spacing w:line="267" w:lineRule="auto"/>
        <w:rPr>
          <w:color w:val="auto"/>
          <w:highlight w:val="none"/>
        </w:rPr>
      </w:pPr>
    </w:p>
    <w:p w14:paraId="08F99287">
      <w:pPr>
        <w:pStyle w:val="3"/>
        <w:spacing w:line="268" w:lineRule="auto"/>
        <w:rPr>
          <w:color w:val="auto"/>
          <w:highlight w:val="none"/>
        </w:rPr>
      </w:pPr>
    </w:p>
    <w:p w14:paraId="63396189">
      <w:pPr>
        <w:pStyle w:val="3"/>
        <w:spacing w:line="268" w:lineRule="auto"/>
        <w:rPr>
          <w:color w:val="auto"/>
          <w:highlight w:val="none"/>
        </w:rPr>
      </w:pPr>
    </w:p>
    <w:p w14:paraId="248B4436">
      <w:pPr>
        <w:spacing w:before="78" w:line="220" w:lineRule="auto"/>
        <w:ind w:left="3113"/>
        <w:rPr>
          <w:rFonts w:ascii="黑体" w:hAnsi="黑体" w:eastAsia="黑体" w:cs="黑体"/>
          <w:color w:val="auto"/>
          <w:sz w:val="24"/>
          <w:szCs w:val="24"/>
          <w:highlight w:val="none"/>
        </w:rPr>
      </w:pPr>
      <w:bookmarkStart w:id="1351" w:name="bookmark324"/>
      <w:bookmarkEnd w:id="1351"/>
      <w:r>
        <w:rPr>
          <w:rFonts w:ascii="黑体" w:hAnsi="黑体" w:eastAsia="黑体" w:cs="黑体"/>
          <w:color w:val="auto"/>
          <w:spacing w:val="-4"/>
          <w:sz w:val="24"/>
          <w:szCs w:val="24"/>
          <w:highlight w:val="none"/>
        </w:rPr>
        <w:t>（五）企业信誉情况</w:t>
      </w:r>
    </w:p>
    <w:p w14:paraId="1FE2D332">
      <w:pPr>
        <w:pStyle w:val="3"/>
        <w:spacing w:line="344" w:lineRule="auto"/>
        <w:rPr>
          <w:color w:val="auto"/>
          <w:highlight w:val="none"/>
        </w:rPr>
      </w:pPr>
    </w:p>
    <w:p w14:paraId="6625F95E">
      <w:pPr>
        <w:spacing w:before="78" w:line="587" w:lineRule="exact"/>
        <w:ind w:left="3272"/>
        <w:rPr>
          <w:rFonts w:ascii="黑体" w:hAnsi="黑体" w:eastAsia="黑体" w:cs="黑体"/>
          <w:color w:val="auto"/>
          <w:sz w:val="24"/>
          <w:szCs w:val="24"/>
          <w:highlight w:val="none"/>
        </w:rPr>
      </w:pPr>
      <w:r>
        <w:rPr>
          <w:rFonts w:ascii="Times New Roman" w:hAnsi="Times New Roman" w:eastAsia="Times New Roman" w:cs="Times New Roman"/>
          <w:color w:val="auto"/>
          <w:spacing w:val="-6"/>
          <w:position w:val="26"/>
          <w:sz w:val="24"/>
          <w:szCs w:val="24"/>
          <w:highlight w:val="none"/>
        </w:rPr>
        <w:t>5-</w:t>
      </w:r>
      <w:r>
        <w:rPr>
          <w:rFonts w:ascii="Times New Roman" w:hAnsi="Times New Roman" w:eastAsia="Times New Roman" w:cs="Times New Roman"/>
          <w:color w:val="auto"/>
          <w:spacing w:val="-22"/>
          <w:position w:val="26"/>
          <w:sz w:val="24"/>
          <w:szCs w:val="24"/>
          <w:highlight w:val="none"/>
        </w:rPr>
        <w:t xml:space="preserve"> </w:t>
      </w:r>
      <w:r>
        <w:rPr>
          <w:rFonts w:ascii="Times New Roman" w:hAnsi="Times New Roman" w:eastAsia="Times New Roman" w:cs="Times New Roman"/>
          <w:color w:val="auto"/>
          <w:spacing w:val="-6"/>
          <w:position w:val="26"/>
          <w:sz w:val="24"/>
          <w:szCs w:val="24"/>
          <w:highlight w:val="none"/>
        </w:rPr>
        <w:t xml:space="preserve">1 </w:t>
      </w:r>
      <w:r>
        <w:rPr>
          <w:rFonts w:ascii="黑体" w:hAnsi="黑体" w:eastAsia="黑体" w:cs="黑体"/>
          <w:color w:val="auto"/>
          <w:spacing w:val="-6"/>
          <w:position w:val="26"/>
          <w:sz w:val="24"/>
          <w:szCs w:val="24"/>
          <w:highlight w:val="none"/>
        </w:rPr>
        <w:t>企业信誉声明</w:t>
      </w:r>
    </w:p>
    <w:p w14:paraId="281356B6">
      <w:pPr>
        <w:tabs>
          <w:tab w:val="left" w:pos="2218"/>
        </w:tabs>
        <w:spacing w:line="221" w:lineRule="auto"/>
        <w:ind w:left="10"/>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27"/>
          <w:sz w:val="21"/>
          <w:szCs w:val="21"/>
          <w:highlight w:val="none"/>
        </w:rPr>
        <w:t xml:space="preserve"> </w:t>
      </w:r>
      <w:r>
        <w:rPr>
          <w:rFonts w:ascii="宋体" w:hAnsi="宋体" w:eastAsia="宋体" w:cs="宋体"/>
          <w:color w:val="auto"/>
          <w:spacing w:val="-24"/>
          <w:w w:val="98"/>
          <w:sz w:val="21"/>
          <w:szCs w:val="21"/>
          <w:highlight w:val="none"/>
        </w:rPr>
        <w:t>（招标人名称</w:t>
      </w:r>
      <w:r>
        <w:rPr>
          <w:rFonts w:ascii="宋体" w:hAnsi="宋体" w:eastAsia="宋体" w:cs="宋体"/>
          <w:color w:val="auto"/>
          <w:spacing w:val="-13"/>
          <w:sz w:val="21"/>
          <w:szCs w:val="21"/>
          <w:highlight w:val="none"/>
        </w:rPr>
        <w:t>）：</w:t>
      </w:r>
    </w:p>
    <w:p w14:paraId="1AD06733">
      <w:pPr>
        <w:pStyle w:val="3"/>
        <w:spacing w:line="364" w:lineRule="auto"/>
        <w:rPr>
          <w:color w:val="auto"/>
          <w:highlight w:val="none"/>
        </w:rPr>
      </w:pPr>
    </w:p>
    <w:p w14:paraId="7CB1E7FC">
      <w:pPr>
        <w:spacing w:before="68" w:line="442" w:lineRule="exact"/>
        <w:ind w:left="442"/>
        <w:rPr>
          <w:rFonts w:ascii="宋体" w:hAnsi="宋体" w:eastAsia="宋体" w:cs="宋体"/>
          <w:color w:val="auto"/>
          <w:sz w:val="21"/>
          <w:szCs w:val="21"/>
          <w:highlight w:val="none"/>
        </w:rPr>
      </w:pPr>
      <w:r>
        <w:rPr>
          <w:rFonts w:ascii="宋体" w:hAnsi="宋体" w:eastAsia="宋体" w:cs="宋体"/>
          <w:color w:val="auto"/>
          <w:spacing w:val="-5"/>
          <w:position w:val="17"/>
          <w:sz w:val="21"/>
          <w:szCs w:val="21"/>
          <w:highlight w:val="none"/>
        </w:rPr>
        <w:t>我方在此声明， 截止本招标项目投标截止时间， 我方处于正常的经营状态， 不存在下</w:t>
      </w:r>
    </w:p>
    <w:p w14:paraId="1E712420">
      <w:pPr>
        <w:spacing w:line="220" w:lineRule="auto"/>
        <w:ind w:left="2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列任何一种情形。</w:t>
      </w:r>
    </w:p>
    <w:p w14:paraId="6C057904">
      <w:pPr>
        <w:spacing w:before="157" w:line="220" w:lineRule="auto"/>
        <w:ind w:left="457"/>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1.</w:t>
      </w:r>
      <w:r>
        <w:rPr>
          <w:rFonts w:ascii="宋体" w:hAnsi="宋体" w:eastAsia="宋体" w:cs="宋体"/>
          <w:color w:val="auto"/>
          <w:spacing w:val="-2"/>
          <w:sz w:val="21"/>
          <w:szCs w:val="21"/>
          <w:highlight w:val="none"/>
        </w:rPr>
        <w:t>被依法暂停或取消投标资格；</w:t>
      </w:r>
    </w:p>
    <w:p w14:paraId="45298290">
      <w:pPr>
        <w:spacing w:before="149" w:line="403" w:lineRule="exact"/>
        <w:ind w:left="437"/>
        <w:rPr>
          <w:rFonts w:ascii="宋体" w:hAnsi="宋体" w:eastAsia="宋体" w:cs="宋体"/>
          <w:color w:val="auto"/>
          <w:sz w:val="21"/>
          <w:szCs w:val="21"/>
          <w:highlight w:val="none"/>
        </w:rPr>
      </w:pPr>
      <w:r>
        <w:rPr>
          <w:rFonts w:ascii="Times New Roman" w:hAnsi="Times New Roman" w:eastAsia="Times New Roman" w:cs="Times New Roman"/>
          <w:color w:val="auto"/>
          <w:spacing w:val="-2"/>
          <w:position w:val="14"/>
          <w:sz w:val="21"/>
          <w:szCs w:val="21"/>
          <w:highlight w:val="none"/>
        </w:rPr>
        <w:t>2.</w:t>
      </w:r>
      <w:r>
        <w:rPr>
          <w:rFonts w:ascii="宋体" w:hAnsi="宋体" w:eastAsia="宋体" w:cs="宋体"/>
          <w:color w:val="auto"/>
          <w:spacing w:val="-2"/>
          <w:position w:val="14"/>
          <w:sz w:val="21"/>
          <w:szCs w:val="21"/>
          <w:highlight w:val="none"/>
        </w:rPr>
        <w:t>被责令停产停业、暂扣或者吊销许可证、暂扣或者吊销执照；</w:t>
      </w:r>
    </w:p>
    <w:p w14:paraId="5EBE55D8">
      <w:pPr>
        <w:spacing w:line="219" w:lineRule="auto"/>
        <w:ind w:left="441"/>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进入清算程序，或被宣告破产，或其他丧失履约能力的情形；</w:t>
      </w:r>
    </w:p>
    <w:p w14:paraId="6D3ACDB8">
      <w:pPr>
        <w:spacing w:before="149" w:line="221" w:lineRule="auto"/>
        <w:ind w:left="436"/>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4.</w:t>
      </w:r>
      <w:r>
        <w:rPr>
          <w:rFonts w:ascii="宋体" w:hAnsi="宋体" w:eastAsia="宋体" w:cs="宋体"/>
          <w:color w:val="auto"/>
          <w:spacing w:val="-2"/>
          <w:sz w:val="21"/>
          <w:szCs w:val="21"/>
          <w:highlight w:val="none"/>
        </w:rPr>
        <w:t>在最近三年内有骗取中标或严重违约或重大工程质量问题的；</w:t>
      </w:r>
    </w:p>
    <w:p w14:paraId="46867AF9">
      <w:pPr>
        <w:spacing w:before="148" w:line="213" w:lineRule="auto"/>
        <w:jc w:val="right"/>
        <w:rPr>
          <w:rFonts w:ascii="宋体" w:hAnsi="宋体" w:eastAsia="宋体" w:cs="宋体"/>
          <w:color w:val="auto"/>
          <w:sz w:val="21"/>
          <w:szCs w:val="21"/>
          <w:highlight w:val="none"/>
        </w:rPr>
      </w:pPr>
      <w:r>
        <w:rPr>
          <w:rFonts w:ascii="Times New Roman" w:hAnsi="Times New Roman" w:eastAsia="Times New Roman" w:cs="Times New Roman"/>
          <w:color w:val="auto"/>
          <w:spacing w:val="-2"/>
          <w:sz w:val="21"/>
          <w:szCs w:val="21"/>
          <w:highlight w:val="none"/>
        </w:rPr>
        <w:t>5.</w:t>
      </w:r>
      <w:r>
        <w:rPr>
          <w:rFonts w:ascii="宋体" w:hAnsi="宋体" w:eastAsia="宋体" w:cs="宋体"/>
          <w:color w:val="auto"/>
          <w:spacing w:val="-2"/>
          <w:sz w:val="21"/>
          <w:szCs w:val="21"/>
          <w:highlight w:val="none"/>
        </w:rPr>
        <w:t>在“国家企业信用信息公示系统”（</w:t>
      </w:r>
      <w:r>
        <w:rPr>
          <w:rFonts w:ascii="Times New Roman" w:hAnsi="Times New Roman" w:eastAsia="Times New Roman" w:cs="Times New Roman"/>
          <w:color w:val="auto"/>
          <w:spacing w:val="-2"/>
          <w:sz w:val="21"/>
          <w:szCs w:val="21"/>
          <w:highlight w:val="none"/>
        </w:rPr>
        <w:t>www.gsxt.gov.cn</w:t>
      </w:r>
      <w:r>
        <w:rPr>
          <w:rFonts w:ascii="宋体" w:hAnsi="宋体" w:eastAsia="宋体" w:cs="宋体"/>
          <w:color w:val="auto"/>
          <w:spacing w:val="-2"/>
          <w:sz w:val="21"/>
          <w:szCs w:val="21"/>
          <w:highlight w:val="none"/>
        </w:rPr>
        <w:t>）被列入严重违法失信</w:t>
      </w:r>
      <w:r>
        <w:rPr>
          <w:rFonts w:ascii="宋体" w:hAnsi="宋体" w:eastAsia="宋体" w:cs="宋体"/>
          <w:color w:val="auto"/>
          <w:spacing w:val="-3"/>
          <w:sz w:val="21"/>
          <w:szCs w:val="21"/>
          <w:highlight w:val="none"/>
        </w:rPr>
        <w:t>企业名单；</w:t>
      </w:r>
    </w:p>
    <w:p w14:paraId="3B64688A">
      <w:pPr>
        <w:spacing w:before="17" w:line="345" w:lineRule="auto"/>
        <w:ind w:left="24" w:right="52" w:firstLine="417"/>
        <w:rPr>
          <w:rFonts w:ascii="宋体" w:hAnsi="宋体" w:eastAsia="宋体" w:cs="宋体"/>
          <w:color w:val="auto"/>
          <w:sz w:val="21"/>
          <w:szCs w:val="21"/>
          <w:highlight w:val="none"/>
        </w:rPr>
      </w:pP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ascii="Times New Roman" w:hAnsi="Times New Roman" w:eastAsia="Times New Roman" w:cs="Times New Roman"/>
          <w:color w:val="auto"/>
          <w:spacing w:val="-4"/>
          <w:sz w:val="21"/>
          <w:szCs w:val="21"/>
          <w:highlight w:val="none"/>
        </w:rPr>
        <w:t>6.</w:t>
      </w:r>
      <w:r>
        <w:rPr>
          <w:rFonts w:ascii="宋体" w:hAnsi="宋体" w:eastAsia="宋体" w:cs="宋体"/>
          <w:color w:val="auto"/>
          <w:spacing w:val="-4"/>
          <w:sz w:val="21"/>
          <w:szCs w:val="21"/>
          <w:highlight w:val="none"/>
        </w:rPr>
        <w:t>在</w:t>
      </w:r>
      <w:r>
        <w:rPr>
          <w:rFonts w:ascii="宋体" w:hAnsi="宋体" w:eastAsia="宋体" w:cs="宋体"/>
          <w:color w:val="auto"/>
          <w:spacing w:val="-61"/>
          <w:sz w:val="21"/>
          <w:szCs w:val="21"/>
          <w:highlight w:val="none"/>
        </w:rPr>
        <w:t xml:space="preserve"> </w:t>
      </w:r>
      <w:r>
        <w:rPr>
          <w:rFonts w:ascii="宋体" w:hAnsi="宋体" w:eastAsia="宋体" w:cs="宋体"/>
          <w:color w:val="auto"/>
          <w:spacing w:val="-4"/>
          <w:sz w:val="21"/>
          <w:szCs w:val="21"/>
          <w:highlight w:val="none"/>
        </w:rPr>
        <w:t>“</w:t>
      </w:r>
      <w:r>
        <w:rPr>
          <w:rFonts w:ascii="宋体" w:hAnsi="宋体" w:eastAsia="宋体" w:cs="宋体"/>
          <w:color w:val="auto"/>
          <w:spacing w:val="-59"/>
          <w:sz w:val="21"/>
          <w:szCs w:val="21"/>
          <w:highlight w:val="none"/>
        </w:rPr>
        <w:t xml:space="preserve"> </w:t>
      </w:r>
      <w:r>
        <w:rPr>
          <w:rFonts w:ascii="宋体" w:hAnsi="宋体" w:eastAsia="宋体" w:cs="宋体"/>
          <w:color w:val="auto"/>
          <w:spacing w:val="-4"/>
          <w:sz w:val="21"/>
          <w:szCs w:val="21"/>
          <w:highlight w:val="none"/>
        </w:rPr>
        <w:t>信</w:t>
      </w:r>
      <w:r>
        <w:rPr>
          <w:rFonts w:ascii="宋体" w:hAnsi="宋体" w:eastAsia="宋体" w:cs="宋体"/>
          <w:color w:val="auto"/>
          <w:spacing w:val="-57"/>
          <w:sz w:val="21"/>
          <w:szCs w:val="21"/>
          <w:highlight w:val="none"/>
        </w:rPr>
        <w:t xml:space="preserve"> </w:t>
      </w:r>
      <w:r>
        <w:rPr>
          <w:rFonts w:ascii="宋体" w:hAnsi="宋体" w:eastAsia="宋体" w:cs="宋体"/>
          <w:color w:val="auto"/>
          <w:spacing w:val="-4"/>
          <w:sz w:val="21"/>
          <w:szCs w:val="21"/>
          <w:highlight w:val="none"/>
        </w:rPr>
        <w:t>用</w:t>
      </w:r>
      <w:r>
        <w:rPr>
          <w:rFonts w:ascii="宋体" w:hAnsi="宋体" w:eastAsia="宋体" w:cs="宋体"/>
          <w:color w:val="auto"/>
          <w:spacing w:val="-33"/>
          <w:sz w:val="21"/>
          <w:szCs w:val="21"/>
          <w:highlight w:val="none"/>
        </w:rPr>
        <w:t xml:space="preserve"> </w:t>
      </w:r>
      <w:r>
        <w:rPr>
          <w:rFonts w:ascii="宋体" w:hAnsi="宋体" w:eastAsia="宋体" w:cs="宋体"/>
          <w:color w:val="auto"/>
          <w:spacing w:val="-4"/>
          <w:sz w:val="21"/>
          <w:szCs w:val="21"/>
          <w:highlight w:val="none"/>
        </w:rPr>
        <w:t>中</w:t>
      </w:r>
      <w:r>
        <w:rPr>
          <w:rFonts w:ascii="宋体" w:hAnsi="宋体" w:eastAsia="宋体" w:cs="宋体"/>
          <w:color w:val="auto"/>
          <w:spacing w:val="-38"/>
          <w:sz w:val="21"/>
          <w:szCs w:val="21"/>
          <w:highlight w:val="none"/>
        </w:rPr>
        <w:t xml:space="preserve"> </w:t>
      </w:r>
      <w:r>
        <w:rPr>
          <w:rFonts w:ascii="宋体" w:hAnsi="宋体" w:eastAsia="宋体" w:cs="宋体"/>
          <w:color w:val="auto"/>
          <w:spacing w:val="-4"/>
          <w:sz w:val="21"/>
          <w:szCs w:val="21"/>
          <w:highlight w:val="none"/>
        </w:rPr>
        <w:t>国</w:t>
      </w:r>
      <w:r>
        <w:rPr>
          <w:rFonts w:ascii="宋体" w:hAnsi="宋体" w:eastAsia="宋体" w:cs="宋体"/>
          <w:color w:val="auto"/>
          <w:spacing w:val="-34"/>
          <w:sz w:val="21"/>
          <w:szCs w:val="21"/>
          <w:highlight w:val="none"/>
        </w:rPr>
        <w:t xml:space="preserve"> </w:t>
      </w:r>
      <w:r>
        <w:rPr>
          <w:rFonts w:ascii="宋体" w:hAnsi="宋体" w:eastAsia="宋体" w:cs="宋体"/>
          <w:color w:val="auto"/>
          <w:spacing w:val="-4"/>
          <w:sz w:val="21"/>
          <w:szCs w:val="21"/>
          <w:highlight w:val="none"/>
        </w:rPr>
        <w:t>”</w:t>
      </w:r>
      <w:r>
        <w:rPr>
          <w:rFonts w:ascii="宋体" w:hAnsi="宋体" w:eastAsia="宋体" w:cs="宋体"/>
          <w:color w:val="auto"/>
          <w:spacing w:val="-69"/>
          <w:sz w:val="21"/>
          <w:szCs w:val="21"/>
          <w:highlight w:val="none"/>
        </w:rPr>
        <w:t xml:space="preserve"> </w:t>
      </w:r>
      <w:r>
        <w:rPr>
          <w:rFonts w:ascii="宋体" w:hAnsi="宋体" w:eastAsia="宋体" w:cs="宋体"/>
          <w:color w:val="auto"/>
          <w:spacing w:val="-4"/>
          <w:sz w:val="21"/>
          <w:szCs w:val="21"/>
          <w:highlight w:val="none"/>
        </w:rPr>
        <w:t>网</w:t>
      </w:r>
      <w:r>
        <w:rPr>
          <w:rFonts w:ascii="宋体" w:hAnsi="宋体" w:eastAsia="宋体" w:cs="宋体"/>
          <w:color w:val="auto"/>
          <w:spacing w:val="-58"/>
          <w:sz w:val="21"/>
          <w:szCs w:val="21"/>
          <w:highlight w:val="none"/>
        </w:rPr>
        <w:t xml:space="preserve"> </w:t>
      </w:r>
      <w:r>
        <w:rPr>
          <w:rFonts w:ascii="宋体" w:hAnsi="宋体" w:eastAsia="宋体" w:cs="宋体"/>
          <w:color w:val="auto"/>
          <w:spacing w:val="-4"/>
          <w:sz w:val="21"/>
          <w:szCs w:val="21"/>
          <w:highlight w:val="none"/>
        </w:rPr>
        <w:t>站</w:t>
      </w:r>
      <w:r>
        <w:rPr>
          <w:rFonts w:ascii="宋体" w:hAnsi="宋体" w:eastAsia="宋体" w:cs="宋体"/>
          <w:color w:val="auto"/>
          <w:spacing w:val="-61"/>
          <w:sz w:val="21"/>
          <w:szCs w:val="21"/>
          <w:highlight w:val="none"/>
        </w:rPr>
        <w:t xml:space="preserve"> </w:t>
      </w:r>
      <w:r>
        <w:rPr>
          <w:rFonts w:ascii="宋体" w:hAnsi="宋体" w:eastAsia="宋体" w:cs="宋体"/>
          <w:color w:val="auto"/>
          <w:spacing w:val="-4"/>
          <w:sz w:val="21"/>
          <w:szCs w:val="21"/>
          <w:highlight w:val="none"/>
        </w:rPr>
        <w:t>（</w:t>
      </w:r>
      <w:r>
        <w:rPr>
          <w:rFonts w:ascii="Times New Roman" w:hAnsi="Times New Roman" w:eastAsia="Times New Roman" w:cs="Times New Roman"/>
          <w:color w:val="auto"/>
          <w:spacing w:val="-4"/>
          <w:sz w:val="21"/>
          <w:szCs w:val="21"/>
          <w:highlight w:val="none"/>
        </w:rPr>
        <w:t>www.creditchi</w:t>
      </w:r>
      <w:r>
        <w:rPr>
          <w:rFonts w:ascii="Times New Roman" w:hAnsi="Times New Roman" w:eastAsia="Times New Roman" w:cs="Times New Roman"/>
          <w:color w:val="auto"/>
          <w:spacing w:val="-5"/>
          <w:sz w:val="21"/>
          <w:szCs w:val="21"/>
          <w:highlight w:val="none"/>
        </w:rPr>
        <w:t>na.gov.cn</w:t>
      </w:r>
      <w:r>
        <w:rPr>
          <w:rFonts w:ascii="宋体" w:hAnsi="宋体" w:eastAsia="宋体" w:cs="宋体"/>
          <w:color w:val="auto"/>
          <w:spacing w:val="-5"/>
          <w:sz w:val="21"/>
          <w:szCs w:val="21"/>
          <w:highlight w:val="none"/>
        </w:rPr>
        <w:t>）</w:t>
      </w:r>
      <w:r>
        <w:rPr>
          <w:rFonts w:ascii="宋体" w:hAnsi="宋体" w:eastAsia="宋体" w:cs="宋体"/>
          <w:color w:val="auto"/>
          <w:spacing w:val="-5"/>
          <w:sz w:val="21"/>
          <w:szCs w:val="21"/>
          <w:highlight w:val="none"/>
        </w:rPr>
        <w:fldChar w:fldCharType="end"/>
      </w:r>
      <w:r>
        <w:rPr>
          <w:rFonts w:ascii="宋体" w:hAnsi="宋体" w:eastAsia="宋体" w:cs="宋体"/>
          <w:color w:val="auto"/>
          <w:spacing w:val="-51"/>
          <w:sz w:val="21"/>
          <w:szCs w:val="21"/>
          <w:highlight w:val="none"/>
        </w:rPr>
        <w:t xml:space="preserve"> </w:t>
      </w:r>
      <w:r>
        <w:rPr>
          <w:rFonts w:ascii="宋体" w:hAnsi="宋体" w:eastAsia="宋体" w:cs="宋体"/>
          <w:color w:val="auto"/>
          <w:spacing w:val="-5"/>
          <w:sz w:val="21"/>
          <w:szCs w:val="21"/>
          <w:highlight w:val="none"/>
        </w:rPr>
        <w:t>或</w:t>
      </w:r>
      <w:r>
        <w:rPr>
          <w:rFonts w:ascii="宋体" w:hAnsi="宋体" w:eastAsia="宋体" w:cs="宋体"/>
          <w:color w:val="auto"/>
          <w:spacing w:val="-65"/>
          <w:sz w:val="21"/>
          <w:szCs w:val="21"/>
          <w:highlight w:val="none"/>
        </w:rPr>
        <w:t xml:space="preserve"> </w:t>
      </w:r>
      <w:r>
        <w:rPr>
          <w:rFonts w:ascii="宋体" w:hAnsi="宋体" w:eastAsia="宋体" w:cs="宋体"/>
          <w:color w:val="auto"/>
          <w:spacing w:val="-5"/>
          <w:sz w:val="21"/>
          <w:szCs w:val="21"/>
          <w:highlight w:val="none"/>
        </w:rPr>
        <w:t>“</w:t>
      </w:r>
      <w:r>
        <w:rPr>
          <w:rFonts w:ascii="宋体" w:hAnsi="宋体" w:eastAsia="宋体" w:cs="宋体"/>
          <w:color w:val="auto"/>
          <w:spacing w:val="-34"/>
          <w:sz w:val="21"/>
          <w:szCs w:val="21"/>
          <w:highlight w:val="none"/>
        </w:rPr>
        <w:t xml:space="preserve"> </w:t>
      </w:r>
      <w:r>
        <w:rPr>
          <w:rFonts w:ascii="宋体" w:hAnsi="宋体" w:eastAsia="宋体" w:cs="宋体"/>
          <w:color w:val="auto"/>
          <w:spacing w:val="-5"/>
          <w:sz w:val="21"/>
          <w:szCs w:val="21"/>
          <w:highlight w:val="none"/>
        </w:rPr>
        <w:t>中</w:t>
      </w:r>
      <w:r>
        <w:rPr>
          <w:rFonts w:ascii="宋体" w:hAnsi="宋体" w:eastAsia="宋体" w:cs="宋体"/>
          <w:color w:val="auto"/>
          <w:spacing w:val="-38"/>
          <w:sz w:val="21"/>
          <w:szCs w:val="21"/>
          <w:highlight w:val="none"/>
        </w:rPr>
        <w:t xml:space="preserve"> </w:t>
      </w:r>
      <w:r>
        <w:rPr>
          <w:rFonts w:ascii="宋体" w:hAnsi="宋体" w:eastAsia="宋体" w:cs="宋体"/>
          <w:color w:val="auto"/>
          <w:spacing w:val="-5"/>
          <w:sz w:val="21"/>
          <w:szCs w:val="21"/>
          <w:highlight w:val="none"/>
        </w:rPr>
        <w:t>国</w:t>
      </w:r>
      <w:r>
        <w:rPr>
          <w:rFonts w:ascii="宋体" w:hAnsi="宋体" w:eastAsia="宋体" w:cs="宋体"/>
          <w:color w:val="auto"/>
          <w:spacing w:val="-58"/>
          <w:sz w:val="21"/>
          <w:szCs w:val="21"/>
          <w:highlight w:val="none"/>
        </w:rPr>
        <w:t xml:space="preserve"> </w:t>
      </w:r>
      <w:r>
        <w:rPr>
          <w:rFonts w:ascii="宋体" w:hAnsi="宋体" w:eastAsia="宋体" w:cs="宋体"/>
          <w:color w:val="auto"/>
          <w:spacing w:val="-5"/>
          <w:sz w:val="21"/>
          <w:szCs w:val="21"/>
          <w:highlight w:val="none"/>
        </w:rPr>
        <w:t>执</w:t>
      </w:r>
      <w:r>
        <w:rPr>
          <w:rFonts w:ascii="宋体" w:hAnsi="宋体" w:eastAsia="宋体" w:cs="宋体"/>
          <w:color w:val="auto"/>
          <w:spacing w:val="-51"/>
          <w:sz w:val="21"/>
          <w:szCs w:val="21"/>
          <w:highlight w:val="none"/>
        </w:rPr>
        <w:t xml:space="preserve"> </w:t>
      </w:r>
      <w:r>
        <w:rPr>
          <w:rFonts w:ascii="宋体" w:hAnsi="宋体" w:eastAsia="宋体" w:cs="宋体"/>
          <w:color w:val="auto"/>
          <w:spacing w:val="-5"/>
          <w:sz w:val="21"/>
          <w:szCs w:val="21"/>
          <w:highlight w:val="none"/>
        </w:rPr>
        <w:t>行</w:t>
      </w:r>
      <w:r>
        <w:rPr>
          <w:rFonts w:ascii="宋体" w:hAnsi="宋体" w:eastAsia="宋体" w:cs="宋体"/>
          <w:color w:val="auto"/>
          <w:spacing w:val="-58"/>
          <w:sz w:val="21"/>
          <w:szCs w:val="21"/>
          <w:highlight w:val="none"/>
        </w:rPr>
        <w:t xml:space="preserve"> </w:t>
      </w:r>
      <w:r>
        <w:rPr>
          <w:rFonts w:ascii="宋体" w:hAnsi="宋体" w:eastAsia="宋体" w:cs="宋体"/>
          <w:color w:val="auto"/>
          <w:spacing w:val="-5"/>
          <w:sz w:val="21"/>
          <w:szCs w:val="21"/>
          <w:highlight w:val="none"/>
        </w:rPr>
        <w:t>信</w:t>
      </w:r>
      <w:r>
        <w:rPr>
          <w:rFonts w:ascii="宋体" w:hAnsi="宋体" w:eastAsia="宋体" w:cs="宋体"/>
          <w:color w:val="auto"/>
          <w:spacing w:val="-45"/>
          <w:sz w:val="21"/>
          <w:szCs w:val="21"/>
          <w:highlight w:val="none"/>
        </w:rPr>
        <w:t xml:space="preserve"> </w:t>
      </w:r>
      <w:r>
        <w:rPr>
          <w:rFonts w:ascii="宋体" w:hAnsi="宋体" w:eastAsia="宋体" w:cs="宋体"/>
          <w:color w:val="auto"/>
          <w:spacing w:val="-5"/>
          <w:sz w:val="21"/>
          <w:szCs w:val="21"/>
          <w:highlight w:val="none"/>
        </w:rPr>
        <w:t>息</w:t>
      </w:r>
      <w:r>
        <w:rPr>
          <w:rFonts w:ascii="宋体" w:hAnsi="宋体" w:eastAsia="宋体" w:cs="宋体"/>
          <w:color w:val="auto"/>
          <w:spacing w:val="-52"/>
          <w:sz w:val="21"/>
          <w:szCs w:val="21"/>
          <w:highlight w:val="none"/>
        </w:rPr>
        <w:t xml:space="preserve"> </w:t>
      </w:r>
      <w:r>
        <w:rPr>
          <w:rFonts w:ascii="宋体" w:hAnsi="宋体" w:eastAsia="宋体" w:cs="宋体"/>
          <w:color w:val="auto"/>
          <w:spacing w:val="-5"/>
          <w:sz w:val="21"/>
          <w:szCs w:val="21"/>
          <w:highlight w:val="none"/>
        </w:rPr>
        <w:t>公</w:t>
      </w:r>
      <w:r>
        <w:rPr>
          <w:rFonts w:ascii="宋体" w:hAnsi="宋体" w:eastAsia="宋体" w:cs="宋体"/>
          <w:color w:val="auto"/>
          <w:spacing w:val="-57"/>
          <w:sz w:val="21"/>
          <w:szCs w:val="21"/>
          <w:highlight w:val="none"/>
        </w:rPr>
        <w:t xml:space="preserve"> </w:t>
      </w:r>
      <w:r>
        <w:rPr>
          <w:rFonts w:ascii="宋体" w:hAnsi="宋体" w:eastAsia="宋体" w:cs="宋体"/>
          <w:color w:val="auto"/>
          <w:spacing w:val="-5"/>
          <w:sz w:val="21"/>
          <w:szCs w:val="21"/>
          <w:highlight w:val="none"/>
        </w:rPr>
        <w:t>开</w:t>
      </w:r>
      <w:r>
        <w:rPr>
          <w:rFonts w:ascii="宋体" w:hAnsi="宋体" w:eastAsia="宋体" w:cs="宋体"/>
          <w:color w:val="auto"/>
          <w:spacing w:val="-38"/>
          <w:sz w:val="21"/>
          <w:szCs w:val="21"/>
          <w:highlight w:val="none"/>
        </w:rPr>
        <w:t xml:space="preserve"> </w:t>
      </w:r>
      <w:r>
        <w:rPr>
          <w:rFonts w:ascii="宋体" w:hAnsi="宋体" w:eastAsia="宋体" w:cs="宋体"/>
          <w:color w:val="auto"/>
          <w:spacing w:val="-5"/>
          <w:sz w:val="21"/>
          <w:szCs w:val="21"/>
          <w:highlight w:val="none"/>
        </w:rPr>
        <w:t>网</w:t>
      </w:r>
      <w:r>
        <w:rPr>
          <w:rFonts w:ascii="宋体" w:hAnsi="宋体" w:eastAsia="宋体" w:cs="宋体"/>
          <w:color w:val="auto"/>
          <w:spacing w:val="-33"/>
          <w:sz w:val="21"/>
          <w:szCs w:val="21"/>
          <w:highlight w:val="none"/>
        </w:rPr>
        <w:t xml:space="preserve"> </w:t>
      </w:r>
      <w:r>
        <w:rPr>
          <w:rFonts w:ascii="宋体" w:hAnsi="宋体" w:eastAsia="宋体" w:cs="宋体"/>
          <w:color w:val="auto"/>
          <w:spacing w:val="-5"/>
          <w:sz w:val="21"/>
          <w:szCs w:val="21"/>
          <w:highlight w:val="none"/>
        </w:rPr>
        <w:t>”</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w:t>
      </w:r>
      <w:r>
        <w:rPr>
          <w:color w:val="auto"/>
          <w:highlight w:val="none"/>
        </w:rPr>
        <w:fldChar w:fldCharType="begin"/>
      </w:r>
      <w:r>
        <w:rPr>
          <w:color w:val="auto"/>
          <w:highlight w:val="none"/>
        </w:rPr>
        <w:instrText xml:space="preserve"> HYPERLINK "http://zxgk.court.gov.cn/shixin/" </w:instrText>
      </w:r>
      <w:r>
        <w:rPr>
          <w:color w:val="auto"/>
          <w:highlight w:val="none"/>
        </w:rPr>
        <w:fldChar w:fldCharType="separate"/>
      </w:r>
      <w:r>
        <w:rPr>
          <w:rFonts w:ascii="Times New Roman" w:hAnsi="Times New Roman" w:eastAsia="Times New Roman" w:cs="Times New Roman"/>
          <w:color w:val="auto"/>
          <w:spacing w:val="-2"/>
          <w:sz w:val="21"/>
          <w:szCs w:val="21"/>
          <w:highlight w:val="none"/>
        </w:rPr>
        <w:t>http://zxgk.court.gov.cn/shixin/</w:t>
      </w:r>
      <w:r>
        <w:rPr>
          <w:rFonts w:ascii="Times New Roman" w:hAnsi="Times New Roman" w:eastAsia="Times New Roman" w:cs="Times New Roman"/>
          <w:color w:val="auto"/>
          <w:spacing w:val="-2"/>
          <w:sz w:val="21"/>
          <w:szCs w:val="21"/>
          <w:highlight w:val="none"/>
        </w:rPr>
        <w:fldChar w:fldCharType="end"/>
      </w:r>
      <w:r>
        <w:rPr>
          <w:rFonts w:ascii="Times New Roman" w:hAnsi="Times New Roman" w:eastAsia="Times New Roman" w:cs="Times New Roman"/>
          <w:color w:val="auto"/>
          <w:spacing w:val="-22"/>
          <w:sz w:val="21"/>
          <w:szCs w:val="21"/>
          <w:highlight w:val="none"/>
        </w:rPr>
        <w:t xml:space="preserve"> </w:t>
      </w:r>
      <w:r>
        <w:rPr>
          <w:rFonts w:ascii="宋体" w:hAnsi="宋体" w:eastAsia="宋体" w:cs="宋体"/>
          <w:color w:val="auto"/>
          <w:spacing w:val="-2"/>
          <w:sz w:val="21"/>
          <w:szCs w:val="21"/>
          <w:highlight w:val="none"/>
        </w:rPr>
        <w:t>）被列入失信被执行人名单；</w:t>
      </w:r>
    </w:p>
    <w:p w14:paraId="4183C78C">
      <w:pPr>
        <w:spacing w:before="156" w:line="403" w:lineRule="exact"/>
        <w:ind w:left="440"/>
        <w:rPr>
          <w:rFonts w:ascii="宋体" w:hAnsi="宋体" w:eastAsia="宋体" w:cs="宋体"/>
          <w:color w:val="auto"/>
          <w:sz w:val="21"/>
          <w:szCs w:val="21"/>
          <w:highlight w:val="none"/>
        </w:rPr>
      </w:pPr>
      <w:r>
        <w:rPr>
          <w:rFonts w:ascii="Times New Roman" w:hAnsi="Times New Roman" w:eastAsia="Times New Roman" w:cs="Times New Roman"/>
          <w:color w:val="auto"/>
          <w:spacing w:val="3"/>
          <w:position w:val="14"/>
          <w:sz w:val="21"/>
          <w:szCs w:val="21"/>
          <w:highlight w:val="none"/>
        </w:rPr>
        <w:t>7.</w:t>
      </w:r>
      <w:r>
        <w:rPr>
          <w:rFonts w:ascii="宋体" w:hAnsi="宋体" w:eastAsia="宋体" w:cs="宋体"/>
          <w:color w:val="auto"/>
          <w:spacing w:val="3"/>
          <w:position w:val="14"/>
          <w:sz w:val="21"/>
          <w:szCs w:val="21"/>
          <w:highlight w:val="none"/>
        </w:rPr>
        <w:t>在辽宁省建设工程招投标监督平台</w:t>
      </w:r>
      <w:r>
        <w:rPr>
          <w:rFonts w:ascii="Times New Roman" w:hAnsi="Times New Roman" w:eastAsia="Times New Roman" w:cs="Times New Roman"/>
          <w:color w:val="auto"/>
          <w:spacing w:val="3"/>
          <w:position w:val="14"/>
          <w:sz w:val="21"/>
          <w:szCs w:val="21"/>
          <w:highlight w:val="none"/>
        </w:rPr>
        <w:t>-</w:t>
      </w:r>
      <w:r>
        <w:rPr>
          <w:rFonts w:ascii="宋体" w:hAnsi="宋体" w:eastAsia="宋体" w:cs="宋体"/>
          <w:color w:val="auto"/>
          <w:spacing w:val="3"/>
          <w:position w:val="14"/>
          <w:sz w:val="21"/>
          <w:szCs w:val="21"/>
          <w:highlight w:val="none"/>
        </w:rPr>
        <w:t>辽宁建</w:t>
      </w:r>
      <w:r>
        <w:rPr>
          <w:rFonts w:ascii="宋体" w:hAnsi="宋体" w:eastAsia="宋体" w:cs="宋体"/>
          <w:color w:val="auto"/>
          <w:spacing w:val="2"/>
          <w:position w:val="14"/>
          <w:sz w:val="21"/>
          <w:szCs w:val="21"/>
          <w:highlight w:val="none"/>
        </w:rPr>
        <w:t>设工程信息网上被列入不良行为记录且在</w:t>
      </w:r>
    </w:p>
    <w:p w14:paraId="069262F0">
      <w:pPr>
        <w:spacing w:before="1" w:line="219" w:lineRule="auto"/>
        <w:ind w:left="2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公布期内的；</w:t>
      </w:r>
    </w:p>
    <w:p w14:paraId="4C33000B">
      <w:pPr>
        <w:spacing w:before="148" w:line="220" w:lineRule="auto"/>
        <w:ind w:left="445"/>
        <w:rPr>
          <w:rFonts w:ascii="宋体" w:hAnsi="宋体" w:eastAsia="宋体" w:cs="宋体"/>
          <w:color w:val="auto"/>
          <w:sz w:val="21"/>
          <w:szCs w:val="21"/>
          <w:highlight w:val="none"/>
        </w:rPr>
      </w:pPr>
      <w:r>
        <w:rPr>
          <w:rFonts w:ascii="Times New Roman" w:hAnsi="Times New Roman" w:eastAsia="Times New Roman" w:cs="Times New Roman"/>
          <w:color w:val="auto"/>
          <w:spacing w:val="-1"/>
          <w:sz w:val="21"/>
          <w:szCs w:val="21"/>
          <w:highlight w:val="none"/>
        </w:rPr>
        <w:t>8.</w:t>
      </w:r>
      <w:r>
        <w:rPr>
          <w:rFonts w:ascii="宋体" w:hAnsi="宋体" w:eastAsia="宋体" w:cs="宋体"/>
          <w:color w:val="auto"/>
          <w:spacing w:val="-1"/>
          <w:sz w:val="21"/>
          <w:szCs w:val="21"/>
          <w:highlight w:val="none"/>
        </w:rPr>
        <w:t>投标人须知前附表第</w:t>
      </w:r>
      <w:r>
        <w:rPr>
          <w:rFonts w:ascii="宋体" w:hAnsi="宋体" w:eastAsia="宋体" w:cs="宋体"/>
          <w:color w:val="auto"/>
          <w:spacing w:val="-26"/>
          <w:sz w:val="21"/>
          <w:szCs w:val="21"/>
          <w:highlight w:val="none"/>
        </w:rPr>
        <w:t xml:space="preserve"> </w:t>
      </w:r>
      <w:r>
        <w:rPr>
          <w:rFonts w:ascii="Times New Roman" w:hAnsi="Times New Roman" w:eastAsia="Times New Roman" w:cs="Times New Roman"/>
          <w:color w:val="auto"/>
          <w:spacing w:val="-1"/>
          <w:sz w:val="21"/>
          <w:szCs w:val="21"/>
          <w:highlight w:val="none"/>
        </w:rPr>
        <w:t>1.4.3</w:t>
      </w:r>
      <w:r>
        <w:rPr>
          <w:rFonts w:ascii="宋体" w:hAnsi="宋体" w:eastAsia="宋体" w:cs="宋体"/>
          <w:color w:val="auto"/>
          <w:spacing w:val="-1"/>
          <w:sz w:val="21"/>
          <w:szCs w:val="21"/>
          <w:highlight w:val="none"/>
        </w:rPr>
        <w:t>（</w:t>
      </w:r>
      <w:r>
        <w:rPr>
          <w:rFonts w:ascii="Times New Roman" w:hAnsi="Times New Roman" w:eastAsia="Times New Roman" w:cs="Times New Roman"/>
          <w:color w:val="auto"/>
          <w:spacing w:val="-1"/>
          <w:sz w:val="21"/>
          <w:szCs w:val="21"/>
          <w:highlight w:val="none"/>
        </w:rPr>
        <w:t>17</w:t>
      </w:r>
      <w:r>
        <w:rPr>
          <w:rFonts w:ascii="宋体" w:hAnsi="宋体" w:eastAsia="宋体" w:cs="宋体"/>
          <w:color w:val="auto"/>
          <w:spacing w:val="-1"/>
          <w:sz w:val="21"/>
          <w:szCs w:val="21"/>
          <w:highlight w:val="none"/>
        </w:rPr>
        <w:t>）目规</w:t>
      </w:r>
      <w:r>
        <w:rPr>
          <w:rFonts w:ascii="宋体" w:hAnsi="宋体" w:eastAsia="宋体" w:cs="宋体"/>
          <w:color w:val="auto"/>
          <w:spacing w:val="-2"/>
          <w:sz w:val="21"/>
          <w:szCs w:val="21"/>
          <w:highlight w:val="none"/>
        </w:rPr>
        <w:t>定的其他情形。</w:t>
      </w:r>
    </w:p>
    <w:p w14:paraId="0125F8E0">
      <w:pPr>
        <w:spacing w:before="182" w:line="442" w:lineRule="exact"/>
        <w:ind w:left="442"/>
        <w:rPr>
          <w:rFonts w:ascii="宋体" w:hAnsi="宋体" w:eastAsia="宋体" w:cs="宋体"/>
          <w:color w:val="auto"/>
          <w:sz w:val="21"/>
          <w:szCs w:val="21"/>
          <w:highlight w:val="none"/>
        </w:rPr>
      </w:pPr>
      <w:r>
        <w:rPr>
          <w:rFonts w:ascii="宋体" w:hAnsi="宋体" w:eastAsia="宋体" w:cs="宋体"/>
          <w:color w:val="auto"/>
          <w:position w:val="17"/>
          <w:sz w:val="21"/>
          <w:szCs w:val="21"/>
          <w:highlight w:val="none"/>
        </w:rPr>
        <w:t>我方对上述声明的真实性和准确性负责，并承担相应的</w:t>
      </w:r>
      <w:r>
        <w:rPr>
          <w:rFonts w:ascii="宋体" w:hAnsi="宋体" w:eastAsia="宋体" w:cs="宋体"/>
          <w:color w:val="auto"/>
          <w:spacing w:val="-1"/>
          <w:position w:val="17"/>
          <w:sz w:val="21"/>
          <w:szCs w:val="21"/>
          <w:highlight w:val="none"/>
        </w:rPr>
        <w:t>法律责任。</w:t>
      </w:r>
    </w:p>
    <w:p w14:paraId="4B04DC1F">
      <w:pPr>
        <w:spacing w:before="1" w:line="219" w:lineRule="auto"/>
        <w:ind w:left="44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后附：上述条款</w:t>
      </w:r>
      <w:r>
        <w:rPr>
          <w:rFonts w:ascii="宋体" w:hAnsi="宋体" w:eastAsia="宋体" w:cs="宋体"/>
          <w:color w:val="auto"/>
          <w:spacing w:val="-40"/>
          <w:sz w:val="21"/>
          <w:szCs w:val="21"/>
          <w:highlight w:val="none"/>
        </w:rPr>
        <w:t xml:space="preserve"> </w:t>
      </w:r>
      <w:r>
        <w:rPr>
          <w:rFonts w:ascii="宋体" w:hAnsi="宋体" w:eastAsia="宋体" w:cs="宋体"/>
          <w:color w:val="auto"/>
          <w:spacing w:val="-3"/>
          <w:sz w:val="21"/>
          <w:szCs w:val="21"/>
          <w:highlight w:val="none"/>
        </w:rPr>
        <w:t>5、6、7</w:t>
      </w:r>
      <w:r>
        <w:rPr>
          <w:rFonts w:ascii="宋体" w:hAnsi="宋体" w:eastAsia="宋体" w:cs="宋体"/>
          <w:color w:val="auto"/>
          <w:spacing w:val="-28"/>
          <w:sz w:val="21"/>
          <w:szCs w:val="21"/>
          <w:highlight w:val="none"/>
        </w:rPr>
        <w:t xml:space="preserve"> </w:t>
      </w:r>
      <w:r>
        <w:rPr>
          <w:rFonts w:ascii="宋体" w:hAnsi="宋体" w:eastAsia="宋体" w:cs="宋体"/>
          <w:color w:val="auto"/>
          <w:spacing w:val="-3"/>
          <w:sz w:val="21"/>
          <w:szCs w:val="21"/>
          <w:highlight w:val="none"/>
        </w:rPr>
        <w:t>网站查询结果截图。</w:t>
      </w:r>
    </w:p>
    <w:p w14:paraId="2E9F509B">
      <w:pPr>
        <w:pStyle w:val="3"/>
        <w:spacing w:line="278" w:lineRule="auto"/>
        <w:rPr>
          <w:color w:val="auto"/>
          <w:highlight w:val="none"/>
        </w:rPr>
      </w:pPr>
    </w:p>
    <w:p w14:paraId="542F1EF2">
      <w:pPr>
        <w:pStyle w:val="3"/>
        <w:spacing w:line="279" w:lineRule="auto"/>
        <w:rPr>
          <w:color w:val="auto"/>
          <w:highlight w:val="none"/>
        </w:rPr>
      </w:pPr>
    </w:p>
    <w:p w14:paraId="11B7D37B">
      <w:pPr>
        <w:spacing w:before="68" w:line="388" w:lineRule="auto"/>
        <w:ind w:left="4011"/>
        <w:rPr>
          <w:rFonts w:ascii="宋体" w:hAnsi="宋体" w:eastAsia="宋体" w:cs="宋体"/>
          <w:color w:val="auto"/>
          <w:sz w:val="21"/>
          <w:szCs w:val="21"/>
          <w:highlight w:val="none"/>
        </w:rPr>
      </w:pPr>
      <w:r>
        <w:rPr>
          <w:rFonts w:ascii="宋体" w:hAnsi="宋体" w:eastAsia="宋体" w:cs="宋体"/>
          <w:color w:val="auto"/>
          <w:spacing w:val="-23"/>
          <w:w w:val="98"/>
          <w:sz w:val="21"/>
          <w:szCs w:val="21"/>
          <w:highlight w:val="none"/>
        </w:rPr>
        <w:t>投标人</w:t>
      </w:r>
      <w:r>
        <w:rPr>
          <w:rFonts w:ascii="宋体" w:hAnsi="宋体" w:eastAsia="宋体" w:cs="宋体"/>
          <w:color w:val="auto"/>
          <w:spacing w:val="4"/>
          <w:sz w:val="21"/>
          <w:szCs w:val="21"/>
          <w:highlight w:val="none"/>
        </w:rPr>
        <w:t>：</w:t>
      </w:r>
      <w:r>
        <w:rPr>
          <w:rFonts w:ascii="宋体" w:hAnsi="宋体" w:eastAsia="宋体" w:cs="宋体"/>
          <w:color w:val="auto"/>
          <w:spacing w:val="9"/>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18"/>
          <w:sz w:val="21"/>
          <w:szCs w:val="21"/>
          <w:highlight w:val="none"/>
        </w:rPr>
        <w:t xml:space="preserve"> </w:t>
      </w:r>
      <w:r>
        <w:rPr>
          <w:rFonts w:ascii="宋体" w:hAnsi="宋体" w:eastAsia="宋体" w:cs="宋体"/>
          <w:color w:val="auto"/>
          <w:spacing w:val="4"/>
          <w:sz w:val="21"/>
          <w:szCs w:val="21"/>
          <w:highlight w:val="none"/>
        </w:rPr>
        <w:t>（</w:t>
      </w:r>
      <w:r>
        <w:rPr>
          <w:rFonts w:ascii="宋体" w:hAnsi="宋体" w:eastAsia="宋体" w:cs="宋体"/>
          <w:color w:val="auto"/>
          <w:spacing w:val="-23"/>
          <w:w w:val="98"/>
          <w:sz w:val="21"/>
          <w:szCs w:val="21"/>
          <w:highlight w:val="none"/>
        </w:rPr>
        <w:t>盖单位章）</w:t>
      </w:r>
    </w:p>
    <w:p w14:paraId="350B0B2B">
      <w:pPr>
        <w:spacing w:before="1" w:line="219" w:lineRule="auto"/>
        <w:ind w:left="2751"/>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法定代表人或授权委托人</w:t>
      </w:r>
      <w:r>
        <w:rPr>
          <w:rFonts w:ascii="宋体" w:hAnsi="宋体" w:eastAsia="宋体" w:cs="宋体"/>
          <w:color w:val="auto"/>
          <w:spacing w:val="-13"/>
          <w:sz w:val="21"/>
          <w:szCs w:val="21"/>
          <w:highlight w:val="none"/>
        </w:rPr>
        <w:t>：</w:t>
      </w:r>
      <w:r>
        <w:rPr>
          <w:rFonts w:ascii="宋体" w:hAnsi="宋体" w:eastAsia="宋体" w:cs="宋体"/>
          <w:color w:val="auto"/>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13"/>
          <w:sz w:val="21"/>
          <w:szCs w:val="21"/>
          <w:highlight w:val="none"/>
        </w:rPr>
        <w:t>（</w:t>
      </w:r>
      <w:r>
        <w:rPr>
          <w:rFonts w:ascii="宋体" w:hAnsi="宋体" w:eastAsia="宋体" w:cs="宋体"/>
          <w:color w:val="auto"/>
          <w:spacing w:val="-7"/>
          <w:sz w:val="21"/>
          <w:szCs w:val="21"/>
          <w:highlight w:val="none"/>
        </w:rPr>
        <w:t>签章）</w:t>
      </w:r>
    </w:p>
    <w:p w14:paraId="1F984979">
      <w:pPr>
        <w:pStyle w:val="3"/>
        <w:spacing w:line="278" w:lineRule="auto"/>
        <w:rPr>
          <w:color w:val="auto"/>
          <w:highlight w:val="none"/>
        </w:rPr>
      </w:pPr>
    </w:p>
    <w:p w14:paraId="5A4F2FD3">
      <w:pPr>
        <w:pStyle w:val="3"/>
        <w:spacing w:line="278" w:lineRule="auto"/>
        <w:rPr>
          <w:color w:val="auto"/>
          <w:highlight w:val="none"/>
        </w:rPr>
      </w:pPr>
    </w:p>
    <w:p w14:paraId="41AD6240">
      <w:pPr>
        <w:tabs>
          <w:tab w:val="left" w:pos="6107"/>
        </w:tabs>
        <w:spacing w:before="69" w:line="221" w:lineRule="auto"/>
        <w:ind w:left="5263"/>
        <w:rPr>
          <w:rFonts w:ascii="宋体" w:hAnsi="宋体" w:eastAsia="宋体" w:cs="宋体"/>
          <w:color w:val="auto"/>
          <w:sz w:val="21"/>
          <w:szCs w:val="21"/>
          <w:highlight w:val="none"/>
        </w:rPr>
      </w:pPr>
      <w:r>
        <w:rPr>
          <w:rFonts w:ascii="宋体" w:hAnsi="宋体" w:eastAsia="宋体" w:cs="宋体"/>
          <w:color w:val="auto"/>
          <w:sz w:val="21"/>
          <w:szCs w:val="21"/>
          <w:highlight w:val="none"/>
          <w:u w:val="single" w:color="auto"/>
        </w:rPr>
        <w:tab/>
      </w:r>
      <w:r>
        <w:rPr>
          <w:rFonts w:ascii="宋体" w:hAnsi="宋体" w:eastAsia="宋体" w:cs="宋体"/>
          <w:color w:val="auto"/>
          <w:spacing w:val="11"/>
          <w:sz w:val="21"/>
          <w:szCs w:val="21"/>
          <w:highlight w:val="none"/>
        </w:rPr>
        <w:t xml:space="preserve"> </w:t>
      </w:r>
      <w:r>
        <w:rPr>
          <w:rFonts w:ascii="宋体" w:hAnsi="宋体" w:eastAsia="宋体" w:cs="宋体"/>
          <w:color w:val="auto"/>
          <w:spacing w:val="-5"/>
          <w:sz w:val="21"/>
          <w:szCs w:val="21"/>
          <w:highlight w:val="none"/>
        </w:rPr>
        <w:t xml:space="preserve">年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2"/>
          <w:sz w:val="21"/>
          <w:szCs w:val="21"/>
          <w:highlight w:val="none"/>
        </w:rPr>
        <w:t xml:space="preserve"> </w:t>
      </w:r>
      <w:r>
        <w:rPr>
          <w:rFonts w:ascii="宋体" w:hAnsi="宋体" w:eastAsia="宋体" w:cs="宋体"/>
          <w:color w:val="auto"/>
          <w:spacing w:val="-5"/>
          <w:sz w:val="21"/>
          <w:szCs w:val="21"/>
          <w:highlight w:val="none"/>
        </w:rPr>
        <w:t xml:space="preserve">月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43"/>
          <w:sz w:val="21"/>
          <w:szCs w:val="21"/>
          <w:highlight w:val="none"/>
        </w:rPr>
        <w:t xml:space="preserve"> </w:t>
      </w:r>
      <w:r>
        <w:rPr>
          <w:rFonts w:ascii="宋体" w:hAnsi="宋体" w:eastAsia="宋体" w:cs="宋体"/>
          <w:color w:val="auto"/>
          <w:spacing w:val="-5"/>
          <w:sz w:val="21"/>
          <w:szCs w:val="21"/>
          <w:highlight w:val="none"/>
        </w:rPr>
        <w:t>日</w:t>
      </w:r>
    </w:p>
    <w:p w14:paraId="3461252C">
      <w:pPr>
        <w:pStyle w:val="3"/>
        <w:spacing w:line="284" w:lineRule="auto"/>
        <w:rPr>
          <w:color w:val="auto"/>
          <w:highlight w:val="none"/>
        </w:rPr>
      </w:pPr>
    </w:p>
    <w:p w14:paraId="643E1BA9">
      <w:pPr>
        <w:pStyle w:val="3"/>
        <w:spacing w:line="284" w:lineRule="auto"/>
        <w:rPr>
          <w:color w:val="auto"/>
          <w:highlight w:val="none"/>
        </w:rPr>
      </w:pPr>
    </w:p>
    <w:p w14:paraId="59F8D07F">
      <w:pPr>
        <w:pStyle w:val="3"/>
        <w:spacing w:line="284" w:lineRule="auto"/>
        <w:rPr>
          <w:color w:val="auto"/>
          <w:highlight w:val="none"/>
        </w:rPr>
      </w:pPr>
    </w:p>
    <w:p w14:paraId="1CF61191">
      <w:pPr>
        <w:spacing w:before="69" w:line="230" w:lineRule="auto"/>
        <w:ind w:left="857" w:right="160" w:hanging="837"/>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备注： 1.投标人应针对第二章“投标人须知”第 1.4.1 项和第 1.4.3 项的要求</w:t>
      </w:r>
      <w:r>
        <w:rPr>
          <w:rFonts w:ascii="宋体" w:hAnsi="宋体" w:eastAsia="宋体" w:cs="宋体"/>
          <w:color w:val="auto"/>
          <w:spacing w:val="-5"/>
          <w:sz w:val="21"/>
          <w:szCs w:val="21"/>
          <w:highlight w:val="none"/>
        </w:rPr>
        <w:t>，在此对其</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信誉情况做出说明。如上格式文件所示。</w:t>
      </w:r>
    </w:p>
    <w:p w14:paraId="193C34BC">
      <w:pPr>
        <w:spacing w:before="23" w:line="221" w:lineRule="auto"/>
        <w:ind w:left="65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2.联合体投标的，联合体各成员单位均应按要求做出说明。</w:t>
      </w:r>
    </w:p>
    <w:p w14:paraId="27C7F223">
      <w:pPr>
        <w:spacing w:line="221" w:lineRule="auto"/>
        <w:rPr>
          <w:rFonts w:ascii="宋体" w:hAnsi="宋体" w:eastAsia="宋体" w:cs="宋体"/>
          <w:color w:val="auto"/>
          <w:sz w:val="21"/>
          <w:szCs w:val="21"/>
          <w:highlight w:val="none"/>
        </w:rPr>
        <w:sectPr>
          <w:footerReference r:id="rId237" w:type="default"/>
          <w:pgSz w:w="11905" w:h="16839"/>
          <w:pgMar w:top="400" w:right="1631" w:bottom="1004" w:left="1785" w:header="0" w:footer="828" w:gutter="0"/>
          <w:pgNumType w:fmt="decimal"/>
          <w:cols w:space="720" w:num="1"/>
        </w:sectPr>
      </w:pPr>
    </w:p>
    <w:p w14:paraId="6E166D0F">
      <w:pPr>
        <w:pStyle w:val="3"/>
        <w:spacing w:line="267" w:lineRule="auto"/>
        <w:rPr>
          <w:color w:val="auto"/>
          <w:highlight w:val="none"/>
        </w:rPr>
      </w:pPr>
    </w:p>
    <w:p w14:paraId="204C49EA">
      <w:pPr>
        <w:pStyle w:val="3"/>
        <w:spacing w:line="268" w:lineRule="auto"/>
        <w:rPr>
          <w:color w:val="auto"/>
          <w:highlight w:val="none"/>
        </w:rPr>
      </w:pPr>
    </w:p>
    <w:p w14:paraId="3BAB3D35">
      <w:pPr>
        <w:pStyle w:val="3"/>
        <w:spacing w:line="268" w:lineRule="auto"/>
        <w:rPr>
          <w:color w:val="auto"/>
          <w:highlight w:val="none"/>
        </w:rPr>
      </w:pPr>
    </w:p>
    <w:p w14:paraId="664B209B">
      <w:pPr>
        <w:pStyle w:val="3"/>
        <w:spacing w:line="268" w:lineRule="auto"/>
        <w:rPr>
          <w:color w:val="auto"/>
          <w:highlight w:val="none"/>
        </w:rPr>
      </w:pPr>
    </w:p>
    <w:p w14:paraId="6121DF31">
      <w:pPr>
        <w:spacing w:before="78" w:line="217" w:lineRule="auto"/>
        <w:ind w:left="2547"/>
        <w:rPr>
          <w:rFonts w:ascii="黑体" w:hAnsi="黑体" w:eastAsia="黑体" w:cs="黑体"/>
          <w:color w:val="auto"/>
          <w:sz w:val="24"/>
          <w:szCs w:val="24"/>
          <w:highlight w:val="none"/>
        </w:rPr>
      </w:pPr>
      <w:bookmarkStart w:id="1352" w:name="bookmark325"/>
      <w:bookmarkEnd w:id="1352"/>
      <w:r>
        <w:rPr>
          <w:rFonts w:ascii="Times New Roman" w:hAnsi="Times New Roman" w:eastAsia="Times New Roman" w:cs="Times New Roman"/>
          <w:color w:val="auto"/>
          <w:spacing w:val="-1"/>
          <w:sz w:val="24"/>
          <w:szCs w:val="24"/>
          <w:highlight w:val="none"/>
        </w:rPr>
        <w:t xml:space="preserve">5-2 </w:t>
      </w:r>
      <w:r>
        <w:rPr>
          <w:rFonts w:ascii="黑体" w:hAnsi="黑体" w:eastAsia="黑体" w:cs="黑体"/>
          <w:color w:val="auto"/>
          <w:spacing w:val="-1"/>
          <w:sz w:val="24"/>
          <w:szCs w:val="24"/>
          <w:highlight w:val="none"/>
        </w:rPr>
        <w:t>近年发生的诉讼和仲裁情况</w:t>
      </w:r>
    </w:p>
    <w:tbl>
      <w:tblPr>
        <w:tblStyle w:val="10"/>
        <w:tblW w:w="828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5"/>
        <w:gridCol w:w="915"/>
        <w:gridCol w:w="1203"/>
        <w:gridCol w:w="3384"/>
        <w:gridCol w:w="1855"/>
      </w:tblGrid>
      <w:tr w14:paraId="12CE5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925" w:type="dxa"/>
            <w:tcBorders>
              <w:top w:val="single" w:color="000000" w:sz="6" w:space="0"/>
              <w:left w:val="single" w:color="000000" w:sz="6" w:space="0"/>
            </w:tcBorders>
            <w:vAlign w:val="top"/>
          </w:tcPr>
          <w:p w14:paraId="1FFA8AFC">
            <w:pPr>
              <w:pStyle w:val="11"/>
              <w:spacing w:before="230" w:line="221" w:lineRule="auto"/>
              <w:ind w:left="252"/>
              <w:rPr>
                <w:color w:val="auto"/>
                <w:highlight w:val="none"/>
              </w:rPr>
            </w:pPr>
            <w:r>
              <w:rPr>
                <w:color w:val="auto"/>
                <w:spacing w:val="-2"/>
                <w:highlight w:val="none"/>
              </w:rPr>
              <w:t>类别</w:t>
            </w:r>
          </w:p>
        </w:tc>
        <w:tc>
          <w:tcPr>
            <w:tcW w:w="915" w:type="dxa"/>
            <w:tcBorders>
              <w:top w:val="single" w:color="000000" w:sz="6" w:space="0"/>
            </w:tcBorders>
            <w:vAlign w:val="top"/>
          </w:tcPr>
          <w:p w14:paraId="41D8C872">
            <w:pPr>
              <w:pStyle w:val="11"/>
              <w:spacing w:before="230" w:line="222" w:lineRule="auto"/>
              <w:ind w:left="248"/>
              <w:rPr>
                <w:color w:val="auto"/>
                <w:highlight w:val="none"/>
              </w:rPr>
            </w:pPr>
            <w:r>
              <w:rPr>
                <w:color w:val="auto"/>
                <w:spacing w:val="-2"/>
                <w:highlight w:val="none"/>
              </w:rPr>
              <w:t>序号</w:t>
            </w:r>
          </w:p>
        </w:tc>
        <w:tc>
          <w:tcPr>
            <w:tcW w:w="1203" w:type="dxa"/>
            <w:tcBorders>
              <w:top w:val="single" w:color="000000" w:sz="6" w:space="0"/>
            </w:tcBorders>
            <w:vAlign w:val="top"/>
          </w:tcPr>
          <w:p w14:paraId="2564CB36">
            <w:pPr>
              <w:pStyle w:val="11"/>
              <w:spacing w:before="231" w:line="221" w:lineRule="auto"/>
              <w:ind w:left="188"/>
              <w:rPr>
                <w:color w:val="auto"/>
                <w:highlight w:val="none"/>
              </w:rPr>
            </w:pPr>
            <w:r>
              <w:rPr>
                <w:color w:val="auto"/>
                <w:spacing w:val="-2"/>
                <w:highlight w:val="none"/>
              </w:rPr>
              <w:t>发生时间</w:t>
            </w:r>
          </w:p>
        </w:tc>
        <w:tc>
          <w:tcPr>
            <w:tcW w:w="3384" w:type="dxa"/>
            <w:tcBorders>
              <w:top w:val="single" w:color="000000" w:sz="6" w:space="0"/>
            </w:tcBorders>
            <w:vAlign w:val="top"/>
          </w:tcPr>
          <w:p w14:paraId="0D0D5AD1">
            <w:pPr>
              <w:pStyle w:val="11"/>
              <w:spacing w:before="230" w:line="220" w:lineRule="auto"/>
              <w:ind w:left="1282"/>
              <w:rPr>
                <w:color w:val="auto"/>
                <w:highlight w:val="none"/>
              </w:rPr>
            </w:pPr>
            <w:r>
              <w:rPr>
                <w:color w:val="auto"/>
                <w:spacing w:val="-1"/>
                <w:highlight w:val="none"/>
              </w:rPr>
              <w:t>情况简介</w:t>
            </w:r>
          </w:p>
        </w:tc>
        <w:tc>
          <w:tcPr>
            <w:tcW w:w="1855" w:type="dxa"/>
            <w:tcBorders>
              <w:top w:val="single" w:color="000000" w:sz="6" w:space="0"/>
              <w:right w:val="single" w:color="000000" w:sz="6" w:space="0"/>
            </w:tcBorders>
            <w:vAlign w:val="top"/>
          </w:tcPr>
          <w:p w14:paraId="24BBCDB4">
            <w:pPr>
              <w:pStyle w:val="11"/>
              <w:spacing w:before="230" w:line="220" w:lineRule="auto"/>
              <w:ind w:left="308"/>
              <w:rPr>
                <w:color w:val="auto"/>
                <w:highlight w:val="none"/>
              </w:rPr>
            </w:pPr>
            <w:r>
              <w:rPr>
                <w:color w:val="auto"/>
                <w:spacing w:val="-1"/>
                <w:highlight w:val="none"/>
              </w:rPr>
              <w:t>证明材料索引</w:t>
            </w:r>
          </w:p>
        </w:tc>
      </w:tr>
      <w:tr w14:paraId="053ED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trPr>
        <w:tc>
          <w:tcPr>
            <w:tcW w:w="925" w:type="dxa"/>
            <w:vMerge w:val="restart"/>
            <w:tcBorders>
              <w:left w:val="single" w:color="000000" w:sz="6" w:space="0"/>
              <w:bottom w:val="nil"/>
            </w:tcBorders>
            <w:textDirection w:val="tbRlV"/>
            <w:vAlign w:val="top"/>
          </w:tcPr>
          <w:p w14:paraId="556EAB3C">
            <w:pPr>
              <w:spacing w:line="275" w:lineRule="auto"/>
              <w:rPr>
                <w:rFonts w:ascii="Arial"/>
                <w:color w:val="auto"/>
                <w:sz w:val="21"/>
                <w:highlight w:val="none"/>
              </w:rPr>
            </w:pPr>
          </w:p>
          <w:p w14:paraId="3A648C23">
            <w:pPr>
              <w:pStyle w:val="11"/>
              <w:spacing w:before="70" w:line="210" w:lineRule="auto"/>
              <w:ind w:left="1529"/>
              <w:rPr>
                <w:color w:val="auto"/>
                <w:highlight w:val="none"/>
              </w:rPr>
            </w:pPr>
            <w:r>
              <w:rPr>
                <w:color w:val="auto"/>
                <w:spacing w:val="22"/>
                <w:highlight w:val="none"/>
              </w:rPr>
              <w:t>诉讼情况</w:t>
            </w:r>
          </w:p>
        </w:tc>
        <w:tc>
          <w:tcPr>
            <w:tcW w:w="915" w:type="dxa"/>
            <w:vAlign w:val="top"/>
          </w:tcPr>
          <w:p w14:paraId="74E6DCB0">
            <w:pPr>
              <w:rPr>
                <w:rFonts w:ascii="Arial"/>
                <w:color w:val="auto"/>
                <w:sz w:val="21"/>
                <w:highlight w:val="none"/>
              </w:rPr>
            </w:pPr>
          </w:p>
        </w:tc>
        <w:tc>
          <w:tcPr>
            <w:tcW w:w="1203" w:type="dxa"/>
            <w:vAlign w:val="top"/>
          </w:tcPr>
          <w:p w14:paraId="63DF2CBA">
            <w:pPr>
              <w:rPr>
                <w:rFonts w:ascii="Arial"/>
                <w:color w:val="auto"/>
                <w:sz w:val="21"/>
                <w:highlight w:val="none"/>
              </w:rPr>
            </w:pPr>
          </w:p>
        </w:tc>
        <w:tc>
          <w:tcPr>
            <w:tcW w:w="3384" w:type="dxa"/>
            <w:vAlign w:val="top"/>
          </w:tcPr>
          <w:p w14:paraId="44281720">
            <w:pPr>
              <w:rPr>
                <w:rFonts w:ascii="Arial"/>
                <w:color w:val="auto"/>
                <w:sz w:val="21"/>
                <w:highlight w:val="none"/>
              </w:rPr>
            </w:pPr>
          </w:p>
        </w:tc>
        <w:tc>
          <w:tcPr>
            <w:tcW w:w="1855" w:type="dxa"/>
            <w:tcBorders>
              <w:right w:val="single" w:color="000000" w:sz="6" w:space="0"/>
            </w:tcBorders>
            <w:vAlign w:val="top"/>
          </w:tcPr>
          <w:p w14:paraId="5F565EE3">
            <w:pPr>
              <w:rPr>
                <w:rFonts w:ascii="Arial"/>
                <w:color w:val="auto"/>
                <w:sz w:val="21"/>
                <w:highlight w:val="none"/>
              </w:rPr>
            </w:pPr>
          </w:p>
        </w:tc>
      </w:tr>
      <w:tr w14:paraId="69236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 w:hRule="atLeast"/>
        </w:trPr>
        <w:tc>
          <w:tcPr>
            <w:tcW w:w="925" w:type="dxa"/>
            <w:vMerge w:val="continue"/>
            <w:tcBorders>
              <w:top w:val="nil"/>
              <w:left w:val="single" w:color="000000" w:sz="6" w:space="0"/>
              <w:bottom w:val="nil"/>
            </w:tcBorders>
            <w:textDirection w:val="tbRlV"/>
            <w:vAlign w:val="top"/>
          </w:tcPr>
          <w:p w14:paraId="73BBB215">
            <w:pPr>
              <w:rPr>
                <w:rFonts w:ascii="Arial"/>
                <w:color w:val="auto"/>
                <w:sz w:val="21"/>
                <w:highlight w:val="none"/>
              </w:rPr>
            </w:pPr>
          </w:p>
        </w:tc>
        <w:tc>
          <w:tcPr>
            <w:tcW w:w="915" w:type="dxa"/>
            <w:vAlign w:val="top"/>
          </w:tcPr>
          <w:p w14:paraId="32B20F31">
            <w:pPr>
              <w:rPr>
                <w:rFonts w:ascii="Arial"/>
                <w:color w:val="auto"/>
                <w:sz w:val="21"/>
                <w:highlight w:val="none"/>
              </w:rPr>
            </w:pPr>
          </w:p>
        </w:tc>
        <w:tc>
          <w:tcPr>
            <w:tcW w:w="1203" w:type="dxa"/>
            <w:vAlign w:val="top"/>
          </w:tcPr>
          <w:p w14:paraId="4400D2CF">
            <w:pPr>
              <w:rPr>
                <w:rFonts w:ascii="Arial"/>
                <w:color w:val="auto"/>
                <w:sz w:val="21"/>
                <w:highlight w:val="none"/>
              </w:rPr>
            </w:pPr>
          </w:p>
        </w:tc>
        <w:tc>
          <w:tcPr>
            <w:tcW w:w="3384" w:type="dxa"/>
            <w:vAlign w:val="top"/>
          </w:tcPr>
          <w:p w14:paraId="4B364754">
            <w:pPr>
              <w:rPr>
                <w:rFonts w:ascii="Arial"/>
                <w:color w:val="auto"/>
                <w:sz w:val="21"/>
                <w:highlight w:val="none"/>
              </w:rPr>
            </w:pPr>
          </w:p>
        </w:tc>
        <w:tc>
          <w:tcPr>
            <w:tcW w:w="1855" w:type="dxa"/>
            <w:tcBorders>
              <w:right w:val="single" w:color="000000" w:sz="6" w:space="0"/>
            </w:tcBorders>
            <w:vAlign w:val="top"/>
          </w:tcPr>
          <w:p w14:paraId="107142C3">
            <w:pPr>
              <w:rPr>
                <w:rFonts w:ascii="Arial"/>
                <w:color w:val="auto"/>
                <w:sz w:val="21"/>
                <w:highlight w:val="none"/>
              </w:rPr>
            </w:pPr>
          </w:p>
        </w:tc>
      </w:tr>
      <w:tr w14:paraId="2F6BC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trPr>
        <w:tc>
          <w:tcPr>
            <w:tcW w:w="925" w:type="dxa"/>
            <w:vMerge w:val="continue"/>
            <w:tcBorders>
              <w:top w:val="nil"/>
              <w:left w:val="single" w:color="000000" w:sz="6" w:space="0"/>
            </w:tcBorders>
            <w:textDirection w:val="tbRlV"/>
            <w:vAlign w:val="top"/>
          </w:tcPr>
          <w:p w14:paraId="38CA6D8D">
            <w:pPr>
              <w:rPr>
                <w:rFonts w:ascii="Arial"/>
                <w:color w:val="auto"/>
                <w:sz w:val="21"/>
                <w:highlight w:val="none"/>
              </w:rPr>
            </w:pPr>
          </w:p>
        </w:tc>
        <w:tc>
          <w:tcPr>
            <w:tcW w:w="915" w:type="dxa"/>
            <w:vAlign w:val="top"/>
          </w:tcPr>
          <w:p w14:paraId="452511CB">
            <w:pPr>
              <w:rPr>
                <w:rFonts w:ascii="Arial"/>
                <w:color w:val="auto"/>
                <w:sz w:val="21"/>
                <w:highlight w:val="none"/>
              </w:rPr>
            </w:pPr>
          </w:p>
        </w:tc>
        <w:tc>
          <w:tcPr>
            <w:tcW w:w="1203" w:type="dxa"/>
            <w:vAlign w:val="top"/>
          </w:tcPr>
          <w:p w14:paraId="7958C9A5">
            <w:pPr>
              <w:rPr>
                <w:rFonts w:ascii="Arial"/>
                <w:color w:val="auto"/>
                <w:sz w:val="21"/>
                <w:highlight w:val="none"/>
              </w:rPr>
            </w:pPr>
          </w:p>
        </w:tc>
        <w:tc>
          <w:tcPr>
            <w:tcW w:w="3384" w:type="dxa"/>
            <w:vAlign w:val="top"/>
          </w:tcPr>
          <w:p w14:paraId="3A70CC19">
            <w:pPr>
              <w:rPr>
                <w:rFonts w:ascii="Arial"/>
                <w:color w:val="auto"/>
                <w:sz w:val="21"/>
                <w:highlight w:val="none"/>
              </w:rPr>
            </w:pPr>
          </w:p>
        </w:tc>
        <w:tc>
          <w:tcPr>
            <w:tcW w:w="1855" w:type="dxa"/>
            <w:tcBorders>
              <w:right w:val="single" w:color="000000" w:sz="6" w:space="0"/>
            </w:tcBorders>
            <w:vAlign w:val="top"/>
          </w:tcPr>
          <w:p w14:paraId="17D6BF20">
            <w:pPr>
              <w:rPr>
                <w:rFonts w:ascii="Arial"/>
                <w:color w:val="auto"/>
                <w:sz w:val="21"/>
                <w:highlight w:val="none"/>
              </w:rPr>
            </w:pPr>
          </w:p>
        </w:tc>
      </w:tr>
      <w:tr w14:paraId="23183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 w:hRule="atLeast"/>
        </w:trPr>
        <w:tc>
          <w:tcPr>
            <w:tcW w:w="925" w:type="dxa"/>
            <w:vMerge w:val="restart"/>
            <w:tcBorders>
              <w:left w:val="single" w:color="000000" w:sz="6" w:space="0"/>
              <w:bottom w:val="nil"/>
            </w:tcBorders>
            <w:textDirection w:val="tbRlV"/>
            <w:vAlign w:val="top"/>
          </w:tcPr>
          <w:p w14:paraId="6A1F4FD6">
            <w:pPr>
              <w:spacing w:line="274" w:lineRule="auto"/>
              <w:rPr>
                <w:rFonts w:ascii="Arial"/>
                <w:color w:val="auto"/>
                <w:sz w:val="21"/>
                <w:highlight w:val="none"/>
              </w:rPr>
            </w:pPr>
          </w:p>
          <w:p w14:paraId="774C297E">
            <w:pPr>
              <w:pStyle w:val="11"/>
              <w:spacing w:before="70" w:line="210" w:lineRule="auto"/>
              <w:ind w:left="1535"/>
              <w:rPr>
                <w:color w:val="auto"/>
                <w:highlight w:val="none"/>
              </w:rPr>
            </w:pPr>
            <w:r>
              <w:rPr>
                <w:color w:val="auto"/>
                <w:spacing w:val="22"/>
                <w:highlight w:val="none"/>
              </w:rPr>
              <w:t>仲裁情况</w:t>
            </w:r>
          </w:p>
        </w:tc>
        <w:tc>
          <w:tcPr>
            <w:tcW w:w="915" w:type="dxa"/>
            <w:vAlign w:val="top"/>
          </w:tcPr>
          <w:p w14:paraId="3ED9308D">
            <w:pPr>
              <w:rPr>
                <w:rFonts w:ascii="Arial"/>
                <w:color w:val="auto"/>
                <w:sz w:val="21"/>
                <w:highlight w:val="none"/>
              </w:rPr>
            </w:pPr>
          </w:p>
        </w:tc>
        <w:tc>
          <w:tcPr>
            <w:tcW w:w="1203" w:type="dxa"/>
            <w:vAlign w:val="top"/>
          </w:tcPr>
          <w:p w14:paraId="1052E4AF">
            <w:pPr>
              <w:rPr>
                <w:rFonts w:ascii="Arial"/>
                <w:color w:val="auto"/>
                <w:sz w:val="21"/>
                <w:highlight w:val="none"/>
              </w:rPr>
            </w:pPr>
          </w:p>
        </w:tc>
        <w:tc>
          <w:tcPr>
            <w:tcW w:w="3384" w:type="dxa"/>
            <w:vAlign w:val="top"/>
          </w:tcPr>
          <w:p w14:paraId="6CD1544A">
            <w:pPr>
              <w:rPr>
                <w:rFonts w:ascii="Arial"/>
                <w:color w:val="auto"/>
                <w:sz w:val="21"/>
                <w:highlight w:val="none"/>
              </w:rPr>
            </w:pPr>
          </w:p>
        </w:tc>
        <w:tc>
          <w:tcPr>
            <w:tcW w:w="1855" w:type="dxa"/>
            <w:tcBorders>
              <w:right w:val="single" w:color="000000" w:sz="6" w:space="0"/>
            </w:tcBorders>
            <w:vAlign w:val="top"/>
          </w:tcPr>
          <w:p w14:paraId="7231EC23">
            <w:pPr>
              <w:rPr>
                <w:rFonts w:ascii="Arial"/>
                <w:color w:val="auto"/>
                <w:sz w:val="21"/>
                <w:highlight w:val="none"/>
              </w:rPr>
            </w:pPr>
          </w:p>
        </w:tc>
      </w:tr>
      <w:tr w14:paraId="150A9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 w:hRule="atLeast"/>
        </w:trPr>
        <w:tc>
          <w:tcPr>
            <w:tcW w:w="925" w:type="dxa"/>
            <w:vMerge w:val="continue"/>
            <w:tcBorders>
              <w:top w:val="nil"/>
              <w:left w:val="single" w:color="000000" w:sz="6" w:space="0"/>
              <w:bottom w:val="nil"/>
            </w:tcBorders>
            <w:textDirection w:val="tbRlV"/>
            <w:vAlign w:val="top"/>
          </w:tcPr>
          <w:p w14:paraId="73043137">
            <w:pPr>
              <w:rPr>
                <w:rFonts w:ascii="Arial"/>
                <w:color w:val="auto"/>
                <w:sz w:val="21"/>
                <w:highlight w:val="none"/>
              </w:rPr>
            </w:pPr>
          </w:p>
        </w:tc>
        <w:tc>
          <w:tcPr>
            <w:tcW w:w="915" w:type="dxa"/>
            <w:vAlign w:val="top"/>
          </w:tcPr>
          <w:p w14:paraId="3F4E53D8">
            <w:pPr>
              <w:rPr>
                <w:rFonts w:ascii="Arial"/>
                <w:color w:val="auto"/>
                <w:sz w:val="21"/>
                <w:highlight w:val="none"/>
              </w:rPr>
            </w:pPr>
          </w:p>
        </w:tc>
        <w:tc>
          <w:tcPr>
            <w:tcW w:w="1203" w:type="dxa"/>
            <w:vAlign w:val="top"/>
          </w:tcPr>
          <w:p w14:paraId="285FE732">
            <w:pPr>
              <w:rPr>
                <w:rFonts w:ascii="Arial"/>
                <w:color w:val="auto"/>
                <w:sz w:val="21"/>
                <w:highlight w:val="none"/>
              </w:rPr>
            </w:pPr>
          </w:p>
        </w:tc>
        <w:tc>
          <w:tcPr>
            <w:tcW w:w="3384" w:type="dxa"/>
            <w:vAlign w:val="top"/>
          </w:tcPr>
          <w:p w14:paraId="0CD9E74F">
            <w:pPr>
              <w:rPr>
                <w:rFonts w:ascii="Arial"/>
                <w:color w:val="auto"/>
                <w:sz w:val="21"/>
                <w:highlight w:val="none"/>
              </w:rPr>
            </w:pPr>
          </w:p>
        </w:tc>
        <w:tc>
          <w:tcPr>
            <w:tcW w:w="1855" w:type="dxa"/>
            <w:tcBorders>
              <w:right w:val="single" w:color="000000" w:sz="6" w:space="0"/>
            </w:tcBorders>
            <w:vAlign w:val="top"/>
          </w:tcPr>
          <w:p w14:paraId="1A863E6F">
            <w:pPr>
              <w:rPr>
                <w:rFonts w:ascii="Arial"/>
                <w:color w:val="auto"/>
                <w:sz w:val="21"/>
                <w:highlight w:val="none"/>
              </w:rPr>
            </w:pPr>
          </w:p>
        </w:tc>
      </w:tr>
      <w:tr w14:paraId="0328B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2" w:hRule="atLeast"/>
        </w:trPr>
        <w:tc>
          <w:tcPr>
            <w:tcW w:w="925" w:type="dxa"/>
            <w:vMerge w:val="continue"/>
            <w:tcBorders>
              <w:top w:val="nil"/>
              <w:left w:val="single" w:color="000000" w:sz="6" w:space="0"/>
              <w:bottom w:val="single" w:color="000000" w:sz="6" w:space="0"/>
            </w:tcBorders>
            <w:textDirection w:val="tbRlV"/>
            <w:vAlign w:val="top"/>
          </w:tcPr>
          <w:p w14:paraId="128D7512">
            <w:pPr>
              <w:rPr>
                <w:rFonts w:ascii="Arial"/>
                <w:color w:val="auto"/>
                <w:sz w:val="21"/>
                <w:highlight w:val="none"/>
              </w:rPr>
            </w:pPr>
          </w:p>
        </w:tc>
        <w:tc>
          <w:tcPr>
            <w:tcW w:w="915" w:type="dxa"/>
            <w:tcBorders>
              <w:bottom w:val="single" w:color="000000" w:sz="6" w:space="0"/>
            </w:tcBorders>
            <w:vAlign w:val="top"/>
          </w:tcPr>
          <w:p w14:paraId="01E83F6F">
            <w:pPr>
              <w:rPr>
                <w:rFonts w:ascii="Arial"/>
                <w:color w:val="auto"/>
                <w:sz w:val="21"/>
                <w:highlight w:val="none"/>
              </w:rPr>
            </w:pPr>
          </w:p>
        </w:tc>
        <w:tc>
          <w:tcPr>
            <w:tcW w:w="1203" w:type="dxa"/>
            <w:tcBorders>
              <w:bottom w:val="single" w:color="000000" w:sz="6" w:space="0"/>
            </w:tcBorders>
            <w:vAlign w:val="top"/>
          </w:tcPr>
          <w:p w14:paraId="311024DE">
            <w:pPr>
              <w:rPr>
                <w:rFonts w:ascii="Arial"/>
                <w:color w:val="auto"/>
                <w:sz w:val="21"/>
                <w:highlight w:val="none"/>
              </w:rPr>
            </w:pPr>
          </w:p>
        </w:tc>
        <w:tc>
          <w:tcPr>
            <w:tcW w:w="3384" w:type="dxa"/>
            <w:tcBorders>
              <w:bottom w:val="single" w:color="000000" w:sz="6" w:space="0"/>
            </w:tcBorders>
            <w:vAlign w:val="top"/>
          </w:tcPr>
          <w:p w14:paraId="138F68C3">
            <w:pPr>
              <w:rPr>
                <w:rFonts w:ascii="Arial"/>
                <w:color w:val="auto"/>
                <w:sz w:val="21"/>
                <w:highlight w:val="none"/>
              </w:rPr>
            </w:pPr>
          </w:p>
        </w:tc>
        <w:tc>
          <w:tcPr>
            <w:tcW w:w="1855" w:type="dxa"/>
            <w:tcBorders>
              <w:bottom w:val="single" w:color="000000" w:sz="6" w:space="0"/>
              <w:right w:val="single" w:color="000000" w:sz="6" w:space="0"/>
            </w:tcBorders>
            <w:vAlign w:val="top"/>
          </w:tcPr>
          <w:p w14:paraId="2461305E">
            <w:pPr>
              <w:rPr>
                <w:rFonts w:ascii="Arial"/>
                <w:color w:val="auto"/>
                <w:sz w:val="21"/>
                <w:highlight w:val="none"/>
              </w:rPr>
            </w:pPr>
          </w:p>
        </w:tc>
      </w:tr>
    </w:tbl>
    <w:p w14:paraId="6CF63866">
      <w:pPr>
        <w:spacing w:before="140" w:line="398" w:lineRule="exact"/>
        <w:ind w:left="20"/>
        <w:rPr>
          <w:rFonts w:ascii="宋体" w:hAnsi="宋体" w:eastAsia="宋体" w:cs="宋体"/>
          <w:color w:val="auto"/>
          <w:sz w:val="21"/>
          <w:szCs w:val="21"/>
          <w:highlight w:val="none"/>
        </w:rPr>
      </w:pPr>
      <w:r>
        <w:rPr>
          <w:rFonts w:ascii="宋体" w:hAnsi="宋体" w:eastAsia="宋体" w:cs="宋体"/>
          <w:color w:val="auto"/>
          <w:spacing w:val="2"/>
          <w:position w:val="14"/>
          <w:sz w:val="21"/>
          <w:szCs w:val="21"/>
          <w:highlight w:val="none"/>
        </w:rPr>
        <w:t xml:space="preserve">备注： </w:t>
      </w:r>
      <w:r>
        <w:rPr>
          <w:rFonts w:ascii="Times New Roman" w:hAnsi="Times New Roman" w:eastAsia="Times New Roman" w:cs="Times New Roman"/>
          <w:color w:val="auto"/>
          <w:spacing w:val="2"/>
          <w:position w:val="14"/>
          <w:sz w:val="21"/>
          <w:szCs w:val="21"/>
          <w:highlight w:val="none"/>
        </w:rPr>
        <w:t>1.</w:t>
      </w:r>
      <w:r>
        <w:rPr>
          <w:rFonts w:ascii="宋体" w:hAnsi="宋体" w:eastAsia="宋体" w:cs="宋体"/>
          <w:color w:val="auto"/>
          <w:spacing w:val="2"/>
          <w:position w:val="14"/>
          <w:sz w:val="21"/>
          <w:szCs w:val="21"/>
          <w:highlight w:val="none"/>
        </w:rPr>
        <w:t>招标文件将近年发生的诉讼和仲裁</w:t>
      </w:r>
      <w:r>
        <w:rPr>
          <w:rFonts w:ascii="宋体" w:hAnsi="宋体" w:eastAsia="宋体" w:cs="宋体"/>
          <w:color w:val="auto"/>
          <w:spacing w:val="1"/>
          <w:position w:val="14"/>
          <w:sz w:val="21"/>
          <w:szCs w:val="21"/>
          <w:highlight w:val="none"/>
        </w:rPr>
        <w:t>情况作为资格条件或评分项的，投标人应当如</w:t>
      </w:r>
    </w:p>
    <w:p w14:paraId="04F8988D">
      <w:pPr>
        <w:spacing w:line="220" w:lineRule="auto"/>
        <w:ind w:left="863"/>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实填报相关情况。 没有可不填。</w:t>
      </w:r>
    </w:p>
    <w:p w14:paraId="610B8E47">
      <w:pPr>
        <w:spacing w:before="153" w:line="350" w:lineRule="auto"/>
        <w:ind w:left="857" w:right="11" w:hanging="214"/>
        <w:rPr>
          <w:rFonts w:ascii="宋体" w:hAnsi="宋体" w:eastAsia="宋体" w:cs="宋体"/>
          <w:color w:val="auto"/>
          <w:sz w:val="21"/>
          <w:szCs w:val="21"/>
          <w:highlight w:val="none"/>
        </w:rPr>
      </w:pPr>
      <w:r>
        <w:rPr>
          <w:rFonts w:ascii="Times New Roman" w:hAnsi="Times New Roman" w:eastAsia="Times New Roman" w:cs="Times New Roman"/>
          <w:color w:val="auto"/>
          <w:spacing w:val="5"/>
          <w:sz w:val="21"/>
          <w:szCs w:val="21"/>
          <w:highlight w:val="none"/>
        </w:rPr>
        <w:t>2.</w:t>
      </w:r>
      <w:r>
        <w:rPr>
          <w:rFonts w:ascii="宋体" w:hAnsi="宋体" w:eastAsia="宋体" w:cs="宋体"/>
          <w:color w:val="auto"/>
          <w:spacing w:val="5"/>
          <w:sz w:val="21"/>
          <w:szCs w:val="21"/>
          <w:highlight w:val="none"/>
        </w:rPr>
        <w:t>近年发生的诉讼和仲裁情况仅限于申请</w:t>
      </w:r>
      <w:r>
        <w:rPr>
          <w:rFonts w:ascii="宋体" w:hAnsi="宋体" w:eastAsia="宋体" w:cs="宋体"/>
          <w:color w:val="auto"/>
          <w:spacing w:val="4"/>
          <w:sz w:val="21"/>
          <w:szCs w:val="21"/>
          <w:highlight w:val="none"/>
        </w:rPr>
        <w:t>人败诉的，且与签订或履行合同有关的案</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件，不包括调解结案以及未终审判决的诉讼或未裁决的仲裁。附法院或仲裁机构</w:t>
      </w:r>
    </w:p>
    <w:p w14:paraId="57990A5D">
      <w:pPr>
        <w:spacing w:before="1" w:line="219" w:lineRule="auto"/>
        <w:ind w:left="859"/>
        <w:rPr>
          <w:rFonts w:ascii="宋体" w:hAnsi="宋体" w:eastAsia="宋体" w:cs="宋体"/>
          <w:color w:val="auto"/>
          <w:sz w:val="21"/>
          <w:szCs w:val="21"/>
          <w:highlight w:val="none"/>
        </w:rPr>
      </w:pPr>
      <w:r>
        <w:rPr>
          <w:rFonts w:ascii="宋体" w:hAnsi="宋体" w:eastAsia="宋体" w:cs="宋体"/>
          <w:color w:val="auto"/>
          <w:sz w:val="21"/>
          <w:szCs w:val="21"/>
          <w:highlight w:val="none"/>
        </w:rPr>
        <w:t>作出的判决或裁决等有关法律文书。以仲裁裁决或判决书的制发时间</w:t>
      </w:r>
      <w:r>
        <w:rPr>
          <w:rFonts w:ascii="宋体" w:hAnsi="宋体" w:eastAsia="宋体" w:cs="宋体"/>
          <w:color w:val="auto"/>
          <w:spacing w:val="-1"/>
          <w:sz w:val="21"/>
          <w:szCs w:val="21"/>
          <w:highlight w:val="none"/>
        </w:rPr>
        <w:t>为准。</w:t>
      </w:r>
    </w:p>
    <w:p w14:paraId="3CABBEED">
      <w:pPr>
        <w:spacing w:before="153" w:line="352" w:lineRule="auto"/>
        <w:ind w:left="857" w:right="11" w:hanging="206"/>
        <w:rPr>
          <w:rFonts w:ascii="宋体" w:hAnsi="宋体" w:eastAsia="宋体" w:cs="宋体"/>
          <w:color w:val="auto"/>
          <w:sz w:val="21"/>
          <w:szCs w:val="21"/>
          <w:highlight w:val="none"/>
        </w:rPr>
      </w:pPr>
      <w:r>
        <w:rPr>
          <w:rFonts w:ascii="宋体" w:hAnsi="宋体" w:eastAsia="宋体" w:cs="宋体"/>
          <w:color w:val="auto"/>
          <w:sz w:val="21"/>
          <w:szCs w:val="21"/>
          <w:highlight w:val="none"/>
        </w:rPr>
        <w:t>3.投标人应如实填写近年发生的诉讼及仲裁情况， 否则视为不响应招标文件实质性</w:t>
      </w:r>
      <w:r>
        <w:rPr>
          <w:rFonts w:ascii="宋体" w:hAnsi="宋体" w:eastAsia="宋体" w:cs="宋体"/>
          <w:color w:val="auto"/>
          <w:spacing w:val="3"/>
          <w:sz w:val="21"/>
          <w:szCs w:val="21"/>
          <w:highlight w:val="none"/>
        </w:rPr>
        <w:t xml:space="preserve"> </w:t>
      </w:r>
      <w:r>
        <w:rPr>
          <w:rFonts w:ascii="宋体" w:hAnsi="宋体" w:eastAsia="宋体" w:cs="宋体"/>
          <w:color w:val="auto"/>
          <w:sz w:val="21"/>
          <w:szCs w:val="21"/>
          <w:highlight w:val="none"/>
        </w:rPr>
        <w:t>要求， 其投标文件将被否决。如投标人因故意隐瞒且查证属实存在影响履约的诉</w:t>
      </w:r>
      <w:r>
        <w:rPr>
          <w:rFonts w:ascii="宋体" w:hAnsi="宋体" w:eastAsia="宋体" w:cs="宋体"/>
          <w:color w:val="auto"/>
          <w:spacing w:val="6"/>
          <w:sz w:val="21"/>
          <w:szCs w:val="21"/>
          <w:highlight w:val="none"/>
        </w:rPr>
        <w:t xml:space="preserve"> </w:t>
      </w:r>
      <w:r>
        <w:rPr>
          <w:rFonts w:ascii="宋体" w:hAnsi="宋体" w:eastAsia="宋体" w:cs="宋体"/>
          <w:color w:val="auto"/>
          <w:sz w:val="21"/>
          <w:szCs w:val="21"/>
          <w:highlight w:val="none"/>
        </w:rPr>
        <w:t>讼及仲裁情况， 将视为弄虚作假或以不正当手段骗取中标的行为，将依法依规予</w:t>
      </w:r>
    </w:p>
    <w:p w14:paraId="4A0559E9">
      <w:pPr>
        <w:spacing w:line="223" w:lineRule="auto"/>
        <w:ind w:left="882"/>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以处理。</w:t>
      </w:r>
    </w:p>
    <w:p w14:paraId="2DE2E69C">
      <w:pPr>
        <w:spacing w:line="223" w:lineRule="auto"/>
        <w:rPr>
          <w:rFonts w:ascii="宋体" w:hAnsi="宋体" w:eastAsia="宋体" w:cs="宋体"/>
          <w:color w:val="auto"/>
          <w:sz w:val="21"/>
          <w:szCs w:val="21"/>
          <w:highlight w:val="none"/>
        </w:rPr>
        <w:sectPr>
          <w:footerReference r:id="rId238" w:type="default"/>
          <w:pgSz w:w="11905" w:h="16839"/>
          <w:pgMar w:top="400" w:right="1785" w:bottom="1004" w:left="1785" w:header="0" w:footer="828" w:gutter="0"/>
          <w:pgNumType w:fmt="decimal"/>
          <w:cols w:space="720" w:num="1"/>
        </w:sectPr>
      </w:pPr>
    </w:p>
    <w:p w14:paraId="2464753A">
      <w:pPr>
        <w:pStyle w:val="3"/>
        <w:spacing w:line="267" w:lineRule="auto"/>
        <w:rPr>
          <w:color w:val="auto"/>
          <w:highlight w:val="none"/>
        </w:rPr>
      </w:pPr>
    </w:p>
    <w:p w14:paraId="57D23C69">
      <w:pPr>
        <w:pStyle w:val="3"/>
        <w:spacing w:line="267" w:lineRule="auto"/>
        <w:rPr>
          <w:color w:val="auto"/>
          <w:highlight w:val="none"/>
        </w:rPr>
      </w:pPr>
    </w:p>
    <w:p w14:paraId="6F867068">
      <w:pPr>
        <w:pStyle w:val="3"/>
        <w:spacing w:line="268" w:lineRule="auto"/>
        <w:rPr>
          <w:color w:val="auto"/>
          <w:highlight w:val="none"/>
        </w:rPr>
      </w:pPr>
    </w:p>
    <w:p w14:paraId="7BA5A847">
      <w:pPr>
        <w:pStyle w:val="3"/>
        <w:spacing w:line="268" w:lineRule="auto"/>
        <w:rPr>
          <w:color w:val="auto"/>
          <w:highlight w:val="none"/>
        </w:rPr>
      </w:pPr>
    </w:p>
    <w:p w14:paraId="12DE6CB1">
      <w:pPr>
        <w:spacing w:before="78" w:line="219" w:lineRule="auto"/>
        <w:ind w:left="2547"/>
        <w:rPr>
          <w:rFonts w:ascii="黑体" w:hAnsi="黑体" w:eastAsia="黑体" w:cs="黑体"/>
          <w:color w:val="auto"/>
          <w:sz w:val="24"/>
          <w:szCs w:val="24"/>
          <w:highlight w:val="none"/>
        </w:rPr>
      </w:pPr>
      <w:bookmarkStart w:id="1353" w:name="bookmark326"/>
      <w:bookmarkEnd w:id="1353"/>
      <w:r>
        <w:rPr>
          <w:rFonts w:ascii="Times New Roman" w:hAnsi="Times New Roman" w:eastAsia="Times New Roman" w:cs="Times New Roman"/>
          <w:color w:val="auto"/>
          <w:spacing w:val="-1"/>
          <w:sz w:val="24"/>
          <w:szCs w:val="24"/>
          <w:highlight w:val="none"/>
        </w:rPr>
        <w:t xml:space="preserve">5-3 </w:t>
      </w:r>
      <w:r>
        <w:rPr>
          <w:rFonts w:ascii="黑体" w:hAnsi="黑体" w:eastAsia="黑体" w:cs="黑体"/>
          <w:color w:val="auto"/>
          <w:spacing w:val="-1"/>
          <w:sz w:val="24"/>
          <w:szCs w:val="24"/>
          <w:highlight w:val="none"/>
        </w:rPr>
        <w:t>近年投标人工程获奖情况表</w:t>
      </w:r>
    </w:p>
    <w:p w14:paraId="4505956E">
      <w:pPr>
        <w:spacing w:before="160"/>
        <w:rPr>
          <w:color w:val="auto"/>
          <w:highlight w:val="none"/>
        </w:rPr>
      </w:pPr>
    </w:p>
    <w:tbl>
      <w:tblPr>
        <w:tblStyle w:val="10"/>
        <w:tblW w:w="857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2399"/>
        <w:gridCol w:w="1799"/>
        <w:gridCol w:w="1440"/>
        <w:gridCol w:w="2164"/>
      </w:tblGrid>
      <w:tr w14:paraId="13E46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3" w:type="dxa"/>
            <w:vAlign w:val="top"/>
          </w:tcPr>
          <w:p w14:paraId="58C682CE">
            <w:pPr>
              <w:pStyle w:val="11"/>
              <w:spacing w:before="159" w:line="222" w:lineRule="auto"/>
              <w:ind w:left="185"/>
              <w:rPr>
                <w:color w:val="auto"/>
                <w:highlight w:val="none"/>
              </w:rPr>
            </w:pPr>
            <w:r>
              <w:rPr>
                <w:color w:val="auto"/>
                <w:spacing w:val="-2"/>
                <w:highlight w:val="none"/>
              </w:rPr>
              <w:t>序号</w:t>
            </w:r>
          </w:p>
        </w:tc>
        <w:tc>
          <w:tcPr>
            <w:tcW w:w="2399" w:type="dxa"/>
            <w:vAlign w:val="top"/>
          </w:tcPr>
          <w:p w14:paraId="0F4E8B0D">
            <w:pPr>
              <w:pStyle w:val="11"/>
              <w:spacing w:before="159" w:line="221" w:lineRule="auto"/>
              <w:ind w:left="789"/>
              <w:rPr>
                <w:color w:val="auto"/>
                <w:highlight w:val="none"/>
              </w:rPr>
            </w:pPr>
            <w:r>
              <w:rPr>
                <w:color w:val="auto"/>
                <w:spacing w:val="-2"/>
                <w:highlight w:val="none"/>
              </w:rPr>
              <w:t>项目名称</w:t>
            </w:r>
          </w:p>
        </w:tc>
        <w:tc>
          <w:tcPr>
            <w:tcW w:w="1799" w:type="dxa"/>
            <w:vAlign w:val="top"/>
          </w:tcPr>
          <w:p w14:paraId="74318034">
            <w:pPr>
              <w:pStyle w:val="11"/>
              <w:spacing w:before="158" w:line="221" w:lineRule="auto"/>
              <w:ind w:left="488"/>
              <w:rPr>
                <w:color w:val="auto"/>
                <w:highlight w:val="none"/>
              </w:rPr>
            </w:pPr>
            <w:r>
              <w:rPr>
                <w:color w:val="auto"/>
                <w:spacing w:val="-2"/>
                <w:highlight w:val="none"/>
              </w:rPr>
              <w:t>获奖名称</w:t>
            </w:r>
          </w:p>
        </w:tc>
        <w:tc>
          <w:tcPr>
            <w:tcW w:w="1440" w:type="dxa"/>
            <w:vAlign w:val="top"/>
          </w:tcPr>
          <w:p w14:paraId="50A4FFB0">
            <w:pPr>
              <w:pStyle w:val="11"/>
              <w:spacing w:before="158" w:line="221" w:lineRule="auto"/>
              <w:ind w:left="313"/>
              <w:rPr>
                <w:color w:val="auto"/>
                <w:highlight w:val="none"/>
              </w:rPr>
            </w:pPr>
            <w:r>
              <w:rPr>
                <w:color w:val="auto"/>
                <w:spacing w:val="-2"/>
                <w:highlight w:val="none"/>
              </w:rPr>
              <w:t>获奖日期</w:t>
            </w:r>
          </w:p>
        </w:tc>
        <w:tc>
          <w:tcPr>
            <w:tcW w:w="2164" w:type="dxa"/>
            <w:vAlign w:val="top"/>
          </w:tcPr>
          <w:p w14:paraId="437E68DD">
            <w:pPr>
              <w:pStyle w:val="11"/>
              <w:spacing w:before="159" w:line="221" w:lineRule="auto"/>
              <w:ind w:left="670"/>
              <w:rPr>
                <w:color w:val="auto"/>
                <w:highlight w:val="none"/>
              </w:rPr>
            </w:pPr>
            <w:r>
              <w:rPr>
                <w:color w:val="auto"/>
                <w:spacing w:val="-1"/>
                <w:highlight w:val="none"/>
              </w:rPr>
              <w:t>颁奖单位</w:t>
            </w:r>
          </w:p>
        </w:tc>
      </w:tr>
      <w:tr w14:paraId="4A1CA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2C617519">
            <w:pPr>
              <w:rPr>
                <w:rFonts w:ascii="Arial"/>
                <w:color w:val="auto"/>
                <w:sz w:val="21"/>
                <w:highlight w:val="none"/>
              </w:rPr>
            </w:pPr>
          </w:p>
        </w:tc>
        <w:tc>
          <w:tcPr>
            <w:tcW w:w="2399" w:type="dxa"/>
            <w:vAlign w:val="top"/>
          </w:tcPr>
          <w:p w14:paraId="5DD52AE2">
            <w:pPr>
              <w:rPr>
                <w:rFonts w:ascii="Arial"/>
                <w:color w:val="auto"/>
                <w:sz w:val="21"/>
                <w:highlight w:val="none"/>
              </w:rPr>
            </w:pPr>
          </w:p>
        </w:tc>
        <w:tc>
          <w:tcPr>
            <w:tcW w:w="1799" w:type="dxa"/>
            <w:vAlign w:val="top"/>
          </w:tcPr>
          <w:p w14:paraId="38A62E61">
            <w:pPr>
              <w:rPr>
                <w:rFonts w:ascii="Arial"/>
                <w:color w:val="auto"/>
                <w:sz w:val="21"/>
                <w:highlight w:val="none"/>
              </w:rPr>
            </w:pPr>
          </w:p>
        </w:tc>
        <w:tc>
          <w:tcPr>
            <w:tcW w:w="1440" w:type="dxa"/>
            <w:vAlign w:val="top"/>
          </w:tcPr>
          <w:p w14:paraId="4B32B230">
            <w:pPr>
              <w:rPr>
                <w:rFonts w:ascii="Arial"/>
                <w:color w:val="auto"/>
                <w:sz w:val="21"/>
                <w:highlight w:val="none"/>
              </w:rPr>
            </w:pPr>
          </w:p>
        </w:tc>
        <w:tc>
          <w:tcPr>
            <w:tcW w:w="2164" w:type="dxa"/>
            <w:vAlign w:val="top"/>
          </w:tcPr>
          <w:p w14:paraId="743ACE55">
            <w:pPr>
              <w:rPr>
                <w:rFonts w:ascii="Arial"/>
                <w:color w:val="auto"/>
                <w:sz w:val="21"/>
                <w:highlight w:val="none"/>
              </w:rPr>
            </w:pPr>
          </w:p>
        </w:tc>
      </w:tr>
      <w:tr w14:paraId="1D0EB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4E090B4C">
            <w:pPr>
              <w:rPr>
                <w:rFonts w:ascii="Arial"/>
                <w:color w:val="auto"/>
                <w:sz w:val="21"/>
                <w:highlight w:val="none"/>
              </w:rPr>
            </w:pPr>
          </w:p>
        </w:tc>
        <w:tc>
          <w:tcPr>
            <w:tcW w:w="2399" w:type="dxa"/>
            <w:vAlign w:val="top"/>
          </w:tcPr>
          <w:p w14:paraId="017E67B4">
            <w:pPr>
              <w:rPr>
                <w:rFonts w:ascii="Arial"/>
                <w:color w:val="auto"/>
                <w:sz w:val="21"/>
                <w:highlight w:val="none"/>
              </w:rPr>
            </w:pPr>
          </w:p>
        </w:tc>
        <w:tc>
          <w:tcPr>
            <w:tcW w:w="1799" w:type="dxa"/>
            <w:vAlign w:val="top"/>
          </w:tcPr>
          <w:p w14:paraId="63AB6B6D">
            <w:pPr>
              <w:rPr>
                <w:rFonts w:ascii="Arial"/>
                <w:color w:val="auto"/>
                <w:sz w:val="21"/>
                <w:highlight w:val="none"/>
              </w:rPr>
            </w:pPr>
          </w:p>
        </w:tc>
        <w:tc>
          <w:tcPr>
            <w:tcW w:w="1440" w:type="dxa"/>
            <w:vAlign w:val="top"/>
          </w:tcPr>
          <w:p w14:paraId="22556822">
            <w:pPr>
              <w:rPr>
                <w:rFonts w:ascii="Arial"/>
                <w:color w:val="auto"/>
                <w:sz w:val="21"/>
                <w:highlight w:val="none"/>
              </w:rPr>
            </w:pPr>
          </w:p>
        </w:tc>
        <w:tc>
          <w:tcPr>
            <w:tcW w:w="2164" w:type="dxa"/>
            <w:vAlign w:val="top"/>
          </w:tcPr>
          <w:p w14:paraId="6CEDB9A5">
            <w:pPr>
              <w:rPr>
                <w:rFonts w:ascii="Arial"/>
                <w:color w:val="auto"/>
                <w:sz w:val="21"/>
                <w:highlight w:val="none"/>
              </w:rPr>
            </w:pPr>
          </w:p>
        </w:tc>
      </w:tr>
      <w:tr w14:paraId="401C1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1EB17ACC">
            <w:pPr>
              <w:rPr>
                <w:rFonts w:ascii="Arial"/>
                <w:color w:val="auto"/>
                <w:sz w:val="21"/>
                <w:highlight w:val="none"/>
              </w:rPr>
            </w:pPr>
          </w:p>
        </w:tc>
        <w:tc>
          <w:tcPr>
            <w:tcW w:w="2399" w:type="dxa"/>
            <w:vAlign w:val="top"/>
          </w:tcPr>
          <w:p w14:paraId="4B2C4846">
            <w:pPr>
              <w:rPr>
                <w:rFonts w:ascii="Arial"/>
                <w:color w:val="auto"/>
                <w:sz w:val="21"/>
                <w:highlight w:val="none"/>
              </w:rPr>
            </w:pPr>
          </w:p>
        </w:tc>
        <w:tc>
          <w:tcPr>
            <w:tcW w:w="1799" w:type="dxa"/>
            <w:vAlign w:val="top"/>
          </w:tcPr>
          <w:p w14:paraId="1A1C3997">
            <w:pPr>
              <w:rPr>
                <w:rFonts w:ascii="Arial"/>
                <w:color w:val="auto"/>
                <w:sz w:val="21"/>
                <w:highlight w:val="none"/>
              </w:rPr>
            </w:pPr>
          </w:p>
        </w:tc>
        <w:tc>
          <w:tcPr>
            <w:tcW w:w="1440" w:type="dxa"/>
            <w:vAlign w:val="top"/>
          </w:tcPr>
          <w:p w14:paraId="166705D1">
            <w:pPr>
              <w:rPr>
                <w:rFonts w:ascii="Arial"/>
                <w:color w:val="auto"/>
                <w:sz w:val="21"/>
                <w:highlight w:val="none"/>
              </w:rPr>
            </w:pPr>
          </w:p>
        </w:tc>
        <w:tc>
          <w:tcPr>
            <w:tcW w:w="2164" w:type="dxa"/>
            <w:vAlign w:val="top"/>
          </w:tcPr>
          <w:p w14:paraId="5D5D3848">
            <w:pPr>
              <w:rPr>
                <w:rFonts w:ascii="Arial"/>
                <w:color w:val="auto"/>
                <w:sz w:val="21"/>
                <w:highlight w:val="none"/>
              </w:rPr>
            </w:pPr>
          </w:p>
        </w:tc>
      </w:tr>
      <w:tr w14:paraId="6BF27E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197D8050">
            <w:pPr>
              <w:rPr>
                <w:rFonts w:ascii="Arial"/>
                <w:color w:val="auto"/>
                <w:sz w:val="21"/>
                <w:highlight w:val="none"/>
              </w:rPr>
            </w:pPr>
          </w:p>
        </w:tc>
        <w:tc>
          <w:tcPr>
            <w:tcW w:w="2399" w:type="dxa"/>
            <w:vAlign w:val="top"/>
          </w:tcPr>
          <w:p w14:paraId="1FB40CA0">
            <w:pPr>
              <w:rPr>
                <w:rFonts w:ascii="Arial"/>
                <w:color w:val="auto"/>
                <w:sz w:val="21"/>
                <w:highlight w:val="none"/>
              </w:rPr>
            </w:pPr>
          </w:p>
        </w:tc>
        <w:tc>
          <w:tcPr>
            <w:tcW w:w="1799" w:type="dxa"/>
            <w:vAlign w:val="top"/>
          </w:tcPr>
          <w:p w14:paraId="13B7D057">
            <w:pPr>
              <w:rPr>
                <w:rFonts w:ascii="Arial"/>
                <w:color w:val="auto"/>
                <w:sz w:val="21"/>
                <w:highlight w:val="none"/>
              </w:rPr>
            </w:pPr>
          </w:p>
        </w:tc>
        <w:tc>
          <w:tcPr>
            <w:tcW w:w="1440" w:type="dxa"/>
            <w:vAlign w:val="top"/>
          </w:tcPr>
          <w:p w14:paraId="61C9D689">
            <w:pPr>
              <w:rPr>
                <w:rFonts w:ascii="Arial"/>
                <w:color w:val="auto"/>
                <w:sz w:val="21"/>
                <w:highlight w:val="none"/>
              </w:rPr>
            </w:pPr>
          </w:p>
        </w:tc>
        <w:tc>
          <w:tcPr>
            <w:tcW w:w="2164" w:type="dxa"/>
            <w:vAlign w:val="top"/>
          </w:tcPr>
          <w:p w14:paraId="0F75A5C3">
            <w:pPr>
              <w:rPr>
                <w:rFonts w:ascii="Arial"/>
                <w:color w:val="auto"/>
                <w:sz w:val="21"/>
                <w:highlight w:val="none"/>
              </w:rPr>
            </w:pPr>
          </w:p>
        </w:tc>
      </w:tr>
      <w:tr w14:paraId="1A44A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0702FB1E">
            <w:pPr>
              <w:rPr>
                <w:rFonts w:ascii="Arial"/>
                <w:color w:val="auto"/>
                <w:sz w:val="21"/>
                <w:highlight w:val="none"/>
              </w:rPr>
            </w:pPr>
          </w:p>
        </w:tc>
        <w:tc>
          <w:tcPr>
            <w:tcW w:w="2399" w:type="dxa"/>
            <w:vAlign w:val="top"/>
          </w:tcPr>
          <w:p w14:paraId="4FB2ED85">
            <w:pPr>
              <w:rPr>
                <w:rFonts w:ascii="Arial"/>
                <w:color w:val="auto"/>
                <w:sz w:val="21"/>
                <w:highlight w:val="none"/>
              </w:rPr>
            </w:pPr>
          </w:p>
        </w:tc>
        <w:tc>
          <w:tcPr>
            <w:tcW w:w="1799" w:type="dxa"/>
            <w:vAlign w:val="top"/>
          </w:tcPr>
          <w:p w14:paraId="0BB59718">
            <w:pPr>
              <w:rPr>
                <w:rFonts w:ascii="Arial"/>
                <w:color w:val="auto"/>
                <w:sz w:val="21"/>
                <w:highlight w:val="none"/>
              </w:rPr>
            </w:pPr>
          </w:p>
        </w:tc>
        <w:tc>
          <w:tcPr>
            <w:tcW w:w="1440" w:type="dxa"/>
            <w:vAlign w:val="top"/>
          </w:tcPr>
          <w:p w14:paraId="2B393642">
            <w:pPr>
              <w:rPr>
                <w:rFonts w:ascii="Arial"/>
                <w:color w:val="auto"/>
                <w:sz w:val="21"/>
                <w:highlight w:val="none"/>
              </w:rPr>
            </w:pPr>
          </w:p>
        </w:tc>
        <w:tc>
          <w:tcPr>
            <w:tcW w:w="2164" w:type="dxa"/>
            <w:vAlign w:val="top"/>
          </w:tcPr>
          <w:p w14:paraId="0A66ADBF">
            <w:pPr>
              <w:rPr>
                <w:rFonts w:ascii="Arial"/>
                <w:color w:val="auto"/>
                <w:sz w:val="21"/>
                <w:highlight w:val="none"/>
              </w:rPr>
            </w:pPr>
          </w:p>
        </w:tc>
      </w:tr>
      <w:tr w14:paraId="3D5D5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14:paraId="27BBC3ED">
            <w:pPr>
              <w:rPr>
                <w:rFonts w:ascii="Arial"/>
                <w:color w:val="auto"/>
                <w:sz w:val="21"/>
                <w:highlight w:val="none"/>
              </w:rPr>
            </w:pPr>
          </w:p>
        </w:tc>
        <w:tc>
          <w:tcPr>
            <w:tcW w:w="2399" w:type="dxa"/>
            <w:vAlign w:val="top"/>
          </w:tcPr>
          <w:p w14:paraId="1A21E2A5">
            <w:pPr>
              <w:rPr>
                <w:rFonts w:ascii="Arial"/>
                <w:color w:val="auto"/>
                <w:sz w:val="21"/>
                <w:highlight w:val="none"/>
              </w:rPr>
            </w:pPr>
          </w:p>
        </w:tc>
        <w:tc>
          <w:tcPr>
            <w:tcW w:w="1799" w:type="dxa"/>
            <w:vAlign w:val="top"/>
          </w:tcPr>
          <w:p w14:paraId="3E6B12D2">
            <w:pPr>
              <w:rPr>
                <w:rFonts w:ascii="Arial"/>
                <w:color w:val="auto"/>
                <w:sz w:val="21"/>
                <w:highlight w:val="none"/>
              </w:rPr>
            </w:pPr>
          </w:p>
        </w:tc>
        <w:tc>
          <w:tcPr>
            <w:tcW w:w="1440" w:type="dxa"/>
            <w:vAlign w:val="top"/>
          </w:tcPr>
          <w:p w14:paraId="736C838E">
            <w:pPr>
              <w:rPr>
                <w:rFonts w:ascii="Arial"/>
                <w:color w:val="auto"/>
                <w:sz w:val="21"/>
                <w:highlight w:val="none"/>
              </w:rPr>
            </w:pPr>
          </w:p>
        </w:tc>
        <w:tc>
          <w:tcPr>
            <w:tcW w:w="2164" w:type="dxa"/>
            <w:vAlign w:val="top"/>
          </w:tcPr>
          <w:p w14:paraId="52428247">
            <w:pPr>
              <w:rPr>
                <w:rFonts w:ascii="Arial"/>
                <w:color w:val="auto"/>
                <w:sz w:val="21"/>
                <w:highlight w:val="none"/>
              </w:rPr>
            </w:pPr>
          </w:p>
        </w:tc>
      </w:tr>
      <w:tr w14:paraId="2399C1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1F0E60DB">
            <w:pPr>
              <w:rPr>
                <w:rFonts w:ascii="Arial"/>
                <w:color w:val="auto"/>
                <w:sz w:val="21"/>
                <w:highlight w:val="none"/>
              </w:rPr>
            </w:pPr>
          </w:p>
        </w:tc>
        <w:tc>
          <w:tcPr>
            <w:tcW w:w="2399" w:type="dxa"/>
            <w:vAlign w:val="top"/>
          </w:tcPr>
          <w:p w14:paraId="62D30D3D">
            <w:pPr>
              <w:rPr>
                <w:rFonts w:ascii="Arial"/>
                <w:color w:val="auto"/>
                <w:sz w:val="21"/>
                <w:highlight w:val="none"/>
              </w:rPr>
            </w:pPr>
          </w:p>
        </w:tc>
        <w:tc>
          <w:tcPr>
            <w:tcW w:w="1799" w:type="dxa"/>
            <w:vAlign w:val="top"/>
          </w:tcPr>
          <w:p w14:paraId="73201DCB">
            <w:pPr>
              <w:rPr>
                <w:rFonts w:ascii="Arial"/>
                <w:color w:val="auto"/>
                <w:sz w:val="21"/>
                <w:highlight w:val="none"/>
              </w:rPr>
            </w:pPr>
          </w:p>
        </w:tc>
        <w:tc>
          <w:tcPr>
            <w:tcW w:w="1440" w:type="dxa"/>
            <w:vAlign w:val="top"/>
          </w:tcPr>
          <w:p w14:paraId="5409D799">
            <w:pPr>
              <w:rPr>
                <w:rFonts w:ascii="Arial"/>
                <w:color w:val="auto"/>
                <w:sz w:val="21"/>
                <w:highlight w:val="none"/>
              </w:rPr>
            </w:pPr>
          </w:p>
        </w:tc>
        <w:tc>
          <w:tcPr>
            <w:tcW w:w="2164" w:type="dxa"/>
            <w:vAlign w:val="top"/>
          </w:tcPr>
          <w:p w14:paraId="710365BC">
            <w:pPr>
              <w:rPr>
                <w:rFonts w:ascii="Arial"/>
                <w:color w:val="auto"/>
                <w:sz w:val="21"/>
                <w:highlight w:val="none"/>
              </w:rPr>
            </w:pPr>
          </w:p>
        </w:tc>
      </w:tr>
      <w:tr w14:paraId="6202A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25146C38">
            <w:pPr>
              <w:rPr>
                <w:rFonts w:ascii="Arial"/>
                <w:color w:val="auto"/>
                <w:sz w:val="21"/>
                <w:highlight w:val="none"/>
              </w:rPr>
            </w:pPr>
          </w:p>
        </w:tc>
        <w:tc>
          <w:tcPr>
            <w:tcW w:w="2399" w:type="dxa"/>
            <w:vAlign w:val="top"/>
          </w:tcPr>
          <w:p w14:paraId="4B0C5F5E">
            <w:pPr>
              <w:rPr>
                <w:rFonts w:ascii="Arial"/>
                <w:color w:val="auto"/>
                <w:sz w:val="21"/>
                <w:highlight w:val="none"/>
              </w:rPr>
            </w:pPr>
          </w:p>
        </w:tc>
        <w:tc>
          <w:tcPr>
            <w:tcW w:w="1799" w:type="dxa"/>
            <w:vAlign w:val="top"/>
          </w:tcPr>
          <w:p w14:paraId="303B48FA">
            <w:pPr>
              <w:rPr>
                <w:rFonts w:ascii="Arial"/>
                <w:color w:val="auto"/>
                <w:sz w:val="21"/>
                <w:highlight w:val="none"/>
              </w:rPr>
            </w:pPr>
          </w:p>
        </w:tc>
        <w:tc>
          <w:tcPr>
            <w:tcW w:w="1440" w:type="dxa"/>
            <w:vAlign w:val="top"/>
          </w:tcPr>
          <w:p w14:paraId="310DED27">
            <w:pPr>
              <w:rPr>
                <w:rFonts w:ascii="Arial"/>
                <w:color w:val="auto"/>
                <w:sz w:val="21"/>
                <w:highlight w:val="none"/>
              </w:rPr>
            </w:pPr>
          </w:p>
        </w:tc>
        <w:tc>
          <w:tcPr>
            <w:tcW w:w="2164" w:type="dxa"/>
            <w:vAlign w:val="top"/>
          </w:tcPr>
          <w:p w14:paraId="53892E67">
            <w:pPr>
              <w:rPr>
                <w:rFonts w:ascii="Arial"/>
                <w:color w:val="auto"/>
                <w:sz w:val="21"/>
                <w:highlight w:val="none"/>
              </w:rPr>
            </w:pPr>
          </w:p>
        </w:tc>
      </w:tr>
      <w:tr w14:paraId="39029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65F5D83C">
            <w:pPr>
              <w:rPr>
                <w:rFonts w:ascii="Arial"/>
                <w:color w:val="auto"/>
                <w:sz w:val="21"/>
                <w:highlight w:val="none"/>
              </w:rPr>
            </w:pPr>
          </w:p>
        </w:tc>
        <w:tc>
          <w:tcPr>
            <w:tcW w:w="2399" w:type="dxa"/>
            <w:vAlign w:val="top"/>
          </w:tcPr>
          <w:p w14:paraId="11760E8C">
            <w:pPr>
              <w:rPr>
                <w:rFonts w:ascii="Arial"/>
                <w:color w:val="auto"/>
                <w:sz w:val="21"/>
                <w:highlight w:val="none"/>
              </w:rPr>
            </w:pPr>
          </w:p>
        </w:tc>
        <w:tc>
          <w:tcPr>
            <w:tcW w:w="1799" w:type="dxa"/>
            <w:vAlign w:val="top"/>
          </w:tcPr>
          <w:p w14:paraId="2DE24AED">
            <w:pPr>
              <w:rPr>
                <w:rFonts w:ascii="Arial"/>
                <w:color w:val="auto"/>
                <w:sz w:val="21"/>
                <w:highlight w:val="none"/>
              </w:rPr>
            </w:pPr>
          </w:p>
        </w:tc>
        <w:tc>
          <w:tcPr>
            <w:tcW w:w="1440" w:type="dxa"/>
            <w:vAlign w:val="top"/>
          </w:tcPr>
          <w:p w14:paraId="475D14F8">
            <w:pPr>
              <w:rPr>
                <w:rFonts w:ascii="Arial"/>
                <w:color w:val="auto"/>
                <w:sz w:val="21"/>
                <w:highlight w:val="none"/>
              </w:rPr>
            </w:pPr>
          </w:p>
        </w:tc>
        <w:tc>
          <w:tcPr>
            <w:tcW w:w="2164" w:type="dxa"/>
            <w:vAlign w:val="top"/>
          </w:tcPr>
          <w:p w14:paraId="436B117F">
            <w:pPr>
              <w:rPr>
                <w:rFonts w:ascii="Arial"/>
                <w:color w:val="auto"/>
                <w:sz w:val="21"/>
                <w:highlight w:val="none"/>
              </w:rPr>
            </w:pPr>
          </w:p>
        </w:tc>
      </w:tr>
      <w:tr w14:paraId="5DD4E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339A6DFE">
            <w:pPr>
              <w:rPr>
                <w:rFonts w:ascii="Arial"/>
                <w:color w:val="auto"/>
                <w:sz w:val="21"/>
                <w:highlight w:val="none"/>
              </w:rPr>
            </w:pPr>
          </w:p>
        </w:tc>
        <w:tc>
          <w:tcPr>
            <w:tcW w:w="2399" w:type="dxa"/>
            <w:vAlign w:val="top"/>
          </w:tcPr>
          <w:p w14:paraId="66D752F4">
            <w:pPr>
              <w:rPr>
                <w:rFonts w:ascii="Arial"/>
                <w:color w:val="auto"/>
                <w:sz w:val="21"/>
                <w:highlight w:val="none"/>
              </w:rPr>
            </w:pPr>
          </w:p>
        </w:tc>
        <w:tc>
          <w:tcPr>
            <w:tcW w:w="1799" w:type="dxa"/>
            <w:vAlign w:val="top"/>
          </w:tcPr>
          <w:p w14:paraId="176F1981">
            <w:pPr>
              <w:rPr>
                <w:rFonts w:ascii="Arial"/>
                <w:color w:val="auto"/>
                <w:sz w:val="21"/>
                <w:highlight w:val="none"/>
              </w:rPr>
            </w:pPr>
          </w:p>
        </w:tc>
        <w:tc>
          <w:tcPr>
            <w:tcW w:w="1440" w:type="dxa"/>
            <w:vAlign w:val="top"/>
          </w:tcPr>
          <w:p w14:paraId="525FD74B">
            <w:pPr>
              <w:rPr>
                <w:rFonts w:ascii="Arial"/>
                <w:color w:val="auto"/>
                <w:sz w:val="21"/>
                <w:highlight w:val="none"/>
              </w:rPr>
            </w:pPr>
          </w:p>
        </w:tc>
        <w:tc>
          <w:tcPr>
            <w:tcW w:w="2164" w:type="dxa"/>
            <w:vAlign w:val="top"/>
          </w:tcPr>
          <w:p w14:paraId="798C8888">
            <w:pPr>
              <w:rPr>
                <w:rFonts w:ascii="Arial"/>
                <w:color w:val="auto"/>
                <w:sz w:val="21"/>
                <w:highlight w:val="none"/>
              </w:rPr>
            </w:pPr>
          </w:p>
        </w:tc>
      </w:tr>
      <w:tr w14:paraId="6A817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21B7BC3F">
            <w:pPr>
              <w:rPr>
                <w:rFonts w:ascii="Arial"/>
                <w:color w:val="auto"/>
                <w:sz w:val="21"/>
                <w:highlight w:val="none"/>
              </w:rPr>
            </w:pPr>
          </w:p>
        </w:tc>
        <w:tc>
          <w:tcPr>
            <w:tcW w:w="2399" w:type="dxa"/>
            <w:vAlign w:val="top"/>
          </w:tcPr>
          <w:p w14:paraId="49F0BE2F">
            <w:pPr>
              <w:rPr>
                <w:rFonts w:ascii="Arial"/>
                <w:color w:val="auto"/>
                <w:sz w:val="21"/>
                <w:highlight w:val="none"/>
              </w:rPr>
            </w:pPr>
          </w:p>
        </w:tc>
        <w:tc>
          <w:tcPr>
            <w:tcW w:w="1799" w:type="dxa"/>
            <w:vAlign w:val="top"/>
          </w:tcPr>
          <w:p w14:paraId="412B945D">
            <w:pPr>
              <w:rPr>
                <w:rFonts w:ascii="Arial"/>
                <w:color w:val="auto"/>
                <w:sz w:val="21"/>
                <w:highlight w:val="none"/>
              </w:rPr>
            </w:pPr>
          </w:p>
        </w:tc>
        <w:tc>
          <w:tcPr>
            <w:tcW w:w="1440" w:type="dxa"/>
            <w:vAlign w:val="top"/>
          </w:tcPr>
          <w:p w14:paraId="41470FD2">
            <w:pPr>
              <w:rPr>
                <w:rFonts w:ascii="Arial"/>
                <w:color w:val="auto"/>
                <w:sz w:val="21"/>
                <w:highlight w:val="none"/>
              </w:rPr>
            </w:pPr>
          </w:p>
        </w:tc>
        <w:tc>
          <w:tcPr>
            <w:tcW w:w="2164" w:type="dxa"/>
            <w:vAlign w:val="top"/>
          </w:tcPr>
          <w:p w14:paraId="73F95986">
            <w:pPr>
              <w:rPr>
                <w:rFonts w:ascii="Arial"/>
                <w:color w:val="auto"/>
                <w:sz w:val="21"/>
                <w:highlight w:val="none"/>
              </w:rPr>
            </w:pPr>
          </w:p>
        </w:tc>
      </w:tr>
      <w:tr w14:paraId="3F449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14:paraId="17D58C43">
            <w:pPr>
              <w:rPr>
                <w:rFonts w:ascii="Arial"/>
                <w:color w:val="auto"/>
                <w:sz w:val="21"/>
                <w:highlight w:val="none"/>
              </w:rPr>
            </w:pPr>
          </w:p>
        </w:tc>
        <w:tc>
          <w:tcPr>
            <w:tcW w:w="2399" w:type="dxa"/>
            <w:vAlign w:val="top"/>
          </w:tcPr>
          <w:p w14:paraId="54050152">
            <w:pPr>
              <w:rPr>
                <w:rFonts w:ascii="Arial"/>
                <w:color w:val="auto"/>
                <w:sz w:val="21"/>
                <w:highlight w:val="none"/>
              </w:rPr>
            </w:pPr>
          </w:p>
        </w:tc>
        <w:tc>
          <w:tcPr>
            <w:tcW w:w="1799" w:type="dxa"/>
            <w:vAlign w:val="top"/>
          </w:tcPr>
          <w:p w14:paraId="59CACDF0">
            <w:pPr>
              <w:rPr>
                <w:rFonts w:ascii="Arial"/>
                <w:color w:val="auto"/>
                <w:sz w:val="21"/>
                <w:highlight w:val="none"/>
              </w:rPr>
            </w:pPr>
          </w:p>
        </w:tc>
        <w:tc>
          <w:tcPr>
            <w:tcW w:w="1440" w:type="dxa"/>
            <w:vAlign w:val="top"/>
          </w:tcPr>
          <w:p w14:paraId="3A244EE1">
            <w:pPr>
              <w:rPr>
                <w:rFonts w:ascii="Arial"/>
                <w:color w:val="auto"/>
                <w:sz w:val="21"/>
                <w:highlight w:val="none"/>
              </w:rPr>
            </w:pPr>
          </w:p>
        </w:tc>
        <w:tc>
          <w:tcPr>
            <w:tcW w:w="2164" w:type="dxa"/>
            <w:vAlign w:val="top"/>
          </w:tcPr>
          <w:p w14:paraId="308667B8">
            <w:pPr>
              <w:rPr>
                <w:rFonts w:ascii="Arial"/>
                <w:color w:val="auto"/>
                <w:sz w:val="21"/>
                <w:highlight w:val="none"/>
              </w:rPr>
            </w:pPr>
          </w:p>
        </w:tc>
      </w:tr>
      <w:tr w14:paraId="16D74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773" w:type="dxa"/>
            <w:vAlign w:val="top"/>
          </w:tcPr>
          <w:p w14:paraId="57007218">
            <w:pPr>
              <w:rPr>
                <w:rFonts w:ascii="Arial"/>
                <w:color w:val="auto"/>
                <w:sz w:val="21"/>
                <w:highlight w:val="none"/>
              </w:rPr>
            </w:pPr>
          </w:p>
        </w:tc>
        <w:tc>
          <w:tcPr>
            <w:tcW w:w="2399" w:type="dxa"/>
            <w:vAlign w:val="top"/>
          </w:tcPr>
          <w:p w14:paraId="4BDDD0F2">
            <w:pPr>
              <w:rPr>
                <w:rFonts w:ascii="Arial"/>
                <w:color w:val="auto"/>
                <w:sz w:val="21"/>
                <w:highlight w:val="none"/>
              </w:rPr>
            </w:pPr>
          </w:p>
        </w:tc>
        <w:tc>
          <w:tcPr>
            <w:tcW w:w="1799" w:type="dxa"/>
            <w:vAlign w:val="top"/>
          </w:tcPr>
          <w:p w14:paraId="1FB538B1">
            <w:pPr>
              <w:rPr>
                <w:rFonts w:ascii="Arial"/>
                <w:color w:val="auto"/>
                <w:sz w:val="21"/>
                <w:highlight w:val="none"/>
              </w:rPr>
            </w:pPr>
          </w:p>
        </w:tc>
        <w:tc>
          <w:tcPr>
            <w:tcW w:w="1440" w:type="dxa"/>
            <w:vAlign w:val="top"/>
          </w:tcPr>
          <w:p w14:paraId="75746E13">
            <w:pPr>
              <w:rPr>
                <w:rFonts w:ascii="Arial"/>
                <w:color w:val="auto"/>
                <w:sz w:val="21"/>
                <w:highlight w:val="none"/>
              </w:rPr>
            </w:pPr>
          </w:p>
        </w:tc>
        <w:tc>
          <w:tcPr>
            <w:tcW w:w="2164" w:type="dxa"/>
            <w:vAlign w:val="top"/>
          </w:tcPr>
          <w:p w14:paraId="27D59931">
            <w:pPr>
              <w:rPr>
                <w:rFonts w:ascii="Arial"/>
                <w:color w:val="auto"/>
                <w:sz w:val="21"/>
                <w:highlight w:val="none"/>
              </w:rPr>
            </w:pPr>
          </w:p>
        </w:tc>
      </w:tr>
    </w:tbl>
    <w:p w14:paraId="724514CA">
      <w:pPr>
        <w:spacing w:before="154" w:line="399" w:lineRule="exact"/>
        <w:ind w:left="20"/>
        <w:rPr>
          <w:rFonts w:ascii="宋体" w:hAnsi="宋体" w:eastAsia="宋体" w:cs="宋体"/>
          <w:color w:val="auto"/>
          <w:sz w:val="21"/>
          <w:szCs w:val="21"/>
          <w:highlight w:val="none"/>
        </w:rPr>
      </w:pPr>
      <w:r>
        <w:rPr>
          <w:rFonts w:ascii="宋体" w:hAnsi="宋体" w:eastAsia="宋体" w:cs="宋体"/>
          <w:color w:val="auto"/>
          <w:spacing w:val="1"/>
          <w:position w:val="14"/>
          <w:sz w:val="21"/>
          <w:szCs w:val="21"/>
          <w:highlight w:val="none"/>
        </w:rPr>
        <w:t xml:space="preserve">备注： </w:t>
      </w:r>
      <w:r>
        <w:rPr>
          <w:rFonts w:ascii="Times New Roman" w:hAnsi="Times New Roman" w:eastAsia="Times New Roman" w:cs="Times New Roman"/>
          <w:color w:val="auto"/>
          <w:spacing w:val="1"/>
          <w:position w:val="14"/>
          <w:sz w:val="21"/>
          <w:szCs w:val="21"/>
          <w:highlight w:val="none"/>
        </w:rPr>
        <w:t>1.</w:t>
      </w:r>
      <w:r>
        <w:rPr>
          <w:rFonts w:ascii="宋体" w:hAnsi="宋体" w:eastAsia="宋体" w:cs="宋体"/>
          <w:color w:val="auto"/>
          <w:spacing w:val="1"/>
          <w:position w:val="14"/>
          <w:sz w:val="21"/>
          <w:szCs w:val="21"/>
          <w:highlight w:val="none"/>
        </w:rPr>
        <w:t>本表后应附表彰文件、获奖证书及其他证明材料等。以表彰文件、获奖证书的颁</w:t>
      </w:r>
    </w:p>
    <w:p w14:paraId="5AA0FC8E">
      <w:pPr>
        <w:spacing w:line="221" w:lineRule="auto"/>
        <w:ind w:left="86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发时间为准。</w:t>
      </w:r>
    </w:p>
    <w:p w14:paraId="37042521">
      <w:pPr>
        <w:spacing w:before="151" w:line="220" w:lineRule="auto"/>
        <w:ind w:left="643"/>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 </w:t>
      </w:r>
      <w:r>
        <w:rPr>
          <w:rFonts w:ascii="宋体" w:hAnsi="宋体" w:eastAsia="宋体" w:cs="宋体"/>
          <w:color w:val="auto"/>
          <w:sz w:val="21"/>
          <w:szCs w:val="21"/>
          <w:highlight w:val="none"/>
        </w:rPr>
        <w:t>颁奖单位应当是国家机关或民政部门注册登记的合法颁奖单位。</w:t>
      </w:r>
    </w:p>
    <w:p w14:paraId="2F7635B5">
      <w:pPr>
        <w:spacing w:line="220" w:lineRule="auto"/>
        <w:rPr>
          <w:rFonts w:ascii="宋体" w:hAnsi="宋体" w:eastAsia="宋体" w:cs="宋体"/>
          <w:color w:val="auto"/>
          <w:sz w:val="21"/>
          <w:szCs w:val="21"/>
          <w:highlight w:val="none"/>
        </w:rPr>
        <w:sectPr>
          <w:footerReference r:id="rId239" w:type="default"/>
          <w:pgSz w:w="11905" w:h="16839"/>
          <w:pgMar w:top="400" w:right="1527" w:bottom="1004" w:left="1785" w:header="0" w:footer="828" w:gutter="0"/>
          <w:pgNumType w:fmt="decimal"/>
          <w:cols w:space="720" w:num="1"/>
        </w:sectPr>
      </w:pPr>
    </w:p>
    <w:p w14:paraId="4C4F90BC">
      <w:pPr>
        <w:pStyle w:val="3"/>
        <w:spacing w:line="267" w:lineRule="auto"/>
        <w:rPr>
          <w:color w:val="auto"/>
          <w:highlight w:val="none"/>
        </w:rPr>
      </w:pPr>
    </w:p>
    <w:p w14:paraId="6A49FA78">
      <w:pPr>
        <w:pStyle w:val="3"/>
        <w:spacing w:line="267" w:lineRule="auto"/>
        <w:rPr>
          <w:color w:val="auto"/>
          <w:highlight w:val="none"/>
        </w:rPr>
      </w:pPr>
    </w:p>
    <w:p w14:paraId="201582EA">
      <w:pPr>
        <w:pStyle w:val="3"/>
        <w:spacing w:line="268" w:lineRule="auto"/>
        <w:rPr>
          <w:color w:val="auto"/>
          <w:highlight w:val="none"/>
        </w:rPr>
      </w:pPr>
    </w:p>
    <w:p w14:paraId="05322A3C">
      <w:pPr>
        <w:pStyle w:val="3"/>
        <w:spacing w:line="268" w:lineRule="auto"/>
        <w:rPr>
          <w:color w:val="auto"/>
          <w:highlight w:val="none"/>
        </w:rPr>
      </w:pPr>
    </w:p>
    <w:p w14:paraId="3950CA49">
      <w:pPr>
        <w:spacing w:before="78" w:line="219" w:lineRule="auto"/>
        <w:ind w:left="2427"/>
        <w:rPr>
          <w:rFonts w:ascii="黑体" w:hAnsi="黑体" w:eastAsia="黑体" w:cs="黑体"/>
          <w:color w:val="auto"/>
          <w:sz w:val="24"/>
          <w:szCs w:val="24"/>
          <w:highlight w:val="none"/>
        </w:rPr>
      </w:pPr>
      <w:bookmarkStart w:id="1354" w:name="bookmark327"/>
      <w:bookmarkEnd w:id="1354"/>
      <w:r>
        <w:rPr>
          <w:rFonts w:ascii="Times New Roman" w:hAnsi="Times New Roman" w:eastAsia="Times New Roman" w:cs="Times New Roman"/>
          <w:color w:val="auto"/>
          <w:spacing w:val="-1"/>
          <w:sz w:val="24"/>
          <w:szCs w:val="24"/>
          <w:highlight w:val="none"/>
        </w:rPr>
        <w:t xml:space="preserve">5-4 </w:t>
      </w:r>
      <w:r>
        <w:rPr>
          <w:rFonts w:ascii="黑体" w:hAnsi="黑体" w:eastAsia="黑体" w:cs="黑体"/>
          <w:color w:val="auto"/>
          <w:spacing w:val="-1"/>
          <w:sz w:val="24"/>
          <w:szCs w:val="24"/>
          <w:highlight w:val="none"/>
        </w:rPr>
        <w:t>近年项目经理工程获奖情况表</w:t>
      </w:r>
    </w:p>
    <w:p w14:paraId="7BAAF834">
      <w:pPr>
        <w:spacing w:before="160"/>
        <w:rPr>
          <w:color w:val="auto"/>
          <w:highlight w:val="none"/>
        </w:rPr>
      </w:pPr>
    </w:p>
    <w:tbl>
      <w:tblPr>
        <w:tblStyle w:val="10"/>
        <w:tblW w:w="857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2399"/>
        <w:gridCol w:w="1799"/>
        <w:gridCol w:w="1440"/>
        <w:gridCol w:w="2164"/>
      </w:tblGrid>
      <w:tr w14:paraId="61681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3" w:type="dxa"/>
            <w:vAlign w:val="top"/>
          </w:tcPr>
          <w:p w14:paraId="599211D4">
            <w:pPr>
              <w:pStyle w:val="11"/>
              <w:spacing w:before="159" w:line="222" w:lineRule="auto"/>
              <w:ind w:left="185"/>
              <w:rPr>
                <w:color w:val="auto"/>
                <w:highlight w:val="none"/>
              </w:rPr>
            </w:pPr>
            <w:r>
              <w:rPr>
                <w:color w:val="auto"/>
                <w:spacing w:val="-2"/>
                <w:highlight w:val="none"/>
              </w:rPr>
              <w:t>序号</w:t>
            </w:r>
          </w:p>
        </w:tc>
        <w:tc>
          <w:tcPr>
            <w:tcW w:w="2399" w:type="dxa"/>
            <w:vAlign w:val="top"/>
          </w:tcPr>
          <w:p w14:paraId="4F4056B5">
            <w:pPr>
              <w:pStyle w:val="11"/>
              <w:spacing w:before="159" w:line="221" w:lineRule="auto"/>
              <w:ind w:left="789"/>
              <w:rPr>
                <w:color w:val="auto"/>
                <w:highlight w:val="none"/>
              </w:rPr>
            </w:pPr>
            <w:r>
              <w:rPr>
                <w:color w:val="auto"/>
                <w:spacing w:val="-2"/>
                <w:highlight w:val="none"/>
              </w:rPr>
              <w:t>项目名称</w:t>
            </w:r>
          </w:p>
        </w:tc>
        <w:tc>
          <w:tcPr>
            <w:tcW w:w="1799" w:type="dxa"/>
            <w:vAlign w:val="top"/>
          </w:tcPr>
          <w:p w14:paraId="24359E91">
            <w:pPr>
              <w:pStyle w:val="11"/>
              <w:spacing w:before="158" w:line="221" w:lineRule="auto"/>
              <w:ind w:left="488"/>
              <w:rPr>
                <w:color w:val="auto"/>
                <w:highlight w:val="none"/>
              </w:rPr>
            </w:pPr>
            <w:r>
              <w:rPr>
                <w:color w:val="auto"/>
                <w:spacing w:val="-2"/>
                <w:highlight w:val="none"/>
              </w:rPr>
              <w:t>获奖名称</w:t>
            </w:r>
          </w:p>
        </w:tc>
        <w:tc>
          <w:tcPr>
            <w:tcW w:w="1440" w:type="dxa"/>
            <w:vAlign w:val="top"/>
          </w:tcPr>
          <w:p w14:paraId="576F51F4">
            <w:pPr>
              <w:pStyle w:val="11"/>
              <w:spacing w:before="158" w:line="221" w:lineRule="auto"/>
              <w:ind w:left="313"/>
              <w:rPr>
                <w:color w:val="auto"/>
                <w:highlight w:val="none"/>
              </w:rPr>
            </w:pPr>
            <w:r>
              <w:rPr>
                <w:color w:val="auto"/>
                <w:spacing w:val="-2"/>
                <w:highlight w:val="none"/>
              </w:rPr>
              <w:t>获奖日期</w:t>
            </w:r>
          </w:p>
        </w:tc>
        <w:tc>
          <w:tcPr>
            <w:tcW w:w="2164" w:type="dxa"/>
            <w:vAlign w:val="top"/>
          </w:tcPr>
          <w:p w14:paraId="679E1517">
            <w:pPr>
              <w:pStyle w:val="11"/>
              <w:spacing w:before="159" w:line="221" w:lineRule="auto"/>
              <w:ind w:left="670"/>
              <w:rPr>
                <w:color w:val="auto"/>
                <w:highlight w:val="none"/>
              </w:rPr>
            </w:pPr>
            <w:r>
              <w:rPr>
                <w:color w:val="auto"/>
                <w:spacing w:val="-1"/>
                <w:highlight w:val="none"/>
              </w:rPr>
              <w:t>颁奖单位</w:t>
            </w:r>
          </w:p>
        </w:tc>
      </w:tr>
      <w:tr w14:paraId="33456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4" w:hRule="atLeast"/>
        </w:trPr>
        <w:tc>
          <w:tcPr>
            <w:tcW w:w="773" w:type="dxa"/>
            <w:vAlign w:val="top"/>
          </w:tcPr>
          <w:p w14:paraId="737F574E">
            <w:pPr>
              <w:rPr>
                <w:rFonts w:ascii="Arial"/>
                <w:color w:val="auto"/>
                <w:sz w:val="21"/>
                <w:highlight w:val="none"/>
              </w:rPr>
            </w:pPr>
          </w:p>
        </w:tc>
        <w:tc>
          <w:tcPr>
            <w:tcW w:w="2399" w:type="dxa"/>
            <w:vAlign w:val="top"/>
          </w:tcPr>
          <w:p w14:paraId="779542F4">
            <w:pPr>
              <w:rPr>
                <w:rFonts w:ascii="Arial"/>
                <w:color w:val="auto"/>
                <w:sz w:val="21"/>
                <w:highlight w:val="none"/>
              </w:rPr>
            </w:pPr>
          </w:p>
        </w:tc>
        <w:tc>
          <w:tcPr>
            <w:tcW w:w="1799" w:type="dxa"/>
            <w:vAlign w:val="top"/>
          </w:tcPr>
          <w:p w14:paraId="04D17F71">
            <w:pPr>
              <w:rPr>
                <w:rFonts w:ascii="Arial"/>
                <w:color w:val="auto"/>
                <w:sz w:val="21"/>
                <w:highlight w:val="none"/>
              </w:rPr>
            </w:pPr>
          </w:p>
        </w:tc>
        <w:tc>
          <w:tcPr>
            <w:tcW w:w="1440" w:type="dxa"/>
            <w:vAlign w:val="top"/>
          </w:tcPr>
          <w:p w14:paraId="1E17B789">
            <w:pPr>
              <w:rPr>
                <w:rFonts w:ascii="Arial"/>
                <w:color w:val="auto"/>
                <w:sz w:val="21"/>
                <w:highlight w:val="none"/>
              </w:rPr>
            </w:pPr>
          </w:p>
        </w:tc>
        <w:tc>
          <w:tcPr>
            <w:tcW w:w="2164" w:type="dxa"/>
            <w:vAlign w:val="top"/>
          </w:tcPr>
          <w:p w14:paraId="1AA91C64">
            <w:pPr>
              <w:rPr>
                <w:rFonts w:ascii="Arial"/>
                <w:color w:val="auto"/>
                <w:sz w:val="21"/>
                <w:highlight w:val="none"/>
              </w:rPr>
            </w:pPr>
          </w:p>
        </w:tc>
      </w:tr>
      <w:tr w14:paraId="301FC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3105BF0C">
            <w:pPr>
              <w:rPr>
                <w:rFonts w:ascii="Arial"/>
                <w:color w:val="auto"/>
                <w:sz w:val="21"/>
                <w:highlight w:val="none"/>
              </w:rPr>
            </w:pPr>
          </w:p>
        </w:tc>
        <w:tc>
          <w:tcPr>
            <w:tcW w:w="2399" w:type="dxa"/>
            <w:vAlign w:val="top"/>
          </w:tcPr>
          <w:p w14:paraId="50AC1382">
            <w:pPr>
              <w:rPr>
                <w:rFonts w:ascii="Arial"/>
                <w:color w:val="auto"/>
                <w:sz w:val="21"/>
                <w:highlight w:val="none"/>
              </w:rPr>
            </w:pPr>
          </w:p>
        </w:tc>
        <w:tc>
          <w:tcPr>
            <w:tcW w:w="1799" w:type="dxa"/>
            <w:vAlign w:val="top"/>
          </w:tcPr>
          <w:p w14:paraId="462B87E6">
            <w:pPr>
              <w:rPr>
                <w:rFonts w:ascii="Arial"/>
                <w:color w:val="auto"/>
                <w:sz w:val="21"/>
                <w:highlight w:val="none"/>
              </w:rPr>
            </w:pPr>
          </w:p>
        </w:tc>
        <w:tc>
          <w:tcPr>
            <w:tcW w:w="1440" w:type="dxa"/>
            <w:vAlign w:val="top"/>
          </w:tcPr>
          <w:p w14:paraId="75EC8758">
            <w:pPr>
              <w:rPr>
                <w:rFonts w:ascii="Arial"/>
                <w:color w:val="auto"/>
                <w:sz w:val="21"/>
                <w:highlight w:val="none"/>
              </w:rPr>
            </w:pPr>
          </w:p>
        </w:tc>
        <w:tc>
          <w:tcPr>
            <w:tcW w:w="2164" w:type="dxa"/>
            <w:vAlign w:val="top"/>
          </w:tcPr>
          <w:p w14:paraId="571023BB">
            <w:pPr>
              <w:rPr>
                <w:rFonts w:ascii="Arial"/>
                <w:color w:val="auto"/>
                <w:sz w:val="21"/>
                <w:highlight w:val="none"/>
              </w:rPr>
            </w:pPr>
          </w:p>
        </w:tc>
      </w:tr>
      <w:tr w14:paraId="2CFEB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4536D56A">
            <w:pPr>
              <w:rPr>
                <w:rFonts w:ascii="Arial"/>
                <w:color w:val="auto"/>
                <w:sz w:val="21"/>
                <w:highlight w:val="none"/>
              </w:rPr>
            </w:pPr>
          </w:p>
        </w:tc>
        <w:tc>
          <w:tcPr>
            <w:tcW w:w="2399" w:type="dxa"/>
            <w:vAlign w:val="top"/>
          </w:tcPr>
          <w:p w14:paraId="78478F5B">
            <w:pPr>
              <w:rPr>
                <w:rFonts w:ascii="Arial"/>
                <w:color w:val="auto"/>
                <w:sz w:val="21"/>
                <w:highlight w:val="none"/>
              </w:rPr>
            </w:pPr>
          </w:p>
        </w:tc>
        <w:tc>
          <w:tcPr>
            <w:tcW w:w="1799" w:type="dxa"/>
            <w:vAlign w:val="top"/>
          </w:tcPr>
          <w:p w14:paraId="0FFCFF68">
            <w:pPr>
              <w:rPr>
                <w:rFonts w:ascii="Arial"/>
                <w:color w:val="auto"/>
                <w:sz w:val="21"/>
                <w:highlight w:val="none"/>
              </w:rPr>
            </w:pPr>
          </w:p>
        </w:tc>
        <w:tc>
          <w:tcPr>
            <w:tcW w:w="1440" w:type="dxa"/>
            <w:vAlign w:val="top"/>
          </w:tcPr>
          <w:p w14:paraId="641B080F">
            <w:pPr>
              <w:rPr>
                <w:rFonts w:ascii="Arial"/>
                <w:color w:val="auto"/>
                <w:sz w:val="21"/>
                <w:highlight w:val="none"/>
              </w:rPr>
            </w:pPr>
          </w:p>
        </w:tc>
        <w:tc>
          <w:tcPr>
            <w:tcW w:w="2164" w:type="dxa"/>
            <w:vAlign w:val="top"/>
          </w:tcPr>
          <w:p w14:paraId="721CC837">
            <w:pPr>
              <w:rPr>
                <w:rFonts w:ascii="Arial"/>
                <w:color w:val="auto"/>
                <w:sz w:val="21"/>
                <w:highlight w:val="none"/>
              </w:rPr>
            </w:pPr>
          </w:p>
        </w:tc>
      </w:tr>
      <w:tr w14:paraId="6FCFA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39DADC01">
            <w:pPr>
              <w:rPr>
                <w:rFonts w:ascii="Arial"/>
                <w:color w:val="auto"/>
                <w:sz w:val="21"/>
                <w:highlight w:val="none"/>
              </w:rPr>
            </w:pPr>
          </w:p>
        </w:tc>
        <w:tc>
          <w:tcPr>
            <w:tcW w:w="2399" w:type="dxa"/>
            <w:vAlign w:val="top"/>
          </w:tcPr>
          <w:p w14:paraId="252F44FA">
            <w:pPr>
              <w:rPr>
                <w:rFonts w:ascii="Arial"/>
                <w:color w:val="auto"/>
                <w:sz w:val="21"/>
                <w:highlight w:val="none"/>
              </w:rPr>
            </w:pPr>
          </w:p>
        </w:tc>
        <w:tc>
          <w:tcPr>
            <w:tcW w:w="1799" w:type="dxa"/>
            <w:vAlign w:val="top"/>
          </w:tcPr>
          <w:p w14:paraId="10401AAF">
            <w:pPr>
              <w:rPr>
                <w:rFonts w:ascii="Arial"/>
                <w:color w:val="auto"/>
                <w:sz w:val="21"/>
                <w:highlight w:val="none"/>
              </w:rPr>
            </w:pPr>
          </w:p>
        </w:tc>
        <w:tc>
          <w:tcPr>
            <w:tcW w:w="1440" w:type="dxa"/>
            <w:vAlign w:val="top"/>
          </w:tcPr>
          <w:p w14:paraId="74285F2D">
            <w:pPr>
              <w:rPr>
                <w:rFonts w:ascii="Arial"/>
                <w:color w:val="auto"/>
                <w:sz w:val="21"/>
                <w:highlight w:val="none"/>
              </w:rPr>
            </w:pPr>
          </w:p>
        </w:tc>
        <w:tc>
          <w:tcPr>
            <w:tcW w:w="2164" w:type="dxa"/>
            <w:vAlign w:val="top"/>
          </w:tcPr>
          <w:p w14:paraId="38A5BF17">
            <w:pPr>
              <w:rPr>
                <w:rFonts w:ascii="Arial"/>
                <w:color w:val="auto"/>
                <w:sz w:val="21"/>
                <w:highlight w:val="none"/>
              </w:rPr>
            </w:pPr>
          </w:p>
        </w:tc>
      </w:tr>
      <w:tr w14:paraId="514BA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4" w:hRule="atLeast"/>
        </w:trPr>
        <w:tc>
          <w:tcPr>
            <w:tcW w:w="773" w:type="dxa"/>
            <w:vAlign w:val="top"/>
          </w:tcPr>
          <w:p w14:paraId="38EFAB7C">
            <w:pPr>
              <w:rPr>
                <w:rFonts w:ascii="Arial"/>
                <w:color w:val="auto"/>
                <w:sz w:val="21"/>
                <w:highlight w:val="none"/>
              </w:rPr>
            </w:pPr>
          </w:p>
        </w:tc>
        <w:tc>
          <w:tcPr>
            <w:tcW w:w="2399" w:type="dxa"/>
            <w:vAlign w:val="top"/>
          </w:tcPr>
          <w:p w14:paraId="246CCC54">
            <w:pPr>
              <w:rPr>
                <w:rFonts w:ascii="Arial"/>
                <w:color w:val="auto"/>
                <w:sz w:val="21"/>
                <w:highlight w:val="none"/>
              </w:rPr>
            </w:pPr>
          </w:p>
        </w:tc>
        <w:tc>
          <w:tcPr>
            <w:tcW w:w="1799" w:type="dxa"/>
            <w:vAlign w:val="top"/>
          </w:tcPr>
          <w:p w14:paraId="4855C2BC">
            <w:pPr>
              <w:rPr>
                <w:rFonts w:ascii="Arial"/>
                <w:color w:val="auto"/>
                <w:sz w:val="21"/>
                <w:highlight w:val="none"/>
              </w:rPr>
            </w:pPr>
          </w:p>
        </w:tc>
        <w:tc>
          <w:tcPr>
            <w:tcW w:w="1440" w:type="dxa"/>
            <w:vAlign w:val="top"/>
          </w:tcPr>
          <w:p w14:paraId="27BC4434">
            <w:pPr>
              <w:rPr>
                <w:rFonts w:ascii="Arial"/>
                <w:color w:val="auto"/>
                <w:sz w:val="21"/>
                <w:highlight w:val="none"/>
              </w:rPr>
            </w:pPr>
          </w:p>
        </w:tc>
        <w:tc>
          <w:tcPr>
            <w:tcW w:w="2164" w:type="dxa"/>
            <w:vAlign w:val="top"/>
          </w:tcPr>
          <w:p w14:paraId="4A372B75">
            <w:pPr>
              <w:rPr>
                <w:rFonts w:ascii="Arial"/>
                <w:color w:val="auto"/>
                <w:sz w:val="21"/>
                <w:highlight w:val="none"/>
              </w:rPr>
            </w:pPr>
          </w:p>
        </w:tc>
      </w:tr>
      <w:tr w14:paraId="6A989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14:paraId="753EA7A2">
            <w:pPr>
              <w:rPr>
                <w:rFonts w:ascii="Arial"/>
                <w:color w:val="auto"/>
                <w:sz w:val="21"/>
                <w:highlight w:val="none"/>
              </w:rPr>
            </w:pPr>
          </w:p>
        </w:tc>
        <w:tc>
          <w:tcPr>
            <w:tcW w:w="2399" w:type="dxa"/>
            <w:vAlign w:val="top"/>
          </w:tcPr>
          <w:p w14:paraId="63B1E48A">
            <w:pPr>
              <w:rPr>
                <w:rFonts w:ascii="Arial"/>
                <w:color w:val="auto"/>
                <w:sz w:val="21"/>
                <w:highlight w:val="none"/>
              </w:rPr>
            </w:pPr>
          </w:p>
        </w:tc>
        <w:tc>
          <w:tcPr>
            <w:tcW w:w="1799" w:type="dxa"/>
            <w:vAlign w:val="top"/>
          </w:tcPr>
          <w:p w14:paraId="2446D8DD">
            <w:pPr>
              <w:rPr>
                <w:rFonts w:ascii="Arial"/>
                <w:color w:val="auto"/>
                <w:sz w:val="21"/>
                <w:highlight w:val="none"/>
              </w:rPr>
            </w:pPr>
          </w:p>
        </w:tc>
        <w:tc>
          <w:tcPr>
            <w:tcW w:w="1440" w:type="dxa"/>
            <w:vAlign w:val="top"/>
          </w:tcPr>
          <w:p w14:paraId="3D07BD07">
            <w:pPr>
              <w:rPr>
                <w:rFonts w:ascii="Arial"/>
                <w:color w:val="auto"/>
                <w:sz w:val="21"/>
                <w:highlight w:val="none"/>
              </w:rPr>
            </w:pPr>
          </w:p>
        </w:tc>
        <w:tc>
          <w:tcPr>
            <w:tcW w:w="2164" w:type="dxa"/>
            <w:vAlign w:val="top"/>
          </w:tcPr>
          <w:p w14:paraId="6FD6B818">
            <w:pPr>
              <w:rPr>
                <w:rFonts w:ascii="Arial"/>
                <w:color w:val="auto"/>
                <w:sz w:val="21"/>
                <w:highlight w:val="none"/>
              </w:rPr>
            </w:pPr>
          </w:p>
        </w:tc>
      </w:tr>
      <w:tr w14:paraId="1818C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7F52C54E">
            <w:pPr>
              <w:rPr>
                <w:rFonts w:ascii="Arial"/>
                <w:color w:val="auto"/>
                <w:sz w:val="21"/>
                <w:highlight w:val="none"/>
              </w:rPr>
            </w:pPr>
          </w:p>
        </w:tc>
        <w:tc>
          <w:tcPr>
            <w:tcW w:w="2399" w:type="dxa"/>
            <w:vAlign w:val="top"/>
          </w:tcPr>
          <w:p w14:paraId="02209D44">
            <w:pPr>
              <w:rPr>
                <w:rFonts w:ascii="Arial"/>
                <w:color w:val="auto"/>
                <w:sz w:val="21"/>
                <w:highlight w:val="none"/>
              </w:rPr>
            </w:pPr>
          </w:p>
        </w:tc>
        <w:tc>
          <w:tcPr>
            <w:tcW w:w="1799" w:type="dxa"/>
            <w:vAlign w:val="top"/>
          </w:tcPr>
          <w:p w14:paraId="374D1A2E">
            <w:pPr>
              <w:rPr>
                <w:rFonts w:ascii="Arial"/>
                <w:color w:val="auto"/>
                <w:sz w:val="21"/>
                <w:highlight w:val="none"/>
              </w:rPr>
            </w:pPr>
          </w:p>
        </w:tc>
        <w:tc>
          <w:tcPr>
            <w:tcW w:w="1440" w:type="dxa"/>
            <w:vAlign w:val="top"/>
          </w:tcPr>
          <w:p w14:paraId="79A9DF3B">
            <w:pPr>
              <w:rPr>
                <w:rFonts w:ascii="Arial"/>
                <w:color w:val="auto"/>
                <w:sz w:val="21"/>
                <w:highlight w:val="none"/>
              </w:rPr>
            </w:pPr>
          </w:p>
        </w:tc>
        <w:tc>
          <w:tcPr>
            <w:tcW w:w="2164" w:type="dxa"/>
            <w:vAlign w:val="top"/>
          </w:tcPr>
          <w:p w14:paraId="6151647F">
            <w:pPr>
              <w:rPr>
                <w:rFonts w:ascii="Arial"/>
                <w:color w:val="auto"/>
                <w:sz w:val="21"/>
                <w:highlight w:val="none"/>
              </w:rPr>
            </w:pPr>
          </w:p>
        </w:tc>
      </w:tr>
      <w:tr w14:paraId="05B09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4CF730F7">
            <w:pPr>
              <w:rPr>
                <w:rFonts w:ascii="Arial"/>
                <w:color w:val="auto"/>
                <w:sz w:val="21"/>
                <w:highlight w:val="none"/>
              </w:rPr>
            </w:pPr>
          </w:p>
        </w:tc>
        <w:tc>
          <w:tcPr>
            <w:tcW w:w="2399" w:type="dxa"/>
            <w:vAlign w:val="top"/>
          </w:tcPr>
          <w:p w14:paraId="55AB0B46">
            <w:pPr>
              <w:rPr>
                <w:rFonts w:ascii="Arial"/>
                <w:color w:val="auto"/>
                <w:sz w:val="21"/>
                <w:highlight w:val="none"/>
              </w:rPr>
            </w:pPr>
          </w:p>
        </w:tc>
        <w:tc>
          <w:tcPr>
            <w:tcW w:w="1799" w:type="dxa"/>
            <w:vAlign w:val="top"/>
          </w:tcPr>
          <w:p w14:paraId="419C601F">
            <w:pPr>
              <w:rPr>
                <w:rFonts w:ascii="Arial"/>
                <w:color w:val="auto"/>
                <w:sz w:val="21"/>
                <w:highlight w:val="none"/>
              </w:rPr>
            </w:pPr>
          </w:p>
        </w:tc>
        <w:tc>
          <w:tcPr>
            <w:tcW w:w="1440" w:type="dxa"/>
            <w:vAlign w:val="top"/>
          </w:tcPr>
          <w:p w14:paraId="57146BDE">
            <w:pPr>
              <w:rPr>
                <w:rFonts w:ascii="Arial"/>
                <w:color w:val="auto"/>
                <w:sz w:val="21"/>
                <w:highlight w:val="none"/>
              </w:rPr>
            </w:pPr>
          </w:p>
        </w:tc>
        <w:tc>
          <w:tcPr>
            <w:tcW w:w="2164" w:type="dxa"/>
            <w:vAlign w:val="top"/>
          </w:tcPr>
          <w:p w14:paraId="0AADCD9B">
            <w:pPr>
              <w:rPr>
                <w:rFonts w:ascii="Arial"/>
                <w:color w:val="auto"/>
                <w:sz w:val="21"/>
                <w:highlight w:val="none"/>
              </w:rPr>
            </w:pPr>
          </w:p>
        </w:tc>
      </w:tr>
      <w:tr w14:paraId="1D6F5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69466375">
            <w:pPr>
              <w:rPr>
                <w:rFonts w:ascii="Arial"/>
                <w:color w:val="auto"/>
                <w:sz w:val="21"/>
                <w:highlight w:val="none"/>
              </w:rPr>
            </w:pPr>
          </w:p>
        </w:tc>
        <w:tc>
          <w:tcPr>
            <w:tcW w:w="2399" w:type="dxa"/>
            <w:vAlign w:val="top"/>
          </w:tcPr>
          <w:p w14:paraId="3329FC4E">
            <w:pPr>
              <w:rPr>
                <w:rFonts w:ascii="Arial"/>
                <w:color w:val="auto"/>
                <w:sz w:val="21"/>
                <w:highlight w:val="none"/>
              </w:rPr>
            </w:pPr>
          </w:p>
        </w:tc>
        <w:tc>
          <w:tcPr>
            <w:tcW w:w="1799" w:type="dxa"/>
            <w:vAlign w:val="top"/>
          </w:tcPr>
          <w:p w14:paraId="793EA609">
            <w:pPr>
              <w:rPr>
                <w:rFonts w:ascii="Arial"/>
                <w:color w:val="auto"/>
                <w:sz w:val="21"/>
                <w:highlight w:val="none"/>
              </w:rPr>
            </w:pPr>
          </w:p>
        </w:tc>
        <w:tc>
          <w:tcPr>
            <w:tcW w:w="1440" w:type="dxa"/>
            <w:vAlign w:val="top"/>
          </w:tcPr>
          <w:p w14:paraId="4A3F22B3">
            <w:pPr>
              <w:rPr>
                <w:rFonts w:ascii="Arial"/>
                <w:color w:val="auto"/>
                <w:sz w:val="21"/>
                <w:highlight w:val="none"/>
              </w:rPr>
            </w:pPr>
          </w:p>
        </w:tc>
        <w:tc>
          <w:tcPr>
            <w:tcW w:w="2164" w:type="dxa"/>
            <w:vAlign w:val="top"/>
          </w:tcPr>
          <w:p w14:paraId="1B4D49CE">
            <w:pPr>
              <w:rPr>
                <w:rFonts w:ascii="Arial"/>
                <w:color w:val="auto"/>
                <w:sz w:val="21"/>
                <w:highlight w:val="none"/>
              </w:rPr>
            </w:pPr>
          </w:p>
        </w:tc>
      </w:tr>
      <w:tr w14:paraId="4C39B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1684DD08">
            <w:pPr>
              <w:rPr>
                <w:rFonts w:ascii="Arial"/>
                <w:color w:val="auto"/>
                <w:sz w:val="21"/>
                <w:highlight w:val="none"/>
              </w:rPr>
            </w:pPr>
          </w:p>
        </w:tc>
        <w:tc>
          <w:tcPr>
            <w:tcW w:w="2399" w:type="dxa"/>
            <w:vAlign w:val="top"/>
          </w:tcPr>
          <w:p w14:paraId="039FC921">
            <w:pPr>
              <w:rPr>
                <w:rFonts w:ascii="Arial"/>
                <w:color w:val="auto"/>
                <w:sz w:val="21"/>
                <w:highlight w:val="none"/>
              </w:rPr>
            </w:pPr>
          </w:p>
        </w:tc>
        <w:tc>
          <w:tcPr>
            <w:tcW w:w="1799" w:type="dxa"/>
            <w:vAlign w:val="top"/>
          </w:tcPr>
          <w:p w14:paraId="36CDACA5">
            <w:pPr>
              <w:rPr>
                <w:rFonts w:ascii="Arial"/>
                <w:color w:val="auto"/>
                <w:sz w:val="21"/>
                <w:highlight w:val="none"/>
              </w:rPr>
            </w:pPr>
          </w:p>
        </w:tc>
        <w:tc>
          <w:tcPr>
            <w:tcW w:w="1440" w:type="dxa"/>
            <w:vAlign w:val="top"/>
          </w:tcPr>
          <w:p w14:paraId="236A3426">
            <w:pPr>
              <w:rPr>
                <w:rFonts w:ascii="Arial"/>
                <w:color w:val="auto"/>
                <w:sz w:val="21"/>
                <w:highlight w:val="none"/>
              </w:rPr>
            </w:pPr>
          </w:p>
        </w:tc>
        <w:tc>
          <w:tcPr>
            <w:tcW w:w="2164" w:type="dxa"/>
            <w:vAlign w:val="top"/>
          </w:tcPr>
          <w:p w14:paraId="06D309C2">
            <w:pPr>
              <w:rPr>
                <w:rFonts w:ascii="Arial"/>
                <w:color w:val="auto"/>
                <w:sz w:val="21"/>
                <w:highlight w:val="none"/>
              </w:rPr>
            </w:pPr>
          </w:p>
        </w:tc>
      </w:tr>
      <w:tr w14:paraId="3BD92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0CAAC306">
            <w:pPr>
              <w:rPr>
                <w:rFonts w:ascii="Arial"/>
                <w:color w:val="auto"/>
                <w:sz w:val="21"/>
                <w:highlight w:val="none"/>
              </w:rPr>
            </w:pPr>
          </w:p>
        </w:tc>
        <w:tc>
          <w:tcPr>
            <w:tcW w:w="2399" w:type="dxa"/>
            <w:vAlign w:val="top"/>
          </w:tcPr>
          <w:p w14:paraId="54F22237">
            <w:pPr>
              <w:rPr>
                <w:rFonts w:ascii="Arial"/>
                <w:color w:val="auto"/>
                <w:sz w:val="21"/>
                <w:highlight w:val="none"/>
              </w:rPr>
            </w:pPr>
          </w:p>
        </w:tc>
        <w:tc>
          <w:tcPr>
            <w:tcW w:w="1799" w:type="dxa"/>
            <w:vAlign w:val="top"/>
          </w:tcPr>
          <w:p w14:paraId="2E9B0C33">
            <w:pPr>
              <w:rPr>
                <w:rFonts w:ascii="Arial"/>
                <w:color w:val="auto"/>
                <w:sz w:val="21"/>
                <w:highlight w:val="none"/>
              </w:rPr>
            </w:pPr>
          </w:p>
        </w:tc>
        <w:tc>
          <w:tcPr>
            <w:tcW w:w="1440" w:type="dxa"/>
            <w:vAlign w:val="top"/>
          </w:tcPr>
          <w:p w14:paraId="6D1B19A6">
            <w:pPr>
              <w:rPr>
                <w:rFonts w:ascii="Arial"/>
                <w:color w:val="auto"/>
                <w:sz w:val="21"/>
                <w:highlight w:val="none"/>
              </w:rPr>
            </w:pPr>
          </w:p>
        </w:tc>
        <w:tc>
          <w:tcPr>
            <w:tcW w:w="2164" w:type="dxa"/>
            <w:vAlign w:val="top"/>
          </w:tcPr>
          <w:p w14:paraId="1A9D112F">
            <w:pPr>
              <w:rPr>
                <w:rFonts w:ascii="Arial"/>
                <w:color w:val="auto"/>
                <w:sz w:val="21"/>
                <w:highlight w:val="none"/>
              </w:rPr>
            </w:pPr>
          </w:p>
        </w:tc>
      </w:tr>
      <w:tr w14:paraId="12A7E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14:paraId="1FBB6971">
            <w:pPr>
              <w:rPr>
                <w:rFonts w:ascii="Arial"/>
                <w:color w:val="auto"/>
                <w:sz w:val="21"/>
                <w:highlight w:val="none"/>
              </w:rPr>
            </w:pPr>
          </w:p>
        </w:tc>
        <w:tc>
          <w:tcPr>
            <w:tcW w:w="2399" w:type="dxa"/>
            <w:vAlign w:val="top"/>
          </w:tcPr>
          <w:p w14:paraId="75098A2E">
            <w:pPr>
              <w:rPr>
                <w:rFonts w:ascii="Arial"/>
                <w:color w:val="auto"/>
                <w:sz w:val="21"/>
                <w:highlight w:val="none"/>
              </w:rPr>
            </w:pPr>
          </w:p>
        </w:tc>
        <w:tc>
          <w:tcPr>
            <w:tcW w:w="1799" w:type="dxa"/>
            <w:vAlign w:val="top"/>
          </w:tcPr>
          <w:p w14:paraId="46045662">
            <w:pPr>
              <w:rPr>
                <w:rFonts w:ascii="Arial"/>
                <w:color w:val="auto"/>
                <w:sz w:val="21"/>
                <w:highlight w:val="none"/>
              </w:rPr>
            </w:pPr>
          </w:p>
        </w:tc>
        <w:tc>
          <w:tcPr>
            <w:tcW w:w="1440" w:type="dxa"/>
            <w:vAlign w:val="top"/>
          </w:tcPr>
          <w:p w14:paraId="4910AAB9">
            <w:pPr>
              <w:rPr>
                <w:rFonts w:ascii="Arial"/>
                <w:color w:val="auto"/>
                <w:sz w:val="21"/>
                <w:highlight w:val="none"/>
              </w:rPr>
            </w:pPr>
          </w:p>
        </w:tc>
        <w:tc>
          <w:tcPr>
            <w:tcW w:w="2164" w:type="dxa"/>
            <w:vAlign w:val="top"/>
          </w:tcPr>
          <w:p w14:paraId="249D6F68">
            <w:pPr>
              <w:rPr>
                <w:rFonts w:ascii="Arial"/>
                <w:color w:val="auto"/>
                <w:sz w:val="21"/>
                <w:highlight w:val="none"/>
              </w:rPr>
            </w:pPr>
          </w:p>
        </w:tc>
      </w:tr>
      <w:tr w14:paraId="67C6C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4" w:hRule="atLeast"/>
        </w:trPr>
        <w:tc>
          <w:tcPr>
            <w:tcW w:w="773" w:type="dxa"/>
            <w:vAlign w:val="top"/>
          </w:tcPr>
          <w:p w14:paraId="098155F2">
            <w:pPr>
              <w:rPr>
                <w:rFonts w:ascii="Arial"/>
                <w:color w:val="auto"/>
                <w:sz w:val="21"/>
                <w:highlight w:val="none"/>
              </w:rPr>
            </w:pPr>
          </w:p>
        </w:tc>
        <w:tc>
          <w:tcPr>
            <w:tcW w:w="2399" w:type="dxa"/>
            <w:vAlign w:val="top"/>
          </w:tcPr>
          <w:p w14:paraId="3E8C672C">
            <w:pPr>
              <w:rPr>
                <w:rFonts w:ascii="Arial"/>
                <w:color w:val="auto"/>
                <w:sz w:val="21"/>
                <w:highlight w:val="none"/>
              </w:rPr>
            </w:pPr>
          </w:p>
        </w:tc>
        <w:tc>
          <w:tcPr>
            <w:tcW w:w="1799" w:type="dxa"/>
            <w:vAlign w:val="top"/>
          </w:tcPr>
          <w:p w14:paraId="11070C68">
            <w:pPr>
              <w:rPr>
                <w:rFonts w:ascii="Arial"/>
                <w:color w:val="auto"/>
                <w:sz w:val="21"/>
                <w:highlight w:val="none"/>
              </w:rPr>
            </w:pPr>
          </w:p>
        </w:tc>
        <w:tc>
          <w:tcPr>
            <w:tcW w:w="1440" w:type="dxa"/>
            <w:vAlign w:val="top"/>
          </w:tcPr>
          <w:p w14:paraId="0144D29C">
            <w:pPr>
              <w:rPr>
                <w:rFonts w:ascii="Arial"/>
                <w:color w:val="auto"/>
                <w:sz w:val="21"/>
                <w:highlight w:val="none"/>
              </w:rPr>
            </w:pPr>
          </w:p>
        </w:tc>
        <w:tc>
          <w:tcPr>
            <w:tcW w:w="2164" w:type="dxa"/>
            <w:vAlign w:val="top"/>
          </w:tcPr>
          <w:p w14:paraId="58B204E8">
            <w:pPr>
              <w:rPr>
                <w:rFonts w:ascii="Arial"/>
                <w:color w:val="auto"/>
                <w:sz w:val="21"/>
                <w:highlight w:val="none"/>
              </w:rPr>
            </w:pPr>
          </w:p>
        </w:tc>
      </w:tr>
    </w:tbl>
    <w:p w14:paraId="712E24FE">
      <w:pPr>
        <w:spacing w:before="29" w:line="220" w:lineRule="auto"/>
        <w:ind w:left="20"/>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 xml:space="preserve">备注： </w:t>
      </w:r>
      <w:r>
        <w:rPr>
          <w:rFonts w:ascii="Times New Roman" w:hAnsi="Times New Roman" w:eastAsia="Times New Roman" w:cs="Times New Roman"/>
          <w:color w:val="auto"/>
          <w:spacing w:val="-5"/>
          <w:sz w:val="21"/>
          <w:szCs w:val="21"/>
          <w:highlight w:val="none"/>
        </w:rPr>
        <w:t>1.</w:t>
      </w:r>
      <w:r>
        <w:rPr>
          <w:rFonts w:ascii="宋体" w:hAnsi="宋体" w:eastAsia="宋体" w:cs="宋体"/>
          <w:color w:val="auto"/>
          <w:spacing w:val="-5"/>
          <w:sz w:val="21"/>
          <w:szCs w:val="21"/>
          <w:highlight w:val="none"/>
        </w:rPr>
        <w:t>本表后应附表彰文件、获奖证书及其他证明材料等。</w:t>
      </w:r>
    </w:p>
    <w:p w14:paraId="1EF8C577">
      <w:pPr>
        <w:spacing w:before="148" w:line="220" w:lineRule="auto"/>
        <w:ind w:left="643"/>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 </w:t>
      </w:r>
      <w:r>
        <w:rPr>
          <w:rFonts w:ascii="宋体" w:hAnsi="宋体" w:eastAsia="宋体" w:cs="宋体"/>
          <w:color w:val="auto"/>
          <w:sz w:val="21"/>
          <w:szCs w:val="21"/>
          <w:highlight w:val="none"/>
        </w:rPr>
        <w:t>颁奖单位应当是国家机关或民政部门注册登记的合法颁奖单位。</w:t>
      </w:r>
    </w:p>
    <w:p w14:paraId="1A3E65BE">
      <w:pPr>
        <w:spacing w:line="220" w:lineRule="auto"/>
        <w:rPr>
          <w:rFonts w:ascii="宋体" w:hAnsi="宋体" w:eastAsia="宋体" w:cs="宋体"/>
          <w:color w:val="auto"/>
          <w:sz w:val="21"/>
          <w:szCs w:val="21"/>
          <w:highlight w:val="none"/>
        </w:rPr>
        <w:sectPr>
          <w:footerReference r:id="rId240" w:type="default"/>
          <w:pgSz w:w="11905" w:h="16839"/>
          <w:pgMar w:top="400" w:right="1527" w:bottom="1004" w:left="1785" w:header="0" w:footer="828" w:gutter="0"/>
          <w:pgNumType w:fmt="decimal"/>
          <w:cols w:space="720" w:num="1"/>
        </w:sectPr>
      </w:pPr>
    </w:p>
    <w:p w14:paraId="2DE89044">
      <w:pPr>
        <w:pStyle w:val="3"/>
        <w:spacing w:line="267" w:lineRule="auto"/>
        <w:rPr>
          <w:color w:val="auto"/>
          <w:highlight w:val="none"/>
        </w:rPr>
      </w:pPr>
    </w:p>
    <w:p w14:paraId="1E2E4A9E">
      <w:pPr>
        <w:pStyle w:val="3"/>
        <w:spacing w:line="267" w:lineRule="auto"/>
        <w:rPr>
          <w:color w:val="auto"/>
          <w:highlight w:val="none"/>
        </w:rPr>
      </w:pPr>
    </w:p>
    <w:p w14:paraId="10D34272">
      <w:pPr>
        <w:pStyle w:val="3"/>
        <w:spacing w:line="268" w:lineRule="auto"/>
        <w:rPr>
          <w:color w:val="auto"/>
          <w:highlight w:val="none"/>
        </w:rPr>
      </w:pPr>
    </w:p>
    <w:p w14:paraId="5A81517B">
      <w:pPr>
        <w:pStyle w:val="3"/>
        <w:spacing w:line="268" w:lineRule="auto"/>
        <w:rPr>
          <w:color w:val="auto"/>
          <w:highlight w:val="none"/>
        </w:rPr>
      </w:pPr>
    </w:p>
    <w:p w14:paraId="7B16E77D">
      <w:pPr>
        <w:spacing w:before="78" w:line="219" w:lineRule="auto"/>
        <w:ind w:left="2547"/>
        <w:rPr>
          <w:rFonts w:ascii="黑体" w:hAnsi="黑体" w:eastAsia="黑体" w:cs="黑体"/>
          <w:color w:val="auto"/>
          <w:sz w:val="24"/>
          <w:szCs w:val="24"/>
          <w:highlight w:val="none"/>
        </w:rPr>
      </w:pPr>
      <w:bookmarkStart w:id="1355" w:name="bookmark328"/>
      <w:bookmarkEnd w:id="1355"/>
      <w:r>
        <w:rPr>
          <w:rFonts w:ascii="Times New Roman" w:hAnsi="Times New Roman" w:eastAsia="Times New Roman" w:cs="Times New Roman"/>
          <w:color w:val="auto"/>
          <w:spacing w:val="-1"/>
          <w:sz w:val="24"/>
          <w:szCs w:val="24"/>
          <w:highlight w:val="none"/>
        </w:rPr>
        <w:t xml:space="preserve">5-5 </w:t>
      </w:r>
      <w:r>
        <w:rPr>
          <w:rFonts w:ascii="黑体" w:hAnsi="黑体" w:eastAsia="黑体" w:cs="黑体"/>
          <w:color w:val="auto"/>
          <w:spacing w:val="-1"/>
          <w:sz w:val="24"/>
          <w:szCs w:val="24"/>
          <w:highlight w:val="none"/>
        </w:rPr>
        <w:t>近年项目经理获表彰情况表</w:t>
      </w:r>
    </w:p>
    <w:p w14:paraId="3D24A3AD">
      <w:pPr>
        <w:spacing w:before="198"/>
        <w:rPr>
          <w:color w:val="auto"/>
          <w:highlight w:val="none"/>
        </w:rPr>
      </w:pPr>
    </w:p>
    <w:tbl>
      <w:tblPr>
        <w:tblStyle w:val="10"/>
        <w:tblW w:w="857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3479"/>
        <w:gridCol w:w="1799"/>
        <w:gridCol w:w="2524"/>
      </w:tblGrid>
      <w:tr w14:paraId="4B0434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3" w:type="dxa"/>
            <w:vAlign w:val="top"/>
          </w:tcPr>
          <w:p w14:paraId="23FBF2EC">
            <w:pPr>
              <w:pStyle w:val="11"/>
              <w:spacing w:before="159" w:line="222" w:lineRule="auto"/>
              <w:ind w:left="185"/>
              <w:rPr>
                <w:color w:val="auto"/>
                <w:highlight w:val="none"/>
              </w:rPr>
            </w:pPr>
            <w:r>
              <w:rPr>
                <w:color w:val="auto"/>
                <w:spacing w:val="-2"/>
                <w:highlight w:val="none"/>
              </w:rPr>
              <w:t>序号</w:t>
            </w:r>
          </w:p>
        </w:tc>
        <w:tc>
          <w:tcPr>
            <w:tcW w:w="3479" w:type="dxa"/>
            <w:vAlign w:val="top"/>
          </w:tcPr>
          <w:p w14:paraId="378DCA93">
            <w:pPr>
              <w:pStyle w:val="11"/>
              <w:spacing w:before="159" w:line="221" w:lineRule="auto"/>
              <w:ind w:left="1327"/>
              <w:rPr>
                <w:color w:val="auto"/>
                <w:highlight w:val="none"/>
              </w:rPr>
            </w:pPr>
            <w:r>
              <w:rPr>
                <w:color w:val="auto"/>
                <w:spacing w:val="-2"/>
                <w:highlight w:val="none"/>
              </w:rPr>
              <w:t>获奖名称</w:t>
            </w:r>
          </w:p>
        </w:tc>
        <w:tc>
          <w:tcPr>
            <w:tcW w:w="1799" w:type="dxa"/>
            <w:vAlign w:val="top"/>
          </w:tcPr>
          <w:p w14:paraId="7305C776">
            <w:pPr>
              <w:pStyle w:val="11"/>
              <w:spacing w:before="159" w:line="221" w:lineRule="auto"/>
              <w:ind w:left="489"/>
              <w:rPr>
                <w:color w:val="auto"/>
                <w:highlight w:val="none"/>
              </w:rPr>
            </w:pPr>
            <w:r>
              <w:rPr>
                <w:color w:val="auto"/>
                <w:spacing w:val="-2"/>
                <w:highlight w:val="none"/>
              </w:rPr>
              <w:t>获奖日期</w:t>
            </w:r>
          </w:p>
        </w:tc>
        <w:tc>
          <w:tcPr>
            <w:tcW w:w="2524" w:type="dxa"/>
            <w:vAlign w:val="top"/>
          </w:tcPr>
          <w:p w14:paraId="284A2996">
            <w:pPr>
              <w:pStyle w:val="11"/>
              <w:spacing w:before="160" w:line="221" w:lineRule="auto"/>
              <w:ind w:left="847"/>
              <w:rPr>
                <w:color w:val="auto"/>
                <w:highlight w:val="none"/>
              </w:rPr>
            </w:pPr>
            <w:r>
              <w:rPr>
                <w:color w:val="auto"/>
                <w:spacing w:val="-1"/>
                <w:highlight w:val="none"/>
              </w:rPr>
              <w:t>颁奖单位</w:t>
            </w:r>
          </w:p>
        </w:tc>
      </w:tr>
      <w:tr w14:paraId="1677F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28510A00">
            <w:pPr>
              <w:rPr>
                <w:rFonts w:ascii="Arial"/>
                <w:color w:val="auto"/>
                <w:sz w:val="21"/>
                <w:highlight w:val="none"/>
              </w:rPr>
            </w:pPr>
          </w:p>
        </w:tc>
        <w:tc>
          <w:tcPr>
            <w:tcW w:w="3479" w:type="dxa"/>
            <w:vAlign w:val="top"/>
          </w:tcPr>
          <w:p w14:paraId="4BBD2C3B">
            <w:pPr>
              <w:rPr>
                <w:rFonts w:ascii="Arial"/>
                <w:color w:val="auto"/>
                <w:sz w:val="21"/>
                <w:highlight w:val="none"/>
              </w:rPr>
            </w:pPr>
          </w:p>
        </w:tc>
        <w:tc>
          <w:tcPr>
            <w:tcW w:w="1799" w:type="dxa"/>
            <w:vAlign w:val="top"/>
          </w:tcPr>
          <w:p w14:paraId="634C2AAF">
            <w:pPr>
              <w:rPr>
                <w:rFonts w:ascii="Arial"/>
                <w:color w:val="auto"/>
                <w:sz w:val="21"/>
                <w:highlight w:val="none"/>
              </w:rPr>
            </w:pPr>
          </w:p>
        </w:tc>
        <w:tc>
          <w:tcPr>
            <w:tcW w:w="2524" w:type="dxa"/>
            <w:vAlign w:val="top"/>
          </w:tcPr>
          <w:p w14:paraId="44D2D670">
            <w:pPr>
              <w:rPr>
                <w:rFonts w:ascii="Arial"/>
                <w:color w:val="auto"/>
                <w:sz w:val="21"/>
                <w:highlight w:val="none"/>
              </w:rPr>
            </w:pPr>
          </w:p>
        </w:tc>
      </w:tr>
      <w:tr w14:paraId="60711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7B619504">
            <w:pPr>
              <w:rPr>
                <w:rFonts w:ascii="Arial"/>
                <w:color w:val="auto"/>
                <w:sz w:val="21"/>
                <w:highlight w:val="none"/>
              </w:rPr>
            </w:pPr>
          </w:p>
        </w:tc>
        <w:tc>
          <w:tcPr>
            <w:tcW w:w="3479" w:type="dxa"/>
            <w:vAlign w:val="top"/>
          </w:tcPr>
          <w:p w14:paraId="3CEDD03D">
            <w:pPr>
              <w:rPr>
                <w:rFonts w:ascii="Arial"/>
                <w:color w:val="auto"/>
                <w:sz w:val="21"/>
                <w:highlight w:val="none"/>
              </w:rPr>
            </w:pPr>
          </w:p>
        </w:tc>
        <w:tc>
          <w:tcPr>
            <w:tcW w:w="1799" w:type="dxa"/>
            <w:vAlign w:val="top"/>
          </w:tcPr>
          <w:p w14:paraId="5D9450E7">
            <w:pPr>
              <w:rPr>
                <w:rFonts w:ascii="Arial"/>
                <w:color w:val="auto"/>
                <w:sz w:val="21"/>
                <w:highlight w:val="none"/>
              </w:rPr>
            </w:pPr>
          </w:p>
        </w:tc>
        <w:tc>
          <w:tcPr>
            <w:tcW w:w="2524" w:type="dxa"/>
            <w:vAlign w:val="top"/>
          </w:tcPr>
          <w:p w14:paraId="062C440E">
            <w:pPr>
              <w:rPr>
                <w:rFonts w:ascii="Arial"/>
                <w:color w:val="auto"/>
                <w:sz w:val="21"/>
                <w:highlight w:val="none"/>
              </w:rPr>
            </w:pPr>
          </w:p>
        </w:tc>
      </w:tr>
      <w:tr w14:paraId="754EC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65FE0892">
            <w:pPr>
              <w:rPr>
                <w:rFonts w:ascii="Arial"/>
                <w:color w:val="auto"/>
                <w:sz w:val="21"/>
                <w:highlight w:val="none"/>
              </w:rPr>
            </w:pPr>
          </w:p>
        </w:tc>
        <w:tc>
          <w:tcPr>
            <w:tcW w:w="3479" w:type="dxa"/>
            <w:vAlign w:val="top"/>
          </w:tcPr>
          <w:p w14:paraId="01EAE5BE">
            <w:pPr>
              <w:rPr>
                <w:rFonts w:ascii="Arial"/>
                <w:color w:val="auto"/>
                <w:sz w:val="21"/>
                <w:highlight w:val="none"/>
              </w:rPr>
            </w:pPr>
          </w:p>
        </w:tc>
        <w:tc>
          <w:tcPr>
            <w:tcW w:w="1799" w:type="dxa"/>
            <w:vAlign w:val="top"/>
          </w:tcPr>
          <w:p w14:paraId="44E78A00">
            <w:pPr>
              <w:rPr>
                <w:rFonts w:ascii="Arial"/>
                <w:color w:val="auto"/>
                <w:sz w:val="21"/>
                <w:highlight w:val="none"/>
              </w:rPr>
            </w:pPr>
          </w:p>
        </w:tc>
        <w:tc>
          <w:tcPr>
            <w:tcW w:w="2524" w:type="dxa"/>
            <w:vAlign w:val="top"/>
          </w:tcPr>
          <w:p w14:paraId="3F9035C0">
            <w:pPr>
              <w:rPr>
                <w:rFonts w:ascii="Arial"/>
                <w:color w:val="auto"/>
                <w:sz w:val="21"/>
                <w:highlight w:val="none"/>
              </w:rPr>
            </w:pPr>
          </w:p>
        </w:tc>
      </w:tr>
      <w:tr w14:paraId="7D14E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77E33906">
            <w:pPr>
              <w:rPr>
                <w:rFonts w:ascii="Arial"/>
                <w:color w:val="auto"/>
                <w:sz w:val="21"/>
                <w:highlight w:val="none"/>
              </w:rPr>
            </w:pPr>
          </w:p>
        </w:tc>
        <w:tc>
          <w:tcPr>
            <w:tcW w:w="3479" w:type="dxa"/>
            <w:vAlign w:val="top"/>
          </w:tcPr>
          <w:p w14:paraId="7166E7C6">
            <w:pPr>
              <w:rPr>
                <w:rFonts w:ascii="Arial"/>
                <w:color w:val="auto"/>
                <w:sz w:val="21"/>
                <w:highlight w:val="none"/>
              </w:rPr>
            </w:pPr>
          </w:p>
        </w:tc>
        <w:tc>
          <w:tcPr>
            <w:tcW w:w="1799" w:type="dxa"/>
            <w:vAlign w:val="top"/>
          </w:tcPr>
          <w:p w14:paraId="5ECF3203">
            <w:pPr>
              <w:rPr>
                <w:rFonts w:ascii="Arial"/>
                <w:color w:val="auto"/>
                <w:sz w:val="21"/>
                <w:highlight w:val="none"/>
              </w:rPr>
            </w:pPr>
          </w:p>
        </w:tc>
        <w:tc>
          <w:tcPr>
            <w:tcW w:w="2524" w:type="dxa"/>
            <w:vAlign w:val="top"/>
          </w:tcPr>
          <w:p w14:paraId="6C015E8B">
            <w:pPr>
              <w:rPr>
                <w:rFonts w:ascii="Arial"/>
                <w:color w:val="auto"/>
                <w:sz w:val="21"/>
                <w:highlight w:val="none"/>
              </w:rPr>
            </w:pPr>
          </w:p>
        </w:tc>
      </w:tr>
      <w:tr w14:paraId="790DE9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2254B51F">
            <w:pPr>
              <w:rPr>
                <w:rFonts w:ascii="Arial"/>
                <w:color w:val="auto"/>
                <w:sz w:val="21"/>
                <w:highlight w:val="none"/>
              </w:rPr>
            </w:pPr>
          </w:p>
        </w:tc>
        <w:tc>
          <w:tcPr>
            <w:tcW w:w="3479" w:type="dxa"/>
            <w:vAlign w:val="top"/>
          </w:tcPr>
          <w:p w14:paraId="383D42FD">
            <w:pPr>
              <w:rPr>
                <w:rFonts w:ascii="Arial"/>
                <w:color w:val="auto"/>
                <w:sz w:val="21"/>
                <w:highlight w:val="none"/>
              </w:rPr>
            </w:pPr>
          </w:p>
        </w:tc>
        <w:tc>
          <w:tcPr>
            <w:tcW w:w="1799" w:type="dxa"/>
            <w:vAlign w:val="top"/>
          </w:tcPr>
          <w:p w14:paraId="615B879B">
            <w:pPr>
              <w:rPr>
                <w:rFonts w:ascii="Arial"/>
                <w:color w:val="auto"/>
                <w:sz w:val="21"/>
                <w:highlight w:val="none"/>
              </w:rPr>
            </w:pPr>
          </w:p>
        </w:tc>
        <w:tc>
          <w:tcPr>
            <w:tcW w:w="2524" w:type="dxa"/>
            <w:vAlign w:val="top"/>
          </w:tcPr>
          <w:p w14:paraId="1DC80497">
            <w:pPr>
              <w:rPr>
                <w:rFonts w:ascii="Arial"/>
                <w:color w:val="auto"/>
                <w:sz w:val="21"/>
                <w:highlight w:val="none"/>
              </w:rPr>
            </w:pPr>
          </w:p>
        </w:tc>
      </w:tr>
      <w:tr w14:paraId="20AB3E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4552BB4A">
            <w:pPr>
              <w:rPr>
                <w:rFonts w:ascii="Arial"/>
                <w:color w:val="auto"/>
                <w:sz w:val="21"/>
                <w:highlight w:val="none"/>
              </w:rPr>
            </w:pPr>
          </w:p>
        </w:tc>
        <w:tc>
          <w:tcPr>
            <w:tcW w:w="3479" w:type="dxa"/>
            <w:vAlign w:val="top"/>
          </w:tcPr>
          <w:p w14:paraId="28A6E402">
            <w:pPr>
              <w:rPr>
                <w:rFonts w:ascii="Arial"/>
                <w:color w:val="auto"/>
                <w:sz w:val="21"/>
                <w:highlight w:val="none"/>
              </w:rPr>
            </w:pPr>
          </w:p>
        </w:tc>
        <w:tc>
          <w:tcPr>
            <w:tcW w:w="1799" w:type="dxa"/>
            <w:vAlign w:val="top"/>
          </w:tcPr>
          <w:p w14:paraId="71D72C52">
            <w:pPr>
              <w:rPr>
                <w:rFonts w:ascii="Arial"/>
                <w:color w:val="auto"/>
                <w:sz w:val="21"/>
                <w:highlight w:val="none"/>
              </w:rPr>
            </w:pPr>
          </w:p>
        </w:tc>
        <w:tc>
          <w:tcPr>
            <w:tcW w:w="2524" w:type="dxa"/>
            <w:vAlign w:val="top"/>
          </w:tcPr>
          <w:p w14:paraId="71B0A0D0">
            <w:pPr>
              <w:rPr>
                <w:rFonts w:ascii="Arial"/>
                <w:color w:val="auto"/>
                <w:sz w:val="21"/>
                <w:highlight w:val="none"/>
              </w:rPr>
            </w:pPr>
          </w:p>
        </w:tc>
      </w:tr>
      <w:tr w14:paraId="201A5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6C0EF3BC">
            <w:pPr>
              <w:rPr>
                <w:rFonts w:ascii="Arial"/>
                <w:color w:val="auto"/>
                <w:sz w:val="21"/>
                <w:highlight w:val="none"/>
              </w:rPr>
            </w:pPr>
          </w:p>
        </w:tc>
        <w:tc>
          <w:tcPr>
            <w:tcW w:w="3479" w:type="dxa"/>
            <w:vAlign w:val="top"/>
          </w:tcPr>
          <w:p w14:paraId="001D21B2">
            <w:pPr>
              <w:rPr>
                <w:rFonts w:ascii="Arial"/>
                <w:color w:val="auto"/>
                <w:sz w:val="21"/>
                <w:highlight w:val="none"/>
              </w:rPr>
            </w:pPr>
          </w:p>
        </w:tc>
        <w:tc>
          <w:tcPr>
            <w:tcW w:w="1799" w:type="dxa"/>
            <w:vAlign w:val="top"/>
          </w:tcPr>
          <w:p w14:paraId="6686BA7F">
            <w:pPr>
              <w:rPr>
                <w:rFonts w:ascii="Arial"/>
                <w:color w:val="auto"/>
                <w:sz w:val="21"/>
                <w:highlight w:val="none"/>
              </w:rPr>
            </w:pPr>
          </w:p>
        </w:tc>
        <w:tc>
          <w:tcPr>
            <w:tcW w:w="2524" w:type="dxa"/>
            <w:vAlign w:val="top"/>
          </w:tcPr>
          <w:p w14:paraId="0426726D">
            <w:pPr>
              <w:rPr>
                <w:rFonts w:ascii="Arial"/>
                <w:color w:val="auto"/>
                <w:sz w:val="21"/>
                <w:highlight w:val="none"/>
              </w:rPr>
            </w:pPr>
          </w:p>
        </w:tc>
      </w:tr>
      <w:tr w14:paraId="6C789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31A1932C">
            <w:pPr>
              <w:rPr>
                <w:rFonts w:ascii="Arial"/>
                <w:color w:val="auto"/>
                <w:sz w:val="21"/>
                <w:highlight w:val="none"/>
              </w:rPr>
            </w:pPr>
          </w:p>
        </w:tc>
        <w:tc>
          <w:tcPr>
            <w:tcW w:w="3479" w:type="dxa"/>
            <w:vAlign w:val="top"/>
          </w:tcPr>
          <w:p w14:paraId="62E9DEF6">
            <w:pPr>
              <w:rPr>
                <w:rFonts w:ascii="Arial"/>
                <w:color w:val="auto"/>
                <w:sz w:val="21"/>
                <w:highlight w:val="none"/>
              </w:rPr>
            </w:pPr>
          </w:p>
        </w:tc>
        <w:tc>
          <w:tcPr>
            <w:tcW w:w="1799" w:type="dxa"/>
            <w:vAlign w:val="top"/>
          </w:tcPr>
          <w:p w14:paraId="4170D00A">
            <w:pPr>
              <w:rPr>
                <w:rFonts w:ascii="Arial"/>
                <w:color w:val="auto"/>
                <w:sz w:val="21"/>
                <w:highlight w:val="none"/>
              </w:rPr>
            </w:pPr>
          </w:p>
        </w:tc>
        <w:tc>
          <w:tcPr>
            <w:tcW w:w="2524" w:type="dxa"/>
            <w:vAlign w:val="top"/>
          </w:tcPr>
          <w:p w14:paraId="512E8F03">
            <w:pPr>
              <w:rPr>
                <w:rFonts w:ascii="Arial"/>
                <w:color w:val="auto"/>
                <w:sz w:val="21"/>
                <w:highlight w:val="none"/>
              </w:rPr>
            </w:pPr>
          </w:p>
        </w:tc>
      </w:tr>
      <w:tr w14:paraId="0C643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0DB53CD7">
            <w:pPr>
              <w:rPr>
                <w:rFonts w:ascii="Arial"/>
                <w:color w:val="auto"/>
                <w:sz w:val="21"/>
                <w:highlight w:val="none"/>
              </w:rPr>
            </w:pPr>
          </w:p>
        </w:tc>
        <w:tc>
          <w:tcPr>
            <w:tcW w:w="3479" w:type="dxa"/>
            <w:vAlign w:val="top"/>
          </w:tcPr>
          <w:p w14:paraId="11CAFD66">
            <w:pPr>
              <w:rPr>
                <w:rFonts w:ascii="Arial"/>
                <w:color w:val="auto"/>
                <w:sz w:val="21"/>
                <w:highlight w:val="none"/>
              </w:rPr>
            </w:pPr>
          </w:p>
        </w:tc>
        <w:tc>
          <w:tcPr>
            <w:tcW w:w="1799" w:type="dxa"/>
            <w:vAlign w:val="top"/>
          </w:tcPr>
          <w:p w14:paraId="7A2CD2C4">
            <w:pPr>
              <w:rPr>
                <w:rFonts w:ascii="Arial"/>
                <w:color w:val="auto"/>
                <w:sz w:val="21"/>
                <w:highlight w:val="none"/>
              </w:rPr>
            </w:pPr>
          </w:p>
        </w:tc>
        <w:tc>
          <w:tcPr>
            <w:tcW w:w="2524" w:type="dxa"/>
            <w:vAlign w:val="top"/>
          </w:tcPr>
          <w:p w14:paraId="2EACF440">
            <w:pPr>
              <w:rPr>
                <w:rFonts w:ascii="Arial"/>
                <w:color w:val="auto"/>
                <w:sz w:val="21"/>
                <w:highlight w:val="none"/>
              </w:rPr>
            </w:pPr>
          </w:p>
        </w:tc>
      </w:tr>
    </w:tbl>
    <w:p w14:paraId="1C542FF1">
      <w:pPr>
        <w:spacing w:before="154" w:line="220" w:lineRule="auto"/>
        <w:ind w:left="20"/>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 xml:space="preserve">备注： </w:t>
      </w:r>
      <w:r>
        <w:rPr>
          <w:rFonts w:ascii="Times New Roman" w:hAnsi="Times New Roman" w:eastAsia="Times New Roman" w:cs="Times New Roman"/>
          <w:color w:val="auto"/>
          <w:spacing w:val="-4"/>
          <w:sz w:val="21"/>
          <w:szCs w:val="21"/>
          <w:highlight w:val="none"/>
        </w:rPr>
        <w:t>1.</w:t>
      </w:r>
      <w:r>
        <w:rPr>
          <w:rFonts w:ascii="宋体" w:hAnsi="宋体" w:eastAsia="宋体" w:cs="宋体"/>
          <w:color w:val="auto"/>
          <w:spacing w:val="-4"/>
          <w:sz w:val="21"/>
          <w:szCs w:val="21"/>
          <w:highlight w:val="none"/>
        </w:rPr>
        <w:t>本表后应附表彰文件、获奖证书及其他证明材料等。</w:t>
      </w:r>
    </w:p>
    <w:p w14:paraId="5BFD3F7E">
      <w:pPr>
        <w:spacing w:before="152" w:line="220" w:lineRule="auto"/>
        <w:ind w:left="643"/>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 xml:space="preserve">2. </w:t>
      </w:r>
      <w:r>
        <w:rPr>
          <w:rFonts w:ascii="宋体" w:hAnsi="宋体" w:eastAsia="宋体" w:cs="宋体"/>
          <w:color w:val="auto"/>
          <w:sz w:val="21"/>
          <w:szCs w:val="21"/>
          <w:highlight w:val="none"/>
        </w:rPr>
        <w:t>颁奖单位应当是国家机关或民政部门注册登记的合法颁奖单位。</w:t>
      </w:r>
    </w:p>
    <w:p w14:paraId="1FE0721A">
      <w:pPr>
        <w:spacing w:line="220" w:lineRule="auto"/>
        <w:rPr>
          <w:rFonts w:ascii="宋体" w:hAnsi="宋体" w:eastAsia="宋体" w:cs="宋体"/>
          <w:color w:val="auto"/>
          <w:sz w:val="21"/>
          <w:szCs w:val="21"/>
          <w:highlight w:val="none"/>
        </w:rPr>
        <w:sectPr>
          <w:footerReference r:id="rId241" w:type="default"/>
          <w:pgSz w:w="11905" w:h="16839"/>
          <w:pgMar w:top="400" w:right="1527" w:bottom="1004" w:left="1785" w:header="0" w:footer="828" w:gutter="0"/>
          <w:pgNumType w:fmt="decimal"/>
          <w:cols w:space="720" w:num="1"/>
        </w:sectPr>
      </w:pPr>
    </w:p>
    <w:p w14:paraId="085DE2BA">
      <w:pPr>
        <w:pStyle w:val="3"/>
        <w:spacing w:line="255" w:lineRule="auto"/>
        <w:rPr>
          <w:color w:val="auto"/>
          <w:highlight w:val="none"/>
        </w:rPr>
      </w:pPr>
    </w:p>
    <w:p w14:paraId="4B29F80E">
      <w:pPr>
        <w:pStyle w:val="3"/>
        <w:spacing w:line="256" w:lineRule="auto"/>
        <w:rPr>
          <w:color w:val="auto"/>
          <w:highlight w:val="none"/>
        </w:rPr>
      </w:pPr>
    </w:p>
    <w:p w14:paraId="02AEBF5D">
      <w:pPr>
        <w:pStyle w:val="3"/>
        <w:spacing w:line="256" w:lineRule="auto"/>
        <w:rPr>
          <w:color w:val="auto"/>
          <w:highlight w:val="none"/>
        </w:rPr>
      </w:pPr>
    </w:p>
    <w:p w14:paraId="75D18591">
      <w:pPr>
        <w:pStyle w:val="3"/>
        <w:spacing w:line="256" w:lineRule="auto"/>
        <w:rPr>
          <w:color w:val="auto"/>
          <w:highlight w:val="none"/>
        </w:rPr>
      </w:pPr>
    </w:p>
    <w:p w14:paraId="550A00C8">
      <w:pPr>
        <w:spacing w:before="88" w:line="225" w:lineRule="auto"/>
        <w:ind w:left="2777"/>
        <w:rPr>
          <w:rFonts w:ascii="黑体" w:hAnsi="黑体" w:eastAsia="黑体" w:cs="黑体"/>
          <w:color w:val="auto"/>
          <w:sz w:val="27"/>
          <w:szCs w:val="27"/>
          <w:highlight w:val="none"/>
        </w:rPr>
      </w:pPr>
      <w:bookmarkStart w:id="1356" w:name="bookmark329"/>
      <w:bookmarkEnd w:id="1356"/>
      <w:r>
        <w:rPr>
          <w:rFonts w:ascii="黑体" w:hAnsi="黑体" w:eastAsia="黑体" w:cs="黑体"/>
          <w:color w:val="auto"/>
          <w:spacing w:val="8"/>
          <w:sz w:val="27"/>
          <w:szCs w:val="27"/>
          <w:highlight w:val="none"/>
        </w:rPr>
        <w:t>八、已标价工程量清单</w:t>
      </w:r>
    </w:p>
    <w:p w14:paraId="05DD722E">
      <w:pPr>
        <w:pStyle w:val="3"/>
        <w:spacing w:line="285" w:lineRule="auto"/>
        <w:rPr>
          <w:color w:val="auto"/>
          <w:highlight w:val="none"/>
        </w:rPr>
      </w:pPr>
    </w:p>
    <w:p w14:paraId="6878C322">
      <w:pPr>
        <w:pStyle w:val="3"/>
        <w:spacing w:line="285" w:lineRule="auto"/>
        <w:rPr>
          <w:color w:val="auto"/>
          <w:highlight w:val="none"/>
        </w:rPr>
      </w:pPr>
    </w:p>
    <w:p w14:paraId="5FE7FC88">
      <w:pPr>
        <w:spacing w:before="68"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说明：已标价工程量清单按第五章“工程量清单”中的相关清单表格式填写。</w:t>
      </w:r>
    </w:p>
    <w:p w14:paraId="26ACC2D9">
      <w:pPr>
        <w:spacing w:before="211" w:line="461" w:lineRule="exact"/>
        <w:ind w:right="19"/>
        <w:jc w:val="right"/>
        <w:rPr>
          <w:rFonts w:ascii="宋体" w:hAnsi="宋体" w:eastAsia="宋体" w:cs="宋体"/>
          <w:color w:val="auto"/>
          <w:sz w:val="21"/>
          <w:szCs w:val="21"/>
          <w:highlight w:val="none"/>
        </w:rPr>
      </w:pPr>
      <w:r>
        <w:rPr>
          <w:rFonts w:ascii="宋体" w:hAnsi="宋体" w:eastAsia="宋体" w:cs="宋体"/>
          <w:color w:val="auto"/>
          <w:spacing w:val="3"/>
          <w:position w:val="19"/>
          <w:sz w:val="21"/>
          <w:szCs w:val="21"/>
          <w:highlight w:val="none"/>
        </w:rPr>
        <w:t>构成合同文件的已标价工程量清单包括第五章“工程量清单”有关工</w:t>
      </w:r>
      <w:r>
        <w:rPr>
          <w:rFonts w:ascii="宋体" w:hAnsi="宋体" w:eastAsia="宋体" w:cs="宋体"/>
          <w:color w:val="auto"/>
          <w:spacing w:val="2"/>
          <w:position w:val="19"/>
          <w:sz w:val="21"/>
          <w:szCs w:val="21"/>
          <w:highlight w:val="none"/>
        </w:rPr>
        <w:t>程量清单、投</w:t>
      </w:r>
    </w:p>
    <w:p w14:paraId="776B6FFB">
      <w:pPr>
        <w:spacing w:line="219" w:lineRule="auto"/>
        <w:ind w:left="19"/>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标报价以及其他说明的内容。</w:t>
      </w:r>
    </w:p>
    <w:p w14:paraId="285F37BD">
      <w:pPr>
        <w:spacing w:line="219" w:lineRule="auto"/>
        <w:rPr>
          <w:rFonts w:ascii="宋体" w:hAnsi="宋体" w:eastAsia="宋体" w:cs="宋体"/>
          <w:color w:val="auto"/>
          <w:sz w:val="21"/>
          <w:szCs w:val="21"/>
          <w:highlight w:val="none"/>
        </w:rPr>
        <w:sectPr>
          <w:footerReference r:id="rId242" w:type="default"/>
          <w:pgSz w:w="11905" w:h="16839"/>
          <w:pgMar w:top="400" w:right="1785" w:bottom="1004" w:left="1785" w:header="0" w:footer="828" w:gutter="0"/>
          <w:pgNumType w:fmt="decimal"/>
          <w:cols w:space="720" w:num="1"/>
        </w:sectPr>
      </w:pPr>
    </w:p>
    <w:p w14:paraId="15E1A069">
      <w:pPr>
        <w:pStyle w:val="3"/>
        <w:spacing w:line="267" w:lineRule="auto"/>
        <w:rPr>
          <w:color w:val="auto"/>
          <w:highlight w:val="none"/>
        </w:rPr>
      </w:pPr>
    </w:p>
    <w:p w14:paraId="2F2EBF01">
      <w:pPr>
        <w:pStyle w:val="3"/>
        <w:spacing w:line="267" w:lineRule="auto"/>
        <w:rPr>
          <w:color w:val="auto"/>
          <w:highlight w:val="none"/>
        </w:rPr>
      </w:pPr>
    </w:p>
    <w:p w14:paraId="1C870A14">
      <w:pPr>
        <w:pStyle w:val="3"/>
        <w:spacing w:line="268" w:lineRule="auto"/>
        <w:rPr>
          <w:color w:val="auto"/>
          <w:highlight w:val="none"/>
        </w:rPr>
      </w:pPr>
    </w:p>
    <w:p w14:paraId="29FDE816">
      <w:pPr>
        <w:pStyle w:val="3"/>
        <w:spacing w:line="268" w:lineRule="auto"/>
        <w:rPr>
          <w:color w:val="auto"/>
          <w:highlight w:val="none"/>
        </w:rPr>
      </w:pPr>
    </w:p>
    <w:p w14:paraId="26157038">
      <w:pPr>
        <w:spacing w:before="78" w:line="219" w:lineRule="auto"/>
        <w:ind w:left="34"/>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已标价工程量清单（投标总价）封面</w:t>
      </w:r>
    </w:p>
    <w:p w14:paraId="42D2AFF5">
      <w:pPr>
        <w:pStyle w:val="3"/>
        <w:spacing w:line="244" w:lineRule="auto"/>
        <w:rPr>
          <w:color w:val="auto"/>
          <w:highlight w:val="none"/>
        </w:rPr>
      </w:pPr>
    </w:p>
    <w:p w14:paraId="04E7D926">
      <w:pPr>
        <w:pStyle w:val="3"/>
        <w:spacing w:line="244" w:lineRule="auto"/>
        <w:rPr>
          <w:color w:val="auto"/>
          <w:highlight w:val="none"/>
        </w:rPr>
      </w:pPr>
    </w:p>
    <w:p w14:paraId="37F6046D">
      <w:pPr>
        <w:pStyle w:val="3"/>
        <w:spacing w:line="244" w:lineRule="auto"/>
        <w:rPr>
          <w:color w:val="auto"/>
          <w:highlight w:val="none"/>
        </w:rPr>
      </w:pPr>
    </w:p>
    <w:p w14:paraId="51A9BCE6">
      <w:pPr>
        <w:pStyle w:val="3"/>
        <w:spacing w:line="244" w:lineRule="auto"/>
        <w:rPr>
          <w:color w:val="auto"/>
          <w:highlight w:val="none"/>
        </w:rPr>
      </w:pPr>
    </w:p>
    <w:p w14:paraId="034876B6">
      <w:pPr>
        <w:pStyle w:val="3"/>
        <w:spacing w:line="244" w:lineRule="auto"/>
        <w:rPr>
          <w:color w:val="auto"/>
          <w:highlight w:val="none"/>
        </w:rPr>
      </w:pPr>
    </w:p>
    <w:p w14:paraId="5CA8532F">
      <w:pPr>
        <w:pStyle w:val="3"/>
        <w:spacing w:line="244" w:lineRule="auto"/>
        <w:rPr>
          <w:color w:val="auto"/>
          <w:highlight w:val="none"/>
        </w:rPr>
      </w:pPr>
    </w:p>
    <w:p w14:paraId="64D41410">
      <w:pPr>
        <w:pStyle w:val="3"/>
        <w:spacing w:line="244" w:lineRule="auto"/>
        <w:rPr>
          <w:color w:val="auto"/>
          <w:highlight w:val="none"/>
        </w:rPr>
      </w:pPr>
    </w:p>
    <w:p w14:paraId="75A6EDF1">
      <w:pPr>
        <w:pStyle w:val="3"/>
        <w:spacing w:line="244" w:lineRule="auto"/>
        <w:rPr>
          <w:color w:val="auto"/>
          <w:highlight w:val="none"/>
        </w:rPr>
      </w:pPr>
    </w:p>
    <w:p w14:paraId="0D9D8B59">
      <w:pPr>
        <w:pStyle w:val="3"/>
        <w:spacing w:line="245" w:lineRule="auto"/>
        <w:rPr>
          <w:color w:val="auto"/>
          <w:highlight w:val="none"/>
        </w:rPr>
      </w:pPr>
    </w:p>
    <w:p w14:paraId="449D2891">
      <w:pPr>
        <w:pStyle w:val="3"/>
        <w:spacing w:line="245" w:lineRule="auto"/>
        <w:rPr>
          <w:color w:val="auto"/>
          <w:highlight w:val="none"/>
        </w:rPr>
      </w:pPr>
    </w:p>
    <w:p w14:paraId="64C88AA8">
      <w:pPr>
        <w:pStyle w:val="3"/>
        <w:spacing w:line="245" w:lineRule="auto"/>
        <w:rPr>
          <w:color w:val="auto"/>
          <w:highlight w:val="none"/>
        </w:rPr>
      </w:pPr>
    </w:p>
    <w:p w14:paraId="7B5E9FEC">
      <w:pPr>
        <w:pStyle w:val="3"/>
        <w:spacing w:line="245" w:lineRule="auto"/>
        <w:rPr>
          <w:color w:val="auto"/>
          <w:highlight w:val="none"/>
        </w:rPr>
      </w:pPr>
    </w:p>
    <w:p w14:paraId="46FE97EA">
      <w:pPr>
        <w:pStyle w:val="3"/>
        <w:spacing w:line="245" w:lineRule="auto"/>
        <w:rPr>
          <w:color w:val="auto"/>
          <w:highlight w:val="none"/>
        </w:rPr>
      </w:pPr>
    </w:p>
    <w:p w14:paraId="38817779">
      <w:pPr>
        <w:pStyle w:val="3"/>
        <w:spacing w:line="245" w:lineRule="auto"/>
        <w:rPr>
          <w:color w:val="auto"/>
          <w:highlight w:val="none"/>
        </w:rPr>
      </w:pPr>
    </w:p>
    <w:p w14:paraId="766A599A">
      <w:pPr>
        <w:spacing w:before="143" w:line="219" w:lineRule="auto"/>
        <w:ind w:left="3298"/>
        <w:rPr>
          <w:rFonts w:ascii="黑体" w:hAnsi="黑体" w:eastAsia="黑体" w:cs="黑体"/>
          <w:color w:val="auto"/>
          <w:sz w:val="44"/>
          <w:szCs w:val="44"/>
          <w:highlight w:val="none"/>
        </w:rPr>
      </w:pPr>
      <w:r>
        <w:rPr>
          <w:rFonts w:ascii="黑体" w:hAnsi="黑体" w:eastAsia="黑体" w:cs="黑体"/>
          <w:color w:val="auto"/>
          <w:spacing w:val="-2"/>
          <w:sz w:val="44"/>
          <w:szCs w:val="44"/>
          <w:highlight w:val="none"/>
        </w:rPr>
        <w:t>投标总价</w:t>
      </w:r>
    </w:p>
    <w:p w14:paraId="44043068">
      <w:pPr>
        <w:pStyle w:val="3"/>
        <w:spacing w:line="249" w:lineRule="auto"/>
        <w:rPr>
          <w:color w:val="auto"/>
          <w:highlight w:val="none"/>
        </w:rPr>
      </w:pPr>
    </w:p>
    <w:p w14:paraId="77B5A4AD">
      <w:pPr>
        <w:pStyle w:val="3"/>
        <w:spacing w:line="249" w:lineRule="auto"/>
        <w:rPr>
          <w:color w:val="auto"/>
          <w:highlight w:val="none"/>
        </w:rPr>
      </w:pPr>
    </w:p>
    <w:p w14:paraId="0BF7AB86">
      <w:pPr>
        <w:pStyle w:val="3"/>
        <w:spacing w:line="249" w:lineRule="auto"/>
        <w:rPr>
          <w:color w:val="auto"/>
          <w:highlight w:val="none"/>
        </w:rPr>
      </w:pPr>
    </w:p>
    <w:p w14:paraId="03D19F60">
      <w:pPr>
        <w:pStyle w:val="3"/>
        <w:spacing w:line="249" w:lineRule="auto"/>
        <w:rPr>
          <w:color w:val="auto"/>
          <w:highlight w:val="none"/>
        </w:rPr>
      </w:pPr>
    </w:p>
    <w:p w14:paraId="242F827B">
      <w:pPr>
        <w:pStyle w:val="3"/>
        <w:spacing w:line="249" w:lineRule="auto"/>
        <w:rPr>
          <w:color w:val="auto"/>
          <w:highlight w:val="none"/>
        </w:rPr>
      </w:pPr>
    </w:p>
    <w:p w14:paraId="4B2EA88D">
      <w:pPr>
        <w:pStyle w:val="3"/>
        <w:spacing w:line="249" w:lineRule="auto"/>
        <w:rPr>
          <w:color w:val="auto"/>
          <w:highlight w:val="none"/>
        </w:rPr>
      </w:pPr>
    </w:p>
    <w:p w14:paraId="1EB54ABF">
      <w:pPr>
        <w:pStyle w:val="3"/>
        <w:spacing w:line="250" w:lineRule="auto"/>
        <w:rPr>
          <w:color w:val="auto"/>
          <w:highlight w:val="none"/>
        </w:rPr>
      </w:pPr>
    </w:p>
    <w:p w14:paraId="5C82192C">
      <w:pPr>
        <w:pStyle w:val="3"/>
        <w:spacing w:line="250" w:lineRule="auto"/>
        <w:rPr>
          <w:color w:val="auto"/>
          <w:highlight w:val="none"/>
        </w:rPr>
      </w:pPr>
    </w:p>
    <w:p w14:paraId="43A6C444">
      <w:pPr>
        <w:pStyle w:val="3"/>
        <w:spacing w:line="250" w:lineRule="auto"/>
        <w:rPr>
          <w:color w:val="auto"/>
          <w:highlight w:val="none"/>
        </w:rPr>
      </w:pPr>
    </w:p>
    <w:p w14:paraId="410AB0F7">
      <w:pPr>
        <w:pStyle w:val="3"/>
        <w:spacing w:line="250" w:lineRule="auto"/>
        <w:rPr>
          <w:color w:val="auto"/>
          <w:highlight w:val="none"/>
        </w:rPr>
      </w:pPr>
    </w:p>
    <w:p w14:paraId="79903B16">
      <w:pPr>
        <w:pStyle w:val="3"/>
        <w:spacing w:line="250" w:lineRule="auto"/>
        <w:rPr>
          <w:color w:val="auto"/>
          <w:highlight w:val="none"/>
        </w:rPr>
      </w:pPr>
    </w:p>
    <w:p w14:paraId="5284FB8A">
      <w:pPr>
        <w:pStyle w:val="3"/>
        <w:spacing w:line="250" w:lineRule="auto"/>
        <w:rPr>
          <w:color w:val="auto"/>
          <w:highlight w:val="none"/>
        </w:rPr>
      </w:pPr>
    </w:p>
    <w:p w14:paraId="6957939E">
      <w:pPr>
        <w:pStyle w:val="3"/>
        <w:spacing w:line="250" w:lineRule="auto"/>
        <w:rPr>
          <w:color w:val="auto"/>
          <w:highlight w:val="none"/>
        </w:rPr>
      </w:pPr>
    </w:p>
    <w:p w14:paraId="6B16DBC3">
      <w:pPr>
        <w:pStyle w:val="3"/>
        <w:spacing w:line="250" w:lineRule="auto"/>
        <w:rPr>
          <w:color w:val="auto"/>
          <w:highlight w:val="none"/>
        </w:rPr>
      </w:pPr>
    </w:p>
    <w:p w14:paraId="78583231">
      <w:pPr>
        <w:pStyle w:val="3"/>
        <w:spacing w:line="250" w:lineRule="auto"/>
        <w:rPr>
          <w:color w:val="auto"/>
          <w:highlight w:val="none"/>
        </w:rPr>
      </w:pPr>
    </w:p>
    <w:p w14:paraId="6305B3BC">
      <w:pPr>
        <w:pStyle w:val="3"/>
        <w:spacing w:line="250" w:lineRule="auto"/>
        <w:rPr>
          <w:color w:val="auto"/>
          <w:highlight w:val="none"/>
        </w:rPr>
      </w:pPr>
    </w:p>
    <w:p w14:paraId="07B082DD">
      <w:pPr>
        <w:spacing w:before="88" w:line="222" w:lineRule="auto"/>
        <w:ind w:left="4234" w:right="1321" w:hanging="2529"/>
        <w:rPr>
          <w:rFonts w:ascii="宋体" w:hAnsi="宋体" w:eastAsia="宋体" w:cs="宋体"/>
          <w:color w:val="auto"/>
          <w:sz w:val="27"/>
          <w:szCs w:val="27"/>
          <w:highlight w:val="none"/>
        </w:rPr>
      </w:pPr>
      <w:r>
        <w:rPr>
          <w:rFonts w:ascii="宋体" w:hAnsi="宋体" w:eastAsia="宋体" w:cs="宋体"/>
          <w:color w:val="auto"/>
          <w:spacing w:val="-27"/>
          <w:sz w:val="27"/>
          <w:szCs w:val="27"/>
          <w:highlight w:val="none"/>
        </w:rPr>
        <w:t>投</w:t>
      </w:r>
      <w:r>
        <w:rPr>
          <w:rFonts w:ascii="宋体" w:hAnsi="宋体" w:eastAsia="宋体" w:cs="宋体"/>
          <w:color w:val="auto"/>
          <w:spacing w:val="16"/>
          <w:sz w:val="27"/>
          <w:szCs w:val="27"/>
          <w:highlight w:val="none"/>
        </w:rPr>
        <w:t xml:space="preserve"> </w:t>
      </w:r>
      <w:r>
        <w:rPr>
          <w:rFonts w:ascii="宋体" w:hAnsi="宋体" w:eastAsia="宋体" w:cs="宋体"/>
          <w:color w:val="auto"/>
          <w:spacing w:val="-27"/>
          <w:sz w:val="27"/>
          <w:szCs w:val="27"/>
          <w:highlight w:val="none"/>
        </w:rPr>
        <w:t>标</w:t>
      </w:r>
      <w:r>
        <w:rPr>
          <w:rFonts w:ascii="宋体" w:hAnsi="宋体" w:eastAsia="宋体" w:cs="宋体"/>
          <w:color w:val="auto"/>
          <w:spacing w:val="18"/>
          <w:sz w:val="27"/>
          <w:szCs w:val="27"/>
          <w:highlight w:val="none"/>
        </w:rPr>
        <w:t xml:space="preserve"> </w:t>
      </w:r>
      <w:r>
        <w:rPr>
          <w:rFonts w:ascii="宋体" w:hAnsi="宋体" w:eastAsia="宋体" w:cs="宋体"/>
          <w:color w:val="auto"/>
          <w:spacing w:val="-27"/>
          <w:sz w:val="27"/>
          <w:szCs w:val="27"/>
          <w:highlight w:val="none"/>
        </w:rPr>
        <w:t>人：</w:t>
      </w:r>
      <w:r>
        <w:rPr>
          <w:rFonts w:ascii="宋体" w:hAnsi="宋体" w:eastAsia="宋体" w:cs="宋体"/>
          <w:color w:val="auto"/>
          <w:spacing w:val="-29"/>
          <w:sz w:val="27"/>
          <w:szCs w:val="27"/>
          <w:highlight w:val="none"/>
        </w:rPr>
        <w:t xml:space="preserve"> </w:t>
      </w:r>
      <w:r>
        <w:rPr>
          <w:rFonts w:ascii="宋体" w:hAnsi="宋体" w:eastAsia="宋体" w:cs="宋体"/>
          <w:color w:val="auto"/>
          <w:sz w:val="27"/>
          <w:szCs w:val="27"/>
          <w:highlight w:val="none"/>
          <w:u w:val="single" w:color="auto"/>
        </w:rPr>
        <w:t xml:space="preserve">                             </w:t>
      </w:r>
      <w:r>
        <w:rPr>
          <w:rFonts w:ascii="宋体" w:hAnsi="宋体" w:eastAsia="宋体" w:cs="宋体"/>
          <w:color w:val="auto"/>
          <w:spacing w:val="8"/>
          <w:sz w:val="27"/>
          <w:szCs w:val="27"/>
          <w:highlight w:val="none"/>
        </w:rPr>
        <w:t xml:space="preserve"> </w:t>
      </w:r>
      <w:r>
        <w:rPr>
          <w:rFonts w:ascii="宋体" w:hAnsi="宋体" w:eastAsia="宋体" w:cs="宋体"/>
          <w:color w:val="auto"/>
          <w:spacing w:val="3"/>
          <w:sz w:val="27"/>
          <w:szCs w:val="27"/>
          <w:highlight w:val="none"/>
        </w:rPr>
        <w:t>（单位盖章）</w:t>
      </w:r>
    </w:p>
    <w:p w14:paraId="6AFAFBF1">
      <w:pPr>
        <w:pStyle w:val="3"/>
        <w:spacing w:line="351" w:lineRule="auto"/>
        <w:rPr>
          <w:color w:val="auto"/>
          <w:highlight w:val="none"/>
        </w:rPr>
      </w:pPr>
    </w:p>
    <w:p w14:paraId="0CCF8335">
      <w:pPr>
        <w:pStyle w:val="3"/>
        <w:spacing w:line="352" w:lineRule="auto"/>
        <w:rPr>
          <w:color w:val="auto"/>
          <w:highlight w:val="none"/>
        </w:rPr>
      </w:pPr>
    </w:p>
    <w:p w14:paraId="03C29147">
      <w:pPr>
        <w:spacing w:before="88" w:line="225" w:lineRule="auto"/>
        <w:ind w:left="3383"/>
        <w:rPr>
          <w:rFonts w:ascii="宋体" w:hAnsi="宋体" w:eastAsia="宋体" w:cs="宋体"/>
          <w:color w:val="auto"/>
          <w:sz w:val="27"/>
          <w:szCs w:val="27"/>
          <w:highlight w:val="none"/>
        </w:rPr>
      </w:pPr>
      <w:r>
        <w:rPr>
          <w:rFonts w:ascii="宋体" w:hAnsi="宋体" w:eastAsia="宋体" w:cs="宋体"/>
          <w:color w:val="auto"/>
          <w:spacing w:val="-5"/>
          <w:sz w:val="27"/>
          <w:szCs w:val="27"/>
          <w:highlight w:val="none"/>
        </w:rPr>
        <w:t>年</w:t>
      </w:r>
      <w:r>
        <w:rPr>
          <w:rFonts w:ascii="宋体" w:hAnsi="宋体" w:eastAsia="宋体" w:cs="宋体"/>
          <w:color w:val="auto"/>
          <w:spacing w:val="8"/>
          <w:sz w:val="27"/>
          <w:szCs w:val="27"/>
          <w:highlight w:val="none"/>
        </w:rPr>
        <w:t xml:space="preserve">      </w:t>
      </w:r>
      <w:r>
        <w:rPr>
          <w:rFonts w:ascii="宋体" w:hAnsi="宋体" w:eastAsia="宋体" w:cs="宋体"/>
          <w:color w:val="auto"/>
          <w:spacing w:val="-5"/>
          <w:sz w:val="27"/>
          <w:szCs w:val="27"/>
          <w:highlight w:val="none"/>
        </w:rPr>
        <w:t>月</w:t>
      </w:r>
      <w:r>
        <w:rPr>
          <w:rFonts w:ascii="宋体" w:hAnsi="宋体" w:eastAsia="宋体" w:cs="宋体"/>
          <w:color w:val="auto"/>
          <w:spacing w:val="15"/>
          <w:sz w:val="27"/>
          <w:szCs w:val="27"/>
          <w:highlight w:val="none"/>
        </w:rPr>
        <w:t xml:space="preserve">      </w:t>
      </w:r>
      <w:r>
        <w:rPr>
          <w:rFonts w:ascii="宋体" w:hAnsi="宋体" w:eastAsia="宋体" w:cs="宋体"/>
          <w:color w:val="auto"/>
          <w:spacing w:val="-5"/>
          <w:sz w:val="27"/>
          <w:szCs w:val="27"/>
          <w:highlight w:val="none"/>
        </w:rPr>
        <w:t>日</w:t>
      </w:r>
    </w:p>
    <w:p w14:paraId="0BDDA74C">
      <w:pPr>
        <w:spacing w:line="225" w:lineRule="auto"/>
        <w:rPr>
          <w:rFonts w:ascii="宋体" w:hAnsi="宋体" w:eastAsia="宋体" w:cs="宋体"/>
          <w:color w:val="auto"/>
          <w:sz w:val="27"/>
          <w:szCs w:val="27"/>
          <w:highlight w:val="none"/>
        </w:rPr>
        <w:sectPr>
          <w:footerReference r:id="rId243" w:type="default"/>
          <w:pgSz w:w="11905" w:h="16839"/>
          <w:pgMar w:top="400" w:right="1785" w:bottom="1004" w:left="1785" w:header="0" w:footer="828" w:gutter="0"/>
          <w:pgNumType w:fmt="decimal"/>
          <w:cols w:space="720" w:num="1"/>
        </w:sectPr>
      </w:pPr>
    </w:p>
    <w:p w14:paraId="73D9ED0F">
      <w:pPr>
        <w:pStyle w:val="3"/>
        <w:spacing w:line="254" w:lineRule="auto"/>
        <w:rPr>
          <w:color w:val="auto"/>
          <w:highlight w:val="none"/>
        </w:rPr>
      </w:pPr>
    </w:p>
    <w:p w14:paraId="508A0DB1">
      <w:pPr>
        <w:pStyle w:val="3"/>
        <w:spacing w:line="254" w:lineRule="auto"/>
        <w:rPr>
          <w:color w:val="auto"/>
          <w:highlight w:val="none"/>
        </w:rPr>
      </w:pPr>
    </w:p>
    <w:p w14:paraId="6991BBF1">
      <w:pPr>
        <w:pStyle w:val="3"/>
        <w:spacing w:line="255" w:lineRule="auto"/>
        <w:rPr>
          <w:color w:val="auto"/>
          <w:highlight w:val="none"/>
        </w:rPr>
      </w:pPr>
    </w:p>
    <w:p w14:paraId="750F429C">
      <w:pPr>
        <w:pStyle w:val="3"/>
        <w:spacing w:line="255" w:lineRule="auto"/>
        <w:rPr>
          <w:color w:val="auto"/>
          <w:highlight w:val="none"/>
        </w:rPr>
      </w:pPr>
    </w:p>
    <w:p w14:paraId="5A183C47">
      <w:pPr>
        <w:pStyle w:val="3"/>
        <w:spacing w:line="255" w:lineRule="auto"/>
        <w:rPr>
          <w:color w:val="auto"/>
          <w:highlight w:val="none"/>
        </w:rPr>
      </w:pPr>
    </w:p>
    <w:p w14:paraId="0ACCD15E">
      <w:pPr>
        <w:pStyle w:val="3"/>
        <w:spacing w:line="255" w:lineRule="auto"/>
        <w:rPr>
          <w:color w:val="auto"/>
          <w:highlight w:val="none"/>
        </w:rPr>
      </w:pPr>
    </w:p>
    <w:p w14:paraId="5748692D">
      <w:pPr>
        <w:spacing w:before="78" w:line="219" w:lineRule="auto"/>
        <w:ind w:left="17"/>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投标总价扉页</w:t>
      </w:r>
    </w:p>
    <w:p w14:paraId="19E4A515">
      <w:pPr>
        <w:pStyle w:val="3"/>
        <w:spacing w:line="264" w:lineRule="auto"/>
        <w:rPr>
          <w:color w:val="auto"/>
          <w:highlight w:val="none"/>
        </w:rPr>
      </w:pPr>
    </w:p>
    <w:p w14:paraId="3562658D">
      <w:pPr>
        <w:pStyle w:val="3"/>
        <w:spacing w:line="264" w:lineRule="auto"/>
        <w:rPr>
          <w:color w:val="auto"/>
          <w:highlight w:val="none"/>
        </w:rPr>
      </w:pPr>
    </w:p>
    <w:p w14:paraId="0765D531">
      <w:pPr>
        <w:pStyle w:val="3"/>
        <w:spacing w:line="264" w:lineRule="auto"/>
        <w:rPr>
          <w:color w:val="auto"/>
          <w:highlight w:val="none"/>
        </w:rPr>
      </w:pPr>
    </w:p>
    <w:p w14:paraId="21928D07">
      <w:pPr>
        <w:pStyle w:val="3"/>
        <w:spacing w:line="264" w:lineRule="auto"/>
        <w:rPr>
          <w:color w:val="auto"/>
          <w:highlight w:val="none"/>
        </w:rPr>
      </w:pPr>
    </w:p>
    <w:p w14:paraId="189AF74B">
      <w:pPr>
        <w:spacing w:before="104" w:line="220" w:lineRule="auto"/>
        <w:ind w:left="3837"/>
        <w:rPr>
          <w:rFonts w:ascii="黑体" w:hAnsi="黑体" w:eastAsia="黑体" w:cs="黑体"/>
          <w:color w:val="auto"/>
          <w:sz w:val="32"/>
          <w:szCs w:val="32"/>
          <w:highlight w:val="none"/>
        </w:rPr>
      </w:pPr>
      <w:r>
        <w:rPr>
          <w:rFonts w:ascii="黑体" w:hAnsi="黑体" w:eastAsia="黑体" w:cs="黑体"/>
          <w:color w:val="auto"/>
          <w:spacing w:val="13"/>
          <w:sz w:val="32"/>
          <w:szCs w:val="32"/>
          <w:highlight w:val="none"/>
        </w:rPr>
        <w:t>投标总价</w:t>
      </w:r>
    </w:p>
    <w:p w14:paraId="42EE8D6C">
      <w:pPr>
        <w:pStyle w:val="3"/>
        <w:spacing w:line="339" w:lineRule="auto"/>
        <w:rPr>
          <w:color w:val="auto"/>
          <w:highlight w:val="none"/>
        </w:rPr>
      </w:pPr>
    </w:p>
    <w:p w14:paraId="0CACEC6F">
      <w:pPr>
        <w:pStyle w:val="3"/>
        <w:spacing w:line="340" w:lineRule="auto"/>
        <w:rPr>
          <w:color w:val="auto"/>
          <w:highlight w:val="none"/>
        </w:rPr>
      </w:pPr>
    </w:p>
    <w:p w14:paraId="1A5ED3FB">
      <w:pPr>
        <w:spacing w:before="68" w:line="221" w:lineRule="auto"/>
        <w:ind w:left="442"/>
        <w:rPr>
          <w:rFonts w:ascii="宋体" w:hAnsi="宋体" w:eastAsia="宋体" w:cs="宋体"/>
          <w:color w:val="auto"/>
          <w:sz w:val="21"/>
          <w:szCs w:val="21"/>
          <w:highlight w:val="none"/>
        </w:rPr>
      </w:pPr>
      <w:r>
        <w:rPr>
          <w:rFonts w:ascii="宋体" w:hAnsi="宋体" w:eastAsia="宋体" w:cs="宋体"/>
          <w:color w:val="auto"/>
          <w:spacing w:val="-25"/>
          <w:sz w:val="21"/>
          <w:szCs w:val="21"/>
          <w:highlight w:val="none"/>
        </w:rPr>
        <w:t>招</w:t>
      </w:r>
      <w:r>
        <w:rPr>
          <w:rFonts w:ascii="宋体" w:hAnsi="宋体" w:eastAsia="宋体" w:cs="宋体"/>
          <w:color w:val="auto"/>
          <w:spacing w:val="12"/>
          <w:sz w:val="21"/>
          <w:szCs w:val="21"/>
          <w:highlight w:val="none"/>
        </w:rPr>
        <w:t xml:space="preserve"> </w:t>
      </w:r>
      <w:r>
        <w:rPr>
          <w:rFonts w:ascii="宋体" w:hAnsi="宋体" w:eastAsia="宋体" w:cs="宋体"/>
          <w:color w:val="auto"/>
          <w:spacing w:val="-25"/>
          <w:sz w:val="21"/>
          <w:szCs w:val="21"/>
          <w:highlight w:val="none"/>
        </w:rPr>
        <w:t>标</w:t>
      </w:r>
      <w:r>
        <w:rPr>
          <w:rFonts w:ascii="宋体" w:hAnsi="宋体" w:eastAsia="宋体" w:cs="宋体"/>
          <w:color w:val="auto"/>
          <w:spacing w:val="10"/>
          <w:sz w:val="21"/>
          <w:szCs w:val="21"/>
          <w:highlight w:val="none"/>
        </w:rPr>
        <w:t xml:space="preserve"> </w:t>
      </w:r>
      <w:r>
        <w:rPr>
          <w:rFonts w:ascii="宋体" w:hAnsi="宋体" w:eastAsia="宋体" w:cs="宋体"/>
          <w:color w:val="auto"/>
          <w:spacing w:val="-25"/>
          <w:sz w:val="21"/>
          <w:szCs w:val="21"/>
          <w:highlight w:val="none"/>
        </w:rPr>
        <w:t>人：</w:t>
      </w:r>
      <w:r>
        <w:rPr>
          <w:rFonts w:ascii="宋体" w:hAnsi="宋体" w:eastAsia="宋体" w:cs="宋体"/>
          <w:color w:val="auto"/>
          <w:spacing w:val="-31"/>
          <w:sz w:val="21"/>
          <w:szCs w:val="21"/>
          <w:highlight w:val="none"/>
        </w:rPr>
        <w:t xml:space="preserve"> </w:t>
      </w:r>
      <w:r>
        <w:rPr>
          <w:rFonts w:ascii="宋体" w:hAnsi="宋体" w:eastAsia="宋体" w:cs="宋体"/>
          <w:color w:val="auto"/>
          <w:sz w:val="21"/>
          <w:szCs w:val="21"/>
          <w:highlight w:val="none"/>
          <w:u w:val="single" w:color="auto"/>
        </w:rPr>
        <w:t xml:space="preserve">                                                               </w:t>
      </w:r>
    </w:p>
    <w:p w14:paraId="6C956AA6">
      <w:pPr>
        <w:pStyle w:val="3"/>
        <w:spacing w:line="278" w:lineRule="auto"/>
        <w:rPr>
          <w:color w:val="auto"/>
          <w:highlight w:val="none"/>
        </w:rPr>
      </w:pPr>
    </w:p>
    <w:p w14:paraId="42139C49">
      <w:pPr>
        <w:spacing w:before="68" w:line="221" w:lineRule="auto"/>
        <w:ind w:left="443"/>
        <w:rPr>
          <w:rFonts w:ascii="宋体" w:hAnsi="宋体" w:eastAsia="宋体" w:cs="宋体"/>
          <w:color w:val="auto"/>
          <w:sz w:val="21"/>
          <w:szCs w:val="21"/>
          <w:highlight w:val="none"/>
        </w:rPr>
      </w:pPr>
      <w:r>
        <w:rPr>
          <w:rFonts w:ascii="宋体" w:hAnsi="宋体" w:eastAsia="宋体" w:cs="宋体"/>
          <w:color w:val="auto"/>
          <w:spacing w:val="-25"/>
          <w:w w:val="99"/>
          <w:sz w:val="21"/>
          <w:szCs w:val="21"/>
          <w:highlight w:val="none"/>
        </w:rPr>
        <w:t>工程名称：</w:t>
      </w:r>
      <w:r>
        <w:rPr>
          <w:rFonts w:ascii="宋体" w:hAnsi="宋体" w:eastAsia="宋体" w:cs="宋体"/>
          <w:color w:val="auto"/>
          <w:spacing w:val="25"/>
          <w:sz w:val="21"/>
          <w:szCs w:val="21"/>
          <w:highlight w:val="none"/>
        </w:rPr>
        <w:t xml:space="preserve"> </w:t>
      </w:r>
      <w:r>
        <w:rPr>
          <w:rFonts w:ascii="宋体" w:hAnsi="宋体" w:eastAsia="宋体" w:cs="宋体"/>
          <w:color w:val="auto"/>
          <w:sz w:val="21"/>
          <w:szCs w:val="21"/>
          <w:highlight w:val="none"/>
          <w:u w:val="single" w:color="auto"/>
        </w:rPr>
        <w:t xml:space="preserve">                                                               </w:t>
      </w:r>
    </w:p>
    <w:p w14:paraId="1AA969BC">
      <w:pPr>
        <w:pStyle w:val="3"/>
        <w:spacing w:line="278" w:lineRule="auto"/>
        <w:rPr>
          <w:color w:val="auto"/>
          <w:highlight w:val="none"/>
        </w:rPr>
      </w:pPr>
    </w:p>
    <w:p w14:paraId="7DCB2597">
      <w:pPr>
        <w:spacing w:before="69" w:line="528" w:lineRule="auto"/>
        <w:ind w:left="4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投标总价（小写</w:t>
      </w:r>
      <w:r>
        <w:rPr>
          <w:rFonts w:ascii="宋体" w:hAnsi="宋体" w:eastAsia="宋体" w:cs="宋体"/>
          <w:color w:val="auto"/>
          <w:spacing w:val="-15"/>
          <w:sz w:val="21"/>
          <w:szCs w:val="21"/>
          <w:highlight w:val="none"/>
        </w:rPr>
        <w:t>）</w:t>
      </w:r>
      <w:r>
        <w:rPr>
          <w:rFonts w:ascii="宋体" w:hAnsi="宋体" w:eastAsia="宋体" w:cs="宋体"/>
          <w:color w:val="auto"/>
          <w:spacing w:val="28"/>
          <w:sz w:val="21"/>
          <w:szCs w:val="21"/>
          <w:highlight w:val="none"/>
        </w:rPr>
        <w:t xml:space="preserve"> </w:t>
      </w:r>
      <w:r>
        <w:rPr>
          <w:rFonts w:ascii="宋体" w:hAnsi="宋体" w:eastAsia="宋体" w:cs="宋体"/>
          <w:color w:val="auto"/>
          <w:spacing w:val="-15"/>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1"/>
          <w:sz w:val="21"/>
          <w:szCs w:val="21"/>
          <w:highlight w:val="none"/>
        </w:rPr>
        <w:t>元</w:t>
      </w:r>
    </w:p>
    <w:p w14:paraId="5B0EA957">
      <w:pPr>
        <w:spacing w:line="221" w:lineRule="auto"/>
        <w:ind w:left="128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（大写</w:t>
      </w:r>
      <w:r>
        <w:rPr>
          <w:rFonts w:ascii="宋体" w:hAnsi="宋体" w:eastAsia="宋体" w:cs="宋体"/>
          <w:color w:val="auto"/>
          <w:spacing w:val="-15"/>
          <w:sz w:val="21"/>
          <w:szCs w:val="21"/>
          <w:highlight w:val="none"/>
        </w:rPr>
        <w:t>）</w:t>
      </w:r>
      <w:r>
        <w:rPr>
          <w:rFonts w:ascii="宋体" w:hAnsi="宋体" w:eastAsia="宋体" w:cs="宋体"/>
          <w:color w:val="auto"/>
          <w:spacing w:val="28"/>
          <w:sz w:val="21"/>
          <w:szCs w:val="21"/>
          <w:highlight w:val="none"/>
        </w:rPr>
        <w:t xml:space="preserve"> </w:t>
      </w:r>
      <w:r>
        <w:rPr>
          <w:rFonts w:ascii="宋体" w:hAnsi="宋体" w:eastAsia="宋体" w:cs="宋体"/>
          <w:color w:val="auto"/>
          <w:spacing w:val="-15"/>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1"/>
          <w:sz w:val="21"/>
          <w:szCs w:val="21"/>
          <w:highlight w:val="none"/>
        </w:rPr>
        <w:t xml:space="preserve"> </w:t>
      </w:r>
      <w:r>
        <w:rPr>
          <w:rFonts w:ascii="宋体" w:hAnsi="宋体" w:eastAsia="宋体" w:cs="宋体"/>
          <w:color w:val="auto"/>
          <w:spacing w:val="-3"/>
          <w:sz w:val="21"/>
          <w:szCs w:val="21"/>
          <w:highlight w:val="none"/>
        </w:rPr>
        <w:t>元</w:t>
      </w:r>
    </w:p>
    <w:p w14:paraId="6737232A">
      <w:pPr>
        <w:pStyle w:val="3"/>
        <w:spacing w:line="327" w:lineRule="auto"/>
        <w:rPr>
          <w:color w:val="auto"/>
          <w:highlight w:val="none"/>
        </w:rPr>
      </w:pPr>
    </w:p>
    <w:p w14:paraId="58A9D3B6">
      <w:pPr>
        <w:pStyle w:val="3"/>
        <w:spacing w:line="328" w:lineRule="auto"/>
        <w:rPr>
          <w:color w:val="auto"/>
          <w:highlight w:val="none"/>
        </w:rPr>
      </w:pPr>
    </w:p>
    <w:p w14:paraId="36B2F625">
      <w:pPr>
        <w:spacing w:before="69" w:line="249" w:lineRule="auto"/>
        <w:ind w:left="4225" w:right="231" w:hanging="3782"/>
        <w:rPr>
          <w:rFonts w:ascii="宋体" w:hAnsi="宋体" w:eastAsia="宋体" w:cs="宋体"/>
          <w:color w:val="auto"/>
          <w:sz w:val="21"/>
          <w:szCs w:val="21"/>
          <w:highlight w:val="none"/>
        </w:rPr>
      </w:pPr>
      <w:r>
        <w:rPr>
          <w:rFonts w:ascii="宋体" w:hAnsi="宋体" w:eastAsia="宋体" w:cs="宋体"/>
          <w:color w:val="auto"/>
          <w:spacing w:val="-25"/>
          <w:sz w:val="21"/>
          <w:szCs w:val="21"/>
          <w:highlight w:val="none"/>
        </w:rPr>
        <w:t>投</w:t>
      </w:r>
      <w:r>
        <w:rPr>
          <w:rFonts w:ascii="宋体" w:hAnsi="宋体" w:eastAsia="宋体" w:cs="宋体"/>
          <w:color w:val="auto"/>
          <w:spacing w:val="10"/>
          <w:sz w:val="21"/>
          <w:szCs w:val="21"/>
          <w:highlight w:val="none"/>
        </w:rPr>
        <w:t xml:space="preserve"> </w:t>
      </w:r>
      <w:r>
        <w:rPr>
          <w:rFonts w:ascii="宋体" w:hAnsi="宋体" w:eastAsia="宋体" w:cs="宋体"/>
          <w:color w:val="auto"/>
          <w:spacing w:val="-25"/>
          <w:sz w:val="21"/>
          <w:szCs w:val="21"/>
          <w:highlight w:val="none"/>
        </w:rPr>
        <w:t>标</w:t>
      </w:r>
      <w:r>
        <w:rPr>
          <w:rFonts w:ascii="宋体" w:hAnsi="宋体" w:eastAsia="宋体" w:cs="宋体"/>
          <w:color w:val="auto"/>
          <w:spacing w:val="10"/>
          <w:sz w:val="21"/>
          <w:szCs w:val="21"/>
          <w:highlight w:val="none"/>
        </w:rPr>
        <w:t xml:space="preserve"> </w:t>
      </w:r>
      <w:r>
        <w:rPr>
          <w:rFonts w:ascii="宋体" w:hAnsi="宋体" w:eastAsia="宋体" w:cs="宋体"/>
          <w:color w:val="auto"/>
          <w:spacing w:val="-25"/>
          <w:sz w:val="21"/>
          <w:szCs w:val="21"/>
          <w:highlight w:val="none"/>
        </w:rPr>
        <w:t>人：</w:t>
      </w:r>
      <w:r>
        <w:rPr>
          <w:rFonts w:ascii="宋体" w:hAnsi="宋体" w:eastAsia="宋体" w:cs="宋体"/>
          <w:color w:val="auto"/>
          <w:spacing w:val="-31"/>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2"/>
          <w:sz w:val="21"/>
          <w:szCs w:val="21"/>
          <w:highlight w:val="none"/>
        </w:rPr>
        <w:t>（单位盖章）</w:t>
      </w:r>
    </w:p>
    <w:p w14:paraId="20A29E54">
      <w:pPr>
        <w:pStyle w:val="3"/>
        <w:spacing w:line="422" w:lineRule="auto"/>
        <w:rPr>
          <w:color w:val="auto"/>
          <w:highlight w:val="none"/>
        </w:rPr>
      </w:pPr>
    </w:p>
    <w:p w14:paraId="20C04C48">
      <w:pPr>
        <w:spacing w:before="69" w:line="221" w:lineRule="auto"/>
        <w:ind w:left="44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法定代表人</w:t>
      </w:r>
    </w:p>
    <w:p w14:paraId="66F228BD">
      <w:pPr>
        <w:spacing w:before="158" w:line="251" w:lineRule="auto"/>
        <w:ind w:left="4014" w:right="231" w:hanging="3571"/>
        <w:rPr>
          <w:rFonts w:ascii="宋体" w:hAnsi="宋体" w:eastAsia="宋体" w:cs="宋体"/>
          <w:color w:val="auto"/>
          <w:sz w:val="21"/>
          <w:szCs w:val="21"/>
          <w:highlight w:val="none"/>
        </w:rPr>
      </w:pPr>
      <w:r>
        <w:rPr>
          <w:rFonts w:ascii="宋体" w:hAnsi="宋体" w:eastAsia="宋体" w:cs="宋体"/>
          <w:color w:val="auto"/>
          <w:sz w:val="21"/>
          <w:szCs w:val="21"/>
          <w:highlight w:val="none"/>
        </w:rPr>
        <w:t>或其授权人：</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（签字或盖章）</w:t>
      </w:r>
    </w:p>
    <w:p w14:paraId="70DC9E58">
      <w:pPr>
        <w:pStyle w:val="3"/>
        <w:spacing w:line="318" w:lineRule="auto"/>
        <w:rPr>
          <w:color w:val="auto"/>
          <w:highlight w:val="none"/>
        </w:rPr>
      </w:pPr>
    </w:p>
    <w:p w14:paraId="57CE0C10">
      <w:pPr>
        <w:pStyle w:val="3"/>
        <w:spacing w:line="319" w:lineRule="auto"/>
        <w:rPr>
          <w:color w:val="auto"/>
          <w:highlight w:val="none"/>
        </w:rPr>
      </w:pPr>
    </w:p>
    <w:p w14:paraId="1A1DA6A4">
      <w:pPr>
        <w:spacing w:before="69" w:line="251" w:lineRule="auto"/>
        <w:ind w:left="3596" w:right="231" w:hanging="3154"/>
        <w:rPr>
          <w:rFonts w:ascii="宋体" w:hAnsi="宋体" w:eastAsia="宋体" w:cs="宋体"/>
          <w:color w:val="auto"/>
          <w:sz w:val="21"/>
          <w:szCs w:val="21"/>
          <w:highlight w:val="none"/>
        </w:rPr>
      </w:pPr>
      <w:r>
        <w:rPr>
          <w:rFonts w:ascii="宋体" w:hAnsi="宋体" w:eastAsia="宋体" w:cs="宋体"/>
          <w:color w:val="auto"/>
          <w:spacing w:val="-26"/>
          <w:w w:val="98"/>
          <w:sz w:val="21"/>
          <w:szCs w:val="21"/>
          <w:highlight w:val="none"/>
        </w:rPr>
        <w:t>编制人：</w:t>
      </w:r>
      <w:r>
        <w:rPr>
          <w:rFonts w:ascii="宋体" w:hAnsi="宋体" w:eastAsia="宋体" w:cs="宋体"/>
          <w:color w:val="auto"/>
          <w:spacing w:val="10"/>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2"/>
          <w:sz w:val="21"/>
          <w:szCs w:val="21"/>
          <w:highlight w:val="none"/>
        </w:rPr>
        <w:t>（造价人员签字或盖章）</w:t>
      </w:r>
    </w:p>
    <w:p w14:paraId="605FB0A0">
      <w:pPr>
        <w:pStyle w:val="3"/>
        <w:spacing w:line="266" w:lineRule="auto"/>
        <w:rPr>
          <w:color w:val="auto"/>
          <w:highlight w:val="none"/>
        </w:rPr>
      </w:pPr>
    </w:p>
    <w:p w14:paraId="0A5CF994">
      <w:pPr>
        <w:pStyle w:val="3"/>
        <w:spacing w:line="267" w:lineRule="auto"/>
        <w:rPr>
          <w:color w:val="auto"/>
          <w:highlight w:val="none"/>
        </w:rPr>
      </w:pPr>
    </w:p>
    <w:p w14:paraId="3ED451B4">
      <w:pPr>
        <w:pStyle w:val="3"/>
        <w:spacing w:line="267" w:lineRule="auto"/>
        <w:rPr>
          <w:color w:val="auto"/>
          <w:highlight w:val="none"/>
        </w:rPr>
      </w:pPr>
    </w:p>
    <w:p w14:paraId="676DAB0C">
      <w:pPr>
        <w:spacing w:before="69" w:line="221" w:lineRule="auto"/>
        <w:ind w:left="442"/>
        <w:rPr>
          <w:rFonts w:ascii="宋体" w:hAnsi="宋体" w:eastAsia="宋体" w:cs="宋体"/>
          <w:color w:val="auto"/>
          <w:sz w:val="21"/>
          <w:szCs w:val="21"/>
          <w:highlight w:val="none"/>
        </w:rPr>
      </w:pPr>
      <w:r>
        <w:rPr>
          <w:rFonts w:ascii="宋体" w:hAnsi="宋体" w:eastAsia="宋体" w:cs="宋体"/>
          <w:color w:val="auto"/>
          <w:spacing w:val="-14"/>
          <w:sz w:val="21"/>
          <w:szCs w:val="21"/>
          <w:highlight w:val="none"/>
        </w:rPr>
        <w:t>编制时间：</w:t>
      </w:r>
      <w:r>
        <w:rPr>
          <w:rFonts w:ascii="宋体" w:hAnsi="宋体" w:eastAsia="宋体" w:cs="宋体"/>
          <w:color w:val="auto"/>
          <w:spacing w:val="1"/>
          <w:sz w:val="21"/>
          <w:szCs w:val="21"/>
          <w:highlight w:val="none"/>
        </w:rPr>
        <w:t xml:space="preserve">                       </w:t>
      </w:r>
      <w:r>
        <w:rPr>
          <w:rFonts w:ascii="宋体" w:hAnsi="宋体" w:eastAsia="宋体" w:cs="宋体"/>
          <w:color w:val="auto"/>
          <w:sz w:val="21"/>
          <w:szCs w:val="21"/>
          <w:highlight w:val="none"/>
        </w:rPr>
        <w:t xml:space="preserve">  </w:t>
      </w:r>
      <w:r>
        <w:rPr>
          <w:rFonts w:ascii="宋体" w:hAnsi="宋体" w:eastAsia="宋体" w:cs="宋体"/>
          <w:color w:val="auto"/>
          <w:spacing w:val="-14"/>
          <w:sz w:val="21"/>
          <w:szCs w:val="21"/>
          <w:highlight w:val="none"/>
        </w:rPr>
        <w:t>年</w:t>
      </w:r>
      <w:r>
        <w:rPr>
          <w:rFonts w:ascii="宋体" w:hAnsi="宋体" w:eastAsia="宋体" w:cs="宋体"/>
          <w:color w:val="auto"/>
          <w:spacing w:val="2"/>
          <w:sz w:val="21"/>
          <w:szCs w:val="21"/>
          <w:highlight w:val="none"/>
        </w:rPr>
        <w:t xml:space="preserve">      </w:t>
      </w:r>
      <w:r>
        <w:rPr>
          <w:rFonts w:ascii="宋体" w:hAnsi="宋体" w:eastAsia="宋体" w:cs="宋体"/>
          <w:color w:val="auto"/>
          <w:spacing w:val="-14"/>
          <w:sz w:val="21"/>
          <w:szCs w:val="21"/>
          <w:highlight w:val="none"/>
        </w:rPr>
        <w:t>月       日</w:t>
      </w:r>
    </w:p>
    <w:p w14:paraId="740A8F10">
      <w:pPr>
        <w:pStyle w:val="3"/>
        <w:spacing w:line="271" w:lineRule="auto"/>
        <w:rPr>
          <w:color w:val="auto"/>
          <w:highlight w:val="none"/>
        </w:rPr>
      </w:pPr>
    </w:p>
    <w:p w14:paraId="57C00E67">
      <w:pPr>
        <w:pStyle w:val="3"/>
        <w:spacing w:line="271" w:lineRule="auto"/>
        <w:rPr>
          <w:color w:val="auto"/>
          <w:highlight w:val="none"/>
        </w:rPr>
      </w:pPr>
    </w:p>
    <w:p w14:paraId="29B1BF43">
      <w:pPr>
        <w:pStyle w:val="3"/>
        <w:spacing w:line="271" w:lineRule="auto"/>
        <w:rPr>
          <w:color w:val="auto"/>
          <w:highlight w:val="none"/>
        </w:rPr>
      </w:pPr>
    </w:p>
    <w:p w14:paraId="400030A5">
      <w:pPr>
        <w:spacing w:before="69" w:line="219" w:lineRule="auto"/>
        <w:ind w:left="443"/>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备注： 1.投标总价可按四舍五入精确到小数点后两位。</w:t>
      </w:r>
    </w:p>
    <w:p w14:paraId="422E53A6">
      <w:pPr>
        <w:spacing w:before="135" w:line="380" w:lineRule="exact"/>
        <w:ind w:right="10"/>
        <w:jc w:val="right"/>
        <w:rPr>
          <w:rFonts w:ascii="宋体" w:hAnsi="宋体" w:eastAsia="宋体" w:cs="宋体"/>
          <w:color w:val="auto"/>
          <w:sz w:val="21"/>
          <w:szCs w:val="21"/>
          <w:highlight w:val="none"/>
        </w:rPr>
      </w:pPr>
      <w:r>
        <w:rPr>
          <w:rFonts w:ascii="宋体" w:hAnsi="宋体" w:eastAsia="宋体" w:cs="宋体"/>
          <w:color w:val="auto"/>
          <w:spacing w:val="3"/>
          <w:position w:val="12"/>
          <w:sz w:val="21"/>
          <w:szCs w:val="21"/>
          <w:highlight w:val="none"/>
        </w:rPr>
        <w:t>2.已标价工程量清单的内容和制作按第五章“工程量清单”和第二章“投</w:t>
      </w:r>
      <w:r>
        <w:rPr>
          <w:rFonts w:ascii="宋体" w:hAnsi="宋体" w:eastAsia="宋体" w:cs="宋体"/>
          <w:color w:val="auto"/>
          <w:spacing w:val="2"/>
          <w:position w:val="12"/>
          <w:sz w:val="21"/>
          <w:szCs w:val="21"/>
          <w:highlight w:val="none"/>
        </w:rPr>
        <w:t>标人</w:t>
      </w:r>
    </w:p>
    <w:p w14:paraId="463FFEC7">
      <w:pPr>
        <w:spacing w:line="220" w:lineRule="auto"/>
        <w:ind w:left="1385"/>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须知”</w:t>
      </w:r>
      <w:r>
        <w:rPr>
          <w:rFonts w:ascii="宋体" w:hAnsi="宋体" w:eastAsia="宋体" w:cs="宋体"/>
          <w:color w:val="auto"/>
          <w:spacing w:val="-44"/>
          <w:sz w:val="21"/>
          <w:szCs w:val="21"/>
          <w:highlight w:val="none"/>
        </w:rPr>
        <w:t xml:space="preserve"> </w:t>
      </w:r>
      <w:r>
        <w:rPr>
          <w:rFonts w:ascii="宋体" w:hAnsi="宋体" w:eastAsia="宋体" w:cs="宋体"/>
          <w:color w:val="auto"/>
          <w:spacing w:val="-4"/>
          <w:sz w:val="21"/>
          <w:szCs w:val="21"/>
          <w:highlight w:val="none"/>
        </w:rPr>
        <w:t>第</w:t>
      </w:r>
      <w:r>
        <w:rPr>
          <w:rFonts w:ascii="宋体" w:hAnsi="宋体" w:eastAsia="宋体" w:cs="宋体"/>
          <w:color w:val="auto"/>
          <w:spacing w:val="-40"/>
          <w:sz w:val="21"/>
          <w:szCs w:val="21"/>
          <w:highlight w:val="none"/>
        </w:rPr>
        <w:t xml:space="preserve"> </w:t>
      </w:r>
      <w:r>
        <w:rPr>
          <w:rFonts w:ascii="宋体" w:hAnsi="宋体" w:eastAsia="宋体" w:cs="宋体"/>
          <w:color w:val="auto"/>
          <w:spacing w:val="-4"/>
          <w:sz w:val="21"/>
          <w:szCs w:val="21"/>
          <w:highlight w:val="none"/>
        </w:rPr>
        <w:t>3.7.3（5）</w:t>
      </w:r>
      <w:r>
        <w:rPr>
          <w:rFonts w:ascii="宋体" w:hAnsi="宋体" w:eastAsia="宋体" w:cs="宋体"/>
          <w:color w:val="auto"/>
          <w:spacing w:val="-61"/>
          <w:sz w:val="21"/>
          <w:szCs w:val="21"/>
          <w:highlight w:val="none"/>
        </w:rPr>
        <w:t xml:space="preserve"> </w:t>
      </w:r>
      <w:r>
        <w:rPr>
          <w:rFonts w:ascii="宋体" w:hAnsi="宋体" w:eastAsia="宋体" w:cs="宋体"/>
          <w:color w:val="auto"/>
          <w:spacing w:val="-4"/>
          <w:sz w:val="21"/>
          <w:szCs w:val="21"/>
          <w:highlight w:val="none"/>
        </w:rPr>
        <w:t>目的要求填报和制作。</w:t>
      </w:r>
    </w:p>
    <w:p w14:paraId="5825A815">
      <w:pPr>
        <w:spacing w:line="220" w:lineRule="auto"/>
        <w:rPr>
          <w:rFonts w:ascii="宋体" w:hAnsi="宋体" w:eastAsia="宋体" w:cs="宋体"/>
          <w:color w:val="auto"/>
          <w:sz w:val="21"/>
          <w:szCs w:val="21"/>
          <w:highlight w:val="none"/>
        </w:rPr>
        <w:sectPr>
          <w:footerReference r:id="rId244" w:type="default"/>
          <w:pgSz w:w="11905" w:h="16839"/>
          <w:pgMar w:top="400" w:right="1785" w:bottom="1004" w:left="1785" w:header="0" w:footer="828" w:gutter="0"/>
          <w:pgNumType w:fmt="decimal"/>
          <w:cols w:space="720" w:num="1"/>
        </w:sectPr>
      </w:pPr>
    </w:p>
    <w:p w14:paraId="44AAD7FD">
      <w:pPr>
        <w:pStyle w:val="3"/>
        <w:spacing w:line="255" w:lineRule="auto"/>
        <w:rPr>
          <w:color w:val="auto"/>
          <w:highlight w:val="none"/>
        </w:rPr>
      </w:pPr>
    </w:p>
    <w:p w14:paraId="438BD996">
      <w:pPr>
        <w:pStyle w:val="3"/>
        <w:spacing w:line="256" w:lineRule="auto"/>
        <w:rPr>
          <w:color w:val="auto"/>
          <w:highlight w:val="none"/>
        </w:rPr>
      </w:pPr>
    </w:p>
    <w:p w14:paraId="4E27EF73">
      <w:pPr>
        <w:pStyle w:val="3"/>
        <w:spacing w:line="256" w:lineRule="auto"/>
        <w:rPr>
          <w:color w:val="auto"/>
          <w:highlight w:val="none"/>
        </w:rPr>
      </w:pPr>
    </w:p>
    <w:p w14:paraId="7E8FDC21">
      <w:pPr>
        <w:pStyle w:val="3"/>
        <w:spacing w:line="256" w:lineRule="auto"/>
        <w:rPr>
          <w:color w:val="auto"/>
          <w:highlight w:val="none"/>
        </w:rPr>
      </w:pPr>
    </w:p>
    <w:p w14:paraId="08D6684A">
      <w:pPr>
        <w:spacing w:before="88" w:line="225" w:lineRule="auto"/>
        <w:ind w:left="3062"/>
        <w:rPr>
          <w:rFonts w:ascii="黑体" w:hAnsi="黑体" w:eastAsia="黑体" w:cs="黑体"/>
          <w:color w:val="auto"/>
          <w:sz w:val="27"/>
          <w:szCs w:val="27"/>
          <w:highlight w:val="none"/>
        </w:rPr>
      </w:pPr>
      <w:r>
        <w:rPr>
          <w:rFonts w:ascii="黑体" w:hAnsi="黑体" w:eastAsia="黑体" w:cs="黑体"/>
          <w:color w:val="auto"/>
          <w:spacing w:val="5"/>
          <w:sz w:val="27"/>
          <w:szCs w:val="27"/>
          <w:highlight w:val="none"/>
        </w:rPr>
        <w:t>九、施工组织设计</w:t>
      </w:r>
    </w:p>
    <w:p w14:paraId="5FDB72CD">
      <w:pPr>
        <w:spacing w:before="152" w:line="369" w:lineRule="auto"/>
        <w:ind w:left="20" w:right="196" w:firstLine="436"/>
        <w:jc w:val="both"/>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1．投标人应根据招标文件和对现场的勘察情况，</w:t>
      </w:r>
      <w:r>
        <w:rPr>
          <w:rFonts w:ascii="宋体" w:hAnsi="宋体" w:eastAsia="宋体" w:cs="宋体"/>
          <w:color w:val="auto"/>
          <w:spacing w:val="50"/>
          <w:sz w:val="21"/>
          <w:szCs w:val="21"/>
          <w:highlight w:val="none"/>
        </w:rPr>
        <w:t xml:space="preserve"> </w:t>
      </w:r>
      <w:r>
        <w:rPr>
          <w:rFonts w:ascii="宋体" w:hAnsi="宋体" w:eastAsia="宋体" w:cs="宋体"/>
          <w:color w:val="auto"/>
          <w:spacing w:val="-4"/>
          <w:sz w:val="21"/>
          <w:szCs w:val="21"/>
          <w:highlight w:val="none"/>
        </w:rPr>
        <w:t>采用文</w:t>
      </w:r>
      <w:r>
        <w:rPr>
          <w:rFonts w:ascii="宋体" w:hAnsi="宋体" w:eastAsia="宋体" w:cs="宋体"/>
          <w:color w:val="auto"/>
          <w:spacing w:val="-5"/>
          <w:sz w:val="21"/>
          <w:szCs w:val="21"/>
          <w:highlight w:val="none"/>
        </w:rPr>
        <w:t>字并结合图表形式，按照中华</w:t>
      </w:r>
      <w:r>
        <w:rPr>
          <w:rFonts w:ascii="宋体" w:hAnsi="宋体" w:eastAsia="宋体" w:cs="宋体"/>
          <w:color w:val="auto"/>
          <w:sz w:val="21"/>
          <w:szCs w:val="21"/>
          <w:highlight w:val="none"/>
        </w:rPr>
        <w:t xml:space="preserve"> </w:t>
      </w:r>
      <w:r>
        <w:rPr>
          <w:rFonts w:ascii="宋体" w:hAnsi="宋体" w:eastAsia="宋体" w:cs="宋体"/>
          <w:color w:val="auto"/>
          <w:spacing w:val="-2"/>
          <w:sz w:val="21"/>
          <w:szCs w:val="21"/>
          <w:highlight w:val="none"/>
        </w:rPr>
        <w:t>人民共和国家标准《建筑施工组织设计规范》（</w:t>
      </w:r>
      <w:r>
        <w:rPr>
          <w:rFonts w:hint="eastAsia" w:ascii="宋体" w:hAnsi="宋体" w:eastAsia="宋体" w:cs="宋体"/>
          <w:color w:val="auto"/>
          <w:spacing w:val="-2"/>
          <w:sz w:val="21"/>
          <w:szCs w:val="21"/>
          <w:highlight w:val="none"/>
          <w:lang w:eastAsia="zh-CN"/>
        </w:rPr>
        <w:t>GB/T50502-2025</w:t>
      </w:r>
      <w:r>
        <w:rPr>
          <w:rFonts w:ascii="宋体" w:hAnsi="宋体" w:eastAsia="宋体" w:cs="宋体"/>
          <w:color w:val="auto"/>
          <w:spacing w:val="-2"/>
          <w:sz w:val="21"/>
          <w:szCs w:val="21"/>
          <w:highlight w:val="none"/>
        </w:rPr>
        <w:t>）的要求编制本工程</w:t>
      </w:r>
      <w:r>
        <w:rPr>
          <w:rFonts w:ascii="宋体" w:hAnsi="宋体" w:eastAsia="宋体" w:cs="宋体"/>
          <w:color w:val="auto"/>
          <w:spacing w:val="-3"/>
          <w:sz w:val="21"/>
          <w:szCs w:val="21"/>
          <w:highlight w:val="none"/>
        </w:rPr>
        <w:t>的施工</w:t>
      </w:r>
    </w:p>
    <w:p w14:paraId="0D6A5B42">
      <w:pPr>
        <w:spacing w:line="221" w:lineRule="auto"/>
        <w:ind w:left="20"/>
        <w:rPr>
          <w:rFonts w:ascii="宋体" w:hAnsi="宋体" w:eastAsia="宋体" w:cs="宋体"/>
          <w:color w:val="auto"/>
          <w:sz w:val="21"/>
          <w:szCs w:val="21"/>
          <w:highlight w:val="none"/>
        </w:rPr>
      </w:pPr>
      <w:r>
        <w:rPr>
          <w:rFonts w:ascii="宋体" w:hAnsi="宋体" w:eastAsia="宋体" w:cs="宋体"/>
          <w:color w:val="auto"/>
          <w:spacing w:val="-18"/>
          <w:sz w:val="21"/>
          <w:szCs w:val="21"/>
          <w:highlight w:val="none"/>
        </w:rPr>
        <w:t>组织设计，</w:t>
      </w:r>
      <w:r>
        <w:rPr>
          <w:rFonts w:ascii="宋体" w:hAnsi="宋体" w:eastAsia="宋体" w:cs="宋体"/>
          <w:color w:val="auto"/>
          <w:spacing w:val="61"/>
          <w:sz w:val="21"/>
          <w:szCs w:val="21"/>
          <w:highlight w:val="none"/>
        </w:rPr>
        <w:t xml:space="preserve"> </w:t>
      </w:r>
      <w:r>
        <w:rPr>
          <w:rFonts w:ascii="宋体" w:hAnsi="宋体" w:eastAsia="宋体" w:cs="宋体"/>
          <w:color w:val="auto"/>
          <w:spacing w:val="-18"/>
          <w:sz w:val="21"/>
          <w:szCs w:val="21"/>
          <w:highlight w:val="none"/>
        </w:rPr>
        <w:t>其要点如下：</w:t>
      </w:r>
    </w:p>
    <w:p w14:paraId="4E8E2732">
      <w:pPr>
        <w:spacing w:before="165"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工程概况</w:t>
      </w:r>
    </w:p>
    <w:p w14:paraId="4D9C165E">
      <w:pPr>
        <w:spacing w:before="171" w:line="418" w:lineRule="exact"/>
        <w:ind w:left="964"/>
        <w:rPr>
          <w:rFonts w:ascii="宋体" w:hAnsi="宋体" w:eastAsia="宋体" w:cs="宋体"/>
          <w:color w:val="auto"/>
          <w:sz w:val="21"/>
          <w:szCs w:val="21"/>
          <w:highlight w:val="none"/>
        </w:rPr>
      </w:pPr>
      <w:r>
        <w:rPr>
          <w:rFonts w:ascii="宋体" w:hAnsi="宋体" w:eastAsia="宋体" w:cs="宋体"/>
          <w:color w:val="auto"/>
          <w:spacing w:val="-2"/>
          <w:position w:val="15"/>
          <w:sz w:val="21"/>
          <w:szCs w:val="21"/>
          <w:highlight w:val="none"/>
        </w:rPr>
        <w:t>包括工程主要情况、各专业设计简介、工程施工条件等；</w:t>
      </w:r>
    </w:p>
    <w:p w14:paraId="5E2705BB">
      <w:pPr>
        <w:spacing w:line="220"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施工部署</w:t>
      </w:r>
    </w:p>
    <w:p w14:paraId="2F3CFBC8">
      <w:pPr>
        <w:spacing w:before="170" w:line="369" w:lineRule="auto"/>
        <w:ind w:left="978" w:right="196"/>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包括工程施工目标、主要施工内容及其进度安排、施工流水段划</w:t>
      </w:r>
      <w:r>
        <w:rPr>
          <w:rFonts w:ascii="宋体" w:hAnsi="宋体" w:eastAsia="宋体" w:cs="宋体"/>
          <w:color w:val="auto"/>
          <w:spacing w:val="-1"/>
          <w:sz w:val="21"/>
          <w:szCs w:val="21"/>
          <w:highlight w:val="none"/>
        </w:rPr>
        <w:t>分、施工的重点</w:t>
      </w:r>
      <w:r>
        <w:rPr>
          <w:rFonts w:ascii="宋体" w:hAnsi="宋体" w:eastAsia="宋体" w:cs="宋体"/>
          <w:color w:val="auto"/>
          <w:sz w:val="21"/>
          <w:szCs w:val="21"/>
          <w:highlight w:val="none"/>
        </w:rPr>
        <w:t xml:space="preserve"> 和难点分析、工程管理的组织机构形式、项目经理部的工作岗位</w:t>
      </w:r>
      <w:r>
        <w:rPr>
          <w:rFonts w:ascii="宋体" w:hAnsi="宋体" w:eastAsia="宋体" w:cs="宋体"/>
          <w:color w:val="auto"/>
          <w:spacing w:val="-1"/>
          <w:sz w:val="21"/>
          <w:szCs w:val="21"/>
          <w:highlight w:val="none"/>
        </w:rPr>
        <w:t>设置及其职责划</w:t>
      </w:r>
      <w:r>
        <w:rPr>
          <w:rFonts w:ascii="宋体" w:hAnsi="宋体" w:eastAsia="宋体" w:cs="宋体"/>
          <w:color w:val="auto"/>
          <w:sz w:val="21"/>
          <w:szCs w:val="21"/>
          <w:highlight w:val="none"/>
        </w:rPr>
        <w:t xml:space="preserve"> 分、新技术、新工艺部署及其技术和管理要求（如有）、主</w:t>
      </w:r>
      <w:r>
        <w:rPr>
          <w:rFonts w:ascii="宋体" w:hAnsi="宋体" w:eastAsia="宋体" w:cs="宋体"/>
          <w:color w:val="auto"/>
          <w:spacing w:val="-1"/>
          <w:sz w:val="21"/>
          <w:szCs w:val="21"/>
          <w:highlight w:val="none"/>
        </w:rPr>
        <w:t>要分包工程施工单位</w:t>
      </w:r>
    </w:p>
    <w:p w14:paraId="0F8F7639">
      <w:pPr>
        <w:spacing w:before="1" w:line="220" w:lineRule="auto"/>
        <w:ind w:left="996"/>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的选择要求及管理方式（如有</w:t>
      </w:r>
      <w:r>
        <w:rPr>
          <w:rFonts w:ascii="宋体" w:hAnsi="宋体" w:eastAsia="宋体" w:cs="宋体"/>
          <w:color w:val="auto"/>
          <w:spacing w:val="-12"/>
          <w:sz w:val="21"/>
          <w:szCs w:val="21"/>
          <w:highlight w:val="none"/>
        </w:rPr>
        <w:t>）；</w:t>
      </w:r>
    </w:p>
    <w:p w14:paraId="6E60B772">
      <w:pPr>
        <w:spacing w:before="172" w:line="221" w:lineRule="auto"/>
        <w:ind w:left="447"/>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（3）</w:t>
      </w:r>
      <w:r>
        <w:rPr>
          <w:rFonts w:ascii="宋体" w:hAnsi="宋体" w:eastAsia="宋体" w:cs="宋体"/>
          <w:color w:val="auto"/>
          <w:spacing w:val="-2"/>
          <w:sz w:val="21"/>
          <w:szCs w:val="21"/>
          <w:highlight w:val="none"/>
          <w14:textOutline w14:w="3831" w14:cap="flat" w14:cmpd="sng">
            <w14:solidFill>
              <w14:srgbClr w14:val="000000"/>
            </w14:solidFill>
            <w14:prstDash w14:val="solid"/>
            <w14:miter w14:val="0"/>
          </w14:textOutline>
        </w:rPr>
        <w:t>施工进度计划</w:t>
      </w:r>
    </w:p>
    <w:p w14:paraId="2C0874E6">
      <w:pPr>
        <w:spacing w:before="166" w:line="423" w:lineRule="exact"/>
        <w:ind w:left="966"/>
        <w:rPr>
          <w:rFonts w:ascii="宋体" w:hAnsi="宋体" w:eastAsia="宋体" w:cs="宋体"/>
          <w:color w:val="auto"/>
          <w:sz w:val="21"/>
          <w:szCs w:val="21"/>
          <w:highlight w:val="none"/>
        </w:rPr>
      </w:pPr>
      <w:r>
        <w:rPr>
          <w:rFonts w:ascii="宋体" w:hAnsi="宋体" w:eastAsia="宋体" w:cs="宋体"/>
          <w:color w:val="auto"/>
          <w:position w:val="16"/>
          <w:sz w:val="21"/>
          <w:szCs w:val="21"/>
          <w:highlight w:val="none"/>
        </w:rPr>
        <w:t>可采用网络图或横道图表示，并附必要说明，对于规模较大或较复杂的工程，宜</w:t>
      </w:r>
    </w:p>
    <w:p w14:paraId="56CD05D8">
      <w:pPr>
        <w:spacing w:before="1" w:line="219" w:lineRule="auto"/>
        <w:ind w:left="963"/>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采用网络图表示；</w:t>
      </w:r>
    </w:p>
    <w:p w14:paraId="6660FBFE">
      <w:pPr>
        <w:spacing w:before="167" w:line="222"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（4）</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施工准备与资源配置计划</w:t>
      </w:r>
    </w:p>
    <w:p w14:paraId="38EE28A5">
      <w:pPr>
        <w:spacing w:before="170" w:line="418" w:lineRule="exact"/>
        <w:ind w:left="963"/>
        <w:rPr>
          <w:rFonts w:ascii="宋体" w:hAnsi="宋体" w:eastAsia="宋体" w:cs="宋体"/>
          <w:color w:val="auto"/>
          <w:sz w:val="21"/>
          <w:szCs w:val="21"/>
          <w:highlight w:val="none"/>
        </w:rPr>
      </w:pPr>
      <w:r>
        <w:rPr>
          <w:rFonts w:ascii="宋体" w:hAnsi="宋体" w:eastAsia="宋体" w:cs="宋体"/>
          <w:color w:val="auto"/>
          <w:position w:val="15"/>
          <w:sz w:val="21"/>
          <w:szCs w:val="21"/>
          <w:highlight w:val="none"/>
        </w:rPr>
        <w:t>施工准备包括技术准备、现场准备和资金准备；资源配置计划包括劳动力配置计</w:t>
      </w:r>
    </w:p>
    <w:p w14:paraId="7F8D37CA">
      <w:pPr>
        <w:spacing w:before="1" w:line="219" w:lineRule="auto"/>
        <w:ind w:left="963"/>
        <w:rPr>
          <w:rFonts w:ascii="宋体" w:hAnsi="宋体" w:eastAsia="宋体" w:cs="宋体"/>
          <w:color w:val="auto"/>
          <w:sz w:val="21"/>
          <w:szCs w:val="21"/>
          <w:highlight w:val="none"/>
        </w:rPr>
      </w:pPr>
      <w:r>
        <w:rPr>
          <w:rFonts w:ascii="宋体" w:hAnsi="宋体" w:eastAsia="宋体" w:cs="宋体"/>
          <w:color w:val="auto"/>
          <w:sz w:val="21"/>
          <w:szCs w:val="21"/>
          <w:highlight w:val="none"/>
        </w:rPr>
        <w:t>划、主要工程材料和设备配置计划、主要周转材料和施工机具配置</w:t>
      </w:r>
      <w:r>
        <w:rPr>
          <w:rFonts w:ascii="宋体" w:hAnsi="宋体" w:eastAsia="宋体" w:cs="宋体"/>
          <w:color w:val="auto"/>
          <w:spacing w:val="-1"/>
          <w:sz w:val="21"/>
          <w:szCs w:val="21"/>
          <w:highlight w:val="none"/>
        </w:rPr>
        <w:t>计划等；</w:t>
      </w:r>
    </w:p>
    <w:p w14:paraId="042A442B">
      <w:pPr>
        <w:spacing w:before="173"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（5）</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主要施工方案</w:t>
      </w:r>
    </w:p>
    <w:p w14:paraId="416F2F3C">
      <w:pPr>
        <w:spacing w:before="166" w:line="370" w:lineRule="auto"/>
        <w:ind w:left="965" w:hanging="2"/>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对主要分部、分项工程制定施工方案；对脚手架工程、起重吊装工程、临时用水</w:t>
      </w:r>
      <w:r>
        <w:rPr>
          <w:rFonts w:ascii="宋体" w:hAnsi="宋体" w:eastAsia="宋体" w:cs="宋体"/>
          <w:color w:val="auto"/>
          <w:spacing w:val="3"/>
          <w:sz w:val="21"/>
          <w:szCs w:val="21"/>
          <w:highlight w:val="none"/>
        </w:rPr>
        <w:t xml:space="preserve">   </w:t>
      </w:r>
      <w:r>
        <w:rPr>
          <w:rFonts w:ascii="宋体" w:hAnsi="宋体" w:eastAsia="宋体" w:cs="宋体"/>
          <w:color w:val="auto"/>
          <w:sz w:val="21"/>
          <w:szCs w:val="21"/>
          <w:highlight w:val="none"/>
        </w:rPr>
        <w:t>用电工程、季节性施工等专项工程所采用的施工方案进行必要的验算和说明；对</w:t>
      </w:r>
      <w:r>
        <w:rPr>
          <w:rFonts w:ascii="宋体" w:hAnsi="宋体" w:eastAsia="宋体" w:cs="宋体"/>
          <w:color w:val="auto"/>
          <w:spacing w:val="2"/>
          <w:sz w:val="21"/>
          <w:szCs w:val="21"/>
          <w:highlight w:val="none"/>
        </w:rPr>
        <w:t xml:space="preserve">   </w:t>
      </w:r>
      <w:r>
        <w:rPr>
          <w:rFonts w:ascii="宋体" w:hAnsi="宋体" w:eastAsia="宋体" w:cs="宋体"/>
          <w:color w:val="auto"/>
          <w:sz w:val="21"/>
          <w:szCs w:val="21"/>
          <w:highlight w:val="none"/>
        </w:rPr>
        <w:t>易发生质量通病、易出现安全问题、施工难度大、技术含量高的分</w:t>
      </w:r>
      <w:r>
        <w:rPr>
          <w:rFonts w:ascii="宋体" w:hAnsi="宋体" w:eastAsia="宋体" w:cs="宋体"/>
          <w:color w:val="auto"/>
          <w:spacing w:val="-1"/>
          <w:sz w:val="21"/>
          <w:szCs w:val="21"/>
          <w:highlight w:val="none"/>
        </w:rPr>
        <w:t>项工程（工序）</w:t>
      </w:r>
    </w:p>
    <w:p w14:paraId="257D0295">
      <w:pPr>
        <w:spacing w:line="220" w:lineRule="auto"/>
        <w:ind w:left="966"/>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等做出重点说明；</w:t>
      </w:r>
    </w:p>
    <w:p w14:paraId="7303933D">
      <w:pPr>
        <w:spacing w:before="167" w:line="220"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（6）</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施工现场平面布置</w:t>
      </w:r>
    </w:p>
    <w:p w14:paraId="7102323E">
      <w:pPr>
        <w:spacing w:before="174" w:line="369" w:lineRule="auto"/>
        <w:ind w:left="915" w:right="206" w:firstLine="2"/>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按不同施工阶段绘制施工现场平面布置图并附文字说明，说明施工场地状况；拟</w:t>
      </w:r>
      <w:r>
        <w:rPr>
          <w:rFonts w:ascii="宋体" w:hAnsi="宋体" w:eastAsia="宋体" w:cs="宋体"/>
          <w:color w:val="auto"/>
          <w:spacing w:val="10"/>
          <w:sz w:val="21"/>
          <w:szCs w:val="21"/>
          <w:highlight w:val="none"/>
        </w:rPr>
        <w:t xml:space="preserve"> </w:t>
      </w:r>
      <w:r>
        <w:rPr>
          <w:rFonts w:ascii="宋体" w:hAnsi="宋体" w:eastAsia="宋体" w:cs="宋体"/>
          <w:color w:val="auto"/>
          <w:spacing w:val="-4"/>
          <w:sz w:val="21"/>
          <w:szCs w:val="21"/>
          <w:highlight w:val="none"/>
        </w:rPr>
        <w:t>建建（构）筑物的位置轮廓、尺寸、层数；</w:t>
      </w:r>
      <w:r>
        <w:rPr>
          <w:rFonts w:ascii="宋体" w:hAnsi="宋体" w:eastAsia="宋体" w:cs="宋体"/>
          <w:color w:val="auto"/>
          <w:spacing w:val="62"/>
          <w:sz w:val="21"/>
          <w:szCs w:val="21"/>
          <w:highlight w:val="none"/>
        </w:rPr>
        <w:t xml:space="preserve"> </w:t>
      </w:r>
      <w:r>
        <w:rPr>
          <w:rFonts w:ascii="宋体" w:hAnsi="宋体" w:eastAsia="宋体" w:cs="宋体"/>
          <w:color w:val="auto"/>
          <w:spacing w:val="-4"/>
          <w:sz w:val="21"/>
          <w:szCs w:val="21"/>
          <w:highlight w:val="none"/>
        </w:rPr>
        <w:t>加工设施、存储设施、</w:t>
      </w:r>
      <w:r>
        <w:rPr>
          <w:rFonts w:ascii="宋体" w:hAnsi="宋体" w:eastAsia="宋体" w:cs="宋体"/>
          <w:color w:val="auto"/>
          <w:spacing w:val="-5"/>
          <w:sz w:val="21"/>
          <w:szCs w:val="21"/>
          <w:highlight w:val="none"/>
        </w:rPr>
        <w:t>办公和生活用</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房的位置和面积；布置垂直运输设施、供电设施、供水、供热设施、排水排污设</w:t>
      </w:r>
      <w:r>
        <w:rPr>
          <w:rFonts w:ascii="宋体" w:hAnsi="宋体" w:eastAsia="宋体" w:cs="宋体"/>
          <w:color w:val="auto"/>
          <w:spacing w:val="12"/>
          <w:sz w:val="21"/>
          <w:szCs w:val="21"/>
          <w:highlight w:val="none"/>
        </w:rPr>
        <w:t xml:space="preserve"> </w:t>
      </w:r>
      <w:r>
        <w:rPr>
          <w:rFonts w:ascii="宋体" w:hAnsi="宋体" w:eastAsia="宋体" w:cs="宋体"/>
          <w:color w:val="auto"/>
          <w:spacing w:val="1"/>
          <w:sz w:val="21"/>
          <w:szCs w:val="21"/>
          <w:highlight w:val="none"/>
        </w:rPr>
        <w:t>施和临时施工道路；必备的安全、消防、保卫和环境保护设施；相邻的地上地下</w:t>
      </w:r>
    </w:p>
    <w:p w14:paraId="63AB7F11">
      <w:pPr>
        <w:spacing w:line="220" w:lineRule="auto"/>
        <w:ind w:left="928"/>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既有建（构）筑物及相关环境等；</w:t>
      </w:r>
    </w:p>
    <w:p w14:paraId="54890338">
      <w:pPr>
        <w:spacing w:before="167" w:line="221" w:lineRule="auto"/>
        <w:ind w:left="44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（7）</w:t>
      </w:r>
      <w:r>
        <w:rPr>
          <w:rFonts w:ascii="宋体" w:hAnsi="宋体" w:eastAsia="宋体" w:cs="宋体"/>
          <w:color w:val="auto"/>
          <w:spacing w:val="-1"/>
          <w:sz w:val="21"/>
          <w:szCs w:val="21"/>
          <w:highlight w:val="none"/>
          <w14:textOutline w14:w="3831" w14:cap="flat" w14:cmpd="sng">
            <w14:solidFill>
              <w14:srgbClr w14:val="000000"/>
            </w14:solidFill>
            <w14:prstDash w14:val="solid"/>
            <w14:miter w14:val="0"/>
          </w14:textOutline>
        </w:rPr>
        <w:t>主要施工管理计划</w:t>
      </w:r>
    </w:p>
    <w:p w14:paraId="7F73F0B8">
      <w:pPr>
        <w:spacing w:before="170" w:line="369" w:lineRule="auto"/>
        <w:ind w:left="963" w:right="33"/>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 xml:space="preserve">包括进度管理计划、质量管理计划、安全管理计划、环境管理计划、成本管理计  </w:t>
      </w:r>
      <w:r>
        <w:rPr>
          <w:rFonts w:ascii="宋体" w:hAnsi="宋体" w:eastAsia="宋体" w:cs="宋体"/>
          <w:color w:val="auto"/>
          <w:spacing w:val="-5"/>
          <w:sz w:val="21"/>
          <w:szCs w:val="21"/>
          <w:highlight w:val="none"/>
        </w:rPr>
        <w:t>划和其他管理计划，</w:t>
      </w:r>
      <w:r>
        <w:rPr>
          <w:rFonts w:ascii="宋体" w:hAnsi="宋体" w:eastAsia="宋体" w:cs="宋体"/>
          <w:color w:val="auto"/>
          <w:spacing w:val="52"/>
          <w:sz w:val="21"/>
          <w:szCs w:val="21"/>
          <w:highlight w:val="none"/>
        </w:rPr>
        <w:t xml:space="preserve"> </w:t>
      </w:r>
      <w:r>
        <w:rPr>
          <w:rFonts w:ascii="宋体" w:hAnsi="宋体" w:eastAsia="宋体" w:cs="宋体"/>
          <w:color w:val="auto"/>
          <w:spacing w:val="-5"/>
          <w:sz w:val="21"/>
          <w:szCs w:val="21"/>
          <w:highlight w:val="none"/>
        </w:rPr>
        <w:t>其中其他管理计划宜包括治</w:t>
      </w:r>
      <w:r>
        <w:rPr>
          <w:rFonts w:ascii="宋体" w:hAnsi="宋体" w:eastAsia="宋体" w:cs="宋体"/>
          <w:color w:val="auto"/>
          <w:spacing w:val="-6"/>
          <w:sz w:val="21"/>
          <w:szCs w:val="21"/>
          <w:highlight w:val="none"/>
        </w:rPr>
        <w:t>安保卫管理计划、合同管理计划，</w:t>
      </w:r>
      <w:r>
        <w:rPr>
          <w:rFonts w:ascii="宋体" w:hAnsi="宋体" w:eastAsia="宋体" w:cs="宋体"/>
          <w:color w:val="auto"/>
          <w:sz w:val="21"/>
          <w:szCs w:val="21"/>
          <w:highlight w:val="none"/>
        </w:rPr>
        <w:t xml:space="preserve"> 组织协调管理计划、创优质工程管理计划、成品保护管理计划、质量保修管理计</w:t>
      </w:r>
    </w:p>
    <w:p w14:paraId="6465F058">
      <w:pPr>
        <w:spacing w:before="1" w:line="219" w:lineRule="auto"/>
        <w:ind w:left="96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划、对施工现场人力资源、施工机具、材料设备等管理计</w:t>
      </w:r>
      <w:r>
        <w:rPr>
          <w:rFonts w:ascii="宋体" w:hAnsi="宋体" w:eastAsia="宋体" w:cs="宋体"/>
          <w:color w:val="auto"/>
          <w:spacing w:val="-2"/>
          <w:sz w:val="21"/>
          <w:szCs w:val="21"/>
          <w:highlight w:val="none"/>
        </w:rPr>
        <w:t>划。</w:t>
      </w:r>
    </w:p>
    <w:p w14:paraId="0F6ABCE9">
      <w:pPr>
        <w:spacing w:line="219" w:lineRule="auto"/>
        <w:rPr>
          <w:rFonts w:ascii="宋体" w:hAnsi="宋体" w:eastAsia="宋体" w:cs="宋体"/>
          <w:color w:val="auto"/>
          <w:sz w:val="21"/>
          <w:szCs w:val="21"/>
          <w:highlight w:val="none"/>
        </w:rPr>
        <w:sectPr>
          <w:footerReference r:id="rId245" w:type="default"/>
          <w:pgSz w:w="11905" w:h="16839"/>
          <w:pgMar w:top="400" w:right="1597" w:bottom="1004" w:left="1785" w:header="0" w:footer="828" w:gutter="0"/>
          <w:pgNumType w:fmt="decimal"/>
          <w:cols w:space="720" w:num="1"/>
        </w:sectPr>
      </w:pPr>
    </w:p>
    <w:p w14:paraId="59C0025E">
      <w:pPr>
        <w:pStyle w:val="3"/>
        <w:spacing w:line="281" w:lineRule="auto"/>
        <w:rPr>
          <w:color w:val="auto"/>
          <w:highlight w:val="none"/>
        </w:rPr>
      </w:pPr>
    </w:p>
    <w:p w14:paraId="2BB5DF85">
      <w:pPr>
        <w:pStyle w:val="3"/>
        <w:spacing w:line="281" w:lineRule="auto"/>
        <w:rPr>
          <w:color w:val="auto"/>
          <w:highlight w:val="none"/>
        </w:rPr>
      </w:pPr>
    </w:p>
    <w:p w14:paraId="24788770">
      <w:pPr>
        <w:pStyle w:val="3"/>
        <w:spacing w:line="281" w:lineRule="auto"/>
        <w:rPr>
          <w:color w:val="auto"/>
          <w:highlight w:val="none"/>
        </w:rPr>
      </w:pPr>
    </w:p>
    <w:p w14:paraId="2D1C631A">
      <w:pPr>
        <w:pStyle w:val="3"/>
        <w:spacing w:line="281" w:lineRule="auto"/>
        <w:rPr>
          <w:color w:val="auto"/>
          <w:highlight w:val="none"/>
        </w:rPr>
      </w:pPr>
    </w:p>
    <w:p w14:paraId="4A433E8F">
      <w:pPr>
        <w:spacing w:before="68" w:line="418" w:lineRule="exact"/>
        <w:ind w:right="8"/>
        <w:jc w:val="right"/>
        <w:rPr>
          <w:rFonts w:ascii="宋体" w:hAnsi="宋体" w:eastAsia="宋体" w:cs="宋体"/>
          <w:color w:val="auto"/>
          <w:sz w:val="21"/>
          <w:szCs w:val="21"/>
          <w:highlight w:val="none"/>
        </w:rPr>
      </w:pPr>
      <w:r>
        <w:rPr>
          <w:rFonts w:ascii="宋体" w:hAnsi="宋体" w:eastAsia="宋体" w:cs="宋体"/>
          <w:color w:val="auto"/>
          <w:position w:val="15"/>
          <w:sz w:val="21"/>
          <w:szCs w:val="21"/>
          <w:highlight w:val="none"/>
        </w:rPr>
        <w:t>2．施工组织设计除采用文字表述外可附下列图表，图表及格式要求附后。下述表格应</w:t>
      </w:r>
    </w:p>
    <w:p w14:paraId="7FC989AE">
      <w:pPr>
        <w:spacing w:line="219" w:lineRule="auto"/>
        <w:ind w:left="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按照章节内容，严格按给定的格式附在相应的章节中。</w:t>
      </w:r>
    </w:p>
    <w:p w14:paraId="34B58CA5">
      <w:pPr>
        <w:spacing w:line="172" w:lineRule="exact"/>
        <w:rPr>
          <w:color w:val="auto"/>
          <w:highlight w:val="none"/>
        </w:rPr>
      </w:pPr>
    </w:p>
    <w:tbl>
      <w:tblPr>
        <w:tblStyle w:val="10"/>
        <w:tblW w:w="4391" w:type="dxa"/>
        <w:tblInd w:w="45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718"/>
        <w:gridCol w:w="3673"/>
      </w:tblGrid>
      <w:tr w14:paraId="0B9FA22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718" w:type="dxa"/>
            <w:vAlign w:val="top"/>
          </w:tcPr>
          <w:p w14:paraId="746FDFA3">
            <w:pPr>
              <w:pStyle w:val="11"/>
              <w:spacing w:line="219" w:lineRule="auto"/>
              <w:rPr>
                <w:color w:val="auto"/>
                <w:highlight w:val="none"/>
              </w:rPr>
            </w:pPr>
            <w:r>
              <w:rPr>
                <w:color w:val="auto"/>
                <w:spacing w:val="-4"/>
                <w:highlight w:val="none"/>
              </w:rPr>
              <w:t>附表一</w:t>
            </w:r>
          </w:p>
        </w:tc>
        <w:tc>
          <w:tcPr>
            <w:tcW w:w="3673" w:type="dxa"/>
            <w:vAlign w:val="top"/>
          </w:tcPr>
          <w:p w14:paraId="4A77410F">
            <w:pPr>
              <w:pStyle w:val="11"/>
              <w:spacing w:line="219" w:lineRule="auto"/>
              <w:ind w:left="110"/>
              <w:rPr>
                <w:color w:val="auto"/>
                <w:highlight w:val="none"/>
              </w:rPr>
            </w:pPr>
            <w:r>
              <w:rPr>
                <w:color w:val="auto"/>
                <w:spacing w:val="-1"/>
                <w:highlight w:val="none"/>
              </w:rPr>
              <w:t>拟投入本工程的主要施工设备表</w:t>
            </w:r>
          </w:p>
        </w:tc>
      </w:tr>
      <w:tr w14:paraId="4443BFC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14:paraId="0836E81F">
            <w:pPr>
              <w:pStyle w:val="11"/>
              <w:spacing w:before="103" w:line="220" w:lineRule="auto"/>
              <w:rPr>
                <w:color w:val="auto"/>
                <w:highlight w:val="none"/>
              </w:rPr>
            </w:pPr>
            <w:r>
              <w:rPr>
                <w:color w:val="auto"/>
                <w:spacing w:val="-5"/>
                <w:highlight w:val="none"/>
              </w:rPr>
              <w:t>附表二</w:t>
            </w:r>
          </w:p>
        </w:tc>
        <w:tc>
          <w:tcPr>
            <w:tcW w:w="3673" w:type="dxa"/>
            <w:vAlign w:val="top"/>
          </w:tcPr>
          <w:p w14:paraId="7661407A">
            <w:pPr>
              <w:pStyle w:val="11"/>
              <w:spacing w:before="103" w:line="220" w:lineRule="auto"/>
              <w:jc w:val="right"/>
              <w:rPr>
                <w:color w:val="auto"/>
                <w:highlight w:val="none"/>
              </w:rPr>
            </w:pPr>
            <w:r>
              <w:rPr>
                <w:color w:val="auto"/>
                <w:spacing w:val="-1"/>
                <w:highlight w:val="none"/>
              </w:rPr>
              <w:t>拟配备本工程的试验和检测仪器设备表</w:t>
            </w:r>
          </w:p>
        </w:tc>
      </w:tr>
      <w:tr w14:paraId="259F790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14:paraId="5386DE02">
            <w:pPr>
              <w:pStyle w:val="11"/>
              <w:spacing w:before="105" w:line="220" w:lineRule="auto"/>
              <w:rPr>
                <w:color w:val="auto"/>
                <w:highlight w:val="none"/>
              </w:rPr>
            </w:pPr>
            <w:r>
              <w:rPr>
                <w:color w:val="auto"/>
                <w:spacing w:val="-5"/>
                <w:highlight w:val="none"/>
              </w:rPr>
              <w:t>附表三</w:t>
            </w:r>
          </w:p>
        </w:tc>
        <w:tc>
          <w:tcPr>
            <w:tcW w:w="3673" w:type="dxa"/>
            <w:vAlign w:val="top"/>
          </w:tcPr>
          <w:p w14:paraId="33B43E69">
            <w:pPr>
              <w:pStyle w:val="11"/>
              <w:spacing w:before="105" w:line="221" w:lineRule="auto"/>
              <w:ind w:left="115"/>
              <w:rPr>
                <w:color w:val="auto"/>
                <w:highlight w:val="none"/>
              </w:rPr>
            </w:pPr>
            <w:r>
              <w:rPr>
                <w:color w:val="auto"/>
                <w:spacing w:val="-3"/>
                <w:highlight w:val="none"/>
              </w:rPr>
              <w:t>劳动力计划表</w:t>
            </w:r>
          </w:p>
        </w:tc>
      </w:tr>
      <w:tr w14:paraId="2F2A808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14:paraId="2423ADB6">
            <w:pPr>
              <w:pStyle w:val="11"/>
              <w:spacing w:before="103" w:line="220" w:lineRule="auto"/>
              <w:rPr>
                <w:color w:val="auto"/>
                <w:highlight w:val="none"/>
              </w:rPr>
            </w:pPr>
            <w:r>
              <w:rPr>
                <w:color w:val="auto"/>
                <w:spacing w:val="-5"/>
                <w:highlight w:val="none"/>
              </w:rPr>
              <w:t>附表四</w:t>
            </w:r>
          </w:p>
        </w:tc>
        <w:tc>
          <w:tcPr>
            <w:tcW w:w="3673" w:type="dxa"/>
            <w:vAlign w:val="top"/>
          </w:tcPr>
          <w:p w14:paraId="26E5DBC6">
            <w:pPr>
              <w:pStyle w:val="11"/>
              <w:spacing w:before="103" w:line="221" w:lineRule="auto"/>
              <w:ind w:left="110"/>
              <w:rPr>
                <w:color w:val="auto"/>
                <w:highlight w:val="none"/>
              </w:rPr>
            </w:pPr>
            <w:r>
              <w:rPr>
                <w:color w:val="auto"/>
                <w:spacing w:val="-1"/>
                <w:highlight w:val="none"/>
              </w:rPr>
              <w:t>计划开、竣工日期和施工进度网络图</w:t>
            </w:r>
          </w:p>
        </w:tc>
      </w:tr>
      <w:tr w14:paraId="488DD1F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14:paraId="1B23CC18">
            <w:pPr>
              <w:pStyle w:val="11"/>
              <w:spacing w:before="105" w:line="220" w:lineRule="auto"/>
              <w:rPr>
                <w:color w:val="auto"/>
                <w:highlight w:val="none"/>
              </w:rPr>
            </w:pPr>
            <w:r>
              <w:rPr>
                <w:color w:val="auto"/>
                <w:spacing w:val="-5"/>
                <w:highlight w:val="none"/>
              </w:rPr>
              <w:t>附表五</w:t>
            </w:r>
          </w:p>
        </w:tc>
        <w:tc>
          <w:tcPr>
            <w:tcW w:w="3673" w:type="dxa"/>
            <w:vAlign w:val="top"/>
          </w:tcPr>
          <w:p w14:paraId="0D79F5FD">
            <w:pPr>
              <w:pStyle w:val="11"/>
              <w:spacing w:before="106" w:line="222" w:lineRule="auto"/>
              <w:ind w:left="109"/>
              <w:rPr>
                <w:color w:val="auto"/>
                <w:highlight w:val="none"/>
              </w:rPr>
            </w:pPr>
            <w:r>
              <w:rPr>
                <w:color w:val="auto"/>
                <w:spacing w:val="-2"/>
                <w:highlight w:val="none"/>
              </w:rPr>
              <w:t>施工总平面图</w:t>
            </w:r>
          </w:p>
        </w:tc>
      </w:tr>
      <w:tr w14:paraId="53BFB3F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5" w:hRule="atLeast"/>
        </w:trPr>
        <w:tc>
          <w:tcPr>
            <w:tcW w:w="718" w:type="dxa"/>
            <w:vAlign w:val="top"/>
          </w:tcPr>
          <w:p w14:paraId="7A48EC0D">
            <w:pPr>
              <w:pStyle w:val="11"/>
              <w:spacing w:before="103" w:line="177" w:lineRule="auto"/>
              <w:rPr>
                <w:color w:val="auto"/>
                <w:highlight w:val="none"/>
              </w:rPr>
            </w:pPr>
            <w:r>
              <w:rPr>
                <w:color w:val="auto"/>
                <w:spacing w:val="-5"/>
                <w:highlight w:val="none"/>
              </w:rPr>
              <w:t>附表六</w:t>
            </w:r>
          </w:p>
        </w:tc>
        <w:tc>
          <w:tcPr>
            <w:tcW w:w="3673" w:type="dxa"/>
            <w:vAlign w:val="top"/>
          </w:tcPr>
          <w:p w14:paraId="225E9AE4">
            <w:pPr>
              <w:pStyle w:val="11"/>
              <w:spacing w:before="103" w:line="177" w:lineRule="auto"/>
              <w:ind w:left="122"/>
              <w:rPr>
                <w:color w:val="auto"/>
                <w:highlight w:val="none"/>
              </w:rPr>
            </w:pPr>
            <w:r>
              <w:rPr>
                <w:color w:val="auto"/>
                <w:spacing w:val="-4"/>
                <w:highlight w:val="none"/>
              </w:rPr>
              <w:t>临时用地表</w:t>
            </w:r>
          </w:p>
        </w:tc>
      </w:tr>
    </w:tbl>
    <w:p w14:paraId="2C368E41">
      <w:pPr>
        <w:pStyle w:val="3"/>
        <w:rPr>
          <w:color w:val="auto"/>
          <w:highlight w:val="none"/>
        </w:rPr>
      </w:pPr>
    </w:p>
    <w:p w14:paraId="00664351">
      <w:pPr>
        <w:rPr>
          <w:color w:val="auto"/>
          <w:highlight w:val="none"/>
        </w:rPr>
        <w:sectPr>
          <w:footerReference r:id="rId246" w:type="default"/>
          <w:pgSz w:w="11905" w:h="16839"/>
          <w:pgMar w:top="400" w:right="1785" w:bottom="1004" w:left="1785" w:header="0" w:footer="828" w:gutter="0"/>
          <w:pgNumType w:fmt="decimal"/>
          <w:cols w:space="720" w:num="1"/>
        </w:sectPr>
      </w:pPr>
    </w:p>
    <w:p w14:paraId="186DDABA">
      <w:pPr>
        <w:pStyle w:val="3"/>
        <w:spacing w:line="267" w:lineRule="auto"/>
        <w:rPr>
          <w:color w:val="auto"/>
          <w:highlight w:val="none"/>
        </w:rPr>
      </w:pPr>
    </w:p>
    <w:p w14:paraId="60938D7D">
      <w:pPr>
        <w:pStyle w:val="3"/>
        <w:spacing w:line="267" w:lineRule="auto"/>
        <w:rPr>
          <w:color w:val="auto"/>
          <w:highlight w:val="none"/>
        </w:rPr>
      </w:pPr>
    </w:p>
    <w:p w14:paraId="1568C17C">
      <w:pPr>
        <w:pStyle w:val="3"/>
        <w:spacing w:line="268" w:lineRule="auto"/>
        <w:rPr>
          <w:color w:val="auto"/>
          <w:highlight w:val="none"/>
        </w:rPr>
      </w:pPr>
    </w:p>
    <w:p w14:paraId="032D0AD7">
      <w:pPr>
        <w:pStyle w:val="3"/>
        <w:spacing w:line="268" w:lineRule="auto"/>
        <w:rPr>
          <w:color w:val="auto"/>
          <w:highlight w:val="none"/>
        </w:rPr>
      </w:pPr>
    </w:p>
    <w:p w14:paraId="4E8FCC35">
      <w:pPr>
        <w:spacing w:before="78" w:line="218" w:lineRule="auto"/>
        <w:ind w:left="3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附表一：拟投入本工程的主要施工设备表</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8"/>
        <w:gridCol w:w="1032"/>
        <w:gridCol w:w="657"/>
        <w:gridCol w:w="989"/>
        <w:gridCol w:w="696"/>
        <w:gridCol w:w="691"/>
        <w:gridCol w:w="1161"/>
        <w:gridCol w:w="845"/>
        <w:gridCol w:w="849"/>
        <w:gridCol w:w="753"/>
      </w:tblGrid>
      <w:tr w14:paraId="19262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38" w:type="dxa"/>
            <w:textDirection w:val="tbRlV"/>
            <w:vAlign w:val="top"/>
          </w:tcPr>
          <w:p w14:paraId="0A23BB3A">
            <w:pPr>
              <w:pStyle w:val="11"/>
              <w:spacing w:before="210" w:line="211" w:lineRule="auto"/>
              <w:ind w:left="72"/>
              <w:rPr>
                <w:color w:val="auto"/>
                <w:highlight w:val="none"/>
              </w:rPr>
            </w:pPr>
            <w:r>
              <w:rPr>
                <w:color w:val="auto"/>
                <w:spacing w:val="1"/>
                <w:highlight w:val="none"/>
              </w:rPr>
              <w:t>序</w:t>
            </w:r>
            <w:r>
              <w:rPr>
                <w:color w:val="auto"/>
                <w:spacing w:val="-43"/>
                <w:highlight w:val="none"/>
              </w:rPr>
              <w:t xml:space="preserve"> </w:t>
            </w:r>
            <w:r>
              <w:rPr>
                <w:color w:val="auto"/>
                <w:spacing w:val="1"/>
                <w:highlight w:val="none"/>
              </w:rPr>
              <w:t>号</w:t>
            </w:r>
          </w:p>
        </w:tc>
        <w:tc>
          <w:tcPr>
            <w:tcW w:w="1032" w:type="dxa"/>
            <w:vAlign w:val="top"/>
          </w:tcPr>
          <w:p w14:paraId="0FD00638">
            <w:pPr>
              <w:pStyle w:val="11"/>
              <w:spacing w:before="71" w:line="232" w:lineRule="auto"/>
              <w:ind w:left="415" w:right="195" w:hanging="206"/>
              <w:rPr>
                <w:color w:val="auto"/>
                <w:highlight w:val="none"/>
              </w:rPr>
            </w:pPr>
            <w:r>
              <w:rPr>
                <w:color w:val="auto"/>
                <w:spacing w:val="-3"/>
                <w:highlight w:val="none"/>
              </w:rPr>
              <w:t>设备名</w:t>
            </w:r>
            <w:r>
              <w:rPr>
                <w:color w:val="auto"/>
                <w:highlight w:val="none"/>
              </w:rPr>
              <w:t xml:space="preserve"> 称</w:t>
            </w:r>
          </w:p>
        </w:tc>
        <w:tc>
          <w:tcPr>
            <w:tcW w:w="657" w:type="dxa"/>
            <w:vAlign w:val="top"/>
          </w:tcPr>
          <w:p w14:paraId="5E5637B1">
            <w:pPr>
              <w:pStyle w:val="11"/>
              <w:spacing w:before="71" w:line="231" w:lineRule="auto"/>
              <w:ind w:left="125" w:right="113" w:firstLine="5"/>
              <w:rPr>
                <w:color w:val="auto"/>
                <w:highlight w:val="none"/>
              </w:rPr>
            </w:pPr>
            <w:r>
              <w:rPr>
                <w:color w:val="auto"/>
                <w:spacing w:val="-7"/>
                <w:highlight w:val="none"/>
              </w:rPr>
              <w:t>型号</w:t>
            </w:r>
            <w:r>
              <w:rPr>
                <w:color w:val="auto"/>
                <w:highlight w:val="none"/>
              </w:rPr>
              <w:t xml:space="preserve"> </w:t>
            </w:r>
            <w:r>
              <w:rPr>
                <w:color w:val="auto"/>
                <w:spacing w:val="-4"/>
                <w:highlight w:val="none"/>
              </w:rPr>
              <w:t>规格</w:t>
            </w:r>
          </w:p>
        </w:tc>
        <w:tc>
          <w:tcPr>
            <w:tcW w:w="989" w:type="dxa"/>
            <w:vAlign w:val="top"/>
          </w:tcPr>
          <w:p w14:paraId="12EA4774">
            <w:pPr>
              <w:pStyle w:val="11"/>
              <w:spacing w:before="211" w:line="221" w:lineRule="auto"/>
              <w:ind w:left="189"/>
              <w:rPr>
                <w:color w:val="auto"/>
                <w:highlight w:val="none"/>
              </w:rPr>
            </w:pPr>
            <w:r>
              <w:rPr>
                <w:color w:val="auto"/>
                <w:spacing w:val="-5"/>
                <w:highlight w:val="none"/>
              </w:rPr>
              <w:t>数</w:t>
            </w:r>
            <w:r>
              <w:rPr>
                <w:color w:val="auto"/>
                <w:spacing w:val="4"/>
                <w:highlight w:val="none"/>
              </w:rPr>
              <w:t xml:space="preserve">  </w:t>
            </w:r>
            <w:r>
              <w:rPr>
                <w:color w:val="auto"/>
                <w:spacing w:val="-5"/>
                <w:highlight w:val="none"/>
              </w:rPr>
              <w:t>量</w:t>
            </w:r>
          </w:p>
        </w:tc>
        <w:tc>
          <w:tcPr>
            <w:tcW w:w="696" w:type="dxa"/>
            <w:vAlign w:val="top"/>
          </w:tcPr>
          <w:p w14:paraId="40F2C7D9">
            <w:pPr>
              <w:pStyle w:val="11"/>
              <w:spacing w:before="71" w:line="231" w:lineRule="auto"/>
              <w:ind w:left="144" w:right="132" w:firstLine="20"/>
              <w:rPr>
                <w:color w:val="auto"/>
                <w:highlight w:val="none"/>
              </w:rPr>
            </w:pPr>
            <w:r>
              <w:rPr>
                <w:color w:val="auto"/>
                <w:spacing w:val="-14"/>
                <w:highlight w:val="none"/>
              </w:rPr>
              <w:t>国别</w:t>
            </w:r>
            <w:r>
              <w:rPr>
                <w:color w:val="auto"/>
                <w:highlight w:val="none"/>
              </w:rPr>
              <w:t xml:space="preserve"> </w:t>
            </w:r>
            <w:r>
              <w:rPr>
                <w:color w:val="auto"/>
                <w:spacing w:val="-3"/>
                <w:highlight w:val="none"/>
              </w:rPr>
              <w:t>产地</w:t>
            </w:r>
          </w:p>
        </w:tc>
        <w:tc>
          <w:tcPr>
            <w:tcW w:w="691" w:type="dxa"/>
            <w:vAlign w:val="top"/>
          </w:tcPr>
          <w:p w14:paraId="1869553B">
            <w:pPr>
              <w:pStyle w:val="11"/>
              <w:spacing w:before="71" w:line="231" w:lineRule="auto"/>
              <w:ind w:left="146" w:right="126"/>
              <w:rPr>
                <w:color w:val="auto"/>
                <w:highlight w:val="none"/>
              </w:rPr>
            </w:pPr>
            <w:r>
              <w:rPr>
                <w:color w:val="auto"/>
                <w:spacing w:val="-4"/>
                <w:highlight w:val="none"/>
              </w:rPr>
              <w:t>制造</w:t>
            </w:r>
            <w:r>
              <w:rPr>
                <w:color w:val="auto"/>
                <w:highlight w:val="none"/>
              </w:rPr>
              <w:t xml:space="preserve"> </w:t>
            </w:r>
            <w:r>
              <w:rPr>
                <w:color w:val="auto"/>
                <w:spacing w:val="-4"/>
                <w:highlight w:val="none"/>
              </w:rPr>
              <w:t>年份</w:t>
            </w:r>
          </w:p>
        </w:tc>
        <w:tc>
          <w:tcPr>
            <w:tcW w:w="1161" w:type="dxa"/>
            <w:vAlign w:val="top"/>
          </w:tcPr>
          <w:p w14:paraId="17B9E843">
            <w:pPr>
              <w:pStyle w:val="11"/>
              <w:spacing w:before="72" w:line="237" w:lineRule="auto"/>
              <w:ind w:left="276" w:right="154" w:hanging="112"/>
              <w:rPr>
                <w:color w:val="auto"/>
                <w:highlight w:val="none"/>
              </w:rPr>
            </w:pPr>
            <w:r>
              <w:rPr>
                <w:color w:val="auto"/>
                <w:spacing w:val="-1"/>
                <w:highlight w:val="none"/>
              </w:rPr>
              <w:t>额定功率</w:t>
            </w:r>
            <w:r>
              <w:rPr>
                <w:color w:val="auto"/>
                <w:highlight w:val="none"/>
              </w:rPr>
              <w:t xml:space="preserve"> </w:t>
            </w:r>
            <w:r>
              <w:rPr>
                <w:color w:val="auto"/>
                <w:spacing w:val="-4"/>
                <w:highlight w:val="none"/>
              </w:rPr>
              <w:t>（KW）</w:t>
            </w:r>
          </w:p>
        </w:tc>
        <w:tc>
          <w:tcPr>
            <w:tcW w:w="845" w:type="dxa"/>
            <w:vAlign w:val="top"/>
          </w:tcPr>
          <w:p w14:paraId="3646C7B4">
            <w:pPr>
              <w:pStyle w:val="11"/>
              <w:spacing w:before="72" w:line="241" w:lineRule="auto"/>
              <w:ind w:left="224"/>
              <w:rPr>
                <w:color w:val="auto"/>
                <w:highlight w:val="none"/>
              </w:rPr>
            </w:pPr>
            <w:r>
              <w:rPr>
                <w:color w:val="auto"/>
                <w:spacing w:val="-2"/>
                <w:highlight w:val="none"/>
              </w:rPr>
              <w:t>生产</w:t>
            </w:r>
          </w:p>
          <w:p w14:paraId="7DE24416">
            <w:pPr>
              <w:pStyle w:val="11"/>
              <w:spacing w:line="220" w:lineRule="auto"/>
              <w:ind w:left="231"/>
              <w:rPr>
                <w:color w:val="auto"/>
                <w:highlight w:val="none"/>
              </w:rPr>
            </w:pPr>
            <w:r>
              <w:rPr>
                <w:color w:val="auto"/>
                <w:spacing w:val="-4"/>
                <w:highlight w:val="none"/>
              </w:rPr>
              <w:t>能力</w:t>
            </w:r>
          </w:p>
        </w:tc>
        <w:tc>
          <w:tcPr>
            <w:tcW w:w="849" w:type="dxa"/>
            <w:vAlign w:val="top"/>
          </w:tcPr>
          <w:p w14:paraId="698C054D">
            <w:pPr>
              <w:pStyle w:val="11"/>
              <w:spacing w:before="71" w:line="231" w:lineRule="auto"/>
              <w:ind w:left="119" w:right="100"/>
              <w:rPr>
                <w:color w:val="auto"/>
                <w:highlight w:val="none"/>
              </w:rPr>
            </w:pPr>
            <w:r>
              <w:rPr>
                <w:color w:val="auto"/>
                <w:spacing w:val="-3"/>
                <w:highlight w:val="none"/>
              </w:rPr>
              <w:t>用于施</w:t>
            </w:r>
            <w:r>
              <w:rPr>
                <w:color w:val="auto"/>
                <w:spacing w:val="1"/>
                <w:highlight w:val="none"/>
              </w:rPr>
              <w:t xml:space="preserve"> </w:t>
            </w:r>
            <w:r>
              <w:rPr>
                <w:color w:val="auto"/>
                <w:spacing w:val="-3"/>
                <w:highlight w:val="none"/>
              </w:rPr>
              <w:t>工部位</w:t>
            </w:r>
          </w:p>
        </w:tc>
        <w:tc>
          <w:tcPr>
            <w:tcW w:w="753" w:type="dxa"/>
            <w:vAlign w:val="top"/>
          </w:tcPr>
          <w:p w14:paraId="6B25CEF3">
            <w:pPr>
              <w:pStyle w:val="11"/>
              <w:spacing w:before="211" w:line="222" w:lineRule="auto"/>
              <w:ind w:left="179"/>
              <w:rPr>
                <w:color w:val="auto"/>
                <w:highlight w:val="none"/>
              </w:rPr>
            </w:pPr>
            <w:r>
              <w:rPr>
                <w:color w:val="auto"/>
                <w:spacing w:val="-3"/>
                <w:highlight w:val="none"/>
              </w:rPr>
              <w:t>备注</w:t>
            </w:r>
          </w:p>
        </w:tc>
      </w:tr>
      <w:tr w14:paraId="26E7B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19856E3E">
            <w:pPr>
              <w:rPr>
                <w:rFonts w:ascii="Arial"/>
                <w:color w:val="auto"/>
                <w:sz w:val="21"/>
                <w:highlight w:val="none"/>
              </w:rPr>
            </w:pPr>
          </w:p>
        </w:tc>
        <w:tc>
          <w:tcPr>
            <w:tcW w:w="1032" w:type="dxa"/>
            <w:vAlign w:val="top"/>
          </w:tcPr>
          <w:p w14:paraId="55217CAE">
            <w:pPr>
              <w:rPr>
                <w:rFonts w:ascii="Arial"/>
                <w:color w:val="auto"/>
                <w:sz w:val="21"/>
                <w:highlight w:val="none"/>
              </w:rPr>
            </w:pPr>
          </w:p>
        </w:tc>
        <w:tc>
          <w:tcPr>
            <w:tcW w:w="657" w:type="dxa"/>
            <w:vAlign w:val="top"/>
          </w:tcPr>
          <w:p w14:paraId="1C3AEFC6">
            <w:pPr>
              <w:rPr>
                <w:rFonts w:ascii="Arial"/>
                <w:color w:val="auto"/>
                <w:sz w:val="21"/>
                <w:highlight w:val="none"/>
              </w:rPr>
            </w:pPr>
          </w:p>
        </w:tc>
        <w:tc>
          <w:tcPr>
            <w:tcW w:w="989" w:type="dxa"/>
            <w:vAlign w:val="top"/>
          </w:tcPr>
          <w:p w14:paraId="3DC44078">
            <w:pPr>
              <w:rPr>
                <w:rFonts w:ascii="Arial"/>
                <w:color w:val="auto"/>
                <w:sz w:val="21"/>
                <w:highlight w:val="none"/>
              </w:rPr>
            </w:pPr>
          </w:p>
        </w:tc>
        <w:tc>
          <w:tcPr>
            <w:tcW w:w="696" w:type="dxa"/>
            <w:vAlign w:val="top"/>
          </w:tcPr>
          <w:p w14:paraId="276E8363">
            <w:pPr>
              <w:rPr>
                <w:rFonts w:ascii="Arial"/>
                <w:color w:val="auto"/>
                <w:sz w:val="21"/>
                <w:highlight w:val="none"/>
              </w:rPr>
            </w:pPr>
          </w:p>
        </w:tc>
        <w:tc>
          <w:tcPr>
            <w:tcW w:w="691" w:type="dxa"/>
            <w:vAlign w:val="top"/>
          </w:tcPr>
          <w:p w14:paraId="2FCFB54F">
            <w:pPr>
              <w:rPr>
                <w:rFonts w:ascii="Arial"/>
                <w:color w:val="auto"/>
                <w:sz w:val="21"/>
                <w:highlight w:val="none"/>
              </w:rPr>
            </w:pPr>
          </w:p>
        </w:tc>
        <w:tc>
          <w:tcPr>
            <w:tcW w:w="1161" w:type="dxa"/>
            <w:vAlign w:val="top"/>
          </w:tcPr>
          <w:p w14:paraId="0D20B631">
            <w:pPr>
              <w:rPr>
                <w:rFonts w:ascii="Arial"/>
                <w:color w:val="auto"/>
                <w:sz w:val="21"/>
                <w:highlight w:val="none"/>
              </w:rPr>
            </w:pPr>
          </w:p>
        </w:tc>
        <w:tc>
          <w:tcPr>
            <w:tcW w:w="845" w:type="dxa"/>
            <w:vAlign w:val="top"/>
          </w:tcPr>
          <w:p w14:paraId="2395EE18">
            <w:pPr>
              <w:rPr>
                <w:rFonts w:ascii="Arial"/>
                <w:color w:val="auto"/>
                <w:sz w:val="21"/>
                <w:highlight w:val="none"/>
              </w:rPr>
            </w:pPr>
          </w:p>
        </w:tc>
        <w:tc>
          <w:tcPr>
            <w:tcW w:w="849" w:type="dxa"/>
            <w:vAlign w:val="top"/>
          </w:tcPr>
          <w:p w14:paraId="7C746698">
            <w:pPr>
              <w:rPr>
                <w:rFonts w:ascii="Arial"/>
                <w:color w:val="auto"/>
                <w:sz w:val="21"/>
                <w:highlight w:val="none"/>
              </w:rPr>
            </w:pPr>
          </w:p>
        </w:tc>
        <w:tc>
          <w:tcPr>
            <w:tcW w:w="753" w:type="dxa"/>
            <w:vAlign w:val="top"/>
          </w:tcPr>
          <w:p w14:paraId="5671D45C">
            <w:pPr>
              <w:rPr>
                <w:rFonts w:ascii="Arial"/>
                <w:color w:val="auto"/>
                <w:sz w:val="21"/>
                <w:highlight w:val="none"/>
              </w:rPr>
            </w:pPr>
          </w:p>
        </w:tc>
      </w:tr>
      <w:tr w14:paraId="580BC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0535893C">
            <w:pPr>
              <w:rPr>
                <w:rFonts w:ascii="Arial"/>
                <w:color w:val="auto"/>
                <w:sz w:val="21"/>
                <w:highlight w:val="none"/>
              </w:rPr>
            </w:pPr>
          </w:p>
        </w:tc>
        <w:tc>
          <w:tcPr>
            <w:tcW w:w="1032" w:type="dxa"/>
            <w:vAlign w:val="top"/>
          </w:tcPr>
          <w:p w14:paraId="78E1C7B2">
            <w:pPr>
              <w:rPr>
                <w:rFonts w:ascii="Arial"/>
                <w:color w:val="auto"/>
                <w:sz w:val="21"/>
                <w:highlight w:val="none"/>
              </w:rPr>
            </w:pPr>
          </w:p>
        </w:tc>
        <w:tc>
          <w:tcPr>
            <w:tcW w:w="657" w:type="dxa"/>
            <w:vAlign w:val="top"/>
          </w:tcPr>
          <w:p w14:paraId="6365466D">
            <w:pPr>
              <w:rPr>
                <w:rFonts w:ascii="Arial"/>
                <w:color w:val="auto"/>
                <w:sz w:val="21"/>
                <w:highlight w:val="none"/>
              </w:rPr>
            </w:pPr>
          </w:p>
        </w:tc>
        <w:tc>
          <w:tcPr>
            <w:tcW w:w="989" w:type="dxa"/>
            <w:vAlign w:val="top"/>
          </w:tcPr>
          <w:p w14:paraId="42B62DEF">
            <w:pPr>
              <w:rPr>
                <w:rFonts w:ascii="Arial"/>
                <w:color w:val="auto"/>
                <w:sz w:val="21"/>
                <w:highlight w:val="none"/>
              </w:rPr>
            </w:pPr>
          </w:p>
        </w:tc>
        <w:tc>
          <w:tcPr>
            <w:tcW w:w="696" w:type="dxa"/>
            <w:vAlign w:val="top"/>
          </w:tcPr>
          <w:p w14:paraId="23F4F0A0">
            <w:pPr>
              <w:rPr>
                <w:rFonts w:ascii="Arial"/>
                <w:color w:val="auto"/>
                <w:sz w:val="21"/>
                <w:highlight w:val="none"/>
              </w:rPr>
            </w:pPr>
          </w:p>
        </w:tc>
        <w:tc>
          <w:tcPr>
            <w:tcW w:w="691" w:type="dxa"/>
            <w:vAlign w:val="top"/>
          </w:tcPr>
          <w:p w14:paraId="3A2DFA9E">
            <w:pPr>
              <w:rPr>
                <w:rFonts w:ascii="Arial"/>
                <w:color w:val="auto"/>
                <w:sz w:val="21"/>
                <w:highlight w:val="none"/>
              </w:rPr>
            </w:pPr>
          </w:p>
        </w:tc>
        <w:tc>
          <w:tcPr>
            <w:tcW w:w="1161" w:type="dxa"/>
            <w:vAlign w:val="top"/>
          </w:tcPr>
          <w:p w14:paraId="5CB48297">
            <w:pPr>
              <w:rPr>
                <w:rFonts w:ascii="Arial"/>
                <w:color w:val="auto"/>
                <w:sz w:val="21"/>
                <w:highlight w:val="none"/>
              </w:rPr>
            </w:pPr>
          </w:p>
        </w:tc>
        <w:tc>
          <w:tcPr>
            <w:tcW w:w="845" w:type="dxa"/>
            <w:vAlign w:val="top"/>
          </w:tcPr>
          <w:p w14:paraId="3518BF85">
            <w:pPr>
              <w:rPr>
                <w:rFonts w:ascii="Arial"/>
                <w:color w:val="auto"/>
                <w:sz w:val="21"/>
                <w:highlight w:val="none"/>
              </w:rPr>
            </w:pPr>
          </w:p>
        </w:tc>
        <w:tc>
          <w:tcPr>
            <w:tcW w:w="849" w:type="dxa"/>
            <w:vAlign w:val="top"/>
          </w:tcPr>
          <w:p w14:paraId="20F71F93">
            <w:pPr>
              <w:rPr>
                <w:rFonts w:ascii="Arial"/>
                <w:color w:val="auto"/>
                <w:sz w:val="21"/>
                <w:highlight w:val="none"/>
              </w:rPr>
            </w:pPr>
          </w:p>
        </w:tc>
        <w:tc>
          <w:tcPr>
            <w:tcW w:w="753" w:type="dxa"/>
            <w:vAlign w:val="top"/>
          </w:tcPr>
          <w:p w14:paraId="33B5C96F">
            <w:pPr>
              <w:rPr>
                <w:rFonts w:ascii="Arial"/>
                <w:color w:val="auto"/>
                <w:sz w:val="21"/>
                <w:highlight w:val="none"/>
              </w:rPr>
            </w:pPr>
          </w:p>
        </w:tc>
      </w:tr>
      <w:tr w14:paraId="13F0B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64F1D103">
            <w:pPr>
              <w:rPr>
                <w:rFonts w:ascii="Arial"/>
                <w:color w:val="auto"/>
                <w:sz w:val="21"/>
                <w:highlight w:val="none"/>
              </w:rPr>
            </w:pPr>
          </w:p>
        </w:tc>
        <w:tc>
          <w:tcPr>
            <w:tcW w:w="1032" w:type="dxa"/>
            <w:vAlign w:val="top"/>
          </w:tcPr>
          <w:p w14:paraId="4A322258">
            <w:pPr>
              <w:rPr>
                <w:rFonts w:ascii="Arial"/>
                <w:color w:val="auto"/>
                <w:sz w:val="21"/>
                <w:highlight w:val="none"/>
              </w:rPr>
            </w:pPr>
          </w:p>
        </w:tc>
        <w:tc>
          <w:tcPr>
            <w:tcW w:w="657" w:type="dxa"/>
            <w:vAlign w:val="top"/>
          </w:tcPr>
          <w:p w14:paraId="66963B76">
            <w:pPr>
              <w:rPr>
                <w:rFonts w:ascii="Arial"/>
                <w:color w:val="auto"/>
                <w:sz w:val="21"/>
                <w:highlight w:val="none"/>
              </w:rPr>
            </w:pPr>
          </w:p>
        </w:tc>
        <w:tc>
          <w:tcPr>
            <w:tcW w:w="989" w:type="dxa"/>
            <w:vAlign w:val="top"/>
          </w:tcPr>
          <w:p w14:paraId="2478FA38">
            <w:pPr>
              <w:rPr>
                <w:rFonts w:ascii="Arial"/>
                <w:color w:val="auto"/>
                <w:sz w:val="21"/>
                <w:highlight w:val="none"/>
              </w:rPr>
            </w:pPr>
          </w:p>
        </w:tc>
        <w:tc>
          <w:tcPr>
            <w:tcW w:w="696" w:type="dxa"/>
            <w:vAlign w:val="top"/>
          </w:tcPr>
          <w:p w14:paraId="556ADB87">
            <w:pPr>
              <w:rPr>
                <w:rFonts w:ascii="Arial"/>
                <w:color w:val="auto"/>
                <w:sz w:val="21"/>
                <w:highlight w:val="none"/>
              </w:rPr>
            </w:pPr>
          </w:p>
        </w:tc>
        <w:tc>
          <w:tcPr>
            <w:tcW w:w="691" w:type="dxa"/>
            <w:vAlign w:val="top"/>
          </w:tcPr>
          <w:p w14:paraId="3038364C">
            <w:pPr>
              <w:rPr>
                <w:rFonts w:ascii="Arial"/>
                <w:color w:val="auto"/>
                <w:sz w:val="21"/>
                <w:highlight w:val="none"/>
              </w:rPr>
            </w:pPr>
          </w:p>
        </w:tc>
        <w:tc>
          <w:tcPr>
            <w:tcW w:w="1161" w:type="dxa"/>
            <w:vAlign w:val="top"/>
          </w:tcPr>
          <w:p w14:paraId="5E2D6413">
            <w:pPr>
              <w:rPr>
                <w:rFonts w:ascii="Arial"/>
                <w:color w:val="auto"/>
                <w:sz w:val="21"/>
                <w:highlight w:val="none"/>
              </w:rPr>
            </w:pPr>
          </w:p>
        </w:tc>
        <w:tc>
          <w:tcPr>
            <w:tcW w:w="845" w:type="dxa"/>
            <w:vAlign w:val="top"/>
          </w:tcPr>
          <w:p w14:paraId="28FC7B01">
            <w:pPr>
              <w:rPr>
                <w:rFonts w:ascii="Arial"/>
                <w:color w:val="auto"/>
                <w:sz w:val="21"/>
                <w:highlight w:val="none"/>
              </w:rPr>
            </w:pPr>
          </w:p>
        </w:tc>
        <w:tc>
          <w:tcPr>
            <w:tcW w:w="849" w:type="dxa"/>
            <w:vAlign w:val="top"/>
          </w:tcPr>
          <w:p w14:paraId="0158CBBB">
            <w:pPr>
              <w:rPr>
                <w:rFonts w:ascii="Arial"/>
                <w:color w:val="auto"/>
                <w:sz w:val="21"/>
                <w:highlight w:val="none"/>
              </w:rPr>
            </w:pPr>
          </w:p>
        </w:tc>
        <w:tc>
          <w:tcPr>
            <w:tcW w:w="753" w:type="dxa"/>
            <w:vAlign w:val="top"/>
          </w:tcPr>
          <w:p w14:paraId="48725F4F">
            <w:pPr>
              <w:rPr>
                <w:rFonts w:ascii="Arial"/>
                <w:color w:val="auto"/>
                <w:sz w:val="21"/>
                <w:highlight w:val="none"/>
              </w:rPr>
            </w:pPr>
          </w:p>
        </w:tc>
      </w:tr>
      <w:tr w14:paraId="25338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18CD9544">
            <w:pPr>
              <w:rPr>
                <w:rFonts w:ascii="Arial"/>
                <w:color w:val="auto"/>
                <w:sz w:val="21"/>
                <w:highlight w:val="none"/>
              </w:rPr>
            </w:pPr>
          </w:p>
        </w:tc>
        <w:tc>
          <w:tcPr>
            <w:tcW w:w="1032" w:type="dxa"/>
            <w:vAlign w:val="top"/>
          </w:tcPr>
          <w:p w14:paraId="6C341FBF">
            <w:pPr>
              <w:rPr>
                <w:rFonts w:ascii="Arial"/>
                <w:color w:val="auto"/>
                <w:sz w:val="21"/>
                <w:highlight w:val="none"/>
              </w:rPr>
            </w:pPr>
          </w:p>
        </w:tc>
        <w:tc>
          <w:tcPr>
            <w:tcW w:w="657" w:type="dxa"/>
            <w:vAlign w:val="top"/>
          </w:tcPr>
          <w:p w14:paraId="4835D266">
            <w:pPr>
              <w:rPr>
                <w:rFonts w:ascii="Arial"/>
                <w:color w:val="auto"/>
                <w:sz w:val="21"/>
                <w:highlight w:val="none"/>
              </w:rPr>
            </w:pPr>
          </w:p>
        </w:tc>
        <w:tc>
          <w:tcPr>
            <w:tcW w:w="989" w:type="dxa"/>
            <w:vAlign w:val="top"/>
          </w:tcPr>
          <w:p w14:paraId="468B9A81">
            <w:pPr>
              <w:rPr>
                <w:rFonts w:ascii="Arial"/>
                <w:color w:val="auto"/>
                <w:sz w:val="21"/>
                <w:highlight w:val="none"/>
              </w:rPr>
            </w:pPr>
          </w:p>
        </w:tc>
        <w:tc>
          <w:tcPr>
            <w:tcW w:w="696" w:type="dxa"/>
            <w:vAlign w:val="top"/>
          </w:tcPr>
          <w:p w14:paraId="21EE5B75">
            <w:pPr>
              <w:rPr>
                <w:rFonts w:ascii="Arial"/>
                <w:color w:val="auto"/>
                <w:sz w:val="21"/>
                <w:highlight w:val="none"/>
              </w:rPr>
            </w:pPr>
          </w:p>
        </w:tc>
        <w:tc>
          <w:tcPr>
            <w:tcW w:w="691" w:type="dxa"/>
            <w:vAlign w:val="top"/>
          </w:tcPr>
          <w:p w14:paraId="45987A84">
            <w:pPr>
              <w:rPr>
                <w:rFonts w:ascii="Arial"/>
                <w:color w:val="auto"/>
                <w:sz w:val="21"/>
                <w:highlight w:val="none"/>
              </w:rPr>
            </w:pPr>
          </w:p>
        </w:tc>
        <w:tc>
          <w:tcPr>
            <w:tcW w:w="1161" w:type="dxa"/>
            <w:vAlign w:val="top"/>
          </w:tcPr>
          <w:p w14:paraId="65947BC3">
            <w:pPr>
              <w:rPr>
                <w:rFonts w:ascii="Arial"/>
                <w:color w:val="auto"/>
                <w:sz w:val="21"/>
                <w:highlight w:val="none"/>
              </w:rPr>
            </w:pPr>
          </w:p>
        </w:tc>
        <w:tc>
          <w:tcPr>
            <w:tcW w:w="845" w:type="dxa"/>
            <w:vAlign w:val="top"/>
          </w:tcPr>
          <w:p w14:paraId="793BEEEC">
            <w:pPr>
              <w:rPr>
                <w:rFonts w:ascii="Arial"/>
                <w:color w:val="auto"/>
                <w:sz w:val="21"/>
                <w:highlight w:val="none"/>
              </w:rPr>
            </w:pPr>
          </w:p>
        </w:tc>
        <w:tc>
          <w:tcPr>
            <w:tcW w:w="849" w:type="dxa"/>
            <w:vAlign w:val="top"/>
          </w:tcPr>
          <w:p w14:paraId="6F9A0A68">
            <w:pPr>
              <w:rPr>
                <w:rFonts w:ascii="Arial"/>
                <w:color w:val="auto"/>
                <w:sz w:val="21"/>
                <w:highlight w:val="none"/>
              </w:rPr>
            </w:pPr>
          </w:p>
        </w:tc>
        <w:tc>
          <w:tcPr>
            <w:tcW w:w="753" w:type="dxa"/>
            <w:vAlign w:val="top"/>
          </w:tcPr>
          <w:p w14:paraId="377FA44D">
            <w:pPr>
              <w:rPr>
                <w:rFonts w:ascii="Arial"/>
                <w:color w:val="auto"/>
                <w:sz w:val="21"/>
                <w:highlight w:val="none"/>
              </w:rPr>
            </w:pPr>
          </w:p>
        </w:tc>
      </w:tr>
      <w:tr w14:paraId="3DB5E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1BF1EE26">
            <w:pPr>
              <w:rPr>
                <w:rFonts w:ascii="Arial"/>
                <w:color w:val="auto"/>
                <w:sz w:val="21"/>
                <w:highlight w:val="none"/>
              </w:rPr>
            </w:pPr>
          </w:p>
        </w:tc>
        <w:tc>
          <w:tcPr>
            <w:tcW w:w="1032" w:type="dxa"/>
            <w:vAlign w:val="top"/>
          </w:tcPr>
          <w:p w14:paraId="569AB8DB">
            <w:pPr>
              <w:rPr>
                <w:rFonts w:ascii="Arial"/>
                <w:color w:val="auto"/>
                <w:sz w:val="21"/>
                <w:highlight w:val="none"/>
              </w:rPr>
            </w:pPr>
          </w:p>
        </w:tc>
        <w:tc>
          <w:tcPr>
            <w:tcW w:w="657" w:type="dxa"/>
            <w:vAlign w:val="top"/>
          </w:tcPr>
          <w:p w14:paraId="68FB98E8">
            <w:pPr>
              <w:rPr>
                <w:rFonts w:ascii="Arial"/>
                <w:color w:val="auto"/>
                <w:sz w:val="21"/>
                <w:highlight w:val="none"/>
              </w:rPr>
            </w:pPr>
          </w:p>
        </w:tc>
        <w:tc>
          <w:tcPr>
            <w:tcW w:w="989" w:type="dxa"/>
            <w:vAlign w:val="top"/>
          </w:tcPr>
          <w:p w14:paraId="782F192C">
            <w:pPr>
              <w:rPr>
                <w:rFonts w:ascii="Arial"/>
                <w:color w:val="auto"/>
                <w:sz w:val="21"/>
                <w:highlight w:val="none"/>
              </w:rPr>
            </w:pPr>
          </w:p>
        </w:tc>
        <w:tc>
          <w:tcPr>
            <w:tcW w:w="696" w:type="dxa"/>
            <w:vAlign w:val="top"/>
          </w:tcPr>
          <w:p w14:paraId="38C84D94">
            <w:pPr>
              <w:rPr>
                <w:rFonts w:ascii="Arial"/>
                <w:color w:val="auto"/>
                <w:sz w:val="21"/>
                <w:highlight w:val="none"/>
              </w:rPr>
            </w:pPr>
          </w:p>
        </w:tc>
        <w:tc>
          <w:tcPr>
            <w:tcW w:w="691" w:type="dxa"/>
            <w:vAlign w:val="top"/>
          </w:tcPr>
          <w:p w14:paraId="4D4B4A83">
            <w:pPr>
              <w:rPr>
                <w:rFonts w:ascii="Arial"/>
                <w:color w:val="auto"/>
                <w:sz w:val="21"/>
                <w:highlight w:val="none"/>
              </w:rPr>
            </w:pPr>
          </w:p>
        </w:tc>
        <w:tc>
          <w:tcPr>
            <w:tcW w:w="1161" w:type="dxa"/>
            <w:vAlign w:val="top"/>
          </w:tcPr>
          <w:p w14:paraId="42913E9D">
            <w:pPr>
              <w:rPr>
                <w:rFonts w:ascii="Arial"/>
                <w:color w:val="auto"/>
                <w:sz w:val="21"/>
                <w:highlight w:val="none"/>
              </w:rPr>
            </w:pPr>
          </w:p>
        </w:tc>
        <w:tc>
          <w:tcPr>
            <w:tcW w:w="845" w:type="dxa"/>
            <w:vAlign w:val="top"/>
          </w:tcPr>
          <w:p w14:paraId="6C048B55">
            <w:pPr>
              <w:rPr>
                <w:rFonts w:ascii="Arial"/>
                <w:color w:val="auto"/>
                <w:sz w:val="21"/>
                <w:highlight w:val="none"/>
              </w:rPr>
            </w:pPr>
          </w:p>
        </w:tc>
        <w:tc>
          <w:tcPr>
            <w:tcW w:w="849" w:type="dxa"/>
            <w:vAlign w:val="top"/>
          </w:tcPr>
          <w:p w14:paraId="73CC29D6">
            <w:pPr>
              <w:rPr>
                <w:rFonts w:ascii="Arial"/>
                <w:color w:val="auto"/>
                <w:sz w:val="21"/>
                <w:highlight w:val="none"/>
              </w:rPr>
            </w:pPr>
          </w:p>
        </w:tc>
        <w:tc>
          <w:tcPr>
            <w:tcW w:w="753" w:type="dxa"/>
            <w:vAlign w:val="top"/>
          </w:tcPr>
          <w:p w14:paraId="2C46D367">
            <w:pPr>
              <w:rPr>
                <w:rFonts w:ascii="Arial"/>
                <w:color w:val="auto"/>
                <w:sz w:val="21"/>
                <w:highlight w:val="none"/>
              </w:rPr>
            </w:pPr>
          </w:p>
        </w:tc>
      </w:tr>
      <w:tr w14:paraId="08D08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0E6A7950">
            <w:pPr>
              <w:rPr>
                <w:rFonts w:ascii="Arial"/>
                <w:color w:val="auto"/>
                <w:sz w:val="21"/>
                <w:highlight w:val="none"/>
              </w:rPr>
            </w:pPr>
          </w:p>
        </w:tc>
        <w:tc>
          <w:tcPr>
            <w:tcW w:w="1032" w:type="dxa"/>
            <w:vAlign w:val="top"/>
          </w:tcPr>
          <w:p w14:paraId="3E5FF277">
            <w:pPr>
              <w:rPr>
                <w:rFonts w:ascii="Arial"/>
                <w:color w:val="auto"/>
                <w:sz w:val="21"/>
                <w:highlight w:val="none"/>
              </w:rPr>
            </w:pPr>
          </w:p>
        </w:tc>
        <w:tc>
          <w:tcPr>
            <w:tcW w:w="657" w:type="dxa"/>
            <w:vAlign w:val="top"/>
          </w:tcPr>
          <w:p w14:paraId="57ED78CF">
            <w:pPr>
              <w:rPr>
                <w:rFonts w:ascii="Arial"/>
                <w:color w:val="auto"/>
                <w:sz w:val="21"/>
                <w:highlight w:val="none"/>
              </w:rPr>
            </w:pPr>
          </w:p>
        </w:tc>
        <w:tc>
          <w:tcPr>
            <w:tcW w:w="989" w:type="dxa"/>
            <w:vAlign w:val="top"/>
          </w:tcPr>
          <w:p w14:paraId="3B7E83C7">
            <w:pPr>
              <w:rPr>
                <w:rFonts w:ascii="Arial"/>
                <w:color w:val="auto"/>
                <w:sz w:val="21"/>
                <w:highlight w:val="none"/>
              </w:rPr>
            </w:pPr>
          </w:p>
        </w:tc>
        <w:tc>
          <w:tcPr>
            <w:tcW w:w="696" w:type="dxa"/>
            <w:vAlign w:val="top"/>
          </w:tcPr>
          <w:p w14:paraId="0DFCD987">
            <w:pPr>
              <w:rPr>
                <w:rFonts w:ascii="Arial"/>
                <w:color w:val="auto"/>
                <w:sz w:val="21"/>
                <w:highlight w:val="none"/>
              </w:rPr>
            </w:pPr>
          </w:p>
        </w:tc>
        <w:tc>
          <w:tcPr>
            <w:tcW w:w="691" w:type="dxa"/>
            <w:vAlign w:val="top"/>
          </w:tcPr>
          <w:p w14:paraId="1E10AAB0">
            <w:pPr>
              <w:rPr>
                <w:rFonts w:ascii="Arial"/>
                <w:color w:val="auto"/>
                <w:sz w:val="21"/>
                <w:highlight w:val="none"/>
              </w:rPr>
            </w:pPr>
          </w:p>
        </w:tc>
        <w:tc>
          <w:tcPr>
            <w:tcW w:w="1161" w:type="dxa"/>
            <w:vAlign w:val="top"/>
          </w:tcPr>
          <w:p w14:paraId="2F77ADB2">
            <w:pPr>
              <w:rPr>
                <w:rFonts w:ascii="Arial"/>
                <w:color w:val="auto"/>
                <w:sz w:val="21"/>
                <w:highlight w:val="none"/>
              </w:rPr>
            </w:pPr>
          </w:p>
        </w:tc>
        <w:tc>
          <w:tcPr>
            <w:tcW w:w="845" w:type="dxa"/>
            <w:vAlign w:val="top"/>
          </w:tcPr>
          <w:p w14:paraId="08371B68">
            <w:pPr>
              <w:rPr>
                <w:rFonts w:ascii="Arial"/>
                <w:color w:val="auto"/>
                <w:sz w:val="21"/>
                <w:highlight w:val="none"/>
              </w:rPr>
            </w:pPr>
          </w:p>
        </w:tc>
        <w:tc>
          <w:tcPr>
            <w:tcW w:w="849" w:type="dxa"/>
            <w:vAlign w:val="top"/>
          </w:tcPr>
          <w:p w14:paraId="626943CF">
            <w:pPr>
              <w:rPr>
                <w:rFonts w:ascii="Arial"/>
                <w:color w:val="auto"/>
                <w:sz w:val="21"/>
                <w:highlight w:val="none"/>
              </w:rPr>
            </w:pPr>
          </w:p>
        </w:tc>
        <w:tc>
          <w:tcPr>
            <w:tcW w:w="753" w:type="dxa"/>
            <w:vAlign w:val="top"/>
          </w:tcPr>
          <w:p w14:paraId="1D435849">
            <w:pPr>
              <w:rPr>
                <w:rFonts w:ascii="Arial"/>
                <w:color w:val="auto"/>
                <w:sz w:val="21"/>
                <w:highlight w:val="none"/>
              </w:rPr>
            </w:pPr>
          </w:p>
        </w:tc>
      </w:tr>
      <w:tr w14:paraId="1B7AA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52C8B391">
            <w:pPr>
              <w:rPr>
                <w:rFonts w:ascii="Arial"/>
                <w:color w:val="auto"/>
                <w:sz w:val="21"/>
                <w:highlight w:val="none"/>
              </w:rPr>
            </w:pPr>
          </w:p>
        </w:tc>
        <w:tc>
          <w:tcPr>
            <w:tcW w:w="1032" w:type="dxa"/>
            <w:vAlign w:val="top"/>
          </w:tcPr>
          <w:p w14:paraId="56FD52F5">
            <w:pPr>
              <w:rPr>
                <w:rFonts w:ascii="Arial"/>
                <w:color w:val="auto"/>
                <w:sz w:val="21"/>
                <w:highlight w:val="none"/>
              </w:rPr>
            </w:pPr>
          </w:p>
        </w:tc>
        <w:tc>
          <w:tcPr>
            <w:tcW w:w="657" w:type="dxa"/>
            <w:vAlign w:val="top"/>
          </w:tcPr>
          <w:p w14:paraId="37446957">
            <w:pPr>
              <w:rPr>
                <w:rFonts w:ascii="Arial"/>
                <w:color w:val="auto"/>
                <w:sz w:val="21"/>
                <w:highlight w:val="none"/>
              </w:rPr>
            </w:pPr>
          </w:p>
        </w:tc>
        <w:tc>
          <w:tcPr>
            <w:tcW w:w="989" w:type="dxa"/>
            <w:vAlign w:val="top"/>
          </w:tcPr>
          <w:p w14:paraId="4B61CCFC">
            <w:pPr>
              <w:rPr>
                <w:rFonts w:ascii="Arial"/>
                <w:color w:val="auto"/>
                <w:sz w:val="21"/>
                <w:highlight w:val="none"/>
              </w:rPr>
            </w:pPr>
          </w:p>
        </w:tc>
        <w:tc>
          <w:tcPr>
            <w:tcW w:w="696" w:type="dxa"/>
            <w:vAlign w:val="top"/>
          </w:tcPr>
          <w:p w14:paraId="49157D30">
            <w:pPr>
              <w:rPr>
                <w:rFonts w:ascii="Arial"/>
                <w:color w:val="auto"/>
                <w:sz w:val="21"/>
                <w:highlight w:val="none"/>
              </w:rPr>
            </w:pPr>
          </w:p>
        </w:tc>
        <w:tc>
          <w:tcPr>
            <w:tcW w:w="691" w:type="dxa"/>
            <w:vAlign w:val="top"/>
          </w:tcPr>
          <w:p w14:paraId="1F4F0E44">
            <w:pPr>
              <w:rPr>
                <w:rFonts w:ascii="Arial"/>
                <w:color w:val="auto"/>
                <w:sz w:val="21"/>
                <w:highlight w:val="none"/>
              </w:rPr>
            </w:pPr>
          </w:p>
        </w:tc>
        <w:tc>
          <w:tcPr>
            <w:tcW w:w="1161" w:type="dxa"/>
            <w:vAlign w:val="top"/>
          </w:tcPr>
          <w:p w14:paraId="76A87ADC">
            <w:pPr>
              <w:rPr>
                <w:rFonts w:ascii="Arial"/>
                <w:color w:val="auto"/>
                <w:sz w:val="21"/>
                <w:highlight w:val="none"/>
              </w:rPr>
            </w:pPr>
          </w:p>
        </w:tc>
        <w:tc>
          <w:tcPr>
            <w:tcW w:w="845" w:type="dxa"/>
            <w:vAlign w:val="top"/>
          </w:tcPr>
          <w:p w14:paraId="37E5C73F">
            <w:pPr>
              <w:rPr>
                <w:rFonts w:ascii="Arial"/>
                <w:color w:val="auto"/>
                <w:sz w:val="21"/>
                <w:highlight w:val="none"/>
              </w:rPr>
            </w:pPr>
          </w:p>
        </w:tc>
        <w:tc>
          <w:tcPr>
            <w:tcW w:w="849" w:type="dxa"/>
            <w:vAlign w:val="top"/>
          </w:tcPr>
          <w:p w14:paraId="0F7D153C">
            <w:pPr>
              <w:rPr>
                <w:rFonts w:ascii="Arial"/>
                <w:color w:val="auto"/>
                <w:sz w:val="21"/>
                <w:highlight w:val="none"/>
              </w:rPr>
            </w:pPr>
          </w:p>
        </w:tc>
        <w:tc>
          <w:tcPr>
            <w:tcW w:w="753" w:type="dxa"/>
            <w:vAlign w:val="top"/>
          </w:tcPr>
          <w:p w14:paraId="2C7FFE90">
            <w:pPr>
              <w:rPr>
                <w:rFonts w:ascii="Arial"/>
                <w:color w:val="auto"/>
                <w:sz w:val="21"/>
                <w:highlight w:val="none"/>
              </w:rPr>
            </w:pPr>
          </w:p>
        </w:tc>
      </w:tr>
      <w:tr w14:paraId="678256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6912D42D">
            <w:pPr>
              <w:rPr>
                <w:rFonts w:ascii="Arial"/>
                <w:color w:val="auto"/>
                <w:sz w:val="21"/>
                <w:highlight w:val="none"/>
              </w:rPr>
            </w:pPr>
          </w:p>
        </w:tc>
        <w:tc>
          <w:tcPr>
            <w:tcW w:w="1032" w:type="dxa"/>
            <w:vAlign w:val="top"/>
          </w:tcPr>
          <w:p w14:paraId="389BC50E">
            <w:pPr>
              <w:rPr>
                <w:rFonts w:ascii="Arial"/>
                <w:color w:val="auto"/>
                <w:sz w:val="21"/>
                <w:highlight w:val="none"/>
              </w:rPr>
            </w:pPr>
          </w:p>
        </w:tc>
        <w:tc>
          <w:tcPr>
            <w:tcW w:w="657" w:type="dxa"/>
            <w:vAlign w:val="top"/>
          </w:tcPr>
          <w:p w14:paraId="1E7DB459">
            <w:pPr>
              <w:rPr>
                <w:rFonts w:ascii="Arial"/>
                <w:color w:val="auto"/>
                <w:sz w:val="21"/>
                <w:highlight w:val="none"/>
              </w:rPr>
            </w:pPr>
          </w:p>
        </w:tc>
        <w:tc>
          <w:tcPr>
            <w:tcW w:w="989" w:type="dxa"/>
            <w:vAlign w:val="top"/>
          </w:tcPr>
          <w:p w14:paraId="7AF1BF9D">
            <w:pPr>
              <w:rPr>
                <w:rFonts w:ascii="Arial"/>
                <w:color w:val="auto"/>
                <w:sz w:val="21"/>
                <w:highlight w:val="none"/>
              </w:rPr>
            </w:pPr>
          </w:p>
        </w:tc>
        <w:tc>
          <w:tcPr>
            <w:tcW w:w="696" w:type="dxa"/>
            <w:vAlign w:val="top"/>
          </w:tcPr>
          <w:p w14:paraId="52FFB5EF">
            <w:pPr>
              <w:rPr>
                <w:rFonts w:ascii="Arial"/>
                <w:color w:val="auto"/>
                <w:sz w:val="21"/>
                <w:highlight w:val="none"/>
              </w:rPr>
            </w:pPr>
          </w:p>
        </w:tc>
        <w:tc>
          <w:tcPr>
            <w:tcW w:w="691" w:type="dxa"/>
            <w:vAlign w:val="top"/>
          </w:tcPr>
          <w:p w14:paraId="1E132BF0">
            <w:pPr>
              <w:rPr>
                <w:rFonts w:ascii="Arial"/>
                <w:color w:val="auto"/>
                <w:sz w:val="21"/>
                <w:highlight w:val="none"/>
              </w:rPr>
            </w:pPr>
          </w:p>
        </w:tc>
        <w:tc>
          <w:tcPr>
            <w:tcW w:w="1161" w:type="dxa"/>
            <w:vAlign w:val="top"/>
          </w:tcPr>
          <w:p w14:paraId="5D6951F3">
            <w:pPr>
              <w:rPr>
                <w:rFonts w:ascii="Arial"/>
                <w:color w:val="auto"/>
                <w:sz w:val="21"/>
                <w:highlight w:val="none"/>
              </w:rPr>
            </w:pPr>
          </w:p>
        </w:tc>
        <w:tc>
          <w:tcPr>
            <w:tcW w:w="845" w:type="dxa"/>
            <w:vAlign w:val="top"/>
          </w:tcPr>
          <w:p w14:paraId="1DE90904">
            <w:pPr>
              <w:rPr>
                <w:rFonts w:ascii="Arial"/>
                <w:color w:val="auto"/>
                <w:sz w:val="21"/>
                <w:highlight w:val="none"/>
              </w:rPr>
            </w:pPr>
          </w:p>
        </w:tc>
        <w:tc>
          <w:tcPr>
            <w:tcW w:w="849" w:type="dxa"/>
            <w:vAlign w:val="top"/>
          </w:tcPr>
          <w:p w14:paraId="1857F266">
            <w:pPr>
              <w:rPr>
                <w:rFonts w:ascii="Arial"/>
                <w:color w:val="auto"/>
                <w:sz w:val="21"/>
                <w:highlight w:val="none"/>
              </w:rPr>
            </w:pPr>
          </w:p>
        </w:tc>
        <w:tc>
          <w:tcPr>
            <w:tcW w:w="753" w:type="dxa"/>
            <w:vAlign w:val="top"/>
          </w:tcPr>
          <w:p w14:paraId="5DB71B95">
            <w:pPr>
              <w:rPr>
                <w:rFonts w:ascii="Arial"/>
                <w:color w:val="auto"/>
                <w:sz w:val="21"/>
                <w:highlight w:val="none"/>
              </w:rPr>
            </w:pPr>
          </w:p>
        </w:tc>
      </w:tr>
      <w:tr w14:paraId="73C4A6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6D2B837E">
            <w:pPr>
              <w:rPr>
                <w:rFonts w:ascii="Arial"/>
                <w:color w:val="auto"/>
                <w:sz w:val="21"/>
                <w:highlight w:val="none"/>
              </w:rPr>
            </w:pPr>
          </w:p>
        </w:tc>
        <w:tc>
          <w:tcPr>
            <w:tcW w:w="1032" w:type="dxa"/>
            <w:vAlign w:val="top"/>
          </w:tcPr>
          <w:p w14:paraId="14BFE9C8">
            <w:pPr>
              <w:rPr>
                <w:rFonts w:ascii="Arial"/>
                <w:color w:val="auto"/>
                <w:sz w:val="21"/>
                <w:highlight w:val="none"/>
              </w:rPr>
            </w:pPr>
          </w:p>
        </w:tc>
        <w:tc>
          <w:tcPr>
            <w:tcW w:w="657" w:type="dxa"/>
            <w:vAlign w:val="top"/>
          </w:tcPr>
          <w:p w14:paraId="1C7C05CD">
            <w:pPr>
              <w:rPr>
                <w:rFonts w:ascii="Arial"/>
                <w:color w:val="auto"/>
                <w:sz w:val="21"/>
                <w:highlight w:val="none"/>
              </w:rPr>
            </w:pPr>
          </w:p>
        </w:tc>
        <w:tc>
          <w:tcPr>
            <w:tcW w:w="989" w:type="dxa"/>
            <w:vAlign w:val="top"/>
          </w:tcPr>
          <w:p w14:paraId="5D8A785F">
            <w:pPr>
              <w:rPr>
                <w:rFonts w:ascii="Arial"/>
                <w:color w:val="auto"/>
                <w:sz w:val="21"/>
                <w:highlight w:val="none"/>
              </w:rPr>
            </w:pPr>
          </w:p>
        </w:tc>
        <w:tc>
          <w:tcPr>
            <w:tcW w:w="696" w:type="dxa"/>
            <w:vAlign w:val="top"/>
          </w:tcPr>
          <w:p w14:paraId="6659D8CD">
            <w:pPr>
              <w:rPr>
                <w:rFonts w:ascii="Arial"/>
                <w:color w:val="auto"/>
                <w:sz w:val="21"/>
                <w:highlight w:val="none"/>
              </w:rPr>
            </w:pPr>
          </w:p>
        </w:tc>
        <w:tc>
          <w:tcPr>
            <w:tcW w:w="691" w:type="dxa"/>
            <w:vAlign w:val="top"/>
          </w:tcPr>
          <w:p w14:paraId="76147F08">
            <w:pPr>
              <w:rPr>
                <w:rFonts w:ascii="Arial"/>
                <w:color w:val="auto"/>
                <w:sz w:val="21"/>
                <w:highlight w:val="none"/>
              </w:rPr>
            </w:pPr>
          </w:p>
        </w:tc>
        <w:tc>
          <w:tcPr>
            <w:tcW w:w="1161" w:type="dxa"/>
            <w:vAlign w:val="top"/>
          </w:tcPr>
          <w:p w14:paraId="5DAD3D6E">
            <w:pPr>
              <w:rPr>
                <w:rFonts w:ascii="Arial"/>
                <w:color w:val="auto"/>
                <w:sz w:val="21"/>
                <w:highlight w:val="none"/>
              </w:rPr>
            </w:pPr>
          </w:p>
        </w:tc>
        <w:tc>
          <w:tcPr>
            <w:tcW w:w="845" w:type="dxa"/>
            <w:vAlign w:val="top"/>
          </w:tcPr>
          <w:p w14:paraId="245C0696">
            <w:pPr>
              <w:rPr>
                <w:rFonts w:ascii="Arial"/>
                <w:color w:val="auto"/>
                <w:sz w:val="21"/>
                <w:highlight w:val="none"/>
              </w:rPr>
            </w:pPr>
          </w:p>
        </w:tc>
        <w:tc>
          <w:tcPr>
            <w:tcW w:w="849" w:type="dxa"/>
            <w:vAlign w:val="top"/>
          </w:tcPr>
          <w:p w14:paraId="1B3D2EA9">
            <w:pPr>
              <w:rPr>
                <w:rFonts w:ascii="Arial"/>
                <w:color w:val="auto"/>
                <w:sz w:val="21"/>
                <w:highlight w:val="none"/>
              </w:rPr>
            </w:pPr>
          </w:p>
        </w:tc>
        <w:tc>
          <w:tcPr>
            <w:tcW w:w="753" w:type="dxa"/>
            <w:vAlign w:val="top"/>
          </w:tcPr>
          <w:p w14:paraId="4F4CC6C2">
            <w:pPr>
              <w:rPr>
                <w:rFonts w:ascii="Arial"/>
                <w:color w:val="auto"/>
                <w:sz w:val="21"/>
                <w:highlight w:val="none"/>
              </w:rPr>
            </w:pPr>
          </w:p>
        </w:tc>
      </w:tr>
      <w:tr w14:paraId="7420FB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3A094D4A">
            <w:pPr>
              <w:rPr>
                <w:rFonts w:ascii="Arial"/>
                <w:color w:val="auto"/>
                <w:sz w:val="21"/>
                <w:highlight w:val="none"/>
              </w:rPr>
            </w:pPr>
          </w:p>
        </w:tc>
        <w:tc>
          <w:tcPr>
            <w:tcW w:w="1032" w:type="dxa"/>
            <w:vAlign w:val="top"/>
          </w:tcPr>
          <w:p w14:paraId="0082A30F">
            <w:pPr>
              <w:rPr>
                <w:rFonts w:ascii="Arial"/>
                <w:color w:val="auto"/>
                <w:sz w:val="21"/>
                <w:highlight w:val="none"/>
              </w:rPr>
            </w:pPr>
          </w:p>
        </w:tc>
        <w:tc>
          <w:tcPr>
            <w:tcW w:w="657" w:type="dxa"/>
            <w:vAlign w:val="top"/>
          </w:tcPr>
          <w:p w14:paraId="5ADB7C86">
            <w:pPr>
              <w:rPr>
                <w:rFonts w:ascii="Arial"/>
                <w:color w:val="auto"/>
                <w:sz w:val="21"/>
                <w:highlight w:val="none"/>
              </w:rPr>
            </w:pPr>
          </w:p>
        </w:tc>
        <w:tc>
          <w:tcPr>
            <w:tcW w:w="989" w:type="dxa"/>
            <w:vAlign w:val="top"/>
          </w:tcPr>
          <w:p w14:paraId="1C51BDA8">
            <w:pPr>
              <w:rPr>
                <w:rFonts w:ascii="Arial"/>
                <w:color w:val="auto"/>
                <w:sz w:val="21"/>
                <w:highlight w:val="none"/>
              </w:rPr>
            </w:pPr>
          </w:p>
        </w:tc>
        <w:tc>
          <w:tcPr>
            <w:tcW w:w="696" w:type="dxa"/>
            <w:vAlign w:val="top"/>
          </w:tcPr>
          <w:p w14:paraId="689EA260">
            <w:pPr>
              <w:rPr>
                <w:rFonts w:ascii="Arial"/>
                <w:color w:val="auto"/>
                <w:sz w:val="21"/>
                <w:highlight w:val="none"/>
              </w:rPr>
            </w:pPr>
          </w:p>
        </w:tc>
        <w:tc>
          <w:tcPr>
            <w:tcW w:w="691" w:type="dxa"/>
            <w:vAlign w:val="top"/>
          </w:tcPr>
          <w:p w14:paraId="3AEB71A5">
            <w:pPr>
              <w:rPr>
                <w:rFonts w:ascii="Arial"/>
                <w:color w:val="auto"/>
                <w:sz w:val="21"/>
                <w:highlight w:val="none"/>
              </w:rPr>
            </w:pPr>
          </w:p>
        </w:tc>
        <w:tc>
          <w:tcPr>
            <w:tcW w:w="1161" w:type="dxa"/>
            <w:vAlign w:val="top"/>
          </w:tcPr>
          <w:p w14:paraId="647A2E49">
            <w:pPr>
              <w:rPr>
                <w:rFonts w:ascii="Arial"/>
                <w:color w:val="auto"/>
                <w:sz w:val="21"/>
                <w:highlight w:val="none"/>
              </w:rPr>
            </w:pPr>
          </w:p>
        </w:tc>
        <w:tc>
          <w:tcPr>
            <w:tcW w:w="845" w:type="dxa"/>
            <w:vAlign w:val="top"/>
          </w:tcPr>
          <w:p w14:paraId="2D143270">
            <w:pPr>
              <w:rPr>
                <w:rFonts w:ascii="Arial"/>
                <w:color w:val="auto"/>
                <w:sz w:val="21"/>
                <w:highlight w:val="none"/>
              </w:rPr>
            </w:pPr>
          </w:p>
        </w:tc>
        <w:tc>
          <w:tcPr>
            <w:tcW w:w="849" w:type="dxa"/>
            <w:vAlign w:val="top"/>
          </w:tcPr>
          <w:p w14:paraId="7D036F5C">
            <w:pPr>
              <w:rPr>
                <w:rFonts w:ascii="Arial"/>
                <w:color w:val="auto"/>
                <w:sz w:val="21"/>
                <w:highlight w:val="none"/>
              </w:rPr>
            </w:pPr>
          </w:p>
        </w:tc>
        <w:tc>
          <w:tcPr>
            <w:tcW w:w="753" w:type="dxa"/>
            <w:vAlign w:val="top"/>
          </w:tcPr>
          <w:p w14:paraId="618AB12C">
            <w:pPr>
              <w:rPr>
                <w:rFonts w:ascii="Arial"/>
                <w:color w:val="auto"/>
                <w:sz w:val="21"/>
                <w:highlight w:val="none"/>
              </w:rPr>
            </w:pPr>
          </w:p>
        </w:tc>
      </w:tr>
      <w:tr w14:paraId="5490C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491763B2">
            <w:pPr>
              <w:rPr>
                <w:rFonts w:ascii="Arial"/>
                <w:color w:val="auto"/>
                <w:sz w:val="21"/>
                <w:highlight w:val="none"/>
              </w:rPr>
            </w:pPr>
          </w:p>
        </w:tc>
        <w:tc>
          <w:tcPr>
            <w:tcW w:w="1032" w:type="dxa"/>
            <w:vAlign w:val="top"/>
          </w:tcPr>
          <w:p w14:paraId="57533A64">
            <w:pPr>
              <w:rPr>
                <w:rFonts w:ascii="Arial"/>
                <w:color w:val="auto"/>
                <w:sz w:val="21"/>
                <w:highlight w:val="none"/>
              </w:rPr>
            </w:pPr>
          </w:p>
        </w:tc>
        <w:tc>
          <w:tcPr>
            <w:tcW w:w="657" w:type="dxa"/>
            <w:vAlign w:val="top"/>
          </w:tcPr>
          <w:p w14:paraId="292D2B66">
            <w:pPr>
              <w:rPr>
                <w:rFonts w:ascii="Arial"/>
                <w:color w:val="auto"/>
                <w:sz w:val="21"/>
                <w:highlight w:val="none"/>
              </w:rPr>
            </w:pPr>
          </w:p>
        </w:tc>
        <w:tc>
          <w:tcPr>
            <w:tcW w:w="989" w:type="dxa"/>
            <w:vAlign w:val="top"/>
          </w:tcPr>
          <w:p w14:paraId="37B6A121">
            <w:pPr>
              <w:rPr>
                <w:rFonts w:ascii="Arial"/>
                <w:color w:val="auto"/>
                <w:sz w:val="21"/>
                <w:highlight w:val="none"/>
              </w:rPr>
            </w:pPr>
          </w:p>
        </w:tc>
        <w:tc>
          <w:tcPr>
            <w:tcW w:w="696" w:type="dxa"/>
            <w:vAlign w:val="top"/>
          </w:tcPr>
          <w:p w14:paraId="12783FFF">
            <w:pPr>
              <w:rPr>
                <w:rFonts w:ascii="Arial"/>
                <w:color w:val="auto"/>
                <w:sz w:val="21"/>
                <w:highlight w:val="none"/>
              </w:rPr>
            </w:pPr>
          </w:p>
        </w:tc>
        <w:tc>
          <w:tcPr>
            <w:tcW w:w="691" w:type="dxa"/>
            <w:vAlign w:val="top"/>
          </w:tcPr>
          <w:p w14:paraId="7B490AAA">
            <w:pPr>
              <w:rPr>
                <w:rFonts w:ascii="Arial"/>
                <w:color w:val="auto"/>
                <w:sz w:val="21"/>
                <w:highlight w:val="none"/>
              </w:rPr>
            </w:pPr>
          </w:p>
        </w:tc>
        <w:tc>
          <w:tcPr>
            <w:tcW w:w="1161" w:type="dxa"/>
            <w:vAlign w:val="top"/>
          </w:tcPr>
          <w:p w14:paraId="5C6B8D37">
            <w:pPr>
              <w:rPr>
                <w:rFonts w:ascii="Arial"/>
                <w:color w:val="auto"/>
                <w:sz w:val="21"/>
                <w:highlight w:val="none"/>
              </w:rPr>
            </w:pPr>
          </w:p>
        </w:tc>
        <w:tc>
          <w:tcPr>
            <w:tcW w:w="845" w:type="dxa"/>
            <w:vAlign w:val="top"/>
          </w:tcPr>
          <w:p w14:paraId="7CEC72CC">
            <w:pPr>
              <w:rPr>
                <w:rFonts w:ascii="Arial"/>
                <w:color w:val="auto"/>
                <w:sz w:val="21"/>
                <w:highlight w:val="none"/>
              </w:rPr>
            </w:pPr>
          </w:p>
        </w:tc>
        <w:tc>
          <w:tcPr>
            <w:tcW w:w="849" w:type="dxa"/>
            <w:vAlign w:val="top"/>
          </w:tcPr>
          <w:p w14:paraId="2657AE73">
            <w:pPr>
              <w:rPr>
                <w:rFonts w:ascii="Arial"/>
                <w:color w:val="auto"/>
                <w:sz w:val="21"/>
                <w:highlight w:val="none"/>
              </w:rPr>
            </w:pPr>
          </w:p>
        </w:tc>
        <w:tc>
          <w:tcPr>
            <w:tcW w:w="753" w:type="dxa"/>
            <w:vAlign w:val="top"/>
          </w:tcPr>
          <w:p w14:paraId="40A0CE65">
            <w:pPr>
              <w:rPr>
                <w:rFonts w:ascii="Arial"/>
                <w:color w:val="auto"/>
                <w:sz w:val="21"/>
                <w:highlight w:val="none"/>
              </w:rPr>
            </w:pPr>
          </w:p>
        </w:tc>
      </w:tr>
      <w:tr w14:paraId="4370F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49987560">
            <w:pPr>
              <w:rPr>
                <w:rFonts w:ascii="Arial"/>
                <w:color w:val="auto"/>
                <w:sz w:val="21"/>
                <w:highlight w:val="none"/>
              </w:rPr>
            </w:pPr>
          </w:p>
        </w:tc>
        <w:tc>
          <w:tcPr>
            <w:tcW w:w="1032" w:type="dxa"/>
            <w:vAlign w:val="top"/>
          </w:tcPr>
          <w:p w14:paraId="27E8C280">
            <w:pPr>
              <w:rPr>
                <w:rFonts w:ascii="Arial"/>
                <w:color w:val="auto"/>
                <w:sz w:val="21"/>
                <w:highlight w:val="none"/>
              </w:rPr>
            </w:pPr>
          </w:p>
        </w:tc>
        <w:tc>
          <w:tcPr>
            <w:tcW w:w="657" w:type="dxa"/>
            <w:vAlign w:val="top"/>
          </w:tcPr>
          <w:p w14:paraId="31AC7972">
            <w:pPr>
              <w:rPr>
                <w:rFonts w:ascii="Arial"/>
                <w:color w:val="auto"/>
                <w:sz w:val="21"/>
                <w:highlight w:val="none"/>
              </w:rPr>
            </w:pPr>
          </w:p>
        </w:tc>
        <w:tc>
          <w:tcPr>
            <w:tcW w:w="989" w:type="dxa"/>
            <w:vAlign w:val="top"/>
          </w:tcPr>
          <w:p w14:paraId="01C42665">
            <w:pPr>
              <w:rPr>
                <w:rFonts w:ascii="Arial"/>
                <w:color w:val="auto"/>
                <w:sz w:val="21"/>
                <w:highlight w:val="none"/>
              </w:rPr>
            </w:pPr>
          </w:p>
        </w:tc>
        <w:tc>
          <w:tcPr>
            <w:tcW w:w="696" w:type="dxa"/>
            <w:vAlign w:val="top"/>
          </w:tcPr>
          <w:p w14:paraId="64D46857">
            <w:pPr>
              <w:rPr>
                <w:rFonts w:ascii="Arial"/>
                <w:color w:val="auto"/>
                <w:sz w:val="21"/>
                <w:highlight w:val="none"/>
              </w:rPr>
            </w:pPr>
          </w:p>
        </w:tc>
        <w:tc>
          <w:tcPr>
            <w:tcW w:w="691" w:type="dxa"/>
            <w:vAlign w:val="top"/>
          </w:tcPr>
          <w:p w14:paraId="3B9DD0DD">
            <w:pPr>
              <w:rPr>
                <w:rFonts w:ascii="Arial"/>
                <w:color w:val="auto"/>
                <w:sz w:val="21"/>
                <w:highlight w:val="none"/>
              </w:rPr>
            </w:pPr>
          </w:p>
        </w:tc>
        <w:tc>
          <w:tcPr>
            <w:tcW w:w="1161" w:type="dxa"/>
            <w:vAlign w:val="top"/>
          </w:tcPr>
          <w:p w14:paraId="0FF0A337">
            <w:pPr>
              <w:rPr>
                <w:rFonts w:ascii="Arial"/>
                <w:color w:val="auto"/>
                <w:sz w:val="21"/>
                <w:highlight w:val="none"/>
              </w:rPr>
            </w:pPr>
          </w:p>
        </w:tc>
        <w:tc>
          <w:tcPr>
            <w:tcW w:w="845" w:type="dxa"/>
            <w:vAlign w:val="top"/>
          </w:tcPr>
          <w:p w14:paraId="476A1547">
            <w:pPr>
              <w:rPr>
                <w:rFonts w:ascii="Arial"/>
                <w:color w:val="auto"/>
                <w:sz w:val="21"/>
                <w:highlight w:val="none"/>
              </w:rPr>
            </w:pPr>
          </w:p>
        </w:tc>
        <w:tc>
          <w:tcPr>
            <w:tcW w:w="849" w:type="dxa"/>
            <w:vAlign w:val="top"/>
          </w:tcPr>
          <w:p w14:paraId="67D30EAD">
            <w:pPr>
              <w:rPr>
                <w:rFonts w:ascii="Arial"/>
                <w:color w:val="auto"/>
                <w:sz w:val="21"/>
                <w:highlight w:val="none"/>
              </w:rPr>
            </w:pPr>
          </w:p>
        </w:tc>
        <w:tc>
          <w:tcPr>
            <w:tcW w:w="753" w:type="dxa"/>
            <w:vAlign w:val="top"/>
          </w:tcPr>
          <w:p w14:paraId="7CD4EEA9">
            <w:pPr>
              <w:rPr>
                <w:rFonts w:ascii="Arial"/>
                <w:color w:val="auto"/>
                <w:sz w:val="21"/>
                <w:highlight w:val="none"/>
              </w:rPr>
            </w:pPr>
          </w:p>
        </w:tc>
      </w:tr>
      <w:tr w14:paraId="0D55F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4D3016D0">
            <w:pPr>
              <w:rPr>
                <w:rFonts w:ascii="Arial"/>
                <w:color w:val="auto"/>
                <w:sz w:val="21"/>
                <w:highlight w:val="none"/>
              </w:rPr>
            </w:pPr>
          </w:p>
        </w:tc>
        <w:tc>
          <w:tcPr>
            <w:tcW w:w="1032" w:type="dxa"/>
            <w:vAlign w:val="top"/>
          </w:tcPr>
          <w:p w14:paraId="430B9B3F">
            <w:pPr>
              <w:rPr>
                <w:rFonts w:ascii="Arial"/>
                <w:color w:val="auto"/>
                <w:sz w:val="21"/>
                <w:highlight w:val="none"/>
              </w:rPr>
            </w:pPr>
          </w:p>
        </w:tc>
        <w:tc>
          <w:tcPr>
            <w:tcW w:w="657" w:type="dxa"/>
            <w:vAlign w:val="top"/>
          </w:tcPr>
          <w:p w14:paraId="61AD9AC1">
            <w:pPr>
              <w:rPr>
                <w:rFonts w:ascii="Arial"/>
                <w:color w:val="auto"/>
                <w:sz w:val="21"/>
                <w:highlight w:val="none"/>
              </w:rPr>
            </w:pPr>
          </w:p>
        </w:tc>
        <w:tc>
          <w:tcPr>
            <w:tcW w:w="989" w:type="dxa"/>
            <w:vAlign w:val="top"/>
          </w:tcPr>
          <w:p w14:paraId="7E7C754C">
            <w:pPr>
              <w:rPr>
                <w:rFonts w:ascii="Arial"/>
                <w:color w:val="auto"/>
                <w:sz w:val="21"/>
                <w:highlight w:val="none"/>
              </w:rPr>
            </w:pPr>
          </w:p>
        </w:tc>
        <w:tc>
          <w:tcPr>
            <w:tcW w:w="696" w:type="dxa"/>
            <w:vAlign w:val="top"/>
          </w:tcPr>
          <w:p w14:paraId="545564C6">
            <w:pPr>
              <w:rPr>
                <w:rFonts w:ascii="Arial"/>
                <w:color w:val="auto"/>
                <w:sz w:val="21"/>
                <w:highlight w:val="none"/>
              </w:rPr>
            </w:pPr>
          </w:p>
        </w:tc>
        <w:tc>
          <w:tcPr>
            <w:tcW w:w="691" w:type="dxa"/>
            <w:vAlign w:val="top"/>
          </w:tcPr>
          <w:p w14:paraId="38D0458F">
            <w:pPr>
              <w:rPr>
                <w:rFonts w:ascii="Arial"/>
                <w:color w:val="auto"/>
                <w:sz w:val="21"/>
                <w:highlight w:val="none"/>
              </w:rPr>
            </w:pPr>
          </w:p>
        </w:tc>
        <w:tc>
          <w:tcPr>
            <w:tcW w:w="1161" w:type="dxa"/>
            <w:vAlign w:val="top"/>
          </w:tcPr>
          <w:p w14:paraId="57EFA0A1">
            <w:pPr>
              <w:rPr>
                <w:rFonts w:ascii="Arial"/>
                <w:color w:val="auto"/>
                <w:sz w:val="21"/>
                <w:highlight w:val="none"/>
              </w:rPr>
            </w:pPr>
          </w:p>
        </w:tc>
        <w:tc>
          <w:tcPr>
            <w:tcW w:w="845" w:type="dxa"/>
            <w:vAlign w:val="top"/>
          </w:tcPr>
          <w:p w14:paraId="6BFDA0D6">
            <w:pPr>
              <w:rPr>
                <w:rFonts w:ascii="Arial"/>
                <w:color w:val="auto"/>
                <w:sz w:val="21"/>
                <w:highlight w:val="none"/>
              </w:rPr>
            </w:pPr>
          </w:p>
        </w:tc>
        <w:tc>
          <w:tcPr>
            <w:tcW w:w="849" w:type="dxa"/>
            <w:vAlign w:val="top"/>
          </w:tcPr>
          <w:p w14:paraId="1BE51D35">
            <w:pPr>
              <w:rPr>
                <w:rFonts w:ascii="Arial"/>
                <w:color w:val="auto"/>
                <w:sz w:val="21"/>
                <w:highlight w:val="none"/>
              </w:rPr>
            </w:pPr>
          </w:p>
        </w:tc>
        <w:tc>
          <w:tcPr>
            <w:tcW w:w="753" w:type="dxa"/>
            <w:vAlign w:val="top"/>
          </w:tcPr>
          <w:p w14:paraId="6EB0B8C2">
            <w:pPr>
              <w:rPr>
                <w:rFonts w:ascii="Arial"/>
                <w:color w:val="auto"/>
                <w:sz w:val="21"/>
                <w:highlight w:val="none"/>
              </w:rPr>
            </w:pPr>
          </w:p>
        </w:tc>
      </w:tr>
      <w:tr w14:paraId="5B951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14A12B4D">
            <w:pPr>
              <w:rPr>
                <w:rFonts w:ascii="Arial"/>
                <w:color w:val="auto"/>
                <w:sz w:val="21"/>
                <w:highlight w:val="none"/>
              </w:rPr>
            </w:pPr>
          </w:p>
        </w:tc>
        <w:tc>
          <w:tcPr>
            <w:tcW w:w="1032" w:type="dxa"/>
            <w:vAlign w:val="top"/>
          </w:tcPr>
          <w:p w14:paraId="00FC9025">
            <w:pPr>
              <w:rPr>
                <w:rFonts w:ascii="Arial"/>
                <w:color w:val="auto"/>
                <w:sz w:val="21"/>
                <w:highlight w:val="none"/>
              </w:rPr>
            </w:pPr>
          </w:p>
        </w:tc>
        <w:tc>
          <w:tcPr>
            <w:tcW w:w="657" w:type="dxa"/>
            <w:vAlign w:val="top"/>
          </w:tcPr>
          <w:p w14:paraId="02ED9D01">
            <w:pPr>
              <w:rPr>
                <w:rFonts w:ascii="Arial"/>
                <w:color w:val="auto"/>
                <w:sz w:val="21"/>
                <w:highlight w:val="none"/>
              </w:rPr>
            </w:pPr>
          </w:p>
        </w:tc>
        <w:tc>
          <w:tcPr>
            <w:tcW w:w="989" w:type="dxa"/>
            <w:vAlign w:val="top"/>
          </w:tcPr>
          <w:p w14:paraId="6DAF69CB">
            <w:pPr>
              <w:rPr>
                <w:rFonts w:ascii="Arial"/>
                <w:color w:val="auto"/>
                <w:sz w:val="21"/>
                <w:highlight w:val="none"/>
              </w:rPr>
            </w:pPr>
          </w:p>
        </w:tc>
        <w:tc>
          <w:tcPr>
            <w:tcW w:w="696" w:type="dxa"/>
            <w:vAlign w:val="top"/>
          </w:tcPr>
          <w:p w14:paraId="2573F6F4">
            <w:pPr>
              <w:rPr>
                <w:rFonts w:ascii="Arial"/>
                <w:color w:val="auto"/>
                <w:sz w:val="21"/>
                <w:highlight w:val="none"/>
              </w:rPr>
            </w:pPr>
          </w:p>
        </w:tc>
        <w:tc>
          <w:tcPr>
            <w:tcW w:w="691" w:type="dxa"/>
            <w:vAlign w:val="top"/>
          </w:tcPr>
          <w:p w14:paraId="62A785EB">
            <w:pPr>
              <w:rPr>
                <w:rFonts w:ascii="Arial"/>
                <w:color w:val="auto"/>
                <w:sz w:val="21"/>
                <w:highlight w:val="none"/>
              </w:rPr>
            </w:pPr>
          </w:p>
        </w:tc>
        <w:tc>
          <w:tcPr>
            <w:tcW w:w="1161" w:type="dxa"/>
            <w:vAlign w:val="top"/>
          </w:tcPr>
          <w:p w14:paraId="040B379C">
            <w:pPr>
              <w:rPr>
                <w:rFonts w:ascii="Arial"/>
                <w:color w:val="auto"/>
                <w:sz w:val="21"/>
                <w:highlight w:val="none"/>
              </w:rPr>
            </w:pPr>
          </w:p>
        </w:tc>
        <w:tc>
          <w:tcPr>
            <w:tcW w:w="845" w:type="dxa"/>
            <w:vAlign w:val="top"/>
          </w:tcPr>
          <w:p w14:paraId="5EB652AC">
            <w:pPr>
              <w:rPr>
                <w:rFonts w:ascii="Arial"/>
                <w:color w:val="auto"/>
                <w:sz w:val="21"/>
                <w:highlight w:val="none"/>
              </w:rPr>
            </w:pPr>
          </w:p>
        </w:tc>
        <w:tc>
          <w:tcPr>
            <w:tcW w:w="849" w:type="dxa"/>
            <w:vAlign w:val="top"/>
          </w:tcPr>
          <w:p w14:paraId="3F50D549">
            <w:pPr>
              <w:rPr>
                <w:rFonts w:ascii="Arial"/>
                <w:color w:val="auto"/>
                <w:sz w:val="21"/>
                <w:highlight w:val="none"/>
              </w:rPr>
            </w:pPr>
          </w:p>
        </w:tc>
        <w:tc>
          <w:tcPr>
            <w:tcW w:w="753" w:type="dxa"/>
            <w:vAlign w:val="top"/>
          </w:tcPr>
          <w:p w14:paraId="0BD31735">
            <w:pPr>
              <w:rPr>
                <w:rFonts w:ascii="Arial"/>
                <w:color w:val="auto"/>
                <w:sz w:val="21"/>
                <w:highlight w:val="none"/>
              </w:rPr>
            </w:pPr>
          </w:p>
        </w:tc>
      </w:tr>
      <w:tr w14:paraId="6C220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16542EF7">
            <w:pPr>
              <w:rPr>
                <w:rFonts w:ascii="Arial"/>
                <w:color w:val="auto"/>
                <w:sz w:val="21"/>
                <w:highlight w:val="none"/>
              </w:rPr>
            </w:pPr>
          </w:p>
        </w:tc>
        <w:tc>
          <w:tcPr>
            <w:tcW w:w="1032" w:type="dxa"/>
            <w:vAlign w:val="top"/>
          </w:tcPr>
          <w:p w14:paraId="4C4CA041">
            <w:pPr>
              <w:rPr>
                <w:rFonts w:ascii="Arial"/>
                <w:color w:val="auto"/>
                <w:sz w:val="21"/>
                <w:highlight w:val="none"/>
              </w:rPr>
            </w:pPr>
          </w:p>
        </w:tc>
        <w:tc>
          <w:tcPr>
            <w:tcW w:w="657" w:type="dxa"/>
            <w:vAlign w:val="top"/>
          </w:tcPr>
          <w:p w14:paraId="17B4B112">
            <w:pPr>
              <w:rPr>
                <w:rFonts w:ascii="Arial"/>
                <w:color w:val="auto"/>
                <w:sz w:val="21"/>
                <w:highlight w:val="none"/>
              </w:rPr>
            </w:pPr>
          </w:p>
        </w:tc>
        <w:tc>
          <w:tcPr>
            <w:tcW w:w="989" w:type="dxa"/>
            <w:vAlign w:val="top"/>
          </w:tcPr>
          <w:p w14:paraId="7C591714">
            <w:pPr>
              <w:rPr>
                <w:rFonts w:ascii="Arial"/>
                <w:color w:val="auto"/>
                <w:sz w:val="21"/>
                <w:highlight w:val="none"/>
              </w:rPr>
            </w:pPr>
          </w:p>
        </w:tc>
        <w:tc>
          <w:tcPr>
            <w:tcW w:w="696" w:type="dxa"/>
            <w:vAlign w:val="top"/>
          </w:tcPr>
          <w:p w14:paraId="198822C4">
            <w:pPr>
              <w:rPr>
                <w:rFonts w:ascii="Arial"/>
                <w:color w:val="auto"/>
                <w:sz w:val="21"/>
                <w:highlight w:val="none"/>
              </w:rPr>
            </w:pPr>
          </w:p>
        </w:tc>
        <w:tc>
          <w:tcPr>
            <w:tcW w:w="691" w:type="dxa"/>
            <w:vAlign w:val="top"/>
          </w:tcPr>
          <w:p w14:paraId="50BE9A37">
            <w:pPr>
              <w:rPr>
                <w:rFonts w:ascii="Arial"/>
                <w:color w:val="auto"/>
                <w:sz w:val="21"/>
                <w:highlight w:val="none"/>
              </w:rPr>
            </w:pPr>
          </w:p>
        </w:tc>
        <w:tc>
          <w:tcPr>
            <w:tcW w:w="1161" w:type="dxa"/>
            <w:vAlign w:val="top"/>
          </w:tcPr>
          <w:p w14:paraId="57196BB4">
            <w:pPr>
              <w:rPr>
                <w:rFonts w:ascii="Arial"/>
                <w:color w:val="auto"/>
                <w:sz w:val="21"/>
                <w:highlight w:val="none"/>
              </w:rPr>
            </w:pPr>
          </w:p>
        </w:tc>
        <w:tc>
          <w:tcPr>
            <w:tcW w:w="845" w:type="dxa"/>
            <w:vAlign w:val="top"/>
          </w:tcPr>
          <w:p w14:paraId="059603E1">
            <w:pPr>
              <w:rPr>
                <w:rFonts w:ascii="Arial"/>
                <w:color w:val="auto"/>
                <w:sz w:val="21"/>
                <w:highlight w:val="none"/>
              </w:rPr>
            </w:pPr>
          </w:p>
        </w:tc>
        <w:tc>
          <w:tcPr>
            <w:tcW w:w="849" w:type="dxa"/>
            <w:vAlign w:val="top"/>
          </w:tcPr>
          <w:p w14:paraId="597FE956">
            <w:pPr>
              <w:rPr>
                <w:rFonts w:ascii="Arial"/>
                <w:color w:val="auto"/>
                <w:sz w:val="21"/>
                <w:highlight w:val="none"/>
              </w:rPr>
            </w:pPr>
          </w:p>
        </w:tc>
        <w:tc>
          <w:tcPr>
            <w:tcW w:w="753" w:type="dxa"/>
            <w:vAlign w:val="top"/>
          </w:tcPr>
          <w:p w14:paraId="142CBBAD">
            <w:pPr>
              <w:rPr>
                <w:rFonts w:ascii="Arial"/>
                <w:color w:val="auto"/>
                <w:sz w:val="21"/>
                <w:highlight w:val="none"/>
              </w:rPr>
            </w:pPr>
          </w:p>
        </w:tc>
      </w:tr>
      <w:tr w14:paraId="4DE32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768FD0D5">
            <w:pPr>
              <w:rPr>
                <w:rFonts w:ascii="Arial"/>
                <w:color w:val="auto"/>
                <w:sz w:val="21"/>
                <w:highlight w:val="none"/>
              </w:rPr>
            </w:pPr>
          </w:p>
        </w:tc>
        <w:tc>
          <w:tcPr>
            <w:tcW w:w="1032" w:type="dxa"/>
            <w:vAlign w:val="top"/>
          </w:tcPr>
          <w:p w14:paraId="0E2531AA">
            <w:pPr>
              <w:rPr>
                <w:rFonts w:ascii="Arial"/>
                <w:color w:val="auto"/>
                <w:sz w:val="21"/>
                <w:highlight w:val="none"/>
              </w:rPr>
            </w:pPr>
          </w:p>
        </w:tc>
        <w:tc>
          <w:tcPr>
            <w:tcW w:w="657" w:type="dxa"/>
            <w:vAlign w:val="top"/>
          </w:tcPr>
          <w:p w14:paraId="05FD9FDF">
            <w:pPr>
              <w:rPr>
                <w:rFonts w:ascii="Arial"/>
                <w:color w:val="auto"/>
                <w:sz w:val="21"/>
                <w:highlight w:val="none"/>
              </w:rPr>
            </w:pPr>
          </w:p>
        </w:tc>
        <w:tc>
          <w:tcPr>
            <w:tcW w:w="989" w:type="dxa"/>
            <w:vAlign w:val="top"/>
          </w:tcPr>
          <w:p w14:paraId="5CEDEA78">
            <w:pPr>
              <w:rPr>
                <w:rFonts w:ascii="Arial"/>
                <w:color w:val="auto"/>
                <w:sz w:val="21"/>
                <w:highlight w:val="none"/>
              </w:rPr>
            </w:pPr>
          </w:p>
        </w:tc>
        <w:tc>
          <w:tcPr>
            <w:tcW w:w="696" w:type="dxa"/>
            <w:vAlign w:val="top"/>
          </w:tcPr>
          <w:p w14:paraId="2F216902">
            <w:pPr>
              <w:rPr>
                <w:rFonts w:ascii="Arial"/>
                <w:color w:val="auto"/>
                <w:sz w:val="21"/>
                <w:highlight w:val="none"/>
              </w:rPr>
            </w:pPr>
          </w:p>
        </w:tc>
        <w:tc>
          <w:tcPr>
            <w:tcW w:w="691" w:type="dxa"/>
            <w:vAlign w:val="top"/>
          </w:tcPr>
          <w:p w14:paraId="36BD188F">
            <w:pPr>
              <w:rPr>
                <w:rFonts w:ascii="Arial"/>
                <w:color w:val="auto"/>
                <w:sz w:val="21"/>
                <w:highlight w:val="none"/>
              </w:rPr>
            </w:pPr>
          </w:p>
        </w:tc>
        <w:tc>
          <w:tcPr>
            <w:tcW w:w="1161" w:type="dxa"/>
            <w:vAlign w:val="top"/>
          </w:tcPr>
          <w:p w14:paraId="1F979B05">
            <w:pPr>
              <w:rPr>
                <w:rFonts w:ascii="Arial"/>
                <w:color w:val="auto"/>
                <w:sz w:val="21"/>
                <w:highlight w:val="none"/>
              </w:rPr>
            </w:pPr>
          </w:p>
        </w:tc>
        <w:tc>
          <w:tcPr>
            <w:tcW w:w="845" w:type="dxa"/>
            <w:vAlign w:val="top"/>
          </w:tcPr>
          <w:p w14:paraId="45DCFC14">
            <w:pPr>
              <w:rPr>
                <w:rFonts w:ascii="Arial"/>
                <w:color w:val="auto"/>
                <w:sz w:val="21"/>
                <w:highlight w:val="none"/>
              </w:rPr>
            </w:pPr>
          </w:p>
        </w:tc>
        <w:tc>
          <w:tcPr>
            <w:tcW w:w="849" w:type="dxa"/>
            <w:vAlign w:val="top"/>
          </w:tcPr>
          <w:p w14:paraId="7CE798DF">
            <w:pPr>
              <w:rPr>
                <w:rFonts w:ascii="Arial"/>
                <w:color w:val="auto"/>
                <w:sz w:val="21"/>
                <w:highlight w:val="none"/>
              </w:rPr>
            </w:pPr>
          </w:p>
        </w:tc>
        <w:tc>
          <w:tcPr>
            <w:tcW w:w="753" w:type="dxa"/>
            <w:vAlign w:val="top"/>
          </w:tcPr>
          <w:p w14:paraId="24A1D8B7">
            <w:pPr>
              <w:rPr>
                <w:rFonts w:ascii="Arial"/>
                <w:color w:val="auto"/>
                <w:sz w:val="21"/>
                <w:highlight w:val="none"/>
              </w:rPr>
            </w:pPr>
          </w:p>
        </w:tc>
      </w:tr>
      <w:tr w14:paraId="1C891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450ED11D">
            <w:pPr>
              <w:rPr>
                <w:rFonts w:ascii="Arial"/>
                <w:color w:val="auto"/>
                <w:sz w:val="21"/>
                <w:highlight w:val="none"/>
              </w:rPr>
            </w:pPr>
          </w:p>
        </w:tc>
        <w:tc>
          <w:tcPr>
            <w:tcW w:w="1032" w:type="dxa"/>
            <w:vAlign w:val="top"/>
          </w:tcPr>
          <w:p w14:paraId="7A88C153">
            <w:pPr>
              <w:rPr>
                <w:rFonts w:ascii="Arial"/>
                <w:color w:val="auto"/>
                <w:sz w:val="21"/>
                <w:highlight w:val="none"/>
              </w:rPr>
            </w:pPr>
          </w:p>
        </w:tc>
        <w:tc>
          <w:tcPr>
            <w:tcW w:w="657" w:type="dxa"/>
            <w:vAlign w:val="top"/>
          </w:tcPr>
          <w:p w14:paraId="1EEDFB6A">
            <w:pPr>
              <w:rPr>
                <w:rFonts w:ascii="Arial"/>
                <w:color w:val="auto"/>
                <w:sz w:val="21"/>
                <w:highlight w:val="none"/>
              </w:rPr>
            </w:pPr>
          </w:p>
        </w:tc>
        <w:tc>
          <w:tcPr>
            <w:tcW w:w="989" w:type="dxa"/>
            <w:vAlign w:val="top"/>
          </w:tcPr>
          <w:p w14:paraId="09F6BBDD">
            <w:pPr>
              <w:rPr>
                <w:rFonts w:ascii="Arial"/>
                <w:color w:val="auto"/>
                <w:sz w:val="21"/>
                <w:highlight w:val="none"/>
              </w:rPr>
            </w:pPr>
          </w:p>
        </w:tc>
        <w:tc>
          <w:tcPr>
            <w:tcW w:w="696" w:type="dxa"/>
            <w:vAlign w:val="top"/>
          </w:tcPr>
          <w:p w14:paraId="021DFBE0">
            <w:pPr>
              <w:rPr>
                <w:rFonts w:ascii="Arial"/>
                <w:color w:val="auto"/>
                <w:sz w:val="21"/>
                <w:highlight w:val="none"/>
              </w:rPr>
            </w:pPr>
          </w:p>
        </w:tc>
        <w:tc>
          <w:tcPr>
            <w:tcW w:w="691" w:type="dxa"/>
            <w:vAlign w:val="top"/>
          </w:tcPr>
          <w:p w14:paraId="10548DAD">
            <w:pPr>
              <w:rPr>
                <w:rFonts w:ascii="Arial"/>
                <w:color w:val="auto"/>
                <w:sz w:val="21"/>
                <w:highlight w:val="none"/>
              </w:rPr>
            </w:pPr>
          </w:p>
        </w:tc>
        <w:tc>
          <w:tcPr>
            <w:tcW w:w="1161" w:type="dxa"/>
            <w:vAlign w:val="top"/>
          </w:tcPr>
          <w:p w14:paraId="0072CDC2">
            <w:pPr>
              <w:rPr>
                <w:rFonts w:ascii="Arial"/>
                <w:color w:val="auto"/>
                <w:sz w:val="21"/>
                <w:highlight w:val="none"/>
              </w:rPr>
            </w:pPr>
          </w:p>
        </w:tc>
        <w:tc>
          <w:tcPr>
            <w:tcW w:w="845" w:type="dxa"/>
            <w:vAlign w:val="top"/>
          </w:tcPr>
          <w:p w14:paraId="350082D8">
            <w:pPr>
              <w:rPr>
                <w:rFonts w:ascii="Arial"/>
                <w:color w:val="auto"/>
                <w:sz w:val="21"/>
                <w:highlight w:val="none"/>
              </w:rPr>
            </w:pPr>
          </w:p>
        </w:tc>
        <w:tc>
          <w:tcPr>
            <w:tcW w:w="849" w:type="dxa"/>
            <w:vAlign w:val="top"/>
          </w:tcPr>
          <w:p w14:paraId="220D09F3">
            <w:pPr>
              <w:rPr>
                <w:rFonts w:ascii="Arial"/>
                <w:color w:val="auto"/>
                <w:sz w:val="21"/>
                <w:highlight w:val="none"/>
              </w:rPr>
            </w:pPr>
          </w:p>
        </w:tc>
        <w:tc>
          <w:tcPr>
            <w:tcW w:w="753" w:type="dxa"/>
            <w:vAlign w:val="top"/>
          </w:tcPr>
          <w:p w14:paraId="125EBD7B">
            <w:pPr>
              <w:rPr>
                <w:rFonts w:ascii="Arial"/>
                <w:color w:val="auto"/>
                <w:sz w:val="21"/>
                <w:highlight w:val="none"/>
              </w:rPr>
            </w:pPr>
          </w:p>
        </w:tc>
      </w:tr>
      <w:tr w14:paraId="78A7B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464C477D">
            <w:pPr>
              <w:rPr>
                <w:rFonts w:ascii="Arial"/>
                <w:color w:val="auto"/>
                <w:sz w:val="21"/>
                <w:highlight w:val="none"/>
              </w:rPr>
            </w:pPr>
          </w:p>
        </w:tc>
        <w:tc>
          <w:tcPr>
            <w:tcW w:w="1032" w:type="dxa"/>
            <w:vAlign w:val="top"/>
          </w:tcPr>
          <w:p w14:paraId="5F1EF8F0">
            <w:pPr>
              <w:rPr>
                <w:rFonts w:ascii="Arial"/>
                <w:color w:val="auto"/>
                <w:sz w:val="21"/>
                <w:highlight w:val="none"/>
              </w:rPr>
            </w:pPr>
          </w:p>
        </w:tc>
        <w:tc>
          <w:tcPr>
            <w:tcW w:w="657" w:type="dxa"/>
            <w:vAlign w:val="top"/>
          </w:tcPr>
          <w:p w14:paraId="5318787D">
            <w:pPr>
              <w:rPr>
                <w:rFonts w:ascii="Arial"/>
                <w:color w:val="auto"/>
                <w:sz w:val="21"/>
                <w:highlight w:val="none"/>
              </w:rPr>
            </w:pPr>
          </w:p>
        </w:tc>
        <w:tc>
          <w:tcPr>
            <w:tcW w:w="989" w:type="dxa"/>
            <w:vAlign w:val="top"/>
          </w:tcPr>
          <w:p w14:paraId="75790112">
            <w:pPr>
              <w:rPr>
                <w:rFonts w:ascii="Arial"/>
                <w:color w:val="auto"/>
                <w:sz w:val="21"/>
                <w:highlight w:val="none"/>
              </w:rPr>
            </w:pPr>
          </w:p>
        </w:tc>
        <w:tc>
          <w:tcPr>
            <w:tcW w:w="696" w:type="dxa"/>
            <w:vAlign w:val="top"/>
          </w:tcPr>
          <w:p w14:paraId="01106508">
            <w:pPr>
              <w:rPr>
                <w:rFonts w:ascii="Arial"/>
                <w:color w:val="auto"/>
                <w:sz w:val="21"/>
                <w:highlight w:val="none"/>
              </w:rPr>
            </w:pPr>
          </w:p>
        </w:tc>
        <w:tc>
          <w:tcPr>
            <w:tcW w:w="691" w:type="dxa"/>
            <w:vAlign w:val="top"/>
          </w:tcPr>
          <w:p w14:paraId="6E8CC299">
            <w:pPr>
              <w:rPr>
                <w:rFonts w:ascii="Arial"/>
                <w:color w:val="auto"/>
                <w:sz w:val="21"/>
                <w:highlight w:val="none"/>
              </w:rPr>
            </w:pPr>
          </w:p>
        </w:tc>
        <w:tc>
          <w:tcPr>
            <w:tcW w:w="1161" w:type="dxa"/>
            <w:vAlign w:val="top"/>
          </w:tcPr>
          <w:p w14:paraId="6A82C6DB">
            <w:pPr>
              <w:rPr>
                <w:rFonts w:ascii="Arial"/>
                <w:color w:val="auto"/>
                <w:sz w:val="21"/>
                <w:highlight w:val="none"/>
              </w:rPr>
            </w:pPr>
          </w:p>
        </w:tc>
        <w:tc>
          <w:tcPr>
            <w:tcW w:w="845" w:type="dxa"/>
            <w:vAlign w:val="top"/>
          </w:tcPr>
          <w:p w14:paraId="4651E3C6">
            <w:pPr>
              <w:rPr>
                <w:rFonts w:ascii="Arial"/>
                <w:color w:val="auto"/>
                <w:sz w:val="21"/>
                <w:highlight w:val="none"/>
              </w:rPr>
            </w:pPr>
          </w:p>
        </w:tc>
        <w:tc>
          <w:tcPr>
            <w:tcW w:w="849" w:type="dxa"/>
            <w:vAlign w:val="top"/>
          </w:tcPr>
          <w:p w14:paraId="2FFB4912">
            <w:pPr>
              <w:rPr>
                <w:rFonts w:ascii="Arial"/>
                <w:color w:val="auto"/>
                <w:sz w:val="21"/>
                <w:highlight w:val="none"/>
              </w:rPr>
            </w:pPr>
          </w:p>
        </w:tc>
        <w:tc>
          <w:tcPr>
            <w:tcW w:w="753" w:type="dxa"/>
            <w:vAlign w:val="top"/>
          </w:tcPr>
          <w:p w14:paraId="06EA52B0">
            <w:pPr>
              <w:rPr>
                <w:rFonts w:ascii="Arial"/>
                <w:color w:val="auto"/>
                <w:sz w:val="21"/>
                <w:highlight w:val="none"/>
              </w:rPr>
            </w:pPr>
          </w:p>
        </w:tc>
      </w:tr>
      <w:tr w14:paraId="066EB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5EE31960">
            <w:pPr>
              <w:rPr>
                <w:rFonts w:ascii="Arial"/>
                <w:color w:val="auto"/>
                <w:sz w:val="21"/>
                <w:highlight w:val="none"/>
              </w:rPr>
            </w:pPr>
          </w:p>
        </w:tc>
        <w:tc>
          <w:tcPr>
            <w:tcW w:w="1032" w:type="dxa"/>
            <w:vAlign w:val="top"/>
          </w:tcPr>
          <w:p w14:paraId="493FA32F">
            <w:pPr>
              <w:rPr>
                <w:rFonts w:ascii="Arial"/>
                <w:color w:val="auto"/>
                <w:sz w:val="21"/>
                <w:highlight w:val="none"/>
              </w:rPr>
            </w:pPr>
          </w:p>
        </w:tc>
        <w:tc>
          <w:tcPr>
            <w:tcW w:w="657" w:type="dxa"/>
            <w:vAlign w:val="top"/>
          </w:tcPr>
          <w:p w14:paraId="04815439">
            <w:pPr>
              <w:rPr>
                <w:rFonts w:ascii="Arial"/>
                <w:color w:val="auto"/>
                <w:sz w:val="21"/>
                <w:highlight w:val="none"/>
              </w:rPr>
            </w:pPr>
          </w:p>
        </w:tc>
        <w:tc>
          <w:tcPr>
            <w:tcW w:w="989" w:type="dxa"/>
            <w:vAlign w:val="top"/>
          </w:tcPr>
          <w:p w14:paraId="0A6DD054">
            <w:pPr>
              <w:rPr>
                <w:rFonts w:ascii="Arial"/>
                <w:color w:val="auto"/>
                <w:sz w:val="21"/>
                <w:highlight w:val="none"/>
              </w:rPr>
            </w:pPr>
          </w:p>
        </w:tc>
        <w:tc>
          <w:tcPr>
            <w:tcW w:w="696" w:type="dxa"/>
            <w:vAlign w:val="top"/>
          </w:tcPr>
          <w:p w14:paraId="5853D2E9">
            <w:pPr>
              <w:rPr>
                <w:rFonts w:ascii="Arial"/>
                <w:color w:val="auto"/>
                <w:sz w:val="21"/>
                <w:highlight w:val="none"/>
              </w:rPr>
            </w:pPr>
          </w:p>
        </w:tc>
        <w:tc>
          <w:tcPr>
            <w:tcW w:w="691" w:type="dxa"/>
            <w:vAlign w:val="top"/>
          </w:tcPr>
          <w:p w14:paraId="6FD13C0B">
            <w:pPr>
              <w:rPr>
                <w:rFonts w:ascii="Arial"/>
                <w:color w:val="auto"/>
                <w:sz w:val="21"/>
                <w:highlight w:val="none"/>
              </w:rPr>
            </w:pPr>
          </w:p>
        </w:tc>
        <w:tc>
          <w:tcPr>
            <w:tcW w:w="1161" w:type="dxa"/>
            <w:vAlign w:val="top"/>
          </w:tcPr>
          <w:p w14:paraId="178E643C">
            <w:pPr>
              <w:rPr>
                <w:rFonts w:ascii="Arial"/>
                <w:color w:val="auto"/>
                <w:sz w:val="21"/>
                <w:highlight w:val="none"/>
              </w:rPr>
            </w:pPr>
          </w:p>
        </w:tc>
        <w:tc>
          <w:tcPr>
            <w:tcW w:w="845" w:type="dxa"/>
            <w:vAlign w:val="top"/>
          </w:tcPr>
          <w:p w14:paraId="0DF0162B">
            <w:pPr>
              <w:rPr>
                <w:rFonts w:ascii="Arial"/>
                <w:color w:val="auto"/>
                <w:sz w:val="21"/>
                <w:highlight w:val="none"/>
              </w:rPr>
            </w:pPr>
          </w:p>
        </w:tc>
        <w:tc>
          <w:tcPr>
            <w:tcW w:w="849" w:type="dxa"/>
            <w:vAlign w:val="top"/>
          </w:tcPr>
          <w:p w14:paraId="44553578">
            <w:pPr>
              <w:rPr>
                <w:rFonts w:ascii="Arial"/>
                <w:color w:val="auto"/>
                <w:sz w:val="21"/>
                <w:highlight w:val="none"/>
              </w:rPr>
            </w:pPr>
          </w:p>
        </w:tc>
        <w:tc>
          <w:tcPr>
            <w:tcW w:w="753" w:type="dxa"/>
            <w:vAlign w:val="top"/>
          </w:tcPr>
          <w:p w14:paraId="608D4038">
            <w:pPr>
              <w:rPr>
                <w:rFonts w:ascii="Arial"/>
                <w:color w:val="auto"/>
                <w:sz w:val="21"/>
                <w:highlight w:val="none"/>
              </w:rPr>
            </w:pPr>
          </w:p>
        </w:tc>
      </w:tr>
      <w:tr w14:paraId="63732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7EB9C320">
            <w:pPr>
              <w:rPr>
                <w:rFonts w:ascii="Arial"/>
                <w:color w:val="auto"/>
                <w:sz w:val="21"/>
                <w:highlight w:val="none"/>
              </w:rPr>
            </w:pPr>
          </w:p>
        </w:tc>
        <w:tc>
          <w:tcPr>
            <w:tcW w:w="1032" w:type="dxa"/>
            <w:vAlign w:val="top"/>
          </w:tcPr>
          <w:p w14:paraId="77DAB0FF">
            <w:pPr>
              <w:rPr>
                <w:rFonts w:ascii="Arial"/>
                <w:color w:val="auto"/>
                <w:sz w:val="21"/>
                <w:highlight w:val="none"/>
              </w:rPr>
            </w:pPr>
          </w:p>
        </w:tc>
        <w:tc>
          <w:tcPr>
            <w:tcW w:w="657" w:type="dxa"/>
            <w:vAlign w:val="top"/>
          </w:tcPr>
          <w:p w14:paraId="3ECFBB48">
            <w:pPr>
              <w:rPr>
                <w:rFonts w:ascii="Arial"/>
                <w:color w:val="auto"/>
                <w:sz w:val="21"/>
                <w:highlight w:val="none"/>
              </w:rPr>
            </w:pPr>
          </w:p>
        </w:tc>
        <w:tc>
          <w:tcPr>
            <w:tcW w:w="989" w:type="dxa"/>
            <w:vAlign w:val="top"/>
          </w:tcPr>
          <w:p w14:paraId="56B118E0">
            <w:pPr>
              <w:rPr>
                <w:rFonts w:ascii="Arial"/>
                <w:color w:val="auto"/>
                <w:sz w:val="21"/>
                <w:highlight w:val="none"/>
              </w:rPr>
            </w:pPr>
          </w:p>
        </w:tc>
        <w:tc>
          <w:tcPr>
            <w:tcW w:w="696" w:type="dxa"/>
            <w:vAlign w:val="top"/>
          </w:tcPr>
          <w:p w14:paraId="028B2A4C">
            <w:pPr>
              <w:rPr>
                <w:rFonts w:ascii="Arial"/>
                <w:color w:val="auto"/>
                <w:sz w:val="21"/>
                <w:highlight w:val="none"/>
              </w:rPr>
            </w:pPr>
          </w:p>
        </w:tc>
        <w:tc>
          <w:tcPr>
            <w:tcW w:w="691" w:type="dxa"/>
            <w:vAlign w:val="top"/>
          </w:tcPr>
          <w:p w14:paraId="1FA03553">
            <w:pPr>
              <w:rPr>
                <w:rFonts w:ascii="Arial"/>
                <w:color w:val="auto"/>
                <w:sz w:val="21"/>
                <w:highlight w:val="none"/>
              </w:rPr>
            </w:pPr>
          </w:p>
        </w:tc>
        <w:tc>
          <w:tcPr>
            <w:tcW w:w="1161" w:type="dxa"/>
            <w:vAlign w:val="top"/>
          </w:tcPr>
          <w:p w14:paraId="07ABCCF1">
            <w:pPr>
              <w:rPr>
                <w:rFonts w:ascii="Arial"/>
                <w:color w:val="auto"/>
                <w:sz w:val="21"/>
                <w:highlight w:val="none"/>
              </w:rPr>
            </w:pPr>
          </w:p>
        </w:tc>
        <w:tc>
          <w:tcPr>
            <w:tcW w:w="845" w:type="dxa"/>
            <w:vAlign w:val="top"/>
          </w:tcPr>
          <w:p w14:paraId="0BD8DB5E">
            <w:pPr>
              <w:rPr>
                <w:rFonts w:ascii="Arial"/>
                <w:color w:val="auto"/>
                <w:sz w:val="21"/>
                <w:highlight w:val="none"/>
              </w:rPr>
            </w:pPr>
          </w:p>
        </w:tc>
        <w:tc>
          <w:tcPr>
            <w:tcW w:w="849" w:type="dxa"/>
            <w:vAlign w:val="top"/>
          </w:tcPr>
          <w:p w14:paraId="5D4F8D91">
            <w:pPr>
              <w:rPr>
                <w:rFonts w:ascii="Arial"/>
                <w:color w:val="auto"/>
                <w:sz w:val="21"/>
                <w:highlight w:val="none"/>
              </w:rPr>
            </w:pPr>
          </w:p>
        </w:tc>
        <w:tc>
          <w:tcPr>
            <w:tcW w:w="753" w:type="dxa"/>
            <w:vAlign w:val="top"/>
          </w:tcPr>
          <w:p w14:paraId="1823A5F1">
            <w:pPr>
              <w:rPr>
                <w:rFonts w:ascii="Arial"/>
                <w:color w:val="auto"/>
                <w:sz w:val="21"/>
                <w:highlight w:val="none"/>
              </w:rPr>
            </w:pPr>
          </w:p>
        </w:tc>
      </w:tr>
      <w:tr w14:paraId="2BFD5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4BA5BA53">
            <w:pPr>
              <w:rPr>
                <w:rFonts w:ascii="Arial"/>
                <w:color w:val="auto"/>
                <w:sz w:val="21"/>
                <w:highlight w:val="none"/>
              </w:rPr>
            </w:pPr>
          </w:p>
        </w:tc>
        <w:tc>
          <w:tcPr>
            <w:tcW w:w="1032" w:type="dxa"/>
            <w:vAlign w:val="top"/>
          </w:tcPr>
          <w:p w14:paraId="005BA6C9">
            <w:pPr>
              <w:rPr>
                <w:rFonts w:ascii="Arial"/>
                <w:color w:val="auto"/>
                <w:sz w:val="21"/>
                <w:highlight w:val="none"/>
              </w:rPr>
            </w:pPr>
          </w:p>
        </w:tc>
        <w:tc>
          <w:tcPr>
            <w:tcW w:w="657" w:type="dxa"/>
            <w:vAlign w:val="top"/>
          </w:tcPr>
          <w:p w14:paraId="47F7C0D4">
            <w:pPr>
              <w:rPr>
                <w:rFonts w:ascii="Arial"/>
                <w:color w:val="auto"/>
                <w:sz w:val="21"/>
                <w:highlight w:val="none"/>
              </w:rPr>
            </w:pPr>
          </w:p>
        </w:tc>
        <w:tc>
          <w:tcPr>
            <w:tcW w:w="989" w:type="dxa"/>
            <w:vAlign w:val="top"/>
          </w:tcPr>
          <w:p w14:paraId="61607785">
            <w:pPr>
              <w:rPr>
                <w:rFonts w:ascii="Arial"/>
                <w:color w:val="auto"/>
                <w:sz w:val="21"/>
                <w:highlight w:val="none"/>
              </w:rPr>
            </w:pPr>
          </w:p>
        </w:tc>
        <w:tc>
          <w:tcPr>
            <w:tcW w:w="696" w:type="dxa"/>
            <w:vAlign w:val="top"/>
          </w:tcPr>
          <w:p w14:paraId="5614023A">
            <w:pPr>
              <w:rPr>
                <w:rFonts w:ascii="Arial"/>
                <w:color w:val="auto"/>
                <w:sz w:val="21"/>
                <w:highlight w:val="none"/>
              </w:rPr>
            </w:pPr>
          </w:p>
        </w:tc>
        <w:tc>
          <w:tcPr>
            <w:tcW w:w="691" w:type="dxa"/>
            <w:vAlign w:val="top"/>
          </w:tcPr>
          <w:p w14:paraId="6CB028C2">
            <w:pPr>
              <w:rPr>
                <w:rFonts w:ascii="Arial"/>
                <w:color w:val="auto"/>
                <w:sz w:val="21"/>
                <w:highlight w:val="none"/>
              </w:rPr>
            </w:pPr>
          </w:p>
        </w:tc>
        <w:tc>
          <w:tcPr>
            <w:tcW w:w="1161" w:type="dxa"/>
            <w:vAlign w:val="top"/>
          </w:tcPr>
          <w:p w14:paraId="03DF52F5">
            <w:pPr>
              <w:rPr>
                <w:rFonts w:ascii="Arial"/>
                <w:color w:val="auto"/>
                <w:sz w:val="21"/>
                <w:highlight w:val="none"/>
              </w:rPr>
            </w:pPr>
          </w:p>
        </w:tc>
        <w:tc>
          <w:tcPr>
            <w:tcW w:w="845" w:type="dxa"/>
            <w:vAlign w:val="top"/>
          </w:tcPr>
          <w:p w14:paraId="573E9551">
            <w:pPr>
              <w:rPr>
                <w:rFonts w:ascii="Arial"/>
                <w:color w:val="auto"/>
                <w:sz w:val="21"/>
                <w:highlight w:val="none"/>
              </w:rPr>
            </w:pPr>
          </w:p>
        </w:tc>
        <w:tc>
          <w:tcPr>
            <w:tcW w:w="849" w:type="dxa"/>
            <w:vAlign w:val="top"/>
          </w:tcPr>
          <w:p w14:paraId="66C2F25F">
            <w:pPr>
              <w:rPr>
                <w:rFonts w:ascii="Arial"/>
                <w:color w:val="auto"/>
                <w:sz w:val="21"/>
                <w:highlight w:val="none"/>
              </w:rPr>
            </w:pPr>
          </w:p>
        </w:tc>
        <w:tc>
          <w:tcPr>
            <w:tcW w:w="753" w:type="dxa"/>
            <w:vAlign w:val="top"/>
          </w:tcPr>
          <w:p w14:paraId="3459FCC1">
            <w:pPr>
              <w:rPr>
                <w:rFonts w:ascii="Arial"/>
                <w:color w:val="auto"/>
                <w:sz w:val="21"/>
                <w:highlight w:val="none"/>
              </w:rPr>
            </w:pPr>
          </w:p>
        </w:tc>
      </w:tr>
      <w:tr w14:paraId="25CD5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2" w:hRule="atLeast"/>
        </w:trPr>
        <w:tc>
          <w:tcPr>
            <w:tcW w:w="638" w:type="dxa"/>
            <w:vAlign w:val="top"/>
          </w:tcPr>
          <w:p w14:paraId="009A1F02">
            <w:pPr>
              <w:rPr>
                <w:rFonts w:ascii="Arial"/>
                <w:color w:val="auto"/>
                <w:sz w:val="21"/>
                <w:highlight w:val="none"/>
              </w:rPr>
            </w:pPr>
          </w:p>
        </w:tc>
        <w:tc>
          <w:tcPr>
            <w:tcW w:w="1032" w:type="dxa"/>
            <w:vAlign w:val="top"/>
          </w:tcPr>
          <w:p w14:paraId="31E962C8">
            <w:pPr>
              <w:rPr>
                <w:rFonts w:ascii="Arial"/>
                <w:color w:val="auto"/>
                <w:sz w:val="21"/>
                <w:highlight w:val="none"/>
              </w:rPr>
            </w:pPr>
          </w:p>
        </w:tc>
        <w:tc>
          <w:tcPr>
            <w:tcW w:w="657" w:type="dxa"/>
            <w:vAlign w:val="top"/>
          </w:tcPr>
          <w:p w14:paraId="64FB3E38">
            <w:pPr>
              <w:rPr>
                <w:rFonts w:ascii="Arial"/>
                <w:color w:val="auto"/>
                <w:sz w:val="21"/>
                <w:highlight w:val="none"/>
              </w:rPr>
            </w:pPr>
          </w:p>
        </w:tc>
        <w:tc>
          <w:tcPr>
            <w:tcW w:w="989" w:type="dxa"/>
            <w:vAlign w:val="top"/>
          </w:tcPr>
          <w:p w14:paraId="2DB9D1C4">
            <w:pPr>
              <w:rPr>
                <w:rFonts w:ascii="Arial"/>
                <w:color w:val="auto"/>
                <w:sz w:val="21"/>
                <w:highlight w:val="none"/>
              </w:rPr>
            </w:pPr>
          </w:p>
        </w:tc>
        <w:tc>
          <w:tcPr>
            <w:tcW w:w="696" w:type="dxa"/>
            <w:vAlign w:val="top"/>
          </w:tcPr>
          <w:p w14:paraId="4FC1F084">
            <w:pPr>
              <w:rPr>
                <w:rFonts w:ascii="Arial"/>
                <w:color w:val="auto"/>
                <w:sz w:val="21"/>
                <w:highlight w:val="none"/>
              </w:rPr>
            </w:pPr>
          </w:p>
        </w:tc>
        <w:tc>
          <w:tcPr>
            <w:tcW w:w="691" w:type="dxa"/>
            <w:vAlign w:val="top"/>
          </w:tcPr>
          <w:p w14:paraId="47F7A912">
            <w:pPr>
              <w:rPr>
                <w:rFonts w:ascii="Arial"/>
                <w:color w:val="auto"/>
                <w:sz w:val="21"/>
                <w:highlight w:val="none"/>
              </w:rPr>
            </w:pPr>
          </w:p>
        </w:tc>
        <w:tc>
          <w:tcPr>
            <w:tcW w:w="1161" w:type="dxa"/>
            <w:vAlign w:val="top"/>
          </w:tcPr>
          <w:p w14:paraId="3E42DFF7">
            <w:pPr>
              <w:rPr>
                <w:rFonts w:ascii="Arial"/>
                <w:color w:val="auto"/>
                <w:sz w:val="21"/>
                <w:highlight w:val="none"/>
              </w:rPr>
            </w:pPr>
          </w:p>
        </w:tc>
        <w:tc>
          <w:tcPr>
            <w:tcW w:w="845" w:type="dxa"/>
            <w:vAlign w:val="top"/>
          </w:tcPr>
          <w:p w14:paraId="05863B2E">
            <w:pPr>
              <w:rPr>
                <w:rFonts w:ascii="Arial"/>
                <w:color w:val="auto"/>
                <w:sz w:val="21"/>
                <w:highlight w:val="none"/>
              </w:rPr>
            </w:pPr>
          </w:p>
        </w:tc>
        <w:tc>
          <w:tcPr>
            <w:tcW w:w="849" w:type="dxa"/>
            <w:vAlign w:val="top"/>
          </w:tcPr>
          <w:p w14:paraId="6EC6092D">
            <w:pPr>
              <w:rPr>
                <w:rFonts w:ascii="Arial"/>
                <w:color w:val="auto"/>
                <w:sz w:val="21"/>
                <w:highlight w:val="none"/>
              </w:rPr>
            </w:pPr>
          </w:p>
        </w:tc>
        <w:tc>
          <w:tcPr>
            <w:tcW w:w="753" w:type="dxa"/>
            <w:vAlign w:val="top"/>
          </w:tcPr>
          <w:p w14:paraId="54610795">
            <w:pPr>
              <w:rPr>
                <w:rFonts w:ascii="Arial"/>
                <w:color w:val="auto"/>
                <w:sz w:val="21"/>
                <w:highlight w:val="none"/>
              </w:rPr>
            </w:pPr>
          </w:p>
        </w:tc>
      </w:tr>
      <w:tr w14:paraId="47A36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3EE17AB6">
            <w:pPr>
              <w:rPr>
                <w:rFonts w:ascii="Arial"/>
                <w:color w:val="auto"/>
                <w:sz w:val="21"/>
                <w:highlight w:val="none"/>
              </w:rPr>
            </w:pPr>
          </w:p>
        </w:tc>
        <w:tc>
          <w:tcPr>
            <w:tcW w:w="1032" w:type="dxa"/>
            <w:vAlign w:val="top"/>
          </w:tcPr>
          <w:p w14:paraId="349CE112">
            <w:pPr>
              <w:rPr>
                <w:rFonts w:ascii="Arial"/>
                <w:color w:val="auto"/>
                <w:sz w:val="21"/>
                <w:highlight w:val="none"/>
              </w:rPr>
            </w:pPr>
          </w:p>
        </w:tc>
        <w:tc>
          <w:tcPr>
            <w:tcW w:w="657" w:type="dxa"/>
            <w:vAlign w:val="top"/>
          </w:tcPr>
          <w:p w14:paraId="33DAA046">
            <w:pPr>
              <w:rPr>
                <w:rFonts w:ascii="Arial"/>
                <w:color w:val="auto"/>
                <w:sz w:val="21"/>
                <w:highlight w:val="none"/>
              </w:rPr>
            </w:pPr>
          </w:p>
        </w:tc>
        <w:tc>
          <w:tcPr>
            <w:tcW w:w="989" w:type="dxa"/>
            <w:vAlign w:val="top"/>
          </w:tcPr>
          <w:p w14:paraId="748B6101">
            <w:pPr>
              <w:rPr>
                <w:rFonts w:ascii="Arial"/>
                <w:color w:val="auto"/>
                <w:sz w:val="21"/>
                <w:highlight w:val="none"/>
              </w:rPr>
            </w:pPr>
          </w:p>
        </w:tc>
        <w:tc>
          <w:tcPr>
            <w:tcW w:w="696" w:type="dxa"/>
            <w:vAlign w:val="top"/>
          </w:tcPr>
          <w:p w14:paraId="7426D9C9">
            <w:pPr>
              <w:rPr>
                <w:rFonts w:ascii="Arial"/>
                <w:color w:val="auto"/>
                <w:sz w:val="21"/>
                <w:highlight w:val="none"/>
              </w:rPr>
            </w:pPr>
          </w:p>
        </w:tc>
        <w:tc>
          <w:tcPr>
            <w:tcW w:w="691" w:type="dxa"/>
            <w:vAlign w:val="top"/>
          </w:tcPr>
          <w:p w14:paraId="2E3195D0">
            <w:pPr>
              <w:rPr>
                <w:rFonts w:ascii="Arial"/>
                <w:color w:val="auto"/>
                <w:sz w:val="21"/>
                <w:highlight w:val="none"/>
              </w:rPr>
            </w:pPr>
          </w:p>
        </w:tc>
        <w:tc>
          <w:tcPr>
            <w:tcW w:w="1161" w:type="dxa"/>
            <w:vAlign w:val="top"/>
          </w:tcPr>
          <w:p w14:paraId="7A88B076">
            <w:pPr>
              <w:rPr>
                <w:rFonts w:ascii="Arial"/>
                <w:color w:val="auto"/>
                <w:sz w:val="21"/>
                <w:highlight w:val="none"/>
              </w:rPr>
            </w:pPr>
          </w:p>
        </w:tc>
        <w:tc>
          <w:tcPr>
            <w:tcW w:w="845" w:type="dxa"/>
            <w:vAlign w:val="top"/>
          </w:tcPr>
          <w:p w14:paraId="0145C639">
            <w:pPr>
              <w:rPr>
                <w:rFonts w:ascii="Arial"/>
                <w:color w:val="auto"/>
                <w:sz w:val="21"/>
                <w:highlight w:val="none"/>
              </w:rPr>
            </w:pPr>
          </w:p>
        </w:tc>
        <w:tc>
          <w:tcPr>
            <w:tcW w:w="849" w:type="dxa"/>
            <w:vAlign w:val="top"/>
          </w:tcPr>
          <w:p w14:paraId="19420302">
            <w:pPr>
              <w:rPr>
                <w:rFonts w:ascii="Arial"/>
                <w:color w:val="auto"/>
                <w:sz w:val="21"/>
                <w:highlight w:val="none"/>
              </w:rPr>
            </w:pPr>
          </w:p>
        </w:tc>
        <w:tc>
          <w:tcPr>
            <w:tcW w:w="753" w:type="dxa"/>
            <w:vAlign w:val="top"/>
          </w:tcPr>
          <w:p w14:paraId="77CD80C2">
            <w:pPr>
              <w:rPr>
                <w:rFonts w:ascii="Arial"/>
                <w:color w:val="auto"/>
                <w:sz w:val="21"/>
                <w:highlight w:val="none"/>
              </w:rPr>
            </w:pPr>
          </w:p>
        </w:tc>
      </w:tr>
    </w:tbl>
    <w:p w14:paraId="60AF7341">
      <w:pPr>
        <w:pStyle w:val="3"/>
        <w:rPr>
          <w:color w:val="auto"/>
          <w:highlight w:val="none"/>
        </w:rPr>
      </w:pPr>
    </w:p>
    <w:p w14:paraId="30CF42B9">
      <w:pPr>
        <w:rPr>
          <w:color w:val="auto"/>
          <w:highlight w:val="none"/>
        </w:rPr>
        <w:sectPr>
          <w:footerReference r:id="rId247" w:type="default"/>
          <w:pgSz w:w="11905" w:h="16839"/>
          <w:pgMar w:top="400" w:right="1785" w:bottom="1004" w:left="1785" w:header="0" w:footer="828" w:gutter="0"/>
          <w:pgNumType w:fmt="decimal"/>
          <w:cols w:space="720" w:num="1"/>
        </w:sectPr>
      </w:pPr>
    </w:p>
    <w:p w14:paraId="77ED1048">
      <w:pPr>
        <w:pStyle w:val="3"/>
        <w:spacing w:line="267" w:lineRule="auto"/>
        <w:rPr>
          <w:color w:val="auto"/>
          <w:highlight w:val="none"/>
        </w:rPr>
      </w:pPr>
    </w:p>
    <w:p w14:paraId="3096635F">
      <w:pPr>
        <w:pStyle w:val="3"/>
        <w:spacing w:line="267" w:lineRule="auto"/>
        <w:rPr>
          <w:color w:val="auto"/>
          <w:highlight w:val="none"/>
        </w:rPr>
      </w:pPr>
    </w:p>
    <w:p w14:paraId="060AA45A">
      <w:pPr>
        <w:pStyle w:val="3"/>
        <w:spacing w:line="268" w:lineRule="auto"/>
        <w:rPr>
          <w:color w:val="auto"/>
          <w:highlight w:val="none"/>
        </w:rPr>
      </w:pPr>
    </w:p>
    <w:p w14:paraId="3C27E030">
      <w:pPr>
        <w:pStyle w:val="3"/>
        <w:spacing w:line="268" w:lineRule="auto"/>
        <w:rPr>
          <w:color w:val="auto"/>
          <w:highlight w:val="none"/>
        </w:rPr>
      </w:pPr>
    </w:p>
    <w:p w14:paraId="603AAD26">
      <w:pPr>
        <w:spacing w:before="78" w:line="218" w:lineRule="auto"/>
        <w:ind w:left="32"/>
        <w:rPr>
          <w:rFonts w:ascii="黑体" w:hAnsi="黑体" w:eastAsia="黑体" w:cs="黑体"/>
          <w:color w:val="auto"/>
          <w:sz w:val="24"/>
          <w:szCs w:val="24"/>
          <w:highlight w:val="none"/>
        </w:rPr>
      </w:pPr>
      <w:r>
        <w:rPr>
          <w:rFonts w:ascii="黑体" w:hAnsi="黑体" w:eastAsia="黑体" w:cs="黑体"/>
          <w:color w:val="auto"/>
          <w:spacing w:val="-1"/>
          <w:sz w:val="24"/>
          <w:szCs w:val="24"/>
          <w:highlight w:val="none"/>
        </w:rPr>
        <w:t>附表二：拟配备本工程的试验和检测仪器设</w:t>
      </w:r>
      <w:r>
        <w:rPr>
          <w:rFonts w:ascii="黑体" w:hAnsi="黑体" w:eastAsia="黑体" w:cs="黑体"/>
          <w:color w:val="auto"/>
          <w:spacing w:val="-2"/>
          <w:sz w:val="24"/>
          <w:szCs w:val="24"/>
          <w:highlight w:val="none"/>
        </w:rPr>
        <w:t>备表</w:t>
      </w:r>
    </w:p>
    <w:tbl>
      <w:tblPr>
        <w:tblStyle w:val="10"/>
        <w:tblW w:w="831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9"/>
        <w:gridCol w:w="1022"/>
        <w:gridCol w:w="652"/>
        <w:gridCol w:w="984"/>
        <w:gridCol w:w="691"/>
        <w:gridCol w:w="686"/>
        <w:gridCol w:w="1128"/>
        <w:gridCol w:w="1574"/>
        <w:gridCol w:w="830"/>
      </w:tblGrid>
      <w:tr w14:paraId="72514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49" w:type="dxa"/>
            <w:vAlign w:val="top"/>
          </w:tcPr>
          <w:p w14:paraId="3053A8D8">
            <w:pPr>
              <w:pStyle w:val="11"/>
              <w:spacing w:before="211" w:line="222" w:lineRule="auto"/>
              <w:ind w:left="170"/>
              <w:rPr>
                <w:color w:val="auto"/>
                <w:highlight w:val="none"/>
              </w:rPr>
            </w:pPr>
            <w:r>
              <w:rPr>
                <w:color w:val="auto"/>
                <w:spacing w:val="-2"/>
                <w:highlight w:val="none"/>
              </w:rPr>
              <w:t>序号</w:t>
            </w:r>
          </w:p>
        </w:tc>
        <w:tc>
          <w:tcPr>
            <w:tcW w:w="1022" w:type="dxa"/>
            <w:vAlign w:val="top"/>
          </w:tcPr>
          <w:p w14:paraId="0E6C724F">
            <w:pPr>
              <w:pStyle w:val="11"/>
              <w:spacing w:before="73" w:line="231" w:lineRule="auto"/>
              <w:ind w:left="197" w:right="196" w:hanging="1"/>
              <w:rPr>
                <w:color w:val="auto"/>
                <w:highlight w:val="none"/>
              </w:rPr>
            </w:pPr>
            <w:r>
              <w:rPr>
                <w:color w:val="auto"/>
                <w:spacing w:val="-2"/>
                <w:highlight w:val="none"/>
              </w:rPr>
              <w:t>仪器设</w:t>
            </w:r>
            <w:r>
              <w:rPr>
                <w:color w:val="auto"/>
                <w:highlight w:val="none"/>
              </w:rPr>
              <w:t xml:space="preserve"> </w:t>
            </w:r>
            <w:r>
              <w:rPr>
                <w:color w:val="auto"/>
                <w:spacing w:val="-3"/>
                <w:highlight w:val="none"/>
              </w:rPr>
              <w:t>备名称</w:t>
            </w:r>
          </w:p>
        </w:tc>
        <w:tc>
          <w:tcPr>
            <w:tcW w:w="652" w:type="dxa"/>
            <w:vAlign w:val="top"/>
          </w:tcPr>
          <w:p w14:paraId="3EFA6D62">
            <w:pPr>
              <w:pStyle w:val="11"/>
              <w:spacing w:before="71" w:line="231" w:lineRule="auto"/>
              <w:ind w:left="120" w:right="113" w:firstLine="5"/>
              <w:rPr>
                <w:color w:val="auto"/>
                <w:highlight w:val="none"/>
              </w:rPr>
            </w:pPr>
            <w:r>
              <w:rPr>
                <w:color w:val="auto"/>
                <w:spacing w:val="-7"/>
                <w:highlight w:val="none"/>
              </w:rPr>
              <w:t>型号</w:t>
            </w:r>
            <w:r>
              <w:rPr>
                <w:color w:val="auto"/>
                <w:highlight w:val="none"/>
              </w:rPr>
              <w:t xml:space="preserve"> </w:t>
            </w:r>
            <w:r>
              <w:rPr>
                <w:color w:val="auto"/>
                <w:spacing w:val="-4"/>
                <w:highlight w:val="none"/>
              </w:rPr>
              <w:t>规格</w:t>
            </w:r>
          </w:p>
        </w:tc>
        <w:tc>
          <w:tcPr>
            <w:tcW w:w="984" w:type="dxa"/>
            <w:vAlign w:val="top"/>
          </w:tcPr>
          <w:p w14:paraId="454A5AF9">
            <w:pPr>
              <w:pStyle w:val="11"/>
              <w:spacing w:before="211" w:line="221" w:lineRule="auto"/>
              <w:ind w:left="185"/>
              <w:rPr>
                <w:color w:val="auto"/>
                <w:highlight w:val="none"/>
              </w:rPr>
            </w:pPr>
            <w:r>
              <w:rPr>
                <w:color w:val="auto"/>
                <w:spacing w:val="-5"/>
                <w:highlight w:val="none"/>
              </w:rPr>
              <w:t>数</w:t>
            </w:r>
            <w:r>
              <w:rPr>
                <w:color w:val="auto"/>
                <w:spacing w:val="4"/>
                <w:highlight w:val="none"/>
              </w:rPr>
              <w:t xml:space="preserve">  </w:t>
            </w:r>
            <w:r>
              <w:rPr>
                <w:color w:val="auto"/>
                <w:spacing w:val="-5"/>
                <w:highlight w:val="none"/>
              </w:rPr>
              <w:t>量</w:t>
            </w:r>
          </w:p>
        </w:tc>
        <w:tc>
          <w:tcPr>
            <w:tcW w:w="691" w:type="dxa"/>
            <w:vAlign w:val="top"/>
          </w:tcPr>
          <w:p w14:paraId="01EF052C">
            <w:pPr>
              <w:pStyle w:val="11"/>
              <w:spacing w:before="71" w:line="231" w:lineRule="auto"/>
              <w:ind w:left="144" w:right="126" w:firstLine="20"/>
              <w:rPr>
                <w:color w:val="auto"/>
                <w:highlight w:val="none"/>
              </w:rPr>
            </w:pPr>
            <w:r>
              <w:rPr>
                <w:color w:val="auto"/>
                <w:spacing w:val="-14"/>
                <w:highlight w:val="none"/>
              </w:rPr>
              <w:t>国别</w:t>
            </w:r>
            <w:r>
              <w:rPr>
                <w:color w:val="auto"/>
                <w:highlight w:val="none"/>
              </w:rPr>
              <w:t xml:space="preserve"> </w:t>
            </w:r>
            <w:r>
              <w:rPr>
                <w:color w:val="auto"/>
                <w:spacing w:val="-3"/>
                <w:highlight w:val="none"/>
              </w:rPr>
              <w:t>产地</w:t>
            </w:r>
          </w:p>
        </w:tc>
        <w:tc>
          <w:tcPr>
            <w:tcW w:w="686" w:type="dxa"/>
            <w:vAlign w:val="top"/>
          </w:tcPr>
          <w:p w14:paraId="2541A6C7">
            <w:pPr>
              <w:pStyle w:val="11"/>
              <w:spacing w:before="71" w:line="231" w:lineRule="auto"/>
              <w:ind w:left="141" w:right="126"/>
              <w:rPr>
                <w:color w:val="auto"/>
                <w:highlight w:val="none"/>
              </w:rPr>
            </w:pPr>
            <w:r>
              <w:rPr>
                <w:color w:val="auto"/>
                <w:spacing w:val="-4"/>
                <w:highlight w:val="none"/>
              </w:rPr>
              <w:t>制造</w:t>
            </w:r>
            <w:r>
              <w:rPr>
                <w:color w:val="auto"/>
                <w:highlight w:val="none"/>
              </w:rPr>
              <w:t xml:space="preserve"> </w:t>
            </w:r>
            <w:r>
              <w:rPr>
                <w:color w:val="auto"/>
                <w:spacing w:val="-4"/>
                <w:highlight w:val="none"/>
              </w:rPr>
              <w:t>年份</w:t>
            </w:r>
          </w:p>
        </w:tc>
        <w:tc>
          <w:tcPr>
            <w:tcW w:w="1128" w:type="dxa"/>
            <w:vAlign w:val="top"/>
          </w:tcPr>
          <w:p w14:paraId="5CCAF558">
            <w:pPr>
              <w:pStyle w:val="11"/>
              <w:spacing w:before="71" w:line="231" w:lineRule="auto"/>
              <w:ind w:left="160" w:right="135" w:firstLine="13"/>
              <w:rPr>
                <w:color w:val="auto"/>
                <w:highlight w:val="none"/>
              </w:rPr>
            </w:pPr>
            <w:r>
              <w:rPr>
                <w:color w:val="auto"/>
                <w:spacing w:val="-7"/>
                <w:highlight w:val="none"/>
              </w:rPr>
              <w:t>已使用台</w:t>
            </w:r>
            <w:r>
              <w:rPr>
                <w:color w:val="auto"/>
                <w:highlight w:val="none"/>
              </w:rPr>
              <w:t xml:space="preserve"> </w:t>
            </w:r>
            <w:r>
              <w:rPr>
                <w:color w:val="auto"/>
                <w:spacing w:val="-13"/>
                <w:highlight w:val="none"/>
              </w:rPr>
              <w:t>时</w:t>
            </w:r>
            <w:r>
              <w:rPr>
                <w:color w:val="auto"/>
                <w:spacing w:val="3"/>
                <w:highlight w:val="none"/>
              </w:rPr>
              <w:t xml:space="preserve">    </w:t>
            </w:r>
            <w:r>
              <w:rPr>
                <w:color w:val="auto"/>
                <w:spacing w:val="-13"/>
                <w:highlight w:val="none"/>
              </w:rPr>
              <w:t>数</w:t>
            </w:r>
          </w:p>
        </w:tc>
        <w:tc>
          <w:tcPr>
            <w:tcW w:w="1574" w:type="dxa"/>
            <w:vAlign w:val="top"/>
          </w:tcPr>
          <w:p w14:paraId="3BBD6E60">
            <w:pPr>
              <w:pStyle w:val="11"/>
              <w:spacing w:before="211" w:line="222" w:lineRule="auto"/>
              <w:ind w:left="484"/>
              <w:rPr>
                <w:color w:val="auto"/>
                <w:highlight w:val="none"/>
              </w:rPr>
            </w:pPr>
            <w:r>
              <w:rPr>
                <w:color w:val="auto"/>
                <w:spacing w:val="-5"/>
                <w:highlight w:val="none"/>
              </w:rPr>
              <w:t>用</w:t>
            </w:r>
            <w:r>
              <w:rPr>
                <w:color w:val="auto"/>
                <w:spacing w:val="4"/>
                <w:highlight w:val="none"/>
              </w:rPr>
              <w:t xml:space="preserve">  </w:t>
            </w:r>
            <w:r>
              <w:rPr>
                <w:color w:val="auto"/>
                <w:spacing w:val="-5"/>
                <w:highlight w:val="none"/>
              </w:rPr>
              <w:t>途</w:t>
            </w:r>
          </w:p>
        </w:tc>
        <w:tc>
          <w:tcPr>
            <w:tcW w:w="830" w:type="dxa"/>
            <w:vAlign w:val="top"/>
          </w:tcPr>
          <w:p w14:paraId="6AB2753E">
            <w:pPr>
              <w:pStyle w:val="11"/>
              <w:spacing w:before="211" w:line="222" w:lineRule="auto"/>
              <w:ind w:left="212"/>
              <w:rPr>
                <w:color w:val="auto"/>
                <w:highlight w:val="none"/>
              </w:rPr>
            </w:pPr>
            <w:r>
              <w:rPr>
                <w:color w:val="auto"/>
                <w:spacing w:val="-3"/>
                <w:highlight w:val="none"/>
              </w:rPr>
              <w:t>备注</w:t>
            </w:r>
          </w:p>
        </w:tc>
      </w:tr>
      <w:tr w14:paraId="5FCAD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56CBB0D4">
            <w:pPr>
              <w:rPr>
                <w:rFonts w:ascii="Arial"/>
                <w:color w:val="auto"/>
                <w:sz w:val="21"/>
                <w:highlight w:val="none"/>
              </w:rPr>
            </w:pPr>
          </w:p>
        </w:tc>
        <w:tc>
          <w:tcPr>
            <w:tcW w:w="1022" w:type="dxa"/>
            <w:vAlign w:val="top"/>
          </w:tcPr>
          <w:p w14:paraId="45003862">
            <w:pPr>
              <w:rPr>
                <w:rFonts w:ascii="Arial"/>
                <w:color w:val="auto"/>
                <w:sz w:val="21"/>
                <w:highlight w:val="none"/>
              </w:rPr>
            </w:pPr>
          </w:p>
        </w:tc>
        <w:tc>
          <w:tcPr>
            <w:tcW w:w="652" w:type="dxa"/>
            <w:vAlign w:val="top"/>
          </w:tcPr>
          <w:p w14:paraId="2C305353">
            <w:pPr>
              <w:rPr>
                <w:rFonts w:ascii="Arial"/>
                <w:color w:val="auto"/>
                <w:sz w:val="21"/>
                <w:highlight w:val="none"/>
              </w:rPr>
            </w:pPr>
          </w:p>
        </w:tc>
        <w:tc>
          <w:tcPr>
            <w:tcW w:w="984" w:type="dxa"/>
            <w:vAlign w:val="top"/>
          </w:tcPr>
          <w:p w14:paraId="298983EC">
            <w:pPr>
              <w:rPr>
                <w:rFonts w:ascii="Arial"/>
                <w:color w:val="auto"/>
                <w:sz w:val="21"/>
                <w:highlight w:val="none"/>
              </w:rPr>
            </w:pPr>
          </w:p>
        </w:tc>
        <w:tc>
          <w:tcPr>
            <w:tcW w:w="691" w:type="dxa"/>
            <w:vAlign w:val="top"/>
          </w:tcPr>
          <w:p w14:paraId="189706F4">
            <w:pPr>
              <w:rPr>
                <w:rFonts w:ascii="Arial"/>
                <w:color w:val="auto"/>
                <w:sz w:val="21"/>
                <w:highlight w:val="none"/>
              </w:rPr>
            </w:pPr>
          </w:p>
        </w:tc>
        <w:tc>
          <w:tcPr>
            <w:tcW w:w="686" w:type="dxa"/>
            <w:vAlign w:val="top"/>
          </w:tcPr>
          <w:p w14:paraId="4B3A018B">
            <w:pPr>
              <w:rPr>
                <w:rFonts w:ascii="Arial"/>
                <w:color w:val="auto"/>
                <w:sz w:val="21"/>
                <w:highlight w:val="none"/>
              </w:rPr>
            </w:pPr>
          </w:p>
        </w:tc>
        <w:tc>
          <w:tcPr>
            <w:tcW w:w="1128" w:type="dxa"/>
            <w:vAlign w:val="top"/>
          </w:tcPr>
          <w:p w14:paraId="2A64CBD4">
            <w:pPr>
              <w:rPr>
                <w:rFonts w:ascii="Arial"/>
                <w:color w:val="auto"/>
                <w:sz w:val="21"/>
                <w:highlight w:val="none"/>
              </w:rPr>
            </w:pPr>
          </w:p>
        </w:tc>
        <w:tc>
          <w:tcPr>
            <w:tcW w:w="1574" w:type="dxa"/>
            <w:vAlign w:val="top"/>
          </w:tcPr>
          <w:p w14:paraId="39495C14">
            <w:pPr>
              <w:rPr>
                <w:rFonts w:ascii="Arial"/>
                <w:color w:val="auto"/>
                <w:sz w:val="21"/>
                <w:highlight w:val="none"/>
              </w:rPr>
            </w:pPr>
          </w:p>
        </w:tc>
        <w:tc>
          <w:tcPr>
            <w:tcW w:w="830" w:type="dxa"/>
            <w:vAlign w:val="top"/>
          </w:tcPr>
          <w:p w14:paraId="57DC8922">
            <w:pPr>
              <w:rPr>
                <w:rFonts w:ascii="Arial"/>
                <w:color w:val="auto"/>
                <w:sz w:val="21"/>
                <w:highlight w:val="none"/>
              </w:rPr>
            </w:pPr>
          </w:p>
        </w:tc>
      </w:tr>
      <w:tr w14:paraId="7BA61A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140AAB2F">
            <w:pPr>
              <w:rPr>
                <w:rFonts w:ascii="Arial"/>
                <w:color w:val="auto"/>
                <w:sz w:val="21"/>
                <w:highlight w:val="none"/>
              </w:rPr>
            </w:pPr>
          </w:p>
        </w:tc>
        <w:tc>
          <w:tcPr>
            <w:tcW w:w="1022" w:type="dxa"/>
            <w:vAlign w:val="top"/>
          </w:tcPr>
          <w:p w14:paraId="416BF8DE">
            <w:pPr>
              <w:rPr>
                <w:rFonts w:ascii="Arial"/>
                <w:color w:val="auto"/>
                <w:sz w:val="21"/>
                <w:highlight w:val="none"/>
              </w:rPr>
            </w:pPr>
          </w:p>
        </w:tc>
        <w:tc>
          <w:tcPr>
            <w:tcW w:w="652" w:type="dxa"/>
            <w:vAlign w:val="top"/>
          </w:tcPr>
          <w:p w14:paraId="6A769202">
            <w:pPr>
              <w:rPr>
                <w:rFonts w:ascii="Arial"/>
                <w:color w:val="auto"/>
                <w:sz w:val="21"/>
                <w:highlight w:val="none"/>
              </w:rPr>
            </w:pPr>
          </w:p>
        </w:tc>
        <w:tc>
          <w:tcPr>
            <w:tcW w:w="984" w:type="dxa"/>
            <w:vAlign w:val="top"/>
          </w:tcPr>
          <w:p w14:paraId="21F1465C">
            <w:pPr>
              <w:rPr>
                <w:rFonts w:ascii="Arial"/>
                <w:color w:val="auto"/>
                <w:sz w:val="21"/>
                <w:highlight w:val="none"/>
              </w:rPr>
            </w:pPr>
          </w:p>
        </w:tc>
        <w:tc>
          <w:tcPr>
            <w:tcW w:w="691" w:type="dxa"/>
            <w:vAlign w:val="top"/>
          </w:tcPr>
          <w:p w14:paraId="07206ED8">
            <w:pPr>
              <w:rPr>
                <w:rFonts w:ascii="Arial"/>
                <w:color w:val="auto"/>
                <w:sz w:val="21"/>
                <w:highlight w:val="none"/>
              </w:rPr>
            </w:pPr>
          </w:p>
        </w:tc>
        <w:tc>
          <w:tcPr>
            <w:tcW w:w="686" w:type="dxa"/>
            <w:vAlign w:val="top"/>
          </w:tcPr>
          <w:p w14:paraId="1AF97F40">
            <w:pPr>
              <w:rPr>
                <w:rFonts w:ascii="Arial"/>
                <w:color w:val="auto"/>
                <w:sz w:val="21"/>
                <w:highlight w:val="none"/>
              </w:rPr>
            </w:pPr>
          </w:p>
        </w:tc>
        <w:tc>
          <w:tcPr>
            <w:tcW w:w="1128" w:type="dxa"/>
            <w:vAlign w:val="top"/>
          </w:tcPr>
          <w:p w14:paraId="254D04F2">
            <w:pPr>
              <w:rPr>
                <w:rFonts w:ascii="Arial"/>
                <w:color w:val="auto"/>
                <w:sz w:val="21"/>
                <w:highlight w:val="none"/>
              </w:rPr>
            </w:pPr>
          </w:p>
        </w:tc>
        <w:tc>
          <w:tcPr>
            <w:tcW w:w="1574" w:type="dxa"/>
            <w:vAlign w:val="top"/>
          </w:tcPr>
          <w:p w14:paraId="66E09353">
            <w:pPr>
              <w:rPr>
                <w:rFonts w:ascii="Arial"/>
                <w:color w:val="auto"/>
                <w:sz w:val="21"/>
                <w:highlight w:val="none"/>
              </w:rPr>
            </w:pPr>
          </w:p>
        </w:tc>
        <w:tc>
          <w:tcPr>
            <w:tcW w:w="830" w:type="dxa"/>
            <w:vAlign w:val="top"/>
          </w:tcPr>
          <w:p w14:paraId="1E7F34B1">
            <w:pPr>
              <w:rPr>
                <w:rFonts w:ascii="Arial"/>
                <w:color w:val="auto"/>
                <w:sz w:val="21"/>
                <w:highlight w:val="none"/>
              </w:rPr>
            </w:pPr>
          </w:p>
        </w:tc>
      </w:tr>
      <w:tr w14:paraId="50D90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4331DE55">
            <w:pPr>
              <w:rPr>
                <w:rFonts w:ascii="Arial"/>
                <w:color w:val="auto"/>
                <w:sz w:val="21"/>
                <w:highlight w:val="none"/>
              </w:rPr>
            </w:pPr>
          </w:p>
        </w:tc>
        <w:tc>
          <w:tcPr>
            <w:tcW w:w="1022" w:type="dxa"/>
            <w:vAlign w:val="top"/>
          </w:tcPr>
          <w:p w14:paraId="21739697">
            <w:pPr>
              <w:rPr>
                <w:rFonts w:ascii="Arial"/>
                <w:color w:val="auto"/>
                <w:sz w:val="21"/>
                <w:highlight w:val="none"/>
              </w:rPr>
            </w:pPr>
          </w:p>
        </w:tc>
        <w:tc>
          <w:tcPr>
            <w:tcW w:w="652" w:type="dxa"/>
            <w:vAlign w:val="top"/>
          </w:tcPr>
          <w:p w14:paraId="16C9B30C">
            <w:pPr>
              <w:rPr>
                <w:rFonts w:ascii="Arial"/>
                <w:color w:val="auto"/>
                <w:sz w:val="21"/>
                <w:highlight w:val="none"/>
              </w:rPr>
            </w:pPr>
          </w:p>
        </w:tc>
        <w:tc>
          <w:tcPr>
            <w:tcW w:w="984" w:type="dxa"/>
            <w:vAlign w:val="top"/>
          </w:tcPr>
          <w:p w14:paraId="4AFCCE0F">
            <w:pPr>
              <w:rPr>
                <w:rFonts w:ascii="Arial"/>
                <w:color w:val="auto"/>
                <w:sz w:val="21"/>
                <w:highlight w:val="none"/>
              </w:rPr>
            </w:pPr>
          </w:p>
        </w:tc>
        <w:tc>
          <w:tcPr>
            <w:tcW w:w="691" w:type="dxa"/>
            <w:vAlign w:val="top"/>
          </w:tcPr>
          <w:p w14:paraId="48EC0E63">
            <w:pPr>
              <w:rPr>
                <w:rFonts w:ascii="Arial"/>
                <w:color w:val="auto"/>
                <w:sz w:val="21"/>
                <w:highlight w:val="none"/>
              </w:rPr>
            </w:pPr>
          </w:p>
        </w:tc>
        <w:tc>
          <w:tcPr>
            <w:tcW w:w="686" w:type="dxa"/>
            <w:vAlign w:val="top"/>
          </w:tcPr>
          <w:p w14:paraId="5C0846C4">
            <w:pPr>
              <w:rPr>
                <w:rFonts w:ascii="Arial"/>
                <w:color w:val="auto"/>
                <w:sz w:val="21"/>
                <w:highlight w:val="none"/>
              </w:rPr>
            </w:pPr>
          </w:p>
        </w:tc>
        <w:tc>
          <w:tcPr>
            <w:tcW w:w="1128" w:type="dxa"/>
            <w:vAlign w:val="top"/>
          </w:tcPr>
          <w:p w14:paraId="00E8D6E7">
            <w:pPr>
              <w:rPr>
                <w:rFonts w:ascii="Arial"/>
                <w:color w:val="auto"/>
                <w:sz w:val="21"/>
                <w:highlight w:val="none"/>
              </w:rPr>
            </w:pPr>
          </w:p>
        </w:tc>
        <w:tc>
          <w:tcPr>
            <w:tcW w:w="1574" w:type="dxa"/>
            <w:vAlign w:val="top"/>
          </w:tcPr>
          <w:p w14:paraId="737D5838">
            <w:pPr>
              <w:rPr>
                <w:rFonts w:ascii="Arial"/>
                <w:color w:val="auto"/>
                <w:sz w:val="21"/>
                <w:highlight w:val="none"/>
              </w:rPr>
            </w:pPr>
          </w:p>
        </w:tc>
        <w:tc>
          <w:tcPr>
            <w:tcW w:w="830" w:type="dxa"/>
            <w:vAlign w:val="top"/>
          </w:tcPr>
          <w:p w14:paraId="108AF24C">
            <w:pPr>
              <w:rPr>
                <w:rFonts w:ascii="Arial"/>
                <w:color w:val="auto"/>
                <w:sz w:val="21"/>
                <w:highlight w:val="none"/>
              </w:rPr>
            </w:pPr>
          </w:p>
        </w:tc>
      </w:tr>
      <w:tr w14:paraId="73E83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31349AA8">
            <w:pPr>
              <w:rPr>
                <w:rFonts w:ascii="Arial"/>
                <w:color w:val="auto"/>
                <w:sz w:val="21"/>
                <w:highlight w:val="none"/>
              </w:rPr>
            </w:pPr>
          </w:p>
        </w:tc>
        <w:tc>
          <w:tcPr>
            <w:tcW w:w="1022" w:type="dxa"/>
            <w:vAlign w:val="top"/>
          </w:tcPr>
          <w:p w14:paraId="26FF372B">
            <w:pPr>
              <w:rPr>
                <w:rFonts w:ascii="Arial"/>
                <w:color w:val="auto"/>
                <w:sz w:val="21"/>
                <w:highlight w:val="none"/>
              </w:rPr>
            </w:pPr>
          </w:p>
        </w:tc>
        <w:tc>
          <w:tcPr>
            <w:tcW w:w="652" w:type="dxa"/>
            <w:vAlign w:val="top"/>
          </w:tcPr>
          <w:p w14:paraId="2004EDFD">
            <w:pPr>
              <w:rPr>
                <w:rFonts w:ascii="Arial"/>
                <w:color w:val="auto"/>
                <w:sz w:val="21"/>
                <w:highlight w:val="none"/>
              </w:rPr>
            </w:pPr>
          </w:p>
        </w:tc>
        <w:tc>
          <w:tcPr>
            <w:tcW w:w="984" w:type="dxa"/>
            <w:vAlign w:val="top"/>
          </w:tcPr>
          <w:p w14:paraId="4D385787">
            <w:pPr>
              <w:rPr>
                <w:rFonts w:ascii="Arial"/>
                <w:color w:val="auto"/>
                <w:sz w:val="21"/>
                <w:highlight w:val="none"/>
              </w:rPr>
            </w:pPr>
          </w:p>
        </w:tc>
        <w:tc>
          <w:tcPr>
            <w:tcW w:w="691" w:type="dxa"/>
            <w:vAlign w:val="top"/>
          </w:tcPr>
          <w:p w14:paraId="6B99DEBE">
            <w:pPr>
              <w:rPr>
                <w:rFonts w:ascii="Arial"/>
                <w:color w:val="auto"/>
                <w:sz w:val="21"/>
                <w:highlight w:val="none"/>
              </w:rPr>
            </w:pPr>
          </w:p>
        </w:tc>
        <w:tc>
          <w:tcPr>
            <w:tcW w:w="686" w:type="dxa"/>
            <w:vAlign w:val="top"/>
          </w:tcPr>
          <w:p w14:paraId="05A59DFD">
            <w:pPr>
              <w:rPr>
                <w:rFonts w:ascii="Arial"/>
                <w:color w:val="auto"/>
                <w:sz w:val="21"/>
                <w:highlight w:val="none"/>
              </w:rPr>
            </w:pPr>
          </w:p>
        </w:tc>
        <w:tc>
          <w:tcPr>
            <w:tcW w:w="1128" w:type="dxa"/>
            <w:vAlign w:val="top"/>
          </w:tcPr>
          <w:p w14:paraId="6BFD8E99">
            <w:pPr>
              <w:rPr>
                <w:rFonts w:ascii="Arial"/>
                <w:color w:val="auto"/>
                <w:sz w:val="21"/>
                <w:highlight w:val="none"/>
              </w:rPr>
            </w:pPr>
          </w:p>
        </w:tc>
        <w:tc>
          <w:tcPr>
            <w:tcW w:w="1574" w:type="dxa"/>
            <w:vAlign w:val="top"/>
          </w:tcPr>
          <w:p w14:paraId="6B3D3384">
            <w:pPr>
              <w:rPr>
                <w:rFonts w:ascii="Arial"/>
                <w:color w:val="auto"/>
                <w:sz w:val="21"/>
                <w:highlight w:val="none"/>
              </w:rPr>
            </w:pPr>
          </w:p>
        </w:tc>
        <w:tc>
          <w:tcPr>
            <w:tcW w:w="830" w:type="dxa"/>
            <w:vAlign w:val="top"/>
          </w:tcPr>
          <w:p w14:paraId="2973DE5B">
            <w:pPr>
              <w:rPr>
                <w:rFonts w:ascii="Arial"/>
                <w:color w:val="auto"/>
                <w:sz w:val="21"/>
                <w:highlight w:val="none"/>
              </w:rPr>
            </w:pPr>
          </w:p>
        </w:tc>
      </w:tr>
      <w:tr w14:paraId="690BD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27045E9B">
            <w:pPr>
              <w:rPr>
                <w:rFonts w:ascii="Arial"/>
                <w:color w:val="auto"/>
                <w:sz w:val="21"/>
                <w:highlight w:val="none"/>
              </w:rPr>
            </w:pPr>
          </w:p>
        </w:tc>
        <w:tc>
          <w:tcPr>
            <w:tcW w:w="1022" w:type="dxa"/>
            <w:vAlign w:val="top"/>
          </w:tcPr>
          <w:p w14:paraId="2BF9978C">
            <w:pPr>
              <w:rPr>
                <w:rFonts w:ascii="Arial"/>
                <w:color w:val="auto"/>
                <w:sz w:val="21"/>
                <w:highlight w:val="none"/>
              </w:rPr>
            </w:pPr>
          </w:p>
        </w:tc>
        <w:tc>
          <w:tcPr>
            <w:tcW w:w="652" w:type="dxa"/>
            <w:vAlign w:val="top"/>
          </w:tcPr>
          <w:p w14:paraId="1E3A1DD7">
            <w:pPr>
              <w:rPr>
                <w:rFonts w:ascii="Arial"/>
                <w:color w:val="auto"/>
                <w:sz w:val="21"/>
                <w:highlight w:val="none"/>
              </w:rPr>
            </w:pPr>
          </w:p>
        </w:tc>
        <w:tc>
          <w:tcPr>
            <w:tcW w:w="984" w:type="dxa"/>
            <w:vAlign w:val="top"/>
          </w:tcPr>
          <w:p w14:paraId="79A4FD54">
            <w:pPr>
              <w:rPr>
                <w:rFonts w:ascii="Arial"/>
                <w:color w:val="auto"/>
                <w:sz w:val="21"/>
                <w:highlight w:val="none"/>
              </w:rPr>
            </w:pPr>
          </w:p>
        </w:tc>
        <w:tc>
          <w:tcPr>
            <w:tcW w:w="691" w:type="dxa"/>
            <w:vAlign w:val="top"/>
          </w:tcPr>
          <w:p w14:paraId="72E03A0C">
            <w:pPr>
              <w:rPr>
                <w:rFonts w:ascii="Arial"/>
                <w:color w:val="auto"/>
                <w:sz w:val="21"/>
                <w:highlight w:val="none"/>
              </w:rPr>
            </w:pPr>
          </w:p>
        </w:tc>
        <w:tc>
          <w:tcPr>
            <w:tcW w:w="686" w:type="dxa"/>
            <w:vAlign w:val="top"/>
          </w:tcPr>
          <w:p w14:paraId="6B1DCA88">
            <w:pPr>
              <w:rPr>
                <w:rFonts w:ascii="Arial"/>
                <w:color w:val="auto"/>
                <w:sz w:val="21"/>
                <w:highlight w:val="none"/>
              </w:rPr>
            </w:pPr>
          </w:p>
        </w:tc>
        <w:tc>
          <w:tcPr>
            <w:tcW w:w="1128" w:type="dxa"/>
            <w:vAlign w:val="top"/>
          </w:tcPr>
          <w:p w14:paraId="76613904">
            <w:pPr>
              <w:rPr>
                <w:rFonts w:ascii="Arial"/>
                <w:color w:val="auto"/>
                <w:sz w:val="21"/>
                <w:highlight w:val="none"/>
              </w:rPr>
            </w:pPr>
          </w:p>
        </w:tc>
        <w:tc>
          <w:tcPr>
            <w:tcW w:w="1574" w:type="dxa"/>
            <w:vAlign w:val="top"/>
          </w:tcPr>
          <w:p w14:paraId="14C620B6">
            <w:pPr>
              <w:rPr>
                <w:rFonts w:ascii="Arial"/>
                <w:color w:val="auto"/>
                <w:sz w:val="21"/>
                <w:highlight w:val="none"/>
              </w:rPr>
            </w:pPr>
          </w:p>
        </w:tc>
        <w:tc>
          <w:tcPr>
            <w:tcW w:w="830" w:type="dxa"/>
            <w:vAlign w:val="top"/>
          </w:tcPr>
          <w:p w14:paraId="6434B7C0">
            <w:pPr>
              <w:rPr>
                <w:rFonts w:ascii="Arial"/>
                <w:color w:val="auto"/>
                <w:sz w:val="21"/>
                <w:highlight w:val="none"/>
              </w:rPr>
            </w:pPr>
          </w:p>
        </w:tc>
      </w:tr>
      <w:tr w14:paraId="692E4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36082319">
            <w:pPr>
              <w:rPr>
                <w:rFonts w:ascii="Arial"/>
                <w:color w:val="auto"/>
                <w:sz w:val="21"/>
                <w:highlight w:val="none"/>
              </w:rPr>
            </w:pPr>
          </w:p>
        </w:tc>
        <w:tc>
          <w:tcPr>
            <w:tcW w:w="1022" w:type="dxa"/>
            <w:vAlign w:val="top"/>
          </w:tcPr>
          <w:p w14:paraId="4BC07C42">
            <w:pPr>
              <w:rPr>
                <w:rFonts w:ascii="Arial"/>
                <w:color w:val="auto"/>
                <w:sz w:val="21"/>
                <w:highlight w:val="none"/>
              </w:rPr>
            </w:pPr>
          </w:p>
        </w:tc>
        <w:tc>
          <w:tcPr>
            <w:tcW w:w="652" w:type="dxa"/>
            <w:vAlign w:val="top"/>
          </w:tcPr>
          <w:p w14:paraId="1E2A3E3C">
            <w:pPr>
              <w:rPr>
                <w:rFonts w:ascii="Arial"/>
                <w:color w:val="auto"/>
                <w:sz w:val="21"/>
                <w:highlight w:val="none"/>
              </w:rPr>
            </w:pPr>
          </w:p>
        </w:tc>
        <w:tc>
          <w:tcPr>
            <w:tcW w:w="984" w:type="dxa"/>
            <w:vAlign w:val="top"/>
          </w:tcPr>
          <w:p w14:paraId="3FC318A0">
            <w:pPr>
              <w:rPr>
                <w:rFonts w:ascii="Arial"/>
                <w:color w:val="auto"/>
                <w:sz w:val="21"/>
                <w:highlight w:val="none"/>
              </w:rPr>
            </w:pPr>
          </w:p>
        </w:tc>
        <w:tc>
          <w:tcPr>
            <w:tcW w:w="691" w:type="dxa"/>
            <w:vAlign w:val="top"/>
          </w:tcPr>
          <w:p w14:paraId="7D1879BF">
            <w:pPr>
              <w:rPr>
                <w:rFonts w:ascii="Arial"/>
                <w:color w:val="auto"/>
                <w:sz w:val="21"/>
                <w:highlight w:val="none"/>
              </w:rPr>
            </w:pPr>
          </w:p>
        </w:tc>
        <w:tc>
          <w:tcPr>
            <w:tcW w:w="686" w:type="dxa"/>
            <w:vAlign w:val="top"/>
          </w:tcPr>
          <w:p w14:paraId="1DB1C938">
            <w:pPr>
              <w:rPr>
                <w:rFonts w:ascii="Arial"/>
                <w:color w:val="auto"/>
                <w:sz w:val="21"/>
                <w:highlight w:val="none"/>
              </w:rPr>
            </w:pPr>
          </w:p>
        </w:tc>
        <w:tc>
          <w:tcPr>
            <w:tcW w:w="1128" w:type="dxa"/>
            <w:vAlign w:val="top"/>
          </w:tcPr>
          <w:p w14:paraId="04035CD3">
            <w:pPr>
              <w:rPr>
                <w:rFonts w:ascii="Arial"/>
                <w:color w:val="auto"/>
                <w:sz w:val="21"/>
                <w:highlight w:val="none"/>
              </w:rPr>
            </w:pPr>
          </w:p>
        </w:tc>
        <w:tc>
          <w:tcPr>
            <w:tcW w:w="1574" w:type="dxa"/>
            <w:vAlign w:val="top"/>
          </w:tcPr>
          <w:p w14:paraId="4470E409">
            <w:pPr>
              <w:rPr>
                <w:rFonts w:ascii="Arial"/>
                <w:color w:val="auto"/>
                <w:sz w:val="21"/>
                <w:highlight w:val="none"/>
              </w:rPr>
            </w:pPr>
          </w:p>
        </w:tc>
        <w:tc>
          <w:tcPr>
            <w:tcW w:w="830" w:type="dxa"/>
            <w:vAlign w:val="top"/>
          </w:tcPr>
          <w:p w14:paraId="4F91B094">
            <w:pPr>
              <w:rPr>
                <w:rFonts w:ascii="Arial"/>
                <w:color w:val="auto"/>
                <w:sz w:val="21"/>
                <w:highlight w:val="none"/>
              </w:rPr>
            </w:pPr>
          </w:p>
        </w:tc>
      </w:tr>
      <w:tr w14:paraId="08FF50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1E2C54CA">
            <w:pPr>
              <w:rPr>
                <w:rFonts w:ascii="Arial"/>
                <w:color w:val="auto"/>
                <w:sz w:val="21"/>
                <w:highlight w:val="none"/>
              </w:rPr>
            </w:pPr>
          </w:p>
        </w:tc>
        <w:tc>
          <w:tcPr>
            <w:tcW w:w="1022" w:type="dxa"/>
            <w:vAlign w:val="top"/>
          </w:tcPr>
          <w:p w14:paraId="35866C17">
            <w:pPr>
              <w:rPr>
                <w:rFonts w:ascii="Arial"/>
                <w:color w:val="auto"/>
                <w:sz w:val="21"/>
                <w:highlight w:val="none"/>
              </w:rPr>
            </w:pPr>
          </w:p>
        </w:tc>
        <w:tc>
          <w:tcPr>
            <w:tcW w:w="652" w:type="dxa"/>
            <w:vAlign w:val="top"/>
          </w:tcPr>
          <w:p w14:paraId="294EF8B1">
            <w:pPr>
              <w:rPr>
                <w:rFonts w:ascii="Arial"/>
                <w:color w:val="auto"/>
                <w:sz w:val="21"/>
                <w:highlight w:val="none"/>
              </w:rPr>
            </w:pPr>
          </w:p>
        </w:tc>
        <w:tc>
          <w:tcPr>
            <w:tcW w:w="984" w:type="dxa"/>
            <w:vAlign w:val="top"/>
          </w:tcPr>
          <w:p w14:paraId="51AEB84A">
            <w:pPr>
              <w:rPr>
                <w:rFonts w:ascii="Arial"/>
                <w:color w:val="auto"/>
                <w:sz w:val="21"/>
                <w:highlight w:val="none"/>
              </w:rPr>
            </w:pPr>
          </w:p>
        </w:tc>
        <w:tc>
          <w:tcPr>
            <w:tcW w:w="691" w:type="dxa"/>
            <w:vAlign w:val="top"/>
          </w:tcPr>
          <w:p w14:paraId="5B6BE721">
            <w:pPr>
              <w:rPr>
                <w:rFonts w:ascii="Arial"/>
                <w:color w:val="auto"/>
                <w:sz w:val="21"/>
                <w:highlight w:val="none"/>
              </w:rPr>
            </w:pPr>
          </w:p>
        </w:tc>
        <w:tc>
          <w:tcPr>
            <w:tcW w:w="686" w:type="dxa"/>
            <w:vAlign w:val="top"/>
          </w:tcPr>
          <w:p w14:paraId="76645266">
            <w:pPr>
              <w:rPr>
                <w:rFonts w:ascii="Arial"/>
                <w:color w:val="auto"/>
                <w:sz w:val="21"/>
                <w:highlight w:val="none"/>
              </w:rPr>
            </w:pPr>
          </w:p>
        </w:tc>
        <w:tc>
          <w:tcPr>
            <w:tcW w:w="1128" w:type="dxa"/>
            <w:vAlign w:val="top"/>
          </w:tcPr>
          <w:p w14:paraId="045B380B">
            <w:pPr>
              <w:rPr>
                <w:rFonts w:ascii="Arial"/>
                <w:color w:val="auto"/>
                <w:sz w:val="21"/>
                <w:highlight w:val="none"/>
              </w:rPr>
            </w:pPr>
          </w:p>
        </w:tc>
        <w:tc>
          <w:tcPr>
            <w:tcW w:w="1574" w:type="dxa"/>
            <w:vAlign w:val="top"/>
          </w:tcPr>
          <w:p w14:paraId="1DE5F24A">
            <w:pPr>
              <w:rPr>
                <w:rFonts w:ascii="Arial"/>
                <w:color w:val="auto"/>
                <w:sz w:val="21"/>
                <w:highlight w:val="none"/>
              </w:rPr>
            </w:pPr>
          </w:p>
        </w:tc>
        <w:tc>
          <w:tcPr>
            <w:tcW w:w="830" w:type="dxa"/>
            <w:vAlign w:val="top"/>
          </w:tcPr>
          <w:p w14:paraId="75EBFAA6">
            <w:pPr>
              <w:rPr>
                <w:rFonts w:ascii="Arial"/>
                <w:color w:val="auto"/>
                <w:sz w:val="21"/>
                <w:highlight w:val="none"/>
              </w:rPr>
            </w:pPr>
          </w:p>
        </w:tc>
      </w:tr>
      <w:tr w14:paraId="4C5F6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3D7F454B">
            <w:pPr>
              <w:rPr>
                <w:rFonts w:ascii="Arial"/>
                <w:color w:val="auto"/>
                <w:sz w:val="21"/>
                <w:highlight w:val="none"/>
              </w:rPr>
            </w:pPr>
          </w:p>
        </w:tc>
        <w:tc>
          <w:tcPr>
            <w:tcW w:w="1022" w:type="dxa"/>
            <w:vAlign w:val="top"/>
          </w:tcPr>
          <w:p w14:paraId="671B5AA2">
            <w:pPr>
              <w:rPr>
                <w:rFonts w:ascii="Arial"/>
                <w:color w:val="auto"/>
                <w:sz w:val="21"/>
                <w:highlight w:val="none"/>
              </w:rPr>
            </w:pPr>
          </w:p>
        </w:tc>
        <w:tc>
          <w:tcPr>
            <w:tcW w:w="652" w:type="dxa"/>
            <w:vAlign w:val="top"/>
          </w:tcPr>
          <w:p w14:paraId="6827728E">
            <w:pPr>
              <w:rPr>
                <w:rFonts w:ascii="Arial"/>
                <w:color w:val="auto"/>
                <w:sz w:val="21"/>
                <w:highlight w:val="none"/>
              </w:rPr>
            </w:pPr>
          </w:p>
        </w:tc>
        <w:tc>
          <w:tcPr>
            <w:tcW w:w="984" w:type="dxa"/>
            <w:vAlign w:val="top"/>
          </w:tcPr>
          <w:p w14:paraId="255584BD">
            <w:pPr>
              <w:rPr>
                <w:rFonts w:ascii="Arial"/>
                <w:color w:val="auto"/>
                <w:sz w:val="21"/>
                <w:highlight w:val="none"/>
              </w:rPr>
            </w:pPr>
          </w:p>
        </w:tc>
        <w:tc>
          <w:tcPr>
            <w:tcW w:w="691" w:type="dxa"/>
            <w:vAlign w:val="top"/>
          </w:tcPr>
          <w:p w14:paraId="2E4D4F17">
            <w:pPr>
              <w:rPr>
                <w:rFonts w:ascii="Arial"/>
                <w:color w:val="auto"/>
                <w:sz w:val="21"/>
                <w:highlight w:val="none"/>
              </w:rPr>
            </w:pPr>
          </w:p>
        </w:tc>
        <w:tc>
          <w:tcPr>
            <w:tcW w:w="686" w:type="dxa"/>
            <w:vAlign w:val="top"/>
          </w:tcPr>
          <w:p w14:paraId="10386D1B">
            <w:pPr>
              <w:rPr>
                <w:rFonts w:ascii="Arial"/>
                <w:color w:val="auto"/>
                <w:sz w:val="21"/>
                <w:highlight w:val="none"/>
              </w:rPr>
            </w:pPr>
          </w:p>
        </w:tc>
        <w:tc>
          <w:tcPr>
            <w:tcW w:w="1128" w:type="dxa"/>
            <w:vAlign w:val="top"/>
          </w:tcPr>
          <w:p w14:paraId="4CC6F1B4">
            <w:pPr>
              <w:rPr>
                <w:rFonts w:ascii="Arial"/>
                <w:color w:val="auto"/>
                <w:sz w:val="21"/>
                <w:highlight w:val="none"/>
              </w:rPr>
            </w:pPr>
          </w:p>
        </w:tc>
        <w:tc>
          <w:tcPr>
            <w:tcW w:w="1574" w:type="dxa"/>
            <w:vAlign w:val="top"/>
          </w:tcPr>
          <w:p w14:paraId="26C43690">
            <w:pPr>
              <w:rPr>
                <w:rFonts w:ascii="Arial"/>
                <w:color w:val="auto"/>
                <w:sz w:val="21"/>
                <w:highlight w:val="none"/>
              </w:rPr>
            </w:pPr>
          </w:p>
        </w:tc>
        <w:tc>
          <w:tcPr>
            <w:tcW w:w="830" w:type="dxa"/>
            <w:vAlign w:val="top"/>
          </w:tcPr>
          <w:p w14:paraId="7C03177B">
            <w:pPr>
              <w:rPr>
                <w:rFonts w:ascii="Arial"/>
                <w:color w:val="auto"/>
                <w:sz w:val="21"/>
                <w:highlight w:val="none"/>
              </w:rPr>
            </w:pPr>
          </w:p>
        </w:tc>
      </w:tr>
      <w:tr w14:paraId="3EC5C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3E8D3E10">
            <w:pPr>
              <w:rPr>
                <w:rFonts w:ascii="Arial"/>
                <w:color w:val="auto"/>
                <w:sz w:val="21"/>
                <w:highlight w:val="none"/>
              </w:rPr>
            </w:pPr>
          </w:p>
        </w:tc>
        <w:tc>
          <w:tcPr>
            <w:tcW w:w="1022" w:type="dxa"/>
            <w:vAlign w:val="top"/>
          </w:tcPr>
          <w:p w14:paraId="44A6C11D">
            <w:pPr>
              <w:rPr>
                <w:rFonts w:ascii="Arial"/>
                <w:color w:val="auto"/>
                <w:sz w:val="21"/>
                <w:highlight w:val="none"/>
              </w:rPr>
            </w:pPr>
          </w:p>
        </w:tc>
        <w:tc>
          <w:tcPr>
            <w:tcW w:w="652" w:type="dxa"/>
            <w:vAlign w:val="top"/>
          </w:tcPr>
          <w:p w14:paraId="229B844F">
            <w:pPr>
              <w:rPr>
                <w:rFonts w:ascii="Arial"/>
                <w:color w:val="auto"/>
                <w:sz w:val="21"/>
                <w:highlight w:val="none"/>
              </w:rPr>
            </w:pPr>
          </w:p>
        </w:tc>
        <w:tc>
          <w:tcPr>
            <w:tcW w:w="984" w:type="dxa"/>
            <w:vAlign w:val="top"/>
          </w:tcPr>
          <w:p w14:paraId="423473F4">
            <w:pPr>
              <w:rPr>
                <w:rFonts w:ascii="Arial"/>
                <w:color w:val="auto"/>
                <w:sz w:val="21"/>
                <w:highlight w:val="none"/>
              </w:rPr>
            </w:pPr>
          </w:p>
        </w:tc>
        <w:tc>
          <w:tcPr>
            <w:tcW w:w="691" w:type="dxa"/>
            <w:vAlign w:val="top"/>
          </w:tcPr>
          <w:p w14:paraId="76ADA095">
            <w:pPr>
              <w:rPr>
                <w:rFonts w:ascii="Arial"/>
                <w:color w:val="auto"/>
                <w:sz w:val="21"/>
                <w:highlight w:val="none"/>
              </w:rPr>
            </w:pPr>
          </w:p>
        </w:tc>
        <w:tc>
          <w:tcPr>
            <w:tcW w:w="686" w:type="dxa"/>
            <w:vAlign w:val="top"/>
          </w:tcPr>
          <w:p w14:paraId="1E3A998D">
            <w:pPr>
              <w:rPr>
                <w:rFonts w:ascii="Arial"/>
                <w:color w:val="auto"/>
                <w:sz w:val="21"/>
                <w:highlight w:val="none"/>
              </w:rPr>
            </w:pPr>
          </w:p>
        </w:tc>
        <w:tc>
          <w:tcPr>
            <w:tcW w:w="1128" w:type="dxa"/>
            <w:vAlign w:val="top"/>
          </w:tcPr>
          <w:p w14:paraId="16189919">
            <w:pPr>
              <w:rPr>
                <w:rFonts w:ascii="Arial"/>
                <w:color w:val="auto"/>
                <w:sz w:val="21"/>
                <w:highlight w:val="none"/>
              </w:rPr>
            </w:pPr>
          </w:p>
        </w:tc>
        <w:tc>
          <w:tcPr>
            <w:tcW w:w="1574" w:type="dxa"/>
            <w:vAlign w:val="top"/>
          </w:tcPr>
          <w:p w14:paraId="02D984D6">
            <w:pPr>
              <w:rPr>
                <w:rFonts w:ascii="Arial"/>
                <w:color w:val="auto"/>
                <w:sz w:val="21"/>
                <w:highlight w:val="none"/>
              </w:rPr>
            </w:pPr>
          </w:p>
        </w:tc>
        <w:tc>
          <w:tcPr>
            <w:tcW w:w="830" w:type="dxa"/>
            <w:vAlign w:val="top"/>
          </w:tcPr>
          <w:p w14:paraId="53BF88DD">
            <w:pPr>
              <w:rPr>
                <w:rFonts w:ascii="Arial"/>
                <w:color w:val="auto"/>
                <w:sz w:val="21"/>
                <w:highlight w:val="none"/>
              </w:rPr>
            </w:pPr>
          </w:p>
        </w:tc>
      </w:tr>
      <w:tr w14:paraId="6BD1C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5BFBB25D">
            <w:pPr>
              <w:rPr>
                <w:rFonts w:ascii="Arial"/>
                <w:color w:val="auto"/>
                <w:sz w:val="21"/>
                <w:highlight w:val="none"/>
              </w:rPr>
            </w:pPr>
          </w:p>
        </w:tc>
        <w:tc>
          <w:tcPr>
            <w:tcW w:w="1022" w:type="dxa"/>
            <w:vAlign w:val="top"/>
          </w:tcPr>
          <w:p w14:paraId="2CBB688D">
            <w:pPr>
              <w:rPr>
                <w:rFonts w:ascii="Arial"/>
                <w:color w:val="auto"/>
                <w:sz w:val="21"/>
                <w:highlight w:val="none"/>
              </w:rPr>
            </w:pPr>
          </w:p>
        </w:tc>
        <w:tc>
          <w:tcPr>
            <w:tcW w:w="652" w:type="dxa"/>
            <w:vAlign w:val="top"/>
          </w:tcPr>
          <w:p w14:paraId="0EC10E32">
            <w:pPr>
              <w:rPr>
                <w:rFonts w:ascii="Arial"/>
                <w:color w:val="auto"/>
                <w:sz w:val="21"/>
                <w:highlight w:val="none"/>
              </w:rPr>
            </w:pPr>
          </w:p>
        </w:tc>
        <w:tc>
          <w:tcPr>
            <w:tcW w:w="984" w:type="dxa"/>
            <w:vAlign w:val="top"/>
          </w:tcPr>
          <w:p w14:paraId="1A7B59B5">
            <w:pPr>
              <w:rPr>
                <w:rFonts w:ascii="Arial"/>
                <w:color w:val="auto"/>
                <w:sz w:val="21"/>
                <w:highlight w:val="none"/>
              </w:rPr>
            </w:pPr>
          </w:p>
        </w:tc>
        <w:tc>
          <w:tcPr>
            <w:tcW w:w="691" w:type="dxa"/>
            <w:vAlign w:val="top"/>
          </w:tcPr>
          <w:p w14:paraId="424A17E0">
            <w:pPr>
              <w:rPr>
                <w:rFonts w:ascii="Arial"/>
                <w:color w:val="auto"/>
                <w:sz w:val="21"/>
                <w:highlight w:val="none"/>
              </w:rPr>
            </w:pPr>
          </w:p>
        </w:tc>
        <w:tc>
          <w:tcPr>
            <w:tcW w:w="686" w:type="dxa"/>
            <w:vAlign w:val="top"/>
          </w:tcPr>
          <w:p w14:paraId="40CD6678">
            <w:pPr>
              <w:rPr>
                <w:rFonts w:ascii="Arial"/>
                <w:color w:val="auto"/>
                <w:sz w:val="21"/>
                <w:highlight w:val="none"/>
              </w:rPr>
            </w:pPr>
          </w:p>
        </w:tc>
        <w:tc>
          <w:tcPr>
            <w:tcW w:w="1128" w:type="dxa"/>
            <w:vAlign w:val="top"/>
          </w:tcPr>
          <w:p w14:paraId="12DA8F86">
            <w:pPr>
              <w:rPr>
                <w:rFonts w:ascii="Arial"/>
                <w:color w:val="auto"/>
                <w:sz w:val="21"/>
                <w:highlight w:val="none"/>
              </w:rPr>
            </w:pPr>
          </w:p>
        </w:tc>
        <w:tc>
          <w:tcPr>
            <w:tcW w:w="1574" w:type="dxa"/>
            <w:vAlign w:val="top"/>
          </w:tcPr>
          <w:p w14:paraId="7BD331E9">
            <w:pPr>
              <w:rPr>
                <w:rFonts w:ascii="Arial"/>
                <w:color w:val="auto"/>
                <w:sz w:val="21"/>
                <w:highlight w:val="none"/>
              </w:rPr>
            </w:pPr>
          </w:p>
        </w:tc>
        <w:tc>
          <w:tcPr>
            <w:tcW w:w="830" w:type="dxa"/>
            <w:vAlign w:val="top"/>
          </w:tcPr>
          <w:p w14:paraId="61789EA2">
            <w:pPr>
              <w:rPr>
                <w:rFonts w:ascii="Arial"/>
                <w:color w:val="auto"/>
                <w:sz w:val="21"/>
                <w:highlight w:val="none"/>
              </w:rPr>
            </w:pPr>
          </w:p>
        </w:tc>
      </w:tr>
      <w:tr w14:paraId="7B36D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66D1D378">
            <w:pPr>
              <w:rPr>
                <w:rFonts w:ascii="Arial"/>
                <w:color w:val="auto"/>
                <w:sz w:val="21"/>
                <w:highlight w:val="none"/>
              </w:rPr>
            </w:pPr>
          </w:p>
        </w:tc>
        <w:tc>
          <w:tcPr>
            <w:tcW w:w="1022" w:type="dxa"/>
            <w:vAlign w:val="top"/>
          </w:tcPr>
          <w:p w14:paraId="049E9D46">
            <w:pPr>
              <w:rPr>
                <w:rFonts w:ascii="Arial"/>
                <w:color w:val="auto"/>
                <w:sz w:val="21"/>
                <w:highlight w:val="none"/>
              </w:rPr>
            </w:pPr>
          </w:p>
        </w:tc>
        <w:tc>
          <w:tcPr>
            <w:tcW w:w="652" w:type="dxa"/>
            <w:vAlign w:val="top"/>
          </w:tcPr>
          <w:p w14:paraId="00D4E115">
            <w:pPr>
              <w:rPr>
                <w:rFonts w:ascii="Arial"/>
                <w:color w:val="auto"/>
                <w:sz w:val="21"/>
                <w:highlight w:val="none"/>
              </w:rPr>
            </w:pPr>
          </w:p>
        </w:tc>
        <w:tc>
          <w:tcPr>
            <w:tcW w:w="984" w:type="dxa"/>
            <w:vAlign w:val="top"/>
          </w:tcPr>
          <w:p w14:paraId="36F8729E">
            <w:pPr>
              <w:rPr>
                <w:rFonts w:ascii="Arial"/>
                <w:color w:val="auto"/>
                <w:sz w:val="21"/>
                <w:highlight w:val="none"/>
              </w:rPr>
            </w:pPr>
          </w:p>
        </w:tc>
        <w:tc>
          <w:tcPr>
            <w:tcW w:w="691" w:type="dxa"/>
            <w:vAlign w:val="top"/>
          </w:tcPr>
          <w:p w14:paraId="6D80FC5A">
            <w:pPr>
              <w:rPr>
                <w:rFonts w:ascii="Arial"/>
                <w:color w:val="auto"/>
                <w:sz w:val="21"/>
                <w:highlight w:val="none"/>
              </w:rPr>
            </w:pPr>
          </w:p>
        </w:tc>
        <w:tc>
          <w:tcPr>
            <w:tcW w:w="686" w:type="dxa"/>
            <w:vAlign w:val="top"/>
          </w:tcPr>
          <w:p w14:paraId="58EFF2C8">
            <w:pPr>
              <w:rPr>
                <w:rFonts w:ascii="Arial"/>
                <w:color w:val="auto"/>
                <w:sz w:val="21"/>
                <w:highlight w:val="none"/>
              </w:rPr>
            </w:pPr>
          </w:p>
        </w:tc>
        <w:tc>
          <w:tcPr>
            <w:tcW w:w="1128" w:type="dxa"/>
            <w:vAlign w:val="top"/>
          </w:tcPr>
          <w:p w14:paraId="2F098F78">
            <w:pPr>
              <w:rPr>
                <w:rFonts w:ascii="Arial"/>
                <w:color w:val="auto"/>
                <w:sz w:val="21"/>
                <w:highlight w:val="none"/>
              </w:rPr>
            </w:pPr>
          </w:p>
        </w:tc>
        <w:tc>
          <w:tcPr>
            <w:tcW w:w="1574" w:type="dxa"/>
            <w:vAlign w:val="top"/>
          </w:tcPr>
          <w:p w14:paraId="3AF6097A">
            <w:pPr>
              <w:rPr>
                <w:rFonts w:ascii="Arial"/>
                <w:color w:val="auto"/>
                <w:sz w:val="21"/>
                <w:highlight w:val="none"/>
              </w:rPr>
            </w:pPr>
          </w:p>
        </w:tc>
        <w:tc>
          <w:tcPr>
            <w:tcW w:w="830" w:type="dxa"/>
            <w:vAlign w:val="top"/>
          </w:tcPr>
          <w:p w14:paraId="5085B3C3">
            <w:pPr>
              <w:rPr>
                <w:rFonts w:ascii="Arial"/>
                <w:color w:val="auto"/>
                <w:sz w:val="21"/>
                <w:highlight w:val="none"/>
              </w:rPr>
            </w:pPr>
          </w:p>
        </w:tc>
      </w:tr>
      <w:tr w14:paraId="4F6F9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7482178C">
            <w:pPr>
              <w:rPr>
                <w:rFonts w:ascii="Arial"/>
                <w:color w:val="auto"/>
                <w:sz w:val="21"/>
                <w:highlight w:val="none"/>
              </w:rPr>
            </w:pPr>
          </w:p>
        </w:tc>
        <w:tc>
          <w:tcPr>
            <w:tcW w:w="1022" w:type="dxa"/>
            <w:vAlign w:val="top"/>
          </w:tcPr>
          <w:p w14:paraId="48861D1A">
            <w:pPr>
              <w:rPr>
                <w:rFonts w:ascii="Arial"/>
                <w:color w:val="auto"/>
                <w:sz w:val="21"/>
                <w:highlight w:val="none"/>
              </w:rPr>
            </w:pPr>
          </w:p>
        </w:tc>
        <w:tc>
          <w:tcPr>
            <w:tcW w:w="652" w:type="dxa"/>
            <w:vAlign w:val="top"/>
          </w:tcPr>
          <w:p w14:paraId="49D633D5">
            <w:pPr>
              <w:rPr>
                <w:rFonts w:ascii="Arial"/>
                <w:color w:val="auto"/>
                <w:sz w:val="21"/>
                <w:highlight w:val="none"/>
              </w:rPr>
            </w:pPr>
          </w:p>
        </w:tc>
        <w:tc>
          <w:tcPr>
            <w:tcW w:w="984" w:type="dxa"/>
            <w:vAlign w:val="top"/>
          </w:tcPr>
          <w:p w14:paraId="4F2FA788">
            <w:pPr>
              <w:rPr>
                <w:rFonts w:ascii="Arial"/>
                <w:color w:val="auto"/>
                <w:sz w:val="21"/>
                <w:highlight w:val="none"/>
              </w:rPr>
            </w:pPr>
          </w:p>
        </w:tc>
        <w:tc>
          <w:tcPr>
            <w:tcW w:w="691" w:type="dxa"/>
            <w:vAlign w:val="top"/>
          </w:tcPr>
          <w:p w14:paraId="0EC21F9E">
            <w:pPr>
              <w:rPr>
                <w:rFonts w:ascii="Arial"/>
                <w:color w:val="auto"/>
                <w:sz w:val="21"/>
                <w:highlight w:val="none"/>
              </w:rPr>
            </w:pPr>
          </w:p>
        </w:tc>
        <w:tc>
          <w:tcPr>
            <w:tcW w:w="686" w:type="dxa"/>
            <w:vAlign w:val="top"/>
          </w:tcPr>
          <w:p w14:paraId="407FB718">
            <w:pPr>
              <w:rPr>
                <w:rFonts w:ascii="Arial"/>
                <w:color w:val="auto"/>
                <w:sz w:val="21"/>
                <w:highlight w:val="none"/>
              </w:rPr>
            </w:pPr>
          </w:p>
        </w:tc>
        <w:tc>
          <w:tcPr>
            <w:tcW w:w="1128" w:type="dxa"/>
            <w:vAlign w:val="top"/>
          </w:tcPr>
          <w:p w14:paraId="28B97D69">
            <w:pPr>
              <w:rPr>
                <w:rFonts w:ascii="Arial"/>
                <w:color w:val="auto"/>
                <w:sz w:val="21"/>
                <w:highlight w:val="none"/>
              </w:rPr>
            </w:pPr>
          </w:p>
        </w:tc>
        <w:tc>
          <w:tcPr>
            <w:tcW w:w="1574" w:type="dxa"/>
            <w:vAlign w:val="top"/>
          </w:tcPr>
          <w:p w14:paraId="3EC0CC17">
            <w:pPr>
              <w:rPr>
                <w:rFonts w:ascii="Arial"/>
                <w:color w:val="auto"/>
                <w:sz w:val="21"/>
                <w:highlight w:val="none"/>
              </w:rPr>
            </w:pPr>
          </w:p>
        </w:tc>
        <w:tc>
          <w:tcPr>
            <w:tcW w:w="830" w:type="dxa"/>
            <w:vAlign w:val="top"/>
          </w:tcPr>
          <w:p w14:paraId="73876CBE">
            <w:pPr>
              <w:rPr>
                <w:rFonts w:ascii="Arial"/>
                <w:color w:val="auto"/>
                <w:sz w:val="21"/>
                <w:highlight w:val="none"/>
              </w:rPr>
            </w:pPr>
          </w:p>
        </w:tc>
      </w:tr>
      <w:tr w14:paraId="77948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6C080993">
            <w:pPr>
              <w:rPr>
                <w:rFonts w:ascii="Arial"/>
                <w:color w:val="auto"/>
                <w:sz w:val="21"/>
                <w:highlight w:val="none"/>
              </w:rPr>
            </w:pPr>
          </w:p>
        </w:tc>
        <w:tc>
          <w:tcPr>
            <w:tcW w:w="1022" w:type="dxa"/>
            <w:vAlign w:val="top"/>
          </w:tcPr>
          <w:p w14:paraId="62AE81A8">
            <w:pPr>
              <w:rPr>
                <w:rFonts w:ascii="Arial"/>
                <w:color w:val="auto"/>
                <w:sz w:val="21"/>
                <w:highlight w:val="none"/>
              </w:rPr>
            </w:pPr>
          </w:p>
        </w:tc>
        <w:tc>
          <w:tcPr>
            <w:tcW w:w="652" w:type="dxa"/>
            <w:vAlign w:val="top"/>
          </w:tcPr>
          <w:p w14:paraId="09C78B69">
            <w:pPr>
              <w:rPr>
                <w:rFonts w:ascii="Arial"/>
                <w:color w:val="auto"/>
                <w:sz w:val="21"/>
                <w:highlight w:val="none"/>
              </w:rPr>
            </w:pPr>
          </w:p>
        </w:tc>
        <w:tc>
          <w:tcPr>
            <w:tcW w:w="984" w:type="dxa"/>
            <w:vAlign w:val="top"/>
          </w:tcPr>
          <w:p w14:paraId="39664EE2">
            <w:pPr>
              <w:rPr>
                <w:rFonts w:ascii="Arial"/>
                <w:color w:val="auto"/>
                <w:sz w:val="21"/>
                <w:highlight w:val="none"/>
              </w:rPr>
            </w:pPr>
          </w:p>
        </w:tc>
        <w:tc>
          <w:tcPr>
            <w:tcW w:w="691" w:type="dxa"/>
            <w:vAlign w:val="top"/>
          </w:tcPr>
          <w:p w14:paraId="4374A33B">
            <w:pPr>
              <w:rPr>
                <w:rFonts w:ascii="Arial"/>
                <w:color w:val="auto"/>
                <w:sz w:val="21"/>
                <w:highlight w:val="none"/>
              </w:rPr>
            </w:pPr>
          </w:p>
        </w:tc>
        <w:tc>
          <w:tcPr>
            <w:tcW w:w="686" w:type="dxa"/>
            <w:vAlign w:val="top"/>
          </w:tcPr>
          <w:p w14:paraId="76069A95">
            <w:pPr>
              <w:rPr>
                <w:rFonts w:ascii="Arial"/>
                <w:color w:val="auto"/>
                <w:sz w:val="21"/>
                <w:highlight w:val="none"/>
              </w:rPr>
            </w:pPr>
          </w:p>
        </w:tc>
        <w:tc>
          <w:tcPr>
            <w:tcW w:w="1128" w:type="dxa"/>
            <w:vAlign w:val="top"/>
          </w:tcPr>
          <w:p w14:paraId="216B985B">
            <w:pPr>
              <w:rPr>
                <w:rFonts w:ascii="Arial"/>
                <w:color w:val="auto"/>
                <w:sz w:val="21"/>
                <w:highlight w:val="none"/>
              </w:rPr>
            </w:pPr>
          </w:p>
        </w:tc>
        <w:tc>
          <w:tcPr>
            <w:tcW w:w="1574" w:type="dxa"/>
            <w:vAlign w:val="top"/>
          </w:tcPr>
          <w:p w14:paraId="2F213F81">
            <w:pPr>
              <w:rPr>
                <w:rFonts w:ascii="Arial"/>
                <w:color w:val="auto"/>
                <w:sz w:val="21"/>
                <w:highlight w:val="none"/>
              </w:rPr>
            </w:pPr>
          </w:p>
        </w:tc>
        <w:tc>
          <w:tcPr>
            <w:tcW w:w="830" w:type="dxa"/>
            <w:vAlign w:val="top"/>
          </w:tcPr>
          <w:p w14:paraId="547955DE">
            <w:pPr>
              <w:rPr>
                <w:rFonts w:ascii="Arial"/>
                <w:color w:val="auto"/>
                <w:sz w:val="21"/>
                <w:highlight w:val="none"/>
              </w:rPr>
            </w:pPr>
          </w:p>
        </w:tc>
      </w:tr>
      <w:tr w14:paraId="326DE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786B9DDD">
            <w:pPr>
              <w:rPr>
                <w:rFonts w:ascii="Arial"/>
                <w:color w:val="auto"/>
                <w:sz w:val="21"/>
                <w:highlight w:val="none"/>
              </w:rPr>
            </w:pPr>
          </w:p>
        </w:tc>
        <w:tc>
          <w:tcPr>
            <w:tcW w:w="1022" w:type="dxa"/>
            <w:vAlign w:val="top"/>
          </w:tcPr>
          <w:p w14:paraId="7DD2D4E6">
            <w:pPr>
              <w:rPr>
                <w:rFonts w:ascii="Arial"/>
                <w:color w:val="auto"/>
                <w:sz w:val="21"/>
                <w:highlight w:val="none"/>
              </w:rPr>
            </w:pPr>
          </w:p>
        </w:tc>
        <w:tc>
          <w:tcPr>
            <w:tcW w:w="652" w:type="dxa"/>
            <w:vAlign w:val="top"/>
          </w:tcPr>
          <w:p w14:paraId="6568EF97">
            <w:pPr>
              <w:rPr>
                <w:rFonts w:ascii="Arial"/>
                <w:color w:val="auto"/>
                <w:sz w:val="21"/>
                <w:highlight w:val="none"/>
              </w:rPr>
            </w:pPr>
          </w:p>
        </w:tc>
        <w:tc>
          <w:tcPr>
            <w:tcW w:w="984" w:type="dxa"/>
            <w:vAlign w:val="top"/>
          </w:tcPr>
          <w:p w14:paraId="19B583D6">
            <w:pPr>
              <w:rPr>
                <w:rFonts w:ascii="Arial"/>
                <w:color w:val="auto"/>
                <w:sz w:val="21"/>
                <w:highlight w:val="none"/>
              </w:rPr>
            </w:pPr>
          </w:p>
        </w:tc>
        <w:tc>
          <w:tcPr>
            <w:tcW w:w="691" w:type="dxa"/>
            <w:vAlign w:val="top"/>
          </w:tcPr>
          <w:p w14:paraId="4E64F4EF">
            <w:pPr>
              <w:rPr>
                <w:rFonts w:ascii="Arial"/>
                <w:color w:val="auto"/>
                <w:sz w:val="21"/>
                <w:highlight w:val="none"/>
              </w:rPr>
            </w:pPr>
          </w:p>
        </w:tc>
        <w:tc>
          <w:tcPr>
            <w:tcW w:w="686" w:type="dxa"/>
            <w:vAlign w:val="top"/>
          </w:tcPr>
          <w:p w14:paraId="5F6072C1">
            <w:pPr>
              <w:rPr>
                <w:rFonts w:ascii="Arial"/>
                <w:color w:val="auto"/>
                <w:sz w:val="21"/>
                <w:highlight w:val="none"/>
              </w:rPr>
            </w:pPr>
          </w:p>
        </w:tc>
        <w:tc>
          <w:tcPr>
            <w:tcW w:w="1128" w:type="dxa"/>
            <w:vAlign w:val="top"/>
          </w:tcPr>
          <w:p w14:paraId="20DC18BD">
            <w:pPr>
              <w:rPr>
                <w:rFonts w:ascii="Arial"/>
                <w:color w:val="auto"/>
                <w:sz w:val="21"/>
                <w:highlight w:val="none"/>
              </w:rPr>
            </w:pPr>
          </w:p>
        </w:tc>
        <w:tc>
          <w:tcPr>
            <w:tcW w:w="1574" w:type="dxa"/>
            <w:vAlign w:val="top"/>
          </w:tcPr>
          <w:p w14:paraId="3860723D">
            <w:pPr>
              <w:rPr>
                <w:rFonts w:ascii="Arial"/>
                <w:color w:val="auto"/>
                <w:sz w:val="21"/>
                <w:highlight w:val="none"/>
              </w:rPr>
            </w:pPr>
          </w:p>
        </w:tc>
        <w:tc>
          <w:tcPr>
            <w:tcW w:w="830" w:type="dxa"/>
            <w:vAlign w:val="top"/>
          </w:tcPr>
          <w:p w14:paraId="43B65C0C">
            <w:pPr>
              <w:rPr>
                <w:rFonts w:ascii="Arial"/>
                <w:color w:val="auto"/>
                <w:sz w:val="21"/>
                <w:highlight w:val="none"/>
              </w:rPr>
            </w:pPr>
          </w:p>
        </w:tc>
      </w:tr>
      <w:tr w14:paraId="6E88E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47EBE44E">
            <w:pPr>
              <w:rPr>
                <w:rFonts w:ascii="Arial"/>
                <w:color w:val="auto"/>
                <w:sz w:val="21"/>
                <w:highlight w:val="none"/>
              </w:rPr>
            </w:pPr>
          </w:p>
        </w:tc>
        <w:tc>
          <w:tcPr>
            <w:tcW w:w="1022" w:type="dxa"/>
            <w:vAlign w:val="top"/>
          </w:tcPr>
          <w:p w14:paraId="39C86D4D">
            <w:pPr>
              <w:rPr>
                <w:rFonts w:ascii="Arial"/>
                <w:color w:val="auto"/>
                <w:sz w:val="21"/>
                <w:highlight w:val="none"/>
              </w:rPr>
            </w:pPr>
          </w:p>
        </w:tc>
        <w:tc>
          <w:tcPr>
            <w:tcW w:w="652" w:type="dxa"/>
            <w:vAlign w:val="top"/>
          </w:tcPr>
          <w:p w14:paraId="43A2B255">
            <w:pPr>
              <w:rPr>
                <w:rFonts w:ascii="Arial"/>
                <w:color w:val="auto"/>
                <w:sz w:val="21"/>
                <w:highlight w:val="none"/>
              </w:rPr>
            </w:pPr>
          </w:p>
        </w:tc>
        <w:tc>
          <w:tcPr>
            <w:tcW w:w="984" w:type="dxa"/>
            <w:vAlign w:val="top"/>
          </w:tcPr>
          <w:p w14:paraId="73737FDB">
            <w:pPr>
              <w:rPr>
                <w:rFonts w:ascii="Arial"/>
                <w:color w:val="auto"/>
                <w:sz w:val="21"/>
                <w:highlight w:val="none"/>
              </w:rPr>
            </w:pPr>
          </w:p>
        </w:tc>
        <w:tc>
          <w:tcPr>
            <w:tcW w:w="691" w:type="dxa"/>
            <w:vAlign w:val="top"/>
          </w:tcPr>
          <w:p w14:paraId="0B66547A">
            <w:pPr>
              <w:rPr>
                <w:rFonts w:ascii="Arial"/>
                <w:color w:val="auto"/>
                <w:sz w:val="21"/>
                <w:highlight w:val="none"/>
              </w:rPr>
            </w:pPr>
          </w:p>
        </w:tc>
        <w:tc>
          <w:tcPr>
            <w:tcW w:w="686" w:type="dxa"/>
            <w:vAlign w:val="top"/>
          </w:tcPr>
          <w:p w14:paraId="54AD1A7B">
            <w:pPr>
              <w:rPr>
                <w:rFonts w:ascii="Arial"/>
                <w:color w:val="auto"/>
                <w:sz w:val="21"/>
                <w:highlight w:val="none"/>
              </w:rPr>
            </w:pPr>
          </w:p>
        </w:tc>
        <w:tc>
          <w:tcPr>
            <w:tcW w:w="1128" w:type="dxa"/>
            <w:vAlign w:val="top"/>
          </w:tcPr>
          <w:p w14:paraId="38AA65FF">
            <w:pPr>
              <w:rPr>
                <w:rFonts w:ascii="Arial"/>
                <w:color w:val="auto"/>
                <w:sz w:val="21"/>
                <w:highlight w:val="none"/>
              </w:rPr>
            </w:pPr>
          </w:p>
        </w:tc>
        <w:tc>
          <w:tcPr>
            <w:tcW w:w="1574" w:type="dxa"/>
            <w:vAlign w:val="top"/>
          </w:tcPr>
          <w:p w14:paraId="57BADF99">
            <w:pPr>
              <w:rPr>
                <w:rFonts w:ascii="Arial"/>
                <w:color w:val="auto"/>
                <w:sz w:val="21"/>
                <w:highlight w:val="none"/>
              </w:rPr>
            </w:pPr>
          </w:p>
        </w:tc>
        <w:tc>
          <w:tcPr>
            <w:tcW w:w="830" w:type="dxa"/>
            <w:vAlign w:val="top"/>
          </w:tcPr>
          <w:p w14:paraId="6E769AE0">
            <w:pPr>
              <w:rPr>
                <w:rFonts w:ascii="Arial"/>
                <w:color w:val="auto"/>
                <w:sz w:val="21"/>
                <w:highlight w:val="none"/>
              </w:rPr>
            </w:pPr>
          </w:p>
        </w:tc>
      </w:tr>
      <w:tr w14:paraId="73312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2ADC50F9">
            <w:pPr>
              <w:rPr>
                <w:rFonts w:ascii="Arial"/>
                <w:color w:val="auto"/>
                <w:sz w:val="21"/>
                <w:highlight w:val="none"/>
              </w:rPr>
            </w:pPr>
          </w:p>
        </w:tc>
        <w:tc>
          <w:tcPr>
            <w:tcW w:w="1022" w:type="dxa"/>
            <w:vAlign w:val="top"/>
          </w:tcPr>
          <w:p w14:paraId="334C48BE">
            <w:pPr>
              <w:rPr>
                <w:rFonts w:ascii="Arial"/>
                <w:color w:val="auto"/>
                <w:sz w:val="21"/>
                <w:highlight w:val="none"/>
              </w:rPr>
            </w:pPr>
          </w:p>
        </w:tc>
        <w:tc>
          <w:tcPr>
            <w:tcW w:w="652" w:type="dxa"/>
            <w:vAlign w:val="top"/>
          </w:tcPr>
          <w:p w14:paraId="7C2924DE">
            <w:pPr>
              <w:rPr>
                <w:rFonts w:ascii="Arial"/>
                <w:color w:val="auto"/>
                <w:sz w:val="21"/>
                <w:highlight w:val="none"/>
              </w:rPr>
            </w:pPr>
          </w:p>
        </w:tc>
        <w:tc>
          <w:tcPr>
            <w:tcW w:w="984" w:type="dxa"/>
            <w:vAlign w:val="top"/>
          </w:tcPr>
          <w:p w14:paraId="10DE6A9A">
            <w:pPr>
              <w:rPr>
                <w:rFonts w:ascii="Arial"/>
                <w:color w:val="auto"/>
                <w:sz w:val="21"/>
                <w:highlight w:val="none"/>
              </w:rPr>
            </w:pPr>
          </w:p>
        </w:tc>
        <w:tc>
          <w:tcPr>
            <w:tcW w:w="691" w:type="dxa"/>
            <w:vAlign w:val="top"/>
          </w:tcPr>
          <w:p w14:paraId="43478005">
            <w:pPr>
              <w:rPr>
                <w:rFonts w:ascii="Arial"/>
                <w:color w:val="auto"/>
                <w:sz w:val="21"/>
                <w:highlight w:val="none"/>
              </w:rPr>
            </w:pPr>
          </w:p>
        </w:tc>
        <w:tc>
          <w:tcPr>
            <w:tcW w:w="686" w:type="dxa"/>
            <w:vAlign w:val="top"/>
          </w:tcPr>
          <w:p w14:paraId="6DE12E93">
            <w:pPr>
              <w:rPr>
                <w:rFonts w:ascii="Arial"/>
                <w:color w:val="auto"/>
                <w:sz w:val="21"/>
                <w:highlight w:val="none"/>
              </w:rPr>
            </w:pPr>
          </w:p>
        </w:tc>
        <w:tc>
          <w:tcPr>
            <w:tcW w:w="1128" w:type="dxa"/>
            <w:vAlign w:val="top"/>
          </w:tcPr>
          <w:p w14:paraId="771D9372">
            <w:pPr>
              <w:rPr>
                <w:rFonts w:ascii="Arial"/>
                <w:color w:val="auto"/>
                <w:sz w:val="21"/>
                <w:highlight w:val="none"/>
              </w:rPr>
            </w:pPr>
          </w:p>
        </w:tc>
        <w:tc>
          <w:tcPr>
            <w:tcW w:w="1574" w:type="dxa"/>
            <w:vAlign w:val="top"/>
          </w:tcPr>
          <w:p w14:paraId="0027D7EC">
            <w:pPr>
              <w:rPr>
                <w:rFonts w:ascii="Arial"/>
                <w:color w:val="auto"/>
                <w:sz w:val="21"/>
                <w:highlight w:val="none"/>
              </w:rPr>
            </w:pPr>
          </w:p>
        </w:tc>
        <w:tc>
          <w:tcPr>
            <w:tcW w:w="830" w:type="dxa"/>
            <w:vAlign w:val="top"/>
          </w:tcPr>
          <w:p w14:paraId="2C3012A6">
            <w:pPr>
              <w:rPr>
                <w:rFonts w:ascii="Arial"/>
                <w:color w:val="auto"/>
                <w:sz w:val="21"/>
                <w:highlight w:val="none"/>
              </w:rPr>
            </w:pPr>
          </w:p>
        </w:tc>
      </w:tr>
      <w:tr w14:paraId="04C35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4312D901">
            <w:pPr>
              <w:rPr>
                <w:rFonts w:ascii="Arial"/>
                <w:color w:val="auto"/>
                <w:sz w:val="21"/>
                <w:highlight w:val="none"/>
              </w:rPr>
            </w:pPr>
          </w:p>
        </w:tc>
        <w:tc>
          <w:tcPr>
            <w:tcW w:w="1022" w:type="dxa"/>
            <w:vAlign w:val="top"/>
          </w:tcPr>
          <w:p w14:paraId="599A84EF">
            <w:pPr>
              <w:rPr>
                <w:rFonts w:ascii="Arial"/>
                <w:color w:val="auto"/>
                <w:sz w:val="21"/>
                <w:highlight w:val="none"/>
              </w:rPr>
            </w:pPr>
          </w:p>
        </w:tc>
        <w:tc>
          <w:tcPr>
            <w:tcW w:w="652" w:type="dxa"/>
            <w:vAlign w:val="top"/>
          </w:tcPr>
          <w:p w14:paraId="5D1F20E0">
            <w:pPr>
              <w:rPr>
                <w:rFonts w:ascii="Arial"/>
                <w:color w:val="auto"/>
                <w:sz w:val="21"/>
                <w:highlight w:val="none"/>
              </w:rPr>
            </w:pPr>
          </w:p>
        </w:tc>
        <w:tc>
          <w:tcPr>
            <w:tcW w:w="984" w:type="dxa"/>
            <w:vAlign w:val="top"/>
          </w:tcPr>
          <w:p w14:paraId="76B72ECB">
            <w:pPr>
              <w:rPr>
                <w:rFonts w:ascii="Arial"/>
                <w:color w:val="auto"/>
                <w:sz w:val="21"/>
                <w:highlight w:val="none"/>
              </w:rPr>
            </w:pPr>
          </w:p>
        </w:tc>
        <w:tc>
          <w:tcPr>
            <w:tcW w:w="691" w:type="dxa"/>
            <w:vAlign w:val="top"/>
          </w:tcPr>
          <w:p w14:paraId="11550A36">
            <w:pPr>
              <w:rPr>
                <w:rFonts w:ascii="Arial"/>
                <w:color w:val="auto"/>
                <w:sz w:val="21"/>
                <w:highlight w:val="none"/>
              </w:rPr>
            </w:pPr>
          </w:p>
        </w:tc>
        <w:tc>
          <w:tcPr>
            <w:tcW w:w="686" w:type="dxa"/>
            <w:vAlign w:val="top"/>
          </w:tcPr>
          <w:p w14:paraId="328E185E">
            <w:pPr>
              <w:rPr>
                <w:rFonts w:ascii="Arial"/>
                <w:color w:val="auto"/>
                <w:sz w:val="21"/>
                <w:highlight w:val="none"/>
              </w:rPr>
            </w:pPr>
          </w:p>
        </w:tc>
        <w:tc>
          <w:tcPr>
            <w:tcW w:w="1128" w:type="dxa"/>
            <w:vAlign w:val="top"/>
          </w:tcPr>
          <w:p w14:paraId="78B42527">
            <w:pPr>
              <w:rPr>
                <w:rFonts w:ascii="Arial"/>
                <w:color w:val="auto"/>
                <w:sz w:val="21"/>
                <w:highlight w:val="none"/>
              </w:rPr>
            </w:pPr>
          </w:p>
        </w:tc>
        <w:tc>
          <w:tcPr>
            <w:tcW w:w="1574" w:type="dxa"/>
            <w:vAlign w:val="top"/>
          </w:tcPr>
          <w:p w14:paraId="11360BC8">
            <w:pPr>
              <w:rPr>
                <w:rFonts w:ascii="Arial"/>
                <w:color w:val="auto"/>
                <w:sz w:val="21"/>
                <w:highlight w:val="none"/>
              </w:rPr>
            </w:pPr>
          </w:p>
        </w:tc>
        <w:tc>
          <w:tcPr>
            <w:tcW w:w="830" w:type="dxa"/>
            <w:vAlign w:val="top"/>
          </w:tcPr>
          <w:p w14:paraId="470E99C6">
            <w:pPr>
              <w:rPr>
                <w:rFonts w:ascii="Arial"/>
                <w:color w:val="auto"/>
                <w:sz w:val="21"/>
                <w:highlight w:val="none"/>
              </w:rPr>
            </w:pPr>
          </w:p>
        </w:tc>
      </w:tr>
      <w:tr w14:paraId="5EB88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73AF0DDC">
            <w:pPr>
              <w:rPr>
                <w:rFonts w:ascii="Arial"/>
                <w:color w:val="auto"/>
                <w:sz w:val="21"/>
                <w:highlight w:val="none"/>
              </w:rPr>
            </w:pPr>
          </w:p>
        </w:tc>
        <w:tc>
          <w:tcPr>
            <w:tcW w:w="1022" w:type="dxa"/>
            <w:vAlign w:val="top"/>
          </w:tcPr>
          <w:p w14:paraId="0C338CC3">
            <w:pPr>
              <w:rPr>
                <w:rFonts w:ascii="Arial"/>
                <w:color w:val="auto"/>
                <w:sz w:val="21"/>
                <w:highlight w:val="none"/>
              </w:rPr>
            </w:pPr>
          </w:p>
        </w:tc>
        <w:tc>
          <w:tcPr>
            <w:tcW w:w="652" w:type="dxa"/>
            <w:vAlign w:val="top"/>
          </w:tcPr>
          <w:p w14:paraId="5422E0CC">
            <w:pPr>
              <w:rPr>
                <w:rFonts w:ascii="Arial"/>
                <w:color w:val="auto"/>
                <w:sz w:val="21"/>
                <w:highlight w:val="none"/>
              </w:rPr>
            </w:pPr>
          </w:p>
        </w:tc>
        <w:tc>
          <w:tcPr>
            <w:tcW w:w="984" w:type="dxa"/>
            <w:vAlign w:val="top"/>
          </w:tcPr>
          <w:p w14:paraId="56C1665D">
            <w:pPr>
              <w:rPr>
                <w:rFonts w:ascii="Arial"/>
                <w:color w:val="auto"/>
                <w:sz w:val="21"/>
                <w:highlight w:val="none"/>
              </w:rPr>
            </w:pPr>
          </w:p>
        </w:tc>
        <w:tc>
          <w:tcPr>
            <w:tcW w:w="691" w:type="dxa"/>
            <w:vAlign w:val="top"/>
          </w:tcPr>
          <w:p w14:paraId="618D373C">
            <w:pPr>
              <w:rPr>
                <w:rFonts w:ascii="Arial"/>
                <w:color w:val="auto"/>
                <w:sz w:val="21"/>
                <w:highlight w:val="none"/>
              </w:rPr>
            </w:pPr>
          </w:p>
        </w:tc>
        <w:tc>
          <w:tcPr>
            <w:tcW w:w="686" w:type="dxa"/>
            <w:vAlign w:val="top"/>
          </w:tcPr>
          <w:p w14:paraId="511E7138">
            <w:pPr>
              <w:rPr>
                <w:rFonts w:ascii="Arial"/>
                <w:color w:val="auto"/>
                <w:sz w:val="21"/>
                <w:highlight w:val="none"/>
              </w:rPr>
            </w:pPr>
          </w:p>
        </w:tc>
        <w:tc>
          <w:tcPr>
            <w:tcW w:w="1128" w:type="dxa"/>
            <w:vAlign w:val="top"/>
          </w:tcPr>
          <w:p w14:paraId="25F440B2">
            <w:pPr>
              <w:rPr>
                <w:rFonts w:ascii="Arial"/>
                <w:color w:val="auto"/>
                <w:sz w:val="21"/>
                <w:highlight w:val="none"/>
              </w:rPr>
            </w:pPr>
          </w:p>
        </w:tc>
        <w:tc>
          <w:tcPr>
            <w:tcW w:w="1574" w:type="dxa"/>
            <w:vAlign w:val="top"/>
          </w:tcPr>
          <w:p w14:paraId="1F9EB4A1">
            <w:pPr>
              <w:rPr>
                <w:rFonts w:ascii="Arial"/>
                <w:color w:val="auto"/>
                <w:sz w:val="21"/>
                <w:highlight w:val="none"/>
              </w:rPr>
            </w:pPr>
          </w:p>
        </w:tc>
        <w:tc>
          <w:tcPr>
            <w:tcW w:w="830" w:type="dxa"/>
            <w:vAlign w:val="top"/>
          </w:tcPr>
          <w:p w14:paraId="57D626CE">
            <w:pPr>
              <w:rPr>
                <w:rFonts w:ascii="Arial"/>
                <w:color w:val="auto"/>
                <w:sz w:val="21"/>
                <w:highlight w:val="none"/>
              </w:rPr>
            </w:pPr>
          </w:p>
        </w:tc>
      </w:tr>
      <w:tr w14:paraId="4954C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684D6264">
            <w:pPr>
              <w:rPr>
                <w:rFonts w:ascii="Arial"/>
                <w:color w:val="auto"/>
                <w:sz w:val="21"/>
                <w:highlight w:val="none"/>
              </w:rPr>
            </w:pPr>
          </w:p>
        </w:tc>
        <w:tc>
          <w:tcPr>
            <w:tcW w:w="1022" w:type="dxa"/>
            <w:vAlign w:val="top"/>
          </w:tcPr>
          <w:p w14:paraId="4B22F1DC">
            <w:pPr>
              <w:rPr>
                <w:rFonts w:ascii="Arial"/>
                <w:color w:val="auto"/>
                <w:sz w:val="21"/>
                <w:highlight w:val="none"/>
              </w:rPr>
            </w:pPr>
          </w:p>
        </w:tc>
        <w:tc>
          <w:tcPr>
            <w:tcW w:w="652" w:type="dxa"/>
            <w:vAlign w:val="top"/>
          </w:tcPr>
          <w:p w14:paraId="38BC39BD">
            <w:pPr>
              <w:rPr>
                <w:rFonts w:ascii="Arial"/>
                <w:color w:val="auto"/>
                <w:sz w:val="21"/>
                <w:highlight w:val="none"/>
              </w:rPr>
            </w:pPr>
          </w:p>
        </w:tc>
        <w:tc>
          <w:tcPr>
            <w:tcW w:w="984" w:type="dxa"/>
            <w:vAlign w:val="top"/>
          </w:tcPr>
          <w:p w14:paraId="682BC521">
            <w:pPr>
              <w:rPr>
                <w:rFonts w:ascii="Arial"/>
                <w:color w:val="auto"/>
                <w:sz w:val="21"/>
                <w:highlight w:val="none"/>
              </w:rPr>
            </w:pPr>
          </w:p>
        </w:tc>
        <w:tc>
          <w:tcPr>
            <w:tcW w:w="691" w:type="dxa"/>
            <w:vAlign w:val="top"/>
          </w:tcPr>
          <w:p w14:paraId="14ADCEFC">
            <w:pPr>
              <w:rPr>
                <w:rFonts w:ascii="Arial"/>
                <w:color w:val="auto"/>
                <w:sz w:val="21"/>
                <w:highlight w:val="none"/>
              </w:rPr>
            </w:pPr>
          </w:p>
        </w:tc>
        <w:tc>
          <w:tcPr>
            <w:tcW w:w="686" w:type="dxa"/>
            <w:vAlign w:val="top"/>
          </w:tcPr>
          <w:p w14:paraId="7DF0308B">
            <w:pPr>
              <w:rPr>
                <w:rFonts w:ascii="Arial"/>
                <w:color w:val="auto"/>
                <w:sz w:val="21"/>
                <w:highlight w:val="none"/>
              </w:rPr>
            </w:pPr>
          </w:p>
        </w:tc>
        <w:tc>
          <w:tcPr>
            <w:tcW w:w="1128" w:type="dxa"/>
            <w:vAlign w:val="top"/>
          </w:tcPr>
          <w:p w14:paraId="797C7EB5">
            <w:pPr>
              <w:rPr>
                <w:rFonts w:ascii="Arial"/>
                <w:color w:val="auto"/>
                <w:sz w:val="21"/>
                <w:highlight w:val="none"/>
              </w:rPr>
            </w:pPr>
          </w:p>
        </w:tc>
        <w:tc>
          <w:tcPr>
            <w:tcW w:w="1574" w:type="dxa"/>
            <w:vAlign w:val="top"/>
          </w:tcPr>
          <w:p w14:paraId="3F808AB0">
            <w:pPr>
              <w:rPr>
                <w:rFonts w:ascii="Arial"/>
                <w:color w:val="auto"/>
                <w:sz w:val="21"/>
                <w:highlight w:val="none"/>
              </w:rPr>
            </w:pPr>
          </w:p>
        </w:tc>
        <w:tc>
          <w:tcPr>
            <w:tcW w:w="830" w:type="dxa"/>
            <w:vAlign w:val="top"/>
          </w:tcPr>
          <w:p w14:paraId="41B5980D">
            <w:pPr>
              <w:rPr>
                <w:rFonts w:ascii="Arial"/>
                <w:color w:val="auto"/>
                <w:sz w:val="21"/>
                <w:highlight w:val="none"/>
              </w:rPr>
            </w:pPr>
          </w:p>
        </w:tc>
      </w:tr>
      <w:tr w14:paraId="4A578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3ABBF16B">
            <w:pPr>
              <w:rPr>
                <w:rFonts w:ascii="Arial"/>
                <w:color w:val="auto"/>
                <w:sz w:val="21"/>
                <w:highlight w:val="none"/>
              </w:rPr>
            </w:pPr>
          </w:p>
        </w:tc>
        <w:tc>
          <w:tcPr>
            <w:tcW w:w="1022" w:type="dxa"/>
            <w:vAlign w:val="top"/>
          </w:tcPr>
          <w:p w14:paraId="17EC4688">
            <w:pPr>
              <w:rPr>
                <w:rFonts w:ascii="Arial"/>
                <w:color w:val="auto"/>
                <w:sz w:val="21"/>
                <w:highlight w:val="none"/>
              </w:rPr>
            </w:pPr>
          </w:p>
        </w:tc>
        <w:tc>
          <w:tcPr>
            <w:tcW w:w="652" w:type="dxa"/>
            <w:vAlign w:val="top"/>
          </w:tcPr>
          <w:p w14:paraId="41B82CF1">
            <w:pPr>
              <w:rPr>
                <w:rFonts w:ascii="Arial"/>
                <w:color w:val="auto"/>
                <w:sz w:val="21"/>
                <w:highlight w:val="none"/>
              </w:rPr>
            </w:pPr>
          </w:p>
        </w:tc>
        <w:tc>
          <w:tcPr>
            <w:tcW w:w="984" w:type="dxa"/>
            <w:vAlign w:val="top"/>
          </w:tcPr>
          <w:p w14:paraId="1CAE5859">
            <w:pPr>
              <w:rPr>
                <w:rFonts w:ascii="Arial"/>
                <w:color w:val="auto"/>
                <w:sz w:val="21"/>
                <w:highlight w:val="none"/>
              </w:rPr>
            </w:pPr>
          </w:p>
        </w:tc>
        <w:tc>
          <w:tcPr>
            <w:tcW w:w="691" w:type="dxa"/>
            <w:vAlign w:val="top"/>
          </w:tcPr>
          <w:p w14:paraId="2879BF80">
            <w:pPr>
              <w:rPr>
                <w:rFonts w:ascii="Arial"/>
                <w:color w:val="auto"/>
                <w:sz w:val="21"/>
                <w:highlight w:val="none"/>
              </w:rPr>
            </w:pPr>
          </w:p>
        </w:tc>
        <w:tc>
          <w:tcPr>
            <w:tcW w:w="686" w:type="dxa"/>
            <w:vAlign w:val="top"/>
          </w:tcPr>
          <w:p w14:paraId="6195E9EB">
            <w:pPr>
              <w:rPr>
                <w:rFonts w:ascii="Arial"/>
                <w:color w:val="auto"/>
                <w:sz w:val="21"/>
                <w:highlight w:val="none"/>
              </w:rPr>
            </w:pPr>
          </w:p>
        </w:tc>
        <w:tc>
          <w:tcPr>
            <w:tcW w:w="1128" w:type="dxa"/>
            <w:vAlign w:val="top"/>
          </w:tcPr>
          <w:p w14:paraId="3BF1C9A1">
            <w:pPr>
              <w:rPr>
                <w:rFonts w:ascii="Arial"/>
                <w:color w:val="auto"/>
                <w:sz w:val="21"/>
                <w:highlight w:val="none"/>
              </w:rPr>
            </w:pPr>
          </w:p>
        </w:tc>
        <w:tc>
          <w:tcPr>
            <w:tcW w:w="1574" w:type="dxa"/>
            <w:vAlign w:val="top"/>
          </w:tcPr>
          <w:p w14:paraId="4A16E262">
            <w:pPr>
              <w:rPr>
                <w:rFonts w:ascii="Arial"/>
                <w:color w:val="auto"/>
                <w:sz w:val="21"/>
                <w:highlight w:val="none"/>
              </w:rPr>
            </w:pPr>
          </w:p>
        </w:tc>
        <w:tc>
          <w:tcPr>
            <w:tcW w:w="830" w:type="dxa"/>
            <w:vAlign w:val="top"/>
          </w:tcPr>
          <w:p w14:paraId="3C769688">
            <w:pPr>
              <w:rPr>
                <w:rFonts w:ascii="Arial"/>
                <w:color w:val="auto"/>
                <w:sz w:val="21"/>
                <w:highlight w:val="none"/>
              </w:rPr>
            </w:pPr>
          </w:p>
        </w:tc>
      </w:tr>
      <w:tr w14:paraId="02846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6F978F4A">
            <w:pPr>
              <w:rPr>
                <w:rFonts w:ascii="Arial"/>
                <w:color w:val="auto"/>
                <w:sz w:val="21"/>
                <w:highlight w:val="none"/>
              </w:rPr>
            </w:pPr>
          </w:p>
        </w:tc>
        <w:tc>
          <w:tcPr>
            <w:tcW w:w="1022" w:type="dxa"/>
            <w:vAlign w:val="top"/>
          </w:tcPr>
          <w:p w14:paraId="4DA1596C">
            <w:pPr>
              <w:rPr>
                <w:rFonts w:ascii="Arial"/>
                <w:color w:val="auto"/>
                <w:sz w:val="21"/>
                <w:highlight w:val="none"/>
              </w:rPr>
            </w:pPr>
          </w:p>
        </w:tc>
        <w:tc>
          <w:tcPr>
            <w:tcW w:w="652" w:type="dxa"/>
            <w:vAlign w:val="top"/>
          </w:tcPr>
          <w:p w14:paraId="525357C7">
            <w:pPr>
              <w:rPr>
                <w:rFonts w:ascii="Arial"/>
                <w:color w:val="auto"/>
                <w:sz w:val="21"/>
                <w:highlight w:val="none"/>
              </w:rPr>
            </w:pPr>
          </w:p>
        </w:tc>
        <w:tc>
          <w:tcPr>
            <w:tcW w:w="984" w:type="dxa"/>
            <w:vAlign w:val="top"/>
          </w:tcPr>
          <w:p w14:paraId="0BB3A77D">
            <w:pPr>
              <w:rPr>
                <w:rFonts w:ascii="Arial"/>
                <w:color w:val="auto"/>
                <w:sz w:val="21"/>
                <w:highlight w:val="none"/>
              </w:rPr>
            </w:pPr>
          </w:p>
        </w:tc>
        <w:tc>
          <w:tcPr>
            <w:tcW w:w="691" w:type="dxa"/>
            <w:vAlign w:val="top"/>
          </w:tcPr>
          <w:p w14:paraId="38B861CD">
            <w:pPr>
              <w:rPr>
                <w:rFonts w:ascii="Arial"/>
                <w:color w:val="auto"/>
                <w:sz w:val="21"/>
                <w:highlight w:val="none"/>
              </w:rPr>
            </w:pPr>
          </w:p>
        </w:tc>
        <w:tc>
          <w:tcPr>
            <w:tcW w:w="686" w:type="dxa"/>
            <w:vAlign w:val="top"/>
          </w:tcPr>
          <w:p w14:paraId="769AC028">
            <w:pPr>
              <w:rPr>
                <w:rFonts w:ascii="Arial"/>
                <w:color w:val="auto"/>
                <w:sz w:val="21"/>
                <w:highlight w:val="none"/>
              </w:rPr>
            </w:pPr>
          </w:p>
        </w:tc>
        <w:tc>
          <w:tcPr>
            <w:tcW w:w="1128" w:type="dxa"/>
            <w:vAlign w:val="top"/>
          </w:tcPr>
          <w:p w14:paraId="1F324C98">
            <w:pPr>
              <w:rPr>
                <w:rFonts w:ascii="Arial"/>
                <w:color w:val="auto"/>
                <w:sz w:val="21"/>
                <w:highlight w:val="none"/>
              </w:rPr>
            </w:pPr>
          </w:p>
        </w:tc>
        <w:tc>
          <w:tcPr>
            <w:tcW w:w="1574" w:type="dxa"/>
            <w:vAlign w:val="top"/>
          </w:tcPr>
          <w:p w14:paraId="1B6A3AFA">
            <w:pPr>
              <w:rPr>
                <w:rFonts w:ascii="Arial"/>
                <w:color w:val="auto"/>
                <w:sz w:val="21"/>
                <w:highlight w:val="none"/>
              </w:rPr>
            </w:pPr>
          </w:p>
        </w:tc>
        <w:tc>
          <w:tcPr>
            <w:tcW w:w="830" w:type="dxa"/>
            <w:vAlign w:val="top"/>
          </w:tcPr>
          <w:p w14:paraId="2685D387">
            <w:pPr>
              <w:rPr>
                <w:rFonts w:ascii="Arial"/>
                <w:color w:val="auto"/>
                <w:sz w:val="21"/>
                <w:highlight w:val="none"/>
              </w:rPr>
            </w:pPr>
          </w:p>
        </w:tc>
      </w:tr>
      <w:tr w14:paraId="4D272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3BB22C35">
            <w:pPr>
              <w:rPr>
                <w:rFonts w:ascii="Arial"/>
                <w:color w:val="auto"/>
                <w:sz w:val="21"/>
                <w:highlight w:val="none"/>
              </w:rPr>
            </w:pPr>
          </w:p>
        </w:tc>
        <w:tc>
          <w:tcPr>
            <w:tcW w:w="1022" w:type="dxa"/>
            <w:vAlign w:val="top"/>
          </w:tcPr>
          <w:p w14:paraId="4E9DC37F">
            <w:pPr>
              <w:rPr>
                <w:rFonts w:ascii="Arial"/>
                <w:color w:val="auto"/>
                <w:sz w:val="21"/>
                <w:highlight w:val="none"/>
              </w:rPr>
            </w:pPr>
          </w:p>
        </w:tc>
        <w:tc>
          <w:tcPr>
            <w:tcW w:w="652" w:type="dxa"/>
            <w:vAlign w:val="top"/>
          </w:tcPr>
          <w:p w14:paraId="26AB8562">
            <w:pPr>
              <w:rPr>
                <w:rFonts w:ascii="Arial"/>
                <w:color w:val="auto"/>
                <w:sz w:val="21"/>
                <w:highlight w:val="none"/>
              </w:rPr>
            </w:pPr>
          </w:p>
        </w:tc>
        <w:tc>
          <w:tcPr>
            <w:tcW w:w="984" w:type="dxa"/>
            <w:vAlign w:val="top"/>
          </w:tcPr>
          <w:p w14:paraId="763E33C2">
            <w:pPr>
              <w:rPr>
                <w:rFonts w:ascii="Arial"/>
                <w:color w:val="auto"/>
                <w:sz w:val="21"/>
                <w:highlight w:val="none"/>
              </w:rPr>
            </w:pPr>
          </w:p>
        </w:tc>
        <w:tc>
          <w:tcPr>
            <w:tcW w:w="691" w:type="dxa"/>
            <w:vAlign w:val="top"/>
          </w:tcPr>
          <w:p w14:paraId="423491AF">
            <w:pPr>
              <w:rPr>
                <w:rFonts w:ascii="Arial"/>
                <w:color w:val="auto"/>
                <w:sz w:val="21"/>
                <w:highlight w:val="none"/>
              </w:rPr>
            </w:pPr>
          </w:p>
        </w:tc>
        <w:tc>
          <w:tcPr>
            <w:tcW w:w="686" w:type="dxa"/>
            <w:vAlign w:val="top"/>
          </w:tcPr>
          <w:p w14:paraId="60A70EB4">
            <w:pPr>
              <w:rPr>
                <w:rFonts w:ascii="Arial"/>
                <w:color w:val="auto"/>
                <w:sz w:val="21"/>
                <w:highlight w:val="none"/>
              </w:rPr>
            </w:pPr>
          </w:p>
        </w:tc>
        <w:tc>
          <w:tcPr>
            <w:tcW w:w="1128" w:type="dxa"/>
            <w:vAlign w:val="top"/>
          </w:tcPr>
          <w:p w14:paraId="7B79E37F">
            <w:pPr>
              <w:rPr>
                <w:rFonts w:ascii="Arial"/>
                <w:color w:val="auto"/>
                <w:sz w:val="21"/>
                <w:highlight w:val="none"/>
              </w:rPr>
            </w:pPr>
          </w:p>
        </w:tc>
        <w:tc>
          <w:tcPr>
            <w:tcW w:w="1574" w:type="dxa"/>
            <w:vAlign w:val="top"/>
          </w:tcPr>
          <w:p w14:paraId="51AE0B5F">
            <w:pPr>
              <w:rPr>
                <w:rFonts w:ascii="Arial"/>
                <w:color w:val="auto"/>
                <w:sz w:val="21"/>
                <w:highlight w:val="none"/>
              </w:rPr>
            </w:pPr>
          </w:p>
        </w:tc>
        <w:tc>
          <w:tcPr>
            <w:tcW w:w="830" w:type="dxa"/>
            <w:vAlign w:val="top"/>
          </w:tcPr>
          <w:p w14:paraId="61F4BF1F">
            <w:pPr>
              <w:rPr>
                <w:rFonts w:ascii="Arial"/>
                <w:color w:val="auto"/>
                <w:sz w:val="21"/>
                <w:highlight w:val="none"/>
              </w:rPr>
            </w:pPr>
          </w:p>
        </w:tc>
      </w:tr>
      <w:tr w14:paraId="56990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7246DEC0">
            <w:pPr>
              <w:rPr>
                <w:rFonts w:ascii="Arial"/>
                <w:color w:val="auto"/>
                <w:sz w:val="21"/>
                <w:highlight w:val="none"/>
              </w:rPr>
            </w:pPr>
          </w:p>
        </w:tc>
        <w:tc>
          <w:tcPr>
            <w:tcW w:w="1022" w:type="dxa"/>
            <w:vAlign w:val="top"/>
          </w:tcPr>
          <w:p w14:paraId="6EEC2160">
            <w:pPr>
              <w:rPr>
                <w:rFonts w:ascii="Arial"/>
                <w:color w:val="auto"/>
                <w:sz w:val="21"/>
                <w:highlight w:val="none"/>
              </w:rPr>
            </w:pPr>
          </w:p>
        </w:tc>
        <w:tc>
          <w:tcPr>
            <w:tcW w:w="652" w:type="dxa"/>
            <w:vAlign w:val="top"/>
          </w:tcPr>
          <w:p w14:paraId="61B0C306">
            <w:pPr>
              <w:rPr>
                <w:rFonts w:ascii="Arial"/>
                <w:color w:val="auto"/>
                <w:sz w:val="21"/>
                <w:highlight w:val="none"/>
              </w:rPr>
            </w:pPr>
          </w:p>
        </w:tc>
        <w:tc>
          <w:tcPr>
            <w:tcW w:w="984" w:type="dxa"/>
            <w:vAlign w:val="top"/>
          </w:tcPr>
          <w:p w14:paraId="4BCE0F43">
            <w:pPr>
              <w:rPr>
                <w:rFonts w:ascii="Arial"/>
                <w:color w:val="auto"/>
                <w:sz w:val="21"/>
                <w:highlight w:val="none"/>
              </w:rPr>
            </w:pPr>
          </w:p>
        </w:tc>
        <w:tc>
          <w:tcPr>
            <w:tcW w:w="691" w:type="dxa"/>
            <w:vAlign w:val="top"/>
          </w:tcPr>
          <w:p w14:paraId="6393409C">
            <w:pPr>
              <w:rPr>
                <w:rFonts w:ascii="Arial"/>
                <w:color w:val="auto"/>
                <w:sz w:val="21"/>
                <w:highlight w:val="none"/>
              </w:rPr>
            </w:pPr>
          </w:p>
        </w:tc>
        <w:tc>
          <w:tcPr>
            <w:tcW w:w="686" w:type="dxa"/>
            <w:vAlign w:val="top"/>
          </w:tcPr>
          <w:p w14:paraId="06325D94">
            <w:pPr>
              <w:rPr>
                <w:rFonts w:ascii="Arial"/>
                <w:color w:val="auto"/>
                <w:sz w:val="21"/>
                <w:highlight w:val="none"/>
              </w:rPr>
            </w:pPr>
          </w:p>
        </w:tc>
        <w:tc>
          <w:tcPr>
            <w:tcW w:w="1128" w:type="dxa"/>
            <w:vAlign w:val="top"/>
          </w:tcPr>
          <w:p w14:paraId="20C47872">
            <w:pPr>
              <w:rPr>
                <w:rFonts w:ascii="Arial"/>
                <w:color w:val="auto"/>
                <w:sz w:val="21"/>
                <w:highlight w:val="none"/>
              </w:rPr>
            </w:pPr>
          </w:p>
        </w:tc>
        <w:tc>
          <w:tcPr>
            <w:tcW w:w="1574" w:type="dxa"/>
            <w:vAlign w:val="top"/>
          </w:tcPr>
          <w:p w14:paraId="38C0CC1B">
            <w:pPr>
              <w:rPr>
                <w:rFonts w:ascii="Arial"/>
                <w:color w:val="auto"/>
                <w:sz w:val="21"/>
                <w:highlight w:val="none"/>
              </w:rPr>
            </w:pPr>
          </w:p>
        </w:tc>
        <w:tc>
          <w:tcPr>
            <w:tcW w:w="830" w:type="dxa"/>
            <w:vAlign w:val="top"/>
          </w:tcPr>
          <w:p w14:paraId="759ABDA9">
            <w:pPr>
              <w:rPr>
                <w:rFonts w:ascii="Arial"/>
                <w:color w:val="auto"/>
                <w:sz w:val="21"/>
                <w:highlight w:val="none"/>
              </w:rPr>
            </w:pPr>
          </w:p>
        </w:tc>
      </w:tr>
    </w:tbl>
    <w:p w14:paraId="5303B7F5">
      <w:pPr>
        <w:pStyle w:val="3"/>
        <w:rPr>
          <w:color w:val="auto"/>
          <w:highlight w:val="none"/>
        </w:rPr>
      </w:pPr>
    </w:p>
    <w:p w14:paraId="790A0092">
      <w:pPr>
        <w:rPr>
          <w:color w:val="auto"/>
          <w:highlight w:val="none"/>
        </w:rPr>
        <w:sectPr>
          <w:footerReference r:id="rId248" w:type="default"/>
          <w:pgSz w:w="11905" w:h="16839"/>
          <w:pgMar w:top="400" w:right="1785" w:bottom="1004" w:left="1785" w:header="0" w:footer="828" w:gutter="0"/>
          <w:pgNumType w:fmt="decimal"/>
          <w:cols w:space="720" w:num="1"/>
        </w:sectPr>
      </w:pPr>
    </w:p>
    <w:p w14:paraId="7B9919AA">
      <w:pPr>
        <w:pStyle w:val="3"/>
        <w:spacing w:line="267" w:lineRule="auto"/>
        <w:rPr>
          <w:color w:val="auto"/>
          <w:highlight w:val="none"/>
        </w:rPr>
      </w:pPr>
    </w:p>
    <w:p w14:paraId="137408C5">
      <w:pPr>
        <w:pStyle w:val="3"/>
        <w:spacing w:line="267" w:lineRule="auto"/>
        <w:rPr>
          <w:color w:val="auto"/>
          <w:highlight w:val="none"/>
        </w:rPr>
      </w:pPr>
    </w:p>
    <w:p w14:paraId="68468CE7">
      <w:pPr>
        <w:pStyle w:val="3"/>
        <w:spacing w:line="268" w:lineRule="auto"/>
        <w:rPr>
          <w:color w:val="auto"/>
          <w:highlight w:val="none"/>
        </w:rPr>
      </w:pPr>
    </w:p>
    <w:p w14:paraId="5D1C0800">
      <w:pPr>
        <w:pStyle w:val="3"/>
        <w:spacing w:line="268" w:lineRule="auto"/>
        <w:rPr>
          <w:color w:val="auto"/>
          <w:highlight w:val="none"/>
        </w:rPr>
      </w:pPr>
    </w:p>
    <w:p w14:paraId="76AC233B">
      <w:pPr>
        <w:spacing w:before="78" w:line="219" w:lineRule="auto"/>
        <w:ind w:left="3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附表三：劳动力计划表</w:t>
      </w:r>
    </w:p>
    <w:p w14:paraId="17D438A7">
      <w:pPr>
        <w:spacing w:before="157" w:line="221" w:lineRule="auto"/>
        <w:ind w:left="6761"/>
        <w:rPr>
          <w:rFonts w:ascii="黑体" w:hAnsi="黑体" w:eastAsia="黑体" w:cs="黑体"/>
          <w:color w:val="auto"/>
          <w:sz w:val="21"/>
          <w:szCs w:val="21"/>
          <w:highlight w:val="none"/>
        </w:rPr>
      </w:pPr>
      <w:r>
        <w:rPr>
          <w:rFonts w:ascii="黑体" w:hAnsi="黑体" w:eastAsia="黑体" w:cs="黑体"/>
          <w:color w:val="auto"/>
          <w:spacing w:val="-2"/>
          <w:sz w:val="21"/>
          <w:szCs w:val="21"/>
          <w:highlight w:val="none"/>
        </w:rPr>
        <w:t>单位：人</w:t>
      </w:r>
    </w:p>
    <w:p w14:paraId="0B38E2BC">
      <w:pPr>
        <w:spacing w:line="126" w:lineRule="auto"/>
        <w:rPr>
          <w:rFonts w:ascii="Arial"/>
          <w:color w:val="auto"/>
          <w:sz w:val="2"/>
          <w:highlight w:val="none"/>
        </w:rPr>
      </w:pPr>
    </w:p>
    <w:tbl>
      <w:tblPr>
        <w:tblStyle w:val="10"/>
        <w:tblW w:w="8201"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6"/>
        <w:gridCol w:w="1363"/>
        <w:gridCol w:w="1022"/>
        <w:gridCol w:w="1022"/>
        <w:gridCol w:w="1022"/>
        <w:gridCol w:w="1022"/>
        <w:gridCol w:w="1027"/>
        <w:gridCol w:w="1027"/>
      </w:tblGrid>
      <w:tr w14:paraId="64BAE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696" w:type="dxa"/>
            <w:vAlign w:val="top"/>
          </w:tcPr>
          <w:p w14:paraId="61E55F9C">
            <w:pPr>
              <w:pStyle w:val="11"/>
              <w:spacing w:before="208" w:line="221" w:lineRule="auto"/>
              <w:ind w:left="145"/>
              <w:rPr>
                <w:color w:val="auto"/>
                <w:highlight w:val="none"/>
              </w:rPr>
            </w:pPr>
            <w:r>
              <w:rPr>
                <w:color w:val="auto"/>
                <w:spacing w:val="-3"/>
                <w:highlight w:val="none"/>
              </w:rPr>
              <w:t>工种</w:t>
            </w:r>
          </w:p>
        </w:tc>
        <w:tc>
          <w:tcPr>
            <w:tcW w:w="7505" w:type="dxa"/>
            <w:gridSpan w:val="7"/>
            <w:vAlign w:val="top"/>
          </w:tcPr>
          <w:p w14:paraId="21DAEF7F">
            <w:pPr>
              <w:pStyle w:val="11"/>
              <w:spacing w:before="207" w:line="221" w:lineRule="auto"/>
              <w:ind w:left="2285"/>
              <w:rPr>
                <w:color w:val="auto"/>
                <w:highlight w:val="none"/>
              </w:rPr>
            </w:pPr>
            <w:r>
              <w:rPr>
                <w:color w:val="auto"/>
                <w:spacing w:val="-1"/>
                <w:highlight w:val="none"/>
              </w:rPr>
              <w:t>按工程施工阶段投入劳动力情况</w:t>
            </w:r>
          </w:p>
        </w:tc>
      </w:tr>
      <w:tr w14:paraId="0BEF85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3B5E4004">
            <w:pPr>
              <w:rPr>
                <w:rFonts w:ascii="Arial"/>
                <w:color w:val="auto"/>
                <w:sz w:val="21"/>
                <w:highlight w:val="none"/>
              </w:rPr>
            </w:pPr>
          </w:p>
        </w:tc>
        <w:tc>
          <w:tcPr>
            <w:tcW w:w="1363" w:type="dxa"/>
            <w:vAlign w:val="top"/>
          </w:tcPr>
          <w:p w14:paraId="575B30FB">
            <w:pPr>
              <w:rPr>
                <w:rFonts w:ascii="Arial"/>
                <w:color w:val="auto"/>
                <w:sz w:val="21"/>
                <w:highlight w:val="none"/>
              </w:rPr>
            </w:pPr>
          </w:p>
        </w:tc>
        <w:tc>
          <w:tcPr>
            <w:tcW w:w="1022" w:type="dxa"/>
            <w:vAlign w:val="top"/>
          </w:tcPr>
          <w:p w14:paraId="1C2AC81E">
            <w:pPr>
              <w:rPr>
                <w:rFonts w:ascii="Arial"/>
                <w:color w:val="auto"/>
                <w:sz w:val="21"/>
                <w:highlight w:val="none"/>
              </w:rPr>
            </w:pPr>
          </w:p>
        </w:tc>
        <w:tc>
          <w:tcPr>
            <w:tcW w:w="1022" w:type="dxa"/>
            <w:vAlign w:val="top"/>
          </w:tcPr>
          <w:p w14:paraId="31EFA60B">
            <w:pPr>
              <w:rPr>
                <w:rFonts w:ascii="Arial"/>
                <w:color w:val="auto"/>
                <w:sz w:val="21"/>
                <w:highlight w:val="none"/>
              </w:rPr>
            </w:pPr>
          </w:p>
        </w:tc>
        <w:tc>
          <w:tcPr>
            <w:tcW w:w="1022" w:type="dxa"/>
            <w:vAlign w:val="top"/>
          </w:tcPr>
          <w:p w14:paraId="06302AC7">
            <w:pPr>
              <w:rPr>
                <w:rFonts w:ascii="Arial"/>
                <w:color w:val="auto"/>
                <w:sz w:val="21"/>
                <w:highlight w:val="none"/>
              </w:rPr>
            </w:pPr>
          </w:p>
        </w:tc>
        <w:tc>
          <w:tcPr>
            <w:tcW w:w="1022" w:type="dxa"/>
            <w:vAlign w:val="top"/>
          </w:tcPr>
          <w:p w14:paraId="5867EDC1">
            <w:pPr>
              <w:rPr>
                <w:rFonts w:ascii="Arial"/>
                <w:color w:val="auto"/>
                <w:sz w:val="21"/>
                <w:highlight w:val="none"/>
              </w:rPr>
            </w:pPr>
          </w:p>
        </w:tc>
        <w:tc>
          <w:tcPr>
            <w:tcW w:w="1027" w:type="dxa"/>
            <w:vAlign w:val="top"/>
          </w:tcPr>
          <w:p w14:paraId="25546C4D">
            <w:pPr>
              <w:rPr>
                <w:rFonts w:ascii="Arial"/>
                <w:color w:val="auto"/>
                <w:sz w:val="21"/>
                <w:highlight w:val="none"/>
              </w:rPr>
            </w:pPr>
          </w:p>
        </w:tc>
        <w:tc>
          <w:tcPr>
            <w:tcW w:w="1027" w:type="dxa"/>
            <w:vAlign w:val="top"/>
          </w:tcPr>
          <w:p w14:paraId="2232B7F2">
            <w:pPr>
              <w:rPr>
                <w:rFonts w:ascii="Arial"/>
                <w:color w:val="auto"/>
                <w:sz w:val="21"/>
                <w:highlight w:val="none"/>
              </w:rPr>
            </w:pPr>
          </w:p>
        </w:tc>
      </w:tr>
      <w:tr w14:paraId="7A5CA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39E89FCC">
            <w:pPr>
              <w:rPr>
                <w:rFonts w:ascii="Arial"/>
                <w:color w:val="auto"/>
                <w:sz w:val="21"/>
                <w:highlight w:val="none"/>
              </w:rPr>
            </w:pPr>
          </w:p>
        </w:tc>
        <w:tc>
          <w:tcPr>
            <w:tcW w:w="1363" w:type="dxa"/>
            <w:vAlign w:val="top"/>
          </w:tcPr>
          <w:p w14:paraId="6F8EF820">
            <w:pPr>
              <w:rPr>
                <w:rFonts w:ascii="Arial"/>
                <w:color w:val="auto"/>
                <w:sz w:val="21"/>
                <w:highlight w:val="none"/>
              </w:rPr>
            </w:pPr>
          </w:p>
        </w:tc>
        <w:tc>
          <w:tcPr>
            <w:tcW w:w="1022" w:type="dxa"/>
            <w:vAlign w:val="top"/>
          </w:tcPr>
          <w:p w14:paraId="58753498">
            <w:pPr>
              <w:rPr>
                <w:rFonts w:ascii="Arial"/>
                <w:color w:val="auto"/>
                <w:sz w:val="21"/>
                <w:highlight w:val="none"/>
              </w:rPr>
            </w:pPr>
          </w:p>
        </w:tc>
        <w:tc>
          <w:tcPr>
            <w:tcW w:w="1022" w:type="dxa"/>
            <w:vAlign w:val="top"/>
          </w:tcPr>
          <w:p w14:paraId="0F787890">
            <w:pPr>
              <w:rPr>
                <w:rFonts w:ascii="Arial"/>
                <w:color w:val="auto"/>
                <w:sz w:val="21"/>
                <w:highlight w:val="none"/>
              </w:rPr>
            </w:pPr>
          </w:p>
        </w:tc>
        <w:tc>
          <w:tcPr>
            <w:tcW w:w="1022" w:type="dxa"/>
            <w:vAlign w:val="top"/>
          </w:tcPr>
          <w:p w14:paraId="15D0A860">
            <w:pPr>
              <w:rPr>
                <w:rFonts w:ascii="Arial"/>
                <w:color w:val="auto"/>
                <w:sz w:val="21"/>
                <w:highlight w:val="none"/>
              </w:rPr>
            </w:pPr>
          </w:p>
        </w:tc>
        <w:tc>
          <w:tcPr>
            <w:tcW w:w="1022" w:type="dxa"/>
            <w:vAlign w:val="top"/>
          </w:tcPr>
          <w:p w14:paraId="013ABF5B">
            <w:pPr>
              <w:rPr>
                <w:rFonts w:ascii="Arial"/>
                <w:color w:val="auto"/>
                <w:sz w:val="21"/>
                <w:highlight w:val="none"/>
              </w:rPr>
            </w:pPr>
          </w:p>
        </w:tc>
        <w:tc>
          <w:tcPr>
            <w:tcW w:w="1027" w:type="dxa"/>
            <w:vAlign w:val="top"/>
          </w:tcPr>
          <w:p w14:paraId="79EBEC7B">
            <w:pPr>
              <w:rPr>
                <w:rFonts w:ascii="Arial"/>
                <w:color w:val="auto"/>
                <w:sz w:val="21"/>
                <w:highlight w:val="none"/>
              </w:rPr>
            </w:pPr>
          </w:p>
        </w:tc>
        <w:tc>
          <w:tcPr>
            <w:tcW w:w="1027" w:type="dxa"/>
            <w:vAlign w:val="top"/>
          </w:tcPr>
          <w:p w14:paraId="5583937C">
            <w:pPr>
              <w:rPr>
                <w:rFonts w:ascii="Arial"/>
                <w:color w:val="auto"/>
                <w:sz w:val="21"/>
                <w:highlight w:val="none"/>
              </w:rPr>
            </w:pPr>
          </w:p>
        </w:tc>
      </w:tr>
      <w:tr w14:paraId="42B12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2C9D6FDE">
            <w:pPr>
              <w:rPr>
                <w:rFonts w:ascii="Arial"/>
                <w:color w:val="auto"/>
                <w:sz w:val="21"/>
                <w:highlight w:val="none"/>
              </w:rPr>
            </w:pPr>
          </w:p>
        </w:tc>
        <w:tc>
          <w:tcPr>
            <w:tcW w:w="1363" w:type="dxa"/>
            <w:vAlign w:val="top"/>
          </w:tcPr>
          <w:p w14:paraId="6669E7BA">
            <w:pPr>
              <w:rPr>
                <w:rFonts w:ascii="Arial"/>
                <w:color w:val="auto"/>
                <w:sz w:val="21"/>
                <w:highlight w:val="none"/>
              </w:rPr>
            </w:pPr>
          </w:p>
        </w:tc>
        <w:tc>
          <w:tcPr>
            <w:tcW w:w="1022" w:type="dxa"/>
            <w:vAlign w:val="top"/>
          </w:tcPr>
          <w:p w14:paraId="4EC01EF5">
            <w:pPr>
              <w:rPr>
                <w:rFonts w:ascii="Arial"/>
                <w:color w:val="auto"/>
                <w:sz w:val="21"/>
                <w:highlight w:val="none"/>
              </w:rPr>
            </w:pPr>
          </w:p>
        </w:tc>
        <w:tc>
          <w:tcPr>
            <w:tcW w:w="1022" w:type="dxa"/>
            <w:vAlign w:val="top"/>
          </w:tcPr>
          <w:p w14:paraId="04246096">
            <w:pPr>
              <w:rPr>
                <w:rFonts w:ascii="Arial"/>
                <w:color w:val="auto"/>
                <w:sz w:val="21"/>
                <w:highlight w:val="none"/>
              </w:rPr>
            </w:pPr>
          </w:p>
        </w:tc>
        <w:tc>
          <w:tcPr>
            <w:tcW w:w="1022" w:type="dxa"/>
            <w:vAlign w:val="top"/>
          </w:tcPr>
          <w:p w14:paraId="241AAA37">
            <w:pPr>
              <w:rPr>
                <w:rFonts w:ascii="Arial"/>
                <w:color w:val="auto"/>
                <w:sz w:val="21"/>
                <w:highlight w:val="none"/>
              </w:rPr>
            </w:pPr>
          </w:p>
        </w:tc>
        <w:tc>
          <w:tcPr>
            <w:tcW w:w="1022" w:type="dxa"/>
            <w:vAlign w:val="top"/>
          </w:tcPr>
          <w:p w14:paraId="56FE659D">
            <w:pPr>
              <w:rPr>
                <w:rFonts w:ascii="Arial"/>
                <w:color w:val="auto"/>
                <w:sz w:val="21"/>
                <w:highlight w:val="none"/>
              </w:rPr>
            </w:pPr>
          </w:p>
        </w:tc>
        <w:tc>
          <w:tcPr>
            <w:tcW w:w="1027" w:type="dxa"/>
            <w:vAlign w:val="top"/>
          </w:tcPr>
          <w:p w14:paraId="64C0D87F">
            <w:pPr>
              <w:rPr>
                <w:rFonts w:ascii="Arial"/>
                <w:color w:val="auto"/>
                <w:sz w:val="21"/>
                <w:highlight w:val="none"/>
              </w:rPr>
            </w:pPr>
          </w:p>
        </w:tc>
        <w:tc>
          <w:tcPr>
            <w:tcW w:w="1027" w:type="dxa"/>
            <w:vAlign w:val="top"/>
          </w:tcPr>
          <w:p w14:paraId="7D753018">
            <w:pPr>
              <w:rPr>
                <w:rFonts w:ascii="Arial"/>
                <w:color w:val="auto"/>
                <w:sz w:val="21"/>
                <w:highlight w:val="none"/>
              </w:rPr>
            </w:pPr>
          </w:p>
        </w:tc>
      </w:tr>
      <w:tr w14:paraId="00F98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7E5458A0">
            <w:pPr>
              <w:rPr>
                <w:rFonts w:ascii="Arial"/>
                <w:color w:val="auto"/>
                <w:sz w:val="21"/>
                <w:highlight w:val="none"/>
              </w:rPr>
            </w:pPr>
          </w:p>
        </w:tc>
        <w:tc>
          <w:tcPr>
            <w:tcW w:w="1363" w:type="dxa"/>
            <w:vAlign w:val="top"/>
          </w:tcPr>
          <w:p w14:paraId="4182B23D">
            <w:pPr>
              <w:rPr>
                <w:rFonts w:ascii="Arial"/>
                <w:color w:val="auto"/>
                <w:sz w:val="21"/>
                <w:highlight w:val="none"/>
              </w:rPr>
            </w:pPr>
          </w:p>
        </w:tc>
        <w:tc>
          <w:tcPr>
            <w:tcW w:w="1022" w:type="dxa"/>
            <w:vAlign w:val="top"/>
          </w:tcPr>
          <w:p w14:paraId="12D6C736">
            <w:pPr>
              <w:rPr>
                <w:rFonts w:ascii="Arial"/>
                <w:color w:val="auto"/>
                <w:sz w:val="21"/>
                <w:highlight w:val="none"/>
              </w:rPr>
            </w:pPr>
          </w:p>
        </w:tc>
        <w:tc>
          <w:tcPr>
            <w:tcW w:w="1022" w:type="dxa"/>
            <w:vAlign w:val="top"/>
          </w:tcPr>
          <w:p w14:paraId="44C3635B">
            <w:pPr>
              <w:rPr>
                <w:rFonts w:ascii="Arial"/>
                <w:color w:val="auto"/>
                <w:sz w:val="21"/>
                <w:highlight w:val="none"/>
              </w:rPr>
            </w:pPr>
          </w:p>
        </w:tc>
        <w:tc>
          <w:tcPr>
            <w:tcW w:w="1022" w:type="dxa"/>
            <w:vAlign w:val="top"/>
          </w:tcPr>
          <w:p w14:paraId="7A7AD339">
            <w:pPr>
              <w:rPr>
                <w:rFonts w:ascii="Arial"/>
                <w:color w:val="auto"/>
                <w:sz w:val="21"/>
                <w:highlight w:val="none"/>
              </w:rPr>
            </w:pPr>
          </w:p>
        </w:tc>
        <w:tc>
          <w:tcPr>
            <w:tcW w:w="1022" w:type="dxa"/>
            <w:vAlign w:val="top"/>
          </w:tcPr>
          <w:p w14:paraId="4CA86265">
            <w:pPr>
              <w:rPr>
                <w:rFonts w:ascii="Arial"/>
                <w:color w:val="auto"/>
                <w:sz w:val="21"/>
                <w:highlight w:val="none"/>
              </w:rPr>
            </w:pPr>
          </w:p>
        </w:tc>
        <w:tc>
          <w:tcPr>
            <w:tcW w:w="1027" w:type="dxa"/>
            <w:vAlign w:val="top"/>
          </w:tcPr>
          <w:p w14:paraId="72B081DB">
            <w:pPr>
              <w:rPr>
                <w:rFonts w:ascii="Arial"/>
                <w:color w:val="auto"/>
                <w:sz w:val="21"/>
                <w:highlight w:val="none"/>
              </w:rPr>
            </w:pPr>
          </w:p>
        </w:tc>
        <w:tc>
          <w:tcPr>
            <w:tcW w:w="1027" w:type="dxa"/>
            <w:vAlign w:val="top"/>
          </w:tcPr>
          <w:p w14:paraId="6F7ACAB2">
            <w:pPr>
              <w:rPr>
                <w:rFonts w:ascii="Arial"/>
                <w:color w:val="auto"/>
                <w:sz w:val="21"/>
                <w:highlight w:val="none"/>
              </w:rPr>
            </w:pPr>
          </w:p>
        </w:tc>
      </w:tr>
      <w:tr w14:paraId="1D9F0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2F4F22CF">
            <w:pPr>
              <w:rPr>
                <w:rFonts w:ascii="Arial"/>
                <w:color w:val="auto"/>
                <w:sz w:val="21"/>
                <w:highlight w:val="none"/>
              </w:rPr>
            </w:pPr>
          </w:p>
        </w:tc>
        <w:tc>
          <w:tcPr>
            <w:tcW w:w="1363" w:type="dxa"/>
            <w:vAlign w:val="top"/>
          </w:tcPr>
          <w:p w14:paraId="6DFCA064">
            <w:pPr>
              <w:rPr>
                <w:rFonts w:ascii="Arial"/>
                <w:color w:val="auto"/>
                <w:sz w:val="21"/>
                <w:highlight w:val="none"/>
              </w:rPr>
            </w:pPr>
          </w:p>
        </w:tc>
        <w:tc>
          <w:tcPr>
            <w:tcW w:w="1022" w:type="dxa"/>
            <w:vAlign w:val="top"/>
          </w:tcPr>
          <w:p w14:paraId="7C4546B9">
            <w:pPr>
              <w:rPr>
                <w:rFonts w:ascii="Arial"/>
                <w:color w:val="auto"/>
                <w:sz w:val="21"/>
                <w:highlight w:val="none"/>
              </w:rPr>
            </w:pPr>
          </w:p>
        </w:tc>
        <w:tc>
          <w:tcPr>
            <w:tcW w:w="1022" w:type="dxa"/>
            <w:vAlign w:val="top"/>
          </w:tcPr>
          <w:p w14:paraId="24717ED4">
            <w:pPr>
              <w:rPr>
                <w:rFonts w:ascii="Arial"/>
                <w:color w:val="auto"/>
                <w:sz w:val="21"/>
                <w:highlight w:val="none"/>
              </w:rPr>
            </w:pPr>
          </w:p>
        </w:tc>
        <w:tc>
          <w:tcPr>
            <w:tcW w:w="1022" w:type="dxa"/>
            <w:vAlign w:val="top"/>
          </w:tcPr>
          <w:p w14:paraId="07901F93">
            <w:pPr>
              <w:rPr>
                <w:rFonts w:ascii="Arial"/>
                <w:color w:val="auto"/>
                <w:sz w:val="21"/>
                <w:highlight w:val="none"/>
              </w:rPr>
            </w:pPr>
          </w:p>
        </w:tc>
        <w:tc>
          <w:tcPr>
            <w:tcW w:w="1022" w:type="dxa"/>
            <w:vAlign w:val="top"/>
          </w:tcPr>
          <w:p w14:paraId="282F3D56">
            <w:pPr>
              <w:rPr>
                <w:rFonts w:ascii="Arial"/>
                <w:color w:val="auto"/>
                <w:sz w:val="21"/>
                <w:highlight w:val="none"/>
              </w:rPr>
            </w:pPr>
          </w:p>
        </w:tc>
        <w:tc>
          <w:tcPr>
            <w:tcW w:w="1027" w:type="dxa"/>
            <w:vAlign w:val="top"/>
          </w:tcPr>
          <w:p w14:paraId="362C9B19">
            <w:pPr>
              <w:rPr>
                <w:rFonts w:ascii="Arial"/>
                <w:color w:val="auto"/>
                <w:sz w:val="21"/>
                <w:highlight w:val="none"/>
              </w:rPr>
            </w:pPr>
          </w:p>
        </w:tc>
        <w:tc>
          <w:tcPr>
            <w:tcW w:w="1027" w:type="dxa"/>
            <w:vAlign w:val="top"/>
          </w:tcPr>
          <w:p w14:paraId="1BD09B20">
            <w:pPr>
              <w:rPr>
                <w:rFonts w:ascii="Arial"/>
                <w:color w:val="auto"/>
                <w:sz w:val="21"/>
                <w:highlight w:val="none"/>
              </w:rPr>
            </w:pPr>
          </w:p>
        </w:tc>
      </w:tr>
      <w:tr w14:paraId="111CE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457A638B">
            <w:pPr>
              <w:rPr>
                <w:rFonts w:ascii="Arial"/>
                <w:color w:val="auto"/>
                <w:sz w:val="21"/>
                <w:highlight w:val="none"/>
              </w:rPr>
            </w:pPr>
          </w:p>
        </w:tc>
        <w:tc>
          <w:tcPr>
            <w:tcW w:w="1363" w:type="dxa"/>
            <w:vAlign w:val="top"/>
          </w:tcPr>
          <w:p w14:paraId="5116AAAF">
            <w:pPr>
              <w:rPr>
                <w:rFonts w:ascii="Arial"/>
                <w:color w:val="auto"/>
                <w:sz w:val="21"/>
                <w:highlight w:val="none"/>
              </w:rPr>
            </w:pPr>
          </w:p>
        </w:tc>
        <w:tc>
          <w:tcPr>
            <w:tcW w:w="1022" w:type="dxa"/>
            <w:vAlign w:val="top"/>
          </w:tcPr>
          <w:p w14:paraId="0604C155">
            <w:pPr>
              <w:rPr>
                <w:rFonts w:ascii="Arial"/>
                <w:color w:val="auto"/>
                <w:sz w:val="21"/>
                <w:highlight w:val="none"/>
              </w:rPr>
            </w:pPr>
          </w:p>
        </w:tc>
        <w:tc>
          <w:tcPr>
            <w:tcW w:w="1022" w:type="dxa"/>
            <w:vAlign w:val="top"/>
          </w:tcPr>
          <w:p w14:paraId="16E075F0">
            <w:pPr>
              <w:rPr>
                <w:rFonts w:ascii="Arial"/>
                <w:color w:val="auto"/>
                <w:sz w:val="21"/>
                <w:highlight w:val="none"/>
              </w:rPr>
            </w:pPr>
          </w:p>
        </w:tc>
        <w:tc>
          <w:tcPr>
            <w:tcW w:w="1022" w:type="dxa"/>
            <w:vAlign w:val="top"/>
          </w:tcPr>
          <w:p w14:paraId="7A823C09">
            <w:pPr>
              <w:rPr>
                <w:rFonts w:ascii="Arial"/>
                <w:color w:val="auto"/>
                <w:sz w:val="21"/>
                <w:highlight w:val="none"/>
              </w:rPr>
            </w:pPr>
          </w:p>
        </w:tc>
        <w:tc>
          <w:tcPr>
            <w:tcW w:w="1022" w:type="dxa"/>
            <w:vAlign w:val="top"/>
          </w:tcPr>
          <w:p w14:paraId="428C8802">
            <w:pPr>
              <w:rPr>
                <w:rFonts w:ascii="Arial"/>
                <w:color w:val="auto"/>
                <w:sz w:val="21"/>
                <w:highlight w:val="none"/>
              </w:rPr>
            </w:pPr>
          </w:p>
        </w:tc>
        <w:tc>
          <w:tcPr>
            <w:tcW w:w="1027" w:type="dxa"/>
            <w:vAlign w:val="top"/>
          </w:tcPr>
          <w:p w14:paraId="1C2CD8DD">
            <w:pPr>
              <w:rPr>
                <w:rFonts w:ascii="Arial"/>
                <w:color w:val="auto"/>
                <w:sz w:val="21"/>
                <w:highlight w:val="none"/>
              </w:rPr>
            </w:pPr>
          </w:p>
        </w:tc>
        <w:tc>
          <w:tcPr>
            <w:tcW w:w="1027" w:type="dxa"/>
            <w:vAlign w:val="top"/>
          </w:tcPr>
          <w:p w14:paraId="1142DF34">
            <w:pPr>
              <w:rPr>
                <w:rFonts w:ascii="Arial"/>
                <w:color w:val="auto"/>
                <w:sz w:val="21"/>
                <w:highlight w:val="none"/>
              </w:rPr>
            </w:pPr>
          </w:p>
        </w:tc>
      </w:tr>
      <w:tr w14:paraId="5E127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58CADB58">
            <w:pPr>
              <w:rPr>
                <w:rFonts w:ascii="Arial"/>
                <w:color w:val="auto"/>
                <w:sz w:val="21"/>
                <w:highlight w:val="none"/>
              </w:rPr>
            </w:pPr>
          </w:p>
        </w:tc>
        <w:tc>
          <w:tcPr>
            <w:tcW w:w="1363" w:type="dxa"/>
            <w:vAlign w:val="top"/>
          </w:tcPr>
          <w:p w14:paraId="01255736">
            <w:pPr>
              <w:rPr>
                <w:rFonts w:ascii="Arial"/>
                <w:color w:val="auto"/>
                <w:sz w:val="21"/>
                <w:highlight w:val="none"/>
              </w:rPr>
            </w:pPr>
          </w:p>
        </w:tc>
        <w:tc>
          <w:tcPr>
            <w:tcW w:w="1022" w:type="dxa"/>
            <w:vAlign w:val="top"/>
          </w:tcPr>
          <w:p w14:paraId="5824945E">
            <w:pPr>
              <w:rPr>
                <w:rFonts w:ascii="Arial"/>
                <w:color w:val="auto"/>
                <w:sz w:val="21"/>
                <w:highlight w:val="none"/>
              </w:rPr>
            </w:pPr>
          </w:p>
        </w:tc>
        <w:tc>
          <w:tcPr>
            <w:tcW w:w="1022" w:type="dxa"/>
            <w:vAlign w:val="top"/>
          </w:tcPr>
          <w:p w14:paraId="602672A0">
            <w:pPr>
              <w:rPr>
                <w:rFonts w:ascii="Arial"/>
                <w:color w:val="auto"/>
                <w:sz w:val="21"/>
                <w:highlight w:val="none"/>
              </w:rPr>
            </w:pPr>
          </w:p>
        </w:tc>
        <w:tc>
          <w:tcPr>
            <w:tcW w:w="1022" w:type="dxa"/>
            <w:vAlign w:val="top"/>
          </w:tcPr>
          <w:p w14:paraId="0B7B9E17">
            <w:pPr>
              <w:rPr>
                <w:rFonts w:ascii="Arial"/>
                <w:color w:val="auto"/>
                <w:sz w:val="21"/>
                <w:highlight w:val="none"/>
              </w:rPr>
            </w:pPr>
          </w:p>
        </w:tc>
        <w:tc>
          <w:tcPr>
            <w:tcW w:w="1022" w:type="dxa"/>
            <w:vAlign w:val="top"/>
          </w:tcPr>
          <w:p w14:paraId="2E5CD08B">
            <w:pPr>
              <w:rPr>
                <w:rFonts w:ascii="Arial"/>
                <w:color w:val="auto"/>
                <w:sz w:val="21"/>
                <w:highlight w:val="none"/>
              </w:rPr>
            </w:pPr>
          </w:p>
        </w:tc>
        <w:tc>
          <w:tcPr>
            <w:tcW w:w="1027" w:type="dxa"/>
            <w:vAlign w:val="top"/>
          </w:tcPr>
          <w:p w14:paraId="62042D53">
            <w:pPr>
              <w:rPr>
                <w:rFonts w:ascii="Arial"/>
                <w:color w:val="auto"/>
                <w:sz w:val="21"/>
                <w:highlight w:val="none"/>
              </w:rPr>
            </w:pPr>
          </w:p>
        </w:tc>
        <w:tc>
          <w:tcPr>
            <w:tcW w:w="1027" w:type="dxa"/>
            <w:vAlign w:val="top"/>
          </w:tcPr>
          <w:p w14:paraId="2D15B399">
            <w:pPr>
              <w:rPr>
                <w:rFonts w:ascii="Arial"/>
                <w:color w:val="auto"/>
                <w:sz w:val="21"/>
                <w:highlight w:val="none"/>
              </w:rPr>
            </w:pPr>
          </w:p>
        </w:tc>
      </w:tr>
      <w:tr w14:paraId="2C66C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431AE267">
            <w:pPr>
              <w:rPr>
                <w:rFonts w:ascii="Arial"/>
                <w:color w:val="auto"/>
                <w:sz w:val="21"/>
                <w:highlight w:val="none"/>
              </w:rPr>
            </w:pPr>
          </w:p>
        </w:tc>
        <w:tc>
          <w:tcPr>
            <w:tcW w:w="1363" w:type="dxa"/>
            <w:vAlign w:val="top"/>
          </w:tcPr>
          <w:p w14:paraId="0C3CA1FF">
            <w:pPr>
              <w:rPr>
                <w:rFonts w:ascii="Arial"/>
                <w:color w:val="auto"/>
                <w:sz w:val="21"/>
                <w:highlight w:val="none"/>
              </w:rPr>
            </w:pPr>
          </w:p>
        </w:tc>
        <w:tc>
          <w:tcPr>
            <w:tcW w:w="1022" w:type="dxa"/>
            <w:vAlign w:val="top"/>
          </w:tcPr>
          <w:p w14:paraId="435B0849">
            <w:pPr>
              <w:rPr>
                <w:rFonts w:ascii="Arial"/>
                <w:color w:val="auto"/>
                <w:sz w:val="21"/>
                <w:highlight w:val="none"/>
              </w:rPr>
            </w:pPr>
          </w:p>
        </w:tc>
        <w:tc>
          <w:tcPr>
            <w:tcW w:w="1022" w:type="dxa"/>
            <w:vAlign w:val="top"/>
          </w:tcPr>
          <w:p w14:paraId="3B931E17">
            <w:pPr>
              <w:rPr>
                <w:rFonts w:ascii="Arial"/>
                <w:color w:val="auto"/>
                <w:sz w:val="21"/>
                <w:highlight w:val="none"/>
              </w:rPr>
            </w:pPr>
          </w:p>
        </w:tc>
        <w:tc>
          <w:tcPr>
            <w:tcW w:w="1022" w:type="dxa"/>
            <w:vAlign w:val="top"/>
          </w:tcPr>
          <w:p w14:paraId="0BB8189C">
            <w:pPr>
              <w:rPr>
                <w:rFonts w:ascii="Arial"/>
                <w:color w:val="auto"/>
                <w:sz w:val="21"/>
                <w:highlight w:val="none"/>
              </w:rPr>
            </w:pPr>
          </w:p>
        </w:tc>
        <w:tc>
          <w:tcPr>
            <w:tcW w:w="1022" w:type="dxa"/>
            <w:vAlign w:val="top"/>
          </w:tcPr>
          <w:p w14:paraId="17C21B78">
            <w:pPr>
              <w:rPr>
                <w:rFonts w:ascii="Arial"/>
                <w:color w:val="auto"/>
                <w:sz w:val="21"/>
                <w:highlight w:val="none"/>
              </w:rPr>
            </w:pPr>
          </w:p>
        </w:tc>
        <w:tc>
          <w:tcPr>
            <w:tcW w:w="1027" w:type="dxa"/>
            <w:vAlign w:val="top"/>
          </w:tcPr>
          <w:p w14:paraId="2E27C9A9">
            <w:pPr>
              <w:rPr>
                <w:rFonts w:ascii="Arial"/>
                <w:color w:val="auto"/>
                <w:sz w:val="21"/>
                <w:highlight w:val="none"/>
              </w:rPr>
            </w:pPr>
          </w:p>
        </w:tc>
        <w:tc>
          <w:tcPr>
            <w:tcW w:w="1027" w:type="dxa"/>
            <w:vAlign w:val="top"/>
          </w:tcPr>
          <w:p w14:paraId="02207AEF">
            <w:pPr>
              <w:rPr>
                <w:rFonts w:ascii="Arial"/>
                <w:color w:val="auto"/>
                <w:sz w:val="21"/>
                <w:highlight w:val="none"/>
              </w:rPr>
            </w:pPr>
          </w:p>
        </w:tc>
      </w:tr>
      <w:tr w14:paraId="18359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7B282D6F">
            <w:pPr>
              <w:rPr>
                <w:rFonts w:ascii="Arial"/>
                <w:color w:val="auto"/>
                <w:sz w:val="21"/>
                <w:highlight w:val="none"/>
              </w:rPr>
            </w:pPr>
          </w:p>
        </w:tc>
        <w:tc>
          <w:tcPr>
            <w:tcW w:w="1363" w:type="dxa"/>
            <w:vAlign w:val="top"/>
          </w:tcPr>
          <w:p w14:paraId="6BD971FC">
            <w:pPr>
              <w:rPr>
                <w:rFonts w:ascii="Arial"/>
                <w:color w:val="auto"/>
                <w:sz w:val="21"/>
                <w:highlight w:val="none"/>
              </w:rPr>
            </w:pPr>
          </w:p>
        </w:tc>
        <w:tc>
          <w:tcPr>
            <w:tcW w:w="1022" w:type="dxa"/>
            <w:vAlign w:val="top"/>
          </w:tcPr>
          <w:p w14:paraId="5A972A78">
            <w:pPr>
              <w:rPr>
                <w:rFonts w:ascii="Arial"/>
                <w:color w:val="auto"/>
                <w:sz w:val="21"/>
                <w:highlight w:val="none"/>
              </w:rPr>
            </w:pPr>
          </w:p>
        </w:tc>
        <w:tc>
          <w:tcPr>
            <w:tcW w:w="1022" w:type="dxa"/>
            <w:vAlign w:val="top"/>
          </w:tcPr>
          <w:p w14:paraId="78F9A282">
            <w:pPr>
              <w:rPr>
                <w:rFonts w:ascii="Arial"/>
                <w:color w:val="auto"/>
                <w:sz w:val="21"/>
                <w:highlight w:val="none"/>
              </w:rPr>
            </w:pPr>
          </w:p>
        </w:tc>
        <w:tc>
          <w:tcPr>
            <w:tcW w:w="1022" w:type="dxa"/>
            <w:vAlign w:val="top"/>
          </w:tcPr>
          <w:p w14:paraId="323A378B">
            <w:pPr>
              <w:rPr>
                <w:rFonts w:ascii="Arial"/>
                <w:color w:val="auto"/>
                <w:sz w:val="21"/>
                <w:highlight w:val="none"/>
              </w:rPr>
            </w:pPr>
          </w:p>
        </w:tc>
        <w:tc>
          <w:tcPr>
            <w:tcW w:w="1022" w:type="dxa"/>
            <w:vAlign w:val="top"/>
          </w:tcPr>
          <w:p w14:paraId="0E284CF3">
            <w:pPr>
              <w:rPr>
                <w:rFonts w:ascii="Arial"/>
                <w:color w:val="auto"/>
                <w:sz w:val="21"/>
                <w:highlight w:val="none"/>
              </w:rPr>
            </w:pPr>
          </w:p>
        </w:tc>
        <w:tc>
          <w:tcPr>
            <w:tcW w:w="1027" w:type="dxa"/>
            <w:vAlign w:val="top"/>
          </w:tcPr>
          <w:p w14:paraId="46A90966">
            <w:pPr>
              <w:rPr>
                <w:rFonts w:ascii="Arial"/>
                <w:color w:val="auto"/>
                <w:sz w:val="21"/>
                <w:highlight w:val="none"/>
              </w:rPr>
            </w:pPr>
          </w:p>
        </w:tc>
        <w:tc>
          <w:tcPr>
            <w:tcW w:w="1027" w:type="dxa"/>
            <w:vAlign w:val="top"/>
          </w:tcPr>
          <w:p w14:paraId="1038EFA3">
            <w:pPr>
              <w:rPr>
                <w:rFonts w:ascii="Arial"/>
                <w:color w:val="auto"/>
                <w:sz w:val="21"/>
                <w:highlight w:val="none"/>
              </w:rPr>
            </w:pPr>
          </w:p>
        </w:tc>
      </w:tr>
      <w:tr w14:paraId="6CCCE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3C76C865">
            <w:pPr>
              <w:rPr>
                <w:rFonts w:ascii="Arial"/>
                <w:color w:val="auto"/>
                <w:sz w:val="21"/>
                <w:highlight w:val="none"/>
              </w:rPr>
            </w:pPr>
          </w:p>
        </w:tc>
        <w:tc>
          <w:tcPr>
            <w:tcW w:w="1363" w:type="dxa"/>
            <w:vAlign w:val="top"/>
          </w:tcPr>
          <w:p w14:paraId="3A79A498">
            <w:pPr>
              <w:rPr>
                <w:rFonts w:ascii="Arial"/>
                <w:color w:val="auto"/>
                <w:sz w:val="21"/>
                <w:highlight w:val="none"/>
              </w:rPr>
            </w:pPr>
          </w:p>
        </w:tc>
        <w:tc>
          <w:tcPr>
            <w:tcW w:w="1022" w:type="dxa"/>
            <w:vAlign w:val="top"/>
          </w:tcPr>
          <w:p w14:paraId="24F7AF5A">
            <w:pPr>
              <w:rPr>
                <w:rFonts w:ascii="Arial"/>
                <w:color w:val="auto"/>
                <w:sz w:val="21"/>
                <w:highlight w:val="none"/>
              </w:rPr>
            </w:pPr>
          </w:p>
        </w:tc>
        <w:tc>
          <w:tcPr>
            <w:tcW w:w="1022" w:type="dxa"/>
            <w:vAlign w:val="top"/>
          </w:tcPr>
          <w:p w14:paraId="5981B515">
            <w:pPr>
              <w:rPr>
                <w:rFonts w:ascii="Arial"/>
                <w:color w:val="auto"/>
                <w:sz w:val="21"/>
                <w:highlight w:val="none"/>
              </w:rPr>
            </w:pPr>
          </w:p>
        </w:tc>
        <w:tc>
          <w:tcPr>
            <w:tcW w:w="1022" w:type="dxa"/>
            <w:vAlign w:val="top"/>
          </w:tcPr>
          <w:p w14:paraId="76F031D9">
            <w:pPr>
              <w:rPr>
                <w:rFonts w:ascii="Arial"/>
                <w:color w:val="auto"/>
                <w:sz w:val="21"/>
                <w:highlight w:val="none"/>
              </w:rPr>
            </w:pPr>
          </w:p>
        </w:tc>
        <w:tc>
          <w:tcPr>
            <w:tcW w:w="1022" w:type="dxa"/>
            <w:vAlign w:val="top"/>
          </w:tcPr>
          <w:p w14:paraId="6BDC280D">
            <w:pPr>
              <w:rPr>
                <w:rFonts w:ascii="Arial"/>
                <w:color w:val="auto"/>
                <w:sz w:val="21"/>
                <w:highlight w:val="none"/>
              </w:rPr>
            </w:pPr>
          </w:p>
        </w:tc>
        <w:tc>
          <w:tcPr>
            <w:tcW w:w="1027" w:type="dxa"/>
            <w:vAlign w:val="top"/>
          </w:tcPr>
          <w:p w14:paraId="534F9E73">
            <w:pPr>
              <w:rPr>
                <w:rFonts w:ascii="Arial"/>
                <w:color w:val="auto"/>
                <w:sz w:val="21"/>
                <w:highlight w:val="none"/>
              </w:rPr>
            </w:pPr>
          </w:p>
        </w:tc>
        <w:tc>
          <w:tcPr>
            <w:tcW w:w="1027" w:type="dxa"/>
            <w:vAlign w:val="top"/>
          </w:tcPr>
          <w:p w14:paraId="032C800C">
            <w:pPr>
              <w:rPr>
                <w:rFonts w:ascii="Arial"/>
                <w:color w:val="auto"/>
                <w:sz w:val="21"/>
                <w:highlight w:val="none"/>
              </w:rPr>
            </w:pPr>
          </w:p>
        </w:tc>
      </w:tr>
      <w:tr w14:paraId="6F3E8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489A3EE7">
            <w:pPr>
              <w:rPr>
                <w:rFonts w:ascii="Arial"/>
                <w:color w:val="auto"/>
                <w:sz w:val="21"/>
                <w:highlight w:val="none"/>
              </w:rPr>
            </w:pPr>
          </w:p>
        </w:tc>
        <w:tc>
          <w:tcPr>
            <w:tcW w:w="1363" w:type="dxa"/>
            <w:vAlign w:val="top"/>
          </w:tcPr>
          <w:p w14:paraId="332B1D37">
            <w:pPr>
              <w:rPr>
                <w:rFonts w:ascii="Arial"/>
                <w:color w:val="auto"/>
                <w:sz w:val="21"/>
                <w:highlight w:val="none"/>
              </w:rPr>
            </w:pPr>
          </w:p>
        </w:tc>
        <w:tc>
          <w:tcPr>
            <w:tcW w:w="1022" w:type="dxa"/>
            <w:vAlign w:val="top"/>
          </w:tcPr>
          <w:p w14:paraId="488546CB">
            <w:pPr>
              <w:rPr>
                <w:rFonts w:ascii="Arial"/>
                <w:color w:val="auto"/>
                <w:sz w:val="21"/>
                <w:highlight w:val="none"/>
              </w:rPr>
            </w:pPr>
          </w:p>
        </w:tc>
        <w:tc>
          <w:tcPr>
            <w:tcW w:w="1022" w:type="dxa"/>
            <w:vAlign w:val="top"/>
          </w:tcPr>
          <w:p w14:paraId="4AFCB534">
            <w:pPr>
              <w:rPr>
                <w:rFonts w:ascii="Arial"/>
                <w:color w:val="auto"/>
                <w:sz w:val="21"/>
                <w:highlight w:val="none"/>
              </w:rPr>
            </w:pPr>
          </w:p>
        </w:tc>
        <w:tc>
          <w:tcPr>
            <w:tcW w:w="1022" w:type="dxa"/>
            <w:vAlign w:val="top"/>
          </w:tcPr>
          <w:p w14:paraId="78E57475">
            <w:pPr>
              <w:rPr>
                <w:rFonts w:ascii="Arial"/>
                <w:color w:val="auto"/>
                <w:sz w:val="21"/>
                <w:highlight w:val="none"/>
              </w:rPr>
            </w:pPr>
          </w:p>
        </w:tc>
        <w:tc>
          <w:tcPr>
            <w:tcW w:w="1022" w:type="dxa"/>
            <w:vAlign w:val="top"/>
          </w:tcPr>
          <w:p w14:paraId="01D66666">
            <w:pPr>
              <w:rPr>
                <w:rFonts w:ascii="Arial"/>
                <w:color w:val="auto"/>
                <w:sz w:val="21"/>
                <w:highlight w:val="none"/>
              </w:rPr>
            </w:pPr>
          </w:p>
        </w:tc>
        <w:tc>
          <w:tcPr>
            <w:tcW w:w="1027" w:type="dxa"/>
            <w:vAlign w:val="top"/>
          </w:tcPr>
          <w:p w14:paraId="03DF47A2">
            <w:pPr>
              <w:rPr>
                <w:rFonts w:ascii="Arial"/>
                <w:color w:val="auto"/>
                <w:sz w:val="21"/>
                <w:highlight w:val="none"/>
              </w:rPr>
            </w:pPr>
          </w:p>
        </w:tc>
        <w:tc>
          <w:tcPr>
            <w:tcW w:w="1027" w:type="dxa"/>
            <w:vAlign w:val="top"/>
          </w:tcPr>
          <w:p w14:paraId="0DE2609E">
            <w:pPr>
              <w:rPr>
                <w:rFonts w:ascii="Arial"/>
                <w:color w:val="auto"/>
                <w:sz w:val="21"/>
                <w:highlight w:val="none"/>
              </w:rPr>
            </w:pPr>
          </w:p>
        </w:tc>
      </w:tr>
      <w:tr w14:paraId="1518C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30E0736A">
            <w:pPr>
              <w:rPr>
                <w:rFonts w:ascii="Arial"/>
                <w:color w:val="auto"/>
                <w:sz w:val="21"/>
                <w:highlight w:val="none"/>
              </w:rPr>
            </w:pPr>
          </w:p>
        </w:tc>
        <w:tc>
          <w:tcPr>
            <w:tcW w:w="1363" w:type="dxa"/>
            <w:vAlign w:val="top"/>
          </w:tcPr>
          <w:p w14:paraId="25879EF6">
            <w:pPr>
              <w:rPr>
                <w:rFonts w:ascii="Arial"/>
                <w:color w:val="auto"/>
                <w:sz w:val="21"/>
                <w:highlight w:val="none"/>
              </w:rPr>
            </w:pPr>
          </w:p>
        </w:tc>
        <w:tc>
          <w:tcPr>
            <w:tcW w:w="1022" w:type="dxa"/>
            <w:vAlign w:val="top"/>
          </w:tcPr>
          <w:p w14:paraId="4DBAA94B">
            <w:pPr>
              <w:rPr>
                <w:rFonts w:ascii="Arial"/>
                <w:color w:val="auto"/>
                <w:sz w:val="21"/>
                <w:highlight w:val="none"/>
              </w:rPr>
            </w:pPr>
          </w:p>
        </w:tc>
        <w:tc>
          <w:tcPr>
            <w:tcW w:w="1022" w:type="dxa"/>
            <w:vAlign w:val="top"/>
          </w:tcPr>
          <w:p w14:paraId="0DA230D2">
            <w:pPr>
              <w:rPr>
                <w:rFonts w:ascii="Arial"/>
                <w:color w:val="auto"/>
                <w:sz w:val="21"/>
                <w:highlight w:val="none"/>
              </w:rPr>
            </w:pPr>
          </w:p>
        </w:tc>
        <w:tc>
          <w:tcPr>
            <w:tcW w:w="1022" w:type="dxa"/>
            <w:vAlign w:val="top"/>
          </w:tcPr>
          <w:p w14:paraId="1407BF4C">
            <w:pPr>
              <w:rPr>
                <w:rFonts w:ascii="Arial"/>
                <w:color w:val="auto"/>
                <w:sz w:val="21"/>
                <w:highlight w:val="none"/>
              </w:rPr>
            </w:pPr>
          </w:p>
        </w:tc>
        <w:tc>
          <w:tcPr>
            <w:tcW w:w="1022" w:type="dxa"/>
            <w:vAlign w:val="top"/>
          </w:tcPr>
          <w:p w14:paraId="6DE060A4">
            <w:pPr>
              <w:rPr>
                <w:rFonts w:ascii="Arial"/>
                <w:color w:val="auto"/>
                <w:sz w:val="21"/>
                <w:highlight w:val="none"/>
              </w:rPr>
            </w:pPr>
          </w:p>
        </w:tc>
        <w:tc>
          <w:tcPr>
            <w:tcW w:w="1027" w:type="dxa"/>
            <w:vAlign w:val="top"/>
          </w:tcPr>
          <w:p w14:paraId="1BBDCDEF">
            <w:pPr>
              <w:rPr>
                <w:rFonts w:ascii="Arial"/>
                <w:color w:val="auto"/>
                <w:sz w:val="21"/>
                <w:highlight w:val="none"/>
              </w:rPr>
            </w:pPr>
          </w:p>
        </w:tc>
        <w:tc>
          <w:tcPr>
            <w:tcW w:w="1027" w:type="dxa"/>
            <w:vAlign w:val="top"/>
          </w:tcPr>
          <w:p w14:paraId="6D163BFE">
            <w:pPr>
              <w:rPr>
                <w:rFonts w:ascii="Arial"/>
                <w:color w:val="auto"/>
                <w:sz w:val="21"/>
                <w:highlight w:val="none"/>
              </w:rPr>
            </w:pPr>
          </w:p>
        </w:tc>
      </w:tr>
      <w:tr w14:paraId="1566CF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70E06D2A">
            <w:pPr>
              <w:rPr>
                <w:rFonts w:ascii="Arial"/>
                <w:color w:val="auto"/>
                <w:sz w:val="21"/>
                <w:highlight w:val="none"/>
              </w:rPr>
            </w:pPr>
          </w:p>
        </w:tc>
        <w:tc>
          <w:tcPr>
            <w:tcW w:w="1363" w:type="dxa"/>
            <w:vAlign w:val="top"/>
          </w:tcPr>
          <w:p w14:paraId="7CEEB0EA">
            <w:pPr>
              <w:rPr>
                <w:rFonts w:ascii="Arial"/>
                <w:color w:val="auto"/>
                <w:sz w:val="21"/>
                <w:highlight w:val="none"/>
              </w:rPr>
            </w:pPr>
          </w:p>
        </w:tc>
        <w:tc>
          <w:tcPr>
            <w:tcW w:w="1022" w:type="dxa"/>
            <w:vAlign w:val="top"/>
          </w:tcPr>
          <w:p w14:paraId="2F003CE6">
            <w:pPr>
              <w:rPr>
                <w:rFonts w:ascii="Arial"/>
                <w:color w:val="auto"/>
                <w:sz w:val="21"/>
                <w:highlight w:val="none"/>
              </w:rPr>
            </w:pPr>
          </w:p>
        </w:tc>
        <w:tc>
          <w:tcPr>
            <w:tcW w:w="1022" w:type="dxa"/>
            <w:vAlign w:val="top"/>
          </w:tcPr>
          <w:p w14:paraId="17A61DEA">
            <w:pPr>
              <w:rPr>
                <w:rFonts w:ascii="Arial"/>
                <w:color w:val="auto"/>
                <w:sz w:val="21"/>
                <w:highlight w:val="none"/>
              </w:rPr>
            </w:pPr>
          </w:p>
        </w:tc>
        <w:tc>
          <w:tcPr>
            <w:tcW w:w="1022" w:type="dxa"/>
            <w:vAlign w:val="top"/>
          </w:tcPr>
          <w:p w14:paraId="78A5E86E">
            <w:pPr>
              <w:rPr>
                <w:rFonts w:ascii="Arial"/>
                <w:color w:val="auto"/>
                <w:sz w:val="21"/>
                <w:highlight w:val="none"/>
              </w:rPr>
            </w:pPr>
          </w:p>
        </w:tc>
        <w:tc>
          <w:tcPr>
            <w:tcW w:w="1022" w:type="dxa"/>
            <w:vAlign w:val="top"/>
          </w:tcPr>
          <w:p w14:paraId="752BDE47">
            <w:pPr>
              <w:rPr>
                <w:rFonts w:ascii="Arial"/>
                <w:color w:val="auto"/>
                <w:sz w:val="21"/>
                <w:highlight w:val="none"/>
              </w:rPr>
            </w:pPr>
          </w:p>
        </w:tc>
        <w:tc>
          <w:tcPr>
            <w:tcW w:w="1027" w:type="dxa"/>
            <w:vAlign w:val="top"/>
          </w:tcPr>
          <w:p w14:paraId="1DB18999">
            <w:pPr>
              <w:rPr>
                <w:rFonts w:ascii="Arial"/>
                <w:color w:val="auto"/>
                <w:sz w:val="21"/>
                <w:highlight w:val="none"/>
              </w:rPr>
            </w:pPr>
          </w:p>
        </w:tc>
        <w:tc>
          <w:tcPr>
            <w:tcW w:w="1027" w:type="dxa"/>
            <w:vAlign w:val="top"/>
          </w:tcPr>
          <w:p w14:paraId="514A4F11">
            <w:pPr>
              <w:rPr>
                <w:rFonts w:ascii="Arial"/>
                <w:color w:val="auto"/>
                <w:sz w:val="21"/>
                <w:highlight w:val="none"/>
              </w:rPr>
            </w:pPr>
          </w:p>
        </w:tc>
      </w:tr>
      <w:tr w14:paraId="61A5A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5F1C2B7A">
            <w:pPr>
              <w:rPr>
                <w:rFonts w:ascii="Arial"/>
                <w:color w:val="auto"/>
                <w:sz w:val="21"/>
                <w:highlight w:val="none"/>
              </w:rPr>
            </w:pPr>
          </w:p>
        </w:tc>
        <w:tc>
          <w:tcPr>
            <w:tcW w:w="1363" w:type="dxa"/>
            <w:vAlign w:val="top"/>
          </w:tcPr>
          <w:p w14:paraId="425DA467">
            <w:pPr>
              <w:rPr>
                <w:rFonts w:ascii="Arial"/>
                <w:color w:val="auto"/>
                <w:sz w:val="21"/>
                <w:highlight w:val="none"/>
              </w:rPr>
            </w:pPr>
          </w:p>
        </w:tc>
        <w:tc>
          <w:tcPr>
            <w:tcW w:w="1022" w:type="dxa"/>
            <w:vAlign w:val="top"/>
          </w:tcPr>
          <w:p w14:paraId="44F2D022">
            <w:pPr>
              <w:rPr>
                <w:rFonts w:ascii="Arial"/>
                <w:color w:val="auto"/>
                <w:sz w:val="21"/>
                <w:highlight w:val="none"/>
              </w:rPr>
            </w:pPr>
          </w:p>
        </w:tc>
        <w:tc>
          <w:tcPr>
            <w:tcW w:w="1022" w:type="dxa"/>
            <w:vAlign w:val="top"/>
          </w:tcPr>
          <w:p w14:paraId="56073908">
            <w:pPr>
              <w:rPr>
                <w:rFonts w:ascii="Arial"/>
                <w:color w:val="auto"/>
                <w:sz w:val="21"/>
                <w:highlight w:val="none"/>
              </w:rPr>
            </w:pPr>
          </w:p>
        </w:tc>
        <w:tc>
          <w:tcPr>
            <w:tcW w:w="1022" w:type="dxa"/>
            <w:vAlign w:val="top"/>
          </w:tcPr>
          <w:p w14:paraId="2A763172">
            <w:pPr>
              <w:rPr>
                <w:rFonts w:ascii="Arial"/>
                <w:color w:val="auto"/>
                <w:sz w:val="21"/>
                <w:highlight w:val="none"/>
              </w:rPr>
            </w:pPr>
          </w:p>
        </w:tc>
        <w:tc>
          <w:tcPr>
            <w:tcW w:w="1022" w:type="dxa"/>
            <w:vAlign w:val="top"/>
          </w:tcPr>
          <w:p w14:paraId="2758E0ED">
            <w:pPr>
              <w:rPr>
                <w:rFonts w:ascii="Arial"/>
                <w:color w:val="auto"/>
                <w:sz w:val="21"/>
                <w:highlight w:val="none"/>
              </w:rPr>
            </w:pPr>
          </w:p>
        </w:tc>
        <w:tc>
          <w:tcPr>
            <w:tcW w:w="1027" w:type="dxa"/>
            <w:vAlign w:val="top"/>
          </w:tcPr>
          <w:p w14:paraId="03EB263F">
            <w:pPr>
              <w:rPr>
                <w:rFonts w:ascii="Arial"/>
                <w:color w:val="auto"/>
                <w:sz w:val="21"/>
                <w:highlight w:val="none"/>
              </w:rPr>
            </w:pPr>
          </w:p>
        </w:tc>
        <w:tc>
          <w:tcPr>
            <w:tcW w:w="1027" w:type="dxa"/>
            <w:vAlign w:val="top"/>
          </w:tcPr>
          <w:p w14:paraId="21799EF1">
            <w:pPr>
              <w:rPr>
                <w:rFonts w:ascii="Arial"/>
                <w:color w:val="auto"/>
                <w:sz w:val="21"/>
                <w:highlight w:val="none"/>
              </w:rPr>
            </w:pPr>
          </w:p>
        </w:tc>
      </w:tr>
      <w:tr w14:paraId="1E6D3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68529862">
            <w:pPr>
              <w:rPr>
                <w:rFonts w:ascii="Arial"/>
                <w:color w:val="auto"/>
                <w:sz w:val="21"/>
                <w:highlight w:val="none"/>
              </w:rPr>
            </w:pPr>
          </w:p>
        </w:tc>
        <w:tc>
          <w:tcPr>
            <w:tcW w:w="1363" w:type="dxa"/>
            <w:vAlign w:val="top"/>
          </w:tcPr>
          <w:p w14:paraId="0A2C3BEF">
            <w:pPr>
              <w:rPr>
                <w:rFonts w:ascii="Arial"/>
                <w:color w:val="auto"/>
                <w:sz w:val="21"/>
                <w:highlight w:val="none"/>
              </w:rPr>
            </w:pPr>
          </w:p>
        </w:tc>
        <w:tc>
          <w:tcPr>
            <w:tcW w:w="1022" w:type="dxa"/>
            <w:vAlign w:val="top"/>
          </w:tcPr>
          <w:p w14:paraId="6677F95F">
            <w:pPr>
              <w:rPr>
                <w:rFonts w:ascii="Arial"/>
                <w:color w:val="auto"/>
                <w:sz w:val="21"/>
                <w:highlight w:val="none"/>
              </w:rPr>
            </w:pPr>
          </w:p>
        </w:tc>
        <w:tc>
          <w:tcPr>
            <w:tcW w:w="1022" w:type="dxa"/>
            <w:vAlign w:val="top"/>
          </w:tcPr>
          <w:p w14:paraId="04182334">
            <w:pPr>
              <w:rPr>
                <w:rFonts w:ascii="Arial"/>
                <w:color w:val="auto"/>
                <w:sz w:val="21"/>
                <w:highlight w:val="none"/>
              </w:rPr>
            </w:pPr>
          </w:p>
        </w:tc>
        <w:tc>
          <w:tcPr>
            <w:tcW w:w="1022" w:type="dxa"/>
            <w:vAlign w:val="top"/>
          </w:tcPr>
          <w:p w14:paraId="3CC302B7">
            <w:pPr>
              <w:rPr>
                <w:rFonts w:ascii="Arial"/>
                <w:color w:val="auto"/>
                <w:sz w:val="21"/>
                <w:highlight w:val="none"/>
              </w:rPr>
            </w:pPr>
          </w:p>
        </w:tc>
        <w:tc>
          <w:tcPr>
            <w:tcW w:w="1022" w:type="dxa"/>
            <w:vAlign w:val="top"/>
          </w:tcPr>
          <w:p w14:paraId="07E39965">
            <w:pPr>
              <w:rPr>
                <w:rFonts w:ascii="Arial"/>
                <w:color w:val="auto"/>
                <w:sz w:val="21"/>
                <w:highlight w:val="none"/>
              </w:rPr>
            </w:pPr>
          </w:p>
        </w:tc>
        <w:tc>
          <w:tcPr>
            <w:tcW w:w="1027" w:type="dxa"/>
            <w:vAlign w:val="top"/>
          </w:tcPr>
          <w:p w14:paraId="2FD92205">
            <w:pPr>
              <w:rPr>
                <w:rFonts w:ascii="Arial"/>
                <w:color w:val="auto"/>
                <w:sz w:val="21"/>
                <w:highlight w:val="none"/>
              </w:rPr>
            </w:pPr>
          </w:p>
        </w:tc>
        <w:tc>
          <w:tcPr>
            <w:tcW w:w="1027" w:type="dxa"/>
            <w:vAlign w:val="top"/>
          </w:tcPr>
          <w:p w14:paraId="5AB6AD23">
            <w:pPr>
              <w:rPr>
                <w:rFonts w:ascii="Arial"/>
                <w:color w:val="auto"/>
                <w:sz w:val="21"/>
                <w:highlight w:val="none"/>
              </w:rPr>
            </w:pPr>
          </w:p>
        </w:tc>
      </w:tr>
      <w:tr w14:paraId="0D1CE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22FD7B06">
            <w:pPr>
              <w:rPr>
                <w:rFonts w:ascii="Arial"/>
                <w:color w:val="auto"/>
                <w:sz w:val="21"/>
                <w:highlight w:val="none"/>
              </w:rPr>
            </w:pPr>
          </w:p>
        </w:tc>
        <w:tc>
          <w:tcPr>
            <w:tcW w:w="1363" w:type="dxa"/>
            <w:vAlign w:val="top"/>
          </w:tcPr>
          <w:p w14:paraId="008EBF28">
            <w:pPr>
              <w:rPr>
                <w:rFonts w:ascii="Arial"/>
                <w:color w:val="auto"/>
                <w:sz w:val="21"/>
                <w:highlight w:val="none"/>
              </w:rPr>
            </w:pPr>
          </w:p>
        </w:tc>
        <w:tc>
          <w:tcPr>
            <w:tcW w:w="1022" w:type="dxa"/>
            <w:vAlign w:val="top"/>
          </w:tcPr>
          <w:p w14:paraId="46E2E0D0">
            <w:pPr>
              <w:rPr>
                <w:rFonts w:ascii="Arial"/>
                <w:color w:val="auto"/>
                <w:sz w:val="21"/>
                <w:highlight w:val="none"/>
              </w:rPr>
            </w:pPr>
          </w:p>
        </w:tc>
        <w:tc>
          <w:tcPr>
            <w:tcW w:w="1022" w:type="dxa"/>
            <w:vAlign w:val="top"/>
          </w:tcPr>
          <w:p w14:paraId="488B7F1C">
            <w:pPr>
              <w:rPr>
                <w:rFonts w:ascii="Arial"/>
                <w:color w:val="auto"/>
                <w:sz w:val="21"/>
                <w:highlight w:val="none"/>
              </w:rPr>
            </w:pPr>
          </w:p>
        </w:tc>
        <w:tc>
          <w:tcPr>
            <w:tcW w:w="1022" w:type="dxa"/>
            <w:vAlign w:val="top"/>
          </w:tcPr>
          <w:p w14:paraId="38496EEE">
            <w:pPr>
              <w:rPr>
                <w:rFonts w:ascii="Arial"/>
                <w:color w:val="auto"/>
                <w:sz w:val="21"/>
                <w:highlight w:val="none"/>
              </w:rPr>
            </w:pPr>
          </w:p>
        </w:tc>
        <w:tc>
          <w:tcPr>
            <w:tcW w:w="1022" w:type="dxa"/>
            <w:vAlign w:val="top"/>
          </w:tcPr>
          <w:p w14:paraId="692615B0">
            <w:pPr>
              <w:rPr>
                <w:rFonts w:ascii="Arial"/>
                <w:color w:val="auto"/>
                <w:sz w:val="21"/>
                <w:highlight w:val="none"/>
              </w:rPr>
            </w:pPr>
          </w:p>
        </w:tc>
        <w:tc>
          <w:tcPr>
            <w:tcW w:w="1027" w:type="dxa"/>
            <w:vAlign w:val="top"/>
          </w:tcPr>
          <w:p w14:paraId="611443C8">
            <w:pPr>
              <w:rPr>
                <w:rFonts w:ascii="Arial"/>
                <w:color w:val="auto"/>
                <w:sz w:val="21"/>
                <w:highlight w:val="none"/>
              </w:rPr>
            </w:pPr>
          </w:p>
        </w:tc>
        <w:tc>
          <w:tcPr>
            <w:tcW w:w="1027" w:type="dxa"/>
            <w:vAlign w:val="top"/>
          </w:tcPr>
          <w:p w14:paraId="185FC040">
            <w:pPr>
              <w:rPr>
                <w:rFonts w:ascii="Arial"/>
                <w:color w:val="auto"/>
                <w:sz w:val="21"/>
                <w:highlight w:val="none"/>
              </w:rPr>
            </w:pPr>
          </w:p>
        </w:tc>
      </w:tr>
      <w:tr w14:paraId="644D2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4D3FE1F8">
            <w:pPr>
              <w:rPr>
                <w:rFonts w:ascii="Arial"/>
                <w:color w:val="auto"/>
                <w:sz w:val="21"/>
                <w:highlight w:val="none"/>
              </w:rPr>
            </w:pPr>
          </w:p>
        </w:tc>
        <w:tc>
          <w:tcPr>
            <w:tcW w:w="1363" w:type="dxa"/>
            <w:vAlign w:val="top"/>
          </w:tcPr>
          <w:p w14:paraId="2D9847BA">
            <w:pPr>
              <w:rPr>
                <w:rFonts w:ascii="Arial"/>
                <w:color w:val="auto"/>
                <w:sz w:val="21"/>
                <w:highlight w:val="none"/>
              </w:rPr>
            </w:pPr>
          </w:p>
        </w:tc>
        <w:tc>
          <w:tcPr>
            <w:tcW w:w="1022" w:type="dxa"/>
            <w:vAlign w:val="top"/>
          </w:tcPr>
          <w:p w14:paraId="1B35FA75">
            <w:pPr>
              <w:rPr>
                <w:rFonts w:ascii="Arial"/>
                <w:color w:val="auto"/>
                <w:sz w:val="21"/>
                <w:highlight w:val="none"/>
              </w:rPr>
            </w:pPr>
          </w:p>
        </w:tc>
        <w:tc>
          <w:tcPr>
            <w:tcW w:w="1022" w:type="dxa"/>
            <w:vAlign w:val="top"/>
          </w:tcPr>
          <w:p w14:paraId="07764C6B">
            <w:pPr>
              <w:rPr>
                <w:rFonts w:ascii="Arial"/>
                <w:color w:val="auto"/>
                <w:sz w:val="21"/>
                <w:highlight w:val="none"/>
              </w:rPr>
            </w:pPr>
          </w:p>
        </w:tc>
        <w:tc>
          <w:tcPr>
            <w:tcW w:w="1022" w:type="dxa"/>
            <w:vAlign w:val="top"/>
          </w:tcPr>
          <w:p w14:paraId="66864173">
            <w:pPr>
              <w:rPr>
                <w:rFonts w:ascii="Arial"/>
                <w:color w:val="auto"/>
                <w:sz w:val="21"/>
                <w:highlight w:val="none"/>
              </w:rPr>
            </w:pPr>
          </w:p>
        </w:tc>
        <w:tc>
          <w:tcPr>
            <w:tcW w:w="1022" w:type="dxa"/>
            <w:vAlign w:val="top"/>
          </w:tcPr>
          <w:p w14:paraId="6FA002E1">
            <w:pPr>
              <w:rPr>
                <w:rFonts w:ascii="Arial"/>
                <w:color w:val="auto"/>
                <w:sz w:val="21"/>
                <w:highlight w:val="none"/>
              </w:rPr>
            </w:pPr>
          </w:p>
        </w:tc>
        <w:tc>
          <w:tcPr>
            <w:tcW w:w="1027" w:type="dxa"/>
            <w:vAlign w:val="top"/>
          </w:tcPr>
          <w:p w14:paraId="78E50888">
            <w:pPr>
              <w:rPr>
                <w:rFonts w:ascii="Arial"/>
                <w:color w:val="auto"/>
                <w:sz w:val="21"/>
                <w:highlight w:val="none"/>
              </w:rPr>
            </w:pPr>
          </w:p>
        </w:tc>
        <w:tc>
          <w:tcPr>
            <w:tcW w:w="1027" w:type="dxa"/>
            <w:vAlign w:val="top"/>
          </w:tcPr>
          <w:p w14:paraId="1B418916">
            <w:pPr>
              <w:rPr>
                <w:rFonts w:ascii="Arial"/>
                <w:color w:val="auto"/>
                <w:sz w:val="21"/>
                <w:highlight w:val="none"/>
              </w:rPr>
            </w:pPr>
          </w:p>
        </w:tc>
      </w:tr>
      <w:tr w14:paraId="511E7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66677740">
            <w:pPr>
              <w:rPr>
                <w:rFonts w:ascii="Arial"/>
                <w:color w:val="auto"/>
                <w:sz w:val="21"/>
                <w:highlight w:val="none"/>
              </w:rPr>
            </w:pPr>
          </w:p>
        </w:tc>
        <w:tc>
          <w:tcPr>
            <w:tcW w:w="1363" w:type="dxa"/>
            <w:vAlign w:val="top"/>
          </w:tcPr>
          <w:p w14:paraId="2C4D76C1">
            <w:pPr>
              <w:rPr>
                <w:rFonts w:ascii="Arial"/>
                <w:color w:val="auto"/>
                <w:sz w:val="21"/>
                <w:highlight w:val="none"/>
              </w:rPr>
            </w:pPr>
          </w:p>
        </w:tc>
        <w:tc>
          <w:tcPr>
            <w:tcW w:w="1022" w:type="dxa"/>
            <w:vAlign w:val="top"/>
          </w:tcPr>
          <w:p w14:paraId="2F1AA727">
            <w:pPr>
              <w:rPr>
                <w:rFonts w:ascii="Arial"/>
                <w:color w:val="auto"/>
                <w:sz w:val="21"/>
                <w:highlight w:val="none"/>
              </w:rPr>
            </w:pPr>
          </w:p>
        </w:tc>
        <w:tc>
          <w:tcPr>
            <w:tcW w:w="1022" w:type="dxa"/>
            <w:vAlign w:val="top"/>
          </w:tcPr>
          <w:p w14:paraId="4DC92384">
            <w:pPr>
              <w:rPr>
                <w:rFonts w:ascii="Arial"/>
                <w:color w:val="auto"/>
                <w:sz w:val="21"/>
                <w:highlight w:val="none"/>
              </w:rPr>
            </w:pPr>
          </w:p>
        </w:tc>
        <w:tc>
          <w:tcPr>
            <w:tcW w:w="1022" w:type="dxa"/>
            <w:vAlign w:val="top"/>
          </w:tcPr>
          <w:p w14:paraId="6A380EF1">
            <w:pPr>
              <w:rPr>
                <w:rFonts w:ascii="Arial"/>
                <w:color w:val="auto"/>
                <w:sz w:val="21"/>
                <w:highlight w:val="none"/>
              </w:rPr>
            </w:pPr>
          </w:p>
        </w:tc>
        <w:tc>
          <w:tcPr>
            <w:tcW w:w="1022" w:type="dxa"/>
            <w:vAlign w:val="top"/>
          </w:tcPr>
          <w:p w14:paraId="3C3BE418">
            <w:pPr>
              <w:rPr>
                <w:rFonts w:ascii="Arial"/>
                <w:color w:val="auto"/>
                <w:sz w:val="21"/>
                <w:highlight w:val="none"/>
              </w:rPr>
            </w:pPr>
          </w:p>
        </w:tc>
        <w:tc>
          <w:tcPr>
            <w:tcW w:w="1027" w:type="dxa"/>
            <w:vAlign w:val="top"/>
          </w:tcPr>
          <w:p w14:paraId="37BA7A4B">
            <w:pPr>
              <w:rPr>
                <w:rFonts w:ascii="Arial"/>
                <w:color w:val="auto"/>
                <w:sz w:val="21"/>
                <w:highlight w:val="none"/>
              </w:rPr>
            </w:pPr>
          </w:p>
        </w:tc>
        <w:tc>
          <w:tcPr>
            <w:tcW w:w="1027" w:type="dxa"/>
            <w:vAlign w:val="top"/>
          </w:tcPr>
          <w:p w14:paraId="46029C7C">
            <w:pPr>
              <w:rPr>
                <w:rFonts w:ascii="Arial"/>
                <w:color w:val="auto"/>
                <w:sz w:val="21"/>
                <w:highlight w:val="none"/>
              </w:rPr>
            </w:pPr>
          </w:p>
        </w:tc>
      </w:tr>
      <w:tr w14:paraId="43602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49B6B45B">
            <w:pPr>
              <w:rPr>
                <w:rFonts w:ascii="Arial"/>
                <w:color w:val="auto"/>
                <w:sz w:val="21"/>
                <w:highlight w:val="none"/>
              </w:rPr>
            </w:pPr>
          </w:p>
        </w:tc>
        <w:tc>
          <w:tcPr>
            <w:tcW w:w="1363" w:type="dxa"/>
            <w:vAlign w:val="top"/>
          </w:tcPr>
          <w:p w14:paraId="08C03620">
            <w:pPr>
              <w:rPr>
                <w:rFonts w:ascii="Arial"/>
                <w:color w:val="auto"/>
                <w:sz w:val="21"/>
                <w:highlight w:val="none"/>
              </w:rPr>
            </w:pPr>
          </w:p>
        </w:tc>
        <w:tc>
          <w:tcPr>
            <w:tcW w:w="1022" w:type="dxa"/>
            <w:vAlign w:val="top"/>
          </w:tcPr>
          <w:p w14:paraId="30A7A1F6">
            <w:pPr>
              <w:rPr>
                <w:rFonts w:ascii="Arial"/>
                <w:color w:val="auto"/>
                <w:sz w:val="21"/>
                <w:highlight w:val="none"/>
              </w:rPr>
            </w:pPr>
          </w:p>
        </w:tc>
        <w:tc>
          <w:tcPr>
            <w:tcW w:w="1022" w:type="dxa"/>
            <w:vAlign w:val="top"/>
          </w:tcPr>
          <w:p w14:paraId="2EB8200A">
            <w:pPr>
              <w:rPr>
                <w:rFonts w:ascii="Arial"/>
                <w:color w:val="auto"/>
                <w:sz w:val="21"/>
                <w:highlight w:val="none"/>
              </w:rPr>
            </w:pPr>
          </w:p>
        </w:tc>
        <w:tc>
          <w:tcPr>
            <w:tcW w:w="1022" w:type="dxa"/>
            <w:vAlign w:val="top"/>
          </w:tcPr>
          <w:p w14:paraId="4C0EBE65">
            <w:pPr>
              <w:rPr>
                <w:rFonts w:ascii="Arial"/>
                <w:color w:val="auto"/>
                <w:sz w:val="21"/>
                <w:highlight w:val="none"/>
              </w:rPr>
            </w:pPr>
          </w:p>
        </w:tc>
        <w:tc>
          <w:tcPr>
            <w:tcW w:w="1022" w:type="dxa"/>
            <w:vAlign w:val="top"/>
          </w:tcPr>
          <w:p w14:paraId="75E8E3E7">
            <w:pPr>
              <w:rPr>
                <w:rFonts w:ascii="Arial"/>
                <w:color w:val="auto"/>
                <w:sz w:val="21"/>
                <w:highlight w:val="none"/>
              </w:rPr>
            </w:pPr>
          </w:p>
        </w:tc>
        <w:tc>
          <w:tcPr>
            <w:tcW w:w="1027" w:type="dxa"/>
            <w:vAlign w:val="top"/>
          </w:tcPr>
          <w:p w14:paraId="564457BA">
            <w:pPr>
              <w:rPr>
                <w:rFonts w:ascii="Arial"/>
                <w:color w:val="auto"/>
                <w:sz w:val="21"/>
                <w:highlight w:val="none"/>
              </w:rPr>
            </w:pPr>
          </w:p>
        </w:tc>
        <w:tc>
          <w:tcPr>
            <w:tcW w:w="1027" w:type="dxa"/>
            <w:vAlign w:val="top"/>
          </w:tcPr>
          <w:p w14:paraId="68D86FC0">
            <w:pPr>
              <w:rPr>
                <w:rFonts w:ascii="Arial"/>
                <w:color w:val="auto"/>
                <w:sz w:val="21"/>
                <w:highlight w:val="none"/>
              </w:rPr>
            </w:pPr>
          </w:p>
        </w:tc>
      </w:tr>
      <w:tr w14:paraId="16236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78BCFFD9">
            <w:pPr>
              <w:rPr>
                <w:rFonts w:ascii="Arial"/>
                <w:color w:val="auto"/>
                <w:sz w:val="21"/>
                <w:highlight w:val="none"/>
              </w:rPr>
            </w:pPr>
          </w:p>
        </w:tc>
        <w:tc>
          <w:tcPr>
            <w:tcW w:w="1363" w:type="dxa"/>
            <w:vAlign w:val="top"/>
          </w:tcPr>
          <w:p w14:paraId="4A7C846C">
            <w:pPr>
              <w:rPr>
                <w:rFonts w:ascii="Arial"/>
                <w:color w:val="auto"/>
                <w:sz w:val="21"/>
                <w:highlight w:val="none"/>
              </w:rPr>
            </w:pPr>
          </w:p>
        </w:tc>
        <w:tc>
          <w:tcPr>
            <w:tcW w:w="1022" w:type="dxa"/>
            <w:vAlign w:val="top"/>
          </w:tcPr>
          <w:p w14:paraId="6747BF69">
            <w:pPr>
              <w:rPr>
                <w:rFonts w:ascii="Arial"/>
                <w:color w:val="auto"/>
                <w:sz w:val="21"/>
                <w:highlight w:val="none"/>
              </w:rPr>
            </w:pPr>
          </w:p>
        </w:tc>
        <w:tc>
          <w:tcPr>
            <w:tcW w:w="1022" w:type="dxa"/>
            <w:vAlign w:val="top"/>
          </w:tcPr>
          <w:p w14:paraId="000F9772">
            <w:pPr>
              <w:rPr>
                <w:rFonts w:ascii="Arial"/>
                <w:color w:val="auto"/>
                <w:sz w:val="21"/>
                <w:highlight w:val="none"/>
              </w:rPr>
            </w:pPr>
          </w:p>
        </w:tc>
        <w:tc>
          <w:tcPr>
            <w:tcW w:w="1022" w:type="dxa"/>
            <w:vAlign w:val="top"/>
          </w:tcPr>
          <w:p w14:paraId="3933C692">
            <w:pPr>
              <w:rPr>
                <w:rFonts w:ascii="Arial"/>
                <w:color w:val="auto"/>
                <w:sz w:val="21"/>
                <w:highlight w:val="none"/>
              </w:rPr>
            </w:pPr>
          </w:p>
        </w:tc>
        <w:tc>
          <w:tcPr>
            <w:tcW w:w="1022" w:type="dxa"/>
            <w:vAlign w:val="top"/>
          </w:tcPr>
          <w:p w14:paraId="4FD83D16">
            <w:pPr>
              <w:rPr>
                <w:rFonts w:ascii="Arial"/>
                <w:color w:val="auto"/>
                <w:sz w:val="21"/>
                <w:highlight w:val="none"/>
              </w:rPr>
            </w:pPr>
          </w:p>
        </w:tc>
        <w:tc>
          <w:tcPr>
            <w:tcW w:w="1027" w:type="dxa"/>
            <w:vAlign w:val="top"/>
          </w:tcPr>
          <w:p w14:paraId="2BC31418">
            <w:pPr>
              <w:rPr>
                <w:rFonts w:ascii="Arial"/>
                <w:color w:val="auto"/>
                <w:sz w:val="21"/>
                <w:highlight w:val="none"/>
              </w:rPr>
            </w:pPr>
          </w:p>
        </w:tc>
        <w:tc>
          <w:tcPr>
            <w:tcW w:w="1027" w:type="dxa"/>
            <w:vAlign w:val="top"/>
          </w:tcPr>
          <w:p w14:paraId="52B97750">
            <w:pPr>
              <w:rPr>
                <w:rFonts w:ascii="Arial"/>
                <w:color w:val="auto"/>
                <w:sz w:val="21"/>
                <w:highlight w:val="none"/>
              </w:rPr>
            </w:pPr>
          </w:p>
        </w:tc>
      </w:tr>
      <w:tr w14:paraId="494AD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0D850663">
            <w:pPr>
              <w:rPr>
                <w:rFonts w:ascii="Arial"/>
                <w:color w:val="auto"/>
                <w:sz w:val="21"/>
                <w:highlight w:val="none"/>
              </w:rPr>
            </w:pPr>
          </w:p>
        </w:tc>
        <w:tc>
          <w:tcPr>
            <w:tcW w:w="1363" w:type="dxa"/>
            <w:vAlign w:val="top"/>
          </w:tcPr>
          <w:p w14:paraId="730607EC">
            <w:pPr>
              <w:rPr>
                <w:rFonts w:ascii="Arial"/>
                <w:color w:val="auto"/>
                <w:sz w:val="21"/>
                <w:highlight w:val="none"/>
              </w:rPr>
            </w:pPr>
          </w:p>
        </w:tc>
        <w:tc>
          <w:tcPr>
            <w:tcW w:w="1022" w:type="dxa"/>
            <w:vAlign w:val="top"/>
          </w:tcPr>
          <w:p w14:paraId="4E18711F">
            <w:pPr>
              <w:rPr>
                <w:rFonts w:ascii="Arial"/>
                <w:color w:val="auto"/>
                <w:sz w:val="21"/>
                <w:highlight w:val="none"/>
              </w:rPr>
            </w:pPr>
          </w:p>
        </w:tc>
        <w:tc>
          <w:tcPr>
            <w:tcW w:w="1022" w:type="dxa"/>
            <w:vAlign w:val="top"/>
          </w:tcPr>
          <w:p w14:paraId="2F65A41B">
            <w:pPr>
              <w:rPr>
                <w:rFonts w:ascii="Arial"/>
                <w:color w:val="auto"/>
                <w:sz w:val="21"/>
                <w:highlight w:val="none"/>
              </w:rPr>
            </w:pPr>
          </w:p>
        </w:tc>
        <w:tc>
          <w:tcPr>
            <w:tcW w:w="1022" w:type="dxa"/>
            <w:vAlign w:val="top"/>
          </w:tcPr>
          <w:p w14:paraId="0CCB8032">
            <w:pPr>
              <w:rPr>
                <w:rFonts w:ascii="Arial"/>
                <w:color w:val="auto"/>
                <w:sz w:val="21"/>
                <w:highlight w:val="none"/>
              </w:rPr>
            </w:pPr>
          </w:p>
        </w:tc>
        <w:tc>
          <w:tcPr>
            <w:tcW w:w="1022" w:type="dxa"/>
            <w:vAlign w:val="top"/>
          </w:tcPr>
          <w:p w14:paraId="4BE7F740">
            <w:pPr>
              <w:rPr>
                <w:rFonts w:ascii="Arial"/>
                <w:color w:val="auto"/>
                <w:sz w:val="21"/>
                <w:highlight w:val="none"/>
              </w:rPr>
            </w:pPr>
          </w:p>
        </w:tc>
        <w:tc>
          <w:tcPr>
            <w:tcW w:w="1027" w:type="dxa"/>
            <w:vAlign w:val="top"/>
          </w:tcPr>
          <w:p w14:paraId="172038BF">
            <w:pPr>
              <w:rPr>
                <w:rFonts w:ascii="Arial"/>
                <w:color w:val="auto"/>
                <w:sz w:val="21"/>
                <w:highlight w:val="none"/>
              </w:rPr>
            </w:pPr>
          </w:p>
        </w:tc>
        <w:tc>
          <w:tcPr>
            <w:tcW w:w="1027" w:type="dxa"/>
            <w:vAlign w:val="top"/>
          </w:tcPr>
          <w:p w14:paraId="603FDF32">
            <w:pPr>
              <w:rPr>
                <w:rFonts w:ascii="Arial"/>
                <w:color w:val="auto"/>
                <w:sz w:val="21"/>
                <w:highlight w:val="none"/>
              </w:rPr>
            </w:pPr>
          </w:p>
        </w:tc>
      </w:tr>
      <w:tr w14:paraId="3B5B6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157AC5C0">
            <w:pPr>
              <w:rPr>
                <w:rFonts w:ascii="Arial"/>
                <w:color w:val="auto"/>
                <w:sz w:val="21"/>
                <w:highlight w:val="none"/>
              </w:rPr>
            </w:pPr>
          </w:p>
        </w:tc>
        <w:tc>
          <w:tcPr>
            <w:tcW w:w="1363" w:type="dxa"/>
            <w:vAlign w:val="top"/>
          </w:tcPr>
          <w:p w14:paraId="106D5E24">
            <w:pPr>
              <w:rPr>
                <w:rFonts w:ascii="Arial"/>
                <w:color w:val="auto"/>
                <w:sz w:val="21"/>
                <w:highlight w:val="none"/>
              </w:rPr>
            </w:pPr>
          </w:p>
        </w:tc>
        <w:tc>
          <w:tcPr>
            <w:tcW w:w="1022" w:type="dxa"/>
            <w:vAlign w:val="top"/>
          </w:tcPr>
          <w:p w14:paraId="005D2307">
            <w:pPr>
              <w:rPr>
                <w:rFonts w:ascii="Arial"/>
                <w:color w:val="auto"/>
                <w:sz w:val="21"/>
                <w:highlight w:val="none"/>
              </w:rPr>
            </w:pPr>
          </w:p>
        </w:tc>
        <w:tc>
          <w:tcPr>
            <w:tcW w:w="1022" w:type="dxa"/>
            <w:vAlign w:val="top"/>
          </w:tcPr>
          <w:p w14:paraId="72A20AA4">
            <w:pPr>
              <w:rPr>
                <w:rFonts w:ascii="Arial"/>
                <w:color w:val="auto"/>
                <w:sz w:val="21"/>
                <w:highlight w:val="none"/>
              </w:rPr>
            </w:pPr>
          </w:p>
        </w:tc>
        <w:tc>
          <w:tcPr>
            <w:tcW w:w="1022" w:type="dxa"/>
            <w:vAlign w:val="top"/>
          </w:tcPr>
          <w:p w14:paraId="62D13553">
            <w:pPr>
              <w:rPr>
                <w:rFonts w:ascii="Arial"/>
                <w:color w:val="auto"/>
                <w:sz w:val="21"/>
                <w:highlight w:val="none"/>
              </w:rPr>
            </w:pPr>
          </w:p>
        </w:tc>
        <w:tc>
          <w:tcPr>
            <w:tcW w:w="1022" w:type="dxa"/>
            <w:vAlign w:val="top"/>
          </w:tcPr>
          <w:p w14:paraId="6CA83970">
            <w:pPr>
              <w:rPr>
                <w:rFonts w:ascii="Arial"/>
                <w:color w:val="auto"/>
                <w:sz w:val="21"/>
                <w:highlight w:val="none"/>
              </w:rPr>
            </w:pPr>
          </w:p>
        </w:tc>
        <w:tc>
          <w:tcPr>
            <w:tcW w:w="1027" w:type="dxa"/>
            <w:vAlign w:val="top"/>
          </w:tcPr>
          <w:p w14:paraId="0D99269E">
            <w:pPr>
              <w:rPr>
                <w:rFonts w:ascii="Arial"/>
                <w:color w:val="auto"/>
                <w:sz w:val="21"/>
                <w:highlight w:val="none"/>
              </w:rPr>
            </w:pPr>
          </w:p>
        </w:tc>
        <w:tc>
          <w:tcPr>
            <w:tcW w:w="1027" w:type="dxa"/>
            <w:vAlign w:val="top"/>
          </w:tcPr>
          <w:p w14:paraId="7F68E913">
            <w:pPr>
              <w:rPr>
                <w:rFonts w:ascii="Arial"/>
                <w:color w:val="auto"/>
                <w:sz w:val="21"/>
                <w:highlight w:val="none"/>
              </w:rPr>
            </w:pPr>
          </w:p>
        </w:tc>
      </w:tr>
      <w:tr w14:paraId="3DE0A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2C404E03">
            <w:pPr>
              <w:rPr>
                <w:rFonts w:ascii="Arial"/>
                <w:color w:val="auto"/>
                <w:sz w:val="21"/>
                <w:highlight w:val="none"/>
              </w:rPr>
            </w:pPr>
          </w:p>
        </w:tc>
        <w:tc>
          <w:tcPr>
            <w:tcW w:w="1363" w:type="dxa"/>
            <w:vAlign w:val="top"/>
          </w:tcPr>
          <w:p w14:paraId="0D70434F">
            <w:pPr>
              <w:rPr>
                <w:rFonts w:ascii="Arial"/>
                <w:color w:val="auto"/>
                <w:sz w:val="21"/>
                <w:highlight w:val="none"/>
              </w:rPr>
            </w:pPr>
          </w:p>
        </w:tc>
        <w:tc>
          <w:tcPr>
            <w:tcW w:w="1022" w:type="dxa"/>
            <w:vAlign w:val="top"/>
          </w:tcPr>
          <w:p w14:paraId="5F90EB09">
            <w:pPr>
              <w:rPr>
                <w:rFonts w:ascii="Arial"/>
                <w:color w:val="auto"/>
                <w:sz w:val="21"/>
                <w:highlight w:val="none"/>
              </w:rPr>
            </w:pPr>
          </w:p>
        </w:tc>
        <w:tc>
          <w:tcPr>
            <w:tcW w:w="1022" w:type="dxa"/>
            <w:vAlign w:val="top"/>
          </w:tcPr>
          <w:p w14:paraId="352FA7C2">
            <w:pPr>
              <w:rPr>
                <w:rFonts w:ascii="Arial"/>
                <w:color w:val="auto"/>
                <w:sz w:val="21"/>
                <w:highlight w:val="none"/>
              </w:rPr>
            </w:pPr>
          </w:p>
        </w:tc>
        <w:tc>
          <w:tcPr>
            <w:tcW w:w="1022" w:type="dxa"/>
            <w:vAlign w:val="top"/>
          </w:tcPr>
          <w:p w14:paraId="36663789">
            <w:pPr>
              <w:rPr>
                <w:rFonts w:ascii="Arial"/>
                <w:color w:val="auto"/>
                <w:sz w:val="21"/>
                <w:highlight w:val="none"/>
              </w:rPr>
            </w:pPr>
          </w:p>
        </w:tc>
        <w:tc>
          <w:tcPr>
            <w:tcW w:w="1022" w:type="dxa"/>
            <w:vAlign w:val="top"/>
          </w:tcPr>
          <w:p w14:paraId="22EEC69A">
            <w:pPr>
              <w:rPr>
                <w:rFonts w:ascii="Arial"/>
                <w:color w:val="auto"/>
                <w:sz w:val="21"/>
                <w:highlight w:val="none"/>
              </w:rPr>
            </w:pPr>
          </w:p>
        </w:tc>
        <w:tc>
          <w:tcPr>
            <w:tcW w:w="1027" w:type="dxa"/>
            <w:vAlign w:val="top"/>
          </w:tcPr>
          <w:p w14:paraId="09410AEF">
            <w:pPr>
              <w:rPr>
                <w:rFonts w:ascii="Arial"/>
                <w:color w:val="auto"/>
                <w:sz w:val="21"/>
                <w:highlight w:val="none"/>
              </w:rPr>
            </w:pPr>
          </w:p>
        </w:tc>
        <w:tc>
          <w:tcPr>
            <w:tcW w:w="1027" w:type="dxa"/>
            <w:vAlign w:val="top"/>
          </w:tcPr>
          <w:p w14:paraId="1FD5613B">
            <w:pPr>
              <w:rPr>
                <w:rFonts w:ascii="Arial"/>
                <w:color w:val="auto"/>
                <w:sz w:val="21"/>
                <w:highlight w:val="none"/>
              </w:rPr>
            </w:pPr>
          </w:p>
        </w:tc>
      </w:tr>
      <w:tr w14:paraId="7AC46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308A4B85">
            <w:pPr>
              <w:rPr>
                <w:rFonts w:ascii="Arial"/>
                <w:color w:val="auto"/>
                <w:sz w:val="21"/>
                <w:highlight w:val="none"/>
              </w:rPr>
            </w:pPr>
          </w:p>
        </w:tc>
        <w:tc>
          <w:tcPr>
            <w:tcW w:w="1363" w:type="dxa"/>
            <w:vAlign w:val="top"/>
          </w:tcPr>
          <w:p w14:paraId="7ACFC648">
            <w:pPr>
              <w:rPr>
                <w:rFonts w:ascii="Arial"/>
                <w:color w:val="auto"/>
                <w:sz w:val="21"/>
                <w:highlight w:val="none"/>
              </w:rPr>
            </w:pPr>
          </w:p>
        </w:tc>
        <w:tc>
          <w:tcPr>
            <w:tcW w:w="1022" w:type="dxa"/>
            <w:vAlign w:val="top"/>
          </w:tcPr>
          <w:p w14:paraId="2040D084">
            <w:pPr>
              <w:rPr>
                <w:rFonts w:ascii="Arial"/>
                <w:color w:val="auto"/>
                <w:sz w:val="21"/>
                <w:highlight w:val="none"/>
              </w:rPr>
            </w:pPr>
          </w:p>
        </w:tc>
        <w:tc>
          <w:tcPr>
            <w:tcW w:w="1022" w:type="dxa"/>
            <w:vAlign w:val="top"/>
          </w:tcPr>
          <w:p w14:paraId="775B36C6">
            <w:pPr>
              <w:rPr>
                <w:rFonts w:ascii="Arial"/>
                <w:color w:val="auto"/>
                <w:sz w:val="21"/>
                <w:highlight w:val="none"/>
              </w:rPr>
            </w:pPr>
          </w:p>
        </w:tc>
        <w:tc>
          <w:tcPr>
            <w:tcW w:w="1022" w:type="dxa"/>
            <w:vAlign w:val="top"/>
          </w:tcPr>
          <w:p w14:paraId="322D3715">
            <w:pPr>
              <w:rPr>
                <w:rFonts w:ascii="Arial"/>
                <w:color w:val="auto"/>
                <w:sz w:val="21"/>
                <w:highlight w:val="none"/>
              </w:rPr>
            </w:pPr>
          </w:p>
        </w:tc>
        <w:tc>
          <w:tcPr>
            <w:tcW w:w="1022" w:type="dxa"/>
            <w:vAlign w:val="top"/>
          </w:tcPr>
          <w:p w14:paraId="62C536DB">
            <w:pPr>
              <w:rPr>
                <w:rFonts w:ascii="Arial"/>
                <w:color w:val="auto"/>
                <w:sz w:val="21"/>
                <w:highlight w:val="none"/>
              </w:rPr>
            </w:pPr>
          </w:p>
        </w:tc>
        <w:tc>
          <w:tcPr>
            <w:tcW w:w="1027" w:type="dxa"/>
            <w:vAlign w:val="top"/>
          </w:tcPr>
          <w:p w14:paraId="1C5F51F3">
            <w:pPr>
              <w:rPr>
                <w:rFonts w:ascii="Arial"/>
                <w:color w:val="auto"/>
                <w:sz w:val="21"/>
                <w:highlight w:val="none"/>
              </w:rPr>
            </w:pPr>
          </w:p>
        </w:tc>
        <w:tc>
          <w:tcPr>
            <w:tcW w:w="1027" w:type="dxa"/>
            <w:vAlign w:val="top"/>
          </w:tcPr>
          <w:p w14:paraId="2D4F6D23">
            <w:pPr>
              <w:rPr>
                <w:rFonts w:ascii="Arial"/>
                <w:color w:val="auto"/>
                <w:sz w:val="21"/>
                <w:highlight w:val="none"/>
              </w:rPr>
            </w:pPr>
          </w:p>
        </w:tc>
      </w:tr>
      <w:tr w14:paraId="308E4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305C8070">
            <w:pPr>
              <w:rPr>
                <w:rFonts w:ascii="Arial"/>
                <w:color w:val="auto"/>
                <w:sz w:val="21"/>
                <w:highlight w:val="none"/>
              </w:rPr>
            </w:pPr>
          </w:p>
        </w:tc>
        <w:tc>
          <w:tcPr>
            <w:tcW w:w="1363" w:type="dxa"/>
            <w:vAlign w:val="top"/>
          </w:tcPr>
          <w:p w14:paraId="324F41BC">
            <w:pPr>
              <w:rPr>
                <w:rFonts w:ascii="Arial"/>
                <w:color w:val="auto"/>
                <w:sz w:val="21"/>
                <w:highlight w:val="none"/>
              </w:rPr>
            </w:pPr>
          </w:p>
        </w:tc>
        <w:tc>
          <w:tcPr>
            <w:tcW w:w="1022" w:type="dxa"/>
            <w:vAlign w:val="top"/>
          </w:tcPr>
          <w:p w14:paraId="037BBE25">
            <w:pPr>
              <w:rPr>
                <w:rFonts w:ascii="Arial"/>
                <w:color w:val="auto"/>
                <w:sz w:val="21"/>
                <w:highlight w:val="none"/>
              </w:rPr>
            </w:pPr>
          </w:p>
        </w:tc>
        <w:tc>
          <w:tcPr>
            <w:tcW w:w="1022" w:type="dxa"/>
            <w:vAlign w:val="top"/>
          </w:tcPr>
          <w:p w14:paraId="24ECABF2">
            <w:pPr>
              <w:rPr>
                <w:rFonts w:ascii="Arial"/>
                <w:color w:val="auto"/>
                <w:sz w:val="21"/>
                <w:highlight w:val="none"/>
              </w:rPr>
            </w:pPr>
          </w:p>
        </w:tc>
        <w:tc>
          <w:tcPr>
            <w:tcW w:w="1022" w:type="dxa"/>
            <w:vAlign w:val="top"/>
          </w:tcPr>
          <w:p w14:paraId="6808D587">
            <w:pPr>
              <w:rPr>
                <w:rFonts w:ascii="Arial"/>
                <w:color w:val="auto"/>
                <w:sz w:val="21"/>
                <w:highlight w:val="none"/>
              </w:rPr>
            </w:pPr>
          </w:p>
        </w:tc>
        <w:tc>
          <w:tcPr>
            <w:tcW w:w="1022" w:type="dxa"/>
            <w:vAlign w:val="top"/>
          </w:tcPr>
          <w:p w14:paraId="707463AE">
            <w:pPr>
              <w:rPr>
                <w:rFonts w:ascii="Arial"/>
                <w:color w:val="auto"/>
                <w:sz w:val="21"/>
                <w:highlight w:val="none"/>
              </w:rPr>
            </w:pPr>
          </w:p>
        </w:tc>
        <w:tc>
          <w:tcPr>
            <w:tcW w:w="1027" w:type="dxa"/>
            <w:vAlign w:val="top"/>
          </w:tcPr>
          <w:p w14:paraId="59529EB0">
            <w:pPr>
              <w:rPr>
                <w:rFonts w:ascii="Arial"/>
                <w:color w:val="auto"/>
                <w:sz w:val="21"/>
                <w:highlight w:val="none"/>
              </w:rPr>
            </w:pPr>
          </w:p>
        </w:tc>
        <w:tc>
          <w:tcPr>
            <w:tcW w:w="1027" w:type="dxa"/>
            <w:vAlign w:val="top"/>
          </w:tcPr>
          <w:p w14:paraId="64DFC968">
            <w:pPr>
              <w:rPr>
                <w:rFonts w:ascii="Arial"/>
                <w:color w:val="auto"/>
                <w:sz w:val="21"/>
                <w:highlight w:val="none"/>
              </w:rPr>
            </w:pPr>
          </w:p>
        </w:tc>
      </w:tr>
    </w:tbl>
    <w:p w14:paraId="787F8D89">
      <w:pPr>
        <w:pStyle w:val="3"/>
        <w:rPr>
          <w:color w:val="auto"/>
          <w:highlight w:val="none"/>
        </w:rPr>
      </w:pPr>
    </w:p>
    <w:p w14:paraId="730F6C8B">
      <w:pPr>
        <w:rPr>
          <w:color w:val="auto"/>
          <w:highlight w:val="none"/>
        </w:rPr>
        <w:sectPr>
          <w:footerReference r:id="rId249" w:type="default"/>
          <w:pgSz w:w="11905" w:h="16839"/>
          <w:pgMar w:top="400" w:right="1785" w:bottom="1004" w:left="1785" w:header="0" w:footer="828" w:gutter="0"/>
          <w:pgNumType w:fmt="decimal"/>
          <w:cols w:space="720" w:num="1"/>
        </w:sectPr>
      </w:pPr>
    </w:p>
    <w:p w14:paraId="2FE564D1">
      <w:pPr>
        <w:pStyle w:val="3"/>
        <w:spacing w:line="267" w:lineRule="auto"/>
        <w:rPr>
          <w:color w:val="auto"/>
          <w:highlight w:val="none"/>
        </w:rPr>
      </w:pPr>
    </w:p>
    <w:p w14:paraId="146B35FE">
      <w:pPr>
        <w:pStyle w:val="3"/>
        <w:spacing w:line="268" w:lineRule="auto"/>
        <w:rPr>
          <w:color w:val="auto"/>
          <w:highlight w:val="none"/>
        </w:rPr>
      </w:pPr>
    </w:p>
    <w:p w14:paraId="434FA094">
      <w:pPr>
        <w:pStyle w:val="3"/>
        <w:spacing w:line="268" w:lineRule="auto"/>
        <w:rPr>
          <w:color w:val="auto"/>
          <w:highlight w:val="none"/>
        </w:rPr>
      </w:pPr>
    </w:p>
    <w:p w14:paraId="6524BF9C">
      <w:pPr>
        <w:pStyle w:val="3"/>
        <w:spacing w:line="268" w:lineRule="auto"/>
        <w:rPr>
          <w:color w:val="auto"/>
          <w:highlight w:val="none"/>
        </w:rPr>
      </w:pPr>
    </w:p>
    <w:p w14:paraId="45A60497">
      <w:pPr>
        <w:spacing w:before="78" w:line="218" w:lineRule="auto"/>
        <w:ind w:left="32"/>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附表四：计划开、竣工日期和施工进度网络图</w:t>
      </w:r>
    </w:p>
    <w:p w14:paraId="32C97FF3">
      <w:pPr>
        <w:spacing w:before="158" w:line="418" w:lineRule="exact"/>
        <w:ind w:right="6"/>
        <w:jc w:val="right"/>
        <w:rPr>
          <w:rFonts w:ascii="宋体" w:hAnsi="宋体" w:eastAsia="宋体" w:cs="宋体"/>
          <w:color w:val="auto"/>
          <w:sz w:val="21"/>
          <w:szCs w:val="21"/>
          <w:highlight w:val="none"/>
        </w:rPr>
      </w:pPr>
      <w:r>
        <w:rPr>
          <w:rFonts w:ascii="宋体" w:hAnsi="宋体" w:eastAsia="宋体" w:cs="宋体"/>
          <w:color w:val="auto"/>
          <w:position w:val="15"/>
          <w:sz w:val="21"/>
          <w:szCs w:val="21"/>
          <w:highlight w:val="none"/>
        </w:rPr>
        <w:t>1.投标人应递交施工进度网络图或施工进度表， 说明按招标文件要求</w:t>
      </w:r>
      <w:r>
        <w:rPr>
          <w:rFonts w:ascii="宋体" w:hAnsi="宋体" w:eastAsia="宋体" w:cs="宋体"/>
          <w:color w:val="auto"/>
          <w:spacing w:val="-1"/>
          <w:position w:val="15"/>
          <w:sz w:val="21"/>
          <w:szCs w:val="21"/>
          <w:highlight w:val="none"/>
        </w:rPr>
        <w:t>的计划工期进行</w:t>
      </w:r>
    </w:p>
    <w:p w14:paraId="41B5F1FF">
      <w:pPr>
        <w:spacing w:line="220" w:lineRule="auto"/>
        <w:ind w:left="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施工的各个关键日期。</w:t>
      </w:r>
    </w:p>
    <w:p w14:paraId="2F5C5FAE">
      <w:pPr>
        <w:spacing w:before="171" w:line="220" w:lineRule="auto"/>
        <w:ind w:left="44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2.施工进度表可采用网络图和（或）横道图表示。</w:t>
      </w:r>
    </w:p>
    <w:p w14:paraId="5EBA2299">
      <w:pPr>
        <w:spacing w:line="220" w:lineRule="auto"/>
        <w:rPr>
          <w:rFonts w:ascii="宋体" w:hAnsi="宋体" w:eastAsia="宋体" w:cs="宋体"/>
          <w:color w:val="auto"/>
          <w:sz w:val="21"/>
          <w:szCs w:val="21"/>
          <w:highlight w:val="none"/>
        </w:rPr>
        <w:sectPr>
          <w:footerReference r:id="rId250" w:type="default"/>
          <w:pgSz w:w="11905" w:h="16839"/>
          <w:pgMar w:top="400" w:right="1785" w:bottom="1004" w:left="1785" w:header="0" w:footer="828" w:gutter="0"/>
          <w:pgNumType w:fmt="decimal"/>
          <w:cols w:space="720" w:num="1"/>
        </w:sectPr>
      </w:pPr>
    </w:p>
    <w:p w14:paraId="5F0AAB2E">
      <w:pPr>
        <w:pStyle w:val="3"/>
        <w:spacing w:line="267" w:lineRule="auto"/>
        <w:rPr>
          <w:color w:val="auto"/>
          <w:highlight w:val="none"/>
        </w:rPr>
      </w:pPr>
    </w:p>
    <w:p w14:paraId="00E0BB02">
      <w:pPr>
        <w:pStyle w:val="3"/>
        <w:spacing w:line="267" w:lineRule="auto"/>
        <w:rPr>
          <w:color w:val="auto"/>
          <w:highlight w:val="none"/>
        </w:rPr>
      </w:pPr>
    </w:p>
    <w:p w14:paraId="7F57A064">
      <w:pPr>
        <w:pStyle w:val="3"/>
        <w:spacing w:line="268" w:lineRule="auto"/>
        <w:rPr>
          <w:color w:val="auto"/>
          <w:highlight w:val="none"/>
        </w:rPr>
      </w:pPr>
    </w:p>
    <w:p w14:paraId="1E98FC59">
      <w:pPr>
        <w:pStyle w:val="3"/>
        <w:spacing w:line="268" w:lineRule="auto"/>
        <w:rPr>
          <w:color w:val="auto"/>
          <w:highlight w:val="none"/>
        </w:rPr>
      </w:pPr>
    </w:p>
    <w:p w14:paraId="0DB9C303">
      <w:pPr>
        <w:spacing w:before="78" w:line="220" w:lineRule="auto"/>
        <w:ind w:left="3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附表五：施工总平面图</w:t>
      </w:r>
    </w:p>
    <w:p w14:paraId="1DB11DC0">
      <w:pPr>
        <w:spacing w:before="158" w:line="369" w:lineRule="auto"/>
        <w:ind w:left="28" w:right="6" w:firstLine="415"/>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投标人应递交一份施工总平面图，绘出现场临时设施布置图表并附文字说明，说明临</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时设施、加工车间、现场办公、设备及仓储、供电、</w:t>
      </w:r>
      <w:r>
        <w:rPr>
          <w:rFonts w:ascii="宋体" w:hAnsi="宋体" w:eastAsia="宋体" w:cs="宋体"/>
          <w:color w:val="auto"/>
          <w:spacing w:val="2"/>
          <w:sz w:val="21"/>
          <w:szCs w:val="21"/>
          <w:highlight w:val="none"/>
        </w:rPr>
        <w:t>供水、卫生、生活、道路、消防等设</w:t>
      </w:r>
    </w:p>
    <w:p w14:paraId="3916B641">
      <w:pPr>
        <w:spacing w:line="219" w:lineRule="auto"/>
        <w:ind w:left="1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施的情况和布置。</w:t>
      </w:r>
    </w:p>
    <w:p w14:paraId="6E18DCE1">
      <w:pPr>
        <w:spacing w:line="219" w:lineRule="auto"/>
        <w:rPr>
          <w:rFonts w:ascii="宋体" w:hAnsi="宋体" w:eastAsia="宋体" w:cs="宋体"/>
          <w:color w:val="auto"/>
          <w:sz w:val="21"/>
          <w:szCs w:val="21"/>
          <w:highlight w:val="none"/>
        </w:rPr>
        <w:sectPr>
          <w:footerReference r:id="rId251" w:type="default"/>
          <w:pgSz w:w="11905" w:h="16839"/>
          <w:pgMar w:top="400" w:right="1785" w:bottom="1004" w:left="1785" w:header="0" w:footer="828" w:gutter="0"/>
          <w:pgNumType w:fmt="decimal"/>
          <w:cols w:space="720" w:num="1"/>
        </w:sectPr>
      </w:pPr>
    </w:p>
    <w:p w14:paraId="668388F2">
      <w:pPr>
        <w:pStyle w:val="3"/>
        <w:spacing w:line="267" w:lineRule="auto"/>
        <w:rPr>
          <w:color w:val="auto"/>
          <w:highlight w:val="none"/>
        </w:rPr>
      </w:pPr>
    </w:p>
    <w:p w14:paraId="085EAAB4">
      <w:pPr>
        <w:pStyle w:val="3"/>
        <w:spacing w:line="267" w:lineRule="auto"/>
        <w:rPr>
          <w:color w:val="auto"/>
          <w:highlight w:val="none"/>
        </w:rPr>
      </w:pPr>
    </w:p>
    <w:p w14:paraId="49270BC5">
      <w:pPr>
        <w:pStyle w:val="3"/>
        <w:spacing w:line="268" w:lineRule="auto"/>
        <w:rPr>
          <w:color w:val="auto"/>
          <w:highlight w:val="none"/>
        </w:rPr>
      </w:pPr>
    </w:p>
    <w:p w14:paraId="4FB07804">
      <w:pPr>
        <w:pStyle w:val="3"/>
        <w:spacing w:line="268" w:lineRule="auto"/>
        <w:rPr>
          <w:color w:val="auto"/>
          <w:highlight w:val="none"/>
        </w:rPr>
      </w:pPr>
    </w:p>
    <w:p w14:paraId="2B6812E5">
      <w:pPr>
        <w:spacing w:before="78" w:line="218" w:lineRule="auto"/>
        <w:ind w:left="32"/>
        <w:rPr>
          <w:rFonts w:ascii="黑体" w:hAnsi="黑体" w:eastAsia="黑体" w:cs="黑体"/>
          <w:color w:val="auto"/>
          <w:sz w:val="24"/>
          <w:szCs w:val="24"/>
          <w:highlight w:val="none"/>
        </w:rPr>
      </w:pPr>
      <w:r>
        <w:rPr>
          <w:rFonts w:ascii="黑体" w:hAnsi="黑体" w:eastAsia="黑体" w:cs="黑体"/>
          <w:color w:val="auto"/>
          <w:spacing w:val="-3"/>
          <w:sz w:val="24"/>
          <w:szCs w:val="24"/>
          <w:highlight w:val="none"/>
        </w:rPr>
        <w:t>附表六：临时用地表</w:t>
      </w:r>
    </w:p>
    <w:tbl>
      <w:tblPr>
        <w:tblStyle w:val="10"/>
        <w:tblW w:w="8201"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83"/>
        <w:gridCol w:w="2011"/>
        <w:gridCol w:w="2001"/>
        <w:gridCol w:w="2006"/>
      </w:tblGrid>
      <w:tr w14:paraId="23C8E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2183" w:type="dxa"/>
            <w:vAlign w:val="top"/>
          </w:tcPr>
          <w:p w14:paraId="3DC0F474">
            <w:pPr>
              <w:pStyle w:val="11"/>
              <w:spacing w:before="96" w:line="222" w:lineRule="auto"/>
              <w:ind w:left="782"/>
              <w:rPr>
                <w:color w:val="auto"/>
                <w:highlight w:val="none"/>
              </w:rPr>
            </w:pPr>
            <w:r>
              <w:rPr>
                <w:color w:val="auto"/>
                <w:spacing w:val="-5"/>
                <w:highlight w:val="none"/>
              </w:rPr>
              <w:t>用</w:t>
            </w:r>
            <w:r>
              <w:rPr>
                <w:color w:val="auto"/>
                <w:spacing w:val="5"/>
                <w:highlight w:val="none"/>
              </w:rPr>
              <w:t xml:space="preserve">  </w:t>
            </w:r>
            <w:r>
              <w:rPr>
                <w:color w:val="auto"/>
                <w:spacing w:val="-5"/>
                <w:highlight w:val="none"/>
              </w:rPr>
              <w:t>途</w:t>
            </w:r>
          </w:p>
        </w:tc>
        <w:tc>
          <w:tcPr>
            <w:tcW w:w="2011" w:type="dxa"/>
            <w:vAlign w:val="top"/>
          </w:tcPr>
          <w:p w14:paraId="0947EAC4">
            <w:pPr>
              <w:pStyle w:val="11"/>
              <w:spacing w:before="96" w:line="221" w:lineRule="auto"/>
              <w:ind w:left="226"/>
              <w:rPr>
                <w:color w:val="auto"/>
                <w:highlight w:val="none"/>
              </w:rPr>
            </w:pPr>
            <w:r>
              <w:rPr>
                <w:color w:val="auto"/>
                <w:spacing w:val="-2"/>
                <w:highlight w:val="none"/>
              </w:rPr>
              <w:t>面 积（平方米）</w:t>
            </w:r>
          </w:p>
        </w:tc>
        <w:tc>
          <w:tcPr>
            <w:tcW w:w="2001" w:type="dxa"/>
            <w:vAlign w:val="top"/>
          </w:tcPr>
          <w:p w14:paraId="13B5255C">
            <w:pPr>
              <w:pStyle w:val="11"/>
              <w:spacing w:before="96" w:line="222" w:lineRule="auto"/>
              <w:ind w:left="692"/>
              <w:rPr>
                <w:color w:val="auto"/>
                <w:highlight w:val="none"/>
              </w:rPr>
            </w:pPr>
            <w:r>
              <w:rPr>
                <w:color w:val="auto"/>
                <w:spacing w:val="-4"/>
                <w:highlight w:val="none"/>
              </w:rPr>
              <w:t>位</w:t>
            </w:r>
            <w:r>
              <w:rPr>
                <w:color w:val="auto"/>
                <w:spacing w:val="3"/>
                <w:highlight w:val="none"/>
              </w:rPr>
              <w:t xml:space="preserve">  </w:t>
            </w:r>
            <w:r>
              <w:rPr>
                <w:color w:val="auto"/>
                <w:spacing w:val="-4"/>
                <w:highlight w:val="none"/>
              </w:rPr>
              <w:t>置</w:t>
            </w:r>
          </w:p>
        </w:tc>
        <w:tc>
          <w:tcPr>
            <w:tcW w:w="2006" w:type="dxa"/>
            <w:vAlign w:val="top"/>
          </w:tcPr>
          <w:p w14:paraId="2AE7B9A9">
            <w:pPr>
              <w:pStyle w:val="11"/>
              <w:spacing w:before="97" w:line="221" w:lineRule="auto"/>
              <w:ind w:left="599"/>
              <w:rPr>
                <w:color w:val="auto"/>
                <w:highlight w:val="none"/>
              </w:rPr>
            </w:pPr>
            <w:r>
              <w:rPr>
                <w:color w:val="auto"/>
                <w:spacing w:val="-3"/>
                <w:highlight w:val="none"/>
              </w:rPr>
              <w:t>需用时间</w:t>
            </w:r>
          </w:p>
        </w:tc>
      </w:tr>
      <w:tr w14:paraId="43E0C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43936F9A">
            <w:pPr>
              <w:rPr>
                <w:rFonts w:ascii="Arial"/>
                <w:color w:val="auto"/>
                <w:sz w:val="21"/>
                <w:highlight w:val="none"/>
              </w:rPr>
            </w:pPr>
          </w:p>
        </w:tc>
        <w:tc>
          <w:tcPr>
            <w:tcW w:w="2011" w:type="dxa"/>
            <w:vAlign w:val="top"/>
          </w:tcPr>
          <w:p w14:paraId="0A5A2542">
            <w:pPr>
              <w:rPr>
                <w:rFonts w:ascii="Arial"/>
                <w:color w:val="auto"/>
                <w:sz w:val="21"/>
                <w:highlight w:val="none"/>
              </w:rPr>
            </w:pPr>
          </w:p>
        </w:tc>
        <w:tc>
          <w:tcPr>
            <w:tcW w:w="2001" w:type="dxa"/>
            <w:vAlign w:val="top"/>
          </w:tcPr>
          <w:p w14:paraId="27043C58">
            <w:pPr>
              <w:rPr>
                <w:rFonts w:ascii="Arial"/>
                <w:color w:val="auto"/>
                <w:sz w:val="21"/>
                <w:highlight w:val="none"/>
              </w:rPr>
            </w:pPr>
          </w:p>
        </w:tc>
        <w:tc>
          <w:tcPr>
            <w:tcW w:w="2006" w:type="dxa"/>
            <w:vAlign w:val="top"/>
          </w:tcPr>
          <w:p w14:paraId="4AE14291">
            <w:pPr>
              <w:rPr>
                <w:rFonts w:ascii="Arial"/>
                <w:color w:val="auto"/>
                <w:sz w:val="21"/>
                <w:highlight w:val="none"/>
              </w:rPr>
            </w:pPr>
          </w:p>
        </w:tc>
      </w:tr>
      <w:tr w14:paraId="3DC88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0610BCC8">
            <w:pPr>
              <w:rPr>
                <w:rFonts w:ascii="Arial"/>
                <w:color w:val="auto"/>
                <w:sz w:val="21"/>
                <w:highlight w:val="none"/>
              </w:rPr>
            </w:pPr>
          </w:p>
        </w:tc>
        <w:tc>
          <w:tcPr>
            <w:tcW w:w="2011" w:type="dxa"/>
            <w:vAlign w:val="top"/>
          </w:tcPr>
          <w:p w14:paraId="7886298D">
            <w:pPr>
              <w:rPr>
                <w:rFonts w:ascii="Arial"/>
                <w:color w:val="auto"/>
                <w:sz w:val="21"/>
                <w:highlight w:val="none"/>
              </w:rPr>
            </w:pPr>
          </w:p>
        </w:tc>
        <w:tc>
          <w:tcPr>
            <w:tcW w:w="2001" w:type="dxa"/>
            <w:vAlign w:val="top"/>
          </w:tcPr>
          <w:p w14:paraId="2F7CD122">
            <w:pPr>
              <w:rPr>
                <w:rFonts w:ascii="Arial"/>
                <w:color w:val="auto"/>
                <w:sz w:val="21"/>
                <w:highlight w:val="none"/>
              </w:rPr>
            </w:pPr>
          </w:p>
        </w:tc>
        <w:tc>
          <w:tcPr>
            <w:tcW w:w="2006" w:type="dxa"/>
            <w:vAlign w:val="top"/>
          </w:tcPr>
          <w:p w14:paraId="78E37E9D">
            <w:pPr>
              <w:rPr>
                <w:rFonts w:ascii="Arial"/>
                <w:color w:val="auto"/>
                <w:sz w:val="21"/>
                <w:highlight w:val="none"/>
              </w:rPr>
            </w:pPr>
          </w:p>
        </w:tc>
      </w:tr>
      <w:tr w14:paraId="140EA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0C4DC4EE">
            <w:pPr>
              <w:rPr>
                <w:rFonts w:ascii="Arial"/>
                <w:color w:val="auto"/>
                <w:sz w:val="21"/>
                <w:highlight w:val="none"/>
              </w:rPr>
            </w:pPr>
          </w:p>
        </w:tc>
        <w:tc>
          <w:tcPr>
            <w:tcW w:w="2011" w:type="dxa"/>
            <w:vAlign w:val="top"/>
          </w:tcPr>
          <w:p w14:paraId="5B9DE087">
            <w:pPr>
              <w:rPr>
                <w:rFonts w:ascii="Arial"/>
                <w:color w:val="auto"/>
                <w:sz w:val="21"/>
                <w:highlight w:val="none"/>
              </w:rPr>
            </w:pPr>
          </w:p>
        </w:tc>
        <w:tc>
          <w:tcPr>
            <w:tcW w:w="2001" w:type="dxa"/>
            <w:vAlign w:val="top"/>
          </w:tcPr>
          <w:p w14:paraId="7F898ECD">
            <w:pPr>
              <w:rPr>
                <w:rFonts w:ascii="Arial"/>
                <w:color w:val="auto"/>
                <w:sz w:val="21"/>
                <w:highlight w:val="none"/>
              </w:rPr>
            </w:pPr>
          </w:p>
        </w:tc>
        <w:tc>
          <w:tcPr>
            <w:tcW w:w="2006" w:type="dxa"/>
            <w:vAlign w:val="top"/>
          </w:tcPr>
          <w:p w14:paraId="6B17BAD7">
            <w:pPr>
              <w:rPr>
                <w:rFonts w:ascii="Arial"/>
                <w:color w:val="auto"/>
                <w:sz w:val="21"/>
                <w:highlight w:val="none"/>
              </w:rPr>
            </w:pPr>
          </w:p>
        </w:tc>
      </w:tr>
      <w:tr w14:paraId="364AC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5926340B">
            <w:pPr>
              <w:rPr>
                <w:rFonts w:ascii="Arial"/>
                <w:color w:val="auto"/>
                <w:sz w:val="21"/>
                <w:highlight w:val="none"/>
              </w:rPr>
            </w:pPr>
          </w:p>
        </w:tc>
        <w:tc>
          <w:tcPr>
            <w:tcW w:w="2011" w:type="dxa"/>
            <w:vAlign w:val="top"/>
          </w:tcPr>
          <w:p w14:paraId="62AA92AF">
            <w:pPr>
              <w:rPr>
                <w:rFonts w:ascii="Arial"/>
                <w:color w:val="auto"/>
                <w:sz w:val="21"/>
                <w:highlight w:val="none"/>
              </w:rPr>
            </w:pPr>
          </w:p>
        </w:tc>
        <w:tc>
          <w:tcPr>
            <w:tcW w:w="2001" w:type="dxa"/>
            <w:vAlign w:val="top"/>
          </w:tcPr>
          <w:p w14:paraId="566A460B">
            <w:pPr>
              <w:rPr>
                <w:rFonts w:ascii="Arial"/>
                <w:color w:val="auto"/>
                <w:sz w:val="21"/>
                <w:highlight w:val="none"/>
              </w:rPr>
            </w:pPr>
          </w:p>
        </w:tc>
        <w:tc>
          <w:tcPr>
            <w:tcW w:w="2006" w:type="dxa"/>
            <w:vAlign w:val="top"/>
          </w:tcPr>
          <w:p w14:paraId="588A0472">
            <w:pPr>
              <w:rPr>
                <w:rFonts w:ascii="Arial"/>
                <w:color w:val="auto"/>
                <w:sz w:val="21"/>
                <w:highlight w:val="none"/>
              </w:rPr>
            </w:pPr>
          </w:p>
        </w:tc>
      </w:tr>
      <w:tr w14:paraId="45034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76C5AFA2">
            <w:pPr>
              <w:rPr>
                <w:rFonts w:ascii="Arial"/>
                <w:color w:val="auto"/>
                <w:sz w:val="21"/>
                <w:highlight w:val="none"/>
              </w:rPr>
            </w:pPr>
          </w:p>
        </w:tc>
        <w:tc>
          <w:tcPr>
            <w:tcW w:w="2011" w:type="dxa"/>
            <w:vAlign w:val="top"/>
          </w:tcPr>
          <w:p w14:paraId="7DBEBEA2">
            <w:pPr>
              <w:rPr>
                <w:rFonts w:ascii="Arial"/>
                <w:color w:val="auto"/>
                <w:sz w:val="21"/>
                <w:highlight w:val="none"/>
              </w:rPr>
            </w:pPr>
          </w:p>
        </w:tc>
        <w:tc>
          <w:tcPr>
            <w:tcW w:w="2001" w:type="dxa"/>
            <w:vAlign w:val="top"/>
          </w:tcPr>
          <w:p w14:paraId="0E82BECF">
            <w:pPr>
              <w:rPr>
                <w:rFonts w:ascii="Arial"/>
                <w:color w:val="auto"/>
                <w:sz w:val="21"/>
                <w:highlight w:val="none"/>
              </w:rPr>
            </w:pPr>
          </w:p>
        </w:tc>
        <w:tc>
          <w:tcPr>
            <w:tcW w:w="2006" w:type="dxa"/>
            <w:vAlign w:val="top"/>
          </w:tcPr>
          <w:p w14:paraId="16E67472">
            <w:pPr>
              <w:rPr>
                <w:rFonts w:ascii="Arial"/>
                <w:color w:val="auto"/>
                <w:sz w:val="21"/>
                <w:highlight w:val="none"/>
              </w:rPr>
            </w:pPr>
          </w:p>
        </w:tc>
      </w:tr>
      <w:tr w14:paraId="6AA33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2BC4199F">
            <w:pPr>
              <w:rPr>
                <w:rFonts w:ascii="Arial"/>
                <w:color w:val="auto"/>
                <w:sz w:val="21"/>
                <w:highlight w:val="none"/>
              </w:rPr>
            </w:pPr>
          </w:p>
        </w:tc>
        <w:tc>
          <w:tcPr>
            <w:tcW w:w="2011" w:type="dxa"/>
            <w:vAlign w:val="top"/>
          </w:tcPr>
          <w:p w14:paraId="74897885">
            <w:pPr>
              <w:rPr>
                <w:rFonts w:ascii="Arial"/>
                <w:color w:val="auto"/>
                <w:sz w:val="21"/>
                <w:highlight w:val="none"/>
              </w:rPr>
            </w:pPr>
          </w:p>
        </w:tc>
        <w:tc>
          <w:tcPr>
            <w:tcW w:w="2001" w:type="dxa"/>
            <w:vAlign w:val="top"/>
          </w:tcPr>
          <w:p w14:paraId="4AAFEB13">
            <w:pPr>
              <w:rPr>
                <w:rFonts w:ascii="Arial"/>
                <w:color w:val="auto"/>
                <w:sz w:val="21"/>
                <w:highlight w:val="none"/>
              </w:rPr>
            </w:pPr>
          </w:p>
        </w:tc>
        <w:tc>
          <w:tcPr>
            <w:tcW w:w="2006" w:type="dxa"/>
            <w:vAlign w:val="top"/>
          </w:tcPr>
          <w:p w14:paraId="01028C47">
            <w:pPr>
              <w:rPr>
                <w:rFonts w:ascii="Arial"/>
                <w:color w:val="auto"/>
                <w:sz w:val="21"/>
                <w:highlight w:val="none"/>
              </w:rPr>
            </w:pPr>
          </w:p>
        </w:tc>
      </w:tr>
      <w:tr w14:paraId="0749A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3CF8E82E">
            <w:pPr>
              <w:rPr>
                <w:rFonts w:ascii="Arial"/>
                <w:color w:val="auto"/>
                <w:sz w:val="21"/>
                <w:highlight w:val="none"/>
              </w:rPr>
            </w:pPr>
          </w:p>
        </w:tc>
        <w:tc>
          <w:tcPr>
            <w:tcW w:w="2011" w:type="dxa"/>
            <w:vAlign w:val="top"/>
          </w:tcPr>
          <w:p w14:paraId="251D84C0">
            <w:pPr>
              <w:rPr>
                <w:rFonts w:ascii="Arial"/>
                <w:color w:val="auto"/>
                <w:sz w:val="21"/>
                <w:highlight w:val="none"/>
              </w:rPr>
            </w:pPr>
          </w:p>
        </w:tc>
        <w:tc>
          <w:tcPr>
            <w:tcW w:w="2001" w:type="dxa"/>
            <w:vAlign w:val="top"/>
          </w:tcPr>
          <w:p w14:paraId="2C683D85">
            <w:pPr>
              <w:rPr>
                <w:rFonts w:ascii="Arial"/>
                <w:color w:val="auto"/>
                <w:sz w:val="21"/>
                <w:highlight w:val="none"/>
              </w:rPr>
            </w:pPr>
          </w:p>
        </w:tc>
        <w:tc>
          <w:tcPr>
            <w:tcW w:w="2006" w:type="dxa"/>
            <w:vAlign w:val="top"/>
          </w:tcPr>
          <w:p w14:paraId="3E6B4358">
            <w:pPr>
              <w:rPr>
                <w:rFonts w:ascii="Arial"/>
                <w:color w:val="auto"/>
                <w:sz w:val="21"/>
                <w:highlight w:val="none"/>
              </w:rPr>
            </w:pPr>
          </w:p>
        </w:tc>
      </w:tr>
      <w:tr w14:paraId="56DB6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49FBAEF0">
            <w:pPr>
              <w:rPr>
                <w:rFonts w:ascii="Arial"/>
                <w:color w:val="auto"/>
                <w:sz w:val="21"/>
                <w:highlight w:val="none"/>
              </w:rPr>
            </w:pPr>
          </w:p>
        </w:tc>
        <w:tc>
          <w:tcPr>
            <w:tcW w:w="2011" w:type="dxa"/>
            <w:vAlign w:val="top"/>
          </w:tcPr>
          <w:p w14:paraId="20561D18">
            <w:pPr>
              <w:rPr>
                <w:rFonts w:ascii="Arial"/>
                <w:color w:val="auto"/>
                <w:sz w:val="21"/>
                <w:highlight w:val="none"/>
              </w:rPr>
            </w:pPr>
          </w:p>
        </w:tc>
        <w:tc>
          <w:tcPr>
            <w:tcW w:w="2001" w:type="dxa"/>
            <w:vAlign w:val="top"/>
          </w:tcPr>
          <w:p w14:paraId="19AD5F90">
            <w:pPr>
              <w:rPr>
                <w:rFonts w:ascii="Arial"/>
                <w:color w:val="auto"/>
                <w:sz w:val="21"/>
                <w:highlight w:val="none"/>
              </w:rPr>
            </w:pPr>
          </w:p>
        </w:tc>
        <w:tc>
          <w:tcPr>
            <w:tcW w:w="2006" w:type="dxa"/>
            <w:vAlign w:val="top"/>
          </w:tcPr>
          <w:p w14:paraId="3D8E8784">
            <w:pPr>
              <w:rPr>
                <w:rFonts w:ascii="Arial"/>
                <w:color w:val="auto"/>
                <w:sz w:val="21"/>
                <w:highlight w:val="none"/>
              </w:rPr>
            </w:pPr>
          </w:p>
        </w:tc>
      </w:tr>
      <w:tr w14:paraId="140A13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17883327">
            <w:pPr>
              <w:rPr>
                <w:rFonts w:ascii="Arial"/>
                <w:color w:val="auto"/>
                <w:sz w:val="21"/>
                <w:highlight w:val="none"/>
              </w:rPr>
            </w:pPr>
          </w:p>
        </w:tc>
        <w:tc>
          <w:tcPr>
            <w:tcW w:w="2011" w:type="dxa"/>
            <w:vAlign w:val="top"/>
          </w:tcPr>
          <w:p w14:paraId="728A1F5C">
            <w:pPr>
              <w:rPr>
                <w:rFonts w:ascii="Arial"/>
                <w:color w:val="auto"/>
                <w:sz w:val="21"/>
                <w:highlight w:val="none"/>
              </w:rPr>
            </w:pPr>
          </w:p>
        </w:tc>
        <w:tc>
          <w:tcPr>
            <w:tcW w:w="2001" w:type="dxa"/>
            <w:vAlign w:val="top"/>
          </w:tcPr>
          <w:p w14:paraId="22342E91">
            <w:pPr>
              <w:rPr>
                <w:rFonts w:ascii="Arial"/>
                <w:color w:val="auto"/>
                <w:sz w:val="21"/>
                <w:highlight w:val="none"/>
              </w:rPr>
            </w:pPr>
          </w:p>
        </w:tc>
        <w:tc>
          <w:tcPr>
            <w:tcW w:w="2006" w:type="dxa"/>
            <w:vAlign w:val="top"/>
          </w:tcPr>
          <w:p w14:paraId="740CE722">
            <w:pPr>
              <w:rPr>
                <w:rFonts w:ascii="Arial"/>
                <w:color w:val="auto"/>
                <w:sz w:val="21"/>
                <w:highlight w:val="none"/>
              </w:rPr>
            </w:pPr>
          </w:p>
        </w:tc>
      </w:tr>
      <w:tr w14:paraId="2CF0F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09568685">
            <w:pPr>
              <w:rPr>
                <w:rFonts w:ascii="Arial"/>
                <w:color w:val="auto"/>
                <w:sz w:val="21"/>
                <w:highlight w:val="none"/>
              </w:rPr>
            </w:pPr>
          </w:p>
        </w:tc>
        <w:tc>
          <w:tcPr>
            <w:tcW w:w="2011" w:type="dxa"/>
            <w:vAlign w:val="top"/>
          </w:tcPr>
          <w:p w14:paraId="466E7623">
            <w:pPr>
              <w:rPr>
                <w:rFonts w:ascii="Arial"/>
                <w:color w:val="auto"/>
                <w:sz w:val="21"/>
                <w:highlight w:val="none"/>
              </w:rPr>
            </w:pPr>
          </w:p>
        </w:tc>
        <w:tc>
          <w:tcPr>
            <w:tcW w:w="2001" w:type="dxa"/>
            <w:vAlign w:val="top"/>
          </w:tcPr>
          <w:p w14:paraId="2D16B25D">
            <w:pPr>
              <w:rPr>
                <w:rFonts w:ascii="Arial"/>
                <w:color w:val="auto"/>
                <w:sz w:val="21"/>
                <w:highlight w:val="none"/>
              </w:rPr>
            </w:pPr>
          </w:p>
        </w:tc>
        <w:tc>
          <w:tcPr>
            <w:tcW w:w="2006" w:type="dxa"/>
            <w:vAlign w:val="top"/>
          </w:tcPr>
          <w:p w14:paraId="1B16CA41">
            <w:pPr>
              <w:rPr>
                <w:rFonts w:ascii="Arial"/>
                <w:color w:val="auto"/>
                <w:sz w:val="21"/>
                <w:highlight w:val="none"/>
              </w:rPr>
            </w:pPr>
          </w:p>
        </w:tc>
      </w:tr>
      <w:tr w14:paraId="69E77C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56AC29E5">
            <w:pPr>
              <w:rPr>
                <w:rFonts w:ascii="Arial"/>
                <w:color w:val="auto"/>
                <w:sz w:val="21"/>
                <w:highlight w:val="none"/>
              </w:rPr>
            </w:pPr>
          </w:p>
        </w:tc>
        <w:tc>
          <w:tcPr>
            <w:tcW w:w="2011" w:type="dxa"/>
            <w:vAlign w:val="top"/>
          </w:tcPr>
          <w:p w14:paraId="408F64BE">
            <w:pPr>
              <w:rPr>
                <w:rFonts w:ascii="Arial"/>
                <w:color w:val="auto"/>
                <w:sz w:val="21"/>
                <w:highlight w:val="none"/>
              </w:rPr>
            </w:pPr>
          </w:p>
        </w:tc>
        <w:tc>
          <w:tcPr>
            <w:tcW w:w="2001" w:type="dxa"/>
            <w:vAlign w:val="top"/>
          </w:tcPr>
          <w:p w14:paraId="1038B6EC">
            <w:pPr>
              <w:rPr>
                <w:rFonts w:ascii="Arial"/>
                <w:color w:val="auto"/>
                <w:sz w:val="21"/>
                <w:highlight w:val="none"/>
              </w:rPr>
            </w:pPr>
          </w:p>
        </w:tc>
        <w:tc>
          <w:tcPr>
            <w:tcW w:w="2006" w:type="dxa"/>
            <w:vAlign w:val="top"/>
          </w:tcPr>
          <w:p w14:paraId="7D012A8A">
            <w:pPr>
              <w:rPr>
                <w:rFonts w:ascii="Arial"/>
                <w:color w:val="auto"/>
                <w:sz w:val="21"/>
                <w:highlight w:val="none"/>
              </w:rPr>
            </w:pPr>
          </w:p>
        </w:tc>
      </w:tr>
      <w:tr w14:paraId="6AC7AF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1B701A84">
            <w:pPr>
              <w:rPr>
                <w:rFonts w:ascii="Arial"/>
                <w:color w:val="auto"/>
                <w:sz w:val="21"/>
                <w:highlight w:val="none"/>
              </w:rPr>
            </w:pPr>
          </w:p>
        </w:tc>
        <w:tc>
          <w:tcPr>
            <w:tcW w:w="2011" w:type="dxa"/>
            <w:vAlign w:val="top"/>
          </w:tcPr>
          <w:p w14:paraId="2E9ACFCA">
            <w:pPr>
              <w:rPr>
                <w:rFonts w:ascii="Arial"/>
                <w:color w:val="auto"/>
                <w:sz w:val="21"/>
                <w:highlight w:val="none"/>
              </w:rPr>
            </w:pPr>
          </w:p>
        </w:tc>
        <w:tc>
          <w:tcPr>
            <w:tcW w:w="2001" w:type="dxa"/>
            <w:vAlign w:val="top"/>
          </w:tcPr>
          <w:p w14:paraId="2FAED9C6">
            <w:pPr>
              <w:rPr>
                <w:rFonts w:ascii="Arial"/>
                <w:color w:val="auto"/>
                <w:sz w:val="21"/>
                <w:highlight w:val="none"/>
              </w:rPr>
            </w:pPr>
          </w:p>
        </w:tc>
        <w:tc>
          <w:tcPr>
            <w:tcW w:w="2006" w:type="dxa"/>
            <w:vAlign w:val="top"/>
          </w:tcPr>
          <w:p w14:paraId="7DC3CEB3">
            <w:pPr>
              <w:rPr>
                <w:rFonts w:ascii="Arial"/>
                <w:color w:val="auto"/>
                <w:sz w:val="21"/>
                <w:highlight w:val="none"/>
              </w:rPr>
            </w:pPr>
          </w:p>
        </w:tc>
      </w:tr>
      <w:tr w14:paraId="58041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15415C78">
            <w:pPr>
              <w:rPr>
                <w:rFonts w:ascii="Arial"/>
                <w:color w:val="auto"/>
                <w:sz w:val="21"/>
                <w:highlight w:val="none"/>
              </w:rPr>
            </w:pPr>
          </w:p>
        </w:tc>
        <w:tc>
          <w:tcPr>
            <w:tcW w:w="2011" w:type="dxa"/>
            <w:vAlign w:val="top"/>
          </w:tcPr>
          <w:p w14:paraId="798E62BC">
            <w:pPr>
              <w:rPr>
                <w:rFonts w:ascii="Arial"/>
                <w:color w:val="auto"/>
                <w:sz w:val="21"/>
                <w:highlight w:val="none"/>
              </w:rPr>
            </w:pPr>
          </w:p>
        </w:tc>
        <w:tc>
          <w:tcPr>
            <w:tcW w:w="2001" w:type="dxa"/>
            <w:vAlign w:val="top"/>
          </w:tcPr>
          <w:p w14:paraId="46E40644">
            <w:pPr>
              <w:rPr>
                <w:rFonts w:ascii="Arial"/>
                <w:color w:val="auto"/>
                <w:sz w:val="21"/>
                <w:highlight w:val="none"/>
              </w:rPr>
            </w:pPr>
          </w:p>
        </w:tc>
        <w:tc>
          <w:tcPr>
            <w:tcW w:w="2006" w:type="dxa"/>
            <w:vAlign w:val="top"/>
          </w:tcPr>
          <w:p w14:paraId="2442D6B8">
            <w:pPr>
              <w:rPr>
                <w:rFonts w:ascii="Arial"/>
                <w:color w:val="auto"/>
                <w:sz w:val="21"/>
                <w:highlight w:val="none"/>
              </w:rPr>
            </w:pPr>
          </w:p>
        </w:tc>
      </w:tr>
      <w:tr w14:paraId="53253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687560FB">
            <w:pPr>
              <w:rPr>
                <w:rFonts w:ascii="Arial"/>
                <w:color w:val="auto"/>
                <w:sz w:val="21"/>
                <w:highlight w:val="none"/>
              </w:rPr>
            </w:pPr>
          </w:p>
        </w:tc>
        <w:tc>
          <w:tcPr>
            <w:tcW w:w="2011" w:type="dxa"/>
            <w:vAlign w:val="top"/>
          </w:tcPr>
          <w:p w14:paraId="66277175">
            <w:pPr>
              <w:rPr>
                <w:rFonts w:ascii="Arial"/>
                <w:color w:val="auto"/>
                <w:sz w:val="21"/>
                <w:highlight w:val="none"/>
              </w:rPr>
            </w:pPr>
          </w:p>
        </w:tc>
        <w:tc>
          <w:tcPr>
            <w:tcW w:w="2001" w:type="dxa"/>
            <w:vAlign w:val="top"/>
          </w:tcPr>
          <w:p w14:paraId="5C5084B8">
            <w:pPr>
              <w:rPr>
                <w:rFonts w:ascii="Arial"/>
                <w:color w:val="auto"/>
                <w:sz w:val="21"/>
                <w:highlight w:val="none"/>
              </w:rPr>
            </w:pPr>
          </w:p>
        </w:tc>
        <w:tc>
          <w:tcPr>
            <w:tcW w:w="2006" w:type="dxa"/>
            <w:vAlign w:val="top"/>
          </w:tcPr>
          <w:p w14:paraId="36B69D86">
            <w:pPr>
              <w:rPr>
                <w:rFonts w:ascii="Arial"/>
                <w:color w:val="auto"/>
                <w:sz w:val="21"/>
                <w:highlight w:val="none"/>
              </w:rPr>
            </w:pPr>
          </w:p>
        </w:tc>
      </w:tr>
      <w:tr w14:paraId="7FE2F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6FA430F1">
            <w:pPr>
              <w:rPr>
                <w:rFonts w:ascii="Arial"/>
                <w:color w:val="auto"/>
                <w:sz w:val="21"/>
                <w:highlight w:val="none"/>
              </w:rPr>
            </w:pPr>
          </w:p>
        </w:tc>
        <w:tc>
          <w:tcPr>
            <w:tcW w:w="2011" w:type="dxa"/>
            <w:vAlign w:val="top"/>
          </w:tcPr>
          <w:p w14:paraId="4038E017">
            <w:pPr>
              <w:rPr>
                <w:rFonts w:ascii="Arial"/>
                <w:color w:val="auto"/>
                <w:sz w:val="21"/>
                <w:highlight w:val="none"/>
              </w:rPr>
            </w:pPr>
          </w:p>
        </w:tc>
        <w:tc>
          <w:tcPr>
            <w:tcW w:w="2001" w:type="dxa"/>
            <w:vAlign w:val="top"/>
          </w:tcPr>
          <w:p w14:paraId="2A77DADE">
            <w:pPr>
              <w:rPr>
                <w:rFonts w:ascii="Arial"/>
                <w:color w:val="auto"/>
                <w:sz w:val="21"/>
                <w:highlight w:val="none"/>
              </w:rPr>
            </w:pPr>
          </w:p>
        </w:tc>
        <w:tc>
          <w:tcPr>
            <w:tcW w:w="2006" w:type="dxa"/>
            <w:vAlign w:val="top"/>
          </w:tcPr>
          <w:p w14:paraId="144342D6">
            <w:pPr>
              <w:rPr>
                <w:rFonts w:ascii="Arial"/>
                <w:color w:val="auto"/>
                <w:sz w:val="21"/>
                <w:highlight w:val="none"/>
              </w:rPr>
            </w:pPr>
          </w:p>
        </w:tc>
      </w:tr>
      <w:tr w14:paraId="705CE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48DE647A">
            <w:pPr>
              <w:rPr>
                <w:rFonts w:ascii="Arial"/>
                <w:color w:val="auto"/>
                <w:sz w:val="21"/>
                <w:highlight w:val="none"/>
              </w:rPr>
            </w:pPr>
          </w:p>
        </w:tc>
        <w:tc>
          <w:tcPr>
            <w:tcW w:w="2011" w:type="dxa"/>
            <w:vAlign w:val="top"/>
          </w:tcPr>
          <w:p w14:paraId="41E4F10B">
            <w:pPr>
              <w:rPr>
                <w:rFonts w:ascii="Arial"/>
                <w:color w:val="auto"/>
                <w:sz w:val="21"/>
                <w:highlight w:val="none"/>
              </w:rPr>
            </w:pPr>
          </w:p>
        </w:tc>
        <w:tc>
          <w:tcPr>
            <w:tcW w:w="2001" w:type="dxa"/>
            <w:vAlign w:val="top"/>
          </w:tcPr>
          <w:p w14:paraId="26277B69">
            <w:pPr>
              <w:rPr>
                <w:rFonts w:ascii="Arial"/>
                <w:color w:val="auto"/>
                <w:sz w:val="21"/>
                <w:highlight w:val="none"/>
              </w:rPr>
            </w:pPr>
          </w:p>
        </w:tc>
        <w:tc>
          <w:tcPr>
            <w:tcW w:w="2006" w:type="dxa"/>
            <w:vAlign w:val="top"/>
          </w:tcPr>
          <w:p w14:paraId="14CBD2F8">
            <w:pPr>
              <w:rPr>
                <w:rFonts w:ascii="Arial"/>
                <w:color w:val="auto"/>
                <w:sz w:val="21"/>
                <w:highlight w:val="none"/>
              </w:rPr>
            </w:pPr>
          </w:p>
        </w:tc>
      </w:tr>
      <w:tr w14:paraId="713DF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35F730F3">
            <w:pPr>
              <w:rPr>
                <w:rFonts w:ascii="Arial"/>
                <w:color w:val="auto"/>
                <w:sz w:val="21"/>
                <w:highlight w:val="none"/>
              </w:rPr>
            </w:pPr>
          </w:p>
        </w:tc>
        <w:tc>
          <w:tcPr>
            <w:tcW w:w="2011" w:type="dxa"/>
            <w:vAlign w:val="top"/>
          </w:tcPr>
          <w:p w14:paraId="03BBFB00">
            <w:pPr>
              <w:rPr>
                <w:rFonts w:ascii="Arial"/>
                <w:color w:val="auto"/>
                <w:sz w:val="21"/>
                <w:highlight w:val="none"/>
              </w:rPr>
            </w:pPr>
          </w:p>
        </w:tc>
        <w:tc>
          <w:tcPr>
            <w:tcW w:w="2001" w:type="dxa"/>
            <w:vAlign w:val="top"/>
          </w:tcPr>
          <w:p w14:paraId="3E689A6D">
            <w:pPr>
              <w:rPr>
                <w:rFonts w:ascii="Arial"/>
                <w:color w:val="auto"/>
                <w:sz w:val="21"/>
                <w:highlight w:val="none"/>
              </w:rPr>
            </w:pPr>
          </w:p>
        </w:tc>
        <w:tc>
          <w:tcPr>
            <w:tcW w:w="2006" w:type="dxa"/>
            <w:vAlign w:val="top"/>
          </w:tcPr>
          <w:p w14:paraId="4697B25A">
            <w:pPr>
              <w:rPr>
                <w:rFonts w:ascii="Arial"/>
                <w:color w:val="auto"/>
                <w:sz w:val="21"/>
                <w:highlight w:val="none"/>
              </w:rPr>
            </w:pPr>
          </w:p>
        </w:tc>
      </w:tr>
      <w:tr w14:paraId="31CF3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198F0422">
            <w:pPr>
              <w:rPr>
                <w:rFonts w:ascii="Arial"/>
                <w:color w:val="auto"/>
                <w:sz w:val="21"/>
                <w:highlight w:val="none"/>
              </w:rPr>
            </w:pPr>
          </w:p>
        </w:tc>
        <w:tc>
          <w:tcPr>
            <w:tcW w:w="2011" w:type="dxa"/>
            <w:vAlign w:val="top"/>
          </w:tcPr>
          <w:p w14:paraId="08C67CB3">
            <w:pPr>
              <w:rPr>
                <w:rFonts w:ascii="Arial"/>
                <w:color w:val="auto"/>
                <w:sz w:val="21"/>
                <w:highlight w:val="none"/>
              </w:rPr>
            </w:pPr>
          </w:p>
        </w:tc>
        <w:tc>
          <w:tcPr>
            <w:tcW w:w="2001" w:type="dxa"/>
            <w:vAlign w:val="top"/>
          </w:tcPr>
          <w:p w14:paraId="0193D1DE">
            <w:pPr>
              <w:rPr>
                <w:rFonts w:ascii="Arial"/>
                <w:color w:val="auto"/>
                <w:sz w:val="21"/>
                <w:highlight w:val="none"/>
              </w:rPr>
            </w:pPr>
          </w:p>
        </w:tc>
        <w:tc>
          <w:tcPr>
            <w:tcW w:w="2006" w:type="dxa"/>
            <w:vAlign w:val="top"/>
          </w:tcPr>
          <w:p w14:paraId="6D4CA914">
            <w:pPr>
              <w:rPr>
                <w:rFonts w:ascii="Arial"/>
                <w:color w:val="auto"/>
                <w:sz w:val="21"/>
                <w:highlight w:val="none"/>
              </w:rPr>
            </w:pPr>
          </w:p>
        </w:tc>
      </w:tr>
      <w:tr w14:paraId="069D1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2F105B3A">
            <w:pPr>
              <w:rPr>
                <w:rFonts w:ascii="Arial"/>
                <w:color w:val="auto"/>
                <w:sz w:val="21"/>
                <w:highlight w:val="none"/>
              </w:rPr>
            </w:pPr>
          </w:p>
        </w:tc>
        <w:tc>
          <w:tcPr>
            <w:tcW w:w="2011" w:type="dxa"/>
            <w:vAlign w:val="top"/>
          </w:tcPr>
          <w:p w14:paraId="7D4CD8EA">
            <w:pPr>
              <w:rPr>
                <w:rFonts w:ascii="Arial"/>
                <w:color w:val="auto"/>
                <w:sz w:val="21"/>
                <w:highlight w:val="none"/>
              </w:rPr>
            </w:pPr>
          </w:p>
        </w:tc>
        <w:tc>
          <w:tcPr>
            <w:tcW w:w="2001" w:type="dxa"/>
            <w:vAlign w:val="top"/>
          </w:tcPr>
          <w:p w14:paraId="77F7094D">
            <w:pPr>
              <w:rPr>
                <w:rFonts w:ascii="Arial"/>
                <w:color w:val="auto"/>
                <w:sz w:val="21"/>
                <w:highlight w:val="none"/>
              </w:rPr>
            </w:pPr>
          </w:p>
        </w:tc>
        <w:tc>
          <w:tcPr>
            <w:tcW w:w="2006" w:type="dxa"/>
            <w:vAlign w:val="top"/>
          </w:tcPr>
          <w:p w14:paraId="0BB9504B">
            <w:pPr>
              <w:rPr>
                <w:rFonts w:ascii="Arial"/>
                <w:color w:val="auto"/>
                <w:sz w:val="21"/>
                <w:highlight w:val="none"/>
              </w:rPr>
            </w:pPr>
          </w:p>
        </w:tc>
      </w:tr>
      <w:tr w14:paraId="2ECD1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13C1F3B3">
            <w:pPr>
              <w:rPr>
                <w:rFonts w:ascii="Arial"/>
                <w:color w:val="auto"/>
                <w:sz w:val="21"/>
                <w:highlight w:val="none"/>
              </w:rPr>
            </w:pPr>
          </w:p>
        </w:tc>
        <w:tc>
          <w:tcPr>
            <w:tcW w:w="2011" w:type="dxa"/>
            <w:vAlign w:val="top"/>
          </w:tcPr>
          <w:p w14:paraId="67B63FC4">
            <w:pPr>
              <w:rPr>
                <w:rFonts w:ascii="Arial"/>
                <w:color w:val="auto"/>
                <w:sz w:val="21"/>
                <w:highlight w:val="none"/>
              </w:rPr>
            </w:pPr>
          </w:p>
        </w:tc>
        <w:tc>
          <w:tcPr>
            <w:tcW w:w="2001" w:type="dxa"/>
            <w:vAlign w:val="top"/>
          </w:tcPr>
          <w:p w14:paraId="49762BC3">
            <w:pPr>
              <w:rPr>
                <w:rFonts w:ascii="Arial"/>
                <w:color w:val="auto"/>
                <w:sz w:val="21"/>
                <w:highlight w:val="none"/>
              </w:rPr>
            </w:pPr>
          </w:p>
        </w:tc>
        <w:tc>
          <w:tcPr>
            <w:tcW w:w="2006" w:type="dxa"/>
            <w:vAlign w:val="top"/>
          </w:tcPr>
          <w:p w14:paraId="76BEB38E">
            <w:pPr>
              <w:rPr>
                <w:rFonts w:ascii="Arial"/>
                <w:color w:val="auto"/>
                <w:sz w:val="21"/>
                <w:highlight w:val="none"/>
              </w:rPr>
            </w:pPr>
          </w:p>
        </w:tc>
      </w:tr>
      <w:tr w14:paraId="44861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5746F64C">
            <w:pPr>
              <w:rPr>
                <w:rFonts w:ascii="Arial"/>
                <w:color w:val="auto"/>
                <w:sz w:val="21"/>
                <w:highlight w:val="none"/>
              </w:rPr>
            </w:pPr>
          </w:p>
        </w:tc>
        <w:tc>
          <w:tcPr>
            <w:tcW w:w="2011" w:type="dxa"/>
            <w:vAlign w:val="top"/>
          </w:tcPr>
          <w:p w14:paraId="47D56308">
            <w:pPr>
              <w:rPr>
                <w:rFonts w:ascii="Arial"/>
                <w:color w:val="auto"/>
                <w:sz w:val="21"/>
                <w:highlight w:val="none"/>
              </w:rPr>
            </w:pPr>
          </w:p>
        </w:tc>
        <w:tc>
          <w:tcPr>
            <w:tcW w:w="2001" w:type="dxa"/>
            <w:vAlign w:val="top"/>
          </w:tcPr>
          <w:p w14:paraId="124237B6">
            <w:pPr>
              <w:rPr>
                <w:rFonts w:ascii="Arial"/>
                <w:color w:val="auto"/>
                <w:sz w:val="21"/>
                <w:highlight w:val="none"/>
              </w:rPr>
            </w:pPr>
          </w:p>
        </w:tc>
        <w:tc>
          <w:tcPr>
            <w:tcW w:w="2006" w:type="dxa"/>
            <w:vAlign w:val="top"/>
          </w:tcPr>
          <w:p w14:paraId="2C13EDAA">
            <w:pPr>
              <w:rPr>
                <w:rFonts w:ascii="Arial"/>
                <w:color w:val="auto"/>
                <w:sz w:val="21"/>
                <w:highlight w:val="none"/>
              </w:rPr>
            </w:pPr>
          </w:p>
        </w:tc>
      </w:tr>
      <w:tr w14:paraId="72601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0C037B0A">
            <w:pPr>
              <w:rPr>
                <w:rFonts w:ascii="Arial"/>
                <w:color w:val="auto"/>
                <w:sz w:val="21"/>
                <w:highlight w:val="none"/>
              </w:rPr>
            </w:pPr>
          </w:p>
        </w:tc>
        <w:tc>
          <w:tcPr>
            <w:tcW w:w="2011" w:type="dxa"/>
            <w:vAlign w:val="top"/>
          </w:tcPr>
          <w:p w14:paraId="19E8442E">
            <w:pPr>
              <w:rPr>
                <w:rFonts w:ascii="Arial"/>
                <w:color w:val="auto"/>
                <w:sz w:val="21"/>
                <w:highlight w:val="none"/>
              </w:rPr>
            </w:pPr>
          </w:p>
        </w:tc>
        <w:tc>
          <w:tcPr>
            <w:tcW w:w="2001" w:type="dxa"/>
            <w:vAlign w:val="top"/>
          </w:tcPr>
          <w:p w14:paraId="403EB641">
            <w:pPr>
              <w:rPr>
                <w:rFonts w:ascii="Arial"/>
                <w:color w:val="auto"/>
                <w:sz w:val="21"/>
                <w:highlight w:val="none"/>
              </w:rPr>
            </w:pPr>
          </w:p>
        </w:tc>
        <w:tc>
          <w:tcPr>
            <w:tcW w:w="2006" w:type="dxa"/>
            <w:vAlign w:val="top"/>
          </w:tcPr>
          <w:p w14:paraId="7EFA3F00">
            <w:pPr>
              <w:rPr>
                <w:rFonts w:ascii="Arial"/>
                <w:color w:val="auto"/>
                <w:sz w:val="21"/>
                <w:highlight w:val="none"/>
              </w:rPr>
            </w:pPr>
          </w:p>
        </w:tc>
      </w:tr>
      <w:tr w14:paraId="48B4C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43F6341D">
            <w:pPr>
              <w:rPr>
                <w:rFonts w:ascii="Arial"/>
                <w:color w:val="auto"/>
                <w:sz w:val="21"/>
                <w:highlight w:val="none"/>
              </w:rPr>
            </w:pPr>
          </w:p>
        </w:tc>
        <w:tc>
          <w:tcPr>
            <w:tcW w:w="2011" w:type="dxa"/>
            <w:vAlign w:val="top"/>
          </w:tcPr>
          <w:p w14:paraId="2C9C9E07">
            <w:pPr>
              <w:rPr>
                <w:rFonts w:ascii="Arial"/>
                <w:color w:val="auto"/>
                <w:sz w:val="21"/>
                <w:highlight w:val="none"/>
              </w:rPr>
            </w:pPr>
          </w:p>
        </w:tc>
        <w:tc>
          <w:tcPr>
            <w:tcW w:w="2001" w:type="dxa"/>
            <w:vAlign w:val="top"/>
          </w:tcPr>
          <w:p w14:paraId="68BDFA2C">
            <w:pPr>
              <w:rPr>
                <w:rFonts w:ascii="Arial"/>
                <w:color w:val="auto"/>
                <w:sz w:val="21"/>
                <w:highlight w:val="none"/>
              </w:rPr>
            </w:pPr>
          </w:p>
        </w:tc>
        <w:tc>
          <w:tcPr>
            <w:tcW w:w="2006" w:type="dxa"/>
            <w:vAlign w:val="top"/>
          </w:tcPr>
          <w:p w14:paraId="17289541">
            <w:pPr>
              <w:rPr>
                <w:rFonts w:ascii="Arial"/>
                <w:color w:val="auto"/>
                <w:sz w:val="21"/>
                <w:highlight w:val="none"/>
              </w:rPr>
            </w:pPr>
          </w:p>
        </w:tc>
      </w:tr>
      <w:tr w14:paraId="1631F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4B55449A">
            <w:pPr>
              <w:rPr>
                <w:rFonts w:ascii="Arial"/>
                <w:color w:val="auto"/>
                <w:sz w:val="21"/>
                <w:highlight w:val="none"/>
              </w:rPr>
            </w:pPr>
          </w:p>
        </w:tc>
        <w:tc>
          <w:tcPr>
            <w:tcW w:w="2011" w:type="dxa"/>
            <w:vAlign w:val="top"/>
          </w:tcPr>
          <w:p w14:paraId="0E71F429">
            <w:pPr>
              <w:rPr>
                <w:rFonts w:ascii="Arial"/>
                <w:color w:val="auto"/>
                <w:sz w:val="21"/>
                <w:highlight w:val="none"/>
              </w:rPr>
            </w:pPr>
          </w:p>
        </w:tc>
        <w:tc>
          <w:tcPr>
            <w:tcW w:w="2001" w:type="dxa"/>
            <w:vAlign w:val="top"/>
          </w:tcPr>
          <w:p w14:paraId="5E4193DA">
            <w:pPr>
              <w:rPr>
                <w:rFonts w:ascii="Arial"/>
                <w:color w:val="auto"/>
                <w:sz w:val="21"/>
                <w:highlight w:val="none"/>
              </w:rPr>
            </w:pPr>
          </w:p>
        </w:tc>
        <w:tc>
          <w:tcPr>
            <w:tcW w:w="2006" w:type="dxa"/>
            <w:vAlign w:val="top"/>
          </w:tcPr>
          <w:p w14:paraId="6042C079">
            <w:pPr>
              <w:rPr>
                <w:rFonts w:ascii="Arial"/>
                <w:color w:val="auto"/>
                <w:sz w:val="21"/>
                <w:highlight w:val="none"/>
              </w:rPr>
            </w:pPr>
          </w:p>
        </w:tc>
      </w:tr>
      <w:tr w14:paraId="78709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52068CA0">
            <w:pPr>
              <w:rPr>
                <w:rFonts w:ascii="Arial"/>
                <w:color w:val="auto"/>
                <w:sz w:val="21"/>
                <w:highlight w:val="none"/>
              </w:rPr>
            </w:pPr>
          </w:p>
        </w:tc>
        <w:tc>
          <w:tcPr>
            <w:tcW w:w="2011" w:type="dxa"/>
            <w:vAlign w:val="top"/>
          </w:tcPr>
          <w:p w14:paraId="39C2F05C">
            <w:pPr>
              <w:rPr>
                <w:rFonts w:ascii="Arial"/>
                <w:color w:val="auto"/>
                <w:sz w:val="21"/>
                <w:highlight w:val="none"/>
              </w:rPr>
            </w:pPr>
          </w:p>
        </w:tc>
        <w:tc>
          <w:tcPr>
            <w:tcW w:w="2001" w:type="dxa"/>
            <w:vAlign w:val="top"/>
          </w:tcPr>
          <w:p w14:paraId="679280AE">
            <w:pPr>
              <w:rPr>
                <w:rFonts w:ascii="Arial"/>
                <w:color w:val="auto"/>
                <w:sz w:val="21"/>
                <w:highlight w:val="none"/>
              </w:rPr>
            </w:pPr>
          </w:p>
        </w:tc>
        <w:tc>
          <w:tcPr>
            <w:tcW w:w="2006" w:type="dxa"/>
            <w:vAlign w:val="top"/>
          </w:tcPr>
          <w:p w14:paraId="4DA19B94">
            <w:pPr>
              <w:rPr>
                <w:rFonts w:ascii="Arial"/>
                <w:color w:val="auto"/>
                <w:sz w:val="21"/>
                <w:highlight w:val="none"/>
              </w:rPr>
            </w:pPr>
          </w:p>
        </w:tc>
      </w:tr>
      <w:tr w14:paraId="282E4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0C5445CD">
            <w:pPr>
              <w:rPr>
                <w:rFonts w:ascii="Arial"/>
                <w:color w:val="auto"/>
                <w:sz w:val="21"/>
                <w:highlight w:val="none"/>
              </w:rPr>
            </w:pPr>
          </w:p>
        </w:tc>
        <w:tc>
          <w:tcPr>
            <w:tcW w:w="2011" w:type="dxa"/>
            <w:vAlign w:val="top"/>
          </w:tcPr>
          <w:p w14:paraId="021C6F52">
            <w:pPr>
              <w:rPr>
                <w:rFonts w:ascii="Arial"/>
                <w:color w:val="auto"/>
                <w:sz w:val="21"/>
                <w:highlight w:val="none"/>
              </w:rPr>
            </w:pPr>
          </w:p>
        </w:tc>
        <w:tc>
          <w:tcPr>
            <w:tcW w:w="2001" w:type="dxa"/>
            <w:vAlign w:val="top"/>
          </w:tcPr>
          <w:p w14:paraId="31ACCCE8">
            <w:pPr>
              <w:rPr>
                <w:rFonts w:ascii="Arial"/>
                <w:color w:val="auto"/>
                <w:sz w:val="21"/>
                <w:highlight w:val="none"/>
              </w:rPr>
            </w:pPr>
          </w:p>
        </w:tc>
        <w:tc>
          <w:tcPr>
            <w:tcW w:w="2006" w:type="dxa"/>
            <w:vAlign w:val="top"/>
          </w:tcPr>
          <w:p w14:paraId="155F951C">
            <w:pPr>
              <w:rPr>
                <w:rFonts w:ascii="Arial"/>
                <w:color w:val="auto"/>
                <w:sz w:val="21"/>
                <w:highlight w:val="none"/>
              </w:rPr>
            </w:pPr>
          </w:p>
        </w:tc>
      </w:tr>
      <w:tr w14:paraId="3F336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2F52D363">
            <w:pPr>
              <w:rPr>
                <w:rFonts w:ascii="Arial"/>
                <w:color w:val="auto"/>
                <w:sz w:val="21"/>
                <w:highlight w:val="none"/>
              </w:rPr>
            </w:pPr>
          </w:p>
        </w:tc>
        <w:tc>
          <w:tcPr>
            <w:tcW w:w="2011" w:type="dxa"/>
            <w:vAlign w:val="top"/>
          </w:tcPr>
          <w:p w14:paraId="7D77843B">
            <w:pPr>
              <w:rPr>
                <w:rFonts w:ascii="Arial"/>
                <w:color w:val="auto"/>
                <w:sz w:val="21"/>
                <w:highlight w:val="none"/>
              </w:rPr>
            </w:pPr>
          </w:p>
        </w:tc>
        <w:tc>
          <w:tcPr>
            <w:tcW w:w="2001" w:type="dxa"/>
            <w:vAlign w:val="top"/>
          </w:tcPr>
          <w:p w14:paraId="2F85F98B">
            <w:pPr>
              <w:rPr>
                <w:rFonts w:ascii="Arial"/>
                <w:color w:val="auto"/>
                <w:sz w:val="21"/>
                <w:highlight w:val="none"/>
              </w:rPr>
            </w:pPr>
          </w:p>
        </w:tc>
        <w:tc>
          <w:tcPr>
            <w:tcW w:w="2006" w:type="dxa"/>
            <w:vAlign w:val="top"/>
          </w:tcPr>
          <w:p w14:paraId="6EBBEAAD">
            <w:pPr>
              <w:rPr>
                <w:rFonts w:ascii="Arial"/>
                <w:color w:val="auto"/>
                <w:sz w:val="21"/>
                <w:highlight w:val="none"/>
              </w:rPr>
            </w:pPr>
          </w:p>
        </w:tc>
      </w:tr>
      <w:tr w14:paraId="50E35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3A103991">
            <w:pPr>
              <w:rPr>
                <w:rFonts w:ascii="Arial"/>
                <w:color w:val="auto"/>
                <w:sz w:val="21"/>
                <w:highlight w:val="none"/>
              </w:rPr>
            </w:pPr>
          </w:p>
        </w:tc>
        <w:tc>
          <w:tcPr>
            <w:tcW w:w="2011" w:type="dxa"/>
            <w:vAlign w:val="top"/>
          </w:tcPr>
          <w:p w14:paraId="6D910617">
            <w:pPr>
              <w:rPr>
                <w:rFonts w:ascii="Arial"/>
                <w:color w:val="auto"/>
                <w:sz w:val="21"/>
                <w:highlight w:val="none"/>
              </w:rPr>
            </w:pPr>
          </w:p>
        </w:tc>
        <w:tc>
          <w:tcPr>
            <w:tcW w:w="2001" w:type="dxa"/>
            <w:vAlign w:val="top"/>
          </w:tcPr>
          <w:p w14:paraId="295753D3">
            <w:pPr>
              <w:rPr>
                <w:rFonts w:ascii="Arial"/>
                <w:color w:val="auto"/>
                <w:sz w:val="21"/>
                <w:highlight w:val="none"/>
              </w:rPr>
            </w:pPr>
          </w:p>
        </w:tc>
        <w:tc>
          <w:tcPr>
            <w:tcW w:w="2006" w:type="dxa"/>
            <w:vAlign w:val="top"/>
          </w:tcPr>
          <w:p w14:paraId="3B1744CC">
            <w:pPr>
              <w:rPr>
                <w:rFonts w:ascii="Arial"/>
                <w:color w:val="auto"/>
                <w:sz w:val="21"/>
                <w:highlight w:val="none"/>
              </w:rPr>
            </w:pPr>
          </w:p>
        </w:tc>
      </w:tr>
    </w:tbl>
    <w:p w14:paraId="780185A3">
      <w:pPr>
        <w:pStyle w:val="3"/>
        <w:rPr>
          <w:color w:val="auto"/>
          <w:highlight w:val="none"/>
        </w:rPr>
      </w:pPr>
    </w:p>
    <w:p w14:paraId="7EAFEFBD">
      <w:pPr>
        <w:rPr>
          <w:color w:val="auto"/>
          <w:highlight w:val="none"/>
        </w:rPr>
        <w:sectPr>
          <w:footerReference r:id="rId252" w:type="default"/>
          <w:pgSz w:w="11905" w:h="16839"/>
          <w:pgMar w:top="400" w:right="1785" w:bottom="1004" w:left="1785" w:header="0" w:footer="828" w:gutter="0"/>
          <w:pgNumType w:fmt="decimal"/>
          <w:cols w:space="720" w:num="1"/>
        </w:sectPr>
      </w:pPr>
    </w:p>
    <w:p w14:paraId="534FFEEF">
      <w:pPr>
        <w:pStyle w:val="3"/>
        <w:spacing w:line="254" w:lineRule="auto"/>
        <w:rPr>
          <w:color w:val="auto"/>
          <w:highlight w:val="none"/>
        </w:rPr>
      </w:pPr>
    </w:p>
    <w:p w14:paraId="20C318A7">
      <w:pPr>
        <w:pStyle w:val="3"/>
        <w:spacing w:line="254" w:lineRule="auto"/>
        <w:rPr>
          <w:color w:val="auto"/>
          <w:highlight w:val="none"/>
        </w:rPr>
      </w:pPr>
    </w:p>
    <w:p w14:paraId="1FA5BD50">
      <w:pPr>
        <w:pStyle w:val="3"/>
        <w:spacing w:line="254" w:lineRule="auto"/>
        <w:rPr>
          <w:color w:val="auto"/>
          <w:highlight w:val="none"/>
        </w:rPr>
      </w:pPr>
    </w:p>
    <w:p w14:paraId="4CEAEC33">
      <w:pPr>
        <w:pStyle w:val="3"/>
        <w:spacing w:line="254" w:lineRule="auto"/>
        <w:rPr>
          <w:color w:val="auto"/>
          <w:highlight w:val="none"/>
        </w:rPr>
      </w:pPr>
    </w:p>
    <w:p w14:paraId="1933BF74">
      <w:pPr>
        <w:pStyle w:val="3"/>
        <w:spacing w:line="254" w:lineRule="auto"/>
        <w:rPr>
          <w:color w:val="auto"/>
          <w:highlight w:val="none"/>
        </w:rPr>
      </w:pPr>
    </w:p>
    <w:p w14:paraId="77C429A8">
      <w:pPr>
        <w:pStyle w:val="3"/>
        <w:spacing w:line="254" w:lineRule="auto"/>
        <w:rPr>
          <w:color w:val="auto"/>
          <w:highlight w:val="none"/>
        </w:rPr>
      </w:pPr>
    </w:p>
    <w:p w14:paraId="3948A897">
      <w:pPr>
        <w:pStyle w:val="3"/>
        <w:spacing w:line="254" w:lineRule="auto"/>
        <w:rPr>
          <w:color w:val="auto"/>
          <w:highlight w:val="none"/>
        </w:rPr>
      </w:pPr>
    </w:p>
    <w:p w14:paraId="1E384FFB">
      <w:pPr>
        <w:pStyle w:val="3"/>
        <w:spacing w:line="254" w:lineRule="auto"/>
        <w:rPr>
          <w:color w:val="auto"/>
          <w:highlight w:val="none"/>
        </w:rPr>
      </w:pPr>
    </w:p>
    <w:p w14:paraId="40FEEF9E">
      <w:pPr>
        <w:pStyle w:val="3"/>
        <w:spacing w:line="254" w:lineRule="auto"/>
        <w:rPr>
          <w:color w:val="auto"/>
          <w:highlight w:val="none"/>
        </w:rPr>
      </w:pPr>
    </w:p>
    <w:p w14:paraId="5A833C72">
      <w:pPr>
        <w:pStyle w:val="3"/>
        <w:spacing w:line="254" w:lineRule="auto"/>
        <w:rPr>
          <w:color w:val="auto"/>
          <w:highlight w:val="none"/>
        </w:rPr>
      </w:pPr>
    </w:p>
    <w:p w14:paraId="7B617CF5">
      <w:pPr>
        <w:pStyle w:val="3"/>
        <w:spacing w:line="254" w:lineRule="auto"/>
        <w:rPr>
          <w:color w:val="auto"/>
          <w:highlight w:val="none"/>
        </w:rPr>
      </w:pPr>
    </w:p>
    <w:p w14:paraId="5E53DE7C">
      <w:pPr>
        <w:pStyle w:val="3"/>
        <w:spacing w:line="255" w:lineRule="auto"/>
        <w:rPr>
          <w:color w:val="auto"/>
          <w:highlight w:val="none"/>
        </w:rPr>
      </w:pPr>
    </w:p>
    <w:p w14:paraId="02C3A78F">
      <w:pPr>
        <w:pStyle w:val="3"/>
        <w:spacing w:line="255" w:lineRule="auto"/>
        <w:rPr>
          <w:color w:val="auto"/>
          <w:highlight w:val="none"/>
        </w:rPr>
      </w:pPr>
    </w:p>
    <w:p w14:paraId="4FD3F7BD">
      <w:pPr>
        <w:pStyle w:val="3"/>
        <w:spacing w:line="255" w:lineRule="auto"/>
        <w:rPr>
          <w:color w:val="auto"/>
          <w:highlight w:val="none"/>
        </w:rPr>
      </w:pPr>
    </w:p>
    <w:p w14:paraId="78EE70FF">
      <w:pPr>
        <w:pStyle w:val="3"/>
        <w:spacing w:line="255" w:lineRule="auto"/>
        <w:rPr>
          <w:color w:val="auto"/>
          <w:highlight w:val="none"/>
        </w:rPr>
      </w:pPr>
    </w:p>
    <w:p w14:paraId="45B1F75E">
      <w:pPr>
        <w:pStyle w:val="3"/>
        <w:spacing w:line="255" w:lineRule="auto"/>
        <w:rPr>
          <w:color w:val="auto"/>
          <w:highlight w:val="none"/>
        </w:rPr>
      </w:pPr>
    </w:p>
    <w:p w14:paraId="17913D40">
      <w:pPr>
        <w:numPr>
          <w:ilvl w:val="0"/>
          <w:numId w:val="4"/>
        </w:numPr>
        <w:spacing w:before="87" w:line="225" w:lineRule="auto"/>
        <w:ind w:left="3342"/>
        <w:rPr>
          <w:rFonts w:ascii="黑体" w:hAnsi="黑体" w:eastAsia="黑体" w:cs="黑体"/>
          <w:color w:val="auto"/>
          <w:spacing w:val="6"/>
          <w:sz w:val="27"/>
          <w:szCs w:val="27"/>
          <w:highlight w:val="none"/>
        </w:rPr>
      </w:pPr>
      <w:r>
        <w:rPr>
          <w:rFonts w:ascii="黑体" w:hAnsi="黑体" w:eastAsia="黑体" w:cs="黑体"/>
          <w:color w:val="auto"/>
          <w:spacing w:val="6"/>
          <w:sz w:val="27"/>
          <w:szCs w:val="27"/>
          <w:highlight w:val="none"/>
        </w:rPr>
        <w:t>其他材料</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8"/>
        <w:gridCol w:w="5404"/>
      </w:tblGrid>
      <w:tr w14:paraId="25323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029592C4">
            <w:pPr>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项目名称：</w:t>
            </w:r>
          </w:p>
        </w:tc>
        <w:tc>
          <w:tcPr>
            <w:tcW w:w="5404" w:type="dxa"/>
            <w:noWrap w:val="0"/>
            <w:vAlign w:val="top"/>
          </w:tcPr>
          <w:p w14:paraId="1BD0DA8F">
            <w:pPr>
              <w:widowControl w:val="0"/>
              <w:rPr>
                <w:color w:val="auto"/>
                <w:highlight w:val="none"/>
                <w:vertAlign w:val="baseline"/>
              </w:rPr>
            </w:pPr>
          </w:p>
        </w:tc>
      </w:tr>
      <w:tr w14:paraId="5778A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061E21FB">
            <w:pPr>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标段名称：</w:t>
            </w:r>
          </w:p>
        </w:tc>
        <w:tc>
          <w:tcPr>
            <w:tcW w:w="5404" w:type="dxa"/>
            <w:noWrap w:val="0"/>
            <w:vAlign w:val="top"/>
          </w:tcPr>
          <w:p w14:paraId="61CDA3AA">
            <w:pPr>
              <w:widowControl w:val="0"/>
              <w:rPr>
                <w:color w:val="auto"/>
                <w:highlight w:val="none"/>
                <w:vertAlign w:val="baseline"/>
              </w:rPr>
            </w:pPr>
          </w:p>
        </w:tc>
      </w:tr>
      <w:tr w14:paraId="02FD2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70769003">
            <w:pPr>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招标人名称：</w:t>
            </w:r>
          </w:p>
        </w:tc>
        <w:tc>
          <w:tcPr>
            <w:tcW w:w="5404" w:type="dxa"/>
            <w:noWrap w:val="0"/>
            <w:vAlign w:val="top"/>
          </w:tcPr>
          <w:p w14:paraId="7C57CB88">
            <w:pPr>
              <w:widowControl w:val="0"/>
              <w:rPr>
                <w:color w:val="auto"/>
                <w:highlight w:val="none"/>
                <w:vertAlign w:val="baseline"/>
              </w:rPr>
            </w:pPr>
          </w:p>
        </w:tc>
      </w:tr>
      <w:tr w14:paraId="6A816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7AFCE3A8">
            <w:pPr>
              <w:widowControl w:val="0"/>
              <w:rPr>
                <w:rFonts w:hint="eastAsia" w:eastAsia="宋体"/>
                <w:color w:val="auto"/>
                <w:highlight w:val="none"/>
                <w:vertAlign w:val="baseline"/>
                <w:lang w:eastAsia="zh-CN"/>
              </w:rPr>
            </w:pPr>
            <w:r>
              <w:rPr>
                <w:rFonts w:hint="eastAsia"/>
                <w:color w:val="auto"/>
                <w:highlight w:val="none"/>
                <w:vertAlign w:val="baseline"/>
              </w:rPr>
              <w:t>招标代理机构名称</w:t>
            </w:r>
            <w:r>
              <w:rPr>
                <w:rFonts w:hint="eastAsia"/>
                <w:color w:val="auto"/>
                <w:highlight w:val="none"/>
                <w:vertAlign w:val="baseline"/>
                <w:lang w:eastAsia="zh-CN"/>
              </w:rPr>
              <w:t>：</w:t>
            </w:r>
          </w:p>
        </w:tc>
        <w:tc>
          <w:tcPr>
            <w:tcW w:w="5404" w:type="dxa"/>
            <w:noWrap w:val="0"/>
            <w:vAlign w:val="top"/>
          </w:tcPr>
          <w:p w14:paraId="4EB582CC">
            <w:pPr>
              <w:widowControl w:val="0"/>
              <w:rPr>
                <w:color w:val="auto"/>
                <w:highlight w:val="none"/>
                <w:vertAlign w:val="baseline"/>
              </w:rPr>
            </w:pPr>
          </w:p>
        </w:tc>
      </w:tr>
      <w:tr w14:paraId="162F9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14B4E427">
            <w:pPr>
              <w:widowControl w:val="0"/>
              <w:rPr>
                <w:rFonts w:hint="eastAsia" w:eastAsia="宋体"/>
                <w:color w:val="auto"/>
                <w:highlight w:val="none"/>
                <w:vertAlign w:val="baseline"/>
                <w:lang w:eastAsia="zh-CN"/>
              </w:rPr>
            </w:pPr>
            <w:r>
              <w:rPr>
                <w:rFonts w:hint="eastAsia"/>
                <w:color w:val="auto"/>
                <w:highlight w:val="none"/>
                <w:vertAlign w:val="baseline"/>
              </w:rPr>
              <w:t>投标公司名称</w:t>
            </w:r>
            <w:r>
              <w:rPr>
                <w:rFonts w:hint="eastAsia"/>
                <w:color w:val="auto"/>
                <w:highlight w:val="none"/>
                <w:vertAlign w:val="baseline"/>
                <w:lang w:eastAsia="zh-CN"/>
              </w:rPr>
              <w:t>：</w:t>
            </w:r>
          </w:p>
        </w:tc>
        <w:tc>
          <w:tcPr>
            <w:tcW w:w="5404" w:type="dxa"/>
            <w:noWrap w:val="0"/>
            <w:vAlign w:val="top"/>
          </w:tcPr>
          <w:p w14:paraId="677B1EB1">
            <w:pPr>
              <w:widowControl w:val="0"/>
              <w:rPr>
                <w:color w:val="auto"/>
                <w:highlight w:val="none"/>
                <w:vertAlign w:val="baseline"/>
              </w:rPr>
            </w:pPr>
          </w:p>
        </w:tc>
      </w:tr>
      <w:tr w14:paraId="0C4E3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722F8122">
            <w:pPr>
              <w:widowControl w:val="0"/>
              <w:rPr>
                <w:rFonts w:hint="eastAsia" w:eastAsia="宋体"/>
                <w:color w:val="auto"/>
                <w:highlight w:val="none"/>
                <w:vertAlign w:val="baseline"/>
                <w:lang w:eastAsia="zh-CN"/>
              </w:rPr>
            </w:pPr>
            <w:r>
              <w:rPr>
                <w:rFonts w:hint="eastAsia"/>
                <w:color w:val="auto"/>
                <w:highlight w:val="none"/>
                <w:vertAlign w:val="baseline"/>
              </w:rPr>
              <w:t>投标公司统一社会信用代码</w:t>
            </w:r>
            <w:r>
              <w:rPr>
                <w:rFonts w:hint="eastAsia"/>
                <w:color w:val="auto"/>
                <w:highlight w:val="none"/>
                <w:vertAlign w:val="baseline"/>
                <w:lang w:eastAsia="zh-CN"/>
              </w:rPr>
              <w:t>：</w:t>
            </w:r>
          </w:p>
        </w:tc>
        <w:tc>
          <w:tcPr>
            <w:tcW w:w="5404" w:type="dxa"/>
            <w:noWrap w:val="0"/>
            <w:vAlign w:val="top"/>
          </w:tcPr>
          <w:p w14:paraId="25E400ED">
            <w:pPr>
              <w:widowControl w:val="0"/>
              <w:rPr>
                <w:color w:val="auto"/>
                <w:highlight w:val="none"/>
                <w:vertAlign w:val="baseline"/>
              </w:rPr>
            </w:pPr>
          </w:p>
        </w:tc>
      </w:tr>
      <w:tr w14:paraId="1CF97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56DFAFD9">
            <w:pPr>
              <w:widowControl w:val="0"/>
              <w:rPr>
                <w:rFonts w:hint="eastAsia" w:eastAsia="宋体"/>
                <w:color w:val="auto"/>
                <w:highlight w:val="none"/>
                <w:vertAlign w:val="baseline"/>
                <w:lang w:val="en-US" w:eastAsia="zh-CN"/>
              </w:rPr>
            </w:pPr>
            <w:r>
              <w:rPr>
                <w:rFonts w:hint="eastAsia"/>
                <w:color w:val="auto"/>
                <w:highlight w:val="none"/>
                <w:vertAlign w:val="baseline"/>
              </w:rPr>
              <w:t>投标公司法定代表人姓名</w:t>
            </w:r>
            <w:r>
              <w:rPr>
                <w:rFonts w:hint="eastAsia"/>
                <w:color w:val="auto"/>
                <w:highlight w:val="none"/>
                <w:vertAlign w:val="baseline"/>
                <w:lang w:val="en-US" w:eastAsia="zh-CN"/>
              </w:rPr>
              <w:t>:</w:t>
            </w:r>
          </w:p>
        </w:tc>
        <w:tc>
          <w:tcPr>
            <w:tcW w:w="5404" w:type="dxa"/>
            <w:noWrap w:val="0"/>
            <w:vAlign w:val="top"/>
          </w:tcPr>
          <w:p w14:paraId="5F032F3E">
            <w:pPr>
              <w:widowControl w:val="0"/>
              <w:rPr>
                <w:color w:val="auto"/>
                <w:highlight w:val="none"/>
                <w:vertAlign w:val="baseline"/>
              </w:rPr>
            </w:pPr>
          </w:p>
        </w:tc>
      </w:tr>
      <w:tr w14:paraId="13A66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0741FC3C">
            <w:pPr>
              <w:widowControl w:val="0"/>
              <w:rPr>
                <w:rFonts w:hint="eastAsia" w:eastAsia="宋体"/>
                <w:color w:val="auto"/>
                <w:highlight w:val="none"/>
                <w:vertAlign w:val="baseline"/>
                <w:lang w:val="en-US" w:eastAsia="zh-CN"/>
              </w:rPr>
            </w:pPr>
            <w:r>
              <w:rPr>
                <w:rFonts w:hint="eastAsia"/>
                <w:color w:val="auto"/>
                <w:highlight w:val="none"/>
                <w:vertAlign w:val="baseline"/>
              </w:rPr>
              <w:t>投标公司法定代表人身份证号</w:t>
            </w:r>
            <w:r>
              <w:rPr>
                <w:rFonts w:hint="eastAsia"/>
                <w:color w:val="auto"/>
                <w:highlight w:val="none"/>
                <w:vertAlign w:val="baseline"/>
                <w:lang w:val="en-US" w:eastAsia="zh-CN"/>
              </w:rPr>
              <w:t>:</w:t>
            </w:r>
          </w:p>
        </w:tc>
        <w:tc>
          <w:tcPr>
            <w:tcW w:w="5404" w:type="dxa"/>
            <w:noWrap w:val="0"/>
            <w:vAlign w:val="top"/>
          </w:tcPr>
          <w:p w14:paraId="3E2B0709">
            <w:pPr>
              <w:widowControl w:val="0"/>
              <w:rPr>
                <w:color w:val="auto"/>
                <w:highlight w:val="none"/>
                <w:vertAlign w:val="baseline"/>
              </w:rPr>
            </w:pPr>
          </w:p>
        </w:tc>
      </w:tr>
      <w:tr w14:paraId="2F1D4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40ADC3C2">
            <w:pPr>
              <w:widowControl w:val="0"/>
              <w:rPr>
                <w:rFonts w:hint="eastAsia" w:eastAsia="宋体"/>
                <w:color w:val="auto"/>
                <w:highlight w:val="none"/>
                <w:vertAlign w:val="baseline"/>
                <w:lang w:val="en-US" w:eastAsia="zh-CN"/>
              </w:rPr>
            </w:pPr>
            <w:r>
              <w:rPr>
                <w:rFonts w:hint="eastAsia"/>
                <w:color w:val="auto"/>
                <w:highlight w:val="none"/>
                <w:vertAlign w:val="baseline"/>
              </w:rPr>
              <w:t>投标公司法定代表人手机号码</w:t>
            </w:r>
            <w:r>
              <w:rPr>
                <w:rFonts w:hint="eastAsia"/>
                <w:color w:val="auto"/>
                <w:highlight w:val="none"/>
                <w:vertAlign w:val="baseline"/>
                <w:lang w:val="en-US" w:eastAsia="zh-CN"/>
              </w:rPr>
              <w:t>:</w:t>
            </w:r>
          </w:p>
        </w:tc>
        <w:tc>
          <w:tcPr>
            <w:tcW w:w="5404" w:type="dxa"/>
            <w:noWrap w:val="0"/>
            <w:vAlign w:val="top"/>
          </w:tcPr>
          <w:p w14:paraId="5345FBA3">
            <w:pPr>
              <w:widowControl w:val="0"/>
              <w:rPr>
                <w:color w:val="auto"/>
                <w:highlight w:val="none"/>
                <w:vertAlign w:val="baseline"/>
              </w:rPr>
            </w:pPr>
          </w:p>
        </w:tc>
      </w:tr>
      <w:tr w14:paraId="290C2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69A46AC4">
            <w:pPr>
              <w:widowControl w:val="0"/>
              <w:rPr>
                <w:rFonts w:hint="eastAsia" w:eastAsia="宋体"/>
                <w:color w:val="auto"/>
                <w:highlight w:val="none"/>
                <w:vertAlign w:val="baseline"/>
                <w:lang w:val="en-US" w:eastAsia="zh-CN"/>
              </w:rPr>
            </w:pPr>
            <w:r>
              <w:rPr>
                <w:rFonts w:hint="eastAsia"/>
                <w:color w:val="auto"/>
                <w:highlight w:val="none"/>
                <w:vertAlign w:val="baseline"/>
              </w:rPr>
              <w:t>投标公司联系人姓名</w:t>
            </w:r>
            <w:r>
              <w:rPr>
                <w:rFonts w:hint="eastAsia"/>
                <w:color w:val="auto"/>
                <w:highlight w:val="none"/>
                <w:vertAlign w:val="baseline"/>
                <w:lang w:val="en-US" w:eastAsia="zh-CN"/>
              </w:rPr>
              <w:t>:</w:t>
            </w:r>
          </w:p>
        </w:tc>
        <w:tc>
          <w:tcPr>
            <w:tcW w:w="5404" w:type="dxa"/>
            <w:noWrap w:val="0"/>
            <w:vAlign w:val="top"/>
          </w:tcPr>
          <w:p w14:paraId="6A3A88DA">
            <w:pPr>
              <w:widowControl w:val="0"/>
              <w:rPr>
                <w:color w:val="auto"/>
                <w:highlight w:val="none"/>
                <w:vertAlign w:val="baseline"/>
              </w:rPr>
            </w:pPr>
          </w:p>
        </w:tc>
      </w:tr>
      <w:tr w14:paraId="3CB61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3B16C651">
            <w:pPr>
              <w:widowControl w:val="0"/>
              <w:rPr>
                <w:rFonts w:hint="eastAsia" w:eastAsia="宋体"/>
                <w:color w:val="auto"/>
                <w:highlight w:val="none"/>
                <w:vertAlign w:val="baseline"/>
                <w:lang w:val="en-US" w:eastAsia="zh-CN"/>
              </w:rPr>
            </w:pPr>
            <w:r>
              <w:rPr>
                <w:rFonts w:hint="eastAsia"/>
                <w:color w:val="auto"/>
                <w:highlight w:val="none"/>
                <w:vertAlign w:val="baseline"/>
              </w:rPr>
              <w:t>投标公司联系人身份证号</w:t>
            </w:r>
            <w:r>
              <w:rPr>
                <w:rFonts w:hint="eastAsia"/>
                <w:color w:val="auto"/>
                <w:highlight w:val="none"/>
                <w:vertAlign w:val="baseline"/>
                <w:lang w:val="en-US" w:eastAsia="zh-CN"/>
              </w:rPr>
              <w:t>:</w:t>
            </w:r>
          </w:p>
        </w:tc>
        <w:tc>
          <w:tcPr>
            <w:tcW w:w="5404" w:type="dxa"/>
            <w:noWrap w:val="0"/>
            <w:vAlign w:val="top"/>
          </w:tcPr>
          <w:p w14:paraId="2D8D58FF">
            <w:pPr>
              <w:widowControl w:val="0"/>
              <w:rPr>
                <w:color w:val="auto"/>
                <w:highlight w:val="none"/>
                <w:vertAlign w:val="baseline"/>
              </w:rPr>
            </w:pPr>
          </w:p>
        </w:tc>
      </w:tr>
      <w:tr w14:paraId="621FF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6A4E7AAE">
            <w:pPr>
              <w:widowControl w:val="0"/>
              <w:rPr>
                <w:rFonts w:hint="eastAsia" w:eastAsia="宋体"/>
                <w:color w:val="auto"/>
                <w:highlight w:val="none"/>
                <w:vertAlign w:val="baseline"/>
                <w:lang w:val="en-US" w:eastAsia="zh-CN"/>
              </w:rPr>
            </w:pPr>
            <w:r>
              <w:rPr>
                <w:rFonts w:hint="eastAsia"/>
                <w:color w:val="auto"/>
                <w:highlight w:val="none"/>
                <w:vertAlign w:val="baseline"/>
              </w:rPr>
              <w:t>投标公司联系人手机号码</w:t>
            </w:r>
            <w:r>
              <w:rPr>
                <w:rFonts w:hint="eastAsia"/>
                <w:color w:val="auto"/>
                <w:highlight w:val="none"/>
                <w:vertAlign w:val="baseline"/>
                <w:lang w:val="en-US" w:eastAsia="zh-CN"/>
              </w:rPr>
              <w:t>:</w:t>
            </w:r>
          </w:p>
        </w:tc>
        <w:tc>
          <w:tcPr>
            <w:tcW w:w="5404" w:type="dxa"/>
            <w:noWrap w:val="0"/>
            <w:vAlign w:val="top"/>
          </w:tcPr>
          <w:p w14:paraId="0CE1F216">
            <w:pPr>
              <w:widowControl w:val="0"/>
              <w:rPr>
                <w:color w:val="auto"/>
                <w:highlight w:val="none"/>
                <w:vertAlign w:val="baseline"/>
              </w:rPr>
            </w:pPr>
          </w:p>
        </w:tc>
      </w:tr>
      <w:tr w14:paraId="591B7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0FBCC238">
            <w:pPr>
              <w:widowControl w:val="0"/>
              <w:rPr>
                <w:rFonts w:hint="eastAsia" w:eastAsia="宋体"/>
                <w:color w:val="auto"/>
                <w:highlight w:val="none"/>
                <w:vertAlign w:val="baseline"/>
                <w:lang w:val="en-US" w:eastAsia="zh-CN"/>
              </w:rPr>
            </w:pPr>
            <w:r>
              <w:rPr>
                <w:rFonts w:hint="eastAsia"/>
                <w:color w:val="auto"/>
                <w:highlight w:val="none"/>
                <w:vertAlign w:val="baseline"/>
              </w:rPr>
              <w:t>项目经理姓名</w:t>
            </w:r>
            <w:r>
              <w:rPr>
                <w:rFonts w:hint="eastAsia"/>
                <w:color w:val="auto"/>
                <w:highlight w:val="none"/>
                <w:vertAlign w:val="baseline"/>
                <w:lang w:val="en-US" w:eastAsia="zh-CN"/>
              </w:rPr>
              <w:t>:</w:t>
            </w:r>
          </w:p>
        </w:tc>
        <w:tc>
          <w:tcPr>
            <w:tcW w:w="5404" w:type="dxa"/>
            <w:noWrap w:val="0"/>
            <w:vAlign w:val="top"/>
          </w:tcPr>
          <w:p w14:paraId="48BD8FEF">
            <w:pPr>
              <w:widowControl w:val="0"/>
              <w:rPr>
                <w:color w:val="auto"/>
                <w:highlight w:val="none"/>
                <w:vertAlign w:val="baseline"/>
              </w:rPr>
            </w:pPr>
          </w:p>
        </w:tc>
      </w:tr>
      <w:tr w14:paraId="2164B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418FC728">
            <w:pPr>
              <w:widowControl w:val="0"/>
              <w:rPr>
                <w:rFonts w:hint="eastAsia" w:eastAsia="宋体"/>
                <w:color w:val="auto"/>
                <w:highlight w:val="none"/>
                <w:vertAlign w:val="baseline"/>
                <w:lang w:val="en-US" w:eastAsia="zh-CN"/>
              </w:rPr>
            </w:pPr>
            <w:r>
              <w:rPr>
                <w:rFonts w:hint="eastAsia"/>
                <w:color w:val="auto"/>
                <w:highlight w:val="none"/>
                <w:vertAlign w:val="baseline"/>
              </w:rPr>
              <w:t>项目经理身份证号</w:t>
            </w:r>
            <w:r>
              <w:rPr>
                <w:rFonts w:hint="eastAsia"/>
                <w:color w:val="auto"/>
                <w:highlight w:val="none"/>
                <w:vertAlign w:val="baseline"/>
                <w:lang w:val="en-US" w:eastAsia="zh-CN"/>
              </w:rPr>
              <w:t>:</w:t>
            </w:r>
          </w:p>
        </w:tc>
        <w:tc>
          <w:tcPr>
            <w:tcW w:w="5404" w:type="dxa"/>
            <w:noWrap w:val="0"/>
            <w:vAlign w:val="top"/>
          </w:tcPr>
          <w:p w14:paraId="288EF3E9">
            <w:pPr>
              <w:widowControl w:val="0"/>
              <w:rPr>
                <w:color w:val="auto"/>
                <w:highlight w:val="none"/>
                <w:vertAlign w:val="baseline"/>
              </w:rPr>
            </w:pPr>
          </w:p>
        </w:tc>
      </w:tr>
      <w:tr w14:paraId="636E8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30F62C8B">
            <w:pPr>
              <w:widowControl w:val="0"/>
              <w:rPr>
                <w:rFonts w:hint="eastAsia" w:eastAsia="宋体"/>
                <w:color w:val="auto"/>
                <w:highlight w:val="none"/>
                <w:vertAlign w:val="baseline"/>
                <w:lang w:val="en-US" w:eastAsia="zh-CN"/>
              </w:rPr>
            </w:pPr>
            <w:r>
              <w:rPr>
                <w:rFonts w:hint="eastAsia"/>
                <w:color w:val="auto"/>
                <w:highlight w:val="none"/>
                <w:vertAlign w:val="baseline"/>
              </w:rPr>
              <w:t>项目经理手机号码</w:t>
            </w:r>
            <w:r>
              <w:rPr>
                <w:rFonts w:hint="eastAsia"/>
                <w:color w:val="auto"/>
                <w:highlight w:val="none"/>
                <w:vertAlign w:val="baseline"/>
                <w:lang w:val="en-US" w:eastAsia="zh-CN"/>
              </w:rPr>
              <w:t>:</w:t>
            </w:r>
          </w:p>
        </w:tc>
        <w:tc>
          <w:tcPr>
            <w:tcW w:w="5404" w:type="dxa"/>
            <w:noWrap w:val="0"/>
            <w:vAlign w:val="top"/>
          </w:tcPr>
          <w:p w14:paraId="7DE335A8">
            <w:pPr>
              <w:widowControl w:val="0"/>
              <w:rPr>
                <w:color w:val="auto"/>
                <w:highlight w:val="none"/>
                <w:vertAlign w:val="baseline"/>
              </w:rPr>
            </w:pPr>
          </w:p>
        </w:tc>
      </w:tr>
      <w:tr w14:paraId="25243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603434A4">
            <w:pPr>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投标保证金形式：</w:t>
            </w:r>
          </w:p>
        </w:tc>
        <w:tc>
          <w:tcPr>
            <w:tcW w:w="5404" w:type="dxa"/>
            <w:noWrap w:val="0"/>
            <w:vAlign w:val="top"/>
          </w:tcPr>
          <w:p w14:paraId="6F56A69F">
            <w:pPr>
              <w:widowControl w:val="0"/>
              <w:rPr>
                <w:color w:val="auto"/>
                <w:highlight w:val="none"/>
                <w:vertAlign w:val="baseline"/>
              </w:rPr>
            </w:pPr>
          </w:p>
        </w:tc>
      </w:tr>
      <w:tr w14:paraId="02153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626E9400">
            <w:pPr>
              <w:widowControl w:val="0"/>
              <w:rPr>
                <w:rFonts w:hint="eastAsia" w:eastAsia="宋体"/>
                <w:color w:val="auto"/>
                <w:highlight w:val="none"/>
                <w:vertAlign w:val="baseline"/>
                <w:lang w:eastAsia="zh-CN"/>
              </w:rPr>
            </w:pPr>
            <w:r>
              <w:rPr>
                <w:rFonts w:hint="eastAsia"/>
                <w:color w:val="auto"/>
                <w:highlight w:val="none"/>
                <w:vertAlign w:val="baseline"/>
              </w:rPr>
              <w:t>缴纳投标保证金</w:t>
            </w:r>
            <w:r>
              <w:rPr>
                <w:rFonts w:hint="eastAsia"/>
                <w:color w:val="auto"/>
                <w:highlight w:val="none"/>
                <w:vertAlign w:val="baseline"/>
                <w:lang w:val="en-US" w:eastAsia="zh-CN"/>
              </w:rPr>
              <w:t>/保函</w:t>
            </w:r>
            <w:r>
              <w:rPr>
                <w:rFonts w:hint="eastAsia"/>
                <w:color w:val="auto"/>
                <w:highlight w:val="none"/>
                <w:vertAlign w:val="baseline"/>
              </w:rPr>
              <w:t>时间</w:t>
            </w:r>
            <w:r>
              <w:rPr>
                <w:rFonts w:hint="eastAsia"/>
                <w:color w:val="auto"/>
                <w:highlight w:val="none"/>
                <w:vertAlign w:val="baseline"/>
                <w:lang w:eastAsia="zh-CN"/>
              </w:rPr>
              <w:t>：</w:t>
            </w:r>
          </w:p>
        </w:tc>
        <w:tc>
          <w:tcPr>
            <w:tcW w:w="5404" w:type="dxa"/>
            <w:noWrap w:val="0"/>
            <w:vAlign w:val="top"/>
          </w:tcPr>
          <w:p w14:paraId="4CF283E7">
            <w:pPr>
              <w:widowControl w:val="0"/>
              <w:rPr>
                <w:color w:val="auto"/>
                <w:highlight w:val="none"/>
                <w:vertAlign w:val="baseline"/>
              </w:rPr>
            </w:pPr>
          </w:p>
        </w:tc>
      </w:tr>
      <w:tr w14:paraId="125DB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75821F3D">
            <w:pPr>
              <w:widowControl w:val="0"/>
              <w:rPr>
                <w:rFonts w:hint="eastAsia" w:eastAsia="宋体"/>
                <w:color w:val="auto"/>
                <w:highlight w:val="none"/>
                <w:vertAlign w:val="baseline"/>
                <w:lang w:eastAsia="zh-CN"/>
              </w:rPr>
            </w:pPr>
            <w:r>
              <w:rPr>
                <w:rFonts w:hint="eastAsia"/>
                <w:color w:val="auto"/>
                <w:highlight w:val="none"/>
                <w:vertAlign w:val="baseline"/>
              </w:rPr>
              <w:t>缴纳投标保证金账户</w:t>
            </w:r>
            <w:r>
              <w:rPr>
                <w:rFonts w:hint="eastAsia"/>
                <w:color w:val="auto"/>
                <w:highlight w:val="none"/>
                <w:vertAlign w:val="baseline"/>
                <w:lang w:eastAsia="zh-CN"/>
              </w:rPr>
              <w:t>：</w:t>
            </w:r>
          </w:p>
        </w:tc>
        <w:tc>
          <w:tcPr>
            <w:tcW w:w="5404" w:type="dxa"/>
            <w:noWrap w:val="0"/>
            <w:vAlign w:val="top"/>
          </w:tcPr>
          <w:p w14:paraId="7F730497">
            <w:pPr>
              <w:widowControl w:val="0"/>
              <w:rPr>
                <w:rFonts w:hint="default" w:eastAsia="宋体"/>
                <w:color w:val="auto"/>
                <w:highlight w:val="none"/>
                <w:vertAlign w:val="baseline"/>
                <w:lang w:val="en-US" w:eastAsia="zh-CN"/>
              </w:rPr>
            </w:pPr>
            <w:r>
              <w:rPr>
                <w:rFonts w:hint="eastAsia"/>
                <w:color w:val="auto"/>
                <w:highlight w:val="none"/>
                <w:vertAlign w:val="baseline"/>
                <w:lang w:val="en-US" w:eastAsia="zh-CN"/>
              </w:rPr>
              <w:t>递交保函无需填写此项</w:t>
            </w:r>
          </w:p>
        </w:tc>
      </w:tr>
      <w:tr w14:paraId="1C17B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2A507496">
            <w:pPr>
              <w:widowControl w:val="0"/>
              <w:rPr>
                <w:rFonts w:hint="eastAsia"/>
                <w:color w:val="auto"/>
                <w:highlight w:val="none"/>
                <w:vertAlign w:val="baseline"/>
              </w:rPr>
            </w:pPr>
            <w:r>
              <w:rPr>
                <w:rFonts w:hint="eastAsia"/>
                <w:color w:val="auto"/>
                <w:highlight w:val="none"/>
                <w:vertAlign w:val="baseline"/>
              </w:rPr>
              <w:t>缴纳投标保障金账户开户行</w:t>
            </w:r>
          </w:p>
        </w:tc>
        <w:tc>
          <w:tcPr>
            <w:tcW w:w="5404" w:type="dxa"/>
            <w:noWrap w:val="0"/>
            <w:vAlign w:val="top"/>
          </w:tcPr>
          <w:p w14:paraId="1F54A99B">
            <w:pPr>
              <w:widowControl w:val="0"/>
              <w:rPr>
                <w:color w:val="auto"/>
                <w:highlight w:val="none"/>
                <w:vertAlign w:val="baseline"/>
              </w:rPr>
            </w:pPr>
            <w:r>
              <w:rPr>
                <w:rFonts w:hint="eastAsia"/>
                <w:color w:val="auto"/>
                <w:highlight w:val="none"/>
                <w:vertAlign w:val="baseline"/>
                <w:lang w:val="en-US" w:eastAsia="zh-CN"/>
              </w:rPr>
              <w:t>递交保函无需填写此项</w:t>
            </w:r>
          </w:p>
        </w:tc>
      </w:tr>
    </w:tbl>
    <w:p w14:paraId="4938EBCF">
      <w:pPr>
        <w:numPr>
          <w:ilvl w:val="0"/>
          <w:numId w:val="0"/>
        </w:numPr>
        <w:spacing w:before="87" w:line="225" w:lineRule="auto"/>
        <w:rPr>
          <w:rFonts w:ascii="黑体" w:hAnsi="黑体" w:eastAsia="黑体" w:cs="黑体"/>
          <w:color w:val="auto"/>
          <w:spacing w:val="6"/>
          <w:sz w:val="27"/>
          <w:szCs w:val="27"/>
          <w:highlight w:val="none"/>
        </w:rPr>
      </w:pPr>
    </w:p>
    <w:sectPr>
      <w:footerReference r:id="rId253" w:type="default"/>
      <w:pgSz w:w="11905" w:h="16839"/>
      <w:pgMar w:top="400" w:right="1785" w:bottom="1004" w:left="1785" w:header="0" w:footer="828"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Segoe UI Symbol">
    <w:panose1 w:val="020B0502040204020203"/>
    <w:charset w:val="00"/>
    <w:family w:val="auto"/>
    <w:pitch w:val="default"/>
    <w:sig w:usb0="800001E3" w:usb1="1200FFEF" w:usb2="00040000" w:usb3="04000000" w:csb0="00000001" w:csb1="4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0DBD5">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9" name="文本框 12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BA2DAE">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dP+o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uTV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10/6jUCAABnBAAADgAAAAAAAAABACAAAAAfAQAAZHJzL2Uyb0RvYy54bWxQ&#10;SwUGAAAAAAYABgBZAQAAxgUAAAAA&#10;">
              <v:fill on="f" focussize="0,0"/>
              <v:stroke on="f" weight="0.5pt"/>
              <v:imagedata o:title=""/>
              <o:lock v:ext="edit" aspectratio="f"/>
              <v:textbox inset="0mm,0mm,0mm,0mm" style="mso-fit-shape-to-text:t;">
                <w:txbxContent>
                  <w:p w14:paraId="6CBA2DAE">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25A9B">
    <w:pPr>
      <w:spacing w:line="177" w:lineRule="auto"/>
      <w:ind w:left="4119"/>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8" name="文本框 1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AD1301">
                          <w:pPr>
                            <w:pStyle w:val="4"/>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uALA0AgAAZwQAAA4AAABkcnMvZTJvRG9jLnhtbK1UzY7TMBC+I/EO&#10;lu80adGu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rbgCwNAIAAGcEAAAOAAAAAAAAAAEAIAAAAB8BAABkcnMvZTJvRG9jLnhtbFBL&#10;BQYAAAAABgAGAFkBAADFBQAAAAA=&#10;">
              <v:fill on="f" focussize="0,0"/>
              <v:stroke on="f" weight="0.5pt"/>
              <v:imagedata o:title=""/>
              <o:lock v:ext="edit" aspectratio="f"/>
              <v:textbox inset="0mm,0mm,0mm,0mm" style="mso-fit-shape-to-text:t;">
                <w:txbxContent>
                  <w:p w14:paraId="0AAD1301">
                    <w:pPr>
                      <w:pStyle w:val="4"/>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19AF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5" name="文本框 13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AA6E4A">
                          <w:pPr>
                            <w:pStyle w:val="4"/>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00+9wTUCAABnBAAADgAAAAAAAAABACAAAAAfAQAAZHJzL2Uyb0RvYy54bWxQ&#10;SwUGAAAAAAYABgBZAQAAxgUAAAAA&#10;">
              <v:fill on="f" focussize="0,0"/>
              <v:stroke on="f" weight="0.5pt"/>
              <v:imagedata o:title=""/>
              <o:lock v:ext="edit" aspectratio="f"/>
              <v:textbox inset="0mm,0mm,0mm,0mm" style="mso-fit-shape-to-text:t;">
                <w:txbxContent>
                  <w:p w14:paraId="4FAA6E4A">
                    <w:pPr>
                      <w:pStyle w:val="4"/>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A6D29">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6" name="文本框 13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7D56E3">
                          <w:pPr>
                            <w:pStyle w:val="4"/>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z4teDUCAABnBAAADgAAAAAAAAABACAAAAAfAQAAZHJzL2Uyb0RvYy54bWxQ&#10;SwUGAAAAAAYABgBZAQAAxgUAAAAA&#10;">
              <v:fill on="f" focussize="0,0"/>
              <v:stroke on="f" weight="0.5pt"/>
              <v:imagedata o:title=""/>
              <o:lock v:ext="edit" aspectratio="f"/>
              <v:textbox inset="0mm,0mm,0mm,0mm" style="mso-fit-shape-to-text:t;">
                <w:txbxContent>
                  <w:p w14:paraId="697D56E3">
                    <w:pPr>
                      <w:pStyle w:val="4"/>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27CEE">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7" name="文本框 13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CB24E8">
                          <w:pPr>
                            <w:pStyle w:val="4"/>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TcqY2AgAAZwQAAA4AAABkcnMvZTJvRG9jLnhtbK1UzY7TMBC+I/EO&#10;lu80aVe7VF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7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LQTcqY2AgAAZwQAAA4AAAAAAAAAAQAgAAAAHwEAAGRycy9lMm9Eb2MueG1s&#10;UEsFBgAAAAAGAAYAWQEAAMcFAAAAAA==&#10;">
              <v:fill on="f" focussize="0,0"/>
              <v:stroke on="f" weight="0.5pt"/>
              <v:imagedata o:title=""/>
              <o:lock v:ext="edit" aspectratio="f"/>
              <v:textbox inset="0mm,0mm,0mm,0mm" style="mso-fit-shape-to-text:t;">
                <w:txbxContent>
                  <w:p w14:paraId="3ECB24E8">
                    <w:pPr>
                      <w:pStyle w:val="4"/>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C607E">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8" name="文本框 13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F9C8F3">
                          <w:pPr>
                            <w:pStyle w:val="4"/>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6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TrTCUNAIAAGcEAAAOAAAAAAAAAAEAIAAAAB8BAABkcnMvZTJvRG9jLnhtbFBL&#10;BQYAAAAABgAGAFkBAADFBQAAAAA=&#10;">
              <v:fill on="f" focussize="0,0"/>
              <v:stroke on="f" weight="0.5pt"/>
              <v:imagedata o:title=""/>
              <o:lock v:ext="edit" aspectratio="f"/>
              <v:textbox inset="0mm,0mm,0mm,0mm" style="mso-fit-shape-to-text:t;">
                <w:txbxContent>
                  <w:p w14:paraId="44F9C8F3">
                    <w:pPr>
                      <w:pStyle w:val="4"/>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B40B4">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9" name="文本框 13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F47622">
                          <w:pPr>
                            <w:pStyle w:val="4"/>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CAb0o2AgAAZwQAAA4AAABkcnMvZTJvRG9jLnhtbK1UzY7TMBC+I/EO&#10;lu80aVe7Kl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7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MCAb0o2AgAAZwQAAA4AAAAAAAAAAQAgAAAAHwEAAGRycy9lMm9Eb2MueG1s&#10;UEsFBgAAAAAGAAYAWQEAAMcFAAAAAA==&#10;">
              <v:fill on="f" focussize="0,0"/>
              <v:stroke on="f" weight="0.5pt"/>
              <v:imagedata o:title=""/>
              <o:lock v:ext="edit" aspectratio="f"/>
              <v:textbox inset="0mm,0mm,0mm,0mm" style="mso-fit-shape-to-text:t;">
                <w:txbxContent>
                  <w:p w14:paraId="65F47622">
                    <w:pPr>
                      <w:pStyle w:val="4"/>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11C54">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0" name="文本框 13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C3DADF">
                          <w:pPr>
                            <w:pStyle w:val="4"/>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rYc0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a/62HNAIAAGcEAAAOAAAAAAAAAAEAIAAAAB8BAABkcnMvZTJvRG9jLnhtbFBL&#10;BQYAAAAABgAGAFkBAADFBQAAAAA=&#10;">
              <v:fill on="f" focussize="0,0"/>
              <v:stroke on="f" weight="0.5pt"/>
              <v:imagedata o:title=""/>
              <o:lock v:ext="edit" aspectratio="f"/>
              <v:textbox inset="0mm,0mm,0mm,0mm" style="mso-fit-shape-to-text:t;">
                <w:txbxContent>
                  <w:p w14:paraId="34C3DADF">
                    <w:pPr>
                      <w:pStyle w:val="4"/>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C44FB">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1" name="文本框 13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65B27D">
                          <w:pPr>
                            <w:pStyle w:val="4"/>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S8lk0AgAAZwQAAA4AAABkcnMvZTJvRG9jLnhtbK1UzY7TMBC+I/EO&#10;lu80aVdUVdV0VbYqQqrYlRbE2XWcJpL/ZLtNygPAG3Diwp3n6nPs5/y0aOGwBy7OeH6+mflmnM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J0vJZNAIAAGcEAAAOAAAAAAAAAAEAIAAAAB8BAABkcnMvZTJvRG9jLnhtbFBL&#10;BQYAAAAABgAGAFkBAADFBQAAAAA=&#10;">
              <v:fill on="f" focussize="0,0"/>
              <v:stroke on="f" weight="0.5pt"/>
              <v:imagedata o:title=""/>
              <o:lock v:ext="edit" aspectratio="f"/>
              <v:textbox inset="0mm,0mm,0mm,0mm" style="mso-fit-shape-to-text:t;">
                <w:txbxContent>
                  <w:p w14:paraId="6465B27D">
                    <w:pPr>
                      <w:pStyle w:val="4"/>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66083">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2" name="文本框 13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560493">
                          <w:pPr>
                            <w:pStyle w:val="4"/>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0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2jYuA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OqF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aNi4DUCAABnBAAADgAAAAAAAAABACAAAAAfAQAAZHJzL2Uyb0RvYy54bWxQ&#10;SwUGAAAAAAYABgBZAQAAxgUAAAAA&#10;">
              <v:fill on="f" focussize="0,0"/>
              <v:stroke on="f" weight="0.5pt"/>
              <v:imagedata o:title=""/>
              <o:lock v:ext="edit" aspectratio="f"/>
              <v:textbox inset="0mm,0mm,0mm,0mm" style="mso-fit-shape-to-text:t;">
                <w:txbxContent>
                  <w:p w14:paraId="39560493">
                    <w:pPr>
                      <w:pStyle w:val="4"/>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56BE7">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3" name="文本框 13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F3965B">
                          <w:pPr>
                            <w:pStyle w:val="4"/>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jj0+NAIAAGcEAAAOAAAAAAAAAAEAIAAAAB8BAABkcnMvZTJvRG9jLnhtbFBL&#10;BQYAAAAABgAGAFkBAADFBQAAAAA=&#10;">
              <v:fill on="f" focussize="0,0"/>
              <v:stroke on="f" weight="0.5pt"/>
              <v:imagedata o:title=""/>
              <o:lock v:ext="edit" aspectratio="f"/>
              <v:textbox inset="0mm,0mm,0mm,0mm" style="mso-fit-shape-to-text:t;">
                <w:txbxContent>
                  <w:p w14:paraId="15F3965B">
                    <w:pPr>
                      <w:pStyle w:val="4"/>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21906">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4" name="文本框 13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5274E1">
                          <w:pPr>
                            <w:pStyle w:val="4"/>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HM0g1AgAAZwQAAA4AAABkcnMvZTJvRG9jLnhtbK1UzY7TMBC+I/EO&#10;lu80aRe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6mrynRTOHNT9+/&#10;nX78Ov38SjotSGqsz+D7aOEd2remRUAkL+o9lLH3tnQqftEVgR0UHy8UizYQHoNmk9kshYnDNlyA&#10;k1zDrfPhnTCKRCGnDm/YUcsOGx9618ElZtNmXUsJPcukJk1Opz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EczSDUCAABnBAAADgAAAAAAAAABACAAAAAfAQAAZHJzL2Uyb0RvYy54bWxQ&#10;SwUGAAAAAAYABgBZAQAAxgUAAAAA&#10;">
              <v:fill on="f" focussize="0,0"/>
              <v:stroke on="f" weight="0.5pt"/>
              <v:imagedata o:title=""/>
              <o:lock v:ext="edit" aspectratio="f"/>
              <v:textbox inset="0mm,0mm,0mm,0mm" style="mso-fit-shape-to-text:t;">
                <w:txbxContent>
                  <w:p w14:paraId="0E5274E1">
                    <w:pPr>
                      <w:pStyle w:val="4"/>
                    </w:pPr>
                    <w:r>
                      <w:fldChar w:fldCharType="begin"/>
                    </w:r>
                    <w:r>
                      <w:instrText xml:space="preserve"> PAGE  \* MERGEFORMAT </w:instrText>
                    </w:r>
                    <w:r>
                      <w:fldChar w:fldCharType="separate"/>
                    </w:r>
                    <w:r>
                      <w:t>106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844CF">
    <w:pPr>
      <w:spacing w:line="174" w:lineRule="auto"/>
      <w:ind w:left="4123"/>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9" name="文本框 12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4C80A5">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hDX241AgAAZwQAAA4AAABkcnMvZTJvRG9jLnhtbK1UzY7TMBC+I/EO&#10;lu80adGu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iY3by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ENfbjUCAABnBAAADgAAAAAAAAABACAAAAAfAQAAZHJzL2Uyb0RvYy54bWxQ&#10;SwUGAAAAAAYABgBZAQAAxgUAAAAA&#10;">
              <v:fill on="f" focussize="0,0"/>
              <v:stroke on="f" weight="0.5pt"/>
              <v:imagedata o:title=""/>
              <o:lock v:ext="edit" aspectratio="f"/>
              <v:textbox inset="0mm,0mm,0mm,0mm" style="mso-fit-shape-to-text:t;">
                <w:txbxContent>
                  <w:p w14:paraId="304C80A5">
                    <w:pPr>
                      <w:pStyle w:val="4"/>
                    </w:pPr>
                    <w:r>
                      <w:fldChar w:fldCharType="begin"/>
                    </w:r>
                    <w:r>
                      <w:instrText xml:space="preserve"> PAGE  \* MERGEFORMAT </w:instrText>
                    </w:r>
                    <w:r>
                      <w:fldChar w:fldCharType="separate"/>
                    </w:r>
                    <w:r>
                      <w:t>1</w:t>
                    </w:r>
                    <w:r>
                      <w:fldChar w:fldCharType="end"/>
                    </w:r>
                  </w:p>
                </w:txbxContent>
              </v:textbox>
            </v:shape>
          </w:pict>
        </mc:Fallback>
      </mc:AlternateContent>
    </w:r>
    <w:r>
      <w:rPr>
        <w:rFonts w:ascii="Times New Roman" w:hAnsi="Times New Roman" w:eastAsia="Times New Roman" w:cs="Times New Roman"/>
        <w:sz w:val="21"/>
        <w:szCs w:val="21"/>
      </w:rPr>
      <w:t>7</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EA3F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5" name="文本框 13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058D68">
                          <w:pPr>
                            <w:pStyle w:val="4"/>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3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2psljUCAABnBAAADgAAAAAAAAABACAAAAAfAQAAZHJzL2Uyb0RvYy54bWxQ&#10;SwUGAAAAAAYABgBZAQAAxgUAAAAA&#10;">
              <v:fill on="f" focussize="0,0"/>
              <v:stroke on="f" weight="0.5pt"/>
              <v:imagedata o:title=""/>
              <o:lock v:ext="edit" aspectratio="f"/>
              <v:textbox inset="0mm,0mm,0mm,0mm" style="mso-fit-shape-to-text:t;">
                <w:txbxContent>
                  <w:p w14:paraId="0E058D68">
                    <w:pPr>
                      <w:pStyle w:val="4"/>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68EB5">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6" name="文本框 13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9D8EA2">
                          <w:pPr>
                            <w:pStyle w:val="4"/>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Mb/C8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OqV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8xv8LzUCAABnBAAADgAAAAAAAAABACAAAAAfAQAAZHJzL2Uyb0RvYy54bWxQ&#10;SwUGAAAAAAYABgBZAQAAxgUAAAAA&#10;">
              <v:fill on="f" focussize="0,0"/>
              <v:stroke on="f" weight="0.5pt"/>
              <v:imagedata o:title=""/>
              <o:lock v:ext="edit" aspectratio="f"/>
              <v:textbox inset="0mm,0mm,0mm,0mm" style="mso-fit-shape-to-text:t;">
                <w:txbxContent>
                  <w:p w14:paraId="6A9D8EA2">
                    <w:pPr>
                      <w:pStyle w:val="4"/>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89884">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7" name="文本框 13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50B861">
                          <w:pPr>
                            <w:pStyle w:val="4"/>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5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A2o/E1AgAAZwQAAA4AAABkcnMvZTJvRG9jLnhtbK1UzY7TMBC+I/EO&#10;lu80aVeU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6mbyjRTOHNT9+/&#10;nX78Ov38SjotSGqsz+D7aOEd2remRUAkL+o9lLH3tnQqftEVgR0UHy8UizYQHoNmk9kshYnDNlyA&#10;k1zDrfPhnTCKRCGnDm/YUcsOGx9618ElZtNmXUsJPcukJk1Opze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4Daj8TUCAABnBAAADgAAAAAAAAABACAAAAAfAQAAZHJzL2Uyb0RvYy54bWxQ&#10;SwUGAAAAAAYABgBZAQAAxgUAAAAA&#10;">
              <v:fill on="f" focussize="0,0"/>
              <v:stroke on="f" weight="0.5pt"/>
              <v:imagedata o:title=""/>
              <o:lock v:ext="edit" aspectratio="f"/>
              <v:textbox inset="0mm,0mm,0mm,0mm" style="mso-fit-shape-to-text:t;">
                <w:txbxContent>
                  <w:p w14:paraId="3850B861">
                    <w:pPr>
                      <w:pStyle w:val="4"/>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6AED5">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8" name="文本框 13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E1D91D">
                          <w:pPr>
                            <w:pStyle w:val="4"/>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HiOHDNAIAAGcEAAAOAAAAAAAAAAEAIAAAAB8BAABkcnMvZTJvRG9jLnhtbFBL&#10;BQYAAAAABgAGAFkBAADFBQAAAAA=&#10;">
              <v:fill on="f" focussize="0,0"/>
              <v:stroke on="f" weight="0.5pt"/>
              <v:imagedata o:title=""/>
              <o:lock v:ext="edit" aspectratio="f"/>
              <v:textbox inset="0mm,0mm,0mm,0mm" style="mso-fit-shape-to-text:t;">
                <w:txbxContent>
                  <w:p w14:paraId="0AE1D91D">
                    <w:pPr>
                      <w:pStyle w:val="4"/>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128A4">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9" name="文本框 13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49962B">
                          <w:pPr>
                            <w:pStyle w:val="4"/>
                          </w:pPr>
                          <w:r>
                            <w:fldChar w:fldCharType="begin"/>
                          </w:r>
                          <w:r>
                            <w:instrText xml:space="preserve"> PAGE  \* MERGEFORMAT </w:instrText>
                          </w:r>
                          <w:r>
                            <w:fldChar w:fldCharType="separate"/>
                          </w:r>
                          <w:r>
                            <w:t>111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7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lvh01AgAAZwQAAA4AAABkcnMvZTJvRG9jLnhtbK1UzY7TMBC+I/EO&#10;lu80aVdUJW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6mbyjRTOHNT9+/&#10;nX78Ov38SjotSGqsz+D7aOEd2remRUAkL+o9lLH3tnQqftEVgR0UHy8UizYQHoNmk9kshYnDNlyA&#10;k1zDrfPhnTCKRCGnDm/YUcsOGx9618ElZtNmXUsJPcukJk1Opze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KW+HTUCAABnBAAADgAAAAAAAAABACAAAAAfAQAAZHJzL2Uyb0RvYy54bWxQ&#10;SwUGAAAAAAYABgBZAQAAxgUAAAAA&#10;">
              <v:fill on="f" focussize="0,0"/>
              <v:stroke on="f" weight="0.5pt"/>
              <v:imagedata o:title=""/>
              <o:lock v:ext="edit" aspectratio="f"/>
              <v:textbox inset="0mm,0mm,0mm,0mm" style="mso-fit-shape-to-text:t;">
                <w:txbxContent>
                  <w:p w14:paraId="4F49962B">
                    <w:pPr>
                      <w:pStyle w:val="4"/>
                    </w:pPr>
                    <w:r>
                      <w:fldChar w:fldCharType="begin"/>
                    </w:r>
                    <w:r>
                      <w:instrText xml:space="preserve"> PAGE  \* MERGEFORMAT </w:instrText>
                    </w:r>
                    <w:r>
                      <w:fldChar w:fldCharType="separate"/>
                    </w:r>
                    <w:r>
                      <w:t>111</w:t>
                    </w:r>
                    <w:r>
                      <w:fldChar w:fldCharType="end"/>
                    </w:r>
                  </w:p>
                </w:txbxContent>
              </v:textbox>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7AA0A">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0" name="文本框 13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520BBB">
                          <w:pPr>
                            <w:pStyle w:val="4"/>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8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nhzQM0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egBTNFN789P3b&#10;6cev08+vpNOCpMb6DL4bC+/QvjUtAiJ5Ue+hjL23pVPxi64I7EA7XigWbSA8Bk0n02kKE4dtuAAn&#10;uYZb58M7YRSJQk4d3rCjlh3WPvSug0vMps2qlhJ6lklNmpze3rxO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p4c0DNAIAAGcEAAAOAAAAAAAAAAEAIAAAAB8BAABkcnMvZTJvRG9jLnhtbFBL&#10;BQYAAAAABgAGAFkBAADFBQAAAAA=&#10;">
              <v:fill on="f" focussize="0,0"/>
              <v:stroke on="f" weight="0.5pt"/>
              <v:imagedata o:title=""/>
              <o:lock v:ext="edit" aspectratio="f"/>
              <v:textbox inset="0mm,0mm,0mm,0mm" style="mso-fit-shape-to-text:t;">
                <w:txbxContent>
                  <w:p w14:paraId="41520BBB">
                    <w:pPr>
                      <w:pStyle w:val="4"/>
                    </w:pPr>
                    <w:r>
                      <w:fldChar w:fldCharType="begin"/>
                    </w:r>
                    <w:r>
                      <w:instrText xml:space="preserve"> PAGE  \* MERGEFORMAT </w:instrText>
                    </w:r>
                    <w:r>
                      <w:fldChar w:fldCharType="separate"/>
                    </w:r>
                    <w:r>
                      <w:t>112</w:t>
                    </w:r>
                    <w:r>
                      <w:fldChar w:fldCharType="end"/>
                    </w:r>
                  </w:p>
                </w:txbxContent>
              </v:textbox>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B4672">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1" name="文本框 13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CF4479">
                          <w:pPr>
                            <w:pStyle w:val="4"/>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9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Mkt00AgAAZwQAAA4AAABkcnMvZTJvRG9jLnhtbK1UzY7TMBC+I/EO&#10;lu80aVcs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27ejCnRTGHmp+/f&#10;Tj9+nX5+JZ0WJDXWZ/DdWHiH9q1pERDJi3oPZey9LZ2KX3RFYAfFxwvFog2Ex6DpZDpNYeKwDRfg&#10;JNdw63x4J4wiUcipwww7atlh7UPvOrjEbNqsaimhZ5nUpMnp7c3r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6zJLdNAIAAGcEAAAOAAAAAAAAAAEAIAAAAB8BAABkcnMvZTJvRG9jLnhtbFBL&#10;BQYAAAAABgAGAFkBAADFBQAAAAA=&#10;">
              <v:fill on="f" focussize="0,0"/>
              <v:stroke on="f" weight="0.5pt"/>
              <v:imagedata o:title=""/>
              <o:lock v:ext="edit" aspectratio="f"/>
              <v:textbox inset="0mm,0mm,0mm,0mm" style="mso-fit-shape-to-text:t;">
                <w:txbxContent>
                  <w:p w14:paraId="1FCF4479">
                    <w:pPr>
                      <w:pStyle w:val="4"/>
                    </w:pPr>
                    <w:r>
                      <w:fldChar w:fldCharType="begin"/>
                    </w:r>
                    <w:r>
                      <w:instrText xml:space="preserve"> PAGE  \* MERGEFORMAT </w:instrText>
                    </w:r>
                    <w:r>
                      <w:fldChar w:fldCharType="separate"/>
                    </w:r>
                    <w:r>
                      <w:t>113</w:t>
                    </w:r>
                    <w:r>
                      <w:fldChar w:fldCharType="end"/>
                    </w:r>
                  </w:p>
                </w:txbxContent>
              </v:textbox>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1659">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2" name="文本框 13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49F40F">
                          <w:pPr>
                            <w:pStyle w:val="4"/>
                          </w:pPr>
                          <w:r>
                            <w:fldChar w:fldCharType="begin"/>
                          </w:r>
                          <w:r>
                            <w:instrText xml:space="preserve"> PAGE  \* MERGEFORMAT </w:instrText>
                          </w:r>
                          <w:r>
                            <w:fldChar w:fldCharType="separate"/>
                          </w:r>
                          <w:r>
                            <w:t>114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69AmQ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eTC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r0CZDUCAABnBAAADgAAAAAAAAABACAAAAAfAQAAZHJzL2Uyb0RvYy54bWxQ&#10;SwUGAAAAAAYABgBZAQAAxgUAAAAA&#10;">
              <v:fill on="f" focussize="0,0"/>
              <v:stroke on="f" weight="0.5pt"/>
              <v:imagedata o:title=""/>
              <o:lock v:ext="edit" aspectratio="f"/>
              <v:textbox inset="0mm,0mm,0mm,0mm" style="mso-fit-shape-to-text:t;">
                <w:txbxContent>
                  <w:p w14:paraId="4449F40F">
                    <w:pPr>
                      <w:pStyle w:val="4"/>
                    </w:pPr>
                    <w:r>
                      <w:fldChar w:fldCharType="begin"/>
                    </w:r>
                    <w:r>
                      <w:instrText xml:space="preserve"> PAGE  \* MERGEFORMAT </w:instrText>
                    </w:r>
                    <w:r>
                      <w:fldChar w:fldCharType="separate"/>
                    </w:r>
                    <w:r>
                      <w:t>114</w:t>
                    </w:r>
                    <w:r>
                      <w:fldChar w:fldCharType="end"/>
                    </w:r>
                  </w:p>
                </w:txbxContent>
              </v:textbox>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21538">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3" name="文本框 13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72575C">
                          <w:pPr>
                            <w:pStyle w:val="4"/>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1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2QXbo1AgAAZwQAAA4AAABkcnMvZTJvRG9jLnhtbK1UzY7TMBC+I/EO&#10;lu80aSuW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zfTCnRTOHNT9+/&#10;nX78Ov38SjotSGqsz+D7aOEd2remRUAkL+o9lLH3tnQqftEVgR0UHy8UizYQHoNmk9kshYnDNlyA&#10;k1zDrfPhnTCKRCGnDm/YUcsOGx9618ElZtNmXUsJPcukJk1Ob6a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3ZBdujUCAABnBAAADgAAAAAAAAABACAAAAAfAQAAZHJzL2Uyb0RvYy54bWxQ&#10;SwUGAAAAAAYABgBZAQAAxgUAAAAA&#10;">
              <v:fill on="f" focussize="0,0"/>
              <v:stroke on="f" weight="0.5pt"/>
              <v:imagedata o:title=""/>
              <o:lock v:ext="edit" aspectratio="f"/>
              <v:textbox inset="0mm,0mm,0mm,0mm" style="mso-fit-shape-to-text:t;">
                <w:txbxContent>
                  <w:p w14:paraId="1272575C">
                    <w:pPr>
                      <w:pStyle w:val="4"/>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595C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4" name="文本框 13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6AA89F">
                          <w:pPr>
                            <w:pStyle w:val="4"/>
                          </w:pPr>
                          <w:r>
                            <w:fldChar w:fldCharType="begin"/>
                          </w:r>
                          <w:r>
                            <w:instrText xml:space="preserve"> PAGE  \* MERGEFORMAT </w:instrText>
                          </w:r>
                          <w:r>
                            <w:fldChar w:fldCharType="separate"/>
                          </w:r>
                          <w:r>
                            <w:t>116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2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dZU8w2AgAAZwQAAA4AAABkcnMvZTJvRG9jLnhtbK1UzY7TMBC+I/EO&#10;lu80aRe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5o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GdZU8w2AgAAZwQAAA4AAAAAAAAAAQAgAAAAHwEAAGRycy9lMm9Eb2MueG1s&#10;UEsFBgAAAAAGAAYAWQEAAMcFAAAAAA==&#10;">
              <v:fill on="f" focussize="0,0"/>
              <v:stroke on="f" weight="0.5pt"/>
              <v:imagedata o:title=""/>
              <o:lock v:ext="edit" aspectratio="f"/>
              <v:textbox inset="0mm,0mm,0mm,0mm" style="mso-fit-shape-to-text:t;">
                <w:txbxContent>
                  <w:p w14:paraId="156AA89F">
                    <w:pPr>
                      <w:pStyle w:val="4"/>
                    </w:pPr>
                    <w:r>
                      <w:fldChar w:fldCharType="begin"/>
                    </w:r>
                    <w:r>
                      <w:instrText xml:space="preserve"> PAGE  \* MERGEFORMAT </w:instrText>
                    </w:r>
                    <w:r>
                      <w:fldChar w:fldCharType="separate"/>
                    </w:r>
                    <w:r>
                      <w:t>116</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E4C2E">
    <w:pPr>
      <w:spacing w:line="176" w:lineRule="auto"/>
      <w:ind w:left="4128"/>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0" name="文本框 12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3E8A14">
                          <w:pPr>
                            <w:pStyle w:val="4"/>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I8naMz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I8naMzAgAAZwQAAA4AAAAAAAAAAQAgAAAAHwEAAGRycy9lMm9Eb2MueG1sUEsF&#10;BgAAAAAGAAYAWQEAAMQFAAAAAA==&#10;">
              <v:fill on="f" focussize="0,0"/>
              <v:stroke on="f" weight="0.5pt"/>
              <v:imagedata o:title=""/>
              <o:lock v:ext="edit" aspectratio="f"/>
              <v:textbox inset="0mm,0mm,0mm,0mm" style="mso-fit-shape-to-text:t;">
                <w:txbxContent>
                  <w:p w14:paraId="293E8A14">
                    <w:pPr>
                      <w:pStyle w:val="4"/>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5BDD0">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5" name="文本框 13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3C3F4E">
                          <w:pPr>
                            <w:pStyle w:val="4"/>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3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R0DBI2AgAAZwQAAA4AAABkcnMvZTJvRG9jLnhtbK1UzY7TMBC+I/EO&#10;lu80aVe7VF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t9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HR0DBI2AgAAZwQAAA4AAAAAAAAAAQAgAAAAHwEAAGRycy9lMm9Eb2MueG1s&#10;UEsFBgAAAAAGAAYAWQEAAMcFAAAAAA==&#10;">
              <v:fill on="f" focussize="0,0"/>
              <v:stroke on="f" weight="0.5pt"/>
              <v:imagedata o:title=""/>
              <o:lock v:ext="edit" aspectratio="f"/>
              <v:textbox inset="0mm,0mm,0mm,0mm" style="mso-fit-shape-to-text:t;">
                <w:txbxContent>
                  <w:p w14:paraId="1A3C3F4E">
                    <w:pPr>
                      <w:pStyle w:val="4"/>
                    </w:pPr>
                    <w:r>
                      <w:fldChar w:fldCharType="begin"/>
                    </w:r>
                    <w:r>
                      <w:instrText xml:space="preserve"> PAGE  \* MERGEFORMAT </w:instrText>
                    </w:r>
                    <w:r>
                      <w:fldChar w:fldCharType="separate"/>
                    </w:r>
                    <w:r>
                      <w:t>117</w:t>
                    </w:r>
                    <w:r>
                      <w:fldChar w:fldCharType="end"/>
                    </w:r>
                  </w:p>
                </w:txbxContent>
              </v:textbox>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6354B">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6" name="文本框 13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E0EC5C">
                          <w:pPr>
                            <w:pStyle w:val="4"/>
                          </w:pPr>
                          <w:r>
                            <w:fldChar w:fldCharType="begin"/>
                          </w:r>
                          <w:r>
                            <w:instrText xml:space="preserve"> PAGE  \* MERGEFORMAT </w:instrText>
                          </w:r>
                          <w:r>
                            <w:fldChar w:fldCharType="separate"/>
                          </w:r>
                          <w:r>
                            <w:t>118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4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FnKs1AgAAZwQAAA4AAABkcnMvZTJvRG9jLnhtbK1UzY7TMBC+I/EO&#10;lu80aVeU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7eTCnRTOHNT9+/&#10;nX78Ov38SjotSGqsz+D7aOEd2remRUAkL+o9lLH3tnQqftEVgR0UHy8UizYQHoNmk9kshYnDNlyA&#10;k1zDrfPhnTCKRCGnDm/YUcsOGx9618ElZtNmXUsJPcukJk1Opze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AWcqzUCAABnBAAADgAAAAAAAAABACAAAAAfAQAAZHJzL2Uyb0RvYy54bWxQ&#10;SwUGAAAAAAYABgBZAQAAxgUAAAAA&#10;">
              <v:fill on="f" focussize="0,0"/>
              <v:stroke on="f" weight="0.5pt"/>
              <v:imagedata o:title=""/>
              <o:lock v:ext="edit" aspectratio="f"/>
              <v:textbox inset="0mm,0mm,0mm,0mm" style="mso-fit-shape-to-text:t;">
                <w:txbxContent>
                  <w:p w14:paraId="62E0EC5C">
                    <w:pPr>
                      <w:pStyle w:val="4"/>
                    </w:pPr>
                    <w:r>
                      <w:fldChar w:fldCharType="begin"/>
                    </w:r>
                    <w:r>
                      <w:instrText xml:space="preserve"> PAGE  \* MERGEFORMAT </w:instrText>
                    </w:r>
                    <w:r>
                      <w:fldChar w:fldCharType="separate"/>
                    </w:r>
                    <w:r>
                      <w:t>118</w:t>
                    </w:r>
                    <w:r>
                      <w:fldChar w:fldCharType="end"/>
                    </w:r>
                  </w:p>
                </w:txbxContent>
              </v:textbox>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01E37">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6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7" name="文本框 13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AAEFCA">
                          <w:pPr>
                            <w:pStyle w:val="4"/>
                          </w:pPr>
                          <w:r>
                            <w:fldChar w:fldCharType="begin"/>
                          </w:r>
                          <w:r>
                            <w:instrText xml:space="preserve"> PAGE  \* MERGEFORMAT </w:instrText>
                          </w:r>
                          <w:r>
                            <w:fldChar w:fldCharType="separate"/>
                          </w:r>
                          <w:r>
                            <w:t>119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6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BMow3U2AgAAZwQAAA4AAAAAAAAAAQAgAAAAHwEAAGRycy9lMm9Eb2MueG1s&#10;UEsFBgAAAAAGAAYAWQEAAMcFAAAAAA==&#10;">
              <v:fill on="f" focussize="0,0"/>
              <v:stroke on="f" weight="0.5pt"/>
              <v:imagedata o:title=""/>
              <o:lock v:ext="edit" aspectratio="f"/>
              <v:textbox inset="0mm,0mm,0mm,0mm" style="mso-fit-shape-to-text:t;">
                <w:txbxContent>
                  <w:p w14:paraId="63AAEFCA">
                    <w:pPr>
                      <w:pStyle w:val="4"/>
                    </w:pPr>
                    <w:r>
                      <w:fldChar w:fldCharType="begin"/>
                    </w:r>
                    <w:r>
                      <w:instrText xml:space="preserve"> PAGE  \* MERGEFORMAT </w:instrText>
                    </w:r>
                    <w:r>
                      <w:fldChar w:fldCharType="separate"/>
                    </w:r>
                    <w:r>
                      <w:t>119</w:t>
                    </w:r>
                    <w:r>
                      <w:fldChar w:fldCharType="end"/>
                    </w:r>
                  </w:p>
                </w:txbxContent>
              </v:textbox>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60526">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8" name="文本框 13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70088E">
                          <w:pPr>
                            <w:pStyle w:val="4"/>
                          </w:pPr>
                          <w:r>
                            <w:fldChar w:fldCharType="begin"/>
                          </w:r>
                          <w:r>
                            <w:instrText xml:space="preserve"> PAGE  \* MERGEFORMAT </w:instrText>
                          </w:r>
                          <w:r>
                            <w:fldChar w:fldCharType="separate"/>
                          </w:r>
                          <w:r>
                            <w:t>120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7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WgUc0AgAAZwQAAA4AAABkcnMvZTJvRG9jLnhtbK1UzY7TMBC+I/EO&#10;lu80aVcs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3DzBp3XTKHnp+/f&#10;Tj9+nX5+JZ0WJDXWZ/DdWHiH9q1pERDJi3oPZay9LZ2KX1RFYAfFxwvFog2Ex6DpZDpNYeKwDRfg&#10;JNdw63x4J4wiUcipQw87atlh7UPvOrjEbNqsaimhZ5nUpMnp7c3r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0loFHNAIAAGcEAAAOAAAAAAAAAAEAIAAAAB8BAABkcnMvZTJvRG9jLnhtbFBL&#10;BQYAAAAABgAGAFkBAADFBQAAAAA=&#10;">
              <v:fill on="f" focussize="0,0"/>
              <v:stroke on="f" weight="0.5pt"/>
              <v:imagedata o:title=""/>
              <o:lock v:ext="edit" aspectratio="f"/>
              <v:textbox inset="0mm,0mm,0mm,0mm" style="mso-fit-shape-to-text:t;">
                <w:txbxContent>
                  <w:p w14:paraId="5170088E">
                    <w:pPr>
                      <w:pStyle w:val="4"/>
                    </w:pPr>
                    <w:r>
                      <w:fldChar w:fldCharType="begin"/>
                    </w:r>
                    <w:r>
                      <w:instrText xml:space="preserve"> PAGE  \* MERGEFORMAT </w:instrText>
                    </w:r>
                    <w:r>
                      <w:fldChar w:fldCharType="separate"/>
                    </w:r>
                    <w:r>
                      <w:t>120</w:t>
                    </w:r>
                    <w:r>
                      <w:fldChar w:fldCharType="end"/>
                    </w:r>
                  </w:p>
                </w:txbxContent>
              </v:textbox>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6EEB6">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9" name="文本框 13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002CA6">
                          <w:pPr>
                            <w:pStyle w:val="4"/>
                          </w:pPr>
                          <w:r>
                            <w:fldChar w:fldCharType="begin"/>
                          </w:r>
                          <w:r>
                            <w:instrText xml:space="preserve"> PAGE  \* MERGEFORMAT </w:instrText>
                          </w:r>
                          <w:r>
                            <w:fldChar w:fldCharType="separate"/>
                          </w:r>
                          <w:r>
                            <w:t>121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8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73pk2AgAAZwQAAA4AAABkcnMvZTJvRG9jLnhtbK1UzY7TMBC+I/EO&#10;lu80aVcs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85YSzRTe/Pjj&#10;+/Hnr+PjN9JpQVJjfQbftYV3aN+ZFgGRvKj3UMbe29Kp+EVXBHZQfDhTLNpAeAyaTqbTFCYO23AB&#10;TnIJt86H98IoEoWcOrxhRy3b3/nQuw4uMZs2q1pK6FkmNWlyen31O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Ge73pk2AgAAZwQAAA4AAAAAAAAAAQAgAAAAHwEAAGRycy9lMm9Eb2MueG1s&#10;UEsFBgAAAAAGAAYAWQEAAMcFAAAAAA==&#10;">
              <v:fill on="f" focussize="0,0"/>
              <v:stroke on="f" weight="0.5pt"/>
              <v:imagedata o:title=""/>
              <o:lock v:ext="edit" aspectratio="f"/>
              <v:textbox inset="0mm,0mm,0mm,0mm" style="mso-fit-shape-to-text:t;">
                <w:txbxContent>
                  <w:p w14:paraId="27002CA6">
                    <w:pPr>
                      <w:pStyle w:val="4"/>
                    </w:pPr>
                    <w:r>
                      <w:fldChar w:fldCharType="begin"/>
                    </w:r>
                    <w:r>
                      <w:instrText xml:space="preserve"> PAGE  \* MERGEFORMAT </w:instrText>
                    </w:r>
                    <w:r>
                      <w:fldChar w:fldCharType="separate"/>
                    </w:r>
                    <w:r>
                      <w:t>121</w:t>
                    </w:r>
                    <w:r>
                      <w:fldChar w:fldCharType="end"/>
                    </w:r>
                  </w:p>
                </w:txbxContent>
              </v:textbox>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B6737">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9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0" name="文本框 13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EEAF34">
                          <w:pPr>
                            <w:pStyle w:val="4"/>
                          </w:pPr>
                          <w:r>
                            <w:fldChar w:fldCharType="begin"/>
                          </w:r>
                          <w:r>
                            <w:instrText xml:space="preserve"> PAGE  \* MERGEFORMAT </w:instrText>
                          </w:r>
                          <w:r>
                            <w:fldChar w:fldCharType="separate"/>
                          </w:r>
                          <w:r>
                            <w:t>122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9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KdA0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ynQNAIAAGcEAAAOAAAAAAAAAAEAIAAAAB8BAABkcnMvZTJvRG9jLnhtbFBL&#10;BQYAAAAABgAGAFkBAADFBQAAAAA=&#10;">
              <v:fill on="f" focussize="0,0"/>
              <v:stroke on="f" weight="0.5pt"/>
              <v:imagedata o:title=""/>
              <o:lock v:ext="edit" aspectratio="f"/>
              <v:textbox inset="0mm,0mm,0mm,0mm" style="mso-fit-shape-to-text:t;">
                <w:txbxContent>
                  <w:p w14:paraId="2BEEAF34">
                    <w:pPr>
                      <w:pStyle w:val="4"/>
                    </w:pPr>
                    <w:r>
                      <w:fldChar w:fldCharType="begin"/>
                    </w:r>
                    <w:r>
                      <w:instrText xml:space="preserve"> PAGE  \* MERGEFORMAT </w:instrText>
                    </w:r>
                    <w:r>
                      <w:fldChar w:fldCharType="separate"/>
                    </w:r>
                    <w:r>
                      <w:t>122</w:t>
                    </w:r>
                    <w:r>
                      <w:fldChar w:fldCharType="end"/>
                    </w:r>
                  </w:p>
                </w:txbxContent>
              </v:textbox>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EB6B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1" name="文本框 13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A964C3">
                          <w:pPr>
                            <w:pStyle w:val="4"/>
                          </w:pPr>
                          <w:r>
                            <w:fldChar w:fldCharType="begin"/>
                          </w:r>
                          <w:r>
                            <w:instrText xml:space="preserve"> PAGE  \* MERGEFORMAT </w:instrText>
                          </w:r>
                          <w:r>
                            <w:fldChar w:fldCharType="separate"/>
                          </w:r>
                          <w:r>
                            <w:t>123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0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6dg40AgAAZwQAAA4AAABkcnMvZTJvRG9jLnhtbK1UzY7TMBC+I/EO&#10;lu80aVes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enYONAIAAGcEAAAOAAAAAAAAAAEAIAAAAB8BAABkcnMvZTJvRG9jLnhtbFBL&#10;BQYAAAAABgAGAFkBAADFBQAAAAA=&#10;">
              <v:fill on="f" focussize="0,0"/>
              <v:stroke on="f" weight="0.5pt"/>
              <v:imagedata o:title=""/>
              <o:lock v:ext="edit" aspectratio="f"/>
              <v:textbox inset="0mm,0mm,0mm,0mm" style="mso-fit-shape-to-text:t;">
                <w:txbxContent>
                  <w:p w14:paraId="45A964C3">
                    <w:pPr>
                      <w:pStyle w:val="4"/>
                    </w:pPr>
                    <w:r>
                      <w:fldChar w:fldCharType="begin"/>
                    </w:r>
                    <w:r>
                      <w:instrText xml:space="preserve"> PAGE  \* MERGEFORMAT </w:instrText>
                    </w:r>
                    <w:r>
                      <w:fldChar w:fldCharType="separate"/>
                    </w:r>
                    <w:r>
                      <w:t>123</w:t>
                    </w:r>
                    <w:r>
                      <w:fldChar w:fldCharType="end"/>
                    </w:r>
                  </w:p>
                </w:txbxContent>
              </v:textbox>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10F40">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1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2" name="文本框 13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05D684">
                          <w:pPr>
                            <w:pStyle w:val="4"/>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1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sL5rc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OqFEM4U3P//4&#10;fv75+/zrG2m1IKm2fgbfrYV3aN6ZBgGRvKj3UMbem8Kp+EVXBHZQfLpQLJpAeAyaTqbTFCYO23AB&#10;TnINt86H98IoEoWMOrxhSy07bnzoXAeXmE2bdSUl9GwmNakzenvzN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wvmtzUCAABnBAAADgAAAAAAAAABACAAAAAfAQAAZHJzL2Uyb0RvYy54bWxQ&#10;SwUGAAAAAAYABgBZAQAAxgUAAAAA&#10;">
              <v:fill on="f" focussize="0,0"/>
              <v:stroke on="f" weight="0.5pt"/>
              <v:imagedata o:title=""/>
              <o:lock v:ext="edit" aspectratio="f"/>
              <v:textbox inset="0mm,0mm,0mm,0mm" style="mso-fit-shape-to-text:t;">
                <w:txbxContent>
                  <w:p w14:paraId="2705D684">
                    <w:pPr>
                      <w:pStyle w:val="4"/>
                    </w:pPr>
                    <w:r>
                      <w:fldChar w:fldCharType="begin"/>
                    </w:r>
                    <w:r>
                      <w:instrText xml:space="preserve"> PAGE  \* MERGEFORMAT </w:instrText>
                    </w:r>
                    <w:r>
                      <w:fldChar w:fldCharType="separate"/>
                    </w:r>
                    <w:r>
                      <w:t>124</w:t>
                    </w:r>
                    <w:r>
                      <w:fldChar w:fldCharType="end"/>
                    </w:r>
                  </w:p>
                </w:txbxContent>
              </v:textbox>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9D4B2">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2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3" name="文本框 13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266D8B">
                          <w:pPr>
                            <w:pStyle w:val="4"/>
                          </w:pPr>
                          <w:r>
                            <w:fldChar w:fldCharType="begin"/>
                          </w:r>
                          <w:r>
                            <w:instrText xml:space="preserve"> PAGE  \* MERGEFORMAT </w:instrText>
                          </w:r>
                          <w:r>
                            <w:fldChar w:fldCharType="separate"/>
                          </w:r>
                          <w:r>
                            <w:t>125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2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muWk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NqV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Ca5aTUCAABnBAAADgAAAAAAAAABACAAAAAfAQAAZHJzL2Uyb0RvYy54bWxQ&#10;SwUGAAAAAAYABgBZAQAAxgUAAAAA&#10;">
              <v:fill on="f" focussize="0,0"/>
              <v:stroke on="f" weight="0.5pt"/>
              <v:imagedata o:title=""/>
              <o:lock v:ext="edit" aspectratio="f"/>
              <v:textbox inset="0mm,0mm,0mm,0mm" style="mso-fit-shape-to-text:t;">
                <w:txbxContent>
                  <w:p w14:paraId="7F266D8B">
                    <w:pPr>
                      <w:pStyle w:val="4"/>
                    </w:pPr>
                    <w:r>
                      <w:fldChar w:fldCharType="begin"/>
                    </w:r>
                    <w:r>
                      <w:instrText xml:space="preserve"> PAGE  \* MERGEFORMAT </w:instrText>
                    </w:r>
                    <w:r>
                      <w:fldChar w:fldCharType="separate"/>
                    </w:r>
                    <w:r>
                      <w:t>125</w:t>
                    </w:r>
                    <w:r>
                      <w:fldChar w:fldCharType="end"/>
                    </w:r>
                  </w:p>
                </w:txbxContent>
              </v:textbox>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46703">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3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4" name="文本框 13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9A5ED5">
                          <w:pPr>
                            <w:pStyle w:val="4"/>
                          </w:pPr>
                          <w:r>
                            <w:fldChar w:fldCharType="begin"/>
                          </w:r>
                          <w:r>
                            <w:instrText xml:space="preserve"> PAGE  \* MERGEFORMAT </w:instrText>
                          </w:r>
                          <w:r>
                            <w:fldChar w:fldCharType="separate"/>
                          </w:r>
                          <w:r>
                            <w:t>126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3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Lvtx8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6mryn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u+3HzUCAABnBAAADgAAAAAAAAABACAAAAAfAQAAZHJzL2Uyb0RvYy54bWxQ&#10;SwUGAAAAAAYABgBZAQAAxgUAAAAA&#10;">
              <v:fill on="f" focussize="0,0"/>
              <v:stroke on="f" weight="0.5pt"/>
              <v:imagedata o:title=""/>
              <o:lock v:ext="edit" aspectratio="f"/>
              <v:textbox inset="0mm,0mm,0mm,0mm" style="mso-fit-shape-to-text:t;">
                <w:txbxContent>
                  <w:p w14:paraId="429A5ED5">
                    <w:pPr>
                      <w:pStyle w:val="4"/>
                    </w:pPr>
                    <w:r>
                      <w:fldChar w:fldCharType="begin"/>
                    </w:r>
                    <w:r>
                      <w:instrText xml:space="preserve"> PAGE  \* MERGEFORMAT </w:instrText>
                    </w:r>
                    <w:r>
                      <w:fldChar w:fldCharType="separate"/>
                    </w:r>
                    <w:r>
                      <w:t>126</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0A402">
    <w:pPr>
      <w:spacing w:line="176" w:lineRule="auto"/>
      <w:ind w:left="41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1" name="文本框 12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AEA97F">
                          <w:pPr>
                            <w:pStyle w:val="4"/>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ERwn0zAgAAZwQAAA4AAABkcnMvZTJvRG9jLnhtbK1Uy67TMBDdI/EP&#10;lvc0aRFVVTW9KrcqQqq4VyqItes4TSS/ZLtNygfAH7Biw57v6ndwnEeLLizugo0znseZmTPj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ERwn0zAgAAZwQAAA4AAAAAAAAAAQAgAAAAHwEAAGRycy9lMm9Eb2MueG1sUEsF&#10;BgAAAAAGAAYAWQEAAMQFAAAAAA==&#10;">
              <v:fill on="f" focussize="0,0"/>
              <v:stroke on="f" weight="0.5pt"/>
              <v:imagedata o:title=""/>
              <o:lock v:ext="edit" aspectratio="f"/>
              <v:textbox inset="0mm,0mm,0mm,0mm" style="mso-fit-shape-to-text:t;">
                <w:txbxContent>
                  <w:p w14:paraId="33AEA97F">
                    <w:pPr>
                      <w:pStyle w:val="4"/>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200EC">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5" name="文本框 13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432E9F">
                          <w:pPr>
                            <w:pStyle w:val="4"/>
                          </w:pPr>
                          <w:r>
                            <w:fldChar w:fldCharType="begin"/>
                          </w:r>
                          <w:r>
                            <w:instrText xml:space="preserve"> PAGE  \* MERGEFORMAT </w:instrText>
                          </w:r>
                          <w:r>
                            <w:fldChar w:fldCharType="separate"/>
                          </w:r>
                          <w:r>
                            <w:t>127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4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HC6ME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Fmeku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cLowTUCAABnBAAADgAAAAAAAAABACAAAAAfAQAAZHJzL2Uyb0RvYy54bWxQ&#10;SwUGAAAAAAYABgBZAQAAxgUAAAAA&#10;">
              <v:fill on="f" focussize="0,0"/>
              <v:stroke on="f" weight="0.5pt"/>
              <v:imagedata o:title=""/>
              <o:lock v:ext="edit" aspectratio="f"/>
              <v:textbox inset="0mm,0mm,0mm,0mm" style="mso-fit-shape-to-text:t;">
                <w:txbxContent>
                  <w:p w14:paraId="77432E9F">
                    <w:pPr>
                      <w:pStyle w:val="4"/>
                    </w:pPr>
                    <w:r>
                      <w:fldChar w:fldCharType="begin"/>
                    </w:r>
                    <w:r>
                      <w:instrText xml:space="preserve"> PAGE  \* MERGEFORMAT </w:instrText>
                    </w:r>
                    <w:r>
                      <w:fldChar w:fldCharType="separate"/>
                    </w:r>
                    <w:r>
                      <w:t>127</w:t>
                    </w:r>
                    <w:r>
                      <w:fldChar w:fldCharType="end"/>
                    </w:r>
                  </w:p>
                </w:txbxContent>
              </v:textbox>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517B2">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5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6" name="文本框 13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0ED214">
                          <w:pPr>
                            <w:pStyle w:val="4"/>
                          </w:pPr>
                          <w:r>
                            <w:fldChar w:fldCharType="begin"/>
                          </w:r>
                          <w:r>
                            <w:instrText xml:space="preserve"> PAGE  \* MERGEFORMAT </w:instrText>
                          </w:r>
                          <w:r>
                            <w:fldChar w:fldCharType="separate"/>
                          </w:r>
                          <w:r>
                            <w:t>128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5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zeHg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NqV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RbN4eDUCAABnBAAADgAAAAAAAAABACAAAAAfAQAAZHJzL2Uyb0RvYy54bWxQ&#10;SwUGAAAAAAYABgBZAQAAxgUAAAAA&#10;">
              <v:fill on="f" focussize="0,0"/>
              <v:stroke on="f" weight="0.5pt"/>
              <v:imagedata o:title=""/>
              <o:lock v:ext="edit" aspectratio="f"/>
              <v:textbox inset="0mm,0mm,0mm,0mm" style="mso-fit-shape-to-text:t;">
                <w:txbxContent>
                  <w:p w14:paraId="3C0ED214">
                    <w:pPr>
                      <w:pStyle w:val="4"/>
                    </w:pPr>
                    <w:r>
                      <w:fldChar w:fldCharType="begin"/>
                    </w:r>
                    <w:r>
                      <w:instrText xml:space="preserve"> PAGE  \* MERGEFORMAT </w:instrText>
                    </w:r>
                    <w:r>
                      <w:fldChar w:fldCharType="separate"/>
                    </w:r>
                    <w:r>
                      <w:t>128</w:t>
                    </w:r>
                    <w:r>
                      <w:fldChar w:fldCharType="end"/>
                    </w:r>
                  </w:p>
                </w:txbxContent>
              </v:textbox>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738B4">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7" name="文本框 13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9ED6DC">
                          <w:pPr>
                            <w:pStyle w:val="4"/>
                          </w:pPr>
                          <w:r>
                            <w:fldChar w:fldCharType="begin"/>
                          </w:r>
                          <w:r>
                            <w:instrText xml:space="preserve"> PAGE  \* MERGEFORMAT </w:instrText>
                          </w:r>
                          <w:r>
                            <w:fldChar w:fldCharType="separate"/>
                          </w:r>
                          <w:r>
                            <w:t>129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6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aeJ6Y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6m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p4npjUCAABnBAAADgAAAAAAAAABACAAAAAfAQAAZHJzL2Uyb0RvYy54bWxQ&#10;SwUGAAAAAAYABgBZAQAAxgUAAAAA&#10;">
              <v:fill on="f" focussize="0,0"/>
              <v:stroke on="f" weight="0.5pt"/>
              <v:imagedata o:title=""/>
              <o:lock v:ext="edit" aspectratio="f"/>
              <v:textbox inset="0mm,0mm,0mm,0mm" style="mso-fit-shape-to-text:t;">
                <w:txbxContent>
                  <w:p w14:paraId="7A9ED6DC">
                    <w:pPr>
                      <w:pStyle w:val="4"/>
                    </w:pPr>
                    <w:r>
                      <w:fldChar w:fldCharType="begin"/>
                    </w:r>
                    <w:r>
                      <w:instrText xml:space="preserve"> PAGE  \* MERGEFORMAT </w:instrText>
                    </w:r>
                    <w:r>
                      <w:fldChar w:fldCharType="separate"/>
                    </w:r>
                    <w:r>
                      <w:t>129</w:t>
                    </w:r>
                    <w:r>
                      <w:fldChar w:fldCharType="end"/>
                    </w:r>
                  </w:p>
                </w:txbxContent>
              </v:textbox>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F1DF1">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7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8" name="文本框 13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8B8915">
                          <w:pPr>
                            <w:pStyle w:val="4"/>
                          </w:pPr>
                          <w:r>
                            <w:fldChar w:fldCharType="begin"/>
                          </w:r>
                          <w:r>
                            <w:instrText xml:space="preserve"> PAGE  \* MERGEFORMAT </w:instrText>
                          </w:r>
                          <w:r>
                            <w:fldChar w:fldCharType="separate"/>
                          </w:r>
                          <w:r>
                            <w:t>130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7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EgZZQ0AgAAZwQAAA4AAABkcnMvZTJvRG9jLnhtbK1UzY7TMBC+I/EO&#10;lu80aVes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xIGWUNAIAAGcEAAAOAAAAAAAAAAEAIAAAAB8BAABkcnMvZTJvRG9jLnhtbFBL&#10;BQYAAAAABgAGAFkBAADFBQAAAAA=&#10;">
              <v:fill on="f" focussize="0,0"/>
              <v:stroke on="f" weight="0.5pt"/>
              <v:imagedata o:title=""/>
              <o:lock v:ext="edit" aspectratio="f"/>
              <v:textbox inset="0mm,0mm,0mm,0mm" style="mso-fit-shape-to-text:t;">
                <w:txbxContent>
                  <w:p w14:paraId="6E8B8915">
                    <w:pPr>
                      <w:pStyle w:val="4"/>
                    </w:pPr>
                    <w:r>
                      <w:fldChar w:fldCharType="begin"/>
                    </w:r>
                    <w:r>
                      <w:instrText xml:space="preserve"> PAGE  \* MERGEFORMAT </w:instrText>
                    </w:r>
                    <w:r>
                      <w:fldChar w:fldCharType="separate"/>
                    </w:r>
                    <w:r>
                      <w:t>130</w:t>
                    </w:r>
                    <w:r>
                      <w:fldChar w:fldCharType="end"/>
                    </w:r>
                  </w:p>
                </w:txbxContent>
              </v:textbox>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3967E">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9" name="文本框 13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6D7DDA">
                          <w:pPr>
                            <w:pStyle w:val="4"/>
                          </w:pPr>
                          <w:r>
                            <w:fldChar w:fldCharType="begin"/>
                          </w:r>
                          <w:r>
                            <w:instrText xml:space="preserve"> PAGE  \* MERGEFORMAT </w:instrText>
                          </w:r>
                          <w:r>
                            <w:fldChar w:fldCharType="separate"/>
                          </w:r>
                          <w:r>
                            <w:t>131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8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INOko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6m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g06SjUCAABnBAAADgAAAAAAAAABACAAAAAfAQAAZHJzL2Uyb0RvYy54bWxQ&#10;SwUGAAAAAAYABgBZAQAAxgUAAAAA&#10;">
              <v:fill on="f" focussize="0,0"/>
              <v:stroke on="f" weight="0.5pt"/>
              <v:imagedata o:title=""/>
              <o:lock v:ext="edit" aspectratio="f"/>
              <v:textbox inset="0mm,0mm,0mm,0mm" style="mso-fit-shape-to-text:t;">
                <w:txbxContent>
                  <w:p w14:paraId="596D7DDA">
                    <w:pPr>
                      <w:pStyle w:val="4"/>
                    </w:pPr>
                    <w:r>
                      <w:fldChar w:fldCharType="begin"/>
                    </w:r>
                    <w:r>
                      <w:instrText xml:space="preserve"> PAGE  \* MERGEFORMAT </w:instrText>
                    </w:r>
                    <w:r>
                      <w:fldChar w:fldCharType="separate"/>
                    </w:r>
                    <w:r>
                      <w:t>131</w:t>
                    </w:r>
                    <w:r>
                      <w:fldChar w:fldCharType="end"/>
                    </w:r>
                  </w:p>
                </w:txbxContent>
              </v:textbox>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C3286">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89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0" name="文本框 13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EF59CA">
                          <w:pPr>
                            <w:pStyle w:val="4"/>
                          </w:pPr>
                          <w:r>
                            <w:fldChar w:fldCharType="begin"/>
                          </w:r>
                          <w:r>
                            <w:instrText xml:space="preserve"> PAGE  \* MERGEFORMAT </w:instrText>
                          </w:r>
                          <w:r>
                            <w:fldChar w:fldCharType="separate"/>
                          </w:r>
                          <w:r>
                            <w:t>132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9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9JSVQ0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egBTNFN789P3b&#10;6cev08+vpNOCpMb6DL4bC+/QvjUtAiJ5Ue+hjL23pVPxi64I7EA7XigWbSA8Bk0n02kKE4dtuAAn&#10;uYZb58M7YRSJQk4d3rCjlh3WPvSug0vMps2qlhJ6lklNmpze3rxO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SUlUNAIAAGcEAAAOAAAAAAAAAAEAIAAAAB8BAABkcnMvZTJvRG9jLnhtbFBL&#10;BQYAAAAABgAGAFkBAADFBQAAAAA=&#10;">
              <v:fill on="f" focussize="0,0"/>
              <v:stroke on="f" weight="0.5pt"/>
              <v:imagedata o:title=""/>
              <o:lock v:ext="edit" aspectratio="f"/>
              <v:textbox inset="0mm,0mm,0mm,0mm" style="mso-fit-shape-to-text:t;">
                <w:txbxContent>
                  <w:p w14:paraId="49EF59CA">
                    <w:pPr>
                      <w:pStyle w:val="4"/>
                    </w:pPr>
                    <w:r>
                      <w:fldChar w:fldCharType="begin"/>
                    </w:r>
                    <w:r>
                      <w:instrText xml:space="preserve"> PAGE  \* MERGEFORMAT </w:instrText>
                    </w:r>
                    <w:r>
                      <w:fldChar w:fldCharType="separate"/>
                    </w:r>
                    <w:r>
                      <w:t>132</w:t>
                    </w:r>
                    <w:r>
                      <w:fldChar w:fldCharType="end"/>
                    </w:r>
                  </w:p>
                </w:txbxContent>
              </v:textbox>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4F712">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90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1" name="文本框 13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8EA757">
                          <w:pPr>
                            <w:pStyle w:val="4"/>
                          </w:pPr>
                          <w:r>
                            <w:fldChar w:fldCharType="begin"/>
                          </w:r>
                          <w:r>
                            <w:instrText xml:space="preserve"> PAGE  \* MERGEFORMAT </w:instrText>
                          </w:r>
                          <w:r>
                            <w:fldChar w:fldCharType="separate"/>
                          </w:r>
                          <w:r>
                            <w:t>133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0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kFoo0AgAAZwQAAA4AAABkcnMvZTJvRG9jLnhtbK1UzY7TMBC+I/EO&#10;lu80aVesSt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27ejCnRTGHmp+/f&#10;Tj9+nX5+JZ0WJDXWZ/DdWHiH9q1pERDJi3oPZey9LZ2KX3RFYAfFxwvFog2Ex6DpZDpNYeKwDRfg&#10;JNdw63x4J4wiUcipwww7atlh7UPvOrjEbNqsaimhZ5nUpMnp7c3r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MZBaKNAIAAGcEAAAOAAAAAAAAAAEAIAAAAB8BAABkcnMvZTJvRG9jLnhtbFBL&#10;BQYAAAAABgAGAFkBAADFBQAAAAA=&#10;">
              <v:fill on="f" focussize="0,0"/>
              <v:stroke on="f" weight="0.5pt"/>
              <v:imagedata o:title=""/>
              <o:lock v:ext="edit" aspectratio="f"/>
              <v:textbox inset="0mm,0mm,0mm,0mm" style="mso-fit-shape-to-text:t;">
                <w:txbxContent>
                  <w:p w14:paraId="0F8EA757">
                    <w:pPr>
                      <w:pStyle w:val="4"/>
                    </w:pPr>
                    <w:r>
                      <w:fldChar w:fldCharType="begin"/>
                    </w:r>
                    <w:r>
                      <w:instrText xml:space="preserve"> PAGE  \* MERGEFORMAT </w:instrText>
                    </w:r>
                    <w:r>
                      <w:fldChar w:fldCharType="separate"/>
                    </w:r>
                    <w:r>
                      <w:t>133</w:t>
                    </w:r>
                    <w:r>
                      <w:fldChar w:fldCharType="end"/>
                    </w:r>
                  </w:p>
                </w:txbxContent>
              </v:textbox>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5EDAD">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1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2" name="文本框 13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01E33E">
                          <w:pPr>
                            <w:pStyle w:val="4"/>
                          </w:pPr>
                          <w:r>
                            <w:fldChar w:fldCharType="begin"/>
                          </w:r>
                          <w:r>
                            <w:instrText xml:space="preserve"> PAGE  \* MERGEFORMAT </w:instrText>
                          </w:r>
                          <w:r>
                            <w:fldChar w:fldCharType="separate"/>
                          </w:r>
                          <w:r>
                            <w:t>134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1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VhjM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eTC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BWGMzUCAABnBAAADgAAAAAAAAABACAAAAAfAQAAZHJzL2Uyb0RvYy54bWxQ&#10;SwUGAAAAAAYABgBZAQAAxgUAAAAA&#10;">
              <v:fill on="f" focussize="0,0"/>
              <v:stroke on="f" weight="0.5pt"/>
              <v:imagedata o:title=""/>
              <o:lock v:ext="edit" aspectratio="f"/>
              <v:textbox inset="0mm,0mm,0mm,0mm" style="mso-fit-shape-to-text:t;">
                <w:txbxContent>
                  <w:p w14:paraId="5201E33E">
                    <w:pPr>
                      <w:pStyle w:val="4"/>
                    </w:pPr>
                    <w:r>
                      <w:fldChar w:fldCharType="begin"/>
                    </w:r>
                    <w:r>
                      <w:instrText xml:space="preserve"> PAGE  \* MERGEFORMAT </w:instrText>
                    </w:r>
                    <w:r>
                      <w:fldChar w:fldCharType="separate"/>
                    </w:r>
                    <w:r>
                      <w:t>134</w:t>
                    </w:r>
                    <w:r>
                      <w:fldChar w:fldCharType="end"/>
                    </w:r>
                  </w:p>
                </w:txbxContent>
              </v:textbox>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4EE3A">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92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3" name="文本框 13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3943EC">
                          <w:pPr>
                            <w:pStyle w:val="4"/>
                          </w:pPr>
                          <w:r>
                            <w:fldChar w:fldCharType="begin"/>
                          </w:r>
                          <w:r>
                            <w:instrText xml:space="preserve"> PAGE  \* MERGEFORMAT </w:instrText>
                          </w:r>
                          <w:r>
                            <w:fldChar w:fldCharType="separate"/>
                          </w:r>
                          <w:r>
                            <w:t>135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2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s42e01AgAAZwQAAA4AAABkcnMvZTJvRG9jLnhtbK1UzY7TMBC+I/EO&#10;lu80aStWJW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zfTCnRTOHNT9+/&#10;nX78Ov38SjotSGqsz+D7aOEd2remRUAkL+o9lLH3tnQqftEVgR0UHy8UizYQHoNmk9kshYnDNlyA&#10;k1zDrfPhnTCKRCGnDm/YUcsOGx9618ElZtNmXUsJPcukJk1Ob6a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zjZ7TUCAABnBAAADgAAAAAAAAABACAAAAAfAQAAZHJzL2Uyb0RvYy54bWxQ&#10;SwUGAAAAAAYABgBZAQAAxgUAAAAA&#10;">
              <v:fill on="f" focussize="0,0"/>
              <v:stroke on="f" weight="0.5pt"/>
              <v:imagedata o:title=""/>
              <o:lock v:ext="edit" aspectratio="f"/>
              <v:textbox inset="0mm,0mm,0mm,0mm" style="mso-fit-shape-to-text:t;">
                <w:txbxContent>
                  <w:p w14:paraId="143943EC">
                    <w:pPr>
                      <w:pStyle w:val="4"/>
                    </w:pPr>
                    <w:r>
                      <w:fldChar w:fldCharType="begin"/>
                    </w:r>
                    <w:r>
                      <w:instrText xml:space="preserve"> PAGE  \* MERGEFORMAT </w:instrText>
                    </w:r>
                    <w:r>
                      <w:fldChar w:fldCharType="separate"/>
                    </w:r>
                    <w:r>
                      <w:t>135</w:t>
                    </w:r>
                    <w:r>
                      <w:fldChar w:fldCharType="end"/>
                    </w:r>
                  </w:p>
                </w:txbxContent>
              </v:textbox>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DF8A7">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3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4" name="文本框 13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2E5246">
                          <w:pPr>
                            <w:pStyle w:val="4"/>
                          </w:pPr>
                          <w:r>
                            <w:fldChar w:fldCharType="begin"/>
                          </w:r>
                          <w:r>
                            <w:instrText xml:space="preserve"> PAGE  \* MERGEFORMAT </w:instrText>
                          </w:r>
                          <w:r>
                            <w:fldChar w:fldCharType="separate"/>
                          </w:r>
                          <w:r>
                            <w:t>136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3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x15s2AgAAZwQAAA4AAABkcnMvZTJvRG9jLnhtbK1UzY7TMBC+I/EO&#10;lu80aRd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5o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NHx15s2AgAAZwQAAA4AAAAAAAAAAQAgAAAAHwEAAGRycy9lMm9Eb2MueG1s&#10;UEsFBgAAAAAGAAYAWQEAAMcFAAAAAA==&#10;">
              <v:fill on="f" focussize="0,0"/>
              <v:stroke on="f" weight="0.5pt"/>
              <v:imagedata o:title=""/>
              <o:lock v:ext="edit" aspectratio="f"/>
              <v:textbox inset="0mm,0mm,0mm,0mm" style="mso-fit-shape-to-text:t;">
                <w:txbxContent>
                  <w:p w14:paraId="4B2E5246">
                    <w:pPr>
                      <w:pStyle w:val="4"/>
                    </w:pPr>
                    <w:r>
                      <w:fldChar w:fldCharType="begin"/>
                    </w:r>
                    <w:r>
                      <w:instrText xml:space="preserve"> PAGE  \* MERGEFORMAT </w:instrText>
                    </w:r>
                    <w:r>
                      <w:fldChar w:fldCharType="separate"/>
                    </w:r>
                    <w:r>
                      <w:t>136</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D931E">
    <w:pPr>
      <w:spacing w:line="176" w:lineRule="auto"/>
      <w:ind w:left="4130"/>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2" name="文本框 12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7D6231">
                          <w:pPr>
                            <w:pStyle w:val="4"/>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gUsQ0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FYFLENAIAAGcEAAAOAAAAAAAAAAEAIAAAAB8BAABkcnMvZTJvRG9jLnhtbFBL&#10;BQYAAAAABgAGAFkBAADFBQAAAAA=&#10;">
              <v:fill on="f" focussize="0,0"/>
              <v:stroke on="f" weight="0.5pt"/>
              <v:imagedata o:title=""/>
              <o:lock v:ext="edit" aspectratio="f"/>
              <v:textbox inset="0mm,0mm,0mm,0mm" style="mso-fit-shape-to-text:t;">
                <w:txbxContent>
                  <w:p w14:paraId="047D6231">
                    <w:pPr>
                      <w:pStyle w:val="4"/>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28897">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4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5" name="文本框 13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F62662">
                          <w:pPr>
                            <w:pStyle w:val="4"/>
                          </w:pPr>
                          <w:r>
                            <w:fldChar w:fldCharType="begin"/>
                          </w:r>
                          <w:r>
                            <w:instrText xml:space="preserve"> PAGE  \* MERGEFORMAT </w:instrText>
                          </w:r>
                          <w:r>
                            <w:fldChar w:fldCharType="separate"/>
                          </w:r>
                          <w:r>
                            <w:t>137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4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ciEU2AgAAZwQAAA4AAABkcnMvZTJvRG9jLnhtbK1UzY7TMBC+I/EO&#10;lu80aVe7Kl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t9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MLciEU2AgAAZwQAAA4AAAAAAAAAAQAgAAAAHwEAAGRycy9lMm9Eb2MueG1s&#10;UEsFBgAAAAAGAAYAWQEAAMcFAAAAAA==&#10;">
              <v:fill on="f" focussize="0,0"/>
              <v:stroke on="f" weight="0.5pt"/>
              <v:imagedata o:title=""/>
              <o:lock v:ext="edit" aspectratio="f"/>
              <v:textbox inset="0mm,0mm,0mm,0mm" style="mso-fit-shape-to-text:t;">
                <w:txbxContent>
                  <w:p w14:paraId="2DF62662">
                    <w:pPr>
                      <w:pStyle w:val="4"/>
                    </w:pPr>
                    <w:r>
                      <w:fldChar w:fldCharType="begin"/>
                    </w:r>
                    <w:r>
                      <w:instrText xml:space="preserve"> PAGE  \* MERGEFORMAT </w:instrText>
                    </w:r>
                    <w:r>
                      <w:fldChar w:fldCharType="separate"/>
                    </w:r>
                    <w:r>
                      <w:t>137</w:t>
                    </w:r>
                    <w:r>
                      <w:fldChar w:fldCharType="end"/>
                    </w:r>
                  </w:p>
                </w:txbxContent>
              </v:textbox>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3A433">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5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6" name="文本框 13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6209F1">
                          <w:pPr>
                            <w:pStyle w:val="4"/>
                          </w:pPr>
                          <w:r>
                            <w:fldChar w:fldCharType="begin"/>
                          </w:r>
                          <w:r>
                            <w:instrText xml:space="preserve"> PAGE  \* MERGEFORMAT </w:instrText>
                          </w:r>
                          <w:r>
                            <w:fldChar w:fldCharType="separate"/>
                          </w:r>
                          <w:r>
                            <w:t>138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5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atGPw1AgAAZwQAAA4AAABkcnMvZTJvRG9jLnhtbK1UzY7TMBC+I/EO&#10;lu80aVdUJW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7eTCnRTOHNT9+/&#10;nX78Ov38SjotSGqsz+D7aOEd2remRUAkL+o9lLH3tnQqftEVgR0UHy8UizYQHoNmk9kshYnDNlyA&#10;k1zDrfPhnTCKRCGnDm/YUcsOGx9618ElZtNmXUsJPcukJk1Opze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tq0Y/DUCAABnBAAADgAAAAAAAAABACAAAAAfAQAAZHJzL2Uyb0RvYy54bWxQ&#10;SwUGAAAAAAYABgBZAQAAxgUAAAAA&#10;">
              <v:fill on="f" focussize="0,0"/>
              <v:stroke on="f" weight="0.5pt"/>
              <v:imagedata o:title=""/>
              <o:lock v:ext="edit" aspectratio="f"/>
              <v:textbox inset="0mm,0mm,0mm,0mm" style="mso-fit-shape-to-text:t;">
                <w:txbxContent>
                  <w:p w14:paraId="196209F1">
                    <w:pPr>
                      <w:pStyle w:val="4"/>
                    </w:pPr>
                    <w:r>
                      <w:fldChar w:fldCharType="begin"/>
                    </w:r>
                    <w:r>
                      <w:instrText xml:space="preserve"> PAGE  \* MERGEFORMAT </w:instrText>
                    </w:r>
                    <w:r>
                      <w:fldChar w:fldCharType="separate"/>
                    </w:r>
                    <w:r>
                      <w:t>138</w:t>
                    </w:r>
                    <w:r>
                      <w:fldChar w:fldCharType="end"/>
                    </w:r>
                  </w:p>
                </w:txbxContent>
              </v:textbox>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A6399">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6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7" name="文本框 13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84B824">
                          <w:pPr>
                            <w:pStyle w:val="4"/>
                          </w:pPr>
                          <w:r>
                            <w:fldChar w:fldCharType="begin"/>
                          </w:r>
                          <w:r>
                            <w:instrText xml:space="preserve"> PAGE  \* MERGEFORMAT </w:instrText>
                          </w:r>
                          <w:r>
                            <w:fldChar w:fldCharType="separate"/>
                          </w:r>
                          <w:r>
                            <w:t>139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6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ARyI2AgAAZwQAAA4AAABkcnMvZTJvRG9jLnhtbK1UzY7TMBC+I/EO&#10;lu80aVcs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4YSzRTe/Pjj&#10;+/Hnr+PjN9JpQVJjfQbftYV3aN+ZFgGRvKj3UMbe29Kp+EVXBHZQfDhTLNpAeAyaTqbTFCYO23AB&#10;TnIJt86H98IoEoWcOrxhRy3b3/nQuw4uMZs2q1pK6FkmNWlyen31O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WARyI2AgAAZwQAAA4AAAAAAAAAAQAgAAAAHwEAAGRycy9lMm9Eb2MueG1s&#10;UEsFBgAAAAAGAAYAWQEAAMcFAAAAAA==&#10;">
              <v:fill on="f" focussize="0,0"/>
              <v:stroke on="f" weight="0.5pt"/>
              <v:imagedata o:title=""/>
              <o:lock v:ext="edit" aspectratio="f"/>
              <v:textbox inset="0mm,0mm,0mm,0mm" style="mso-fit-shape-to-text:t;">
                <w:txbxContent>
                  <w:p w14:paraId="4284B824">
                    <w:pPr>
                      <w:pStyle w:val="4"/>
                    </w:pPr>
                    <w:r>
                      <w:fldChar w:fldCharType="begin"/>
                    </w:r>
                    <w:r>
                      <w:instrText xml:space="preserve"> PAGE  \* MERGEFORMAT </w:instrText>
                    </w:r>
                    <w:r>
                      <w:fldChar w:fldCharType="separate"/>
                    </w:r>
                    <w:r>
                      <w:t>139</w:t>
                    </w:r>
                    <w:r>
                      <w:fldChar w:fldCharType="end"/>
                    </w:r>
                  </w:p>
                </w:txbxContent>
              </v:textbox>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F9CFA">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7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8" name="文本框 13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9A743F">
                          <w:pPr>
                            <w:pStyle w:val="4"/>
                          </w:pPr>
                          <w:r>
                            <w:fldChar w:fldCharType="begin"/>
                          </w:r>
                          <w:r>
                            <w:instrText xml:space="preserve"> PAGE  \* MERGEFORMAT </w:instrText>
                          </w:r>
                          <w:r>
                            <w:fldChar w:fldCharType="separate"/>
                          </w:r>
                          <w:r>
                            <w:t>140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7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BRA0AgAAZwQAAA4AAABkcnMvZTJvRG9jLnhtbK1UzY7TMBC+I/EO&#10;lu80aVesSt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3DzBp3XTKHnp+/f&#10;Tj9+nX5+JZ0WJDXWZ/DdWHiH9q1pERDJi3oPZay9LZ2KX1RFYAfFxwvFog2Ex6DpZDpNYeKwDRfg&#10;JNdw63x4J4wiUcipQw87atlh7UPvOrjEbNqsaimhZ5nUpMnp7c3r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CPgUQNAIAAGcEAAAOAAAAAAAAAAEAIAAAAB8BAABkcnMvZTJvRG9jLnhtbFBL&#10;BQYAAAAABgAGAFkBAADFBQAAAAA=&#10;">
              <v:fill on="f" focussize="0,0"/>
              <v:stroke on="f" weight="0.5pt"/>
              <v:imagedata o:title=""/>
              <o:lock v:ext="edit" aspectratio="f"/>
              <v:textbox inset="0mm,0mm,0mm,0mm" style="mso-fit-shape-to-text:t;">
                <w:txbxContent>
                  <w:p w14:paraId="679A743F">
                    <w:pPr>
                      <w:pStyle w:val="4"/>
                    </w:pPr>
                    <w:r>
                      <w:fldChar w:fldCharType="begin"/>
                    </w:r>
                    <w:r>
                      <w:instrText xml:space="preserve"> PAGE  \* MERGEFORMAT </w:instrText>
                    </w:r>
                    <w:r>
                      <w:fldChar w:fldCharType="separate"/>
                    </w:r>
                    <w:r>
                      <w:t>140</w:t>
                    </w:r>
                    <w:r>
                      <w:fldChar w:fldCharType="end"/>
                    </w:r>
                  </w:p>
                </w:txbxContent>
              </v:textbox>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8C623">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8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9" name="文本框 13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592108">
                          <w:pPr>
                            <w:pStyle w:val="4"/>
                          </w:pPr>
                          <w:r>
                            <w:fldChar w:fldCharType="begin"/>
                          </w:r>
                          <w:r>
                            <w:instrText xml:space="preserve"> PAGE  \* MERGEFORMAT </w:instrText>
                          </w:r>
                          <w:r>
                            <w:fldChar w:fldCharType="separate"/>
                          </w:r>
                          <w:r>
                            <w:t>141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8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NETWs42AgAAZwQAAA4AAAAAAAAAAQAgAAAAHwEAAGRycy9lMm9Eb2MueG1s&#10;UEsFBgAAAAAGAAYAWQEAAMcFAAAAAA==&#10;">
              <v:fill on="f" focussize="0,0"/>
              <v:stroke on="f" weight="0.5pt"/>
              <v:imagedata o:title=""/>
              <o:lock v:ext="edit" aspectratio="f"/>
              <v:textbox inset="0mm,0mm,0mm,0mm" style="mso-fit-shape-to-text:t;">
                <w:txbxContent>
                  <w:p w14:paraId="7B592108">
                    <w:pPr>
                      <w:pStyle w:val="4"/>
                    </w:pPr>
                    <w:r>
                      <w:fldChar w:fldCharType="begin"/>
                    </w:r>
                    <w:r>
                      <w:instrText xml:space="preserve"> PAGE  \* MERGEFORMAT </w:instrText>
                    </w:r>
                    <w:r>
                      <w:fldChar w:fldCharType="separate"/>
                    </w:r>
                    <w:r>
                      <w:t>141</w:t>
                    </w:r>
                    <w:r>
                      <w:fldChar w:fldCharType="end"/>
                    </w:r>
                  </w:p>
                </w:txbxContent>
              </v:textbox>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12DB6">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9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0" name="文本框 14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29A0D">
                          <w:pPr>
                            <w:pStyle w:val="4"/>
                          </w:pPr>
                          <w:r>
                            <w:fldChar w:fldCharType="begin"/>
                          </w:r>
                          <w:r>
                            <w:instrText xml:space="preserve"> PAGE  \* MERGEFORMAT </w:instrText>
                          </w:r>
                          <w:r>
                            <w:fldChar w:fldCharType="separate"/>
                          </w:r>
                          <w:r>
                            <w:t>142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9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ndQz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r/ndQzAgAAZwQAAA4AAAAAAAAAAQAgAAAAHwEAAGRycy9lMm9Eb2MueG1sUEsF&#10;BgAAAAAGAAYAWQEAAMQFAAAAAA==&#10;">
              <v:fill on="f" focussize="0,0"/>
              <v:stroke on="f" weight="0.5pt"/>
              <v:imagedata o:title=""/>
              <o:lock v:ext="edit" aspectratio="f"/>
              <v:textbox inset="0mm,0mm,0mm,0mm" style="mso-fit-shape-to-text:t;">
                <w:txbxContent>
                  <w:p w14:paraId="1D529A0D">
                    <w:pPr>
                      <w:pStyle w:val="4"/>
                    </w:pPr>
                    <w:r>
                      <w:fldChar w:fldCharType="begin"/>
                    </w:r>
                    <w:r>
                      <w:instrText xml:space="preserve"> PAGE  \* MERGEFORMAT </w:instrText>
                    </w:r>
                    <w:r>
                      <w:fldChar w:fldCharType="separate"/>
                    </w:r>
                    <w:r>
                      <w:t>142</w:t>
                    </w:r>
                    <w:r>
                      <w:fldChar w:fldCharType="end"/>
                    </w:r>
                  </w:p>
                </w:txbxContent>
              </v:textbox>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0D083">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0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1" name="文本框 14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23CABD">
                          <w:pPr>
                            <w:pStyle w:val="4"/>
                          </w:pPr>
                          <w:r>
                            <w:fldChar w:fldCharType="begin"/>
                          </w:r>
                          <w:r>
                            <w:instrText xml:space="preserve"> PAGE  \* MERGEFORMAT </w:instrText>
                          </w:r>
                          <w:r>
                            <w:fldChar w:fldCharType="separate"/>
                          </w:r>
                          <w:r>
                            <w:t>143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0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nSwgo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J0sIKNAIAAGcEAAAOAAAAAAAAAAEAIAAAAB8BAABkcnMvZTJvRG9jLnhtbFBL&#10;BQYAAAAABgAGAFkBAADFBQAAAAA=&#10;">
              <v:fill on="f" focussize="0,0"/>
              <v:stroke on="f" weight="0.5pt"/>
              <v:imagedata o:title=""/>
              <o:lock v:ext="edit" aspectratio="f"/>
              <v:textbox inset="0mm,0mm,0mm,0mm" style="mso-fit-shape-to-text:t;">
                <w:txbxContent>
                  <w:p w14:paraId="5423CABD">
                    <w:pPr>
                      <w:pStyle w:val="4"/>
                    </w:pPr>
                    <w:r>
                      <w:fldChar w:fldCharType="begin"/>
                    </w:r>
                    <w:r>
                      <w:instrText xml:space="preserve"> PAGE  \* MERGEFORMAT </w:instrText>
                    </w:r>
                    <w:r>
                      <w:fldChar w:fldCharType="separate"/>
                    </w:r>
                    <w:r>
                      <w:t>143</w:t>
                    </w:r>
                    <w:r>
                      <w:fldChar w:fldCharType="end"/>
                    </w:r>
                  </w:p>
                </w:txbxContent>
              </v:textbox>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20314">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1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2" name="文本框 14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7DE3BE">
                          <w:pPr>
                            <w:pStyle w:val="4"/>
                          </w:pPr>
                          <w:r>
                            <w:fldChar w:fldCharType="begin"/>
                          </w:r>
                          <w:r>
                            <w:instrText xml:space="preserve"> PAGE  \* MERGEFORMAT </w:instrText>
                          </w:r>
                          <w:r>
                            <w:fldChar w:fldCharType="separate"/>
                          </w:r>
                          <w:r>
                            <w:t>144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1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jUrM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9o1KzNAIAAGcEAAAOAAAAAAAAAAEAIAAAAB8BAABkcnMvZTJvRG9jLnhtbFBL&#10;BQYAAAAABgAGAFkBAADFBQAAAAA=&#10;">
              <v:fill on="f" focussize="0,0"/>
              <v:stroke on="f" weight="0.5pt"/>
              <v:imagedata o:title=""/>
              <o:lock v:ext="edit" aspectratio="f"/>
              <v:textbox inset="0mm,0mm,0mm,0mm" style="mso-fit-shape-to-text:t;">
                <w:txbxContent>
                  <w:p w14:paraId="287DE3BE">
                    <w:pPr>
                      <w:pStyle w:val="4"/>
                    </w:pPr>
                    <w:r>
                      <w:fldChar w:fldCharType="begin"/>
                    </w:r>
                    <w:r>
                      <w:instrText xml:space="preserve"> PAGE  \* MERGEFORMAT </w:instrText>
                    </w:r>
                    <w:r>
                      <w:fldChar w:fldCharType="separate"/>
                    </w:r>
                    <w:r>
                      <w:t>144</w:t>
                    </w:r>
                    <w:r>
                      <w:fldChar w:fldCharType="end"/>
                    </w:r>
                  </w:p>
                </w:txbxContent>
              </v:textbox>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408E6">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2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3" name="文本框 14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485F9A">
                          <w:pPr>
                            <w:pStyle w:val="4"/>
                          </w:pPr>
                          <w:r>
                            <w:fldChar w:fldCharType="begin"/>
                          </w:r>
                          <w:r>
                            <w:instrText xml:space="preserve"> PAGE  \* MERGEFORMAT </w:instrText>
                          </w:r>
                          <w:r>
                            <w:fldChar w:fldCharType="separate"/>
                          </w:r>
                          <w:r>
                            <w:t>145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2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6ODW0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6nN5RopvDmp+/f&#10;Tj9+nX5+JZ0WJDXWZ/DdWHiH9q1pERDJi3oPZey9LZ2KX3RFYAfFxwvFog2Ex6DpZDpNYeKwDRfg&#10;JNdw63x4J4wiUcipwxt21LLD2ofedXCJ2bRZ1VJCzzKpSZPT25s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ro4NbTUCAABnBAAADgAAAAAAAAABACAAAAAfAQAAZHJzL2Uyb0RvYy54bWxQ&#10;SwUGAAAAAAYABgBZAQAAxgUAAAAA&#10;">
              <v:fill on="f" focussize="0,0"/>
              <v:stroke on="f" weight="0.5pt"/>
              <v:imagedata o:title=""/>
              <o:lock v:ext="edit" aspectratio="f"/>
              <v:textbox inset="0mm,0mm,0mm,0mm" style="mso-fit-shape-to-text:t;">
                <w:txbxContent>
                  <w:p w14:paraId="68485F9A">
                    <w:pPr>
                      <w:pStyle w:val="4"/>
                    </w:pPr>
                    <w:r>
                      <w:fldChar w:fldCharType="begin"/>
                    </w:r>
                    <w:r>
                      <w:instrText xml:space="preserve"> PAGE  \* MERGEFORMAT </w:instrText>
                    </w:r>
                    <w:r>
                      <w:fldChar w:fldCharType="separate"/>
                    </w:r>
                    <w:r>
                      <w:t>145</w:t>
                    </w:r>
                    <w:r>
                      <w:fldChar w:fldCharType="end"/>
                    </w:r>
                  </w:p>
                </w:txbxContent>
              </v:textbox>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776E5">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3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4" name="文本框 14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9EB44F">
                          <w:pPr>
                            <w:pStyle w:val="4"/>
                          </w:pPr>
                          <w:r>
                            <w:fldChar w:fldCharType="begin"/>
                          </w:r>
                          <w:r>
                            <w:instrText xml:space="preserve"> PAGE  \* MERGEFORMAT </w:instrText>
                          </w:r>
                          <w:r>
                            <w:fldChar w:fldCharType="separate"/>
                          </w:r>
                          <w:r>
                            <w:t>146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3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HAxs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G0o0U3jz0/dv&#10;px+/Tj+/kk4LkhrrM/huLLxD+9a0CIjkRb2HMvbelk7FL7oisIPi44Vi0QbCY9B0Mp2mMHHYhgtw&#10;kmu4dT68E0aRKOTU4Q07atlh7UPvOrjEbNqsaimhZ5nUpMnp7es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EcDGzUCAABnBAAADgAAAAAAAAABACAAAAAfAQAAZHJzL2Uyb0RvYy54bWxQ&#10;SwUGAAAAAAYABgBZAQAAxgUAAAAA&#10;">
              <v:fill on="f" focussize="0,0"/>
              <v:stroke on="f" weight="0.5pt"/>
              <v:imagedata o:title=""/>
              <o:lock v:ext="edit" aspectratio="f"/>
              <v:textbox inset="0mm,0mm,0mm,0mm" style="mso-fit-shape-to-text:t;">
                <w:txbxContent>
                  <w:p w14:paraId="119EB44F">
                    <w:pPr>
                      <w:pStyle w:val="4"/>
                    </w:pPr>
                    <w:r>
                      <w:fldChar w:fldCharType="begin"/>
                    </w:r>
                    <w:r>
                      <w:instrText xml:space="preserve"> PAGE  \* MERGEFORMAT </w:instrText>
                    </w:r>
                    <w:r>
                      <w:fldChar w:fldCharType="separate"/>
                    </w:r>
                    <w:r>
                      <w:t>146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18E48">
    <w:pPr>
      <w:spacing w:line="176" w:lineRule="auto"/>
      <w:ind w:left="408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6" name="文本框 12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D04C1D">
                          <w:pPr>
                            <w:pStyle w:val="4"/>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vYzAs0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L2MwLNAIAAGcEAAAOAAAAAAAAAAEAIAAAAB8BAABkcnMvZTJvRG9jLnhtbFBL&#10;BQYAAAAABgAGAFkBAADFBQAAAAA=&#10;">
              <v:fill on="f" focussize="0,0"/>
              <v:stroke on="f" weight="0.5pt"/>
              <v:imagedata o:title=""/>
              <o:lock v:ext="edit" aspectratio="f"/>
              <v:textbox inset="0mm,0mm,0mm,0mm" style="mso-fit-shape-to-text:t;">
                <w:txbxContent>
                  <w:p w14:paraId="3DD04C1D">
                    <w:pPr>
                      <w:pStyle w:val="4"/>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69684">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4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5" name="文本框 14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94E349">
                          <w:pPr>
                            <w:pStyle w:val="4"/>
                          </w:pPr>
                          <w:r>
                            <w:fldChar w:fldCharType="begin"/>
                          </w:r>
                          <w:r>
                            <w:instrText xml:space="preserve"> PAGE  \* MERGEFORMAT </w:instrText>
                          </w:r>
                          <w:r>
                            <w:fldChar w:fldCharType="separate"/>
                          </w:r>
                          <w:r>
                            <w:t>167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4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qXMU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6kN5RopvDmp+/f&#10;Tj9+nX5+JZ0WJDXWZ/DdWHiH9q1pERDJi3oPZey9LZ2KX3RFYAfFxwvFog2Ex6DpZDpNYeKwDRfg&#10;JNdw63x4J4wiUcipwxt21LLD2ofedXCJ2bRZ1VJCzzKpSZPT29c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2pcxTUCAABnBAAADgAAAAAAAAABACAAAAAfAQAAZHJzL2Uyb0RvYy54bWxQ&#10;SwUGAAAAAAYABgBZAQAAxgUAAAAA&#10;">
              <v:fill on="f" focussize="0,0"/>
              <v:stroke on="f" weight="0.5pt"/>
              <v:imagedata o:title=""/>
              <o:lock v:ext="edit" aspectratio="f"/>
              <v:textbox inset="0mm,0mm,0mm,0mm" style="mso-fit-shape-to-text:t;">
                <w:txbxContent>
                  <w:p w14:paraId="2994E349">
                    <w:pPr>
                      <w:pStyle w:val="4"/>
                    </w:pPr>
                    <w:r>
                      <w:fldChar w:fldCharType="begin"/>
                    </w:r>
                    <w:r>
                      <w:instrText xml:space="preserve"> PAGE  \* MERGEFORMAT </w:instrText>
                    </w:r>
                    <w:r>
                      <w:fldChar w:fldCharType="separate"/>
                    </w:r>
                    <w:r>
                      <w:t>167</w:t>
                    </w:r>
                    <w:r>
                      <w:fldChar w:fldCharType="end"/>
                    </w:r>
                  </w:p>
                </w:txbxContent>
              </v:textbox>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B9591">
    <w:pPr>
      <w:pStyle w:val="3"/>
      <w:spacing w:line="14" w:lineRule="auto"/>
      <w:rPr>
        <w:rFonts w:hint="default"/>
        <w:sz w:val="2"/>
        <w:lang w:val="en-US"/>
      </w:rPr>
    </w:pPr>
    <w:r>
      <w:rPr>
        <w:sz w:val="2"/>
      </w:rPr>
      <mc:AlternateContent>
        <mc:Choice Requires="wps">
          <w:drawing>
            <wp:anchor distT="0" distB="0" distL="114300" distR="114300" simplePos="0" relativeHeight="251805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6" name="文本框 14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6809E0">
                          <w:pPr>
                            <w:pStyle w:val="4"/>
                          </w:pPr>
                          <w:r>
                            <w:fldChar w:fldCharType="begin"/>
                          </w:r>
                          <w:r>
                            <w:instrText xml:space="preserve"> PAGE  \* MERGEFORMAT </w:instrText>
                          </w:r>
                          <w:r>
                            <w:fldChar w:fldCharType="separate"/>
                          </w:r>
                          <w:r>
                            <w:t>168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5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bzHw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xJby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xvMfDUCAABnBAAADgAAAAAAAAABACAAAAAfAQAAZHJzL2Uyb0RvYy54bWxQ&#10;SwUGAAAAAAYABgBZAQAAxgUAAAAA&#10;">
              <v:fill on="f" focussize="0,0"/>
              <v:stroke on="f" weight="0.5pt"/>
              <v:imagedata o:title=""/>
              <o:lock v:ext="edit" aspectratio="f"/>
              <v:textbox inset="0mm,0mm,0mm,0mm" style="mso-fit-shape-to-text:t;">
                <w:txbxContent>
                  <w:p w14:paraId="4C6809E0">
                    <w:pPr>
                      <w:pStyle w:val="4"/>
                    </w:pPr>
                    <w:r>
                      <w:fldChar w:fldCharType="begin"/>
                    </w:r>
                    <w:r>
                      <w:instrText xml:space="preserve"> PAGE  \* MERGEFORMAT </w:instrText>
                    </w:r>
                    <w:r>
                      <w:fldChar w:fldCharType="separate"/>
                    </w:r>
                    <w:r>
                      <w:t>168</w:t>
                    </w:r>
                    <w:r>
                      <w:fldChar w:fldCharType="end"/>
                    </w:r>
                  </w:p>
                </w:txbxContent>
              </v:textbox>
            </v:shape>
          </w:pict>
        </mc:Fallback>
      </mc:AlternateContent>
    </w:r>
    <w:r>
      <w:rPr>
        <w:rFonts w:hint="eastAsia" w:eastAsia="宋体"/>
        <w:sz w:val="2"/>
        <w:lang w:val="en-US" w:eastAsia="zh-CN"/>
      </w:rPr>
      <w:t>181</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85CF9">
    <w:pPr>
      <w:spacing w:line="170" w:lineRule="auto"/>
      <w:ind w:left="4268"/>
      <w:rPr>
        <w:rFonts w:ascii="仿宋" w:hAnsi="仿宋" w:eastAsia="仿宋" w:cs="仿宋"/>
        <w:sz w:val="18"/>
        <w:szCs w:val="18"/>
      </w:rPr>
    </w:pPr>
    <w:r>
      <w:rPr>
        <w:sz w:val="18"/>
      </w:rPr>
      <mc:AlternateContent>
        <mc:Choice Requires="wps">
          <w:drawing>
            <wp:anchor distT="0" distB="0" distL="114300" distR="114300" simplePos="0" relativeHeight="251806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7" name="文本框 14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3374C4">
                          <w:pPr>
                            <w:pStyle w:val="4"/>
                          </w:pPr>
                          <w:r>
                            <w:fldChar w:fldCharType="begin"/>
                          </w:r>
                          <w:r>
                            <w:instrText xml:space="preserve"> PAGE  \* MERGEFORMAT </w:instrText>
                          </w:r>
                          <w:r>
                            <w:fldChar w:fldCharType="separate"/>
                          </w:r>
                          <w:r>
                            <w:t>169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6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A2k6I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YDaTojUCAABnBAAADgAAAAAAAAABACAAAAAfAQAAZHJzL2Uyb0RvYy54bWxQ&#10;SwUGAAAAAAYABgBZAQAAxgUAAAAA&#10;">
              <v:fill on="f" focussize="0,0"/>
              <v:stroke on="f" weight="0.5pt"/>
              <v:imagedata o:title=""/>
              <o:lock v:ext="edit" aspectratio="f"/>
              <v:textbox inset="0mm,0mm,0mm,0mm" style="mso-fit-shape-to-text:t;">
                <w:txbxContent>
                  <w:p w14:paraId="1B3374C4">
                    <w:pPr>
                      <w:pStyle w:val="4"/>
                    </w:pPr>
                    <w:r>
                      <w:fldChar w:fldCharType="begin"/>
                    </w:r>
                    <w:r>
                      <w:instrText xml:space="preserve"> PAGE  \* MERGEFORMAT </w:instrText>
                    </w:r>
                    <w:r>
                      <w:fldChar w:fldCharType="separate"/>
                    </w:r>
                    <w:r>
                      <w:t>169</w:t>
                    </w:r>
                    <w:r>
                      <w:fldChar w:fldCharType="end"/>
                    </w:r>
                  </w:p>
                </w:txbxContent>
              </v:textbox>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1BF80">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7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8" name="文本框 14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6D17B8">
                          <w:pPr>
                            <w:pStyle w:val="4"/>
                          </w:pPr>
                          <w:r>
                            <w:fldChar w:fldCharType="begin"/>
                          </w:r>
                          <w:r>
                            <w:instrText xml:space="preserve"> PAGE  \* MERGEFORMAT </w:instrText>
                          </w:r>
                          <w:r>
                            <w:fldChar w:fldCharType="separate"/>
                          </w:r>
                          <w:r>
                            <w:t>170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7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eI0ZA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HiNGQNAIAAGcEAAAOAAAAAAAAAAEAIAAAAB8BAABkcnMvZTJvRG9jLnhtbFBL&#10;BQYAAAAABgAGAFkBAADFBQAAAAA=&#10;">
              <v:fill on="f" focussize="0,0"/>
              <v:stroke on="f" weight="0.5pt"/>
              <v:imagedata o:title=""/>
              <o:lock v:ext="edit" aspectratio="f"/>
              <v:textbox inset="0mm,0mm,0mm,0mm" style="mso-fit-shape-to-text:t;">
                <w:txbxContent>
                  <w:p w14:paraId="286D17B8">
                    <w:pPr>
                      <w:pStyle w:val="4"/>
                    </w:pPr>
                    <w:r>
                      <w:fldChar w:fldCharType="begin"/>
                    </w:r>
                    <w:r>
                      <w:instrText xml:space="preserve"> PAGE  \* MERGEFORMAT </w:instrText>
                    </w:r>
                    <w:r>
                      <w:fldChar w:fldCharType="separate"/>
                    </w:r>
                    <w:r>
                      <w:t>170</w:t>
                    </w:r>
                    <w:r>
                      <w:fldChar w:fldCharType="end"/>
                    </w:r>
                  </w:p>
                </w:txbxContent>
              </v:textbox>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FF07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8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9" name="文本框 14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588A19">
                          <w:pPr>
                            <w:pStyle w:val="4"/>
                          </w:pPr>
                          <w:r>
                            <w:fldChar w:fldCharType="begin"/>
                          </w:r>
                          <w:r>
                            <w:instrText xml:space="preserve"> PAGE  \* MERGEFORMAT </w:instrText>
                          </w:r>
                          <w:r>
                            <w:fldChar w:fldCharType="separate"/>
                          </w:r>
                          <w:r>
                            <w:t>171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8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jk4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KWOTjUCAABnBAAADgAAAAAAAAABACAAAAAfAQAAZHJzL2Uyb0RvYy54bWxQ&#10;SwUGAAAAAAYABgBZAQAAxgUAAAAA&#10;">
              <v:fill on="f" focussize="0,0"/>
              <v:stroke on="f" weight="0.5pt"/>
              <v:imagedata o:title=""/>
              <o:lock v:ext="edit" aspectratio="f"/>
              <v:textbox inset="0mm,0mm,0mm,0mm" style="mso-fit-shape-to-text:t;">
                <w:txbxContent>
                  <w:p w14:paraId="72588A19">
                    <w:pPr>
                      <w:pStyle w:val="4"/>
                    </w:pPr>
                    <w:r>
                      <w:fldChar w:fldCharType="begin"/>
                    </w:r>
                    <w:r>
                      <w:instrText xml:space="preserve"> PAGE  \* MERGEFORMAT </w:instrText>
                    </w:r>
                    <w:r>
                      <w:fldChar w:fldCharType="separate"/>
                    </w:r>
                    <w:r>
                      <w:t>171</w:t>
                    </w:r>
                    <w:r>
                      <w:fldChar w:fldCharType="end"/>
                    </w:r>
                  </w:p>
                </w:txbxContent>
              </v:textbox>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679AD">
    <w:pPr>
      <w:spacing w:line="170" w:lineRule="auto"/>
      <w:ind w:left="4417"/>
      <w:rPr>
        <w:rFonts w:ascii="仿宋" w:hAnsi="仿宋" w:eastAsia="仿宋" w:cs="仿宋"/>
        <w:sz w:val="18"/>
        <w:szCs w:val="18"/>
      </w:rPr>
    </w:pPr>
    <w:r>
      <w:rPr>
        <w:sz w:val="18"/>
      </w:rPr>
      <mc:AlternateContent>
        <mc:Choice Requires="wps">
          <w:drawing>
            <wp:anchor distT="0" distB="0" distL="114300" distR="114300" simplePos="0" relativeHeight="251809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0" name="文本框 14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483428">
                          <w:pPr>
                            <w:pStyle w:val="4"/>
                          </w:pPr>
                          <w:r>
                            <w:fldChar w:fldCharType="begin"/>
                          </w:r>
                          <w:r>
                            <w:instrText xml:space="preserve"> PAGE  \* MERGEFORMAT </w:instrText>
                          </w:r>
                          <w:r>
                            <w:fldChar w:fldCharType="separate"/>
                          </w:r>
                          <w:r>
                            <w:t>172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9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h/VA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wZgxTNFN78/OP7&#10;+efj+dc30mpBUm39DL5bC+/QvDMNAiJ5Ue+hjL03hVPxi64I7EA7XSgWTSA8Bk0n02kKE4dtuAAn&#10;uYZb58N7YRSJQkYd3rCllh03PnSug0vMps26khJ6NpOa1Bm9ef02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p4f1QNAIAAGcEAAAOAAAAAAAAAAEAIAAAAB8BAABkcnMvZTJvRG9jLnhtbFBL&#10;BQYAAAAABgAGAFkBAADFBQAAAAA=&#10;">
              <v:fill on="f" focussize="0,0"/>
              <v:stroke on="f" weight="0.5pt"/>
              <v:imagedata o:title=""/>
              <o:lock v:ext="edit" aspectratio="f"/>
              <v:textbox inset="0mm,0mm,0mm,0mm" style="mso-fit-shape-to-text:t;">
                <w:txbxContent>
                  <w:p w14:paraId="5F483428">
                    <w:pPr>
                      <w:pStyle w:val="4"/>
                    </w:pPr>
                    <w:r>
                      <w:fldChar w:fldCharType="begin"/>
                    </w:r>
                    <w:r>
                      <w:instrText xml:space="preserve"> PAGE  \* MERGEFORMAT </w:instrText>
                    </w:r>
                    <w:r>
                      <w:fldChar w:fldCharType="separate"/>
                    </w:r>
                    <w:r>
                      <w:t>172</w:t>
                    </w:r>
                    <w:r>
                      <w:fldChar w:fldCharType="end"/>
                    </w:r>
                  </w:p>
                </w:txbxContent>
              </v:textbox>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37488">
    <w:pPr>
      <w:spacing w:line="170" w:lineRule="auto"/>
      <w:ind w:left="4378"/>
      <w:rPr>
        <w:rFonts w:ascii="仿宋" w:hAnsi="仿宋" w:eastAsia="仿宋" w:cs="仿宋"/>
        <w:sz w:val="18"/>
        <w:szCs w:val="18"/>
      </w:rPr>
    </w:pPr>
    <w:r>
      <w:rPr>
        <w:sz w:val="18"/>
      </w:rPr>
      <mc:AlternateContent>
        <mc:Choice Requires="wps">
          <w:drawing>
            <wp:anchor distT="0" distB="0" distL="114300" distR="114300" simplePos="0" relativeHeight="251810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1" name="文本框 14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3D54B6">
                          <w:pPr>
                            <w:pStyle w:val="4"/>
                          </w:pPr>
                          <w:r>
                            <w:fldChar w:fldCharType="begin"/>
                          </w:r>
                          <w:r>
                            <w:instrText xml:space="preserve"> PAGE  \* MERGEFORMAT </w:instrText>
                          </w:r>
                          <w:r>
                            <w:fldChar w:fldCharType="separate"/>
                          </w:r>
                          <w:r>
                            <w:t>173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0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rMoo4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wZjynRTGHm5x/f&#10;zz8fz7++kVYLkmrrZ/DdWniH5p1pEBDJi3oPZey9KZyKX3RFYAfFpwvFogmEx6DpZDpNYeKwDRfg&#10;JNdw63x4L4wiUciowwxbatlx40PnOrjEbNqsKymhZzOpSZ3Rm9dv0z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6zKKONAIAAGcEAAAOAAAAAAAAAAEAIAAAAB8BAABkcnMvZTJvRG9jLnhtbFBL&#10;BQYAAAAABgAGAFkBAADFBQAAAAA=&#10;">
              <v:fill on="f" focussize="0,0"/>
              <v:stroke on="f" weight="0.5pt"/>
              <v:imagedata o:title=""/>
              <o:lock v:ext="edit" aspectratio="f"/>
              <v:textbox inset="0mm,0mm,0mm,0mm" style="mso-fit-shape-to-text:t;">
                <w:txbxContent>
                  <w:p w14:paraId="013D54B6">
                    <w:pPr>
                      <w:pStyle w:val="4"/>
                    </w:pPr>
                    <w:r>
                      <w:fldChar w:fldCharType="begin"/>
                    </w:r>
                    <w:r>
                      <w:instrText xml:space="preserve"> PAGE  \* MERGEFORMAT </w:instrText>
                    </w:r>
                    <w:r>
                      <w:fldChar w:fldCharType="separate"/>
                    </w:r>
                    <w:r>
                      <w:t>173</w:t>
                    </w:r>
                    <w:r>
                      <w:fldChar w:fldCharType="end"/>
                    </w:r>
                  </w:p>
                </w:txbxContent>
              </v:textbox>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DE5D2">
    <w:pPr>
      <w:spacing w:line="170" w:lineRule="auto"/>
      <w:ind w:left="4806"/>
      <w:rPr>
        <w:rFonts w:ascii="仿宋" w:hAnsi="仿宋" w:eastAsia="仿宋" w:cs="仿宋"/>
        <w:sz w:val="18"/>
        <w:szCs w:val="18"/>
      </w:rPr>
    </w:pPr>
    <w:r>
      <w:rPr>
        <w:sz w:val="18"/>
      </w:rPr>
      <mc:AlternateContent>
        <mc:Choice Requires="wps">
          <w:drawing>
            <wp:anchor distT="0" distB="0" distL="114300" distR="114300" simplePos="0" relativeHeight="251811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2" name="文本框 14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403993">
                          <w:pPr>
                            <w:pStyle w:val="4"/>
                          </w:pPr>
                          <w:r>
                            <w:fldChar w:fldCharType="begin"/>
                          </w:r>
                          <w:r>
                            <w:instrText xml:space="preserve"> PAGE  \* MERGEFORMAT </w:instrText>
                          </w:r>
                          <w:r>
                            <w:fldChar w:fldCharType="separate"/>
                          </w:r>
                          <w:r>
                            <w:t>174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1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69Mjc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wZTy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Tr0yNzUCAABnBAAADgAAAAAAAAABACAAAAAfAQAAZHJzL2Uyb0RvYy54bWxQ&#10;SwUGAAAAAAYABgBZAQAAxgUAAAAA&#10;">
              <v:fill on="f" focussize="0,0"/>
              <v:stroke on="f" weight="0.5pt"/>
              <v:imagedata o:title=""/>
              <o:lock v:ext="edit" aspectratio="f"/>
              <v:textbox inset="0mm,0mm,0mm,0mm" style="mso-fit-shape-to-text:t;">
                <w:txbxContent>
                  <w:p w14:paraId="04403993">
                    <w:pPr>
                      <w:pStyle w:val="4"/>
                    </w:pPr>
                    <w:r>
                      <w:fldChar w:fldCharType="begin"/>
                    </w:r>
                    <w:r>
                      <w:instrText xml:space="preserve"> PAGE  \* MERGEFORMAT </w:instrText>
                    </w:r>
                    <w:r>
                      <w:fldChar w:fldCharType="separate"/>
                    </w:r>
                    <w:r>
                      <w:t>174</w:t>
                    </w:r>
                    <w:r>
                      <w:fldChar w:fldCharType="end"/>
                    </w:r>
                  </w:p>
                </w:txbxContent>
              </v:textbox>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B8E51">
    <w:pPr>
      <w:spacing w:line="170" w:lineRule="auto"/>
      <w:ind w:left="4806"/>
      <w:rPr>
        <w:rFonts w:ascii="仿宋" w:hAnsi="仿宋" w:eastAsia="仿宋" w:cs="仿宋"/>
        <w:sz w:val="18"/>
        <w:szCs w:val="18"/>
      </w:rPr>
    </w:pPr>
    <w:r>
      <w:rPr>
        <w:sz w:val="18"/>
      </w:rPr>
      <mc:AlternateContent>
        <mc:Choice Requires="wps">
          <w:drawing>
            <wp:anchor distT="0" distB="0" distL="114300" distR="114300" simplePos="0" relativeHeight="251812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3" name="文本框 14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872B82">
                          <w:pPr>
                            <w:pStyle w:val="4"/>
                          </w:pPr>
                          <w:r>
                            <w:fldChar w:fldCharType="begin"/>
                          </w:r>
                          <w:r>
                            <w:instrText xml:space="preserve"> PAGE  \* MERGEFORMAT </w:instrText>
                          </w:r>
                          <w:r>
                            <w:fldChar w:fldCharType="separate"/>
                          </w:r>
                          <w:r>
                            <w:t>175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2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Qbek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6Pby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XZBt6TUCAABnBAAADgAAAAAAAAABACAAAAAfAQAAZHJzL2Uyb0RvYy54bWxQ&#10;SwUGAAAAAAYABgBZAQAAxgUAAAAA&#10;">
              <v:fill on="f" focussize="0,0"/>
              <v:stroke on="f" weight="0.5pt"/>
              <v:imagedata o:title=""/>
              <o:lock v:ext="edit" aspectratio="f"/>
              <v:textbox inset="0mm,0mm,0mm,0mm" style="mso-fit-shape-to-text:t;">
                <w:txbxContent>
                  <w:p w14:paraId="77872B82">
                    <w:pPr>
                      <w:pStyle w:val="4"/>
                    </w:pPr>
                    <w:r>
                      <w:fldChar w:fldCharType="begin"/>
                    </w:r>
                    <w:r>
                      <w:instrText xml:space="preserve"> PAGE  \* MERGEFORMAT </w:instrText>
                    </w:r>
                    <w:r>
                      <w:fldChar w:fldCharType="separate"/>
                    </w:r>
                    <w:r>
                      <w:t>175</w:t>
                    </w:r>
                    <w:r>
                      <w:fldChar w:fldCharType="end"/>
                    </w:r>
                  </w:p>
                </w:txbxContent>
              </v:textbox>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0A8E5">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13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4" name="文本框 14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C58969">
                          <w:pPr>
                            <w:pStyle w:val="4"/>
                          </w:pPr>
                          <w:r>
                            <w:fldChar w:fldCharType="begin"/>
                          </w:r>
                          <w:r>
                            <w:instrText xml:space="preserve"> PAGE  \* MERGEFORMAT </w:instrText>
                          </w:r>
                          <w:r>
                            <w:fldChar w:fldCharType="separate"/>
                          </w:r>
                          <w:r>
                            <w:t>176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3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ZY58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GN5RopvDmp+/f&#10;Tj9+nX5+JZ0WJDXWZ/DdWHiH9q1pERDJi3oPZey9LZ2KX3RFYAfFxwvFog2Ex6DpZDpNYeKwDRfg&#10;JNdw63x4J4wiUcipwxt21LLD2ofedXCJ2bRZ1VJCzzKpSZPT2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51ljnzUCAABnBAAADgAAAAAAAAABACAAAAAfAQAAZHJzL2Uyb0RvYy54bWxQ&#10;SwUGAAAAAAYABgBZAQAAxgUAAAAA&#10;">
              <v:fill on="f" focussize="0,0"/>
              <v:stroke on="f" weight="0.5pt"/>
              <v:imagedata o:title=""/>
              <o:lock v:ext="edit" aspectratio="f"/>
              <v:textbox inset="0mm,0mm,0mm,0mm" style="mso-fit-shape-to-text:t;">
                <w:txbxContent>
                  <w:p w14:paraId="04C58969">
                    <w:pPr>
                      <w:pStyle w:val="4"/>
                    </w:pPr>
                    <w:r>
                      <w:fldChar w:fldCharType="begin"/>
                    </w:r>
                    <w:r>
                      <w:instrText xml:space="preserve"> PAGE  \* MERGEFORMAT </w:instrText>
                    </w:r>
                    <w:r>
                      <w:fldChar w:fldCharType="separate"/>
                    </w:r>
                    <w:r>
                      <w:t>176</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73F4D">
    <w:pPr>
      <w:spacing w:line="176" w:lineRule="auto"/>
      <w:ind w:left="408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7" name="文本框 12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D8DAAF">
                          <w:pPr>
                            <w:pStyle w:val="4"/>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j1k9U1AgAAZwQAAA4AAABkcnMvZTJvRG9jLnhtbK1UzY7TMBC+I/EO&#10;lu80aRGl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ibTt5RopvDm5x/f&#10;zz8fz7++kVYLkmrr5/DdWniH5p1pEBDJi3oPZey9KZyKX3RFYAfFpwvFogmEx6DZZDZLYeKwDRfg&#10;JNdw63x4L4wiUciowxu21LLjnQ+d6+ASs2mzqaSEns2lJnVGp6/fpG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PWT1TUCAABnBAAADgAAAAAAAAABACAAAAAfAQAAZHJzL2Uyb0RvYy54bWxQ&#10;SwUGAAAAAAYABgBZAQAAxgUAAAAA&#10;">
              <v:fill on="f" focussize="0,0"/>
              <v:stroke on="f" weight="0.5pt"/>
              <v:imagedata o:title=""/>
              <o:lock v:ext="edit" aspectratio="f"/>
              <v:textbox inset="0mm,0mm,0mm,0mm" style="mso-fit-shape-to-text:t;">
                <w:txbxContent>
                  <w:p w14:paraId="78D8DAAF">
                    <w:pPr>
                      <w:pStyle w:val="4"/>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7792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14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5" name="文本框 14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88236F">
                          <w:pPr>
                            <w:pStyle w:val="4"/>
                          </w:pPr>
                          <w:r>
                            <w:fldChar w:fldCharType="begin"/>
                          </w:r>
                          <w:r>
                            <w:instrText xml:space="preserve"> PAGE  \* MERGEFORMAT </w:instrText>
                          </w:r>
                          <w:r>
                            <w:fldChar w:fldCharType="separate"/>
                          </w:r>
                          <w:r>
                            <w:t>177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4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R0PEE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6Mby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9HQ8QTUCAABnBAAADgAAAAAAAAABACAAAAAfAQAAZHJzL2Uyb0RvYy54bWxQ&#10;SwUGAAAAAAYABgBZAQAAxgUAAAAA&#10;">
              <v:fill on="f" focussize="0,0"/>
              <v:stroke on="f" weight="0.5pt"/>
              <v:imagedata o:title=""/>
              <o:lock v:ext="edit" aspectratio="f"/>
              <v:textbox inset="0mm,0mm,0mm,0mm" style="mso-fit-shape-to-text:t;">
                <w:txbxContent>
                  <w:p w14:paraId="4288236F">
                    <w:pPr>
                      <w:pStyle w:val="4"/>
                    </w:pPr>
                    <w:r>
                      <w:fldChar w:fldCharType="begin"/>
                    </w:r>
                    <w:r>
                      <w:instrText xml:space="preserve"> PAGE  \* MERGEFORMAT </w:instrText>
                    </w:r>
                    <w:r>
                      <w:fldChar w:fldCharType="separate"/>
                    </w:r>
                    <w:r>
                      <w:t>177</w:t>
                    </w:r>
                    <w:r>
                      <w:fldChar w:fldCharType="end"/>
                    </w:r>
                  </w:p>
                </w:txbxContent>
              </v:textbox>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F3D56">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15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6" name="文本框 14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4AC22F">
                          <w:pPr>
                            <w:pStyle w:val="4"/>
                          </w:pPr>
                          <w:r>
                            <w:fldChar w:fldCharType="begin"/>
                          </w:r>
                          <w:r>
                            <w:instrText xml:space="preserve"> PAGE  \* MERGEFORMAT </w:instrText>
                          </w:r>
                          <w:r>
                            <w:fldChar w:fldCharType="separate"/>
                          </w:r>
                          <w:r>
                            <w:t>178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5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FrPg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wZ31CimcKbn398&#10;P/98PP/6RlotSKqtn8F3a+EdmnemQUAkL+o9lLH3pnAqftEVgR0Uny4UiyYQHoOmk+k0hYnDNlyA&#10;k1zDrfPhvTCKRCGjDm/YUsuOGx8618ElZtNmXUkJPZtJTeqM3rx+m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AWs+DUCAABnBAAADgAAAAAAAAABACAAAAAfAQAAZHJzL2Uyb0RvYy54bWxQ&#10;SwUGAAAAAAYABgBZAQAAxgUAAAAA&#10;">
              <v:fill on="f" focussize="0,0"/>
              <v:stroke on="f" weight="0.5pt"/>
              <v:imagedata o:title=""/>
              <o:lock v:ext="edit" aspectratio="f"/>
              <v:textbox inset="0mm,0mm,0mm,0mm" style="mso-fit-shape-to-text:t;">
                <w:txbxContent>
                  <w:p w14:paraId="7B4AC22F">
                    <w:pPr>
                      <w:pStyle w:val="4"/>
                    </w:pPr>
                    <w:r>
                      <w:fldChar w:fldCharType="begin"/>
                    </w:r>
                    <w:r>
                      <w:instrText xml:space="preserve"> PAGE  \* MERGEFORMAT </w:instrText>
                    </w:r>
                    <w:r>
                      <w:fldChar w:fldCharType="separate"/>
                    </w:r>
                    <w:r>
                      <w:t>178</w:t>
                    </w:r>
                    <w:r>
                      <w:fldChar w:fldCharType="end"/>
                    </w:r>
                  </w:p>
                </w:txbxContent>
              </v:textbox>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FB70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16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7" name="文本框 14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D4E321">
                          <w:pPr>
                            <w:pStyle w:val="4"/>
                          </w:pPr>
                          <w:r>
                            <w:fldChar w:fldCharType="begin"/>
                          </w:r>
                          <w:r>
                            <w:instrText xml:space="preserve"> PAGE  \* MERGEFORMAT </w:instrText>
                          </w:r>
                          <w:r>
                            <w:fldChar w:fldCharType="separate"/>
                          </w:r>
                          <w:r>
                            <w:t>179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6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o8yY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x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kyjzJjUCAABnBAAADgAAAAAAAAABACAAAAAfAQAAZHJzL2Uyb0RvYy54bWxQ&#10;SwUGAAAAAAYABgBZAQAAxgUAAAAA&#10;">
              <v:fill on="f" focussize="0,0"/>
              <v:stroke on="f" weight="0.5pt"/>
              <v:imagedata o:title=""/>
              <o:lock v:ext="edit" aspectratio="f"/>
              <v:textbox inset="0mm,0mm,0mm,0mm" style="mso-fit-shape-to-text:t;">
                <w:txbxContent>
                  <w:p w14:paraId="12D4E321">
                    <w:pPr>
                      <w:pStyle w:val="4"/>
                    </w:pPr>
                    <w:r>
                      <w:fldChar w:fldCharType="begin"/>
                    </w:r>
                    <w:r>
                      <w:instrText xml:space="preserve"> PAGE  \* MERGEFORMAT </w:instrText>
                    </w:r>
                    <w:r>
                      <w:fldChar w:fldCharType="separate"/>
                    </w:r>
                    <w:r>
                      <w:t>179</w:t>
                    </w:r>
                    <w:r>
                      <w:fldChar w:fldCharType="end"/>
                    </w:r>
                  </w:p>
                </w:txbxContent>
              </v:textbox>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B09D1">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17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8" name="文本框 14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738E92">
                          <w:pPr>
                            <w:pStyle w:val="4"/>
                          </w:pPr>
                          <w:r>
                            <w:fldChar w:fldCharType="begin"/>
                          </w:r>
                          <w:r>
                            <w:instrText xml:space="preserve"> PAGE  \* MERGEFORMAT </w:instrText>
                          </w:r>
                          <w:r>
                            <w:fldChar w:fldCharType="separate"/>
                          </w:r>
                          <w:r>
                            <w:t>180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7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SWsRQ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HNGJ3XTKHn5x/f&#10;zz8fz7++kVYLkmrrZ/DdWniH5p1pEBDJi3oPZay9KZyKX1RFYAfFpwvFogmEx6DpZDpNYeKwDRfg&#10;JNdw63x4L4wiUcioQw9batlx40PnOrjEbNqsKymhZzOpSZ3Rm9dv0z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0lrEUNAIAAGcEAAAOAAAAAAAAAAEAIAAAAB8BAABkcnMvZTJvRG9jLnhtbFBL&#10;BQYAAAAABgAGAFkBAADFBQAAAAA=&#10;">
              <v:fill on="f" focussize="0,0"/>
              <v:stroke on="f" weight="0.5pt"/>
              <v:imagedata o:title=""/>
              <o:lock v:ext="edit" aspectratio="f"/>
              <v:textbox inset="0mm,0mm,0mm,0mm" style="mso-fit-shape-to-text:t;">
                <w:txbxContent>
                  <w:p w14:paraId="25738E92">
                    <w:pPr>
                      <w:pStyle w:val="4"/>
                    </w:pPr>
                    <w:r>
                      <w:fldChar w:fldCharType="begin"/>
                    </w:r>
                    <w:r>
                      <w:instrText xml:space="preserve"> PAGE  \* MERGEFORMAT </w:instrText>
                    </w:r>
                    <w:r>
                      <w:fldChar w:fldCharType="separate"/>
                    </w:r>
                    <w:r>
                      <w:t>180</w:t>
                    </w:r>
                    <w:r>
                      <w:fldChar w:fldCharType="end"/>
                    </w:r>
                  </w:p>
                </w:txbxContent>
              </v:textbox>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E3F51">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19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9" name="文本框 14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996F27">
                          <w:pPr>
                            <w:pStyle w:val="4"/>
                          </w:pPr>
                          <w:r>
                            <w:fldChar w:fldCharType="begin"/>
                          </w:r>
                          <w:r>
                            <w:instrText xml:space="preserve"> PAGE  \* MERGEFORMAT </w:instrText>
                          </w:r>
                          <w:r>
                            <w:fldChar w:fldCharType="separate"/>
                          </w:r>
                          <w:r>
                            <w:t>181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9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e77so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x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57vuyjUCAABnBAAADgAAAAAAAAABACAAAAAfAQAAZHJzL2Uyb0RvYy54bWxQ&#10;SwUGAAAAAAYABgBZAQAAxgUAAAAA&#10;">
              <v:fill on="f" focussize="0,0"/>
              <v:stroke on="f" weight="0.5pt"/>
              <v:imagedata o:title=""/>
              <o:lock v:ext="edit" aspectratio="f"/>
              <v:textbox inset="0mm,0mm,0mm,0mm" style="mso-fit-shape-to-text:t;">
                <w:txbxContent>
                  <w:p w14:paraId="53996F27">
                    <w:pPr>
                      <w:pStyle w:val="4"/>
                    </w:pPr>
                    <w:r>
                      <w:fldChar w:fldCharType="begin"/>
                    </w:r>
                    <w:r>
                      <w:instrText xml:space="preserve"> PAGE  \* MERGEFORMAT </w:instrText>
                    </w:r>
                    <w:r>
                      <w:fldChar w:fldCharType="separate"/>
                    </w:r>
                    <w:r>
                      <w:t>181</w:t>
                    </w:r>
                    <w:r>
                      <w:fldChar w:fldCharType="end"/>
                    </w:r>
                  </w:p>
                </w:txbxContent>
              </v:textbox>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3C504">
    <w:pPr>
      <w:spacing w:line="170" w:lineRule="auto"/>
      <w:ind w:left="4158"/>
      <w:rPr>
        <w:rFonts w:ascii="仿宋" w:hAnsi="仿宋" w:eastAsia="仿宋" w:cs="仿宋"/>
        <w:sz w:val="18"/>
        <w:szCs w:val="18"/>
      </w:rPr>
    </w:pPr>
    <w:r>
      <w:rPr>
        <w:sz w:val="18"/>
      </w:rPr>
      <mc:AlternateContent>
        <mc:Choice Requires="wps">
          <w:drawing>
            <wp:anchor distT="0" distB="0" distL="114300" distR="114300" simplePos="0" relativeHeight="251820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0" name="文本框 14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548ADB">
                          <w:pPr>
                            <w:pStyle w:val="4"/>
                          </w:pPr>
                          <w:r>
                            <w:fldChar w:fldCharType="begin"/>
                          </w:r>
                          <w:r>
                            <w:instrText xml:space="preserve"> PAGE  \* MERGEFORMAT </w:instrText>
                          </w:r>
                          <w:r>
                            <w:fldChar w:fldCharType="separate"/>
                          </w:r>
                          <w:r>
                            <w:t>182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0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ELAc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gBTNFN78/OP7&#10;+efj+dc30mpBUm39DL5bC+/QvDMNAiJ5Ue+hjL03hVPxi64I7EA7XSgWTSA8Bk0n02kKE4dtuAAn&#10;uYZb58N7YRSJQkYd3rCllh03PnSug0vMps26khJ6NpOa1Bm9ef02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9xCwHNAIAAGcEAAAOAAAAAAAAAAEAIAAAAB8BAABkcnMvZTJvRG9jLnhtbFBL&#10;BQYAAAAABgAGAFkBAADFBQAAAAA=&#10;">
              <v:fill on="f" focussize="0,0"/>
              <v:stroke on="f" weight="0.5pt"/>
              <v:imagedata o:title=""/>
              <o:lock v:ext="edit" aspectratio="f"/>
              <v:textbox inset="0mm,0mm,0mm,0mm" style="mso-fit-shape-to-text:t;">
                <w:txbxContent>
                  <w:p w14:paraId="57548ADB">
                    <w:pPr>
                      <w:pStyle w:val="4"/>
                    </w:pPr>
                    <w:r>
                      <w:fldChar w:fldCharType="begin"/>
                    </w:r>
                    <w:r>
                      <w:instrText xml:space="preserve"> PAGE  \* MERGEFORMAT </w:instrText>
                    </w:r>
                    <w:r>
                      <w:fldChar w:fldCharType="separate"/>
                    </w:r>
                    <w:r>
                      <w:t>182</w:t>
                    </w:r>
                    <w:r>
                      <w:fldChar w:fldCharType="end"/>
                    </w:r>
                  </w:p>
                </w:txbxContent>
              </v:textbox>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7F46C">
    <w:pPr>
      <w:spacing w:line="170" w:lineRule="auto"/>
      <w:ind w:left="4158"/>
      <w:rPr>
        <w:rFonts w:ascii="仿宋" w:hAnsi="仿宋" w:eastAsia="仿宋" w:cs="仿宋"/>
        <w:sz w:val="18"/>
        <w:szCs w:val="18"/>
      </w:rPr>
    </w:pPr>
    <w:r>
      <w:rPr>
        <w:sz w:val="18"/>
      </w:rPr>
      <mc:AlternateContent>
        <mc:Choice Requires="wps">
          <w:drawing>
            <wp:anchor distT="0" distB="0" distL="114300" distR="114300" simplePos="0" relativeHeight="251821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1" name="文本框 14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62A02A">
                          <w:pPr>
                            <w:pStyle w:val="4"/>
                          </w:pPr>
                          <w:r>
                            <w:fldChar w:fldCharType="begin"/>
                          </w:r>
                          <w:r>
                            <w:instrText xml:space="preserve"> PAGE  \* MERGEFORMAT </w:instrText>
                          </w:r>
                          <w:r>
                            <w:fldChar w:fldCharType="separate"/>
                          </w:r>
                          <w:r>
                            <w:t>183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1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7pc9k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yZjCnRTGHm5x/f&#10;zz8fz7++kVYLkmrrZ/DdWniH5p1pEBDJi3oPZey9KZyKX3RFYAfFpwvFogmEx6DpZDpNYeKwDRfg&#10;JNdw63x4L4wiUciowwxbatlx40PnOrjEbNqsKymhZzOpSZ3Rm9dv0z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6XPZNAIAAGcEAAAOAAAAAAAAAAEAIAAAAB8BAABkcnMvZTJvRG9jLnhtbFBL&#10;BQYAAAAABgAGAFkBAADFBQAAAAA=&#10;">
              <v:fill on="f" focussize="0,0"/>
              <v:stroke on="f" weight="0.5pt"/>
              <v:imagedata o:title=""/>
              <o:lock v:ext="edit" aspectratio="f"/>
              <v:textbox inset="0mm,0mm,0mm,0mm" style="mso-fit-shape-to-text:t;">
                <w:txbxContent>
                  <w:p w14:paraId="0A62A02A">
                    <w:pPr>
                      <w:pStyle w:val="4"/>
                    </w:pPr>
                    <w:r>
                      <w:fldChar w:fldCharType="begin"/>
                    </w:r>
                    <w:r>
                      <w:instrText xml:space="preserve"> PAGE  \* MERGEFORMAT </w:instrText>
                    </w:r>
                    <w:r>
                      <w:fldChar w:fldCharType="separate"/>
                    </w:r>
                    <w:r>
                      <w:t>183</w:t>
                    </w:r>
                    <w:r>
                      <w:fldChar w:fldCharType="end"/>
                    </w:r>
                  </w:p>
                </w:txbxContent>
              </v:textbox>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344ED">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22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2" name="文本框 14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FA3AF4">
                          <w:pPr>
                            <w:pStyle w:val="4"/>
                          </w:pPr>
                          <w:r>
                            <w:fldChar w:fldCharType="begin"/>
                          </w:r>
                          <w:r>
                            <w:instrText xml:space="preserve"> PAGE  \* MERGEFORMAT </w:instrText>
                          </w:r>
                          <w:r>
                            <w:fldChar w:fldCharType="separate"/>
                          </w:r>
                          <w:r>
                            <w:t>184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2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Y42A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TC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pjjYDUCAABnBAAADgAAAAAAAAABACAAAAAfAQAAZHJzL2Uyb0RvYy54bWxQ&#10;SwUGAAAAAAYABgBZAQAAxgUAAAAA&#10;">
              <v:fill on="f" focussize="0,0"/>
              <v:stroke on="f" weight="0.5pt"/>
              <v:imagedata o:title=""/>
              <o:lock v:ext="edit" aspectratio="f"/>
              <v:textbox inset="0mm,0mm,0mm,0mm" style="mso-fit-shape-to-text:t;">
                <w:txbxContent>
                  <w:p w14:paraId="2AFA3AF4">
                    <w:pPr>
                      <w:pStyle w:val="4"/>
                    </w:pPr>
                    <w:r>
                      <w:fldChar w:fldCharType="begin"/>
                    </w:r>
                    <w:r>
                      <w:instrText xml:space="preserve"> PAGE  \* MERGEFORMAT </w:instrText>
                    </w:r>
                    <w:r>
                      <w:fldChar w:fldCharType="separate"/>
                    </w:r>
                    <w:r>
                      <w:t>184</w:t>
                    </w:r>
                    <w:r>
                      <w:fldChar w:fldCharType="end"/>
                    </w:r>
                  </w:p>
                </w:txbxContent>
              </v:textbox>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40B3C">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23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3" name="文本框 14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F811B5">
                          <w:pPr>
                            <w:pStyle w:val="4"/>
                          </w:pPr>
                          <w:r>
                            <w:fldChar w:fldCharType="begin"/>
                          </w:r>
                          <w:r>
                            <w:instrText xml:space="preserve"> PAGE  \* MERGEFORMAT </w:instrText>
                          </w:r>
                          <w:r>
                            <w:fldChar w:fldCharType="separate"/>
                          </w:r>
                          <w:r>
                            <w:t>185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3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m1vL4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5Pbi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bW8vjUCAABnBAAADgAAAAAAAAABACAAAAAfAQAAZHJzL2Uyb0RvYy54bWxQ&#10;SwUGAAAAAAYABgBZAQAAxgUAAAAA&#10;">
              <v:fill on="f" focussize="0,0"/>
              <v:stroke on="f" weight="0.5pt"/>
              <v:imagedata o:title=""/>
              <o:lock v:ext="edit" aspectratio="f"/>
              <v:textbox inset="0mm,0mm,0mm,0mm" style="mso-fit-shape-to-text:t;">
                <w:txbxContent>
                  <w:p w14:paraId="63F811B5">
                    <w:pPr>
                      <w:pStyle w:val="4"/>
                    </w:pPr>
                    <w:r>
                      <w:fldChar w:fldCharType="begin"/>
                    </w:r>
                    <w:r>
                      <w:instrText xml:space="preserve"> PAGE  \* MERGEFORMAT </w:instrText>
                    </w:r>
                    <w:r>
                      <w:fldChar w:fldCharType="separate"/>
                    </w:r>
                    <w:r>
                      <w:t>185</w:t>
                    </w:r>
                    <w:r>
                      <w:fldChar w:fldCharType="end"/>
                    </w:r>
                  </w:p>
                </w:txbxContent>
              </v:textbox>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7A6AA">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24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4" name="文本框 14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00C6E5">
                          <w:pPr>
                            <w:pStyle w:val="4"/>
                          </w:pPr>
                          <w:r>
                            <w:fldChar w:fldCharType="begin"/>
                          </w:r>
                          <w:r>
                            <w:instrText xml:space="preserve"> PAGE  \* MERGEFORMAT </w:instrText>
                          </w:r>
                          <w:r>
                            <w:fldChar w:fldCharType="separate"/>
                          </w:r>
                          <w:r>
                            <w:t>186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4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8ssg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4mN5RopvDmp+/f&#10;Tj9+nX5+JZ0WJDXWZ/DdWHiH9q1pERDJi3oPZey9LZ2KX3RFYAfFxwvFog2Ex6DpZDpNYeKwDRfg&#10;JNdw63x4J4wiUcipwxt21LLD2ofedXCJ2bRZ1VJCzzKpSZPT2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3yyyDUCAABnBAAADgAAAAAAAAABACAAAAAfAQAAZHJzL2Uyb0RvYy54bWxQ&#10;SwUGAAAAAAYABgBZAQAAxgUAAAAA&#10;">
              <v:fill on="f" focussize="0,0"/>
              <v:stroke on="f" weight="0.5pt"/>
              <v:imagedata o:title=""/>
              <o:lock v:ext="edit" aspectratio="f"/>
              <v:textbox inset="0mm,0mm,0mm,0mm" style="mso-fit-shape-to-text:t;">
                <w:txbxContent>
                  <w:p w14:paraId="7200C6E5">
                    <w:pPr>
                      <w:pStyle w:val="4"/>
                    </w:pPr>
                    <w:r>
                      <w:fldChar w:fldCharType="begin"/>
                    </w:r>
                    <w:r>
                      <w:instrText xml:space="preserve"> PAGE  \* MERGEFORMAT </w:instrText>
                    </w:r>
                    <w:r>
                      <w:fldChar w:fldCharType="separate"/>
                    </w:r>
                    <w:r>
                      <w:t>186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58076">
    <w:pPr>
      <w:spacing w:line="176" w:lineRule="auto"/>
      <w:ind w:left="408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8" name="文本框 12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1E2AB2">
                          <w:pPr>
                            <w:pStyle w:val="4"/>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9HnNAIAAGcEAAAOAAAAAAAAAAEAIAAAAB8BAABkcnMvZTJvRG9jLnhtbFBL&#10;BQYAAAAABgAGAFkBAADFBQAAAAA=&#10;">
              <v:fill on="f" focussize="0,0"/>
              <v:stroke on="f" weight="0.5pt"/>
              <v:imagedata o:title=""/>
              <o:lock v:ext="edit" aspectratio="f"/>
              <v:textbox inset="0mm,0mm,0mm,0mm" style="mso-fit-shape-to-text:t;">
                <w:txbxContent>
                  <w:p w14:paraId="671E2AB2">
                    <w:pPr>
                      <w:pStyle w:val="4"/>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CABFA">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25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5" name="文本框 14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7F01EF">
                          <w:pPr>
                            <w:pStyle w:val="4"/>
                          </w:pPr>
                          <w:r>
                            <w:fldChar w:fldCharType="begin"/>
                          </w:r>
                          <w:r>
                            <w:instrText xml:space="preserve"> PAGE  \* MERGEFORMAT </w:instrText>
                          </w:r>
                          <w:r>
                            <w:fldChar w:fldCharType="separate"/>
                          </w:r>
                          <w:r>
                            <w:t>187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5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R7RY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5Mbi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oFHtFjUCAABnBAAADgAAAAAAAAABACAAAAAfAQAAZHJzL2Uyb0RvYy54bWxQ&#10;SwUGAAAAAAYABgBZAQAAxgUAAAAA&#10;">
              <v:fill on="f" focussize="0,0"/>
              <v:stroke on="f" weight="0.5pt"/>
              <v:imagedata o:title=""/>
              <o:lock v:ext="edit" aspectratio="f"/>
              <v:textbox inset="0mm,0mm,0mm,0mm" style="mso-fit-shape-to-text:t;">
                <w:txbxContent>
                  <w:p w14:paraId="0C7F01EF">
                    <w:pPr>
                      <w:pStyle w:val="4"/>
                    </w:pPr>
                    <w:r>
                      <w:fldChar w:fldCharType="begin"/>
                    </w:r>
                    <w:r>
                      <w:instrText xml:space="preserve"> PAGE  \* MERGEFORMAT </w:instrText>
                    </w:r>
                    <w:r>
                      <w:fldChar w:fldCharType="separate"/>
                    </w:r>
                    <w:r>
                      <w:t>187</w:t>
                    </w:r>
                    <w:r>
                      <w:fldChar w:fldCharType="end"/>
                    </w:r>
                  </w:p>
                </w:txbxContent>
              </v:textbox>
            </v:shape>
          </w:pict>
        </mc:Fallback>
      </mc:AlternateConten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7D04C">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26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6" name="文本框 14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D8B8B3">
                          <w:pPr>
                            <w:pStyle w:val="4"/>
                          </w:pPr>
                          <w:r>
                            <w:fldChar w:fldCharType="begin"/>
                          </w:r>
                          <w:r>
                            <w:instrText xml:space="preserve"> PAGE  \* MERGEFORMAT </w:instrText>
                          </w:r>
                          <w:r>
                            <w:fldChar w:fldCharType="separate"/>
                          </w:r>
                          <w:r>
                            <w:t>188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6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gfa8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3FCimcKbn398&#10;P/98PP/6RlotSKqtn8F3a+EdmnemQUAkL+o9lLH3pnAqftEVgR0Uny4UiyYQHoOmk+k0hYnDNlyA&#10;k1zDrfPhvTCKRCGjDm/YUsuOGx8618ElZtNmXUkJPZtJTeqM3rx+m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1CB9rzUCAABnBAAADgAAAAAAAAABACAAAAAfAQAAZHJzL2Uyb0RvYy54bWxQ&#10;SwUGAAAAAAYABgBZAQAAxgUAAAAA&#10;">
              <v:fill on="f" focussize="0,0"/>
              <v:stroke on="f" weight="0.5pt"/>
              <v:imagedata o:title=""/>
              <o:lock v:ext="edit" aspectratio="f"/>
              <v:textbox inset="0mm,0mm,0mm,0mm" style="mso-fit-shape-to-text:t;">
                <w:txbxContent>
                  <w:p w14:paraId="6ED8B8B3">
                    <w:pPr>
                      <w:pStyle w:val="4"/>
                    </w:pPr>
                    <w:r>
                      <w:fldChar w:fldCharType="begin"/>
                    </w:r>
                    <w:r>
                      <w:instrText xml:space="preserve"> PAGE  \* MERGEFORMAT </w:instrText>
                    </w:r>
                    <w:r>
                      <w:fldChar w:fldCharType="separate"/>
                    </w:r>
                    <w:r>
                      <w:t>188</w:t>
                    </w:r>
                    <w:r>
                      <w:fldChar w:fldCharType="end"/>
                    </w:r>
                  </w:p>
                </w:txbxContent>
              </v:textbox>
            </v:shape>
          </w:pict>
        </mc:Fallback>
      </mc:AlternateConten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9C019">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27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7" name="文本框 14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B9B6F3">
                          <w:pPr>
                            <w:pStyle w:val="4"/>
                          </w:pPr>
                          <w:r>
                            <w:fldChar w:fldCharType="begin"/>
                          </w:r>
                          <w:r>
                            <w:instrText xml:space="preserve"> PAGE  \* MERGEFORMAT </w:instrText>
                          </w:r>
                          <w:r>
                            <w:fldChar w:fldCharType="separate"/>
                          </w:r>
                          <w:r>
                            <w:t>189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7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cNInE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J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xw0icTUCAABnBAAADgAAAAAAAAABACAAAAAfAQAAZHJzL2Uyb0RvYy54bWxQ&#10;SwUGAAAAAAYABgBZAQAAxgUAAAAA&#10;">
              <v:fill on="f" focussize="0,0"/>
              <v:stroke on="f" weight="0.5pt"/>
              <v:imagedata o:title=""/>
              <o:lock v:ext="edit" aspectratio="f"/>
              <v:textbox inset="0mm,0mm,0mm,0mm" style="mso-fit-shape-to-text:t;">
                <w:txbxContent>
                  <w:p w14:paraId="66B9B6F3">
                    <w:pPr>
                      <w:pStyle w:val="4"/>
                    </w:pPr>
                    <w:r>
                      <w:fldChar w:fldCharType="begin"/>
                    </w:r>
                    <w:r>
                      <w:instrText xml:space="preserve"> PAGE  \* MERGEFORMAT </w:instrText>
                    </w:r>
                    <w:r>
                      <w:fldChar w:fldCharType="separate"/>
                    </w:r>
                    <w:r>
                      <w:t>189</w:t>
                    </w:r>
                    <w:r>
                      <w:fldChar w:fldCharType="end"/>
                    </w:r>
                  </w:p>
                </w:txbxContent>
              </v:textbox>
            </v:shape>
          </w:pict>
        </mc:Fallback>
      </mc:AlternateConten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DFB69">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28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8" name="文本框 14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597680">
                          <w:pPr>
                            <w:pStyle w:val="4"/>
                          </w:pPr>
                          <w:r>
                            <w:fldChar w:fldCharType="begin"/>
                          </w:r>
                          <w:r>
                            <w:instrText xml:space="preserve"> PAGE  \* MERGEFORMAT </w:instrText>
                          </w:r>
                          <w:r>
                            <w:fldChar w:fldCharType="separate"/>
                          </w:r>
                          <w:r>
                            <w:t>190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8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CzYEM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HNBJ3XTKHn5x/f&#10;zz8fz7++kVYLkmrrZ/DdWniH5p1pEBDJi3oPZay9KZyKX1RFYAfFpwvFogmEx6DpZDpNYeKwDRfg&#10;JNdw63x4L4wiUcioQw9batlx40PnOrjEbNqsKymhZzOpSZ3Rm9dv0z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gs2BDNAIAAGcEAAAOAAAAAAAAAAEAIAAAAB8BAABkcnMvZTJvRG9jLnhtbFBL&#10;BQYAAAAABgAGAFkBAADFBQAAAAA=&#10;">
              <v:fill on="f" focussize="0,0"/>
              <v:stroke on="f" weight="0.5pt"/>
              <v:imagedata o:title=""/>
              <o:lock v:ext="edit" aspectratio="f"/>
              <v:textbox inset="0mm,0mm,0mm,0mm" style="mso-fit-shape-to-text:t;">
                <w:txbxContent>
                  <w:p w14:paraId="75597680">
                    <w:pPr>
                      <w:pStyle w:val="4"/>
                    </w:pPr>
                    <w:r>
                      <w:fldChar w:fldCharType="begin"/>
                    </w:r>
                    <w:r>
                      <w:instrText xml:space="preserve"> PAGE  \* MERGEFORMAT </w:instrText>
                    </w:r>
                    <w:r>
                      <w:fldChar w:fldCharType="separate"/>
                    </w:r>
                    <w:r>
                      <w:t>190</w:t>
                    </w:r>
                    <w:r>
                      <w:fldChar w:fldCharType="end"/>
                    </w:r>
                  </w:p>
                </w:txbxContent>
              </v:textbox>
            </v:shape>
          </w:pict>
        </mc:Fallback>
      </mc:AlternateConten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452A7">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29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9" name="文本框 14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F145D0">
                          <w:pPr>
                            <w:pStyle w:val="4"/>
                          </w:pPr>
                          <w:r>
                            <w:fldChar w:fldCharType="begin"/>
                          </w:r>
                          <w:r>
                            <w:instrText xml:space="preserve"> PAGE  \* MERGEFORMAT </w:instrText>
                          </w:r>
                          <w:r>
                            <w:fldChar w:fldCharType="separate"/>
                          </w:r>
                          <w:r>
                            <w:t>191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9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eP50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J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54/nTUCAABnBAAADgAAAAAAAAABACAAAAAfAQAAZHJzL2Uyb0RvYy54bWxQ&#10;SwUGAAAAAAYABgBZAQAAxgUAAAAA&#10;">
              <v:fill on="f" focussize="0,0"/>
              <v:stroke on="f" weight="0.5pt"/>
              <v:imagedata o:title=""/>
              <o:lock v:ext="edit" aspectratio="f"/>
              <v:textbox inset="0mm,0mm,0mm,0mm" style="mso-fit-shape-to-text:t;">
                <w:txbxContent>
                  <w:p w14:paraId="79F145D0">
                    <w:pPr>
                      <w:pStyle w:val="4"/>
                    </w:pPr>
                    <w:r>
                      <w:fldChar w:fldCharType="begin"/>
                    </w:r>
                    <w:r>
                      <w:instrText xml:space="preserve"> PAGE  \* MERGEFORMAT </w:instrText>
                    </w:r>
                    <w:r>
                      <w:fldChar w:fldCharType="separate"/>
                    </w:r>
                    <w:r>
                      <w:t>191</w:t>
                    </w:r>
                    <w:r>
                      <w:fldChar w:fldCharType="end"/>
                    </w:r>
                  </w:p>
                </w:txbxContent>
              </v:textbox>
            </v:shape>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9E9A6">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30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0" name="文本框 14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17822F">
                          <w:pPr>
                            <w:pStyle w:val="4"/>
                          </w:pPr>
                          <w:r>
                            <w:fldChar w:fldCharType="begin"/>
                          </w:r>
                          <w:r>
                            <w:instrText xml:space="preserve"> PAGE  \* MERGEFORMAT </w:instrText>
                          </w:r>
                          <w:r>
                            <w:fldChar w:fldCharType="separate"/>
                          </w:r>
                          <w:r>
                            <w:t>192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0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7aTIM0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7fgBTNFN789P3b&#10;6cev08+vpNOCpMb6DL4bC+/QvjUtAiJ5Ue+hjL23pVPxi64I7EA7XigWbSA8Bk0n02kKE4dtuAAn&#10;uYZb58M7YRSJQk4d3rCjlh3WPvSug0vMps2qlhJ6lklNmpze3rxJ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O2kyDNAIAAGcEAAAOAAAAAAAAAAEAIAAAAB8BAABkcnMvZTJvRG9jLnhtbFBL&#10;BQYAAAAABgAGAFkBAADFBQAAAAA=&#10;">
              <v:fill on="f" focussize="0,0"/>
              <v:stroke on="f" weight="0.5pt"/>
              <v:imagedata o:title=""/>
              <o:lock v:ext="edit" aspectratio="f"/>
              <v:textbox inset="0mm,0mm,0mm,0mm" style="mso-fit-shape-to-text:t;">
                <w:txbxContent>
                  <w:p w14:paraId="4617822F">
                    <w:pPr>
                      <w:pStyle w:val="4"/>
                    </w:pPr>
                    <w:r>
                      <w:fldChar w:fldCharType="begin"/>
                    </w:r>
                    <w:r>
                      <w:instrText xml:space="preserve"> PAGE  \* MERGEFORMAT </w:instrText>
                    </w:r>
                    <w:r>
                      <w:fldChar w:fldCharType="separate"/>
                    </w:r>
                    <w:r>
                      <w:t>192</w:t>
                    </w:r>
                    <w:r>
                      <w:fldChar w:fldCharType="end"/>
                    </w:r>
                  </w:p>
                </w:txbxContent>
              </v:textbox>
            </v:shape>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CCEDD">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31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1" name="文本框 14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8B40D2">
                          <w:pPr>
                            <w:pStyle w:val="4"/>
                          </w:pPr>
                          <w:r>
                            <w:fldChar w:fldCharType="begin"/>
                          </w:r>
                          <w:r>
                            <w:instrText xml:space="preserve"> PAGE  \* MERGEFORMAT </w:instrText>
                          </w:r>
                          <w:r>
                            <w:fldChar w:fldCharType="separate"/>
                          </w:r>
                          <w:r>
                            <w:t>193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1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33E100AgAAZwQAAA4AAABkcnMvZTJvRG9jLnhtbK1UzY7TMBC+I/EO&#10;lu80aRdW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17fjCnRTGHmp+/f&#10;Tj9+nX5+JZ0WJDXWZ/DdWHiH9q1pERDJi3oPZey9LZ2KX3RFYAfFxwvFog2Ex6DpZDpNYeKwDRfg&#10;JNdw63x4J4wiUcipwww7atlh7UPvOrjEbNqsaimhZ5nUpMnp7c2b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d9xNdNAIAAGcEAAAOAAAAAAAAAAEAIAAAAB8BAABkcnMvZTJvRG9jLnhtbFBL&#10;BQYAAAAABgAGAFkBAADFBQAAAAA=&#10;">
              <v:fill on="f" focussize="0,0"/>
              <v:stroke on="f" weight="0.5pt"/>
              <v:imagedata o:title=""/>
              <o:lock v:ext="edit" aspectratio="f"/>
              <v:textbox inset="0mm,0mm,0mm,0mm" style="mso-fit-shape-to-text:t;">
                <w:txbxContent>
                  <w:p w14:paraId="1C8B40D2">
                    <w:pPr>
                      <w:pStyle w:val="4"/>
                    </w:pPr>
                    <w:r>
                      <w:fldChar w:fldCharType="begin"/>
                    </w:r>
                    <w:r>
                      <w:instrText xml:space="preserve"> PAGE  \* MERGEFORMAT </w:instrText>
                    </w:r>
                    <w:r>
                      <w:fldChar w:fldCharType="separate"/>
                    </w:r>
                    <w:r>
                      <w:t>193</w:t>
                    </w:r>
                    <w:r>
                      <w:fldChar w:fldCharType="end"/>
                    </w:r>
                  </w:p>
                </w:txbxContent>
              </v:textbox>
            </v:shape>
          </w:pict>
        </mc:Fallback>
      </mc:AlternateConten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8F875">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32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2" name="文本框 14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4C5A10">
                          <w:pPr>
                            <w:pStyle w:val="4"/>
                          </w:pPr>
                          <w:r>
                            <w:fldChar w:fldCharType="begin"/>
                          </w:r>
                          <w:r>
                            <w:instrText xml:space="preserve"> PAGE  \* MERGEFORMAT </w:instrText>
                          </w:r>
                          <w:r>
                            <w:fldChar w:fldCharType="separate"/>
                          </w:r>
                          <w:r>
                            <w:t>194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2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mGg+Q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7fTC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6YaD5DUCAABnBAAADgAAAAAAAAABACAAAAAfAQAAZHJzL2Uyb0RvYy54bWxQ&#10;SwUGAAAAAAYABgBZAQAAxgUAAAAA&#10;">
              <v:fill on="f" focussize="0,0"/>
              <v:stroke on="f" weight="0.5pt"/>
              <v:imagedata o:title=""/>
              <o:lock v:ext="edit" aspectratio="f"/>
              <v:textbox inset="0mm,0mm,0mm,0mm" style="mso-fit-shape-to-text:t;">
                <w:txbxContent>
                  <w:p w14:paraId="064C5A10">
                    <w:pPr>
                      <w:pStyle w:val="4"/>
                    </w:pPr>
                    <w:r>
                      <w:fldChar w:fldCharType="begin"/>
                    </w:r>
                    <w:r>
                      <w:instrText xml:space="preserve"> PAGE  \* MERGEFORMAT </w:instrText>
                    </w:r>
                    <w:r>
                      <w:fldChar w:fldCharType="separate"/>
                    </w:r>
                    <w:r>
                      <w:t>194</w:t>
                    </w:r>
                    <w:r>
                      <w:fldChar w:fldCharType="end"/>
                    </w:r>
                  </w:p>
                </w:txbxContent>
              </v:textbox>
            </v:shape>
          </w:pict>
        </mc:Fallback>
      </mc:AlternateConten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96831">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3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3" name="文本框 14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C3A5A1">
                          <w:pPr>
                            <w:pStyle w:val="4"/>
                          </w:pPr>
                          <w:r>
                            <w:fldChar w:fldCharType="begin"/>
                          </w:r>
                          <w:r>
                            <w:instrText xml:space="preserve"> PAGE  \* MERGEFORMAT </w:instrText>
                          </w:r>
                          <w:r>
                            <w:fldChar w:fldCharType="separate"/>
                          </w:r>
                          <w:r>
                            <w:t>195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3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r3Do1AgAAZwQAAA4AAABkcnMvZTJvRG9jLnhtbK1UzY7TMBC+I/EO&#10;lu80aQu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LyeTinRTOHNT9+/&#10;nX78Ov38SjotSGqsz+D7aOEd2remRUAkL+o9lLH3tnQqftEVgR0UHy8UizYQHoNmk9kshYnDNlyA&#10;k1zDrfPhnTCKRCGnDm/YUcsOGx9618ElZtNmXUsJPcukJk1Ob6Z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vcOjUCAABnBAAADgAAAAAAAAABACAAAAAfAQAAZHJzL2Uyb0RvYy54bWxQ&#10;SwUGAAAAAAYABgBZAQAAxgUAAAAA&#10;">
              <v:fill on="f" focussize="0,0"/>
              <v:stroke on="f" weight="0.5pt"/>
              <v:imagedata o:title=""/>
              <o:lock v:ext="edit" aspectratio="f"/>
              <v:textbox inset="0mm,0mm,0mm,0mm" style="mso-fit-shape-to-text:t;">
                <w:txbxContent>
                  <w:p w14:paraId="53C3A5A1">
                    <w:pPr>
                      <w:pStyle w:val="4"/>
                    </w:pPr>
                    <w:r>
                      <w:fldChar w:fldCharType="begin"/>
                    </w:r>
                    <w:r>
                      <w:instrText xml:space="preserve"> PAGE  \* MERGEFORMAT </w:instrText>
                    </w:r>
                    <w:r>
                      <w:fldChar w:fldCharType="separate"/>
                    </w:r>
                    <w:r>
                      <w:t>195</w:t>
                    </w:r>
                    <w:r>
                      <w:fldChar w:fldCharType="end"/>
                    </w:r>
                  </w:p>
                </w:txbxContent>
              </v:textbox>
            </v:shape>
          </w:pict>
        </mc:Fallback>
      </mc:AlternateConten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CECEE">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4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4" name="文本框 14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0F9022">
                          <w:pPr>
                            <w:pStyle w:val="4"/>
                          </w:pPr>
                          <w:r>
                            <w:fldChar w:fldCharType="begin"/>
                          </w:r>
                          <w:r>
                            <w:instrText xml:space="preserve"> PAGE  \* MERGEFORMAT </w:instrText>
                          </w:r>
                          <w:r>
                            <w:fldChar w:fldCharType="separate"/>
                          </w:r>
                          <w:r>
                            <w:t>196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4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i0kw2AgAAZwQAAA4AAABkcnMvZTJvRG9jLnhtbK1UzY7TMBC+I/EO&#10;lu80aXdZ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Trq2tKNFN48+OP&#10;78efT8df30inBUmN9Rl8Hy28Q/vOtAiI5EW9hzL23pZOxS+6IrCD4sOZYtEGwmPQdDKdpjBx2IYL&#10;cJJLuHU+vBdGkSjk1OENO2rZfu1D7zq4xGzarGopoWeZ1KTJ6c3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Bi0kw2AgAAZwQAAA4AAAAAAAAAAQAgAAAAHwEAAGRycy9lMm9Eb2MueG1s&#10;UEsFBgAAAAAGAAYAWQEAAMcFAAAAAA==&#10;">
              <v:fill on="f" focussize="0,0"/>
              <v:stroke on="f" weight="0.5pt"/>
              <v:imagedata o:title=""/>
              <o:lock v:ext="edit" aspectratio="f"/>
              <v:textbox inset="0mm,0mm,0mm,0mm" style="mso-fit-shape-to-text:t;">
                <w:txbxContent>
                  <w:p w14:paraId="7C0F9022">
                    <w:pPr>
                      <w:pStyle w:val="4"/>
                    </w:pPr>
                    <w:r>
                      <w:fldChar w:fldCharType="begin"/>
                    </w:r>
                    <w:r>
                      <w:instrText xml:space="preserve"> PAGE  \* MERGEFORMAT </w:instrText>
                    </w:r>
                    <w:r>
                      <w:fldChar w:fldCharType="separate"/>
                    </w:r>
                    <w:r>
                      <w:t>196</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C2AE5">
    <w:pPr>
      <w:spacing w:line="176" w:lineRule="auto"/>
      <w:ind w:left="408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9" name="文本框 12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5DC049">
                          <w:pPr>
                            <w:pStyle w:val="4"/>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mjjk1AgAAZwQAAA4AAABkcnMvZTJvRG9jLnhtbK1UzY7TMBC+I/EO&#10;lu80aRFVqZ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ibTt5RopvDm5x/f&#10;zz8fz7++kVYLkmrr5/DdWniH5p1pEBDJi3oPZey9KZyKX3RFYAfFpwvFogmEx6DZZDZLYeKwDRfg&#10;JNdw63x4L4wiUciowxu21LLjnQ+d6+ASs2mzqaSEns2lJnVGp6/fpG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GaOOTUCAABnBAAADgAAAAAAAAABACAAAAAfAQAAZHJzL2Uyb0RvYy54bWxQ&#10;SwUGAAAAAAYABgBZAQAAxgUAAAAA&#10;">
              <v:fill on="f" focussize="0,0"/>
              <v:stroke on="f" weight="0.5pt"/>
              <v:imagedata o:title=""/>
              <o:lock v:ext="edit" aspectratio="f"/>
              <v:textbox inset="0mm,0mm,0mm,0mm" style="mso-fit-shape-to-text:t;">
                <w:txbxContent>
                  <w:p w14:paraId="225DC049">
                    <w:pPr>
                      <w:pStyle w:val="4"/>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1ADD3">
    <w:pPr>
      <w:spacing w:line="170" w:lineRule="auto"/>
      <w:ind w:left="4172"/>
      <w:rPr>
        <w:rFonts w:ascii="仿宋" w:hAnsi="仿宋" w:eastAsia="仿宋" w:cs="仿宋"/>
        <w:sz w:val="18"/>
        <w:szCs w:val="18"/>
      </w:rPr>
    </w:pPr>
    <w:r>
      <w:rPr>
        <w:sz w:val="18"/>
      </w:rPr>
      <mc:AlternateContent>
        <mc:Choice Requires="wps">
          <w:drawing>
            <wp:anchor distT="0" distB="0" distL="114300" distR="114300" simplePos="0" relativeHeight="251835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5" name="文本框 14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113B3B">
                          <w:pPr>
                            <w:pStyle w:val="4"/>
                          </w:pPr>
                          <w:r>
                            <w:fldChar w:fldCharType="begin"/>
                          </w:r>
                          <w:r>
                            <w:instrText xml:space="preserve"> PAGE  \* MERGEFORMAT </w:instrText>
                          </w:r>
                          <w:r>
                            <w:fldChar w:fldCharType="separate"/>
                          </w:r>
                          <w:r>
                            <w:t>197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5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NPjZI2AgAAZwQAAA4AAABkcnMvZTJvRG9jLnhtbK1UzY7TMBC+I/EO&#10;lu80aZd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3V9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NPjZI2AgAAZwQAAA4AAAAAAAAAAQAgAAAAHwEAAGRycy9lMm9Eb2MueG1s&#10;UEsFBgAAAAAGAAYAWQEAAMcFAAAAAA==&#10;">
              <v:fill on="f" focussize="0,0"/>
              <v:stroke on="f" weight="0.5pt"/>
              <v:imagedata o:title=""/>
              <o:lock v:ext="edit" aspectratio="f"/>
              <v:textbox inset="0mm,0mm,0mm,0mm" style="mso-fit-shape-to-text:t;">
                <w:txbxContent>
                  <w:p w14:paraId="77113B3B">
                    <w:pPr>
                      <w:pStyle w:val="4"/>
                    </w:pPr>
                    <w:r>
                      <w:fldChar w:fldCharType="begin"/>
                    </w:r>
                    <w:r>
                      <w:instrText xml:space="preserve"> PAGE  \* MERGEFORMAT </w:instrText>
                    </w:r>
                    <w:r>
                      <w:fldChar w:fldCharType="separate"/>
                    </w:r>
                    <w:r>
                      <w:t>197</w:t>
                    </w:r>
                    <w:r>
                      <w:fldChar w:fldCharType="end"/>
                    </w:r>
                  </w:p>
                </w:txbxContent>
              </v:textbox>
            </v:shape>
          </w:pict>
        </mc:Fallback>
      </mc:AlternateConten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74746">
    <w:pPr>
      <w:spacing w:line="170" w:lineRule="auto"/>
      <w:ind w:left="4172"/>
      <w:rPr>
        <w:rFonts w:ascii="仿宋" w:hAnsi="仿宋" w:eastAsia="仿宋" w:cs="仿宋"/>
        <w:sz w:val="18"/>
        <w:szCs w:val="18"/>
      </w:rPr>
    </w:pPr>
    <w:r>
      <w:rPr>
        <w:sz w:val="18"/>
      </w:rPr>
      <mc:AlternateContent>
        <mc:Choice Requires="wps">
          <w:drawing>
            <wp:anchor distT="0" distB="0" distL="114300" distR="114300" simplePos="0" relativeHeight="251836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6" name="文本框 14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D5E67">
                          <w:pPr>
                            <w:pStyle w:val="4"/>
                          </w:pPr>
                          <w:r>
                            <w:fldChar w:fldCharType="begin"/>
                          </w:r>
                          <w:r>
                            <w:instrText xml:space="preserve"> PAGE  \* MERGEFORMAT </w:instrText>
                          </w:r>
                          <w:r>
                            <w:fldChar w:fldCharType="separate"/>
                          </w:r>
                          <w:r>
                            <w:t>198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6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HSs1AgAAZwQAAA4AAABkcnMvZTJvRG9jLnhtbK1UzY7TMBC+I/EO&#10;lu80aRe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l7fTCnRTOHNT9+/&#10;nX78Ov38SjotSGqsz+D7aOEd2remRUAkL+o9lLH3tnQqftEVgR0UHy8UizYQHoNmk9kshYnDNlyA&#10;k1zDrfPhnTCKRCGnDm/YUcsOGx9618ElZtNmXUsJPcukJk1Opz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z4dKzUCAABnBAAADgAAAAAAAAABACAAAAAfAQAAZHJzL2Uyb0RvYy54bWxQ&#10;SwUGAAAAAAYABgBZAQAAxgUAAAAA&#10;">
              <v:fill on="f" focussize="0,0"/>
              <v:stroke on="f" weight="0.5pt"/>
              <v:imagedata o:title=""/>
              <o:lock v:ext="edit" aspectratio="f"/>
              <v:textbox inset="0mm,0mm,0mm,0mm" style="mso-fit-shape-to-text:t;">
                <w:txbxContent>
                  <w:p w14:paraId="6AAD5E67">
                    <w:pPr>
                      <w:pStyle w:val="4"/>
                    </w:pPr>
                    <w:r>
                      <w:fldChar w:fldCharType="begin"/>
                    </w:r>
                    <w:r>
                      <w:instrText xml:space="preserve"> PAGE  \* MERGEFORMAT </w:instrText>
                    </w:r>
                    <w:r>
                      <w:fldChar w:fldCharType="separate"/>
                    </w:r>
                    <w:r>
                      <w:t>198</w:t>
                    </w:r>
                    <w:r>
                      <w:fldChar w:fldCharType="end"/>
                    </w:r>
                  </w:p>
                </w:txbxContent>
              </v:textbox>
            </v:shape>
          </w:pict>
        </mc:Fallback>
      </mc:AlternateConten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80A90">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7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7" name="文本框 14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66AAA0">
                          <w:pPr>
                            <w:pStyle w:val="4"/>
                          </w:pPr>
                          <w:r>
                            <w:fldChar w:fldCharType="begin"/>
                          </w:r>
                          <w:r>
                            <w:instrText xml:space="preserve"> PAGE  \* MERGEFORMAT </w:instrText>
                          </w:r>
                          <w:r>
                            <w:fldChar w:fldCharType="separate"/>
                          </w:r>
                          <w:r>
                            <w:t>199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7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TQvU2AgAAZwQAAA4AAABkcnMvZTJvRG9jLnhtbK1UzY7TMBC+I/EO&#10;lu80aRe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h99ZY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QTQvU2AgAAZwQAAA4AAAAAAAAAAQAgAAAAHwEAAGRycy9lMm9Eb2MueG1s&#10;UEsFBgAAAAAGAAYAWQEAAMcFAAAAAA==&#10;">
              <v:fill on="f" focussize="0,0"/>
              <v:stroke on="f" weight="0.5pt"/>
              <v:imagedata o:title=""/>
              <o:lock v:ext="edit" aspectratio="f"/>
              <v:textbox inset="0mm,0mm,0mm,0mm" style="mso-fit-shape-to-text:t;">
                <w:txbxContent>
                  <w:p w14:paraId="1A66AAA0">
                    <w:pPr>
                      <w:pStyle w:val="4"/>
                    </w:pPr>
                    <w:r>
                      <w:fldChar w:fldCharType="begin"/>
                    </w:r>
                    <w:r>
                      <w:instrText xml:space="preserve"> PAGE  \* MERGEFORMAT </w:instrText>
                    </w:r>
                    <w:r>
                      <w:fldChar w:fldCharType="separate"/>
                    </w:r>
                    <w:r>
                      <w:t>199</w:t>
                    </w:r>
                    <w:r>
                      <w:fldChar w:fldCharType="end"/>
                    </w:r>
                  </w:p>
                </w:txbxContent>
              </v:textbox>
            </v:shape>
          </w:pict>
        </mc:Fallback>
      </mc:AlternateConten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63F91">
    <w:pPr>
      <w:spacing w:line="170" w:lineRule="auto"/>
      <w:ind w:left="4124"/>
      <w:rPr>
        <w:rFonts w:ascii="仿宋" w:hAnsi="仿宋" w:eastAsia="仿宋" w:cs="仿宋"/>
        <w:sz w:val="18"/>
        <w:szCs w:val="18"/>
      </w:rPr>
    </w:pPr>
    <w:r>
      <w:rPr>
        <w:sz w:val="18"/>
      </w:rPr>
      <mc:AlternateContent>
        <mc:Choice Requires="wps">
          <w:drawing>
            <wp:anchor distT="0" distB="0" distL="114300" distR="114300" simplePos="0" relativeHeight="251838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8" name="文本框 14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BCD9E3">
                          <w:pPr>
                            <w:pStyle w:val="4"/>
                          </w:pPr>
                          <w:r>
                            <w:fldChar w:fldCharType="begin"/>
                          </w:r>
                          <w:r>
                            <w:instrText xml:space="preserve"> PAGE  \* MERGEFORMAT </w:instrText>
                          </w:r>
                          <w:r>
                            <w:fldChar w:fldCharType="separate"/>
                          </w:r>
                          <w:r>
                            <w:t>200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8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tAMc0AgAAZwQAAA4AAABkcnMvZTJvRG9jLnhtbK1UzY7TMBC+I/EO&#10;lu80aRdW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D6Bp3XTKHnp+/f&#10;Tj9+nX5+JZ0WJDXWZ/DdWHiH9q1pERDJi3oPZay9LZ2KX1RFYAfFxwvFog2Ex6DpZDpNYeKwDRfg&#10;JNdw63x4J4wiUcipQw87atlh7UPvOrjEbNqsaimhZ5nUpMnp7c2b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TrQDHNAIAAGcEAAAOAAAAAAAAAAEAIAAAAB8BAABkcnMvZTJvRG9jLnhtbFBL&#10;BQYAAAAABgAGAFkBAADFBQAAAAA=&#10;">
              <v:fill on="f" focussize="0,0"/>
              <v:stroke on="f" weight="0.5pt"/>
              <v:imagedata o:title=""/>
              <o:lock v:ext="edit" aspectratio="f"/>
              <v:textbox inset="0mm,0mm,0mm,0mm" style="mso-fit-shape-to-text:t;">
                <w:txbxContent>
                  <w:p w14:paraId="7DBCD9E3">
                    <w:pPr>
                      <w:pStyle w:val="4"/>
                    </w:pPr>
                    <w:r>
                      <w:fldChar w:fldCharType="begin"/>
                    </w:r>
                    <w:r>
                      <w:instrText xml:space="preserve"> PAGE  \* MERGEFORMAT </w:instrText>
                    </w:r>
                    <w:r>
                      <w:fldChar w:fldCharType="separate"/>
                    </w:r>
                    <w:r>
                      <w:t>200</w:t>
                    </w:r>
                    <w:r>
                      <w:fldChar w:fldCharType="end"/>
                    </w:r>
                  </w:p>
                </w:txbxContent>
              </v:textbox>
            </v:shape>
          </w:pict>
        </mc:Fallback>
      </mc:AlternateConten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5D649">
    <w:pPr>
      <w:spacing w:line="170" w:lineRule="auto"/>
      <w:ind w:left="4360"/>
      <w:rPr>
        <w:rFonts w:ascii="仿宋" w:hAnsi="仿宋" w:eastAsia="仿宋" w:cs="仿宋"/>
        <w:sz w:val="18"/>
        <w:szCs w:val="18"/>
      </w:rPr>
    </w:pPr>
    <w:r>
      <w:rPr>
        <w:sz w:val="18"/>
      </w:rPr>
      <mc:AlternateContent>
        <mc:Choice Requires="wps">
          <w:drawing>
            <wp:anchor distT="0" distB="0" distL="114300" distR="114300" simplePos="0" relativeHeight="251839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9" name="文本框 14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D50AF7">
                          <w:pPr>
                            <w:pStyle w:val="4"/>
                          </w:pPr>
                          <w:r>
                            <w:fldChar w:fldCharType="begin"/>
                          </w:r>
                          <w:r>
                            <w:instrText xml:space="preserve"> PAGE  \* MERGEFORMAT </w:instrText>
                          </w:r>
                          <w:r>
                            <w:fldChar w:fldCharType="separate"/>
                          </w:r>
                          <w:r>
                            <w:t>201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9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Xxk2AgAAZwQAAA4AAABkcnMvZTJvRG9jLnhtbK1UzY7TMBC+I/EO&#10;lu80aRd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h99ZY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CAXxk2AgAAZwQAAA4AAAAAAAAAAQAgAAAAHwEAAGRycy9lMm9Eb2MueG1s&#10;UEsFBgAAAAAGAAYAWQEAAMcFAAAAAA==&#10;">
              <v:fill on="f" focussize="0,0"/>
              <v:stroke on="f" weight="0.5pt"/>
              <v:imagedata o:title=""/>
              <o:lock v:ext="edit" aspectratio="f"/>
              <v:textbox inset="0mm,0mm,0mm,0mm" style="mso-fit-shape-to-text:t;">
                <w:txbxContent>
                  <w:p w14:paraId="7BD50AF7">
                    <w:pPr>
                      <w:pStyle w:val="4"/>
                    </w:pPr>
                    <w:r>
                      <w:fldChar w:fldCharType="begin"/>
                    </w:r>
                    <w:r>
                      <w:instrText xml:space="preserve"> PAGE  \* MERGEFORMAT </w:instrText>
                    </w:r>
                    <w:r>
                      <w:fldChar w:fldCharType="separate"/>
                    </w:r>
                    <w:r>
                      <w:t>201</w:t>
                    </w:r>
                    <w:r>
                      <w:fldChar w:fldCharType="end"/>
                    </w:r>
                  </w:p>
                </w:txbxContent>
              </v:textbox>
            </v:shape>
          </w:pict>
        </mc:Fallback>
      </mc:AlternateConten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FE959">
    <w:pPr>
      <w:spacing w:line="170" w:lineRule="auto"/>
      <w:ind w:left="4292"/>
      <w:rPr>
        <w:rFonts w:ascii="仿宋" w:hAnsi="仿宋" w:eastAsia="仿宋" w:cs="仿宋"/>
        <w:sz w:val="18"/>
        <w:szCs w:val="18"/>
      </w:rPr>
    </w:pPr>
    <w:r>
      <w:rPr>
        <w:sz w:val="18"/>
      </w:rPr>
      <mc:AlternateContent>
        <mc:Choice Requires="wps">
          <w:drawing>
            <wp:anchor distT="0" distB="0" distL="114300" distR="114300" simplePos="0" relativeHeight="251840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0" name="文本框 14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990E9D">
                          <w:pPr>
                            <w:pStyle w:val="4"/>
                          </w:pPr>
                          <w:r>
                            <w:fldChar w:fldCharType="begin"/>
                          </w:r>
                          <w:r>
                            <w:instrText xml:space="preserve"> PAGE  \* MERGEFORMAT </w:instrText>
                          </w:r>
                          <w:r>
                            <w:fldChar w:fldCharType="separate"/>
                          </w:r>
                          <w:r>
                            <w:t>202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0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Ojqg0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5uQIpmCm9++v7t&#10;9OPX6edX0mlBUmN9Bt+NhXdo35oWAZG8qPdQxt7b0qn4RVcEdqAdLxSLNhAeg6aT6TSFicM2XICT&#10;XMOt8+GdMIpEIacOb9hRyw5rH3rXwSVm02ZVSwk9y6QmTU5vX79J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jo6oNAIAAGcEAAAOAAAAAAAAAAEAIAAAAB8BAABkcnMvZTJvRG9jLnhtbFBL&#10;BQYAAAAABgAGAFkBAADFBQAAAAA=&#10;">
              <v:fill on="f" focussize="0,0"/>
              <v:stroke on="f" weight="0.5pt"/>
              <v:imagedata o:title=""/>
              <o:lock v:ext="edit" aspectratio="f"/>
              <v:textbox inset="0mm,0mm,0mm,0mm" style="mso-fit-shape-to-text:t;">
                <w:txbxContent>
                  <w:p w14:paraId="76990E9D">
                    <w:pPr>
                      <w:pStyle w:val="4"/>
                    </w:pPr>
                    <w:r>
                      <w:fldChar w:fldCharType="begin"/>
                    </w:r>
                    <w:r>
                      <w:instrText xml:space="preserve"> PAGE  \* MERGEFORMAT </w:instrText>
                    </w:r>
                    <w:r>
                      <w:fldChar w:fldCharType="separate"/>
                    </w:r>
                    <w:r>
                      <w:t>202</w:t>
                    </w:r>
                    <w:r>
                      <w:fldChar w:fldCharType="end"/>
                    </w:r>
                  </w:p>
                </w:txbxContent>
              </v:textbox>
            </v:shape>
          </w:pict>
        </mc:Fallback>
      </mc:AlternateConten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F8481">
    <w:pPr>
      <w:spacing w:line="170" w:lineRule="auto"/>
      <w:ind w:left="4120"/>
      <w:rPr>
        <w:rFonts w:ascii="仿宋" w:hAnsi="仿宋" w:eastAsia="仿宋" w:cs="仿宋"/>
        <w:sz w:val="18"/>
        <w:szCs w:val="18"/>
      </w:rPr>
    </w:pPr>
    <w:r>
      <w:rPr>
        <w:sz w:val="18"/>
      </w:rPr>
      <mc:AlternateContent>
        <mc:Choice Requires="wps">
          <w:drawing>
            <wp:anchor distT="0" distB="0" distL="114300" distR="114300" simplePos="0" relativeHeight="251841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1" name="文本框 14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73E0E8">
                          <w:pPr>
                            <w:pStyle w:val="4"/>
                          </w:pPr>
                          <w:r>
                            <w:fldChar w:fldCharType="begin"/>
                          </w:r>
                          <w:r>
                            <w:instrText xml:space="preserve"> PAGE  \* MERGEFORMAT </w:instrText>
                          </w:r>
                          <w:r>
                            <w:fldChar w:fldCharType="separate"/>
                          </w:r>
                          <w:r>
                            <w:t>203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1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j0XY0AgAAZwQAAA4AAABkcnMvZTJvRG9jLnhtbK1UzY7TMBC+I/EO&#10;lu80aVlW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25uxpRopjDz0/dv&#10;px+/Tj+/kk4LkhrrM/huLLxD+9a0CIjkRb2HMvbelk7FL7oisIPi44Vi0QbCY9B0Mp2mMHHYhgtw&#10;kmu4dT68E0aRKOTUYYYdteyw9qF3HVxiNm1WtZTQs0xq0uT09vWb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Go9F2NAIAAGcEAAAOAAAAAAAAAAEAIAAAAB8BAABkcnMvZTJvRG9jLnhtbFBL&#10;BQYAAAAABgAGAFkBAADFBQAAAAA=&#10;">
              <v:fill on="f" focussize="0,0"/>
              <v:stroke on="f" weight="0.5pt"/>
              <v:imagedata o:title=""/>
              <o:lock v:ext="edit" aspectratio="f"/>
              <v:textbox inset="0mm,0mm,0mm,0mm" style="mso-fit-shape-to-text:t;">
                <w:txbxContent>
                  <w:p w14:paraId="3373E0E8">
                    <w:pPr>
                      <w:pStyle w:val="4"/>
                    </w:pPr>
                    <w:r>
                      <w:fldChar w:fldCharType="begin"/>
                    </w:r>
                    <w:r>
                      <w:instrText xml:space="preserve"> PAGE  \* MERGEFORMAT </w:instrText>
                    </w:r>
                    <w:r>
                      <w:fldChar w:fldCharType="separate"/>
                    </w:r>
                    <w:r>
                      <w:t>203</w:t>
                    </w:r>
                    <w:r>
                      <w:fldChar w:fldCharType="end"/>
                    </w:r>
                  </w:p>
                </w:txbxContent>
              </v:textbox>
            </v:shape>
          </w:pict>
        </mc:Fallback>
      </mc:AlternateConten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2881E">
    <w:pPr>
      <w:spacing w:line="170" w:lineRule="auto"/>
      <w:ind w:left="4124"/>
      <w:rPr>
        <w:rFonts w:ascii="仿宋" w:hAnsi="仿宋" w:eastAsia="仿宋" w:cs="仿宋"/>
        <w:sz w:val="18"/>
        <w:szCs w:val="18"/>
      </w:rPr>
    </w:pPr>
    <w:r>
      <w:rPr>
        <w:sz w:val="18"/>
      </w:rPr>
      <mc:AlternateContent>
        <mc:Choice Requires="wps">
          <w:drawing>
            <wp:anchor distT="0" distB="0" distL="114300" distR="114300" simplePos="0" relativeHeight="251842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2" name="文本框 14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3B2B82">
                          <w:pPr>
                            <w:pStyle w:val="4"/>
                          </w:pPr>
                          <w:r>
                            <w:fldChar w:fldCharType="begin"/>
                          </w:r>
                          <w:r>
                            <w:instrText xml:space="preserve"> PAGE  \* MERGEFORMAT </w:instrText>
                          </w:r>
                          <w:r>
                            <w:fldChar w:fldCharType="separate"/>
                          </w:r>
                          <w:r>
                            <w:t>204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2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LSQc8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5uJpRopvDmp+/f&#10;Tj9+nX5+JZ0WJDXWZ/DdWHiH9q1pERDJi3oPZey9LZ2KX3RFYAfFxwvFog2Ex6DpZDpNYeKwDRfg&#10;JNdw63x4J4wiUcipwxt21LLD2ofedXCJ2bRZ1VJCzzKpSZPT2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tJBzzUCAABnBAAADgAAAAAAAAABACAAAAAfAQAAZHJzL2Uyb0RvYy54bWxQ&#10;SwUGAAAAAAYABgBZAQAAxgUAAAAA&#10;">
              <v:fill on="f" focussize="0,0"/>
              <v:stroke on="f" weight="0.5pt"/>
              <v:imagedata o:title=""/>
              <o:lock v:ext="edit" aspectratio="f"/>
              <v:textbox inset="0mm,0mm,0mm,0mm" style="mso-fit-shape-to-text:t;">
                <w:txbxContent>
                  <w:p w14:paraId="143B2B82">
                    <w:pPr>
                      <w:pStyle w:val="4"/>
                    </w:pPr>
                    <w:r>
                      <w:fldChar w:fldCharType="begin"/>
                    </w:r>
                    <w:r>
                      <w:instrText xml:space="preserve"> PAGE  \* MERGEFORMAT </w:instrText>
                    </w:r>
                    <w:r>
                      <w:fldChar w:fldCharType="separate"/>
                    </w:r>
                    <w:r>
                      <w:t>204</w:t>
                    </w:r>
                    <w:r>
                      <w:fldChar w:fldCharType="end"/>
                    </w:r>
                  </w:p>
                </w:txbxContent>
              </v:textbox>
            </v:shape>
          </w:pict>
        </mc:Fallback>
      </mc:AlternateConten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40E6C">
    <w:pPr>
      <w:spacing w:line="170" w:lineRule="auto"/>
      <w:ind w:left="4657"/>
      <w:rPr>
        <w:rFonts w:ascii="仿宋" w:hAnsi="仿宋" w:eastAsia="仿宋" w:cs="仿宋"/>
        <w:sz w:val="18"/>
        <w:szCs w:val="18"/>
      </w:rPr>
    </w:pPr>
    <w:r>
      <w:rPr>
        <w:sz w:val="18"/>
      </w:rPr>
      <mc:AlternateContent>
        <mc:Choice Requires="wps">
          <w:drawing>
            <wp:anchor distT="0" distB="0" distL="114300" distR="114300" simplePos="0" relativeHeight="251843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3" name="文本框 14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E23488">
                          <w:pPr>
                            <w:pStyle w:val="4"/>
                          </w:pPr>
                          <w:r>
                            <w:fldChar w:fldCharType="begin"/>
                          </w:r>
                          <w:r>
                            <w:instrText xml:space="preserve"> PAGE  \* MERGEFORMAT </w:instrText>
                          </w:r>
                          <w:r>
                            <w:fldChar w:fldCharType="separate"/>
                          </w:r>
                          <w:r>
                            <w:t>205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3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HhE2AgAAZwQAAA4AAABkcnMvZTJvRG9jLnhtbK1UzY7TMBC+I/EO&#10;lu80aXdZ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Tr6ytKNFN48+OP&#10;78efT8df30inBUmN9Rl8Hy28Q/vOtAiI5EW9hzL23pZOxS+6IrCD4sOZYtEGwmPQdDKdpjBx2IYL&#10;cJJLuHU+vBdGkSjk1OENO2rZfu1D7zq4xGzarGopoWeZ1KTJ6c3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H/HhE2AgAAZwQAAA4AAAAAAAAAAQAgAAAAHwEAAGRycy9lMm9Eb2MueG1s&#10;UEsFBgAAAAAGAAYAWQEAAMcFAAAAAA==&#10;">
              <v:fill on="f" focussize="0,0"/>
              <v:stroke on="f" weight="0.5pt"/>
              <v:imagedata o:title=""/>
              <o:lock v:ext="edit" aspectratio="f"/>
              <v:textbox inset="0mm,0mm,0mm,0mm" style="mso-fit-shape-to-text:t;">
                <w:txbxContent>
                  <w:p w14:paraId="51E23488">
                    <w:pPr>
                      <w:pStyle w:val="4"/>
                    </w:pPr>
                    <w:r>
                      <w:fldChar w:fldCharType="begin"/>
                    </w:r>
                    <w:r>
                      <w:instrText xml:space="preserve"> PAGE  \* MERGEFORMAT </w:instrText>
                    </w:r>
                    <w:r>
                      <w:fldChar w:fldCharType="separate"/>
                    </w:r>
                    <w:r>
                      <w:t>205</w:t>
                    </w:r>
                    <w:r>
                      <w:fldChar w:fldCharType="end"/>
                    </w:r>
                  </w:p>
                </w:txbxContent>
              </v:textbox>
            </v:shape>
          </w:pict>
        </mc:Fallback>
      </mc:AlternateConten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CD19E">
    <w:pPr>
      <w:spacing w:line="169" w:lineRule="auto"/>
      <w:ind w:left="4648"/>
      <w:rPr>
        <w:rFonts w:ascii="仿宋" w:hAnsi="仿宋" w:eastAsia="仿宋" w:cs="仿宋"/>
        <w:sz w:val="18"/>
        <w:szCs w:val="18"/>
      </w:rPr>
    </w:pPr>
    <w:r>
      <w:rPr>
        <w:sz w:val="18"/>
      </w:rPr>
      <mc:AlternateContent>
        <mc:Choice Requires="wps">
          <w:drawing>
            <wp:anchor distT="0" distB="0" distL="114300" distR="114300" simplePos="0" relativeHeight="251844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4" name="文本框 14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29689B">
                          <w:pPr>
                            <w:pStyle w:val="4"/>
                          </w:pPr>
                          <w:r>
                            <w:fldChar w:fldCharType="begin"/>
                          </w:r>
                          <w:r>
                            <w:instrText xml:space="preserve"> PAGE  \* MERGEFORMAT </w:instrText>
                          </w:r>
                          <w:r>
                            <w:fldChar w:fldCharType="separate"/>
                          </w:r>
                          <w:r>
                            <w:t>206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4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2EGc1AgAAZwQAAA4AAABkcnMvZTJvRG9jLnhtbK1UzY7TMBC+I/EO&#10;lu80aSm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ynU0o0U3jz0/dv&#10;px+/Tj+/kk4LkhrrM/g+WniH9q1pERDJi3oPZey9LZ2KX3RFYAfFxwvFog2Ex6DZZDZLYeKwDRfg&#10;JNdw63x4J4wiUcipwxt21LLDxofedXCJ2bRZ11JCzzKpSZPTm9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zYQZzUCAABnBAAADgAAAAAAAAABACAAAAAfAQAAZHJzL2Uyb0RvYy54bWxQ&#10;SwUGAAAAAAYABgBZAQAAxgUAAAAA&#10;">
              <v:fill on="f" focussize="0,0"/>
              <v:stroke on="f" weight="0.5pt"/>
              <v:imagedata o:title=""/>
              <o:lock v:ext="edit" aspectratio="f"/>
              <v:textbox inset="0mm,0mm,0mm,0mm" style="mso-fit-shape-to-text:t;">
                <w:txbxContent>
                  <w:p w14:paraId="0F29689B">
                    <w:pPr>
                      <w:pStyle w:val="4"/>
                    </w:pPr>
                    <w:r>
                      <w:fldChar w:fldCharType="begin"/>
                    </w:r>
                    <w:r>
                      <w:instrText xml:space="preserve"> PAGE  \* MERGEFORMAT </w:instrText>
                    </w:r>
                    <w:r>
                      <w:fldChar w:fldCharType="separate"/>
                    </w:r>
                    <w:r>
                      <w:t>206</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A8B40">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0" name="文本框 12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013B82">
                          <w:pPr>
                            <w:pStyle w:val="4"/>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i/Sc0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eghTNFN78/OP7&#10;+efj+dc30mpBUm39DL5bC+/QvDMNAiJ5Ue+hjL03hVPxi64I7EA7XSgWTSA8Bk0n02kKE4dtuAAn&#10;uYZb58N7YRSJQkYd3rCllh03PnSug0vMps26khJ6NpOa1Bm9ef0m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RIv0nNAIAAGcEAAAOAAAAAAAAAAEAIAAAAB8BAABkcnMvZTJvRG9jLnhtbFBL&#10;BQYAAAAABgAGAFkBAADFBQAAAAA=&#10;">
              <v:fill on="f" focussize="0,0"/>
              <v:stroke on="f" weight="0.5pt"/>
              <v:imagedata o:title=""/>
              <o:lock v:ext="edit" aspectratio="f"/>
              <v:textbox inset="0mm,0mm,0mm,0mm" style="mso-fit-shape-to-text:t;">
                <w:txbxContent>
                  <w:p w14:paraId="6E013B82">
                    <w:pPr>
                      <w:pStyle w:val="4"/>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56E14">
    <w:pPr>
      <w:spacing w:line="169" w:lineRule="auto"/>
      <w:ind w:left="4254"/>
      <w:rPr>
        <w:rFonts w:ascii="仿宋" w:hAnsi="仿宋" w:eastAsia="仿宋" w:cs="仿宋"/>
        <w:sz w:val="18"/>
        <w:szCs w:val="18"/>
      </w:rPr>
    </w:pPr>
    <w:r>
      <w:rPr>
        <w:sz w:val="18"/>
      </w:rPr>
      <mc:AlternateContent>
        <mc:Choice Requires="wps">
          <w:drawing>
            <wp:anchor distT="0" distB="0" distL="114300" distR="114300" simplePos="0" relativeHeight="251845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5" name="文本框 14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4F5F05">
                          <w:pPr>
                            <w:pStyle w:val="4"/>
                          </w:pPr>
                          <w:r>
                            <w:fldChar w:fldCharType="begin"/>
                          </w:r>
                          <w:r>
                            <w:instrText xml:space="preserve"> PAGE  \* MERGEFORMAT </w:instrText>
                          </w:r>
                          <w:r>
                            <w:fldChar w:fldCharType="separate"/>
                          </w:r>
                          <w:r>
                            <w:t>207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5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bT7k2AgAAZwQAAA4AAABkcnMvZTJvRG9jLnhtbK1UzY7TMBC+I/EO&#10;lu80adl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q2tKNFN48+OP&#10;78efT8df30inBUmN9Rl8Hy28Q/vOtAiI5EW9hzL23pZOxS+6IrCD4sOZYtEGwmPQdDKdpjBx2IYL&#10;cJJLuHU+vBdGkSjk1OENO2rZfu1D7zq4xGzarGopoWeZ1KTJ6c3b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AgbT7k2AgAAZwQAAA4AAAAAAAAAAQAgAAAAHwEAAGRycy9lMm9Eb2MueG1s&#10;UEsFBgAAAAAGAAYAWQEAAMcFAAAAAA==&#10;">
              <v:fill on="f" focussize="0,0"/>
              <v:stroke on="f" weight="0.5pt"/>
              <v:imagedata o:title=""/>
              <o:lock v:ext="edit" aspectratio="f"/>
              <v:textbox inset="0mm,0mm,0mm,0mm" style="mso-fit-shape-to-text:t;">
                <w:txbxContent>
                  <w:p w14:paraId="1C4F5F05">
                    <w:pPr>
                      <w:pStyle w:val="4"/>
                    </w:pPr>
                    <w:r>
                      <w:fldChar w:fldCharType="begin"/>
                    </w:r>
                    <w:r>
                      <w:instrText xml:space="preserve"> PAGE  \* MERGEFORMAT </w:instrText>
                    </w:r>
                    <w:r>
                      <w:fldChar w:fldCharType="separate"/>
                    </w:r>
                    <w:r>
                      <w:t>207</w:t>
                    </w:r>
                    <w:r>
                      <w:fldChar w:fldCharType="end"/>
                    </w:r>
                  </w:p>
                </w:txbxContent>
              </v:textbox>
            </v:shape>
          </w:pict>
        </mc:Fallback>
      </mc:AlternateConten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71DF2">
    <w:pPr>
      <w:spacing w:line="170" w:lineRule="auto"/>
      <w:ind w:left="4158"/>
      <w:rPr>
        <w:rFonts w:ascii="仿宋" w:hAnsi="仿宋" w:eastAsia="仿宋" w:cs="仿宋"/>
        <w:sz w:val="18"/>
        <w:szCs w:val="18"/>
      </w:rPr>
    </w:pPr>
    <w:r>
      <w:rPr>
        <w:sz w:val="18"/>
      </w:rPr>
      <mc:AlternateContent>
        <mc:Choice Requires="wps">
          <w:drawing>
            <wp:anchor distT="0" distB="0" distL="114300" distR="114300" simplePos="0" relativeHeight="251846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6" name="文本框 14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54A765">
                          <w:pPr>
                            <w:pStyle w:val="4"/>
                          </w:pPr>
                          <w:r>
                            <w:fldChar w:fldCharType="begin"/>
                          </w:r>
                          <w:r>
                            <w:instrText xml:space="preserve"> PAGE  \* MERGEFORMAT </w:instrText>
                          </w:r>
                          <w:r>
                            <w:fldChar w:fldCharType="separate"/>
                          </w:r>
                          <w:r>
                            <w:t>208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6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xq3wA1AgAAZwQAAA4AAABkcnMvZTJvRG9jLnhtbK1UzY7TMBC+I/EO&#10;lu80aVm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5uppRopvDmp+/f&#10;Tj9+nX5+JZ0WJDXWZ/B9tPAO7VvTIiCSF/Ueyth7WzoVv+iKwA6KjxeKRRsIj0GzyWyWwsRhGy7A&#10;Sa7h1vnwThhFopBThzfsqGWHjQ+96+ASs2mzrqWEnmVSkyan09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GrfADUCAABnBAAADgAAAAAAAAABACAAAAAfAQAAZHJzL2Uyb0RvYy54bWxQ&#10;SwUGAAAAAAYABgBZAQAAxgUAAAAA&#10;">
              <v:fill on="f" focussize="0,0"/>
              <v:stroke on="f" weight="0.5pt"/>
              <v:imagedata o:title=""/>
              <o:lock v:ext="edit" aspectratio="f"/>
              <v:textbox inset="0mm,0mm,0mm,0mm" style="mso-fit-shape-to-text:t;">
                <w:txbxContent>
                  <w:p w14:paraId="1154A765">
                    <w:pPr>
                      <w:pStyle w:val="4"/>
                    </w:pPr>
                    <w:r>
                      <w:fldChar w:fldCharType="begin"/>
                    </w:r>
                    <w:r>
                      <w:instrText xml:space="preserve"> PAGE  \* MERGEFORMAT </w:instrText>
                    </w:r>
                    <w:r>
                      <w:fldChar w:fldCharType="separate"/>
                    </w:r>
                    <w:r>
                      <w:t>208</w:t>
                    </w:r>
                    <w:r>
                      <w:fldChar w:fldCharType="end"/>
                    </w:r>
                  </w:p>
                </w:txbxContent>
              </v:textbox>
            </v:shape>
          </w:pict>
        </mc:Fallback>
      </mc:AlternateConten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9EEA9">
    <w:pPr>
      <w:spacing w:line="169" w:lineRule="auto"/>
      <w:ind w:left="4153"/>
      <w:rPr>
        <w:rFonts w:ascii="仿宋" w:hAnsi="仿宋" w:eastAsia="仿宋" w:cs="仿宋"/>
        <w:sz w:val="18"/>
        <w:szCs w:val="18"/>
      </w:rPr>
    </w:pPr>
    <w:r>
      <w:rPr>
        <w:sz w:val="18"/>
      </w:rPr>
      <mc:AlternateContent>
        <mc:Choice Requires="wps">
          <w:drawing>
            <wp:anchor distT="0" distB="0" distL="114300" distR="114300" simplePos="0" relativeHeight="251847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7" name="文本框 14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4E645">
                          <w:pPr>
                            <w:pStyle w:val="4"/>
                          </w:pPr>
                          <w:r>
                            <w:fldChar w:fldCharType="begin"/>
                          </w:r>
                          <w:r>
                            <w:instrText xml:space="preserve"> PAGE  \* MERGEFORMAT </w:instrText>
                          </w:r>
                          <w:r>
                            <w:fldChar w:fldCharType="separate"/>
                          </w:r>
                          <w:r>
                            <w:t>209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7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9HgN42AgAAZwQAAA4AAABkcnMvZTJvRG9jLnhtbK1UzY7TMBC+I/EO&#10;lu80aVm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i6ekuJZgpvfvzx&#10;/fjz1/HxG+m0IKmxPoPv2sI7tO9Mi4BIXtR7KGPvbelU/KIrAjsoPpwpFm0gPAZNJ9NpChOHbbgA&#10;J7mEW+fDe2EUiUJOHd6wo5bt73zoXQeXmE2bVS0l9CyTmjQ5vX79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G9HgN42AgAAZwQAAA4AAAAAAAAAAQAgAAAAHwEAAGRycy9lMm9Eb2MueG1s&#10;UEsFBgAAAAAGAAYAWQEAAMcFAAAAAA==&#10;">
              <v:fill on="f" focussize="0,0"/>
              <v:stroke on="f" weight="0.5pt"/>
              <v:imagedata o:title=""/>
              <o:lock v:ext="edit" aspectratio="f"/>
              <v:textbox inset="0mm,0mm,0mm,0mm" style="mso-fit-shape-to-text:t;">
                <w:txbxContent>
                  <w:p w14:paraId="3344E645">
                    <w:pPr>
                      <w:pStyle w:val="4"/>
                    </w:pPr>
                    <w:r>
                      <w:fldChar w:fldCharType="begin"/>
                    </w:r>
                    <w:r>
                      <w:instrText xml:space="preserve"> PAGE  \* MERGEFORMAT </w:instrText>
                    </w:r>
                    <w:r>
                      <w:fldChar w:fldCharType="separate"/>
                    </w:r>
                    <w:r>
                      <w:t>209</w:t>
                    </w:r>
                    <w:r>
                      <w:fldChar w:fldCharType="end"/>
                    </w:r>
                  </w:p>
                </w:txbxContent>
              </v:textbox>
            </v:shape>
          </w:pict>
        </mc:Fallback>
      </mc:AlternateConten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AFC88">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8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8" name="文本框 14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8CDC6B">
                          <w:pPr>
                            <w:pStyle w:val="4"/>
                          </w:pPr>
                          <w:r>
                            <w:fldChar w:fldCharType="begin"/>
                          </w:r>
                          <w:r>
                            <w:instrText xml:space="preserve"> PAGE  \* MERGEFORMAT </w:instrText>
                          </w:r>
                          <w:r>
                            <w:fldChar w:fldCharType="separate"/>
                          </w:r>
                          <w:r>
                            <w:t>210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8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5wuw0AgAAZwQAAA4AAABkcnMvZTJvRG9jLnhtbK1UzY7TMBC+I/EO&#10;lu80aVlW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3Bzg85rptDz0/dv&#10;px+/Tj+/kk4LkhrrM/huLLxD+9a0CIjkRb2HMtbelk7FL6oisIPi44Vi0QbCY9B0Mp2mMHHYhgtw&#10;kmu4dT68E0aRKOTUoYcdteyw9qF3HVxiNm1WtZTQs0xq0uT09vWb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cLsNAIAAGcEAAAOAAAAAAAAAAEAIAAAAB8BAABkcnMvZTJvRG9jLnhtbFBL&#10;BQYAAAAABgAGAFkBAADFBQAAAAA=&#10;">
              <v:fill on="f" focussize="0,0"/>
              <v:stroke on="f" weight="0.5pt"/>
              <v:imagedata o:title=""/>
              <o:lock v:ext="edit" aspectratio="f"/>
              <v:textbox inset="0mm,0mm,0mm,0mm" style="mso-fit-shape-to-text:t;">
                <w:txbxContent>
                  <w:p w14:paraId="768CDC6B">
                    <w:pPr>
                      <w:pStyle w:val="4"/>
                    </w:pPr>
                    <w:r>
                      <w:fldChar w:fldCharType="begin"/>
                    </w:r>
                    <w:r>
                      <w:instrText xml:space="preserve"> PAGE  \* MERGEFORMAT </w:instrText>
                    </w:r>
                    <w:r>
                      <w:fldChar w:fldCharType="separate"/>
                    </w:r>
                    <w:r>
                      <w:t>210</w:t>
                    </w:r>
                    <w:r>
                      <w:fldChar w:fldCharType="end"/>
                    </w:r>
                  </w:p>
                </w:txbxContent>
              </v:textbox>
            </v:shape>
          </w:pict>
        </mc:Fallback>
      </mc:AlternateConten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C0C69">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9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9" name="文本框 14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269898">
                          <w:pPr>
                            <w:pStyle w:val="4"/>
                          </w:pPr>
                          <w:r>
                            <w:fldChar w:fldCharType="begin"/>
                          </w:r>
                          <w:r>
                            <w:instrText xml:space="preserve"> PAGE  \* MERGEFORMAT </w:instrText>
                          </w:r>
                          <w:r>
                            <w:fldChar w:fldCharType="separate"/>
                          </w:r>
                          <w:r>
                            <w:t>211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9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vUnTI2AgAAZwQAAA4AAABkcnMvZTJvRG9jLnhtbK1UzY7TMBC+I/EO&#10;lu80aVl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i6ekuJZgpvfvzx&#10;/fjz1/HxG+m0IKmxPoPv2sI7tO9Mi4BIXtR7KGPvbelU/KIrAjsoPpwpFm0gPAZNJ9NpChOHbbgA&#10;J7mEW+fDe2EUiUJOHd6wo5bt73zoXQeXmE2bVS0l9CyTmjQ5vX79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BvUnTI2AgAAZwQAAA4AAAAAAAAAAQAgAAAAHwEAAGRycy9lMm9Eb2MueG1s&#10;UEsFBgAAAAAGAAYAWQEAAMcFAAAAAA==&#10;">
              <v:fill on="f" focussize="0,0"/>
              <v:stroke on="f" weight="0.5pt"/>
              <v:imagedata o:title=""/>
              <o:lock v:ext="edit" aspectratio="f"/>
              <v:textbox inset="0mm,0mm,0mm,0mm" style="mso-fit-shape-to-text:t;">
                <w:txbxContent>
                  <w:p w14:paraId="48269898">
                    <w:pPr>
                      <w:pStyle w:val="4"/>
                    </w:pPr>
                    <w:r>
                      <w:fldChar w:fldCharType="begin"/>
                    </w:r>
                    <w:r>
                      <w:instrText xml:space="preserve"> PAGE  \* MERGEFORMAT </w:instrText>
                    </w:r>
                    <w:r>
                      <w:fldChar w:fldCharType="separate"/>
                    </w:r>
                    <w:r>
                      <w:t>211</w:t>
                    </w:r>
                    <w:r>
                      <w:fldChar w:fldCharType="end"/>
                    </w:r>
                  </w:p>
                </w:txbxContent>
              </v:textbox>
            </v:shape>
          </w:pict>
        </mc:Fallback>
      </mc:AlternateConten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BBB12">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0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0" name="文本框 14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E04C94">
                          <w:pPr>
                            <w:pStyle w:val="4"/>
                          </w:pPr>
                          <w:r>
                            <w:fldChar w:fldCharType="begin"/>
                          </w:r>
                          <w:r>
                            <w:instrText xml:space="preserve"> PAGE  \* MERGEFORMAT </w:instrText>
                          </w:r>
                          <w:r>
                            <w:fldChar w:fldCharType="separate"/>
                          </w:r>
                          <w:r>
                            <w:t>212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0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pDuLDICAABnBAAADgAAAAAAAAABACAAAAAfAQAAZHJzL2Uyb0RvYy54bWxQSwUG&#10;AAAAAAYABgBZAQAAwwUAAAAA&#10;">
              <v:fill on="f" focussize="0,0"/>
              <v:stroke on="f" weight="0.5pt"/>
              <v:imagedata o:title=""/>
              <o:lock v:ext="edit" aspectratio="f"/>
              <v:textbox inset="0mm,0mm,0mm,0mm" style="mso-fit-shape-to-text:t;">
                <w:txbxContent>
                  <w:p w14:paraId="1BE04C94">
                    <w:pPr>
                      <w:pStyle w:val="4"/>
                    </w:pPr>
                    <w:r>
                      <w:fldChar w:fldCharType="begin"/>
                    </w:r>
                    <w:r>
                      <w:instrText xml:space="preserve"> PAGE  \* MERGEFORMAT </w:instrText>
                    </w:r>
                    <w:r>
                      <w:fldChar w:fldCharType="separate"/>
                    </w:r>
                    <w:r>
                      <w:t>212</w:t>
                    </w:r>
                    <w:r>
                      <w:fldChar w:fldCharType="end"/>
                    </w:r>
                  </w:p>
                </w:txbxContent>
              </v:textbox>
            </v:shape>
          </w:pict>
        </mc:Fallback>
      </mc:AlternateConten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15BB3">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1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1" name="文本框 14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96FCB7">
                          <w:pPr>
                            <w:pStyle w:val="4"/>
                          </w:pPr>
                          <w:r>
                            <w:fldChar w:fldCharType="begin"/>
                          </w:r>
                          <w:r>
                            <w:instrText xml:space="preserve"> PAGE  \* MERGEFORMAT </w:instrText>
                          </w:r>
                          <w:r>
                            <w:fldChar w:fldCharType="separate"/>
                          </w:r>
                          <w:r>
                            <w:t>213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1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W9sfI0AgAAZwQAAA4AAABkcnMvZTJvRG9jLnhtbK1UzY7TMBC+I/EO&#10;lu80aWFX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97cjCnRTGHmp+/f&#10;Tj9+nX5+JZ0WJDXWZ/DdWHiH9q1pERDJi3oPZey9LZ2KX3RFYAfFxwvFog2Ex6DpZDpNYeKwDRfg&#10;JNdw63x4J4wiUcipwww7atlh7UPvOrjEbNqsaimhZ5nUpMnp7eub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1vbHyNAIAAGcEAAAOAAAAAAAAAAEAIAAAAB8BAABkcnMvZTJvRG9jLnhtbFBL&#10;BQYAAAAABgAGAFkBAADFBQAAAAA=&#10;">
              <v:fill on="f" focussize="0,0"/>
              <v:stroke on="f" weight="0.5pt"/>
              <v:imagedata o:title=""/>
              <o:lock v:ext="edit" aspectratio="f"/>
              <v:textbox inset="0mm,0mm,0mm,0mm" style="mso-fit-shape-to-text:t;">
                <w:txbxContent>
                  <w:p w14:paraId="6096FCB7">
                    <w:pPr>
                      <w:pStyle w:val="4"/>
                    </w:pPr>
                    <w:r>
                      <w:fldChar w:fldCharType="begin"/>
                    </w:r>
                    <w:r>
                      <w:instrText xml:space="preserve"> PAGE  \* MERGEFORMAT </w:instrText>
                    </w:r>
                    <w:r>
                      <w:fldChar w:fldCharType="separate"/>
                    </w:r>
                    <w:r>
                      <w:t>213</w:t>
                    </w:r>
                    <w:r>
                      <w:fldChar w:fldCharType="end"/>
                    </w:r>
                  </w:p>
                </w:txbxContent>
              </v:textbox>
            </v:shape>
          </w:pict>
        </mc:Fallback>
      </mc:AlternateConten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7DF71">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2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2" name="文本框 14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F6D448">
                          <w:pPr>
                            <w:pStyle w:val="4"/>
                          </w:pPr>
                          <w:r>
                            <w:fldChar w:fldCharType="begin"/>
                          </w:r>
                          <w:r>
                            <w:instrText xml:space="preserve"> PAGE  \* MERGEFORMAT </w:instrText>
                          </w:r>
                          <w:r>
                            <w:fldChar w:fldCharType="separate"/>
                          </w:r>
                          <w:r>
                            <w:t>214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2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HMIUs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7cTC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cwhSzUCAABnBAAADgAAAAAAAAABACAAAAAfAQAAZHJzL2Uyb0RvYy54bWxQ&#10;SwUGAAAAAAYABgBZAQAAxgUAAAAA&#10;">
              <v:fill on="f" focussize="0,0"/>
              <v:stroke on="f" weight="0.5pt"/>
              <v:imagedata o:title=""/>
              <o:lock v:ext="edit" aspectratio="f"/>
              <v:textbox inset="0mm,0mm,0mm,0mm" style="mso-fit-shape-to-text:t;">
                <w:txbxContent>
                  <w:p w14:paraId="67F6D448">
                    <w:pPr>
                      <w:pStyle w:val="4"/>
                    </w:pPr>
                    <w:r>
                      <w:fldChar w:fldCharType="begin"/>
                    </w:r>
                    <w:r>
                      <w:instrText xml:space="preserve"> PAGE  \* MERGEFORMAT </w:instrText>
                    </w:r>
                    <w:r>
                      <w:fldChar w:fldCharType="separate"/>
                    </w:r>
                    <w:r>
                      <w:t>214</w:t>
                    </w:r>
                    <w:r>
                      <w:fldChar w:fldCharType="end"/>
                    </w:r>
                  </w:p>
                </w:txbxContent>
              </v:textbox>
            </v:shape>
          </w:pict>
        </mc:Fallback>
      </mc:AlternateConten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57F34">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3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3" name="文本框 14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21420A">
                          <w:pPr>
                            <w:pStyle w:val="4"/>
                          </w:pPr>
                          <w:r>
                            <w:fldChar w:fldCharType="begin"/>
                          </w:r>
                          <w:r>
                            <w:instrText xml:space="preserve"> PAGE  \* MERGEFORMAT </w:instrText>
                          </w:r>
                          <w:r>
                            <w:fldChar w:fldCharType="separate"/>
                          </w:r>
                          <w:r>
                            <w:t>215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3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hfpU2AgAAZwQAAA4AAABkcnMvZTJvRG9jLnhtbK1UzY7TMBC+I/EO&#10;lu80aZd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311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LhfpU2AgAAZwQAAA4AAAAAAAAAAQAgAAAAHwEAAGRycy9lMm9Eb2MueG1s&#10;UEsFBgAAAAAGAAYAWQEAAMcFAAAAAA==&#10;">
              <v:fill on="f" focussize="0,0"/>
              <v:stroke on="f" weight="0.5pt"/>
              <v:imagedata o:title=""/>
              <o:lock v:ext="edit" aspectratio="f"/>
              <v:textbox inset="0mm,0mm,0mm,0mm" style="mso-fit-shape-to-text:t;">
                <w:txbxContent>
                  <w:p w14:paraId="2321420A">
                    <w:pPr>
                      <w:pStyle w:val="4"/>
                    </w:pPr>
                    <w:r>
                      <w:fldChar w:fldCharType="begin"/>
                    </w:r>
                    <w:r>
                      <w:instrText xml:space="preserve"> PAGE  \* MERGEFORMAT </w:instrText>
                    </w:r>
                    <w:r>
                      <w:fldChar w:fldCharType="separate"/>
                    </w:r>
                    <w:r>
                      <w:t>215</w:t>
                    </w:r>
                    <w:r>
                      <w:fldChar w:fldCharType="end"/>
                    </w:r>
                  </w:p>
                </w:txbxContent>
              </v:textbox>
            </v:shape>
          </w:pict>
        </mc:Fallback>
      </mc:AlternateConten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5969C">
    <w:pPr>
      <w:spacing w:line="169" w:lineRule="auto"/>
      <w:ind w:left="4048"/>
      <w:rPr>
        <w:rFonts w:ascii="仿宋" w:hAnsi="仿宋" w:eastAsia="仿宋" w:cs="仿宋"/>
        <w:sz w:val="18"/>
        <w:szCs w:val="18"/>
      </w:rPr>
    </w:pPr>
    <w:r>
      <w:rPr>
        <w:sz w:val="18"/>
      </w:rPr>
      <mc:AlternateContent>
        <mc:Choice Requires="wps">
          <w:drawing>
            <wp:anchor distT="0" distB="0" distL="114300" distR="114300" simplePos="0" relativeHeight="251854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4" name="文本框 14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673A8F">
                          <w:pPr>
                            <w:pStyle w:val="4"/>
                          </w:pPr>
                          <w:r>
                            <w:fldChar w:fldCharType="begin"/>
                          </w:r>
                          <w:r>
                            <w:instrText xml:space="preserve"> PAGE  \* MERGEFORMAT </w:instrText>
                          </w:r>
                          <w:r>
                            <w:fldChar w:fldCharType="separate"/>
                          </w:r>
                          <w:r>
                            <w:t>216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4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ocOM2AgAAZwQAAA4AAABkcnMvZTJvRG9jLnhtbK1UzY7TMBC+I/EO&#10;lu80adl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ytKNFN48+OP&#10;78efT8df30inBUmN9Rl8Hy28Q/vOtAiI5EW9hzL23pZOxS+6IrCD4sOZYtEGwmPQdDKdpjBx2IYL&#10;cJJLuHU+vBdGkSjk1OENO2rZfu1D7zq4xGzarGopoWeZ1KTJ6c3b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gocOM2AgAAZwQAAA4AAAAAAAAAAQAgAAAAHwEAAGRycy9lMm9Eb2MueG1s&#10;UEsFBgAAAAAGAAYAWQEAAMcFAAAAAA==&#10;">
              <v:fill on="f" focussize="0,0"/>
              <v:stroke on="f" weight="0.5pt"/>
              <v:imagedata o:title=""/>
              <o:lock v:ext="edit" aspectratio="f"/>
              <v:textbox inset="0mm,0mm,0mm,0mm" style="mso-fit-shape-to-text:t;">
                <w:txbxContent>
                  <w:p w14:paraId="28673A8F">
                    <w:pPr>
                      <w:pStyle w:val="4"/>
                    </w:pPr>
                    <w:r>
                      <w:fldChar w:fldCharType="begin"/>
                    </w:r>
                    <w:r>
                      <w:instrText xml:space="preserve"> PAGE  \* MERGEFORMAT </w:instrText>
                    </w:r>
                    <w:r>
                      <w:fldChar w:fldCharType="separate"/>
                    </w:r>
                    <w:r>
                      <w:t>216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24814">
    <w:pPr>
      <w:spacing w:line="174" w:lineRule="auto"/>
      <w:ind w:left="4135"/>
      <w:rPr>
        <w:rFonts w:ascii="Times New Roman" w:hAnsi="Times New Roman" w:eastAsia="Times New Roman" w:cs="Times New Roman"/>
        <w:sz w:val="21"/>
        <w:szCs w:val="21"/>
      </w:rPr>
    </w:pPr>
    <w:r>
      <w:rPr>
        <w:rFonts w:ascii="Times New Roman" w:hAnsi="Times New Roman" w:eastAsia="Times New Roman" w:cs="Times New Roman"/>
        <w:sz w:val="21"/>
        <w:szCs w:val="21"/>
      </w:rPr>
      <w:t>I</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0CEC2">
    <w:pPr>
      <w:spacing w:line="177"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1" name="文本框 12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6E8178">
                          <w:pPr>
                            <w:pStyle w:val="4"/>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IPovk0AgAAZwQAAA4AAABkcnMvZTJvRG9jLnhtbK1UzY7TMBC+I/EO&#10;lu80aRFL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kzejinRTGHm5x/f&#10;zz8fz7++kVYLkmrrZ/DdWniH5p1pEBDJi3oPZey9KZyKX3RFYAfFpwvFogmEx6DpZDpNYeKwDRfg&#10;JNdw63x4L4wiUciowwxbatlx40PnOrjEbNqsKymhZzOpSZ3Rm9dv0j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D6L5NAIAAGcEAAAOAAAAAAAAAAEAIAAAAB8BAABkcnMvZTJvRG9jLnhtbFBL&#10;BQYAAAAABgAGAFkBAADFBQAAAAA=&#10;">
              <v:fill on="f" focussize="0,0"/>
              <v:stroke on="f" weight="0.5pt"/>
              <v:imagedata o:title=""/>
              <o:lock v:ext="edit" aspectratio="f"/>
              <v:textbox inset="0mm,0mm,0mm,0mm" style="mso-fit-shape-to-text:t;">
                <w:txbxContent>
                  <w:p w14:paraId="196E8178">
                    <w:pPr>
                      <w:pStyle w:val="4"/>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A5FC4">
    <w:pPr>
      <w:spacing w:line="169" w:lineRule="auto"/>
      <w:ind w:left="4048"/>
      <w:rPr>
        <w:rFonts w:ascii="仿宋" w:hAnsi="仿宋" w:eastAsia="仿宋" w:cs="仿宋"/>
        <w:sz w:val="18"/>
        <w:szCs w:val="18"/>
      </w:rPr>
    </w:pPr>
    <w:r>
      <w:rPr>
        <w:sz w:val="18"/>
      </w:rPr>
      <mc:AlternateContent>
        <mc:Choice Requires="wps">
          <w:drawing>
            <wp:anchor distT="0" distB="0" distL="114300" distR="114300" simplePos="0" relativeHeight="251855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5" name="文本框 14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1AF68">
                          <w:pPr>
                            <w:pStyle w:val="4"/>
                          </w:pPr>
                          <w:r>
                            <w:fldChar w:fldCharType="begin"/>
                          </w:r>
                          <w:r>
                            <w:instrText xml:space="preserve"> PAGE  \* MERGEFORMAT </w:instrText>
                          </w:r>
                          <w:r>
                            <w:fldChar w:fldCharType="separate"/>
                          </w:r>
                          <w:r>
                            <w:t>217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5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sFLz01AgAAZwQAAA4AAABkcnMvZTJvRG9jLnhtbK1UzY7TMBC+I/EO&#10;lu80aaG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LyZTinRTOHNT9+/&#10;nX78Ov38SjotSGqsz+D7aOEd2remRUAkL+o9lLH3tnQqftEVgR0UHy8UizYQHoNmk9kshYnDNlyA&#10;k1zDrfPhnTCKRCGnDm/YUcsOGx9618ElZtNmXUsJPcukJk1Ob15P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UvPTUCAABnBAAADgAAAAAAAAABACAAAAAfAQAAZHJzL2Uyb0RvYy54bWxQ&#10;SwUGAAAAAAYABgBZAQAAxgUAAAAA&#10;">
              <v:fill on="f" focussize="0,0"/>
              <v:stroke on="f" weight="0.5pt"/>
              <v:imagedata o:title=""/>
              <o:lock v:ext="edit" aspectratio="f"/>
              <v:textbox inset="0mm,0mm,0mm,0mm" style="mso-fit-shape-to-text:t;">
                <w:txbxContent>
                  <w:p w14:paraId="0B01AF68">
                    <w:pPr>
                      <w:pStyle w:val="4"/>
                    </w:pPr>
                    <w:r>
                      <w:fldChar w:fldCharType="begin"/>
                    </w:r>
                    <w:r>
                      <w:instrText xml:space="preserve"> PAGE  \* MERGEFORMAT </w:instrText>
                    </w:r>
                    <w:r>
                      <w:fldChar w:fldCharType="separate"/>
                    </w:r>
                    <w:r>
                      <w:t>217</w:t>
                    </w:r>
                    <w:r>
                      <w:fldChar w:fldCharType="end"/>
                    </w:r>
                  </w:p>
                </w:txbxContent>
              </v:textbox>
            </v:shape>
          </w:pict>
        </mc:Fallback>
      </mc:AlternateConten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A24AD">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6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6" name="文本框 14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73DDD8">
                          <w:pPr>
                            <w:pStyle w:val="4"/>
                          </w:pPr>
                          <w:r>
                            <w:fldChar w:fldCharType="begin"/>
                          </w:r>
                          <w:r>
                            <w:instrText xml:space="preserve"> PAGE  \* MERGEFORMAT </w:instrText>
                          </w:r>
                          <w:r>
                            <w:fldChar w:fldCharType="separate"/>
                          </w:r>
                          <w:r>
                            <w:t>218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6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90v4Q1AgAAZwQAAA4AAABkcnMvZTJvRG9jLnhtbK1UzY7TMBC+I/EO&#10;lu80aWGr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t7cTCnRTOHNT9+/&#10;nX78Ov38SjotSGqsz+D7aOEd2remRUAkL+o9lLH3tnQqftEVgR0UHy8UizYQHoNmk9kshYnDNlyA&#10;k1zDrfPhnTCKRCGnDm/YUcsOGx9618ElZtNmXUsJPcukJk1Op69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3S/hDUCAABnBAAADgAAAAAAAAABACAAAAAfAQAAZHJzL2Uyb0RvYy54bWxQ&#10;SwUGAAAAAAYABgBZAQAAxgUAAAAA&#10;">
              <v:fill on="f" focussize="0,0"/>
              <v:stroke on="f" weight="0.5pt"/>
              <v:imagedata o:title=""/>
              <o:lock v:ext="edit" aspectratio="f"/>
              <v:textbox inset="0mm,0mm,0mm,0mm" style="mso-fit-shape-to-text:t;">
                <w:txbxContent>
                  <w:p w14:paraId="0673DDD8">
                    <w:pPr>
                      <w:pStyle w:val="4"/>
                    </w:pPr>
                    <w:r>
                      <w:fldChar w:fldCharType="begin"/>
                    </w:r>
                    <w:r>
                      <w:instrText xml:space="preserve"> PAGE  \* MERGEFORMAT </w:instrText>
                    </w:r>
                    <w:r>
                      <w:fldChar w:fldCharType="separate"/>
                    </w:r>
                    <w:r>
                      <w:t>218</w:t>
                    </w:r>
                    <w:r>
                      <w:fldChar w:fldCharType="end"/>
                    </w:r>
                  </w:p>
                </w:txbxContent>
              </v:textbox>
            </v:shape>
          </w:pict>
        </mc:Fallback>
      </mc:AlternateConten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7C9AE">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7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7" name="文本框 14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E6B129">
                          <w:pPr>
                            <w:pStyle w:val="4"/>
                          </w:pPr>
                          <w:r>
                            <w:fldChar w:fldCharType="begin"/>
                          </w:r>
                          <w:r>
                            <w:instrText xml:space="preserve"> PAGE  \* MERGEFORMAT </w:instrText>
                          </w:r>
                          <w:r>
                            <w:fldChar w:fldCharType="separate"/>
                          </w:r>
                          <w:r>
                            <w:t>219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7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xZ4Fo2AgAAZwQAAA4AAABkcnMvZTJvRG9jLnhtbK1UzY7TMBC+I/EO&#10;lu80aWGX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hz9ZYSzRTe/Pjj&#10;+/Hnr+PjN9JpQVJjfQbftYV3aN+ZFgGRvKj3UMbe29Kp+EVXBHZQfDhTLNpAeAyaTqbTFCYO23AB&#10;TnIJt86H98IoEoWcOrxhRy3b3/nQuw4uMZs2q1pK6FkmNWlyev36K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JxZ4Fo2AgAAZwQAAA4AAAAAAAAAAQAgAAAAHwEAAGRycy9lMm9Eb2MueG1s&#10;UEsFBgAAAAAGAAYAWQEAAMcFAAAAAA==&#10;">
              <v:fill on="f" focussize="0,0"/>
              <v:stroke on="f" weight="0.5pt"/>
              <v:imagedata o:title=""/>
              <o:lock v:ext="edit" aspectratio="f"/>
              <v:textbox inset="0mm,0mm,0mm,0mm" style="mso-fit-shape-to-text:t;">
                <w:txbxContent>
                  <w:p w14:paraId="13E6B129">
                    <w:pPr>
                      <w:pStyle w:val="4"/>
                    </w:pPr>
                    <w:r>
                      <w:fldChar w:fldCharType="begin"/>
                    </w:r>
                    <w:r>
                      <w:instrText xml:space="preserve"> PAGE  \* MERGEFORMAT </w:instrText>
                    </w:r>
                    <w:r>
                      <w:fldChar w:fldCharType="separate"/>
                    </w:r>
                    <w:r>
                      <w:t>219</w:t>
                    </w:r>
                    <w:r>
                      <w:fldChar w:fldCharType="end"/>
                    </w:r>
                  </w:p>
                </w:txbxContent>
              </v:textbox>
            </v:shape>
          </w:pict>
        </mc:Fallback>
      </mc:AlternateConten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07168">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8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8" name="文本框 14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1C5F37">
                          <w:pPr>
                            <w:pStyle w:val="4"/>
                          </w:pPr>
                          <w:r>
                            <w:fldChar w:fldCharType="begin"/>
                          </w:r>
                          <w:r>
                            <w:instrText xml:space="preserve"> PAGE  \* MERGEFORMAT </w:instrText>
                          </w:r>
                          <w:r>
                            <w:fldChar w:fldCharType="separate"/>
                          </w:r>
                          <w:r>
                            <w:t>220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8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nomg0AgAAZwQAAA4AAABkcnMvZTJvRG9jLnhtbK1UzY7TMBC+I/EO&#10;lu80aWFX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DmBp3XTKHnp+/f&#10;Tj9+nX5+JZ0WJDXWZ/DdWHiH9q1pERDJi3oPZay9LZ2KX1RFYAfFxwvFog2Ex6DpZDpNYeKwDRfg&#10;JNdw63x4J4wiUcipQw87atlh7UPvOrjEbNqsaimhZ5nUpMnp7eub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756JoNAIAAGcEAAAOAAAAAAAAAAEAIAAAAB8BAABkcnMvZTJvRG9jLnhtbFBL&#10;BQYAAAAABgAGAFkBAADFBQAAAAA=&#10;">
              <v:fill on="f" focussize="0,0"/>
              <v:stroke on="f" weight="0.5pt"/>
              <v:imagedata o:title=""/>
              <o:lock v:ext="edit" aspectratio="f"/>
              <v:textbox inset="0mm,0mm,0mm,0mm" style="mso-fit-shape-to-text:t;">
                <w:txbxContent>
                  <w:p w14:paraId="011C5F37">
                    <w:pPr>
                      <w:pStyle w:val="4"/>
                    </w:pPr>
                    <w:r>
                      <w:fldChar w:fldCharType="begin"/>
                    </w:r>
                    <w:r>
                      <w:instrText xml:space="preserve"> PAGE  \* MERGEFORMAT </w:instrText>
                    </w:r>
                    <w:r>
                      <w:fldChar w:fldCharType="separate"/>
                    </w:r>
                    <w:r>
                      <w:t>220</w:t>
                    </w:r>
                    <w:r>
                      <w:fldChar w:fldCharType="end"/>
                    </w:r>
                  </w:p>
                </w:txbxContent>
              </v:textbox>
            </v:shape>
          </w:pict>
        </mc:Fallback>
      </mc:AlternateConten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8A74F">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9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9" name="文本框 14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218671">
                          <w:pPr>
                            <w:pStyle w:val="4"/>
                          </w:pPr>
                          <w:r>
                            <w:fldChar w:fldCharType="begin"/>
                          </w:r>
                          <w:r>
                            <w:instrText xml:space="preserve"> PAGE  \* MERGEFORMAT </w:instrText>
                          </w:r>
                          <w:r>
                            <w:fldChar w:fldCharType="separate"/>
                          </w:r>
                          <w:r>
                            <w:t>221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9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K/bY2AgAAZwQAAA4AAABkcnMvZTJvRG9jLnhtbK1UzY7TMBC+I/EO&#10;lu80aWFX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hz9ZYSzRTe/Pjj&#10;+/Hnr+PjN9JpQVJjfQbftYV3aN+ZFgGRvKj3UMbe29Kp+EVXBHZQfDhTLNpAeAyaTqbTFCYO23AB&#10;TnIJt86H98IoEoWcOrxhRy3b3/nQuw4uMZs2q1pK6FkmNWlyev36K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jK/bY2AgAAZwQAAA4AAAAAAAAAAQAgAAAAHwEAAGRycy9lMm9Eb2MueG1s&#10;UEsFBgAAAAAGAAYAWQEAAMcFAAAAAA==&#10;">
              <v:fill on="f" focussize="0,0"/>
              <v:stroke on="f" weight="0.5pt"/>
              <v:imagedata o:title=""/>
              <o:lock v:ext="edit" aspectratio="f"/>
              <v:textbox inset="0mm,0mm,0mm,0mm" style="mso-fit-shape-to-text:t;">
                <w:txbxContent>
                  <w:p w14:paraId="49218671">
                    <w:pPr>
                      <w:pStyle w:val="4"/>
                    </w:pPr>
                    <w:r>
                      <w:fldChar w:fldCharType="begin"/>
                    </w:r>
                    <w:r>
                      <w:instrText xml:space="preserve"> PAGE  \* MERGEFORMAT </w:instrText>
                    </w:r>
                    <w:r>
                      <w:fldChar w:fldCharType="separate"/>
                    </w:r>
                    <w:r>
                      <w:t>221</w:t>
                    </w:r>
                    <w:r>
                      <w:fldChar w:fldCharType="end"/>
                    </w:r>
                  </w:p>
                </w:txbxContent>
              </v:textbox>
            </v:shape>
          </w:pict>
        </mc:Fallback>
      </mc:AlternateConten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529FC">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0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0" name="文本框 14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00AE92">
                          <w:pPr>
                            <w:pStyle w:val="4"/>
                          </w:pPr>
                          <w:r>
                            <w:fldChar w:fldCharType="begin"/>
                          </w:r>
                          <w:r>
                            <w:instrText xml:space="preserve"> PAGE  \* MERGEFORMAT </w:instrText>
                          </w:r>
                          <w:r>
                            <w:fldChar w:fldCharType="separate"/>
                          </w:r>
                          <w:r>
                            <w:t>222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0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K1P3s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ytT97NAIAAGcEAAAOAAAAAAAAAAEAIAAAAB8BAABkcnMvZTJvRG9jLnhtbFBL&#10;BQYAAAAABgAGAFkBAADFBQAAAAA=&#10;">
              <v:fill on="f" focussize="0,0"/>
              <v:stroke on="f" weight="0.5pt"/>
              <v:imagedata o:title=""/>
              <o:lock v:ext="edit" aspectratio="f"/>
              <v:textbox inset="0mm,0mm,0mm,0mm" style="mso-fit-shape-to-text:t;">
                <w:txbxContent>
                  <w:p w14:paraId="0200AE92">
                    <w:pPr>
                      <w:pStyle w:val="4"/>
                    </w:pPr>
                    <w:r>
                      <w:fldChar w:fldCharType="begin"/>
                    </w:r>
                    <w:r>
                      <w:instrText xml:space="preserve"> PAGE  \* MERGEFORMAT </w:instrText>
                    </w:r>
                    <w:r>
                      <w:fldChar w:fldCharType="separate"/>
                    </w:r>
                    <w:r>
                      <w:t>222</w:t>
                    </w:r>
                    <w:r>
                      <w:fldChar w:fldCharType="end"/>
                    </w:r>
                  </w:p>
                </w:txbxContent>
              </v:textbox>
            </v:shape>
          </w:pict>
        </mc:Fallback>
      </mc:AlternateConten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F54CA">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2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1" name="文本框 14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4C8BEC">
                          <w:pPr>
                            <w:pStyle w:val="4"/>
                          </w:pPr>
                          <w:r>
                            <w:fldChar w:fldCharType="begin"/>
                          </w:r>
                          <w:r>
                            <w:instrText xml:space="preserve"> PAGE  \* MERGEFORMAT </w:instrText>
                          </w:r>
                          <w:r>
                            <w:fldChar w:fldCharType="separate"/>
                          </w:r>
                          <w:r>
                            <w:t>223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2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YYKU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hmGClNAIAAGcEAAAOAAAAAAAAAAEAIAAAAB8BAABkcnMvZTJvRG9jLnhtbFBL&#10;BQYAAAAABgAGAFkBAADFBQAAAAA=&#10;">
              <v:fill on="f" focussize="0,0"/>
              <v:stroke on="f" weight="0.5pt"/>
              <v:imagedata o:title=""/>
              <o:lock v:ext="edit" aspectratio="f"/>
              <v:textbox inset="0mm,0mm,0mm,0mm" style="mso-fit-shape-to-text:t;">
                <w:txbxContent>
                  <w:p w14:paraId="3A4C8BEC">
                    <w:pPr>
                      <w:pStyle w:val="4"/>
                    </w:pPr>
                    <w:r>
                      <w:fldChar w:fldCharType="begin"/>
                    </w:r>
                    <w:r>
                      <w:instrText xml:space="preserve"> PAGE  \* MERGEFORMAT </w:instrText>
                    </w:r>
                    <w:r>
                      <w:fldChar w:fldCharType="separate"/>
                    </w:r>
                    <w:r>
                      <w:t>223</w:t>
                    </w:r>
                    <w:r>
                      <w:fldChar w:fldCharType="end"/>
                    </w:r>
                  </w:p>
                </w:txbxContent>
              </v:textbox>
            </v:shape>
          </w:pict>
        </mc:Fallback>
      </mc:AlternateConten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326D1">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3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2" name="文本框 14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362659">
                          <w:pPr>
                            <w:pStyle w:val="4"/>
                          </w:pPr>
                          <w:r>
                            <w:fldChar w:fldCharType="begin"/>
                          </w:r>
                          <w:r>
                            <w:instrText xml:space="preserve"> PAGE  \* MERGEFORMAT </w:instrText>
                          </w:r>
                          <w:r>
                            <w:fldChar w:fldCharType="separate"/>
                          </w:r>
                          <w:r>
                            <w:t>224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3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p8Bw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5mVCimcKbn398&#10;P/98PP/6RlotSKqtn8F3a+EdmnemQUAkL+o9lLH3pnAqftEVgR0Uny4UiyYQHoOmk+k0hYnDNlyA&#10;k1zDrfPhvTCKRCGjDm/YUsuOGx8618ElZtNmXUkJPZtJTeqM3rx+m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enwHDUCAABnBAAADgAAAAAAAAABACAAAAAfAQAAZHJzL2Uyb0RvYy54bWxQ&#10;SwUGAAAAAAYABgBZAQAAxgUAAAAA&#10;">
              <v:fill on="f" focussize="0,0"/>
              <v:stroke on="f" weight="0.5pt"/>
              <v:imagedata o:title=""/>
              <o:lock v:ext="edit" aspectratio="f"/>
              <v:textbox inset="0mm,0mm,0mm,0mm" style="mso-fit-shape-to-text:t;">
                <w:txbxContent>
                  <w:p w14:paraId="03362659">
                    <w:pPr>
                      <w:pStyle w:val="4"/>
                    </w:pPr>
                    <w:r>
                      <w:fldChar w:fldCharType="begin"/>
                    </w:r>
                    <w:r>
                      <w:instrText xml:space="preserve"> PAGE  \* MERGEFORMAT </w:instrText>
                    </w:r>
                    <w:r>
                      <w:fldChar w:fldCharType="separate"/>
                    </w:r>
                    <w:r>
                      <w:t>224</w:t>
                    </w:r>
                    <w:r>
                      <w:fldChar w:fldCharType="end"/>
                    </w:r>
                  </w:p>
                </w:txbxContent>
              </v:textbox>
            </v:shape>
          </w:pict>
        </mc:Fallback>
      </mc:AlternateConten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B076C">
    <w:pPr>
      <w:spacing w:line="170" w:lineRule="auto"/>
      <w:ind w:left="4360"/>
      <w:rPr>
        <w:rFonts w:ascii="仿宋" w:hAnsi="仿宋" w:eastAsia="仿宋" w:cs="仿宋"/>
        <w:sz w:val="18"/>
        <w:szCs w:val="18"/>
      </w:rPr>
    </w:pPr>
    <w:r>
      <w:rPr>
        <w:sz w:val="18"/>
      </w:rPr>
      <mc:AlternateContent>
        <mc:Choice Requires="wps">
          <w:drawing>
            <wp:anchor distT="0" distB="0" distL="114300" distR="114300" simplePos="0" relativeHeight="251864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3" name="文本框 14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9ED4CA">
                          <w:pPr>
                            <w:pStyle w:val="4"/>
                          </w:pPr>
                          <w:r>
                            <w:fldChar w:fldCharType="begin"/>
                          </w:r>
                          <w:r>
                            <w:instrText xml:space="preserve"> PAGE  \* MERGEFORMAT </w:instrText>
                          </w:r>
                          <w:r>
                            <w:fldChar w:fldCharType="separate"/>
                          </w:r>
                          <w:r>
                            <w:t>225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4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Er8I1AgAAZwQAAA4AAABkcnMvZTJvRG9jLnhtbK1UzY7TMBC+I/EO&#10;lu80aRe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l5PbyjRTOHNT9+/&#10;nX78Ov38SjotSGqsz+D7aOEd2remRUAkL+o9lLH3tnQqftEVgR0UHy8UizYQHoNmk9kshYnDNlyA&#10;k1zDrfPhnTCKRCGnDm/YUcsOGx9618ElZtNmXUsJPcukJk1Opz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sSvwjUCAABnBAAADgAAAAAAAAABACAAAAAfAQAAZHJzL2Uyb0RvYy54bWxQ&#10;SwUGAAAAAAYABgBZAQAAxgUAAAAA&#10;">
              <v:fill on="f" focussize="0,0"/>
              <v:stroke on="f" weight="0.5pt"/>
              <v:imagedata o:title=""/>
              <o:lock v:ext="edit" aspectratio="f"/>
              <v:textbox inset="0mm,0mm,0mm,0mm" style="mso-fit-shape-to-text:t;">
                <w:txbxContent>
                  <w:p w14:paraId="179ED4CA">
                    <w:pPr>
                      <w:pStyle w:val="4"/>
                    </w:pPr>
                    <w:r>
                      <w:fldChar w:fldCharType="begin"/>
                    </w:r>
                    <w:r>
                      <w:instrText xml:space="preserve"> PAGE  \* MERGEFORMAT </w:instrText>
                    </w:r>
                    <w:r>
                      <w:fldChar w:fldCharType="separate"/>
                    </w:r>
                    <w:r>
                      <w:t>225</w:t>
                    </w:r>
                    <w:r>
                      <w:fldChar w:fldCharType="end"/>
                    </w:r>
                  </w:p>
                </w:txbxContent>
              </v:textbox>
            </v:shape>
          </w:pict>
        </mc:Fallback>
      </mc:AlternateConten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DCC23">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5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4" name="文本框 14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63DA8C">
                          <w:pPr>
                            <w:pStyle w:val="4"/>
                          </w:pPr>
                          <w:r>
                            <w:fldChar w:fldCharType="begin"/>
                          </w:r>
                          <w:r>
                            <w:instrText xml:space="preserve"> PAGE  \* MERGEFORMAT </w:instrText>
                          </w:r>
                          <w:r>
                            <w:fldChar w:fldCharType="separate"/>
                          </w:r>
                          <w:r>
                            <w:t>226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5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NobQ1AgAAZwQAAA4AAABkcnMvZTJvRG9jLnhtbK1UzY7TMBC+I/EO&#10;lu80aVm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6mN5RopvDmp+/f&#10;Tj9+nX5+JZ0WJDXWZ/B9tPAO7VvTIiCSF/Ueyth7WzoVv+iKwA6KjxeKRRsIj0GzyWyWwsRhGy7A&#10;Sa7h1vnwThhFopBThzfsqGWHjQ+96+ASs2mzrqWEnmVSkyan09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A2htDUCAABnBAAADgAAAAAAAAABACAAAAAfAQAAZHJzL2Uyb0RvYy54bWxQ&#10;SwUGAAAAAAYABgBZAQAAxgUAAAAA&#10;">
              <v:fill on="f" focussize="0,0"/>
              <v:stroke on="f" weight="0.5pt"/>
              <v:imagedata o:title=""/>
              <o:lock v:ext="edit" aspectratio="f"/>
              <v:textbox inset="0mm,0mm,0mm,0mm" style="mso-fit-shape-to-text:t;">
                <w:txbxContent>
                  <w:p w14:paraId="2663DA8C">
                    <w:pPr>
                      <w:pStyle w:val="4"/>
                    </w:pPr>
                    <w:r>
                      <w:fldChar w:fldCharType="begin"/>
                    </w:r>
                    <w:r>
                      <w:instrText xml:space="preserve"> PAGE  \* MERGEFORMAT </w:instrText>
                    </w:r>
                    <w:r>
                      <w:fldChar w:fldCharType="separate"/>
                    </w:r>
                    <w:r>
                      <w:t>226</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71F7E">
    <w:pPr>
      <w:spacing w:line="177"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2" name="文本框 12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CE58D5">
                          <w:pPr>
                            <w:pStyle w:val="4"/>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Z+MkA1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eTijRTOHNzz++&#10;n38+nn99I60WJNXWz+C7tfAOzTvTICCSF/Ueyth7UzgVv+iKwA6KTxeKRRMIj0HTyXSawsRhGy7A&#10;Sa7h1vnwXhhFopBRhzdsqWXHjQ+d6+ASs2mzrqSEns2kJnVGb16/S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dn4yQDUCAABnBAAADgAAAAAAAAABACAAAAAfAQAAZHJzL2Uyb0RvYy54bWxQ&#10;SwUGAAAAAAYABgBZAQAAxgUAAAAA&#10;">
              <v:fill on="f" focussize="0,0"/>
              <v:stroke on="f" weight="0.5pt"/>
              <v:imagedata o:title=""/>
              <o:lock v:ext="edit" aspectratio="f"/>
              <v:textbox inset="0mm,0mm,0mm,0mm" style="mso-fit-shape-to-text:t;">
                <w:txbxContent>
                  <w:p w14:paraId="18CE58D5">
                    <w:pPr>
                      <w:pStyle w:val="4"/>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27236">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6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5" name="文本框 14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7D38DE">
                          <w:pPr>
                            <w:pStyle w:val="4"/>
                          </w:pPr>
                          <w:r>
                            <w:fldChar w:fldCharType="begin"/>
                          </w:r>
                          <w:r>
                            <w:instrText xml:space="preserve"> PAGE  \* MERGEFORMAT </w:instrText>
                          </w:r>
                          <w:r>
                            <w:fldChar w:fldCharType="separate"/>
                          </w:r>
                          <w:r>
                            <w:t>227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6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8g/mo1AgAAZwQAAA4AAABkcnMvZTJvRG9jLnhtbK1UzY7TMBC+I/EO&#10;lu80aWGr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t5MbyjRTOHNT9+/&#10;nX78Ov38SjotSGqsz+D7aOEd2remRUAkL+o9lLH3tnQqftEVgR0UHy8UizYQHoNmk9kshYnDNlyA&#10;k1zDrfPhnTCKRCGnDm/YUcsOGx9618ElZtNmXUsJPcukJk1Op69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ryD+ajUCAABnBAAADgAAAAAAAAABACAAAAAfAQAAZHJzL2Uyb0RvYy54bWxQ&#10;SwUGAAAAAAYABgBZAQAAxgUAAAAA&#10;">
              <v:fill on="f" focussize="0,0"/>
              <v:stroke on="f" weight="0.5pt"/>
              <v:imagedata o:title=""/>
              <o:lock v:ext="edit" aspectratio="f"/>
              <v:textbox inset="0mm,0mm,0mm,0mm" style="mso-fit-shape-to-text:t;">
                <w:txbxContent>
                  <w:p w14:paraId="0F7D38DE">
                    <w:pPr>
                      <w:pStyle w:val="4"/>
                    </w:pPr>
                    <w:r>
                      <w:fldChar w:fldCharType="begin"/>
                    </w:r>
                    <w:r>
                      <w:instrText xml:space="preserve"> PAGE  \* MERGEFORMAT </w:instrText>
                    </w:r>
                    <w:r>
                      <w:fldChar w:fldCharType="separate"/>
                    </w:r>
                    <w:r>
                      <w:t>227</w:t>
                    </w:r>
                    <w:r>
                      <w:fldChar w:fldCharType="end"/>
                    </w:r>
                  </w:p>
                </w:txbxContent>
              </v:textbox>
            </v:shape>
          </w:pict>
        </mc:Fallback>
      </mc:AlternateConten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203A2">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7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6" name="文本框 14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B842B8">
                          <w:pPr>
                            <w:pStyle w:val="4"/>
                          </w:pPr>
                          <w:r>
                            <w:fldChar w:fldCharType="begin"/>
                          </w:r>
                          <w:r>
                            <w:instrText xml:space="preserve"> PAGE  \* MERGEFORMAT </w:instrText>
                          </w:r>
                          <w:r>
                            <w:fldChar w:fldCharType="separate"/>
                          </w:r>
                          <w:r>
                            <w:t>228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7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RbtM1AgAAZwQAAA4AAABkcnMvZTJvRG9jLnhtbK1UzY7TMBC+I/EO&#10;lu80aYGq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t5Mp5RopvDm5x/f&#10;zz8fz7++kVYLkmrr5/DdWniH5p1pEBDJi3oPZey9KZyKX3RFYAfFpwvFogmEx6DZZDZLYeKwDRfg&#10;JNdw63x4L4wiUciowxu21LLjnQ+d6+ASs2mzqaSEns2lJnVGp6/fpm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21Fu0zUCAABnBAAADgAAAAAAAAABACAAAAAfAQAAZHJzL2Uyb0RvYy54bWxQ&#10;SwUGAAAAAAYABgBZAQAAxgUAAAAA&#10;">
              <v:fill on="f" focussize="0,0"/>
              <v:stroke on="f" weight="0.5pt"/>
              <v:imagedata o:title=""/>
              <o:lock v:ext="edit" aspectratio="f"/>
              <v:textbox inset="0mm,0mm,0mm,0mm" style="mso-fit-shape-to-text:t;">
                <w:txbxContent>
                  <w:p w14:paraId="40B842B8">
                    <w:pPr>
                      <w:pStyle w:val="4"/>
                    </w:pPr>
                    <w:r>
                      <w:fldChar w:fldCharType="begin"/>
                    </w:r>
                    <w:r>
                      <w:instrText xml:space="preserve"> PAGE  \* MERGEFORMAT </w:instrText>
                    </w:r>
                    <w:r>
                      <w:fldChar w:fldCharType="separate"/>
                    </w:r>
                    <w:r>
                      <w:t>228</w:t>
                    </w:r>
                    <w:r>
                      <w:fldChar w:fldCharType="end"/>
                    </w:r>
                  </w:p>
                </w:txbxContent>
              </v:textbox>
            </v:shape>
          </w:pict>
        </mc:Fallback>
      </mc:AlternateConten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C9A50">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8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7" name="文本框 14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E1293">
                          <w:pPr>
                            <w:pStyle w:val="4"/>
                          </w:pPr>
                          <w:r>
                            <w:fldChar w:fldCharType="begin"/>
                          </w:r>
                          <w:r>
                            <w:instrText xml:space="preserve"> PAGE  \* MERGEFORMAT </w:instrText>
                          </w:r>
                          <w:r>
                            <w:fldChar w:fldCharType="separate"/>
                          </w:r>
                          <w:r>
                            <w:t>229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8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h8MQ0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ubN5RopvDmp+/f&#10;Tj9+nX5+JZ0WJDXWZ/DdWHiH9q1pERDJi3oPZey9LZ2KX3RFYAfF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yHwxDTUCAABnBAAADgAAAAAAAAABACAAAAAfAQAAZHJzL2Uyb0RvYy54bWxQ&#10;SwUGAAAAAAYABgBZAQAAxgUAAAAA&#10;">
              <v:fill on="f" focussize="0,0"/>
              <v:stroke on="f" weight="0.5pt"/>
              <v:imagedata o:title=""/>
              <o:lock v:ext="edit" aspectratio="f"/>
              <v:textbox inset="0mm,0mm,0mm,0mm" style="mso-fit-shape-to-text:t;">
                <w:txbxContent>
                  <w:p w14:paraId="264E1293">
                    <w:pPr>
                      <w:pStyle w:val="4"/>
                    </w:pPr>
                    <w:r>
                      <w:fldChar w:fldCharType="begin"/>
                    </w:r>
                    <w:r>
                      <w:instrText xml:space="preserve"> PAGE  \* MERGEFORMAT </w:instrText>
                    </w:r>
                    <w:r>
                      <w:fldChar w:fldCharType="separate"/>
                    </w:r>
                    <w:r>
                      <w:t>229</w:t>
                    </w:r>
                    <w:r>
                      <w:fldChar w:fldCharType="end"/>
                    </w:r>
                  </w:p>
                </w:txbxContent>
              </v:textbox>
            </v:shape>
          </w:pict>
        </mc:Fallback>
      </mc:AlternateConten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92D14">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9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8" name="文本框 14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55F88B">
                          <w:pPr>
                            <w:pStyle w:val="4"/>
                          </w:pPr>
                          <w:r>
                            <w:fldChar w:fldCharType="begin"/>
                          </w:r>
                          <w:r>
                            <w:instrText xml:space="preserve"> PAGE  \* MERGEFORMAT </w:instrText>
                          </w:r>
                          <w:r>
                            <w:fldChar w:fldCharType="separate"/>
                          </w:r>
                          <w:r>
                            <w:t>230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9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Ccz8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vwnM/NAIAAGcEAAAOAAAAAAAAAAEAIAAAAB8BAABkcnMvZTJvRG9jLnhtbFBL&#10;BQYAAAAABgAGAFkBAADFBQAAAAA=&#10;">
              <v:fill on="f" focussize="0,0"/>
              <v:stroke on="f" weight="0.5pt"/>
              <v:imagedata o:title=""/>
              <o:lock v:ext="edit" aspectratio="f"/>
              <v:textbox inset="0mm,0mm,0mm,0mm" style="mso-fit-shape-to-text:t;">
                <w:txbxContent>
                  <w:p w14:paraId="3555F88B">
                    <w:pPr>
                      <w:pStyle w:val="4"/>
                    </w:pPr>
                    <w:r>
                      <w:fldChar w:fldCharType="begin"/>
                    </w:r>
                    <w:r>
                      <w:instrText xml:space="preserve"> PAGE  \* MERGEFORMAT </w:instrText>
                    </w:r>
                    <w:r>
                      <w:fldChar w:fldCharType="separate"/>
                    </w:r>
                    <w:r>
                      <w:t>230</w:t>
                    </w:r>
                    <w:r>
                      <w:fldChar w:fldCharType="end"/>
                    </w:r>
                  </w:p>
                </w:txbxContent>
              </v:textbox>
            </v:shape>
          </w:pict>
        </mc:Fallback>
      </mc:AlternateConten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F883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0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9" name="文本框 14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944219">
                          <w:pPr>
                            <w:pStyle w:val="4"/>
                          </w:pPr>
                          <w:r>
                            <w:fldChar w:fldCharType="begin"/>
                          </w:r>
                          <w:r>
                            <w:instrText xml:space="preserve"> PAGE  \* MERGEFORMAT </w:instrText>
                          </w:r>
                          <w:r>
                            <w:fldChar w:fldCharType="separate"/>
                          </w:r>
                          <w:r>
                            <w:t>231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0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vLOE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ubN5RopvDmp+/f&#10;Tj9+nX5+JZ0WJDXWZ/DdWHiH9q1pERDJi3oPZey9LZ2KX3RFYAfF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O8s4TUCAABnBAAADgAAAAAAAAABACAAAAAfAQAAZHJzL2Uyb0RvYy54bWxQ&#10;SwUGAAAAAAYABgBZAQAAxgUAAAAA&#10;">
              <v:fill on="f" focussize="0,0"/>
              <v:stroke on="f" weight="0.5pt"/>
              <v:imagedata o:title=""/>
              <o:lock v:ext="edit" aspectratio="f"/>
              <v:textbox inset="0mm,0mm,0mm,0mm" style="mso-fit-shape-to-text:t;">
                <w:txbxContent>
                  <w:p w14:paraId="1B944219">
                    <w:pPr>
                      <w:pStyle w:val="4"/>
                    </w:pPr>
                    <w:r>
                      <w:fldChar w:fldCharType="begin"/>
                    </w:r>
                    <w:r>
                      <w:instrText xml:space="preserve"> PAGE  \* MERGEFORMAT </w:instrText>
                    </w:r>
                    <w:r>
                      <w:fldChar w:fldCharType="separate"/>
                    </w:r>
                    <w:r>
                      <w:t>231</w:t>
                    </w:r>
                    <w:r>
                      <w:fldChar w:fldCharType="end"/>
                    </w:r>
                  </w:p>
                </w:txbxContent>
              </v:textbox>
            </v:shape>
          </w:pict>
        </mc:Fallback>
      </mc:AlternateConten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1344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1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0" name="文本框 14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5288B1">
                          <w:pPr>
                            <w:pStyle w:val="4"/>
                          </w:pPr>
                          <w:r>
                            <w:fldChar w:fldCharType="begin"/>
                          </w:r>
                          <w:r>
                            <w:instrText xml:space="preserve"> PAGE  \* MERGEFORMAT </w:instrText>
                          </w:r>
                          <w:r>
                            <w:fldChar w:fldCharType="separate"/>
                          </w:r>
                          <w:r>
                            <w:t>232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1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rX/80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q1//NAIAAGcEAAAOAAAAAAAAAAEAIAAAAB8BAABkcnMvZTJvRG9jLnhtbFBL&#10;BQYAAAAABgAGAFkBAADFBQAAAAA=&#10;">
              <v:fill on="f" focussize="0,0"/>
              <v:stroke on="f" weight="0.5pt"/>
              <v:imagedata o:title=""/>
              <o:lock v:ext="edit" aspectratio="f"/>
              <v:textbox inset="0mm,0mm,0mm,0mm" style="mso-fit-shape-to-text:t;">
                <w:txbxContent>
                  <w:p w14:paraId="135288B1">
                    <w:pPr>
                      <w:pStyle w:val="4"/>
                    </w:pPr>
                    <w:r>
                      <w:fldChar w:fldCharType="begin"/>
                    </w:r>
                    <w:r>
                      <w:instrText xml:space="preserve"> PAGE  \* MERGEFORMAT </w:instrText>
                    </w:r>
                    <w:r>
                      <w:fldChar w:fldCharType="separate"/>
                    </w:r>
                    <w:r>
                      <w:t>232</w:t>
                    </w:r>
                    <w:r>
                      <w:fldChar w:fldCharType="end"/>
                    </w:r>
                  </w:p>
                </w:txbxContent>
              </v:textbox>
            </v:shape>
          </w:pict>
        </mc:Fallback>
      </mc:AlternateConten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47B26">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2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1" name="文本框 14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AE7E69">
                          <w:pPr>
                            <w:pStyle w:val="4"/>
                          </w:pPr>
                          <w:r>
                            <w:fldChar w:fldCharType="begin"/>
                          </w:r>
                          <w:r>
                            <w:instrText xml:space="preserve"> PAGE  \* MERGEFORMAT </w:instrText>
                          </w:r>
                          <w:r>
                            <w:fldChar w:fldCharType="separate"/>
                          </w:r>
                          <w:r>
                            <w:t>233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2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KGACE0AgAAZwQAAA4AAABkcnMvZTJvRG9jLnhtbK1UzY7TMBC+I/EO&#10;lu80aYGlipquylZFSBW7UkGcXcdpIvlPttukPAC8AScu3HmuPgefk6ZFC4c9cHHG8/PNzDfj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hgAhNAIAAGcEAAAOAAAAAAAAAAEAIAAAAB8BAABkcnMvZTJvRG9jLnhtbFBL&#10;BQYAAAAABgAGAFkBAADFBQAAAAA=&#10;">
              <v:fill on="f" focussize="0,0"/>
              <v:stroke on="f" weight="0.5pt"/>
              <v:imagedata o:title=""/>
              <o:lock v:ext="edit" aspectratio="f"/>
              <v:textbox inset="0mm,0mm,0mm,0mm" style="mso-fit-shape-to-text:t;">
                <w:txbxContent>
                  <w:p w14:paraId="49AE7E69">
                    <w:pPr>
                      <w:pStyle w:val="4"/>
                    </w:pPr>
                    <w:r>
                      <w:fldChar w:fldCharType="begin"/>
                    </w:r>
                    <w:r>
                      <w:instrText xml:space="preserve"> PAGE  \* MERGEFORMAT </w:instrText>
                    </w:r>
                    <w:r>
                      <w:fldChar w:fldCharType="separate"/>
                    </w:r>
                    <w:r>
                      <w:t>233</w:t>
                    </w:r>
                    <w:r>
                      <w:fldChar w:fldCharType="end"/>
                    </w:r>
                  </w:p>
                </w:txbxContent>
              </v:textbox>
            </v:shape>
          </w:pict>
        </mc:Fallback>
      </mc:AlternateConten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D513F">
    <w:pPr>
      <w:spacing w:line="170" w:lineRule="auto"/>
      <w:ind w:left="7100"/>
      <w:rPr>
        <w:rFonts w:ascii="仿宋" w:hAnsi="仿宋" w:eastAsia="仿宋" w:cs="仿宋"/>
        <w:sz w:val="18"/>
        <w:szCs w:val="18"/>
      </w:rPr>
    </w:pPr>
    <w:r>
      <w:rPr>
        <w:sz w:val="18"/>
      </w:rPr>
      <mc:AlternateContent>
        <mc:Choice Requires="wps">
          <w:drawing>
            <wp:anchor distT="0" distB="0" distL="114300" distR="114300" simplePos="0" relativeHeight="251873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2" name="文本框 14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0F1BD5">
                          <w:pPr>
                            <w:pStyle w:val="4"/>
                          </w:pPr>
                          <w:r>
                            <w:fldChar w:fldCharType="begin"/>
                          </w:r>
                          <w:r>
                            <w:instrText xml:space="preserve"> PAGE  \* MERGEFORMAT </w:instrText>
                          </w:r>
                          <w:r>
                            <w:fldChar w:fldCharType="separate"/>
                          </w:r>
                          <w:r>
                            <w:t>234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3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3kJg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E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5veQmDUCAABnBAAADgAAAAAAAAABACAAAAAfAQAAZHJzL2Uyb0RvYy54bWxQ&#10;SwUGAAAAAAYABgBZAQAAxgUAAAAA&#10;">
              <v:fill on="f" focussize="0,0"/>
              <v:stroke on="f" weight="0.5pt"/>
              <v:imagedata o:title=""/>
              <o:lock v:ext="edit" aspectratio="f"/>
              <v:textbox inset="0mm,0mm,0mm,0mm" style="mso-fit-shape-to-text:t;">
                <w:txbxContent>
                  <w:p w14:paraId="5C0F1BD5">
                    <w:pPr>
                      <w:pStyle w:val="4"/>
                    </w:pPr>
                    <w:r>
                      <w:fldChar w:fldCharType="begin"/>
                    </w:r>
                    <w:r>
                      <w:instrText xml:space="preserve"> PAGE  \* MERGEFORMAT </w:instrText>
                    </w:r>
                    <w:r>
                      <w:fldChar w:fldCharType="separate"/>
                    </w:r>
                    <w:r>
                      <w:t>234</w:t>
                    </w:r>
                    <w:r>
                      <w:fldChar w:fldCharType="end"/>
                    </w:r>
                  </w:p>
                </w:txbxContent>
              </v:textbox>
            </v:shape>
          </w:pict>
        </mc:Fallback>
      </mc:AlternateConten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3512F">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4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3" name="文本框 14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E15AFF">
                          <w:pPr>
                            <w:pStyle w:val="4"/>
                          </w:pPr>
                          <w:r>
                            <w:fldChar w:fldCharType="begin"/>
                          </w:r>
                          <w:r>
                            <w:instrText xml:space="preserve"> PAGE  \* MERGEFORMAT </w:instrText>
                          </w:r>
                          <w:r>
                            <w:fldChar w:fldCharType="separate"/>
                          </w:r>
                          <w:r>
                            <w:t>235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4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az0Y2AgAAZwQAAA4AAABkcnMvZTJvRG9jLnhtbK1UzY7TMBC+I/EO&#10;lu80aRe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j99oo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PXaz0Y2AgAAZwQAAA4AAAAAAAAAAQAgAAAAHwEAAGRycy9lMm9Eb2MueG1s&#10;UEsFBgAAAAAGAAYAWQEAAMcFAAAAAA==&#10;">
              <v:fill on="f" focussize="0,0"/>
              <v:stroke on="f" weight="0.5pt"/>
              <v:imagedata o:title=""/>
              <o:lock v:ext="edit" aspectratio="f"/>
              <v:textbox inset="0mm,0mm,0mm,0mm" style="mso-fit-shape-to-text:t;">
                <w:txbxContent>
                  <w:p w14:paraId="49E15AFF">
                    <w:pPr>
                      <w:pStyle w:val="4"/>
                    </w:pPr>
                    <w:r>
                      <w:fldChar w:fldCharType="begin"/>
                    </w:r>
                    <w:r>
                      <w:instrText xml:space="preserve"> PAGE  \* MERGEFORMAT </w:instrText>
                    </w:r>
                    <w:r>
                      <w:fldChar w:fldCharType="separate"/>
                    </w:r>
                    <w:r>
                      <w:t>235</w:t>
                    </w:r>
                    <w:r>
                      <w:fldChar w:fldCharType="end"/>
                    </w:r>
                  </w:p>
                </w:txbxContent>
              </v:textbox>
            </v:shape>
          </w:pict>
        </mc:Fallback>
      </mc:AlternateConten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31D04">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5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4" name="文本框 14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7C9232">
                          <w:pPr>
                            <w:pStyle w:val="4"/>
                          </w:pPr>
                          <w:r>
                            <w:fldChar w:fldCharType="begin"/>
                          </w:r>
                          <w:r>
                            <w:instrText xml:space="preserve"> PAGE  \* MERGEFORMAT </w:instrText>
                          </w:r>
                          <w:r>
                            <w:fldChar w:fldCharType="separate"/>
                          </w:r>
                          <w:r>
                            <w:t>236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5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8TwTA2AgAAZwQAAA4AAABkcnMvZTJvRG9jLnhtbK1UzY7TMBC+I/EO&#10;lu80aVm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e0WJZgpvfvzx&#10;/fjz1/HxG+m0IKmxPoPv2sI7tO9Mi4BIXtR7KGPvbelU/KIrAjsoPpwpFm0gPAZNJ9NpChOHbbgA&#10;J7mEW+fDe2EUiUJOHd6wo5bt73zoXQeXmE2bVS0l9CyTmjQ5vX79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8TwTA2AgAAZwQAAA4AAAAAAAAAAQAgAAAAHwEAAGRycy9lMm9Eb2MueG1s&#10;UEsFBgAAAAAGAAYAWQEAAMcFAAAAAA==&#10;">
              <v:fill on="f" focussize="0,0"/>
              <v:stroke on="f" weight="0.5pt"/>
              <v:imagedata o:title=""/>
              <o:lock v:ext="edit" aspectratio="f"/>
              <v:textbox inset="0mm,0mm,0mm,0mm" style="mso-fit-shape-to-text:t;">
                <w:txbxContent>
                  <w:p w14:paraId="667C9232">
                    <w:pPr>
                      <w:pStyle w:val="4"/>
                    </w:pPr>
                    <w:r>
                      <w:fldChar w:fldCharType="begin"/>
                    </w:r>
                    <w:r>
                      <w:instrText xml:space="preserve"> PAGE  \* MERGEFORMAT </w:instrText>
                    </w:r>
                    <w:r>
                      <w:fldChar w:fldCharType="separate"/>
                    </w:r>
                    <w:r>
                      <w:t>236</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46DE5">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3" name="文本框 12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8411D0">
                          <w:pPr>
                            <w:pStyle w:val="4"/>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TbZ4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iZvbi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VNtnjUCAABnBAAADgAAAAAAAAABACAAAAAfAQAAZHJzL2Uyb0RvYy54bWxQ&#10;SwUGAAAAAAYABgBZAQAAxgUAAAAA&#10;">
              <v:fill on="f" focussize="0,0"/>
              <v:stroke on="f" weight="0.5pt"/>
              <v:imagedata o:title=""/>
              <o:lock v:ext="edit" aspectratio="f"/>
              <v:textbox inset="0mm,0mm,0mm,0mm" style="mso-fit-shape-to-text:t;">
                <w:txbxContent>
                  <w:p w14:paraId="238411D0">
                    <w:pPr>
                      <w:pStyle w:val="4"/>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43C8E">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6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5" name="文本框 14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C39BEB">
                          <w:pPr>
                            <w:pStyle w:val="4"/>
                          </w:pPr>
                          <w:r>
                            <w:fldChar w:fldCharType="begin"/>
                          </w:r>
                          <w:r>
                            <w:instrText xml:space="preserve"> PAGE  \* MERGEFORMAT </w:instrText>
                          </w:r>
                          <w:r>
                            <w:fldChar w:fldCharType="separate"/>
                          </w:r>
                          <w:r>
                            <w:t>237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6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nu42AgAAZwQAAA4AAABkcnMvZTJvRG9jLnhtbK1UzY7TMBC+I/EO&#10;lu80aWGX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jz9ooSzRTe/Pjj&#10;+/Hnr+PjN9JpQVJjfQbftYV3aN+ZFgGRvKj3UMbe29Kp+EVXBHZQfDhTLNpAeAyaTqbTFCYO23AB&#10;TnIJt86H98IoEoWcOrxhRy3b3/nQuw4uMZs2q1pK6FkmNWlyev36K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w+nu42AgAAZwQAAA4AAAAAAAAAAQAgAAAAHwEAAGRycy9lMm9Eb2MueG1s&#10;UEsFBgAAAAAGAAYAWQEAAMcFAAAAAA==&#10;">
              <v:fill on="f" focussize="0,0"/>
              <v:stroke on="f" weight="0.5pt"/>
              <v:imagedata o:title=""/>
              <o:lock v:ext="edit" aspectratio="f"/>
              <v:textbox inset="0mm,0mm,0mm,0mm" style="mso-fit-shape-to-text:t;">
                <w:txbxContent>
                  <w:p w14:paraId="65C39BEB">
                    <w:pPr>
                      <w:pStyle w:val="4"/>
                    </w:pPr>
                    <w:r>
                      <w:fldChar w:fldCharType="begin"/>
                    </w:r>
                    <w:r>
                      <w:instrText xml:space="preserve"> PAGE  \* MERGEFORMAT </w:instrText>
                    </w:r>
                    <w:r>
                      <w:fldChar w:fldCharType="separate"/>
                    </w:r>
                    <w:r>
                      <w:t>237</w:t>
                    </w:r>
                    <w:r>
                      <w:fldChar w:fldCharType="end"/>
                    </w:r>
                  </w:p>
                </w:txbxContent>
              </v:textbox>
            </v:shape>
          </w:pict>
        </mc:Fallback>
      </mc:AlternateConten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2CE5F">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7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6" name="文本框 14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D95E57">
                          <w:pPr>
                            <w:pStyle w:val="4"/>
                          </w:pPr>
                          <w:r>
                            <w:fldChar w:fldCharType="begin"/>
                          </w:r>
                          <w:r>
                            <w:instrText xml:space="preserve"> PAGE  \* MERGEFORMAT </w:instrText>
                          </w:r>
                          <w:r>
                            <w:fldChar w:fldCharType="separate"/>
                          </w:r>
                          <w:r>
                            <w:t>238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7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PDlc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N5RopvDmp+/f&#10;Tj9+nX5+JZ0WJDXWZ/DdWHiH9q1pERDJi3oPZey9LZ2KX3RFYAfF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KE8OVzUCAABnBAAADgAAAAAAAAABACAAAAAfAQAAZHJzL2Uyb0RvYy54bWxQ&#10;SwUGAAAAAAYABgBZAQAAxgUAAAAA&#10;">
              <v:fill on="f" focussize="0,0"/>
              <v:stroke on="f" weight="0.5pt"/>
              <v:imagedata o:title=""/>
              <o:lock v:ext="edit" aspectratio="f"/>
              <v:textbox inset="0mm,0mm,0mm,0mm" style="mso-fit-shape-to-text:t;">
                <w:txbxContent>
                  <w:p w14:paraId="50D95E57">
                    <w:pPr>
                      <w:pStyle w:val="4"/>
                    </w:pPr>
                    <w:r>
                      <w:fldChar w:fldCharType="begin"/>
                    </w:r>
                    <w:r>
                      <w:instrText xml:space="preserve"> PAGE  \* MERGEFORMAT </w:instrText>
                    </w:r>
                    <w:r>
                      <w:fldChar w:fldCharType="separate"/>
                    </w:r>
                    <w:r>
                      <w:t>238</w:t>
                    </w:r>
                    <w:r>
                      <w:fldChar w:fldCharType="end"/>
                    </w:r>
                  </w:p>
                </w:txbxContent>
              </v:textbox>
            </v:shape>
          </w:pict>
        </mc:Fallback>
      </mc:AlternateConten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8E99C">
    <w:pPr>
      <w:spacing w:line="170" w:lineRule="auto"/>
      <w:ind w:left="4225"/>
      <w:rPr>
        <w:rFonts w:ascii="仿宋" w:hAnsi="仿宋" w:eastAsia="仿宋" w:cs="仿宋"/>
        <w:sz w:val="18"/>
        <w:szCs w:val="18"/>
      </w:rPr>
    </w:pPr>
    <w:r>
      <w:rPr>
        <w:sz w:val="18"/>
      </w:rPr>
      <mc:AlternateContent>
        <mc:Choice Requires="wps">
          <w:drawing>
            <wp:anchor distT="0" distB="0" distL="114300" distR="114300" simplePos="0" relativeHeight="251878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7" name="文本框 14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899163">
                          <w:pPr>
                            <w:pStyle w:val="4"/>
                          </w:pPr>
                          <w:r>
                            <w:fldChar w:fldCharType="begin"/>
                          </w:r>
                          <w:r>
                            <w:instrText xml:space="preserve"> PAGE  \* MERGEFORMAT </w:instrText>
                          </w:r>
                          <w:r>
                            <w:fldChar w:fldCharType="separate"/>
                          </w:r>
                          <w:r>
                            <w:t>239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8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tiUYk2AgAAZwQAAA4AAAAAAAAAAQAgAAAAHwEAAGRycy9lMm9Eb2MueG1s&#10;UEsFBgAAAAAGAAYAWQEAAMcFAAAAAA==&#10;">
              <v:fill on="f" focussize="0,0"/>
              <v:stroke on="f" weight="0.5pt"/>
              <v:imagedata o:title=""/>
              <o:lock v:ext="edit" aspectratio="f"/>
              <v:textbox inset="0mm,0mm,0mm,0mm" style="mso-fit-shape-to-text:t;">
                <w:txbxContent>
                  <w:p w14:paraId="4E899163">
                    <w:pPr>
                      <w:pStyle w:val="4"/>
                    </w:pPr>
                    <w:r>
                      <w:fldChar w:fldCharType="begin"/>
                    </w:r>
                    <w:r>
                      <w:instrText xml:space="preserve"> PAGE  \* MERGEFORMAT </w:instrText>
                    </w:r>
                    <w:r>
                      <w:fldChar w:fldCharType="separate"/>
                    </w:r>
                    <w:r>
                      <w:t>239</w:t>
                    </w:r>
                    <w:r>
                      <w:fldChar w:fldCharType="end"/>
                    </w:r>
                  </w:p>
                </w:txbxContent>
              </v:textbox>
            </v:shape>
          </w:pict>
        </mc:Fallback>
      </mc:AlternateConten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66400">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9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8" name="文本框 14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3BDE55">
                          <w:pPr>
                            <w:pStyle w:val="4"/>
                          </w:pPr>
                          <w:r>
                            <w:fldChar w:fldCharType="begin"/>
                          </w:r>
                          <w:r>
                            <w:instrText xml:space="preserve"> PAGE  \* MERGEFORMAT </w:instrText>
                          </w:r>
                          <w:r>
                            <w:fldChar w:fldCharType="separate"/>
                          </w:r>
                          <w:r>
                            <w:t>240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9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3BO7NAIAAGcEAAAOAAAAAAAAAAEAIAAAAB8BAABkcnMvZTJvRG9jLnhtbFBL&#10;BQYAAAAABgAGAFkBAADFBQAAAAA=&#10;">
              <v:fill on="f" focussize="0,0"/>
              <v:stroke on="f" weight="0.5pt"/>
              <v:imagedata o:title=""/>
              <o:lock v:ext="edit" aspectratio="f"/>
              <v:textbox inset="0mm,0mm,0mm,0mm" style="mso-fit-shape-to-text:t;">
                <w:txbxContent>
                  <w:p w14:paraId="3B3BDE55">
                    <w:pPr>
                      <w:pStyle w:val="4"/>
                    </w:pPr>
                    <w:r>
                      <w:fldChar w:fldCharType="begin"/>
                    </w:r>
                    <w:r>
                      <w:instrText xml:space="preserve"> PAGE  \* MERGEFORMAT </w:instrText>
                    </w:r>
                    <w:r>
                      <w:fldChar w:fldCharType="separate"/>
                    </w:r>
                    <w:r>
                      <w:t>240</w:t>
                    </w:r>
                    <w:r>
                      <w:fldChar w:fldCharType="end"/>
                    </w:r>
                  </w:p>
                </w:txbxContent>
              </v:textbox>
            </v:shape>
          </w:pict>
        </mc:Fallback>
      </mc:AlternateConten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6624">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0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9" name="文本框 14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32EF59">
                          <w:pPr>
                            <w:pStyle w:val="4"/>
                          </w:pPr>
                          <w:r>
                            <w:fldChar w:fldCharType="begin"/>
                          </w:r>
                          <w:r>
                            <w:instrText xml:space="preserve"> PAGE  \* MERGEFORMAT </w:instrText>
                          </w:r>
                          <w:r>
                            <w:fldChar w:fldCharType="separate"/>
                          </w:r>
                          <w:r>
                            <w:t>241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0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T/FMZTUCAABnBAAADgAAAAAAAAABACAAAAAfAQAAZHJzL2Uyb0RvYy54bWxQ&#10;SwUGAAAAAAYABgBZAQAAxgUAAAAA&#10;">
              <v:fill on="f" focussize="0,0"/>
              <v:stroke on="f" weight="0.5pt"/>
              <v:imagedata o:title=""/>
              <o:lock v:ext="edit" aspectratio="f"/>
              <v:textbox inset="0mm,0mm,0mm,0mm" style="mso-fit-shape-to-text:t;">
                <w:txbxContent>
                  <w:p w14:paraId="1632EF59">
                    <w:pPr>
                      <w:pStyle w:val="4"/>
                    </w:pPr>
                    <w:r>
                      <w:fldChar w:fldCharType="begin"/>
                    </w:r>
                    <w:r>
                      <w:instrText xml:space="preserve"> PAGE  \* MERGEFORMAT </w:instrText>
                    </w:r>
                    <w:r>
                      <w:fldChar w:fldCharType="separate"/>
                    </w:r>
                    <w:r>
                      <w:t>241</w:t>
                    </w:r>
                    <w:r>
                      <w:fldChar w:fldCharType="end"/>
                    </w:r>
                  </w:p>
                </w:txbxContent>
              </v:textbox>
            </v:shape>
          </w:pict>
        </mc:Fallback>
      </mc:AlternateConten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228E5">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1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0" name="文本框 14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B58047">
                          <w:pPr>
                            <w:pStyle w:val="4"/>
                          </w:pPr>
                          <w:r>
                            <w:fldChar w:fldCharType="begin"/>
                          </w:r>
                          <w:r>
                            <w:instrText xml:space="preserve"> PAGE  \* MERGEFORMAT </w:instrText>
                          </w:r>
                          <w:r>
                            <w:fldChar w:fldCharType="separate"/>
                          </w:r>
                          <w:r>
                            <w:t>242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1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duyw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ghTNFN78/OP7&#10;+efj+dc30mpBUm39DL5bC+/QvDMNAiJ5Ue+hjL03hVPxi64I7EA7XSgWTSA8Bk0n02kKE4dtuAAn&#10;uYZb58N7YRSJQkYd3rCllh03PnSug0vMps26khJ6NpOa1Bm9ef02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EHbssNAIAAGcEAAAOAAAAAAAAAAEAIAAAAB8BAABkcnMvZTJvRG9jLnhtbFBL&#10;BQYAAAAABgAGAFkBAADFBQAAAAA=&#10;">
              <v:fill on="f" focussize="0,0"/>
              <v:stroke on="f" weight="0.5pt"/>
              <v:imagedata o:title=""/>
              <o:lock v:ext="edit" aspectratio="f"/>
              <v:textbox inset="0mm,0mm,0mm,0mm" style="mso-fit-shape-to-text:t;">
                <w:txbxContent>
                  <w:p w14:paraId="2CB58047">
                    <w:pPr>
                      <w:pStyle w:val="4"/>
                    </w:pPr>
                    <w:r>
                      <w:fldChar w:fldCharType="begin"/>
                    </w:r>
                    <w:r>
                      <w:instrText xml:space="preserve"> PAGE  \* MERGEFORMAT </w:instrText>
                    </w:r>
                    <w:r>
                      <w:fldChar w:fldCharType="separate"/>
                    </w:r>
                    <w:r>
                      <w:t>242</w:t>
                    </w:r>
                    <w:r>
                      <w:fldChar w:fldCharType="end"/>
                    </w:r>
                  </w:p>
                </w:txbxContent>
              </v:textbox>
            </v:shape>
          </w:pict>
        </mc:Fallback>
      </mc:AlternateConten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3657F">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2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1" name="文本框 14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09591C">
                          <w:pPr>
                            <w:pStyle w:val="4"/>
                          </w:pPr>
                          <w:r>
                            <w:fldChar w:fldCharType="begin"/>
                          </w:r>
                          <w:r>
                            <w:instrText xml:space="preserve"> PAGE  \* MERGEFORMAT </w:instrText>
                          </w:r>
                          <w:r>
                            <w:fldChar w:fldCharType="separate"/>
                          </w:r>
                          <w:r>
                            <w:t>243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2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cw5PI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yZjinRTGHm5x/f&#10;zz8fz7++kVYLkmrrZ/DdWniH5p1pEBDJi3oPZey9KZyKX3RFYAfFpwvFogmEx6DpZDpNYeKwDRfg&#10;JNdw63x4L4wiUciowwxbatlx40PnOrjEbNqsKymhZzOpSZ3Rm9dv0z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XMOTyNAIAAGcEAAAOAAAAAAAAAAEAIAAAAB8BAABkcnMvZTJvRG9jLnhtbFBL&#10;BQYAAAAABgAGAFkBAADFBQAAAAA=&#10;">
              <v:fill on="f" focussize="0,0"/>
              <v:stroke on="f" weight="0.5pt"/>
              <v:imagedata o:title=""/>
              <o:lock v:ext="edit" aspectratio="f"/>
              <v:textbox inset="0mm,0mm,0mm,0mm" style="mso-fit-shape-to-text:t;">
                <w:txbxContent>
                  <w:p w14:paraId="1609591C">
                    <w:pPr>
                      <w:pStyle w:val="4"/>
                    </w:pPr>
                    <w:r>
                      <w:fldChar w:fldCharType="begin"/>
                    </w:r>
                    <w:r>
                      <w:instrText xml:space="preserve"> PAGE  \* MERGEFORMAT </w:instrText>
                    </w:r>
                    <w:r>
                      <w:fldChar w:fldCharType="separate"/>
                    </w:r>
                    <w:r>
                      <w:t>243</w:t>
                    </w:r>
                    <w:r>
                      <w:fldChar w:fldCharType="end"/>
                    </w:r>
                  </w:p>
                </w:txbxContent>
              </v:textbox>
            </v:shape>
          </w:pict>
        </mc:Fallback>
      </mc:AlternateConten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71270">
    <w:pPr>
      <w:pStyle w:val="4"/>
      <w:jc w:val="center"/>
      <w:rPr>
        <w:rFonts w:hint="default"/>
        <w:lang w:val="en-US"/>
      </w:rPr>
    </w:pPr>
    <w:r>
      <mc:AlternateContent>
        <mc:Choice Requires="wps">
          <w:drawing>
            <wp:anchor distT="0" distB="0" distL="114300" distR="114300" simplePos="0" relativeHeight="251883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2" name="文本框 14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D1B94F">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3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NBdEs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Ti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o0F0SzUCAABnBAAADgAAAAAAAAABACAAAAAfAQAAZHJzL2Uyb0RvYy54bWxQ&#10;SwUGAAAAAAYABgBZAQAAxgUAAAAA&#10;">
              <v:fill on="f" focussize="0,0"/>
              <v:stroke on="f" weight="0.5pt"/>
              <v:imagedata o:title=""/>
              <o:lock v:ext="edit" aspectratio="f"/>
              <v:textbox inset="0mm,0mm,0mm,0mm" style="mso-fit-shape-to-text:t;">
                <w:txbxContent>
                  <w:p w14:paraId="74D1B94F">
                    <w:pPr>
                      <w:pStyle w:val="4"/>
                    </w:pPr>
                  </w:p>
                </w:txbxContent>
              </v:textbox>
            </v:shape>
          </w:pict>
        </mc:Fallback>
      </mc:AlternateContent>
    </w:r>
    <w:r>
      <w:rPr>
        <w:rFonts w:hint="eastAsia"/>
        <w:lang w:val="en-US" w:eastAsia="zh-CN"/>
      </w:rPr>
      <w:t>257</w: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92EDA">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4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3" name="文本框 14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A23FB2">
                          <w:pPr>
                            <w:pStyle w:val="4"/>
                          </w:pPr>
                          <w:r>
                            <w:fldChar w:fldCharType="begin"/>
                          </w:r>
                          <w:r>
                            <w:instrText xml:space="preserve"> PAGE  \* MERGEFORMAT </w:instrText>
                          </w:r>
                          <w:r>
                            <w:fldChar w:fldCharType="separate"/>
                          </w:r>
                          <w:r>
                            <w:t>245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4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sK5U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5Pby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GwrlTUCAABnBAAADgAAAAAAAAABACAAAAAfAQAAZHJzL2Uyb0RvYy54bWxQ&#10;SwUGAAAAAAYABgBZAQAAxgUAAAAA&#10;">
              <v:fill on="f" focussize="0,0"/>
              <v:stroke on="f" weight="0.5pt"/>
              <v:imagedata o:title=""/>
              <o:lock v:ext="edit" aspectratio="f"/>
              <v:textbox inset="0mm,0mm,0mm,0mm" style="mso-fit-shape-to-text:t;">
                <w:txbxContent>
                  <w:p w14:paraId="5DA23FB2">
                    <w:pPr>
                      <w:pStyle w:val="4"/>
                    </w:pPr>
                    <w:r>
                      <w:fldChar w:fldCharType="begin"/>
                    </w:r>
                    <w:r>
                      <w:instrText xml:space="preserve"> PAGE  \* MERGEFORMAT </w:instrText>
                    </w:r>
                    <w:r>
                      <w:fldChar w:fldCharType="separate"/>
                    </w:r>
                    <w:r>
                      <w:t>245</w:t>
                    </w:r>
                    <w:r>
                      <w:fldChar w:fldCharType="end"/>
                    </w:r>
                  </w:p>
                </w:txbxContent>
              </v:textbox>
            </v:shape>
          </w:pict>
        </mc:Fallback>
      </mc:AlternateConten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C9144">
    <w:pPr>
      <w:spacing w:line="170" w:lineRule="auto"/>
      <w:ind w:left="4302"/>
      <w:rPr>
        <w:rFonts w:ascii="仿宋" w:hAnsi="仿宋" w:eastAsia="仿宋" w:cs="仿宋"/>
        <w:sz w:val="18"/>
        <w:szCs w:val="18"/>
      </w:rPr>
    </w:pPr>
    <w:r>
      <w:rPr>
        <w:sz w:val="18"/>
      </w:rPr>
      <mc:AlternateContent>
        <mc:Choice Requires="wps">
          <w:drawing>
            <wp:anchor distT="0" distB="0" distL="114300" distR="114300" simplePos="0" relativeHeight="251885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4" name="文本框 14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5CC7CC">
                          <w:pPr>
                            <w:pStyle w:val="4"/>
                          </w:pPr>
                          <w:r>
                            <w:fldChar w:fldCharType="begin"/>
                          </w:r>
                          <w:r>
                            <w:instrText xml:space="preserve"> PAGE  \* MERGEFORMAT </w:instrText>
                          </w:r>
                          <w:r>
                            <w:fldChar w:fldCharType="separate"/>
                          </w:r>
                          <w:r>
                            <w:t>246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5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qlJeM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6mN5RopvDmp+/f&#10;Tj9+nX5+JZ0WJDXWZ/DdWHiH9q1pERDJi3oPZey9LZ2KX3RFYAfFxwvFog2Ex6DpZDpNYeKwDRfg&#10;JNdw63x4J4wiUcipwxt21LLD2ofedXCJ2bRZ1VJCzzKpSZPT2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qUl4zUCAABnBAAADgAAAAAAAAABACAAAAAfAQAAZHJzL2Uyb0RvYy54bWxQ&#10;SwUGAAAAAAYABgBZAQAAxgUAAAAA&#10;">
              <v:fill on="f" focussize="0,0"/>
              <v:stroke on="f" weight="0.5pt"/>
              <v:imagedata o:title=""/>
              <o:lock v:ext="edit" aspectratio="f"/>
              <v:textbox inset="0mm,0mm,0mm,0mm" style="mso-fit-shape-to-text:t;">
                <w:txbxContent>
                  <w:p w14:paraId="355CC7CC">
                    <w:pPr>
                      <w:pStyle w:val="4"/>
                    </w:pPr>
                    <w:r>
                      <w:fldChar w:fldCharType="begin"/>
                    </w:r>
                    <w:r>
                      <w:instrText xml:space="preserve"> PAGE  \* MERGEFORMAT </w:instrText>
                    </w:r>
                    <w:r>
                      <w:fldChar w:fldCharType="separate"/>
                    </w:r>
                    <w:r>
                      <w:t>246</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CD1BF">
    <w:pPr>
      <w:spacing w:line="177"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4" name="文本框 12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180231">
                          <w:pPr>
                            <w:pStyle w:val="4"/>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aY+g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uTNK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35pj6DUCAABnBAAADgAAAAAAAAABACAAAAAfAQAAZHJzL2Uyb0RvYy54bWxQ&#10;SwUGAAAAAAYABgBZAQAAxgUAAAAA&#10;">
              <v:fill on="f" focussize="0,0"/>
              <v:stroke on="f" weight="0.5pt"/>
              <v:imagedata o:title=""/>
              <o:lock v:ext="edit" aspectratio="f"/>
              <v:textbox inset="0mm,0mm,0mm,0mm" style="mso-fit-shape-to-text:t;">
                <w:txbxContent>
                  <w:p w14:paraId="48180231">
                    <w:pPr>
                      <w:pStyle w:val="4"/>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DBBF6">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6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5" name="文本框 14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B239F7">
                          <w:pPr>
                            <w:pStyle w:val="4"/>
                          </w:pPr>
                          <w:r>
                            <w:fldChar w:fldCharType="begin"/>
                          </w:r>
                          <w:r>
                            <w:instrText xml:space="preserve"> PAGE  \* MERGEFORMAT </w:instrText>
                          </w:r>
                          <w:r>
                            <w:fldChar w:fldCharType="separate"/>
                          </w:r>
                          <w:r>
                            <w:t>247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6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Iej0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5Mby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Yh6PTUCAABnBAAADgAAAAAAAAABACAAAAAfAQAAZHJzL2Uyb0RvYy54bWxQ&#10;SwUGAAAAAAYABgBZAQAAxgUAAAAA&#10;">
              <v:fill on="f" focussize="0,0"/>
              <v:stroke on="f" weight="0.5pt"/>
              <v:imagedata o:title=""/>
              <o:lock v:ext="edit" aspectratio="f"/>
              <v:textbox inset="0mm,0mm,0mm,0mm" style="mso-fit-shape-to-text:t;">
                <w:txbxContent>
                  <w:p w14:paraId="2EB239F7">
                    <w:pPr>
                      <w:pStyle w:val="4"/>
                    </w:pPr>
                    <w:r>
                      <w:fldChar w:fldCharType="begin"/>
                    </w:r>
                    <w:r>
                      <w:instrText xml:space="preserve"> PAGE  \* MERGEFORMAT </w:instrText>
                    </w:r>
                    <w:r>
                      <w:fldChar w:fldCharType="separate"/>
                    </w:r>
                    <w:r>
                      <w:t>247</w:t>
                    </w:r>
                    <w:r>
                      <w:fldChar w:fldCharType="end"/>
                    </w:r>
                  </w:p>
                </w:txbxContent>
              </v:textbox>
            </v:shape>
          </w:pict>
        </mc:Fallback>
      </mc:AlternateConten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72EE2">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7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6" name="文本框 14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A29FED">
                          <w:pPr>
                            <w:pStyle w:val="4"/>
                          </w:pPr>
                          <w:r>
                            <w:fldChar w:fldCharType="begin"/>
                          </w:r>
                          <w:r>
                            <w:instrText xml:space="preserve"> PAGE  \* MERGEFORMAT </w:instrText>
                          </w:r>
                          <w:r>
                            <w:fldChar w:fldCharType="separate"/>
                          </w:r>
                          <w:r>
                            <w:t>248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7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356oQ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3lCimcKbn398&#10;P/98PP/6RlotSKqtn8F3a+EdmnemQUAkL+o9lLH3pnAqftEVgR0Uny4UiyYQHoOmk+k0hYnDNlyA&#10;k1zDrfPhvTCKRCGjDm/YUsuOGx8618ElZtNmXUkJPZtJTeqM3rx+m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fnqhDUCAABnBAAADgAAAAAAAAABACAAAAAfAQAAZHJzL2Uyb0RvYy54bWxQ&#10;SwUGAAAAAAYABgBZAQAAxgUAAAAA&#10;">
              <v:fill on="f" focussize="0,0"/>
              <v:stroke on="f" weight="0.5pt"/>
              <v:imagedata o:title=""/>
              <o:lock v:ext="edit" aspectratio="f"/>
              <v:textbox inset="0mm,0mm,0mm,0mm" style="mso-fit-shape-to-text:t;">
                <w:txbxContent>
                  <w:p w14:paraId="03A29FED">
                    <w:pPr>
                      <w:pStyle w:val="4"/>
                    </w:pPr>
                    <w:r>
                      <w:fldChar w:fldCharType="begin"/>
                    </w:r>
                    <w:r>
                      <w:instrText xml:space="preserve"> PAGE  \* MERGEFORMAT </w:instrText>
                    </w:r>
                    <w:r>
                      <w:fldChar w:fldCharType="separate"/>
                    </w:r>
                    <w:r>
                      <w:t>248</w:t>
                    </w:r>
                    <w:r>
                      <w:fldChar w:fldCharType="end"/>
                    </w:r>
                  </w:p>
                </w:txbxContent>
              </v:textbox>
            </v:shape>
          </w:pict>
        </mc:Fallback>
      </mc:AlternateConten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7039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8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7" name="文本框 14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1EEB91">
                          <w:pPr>
                            <w:pStyle w:val="4"/>
                          </w:pPr>
                          <w:r>
                            <w:fldChar w:fldCharType="begin"/>
                          </w:r>
                          <w:r>
                            <w:instrText xml:space="preserve"> PAGE  \* MERGEFORMAT </w:instrText>
                          </w:r>
                          <w:r>
                            <w:fldChar w:fldCharType="separate"/>
                          </w:r>
                          <w:r>
                            <w:t>249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8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7UtVo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p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tS1WjUCAABnBAAADgAAAAAAAAABACAAAAAfAQAAZHJzL2Uyb0RvYy54bWxQ&#10;SwUGAAAAAAYABgBZAQAAxgUAAAAA&#10;">
              <v:fill on="f" focussize="0,0"/>
              <v:stroke on="f" weight="0.5pt"/>
              <v:imagedata o:title=""/>
              <o:lock v:ext="edit" aspectratio="f"/>
              <v:textbox inset="0mm,0mm,0mm,0mm" style="mso-fit-shape-to-text:t;">
                <w:txbxContent>
                  <w:p w14:paraId="5E1EEB91">
                    <w:pPr>
                      <w:pStyle w:val="4"/>
                    </w:pPr>
                    <w:r>
                      <w:fldChar w:fldCharType="begin"/>
                    </w:r>
                    <w:r>
                      <w:instrText xml:space="preserve"> PAGE  \* MERGEFORMAT </w:instrText>
                    </w:r>
                    <w:r>
                      <w:fldChar w:fldCharType="separate"/>
                    </w:r>
                    <w:r>
                      <w:t>249</w:t>
                    </w:r>
                    <w:r>
                      <w:fldChar w:fldCharType="end"/>
                    </w:r>
                  </w:p>
                </w:txbxContent>
              </v:textbox>
            </v:shape>
          </w:pict>
        </mc:Fallback>
      </mc:AlternateConten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DF13F">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9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8" name="文本框 14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A4C029">
                          <w:pPr>
                            <w:pStyle w:val="4"/>
                          </w:pPr>
                          <w:r>
                            <w:fldChar w:fldCharType="begin"/>
                          </w:r>
                          <w:r>
                            <w:instrText xml:space="preserve"> PAGE  \* MERGEFORMAT </w:instrText>
                          </w:r>
                          <w:r>
                            <w:fldChar w:fldCharType="separate"/>
                          </w:r>
                          <w:r>
                            <w:t>250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9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q92g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HNFJ3XTKHn5x/f&#10;zz8fz7++kVYLkmrrZ/DdWniH5p1pEBDJi3oPZay9KZyKX1RFYAfFpwvFogmEx6DpZDpNYeKwDRfg&#10;JNdw63x4L4wiUcioQw9batlx40PnOrjEbNqsKymhZzOpSZ3Rm9dv0z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ZavdoNAIAAGcEAAAOAAAAAAAAAAEAIAAAAB8BAABkcnMvZTJvRG9jLnhtbFBL&#10;BQYAAAAABgAGAFkBAADFBQAAAAA=&#10;">
              <v:fill on="f" focussize="0,0"/>
              <v:stroke on="f" weight="0.5pt"/>
              <v:imagedata o:title=""/>
              <o:lock v:ext="edit" aspectratio="f"/>
              <v:textbox inset="0mm,0mm,0mm,0mm" style="mso-fit-shape-to-text:t;">
                <w:txbxContent>
                  <w:p w14:paraId="55A4C029">
                    <w:pPr>
                      <w:pStyle w:val="4"/>
                    </w:pPr>
                    <w:r>
                      <w:fldChar w:fldCharType="begin"/>
                    </w:r>
                    <w:r>
                      <w:instrText xml:space="preserve"> PAGE  \* MERGEFORMAT </w:instrText>
                    </w:r>
                    <w:r>
                      <w:fldChar w:fldCharType="separate"/>
                    </w:r>
                    <w:r>
                      <w:t>250</w:t>
                    </w:r>
                    <w:r>
                      <w:fldChar w:fldCharType="end"/>
                    </w:r>
                  </w:p>
                </w:txbxContent>
              </v:textbox>
            </v:shape>
          </w:pict>
        </mc:Fallback>
      </mc:AlternateConten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09DDE">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0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9" name="文本框 14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C2B804">
                          <w:pPr>
                            <w:pStyle w:val="4"/>
                          </w:pPr>
                          <w:r>
                            <w:fldChar w:fldCharType="begin"/>
                          </w:r>
                          <w:r>
                            <w:instrText xml:space="preserve"> PAGE  \* MERGEFORMAT </w:instrText>
                          </w:r>
                          <w:r>
                            <w:fldChar w:fldCharType="separate"/>
                          </w:r>
                          <w:r>
                            <w:t>251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0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pHqLY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p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keotjUCAABnBAAADgAAAAAAAAABACAAAAAfAQAAZHJzL2Uyb0RvYy54bWxQ&#10;SwUGAAAAAAYABgBZAQAAxgUAAAAA&#10;">
              <v:fill on="f" focussize="0,0"/>
              <v:stroke on="f" weight="0.5pt"/>
              <v:imagedata o:title=""/>
              <o:lock v:ext="edit" aspectratio="f"/>
              <v:textbox inset="0mm,0mm,0mm,0mm" style="mso-fit-shape-to-text:t;">
                <w:txbxContent>
                  <w:p w14:paraId="3AC2B804">
                    <w:pPr>
                      <w:pStyle w:val="4"/>
                    </w:pPr>
                    <w:r>
                      <w:fldChar w:fldCharType="begin"/>
                    </w:r>
                    <w:r>
                      <w:instrText xml:space="preserve"> PAGE  \* MERGEFORMAT </w:instrText>
                    </w:r>
                    <w:r>
                      <w:fldChar w:fldCharType="separate"/>
                    </w:r>
                    <w:r>
                      <w:t>251</w:t>
                    </w:r>
                    <w:r>
                      <w:fldChar w:fldCharType="end"/>
                    </w:r>
                  </w:p>
                </w:txbxContent>
              </v:textbox>
            </v:shape>
          </w:pict>
        </mc:Fallback>
      </mc:AlternateConten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83B21">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1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0" name="文本框 14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BED8D7">
                          <w:pPr>
                            <w:pStyle w:val="4"/>
                          </w:pPr>
                          <w:r>
                            <w:fldChar w:fldCharType="begin"/>
                          </w:r>
                          <w:r>
                            <w:instrText xml:space="preserve"> PAGE  \* MERGEFORMAT </w:instrText>
                          </w:r>
                          <w:r>
                            <w:fldChar w:fldCharType="separate"/>
                          </w:r>
                          <w:r>
                            <w:t>252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1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D26g0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3A9uoNAIAAGcEAAAOAAAAAAAAAAEAIAAAAB8BAABkcnMvZTJvRG9jLnhtbFBL&#10;BQYAAAAABgAGAFkBAADFBQAAAAA=&#10;">
              <v:fill on="f" focussize="0,0"/>
              <v:stroke on="f" weight="0.5pt"/>
              <v:imagedata o:title=""/>
              <o:lock v:ext="edit" aspectratio="f"/>
              <v:textbox inset="0mm,0mm,0mm,0mm" style="mso-fit-shape-to-text:t;">
                <w:txbxContent>
                  <w:p w14:paraId="71BED8D7">
                    <w:pPr>
                      <w:pStyle w:val="4"/>
                    </w:pPr>
                    <w:r>
                      <w:fldChar w:fldCharType="begin"/>
                    </w:r>
                    <w:r>
                      <w:instrText xml:space="preserve"> PAGE  \* MERGEFORMAT </w:instrText>
                    </w:r>
                    <w:r>
                      <w:fldChar w:fldCharType="separate"/>
                    </w:r>
                    <w:r>
                      <w:t>252</w:t>
                    </w:r>
                    <w:r>
                      <w:fldChar w:fldCharType="end"/>
                    </w:r>
                  </w:p>
                </w:txbxContent>
              </v:textbox>
            </v:shape>
          </w:pict>
        </mc:Fallback>
      </mc:AlternateConten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804D6">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2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1" name="文本框 14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CB62E6">
                          <w:pPr>
                            <w:pStyle w:val="4"/>
                          </w:pPr>
                          <w:r>
                            <w:fldChar w:fldCharType="begin"/>
                          </w:r>
                          <w:r>
                            <w:instrText xml:space="preserve"> PAGE  \* MERGEFORMAT </w:instrText>
                          </w:r>
                          <w:r>
                            <w:fldChar w:fldCharType="separate"/>
                          </w:r>
                          <w:r>
                            <w:t>253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2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QuhHY0AgAAZwQAAA4AAABkcnMvZTJvRG9jLnhtbK1UzY7TMBC+I/EO&#10;lu80aYFViZquylZFSBW7UkGcXcdpIvlPttukPAC8AScu3HmuPgefk6ZFC4c9cHHG8/PNzDfj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kLoR2NAIAAGcEAAAOAAAAAAAAAAEAIAAAAB8BAABkcnMvZTJvRG9jLnhtbFBL&#10;BQYAAAAABgAGAFkBAADFBQAAAAA=&#10;">
              <v:fill on="f" focussize="0,0"/>
              <v:stroke on="f" weight="0.5pt"/>
              <v:imagedata o:title=""/>
              <o:lock v:ext="edit" aspectratio="f"/>
              <v:textbox inset="0mm,0mm,0mm,0mm" style="mso-fit-shape-to-text:t;">
                <w:txbxContent>
                  <w:p w14:paraId="3ACB62E6">
                    <w:pPr>
                      <w:pStyle w:val="4"/>
                    </w:pPr>
                    <w:r>
                      <w:fldChar w:fldCharType="begin"/>
                    </w:r>
                    <w:r>
                      <w:instrText xml:space="preserve"> PAGE  \* MERGEFORMAT </w:instrText>
                    </w:r>
                    <w:r>
                      <w:fldChar w:fldCharType="separate"/>
                    </w:r>
                    <w:r>
                      <w:t>253</w:t>
                    </w:r>
                    <w:r>
                      <w:fldChar w:fldCharType="end"/>
                    </w:r>
                  </w:p>
                </w:txbxContent>
              </v:textbox>
            </v:shape>
          </w:pict>
        </mc:Fallback>
      </mc:AlternateConten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85C1C">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3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2" name="文本框 14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E411B5">
                          <w:pPr>
                            <w:pStyle w:val="4"/>
                          </w:pPr>
                          <w:r>
                            <w:fldChar w:fldCharType="begin"/>
                          </w:r>
                          <w:r>
                            <w:instrText xml:space="preserve"> PAGE  \* MERGEFORMAT </w:instrText>
                          </w:r>
                          <w:r>
                            <w:fldChar w:fldCharType="separate"/>
                          </w:r>
                          <w:r>
                            <w:t>254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3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fFM8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E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UF8UzzUCAABnBAAADgAAAAAAAAABACAAAAAfAQAAZHJzL2Uyb0RvYy54bWxQ&#10;SwUGAAAAAAYABgBZAQAAxgUAAAAA&#10;">
              <v:fill on="f" focussize="0,0"/>
              <v:stroke on="f" weight="0.5pt"/>
              <v:imagedata o:title=""/>
              <o:lock v:ext="edit" aspectratio="f"/>
              <v:textbox inset="0mm,0mm,0mm,0mm" style="mso-fit-shape-to-text:t;">
                <w:txbxContent>
                  <w:p w14:paraId="0CE411B5">
                    <w:pPr>
                      <w:pStyle w:val="4"/>
                    </w:pPr>
                    <w:r>
                      <w:fldChar w:fldCharType="begin"/>
                    </w:r>
                    <w:r>
                      <w:instrText xml:space="preserve"> PAGE  \* MERGEFORMAT </w:instrText>
                    </w:r>
                    <w:r>
                      <w:fldChar w:fldCharType="separate"/>
                    </w:r>
                    <w:r>
                      <w:t>254</w:t>
                    </w:r>
                    <w:r>
                      <w:fldChar w:fldCharType="end"/>
                    </w:r>
                  </w:p>
                </w:txbxContent>
              </v:textbox>
            </v:shape>
          </w:pict>
        </mc:Fallback>
      </mc:AlternateConten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942BE">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4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3" name="文本框 14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50B496">
                          <w:pPr>
                            <w:pStyle w:val="4"/>
                          </w:pPr>
                          <w:r>
                            <w:fldChar w:fldCharType="begin"/>
                          </w:r>
                          <w:r>
                            <w:instrText xml:space="preserve"> PAGE  \* MERGEFORMAT </w:instrText>
                          </w:r>
                          <w:r>
                            <w:fldChar w:fldCharType="separate"/>
                          </w:r>
                          <w:r>
                            <w:t>255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4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ySxE2AgAAZwQAAA4AAABkcnMvZTJvRG9jLnhtbK1UzY7TMBC+I/EO&#10;lu80aRd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j99oo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NySxE2AgAAZwQAAA4AAAAAAAAAAQAgAAAAHwEAAGRycy9lMm9Eb2MueG1s&#10;UEsFBgAAAAAGAAYAWQEAAMcFAAAAAA==&#10;">
              <v:fill on="f" focussize="0,0"/>
              <v:stroke on="f" weight="0.5pt"/>
              <v:imagedata o:title=""/>
              <o:lock v:ext="edit" aspectratio="f"/>
              <v:textbox inset="0mm,0mm,0mm,0mm" style="mso-fit-shape-to-text:t;">
                <w:txbxContent>
                  <w:p w14:paraId="0150B496">
                    <w:pPr>
                      <w:pStyle w:val="4"/>
                    </w:pPr>
                    <w:r>
                      <w:fldChar w:fldCharType="begin"/>
                    </w:r>
                    <w:r>
                      <w:instrText xml:space="preserve"> PAGE  \* MERGEFORMAT </w:instrText>
                    </w:r>
                    <w:r>
                      <w:fldChar w:fldCharType="separate"/>
                    </w:r>
                    <w:r>
                      <w:t>255</w:t>
                    </w:r>
                    <w:r>
                      <w:fldChar w:fldCharType="end"/>
                    </w:r>
                  </w:p>
                </w:txbxContent>
              </v:textbox>
            </v:shape>
          </w:pict>
        </mc:Fallback>
      </mc:AlternateConten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359E4">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5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4" name="文本框 14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0CBA98">
                          <w:pPr>
                            <w:pStyle w:val="4"/>
                          </w:pPr>
                          <w:r>
                            <w:fldChar w:fldCharType="begin"/>
                          </w:r>
                          <w:r>
                            <w:instrText xml:space="preserve"> PAGE  \* MERGEFORMAT </w:instrText>
                          </w:r>
                          <w:r>
                            <w:fldChar w:fldCharType="separate"/>
                          </w:r>
                          <w:r>
                            <w:t>256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5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m7RWc2AgAAZwQAAA4AAABkcnMvZTJvRG9jLnhtbK1UzY7TMBC+I/EO&#10;lu80aVl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e0WJZgpvfvzx&#10;/fjz1/HxG+m0IKmxPoPv2sI7tO9Mi4BIXtR7KGPvbelU/KIrAjsoPpwpFm0gPAZNJ9NpChOHbbgA&#10;J7mEW+fDe2EUiUJOHd6wo5bt73zoXQeXmE2bVS0l9CyTmjQ5vX79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Pm7RWc2AgAAZwQAAA4AAAAAAAAAAQAgAAAAHwEAAGRycy9lMm9Eb2MueG1s&#10;UEsFBgAAAAAGAAYAWQEAAMcFAAAAAA==&#10;">
              <v:fill on="f" focussize="0,0"/>
              <v:stroke on="f" weight="0.5pt"/>
              <v:imagedata o:title=""/>
              <o:lock v:ext="edit" aspectratio="f"/>
              <v:textbox inset="0mm,0mm,0mm,0mm" style="mso-fit-shape-to-text:t;">
                <w:txbxContent>
                  <w:p w14:paraId="370CBA98">
                    <w:pPr>
                      <w:pStyle w:val="4"/>
                    </w:pPr>
                    <w:r>
                      <w:fldChar w:fldCharType="begin"/>
                    </w:r>
                    <w:r>
                      <w:instrText xml:space="preserve"> PAGE  \* MERGEFORMAT </w:instrText>
                    </w:r>
                    <w:r>
                      <w:fldChar w:fldCharType="separate"/>
                    </w:r>
                    <w:r>
                      <w:t>256</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44909">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5" name="文本框 12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B15313">
                          <w:pPr>
                            <w:pStyle w:val="4"/>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3PDY1AgAAZwQAAA4AAABkcnMvZTJvRG9jLnhtbK1UzY7TMBC+I/EO&#10;lu80adEu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iZvbi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Lc8NjUCAABnBAAADgAAAAAAAAABACAAAAAfAQAAZHJzL2Uyb0RvYy54bWxQ&#10;SwUGAAAAAAYABgBZAQAAxgUAAAAA&#10;">
              <v:fill on="f" focussize="0,0"/>
              <v:stroke on="f" weight="0.5pt"/>
              <v:imagedata o:title=""/>
              <o:lock v:ext="edit" aspectratio="f"/>
              <v:textbox inset="0mm,0mm,0mm,0mm" style="mso-fit-shape-to-text:t;">
                <w:txbxContent>
                  <w:p w14:paraId="11B15313">
                    <w:pPr>
                      <w:pStyle w:val="4"/>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E4F9A">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6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5" name="文本框 14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CD04E6">
                          <w:pPr>
                            <w:pStyle w:val="4"/>
                          </w:pPr>
                          <w:r>
                            <w:fldChar w:fldCharType="begin"/>
                          </w:r>
                          <w:r>
                            <w:instrText xml:space="preserve"> PAGE  \* MERGEFORMAT </w:instrText>
                          </w:r>
                          <w:r>
                            <w:fldChar w:fldCharType="separate"/>
                          </w:r>
                          <w:r>
                            <w:t>257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6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WGrk2AgAAZwQAAA4AAABkcnMvZTJvRG9jLnhtbK1UzY7TMBC+I/EO&#10;lu80aWFX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jz9ooSzRTe/Pjj&#10;+/Hnr+PjN9JpQVJjfQbftYV3aN+ZFgGRvKj3UMbe29Kp+EVXBHZQfDhTLNpAeAyaTqbTFCYO23AB&#10;TnIJt86H98IoEoWcOrxhRy3b3/nQuw4uMZs2q1pK6FkmNWlyev36K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qWGrk2AgAAZwQAAA4AAAAAAAAAAQAgAAAAHwEAAGRycy9lMm9Eb2MueG1s&#10;UEsFBgAAAAAGAAYAWQEAAMcFAAAAAA==&#10;">
              <v:fill on="f" focussize="0,0"/>
              <v:stroke on="f" weight="0.5pt"/>
              <v:imagedata o:title=""/>
              <o:lock v:ext="edit" aspectratio="f"/>
              <v:textbox inset="0mm,0mm,0mm,0mm" style="mso-fit-shape-to-text:t;">
                <w:txbxContent>
                  <w:p w14:paraId="3FCD04E6">
                    <w:pPr>
                      <w:pStyle w:val="4"/>
                    </w:pPr>
                    <w:r>
                      <w:fldChar w:fldCharType="begin"/>
                    </w:r>
                    <w:r>
                      <w:instrText xml:space="preserve"> PAGE  \* MERGEFORMAT </w:instrText>
                    </w:r>
                    <w:r>
                      <w:fldChar w:fldCharType="separate"/>
                    </w:r>
                    <w:r>
                      <w:t>257</w:t>
                    </w:r>
                    <w:r>
                      <w:fldChar w:fldCharType="end"/>
                    </w:r>
                  </w:p>
                </w:txbxContent>
              </v:textbox>
            </v:shape>
          </w:pict>
        </mc:Fallback>
      </mc:AlternateConten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69D1A">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7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6" name="文本框 14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7FBA6B">
                          <w:pPr>
                            <w:pStyle w:val="4"/>
                          </w:pPr>
                          <w:r>
                            <w:fldChar w:fldCharType="begin"/>
                          </w:r>
                          <w:r>
                            <w:instrText xml:space="preserve"> PAGE  \* MERGEFORMAT </w:instrText>
                          </w:r>
                          <w:r>
                            <w:fldChar w:fldCharType="separate"/>
                          </w:r>
                          <w:r>
                            <w:t>258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7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7nigA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N5RopvDmp+/f&#10;Tj9+nX5+JZ0WJDXWZ/DdWHiH9q1pERDJi3oPZey9LZ2KX3RFYAfF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nueKADUCAABnBAAADgAAAAAAAAABACAAAAAfAQAAZHJzL2Uyb0RvYy54bWxQ&#10;SwUGAAAAAAYABgBZAQAAxgUAAAAA&#10;">
              <v:fill on="f" focussize="0,0"/>
              <v:stroke on="f" weight="0.5pt"/>
              <v:imagedata o:title=""/>
              <o:lock v:ext="edit" aspectratio="f"/>
              <v:textbox inset="0mm,0mm,0mm,0mm" style="mso-fit-shape-to-text:t;">
                <w:txbxContent>
                  <w:p w14:paraId="3C7FBA6B">
                    <w:pPr>
                      <w:pStyle w:val="4"/>
                    </w:pPr>
                    <w:r>
                      <w:fldChar w:fldCharType="begin"/>
                    </w:r>
                    <w:r>
                      <w:instrText xml:space="preserve"> PAGE  \* MERGEFORMAT </w:instrText>
                    </w:r>
                    <w:r>
                      <w:fldChar w:fldCharType="separate"/>
                    </w:r>
                    <w:r>
                      <w:t>258</w:t>
                    </w:r>
                    <w:r>
                      <w:fldChar w:fldCharType="end"/>
                    </w:r>
                  </w:p>
                </w:txbxContent>
              </v:textbox>
            </v:shape>
          </w:pict>
        </mc:Fallback>
      </mc:AlternateConten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C7E39">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8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7" name="文本框 14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026F0F">
                          <w:pPr>
                            <w:pStyle w:val="4"/>
                          </w:pPr>
                          <w:r>
                            <w:fldChar w:fldCharType="begin"/>
                          </w:r>
                          <w:r>
                            <w:instrText xml:space="preserve"> PAGE  \* MERGEFORMAT </w:instrText>
                          </w:r>
                          <w:r>
                            <w:fldChar w:fldCharType="separate"/>
                          </w:r>
                          <w:r>
                            <w:t>259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8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crV3jUCAABnBAAADgAAAAAAAAABACAAAAAfAQAAZHJzL2Uyb0RvYy54bWxQ&#10;SwUGAAAAAAYABgBZAQAAxgUAAAAA&#10;">
              <v:fill on="f" focussize="0,0"/>
              <v:stroke on="f" weight="0.5pt"/>
              <v:imagedata o:title=""/>
              <o:lock v:ext="edit" aspectratio="f"/>
              <v:textbox inset="0mm,0mm,0mm,0mm" style="mso-fit-shape-to-text:t;">
                <w:txbxContent>
                  <w:p w14:paraId="00026F0F">
                    <w:pPr>
                      <w:pStyle w:val="4"/>
                    </w:pPr>
                    <w:r>
                      <w:fldChar w:fldCharType="begin"/>
                    </w:r>
                    <w:r>
                      <w:instrText xml:space="preserve"> PAGE  \* MERGEFORMAT </w:instrText>
                    </w:r>
                    <w:r>
                      <w:fldChar w:fldCharType="separate"/>
                    </w:r>
                    <w:r>
                      <w:t>259</w:t>
                    </w:r>
                    <w:r>
                      <w:fldChar w:fldCharType="end"/>
                    </w:r>
                  </w:p>
                </w:txbxContent>
              </v:textbox>
            </v:shape>
          </w:pict>
        </mc:Fallback>
      </mc:AlternateConten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DC295">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99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8" name="文本框 14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1D8601">
                          <w:pPr>
                            <w:pStyle w:val="4"/>
                          </w:pPr>
                          <w:r>
                            <w:fldChar w:fldCharType="begin"/>
                          </w:r>
                          <w:r>
                            <w:instrText xml:space="preserve"> PAGE  \* MERGEFORMAT </w:instrText>
                          </w:r>
                          <w:r>
                            <w:fldChar w:fldCharType="separate"/>
                          </w:r>
                          <w:r>
                            <w:t>260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9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qdJfsNAIAAGcEAAAOAAAAAAAAAAEAIAAAAB8BAABkcnMvZTJvRG9jLnhtbFBL&#10;BQYAAAAABgAGAFkBAADFBQAAAAA=&#10;">
              <v:fill on="f" focussize="0,0"/>
              <v:stroke on="f" weight="0.5pt"/>
              <v:imagedata o:title=""/>
              <o:lock v:ext="edit" aspectratio="f"/>
              <v:textbox inset="0mm,0mm,0mm,0mm" style="mso-fit-shape-to-text:t;">
                <w:txbxContent>
                  <w:p w14:paraId="201D8601">
                    <w:pPr>
                      <w:pStyle w:val="4"/>
                    </w:pPr>
                    <w:r>
                      <w:fldChar w:fldCharType="begin"/>
                    </w:r>
                    <w:r>
                      <w:instrText xml:space="preserve"> PAGE  \* MERGEFORMAT </w:instrText>
                    </w:r>
                    <w:r>
                      <w:fldChar w:fldCharType="separate"/>
                    </w:r>
                    <w:r>
                      <w:t>260</w:t>
                    </w:r>
                    <w:r>
                      <w:fldChar w:fldCharType="end"/>
                    </w:r>
                  </w:p>
                </w:txbxContent>
              </v:textbox>
            </v:shape>
          </w:pict>
        </mc:Fallback>
      </mc:AlternateConten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717F5">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900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9" name="文本框 14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4A3270">
                          <w:pPr>
                            <w:pStyle w:val="4"/>
                          </w:pPr>
                          <w:r>
                            <w:fldChar w:fldCharType="begin"/>
                          </w:r>
                          <w:r>
                            <w:instrText xml:space="preserve"> PAGE  \* MERGEFORMAT </w:instrText>
                          </w:r>
                          <w:r>
                            <w:fldChar w:fldCharType="separate"/>
                          </w:r>
                          <w:r>
                            <w:t>261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0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PlZyDI2AgAAZwQAAA4AAAAAAAAAAQAgAAAAHwEAAGRycy9lMm9Eb2MueG1s&#10;UEsFBgAAAAAGAAYAWQEAAMcFAAAAAA==&#10;">
              <v:fill on="f" focussize="0,0"/>
              <v:stroke on="f" weight="0.5pt"/>
              <v:imagedata o:title=""/>
              <o:lock v:ext="edit" aspectratio="f"/>
              <v:textbox inset="0mm,0mm,0mm,0mm" style="mso-fit-shape-to-text:t;">
                <w:txbxContent>
                  <w:p w14:paraId="044A3270">
                    <w:pPr>
                      <w:pStyle w:val="4"/>
                    </w:pPr>
                    <w:r>
                      <w:fldChar w:fldCharType="begin"/>
                    </w:r>
                    <w:r>
                      <w:instrText xml:space="preserve"> PAGE  \* MERGEFORMAT </w:instrText>
                    </w:r>
                    <w:r>
                      <w:fldChar w:fldCharType="separate"/>
                    </w:r>
                    <w:r>
                      <w:t>261</w:t>
                    </w:r>
                    <w:r>
                      <w:fldChar w:fldCharType="end"/>
                    </w:r>
                  </w:p>
                </w:txbxContent>
              </v:textbox>
            </v:shape>
          </w:pict>
        </mc:Fallback>
      </mc:AlternateConten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8DB4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901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0" name="文本框 15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71F70C">
                          <w:pPr>
                            <w:pStyle w:val="4"/>
                          </w:pPr>
                          <w:r>
                            <w:fldChar w:fldCharType="begin"/>
                          </w:r>
                          <w:r>
                            <w:instrText xml:space="preserve"> PAGE  \* MERGEFORMAT </w:instrText>
                          </w:r>
                          <w:r>
                            <w:fldChar w:fldCharType="separate"/>
                          </w:r>
                          <w:r>
                            <w:t>262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1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I8rfA0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PK3wNAIAAGcEAAAOAAAAAAAAAAEAIAAAAB8BAABkcnMvZTJvRG9jLnhtbFBL&#10;BQYAAAAABgAGAFkBAADFBQAAAAA=&#10;">
              <v:fill on="f" focussize="0,0"/>
              <v:stroke on="f" weight="0.5pt"/>
              <v:imagedata o:title=""/>
              <o:lock v:ext="edit" aspectratio="f"/>
              <v:textbox inset="0mm,0mm,0mm,0mm" style="mso-fit-shape-to-text:t;">
                <w:txbxContent>
                  <w:p w14:paraId="3D71F70C">
                    <w:pPr>
                      <w:pStyle w:val="4"/>
                    </w:pPr>
                    <w:r>
                      <w:fldChar w:fldCharType="begin"/>
                    </w:r>
                    <w:r>
                      <w:instrText xml:space="preserve"> PAGE  \* MERGEFORMAT </w:instrText>
                    </w:r>
                    <w:r>
                      <w:fldChar w:fldCharType="separate"/>
                    </w:r>
                    <w:r>
                      <w:t>262</w:t>
                    </w:r>
                    <w:r>
                      <w:fldChar w:fldCharType="end"/>
                    </w:r>
                  </w:p>
                </w:txbxContent>
              </v:textbox>
            </v:shape>
          </w:pict>
        </mc:Fallback>
      </mc:AlternateConten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CFE5D">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902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1" name="文本框 15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0906AC">
                          <w:pPr>
                            <w:pStyle w:val="4"/>
                          </w:pPr>
                          <w:r>
                            <w:fldChar w:fldCharType="begin"/>
                          </w:r>
                          <w:r>
                            <w:instrText xml:space="preserve"> PAGE  \* MERGEFORMAT </w:instrText>
                          </w:r>
                          <w:r>
                            <w:fldChar w:fldCharType="separate"/>
                          </w:r>
                          <w:r>
                            <w:t>263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2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R8i40AgAAZwQAAA4AAABkcnMvZTJvRG9jLnhtbK1UzY7TMBC+I/EO&#10;lu80adGu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xEfIuNAIAAGcEAAAOAAAAAAAAAAEAIAAAAB8BAABkcnMvZTJvRG9jLnhtbFBL&#10;BQYAAAAABgAGAFkBAADFBQAAAAA=&#10;">
              <v:fill on="f" focussize="0,0"/>
              <v:stroke on="f" weight="0.5pt"/>
              <v:imagedata o:title=""/>
              <o:lock v:ext="edit" aspectratio="f"/>
              <v:textbox inset="0mm,0mm,0mm,0mm" style="mso-fit-shape-to-text:t;">
                <w:txbxContent>
                  <w:p w14:paraId="620906AC">
                    <w:pPr>
                      <w:pStyle w:val="4"/>
                    </w:pPr>
                    <w:r>
                      <w:fldChar w:fldCharType="begin"/>
                    </w:r>
                    <w:r>
                      <w:instrText xml:space="preserve"> PAGE  \* MERGEFORMAT </w:instrText>
                    </w:r>
                    <w:r>
                      <w:fldChar w:fldCharType="separate"/>
                    </w:r>
                    <w:r>
                      <w:t>263</w:t>
                    </w:r>
                    <w:r>
                      <w:fldChar w:fldCharType="end"/>
                    </w:r>
                  </w:p>
                </w:txbxContent>
              </v:textbox>
            </v:shape>
          </w:pict>
        </mc:Fallback>
      </mc:AlternateConten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8FB6F">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904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2" name="文本框 15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2091C9">
                          <w:pPr>
                            <w:pStyle w:val="4"/>
                          </w:pPr>
                          <w:r>
                            <w:fldChar w:fldCharType="begin"/>
                          </w:r>
                          <w:r>
                            <w:instrText xml:space="preserve"> PAGE  \* MERGEFORMAT </w:instrText>
                          </w:r>
                          <w:r>
                            <w:fldChar w:fldCharType="separate"/>
                          </w:r>
                          <w:r>
                            <w:t>264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04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gYpc1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WBilzUCAABnBAAADgAAAAAAAAABACAAAAAfAQAAZHJzL2Uyb0RvYy54bWxQ&#10;SwUGAAAAAAYABgBZAQAAxgUAAAAA&#10;">
              <v:fill on="f" focussize="0,0"/>
              <v:stroke on="f" weight="0.5pt"/>
              <v:imagedata o:title=""/>
              <o:lock v:ext="edit" aspectratio="f"/>
              <v:textbox inset="0mm,0mm,0mm,0mm" style="mso-fit-shape-to-text:t;">
                <w:txbxContent>
                  <w:p w14:paraId="042091C9">
                    <w:pPr>
                      <w:pStyle w:val="4"/>
                    </w:pPr>
                    <w:r>
                      <w:fldChar w:fldCharType="begin"/>
                    </w:r>
                    <w:r>
                      <w:instrText xml:space="preserve"> PAGE  \* MERGEFORMAT </w:instrText>
                    </w:r>
                    <w:r>
                      <w:fldChar w:fldCharType="separate"/>
                    </w:r>
                    <w:r>
                      <w:t>264</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511B2">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6" name="文本框 12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8ED28A">
                          <w:pPr>
                            <w:pStyle w:val="4"/>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jGrI81AgAAZwQAAA4AAABkcnMvZTJvRG9jLnhtbK1UzY7TMBC+I/EO&#10;lu80aRGl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iZvp5RopvDm5x/f&#10;zz8fz7++kVYLkmrr5/DdWniH5p1pEBDJi3oPZey9KZyKX3RFYAfFpwvFogmEx6DZZDZLYeKwDRfg&#10;JNdw63x4L4wiUciowxu21LLjnQ+d6+ASs2mzqaSEns2lJnVGp6/fpG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uMasjzUCAABnBAAADgAAAAAAAAABACAAAAAfAQAAZHJzL2Uyb0RvYy54bWxQ&#10;SwUGAAAAAAYABgBZAQAAxgUAAAAA&#10;">
              <v:fill on="f" focussize="0,0"/>
              <v:stroke on="f" weight="0.5pt"/>
              <v:imagedata o:title=""/>
              <o:lock v:ext="edit" aspectratio="f"/>
              <v:textbox inset="0mm,0mm,0mm,0mm" style="mso-fit-shape-to-text:t;">
                <w:txbxContent>
                  <w:p w14:paraId="708ED28A">
                    <w:pPr>
                      <w:pStyle w:val="4"/>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16FC7">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7" name="文本框 12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C374A4">
                          <w:pPr>
                            <w:pStyle w:val="4"/>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vzUTUCAABnBAAADgAAAAAAAAABACAAAAAfAQAAZHJzL2Uyb0RvYy54bWxQ&#10;SwUGAAAAAAYABgBZAQAAxgUAAAAA&#10;">
              <v:fill on="f" focussize="0,0"/>
              <v:stroke on="f" weight="0.5pt"/>
              <v:imagedata o:title=""/>
              <o:lock v:ext="edit" aspectratio="f"/>
              <v:textbox inset="0mm,0mm,0mm,0mm" style="mso-fit-shape-to-text:t;">
                <w:txbxContent>
                  <w:p w14:paraId="5DC374A4">
                    <w:pPr>
                      <w:pStyle w:val="4"/>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AFFCD">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8" name="文本框 12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83F2C3">
                          <w:pPr>
                            <w:pStyle w:val="4"/>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xVsWM0AgAAZwQAAA4AAABkcnMvZTJvRG9jLnhtbK1UzY7TMBC+I/EO&#10;lu80aRFL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mHyFp3XTKHn5x/f&#10;zz8fz7++kVYLkmrrZ/DdWniH5p1pEBDJi3oPZay9KZyKX1RFYAfFpwvFogmEx6DpZDpNYeKwDRfg&#10;JNdw63x4L4wiUcioQw9batlx40PnOrjEbNqsKymhZzOpSZ3Rm9dv0j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MVbFjNAIAAGcEAAAOAAAAAAAAAAEAIAAAAB8BAABkcnMvZTJvRG9jLnhtbFBL&#10;BQYAAAAABgAGAFkBAADFBQAAAAA=&#10;">
              <v:fill on="f" focussize="0,0"/>
              <v:stroke on="f" weight="0.5pt"/>
              <v:imagedata o:title=""/>
              <o:lock v:ext="edit" aspectratio="f"/>
              <v:textbox inset="0mm,0mm,0mm,0mm" style="mso-fit-shape-to-text:t;">
                <w:txbxContent>
                  <w:p w14:paraId="3583F2C3">
                    <w:pPr>
                      <w:pStyle w:val="4"/>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F6D12">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9" name="文本框 12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BF1595">
                          <w:pPr>
                            <w:pStyle w:val="4"/>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947r01AgAAZwQAAA4AAABkcnMvZTJvRG9jLnhtbK1UzY7TMBC+I/EO&#10;lu80aRFL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uT1G0o0U3jz0/dv&#10;px+/Tj+/kk4LkhrrM/huLLxD+9a0CIjkRb2HMvbelk7FL7oisIPi44Vi0QbCY9B0Mp2mMHHYhgtw&#10;kmu4dT68E0aRKOTU4Q07atlh7UPvOrjEbNqsaimhZ5nUpMnpzct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33juvTUCAABnBAAADgAAAAAAAAABACAAAAAfAQAAZHJzL2Uyb0RvYy54bWxQ&#10;SwUGAAAAAAYABgBZAQAAxgUAAAAA&#10;">
              <v:fill on="f" focussize="0,0"/>
              <v:stroke on="f" weight="0.5pt"/>
              <v:imagedata o:title=""/>
              <o:lock v:ext="edit" aspectratio="f"/>
              <v:textbox inset="0mm,0mm,0mm,0mm" style="mso-fit-shape-to-text:t;">
                <w:txbxContent>
                  <w:p w14:paraId="13BF1595">
                    <w:pPr>
                      <w:pStyle w:val="4"/>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3D520">
    <w:pPr>
      <w:spacing w:line="176" w:lineRule="auto"/>
      <w:ind w:left="4071"/>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0" name="文本框 12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8EFE06">
                          <w:pPr>
                            <w:pStyle w:val="4"/>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SUGfQzAgAAZwQAAA4AAABkcnMvZTJvRG9jLnhtbK1UzY7TMBC+I/EO&#10;lu80aRGrKmq6KlsVIVXsSgvi7DpOE8l/st0m5QHgDThx4c5z9Tn4nJ8WLRz2wMUZz883M59nsr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SUGfQzAgAAZwQAAA4AAAAAAAAAAQAgAAAAHwEAAGRycy9lMm9Eb2MueG1sUEsF&#10;BgAAAAAGAAYAWQEAAMQFAAAAAA==&#10;">
              <v:fill on="f" focussize="0,0"/>
              <v:stroke on="f" weight="0.5pt"/>
              <v:imagedata o:title=""/>
              <o:lock v:ext="edit" aspectratio="f"/>
              <v:textbox inset="0mm,0mm,0mm,0mm" style="mso-fit-shape-to-text:t;">
                <w:txbxContent>
                  <w:p w14:paraId="6F8EFE06">
                    <w:pPr>
                      <w:pStyle w:val="4"/>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6BEEB">
    <w:pPr>
      <w:spacing w:line="174" w:lineRule="auto"/>
      <w:ind w:left="410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II</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1FC52">
    <w:pPr>
      <w:spacing w:line="176" w:lineRule="auto"/>
      <w:ind w:left="4071"/>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1" name="文本框 12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E44A9A">
                          <w:pPr>
                            <w:pStyle w:val="4"/>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5RiozAgAAZwQAAA4AAABkcnMvZTJvRG9jLnhtbK1UzY7TMBC+I/EO&#10;lu80aRGrKmq6KlsVIVXsSgvi7DpOE8l/st0m5QHgDThx4c5z9Tn4nJ8WLRz2wMUZz883M9+Ms7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e5RiozAgAAZwQAAA4AAAAAAAAAAQAgAAAAHwEAAGRycy9lMm9Eb2MueG1sUEsF&#10;BgAAAAAGAAYAWQEAAMQFAAAAAA==&#10;">
              <v:fill on="f" focussize="0,0"/>
              <v:stroke on="f" weight="0.5pt"/>
              <v:imagedata o:title=""/>
              <o:lock v:ext="edit" aspectratio="f"/>
              <v:textbox inset="0mm,0mm,0mm,0mm" style="mso-fit-shape-to-text:t;">
                <w:txbxContent>
                  <w:p w14:paraId="66E44A9A">
                    <w:pPr>
                      <w:pStyle w:val="4"/>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EA97D">
    <w:pPr>
      <w:spacing w:line="176" w:lineRule="auto"/>
      <w:ind w:left="4071"/>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2" name="文本框 12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3659B3">
                          <w:pPr>
                            <w:pStyle w:val="4"/>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I1pM0AgAAZwQAAA4AAABkcnMvZTJvRG9jLnhtbK1UzY7TMBC+I/EO&#10;lu80aRGrKmq6KlsVIVXsSgvi7DpOE8l/st0m5QHgDThx4c5z9Tn4nJ8WLRz2wMUZz883M59nsr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zyNaTNAIAAGcEAAAOAAAAAAAAAAEAIAAAAB8BAABkcnMvZTJvRG9jLnhtbFBL&#10;BQYAAAAABgAGAFkBAADFBQAAAAA=&#10;">
              <v:fill on="f" focussize="0,0"/>
              <v:stroke on="f" weight="0.5pt"/>
              <v:imagedata o:title=""/>
              <o:lock v:ext="edit" aspectratio="f"/>
              <v:textbox inset="0mm,0mm,0mm,0mm" style="mso-fit-shape-to-text:t;">
                <w:txbxContent>
                  <w:p w14:paraId="0D3659B3">
                    <w:pPr>
                      <w:pStyle w:val="4"/>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56A14">
    <w:pPr>
      <w:spacing w:line="191" w:lineRule="auto"/>
      <w:ind w:left="6884"/>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3" name="文本框 12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B73EE9">
                          <w:pPr>
                            <w:pStyle w:val="4"/>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liU0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mEyvaFEM4U3P//4&#10;fv75+/zrG2m1IKm2fgbfrYV3aN6ZBgGRvKj3UMbem8Kp+EVXBHZQfLpQLJpAeAyaTqbTFCYO23AB&#10;TnINt86H98IoEoWMOrxhSy07bnzoXAeXmE2bdSUl9GwmNakzenvzN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OWJTTUCAABnBAAADgAAAAAAAAABACAAAAAfAQAAZHJzL2Uyb0RvYy54bWxQ&#10;SwUGAAAAAAYABgBZAQAAxgUAAAAA&#10;">
              <v:fill on="f" focussize="0,0"/>
              <v:stroke on="f" weight="0.5pt"/>
              <v:imagedata o:title=""/>
              <o:lock v:ext="edit" aspectratio="f"/>
              <v:textbox inset="0mm,0mm,0mm,0mm" style="mso-fit-shape-to-text:t;">
                <w:txbxContent>
                  <w:p w14:paraId="2BB73EE9">
                    <w:pPr>
                      <w:pStyle w:val="4"/>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BF787">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4" name="文本框 12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FC0D9D">
                          <w:pPr>
                            <w:pStyle w:val="4"/>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shzs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ymby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iyHOzUCAABnBAAADgAAAAAAAAABACAAAAAfAQAAZHJzL2Uyb0RvYy54bWxQ&#10;SwUGAAAAAAYABgBZAQAAxgUAAAAA&#10;">
              <v:fill on="f" focussize="0,0"/>
              <v:stroke on="f" weight="0.5pt"/>
              <v:imagedata o:title=""/>
              <o:lock v:ext="edit" aspectratio="f"/>
              <v:textbox inset="0mm,0mm,0mm,0mm" style="mso-fit-shape-to-text:t;">
                <w:txbxContent>
                  <w:p w14:paraId="21FC0D9D">
                    <w:pPr>
                      <w:pStyle w:val="4"/>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ADA38">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5" name="文本框 12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021FB0">
                          <w:pPr>
                            <w:pStyle w:val="4"/>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B2OU1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mEyvaFEM4U3P//4&#10;fv75+/zrG2m1IKm2fgbfrYV3aN6ZBgGRvKj3UMbem8Kp+EVXBHZQfLpQLJpAeAyaTqbTFCYO23AB&#10;TnINt86H98IoEoWMOrxhSy07bnzoXAeXmE2bdSUl9GwmNakzevv2J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QHY5TUCAABnBAAADgAAAAAAAAABACAAAAAfAQAAZHJzL2Uyb0RvYy54bWxQ&#10;SwUGAAAAAAYABgBZAQAAxgUAAAAA&#10;">
              <v:fill on="f" focussize="0,0"/>
              <v:stroke on="f" weight="0.5pt"/>
              <v:imagedata o:title=""/>
              <o:lock v:ext="edit" aspectratio="f"/>
              <v:textbox inset="0mm,0mm,0mm,0mm" style="mso-fit-shape-to-text:t;">
                <w:txbxContent>
                  <w:p w14:paraId="02021FB0">
                    <w:pPr>
                      <w:pStyle w:val="4"/>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7915D">
    <w:pPr>
      <w:spacing w:line="171" w:lineRule="auto"/>
      <w:ind w:left="6900"/>
      <w:rPr>
        <w:rFonts w:ascii="仿宋" w:hAnsi="仿宋" w:eastAsia="仿宋" w:cs="仿宋"/>
        <w:sz w:val="21"/>
        <w:szCs w:val="21"/>
      </w:rPr>
    </w:pPr>
    <w:r>
      <w:rPr>
        <w:sz w:val="21"/>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6" name="文本框 12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A53618">
                          <w:pPr>
                            <w:pStyle w:val="4"/>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wSFw0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cEhcNAIAAGcEAAAOAAAAAAAAAAEAIAAAAB8BAABkcnMvZTJvRG9jLnhtbFBL&#10;BQYAAAAABgAGAFkBAADFBQAAAAA=&#10;">
              <v:fill on="f" focussize="0,0"/>
              <v:stroke on="f" weight="0.5pt"/>
              <v:imagedata o:title=""/>
              <o:lock v:ext="edit" aspectratio="f"/>
              <v:textbox inset="0mm,0mm,0mm,0mm" style="mso-fit-shape-to-text:t;">
                <w:txbxContent>
                  <w:p w14:paraId="65A53618">
                    <w:pPr>
                      <w:pStyle w:val="4"/>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CB67D">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7" name="文本框 12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E3036F">
                          <w:pPr>
                            <w:pStyle w:val="4"/>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5dF4I1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ymbynRTOHNzz++&#10;n38+nn99I60WJNXWz+C7tfAOzTvTICCSF/Ueyth7UzgVv+iKwA6KTxeKRRMIj0HTyXSawsRhGy7A&#10;Sa7h1vnwXhhFopBRhzdsqWXHjQ+d6+ASs2mzrqSEns2kJnVGb16/S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7l0XgjUCAABnBAAADgAAAAAAAAABACAAAAAfAQAAZHJzL2Uyb0RvYy54bWxQ&#10;SwUGAAAAAAYABgBZAQAAxgUAAAAA&#10;">
              <v:fill on="f" focussize="0,0"/>
              <v:stroke on="f" weight="0.5pt"/>
              <v:imagedata o:title=""/>
              <o:lock v:ext="edit" aspectratio="f"/>
              <v:textbox inset="0mm,0mm,0mm,0mm" style="mso-fit-shape-to-text:t;">
                <w:txbxContent>
                  <w:p w14:paraId="21E3036F">
                    <w:pPr>
                      <w:pStyle w:val="4"/>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DA173">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8" name="文本框 12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A1F261">
                          <w:pPr>
                            <w:pStyle w:val="4"/>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njVbAzAgAAZwQAAA4AAAAAAAAAAQAgAAAAHwEAAGRycy9lMm9Eb2MueG1sUEsF&#10;BgAAAAAGAAYAWQEAAMQFAAAAAA==&#10;">
              <v:fill on="f" focussize="0,0"/>
              <v:stroke on="f" weight="0.5pt"/>
              <v:imagedata o:title=""/>
              <o:lock v:ext="edit" aspectratio="f"/>
              <v:textbox inset="0mm,0mm,0mm,0mm" style="mso-fit-shape-to-text:t;">
                <w:txbxContent>
                  <w:p w14:paraId="46A1F261">
                    <w:pPr>
                      <w:pStyle w:val="4"/>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4CEFD">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9" name="文本框 12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8631CE">
                          <w:pPr>
                            <w:pStyle w:val="4"/>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OCm41AgAAZwQAAA4AAABkcnMvZTJvRG9jLnhtbK1UzY7TMBC+I/EO&#10;lu80aRGrUj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ymbynRTOHNzz++&#10;n38+nn99I60WJNXWz+C7tfAOzTvTICCSF/Ueyth7UzgVv+iKwA6KTxeKRRMIj0HTyXSawsRhGy7A&#10;Sa7h1vnwXhhFopBRhzdsqWXHjQ+d6+ASs2mzrqSEns2kJnVGb16/S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s4KbjUCAABnBAAADgAAAAAAAAABACAAAAAfAQAAZHJzL2Uyb0RvYy54bWxQ&#10;SwUGAAAAAAYABgBZAQAAxgUAAAAA&#10;">
              <v:fill on="f" focussize="0,0"/>
              <v:stroke on="f" weight="0.5pt"/>
              <v:imagedata o:title=""/>
              <o:lock v:ext="edit" aspectratio="f"/>
              <v:textbox inset="0mm,0mm,0mm,0mm" style="mso-fit-shape-to-text:t;">
                <w:txbxContent>
                  <w:p w14:paraId="538631CE">
                    <w:pPr>
                      <w:pStyle w:val="4"/>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9D64D">
    <w:pPr>
      <w:spacing w:line="171" w:lineRule="auto"/>
      <w:ind w:left="4078"/>
      <w:rPr>
        <w:rFonts w:ascii="仿宋" w:hAnsi="仿宋" w:eastAsia="仿宋" w:cs="仿宋"/>
        <w:sz w:val="21"/>
        <w:szCs w:val="21"/>
      </w:rPr>
    </w:pPr>
    <w:r>
      <w:rPr>
        <w:sz w:val="21"/>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0" name="文本框 12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EFEB69">
                          <w:pPr>
                            <w:pStyle w:val="4"/>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eKeXA0AgAAZwQAAA4AAABkcnMvZTJvRG9jLnhtbK1UzY7TMBC+I/EO&#10;lu80aRGrUj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eghTNFN78/OP7&#10;+efj+dc30mpBUm39DL5bC+/QvDMNAiJ5Ue+hjL03hVPxi64I7EA7XSgWTSA8Bk0n02kKE4dtuAAn&#10;uYZb58N7YRSJQkYd3rCllh03PnSug0vMps26khJ6NpOa1Bm9ef0m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ninlwNAIAAGcEAAAOAAAAAAAAAAEAIAAAAB8BAABkcnMvZTJvRG9jLnhtbFBL&#10;BQYAAAAABgAGAFkBAADFBQAAAAA=&#10;">
              <v:fill on="f" focussize="0,0"/>
              <v:stroke on="f" weight="0.5pt"/>
              <v:imagedata o:title=""/>
              <o:lock v:ext="edit" aspectratio="f"/>
              <v:textbox inset="0mm,0mm,0mm,0mm" style="mso-fit-shape-to-text:t;">
                <w:txbxContent>
                  <w:p w14:paraId="15EFEB69">
                    <w:pPr>
                      <w:pStyle w:val="4"/>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590B0">
    <w:pPr>
      <w:spacing w:line="174" w:lineRule="auto"/>
      <w:ind w:left="40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III</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D8B70">
    <w:pPr>
      <w:spacing w:beforeLines="0" w:afterLines="0" w:line="169" w:lineRule="auto"/>
      <w:ind w:left="4380"/>
      <w:rPr>
        <w:rFonts w:hint="eastAsia" w:ascii="仿宋" w:hAnsi="仿宋" w:eastAsia="仿宋" w:cs="仿宋"/>
        <w:sz w:val="21"/>
        <w:szCs w:val="21"/>
      </w:rPr>
    </w:pPr>
    <w:r>
      <w:rPr>
        <w:rFonts w:hint="default"/>
        <w:sz w:val="21"/>
        <w:szCs w:val="21"/>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2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DC0F152">
                          <w:pPr>
                            <w:tabs>
                              <w:tab w:val="center" w:pos="4153"/>
                              <w:tab w:val="right" w:pos="8306"/>
                            </w:tabs>
                            <w:spacing w:beforeLines="0" w:afterLines="0"/>
                            <w:rPr>
                              <w:rFonts w:hint="default"/>
                              <w:sz w:val="21"/>
                              <w:szCs w:val="21"/>
                            </w:rPr>
                          </w:pPr>
                          <w:r>
                            <w:rPr>
                              <w:rFonts w:hint="default"/>
                              <w:sz w:val="21"/>
                              <w:szCs w:val="21"/>
                            </w:rPr>
                            <w:fldChar w:fldCharType="begin"/>
                          </w:r>
                          <w:r>
                            <w:rPr>
                              <w:rFonts w:hint="default"/>
                              <w:sz w:val="21"/>
                              <w:szCs w:val="21"/>
                            </w:rPr>
                            <w:instrText xml:space="preserve"> PAGE  \* MERGEFORMAT </w:instrText>
                          </w:r>
                          <w:r>
                            <w:rPr>
                              <w:rFonts w:hint="default"/>
                              <w:sz w:val="21"/>
                              <w:szCs w:val="21"/>
                            </w:rPr>
                            <w:fldChar w:fldCharType="separate"/>
                          </w:r>
                          <w:r>
                            <w:rPr>
                              <w:rFonts w:hint="default"/>
                              <w:sz w:val="21"/>
                              <w:szCs w:val="21"/>
                            </w:rPr>
                            <w:t>31</w:t>
                          </w:r>
                          <w:r>
                            <w:rPr>
                              <w:rFonts w:hint="default"/>
                              <w:sz w:val="21"/>
                              <w:szCs w:val="21"/>
                            </w:rPr>
                            <w:fldChar w:fldCharType="end"/>
                          </w:r>
                        </w:p>
                      </w:txbxContent>
                    </wps:txbx>
                    <wps:bodyPr vert="horz" wrap="none" lIns="0" tIns="0" rIns="0" bIns="0" anchor="t" anchorCtr="0" upright="1">
                      <a:spAutoFit/>
                    </wps:bodyPr>
                  </wps:wsp>
                </a:graphicData>
              </a:graphic>
            </wp:anchor>
          </w:drawing>
        </mc:Choice>
        <mc:Fallback>
          <w:pict>
            <v:shape id="文本框 1291"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NJWO7QAAAABQEA&#10;AA8AAAAAAAAAAQAgAAAAIgAAAGRycy9kb3ducmV2LnhtbFBLAQIUABQAAAAIAIdO4kDJXnPC6QEA&#10;AMoDAAAOAAAAAAAAAAEAIAAAAB8BAABkcnMvZTJvRG9jLnhtbFBLBQYAAAAABgAGAFkBAAB6BQAA&#10;AAA=&#10;">
              <v:fill on="f" focussize="0,0"/>
              <v:stroke on="f" weight="0.5pt"/>
              <v:imagedata o:title=""/>
              <o:lock v:ext="edit" aspectratio="f"/>
              <v:textbox inset="0mm,0mm,0mm,0mm" style="mso-fit-shape-to-text:t;">
                <w:txbxContent>
                  <w:p w14:paraId="2DC0F152">
                    <w:pPr>
                      <w:tabs>
                        <w:tab w:val="center" w:pos="4153"/>
                        <w:tab w:val="right" w:pos="8306"/>
                      </w:tabs>
                      <w:spacing w:beforeLines="0" w:afterLines="0"/>
                      <w:rPr>
                        <w:rFonts w:hint="default"/>
                        <w:sz w:val="21"/>
                        <w:szCs w:val="21"/>
                      </w:rPr>
                    </w:pPr>
                    <w:r>
                      <w:rPr>
                        <w:rFonts w:hint="default"/>
                        <w:sz w:val="21"/>
                        <w:szCs w:val="21"/>
                      </w:rPr>
                      <w:fldChar w:fldCharType="begin"/>
                    </w:r>
                    <w:r>
                      <w:rPr>
                        <w:rFonts w:hint="default"/>
                        <w:sz w:val="21"/>
                        <w:szCs w:val="21"/>
                      </w:rPr>
                      <w:instrText xml:space="preserve"> PAGE  \* MERGEFORMAT </w:instrText>
                    </w:r>
                    <w:r>
                      <w:rPr>
                        <w:rFonts w:hint="default"/>
                        <w:sz w:val="21"/>
                        <w:szCs w:val="21"/>
                      </w:rPr>
                      <w:fldChar w:fldCharType="separate"/>
                    </w:r>
                    <w:r>
                      <w:rPr>
                        <w:rFonts w:hint="default"/>
                        <w:sz w:val="21"/>
                        <w:szCs w:val="21"/>
                      </w:rPr>
                      <w:t>31</w:t>
                    </w:r>
                    <w:r>
                      <w:rPr>
                        <w:rFonts w:hint="default"/>
                        <w:sz w:val="21"/>
                        <w:szCs w:val="21"/>
                      </w:rP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DD9E3">
    <w:pPr>
      <w:spacing w:beforeLines="0" w:afterLines="0" w:line="169" w:lineRule="auto"/>
      <w:ind w:left="4380"/>
      <w:rPr>
        <w:rFonts w:hint="eastAsia" w:ascii="仿宋" w:hAnsi="仿宋" w:eastAsia="仿宋" w:cs="仿宋"/>
        <w:sz w:val="21"/>
        <w:szCs w:val="21"/>
      </w:rPr>
    </w:pPr>
    <w:r>
      <w:rPr>
        <w:rFonts w:hint="default"/>
        <w:sz w:val="21"/>
        <w:szCs w:val="21"/>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2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52AE178">
                          <w:pPr>
                            <w:tabs>
                              <w:tab w:val="center" w:pos="4153"/>
                              <w:tab w:val="right" w:pos="8306"/>
                            </w:tabs>
                            <w:spacing w:beforeLines="0" w:afterLines="0"/>
                            <w:rPr>
                              <w:rFonts w:hint="default"/>
                              <w:sz w:val="21"/>
                              <w:szCs w:val="21"/>
                            </w:rPr>
                          </w:pPr>
                          <w:r>
                            <w:rPr>
                              <w:rFonts w:hint="default"/>
                              <w:sz w:val="21"/>
                              <w:szCs w:val="21"/>
                            </w:rPr>
                            <w:fldChar w:fldCharType="begin"/>
                          </w:r>
                          <w:r>
                            <w:rPr>
                              <w:rFonts w:hint="default"/>
                              <w:sz w:val="21"/>
                              <w:szCs w:val="21"/>
                            </w:rPr>
                            <w:instrText xml:space="preserve"> PAGE  \* MERGEFORMAT </w:instrText>
                          </w:r>
                          <w:r>
                            <w:rPr>
                              <w:rFonts w:hint="default"/>
                              <w:sz w:val="21"/>
                              <w:szCs w:val="21"/>
                            </w:rPr>
                            <w:fldChar w:fldCharType="separate"/>
                          </w:r>
                          <w:r>
                            <w:rPr>
                              <w:rFonts w:hint="default"/>
                              <w:sz w:val="21"/>
                              <w:szCs w:val="21"/>
                            </w:rPr>
                            <w:t>32</w:t>
                          </w:r>
                          <w:r>
                            <w:rPr>
                              <w:rFonts w:hint="default"/>
                              <w:sz w:val="21"/>
                              <w:szCs w:val="21"/>
                            </w:rPr>
                            <w:fldChar w:fldCharType="end"/>
                          </w:r>
                        </w:p>
                      </w:txbxContent>
                    </wps:txbx>
                    <wps:bodyPr vert="horz" wrap="none" lIns="0" tIns="0" rIns="0" bIns="0" anchor="t" anchorCtr="0" upright="1">
                      <a:spAutoFit/>
                    </wps:bodyPr>
                  </wps:wsp>
                </a:graphicData>
              </a:graphic>
            </wp:anchor>
          </w:drawing>
        </mc:Choice>
        <mc:Fallback>
          <w:pict>
            <v:shape id="文本框 1292"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NJWO7QAAAABQEA&#10;AA8AAAAAAAAAAQAgAAAAIgAAAGRycy9kb3ducmV2LnhtbFBLAQIUABQAAAAIAIdO4kDr3tb16QEA&#10;AMoDAAAOAAAAAAAAAAEAIAAAAB8BAABkcnMvZTJvRG9jLnhtbFBLBQYAAAAABgAGAFkBAAB6BQAA&#10;AAA=&#10;">
              <v:fill on="f" focussize="0,0"/>
              <v:stroke on="f" weight="0.5pt"/>
              <v:imagedata o:title=""/>
              <o:lock v:ext="edit" aspectratio="f"/>
              <v:textbox inset="0mm,0mm,0mm,0mm" style="mso-fit-shape-to-text:t;">
                <w:txbxContent>
                  <w:p w14:paraId="752AE178">
                    <w:pPr>
                      <w:tabs>
                        <w:tab w:val="center" w:pos="4153"/>
                        <w:tab w:val="right" w:pos="8306"/>
                      </w:tabs>
                      <w:spacing w:beforeLines="0" w:afterLines="0"/>
                      <w:rPr>
                        <w:rFonts w:hint="default"/>
                        <w:sz w:val="21"/>
                        <w:szCs w:val="21"/>
                      </w:rPr>
                    </w:pPr>
                    <w:r>
                      <w:rPr>
                        <w:rFonts w:hint="default"/>
                        <w:sz w:val="21"/>
                        <w:szCs w:val="21"/>
                      </w:rPr>
                      <w:fldChar w:fldCharType="begin"/>
                    </w:r>
                    <w:r>
                      <w:rPr>
                        <w:rFonts w:hint="default"/>
                        <w:sz w:val="21"/>
                        <w:szCs w:val="21"/>
                      </w:rPr>
                      <w:instrText xml:space="preserve"> PAGE  \* MERGEFORMAT </w:instrText>
                    </w:r>
                    <w:r>
                      <w:rPr>
                        <w:rFonts w:hint="default"/>
                        <w:sz w:val="21"/>
                        <w:szCs w:val="21"/>
                      </w:rPr>
                      <w:fldChar w:fldCharType="separate"/>
                    </w:r>
                    <w:r>
                      <w:rPr>
                        <w:rFonts w:hint="default"/>
                        <w:sz w:val="21"/>
                        <w:szCs w:val="21"/>
                      </w:rPr>
                      <w:t>32</w:t>
                    </w:r>
                    <w:r>
                      <w:rPr>
                        <w:rFonts w:hint="default"/>
                        <w:sz w:val="21"/>
                        <w:szCs w:val="21"/>
                      </w:rP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6B003">
    <w:pPr>
      <w:spacing w:beforeLines="0" w:afterLines="0" w:line="171" w:lineRule="auto"/>
      <w:ind w:left="4380"/>
      <w:rPr>
        <w:rFonts w:hint="eastAsia" w:ascii="仿宋" w:hAnsi="仿宋" w:eastAsia="仿宋" w:cs="仿宋"/>
        <w:sz w:val="21"/>
        <w:szCs w:val="21"/>
      </w:rPr>
    </w:pPr>
    <w:r>
      <w:rPr>
        <w:rFonts w:hint="default"/>
        <w:sz w:val="21"/>
        <w:szCs w:val="21"/>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2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688B0F3">
                          <w:pPr>
                            <w:tabs>
                              <w:tab w:val="center" w:pos="4153"/>
                              <w:tab w:val="right" w:pos="8306"/>
                            </w:tabs>
                            <w:spacing w:beforeLines="0" w:afterLines="0"/>
                            <w:rPr>
                              <w:rFonts w:hint="default"/>
                              <w:sz w:val="21"/>
                              <w:szCs w:val="21"/>
                            </w:rPr>
                          </w:pPr>
                          <w:r>
                            <w:rPr>
                              <w:rFonts w:hint="default"/>
                              <w:sz w:val="21"/>
                              <w:szCs w:val="21"/>
                            </w:rPr>
                            <w:fldChar w:fldCharType="begin"/>
                          </w:r>
                          <w:r>
                            <w:rPr>
                              <w:rFonts w:hint="default"/>
                              <w:sz w:val="21"/>
                              <w:szCs w:val="21"/>
                            </w:rPr>
                            <w:instrText xml:space="preserve"> PAGE  \* MERGEFORMAT </w:instrText>
                          </w:r>
                          <w:r>
                            <w:rPr>
                              <w:rFonts w:hint="default"/>
                              <w:sz w:val="21"/>
                              <w:szCs w:val="21"/>
                            </w:rPr>
                            <w:fldChar w:fldCharType="separate"/>
                          </w:r>
                          <w:r>
                            <w:rPr>
                              <w:rFonts w:hint="default"/>
                              <w:sz w:val="21"/>
                              <w:szCs w:val="21"/>
                            </w:rPr>
                            <w:t>33</w:t>
                          </w:r>
                          <w:r>
                            <w:rPr>
                              <w:rFonts w:hint="default"/>
                              <w:sz w:val="21"/>
                              <w:szCs w:val="21"/>
                            </w:rPr>
                            <w:fldChar w:fldCharType="end"/>
                          </w:r>
                        </w:p>
                      </w:txbxContent>
                    </wps:txbx>
                    <wps:bodyPr vert="horz" wrap="none" lIns="0" tIns="0" rIns="0" bIns="0" anchor="t" anchorCtr="0" upright="1">
                      <a:spAutoFit/>
                    </wps:bodyPr>
                  </wps:wsp>
                </a:graphicData>
              </a:graphic>
            </wp:anchor>
          </w:drawing>
        </mc:Choice>
        <mc:Fallback>
          <w:pict>
            <v:shape id="文本框 1293"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NJWO7QAAAABQEA&#10;AA8AAAAAAAAAAQAgAAAAIgAAAGRycy9kb3ducmV2LnhtbFBLAQIUABQAAAAIAIdO4kCEdsiu6QEA&#10;AMoDAAAOAAAAAAAAAAEAIAAAAB8BAABkcnMvZTJvRG9jLnhtbFBLBQYAAAAABgAGAFkBAAB6BQAA&#10;AAA=&#10;">
              <v:fill on="f" focussize="0,0"/>
              <v:stroke on="f" weight="0.5pt"/>
              <v:imagedata o:title=""/>
              <o:lock v:ext="edit" aspectratio="f"/>
              <v:textbox inset="0mm,0mm,0mm,0mm" style="mso-fit-shape-to-text:t;">
                <w:txbxContent>
                  <w:p w14:paraId="0688B0F3">
                    <w:pPr>
                      <w:tabs>
                        <w:tab w:val="center" w:pos="4153"/>
                        <w:tab w:val="right" w:pos="8306"/>
                      </w:tabs>
                      <w:spacing w:beforeLines="0" w:afterLines="0"/>
                      <w:rPr>
                        <w:rFonts w:hint="default"/>
                        <w:sz w:val="21"/>
                        <w:szCs w:val="21"/>
                      </w:rPr>
                    </w:pPr>
                    <w:r>
                      <w:rPr>
                        <w:rFonts w:hint="default"/>
                        <w:sz w:val="21"/>
                        <w:szCs w:val="21"/>
                      </w:rPr>
                      <w:fldChar w:fldCharType="begin"/>
                    </w:r>
                    <w:r>
                      <w:rPr>
                        <w:rFonts w:hint="default"/>
                        <w:sz w:val="21"/>
                        <w:szCs w:val="21"/>
                      </w:rPr>
                      <w:instrText xml:space="preserve"> PAGE  \* MERGEFORMAT </w:instrText>
                    </w:r>
                    <w:r>
                      <w:rPr>
                        <w:rFonts w:hint="default"/>
                        <w:sz w:val="21"/>
                        <w:szCs w:val="21"/>
                      </w:rPr>
                      <w:fldChar w:fldCharType="separate"/>
                    </w:r>
                    <w:r>
                      <w:rPr>
                        <w:rFonts w:hint="default"/>
                        <w:sz w:val="21"/>
                        <w:szCs w:val="21"/>
                      </w:rPr>
                      <w:t>33</w:t>
                    </w:r>
                    <w:r>
                      <w:rPr>
                        <w:rFonts w:hint="default"/>
                        <w:sz w:val="21"/>
                        <w:szCs w:val="21"/>
                      </w:rP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34B17">
    <w:pPr>
      <w:spacing w:beforeLines="0" w:afterLines="0" w:line="169" w:lineRule="auto"/>
      <w:ind w:left="4380"/>
      <w:rPr>
        <w:rFonts w:hint="eastAsia" w:ascii="仿宋" w:hAnsi="仿宋" w:eastAsia="仿宋" w:cs="仿宋"/>
        <w:sz w:val="21"/>
        <w:szCs w:val="21"/>
      </w:rPr>
    </w:pPr>
    <w:r>
      <w:rPr>
        <w:rFonts w:hint="default"/>
        <w:sz w:val="21"/>
        <w:szCs w:val="21"/>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3134F80">
                          <w:pPr>
                            <w:tabs>
                              <w:tab w:val="center" w:pos="4153"/>
                              <w:tab w:val="right" w:pos="8306"/>
                            </w:tabs>
                            <w:spacing w:beforeLines="0" w:afterLines="0"/>
                            <w:rPr>
                              <w:rFonts w:hint="default"/>
                              <w:sz w:val="21"/>
                              <w:szCs w:val="21"/>
                            </w:rPr>
                          </w:pPr>
                          <w:r>
                            <w:rPr>
                              <w:rFonts w:hint="default"/>
                              <w:sz w:val="21"/>
                              <w:szCs w:val="21"/>
                            </w:rPr>
                            <w:fldChar w:fldCharType="begin"/>
                          </w:r>
                          <w:r>
                            <w:rPr>
                              <w:rFonts w:hint="default"/>
                              <w:sz w:val="21"/>
                              <w:szCs w:val="21"/>
                            </w:rPr>
                            <w:instrText xml:space="preserve"> PAGE  \* MERGEFORMAT </w:instrText>
                          </w:r>
                          <w:r>
                            <w:rPr>
                              <w:rFonts w:hint="default"/>
                              <w:sz w:val="21"/>
                              <w:szCs w:val="21"/>
                            </w:rPr>
                            <w:fldChar w:fldCharType="separate"/>
                          </w:r>
                          <w:r>
                            <w:rPr>
                              <w:rFonts w:hint="default"/>
                              <w:sz w:val="21"/>
                              <w:szCs w:val="21"/>
                            </w:rPr>
                            <w:t>34</w:t>
                          </w:r>
                          <w:r>
                            <w:rPr>
                              <w:rFonts w:hint="default"/>
                              <w:sz w:val="21"/>
                              <w:szCs w:val="21"/>
                            </w:rPr>
                            <w:fldChar w:fldCharType="end"/>
                          </w:r>
                        </w:p>
                      </w:txbxContent>
                    </wps:txbx>
                    <wps:bodyPr vert="horz" wrap="none" lIns="0" tIns="0" rIns="0" bIns="0" anchor="t" anchorCtr="0" upright="1">
                      <a:spAutoFit/>
                    </wps:bodyPr>
                  </wps:wsp>
                </a:graphicData>
              </a:graphic>
            </wp:anchor>
          </w:drawing>
        </mc:Choice>
        <mc:Fallback>
          <w:pict>
            <v:shape id="文本框 1294"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zSVju0AAAAAUB&#10;AAAPAAAAAAAAAAEAIAAAACIAAABkcnMvZG93bnJldi54bWxQSwECFAAUAAAACACHTuJAqRszM+oB&#10;AADKAwAADgAAAAAAAAABACAAAAAfAQAAZHJzL2Uyb0RvYy54bWxQSwUGAAAAAAYABgBZAQAAewUA&#10;AAAA&#10;">
              <v:fill on="f" focussize="0,0"/>
              <v:stroke on="f" weight="0.5pt"/>
              <v:imagedata o:title=""/>
              <o:lock v:ext="edit" aspectratio="f"/>
              <v:textbox inset="0mm,0mm,0mm,0mm" style="mso-fit-shape-to-text:t;">
                <w:txbxContent>
                  <w:p w14:paraId="43134F80">
                    <w:pPr>
                      <w:tabs>
                        <w:tab w:val="center" w:pos="4153"/>
                        <w:tab w:val="right" w:pos="8306"/>
                      </w:tabs>
                      <w:spacing w:beforeLines="0" w:afterLines="0"/>
                      <w:rPr>
                        <w:rFonts w:hint="default"/>
                        <w:sz w:val="21"/>
                        <w:szCs w:val="21"/>
                      </w:rPr>
                    </w:pPr>
                    <w:r>
                      <w:rPr>
                        <w:rFonts w:hint="default"/>
                        <w:sz w:val="21"/>
                        <w:szCs w:val="21"/>
                      </w:rPr>
                      <w:fldChar w:fldCharType="begin"/>
                    </w:r>
                    <w:r>
                      <w:rPr>
                        <w:rFonts w:hint="default"/>
                        <w:sz w:val="21"/>
                        <w:szCs w:val="21"/>
                      </w:rPr>
                      <w:instrText xml:space="preserve"> PAGE  \* MERGEFORMAT </w:instrText>
                    </w:r>
                    <w:r>
                      <w:rPr>
                        <w:rFonts w:hint="default"/>
                        <w:sz w:val="21"/>
                        <w:szCs w:val="21"/>
                      </w:rPr>
                      <w:fldChar w:fldCharType="separate"/>
                    </w:r>
                    <w:r>
                      <w:rPr>
                        <w:rFonts w:hint="default"/>
                        <w:sz w:val="21"/>
                        <w:szCs w:val="21"/>
                      </w:rPr>
                      <w:t>34</w:t>
                    </w:r>
                    <w:r>
                      <w:rPr>
                        <w:rFonts w:hint="default"/>
                        <w:sz w:val="21"/>
                        <w:szCs w:val="21"/>
                      </w:rP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DB338">
    <w:pPr>
      <w:spacing w:beforeLines="0" w:afterLines="0" w:line="171" w:lineRule="auto"/>
      <w:ind w:left="4380"/>
      <w:rPr>
        <w:rFonts w:hint="eastAsia" w:ascii="仿宋" w:hAnsi="仿宋" w:eastAsia="仿宋" w:cs="仿宋"/>
        <w:sz w:val="21"/>
        <w:szCs w:val="21"/>
      </w:rPr>
    </w:pPr>
    <w:r>
      <w:rPr>
        <w:rFonts w:hint="default"/>
        <w:sz w:val="21"/>
        <w:szCs w:val="21"/>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2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B9063B6">
                          <w:pPr>
                            <w:tabs>
                              <w:tab w:val="center" w:pos="4153"/>
                              <w:tab w:val="right" w:pos="8306"/>
                            </w:tabs>
                            <w:spacing w:beforeLines="0" w:afterLines="0"/>
                            <w:rPr>
                              <w:rFonts w:hint="default"/>
                              <w:sz w:val="21"/>
                              <w:szCs w:val="21"/>
                            </w:rPr>
                          </w:pPr>
                          <w:r>
                            <w:rPr>
                              <w:rFonts w:hint="default"/>
                              <w:sz w:val="21"/>
                              <w:szCs w:val="21"/>
                            </w:rPr>
                            <w:fldChar w:fldCharType="begin"/>
                          </w:r>
                          <w:r>
                            <w:rPr>
                              <w:rFonts w:hint="default"/>
                              <w:sz w:val="21"/>
                              <w:szCs w:val="21"/>
                            </w:rPr>
                            <w:instrText xml:space="preserve"> PAGE  \* MERGEFORMAT </w:instrText>
                          </w:r>
                          <w:r>
                            <w:rPr>
                              <w:rFonts w:hint="default"/>
                              <w:sz w:val="21"/>
                              <w:szCs w:val="21"/>
                            </w:rPr>
                            <w:fldChar w:fldCharType="separate"/>
                          </w:r>
                          <w:r>
                            <w:rPr>
                              <w:rFonts w:hint="default"/>
                              <w:sz w:val="21"/>
                              <w:szCs w:val="21"/>
                            </w:rPr>
                            <w:t>40</w:t>
                          </w:r>
                          <w:r>
                            <w:rPr>
                              <w:rFonts w:hint="default"/>
                              <w:sz w:val="21"/>
                              <w:szCs w:val="21"/>
                            </w:rPr>
                            <w:fldChar w:fldCharType="end"/>
                          </w:r>
                        </w:p>
                      </w:txbxContent>
                    </wps:txbx>
                    <wps:bodyPr vert="horz" wrap="none" lIns="0" tIns="0" rIns="0" bIns="0" anchor="t" anchorCtr="0" upright="1">
                      <a:spAutoFit/>
                    </wps:bodyPr>
                  </wps:wsp>
                </a:graphicData>
              </a:graphic>
            </wp:anchor>
          </w:drawing>
        </mc:Choice>
        <mc:Fallback>
          <w:pict>
            <v:shape id="文本框 1298"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NJWO7QAAAABQEA&#10;AA8AAAAAAAAAAQAgAAAAIgAAAGRycy9kb3ducmV2LnhtbFBLAQIUABQAAAAIAIdO4kCIAiNf6QEA&#10;AMoDAAAOAAAAAAAAAAEAIAAAAB8BAABkcnMvZTJvRG9jLnhtbFBLBQYAAAAABgAGAFkBAAB6BQAA&#10;AAA=&#10;">
              <v:fill on="f" focussize="0,0"/>
              <v:stroke on="f" weight="0.5pt"/>
              <v:imagedata o:title=""/>
              <o:lock v:ext="edit" aspectratio="f"/>
              <v:textbox inset="0mm,0mm,0mm,0mm" style="mso-fit-shape-to-text:t;">
                <w:txbxContent>
                  <w:p w14:paraId="2B9063B6">
                    <w:pPr>
                      <w:tabs>
                        <w:tab w:val="center" w:pos="4153"/>
                        <w:tab w:val="right" w:pos="8306"/>
                      </w:tabs>
                      <w:spacing w:beforeLines="0" w:afterLines="0"/>
                      <w:rPr>
                        <w:rFonts w:hint="default"/>
                        <w:sz w:val="21"/>
                        <w:szCs w:val="21"/>
                      </w:rPr>
                    </w:pPr>
                    <w:r>
                      <w:rPr>
                        <w:rFonts w:hint="default"/>
                        <w:sz w:val="21"/>
                        <w:szCs w:val="21"/>
                      </w:rPr>
                      <w:fldChar w:fldCharType="begin"/>
                    </w:r>
                    <w:r>
                      <w:rPr>
                        <w:rFonts w:hint="default"/>
                        <w:sz w:val="21"/>
                        <w:szCs w:val="21"/>
                      </w:rPr>
                      <w:instrText xml:space="preserve"> PAGE  \* MERGEFORMAT </w:instrText>
                    </w:r>
                    <w:r>
                      <w:rPr>
                        <w:rFonts w:hint="default"/>
                        <w:sz w:val="21"/>
                        <w:szCs w:val="21"/>
                      </w:rPr>
                      <w:fldChar w:fldCharType="separate"/>
                    </w:r>
                    <w:r>
                      <w:rPr>
                        <w:rFonts w:hint="default"/>
                        <w:sz w:val="21"/>
                        <w:szCs w:val="21"/>
                      </w:rPr>
                      <w:t>40</w:t>
                    </w:r>
                    <w:r>
                      <w:rPr>
                        <w:rFonts w:hint="default"/>
                        <w:sz w:val="21"/>
                        <w:szCs w:val="21"/>
                      </w:rP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CCAAD">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0" name="文本框 13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E610BF">
                          <w:pPr>
                            <w:pStyle w:val="4"/>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K1Dyg0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tQ8oNAIAAGcEAAAOAAAAAAAAAAEAIAAAAB8BAABkcnMvZTJvRG9jLnhtbFBL&#10;BQYAAAAABgAGAFkBAADFBQAAAAA=&#10;">
              <v:fill on="f" focussize="0,0"/>
              <v:stroke on="f" weight="0.5pt"/>
              <v:imagedata o:title=""/>
              <o:lock v:ext="edit" aspectratio="f"/>
              <v:textbox inset="0mm,0mm,0mm,0mm" style="mso-fit-shape-to-text:t;">
                <w:txbxContent>
                  <w:p w14:paraId="79E610BF">
                    <w:pPr>
                      <w:pStyle w:val="4"/>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88E3B">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1" name="文本框 13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36B1E0">
                          <w:pPr>
                            <w:pStyle w:val="4"/>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YUPY0AgAAZwQAAA4AAABkcnMvZTJvRG9jLnhtbK1UzY7TMBC+I/EO&#10;lu80aVes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hmFD2NAIAAGcEAAAOAAAAAAAAAAEAIAAAAB8BAABkcnMvZTJvRG9jLnhtbFBL&#10;BQYAAAAABgAGAFkBAADFBQAAAAA=&#10;">
              <v:fill on="f" focussize="0,0"/>
              <v:stroke on="f" weight="0.5pt"/>
              <v:imagedata o:title=""/>
              <o:lock v:ext="edit" aspectratio="f"/>
              <v:textbox inset="0mm,0mm,0mm,0mm" style="mso-fit-shape-to-text:t;">
                <w:txbxContent>
                  <w:p w14:paraId="3936B1E0">
                    <w:pPr>
                      <w:pStyle w:val="4"/>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D23D8">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2" name="文本框 13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9688A3">
                          <w:pPr>
                            <w:pStyle w:val="4"/>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XpwE8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enATzUCAABnBAAADgAAAAAAAAABACAAAAAfAQAAZHJzL2Uyb0RvYy54bWxQ&#10;SwUGAAAAAAYABgBZAQAAxgUAAAAA&#10;">
              <v:fill on="f" focussize="0,0"/>
              <v:stroke on="f" weight="0.5pt"/>
              <v:imagedata o:title=""/>
              <o:lock v:ext="edit" aspectratio="f"/>
              <v:textbox inset="0mm,0mm,0mm,0mm" style="mso-fit-shape-to-text:t;">
                <w:txbxContent>
                  <w:p w14:paraId="559688A3">
                    <w:pPr>
                      <w:pStyle w:val="4"/>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9FFA6">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3" name="文本框 13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6A74A4">
                          <w:pPr>
                            <w:pStyle w:val="4"/>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En5E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sSfkTUCAABnBAAADgAAAAAAAAABACAAAAAfAQAAZHJzL2Uyb0RvYy54bWxQ&#10;SwUGAAAAAAYABgBZAQAAxgUAAAAA&#10;">
              <v:fill on="f" focussize="0,0"/>
              <v:stroke on="f" weight="0.5pt"/>
              <v:imagedata o:title=""/>
              <o:lock v:ext="edit" aspectratio="f"/>
              <v:textbox inset="0mm,0mm,0mm,0mm" style="mso-fit-shape-to-text:t;">
                <w:txbxContent>
                  <w:p w14:paraId="666A74A4">
                    <w:pPr>
                      <w:pStyle w:val="4"/>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5D9BE">
    <w:pPr>
      <w:spacing w:line="168" w:lineRule="auto"/>
      <w:ind w:left="4082"/>
      <w:rPr>
        <w:rFonts w:ascii="仿宋" w:hAnsi="仿宋" w:eastAsia="仿宋" w:cs="仿宋"/>
        <w:sz w:val="21"/>
        <w:szCs w:val="21"/>
      </w:rPr>
    </w:pPr>
    <w:r>
      <w:rPr>
        <w:sz w:val="21"/>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4" name="文本框 13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A8FF5C">
                          <w:pPr>
                            <w:pStyle w:val="4"/>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wNkec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15RopvDmp+/f&#10;Tj9+nX5+JZ0WJDXWZ/DdWHiH9q1pERDJi3oPZey9LZ2KX3RFYAfFxwvFog2Ex6DpZDpNYeKwDRfg&#10;JNdw63x4J4wiUcipwxt21LLD2ofedXCJ2bRZ1VJCzzKpSZPT25s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A2R5zUCAABnBAAADgAAAAAAAAABACAAAAAfAQAAZHJzL2Uyb0RvYy54bWxQ&#10;SwUGAAAAAAYABgBZAQAAxgUAAAAA&#10;">
              <v:fill on="f" focussize="0,0"/>
              <v:stroke on="f" weight="0.5pt"/>
              <v:imagedata o:title=""/>
              <o:lock v:ext="edit" aspectratio="f"/>
              <v:textbox inset="0mm,0mm,0mm,0mm" style="mso-fit-shape-to-text:t;">
                <w:txbxContent>
                  <w:p w14:paraId="10A8FF5C">
                    <w:pPr>
                      <w:pStyle w:val="4"/>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5D1DC">
    <w:pPr>
      <w:spacing w:line="173" w:lineRule="auto"/>
      <w:ind w:left="40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IV</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A418A">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5" name="文本框 13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C2FA26">
                          <w:pPr>
                            <w:pStyle w:val="4"/>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8gzjk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EmvaVEM4U3P3//&#10;dv7x6/zzK2m1IKm2fgbfrYV3aN6aBgGRvKj3UMbem8Kp+EVXBHZQfLpQLJpAeAyaTqbTFCYO23AB&#10;TnINt86Hd8IoEoWMOrxhSy07bnzoXAeXmE2bdSUl9GwmNakzendzm7YBFwvApUaOa7FRCs2u6TvY&#10;mfyExpzp5sNbvq6QfMN8eGIOA4GCsTLhEUchDZKYXqKkNO7Lv/TRH+8EKyU1BiyjGvtEiXyv8X4A&#10;DIPgBmE3CPqgHgwmdoxVtLwVEeCCHMTCGfUZe7SMOWBimiNTRsMgPoR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yDOOTUCAABnBAAADgAAAAAAAAABACAAAAAfAQAAZHJzL2Uyb0RvYy54bWxQ&#10;SwUGAAAAAAYABgBZAQAAxgUAAAAA&#10;">
              <v:fill on="f" focussize="0,0"/>
              <v:stroke on="f" weight="0.5pt"/>
              <v:imagedata o:title=""/>
              <o:lock v:ext="edit" aspectratio="f"/>
              <v:textbox inset="0mm,0mm,0mm,0mm" style="mso-fit-shape-to-text:t;">
                <w:txbxContent>
                  <w:p w14:paraId="75C2FA26">
                    <w:pPr>
                      <w:pStyle w:val="4"/>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91A62">
    <w:pPr>
      <w:spacing w:line="168" w:lineRule="auto"/>
      <w:ind w:left="4082"/>
      <w:rPr>
        <w:rFonts w:ascii="仿宋" w:hAnsi="仿宋" w:eastAsia="仿宋" w:cs="仿宋"/>
        <w:sz w:val="21"/>
        <w:szCs w:val="21"/>
      </w:rPr>
    </w:pPr>
    <w:r>
      <w:rPr>
        <w:sz w:val="21"/>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6" name="文本框 13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936AB4">
                          <w:pPr>
                            <w:pStyle w:val="4"/>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tRXoA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1FegDUCAABnBAAADgAAAAAAAAABACAAAAAfAQAAZHJzL2Uyb0RvYy54bWxQ&#10;SwUGAAAAAAYABgBZAQAAxgUAAAAA&#10;">
              <v:fill on="f" focussize="0,0"/>
              <v:stroke on="f" weight="0.5pt"/>
              <v:imagedata o:title=""/>
              <o:lock v:ext="edit" aspectratio="f"/>
              <v:textbox inset="0mm,0mm,0mm,0mm" style="mso-fit-shape-to-text:t;">
                <w:txbxContent>
                  <w:p w14:paraId="4E936AB4">
                    <w:pPr>
                      <w:pStyle w:val="4"/>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38B7A">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7" name="文本框 13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976892">
                          <w:pPr>
                            <w:pStyle w:val="4"/>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h8AV4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N5RopvDmp+/f&#10;Tj9+nX5+JZ0WJDXWZ/DdWHiH9q1pERDJi3oPZey9LZ2KX3RFYAfFxwvFog2Ex6DpZDpNYeKwDRfg&#10;JNdw63x4J4wiUcipwxt21LLD2ofedXCJ2bRZ1VJCzzKpSZPT25vX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HwBXjUCAABnBAAADgAAAAAAAAABACAAAAAfAQAAZHJzL2Uyb0RvYy54bWxQ&#10;SwUGAAAAAAYABgBZAQAAxgUAAAAA&#10;">
              <v:fill on="f" focussize="0,0"/>
              <v:stroke on="f" weight="0.5pt"/>
              <v:imagedata o:title=""/>
              <o:lock v:ext="edit" aspectratio="f"/>
              <v:textbox inset="0mm,0mm,0mm,0mm" style="mso-fit-shape-to-text:t;">
                <w:txbxContent>
                  <w:p w14:paraId="51976892">
                    <w:pPr>
                      <w:pStyle w:val="4"/>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AB0A2">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8" name="文本框 13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80B17C">
                          <w:pPr>
                            <w:pStyle w:val="4"/>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Q2w0AgAAZwQAAA4AAABkcnMvZTJvRG9jLnhtbK1UzY7TMBC+I/EO&#10;lu80aVes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vwkNsNAIAAGcEAAAOAAAAAAAAAAEAIAAAAB8BAABkcnMvZTJvRG9jLnhtbFBL&#10;BQYAAAAABgAGAFkBAADFBQAAAAA=&#10;">
              <v:fill on="f" focussize="0,0"/>
              <v:stroke on="f" weight="0.5pt"/>
              <v:imagedata o:title=""/>
              <o:lock v:ext="edit" aspectratio="f"/>
              <v:textbox inset="0mm,0mm,0mm,0mm" style="mso-fit-shape-to-text:t;">
                <w:txbxContent>
                  <w:p w14:paraId="2380B17C">
                    <w:pPr>
                      <w:pStyle w:val="4"/>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587E2">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9" name="文本框 13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CF40DA">
                          <w:pPr>
                            <w:pStyle w:val="4"/>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zvHLI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N5RopvDmp+/f&#10;Tj9+nX5+JZ0WJDXWZ/DdWHiH9q1pERDJi3oPZey9LZ2KX3RFYAfFxwvFog2Ex6DpZDpNYeKwDRfg&#10;JNdw63x4J4wiUcipwxt21LLD2ofedXCJ2bRZ1VJCzzKpSZPT25vX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O8csjUCAABnBAAADgAAAAAAAAABACAAAAAfAQAAZHJzL2Uyb0RvYy54bWxQ&#10;SwUGAAAAAAYABgBZAQAAxgUAAAAA&#10;">
              <v:fill on="f" focussize="0,0"/>
              <v:stroke on="f" weight="0.5pt"/>
              <v:imagedata o:title=""/>
              <o:lock v:ext="edit" aspectratio="f"/>
              <v:textbox inset="0mm,0mm,0mm,0mm" style="mso-fit-shape-to-text:t;">
                <w:txbxContent>
                  <w:p w14:paraId="48CF40DA">
                    <w:pPr>
                      <w:pStyle w:val="4"/>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827D1">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0" name="文本框 13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87392A">
                          <w:pPr>
                            <w:pStyle w:val="4"/>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rb6w0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Bq2+sNAIAAGcEAAAOAAAAAAAAAAEAIAAAAB8BAABkcnMvZTJvRG9jLnhtbFBL&#10;BQYAAAAABgAGAFkBAADFBQAAAAA=&#10;">
              <v:fill on="f" focussize="0,0"/>
              <v:stroke on="f" weight="0.5pt"/>
              <v:imagedata o:title=""/>
              <o:lock v:ext="edit" aspectratio="f"/>
              <v:textbox inset="0mm,0mm,0mm,0mm" style="mso-fit-shape-to-text:t;">
                <w:txbxContent>
                  <w:p w14:paraId="0B87392A">
                    <w:pPr>
                      <w:pStyle w:val="4"/>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29551">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1" name="文本框 13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9AD54D">
                          <w:pPr>
                            <w:pStyle w:val="4"/>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KGMHI0AgAAZwQAAA4AAABkcnMvZTJvRG9jLnhtbK1UzY7TMBC+I/EO&#10;lu80aVes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hjByNAIAAGcEAAAOAAAAAAAAAAEAIAAAAB8BAABkcnMvZTJvRG9jLnhtbFBL&#10;BQYAAAAABgAGAFkBAADFBQAAAAA=&#10;">
              <v:fill on="f" focussize="0,0"/>
              <v:stroke on="f" weight="0.5pt"/>
              <v:imagedata o:title=""/>
              <o:lock v:ext="edit" aspectratio="f"/>
              <v:textbox inset="0mm,0mm,0mm,0mm" style="mso-fit-shape-to-text:t;">
                <w:txbxContent>
                  <w:p w14:paraId="009AD54D">
                    <w:pPr>
                      <w:pStyle w:val="4"/>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23222">
    <w:pPr>
      <w:spacing w:line="171" w:lineRule="auto"/>
      <w:ind w:left="4311"/>
      <w:rPr>
        <w:rFonts w:ascii="仿宋" w:hAnsi="仿宋" w:eastAsia="仿宋" w:cs="仿宋"/>
        <w:sz w:val="21"/>
        <w:szCs w:val="21"/>
      </w:rPr>
    </w:pPr>
    <w:r>
      <w:rPr>
        <w:sz w:val="21"/>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2" name="文本框 13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70B85C">
                          <w:pPr>
                            <w:pStyle w:val="4"/>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3oMs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PKFEM4U3P//4&#10;fv75+/zrG2m1IKm2fgbfrYV3aN6ZBgGRvKj3UMbem8Kp+EVXBHZQfLpQLJpAeAyaTqbTFCYO23AB&#10;TnINt86H98IoEoWMOrxhSy07bnzoXAeXmE2bdSUl9GwmNakzenvzN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vegyzUCAABnBAAADgAAAAAAAAABACAAAAAfAQAAZHJzL2Uyb0RvYy54bWxQ&#10;SwUGAAAAAAYABgBZAQAAxgUAAAAA&#10;">
              <v:fill on="f" focussize="0,0"/>
              <v:stroke on="f" weight="0.5pt"/>
              <v:imagedata o:title=""/>
              <o:lock v:ext="edit" aspectratio="f"/>
              <v:textbox inset="0mm,0mm,0mm,0mm" style="mso-fit-shape-to-text:t;">
                <w:txbxContent>
                  <w:p w14:paraId="5A70B85C">
                    <w:pPr>
                      <w:pStyle w:val="4"/>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C3A72">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3" name="文本框 13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3C600B">
                          <w:pPr>
                            <w:pStyle w:val="4"/>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Xa/xU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PKV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ddr/FTUCAABnBAAADgAAAAAAAAABACAAAAAfAQAAZHJzL2Uyb0RvYy54bWxQ&#10;SwUGAAAAAAYABgBZAQAAxgUAAAAA&#10;">
              <v:fill on="f" focussize="0,0"/>
              <v:stroke on="f" weight="0.5pt"/>
              <v:imagedata o:title=""/>
              <o:lock v:ext="edit" aspectratio="f"/>
              <v:textbox inset="0mm,0mm,0mm,0mm" style="mso-fit-shape-to-text:t;">
                <w:txbxContent>
                  <w:p w14:paraId="293C600B">
                    <w:pPr>
                      <w:pStyle w:val="4"/>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5696B">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4" name="文本框 13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8E81B1">
                          <w:pPr>
                            <w:pStyle w:val="4"/>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8T8WM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Gryn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xPxYzUCAABnBAAADgAAAAAAAAABACAAAAAfAQAAZHJzL2Uyb0RvYy54bWxQ&#10;SwUGAAAAAAYABgBZAQAAxgUAAAAA&#10;">
              <v:fill on="f" focussize="0,0"/>
              <v:stroke on="f" weight="0.5pt"/>
              <v:imagedata o:title=""/>
              <o:lock v:ext="edit" aspectratio="f"/>
              <v:textbox inset="0mm,0mm,0mm,0mm" style="mso-fit-shape-to-text:t;">
                <w:txbxContent>
                  <w:p w14:paraId="238E81B1">
                    <w:pPr>
                      <w:pStyle w:val="4"/>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76690">
    <w:pPr>
      <w:spacing w:line="173" w:lineRule="auto"/>
      <w:ind w:left="4093"/>
      <w:rPr>
        <w:rFonts w:ascii="Times New Roman" w:hAnsi="Times New Roman" w:eastAsia="Times New Roman" w:cs="Times New Roman"/>
        <w:sz w:val="21"/>
        <w:szCs w:val="21"/>
      </w:rPr>
    </w:pPr>
    <w:r>
      <w:rPr>
        <w:rFonts w:ascii="Times New Roman" w:hAnsi="Times New Roman" w:eastAsia="Times New Roman" w:cs="Times New Roman"/>
        <w:sz w:val="21"/>
        <w:szCs w:val="21"/>
      </w:rPr>
      <w:t>V</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52517">
    <w:pPr>
      <w:spacing w:line="171" w:lineRule="auto"/>
      <w:ind w:left="4364"/>
      <w:rPr>
        <w:rFonts w:ascii="仿宋" w:hAnsi="仿宋" w:eastAsia="仿宋" w:cs="仿宋"/>
        <w:sz w:val="21"/>
        <w:szCs w:val="21"/>
      </w:rPr>
    </w:pPr>
    <w:r>
      <w:rPr>
        <w:sz w:val="21"/>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5" name="文本框 13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13CDA4">
                          <w:pPr>
                            <w:pStyle w:val="4"/>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rr0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FmfEu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3D6uvTUCAABnBAAADgAAAAAAAAABACAAAAAfAQAAZHJzL2Uyb0RvYy54bWxQ&#10;SwUGAAAAAAYABgBZAQAAxgUAAAAA&#10;">
              <v:fill on="f" focussize="0,0"/>
              <v:stroke on="f" weight="0.5pt"/>
              <v:imagedata o:title=""/>
              <o:lock v:ext="edit" aspectratio="f"/>
              <v:textbox inset="0mm,0mm,0mm,0mm" style="mso-fit-shape-to-text:t;">
                <w:txbxContent>
                  <w:p w14:paraId="5B13CDA4">
                    <w:pPr>
                      <w:pStyle w:val="4"/>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F002C">
    <w:pPr>
      <w:spacing w:line="171" w:lineRule="auto"/>
      <w:ind w:left="4364"/>
      <w:rPr>
        <w:rFonts w:ascii="仿宋" w:hAnsi="仿宋" w:eastAsia="仿宋" w:cs="仿宋"/>
        <w:sz w:val="21"/>
        <w:szCs w:val="21"/>
      </w:rPr>
    </w:pPr>
    <w:r>
      <w:rPr>
        <w:sz w:val="21"/>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6" name="文本框 13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DAA209">
                          <w:pPr>
                            <w:pStyle w:val="4"/>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PPgQ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PKV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E8+BDUCAABnBAAADgAAAAAAAAABACAAAAAfAQAAZHJzL2Uyb0RvYy54bWxQ&#10;SwUGAAAAAAYABgBZAQAAxgUAAAAA&#10;">
              <v:fill on="f" focussize="0,0"/>
              <v:stroke on="f" weight="0.5pt"/>
              <v:imagedata o:title=""/>
              <o:lock v:ext="edit" aspectratio="f"/>
              <v:textbox inset="0mm,0mm,0mm,0mm" style="mso-fit-shape-to-text:t;">
                <w:txbxContent>
                  <w:p w14:paraId="62DAA209">
                    <w:pPr>
                      <w:pStyle w:val="4"/>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0C974">
    <w:pPr>
      <w:spacing w:line="171" w:lineRule="auto"/>
      <w:ind w:left="4364"/>
      <w:rPr>
        <w:rFonts w:ascii="仿宋" w:hAnsi="仿宋" w:eastAsia="仿宋" w:cs="仿宋"/>
        <w:sz w:val="21"/>
        <w:szCs w:val="21"/>
      </w:rPr>
    </w:pPr>
    <w:r>
      <w:rPr>
        <w:sz w:val="21"/>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7" name="文本框 13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263C1D">
                          <w:pPr>
                            <w:pStyle w:val="4"/>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tiYdo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G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u2Jh2jUCAABnBAAADgAAAAAAAAABACAAAAAfAQAAZHJzL2Uyb0RvYy54bWxQ&#10;SwUGAAAAAAYABgBZAQAAxgUAAAAA&#10;">
              <v:fill on="f" focussize="0,0"/>
              <v:stroke on="f" weight="0.5pt"/>
              <v:imagedata o:title=""/>
              <o:lock v:ext="edit" aspectratio="f"/>
              <v:textbox inset="0mm,0mm,0mm,0mm" style="mso-fit-shape-to-text:t;">
                <w:txbxContent>
                  <w:p w14:paraId="1E263C1D">
                    <w:pPr>
                      <w:pStyle w:val="4"/>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B3944">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8" name="文本框 13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AAD5B">
                          <w:pPr>
                            <w:pStyle w:val="4"/>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zcI+g0AgAAZwQAAA4AAABkcnMvZTJvRG9jLnhtbK1UzY7TMBC+I/EO&#10;lu80aVes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c3CPoNAIAAGcEAAAOAAAAAAAAAAEAIAAAAB8BAABkcnMvZTJvRG9jLnhtbFBL&#10;BQYAAAAABgAGAFkBAADFBQAAAAA=&#10;">
              <v:fill on="f" focussize="0,0"/>
              <v:stroke on="f" weight="0.5pt"/>
              <v:imagedata o:title=""/>
              <o:lock v:ext="edit" aspectratio="f"/>
              <v:textbox inset="0mm,0mm,0mm,0mm" style="mso-fit-shape-to-text:t;">
                <w:txbxContent>
                  <w:p w14:paraId="4C2AAD5B">
                    <w:pPr>
                      <w:pStyle w:val="4"/>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F8C42">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9" name="文本框 13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89BAB0">
                          <w:pPr>
                            <w:pStyle w:val="4"/>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xfDY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G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F8NjUCAABnBAAADgAAAAAAAAABACAAAAAfAQAAZHJzL2Uyb0RvYy54bWxQ&#10;SwUGAAAAAAYABgBZAQAAxgUAAAAA&#10;">
              <v:fill on="f" focussize="0,0"/>
              <v:stroke on="f" weight="0.5pt"/>
              <v:imagedata o:title=""/>
              <o:lock v:ext="edit" aspectratio="f"/>
              <v:textbox inset="0mm,0mm,0mm,0mm" style="mso-fit-shape-to-text:t;">
                <w:txbxContent>
                  <w:p w14:paraId="4589BAB0">
                    <w:pPr>
                      <w:pStyle w:val="4"/>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90201">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0" name="文本框 13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14E7A9">
                          <w:pPr>
                            <w:pStyle w:val="4"/>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Ovvs0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Vjr77NAIAAGcEAAAOAAAAAAAAAAEAIAAAAB8BAABkcnMvZTJvRG9jLnhtbFBL&#10;BQYAAAAABgAGAFkBAADFBQAAAAA=&#10;">
              <v:fill on="f" focussize="0,0"/>
              <v:stroke on="f" weight="0.5pt"/>
              <v:imagedata o:title=""/>
              <o:lock v:ext="edit" aspectratio="f"/>
              <v:textbox inset="0mm,0mm,0mm,0mm" style="mso-fit-shape-to-text:t;">
                <w:txbxContent>
                  <w:p w14:paraId="3B14E7A9">
                    <w:pPr>
                      <w:pStyle w:val="4"/>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04A2B">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1" name="文本框 13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9AC1AD">
                          <w:pPr>
                            <w:pStyle w:val="4"/>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aj4SU0AgAAZwQAAA4AAABkcnMvZTJvRG9jLnhtbK1UzY7TMBC+I/EO&#10;lu80aVes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Go+ElNAIAAGcEAAAOAAAAAAAAAAEAIAAAAB8BAABkcnMvZTJvRG9jLnhtbFBL&#10;BQYAAAAABgAGAFkBAADFBQAAAAA=&#10;">
              <v:fill on="f" focussize="0,0"/>
              <v:stroke on="f" weight="0.5pt"/>
              <v:imagedata o:title=""/>
              <o:lock v:ext="edit" aspectratio="f"/>
              <v:textbox inset="0mm,0mm,0mm,0mm" style="mso-fit-shape-to-text:t;">
                <w:txbxContent>
                  <w:p w14:paraId="329AC1AD">
                    <w:pPr>
                      <w:pStyle w:val="4"/>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21EC6">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2" name="文本框 13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1F6BF6">
                          <w:pPr>
                            <w:pStyle w:val="4"/>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ScZw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MqFEM4U3P//4&#10;fv75+/zrG2m1IKm2fgbfrYV3aN6ZBgGRvKj3UMbem8Kp+EVXBHZQfLpQLJpAeAyaTqbTFCYO23AB&#10;TnINt86H98IoEoWMOrxhSy07bnzoXAeXmE2bdSUl9GwmNakzenvzN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tJxnDUCAABnBAAADgAAAAAAAAABACAAAAAfAQAAZHJzL2Uyb0RvYy54bWxQ&#10;SwUGAAAAAAYABgBZAQAAxgUAAAAA&#10;">
              <v:fill on="f" focussize="0,0"/>
              <v:stroke on="f" weight="0.5pt"/>
              <v:imagedata o:title=""/>
              <o:lock v:ext="edit" aspectratio="f"/>
              <v:textbox inset="0mm,0mm,0mm,0mm" style="mso-fit-shape-to-text:t;">
                <w:txbxContent>
                  <w:p w14:paraId="601F6BF6">
                    <w:pPr>
                      <w:pStyle w:val="4"/>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5E878">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3" name="文本框 13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EABA28">
                          <w:pPr>
                            <w:pStyle w:val="4"/>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LkI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MqV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f8uQjUCAABnBAAADgAAAAAAAAABACAAAAAfAQAAZHJzL2Uyb0RvYy54bWxQ&#10;SwUGAAAAAAYABgBZAQAAxgUAAAAA&#10;">
              <v:fill on="f" focussize="0,0"/>
              <v:stroke on="f" weight="0.5pt"/>
              <v:imagedata o:title=""/>
              <o:lock v:ext="edit" aspectratio="f"/>
              <v:textbox inset="0mm,0mm,0mm,0mm" style="mso-fit-shape-to-text:t;">
                <w:txbxContent>
                  <w:p w14:paraId="51EABA28">
                    <w:pPr>
                      <w:pStyle w:val="4"/>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8FE11">
    <w:pPr>
      <w:spacing w:line="168" w:lineRule="auto"/>
      <w:ind w:left="4081"/>
      <w:rPr>
        <w:rFonts w:ascii="仿宋" w:hAnsi="仿宋" w:eastAsia="仿宋" w:cs="仿宋"/>
        <w:sz w:val="21"/>
        <w:szCs w:val="21"/>
      </w:rPr>
    </w:pPr>
    <w:r>
      <w:rPr>
        <w:sz w:val="21"/>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4" name="文本框 13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6AB6F6">
                          <w:pPr>
                            <w:pStyle w:val="4"/>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2IDQ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4mryn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zYgNDUCAABnBAAADgAAAAAAAAABACAAAAAfAQAAZHJzL2Uyb0RvYy54bWxQ&#10;SwUGAAAAAAYABgBZAQAAxgUAAAAA&#10;">
              <v:fill on="f" focussize="0,0"/>
              <v:stroke on="f" weight="0.5pt"/>
              <v:imagedata o:title=""/>
              <o:lock v:ext="edit" aspectratio="f"/>
              <v:textbox inset="0mm,0mm,0mm,0mm" style="mso-fit-shape-to-text:t;">
                <w:txbxContent>
                  <w:p w14:paraId="326AB6F6">
                    <w:pPr>
                      <w:pStyle w:val="4"/>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0454A">
    <w:pPr>
      <w:spacing w:line="173" w:lineRule="auto"/>
      <w:ind w:left="4060"/>
      <w:rPr>
        <w:rFonts w:ascii="Times New Roman" w:hAnsi="Times New Roman" w:eastAsia="Times New Roman" w:cs="Times New Roman"/>
        <w:sz w:val="21"/>
        <w:szCs w:val="21"/>
      </w:rPr>
    </w:pPr>
    <w:r>
      <w:rPr>
        <w:rFonts w:ascii="Times New Roman" w:hAnsi="Times New Roman" w:eastAsia="Times New Roman" w:cs="Times New Roman"/>
        <w:sz w:val="21"/>
        <w:szCs w:val="21"/>
      </w:rPr>
      <w:t>VI</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C2683">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5" name="文本框 13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9D9391">
                          <w:pPr>
                            <w:pStyle w:val="4"/>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bf+o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Fmcku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Bt/6jUCAABnBAAADgAAAAAAAAABACAAAAAfAQAAZHJzL2Uyb0RvYy54bWxQ&#10;SwUGAAAAAAYABgBZAQAAxgUAAAAA&#10;">
              <v:fill on="f" focussize="0,0"/>
              <v:stroke on="f" weight="0.5pt"/>
              <v:imagedata o:title=""/>
              <o:lock v:ext="edit" aspectratio="f"/>
              <v:textbox inset="0mm,0mm,0mm,0mm" style="mso-fit-shape-to-text:t;">
                <w:txbxContent>
                  <w:p w14:paraId="6C9D9391">
                    <w:pPr>
                      <w:pStyle w:val="4"/>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B1D4F">
    <w:pPr>
      <w:spacing w:line="168" w:lineRule="auto"/>
      <w:ind w:left="4081"/>
      <w:rPr>
        <w:rFonts w:ascii="仿宋" w:hAnsi="仿宋" w:eastAsia="仿宋" w:cs="仿宋"/>
        <w:sz w:val="21"/>
        <w:szCs w:val="21"/>
      </w:rPr>
    </w:pPr>
    <w:r>
      <w:rPr>
        <w:sz w:val="21"/>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6" name="文本框 13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D09F14">
                          <w:pPr>
                            <w:pStyle w:val="4"/>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q71M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MqV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rvUzUCAABnBAAADgAAAAAAAAABACAAAAAfAQAAZHJzL2Uyb0RvYy54bWxQ&#10;SwUGAAAAAAYABgBZAQAAxgUAAAAA&#10;">
              <v:fill on="f" focussize="0,0"/>
              <v:stroke on="f" weight="0.5pt"/>
              <v:imagedata o:title=""/>
              <o:lock v:ext="edit" aspectratio="f"/>
              <v:textbox inset="0mm,0mm,0mm,0mm" style="mso-fit-shape-to-text:t;">
                <w:txbxContent>
                  <w:p w14:paraId="31D09F14">
                    <w:pPr>
                      <w:pStyle w:val="4"/>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60745">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7" name="文本框 1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E14AAB">
                          <w:pPr>
                            <w:pStyle w:val="4"/>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9HsI0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4m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70ewjTUCAABnBAAADgAAAAAAAAABACAAAAAfAQAAZHJzL2Uyb0RvYy54bWxQ&#10;SwUGAAAAAAYABgBZAQAAxgUAAAAA&#10;">
              <v:fill on="f" focussize="0,0"/>
              <v:stroke on="f" weight="0.5pt"/>
              <v:imagedata o:title=""/>
              <o:lock v:ext="edit" aspectratio="f"/>
              <v:textbox inset="0mm,0mm,0mm,0mm" style="mso-fit-shape-to-text:t;">
                <w:txbxContent>
                  <w:p w14:paraId="0BE14AAB">
                    <w:pPr>
                      <w:pStyle w:val="4"/>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888F1">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8" name="文本框 13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B35B86">
                          <w:pPr>
                            <w:pStyle w:val="4"/>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58r80AgAAZwQAAA4AAABkcnMvZTJvRG9jLnhtbK1UzY7TMBC+I/EO&#10;lu80aVes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I+fK/NAIAAGcEAAAOAAAAAAAAAAEAIAAAAB8BAABkcnMvZTJvRG9jLnhtbFBL&#10;BQYAAAAABgAGAFkBAADFBQAAAAA=&#10;">
              <v:fill on="f" focussize="0,0"/>
              <v:stroke on="f" weight="0.5pt"/>
              <v:imagedata o:title=""/>
              <o:lock v:ext="edit" aspectratio="f"/>
              <v:textbox inset="0mm,0mm,0mm,0mm" style="mso-fit-shape-to-text:t;">
                <w:txbxContent>
                  <w:p w14:paraId="7EB35B86">
                    <w:pPr>
                      <w:pStyle w:val="4"/>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806BB">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9" name="文本框 13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105EAD">
                          <w:pPr>
                            <w:pStyle w:val="4"/>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UrWE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4m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9StYTUCAABnBAAADgAAAAAAAAABACAAAAAfAQAAZHJzL2Uyb0RvYy54bWxQ&#10;SwUGAAAAAAYABgBZAQAAxgUAAAAA&#10;">
              <v:fill on="f" focussize="0,0"/>
              <v:stroke on="f" weight="0.5pt"/>
              <v:imagedata o:title=""/>
              <o:lock v:ext="edit" aspectratio="f"/>
              <v:textbox inset="0mm,0mm,0mm,0mm" style="mso-fit-shape-to-text:t;">
                <w:txbxContent>
                  <w:p w14:paraId="7C105EAD">
                    <w:pPr>
                      <w:pStyle w:val="4"/>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2FC4A">
    <w:pPr>
      <w:spacing w:line="171" w:lineRule="auto"/>
      <w:ind w:left="6884"/>
      <w:rPr>
        <w:rFonts w:ascii="仿宋" w:hAnsi="仿宋" w:eastAsia="仿宋" w:cs="仿宋"/>
        <w:sz w:val="21"/>
        <w:szCs w:val="21"/>
      </w:rPr>
    </w:pPr>
    <w:r>
      <w:rPr>
        <w:sz w:val="21"/>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0" name="文本框 13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D207B">
                          <w:pPr>
                            <w:pStyle w:val="4"/>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Q3n80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kN5/NAIAAGcEAAAOAAAAAAAAAAEAIAAAAB8BAABkcnMvZTJvRG9jLnhtbFBL&#10;BQYAAAAABgAGAFkBAADFBQAAAAA=&#10;">
              <v:fill on="f" focussize="0,0"/>
              <v:stroke on="f" weight="0.5pt"/>
              <v:imagedata o:title=""/>
              <o:lock v:ext="edit" aspectratio="f"/>
              <v:textbox inset="0mm,0mm,0mm,0mm" style="mso-fit-shape-to-text:t;">
                <w:txbxContent>
                  <w:p w14:paraId="301D207B">
                    <w:pPr>
                      <w:pStyle w:val="4"/>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EDDCC">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1" name="文本框 13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198734">
                          <w:pPr>
                            <w:pStyle w:val="4"/>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9gaE0AgAAZwQAAA4AAABkcnMvZTJvRG9jLnhtbK1UzY7TMBC+I/EO&#10;lu80aStWVdV0VbYqQqrYlRbE2XWcJpL/ZLtNygPAG3Diwp3n6nPs5/y0aOGwBy7OeH6+mflmnM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1vYGhNAIAAGcEAAAOAAAAAAAAAAEAIAAAAB8BAABkcnMvZTJvRG9jLnhtbFBL&#10;BQYAAAAABgAGAFkBAADFBQAAAAA=&#10;">
              <v:fill on="f" focussize="0,0"/>
              <v:stroke on="f" weight="0.5pt"/>
              <v:imagedata o:title=""/>
              <o:lock v:ext="edit" aspectratio="f"/>
              <v:textbox inset="0mm,0mm,0mm,0mm" style="mso-fit-shape-to-text:t;">
                <w:txbxContent>
                  <w:p w14:paraId="12198734">
                    <w:pPr>
                      <w:pStyle w:val="4"/>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B3488">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2" name="文本框 13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4911F5">
                          <w:pPr>
                            <w:pStyle w:val="4"/>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HMERg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OqF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cwRGDUCAABnBAAADgAAAAAAAAABACAAAAAfAQAAZHJzL2Uyb0RvYy54bWxQ&#10;SwUGAAAAAAYABgBZAQAAxgUAAAAA&#10;">
              <v:fill on="f" focussize="0,0"/>
              <v:stroke on="f" weight="0.5pt"/>
              <v:imagedata o:title=""/>
              <o:lock v:ext="edit" aspectratio="f"/>
              <v:textbox inset="0mm,0mm,0mm,0mm" style="mso-fit-shape-to-text:t;">
                <w:txbxContent>
                  <w:p w14:paraId="074911F5">
                    <w:pPr>
                      <w:pStyle w:val="4"/>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F67A8">
    <w:pPr>
      <w:spacing w:line="171" w:lineRule="auto"/>
      <w:ind w:left="4460"/>
      <w:rPr>
        <w:rFonts w:ascii="仿宋" w:hAnsi="仿宋" w:eastAsia="仿宋" w:cs="仿宋"/>
        <w:sz w:val="21"/>
        <w:szCs w:val="21"/>
      </w:rPr>
    </w:pPr>
    <w:r>
      <w:rPr>
        <w:sz w:val="21"/>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3" name="文本框 13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A71F04">
                          <w:pPr>
                            <w:pStyle w:val="4"/>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LhTsY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OqV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0uFOxjUCAABnBAAADgAAAAAAAAABACAAAAAfAQAAZHJzL2Uyb0RvYy54bWxQ&#10;SwUGAAAAAAYABgBZAQAAxgUAAAAA&#10;">
              <v:fill on="f" focussize="0,0"/>
              <v:stroke on="f" weight="0.5pt"/>
              <v:imagedata o:title=""/>
              <o:lock v:ext="edit" aspectratio="f"/>
              <v:textbox inset="0mm,0mm,0mm,0mm" style="mso-fit-shape-to-text:t;">
                <w:txbxContent>
                  <w:p w14:paraId="62A71F04">
                    <w:pPr>
                      <w:pStyle w:val="4"/>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B83A7">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4" name="文本框 13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66910C">
                          <w:pPr>
                            <w:pStyle w:val="4"/>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oQLA1AgAAZwQAAA4AAABkcnMvZTJvRG9jLnhtbK1UzY7TMBC+I/EO&#10;lu80aQu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ynrynRTOHNT9+/&#10;nX78Ov38SjotSGqsz+D7aOEd2remRUAkL+o9lLH3tnQqftEVgR0UHy8UizYQHoNmk9kshYnDNlyA&#10;k1zDrfPhnTCKRCGnDm/YUcsOGx9618ElZtNmXUsJPcukJk1Ob6Z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ChAsDUCAABnBAAADgAAAAAAAAABACAAAAAfAQAAZHJzL2Uyb0RvYy54bWxQ&#10;SwUGAAAAAAYABgBZAQAAxgUAAAAA&#10;">
              <v:fill on="f" focussize="0,0"/>
              <v:stroke on="f" weight="0.5pt"/>
              <v:imagedata o:title=""/>
              <o:lock v:ext="edit" aspectratio="f"/>
              <v:textbox inset="0mm,0mm,0mm,0mm" style="mso-fit-shape-to-text:t;">
                <w:txbxContent>
                  <w:p w14:paraId="2466910C">
                    <w:pPr>
                      <w:pStyle w:val="4"/>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DA88F">
    <w:pPr>
      <w:spacing w:line="173" w:lineRule="auto"/>
      <w:ind w:left="4021"/>
      <w:rPr>
        <w:rFonts w:ascii="Times New Roman" w:hAnsi="Times New Roman" w:eastAsia="Times New Roman" w:cs="Times New Roman"/>
        <w:sz w:val="21"/>
        <w:szCs w:val="21"/>
      </w:rPr>
    </w:pPr>
    <w:r>
      <w:rPr>
        <w:rFonts w:ascii="Times New Roman" w:hAnsi="Times New Roman" w:eastAsia="Times New Roman" w:cs="Times New Roman"/>
        <w:sz w:val="21"/>
        <w:szCs w:val="21"/>
      </w:rPr>
      <w:t>VII</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FEC81">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5" name="文本框 13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A97AEC">
                          <w:pPr>
                            <w:pStyle w:val="4"/>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wUfbjUCAABnBAAADgAAAAAAAAABACAAAAAfAQAAZHJzL2Uyb0RvYy54bWxQ&#10;SwUGAAAAAAYABgBZAQAAxgUAAAAA&#10;">
              <v:fill on="f" focussize="0,0"/>
              <v:stroke on="f" weight="0.5pt"/>
              <v:imagedata o:title=""/>
              <o:lock v:ext="edit" aspectratio="f"/>
              <v:textbox inset="0mm,0mm,0mm,0mm" style="mso-fit-shape-to-text:t;">
                <w:txbxContent>
                  <w:p w14:paraId="58A97AEC">
                    <w:pPr>
                      <w:pStyle w:val="4"/>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9CA1B">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6" name="文本框 13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065C7">
                          <w:pPr>
                            <w:pStyle w:val="4"/>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PdI/XNAIAAGcEAAAOAAAAAAAAAAEAIAAAAB8BAABkcnMvZTJvRG9jLnhtbFBL&#10;BQYAAAAABgAGAFkBAADFBQAAAAA=&#10;">
              <v:fill on="f" focussize="0,0"/>
              <v:stroke on="f" weight="0.5pt"/>
              <v:imagedata o:title=""/>
              <o:lock v:ext="edit" aspectratio="f"/>
              <v:textbox inset="0mm,0mm,0mm,0mm" style="mso-fit-shape-to-text:t;">
                <w:txbxContent>
                  <w:p w14:paraId="1B7065C7">
                    <w:pPr>
                      <w:pStyle w:val="4"/>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69F1A">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7" name="文本框 13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6C8F7B">
                          <w:pPr>
                            <w:pStyle w:val="4"/>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Z0Ak1AgAAZwQAAA4AAABkcnMvZTJvRG9jLnhtbK1UzY7TMBC+I/EO&#10;lu80aSuW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ynbyjRTOHNT9+/&#10;nX78Ov38SjotSGqsz+D7aOEd2remRUAkL+o9lLH3tnQqftEVgR0UHy8UizYQHoNmk9kshYnDNlyA&#10;k1zDrfPhnTCKRCGnDm/YUcsOGx9618ElZtNmXUsJPcukJk1Ob6a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FnQCTUCAABnBAAADgAAAAAAAAABACAAAAAfAQAAZHJzL2Uyb0RvYy54bWxQ&#10;SwUGAAAAAAYABgBZAQAAxgUAAAAA&#10;">
              <v:fill on="f" focussize="0,0"/>
              <v:stroke on="f" weight="0.5pt"/>
              <v:imagedata o:title=""/>
              <o:lock v:ext="edit" aspectratio="f"/>
              <v:textbox inset="0mm,0mm,0mm,0mm" style="mso-fit-shape-to-text:t;">
                <w:txbxContent>
                  <w:p w14:paraId="436C8F7B">
                    <w:pPr>
                      <w:pStyle w:val="4"/>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D39C2">
    <w:pPr>
      <w:spacing w:line="171" w:lineRule="auto"/>
      <w:ind w:left="4186"/>
      <w:rPr>
        <w:rFonts w:ascii="仿宋" w:hAnsi="仿宋" w:eastAsia="仿宋" w:cs="仿宋"/>
        <w:sz w:val="21"/>
        <w:szCs w:val="21"/>
      </w:rPr>
    </w:pPr>
    <w:r>
      <w:rPr>
        <w:sz w:val="21"/>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8" name="文本框 13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2B49C8">
                          <w:pPr>
                            <w:pStyle w:val="4"/>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755I7NAIAAGcEAAAOAAAAAAAAAAEAIAAAAB8BAABkcnMvZTJvRG9jLnhtbFBL&#10;BQYAAAAABgAGAFkBAADFBQAAAAA=&#10;">
              <v:fill on="f" focussize="0,0"/>
              <v:stroke on="f" weight="0.5pt"/>
              <v:imagedata o:title=""/>
              <o:lock v:ext="edit" aspectratio="f"/>
              <v:textbox inset="0mm,0mm,0mm,0mm" style="mso-fit-shape-to-text:t;">
                <w:txbxContent>
                  <w:p w14:paraId="592B49C8">
                    <w:pPr>
                      <w:pStyle w:val="4"/>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FFF57">
    <w:pPr>
      <w:spacing w:line="171" w:lineRule="auto"/>
      <w:ind w:left="4287"/>
      <w:rPr>
        <w:rFonts w:ascii="仿宋" w:hAnsi="仿宋" w:eastAsia="仿宋" w:cs="仿宋"/>
        <w:sz w:val="21"/>
        <w:szCs w:val="21"/>
      </w:rPr>
    </w:pPr>
    <w:r>
      <w:rPr>
        <w:sz w:val="21"/>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9" name="文本框 13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2D3CA7">
                          <w:pPr>
                            <w:pStyle w:val="4"/>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KzeU1AgAAZwQAAA4AAABkcnMvZTJvRG9jLnhtbK1UzY7TMBC+I/EO&#10;lu80aStWJW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ynbyjRTOHNT9+/&#10;nX78Ov38SjotSGqsz+D7aOEd2remRUAkL+o9lLH3tnQqftEVgR0UHy8UizYQHoNmk9kshYnDNlyA&#10;k1zDrfPhnTCKRCGnDm/YUcsOGx9618ElZtNmXUsJPcukJk1Ob6a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MrN5TUCAABnBAAADgAAAAAAAAABACAAAAAfAQAAZHJzL2Uyb0RvYy54bWxQ&#10;SwUGAAAAAAYABgBZAQAAxgUAAAAA&#10;">
              <v:fill on="f" focussize="0,0"/>
              <v:stroke on="f" weight="0.5pt"/>
              <v:imagedata o:title=""/>
              <o:lock v:ext="edit" aspectratio="f"/>
              <v:textbox inset="0mm,0mm,0mm,0mm" style="mso-fit-shape-to-text:t;">
                <w:txbxContent>
                  <w:p w14:paraId="512D3CA7">
                    <w:pPr>
                      <w:pStyle w:val="4"/>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6F9F4">
    <w:pPr>
      <w:spacing w:line="171" w:lineRule="auto"/>
      <w:ind w:left="4167"/>
      <w:rPr>
        <w:rFonts w:ascii="仿宋" w:hAnsi="仿宋" w:eastAsia="仿宋" w:cs="仿宋"/>
        <w:sz w:val="21"/>
        <w:szCs w:val="21"/>
      </w:rPr>
    </w:pPr>
    <w:r>
      <w:rPr>
        <w:sz w:val="21"/>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0" name="文本框 13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2A6B25">
                          <w:pPr>
                            <w:pStyle w:val="4"/>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3EHFQ0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5egxTNFN789P3b&#10;6cev08+vpNOCpMb6DL4bC+/QvjUtAiJ5Ue+hjL23pVPxi64I7EA7XigWbSA8Bk0n02kKE4dtuAAn&#10;uYZb58M7YRSJQk4d3rCjlh3WPvSug0vMps2qlhJ6lklNmpze3rxJ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xBxUNAIAAGcEAAAOAAAAAAAAAAEAIAAAAB8BAABkcnMvZTJvRG9jLnhtbFBL&#10;BQYAAAAABgAGAFkBAADFBQAAAAA=&#10;">
              <v:fill on="f" focussize="0,0"/>
              <v:stroke on="f" weight="0.5pt"/>
              <v:imagedata o:title=""/>
              <o:lock v:ext="edit" aspectratio="f"/>
              <v:textbox inset="0mm,0mm,0mm,0mm" style="mso-fit-shape-to-text:t;">
                <w:txbxContent>
                  <w:p w14:paraId="2D2A6B25">
                    <w:pPr>
                      <w:pStyle w:val="4"/>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B04DC">
    <w:pPr>
      <w:spacing w:line="171" w:lineRule="auto"/>
      <w:ind w:left="6884"/>
      <w:rPr>
        <w:rFonts w:ascii="仿宋" w:hAnsi="仿宋" w:eastAsia="仿宋" w:cs="仿宋"/>
        <w:sz w:val="21"/>
        <w:szCs w:val="21"/>
      </w:rPr>
    </w:pPr>
    <w:r>
      <w:rPr>
        <w:sz w:val="21"/>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1" name="文本框 13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1D89FD">
                          <w:pPr>
                            <w:pStyle w:val="4"/>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7pQ4o0AgAAZwQAAA4AAABkcnMvZTJvRG9jLnhtbK1UzY7TMBC+I/EO&#10;lu80aRdW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25ejynRTGHmp+/f&#10;Tj9+nX5+JZ0WJDXWZ/DdWHiH9q1pERDJi3oPZey9LZ2KX3RFYAfFxwvFog2Ex6DpZDpNYeKwDRfg&#10;JNdw63x4J4wiUcipwww7atlh7UPvOrjEbNqsaimhZ5nUpMnp7c2b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u6UOKNAIAAGcEAAAOAAAAAAAAAAEAIAAAAB8BAABkcnMvZTJvRG9jLnhtbFBL&#10;BQYAAAAABgAGAFkBAADFBQAAAAA=&#10;">
              <v:fill on="f" focussize="0,0"/>
              <v:stroke on="f" weight="0.5pt"/>
              <v:imagedata o:title=""/>
              <o:lock v:ext="edit" aspectratio="f"/>
              <v:textbox inset="0mm,0mm,0mm,0mm" style="mso-fit-shape-to-text:t;">
                <w:txbxContent>
                  <w:p w14:paraId="111D89FD">
                    <w:pPr>
                      <w:pStyle w:val="4"/>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0F62B">
    <w:pPr>
      <w:spacing w:line="171" w:lineRule="auto"/>
      <w:ind w:left="6898"/>
      <w:rPr>
        <w:rFonts w:ascii="仿宋" w:hAnsi="仿宋" w:eastAsia="仿宋" w:cs="仿宋"/>
        <w:sz w:val="21"/>
        <w:szCs w:val="21"/>
      </w:rPr>
    </w:pPr>
    <w:r>
      <w:rPr>
        <w:sz w:val="21"/>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2" name="文本框 13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F8C891">
                          <w:pPr>
                            <w:pStyle w:val="4"/>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Y0zM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5eTy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pjTMzUCAABnBAAADgAAAAAAAAABACAAAAAfAQAAZHJzL2Uyb0RvYy54bWxQ&#10;SwUGAAAAAAYABgBZAQAAxgUAAAAA&#10;">
              <v:fill on="f" focussize="0,0"/>
              <v:stroke on="f" weight="0.5pt"/>
              <v:imagedata o:title=""/>
              <o:lock v:ext="edit" aspectratio="f"/>
              <v:textbox inset="0mm,0mm,0mm,0mm" style="mso-fit-shape-to-text:t;">
                <w:txbxContent>
                  <w:p w14:paraId="2EF8C891">
                    <w:pPr>
                      <w:pStyle w:val="4"/>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D7FE7">
    <w:pPr>
      <w:spacing w:line="171" w:lineRule="auto"/>
      <w:ind w:left="6884"/>
      <w:rPr>
        <w:rFonts w:ascii="仿宋" w:hAnsi="仿宋" w:eastAsia="仿宋" w:cs="仿宋"/>
        <w:sz w:val="21"/>
        <w:szCs w:val="21"/>
      </w:rPr>
    </w:pPr>
    <w:r>
      <w:rPr>
        <w:sz w:val="21"/>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3" name="文本框 13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523742">
                          <w:pPr>
                            <w:pStyle w:val="4"/>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m1jO01AgAAZwQAAA4AAABkcnMvZTJvRG9jLnhtbK1UzY7TMBC+I/EO&#10;lu80aQu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xfTynRTOHNT9+/&#10;nX78Ov38SjotSGqsz+D7aOEd2remRUAkL+o9lLH3tnQqftEVgR0UHy8UizYQHoNmk9kshYnDNlyA&#10;k1zDrfPhnTCKRCGnDm/YUcsOGx9618ElZtNmXUsJPcukJk1Ob6Z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bWM7TUCAABnBAAADgAAAAAAAAABACAAAAAfAQAAZHJzL2Uyb0RvYy54bWxQ&#10;SwUGAAAAAAYABgBZAQAAxgUAAAAA&#10;">
              <v:fill on="f" focussize="0,0"/>
              <v:stroke on="f" weight="0.5pt"/>
              <v:imagedata o:title=""/>
              <o:lock v:ext="edit" aspectratio="f"/>
              <v:textbox inset="0mm,0mm,0mm,0mm" style="mso-fit-shape-to-text:t;">
                <w:txbxContent>
                  <w:p w14:paraId="14523742">
                    <w:pPr>
                      <w:pStyle w:val="4"/>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8AFEB">
    <w:pPr>
      <w:spacing w:line="171" w:lineRule="auto"/>
      <w:ind w:left="6871"/>
      <w:rPr>
        <w:rFonts w:ascii="仿宋" w:hAnsi="仿宋" w:eastAsia="仿宋" w:cs="仿宋"/>
        <w:sz w:val="21"/>
        <w:szCs w:val="21"/>
      </w:rPr>
    </w:pPr>
    <w:r>
      <w:rPr>
        <w:sz w:val="21"/>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4" name="文本框 13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022F86">
                          <w:pPr>
                            <w:pStyle w:val="4"/>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8gps2AgAAZwQAAA4AAABkcnMvZTJvRG9jLnhtbK1UzY7TMBC+I/EO&#10;lu80aXdZ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2tKNFN48+OP&#10;78efT8df30inBUmN9Rl8Hy28Q/vOtAiI5EW9hzL23pZOxS+6IrCD4sOZYtEGwmPQdDKdpjBx2IYL&#10;cJJLuHU+vBdGkSjk1OENO2rZfu1D7zq4xGzarGopoWeZ1KTJ6c3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N8gps2AgAAZwQAAA4AAAAAAAAAAQAgAAAAHwEAAGRycy9lMm9Eb2MueG1s&#10;UEsFBgAAAAAGAAYAWQEAAMcFAAAAAA==&#10;">
              <v:fill on="f" focussize="0,0"/>
              <v:stroke on="f" weight="0.5pt"/>
              <v:imagedata o:title=""/>
              <o:lock v:ext="edit" aspectratio="f"/>
              <v:textbox inset="0mm,0mm,0mm,0mm" style="mso-fit-shape-to-text:t;">
                <w:txbxContent>
                  <w:p w14:paraId="43022F86">
                    <w:pPr>
                      <w:pStyle w:val="4"/>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19911">
    <w:pPr>
      <w:spacing w:line="177" w:lineRule="auto"/>
      <w:ind w:left="414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DFE12">
    <w:pPr>
      <w:spacing w:line="171" w:lineRule="auto"/>
      <w:ind w:left="6946"/>
      <w:rPr>
        <w:rFonts w:ascii="仿宋" w:hAnsi="仿宋" w:eastAsia="仿宋" w:cs="仿宋"/>
        <w:sz w:val="21"/>
        <w:szCs w:val="21"/>
      </w:rPr>
    </w:pPr>
    <w:r>
      <w:rPr>
        <w:sz w:val="21"/>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5" name="文本框 13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BE6472">
                          <w:pPr>
                            <w:pStyle w:val="4"/>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R3UU2AgAAZwQAAA4AAABkcnMvZTJvRG9jLnhtbK1UzY7TMBC+I/EO&#10;lu80aZd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t9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CBR3UU2AgAAZwQAAA4AAAAAAAAAAQAgAAAAHwEAAGRycy9lMm9Eb2MueG1s&#10;UEsFBgAAAAAGAAYAWQEAAMcFAAAAAA==&#10;">
              <v:fill on="f" focussize="0,0"/>
              <v:stroke on="f" weight="0.5pt"/>
              <v:imagedata o:title=""/>
              <o:lock v:ext="edit" aspectratio="f"/>
              <v:textbox inset="0mm,0mm,0mm,0mm" style="mso-fit-shape-to-text:t;">
                <w:txbxContent>
                  <w:p w14:paraId="78BE6472">
                    <w:pPr>
                      <w:pStyle w:val="4"/>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AF560">
    <w:pPr>
      <w:spacing w:line="171" w:lineRule="auto"/>
      <w:ind w:left="4450"/>
      <w:rPr>
        <w:rFonts w:ascii="仿宋" w:hAnsi="仿宋" w:eastAsia="仿宋" w:cs="仿宋"/>
        <w:sz w:val="21"/>
        <w:szCs w:val="21"/>
      </w:rPr>
    </w:pPr>
    <w:r>
      <w:rPr>
        <w:sz w:val="21"/>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6" name="文本框 13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68B559">
                          <w:pPr>
                            <w:pStyle w:val="4"/>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QgTfw1AgAAZwQAAA4AAABkcnMvZTJvRG9jLnhtbK1UzY7TMBC+I/EO&#10;lu80aRe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5eTynRTOHNT9+/&#10;nX78Ov38SjotSGqsz+D7aOEd2remRUAkL+o9lLH3tnQqftEVgR0UHy8UizYQHoNmk9kshYnDNlyA&#10;k1zDrfPhnTCKRCGnDm/YUcsOGx9618ElZtNmXUsJPcukJk1Opz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CBN/DUCAABnBAAADgAAAAAAAAABACAAAAAfAQAAZHJzL2Uyb0RvYy54bWxQ&#10;SwUGAAAAAAYABgBZAQAAxgUAAAAA&#10;">
              <v:fill on="f" focussize="0,0"/>
              <v:stroke on="f" weight="0.5pt"/>
              <v:imagedata o:title=""/>
              <o:lock v:ext="edit" aspectratio="f"/>
              <v:textbox inset="0mm,0mm,0mm,0mm" style="mso-fit-shape-to-text:t;">
                <w:txbxContent>
                  <w:p w14:paraId="7968B559">
                    <w:pPr>
                      <w:pStyle w:val="4"/>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0A465">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7" name="文本框 13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16CFD5">
                          <w:pPr>
                            <w:pStyle w:val="4"/>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NEiI2AgAAZwQAAA4AAABkcnMvZTJvRG9jLnhtbK1UzY7TMBC+I/EO&#10;lu80aRe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ZY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cNEiI2AgAAZwQAAA4AAAAAAAAAAQAgAAAAHwEAAGRycy9lMm9Eb2MueG1s&#10;UEsFBgAAAAAGAAYAWQEAAMcFAAAAAA==&#10;">
              <v:fill on="f" focussize="0,0"/>
              <v:stroke on="f" weight="0.5pt"/>
              <v:imagedata o:title=""/>
              <o:lock v:ext="edit" aspectratio="f"/>
              <v:textbox inset="0mm,0mm,0mm,0mm" style="mso-fit-shape-to-text:t;">
                <w:txbxContent>
                  <w:p w14:paraId="0116CFD5">
                    <w:pPr>
                      <w:pStyle w:val="4"/>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2A7AD">
    <w:pPr>
      <w:spacing w:line="170" w:lineRule="auto"/>
      <w:ind w:left="4093"/>
      <w:rPr>
        <w:rFonts w:ascii="仿宋" w:hAnsi="仿宋" w:eastAsia="仿宋" w:cs="仿宋"/>
        <w:sz w:val="18"/>
        <w:szCs w:val="18"/>
      </w:rPr>
    </w:pPr>
    <w:r>
      <w:rPr>
        <w:sz w:val="18"/>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8" name="文本框 13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AA69A3">
                          <w:pPr>
                            <w:pStyle w:val="4"/>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zUBA0AgAAZwQAAA4AAABkcnMvZTJvRG9jLnhtbK1UzY7TMBC+I/EO&#10;lu80aRdW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3DzGp3XTKHnp+/f&#10;Tj9+nX5+JZ0WJDXWZ/DdWHiH9q1pERDJi3oPZay9LZ2KX1RFYAfFxwvFog2Ex6DpZDpNYeKwDRfg&#10;JNdw63x4J4wiUcipQw87atlh7UPvOrjEbNqsaimhZ5nUpMnp7c2b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s1AQNAIAAGcEAAAOAAAAAAAAAAEAIAAAAB8BAABkcnMvZTJvRG9jLnhtbFBL&#10;BQYAAAAABgAGAFkBAADFBQAAAAA=&#10;">
              <v:fill on="f" focussize="0,0"/>
              <v:stroke on="f" weight="0.5pt"/>
              <v:imagedata o:title=""/>
              <o:lock v:ext="edit" aspectratio="f"/>
              <v:textbox inset="0mm,0mm,0mm,0mm" style="mso-fit-shape-to-text:t;">
                <w:txbxContent>
                  <w:p w14:paraId="33AA69A3">
                    <w:pPr>
                      <w:pStyle w:val="4"/>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A89C0">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9" name="文本框 13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B37006">
                          <w:pPr>
                            <w:pStyle w:val="4"/>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OeD842AgAAZwQAAA4AAABkcnMvZTJvRG9jLnhtbK1UzY7TMBC+I/EO&#10;lu80aRd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ZY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OeD842AgAAZwQAAA4AAAAAAAAAAQAgAAAAHwEAAGRycy9lMm9Eb2MueG1s&#10;UEsFBgAAAAAGAAYAWQEAAMcFAAAAAA==&#10;">
              <v:fill on="f" focussize="0,0"/>
              <v:stroke on="f" weight="0.5pt"/>
              <v:imagedata o:title=""/>
              <o:lock v:ext="edit" aspectratio="f"/>
              <v:textbox inset="0mm,0mm,0mm,0mm" style="mso-fit-shape-to-text:t;">
                <w:txbxContent>
                  <w:p w14:paraId="0BB37006">
                    <w:pPr>
                      <w:pStyle w:val="4"/>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90395">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0" name="文本框 13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9284D3">
                          <w:pPr>
                            <w:pStyle w:val="4"/>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Dtp80DICAABnBAAADgAAAAAAAAABACAAAAAfAQAAZHJzL2Uyb0RvYy54bWxQSwUG&#10;AAAAAAYABgBZAQAAwwUAAAAA&#10;">
              <v:fill on="f" focussize="0,0"/>
              <v:stroke on="f" weight="0.5pt"/>
              <v:imagedata o:title=""/>
              <o:lock v:ext="edit" aspectratio="f"/>
              <v:textbox inset="0mm,0mm,0mm,0mm" style="mso-fit-shape-to-text:t;">
                <w:txbxContent>
                  <w:p w14:paraId="259284D3">
                    <w:pPr>
                      <w:pStyle w:val="4"/>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B2E81">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1" name="文本框 13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8DABC1">
                          <w:pPr>
                            <w:pStyle w:val="4"/>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33Iw40AgAAZwQAAA4AAABkcnMvZTJvRG9jLnhtbK1UzY7TMBC+I/EO&#10;lu80aVe7qqqmq7JVEVLFrlQQZ9dxmkj+k+02KQ8Ab8CJC3eeq8/B5/y0aOGwBy7OeH6+mflmnP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d9yMONAIAAGcEAAAOAAAAAAAAAAEAIAAAAB8BAABkcnMvZTJvRG9jLnhtbFBL&#10;BQYAAAAABgAGAFkBAADFBQAAAAA=&#10;">
              <v:fill on="f" focussize="0,0"/>
              <v:stroke on="f" weight="0.5pt"/>
              <v:imagedata o:title=""/>
              <o:lock v:ext="edit" aspectratio="f"/>
              <v:textbox inset="0mm,0mm,0mm,0mm" style="mso-fit-shape-to-text:t;">
                <w:txbxContent>
                  <w:p w14:paraId="758DABC1">
                    <w:pPr>
                      <w:pStyle w:val="4"/>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EE1A1">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2" name="文本框 13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3794A3">
                          <w:pPr>
                            <w:pStyle w:val="4"/>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mGs7c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HmdkK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YaztzUCAABnBAAADgAAAAAAAAABACAAAAAfAQAAZHJzL2Uyb0RvYy54bWxQ&#10;SwUGAAAAAAYABgBZAQAAxgUAAAAA&#10;">
              <v:fill on="f" focussize="0,0"/>
              <v:stroke on="f" weight="0.5pt"/>
              <v:imagedata o:title=""/>
              <o:lock v:ext="edit" aspectratio="f"/>
              <v:textbox inset="0mm,0mm,0mm,0mm" style="mso-fit-shape-to-text:t;">
                <w:txbxContent>
                  <w:p w14:paraId="793794A3">
                    <w:pPr>
                      <w:pStyle w:val="4"/>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04D75">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3" name="文本框 13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930F6F">
                          <w:pPr>
                            <w:pStyle w:val="4"/>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qvsaTUCAABnBAAADgAAAAAAAAABACAAAAAfAQAAZHJzL2Uyb0RvYy54bWxQ&#10;SwUGAAAAAAYABgBZAQAAxgUAAAAA&#10;">
              <v:fill on="f" focussize="0,0"/>
              <v:stroke on="f" weight="0.5pt"/>
              <v:imagedata o:title=""/>
              <o:lock v:ext="edit" aspectratio="f"/>
              <v:textbox inset="0mm,0mm,0mm,0mm" style="mso-fit-shape-to-text:t;">
                <w:txbxContent>
                  <w:p w14:paraId="32930F6F">
                    <w:pPr>
                      <w:pStyle w:val="4"/>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B4E5F">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4" name="文本框 13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B11F20">
                          <w:pPr>
                            <w:pStyle w:val="4"/>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i4h82AgAAZwQAAA4AAABkcnMvZTJvRG9jLnhtbK1UzY7TMBC+I/EO&#10;lu80aZd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7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MBi4h82AgAAZwQAAA4AAAAAAAAAAQAgAAAAHwEAAGRycy9lMm9Eb2MueG1s&#10;UEsFBgAAAAAGAAYAWQEAAMcFAAAAAA==&#10;">
              <v:fill on="f" focussize="0,0"/>
              <v:stroke on="f" weight="0.5pt"/>
              <v:imagedata o:title=""/>
              <o:lock v:ext="edit" aspectratio="f"/>
              <v:textbox inset="0mm,0mm,0mm,0mm" style="mso-fit-shape-to-text:t;">
                <w:txbxContent>
                  <w:p w14:paraId="21B11F20">
                    <w:pPr>
                      <w:pStyle w:val="4"/>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6CC6E">
    <w:pPr>
      <w:pStyle w:val="3"/>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D1E62">
    <w:pPr>
      <w:pStyle w:val="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C6A057"/>
    <w:multiLevelType w:val="singleLevel"/>
    <w:tmpl w:val="9AC6A057"/>
    <w:lvl w:ilvl="0" w:tentative="0">
      <w:start w:val="1"/>
      <w:numFmt w:val="decimal"/>
      <w:lvlText w:val="%1."/>
      <w:lvlJc w:val="left"/>
      <w:pPr>
        <w:tabs>
          <w:tab w:val="left" w:pos="312"/>
        </w:tabs>
      </w:pPr>
    </w:lvl>
  </w:abstractNum>
  <w:abstractNum w:abstractNumId="1">
    <w:nsid w:val="A438508D"/>
    <w:multiLevelType w:val="singleLevel"/>
    <w:tmpl w:val="A438508D"/>
    <w:lvl w:ilvl="0" w:tentative="0">
      <w:start w:val="10"/>
      <w:numFmt w:val="chineseCounting"/>
      <w:suff w:val="nothing"/>
      <w:lvlText w:val="%1、"/>
      <w:lvlJc w:val="left"/>
      <w:rPr>
        <w:rFonts w:hint="eastAsia"/>
      </w:rPr>
    </w:lvl>
  </w:abstractNum>
  <w:abstractNum w:abstractNumId="2">
    <w:nsid w:val="B3FE1153"/>
    <w:multiLevelType w:val="singleLevel"/>
    <w:tmpl w:val="B3FE1153"/>
    <w:lvl w:ilvl="0" w:tentative="0">
      <w:start w:val="3"/>
      <w:numFmt w:val="decimal"/>
      <w:suff w:val="nothing"/>
      <w:lvlText w:val="%1、"/>
      <w:lvlJc w:val="left"/>
    </w:lvl>
  </w:abstractNum>
  <w:abstractNum w:abstractNumId="3">
    <w:nsid w:val="F2A546DD"/>
    <w:multiLevelType w:val="multilevel"/>
    <w:tmpl w:val="F2A546DD"/>
    <w:lvl w:ilvl="0" w:tentative="0">
      <w:start w:val="6"/>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1"/>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DE1OGFiNGQ3MTJlYjQ0MmU4OGQyZmEwNjA1OGNiYTUifQ=="/>
  </w:docVars>
  <w:rsids>
    <w:rsidRoot w:val="00172A27"/>
    <w:rsid w:val="00DC7C1D"/>
    <w:rsid w:val="016A67D7"/>
    <w:rsid w:val="03EF696A"/>
    <w:rsid w:val="04332D4E"/>
    <w:rsid w:val="04DF2FDC"/>
    <w:rsid w:val="04E17011"/>
    <w:rsid w:val="05A21471"/>
    <w:rsid w:val="08B90902"/>
    <w:rsid w:val="09CE25DF"/>
    <w:rsid w:val="0C0401A1"/>
    <w:rsid w:val="0D8617F5"/>
    <w:rsid w:val="11636A4C"/>
    <w:rsid w:val="13155150"/>
    <w:rsid w:val="13E11558"/>
    <w:rsid w:val="14F35FEC"/>
    <w:rsid w:val="18D0290A"/>
    <w:rsid w:val="19666E25"/>
    <w:rsid w:val="211A030B"/>
    <w:rsid w:val="23F61FD4"/>
    <w:rsid w:val="26617B10"/>
    <w:rsid w:val="27551D07"/>
    <w:rsid w:val="27AF247D"/>
    <w:rsid w:val="29713B4C"/>
    <w:rsid w:val="2BFD0BBD"/>
    <w:rsid w:val="2C0D5E4C"/>
    <w:rsid w:val="2CEF1A4A"/>
    <w:rsid w:val="2DA86071"/>
    <w:rsid w:val="2EF05495"/>
    <w:rsid w:val="312608BD"/>
    <w:rsid w:val="346478AD"/>
    <w:rsid w:val="35633E8E"/>
    <w:rsid w:val="37982929"/>
    <w:rsid w:val="3846585A"/>
    <w:rsid w:val="38526AFA"/>
    <w:rsid w:val="385E26EA"/>
    <w:rsid w:val="38DA3888"/>
    <w:rsid w:val="38DF7CCF"/>
    <w:rsid w:val="39C074F5"/>
    <w:rsid w:val="3AB13ECA"/>
    <w:rsid w:val="3CEE1901"/>
    <w:rsid w:val="3EAB5CDE"/>
    <w:rsid w:val="3F283A52"/>
    <w:rsid w:val="3F9A3D6E"/>
    <w:rsid w:val="446213D4"/>
    <w:rsid w:val="447339C1"/>
    <w:rsid w:val="44906321"/>
    <w:rsid w:val="45BF2E99"/>
    <w:rsid w:val="46421419"/>
    <w:rsid w:val="4E141CB4"/>
    <w:rsid w:val="4E46275D"/>
    <w:rsid w:val="4EF456FF"/>
    <w:rsid w:val="50190775"/>
    <w:rsid w:val="50B36F7D"/>
    <w:rsid w:val="511B16B0"/>
    <w:rsid w:val="528C7C8F"/>
    <w:rsid w:val="57356118"/>
    <w:rsid w:val="57FC08F2"/>
    <w:rsid w:val="58AE4B70"/>
    <w:rsid w:val="5FED7EEF"/>
    <w:rsid w:val="62354D49"/>
    <w:rsid w:val="6409316D"/>
    <w:rsid w:val="64510BFA"/>
    <w:rsid w:val="6569254B"/>
    <w:rsid w:val="65B816F3"/>
    <w:rsid w:val="6640690B"/>
    <w:rsid w:val="69674FF3"/>
    <w:rsid w:val="6B043599"/>
    <w:rsid w:val="6B587C7E"/>
    <w:rsid w:val="6BAE564F"/>
    <w:rsid w:val="6EA43A86"/>
    <w:rsid w:val="740735EA"/>
    <w:rsid w:val="7574140D"/>
    <w:rsid w:val="79BA7BFD"/>
    <w:rsid w:val="7BEB1AB4"/>
    <w:rsid w:val="7CF55598"/>
    <w:rsid w:val="7D765A02"/>
    <w:rsid w:val="7DF2589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unhideWhenUsed/>
    <w:qFormat/>
    <w:uiPriority w:val="1"/>
  </w:style>
  <w:style w:type="table" w:default="1" w:styleId="6">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Table Text"/>
    <w:basedOn w:val="1"/>
    <w:semiHidden/>
    <w:qFormat/>
    <w:uiPriority w:val="0"/>
    <w:rPr>
      <w:rFonts w:ascii="宋体" w:hAnsi="宋体" w:eastAsia="宋体" w:cs="宋体"/>
      <w:sz w:val="21"/>
      <w:szCs w:val="21"/>
      <w:lang w:val="en-US" w:eastAsia="en-US" w:bidi="ar-SA"/>
    </w:rPr>
  </w:style>
  <w:style w:type="paragraph" w:customStyle="1" w:styleId="12">
    <w:name w:val="Normal_11"/>
    <w:qFormat/>
    <w:uiPriority w:val="0"/>
    <w:rPr>
      <w:rFonts w:ascii="Times New Roman" w:hAnsi="Times New Roman" w:eastAsia="Times New Roman" w:cs="Times New Roman"/>
      <w:sz w:val="24"/>
      <w:szCs w:val="24"/>
    </w:rPr>
  </w:style>
  <w:style w:type="paragraph" w:customStyle="1" w:styleId="13">
    <w:name w:val="正文_0_0"/>
    <w:qFormat/>
    <w:uiPriority w:val="0"/>
    <w:pPr>
      <w:widowControl w:val="0"/>
      <w:jc w:val="both"/>
    </w:pPr>
    <w:rPr>
      <w:rFonts w:ascii="Calibri" w:hAnsi="Calibri" w:eastAsia="宋体" w:cs="Times New Roman"/>
      <w:lang w:val="en-US" w:eastAsia="zh-CN" w:bidi="ar-SA"/>
    </w:rPr>
  </w:style>
  <w:style w:type="paragraph" w:customStyle="1" w:styleId="14">
    <w:name w:val="正文_0_0_0"/>
    <w:qFormat/>
    <w:uiPriority w:val="99"/>
    <w:pPr>
      <w:jc w:val="both"/>
    </w:pPr>
    <w:rPr>
      <w:rFonts w:ascii="Times New Roman" w:hAnsi="Times New Roman" w:eastAsia="宋体" w:cs="Times New Roman"/>
      <w:lang w:val="en-US" w:eastAsia="zh-CN" w:bidi="ar-SA"/>
    </w:rPr>
  </w:style>
  <w:style w:type="paragraph" w:customStyle="1" w:styleId="15">
    <w:name w:val="标题 4_0"/>
    <w:basedOn w:val="13"/>
    <w:next w:val="13"/>
    <w:qFormat/>
    <w:uiPriority w:val="0"/>
    <w:pPr>
      <w:keepNext/>
      <w:keepLines/>
      <w:spacing w:before="280" w:after="290" w:line="376" w:lineRule="auto"/>
      <w:outlineLvl w:val="3"/>
    </w:pPr>
    <w:rPr>
      <w:rFonts w:ascii="Arial" w:hAnsi="Arial" w:eastAsia="黑体"/>
      <w:b/>
      <w:bCs/>
      <w:color w:val="000000"/>
      <w:sz w:val="28"/>
      <w:szCs w:val="28"/>
    </w:rPr>
  </w:style>
  <w:style w:type="paragraph" w:customStyle="1" w:styleId="16">
    <w:name w:val="Normal_1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9" Type="http://schemas.openxmlformats.org/officeDocument/2006/relationships/fontTable" Target="fontTable.xml"/><Relationship Id="rId258" Type="http://schemas.openxmlformats.org/officeDocument/2006/relationships/numbering" Target="numbering.xml"/><Relationship Id="rId257" Type="http://schemas.openxmlformats.org/officeDocument/2006/relationships/customXml" Target="../customXml/item1.xml"/><Relationship Id="rId256" Type="http://schemas.openxmlformats.org/officeDocument/2006/relationships/image" Target="media/image2.png"/><Relationship Id="rId255" Type="http://schemas.openxmlformats.org/officeDocument/2006/relationships/image" Target="media/image1.png"/><Relationship Id="rId254" Type="http://schemas.openxmlformats.org/officeDocument/2006/relationships/theme" Target="theme/theme1.xml"/><Relationship Id="rId253" Type="http://schemas.openxmlformats.org/officeDocument/2006/relationships/footer" Target="footer247.xml"/><Relationship Id="rId252" Type="http://schemas.openxmlformats.org/officeDocument/2006/relationships/footer" Target="footer246.xml"/><Relationship Id="rId251" Type="http://schemas.openxmlformats.org/officeDocument/2006/relationships/footer" Target="footer245.xml"/><Relationship Id="rId250" Type="http://schemas.openxmlformats.org/officeDocument/2006/relationships/footer" Target="footer244.xml"/><Relationship Id="rId25" Type="http://schemas.openxmlformats.org/officeDocument/2006/relationships/footer" Target="footer21.xml"/><Relationship Id="rId249" Type="http://schemas.openxmlformats.org/officeDocument/2006/relationships/footer" Target="footer243.xml"/><Relationship Id="rId248" Type="http://schemas.openxmlformats.org/officeDocument/2006/relationships/footer" Target="footer242.xml"/><Relationship Id="rId247" Type="http://schemas.openxmlformats.org/officeDocument/2006/relationships/footer" Target="footer241.xml"/><Relationship Id="rId246" Type="http://schemas.openxmlformats.org/officeDocument/2006/relationships/footer" Target="footer240.xml"/><Relationship Id="rId245" Type="http://schemas.openxmlformats.org/officeDocument/2006/relationships/footer" Target="footer239.xml"/><Relationship Id="rId244" Type="http://schemas.openxmlformats.org/officeDocument/2006/relationships/footer" Target="footer238.xml"/><Relationship Id="rId243" Type="http://schemas.openxmlformats.org/officeDocument/2006/relationships/footer" Target="footer237.xml"/><Relationship Id="rId242" Type="http://schemas.openxmlformats.org/officeDocument/2006/relationships/footer" Target="footer236.xml"/><Relationship Id="rId241" Type="http://schemas.openxmlformats.org/officeDocument/2006/relationships/footer" Target="footer235.xml"/><Relationship Id="rId240" Type="http://schemas.openxmlformats.org/officeDocument/2006/relationships/footer" Target="footer234.xml"/><Relationship Id="rId24" Type="http://schemas.openxmlformats.org/officeDocument/2006/relationships/footer" Target="footer20.xml"/><Relationship Id="rId239" Type="http://schemas.openxmlformats.org/officeDocument/2006/relationships/footer" Target="footer233.xml"/><Relationship Id="rId238" Type="http://schemas.openxmlformats.org/officeDocument/2006/relationships/footer" Target="footer232.xml"/><Relationship Id="rId237" Type="http://schemas.openxmlformats.org/officeDocument/2006/relationships/footer" Target="footer231.xml"/><Relationship Id="rId236" Type="http://schemas.openxmlformats.org/officeDocument/2006/relationships/footer" Target="footer230.xml"/><Relationship Id="rId235" Type="http://schemas.openxmlformats.org/officeDocument/2006/relationships/footer" Target="footer229.xml"/><Relationship Id="rId234" Type="http://schemas.openxmlformats.org/officeDocument/2006/relationships/footer" Target="footer228.xml"/><Relationship Id="rId233" Type="http://schemas.openxmlformats.org/officeDocument/2006/relationships/footer" Target="footer227.xml"/><Relationship Id="rId232" Type="http://schemas.openxmlformats.org/officeDocument/2006/relationships/footer" Target="footer226.xml"/><Relationship Id="rId231" Type="http://schemas.openxmlformats.org/officeDocument/2006/relationships/footer" Target="footer225.xml"/><Relationship Id="rId230" Type="http://schemas.openxmlformats.org/officeDocument/2006/relationships/footer" Target="footer224.xml"/><Relationship Id="rId23" Type="http://schemas.openxmlformats.org/officeDocument/2006/relationships/footer" Target="footer19.xml"/><Relationship Id="rId229" Type="http://schemas.openxmlformats.org/officeDocument/2006/relationships/footer" Target="footer223.xml"/><Relationship Id="rId228" Type="http://schemas.openxmlformats.org/officeDocument/2006/relationships/footer" Target="footer222.xml"/><Relationship Id="rId227" Type="http://schemas.openxmlformats.org/officeDocument/2006/relationships/footer" Target="footer221.xml"/><Relationship Id="rId226" Type="http://schemas.openxmlformats.org/officeDocument/2006/relationships/footer" Target="footer220.xml"/><Relationship Id="rId225" Type="http://schemas.openxmlformats.org/officeDocument/2006/relationships/footer" Target="footer219.xml"/><Relationship Id="rId224" Type="http://schemas.openxmlformats.org/officeDocument/2006/relationships/footer" Target="footer218.xml"/><Relationship Id="rId223" Type="http://schemas.openxmlformats.org/officeDocument/2006/relationships/footer" Target="footer217.xml"/><Relationship Id="rId222" Type="http://schemas.openxmlformats.org/officeDocument/2006/relationships/footer" Target="footer216.xml"/><Relationship Id="rId221" Type="http://schemas.openxmlformats.org/officeDocument/2006/relationships/footer" Target="footer215.xml"/><Relationship Id="rId220" Type="http://schemas.openxmlformats.org/officeDocument/2006/relationships/footer" Target="footer214.xml"/><Relationship Id="rId22" Type="http://schemas.openxmlformats.org/officeDocument/2006/relationships/footer" Target="footer18.xml"/><Relationship Id="rId219" Type="http://schemas.openxmlformats.org/officeDocument/2006/relationships/footer" Target="footer213.xml"/><Relationship Id="rId218" Type="http://schemas.openxmlformats.org/officeDocument/2006/relationships/footer" Target="footer212.xml"/><Relationship Id="rId217" Type="http://schemas.openxmlformats.org/officeDocument/2006/relationships/footer" Target="footer211.xml"/><Relationship Id="rId216" Type="http://schemas.openxmlformats.org/officeDocument/2006/relationships/footer" Target="footer210.xml"/><Relationship Id="rId215" Type="http://schemas.openxmlformats.org/officeDocument/2006/relationships/footer" Target="footer209.xml"/><Relationship Id="rId214" Type="http://schemas.openxmlformats.org/officeDocument/2006/relationships/footer" Target="footer208.xml"/><Relationship Id="rId213" Type="http://schemas.openxmlformats.org/officeDocument/2006/relationships/footer" Target="footer207.xml"/><Relationship Id="rId212" Type="http://schemas.openxmlformats.org/officeDocument/2006/relationships/footer" Target="footer206.xml"/><Relationship Id="rId211" Type="http://schemas.openxmlformats.org/officeDocument/2006/relationships/footer" Target="footer205.xml"/><Relationship Id="rId210" Type="http://schemas.openxmlformats.org/officeDocument/2006/relationships/footer" Target="footer204.xml"/><Relationship Id="rId21" Type="http://schemas.openxmlformats.org/officeDocument/2006/relationships/footer" Target="footer17.xml"/><Relationship Id="rId209" Type="http://schemas.openxmlformats.org/officeDocument/2006/relationships/footer" Target="footer203.xml"/><Relationship Id="rId208" Type="http://schemas.openxmlformats.org/officeDocument/2006/relationships/footer" Target="footer202.xml"/><Relationship Id="rId207" Type="http://schemas.openxmlformats.org/officeDocument/2006/relationships/header" Target="header2.xml"/><Relationship Id="rId206" Type="http://schemas.openxmlformats.org/officeDocument/2006/relationships/footer" Target="footer201.xml"/><Relationship Id="rId205" Type="http://schemas.openxmlformats.org/officeDocument/2006/relationships/footer" Target="footer200.xml"/><Relationship Id="rId204" Type="http://schemas.openxmlformats.org/officeDocument/2006/relationships/footer" Target="footer199.xml"/><Relationship Id="rId203" Type="http://schemas.openxmlformats.org/officeDocument/2006/relationships/footer" Target="footer198.xml"/><Relationship Id="rId202" Type="http://schemas.openxmlformats.org/officeDocument/2006/relationships/footer" Target="footer197.xml"/><Relationship Id="rId201" Type="http://schemas.openxmlformats.org/officeDocument/2006/relationships/footer" Target="footer196.xml"/><Relationship Id="rId200" Type="http://schemas.openxmlformats.org/officeDocument/2006/relationships/footer" Target="footer195.xml"/><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footer" Target="footer194.xml"/><Relationship Id="rId198" Type="http://schemas.openxmlformats.org/officeDocument/2006/relationships/footer" Target="footer193.xml"/><Relationship Id="rId197" Type="http://schemas.openxmlformats.org/officeDocument/2006/relationships/footer" Target="footer192.xml"/><Relationship Id="rId196" Type="http://schemas.openxmlformats.org/officeDocument/2006/relationships/footer" Target="footer191.xml"/><Relationship Id="rId195" Type="http://schemas.openxmlformats.org/officeDocument/2006/relationships/footer" Target="footer190.xml"/><Relationship Id="rId194" Type="http://schemas.openxmlformats.org/officeDocument/2006/relationships/footer" Target="footer189.xml"/><Relationship Id="rId193" Type="http://schemas.openxmlformats.org/officeDocument/2006/relationships/footer" Target="footer188.xml"/><Relationship Id="rId192" Type="http://schemas.openxmlformats.org/officeDocument/2006/relationships/footer" Target="footer187.xml"/><Relationship Id="rId191" Type="http://schemas.openxmlformats.org/officeDocument/2006/relationships/footer" Target="footer186.xml"/><Relationship Id="rId190" Type="http://schemas.openxmlformats.org/officeDocument/2006/relationships/footer" Target="footer185.xml"/><Relationship Id="rId19" Type="http://schemas.openxmlformats.org/officeDocument/2006/relationships/footer" Target="footer15.xml"/><Relationship Id="rId189" Type="http://schemas.openxmlformats.org/officeDocument/2006/relationships/footer" Target="footer184.xml"/><Relationship Id="rId188" Type="http://schemas.openxmlformats.org/officeDocument/2006/relationships/footer" Target="footer183.xml"/><Relationship Id="rId187" Type="http://schemas.openxmlformats.org/officeDocument/2006/relationships/footer" Target="footer182.xml"/><Relationship Id="rId186" Type="http://schemas.openxmlformats.org/officeDocument/2006/relationships/footer" Target="footer181.xml"/><Relationship Id="rId185" Type="http://schemas.openxmlformats.org/officeDocument/2006/relationships/footer" Target="footer180.xml"/><Relationship Id="rId184" Type="http://schemas.openxmlformats.org/officeDocument/2006/relationships/footer" Target="footer179.xml"/><Relationship Id="rId183" Type="http://schemas.openxmlformats.org/officeDocument/2006/relationships/footer" Target="footer178.xml"/><Relationship Id="rId182" Type="http://schemas.openxmlformats.org/officeDocument/2006/relationships/footer" Target="footer177.xml"/><Relationship Id="rId181" Type="http://schemas.openxmlformats.org/officeDocument/2006/relationships/footer" Target="footer176.xml"/><Relationship Id="rId180" Type="http://schemas.openxmlformats.org/officeDocument/2006/relationships/footer" Target="footer175.xml"/><Relationship Id="rId18" Type="http://schemas.openxmlformats.org/officeDocument/2006/relationships/footer" Target="footer14.xml"/><Relationship Id="rId179" Type="http://schemas.openxmlformats.org/officeDocument/2006/relationships/footer" Target="footer174.xml"/><Relationship Id="rId178" Type="http://schemas.openxmlformats.org/officeDocument/2006/relationships/footer" Target="footer173.xml"/><Relationship Id="rId177" Type="http://schemas.openxmlformats.org/officeDocument/2006/relationships/footer" Target="footer172.xml"/><Relationship Id="rId176" Type="http://schemas.openxmlformats.org/officeDocument/2006/relationships/footer" Target="footer171.xml"/><Relationship Id="rId175" Type="http://schemas.openxmlformats.org/officeDocument/2006/relationships/footer" Target="footer170.xml"/><Relationship Id="rId174" Type="http://schemas.openxmlformats.org/officeDocument/2006/relationships/footer" Target="footer169.xml"/><Relationship Id="rId173" Type="http://schemas.openxmlformats.org/officeDocument/2006/relationships/footer" Target="footer168.xml"/><Relationship Id="rId172" Type="http://schemas.openxmlformats.org/officeDocument/2006/relationships/footer" Target="footer167.xml"/><Relationship Id="rId171" Type="http://schemas.openxmlformats.org/officeDocument/2006/relationships/footer" Target="footer166.xml"/><Relationship Id="rId170" Type="http://schemas.openxmlformats.org/officeDocument/2006/relationships/footer" Target="footer165.xml"/><Relationship Id="rId17" Type="http://schemas.openxmlformats.org/officeDocument/2006/relationships/footer" Target="footer13.xml"/><Relationship Id="rId169" Type="http://schemas.openxmlformats.org/officeDocument/2006/relationships/footer" Target="footer164.xml"/><Relationship Id="rId168" Type="http://schemas.openxmlformats.org/officeDocument/2006/relationships/footer" Target="footer163.xml"/><Relationship Id="rId167" Type="http://schemas.openxmlformats.org/officeDocument/2006/relationships/footer" Target="footer162.xml"/><Relationship Id="rId166" Type="http://schemas.openxmlformats.org/officeDocument/2006/relationships/footer" Target="footer161.xml"/><Relationship Id="rId165" Type="http://schemas.openxmlformats.org/officeDocument/2006/relationships/footer" Target="footer160.xml"/><Relationship Id="rId164" Type="http://schemas.openxmlformats.org/officeDocument/2006/relationships/footer" Target="footer159.xml"/><Relationship Id="rId163" Type="http://schemas.openxmlformats.org/officeDocument/2006/relationships/footer" Target="footer158.xml"/><Relationship Id="rId162" Type="http://schemas.openxmlformats.org/officeDocument/2006/relationships/footer" Target="footer157.xml"/><Relationship Id="rId161" Type="http://schemas.openxmlformats.org/officeDocument/2006/relationships/footer" Target="footer156.xml"/><Relationship Id="rId160" Type="http://schemas.openxmlformats.org/officeDocument/2006/relationships/footer" Target="footer155.xml"/><Relationship Id="rId16" Type="http://schemas.openxmlformats.org/officeDocument/2006/relationships/footer" Target="footer12.xml"/><Relationship Id="rId159" Type="http://schemas.openxmlformats.org/officeDocument/2006/relationships/footer" Target="footer154.xml"/><Relationship Id="rId158" Type="http://schemas.openxmlformats.org/officeDocument/2006/relationships/footer" Target="footer153.xml"/><Relationship Id="rId157" Type="http://schemas.openxmlformats.org/officeDocument/2006/relationships/footer" Target="footer152.xml"/><Relationship Id="rId156" Type="http://schemas.openxmlformats.org/officeDocument/2006/relationships/footer" Target="footer151.xml"/><Relationship Id="rId155" Type="http://schemas.openxmlformats.org/officeDocument/2006/relationships/footer" Target="footer150.xml"/><Relationship Id="rId154" Type="http://schemas.openxmlformats.org/officeDocument/2006/relationships/footer" Target="footer149.xml"/><Relationship Id="rId153" Type="http://schemas.openxmlformats.org/officeDocument/2006/relationships/header" Target="header1.xml"/><Relationship Id="rId152" Type="http://schemas.openxmlformats.org/officeDocument/2006/relationships/footer" Target="footer148.xml"/><Relationship Id="rId151" Type="http://schemas.openxmlformats.org/officeDocument/2006/relationships/footer" Target="footer147.xml"/><Relationship Id="rId150" Type="http://schemas.openxmlformats.org/officeDocument/2006/relationships/footer" Target="footer146.xml"/><Relationship Id="rId15" Type="http://schemas.openxmlformats.org/officeDocument/2006/relationships/footer" Target="footer11.xml"/><Relationship Id="rId149" Type="http://schemas.openxmlformats.org/officeDocument/2006/relationships/footer" Target="footer145.xml"/><Relationship Id="rId148" Type="http://schemas.openxmlformats.org/officeDocument/2006/relationships/footer" Target="footer144.xml"/><Relationship Id="rId147" Type="http://schemas.openxmlformats.org/officeDocument/2006/relationships/footer" Target="footer143.xml"/><Relationship Id="rId146" Type="http://schemas.openxmlformats.org/officeDocument/2006/relationships/footer" Target="footer142.xml"/><Relationship Id="rId145" Type="http://schemas.openxmlformats.org/officeDocument/2006/relationships/footer" Target="footer141.xml"/><Relationship Id="rId144" Type="http://schemas.openxmlformats.org/officeDocument/2006/relationships/footer" Target="footer140.xml"/><Relationship Id="rId143" Type="http://schemas.openxmlformats.org/officeDocument/2006/relationships/footer" Target="footer139.xml"/><Relationship Id="rId142" Type="http://schemas.openxmlformats.org/officeDocument/2006/relationships/footer" Target="footer138.xml"/><Relationship Id="rId141" Type="http://schemas.openxmlformats.org/officeDocument/2006/relationships/footer" Target="footer137.xml"/><Relationship Id="rId140" Type="http://schemas.openxmlformats.org/officeDocument/2006/relationships/footer" Target="footer136.xml"/><Relationship Id="rId14" Type="http://schemas.openxmlformats.org/officeDocument/2006/relationships/footer" Target="footer10.xml"/><Relationship Id="rId139" Type="http://schemas.openxmlformats.org/officeDocument/2006/relationships/footer" Target="footer135.xml"/><Relationship Id="rId138" Type="http://schemas.openxmlformats.org/officeDocument/2006/relationships/footer" Target="footer134.xml"/><Relationship Id="rId137" Type="http://schemas.openxmlformats.org/officeDocument/2006/relationships/footer" Target="footer133.xml"/><Relationship Id="rId136" Type="http://schemas.openxmlformats.org/officeDocument/2006/relationships/footer" Target="footer132.xml"/><Relationship Id="rId135" Type="http://schemas.openxmlformats.org/officeDocument/2006/relationships/footer" Target="footer131.xml"/><Relationship Id="rId134" Type="http://schemas.openxmlformats.org/officeDocument/2006/relationships/footer" Target="footer130.xml"/><Relationship Id="rId133" Type="http://schemas.openxmlformats.org/officeDocument/2006/relationships/footer" Target="footer129.xml"/><Relationship Id="rId132" Type="http://schemas.openxmlformats.org/officeDocument/2006/relationships/footer" Target="footer128.xml"/><Relationship Id="rId131" Type="http://schemas.openxmlformats.org/officeDocument/2006/relationships/footer" Target="footer127.xml"/><Relationship Id="rId130" Type="http://schemas.openxmlformats.org/officeDocument/2006/relationships/footer" Target="footer126.xml"/><Relationship Id="rId13" Type="http://schemas.openxmlformats.org/officeDocument/2006/relationships/footer" Target="footer9.xml"/><Relationship Id="rId129" Type="http://schemas.openxmlformats.org/officeDocument/2006/relationships/footer" Target="footer125.xml"/><Relationship Id="rId128" Type="http://schemas.openxmlformats.org/officeDocument/2006/relationships/footer" Target="footer124.xml"/><Relationship Id="rId127" Type="http://schemas.openxmlformats.org/officeDocument/2006/relationships/footer" Target="footer123.xml"/><Relationship Id="rId126" Type="http://schemas.openxmlformats.org/officeDocument/2006/relationships/footer" Target="footer122.xml"/><Relationship Id="rId125" Type="http://schemas.openxmlformats.org/officeDocument/2006/relationships/footer" Target="footer121.xml"/><Relationship Id="rId124" Type="http://schemas.openxmlformats.org/officeDocument/2006/relationships/footer" Target="footer120.xml"/><Relationship Id="rId123" Type="http://schemas.openxmlformats.org/officeDocument/2006/relationships/footer" Target="footer119.xml"/><Relationship Id="rId122" Type="http://schemas.openxmlformats.org/officeDocument/2006/relationships/footer" Target="footer118.xml"/><Relationship Id="rId121" Type="http://schemas.openxmlformats.org/officeDocument/2006/relationships/footer" Target="footer117.xml"/><Relationship Id="rId120" Type="http://schemas.openxmlformats.org/officeDocument/2006/relationships/footer" Target="footer116.xml"/><Relationship Id="rId12" Type="http://schemas.openxmlformats.org/officeDocument/2006/relationships/footer" Target="footer8.xml"/><Relationship Id="rId119" Type="http://schemas.openxmlformats.org/officeDocument/2006/relationships/footer" Target="footer115.xml"/><Relationship Id="rId118" Type="http://schemas.openxmlformats.org/officeDocument/2006/relationships/footer" Target="footer114.xml"/><Relationship Id="rId117" Type="http://schemas.openxmlformats.org/officeDocument/2006/relationships/footer" Target="footer113.xml"/><Relationship Id="rId116" Type="http://schemas.openxmlformats.org/officeDocument/2006/relationships/footer" Target="footer112.xml"/><Relationship Id="rId115" Type="http://schemas.openxmlformats.org/officeDocument/2006/relationships/footer" Target="footer111.xml"/><Relationship Id="rId114" Type="http://schemas.openxmlformats.org/officeDocument/2006/relationships/footer" Target="footer110.xml"/><Relationship Id="rId113" Type="http://schemas.openxmlformats.org/officeDocument/2006/relationships/footer" Target="footer109.xml"/><Relationship Id="rId112" Type="http://schemas.openxmlformats.org/officeDocument/2006/relationships/footer" Target="footer108.xml"/><Relationship Id="rId111" Type="http://schemas.openxmlformats.org/officeDocument/2006/relationships/footer" Target="footer107.xml"/><Relationship Id="rId110" Type="http://schemas.openxmlformats.org/officeDocument/2006/relationships/footer" Target="footer106.xml"/><Relationship Id="rId11" Type="http://schemas.openxmlformats.org/officeDocument/2006/relationships/footer" Target="footer7.xml"/><Relationship Id="rId109" Type="http://schemas.openxmlformats.org/officeDocument/2006/relationships/footer" Target="footer105.xml"/><Relationship Id="rId108" Type="http://schemas.openxmlformats.org/officeDocument/2006/relationships/footer" Target="footer104.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282</Pages>
  <Words>4902</Words>
  <Characters>6091</Characters>
  <TotalTime>301</TotalTime>
  <ScaleCrop>false</ScaleCrop>
  <LinksUpToDate>false</LinksUpToDate>
  <CharactersWithSpaces>8237</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2024-12-20T15:23:00Z</dcterms:created>
  <dc:creator>微软用户</dc:creator>
  <cp:lastModifiedBy>崔大勇</cp:lastModifiedBy>
  <cp:lastPrinted>2025-08-21T11:50:00Z</cp:lastPrinted>
  <dcterms:modified xsi:type="dcterms:W3CDTF">2026-03-16T06:05:00Z</dcterms:modified>
  <dc:title>住房和城乡建设部关于印发《房屋建筑和市政工程标准施工招标资格预审文件》和《房屋建筑和市政工程标准施工招标文件》的通知</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2025-08-21T15:54:20Z</vt:filetime>
  </property>
  <property fmtid="{D5CDD505-2E9C-101B-9397-08002B2CF9AE}" pid="4" name="KSOProductBuildVer">
    <vt:lpwstr>2052-12.1.0.25225</vt:lpwstr>
  </property>
  <property fmtid="{D5CDD505-2E9C-101B-9397-08002B2CF9AE}" pid="5" name="ICV">
    <vt:lpwstr>EC5BD4312BFB41909AB518C3071DC3A7_13</vt:lpwstr>
  </property>
  <property fmtid="{D5CDD505-2E9C-101B-9397-08002B2CF9AE}" pid="6" name="KSOTemplateDocerSaveRecord">
    <vt:lpwstr>eyJoZGlkIjoiZmY4MjA1Nzg4OWU2NGQyMDVhZTJhNmVjN2M5NzNlYzkiLCJ1c2VySWQiOiI0Mjg3OTUxOTIifQ==</vt:lpwstr>
  </property>
</Properties>
</file>